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23.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4.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25.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28.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2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30.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3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32.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33.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34.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35.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36.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3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3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39.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40.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41.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footer42.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43.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44.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45.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oter4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47.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footer53.xml" ContentType="application/vnd.openxmlformats-officedocument.wordprocessingml.footer+xml"/>
  <Override PartName="/word/header171.xml" ContentType="application/vnd.openxmlformats-officedocument.wordprocessingml.header+xml"/>
  <Override PartName="/word/footer54.xml" ContentType="application/vnd.openxmlformats-officedocument.wordprocessingml.footer+xml"/>
  <Override PartName="/word/header172.xml" ContentType="application/vnd.openxmlformats-officedocument.wordprocessingml.header+xml"/>
  <Override PartName="/word/footer55.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56.xml" ContentType="application/vnd.openxmlformats-officedocument.wordprocessingml.footer+xml"/>
  <Override PartName="/word/header17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60.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61.xml" ContentType="application/vnd.openxmlformats-officedocument.wordprocessingml.footer+xml"/>
  <Override PartName="/word/header180.xml" ContentType="application/vnd.openxmlformats-officedocument.wordprocessingml.header+xml"/>
  <Override PartName="/word/footer62.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63.xml" ContentType="application/vnd.openxmlformats-officedocument.wordprocessingml.footer+xml"/>
  <Override PartName="/word/header183.xml" ContentType="application/vnd.openxmlformats-officedocument.wordprocessingml.header+xml"/>
  <Override PartName="/word/footer64.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65.xml" ContentType="application/vnd.openxmlformats-officedocument.wordprocessingml.footer+xml"/>
  <Override PartName="/word/header18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69.xml" ContentType="application/vnd.openxmlformats-officedocument.wordprocessingml.footer+xml"/>
  <Override PartName="/word/header189.xml" ContentType="application/vnd.openxmlformats-officedocument.wordprocessingml.header+xml"/>
  <Override PartName="/word/footer70.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71.xml" ContentType="application/vnd.openxmlformats-officedocument.wordprocessingml.footer+xml"/>
  <Override PartName="/word/header192.xml" ContentType="application/vnd.openxmlformats-officedocument.wordprocessingml.header+xml"/>
  <Override PartName="/word/footer7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73.xml" ContentType="application/vnd.openxmlformats-officedocument.wordprocessingml.footer+xml"/>
  <Override PartName="/word/header195.xml" ContentType="application/vnd.openxmlformats-officedocument.wordprocessingml.header+xml"/>
  <Override PartName="/word/footer74.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75.xml" ContentType="application/vnd.openxmlformats-officedocument.wordprocessingml.footer+xml"/>
  <Override PartName="/word/header198.xml" ContentType="application/vnd.openxmlformats-officedocument.wordprocessingml.header+xml"/>
  <Override PartName="/word/footer76.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77.xml" ContentType="application/vnd.openxmlformats-officedocument.wordprocessingml.footer+xml"/>
  <Override PartName="/word/header201.xml" ContentType="application/vnd.openxmlformats-officedocument.wordprocessingml.header+xml"/>
  <Override PartName="/word/footer78.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79.xml" ContentType="application/vnd.openxmlformats-officedocument.wordprocessingml.footer+xml"/>
  <Override PartName="/word/header204.xml" ContentType="application/vnd.openxmlformats-officedocument.wordprocessingml.header+xml"/>
  <Override PartName="/word/footer80.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81.xml" ContentType="application/vnd.openxmlformats-officedocument.wordprocessingml.footer+xml"/>
  <Override PartName="/word/header207.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F58E8" w14:textId="3B410AA3" w:rsidR="00CA2ACD" w:rsidRPr="00CA2ACD" w:rsidRDefault="00CA2ACD" w:rsidP="00CA2ACD">
      <w:pPr>
        <w:keepLines/>
        <w:spacing w:after="800" w:line="240" w:lineRule="auto"/>
        <w:contextualSpacing/>
        <w:rPr>
          <w:rFonts w:ascii="Arial" w:eastAsia="Times New Roman" w:hAnsi="Arial" w:cs="Times New Roman"/>
          <w:color w:val="0E787C"/>
          <w:spacing w:val="-10"/>
          <w:kern w:val="28"/>
          <w:sz w:val="80"/>
          <w:szCs w:val="56"/>
        </w:rPr>
        <w:sectPr w:rsidR="00CA2ACD" w:rsidRPr="00CA2ACD">
          <w:footerReference w:type="default" r:id="rId11"/>
          <w:pgSz w:w="11906" w:h="16838"/>
          <w:pgMar w:top="1440" w:right="1440" w:bottom="1440" w:left="1440" w:header="708" w:footer="708" w:gutter="0"/>
          <w:cols w:space="708"/>
          <w:docGrid w:linePitch="360"/>
        </w:sectPr>
      </w:pPr>
      <w:r w:rsidRPr="00CA2ACD">
        <w:rPr>
          <w:rFonts w:ascii="Arial" w:eastAsia="Times New Roman" w:hAnsi="Arial" w:cs="Times New Roman"/>
          <w:color w:val="0E787C"/>
          <w:spacing w:val="-10"/>
          <w:kern w:val="28"/>
          <w:sz w:val="80"/>
          <w:szCs w:val="56"/>
        </w:rPr>
        <w:t>Departm</w:t>
      </w:r>
      <w:bookmarkStart w:id="0" w:name="_GoBack"/>
      <w:bookmarkEnd w:id="0"/>
      <w:r w:rsidRPr="00CA2ACD">
        <w:rPr>
          <w:rFonts w:ascii="Arial" w:eastAsia="Times New Roman" w:hAnsi="Arial" w:cs="Times New Roman"/>
          <w:color w:val="0E787C"/>
          <w:spacing w:val="-10"/>
          <w:kern w:val="28"/>
          <w:sz w:val="80"/>
          <w:szCs w:val="56"/>
        </w:rPr>
        <w:t>ent of Transport - Annual Report 2019</w:t>
      </w:r>
      <w:r>
        <w:rPr>
          <w:rFonts w:ascii="Arial" w:eastAsia="Times New Roman" w:hAnsi="Arial" w:cs="Times New Roman"/>
          <w:color w:val="0E787C"/>
          <w:spacing w:val="-10"/>
          <w:kern w:val="28"/>
          <w:sz w:val="80"/>
          <w:szCs w:val="56"/>
        </w:rPr>
        <w:t>-20</w:t>
      </w:r>
    </w:p>
    <w:p w14:paraId="5D6E057A" w14:textId="77777777" w:rsidR="003E5BF5" w:rsidRPr="00DE1921" w:rsidRDefault="003E5BF5" w:rsidP="00DE1921">
      <w:pPr>
        <w:pStyle w:val="aaatyping"/>
      </w:pPr>
      <w:r w:rsidRPr="00DE1921">
        <w:lastRenderedPageBreak/>
        <w:t xml:space="preserve">Authorised and published by the Victorian Government. </w:t>
      </w:r>
    </w:p>
    <w:p w14:paraId="694CA658" w14:textId="77777777" w:rsidR="003E5BF5" w:rsidRPr="004D4DBA" w:rsidRDefault="003E5BF5" w:rsidP="00DE1921">
      <w:pPr>
        <w:pStyle w:val="aaatyping"/>
      </w:pPr>
      <w:r>
        <w:t>Department of Transport</w:t>
      </w:r>
    </w:p>
    <w:p w14:paraId="3C965C61" w14:textId="77777777" w:rsidR="003E5BF5" w:rsidRPr="004D4DBA" w:rsidRDefault="003E5BF5" w:rsidP="00DE1921">
      <w:pPr>
        <w:pStyle w:val="aaatyping"/>
      </w:pPr>
      <w:r w:rsidRPr="004D4DBA">
        <w:t>1 Spring Street, Melbourne, VIC 3000</w:t>
      </w:r>
    </w:p>
    <w:p w14:paraId="6F62C9FB" w14:textId="77777777" w:rsidR="003E5BF5" w:rsidRPr="004D4DBA" w:rsidRDefault="003E5BF5" w:rsidP="00DE1921">
      <w:pPr>
        <w:pStyle w:val="aaatyping"/>
      </w:pPr>
      <w:r w:rsidRPr="004D4DBA">
        <w:t xml:space="preserve">Telephone (03) </w:t>
      </w:r>
      <w:r>
        <w:t>9655</w:t>
      </w:r>
      <w:r w:rsidRPr="004D4DBA">
        <w:t xml:space="preserve"> </w:t>
      </w:r>
      <w:r>
        <w:t>6666</w:t>
      </w:r>
    </w:p>
    <w:p w14:paraId="3BEB8CBB" w14:textId="77777777" w:rsidR="003E5BF5" w:rsidRPr="004D4DBA" w:rsidRDefault="003E5BF5" w:rsidP="00DE1921">
      <w:pPr>
        <w:pStyle w:val="aaatyping"/>
      </w:pPr>
      <w:r w:rsidRPr="004D4DBA">
        <w:t xml:space="preserve">September </w:t>
      </w:r>
      <w:r>
        <w:t>2020</w:t>
      </w:r>
    </w:p>
    <w:p w14:paraId="721F58F1" w14:textId="77777777" w:rsidR="003E5BF5" w:rsidRPr="004B5C2C" w:rsidRDefault="003E5BF5" w:rsidP="00DE1921">
      <w:pPr>
        <w:pStyle w:val="aaatyping"/>
      </w:pPr>
      <w:r w:rsidRPr="004B5C2C">
        <w:t xml:space="preserve">ISSN </w:t>
      </w:r>
      <w:r>
        <w:t>2652-208X</w:t>
      </w:r>
      <w:r w:rsidRPr="004B5C2C">
        <w:t xml:space="preserve"> (print)</w:t>
      </w:r>
    </w:p>
    <w:p w14:paraId="37A408B7" w14:textId="77777777" w:rsidR="003E5BF5" w:rsidRPr="004B5C2C" w:rsidRDefault="003E5BF5" w:rsidP="00DE1921">
      <w:pPr>
        <w:pStyle w:val="aaatyping"/>
      </w:pPr>
      <w:r w:rsidRPr="004B5C2C">
        <w:t xml:space="preserve">ISSN </w:t>
      </w:r>
      <w:r>
        <w:t>2652-2098</w:t>
      </w:r>
      <w:r w:rsidRPr="004B5C2C">
        <w:t xml:space="preserve"> (online)</w:t>
      </w:r>
    </w:p>
    <w:p w14:paraId="35DF054E" w14:textId="77777777" w:rsidR="003E5BF5" w:rsidRPr="004D4DBA" w:rsidRDefault="003E5BF5" w:rsidP="00DE1921">
      <w:pPr>
        <w:pStyle w:val="aaatyping"/>
      </w:pPr>
      <w:r w:rsidRPr="004D4DBA">
        <w:t>Print managed by Finsbury Green</w:t>
      </w:r>
    </w:p>
    <w:p w14:paraId="47DB56FB" w14:textId="77777777" w:rsidR="003E5BF5" w:rsidRPr="004D4DBA" w:rsidRDefault="003E5BF5" w:rsidP="00DE1921">
      <w:pPr>
        <w:pStyle w:val="aaatyping"/>
      </w:pPr>
      <w:r w:rsidRPr="004D4DBA">
        <w:t xml:space="preserve">Printed on </w:t>
      </w:r>
      <w:proofErr w:type="spellStart"/>
      <w:r w:rsidRPr="004D4DBA">
        <w:t>Ecostar</w:t>
      </w:r>
      <w:proofErr w:type="spellEnd"/>
      <w:r w:rsidRPr="004D4DBA">
        <w:t xml:space="preserve"> (F</w:t>
      </w:r>
      <w:r>
        <w:t>SC</w:t>
      </w:r>
      <w:r w:rsidRPr="004D4DBA">
        <w:t>)</w:t>
      </w:r>
    </w:p>
    <w:p w14:paraId="44A4A643" w14:textId="77777777" w:rsidR="003E5BF5" w:rsidRDefault="003E5BF5" w:rsidP="00DE1921">
      <w:pPr>
        <w:pStyle w:val="aaatyping"/>
      </w:pPr>
      <w:r w:rsidRPr="004D4DBA">
        <w:t>100% recycled paper</w:t>
      </w:r>
    </w:p>
    <w:p w14:paraId="2EA521E5" w14:textId="77777777" w:rsidR="00D52DFD" w:rsidRDefault="003E5BF5" w:rsidP="00DE1921">
      <w:pPr>
        <w:pStyle w:val="aaatyping"/>
      </w:pPr>
      <w:r w:rsidRPr="004D4DBA">
        <w:t>Unless indicated otherwise, this work</w:t>
      </w:r>
      <w:r w:rsidR="005F3811">
        <w:t xml:space="preserve"> </w:t>
      </w:r>
      <w:r w:rsidRPr="004D4DBA">
        <w:t>is made available under the terms of</w:t>
      </w:r>
      <w:r w:rsidR="00D52DFD">
        <w:t xml:space="preserve"> </w:t>
      </w:r>
      <w:r w:rsidRPr="004D4DBA">
        <w:t>the Creative Commons Attribution 3.0 Australia</w:t>
      </w:r>
      <w:r w:rsidR="00D52DFD">
        <w:t xml:space="preserve"> </w:t>
      </w:r>
    </w:p>
    <w:p w14:paraId="7B28066A" w14:textId="5A7ECC64" w:rsidR="00D52DFD" w:rsidRDefault="003E5BF5" w:rsidP="00DE1921">
      <w:pPr>
        <w:pStyle w:val="aaatyping"/>
      </w:pPr>
      <w:r w:rsidRPr="004D4DBA">
        <w:t>Licence. To view a copy of this licence, visit</w:t>
      </w:r>
      <w:r w:rsidR="00D52DFD">
        <w:t xml:space="preserve"> </w:t>
      </w:r>
      <w:hyperlink r:id="rId12" w:history="1">
        <w:r w:rsidRPr="0033745F">
          <w:rPr>
            <w:rStyle w:val="Hyperlink"/>
            <w:rFonts w:ascii="Arial" w:hAnsi="Arial"/>
          </w:rPr>
          <w:t>creativecommons.org/licenses/by/3.0/au</w:t>
        </w:r>
      </w:hyperlink>
      <w:r w:rsidR="00D52DFD">
        <w:t xml:space="preserve"> </w:t>
      </w:r>
    </w:p>
    <w:p w14:paraId="25161B97" w14:textId="38B72091" w:rsidR="003E5BF5" w:rsidRPr="004D4DBA" w:rsidRDefault="003E5BF5" w:rsidP="00DE1921">
      <w:pPr>
        <w:pStyle w:val="aaatyping"/>
      </w:pPr>
      <w:r w:rsidRPr="004D4DBA">
        <w:t>It is a condition of this Creative Commons</w:t>
      </w:r>
      <w:r w:rsidR="00D52DFD">
        <w:t xml:space="preserve"> </w:t>
      </w:r>
      <w:r w:rsidRPr="004D4DBA">
        <w:t>Attribution 3.0 Licence that you must give</w:t>
      </w:r>
      <w:r w:rsidR="00D52DFD">
        <w:t xml:space="preserve"> </w:t>
      </w:r>
      <w:r w:rsidRPr="004D4DBA">
        <w:t>credit to the original author who is the</w:t>
      </w:r>
      <w:r w:rsidR="00D52DFD">
        <w:t xml:space="preserve"> </w:t>
      </w:r>
      <w:r w:rsidRPr="004D4DBA">
        <w:t>State of Victoria.</w:t>
      </w:r>
    </w:p>
    <w:p w14:paraId="4BC53923" w14:textId="77777777" w:rsidR="003E5BF5" w:rsidRPr="008A2B25" w:rsidRDefault="003E5BF5" w:rsidP="00DE1921">
      <w:pPr>
        <w:pStyle w:val="aaatyping"/>
      </w:pPr>
      <w:r w:rsidRPr="008A2B25">
        <w:t>Accessibility</w:t>
      </w:r>
    </w:p>
    <w:p w14:paraId="78AF275F" w14:textId="501C8B53" w:rsidR="00376CC0" w:rsidRDefault="003E5BF5" w:rsidP="00DE1921">
      <w:pPr>
        <w:pStyle w:val="aaatyping"/>
      </w:pPr>
      <w:r w:rsidRPr="002A3988">
        <w:t xml:space="preserve">If you would like to receive this publication in an accessible format, such as large print or audio, telephone 03 9651 9999 or email </w:t>
      </w:r>
      <w:hyperlink r:id="rId13" w:history="1">
        <w:r w:rsidR="00870C6B" w:rsidRPr="00F70861">
          <w:rPr>
            <w:rStyle w:val="Hyperlink"/>
            <w:rFonts w:ascii="Arial" w:hAnsi="Arial"/>
          </w:rPr>
          <w:t>dotinternalcommunications@transport.vic.gov.au</w:t>
        </w:r>
      </w:hyperlink>
    </w:p>
    <w:p w14:paraId="01B6644E" w14:textId="332121B3" w:rsidR="00B47B5A" w:rsidRDefault="003E5BF5" w:rsidP="00DE1921">
      <w:pPr>
        <w:pStyle w:val="aaatyping"/>
        <w:rPr>
          <w:rStyle w:val="Hyperlink"/>
          <w:rFonts w:ascii="Arial" w:hAnsi="Arial"/>
          <w:sz w:val="24"/>
        </w:rPr>
      </w:pPr>
      <w:r w:rsidRPr="002A3988">
        <w:lastRenderedPageBreak/>
        <w:t xml:space="preserve">This document is also available in accessible Word and PDF format at </w:t>
      </w:r>
      <w:r w:rsidR="00F3596C">
        <w:t xml:space="preserve">the </w:t>
      </w:r>
      <w:r w:rsidR="00F3596C" w:rsidRPr="00D163D5">
        <w:t>Department of Transport</w:t>
      </w:r>
      <w:r w:rsidR="00F3596C">
        <w:t xml:space="preserve">’s Governance Reporting page: </w:t>
      </w:r>
      <w:hyperlink r:id="rId14" w:history="1">
        <w:r w:rsidRPr="00DE1921">
          <w:rPr>
            <w:rStyle w:val="Hyperlink"/>
            <w:rFonts w:ascii="Arial" w:hAnsi="Arial"/>
          </w:rPr>
          <w:t>transport.vic.gov.au</w:t>
        </w:r>
        <w:r w:rsidRPr="00DE1921">
          <w:rPr>
            <w:rStyle w:val="Hyperlink"/>
            <w:rFonts w:ascii="Arial" w:hAnsi="Arial"/>
            <w:sz w:val="24"/>
          </w:rPr>
          <w:t xml:space="preserve"> </w:t>
        </w:r>
      </w:hyperlink>
    </w:p>
    <w:p w14:paraId="2BD9CE39" w14:textId="77777777" w:rsidR="007D1A94" w:rsidRDefault="007D1A94" w:rsidP="00DE1921">
      <w:pPr>
        <w:pStyle w:val="aaatyping"/>
        <w:rPr>
          <w:rStyle w:val="Hyperlink"/>
          <w:rFonts w:ascii="Arial" w:hAnsi="Arial"/>
          <w:sz w:val="24"/>
        </w:rPr>
      </w:pPr>
    </w:p>
    <w:p w14:paraId="48E1D5A0" w14:textId="4D32AB13" w:rsidR="007D1A94" w:rsidRDefault="007D1A94" w:rsidP="00DE1921">
      <w:pPr>
        <w:pStyle w:val="aaatyping"/>
        <w:rPr>
          <w:rStyle w:val="Hyperlink"/>
          <w:rFonts w:ascii="Arial" w:hAnsi="Arial"/>
          <w:sz w:val="24"/>
        </w:rPr>
        <w:sectPr w:rsidR="007D1A94" w:rsidSect="00DE1921">
          <w:pgSz w:w="11906" w:h="16838"/>
          <w:pgMar w:top="1440" w:right="1440" w:bottom="1440" w:left="1440" w:header="708" w:footer="708" w:gutter="0"/>
          <w:cols w:space="708"/>
          <w:docGrid w:linePitch="360"/>
        </w:sectPr>
      </w:pPr>
    </w:p>
    <w:p w14:paraId="3E5667BA" w14:textId="77777777" w:rsidR="003E5BF5" w:rsidRPr="008A0170" w:rsidRDefault="003E5BF5" w:rsidP="008A0170">
      <w:pPr>
        <w:pStyle w:val="Heading1"/>
      </w:pPr>
      <w:bookmarkStart w:id="1" w:name="_Toc55130672"/>
      <w:r w:rsidRPr="008A0170">
        <w:lastRenderedPageBreak/>
        <w:t>CONTENTS</w:t>
      </w:r>
      <w:bookmarkEnd w:id="1"/>
    </w:p>
    <w:p w14:paraId="13D61D85" w14:textId="77777777" w:rsidR="003E5BF5" w:rsidRPr="00CE2C4C" w:rsidRDefault="003E5BF5" w:rsidP="00DE1921"/>
    <w:p w14:paraId="3EC0A499" w14:textId="4F3DF80D" w:rsidR="001043AC" w:rsidRPr="00F4158C" w:rsidRDefault="001043AC" w:rsidP="00BB2413">
      <w:pPr>
        <w:pStyle w:val="TOC1"/>
      </w:pPr>
      <w:r w:rsidRPr="00F4158C">
        <w:fldChar w:fldCharType="begin"/>
      </w:r>
      <w:r w:rsidRPr="00F4158C">
        <w:instrText xml:space="preserve"> TOC \o "1-1" \h \z \u </w:instrText>
      </w:r>
      <w:r w:rsidRPr="00F4158C">
        <w:fldChar w:fldCharType="separate"/>
      </w:r>
      <w:hyperlink w:anchor="_Toc55130673" w:history="1">
        <w:r w:rsidRPr="00F4158C">
          <w:rPr>
            <w:rStyle w:val="Hyperlink"/>
            <w:rFonts w:ascii="Arial" w:hAnsi="Arial"/>
            <w:u w:val="none"/>
          </w:rPr>
          <w:t>Section 1 – Overview</w:t>
        </w:r>
        <w:r w:rsidRPr="00F4158C">
          <w:rPr>
            <w:webHidden/>
          </w:rPr>
          <w:tab/>
        </w:r>
        <w:r w:rsidRPr="00F4158C">
          <w:rPr>
            <w:webHidden/>
          </w:rPr>
          <w:fldChar w:fldCharType="begin"/>
        </w:r>
        <w:r w:rsidRPr="00F4158C">
          <w:rPr>
            <w:webHidden/>
          </w:rPr>
          <w:instrText xml:space="preserve"> PAGEREF _Toc55130673 \h </w:instrText>
        </w:r>
        <w:r w:rsidRPr="00F4158C">
          <w:rPr>
            <w:webHidden/>
          </w:rPr>
        </w:r>
        <w:r w:rsidRPr="00F4158C">
          <w:rPr>
            <w:webHidden/>
          </w:rPr>
          <w:fldChar w:fldCharType="separate"/>
        </w:r>
        <w:r w:rsidR="00A343C2">
          <w:rPr>
            <w:webHidden/>
          </w:rPr>
          <w:t>5</w:t>
        </w:r>
        <w:r w:rsidRPr="00F4158C">
          <w:rPr>
            <w:webHidden/>
          </w:rPr>
          <w:fldChar w:fldCharType="end"/>
        </w:r>
      </w:hyperlink>
    </w:p>
    <w:p w14:paraId="5DD4307E" w14:textId="3751F288" w:rsidR="001043AC" w:rsidRPr="00F4158C" w:rsidRDefault="009B2DDD" w:rsidP="00BB2413">
      <w:pPr>
        <w:pStyle w:val="TOC1"/>
      </w:pPr>
      <w:hyperlink w:anchor="_Toc55130682" w:history="1">
        <w:r w:rsidR="001043AC" w:rsidRPr="00F4158C">
          <w:rPr>
            <w:rStyle w:val="Hyperlink"/>
            <w:rFonts w:ascii="Arial" w:hAnsi="Arial"/>
            <w:u w:val="none"/>
          </w:rPr>
          <w:t>Section 2 – Financial Performance</w:t>
        </w:r>
        <w:r w:rsidR="001043AC" w:rsidRPr="00F4158C">
          <w:rPr>
            <w:webHidden/>
          </w:rPr>
          <w:tab/>
        </w:r>
        <w:r w:rsidR="001043AC" w:rsidRPr="00F4158C">
          <w:rPr>
            <w:webHidden/>
          </w:rPr>
          <w:fldChar w:fldCharType="begin"/>
        </w:r>
        <w:r w:rsidR="001043AC" w:rsidRPr="00F4158C">
          <w:rPr>
            <w:webHidden/>
          </w:rPr>
          <w:instrText xml:space="preserve"> PAGEREF _Toc55130682 \h </w:instrText>
        </w:r>
        <w:r w:rsidR="001043AC" w:rsidRPr="00F4158C">
          <w:rPr>
            <w:webHidden/>
          </w:rPr>
        </w:r>
        <w:r w:rsidR="001043AC" w:rsidRPr="00F4158C">
          <w:rPr>
            <w:webHidden/>
          </w:rPr>
          <w:fldChar w:fldCharType="separate"/>
        </w:r>
        <w:r w:rsidR="00A343C2">
          <w:rPr>
            <w:webHidden/>
          </w:rPr>
          <w:t>43</w:t>
        </w:r>
        <w:r w:rsidR="001043AC" w:rsidRPr="00F4158C">
          <w:rPr>
            <w:webHidden/>
          </w:rPr>
          <w:fldChar w:fldCharType="end"/>
        </w:r>
      </w:hyperlink>
    </w:p>
    <w:p w14:paraId="5EEAF030" w14:textId="6FEF543E" w:rsidR="001043AC" w:rsidRPr="00F4158C" w:rsidRDefault="009B2DDD" w:rsidP="00F4158C">
      <w:pPr>
        <w:pStyle w:val="TOC1"/>
      </w:pPr>
      <w:hyperlink w:anchor="_Toc55130698" w:history="1">
        <w:r w:rsidR="001043AC" w:rsidRPr="00F4158C">
          <w:rPr>
            <w:rStyle w:val="Hyperlink"/>
            <w:rFonts w:ascii="Arial" w:hAnsi="Arial"/>
            <w:u w:val="none"/>
          </w:rPr>
          <w:t>Section 3 – Non-financial Performance</w:t>
        </w:r>
        <w:r w:rsidR="001043AC" w:rsidRPr="00F4158C">
          <w:rPr>
            <w:webHidden/>
          </w:rPr>
          <w:tab/>
        </w:r>
        <w:r w:rsidR="001043AC" w:rsidRPr="00F4158C">
          <w:rPr>
            <w:webHidden/>
          </w:rPr>
          <w:fldChar w:fldCharType="begin"/>
        </w:r>
        <w:r w:rsidR="001043AC" w:rsidRPr="00F4158C">
          <w:rPr>
            <w:webHidden/>
          </w:rPr>
          <w:instrText xml:space="preserve"> PAGEREF _Toc55130698 \h </w:instrText>
        </w:r>
        <w:r w:rsidR="001043AC" w:rsidRPr="00F4158C">
          <w:rPr>
            <w:webHidden/>
          </w:rPr>
        </w:r>
        <w:r w:rsidR="001043AC" w:rsidRPr="00F4158C">
          <w:rPr>
            <w:webHidden/>
          </w:rPr>
          <w:fldChar w:fldCharType="separate"/>
        </w:r>
        <w:r w:rsidR="00A343C2">
          <w:rPr>
            <w:webHidden/>
          </w:rPr>
          <w:t>335</w:t>
        </w:r>
        <w:r w:rsidR="001043AC" w:rsidRPr="00F4158C">
          <w:rPr>
            <w:webHidden/>
          </w:rPr>
          <w:fldChar w:fldCharType="end"/>
        </w:r>
      </w:hyperlink>
    </w:p>
    <w:p w14:paraId="7931A460" w14:textId="224A2F5A" w:rsidR="001043AC" w:rsidRPr="00F4158C" w:rsidRDefault="009B2DDD" w:rsidP="00F4158C">
      <w:pPr>
        <w:pStyle w:val="TOC1"/>
      </w:pPr>
      <w:hyperlink w:anchor="_Toc55130701" w:history="1">
        <w:r w:rsidR="001043AC" w:rsidRPr="00F4158C">
          <w:rPr>
            <w:rStyle w:val="Hyperlink"/>
            <w:rFonts w:ascii="Arial" w:hAnsi="Arial"/>
            <w:u w:val="none"/>
          </w:rPr>
          <w:t>Section 4 – Appendices</w:t>
        </w:r>
        <w:r w:rsidR="001043AC" w:rsidRPr="00F4158C">
          <w:rPr>
            <w:webHidden/>
          </w:rPr>
          <w:tab/>
        </w:r>
        <w:r w:rsidR="001043AC" w:rsidRPr="00F4158C">
          <w:rPr>
            <w:webHidden/>
          </w:rPr>
          <w:fldChar w:fldCharType="begin"/>
        </w:r>
        <w:r w:rsidR="001043AC" w:rsidRPr="00F4158C">
          <w:rPr>
            <w:webHidden/>
          </w:rPr>
          <w:instrText xml:space="preserve"> PAGEREF _Toc55130701 \h </w:instrText>
        </w:r>
        <w:r w:rsidR="001043AC" w:rsidRPr="00F4158C">
          <w:rPr>
            <w:webHidden/>
          </w:rPr>
        </w:r>
        <w:r w:rsidR="001043AC" w:rsidRPr="00F4158C">
          <w:rPr>
            <w:webHidden/>
          </w:rPr>
          <w:fldChar w:fldCharType="separate"/>
        </w:r>
        <w:r w:rsidR="00A343C2">
          <w:rPr>
            <w:webHidden/>
          </w:rPr>
          <w:t>390</w:t>
        </w:r>
        <w:r w:rsidR="001043AC" w:rsidRPr="00F4158C">
          <w:rPr>
            <w:webHidden/>
          </w:rPr>
          <w:fldChar w:fldCharType="end"/>
        </w:r>
      </w:hyperlink>
    </w:p>
    <w:p w14:paraId="007BE074" w14:textId="20280482" w:rsidR="001043AC" w:rsidRPr="00F4158C" w:rsidRDefault="009B2DDD" w:rsidP="00F4158C">
      <w:pPr>
        <w:pStyle w:val="TOC1"/>
      </w:pPr>
      <w:hyperlink w:anchor="_Toc55130702" w:history="1">
        <w:r w:rsidR="001043AC" w:rsidRPr="00F4158C">
          <w:rPr>
            <w:rStyle w:val="Hyperlink"/>
            <w:rFonts w:ascii="Arial" w:hAnsi="Arial"/>
            <w:u w:val="none"/>
          </w:rPr>
          <w:t>Appendix 1: People and workplace</w:t>
        </w:r>
        <w:r w:rsidR="001043AC" w:rsidRPr="00F4158C">
          <w:rPr>
            <w:webHidden/>
          </w:rPr>
          <w:tab/>
        </w:r>
        <w:r w:rsidR="001043AC" w:rsidRPr="00F4158C">
          <w:rPr>
            <w:webHidden/>
          </w:rPr>
          <w:fldChar w:fldCharType="begin"/>
        </w:r>
        <w:r w:rsidR="001043AC" w:rsidRPr="00F4158C">
          <w:rPr>
            <w:webHidden/>
          </w:rPr>
          <w:instrText xml:space="preserve"> PAGEREF _Toc55130702 \h </w:instrText>
        </w:r>
        <w:r w:rsidR="001043AC" w:rsidRPr="00F4158C">
          <w:rPr>
            <w:webHidden/>
          </w:rPr>
        </w:r>
        <w:r w:rsidR="001043AC" w:rsidRPr="00F4158C">
          <w:rPr>
            <w:webHidden/>
          </w:rPr>
          <w:fldChar w:fldCharType="separate"/>
        </w:r>
        <w:r w:rsidR="00A343C2">
          <w:rPr>
            <w:webHidden/>
          </w:rPr>
          <w:t>390</w:t>
        </w:r>
        <w:r w:rsidR="001043AC" w:rsidRPr="00F4158C">
          <w:rPr>
            <w:webHidden/>
          </w:rPr>
          <w:fldChar w:fldCharType="end"/>
        </w:r>
      </w:hyperlink>
    </w:p>
    <w:p w14:paraId="2B5E7312" w14:textId="5B21B4DB" w:rsidR="001043AC" w:rsidRPr="00F4158C" w:rsidRDefault="009B2DDD" w:rsidP="00F4158C">
      <w:pPr>
        <w:pStyle w:val="TOC1"/>
      </w:pPr>
      <w:hyperlink w:anchor="_Toc55130703" w:history="1">
        <w:r w:rsidR="001043AC" w:rsidRPr="00F4158C">
          <w:rPr>
            <w:rStyle w:val="Hyperlink"/>
            <w:rFonts w:ascii="Arial" w:hAnsi="Arial"/>
            <w:u w:val="none"/>
          </w:rPr>
          <w:t>Appendix 2: Budget portfolio outcomes</w:t>
        </w:r>
        <w:r w:rsidR="001043AC" w:rsidRPr="00F4158C">
          <w:rPr>
            <w:webHidden/>
          </w:rPr>
          <w:tab/>
        </w:r>
        <w:r w:rsidR="001043AC" w:rsidRPr="00F4158C">
          <w:rPr>
            <w:webHidden/>
          </w:rPr>
          <w:fldChar w:fldCharType="begin"/>
        </w:r>
        <w:r w:rsidR="001043AC" w:rsidRPr="00F4158C">
          <w:rPr>
            <w:webHidden/>
          </w:rPr>
          <w:instrText xml:space="preserve"> PAGEREF _Toc55130703 \h </w:instrText>
        </w:r>
        <w:r w:rsidR="001043AC" w:rsidRPr="00F4158C">
          <w:rPr>
            <w:webHidden/>
          </w:rPr>
        </w:r>
        <w:r w:rsidR="001043AC" w:rsidRPr="00F4158C">
          <w:rPr>
            <w:webHidden/>
          </w:rPr>
          <w:fldChar w:fldCharType="separate"/>
        </w:r>
        <w:r w:rsidR="00A343C2">
          <w:rPr>
            <w:webHidden/>
          </w:rPr>
          <w:t>424</w:t>
        </w:r>
        <w:r w:rsidR="001043AC" w:rsidRPr="00F4158C">
          <w:rPr>
            <w:webHidden/>
          </w:rPr>
          <w:fldChar w:fldCharType="end"/>
        </w:r>
      </w:hyperlink>
    </w:p>
    <w:p w14:paraId="61714478" w14:textId="1B00AC82" w:rsidR="001043AC" w:rsidRPr="00F4158C" w:rsidRDefault="009B2DDD" w:rsidP="00F4158C">
      <w:pPr>
        <w:pStyle w:val="TOC1"/>
      </w:pPr>
      <w:hyperlink w:anchor="_Toc55130704" w:history="1">
        <w:r w:rsidR="001043AC" w:rsidRPr="00F4158C">
          <w:rPr>
            <w:rStyle w:val="Hyperlink"/>
            <w:rFonts w:ascii="Arial" w:hAnsi="Arial"/>
            <w:u w:val="none"/>
          </w:rPr>
          <w:t>Appendix 3: Capital projects/asset investment programs</w:t>
        </w:r>
        <w:r w:rsidR="001043AC" w:rsidRPr="00F4158C">
          <w:rPr>
            <w:webHidden/>
          </w:rPr>
          <w:tab/>
        </w:r>
        <w:r w:rsidR="001043AC" w:rsidRPr="00F4158C">
          <w:rPr>
            <w:webHidden/>
          </w:rPr>
          <w:fldChar w:fldCharType="begin"/>
        </w:r>
        <w:r w:rsidR="001043AC" w:rsidRPr="00F4158C">
          <w:rPr>
            <w:webHidden/>
          </w:rPr>
          <w:instrText xml:space="preserve"> PAGEREF _Toc55130704 \h </w:instrText>
        </w:r>
        <w:r w:rsidR="001043AC" w:rsidRPr="00F4158C">
          <w:rPr>
            <w:webHidden/>
          </w:rPr>
        </w:r>
        <w:r w:rsidR="001043AC" w:rsidRPr="00F4158C">
          <w:rPr>
            <w:webHidden/>
          </w:rPr>
          <w:fldChar w:fldCharType="separate"/>
        </w:r>
        <w:r w:rsidR="00A343C2">
          <w:rPr>
            <w:webHidden/>
          </w:rPr>
          <w:t>436</w:t>
        </w:r>
        <w:r w:rsidR="001043AC" w:rsidRPr="00F4158C">
          <w:rPr>
            <w:webHidden/>
          </w:rPr>
          <w:fldChar w:fldCharType="end"/>
        </w:r>
      </w:hyperlink>
    </w:p>
    <w:p w14:paraId="515C8726" w14:textId="319C1746" w:rsidR="001043AC" w:rsidRPr="00F4158C" w:rsidRDefault="009B2DDD" w:rsidP="00F4158C">
      <w:pPr>
        <w:pStyle w:val="TOC1"/>
      </w:pPr>
      <w:hyperlink w:anchor="_Toc55130705" w:history="1">
        <w:r w:rsidR="001043AC" w:rsidRPr="00F4158C">
          <w:rPr>
            <w:rStyle w:val="Hyperlink"/>
            <w:rFonts w:ascii="Arial" w:hAnsi="Arial"/>
            <w:u w:val="none"/>
          </w:rPr>
          <w:t>Appendix 4: Disclosure of grants and transfer payments</w:t>
        </w:r>
        <w:r w:rsidR="001043AC" w:rsidRPr="00F4158C">
          <w:rPr>
            <w:webHidden/>
          </w:rPr>
          <w:tab/>
        </w:r>
        <w:r w:rsidR="001043AC" w:rsidRPr="00F4158C">
          <w:rPr>
            <w:webHidden/>
          </w:rPr>
          <w:fldChar w:fldCharType="begin"/>
        </w:r>
        <w:r w:rsidR="001043AC" w:rsidRPr="00F4158C">
          <w:rPr>
            <w:webHidden/>
          </w:rPr>
          <w:instrText xml:space="preserve"> PAGEREF _Toc55130705 \h </w:instrText>
        </w:r>
        <w:r w:rsidR="001043AC" w:rsidRPr="00F4158C">
          <w:rPr>
            <w:webHidden/>
          </w:rPr>
        </w:r>
        <w:r w:rsidR="001043AC" w:rsidRPr="00F4158C">
          <w:rPr>
            <w:webHidden/>
          </w:rPr>
          <w:fldChar w:fldCharType="separate"/>
        </w:r>
        <w:r w:rsidR="00A343C2">
          <w:rPr>
            <w:webHidden/>
          </w:rPr>
          <w:t>441</w:t>
        </w:r>
        <w:r w:rsidR="001043AC" w:rsidRPr="00F4158C">
          <w:rPr>
            <w:webHidden/>
          </w:rPr>
          <w:fldChar w:fldCharType="end"/>
        </w:r>
      </w:hyperlink>
    </w:p>
    <w:p w14:paraId="65B98CFA" w14:textId="21F0590E" w:rsidR="001043AC" w:rsidRPr="00F4158C" w:rsidRDefault="009B2DDD" w:rsidP="00F4158C">
      <w:pPr>
        <w:pStyle w:val="TOC1"/>
      </w:pPr>
      <w:hyperlink w:anchor="_Toc55130706" w:history="1">
        <w:r w:rsidR="001043AC" w:rsidRPr="00F4158C">
          <w:rPr>
            <w:rStyle w:val="Hyperlink"/>
            <w:rFonts w:ascii="Arial" w:hAnsi="Arial"/>
            <w:u w:val="none"/>
          </w:rPr>
          <w:t>Appendix 5: Victorian Transport Fund</w:t>
        </w:r>
        <w:r w:rsidR="001043AC" w:rsidRPr="00F4158C">
          <w:rPr>
            <w:webHidden/>
          </w:rPr>
          <w:tab/>
        </w:r>
        <w:r w:rsidR="001043AC" w:rsidRPr="00F4158C">
          <w:rPr>
            <w:webHidden/>
          </w:rPr>
          <w:fldChar w:fldCharType="begin"/>
        </w:r>
        <w:r w:rsidR="001043AC" w:rsidRPr="00F4158C">
          <w:rPr>
            <w:webHidden/>
          </w:rPr>
          <w:instrText xml:space="preserve"> PAGEREF _Toc55130706 \h </w:instrText>
        </w:r>
        <w:r w:rsidR="001043AC" w:rsidRPr="00F4158C">
          <w:rPr>
            <w:webHidden/>
          </w:rPr>
        </w:r>
        <w:r w:rsidR="001043AC" w:rsidRPr="00F4158C">
          <w:rPr>
            <w:webHidden/>
          </w:rPr>
          <w:fldChar w:fldCharType="separate"/>
        </w:r>
        <w:r w:rsidR="00A343C2">
          <w:rPr>
            <w:webHidden/>
          </w:rPr>
          <w:t>444</w:t>
        </w:r>
        <w:r w:rsidR="001043AC" w:rsidRPr="00F4158C">
          <w:rPr>
            <w:webHidden/>
          </w:rPr>
          <w:fldChar w:fldCharType="end"/>
        </w:r>
      </w:hyperlink>
    </w:p>
    <w:p w14:paraId="1A623A4D" w14:textId="7C16A8F7" w:rsidR="001043AC" w:rsidRPr="00F4158C" w:rsidRDefault="009B2DDD" w:rsidP="00F4158C">
      <w:pPr>
        <w:pStyle w:val="TOC1"/>
      </w:pPr>
      <w:hyperlink w:anchor="_Toc55130707" w:history="1">
        <w:r w:rsidR="001043AC" w:rsidRPr="00F4158C">
          <w:rPr>
            <w:rStyle w:val="Hyperlink"/>
            <w:rFonts w:ascii="Arial" w:hAnsi="Arial"/>
            <w:u w:val="none"/>
          </w:rPr>
          <w:t>Appendix 6: Better Roads Victoria</w:t>
        </w:r>
        <w:r w:rsidR="001043AC" w:rsidRPr="00F4158C">
          <w:rPr>
            <w:webHidden/>
          </w:rPr>
          <w:tab/>
        </w:r>
        <w:r w:rsidR="001043AC" w:rsidRPr="00F4158C">
          <w:rPr>
            <w:webHidden/>
          </w:rPr>
          <w:fldChar w:fldCharType="begin"/>
        </w:r>
        <w:r w:rsidR="001043AC" w:rsidRPr="00F4158C">
          <w:rPr>
            <w:webHidden/>
          </w:rPr>
          <w:instrText xml:space="preserve"> PAGEREF _Toc55130707 \h </w:instrText>
        </w:r>
        <w:r w:rsidR="001043AC" w:rsidRPr="00F4158C">
          <w:rPr>
            <w:webHidden/>
          </w:rPr>
        </w:r>
        <w:r w:rsidR="001043AC" w:rsidRPr="00F4158C">
          <w:rPr>
            <w:webHidden/>
          </w:rPr>
          <w:fldChar w:fldCharType="separate"/>
        </w:r>
        <w:r w:rsidR="00A343C2">
          <w:rPr>
            <w:webHidden/>
          </w:rPr>
          <w:t>445</w:t>
        </w:r>
        <w:r w:rsidR="001043AC" w:rsidRPr="00F4158C">
          <w:rPr>
            <w:webHidden/>
          </w:rPr>
          <w:fldChar w:fldCharType="end"/>
        </w:r>
      </w:hyperlink>
    </w:p>
    <w:p w14:paraId="45634987" w14:textId="4F283B60" w:rsidR="001043AC" w:rsidRPr="00F4158C" w:rsidRDefault="009B2DDD" w:rsidP="00F4158C">
      <w:pPr>
        <w:pStyle w:val="TOC1"/>
      </w:pPr>
      <w:hyperlink w:anchor="_Toc55130708" w:history="1">
        <w:r w:rsidR="001043AC" w:rsidRPr="00F4158C">
          <w:rPr>
            <w:rStyle w:val="Hyperlink"/>
            <w:rFonts w:ascii="Arial" w:hAnsi="Arial"/>
            <w:u w:val="none"/>
          </w:rPr>
          <w:t>Appendix 7: Local Jobs First</w:t>
        </w:r>
        <w:r w:rsidR="001043AC" w:rsidRPr="00F4158C">
          <w:rPr>
            <w:webHidden/>
          </w:rPr>
          <w:tab/>
        </w:r>
        <w:r w:rsidR="001043AC" w:rsidRPr="00F4158C">
          <w:rPr>
            <w:webHidden/>
          </w:rPr>
          <w:fldChar w:fldCharType="begin"/>
        </w:r>
        <w:r w:rsidR="001043AC" w:rsidRPr="00F4158C">
          <w:rPr>
            <w:webHidden/>
          </w:rPr>
          <w:instrText xml:space="preserve"> PAGEREF _Toc55130708 \h </w:instrText>
        </w:r>
        <w:r w:rsidR="001043AC" w:rsidRPr="00F4158C">
          <w:rPr>
            <w:webHidden/>
          </w:rPr>
        </w:r>
        <w:r w:rsidR="001043AC" w:rsidRPr="00F4158C">
          <w:rPr>
            <w:webHidden/>
          </w:rPr>
          <w:fldChar w:fldCharType="separate"/>
        </w:r>
        <w:r w:rsidR="00A343C2">
          <w:rPr>
            <w:webHidden/>
          </w:rPr>
          <w:t>447</w:t>
        </w:r>
        <w:r w:rsidR="001043AC" w:rsidRPr="00F4158C">
          <w:rPr>
            <w:webHidden/>
          </w:rPr>
          <w:fldChar w:fldCharType="end"/>
        </w:r>
      </w:hyperlink>
    </w:p>
    <w:p w14:paraId="0D08AAAB" w14:textId="1B003717" w:rsidR="001043AC" w:rsidRPr="00F4158C" w:rsidRDefault="009B2DDD" w:rsidP="00F4158C">
      <w:pPr>
        <w:pStyle w:val="TOC1"/>
      </w:pPr>
      <w:hyperlink w:anchor="_Toc55130709" w:history="1">
        <w:r w:rsidR="001043AC" w:rsidRPr="00F4158C">
          <w:rPr>
            <w:rStyle w:val="Hyperlink"/>
            <w:rFonts w:ascii="Arial" w:hAnsi="Arial"/>
            <w:u w:val="none"/>
          </w:rPr>
          <w:t>Appendix 8: Social Procurement Framework</w:t>
        </w:r>
        <w:r w:rsidR="001043AC" w:rsidRPr="00F4158C">
          <w:rPr>
            <w:webHidden/>
          </w:rPr>
          <w:tab/>
        </w:r>
        <w:r w:rsidR="001043AC" w:rsidRPr="00F4158C">
          <w:rPr>
            <w:webHidden/>
          </w:rPr>
          <w:fldChar w:fldCharType="begin"/>
        </w:r>
        <w:r w:rsidR="001043AC" w:rsidRPr="00F4158C">
          <w:rPr>
            <w:webHidden/>
          </w:rPr>
          <w:instrText xml:space="preserve"> PAGEREF _Toc55130709 \h </w:instrText>
        </w:r>
        <w:r w:rsidR="001043AC" w:rsidRPr="00F4158C">
          <w:rPr>
            <w:webHidden/>
          </w:rPr>
        </w:r>
        <w:r w:rsidR="001043AC" w:rsidRPr="00F4158C">
          <w:rPr>
            <w:webHidden/>
          </w:rPr>
          <w:fldChar w:fldCharType="separate"/>
        </w:r>
        <w:r w:rsidR="00A343C2">
          <w:rPr>
            <w:webHidden/>
          </w:rPr>
          <w:t>450</w:t>
        </w:r>
        <w:r w:rsidR="001043AC" w:rsidRPr="00F4158C">
          <w:rPr>
            <w:webHidden/>
          </w:rPr>
          <w:fldChar w:fldCharType="end"/>
        </w:r>
      </w:hyperlink>
    </w:p>
    <w:p w14:paraId="208827CF" w14:textId="3440EECC" w:rsidR="001043AC" w:rsidRPr="00F4158C" w:rsidRDefault="009B2DDD" w:rsidP="00F4158C">
      <w:pPr>
        <w:pStyle w:val="TOC1"/>
      </w:pPr>
      <w:hyperlink w:anchor="_Toc55130710" w:history="1">
        <w:r w:rsidR="001043AC" w:rsidRPr="00F4158C">
          <w:rPr>
            <w:rStyle w:val="Hyperlink"/>
            <w:rFonts w:ascii="Arial" w:hAnsi="Arial"/>
            <w:u w:val="none"/>
          </w:rPr>
          <w:t>Appendix 9: Consultancy expenditure</w:t>
        </w:r>
        <w:r w:rsidR="001043AC" w:rsidRPr="00F4158C">
          <w:rPr>
            <w:webHidden/>
          </w:rPr>
          <w:tab/>
        </w:r>
        <w:r w:rsidR="001043AC" w:rsidRPr="00F4158C">
          <w:rPr>
            <w:webHidden/>
          </w:rPr>
          <w:fldChar w:fldCharType="begin"/>
        </w:r>
        <w:r w:rsidR="001043AC" w:rsidRPr="00F4158C">
          <w:rPr>
            <w:webHidden/>
          </w:rPr>
          <w:instrText xml:space="preserve"> PAGEREF _Toc55130710 \h </w:instrText>
        </w:r>
        <w:r w:rsidR="001043AC" w:rsidRPr="00F4158C">
          <w:rPr>
            <w:webHidden/>
          </w:rPr>
        </w:r>
        <w:r w:rsidR="001043AC" w:rsidRPr="00F4158C">
          <w:rPr>
            <w:webHidden/>
          </w:rPr>
          <w:fldChar w:fldCharType="separate"/>
        </w:r>
        <w:r w:rsidR="00A343C2">
          <w:rPr>
            <w:webHidden/>
          </w:rPr>
          <w:t>453</w:t>
        </w:r>
        <w:r w:rsidR="001043AC" w:rsidRPr="00F4158C">
          <w:rPr>
            <w:webHidden/>
          </w:rPr>
          <w:fldChar w:fldCharType="end"/>
        </w:r>
      </w:hyperlink>
    </w:p>
    <w:p w14:paraId="226BE0D4" w14:textId="23B0767D" w:rsidR="001043AC" w:rsidRPr="00F4158C" w:rsidRDefault="009B2DDD" w:rsidP="00F4158C">
      <w:pPr>
        <w:pStyle w:val="TOC1"/>
      </w:pPr>
      <w:hyperlink w:anchor="_Toc55130711" w:history="1">
        <w:r w:rsidR="001043AC" w:rsidRPr="00F4158C">
          <w:rPr>
            <w:rStyle w:val="Hyperlink"/>
            <w:rFonts w:ascii="Arial" w:hAnsi="Arial"/>
            <w:u w:val="none"/>
          </w:rPr>
          <w:t>Appendix 10: Disclosure of major contracts</w:t>
        </w:r>
        <w:r w:rsidR="001043AC" w:rsidRPr="00F4158C">
          <w:rPr>
            <w:webHidden/>
          </w:rPr>
          <w:tab/>
        </w:r>
        <w:r w:rsidR="001043AC" w:rsidRPr="00F4158C">
          <w:rPr>
            <w:webHidden/>
          </w:rPr>
          <w:fldChar w:fldCharType="begin"/>
        </w:r>
        <w:r w:rsidR="001043AC" w:rsidRPr="00F4158C">
          <w:rPr>
            <w:webHidden/>
          </w:rPr>
          <w:instrText xml:space="preserve"> PAGEREF _Toc55130711 \h </w:instrText>
        </w:r>
        <w:r w:rsidR="001043AC" w:rsidRPr="00F4158C">
          <w:rPr>
            <w:webHidden/>
          </w:rPr>
        </w:r>
        <w:r w:rsidR="001043AC" w:rsidRPr="00F4158C">
          <w:rPr>
            <w:webHidden/>
          </w:rPr>
          <w:fldChar w:fldCharType="separate"/>
        </w:r>
        <w:r w:rsidR="00A343C2">
          <w:rPr>
            <w:webHidden/>
          </w:rPr>
          <w:t>453</w:t>
        </w:r>
        <w:r w:rsidR="001043AC" w:rsidRPr="00F4158C">
          <w:rPr>
            <w:webHidden/>
          </w:rPr>
          <w:fldChar w:fldCharType="end"/>
        </w:r>
      </w:hyperlink>
    </w:p>
    <w:p w14:paraId="1F9CFA70" w14:textId="259616FE" w:rsidR="001043AC" w:rsidRPr="00F4158C" w:rsidRDefault="009B2DDD" w:rsidP="00F4158C">
      <w:pPr>
        <w:pStyle w:val="TOC1"/>
      </w:pPr>
      <w:hyperlink w:anchor="_Toc55130712" w:history="1">
        <w:r w:rsidR="001043AC" w:rsidRPr="00F4158C">
          <w:rPr>
            <w:rStyle w:val="Hyperlink"/>
            <w:rFonts w:ascii="Arial" w:hAnsi="Arial"/>
            <w:u w:val="none"/>
          </w:rPr>
          <w:t>Appendix 11: Government advertising expenditure</w:t>
        </w:r>
        <w:r w:rsidR="001043AC" w:rsidRPr="00F4158C">
          <w:rPr>
            <w:webHidden/>
          </w:rPr>
          <w:tab/>
        </w:r>
        <w:r w:rsidR="001043AC" w:rsidRPr="00F4158C">
          <w:rPr>
            <w:webHidden/>
          </w:rPr>
          <w:fldChar w:fldCharType="begin"/>
        </w:r>
        <w:r w:rsidR="001043AC" w:rsidRPr="00F4158C">
          <w:rPr>
            <w:webHidden/>
          </w:rPr>
          <w:instrText xml:space="preserve"> PAGEREF _Toc55130712 \h </w:instrText>
        </w:r>
        <w:r w:rsidR="001043AC" w:rsidRPr="00F4158C">
          <w:rPr>
            <w:webHidden/>
          </w:rPr>
        </w:r>
        <w:r w:rsidR="001043AC" w:rsidRPr="00F4158C">
          <w:rPr>
            <w:webHidden/>
          </w:rPr>
          <w:fldChar w:fldCharType="separate"/>
        </w:r>
        <w:r w:rsidR="00A343C2">
          <w:rPr>
            <w:webHidden/>
          </w:rPr>
          <w:t>454</w:t>
        </w:r>
        <w:r w:rsidR="001043AC" w:rsidRPr="00F4158C">
          <w:rPr>
            <w:webHidden/>
          </w:rPr>
          <w:fldChar w:fldCharType="end"/>
        </w:r>
      </w:hyperlink>
    </w:p>
    <w:p w14:paraId="644050DC" w14:textId="4BA111D8" w:rsidR="001043AC" w:rsidRPr="00F4158C" w:rsidRDefault="009B2DDD" w:rsidP="00F4158C">
      <w:pPr>
        <w:pStyle w:val="TOC1"/>
      </w:pPr>
      <w:hyperlink w:anchor="_Toc55130713" w:history="1">
        <w:r w:rsidR="001043AC" w:rsidRPr="00F4158C">
          <w:rPr>
            <w:rStyle w:val="Hyperlink"/>
            <w:rFonts w:ascii="Arial" w:hAnsi="Arial"/>
            <w:u w:val="none"/>
          </w:rPr>
          <w:t>Appendix 12: Information and communication technology expenditure</w:t>
        </w:r>
        <w:r w:rsidR="001043AC" w:rsidRPr="00F4158C">
          <w:rPr>
            <w:webHidden/>
          </w:rPr>
          <w:tab/>
        </w:r>
        <w:r w:rsidR="001043AC" w:rsidRPr="00F4158C">
          <w:rPr>
            <w:webHidden/>
          </w:rPr>
          <w:fldChar w:fldCharType="begin"/>
        </w:r>
        <w:r w:rsidR="001043AC" w:rsidRPr="00F4158C">
          <w:rPr>
            <w:webHidden/>
          </w:rPr>
          <w:instrText xml:space="preserve"> PAGEREF _Toc55130713 \h </w:instrText>
        </w:r>
        <w:r w:rsidR="001043AC" w:rsidRPr="00F4158C">
          <w:rPr>
            <w:webHidden/>
          </w:rPr>
        </w:r>
        <w:r w:rsidR="001043AC" w:rsidRPr="00F4158C">
          <w:rPr>
            <w:webHidden/>
          </w:rPr>
          <w:fldChar w:fldCharType="separate"/>
        </w:r>
        <w:r w:rsidR="00A343C2">
          <w:rPr>
            <w:webHidden/>
          </w:rPr>
          <w:t>458</w:t>
        </w:r>
        <w:r w:rsidR="001043AC" w:rsidRPr="00F4158C">
          <w:rPr>
            <w:webHidden/>
          </w:rPr>
          <w:fldChar w:fldCharType="end"/>
        </w:r>
      </w:hyperlink>
    </w:p>
    <w:p w14:paraId="126AEE47" w14:textId="33E88808" w:rsidR="001043AC" w:rsidRPr="00F4158C" w:rsidRDefault="009B2DDD" w:rsidP="00F4158C">
      <w:pPr>
        <w:pStyle w:val="TOC1"/>
      </w:pPr>
      <w:hyperlink w:anchor="_Toc55130714" w:history="1">
        <w:r w:rsidR="001043AC" w:rsidRPr="00F4158C">
          <w:rPr>
            <w:rStyle w:val="Hyperlink"/>
            <w:rFonts w:ascii="Arial" w:hAnsi="Arial"/>
            <w:u w:val="none"/>
          </w:rPr>
          <w:t>Appendix 13: Office-based environmental performance</w:t>
        </w:r>
        <w:r w:rsidR="001043AC" w:rsidRPr="00F4158C">
          <w:rPr>
            <w:webHidden/>
          </w:rPr>
          <w:tab/>
        </w:r>
        <w:r w:rsidR="001043AC" w:rsidRPr="00F4158C">
          <w:rPr>
            <w:webHidden/>
          </w:rPr>
          <w:fldChar w:fldCharType="begin"/>
        </w:r>
        <w:r w:rsidR="001043AC" w:rsidRPr="00F4158C">
          <w:rPr>
            <w:webHidden/>
          </w:rPr>
          <w:instrText xml:space="preserve"> PAGEREF _Toc55130714 \h </w:instrText>
        </w:r>
        <w:r w:rsidR="001043AC" w:rsidRPr="00F4158C">
          <w:rPr>
            <w:webHidden/>
          </w:rPr>
        </w:r>
        <w:r w:rsidR="001043AC" w:rsidRPr="00F4158C">
          <w:rPr>
            <w:webHidden/>
          </w:rPr>
          <w:fldChar w:fldCharType="separate"/>
        </w:r>
        <w:r w:rsidR="00A343C2">
          <w:rPr>
            <w:webHidden/>
          </w:rPr>
          <w:t>459</w:t>
        </w:r>
        <w:r w:rsidR="001043AC" w:rsidRPr="00F4158C">
          <w:rPr>
            <w:webHidden/>
          </w:rPr>
          <w:fldChar w:fldCharType="end"/>
        </w:r>
      </w:hyperlink>
    </w:p>
    <w:p w14:paraId="2B43D1EA" w14:textId="7F0695EA" w:rsidR="001043AC" w:rsidRPr="00F4158C" w:rsidRDefault="009B2DDD" w:rsidP="00F4158C">
      <w:pPr>
        <w:pStyle w:val="TOC1"/>
      </w:pPr>
      <w:hyperlink w:anchor="_Toc55130715" w:history="1">
        <w:r w:rsidR="001043AC" w:rsidRPr="00F4158C">
          <w:rPr>
            <w:rStyle w:val="Hyperlink"/>
            <w:rFonts w:ascii="Arial" w:hAnsi="Arial"/>
            <w:u w:val="none"/>
          </w:rPr>
          <w:t>Appendix 14: Freedom of Information</w:t>
        </w:r>
        <w:r w:rsidR="001043AC" w:rsidRPr="00F4158C">
          <w:rPr>
            <w:webHidden/>
          </w:rPr>
          <w:tab/>
        </w:r>
        <w:r w:rsidR="001043AC" w:rsidRPr="00F4158C">
          <w:rPr>
            <w:webHidden/>
          </w:rPr>
          <w:fldChar w:fldCharType="begin"/>
        </w:r>
        <w:r w:rsidR="001043AC" w:rsidRPr="00F4158C">
          <w:rPr>
            <w:webHidden/>
          </w:rPr>
          <w:instrText xml:space="preserve"> PAGEREF _Toc55130715 \h </w:instrText>
        </w:r>
        <w:r w:rsidR="001043AC" w:rsidRPr="00F4158C">
          <w:rPr>
            <w:webHidden/>
          </w:rPr>
        </w:r>
        <w:r w:rsidR="001043AC" w:rsidRPr="00F4158C">
          <w:rPr>
            <w:webHidden/>
          </w:rPr>
          <w:fldChar w:fldCharType="separate"/>
        </w:r>
        <w:r w:rsidR="00A343C2">
          <w:rPr>
            <w:webHidden/>
          </w:rPr>
          <w:t>470</w:t>
        </w:r>
        <w:r w:rsidR="001043AC" w:rsidRPr="00F4158C">
          <w:rPr>
            <w:webHidden/>
          </w:rPr>
          <w:fldChar w:fldCharType="end"/>
        </w:r>
      </w:hyperlink>
    </w:p>
    <w:p w14:paraId="63D8D9B8" w14:textId="1AD815DF" w:rsidR="001043AC" w:rsidRPr="00F4158C" w:rsidRDefault="009B2DDD" w:rsidP="00F4158C">
      <w:pPr>
        <w:pStyle w:val="TOC1"/>
      </w:pPr>
      <w:hyperlink w:anchor="_Toc55130716" w:history="1">
        <w:r w:rsidR="001043AC" w:rsidRPr="00F4158C">
          <w:rPr>
            <w:rStyle w:val="Hyperlink"/>
            <w:rFonts w:ascii="Arial" w:hAnsi="Arial"/>
            <w:u w:val="none"/>
          </w:rPr>
          <w:t>Appendix 15: Compliance and attestation</w:t>
        </w:r>
        <w:r w:rsidR="001043AC" w:rsidRPr="00F4158C">
          <w:rPr>
            <w:webHidden/>
          </w:rPr>
          <w:tab/>
        </w:r>
        <w:r w:rsidR="001043AC" w:rsidRPr="00F4158C">
          <w:rPr>
            <w:webHidden/>
          </w:rPr>
          <w:fldChar w:fldCharType="begin"/>
        </w:r>
        <w:r w:rsidR="001043AC" w:rsidRPr="00F4158C">
          <w:rPr>
            <w:webHidden/>
          </w:rPr>
          <w:instrText xml:space="preserve"> PAGEREF _Toc55130716 \h </w:instrText>
        </w:r>
        <w:r w:rsidR="001043AC" w:rsidRPr="00F4158C">
          <w:rPr>
            <w:webHidden/>
          </w:rPr>
        </w:r>
        <w:r w:rsidR="001043AC" w:rsidRPr="00F4158C">
          <w:rPr>
            <w:webHidden/>
          </w:rPr>
          <w:fldChar w:fldCharType="separate"/>
        </w:r>
        <w:r w:rsidR="00A343C2">
          <w:rPr>
            <w:webHidden/>
          </w:rPr>
          <w:t>473</w:t>
        </w:r>
        <w:r w:rsidR="001043AC" w:rsidRPr="00F4158C">
          <w:rPr>
            <w:webHidden/>
          </w:rPr>
          <w:fldChar w:fldCharType="end"/>
        </w:r>
      </w:hyperlink>
    </w:p>
    <w:p w14:paraId="11254E46" w14:textId="0CCE9C51" w:rsidR="001043AC" w:rsidRPr="00F4158C" w:rsidRDefault="009B2DDD" w:rsidP="00F4158C">
      <w:pPr>
        <w:pStyle w:val="TOC1"/>
      </w:pPr>
      <w:hyperlink w:anchor="_Toc55130717" w:history="1">
        <w:r w:rsidR="001043AC" w:rsidRPr="00F4158C">
          <w:rPr>
            <w:rStyle w:val="Hyperlink"/>
            <w:rFonts w:ascii="Arial" w:hAnsi="Arial"/>
            <w:u w:val="none"/>
          </w:rPr>
          <w:t>Appendix 16: Additional information available on request</w:t>
        </w:r>
        <w:r w:rsidR="001043AC" w:rsidRPr="00F4158C">
          <w:rPr>
            <w:webHidden/>
          </w:rPr>
          <w:tab/>
        </w:r>
        <w:r w:rsidR="001043AC" w:rsidRPr="00F4158C">
          <w:rPr>
            <w:webHidden/>
          </w:rPr>
          <w:fldChar w:fldCharType="begin"/>
        </w:r>
        <w:r w:rsidR="001043AC" w:rsidRPr="00F4158C">
          <w:rPr>
            <w:webHidden/>
          </w:rPr>
          <w:instrText xml:space="preserve"> PAGEREF _Toc55130717 \h </w:instrText>
        </w:r>
        <w:r w:rsidR="001043AC" w:rsidRPr="00F4158C">
          <w:rPr>
            <w:webHidden/>
          </w:rPr>
        </w:r>
        <w:r w:rsidR="001043AC" w:rsidRPr="00F4158C">
          <w:rPr>
            <w:webHidden/>
          </w:rPr>
          <w:fldChar w:fldCharType="separate"/>
        </w:r>
        <w:r w:rsidR="00A343C2">
          <w:rPr>
            <w:webHidden/>
          </w:rPr>
          <w:t>483</w:t>
        </w:r>
        <w:r w:rsidR="001043AC" w:rsidRPr="00F4158C">
          <w:rPr>
            <w:webHidden/>
          </w:rPr>
          <w:fldChar w:fldCharType="end"/>
        </w:r>
      </w:hyperlink>
    </w:p>
    <w:p w14:paraId="5F389285" w14:textId="11FA8CAF" w:rsidR="001043AC" w:rsidRPr="00F4158C" w:rsidRDefault="009B2DDD" w:rsidP="00F4158C">
      <w:pPr>
        <w:pStyle w:val="TOC1"/>
      </w:pPr>
      <w:hyperlink w:anchor="_Toc55130718" w:history="1">
        <w:r w:rsidR="001043AC" w:rsidRPr="00F4158C">
          <w:rPr>
            <w:rStyle w:val="Hyperlink"/>
            <w:rFonts w:ascii="Arial" w:hAnsi="Arial"/>
            <w:u w:val="none"/>
          </w:rPr>
          <w:t>Appendix 17: Acronyms</w:t>
        </w:r>
        <w:r w:rsidR="001043AC" w:rsidRPr="00F4158C">
          <w:rPr>
            <w:webHidden/>
          </w:rPr>
          <w:tab/>
        </w:r>
        <w:r w:rsidR="001043AC" w:rsidRPr="00F4158C">
          <w:rPr>
            <w:webHidden/>
          </w:rPr>
          <w:fldChar w:fldCharType="begin"/>
        </w:r>
        <w:r w:rsidR="001043AC" w:rsidRPr="00F4158C">
          <w:rPr>
            <w:webHidden/>
          </w:rPr>
          <w:instrText xml:space="preserve"> PAGEREF _Toc55130718 \h </w:instrText>
        </w:r>
        <w:r w:rsidR="001043AC" w:rsidRPr="00F4158C">
          <w:rPr>
            <w:webHidden/>
          </w:rPr>
        </w:r>
        <w:r w:rsidR="001043AC" w:rsidRPr="00F4158C">
          <w:rPr>
            <w:webHidden/>
          </w:rPr>
          <w:fldChar w:fldCharType="separate"/>
        </w:r>
        <w:r w:rsidR="00A343C2">
          <w:rPr>
            <w:webHidden/>
          </w:rPr>
          <w:t>485</w:t>
        </w:r>
        <w:r w:rsidR="001043AC" w:rsidRPr="00F4158C">
          <w:rPr>
            <w:webHidden/>
          </w:rPr>
          <w:fldChar w:fldCharType="end"/>
        </w:r>
      </w:hyperlink>
    </w:p>
    <w:p w14:paraId="1859CFE9" w14:textId="6EF6BEAB" w:rsidR="001043AC" w:rsidRPr="00F4158C" w:rsidRDefault="009B2DDD" w:rsidP="00F4158C">
      <w:pPr>
        <w:pStyle w:val="TOC1"/>
      </w:pPr>
      <w:hyperlink w:anchor="_Toc55130719" w:history="1">
        <w:r w:rsidR="001043AC" w:rsidRPr="00F4158C">
          <w:rPr>
            <w:rStyle w:val="Hyperlink"/>
            <w:rFonts w:ascii="Arial" w:hAnsi="Arial"/>
            <w:u w:val="none"/>
          </w:rPr>
          <w:t>Appendix 18: Disclosure Index</w:t>
        </w:r>
        <w:r w:rsidR="001043AC" w:rsidRPr="00F4158C">
          <w:rPr>
            <w:webHidden/>
          </w:rPr>
          <w:tab/>
        </w:r>
        <w:r w:rsidR="001043AC" w:rsidRPr="00F4158C">
          <w:rPr>
            <w:webHidden/>
          </w:rPr>
          <w:fldChar w:fldCharType="begin"/>
        </w:r>
        <w:r w:rsidR="001043AC" w:rsidRPr="00F4158C">
          <w:rPr>
            <w:webHidden/>
          </w:rPr>
          <w:instrText xml:space="preserve"> PAGEREF _Toc55130719 \h </w:instrText>
        </w:r>
        <w:r w:rsidR="001043AC" w:rsidRPr="00F4158C">
          <w:rPr>
            <w:webHidden/>
          </w:rPr>
        </w:r>
        <w:r w:rsidR="001043AC" w:rsidRPr="00F4158C">
          <w:rPr>
            <w:webHidden/>
          </w:rPr>
          <w:fldChar w:fldCharType="separate"/>
        </w:r>
        <w:r w:rsidR="00A343C2">
          <w:rPr>
            <w:webHidden/>
          </w:rPr>
          <w:t>489</w:t>
        </w:r>
        <w:r w:rsidR="001043AC" w:rsidRPr="00F4158C">
          <w:rPr>
            <w:webHidden/>
          </w:rPr>
          <w:fldChar w:fldCharType="end"/>
        </w:r>
      </w:hyperlink>
    </w:p>
    <w:p w14:paraId="74922EDD" w14:textId="642E44C7" w:rsidR="003E5BF5" w:rsidRPr="00176C66" w:rsidRDefault="001043AC" w:rsidP="00F4158C">
      <w:pPr>
        <w:pStyle w:val="TOC1"/>
      </w:pPr>
      <w:r w:rsidRPr="00F4158C">
        <w:fldChar w:fldCharType="end"/>
      </w:r>
    </w:p>
    <w:p w14:paraId="0AE76852" w14:textId="77777777" w:rsidR="003E5BF5" w:rsidRPr="00176C66" w:rsidRDefault="003E5BF5" w:rsidP="00DE1921">
      <w:pPr>
        <w:sectPr w:rsidR="003E5BF5" w:rsidRPr="00176C66" w:rsidSect="00DE1921">
          <w:footerReference w:type="default" r:id="rId15"/>
          <w:pgSz w:w="11906" w:h="16838"/>
          <w:pgMar w:top="1440" w:right="1440" w:bottom="1440" w:left="1440" w:header="708" w:footer="708" w:gutter="0"/>
          <w:cols w:space="708"/>
          <w:docGrid w:linePitch="360"/>
        </w:sectPr>
      </w:pPr>
    </w:p>
    <w:p w14:paraId="7EC4F793" w14:textId="631FEAA4" w:rsidR="000542A8" w:rsidRDefault="000542A8" w:rsidP="00AF5EB7">
      <w:pPr>
        <w:pStyle w:val="Heading1"/>
        <w:rPr>
          <w:sz w:val="60"/>
          <w:szCs w:val="60"/>
        </w:rPr>
      </w:pPr>
      <w:bookmarkStart w:id="2" w:name="p5"/>
      <w:bookmarkStart w:id="3" w:name="_Hlk55063504"/>
      <w:bookmarkStart w:id="4" w:name="_Toc55130673"/>
      <w:bookmarkStart w:id="5" w:name="Title_171"/>
      <w:bookmarkEnd w:id="2"/>
      <w:r w:rsidRPr="00AF5EB7">
        <w:rPr>
          <w:sz w:val="60"/>
          <w:szCs w:val="60"/>
        </w:rPr>
        <w:lastRenderedPageBreak/>
        <w:t>Section 1 – Overview</w:t>
      </w:r>
      <w:bookmarkEnd w:id="3"/>
      <w:bookmarkEnd w:id="4"/>
    </w:p>
    <w:p w14:paraId="4017887A" w14:textId="77777777" w:rsidR="003E5BF5" w:rsidRPr="00DD1E6F" w:rsidRDefault="003E5BF5" w:rsidP="008A0170">
      <w:pPr>
        <w:pStyle w:val="Heading1"/>
      </w:pPr>
      <w:bookmarkStart w:id="6" w:name="_Toc55130674"/>
      <w:bookmarkEnd w:id="5"/>
      <w:r w:rsidRPr="00DD1E6F">
        <w:t>SECRETARY’S FOREWORD</w:t>
      </w:r>
      <w:bookmarkEnd w:id="6"/>
    </w:p>
    <w:p w14:paraId="580BEE8A" w14:textId="77777777" w:rsidR="003E5BF5" w:rsidRPr="0021616E" w:rsidRDefault="003E5BF5" w:rsidP="00DE1921">
      <w:pPr>
        <w:pStyle w:val="aaatyping"/>
        <w:rPr>
          <w:color w:val="000000" w:themeColor="text1"/>
        </w:rPr>
      </w:pPr>
      <w:r w:rsidRPr="0021616E">
        <w:t xml:space="preserve">On 1 July 2019, VicRoads and Public Transport Victoria joined the Department of Transport with the objective of delivering a world-class, </w:t>
      </w:r>
      <w:r w:rsidRPr="0021616E">
        <w:rPr>
          <w:color w:val="000000" w:themeColor="text1"/>
        </w:rPr>
        <w:t xml:space="preserve">integrated approach to planning, building and operating Victoria’s transport system and managing $70 billion of transport infrastructure projects. </w:t>
      </w:r>
    </w:p>
    <w:p w14:paraId="5CCB0098" w14:textId="77777777" w:rsidR="003E5BF5" w:rsidRPr="009B2E83" w:rsidRDefault="003E5BF5" w:rsidP="00DE1921">
      <w:pPr>
        <w:pStyle w:val="aaatyping"/>
      </w:pPr>
      <w:r w:rsidRPr="009B2E83">
        <w:t xml:space="preserve">In August, we </w:t>
      </w:r>
      <w:r>
        <w:t>finalised</w:t>
      </w:r>
      <w:r w:rsidRPr="009B2E83">
        <w:t xml:space="preserve"> </w:t>
      </w:r>
      <w:r>
        <w:t xml:space="preserve">and launched </w:t>
      </w:r>
      <w:r w:rsidRPr="009B2E83">
        <w:t xml:space="preserve">our four-year strategic plan: to give everyone access to simple, connected journeys across all modes of transport. </w:t>
      </w:r>
    </w:p>
    <w:p w14:paraId="72E2A69A" w14:textId="77777777" w:rsidR="003E5BF5" w:rsidRPr="009B2E83" w:rsidRDefault="003E5BF5" w:rsidP="00DE1921">
      <w:pPr>
        <w:pStyle w:val="aaatyping"/>
      </w:pPr>
      <w:r w:rsidRPr="009B2E83">
        <w:t xml:space="preserve">By having one team for designing, building and running transport, we can more effectively operate the network to improve everyone’s journeys. </w:t>
      </w:r>
    </w:p>
    <w:p w14:paraId="7C1E448C" w14:textId="77777777" w:rsidR="003E5BF5" w:rsidRPr="009B2E83" w:rsidRDefault="003E5BF5" w:rsidP="00DE1921">
      <w:pPr>
        <w:pStyle w:val="aaatyping"/>
        <w:rPr>
          <w:color w:val="000000" w:themeColor="text1"/>
        </w:rPr>
      </w:pPr>
      <w:r>
        <w:t xml:space="preserve">We have subsequently welcomed </w:t>
      </w:r>
      <w:r w:rsidRPr="03210ABA">
        <w:rPr>
          <w:color w:val="000000" w:themeColor="text1"/>
        </w:rPr>
        <w:t xml:space="preserve">Development Victoria </w:t>
      </w:r>
      <w:r>
        <w:t xml:space="preserve">into the fold. Together with the Major Transport Infrastructure Authority and its project teams delivering the Big Build, these relationships will </w:t>
      </w:r>
      <w:r w:rsidRPr="03210ABA">
        <w:rPr>
          <w:color w:val="000000" w:themeColor="text1"/>
        </w:rPr>
        <w:t>help us create connected precincts that nurture strong and inclusive communities across our state.</w:t>
      </w:r>
    </w:p>
    <w:p w14:paraId="3038B090" w14:textId="29A71A20" w:rsidR="007E5CFD" w:rsidRDefault="003E5BF5" w:rsidP="00DE1921">
      <w:pPr>
        <w:pStyle w:val="aaatyping"/>
      </w:pPr>
      <w:r>
        <w:t>This year has been like no other. Straight after summer’s devastating bushfires, the coronavirus (COVID-19) pandemic began.</w:t>
      </w:r>
      <w:r w:rsidR="007E5CFD">
        <w:br w:type="page"/>
      </w:r>
    </w:p>
    <w:p w14:paraId="09DA47FA" w14:textId="77777777" w:rsidR="003E5BF5" w:rsidRPr="009B2E83" w:rsidRDefault="003E5BF5" w:rsidP="00DE1921">
      <w:pPr>
        <w:pStyle w:val="aaatyping"/>
        <w:rPr>
          <w:color w:val="000000" w:themeColor="text1"/>
        </w:rPr>
      </w:pPr>
      <w:r>
        <w:lastRenderedPageBreak/>
        <w:t>The department has played a pivotal role throughout both of these emergencies, maintaining continuity of our public transport system and our services to road users, clearing and repairing access roads for emergency vehicles, ensuring vital supplies reach our hospitals, maintaining</w:t>
      </w:r>
      <w:r w:rsidRPr="03210ABA">
        <w:rPr>
          <w:color w:val="000000" w:themeColor="text1"/>
        </w:rPr>
        <w:t xml:space="preserve"> global market links for our economy, and keeping shelves stocked for Victorian families.</w:t>
      </w:r>
    </w:p>
    <w:p w14:paraId="1607F620" w14:textId="77777777" w:rsidR="003E5BF5" w:rsidRPr="009B2E83" w:rsidRDefault="003E5BF5" w:rsidP="00DE1921">
      <w:pPr>
        <w:pStyle w:val="aaatyping"/>
      </w:pPr>
      <w:r w:rsidRPr="009B2E83">
        <w:t>Our staff have worked tirelessly to keep Victoria moving forward during one of the most difficult periods our state has faced. To every one of you, thank you.</w:t>
      </w:r>
    </w:p>
    <w:p w14:paraId="4A79D4DC" w14:textId="77777777" w:rsidR="003E5BF5" w:rsidRPr="009B2E83" w:rsidRDefault="003E5BF5" w:rsidP="00DE1921">
      <w:pPr>
        <w:pStyle w:val="aaatyping"/>
      </w:pPr>
      <w:r w:rsidRPr="009B2E83">
        <w:t xml:space="preserve">We have responded swiftly, fast-tracking plans to deliver long-term benefits earlier and working collaboratively with others to get things done. </w:t>
      </w:r>
    </w:p>
    <w:p w14:paraId="3EE7CE58" w14:textId="77777777" w:rsidR="003E5BF5" w:rsidRPr="009B2E83" w:rsidRDefault="003E5BF5" w:rsidP="00DE1921">
      <w:pPr>
        <w:pStyle w:val="aaatyping"/>
        <w:rPr>
          <w:rStyle w:val="eop"/>
          <w:rFonts w:eastAsia="Arial"/>
        </w:rPr>
      </w:pPr>
      <w:r w:rsidRPr="009B2E83">
        <w:t xml:space="preserve">In May, recognising the critical role transport plays in helping our community recover, the government announced </w:t>
      </w:r>
      <w:r w:rsidRPr="00E10211">
        <w:t>a $328 million stimulus investment to maintain and upgrade the transport network. In June, the new Minister for Roads and Road Safety, Ben Carroll, announced an additional $340 million package of measures to keep people moving on our roads.</w:t>
      </w:r>
      <w:r w:rsidRPr="009B2E83">
        <w:rPr>
          <w:rStyle w:val="eop"/>
          <w:rFonts w:eastAsia="Arial"/>
        </w:rPr>
        <w:t xml:space="preserve"> </w:t>
      </w:r>
    </w:p>
    <w:p w14:paraId="5DE3D850" w14:textId="77777777" w:rsidR="003E5BF5" w:rsidRPr="009B2E83" w:rsidRDefault="003E5BF5" w:rsidP="00DE1921">
      <w:pPr>
        <w:pStyle w:val="aaatyping"/>
      </w:pPr>
      <w:r w:rsidRPr="009B2E83">
        <w:t xml:space="preserve">During 2019-20, almost $7 </w:t>
      </w:r>
      <w:r>
        <w:t>b</w:t>
      </w:r>
      <w:r w:rsidRPr="009B2E83">
        <w:t xml:space="preserve">illion has been invested in some of the largest infrastructure projects this state has ever seen. </w:t>
      </w:r>
    </w:p>
    <w:p w14:paraId="08EE66CF" w14:textId="77777777" w:rsidR="003E5BF5" w:rsidRPr="00F127F5" w:rsidRDefault="003E5BF5" w:rsidP="00DE1921">
      <w:pPr>
        <w:pStyle w:val="aaatyping"/>
        <w:rPr>
          <w:color w:val="000000" w:themeColor="text1"/>
        </w:rPr>
      </w:pPr>
      <w:r w:rsidRPr="009B2E83">
        <w:rPr>
          <w:color w:val="000000" w:themeColor="text1"/>
        </w:rPr>
        <w:t xml:space="preserve">These major projects have helped protect </w:t>
      </w:r>
      <w:r w:rsidRPr="009B2E83">
        <w:t>thousands of jobs and are in</w:t>
      </w:r>
      <w:r>
        <w:t>ject</w:t>
      </w:r>
      <w:r w:rsidRPr="009B2E83">
        <w:t xml:space="preserve">ing hundreds of millions of dollars into the economy. </w:t>
      </w:r>
    </w:p>
    <w:p w14:paraId="3CEABC56" w14:textId="77777777" w:rsidR="003E5BF5" w:rsidRPr="009B2E83" w:rsidRDefault="003E5BF5" w:rsidP="00DE1921">
      <w:pPr>
        <w:pStyle w:val="aaatyping"/>
      </w:pPr>
      <w:r w:rsidRPr="03210ABA">
        <w:t xml:space="preserve">Removing dangerous level crossings has been one of the most transformative major projects. </w:t>
      </w:r>
      <w:r>
        <w:t>Of</w:t>
      </w:r>
      <w:r w:rsidRPr="03210ABA">
        <w:t xml:space="preserve"> these complicated operations, </w:t>
      </w:r>
      <w:r>
        <w:t>t</w:t>
      </w:r>
      <w:r w:rsidRPr="03210ABA">
        <w:t>he Cranbourne Line is on schedule to become the first to be entirely level crossing free.</w:t>
      </w:r>
    </w:p>
    <w:p w14:paraId="1447FE5F" w14:textId="77777777" w:rsidR="003E5BF5" w:rsidRPr="009B2E83" w:rsidRDefault="003E5BF5" w:rsidP="00DE1921">
      <w:pPr>
        <w:pStyle w:val="aaatyping"/>
      </w:pPr>
      <w:r w:rsidRPr="009B2E83">
        <w:lastRenderedPageBreak/>
        <w:t xml:space="preserve">The </w:t>
      </w:r>
      <w:r>
        <w:t>Cranbourne L</w:t>
      </w:r>
      <w:r w:rsidRPr="009B2E83">
        <w:t xml:space="preserve">ine </w:t>
      </w:r>
      <w:r>
        <w:t>single track is also being duplicated</w:t>
      </w:r>
      <w:r w:rsidRPr="009B2E83">
        <w:t>, giving it the capacity to handle more trains and paving the way for a future rail extension to Clyde.</w:t>
      </w:r>
    </w:p>
    <w:p w14:paraId="28F62ECC" w14:textId="77777777" w:rsidR="003E5BF5" w:rsidRPr="009B2E83" w:rsidRDefault="003E5BF5" w:rsidP="00DE1921">
      <w:pPr>
        <w:pStyle w:val="aaatyping"/>
      </w:pPr>
      <w:r w:rsidRPr="009B2E83">
        <w:t>We’ve opened 26 new five-star</w:t>
      </w:r>
      <w:r>
        <w:t>,</w:t>
      </w:r>
      <w:r w:rsidRPr="009B2E83">
        <w:t xml:space="preserve"> Green Star rated stations to date, with many of them including </w:t>
      </w:r>
      <w:r>
        <w:t xml:space="preserve">accessible </w:t>
      </w:r>
      <w:r w:rsidRPr="009B2E83">
        <w:t xml:space="preserve">upgrades to surrounding walking and cycling paths. </w:t>
      </w:r>
    </w:p>
    <w:p w14:paraId="076E0900" w14:textId="77777777" w:rsidR="003E5BF5" w:rsidRPr="009B2E83" w:rsidRDefault="003E5BF5" w:rsidP="00DE1921">
      <w:pPr>
        <w:pStyle w:val="aaatyping"/>
      </w:pPr>
      <w:r w:rsidRPr="03210ABA">
        <w:t xml:space="preserve">Design and development work for the Suburban Rail Loop has made major progress, with the Stage One section between Box Hill and Cheltenham. </w:t>
      </w:r>
    </w:p>
    <w:p w14:paraId="235C0404" w14:textId="77777777" w:rsidR="003E5BF5" w:rsidRPr="009B2E83" w:rsidRDefault="003E5BF5" w:rsidP="00DE1921">
      <w:pPr>
        <w:pStyle w:val="aaatyping"/>
      </w:pPr>
      <w:r w:rsidRPr="009B2E83">
        <w:t xml:space="preserve">The Metro Tunnel </w:t>
      </w:r>
      <w:r>
        <w:t>P</w:t>
      </w:r>
      <w:r w:rsidRPr="009B2E83">
        <w:t xml:space="preserve">roject is currently running twelve months ahead of schedule. All four tunnel boring machines are now in operation, digging nine-kilometre twin tunnels across Melbourne. </w:t>
      </w:r>
    </w:p>
    <w:p w14:paraId="1C12DE14" w14:textId="77777777" w:rsidR="003E5BF5" w:rsidRPr="009B2E83" w:rsidRDefault="003E5BF5" w:rsidP="00DE1921">
      <w:pPr>
        <w:pStyle w:val="aaatyping"/>
      </w:pPr>
      <w:r w:rsidRPr="009B2E83">
        <w:t>The $2.1 billion Sunbury Line Upgrade is continuing, with major track, power and platform upgrades to enable more modern trains to run on the line when the Metro Tunnel opens.</w:t>
      </w:r>
    </w:p>
    <w:p w14:paraId="1ADE69D4" w14:textId="77777777" w:rsidR="003E5BF5" w:rsidRPr="00F127F5" w:rsidRDefault="003E5BF5" w:rsidP="00DE1921">
      <w:pPr>
        <w:pStyle w:val="aaatyping"/>
      </w:pPr>
      <w:r w:rsidRPr="03210ABA">
        <w:rPr>
          <w:color w:val="000000" w:themeColor="text1"/>
        </w:rPr>
        <w:t xml:space="preserve">The Business Case for the Melbourne Airport Rail will be completed by the end of 2020 and </w:t>
      </w:r>
      <w:r>
        <w:t xml:space="preserve">the $2 billion Regional Rail Revival program continues, upgrading every regional passenger rail line in Victoria. </w:t>
      </w:r>
    </w:p>
    <w:p w14:paraId="058EC94A" w14:textId="77777777" w:rsidR="003E5BF5" w:rsidRDefault="003E5BF5" w:rsidP="00DE1921">
      <w:pPr>
        <w:pStyle w:val="aaatyping"/>
      </w:pPr>
      <w:r w:rsidRPr="03210ABA">
        <w:t>We have continued to update our rolling stock, with the first 86 of 100 new buses going into service, including Victoria’s first locally built electric bus. To increase accessibility for everyone, we brought the first 18 of 100 new low floor buses into service. We</w:t>
      </w:r>
      <w:r>
        <w:t xml:space="preserve"> </w:t>
      </w:r>
      <w:r w:rsidRPr="03210ABA">
        <w:t xml:space="preserve">also took delivery of eight new E-Class trams and four new Victorian-built </w:t>
      </w:r>
      <w:proofErr w:type="spellStart"/>
      <w:r w:rsidRPr="03210ABA">
        <w:t>X’Trapolis</w:t>
      </w:r>
      <w:proofErr w:type="spellEnd"/>
      <w:r w:rsidRPr="03210ABA">
        <w:t xml:space="preserve"> trains. </w:t>
      </w:r>
    </w:p>
    <w:p w14:paraId="5C9D5051" w14:textId="77777777" w:rsidR="003E5BF5" w:rsidRPr="009B2E83" w:rsidRDefault="003E5BF5" w:rsidP="00DE1921">
      <w:pPr>
        <w:pStyle w:val="aaatyping"/>
      </w:pPr>
      <w:r w:rsidRPr="03210ABA">
        <w:lastRenderedPageBreak/>
        <w:t xml:space="preserve">Our efforts to create simple, connected journeys have </w:t>
      </w:r>
      <w:r>
        <w:t>continued</w:t>
      </w:r>
      <w:r w:rsidRPr="03210ABA">
        <w:t xml:space="preserve"> on our roads, using the latest in technology and road safety theory to repurpose existing infrastructure and future-proof our upgrades.</w:t>
      </w:r>
    </w:p>
    <w:p w14:paraId="1A1F0CF8" w14:textId="77777777" w:rsidR="003E5BF5" w:rsidRPr="009B2E83" w:rsidRDefault="003E5BF5" w:rsidP="00DE1921">
      <w:pPr>
        <w:pStyle w:val="aaatyping"/>
      </w:pPr>
      <w:r w:rsidRPr="009B2E83">
        <w:t>Work has started on the state’s largest road project, North East Link. The early works program involves crews moving more than 34 kilometres of gas, water, sewer pipes and drains to prepare for major construction in 2021.</w:t>
      </w:r>
    </w:p>
    <w:p w14:paraId="34413BE5" w14:textId="77777777" w:rsidR="003E5BF5" w:rsidRPr="009B2E83" w:rsidRDefault="003E5BF5" w:rsidP="00DE1921">
      <w:pPr>
        <w:pStyle w:val="aaatyping"/>
      </w:pPr>
      <w:r w:rsidRPr="009B2E83">
        <w:t>Construction on stage two of the $1.4 billion Monash Freeway Upgrade has begun, with works planned to add 36</w:t>
      </w:r>
      <w:r>
        <w:t xml:space="preserve"> kilometres</w:t>
      </w:r>
      <w:r w:rsidRPr="009B2E83">
        <w:t xml:space="preserve"> of extra lanes and improve connections to Melbourne’s vital corridor. </w:t>
      </w:r>
    </w:p>
    <w:p w14:paraId="45A383B4" w14:textId="77777777" w:rsidR="003E5BF5" w:rsidRPr="009B2E83" w:rsidRDefault="003E5BF5" w:rsidP="00DE1921">
      <w:pPr>
        <w:pStyle w:val="aaatyping"/>
      </w:pPr>
      <w:r w:rsidRPr="009B2E83">
        <w:t xml:space="preserve">The $1.8 billion Western Roads </w:t>
      </w:r>
      <w:r>
        <w:t>Upgrade</w:t>
      </w:r>
      <w:r w:rsidRPr="009B2E83">
        <w:t xml:space="preserve"> is upgrading eight high-priority roads, as well as improving and maintaining more than 260</w:t>
      </w:r>
      <w:r>
        <w:t xml:space="preserve"> kilometres</w:t>
      </w:r>
      <w:r w:rsidRPr="009B2E83">
        <w:t xml:space="preserve"> of road from Footscray to Werribee and building more than 50</w:t>
      </w:r>
      <w:r>
        <w:t xml:space="preserve"> kilometres</w:t>
      </w:r>
      <w:r w:rsidRPr="009B2E83">
        <w:t xml:space="preserve"> of new shared user paths.</w:t>
      </w:r>
    </w:p>
    <w:p w14:paraId="2D005D1E" w14:textId="77777777" w:rsidR="003E5BF5" w:rsidRPr="009B2E83" w:rsidRDefault="003E5BF5" w:rsidP="00DE1921">
      <w:pPr>
        <w:pStyle w:val="aaatyping"/>
      </w:pPr>
      <w:r w:rsidRPr="03210ABA">
        <w:t>The city-shaping West Gate Tunnel</w:t>
      </w:r>
      <w:r>
        <w:t xml:space="preserve"> </w:t>
      </w:r>
      <w:r w:rsidRPr="03210ABA">
        <w:t>Project has forged ahead on widening the West Gate Freeway from eight to 12 lanes and building an elevated roadway along the centre of Footscray Road, taking more trucks and traffic off local roads.</w:t>
      </w:r>
    </w:p>
    <w:p w14:paraId="020121BE" w14:textId="000EE69F" w:rsidR="00D83F37" w:rsidRDefault="003E5BF5" w:rsidP="00DE1921">
      <w:pPr>
        <w:pStyle w:val="aaatyping"/>
      </w:pPr>
      <w:r w:rsidRPr="009B2E83">
        <w:t xml:space="preserve">We continued our efforts to improve road safety across Victoria, completing 71 separate projects as part of the Safer Roads Program. </w:t>
      </w:r>
      <w:r>
        <w:t>In 2019, for the first time in a decade, no lives were lost on the Hume Freeway</w:t>
      </w:r>
      <w:r w:rsidRPr="009B2E83">
        <w:t xml:space="preserve">, thanks largely to safety barriers and rumble strips installed from Melbourne to the New South Wales border. </w:t>
      </w:r>
      <w:r w:rsidR="00D83F37">
        <w:br w:type="page"/>
      </w:r>
    </w:p>
    <w:p w14:paraId="00782156" w14:textId="77777777" w:rsidR="003E5BF5" w:rsidRPr="009B2E83" w:rsidRDefault="003E5BF5" w:rsidP="00DE1921">
      <w:pPr>
        <w:pStyle w:val="aaatyping"/>
      </w:pPr>
      <w:r>
        <w:rPr>
          <w:rFonts w:eastAsia="Times New Roman"/>
        </w:rPr>
        <w:lastRenderedPageBreak/>
        <w:t>W</w:t>
      </w:r>
      <w:r w:rsidRPr="009B2E83">
        <w:t>e launched Recycled First and</w:t>
      </w:r>
      <w:r>
        <w:t xml:space="preserve"> </w:t>
      </w:r>
      <w:r w:rsidRPr="009B2E83">
        <w:t>changed the way we build, with more than 20,000 tonnes of recycled materials going into our major road upgrades. Major projects are also reusing their own by-products, with 14,000 tonnes of soil excavated for the Metro Tunnel reused in pavement layers in Point Cook.</w:t>
      </w:r>
    </w:p>
    <w:p w14:paraId="1BA39346" w14:textId="77777777" w:rsidR="003E5BF5" w:rsidRPr="009B2E83" w:rsidRDefault="003E5BF5" w:rsidP="00DE1921">
      <w:pPr>
        <w:pStyle w:val="aaatyping"/>
      </w:pPr>
      <w:r>
        <w:t xml:space="preserve">Throughout the coronavirus (COVID-19) pandemic, we have continued the delivery of critical projects and the operation of freight and port services. This has included replacing manual rail signals to enable more grain trains to reach the Port of Geelong; upgrading freight lines from the north of the state to the Port of Melbourne; and completing the dredging at Apollo Bay Harbour. </w:t>
      </w:r>
    </w:p>
    <w:p w14:paraId="6D55A349" w14:textId="5F5BE2C7" w:rsidR="003E5BF5" w:rsidRDefault="003E5BF5" w:rsidP="00DE1921">
      <w:pPr>
        <w:pStyle w:val="aaatyping"/>
      </w:pPr>
      <w:r w:rsidRPr="03210ABA">
        <w:t>To encourage more usage of our waterways, Better Boating Victoria is investing $47.2 million to deliver urgent upgrades to six of the state’s busiest boat ramps, making every public boat ramp in Victoria free for parking and launching</w:t>
      </w:r>
      <w:r>
        <w:t>. I</w:t>
      </w:r>
      <w:r w:rsidRPr="03210ABA">
        <w:t xml:space="preserve">nfrastructure at Port Phillip and Western Port. Rye Pier was upgraded to include an all abilities access ramp and improved berthing facilities. </w:t>
      </w:r>
    </w:p>
    <w:p w14:paraId="096623CB" w14:textId="08E17DA1" w:rsidR="009F052B" w:rsidRDefault="003E5BF5" w:rsidP="00DE1921">
      <w:pPr>
        <w:pStyle w:val="aaatyping"/>
      </w:pPr>
      <w:r w:rsidRPr="009B2E83">
        <w:t xml:space="preserve">I would particularly like to acknowledge our </w:t>
      </w:r>
      <w:r>
        <w:t xml:space="preserve">staff, </w:t>
      </w:r>
      <w:r w:rsidRPr="009B2E83">
        <w:t>agencies</w:t>
      </w:r>
      <w:r>
        <w:t>,</w:t>
      </w:r>
      <w:r w:rsidRPr="009B2E83">
        <w:t xml:space="preserve"> and partners for their willingness to collaborate and innovate in order to help </w:t>
      </w:r>
      <w:r>
        <w:t>Victoria</w:t>
      </w:r>
      <w:r w:rsidRPr="009B2E83">
        <w:t xml:space="preserve"> move forward. On behalf of our ministers and my executive team, I’d like to thank them for their hard work this year. </w:t>
      </w:r>
      <w:r w:rsidR="009F052B">
        <w:br w:type="page"/>
      </w:r>
    </w:p>
    <w:p w14:paraId="2E77CCC8" w14:textId="77777777" w:rsidR="003E5BF5" w:rsidRPr="008869A9" w:rsidRDefault="003E5BF5" w:rsidP="008869A9">
      <w:pPr>
        <w:pStyle w:val="Heading4"/>
      </w:pPr>
      <w:bookmarkStart w:id="7" w:name="p10"/>
      <w:bookmarkEnd w:id="7"/>
      <w:r w:rsidRPr="008869A9">
        <w:lastRenderedPageBreak/>
        <w:t>Accountable Officer’s declaration</w:t>
      </w:r>
    </w:p>
    <w:p w14:paraId="012D8C3E" w14:textId="77777777" w:rsidR="009F052B" w:rsidRDefault="003E5BF5" w:rsidP="00DE1921">
      <w:pPr>
        <w:pStyle w:val="aaatyping"/>
      </w:pPr>
      <w:r>
        <w:rPr>
          <w:noProof/>
        </w:rPr>
        <w:drawing>
          <wp:inline distT="0" distB="0" distL="0" distR="0" wp14:anchorId="7DB314A4" wp14:editId="7B747B2E">
            <wp:extent cx="1800000" cy="733562"/>
            <wp:effectExtent l="0" t="0" r="0" b="0"/>
            <wp:docPr id="1" name="Picture 1" descr="Secretary's 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biLevel thresh="75000"/>
                      <a:extLst>
                        <a:ext uri="{28A0092B-C50C-407E-A947-70E740481C1C}">
                          <a14:useLocalDpi xmlns:a14="http://schemas.microsoft.com/office/drawing/2010/main" val="0"/>
                        </a:ext>
                      </a:extLst>
                    </a:blip>
                    <a:srcRect/>
                    <a:stretch>
                      <a:fillRect/>
                    </a:stretch>
                  </pic:blipFill>
                  <pic:spPr bwMode="auto">
                    <a:xfrm>
                      <a:off x="0" y="0"/>
                      <a:ext cx="1800000" cy="733562"/>
                    </a:xfrm>
                    <a:prstGeom prst="rect">
                      <a:avLst/>
                    </a:prstGeom>
                    <a:noFill/>
                    <a:ln>
                      <a:noFill/>
                    </a:ln>
                  </pic:spPr>
                </pic:pic>
              </a:graphicData>
            </a:graphic>
          </wp:inline>
        </w:drawing>
      </w:r>
    </w:p>
    <w:p w14:paraId="44F7EAAD" w14:textId="047E6D23" w:rsidR="003E5BF5" w:rsidRDefault="003E5BF5" w:rsidP="00DE1921">
      <w:pPr>
        <w:pStyle w:val="aaatyping"/>
      </w:pPr>
      <w:r w:rsidRPr="00506FA5">
        <w:t xml:space="preserve">In accordance with the </w:t>
      </w:r>
      <w:r w:rsidRPr="00506FA5">
        <w:rPr>
          <w:i/>
        </w:rPr>
        <w:t>Financial Management Act 1994,</w:t>
      </w:r>
      <w:r w:rsidRPr="00506FA5">
        <w:t xml:space="preserve"> I am pleased to present the Department of Transport’s Annual Report for the year end</w:t>
      </w:r>
      <w:r>
        <w:t>ing</w:t>
      </w:r>
      <w:r w:rsidRPr="00506FA5">
        <w:t xml:space="preserve"> 30 June </w:t>
      </w:r>
      <w:r>
        <w:t>2020</w:t>
      </w:r>
      <w:r w:rsidRPr="00506FA5">
        <w:t xml:space="preserve">. </w:t>
      </w:r>
    </w:p>
    <w:p w14:paraId="75F2B667" w14:textId="77777777" w:rsidR="003E5BF5" w:rsidRDefault="003E5BF5" w:rsidP="00DE1921">
      <w:pPr>
        <w:spacing w:after="0"/>
        <w:rPr>
          <w:b/>
        </w:rPr>
      </w:pPr>
    </w:p>
    <w:p w14:paraId="7B4C7929" w14:textId="77777777" w:rsidR="003E5BF5" w:rsidRDefault="003E5BF5" w:rsidP="00DE1921">
      <w:pPr>
        <w:spacing w:after="0"/>
        <w:rPr>
          <w:b/>
        </w:rPr>
      </w:pPr>
    </w:p>
    <w:p w14:paraId="3FD121E4" w14:textId="77777777" w:rsidR="003E5BF5" w:rsidRDefault="003E5BF5" w:rsidP="00DE1921">
      <w:pPr>
        <w:spacing w:after="0"/>
        <w:rPr>
          <w:b/>
        </w:rPr>
      </w:pPr>
    </w:p>
    <w:p w14:paraId="550DF561" w14:textId="77777777" w:rsidR="003E5BF5" w:rsidRPr="00166149" w:rsidRDefault="003E5BF5" w:rsidP="00DE1921">
      <w:pPr>
        <w:pStyle w:val="aaatyping"/>
      </w:pPr>
      <w:r w:rsidRPr="00166149">
        <w:t>Paul Younis</w:t>
      </w:r>
    </w:p>
    <w:p w14:paraId="50B8BF54" w14:textId="77777777" w:rsidR="009F052B" w:rsidRDefault="003E5BF5" w:rsidP="00DE1921">
      <w:pPr>
        <w:pStyle w:val="aaatyping"/>
        <w:sectPr w:rsidR="009F052B" w:rsidSect="00DE1921">
          <w:headerReference w:type="even" r:id="rId17"/>
          <w:headerReference w:type="default" r:id="rId18"/>
          <w:footerReference w:type="even" r:id="rId19"/>
          <w:headerReference w:type="first" r:id="rId20"/>
          <w:footerReference w:type="first" r:id="rId21"/>
          <w:pgSz w:w="11906" w:h="16838"/>
          <w:pgMar w:top="1440" w:right="1440" w:bottom="1440" w:left="1440" w:header="708" w:footer="708" w:gutter="0"/>
          <w:cols w:space="708"/>
          <w:docGrid w:linePitch="360"/>
        </w:sectPr>
      </w:pPr>
      <w:r>
        <w:t>Secretary</w:t>
      </w:r>
    </w:p>
    <w:p w14:paraId="05CE4324" w14:textId="77777777" w:rsidR="00136736" w:rsidRDefault="00136736" w:rsidP="008A0170">
      <w:pPr>
        <w:pStyle w:val="Heading1"/>
      </w:pPr>
    </w:p>
    <w:p w14:paraId="11998394" w14:textId="419ED7EC" w:rsidR="00B03D35" w:rsidRPr="00B03D35" w:rsidRDefault="00B03D35" w:rsidP="00B03D35">
      <w:pPr>
        <w:sectPr w:rsidR="00B03D35" w:rsidRPr="00B03D35" w:rsidSect="00DE1921">
          <w:pgSz w:w="11906" w:h="16838"/>
          <w:pgMar w:top="1440" w:right="1440" w:bottom="1440" w:left="1440" w:header="708" w:footer="708" w:gutter="0"/>
          <w:cols w:space="708"/>
          <w:docGrid w:linePitch="360"/>
        </w:sectPr>
      </w:pPr>
    </w:p>
    <w:p w14:paraId="3A898640" w14:textId="77777777" w:rsidR="003E5BF5" w:rsidRDefault="003E5BF5" w:rsidP="008A0170">
      <w:pPr>
        <w:pStyle w:val="Heading1"/>
      </w:pPr>
      <w:bookmarkStart w:id="8" w:name="_Toc55130675"/>
      <w:r w:rsidRPr="00F577F5">
        <w:t>ABOUT THE DEPARTMENT</w:t>
      </w:r>
      <w:bookmarkEnd w:id="8"/>
    </w:p>
    <w:p w14:paraId="037A4389" w14:textId="77777777" w:rsidR="003E5BF5" w:rsidRPr="00D779BA" w:rsidRDefault="003E5BF5" w:rsidP="008A0170">
      <w:pPr>
        <w:pStyle w:val="Heading2"/>
      </w:pPr>
      <w:r w:rsidRPr="00D779BA">
        <w:t>Our vision</w:t>
      </w:r>
    </w:p>
    <w:p w14:paraId="03BA425F" w14:textId="77777777" w:rsidR="003E5BF5" w:rsidRDefault="003E5BF5" w:rsidP="00DE1921">
      <w:pPr>
        <w:pStyle w:val="aaatyping"/>
      </w:pPr>
      <w:bookmarkStart w:id="9" w:name="P11"/>
      <w:r>
        <w:t xml:space="preserve">The </w:t>
      </w:r>
      <w:bookmarkEnd w:id="9"/>
      <w:r w:rsidRPr="00451816">
        <w:rPr>
          <w:rFonts w:ascii="VIC Light Italic" w:hAnsi="VIC Light Italic"/>
        </w:rPr>
        <w:t xml:space="preserve">Transport Integration Act 2010 </w:t>
      </w:r>
      <w:r w:rsidRPr="00DD1B8B">
        <w:t>(</w:t>
      </w:r>
      <w:bookmarkStart w:id="10" w:name="P11_14"/>
      <w:r w:rsidRPr="00DD1B8B">
        <w:t>t</w:t>
      </w:r>
      <w:r>
        <w:t xml:space="preserve">he </w:t>
      </w:r>
      <w:bookmarkEnd w:id="10"/>
      <w:r>
        <w:t>Act) is Victoria's principal transport act. The Act sets out the vision and objectives for the transport system.</w:t>
      </w:r>
    </w:p>
    <w:p w14:paraId="1B90E292" w14:textId="77777777" w:rsidR="003E5BF5" w:rsidRDefault="003E5BF5" w:rsidP="00DE1921">
      <w:pPr>
        <w:pStyle w:val="aaatyping"/>
      </w:pPr>
      <w:r>
        <w:t xml:space="preserve">The Act informs the Department of Transport’s (the department, DoT) vision to meet the aspirations of Victorians for a transport system that is simple, connected, accessible, reliable, safe and supports a productive, growing economy. </w:t>
      </w:r>
    </w:p>
    <w:p w14:paraId="2050CD63" w14:textId="77777777" w:rsidR="003E5BF5" w:rsidRPr="005531B8" w:rsidRDefault="003E5BF5" w:rsidP="008A0170">
      <w:pPr>
        <w:pStyle w:val="Heading2"/>
      </w:pPr>
      <w:r w:rsidRPr="005531B8">
        <w:t>Our objectives</w:t>
      </w:r>
    </w:p>
    <w:p w14:paraId="56E41A57" w14:textId="77777777" w:rsidR="003E5BF5" w:rsidRPr="00F3534A" w:rsidRDefault="003E5BF5" w:rsidP="008869A9">
      <w:pPr>
        <w:pStyle w:val="Heading4"/>
      </w:pPr>
      <w:r w:rsidRPr="00F3534A">
        <w:t>Social and economic inclusion</w:t>
      </w:r>
    </w:p>
    <w:p w14:paraId="07D37179" w14:textId="77777777" w:rsidR="003E5BF5" w:rsidRPr="00401DDA" w:rsidRDefault="003E5BF5" w:rsidP="00DE1921">
      <w:pPr>
        <w:pStyle w:val="aaatyping"/>
      </w:pPr>
      <w:r w:rsidRPr="0071366A">
        <w:t>The transport system should provide a means by which persons can access social and economic opportunities to support individual and community wellbeing</w:t>
      </w:r>
      <w:r>
        <w:t>.</w:t>
      </w:r>
    </w:p>
    <w:p w14:paraId="55B4D7B8" w14:textId="77777777" w:rsidR="003E5BF5" w:rsidRPr="005531B8" w:rsidRDefault="003E5BF5" w:rsidP="008869A9">
      <w:pPr>
        <w:pStyle w:val="Heading4"/>
      </w:pPr>
      <w:r w:rsidRPr="005531B8">
        <w:t>Economic prosperity</w:t>
      </w:r>
    </w:p>
    <w:p w14:paraId="15C4807E" w14:textId="77777777" w:rsidR="003E5BF5" w:rsidRDefault="003E5BF5" w:rsidP="00DE1921">
      <w:pPr>
        <w:pStyle w:val="aaatyping"/>
      </w:pPr>
      <w:r w:rsidRPr="00D676C7">
        <w:t>The transport system should facilitate economic prosperit</w:t>
      </w:r>
      <w:r>
        <w:t>y.</w:t>
      </w:r>
    </w:p>
    <w:p w14:paraId="2E8222AA" w14:textId="77777777" w:rsidR="003E5BF5" w:rsidRPr="005531B8" w:rsidRDefault="003E5BF5" w:rsidP="008869A9">
      <w:pPr>
        <w:pStyle w:val="Heading4"/>
      </w:pPr>
      <w:r w:rsidRPr="005531B8">
        <w:t>Environmental sustainability</w:t>
      </w:r>
    </w:p>
    <w:p w14:paraId="517892C6" w14:textId="77777777" w:rsidR="003E5BF5" w:rsidRPr="00237FB9" w:rsidRDefault="003E5BF5" w:rsidP="00DE1921">
      <w:pPr>
        <w:pStyle w:val="aaatyping"/>
      </w:pPr>
      <w:r w:rsidRPr="006758E5">
        <w:t>The transport system should actively contribute to environmental sustainability</w:t>
      </w:r>
      <w:r>
        <w:t>.</w:t>
      </w:r>
    </w:p>
    <w:p w14:paraId="19A3868E" w14:textId="77777777" w:rsidR="003E5BF5" w:rsidRPr="005531B8" w:rsidRDefault="003E5BF5" w:rsidP="008869A9">
      <w:pPr>
        <w:pStyle w:val="Heading4"/>
      </w:pPr>
      <w:r w:rsidRPr="005531B8">
        <w:t>Integration of transport and land use</w:t>
      </w:r>
    </w:p>
    <w:p w14:paraId="316DBA26" w14:textId="77777777" w:rsidR="003E5BF5" w:rsidRDefault="003E5BF5" w:rsidP="00DE1921">
      <w:pPr>
        <w:pStyle w:val="aaatyping"/>
      </w:pPr>
      <w:r w:rsidRPr="002D42C7">
        <w:t>The transport system should provide for the effective integration of transport and land use</w:t>
      </w:r>
      <w:r>
        <w:t>,</w:t>
      </w:r>
      <w:r w:rsidRPr="002D42C7">
        <w:t xml:space="preserve"> and facilitate access to social and economic opportunities</w:t>
      </w:r>
      <w:r>
        <w:t>.</w:t>
      </w:r>
    </w:p>
    <w:p w14:paraId="598AFEFF" w14:textId="77777777" w:rsidR="003E5BF5" w:rsidRPr="005531B8" w:rsidRDefault="003E5BF5" w:rsidP="008869A9">
      <w:pPr>
        <w:pStyle w:val="Heading4"/>
      </w:pPr>
      <w:r w:rsidRPr="005531B8">
        <w:lastRenderedPageBreak/>
        <w:t>Efficiency, coordination and reliability</w:t>
      </w:r>
    </w:p>
    <w:p w14:paraId="44656982" w14:textId="77777777" w:rsidR="003E5BF5" w:rsidRDefault="003E5BF5" w:rsidP="00DE1921">
      <w:pPr>
        <w:pStyle w:val="aaatyping"/>
      </w:pPr>
      <w:r>
        <w:t>The transport system should facilitate network-wide, efficient, coordinated and reliable movements of persons and goods.</w:t>
      </w:r>
    </w:p>
    <w:p w14:paraId="018D7726" w14:textId="77777777" w:rsidR="003E5BF5" w:rsidRPr="005531B8" w:rsidRDefault="003E5BF5" w:rsidP="008869A9">
      <w:pPr>
        <w:pStyle w:val="Heading4"/>
      </w:pPr>
      <w:r w:rsidRPr="005531B8">
        <w:t>Safety and health and wellbeing</w:t>
      </w:r>
    </w:p>
    <w:p w14:paraId="58F40371" w14:textId="77777777" w:rsidR="00950ED1" w:rsidRDefault="003E5BF5" w:rsidP="00FD1A27">
      <w:pPr>
        <w:pStyle w:val="aaatyping"/>
      </w:pPr>
      <w:r>
        <w:t>The transport system should be safe, and it should support health and wellbeing.</w:t>
      </w:r>
    </w:p>
    <w:p w14:paraId="19E5EB55" w14:textId="6BE09CBB" w:rsidR="00C04A17" w:rsidRDefault="00C04A17" w:rsidP="008A0170">
      <w:pPr>
        <w:pStyle w:val="Heading2"/>
      </w:pPr>
      <w:r>
        <w:t>Our purpose</w:t>
      </w:r>
    </w:p>
    <w:p w14:paraId="1BFCCF7D" w14:textId="774B2C0D" w:rsidR="003E5BF5" w:rsidRPr="00E74BEE" w:rsidRDefault="003E5BF5" w:rsidP="00DE1921">
      <w:pPr>
        <w:pStyle w:val="aaatyping"/>
      </w:pPr>
      <w:r>
        <w:t>The department’s</w:t>
      </w:r>
      <w:r w:rsidRPr="00E74BEE">
        <w:t xml:space="preserve"> purpose is to deliver </w:t>
      </w:r>
      <w:r>
        <w:t>S</w:t>
      </w:r>
      <w:r w:rsidRPr="00E74BEE">
        <w:t xml:space="preserve">imple, </w:t>
      </w:r>
      <w:r>
        <w:t>C</w:t>
      </w:r>
      <w:r w:rsidRPr="00E74BEE">
        <w:t xml:space="preserve">onnected </w:t>
      </w:r>
      <w:r>
        <w:t>J</w:t>
      </w:r>
      <w:r w:rsidRPr="00E74BEE">
        <w:t>ourneys.</w:t>
      </w:r>
    </w:p>
    <w:p w14:paraId="4CB0B986" w14:textId="77777777" w:rsidR="003E5BF5" w:rsidRDefault="003E5BF5" w:rsidP="00DE1921">
      <w:pPr>
        <w:pStyle w:val="aaatyping"/>
      </w:pPr>
      <w:r>
        <w:t xml:space="preserve">As we plan, deliver and operate the transport system, we ensure that it safely and sustainably meets the needs of the people and freight that travel on it, both now and in the future. We bring together management of ports, boating and fisheries for commercial and recreational uses. </w:t>
      </w:r>
    </w:p>
    <w:p w14:paraId="32CA3A56" w14:textId="77777777" w:rsidR="003E5BF5" w:rsidRDefault="003E5BF5" w:rsidP="00DE1921">
      <w:pPr>
        <w:pStyle w:val="aaatyping"/>
      </w:pPr>
      <w:r>
        <w:t>We ensure that transport agencies and operators work towards a common goal of an integrated transport system that contributes to an inclusive, prosperous and environmentally responsible state.</w:t>
      </w:r>
    </w:p>
    <w:p w14:paraId="132CBF93" w14:textId="6A3B6CF5" w:rsidR="003E5BF5" w:rsidRDefault="003E5BF5" w:rsidP="00DE1921">
      <w:pPr>
        <w:pStyle w:val="aaatyping"/>
      </w:pPr>
      <w:r>
        <w:t xml:space="preserve">The new integrated department brings together the former VicRoads and PTV with the department to plan, deliver and operate Victoria’s transport system. </w:t>
      </w:r>
    </w:p>
    <w:p w14:paraId="36BE2512" w14:textId="77777777" w:rsidR="003E5BF5" w:rsidRDefault="003E5BF5" w:rsidP="00DE1921">
      <w:pPr>
        <w:pStyle w:val="aaatyping"/>
      </w:pPr>
      <w:r>
        <w:t xml:space="preserve">The new Department of Transport is able to: </w:t>
      </w:r>
    </w:p>
    <w:p w14:paraId="37A105FF" w14:textId="77777777" w:rsidR="003E5BF5" w:rsidRPr="00DE1921" w:rsidRDefault="003E5BF5" w:rsidP="00DE1921">
      <w:pPr>
        <w:pStyle w:val="aaabullet"/>
      </w:pPr>
      <w:r w:rsidRPr="00DE1921">
        <w:t xml:space="preserve">respond faster and give people the information they need to make the best travel choices </w:t>
      </w:r>
    </w:p>
    <w:p w14:paraId="376FD50A" w14:textId="77777777" w:rsidR="003E5BF5" w:rsidRPr="00711209" w:rsidRDefault="003E5BF5" w:rsidP="00DE1921">
      <w:pPr>
        <w:pStyle w:val="aaabullet"/>
      </w:pPr>
      <w:r w:rsidRPr="00711209">
        <w:t>make better use of existing road and rail infrastructure</w:t>
      </w:r>
    </w:p>
    <w:p w14:paraId="584CAC76" w14:textId="77777777" w:rsidR="003E5BF5" w:rsidRPr="00711209" w:rsidRDefault="003E5BF5" w:rsidP="00DE1921">
      <w:pPr>
        <w:pStyle w:val="aaabullet"/>
      </w:pPr>
      <w:r w:rsidRPr="00711209">
        <w:t xml:space="preserve">respond more quickly to innovation and new transport technologies </w:t>
      </w:r>
    </w:p>
    <w:p w14:paraId="1080FDD1" w14:textId="77777777" w:rsidR="003E5BF5" w:rsidRPr="00711209" w:rsidRDefault="003E5BF5" w:rsidP="00DE1921">
      <w:pPr>
        <w:pStyle w:val="aaabullet"/>
      </w:pPr>
      <w:r w:rsidRPr="00711209">
        <w:t xml:space="preserve">take a holistic view in planning to meet future demand  </w:t>
      </w:r>
    </w:p>
    <w:p w14:paraId="3F95F153" w14:textId="77777777" w:rsidR="003E5BF5" w:rsidRPr="00711209" w:rsidRDefault="003E5BF5" w:rsidP="00DE1921">
      <w:pPr>
        <w:pStyle w:val="aaabullet"/>
      </w:pPr>
      <w:r w:rsidRPr="00711209">
        <w:lastRenderedPageBreak/>
        <w:t>partner with others to address a range of issues, from safety to reducing environmental impacts.</w:t>
      </w:r>
    </w:p>
    <w:p w14:paraId="7657D20B" w14:textId="77777777" w:rsidR="003E5BF5" w:rsidRDefault="003E5BF5" w:rsidP="00DE1921">
      <w:pPr>
        <w:pStyle w:val="aaatyping"/>
      </w:pPr>
      <w:r>
        <w:t xml:space="preserve">Our work supports three ministers, spans seven ministerial portfolios, and operates across metropolitan and regional offices. </w:t>
      </w:r>
    </w:p>
    <w:p w14:paraId="7D729D50" w14:textId="77777777" w:rsidR="003E5BF5" w:rsidRDefault="003E5BF5">
      <w:pPr>
        <w:rPr>
          <w:rFonts w:eastAsiaTheme="majorEastAsia" w:cstheme="majorBidi"/>
          <w:color w:val="00B2A9"/>
          <w:spacing w:val="-10"/>
          <w:kern w:val="28"/>
          <w:sz w:val="26"/>
          <w:szCs w:val="26"/>
        </w:rPr>
        <w:sectPr w:rsidR="003E5BF5" w:rsidSect="00740495">
          <w:footerReference w:type="even" r:id="rId22"/>
          <w:footerReference w:type="default" r:id="rId23"/>
          <w:type w:val="continuous"/>
          <w:pgSz w:w="11906" w:h="16838"/>
          <w:pgMar w:top="1701" w:right="1418" w:bottom="1418" w:left="1418" w:header="709" w:footer="709" w:gutter="0"/>
          <w:cols w:space="284"/>
          <w:docGrid w:linePitch="360"/>
        </w:sectPr>
      </w:pPr>
    </w:p>
    <w:p w14:paraId="310A0BA9" w14:textId="77777777" w:rsidR="003E5BF5" w:rsidRDefault="003E5BF5">
      <w:pPr>
        <w:rPr>
          <w:rFonts w:eastAsiaTheme="majorEastAsia" w:cstheme="majorBidi"/>
          <w:color w:val="00B2A9"/>
          <w:spacing w:val="-10"/>
          <w:kern w:val="28"/>
          <w:sz w:val="26"/>
          <w:szCs w:val="26"/>
        </w:rPr>
      </w:pPr>
    </w:p>
    <w:p w14:paraId="696E2723" w14:textId="77777777" w:rsidR="003E5BF5" w:rsidRPr="00F577F5" w:rsidRDefault="003E5BF5" w:rsidP="008A0170">
      <w:pPr>
        <w:pStyle w:val="Heading1"/>
        <w:sectPr w:rsidR="003E5BF5" w:rsidRPr="00F577F5" w:rsidSect="00DE1921">
          <w:pgSz w:w="11906" w:h="16838"/>
          <w:pgMar w:top="1701" w:right="1418" w:bottom="1418" w:left="1418" w:header="709" w:footer="709" w:gutter="0"/>
          <w:cols w:space="284"/>
          <w:docGrid w:linePitch="360"/>
        </w:sectPr>
      </w:pPr>
    </w:p>
    <w:p w14:paraId="41E05443" w14:textId="77777777" w:rsidR="003E5BF5" w:rsidRDefault="003E5BF5" w:rsidP="008A0170">
      <w:pPr>
        <w:pStyle w:val="Heading2"/>
      </w:pPr>
      <w:bookmarkStart w:id="11" w:name="P14org"/>
      <w:r w:rsidRPr="00EE77E1">
        <w:t xml:space="preserve">Organisational </w:t>
      </w:r>
      <w:bookmarkEnd w:id="11"/>
      <w:r w:rsidRPr="00EE77E1">
        <w:t>chart</w:t>
      </w:r>
    </w:p>
    <w:p w14:paraId="560D736B" w14:textId="77777777" w:rsidR="003E5BF5" w:rsidRDefault="003E5BF5" w:rsidP="00DE1921">
      <w:r>
        <w:rPr>
          <w:noProof/>
        </w:rPr>
        <w:drawing>
          <wp:inline distT="0" distB="0" distL="0" distR="0" wp14:anchorId="71116949" wp14:editId="40DB2F9D">
            <wp:extent cx="5759450" cy="7425690"/>
            <wp:effectExtent l="0" t="0" r="0" b="3810"/>
            <wp:docPr id="5" name="Picture 5" descr="This is an infographic showing the Department of Transport organisational chart. &#10;Paul Younis is the Secretary. The following areas report into the Secretary:&#10;• The Office of the General Counsel which is led by Rob Pearce&#10;• Intergovernmental Relations which is led by Lachlan McDonald&#10;• Strategic Communications and Engagement which is led by Rebecca Skelton&#10;• The Policy and Innovation group which is led by Megan Bourke-O’Neil, Deputy Secretary, Policy and Innovation&#10;•The Network and Planning group which is led by Robyn Seymour, Deputy Secretary, Network and Planning group&#10;• The Network Integration group which is led by William Tieppo, Deputy Secretary, Network Integration &#10;• Transport Services group&#10;which is led by Nicholas Foa, Deputy Secretary, Transport Services &#10;• Investment and Technology group which is led by Dean Tighe, Deputy Secretary, Investment and Technology &#10;• People and Business Services group which is led by Melinda Collinson  Deputy Secretary,People and Business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T AR 2020 Creative (Org Chart 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7425690"/>
                    </a:xfrm>
                    <a:prstGeom prst="rect">
                      <a:avLst/>
                    </a:prstGeom>
                  </pic:spPr>
                </pic:pic>
              </a:graphicData>
            </a:graphic>
          </wp:inline>
        </w:drawing>
      </w:r>
    </w:p>
    <w:p w14:paraId="0D908B7C" w14:textId="77777777" w:rsidR="003E5BF5" w:rsidRDefault="003E5BF5" w:rsidP="008A0170">
      <w:pPr>
        <w:pStyle w:val="Heading2"/>
      </w:pPr>
    </w:p>
    <w:p w14:paraId="497663A2" w14:textId="579BC2E4" w:rsidR="00225541" w:rsidRPr="00225541" w:rsidRDefault="00225541" w:rsidP="00225541">
      <w:pPr>
        <w:sectPr w:rsidR="00225541" w:rsidRPr="00225541" w:rsidSect="00DE1921">
          <w:footerReference w:type="even" r:id="rId25"/>
          <w:footerReference w:type="default" r:id="rId26"/>
          <w:type w:val="continuous"/>
          <w:pgSz w:w="11906" w:h="16838"/>
          <w:pgMar w:top="1701" w:right="1418" w:bottom="1418" w:left="1418" w:header="709" w:footer="709" w:gutter="0"/>
          <w:cols w:space="284"/>
          <w:docGrid w:linePitch="360"/>
        </w:sectPr>
      </w:pPr>
    </w:p>
    <w:p w14:paraId="5DD90BC7" w14:textId="77777777" w:rsidR="003E5BF5" w:rsidRPr="00C80270" w:rsidRDefault="003E5BF5" w:rsidP="008A0170">
      <w:pPr>
        <w:pStyle w:val="Heading3"/>
      </w:pPr>
      <w:r w:rsidRPr="00C80270">
        <w:lastRenderedPageBreak/>
        <w:t>Our portfolio</w:t>
      </w:r>
    </w:p>
    <w:p w14:paraId="6AA5A788" w14:textId="77777777" w:rsidR="003E5BF5" w:rsidRDefault="003E5BF5" w:rsidP="00DE1921">
      <w:pPr>
        <w:pStyle w:val="aaatyping"/>
      </w:pPr>
      <w:r>
        <w:t xml:space="preserve">The department’s divisions and agencies work together </w:t>
      </w:r>
      <w:r w:rsidRPr="00FC717B">
        <w:t xml:space="preserve">to design, plan, build and operate </w:t>
      </w:r>
      <w:r>
        <w:t xml:space="preserve">the Victorian transport system. </w:t>
      </w:r>
    </w:p>
    <w:p w14:paraId="70190F3A" w14:textId="77777777" w:rsidR="003E5BF5" w:rsidRDefault="003E5BF5" w:rsidP="00DE1921">
      <w:pPr>
        <w:pStyle w:val="aaatyping"/>
      </w:pPr>
      <w:r>
        <w:t>The department works closely with the Major Transport Infrastructure Authority (MTIA), an administrative office of the department, in planning, developing and delivering major transport projects. The department and MTIA ensure major construction activities and disruptions are coordinated across the transport network, including plans to keep people moving through major works periods.</w:t>
      </w:r>
    </w:p>
    <w:p w14:paraId="0C6A29D2" w14:textId="09B443BD" w:rsidR="003E5BF5" w:rsidRDefault="003E5BF5" w:rsidP="00DE1921">
      <w:pPr>
        <w:spacing w:after="0"/>
      </w:pPr>
      <w:r>
        <w:rPr>
          <w:noProof/>
        </w:rPr>
        <w:drawing>
          <wp:inline distT="0" distB="0" distL="0" distR="0" wp14:anchorId="7785F924" wp14:editId="7BB64936">
            <wp:extent cx="5759450" cy="1602740"/>
            <wp:effectExtent l="0" t="0" r="0" b="0"/>
            <wp:docPr id="6" name="Picture 6" descr="This is an infographic showing the Major Transport Infrastructure Authority organisational chart.&#10;Corey Hannett is the Director General. The follow projects are part of the Major Transport Infrastructure Authority:&#10;• Level Crossing Removal Project, led by Kevin Devlin, CEO &#10;• Major Road Projects Victoria, led by Allen Garner, CEO &#10;• North East Link Project, led by Duncan Elliott, CEO &#10;• Rail Projects Victoria, led by Evan Tattersall, CEO &#10;• West Gate Tunnel Project, led by Peter Sammut, CE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T AR 2020 Creative (Org Chart 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1602740"/>
                    </a:xfrm>
                    <a:prstGeom prst="rect">
                      <a:avLst/>
                    </a:prstGeom>
                  </pic:spPr>
                </pic:pic>
              </a:graphicData>
            </a:graphic>
          </wp:inline>
        </w:drawing>
      </w:r>
    </w:p>
    <w:p w14:paraId="63976B12" w14:textId="77777777" w:rsidR="0043433C" w:rsidRDefault="0043433C" w:rsidP="00DE1921">
      <w:pPr>
        <w:spacing w:after="0"/>
      </w:pPr>
    </w:p>
    <w:p w14:paraId="5FD3199B" w14:textId="77777777" w:rsidR="003E5BF5" w:rsidRDefault="003E5BF5" w:rsidP="00DE1921">
      <w:pPr>
        <w:pStyle w:val="aaatyping"/>
        <w:sectPr w:rsidR="003E5BF5" w:rsidSect="00DE1921">
          <w:pgSz w:w="11906" w:h="16838"/>
          <w:pgMar w:top="1701" w:right="1418" w:bottom="1418" w:left="1418" w:header="709" w:footer="709" w:gutter="0"/>
          <w:cols w:space="284"/>
          <w:docGrid w:linePitch="360"/>
        </w:sectPr>
      </w:pPr>
      <w:r w:rsidRPr="008F57BA">
        <w:t xml:space="preserve">The department’s strong relationship with </w:t>
      </w:r>
      <w:r>
        <w:t xml:space="preserve">the transport portfolio </w:t>
      </w:r>
      <w:r w:rsidRPr="008F57BA">
        <w:t xml:space="preserve">agencies, partners, </w:t>
      </w:r>
      <w:r>
        <w:t xml:space="preserve">and operators </w:t>
      </w:r>
      <w:r w:rsidRPr="008F57BA">
        <w:t>play</w:t>
      </w:r>
      <w:r>
        <w:t>s</w:t>
      </w:r>
      <w:r w:rsidRPr="008F57BA">
        <w:t xml:space="preserve"> an </w:t>
      </w:r>
      <w:r>
        <w:t>essential</w:t>
      </w:r>
      <w:r w:rsidRPr="008F57BA" w:rsidDel="00852F4A">
        <w:t xml:space="preserve"> </w:t>
      </w:r>
      <w:r w:rsidRPr="008F57BA">
        <w:t>role in delivering an integrated and sustainable transport system.</w:t>
      </w:r>
    </w:p>
    <w:p w14:paraId="408A319D" w14:textId="77777777" w:rsidR="003E5BF5" w:rsidRDefault="003E5BF5" w:rsidP="00DE1921">
      <w:pPr>
        <w:pStyle w:val="aaatyping"/>
      </w:pPr>
      <w:r>
        <w:t xml:space="preserve">Our department includes: </w:t>
      </w:r>
    </w:p>
    <w:p w14:paraId="109E39DE" w14:textId="77777777" w:rsidR="003E5BF5" w:rsidRDefault="003E5BF5" w:rsidP="00DE1921">
      <w:pPr>
        <w:pStyle w:val="aaabullet"/>
      </w:pPr>
      <w:r>
        <w:t xml:space="preserve">Transport for Victoria </w:t>
      </w:r>
    </w:p>
    <w:p w14:paraId="211EA75B" w14:textId="77777777" w:rsidR="003E5BF5" w:rsidRDefault="003E5BF5" w:rsidP="00DE1921">
      <w:pPr>
        <w:pStyle w:val="aaabullet"/>
      </w:pPr>
      <w:r>
        <w:t>VicRoads Registration &amp; Licensing</w:t>
      </w:r>
    </w:p>
    <w:p w14:paraId="30072042" w14:textId="77777777" w:rsidR="003E5BF5" w:rsidRDefault="003E5BF5" w:rsidP="00DE1921">
      <w:pPr>
        <w:pStyle w:val="aaabullet"/>
      </w:pPr>
      <w:r>
        <w:t>Road Safety Victoria</w:t>
      </w:r>
    </w:p>
    <w:p w14:paraId="1C6D416C" w14:textId="77777777" w:rsidR="003E5BF5" w:rsidRDefault="003E5BF5" w:rsidP="00DE1921">
      <w:pPr>
        <w:pStyle w:val="aaabullet"/>
      </w:pPr>
      <w:r>
        <w:t xml:space="preserve">Regional Roads Victoria </w:t>
      </w:r>
    </w:p>
    <w:p w14:paraId="26737D9D" w14:textId="77777777" w:rsidR="003E5BF5" w:rsidRDefault="003E5BF5" w:rsidP="00DE1921">
      <w:pPr>
        <w:pStyle w:val="aaabullet"/>
      </w:pPr>
      <w:r>
        <w:t xml:space="preserve">Better Boating Victoria </w:t>
      </w:r>
    </w:p>
    <w:p w14:paraId="37A6BE69" w14:textId="77777777" w:rsidR="003E5BF5" w:rsidRDefault="003E5BF5" w:rsidP="00DE1921">
      <w:pPr>
        <w:pStyle w:val="aaabullet"/>
      </w:pPr>
      <w:r>
        <w:t xml:space="preserve">Freight Victoria </w:t>
      </w:r>
    </w:p>
    <w:p w14:paraId="12E39BD6" w14:textId="77777777" w:rsidR="003E5BF5" w:rsidRDefault="003E5BF5" w:rsidP="00DE1921">
      <w:pPr>
        <w:pStyle w:val="aaabullet"/>
      </w:pPr>
      <w:r>
        <w:t xml:space="preserve">Active Transport Victoria. </w:t>
      </w:r>
    </w:p>
    <w:p w14:paraId="40DE247A" w14:textId="77777777" w:rsidR="003E5BF5" w:rsidRDefault="003E5BF5" w:rsidP="00DE1921">
      <w:pPr>
        <w:pStyle w:val="aaatyping"/>
      </w:pPr>
      <w:r>
        <w:lastRenderedPageBreak/>
        <w:t xml:space="preserve">Our portfolio partners include: </w:t>
      </w:r>
    </w:p>
    <w:p w14:paraId="252A3DF4" w14:textId="77777777" w:rsidR="003E5BF5" w:rsidRDefault="003E5BF5" w:rsidP="00DE1921">
      <w:pPr>
        <w:pStyle w:val="aaabullet"/>
      </w:pPr>
      <w:r>
        <w:t xml:space="preserve">Major Transport Infrastructure Authority </w:t>
      </w:r>
    </w:p>
    <w:p w14:paraId="6097871D" w14:textId="77777777" w:rsidR="003E5BF5" w:rsidRDefault="003E5BF5" w:rsidP="00DE1921">
      <w:pPr>
        <w:pStyle w:val="aaabullet"/>
      </w:pPr>
      <w:r>
        <w:t>Suburban Rail Loop Authority</w:t>
      </w:r>
    </w:p>
    <w:p w14:paraId="30275CB2" w14:textId="77777777" w:rsidR="003E5BF5" w:rsidRDefault="003E5BF5" w:rsidP="00DE1921">
      <w:pPr>
        <w:pStyle w:val="aaabullet"/>
      </w:pPr>
      <w:r>
        <w:t xml:space="preserve">Transport Safety Victoria </w:t>
      </w:r>
    </w:p>
    <w:p w14:paraId="711BE77C" w14:textId="77777777" w:rsidR="003E5BF5" w:rsidRDefault="003E5BF5" w:rsidP="00DE1921">
      <w:pPr>
        <w:pStyle w:val="aaabullet"/>
      </w:pPr>
      <w:r>
        <w:t xml:space="preserve">Chief Investigator, Transport Safety </w:t>
      </w:r>
    </w:p>
    <w:p w14:paraId="568C838C" w14:textId="77777777" w:rsidR="003E5BF5" w:rsidRDefault="003E5BF5" w:rsidP="00DE1921">
      <w:pPr>
        <w:pStyle w:val="aaabullet"/>
      </w:pPr>
      <w:proofErr w:type="spellStart"/>
      <w:r>
        <w:t>VicTrack</w:t>
      </w:r>
      <w:proofErr w:type="spellEnd"/>
      <w:r>
        <w:t xml:space="preserve"> </w:t>
      </w:r>
    </w:p>
    <w:p w14:paraId="7360A146" w14:textId="77777777" w:rsidR="00BA32DD" w:rsidRDefault="003E5BF5" w:rsidP="00DE1921">
      <w:pPr>
        <w:pStyle w:val="aaabullet"/>
      </w:pPr>
      <w:r>
        <w:t xml:space="preserve">Transport Accident Commission </w:t>
      </w:r>
    </w:p>
    <w:p w14:paraId="02B1367A" w14:textId="77777777" w:rsidR="00156220" w:rsidRDefault="00156220" w:rsidP="00DE1921"/>
    <w:p w14:paraId="68B1922E" w14:textId="2ADD2D84" w:rsidR="003E5BF5" w:rsidRDefault="003E5BF5" w:rsidP="00DE1921">
      <w:pPr>
        <w:pStyle w:val="aaatyping"/>
      </w:pPr>
      <w:r>
        <w:t xml:space="preserve">Our agencies include: </w:t>
      </w:r>
    </w:p>
    <w:p w14:paraId="7F41EFA9" w14:textId="77777777" w:rsidR="003E5BF5" w:rsidRDefault="003E5BF5" w:rsidP="00DE1921">
      <w:pPr>
        <w:pStyle w:val="aaabullet"/>
      </w:pPr>
      <w:r>
        <w:t xml:space="preserve">Commercial Passenger Vehicles Victoria </w:t>
      </w:r>
    </w:p>
    <w:p w14:paraId="1F941764" w14:textId="77777777" w:rsidR="003E5BF5" w:rsidRDefault="003E5BF5" w:rsidP="00DE1921">
      <w:pPr>
        <w:pStyle w:val="aaabullet"/>
      </w:pPr>
      <w:r>
        <w:t xml:space="preserve">Victorian Ports Corporation Melbourne </w:t>
      </w:r>
    </w:p>
    <w:p w14:paraId="0F520783" w14:textId="77777777" w:rsidR="003E5BF5" w:rsidRDefault="003E5BF5" w:rsidP="00DE1921">
      <w:pPr>
        <w:pStyle w:val="aaabullet"/>
      </w:pPr>
      <w:r>
        <w:t xml:space="preserve">Victorian Regional Channels Authority </w:t>
      </w:r>
    </w:p>
    <w:p w14:paraId="58F6D832" w14:textId="77777777" w:rsidR="003E5BF5" w:rsidRDefault="003E5BF5" w:rsidP="00DE1921">
      <w:pPr>
        <w:pStyle w:val="aaabullet"/>
      </w:pPr>
      <w:r>
        <w:t xml:space="preserve">Port of Hastings Development Authority </w:t>
      </w:r>
    </w:p>
    <w:p w14:paraId="10D0EB6E" w14:textId="77777777" w:rsidR="003E5BF5" w:rsidRDefault="003E5BF5" w:rsidP="00DE1921">
      <w:pPr>
        <w:pStyle w:val="aaabullet"/>
      </w:pPr>
      <w:r>
        <w:t xml:space="preserve">Victorian Fisheries Authority </w:t>
      </w:r>
    </w:p>
    <w:p w14:paraId="39E498B4" w14:textId="77777777" w:rsidR="003E5BF5" w:rsidRDefault="003E5BF5" w:rsidP="00DE1921">
      <w:pPr>
        <w:pStyle w:val="aaabullet"/>
      </w:pPr>
      <w:r>
        <w:t>Development Victoria</w:t>
      </w:r>
    </w:p>
    <w:p w14:paraId="11C2FEA5" w14:textId="77777777" w:rsidR="003E5BF5" w:rsidRDefault="003E5BF5" w:rsidP="00DE1921">
      <w:pPr>
        <w:pStyle w:val="aaatyping"/>
      </w:pPr>
      <w:r>
        <w:t xml:space="preserve">Our transport operators include: </w:t>
      </w:r>
    </w:p>
    <w:p w14:paraId="00AFBDD6" w14:textId="77777777" w:rsidR="003E5BF5" w:rsidRDefault="003E5BF5" w:rsidP="00DE1921">
      <w:pPr>
        <w:pStyle w:val="aaabullet"/>
      </w:pPr>
      <w:r>
        <w:t xml:space="preserve">Metro Trains Melbourne </w:t>
      </w:r>
    </w:p>
    <w:p w14:paraId="71126F90" w14:textId="77777777" w:rsidR="003E5BF5" w:rsidRDefault="003E5BF5" w:rsidP="00DE1921">
      <w:pPr>
        <w:pStyle w:val="aaabullet"/>
      </w:pPr>
      <w:r>
        <w:t xml:space="preserve">Yarra Trams </w:t>
      </w:r>
    </w:p>
    <w:p w14:paraId="6B4EE9B0" w14:textId="77777777" w:rsidR="003E5BF5" w:rsidRDefault="003E5BF5" w:rsidP="00DE1921">
      <w:pPr>
        <w:pStyle w:val="aaabullet"/>
      </w:pPr>
      <w:r>
        <w:t xml:space="preserve">V/Line </w:t>
      </w:r>
    </w:p>
    <w:p w14:paraId="4D67EC6A" w14:textId="77777777" w:rsidR="003E5BF5" w:rsidRDefault="003E5BF5" w:rsidP="00DE1921">
      <w:pPr>
        <w:pStyle w:val="aaabullet"/>
      </w:pPr>
      <w:proofErr w:type="spellStart"/>
      <w:r>
        <w:t>EastLink</w:t>
      </w:r>
      <w:proofErr w:type="spellEnd"/>
      <w:r>
        <w:t xml:space="preserve"> </w:t>
      </w:r>
    </w:p>
    <w:p w14:paraId="26E57281" w14:textId="77777777" w:rsidR="003E5BF5" w:rsidRDefault="003E5BF5" w:rsidP="00DE1921">
      <w:pPr>
        <w:pStyle w:val="aaabullet"/>
      </w:pPr>
      <w:proofErr w:type="spellStart"/>
      <w:r>
        <w:t>CityLink</w:t>
      </w:r>
      <w:proofErr w:type="spellEnd"/>
    </w:p>
    <w:p w14:paraId="4B668A17" w14:textId="77777777" w:rsidR="003E5BF5" w:rsidRDefault="003E5BF5" w:rsidP="00DE1921">
      <w:pPr>
        <w:pStyle w:val="aaabullet"/>
      </w:pPr>
      <w:r>
        <w:t xml:space="preserve">Peninsula Link </w:t>
      </w:r>
    </w:p>
    <w:p w14:paraId="37CC7C48" w14:textId="77777777" w:rsidR="003E5BF5" w:rsidRDefault="003E5BF5" w:rsidP="00DE1921">
      <w:pPr>
        <w:pStyle w:val="aaabullet"/>
      </w:pPr>
      <w:proofErr w:type="spellStart"/>
      <w:r>
        <w:t>SkyBus</w:t>
      </w:r>
      <w:proofErr w:type="spellEnd"/>
      <w:r>
        <w:t xml:space="preserve"> </w:t>
      </w:r>
    </w:p>
    <w:p w14:paraId="3AC8AD86" w14:textId="77777777" w:rsidR="003E5BF5" w:rsidRDefault="003E5BF5" w:rsidP="00DE1921">
      <w:pPr>
        <w:pStyle w:val="aaabullet"/>
      </w:pPr>
      <w:r>
        <w:t xml:space="preserve">bus operators </w:t>
      </w:r>
    </w:p>
    <w:p w14:paraId="3FB5BF94" w14:textId="77777777" w:rsidR="003E5BF5" w:rsidRDefault="003E5BF5" w:rsidP="00DE1921">
      <w:pPr>
        <w:pStyle w:val="aaabullet"/>
        <w:sectPr w:rsidR="003E5BF5" w:rsidSect="00156220">
          <w:type w:val="continuous"/>
          <w:pgSz w:w="11906" w:h="16838"/>
          <w:pgMar w:top="1701" w:right="1418" w:bottom="1418" w:left="1418" w:header="709" w:footer="709" w:gutter="0"/>
          <w:cols w:space="284"/>
          <w:docGrid w:linePitch="360"/>
        </w:sectPr>
      </w:pPr>
      <w:r>
        <w:t>port operators</w:t>
      </w:r>
    </w:p>
    <w:p w14:paraId="5BEE8CE3" w14:textId="77777777" w:rsidR="003E5BF5" w:rsidRPr="009B3AC2" w:rsidRDefault="003E5BF5" w:rsidP="008A0170">
      <w:pPr>
        <w:pStyle w:val="Heading1"/>
      </w:pPr>
      <w:bookmarkStart w:id="12" w:name="_Toc55130676"/>
      <w:r w:rsidRPr="009B3AC2">
        <w:lastRenderedPageBreak/>
        <w:t>Governance</w:t>
      </w:r>
      <w:bookmarkEnd w:id="12"/>
    </w:p>
    <w:p w14:paraId="699FD3B4" w14:textId="77777777" w:rsidR="003E5BF5" w:rsidRPr="00C80270" w:rsidRDefault="003E5BF5" w:rsidP="008A0170">
      <w:pPr>
        <w:pStyle w:val="Heading2"/>
      </w:pPr>
      <w:r w:rsidRPr="00C80270">
        <w:t>Ministers</w:t>
      </w:r>
    </w:p>
    <w:p w14:paraId="3389882B" w14:textId="66A8CED1" w:rsidR="003E5BF5" w:rsidRDefault="003E5BF5" w:rsidP="00DE1921">
      <w:pPr>
        <w:pStyle w:val="aaatyping"/>
      </w:pPr>
      <w:bookmarkStart w:id="13" w:name="P17"/>
      <w:r w:rsidRPr="008A551B">
        <w:t xml:space="preserve">The </w:t>
      </w:r>
      <w:bookmarkEnd w:id="13"/>
      <w:r>
        <w:t>department provides</w:t>
      </w:r>
      <w:r w:rsidRPr="008A551B">
        <w:t xml:space="preserve"> support and advice to three transport sector ministers.</w:t>
      </w:r>
      <w:r w:rsidRPr="00AE03BD">
        <w:t xml:space="preserve"> </w:t>
      </w:r>
    </w:p>
    <w:p w14:paraId="3E8DBDE9" w14:textId="53A22343" w:rsidR="004E297E" w:rsidRDefault="004E297E" w:rsidP="00DE1921">
      <w:pPr>
        <w:pStyle w:val="aaabullet"/>
      </w:pPr>
      <w:r>
        <w:t>Hon Jacinta Allan MP, Minister for Transport Infrastructure</w:t>
      </w:r>
      <w:r w:rsidR="000332B4">
        <w:t xml:space="preserve">, </w:t>
      </w:r>
      <w:r>
        <w:t>Minister for the Suburban Rail Loop</w:t>
      </w:r>
      <w:r w:rsidR="000332B4">
        <w:t xml:space="preserve"> and </w:t>
      </w:r>
      <w:r>
        <w:t>Minister for the Coordination of Transport: COVID-19</w:t>
      </w:r>
    </w:p>
    <w:p w14:paraId="5877F34D" w14:textId="0E2F9916" w:rsidR="004E297E" w:rsidRDefault="004E297E" w:rsidP="00DE1921">
      <w:pPr>
        <w:pStyle w:val="aaabullet"/>
      </w:pPr>
      <w:r>
        <w:t>Hon Ben Carroll MP</w:t>
      </w:r>
      <w:r w:rsidR="00FA61AA">
        <w:t>,</w:t>
      </w:r>
      <w:r w:rsidR="000332B4">
        <w:t xml:space="preserve"> </w:t>
      </w:r>
      <w:r>
        <w:t>Minister for Public Transport</w:t>
      </w:r>
      <w:r w:rsidR="000332B4">
        <w:t xml:space="preserve"> and </w:t>
      </w:r>
      <w:r>
        <w:t>Minister for Roads and Road Safety</w:t>
      </w:r>
    </w:p>
    <w:p w14:paraId="75130728" w14:textId="53108901" w:rsidR="004E297E" w:rsidRPr="008A551B" w:rsidRDefault="004E297E" w:rsidP="00DE1921">
      <w:pPr>
        <w:pStyle w:val="aaabullet"/>
      </w:pPr>
      <w:r>
        <w:t>Hon Melissa Horne MP</w:t>
      </w:r>
      <w:r w:rsidR="000332B4">
        <w:t xml:space="preserve">, </w:t>
      </w:r>
      <w:r>
        <w:t>Minister for Ports and Freight</w:t>
      </w:r>
      <w:r w:rsidR="000332B4">
        <w:t xml:space="preserve"> and </w:t>
      </w:r>
      <w:r>
        <w:t>Minister for Fishing and Boating</w:t>
      </w:r>
    </w:p>
    <w:p w14:paraId="6607EBB0" w14:textId="77777777" w:rsidR="003E5BF5" w:rsidRPr="00C80270" w:rsidRDefault="003E5BF5" w:rsidP="008A0170">
      <w:pPr>
        <w:pStyle w:val="Heading2"/>
      </w:pPr>
      <w:r w:rsidRPr="00C80270">
        <w:t>Parliamentary Secretar</w:t>
      </w:r>
      <w:r>
        <w:t>y</w:t>
      </w:r>
    </w:p>
    <w:p w14:paraId="702E6475" w14:textId="6FCC330C" w:rsidR="00F848A8" w:rsidRDefault="003E5BF5" w:rsidP="00DE1921">
      <w:pPr>
        <w:pStyle w:val="aaatyping"/>
      </w:pPr>
      <w:r w:rsidRPr="008A551B">
        <w:t xml:space="preserve">The </w:t>
      </w:r>
      <w:r>
        <w:t>department provides</w:t>
      </w:r>
      <w:r w:rsidRPr="008A551B">
        <w:t xml:space="preserve"> support and advice t</w:t>
      </w:r>
      <w:r>
        <w:t xml:space="preserve">o the </w:t>
      </w:r>
      <w:r w:rsidRPr="00482871">
        <w:t>parliamentary secretar</w:t>
      </w:r>
      <w:r>
        <w:t>y</w:t>
      </w:r>
      <w:r w:rsidR="00FC0977">
        <w:t xml:space="preserve">, </w:t>
      </w:r>
      <w:r w:rsidR="00F848A8" w:rsidRPr="00503242">
        <w:t>Vicki Ward</w:t>
      </w:r>
      <w:r w:rsidR="00F848A8">
        <w:t xml:space="preserve"> MP, </w:t>
      </w:r>
      <w:r w:rsidR="00F848A8" w:rsidRPr="00237E48">
        <w:t>Parliamentary Secretary for Transport</w:t>
      </w:r>
      <w:r w:rsidR="00FC0977">
        <w:t>.</w:t>
      </w:r>
    </w:p>
    <w:p w14:paraId="2FD2C233" w14:textId="77777777" w:rsidR="003E5BF5" w:rsidRPr="008724C8" w:rsidRDefault="003E5BF5" w:rsidP="008A0170">
      <w:pPr>
        <w:pStyle w:val="Heading2"/>
      </w:pPr>
      <w:r w:rsidRPr="008724C8">
        <w:t>Audit, Risk and Integrity Committee</w:t>
      </w:r>
    </w:p>
    <w:p w14:paraId="4370EABB" w14:textId="77777777" w:rsidR="003E5BF5" w:rsidRDefault="003E5BF5" w:rsidP="00DE1921">
      <w:pPr>
        <w:pStyle w:val="aaatyping"/>
      </w:pPr>
      <w:r>
        <w:t xml:space="preserve">Standing Directions 3.2.1 and 3.2.2 of the Minister for Finance under the </w:t>
      </w:r>
      <w:r w:rsidRPr="00646F9A">
        <w:rPr>
          <w:rFonts w:ascii="VIC Light Italic" w:hAnsi="VIC Light Italic"/>
        </w:rPr>
        <w:t>Financial Management Act 1994</w:t>
      </w:r>
      <w:r>
        <w:t xml:space="preserve"> require the Secretary to appoint an audit committee and to establish and maintain an internal audit function as part of its governance arrangements. The Audit, Risk and Integrity Committee (ARIC) provides the Secretary with independent assurance on the department’s:</w:t>
      </w:r>
    </w:p>
    <w:p w14:paraId="5DE9D75B" w14:textId="77777777" w:rsidR="003E5BF5" w:rsidRDefault="003E5BF5" w:rsidP="00DE1921">
      <w:pPr>
        <w:pStyle w:val="aaabullet"/>
      </w:pPr>
      <w:r>
        <w:t>financial and performance reporting</w:t>
      </w:r>
    </w:p>
    <w:p w14:paraId="6EF7AC93" w14:textId="77777777" w:rsidR="003E5BF5" w:rsidRDefault="003E5BF5" w:rsidP="00DE1921">
      <w:pPr>
        <w:pStyle w:val="aaabullet"/>
      </w:pPr>
      <w:r>
        <w:t>risk oversight and management</w:t>
      </w:r>
    </w:p>
    <w:p w14:paraId="2EA48089" w14:textId="77777777" w:rsidR="003E5BF5" w:rsidRDefault="003E5BF5" w:rsidP="00DE1921">
      <w:pPr>
        <w:pStyle w:val="aaabullet"/>
      </w:pPr>
      <w:r>
        <w:t>internal control systems</w:t>
      </w:r>
    </w:p>
    <w:p w14:paraId="77E3C86E" w14:textId="77777777" w:rsidR="003E5BF5" w:rsidRDefault="003E5BF5" w:rsidP="00DE1921">
      <w:pPr>
        <w:pStyle w:val="aaabullet"/>
      </w:pPr>
      <w:r>
        <w:t>integrity assurance</w:t>
      </w:r>
    </w:p>
    <w:p w14:paraId="788D1ACB" w14:textId="77777777" w:rsidR="003E5BF5" w:rsidRDefault="003E5BF5" w:rsidP="00DE1921">
      <w:pPr>
        <w:pStyle w:val="aaabullet"/>
      </w:pPr>
      <w:r>
        <w:t>legislative and policy compliance.</w:t>
      </w:r>
    </w:p>
    <w:p w14:paraId="5849E13E" w14:textId="77777777" w:rsidR="003E5BF5" w:rsidRDefault="003E5BF5" w:rsidP="00DE1921">
      <w:pPr>
        <w:pStyle w:val="aaatyping"/>
      </w:pPr>
      <w:r>
        <w:lastRenderedPageBreak/>
        <w:t>ARIC communicates with external auditors, and considers recommendations from internal and external auditors. The Secretary appoints all members, including the Chair. The Chief Finance Officer and the Chief Audit Executive are standing invitees to all ARIC meetings.</w:t>
      </w:r>
    </w:p>
    <w:p w14:paraId="2552FF56" w14:textId="00F58967" w:rsidR="003E5BF5" w:rsidRDefault="003E5BF5" w:rsidP="00DE1921">
      <w:pPr>
        <w:pStyle w:val="aaatyping"/>
      </w:pPr>
      <w:r>
        <w:t>ARIC membership at 30 June 2020 was:</w:t>
      </w:r>
    </w:p>
    <w:p w14:paraId="2BBA66A8" w14:textId="6D26775D" w:rsidR="009672B4" w:rsidRDefault="009672B4" w:rsidP="00DE1921">
      <w:pPr>
        <w:pStyle w:val="aaabullet"/>
      </w:pPr>
      <w:r>
        <w:t xml:space="preserve">Andrew </w:t>
      </w:r>
      <w:proofErr w:type="spellStart"/>
      <w:r>
        <w:t>Nicolaou</w:t>
      </w:r>
      <w:proofErr w:type="spellEnd"/>
      <w:r>
        <w:t xml:space="preserve"> Chair and independent member</w:t>
      </w:r>
    </w:p>
    <w:p w14:paraId="29010FB4" w14:textId="52D21CB2" w:rsidR="009672B4" w:rsidRDefault="009672B4" w:rsidP="00DE1921">
      <w:pPr>
        <w:pStyle w:val="aaabullet"/>
      </w:pPr>
      <w:r>
        <w:t xml:space="preserve">Linda </w:t>
      </w:r>
      <w:proofErr w:type="spellStart"/>
      <w:r>
        <w:t>MacRae</w:t>
      </w:r>
      <w:proofErr w:type="spellEnd"/>
      <w:r>
        <w:t xml:space="preserve"> Independent member</w:t>
      </w:r>
    </w:p>
    <w:p w14:paraId="28C4299C" w14:textId="5FBED3A3" w:rsidR="009672B4" w:rsidRDefault="009672B4" w:rsidP="00DE1921">
      <w:pPr>
        <w:pStyle w:val="aaabullet"/>
      </w:pPr>
      <w:r>
        <w:t>Jonathan Metcalfe Independent member</w:t>
      </w:r>
    </w:p>
    <w:p w14:paraId="087D0883" w14:textId="7EFFFB40" w:rsidR="009672B4" w:rsidRDefault="009672B4" w:rsidP="00DE1921">
      <w:pPr>
        <w:pStyle w:val="aaabullet"/>
      </w:pPr>
      <w:r>
        <w:t>Kate Hughes Independent member</w:t>
      </w:r>
    </w:p>
    <w:p w14:paraId="3FBC3DF7" w14:textId="4416ACC0" w:rsidR="009672B4" w:rsidRDefault="009672B4" w:rsidP="00DE1921">
      <w:pPr>
        <w:pStyle w:val="aaabullet"/>
      </w:pPr>
      <w:r>
        <w:t>Melinda Collinson DoT Executive Member</w:t>
      </w:r>
    </w:p>
    <w:p w14:paraId="66A4D2E9" w14:textId="2EC1D4BA" w:rsidR="009672B4" w:rsidRDefault="009672B4" w:rsidP="00DE1921">
      <w:pPr>
        <w:pStyle w:val="aaabullet"/>
      </w:pPr>
      <w:r>
        <w:t>Paul Northey DoT Executive Member</w:t>
      </w:r>
    </w:p>
    <w:p w14:paraId="56A430B1" w14:textId="77777777" w:rsidR="00527E75" w:rsidRDefault="003E5BF5" w:rsidP="00DE1921">
      <w:pPr>
        <w:pStyle w:val="aaatyping"/>
      </w:pPr>
      <w:r w:rsidRPr="00653BB3">
        <w:t>ARIC’s functions and membership are defined in a formal charter that is regularly reviewed in accordance with the Standing Directions.</w:t>
      </w:r>
    </w:p>
    <w:p w14:paraId="6CC2D9A7" w14:textId="77777777" w:rsidR="00E46217" w:rsidRDefault="00E46217" w:rsidP="008A0170">
      <w:pPr>
        <w:pStyle w:val="Heading1"/>
        <w:sectPr w:rsidR="00E46217" w:rsidSect="00F40CD2">
          <w:headerReference w:type="even" r:id="rId28"/>
          <w:headerReference w:type="default" r:id="rId29"/>
          <w:footerReference w:type="even" r:id="rId30"/>
          <w:headerReference w:type="first" r:id="rId31"/>
          <w:footerReference w:type="first" r:id="rId32"/>
          <w:type w:val="continuous"/>
          <w:pgSz w:w="11906" w:h="16838"/>
          <w:pgMar w:top="1701" w:right="1418" w:bottom="1418" w:left="1418" w:header="709" w:footer="709" w:gutter="0"/>
          <w:cols w:space="284"/>
          <w:docGrid w:linePitch="360"/>
        </w:sectPr>
      </w:pPr>
    </w:p>
    <w:p w14:paraId="062E9767" w14:textId="5EAD1815" w:rsidR="003E5BF5" w:rsidRDefault="003E5BF5" w:rsidP="008A0170">
      <w:pPr>
        <w:pStyle w:val="Heading1"/>
      </w:pPr>
      <w:bookmarkStart w:id="14" w:name="_Toc55130677"/>
      <w:r w:rsidRPr="005D4D80">
        <w:lastRenderedPageBreak/>
        <w:t xml:space="preserve">Major departmental changes during </w:t>
      </w:r>
      <w:r>
        <w:t>2019-20</w:t>
      </w:r>
      <w:bookmarkEnd w:id="14"/>
    </w:p>
    <w:p w14:paraId="32CA69BA" w14:textId="77777777" w:rsidR="003E5BF5" w:rsidRPr="009B3AC2" w:rsidRDefault="003E5BF5" w:rsidP="008A0170">
      <w:pPr>
        <w:pStyle w:val="Heading3"/>
      </w:pPr>
      <w:r w:rsidRPr="009B3AC2">
        <w:t xml:space="preserve">Department of Transport </w:t>
      </w:r>
    </w:p>
    <w:p w14:paraId="1A46DB0A" w14:textId="77777777" w:rsidR="003E5BF5" w:rsidRPr="00FE1E4F" w:rsidRDefault="003E5BF5" w:rsidP="00DE1921">
      <w:pPr>
        <w:pStyle w:val="aaatyping"/>
      </w:pPr>
      <w:r w:rsidRPr="00FE1E4F">
        <w:t>On 1 July 2019, VicRoads and Public Transport Victoria (PTV) came together with the Department of Transport to create an integrated transport department – in step with other global cities.</w:t>
      </w:r>
    </w:p>
    <w:p w14:paraId="2B4DD9A3" w14:textId="77777777" w:rsidR="003E5BF5" w:rsidRDefault="003E5BF5" w:rsidP="00DE1921">
      <w:pPr>
        <w:pStyle w:val="aaatyping"/>
      </w:pPr>
      <w:r>
        <w:t>The new department provides a single, integrated focus on tackling the big transport issues – from improving buses in growing suburbs to making it easier to walk and cycle places and embracing new technology.</w:t>
      </w:r>
    </w:p>
    <w:p w14:paraId="64A3153C" w14:textId="77777777" w:rsidR="003E5BF5" w:rsidRDefault="003E5BF5" w:rsidP="00DE1921">
      <w:pPr>
        <w:pStyle w:val="aaatyping"/>
      </w:pPr>
      <w:r>
        <w:t>The integration of PTV and VicRoads into the department:</w:t>
      </w:r>
    </w:p>
    <w:p w14:paraId="5F728286" w14:textId="77777777" w:rsidR="003E5BF5" w:rsidRPr="00542EB9" w:rsidRDefault="003E5BF5" w:rsidP="00DE1921">
      <w:pPr>
        <w:pStyle w:val="aaabullet"/>
      </w:pPr>
      <w:r>
        <w:t>brings the common functions of PTV, VicRoads and the department together; including strategy, policy and planning, corporate services and user experience</w:t>
      </w:r>
    </w:p>
    <w:p w14:paraId="470645D1" w14:textId="77777777" w:rsidR="003E5BF5" w:rsidRPr="00542EB9" w:rsidRDefault="003E5BF5" w:rsidP="00DE1921">
      <w:pPr>
        <w:pStyle w:val="aaabullet"/>
      </w:pPr>
      <w:r w:rsidRPr="00542EB9">
        <w:t>brings roads and public transport operational functions and staff together in a consolidated transport operations function</w:t>
      </w:r>
    </w:p>
    <w:p w14:paraId="56B1356C" w14:textId="77777777" w:rsidR="003E5BF5" w:rsidRPr="00542EB9" w:rsidRDefault="003E5BF5" w:rsidP="00DE1921">
      <w:pPr>
        <w:pStyle w:val="aaabullet"/>
      </w:pPr>
      <w:r w:rsidRPr="00542EB9">
        <w:t>creates new capabilities such as emerging technologies, user experience and commercial expertise to keep up with changing travel trends.</w:t>
      </w:r>
    </w:p>
    <w:p w14:paraId="675B498C" w14:textId="22FB5C2C" w:rsidR="003E5BF5" w:rsidRPr="005D4D80" w:rsidRDefault="003E5BF5" w:rsidP="008A0170">
      <w:pPr>
        <w:pStyle w:val="Heading3"/>
      </w:pPr>
      <w:r w:rsidRPr="005D4D80">
        <w:t>Major Transport Infrastructure Authority</w:t>
      </w:r>
    </w:p>
    <w:p w14:paraId="34216D7B" w14:textId="03B3828B" w:rsidR="00943535" w:rsidRDefault="003E5BF5" w:rsidP="00DE1921">
      <w:pPr>
        <w:pStyle w:val="aaatyping"/>
      </w:pPr>
      <w:r w:rsidRPr="001C7289">
        <w:t>On 27 August 2019</w:t>
      </w:r>
      <w:r>
        <w:t>,</w:t>
      </w:r>
      <w:r w:rsidRPr="001C7289">
        <w:t xml:space="preserve"> MTIA was declared a transport body under the Act. A transport body must have regard to the objectives of the Act in exercising its powers and performing its functions.</w:t>
      </w:r>
      <w:r>
        <w:t xml:space="preserve">  </w:t>
      </w:r>
      <w:r w:rsidR="00943535">
        <w:br w:type="page"/>
      </w:r>
    </w:p>
    <w:p w14:paraId="0171D790" w14:textId="77777777" w:rsidR="003E5BF5" w:rsidRPr="005D4D80" w:rsidRDefault="003E5BF5" w:rsidP="008A0170">
      <w:pPr>
        <w:pStyle w:val="Heading3"/>
      </w:pPr>
      <w:r w:rsidRPr="005D4D80">
        <w:lastRenderedPageBreak/>
        <w:t>Road Safety Victoria</w:t>
      </w:r>
    </w:p>
    <w:p w14:paraId="0767548E" w14:textId="77777777" w:rsidR="003E5BF5" w:rsidRDefault="003E5BF5" w:rsidP="00DE1921">
      <w:pPr>
        <w:pStyle w:val="aaatyping"/>
      </w:pPr>
      <w:r>
        <w:t>Road Safety Victoria (RSV) was established on 1 August 2019 to strengthen Victoria’s road safety capability and ensure road safety is a priority within the department. RSV is a dedicated team within the department’s Network Planning Division, bringing together the functions and work undertaken by previous department and VicRoads’ teams.</w:t>
      </w:r>
    </w:p>
    <w:p w14:paraId="222389A1" w14:textId="77777777" w:rsidR="003E5BF5" w:rsidRPr="006D0599" w:rsidRDefault="003E5BF5" w:rsidP="008A0170">
      <w:pPr>
        <w:pStyle w:val="Heading3"/>
      </w:pPr>
      <w:r w:rsidRPr="006D0599">
        <w:t>Suburban Rail Loop Authority</w:t>
      </w:r>
    </w:p>
    <w:p w14:paraId="4863B3C0" w14:textId="4DF9CE3E" w:rsidR="003E5BF5" w:rsidRDefault="003E5BF5" w:rsidP="00DE1921">
      <w:pPr>
        <w:pStyle w:val="aaatyping"/>
      </w:pPr>
      <w:r>
        <w:t>On 3 September 2019, the Premier and Minister for Transport Infrastructure announced the creation of the Suburban Rail Loop Authority (SRLA), an administrative office of the department. The SRLA will bring together experts from across government to coordinate and plan the delivery of the Suburban Rail Loop. SRLA</w:t>
      </w:r>
      <w:r w:rsidRPr="00576265">
        <w:t xml:space="preserve"> will work closely with the </w:t>
      </w:r>
      <w:r>
        <w:t xml:space="preserve">department </w:t>
      </w:r>
      <w:r w:rsidRPr="00576265">
        <w:t xml:space="preserve">to ensure </w:t>
      </w:r>
      <w:r>
        <w:t>the</w:t>
      </w:r>
      <w:r w:rsidRPr="00576265">
        <w:t xml:space="preserve"> project aligns with and supports transport priorities for the state</w:t>
      </w:r>
      <w:r>
        <w:t>.</w:t>
      </w:r>
    </w:p>
    <w:p w14:paraId="2747F252" w14:textId="77777777" w:rsidR="003E5BF5" w:rsidRDefault="003E5BF5" w:rsidP="008A0170">
      <w:pPr>
        <w:pStyle w:val="Heading1"/>
      </w:pPr>
      <w:bookmarkStart w:id="15" w:name="_Toc55130678"/>
      <w:r w:rsidRPr="006D0599">
        <w:t>Subsequent events</w:t>
      </w:r>
      <w:bookmarkEnd w:id="15"/>
    </w:p>
    <w:p w14:paraId="19091ED3" w14:textId="77777777" w:rsidR="003E5BF5" w:rsidRDefault="003E5BF5" w:rsidP="008A0170">
      <w:pPr>
        <w:pStyle w:val="Heading3"/>
        <w:sectPr w:rsidR="003E5BF5" w:rsidSect="0061616B">
          <w:pgSz w:w="11906" w:h="16838"/>
          <w:pgMar w:top="1701" w:right="1418" w:bottom="1418" w:left="1418" w:header="709" w:footer="709" w:gutter="0"/>
          <w:cols w:space="284"/>
          <w:docGrid w:linePitch="360"/>
        </w:sectPr>
      </w:pPr>
      <w:r>
        <w:t>Development Victoria</w:t>
      </w:r>
    </w:p>
    <w:p w14:paraId="0DF03CA1" w14:textId="77777777" w:rsidR="003E5BF5" w:rsidRPr="00683183" w:rsidRDefault="003E5BF5" w:rsidP="00DE1921">
      <w:pPr>
        <w:pStyle w:val="aaatyping"/>
      </w:pPr>
      <w:r>
        <w:t>In order to strengthen alignment with the department’s transport portfolio responsibilities and ensure we are best placed to deliver services for our communities, the department has formed a partnership with the Department of Jobs, Precincts and Regions (DJPR), to support a holistic approach to precinct planning.</w:t>
      </w:r>
    </w:p>
    <w:p w14:paraId="545293E6" w14:textId="77777777" w:rsidR="003E5BF5" w:rsidRPr="00683183" w:rsidRDefault="003E5BF5" w:rsidP="00DE1921">
      <w:pPr>
        <w:pStyle w:val="aaatyping"/>
      </w:pPr>
      <w:r w:rsidRPr="00683183">
        <w:t xml:space="preserve">As part of this new collaboration, Development Victoria (DV) is joining the </w:t>
      </w:r>
      <w:r>
        <w:t>transport portfolio</w:t>
      </w:r>
      <w:r w:rsidRPr="00683183">
        <w:t xml:space="preserve">. </w:t>
      </w:r>
      <w:r>
        <w:t>The department</w:t>
      </w:r>
      <w:r w:rsidRPr="00683183">
        <w:t xml:space="preserve"> will work </w:t>
      </w:r>
      <w:r>
        <w:t xml:space="preserve">with DJPR and DV </w:t>
      </w:r>
      <w:r w:rsidRPr="00683183">
        <w:t xml:space="preserve">towards </w:t>
      </w:r>
      <w:r>
        <w:t>a</w:t>
      </w:r>
      <w:r w:rsidRPr="00683183">
        <w:t xml:space="preserve"> shared goal of building connected communities. DJPR and DV bring design </w:t>
      </w:r>
      <w:r>
        <w:t>c</w:t>
      </w:r>
      <w:r w:rsidRPr="00683183">
        <w:t xml:space="preserve">apability, precinct policy expertise and commercial acumen to </w:t>
      </w:r>
      <w:r>
        <w:t>the department</w:t>
      </w:r>
      <w:r w:rsidRPr="00683183">
        <w:t>.</w:t>
      </w:r>
    </w:p>
    <w:p w14:paraId="7F00CD38" w14:textId="20947E00" w:rsidR="003E5BF5" w:rsidRDefault="003E5BF5" w:rsidP="00DE1921">
      <w:pPr>
        <w:pStyle w:val="aaatyping"/>
      </w:pPr>
      <w:r>
        <w:lastRenderedPageBreak/>
        <w:t>Transport</w:t>
      </w:r>
      <w:r w:rsidRPr="00683183">
        <w:t xml:space="preserve"> is not just about shifting people and goods</w:t>
      </w:r>
      <w:r>
        <w:t>;</w:t>
      </w:r>
      <w:r w:rsidRPr="00683183">
        <w:t xml:space="preserve"> it’s about creating places. This new partnership further strengthens our collaborative, whole of government approach, and enables us to build precincts which generate economic growth and social inclusion.</w:t>
      </w:r>
    </w:p>
    <w:p w14:paraId="606C4150" w14:textId="77777777" w:rsidR="003E5BF5" w:rsidRDefault="003E5BF5" w:rsidP="008A0170">
      <w:pPr>
        <w:pStyle w:val="Heading1"/>
        <w:sectPr w:rsidR="003E5BF5" w:rsidSect="003F618B">
          <w:footerReference w:type="even" r:id="rId33"/>
          <w:type w:val="continuous"/>
          <w:pgSz w:w="11906" w:h="16838"/>
          <w:pgMar w:top="1440" w:right="1440" w:bottom="1440" w:left="1440" w:header="708" w:footer="708" w:gutter="0"/>
          <w:cols w:space="708"/>
          <w:docGrid w:linePitch="360"/>
        </w:sectPr>
      </w:pPr>
      <w:bookmarkStart w:id="16" w:name="_Toc55130679"/>
      <w:r>
        <w:t>Bush fire r</w:t>
      </w:r>
      <w:r w:rsidRPr="009E38C0">
        <w:t>esponse</w:t>
      </w:r>
      <w:bookmarkEnd w:id="16"/>
    </w:p>
    <w:p w14:paraId="34127FBE" w14:textId="77777777" w:rsidR="003E5BF5" w:rsidRPr="00E03E7D" w:rsidRDefault="003E5BF5" w:rsidP="00DE1921">
      <w:pPr>
        <w:pStyle w:val="aaatyping"/>
      </w:pPr>
      <w:r w:rsidRPr="51E05C0A">
        <w:rPr>
          <w:lang w:val="mi-NZ"/>
        </w:rPr>
        <w:t xml:space="preserve">As bushfires blazed in Victoria last summer, </w:t>
      </w:r>
      <w:r>
        <w:rPr>
          <w:lang w:val="mi-NZ"/>
        </w:rPr>
        <w:t>department</w:t>
      </w:r>
      <w:r w:rsidRPr="51E05C0A">
        <w:rPr>
          <w:lang w:val="mi-NZ"/>
        </w:rPr>
        <w:t xml:space="preserve"> staff stepped up to support the </w:t>
      </w:r>
      <w:r w:rsidRPr="00E03E7D">
        <w:t xml:space="preserve">immediate emergency response. </w:t>
      </w:r>
    </w:p>
    <w:p w14:paraId="44BB6228" w14:textId="77777777" w:rsidR="003E5BF5" w:rsidRPr="00E03E7D" w:rsidRDefault="003E5BF5" w:rsidP="00DE1921">
      <w:pPr>
        <w:pStyle w:val="aaatyping"/>
      </w:pPr>
      <w:r w:rsidRPr="00E03E7D">
        <w:t xml:space="preserve">Once the fires had been contained, our people contributed to the huge multi-agency effort to repair damaged infrastructure and clear fire-damaged trees that posed a safety risk. </w:t>
      </w:r>
    </w:p>
    <w:p w14:paraId="63B172F8" w14:textId="77777777" w:rsidR="003E5BF5" w:rsidRPr="00E03E7D" w:rsidRDefault="003E5BF5" w:rsidP="00DE1921">
      <w:pPr>
        <w:pStyle w:val="aaatyping"/>
      </w:pPr>
      <w:r w:rsidRPr="00E03E7D">
        <w:t>In early January 2020, the Port of Hastings Authority and Victorian Regional Channels Authority helped plan the naval evacuation of 1</w:t>
      </w:r>
      <w:r>
        <w:t>,</w:t>
      </w:r>
      <w:r w:rsidRPr="00E03E7D">
        <w:t xml:space="preserve">000 people from Mallacoota, work that included giving HMAS </w:t>
      </w:r>
      <w:proofErr w:type="spellStart"/>
      <w:r w:rsidRPr="00E03E7D">
        <w:t>Choules</w:t>
      </w:r>
      <w:proofErr w:type="spellEnd"/>
      <w:r w:rsidRPr="00E03E7D">
        <w:t xml:space="preserve"> and MV Sycamore easy access to berths at </w:t>
      </w:r>
      <w:r>
        <w:t xml:space="preserve">the </w:t>
      </w:r>
      <w:r w:rsidRPr="00E03E7D">
        <w:t>Port of Hastings.</w:t>
      </w:r>
    </w:p>
    <w:p w14:paraId="29947727" w14:textId="77777777" w:rsidR="003E5BF5" w:rsidRPr="00E03E7D" w:rsidRDefault="003E5BF5" w:rsidP="00DE1921">
      <w:pPr>
        <w:pStyle w:val="aaatyping"/>
      </w:pPr>
      <w:r w:rsidRPr="00E03E7D">
        <w:t>Victorian Fisheries Authority</w:t>
      </w:r>
      <w:r>
        <w:t xml:space="preserve"> (VFA)</w:t>
      </w:r>
      <w:r w:rsidRPr="00E03E7D">
        <w:t xml:space="preserve"> staff transported firefighters to places out of reach of Victoria Police and other emergency services. VFA boats delivered food to remote communities and rescued wildlife on French Island.</w:t>
      </w:r>
    </w:p>
    <w:p w14:paraId="3FABCB97" w14:textId="77777777" w:rsidR="003E5BF5" w:rsidRPr="00E03E7D" w:rsidRDefault="003E5BF5" w:rsidP="00DE1921">
      <w:pPr>
        <w:pStyle w:val="aaatyping"/>
      </w:pPr>
      <w:r w:rsidRPr="00E03E7D">
        <w:t xml:space="preserve">The fires burned 1.5 million hectares of land in Victoria and damaged nearly 1,000 kilometres of our roads. </w:t>
      </w:r>
      <w:r>
        <w:t>Department</w:t>
      </w:r>
      <w:r w:rsidRPr="00E03E7D">
        <w:t xml:space="preserve"> staff worked with local councils, the Department of Environment, Land, Water and Planning, Forest Fire Management, Parks Victoria, </w:t>
      </w:r>
      <w:proofErr w:type="spellStart"/>
      <w:r w:rsidRPr="00E03E7D">
        <w:t>VicForests</w:t>
      </w:r>
      <w:proofErr w:type="spellEnd"/>
      <w:r>
        <w:t>, Victoria State Emergency Services</w:t>
      </w:r>
      <w:r w:rsidRPr="00E03E7D">
        <w:t xml:space="preserve"> and the Australian Defence Force to clear the roads and undertake emergency repairs to make them safe for locals to quickly regain access to their </w:t>
      </w:r>
      <w:r>
        <w:t>properties.</w:t>
      </w:r>
      <w:r w:rsidRPr="00E03E7D">
        <w:t xml:space="preserve"> We acknowledge the tremendous </w:t>
      </w:r>
      <w:r w:rsidRPr="00E03E7D">
        <w:lastRenderedPageBreak/>
        <w:t>physical and mental strength required of everyone who supported the bushfire response during this very challenging time.</w:t>
      </w:r>
    </w:p>
    <w:p w14:paraId="3CAE3114" w14:textId="1C762AE5" w:rsidR="003E5BF5" w:rsidRPr="00E03E7D" w:rsidRDefault="003E5BF5" w:rsidP="00DE1921">
      <w:pPr>
        <w:pStyle w:val="aaatyping"/>
      </w:pPr>
      <w:r w:rsidRPr="00E03E7D">
        <w:t>Our aim was to quickly restore services where they mattered most.</w:t>
      </w:r>
    </w:p>
    <w:p w14:paraId="019DA236" w14:textId="77777777" w:rsidR="003E5BF5" w:rsidRPr="00E03E7D" w:rsidRDefault="003E5BF5" w:rsidP="00DE1921">
      <w:pPr>
        <w:pStyle w:val="aaatyping"/>
      </w:pPr>
      <w:r w:rsidRPr="00E03E7D">
        <w:t>Since February, our people have been working with local governments to inspect dozens of bridges, repair nearly 1,000 culverts, pavements and pot</w:t>
      </w:r>
      <w:r>
        <w:t>holes</w:t>
      </w:r>
      <w:r w:rsidRPr="00E03E7D">
        <w:t>, clear drains, replace cat</w:t>
      </w:r>
      <w:r>
        <w:t>’</w:t>
      </w:r>
      <w:r w:rsidRPr="00E03E7D">
        <w:t>s eyes and repaint line</w:t>
      </w:r>
      <w:r>
        <w:t xml:space="preserve"> </w:t>
      </w:r>
      <w:r w:rsidRPr="00E03E7D">
        <w:t xml:space="preserve">markings. </w:t>
      </w:r>
    </w:p>
    <w:p w14:paraId="1764B235" w14:textId="77777777" w:rsidR="003E5BF5" w:rsidRPr="00E03E7D" w:rsidRDefault="003E5BF5" w:rsidP="00DE1921">
      <w:pPr>
        <w:pStyle w:val="aaatyping"/>
      </w:pPr>
      <w:r w:rsidRPr="00E03E7D">
        <w:t>The statistics reveal the scale of the task: crews have replaced 1,299 road signs and 17,479 guideposts.</w:t>
      </w:r>
    </w:p>
    <w:p w14:paraId="0D1564C3" w14:textId="77777777" w:rsidR="003E5BF5" w:rsidRPr="00DD0A9A" w:rsidRDefault="003E5BF5" w:rsidP="00DE1921">
      <w:pPr>
        <w:pStyle w:val="aaatyping"/>
      </w:pPr>
      <w:r w:rsidRPr="00DD0A9A">
        <w:t xml:space="preserve">By </w:t>
      </w:r>
      <w:r>
        <w:t xml:space="preserve">late </w:t>
      </w:r>
      <w:r w:rsidRPr="00DD0A9A">
        <w:t xml:space="preserve">May, just four months after the fires had been contained, all arterial roads had been restored and </w:t>
      </w:r>
      <w:r>
        <w:t>re</w:t>
      </w:r>
      <w:r w:rsidRPr="00DD0A9A">
        <w:t xml:space="preserve">opened. </w:t>
      </w:r>
      <w:r w:rsidRPr="00DD0A9A" w:rsidDel="008B3381">
        <w:t xml:space="preserve"> </w:t>
      </w:r>
    </w:p>
    <w:p w14:paraId="08C75317" w14:textId="77777777" w:rsidR="003E5BF5" w:rsidRPr="00E03E7D" w:rsidRDefault="003E5BF5" w:rsidP="00DE1921">
      <w:pPr>
        <w:pStyle w:val="aaatyping"/>
      </w:pPr>
      <w:r w:rsidRPr="00E03E7D">
        <w:t xml:space="preserve">Throughout the coronavirus </w:t>
      </w:r>
      <w:r>
        <w:t xml:space="preserve">(COVID-19) </w:t>
      </w:r>
      <w:r w:rsidRPr="00E03E7D">
        <w:t xml:space="preserve">pandemic, </w:t>
      </w:r>
      <w:r>
        <w:t>the department</w:t>
      </w:r>
      <w:r w:rsidRPr="00E03E7D">
        <w:t xml:space="preserve"> has continued to actively contribute to the recovery, supporting local jobs and developing even more robust road management policies to protect and support the communities when emergencies like these happen in the future. </w:t>
      </w:r>
      <w:r>
        <w:t>We will continue to work</w:t>
      </w:r>
      <w:r w:rsidRPr="00E03E7D">
        <w:t xml:space="preserve"> closely with Bushfire Recovery Victoria and Community Recovery Committees in local areas.</w:t>
      </w:r>
    </w:p>
    <w:p w14:paraId="61CB44B3" w14:textId="77777777" w:rsidR="003E5BF5" w:rsidRPr="00E03E7D" w:rsidRDefault="003E5BF5" w:rsidP="00DE1921">
      <w:pPr>
        <w:pStyle w:val="aaatyping"/>
      </w:pPr>
      <w:r w:rsidRPr="00E03E7D">
        <w:t>This work will be aided by the Victorian Government’s $22.8 million fund for road improvements in bushfire-affected communities.</w:t>
      </w:r>
    </w:p>
    <w:p w14:paraId="4E177715" w14:textId="77777777" w:rsidR="003E5BF5" w:rsidRDefault="003E5BF5" w:rsidP="00DE1921">
      <w:pPr>
        <w:sectPr w:rsidR="003E5BF5" w:rsidSect="004B7000">
          <w:type w:val="continuous"/>
          <w:pgSz w:w="11906" w:h="16838"/>
          <w:pgMar w:top="1701" w:right="1418" w:bottom="1418" w:left="1418" w:header="709" w:footer="709" w:gutter="0"/>
          <w:cols w:space="284"/>
          <w:docGrid w:linePitch="360"/>
        </w:sectPr>
      </w:pPr>
    </w:p>
    <w:p w14:paraId="4E6E267E" w14:textId="77777777" w:rsidR="003E5BF5" w:rsidRDefault="003E5BF5" w:rsidP="008A0170">
      <w:pPr>
        <w:pStyle w:val="Heading1"/>
        <w:sectPr w:rsidR="003E5BF5" w:rsidSect="00DE1921">
          <w:footerReference w:type="even" r:id="rId34"/>
          <w:pgSz w:w="11906" w:h="16838"/>
          <w:pgMar w:top="1701" w:right="1418" w:bottom="1418" w:left="1418" w:header="709" w:footer="709" w:gutter="0"/>
          <w:cols w:space="284"/>
          <w:docGrid w:linePitch="360"/>
        </w:sectPr>
      </w:pPr>
      <w:bookmarkStart w:id="17" w:name="_Toc55130680"/>
      <w:r>
        <w:lastRenderedPageBreak/>
        <w:t>Coronavirus (COVID-19) r</w:t>
      </w:r>
      <w:r w:rsidRPr="00673F4D">
        <w:t>esponse</w:t>
      </w:r>
      <w:bookmarkEnd w:id="17"/>
    </w:p>
    <w:p w14:paraId="72C79A78" w14:textId="77777777" w:rsidR="003E5BF5" w:rsidRPr="007F693B" w:rsidRDefault="003E5BF5" w:rsidP="00DE1921">
      <w:pPr>
        <w:pStyle w:val="aaatyping"/>
        <w:rPr>
          <w:lang w:val="mi-NZ"/>
        </w:rPr>
      </w:pPr>
      <w:r w:rsidRPr="7CD82306">
        <w:rPr>
          <w:lang w:val="mi-NZ"/>
        </w:rPr>
        <w:t>On 16 March 2020, the Victorian Government declared a State of Emergency in response to the coronavirus (COVID-19) pandemic. Based on the advice of the Chief Health Officer</w:t>
      </w:r>
      <w:r>
        <w:rPr>
          <w:lang w:val="mi-NZ"/>
        </w:rPr>
        <w:t>,</w:t>
      </w:r>
      <w:r w:rsidRPr="7CD82306">
        <w:rPr>
          <w:lang w:val="mi-NZ"/>
        </w:rPr>
        <w:t xml:space="preserve"> restrictions were put in place on 30 March 2020 to limit movement </w:t>
      </w:r>
      <w:r>
        <w:rPr>
          <w:lang w:val="mi-NZ"/>
        </w:rPr>
        <w:t xml:space="preserve">across Victoria </w:t>
      </w:r>
      <w:r w:rsidRPr="7CD82306">
        <w:rPr>
          <w:lang w:val="mi-NZ"/>
        </w:rPr>
        <w:t xml:space="preserve">to help slow the spread of coronavirus (COVID-19). </w:t>
      </w:r>
    </w:p>
    <w:p w14:paraId="6E7DE09B" w14:textId="77777777" w:rsidR="003E5BF5" w:rsidRPr="007F693B" w:rsidRDefault="003E5BF5" w:rsidP="00DE1921">
      <w:pPr>
        <w:pStyle w:val="aaatyping"/>
        <w:rPr>
          <w:lang w:val="mi-NZ"/>
        </w:rPr>
      </w:pPr>
      <w:r w:rsidRPr="007F693B">
        <w:rPr>
          <w:lang w:val="mi-NZ"/>
        </w:rPr>
        <w:t xml:space="preserve">Travel, normally associated with opportunity and connection, increasingly </w:t>
      </w:r>
      <w:r>
        <w:rPr>
          <w:lang w:val="mi-NZ"/>
        </w:rPr>
        <w:t>became a challenge.</w:t>
      </w:r>
    </w:p>
    <w:p w14:paraId="6E1E939D" w14:textId="77777777" w:rsidR="003E5BF5" w:rsidRPr="007F693B" w:rsidRDefault="003E5BF5" w:rsidP="00DE1921">
      <w:pPr>
        <w:pStyle w:val="aaatyping"/>
      </w:pPr>
      <w:r w:rsidRPr="2987DACF">
        <w:rPr>
          <w:lang w:val="mi-NZ"/>
        </w:rPr>
        <w:t>Department of Transport Secretary</w:t>
      </w:r>
      <w:r>
        <w:rPr>
          <w:lang w:val="mi-NZ"/>
        </w:rPr>
        <w:t>,</w:t>
      </w:r>
      <w:r w:rsidRPr="2987DACF">
        <w:rPr>
          <w:lang w:val="mi-NZ"/>
        </w:rPr>
        <w:t xml:space="preserve"> Paul Younis</w:t>
      </w:r>
      <w:r>
        <w:rPr>
          <w:lang w:val="mi-NZ"/>
        </w:rPr>
        <w:t>,</w:t>
      </w:r>
      <w:r w:rsidRPr="2987DACF">
        <w:rPr>
          <w:lang w:val="mi-NZ"/>
        </w:rPr>
        <w:t xml:space="preserve"> joined </w:t>
      </w:r>
      <w:r w:rsidRPr="2987DACF">
        <w:t>John Bradley, Secretary of the Department of Environment, Land, Water and Planning, to lead the Crisis Council of Cabinet</w:t>
      </w:r>
      <w:r>
        <w:t xml:space="preserve"> (CCC)</w:t>
      </w:r>
      <w:r w:rsidRPr="2987DACF">
        <w:t xml:space="preserve"> mission to ensure the recovery and reform of key government economic services.</w:t>
      </w:r>
    </w:p>
    <w:p w14:paraId="2611F13D" w14:textId="77777777" w:rsidR="003E5BF5" w:rsidRPr="007F693B" w:rsidRDefault="003E5BF5" w:rsidP="00DE1921">
      <w:pPr>
        <w:pStyle w:val="aaatyping"/>
      </w:pPr>
      <w:r>
        <w:rPr>
          <w:lang w:val="mi-NZ"/>
        </w:rPr>
        <w:t>The department</w:t>
      </w:r>
      <w:r w:rsidRPr="007F693B">
        <w:rPr>
          <w:lang w:val="mi-NZ"/>
        </w:rPr>
        <w:t xml:space="preserve"> worked with </w:t>
      </w:r>
      <w:r w:rsidRPr="007F693B">
        <w:t>the Department of Health and Human Services</w:t>
      </w:r>
      <w:r>
        <w:t xml:space="preserve"> (DHHS)</w:t>
      </w:r>
      <w:r w:rsidRPr="007F693B">
        <w:t>, stakeholders and agencies across roads, public transport,</w:t>
      </w:r>
      <w:r w:rsidRPr="007F693B">
        <w:rPr>
          <w:spacing w:val="-1"/>
        </w:rPr>
        <w:t xml:space="preserve"> </w:t>
      </w:r>
      <w:r w:rsidRPr="007F693B">
        <w:t>freight,</w:t>
      </w:r>
      <w:r w:rsidRPr="007F693B">
        <w:rPr>
          <w:spacing w:val="-1"/>
        </w:rPr>
        <w:t xml:space="preserve"> </w:t>
      </w:r>
      <w:r w:rsidRPr="007F693B">
        <w:t xml:space="preserve">commercial passenger vehicles, ports, boating and fishing to develop a functioning, COVID-safe transport network. </w:t>
      </w:r>
      <w:r>
        <w:rPr>
          <w:lang w:val="mi-NZ"/>
        </w:rPr>
        <w:t>The department</w:t>
      </w:r>
      <w:r w:rsidRPr="007F693B">
        <w:rPr>
          <w:lang w:val="mi-NZ"/>
        </w:rPr>
        <w:t xml:space="preserve"> worked closely with the </w:t>
      </w:r>
      <w:r>
        <w:rPr>
          <w:lang w:val="mi-NZ"/>
        </w:rPr>
        <w:t>Commonwealth Government</w:t>
      </w:r>
      <w:r w:rsidRPr="007F693B">
        <w:rPr>
          <w:lang w:val="mi-NZ"/>
        </w:rPr>
        <w:t xml:space="preserve"> and other states to ensure Victoria’s supply chain continued to operate efficiently. </w:t>
      </w:r>
      <w:r>
        <w:rPr>
          <w:lang w:val="mi-NZ"/>
        </w:rPr>
        <w:t>The department</w:t>
      </w:r>
      <w:r w:rsidRPr="007F693B">
        <w:rPr>
          <w:lang w:val="mi-NZ"/>
        </w:rPr>
        <w:t xml:space="preserve"> lifted </w:t>
      </w:r>
      <w:r>
        <w:rPr>
          <w:lang w:val="mi-NZ"/>
        </w:rPr>
        <w:t>t</w:t>
      </w:r>
      <w:r w:rsidRPr="007F693B">
        <w:rPr>
          <w:lang w:val="mi-NZ"/>
        </w:rPr>
        <w:t xml:space="preserve">ruck curfew restrictions </w:t>
      </w:r>
      <w:r w:rsidRPr="007F693B">
        <w:t xml:space="preserve">to allow retail stores to receive goods as quickly as possible. </w:t>
      </w:r>
    </w:p>
    <w:p w14:paraId="196066BD" w14:textId="5ECA5B34" w:rsidR="007C00DF" w:rsidRDefault="003E5BF5" w:rsidP="00DE1921">
      <w:pPr>
        <w:pStyle w:val="aaatyping"/>
        <w:rPr>
          <w:lang w:val="mi-NZ"/>
        </w:rPr>
      </w:pPr>
      <w:r w:rsidRPr="007F693B">
        <w:rPr>
          <w:lang w:val="mi-NZ"/>
        </w:rPr>
        <w:t xml:space="preserve">Our public transport operators continued to run a full timetable </w:t>
      </w:r>
      <w:r>
        <w:rPr>
          <w:lang w:val="mi-NZ"/>
        </w:rPr>
        <w:t>to make sure people who continued to work or who needed to access essential services</w:t>
      </w:r>
      <w:r w:rsidRPr="007F693B">
        <w:rPr>
          <w:lang w:val="mi-NZ"/>
        </w:rPr>
        <w:t xml:space="preserve"> </w:t>
      </w:r>
      <w:r>
        <w:rPr>
          <w:lang w:val="mi-NZ"/>
        </w:rPr>
        <w:t xml:space="preserve">could still </w:t>
      </w:r>
      <w:r w:rsidRPr="007F693B">
        <w:rPr>
          <w:lang w:val="mi-NZ"/>
        </w:rPr>
        <w:t xml:space="preserve">travel. </w:t>
      </w:r>
      <w:r w:rsidR="007C00DF">
        <w:rPr>
          <w:lang w:val="mi-NZ"/>
        </w:rPr>
        <w:br w:type="page"/>
      </w:r>
    </w:p>
    <w:p w14:paraId="22520F45" w14:textId="1137E3E6" w:rsidR="003E5BF5" w:rsidRPr="007F693B" w:rsidRDefault="003E5BF5" w:rsidP="00DE1921">
      <w:pPr>
        <w:pStyle w:val="aaatyping"/>
        <w:rPr>
          <w:lang w:val="mi-NZ"/>
        </w:rPr>
      </w:pPr>
      <w:r w:rsidRPr="007F693B">
        <w:rPr>
          <w:lang w:val="mi-NZ"/>
        </w:rPr>
        <w:lastRenderedPageBreak/>
        <w:t xml:space="preserve">In the rapidly changing pandemic environment, we quickly </w:t>
      </w:r>
      <w:r>
        <w:rPr>
          <w:lang w:val="mi-NZ"/>
        </w:rPr>
        <w:t>introduced</w:t>
      </w:r>
      <w:r w:rsidRPr="007F693B">
        <w:rPr>
          <w:lang w:val="mi-NZ"/>
        </w:rPr>
        <w:t xml:space="preserve"> a number of measures to further protect our staff, our partners and the public. These included:</w:t>
      </w:r>
    </w:p>
    <w:p w14:paraId="41207CCB" w14:textId="77777777" w:rsidR="003E5BF5" w:rsidRPr="00445871" w:rsidRDefault="003E5BF5" w:rsidP="00DE1921">
      <w:pPr>
        <w:pStyle w:val="aaabullet"/>
      </w:pPr>
      <w:r>
        <w:t>s</w:t>
      </w:r>
      <w:r w:rsidRPr="00445871">
        <w:t xml:space="preserve">uspending light vehicle driver testing, medical-review driver testing and all computer-based licence testing </w:t>
      </w:r>
    </w:p>
    <w:p w14:paraId="16605077" w14:textId="77777777" w:rsidR="003E5BF5" w:rsidRPr="00445871" w:rsidRDefault="003E5BF5" w:rsidP="00DE1921">
      <w:pPr>
        <w:pStyle w:val="aaabullet"/>
      </w:pPr>
      <w:r>
        <w:t>a</w:t>
      </w:r>
      <w:r w:rsidRPr="00445871">
        <w:t>utomating and digitising processes for more transactions to be completed online</w:t>
      </w:r>
    </w:p>
    <w:p w14:paraId="07FB9B1C" w14:textId="77777777" w:rsidR="003E5BF5" w:rsidRPr="00445871" w:rsidRDefault="003E5BF5" w:rsidP="00DE1921">
      <w:pPr>
        <w:pStyle w:val="aaabullet"/>
      </w:pPr>
      <w:r>
        <w:t>r</w:t>
      </w:r>
      <w:r w:rsidRPr="00445871">
        <w:t>emoving the need for public transport staff to handle cash</w:t>
      </w:r>
    </w:p>
    <w:p w14:paraId="5A7A2549" w14:textId="77777777" w:rsidR="003E5BF5" w:rsidRPr="007F693B" w:rsidRDefault="003E5BF5" w:rsidP="00DE1921">
      <w:pPr>
        <w:pStyle w:val="aaabullet"/>
      </w:pPr>
      <w:r>
        <w:t>u</w:t>
      </w:r>
      <w:r w:rsidRPr="00445871">
        <w:t>pgrading the myki mobile platform</w:t>
      </w:r>
    </w:p>
    <w:p w14:paraId="1AF5507E" w14:textId="77777777" w:rsidR="003E5BF5" w:rsidRPr="007F693B" w:rsidRDefault="003E5BF5" w:rsidP="00DE1921">
      <w:pPr>
        <w:pStyle w:val="aaabullet"/>
      </w:pPr>
      <w:r>
        <w:rPr>
          <w:lang w:val="mi-NZ"/>
        </w:rPr>
        <w:t>significantly boosting cleaning across the network, including;</w:t>
      </w:r>
      <w:r w:rsidRPr="007F693B">
        <w:rPr>
          <w:lang w:val="mi-NZ"/>
        </w:rPr>
        <w:t xml:space="preserve"> deep cleaning </w:t>
      </w:r>
      <w:r>
        <w:rPr>
          <w:lang w:val="mi-NZ"/>
        </w:rPr>
        <w:t xml:space="preserve">of </w:t>
      </w:r>
      <w:r w:rsidRPr="007F693B">
        <w:rPr>
          <w:lang w:val="mi-NZ"/>
        </w:rPr>
        <w:t xml:space="preserve">rolling stock, </w:t>
      </w:r>
      <w:r>
        <w:rPr>
          <w:lang w:val="mi-NZ"/>
        </w:rPr>
        <w:t xml:space="preserve">deployment of </w:t>
      </w:r>
      <w:r w:rsidRPr="007F693B">
        <w:rPr>
          <w:lang w:val="mi-NZ"/>
        </w:rPr>
        <w:t xml:space="preserve">extra cleaning crews </w:t>
      </w:r>
      <w:r>
        <w:rPr>
          <w:lang w:val="mi-NZ"/>
        </w:rPr>
        <w:t>t</w:t>
      </w:r>
      <w:r w:rsidRPr="007F693B">
        <w:rPr>
          <w:lang w:val="mi-NZ"/>
        </w:rPr>
        <w:t>o clean stops, stations and surfaces inside buses, trains and trams</w:t>
      </w:r>
      <w:r>
        <w:rPr>
          <w:lang w:val="mi-NZ"/>
        </w:rPr>
        <w:t xml:space="preserve">, and </w:t>
      </w:r>
      <w:r>
        <w:t>the commencement of roll-out of hygiene sanitising stations at key locations across the network</w:t>
      </w:r>
    </w:p>
    <w:p w14:paraId="501DA5A0" w14:textId="77777777" w:rsidR="003E5BF5" w:rsidRPr="00445871" w:rsidRDefault="003E5BF5" w:rsidP="00DE1921">
      <w:pPr>
        <w:pStyle w:val="aaabullet"/>
      </w:pPr>
      <w:r>
        <w:t>i</w:t>
      </w:r>
      <w:r w:rsidRPr="00445871">
        <w:t>ntroducing coronavirus (COVID-19) protocols to ensure the state’s 2</w:t>
      </w:r>
      <w:r>
        <w:t>,</w:t>
      </w:r>
      <w:r w:rsidRPr="00445871">
        <w:t>200 school buses were able to get children back to school when they needed to</w:t>
      </w:r>
    </w:p>
    <w:p w14:paraId="1C67B947" w14:textId="77777777" w:rsidR="003E5BF5" w:rsidRPr="00445871" w:rsidRDefault="003E5BF5" w:rsidP="00DE1921">
      <w:pPr>
        <w:pStyle w:val="aaabullet"/>
      </w:pPr>
      <w:r>
        <w:t>e</w:t>
      </w:r>
      <w:r w:rsidRPr="00445871">
        <w:t>stablishing an MTIA safety team to conduct spot checks across all Big Build worksites to ensure coronavirus (COVID-19) health rules were being followed</w:t>
      </w:r>
    </w:p>
    <w:p w14:paraId="523B9D94" w14:textId="77777777" w:rsidR="003E5BF5" w:rsidRPr="00445871" w:rsidRDefault="003E5BF5" w:rsidP="00DE1921">
      <w:pPr>
        <w:pStyle w:val="aaabullet"/>
      </w:pPr>
      <w:r>
        <w:t>s</w:t>
      </w:r>
      <w:r w:rsidRPr="00445871">
        <w:t>upporting traffic management activities for mobile coronavirus (COVID-19) testing units</w:t>
      </w:r>
      <w:r>
        <w:t>.</w:t>
      </w:r>
      <w:r w:rsidRPr="00445871">
        <w:t xml:space="preserve"> </w:t>
      </w:r>
    </w:p>
    <w:p w14:paraId="541906DD" w14:textId="77777777" w:rsidR="003E5BF5" w:rsidRDefault="003E5BF5" w:rsidP="00DE1921">
      <w:pPr>
        <w:pStyle w:val="aaatyping"/>
        <w:rPr>
          <w:lang w:val="mi-NZ"/>
        </w:rPr>
      </w:pPr>
      <w:r w:rsidRPr="005E6666">
        <w:rPr>
          <w:lang w:val="mi-NZ"/>
        </w:rPr>
        <w:t xml:space="preserve">Following </w:t>
      </w:r>
      <w:r>
        <w:rPr>
          <w:lang w:val="mi-NZ"/>
        </w:rPr>
        <w:t xml:space="preserve">the </w:t>
      </w:r>
      <w:r w:rsidRPr="005E6666">
        <w:rPr>
          <w:lang w:val="mi-NZ"/>
        </w:rPr>
        <w:t>initial restrictions</w:t>
      </w:r>
      <w:r>
        <w:rPr>
          <w:lang w:val="mi-NZ"/>
        </w:rPr>
        <w:t xml:space="preserve"> from March to May 2020</w:t>
      </w:r>
      <w:r w:rsidRPr="005E6666">
        <w:rPr>
          <w:lang w:val="mi-NZ"/>
        </w:rPr>
        <w:t xml:space="preserve">, Melbourne saw a reduction in road traffic </w:t>
      </w:r>
      <w:r>
        <w:rPr>
          <w:lang w:val="mi-NZ"/>
        </w:rPr>
        <w:t>of</w:t>
      </w:r>
      <w:r w:rsidRPr="005E6666">
        <w:rPr>
          <w:lang w:val="mi-NZ"/>
        </w:rPr>
        <w:t xml:space="preserve"> 40 per cent</w:t>
      </w:r>
      <w:r>
        <w:rPr>
          <w:lang w:val="mi-NZ"/>
        </w:rPr>
        <w:t xml:space="preserve">, </w:t>
      </w:r>
      <w:r w:rsidRPr="005E6666">
        <w:rPr>
          <w:lang w:val="mi-NZ"/>
        </w:rPr>
        <w:t xml:space="preserve">and public transport </w:t>
      </w:r>
      <w:r>
        <w:rPr>
          <w:lang w:val="mi-NZ"/>
        </w:rPr>
        <w:t xml:space="preserve">patronage </w:t>
      </w:r>
      <w:r w:rsidRPr="005E6666">
        <w:rPr>
          <w:lang w:val="mi-NZ"/>
        </w:rPr>
        <w:t>of 90 per cent below normal levels. By late June, easing of restrictions meant road traffic was only around 20 per cent below normal levels</w:t>
      </w:r>
      <w:r>
        <w:rPr>
          <w:lang w:val="mi-NZ"/>
        </w:rPr>
        <w:t xml:space="preserve">, while </w:t>
      </w:r>
      <w:r w:rsidRPr="005E6666">
        <w:rPr>
          <w:lang w:val="mi-NZ"/>
        </w:rPr>
        <w:t xml:space="preserve">public transport patronage was 70 per cent </w:t>
      </w:r>
      <w:r>
        <w:rPr>
          <w:lang w:val="mi-NZ"/>
        </w:rPr>
        <w:t>lower than normal</w:t>
      </w:r>
      <w:r w:rsidRPr="005E6666">
        <w:rPr>
          <w:lang w:val="mi-NZ"/>
        </w:rPr>
        <w:t xml:space="preserve">. The </w:t>
      </w:r>
      <w:r w:rsidRPr="005E6666">
        <w:rPr>
          <w:lang w:val="mi-NZ"/>
        </w:rPr>
        <w:lastRenderedPageBreak/>
        <w:t>pandemic has meant more people are choosing to drive instead of using public transport</w:t>
      </w:r>
      <w:r>
        <w:rPr>
          <w:lang w:val="mi-NZ"/>
        </w:rPr>
        <w:t xml:space="preserve">. Responding to this mode shift and offering Victorians more choice for when and how they travel will be a priority over the many months ahead. </w:t>
      </w:r>
    </w:p>
    <w:p w14:paraId="5F292CCB" w14:textId="77777777" w:rsidR="003E5BF5" w:rsidRDefault="003E5BF5" w:rsidP="00DE1921">
      <w:pPr>
        <w:pStyle w:val="aaatyping"/>
        <w:rPr>
          <w:lang w:val="mi-NZ"/>
        </w:rPr>
      </w:pPr>
      <w:r>
        <w:rPr>
          <w:lang w:val="mi-NZ"/>
        </w:rPr>
        <w:t>Thank you to our all our staff and patrons across the network for your efforts in helping to keep our community moving, and moving safely.</w:t>
      </w:r>
    </w:p>
    <w:p w14:paraId="49580DC9" w14:textId="77777777" w:rsidR="004B7000" w:rsidRDefault="004B7000" w:rsidP="00DE1921">
      <w:pPr>
        <w:rPr>
          <w:lang w:val="mi-NZ"/>
        </w:rPr>
        <w:sectPr w:rsidR="004B7000" w:rsidSect="004B7000">
          <w:footerReference w:type="even" r:id="rId35"/>
          <w:type w:val="continuous"/>
          <w:pgSz w:w="11906" w:h="16838"/>
          <w:pgMar w:top="1701" w:right="1418" w:bottom="1418" w:left="1418" w:header="709" w:footer="709" w:gutter="0"/>
          <w:cols w:space="284"/>
          <w:docGrid w:linePitch="360"/>
        </w:sectPr>
      </w:pPr>
    </w:p>
    <w:p w14:paraId="238757A7" w14:textId="77777777" w:rsidR="003E5BF5" w:rsidRDefault="003E5BF5" w:rsidP="008A0170">
      <w:pPr>
        <w:pStyle w:val="Heading3"/>
        <w:sectPr w:rsidR="003E5BF5" w:rsidSect="00DE1921">
          <w:pgSz w:w="11906" w:h="16838" w:code="9"/>
          <w:pgMar w:top="1701" w:right="1418" w:bottom="1418" w:left="1418" w:header="709" w:footer="709" w:gutter="0"/>
          <w:cols w:space="284"/>
          <w:docGrid w:linePitch="360"/>
        </w:sectPr>
      </w:pPr>
      <w:r>
        <w:lastRenderedPageBreak/>
        <w:t>VPS missions during coronavirus (COVID-19)</w:t>
      </w:r>
    </w:p>
    <w:p w14:paraId="1A3A6EEC" w14:textId="77777777" w:rsidR="003E5BF5" w:rsidRDefault="003E5BF5" w:rsidP="00DE1921">
      <w:pPr>
        <w:pStyle w:val="aaatyping"/>
      </w:pPr>
      <w:r>
        <w:t xml:space="preserve">From April 2020, the most senior levels of the Victorian Public Service (VPS) were structured to focus on a small number of core missions to help respond to the coronavirus (COVID-19) pandemic, and to prepare for the recovery and post-crisis restoration of Victoria. </w:t>
      </w:r>
    </w:p>
    <w:p w14:paraId="25B9ECA8" w14:textId="77777777" w:rsidR="00B43A8B" w:rsidRDefault="003E5BF5" w:rsidP="00DE1921">
      <w:pPr>
        <w:pStyle w:val="aaatyping"/>
      </w:pPr>
      <w:r>
        <w:t xml:space="preserve">Departmental Secretaries appointed as Missions Leads by the Premier, are responsible for planning and delivery of the missions. Mission Leads engage with the CCC Coordinating Ministers and support the CCC as the structure’s core decision-making forum.  </w:t>
      </w:r>
    </w:p>
    <w:p w14:paraId="4EBE11A0" w14:textId="68B8B143" w:rsidR="003E5BF5" w:rsidRDefault="003E5BF5" w:rsidP="00DE1921">
      <w:pPr>
        <w:pStyle w:val="aaatyping"/>
      </w:pPr>
      <w:r>
        <w:t>A Mission Coordination Committee, chaired by the Secretary of the Department of Premier &amp; Cabinet, was also established as the key officials' forum to support delivery of the missions, reporting to the CCC. This mission structure has allowed the VPS to effectively focus activity, share resources and coordinate coronavirus (COVID-19) responses across departments.</w:t>
      </w:r>
    </w:p>
    <w:p w14:paraId="6CB7024F" w14:textId="77777777" w:rsidR="003E5BF5" w:rsidRDefault="003E5BF5" w:rsidP="00DE1921">
      <w:pPr>
        <w:pStyle w:val="aaatyping"/>
        <w:sectPr w:rsidR="003E5BF5" w:rsidSect="00B43A8B">
          <w:type w:val="continuous"/>
          <w:pgSz w:w="11906" w:h="16838" w:code="9"/>
          <w:pgMar w:top="1701" w:right="1418" w:bottom="1418" w:left="1418" w:header="709" w:footer="709" w:gutter="0"/>
          <w:cols w:space="284"/>
          <w:docGrid w:linePitch="360"/>
        </w:sectPr>
      </w:pPr>
      <w:r>
        <w:t>From June 2020, the</w:t>
      </w:r>
      <w:r w:rsidRPr="00D11C2D">
        <w:t xml:space="preserve"> initial eight public service missions were </w:t>
      </w:r>
      <w:r>
        <w:t>consolidated</w:t>
      </w:r>
      <w:r w:rsidRPr="00D11C2D">
        <w:t xml:space="preserve"> into six key missions, to support a more focused effort on public health response and resilience, and to support the delivery of the deferred 2020-21 state budget. These six key missions are</w:t>
      </w:r>
      <w:r>
        <w:t xml:space="preserve"> listed below. </w:t>
      </w:r>
    </w:p>
    <w:p w14:paraId="4FF58764" w14:textId="77777777" w:rsidR="00B43A8B" w:rsidRDefault="00B43A8B" w:rsidP="00DE1921">
      <w:pPr>
        <w:pStyle w:val="TableTextLeftBold"/>
        <w:sectPr w:rsidR="00B43A8B" w:rsidSect="00DE1921">
          <w:footerReference w:type="even" r:id="rId36"/>
          <w:pgSz w:w="11906" w:h="16838"/>
          <w:pgMar w:top="1440" w:right="1440" w:bottom="1440" w:left="1440" w:header="708" w:footer="708" w:gutter="0"/>
          <w:cols w:space="708"/>
          <w:docGrid w:linePitch="360"/>
        </w:sectPr>
      </w:pPr>
    </w:p>
    <w:tbl>
      <w:tblPr>
        <w:tblStyle w:val="TableGrid"/>
        <w:tblW w:w="9072" w:type="dxa"/>
        <w:tblLayout w:type="fixed"/>
        <w:tblLook w:val="04A0" w:firstRow="1" w:lastRow="0" w:firstColumn="1" w:lastColumn="0" w:noHBand="0" w:noVBand="1"/>
      </w:tblPr>
      <w:tblGrid>
        <w:gridCol w:w="2268"/>
        <w:gridCol w:w="2552"/>
        <w:gridCol w:w="4252"/>
      </w:tblGrid>
      <w:tr w:rsidR="003E5BF5" w:rsidRPr="001D32C0" w14:paraId="3CCE9DFE" w14:textId="77777777" w:rsidTr="00060F2A">
        <w:trPr>
          <w:trHeight w:hRule="exact" w:val="340"/>
        </w:trPr>
        <w:tc>
          <w:tcPr>
            <w:tcW w:w="2268" w:type="dxa"/>
            <w:shd w:val="clear" w:color="auto" w:fill="auto"/>
            <w:tcMar>
              <w:left w:w="57" w:type="dxa"/>
              <w:right w:w="57" w:type="dxa"/>
            </w:tcMar>
            <w:vAlign w:val="center"/>
          </w:tcPr>
          <w:p w14:paraId="43E09313" w14:textId="3693677A" w:rsidR="003E5BF5" w:rsidRPr="001D32C0" w:rsidRDefault="003E5BF5" w:rsidP="00DE1921">
            <w:pPr>
              <w:pStyle w:val="TableTextLeftBold"/>
              <w:rPr>
                <w:rFonts w:ascii="Arial" w:hAnsi="Arial" w:cs="Arial"/>
                <w:sz w:val="24"/>
                <w:szCs w:val="24"/>
              </w:rPr>
            </w:pPr>
            <w:r w:rsidRPr="001D32C0">
              <w:rPr>
                <w:rFonts w:ascii="Arial" w:hAnsi="Arial" w:cs="Arial"/>
                <w:sz w:val="24"/>
                <w:szCs w:val="24"/>
              </w:rPr>
              <w:t xml:space="preserve">Mission  </w:t>
            </w:r>
          </w:p>
        </w:tc>
        <w:tc>
          <w:tcPr>
            <w:tcW w:w="2552" w:type="dxa"/>
            <w:shd w:val="clear" w:color="auto" w:fill="auto"/>
            <w:tcMar>
              <w:left w:w="57" w:type="dxa"/>
              <w:right w:w="57" w:type="dxa"/>
            </w:tcMar>
            <w:vAlign w:val="center"/>
          </w:tcPr>
          <w:p w14:paraId="19771BD8" w14:textId="77777777" w:rsidR="003E5BF5" w:rsidRPr="001D32C0" w:rsidRDefault="003E5BF5" w:rsidP="00DE1921">
            <w:pPr>
              <w:pStyle w:val="TableTextLeftBold"/>
              <w:rPr>
                <w:rFonts w:ascii="Arial" w:hAnsi="Arial" w:cs="Arial"/>
                <w:sz w:val="24"/>
                <w:szCs w:val="24"/>
              </w:rPr>
            </w:pPr>
            <w:r w:rsidRPr="001D32C0">
              <w:rPr>
                <w:rFonts w:ascii="Arial" w:hAnsi="Arial" w:cs="Arial"/>
                <w:sz w:val="24"/>
                <w:szCs w:val="24"/>
              </w:rPr>
              <w:t xml:space="preserve">Lead Secretary </w:t>
            </w:r>
          </w:p>
        </w:tc>
        <w:tc>
          <w:tcPr>
            <w:tcW w:w="4252" w:type="dxa"/>
            <w:shd w:val="clear" w:color="auto" w:fill="auto"/>
            <w:tcMar>
              <w:left w:w="57" w:type="dxa"/>
              <w:right w:w="57" w:type="dxa"/>
            </w:tcMar>
            <w:vAlign w:val="center"/>
          </w:tcPr>
          <w:p w14:paraId="0973DC14" w14:textId="77777777" w:rsidR="003E5BF5" w:rsidRPr="001D32C0" w:rsidRDefault="003E5BF5" w:rsidP="00DE1921">
            <w:pPr>
              <w:pStyle w:val="TableTextLeftBold"/>
              <w:rPr>
                <w:rFonts w:ascii="Arial" w:hAnsi="Arial" w:cs="Arial"/>
                <w:sz w:val="24"/>
                <w:szCs w:val="24"/>
              </w:rPr>
            </w:pPr>
            <w:r w:rsidRPr="001D32C0">
              <w:rPr>
                <w:rFonts w:ascii="Arial" w:hAnsi="Arial" w:cs="Arial"/>
                <w:sz w:val="24"/>
                <w:szCs w:val="24"/>
              </w:rPr>
              <w:t xml:space="preserve">Description  </w:t>
            </w:r>
          </w:p>
        </w:tc>
      </w:tr>
      <w:tr w:rsidR="003E5BF5" w:rsidRPr="001D32C0" w14:paraId="2B59F047" w14:textId="77777777" w:rsidTr="00060F2A">
        <w:trPr>
          <w:trHeight w:val="340"/>
        </w:trPr>
        <w:tc>
          <w:tcPr>
            <w:tcW w:w="2268" w:type="dxa"/>
            <w:tcMar>
              <w:left w:w="57" w:type="dxa"/>
              <w:right w:w="57" w:type="dxa"/>
            </w:tcMar>
          </w:tcPr>
          <w:p w14:paraId="5D8FF1FD" w14:textId="77777777" w:rsidR="003E5BF5" w:rsidRPr="001D32C0" w:rsidRDefault="003E5BF5" w:rsidP="00DE1921">
            <w:pPr>
              <w:pStyle w:val="TableTextLeft"/>
              <w:rPr>
                <w:rFonts w:ascii="Arial" w:hAnsi="Arial" w:cs="Arial"/>
                <w:sz w:val="24"/>
                <w:szCs w:val="24"/>
              </w:rPr>
            </w:pPr>
            <w:r w:rsidRPr="001D32C0">
              <w:rPr>
                <w:rFonts w:ascii="Arial" w:hAnsi="Arial" w:cs="Arial"/>
                <w:sz w:val="24"/>
                <w:szCs w:val="24"/>
              </w:rPr>
              <w:t xml:space="preserve">Public health resilience </w:t>
            </w:r>
          </w:p>
        </w:tc>
        <w:tc>
          <w:tcPr>
            <w:tcW w:w="2552" w:type="dxa"/>
            <w:tcMar>
              <w:left w:w="57" w:type="dxa"/>
              <w:right w:w="57" w:type="dxa"/>
            </w:tcMar>
          </w:tcPr>
          <w:p w14:paraId="76435325" w14:textId="77777777" w:rsidR="003E5BF5" w:rsidRPr="001D32C0" w:rsidRDefault="003E5BF5" w:rsidP="00DE1921">
            <w:pPr>
              <w:pStyle w:val="TableTextLeft"/>
              <w:rPr>
                <w:rFonts w:ascii="Arial" w:hAnsi="Arial" w:cs="Arial"/>
                <w:sz w:val="24"/>
                <w:szCs w:val="24"/>
              </w:rPr>
            </w:pPr>
            <w:r w:rsidRPr="001D32C0">
              <w:rPr>
                <w:rFonts w:ascii="Arial" w:hAnsi="Arial" w:cs="Arial"/>
                <w:sz w:val="24"/>
                <w:szCs w:val="24"/>
              </w:rPr>
              <w:t xml:space="preserve">Secretary, Department of Health &amp; Human Services </w:t>
            </w:r>
          </w:p>
        </w:tc>
        <w:tc>
          <w:tcPr>
            <w:tcW w:w="4252" w:type="dxa"/>
            <w:tcMar>
              <w:left w:w="57" w:type="dxa"/>
              <w:right w:w="57" w:type="dxa"/>
            </w:tcMar>
          </w:tcPr>
          <w:p w14:paraId="0FD9A349" w14:textId="77777777" w:rsidR="003E5BF5" w:rsidRPr="001D32C0" w:rsidRDefault="003E5BF5" w:rsidP="00DE1921">
            <w:pPr>
              <w:pStyle w:val="TableTextLeft"/>
              <w:rPr>
                <w:rFonts w:ascii="Arial" w:hAnsi="Arial" w:cs="Arial"/>
                <w:sz w:val="24"/>
                <w:szCs w:val="24"/>
              </w:rPr>
            </w:pPr>
            <w:r w:rsidRPr="001D32C0">
              <w:rPr>
                <w:rFonts w:ascii="Arial" w:hAnsi="Arial" w:cs="Arial"/>
                <w:sz w:val="24"/>
                <w:szCs w:val="24"/>
              </w:rPr>
              <w:t xml:space="preserve">Leadership of the ongoing public health response to coronavirus (COVID-19), and hospital and system reform </w:t>
            </w:r>
          </w:p>
        </w:tc>
      </w:tr>
      <w:tr w:rsidR="003E5BF5" w:rsidRPr="001D32C0" w14:paraId="4D9B9EAD" w14:textId="77777777" w:rsidTr="00060F2A">
        <w:trPr>
          <w:trHeight w:val="340"/>
        </w:trPr>
        <w:tc>
          <w:tcPr>
            <w:tcW w:w="2268" w:type="dxa"/>
            <w:tcMar>
              <w:left w:w="57" w:type="dxa"/>
              <w:right w:w="57" w:type="dxa"/>
            </w:tcMar>
          </w:tcPr>
          <w:p w14:paraId="34639595" w14:textId="77777777" w:rsidR="003E5BF5" w:rsidRPr="001D32C0" w:rsidRDefault="003E5BF5" w:rsidP="00DE1921">
            <w:pPr>
              <w:pStyle w:val="TableTextLeft"/>
              <w:rPr>
                <w:rFonts w:ascii="Arial" w:hAnsi="Arial" w:cs="Arial"/>
                <w:sz w:val="24"/>
                <w:szCs w:val="24"/>
              </w:rPr>
            </w:pPr>
            <w:r w:rsidRPr="001D32C0">
              <w:rPr>
                <w:rFonts w:ascii="Arial" w:hAnsi="Arial" w:cs="Arial"/>
                <w:sz w:val="24"/>
                <w:szCs w:val="24"/>
              </w:rPr>
              <w:t xml:space="preserve">Economic management and preparation of the 2020-21 budget  </w:t>
            </w:r>
          </w:p>
        </w:tc>
        <w:tc>
          <w:tcPr>
            <w:tcW w:w="2552" w:type="dxa"/>
            <w:tcMar>
              <w:left w:w="57" w:type="dxa"/>
              <w:right w:w="57" w:type="dxa"/>
            </w:tcMar>
          </w:tcPr>
          <w:p w14:paraId="6B6E3B09" w14:textId="77777777" w:rsidR="003E5BF5" w:rsidRPr="001D32C0" w:rsidRDefault="003E5BF5" w:rsidP="00DE1921">
            <w:pPr>
              <w:pStyle w:val="TableTextLeft"/>
              <w:rPr>
                <w:rFonts w:ascii="Arial" w:hAnsi="Arial" w:cs="Arial"/>
                <w:sz w:val="24"/>
                <w:szCs w:val="24"/>
              </w:rPr>
            </w:pPr>
            <w:r w:rsidRPr="001D32C0">
              <w:rPr>
                <w:rFonts w:ascii="Arial" w:hAnsi="Arial" w:cs="Arial"/>
                <w:sz w:val="24"/>
                <w:szCs w:val="24"/>
              </w:rPr>
              <w:t xml:space="preserve">Secretary, Department of Treasury &amp; Finance </w:t>
            </w:r>
          </w:p>
        </w:tc>
        <w:tc>
          <w:tcPr>
            <w:tcW w:w="4252" w:type="dxa"/>
            <w:tcMar>
              <w:left w:w="57" w:type="dxa"/>
              <w:right w:w="57" w:type="dxa"/>
            </w:tcMar>
          </w:tcPr>
          <w:p w14:paraId="7EDBB42A" w14:textId="77777777" w:rsidR="003E5BF5" w:rsidRPr="001D32C0" w:rsidRDefault="003E5BF5" w:rsidP="00DE1921">
            <w:pPr>
              <w:pStyle w:val="TableTextLeft"/>
              <w:rPr>
                <w:rFonts w:ascii="Arial" w:hAnsi="Arial" w:cs="Arial"/>
                <w:sz w:val="24"/>
                <w:szCs w:val="24"/>
              </w:rPr>
            </w:pPr>
            <w:r w:rsidRPr="001D32C0">
              <w:rPr>
                <w:rFonts w:ascii="Arial" w:hAnsi="Arial" w:cs="Arial"/>
                <w:sz w:val="24"/>
                <w:szCs w:val="24"/>
              </w:rPr>
              <w:t xml:space="preserve">Leadership for monitoring economic and business conditions, and managing the Victorian State budget and financing including tax reform </w:t>
            </w:r>
          </w:p>
        </w:tc>
      </w:tr>
      <w:tr w:rsidR="007E37B2" w:rsidRPr="001D32C0" w14:paraId="70B53971" w14:textId="77777777" w:rsidTr="00836AC0">
        <w:trPr>
          <w:trHeight w:val="2052"/>
        </w:trPr>
        <w:tc>
          <w:tcPr>
            <w:tcW w:w="2268" w:type="dxa"/>
            <w:tcMar>
              <w:left w:w="57" w:type="dxa"/>
              <w:right w:w="57" w:type="dxa"/>
            </w:tcMar>
          </w:tcPr>
          <w:p w14:paraId="66233095" w14:textId="77777777" w:rsidR="007E37B2" w:rsidRPr="001D32C0" w:rsidRDefault="007E37B2" w:rsidP="00DE1921">
            <w:pPr>
              <w:pStyle w:val="TableTextLeft"/>
              <w:rPr>
                <w:rFonts w:ascii="Arial" w:hAnsi="Arial" w:cs="Arial"/>
                <w:sz w:val="24"/>
                <w:szCs w:val="24"/>
              </w:rPr>
            </w:pPr>
            <w:r w:rsidRPr="001D32C0">
              <w:rPr>
                <w:rFonts w:ascii="Arial" w:hAnsi="Arial" w:cs="Arial"/>
                <w:sz w:val="24"/>
                <w:szCs w:val="24"/>
              </w:rPr>
              <w:t xml:space="preserve">Economic program delivery, supply, logistics and procurement </w:t>
            </w:r>
          </w:p>
        </w:tc>
        <w:tc>
          <w:tcPr>
            <w:tcW w:w="2552" w:type="dxa"/>
            <w:tcMar>
              <w:left w:w="57" w:type="dxa"/>
              <w:right w:w="57" w:type="dxa"/>
            </w:tcMar>
          </w:tcPr>
          <w:p w14:paraId="6F0BA6E2" w14:textId="77777777" w:rsidR="007E37B2" w:rsidRPr="001D32C0" w:rsidRDefault="007E37B2" w:rsidP="00DE1921">
            <w:pPr>
              <w:pStyle w:val="TableTextLeft"/>
              <w:rPr>
                <w:rFonts w:ascii="Arial" w:hAnsi="Arial" w:cs="Arial"/>
                <w:sz w:val="24"/>
                <w:szCs w:val="24"/>
              </w:rPr>
            </w:pPr>
            <w:r w:rsidRPr="001D32C0">
              <w:rPr>
                <w:rFonts w:ascii="Arial" w:hAnsi="Arial" w:cs="Arial"/>
                <w:sz w:val="24"/>
                <w:szCs w:val="24"/>
              </w:rPr>
              <w:t xml:space="preserve">Secretary, Department of Jobs, Precincts &amp; Regions </w:t>
            </w:r>
          </w:p>
        </w:tc>
        <w:tc>
          <w:tcPr>
            <w:tcW w:w="4252" w:type="dxa"/>
            <w:tcMar>
              <w:left w:w="57" w:type="dxa"/>
              <w:right w:w="57" w:type="dxa"/>
            </w:tcMar>
          </w:tcPr>
          <w:p w14:paraId="2D0E1561" w14:textId="77777777" w:rsidR="007E37B2" w:rsidRPr="001D32C0" w:rsidRDefault="007E37B2" w:rsidP="00DE1921">
            <w:pPr>
              <w:pStyle w:val="TableTextLeft"/>
              <w:spacing w:after="120"/>
              <w:rPr>
                <w:rFonts w:ascii="Arial" w:hAnsi="Arial" w:cs="Arial"/>
                <w:sz w:val="24"/>
                <w:szCs w:val="24"/>
              </w:rPr>
            </w:pPr>
            <w:r w:rsidRPr="001D32C0">
              <w:rPr>
                <w:rFonts w:ascii="Arial" w:hAnsi="Arial" w:cs="Arial"/>
                <w:sz w:val="24"/>
                <w:szCs w:val="24"/>
              </w:rPr>
              <w:t xml:space="preserve">Leadership and delivery for the economic programs needed to support business and employment </w:t>
            </w:r>
          </w:p>
          <w:p w14:paraId="1056E5A9" w14:textId="77777777" w:rsidR="007E37B2" w:rsidRPr="001D32C0" w:rsidRDefault="007E37B2" w:rsidP="00DE1921">
            <w:pPr>
              <w:pStyle w:val="TableTextLeft"/>
              <w:rPr>
                <w:rFonts w:ascii="Arial" w:hAnsi="Arial" w:cs="Arial"/>
                <w:sz w:val="24"/>
                <w:szCs w:val="24"/>
              </w:rPr>
            </w:pPr>
            <w:r w:rsidRPr="001D32C0">
              <w:rPr>
                <w:rFonts w:ascii="Arial" w:hAnsi="Arial" w:cs="Arial"/>
                <w:sz w:val="24"/>
                <w:szCs w:val="24"/>
              </w:rPr>
              <w:t>Leadership for the supply and transport of essential goods, and the timely procurement of goods and services and potentially premises</w:t>
            </w:r>
          </w:p>
        </w:tc>
      </w:tr>
      <w:tr w:rsidR="003E5BF5" w:rsidRPr="001D32C0" w14:paraId="4B0AC227" w14:textId="77777777" w:rsidTr="00060F2A">
        <w:trPr>
          <w:trHeight w:val="1546"/>
        </w:trPr>
        <w:tc>
          <w:tcPr>
            <w:tcW w:w="2268" w:type="dxa"/>
            <w:tcMar>
              <w:left w:w="57" w:type="dxa"/>
              <w:right w:w="57" w:type="dxa"/>
            </w:tcMar>
          </w:tcPr>
          <w:p w14:paraId="44B0A995" w14:textId="77777777" w:rsidR="003E5BF5" w:rsidRPr="001D32C0" w:rsidRDefault="003E5BF5" w:rsidP="00DE1921">
            <w:pPr>
              <w:pStyle w:val="TableTextLeft"/>
              <w:rPr>
                <w:rFonts w:ascii="Arial" w:hAnsi="Arial" w:cs="Arial"/>
                <w:sz w:val="24"/>
                <w:szCs w:val="24"/>
              </w:rPr>
            </w:pPr>
            <w:r w:rsidRPr="001D32C0">
              <w:rPr>
                <w:rFonts w:ascii="Arial" w:hAnsi="Arial" w:cs="Arial"/>
                <w:sz w:val="24"/>
                <w:szCs w:val="24"/>
              </w:rPr>
              <w:t xml:space="preserve">Restoration and reform of public services – People </w:t>
            </w:r>
          </w:p>
        </w:tc>
        <w:tc>
          <w:tcPr>
            <w:tcW w:w="2552" w:type="dxa"/>
            <w:tcMar>
              <w:left w:w="57" w:type="dxa"/>
              <w:right w:w="57" w:type="dxa"/>
            </w:tcMar>
          </w:tcPr>
          <w:p w14:paraId="486697D7" w14:textId="77777777" w:rsidR="003E5BF5" w:rsidRPr="001D32C0" w:rsidRDefault="003E5BF5" w:rsidP="00DE1921">
            <w:pPr>
              <w:pStyle w:val="TableTextLeft"/>
              <w:spacing w:after="120"/>
              <w:rPr>
                <w:rFonts w:ascii="Arial" w:hAnsi="Arial" w:cs="Arial"/>
                <w:sz w:val="24"/>
                <w:szCs w:val="24"/>
              </w:rPr>
            </w:pPr>
            <w:r w:rsidRPr="001D32C0">
              <w:rPr>
                <w:rFonts w:ascii="Arial" w:hAnsi="Arial" w:cs="Arial"/>
                <w:sz w:val="24"/>
                <w:szCs w:val="24"/>
              </w:rPr>
              <w:t>Secretary, Department of Justice &amp; Community Safety</w:t>
            </w:r>
          </w:p>
          <w:p w14:paraId="22DBDD5D" w14:textId="77777777" w:rsidR="003E5BF5" w:rsidRPr="001D32C0" w:rsidRDefault="003E5BF5" w:rsidP="00DE1921">
            <w:pPr>
              <w:pStyle w:val="TableTextLeft"/>
              <w:spacing w:after="120"/>
              <w:rPr>
                <w:rFonts w:ascii="Arial" w:hAnsi="Arial" w:cs="Arial"/>
                <w:sz w:val="24"/>
                <w:szCs w:val="24"/>
              </w:rPr>
            </w:pPr>
            <w:r w:rsidRPr="001D32C0">
              <w:rPr>
                <w:rFonts w:ascii="Arial" w:hAnsi="Arial" w:cs="Arial"/>
                <w:sz w:val="24"/>
                <w:szCs w:val="24"/>
              </w:rPr>
              <w:t>Secretary, Department of Health &amp; Human Services</w:t>
            </w:r>
          </w:p>
          <w:p w14:paraId="67C7EC7C" w14:textId="77777777" w:rsidR="003E5BF5" w:rsidRPr="001D32C0" w:rsidRDefault="003E5BF5" w:rsidP="00DE1921">
            <w:pPr>
              <w:pStyle w:val="TableTextLeft"/>
              <w:rPr>
                <w:rFonts w:ascii="Arial" w:hAnsi="Arial" w:cs="Arial"/>
                <w:sz w:val="24"/>
                <w:szCs w:val="24"/>
              </w:rPr>
            </w:pPr>
            <w:r w:rsidRPr="001D32C0">
              <w:rPr>
                <w:rFonts w:ascii="Arial" w:hAnsi="Arial" w:cs="Arial"/>
                <w:sz w:val="24"/>
                <w:szCs w:val="24"/>
              </w:rPr>
              <w:t>Secretary, Department of Education &amp; Training</w:t>
            </w:r>
          </w:p>
        </w:tc>
        <w:tc>
          <w:tcPr>
            <w:tcW w:w="4252" w:type="dxa"/>
            <w:tcMar>
              <w:left w:w="57" w:type="dxa"/>
              <w:right w:w="57" w:type="dxa"/>
            </w:tcMar>
          </w:tcPr>
          <w:p w14:paraId="7BC8379F" w14:textId="77777777" w:rsidR="003E5BF5" w:rsidRPr="001D32C0" w:rsidRDefault="003E5BF5" w:rsidP="00DE1921">
            <w:pPr>
              <w:pStyle w:val="TableTextLeft"/>
              <w:rPr>
                <w:rFonts w:ascii="Arial" w:hAnsi="Arial" w:cs="Arial"/>
                <w:sz w:val="24"/>
                <w:szCs w:val="24"/>
              </w:rPr>
            </w:pPr>
            <w:r w:rsidRPr="001D32C0">
              <w:rPr>
                <w:rFonts w:ascii="Arial" w:hAnsi="Arial" w:cs="Arial"/>
                <w:sz w:val="24"/>
                <w:szCs w:val="24"/>
              </w:rPr>
              <w:t>Leadership for the recovery and reform of key government justice, education and human services</w:t>
            </w:r>
          </w:p>
        </w:tc>
      </w:tr>
      <w:tr w:rsidR="003E5BF5" w:rsidRPr="001D32C0" w14:paraId="297B1674" w14:textId="77777777" w:rsidTr="00060F2A">
        <w:trPr>
          <w:trHeight w:val="340"/>
        </w:trPr>
        <w:tc>
          <w:tcPr>
            <w:tcW w:w="2268" w:type="dxa"/>
            <w:tcMar>
              <w:left w:w="57" w:type="dxa"/>
              <w:right w:w="57" w:type="dxa"/>
            </w:tcMar>
          </w:tcPr>
          <w:p w14:paraId="76C72184" w14:textId="77777777" w:rsidR="003E5BF5" w:rsidRPr="001D32C0" w:rsidRDefault="003E5BF5" w:rsidP="00DE1921">
            <w:pPr>
              <w:pStyle w:val="TableTextLeft"/>
              <w:rPr>
                <w:rFonts w:ascii="Arial" w:hAnsi="Arial" w:cs="Arial"/>
                <w:sz w:val="24"/>
                <w:szCs w:val="24"/>
              </w:rPr>
            </w:pPr>
            <w:r w:rsidRPr="001D32C0">
              <w:rPr>
                <w:rFonts w:ascii="Arial" w:hAnsi="Arial" w:cs="Arial"/>
                <w:sz w:val="24"/>
                <w:szCs w:val="24"/>
              </w:rPr>
              <w:t>Restoration and reform of public services – Economic (public sector)</w:t>
            </w:r>
          </w:p>
        </w:tc>
        <w:tc>
          <w:tcPr>
            <w:tcW w:w="2552" w:type="dxa"/>
            <w:tcMar>
              <w:left w:w="57" w:type="dxa"/>
              <w:right w:w="57" w:type="dxa"/>
            </w:tcMar>
          </w:tcPr>
          <w:p w14:paraId="505DAC81" w14:textId="77777777" w:rsidR="003E5BF5" w:rsidRPr="001D32C0" w:rsidRDefault="003E5BF5" w:rsidP="00DE1921">
            <w:pPr>
              <w:pStyle w:val="TableTextLeft"/>
              <w:spacing w:after="120"/>
              <w:rPr>
                <w:rFonts w:ascii="Arial" w:hAnsi="Arial" w:cs="Arial"/>
                <w:sz w:val="24"/>
                <w:szCs w:val="24"/>
              </w:rPr>
            </w:pPr>
            <w:r w:rsidRPr="001D32C0">
              <w:rPr>
                <w:rFonts w:ascii="Arial" w:hAnsi="Arial" w:cs="Arial"/>
                <w:sz w:val="24"/>
                <w:szCs w:val="24"/>
              </w:rPr>
              <w:t>Secretary, Department of Transport</w:t>
            </w:r>
          </w:p>
          <w:p w14:paraId="34AFABE7" w14:textId="77777777" w:rsidR="003E5BF5" w:rsidRPr="001D32C0" w:rsidRDefault="003E5BF5" w:rsidP="00DE1921">
            <w:pPr>
              <w:pStyle w:val="TableTextLeft"/>
              <w:rPr>
                <w:rFonts w:ascii="Arial" w:hAnsi="Arial" w:cs="Arial"/>
                <w:sz w:val="24"/>
                <w:szCs w:val="24"/>
              </w:rPr>
            </w:pPr>
            <w:r w:rsidRPr="001D32C0">
              <w:rPr>
                <w:rFonts w:ascii="Arial" w:hAnsi="Arial" w:cs="Arial"/>
                <w:sz w:val="24"/>
                <w:szCs w:val="24"/>
              </w:rPr>
              <w:t>Secretary, Department of Environment, Land, Water &amp; Planning</w:t>
            </w:r>
          </w:p>
        </w:tc>
        <w:tc>
          <w:tcPr>
            <w:tcW w:w="4252" w:type="dxa"/>
            <w:tcMar>
              <w:left w:w="57" w:type="dxa"/>
              <w:right w:w="57" w:type="dxa"/>
            </w:tcMar>
          </w:tcPr>
          <w:p w14:paraId="52628AFE" w14:textId="77777777" w:rsidR="003E5BF5" w:rsidRPr="001D32C0" w:rsidRDefault="003E5BF5" w:rsidP="00DE1921">
            <w:pPr>
              <w:pStyle w:val="TableTextLeft"/>
              <w:rPr>
                <w:rFonts w:ascii="Arial" w:hAnsi="Arial" w:cs="Arial"/>
                <w:sz w:val="24"/>
                <w:szCs w:val="24"/>
              </w:rPr>
            </w:pPr>
            <w:r w:rsidRPr="001D32C0">
              <w:rPr>
                <w:rFonts w:ascii="Arial" w:hAnsi="Arial" w:cs="Arial"/>
                <w:sz w:val="24"/>
                <w:szCs w:val="24"/>
              </w:rPr>
              <w:t>Leadership for the recovery and reform of key government economic services, including to support economic recovery by rapidly restarting and commissioning infrastructure projects</w:t>
            </w:r>
          </w:p>
        </w:tc>
      </w:tr>
      <w:tr w:rsidR="003E5BF5" w:rsidRPr="001D32C0" w14:paraId="2F47F2D5" w14:textId="77777777" w:rsidTr="00060F2A">
        <w:trPr>
          <w:trHeight w:val="340"/>
        </w:trPr>
        <w:tc>
          <w:tcPr>
            <w:tcW w:w="2268" w:type="dxa"/>
            <w:tcMar>
              <w:left w:w="57" w:type="dxa"/>
              <w:right w:w="57" w:type="dxa"/>
            </w:tcMar>
          </w:tcPr>
          <w:p w14:paraId="7219345B" w14:textId="77777777" w:rsidR="003E5BF5" w:rsidRPr="001D32C0" w:rsidRDefault="003E5BF5" w:rsidP="00DE1921">
            <w:pPr>
              <w:pStyle w:val="TableTextLeft"/>
              <w:rPr>
                <w:rFonts w:ascii="Arial" w:hAnsi="Arial" w:cs="Arial"/>
                <w:sz w:val="24"/>
                <w:szCs w:val="24"/>
              </w:rPr>
            </w:pPr>
            <w:r w:rsidRPr="001D32C0">
              <w:rPr>
                <w:rFonts w:ascii="Arial" w:hAnsi="Arial" w:cs="Arial"/>
                <w:sz w:val="24"/>
                <w:szCs w:val="24"/>
              </w:rPr>
              <w:t xml:space="preserve">Economic Recovery and growth  </w:t>
            </w:r>
          </w:p>
        </w:tc>
        <w:tc>
          <w:tcPr>
            <w:tcW w:w="2552" w:type="dxa"/>
            <w:tcMar>
              <w:left w:w="57" w:type="dxa"/>
              <w:right w:w="57" w:type="dxa"/>
            </w:tcMar>
            <w:vAlign w:val="center"/>
          </w:tcPr>
          <w:p w14:paraId="4BFA8D8E" w14:textId="77777777" w:rsidR="003E5BF5" w:rsidRPr="001D32C0" w:rsidRDefault="003E5BF5" w:rsidP="00DE1921">
            <w:pPr>
              <w:pStyle w:val="TableTextLeft"/>
              <w:spacing w:after="120"/>
              <w:rPr>
                <w:rFonts w:ascii="Arial" w:hAnsi="Arial" w:cs="Arial"/>
                <w:sz w:val="24"/>
                <w:szCs w:val="24"/>
              </w:rPr>
            </w:pPr>
            <w:r w:rsidRPr="001D32C0">
              <w:rPr>
                <w:rFonts w:ascii="Arial" w:hAnsi="Arial" w:cs="Arial"/>
                <w:sz w:val="24"/>
                <w:szCs w:val="24"/>
              </w:rPr>
              <w:t>Secretary, Department of Jobs, Precincts &amp; Regions</w:t>
            </w:r>
          </w:p>
          <w:p w14:paraId="66155C39" w14:textId="77777777" w:rsidR="003E5BF5" w:rsidRPr="001D32C0" w:rsidRDefault="003E5BF5" w:rsidP="00DE1921">
            <w:pPr>
              <w:pStyle w:val="TableTextLeft"/>
              <w:spacing w:after="120"/>
              <w:rPr>
                <w:rFonts w:ascii="Arial" w:hAnsi="Arial" w:cs="Arial"/>
                <w:sz w:val="24"/>
                <w:szCs w:val="24"/>
              </w:rPr>
            </w:pPr>
            <w:r w:rsidRPr="001D32C0">
              <w:rPr>
                <w:rFonts w:ascii="Arial" w:hAnsi="Arial" w:cs="Arial"/>
                <w:sz w:val="24"/>
                <w:szCs w:val="24"/>
              </w:rPr>
              <w:t>CEO Invest Victoria</w:t>
            </w:r>
          </w:p>
        </w:tc>
        <w:tc>
          <w:tcPr>
            <w:tcW w:w="4252" w:type="dxa"/>
            <w:tcMar>
              <w:left w:w="57" w:type="dxa"/>
              <w:right w:w="57" w:type="dxa"/>
            </w:tcMar>
          </w:tcPr>
          <w:p w14:paraId="5C7FD62A" w14:textId="77777777" w:rsidR="003E5BF5" w:rsidRPr="001D32C0" w:rsidRDefault="003E5BF5" w:rsidP="00DE1921">
            <w:pPr>
              <w:pStyle w:val="TableTextLeft"/>
              <w:rPr>
                <w:rFonts w:ascii="Arial" w:hAnsi="Arial" w:cs="Arial"/>
                <w:sz w:val="24"/>
                <w:szCs w:val="24"/>
              </w:rPr>
            </w:pPr>
            <w:r w:rsidRPr="001D32C0">
              <w:rPr>
                <w:rFonts w:ascii="Arial" w:hAnsi="Arial" w:cs="Arial"/>
                <w:sz w:val="24"/>
                <w:szCs w:val="24"/>
              </w:rPr>
              <w:t>Leadership for the identification of recovery and growth strategies and actions for Victoria to recover economically</w:t>
            </w:r>
          </w:p>
        </w:tc>
      </w:tr>
    </w:tbl>
    <w:p w14:paraId="33557CE8" w14:textId="77777777" w:rsidR="0021787C" w:rsidRDefault="0021787C" w:rsidP="0021787C">
      <w:pPr>
        <w:pStyle w:val="aaatyping"/>
        <w:spacing w:before="120"/>
      </w:pPr>
      <w:r>
        <w:br w:type="page"/>
      </w:r>
    </w:p>
    <w:p w14:paraId="763BAC98" w14:textId="1BA8BC88" w:rsidR="003E5BF5" w:rsidRPr="008D2CD0" w:rsidRDefault="003E5BF5" w:rsidP="0021787C">
      <w:pPr>
        <w:pStyle w:val="aaatyping"/>
        <w:spacing w:before="120"/>
        <w:rPr>
          <w:rFonts w:eastAsia="Arial"/>
        </w:rPr>
      </w:pPr>
      <w:r w:rsidRPr="008D2CD0">
        <w:lastRenderedPageBreak/>
        <w:t>Two enabling programs of work were also established to guide the State’s response to the pandemic, and support the six missions:</w:t>
      </w:r>
    </w:p>
    <w:tbl>
      <w:tblPr>
        <w:tblStyle w:val="TableGrid"/>
        <w:tblW w:w="9072" w:type="dxa"/>
        <w:tblLayout w:type="fixed"/>
        <w:tblLook w:val="04A0" w:firstRow="1" w:lastRow="0" w:firstColumn="1" w:lastColumn="0" w:noHBand="0" w:noVBand="1"/>
      </w:tblPr>
      <w:tblGrid>
        <w:gridCol w:w="2268"/>
        <w:gridCol w:w="2552"/>
        <w:gridCol w:w="4252"/>
      </w:tblGrid>
      <w:tr w:rsidR="003E5BF5" w:rsidRPr="008D2CD0" w14:paraId="73D6DB8A" w14:textId="77777777" w:rsidTr="00060F2A">
        <w:trPr>
          <w:trHeight w:hRule="exact" w:val="340"/>
        </w:trPr>
        <w:tc>
          <w:tcPr>
            <w:tcW w:w="2268" w:type="dxa"/>
            <w:shd w:val="clear" w:color="auto" w:fill="auto"/>
            <w:tcMar>
              <w:left w:w="57" w:type="dxa"/>
              <w:right w:w="57" w:type="dxa"/>
            </w:tcMar>
            <w:vAlign w:val="center"/>
          </w:tcPr>
          <w:p w14:paraId="6A592D8A" w14:textId="77777777" w:rsidR="003E5BF5" w:rsidRPr="008D2CD0" w:rsidRDefault="003E5BF5" w:rsidP="00DE1921">
            <w:pPr>
              <w:pStyle w:val="TableTextLeftBold"/>
              <w:rPr>
                <w:rFonts w:ascii="Arial" w:hAnsi="Arial" w:cs="Arial"/>
                <w:sz w:val="24"/>
                <w:szCs w:val="24"/>
              </w:rPr>
            </w:pPr>
            <w:r w:rsidRPr="008D2CD0">
              <w:rPr>
                <w:rFonts w:ascii="Arial" w:hAnsi="Arial" w:cs="Arial"/>
                <w:sz w:val="24"/>
                <w:szCs w:val="24"/>
              </w:rPr>
              <w:t xml:space="preserve">Enabling Program  </w:t>
            </w:r>
          </w:p>
        </w:tc>
        <w:tc>
          <w:tcPr>
            <w:tcW w:w="2552" w:type="dxa"/>
            <w:shd w:val="clear" w:color="auto" w:fill="auto"/>
            <w:tcMar>
              <w:left w:w="57" w:type="dxa"/>
              <w:right w:w="57" w:type="dxa"/>
            </w:tcMar>
            <w:vAlign w:val="center"/>
          </w:tcPr>
          <w:p w14:paraId="7A34FDBE" w14:textId="77777777" w:rsidR="003E5BF5" w:rsidRPr="008D2CD0" w:rsidRDefault="003E5BF5" w:rsidP="00DE1921">
            <w:pPr>
              <w:pStyle w:val="TableTextLeftBold"/>
              <w:rPr>
                <w:rFonts w:ascii="Arial" w:hAnsi="Arial" w:cs="Arial"/>
                <w:sz w:val="24"/>
                <w:szCs w:val="24"/>
              </w:rPr>
            </w:pPr>
            <w:r w:rsidRPr="008D2CD0">
              <w:rPr>
                <w:rFonts w:ascii="Arial" w:hAnsi="Arial" w:cs="Arial"/>
                <w:sz w:val="24"/>
                <w:szCs w:val="24"/>
              </w:rPr>
              <w:t xml:space="preserve">Lead Secretary </w:t>
            </w:r>
          </w:p>
        </w:tc>
        <w:tc>
          <w:tcPr>
            <w:tcW w:w="4252" w:type="dxa"/>
            <w:shd w:val="clear" w:color="auto" w:fill="auto"/>
            <w:tcMar>
              <w:left w:w="57" w:type="dxa"/>
              <w:right w:w="57" w:type="dxa"/>
            </w:tcMar>
            <w:vAlign w:val="center"/>
          </w:tcPr>
          <w:p w14:paraId="5DF75077" w14:textId="77777777" w:rsidR="003E5BF5" w:rsidRPr="008D2CD0" w:rsidRDefault="003E5BF5" w:rsidP="00DE1921">
            <w:pPr>
              <w:pStyle w:val="TableTextLeftBold"/>
              <w:rPr>
                <w:rFonts w:ascii="Arial" w:hAnsi="Arial" w:cs="Arial"/>
                <w:sz w:val="24"/>
                <w:szCs w:val="24"/>
              </w:rPr>
            </w:pPr>
            <w:r w:rsidRPr="008D2CD0">
              <w:rPr>
                <w:rFonts w:ascii="Arial" w:hAnsi="Arial" w:cs="Arial"/>
                <w:sz w:val="24"/>
                <w:szCs w:val="24"/>
              </w:rPr>
              <w:t xml:space="preserve">Description  </w:t>
            </w:r>
          </w:p>
        </w:tc>
      </w:tr>
      <w:tr w:rsidR="003E5BF5" w:rsidRPr="008D2CD0" w14:paraId="68130E8A" w14:textId="77777777" w:rsidTr="00060F2A">
        <w:trPr>
          <w:trHeight w:val="340"/>
        </w:trPr>
        <w:tc>
          <w:tcPr>
            <w:tcW w:w="2268" w:type="dxa"/>
            <w:tcMar>
              <w:left w:w="57" w:type="dxa"/>
              <w:right w:w="57" w:type="dxa"/>
            </w:tcMar>
          </w:tcPr>
          <w:p w14:paraId="14B13612" w14:textId="77777777" w:rsidR="003E5BF5" w:rsidRPr="008D2CD0" w:rsidRDefault="003E5BF5" w:rsidP="00DE1921">
            <w:pPr>
              <w:pStyle w:val="TableTextLeft"/>
              <w:rPr>
                <w:rFonts w:ascii="Arial" w:hAnsi="Arial" w:cs="Arial"/>
                <w:sz w:val="24"/>
                <w:szCs w:val="24"/>
              </w:rPr>
            </w:pPr>
            <w:r w:rsidRPr="008D2CD0">
              <w:rPr>
                <w:rFonts w:ascii="Arial" w:hAnsi="Arial" w:cs="Arial"/>
                <w:sz w:val="24"/>
                <w:szCs w:val="24"/>
              </w:rPr>
              <w:t xml:space="preserve">Critical risks and opportunities </w:t>
            </w:r>
          </w:p>
        </w:tc>
        <w:tc>
          <w:tcPr>
            <w:tcW w:w="2552" w:type="dxa"/>
            <w:tcMar>
              <w:left w:w="57" w:type="dxa"/>
              <w:right w:w="57" w:type="dxa"/>
            </w:tcMar>
          </w:tcPr>
          <w:p w14:paraId="6D740A9B" w14:textId="77777777" w:rsidR="003E5BF5" w:rsidRPr="008D2CD0" w:rsidRDefault="003E5BF5" w:rsidP="00DE1921">
            <w:pPr>
              <w:pStyle w:val="TableTextLeft"/>
              <w:rPr>
                <w:rFonts w:ascii="Arial" w:hAnsi="Arial" w:cs="Arial"/>
                <w:sz w:val="24"/>
                <w:szCs w:val="24"/>
              </w:rPr>
            </w:pPr>
            <w:r w:rsidRPr="008D2CD0">
              <w:rPr>
                <w:rFonts w:ascii="Arial" w:hAnsi="Arial" w:cs="Arial"/>
                <w:sz w:val="24"/>
                <w:szCs w:val="24"/>
              </w:rPr>
              <w:t>Secretary, Department of Premier &amp; Cabinet</w:t>
            </w:r>
          </w:p>
        </w:tc>
        <w:tc>
          <w:tcPr>
            <w:tcW w:w="4252" w:type="dxa"/>
            <w:tcMar>
              <w:left w:w="57" w:type="dxa"/>
              <w:right w:w="57" w:type="dxa"/>
            </w:tcMar>
          </w:tcPr>
          <w:p w14:paraId="17C7D3BF" w14:textId="77777777" w:rsidR="003E5BF5" w:rsidRPr="008D2CD0" w:rsidRDefault="003E5BF5" w:rsidP="00DE1921">
            <w:pPr>
              <w:pStyle w:val="TableTextLeft"/>
              <w:rPr>
                <w:rFonts w:ascii="Arial" w:hAnsi="Arial" w:cs="Arial"/>
                <w:sz w:val="24"/>
                <w:szCs w:val="24"/>
              </w:rPr>
            </w:pPr>
            <w:r w:rsidRPr="008D2CD0">
              <w:rPr>
                <w:rFonts w:ascii="Arial" w:hAnsi="Arial" w:cs="Arial"/>
                <w:sz w:val="24"/>
                <w:szCs w:val="24"/>
              </w:rPr>
              <w:t>Leadership for the identification of critical risks, vulnerabilities and post-event reform opportunities for the public sector</w:t>
            </w:r>
          </w:p>
        </w:tc>
      </w:tr>
      <w:tr w:rsidR="003E5BF5" w:rsidRPr="008D2CD0" w14:paraId="41E268F7" w14:textId="77777777" w:rsidTr="00060F2A">
        <w:trPr>
          <w:trHeight w:val="340"/>
        </w:trPr>
        <w:tc>
          <w:tcPr>
            <w:tcW w:w="2268" w:type="dxa"/>
            <w:tcMar>
              <w:left w:w="57" w:type="dxa"/>
              <w:right w:w="57" w:type="dxa"/>
            </w:tcMar>
          </w:tcPr>
          <w:p w14:paraId="3E21C143" w14:textId="77777777" w:rsidR="003E5BF5" w:rsidRPr="008D2CD0" w:rsidRDefault="003E5BF5" w:rsidP="00DE1921">
            <w:pPr>
              <w:pStyle w:val="TableTextLeft"/>
              <w:rPr>
                <w:rFonts w:ascii="Arial" w:hAnsi="Arial" w:cs="Arial"/>
                <w:sz w:val="24"/>
                <w:szCs w:val="24"/>
              </w:rPr>
            </w:pPr>
            <w:r w:rsidRPr="008D2CD0">
              <w:rPr>
                <w:rFonts w:ascii="Arial" w:hAnsi="Arial" w:cs="Arial"/>
                <w:sz w:val="24"/>
                <w:szCs w:val="24"/>
              </w:rPr>
              <w:t>Behaviour change, social cohesion and communications</w:t>
            </w:r>
          </w:p>
        </w:tc>
        <w:tc>
          <w:tcPr>
            <w:tcW w:w="2552" w:type="dxa"/>
            <w:tcMar>
              <w:left w:w="57" w:type="dxa"/>
              <w:right w:w="57" w:type="dxa"/>
            </w:tcMar>
          </w:tcPr>
          <w:p w14:paraId="30000E38" w14:textId="77777777" w:rsidR="003E5BF5" w:rsidRPr="008D2CD0" w:rsidRDefault="003E5BF5" w:rsidP="00DE1921">
            <w:pPr>
              <w:pStyle w:val="TableTextLeft"/>
              <w:rPr>
                <w:rFonts w:ascii="Arial" w:hAnsi="Arial" w:cs="Arial"/>
                <w:sz w:val="24"/>
                <w:szCs w:val="24"/>
              </w:rPr>
            </w:pPr>
            <w:r w:rsidRPr="008D2CD0">
              <w:rPr>
                <w:rFonts w:ascii="Arial" w:hAnsi="Arial" w:cs="Arial"/>
                <w:sz w:val="24"/>
                <w:szCs w:val="24"/>
              </w:rPr>
              <w:t>Secretary, Department of Premier &amp; Cabinet</w:t>
            </w:r>
          </w:p>
        </w:tc>
        <w:tc>
          <w:tcPr>
            <w:tcW w:w="4252" w:type="dxa"/>
            <w:tcMar>
              <w:left w:w="57" w:type="dxa"/>
              <w:right w:w="57" w:type="dxa"/>
            </w:tcMar>
          </w:tcPr>
          <w:p w14:paraId="0D2E3CE2" w14:textId="77777777" w:rsidR="003E5BF5" w:rsidRPr="008D2CD0" w:rsidRDefault="003E5BF5" w:rsidP="00DE1921">
            <w:pPr>
              <w:pStyle w:val="TableTextLeft"/>
              <w:rPr>
                <w:rFonts w:ascii="Arial" w:hAnsi="Arial" w:cs="Arial"/>
                <w:sz w:val="24"/>
                <w:szCs w:val="24"/>
              </w:rPr>
            </w:pPr>
            <w:r w:rsidRPr="008D2CD0">
              <w:rPr>
                <w:rFonts w:ascii="Arial" w:hAnsi="Arial" w:cs="Arial"/>
                <w:sz w:val="24"/>
                <w:szCs w:val="24"/>
              </w:rPr>
              <w:t>Leadership for the design and coordinated implementation of communication, community activation and engagement activities</w:t>
            </w:r>
          </w:p>
        </w:tc>
      </w:tr>
    </w:tbl>
    <w:p w14:paraId="25E1B4C8" w14:textId="77777777" w:rsidR="003E5BF5" w:rsidRPr="00202BB3" w:rsidRDefault="003E5BF5" w:rsidP="00DE1921">
      <w:pPr>
        <w:rPr>
          <w:rFonts w:eastAsia="Arial" w:cstheme="minorHAnsi"/>
        </w:rPr>
      </w:pPr>
    </w:p>
    <w:p w14:paraId="5EE12975" w14:textId="77777777" w:rsidR="003E5BF5" w:rsidRPr="00CF24DA" w:rsidRDefault="003E5BF5" w:rsidP="008A0170">
      <w:pPr>
        <w:pStyle w:val="Heading1"/>
      </w:pPr>
      <w:bookmarkStart w:id="18" w:name="_Toc55130681"/>
      <w:bookmarkStart w:id="19" w:name="P29"/>
      <w:r>
        <w:lastRenderedPageBreak/>
        <w:t>Achievements</w:t>
      </w:r>
      <w:bookmarkEnd w:id="18"/>
    </w:p>
    <w:bookmarkEnd w:id="19"/>
    <w:p w14:paraId="7F004E4F" w14:textId="77777777" w:rsidR="003E5BF5" w:rsidRDefault="003E5BF5" w:rsidP="00DE1921">
      <w:pPr>
        <w:jc w:val="center"/>
      </w:pPr>
      <w:r>
        <w:rPr>
          <w:noProof/>
        </w:rPr>
        <w:drawing>
          <wp:inline distT="0" distB="0" distL="0" distR="0" wp14:anchorId="29A6C420" wp14:editId="2A36FFC3">
            <wp:extent cx="5553631" cy="8388000"/>
            <wp:effectExtent l="0" t="0" r="952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T AR 2020 Achievements Graphic 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53631" cy="8388000"/>
                    </a:xfrm>
                    <a:prstGeom prst="rect">
                      <a:avLst/>
                    </a:prstGeom>
                  </pic:spPr>
                </pic:pic>
              </a:graphicData>
            </a:graphic>
          </wp:inline>
        </w:drawing>
      </w:r>
    </w:p>
    <w:p w14:paraId="4B453FFA" w14:textId="77777777" w:rsidR="003E5BF5" w:rsidRDefault="003E5BF5" w:rsidP="00DE1921">
      <w:pPr>
        <w:sectPr w:rsidR="003E5BF5" w:rsidSect="00B43A8B">
          <w:type w:val="continuous"/>
          <w:pgSz w:w="11906" w:h="16838"/>
          <w:pgMar w:top="1440" w:right="1440" w:bottom="1440" w:left="1440" w:header="708" w:footer="708" w:gutter="0"/>
          <w:cols w:space="708"/>
          <w:docGrid w:linePitch="360"/>
        </w:sectPr>
      </w:pPr>
    </w:p>
    <w:p w14:paraId="2C124462" w14:textId="77777777" w:rsidR="003E5BF5" w:rsidRDefault="003E5BF5" w:rsidP="00DE1921">
      <w:pPr>
        <w:jc w:val="center"/>
        <w:rPr>
          <w:noProof/>
        </w:rPr>
      </w:pPr>
      <w:r>
        <w:rPr>
          <w:noProof/>
        </w:rPr>
        <w:lastRenderedPageBreak/>
        <w:drawing>
          <wp:inline distT="0" distB="0" distL="0" distR="0" wp14:anchorId="1DEB98EE" wp14:editId="1AFE9A55">
            <wp:extent cx="5553629" cy="8388000"/>
            <wp:effectExtent l="0" t="0" r="952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T AR 2020 Achievements Graphic 0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53629" cy="8388000"/>
                    </a:xfrm>
                    <a:prstGeom prst="rect">
                      <a:avLst/>
                    </a:prstGeom>
                  </pic:spPr>
                </pic:pic>
              </a:graphicData>
            </a:graphic>
          </wp:inline>
        </w:drawing>
      </w:r>
    </w:p>
    <w:p w14:paraId="51BD514C" w14:textId="77777777" w:rsidR="003E5BF5" w:rsidRDefault="003E5BF5" w:rsidP="00DE1921">
      <w:pPr>
        <w:sectPr w:rsidR="003E5BF5" w:rsidSect="00DE1921">
          <w:footerReference w:type="even" r:id="rId39"/>
          <w:pgSz w:w="11906" w:h="16838"/>
          <w:pgMar w:top="1701" w:right="1418" w:bottom="1418" w:left="1418" w:header="709" w:footer="709" w:gutter="0"/>
          <w:cols w:space="284"/>
          <w:docGrid w:linePitch="360"/>
        </w:sectPr>
      </w:pPr>
    </w:p>
    <w:p w14:paraId="66E4C20C" w14:textId="77777777" w:rsidR="003E5BF5" w:rsidRDefault="003E5BF5" w:rsidP="008A0170">
      <w:pPr>
        <w:pStyle w:val="Heading3"/>
      </w:pPr>
      <w:r>
        <w:lastRenderedPageBreak/>
        <w:t>Departmental</w:t>
      </w:r>
    </w:p>
    <w:p w14:paraId="0CA693BB" w14:textId="0673C24C" w:rsidR="003E5BF5" w:rsidRDefault="003E5BF5" w:rsidP="00DE1921">
      <w:pPr>
        <w:pStyle w:val="aaabullet"/>
      </w:pPr>
      <w:r>
        <w:t xml:space="preserve">Launched the first strategic plan for the new Department of Transport, titled Strategic Plan 2019-23 </w:t>
      </w:r>
      <w:r w:rsidRPr="00795A1A">
        <w:rPr>
          <w:rFonts w:ascii="VIC Light Italic" w:hAnsi="VIC Light Italic"/>
        </w:rPr>
        <w:t>Simple, Connected Journeys</w:t>
      </w:r>
      <w:r>
        <w:t xml:space="preserve"> to help guide the development of an integrated and sustainable transport system that contributes to an inclusive, prosperous and environmentally responsible state. The achievements listed below represent the department’s progress towards achieving its initiatives in this plan</w:t>
      </w:r>
      <w:r>
        <w:rPr>
          <w:i/>
          <w:iCs/>
        </w:rPr>
        <w:t>.</w:t>
      </w:r>
    </w:p>
    <w:p w14:paraId="6D7E17B7" w14:textId="77777777" w:rsidR="003E5BF5" w:rsidRDefault="003E5BF5" w:rsidP="008A0170">
      <w:pPr>
        <w:pStyle w:val="Heading3"/>
      </w:pPr>
      <w:r>
        <w:t>Public Transport</w:t>
      </w:r>
    </w:p>
    <w:p w14:paraId="1960BCD2" w14:textId="77777777" w:rsidR="003E5BF5" w:rsidRPr="00AF235C" w:rsidRDefault="003E5BF5" w:rsidP="008869A9">
      <w:pPr>
        <w:pStyle w:val="Heading4"/>
      </w:pPr>
      <w:proofErr w:type="spellStart"/>
      <w:r w:rsidRPr="00AF235C">
        <w:t>Statewide</w:t>
      </w:r>
      <w:proofErr w:type="spellEnd"/>
      <w:r w:rsidRPr="00AF235C">
        <w:t xml:space="preserve"> </w:t>
      </w:r>
    </w:p>
    <w:p w14:paraId="2F388926" w14:textId="77777777" w:rsidR="003E5BF5" w:rsidRPr="00723C81" w:rsidRDefault="003E5BF5" w:rsidP="00DE1921">
      <w:pPr>
        <w:pStyle w:val="aaabullet"/>
      </w:pPr>
      <w:r w:rsidRPr="00723C81">
        <w:t xml:space="preserve">Continued running of scheduled public transport services, or adapted where necessary, for the </w:t>
      </w:r>
      <w:r>
        <w:t>coronavirus (COVID-19)</w:t>
      </w:r>
      <w:r w:rsidRPr="00723C81">
        <w:t xml:space="preserve"> response, with stringent protocols in place to ensure Victorians can still undertake essential travel.  </w:t>
      </w:r>
    </w:p>
    <w:p w14:paraId="26F24DE0" w14:textId="77777777" w:rsidR="003E5BF5" w:rsidRPr="00723C81" w:rsidRDefault="003E5BF5" w:rsidP="00DE1921">
      <w:pPr>
        <w:pStyle w:val="aaabullet"/>
      </w:pPr>
      <w:r w:rsidRPr="00723C81">
        <w:t xml:space="preserve">Increased cleaning across the network including nightly sanitation of all trains, trams and buses (including replacement buses), and disinfecting all touch surfaces. More than 300 jobseekers have been hired to carry out additional daily cleaning on Melbourne’s tram network, as part of the Working for Victoria initiative. </w:t>
      </w:r>
    </w:p>
    <w:p w14:paraId="38A24066" w14:textId="77777777" w:rsidR="003E5BF5" w:rsidRPr="00723C81" w:rsidRDefault="003E5BF5" w:rsidP="00DE1921">
      <w:pPr>
        <w:pStyle w:val="aaabullet"/>
      </w:pPr>
      <w:r w:rsidRPr="00723C81">
        <w:t xml:space="preserve">Removed cash handling options on buses to minimise risks from </w:t>
      </w:r>
      <w:r>
        <w:t>coronavirus (COVID-19)</w:t>
      </w:r>
      <w:r w:rsidRPr="00723C81">
        <w:t xml:space="preserve">. </w:t>
      </w:r>
    </w:p>
    <w:p w14:paraId="438D6178" w14:textId="77777777" w:rsidR="003E5BF5" w:rsidRDefault="003E5BF5" w:rsidP="008869A9">
      <w:pPr>
        <w:pStyle w:val="Heading4"/>
      </w:pPr>
      <w:r>
        <w:t xml:space="preserve">Metropolitan </w:t>
      </w:r>
    </w:p>
    <w:p w14:paraId="21E11F53" w14:textId="77777777" w:rsidR="003E5BF5" w:rsidRDefault="003E5BF5" w:rsidP="00DE1921">
      <w:pPr>
        <w:pStyle w:val="aaabullet"/>
      </w:pPr>
      <w:r>
        <w:t xml:space="preserve">Commenced rollout of 100 new buses across Melbourne, operated by Transdev, with 86 buses operating in-service during 2019 and the remaining 14 buses due to commence service in August 2020.  </w:t>
      </w:r>
    </w:p>
    <w:p w14:paraId="547B67C0" w14:textId="77777777" w:rsidR="003E5BF5" w:rsidRDefault="003E5BF5" w:rsidP="00DE1921">
      <w:pPr>
        <w:pStyle w:val="aaabullet"/>
      </w:pPr>
      <w:r>
        <w:t>Victoria’s first locally built, fully electric bus began carrying passengers, reducing carbon emissions, improving air quality and delivering a quieter, smoother ride for passengers.</w:t>
      </w:r>
    </w:p>
    <w:p w14:paraId="1D481E39" w14:textId="77777777" w:rsidR="003E5BF5" w:rsidRDefault="003E5BF5" w:rsidP="00DE1921">
      <w:pPr>
        <w:pStyle w:val="aaabullet"/>
      </w:pPr>
      <w:r>
        <w:lastRenderedPageBreak/>
        <w:t xml:space="preserve">Delivery of eight new E-Class trams and four new </w:t>
      </w:r>
      <w:proofErr w:type="spellStart"/>
      <w:r>
        <w:t>X’Trapolis</w:t>
      </w:r>
      <w:proofErr w:type="spellEnd"/>
      <w:r>
        <w:t xml:space="preserve"> trains into service, continuing the Government’s pipeline of new rolling stock and supporting local manufacturing.</w:t>
      </w:r>
    </w:p>
    <w:p w14:paraId="72BC32A4" w14:textId="6C560466" w:rsidR="003E5BF5" w:rsidRDefault="003E5BF5" w:rsidP="00DE1921">
      <w:pPr>
        <w:pStyle w:val="aaabullet"/>
      </w:pPr>
      <w:r>
        <w:t xml:space="preserve">Worked with Alstom, Bombardier, V/Line and relevant unions to facilitate a temporary redeployment of Alstom’s Ballarat manufacturing workforce to V/Line maintenance work. This work retains key skilled rail jobs prior to the potential manufacturing of an updated </w:t>
      </w:r>
      <w:proofErr w:type="spellStart"/>
      <w:r>
        <w:t>X’Trapolis</w:t>
      </w:r>
      <w:proofErr w:type="spellEnd"/>
      <w:r>
        <w:t xml:space="preserve"> train in future.  </w:t>
      </w:r>
    </w:p>
    <w:p w14:paraId="38EFB7C9" w14:textId="369C7F15" w:rsidR="003E5BF5" w:rsidRDefault="003E5BF5" w:rsidP="00DE1921">
      <w:pPr>
        <w:pStyle w:val="aaabullet"/>
      </w:pPr>
      <w:r>
        <w:t xml:space="preserve">Continued testing the new High Capacity Metro Trains to ensure they are safe and reliable before entering passenger service, initially on the Cranbourne and Pakenham lines. This is Victoria’s first new metro train fleet in more than 15 years.  </w:t>
      </w:r>
    </w:p>
    <w:p w14:paraId="5F6A7DBF" w14:textId="77777777" w:rsidR="003E5BF5" w:rsidRDefault="003E5BF5" w:rsidP="00DE1921">
      <w:pPr>
        <w:pStyle w:val="aaabullet"/>
      </w:pPr>
      <w:r>
        <w:t xml:space="preserve">Commenced rollout of upgraded communications equipment on 29 </w:t>
      </w:r>
      <w:proofErr w:type="spellStart"/>
      <w:r>
        <w:t>Comeng</w:t>
      </w:r>
      <w:proofErr w:type="spellEnd"/>
      <w:r>
        <w:t xml:space="preserve"> trains with real-time high definition information, colour passenger information displays with dynamic route maps and clearer destination screens on the outside of trains. </w:t>
      </w:r>
    </w:p>
    <w:p w14:paraId="1366FF87" w14:textId="77777777" w:rsidR="003E5BF5" w:rsidRDefault="003E5BF5" w:rsidP="00DE1921">
      <w:pPr>
        <w:pStyle w:val="aaabullet"/>
      </w:pPr>
      <w:r>
        <w:t>Commenced work on the first of thirty station carpark upgrades in Melbourne, jointly funded by state and Commonwealth governments.</w:t>
      </w:r>
    </w:p>
    <w:p w14:paraId="71658A2C" w14:textId="77777777" w:rsidR="003E5BF5" w:rsidRDefault="003E5BF5" w:rsidP="00DE1921">
      <w:pPr>
        <w:pStyle w:val="aaabullet"/>
      </w:pPr>
      <w:r>
        <w:t>Reduced the public transport seniors concession eligibility age to 50+ for Aboriginal and Torres Strait Islanders, in line with changes to seniors’ card eligibility.</w:t>
      </w:r>
    </w:p>
    <w:p w14:paraId="5F72B9A9" w14:textId="77777777" w:rsidR="003E5BF5" w:rsidRDefault="003E5BF5" w:rsidP="00897FBD">
      <w:pPr>
        <w:pStyle w:val="Heading4"/>
      </w:pPr>
      <w:r>
        <w:t xml:space="preserve">Regional </w:t>
      </w:r>
    </w:p>
    <w:p w14:paraId="4F497604" w14:textId="77777777" w:rsidR="003E5BF5" w:rsidRDefault="003E5BF5" w:rsidP="00DE1921">
      <w:pPr>
        <w:pStyle w:val="aaabullet"/>
      </w:pPr>
      <w:r>
        <w:t xml:space="preserve">Released final designs for the new, comfortable and more reliable </w:t>
      </w:r>
      <w:proofErr w:type="spellStart"/>
      <w:r>
        <w:t>VLocity</w:t>
      </w:r>
      <w:proofErr w:type="spellEnd"/>
      <w:r>
        <w:t xml:space="preserve"> trains for the North East line. The design includes built in USB chargers, luggage storage, a modern catering facility and six wheelchair spaces with companion seats. </w:t>
      </w:r>
    </w:p>
    <w:p w14:paraId="50414753" w14:textId="77777777" w:rsidR="003E5BF5" w:rsidRDefault="003E5BF5" w:rsidP="00897FBD">
      <w:pPr>
        <w:pStyle w:val="Heading4"/>
      </w:pPr>
      <w:r>
        <w:lastRenderedPageBreak/>
        <w:t xml:space="preserve">Commercial Passenger Vehicles Victoria  </w:t>
      </w:r>
    </w:p>
    <w:p w14:paraId="735A2D1E" w14:textId="77777777" w:rsidR="003E5BF5" w:rsidRDefault="003E5BF5" w:rsidP="00DE1921">
      <w:pPr>
        <w:pStyle w:val="aaabullet"/>
      </w:pPr>
      <w:r>
        <w:t xml:space="preserve">Ensured continuation of core functions by activating business continuity plans enabling continuity of critical services in a safe environment during the coronavirus (COVID-19) pandemic. </w:t>
      </w:r>
    </w:p>
    <w:p w14:paraId="6581BC4D" w14:textId="77777777" w:rsidR="003E5BF5" w:rsidRDefault="003E5BF5" w:rsidP="00DE1921">
      <w:pPr>
        <w:pStyle w:val="aaabullet"/>
      </w:pPr>
      <w:r>
        <w:t xml:space="preserve">Bolstered our regulatory relationships by partnering with law enforcement agencies to undertake joint operations and campaigns targeting unregistered and non-conventional platforms and unaccredited drivers, with a range of actions taken in support for the Monitoring, Compliance and Enforcement Policy. This led to increased registration compliance and cessation of illegal booking services. </w:t>
      </w:r>
    </w:p>
    <w:p w14:paraId="3D21BF19" w14:textId="77777777" w:rsidR="003E5BF5" w:rsidRDefault="003E5BF5" w:rsidP="00DE1921">
      <w:pPr>
        <w:pStyle w:val="aaabullet"/>
      </w:pPr>
      <w:r>
        <w:t xml:space="preserve">Implemented new advertising and touting law/offences. </w:t>
      </w:r>
    </w:p>
    <w:p w14:paraId="52ACF5DA" w14:textId="77777777" w:rsidR="003E5BF5" w:rsidRDefault="003E5BF5" w:rsidP="00DE1921">
      <w:pPr>
        <w:pStyle w:val="aaabullet"/>
      </w:pPr>
      <w:r>
        <w:t xml:space="preserve">Established the Operational Safety Committee to ensure the commercial passenger vehicle industry is committed to safety and fosters community confidence in its services. </w:t>
      </w:r>
    </w:p>
    <w:p w14:paraId="709DA0C3" w14:textId="77777777" w:rsidR="001174C2" w:rsidRDefault="003E5BF5" w:rsidP="00E80191">
      <w:pPr>
        <w:pStyle w:val="aaabullet"/>
        <w:ind w:left="284"/>
      </w:pPr>
      <w:r>
        <w:t xml:space="preserve">Developed the Safety Enforcement Design team to pursue strategic objectives and innovation while engaging with industry on delivering clear key performance indicators and shared learnings. </w:t>
      </w:r>
    </w:p>
    <w:p w14:paraId="22701407" w14:textId="0729FB62" w:rsidR="003E5BF5" w:rsidRPr="00E80191" w:rsidRDefault="003E5BF5" w:rsidP="00E80191">
      <w:pPr>
        <w:pStyle w:val="Heading4"/>
        <w:rPr>
          <w:sz w:val="32"/>
          <w:szCs w:val="32"/>
        </w:rPr>
      </w:pPr>
      <w:r w:rsidRPr="00E80191">
        <w:rPr>
          <w:sz w:val="32"/>
          <w:szCs w:val="32"/>
        </w:rPr>
        <w:t xml:space="preserve">Roads </w:t>
      </w:r>
    </w:p>
    <w:p w14:paraId="40BD26C9" w14:textId="77777777" w:rsidR="003E5BF5" w:rsidRDefault="003E5BF5" w:rsidP="00DE1921">
      <w:pPr>
        <w:pStyle w:val="aaabullet"/>
      </w:pPr>
      <w:r>
        <w:t xml:space="preserve">In 2019, for the first time in a decade, no lives were lost on the Hume Freeway, thanks largely to safety barriers and rumble strips installed all the way from Melbourne to the New South Wales border.  </w:t>
      </w:r>
    </w:p>
    <w:p w14:paraId="3385C97B" w14:textId="77777777" w:rsidR="003E5BF5" w:rsidRDefault="003E5BF5" w:rsidP="00DE1921">
      <w:pPr>
        <w:pStyle w:val="aaabullet"/>
      </w:pPr>
      <w:r>
        <w:t xml:space="preserve">The department </w:t>
      </w:r>
      <w:r w:rsidRPr="00F21E2E">
        <w:t>made substantial progress in restoring the arterial road network to pre-fire condition</w:t>
      </w:r>
      <w:r>
        <w:t>s</w:t>
      </w:r>
      <w:r w:rsidRPr="00F21E2E">
        <w:t xml:space="preserve"> in bushfire-affected areas. </w:t>
      </w:r>
      <w:r>
        <w:t>The department</w:t>
      </w:r>
      <w:r w:rsidRPr="00F21E2E">
        <w:t xml:space="preserve"> developed and implemented a Bushfire Recovery Plan, ensuring that it</w:t>
      </w:r>
      <w:r>
        <w:t>’</w:t>
      </w:r>
      <w:r w:rsidRPr="00F21E2E">
        <w:t>s recovery activities are consistent with, and contribute to, Bushfire Recovery Victoria's broader recovery approach</w:t>
      </w:r>
      <w:r>
        <w:t xml:space="preserve">. </w:t>
      </w:r>
    </w:p>
    <w:p w14:paraId="2E8F5312" w14:textId="77777777" w:rsidR="003E5BF5" w:rsidRDefault="003E5BF5" w:rsidP="00DE1921">
      <w:pPr>
        <w:pStyle w:val="aaabullet"/>
      </w:pPr>
      <w:r w:rsidRPr="00E437E2">
        <w:t>Treated nearly 14 million square metres of roads, including resurfacing and rehabilitation.</w:t>
      </w:r>
    </w:p>
    <w:p w14:paraId="4B7295C8" w14:textId="77777777" w:rsidR="003E5BF5" w:rsidRDefault="003E5BF5" w:rsidP="00DE1921">
      <w:pPr>
        <w:pStyle w:val="aaabullet"/>
      </w:pPr>
      <w:r>
        <w:lastRenderedPageBreak/>
        <w:t xml:space="preserve">Completed 71 projects as part of the Safer Roads Program, including installation of audio tactile line markings and flexible safety barriers to prevent head on and run off road crashes, Community Gateway sites, high-speed high-risk intersection upgrades on regional roads, and roundabouts as part of our major safety upgrades. In addition, new side road activated speed technology was introduced at six high speed intersections, as well as 12 controlled right turn signals in metropolitan Melbourne.  </w:t>
      </w:r>
    </w:p>
    <w:p w14:paraId="05E8F4FF" w14:textId="77777777" w:rsidR="003E5BF5" w:rsidRDefault="003E5BF5" w:rsidP="00DE1921">
      <w:pPr>
        <w:pStyle w:val="aaabullet"/>
      </w:pPr>
      <w:r>
        <w:t xml:space="preserve">Announced new funding for 700 new CCTV cameras at key road bottlenecks; six additional incident response crews and 40 new visual message boards, alongside a suite of new technologies to help keep traffic moving and Victorian drivers informed as to the status of the road network. </w:t>
      </w:r>
    </w:p>
    <w:p w14:paraId="550B9E39" w14:textId="77777777" w:rsidR="003E5BF5" w:rsidRDefault="003E5BF5" w:rsidP="008869A9">
      <w:pPr>
        <w:pStyle w:val="Heading4"/>
      </w:pPr>
      <w:r>
        <w:t xml:space="preserve">Roads - </w:t>
      </w:r>
      <w:proofErr w:type="spellStart"/>
      <w:r>
        <w:t>Statewide</w:t>
      </w:r>
      <w:proofErr w:type="spellEnd"/>
      <w:r>
        <w:t xml:space="preserve"> </w:t>
      </w:r>
    </w:p>
    <w:p w14:paraId="39C1C467" w14:textId="77777777" w:rsidR="003E5BF5" w:rsidRDefault="003E5BF5" w:rsidP="00DE1921">
      <w:pPr>
        <w:pStyle w:val="aaabullet"/>
      </w:pPr>
      <w:r>
        <w:t xml:space="preserve">Customer Service Centres have remained open, working under strict social distancing and cleaning protocols. This has been supported by a coronavirus (COVID-19) specific digital program and a specific coronavirus (COVID-19) webpage. </w:t>
      </w:r>
    </w:p>
    <w:p w14:paraId="59987922" w14:textId="77777777" w:rsidR="003E5BF5" w:rsidRDefault="003E5BF5" w:rsidP="00DE1921">
      <w:pPr>
        <w:pStyle w:val="aaabullet"/>
      </w:pPr>
      <w:r>
        <w:t xml:space="preserve">Call Centre staff have been working from home, continuing to respond to queries. </w:t>
      </w:r>
    </w:p>
    <w:p w14:paraId="496C05C3" w14:textId="77777777" w:rsidR="003E5BF5" w:rsidRDefault="003E5BF5" w:rsidP="00DE1921">
      <w:pPr>
        <w:pStyle w:val="aaabullet"/>
      </w:pPr>
      <w:r>
        <w:t xml:space="preserve">Online applications have continued to be processed. </w:t>
      </w:r>
    </w:p>
    <w:p w14:paraId="5025DFB5" w14:textId="01A31D97" w:rsidR="003E5BF5" w:rsidRDefault="003E5BF5" w:rsidP="008A0170">
      <w:pPr>
        <w:pStyle w:val="Heading3"/>
      </w:pPr>
      <w:r>
        <w:t xml:space="preserve">Infrastructure </w:t>
      </w:r>
    </w:p>
    <w:p w14:paraId="580402BC" w14:textId="77777777" w:rsidR="003E5BF5" w:rsidRDefault="003E5BF5" w:rsidP="00897FBD">
      <w:pPr>
        <w:pStyle w:val="Heading4"/>
      </w:pPr>
      <w:r>
        <w:t>Roads projects</w:t>
      </w:r>
    </w:p>
    <w:p w14:paraId="2CE9DA4A" w14:textId="77777777" w:rsidR="003E5BF5" w:rsidRPr="00CB3D2E" w:rsidRDefault="003E5BF5" w:rsidP="00DE1921">
      <w:pPr>
        <w:pStyle w:val="aaabullet"/>
      </w:pPr>
      <w:r>
        <w:t xml:space="preserve">Completed the first stage of the </w:t>
      </w:r>
      <w:r w:rsidRPr="00CB3D2E">
        <w:t>Plenty Road Upgrade</w:t>
      </w:r>
      <w:r>
        <w:t xml:space="preserve"> and commenced Stage 2 which includes widening the road from four lanes to six between Bush Boulevard and Riverdale Boulevard, upgrading 12 intersections and improvements to cycling and working facilities</w:t>
      </w:r>
      <w:r w:rsidRPr="00CB3D2E">
        <w:t xml:space="preserve">. </w:t>
      </w:r>
    </w:p>
    <w:p w14:paraId="22680341" w14:textId="77777777" w:rsidR="003E5BF5" w:rsidRDefault="003E5BF5" w:rsidP="00DE1921">
      <w:pPr>
        <w:pStyle w:val="aaabullet"/>
      </w:pPr>
      <w:r>
        <w:lastRenderedPageBreak/>
        <w:t xml:space="preserve">Opened the </w:t>
      </w:r>
      <w:r w:rsidRPr="00CB3D2E">
        <w:t>Drysdale Bypass</w:t>
      </w:r>
      <w:r>
        <w:t xml:space="preserve"> that will significantly reduce traffic congestion through the centre of Drysdale and will ensure safer, more efficient journeys on the Bellarine Peninsula.</w:t>
      </w:r>
    </w:p>
    <w:p w14:paraId="0B519B33" w14:textId="77777777" w:rsidR="003E5BF5" w:rsidRDefault="003E5BF5" w:rsidP="00DE1921">
      <w:pPr>
        <w:pStyle w:val="aaabullet"/>
      </w:pPr>
      <w:r>
        <w:t>Commenced early work to realign the South Gippsland Highway at Koonwarra, known locally as the Black Spur. The project will deliver crucial safety and travel time benefits for Victoria’s south-east.</w:t>
      </w:r>
    </w:p>
    <w:p w14:paraId="54BBAB0C" w14:textId="77777777" w:rsidR="003E5BF5" w:rsidRDefault="003E5BF5" w:rsidP="00DE1921">
      <w:pPr>
        <w:pStyle w:val="aaabullet"/>
      </w:pPr>
      <w:r>
        <w:t xml:space="preserve">Work is well advanced on the $1.8 billion </w:t>
      </w:r>
      <w:r w:rsidRPr="00CB3D2E">
        <w:t>Western Roads Upgrade</w:t>
      </w:r>
      <w:r>
        <w:t xml:space="preserve">, which will transform eight priority roads in Melbourne’s growing western suburbs. Major upgrades to </w:t>
      </w:r>
      <w:proofErr w:type="spellStart"/>
      <w:r>
        <w:t>Dunnings</w:t>
      </w:r>
      <w:proofErr w:type="spellEnd"/>
      <w:r>
        <w:t xml:space="preserve"> Road and Palmers Road in Point Cook, and </w:t>
      </w:r>
      <w:proofErr w:type="spellStart"/>
      <w:r>
        <w:t>Dohertys</w:t>
      </w:r>
      <w:proofErr w:type="spellEnd"/>
      <w:r>
        <w:t xml:space="preserve"> Road in Truganina and Laverton North are now complete, with construction well advanced on the remaining six road upgrades. A program to repair and resurface 37 roads in the west and strengthen five bridges and structures on key freight routes has also recently been completed as part of the project.</w:t>
      </w:r>
    </w:p>
    <w:p w14:paraId="3E9DDC0D" w14:textId="77777777" w:rsidR="003E5BF5" w:rsidRDefault="003E5BF5" w:rsidP="00DE1921">
      <w:pPr>
        <w:pStyle w:val="aaabullet"/>
      </w:pPr>
      <w:r>
        <w:t xml:space="preserve">Completed Stage 1 of the </w:t>
      </w:r>
      <w:r w:rsidRPr="00CB3D2E">
        <w:t>Yan Yean Road Upgrade</w:t>
      </w:r>
      <w:r>
        <w:t xml:space="preserve"> between Diamond Creek Road and </w:t>
      </w:r>
      <w:proofErr w:type="spellStart"/>
      <w:r>
        <w:t>Kurrak</w:t>
      </w:r>
      <w:proofErr w:type="spellEnd"/>
      <w:r>
        <w:t xml:space="preserve"> Road at Yarrambat. The upgrade has transformed a congested two-lane arterial to a four-lane road with improved safety features, six intersections with traffic lights and pedestrian crossings and new walking and cycling paths. Planning for Stage 2 works has commenced which includes road widening between Bridge Inn Road and </w:t>
      </w:r>
      <w:proofErr w:type="spellStart"/>
      <w:r>
        <w:t>Kurrak</w:t>
      </w:r>
      <w:proofErr w:type="spellEnd"/>
      <w:r>
        <w:t xml:space="preserve"> Road from two to four lanes.</w:t>
      </w:r>
    </w:p>
    <w:p w14:paraId="27F31FC5" w14:textId="77777777" w:rsidR="003E5BF5" w:rsidRDefault="003E5BF5" w:rsidP="00DE1921">
      <w:pPr>
        <w:pStyle w:val="aaabullet"/>
      </w:pPr>
      <w:r>
        <w:t xml:space="preserve">Construction on a vital second river crossing between Victoria and New South Wales began, with Stage 3 construction of the </w:t>
      </w:r>
      <w:r w:rsidRPr="00CB3D2E">
        <w:t>Echuca Moama Bridge</w:t>
      </w:r>
      <w:r>
        <w:t xml:space="preserve"> project underway. </w:t>
      </w:r>
    </w:p>
    <w:p w14:paraId="7C3C3191" w14:textId="77777777" w:rsidR="003E5BF5" w:rsidRDefault="003E5BF5" w:rsidP="00DE1921">
      <w:pPr>
        <w:pStyle w:val="aaabullet"/>
      </w:pPr>
      <w:r>
        <w:t xml:space="preserve">Major construction completed on two projects benefiting drivers in the south eastern suburbs. The </w:t>
      </w:r>
      <w:r w:rsidRPr="00CB3D2E">
        <w:t>Hallam Road Upgrade</w:t>
      </w:r>
      <w:r>
        <w:t xml:space="preserve"> is improving safety, traffic flow and access to public transport from Ormond Road to the South Gippsland Highway, while on the </w:t>
      </w:r>
      <w:r w:rsidRPr="00CB3D2E">
        <w:t>Thompsons Road Upgrade</w:t>
      </w:r>
      <w:r>
        <w:t xml:space="preserve"> </w:t>
      </w:r>
      <w:r>
        <w:lastRenderedPageBreak/>
        <w:t>work was completed four months ahead of schedule. Major works consisted of duplicating a 10.7 kilometre stretch of the road and a major intersection upgrade where Frankston-Dandenong Road and Thompsons Road meet at Carrum Downs.</w:t>
      </w:r>
      <w:r w:rsidRPr="00CB3D2E">
        <w:t xml:space="preserve"> </w:t>
      </w:r>
      <w:r>
        <w:t>Replacing the roundabout with traffic lights benefits more than 58,000 vehicles that travel through the intersection every day and provides better connectivity to Eastlink.</w:t>
      </w:r>
    </w:p>
    <w:p w14:paraId="2C467B71" w14:textId="77777777" w:rsidR="003E5BF5" w:rsidRDefault="003E5BF5" w:rsidP="00DE1921">
      <w:pPr>
        <w:pStyle w:val="aaabullet"/>
      </w:pPr>
      <w:r>
        <w:t xml:space="preserve">Commenced construction works on the </w:t>
      </w:r>
      <w:r w:rsidRPr="00CB3D2E">
        <w:t>Mordialloc Freeway</w:t>
      </w:r>
      <w:r>
        <w:t>. The new 9 kilometre freeway will connect the Mornington Peninsula Freeway to the Dingley Bypass and will be completed late 2021. Works will include new shared walking and cycling paths along the entire freeway.</w:t>
      </w:r>
    </w:p>
    <w:p w14:paraId="26FA69F4" w14:textId="77777777" w:rsidR="003E5BF5" w:rsidRDefault="003E5BF5" w:rsidP="00DE1921">
      <w:pPr>
        <w:pStyle w:val="aaabullet"/>
      </w:pPr>
      <w:r>
        <w:t xml:space="preserve">Completed the upgrade to </w:t>
      </w:r>
      <w:r w:rsidRPr="00CB3D2E">
        <w:t>Princes Highway West</w:t>
      </w:r>
      <w:r>
        <w:t xml:space="preserve"> – Winchelsea to Colac. Extra lanes and new intersections have been added making the journey time quicker and safer.</w:t>
      </w:r>
    </w:p>
    <w:p w14:paraId="6FBF8F8D" w14:textId="77777777" w:rsidR="003E5BF5" w:rsidRDefault="003E5BF5" w:rsidP="00DE1921">
      <w:pPr>
        <w:pStyle w:val="aaabullet"/>
      </w:pPr>
      <w:r>
        <w:t xml:space="preserve">Introduced a construction industry </w:t>
      </w:r>
      <w:r w:rsidRPr="00CB3D2E">
        <w:t>recycling program</w:t>
      </w:r>
      <w:r>
        <w:t xml:space="preserve"> to accelerate and increase the use of recycled and reused materials in transport projects and the Big Build.</w:t>
      </w:r>
      <w:r w:rsidRPr="00CB3D2E">
        <w:rPr>
          <w:rFonts w:ascii="Cambria" w:hAnsi="Cambria" w:cs="Cambria"/>
        </w:rPr>
        <w:t> </w:t>
      </w:r>
      <w:r>
        <w:t xml:space="preserve">The program is part of the Recycled First policy, which requires bidders on road and rail projects to demonstrate how they’ll optimise recycled and reused materials in delivery. </w:t>
      </w:r>
    </w:p>
    <w:p w14:paraId="22F3133A" w14:textId="75AA7055" w:rsidR="003E5BF5" w:rsidRDefault="003E5BF5" w:rsidP="00DE1921">
      <w:pPr>
        <w:pStyle w:val="aaabullet"/>
      </w:pPr>
      <w:r>
        <w:t xml:space="preserve">Commenced work on two of Melbourne’s freeways. Upgrades are underway on the Sydney to Edgars Road section of the </w:t>
      </w:r>
      <w:r w:rsidRPr="00CB3D2E">
        <w:t>M80 Ring Road</w:t>
      </w:r>
      <w:r>
        <w:t xml:space="preserve"> and stage two of the </w:t>
      </w:r>
      <w:r w:rsidRPr="00CB3D2E">
        <w:t>Monash Freeway</w:t>
      </w:r>
      <w:r>
        <w:t xml:space="preserve"> Upgrade. The projects will increase capacity, improve safety, include smart transport technology and create more reliable travel times for the hundreds of thousands of motorists who use these roads each day. </w:t>
      </w:r>
      <w:r w:rsidRPr="00385F37">
        <w:t>The $1.4 billion Monash Freeway Upgrade will add 36</w:t>
      </w:r>
      <w:r>
        <w:t xml:space="preserve"> kilometre</w:t>
      </w:r>
      <w:r w:rsidRPr="00385F37">
        <w:t xml:space="preserve"> of extra lanes and improve connections to Melbourne’s vital corridor</w:t>
      </w:r>
      <w:r w:rsidR="009676E5">
        <w:t>.</w:t>
      </w:r>
    </w:p>
    <w:p w14:paraId="62356D69" w14:textId="2D1D145C" w:rsidR="003E5BF5" w:rsidRDefault="003E5BF5" w:rsidP="00DE1921">
      <w:pPr>
        <w:pStyle w:val="aaabullet"/>
      </w:pPr>
      <w:r>
        <w:lastRenderedPageBreak/>
        <w:t xml:space="preserve">The Minister for Planning </w:t>
      </w:r>
      <w:r w:rsidRPr="002D720A">
        <w:t>released his assessment of</w:t>
      </w:r>
      <w:r>
        <w:t xml:space="preserve"> the </w:t>
      </w:r>
      <w:r w:rsidRPr="00CB3D2E">
        <w:t>North East Link</w:t>
      </w:r>
      <w:r>
        <w:t xml:space="preserve"> Environment Effects Statement, Victoria’s most comprehensive and robust impact assessment process, in December 2019. The Minister found that overall the environmental impacts of the project can be appropriately managed and will be acceptable given the significant benefits for all Victorians.</w:t>
      </w:r>
    </w:p>
    <w:p w14:paraId="36B35114" w14:textId="77777777" w:rsidR="003E5BF5" w:rsidRDefault="003E5BF5" w:rsidP="00DE1921">
      <w:pPr>
        <w:pStyle w:val="aaabullet"/>
      </w:pPr>
      <w:r>
        <w:t xml:space="preserve">Delivered the legislation required to establish the </w:t>
      </w:r>
      <w:r w:rsidRPr="00CB3D2E">
        <w:t>North East Link</w:t>
      </w:r>
      <w:r>
        <w:t xml:space="preserve"> State Tolling Corporation in March 2020. In a Victorian first, the state-owned company will be set-up to collect tolls with toll revenue going towards the cost of building and maintaining the missing link in Melbourne’s freeway network.</w:t>
      </w:r>
    </w:p>
    <w:p w14:paraId="183A3061" w14:textId="77777777" w:rsidR="003E5BF5" w:rsidRDefault="003E5BF5" w:rsidP="00DE1921">
      <w:pPr>
        <w:pStyle w:val="aaabullet"/>
      </w:pPr>
      <w:r>
        <w:t xml:space="preserve">Awarded the </w:t>
      </w:r>
      <w:r w:rsidRPr="00CB3D2E">
        <w:t>North East Link</w:t>
      </w:r>
      <w:r>
        <w:t xml:space="preserve"> early works contract, valued at more than $200 million, to prepare for major construction and will deliver a range of preparatory works including power, water and other utility works. </w:t>
      </w:r>
    </w:p>
    <w:p w14:paraId="0B5EB0FD" w14:textId="77777777" w:rsidR="003E5BF5" w:rsidRDefault="003E5BF5" w:rsidP="00DE1921">
      <w:pPr>
        <w:pStyle w:val="aaabullet"/>
      </w:pPr>
      <w:r>
        <w:t xml:space="preserve">Released the </w:t>
      </w:r>
      <w:r w:rsidRPr="00CB3D2E">
        <w:t>North East Link</w:t>
      </w:r>
      <w:r>
        <w:t xml:space="preserve"> primary package request for proposal inviting shortlisted consortia to place bids to deliver the $7-9 billion major works contract, as part of a Public Private Partnership (PPP). The successful PPP builder will be responsible for building the twin tunnels under the Yarra River, and operating the entire road corridor from the Eastern Freeway to Hoddle St and the M80, once it is built.</w:t>
      </w:r>
    </w:p>
    <w:p w14:paraId="4AB892C8" w14:textId="77777777" w:rsidR="003E5BF5" w:rsidRDefault="003E5BF5" w:rsidP="00897FBD">
      <w:pPr>
        <w:pStyle w:val="Heading4"/>
      </w:pPr>
      <w:r>
        <w:t>Rail infrastructure projects</w:t>
      </w:r>
    </w:p>
    <w:p w14:paraId="25E3D754" w14:textId="77777777" w:rsidR="003E5BF5" w:rsidRDefault="003E5BF5" w:rsidP="00DE1921">
      <w:pPr>
        <w:pStyle w:val="aaabullet"/>
      </w:pPr>
      <w:r w:rsidRPr="007B68D9">
        <w:t xml:space="preserve">Continued the level crossing removal program with the removal of a further six level crossings. </w:t>
      </w:r>
      <w:r>
        <w:t>35</w:t>
      </w:r>
      <w:r w:rsidRPr="007B68D9">
        <w:t xml:space="preserve"> level crossings had been removed </w:t>
      </w:r>
      <w:r>
        <w:t>at</w:t>
      </w:r>
      <w:r w:rsidRPr="007B68D9">
        <w:t xml:space="preserve"> the end of the financial year, and 21 new stations delivered or upgraded.</w:t>
      </w:r>
    </w:p>
    <w:p w14:paraId="30C86EBC" w14:textId="77777777" w:rsidR="003E5BF5" w:rsidRDefault="003E5BF5" w:rsidP="00DE1921">
      <w:pPr>
        <w:pStyle w:val="aaabullet"/>
      </w:pPr>
      <w:r w:rsidRPr="00CB3D2E">
        <w:t xml:space="preserve">Completed building the new </w:t>
      </w:r>
      <w:proofErr w:type="spellStart"/>
      <w:r w:rsidRPr="00CB3D2E">
        <w:t>Kananook</w:t>
      </w:r>
      <w:proofErr w:type="spellEnd"/>
      <w:r w:rsidRPr="00CB3D2E">
        <w:t xml:space="preserve"> train storage facility in May 2020 to replace the existing train storage facility in Carrum and provide capacity to accommodate more trains in the future following completion of the Metro Tunnel project.</w:t>
      </w:r>
    </w:p>
    <w:p w14:paraId="144CE523" w14:textId="77777777" w:rsidR="003E5BF5" w:rsidRDefault="003E5BF5" w:rsidP="00DE1921">
      <w:pPr>
        <w:pStyle w:val="aaabullet"/>
      </w:pPr>
      <w:r w:rsidRPr="00CB3D2E">
        <w:lastRenderedPageBreak/>
        <w:t xml:space="preserve">Completed building the new Wyndham Vale train storage </w:t>
      </w:r>
      <w:r>
        <w:t>facility</w:t>
      </w:r>
      <w:r w:rsidRPr="00CB3D2E">
        <w:t xml:space="preserve"> in April 2020 to replace existing stabling at the E-Gate facility near Footscray making way for an extension of Wurundjeri Way as part of the West Gate Tunnel Project.</w:t>
      </w:r>
    </w:p>
    <w:p w14:paraId="64FF2416" w14:textId="77777777" w:rsidR="003E5BF5" w:rsidRDefault="003E5BF5" w:rsidP="00DE1921">
      <w:pPr>
        <w:pStyle w:val="aaabullet"/>
      </w:pPr>
      <w:r>
        <w:t>In late May, a team of up to 1,700 workers commenced an intensive two-month period of construction to remove three more level crossings on the Frankston line in Cheltenham and Mentone by late July.</w:t>
      </w:r>
    </w:p>
    <w:p w14:paraId="60FE5208" w14:textId="77777777" w:rsidR="003E5BF5" w:rsidRDefault="003E5BF5" w:rsidP="00DE1921">
      <w:pPr>
        <w:pStyle w:val="aaabullet"/>
      </w:pPr>
      <w:r>
        <w:t>Launched all four Metro Tunnel Project tunnel boring machines (TBMs) with the section between the new Arden Station and Kensington now complete.</w:t>
      </w:r>
    </w:p>
    <w:p w14:paraId="179DF5FE" w14:textId="77777777" w:rsidR="003E5BF5" w:rsidRDefault="003E5BF5" w:rsidP="00DE1921">
      <w:pPr>
        <w:pStyle w:val="aaabullet"/>
      </w:pPr>
      <w:r>
        <w:t>Fully excavated the main station cavern for the new State Library Station. Broke through from Federation Square to the Town Hall Station cavern in June 2020 – it is now possible to walk underground from City Square to Flinders Street.</w:t>
      </w:r>
    </w:p>
    <w:p w14:paraId="21F2D922" w14:textId="77777777" w:rsidR="003E5BF5" w:rsidRDefault="003E5BF5" w:rsidP="00DE1921">
      <w:pPr>
        <w:pStyle w:val="aaabullet"/>
      </w:pPr>
      <w:r>
        <w:t xml:space="preserve">Rockbank Station was rebuilt and opened in August 2019 and the new </w:t>
      </w:r>
      <w:proofErr w:type="spellStart"/>
      <w:r>
        <w:t>Cobblebank</w:t>
      </w:r>
      <w:proofErr w:type="spellEnd"/>
      <w:r>
        <w:t xml:space="preserve"> Station opened in December 2019, delivered as part of the Ballarat Line Upgrade.</w:t>
      </w:r>
    </w:p>
    <w:p w14:paraId="7C80A83E" w14:textId="77777777" w:rsidR="003E5BF5" w:rsidRDefault="003E5BF5" w:rsidP="00DE1921">
      <w:pPr>
        <w:pStyle w:val="aaabullet"/>
      </w:pPr>
      <w:r>
        <w:t xml:space="preserve">Commenced construction of the Avon River Bridge Upgrade in September 2019. Trains will be able to travel at up 90 kilometre per hour on the new bridge. </w:t>
      </w:r>
    </w:p>
    <w:p w14:paraId="6EC349E2" w14:textId="77777777" w:rsidR="003E5BF5" w:rsidRDefault="003E5BF5" w:rsidP="00DE1921">
      <w:pPr>
        <w:pStyle w:val="aaabullet"/>
      </w:pPr>
      <w:r>
        <w:t xml:space="preserve">Awarded the contract for the Warrnambool Line Upgrade in December 2019, which will allow for a fifth weekday return service between Warrnambool and Melbourne. </w:t>
      </w:r>
    </w:p>
    <w:p w14:paraId="54F64A94" w14:textId="77777777" w:rsidR="003E5BF5" w:rsidRDefault="003E5BF5" w:rsidP="00DE1921">
      <w:pPr>
        <w:pStyle w:val="aaabullet"/>
      </w:pPr>
      <w:r>
        <w:t>Commenced site investigations in March 2020 as part of development works for the Melbourne Airport Rail project.</w:t>
      </w:r>
    </w:p>
    <w:p w14:paraId="0797E3C4" w14:textId="77777777" w:rsidR="003E5BF5" w:rsidRDefault="003E5BF5" w:rsidP="00DE1921">
      <w:pPr>
        <w:pStyle w:val="aaabullet"/>
      </w:pPr>
      <w:r>
        <w:t xml:space="preserve">Developed an introductory rail qualification for high school students with an interest in rail and construction, the Certificate II in Heavy and </w:t>
      </w:r>
      <w:r>
        <w:lastRenderedPageBreak/>
        <w:t xml:space="preserve">Light Rail Fundamentals (pre-vocational). The project is led by the Level Crossing Removal Project. </w:t>
      </w:r>
    </w:p>
    <w:p w14:paraId="69097B11" w14:textId="77777777" w:rsidR="003E5BF5" w:rsidRDefault="003E5BF5" w:rsidP="00DE1921">
      <w:pPr>
        <w:pStyle w:val="aaabullet"/>
      </w:pPr>
      <w:r>
        <w:t xml:space="preserve">Nearing completion of the Victorian Tunnelling Centre, the first tunnelling training facility in Australia that will train about 5,000 students annually. The Centre is co-funded by North East Link Project, Rail Projects Victoria and West Gate Tunnel and is run by Holmesglen Institute. </w:t>
      </w:r>
    </w:p>
    <w:p w14:paraId="2BC3231A" w14:textId="77777777" w:rsidR="003E5BF5" w:rsidRDefault="003E5BF5" w:rsidP="00897FBD">
      <w:pPr>
        <w:pStyle w:val="Heading4"/>
      </w:pPr>
      <w:r>
        <w:t xml:space="preserve">Suburban Rail Loop Authority </w:t>
      </w:r>
    </w:p>
    <w:p w14:paraId="782673CF" w14:textId="77777777" w:rsidR="003E5BF5" w:rsidRDefault="003E5BF5" w:rsidP="00DE1921">
      <w:pPr>
        <w:pStyle w:val="aaabullet"/>
      </w:pPr>
      <w:r>
        <w:t xml:space="preserve">Commenced design and development work for Suburban Rail Loop Stage One section between Box Hill and Cheltenham. Specialist technical studies, modelling and site investigations (including the digging of more than 100 boreholes along the route) are informing the project’s concept design, planning for precincts, market engagement and the investment case. In addition, community and stakeholder engagement, both face-to-face and online, has been capturing feedback to guide project decision-making. </w:t>
      </w:r>
    </w:p>
    <w:p w14:paraId="7635C475" w14:textId="77777777" w:rsidR="003E5BF5" w:rsidRPr="001E5C20" w:rsidRDefault="003E5BF5" w:rsidP="008A0170">
      <w:pPr>
        <w:pStyle w:val="Heading3"/>
      </w:pPr>
      <w:r w:rsidRPr="001E5C20">
        <w:t xml:space="preserve">Ports and Freight </w:t>
      </w:r>
    </w:p>
    <w:p w14:paraId="07BEAAE1" w14:textId="77777777" w:rsidR="003E5BF5" w:rsidRDefault="003E5BF5" w:rsidP="00DE1921">
      <w:pPr>
        <w:pStyle w:val="aaabullet"/>
      </w:pPr>
      <w:r>
        <w:t xml:space="preserve">Continued uninterrupted delivery of projects and operation of services during the coronavirus (COVID-19) response. </w:t>
      </w:r>
    </w:p>
    <w:p w14:paraId="38AE1C48" w14:textId="77777777" w:rsidR="003E5BF5" w:rsidRDefault="003E5BF5" w:rsidP="00DE1921">
      <w:pPr>
        <w:pStyle w:val="aaabullet"/>
      </w:pPr>
      <w:r>
        <w:t xml:space="preserve">Completed the upgrade to rail signals into and out of the Port of Geelong, replacing a manual process and enabling more grain trains to travel from the state’s grain growing regions to the Port. The new signalling system allows for both standard and broad-gauge trains to access the grain site. </w:t>
      </w:r>
    </w:p>
    <w:p w14:paraId="0A7FC5E2" w14:textId="77777777" w:rsidR="003E5BF5" w:rsidRDefault="003E5BF5" w:rsidP="00DE1921">
      <w:pPr>
        <w:pStyle w:val="aaabullet"/>
      </w:pPr>
      <w:r>
        <w:t xml:space="preserve">Upgraded the Manangatang freight line in the north of the state, assisting farmers who transport hay and grain to the Port of Melbourne. </w:t>
      </w:r>
    </w:p>
    <w:p w14:paraId="62D72CC4" w14:textId="77777777" w:rsidR="003E5BF5" w:rsidRDefault="003E5BF5" w:rsidP="00DE1921">
      <w:pPr>
        <w:pStyle w:val="aaabullet"/>
      </w:pPr>
      <w:r>
        <w:t xml:space="preserve">Completed dredging at Apollo Bay Harbour, ensuring easy access for tourism operators and local fishers.  </w:t>
      </w:r>
    </w:p>
    <w:p w14:paraId="73DD47D9" w14:textId="77777777" w:rsidR="003E5BF5" w:rsidRDefault="003E5BF5" w:rsidP="00DE1921">
      <w:pPr>
        <w:pStyle w:val="aaabullet"/>
      </w:pPr>
      <w:r>
        <w:lastRenderedPageBreak/>
        <w:t xml:space="preserve">Commenced work protecting and preserving the iconic Gem Pier in Port Phillip, repairing and replacing piles.  </w:t>
      </w:r>
    </w:p>
    <w:p w14:paraId="0B1A3836" w14:textId="77777777" w:rsidR="003E5BF5" w:rsidRDefault="003E5BF5" w:rsidP="00DE1921">
      <w:pPr>
        <w:pStyle w:val="aaabullet"/>
      </w:pPr>
      <w:r>
        <w:t xml:space="preserve">Extension of the Mode Shift Incentive Scheme to continue the commitment to moving more freight by rail rather than trucks and thereby removing that congestion on our major roads. </w:t>
      </w:r>
    </w:p>
    <w:p w14:paraId="07EB2425" w14:textId="77777777" w:rsidR="003E5BF5" w:rsidRDefault="003E5BF5" w:rsidP="00DE1921">
      <w:pPr>
        <w:pStyle w:val="aaabullet"/>
      </w:pPr>
      <w:r w:rsidRPr="00FE61AB">
        <w:t>Commenced the first holistic review into the Victorian Ports System since 2001</w:t>
      </w:r>
      <w:r>
        <w:t>.</w:t>
      </w:r>
    </w:p>
    <w:p w14:paraId="62D65F94" w14:textId="77777777" w:rsidR="003E5BF5" w:rsidRDefault="003E5BF5" w:rsidP="008A0170">
      <w:pPr>
        <w:pStyle w:val="Heading3"/>
      </w:pPr>
      <w:r>
        <w:t xml:space="preserve">Fishing and Boating </w:t>
      </w:r>
    </w:p>
    <w:p w14:paraId="551D9D30" w14:textId="77777777" w:rsidR="003E5BF5" w:rsidRDefault="003E5BF5" w:rsidP="00DE1921">
      <w:pPr>
        <w:pStyle w:val="aaabullet"/>
      </w:pPr>
      <w:r>
        <w:t xml:space="preserve">Every public boat ramp in Victoria is now free for parking and launching. </w:t>
      </w:r>
    </w:p>
    <w:p w14:paraId="6C240DE8" w14:textId="77777777" w:rsidR="003E5BF5" w:rsidRDefault="003E5BF5" w:rsidP="00DE1921">
      <w:pPr>
        <w:pStyle w:val="aaabullet"/>
      </w:pPr>
      <w:r>
        <w:t xml:space="preserve">Delivered a significant upgrade at Rye Pier through the Better Recreational Facilities initiative to provide better and safer access for all boaters, anglers, commercial fishing charter operators and divers. </w:t>
      </w:r>
    </w:p>
    <w:p w14:paraId="3E366475" w14:textId="77777777" w:rsidR="003E5BF5" w:rsidRDefault="003E5BF5" w:rsidP="00DE1921">
      <w:pPr>
        <w:pStyle w:val="aaabullet"/>
      </w:pPr>
      <w:r>
        <w:t xml:space="preserve">Released the final concept design for the Queenscliff boat ramp upgrade including more boat ramp lanes, new pontoons, separate kayak access and 89 parking spaces.  </w:t>
      </w:r>
    </w:p>
    <w:p w14:paraId="47B8BAFD" w14:textId="77777777" w:rsidR="003E5BF5" w:rsidRDefault="003E5BF5" w:rsidP="00DE1921">
      <w:pPr>
        <w:pStyle w:val="aaatyping"/>
      </w:pPr>
      <w:r>
        <w:t xml:space="preserve">Implemented the second phase of the Target One Million initiative to grow recreational fishing and delivered the following initiatives: </w:t>
      </w:r>
    </w:p>
    <w:p w14:paraId="14EA57A0" w14:textId="77777777" w:rsidR="003E5BF5" w:rsidRDefault="003E5BF5" w:rsidP="00DE1921">
      <w:pPr>
        <w:pStyle w:val="aaabullet"/>
      </w:pPr>
      <w:r>
        <w:t xml:space="preserve">Phased out commercial fishing in the Gippsland Lakes through a compulsory buy-out of licences in order to boost tourism and recreational fishing in the area. </w:t>
      </w:r>
    </w:p>
    <w:p w14:paraId="7D30552F" w14:textId="77777777" w:rsidR="003E5BF5" w:rsidRDefault="003E5BF5" w:rsidP="00DE1921">
      <w:pPr>
        <w:pStyle w:val="aaabullet"/>
      </w:pPr>
      <w:r>
        <w:t xml:space="preserve">Began the development of a new $7 million native fish hatchery near Shepparton to assist in rebuilding native fish populations, reduce Victoria’s dependence on interstate fish hatchery suppliers and create new fishing opportunities in our State. </w:t>
      </w:r>
    </w:p>
    <w:p w14:paraId="4240F7E4" w14:textId="77777777" w:rsidR="003E5BF5" w:rsidRDefault="003E5BF5" w:rsidP="00DE1921">
      <w:pPr>
        <w:pStyle w:val="aaabullet"/>
      </w:pPr>
      <w:r>
        <w:t xml:space="preserve">Improved on-water access at inland reservoirs including Barkers Creek, </w:t>
      </w:r>
      <w:proofErr w:type="spellStart"/>
      <w:r>
        <w:t>Tullaroop</w:t>
      </w:r>
      <w:proofErr w:type="spellEnd"/>
      <w:r>
        <w:t xml:space="preserve">, Lauriston, Upper </w:t>
      </w:r>
      <w:proofErr w:type="spellStart"/>
      <w:r>
        <w:t>Coliban</w:t>
      </w:r>
      <w:proofErr w:type="spellEnd"/>
      <w:r>
        <w:t xml:space="preserve">, Malmsbury and Hepburn </w:t>
      </w:r>
      <w:r>
        <w:lastRenderedPageBreak/>
        <w:t xml:space="preserve">Lagoon by allowing recreational fishers to use small boats, canoes and kayaks with electric motors. </w:t>
      </w:r>
    </w:p>
    <w:p w14:paraId="5172BD92" w14:textId="77777777" w:rsidR="003E5BF5" w:rsidRDefault="003E5BF5" w:rsidP="00DE1921">
      <w:pPr>
        <w:pStyle w:val="aaabullet"/>
      </w:pPr>
      <w:r>
        <w:t xml:space="preserve">Stocked more than six million fish throughout Victoria, including, in an initiative to improve fishing opportunities in metropolitan Melbourne waterways, 36,000 Murray cod and golden perch of a catchable size. </w:t>
      </w:r>
    </w:p>
    <w:p w14:paraId="39DF586A" w14:textId="77777777" w:rsidR="003E5BF5" w:rsidRDefault="003E5BF5" w:rsidP="00DE1921">
      <w:pPr>
        <w:pStyle w:val="aaabullet"/>
      </w:pPr>
      <w:r>
        <w:t xml:space="preserve">Stocked more than 15,000 king prawns in Lake Tyers. </w:t>
      </w:r>
    </w:p>
    <w:p w14:paraId="484FB432" w14:textId="77777777" w:rsidR="003E5BF5" w:rsidRDefault="003E5BF5" w:rsidP="00DE1921">
      <w:pPr>
        <w:pStyle w:val="aaatyping"/>
      </w:pPr>
      <w:r>
        <w:t xml:space="preserve">Reduced red tape in our commercial and recreational fisheries by: </w:t>
      </w:r>
    </w:p>
    <w:p w14:paraId="34C0CC43" w14:textId="77777777" w:rsidR="003E5BF5" w:rsidRDefault="003E5BF5" w:rsidP="00DE1921">
      <w:pPr>
        <w:pStyle w:val="aaabullet"/>
      </w:pPr>
      <w:r>
        <w:t>Commencing a four-year program to modernise catch reporting in Victoria’s commercial fisheries by transitioning fishers from paper logbooks to an electronic reporting system available as an app on mobile phones and tablets.</w:t>
      </w:r>
      <w:r w:rsidRPr="00CB3D2E">
        <w:rPr>
          <w:rFonts w:ascii="Times New Roman" w:hAnsi="Times New Roman" w:cs="Times New Roman"/>
        </w:rPr>
        <w:t> </w:t>
      </w:r>
      <w:r>
        <w:t xml:space="preserve"> In 2019-20, the VFA designed and developed the Vic-</w:t>
      </w:r>
      <w:proofErr w:type="spellStart"/>
      <w:r>
        <w:t>eCatch</w:t>
      </w:r>
      <w:proofErr w:type="spellEnd"/>
      <w:r>
        <w:t xml:space="preserve"> app and implemented it in the abalone, rock lobster and giant crab fisheries.  </w:t>
      </w:r>
    </w:p>
    <w:p w14:paraId="636907F8" w14:textId="77777777" w:rsidR="003E5BF5" w:rsidRDefault="003E5BF5" w:rsidP="00DE1921">
      <w:pPr>
        <w:pStyle w:val="aaabullet"/>
      </w:pPr>
      <w:r>
        <w:t xml:space="preserve">Installing real-time vessel monitoring systems on commercial fishing vessels to track activity. </w:t>
      </w:r>
    </w:p>
    <w:p w14:paraId="4F63A8EF" w14:textId="77777777" w:rsidR="003E5BF5" w:rsidRDefault="003E5BF5" w:rsidP="00DE1921">
      <w:pPr>
        <w:pStyle w:val="aaabullet"/>
      </w:pPr>
      <w:r>
        <w:t xml:space="preserve">Launched a digital recreational fishing licence to deliver an improved experience for our recreational fishers and replace paper-based licences. </w:t>
      </w:r>
    </w:p>
    <w:p w14:paraId="3D54AB9F" w14:textId="77777777" w:rsidR="003E5BF5" w:rsidRDefault="003E5BF5" w:rsidP="00DE1921">
      <w:pPr>
        <w:pStyle w:val="aaatyping"/>
      </w:pPr>
      <w:r>
        <w:t xml:space="preserve">Created new wild harvest seafood opportunities by: </w:t>
      </w:r>
    </w:p>
    <w:p w14:paraId="7448C195" w14:textId="77777777" w:rsidR="003E5BF5" w:rsidRDefault="003E5BF5" w:rsidP="00DE1921">
      <w:pPr>
        <w:pStyle w:val="aaabullet"/>
      </w:pPr>
      <w:r>
        <w:t xml:space="preserve">Establishing new commercial fisheries for octopus and pipis. </w:t>
      </w:r>
    </w:p>
    <w:p w14:paraId="263774A1" w14:textId="77777777" w:rsidR="003E5BF5" w:rsidRDefault="003E5BF5" w:rsidP="00DE1921">
      <w:pPr>
        <w:pStyle w:val="aaabullet"/>
      </w:pPr>
      <w:r>
        <w:t xml:space="preserve">Expanding a trial in which a number of permits have been issued to commercial fishers to harvest fish, using the sustainable hook and line method of fishing, to supply straight off the boat to local communities. Reviewed, revised and implemented new fishing regulations to replace the sunsetting </w:t>
      </w:r>
      <w:r w:rsidRPr="00CE6D97">
        <w:rPr>
          <w:rFonts w:ascii="VIC Light Italic" w:hAnsi="VIC Light Italic"/>
        </w:rPr>
        <w:t>Fisheries Regulations 2009</w:t>
      </w:r>
      <w:r>
        <w:t>.</w:t>
      </w:r>
      <w:r w:rsidRPr="00D93647">
        <w:rPr>
          <w:rFonts w:ascii="Times New Roman" w:hAnsi="Times New Roman" w:cs="Times New Roman"/>
        </w:rPr>
        <w:t> </w:t>
      </w:r>
      <w:r>
        <w:t xml:space="preserve"> The new regulations, </w:t>
      </w:r>
      <w:r w:rsidRPr="009C7255">
        <w:rPr>
          <w:rFonts w:ascii="VIC Light Italic" w:hAnsi="VIC Light Italic"/>
        </w:rPr>
        <w:t>Fisheries Regulations 2019</w:t>
      </w:r>
      <w:r>
        <w:t xml:space="preserve">, came into effect in February 2020. </w:t>
      </w:r>
    </w:p>
    <w:p w14:paraId="388215F0" w14:textId="6E58F2D6" w:rsidR="003E5BF5" w:rsidRDefault="003E5BF5" w:rsidP="00DE1921">
      <w:pPr>
        <w:pStyle w:val="aaabullet"/>
      </w:pPr>
      <w:r>
        <w:lastRenderedPageBreak/>
        <w:t xml:space="preserve">Opened four more lakes in central Victoria to recreational fishers in Upper </w:t>
      </w:r>
      <w:proofErr w:type="spellStart"/>
      <w:r>
        <w:t>Coliban</w:t>
      </w:r>
      <w:proofErr w:type="spellEnd"/>
      <w:r>
        <w:t xml:space="preserve">, Malmsbury and Lauriston reservoirs, and Hepburn Lagoon. </w:t>
      </w:r>
    </w:p>
    <w:p w14:paraId="71905CAB" w14:textId="7C800132" w:rsidR="003E5BF5" w:rsidRDefault="003E5BF5" w:rsidP="00DE1921">
      <w:pPr>
        <w:pStyle w:val="aaatyping"/>
      </w:pPr>
      <w:r>
        <w:t xml:space="preserve">Encouraged more Victorians to explore and enjoy recreational fishing opportunities by: </w:t>
      </w:r>
    </w:p>
    <w:p w14:paraId="4A400D13" w14:textId="77777777" w:rsidR="003E5BF5" w:rsidRDefault="003E5BF5" w:rsidP="00DE1921">
      <w:pPr>
        <w:pStyle w:val="aaabullet"/>
      </w:pPr>
      <w:r>
        <w:t xml:space="preserve">Launching the VFA’s Chinese language Recreational Fishing Guide. </w:t>
      </w:r>
    </w:p>
    <w:p w14:paraId="16425C9C" w14:textId="77777777" w:rsidR="003E5BF5" w:rsidRDefault="003E5BF5" w:rsidP="00DE1921">
      <w:pPr>
        <w:pStyle w:val="aaabullet"/>
      </w:pPr>
      <w:r>
        <w:t xml:space="preserve">Completing a second year of the VFA’s Women in Fishing Network; a program specifically focussed on unearthing tomorrow’s female fishing leaders. </w:t>
      </w:r>
    </w:p>
    <w:p w14:paraId="0AE783D3" w14:textId="77777777" w:rsidR="003E5BF5" w:rsidRDefault="003E5BF5" w:rsidP="00DE1921">
      <w:pPr>
        <w:pStyle w:val="aaabullet"/>
      </w:pPr>
      <w:r>
        <w:t xml:space="preserve">Hosting 25 recreational fishing events attended by a total of 25,000 people across the State. </w:t>
      </w:r>
    </w:p>
    <w:p w14:paraId="6EB8DD23" w14:textId="77777777" w:rsidR="003E5BF5" w:rsidRDefault="003E5BF5" w:rsidP="00DE1921">
      <w:pPr>
        <w:pStyle w:val="aaabullet"/>
      </w:pPr>
      <w:r>
        <w:t xml:space="preserve">Launching a new ‘Boating Vic’ app that provides targeted information for over 450 boat ramps and launching locations across Victoria, including ramp and car park vision and safety information. </w:t>
      </w:r>
    </w:p>
    <w:p w14:paraId="45087D5A" w14:textId="77777777" w:rsidR="003E5BF5" w:rsidRDefault="003E5BF5" w:rsidP="008A0170">
      <w:pPr>
        <w:pStyle w:val="Heading3"/>
      </w:pPr>
      <w:r>
        <w:t xml:space="preserve">Transport Safety </w:t>
      </w:r>
    </w:p>
    <w:p w14:paraId="71BDC66D" w14:textId="77777777" w:rsidR="003E5BF5" w:rsidRDefault="003E5BF5" w:rsidP="00DE1921">
      <w:pPr>
        <w:pStyle w:val="aaabullet"/>
      </w:pPr>
      <w:r>
        <w:t xml:space="preserve">Delivered Victoria’s first ever interactive Waterway Map providing users with a visual representation of the state’s Vessel Operating and Zoning Rules (VOZR). The map displays the locations of navigation aids and signage.  </w:t>
      </w:r>
    </w:p>
    <w:p w14:paraId="72A78D57" w14:textId="77777777" w:rsidR="00480675" w:rsidRDefault="003E5BF5" w:rsidP="00DE1921">
      <w:pPr>
        <w:pStyle w:val="aaabullet"/>
        <w:sectPr w:rsidR="00480675" w:rsidSect="00DE1921">
          <w:footerReference w:type="even" r:id="rId40"/>
          <w:footerReference w:type="first" r:id="rId41"/>
          <w:pgSz w:w="11906" w:h="16838"/>
          <w:pgMar w:top="1440" w:right="1440" w:bottom="1440" w:left="1440" w:header="708" w:footer="708" w:gutter="0"/>
          <w:cols w:space="708"/>
          <w:docGrid w:linePitch="360"/>
        </w:sectPr>
      </w:pPr>
      <w:r>
        <w:t xml:space="preserve">Boating Victoria rolled out six additional boat ramp cameras around Port Philip and Western Port, providing boaters with enhanced safety information about weather and conditions at ramps.  </w:t>
      </w:r>
    </w:p>
    <w:p w14:paraId="6D72CDE4" w14:textId="77777777" w:rsidR="00951760" w:rsidRPr="00910AE3" w:rsidRDefault="00951760" w:rsidP="007B45B4">
      <w:pPr>
        <w:pStyle w:val="Heading1"/>
        <w:rPr>
          <w:sz w:val="60"/>
          <w:szCs w:val="60"/>
        </w:rPr>
      </w:pPr>
      <w:bookmarkStart w:id="20" w:name="_Toc55130682"/>
      <w:r w:rsidRPr="00910AE3">
        <w:rPr>
          <w:sz w:val="60"/>
          <w:szCs w:val="60"/>
        </w:rPr>
        <w:lastRenderedPageBreak/>
        <w:t>Section 2 – Financial Performance</w:t>
      </w:r>
      <w:bookmarkEnd w:id="20"/>
    </w:p>
    <w:p w14:paraId="6FBD2287" w14:textId="26116AD0" w:rsidR="003E5BF5" w:rsidRPr="00D30C3C" w:rsidRDefault="003E5BF5" w:rsidP="008A0170">
      <w:pPr>
        <w:pStyle w:val="Heading1"/>
      </w:pPr>
      <w:bookmarkStart w:id="21" w:name="_Toc55130683"/>
      <w:r w:rsidRPr="00621061">
        <w:t>CONTENTS</w:t>
      </w:r>
      <w:bookmarkEnd w:id="21"/>
    </w:p>
    <w:p w14:paraId="45E293AC" w14:textId="514B98F1" w:rsidR="003E5BF5" w:rsidRDefault="003E5BF5" w:rsidP="00DE1921">
      <w:pPr>
        <w:pStyle w:val="aaatyping"/>
      </w:pPr>
      <w:r w:rsidRPr="007444F0">
        <w:t>The Department of Transport (</w:t>
      </w:r>
      <w:r>
        <w:t>the d</w:t>
      </w:r>
      <w:r w:rsidRPr="007444F0">
        <w:t>epartment</w:t>
      </w:r>
      <w:r>
        <w:t>, DoT</w:t>
      </w:r>
      <w:r w:rsidRPr="007444F0">
        <w:t xml:space="preserve">) </w:t>
      </w:r>
      <w:r>
        <w:t>presents</w:t>
      </w:r>
      <w:r w:rsidRPr="007444F0">
        <w:t xml:space="preserve"> its audited general purpose financial statements for the financial year ended 30 June </w:t>
      </w:r>
      <w:r>
        <w:t>2020</w:t>
      </w:r>
      <w:r w:rsidRPr="007444F0">
        <w:t xml:space="preserve"> providing users with information about the </w:t>
      </w:r>
      <w:r>
        <w:t>d</w:t>
      </w:r>
      <w:r w:rsidRPr="007444F0">
        <w:t>epartment's stewardship of resources entrusted to it. It is presented in the following structure:</w:t>
      </w:r>
    </w:p>
    <w:p w14:paraId="5C372F9D" w14:textId="623AE1A6" w:rsidR="00EB4288" w:rsidRPr="009A7DFB" w:rsidRDefault="00EB4288" w:rsidP="00DE1921">
      <w:pPr>
        <w:pStyle w:val="aaatyping"/>
        <w:rPr>
          <w:sz w:val="24"/>
          <w:szCs w:val="24"/>
        </w:rPr>
      </w:pPr>
    </w:p>
    <w:tbl>
      <w:tblPr>
        <w:tblStyle w:val="TableGrid"/>
        <w:tblpPr w:leftFromText="180" w:rightFromText="180" w:vertAnchor="text" w:tblpXSpec="right" w:tblpY="1"/>
        <w:tblOverlap w:val="never"/>
        <w:tblW w:w="4750" w:type="pct"/>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8036"/>
        <w:gridCol w:w="539"/>
      </w:tblGrid>
      <w:tr w:rsidR="009A7DFB" w:rsidRPr="009A7DFB" w14:paraId="233BECB5" w14:textId="77777777" w:rsidTr="00D01FA2">
        <w:trPr>
          <w:trHeight w:val="340"/>
        </w:trPr>
        <w:tc>
          <w:tcPr>
            <w:tcW w:w="4686" w:type="pct"/>
          </w:tcPr>
          <w:p w14:paraId="3DC8268D" w14:textId="07EF87C8" w:rsidR="009A7DFB" w:rsidRPr="009A7DFB" w:rsidRDefault="009A7DFB" w:rsidP="00DE1921">
            <w:pPr>
              <w:rPr>
                <w:rFonts w:ascii="Arial" w:hAnsi="Arial" w:cs="Arial"/>
                <w:sz w:val="24"/>
                <w:szCs w:val="24"/>
              </w:rPr>
            </w:pPr>
            <w:r w:rsidRPr="009A7DFB">
              <w:rPr>
                <w:rFonts w:ascii="Arial" w:hAnsi="Arial" w:cs="Arial"/>
                <w:sz w:val="24"/>
                <w:szCs w:val="24"/>
              </w:rPr>
              <w:t>Financial statements</w:t>
            </w:r>
          </w:p>
        </w:tc>
        <w:tc>
          <w:tcPr>
            <w:tcW w:w="314" w:type="pct"/>
          </w:tcPr>
          <w:p w14:paraId="427BD234" w14:textId="77777777" w:rsidR="009A7DFB" w:rsidRPr="009A7DFB" w:rsidRDefault="009A7DFB" w:rsidP="00DE1921">
            <w:pPr>
              <w:jc w:val="right"/>
              <w:rPr>
                <w:rFonts w:ascii="Arial" w:hAnsi="Arial" w:cs="Arial"/>
                <w:noProof/>
                <w:sz w:val="24"/>
                <w:szCs w:val="24"/>
              </w:rPr>
            </w:pPr>
          </w:p>
        </w:tc>
      </w:tr>
      <w:tr w:rsidR="00EB4288" w:rsidRPr="009A7DFB" w14:paraId="032375CB" w14:textId="77777777" w:rsidTr="00D01FA2">
        <w:trPr>
          <w:trHeight w:val="340"/>
        </w:trPr>
        <w:tc>
          <w:tcPr>
            <w:tcW w:w="4686" w:type="pct"/>
          </w:tcPr>
          <w:p w14:paraId="062B4E61" w14:textId="77777777" w:rsidR="00EB4288" w:rsidRPr="00D01FA2" w:rsidRDefault="009B2DDD" w:rsidP="00DE1921">
            <w:pPr>
              <w:rPr>
                <w:rFonts w:ascii="Arial" w:hAnsi="Arial" w:cs="Arial"/>
                <w:sz w:val="24"/>
                <w:szCs w:val="24"/>
              </w:rPr>
            </w:pPr>
            <w:hyperlink w:anchor="OS" w:history="1">
              <w:r w:rsidR="00EB4288" w:rsidRPr="00D01FA2">
                <w:rPr>
                  <w:rStyle w:val="Hyperlink"/>
                  <w:rFonts w:ascii="Arial" w:hAnsi="Arial" w:cs="Arial"/>
                  <w:sz w:val="24"/>
                  <w:szCs w:val="24"/>
                  <w:u w:val="none"/>
                </w:rPr>
                <w:t>Comprehensive operating statement</w:t>
              </w:r>
            </w:hyperlink>
          </w:p>
        </w:tc>
        <w:tc>
          <w:tcPr>
            <w:tcW w:w="314" w:type="pct"/>
          </w:tcPr>
          <w:p w14:paraId="466A9D5B" w14:textId="6A568A96" w:rsidR="00EB4288" w:rsidRPr="00784CE4" w:rsidRDefault="00EB4288" w:rsidP="00DE1921">
            <w:pPr>
              <w:jc w:val="right"/>
              <w:rPr>
                <w:rFonts w:ascii="Arial" w:hAnsi="Arial" w:cs="Arial"/>
                <w:b/>
                <w:bCs/>
                <w:sz w:val="24"/>
                <w:szCs w:val="24"/>
              </w:rPr>
            </w:pPr>
            <w:r w:rsidRPr="00784CE4">
              <w:rPr>
                <w:rFonts w:ascii="Arial" w:hAnsi="Arial" w:cs="Arial"/>
                <w:b/>
                <w:bCs/>
                <w:noProof/>
                <w:sz w:val="24"/>
                <w:szCs w:val="24"/>
              </w:rPr>
              <w:fldChar w:fldCharType="begin"/>
            </w:r>
            <w:r w:rsidRPr="00784CE4">
              <w:rPr>
                <w:rFonts w:ascii="Arial" w:hAnsi="Arial" w:cs="Arial"/>
                <w:b/>
                <w:bCs/>
                <w:noProof/>
                <w:sz w:val="24"/>
                <w:szCs w:val="24"/>
              </w:rPr>
              <w:instrText xml:space="preserve"> PAGEREF  OS  \* MERGEFORMAT </w:instrText>
            </w:r>
            <w:r w:rsidRPr="00784CE4">
              <w:rPr>
                <w:rFonts w:ascii="Arial" w:hAnsi="Arial" w:cs="Arial"/>
                <w:b/>
                <w:bCs/>
                <w:noProof/>
                <w:sz w:val="24"/>
                <w:szCs w:val="24"/>
              </w:rPr>
              <w:fldChar w:fldCharType="separate"/>
            </w:r>
            <w:r w:rsidR="00B52F6C" w:rsidRPr="00784CE4">
              <w:rPr>
                <w:rFonts w:ascii="Arial" w:hAnsi="Arial" w:cs="Arial"/>
                <w:b/>
                <w:bCs/>
                <w:noProof/>
                <w:sz w:val="24"/>
                <w:szCs w:val="24"/>
              </w:rPr>
              <w:t>53</w:t>
            </w:r>
            <w:r w:rsidRPr="00784CE4">
              <w:rPr>
                <w:rFonts w:ascii="Arial" w:hAnsi="Arial" w:cs="Arial"/>
                <w:b/>
                <w:bCs/>
                <w:noProof/>
                <w:sz w:val="24"/>
                <w:szCs w:val="24"/>
              </w:rPr>
              <w:fldChar w:fldCharType="end"/>
            </w:r>
          </w:p>
        </w:tc>
      </w:tr>
      <w:tr w:rsidR="00EB4288" w:rsidRPr="009A7DFB" w14:paraId="2D51936E" w14:textId="77777777" w:rsidTr="00D01FA2">
        <w:trPr>
          <w:trHeight w:val="340"/>
        </w:trPr>
        <w:tc>
          <w:tcPr>
            <w:tcW w:w="4686" w:type="pct"/>
          </w:tcPr>
          <w:p w14:paraId="4E0A8DF8" w14:textId="77777777" w:rsidR="00EB4288" w:rsidRPr="00D01FA2" w:rsidRDefault="009B2DDD" w:rsidP="00DE1921">
            <w:pPr>
              <w:rPr>
                <w:rFonts w:ascii="Arial" w:hAnsi="Arial" w:cs="Arial"/>
                <w:sz w:val="24"/>
                <w:szCs w:val="24"/>
              </w:rPr>
            </w:pPr>
            <w:hyperlink w:anchor="BS" w:history="1">
              <w:r w:rsidR="00EB4288" w:rsidRPr="00D01FA2">
                <w:rPr>
                  <w:rStyle w:val="Hyperlink"/>
                  <w:rFonts w:ascii="Arial" w:hAnsi="Arial" w:cs="Arial"/>
                  <w:sz w:val="24"/>
                  <w:szCs w:val="24"/>
                  <w:u w:val="none"/>
                </w:rPr>
                <w:t>Balance sheet</w:t>
              </w:r>
            </w:hyperlink>
          </w:p>
        </w:tc>
        <w:tc>
          <w:tcPr>
            <w:tcW w:w="314" w:type="pct"/>
          </w:tcPr>
          <w:p w14:paraId="05F54480" w14:textId="0E4F6024" w:rsidR="00EB4288" w:rsidRPr="00784CE4" w:rsidRDefault="00EB4288" w:rsidP="00DE1921">
            <w:pPr>
              <w:jc w:val="right"/>
              <w:rPr>
                <w:rFonts w:ascii="Arial" w:hAnsi="Arial" w:cs="Arial"/>
                <w:b/>
                <w:bCs/>
                <w:sz w:val="24"/>
                <w:szCs w:val="24"/>
              </w:rPr>
            </w:pPr>
            <w:r w:rsidRPr="00784CE4">
              <w:rPr>
                <w:rFonts w:ascii="Arial" w:hAnsi="Arial" w:cs="Arial"/>
                <w:b/>
                <w:bCs/>
                <w:noProof/>
                <w:sz w:val="24"/>
                <w:szCs w:val="24"/>
              </w:rPr>
              <w:fldChar w:fldCharType="begin"/>
            </w:r>
            <w:r w:rsidRPr="00784CE4">
              <w:rPr>
                <w:rFonts w:ascii="Arial" w:hAnsi="Arial" w:cs="Arial"/>
                <w:b/>
                <w:bCs/>
                <w:noProof/>
                <w:sz w:val="24"/>
                <w:szCs w:val="24"/>
              </w:rPr>
              <w:instrText xml:space="preserve"> PAGEREF  BS  \* MERGEFORMAT </w:instrText>
            </w:r>
            <w:r w:rsidRPr="00784CE4">
              <w:rPr>
                <w:rFonts w:ascii="Arial" w:hAnsi="Arial" w:cs="Arial"/>
                <w:b/>
                <w:bCs/>
                <w:noProof/>
                <w:sz w:val="24"/>
                <w:szCs w:val="24"/>
              </w:rPr>
              <w:fldChar w:fldCharType="separate"/>
            </w:r>
            <w:r w:rsidR="00B52F6C" w:rsidRPr="00784CE4">
              <w:rPr>
                <w:rFonts w:ascii="Arial" w:hAnsi="Arial" w:cs="Arial"/>
                <w:b/>
                <w:bCs/>
                <w:noProof/>
                <w:sz w:val="24"/>
                <w:szCs w:val="24"/>
              </w:rPr>
              <w:t>54</w:t>
            </w:r>
            <w:r w:rsidRPr="00784CE4">
              <w:rPr>
                <w:rFonts w:ascii="Arial" w:hAnsi="Arial" w:cs="Arial"/>
                <w:b/>
                <w:bCs/>
                <w:noProof/>
                <w:sz w:val="24"/>
                <w:szCs w:val="24"/>
              </w:rPr>
              <w:fldChar w:fldCharType="end"/>
            </w:r>
          </w:p>
        </w:tc>
      </w:tr>
      <w:tr w:rsidR="00EB4288" w:rsidRPr="009A7DFB" w14:paraId="3E2ABB41" w14:textId="77777777" w:rsidTr="00D01FA2">
        <w:trPr>
          <w:trHeight w:val="340"/>
        </w:trPr>
        <w:tc>
          <w:tcPr>
            <w:tcW w:w="4686" w:type="pct"/>
            <w:tcBorders>
              <w:bottom w:val="nil"/>
            </w:tcBorders>
          </w:tcPr>
          <w:p w14:paraId="48C8CFE1" w14:textId="77777777" w:rsidR="00EB4288" w:rsidRPr="00D01FA2" w:rsidRDefault="009B2DDD" w:rsidP="00DE1921">
            <w:pPr>
              <w:rPr>
                <w:rFonts w:ascii="Arial" w:hAnsi="Arial" w:cs="Arial"/>
                <w:sz w:val="24"/>
                <w:szCs w:val="24"/>
              </w:rPr>
            </w:pPr>
            <w:hyperlink w:anchor="SOCIE" w:history="1">
              <w:r w:rsidR="00EB4288" w:rsidRPr="00D01FA2">
                <w:rPr>
                  <w:rStyle w:val="Hyperlink"/>
                  <w:rFonts w:ascii="Arial" w:hAnsi="Arial" w:cs="Arial"/>
                  <w:sz w:val="24"/>
                  <w:szCs w:val="24"/>
                  <w:u w:val="none"/>
                </w:rPr>
                <w:t>Statement of changes in equity</w:t>
              </w:r>
            </w:hyperlink>
          </w:p>
        </w:tc>
        <w:tc>
          <w:tcPr>
            <w:tcW w:w="314" w:type="pct"/>
            <w:tcBorders>
              <w:bottom w:val="nil"/>
            </w:tcBorders>
          </w:tcPr>
          <w:p w14:paraId="5ADBD296" w14:textId="149A06BB" w:rsidR="00EB4288" w:rsidRPr="00784CE4" w:rsidRDefault="00EB4288" w:rsidP="00DE1921">
            <w:pPr>
              <w:jc w:val="right"/>
              <w:rPr>
                <w:rFonts w:ascii="Arial" w:hAnsi="Arial" w:cs="Arial"/>
                <w:b/>
                <w:bCs/>
                <w:sz w:val="24"/>
                <w:szCs w:val="24"/>
              </w:rPr>
            </w:pPr>
            <w:r w:rsidRPr="00784CE4">
              <w:rPr>
                <w:rFonts w:ascii="Arial" w:hAnsi="Arial" w:cs="Arial"/>
                <w:b/>
                <w:bCs/>
                <w:noProof/>
                <w:sz w:val="24"/>
                <w:szCs w:val="24"/>
              </w:rPr>
              <w:fldChar w:fldCharType="begin"/>
            </w:r>
            <w:r w:rsidRPr="00784CE4">
              <w:rPr>
                <w:rFonts w:ascii="Arial" w:hAnsi="Arial" w:cs="Arial"/>
                <w:b/>
                <w:bCs/>
                <w:noProof/>
                <w:sz w:val="24"/>
                <w:szCs w:val="24"/>
              </w:rPr>
              <w:instrText xml:space="preserve"> PAGEREF  SOCIE  \* MERGEFORMAT </w:instrText>
            </w:r>
            <w:r w:rsidRPr="00784CE4">
              <w:rPr>
                <w:rFonts w:ascii="Arial" w:hAnsi="Arial" w:cs="Arial"/>
                <w:b/>
                <w:bCs/>
                <w:noProof/>
                <w:sz w:val="24"/>
                <w:szCs w:val="24"/>
              </w:rPr>
              <w:fldChar w:fldCharType="separate"/>
            </w:r>
            <w:r w:rsidR="00B52F6C" w:rsidRPr="00784CE4">
              <w:rPr>
                <w:rFonts w:ascii="Arial" w:hAnsi="Arial" w:cs="Arial"/>
                <w:b/>
                <w:bCs/>
                <w:noProof/>
                <w:sz w:val="24"/>
                <w:szCs w:val="24"/>
              </w:rPr>
              <w:t>57</w:t>
            </w:r>
            <w:r w:rsidRPr="00784CE4">
              <w:rPr>
                <w:rFonts w:ascii="Arial" w:hAnsi="Arial" w:cs="Arial"/>
                <w:b/>
                <w:bCs/>
                <w:noProof/>
                <w:sz w:val="24"/>
                <w:szCs w:val="24"/>
              </w:rPr>
              <w:fldChar w:fldCharType="end"/>
            </w:r>
          </w:p>
        </w:tc>
      </w:tr>
      <w:tr w:rsidR="00EB4288" w:rsidRPr="009A7DFB" w14:paraId="72788186" w14:textId="77777777" w:rsidTr="00D01FA2">
        <w:trPr>
          <w:trHeight w:val="340"/>
        </w:trPr>
        <w:tc>
          <w:tcPr>
            <w:tcW w:w="4686" w:type="pct"/>
            <w:tcBorders>
              <w:bottom w:val="single" w:sz="4" w:space="0" w:color="00B2A9"/>
            </w:tcBorders>
          </w:tcPr>
          <w:p w14:paraId="2CC64869" w14:textId="77777777" w:rsidR="00EB4288" w:rsidRPr="00D01FA2" w:rsidRDefault="009B2DDD" w:rsidP="00DE1921">
            <w:pPr>
              <w:rPr>
                <w:rFonts w:ascii="Arial" w:hAnsi="Arial" w:cs="Arial"/>
                <w:sz w:val="24"/>
                <w:szCs w:val="24"/>
              </w:rPr>
            </w:pPr>
            <w:hyperlink w:anchor="CF" w:history="1">
              <w:r w:rsidR="00EB4288" w:rsidRPr="00D01FA2">
                <w:rPr>
                  <w:rStyle w:val="Hyperlink"/>
                  <w:rFonts w:ascii="Arial" w:hAnsi="Arial" w:cs="Arial"/>
                  <w:sz w:val="24"/>
                  <w:szCs w:val="24"/>
                  <w:u w:val="none"/>
                </w:rPr>
                <w:t>Cash flow statement</w:t>
              </w:r>
            </w:hyperlink>
          </w:p>
        </w:tc>
        <w:tc>
          <w:tcPr>
            <w:tcW w:w="314" w:type="pct"/>
            <w:tcBorders>
              <w:bottom w:val="single" w:sz="4" w:space="0" w:color="00B2A9"/>
            </w:tcBorders>
          </w:tcPr>
          <w:p w14:paraId="4DD4A987" w14:textId="60B204B6" w:rsidR="00EB4288" w:rsidRPr="00784CE4" w:rsidRDefault="00EB4288" w:rsidP="00DE1921">
            <w:pPr>
              <w:jc w:val="right"/>
              <w:rPr>
                <w:rFonts w:ascii="Arial" w:hAnsi="Arial" w:cs="Arial"/>
                <w:b/>
                <w:bCs/>
                <w:sz w:val="24"/>
                <w:szCs w:val="24"/>
              </w:rPr>
            </w:pPr>
            <w:r w:rsidRPr="00784CE4">
              <w:rPr>
                <w:rFonts w:ascii="Arial" w:hAnsi="Arial" w:cs="Arial"/>
                <w:b/>
                <w:bCs/>
                <w:noProof/>
                <w:sz w:val="24"/>
                <w:szCs w:val="24"/>
              </w:rPr>
              <w:fldChar w:fldCharType="begin"/>
            </w:r>
            <w:r w:rsidRPr="00784CE4">
              <w:rPr>
                <w:rFonts w:ascii="Arial" w:hAnsi="Arial" w:cs="Arial"/>
                <w:b/>
                <w:bCs/>
                <w:noProof/>
                <w:sz w:val="24"/>
                <w:szCs w:val="24"/>
              </w:rPr>
              <w:instrText xml:space="preserve"> PAGEREF  CF  \* MERGEFORMAT </w:instrText>
            </w:r>
            <w:r w:rsidRPr="00784CE4">
              <w:rPr>
                <w:rFonts w:ascii="Arial" w:hAnsi="Arial" w:cs="Arial"/>
                <w:b/>
                <w:bCs/>
                <w:noProof/>
                <w:sz w:val="24"/>
                <w:szCs w:val="24"/>
              </w:rPr>
              <w:fldChar w:fldCharType="separate"/>
            </w:r>
            <w:r w:rsidR="00B52F6C" w:rsidRPr="00784CE4">
              <w:rPr>
                <w:rFonts w:ascii="Arial" w:hAnsi="Arial" w:cs="Arial"/>
                <w:b/>
                <w:bCs/>
                <w:noProof/>
                <w:sz w:val="24"/>
                <w:szCs w:val="24"/>
              </w:rPr>
              <w:t>58</w:t>
            </w:r>
            <w:r w:rsidRPr="00784CE4">
              <w:rPr>
                <w:rFonts w:ascii="Arial" w:hAnsi="Arial" w:cs="Arial"/>
                <w:b/>
                <w:bCs/>
                <w:noProof/>
                <w:sz w:val="24"/>
                <w:szCs w:val="24"/>
              </w:rPr>
              <w:fldChar w:fldCharType="end"/>
            </w:r>
          </w:p>
        </w:tc>
      </w:tr>
      <w:tr w:rsidR="00EB4288" w:rsidRPr="009A7DFB" w14:paraId="72144A2A" w14:textId="77777777" w:rsidTr="00D01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single" w:sz="4" w:space="0" w:color="00B2A9"/>
              <w:left w:val="nil"/>
              <w:bottom w:val="nil"/>
              <w:right w:val="nil"/>
            </w:tcBorders>
            <w:vAlign w:val="center"/>
          </w:tcPr>
          <w:p w14:paraId="140DD796" w14:textId="634E8691" w:rsidR="00EB4288" w:rsidRPr="009A7DFB" w:rsidRDefault="00EB4288" w:rsidP="00EB4288">
            <w:pPr>
              <w:rPr>
                <w:rFonts w:ascii="Arial" w:hAnsi="Arial" w:cs="Arial"/>
                <w:b/>
                <w:sz w:val="24"/>
                <w:szCs w:val="24"/>
              </w:rPr>
            </w:pPr>
            <w:r w:rsidRPr="009A7DFB">
              <w:rPr>
                <w:rFonts w:ascii="Arial" w:hAnsi="Arial" w:cs="Arial"/>
                <w:b/>
                <w:sz w:val="24"/>
                <w:szCs w:val="24"/>
              </w:rPr>
              <w:t>NOTES TO THE FINANCIAL STATEMENTS</w:t>
            </w:r>
          </w:p>
        </w:tc>
      </w:tr>
      <w:tr w:rsidR="00EB4288" w:rsidRPr="009A7DFB" w14:paraId="0DD9F2DB" w14:textId="77777777" w:rsidTr="00D01FA2">
        <w:trPr>
          <w:trHeight w:val="340"/>
        </w:trPr>
        <w:tc>
          <w:tcPr>
            <w:tcW w:w="4686" w:type="pct"/>
            <w:tcBorders>
              <w:top w:val="nil"/>
              <w:left w:val="nil"/>
              <w:bottom w:val="nil"/>
              <w:right w:val="nil"/>
            </w:tcBorders>
            <w:vAlign w:val="center"/>
          </w:tcPr>
          <w:p w14:paraId="0F0F8DFF" w14:textId="77777777" w:rsidR="00EB4288" w:rsidRPr="00D01FA2" w:rsidRDefault="009B2DDD" w:rsidP="00EB4288">
            <w:pPr>
              <w:rPr>
                <w:rFonts w:ascii="Arial" w:hAnsi="Arial" w:cs="Arial"/>
                <w:b/>
                <w:sz w:val="24"/>
                <w:szCs w:val="24"/>
              </w:rPr>
            </w:pPr>
            <w:hyperlink w:anchor="_ABOUT_THIS_REPORT" w:history="1">
              <w:r w:rsidR="00EB4288" w:rsidRPr="00D01FA2">
                <w:rPr>
                  <w:rStyle w:val="Hyperlink"/>
                  <w:rFonts w:ascii="Arial" w:hAnsi="Arial" w:cs="Arial"/>
                  <w:b/>
                  <w:sz w:val="24"/>
                  <w:szCs w:val="24"/>
                  <w:u w:val="none"/>
                </w:rPr>
                <w:t>1. ABOUT THIS REPORT</w:t>
              </w:r>
            </w:hyperlink>
          </w:p>
        </w:tc>
        <w:tc>
          <w:tcPr>
            <w:tcW w:w="314" w:type="pct"/>
            <w:tcBorders>
              <w:top w:val="nil"/>
              <w:left w:val="nil"/>
              <w:bottom w:val="nil"/>
              <w:right w:val="nil"/>
            </w:tcBorders>
            <w:vAlign w:val="center"/>
          </w:tcPr>
          <w:p w14:paraId="62C72B6D" w14:textId="471FB5BD" w:rsidR="00EB4288" w:rsidRPr="00784CE4" w:rsidRDefault="00EB4288" w:rsidP="00EB4288">
            <w:pPr>
              <w:jc w:val="right"/>
              <w:rPr>
                <w:rFonts w:ascii="Arial" w:hAnsi="Arial" w:cs="Arial"/>
                <w:b/>
                <w:bCs/>
                <w:sz w:val="24"/>
                <w:szCs w:val="24"/>
              </w:rPr>
            </w:pPr>
            <w:r w:rsidRPr="00784CE4">
              <w:rPr>
                <w:rFonts w:ascii="Arial" w:hAnsi="Arial" w:cs="Arial"/>
                <w:b/>
                <w:bCs/>
                <w:noProof/>
                <w:sz w:val="24"/>
                <w:szCs w:val="24"/>
              </w:rPr>
              <w:fldChar w:fldCharType="begin"/>
            </w:r>
            <w:r w:rsidRPr="00784CE4">
              <w:rPr>
                <w:rFonts w:ascii="Arial" w:hAnsi="Arial" w:cs="Arial"/>
                <w:b/>
                <w:bCs/>
                <w:noProof/>
                <w:sz w:val="24"/>
                <w:szCs w:val="24"/>
              </w:rPr>
              <w:instrText xml:space="preserve"> PAGEREF  SEC1  \* MERGEFORMAT </w:instrText>
            </w:r>
            <w:r w:rsidRPr="00784CE4">
              <w:rPr>
                <w:rFonts w:ascii="Arial" w:hAnsi="Arial" w:cs="Arial"/>
                <w:b/>
                <w:bCs/>
                <w:noProof/>
                <w:sz w:val="24"/>
                <w:szCs w:val="24"/>
              </w:rPr>
              <w:fldChar w:fldCharType="separate"/>
            </w:r>
            <w:r w:rsidR="00B52F6C" w:rsidRPr="00784CE4">
              <w:rPr>
                <w:rFonts w:ascii="Arial" w:hAnsi="Arial" w:cs="Arial"/>
                <w:b/>
                <w:bCs/>
                <w:noProof/>
                <w:sz w:val="24"/>
                <w:szCs w:val="24"/>
              </w:rPr>
              <w:t>63</w:t>
            </w:r>
            <w:r w:rsidRPr="00784CE4">
              <w:rPr>
                <w:rFonts w:ascii="Arial" w:hAnsi="Arial" w:cs="Arial"/>
                <w:b/>
                <w:bCs/>
                <w:noProof/>
                <w:sz w:val="24"/>
                <w:szCs w:val="24"/>
              </w:rPr>
              <w:fldChar w:fldCharType="end"/>
            </w:r>
          </w:p>
        </w:tc>
      </w:tr>
      <w:tr w:rsidR="00EB4288" w:rsidRPr="009A7DFB" w14:paraId="2C90A557"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127D59AD" w14:textId="77777777" w:rsidR="00EB4288" w:rsidRPr="009A7DFB" w:rsidRDefault="00EB4288" w:rsidP="00EB4288">
            <w:pPr>
              <w:rPr>
                <w:rFonts w:ascii="Arial" w:hAnsi="Arial" w:cs="Arial"/>
                <w:i/>
                <w:sz w:val="24"/>
                <w:szCs w:val="24"/>
              </w:rPr>
            </w:pPr>
            <w:r w:rsidRPr="009A7DFB">
              <w:rPr>
                <w:rFonts w:ascii="Arial" w:hAnsi="Arial" w:cs="Arial"/>
                <w:i/>
                <w:sz w:val="24"/>
                <w:szCs w:val="24"/>
              </w:rPr>
              <w:t>The basis on which the financial statements have been prepared and compliance with reporting regulations.</w:t>
            </w:r>
          </w:p>
          <w:p w14:paraId="6DE60668" w14:textId="77777777" w:rsidR="00EB4288" w:rsidRPr="009A7DFB" w:rsidRDefault="00EB4288" w:rsidP="00EB4288">
            <w:pPr>
              <w:rPr>
                <w:rFonts w:ascii="Arial" w:hAnsi="Arial" w:cs="Arial"/>
                <w:sz w:val="24"/>
                <w:szCs w:val="24"/>
              </w:rPr>
            </w:pPr>
          </w:p>
        </w:tc>
      </w:tr>
      <w:tr w:rsidR="00EB4288" w:rsidRPr="009A7DFB" w14:paraId="3E72A05F"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2ABA0C32" w14:textId="77777777" w:rsidR="00EB4288" w:rsidRPr="009A7DFB" w:rsidRDefault="00EB4288" w:rsidP="00EB4288">
            <w:pPr>
              <w:rPr>
                <w:rFonts w:ascii="Arial" w:hAnsi="Arial" w:cs="Arial"/>
                <w:b/>
                <w:sz w:val="24"/>
                <w:szCs w:val="24"/>
              </w:rPr>
            </w:pPr>
            <w:r w:rsidRPr="009A7DFB">
              <w:rPr>
                <w:rFonts w:ascii="Arial" w:hAnsi="Arial" w:cs="Arial"/>
                <w:b/>
                <w:sz w:val="24"/>
                <w:szCs w:val="24"/>
              </w:rPr>
              <w:t>2. FUNDING DELIVERY OF OUR SERVICES</w:t>
            </w:r>
          </w:p>
        </w:tc>
      </w:tr>
      <w:tr w:rsidR="00EB4288" w:rsidRPr="009A7DFB" w14:paraId="33C4727F"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02773F4F" w14:textId="77777777" w:rsidR="00EB4288" w:rsidRPr="009A7DFB" w:rsidRDefault="00EB4288" w:rsidP="00EB4288">
            <w:pPr>
              <w:rPr>
                <w:rFonts w:ascii="Arial" w:hAnsi="Arial" w:cs="Arial"/>
                <w:i/>
                <w:sz w:val="24"/>
                <w:szCs w:val="24"/>
              </w:rPr>
            </w:pPr>
            <w:r w:rsidRPr="009A7DFB">
              <w:rPr>
                <w:rFonts w:ascii="Arial" w:hAnsi="Arial" w:cs="Arial"/>
                <w:i/>
                <w:sz w:val="24"/>
                <w:szCs w:val="24"/>
              </w:rPr>
              <w:t>Income recognised from grants, sales of goods and services and other sources</w:t>
            </w:r>
          </w:p>
        </w:tc>
      </w:tr>
      <w:tr w:rsidR="00EB4288" w:rsidRPr="009A7DFB" w14:paraId="263936EB"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6AC2F372" w14:textId="4C6A9FA4" w:rsidR="00EB4288" w:rsidRPr="009A7DFB" w:rsidRDefault="00EB4288" w:rsidP="00EB4288">
            <w:pPr>
              <w:pStyle w:val="TOC2"/>
              <w:framePr w:hSpace="0" w:wrap="auto" w:vAnchor="margin" w:xAlign="left" w:yAlign="inline"/>
              <w:suppressOverlap w:val="0"/>
              <w:rPr>
                <w:rFonts w:ascii="Arial" w:hAnsi="Arial" w:cs="Arial"/>
                <w:noProof/>
                <w:sz w:val="24"/>
                <w:szCs w:val="24"/>
                <w:lang w:eastAsia="en-AU"/>
              </w:rPr>
            </w:pPr>
            <w:r w:rsidRPr="009A7DFB">
              <w:rPr>
                <w:rFonts w:ascii="Arial" w:hAnsi="Arial" w:cs="Arial"/>
                <w:sz w:val="24"/>
                <w:szCs w:val="24"/>
              </w:rPr>
              <w:fldChar w:fldCharType="begin"/>
            </w:r>
            <w:r w:rsidRPr="009A7DFB">
              <w:rPr>
                <w:rFonts w:ascii="Arial" w:hAnsi="Arial" w:cs="Arial"/>
                <w:sz w:val="24"/>
                <w:szCs w:val="24"/>
              </w:rPr>
              <w:instrText xml:space="preserve"> TOC \h\b SEC2\o"2-2" \* MERGEFORMAT </w:instrText>
            </w:r>
            <w:r w:rsidRPr="009A7DFB">
              <w:rPr>
                <w:rFonts w:ascii="Arial" w:hAnsi="Arial" w:cs="Arial"/>
                <w:sz w:val="24"/>
                <w:szCs w:val="24"/>
              </w:rPr>
              <w:fldChar w:fldCharType="separate"/>
            </w:r>
            <w:hyperlink w:anchor="_Toc53420594" w:history="1">
              <w:r w:rsidRPr="009A7DFB">
                <w:rPr>
                  <w:rStyle w:val="Hyperlink"/>
                  <w:rFonts w:ascii="Arial" w:hAnsi="Arial" w:cs="Arial"/>
                  <w:noProof/>
                  <w:sz w:val="24"/>
                  <w:szCs w:val="24"/>
                </w:rPr>
                <w:t>2.1</w:t>
              </w:r>
              <w:r w:rsidRPr="009A7DFB">
                <w:rPr>
                  <w:rFonts w:ascii="Arial" w:hAnsi="Arial" w:cs="Arial"/>
                  <w:noProof/>
                  <w:sz w:val="24"/>
                  <w:szCs w:val="24"/>
                  <w:lang w:eastAsia="en-AU"/>
                </w:rPr>
                <w:tab/>
              </w:r>
              <w:r w:rsidRPr="009A7DFB">
                <w:rPr>
                  <w:rStyle w:val="Hyperlink"/>
                  <w:rFonts w:ascii="Arial" w:hAnsi="Arial" w:cs="Arial"/>
                  <w:noProof/>
                  <w:sz w:val="24"/>
                  <w:szCs w:val="24"/>
                </w:rPr>
                <w:t>Appropriations</w:t>
              </w:r>
              <w:r w:rsidRPr="009A7DFB">
                <w:rPr>
                  <w:rFonts w:ascii="Arial" w:hAnsi="Arial" w:cs="Arial"/>
                  <w:noProof/>
                  <w:sz w:val="24"/>
                  <w:szCs w:val="24"/>
                </w:rPr>
                <w:tab/>
              </w:r>
              <w:r w:rsidRPr="009A7DFB">
                <w:rPr>
                  <w:rFonts w:ascii="Arial" w:hAnsi="Arial" w:cs="Arial"/>
                  <w:noProof/>
                  <w:sz w:val="24"/>
                  <w:szCs w:val="24"/>
                </w:rPr>
                <w:fldChar w:fldCharType="begin"/>
              </w:r>
              <w:r w:rsidRPr="009A7DFB">
                <w:rPr>
                  <w:rFonts w:ascii="Arial" w:hAnsi="Arial" w:cs="Arial"/>
                  <w:noProof/>
                  <w:sz w:val="24"/>
                  <w:szCs w:val="24"/>
                </w:rPr>
                <w:instrText xml:space="preserve"> PAGEREF _Toc53420594 \h </w:instrText>
              </w:r>
              <w:r w:rsidRPr="009A7DFB">
                <w:rPr>
                  <w:rFonts w:ascii="Arial" w:hAnsi="Arial" w:cs="Arial"/>
                  <w:noProof/>
                  <w:sz w:val="24"/>
                  <w:szCs w:val="24"/>
                </w:rPr>
              </w:r>
              <w:r w:rsidRPr="009A7DFB">
                <w:rPr>
                  <w:rFonts w:ascii="Arial" w:hAnsi="Arial" w:cs="Arial"/>
                  <w:noProof/>
                  <w:sz w:val="24"/>
                  <w:szCs w:val="24"/>
                </w:rPr>
                <w:fldChar w:fldCharType="separate"/>
              </w:r>
              <w:r w:rsidR="00C561B4">
                <w:rPr>
                  <w:rFonts w:ascii="Arial" w:hAnsi="Arial" w:cs="Arial"/>
                  <w:noProof/>
                  <w:sz w:val="24"/>
                  <w:szCs w:val="24"/>
                </w:rPr>
                <w:t>73</w:t>
              </w:r>
              <w:r w:rsidRPr="009A7DFB">
                <w:rPr>
                  <w:rFonts w:ascii="Arial" w:hAnsi="Arial" w:cs="Arial"/>
                  <w:noProof/>
                  <w:sz w:val="24"/>
                  <w:szCs w:val="24"/>
                </w:rPr>
                <w:fldChar w:fldCharType="end"/>
              </w:r>
            </w:hyperlink>
          </w:p>
          <w:p w14:paraId="54023C2C" w14:textId="4D991A65"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595" w:history="1">
              <w:r w:rsidR="00EB4288" w:rsidRPr="009A7DFB">
                <w:rPr>
                  <w:rStyle w:val="Hyperlink"/>
                  <w:rFonts w:ascii="Arial" w:hAnsi="Arial" w:cs="Arial"/>
                  <w:noProof/>
                  <w:sz w:val="24"/>
                  <w:szCs w:val="24"/>
                </w:rPr>
                <w:t>2.2</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Grant income</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_Toc53420595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C561B4">
                <w:rPr>
                  <w:rFonts w:ascii="Arial" w:hAnsi="Arial" w:cs="Arial"/>
                  <w:noProof/>
                  <w:sz w:val="24"/>
                  <w:szCs w:val="24"/>
                </w:rPr>
                <w:t>82</w:t>
              </w:r>
              <w:r w:rsidR="00EB4288" w:rsidRPr="009A7DFB">
                <w:rPr>
                  <w:rFonts w:ascii="Arial" w:hAnsi="Arial" w:cs="Arial"/>
                  <w:noProof/>
                  <w:sz w:val="24"/>
                  <w:szCs w:val="24"/>
                </w:rPr>
                <w:fldChar w:fldCharType="end"/>
              </w:r>
            </w:hyperlink>
          </w:p>
          <w:p w14:paraId="74CB4311" w14:textId="035EE532"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596" w:history="1">
              <w:r w:rsidR="00EB4288" w:rsidRPr="009A7DFB">
                <w:rPr>
                  <w:rStyle w:val="Hyperlink"/>
                  <w:rFonts w:ascii="Arial" w:hAnsi="Arial" w:cs="Arial"/>
                  <w:noProof/>
                  <w:sz w:val="24"/>
                  <w:szCs w:val="24"/>
                </w:rPr>
                <w:t>2.3</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Sale of goods and services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_Toc53420596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C561B4">
                <w:rPr>
                  <w:rFonts w:ascii="Arial" w:hAnsi="Arial" w:cs="Arial"/>
                  <w:noProof/>
                  <w:sz w:val="24"/>
                  <w:szCs w:val="24"/>
                </w:rPr>
                <w:t>86</w:t>
              </w:r>
              <w:r w:rsidR="00EB4288" w:rsidRPr="009A7DFB">
                <w:rPr>
                  <w:rFonts w:ascii="Arial" w:hAnsi="Arial" w:cs="Arial"/>
                  <w:noProof/>
                  <w:sz w:val="24"/>
                  <w:szCs w:val="24"/>
                </w:rPr>
                <w:fldChar w:fldCharType="end"/>
              </w:r>
            </w:hyperlink>
          </w:p>
          <w:p w14:paraId="34D8D046" w14:textId="570C5E22"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597" w:history="1">
              <w:r w:rsidR="00EB4288" w:rsidRPr="009A7DFB">
                <w:rPr>
                  <w:rStyle w:val="Hyperlink"/>
                  <w:rFonts w:ascii="Arial" w:hAnsi="Arial" w:cs="Arial"/>
                  <w:noProof/>
                  <w:sz w:val="24"/>
                  <w:szCs w:val="24"/>
                </w:rPr>
                <w:t>2.4</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Other income</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_Toc53420597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C561B4">
                <w:rPr>
                  <w:rFonts w:ascii="Arial" w:hAnsi="Arial" w:cs="Arial"/>
                  <w:noProof/>
                  <w:sz w:val="24"/>
                  <w:szCs w:val="24"/>
                </w:rPr>
                <w:t>90</w:t>
              </w:r>
              <w:r w:rsidR="00EB4288" w:rsidRPr="009A7DFB">
                <w:rPr>
                  <w:rFonts w:ascii="Arial" w:hAnsi="Arial" w:cs="Arial"/>
                  <w:noProof/>
                  <w:sz w:val="24"/>
                  <w:szCs w:val="24"/>
                </w:rPr>
                <w:fldChar w:fldCharType="end"/>
              </w:r>
            </w:hyperlink>
          </w:p>
          <w:p w14:paraId="7CBAD2E3" w14:textId="77777777" w:rsidR="00EB4288" w:rsidRPr="009A7DFB" w:rsidRDefault="00EB4288" w:rsidP="00EB4288">
            <w:pPr>
              <w:pStyle w:val="TOC2"/>
              <w:framePr w:hSpace="0" w:wrap="auto" w:vAnchor="margin" w:xAlign="left" w:yAlign="inline"/>
              <w:suppressOverlap w:val="0"/>
              <w:rPr>
                <w:rFonts w:ascii="Arial" w:hAnsi="Arial" w:cs="Arial"/>
                <w:sz w:val="24"/>
                <w:szCs w:val="24"/>
              </w:rPr>
            </w:pPr>
            <w:r w:rsidRPr="009A7DFB">
              <w:rPr>
                <w:rFonts w:ascii="Arial" w:hAnsi="Arial" w:cs="Arial"/>
                <w:sz w:val="24"/>
                <w:szCs w:val="24"/>
              </w:rPr>
              <w:fldChar w:fldCharType="end"/>
            </w:r>
          </w:p>
        </w:tc>
      </w:tr>
      <w:tr w:rsidR="00EB4288" w:rsidRPr="009A7DFB" w14:paraId="7CBFE097"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2351308A" w14:textId="77777777" w:rsidR="00EB4288" w:rsidRPr="009A7DFB" w:rsidRDefault="00EB4288" w:rsidP="00EB4288">
            <w:pPr>
              <w:rPr>
                <w:rFonts w:ascii="Arial" w:hAnsi="Arial" w:cs="Arial"/>
                <w:b/>
                <w:sz w:val="24"/>
                <w:szCs w:val="24"/>
              </w:rPr>
            </w:pPr>
            <w:r w:rsidRPr="009A7DFB">
              <w:rPr>
                <w:rFonts w:ascii="Arial" w:hAnsi="Arial" w:cs="Arial"/>
                <w:b/>
                <w:sz w:val="24"/>
                <w:szCs w:val="24"/>
              </w:rPr>
              <w:t>3. THE COST OF DELIVERING SERVICES</w:t>
            </w:r>
          </w:p>
        </w:tc>
      </w:tr>
      <w:tr w:rsidR="00EB4288" w:rsidRPr="009A7DFB" w14:paraId="48E69BF1"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7C9706A3" w14:textId="77777777" w:rsidR="00EB4288" w:rsidRPr="009A7DFB" w:rsidRDefault="00EB4288" w:rsidP="00EB4288">
            <w:pPr>
              <w:rPr>
                <w:rFonts w:ascii="Arial" w:hAnsi="Arial" w:cs="Arial"/>
                <w:i/>
                <w:sz w:val="24"/>
                <w:szCs w:val="24"/>
              </w:rPr>
            </w:pPr>
            <w:r w:rsidRPr="009A7DFB">
              <w:rPr>
                <w:rFonts w:ascii="Arial" w:hAnsi="Arial" w:cs="Arial"/>
                <w:i/>
                <w:sz w:val="24"/>
                <w:szCs w:val="24"/>
              </w:rPr>
              <w:t>Operating expenses of the department</w:t>
            </w:r>
          </w:p>
        </w:tc>
      </w:tr>
      <w:tr w:rsidR="00EB4288" w:rsidRPr="009A7DFB" w14:paraId="18116D27"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636A37DC" w14:textId="0C4861C7" w:rsidR="00EB4288" w:rsidRPr="009A7DFB" w:rsidRDefault="00EB4288" w:rsidP="00EB4288">
            <w:pPr>
              <w:pStyle w:val="TOC2"/>
              <w:framePr w:hSpace="0" w:wrap="auto" w:vAnchor="margin" w:xAlign="left" w:yAlign="inline"/>
              <w:suppressOverlap w:val="0"/>
              <w:rPr>
                <w:rFonts w:ascii="Arial" w:hAnsi="Arial" w:cs="Arial"/>
                <w:noProof/>
                <w:sz w:val="24"/>
                <w:szCs w:val="24"/>
                <w:lang w:eastAsia="en-AU"/>
              </w:rPr>
            </w:pPr>
            <w:r w:rsidRPr="009A7DFB">
              <w:rPr>
                <w:rFonts w:ascii="Arial" w:hAnsi="Arial" w:cs="Arial"/>
                <w:sz w:val="24"/>
                <w:szCs w:val="24"/>
              </w:rPr>
              <w:fldChar w:fldCharType="begin"/>
            </w:r>
            <w:r w:rsidRPr="009A7DFB">
              <w:rPr>
                <w:rFonts w:ascii="Arial" w:hAnsi="Arial" w:cs="Arial"/>
                <w:sz w:val="24"/>
                <w:szCs w:val="24"/>
              </w:rPr>
              <w:instrText xml:space="preserve"> TOC \h\b SEC3 \o”2-2” \* MERGEFORMAT </w:instrText>
            </w:r>
            <w:r w:rsidRPr="009A7DFB">
              <w:rPr>
                <w:rFonts w:ascii="Arial" w:hAnsi="Arial" w:cs="Arial"/>
                <w:sz w:val="24"/>
                <w:szCs w:val="24"/>
              </w:rPr>
              <w:fldChar w:fldCharType="separate"/>
            </w:r>
            <w:hyperlink w:anchor="_Toc53420605" w:history="1">
              <w:r w:rsidRPr="009A7DFB">
                <w:rPr>
                  <w:rStyle w:val="Hyperlink"/>
                  <w:rFonts w:ascii="Arial" w:hAnsi="Arial" w:cs="Arial"/>
                  <w:noProof/>
                  <w:sz w:val="24"/>
                  <w:szCs w:val="24"/>
                </w:rPr>
                <w:t>3.1</w:t>
              </w:r>
              <w:r w:rsidRPr="009A7DFB">
                <w:rPr>
                  <w:rFonts w:ascii="Arial" w:hAnsi="Arial" w:cs="Arial"/>
                  <w:noProof/>
                  <w:sz w:val="24"/>
                  <w:szCs w:val="24"/>
                  <w:lang w:eastAsia="en-AU"/>
                </w:rPr>
                <w:tab/>
              </w:r>
              <w:r w:rsidRPr="009A7DFB">
                <w:rPr>
                  <w:rStyle w:val="Hyperlink"/>
                  <w:rFonts w:ascii="Arial" w:hAnsi="Arial" w:cs="Arial"/>
                  <w:noProof/>
                  <w:sz w:val="24"/>
                  <w:szCs w:val="24"/>
                </w:rPr>
                <w:t>Employee benefits</w:t>
              </w:r>
              <w:r w:rsidRPr="009A7DFB">
                <w:rPr>
                  <w:rFonts w:ascii="Arial" w:hAnsi="Arial" w:cs="Arial"/>
                  <w:noProof/>
                  <w:sz w:val="24"/>
                  <w:szCs w:val="24"/>
                </w:rPr>
                <w:tab/>
              </w:r>
              <w:r w:rsidRPr="009A7DFB">
                <w:rPr>
                  <w:rFonts w:ascii="Arial" w:hAnsi="Arial" w:cs="Arial"/>
                  <w:noProof/>
                  <w:sz w:val="24"/>
                  <w:szCs w:val="24"/>
                </w:rPr>
                <w:fldChar w:fldCharType="begin"/>
              </w:r>
              <w:r w:rsidRPr="009A7DFB">
                <w:rPr>
                  <w:rFonts w:ascii="Arial" w:hAnsi="Arial" w:cs="Arial"/>
                  <w:noProof/>
                  <w:sz w:val="24"/>
                  <w:szCs w:val="24"/>
                </w:rPr>
                <w:instrText xml:space="preserve"> PAGEREF _Toc53420605 \h </w:instrText>
              </w:r>
              <w:r w:rsidRPr="009A7DFB">
                <w:rPr>
                  <w:rFonts w:ascii="Arial" w:hAnsi="Arial" w:cs="Arial"/>
                  <w:noProof/>
                  <w:sz w:val="24"/>
                  <w:szCs w:val="24"/>
                </w:rPr>
              </w:r>
              <w:r w:rsidRPr="009A7DFB">
                <w:rPr>
                  <w:rFonts w:ascii="Arial" w:hAnsi="Arial" w:cs="Arial"/>
                  <w:noProof/>
                  <w:sz w:val="24"/>
                  <w:szCs w:val="24"/>
                </w:rPr>
                <w:fldChar w:fldCharType="separate"/>
              </w:r>
              <w:r w:rsidR="00512392">
                <w:rPr>
                  <w:rFonts w:ascii="Arial" w:hAnsi="Arial" w:cs="Arial"/>
                  <w:noProof/>
                  <w:sz w:val="24"/>
                  <w:szCs w:val="24"/>
                </w:rPr>
                <w:t>92</w:t>
              </w:r>
              <w:r w:rsidRPr="009A7DFB">
                <w:rPr>
                  <w:rFonts w:ascii="Arial" w:hAnsi="Arial" w:cs="Arial"/>
                  <w:noProof/>
                  <w:sz w:val="24"/>
                  <w:szCs w:val="24"/>
                </w:rPr>
                <w:fldChar w:fldCharType="end"/>
              </w:r>
            </w:hyperlink>
          </w:p>
          <w:p w14:paraId="7CEDE1E3" w14:textId="4AE5F634"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06" w:history="1">
              <w:r w:rsidR="00EB4288" w:rsidRPr="009A7DFB">
                <w:rPr>
                  <w:rStyle w:val="Hyperlink"/>
                  <w:rFonts w:ascii="Arial" w:hAnsi="Arial" w:cs="Arial"/>
                  <w:noProof/>
                  <w:sz w:val="24"/>
                  <w:szCs w:val="24"/>
                </w:rPr>
                <w:t>3.2</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Grant expenses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_Toc53420606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512392">
                <w:rPr>
                  <w:rFonts w:ascii="Arial" w:hAnsi="Arial" w:cs="Arial"/>
                  <w:noProof/>
                  <w:sz w:val="24"/>
                  <w:szCs w:val="24"/>
                </w:rPr>
                <w:t>98</w:t>
              </w:r>
              <w:r w:rsidR="00EB4288" w:rsidRPr="009A7DFB">
                <w:rPr>
                  <w:rFonts w:ascii="Arial" w:hAnsi="Arial" w:cs="Arial"/>
                  <w:noProof/>
                  <w:sz w:val="24"/>
                  <w:szCs w:val="24"/>
                </w:rPr>
                <w:fldChar w:fldCharType="end"/>
              </w:r>
            </w:hyperlink>
          </w:p>
          <w:p w14:paraId="4CFFC20B" w14:textId="49C7A602"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07" w:history="1">
              <w:r w:rsidR="00EB4288" w:rsidRPr="009A7DFB">
                <w:rPr>
                  <w:rStyle w:val="Hyperlink"/>
                  <w:rFonts w:ascii="Arial" w:hAnsi="Arial" w:cs="Arial"/>
                  <w:noProof/>
                  <w:sz w:val="24"/>
                  <w:szCs w:val="24"/>
                </w:rPr>
                <w:t>3.3</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Capital asset charge</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_Toc53420607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512392">
                <w:rPr>
                  <w:rFonts w:ascii="Arial" w:hAnsi="Arial" w:cs="Arial"/>
                  <w:noProof/>
                  <w:sz w:val="24"/>
                  <w:szCs w:val="24"/>
                </w:rPr>
                <w:t>99</w:t>
              </w:r>
              <w:r w:rsidR="00EB4288" w:rsidRPr="009A7DFB">
                <w:rPr>
                  <w:rFonts w:ascii="Arial" w:hAnsi="Arial" w:cs="Arial"/>
                  <w:noProof/>
                  <w:sz w:val="24"/>
                  <w:szCs w:val="24"/>
                </w:rPr>
                <w:fldChar w:fldCharType="end"/>
              </w:r>
            </w:hyperlink>
          </w:p>
          <w:p w14:paraId="0AC3EE26" w14:textId="7EF8F4AC"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08" w:history="1">
              <w:r w:rsidR="00EB4288" w:rsidRPr="009A7DFB">
                <w:rPr>
                  <w:rStyle w:val="Hyperlink"/>
                  <w:rFonts w:ascii="Arial" w:hAnsi="Arial" w:cs="Arial"/>
                  <w:noProof/>
                  <w:sz w:val="24"/>
                  <w:szCs w:val="24"/>
                </w:rPr>
                <w:t>3.4</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Payments to public transport service providers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_Toc53420608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512392">
                <w:rPr>
                  <w:rFonts w:ascii="Arial" w:hAnsi="Arial" w:cs="Arial"/>
                  <w:noProof/>
                  <w:sz w:val="24"/>
                  <w:szCs w:val="24"/>
                </w:rPr>
                <w:t>99</w:t>
              </w:r>
              <w:r w:rsidR="00EB4288" w:rsidRPr="009A7DFB">
                <w:rPr>
                  <w:rFonts w:ascii="Arial" w:hAnsi="Arial" w:cs="Arial"/>
                  <w:noProof/>
                  <w:sz w:val="24"/>
                  <w:szCs w:val="24"/>
                </w:rPr>
                <w:fldChar w:fldCharType="end"/>
              </w:r>
            </w:hyperlink>
          </w:p>
          <w:p w14:paraId="1993EC97" w14:textId="1F022CA4"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09" w:history="1">
              <w:r w:rsidR="00EB4288" w:rsidRPr="009A7DFB">
                <w:rPr>
                  <w:rStyle w:val="Hyperlink"/>
                  <w:rFonts w:ascii="Arial" w:hAnsi="Arial" w:cs="Arial"/>
                  <w:noProof/>
                  <w:sz w:val="24"/>
                  <w:szCs w:val="24"/>
                </w:rPr>
                <w:t>3.5</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Other operating expense</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_Toc53420609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512392">
                <w:rPr>
                  <w:rFonts w:ascii="Arial" w:hAnsi="Arial" w:cs="Arial"/>
                  <w:noProof/>
                  <w:sz w:val="24"/>
                  <w:szCs w:val="24"/>
                </w:rPr>
                <w:t>100</w:t>
              </w:r>
              <w:r w:rsidR="00EB4288" w:rsidRPr="009A7DFB">
                <w:rPr>
                  <w:rFonts w:ascii="Arial" w:hAnsi="Arial" w:cs="Arial"/>
                  <w:noProof/>
                  <w:sz w:val="24"/>
                  <w:szCs w:val="24"/>
                </w:rPr>
                <w:fldChar w:fldCharType="end"/>
              </w:r>
            </w:hyperlink>
          </w:p>
          <w:p w14:paraId="5AE82CF4" w14:textId="77777777" w:rsidR="00EB4288" w:rsidRPr="009A7DFB" w:rsidRDefault="00EB4288" w:rsidP="00EB4288">
            <w:pPr>
              <w:pStyle w:val="TOC2"/>
              <w:framePr w:hSpace="0" w:wrap="auto" w:vAnchor="margin" w:xAlign="left" w:yAlign="inline"/>
              <w:suppressOverlap w:val="0"/>
              <w:rPr>
                <w:rFonts w:ascii="Arial" w:hAnsi="Arial" w:cs="Arial"/>
                <w:sz w:val="24"/>
                <w:szCs w:val="24"/>
              </w:rPr>
            </w:pPr>
            <w:r w:rsidRPr="009A7DFB">
              <w:rPr>
                <w:rFonts w:ascii="Arial" w:hAnsi="Arial" w:cs="Arial"/>
                <w:sz w:val="24"/>
                <w:szCs w:val="24"/>
              </w:rPr>
              <w:fldChar w:fldCharType="end"/>
            </w:r>
          </w:p>
        </w:tc>
      </w:tr>
      <w:tr w:rsidR="00EB4288" w:rsidRPr="009A7DFB" w14:paraId="477D3633"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4766A2B8" w14:textId="77777777" w:rsidR="00EB4288" w:rsidRPr="009A7DFB" w:rsidRDefault="00EB4288" w:rsidP="00EB4288">
            <w:pPr>
              <w:rPr>
                <w:rFonts w:ascii="Arial" w:hAnsi="Arial" w:cs="Arial"/>
                <w:b/>
                <w:sz w:val="24"/>
                <w:szCs w:val="24"/>
              </w:rPr>
            </w:pPr>
            <w:r w:rsidRPr="009A7DFB">
              <w:rPr>
                <w:rFonts w:ascii="Arial" w:hAnsi="Arial" w:cs="Arial"/>
                <w:b/>
                <w:sz w:val="24"/>
                <w:szCs w:val="24"/>
              </w:rPr>
              <w:t>4. DISAGGREGATED FINANCIAL INFORMATION BY OUTPUT</w:t>
            </w:r>
          </w:p>
        </w:tc>
      </w:tr>
      <w:tr w:rsidR="00EB4288" w:rsidRPr="009A7DFB" w14:paraId="3B806869"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576E3F54" w14:textId="77777777" w:rsidR="00EB4288" w:rsidRPr="009A7DFB" w:rsidRDefault="00EB4288" w:rsidP="00EB4288">
            <w:pPr>
              <w:rPr>
                <w:rFonts w:ascii="Arial" w:hAnsi="Arial" w:cs="Arial"/>
                <w:i/>
                <w:sz w:val="24"/>
                <w:szCs w:val="24"/>
              </w:rPr>
            </w:pPr>
            <w:r w:rsidRPr="009A7DFB">
              <w:rPr>
                <w:rFonts w:ascii="Arial" w:hAnsi="Arial" w:cs="Arial"/>
                <w:i/>
                <w:sz w:val="24"/>
                <w:szCs w:val="24"/>
              </w:rPr>
              <w:t>Department outputs and administered (non-controlled) items</w:t>
            </w:r>
          </w:p>
        </w:tc>
      </w:tr>
      <w:tr w:rsidR="00EB4288" w:rsidRPr="009A7DFB" w14:paraId="2B230789"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4E4F6999" w14:textId="29240672" w:rsidR="00EB4288" w:rsidRPr="009A7DFB" w:rsidRDefault="00EB4288" w:rsidP="00EB4288">
            <w:pPr>
              <w:pStyle w:val="TOC2"/>
              <w:framePr w:hSpace="0" w:wrap="auto" w:vAnchor="margin" w:xAlign="left" w:yAlign="inline"/>
              <w:suppressOverlap w:val="0"/>
              <w:rPr>
                <w:rFonts w:ascii="Arial" w:hAnsi="Arial" w:cs="Arial"/>
                <w:noProof/>
                <w:sz w:val="24"/>
                <w:szCs w:val="24"/>
                <w:lang w:eastAsia="en-AU"/>
              </w:rPr>
            </w:pPr>
            <w:r w:rsidRPr="009A7DFB">
              <w:rPr>
                <w:rFonts w:ascii="Arial" w:hAnsi="Arial" w:cs="Arial"/>
                <w:sz w:val="24"/>
                <w:szCs w:val="24"/>
              </w:rPr>
              <w:fldChar w:fldCharType="begin"/>
            </w:r>
            <w:r w:rsidRPr="009A7DFB">
              <w:rPr>
                <w:rFonts w:ascii="Arial" w:hAnsi="Arial" w:cs="Arial"/>
                <w:sz w:val="24"/>
                <w:szCs w:val="24"/>
              </w:rPr>
              <w:instrText xml:space="preserve"> TOC \h\b SEC4 \o”2-2” \* MERGEFORMAT </w:instrText>
            </w:r>
            <w:r w:rsidRPr="009A7DFB">
              <w:rPr>
                <w:rFonts w:ascii="Arial" w:hAnsi="Arial" w:cs="Arial"/>
                <w:sz w:val="24"/>
                <w:szCs w:val="24"/>
              </w:rPr>
              <w:fldChar w:fldCharType="separate"/>
            </w:r>
            <w:hyperlink w:anchor="_Toc53420659" w:history="1">
              <w:r w:rsidRPr="009A7DFB">
                <w:rPr>
                  <w:rStyle w:val="Hyperlink"/>
                  <w:rFonts w:ascii="Arial" w:hAnsi="Arial" w:cs="Arial"/>
                  <w:noProof/>
                  <w:sz w:val="24"/>
                  <w:szCs w:val="24"/>
                </w:rPr>
                <w:t>4.1</w:t>
              </w:r>
              <w:r w:rsidRPr="009A7DFB">
                <w:rPr>
                  <w:rFonts w:ascii="Arial" w:hAnsi="Arial" w:cs="Arial"/>
                  <w:noProof/>
                  <w:sz w:val="24"/>
                  <w:szCs w:val="24"/>
                  <w:lang w:eastAsia="en-AU"/>
                </w:rPr>
                <w:tab/>
              </w:r>
              <w:r w:rsidRPr="009A7DFB">
                <w:rPr>
                  <w:rStyle w:val="Hyperlink"/>
                  <w:rFonts w:ascii="Arial" w:hAnsi="Arial" w:cs="Arial"/>
                  <w:noProof/>
                  <w:sz w:val="24"/>
                  <w:szCs w:val="24"/>
                </w:rPr>
                <w:t>Departmental outputs</w:t>
              </w:r>
              <w:r w:rsidRPr="009A7DFB">
                <w:rPr>
                  <w:rFonts w:ascii="Arial" w:hAnsi="Arial" w:cs="Arial"/>
                  <w:noProof/>
                  <w:sz w:val="24"/>
                  <w:szCs w:val="24"/>
                </w:rPr>
                <w:tab/>
              </w:r>
              <w:r w:rsidRPr="009A7DFB">
                <w:rPr>
                  <w:rFonts w:ascii="Arial" w:hAnsi="Arial" w:cs="Arial"/>
                  <w:noProof/>
                  <w:sz w:val="24"/>
                  <w:szCs w:val="24"/>
                </w:rPr>
                <w:fldChar w:fldCharType="begin"/>
              </w:r>
              <w:r w:rsidRPr="009A7DFB">
                <w:rPr>
                  <w:rFonts w:ascii="Arial" w:hAnsi="Arial" w:cs="Arial"/>
                  <w:noProof/>
                  <w:sz w:val="24"/>
                  <w:szCs w:val="24"/>
                </w:rPr>
                <w:instrText xml:space="preserve"> PAGEREF _Toc53420659 \h </w:instrText>
              </w:r>
              <w:r w:rsidRPr="009A7DFB">
                <w:rPr>
                  <w:rFonts w:ascii="Arial" w:hAnsi="Arial" w:cs="Arial"/>
                  <w:noProof/>
                  <w:sz w:val="24"/>
                  <w:szCs w:val="24"/>
                </w:rPr>
              </w:r>
              <w:r w:rsidRPr="009A7DFB">
                <w:rPr>
                  <w:rFonts w:ascii="Arial" w:hAnsi="Arial" w:cs="Arial"/>
                  <w:noProof/>
                  <w:sz w:val="24"/>
                  <w:szCs w:val="24"/>
                </w:rPr>
                <w:fldChar w:fldCharType="separate"/>
              </w:r>
              <w:r w:rsidR="00512392">
                <w:rPr>
                  <w:rFonts w:ascii="Arial" w:hAnsi="Arial" w:cs="Arial"/>
                  <w:noProof/>
                  <w:sz w:val="24"/>
                  <w:szCs w:val="24"/>
                </w:rPr>
                <w:t>102</w:t>
              </w:r>
              <w:r w:rsidRPr="009A7DFB">
                <w:rPr>
                  <w:rFonts w:ascii="Arial" w:hAnsi="Arial" w:cs="Arial"/>
                  <w:noProof/>
                  <w:sz w:val="24"/>
                  <w:szCs w:val="24"/>
                </w:rPr>
                <w:fldChar w:fldCharType="end"/>
              </w:r>
            </w:hyperlink>
          </w:p>
          <w:p w14:paraId="5792FD5B" w14:textId="1A84B8AB"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60" w:history="1">
              <w:r w:rsidR="00EB4288" w:rsidRPr="009A7DFB">
                <w:rPr>
                  <w:rStyle w:val="Hyperlink"/>
                  <w:rFonts w:ascii="Arial" w:hAnsi="Arial" w:cs="Arial"/>
                  <w:noProof/>
                  <w:sz w:val="24"/>
                  <w:szCs w:val="24"/>
                </w:rPr>
                <w:t>4.2</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Administered items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_Toc53420660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512392">
                <w:rPr>
                  <w:rFonts w:ascii="Arial" w:hAnsi="Arial" w:cs="Arial"/>
                  <w:noProof/>
                  <w:sz w:val="24"/>
                  <w:szCs w:val="24"/>
                </w:rPr>
                <w:t>120</w:t>
              </w:r>
              <w:r w:rsidR="00EB4288" w:rsidRPr="009A7DFB">
                <w:rPr>
                  <w:rFonts w:ascii="Arial" w:hAnsi="Arial" w:cs="Arial"/>
                  <w:noProof/>
                  <w:sz w:val="24"/>
                  <w:szCs w:val="24"/>
                </w:rPr>
                <w:fldChar w:fldCharType="end"/>
              </w:r>
            </w:hyperlink>
          </w:p>
          <w:p w14:paraId="3D0E5FAE" w14:textId="194A09CA"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61" w:history="1">
              <w:r w:rsidR="00EB4288" w:rsidRPr="009A7DFB">
                <w:rPr>
                  <w:rStyle w:val="Hyperlink"/>
                  <w:rFonts w:ascii="Arial" w:hAnsi="Arial" w:cs="Arial"/>
                  <w:noProof/>
                  <w:sz w:val="24"/>
                  <w:szCs w:val="24"/>
                </w:rPr>
                <w:t>4.3</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Restructuring of administrative arrangements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_Toc53420661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512392">
                <w:rPr>
                  <w:rFonts w:ascii="Arial" w:hAnsi="Arial" w:cs="Arial"/>
                  <w:noProof/>
                  <w:sz w:val="24"/>
                  <w:szCs w:val="24"/>
                </w:rPr>
                <w:t>133</w:t>
              </w:r>
              <w:r w:rsidR="00EB4288" w:rsidRPr="009A7DFB">
                <w:rPr>
                  <w:rFonts w:ascii="Arial" w:hAnsi="Arial" w:cs="Arial"/>
                  <w:noProof/>
                  <w:sz w:val="24"/>
                  <w:szCs w:val="24"/>
                </w:rPr>
                <w:fldChar w:fldCharType="end"/>
              </w:r>
            </w:hyperlink>
          </w:p>
          <w:p w14:paraId="6B7964F5" w14:textId="77777777" w:rsidR="00EB4288" w:rsidRPr="009A7DFB" w:rsidRDefault="00EB4288" w:rsidP="00EB4288">
            <w:pPr>
              <w:pStyle w:val="TOC2"/>
              <w:framePr w:hSpace="0" w:wrap="auto" w:vAnchor="margin" w:xAlign="left" w:yAlign="inline"/>
              <w:suppressOverlap w:val="0"/>
              <w:rPr>
                <w:rFonts w:ascii="Arial" w:hAnsi="Arial" w:cs="Arial"/>
                <w:sz w:val="24"/>
                <w:szCs w:val="24"/>
              </w:rPr>
            </w:pPr>
            <w:r w:rsidRPr="009A7DFB">
              <w:rPr>
                <w:rFonts w:ascii="Arial" w:hAnsi="Arial" w:cs="Arial"/>
                <w:sz w:val="24"/>
                <w:szCs w:val="24"/>
              </w:rPr>
              <w:fldChar w:fldCharType="end"/>
            </w:r>
          </w:p>
        </w:tc>
      </w:tr>
      <w:tr w:rsidR="00EB4288" w:rsidRPr="009A7DFB" w14:paraId="023E55A3"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5DB4F596" w14:textId="77777777" w:rsidR="00EB4288" w:rsidRPr="009A7DFB" w:rsidRDefault="00EB4288" w:rsidP="00EB4288">
            <w:pPr>
              <w:rPr>
                <w:rFonts w:ascii="Arial" w:hAnsi="Arial" w:cs="Arial"/>
                <w:b/>
                <w:sz w:val="24"/>
                <w:szCs w:val="24"/>
              </w:rPr>
            </w:pPr>
            <w:r w:rsidRPr="009A7DFB">
              <w:rPr>
                <w:rFonts w:ascii="Arial" w:hAnsi="Arial" w:cs="Arial"/>
                <w:b/>
                <w:sz w:val="24"/>
                <w:szCs w:val="24"/>
              </w:rPr>
              <w:lastRenderedPageBreak/>
              <w:t>5. KEY ASSETS AVAILABLE TO SUPPORT OUTPUT DELIVERY</w:t>
            </w:r>
          </w:p>
        </w:tc>
      </w:tr>
      <w:tr w:rsidR="00EB4288" w:rsidRPr="009A7DFB" w14:paraId="724FA612"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2A49F52E" w14:textId="77777777" w:rsidR="00EB4288" w:rsidRPr="009A7DFB" w:rsidRDefault="00EB4288" w:rsidP="00EB4288">
            <w:pPr>
              <w:rPr>
                <w:rFonts w:ascii="Arial" w:hAnsi="Arial" w:cs="Arial"/>
                <w:i/>
                <w:sz w:val="24"/>
                <w:szCs w:val="24"/>
              </w:rPr>
            </w:pPr>
            <w:r w:rsidRPr="009A7DFB">
              <w:rPr>
                <w:rFonts w:ascii="Arial" w:hAnsi="Arial" w:cs="Arial"/>
                <w:i/>
                <w:sz w:val="24"/>
                <w:szCs w:val="24"/>
              </w:rPr>
              <w:t xml:space="preserve">Land, property, infrastructure, plant, equipment and vehicles and intangible assets </w:t>
            </w:r>
          </w:p>
        </w:tc>
      </w:tr>
      <w:tr w:rsidR="00EB4288" w:rsidRPr="009A7DFB" w14:paraId="1A84D72F"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2C8B68E8" w14:textId="7F0CED79" w:rsidR="00EB4288" w:rsidRPr="009A7DFB" w:rsidRDefault="00EB4288" w:rsidP="00EB4288">
            <w:pPr>
              <w:pStyle w:val="TOC2"/>
              <w:framePr w:hSpace="0" w:wrap="auto" w:vAnchor="margin" w:xAlign="left" w:yAlign="inline"/>
              <w:suppressOverlap w:val="0"/>
              <w:rPr>
                <w:rFonts w:ascii="Arial" w:hAnsi="Arial" w:cs="Arial"/>
                <w:noProof/>
                <w:sz w:val="24"/>
                <w:szCs w:val="24"/>
                <w:lang w:eastAsia="en-AU"/>
              </w:rPr>
            </w:pPr>
            <w:r w:rsidRPr="009A7DFB">
              <w:rPr>
                <w:rFonts w:ascii="Arial" w:hAnsi="Arial" w:cs="Arial"/>
                <w:sz w:val="24"/>
                <w:szCs w:val="24"/>
              </w:rPr>
              <w:fldChar w:fldCharType="begin"/>
            </w:r>
            <w:r w:rsidRPr="009A7DFB">
              <w:rPr>
                <w:rFonts w:ascii="Arial" w:hAnsi="Arial" w:cs="Arial"/>
                <w:sz w:val="24"/>
                <w:szCs w:val="24"/>
              </w:rPr>
              <w:instrText xml:space="preserve"> TOC \h\b SEC5 \o”2-2” \* MERGEFORMAT </w:instrText>
            </w:r>
            <w:r w:rsidRPr="009A7DFB">
              <w:rPr>
                <w:rFonts w:ascii="Arial" w:hAnsi="Arial" w:cs="Arial"/>
                <w:sz w:val="24"/>
                <w:szCs w:val="24"/>
              </w:rPr>
              <w:fldChar w:fldCharType="separate"/>
            </w:r>
            <w:hyperlink w:anchor="_Toc53420666" w:history="1">
              <w:r w:rsidRPr="009A7DFB">
                <w:rPr>
                  <w:rStyle w:val="Hyperlink"/>
                  <w:rFonts w:ascii="Arial" w:hAnsi="Arial" w:cs="Arial"/>
                  <w:noProof/>
                  <w:sz w:val="24"/>
                  <w:szCs w:val="24"/>
                  <w:lang w:eastAsia="en-AU"/>
                </w:rPr>
                <w:t>5.1</w:t>
              </w:r>
              <w:r w:rsidRPr="009A7DFB">
                <w:rPr>
                  <w:rFonts w:ascii="Arial" w:hAnsi="Arial" w:cs="Arial"/>
                  <w:noProof/>
                  <w:sz w:val="24"/>
                  <w:szCs w:val="24"/>
                  <w:lang w:eastAsia="en-AU"/>
                </w:rPr>
                <w:tab/>
              </w:r>
              <w:r w:rsidRPr="009A7DFB">
                <w:rPr>
                  <w:rStyle w:val="Hyperlink"/>
                  <w:rFonts w:ascii="Arial" w:hAnsi="Arial" w:cs="Arial"/>
                  <w:noProof/>
                  <w:sz w:val="24"/>
                  <w:szCs w:val="24"/>
                </w:rPr>
                <w:t>Property, plant and equipment</w:t>
              </w:r>
              <w:r w:rsidRPr="009A7DFB">
                <w:rPr>
                  <w:rFonts w:ascii="Arial" w:hAnsi="Arial" w:cs="Arial"/>
                  <w:noProof/>
                  <w:sz w:val="24"/>
                  <w:szCs w:val="24"/>
                </w:rPr>
                <w:tab/>
              </w:r>
              <w:r w:rsidRPr="009A7DFB">
                <w:rPr>
                  <w:rFonts w:ascii="Arial" w:hAnsi="Arial" w:cs="Arial"/>
                  <w:noProof/>
                  <w:sz w:val="24"/>
                  <w:szCs w:val="24"/>
                </w:rPr>
                <w:fldChar w:fldCharType="begin"/>
              </w:r>
              <w:r w:rsidRPr="009A7DFB">
                <w:rPr>
                  <w:rFonts w:ascii="Arial" w:hAnsi="Arial" w:cs="Arial"/>
                  <w:noProof/>
                  <w:sz w:val="24"/>
                  <w:szCs w:val="24"/>
                </w:rPr>
                <w:instrText xml:space="preserve"> PAGEREF _Toc53420666 \h </w:instrText>
              </w:r>
              <w:r w:rsidRPr="009A7DFB">
                <w:rPr>
                  <w:rFonts w:ascii="Arial" w:hAnsi="Arial" w:cs="Arial"/>
                  <w:noProof/>
                  <w:sz w:val="24"/>
                  <w:szCs w:val="24"/>
                </w:rPr>
              </w:r>
              <w:r w:rsidRPr="009A7DFB">
                <w:rPr>
                  <w:rFonts w:ascii="Arial" w:hAnsi="Arial" w:cs="Arial"/>
                  <w:noProof/>
                  <w:sz w:val="24"/>
                  <w:szCs w:val="24"/>
                </w:rPr>
                <w:fldChar w:fldCharType="separate"/>
              </w:r>
              <w:r w:rsidR="00512392">
                <w:rPr>
                  <w:rFonts w:ascii="Arial" w:hAnsi="Arial" w:cs="Arial"/>
                  <w:noProof/>
                  <w:sz w:val="24"/>
                  <w:szCs w:val="24"/>
                </w:rPr>
                <w:t>135</w:t>
              </w:r>
              <w:r w:rsidRPr="009A7DFB">
                <w:rPr>
                  <w:rFonts w:ascii="Arial" w:hAnsi="Arial" w:cs="Arial"/>
                  <w:noProof/>
                  <w:sz w:val="24"/>
                  <w:szCs w:val="24"/>
                </w:rPr>
                <w:fldChar w:fldCharType="end"/>
              </w:r>
            </w:hyperlink>
          </w:p>
          <w:p w14:paraId="7B445C3A" w14:textId="5EE3662C"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67" w:history="1">
              <w:r w:rsidR="00EB4288" w:rsidRPr="009A7DFB">
                <w:rPr>
                  <w:rStyle w:val="Hyperlink"/>
                  <w:rFonts w:ascii="Arial" w:hAnsi="Arial" w:cs="Arial"/>
                  <w:noProof/>
                  <w:sz w:val="24"/>
                  <w:szCs w:val="24"/>
                </w:rPr>
                <w:t>5.2</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Intangible assets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_Toc53420667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512392">
                <w:rPr>
                  <w:rFonts w:ascii="Arial" w:hAnsi="Arial" w:cs="Arial"/>
                  <w:noProof/>
                  <w:sz w:val="24"/>
                  <w:szCs w:val="24"/>
                </w:rPr>
                <w:t>164</w:t>
              </w:r>
              <w:r w:rsidR="00EB4288" w:rsidRPr="009A7DFB">
                <w:rPr>
                  <w:rFonts w:ascii="Arial" w:hAnsi="Arial" w:cs="Arial"/>
                  <w:noProof/>
                  <w:sz w:val="24"/>
                  <w:szCs w:val="24"/>
                </w:rPr>
                <w:fldChar w:fldCharType="end"/>
              </w:r>
            </w:hyperlink>
          </w:p>
          <w:p w14:paraId="08931602" w14:textId="0E2739C7"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68" w:history="1">
              <w:r w:rsidR="00EB4288" w:rsidRPr="009A7DFB">
                <w:rPr>
                  <w:rStyle w:val="Hyperlink"/>
                  <w:rFonts w:ascii="Arial" w:hAnsi="Arial" w:cs="Arial"/>
                  <w:noProof/>
                  <w:sz w:val="24"/>
                  <w:szCs w:val="24"/>
                </w:rPr>
                <w:t>5.3</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Joint operations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_Toc53420668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512392">
                <w:rPr>
                  <w:rFonts w:ascii="Arial" w:hAnsi="Arial" w:cs="Arial"/>
                  <w:noProof/>
                  <w:sz w:val="24"/>
                  <w:szCs w:val="24"/>
                </w:rPr>
                <w:t>166</w:t>
              </w:r>
              <w:r w:rsidR="00EB4288" w:rsidRPr="009A7DFB">
                <w:rPr>
                  <w:rFonts w:ascii="Arial" w:hAnsi="Arial" w:cs="Arial"/>
                  <w:noProof/>
                  <w:sz w:val="24"/>
                  <w:szCs w:val="24"/>
                </w:rPr>
                <w:fldChar w:fldCharType="end"/>
              </w:r>
            </w:hyperlink>
          </w:p>
          <w:p w14:paraId="0DC004CD" w14:textId="77777777" w:rsidR="00EB4288" w:rsidRPr="009A7DFB" w:rsidRDefault="00EB4288" w:rsidP="00EB4288">
            <w:pPr>
              <w:pStyle w:val="TOC2"/>
              <w:framePr w:hSpace="0" w:wrap="auto" w:vAnchor="margin" w:xAlign="left" w:yAlign="inline"/>
              <w:suppressOverlap w:val="0"/>
              <w:rPr>
                <w:rFonts w:ascii="Arial" w:hAnsi="Arial" w:cs="Arial"/>
                <w:sz w:val="24"/>
                <w:szCs w:val="24"/>
              </w:rPr>
            </w:pPr>
            <w:r w:rsidRPr="009A7DFB">
              <w:rPr>
                <w:rFonts w:ascii="Arial" w:hAnsi="Arial" w:cs="Arial"/>
                <w:sz w:val="24"/>
                <w:szCs w:val="24"/>
              </w:rPr>
              <w:fldChar w:fldCharType="end"/>
            </w:r>
          </w:p>
        </w:tc>
      </w:tr>
      <w:tr w:rsidR="00EB4288" w:rsidRPr="009A7DFB" w14:paraId="2123CBA0"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309D6476" w14:textId="77777777" w:rsidR="00EB4288" w:rsidRPr="009A7DFB" w:rsidRDefault="00EB4288" w:rsidP="00EB4288">
            <w:pPr>
              <w:rPr>
                <w:rFonts w:ascii="Arial" w:hAnsi="Arial" w:cs="Arial"/>
                <w:b/>
                <w:sz w:val="24"/>
                <w:szCs w:val="24"/>
              </w:rPr>
            </w:pPr>
            <w:r w:rsidRPr="009A7DFB">
              <w:rPr>
                <w:rFonts w:ascii="Arial" w:hAnsi="Arial" w:cs="Arial"/>
                <w:b/>
                <w:sz w:val="24"/>
                <w:szCs w:val="24"/>
              </w:rPr>
              <w:t>6. OTHER ASSETS AND LIABILITIES</w:t>
            </w:r>
          </w:p>
        </w:tc>
      </w:tr>
      <w:tr w:rsidR="00EB4288" w:rsidRPr="009A7DFB" w14:paraId="758584FA"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524328EA" w14:textId="77777777" w:rsidR="00EB4288" w:rsidRPr="009A7DFB" w:rsidRDefault="00EB4288" w:rsidP="00EB4288">
            <w:pPr>
              <w:rPr>
                <w:rFonts w:ascii="Arial" w:hAnsi="Arial" w:cs="Arial"/>
                <w:i/>
                <w:sz w:val="24"/>
                <w:szCs w:val="24"/>
              </w:rPr>
            </w:pPr>
            <w:r w:rsidRPr="009A7DFB">
              <w:rPr>
                <w:rFonts w:ascii="Arial" w:hAnsi="Arial" w:cs="Arial"/>
                <w:i/>
                <w:sz w:val="24"/>
                <w:szCs w:val="24"/>
              </w:rPr>
              <w:t>Working capital balances and other key assets and liabilities</w:t>
            </w:r>
          </w:p>
        </w:tc>
      </w:tr>
      <w:tr w:rsidR="00EB4288" w:rsidRPr="009A7DFB" w14:paraId="4EA50799"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4CDD07CB" w14:textId="1A795B98" w:rsidR="00EB4288" w:rsidRPr="009A7DFB" w:rsidRDefault="00EB4288" w:rsidP="00EB4288">
            <w:pPr>
              <w:pStyle w:val="TOC2"/>
              <w:framePr w:hSpace="0" w:wrap="auto" w:vAnchor="margin" w:xAlign="left" w:yAlign="inline"/>
              <w:suppressOverlap w:val="0"/>
              <w:rPr>
                <w:rFonts w:ascii="Arial" w:hAnsi="Arial" w:cs="Arial"/>
                <w:noProof/>
                <w:sz w:val="24"/>
                <w:szCs w:val="24"/>
                <w:lang w:eastAsia="en-AU"/>
              </w:rPr>
            </w:pPr>
            <w:r w:rsidRPr="009A7DFB">
              <w:rPr>
                <w:rFonts w:ascii="Arial" w:hAnsi="Arial" w:cs="Arial"/>
                <w:sz w:val="24"/>
                <w:szCs w:val="24"/>
              </w:rPr>
              <w:fldChar w:fldCharType="begin"/>
            </w:r>
            <w:r w:rsidRPr="009A7DFB">
              <w:rPr>
                <w:rFonts w:ascii="Arial" w:hAnsi="Arial" w:cs="Arial"/>
                <w:sz w:val="24"/>
                <w:szCs w:val="24"/>
              </w:rPr>
              <w:instrText xml:space="preserve"> TOC \h\b SEC6 \o”2-2” \* MERGEFORMAT </w:instrText>
            </w:r>
            <w:r w:rsidRPr="009A7DFB">
              <w:rPr>
                <w:rFonts w:ascii="Arial" w:hAnsi="Arial" w:cs="Arial"/>
                <w:sz w:val="24"/>
                <w:szCs w:val="24"/>
              </w:rPr>
              <w:fldChar w:fldCharType="separate"/>
            </w:r>
            <w:hyperlink w:anchor="_Toc53420672" w:history="1">
              <w:r w:rsidRPr="009A7DFB">
                <w:rPr>
                  <w:rStyle w:val="Hyperlink"/>
                  <w:rFonts w:ascii="Arial" w:hAnsi="Arial" w:cs="Arial"/>
                  <w:noProof/>
                  <w:sz w:val="24"/>
                  <w:szCs w:val="24"/>
                </w:rPr>
                <w:t>6.1</w:t>
              </w:r>
              <w:r w:rsidRPr="009A7DFB">
                <w:rPr>
                  <w:rFonts w:ascii="Arial" w:hAnsi="Arial" w:cs="Arial"/>
                  <w:noProof/>
                  <w:sz w:val="24"/>
                  <w:szCs w:val="24"/>
                  <w:lang w:eastAsia="en-AU"/>
                </w:rPr>
                <w:tab/>
              </w:r>
              <w:r w:rsidRPr="009A7DFB">
                <w:rPr>
                  <w:rStyle w:val="Hyperlink"/>
                  <w:rFonts w:ascii="Arial" w:hAnsi="Arial" w:cs="Arial"/>
                  <w:noProof/>
                  <w:sz w:val="24"/>
                  <w:szCs w:val="24"/>
                </w:rPr>
                <w:t>Receivables</w:t>
              </w:r>
              <w:r w:rsidRPr="009A7DFB">
                <w:rPr>
                  <w:rFonts w:ascii="Arial" w:hAnsi="Arial" w:cs="Arial"/>
                  <w:noProof/>
                  <w:sz w:val="24"/>
                  <w:szCs w:val="24"/>
                </w:rPr>
                <w:tab/>
              </w:r>
              <w:r w:rsidRPr="009A7DFB">
                <w:rPr>
                  <w:rFonts w:ascii="Arial" w:hAnsi="Arial" w:cs="Arial"/>
                  <w:noProof/>
                  <w:sz w:val="24"/>
                  <w:szCs w:val="24"/>
                </w:rPr>
                <w:fldChar w:fldCharType="begin"/>
              </w:r>
              <w:r w:rsidRPr="009A7DFB">
                <w:rPr>
                  <w:rFonts w:ascii="Arial" w:hAnsi="Arial" w:cs="Arial"/>
                  <w:noProof/>
                  <w:sz w:val="24"/>
                  <w:szCs w:val="24"/>
                </w:rPr>
                <w:instrText xml:space="preserve"> PAGEREF _Toc53420672 \h </w:instrText>
              </w:r>
              <w:r w:rsidRPr="009A7DFB">
                <w:rPr>
                  <w:rFonts w:ascii="Arial" w:hAnsi="Arial" w:cs="Arial"/>
                  <w:noProof/>
                  <w:sz w:val="24"/>
                  <w:szCs w:val="24"/>
                </w:rPr>
              </w:r>
              <w:r w:rsidRPr="009A7DFB">
                <w:rPr>
                  <w:rFonts w:ascii="Arial" w:hAnsi="Arial" w:cs="Arial"/>
                  <w:noProof/>
                  <w:sz w:val="24"/>
                  <w:szCs w:val="24"/>
                </w:rPr>
                <w:fldChar w:fldCharType="separate"/>
              </w:r>
              <w:r w:rsidR="00512392">
                <w:rPr>
                  <w:rFonts w:ascii="Arial" w:hAnsi="Arial" w:cs="Arial"/>
                  <w:noProof/>
                  <w:sz w:val="24"/>
                  <w:szCs w:val="24"/>
                </w:rPr>
                <w:t>167</w:t>
              </w:r>
              <w:r w:rsidRPr="009A7DFB">
                <w:rPr>
                  <w:rFonts w:ascii="Arial" w:hAnsi="Arial" w:cs="Arial"/>
                  <w:noProof/>
                  <w:sz w:val="24"/>
                  <w:szCs w:val="24"/>
                </w:rPr>
                <w:fldChar w:fldCharType="end"/>
              </w:r>
            </w:hyperlink>
          </w:p>
          <w:p w14:paraId="5680D2E8" w14:textId="7BA8A3D4"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74" w:history="1">
              <w:r w:rsidR="00EB4288" w:rsidRPr="009A7DFB">
                <w:rPr>
                  <w:rStyle w:val="Hyperlink"/>
                  <w:rFonts w:ascii="Arial" w:hAnsi="Arial" w:cs="Arial"/>
                  <w:noProof/>
                  <w:sz w:val="24"/>
                  <w:szCs w:val="24"/>
                </w:rPr>
                <w:t>6.2</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Payables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_Toc53420674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512392">
                <w:rPr>
                  <w:rFonts w:ascii="Arial" w:hAnsi="Arial" w:cs="Arial"/>
                  <w:noProof/>
                  <w:sz w:val="24"/>
                  <w:szCs w:val="24"/>
                </w:rPr>
                <w:t>170</w:t>
              </w:r>
              <w:r w:rsidR="00EB4288" w:rsidRPr="009A7DFB">
                <w:rPr>
                  <w:rFonts w:ascii="Arial" w:hAnsi="Arial" w:cs="Arial"/>
                  <w:noProof/>
                  <w:sz w:val="24"/>
                  <w:szCs w:val="24"/>
                </w:rPr>
                <w:fldChar w:fldCharType="end"/>
              </w:r>
            </w:hyperlink>
          </w:p>
          <w:p w14:paraId="2727F828" w14:textId="0A7C48BE"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75" w:history="1">
              <w:r w:rsidR="00EB4288" w:rsidRPr="009A7DFB">
                <w:rPr>
                  <w:rStyle w:val="Hyperlink"/>
                  <w:rFonts w:ascii="Arial" w:hAnsi="Arial" w:cs="Arial"/>
                  <w:noProof/>
                  <w:sz w:val="24"/>
                  <w:szCs w:val="24"/>
                </w:rPr>
                <w:t>6.3</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Other non-financial assets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_Toc53420675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512392">
                <w:rPr>
                  <w:rFonts w:ascii="Arial" w:hAnsi="Arial" w:cs="Arial"/>
                  <w:noProof/>
                  <w:sz w:val="24"/>
                  <w:szCs w:val="24"/>
                </w:rPr>
                <w:t>175</w:t>
              </w:r>
              <w:r w:rsidR="00EB4288" w:rsidRPr="009A7DFB">
                <w:rPr>
                  <w:rFonts w:ascii="Arial" w:hAnsi="Arial" w:cs="Arial"/>
                  <w:noProof/>
                  <w:sz w:val="24"/>
                  <w:szCs w:val="24"/>
                </w:rPr>
                <w:fldChar w:fldCharType="end"/>
              </w:r>
            </w:hyperlink>
          </w:p>
          <w:p w14:paraId="4367E342" w14:textId="6D234BC7"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76" w:history="1">
              <w:r w:rsidR="00EB4288" w:rsidRPr="009A7DFB">
                <w:rPr>
                  <w:rStyle w:val="Hyperlink"/>
                  <w:rFonts w:ascii="Arial" w:hAnsi="Arial" w:cs="Arial"/>
                  <w:noProof/>
                  <w:sz w:val="24"/>
                  <w:szCs w:val="24"/>
                </w:rPr>
                <w:t>6.4</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Other provisions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_Toc53420676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512392">
                <w:rPr>
                  <w:rFonts w:ascii="Arial" w:hAnsi="Arial" w:cs="Arial"/>
                  <w:noProof/>
                  <w:sz w:val="24"/>
                  <w:szCs w:val="24"/>
                </w:rPr>
                <w:t>176</w:t>
              </w:r>
              <w:r w:rsidR="00EB4288" w:rsidRPr="009A7DFB">
                <w:rPr>
                  <w:rFonts w:ascii="Arial" w:hAnsi="Arial" w:cs="Arial"/>
                  <w:noProof/>
                  <w:sz w:val="24"/>
                  <w:szCs w:val="24"/>
                </w:rPr>
                <w:fldChar w:fldCharType="end"/>
              </w:r>
            </w:hyperlink>
          </w:p>
          <w:p w14:paraId="038634D2" w14:textId="77777777" w:rsidR="00EB4288" w:rsidRPr="009A7DFB" w:rsidRDefault="00EB4288" w:rsidP="00EB4288">
            <w:pPr>
              <w:pStyle w:val="TOC2"/>
              <w:framePr w:hSpace="0" w:wrap="auto" w:vAnchor="margin" w:xAlign="left" w:yAlign="inline"/>
              <w:suppressOverlap w:val="0"/>
              <w:rPr>
                <w:rFonts w:ascii="Arial" w:hAnsi="Arial" w:cs="Arial"/>
                <w:sz w:val="24"/>
                <w:szCs w:val="24"/>
              </w:rPr>
            </w:pPr>
            <w:r w:rsidRPr="009A7DFB">
              <w:rPr>
                <w:rFonts w:ascii="Arial" w:hAnsi="Arial" w:cs="Arial"/>
                <w:sz w:val="24"/>
                <w:szCs w:val="24"/>
              </w:rPr>
              <w:fldChar w:fldCharType="end"/>
            </w:r>
          </w:p>
        </w:tc>
      </w:tr>
      <w:tr w:rsidR="00EB4288" w:rsidRPr="009A7DFB" w14:paraId="1AC58454"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15528BAF" w14:textId="77777777" w:rsidR="00EB4288" w:rsidRPr="009A7DFB" w:rsidRDefault="00EB4288" w:rsidP="00EB4288">
            <w:pPr>
              <w:keepLines/>
              <w:rPr>
                <w:rFonts w:ascii="Arial" w:hAnsi="Arial" w:cs="Arial"/>
                <w:b/>
                <w:sz w:val="24"/>
                <w:szCs w:val="24"/>
              </w:rPr>
            </w:pPr>
            <w:r w:rsidRPr="009A7DFB">
              <w:rPr>
                <w:rFonts w:ascii="Arial" w:hAnsi="Arial" w:cs="Arial"/>
                <w:b/>
                <w:sz w:val="24"/>
                <w:szCs w:val="24"/>
              </w:rPr>
              <w:t>7. FINANCING OUR OPERATIONS</w:t>
            </w:r>
          </w:p>
        </w:tc>
      </w:tr>
      <w:tr w:rsidR="00EB4288" w:rsidRPr="009A7DFB" w14:paraId="6FBF018C"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0B6D00A9" w14:textId="77777777" w:rsidR="00EB4288" w:rsidRPr="009A7DFB" w:rsidRDefault="00EB4288" w:rsidP="00EB4288">
            <w:pPr>
              <w:keepLines/>
              <w:rPr>
                <w:rFonts w:ascii="Arial" w:hAnsi="Arial" w:cs="Arial"/>
                <w:i/>
                <w:sz w:val="24"/>
                <w:szCs w:val="24"/>
              </w:rPr>
            </w:pPr>
            <w:r w:rsidRPr="009A7DFB">
              <w:rPr>
                <w:rFonts w:ascii="Arial" w:hAnsi="Arial" w:cs="Arial"/>
                <w:i/>
                <w:sz w:val="24"/>
                <w:szCs w:val="24"/>
              </w:rPr>
              <w:t>Borrowings, cash flow information, leases, trusts and commitments</w:t>
            </w:r>
          </w:p>
        </w:tc>
      </w:tr>
      <w:tr w:rsidR="00EB4288" w:rsidRPr="009A7DFB" w14:paraId="03794AE9"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00BD36CE" w14:textId="2E072F61" w:rsidR="00EB4288" w:rsidRPr="009A7DFB" w:rsidRDefault="00EB4288" w:rsidP="00EB4288">
            <w:pPr>
              <w:pStyle w:val="TOC2"/>
              <w:framePr w:hSpace="0" w:wrap="auto" w:vAnchor="margin" w:xAlign="left" w:yAlign="inline"/>
              <w:suppressOverlap w:val="0"/>
              <w:rPr>
                <w:rFonts w:ascii="Arial" w:hAnsi="Arial" w:cs="Arial"/>
                <w:noProof/>
                <w:sz w:val="24"/>
                <w:szCs w:val="24"/>
                <w:lang w:eastAsia="en-AU"/>
              </w:rPr>
            </w:pPr>
            <w:r w:rsidRPr="009A7DFB">
              <w:rPr>
                <w:rFonts w:ascii="Arial" w:hAnsi="Arial" w:cs="Arial"/>
                <w:sz w:val="24"/>
                <w:szCs w:val="24"/>
              </w:rPr>
              <w:fldChar w:fldCharType="begin"/>
            </w:r>
            <w:r w:rsidRPr="009A7DFB">
              <w:rPr>
                <w:rFonts w:ascii="Arial" w:hAnsi="Arial" w:cs="Arial"/>
                <w:sz w:val="24"/>
                <w:szCs w:val="24"/>
              </w:rPr>
              <w:instrText xml:space="preserve"> TOC \h\b SEC7 \o”2-2” \* MERGEFORMAT </w:instrText>
            </w:r>
            <w:r w:rsidRPr="009A7DFB">
              <w:rPr>
                <w:rFonts w:ascii="Arial" w:hAnsi="Arial" w:cs="Arial"/>
                <w:sz w:val="24"/>
                <w:szCs w:val="24"/>
              </w:rPr>
              <w:fldChar w:fldCharType="separate"/>
            </w:r>
            <w:hyperlink w:anchor="_Toc53420680" w:history="1">
              <w:r w:rsidRPr="009A7DFB">
                <w:rPr>
                  <w:rStyle w:val="Hyperlink"/>
                  <w:rFonts w:ascii="Arial" w:hAnsi="Arial" w:cs="Arial"/>
                  <w:noProof/>
                  <w:sz w:val="24"/>
                  <w:szCs w:val="24"/>
                </w:rPr>
                <w:t>7.1</w:t>
              </w:r>
              <w:r w:rsidRPr="009A7DFB">
                <w:rPr>
                  <w:rFonts w:ascii="Arial" w:hAnsi="Arial" w:cs="Arial"/>
                  <w:noProof/>
                  <w:sz w:val="24"/>
                  <w:szCs w:val="24"/>
                  <w:lang w:eastAsia="en-AU"/>
                </w:rPr>
                <w:tab/>
              </w:r>
              <w:r w:rsidRPr="009A7DFB">
                <w:rPr>
                  <w:rStyle w:val="Hyperlink"/>
                  <w:rFonts w:ascii="Arial" w:hAnsi="Arial" w:cs="Arial"/>
                  <w:noProof/>
                  <w:sz w:val="24"/>
                  <w:szCs w:val="24"/>
                </w:rPr>
                <w:t>Borrowings</w:t>
              </w:r>
              <w:r w:rsidRPr="009A7DFB">
                <w:rPr>
                  <w:rFonts w:ascii="Arial" w:hAnsi="Arial" w:cs="Arial"/>
                  <w:noProof/>
                  <w:sz w:val="24"/>
                  <w:szCs w:val="24"/>
                </w:rPr>
                <w:tab/>
              </w:r>
              <w:r w:rsidRPr="009A7DFB">
                <w:rPr>
                  <w:rFonts w:ascii="Arial" w:hAnsi="Arial" w:cs="Arial"/>
                  <w:noProof/>
                  <w:sz w:val="24"/>
                  <w:szCs w:val="24"/>
                </w:rPr>
                <w:fldChar w:fldCharType="begin"/>
              </w:r>
              <w:r w:rsidRPr="009A7DFB">
                <w:rPr>
                  <w:rFonts w:ascii="Arial" w:hAnsi="Arial" w:cs="Arial"/>
                  <w:noProof/>
                  <w:sz w:val="24"/>
                  <w:szCs w:val="24"/>
                </w:rPr>
                <w:instrText xml:space="preserve"> PAGEREF _Toc53420680 \h </w:instrText>
              </w:r>
              <w:r w:rsidRPr="009A7DFB">
                <w:rPr>
                  <w:rFonts w:ascii="Arial" w:hAnsi="Arial" w:cs="Arial"/>
                  <w:noProof/>
                  <w:sz w:val="24"/>
                  <w:szCs w:val="24"/>
                </w:rPr>
              </w:r>
              <w:r w:rsidRPr="009A7DFB">
                <w:rPr>
                  <w:rFonts w:ascii="Arial" w:hAnsi="Arial" w:cs="Arial"/>
                  <w:noProof/>
                  <w:sz w:val="24"/>
                  <w:szCs w:val="24"/>
                </w:rPr>
                <w:fldChar w:fldCharType="separate"/>
              </w:r>
              <w:r w:rsidR="00512392">
                <w:rPr>
                  <w:rFonts w:ascii="Arial" w:hAnsi="Arial" w:cs="Arial"/>
                  <w:noProof/>
                  <w:sz w:val="24"/>
                  <w:szCs w:val="24"/>
                </w:rPr>
                <w:t>179</w:t>
              </w:r>
              <w:r w:rsidRPr="009A7DFB">
                <w:rPr>
                  <w:rFonts w:ascii="Arial" w:hAnsi="Arial" w:cs="Arial"/>
                  <w:noProof/>
                  <w:sz w:val="24"/>
                  <w:szCs w:val="24"/>
                </w:rPr>
                <w:fldChar w:fldCharType="end"/>
              </w:r>
            </w:hyperlink>
          </w:p>
          <w:p w14:paraId="75EC376D" w14:textId="32FD2850"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81" w:history="1">
              <w:r w:rsidR="00EB4288" w:rsidRPr="009A7DFB">
                <w:rPr>
                  <w:rStyle w:val="Hyperlink"/>
                  <w:rFonts w:ascii="Arial" w:hAnsi="Arial" w:cs="Arial"/>
                  <w:noProof/>
                  <w:sz w:val="24"/>
                  <w:szCs w:val="24"/>
                </w:rPr>
                <w:t>7.2</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Leases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_Toc53420681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512392">
                <w:rPr>
                  <w:rFonts w:ascii="Arial" w:hAnsi="Arial" w:cs="Arial"/>
                  <w:noProof/>
                  <w:sz w:val="24"/>
                  <w:szCs w:val="24"/>
                </w:rPr>
                <w:t>185</w:t>
              </w:r>
              <w:r w:rsidR="00EB4288" w:rsidRPr="009A7DFB">
                <w:rPr>
                  <w:rFonts w:ascii="Arial" w:hAnsi="Arial" w:cs="Arial"/>
                  <w:noProof/>
                  <w:sz w:val="24"/>
                  <w:szCs w:val="24"/>
                </w:rPr>
                <w:fldChar w:fldCharType="end"/>
              </w:r>
            </w:hyperlink>
          </w:p>
          <w:p w14:paraId="02175274" w14:textId="458926DF"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82" w:history="1">
              <w:r w:rsidR="00EB4288" w:rsidRPr="009A7DFB">
                <w:rPr>
                  <w:rStyle w:val="Hyperlink"/>
                  <w:rFonts w:ascii="Arial" w:hAnsi="Arial" w:cs="Arial"/>
                  <w:noProof/>
                  <w:sz w:val="24"/>
                  <w:szCs w:val="24"/>
                </w:rPr>
                <w:t>7.3</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Cash flow information and balances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_Toc53420682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512392">
                <w:rPr>
                  <w:rFonts w:ascii="Arial" w:hAnsi="Arial" w:cs="Arial"/>
                  <w:noProof/>
                  <w:sz w:val="24"/>
                  <w:szCs w:val="24"/>
                </w:rPr>
                <w:t>196</w:t>
              </w:r>
              <w:r w:rsidR="00EB4288" w:rsidRPr="009A7DFB">
                <w:rPr>
                  <w:rFonts w:ascii="Arial" w:hAnsi="Arial" w:cs="Arial"/>
                  <w:noProof/>
                  <w:sz w:val="24"/>
                  <w:szCs w:val="24"/>
                </w:rPr>
                <w:fldChar w:fldCharType="end"/>
              </w:r>
            </w:hyperlink>
          </w:p>
          <w:p w14:paraId="53C2E2EA" w14:textId="2C61E91F"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83" w:history="1">
              <w:r w:rsidR="00EB4288" w:rsidRPr="009A7DFB">
                <w:rPr>
                  <w:rStyle w:val="Hyperlink"/>
                  <w:rFonts w:ascii="Arial" w:hAnsi="Arial" w:cs="Arial"/>
                  <w:noProof/>
                  <w:sz w:val="24"/>
                  <w:szCs w:val="24"/>
                </w:rPr>
                <w:t>7.4</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Trust account balances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_Toc53420683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512392">
                <w:rPr>
                  <w:rFonts w:ascii="Arial" w:hAnsi="Arial" w:cs="Arial"/>
                  <w:noProof/>
                  <w:sz w:val="24"/>
                  <w:szCs w:val="24"/>
                </w:rPr>
                <w:t>199</w:t>
              </w:r>
              <w:r w:rsidR="00EB4288" w:rsidRPr="009A7DFB">
                <w:rPr>
                  <w:rFonts w:ascii="Arial" w:hAnsi="Arial" w:cs="Arial"/>
                  <w:noProof/>
                  <w:sz w:val="24"/>
                  <w:szCs w:val="24"/>
                </w:rPr>
                <w:fldChar w:fldCharType="end"/>
              </w:r>
            </w:hyperlink>
          </w:p>
          <w:p w14:paraId="7687FC61" w14:textId="592C439D"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84" w:history="1">
              <w:r w:rsidR="00EB4288" w:rsidRPr="009A7DFB">
                <w:rPr>
                  <w:rStyle w:val="Hyperlink"/>
                  <w:rFonts w:ascii="Arial" w:hAnsi="Arial" w:cs="Arial"/>
                  <w:noProof/>
                  <w:sz w:val="24"/>
                  <w:szCs w:val="24"/>
                </w:rPr>
                <w:t>7.5</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Commitments for expenditure</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_Toc53420684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512392">
                <w:rPr>
                  <w:rFonts w:ascii="Arial" w:hAnsi="Arial" w:cs="Arial"/>
                  <w:noProof/>
                  <w:sz w:val="24"/>
                  <w:szCs w:val="24"/>
                </w:rPr>
                <w:t>208</w:t>
              </w:r>
              <w:r w:rsidR="00EB4288" w:rsidRPr="009A7DFB">
                <w:rPr>
                  <w:rFonts w:ascii="Arial" w:hAnsi="Arial" w:cs="Arial"/>
                  <w:noProof/>
                  <w:sz w:val="24"/>
                  <w:szCs w:val="24"/>
                </w:rPr>
                <w:fldChar w:fldCharType="end"/>
              </w:r>
            </w:hyperlink>
          </w:p>
          <w:p w14:paraId="59EA101F" w14:textId="77777777" w:rsidR="00EB4288" w:rsidRPr="009A7DFB" w:rsidRDefault="00EB4288" w:rsidP="00EB4288">
            <w:pPr>
              <w:pStyle w:val="TOC2"/>
              <w:framePr w:hSpace="0" w:wrap="auto" w:vAnchor="margin" w:xAlign="left" w:yAlign="inline"/>
              <w:suppressOverlap w:val="0"/>
              <w:rPr>
                <w:rFonts w:ascii="Arial" w:hAnsi="Arial" w:cs="Arial"/>
                <w:sz w:val="24"/>
                <w:szCs w:val="24"/>
              </w:rPr>
            </w:pPr>
            <w:r w:rsidRPr="009A7DFB">
              <w:rPr>
                <w:rFonts w:ascii="Arial" w:hAnsi="Arial" w:cs="Arial"/>
                <w:sz w:val="24"/>
                <w:szCs w:val="24"/>
              </w:rPr>
              <w:fldChar w:fldCharType="end"/>
            </w:r>
          </w:p>
        </w:tc>
      </w:tr>
      <w:tr w:rsidR="00EB4288" w:rsidRPr="009A7DFB" w14:paraId="5F148BC0"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0678B06A" w14:textId="77777777" w:rsidR="00EB4288" w:rsidRPr="009A7DFB" w:rsidRDefault="00EB4288" w:rsidP="00EB4288">
            <w:pPr>
              <w:rPr>
                <w:rFonts w:ascii="Arial" w:hAnsi="Arial" w:cs="Arial"/>
                <w:b/>
                <w:sz w:val="24"/>
                <w:szCs w:val="24"/>
              </w:rPr>
            </w:pPr>
            <w:r w:rsidRPr="009A7DFB">
              <w:rPr>
                <w:rFonts w:ascii="Arial" w:hAnsi="Arial" w:cs="Arial"/>
                <w:b/>
                <w:sz w:val="24"/>
                <w:szCs w:val="24"/>
              </w:rPr>
              <w:t>8. RISKS, CONTINGENCIES AND VALUATION JUDGEMENTS</w:t>
            </w:r>
          </w:p>
        </w:tc>
      </w:tr>
      <w:tr w:rsidR="00EB4288" w:rsidRPr="009A7DFB" w14:paraId="76E8D922"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320EA551" w14:textId="77777777" w:rsidR="00EB4288" w:rsidRPr="009A7DFB" w:rsidRDefault="00EB4288" w:rsidP="00EB4288">
            <w:pPr>
              <w:rPr>
                <w:rFonts w:ascii="Arial" w:hAnsi="Arial" w:cs="Arial"/>
                <w:i/>
                <w:sz w:val="24"/>
                <w:szCs w:val="24"/>
              </w:rPr>
            </w:pPr>
            <w:r w:rsidRPr="009A7DFB">
              <w:rPr>
                <w:rFonts w:ascii="Arial" w:hAnsi="Arial" w:cs="Arial"/>
                <w:i/>
                <w:sz w:val="24"/>
                <w:szCs w:val="24"/>
              </w:rPr>
              <w:t>Financial risk management, contingent assets and liabilities as well as fair value determination</w:t>
            </w:r>
          </w:p>
        </w:tc>
      </w:tr>
      <w:tr w:rsidR="00EB4288" w:rsidRPr="009A7DFB" w14:paraId="6EA1E154"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49CB2F19" w14:textId="12B8298C" w:rsidR="00EB4288" w:rsidRPr="009A7DFB" w:rsidRDefault="00EB4288" w:rsidP="00EB4288">
            <w:pPr>
              <w:pStyle w:val="TOC2"/>
              <w:framePr w:hSpace="0" w:wrap="auto" w:vAnchor="margin" w:xAlign="left" w:yAlign="inline"/>
              <w:suppressOverlap w:val="0"/>
              <w:rPr>
                <w:rFonts w:ascii="Arial" w:hAnsi="Arial" w:cs="Arial"/>
                <w:noProof/>
                <w:sz w:val="24"/>
                <w:szCs w:val="24"/>
                <w:lang w:eastAsia="en-AU"/>
              </w:rPr>
            </w:pPr>
            <w:r w:rsidRPr="009A7DFB">
              <w:rPr>
                <w:rFonts w:ascii="Arial" w:hAnsi="Arial" w:cs="Arial"/>
                <w:sz w:val="24"/>
                <w:szCs w:val="24"/>
              </w:rPr>
              <w:fldChar w:fldCharType="begin"/>
            </w:r>
            <w:r w:rsidRPr="009A7DFB">
              <w:rPr>
                <w:rFonts w:ascii="Arial" w:hAnsi="Arial" w:cs="Arial"/>
                <w:sz w:val="24"/>
                <w:szCs w:val="24"/>
              </w:rPr>
              <w:instrText xml:space="preserve"> TOC \h\b SEC8 \o”2-2” \* MERGEFORMAT </w:instrText>
            </w:r>
            <w:r w:rsidRPr="009A7DFB">
              <w:rPr>
                <w:rFonts w:ascii="Arial" w:hAnsi="Arial" w:cs="Arial"/>
                <w:sz w:val="24"/>
                <w:szCs w:val="24"/>
              </w:rPr>
              <w:fldChar w:fldCharType="separate"/>
            </w:r>
            <w:hyperlink w:anchor="_Toc53420686" w:history="1">
              <w:r w:rsidRPr="009A7DFB">
                <w:rPr>
                  <w:rStyle w:val="Hyperlink"/>
                  <w:rFonts w:ascii="Arial" w:hAnsi="Arial" w:cs="Arial"/>
                  <w:noProof/>
                  <w:sz w:val="24"/>
                  <w:szCs w:val="24"/>
                </w:rPr>
                <w:t>8.1</w:t>
              </w:r>
              <w:r w:rsidRPr="009A7DFB">
                <w:rPr>
                  <w:rFonts w:ascii="Arial" w:hAnsi="Arial" w:cs="Arial"/>
                  <w:noProof/>
                  <w:sz w:val="24"/>
                  <w:szCs w:val="24"/>
                  <w:lang w:eastAsia="en-AU"/>
                </w:rPr>
                <w:tab/>
              </w:r>
              <w:r w:rsidRPr="009A7DFB">
                <w:rPr>
                  <w:rStyle w:val="Hyperlink"/>
                  <w:rFonts w:ascii="Arial" w:hAnsi="Arial" w:cs="Arial"/>
                  <w:noProof/>
                  <w:sz w:val="24"/>
                  <w:szCs w:val="24"/>
                </w:rPr>
                <w:t>Financial instruments specific disclosures</w:t>
              </w:r>
              <w:r w:rsidRPr="009A7DFB">
                <w:rPr>
                  <w:rFonts w:ascii="Arial" w:hAnsi="Arial" w:cs="Arial"/>
                  <w:noProof/>
                  <w:sz w:val="24"/>
                  <w:szCs w:val="24"/>
                </w:rPr>
                <w:tab/>
              </w:r>
              <w:r w:rsidRPr="009A7DFB">
                <w:rPr>
                  <w:rFonts w:ascii="Arial" w:hAnsi="Arial" w:cs="Arial"/>
                  <w:noProof/>
                  <w:sz w:val="24"/>
                  <w:szCs w:val="24"/>
                </w:rPr>
                <w:fldChar w:fldCharType="begin"/>
              </w:r>
              <w:r w:rsidRPr="009A7DFB">
                <w:rPr>
                  <w:rFonts w:ascii="Arial" w:hAnsi="Arial" w:cs="Arial"/>
                  <w:noProof/>
                  <w:sz w:val="24"/>
                  <w:szCs w:val="24"/>
                </w:rPr>
                <w:instrText xml:space="preserve"> PAGEREF _Toc53420686 \h </w:instrText>
              </w:r>
              <w:r w:rsidRPr="009A7DFB">
                <w:rPr>
                  <w:rFonts w:ascii="Arial" w:hAnsi="Arial" w:cs="Arial"/>
                  <w:noProof/>
                  <w:sz w:val="24"/>
                  <w:szCs w:val="24"/>
                </w:rPr>
              </w:r>
              <w:r w:rsidRPr="009A7DFB">
                <w:rPr>
                  <w:rFonts w:ascii="Arial" w:hAnsi="Arial" w:cs="Arial"/>
                  <w:noProof/>
                  <w:sz w:val="24"/>
                  <w:szCs w:val="24"/>
                </w:rPr>
                <w:fldChar w:fldCharType="separate"/>
              </w:r>
              <w:r w:rsidR="003164D6">
                <w:rPr>
                  <w:rFonts w:ascii="Arial" w:hAnsi="Arial" w:cs="Arial"/>
                  <w:noProof/>
                  <w:sz w:val="24"/>
                  <w:szCs w:val="24"/>
                </w:rPr>
                <w:t>251</w:t>
              </w:r>
              <w:r w:rsidRPr="009A7DFB">
                <w:rPr>
                  <w:rFonts w:ascii="Arial" w:hAnsi="Arial" w:cs="Arial"/>
                  <w:noProof/>
                  <w:sz w:val="24"/>
                  <w:szCs w:val="24"/>
                </w:rPr>
                <w:fldChar w:fldCharType="end"/>
              </w:r>
            </w:hyperlink>
          </w:p>
          <w:p w14:paraId="12DAA9C0" w14:textId="5AF5503B"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87" w:history="1">
              <w:r w:rsidR="00EB4288" w:rsidRPr="009A7DFB">
                <w:rPr>
                  <w:rStyle w:val="Hyperlink"/>
                  <w:rFonts w:ascii="Arial" w:hAnsi="Arial" w:cs="Arial"/>
                  <w:noProof/>
                  <w:sz w:val="24"/>
                  <w:szCs w:val="24"/>
                </w:rPr>
                <w:t>8.2</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Contingent assets and contingent liabilities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_Toc53420687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268</w:t>
              </w:r>
              <w:r w:rsidR="00EB4288" w:rsidRPr="009A7DFB">
                <w:rPr>
                  <w:rFonts w:ascii="Arial" w:hAnsi="Arial" w:cs="Arial"/>
                  <w:noProof/>
                  <w:sz w:val="24"/>
                  <w:szCs w:val="24"/>
                </w:rPr>
                <w:fldChar w:fldCharType="end"/>
              </w:r>
            </w:hyperlink>
          </w:p>
          <w:p w14:paraId="69AEF228" w14:textId="3539C9E1"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88" w:history="1">
              <w:r w:rsidR="00EB4288" w:rsidRPr="009A7DFB">
                <w:rPr>
                  <w:rStyle w:val="Hyperlink"/>
                  <w:rFonts w:ascii="Arial" w:hAnsi="Arial" w:cs="Arial"/>
                  <w:noProof/>
                  <w:sz w:val="24"/>
                  <w:szCs w:val="24"/>
                </w:rPr>
                <w:t>8.3</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Fair value determination</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_Toc53420688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273</w:t>
              </w:r>
              <w:r w:rsidR="00EB4288" w:rsidRPr="009A7DFB">
                <w:rPr>
                  <w:rFonts w:ascii="Arial" w:hAnsi="Arial" w:cs="Arial"/>
                  <w:noProof/>
                  <w:sz w:val="24"/>
                  <w:szCs w:val="24"/>
                </w:rPr>
                <w:fldChar w:fldCharType="end"/>
              </w:r>
            </w:hyperlink>
          </w:p>
          <w:p w14:paraId="778CC657" w14:textId="77777777" w:rsidR="00EB4288" w:rsidRPr="009A7DFB" w:rsidRDefault="00EB4288" w:rsidP="00EB4288">
            <w:pPr>
              <w:pStyle w:val="TOC2"/>
              <w:framePr w:hSpace="0" w:wrap="auto" w:vAnchor="margin" w:xAlign="left" w:yAlign="inline"/>
              <w:suppressOverlap w:val="0"/>
              <w:rPr>
                <w:rFonts w:ascii="Arial" w:hAnsi="Arial" w:cs="Arial"/>
                <w:sz w:val="24"/>
                <w:szCs w:val="24"/>
              </w:rPr>
            </w:pPr>
            <w:r w:rsidRPr="009A7DFB">
              <w:rPr>
                <w:rFonts w:ascii="Arial" w:hAnsi="Arial" w:cs="Arial"/>
                <w:sz w:val="24"/>
                <w:szCs w:val="24"/>
              </w:rPr>
              <w:fldChar w:fldCharType="end"/>
            </w:r>
          </w:p>
        </w:tc>
      </w:tr>
      <w:tr w:rsidR="00EB4288" w:rsidRPr="009A7DFB" w14:paraId="0D691794"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nil"/>
              <w:right w:val="nil"/>
            </w:tcBorders>
            <w:vAlign w:val="center"/>
          </w:tcPr>
          <w:p w14:paraId="7AE3BA25" w14:textId="77777777" w:rsidR="00EB4288" w:rsidRPr="009A7DFB" w:rsidRDefault="00EB4288" w:rsidP="00EB4288">
            <w:pPr>
              <w:rPr>
                <w:rFonts w:ascii="Arial" w:hAnsi="Arial" w:cs="Arial"/>
                <w:b/>
                <w:sz w:val="24"/>
                <w:szCs w:val="24"/>
              </w:rPr>
            </w:pPr>
            <w:r w:rsidRPr="009A7DFB">
              <w:rPr>
                <w:rFonts w:ascii="Arial" w:hAnsi="Arial" w:cs="Arial"/>
                <w:b/>
                <w:sz w:val="24"/>
                <w:szCs w:val="24"/>
              </w:rPr>
              <w:t>9. OTHER DISCLOSURES</w:t>
            </w:r>
          </w:p>
        </w:tc>
      </w:tr>
      <w:tr w:rsidR="00EB4288" w:rsidRPr="009A7DFB" w14:paraId="195F7BC0" w14:textId="77777777" w:rsidTr="00EB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nil"/>
              <w:left w:val="nil"/>
              <w:bottom w:val="single" w:sz="4" w:space="0" w:color="00B2A9"/>
              <w:right w:val="nil"/>
            </w:tcBorders>
            <w:vAlign w:val="center"/>
          </w:tcPr>
          <w:p w14:paraId="6B18E305" w14:textId="7C2DA12F" w:rsidR="00EB4288" w:rsidRPr="009A7DFB" w:rsidRDefault="00EB4288" w:rsidP="00EB4288">
            <w:pPr>
              <w:pStyle w:val="TOC2"/>
              <w:framePr w:hSpace="0" w:wrap="auto" w:vAnchor="margin" w:xAlign="left" w:yAlign="inline"/>
              <w:suppressOverlap w:val="0"/>
              <w:rPr>
                <w:rFonts w:ascii="Arial" w:hAnsi="Arial" w:cs="Arial"/>
                <w:noProof/>
                <w:sz w:val="24"/>
                <w:szCs w:val="24"/>
                <w:lang w:eastAsia="en-AU"/>
              </w:rPr>
            </w:pPr>
            <w:r w:rsidRPr="009A7DFB">
              <w:rPr>
                <w:rFonts w:ascii="Arial" w:hAnsi="Arial" w:cs="Arial"/>
                <w:sz w:val="24"/>
                <w:szCs w:val="24"/>
              </w:rPr>
              <w:fldChar w:fldCharType="begin"/>
            </w:r>
            <w:r w:rsidRPr="009A7DFB">
              <w:rPr>
                <w:rFonts w:ascii="Arial" w:hAnsi="Arial" w:cs="Arial"/>
                <w:sz w:val="24"/>
                <w:szCs w:val="24"/>
              </w:rPr>
              <w:instrText xml:space="preserve"> TOC \h\b SEC9 \o”2-2” \* MERGEFORMAT </w:instrText>
            </w:r>
            <w:r w:rsidRPr="009A7DFB">
              <w:rPr>
                <w:rFonts w:ascii="Arial" w:hAnsi="Arial" w:cs="Arial"/>
                <w:sz w:val="24"/>
                <w:szCs w:val="24"/>
              </w:rPr>
              <w:fldChar w:fldCharType="separate"/>
            </w:r>
            <w:hyperlink w:anchor="_Toc53420692" w:history="1">
              <w:r w:rsidRPr="009A7DFB">
                <w:rPr>
                  <w:rStyle w:val="Hyperlink"/>
                  <w:rFonts w:ascii="Arial" w:hAnsi="Arial" w:cs="Arial"/>
                  <w:noProof/>
                  <w:sz w:val="24"/>
                  <w:szCs w:val="24"/>
                </w:rPr>
                <w:t>9.1</w:t>
              </w:r>
              <w:r w:rsidRPr="009A7DFB">
                <w:rPr>
                  <w:rFonts w:ascii="Arial" w:hAnsi="Arial" w:cs="Arial"/>
                  <w:noProof/>
                  <w:sz w:val="24"/>
                  <w:szCs w:val="24"/>
                  <w:lang w:eastAsia="en-AU"/>
                </w:rPr>
                <w:tab/>
              </w:r>
              <w:r w:rsidRPr="009A7DFB">
                <w:rPr>
                  <w:rStyle w:val="Hyperlink"/>
                  <w:rFonts w:ascii="Arial" w:hAnsi="Arial" w:cs="Arial"/>
                  <w:noProof/>
                  <w:sz w:val="24"/>
                  <w:szCs w:val="24"/>
                </w:rPr>
                <w:t>Ex-gratia expenses</w:t>
              </w:r>
              <w:r w:rsidRPr="009A7DFB">
                <w:rPr>
                  <w:rFonts w:ascii="Arial" w:hAnsi="Arial" w:cs="Arial"/>
                  <w:noProof/>
                  <w:sz w:val="24"/>
                  <w:szCs w:val="24"/>
                </w:rPr>
                <w:tab/>
              </w:r>
              <w:r w:rsidRPr="009A7DFB">
                <w:rPr>
                  <w:rFonts w:ascii="Arial" w:hAnsi="Arial" w:cs="Arial"/>
                  <w:noProof/>
                  <w:sz w:val="24"/>
                  <w:szCs w:val="24"/>
                </w:rPr>
                <w:fldChar w:fldCharType="begin"/>
              </w:r>
              <w:r w:rsidRPr="009A7DFB">
                <w:rPr>
                  <w:rFonts w:ascii="Arial" w:hAnsi="Arial" w:cs="Arial"/>
                  <w:noProof/>
                  <w:sz w:val="24"/>
                  <w:szCs w:val="24"/>
                </w:rPr>
                <w:instrText xml:space="preserve"> PAGEREF _Toc53420692 \h </w:instrText>
              </w:r>
              <w:r w:rsidRPr="009A7DFB">
                <w:rPr>
                  <w:rFonts w:ascii="Arial" w:hAnsi="Arial" w:cs="Arial"/>
                  <w:noProof/>
                  <w:sz w:val="24"/>
                  <w:szCs w:val="24"/>
                </w:rPr>
              </w:r>
              <w:r w:rsidRPr="009A7DFB">
                <w:rPr>
                  <w:rFonts w:ascii="Arial" w:hAnsi="Arial" w:cs="Arial"/>
                  <w:noProof/>
                  <w:sz w:val="24"/>
                  <w:szCs w:val="24"/>
                </w:rPr>
                <w:fldChar w:fldCharType="separate"/>
              </w:r>
              <w:r w:rsidR="003164D6">
                <w:rPr>
                  <w:rFonts w:ascii="Arial" w:hAnsi="Arial" w:cs="Arial"/>
                  <w:noProof/>
                  <w:sz w:val="24"/>
                  <w:szCs w:val="24"/>
                </w:rPr>
                <w:t>287</w:t>
              </w:r>
              <w:r w:rsidRPr="009A7DFB">
                <w:rPr>
                  <w:rFonts w:ascii="Arial" w:hAnsi="Arial" w:cs="Arial"/>
                  <w:noProof/>
                  <w:sz w:val="24"/>
                  <w:szCs w:val="24"/>
                </w:rPr>
                <w:fldChar w:fldCharType="end"/>
              </w:r>
            </w:hyperlink>
          </w:p>
          <w:p w14:paraId="34CA2B2E" w14:textId="0B8AA910"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93" w:history="1">
              <w:r w:rsidR="00EB4288" w:rsidRPr="009A7DFB">
                <w:rPr>
                  <w:rStyle w:val="Hyperlink"/>
                  <w:rFonts w:ascii="Arial" w:hAnsi="Arial" w:cs="Arial"/>
                  <w:noProof/>
                  <w:sz w:val="24"/>
                  <w:szCs w:val="24"/>
                </w:rPr>
                <w:t>9.2</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Other economic flows included in net result</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_Toc53420693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288</w:t>
              </w:r>
              <w:r w:rsidR="00EB4288" w:rsidRPr="009A7DFB">
                <w:rPr>
                  <w:rFonts w:ascii="Arial" w:hAnsi="Arial" w:cs="Arial"/>
                  <w:noProof/>
                  <w:sz w:val="24"/>
                  <w:szCs w:val="24"/>
                </w:rPr>
                <w:fldChar w:fldCharType="end"/>
              </w:r>
            </w:hyperlink>
          </w:p>
          <w:p w14:paraId="4AE760FF" w14:textId="7ABC9946"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94" w:history="1">
              <w:r w:rsidR="00EB4288" w:rsidRPr="009A7DFB">
                <w:rPr>
                  <w:rStyle w:val="Hyperlink"/>
                  <w:rFonts w:ascii="Arial" w:hAnsi="Arial" w:cs="Arial"/>
                  <w:noProof/>
                  <w:sz w:val="24"/>
                  <w:szCs w:val="24"/>
                </w:rPr>
                <w:t>9.3</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Non-financial assets held for sale</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_Toc53420694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290</w:t>
              </w:r>
              <w:r w:rsidR="00EB4288" w:rsidRPr="009A7DFB">
                <w:rPr>
                  <w:rFonts w:ascii="Arial" w:hAnsi="Arial" w:cs="Arial"/>
                  <w:noProof/>
                  <w:sz w:val="24"/>
                  <w:szCs w:val="24"/>
                </w:rPr>
                <w:fldChar w:fldCharType="end"/>
              </w:r>
            </w:hyperlink>
          </w:p>
          <w:p w14:paraId="2980F5F2" w14:textId="54D00E5F"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95" w:history="1">
              <w:r w:rsidR="00EB4288" w:rsidRPr="009A7DFB">
                <w:rPr>
                  <w:rStyle w:val="Hyperlink"/>
                  <w:rFonts w:ascii="Arial" w:hAnsi="Arial" w:cs="Arial"/>
                  <w:noProof/>
                  <w:sz w:val="24"/>
                  <w:szCs w:val="24"/>
                </w:rPr>
                <w:t>9.4</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Equity disclosure</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_Toc53420695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291</w:t>
              </w:r>
              <w:r w:rsidR="00EB4288" w:rsidRPr="009A7DFB">
                <w:rPr>
                  <w:rFonts w:ascii="Arial" w:hAnsi="Arial" w:cs="Arial"/>
                  <w:noProof/>
                  <w:sz w:val="24"/>
                  <w:szCs w:val="24"/>
                </w:rPr>
                <w:fldChar w:fldCharType="end"/>
              </w:r>
            </w:hyperlink>
          </w:p>
          <w:p w14:paraId="5368208D" w14:textId="201B84B4"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96" w:history="1">
              <w:r w:rsidR="00EB4288" w:rsidRPr="009A7DFB">
                <w:rPr>
                  <w:rStyle w:val="Hyperlink"/>
                  <w:rFonts w:ascii="Arial" w:hAnsi="Arial" w:cs="Arial"/>
                  <w:noProof/>
                  <w:sz w:val="24"/>
                  <w:szCs w:val="24"/>
                </w:rPr>
                <w:t>9.5</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Entities consolidated pursuant to section 53(1)(b) of the FMA</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_Toc53420696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294</w:t>
              </w:r>
              <w:r w:rsidR="00EB4288" w:rsidRPr="009A7DFB">
                <w:rPr>
                  <w:rFonts w:ascii="Arial" w:hAnsi="Arial" w:cs="Arial"/>
                  <w:noProof/>
                  <w:sz w:val="24"/>
                  <w:szCs w:val="24"/>
                </w:rPr>
                <w:fldChar w:fldCharType="end"/>
              </w:r>
            </w:hyperlink>
          </w:p>
          <w:p w14:paraId="5CB5A0AE" w14:textId="0C3B5BEC"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97" w:history="1">
              <w:r w:rsidR="00EB4288" w:rsidRPr="009A7DFB">
                <w:rPr>
                  <w:rStyle w:val="Hyperlink"/>
                  <w:rFonts w:ascii="Arial" w:hAnsi="Arial" w:cs="Arial"/>
                  <w:noProof/>
                  <w:sz w:val="24"/>
                  <w:szCs w:val="24"/>
                </w:rPr>
                <w:t>9.6</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Change in accounting policies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_Toc53420697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295</w:t>
              </w:r>
              <w:r w:rsidR="00EB4288" w:rsidRPr="009A7DFB">
                <w:rPr>
                  <w:rFonts w:ascii="Arial" w:hAnsi="Arial" w:cs="Arial"/>
                  <w:noProof/>
                  <w:sz w:val="24"/>
                  <w:szCs w:val="24"/>
                </w:rPr>
                <w:fldChar w:fldCharType="end"/>
              </w:r>
            </w:hyperlink>
          </w:p>
          <w:p w14:paraId="3EE21CC9" w14:textId="3402D5E4"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98" w:history="1">
              <w:r w:rsidR="00EB4288" w:rsidRPr="009A7DFB">
                <w:rPr>
                  <w:rStyle w:val="Hyperlink"/>
                  <w:rFonts w:ascii="Arial" w:hAnsi="Arial" w:cs="Arial"/>
                  <w:noProof/>
                  <w:sz w:val="24"/>
                  <w:szCs w:val="24"/>
                </w:rPr>
                <w:t>9.7</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Responsible persons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_Toc53420698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306</w:t>
              </w:r>
              <w:r w:rsidR="00EB4288" w:rsidRPr="009A7DFB">
                <w:rPr>
                  <w:rFonts w:ascii="Arial" w:hAnsi="Arial" w:cs="Arial"/>
                  <w:noProof/>
                  <w:sz w:val="24"/>
                  <w:szCs w:val="24"/>
                </w:rPr>
                <w:fldChar w:fldCharType="end"/>
              </w:r>
            </w:hyperlink>
          </w:p>
          <w:p w14:paraId="0377223D" w14:textId="627E1F1B"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699" w:history="1">
              <w:r w:rsidR="00EB4288" w:rsidRPr="009A7DFB">
                <w:rPr>
                  <w:rStyle w:val="Hyperlink"/>
                  <w:rFonts w:ascii="Arial" w:hAnsi="Arial" w:cs="Arial"/>
                  <w:noProof/>
                  <w:sz w:val="24"/>
                  <w:szCs w:val="24"/>
                </w:rPr>
                <w:t>9.8</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Remuneration of executives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_Toc53420699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308</w:t>
              </w:r>
              <w:r w:rsidR="00EB4288" w:rsidRPr="009A7DFB">
                <w:rPr>
                  <w:rFonts w:ascii="Arial" w:hAnsi="Arial" w:cs="Arial"/>
                  <w:noProof/>
                  <w:sz w:val="24"/>
                  <w:szCs w:val="24"/>
                </w:rPr>
                <w:fldChar w:fldCharType="end"/>
              </w:r>
            </w:hyperlink>
          </w:p>
          <w:p w14:paraId="0C694220" w14:textId="4CD26805"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700" w:history="1">
              <w:r w:rsidR="00EB4288" w:rsidRPr="009A7DFB">
                <w:rPr>
                  <w:rStyle w:val="Hyperlink"/>
                  <w:rFonts w:ascii="Arial" w:hAnsi="Arial" w:cs="Arial"/>
                  <w:noProof/>
                  <w:sz w:val="24"/>
                  <w:szCs w:val="24"/>
                </w:rPr>
                <w:t>9.9</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Related parties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_Toc53420700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310</w:t>
              </w:r>
              <w:r w:rsidR="00EB4288" w:rsidRPr="009A7DFB">
                <w:rPr>
                  <w:rFonts w:ascii="Arial" w:hAnsi="Arial" w:cs="Arial"/>
                  <w:noProof/>
                  <w:sz w:val="24"/>
                  <w:szCs w:val="24"/>
                </w:rPr>
                <w:fldChar w:fldCharType="end"/>
              </w:r>
            </w:hyperlink>
          </w:p>
          <w:p w14:paraId="3D1A6F6F" w14:textId="79C4BABA"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701" w:history="1">
              <w:r w:rsidR="00EB4288" w:rsidRPr="009A7DFB">
                <w:rPr>
                  <w:rStyle w:val="Hyperlink"/>
                  <w:rFonts w:ascii="Arial" w:hAnsi="Arial" w:cs="Arial"/>
                  <w:noProof/>
                  <w:sz w:val="24"/>
                  <w:szCs w:val="24"/>
                </w:rPr>
                <w:t>9.10</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Remuneration of auditors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_Toc53420701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315</w:t>
              </w:r>
              <w:r w:rsidR="00EB4288" w:rsidRPr="009A7DFB">
                <w:rPr>
                  <w:rFonts w:ascii="Arial" w:hAnsi="Arial" w:cs="Arial"/>
                  <w:noProof/>
                  <w:sz w:val="24"/>
                  <w:szCs w:val="24"/>
                </w:rPr>
                <w:fldChar w:fldCharType="end"/>
              </w:r>
            </w:hyperlink>
          </w:p>
          <w:p w14:paraId="3A31DCCD" w14:textId="4C78F6F7"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702" w:history="1">
              <w:r w:rsidR="00EB4288" w:rsidRPr="009A7DFB">
                <w:rPr>
                  <w:rStyle w:val="Hyperlink"/>
                  <w:rFonts w:ascii="Arial" w:hAnsi="Arial" w:cs="Arial"/>
                  <w:noProof/>
                  <w:sz w:val="24"/>
                  <w:szCs w:val="24"/>
                </w:rPr>
                <w:t>9.11</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Subsequent events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_Toc53420702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315</w:t>
              </w:r>
              <w:r w:rsidR="00EB4288" w:rsidRPr="009A7DFB">
                <w:rPr>
                  <w:rFonts w:ascii="Arial" w:hAnsi="Arial" w:cs="Arial"/>
                  <w:noProof/>
                  <w:sz w:val="24"/>
                  <w:szCs w:val="24"/>
                </w:rPr>
                <w:fldChar w:fldCharType="end"/>
              </w:r>
            </w:hyperlink>
          </w:p>
          <w:p w14:paraId="25F07865" w14:textId="1E31DDAB"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703" w:history="1">
              <w:r w:rsidR="00EB4288" w:rsidRPr="009A7DFB">
                <w:rPr>
                  <w:rStyle w:val="Hyperlink"/>
                  <w:rFonts w:ascii="Arial" w:hAnsi="Arial" w:cs="Arial"/>
                  <w:noProof/>
                  <w:sz w:val="24"/>
                  <w:szCs w:val="24"/>
                </w:rPr>
                <w:t>9.12</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Other accounting policies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_Toc53420703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316</w:t>
              </w:r>
              <w:r w:rsidR="00EB4288" w:rsidRPr="009A7DFB">
                <w:rPr>
                  <w:rFonts w:ascii="Arial" w:hAnsi="Arial" w:cs="Arial"/>
                  <w:noProof/>
                  <w:sz w:val="24"/>
                  <w:szCs w:val="24"/>
                </w:rPr>
                <w:fldChar w:fldCharType="end"/>
              </w:r>
            </w:hyperlink>
          </w:p>
          <w:p w14:paraId="15477EF4" w14:textId="3C8C1ED0"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704" w:history="1">
              <w:r w:rsidR="00EB4288" w:rsidRPr="009A7DFB">
                <w:rPr>
                  <w:rStyle w:val="Hyperlink"/>
                  <w:rFonts w:ascii="Arial" w:hAnsi="Arial" w:cs="Arial"/>
                  <w:noProof/>
                  <w:sz w:val="24"/>
                  <w:szCs w:val="24"/>
                </w:rPr>
                <w:t>9.13</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Australian Accounting Standards (AAS) issued that are not yet effective</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_Toc53420704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318</w:t>
              </w:r>
              <w:r w:rsidR="00EB4288" w:rsidRPr="009A7DFB">
                <w:rPr>
                  <w:rFonts w:ascii="Arial" w:hAnsi="Arial" w:cs="Arial"/>
                  <w:noProof/>
                  <w:sz w:val="24"/>
                  <w:szCs w:val="24"/>
                </w:rPr>
                <w:fldChar w:fldCharType="end"/>
              </w:r>
            </w:hyperlink>
          </w:p>
          <w:p w14:paraId="72DE1C52" w14:textId="08F81232"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705" w:history="1">
              <w:r w:rsidR="00EB4288" w:rsidRPr="009A7DFB">
                <w:rPr>
                  <w:rStyle w:val="Hyperlink"/>
                  <w:rFonts w:ascii="Arial" w:hAnsi="Arial" w:cs="Arial"/>
                  <w:noProof/>
                  <w:sz w:val="24"/>
                  <w:szCs w:val="24"/>
                </w:rPr>
                <w:t>9.14</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Departmental output objectives and descriptions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_Toc53420705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321</w:t>
              </w:r>
              <w:r w:rsidR="00EB4288" w:rsidRPr="009A7DFB">
                <w:rPr>
                  <w:rFonts w:ascii="Arial" w:hAnsi="Arial" w:cs="Arial"/>
                  <w:noProof/>
                  <w:sz w:val="24"/>
                  <w:szCs w:val="24"/>
                </w:rPr>
                <w:fldChar w:fldCharType="end"/>
              </w:r>
            </w:hyperlink>
          </w:p>
          <w:p w14:paraId="4DF17325" w14:textId="2172A7DC"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706" w:history="1">
              <w:r w:rsidR="00EB4288" w:rsidRPr="009A7DFB">
                <w:rPr>
                  <w:rStyle w:val="Hyperlink"/>
                  <w:rFonts w:ascii="Arial" w:hAnsi="Arial" w:cs="Arial"/>
                  <w:noProof/>
                  <w:sz w:val="24"/>
                  <w:szCs w:val="24"/>
                </w:rPr>
                <w:t>9.15</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Glossary of technical terms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_Toc53420706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326</w:t>
              </w:r>
              <w:r w:rsidR="00EB4288" w:rsidRPr="009A7DFB">
                <w:rPr>
                  <w:rFonts w:ascii="Arial" w:hAnsi="Arial" w:cs="Arial"/>
                  <w:noProof/>
                  <w:sz w:val="24"/>
                  <w:szCs w:val="24"/>
                </w:rPr>
                <w:fldChar w:fldCharType="end"/>
              </w:r>
            </w:hyperlink>
          </w:p>
          <w:p w14:paraId="42DB27EF" w14:textId="4376DC02" w:rsidR="00EB4288" w:rsidRPr="009A7DFB" w:rsidRDefault="009B2DDD" w:rsidP="00EB4288">
            <w:pPr>
              <w:pStyle w:val="TOC2"/>
              <w:framePr w:hSpace="0" w:wrap="auto" w:vAnchor="margin" w:xAlign="left" w:yAlign="inline"/>
              <w:suppressOverlap w:val="0"/>
              <w:rPr>
                <w:rFonts w:ascii="Arial" w:hAnsi="Arial" w:cs="Arial"/>
                <w:noProof/>
                <w:sz w:val="24"/>
                <w:szCs w:val="24"/>
                <w:lang w:eastAsia="en-AU"/>
              </w:rPr>
            </w:pPr>
            <w:hyperlink w:anchor="_Toc53420707" w:history="1">
              <w:r w:rsidR="00EB4288" w:rsidRPr="009A7DFB">
                <w:rPr>
                  <w:rStyle w:val="Hyperlink"/>
                  <w:rFonts w:ascii="Arial" w:hAnsi="Arial" w:cs="Arial"/>
                  <w:noProof/>
                  <w:sz w:val="24"/>
                  <w:szCs w:val="24"/>
                </w:rPr>
                <w:t>9.16</w:t>
              </w:r>
              <w:r w:rsidR="00EB4288" w:rsidRPr="009A7DFB">
                <w:rPr>
                  <w:rFonts w:ascii="Arial" w:hAnsi="Arial" w:cs="Arial"/>
                  <w:noProof/>
                  <w:sz w:val="24"/>
                  <w:szCs w:val="24"/>
                  <w:lang w:eastAsia="en-AU"/>
                </w:rPr>
                <w:tab/>
              </w:r>
              <w:r w:rsidR="00EB4288" w:rsidRPr="009A7DFB">
                <w:rPr>
                  <w:rStyle w:val="Hyperlink"/>
                  <w:rFonts w:ascii="Arial" w:hAnsi="Arial" w:cs="Arial"/>
                  <w:noProof/>
                  <w:sz w:val="24"/>
                  <w:szCs w:val="24"/>
                </w:rPr>
                <w:t>Style conventions</w:t>
              </w:r>
              <w:r w:rsidR="00EB4288" w:rsidRPr="009A7DFB">
                <w:rPr>
                  <w:rFonts w:ascii="Arial" w:hAnsi="Arial" w:cs="Arial"/>
                  <w:noProof/>
                  <w:sz w:val="24"/>
                  <w:szCs w:val="24"/>
                </w:rPr>
                <w:tab/>
              </w:r>
              <w:r w:rsidR="00EB4288" w:rsidRPr="009A7DFB">
                <w:rPr>
                  <w:rFonts w:ascii="Arial" w:hAnsi="Arial" w:cs="Arial"/>
                  <w:noProof/>
                  <w:sz w:val="24"/>
                  <w:szCs w:val="24"/>
                </w:rPr>
                <w:fldChar w:fldCharType="begin"/>
              </w:r>
              <w:r w:rsidR="00EB4288" w:rsidRPr="009A7DFB">
                <w:rPr>
                  <w:rFonts w:ascii="Arial" w:hAnsi="Arial" w:cs="Arial"/>
                  <w:noProof/>
                  <w:sz w:val="24"/>
                  <w:szCs w:val="24"/>
                </w:rPr>
                <w:instrText xml:space="preserve"> PAGEREF _Toc53420707 \h </w:instrText>
              </w:r>
              <w:r w:rsidR="00EB4288" w:rsidRPr="009A7DFB">
                <w:rPr>
                  <w:rFonts w:ascii="Arial" w:hAnsi="Arial" w:cs="Arial"/>
                  <w:noProof/>
                  <w:sz w:val="24"/>
                  <w:szCs w:val="24"/>
                </w:rPr>
              </w:r>
              <w:r w:rsidR="00EB4288" w:rsidRPr="009A7DFB">
                <w:rPr>
                  <w:rFonts w:ascii="Arial" w:hAnsi="Arial" w:cs="Arial"/>
                  <w:noProof/>
                  <w:sz w:val="24"/>
                  <w:szCs w:val="24"/>
                </w:rPr>
                <w:fldChar w:fldCharType="separate"/>
              </w:r>
              <w:r w:rsidR="003164D6">
                <w:rPr>
                  <w:rFonts w:ascii="Arial" w:hAnsi="Arial" w:cs="Arial"/>
                  <w:noProof/>
                  <w:sz w:val="24"/>
                  <w:szCs w:val="24"/>
                </w:rPr>
                <w:t>334</w:t>
              </w:r>
              <w:r w:rsidR="00EB4288" w:rsidRPr="009A7DFB">
                <w:rPr>
                  <w:rFonts w:ascii="Arial" w:hAnsi="Arial" w:cs="Arial"/>
                  <w:noProof/>
                  <w:sz w:val="24"/>
                  <w:szCs w:val="24"/>
                </w:rPr>
                <w:fldChar w:fldCharType="end"/>
              </w:r>
            </w:hyperlink>
          </w:p>
          <w:p w14:paraId="6C97DF54" w14:textId="77777777" w:rsidR="00EB4288" w:rsidRPr="009A7DFB" w:rsidRDefault="00EB4288" w:rsidP="00EB4288">
            <w:pPr>
              <w:pStyle w:val="TOC2"/>
              <w:framePr w:hSpace="0" w:wrap="auto" w:vAnchor="margin" w:xAlign="left" w:yAlign="inline"/>
              <w:suppressOverlap w:val="0"/>
              <w:rPr>
                <w:rFonts w:ascii="Arial" w:hAnsi="Arial" w:cs="Arial"/>
                <w:sz w:val="24"/>
                <w:szCs w:val="24"/>
              </w:rPr>
            </w:pPr>
            <w:r w:rsidRPr="009A7DFB">
              <w:rPr>
                <w:rFonts w:ascii="Arial" w:hAnsi="Arial" w:cs="Arial"/>
                <w:sz w:val="24"/>
                <w:szCs w:val="24"/>
              </w:rPr>
              <w:fldChar w:fldCharType="end"/>
            </w:r>
          </w:p>
        </w:tc>
      </w:tr>
    </w:tbl>
    <w:p w14:paraId="030FCF28" w14:textId="77777777" w:rsidR="003E5BF5" w:rsidRPr="00BF21B4" w:rsidRDefault="003E5BF5" w:rsidP="00DE1921">
      <w:pPr>
        <w:sectPr w:rsidR="003E5BF5" w:rsidRPr="00BF21B4" w:rsidSect="00DE1921">
          <w:pgSz w:w="11906" w:h="16838"/>
          <w:pgMar w:top="1440" w:right="1440" w:bottom="1440" w:left="1440" w:header="708" w:footer="708" w:gutter="0"/>
          <w:cols w:space="708"/>
          <w:docGrid w:linePitch="360"/>
        </w:sectPr>
      </w:pPr>
      <w:r>
        <w:lastRenderedPageBreak/>
        <w:tab/>
      </w:r>
    </w:p>
    <w:p w14:paraId="108AD4C0" w14:textId="77777777" w:rsidR="003E5BF5" w:rsidRPr="00B57035" w:rsidRDefault="003E5BF5" w:rsidP="008A0170">
      <w:pPr>
        <w:pStyle w:val="Heading1"/>
      </w:pPr>
      <w:bookmarkStart w:id="22" w:name="p46"/>
      <w:bookmarkStart w:id="23" w:name="_Toc55130684"/>
      <w:bookmarkEnd w:id="22"/>
      <w:r w:rsidRPr="00B57035">
        <w:lastRenderedPageBreak/>
        <w:t>Accountable Officer's and Chief Finance Officer's Declaration</w:t>
      </w:r>
      <w:bookmarkEnd w:id="23"/>
    </w:p>
    <w:p w14:paraId="39108B77" w14:textId="77777777" w:rsidR="003E5BF5" w:rsidRPr="007444F0" w:rsidRDefault="003E5BF5" w:rsidP="00DE1921">
      <w:pPr>
        <w:pStyle w:val="aaatyping"/>
        <w:rPr>
          <w:iCs/>
        </w:rPr>
      </w:pPr>
      <w:r w:rsidRPr="007444F0">
        <w:t xml:space="preserve">The attached financial statements for the Department of Transport have been prepared in accordance with </w:t>
      </w:r>
      <w:r w:rsidRPr="00B271B7">
        <w:t>Standing Direction 5.2 of the</w:t>
      </w:r>
      <w:r w:rsidRPr="007444F0">
        <w:t xml:space="preserve"> Assistant Treasurer under the </w:t>
      </w:r>
      <w:r w:rsidRPr="007444F0">
        <w:rPr>
          <w:i/>
        </w:rPr>
        <w:t>Financial Management Act 1994</w:t>
      </w:r>
      <w:r w:rsidRPr="007444F0">
        <w:t>, applicable Financial Reporting Directions, Australian Accounting Standards including interpretations and other mandatory professional reporting requirements.</w:t>
      </w:r>
    </w:p>
    <w:p w14:paraId="4AC32A2C" w14:textId="77777777" w:rsidR="003E5BF5" w:rsidRPr="007444F0" w:rsidRDefault="003E5BF5" w:rsidP="00DE1921">
      <w:pPr>
        <w:pStyle w:val="aaatyping"/>
      </w:pPr>
      <w:r w:rsidRPr="007444F0">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w:t>
      </w:r>
      <w:r>
        <w:t>2020</w:t>
      </w:r>
      <w:r w:rsidRPr="007444F0">
        <w:t xml:space="preserve"> and the financial position of the Department of Transport as at 30 June </w:t>
      </w:r>
      <w:r>
        <w:t>2020</w:t>
      </w:r>
      <w:r w:rsidRPr="007444F0">
        <w:t>.</w:t>
      </w:r>
    </w:p>
    <w:p w14:paraId="3C35C0F0" w14:textId="77777777" w:rsidR="003E5BF5" w:rsidRPr="007444F0" w:rsidRDefault="003E5BF5" w:rsidP="00DE1921">
      <w:pPr>
        <w:pStyle w:val="aaatyping"/>
      </w:pPr>
      <w:r w:rsidRPr="007444F0">
        <w:t>At the time of signing, we are not aware of any circumstance which would render any particulars included in the financial statements to be misleading or inaccurate.</w:t>
      </w:r>
    </w:p>
    <w:p w14:paraId="753780B0" w14:textId="77777777" w:rsidR="003E5BF5" w:rsidRPr="006F6308" w:rsidRDefault="003E5BF5" w:rsidP="00DE1921">
      <w:pPr>
        <w:pStyle w:val="aaatyping"/>
      </w:pPr>
      <w:r w:rsidRPr="006F6308">
        <w:t xml:space="preserve">We authorise the attached financial statements for issue on </w:t>
      </w:r>
      <w:r>
        <w:t>9 October 2020.</w:t>
      </w:r>
    </w:p>
    <w:p w14:paraId="215E5500" w14:textId="77777777" w:rsidR="00454BEB" w:rsidRDefault="00454BEB">
      <w:r>
        <w:br w:type="page"/>
      </w:r>
    </w:p>
    <w:p w14:paraId="67D2F5EE" w14:textId="08DFFE1B" w:rsidR="00454BEB" w:rsidRDefault="00454BEB" w:rsidP="00DE1921">
      <w:r>
        <w:rPr>
          <w:noProof/>
        </w:rPr>
        <w:lastRenderedPageBreak/>
        <w:drawing>
          <wp:inline distT="0" distB="0" distL="0" distR="0" wp14:anchorId="54A913AD" wp14:editId="2627B500">
            <wp:extent cx="1656000" cy="668948"/>
            <wp:effectExtent l="0" t="0" r="1905" b="0"/>
            <wp:docPr id="38" name="Picture 38" descr="Secretary's 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56000" cy="668948"/>
                    </a:xfrm>
                    <a:prstGeom prst="rect">
                      <a:avLst/>
                    </a:prstGeom>
                    <a:noFill/>
                    <a:ln>
                      <a:noFill/>
                    </a:ln>
                  </pic:spPr>
                </pic:pic>
              </a:graphicData>
            </a:graphic>
          </wp:inline>
        </w:drawing>
      </w:r>
    </w:p>
    <w:p w14:paraId="6BC48B05" w14:textId="53CAD5EE" w:rsidR="00454BEB" w:rsidRPr="00E07686" w:rsidRDefault="00454BEB" w:rsidP="00454BEB">
      <w:pPr>
        <w:pStyle w:val="aaatyping"/>
      </w:pPr>
      <w:r w:rsidRPr="00E07686">
        <w:t>Paul Younis</w:t>
      </w:r>
    </w:p>
    <w:p w14:paraId="3A4E7D63" w14:textId="5E444DCE" w:rsidR="00454BEB" w:rsidRDefault="00454BEB" w:rsidP="00454BEB">
      <w:pPr>
        <w:pStyle w:val="aaatyping"/>
      </w:pPr>
      <w:r w:rsidRPr="006F6308">
        <w:t>Secretary</w:t>
      </w:r>
    </w:p>
    <w:p w14:paraId="0B9F19B6" w14:textId="50FB06DA" w:rsidR="00454BEB" w:rsidRDefault="00454BEB" w:rsidP="00454BEB">
      <w:pPr>
        <w:pStyle w:val="aaatyping"/>
      </w:pPr>
      <w:r w:rsidRPr="006F6308">
        <w:t>Department of Transport</w:t>
      </w:r>
    </w:p>
    <w:p w14:paraId="2393781C" w14:textId="0E3F7E9C" w:rsidR="00454BEB" w:rsidRPr="006F6308" w:rsidRDefault="00454BEB" w:rsidP="00454BEB">
      <w:pPr>
        <w:pStyle w:val="aaatyping"/>
      </w:pPr>
      <w:r w:rsidRPr="001B2702">
        <w:t>9 October 2020</w:t>
      </w:r>
    </w:p>
    <w:p w14:paraId="2596DC87" w14:textId="2A7CEEA7" w:rsidR="00454BEB" w:rsidRDefault="00454BEB" w:rsidP="00454BEB">
      <w:pPr>
        <w:pStyle w:val="aaatyping"/>
      </w:pPr>
      <w:r w:rsidRPr="006F6308">
        <w:t>Melbourne</w:t>
      </w:r>
    </w:p>
    <w:p w14:paraId="2CAEC887" w14:textId="320393CD" w:rsidR="00454BEB" w:rsidRDefault="00454BEB" w:rsidP="00454BEB">
      <w:r>
        <w:rPr>
          <w:noProof/>
        </w:rPr>
        <w:drawing>
          <wp:inline distT="0" distB="0" distL="0" distR="0" wp14:anchorId="37097143" wp14:editId="636BAB9E">
            <wp:extent cx="1368000" cy="471149"/>
            <wp:effectExtent l="0" t="0" r="3810" b="5715"/>
            <wp:docPr id="8" name="Picture 8" descr="Chief Financial Officer's 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biLevel thresh="75000"/>
                      <a:extLst>
                        <a:ext uri="{28A0092B-C50C-407E-A947-70E740481C1C}">
                          <a14:useLocalDpi xmlns:a14="http://schemas.microsoft.com/office/drawing/2010/main" val="0"/>
                        </a:ext>
                      </a:extLst>
                    </a:blip>
                    <a:stretch>
                      <a:fillRect/>
                    </a:stretch>
                  </pic:blipFill>
                  <pic:spPr>
                    <a:xfrm>
                      <a:off x="0" y="0"/>
                      <a:ext cx="1368000" cy="471149"/>
                    </a:xfrm>
                    <a:prstGeom prst="rect">
                      <a:avLst/>
                    </a:prstGeom>
                  </pic:spPr>
                </pic:pic>
              </a:graphicData>
            </a:graphic>
          </wp:inline>
        </w:drawing>
      </w:r>
    </w:p>
    <w:p w14:paraId="05A13B85" w14:textId="77777777" w:rsidR="00454BEB" w:rsidRPr="006F6308" w:rsidRDefault="00454BEB" w:rsidP="00454BEB">
      <w:pPr>
        <w:pStyle w:val="aaatyping"/>
      </w:pPr>
      <w:r w:rsidRPr="006F6308">
        <w:t>Shaun Condron</w:t>
      </w:r>
    </w:p>
    <w:p w14:paraId="6B85689E" w14:textId="2EF4C17C" w:rsidR="00454BEB" w:rsidRDefault="00454BEB" w:rsidP="00454BEB">
      <w:pPr>
        <w:pStyle w:val="aaatyping"/>
      </w:pPr>
      <w:r w:rsidRPr="006F6308">
        <w:t>Chief Financial Officer</w:t>
      </w:r>
    </w:p>
    <w:p w14:paraId="7EAF745B" w14:textId="72EF176F" w:rsidR="00454BEB" w:rsidRDefault="00454BEB" w:rsidP="00454BEB">
      <w:pPr>
        <w:pStyle w:val="aaatyping"/>
      </w:pPr>
      <w:r w:rsidRPr="006F6308">
        <w:t>Department of Transport</w:t>
      </w:r>
    </w:p>
    <w:p w14:paraId="2C603AA8" w14:textId="77777777" w:rsidR="00454BEB" w:rsidRPr="006F6308" w:rsidRDefault="00454BEB" w:rsidP="00454BEB">
      <w:pPr>
        <w:pStyle w:val="aaatyping"/>
      </w:pPr>
      <w:r w:rsidRPr="001B2702">
        <w:t>9 October 2020</w:t>
      </w:r>
    </w:p>
    <w:p w14:paraId="5962EF5D" w14:textId="02B6F848" w:rsidR="00454BEB" w:rsidRDefault="00454BEB" w:rsidP="00454BEB">
      <w:pPr>
        <w:pStyle w:val="aaatyping"/>
      </w:pPr>
      <w:r w:rsidRPr="006F6308">
        <w:t>Melbourne</w:t>
      </w:r>
    </w:p>
    <w:p w14:paraId="6582C15C" w14:textId="77777777" w:rsidR="00454BEB" w:rsidRDefault="00454BEB" w:rsidP="00DE1921"/>
    <w:p w14:paraId="09A5122B" w14:textId="2796F6B2" w:rsidR="00454BEB" w:rsidRPr="007444F0" w:rsidRDefault="00454BEB" w:rsidP="00DE1921">
      <w:pPr>
        <w:sectPr w:rsidR="00454BEB" w:rsidRPr="007444F0" w:rsidSect="00DE1921">
          <w:headerReference w:type="even" r:id="rId45"/>
          <w:headerReference w:type="default" r:id="rId46"/>
          <w:headerReference w:type="first" r:id="rId47"/>
          <w:pgSz w:w="11906" w:h="16838"/>
          <w:pgMar w:top="1701" w:right="1418" w:bottom="1418" w:left="1418" w:header="708" w:footer="708" w:gutter="0"/>
          <w:cols w:space="708"/>
          <w:docGrid w:linePitch="360"/>
        </w:sectPr>
      </w:pPr>
    </w:p>
    <w:p w14:paraId="1CB6C1FB" w14:textId="77777777" w:rsidR="003E5BF5" w:rsidRPr="004A71CD" w:rsidRDefault="003E5BF5" w:rsidP="00DE1921">
      <w:pPr>
        <w:rPr>
          <w:b/>
          <w:bCs/>
        </w:rPr>
        <w:sectPr w:rsidR="003E5BF5" w:rsidRPr="004A71CD" w:rsidSect="00DE1921">
          <w:pgSz w:w="11906" w:h="16838"/>
          <w:pgMar w:top="1701" w:right="1418" w:bottom="1418" w:left="1418" w:header="708" w:footer="708" w:gutter="0"/>
          <w:cols w:space="708"/>
          <w:docGrid w:linePitch="360"/>
        </w:sectPr>
      </w:pPr>
      <w:r>
        <w:rPr>
          <w:b/>
          <w:bCs/>
          <w:noProof/>
        </w:rPr>
        <w:lastRenderedPageBreak/>
        <w:drawing>
          <wp:inline distT="0" distB="0" distL="0" distR="0" wp14:anchorId="356A7656" wp14:editId="6D009ADC">
            <wp:extent cx="5436000" cy="7218377"/>
            <wp:effectExtent l="171450" t="171450" r="355600" b="363855"/>
            <wp:docPr id="22" name="Picture 22" descr="This is an image of the Victorian Auditor-General's Office, Independent Auditor's Report, page 1 of 5. The Independent Auditor's Report confirms that the Victorian Auditor-General's Office has audited the financial report of the Department of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partment of Transport Audit Opinion 30 June 2020_Page_1.jpg"/>
                    <pic:cNvPicPr/>
                  </pic:nvPicPr>
                  <pic:blipFill rotWithShape="1">
                    <a:blip r:embed="rId48" cstate="print">
                      <a:extLst>
                        <a:ext uri="{28A0092B-C50C-407E-A947-70E740481C1C}">
                          <a14:useLocalDpi xmlns:a14="http://schemas.microsoft.com/office/drawing/2010/main" val="0"/>
                        </a:ext>
                      </a:extLst>
                    </a:blip>
                    <a:srcRect l="2075" t="1872" r="3792" b="1524"/>
                    <a:stretch/>
                  </pic:blipFill>
                  <pic:spPr bwMode="auto">
                    <a:xfrm>
                      <a:off x="0" y="0"/>
                      <a:ext cx="5436000" cy="7218377"/>
                    </a:xfrm>
                    <a:prstGeom prst="rect">
                      <a:avLst/>
                    </a:prstGeom>
                    <a:ln>
                      <a:noFill/>
                    </a:ln>
                    <a:effectLst>
                      <a:outerShdw blurRad="292100" dist="1270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9E6D3A">
        <w:rPr>
          <w:b/>
          <w:bCs/>
        </w:rPr>
        <w:t xml:space="preserve"> </w:t>
      </w:r>
    </w:p>
    <w:p w14:paraId="2A3C832A" w14:textId="77777777" w:rsidR="003E5BF5" w:rsidRPr="007444F0" w:rsidRDefault="003E5BF5" w:rsidP="00DE1921">
      <w:pPr>
        <w:spacing w:after="0"/>
      </w:pPr>
      <w:r>
        <w:rPr>
          <w:noProof/>
        </w:rPr>
        <w:lastRenderedPageBreak/>
        <w:drawing>
          <wp:inline distT="0" distB="0" distL="0" distR="0" wp14:anchorId="599F4120" wp14:editId="5E1FEDEE">
            <wp:extent cx="5398573" cy="7197948"/>
            <wp:effectExtent l="171450" t="171450" r="354965" b="365125"/>
            <wp:docPr id="23" name="Picture 23" descr="This is an image of the Victorian Auditor-General's Office, Independent Auditor's Report, page 2 of 5. The Independent Auditor's Report confirms that the Victorian Auditor-General's Office has audited the financial report of the Department of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partment of Transport Audit Opinion 30 June 2020_Page_2.jpg"/>
                    <pic:cNvPicPr/>
                  </pic:nvPicPr>
                  <pic:blipFill rotWithShape="1">
                    <a:blip r:embed="rId49" cstate="print">
                      <a:extLst>
                        <a:ext uri="{28A0092B-C50C-407E-A947-70E740481C1C}">
                          <a14:useLocalDpi xmlns:a14="http://schemas.microsoft.com/office/drawing/2010/main" val="0"/>
                        </a:ext>
                      </a:extLst>
                    </a:blip>
                    <a:srcRect l="3173" t="3145" r="2816" b="1"/>
                    <a:stretch/>
                  </pic:blipFill>
                  <pic:spPr bwMode="auto">
                    <a:xfrm>
                      <a:off x="0" y="0"/>
                      <a:ext cx="5400000" cy="71998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E80B8F3" w14:textId="77777777" w:rsidR="003E5BF5" w:rsidRPr="007444F0" w:rsidRDefault="003E5BF5" w:rsidP="00DE1921">
      <w:pPr>
        <w:sectPr w:rsidR="003E5BF5" w:rsidRPr="007444F0" w:rsidSect="00DE1921">
          <w:pgSz w:w="11906" w:h="16838"/>
          <w:pgMar w:top="1701" w:right="1418" w:bottom="1418" w:left="1418" w:header="708" w:footer="708" w:gutter="0"/>
          <w:cols w:space="708"/>
          <w:docGrid w:linePitch="360"/>
        </w:sectPr>
      </w:pPr>
    </w:p>
    <w:p w14:paraId="5B44222F" w14:textId="77777777" w:rsidR="003E5BF5" w:rsidRPr="007444F0" w:rsidRDefault="003E5BF5" w:rsidP="00DE1921">
      <w:pPr>
        <w:spacing w:after="0"/>
      </w:pPr>
      <w:r>
        <w:rPr>
          <w:noProof/>
        </w:rPr>
        <w:lastRenderedPageBreak/>
        <w:drawing>
          <wp:inline distT="0" distB="0" distL="0" distR="0" wp14:anchorId="03063320" wp14:editId="7545CFB3">
            <wp:extent cx="5399378" cy="7220517"/>
            <wp:effectExtent l="171450" t="171450" r="354330" b="361950"/>
            <wp:docPr id="26" name="Picture 26" descr="This is an image of the Victorian Auditor-General's Office, Independent Auditor's Report, page 3 of 5. The Independent Auditor's Report confirms that the Victorian Auditor-General's Office has audited the financial report of the Department of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partment of Transport Audit Opinion 30 June 2020_Page_3.jpg"/>
                    <pic:cNvPicPr/>
                  </pic:nvPicPr>
                  <pic:blipFill rotWithShape="1">
                    <a:blip r:embed="rId50" cstate="print">
                      <a:extLst>
                        <a:ext uri="{28A0092B-C50C-407E-A947-70E740481C1C}">
                          <a14:useLocalDpi xmlns:a14="http://schemas.microsoft.com/office/drawing/2010/main" val="0"/>
                        </a:ext>
                      </a:extLst>
                    </a:blip>
                    <a:srcRect l="3361" t="3754" r="3497"/>
                    <a:stretch/>
                  </pic:blipFill>
                  <pic:spPr bwMode="auto">
                    <a:xfrm>
                      <a:off x="0" y="0"/>
                      <a:ext cx="5400000" cy="72213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FE05218" w14:textId="77777777" w:rsidR="003E5BF5" w:rsidRPr="007444F0" w:rsidRDefault="003E5BF5" w:rsidP="00DE1921">
      <w:pPr>
        <w:sectPr w:rsidR="003E5BF5" w:rsidRPr="007444F0" w:rsidSect="00DE1921">
          <w:pgSz w:w="11906" w:h="16838"/>
          <w:pgMar w:top="1701" w:right="1418" w:bottom="1418" w:left="1418" w:header="708" w:footer="708" w:gutter="0"/>
          <w:cols w:space="708"/>
          <w:docGrid w:linePitch="360"/>
        </w:sectPr>
      </w:pPr>
    </w:p>
    <w:p w14:paraId="3BBA4793" w14:textId="77777777" w:rsidR="003E5BF5" w:rsidRPr="007444F0" w:rsidRDefault="003E5BF5" w:rsidP="00DE1921">
      <w:pPr>
        <w:spacing w:after="0"/>
      </w:pPr>
      <w:r>
        <w:rPr>
          <w:noProof/>
        </w:rPr>
        <w:lastRenderedPageBreak/>
        <w:drawing>
          <wp:inline distT="0" distB="0" distL="0" distR="0" wp14:anchorId="099167B6" wp14:editId="21709069">
            <wp:extent cx="5387975" cy="7230204"/>
            <wp:effectExtent l="171450" t="171450" r="365125" b="370840"/>
            <wp:docPr id="28" name="Picture 28" descr="This is an image of the Victorian Auditor-General's Office, Independent Auditor's Report, page 4 of 5. The Independent Auditor's Report confirms that the Victorian Auditor-General's Office has audited the financial report of the Department of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partment of Transport Audit Opinion 30 June 2020_Page_4.jpg"/>
                    <pic:cNvPicPr/>
                  </pic:nvPicPr>
                  <pic:blipFill rotWithShape="1">
                    <a:blip r:embed="rId51" cstate="print">
                      <a:extLst>
                        <a:ext uri="{28A0092B-C50C-407E-A947-70E740481C1C}">
                          <a14:useLocalDpi xmlns:a14="http://schemas.microsoft.com/office/drawing/2010/main" val="0"/>
                        </a:ext>
                      </a:extLst>
                    </a:blip>
                    <a:srcRect l="3146" t="2970" r="3277" b="1"/>
                    <a:stretch/>
                  </pic:blipFill>
                  <pic:spPr bwMode="auto">
                    <a:xfrm>
                      <a:off x="0" y="0"/>
                      <a:ext cx="5389455" cy="72321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458989B" w14:textId="77777777" w:rsidR="003E5BF5" w:rsidRPr="007444F0" w:rsidRDefault="003E5BF5" w:rsidP="00DE1921">
      <w:pPr>
        <w:sectPr w:rsidR="003E5BF5" w:rsidRPr="007444F0" w:rsidSect="00DE1921">
          <w:pgSz w:w="11906" w:h="16838"/>
          <w:pgMar w:top="1701" w:right="1418" w:bottom="1418" w:left="1418" w:header="708" w:footer="708" w:gutter="0"/>
          <w:cols w:space="708"/>
          <w:docGrid w:linePitch="360"/>
        </w:sectPr>
      </w:pPr>
    </w:p>
    <w:p w14:paraId="05E37A15" w14:textId="77777777" w:rsidR="003E5BF5" w:rsidRPr="007444F0" w:rsidRDefault="003E5BF5" w:rsidP="00DE1921">
      <w:pPr>
        <w:sectPr w:rsidR="003E5BF5" w:rsidRPr="007444F0" w:rsidSect="00DE1921">
          <w:pgSz w:w="11906" w:h="16838"/>
          <w:pgMar w:top="1701" w:right="1418" w:bottom="1418" w:left="1418" w:header="708" w:footer="708" w:gutter="0"/>
          <w:cols w:space="708"/>
          <w:docGrid w:linePitch="360"/>
        </w:sectPr>
      </w:pPr>
      <w:r>
        <w:rPr>
          <w:noProof/>
        </w:rPr>
        <w:lastRenderedPageBreak/>
        <w:drawing>
          <wp:inline distT="0" distB="0" distL="0" distR="0" wp14:anchorId="1B4FDE5A" wp14:editId="783D263C">
            <wp:extent cx="5400675" cy="7204577"/>
            <wp:effectExtent l="171450" t="171450" r="352425" b="358775"/>
            <wp:docPr id="29" name="Picture 29" descr="This is an image of the Victorian Auditor-General's Office, Independent Auditor's Report, page 5 of 5. The Independent Auditor's Report confirms that the Victorian Auditor-General's Office has audited the financial report of the Department of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partment of Transport Audit Opinion 30 June 2020_Page_5.jpg"/>
                    <pic:cNvPicPr/>
                  </pic:nvPicPr>
                  <pic:blipFill rotWithShape="1">
                    <a:blip r:embed="rId52" cstate="print">
                      <a:extLst>
                        <a:ext uri="{28A0092B-C50C-407E-A947-70E740481C1C}">
                          <a14:useLocalDpi xmlns:a14="http://schemas.microsoft.com/office/drawing/2010/main" val="0"/>
                        </a:ext>
                      </a:extLst>
                    </a:blip>
                    <a:srcRect l="2932" t="3301" r="3276"/>
                    <a:stretch/>
                  </pic:blipFill>
                  <pic:spPr bwMode="auto">
                    <a:xfrm>
                      <a:off x="0" y="0"/>
                      <a:ext cx="5401908" cy="72062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2CF3034" w14:textId="77777777" w:rsidR="003E5BF5" w:rsidRPr="00B57035" w:rsidRDefault="003E5BF5" w:rsidP="008A0170">
      <w:pPr>
        <w:pStyle w:val="Heading1"/>
      </w:pPr>
      <w:bookmarkStart w:id="24" w:name="p53"/>
      <w:bookmarkStart w:id="25" w:name="_Toc55130685"/>
      <w:bookmarkStart w:id="26" w:name="_Toc530384151"/>
      <w:bookmarkStart w:id="27" w:name="_Toc530384446"/>
      <w:bookmarkStart w:id="28" w:name="_Toc530385288"/>
      <w:bookmarkStart w:id="29" w:name="_Toc530387386"/>
      <w:bookmarkStart w:id="30" w:name="_Toc530387578"/>
      <w:bookmarkStart w:id="31" w:name="_Toc530388236"/>
      <w:bookmarkStart w:id="32" w:name="_Toc530400357"/>
      <w:bookmarkStart w:id="33" w:name="_Toc530400696"/>
      <w:bookmarkStart w:id="34" w:name="OS"/>
      <w:bookmarkEnd w:id="24"/>
      <w:r w:rsidRPr="00B57035">
        <w:lastRenderedPageBreak/>
        <w:t>Comprehensive operating statement</w:t>
      </w:r>
      <w:bookmarkEnd w:id="25"/>
      <w:r w:rsidRPr="00B57035">
        <w:t xml:space="preserve"> </w:t>
      </w:r>
    </w:p>
    <w:p w14:paraId="6178F3AF" w14:textId="77777777" w:rsidR="003E5BF5" w:rsidRPr="00722452" w:rsidRDefault="003E5BF5" w:rsidP="008A0170">
      <w:pPr>
        <w:pStyle w:val="Heading3"/>
      </w:pPr>
      <w:r w:rsidRPr="00722452">
        <w:t xml:space="preserve">for the financial year ended 30 June </w:t>
      </w:r>
      <w:bookmarkEnd w:id="26"/>
      <w:bookmarkEnd w:id="27"/>
      <w:bookmarkEnd w:id="28"/>
      <w:bookmarkEnd w:id="29"/>
      <w:bookmarkEnd w:id="30"/>
      <w:bookmarkEnd w:id="31"/>
      <w:bookmarkEnd w:id="32"/>
      <w:bookmarkEnd w:id="33"/>
      <w:bookmarkEnd w:id="34"/>
      <w:r w:rsidRPr="00722452">
        <w:t>2020</w:t>
      </w:r>
      <w:bookmarkStart w:id="35" w:name="RANGE!A3:D34"/>
      <w:bookmarkStart w:id="36" w:name="RANGE!A2:H32"/>
      <w:bookmarkStart w:id="37" w:name="RANGE!A3:D33"/>
      <w:bookmarkStart w:id="38" w:name="_Toc530384152"/>
      <w:bookmarkStart w:id="39" w:name="_Toc530384447"/>
      <w:bookmarkStart w:id="40" w:name="_Toc530385289"/>
      <w:bookmarkStart w:id="41" w:name="_Toc530387387"/>
      <w:bookmarkStart w:id="42" w:name="_Toc530387579"/>
      <w:bookmarkStart w:id="43" w:name="_Toc530388237"/>
      <w:bookmarkStart w:id="44" w:name="_Toc530400358"/>
      <w:bookmarkStart w:id="45" w:name="_Toc530400697"/>
      <w:bookmarkEnd w:id="35"/>
      <w:bookmarkEnd w:id="36"/>
      <w:bookmarkEnd w:id="37"/>
    </w:p>
    <w:tbl>
      <w:tblPr>
        <w:tblStyle w:val="TableGrid"/>
        <w:tblW w:w="9107" w:type="dxa"/>
        <w:tblLayout w:type="fixed"/>
        <w:tblLook w:val="04A0" w:firstRow="1" w:lastRow="0" w:firstColumn="1" w:lastColumn="0" w:noHBand="0" w:noVBand="1"/>
      </w:tblPr>
      <w:tblGrid>
        <w:gridCol w:w="5027"/>
        <w:gridCol w:w="850"/>
        <w:gridCol w:w="1615"/>
        <w:gridCol w:w="1615"/>
      </w:tblGrid>
      <w:tr w:rsidR="00BA1E17" w:rsidRPr="00B67173" w14:paraId="3BC652F2" w14:textId="77777777" w:rsidTr="00580100">
        <w:trPr>
          <w:trHeight w:val="340"/>
        </w:trPr>
        <w:tc>
          <w:tcPr>
            <w:tcW w:w="5027" w:type="dxa"/>
            <w:shd w:val="clear" w:color="auto" w:fill="auto"/>
            <w:noWrap/>
            <w:hideMark/>
          </w:tcPr>
          <w:p w14:paraId="782974A3" w14:textId="77777777" w:rsidR="00BA1E17" w:rsidRPr="00B67173" w:rsidRDefault="00BA1E17" w:rsidP="00DE1921">
            <w:pPr>
              <w:rPr>
                <w:rFonts w:ascii="Arial" w:hAnsi="Arial" w:cs="Arial"/>
                <w:sz w:val="24"/>
                <w:szCs w:val="24"/>
                <w:lang w:eastAsia="en-AU"/>
              </w:rPr>
            </w:pPr>
          </w:p>
        </w:tc>
        <w:tc>
          <w:tcPr>
            <w:tcW w:w="850" w:type="dxa"/>
            <w:shd w:val="clear" w:color="auto" w:fill="auto"/>
            <w:noWrap/>
            <w:hideMark/>
          </w:tcPr>
          <w:p w14:paraId="696C8FEB" w14:textId="77777777" w:rsidR="00BA1E17" w:rsidRPr="00B67173" w:rsidRDefault="00BA1E17" w:rsidP="00DE1921">
            <w:pPr>
              <w:rPr>
                <w:rFonts w:ascii="Arial" w:hAnsi="Arial" w:cs="Arial"/>
                <w:sz w:val="24"/>
                <w:szCs w:val="24"/>
                <w:lang w:eastAsia="en-AU"/>
              </w:rPr>
            </w:pPr>
          </w:p>
        </w:tc>
        <w:tc>
          <w:tcPr>
            <w:tcW w:w="1615" w:type="dxa"/>
            <w:shd w:val="clear" w:color="auto" w:fill="auto"/>
            <w:noWrap/>
            <w:vAlign w:val="center"/>
            <w:hideMark/>
          </w:tcPr>
          <w:p w14:paraId="2FD106A1" w14:textId="77777777" w:rsidR="00BA1E17" w:rsidRPr="00BA1E17" w:rsidRDefault="00BA1E17" w:rsidP="00DE1921">
            <w:pPr>
              <w:jc w:val="center"/>
              <w:rPr>
                <w:rFonts w:ascii="Arial" w:hAnsi="Arial" w:cs="Arial"/>
                <w:b/>
                <w:bCs/>
                <w:lang w:eastAsia="en-AU"/>
              </w:rPr>
            </w:pPr>
            <w:r w:rsidRPr="00BA1E17">
              <w:rPr>
                <w:rFonts w:ascii="Arial" w:hAnsi="Arial" w:cs="Arial"/>
                <w:b/>
                <w:bCs/>
                <w:lang w:eastAsia="en-AU"/>
              </w:rPr>
              <w:t>($ thousand)</w:t>
            </w:r>
          </w:p>
        </w:tc>
        <w:tc>
          <w:tcPr>
            <w:tcW w:w="1615" w:type="dxa"/>
            <w:shd w:val="clear" w:color="auto" w:fill="auto"/>
            <w:vAlign w:val="center"/>
          </w:tcPr>
          <w:p w14:paraId="04DA0A35" w14:textId="4419A523" w:rsidR="00BA1E17" w:rsidRPr="00BA1E17" w:rsidRDefault="00BA1E17" w:rsidP="00DE1921">
            <w:pPr>
              <w:jc w:val="center"/>
              <w:rPr>
                <w:rFonts w:ascii="Arial" w:hAnsi="Arial" w:cs="Arial"/>
                <w:b/>
                <w:bCs/>
                <w:lang w:eastAsia="en-AU"/>
              </w:rPr>
            </w:pPr>
            <w:r w:rsidRPr="00BA1E17">
              <w:rPr>
                <w:rFonts w:ascii="Arial" w:hAnsi="Arial" w:cs="Arial"/>
                <w:b/>
                <w:bCs/>
                <w:lang w:eastAsia="en-AU"/>
              </w:rPr>
              <w:t>($ thousand)</w:t>
            </w:r>
          </w:p>
        </w:tc>
      </w:tr>
      <w:tr w:rsidR="003E5BF5" w:rsidRPr="00B67173" w14:paraId="77135DDF" w14:textId="77777777" w:rsidTr="005859E4">
        <w:trPr>
          <w:trHeight w:val="340"/>
        </w:trPr>
        <w:tc>
          <w:tcPr>
            <w:tcW w:w="5027" w:type="dxa"/>
            <w:shd w:val="clear" w:color="auto" w:fill="auto"/>
            <w:noWrap/>
            <w:hideMark/>
          </w:tcPr>
          <w:p w14:paraId="4268D087" w14:textId="77777777" w:rsidR="003E5BF5" w:rsidRPr="00B67173" w:rsidRDefault="003E5BF5" w:rsidP="00DE1921">
            <w:pPr>
              <w:rPr>
                <w:rFonts w:ascii="Arial" w:hAnsi="Arial" w:cs="Arial"/>
                <w:sz w:val="24"/>
                <w:szCs w:val="24"/>
                <w:lang w:eastAsia="en-AU"/>
              </w:rPr>
            </w:pPr>
          </w:p>
        </w:tc>
        <w:tc>
          <w:tcPr>
            <w:tcW w:w="850" w:type="dxa"/>
            <w:shd w:val="clear" w:color="auto" w:fill="auto"/>
            <w:noWrap/>
            <w:vAlign w:val="center"/>
            <w:hideMark/>
          </w:tcPr>
          <w:p w14:paraId="4A1490E0"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lang w:eastAsia="en-AU"/>
              </w:rPr>
              <w:t>Note</w:t>
            </w:r>
          </w:p>
        </w:tc>
        <w:tc>
          <w:tcPr>
            <w:tcW w:w="1615" w:type="dxa"/>
            <w:shd w:val="clear" w:color="auto" w:fill="auto"/>
            <w:noWrap/>
            <w:vAlign w:val="center"/>
            <w:hideMark/>
          </w:tcPr>
          <w:p w14:paraId="1206C64E"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lang w:eastAsia="en-AU"/>
              </w:rPr>
              <w:t>2020</w:t>
            </w:r>
          </w:p>
        </w:tc>
        <w:tc>
          <w:tcPr>
            <w:tcW w:w="1615" w:type="dxa"/>
            <w:shd w:val="clear" w:color="auto" w:fill="auto"/>
            <w:noWrap/>
            <w:vAlign w:val="center"/>
            <w:hideMark/>
          </w:tcPr>
          <w:p w14:paraId="28F26B84"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lang w:eastAsia="en-AU"/>
              </w:rPr>
              <w:t>2019</w:t>
            </w:r>
          </w:p>
        </w:tc>
      </w:tr>
      <w:tr w:rsidR="003E5BF5" w:rsidRPr="00B67173" w14:paraId="37D37A8A" w14:textId="77777777" w:rsidTr="005859E4">
        <w:trPr>
          <w:trHeight w:val="340"/>
        </w:trPr>
        <w:tc>
          <w:tcPr>
            <w:tcW w:w="5027" w:type="dxa"/>
            <w:shd w:val="clear" w:color="auto" w:fill="auto"/>
            <w:noWrap/>
            <w:vAlign w:val="center"/>
            <w:hideMark/>
          </w:tcPr>
          <w:p w14:paraId="3D0539AF" w14:textId="77777777" w:rsidR="003E5BF5" w:rsidRPr="00B67173" w:rsidRDefault="003E5BF5" w:rsidP="00604703">
            <w:pPr>
              <w:pStyle w:val="TableTextGreen"/>
            </w:pPr>
            <w:r w:rsidRPr="00B67173">
              <w:t>Income from transactions</w:t>
            </w:r>
          </w:p>
        </w:tc>
        <w:tc>
          <w:tcPr>
            <w:tcW w:w="850" w:type="dxa"/>
            <w:shd w:val="clear" w:color="auto" w:fill="auto"/>
            <w:noWrap/>
            <w:vAlign w:val="center"/>
            <w:hideMark/>
          </w:tcPr>
          <w:p w14:paraId="0C82CA37" w14:textId="77777777" w:rsidR="003E5BF5" w:rsidRPr="00B67173" w:rsidRDefault="003E5BF5" w:rsidP="00DE1921">
            <w:pPr>
              <w:jc w:val="right"/>
              <w:rPr>
                <w:rFonts w:ascii="Arial" w:hAnsi="Arial" w:cs="Arial"/>
                <w:b/>
                <w:bCs/>
                <w:sz w:val="24"/>
                <w:szCs w:val="24"/>
                <w:lang w:eastAsia="en-AU"/>
              </w:rPr>
            </w:pPr>
          </w:p>
        </w:tc>
        <w:tc>
          <w:tcPr>
            <w:tcW w:w="1615" w:type="dxa"/>
            <w:shd w:val="clear" w:color="auto" w:fill="auto"/>
            <w:noWrap/>
            <w:vAlign w:val="center"/>
            <w:hideMark/>
          </w:tcPr>
          <w:p w14:paraId="10945914" w14:textId="77777777" w:rsidR="003E5BF5" w:rsidRPr="00B67173" w:rsidRDefault="003E5BF5" w:rsidP="00DE1921">
            <w:pPr>
              <w:jc w:val="right"/>
              <w:rPr>
                <w:rFonts w:ascii="Arial" w:hAnsi="Arial" w:cs="Arial"/>
                <w:sz w:val="24"/>
                <w:szCs w:val="24"/>
                <w:lang w:eastAsia="en-AU"/>
              </w:rPr>
            </w:pPr>
          </w:p>
        </w:tc>
        <w:tc>
          <w:tcPr>
            <w:tcW w:w="1615" w:type="dxa"/>
            <w:shd w:val="clear" w:color="auto" w:fill="auto"/>
            <w:noWrap/>
            <w:vAlign w:val="center"/>
            <w:hideMark/>
          </w:tcPr>
          <w:p w14:paraId="262A177A" w14:textId="77777777" w:rsidR="003E5BF5" w:rsidRPr="00B67173" w:rsidRDefault="003E5BF5" w:rsidP="00DE1921">
            <w:pPr>
              <w:jc w:val="right"/>
              <w:rPr>
                <w:rFonts w:ascii="Arial" w:hAnsi="Arial" w:cs="Arial"/>
                <w:sz w:val="24"/>
                <w:szCs w:val="24"/>
                <w:lang w:eastAsia="en-AU"/>
              </w:rPr>
            </w:pPr>
          </w:p>
        </w:tc>
      </w:tr>
      <w:tr w:rsidR="003E5BF5" w:rsidRPr="00B67173" w14:paraId="70F3CA3C" w14:textId="77777777" w:rsidTr="005859E4">
        <w:trPr>
          <w:trHeight w:val="340"/>
        </w:trPr>
        <w:tc>
          <w:tcPr>
            <w:tcW w:w="5027" w:type="dxa"/>
            <w:shd w:val="clear" w:color="auto" w:fill="auto"/>
            <w:noWrap/>
            <w:vAlign w:val="center"/>
            <w:hideMark/>
          </w:tcPr>
          <w:p w14:paraId="4710C418"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Output appropriations</w:t>
            </w:r>
          </w:p>
        </w:tc>
        <w:tc>
          <w:tcPr>
            <w:tcW w:w="850" w:type="dxa"/>
            <w:shd w:val="clear" w:color="auto" w:fill="auto"/>
            <w:noWrap/>
            <w:vAlign w:val="center"/>
            <w:hideMark/>
          </w:tcPr>
          <w:p w14:paraId="693F9CE4" w14:textId="77777777" w:rsidR="003E5BF5" w:rsidRPr="00B67173" w:rsidRDefault="009B2DDD" w:rsidP="00DE1921">
            <w:pPr>
              <w:jc w:val="right"/>
              <w:rPr>
                <w:rFonts w:ascii="Arial" w:hAnsi="Arial" w:cs="Arial"/>
                <w:sz w:val="24"/>
                <w:szCs w:val="24"/>
                <w:lang w:eastAsia="en-AU"/>
              </w:rPr>
            </w:pPr>
            <w:hyperlink w:anchor="_Summary_of_compliance" w:history="1">
              <w:r w:rsidR="003E5BF5" w:rsidRPr="00B67173">
                <w:rPr>
                  <w:rStyle w:val="Hyperlink"/>
                  <w:rFonts w:ascii="Arial" w:hAnsi="Arial" w:cs="Arial"/>
                  <w:sz w:val="24"/>
                  <w:szCs w:val="24"/>
                  <w:lang w:eastAsia="en-AU"/>
                </w:rPr>
                <w:t>2.1.1</w:t>
              </w:r>
            </w:hyperlink>
          </w:p>
        </w:tc>
        <w:tc>
          <w:tcPr>
            <w:tcW w:w="1615" w:type="dxa"/>
            <w:shd w:val="clear" w:color="auto" w:fill="auto"/>
            <w:noWrap/>
            <w:vAlign w:val="center"/>
            <w:hideMark/>
          </w:tcPr>
          <w:p w14:paraId="4872BE4E"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 xml:space="preserve">7,540,969 </w:t>
            </w:r>
          </w:p>
        </w:tc>
        <w:tc>
          <w:tcPr>
            <w:tcW w:w="1615" w:type="dxa"/>
            <w:shd w:val="clear" w:color="auto" w:fill="auto"/>
            <w:noWrap/>
            <w:vAlign w:val="center"/>
            <w:hideMark/>
          </w:tcPr>
          <w:p w14:paraId="74FB8A41"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 xml:space="preserve">7,459,163 </w:t>
            </w:r>
          </w:p>
        </w:tc>
      </w:tr>
      <w:tr w:rsidR="003E5BF5" w:rsidRPr="00B67173" w14:paraId="4F6F8802" w14:textId="77777777" w:rsidTr="005859E4">
        <w:trPr>
          <w:trHeight w:val="340"/>
        </w:trPr>
        <w:tc>
          <w:tcPr>
            <w:tcW w:w="5027" w:type="dxa"/>
            <w:shd w:val="clear" w:color="auto" w:fill="auto"/>
            <w:noWrap/>
            <w:vAlign w:val="center"/>
            <w:hideMark/>
          </w:tcPr>
          <w:p w14:paraId="53A24BEB"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Special appropriations</w:t>
            </w:r>
          </w:p>
        </w:tc>
        <w:tc>
          <w:tcPr>
            <w:tcW w:w="850" w:type="dxa"/>
            <w:shd w:val="clear" w:color="auto" w:fill="auto"/>
            <w:noWrap/>
            <w:vAlign w:val="center"/>
            <w:hideMark/>
          </w:tcPr>
          <w:p w14:paraId="14475469" w14:textId="77777777" w:rsidR="003E5BF5" w:rsidRPr="00B67173" w:rsidRDefault="009B2DDD" w:rsidP="00DE1921">
            <w:pPr>
              <w:jc w:val="right"/>
              <w:rPr>
                <w:rFonts w:ascii="Arial" w:hAnsi="Arial" w:cs="Arial"/>
                <w:sz w:val="24"/>
                <w:szCs w:val="24"/>
                <w:lang w:eastAsia="en-AU"/>
              </w:rPr>
            </w:pPr>
            <w:hyperlink w:anchor="_Summary_of_compliance_1" w:history="1">
              <w:r w:rsidR="003E5BF5" w:rsidRPr="00B67173">
                <w:rPr>
                  <w:rStyle w:val="Hyperlink"/>
                  <w:rFonts w:ascii="Arial" w:hAnsi="Arial" w:cs="Arial"/>
                  <w:sz w:val="24"/>
                  <w:szCs w:val="24"/>
                  <w:lang w:eastAsia="en-AU"/>
                </w:rPr>
                <w:t>2.1.2</w:t>
              </w:r>
            </w:hyperlink>
          </w:p>
        </w:tc>
        <w:tc>
          <w:tcPr>
            <w:tcW w:w="1615" w:type="dxa"/>
            <w:shd w:val="clear" w:color="auto" w:fill="auto"/>
            <w:noWrap/>
            <w:vAlign w:val="center"/>
            <w:hideMark/>
          </w:tcPr>
          <w:p w14:paraId="0F7DF20D"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 xml:space="preserve">438,547 </w:t>
            </w:r>
          </w:p>
        </w:tc>
        <w:tc>
          <w:tcPr>
            <w:tcW w:w="1615" w:type="dxa"/>
            <w:shd w:val="clear" w:color="auto" w:fill="auto"/>
            <w:noWrap/>
            <w:vAlign w:val="center"/>
            <w:hideMark/>
          </w:tcPr>
          <w:p w14:paraId="6DBB8F26"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 xml:space="preserve">127,098 </w:t>
            </w:r>
          </w:p>
        </w:tc>
      </w:tr>
      <w:tr w:rsidR="003E5BF5" w:rsidRPr="00B67173" w14:paraId="1BAA0B11" w14:textId="77777777" w:rsidTr="005859E4">
        <w:trPr>
          <w:trHeight w:val="340"/>
        </w:trPr>
        <w:tc>
          <w:tcPr>
            <w:tcW w:w="5027" w:type="dxa"/>
            <w:shd w:val="clear" w:color="auto" w:fill="auto"/>
            <w:noWrap/>
            <w:vAlign w:val="center"/>
            <w:hideMark/>
          </w:tcPr>
          <w:p w14:paraId="04C1A174"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 xml:space="preserve">Regional Jobs and Infrastructure Fund appropriations </w:t>
            </w:r>
            <w:r w:rsidRPr="00B67173">
              <w:rPr>
                <w:rFonts w:ascii="Arial" w:hAnsi="Arial" w:cs="Arial"/>
                <w:sz w:val="24"/>
                <w:szCs w:val="24"/>
                <w:vertAlign w:val="superscript"/>
                <w:lang w:eastAsia="en-AU"/>
              </w:rPr>
              <w:t>(</w:t>
            </w:r>
            <w:proofErr w:type="spellStart"/>
            <w:r w:rsidRPr="00B67173">
              <w:rPr>
                <w:rFonts w:ascii="Arial" w:hAnsi="Arial" w:cs="Arial"/>
                <w:sz w:val="24"/>
                <w:szCs w:val="24"/>
                <w:vertAlign w:val="superscript"/>
                <w:lang w:eastAsia="en-AU"/>
              </w:rPr>
              <w:t>i</w:t>
            </w:r>
            <w:proofErr w:type="spellEnd"/>
            <w:r w:rsidRPr="00B67173">
              <w:rPr>
                <w:rFonts w:ascii="Arial" w:hAnsi="Arial" w:cs="Arial"/>
                <w:sz w:val="24"/>
                <w:szCs w:val="24"/>
                <w:vertAlign w:val="superscript"/>
                <w:lang w:eastAsia="en-AU"/>
              </w:rPr>
              <w:t>)</w:t>
            </w:r>
          </w:p>
        </w:tc>
        <w:tc>
          <w:tcPr>
            <w:tcW w:w="850" w:type="dxa"/>
            <w:shd w:val="clear" w:color="auto" w:fill="auto"/>
            <w:noWrap/>
            <w:vAlign w:val="center"/>
            <w:hideMark/>
          </w:tcPr>
          <w:p w14:paraId="135B81C3" w14:textId="77777777" w:rsidR="003E5BF5" w:rsidRPr="00B67173" w:rsidRDefault="009B2DDD" w:rsidP="00DE1921">
            <w:pPr>
              <w:jc w:val="right"/>
              <w:rPr>
                <w:rFonts w:ascii="Arial" w:hAnsi="Arial" w:cs="Arial"/>
                <w:sz w:val="24"/>
                <w:szCs w:val="24"/>
                <w:lang w:eastAsia="en-AU"/>
              </w:rPr>
            </w:pPr>
            <w:hyperlink w:anchor="_Summary_of_compliance" w:history="1">
              <w:r w:rsidR="003E5BF5" w:rsidRPr="00B67173">
                <w:rPr>
                  <w:rStyle w:val="Hyperlink"/>
                  <w:rFonts w:ascii="Arial" w:hAnsi="Arial" w:cs="Arial"/>
                  <w:sz w:val="24"/>
                  <w:szCs w:val="24"/>
                  <w:lang w:eastAsia="en-AU"/>
                </w:rPr>
                <w:t>2.1.1</w:t>
              </w:r>
            </w:hyperlink>
          </w:p>
        </w:tc>
        <w:tc>
          <w:tcPr>
            <w:tcW w:w="1615" w:type="dxa"/>
            <w:shd w:val="clear" w:color="auto" w:fill="auto"/>
            <w:noWrap/>
            <w:vAlign w:val="center"/>
            <w:hideMark/>
          </w:tcPr>
          <w:p w14:paraId="388DC62B" w14:textId="77777777" w:rsidR="003E5BF5" w:rsidRPr="00B67173" w:rsidRDefault="003E5BF5" w:rsidP="00DE1921">
            <w:pPr>
              <w:jc w:val="right"/>
              <w:rPr>
                <w:rFonts w:ascii="Arial" w:hAnsi="Arial" w:cs="Arial"/>
                <w:sz w:val="24"/>
                <w:szCs w:val="24"/>
                <w:lang w:eastAsia="en-AU"/>
              </w:rPr>
            </w:pPr>
            <w:r w:rsidRPr="00B67173">
              <w:rPr>
                <w:rFonts w:ascii="Arial" w:hAnsi="Arial" w:cs="Arial"/>
                <w:b/>
                <w:sz w:val="24"/>
                <w:szCs w:val="24"/>
              </w:rPr>
              <w:t>-</w:t>
            </w:r>
            <w:r w:rsidRPr="00B67173">
              <w:rPr>
                <w:rFonts w:ascii="Arial" w:hAnsi="Arial" w:cs="Arial"/>
                <w:sz w:val="24"/>
                <w:szCs w:val="24"/>
              </w:rPr>
              <w:t xml:space="preserve"> </w:t>
            </w:r>
          </w:p>
        </w:tc>
        <w:tc>
          <w:tcPr>
            <w:tcW w:w="1615" w:type="dxa"/>
            <w:shd w:val="clear" w:color="auto" w:fill="auto"/>
            <w:noWrap/>
            <w:vAlign w:val="center"/>
            <w:hideMark/>
          </w:tcPr>
          <w:p w14:paraId="31F83F88"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 xml:space="preserve">62,500 </w:t>
            </w:r>
          </w:p>
        </w:tc>
      </w:tr>
      <w:tr w:rsidR="003E5BF5" w:rsidRPr="00B67173" w14:paraId="0F9F5149" w14:textId="77777777" w:rsidTr="005859E4">
        <w:trPr>
          <w:trHeight w:val="340"/>
        </w:trPr>
        <w:tc>
          <w:tcPr>
            <w:tcW w:w="5027" w:type="dxa"/>
            <w:shd w:val="clear" w:color="auto" w:fill="auto"/>
            <w:noWrap/>
            <w:vAlign w:val="center"/>
            <w:hideMark/>
          </w:tcPr>
          <w:p w14:paraId="657749AA"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Grant income</w:t>
            </w:r>
          </w:p>
        </w:tc>
        <w:tc>
          <w:tcPr>
            <w:tcW w:w="850" w:type="dxa"/>
            <w:shd w:val="clear" w:color="auto" w:fill="auto"/>
            <w:noWrap/>
            <w:vAlign w:val="center"/>
            <w:hideMark/>
          </w:tcPr>
          <w:p w14:paraId="2C51EB55" w14:textId="77777777" w:rsidR="003E5BF5" w:rsidRPr="00B67173" w:rsidRDefault="009B2DDD" w:rsidP="00DE1921">
            <w:pPr>
              <w:jc w:val="right"/>
              <w:rPr>
                <w:rFonts w:ascii="Arial" w:hAnsi="Arial" w:cs="Arial"/>
                <w:sz w:val="24"/>
                <w:szCs w:val="24"/>
                <w:lang w:eastAsia="en-AU"/>
              </w:rPr>
            </w:pPr>
            <w:hyperlink w:anchor="_Grants_income" w:history="1">
              <w:r w:rsidR="003E5BF5" w:rsidRPr="00B67173">
                <w:rPr>
                  <w:rFonts w:ascii="Arial" w:hAnsi="Arial" w:cs="Arial"/>
                  <w:sz w:val="24"/>
                  <w:szCs w:val="24"/>
                </w:rPr>
                <w:t>2.2</w:t>
              </w:r>
            </w:hyperlink>
          </w:p>
        </w:tc>
        <w:tc>
          <w:tcPr>
            <w:tcW w:w="1615" w:type="dxa"/>
            <w:shd w:val="clear" w:color="auto" w:fill="auto"/>
            <w:noWrap/>
            <w:vAlign w:val="center"/>
            <w:hideMark/>
          </w:tcPr>
          <w:p w14:paraId="5DBDD6EC"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lang w:eastAsia="en-AU"/>
              </w:rPr>
              <w:t xml:space="preserve">466,928 </w:t>
            </w:r>
          </w:p>
        </w:tc>
        <w:tc>
          <w:tcPr>
            <w:tcW w:w="1615" w:type="dxa"/>
            <w:shd w:val="clear" w:color="auto" w:fill="auto"/>
            <w:noWrap/>
            <w:vAlign w:val="center"/>
            <w:hideMark/>
          </w:tcPr>
          <w:p w14:paraId="56EAFAAB"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lang w:eastAsia="en-AU"/>
              </w:rPr>
              <w:t xml:space="preserve">143,956 </w:t>
            </w:r>
          </w:p>
        </w:tc>
      </w:tr>
      <w:tr w:rsidR="003E5BF5" w:rsidRPr="00B67173" w14:paraId="7B2E7E1A" w14:textId="77777777" w:rsidTr="005859E4">
        <w:trPr>
          <w:trHeight w:val="340"/>
        </w:trPr>
        <w:tc>
          <w:tcPr>
            <w:tcW w:w="5027" w:type="dxa"/>
            <w:shd w:val="clear" w:color="auto" w:fill="auto"/>
            <w:noWrap/>
            <w:vAlign w:val="center"/>
            <w:hideMark/>
          </w:tcPr>
          <w:p w14:paraId="6DFE04DB"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Sale of goods and services</w:t>
            </w:r>
          </w:p>
        </w:tc>
        <w:tc>
          <w:tcPr>
            <w:tcW w:w="850" w:type="dxa"/>
            <w:shd w:val="clear" w:color="auto" w:fill="auto"/>
            <w:noWrap/>
            <w:vAlign w:val="center"/>
            <w:hideMark/>
          </w:tcPr>
          <w:p w14:paraId="450D2D42" w14:textId="77777777" w:rsidR="003E5BF5" w:rsidRPr="00B67173" w:rsidRDefault="009B2DDD" w:rsidP="00DE1921">
            <w:pPr>
              <w:jc w:val="right"/>
              <w:rPr>
                <w:rFonts w:ascii="Arial" w:hAnsi="Arial" w:cs="Arial"/>
                <w:sz w:val="24"/>
                <w:szCs w:val="24"/>
                <w:lang w:eastAsia="en-AU"/>
              </w:rPr>
            </w:pPr>
            <w:hyperlink w:anchor="_Sale_of_goods" w:history="1">
              <w:r w:rsidR="003E5BF5" w:rsidRPr="00B67173">
                <w:rPr>
                  <w:rStyle w:val="Hyperlink"/>
                  <w:rFonts w:ascii="Arial" w:hAnsi="Arial" w:cs="Arial"/>
                  <w:sz w:val="24"/>
                  <w:szCs w:val="24"/>
                  <w:lang w:eastAsia="en-AU"/>
                </w:rPr>
                <w:t>2.3</w:t>
              </w:r>
            </w:hyperlink>
          </w:p>
        </w:tc>
        <w:tc>
          <w:tcPr>
            <w:tcW w:w="1615" w:type="dxa"/>
            <w:shd w:val="clear" w:color="auto" w:fill="auto"/>
            <w:noWrap/>
            <w:vAlign w:val="center"/>
            <w:hideMark/>
          </w:tcPr>
          <w:p w14:paraId="258E25CE"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 xml:space="preserve">370,181 </w:t>
            </w:r>
          </w:p>
        </w:tc>
        <w:tc>
          <w:tcPr>
            <w:tcW w:w="1615" w:type="dxa"/>
            <w:shd w:val="clear" w:color="auto" w:fill="auto"/>
            <w:noWrap/>
            <w:vAlign w:val="center"/>
            <w:hideMark/>
          </w:tcPr>
          <w:p w14:paraId="594D07BB"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 xml:space="preserve">18,641 </w:t>
            </w:r>
          </w:p>
        </w:tc>
      </w:tr>
      <w:tr w:rsidR="003E5BF5" w:rsidRPr="00B67173" w14:paraId="4D6763E9" w14:textId="77777777" w:rsidTr="005859E4">
        <w:trPr>
          <w:trHeight w:val="340"/>
        </w:trPr>
        <w:tc>
          <w:tcPr>
            <w:tcW w:w="5027" w:type="dxa"/>
            <w:shd w:val="clear" w:color="auto" w:fill="auto"/>
            <w:noWrap/>
            <w:vAlign w:val="center"/>
            <w:hideMark/>
          </w:tcPr>
          <w:p w14:paraId="41A89E3C"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Other income</w:t>
            </w:r>
          </w:p>
        </w:tc>
        <w:tc>
          <w:tcPr>
            <w:tcW w:w="850" w:type="dxa"/>
            <w:shd w:val="clear" w:color="auto" w:fill="auto"/>
            <w:noWrap/>
            <w:vAlign w:val="center"/>
            <w:hideMark/>
          </w:tcPr>
          <w:p w14:paraId="7CCB481F" w14:textId="77777777" w:rsidR="003E5BF5" w:rsidRPr="00B67173" w:rsidRDefault="009B2DDD" w:rsidP="00DE1921">
            <w:pPr>
              <w:jc w:val="right"/>
              <w:rPr>
                <w:rFonts w:ascii="Arial" w:hAnsi="Arial" w:cs="Arial"/>
                <w:sz w:val="24"/>
                <w:szCs w:val="24"/>
                <w:lang w:eastAsia="en-AU"/>
              </w:rPr>
            </w:pPr>
            <w:hyperlink w:anchor="_Other_income" w:history="1">
              <w:r w:rsidR="003E5BF5" w:rsidRPr="00B67173">
                <w:rPr>
                  <w:rStyle w:val="Hyperlink"/>
                  <w:rFonts w:ascii="Arial" w:hAnsi="Arial" w:cs="Arial"/>
                  <w:sz w:val="24"/>
                  <w:szCs w:val="24"/>
                  <w:lang w:eastAsia="en-AU"/>
                </w:rPr>
                <w:t>2.4</w:t>
              </w:r>
            </w:hyperlink>
          </w:p>
        </w:tc>
        <w:tc>
          <w:tcPr>
            <w:tcW w:w="1615" w:type="dxa"/>
            <w:shd w:val="clear" w:color="auto" w:fill="auto"/>
            <w:noWrap/>
            <w:vAlign w:val="center"/>
            <w:hideMark/>
          </w:tcPr>
          <w:p w14:paraId="1D9AD5C9"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 xml:space="preserve">283,803 </w:t>
            </w:r>
          </w:p>
        </w:tc>
        <w:tc>
          <w:tcPr>
            <w:tcW w:w="1615" w:type="dxa"/>
            <w:shd w:val="clear" w:color="auto" w:fill="auto"/>
            <w:noWrap/>
            <w:vAlign w:val="center"/>
            <w:hideMark/>
          </w:tcPr>
          <w:p w14:paraId="580831B2"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 xml:space="preserve">15,742 </w:t>
            </w:r>
          </w:p>
        </w:tc>
      </w:tr>
      <w:tr w:rsidR="003E5BF5" w:rsidRPr="00B67173" w14:paraId="59803BF1" w14:textId="77777777" w:rsidTr="005859E4">
        <w:trPr>
          <w:trHeight w:val="340"/>
        </w:trPr>
        <w:tc>
          <w:tcPr>
            <w:tcW w:w="5027" w:type="dxa"/>
            <w:shd w:val="clear" w:color="auto" w:fill="auto"/>
            <w:noWrap/>
            <w:vAlign w:val="center"/>
            <w:hideMark/>
          </w:tcPr>
          <w:p w14:paraId="1270D137" w14:textId="77777777" w:rsidR="003E5BF5" w:rsidRPr="00B67173" w:rsidRDefault="003E5BF5" w:rsidP="00DE1921">
            <w:pPr>
              <w:pStyle w:val="TableTextLeftBold"/>
              <w:rPr>
                <w:rFonts w:ascii="Arial" w:hAnsi="Arial" w:cs="Arial"/>
                <w:sz w:val="24"/>
                <w:szCs w:val="24"/>
              </w:rPr>
            </w:pPr>
            <w:r w:rsidRPr="00B67173">
              <w:rPr>
                <w:rFonts w:ascii="Arial" w:hAnsi="Arial" w:cs="Arial"/>
                <w:sz w:val="24"/>
                <w:szCs w:val="24"/>
              </w:rPr>
              <w:t>Total income from transactions</w:t>
            </w:r>
          </w:p>
        </w:tc>
        <w:tc>
          <w:tcPr>
            <w:tcW w:w="850" w:type="dxa"/>
            <w:shd w:val="clear" w:color="auto" w:fill="auto"/>
            <w:noWrap/>
            <w:vAlign w:val="center"/>
            <w:hideMark/>
          </w:tcPr>
          <w:p w14:paraId="0D16F038" w14:textId="77777777" w:rsidR="003E5BF5" w:rsidRPr="00B67173" w:rsidRDefault="003E5BF5" w:rsidP="00DE1921">
            <w:pPr>
              <w:jc w:val="right"/>
              <w:rPr>
                <w:rFonts w:ascii="Arial" w:hAnsi="Arial" w:cs="Arial"/>
                <w:sz w:val="24"/>
                <w:szCs w:val="24"/>
                <w:lang w:eastAsia="en-AU"/>
              </w:rPr>
            </w:pPr>
          </w:p>
        </w:tc>
        <w:tc>
          <w:tcPr>
            <w:tcW w:w="1615" w:type="dxa"/>
            <w:shd w:val="clear" w:color="auto" w:fill="auto"/>
            <w:noWrap/>
            <w:vAlign w:val="center"/>
            <w:hideMark/>
          </w:tcPr>
          <w:p w14:paraId="440A4187"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rPr>
              <w:t xml:space="preserve">9,100,428 </w:t>
            </w:r>
          </w:p>
        </w:tc>
        <w:tc>
          <w:tcPr>
            <w:tcW w:w="1615" w:type="dxa"/>
            <w:shd w:val="clear" w:color="auto" w:fill="auto"/>
            <w:noWrap/>
            <w:vAlign w:val="center"/>
            <w:hideMark/>
          </w:tcPr>
          <w:p w14:paraId="58809FD3"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rPr>
              <w:t xml:space="preserve">7,827,100 </w:t>
            </w:r>
          </w:p>
        </w:tc>
      </w:tr>
      <w:tr w:rsidR="003E5BF5" w:rsidRPr="00B67173" w14:paraId="04CD2218" w14:textId="77777777" w:rsidTr="005859E4">
        <w:trPr>
          <w:trHeight w:val="340"/>
        </w:trPr>
        <w:tc>
          <w:tcPr>
            <w:tcW w:w="5027" w:type="dxa"/>
            <w:shd w:val="clear" w:color="auto" w:fill="auto"/>
            <w:noWrap/>
            <w:vAlign w:val="center"/>
            <w:hideMark/>
          </w:tcPr>
          <w:p w14:paraId="278861AC" w14:textId="77777777" w:rsidR="003E5BF5" w:rsidRPr="00B67173" w:rsidRDefault="003E5BF5" w:rsidP="00604703">
            <w:pPr>
              <w:pStyle w:val="TableTextGreen"/>
            </w:pPr>
            <w:r w:rsidRPr="00B67173">
              <w:t>Expenses from transactions</w:t>
            </w:r>
          </w:p>
        </w:tc>
        <w:tc>
          <w:tcPr>
            <w:tcW w:w="850" w:type="dxa"/>
            <w:shd w:val="clear" w:color="auto" w:fill="auto"/>
            <w:noWrap/>
            <w:vAlign w:val="center"/>
            <w:hideMark/>
          </w:tcPr>
          <w:p w14:paraId="3617C426" w14:textId="77777777" w:rsidR="003E5BF5" w:rsidRPr="00B67173" w:rsidRDefault="003E5BF5" w:rsidP="00DE1921">
            <w:pPr>
              <w:jc w:val="right"/>
              <w:rPr>
                <w:rFonts w:ascii="Arial" w:hAnsi="Arial" w:cs="Arial"/>
                <w:sz w:val="24"/>
                <w:szCs w:val="24"/>
                <w:lang w:eastAsia="en-AU"/>
              </w:rPr>
            </w:pPr>
          </w:p>
        </w:tc>
        <w:tc>
          <w:tcPr>
            <w:tcW w:w="1615" w:type="dxa"/>
            <w:shd w:val="clear" w:color="auto" w:fill="auto"/>
            <w:noWrap/>
            <w:vAlign w:val="center"/>
            <w:hideMark/>
          </w:tcPr>
          <w:p w14:paraId="48CCB647" w14:textId="77777777" w:rsidR="003E5BF5" w:rsidRPr="00B67173" w:rsidRDefault="003E5BF5" w:rsidP="00DE1921">
            <w:pPr>
              <w:jc w:val="right"/>
              <w:rPr>
                <w:rFonts w:ascii="Arial" w:hAnsi="Arial" w:cs="Arial"/>
                <w:sz w:val="24"/>
                <w:szCs w:val="24"/>
                <w:lang w:eastAsia="en-AU"/>
              </w:rPr>
            </w:pPr>
          </w:p>
        </w:tc>
        <w:tc>
          <w:tcPr>
            <w:tcW w:w="1615" w:type="dxa"/>
            <w:shd w:val="clear" w:color="auto" w:fill="auto"/>
            <w:noWrap/>
            <w:vAlign w:val="center"/>
            <w:hideMark/>
          </w:tcPr>
          <w:p w14:paraId="70799EC7" w14:textId="77777777" w:rsidR="003E5BF5" w:rsidRPr="00B67173" w:rsidRDefault="003E5BF5" w:rsidP="00DE1921">
            <w:pPr>
              <w:jc w:val="right"/>
              <w:rPr>
                <w:rFonts w:ascii="Arial" w:hAnsi="Arial" w:cs="Arial"/>
                <w:sz w:val="24"/>
                <w:szCs w:val="24"/>
                <w:lang w:eastAsia="en-AU"/>
              </w:rPr>
            </w:pPr>
          </w:p>
        </w:tc>
      </w:tr>
      <w:tr w:rsidR="003E5BF5" w:rsidRPr="00B67173" w14:paraId="1ABB4180" w14:textId="77777777" w:rsidTr="005859E4">
        <w:trPr>
          <w:trHeight w:val="340"/>
        </w:trPr>
        <w:tc>
          <w:tcPr>
            <w:tcW w:w="5027" w:type="dxa"/>
            <w:shd w:val="clear" w:color="auto" w:fill="auto"/>
            <w:noWrap/>
            <w:vAlign w:val="center"/>
            <w:hideMark/>
          </w:tcPr>
          <w:p w14:paraId="4CA1B87A"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Grant expenses</w:t>
            </w:r>
          </w:p>
        </w:tc>
        <w:tc>
          <w:tcPr>
            <w:tcW w:w="850" w:type="dxa"/>
            <w:shd w:val="clear" w:color="auto" w:fill="auto"/>
            <w:noWrap/>
            <w:vAlign w:val="center"/>
            <w:hideMark/>
          </w:tcPr>
          <w:p w14:paraId="732EFE47" w14:textId="77777777" w:rsidR="003E5BF5" w:rsidRPr="00B67173" w:rsidRDefault="009B2DDD" w:rsidP="00DE1921">
            <w:pPr>
              <w:jc w:val="right"/>
              <w:rPr>
                <w:rFonts w:ascii="Arial" w:hAnsi="Arial" w:cs="Arial"/>
                <w:sz w:val="24"/>
                <w:szCs w:val="24"/>
                <w:lang w:eastAsia="en-AU"/>
              </w:rPr>
            </w:pPr>
            <w:hyperlink w:anchor="_Grant_expenses" w:history="1">
              <w:r w:rsidR="003E5BF5" w:rsidRPr="00B67173">
                <w:rPr>
                  <w:rStyle w:val="Hyperlink"/>
                  <w:rFonts w:ascii="Arial" w:hAnsi="Arial" w:cs="Arial"/>
                  <w:sz w:val="24"/>
                  <w:szCs w:val="24"/>
                  <w:lang w:eastAsia="en-AU"/>
                </w:rPr>
                <w:t>3.2</w:t>
              </w:r>
            </w:hyperlink>
          </w:p>
        </w:tc>
        <w:tc>
          <w:tcPr>
            <w:tcW w:w="1615" w:type="dxa"/>
            <w:shd w:val="clear" w:color="auto" w:fill="auto"/>
            <w:noWrap/>
            <w:vAlign w:val="center"/>
            <w:hideMark/>
          </w:tcPr>
          <w:p w14:paraId="6CDDE173"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(3,609,352)</w:t>
            </w:r>
          </w:p>
        </w:tc>
        <w:tc>
          <w:tcPr>
            <w:tcW w:w="1615" w:type="dxa"/>
            <w:shd w:val="clear" w:color="auto" w:fill="auto"/>
            <w:noWrap/>
            <w:vAlign w:val="center"/>
            <w:hideMark/>
          </w:tcPr>
          <w:p w14:paraId="171EFC21"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(7,216,788)</w:t>
            </w:r>
          </w:p>
        </w:tc>
      </w:tr>
      <w:tr w:rsidR="003E5BF5" w:rsidRPr="00B67173" w14:paraId="705FD1E4" w14:textId="77777777" w:rsidTr="005859E4">
        <w:trPr>
          <w:trHeight w:val="340"/>
        </w:trPr>
        <w:tc>
          <w:tcPr>
            <w:tcW w:w="5027" w:type="dxa"/>
            <w:shd w:val="clear" w:color="auto" w:fill="auto"/>
            <w:noWrap/>
            <w:vAlign w:val="center"/>
            <w:hideMark/>
          </w:tcPr>
          <w:p w14:paraId="1CCC983B"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Employee benefits expense</w:t>
            </w:r>
          </w:p>
        </w:tc>
        <w:tc>
          <w:tcPr>
            <w:tcW w:w="850" w:type="dxa"/>
            <w:shd w:val="clear" w:color="auto" w:fill="auto"/>
            <w:noWrap/>
            <w:vAlign w:val="center"/>
            <w:hideMark/>
          </w:tcPr>
          <w:p w14:paraId="6FF8C2E8" w14:textId="77777777" w:rsidR="003E5BF5" w:rsidRPr="00B67173" w:rsidRDefault="009B2DDD" w:rsidP="00DE1921">
            <w:pPr>
              <w:jc w:val="right"/>
              <w:rPr>
                <w:rFonts w:ascii="Arial" w:hAnsi="Arial" w:cs="Arial"/>
                <w:sz w:val="24"/>
                <w:szCs w:val="24"/>
                <w:lang w:eastAsia="en-AU"/>
              </w:rPr>
            </w:pPr>
            <w:hyperlink w:anchor="_Employee_benefits_in_1" w:history="1">
              <w:r w:rsidR="003E5BF5" w:rsidRPr="00B67173">
                <w:rPr>
                  <w:rStyle w:val="Hyperlink"/>
                  <w:rFonts w:ascii="Arial" w:hAnsi="Arial" w:cs="Arial"/>
                  <w:sz w:val="24"/>
                  <w:szCs w:val="24"/>
                  <w:lang w:eastAsia="en-AU"/>
                </w:rPr>
                <w:t>3.1.1</w:t>
              </w:r>
            </w:hyperlink>
          </w:p>
        </w:tc>
        <w:tc>
          <w:tcPr>
            <w:tcW w:w="1615" w:type="dxa"/>
            <w:shd w:val="clear" w:color="auto" w:fill="auto"/>
            <w:noWrap/>
            <w:vAlign w:val="center"/>
            <w:hideMark/>
          </w:tcPr>
          <w:p w14:paraId="355A3651"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(585,937)</w:t>
            </w:r>
          </w:p>
        </w:tc>
        <w:tc>
          <w:tcPr>
            <w:tcW w:w="1615" w:type="dxa"/>
            <w:shd w:val="clear" w:color="auto" w:fill="auto"/>
            <w:noWrap/>
            <w:vAlign w:val="center"/>
            <w:hideMark/>
          </w:tcPr>
          <w:p w14:paraId="60E29AF7"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(321,010)</w:t>
            </w:r>
          </w:p>
        </w:tc>
      </w:tr>
      <w:tr w:rsidR="003E5BF5" w:rsidRPr="00B67173" w14:paraId="3168C179" w14:textId="77777777" w:rsidTr="005859E4">
        <w:trPr>
          <w:trHeight w:val="340"/>
        </w:trPr>
        <w:tc>
          <w:tcPr>
            <w:tcW w:w="5027" w:type="dxa"/>
            <w:shd w:val="clear" w:color="auto" w:fill="auto"/>
            <w:noWrap/>
            <w:vAlign w:val="center"/>
            <w:hideMark/>
          </w:tcPr>
          <w:p w14:paraId="270401B4"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Capital asset charge</w:t>
            </w:r>
          </w:p>
        </w:tc>
        <w:tc>
          <w:tcPr>
            <w:tcW w:w="850" w:type="dxa"/>
            <w:shd w:val="clear" w:color="auto" w:fill="auto"/>
            <w:noWrap/>
            <w:vAlign w:val="center"/>
            <w:hideMark/>
          </w:tcPr>
          <w:p w14:paraId="5FC22331" w14:textId="77777777" w:rsidR="003E5BF5" w:rsidRPr="00B67173" w:rsidRDefault="009B2DDD" w:rsidP="00DE1921">
            <w:pPr>
              <w:jc w:val="right"/>
              <w:rPr>
                <w:rFonts w:ascii="Arial" w:hAnsi="Arial" w:cs="Arial"/>
                <w:sz w:val="24"/>
                <w:szCs w:val="24"/>
                <w:lang w:eastAsia="en-AU"/>
              </w:rPr>
            </w:pPr>
            <w:hyperlink w:anchor="_Capital_asset_charge" w:history="1">
              <w:r w:rsidR="003E5BF5" w:rsidRPr="00B67173">
                <w:rPr>
                  <w:rStyle w:val="Hyperlink"/>
                  <w:rFonts w:ascii="Arial" w:hAnsi="Arial" w:cs="Arial"/>
                  <w:sz w:val="24"/>
                  <w:szCs w:val="24"/>
                  <w:lang w:eastAsia="en-AU"/>
                </w:rPr>
                <w:t>3.3</w:t>
              </w:r>
            </w:hyperlink>
          </w:p>
        </w:tc>
        <w:tc>
          <w:tcPr>
            <w:tcW w:w="1615" w:type="dxa"/>
            <w:shd w:val="clear" w:color="auto" w:fill="auto"/>
            <w:noWrap/>
            <w:vAlign w:val="center"/>
            <w:hideMark/>
          </w:tcPr>
          <w:p w14:paraId="35CCEF9C"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(74,519)</w:t>
            </w:r>
          </w:p>
        </w:tc>
        <w:tc>
          <w:tcPr>
            <w:tcW w:w="1615" w:type="dxa"/>
            <w:shd w:val="clear" w:color="auto" w:fill="auto"/>
            <w:noWrap/>
            <w:vAlign w:val="center"/>
            <w:hideMark/>
          </w:tcPr>
          <w:p w14:paraId="1211013A"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(50,964)</w:t>
            </w:r>
          </w:p>
        </w:tc>
      </w:tr>
      <w:tr w:rsidR="003E5BF5" w:rsidRPr="00B67173" w14:paraId="5A3BB0B5" w14:textId="77777777" w:rsidTr="005859E4">
        <w:trPr>
          <w:trHeight w:val="340"/>
        </w:trPr>
        <w:tc>
          <w:tcPr>
            <w:tcW w:w="5027" w:type="dxa"/>
            <w:shd w:val="clear" w:color="auto" w:fill="auto"/>
            <w:noWrap/>
            <w:vAlign w:val="center"/>
            <w:hideMark/>
          </w:tcPr>
          <w:p w14:paraId="1AD309AA"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Depreciation and amortisation</w:t>
            </w:r>
          </w:p>
        </w:tc>
        <w:tc>
          <w:tcPr>
            <w:tcW w:w="850" w:type="dxa"/>
            <w:shd w:val="clear" w:color="auto" w:fill="auto"/>
            <w:noWrap/>
            <w:vAlign w:val="center"/>
            <w:hideMark/>
          </w:tcPr>
          <w:p w14:paraId="2D2675E8" w14:textId="77777777" w:rsidR="003E5BF5" w:rsidRPr="00B67173" w:rsidRDefault="009B2DDD" w:rsidP="00DE1921">
            <w:pPr>
              <w:jc w:val="right"/>
              <w:rPr>
                <w:rFonts w:ascii="Arial" w:hAnsi="Arial" w:cs="Arial"/>
                <w:sz w:val="24"/>
                <w:szCs w:val="24"/>
                <w:lang w:eastAsia="en-AU"/>
              </w:rPr>
            </w:pPr>
            <w:hyperlink w:anchor="_Depreciation_and_impairment" w:history="1">
              <w:r w:rsidR="003E5BF5" w:rsidRPr="00B67173">
                <w:rPr>
                  <w:rStyle w:val="Hyperlink"/>
                  <w:rFonts w:ascii="Arial" w:hAnsi="Arial" w:cs="Arial"/>
                  <w:sz w:val="24"/>
                  <w:szCs w:val="24"/>
                  <w:lang w:eastAsia="en-AU"/>
                </w:rPr>
                <w:t>5.1.5</w:t>
              </w:r>
            </w:hyperlink>
          </w:p>
        </w:tc>
        <w:tc>
          <w:tcPr>
            <w:tcW w:w="1615" w:type="dxa"/>
            <w:shd w:val="clear" w:color="auto" w:fill="auto"/>
            <w:noWrap/>
            <w:vAlign w:val="center"/>
            <w:hideMark/>
          </w:tcPr>
          <w:p w14:paraId="37861322"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(1,014,876)</w:t>
            </w:r>
          </w:p>
        </w:tc>
        <w:tc>
          <w:tcPr>
            <w:tcW w:w="1615" w:type="dxa"/>
            <w:shd w:val="clear" w:color="auto" w:fill="auto"/>
            <w:noWrap/>
            <w:vAlign w:val="center"/>
            <w:hideMark/>
          </w:tcPr>
          <w:p w14:paraId="2D98CEA1"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(24,967)</w:t>
            </w:r>
          </w:p>
        </w:tc>
      </w:tr>
      <w:tr w:rsidR="003E5BF5" w:rsidRPr="00B67173" w14:paraId="683F3840" w14:textId="77777777" w:rsidTr="005859E4">
        <w:trPr>
          <w:trHeight w:val="340"/>
        </w:trPr>
        <w:tc>
          <w:tcPr>
            <w:tcW w:w="5027" w:type="dxa"/>
            <w:shd w:val="clear" w:color="auto" w:fill="auto"/>
            <w:noWrap/>
            <w:vAlign w:val="center"/>
            <w:hideMark/>
          </w:tcPr>
          <w:p w14:paraId="3EF6EEC3"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 xml:space="preserve">Interest expense </w:t>
            </w:r>
            <w:r w:rsidRPr="00B67173">
              <w:rPr>
                <w:rFonts w:ascii="Arial" w:hAnsi="Arial" w:cs="Arial"/>
                <w:sz w:val="24"/>
                <w:szCs w:val="24"/>
                <w:vertAlign w:val="superscript"/>
                <w:lang w:eastAsia="en-AU"/>
              </w:rPr>
              <w:t>(ii)</w:t>
            </w:r>
          </w:p>
        </w:tc>
        <w:tc>
          <w:tcPr>
            <w:tcW w:w="850" w:type="dxa"/>
            <w:shd w:val="clear" w:color="auto" w:fill="auto"/>
            <w:noWrap/>
            <w:vAlign w:val="center"/>
            <w:hideMark/>
          </w:tcPr>
          <w:p w14:paraId="223294F8" w14:textId="77777777" w:rsidR="003E5BF5" w:rsidRPr="00B67173" w:rsidRDefault="009B2DDD" w:rsidP="00DE1921">
            <w:pPr>
              <w:jc w:val="right"/>
              <w:rPr>
                <w:rFonts w:ascii="Arial" w:hAnsi="Arial" w:cs="Arial"/>
                <w:sz w:val="24"/>
                <w:szCs w:val="24"/>
                <w:lang w:eastAsia="en-AU"/>
              </w:rPr>
            </w:pPr>
            <w:hyperlink w:anchor="_Interest_expense" w:history="1">
              <w:r w:rsidR="003E5BF5" w:rsidRPr="00B67173">
                <w:rPr>
                  <w:rStyle w:val="Hyperlink"/>
                  <w:rFonts w:ascii="Arial" w:hAnsi="Arial" w:cs="Arial"/>
                  <w:sz w:val="24"/>
                  <w:szCs w:val="24"/>
                  <w:lang w:eastAsia="en-AU"/>
                </w:rPr>
                <w:t>7.1.2</w:t>
              </w:r>
            </w:hyperlink>
          </w:p>
        </w:tc>
        <w:tc>
          <w:tcPr>
            <w:tcW w:w="1615" w:type="dxa"/>
            <w:shd w:val="clear" w:color="auto" w:fill="auto"/>
            <w:noWrap/>
            <w:vAlign w:val="center"/>
            <w:hideMark/>
          </w:tcPr>
          <w:p w14:paraId="0989B7AD"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(327,651)</w:t>
            </w:r>
          </w:p>
        </w:tc>
        <w:tc>
          <w:tcPr>
            <w:tcW w:w="1615" w:type="dxa"/>
            <w:shd w:val="clear" w:color="auto" w:fill="auto"/>
            <w:noWrap/>
            <w:vAlign w:val="center"/>
            <w:hideMark/>
          </w:tcPr>
          <w:p w14:paraId="03582990"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(155,379)</w:t>
            </w:r>
          </w:p>
        </w:tc>
      </w:tr>
      <w:tr w:rsidR="003E5BF5" w:rsidRPr="00B67173" w14:paraId="4526C0B3" w14:textId="77777777" w:rsidTr="005859E4">
        <w:trPr>
          <w:trHeight w:val="340"/>
        </w:trPr>
        <w:tc>
          <w:tcPr>
            <w:tcW w:w="5027" w:type="dxa"/>
            <w:shd w:val="clear" w:color="auto" w:fill="auto"/>
            <w:noWrap/>
            <w:vAlign w:val="center"/>
            <w:hideMark/>
          </w:tcPr>
          <w:p w14:paraId="5C5DDF44"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Payments to public transport service providers</w:t>
            </w:r>
          </w:p>
        </w:tc>
        <w:tc>
          <w:tcPr>
            <w:tcW w:w="850" w:type="dxa"/>
            <w:shd w:val="clear" w:color="auto" w:fill="auto"/>
            <w:noWrap/>
            <w:vAlign w:val="center"/>
            <w:hideMark/>
          </w:tcPr>
          <w:p w14:paraId="184B22C0" w14:textId="77777777" w:rsidR="003E5BF5" w:rsidRPr="00B67173" w:rsidRDefault="009B2DDD" w:rsidP="00DE1921">
            <w:pPr>
              <w:jc w:val="right"/>
              <w:rPr>
                <w:rFonts w:ascii="Arial" w:hAnsi="Arial" w:cs="Arial"/>
                <w:sz w:val="24"/>
                <w:szCs w:val="24"/>
                <w:lang w:eastAsia="en-AU"/>
              </w:rPr>
            </w:pPr>
            <w:hyperlink w:anchor="_Payments_to_public" w:history="1">
              <w:r w:rsidR="003E5BF5" w:rsidRPr="00B67173">
                <w:rPr>
                  <w:rStyle w:val="Hyperlink"/>
                  <w:rFonts w:ascii="Arial" w:hAnsi="Arial" w:cs="Arial"/>
                  <w:sz w:val="24"/>
                  <w:szCs w:val="24"/>
                  <w:lang w:eastAsia="en-AU"/>
                </w:rPr>
                <w:t>3.4</w:t>
              </w:r>
            </w:hyperlink>
          </w:p>
        </w:tc>
        <w:tc>
          <w:tcPr>
            <w:tcW w:w="1615" w:type="dxa"/>
            <w:shd w:val="clear" w:color="auto" w:fill="auto"/>
            <w:noWrap/>
            <w:vAlign w:val="center"/>
            <w:hideMark/>
          </w:tcPr>
          <w:p w14:paraId="1580DA92"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(2,489,053)</w:t>
            </w:r>
          </w:p>
        </w:tc>
        <w:tc>
          <w:tcPr>
            <w:tcW w:w="1615" w:type="dxa"/>
            <w:shd w:val="clear" w:color="auto" w:fill="auto"/>
            <w:noWrap/>
            <w:vAlign w:val="center"/>
            <w:hideMark/>
          </w:tcPr>
          <w:p w14:paraId="0B4DDD12" w14:textId="77777777" w:rsidR="003E5BF5" w:rsidRPr="00B67173" w:rsidRDefault="003E5BF5" w:rsidP="00DE1921">
            <w:pPr>
              <w:jc w:val="right"/>
              <w:rPr>
                <w:rFonts w:ascii="Arial" w:hAnsi="Arial" w:cs="Arial"/>
                <w:sz w:val="24"/>
                <w:szCs w:val="24"/>
                <w:lang w:eastAsia="en-AU"/>
              </w:rPr>
            </w:pPr>
            <w:r w:rsidRPr="00B67173">
              <w:rPr>
                <w:rFonts w:ascii="Arial" w:hAnsi="Arial" w:cs="Arial"/>
                <w:b/>
                <w:sz w:val="24"/>
                <w:szCs w:val="24"/>
              </w:rPr>
              <w:t>-</w:t>
            </w:r>
          </w:p>
        </w:tc>
      </w:tr>
      <w:tr w:rsidR="003E5BF5" w:rsidRPr="00B67173" w14:paraId="6FF70EFB" w14:textId="77777777" w:rsidTr="005859E4">
        <w:trPr>
          <w:trHeight w:val="340"/>
        </w:trPr>
        <w:tc>
          <w:tcPr>
            <w:tcW w:w="5027" w:type="dxa"/>
            <w:shd w:val="clear" w:color="auto" w:fill="auto"/>
            <w:noWrap/>
            <w:vAlign w:val="center"/>
            <w:hideMark/>
          </w:tcPr>
          <w:p w14:paraId="7ABB5F9A"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Other operating expenses</w:t>
            </w:r>
          </w:p>
        </w:tc>
        <w:tc>
          <w:tcPr>
            <w:tcW w:w="850" w:type="dxa"/>
            <w:shd w:val="clear" w:color="auto" w:fill="auto"/>
            <w:noWrap/>
            <w:vAlign w:val="center"/>
            <w:hideMark/>
          </w:tcPr>
          <w:p w14:paraId="014F8937" w14:textId="77777777" w:rsidR="003E5BF5" w:rsidRPr="00B67173" w:rsidRDefault="009B2DDD" w:rsidP="00DE1921">
            <w:pPr>
              <w:jc w:val="right"/>
              <w:rPr>
                <w:rFonts w:ascii="Arial" w:hAnsi="Arial" w:cs="Arial"/>
                <w:sz w:val="24"/>
                <w:szCs w:val="24"/>
                <w:lang w:eastAsia="en-AU"/>
              </w:rPr>
            </w:pPr>
            <w:hyperlink w:anchor="_Other_operating_expenses" w:history="1">
              <w:r w:rsidR="003E5BF5" w:rsidRPr="00B67173">
                <w:rPr>
                  <w:rStyle w:val="Hyperlink"/>
                  <w:rFonts w:ascii="Arial" w:hAnsi="Arial" w:cs="Arial"/>
                  <w:sz w:val="24"/>
                  <w:szCs w:val="24"/>
                  <w:lang w:eastAsia="en-AU"/>
                </w:rPr>
                <w:t>3.5</w:t>
              </w:r>
            </w:hyperlink>
          </w:p>
        </w:tc>
        <w:tc>
          <w:tcPr>
            <w:tcW w:w="1615" w:type="dxa"/>
            <w:shd w:val="clear" w:color="auto" w:fill="auto"/>
            <w:noWrap/>
            <w:vAlign w:val="center"/>
            <w:hideMark/>
          </w:tcPr>
          <w:p w14:paraId="634FB69B"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(1,371,894)</w:t>
            </w:r>
          </w:p>
        </w:tc>
        <w:tc>
          <w:tcPr>
            <w:tcW w:w="1615" w:type="dxa"/>
            <w:shd w:val="clear" w:color="auto" w:fill="auto"/>
            <w:noWrap/>
            <w:vAlign w:val="center"/>
            <w:hideMark/>
          </w:tcPr>
          <w:p w14:paraId="041D37EC"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(433,224)</w:t>
            </w:r>
          </w:p>
        </w:tc>
      </w:tr>
      <w:tr w:rsidR="003E5BF5" w:rsidRPr="00B67173" w14:paraId="5D1850A1" w14:textId="77777777" w:rsidTr="005859E4">
        <w:trPr>
          <w:trHeight w:val="340"/>
        </w:trPr>
        <w:tc>
          <w:tcPr>
            <w:tcW w:w="5027" w:type="dxa"/>
            <w:shd w:val="clear" w:color="auto" w:fill="auto"/>
            <w:noWrap/>
            <w:vAlign w:val="center"/>
            <w:hideMark/>
          </w:tcPr>
          <w:p w14:paraId="7406A080" w14:textId="77777777" w:rsidR="003E5BF5" w:rsidRPr="00B67173" w:rsidRDefault="003E5BF5" w:rsidP="00DE1921">
            <w:pPr>
              <w:pStyle w:val="TableTextLeftBold"/>
              <w:rPr>
                <w:rFonts w:ascii="Arial" w:hAnsi="Arial" w:cs="Arial"/>
                <w:sz w:val="24"/>
                <w:szCs w:val="24"/>
              </w:rPr>
            </w:pPr>
            <w:r w:rsidRPr="00B67173">
              <w:rPr>
                <w:rFonts w:ascii="Arial" w:hAnsi="Arial" w:cs="Arial"/>
                <w:sz w:val="24"/>
                <w:szCs w:val="24"/>
              </w:rPr>
              <w:t>Total expenses from transactions</w:t>
            </w:r>
          </w:p>
        </w:tc>
        <w:tc>
          <w:tcPr>
            <w:tcW w:w="850" w:type="dxa"/>
            <w:shd w:val="clear" w:color="auto" w:fill="auto"/>
            <w:noWrap/>
            <w:vAlign w:val="center"/>
            <w:hideMark/>
          </w:tcPr>
          <w:p w14:paraId="3D484F4D" w14:textId="77777777" w:rsidR="003E5BF5" w:rsidRPr="00B67173" w:rsidRDefault="003E5BF5" w:rsidP="00DE1921">
            <w:pPr>
              <w:jc w:val="right"/>
              <w:rPr>
                <w:rFonts w:ascii="Arial" w:hAnsi="Arial" w:cs="Arial"/>
                <w:sz w:val="24"/>
                <w:szCs w:val="24"/>
                <w:lang w:eastAsia="en-AU"/>
              </w:rPr>
            </w:pPr>
          </w:p>
        </w:tc>
        <w:tc>
          <w:tcPr>
            <w:tcW w:w="1615" w:type="dxa"/>
            <w:shd w:val="clear" w:color="auto" w:fill="auto"/>
            <w:noWrap/>
            <w:vAlign w:val="center"/>
            <w:hideMark/>
          </w:tcPr>
          <w:p w14:paraId="1A17201B"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rPr>
              <w:t>(9,473,282)</w:t>
            </w:r>
          </w:p>
        </w:tc>
        <w:tc>
          <w:tcPr>
            <w:tcW w:w="1615" w:type="dxa"/>
            <w:shd w:val="clear" w:color="auto" w:fill="auto"/>
            <w:noWrap/>
            <w:vAlign w:val="center"/>
            <w:hideMark/>
          </w:tcPr>
          <w:p w14:paraId="04376B34"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rPr>
              <w:t>(8,202,332)</w:t>
            </w:r>
          </w:p>
        </w:tc>
      </w:tr>
      <w:tr w:rsidR="003E5BF5" w:rsidRPr="00B67173" w14:paraId="3176FEEF" w14:textId="77777777" w:rsidTr="005859E4">
        <w:trPr>
          <w:trHeight w:val="340"/>
        </w:trPr>
        <w:tc>
          <w:tcPr>
            <w:tcW w:w="5027" w:type="dxa"/>
            <w:shd w:val="clear" w:color="auto" w:fill="auto"/>
            <w:noWrap/>
            <w:vAlign w:val="center"/>
            <w:hideMark/>
          </w:tcPr>
          <w:p w14:paraId="08DA06CF" w14:textId="77777777" w:rsidR="003E5BF5" w:rsidRPr="00B67173" w:rsidRDefault="003E5BF5" w:rsidP="00DE1921">
            <w:pPr>
              <w:pStyle w:val="TableTextLeftBold"/>
              <w:rPr>
                <w:rFonts w:ascii="Arial" w:hAnsi="Arial" w:cs="Arial"/>
                <w:sz w:val="24"/>
                <w:szCs w:val="24"/>
              </w:rPr>
            </w:pPr>
            <w:r w:rsidRPr="00B67173">
              <w:rPr>
                <w:rFonts w:ascii="Arial" w:hAnsi="Arial" w:cs="Arial"/>
                <w:sz w:val="24"/>
                <w:szCs w:val="24"/>
              </w:rPr>
              <w:t>Net result from transactions</w:t>
            </w:r>
          </w:p>
        </w:tc>
        <w:tc>
          <w:tcPr>
            <w:tcW w:w="850" w:type="dxa"/>
            <w:shd w:val="clear" w:color="auto" w:fill="auto"/>
            <w:noWrap/>
            <w:vAlign w:val="center"/>
            <w:hideMark/>
          </w:tcPr>
          <w:p w14:paraId="2F43F044" w14:textId="77777777" w:rsidR="003E5BF5" w:rsidRPr="00B67173" w:rsidRDefault="003E5BF5" w:rsidP="00DE1921">
            <w:pPr>
              <w:jc w:val="right"/>
              <w:rPr>
                <w:rFonts w:ascii="Arial" w:hAnsi="Arial" w:cs="Arial"/>
                <w:sz w:val="24"/>
                <w:szCs w:val="24"/>
                <w:lang w:eastAsia="en-AU"/>
              </w:rPr>
            </w:pPr>
          </w:p>
        </w:tc>
        <w:tc>
          <w:tcPr>
            <w:tcW w:w="1615" w:type="dxa"/>
            <w:shd w:val="clear" w:color="auto" w:fill="auto"/>
            <w:noWrap/>
            <w:vAlign w:val="center"/>
            <w:hideMark/>
          </w:tcPr>
          <w:p w14:paraId="5C653BF7"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rPr>
              <w:t>(372,854)</w:t>
            </w:r>
          </w:p>
        </w:tc>
        <w:tc>
          <w:tcPr>
            <w:tcW w:w="1615" w:type="dxa"/>
            <w:shd w:val="clear" w:color="auto" w:fill="auto"/>
            <w:noWrap/>
            <w:vAlign w:val="center"/>
            <w:hideMark/>
          </w:tcPr>
          <w:p w14:paraId="32BA55B6"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rPr>
              <w:t>(375,232)</w:t>
            </w:r>
          </w:p>
        </w:tc>
      </w:tr>
      <w:tr w:rsidR="003E5BF5" w:rsidRPr="00B67173" w14:paraId="45F8B559" w14:textId="77777777" w:rsidTr="005859E4">
        <w:trPr>
          <w:trHeight w:val="340"/>
        </w:trPr>
        <w:tc>
          <w:tcPr>
            <w:tcW w:w="5027" w:type="dxa"/>
            <w:shd w:val="clear" w:color="auto" w:fill="auto"/>
            <w:noWrap/>
            <w:vAlign w:val="center"/>
            <w:hideMark/>
          </w:tcPr>
          <w:p w14:paraId="3D1EEC2B" w14:textId="77777777" w:rsidR="003E5BF5" w:rsidRPr="00B67173" w:rsidRDefault="003E5BF5" w:rsidP="00604703">
            <w:pPr>
              <w:pStyle w:val="TableTextGreen"/>
            </w:pPr>
            <w:r w:rsidRPr="00B67173">
              <w:t>Other economic flows included in net result</w:t>
            </w:r>
          </w:p>
        </w:tc>
        <w:tc>
          <w:tcPr>
            <w:tcW w:w="850" w:type="dxa"/>
            <w:shd w:val="clear" w:color="auto" w:fill="auto"/>
            <w:noWrap/>
            <w:vAlign w:val="center"/>
            <w:hideMark/>
          </w:tcPr>
          <w:p w14:paraId="66570330" w14:textId="77777777" w:rsidR="003E5BF5" w:rsidRPr="00B67173" w:rsidRDefault="003E5BF5" w:rsidP="00DE1921">
            <w:pPr>
              <w:jc w:val="right"/>
              <w:rPr>
                <w:rFonts w:ascii="Arial" w:hAnsi="Arial" w:cs="Arial"/>
                <w:sz w:val="24"/>
                <w:szCs w:val="24"/>
                <w:lang w:eastAsia="en-AU"/>
              </w:rPr>
            </w:pPr>
          </w:p>
        </w:tc>
        <w:tc>
          <w:tcPr>
            <w:tcW w:w="1615" w:type="dxa"/>
            <w:shd w:val="clear" w:color="auto" w:fill="auto"/>
            <w:noWrap/>
            <w:vAlign w:val="center"/>
            <w:hideMark/>
          </w:tcPr>
          <w:p w14:paraId="332232E9" w14:textId="77777777" w:rsidR="003E5BF5" w:rsidRPr="00B67173" w:rsidRDefault="003E5BF5" w:rsidP="00DE1921">
            <w:pPr>
              <w:jc w:val="right"/>
              <w:rPr>
                <w:rFonts w:ascii="Arial" w:hAnsi="Arial" w:cs="Arial"/>
                <w:sz w:val="24"/>
                <w:szCs w:val="24"/>
                <w:lang w:eastAsia="en-AU"/>
              </w:rPr>
            </w:pPr>
          </w:p>
        </w:tc>
        <w:tc>
          <w:tcPr>
            <w:tcW w:w="1615" w:type="dxa"/>
            <w:shd w:val="clear" w:color="auto" w:fill="auto"/>
            <w:noWrap/>
            <w:vAlign w:val="center"/>
            <w:hideMark/>
          </w:tcPr>
          <w:p w14:paraId="4207F2C1" w14:textId="77777777" w:rsidR="003E5BF5" w:rsidRPr="00B67173" w:rsidRDefault="003E5BF5" w:rsidP="00DE1921">
            <w:pPr>
              <w:jc w:val="right"/>
              <w:rPr>
                <w:rFonts w:ascii="Arial" w:hAnsi="Arial" w:cs="Arial"/>
                <w:sz w:val="24"/>
                <w:szCs w:val="24"/>
                <w:lang w:eastAsia="en-AU"/>
              </w:rPr>
            </w:pPr>
          </w:p>
        </w:tc>
      </w:tr>
      <w:tr w:rsidR="003E5BF5" w:rsidRPr="00B67173" w14:paraId="1CB224EC" w14:textId="77777777" w:rsidTr="005859E4">
        <w:trPr>
          <w:trHeight w:val="340"/>
        </w:trPr>
        <w:tc>
          <w:tcPr>
            <w:tcW w:w="5027" w:type="dxa"/>
            <w:shd w:val="clear" w:color="auto" w:fill="auto"/>
            <w:noWrap/>
            <w:vAlign w:val="center"/>
            <w:hideMark/>
          </w:tcPr>
          <w:p w14:paraId="7151EC00"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Net loss on non-financial assets</w:t>
            </w:r>
          </w:p>
        </w:tc>
        <w:tc>
          <w:tcPr>
            <w:tcW w:w="850" w:type="dxa"/>
            <w:shd w:val="clear" w:color="auto" w:fill="auto"/>
            <w:noWrap/>
            <w:vAlign w:val="center"/>
            <w:hideMark/>
          </w:tcPr>
          <w:p w14:paraId="6ED79F94" w14:textId="77777777" w:rsidR="003E5BF5" w:rsidRPr="00B67173" w:rsidRDefault="009B2DDD" w:rsidP="00DE1921">
            <w:pPr>
              <w:jc w:val="right"/>
              <w:rPr>
                <w:rFonts w:ascii="Arial" w:hAnsi="Arial" w:cs="Arial"/>
                <w:sz w:val="24"/>
                <w:szCs w:val="24"/>
                <w:lang w:eastAsia="en-AU"/>
              </w:rPr>
            </w:pPr>
            <w:hyperlink w:anchor="_Other_economic_flows" w:history="1">
              <w:r w:rsidR="003E5BF5" w:rsidRPr="00B67173">
                <w:rPr>
                  <w:rStyle w:val="Hyperlink"/>
                  <w:rFonts w:ascii="Arial" w:hAnsi="Arial" w:cs="Arial"/>
                  <w:sz w:val="24"/>
                  <w:szCs w:val="24"/>
                  <w:lang w:eastAsia="en-AU"/>
                </w:rPr>
                <w:t>9.2</w:t>
              </w:r>
            </w:hyperlink>
          </w:p>
        </w:tc>
        <w:tc>
          <w:tcPr>
            <w:tcW w:w="1615" w:type="dxa"/>
            <w:shd w:val="clear" w:color="auto" w:fill="auto"/>
            <w:noWrap/>
            <w:vAlign w:val="center"/>
            <w:hideMark/>
          </w:tcPr>
          <w:p w14:paraId="6111DA0A"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(594,157)</w:t>
            </w:r>
          </w:p>
        </w:tc>
        <w:tc>
          <w:tcPr>
            <w:tcW w:w="1615" w:type="dxa"/>
            <w:shd w:val="clear" w:color="auto" w:fill="auto"/>
            <w:noWrap/>
            <w:vAlign w:val="center"/>
            <w:hideMark/>
          </w:tcPr>
          <w:p w14:paraId="04E6936B"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(3,123)</w:t>
            </w:r>
          </w:p>
        </w:tc>
      </w:tr>
      <w:tr w:rsidR="003E5BF5" w:rsidRPr="00B67173" w14:paraId="2CAA5B38" w14:textId="77777777" w:rsidTr="005859E4">
        <w:trPr>
          <w:trHeight w:val="340"/>
        </w:trPr>
        <w:tc>
          <w:tcPr>
            <w:tcW w:w="5027" w:type="dxa"/>
            <w:shd w:val="clear" w:color="auto" w:fill="auto"/>
            <w:noWrap/>
            <w:vAlign w:val="center"/>
            <w:hideMark/>
          </w:tcPr>
          <w:p w14:paraId="793F3C49"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Net loss on financial instruments</w:t>
            </w:r>
          </w:p>
        </w:tc>
        <w:tc>
          <w:tcPr>
            <w:tcW w:w="850" w:type="dxa"/>
            <w:shd w:val="clear" w:color="auto" w:fill="auto"/>
            <w:noWrap/>
            <w:vAlign w:val="center"/>
            <w:hideMark/>
          </w:tcPr>
          <w:p w14:paraId="09F8B276" w14:textId="77777777" w:rsidR="003E5BF5" w:rsidRPr="00B67173" w:rsidRDefault="009B2DDD" w:rsidP="00DE1921">
            <w:pPr>
              <w:jc w:val="right"/>
              <w:rPr>
                <w:rFonts w:ascii="Arial" w:hAnsi="Arial" w:cs="Arial"/>
                <w:sz w:val="24"/>
                <w:szCs w:val="24"/>
                <w:lang w:eastAsia="en-AU"/>
              </w:rPr>
            </w:pPr>
            <w:hyperlink w:anchor="_Other_economic_flows" w:history="1">
              <w:r w:rsidR="003E5BF5" w:rsidRPr="00B67173">
                <w:rPr>
                  <w:rStyle w:val="Hyperlink"/>
                  <w:rFonts w:ascii="Arial" w:hAnsi="Arial" w:cs="Arial"/>
                  <w:sz w:val="24"/>
                  <w:szCs w:val="24"/>
                  <w:lang w:eastAsia="en-AU"/>
                </w:rPr>
                <w:t>9.2</w:t>
              </w:r>
            </w:hyperlink>
          </w:p>
        </w:tc>
        <w:tc>
          <w:tcPr>
            <w:tcW w:w="1615" w:type="dxa"/>
            <w:shd w:val="clear" w:color="auto" w:fill="auto"/>
            <w:noWrap/>
            <w:vAlign w:val="center"/>
            <w:hideMark/>
          </w:tcPr>
          <w:p w14:paraId="24E308C0"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(3,622)</w:t>
            </w:r>
          </w:p>
        </w:tc>
        <w:tc>
          <w:tcPr>
            <w:tcW w:w="1615" w:type="dxa"/>
            <w:shd w:val="clear" w:color="auto" w:fill="auto"/>
            <w:noWrap/>
            <w:vAlign w:val="center"/>
            <w:hideMark/>
          </w:tcPr>
          <w:p w14:paraId="34D363D9"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(452)</w:t>
            </w:r>
          </w:p>
        </w:tc>
      </w:tr>
      <w:tr w:rsidR="003E5BF5" w:rsidRPr="00B67173" w14:paraId="226EEC51" w14:textId="77777777" w:rsidTr="005859E4">
        <w:trPr>
          <w:trHeight w:val="340"/>
        </w:trPr>
        <w:tc>
          <w:tcPr>
            <w:tcW w:w="5027" w:type="dxa"/>
            <w:shd w:val="clear" w:color="auto" w:fill="auto"/>
            <w:noWrap/>
            <w:vAlign w:val="center"/>
            <w:hideMark/>
          </w:tcPr>
          <w:p w14:paraId="1E7A2F97"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Other gain/(loss) from other economic flows</w:t>
            </w:r>
          </w:p>
        </w:tc>
        <w:tc>
          <w:tcPr>
            <w:tcW w:w="850" w:type="dxa"/>
            <w:shd w:val="clear" w:color="auto" w:fill="auto"/>
            <w:noWrap/>
            <w:vAlign w:val="center"/>
            <w:hideMark/>
          </w:tcPr>
          <w:p w14:paraId="508068D4" w14:textId="77777777" w:rsidR="003E5BF5" w:rsidRPr="00B67173" w:rsidRDefault="009B2DDD" w:rsidP="00DE1921">
            <w:pPr>
              <w:jc w:val="right"/>
              <w:rPr>
                <w:rFonts w:ascii="Arial" w:hAnsi="Arial" w:cs="Arial"/>
                <w:sz w:val="24"/>
                <w:szCs w:val="24"/>
                <w:lang w:eastAsia="en-AU"/>
              </w:rPr>
            </w:pPr>
            <w:hyperlink w:anchor="_Other_economic_flows" w:history="1">
              <w:r w:rsidR="003E5BF5" w:rsidRPr="00B67173">
                <w:rPr>
                  <w:rStyle w:val="Hyperlink"/>
                  <w:rFonts w:ascii="Arial" w:hAnsi="Arial" w:cs="Arial"/>
                  <w:sz w:val="24"/>
                  <w:szCs w:val="24"/>
                  <w:lang w:eastAsia="en-AU"/>
                </w:rPr>
                <w:t>9.2</w:t>
              </w:r>
            </w:hyperlink>
          </w:p>
        </w:tc>
        <w:tc>
          <w:tcPr>
            <w:tcW w:w="1615" w:type="dxa"/>
            <w:shd w:val="clear" w:color="auto" w:fill="auto"/>
            <w:noWrap/>
            <w:vAlign w:val="center"/>
            <w:hideMark/>
          </w:tcPr>
          <w:p w14:paraId="694276F6"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(43,319)</w:t>
            </w:r>
          </w:p>
        </w:tc>
        <w:tc>
          <w:tcPr>
            <w:tcW w:w="1615" w:type="dxa"/>
            <w:shd w:val="clear" w:color="auto" w:fill="auto"/>
            <w:noWrap/>
            <w:vAlign w:val="center"/>
            <w:hideMark/>
          </w:tcPr>
          <w:p w14:paraId="35DAB56D"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(2,995)</w:t>
            </w:r>
          </w:p>
        </w:tc>
      </w:tr>
      <w:tr w:rsidR="003E5BF5" w:rsidRPr="00B67173" w14:paraId="04CA6CD8" w14:textId="77777777" w:rsidTr="005859E4">
        <w:trPr>
          <w:trHeight w:val="340"/>
        </w:trPr>
        <w:tc>
          <w:tcPr>
            <w:tcW w:w="5027" w:type="dxa"/>
            <w:shd w:val="clear" w:color="auto" w:fill="auto"/>
            <w:noWrap/>
            <w:vAlign w:val="center"/>
            <w:hideMark/>
          </w:tcPr>
          <w:p w14:paraId="146CB17A" w14:textId="77777777" w:rsidR="003E5BF5" w:rsidRPr="00B67173" w:rsidRDefault="003E5BF5" w:rsidP="00DE1921">
            <w:pPr>
              <w:pStyle w:val="TableTextLeftBold"/>
              <w:rPr>
                <w:rFonts w:ascii="Arial" w:hAnsi="Arial" w:cs="Arial"/>
                <w:sz w:val="24"/>
                <w:szCs w:val="24"/>
              </w:rPr>
            </w:pPr>
            <w:r w:rsidRPr="00B67173">
              <w:rPr>
                <w:rFonts w:ascii="Arial" w:hAnsi="Arial" w:cs="Arial"/>
                <w:sz w:val="24"/>
                <w:szCs w:val="24"/>
              </w:rPr>
              <w:t>Total other economic flows included in net result</w:t>
            </w:r>
          </w:p>
        </w:tc>
        <w:tc>
          <w:tcPr>
            <w:tcW w:w="850" w:type="dxa"/>
            <w:shd w:val="clear" w:color="auto" w:fill="auto"/>
            <w:noWrap/>
            <w:vAlign w:val="center"/>
            <w:hideMark/>
          </w:tcPr>
          <w:p w14:paraId="28E144D4" w14:textId="77777777" w:rsidR="003E5BF5" w:rsidRPr="00B67173" w:rsidRDefault="003E5BF5" w:rsidP="00DE1921">
            <w:pPr>
              <w:jc w:val="right"/>
              <w:rPr>
                <w:rFonts w:ascii="Arial" w:hAnsi="Arial" w:cs="Arial"/>
                <w:b/>
                <w:bCs/>
                <w:sz w:val="24"/>
                <w:szCs w:val="24"/>
                <w:lang w:eastAsia="en-AU"/>
              </w:rPr>
            </w:pPr>
          </w:p>
        </w:tc>
        <w:tc>
          <w:tcPr>
            <w:tcW w:w="1615" w:type="dxa"/>
            <w:shd w:val="clear" w:color="auto" w:fill="auto"/>
            <w:noWrap/>
            <w:vAlign w:val="center"/>
            <w:hideMark/>
          </w:tcPr>
          <w:p w14:paraId="651A32A2"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rPr>
              <w:t>(641,098)</w:t>
            </w:r>
          </w:p>
        </w:tc>
        <w:tc>
          <w:tcPr>
            <w:tcW w:w="1615" w:type="dxa"/>
            <w:shd w:val="clear" w:color="auto" w:fill="auto"/>
            <w:noWrap/>
            <w:vAlign w:val="center"/>
            <w:hideMark/>
          </w:tcPr>
          <w:p w14:paraId="391564D7"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rPr>
              <w:t>(6,570)</w:t>
            </w:r>
          </w:p>
        </w:tc>
      </w:tr>
      <w:tr w:rsidR="003E5BF5" w:rsidRPr="00B67173" w14:paraId="30D61970" w14:textId="77777777" w:rsidTr="005859E4">
        <w:trPr>
          <w:trHeight w:val="340"/>
        </w:trPr>
        <w:tc>
          <w:tcPr>
            <w:tcW w:w="5027" w:type="dxa"/>
            <w:shd w:val="clear" w:color="auto" w:fill="auto"/>
            <w:noWrap/>
            <w:vAlign w:val="center"/>
            <w:hideMark/>
          </w:tcPr>
          <w:p w14:paraId="64BE3AB0" w14:textId="77777777" w:rsidR="003E5BF5" w:rsidRPr="00B67173" w:rsidRDefault="003E5BF5" w:rsidP="00DE1921">
            <w:pPr>
              <w:pStyle w:val="TableTextLeftBold"/>
              <w:rPr>
                <w:rFonts w:ascii="Arial" w:hAnsi="Arial" w:cs="Arial"/>
                <w:sz w:val="24"/>
                <w:szCs w:val="24"/>
              </w:rPr>
            </w:pPr>
            <w:r w:rsidRPr="00B67173">
              <w:rPr>
                <w:rFonts w:ascii="Arial" w:hAnsi="Arial" w:cs="Arial"/>
                <w:sz w:val="24"/>
                <w:szCs w:val="24"/>
              </w:rPr>
              <w:t>Net result</w:t>
            </w:r>
          </w:p>
        </w:tc>
        <w:tc>
          <w:tcPr>
            <w:tcW w:w="850" w:type="dxa"/>
            <w:shd w:val="clear" w:color="auto" w:fill="auto"/>
            <w:noWrap/>
            <w:vAlign w:val="center"/>
            <w:hideMark/>
          </w:tcPr>
          <w:p w14:paraId="70DE4FD2" w14:textId="77777777" w:rsidR="003E5BF5" w:rsidRPr="00B67173" w:rsidRDefault="003E5BF5" w:rsidP="00DE1921">
            <w:pPr>
              <w:jc w:val="right"/>
              <w:rPr>
                <w:rFonts w:ascii="Arial" w:hAnsi="Arial" w:cs="Arial"/>
                <w:b/>
                <w:bCs/>
                <w:sz w:val="24"/>
                <w:szCs w:val="24"/>
                <w:lang w:eastAsia="en-AU"/>
              </w:rPr>
            </w:pPr>
          </w:p>
        </w:tc>
        <w:tc>
          <w:tcPr>
            <w:tcW w:w="1615" w:type="dxa"/>
            <w:shd w:val="clear" w:color="auto" w:fill="auto"/>
            <w:noWrap/>
            <w:vAlign w:val="center"/>
            <w:hideMark/>
          </w:tcPr>
          <w:p w14:paraId="1BA91BFC"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rPr>
              <w:t>(1,013,952)</w:t>
            </w:r>
          </w:p>
        </w:tc>
        <w:tc>
          <w:tcPr>
            <w:tcW w:w="1615" w:type="dxa"/>
            <w:shd w:val="clear" w:color="auto" w:fill="auto"/>
            <w:noWrap/>
            <w:vAlign w:val="center"/>
            <w:hideMark/>
          </w:tcPr>
          <w:p w14:paraId="41A34D37"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rPr>
              <w:t>(381,802)</w:t>
            </w:r>
          </w:p>
        </w:tc>
      </w:tr>
      <w:tr w:rsidR="003E5BF5" w:rsidRPr="00B67173" w14:paraId="0E8FCDAA" w14:textId="77777777" w:rsidTr="005859E4">
        <w:trPr>
          <w:trHeight w:val="340"/>
        </w:trPr>
        <w:tc>
          <w:tcPr>
            <w:tcW w:w="5027" w:type="dxa"/>
            <w:shd w:val="clear" w:color="auto" w:fill="auto"/>
            <w:noWrap/>
            <w:vAlign w:val="center"/>
            <w:hideMark/>
          </w:tcPr>
          <w:p w14:paraId="209AAB17" w14:textId="77777777" w:rsidR="003E5BF5" w:rsidRPr="00B67173" w:rsidRDefault="003E5BF5" w:rsidP="00604703">
            <w:pPr>
              <w:pStyle w:val="TableTextGreen"/>
            </w:pPr>
            <w:r w:rsidRPr="00B67173">
              <w:t>Items that will not be classified to net result</w:t>
            </w:r>
          </w:p>
        </w:tc>
        <w:tc>
          <w:tcPr>
            <w:tcW w:w="850" w:type="dxa"/>
            <w:shd w:val="clear" w:color="auto" w:fill="auto"/>
            <w:noWrap/>
            <w:vAlign w:val="center"/>
            <w:hideMark/>
          </w:tcPr>
          <w:p w14:paraId="68A25D2E" w14:textId="77777777" w:rsidR="003E5BF5" w:rsidRPr="00B67173" w:rsidRDefault="003E5BF5" w:rsidP="00DE1921">
            <w:pPr>
              <w:jc w:val="right"/>
              <w:rPr>
                <w:rFonts w:ascii="Arial" w:hAnsi="Arial" w:cs="Arial"/>
                <w:b/>
                <w:bCs/>
                <w:sz w:val="24"/>
                <w:szCs w:val="24"/>
                <w:lang w:eastAsia="en-AU"/>
              </w:rPr>
            </w:pPr>
          </w:p>
        </w:tc>
        <w:tc>
          <w:tcPr>
            <w:tcW w:w="1615" w:type="dxa"/>
            <w:shd w:val="clear" w:color="auto" w:fill="auto"/>
            <w:noWrap/>
            <w:vAlign w:val="center"/>
            <w:hideMark/>
          </w:tcPr>
          <w:p w14:paraId="37DDA705" w14:textId="77777777" w:rsidR="003E5BF5" w:rsidRPr="00B67173" w:rsidRDefault="003E5BF5" w:rsidP="00DE1921">
            <w:pPr>
              <w:jc w:val="right"/>
              <w:rPr>
                <w:rFonts w:ascii="Arial" w:hAnsi="Arial" w:cs="Arial"/>
                <w:sz w:val="24"/>
                <w:szCs w:val="24"/>
                <w:lang w:eastAsia="en-AU"/>
              </w:rPr>
            </w:pPr>
          </w:p>
        </w:tc>
        <w:tc>
          <w:tcPr>
            <w:tcW w:w="1615" w:type="dxa"/>
            <w:shd w:val="clear" w:color="auto" w:fill="auto"/>
            <w:noWrap/>
            <w:vAlign w:val="center"/>
            <w:hideMark/>
          </w:tcPr>
          <w:p w14:paraId="4D5D4794" w14:textId="77777777" w:rsidR="003E5BF5" w:rsidRPr="00B67173" w:rsidRDefault="003E5BF5" w:rsidP="00DE1921">
            <w:pPr>
              <w:jc w:val="right"/>
              <w:rPr>
                <w:rFonts w:ascii="Arial" w:hAnsi="Arial" w:cs="Arial"/>
                <w:sz w:val="24"/>
                <w:szCs w:val="24"/>
                <w:lang w:eastAsia="en-AU"/>
              </w:rPr>
            </w:pPr>
          </w:p>
        </w:tc>
      </w:tr>
      <w:tr w:rsidR="003E5BF5" w:rsidRPr="00B67173" w14:paraId="4D2882C0" w14:textId="77777777" w:rsidTr="005859E4">
        <w:trPr>
          <w:trHeight w:val="340"/>
        </w:trPr>
        <w:tc>
          <w:tcPr>
            <w:tcW w:w="5027" w:type="dxa"/>
            <w:shd w:val="clear" w:color="auto" w:fill="auto"/>
            <w:noWrap/>
            <w:vAlign w:val="center"/>
            <w:hideMark/>
          </w:tcPr>
          <w:p w14:paraId="3DD19E84" w14:textId="77777777" w:rsidR="003E5BF5" w:rsidRPr="00B67173" w:rsidRDefault="003E5BF5" w:rsidP="00DE1921">
            <w:pPr>
              <w:rPr>
                <w:rFonts w:ascii="Arial" w:hAnsi="Arial" w:cs="Arial"/>
                <w:sz w:val="24"/>
                <w:szCs w:val="24"/>
                <w:lang w:eastAsia="en-AU"/>
              </w:rPr>
            </w:pPr>
            <w:r w:rsidRPr="00B67173">
              <w:rPr>
                <w:rFonts w:ascii="Arial" w:hAnsi="Arial" w:cs="Arial"/>
                <w:sz w:val="24"/>
                <w:szCs w:val="24"/>
                <w:lang w:eastAsia="en-AU"/>
              </w:rPr>
              <w:t>Changes in physical asset revaluation reserve</w:t>
            </w:r>
          </w:p>
        </w:tc>
        <w:tc>
          <w:tcPr>
            <w:tcW w:w="850" w:type="dxa"/>
            <w:shd w:val="clear" w:color="auto" w:fill="auto"/>
            <w:noWrap/>
            <w:vAlign w:val="center"/>
            <w:hideMark/>
          </w:tcPr>
          <w:p w14:paraId="2DBB0ACA" w14:textId="77777777" w:rsidR="003E5BF5" w:rsidRPr="00B67173" w:rsidRDefault="003E5BF5" w:rsidP="00DE1921">
            <w:pPr>
              <w:jc w:val="right"/>
              <w:rPr>
                <w:rFonts w:ascii="Arial" w:hAnsi="Arial" w:cs="Arial"/>
                <w:sz w:val="24"/>
                <w:szCs w:val="24"/>
                <w:lang w:eastAsia="en-AU"/>
              </w:rPr>
            </w:pPr>
          </w:p>
        </w:tc>
        <w:tc>
          <w:tcPr>
            <w:tcW w:w="1615" w:type="dxa"/>
            <w:shd w:val="clear" w:color="auto" w:fill="auto"/>
            <w:noWrap/>
            <w:vAlign w:val="center"/>
            <w:hideMark/>
          </w:tcPr>
          <w:p w14:paraId="7B99C33E" w14:textId="77777777" w:rsidR="003E5BF5" w:rsidRPr="00B67173" w:rsidRDefault="003E5BF5" w:rsidP="00DE1921">
            <w:pPr>
              <w:jc w:val="right"/>
              <w:rPr>
                <w:rFonts w:ascii="Arial" w:hAnsi="Arial" w:cs="Arial"/>
                <w:sz w:val="24"/>
                <w:szCs w:val="24"/>
                <w:lang w:eastAsia="en-AU"/>
              </w:rPr>
            </w:pPr>
            <w:r w:rsidRPr="00B67173">
              <w:rPr>
                <w:rFonts w:ascii="Arial" w:hAnsi="Arial" w:cs="Arial"/>
                <w:sz w:val="24"/>
                <w:szCs w:val="24"/>
              </w:rPr>
              <w:t xml:space="preserve">12,084,681 </w:t>
            </w:r>
          </w:p>
        </w:tc>
        <w:tc>
          <w:tcPr>
            <w:tcW w:w="1615" w:type="dxa"/>
            <w:shd w:val="clear" w:color="auto" w:fill="auto"/>
            <w:noWrap/>
            <w:vAlign w:val="center"/>
            <w:hideMark/>
          </w:tcPr>
          <w:p w14:paraId="54E415E3" w14:textId="77777777" w:rsidR="003E5BF5" w:rsidRPr="00B67173" w:rsidRDefault="003E5BF5" w:rsidP="00DE1921">
            <w:pPr>
              <w:jc w:val="right"/>
              <w:rPr>
                <w:rFonts w:ascii="Arial" w:hAnsi="Arial" w:cs="Arial"/>
                <w:sz w:val="24"/>
                <w:szCs w:val="24"/>
                <w:lang w:eastAsia="en-AU"/>
              </w:rPr>
            </w:pPr>
            <w:r w:rsidRPr="00B67173">
              <w:rPr>
                <w:rFonts w:ascii="Arial" w:hAnsi="Arial" w:cs="Arial"/>
                <w:b/>
                <w:sz w:val="24"/>
                <w:szCs w:val="24"/>
              </w:rPr>
              <w:t>-</w:t>
            </w:r>
          </w:p>
        </w:tc>
      </w:tr>
      <w:tr w:rsidR="003E5BF5" w:rsidRPr="00B67173" w14:paraId="60BB1DE9" w14:textId="77777777" w:rsidTr="005859E4">
        <w:trPr>
          <w:trHeight w:val="340"/>
        </w:trPr>
        <w:tc>
          <w:tcPr>
            <w:tcW w:w="5027" w:type="dxa"/>
            <w:shd w:val="clear" w:color="auto" w:fill="auto"/>
            <w:noWrap/>
            <w:vAlign w:val="center"/>
            <w:hideMark/>
          </w:tcPr>
          <w:p w14:paraId="262CDF10" w14:textId="77777777" w:rsidR="003E5BF5" w:rsidRPr="00B67173" w:rsidRDefault="003E5BF5" w:rsidP="00DE1921">
            <w:pPr>
              <w:pStyle w:val="TableTextLeftBold"/>
              <w:rPr>
                <w:rFonts w:ascii="Arial" w:hAnsi="Arial" w:cs="Arial"/>
                <w:sz w:val="24"/>
                <w:szCs w:val="24"/>
              </w:rPr>
            </w:pPr>
            <w:r w:rsidRPr="00B67173">
              <w:rPr>
                <w:rFonts w:ascii="Arial" w:hAnsi="Arial" w:cs="Arial"/>
                <w:sz w:val="24"/>
                <w:szCs w:val="24"/>
              </w:rPr>
              <w:t>Total other economic flows - other comprehensive income</w:t>
            </w:r>
          </w:p>
        </w:tc>
        <w:tc>
          <w:tcPr>
            <w:tcW w:w="850" w:type="dxa"/>
            <w:shd w:val="clear" w:color="auto" w:fill="auto"/>
            <w:noWrap/>
            <w:vAlign w:val="center"/>
            <w:hideMark/>
          </w:tcPr>
          <w:p w14:paraId="22761E17" w14:textId="77777777" w:rsidR="003E5BF5" w:rsidRPr="00B67173" w:rsidRDefault="003E5BF5" w:rsidP="00DE1921">
            <w:pPr>
              <w:jc w:val="right"/>
              <w:rPr>
                <w:rFonts w:ascii="Arial" w:hAnsi="Arial" w:cs="Arial"/>
                <w:b/>
                <w:bCs/>
                <w:sz w:val="24"/>
                <w:szCs w:val="24"/>
                <w:lang w:eastAsia="en-AU"/>
              </w:rPr>
            </w:pPr>
          </w:p>
        </w:tc>
        <w:tc>
          <w:tcPr>
            <w:tcW w:w="1615" w:type="dxa"/>
            <w:shd w:val="clear" w:color="auto" w:fill="auto"/>
            <w:noWrap/>
            <w:vAlign w:val="center"/>
            <w:hideMark/>
          </w:tcPr>
          <w:p w14:paraId="286D1174"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rPr>
              <w:t xml:space="preserve">12,084,681 </w:t>
            </w:r>
          </w:p>
        </w:tc>
        <w:tc>
          <w:tcPr>
            <w:tcW w:w="1615" w:type="dxa"/>
            <w:shd w:val="clear" w:color="auto" w:fill="auto"/>
            <w:noWrap/>
            <w:vAlign w:val="center"/>
            <w:hideMark/>
          </w:tcPr>
          <w:p w14:paraId="7B435259"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sz w:val="24"/>
                <w:szCs w:val="24"/>
              </w:rPr>
              <w:t>-</w:t>
            </w:r>
          </w:p>
        </w:tc>
      </w:tr>
      <w:tr w:rsidR="003E5BF5" w:rsidRPr="00B67173" w14:paraId="56A08A1C" w14:textId="77777777" w:rsidTr="005859E4">
        <w:trPr>
          <w:trHeight w:val="340"/>
        </w:trPr>
        <w:tc>
          <w:tcPr>
            <w:tcW w:w="5027" w:type="dxa"/>
            <w:shd w:val="clear" w:color="auto" w:fill="auto"/>
            <w:noWrap/>
            <w:vAlign w:val="center"/>
            <w:hideMark/>
          </w:tcPr>
          <w:p w14:paraId="05775DF9" w14:textId="77777777" w:rsidR="003E5BF5" w:rsidRPr="00B67173" w:rsidRDefault="003E5BF5" w:rsidP="00DE1921">
            <w:pPr>
              <w:pStyle w:val="TableTextLeftBold"/>
              <w:rPr>
                <w:rFonts w:ascii="Arial" w:hAnsi="Arial" w:cs="Arial"/>
                <w:sz w:val="24"/>
                <w:szCs w:val="24"/>
              </w:rPr>
            </w:pPr>
            <w:r w:rsidRPr="00B67173">
              <w:rPr>
                <w:rFonts w:ascii="Arial" w:hAnsi="Arial" w:cs="Arial"/>
                <w:sz w:val="24"/>
                <w:szCs w:val="24"/>
              </w:rPr>
              <w:t>Comprehensive result</w:t>
            </w:r>
          </w:p>
        </w:tc>
        <w:tc>
          <w:tcPr>
            <w:tcW w:w="850" w:type="dxa"/>
            <w:shd w:val="clear" w:color="auto" w:fill="auto"/>
            <w:noWrap/>
            <w:vAlign w:val="center"/>
            <w:hideMark/>
          </w:tcPr>
          <w:p w14:paraId="4F5CC344" w14:textId="77777777" w:rsidR="003E5BF5" w:rsidRPr="00B67173" w:rsidRDefault="003E5BF5" w:rsidP="00DE1921">
            <w:pPr>
              <w:jc w:val="right"/>
              <w:rPr>
                <w:rFonts w:ascii="Arial" w:hAnsi="Arial" w:cs="Arial"/>
                <w:b/>
                <w:bCs/>
                <w:sz w:val="24"/>
                <w:szCs w:val="24"/>
                <w:lang w:eastAsia="en-AU"/>
              </w:rPr>
            </w:pPr>
          </w:p>
        </w:tc>
        <w:tc>
          <w:tcPr>
            <w:tcW w:w="1615" w:type="dxa"/>
            <w:shd w:val="clear" w:color="auto" w:fill="auto"/>
            <w:noWrap/>
            <w:vAlign w:val="center"/>
            <w:hideMark/>
          </w:tcPr>
          <w:p w14:paraId="34BBEF2E"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rPr>
              <w:t xml:space="preserve">11,070,729 </w:t>
            </w:r>
          </w:p>
        </w:tc>
        <w:tc>
          <w:tcPr>
            <w:tcW w:w="1615" w:type="dxa"/>
            <w:shd w:val="clear" w:color="auto" w:fill="auto"/>
            <w:noWrap/>
            <w:vAlign w:val="center"/>
            <w:hideMark/>
          </w:tcPr>
          <w:p w14:paraId="28D38BA2" w14:textId="77777777" w:rsidR="003E5BF5" w:rsidRPr="00B67173" w:rsidRDefault="003E5BF5" w:rsidP="00DE1921">
            <w:pPr>
              <w:jc w:val="right"/>
              <w:rPr>
                <w:rFonts w:ascii="Arial" w:hAnsi="Arial" w:cs="Arial"/>
                <w:b/>
                <w:bCs/>
                <w:sz w:val="24"/>
                <w:szCs w:val="24"/>
                <w:lang w:eastAsia="en-AU"/>
              </w:rPr>
            </w:pPr>
            <w:r w:rsidRPr="00B67173">
              <w:rPr>
                <w:rFonts w:ascii="Arial" w:hAnsi="Arial" w:cs="Arial"/>
                <w:b/>
                <w:bCs/>
                <w:sz w:val="24"/>
                <w:szCs w:val="24"/>
              </w:rPr>
              <w:t>(381,802)</w:t>
            </w:r>
          </w:p>
        </w:tc>
      </w:tr>
    </w:tbl>
    <w:p w14:paraId="239FF160" w14:textId="77777777" w:rsidR="00DB5F69" w:rsidRPr="00B67173" w:rsidRDefault="00DB5F69" w:rsidP="00DB5F69">
      <w:pPr>
        <w:spacing w:before="120" w:line="360" w:lineRule="auto"/>
        <w:rPr>
          <w:rFonts w:ascii="Arial" w:hAnsi="Arial" w:cs="Arial"/>
          <w:sz w:val="24"/>
          <w:szCs w:val="24"/>
          <w:lang w:eastAsia="en-AU"/>
        </w:rPr>
      </w:pPr>
      <w:bookmarkStart w:id="46" w:name="BS"/>
      <w:r w:rsidRPr="00B67173">
        <w:rPr>
          <w:rFonts w:ascii="Arial" w:hAnsi="Arial" w:cs="Arial"/>
          <w:sz w:val="24"/>
          <w:szCs w:val="24"/>
          <w:lang w:eastAsia="en-AU"/>
        </w:rPr>
        <w:lastRenderedPageBreak/>
        <w:t>The above comprehensive operating statement should be read in conjunction with the notes to the financial statements.</w:t>
      </w:r>
    </w:p>
    <w:p w14:paraId="49FBC511" w14:textId="77777777" w:rsidR="00DB5F69" w:rsidRPr="00B67173" w:rsidRDefault="00DB5F69" w:rsidP="00DB5F69">
      <w:pPr>
        <w:pStyle w:val="Note"/>
        <w:spacing w:line="360" w:lineRule="auto"/>
        <w:rPr>
          <w:rFonts w:ascii="Arial" w:hAnsi="Arial" w:cs="Arial"/>
          <w:sz w:val="24"/>
          <w:szCs w:val="24"/>
        </w:rPr>
      </w:pPr>
      <w:r w:rsidRPr="00B67173">
        <w:rPr>
          <w:rFonts w:ascii="Arial" w:hAnsi="Arial" w:cs="Arial"/>
          <w:sz w:val="24"/>
          <w:szCs w:val="24"/>
        </w:rPr>
        <w:t>Notes:</w:t>
      </w:r>
    </w:p>
    <w:p w14:paraId="5AC40B2B" w14:textId="77777777" w:rsidR="00DB5F69" w:rsidRPr="00B67173" w:rsidRDefault="00DB5F69" w:rsidP="00C23D6A">
      <w:pPr>
        <w:pStyle w:val="aaaNotenumberiiiiii"/>
      </w:pPr>
      <w:r w:rsidRPr="00B67173">
        <w:t>The fund has been transferred to Department of Jobs, Precincts and Regions (DJPR) as part of the Machinery of Government (</w:t>
      </w:r>
      <w:proofErr w:type="spellStart"/>
      <w:r w:rsidRPr="00B67173">
        <w:t>MoG</w:t>
      </w:r>
      <w:proofErr w:type="spellEnd"/>
      <w:r w:rsidRPr="00B67173">
        <w:t>) change effective on 1 January 2019.</w:t>
      </w:r>
    </w:p>
    <w:p w14:paraId="2DED6356" w14:textId="77777777" w:rsidR="00DB5F69" w:rsidRDefault="00DB5F69" w:rsidP="00C23D6A">
      <w:pPr>
        <w:pStyle w:val="aaaNotenumberiiiiii"/>
      </w:pPr>
      <w:r w:rsidRPr="00B67173">
        <w:t xml:space="preserve">The 2019 comparatives figures have been restated to reflect the adoption of AASB 1059 </w:t>
      </w:r>
      <w:r w:rsidRPr="00B67173">
        <w:rPr>
          <w:i/>
        </w:rPr>
        <w:t>Service Concession Arrangements: Grantors</w:t>
      </w:r>
      <w:r w:rsidRPr="00B67173">
        <w:t xml:space="preserve"> (AASB 1059), refer to Note 9.6.5.1 for further details.</w:t>
      </w:r>
    </w:p>
    <w:p w14:paraId="1EA4D143" w14:textId="77777777" w:rsidR="007F6ED1" w:rsidRDefault="007F6ED1" w:rsidP="00DB5F69">
      <w:pPr>
        <w:pStyle w:val="aaatyping"/>
        <w:sectPr w:rsidR="007F6ED1" w:rsidSect="00DE1921">
          <w:headerReference w:type="even" r:id="rId53"/>
          <w:headerReference w:type="default" r:id="rId54"/>
          <w:headerReference w:type="first" r:id="rId55"/>
          <w:pgSz w:w="11906" w:h="16838"/>
          <w:pgMar w:top="1701" w:right="1418" w:bottom="1418" w:left="1418" w:header="709" w:footer="709" w:gutter="0"/>
          <w:cols w:space="708"/>
          <w:docGrid w:linePitch="360"/>
        </w:sectPr>
      </w:pPr>
    </w:p>
    <w:p w14:paraId="2EDF4433" w14:textId="1DC96C32" w:rsidR="003E5BF5" w:rsidRPr="00EC25AB" w:rsidRDefault="003E5BF5" w:rsidP="008A0170">
      <w:pPr>
        <w:pStyle w:val="Heading1"/>
      </w:pPr>
      <w:bookmarkStart w:id="47" w:name="_Toc55130686"/>
      <w:r w:rsidRPr="00EC25AB">
        <w:lastRenderedPageBreak/>
        <w:t>Balance sheet</w:t>
      </w:r>
      <w:bookmarkEnd w:id="47"/>
      <w:r w:rsidRPr="00EC25AB">
        <w:t xml:space="preserve"> </w:t>
      </w:r>
      <w:bookmarkStart w:id="48" w:name="p55"/>
      <w:bookmarkEnd w:id="48"/>
    </w:p>
    <w:bookmarkEnd w:id="46"/>
    <w:p w14:paraId="46481BD0" w14:textId="77777777" w:rsidR="003E5BF5" w:rsidRPr="00EC25AB" w:rsidRDefault="003E5BF5" w:rsidP="008A0170">
      <w:pPr>
        <w:pStyle w:val="Heading3"/>
      </w:pPr>
      <w:r w:rsidRPr="00EC25AB">
        <w:t xml:space="preserve">as at 30 June </w:t>
      </w:r>
      <w:bookmarkEnd w:id="38"/>
      <w:bookmarkEnd w:id="39"/>
      <w:bookmarkEnd w:id="40"/>
      <w:bookmarkEnd w:id="41"/>
      <w:bookmarkEnd w:id="42"/>
      <w:bookmarkEnd w:id="43"/>
      <w:bookmarkEnd w:id="44"/>
      <w:bookmarkEnd w:id="45"/>
      <w:r w:rsidRPr="00EC25AB">
        <w:t>2020</w:t>
      </w:r>
      <w:bookmarkStart w:id="49" w:name="RANGE!A3:D37"/>
      <w:bookmarkStart w:id="50" w:name="RANGE!A2:H29"/>
      <w:bookmarkStart w:id="51" w:name="RANGE!A3:D30"/>
      <w:bookmarkStart w:id="52" w:name="RANGE!A3:D32"/>
      <w:bookmarkEnd w:id="49"/>
      <w:bookmarkEnd w:id="50"/>
      <w:bookmarkEnd w:id="51"/>
      <w:bookmarkEnd w:id="52"/>
    </w:p>
    <w:tbl>
      <w:tblPr>
        <w:tblStyle w:val="TableGrid"/>
        <w:tblW w:w="9094" w:type="dxa"/>
        <w:tblLayout w:type="fixed"/>
        <w:tblLook w:val="04A0" w:firstRow="1" w:lastRow="0" w:firstColumn="1" w:lastColumn="0" w:noHBand="0" w:noVBand="1"/>
      </w:tblPr>
      <w:tblGrid>
        <w:gridCol w:w="3509"/>
        <w:gridCol w:w="1036"/>
        <w:gridCol w:w="1509"/>
        <w:gridCol w:w="1509"/>
        <w:gridCol w:w="1509"/>
        <w:gridCol w:w="22"/>
      </w:tblGrid>
      <w:tr w:rsidR="0032414D" w:rsidRPr="00AD4D68" w14:paraId="0D2C0560" w14:textId="77777777" w:rsidTr="00B4598F">
        <w:trPr>
          <w:gridAfter w:val="1"/>
          <w:wAfter w:w="22" w:type="dxa"/>
          <w:trHeight w:val="340"/>
        </w:trPr>
        <w:tc>
          <w:tcPr>
            <w:tcW w:w="3509" w:type="dxa"/>
            <w:shd w:val="clear" w:color="auto" w:fill="auto"/>
            <w:noWrap/>
            <w:hideMark/>
          </w:tcPr>
          <w:p w14:paraId="575FD8BF" w14:textId="77777777" w:rsidR="0032414D" w:rsidRPr="00AD4D68" w:rsidRDefault="0032414D" w:rsidP="0032414D">
            <w:pPr>
              <w:rPr>
                <w:rFonts w:ascii="Arial" w:hAnsi="Arial" w:cs="Arial"/>
                <w:sz w:val="24"/>
                <w:szCs w:val="24"/>
                <w:lang w:eastAsia="en-AU"/>
              </w:rPr>
            </w:pPr>
          </w:p>
        </w:tc>
        <w:tc>
          <w:tcPr>
            <w:tcW w:w="1036" w:type="dxa"/>
            <w:shd w:val="clear" w:color="auto" w:fill="auto"/>
            <w:noWrap/>
            <w:hideMark/>
          </w:tcPr>
          <w:p w14:paraId="130AFD98" w14:textId="77777777" w:rsidR="0032414D" w:rsidRPr="00AD4D68" w:rsidRDefault="0032414D" w:rsidP="0032414D">
            <w:pPr>
              <w:rPr>
                <w:rFonts w:ascii="Arial" w:hAnsi="Arial" w:cs="Arial"/>
                <w:sz w:val="24"/>
                <w:szCs w:val="24"/>
                <w:lang w:eastAsia="en-AU"/>
              </w:rPr>
            </w:pPr>
          </w:p>
        </w:tc>
        <w:tc>
          <w:tcPr>
            <w:tcW w:w="1509" w:type="dxa"/>
            <w:shd w:val="clear" w:color="auto" w:fill="auto"/>
            <w:noWrap/>
            <w:vAlign w:val="center"/>
            <w:hideMark/>
          </w:tcPr>
          <w:p w14:paraId="1DB0977A" w14:textId="77777777" w:rsidR="0032414D" w:rsidRPr="00AD4D68" w:rsidRDefault="0032414D" w:rsidP="0032414D">
            <w:pPr>
              <w:jc w:val="center"/>
              <w:rPr>
                <w:rFonts w:ascii="Arial" w:hAnsi="Arial" w:cs="Arial"/>
                <w:b/>
                <w:sz w:val="24"/>
                <w:szCs w:val="24"/>
                <w:lang w:eastAsia="en-AU"/>
              </w:rPr>
            </w:pPr>
            <w:r w:rsidRPr="00AD4D68">
              <w:rPr>
                <w:rFonts w:ascii="Arial" w:hAnsi="Arial" w:cs="Arial"/>
                <w:b/>
                <w:sz w:val="24"/>
                <w:szCs w:val="24"/>
                <w:lang w:eastAsia="en-AU"/>
              </w:rPr>
              <w:t>($ thousand)</w:t>
            </w:r>
          </w:p>
        </w:tc>
        <w:tc>
          <w:tcPr>
            <w:tcW w:w="1509" w:type="dxa"/>
            <w:shd w:val="clear" w:color="auto" w:fill="auto"/>
          </w:tcPr>
          <w:p w14:paraId="1AAFDFCA" w14:textId="04755C0A" w:rsidR="0032414D" w:rsidRPr="00AD4D68" w:rsidRDefault="0032414D" w:rsidP="0032414D">
            <w:pPr>
              <w:jc w:val="center"/>
              <w:rPr>
                <w:rFonts w:ascii="Arial" w:hAnsi="Arial" w:cs="Arial"/>
                <w:b/>
                <w:sz w:val="24"/>
                <w:szCs w:val="24"/>
                <w:lang w:eastAsia="en-AU"/>
              </w:rPr>
            </w:pPr>
            <w:r w:rsidRPr="00FE6056">
              <w:rPr>
                <w:rFonts w:ascii="Arial" w:hAnsi="Arial" w:cs="Arial"/>
                <w:b/>
                <w:sz w:val="24"/>
                <w:szCs w:val="24"/>
                <w:lang w:eastAsia="en-AU"/>
              </w:rPr>
              <w:t>$ thousand)</w:t>
            </w:r>
          </w:p>
        </w:tc>
        <w:tc>
          <w:tcPr>
            <w:tcW w:w="1509" w:type="dxa"/>
            <w:shd w:val="clear" w:color="auto" w:fill="auto"/>
          </w:tcPr>
          <w:p w14:paraId="27AF5A68" w14:textId="2558918C" w:rsidR="0032414D" w:rsidRPr="00AD4D68" w:rsidRDefault="0032414D" w:rsidP="0032414D">
            <w:pPr>
              <w:jc w:val="center"/>
              <w:rPr>
                <w:rFonts w:ascii="Arial" w:hAnsi="Arial" w:cs="Arial"/>
                <w:b/>
                <w:sz w:val="24"/>
                <w:szCs w:val="24"/>
                <w:lang w:eastAsia="en-AU"/>
              </w:rPr>
            </w:pPr>
            <w:r w:rsidRPr="00FE6056">
              <w:rPr>
                <w:rFonts w:ascii="Arial" w:hAnsi="Arial" w:cs="Arial"/>
                <w:b/>
                <w:sz w:val="24"/>
                <w:szCs w:val="24"/>
                <w:lang w:eastAsia="en-AU"/>
              </w:rPr>
              <w:t>$ thousand)</w:t>
            </w:r>
          </w:p>
        </w:tc>
      </w:tr>
      <w:tr w:rsidR="003E5BF5" w:rsidRPr="00AD4D68" w14:paraId="3A7F868B" w14:textId="77777777" w:rsidTr="005859E4">
        <w:trPr>
          <w:trHeight w:val="340"/>
        </w:trPr>
        <w:tc>
          <w:tcPr>
            <w:tcW w:w="3509" w:type="dxa"/>
            <w:shd w:val="clear" w:color="auto" w:fill="auto"/>
            <w:noWrap/>
            <w:hideMark/>
          </w:tcPr>
          <w:p w14:paraId="6CD6F330" w14:textId="77777777" w:rsidR="003E5BF5" w:rsidRPr="00AD4D68" w:rsidRDefault="003E5BF5" w:rsidP="00DE1921">
            <w:pPr>
              <w:rPr>
                <w:rFonts w:ascii="Arial" w:hAnsi="Arial" w:cs="Arial"/>
                <w:sz w:val="24"/>
                <w:szCs w:val="24"/>
                <w:lang w:eastAsia="en-AU"/>
              </w:rPr>
            </w:pPr>
          </w:p>
        </w:tc>
        <w:tc>
          <w:tcPr>
            <w:tcW w:w="1036" w:type="dxa"/>
            <w:shd w:val="clear" w:color="auto" w:fill="auto"/>
            <w:noWrap/>
            <w:vAlign w:val="center"/>
            <w:hideMark/>
          </w:tcPr>
          <w:p w14:paraId="0D3C64F0"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lang w:eastAsia="en-AU"/>
              </w:rPr>
              <w:t>Note</w:t>
            </w:r>
          </w:p>
        </w:tc>
        <w:tc>
          <w:tcPr>
            <w:tcW w:w="1509" w:type="dxa"/>
            <w:shd w:val="clear" w:color="auto" w:fill="auto"/>
            <w:noWrap/>
            <w:vAlign w:val="center"/>
            <w:hideMark/>
          </w:tcPr>
          <w:p w14:paraId="60F8FF43"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lang w:eastAsia="en-AU"/>
              </w:rPr>
              <w:t>2020</w:t>
            </w:r>
          </w:p>
        </w:tc>
        <w:tc>
          <w:tcPr>
            <w:tcW w:w="1509" w:type="dxa"/>
            <w:shd w:val="clear" w:color="auto" w:fill="auto"/>
            <w:noWrap/>
            <w:vAlign w:val="center"/>
            <w:hideMark/>
          </w:tcPr>
          <w:p w14:paraId="4B659065"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lang w:eastAsia="en-AU"/>
              </w:rPr>
              <w:t>2019</w:t>
            </w:r>
          </w:p>
        </w:tc>
        <w:tc>
          <w:tcPr>
            <w:tcW w:w="1531" w:type="dxa"/>
            <w:gridSpan w:val="2"/>
            <w:shd w:val="clear" w:color="auto" w:fill="auto"/>
            <w:noWrap/>
            <w:vAlign w:val="center"/>
            <w:hideMark/>
          </w:tcPr>
          <w:p w14:paraId="1261517B"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lang w:eastAsia="en-AU"/>
              </w:rPr>
              <w:t>2018</w:t>
            </w:r>
            <w:r w:rsidRPr="00AD4D68">
              <w:rPr>
                <w:rFonts w:ascii="Arial" w:hAnsi="Arial" w:cs="Arial"/>
                <w:b/>
                <w:sz w:val="24"/>
                <w:szCs w:val="24"/>
                <w:vertAlign w:val="superscript"/>
                <w:lang w:eastAsia="en-AU"/>
              </w:rPr>
              <w:t xml:space="preserve"> (</w:t>
            </w:r>
            <w:proofErr w:type="spellStart"/>
            <w:r w:rsidRPr="00AD4D68">
              <w:rPr>
                <w:rFonts w:ascii="Arial" w:hAnsi="Arial" w:cs="Arial"/>
                <w:b/>
                <w:sz w:val="24"/>
                <w:szCs w:val="24"/>
                <w:vertAlign w:val="superscript"/>
                <w:lang w:eastAsia="en-AU"/>
              </w:rPr>
              <w:t>i</w:t>
            </w:r>
            <w:proofErr w:type="spellEnd"/>
            <w:r w:rsidRPr="00AD4D68">
              <w:rPr>
                <w:rFonts w:ascii="Arial" w:hAnsi="Arial" w:cs="Arial"/>
                <w:b/>
                <w:sz w:val="24"/>
                <w:szCs w:val="24"/>
                <w:vertAlign w:val="superscript"/>
                <w:lang w:eastAsia="en-AU"/>
              </w:rPr>
              <w:t>)</w:t>
            </w:r>
          </w:p>
        </w:tc>
      </w:tr>
      <w:tr w:rsidR="003E5BF5" w:rsidRPr="00AD4D68" w14:paraId="4894017D" w14:textId="77777777" w:rsidTr="005859E4">
        <w:trPr>
          <w:trHeight w:val="340"/>
        </w:trPr>
        <w:tc>
          <w:tcPr>
            <w:tcW w:w="3509" w:type="dxa"/>
            <w:shd w:val="clear" w:color="auto" w:fill="auto"/>
            <w:noWrap/>
            <w:vAlign w:val="center"/>
            <w:hideMark/>
          </w:tcPr>
          <w:p w14:paraId="49595870" w14:textId="77777777" w:rsidR="003E5BF5" w:rsidRPr="00AD4D68" w:rsidRDefault="003E5BF5" w:rsidP="00604703">
            <w:pPr>
              <w:pStyle w:val="TableTextGreen"/>
            </w:pPr>
            <w:r w:rsidRPr="00AD4D68">
              <w:t>Assets</w:t>
            </w:r>
          </w:p>
        </w:tc>
        <w:tc>
          <w:tcPr>
            <w:tcW w:w="1036" w:type="dxa"/>
            <w:shd w:val="clear" w:color="auto" w:fill="auto"/>
            <w:noWrap/>
            <w:vAlign w:val="center"/>
            <w:hideMark/>
          </w:tcPr>
          <w:p w14:paraId="03A2A7A5" w14:textId="77777777" w:rsidR="003E5BF5" w:rsidRPr="00AD4D68" w:rsidRDefault="003E5BF5" w:rsidP="00DE1921">
            <w:pPr>
              <w:jc w:val="right"/>
              <w:rPr>
                <w:rFonts w:ascii="Arial" w:hAnsi="Arial" w:cs="Arial"/>
                <w:b/>
                <w:sz w:val="24"/>
                <w:szCs w:val="24"/>
                <w:lang w:eastAsia="en-AU"/>
              </w:rPr>
            </w:pPr>
          </w:p>
        </w:tc>
        <w:tc>
          <w:tcPr>
            <w:tcW w:w="1509" w:type="dxa"/>
            <w:shd w:val="clear" w:color="auto" w:fill="auto"/>
            <w:noWrap/>
            <w:vAlign w:val="center"/>
            <w:hideMark/>
          </w:tcPr>
          <w:p w14:paraId="12060816" w14:textId="77777777" w:rsidR="003E5BF5" w:rsidRPr="00AD4D68" w:rsidRDefault="003E5BF5" w:rsidP="00DE1921">
            <w:pPr>
              <w:jc w:val="right"/>
              <w:rPr>
                <w:rFonts w:ascii="Arial" w:hAnsi="Arial" w:cs="Arial"/>
                <w:sz w:val="24"/>
                <w:szCs w:val="24"/>
                <w:lang w:eastAsia="en-AU"/>
              </w:rPr>
            </w:pPr>
          </w:p>
        </w:tc>
        <w:tc>
          <w:tcPr>
            <w:tcW w:w="1509" w:type="dxa"/>
            <w:shd w:val="clear" w:color="auto" w:fill="auto"/>
            <w:noWrap/>
            <w:vAlign w:val="center"/>
            <w:hideMark/>
          </w:tcPr>
          <w:p w14:paraId="0C70EEBD" w14:textId="77777777" w:rsidR="003E5BF5" w:rsidRPr="00AD4D68" w:rsidRDefault="003E5BF5" w:rsidP="00DE1921">
            <w:pPr>
              <w:jc w:val="right"/>
              <w:rPr>
                <w:rFonts w:ascii="Arial" w:hAnsi="Arial" w:cs="Arial"/>
                <w:sz w:val="24"/>
                <w:szCs w:val="24"/>
                <w:lang w:eastAsia="en-AU"/>
              </w:rPr>
            </w:pPr>
          </w:p>
        </w:tc>
        <w:tc>
          <w:tcPr>
            <w:tcW w:w="1531" w:type="dxa"/>
            <w:gridSpan w:val="2"/>
            <w:shd w:val="clear" w:color="auto" w:fill="auto"/>
            <w:noWrap/>
            <w:vAlign w:val="center"/>
            <w:hideMark/>
          </w:tcPr>
          <w:p w14:paraId="63838BB8" w14:textId="77777777" w:rsidR="003E5BF5" w:rsidRPr="00AD4D68" w:rsidRDefault="003E5BF5" w:rsidP="00DE1921">
            <w:pPr>
              <w:jc w:val="right"/>
              <w:rPr>
                <w:rFonts w:ascii="Arial" w:hAnsi="Arial" w:cs="Arial"/>
                <w:sz w:val="24"/>
                <w:szCs w:val="24"/>
                <w:lang w:eastAsia="en-AU"/>
              </w:rPr>
            </w:pPr>
          </w:p>
        </w:tc>
      </w:tr>
      <w:tr w:rsidR="003E5BF5" w:rsidRPr="00AD4D68" w14:paraId="4044A948" w14:textId="77777777" w:rsidTr="005859E4">
        <w:trPr>
          <w:trHeight w:val="340"/>
        </w:trPr>
        <w:tc>
          <w:tcPr>
            <w:tcW w:w="3509" w:type="dxa"/>
            <w:shd w:val="clear" w:color="auto" w:fill="auto"/>
            <w:noWrap/>
            <w:vAlign w:val="center"/>
            <w:hideMark/>
          </w:tcPr>
          <w:p w14:paraId="7109E49C" w14:textId="77777777" w:rsidR="003E5BF5" w:rsidRPr="00AD4D68" w:rsidRDefault="003E5BF5" w:rsidP="00604703">
            <w:pPr>
              <w:pStyle w:val="TableTextGreen"/>
            </w:pPr>
            <w:r w:rsidRPr="00AD4D68">
              <w:t>Financial assets</w:t>
            </w:r>
          </w:p>
        </w:tc>
        <w:tc>
          <w:tcPr>
            <w:tcW w:w="1036" w:type="dxa"/>
            <w:shd w:val="clear" w:color="auto" w:fill="auto"/>
            <w:noWrap/>
            <w:vAlign w:val="center"/>
            <w:hideMark/>
          </w:tcPr>
          <w:p w14:paraId="23942A76" w14:textId="77777777" w:rsidR="003E5BF5" w:rsidRPr="00AD4D68" w:rsidRDefault="003E5BF5" w:rsidP="00DE1921">
            <w:pPr>
              <w:jc w:val="right"/>
              <w:rPr>
                <w:rFonts w:ascii="Arial" w:hAnsi="Arial" w:cs="Arial"/>
                <w:b/>
                <w:sz w:val="24"/>
                <w:szCs w:val="24"/>
                <w:lang w:eastAsia="en-AU"/>
              </w:rPr>
            </w:pPr>
          </w:p>
        </w:tc>
        <w:tc>
          <w:tcPr>
            <w:tcW w:w="1509" w:type="dxa"/>
            <w:shd w:val="clear" w:color="auto" w:fill="auto"/>
            <w:noWrap/>
            <w:vAlign w:val="center"/>
            <w:hideMark/>
          </w:tcPr>
          <w:p w14:paraId="062DB907" w14:textId="77777777" w:rsidR="003E5BF5" w:rsidRPr="00AD4D68" w:rsidRDefault="003E5BF5" w:rsidP="00DE1921">
            <w:pPr>
              <w:jc w:val="right"/>
              <w:rPr>
                <w:rFonts w:ascii="Arial" w:hAnsi="Arial" w:cs="Arial"/>
                <w:sz w:val="24"/>
                <w:szCs w:val="24"/>
                <w:lang w:eastAsia="en-AU"/>
              </w:rPr>
            </w:pPr>
          </w:p>
        </w:tc>
        <w:tc>
          <w:tcPr>
            <w:tcW w:w="1509" w:type="dxa"/>
            <w:shd w:val="clear" w:color="auto" w:fill="auto"/>
            <w:noWrap/>
            <w:vAlign w:val="center"/>
            <w:hideMark/>
          </w:tcPr>
          <w:p w14:paraId="231FF1F3" w14:textId="77777777" w:rsidR="003E5BF5" w:rsidRPr="00AD4D68" w:rsidRDefault="003E5BF5" w:rsidP="00DE1921">
            <w:pPr>
              <w:jc w:val="right"/>
              <w:rPr>
                <w:rFonts w:ascii="Arial" w:hAnsi="Arial" w:cs="Arial"/>
                <w:sz w:val="24"/>
                <w:szCs w:val="24"/>
                <w:lang w:eastAsia="en-AU"/>
              </w:rPr>
            </w:pPr>
          </w:p>
        </w:tc>
        <w:tc>
          <w:tcPr>
            <w:tcW w:w="1531" w:type="dxa"/>
            <w:gridSpan w:val="2"/>
            <w:shd w:val="clear" w:color="auto" w:fill="auto"/>
            <w:noWrap/>
            <w:vAlign w:val="center"/>
            <w:hideMark/>
          </w:tcPr>
          <w:p w14:paraId="1B91B7CB" w14:textId="77777777" w:rsidR="003E5BF5" w:rsidRPr="00AD4D68" w:rsidRDefault="003E5BF5" w:rsidP="00DE1921">
            <w:pPr>
              <w:jc w:val="right"/>
              <w:rPr>
                <w:rFonts w:ascii="Arial" w:hAnsi="Arial" w:cs="Arial"/>
                <w:sz w:val="24"/>
                <w:szCs w:val="24"/>
                <w:lang w:eastAsia="en-AU"/>
              </w:rPr>
            </w:pPr>
          </w:p>
        </w:tc>
      </w:tr>
      <w:tr w:rsidR="003E5BF5" w:rsidRPr="00AD4D68" w14:paraId="5EBC46DB" w14:textId="77777777" w:rsidTr="005859E4">
        <w:trPr>
          <w:trHeight w:val="340"/>
        </w:trPr>
        <w:tc>
          <w:tcPr>
            <w:tcW w:w="3509" w:type="dxa"/>
            <w:shd w:val="clear" w:color="auto" w:fill="auto"/>
            <w:noWrap/>
            <w:vAlign w:val="center"/>
            <w:hideMark/>
          </w:tcPr>
          <w:p w14:paraId="251F1463"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Cash and cash equivalents</w:t>
            </w:r>
          </w:p>
        </w:tc>
        <w:tc>
          <w:tcPr>
            <w:tcW w:w="1036" w:type="dxa"/>
            <w:shd w:val="clear" w:color="auto" w:fill="auto"/>
            <w:noWrap/>
            <w:vAlign w:val="center"/>
            <w:hideMark/>
          </w:tcPr>
          <w:p w14:paraId="345DDCA7" w14:textId="77777777" w:rsidR="003E5BF5" w:rsidRPr="00AD4D68" w:rsidRDefault="009B2DDD" w:rsidP="00DE1921">
            <w:pPr>
              <w:jc w:val="right"/>
              <w:rPr>
                <w:rFonts w:ascii="Arial" w:hAnsi="Arial" w:cs="Arial"/>
                <w:sz w:val="24"/>
                <w:szCs w:val="24"/>
                <w:lang w:eastAsia="en-AU"/>
              </w:rPr>
            </w:pPr>
            <w:hyperlink w:anchor="_Cash_flow_information" w:history="1">
              <w:r w:rsidR="003E5BF5" w:rsidRPr="00AD4D68">
                <w:rPr>
                  <w:rStyle w:val="Hyperlink"/>
                  <w:rFonts w:ascii="Arial" w:hAnsi="Arial" w:cs="Arial"/>
                  <w:sz w:val="24"/>
                  <w:szCs w:val="24"/>
                  <w:lang w:eastAsia="en-AU"/>
                </w:rPr>
                <w:t>7.3</w:t>
              </w:r>
            </w:hyperlink>
          </w:p>
        </w:tc>
        <w:tc>
          <w:tcPr>
            <w:tcW w:w="1509" w:type="dxa"/>
            <w:shd w:val="clear" w:color="auto" w:fill="auto"/>
            <w:noWrap/>
            <w:vAlign w:val="center"/>
            <w:hideMark/>
          </w:tcPr>
          <w:p w14:paraId="0FE6BF79"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662,257 </w:t>
            </w:r>
          </w:p>
        </w:tc>
        <w:tc>
          <w:tcPr>
            <w:tcW w:w="1509" w:type="dxa"/>
            <w:shd w:val="clear" w:color="auto" w:fill="auto"/>
            <w:noWrap/>
            <w:vAlign w:val="center"/>
            <w:hideMark/>
          </w:tcPr>
          <w:p w14:paraId="224C3F67"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93,812 </w:t>
            </w:r>
          </w:p>
        </w:tc>
        <w:tc>
          <w:tcPr>
            <w:tcW w:w="1531" w:type="dxa"/>
            <w:gridSpan w:val="2"/>
            <w:shd w:val="clear" w:color="auto" w:fill="auto"/>
            <w:noWrap/>
            <w:vAlign w:val="center"/>
            <w:hideMark/>
          </w:tcPr>
          <w:p w14:paraId="62291FF8"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1,351,602 </w:t>
            </w:r>
          </w:p>
        </w:tc>
      </w:tr>
      <w:tr w:rsidR="003E5BF5" w:rsidRPr="00AD4D68" w14:paraId="38F4253F" w14:textId="77777777" w:rsidTr="005859E4">
        <w:trPr>
          <w:trHeight w:val="340"/>
        </w:trPr>
        <w:tc>
          <w:tcPr>
            <w:tcW w:w="3509" w:type="dxa"/>
            <w:shd w:val="clear" w:color="auto" w:fill="auto"/>
            <w:noWrap/>
            <w:vAlign w:val="center"/>
            <w:hideMark/>
          </w:tcPr>
          <w:p w14:paraId="77F7309F"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Receivables</w:t>
            </w:r>
          </w:p>
        </w:tc>
        <w:tc>
          <w:tcPr>
            <w:tcW w:w="1036" w:type="dxa"/>
            <w:shd w:val="clear" w:color="auto" w:fill="auto"/>
            <w:noWrap/>
            <w:vAlign w:val="center"/>
            <w:hideMark/>
          </w:tcPr>
          <w:p w14:paraId="611147A2" w14:textId="77777777" w:rsidR="003E5BF5" w:rsidRPr="00AD4D68" w:rsidRDefault="009B2DDD" w:rsidP="00DE1921">
            <w:pPr>
              <w:jc w:val="right"/>
              <w:rPr>
                <w:rFonts w:ascii="Arial" w:hAnsi="Arial" w:cs="Arial"/>
                <w:sz w:val="24"/>
                <w:szCs w:val="24"/>
                <w:lang w:eastAsia="en-AU"/>
              </w:rPr>
            </w:pPr>
            <w:hyperlink w:anchor="_Receivables" w:history="1">
              <w:r w:rsidR="003E5BF5" w:rsidRPr="00AD4D68">
                <w:rPr>
                  <w:rStyle w:val="Hyperlink"/>
                  <w:rFonts w:ascii="Arial" w:hAnsi="Arial" w:cs="Arial"/>
                  <w:sz w:val="24"/>
                  <w:szCs w:val="24"/>
                  <w:lang w:eastAsia="en-AU"/>
                </w:rPr>
                <w:t>6.1</w:t>
              </w:r>
            </w:hyperlink>
          </w:p>
        </w:tc>
        <w:tc>
          <w:tcPr>
            <w:tcW w:w="1509" w:type="dxa"/>
            <w:shd w:val="clear" w:color="auto" w:fill="auto"/>
            <w:noWrap/>
            <w:vAlign w:val="center"/>
            <w:hideMark/>
          </w:tcPr>
          <w:p w14:paraId="6EF60610"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1,701,012 </w:t>
            </w:r>
          </w:p>
        </w:tc>
        <w:tc>
          <w:tcPr>
            <w:tcW w:w="1509" w:type="dxa"/>
            <w:shd w:val="clear" w:color="auto" w:fill="auto"/>
            <w:noWrap/>
            <w:vAlign w:val="center"/>
            <w:hideMark/>
          </w:tcPr>
          <w:p w14:paraId="6F538973"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1,149,693 </w:t>
            </w:r>
          </w:p>
        </w:tc>
        <w:tc>
          <w:tcPr>
            <w:tcW w:w="1531" w:type="dxa"/>
            <w:gridSpan w:val="2"/>
            <w:shd w:val="clear" w:color="auto" w:fill="auto"/>
            <w:noWrap/>
            <w:vAlign w:val="center"/>
            <w:hideMark/>
          </w:tcPr>
          <w:p w14:paraId="72CCE182"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1,546,773 </w:t>
            </w:r>
          </w:p>
        </w:tc>
      </w:tr>
      <w:tr w:rsidR="003E5BF5" w:rsidRPr="00AD4D68" w14:paraId="5652065A" w14:textId="77777777" w:rsidTr="005859E4">
        <w:trPr>
          <w:trHeight w:val="340"/>
        </w:trPr>
        <w:tc>
          <w:tcPr>
            <w:tcW w:w="3509" w:type="dxa"/>
            <w:shd w:val="clear" w:color="auto" w:fill="auto"/>
            <w:noWrap/>
            <w:vAlign w:val="center"/>
            <w:hideMark/>
          </w:tcPr>
          <w:p w14:paraId="0945C6D2"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Contract assets</w:t>
            </w:r>
          </w:p>
        </w:tc>
        <w:tc>
          <w:tcPr>
            <w:tcW w:w="1036" w:type="dxa"/>
            <w:shd w:val="clear" w:color="auto" w:fill="auto"/>
            <w:noWrap/>
            <w:vAlign w:val="center"/>
            <w:hideMark/>
          </w:tcPr>
          <w:p w14:paraId="54E90D1A" w14:textId="77777777" w:rsidR="003E5BF5" w:rsidRPr="00AD4D68" w:rsidRDefault="009B2DDD" w:rsidP="00DE1921">
            <w:pPr>
              <w:jc w:val="right"/>
              <w:rPr>
                <w:rFonts w:ascii="Arial" w:hAnsi="Arial" w:cs="Arial"/>
                <w:sz w:val="24"/>
                <w:szCs w:val="24"/>
                <w:lang w:eastAsia="en-AU"/>
              </w:rPr>
            </w:pPr>
            <w:hyperlink w:anchor="_Contract_assets" w:history="1">
              <w:r w:rsidR="003E5BF5" w:rsidRPr="00AD4D68">
                <w:rPr>
                  <w:rStyle w:val="Hyperlink"/>
                  <w:rFonts w:ascii="Arial" w:hAnsi="Arial" w:cs="Arial"/>
                  <w:sz w:val="24"/>
                  <w:szCs w:val="24"/>
                  <w:lang w:eastAsia="en-AU"/>
                </w:rPr>
                <w:t>6.1.1</w:t>
              </w:r>
            </w:hyperlink>
          </w:p>
        </w:tc>
        <w:tc>
          <w:tcPr>
            <w:tcW w:w="1509" w:type="dxa"/>
            <w:shd w:val="clear" w:color="auto" w:fill="auto"/>
            <w:noWrap/>
            <w:vAlign w:val="center"/>
            <w:hideMark/>
          </w:tcPr>
          <w:p w14:paraId="0BA87BBC"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12,322 </w:t>
            </w:r>
          </w:p>
        </w:tc>
        <w:tc>
          <w:tcPr>
            <w:tcW w:w="1509" w:type="dxa"/>
            <w:shd w:val="clear" w:color="auto" w:fill="auto"/>
            <w:noWrap/>
            <w:vAlign w:val="center"/>
            <w:hideMark/>
          </w:tcPr>
          <w:p w14:paraId="599F943E"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r w:rsidRPr="00AD4D68">
              <w:rPr>
                <w:rFonts w:ascii="Arial" w:hAnsi="Arial" w:cs="Arial"/>
                <w:sz w:val="24"/>
                <w:szCs w:val="24"/>
              </w:rPr>
              <w:t xml:space="preserve"> </w:t>
            </w:r>
          </w:p>
        </w:tc>
        <w:tc>
          <w:tcPr>
            <w:tcW w:w="1531" w:type="dxa"/>
            <w:gridSpan w:val="2"/>
            <w:shd w:val="clear" w:color="auto" w:fill="auto"/>
            <w:noWrap/>
            <w:vAlign w:val="center"/>
            <w:hideMark/>
          </w:tcPr>
          <w:p w14:paraId="5A06EA29"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r>
      <w:tr w:rsidR="003E5BF5" w:rsidRPr="00AD4D68" w14:paraId="7B33E5ED" w14:textId="77777777" w:rsidTr="005859E4">
        <w:trPr>
          <w:trHeight w:val="340"/>
        </w:trPr>
        <w:tc>
          <w:tcPr>
            <w:tcW w:w="3509" w:type="dxa"/>
            <w:shd w:val="clear" w:color="auto" w:fill="auto"/>
            <w:noWrap/>
            <w:vAlign w:val="center"/>
            <w:hideMark/>
          </w:tcPr>
          <w:p w14:paraId="23CA9445"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Investments</w:t>
            </w:r>
          </w:p>
        </w:tc>
        <w:tc>
          <w:tcPr>
            <w:tcW w:w="1036" w:type="dxa"/>
            <w:shd w:val="clear" w:color="auto" w:fill="auto"/>
            <w:noWrap/>
            <w:vAlign w:val="center"/>
            <w:hideMark/>
          </w:tcPr>
          <w:p w14:paraId="2DA6F249" w14:textId="77777777" w:rsidR="003E5BF5" w:rsidRPr="00AD4D68" w:rsidRDefault="003E5BF5" w:rsidP="00DE1921">
            <w:pPr>
              <w:jc w:val="right"/>
              <w:rPr>
                <w:rFonts w:ascii="Arial" w:hAnsi="Arial" w:cs="Arial"/>
                <w:sz w:val="24"/>
                <w:szCs w:val="24"/>
                <w:lang w:eastAsia="en-AU"/>
              </w:rPr>
            </w:pPr>
          </w:p>
        </w:tc>
        <w:tc>
          <w:tcPr>
            <w:tcW w:w="1509" w:type="dxa"/>
            <w:shd w:val="clear" w:color="auto" w:fill="auto"/>
            <w:noWrap/>
            <w:vAlign w:val="center"/>
            <w:hideMark/>
          </w:tcPr>
          <w:p w14:paraId="78A99E7A"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509" w:type="dxa"/>
            <w:shd w:val="clear" w:color="auto" w:fill="auto"/>
            <w:noWrap/>
            <w:vAlign w:val="center"/>
            <w:hideMark/>
          </w:tcPr>
          <w:p w14:paraId="1E31A4DC"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531" w:type="dxa"/>
            <w:gridSpan w:val="2"/>
            <w:shd w:val="clear" w:color="auto" w:fill="auto"/>
            <w:noWrap/>
            <w:vAlign w:val="center"/>
            <w:hideMark/>
          </w:tcPr>
          <w:p w14:paraId="718E4D2F"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71 </w:t>
            </w:r>
          </w:p>
        </w:tc>
      </w:tr>
      <w:tr w:rsidR="003E5BF5" w:rsidRPr="00AD4D68" w14:paraId="23DD81CF" w14:textId="77777777" w:rsidTr="005859E4">
        <w:trPr>
          <w:trHeight w:val="340"/>
        </w:trPr>
        <w:tc>
          <w:tcPr>
            <w:tcW w:w="3509" w:type="dxa"/>
            <w:shd w:val="clear" w:color="auto" w:fill="auto"/>
            <w:noWrap/>
            <w:vAlign w:val="center"/>
            <w:hideMark/>
          </w:tcPr>
          <w:p w14:paraId="1108BDFF" w14:textId="77777777" w:rsidR="003E5BF5" w:rsidRPr="00AD4D68" w:rsidRDefault="003E5BF5" w:rsidP="00DE1921">
            <w:pPr>
              <w:pStyle w:val="TableTextLeftBold"/>
              <w:rPr>
                <w:rFonts w:ascii="Arial" w:hAnsi="Arial" w:cs="Arial"/>
                <w:sz w:val="24"/>
                <w:szCs w:val="24"/>
              </w:rPr>
            </w:pPr>
            <w:r w:rsidRPr="00AD4D68">
              <w:rPr>
                <w:rFonts w:ascii="Arial" w:hAnsi="Arial" w:cs="Arial"/>
                <w:sz w:val="24"/>
                <w:szCs w:val="24"/>
              </w:rPr>
              <w:t>Total financial assets</w:t>
            </w:r>
          </w:p>
        </w:tc>
        <w:tc>
          <w:tcPr>
            <w:tcW w:w="1036" w:type="dxa"/>
            <w:shd w:val="clear" w:color="auto" w:fill="auto"/>
            <w:noWrap/>
            <w:vAlign w:val="center"/>
            <w:hideMark/>
          </w:tcPr>
          <w:p w14:paraId="176D8DB8" w14:textId="77777777" w:rsidR="003E5BF5" w:rsidRPr="00AD4D68" w:rsidRDefault="003E5BF5" w:rsidP="00DE1921">
            <w:pPr>
              <w:jc w:val="right"/>
              <w:rPr>
                <w:rFonts w:ascii="Arial" w:hAnsi="Arial" w:cs="Arial"/>
                <w:sz w:val="24"/>
                <w:szCs w:val="24"/>
                <w:lang w:eastAsia="en-AU"/>
              </w:rPr>
            </w:pPr>
          </w:p>
        </w:tc>
        <w:tc>
          <w:tcPr>
            <w:tcW w:w="1509" w:type="dxa"/>
            <w:shd w:val="clear" w:color="auto" w:fill="auto"/>
            <w:noWrap/>
            <w:vAlign w:val="center"/>
            <w:hideMark/>
          </w:tcPr>
          <w:p w14:paraId="60E29A84"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2,375,591 </w:t>
            </w:r>
          </w:p>
        </w:tc>
        <w:tc>
          <w:tcPr>
            <w:tcW w:w="1509" w:type="dxa"/>
            <w:shd w:val="clear" w:color="auto" w:fill="auto"/>
            <w:noWrap/>
            <w:vAlign w:val="center"/>
            <w:hideMark/>
          </w:tcPr>
          <w:p w14:paraId="704EAF83"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1,243,505 </w:t>
            </w:r>
          </w:p>
        </w:tc>
        <w:tc>
          <w:tcPr>
            <w:tcW w:w="1531" w:type="dxa"/>
            <w:gridSpan w:val="2"/>
            <w:shd w:val="clear" w:color="auto" w:fill="auto"/>
            <w:noWrap/>
            <w:vAlign w:val="center"/>
            <w:hideMark/>
          </w:tcPr>
          <w:p w14:paraId="15B03492"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2,898,446 </w:t>
            </w:r>
          </w:p>
        </w:tc>
      </w:tr>
      <w:tr w:rsidR="003E5BF5" w:rsidRPr="00AD4D68" w14:paraId="09002071" w14:textId="77777777" w:rsidTr="005859E4">
        <w:trPr>
          <w:trHeight w:val="340"/>
        </w:trPr>
        <w:tc>
          <w:tcPr>
            <w:tcW w:w="3509" w:type="dxa"/>
            <w:shd w:val="clear" w:color="auto" w:fill="auto"/>
            <w:noWrap/>
            <w:vAlign w:val="center"/>
            <w:hideMark/>
          </w:tcPr>
          <w:p w14:paraId="03C9A198" w14:textId="77777777" w:rsidR="003E5BF5" w:rsidRPr="00782F9C" w:rsidRDefault="003E5BF5" w:rsidP="00DE1921">
            <w:pPr>
              <w:rPr>
                <w:rFonts w:ascii="Arial" w:hAnsi="Arial" w:cs="Arial"/>
                <w:b/>
                <w:color w:val="0E787C"/>
                <w:sz w:val="24"/>
                <w:szCs w:val="24"/>
                <w:lang w:eastAsia="en-AU"/>
              </w:rPr>
            </w:pPr>
            <w:r w:rsidRPr="00782F9C">
              <w:rPr>
                <w:rFonts w:ascii="Arial" w:hAnsi="Arial" w:cs="Arial"/>
                <w:b/>
                <w:color w:val="0E787C"/>
                <w:sz w:val="24"/>
                <w:szCs w:val="24"/>
                <w:lang w:eastAsia="en-AU"/>
              </w:rPr>
              <w:t>Non-financial assets</w:t>
            </w:r>
          </w:p>
        </w:tc>
        <w:tc>
          <w:tcPr>
            <w:tcW w:w="1036" w:type="dxa"/>
            <w:shd w:val="clear" w:color="auto" w:fill="auto"/>
            <w:noWrap/>
            <w:vAlign w:val="center"/>
            <w:hideMark/>
          </w:tcPr>
          <w:p w14:paraId="6948EAF4" w14:textId="77777777" w:rsidR="003E5BF5" w:rsidRPr="00AD4D68" w:rsidRDefault="003E5BF5" w:rsidP="00DE1921">
            <w:pPr>
              <w:jc w:val="right"/>
              <w:rPr>
                <w:rFonts w:ascii="Arial" w:hAnsi="Arial" w:cs="Arial"/>
                <w:sz w:val="24"/>
                <w:szCs w:val="24"/>
                <w:lang w:eastAsia="en-AU"/>
              </w:rPr>
            </w:pPr>
          </w:p>
        </w:tc>
        <w:tc>
          <w:tcPr>
            <w:tcW w:w="1509" w:type="dxa"/>
            <w:shd w:val="clear" w:color="auto" w:fill="auto"/>
            <w:noWrap/>
            <w:vAlign w:val="center"/>
            <w:hideMark/>
          </w:tcPr>
          <w:p w14:paraId="2D6A8F53" w14:textId="77777777" w:rsidR="003E5BF5" w:rsidRPr="00AD4D68" w:rsidRDefault="003E5BF5" w:rsidP="00DE1921">
            <w:pPr>
              <w:jc w:val="right"/>
              <w:rPr>
                <w:rFonts w:ascii="Arial" w:hAnsi="Arial" w:cs="Arial"/>
                <w:sz w:val="24"/>
                <w:szCs w:val="24"/>
                <w:lang w:eastAsia="en-AU"/>
              </w:rPr>
            </w:pPr>
          </w:p>
        </w:tc>
        <w:tc>
          <w:tcPr>
            <w:tcW w:w="1509" w:type="dxa"/>
            <w:shd w:val="clear" w:color="auto" w:fill="auto"/>
            <w:noWrap/>
            <w:vAlign w:val="center"/>
            <w:hideMark/>
          </w:tcPr>
          <w:p w14:paraId="6C092037" w14:textId="77777777" w:rsidR="003E5BF5" w:rsidRPr="00AD4D68" w:rsidRDefault="003E5BF5" w:rsidP="00DE1921">
            <w:pPr>
              <w:jc w:val="right"/>
              <w:rPr>
                <w:rFonts w:ascii="Arial" w:hAnsi="Arial" w:cs="Arial"/>
                <w:sz w:val="24"/>
                <w:szCs w:val="24"/>
                <w:lang w:eastAsia="en-AU"/>
              </w:rPr>
            </w:pPr>
          </w:p>
        </w:tc>
        <w:tc>
          <w:tcPr>
            <w:tcW w:w="1531" w:type="dxa"/>
            <w:gridSpan w:val="2"/>
            <w:shd w:val="clear" w:color="auto" w:fill="auto"/>
            <w:noWrap/>
            <w:vAlign w:val="center"/>
            <w:hideMark/>
          </w:tcPr>
          <w:p w14:paraId="3525DF9B" w14:textId="77777777" w:rsidR="003E5BF5" w:rsidRPr="00AD4D68" w:rsidRDefault="003E5BF5" w:rsidP="00DE1921">
            <w:pPr>
              <w:jc w:val="right"/>
              <w:rPr>
                <w:rFonts w:ascii="Arial" w:hAnsi="Arial" w:cs="Arial"/>
                <w:sz w:val="24"/>
                <w:szCs w:val="24"/>
                <w:lang w:eastAsia="en-AU"/>
              </w:rPr>
            </w:pPr>
          </w:p>
        </w:tc>
      </w:tr>
      <w:tr w:rsidR="003E5BF5" w:rsidRPr="00AD4D68" w14:paraId="0C6F3E1D" w14:textId="77777777" w:rsidTr="005859E4">
        <w:trPr>
          <w:trHeight w:val="340"/>
        </w:trPr>
        <w:tc>
          <w:tcPr>
            <w:tcW w:w="3509" w:type="dxa"/>
            <w:shd w:val="clear" w:color="auto" w:fill="auto"/>
            <w:noWrap/>
            <w:vAlign w:val="center"/>
            <w:hideMark/>
          </w:tcPr>
          <w:p w14:paraId="64E94E70"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Non-financial assets held for sale</w:t>
            </w:r>
          </w:p>
        </w:tc>
        <w:tc>
          <w:tcPr>
            <w:tcW w:w="1036" w:type="dxa"/>
            <w:shd w:val="clear" w:color="auto" w:fill="auto"/>
            <w:noWrap/>
            <w:vAlign w:val="center"/>
            <w:hideMark/>
          </w:tcPr>
          <w:p w14:paraId="65731226" w14:textId="77777777" w:rsidR="003E5BF5" w:rsidRPr="00AD4D68" w:rsidRDefault="009B2DDD" w:rsidP="00DE1921">
            <w:pPr>
              <w:jc w:val="right"/>
              <w:rPr>
                <w:rFonts w:ascii="Arial" w:hAnsi="Arial" w:cs="Arial"/>
                <w:sz w:val="24"/>
                <w:szCs w:val="24"/>
                <w:lang w:eastAsia="en-AU"/>
              </w:rPr>
            </w:pPr>
            <w:hyperlink w:anchor="_Non-financial_assets_held" w:history="1">
              <w:r w:rsidR="003E5BF5" w:rsidRPr="00AD4D68">
                <w:rPr>
                  <w:rStyle w:val="Hyperlink"/>
                  <w:rFonts w:ascii="Arial" w:hAnsi="Arial" w:cs="Arial"/>
                  <w:sz w:val="24"/>
                  <w:szCs w:val="24"/>
                  <w:lang w:eastAsia="en-AU"/>
                </w:rPr>
                <w:t>9.3</w:t>
              </w:r>
            </w:hyperlink>
          </w:p>
        </w:tc>
        <w:tc>
          <w:tcPr>
            <w:tcW w:w="1509" w:type="dxa"/>
            <w:shd w:val="clear" w:color="auto" w:fill="auto"/>
            <w:noWrap/>
            <w:vAlign w:val="center"/>
            <w:hideMark/>
          </w:tcPr>
          <w:p w14:paraId="0A8C387D"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145,005 </w:t>
            </w:r>
          </w:p>
        </w:tc>
        <w:tc>
          <w:tcPr>
            <w:tcW w:w="1509" w:type="dxa"/>
            <w:shd w:val="clear" w:color="auto" w:fill="auto"/>
            <w:noWrap/>
            <w:vAlign w:val="center"/>
            <w:hideMark/>
          </w:tcPr>
          <w:p w14:paraId="405FD07A"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149,045 </w:t>
            </w:r>
          </w:p>
        </w:tc>
        <w:tc>
          <w:tcPr>
            <w:tcW w:w="1531" w:type="dxa"/>
            <w:gridSpan w:val="2"/>
            <w:shd w:val="clear" w:color="auto" w:fill="auto"/>
            <w:noWrap/>
            <w:vAlign w:val="center"/>
            <w:hideMark/>
          </w:tcPr>
          <w:p w14:paraId="36CDB395"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137,355 </w:t>
            </w:r>
          </w:p>
        </w:tc>
      </w:tr>
      <w:tr w:rsidR="003E5BF5" w:rsidRPr="00AD4D68" w14:paraId="0A744750" w14:textId="77777777" w:rsidTr="005859E4">
        <w:trPr>
          <w:trHeight w:val="340"/>
        </w:trPr>
        <w:tc>
          <w:tcPr>
            <w:tcW w:w="3509" w:type="dxa"/>
            <w:shd w:val="clear" w:color="auto" w:fill="auto"/>
            <w:noWrap/>
            <w:vAlign w:val="center"/>
            <w:hideMark/>
          </w:tcPr>
          <w:p w14:paraId="22AE8FFD"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 xml:space="preserve">Property, plant and equipment </w:t>
            </w:r>
            <w:r w:rsidRPr="00AD4D68">
              <w:rPr>
                <w:rFonts w:ascii="Arial" w:hAnsi="Arial" w:cs="Arial"/>
                <w:sz w:val="24"/>
                <w:szCs w:val="24"/>
                <w:vertAlign w:val="superscript"/>
                <w:lang w:eastAsia="en-AU"/>
              </w:rPr>
              <w:t>(ii)</w:t>
            </w:r>
          </w:p>
        </w:tc>
        <w:tc>
          <w:tcPr>
            <w:tcW w:w="1036" w:type="dxa"/>
            <w:shd w:val="clear" w:color="auto" w:fill="auto"/>
            <w:noWrap/>
            <w:vAlign w:val="center"/>
            <w:hideMark/>
          </w:tcPr>
          <w:p w14:paraId="1DD6B242" w14:textId="77777777" w:rsidR="003E5BF5" w:rsidRPr="00AD4D68" w:rsidRDefault="009B2DDD" w:rsidP="00DE1921">
            <w:pPr>
              <w:jc w:val="right"/>
              <w:rPr>
                <w:rFonts w:ascii="Arial" w:hAnsi="Arial" w:cs="Arial"/>
                <w:sz w:val="24"/>
                <w:szCs w:val="24"/>
                <w:lang w:eastAsia="en-AU"/>
              </w:rPr>
            </w:pPr>
            <w:hyperlink w:anchor="_Property,_plant_and" w:history="1">
              <w:r w:rsidR="003E5BF5" w:rsidRPr="00AD4D68">
                <w:rPr>
                  <w:rStyle w:val="Hyperlink"/>
                  <w:rFonts w:ascii="Arial" w:hAnsi="Arial" w:cs="Arial"/>
                  <w:sz w:val="24"/>
                  <w:szCs w:val="24"/>
                  <w:lang w:eastAsia="en-AU"/>
                </w:rPr>
                <w:t>5.1</w:t>
              </w:r>
            </w:hyperlink>
          </w:p>
        </w:tc>
        <w:tc>
          <w:tcPr>
            <w:tcW w:w="1509" w:type="dxa"/>
            <w:shd w:val="clear" w:color="auto" w:fill="auto"/>
            <w:noWrap/>
            <w:vAlign w:val="center"/>
            <w:hideMark/>
          </w:tcPr>
          <w:p w14:paraId="50813D2E"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87,863,502 </w:t>
            </w:r>
          </w:p>
        </w:tc>
        <w:tc>
          <w:tcPr>
            <w:tcW w:w="1509" w:type="dxa"/>
            <w:shd w:val="clear" w:color="auto" w:fill="auto"/>
            <w:noWrap/>
            <w:vAlign w:val="center"/>
            <w:hideMark/>
          </w:tcPr>
          <w:p w14:paraId="0914F830"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8,626,082 </w:t>
            </w:r>
          </w:p>
        </w:tc>
        <w:tc>
          <w:tcPr>
            <w:tcW w:w="1531" w:type="dxa"/>
            <w:gridSpan w:val="2"/>
            <w:shd w:val="clear" w:color="auto" w:fill="auto"/>
            <w:noWrap/>
            <w:vAlign w:val="center"/>
            <w:hideMark/>
          </w:tcPr>
          <w:p w14:paraId="04820130"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4,662,407 </w:t>
            </w:r>
          </w:p>
        </w:tc>
      </w:tr>
      <w:tr w:rsidR="003E5BF5" w:rsidRPr="00AD4D68" w14:paraId="7B23A35D" w14:textId="77777777" w:rsidTr="005859E4">
        <w:trPr>
          <w:trHeight w:val="340"/>
        </w:trPr>
        <w:tc>
          <w:tcPr>
            <w:tcW w:w="3509" w:type="dxa"/>
            <w:shd w:val="clear" w:color="auto" w:fill="auto"/>
            <w:noWrap/>
            <w:vAlign w:val="center"/>
            <w:hideMark/>
          </w:tcPr>
          <w:p w14:paraId="29E0765F"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Intangible assets</w:t>
            </w:r>
          </w:p>
        </w:tc>
        <w:tc>
          <w:tcPr>
            <w:tcW w:w="1036" w:type="dxa"/>
            <w:shd w:val="clear" w:color="auto" w:fill="auto"/>
            <w:noWrap/>
            <w:vAlign w:val="center"/>
            <w:hideMark/>
          </w:tcPr>
          <w:p w14:paraId="2329D7BB" w14:textId="77777777" w:rsidR="003E5BF5" w:rsidRPr="00AD4D68" w:rsidRDefault="009B2DDD" w:rsidP="00DE1921">
            <w:pPr>
              <w:jc w:val="right"/>
              <w:rPr>
                <w:rFonts w:ascii="Arial" w:hAnsi="Arial" w:cs="Arial"/>
                <w:sz w:val="24"/>
                <w:szCs w:val="24"/>
                <w:lang w:eastAsia="en-AU"/>
              </w:rPr>
            </w:pPr>
            <w:hyperlink w:anchor="_Intangible_assets" w:history="1">
              <w:r w:rsidR="003E5BF5" w:rsidRPr="00AD4D68">
                <w:rPr>
                  <w:rStyle w:val="Hyperlink"/>
                  <w:rFonts w:ascii="Arial" w:hAnsi="Arial" w:cs="Arial"/>
                  <w:sz w:val="24"/>
                  <w:szCs w:val="24"/>
                  <w:lang w:eastAsia="en-AU"/>
                </w:rPr>
                <w:t>5.2</w:t>
              </w:r>
            </w:hyperlink>
          </w:p>
        </w:tc>
        <w:tc>
          <w:tcPr>
            <w:tcW w:w="1509" w:type="dxa"/>
            <w:shd w:val="clear" w:color="auto" w:fill="auto"/>
            <w:noWrap/>
            <w:vAlign w:val="center"/>
            <w:hideMark/>
          </w:tcPr>
          <w:p w14:paraId="1745E3C6"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86,284 </w:t>
            </w:r>
          </w:p>
        </w:tc>
        <w:tc>
          <w:tcPr>
            <w:tcW w:w="1509" w:type="dxa"/>
            <w:shd w:val="clear" w:color="auto" w:fill="auto"/>
            <w:noWrap/>
            <w:vAlign w:val="center"/>
            <w:hideMark/>
          </w:tcPr>
          <w:p w14:paraId="6F3FD74D"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1,461 </w:t>
            </w:r>
          </w:p>
        </w:tc>
        <w:tc>
          <w:tcPr>
            <w:tcW w:w="1531" w:type="dxa"/>
            <w:gridSpan w:val="2"/>
            <w:shd w:val="clear" w:color="auto" w:fill="auto"/>
            <w:noWrap/>
            <w:vAlign w:val="center"/>
            <w:hideMark/>
          </w:tcPr>
          <w:p w14:paraId="7F33A3E6"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37,282 </w:t>
            </w:r>
          </w:p>
        </w:tc>
      </w:tr>
      <w:tr w:rsidR="003E5BF5" w:rsidRPr="00AD4D68" w14:paraId="4DCBBBFD" w14:textId="77777777" w:rsidTr="005859E4">
        <w:trPr>
          <w:trHeight w:val="340"/>
        </w:trPr>
        <w:tc>
          <w:tcPr>
            <w:tcW w:w="3509" w:type="dxa"/>
            <w:shd w:val="clear" w:color="auto" w:fill="auto"/>
            <w:noWrap/>
            <w:vAlign w:val="center"/>
            <w:hideMark/>
          </w:tcPr>
          <w:p w14:paraId="213F2DE2"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Biological assets</w:t>
            </w:r>
          </w:p>
        </w:tc>
        <w:tc>
          <w:tcPr>
            <w:tcW w:w="1036" w:type="dxa"/>
            <w:shd w:val="clear" w:color="auto" w:fill="auto"/>
            <w:noWrap/>
            <w:vAlign w:val="center"/>
            <w:hideMark/>
          </w:tcPr>
          <w:p w14:paraId="0FCFFDC3" w14:textId="77777777" w:rsidR="003E5BF5" w:rsidRPr="00AD4D68" w:rsidRDefault="003E5BF5" w:rsidP="00DE1921">
            <w:pPr>
              <w:jc w:val="right"/>
              <w:rPr>
                <w:rFonts w:ascii="Arial" w:hAnsi="Arial" w:cs="Arial"/>
                <w:sz w:val="24"/>
                <w:szCs w:val="24"/>
                <w:lang w:eastAsia="en-AU"/>
              </w:rPr>
            </w:pPr>
          </w:p>
        </w:tc>
        <w:tc>
          <w:tcPr>
            <w:tcW w:w="1509" w:type="dxa"/>
            <w:shd w:val="clear" w:color="auto" w:fill="auto"/>
            <w:noWrap/>
            <w:vAlign w:val="center"/>
            <w:hideMark/>
          </w:tcPr>
          <w:p w14:paraId="3946E055"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509" w:type="dxa"/>
            <w:shd w:val="clear" w:color="auto" w:fill="auto"/>
            <w:noWrap/>
            <w:vAlign w:val="center"/>
            <w:hideMark/>
          </w:tcPr>
          <w:p w14:paraId="6F18E316"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531" w:type="dxa"/>
            <w:gridSpan w:val="2"/>
            <w:shd w:val="clear" w:color="auto" w:fill="auto"/>
            <w:noWrap/>
            <w:vAlign w:val="center"/>
            <w:hideMark/>
          </w:tcPr>
          <w:p w14:paraId="28CCA467"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2,092 </w:t>
            </w:r>
          </w:p>
        </w:tc>
      </w:tr>
      <w:tr w:rsidR="003E5BF5" w:rsidRPr="00AD4D68" w14:paraId="7BCDFF1C" w14:textId="77777777" w:rsidTr="005859E4">
        <w:trPr>
          <w:trHeight w:val="340"/>
        </w:trPr>
        <w:tc>
          <w:tcPr>
            <w:tcW w:w="3509" w:type="dxa"/>
            <w:shd w:val="clear" w:color="auto" w:fill="auto"/>
            <w:noWrap/>
            <w:vAlign w:val="center"/>
            <w:hideMark/>
          </w:tcPr>
          <w:p w14:paraId="1BF7B812"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 xml:space="preserve">Other non-financial assets </w:t>
            </w:r>
            <w:r w:rsidRPr="00AD4D68">
              <w:rPr>
                <w:rFonts w:ascii="Arial" w:hAnsi="Arial" w:cs="Arial"/>
                <w:sz w:val="24"/>
                <w:szCs w:val="24"/>
                <w:vertAlign w:val="superscript"/>
                <w:lang w:eastAsia="en-AU"/>
              </w:rPr>
              <w:t>(ii)</w:t>
            </w:r>
          </w:p>
        </w:tc>
        <w:tc>
          <w:tcPr>
            <w:tcW w:w="1036" w:type="dxa"/>
            <w:shd w:val="clear" w:color="auto" w:fill="auto"/>
            <w:noWrap/>
            <w:vAlign w:val="center"/>
            <w:hideMark/>
          </w:tcPr>
          <w:p w14:paraId="095D583E" w14:textId="77777777" w:rsidR="003E5BF5" w:rsidRPr="00AD4D68" w:rsidRDefault="009B2DDD" w:rsidP="00DE1921">
            <w:pPr>
              <w:jc w:val="right"/>
              <w:rPr>
                <w:rFonts w:ascii="Arial" w:hAnsi="Arial" w:cs="Arial"/>
                <w:sz w:val="24"/>
                <w:szCs w:val="24"/>
                <w:lang w:eastAsia="en-AU"/>
              </w:rPr>
            </w:pPr>
            <w:hyperlink w:anchor="_Other_non-financial_assets" w:history="1">
              <w:r w:rsidR="003E5BF5" w:rsidRPr="00AD4D68">
                <w:rPr>
                  <w:rStyle w:val="Hyperlink"/>
                  <w:rFonts w:ascii="Arial" w:hAnsi="Arial" w:cs="Arial"/>
                  <w:sz w:val="24"/>
                  <w:szCs w:val="24"/>
                  <w:lang w:eastAsia="en-AU"/>
                </w:rPr>
                <w:t>6.3</w:t>
              </w:r>
            </w:hyperlink>
          </w:p>
        </w:tc>
        <w:tc>
          <w:tcPr>
            <w:tcW w:w="1509" w:type="dxa"/>
            <w:shd w:val="clear" w:color="auto" w:fill="auto"/>
            <w:noWrap/>
            <w:vAlign w:val="center"/>
            <w:hideMark/>
          </w:tcPr>
          <w:p w14:paraId="5D0F03DC"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356,889 </w:t>
            </w:r>
          </w:p>
        </w:tc>
        <w:tc>
          <w:tcPr>
            <w:tcW w:w="1509" w:type="dxa"/>
            <w:shd w:val="clear" w:color="auto" w:fill="auto"/>
            <w:noWrap/>
            <w:vAlign w:val="center"/>
            <w:hideMark/>
          </w:tcPr>
          <w:p w14:paraId="2413F7C0"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61,426 </w:t>
            </w:r>
          </w:p>
        </w:tc>
        <w:tc>
          <w:tcPr>
            <w:tcW w:w="1531" w:type="dxa"/>
            <w:gridSpan w:val="2"/>
            <w:shd w:val="clear" w:color="auto" w:fill="auto"/>
            <w:noWrap/>
            <w:vAlign w:val="center"/>
            <w:hideMark/>
          </w:tcPr>
          <w:p w14:paraId="2D1438A6"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64,500 </w:t>
            </w:r>
          </w:p>
        </w:tc>
      </w:tr>
      <w:tr w:rsidR="003E5BF5" w:rsidRPr="00AD4D68" w14:paraId="7C5336A0" w14:textId="77777777" w:rsidTr="005859E4">
        <w:trPr>
          <w:trHeight w:val="340"/>
        </w:trPr>
        <w:tc>
          <w:tcPr>
            <w:tcW w:w="3509" w:type="dxa"/>
            <w:shd w:val="clear" w:color="auto" w:fill="auto"/>
            <w:noWrap/>
            <w:vAlign w:val="center"/>
            <w:hideMark/>
          </w:tcPr>
          <w:p w14:paraId="28C0C7F7" w14:textId="77777777" w:rsidR="003E5BF5" w:rsidRPr="00AD4D68" w:rsidRDefault="003E5BF5" w:rsidP="00DE1921">
            <w:pPr>
              <w:pStyle w:val="TableTextLeftBold"/>
              <w:rPr>
                <w:rFonts w:ascii="Arial" w:hAnsi="Arial" w:cs="Arial"/>
                <w:sz w:val="24"/>
                <w:szCs w:val="24"/>
              </w:rPr>
            </w:pPr>
            <w:r w:rsidRPr="00AD4D68">
              <w:rPr>
                <w:rFonts w:ascii="Arial" w:hAnsi="Arial" w:cs="Arial"/>
                <w:sz w:val="24"/>
                <w:szCs w:val="24"/>
              </w:rPr>
              <w:t>Total non-financial assets</w:t>
            </w:r>
          </w:p>
        </w:tc>
        <w:tc>
          <w:tcPr>
            <w:tcW w:w="1036" w:type="dxa"/>
            <w:shd w:val="clear" w:color="auto" w:fill="auto"/>
            <w:noWrap/>
            <w:vAlign w:val="center"/>
            <w:hideMark/>
          </w:tcPr>
          <w:p w14:paraId="06C40CB3" w14:textId="77777777" w:rsidR="003E5BF5" w:rsidRPr="00AD4D68" w:rsidRDefault="003E5BF5" w:rsidP="00DE1921">
            <w:pPr>
              <w:jc w:val="right"/>
              <w:rPr>
                <w:rFonts w:ascii="Arial" w:hAnsi="Arial" w:cs="Arial"/>
                <w:sz w:val="24"/>
                <w:szCs w:val="24"/>
                <w:lang w:eastAsia="en-AU"/>
              </w:rPr>
            </w:pPr>
          </w:p>
        </w:tc>
        <w:tc>
          <w:tcPr>
            <w:tcW w:w="1509" w:type="dxa"/>
            <w:shd w:val="clear" w:color="auto" w:fill="auto"/>
            <w:noWrap/>
            <w:vAlign w:val="center"/>
            <w:hideMark/>
          </w:tcPr>
          <w:p w14:paraId="2A27EAD2"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88,451,680 </w:t>
            </w:r>
          </w:p>
        </w:tc>
        <w:tc>
          <w:tcPr>
            <w:tcW w:w="1509" w:type="dxa"/>
            <w:shd w:val="clear" w:color="auto" w:fill="auto"/>
            <w:noWrap/>
            <w:vAlign w:val="center"/>
            <w:hideMark/>
          </w:tcPr>
          <w:p w14:paraId="5868522E"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8,838,014 </w:t>
            </w:r>
          </w:p>
        </w:tc>
        <w:tc>
          <w:tcPr>
            <w:tcW w:w="1531" w:type="dxa"/>
            <w:gridSpan w:val="2"/>
            <w:shd w:val="clear" w:color="auto" w:fill="auto"/>
            <w:noWrap/>
            <w:vAlign w:val="center"/>
            <w:hideMark/>
          </w:tcPr>
          <w:p w14:paraId="35258B06"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4,903,636 </w:t>
            </w:r>
          </w:p>
        </w:tc>
      </w:tr>
      <w:tr w:rsidR="003E5BF5" w:rsidRPr="00AD4D68" w14:paraId="60EEDD2C" w14:textId="77777777" w:rsidTr="005859E4">
        <w:trPr>
          <w:trHeight w:val="340"/>
        </w:trPr>
        <w:tc>
          <w:tcPr>
            <w:tcW w:w="3509" w:type="dxa"/>
            <w:shd w:val="clear" w:color="auto" w:fill="auto"/>
            <w:noWrap/>
            <w:vAlign w:val="center"/>
            <w:hideMark/>
          </w:tcPr>
          <w:p w14:paraId="1F6382FA" w14:textId="77777777" w:rsidR="003E5BF5" w:rsidRPr="00AD4D68" w:rsidRDefault="003E5BF5" w:rsidP="00DE1921">
            <w:pPr>
              <w:pStyle w:val="TableTextLeftBold"/>
              <w:rPr>
                <w:rFonts w:ascii="Arial" w:hAnsi="Arial" w:cs="Arial"/>
                <w:sz w:val="24"/>
                <w:szCs w:val="24"/>
              </w:rPr>
            </w:pPr>
            <w:r w:rsidRPr="00AD4D68">
              <w:rPr>
                <w:rFonts w:ascii="Arial" w:hAnsi="Arial" w:cs="Arial"/>
                <w:sz w:val="24"/>
                <w:szCs w:val="24"/>
              </w:rPr>
              <w:t>Total assets</w:t>
            </w:r>
          </w:p>
        </w:tc>
        <w:tc>
          <w:tcPr>
            <w:tcW w:w="1036" w:type="dxa"/>
            <w:shd w:val="clear" w:color="auto" w:fill="auto"/>
            <w:noWrap/>
            <w:vAlign w:val="center"/>
            <w:hideMark/>
          </w:tcPr>
          <w:p w14:paraId="47A46532" w14:textId="77777777" w:rsidR="003E5BF5" w:rsidRPr="00AD4D68" w:rsidRDefault="003E5BF5" w:rsidP="00DE1921">
            <w:pPr>
              <w:jc w:val="right"/>
              <w:rPr>
                <w:rFonts w:ascii="Arial" w:hAnsi="Arial" w:cs="Arial"/>
                <w:sz w:val="24"/>
                <w:szCs w:val="24"/>
                <w:lang w:eastAsia="en-AU"/>
              </w:rPr>
            </w:pPr>
          </w:p>
        </w:tc>
        <w:tc>
          <w:tcPr>
            <w:tcW w:w="1509" w:type="dxa"/>
            <w:shd w:val="clear" w:color="auto" w:fill="auto"/>
            <w:noWrap/>
            <w:vAlign w:val="center"/>
            <w:hideMark/>
          </w:tcPr>
          <w:p w14:paraId="08CB07BC"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90,827,271 </w:t>
            </w:r>
          </w:p>
        </w:tc>
        <w:tc>
          <w:tcPr>
            <w:tcW w:w="1509" w:type="dxa"/>
            <w:shd w:val="clear" w:color="auto" w:fill="auto"/>
            <w:noWrap/>
            <w:vAlign w:val="center"/>
            <w:hideMark/>
          </w:tcPr>
          <w:p w14:paraId="6FF45F3B"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10,081,519 </w:t>
            </w:r>
          </w:p>
        </w:tc>
        <w:tc>
          <w:tcPr>
            <w:tcW w:w="1531" w:type="dxa"/>
            <w:gridSpan w:val="2"/>
            <w:shd w:val="clear" w:color="auto" w:fill="auto"/>
            <w:noWrap/>
            <w:vAlign w:val="center"/>
            <w:hideMark/>
          </w:tcPr>
          <w:p w14:paraId="0CF65385"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7,802,082 </w:t>
            </w:r>
          </w:p>
        </w:tc>
      </w:tr>
      <w:tr w:rsidR="003E5BF5" w:rsidRPr="00AD4D68" w14:paraId="01CCBE16" w14:textId="77777777" w:rsidTr="005859E4">
        <w:trPr>
          <w:trHeight w:val="340"/>
        </w:trPr>
        <w:tc>
          <w:tcPr>
            <w:tcW w:w="3509" w:type="dxa"/>
            <w:shd w:val="clear" w:color="auto" w:fill="auto"/>
            <w:noWrap/>
            <w:vAlign w:val="center"/>
            <w:hideMark/>
          </w:tcPr>
          <w:p w14:paraId="46A7C23E" w14:textId="77777777" w:rsidR="003E5BF5" w:rsidRPr="00AD4D68" w:rsidRDefault="003E5BF5" w:rsidP="00604703">
            <w:pPr>
              <w:pStyle w:val="TableTextGreen"/>
            </w:pPr>
            <w:r w:rsidRPr="00AD4D68">
              <w:t>Liabilities</w:t>
            </w:r>
          </w:p>
        </w:tc>
        <w:tc>
          <w:tcPr>
            <w:tcW w:w="1036" w:type="dxa"/>
            <w:shd w:val="clear" w:color="auto" w:fill="auto"/>
            <w:noWrap/>
            <w:vAlign w:val="center"/>
            <w:hideMark/>
          </w:tcPr>
          <w:p w14:paraId="2CD39586" w14:textId="77777777" w:rsidR="003E5BF5" w:rsidRPr="00AD4D68" w:rsidRDefault="003E5BF5" w:rsidP="00DE1921">
            <w:pPr>
              <w:jc w:val="right"/>
              <w:rPr>
                <w:rFonts w:ascii="Arial" w:hAnsi="Arial" w:cs="Arial"/>
                <w:sz w:val="24"/>
                <w:szCs w:val="24"/>
                <w:lang w:eastAsia="en-AU"/>
              </w:rPr>
            </w:pPr>
          </w:p>
        </w:tc>
        <w:tc>
          <w:tcPr>
            <w:tcW w:w="1509" w:type="dxa"/>
            <w:shd w:val="clear" w:color="auto" w:fill="auto"/>
            <w:noWrap/>
            <w:vAlign w:val="center"/>
            <w:hideMark/>
          </w:tcPr>
          <w:p w14:paraId="4C1BF6B8" w14:textId="77777777" w:rsidR="003E5BF5" w:rsidRPr="00AD4D68" w:rsidRDefault="003E5BF5" w:rsidP="00DE1921">
            <w:pPr>
              <w:jc w:val="right"/>
              <w:rPr>
                <w:rFonts w:ascii="Arial" w:hAnsi="Arial" w:cs="Arial"/>
                <w:sz w:val="24"/>
                <w:szCs w:val="24"/>
                <w:lang w:eastAsia="en-AU"/>
              </w:rPr>
            </w:pPr>
          </w:p>
        </w:tc>
        <w:tc>
          <w:tcPr>
            <w:tcW w:w="1509" w:type="dxa"/>
            <w:shd w:val="clear" w:color="auto" w:fill="auto"/>
            <w:noWrap/>
            <w:vAlign w:val="center"/>
            <w:hideMark/>
          </w:tcPr>
          <w:p w14:paraId="67D4BDCB" w14:textId="77777777" w:rsidR="003E5BF5" w:rsidRPr="00AD4D68" w:rsidRDefault="003E5BF5" w:rsidP="00DE1921">
            <w:pPr>
              <w:jc w:val="right"/>
              <w:rPr>
                <w:rFonts w:ascii="Arial" w:hAnsi="Arial" w:cs="Arial"/>
                <w:sz w:val="24"/>
                <w:szCs w:val="24"/>
                <w:lang w:eastAsia="en-AU"/>
              </w:rPr>
            </w:pPr>
          </w:p>
        </w:tc>
        <w:tc>
          <w:tcPr>
            <w:tcW w:w="1531" w:type="dxa"/>
            <w:gridSpan w:val="2"/>
            <w:shd w:val="clear" w:color="auto" w:fill="auto"/>
            <w:noWrap/>
            <w:vAlign w:val="center"/>
            <w:hideMark/>
          </w:tcPr>
          <w:p w14:paraId="6782037D" w14:textId="77777777" w:rsidR="003E5BF5" w:rsidRPr="00AD4D68" w:rsidRDefault="003E5BF5" w:rsidP="00DE1921">
            <w:pPr>
              <w:jc w:val="right"/>
              <w:rPr>
                <w:rFonts w:ascii="Arial" w:hAnsi="Arial" w:cs="Arial"/>
                <w:sz w:val="24"/>
                <w:szCs w:val="24"/>
                <w:lang w:eastAsia="en-AU"/>
              </w:rPr>
            </w:pPr>
          </w:p>
        </w:tc>
      </w:tr>
      <w:tr w:rsidR="003E5BF5" w:rsidRPr="00AD4D68" w14:paraId="03D2AD82" w14:textId="77777777" w:rsidTr="005859E4">
        <w:trPr>
          <w:trHeight w:val="340"/>
        </w:trPr>
        <w:tc>
          <w:tcPr>
            <w:tcW w:w="3509" w:type="dxa"/>
            <w:shd w:val="clear" w:color="auto" w:fill="auto"/>
            <w:noWrap/>
            <w:vAlign w:val="center"/>
            <w:hideMark/>
          </w:tcPr>
          <w:p w14:paraId="26A50625"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Payables</w:t>
            </w:r>
            <w:r w:rsidRPr="00AD4D68">
              <w:rPr>
                <w:rFonts w:ascii="Arial" w:hAnsi="Arial" w:cs="Arial"/>
                <w:sz w:val="24"/>
                <w:szCs w:val="24"/>
                <w:vertAlign w:val="superscript"/>
                <w:lang w:eastAsia="en-AU"/>
              </w:rPr>
              <w:t xml:space="preserve"> (ii)</w:t>
            </w:r>
          </w:p>
        </w:tc>
        <w:tc>
          <w:tcPr>
            <w:tcW w:w="1036" w:type="dxa"/>
            <w:shd w:val="clear" w:color="auto" w:fill="auto"/>
            <w:noWrap/>
            <w:vAlign w:val="center"/>
            <w:hideMark/>
          </w:tcPr>
          <w:p w14:paraId="23E97D1B" w14:textId="77777777" w:rsidR="003E5BF5" w:rsidRPr="00AD4D68" w:rsidRDefault="009B2DDD" w:rsidP="00DE1921">
            <w:pPr>
              <w:jc w:val="right"/>
              <w:rPr>
                <w:rFonts w:ascii="Arial" w:hAnsi="Arial" w:cs="Arial"/>
                <w:sz w:val="24"/>
                <w:szCs w:val="24"/>
                <w:lang w:eastAsia="en-AU"/>
              </w:rPr>
            </w:pPr>
            <w:hyperlink w:anchor="_Payables" w:history="1">
              <w:r w:rsidR="003E5BF5" w:rsidRPr="00AD4D68">
                <w:rPr>
                  <w:rStyle w:val="Hyperlink"/>
                  <w:rFonts w:ascii="Arial" w:hAnsi="Arial" w:cs="Arial"/>
                  <w:sz w:val="24"/>
                  <w:szCs w:val="24"/>
                  <w:lang w:eastAsia="en-AU"/>
                </w:rPr>
                <w:t>6.2</w:t>
              </w:r>
            </w:hyperlink>
          </w:p>
        </w:tc>
        <w:tc>
          <w:tcPr>
            <w:tcW w:w="1509" w:type="dxa"/>
            <w:shd w:val="clear" w:color="auto" w:fill="auto"/>
            <w:noWrap/>
            <w:vAlign w:val="center"/>
            <w:hideMark/>
          </w:tcPr>
          <w:p w14:paraId="4F71401C"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8,326,616 </w:t>
            </w:r>
          </w:p>
        </w:tc>
        <w:tc>
          <w:tcPr>
            <w:tcW w:w="1509" w:type="dxa"/>
            <w:shd w:val="clear" w:color="auto" w:fill="auto"/>
            <w:noWrap/>
            <w:vAlign w:val="center"/>
            <w:hideMark/>
          </w:tcPr>
          <w:p w14:paraId="46B56111"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3,067,195 </w:t>
            </w:r>
          </w:p>
        </w:tc>
        <w:tc>
          <w:tcPr>
            <w:tcW w:w="1531" w:type="dxa"/>
            <w:gridSpan w:val="2"/>
            <w:shd w:val="clear" w:color="auto" w:fill="auto"/>
            <w:noWrap/>
            <w:vAlign w:val="center"/>
            <w:hideMark/>
          </w:tcPr>
          <w:p w14:paraId="37599C6C"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2,495,884 </w:t>
            </w:r>
          </w:p>
        </w:tc>
      </w:tr>
      <w:tr w:rsidR="003E5BF5" w:rsidRPr="00AD4D68" w14:paraId="66355780" w14:textId="77777777" w:rsidTr="005859E4">
        <w:trPr>
          <w:trHeight w:val="340"/>
        </w:trPr>
        <w:tc>
          <w:tcPr>
            <w:tcW w:w="3509" w:type="dxa"/>
            <w:shd w:val="clear" w:color="auto" w:fill="auto"/>
            <w:noWrap/>
            <w:vAlign w:val="center"/>
            <w:hideMark/>
          </w:tcPr>
          <w:p w14:paraId="445718A3"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Contract liabilities</w:t>
            </w:r>
          </w:p>
        </w:tc>
        <w:tc>
          <w:tcPr>
            <w:tcW w:w="1036" w:type="dxa"/>
            <w:shd w:val="clear" w:color="auto" w:fill="auto"/>
            <w:noWrap/>
            <w:vAlign w:val="center"/>
            <w:hideMark/>
          </w:tcPr>
          <w:p w14:paraId="5C58F8D5" w14:textId="77777777" w:rsidR="003E5BF5" w:rsidRPr="00AD4D68" w:rsidRDefault="009B2DDD" w:rsidP="00DE1921">
            <w:pPr>
              <w:jc w:val="right"/>
              <w:rPr>
                <w:rFonts w:ascii="Arial" w:hAnsi="Arial" w:cs="Arial"/>
                <w:sz w:val="24"/>
                <w:szCs w:val="24"/>
                <w:lang w:eastAsia="en-AU"/>
              </w:rPr>
            </w:pPr>
            <w:hyperlink w:anchor="_Contract_liabilities" w:history="1">
              <w:r w:rsidR="003E5BF5" w:rsidRPr="00AD4D68">
                <w:rPr>
                  <w:rStyle w:val="Hyperlink"/>
                  <w:rFonts w:ascii="Arial" w:hAnsi="Arial" w:cs="Arial"/>
                  <w:sz w:val="24"/>
                  <w:szCs w:val="24"/>
                  <w:lang w:eastAsia="en-AU"/>
                </w:rPr>
                <w:t>6.2.1</w:t>
              </w:r>
            </w:hyperlink>
          </w:p>
        </w:tc>
        <w:tc>
          <w:tcPr>
            <w:tcW w:w="1509" w:type="dxa"/>
            <w:shd w:val="clear" w:color="auto" w:fill="auto"/>
            <w:noWrap/>
            <w:vAlign w:val="center"/>
            <w:hideMark/>
          </w:tcPr>
          <w:p w14:paraId="5C4EF87E"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73,549 </w:t>
            </w:r>
          </w:p>
        </w:tc>
        <w:tc>
          <w:tcPr>
            <w:tcW w:w="1509" w:type="dxa"/>
            <w:shd w:val="clear" w:color="auto" w:fill="auto"/>
            <w:noWrap/>
            <w:vAlign w:val="center"/>
            <w:hideMark/>
          </w:tcPr>
          <w:p w14:paraId="5C9FCFF1"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531" w:type="dxa"/>
            <w:gridSpan w:val="2"/>
            <w:shd w:val="clear" w:color="auto" w:fill="auto"/>
            <w:noWrap/>
            <w:vAlign w:val="center"/>
            <w:hideMark/>
          </w:tcPr>
          <w:p w14:paraId="79F9260A"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r>
      <w:tr w:rsidR="003E5BF5" w:rsidRPr="00AD4D68" w14:paraId="73E85611" w14:textId="77777777" w:rsidTr="005859E4">
        <w:trPr>
          <w:trHeight w:val="340"/>
        </w:trPr>
        <w:tc>
          <w:tcPr>
            <w:tcW w:w="3509" w:type="dxa"/>
            <w:shd w:val="clear" w:color="auto" w:fill="auto"/>
            <w:noWrap/>
            <w:vAlign w:val="center"/>
            <w:hideMark/>
          </w:tcPr>
          <w:p w14:paraId="276AABBC"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 xml:space="preserve">Borrowings </w:t>
            </w:r>
            <w:r w:rsidRPr="00AD4D68">
              <w:rPr>
                <w:rFonts w:ascii="Arial" w:hAnsi="Arial" w:cs="Arial"/>
                <w:sz w:val="24"/>
                <w:szCs w:val="24"/>
                <w:vertAlign w:val="superscript"/>
                <w:lang w:eastAsia="en-AU"/>
              </w:rPr>
              <w:t>(ii)</w:t>
            </w:r>
          </w:p>
        </w:tc>
        <w:tc>
          <w:tcPr>
            <w:tcW w:w="1036" w:type="dxa"/>
            <w:shd w:val="clear" w:color="auto" w:fill="auto"/>
            <w:noWrap/>
            <w:vAlign w:val="center"/>
            <w:hideMark/>
          </w:tcPr>
          <w:p w14:paraId="424B03CB" w14:textId="77777777" w:rsidR="003E5BF5" w:rsidRPr="00AD4D68" w:rsidRDefault="009B2DDD" w:rsidP="00DE1921">
            <w:pPr>
              <w:jc w:val="right"/>
              <w:rPr>
                <w:rFonts w:ascii="Arial" w:hAnsi="Arial" w:cs="Arial"/>
                <w:sz w:val="24"/>
                <w:szCs w:val="24"/>
                <w:lang w:eastAsia="en-AU"/>
              </w:rPr>
            </w:pPr>
            <w:hyperlink w:anchor="_Borrowings" w:history="1">
              <w:r w:rsidR="003E5BF5" w:rsidRPr="00AD4D68">
                <w:rPr>
                  <w:rStyle w:val="Hyperlink"/>
                  <w:rFonts w:ascii="Arial" w:hAnsi="Arial" w:cs="Arial"/>
                  <w:sz w:val="24"/>
                  <w:szCs w:val="24"/>
                  <w:lang w:eastAsia="en-AU"/>
                </w:rPr>
                <w:t>7.1</w:t>
              </w:r>
            </w:hyperlink>
          </w:p>
        </w:tc>
        <w:tc>
          <w:tcPr>
            <w:tcW w:w="1509" w:type="dxa"/>
            <w:shd w:val="clear" w:color="auto" w:fill="auto"/>
            <w:noWrap/>
            <w:vAlign w:val="center"/>
            <w:hideMark/>
          </w:tcPr>
          <w:p w14:paraId="52DD5AF0"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6,062,644 </w:t>
            </w:r>
          </w:p>
        </w:tc>
        <w:tc>
          <w:tcPr>
            <w:tcW w:w="1509" w:type="dxa"/>
            <w:shd w:val="clear" w:color="auto" w:fill="auto"/>
            <w:noWrap/>
            <w:vAlign w:val="center"/>
            <w:hideMark/>
          </w:tcPr>
          <w:p w14:paraId="10F67B03"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3,325,412 </w:t>
            </w:r>
          </w:p>
        </w:tc>
        <w:tc>
          <w:tcPr>
            <w:tcW w:w="1531" w:type="dxa"/>
            <w:gridSpan w:val="2"/>
            <w:shd w:val="clear" w:color="auto" w:fill="auto"/>
            <w:noWrap/>
            <w:vAlign w:val="center"/>
            <w:hideMark/>
          </w:tcPr>
          <w:p w14:paraId="5AD9E30D"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2,701,661 </w:t>
            </w:r>
          </w:p>
        </w:tc>
      </w:tr>
      <w:tr w:rsidR="003E5BF5" w:rsidRPr="00AD4D68" w14:paraId="55DCDED4" w14:textId="77777777" w:rsidTr="005859E4">
        <w:trPr>
          <w:trHeight w:val="340"/>
        </w:trPr>
        <w:tc>
          <w:tcPr>
            <w:tcW w:w="3509" w:type="dxa"/>
            <w:shd w:val="clear" w:color="auto" w:fill="auto"/>
            <w:noWrap/>
            <w:vAlign w:val="center"/>
            <w:hideMark/>
          </w:tcPr>
          <w:p w14:paraId="333ABD0B"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Employee benefits provision</w:t>
            </w:r>
          </w:p>
        </w:tc>
        <w:tc>
          <w:tcPr>
            <w:tcW w:w="1036" w:type="dxa"/>
            <w:shd w:val="clear" w:color="auto" w:fill="auto"/>
            <w:noWrap/>
            <w:vAlign w:val="center"/>
            <w:hideMark/>
          </w:tcPr>
          <w:p w14:paraId="6F731401" w14:textId="77777777" w:rsidR="003E5BF5" w:rsidRPr="00AD4D68" w:rsidRDefault="009B2DDD" w:rsidP="00DE1921">
            <w:pPr>
              <w:jc w:val="right"/>
              <w:rPr>
                <w:rFonts w:ascii="Arial" w:hAnsi="Arial" w:cs="Arial"/>
                <w:sz w:val="24"/>
                <w:szCs w:val="24"/>
                <w:lang w:eastAsia="en-AU"/>
              </w:rPr>
            </w:pPr>
            <w:hyperlink w:anchor="_Employee_benefits_in" w:history="1">
              <w:r w:rsidR="003E5BF5" w:rsidRPr="00AD4D68">
                <w:rPr>
                  <w:rStyle w:val="Hyperlink"/>
                  <w:rFonts w:ascii="Arial" w:hAnsi="Arial" w:cs="Arial"/>
                  <w:sz w:val="24"/>
                  <w:szCs w:val="24"/>
                  <w:lang w:eastAsia="en-AU"/>
                </w:rPr>
                <w:t>3.1.2</w:t>
              </w:r>
            </w:hyperlink>
          </w:p>
        </w:tc>
        <w:tc>
          <w:tcPr>
            <w:tcW w:w="1509" w:type="dxa"/>
            <w:shd w:val="clear" w:color="auto" w:fill="auto"/>
            <w:noWrap/>
            <w:vAlign w:val="center"/>
            <w:hideMark/>
          </w:tcPr>
          <w:p w14:paraId="2CD34F5E"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217,704 </w:t>
            </w:r>
          </w:p>
        </w:tc>
        <w:tc>
          <w:tcPr>
            <w:tcW w:w="1509" w:type="dxa"/>
            <w:shd w:val="clear" w:color="auto" w:fill="auto"/>
            <w:noWrap/>
            <w:vAlign w:val="center"/>
            <w:hideMark/>
          </w:tcPr>
          <w:p w14:paraId="41989D4B"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64,514 </w:t>
            </w:r>
          </w:p>
        </w:tc>
        <w:tc>
          <w:tcPr>
            <w:tcW w:w="1531" w:type="dxa"/>
            <w:gridSpan w:val="2"/>
            <w:shd w:val="clear" w:color="auto" w:fill="auto"/>
            <w:noWrap/>
            <w:vAlign w:val="center"/>
            <w:hideMark/>
          </w:tcPr>
          <w:p w14:paraId="16D71F6A"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132,163 </w:t>
            </w:r>
          </w:p>
        </w:tc>
      </w:tr>
      <w:tr w:rsidR="003E5BF5" w:rsidRPr="00AD4D68" w14:paraId="09EF84E8" w14:textId="77777777" w:rsidTr="005859E4">
        <w:trPr>
          <w:trHeight w:val="340"/>
        </w:trPr>
        <w:tc>
          <w:tcPr>
            <w:tcW w:w="3509" w:type="dxa"/>
            <w:shd w:val="clear" w:color="auto" w:fill="auto"/>
            <w:noWrap/>
            <w:vAlign w:val="center"/>
            <w:hideMark/>
          </w:tcPr>
          <w:p w14:paraId="155D4322"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Other provisions</w:t>
            </w:r>
          </w:p>
        </w:tc>
        <w:tc>
          <w:tcPr>
            <w:tcW w:w="1036" w:type="dxa"/>
            <w:shd w:val="clear" w:color="auto" w:fill="auto"/>
            <w:noWrap/>
            <w:vAlign w:val="center"/>
            <w:hideMark/>
          </w:tcPr>
          <w:p w14:paraId="35E53A35" w14:textId="77777777" w:rsidR="003E5BF5" w:rsidRPr="00AD4D68" w:rsidRDefault="009B2DDD" w:rsidP="00DE1921">
            <w:pPr>
              <w:jc w:val="right"/>
              <w:rPr>
                <w:rFonts w:ascii="Arial" w:hAnsi="Arial" w:cs="Arial"/>
                <w:sz w:val="24"/>
                <w:szCs w:val="24"/>
                <w:lang w:eastAsia="en-AU"/>
              </w:rPr>
            </w:pPr>
            <w:hyperlink w:anchor="_Other_provisions" w:history="1">
              <w:r w:rsidR="003E5BF5" w:rsidRPr="00AD4D68">
                <w:rPr>
                  <w:rStyle w:val="Hyperlink"/>
                  <w:rFonts w:ascii="Arial" w:hAnsi="Arial" w:cs="Arial"/>
                  <w:sz w:val="24"/>
                  <w:szCs w:val="24"/>
                  <w:lang w:eastAsia="en-AU"/>
                </w:rPr>
                <w:t>6.4</w:t>
              </w:r>
            </w:hyperlink>
          </w:p>
        </w:tc>
        <w:tc>
          <w:tcPr>
            <w:tcW w:w="1509" w:type="dxa"/>
            <w:shd w:val="clear" w:color="auto" w:fill="auto"/>
            <w:noWrap/>
            <w:vAlign w:val="center"/>
            <w:hideMark/>
          </w:tcPr>
          <w:p w14:paraId="35F6C857"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728,390 </w:t>
            </w:r>
          </w:p>
        </w:tc>
        <w:tc>
          <w:tcPr>
            <w:tcW w:w="1509" w:type="dxa"/>
            <w:shd w:val="clear" w:color="auto" w:fill="auto"/>
            <w:noWrap/>
            <w:vAlign w:val="center"/>
            <w:hideMark/>
          </w:tcPr>
          <w:p w14:paraId="57707736"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13,211 </w:t>
            </w:r>
          </w:p>
        </w:tc>
        <w:tc>
          <w:tcPr>
            <w:tcW w:w="1531" w:type="dxa"/>
            <w:gridSpan w:val="2"/>
            <w:shd w:val="clear" w:color="auto" w:fill="auto"/>
            <w:noWrap/>
            <w:vAlign w:val="center"/>
            <w:hideMark/>
          </w:tcPr>
          <w:p w14:paraId="109A4902"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20,159 </w:t>
            </w:r>
          </w:p>
        </w:tc>
      </w:tr>
      <w:tr w:rsidR="003E5BF5" w:rsidRPr="00AD4D68" w14:paraId="782249B4" w14:textId="77777777" w:rsidTr="005859E4">
        <w:trPr>
          <w:trHeight w:val="340"/>
        </w:trPr>
        <w:tc>
          <w:tcPr>
            <w:tcW w:w="3509" w:type="dxa"/>
            <w:shd w:val="clear" w:color="auto" w:fill="auto"/>
            <w:noWrap/>
            <w:vAlign w:val="center"/>
            <w:hideMark/>
          </w:tcPr>
          <w:p w14:paraId="44CA6E14" w14:textId="77777777" w:rsidR="003E5BF5" w:rsidRPr="00AD4D68" w:rsidRDefault="003E5BF5" w:rsidP="00DE1921">
            <w:pPr>
              <w:pStyle w:val="TableTextLeftBold"/>
              <w:rPr>
                <w:rFonts w:ascii="Arial" w:hAnsi="Arial" w:cs="Arial"/>
                <w:sz w:val="24"/>
                <w:szCs w:val="24"/>
              </w:rPr>
            </w:pPr>
            <w:r w:rsidRPr="00AD4D68">
              <w:rPr>
                <w:rFonts w:ascii="Arial" w:hAnsi="Arial" w:cs="Arial"/>
                <w:sz w:val="24"/>
                <w:szCs w:val="24"/>
              </w:rPr>
              <w:t>Total liabilities</w:t>
            </w:r>
          </w:p>
        </w:tc>
        <w:tc>
          <w:tcPr>
            <w:tcW w:w="1036" w:type="dxa"/>
            <w:shd w:val="clear" w:color="auto" w:fill="auto"/>
            <w:noWrap/>
            <w:vAlign w:val="center"/>
            <w:hideMark/>
          </w:tcPr>
          <w:p w14:paraId="24EDDF24" w14:textId="77777777" w:rsidR="003E5BF5" w:rsidRPr="00AD4D68" w:rsidRDefault="003E5BF5" w:rsidP="00DE1921">
            <w:pPr>
              <w:jc w:val="right"/>
              <w:rPr>
                <w:rFonts w:ascii="Arial" w:hAnsi="Arial" w:cs="Arial"/>
                <w:sz w:val="24"/>
                <w:szCs w:val="24"/>
                <w:lang w:eastAsia="en-AU"/>
              </w:rPr>
            </w:pPr>
          </w:p>
        </w:tc>
        <w:tc>
          <w:tcPr>
            <w:tcW w:w="1509" w:type="dxa"/>
            <w:shd w:val="clear" w:color="auto" w:fill="auto"/>
            <w:noWrap/>
            <w:vAlign w:val="center"/>
            <w:hideMark/>
          </w:tcPr>
          <w:p w14:paraId="549634CE"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15,408,903 </w:t>
            </w:r>
          </w:p>
        </w:tc>
        <w:tc>
          <w:tcPr>
            <w:tcW w:w="1509" w:type="dxa"/>
            <w:shd w:val="clear" w:color="auto" w:fill="auto"/>
            <w:noWrap/>
            <w:vAlign w:val="center"/>
            <w:hideMark/>
          </w:tcPr>
          <w:p w14:paraId="21749CAD"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6,470,332 </w:t>
            </w:r>
          </w:p>
        </w:tc>
        <w:tc>
          <w:tcPr>
            <w:tcW w:w="1531" w:type="dxa"/>
            <w:gridSpan w:val="2"/>
            <w:shd w:val="clear" w:color="auto" w:fill="auto"/>
            <w:noWrap/>
            <w:vAlign w:val="center"/>
            <w:hideMark/>
          </w:tcPr>
          <w:p w14:paraId="11AB6A86"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5,349,867 </w:t>
            </w:r>
          </w:p>
        </w:tc>
      </w:tr>
      <w:tr w:rsidR="003E5BF5" w:rsidRPr="00AD4D68" w14:paraId="24451929" w14:textId="77777777" w:rsidTr="005859E4">
        <w:trPr>
          <w:trHeight w:val="340"/>
        </w:trPr>
        <w:tc>
          <w:tcPr>
            <w:tcW w:w="3509" w:type="dxa"/>
            <w:shd w:val="clear" w:color="auto" w:fill="auto"/>
            <w:noWrap/>
            <w:vAlign w:val="center"/>
            <w:hideMark/>
          </w:tcPr>
          <w:p w14:paraId="567272FA" w14:textId="77777777" w:rsidR="003E5BF5" w:rsidRPr="00AD4D68" w:rsidRDefault="003E5BF5" w:rsidP="00DE1921">
            <w:pPr>
              <w:pStyle w:val="TableTextLeftBold"/>
              <w:rPr>
                <w:rFonts w:ascii="Arial" w:hAnsi="Arial" w:cs="Arial"/>
                <w:sz w:val="24"/>
                <w:szCs w:val="24"/>
              </w:rPr>
            </w:pPr>
            <w:r w:rsidRPr="00AD4D68">
              <w:rPr>
                <w:rFonts w:ascii="Arial" w:hAnsi="Arial" w:cs="Arial"/>
                <w:sz w:val="24"/>
                <w:szCs w:val="24"/>
              </w:rPr>
              <w:t>Net assets</w:t>
            </w:r>
          </w:p>
        </w:tc>
        <w:tc>
          <w:tcPr>
            <w:tcW w:w="1036" w:type="dxa"/>
            <w:shd w:val="clear" w:color="auto" w:fill="auto"/>
            <w:noWrap/>
            <w:vAlign w:val="center"/>
            <w:hideMark/>
          </w:tcPr>
          <w:p w14:paraId="7FB1D2EF" w14:textId="77777777" w:rsidR="003E5BF5" w:rsidRPr="00AD4D68" w:rsidRDefault="003E5BF5" w:rsidP="00DE1921">
            <w:pPr>
              <w:jc w:val="right"/>
              <w:rPr>
                <w:rFonts w:ascii="Arial" w:hAnsi="Arial" w:cs="Arial"/>
                <w:sz w:val="24"/>
                <w:szCs w:val="24"/>
                <w:lang w:eastAsia="en-AU"/>
              </w:rPr>
            </w:pPr>
          </w:p>
        </w:tc>
        <w:tc>
          <w:tcPr>
            <w:tcW w:w="1509" w:type="dxa"/>
            <w:shd w:val="clear" w:color="auto" w:fill="auto"/>
            <w:noWrap/>
            <w:vAlign w:val="center"/>
            <w:hideMark/>
          </w:tcPr>
          <w:p w14:paraId="63F60D2A"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75,418,368 </w:t>
            </w:r>
          </w:p>
        </w:tc>
        <w:tc>
          <w:tcPr>
            <w:tcW w:w="1509" w:type="dxa"/>
            <w:shd w:val="clear" w:color="auto" w:fill="auto"/>
            <w:noWrap/>
            <w:vAlign w:val="center"/>
            <w:hideMark/>
          </w:tcPr>
          <w:p w14:paraId="7163E54A"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3,611,187 </w:t>
            </w:r>
          </w:p>
        </w:tc>
        <w:tc>
          <w:tcPr>
            <w:tcW w:w="1531" w:type="dxa"/>
            <w:gridSpan w:val="2"/>
            <w:shd w:val="clear" w:color="auto" w:fill="auto"/>
            <w:noWrap/>
            <w:vAlign w:val="center"/>
            <w:hideMark/>
          </w:tcPr>
          <w:p w14:paraId="20602A57"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2,452,215 </w:t>
            </w:r>
          </w:p>
        </w:tc>
      </w:tr>
      <w:tr w:rsidR="003E5BF5" w:rsidRPr="00AD4D68" w14:paraId="57EF370C" w14:textId="77777777" w:rsidTr="005859E4">
        <w:trPr>
          <w:trHeight w:val="340"/>
        </w:trPr>
        <w:tc>
          <w:tcPr>
            <w:tcW w:w="3509" w:type="dxa"/>
            <w:shd w:val="clear" w:color="auto" w:fill="auto"/>
            <w:noWrap/>
            <w:vAlign w:val="center"/>
            <w:hideMark/>
          </w:tcPr>
          <w:p w14:paraId="09E2ED4D"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Contributed capital</w:t>
            </w:r>
          </w:p>
        </w:tc>
        <w:tc>
          <w:tcPr>
            <w:tcW w:w="1036" w:type="dxa"/>
            <w:shd w:val="clear" w:color="auto" w:fill="auto"/>
            <w:noWrap/>
            <w:vAlign w:val="center"/>
            <w:hideMark/>
          </w:tcPr>
          <w:p w14:paraId="61B64750" w14:textId="77777777" w:rsidR="003E5BF5" w:rsidRPr="00AD4D68" w:rsidRDefault="009B2DDD" w:rsidP="00DE1921">
            <w:pPr>
              <w:jc w:val="right"/>
              <w:rPr>
                <w:rFonts w:ascii="Arial" w:hAnsi="Arial" w:cs="Arial"/>
                <w:sz w:val="24"/>
                <w:szCs w:val="24"/>
                <w:lang w:eastAsia="en-AU"/>
              </w:rPr>
            </w:pPr>
            <w:hyperlink w:anchor="_Equity_disclosure" w:history="1">
              <w:r w:rsidR="003E5BF5" w:rsidRPr="00AD4D68">
                <w:rPr>
                  <w:rStyle w:val="Hyperlink"/>
                  <w:rFonts w:ascii="Arial" w:hAnsi="Arial" w:cs="Arial"/>
                  <w:sz w:val="24"/>
                  <w:szCs w:val="24"/>
                  <w:lang w:eastAsia="en-AU"/>
                </w:rPr>
                <w:t>9.4</w:t>
              </w:r>
            </w:hyperlink>
          </w:p>
        </w:tc>
        <w:tc>
          <w:tcPr>
            <w:tcW w:w="1509" w:type="dxa"/>
            <w:shd w:val="clear" w:color="auto" w:fill="auto"/>
            <w:noWrap/>
            <w:vAlign w:val="center"/>
            <w:hideMark/>
          </w:tcPr>
          <w:p w14:paraId="28DAA593"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64,993,395 </w:t>
            </w:r>
          </w:p>
        </w:tc>
        <w:tc>
          <w:tcPr>
            <w:tcW w:w="1509" w:type="dxa"/>
            <w:shd w:val="clear" w:color="auto" w:fill="auto"/>
            <w:noWrap/>
            <w:vAlign w:val="center"/>
            <w:hideMark/>
          </w:tcPr>
          <w:p w14:paraId="670EC640"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4,192,898 </w:t>
            </w:r>
          </w:p>
        </w:tc>
        <w:tc>
          <w:tcPr>
            <w:tcW w:w="1531" w:type="dxa"/>
            <w:gridSpan w:val="2"/>
            <w:shd w:val="clear" w:color="auto" w:fill="auto"/>
            <w:noWrap/>
            <w:vAlign w:val="center"/>
            <w:hideMark/>
          </w:tcPr>
          <w:p w14:paraId="3CD87AE3"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2,766,296 </w:t>
            </w:r>
          </w:p>
        </w:tc>
      </w:tr>
      <w:tr w:rsidR="003E5BF5" w:rsidRPr="00AD4D68" w14:paraId="1F3FADC4" w14:textId="77777777" w:rsidTr="005859E4">
        <w:trPr>
          <w:trHeight w:val="340"/>
        </w:trPr>
        <w:tc>
          <w:tcPr>
            <w:tcW w:w="3509" w:type="dxa"/>
            <w:shd w:val="clear" w:color="auto" w:fill="auto"/>
            <w:noWrap/>
            <w:vAlign w:val="center"/>
            <w:hideMark/>
          </w:tcPr>
          <w:p w14:paraId="0F1FA65F"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 xml:space="preserve">Accumulated surplus/(deficit) </w:t>
            </w:r>
            <w:r w:rsidRPr="00AD4D68">
              <w:rPr>
                <w:rFonts w:ascii="Arial" w:hAnsi="Arial" w:cs="Arial"/>
                <w:sz w:val="24"/>
                <w:szCs w:val="24"/>
                <w:vertAlign w:val="superscript"/>
                <w:lang w:eastAsia="en-AU"/>
              </w:rPr>
              <w:t>(ii)</w:t>
            </w:r>
          </w:p>
        </w:tc>
        <w:tc>
          <w:tcPr>
            <w:tcW w:w="1036" w:type="dxa"/>
            <w:shd w:val="clear" w:color="auto" w:fill="auto"/>
            <w:noWrap/>
            <w:vAlign w:val="center"/>
            <w:hideMark/>
          </w:tcPr>
          <w:p w14:paraId="4C3E4A46" w14:textId="77777777" w:rsidR="003E5BF5" w:rsidRPr="00AD4D68" w:rsidRDefault="003E5BF5" w:rsidP="00DE1921">
            <w:pPr>
              <w:jc w:val="right"/>
              <w:rPr>
                <w:rFonts w:ascii="Arial" w:hAnsi="Arial" w:cs="Arial"/>
                <w:sz w:val="24"/>
                <w:szCs w:val="24"/>
                <w:lang w:eastAsia="en-AU"/>
              </w:rPr>
            </w:pPr>
          </w:p>
        </w:tc>
        <w:tc>
          <w:tcPr>
            <w:tcW w:w="1509" w:type="dxa"/>
            <w:shd w:val="clear" w:color="auto" w:fill="auto"/>
            <w:noWrap/>
            <w:vAlign w:val="center"/>
            <w:hideMark/>
          </w:tcPr>
          <w:p w14:paraId="0CB44F60" w14:textId="77777777" w:rsidR="003E5BF5" w:rsidRPr="00AD4D68" w:rsidRDefault="003E5BF5" w:rsidP="00DE1921">
            <w:pPr>
              <w:jc w:val="right"/>
              <w:rPr>
                <w:rFonts w:ascii="Arial" w:hAnsi="Arial" w:cs="Arial"/>
                <w:sz w:val="24"/>
                <w:szCs w:val="24"/>
                <w:highlight w:val="yellow"/>
                <w:lang w:eastAsia="en-AU"/>
              </w:rPr>
            </w:pPr>
            <w:r w:rsidRPr="00AD4D68">
              <w:rPr>
                <w:rFonts w:ascii="Arial" w:hAnsi="Arial" w:cs="Arial"/>
                <w:sz w:val="24"/>
                <w:szCs w:val="24"/>
              </w:rPr>
              <w:t>(2,179,123)</w:t>
            </w:r>
          </w:p>
        </w:tc>
        <w:tc>
          <w:tcPr>
            <w:tcW w:w="1509" w:type="dxa"/>
            <w:shd w:val="clear" w:color="auto" w:fill="auto"/>
            <w:noWrap/>
            <w:vAlign w:val="center"/>
            <w:hideMark/>
          </w:tcPr>
          <w:p w14:paraId="7C55D795"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(1,101,126)</w:t>
            </w:r>
          </w:p>
        </w:tc>
        <w:tc>
          <w:tcPr>
            <w:tcW w:w="1531" w:type="dxa"/>
            <w:gridSpan w:val="2"/>
            <w:shd w:val="clear" w:color="auto" w:fill="auto"/>
            <w:noWrap/>
            <w:vAlign w:val="center"/>
            <w:hideMark/>
          </w:tcPr>
          <w:p w14:paraId="043C7ACD"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(715,814)</w:t>
            </w:r>
          </w:p>
        </w:tc>
      </w:tr>
      <w:tr w:rsidR="003E5BF5" w:rsidRPr="00AD4D68" w14:paraId="7D1EE39C" w14:textId="77777777" w:rsidTr="005859E4">
        <w:trPr>
          <w:trHeight w:val="340"/>
        </w:trPr>
        <w:tc>
          <w:tcPr>
            <w:tcW w:w="3509" w:type="dxa"/>
            <w:shd w:val="clear" w:color="auto" w:fill="auto"/>
            <w:noWrap/>
            <w:vAlign w:val="center"/>
            <w:hideMark/>
          </w:tcPr>
          <w:p w14:paraId="68FA00E2"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 xml:space="preserve">Physical asset revaluation surplus </w:t>
            </w:r>
            <w:r w:rsidRPr="00AD4D68">
              <w:rPr>
                <w:rFonts w:ascii="Arial" w:hAnsi="Arial" w:cs="Arial"/>
                <w:sz w:val="24"/>
                <w:szCs w:val="24"/>
                <w:vertAlign w:val="superscript"/>
                <w:lang w:eastAsia="en-AU"/>
              </w:rPr>
              <w:t>(ii)</w:t>
            </w:r>
          </w:p>
        </w:tc>
        <w:tc>
          <w:tcPr>
            <w:tcW w:w="1036" w:type="dxa"/>
            <w:shd w:val="clear" w:color="auto" w:fill="auto"/>
            <w:noWrap/>
            <w:vAlign w:val="center"/>
            <w:hideMark/>
          </w:tcPr>
          <w:p w14:paraId="5A00BF48" w14:textId="77777777" w:rsidR="003E5BF5" w:rsidRPr="00AD4D68" w:rsidRDefault="003E5BF5" w:rsidP="00DE1921">
            <w:pPr>
              <w:jc w:val="right"/>
              <w:rPr>
                <w:rFonts w:ascii="Arial" w:hAnsi="Arial" w:cs="Arial"/>
                <w:sz w:val="24"/>
                <w:szCs w:val="24"/>
                <w:lang w:eastAsia="en-AU"/>
              </w:rPr>
            </w:pPr>
          </w:p>
        </w:tc>
        <w:tc>
          <w:tcPr>
            <w:tcW w:w="1509" w:type="dxa"/>
            <w:shd w:val="clear" w:color="auto" w:fill="auto"/>
            <w:noWrap/>
            <w:vAlign w:val="center"/>
            <w:hideMark/>
          </w:tcPr>
          <w:p w14:paraId="69B71D8C" w14:textId="77777777" w:rsidR="003E5BF5" w:rsidRPr="00AD4D68" w:rsidRDefault="003E5BF5" w:rsidP="00DE1921">
            <w:pPr>
              <w:jc w:val="right"/>
              <w:rPr>
                <w:rFonts w:ascii="Arial" w:hAnsi="Arial" w:cs="Arial"/>
                <w:sz w:val="24"/>
                <w:szCs w:val="24"/>
                <w:highlight w:val="yellow"/>
                <w:lang w:eastAsia="en-AU"/>
              </w:rPr>
            </w:pPr>
            <w:r w:rsidRPr="00AD4D68">
              <w:rPr>
                <w:rFonts w:ascii="Arial" w:hAnsi="Arial" w:cs="Arial"/>
                <w:sz w:val="24"/>
                <w:szCs w:val="24"/>
              </w:rPr>
              <w:t xml:space="preserve">12,604,096 </w:t>
            </w:r>
          </w:p>
        </w:tc>
        <w:tc>
          <w:tcPr>
            <w:tcW w:w="1509" w:type="dxa"/>
            <w:shd w:val="clear" w:color="auto" w:fill="auto"/>
            <w:noWrap/>
            <w:vAlign w:val="center"/>
            <w:hideMark/>
          </w:tcPr>
          <w:p w14:paraId="30F56F62"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519,415 </w:t>
            </w:r>
          </w:p>
        </w:tc>
        <w:tc>
          <w:tcPr>
            <w:tcW w:w="1531" w:type="dxa"/>
            <w:gridSpan w:val="2"/>
            <w:shd w:val="clear" w:color="auto" w:fill="auto"/>
            <w:noWrap/>
            <w:vAlign w:val="center"/>
            <w:hideMark/>
          </w:tcPr>
          <w:p w14:paraId="52BECF2D"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401,733 </w:t>
            </w:r>
          </w:p>
        </w:tc>
      </w:tr>
      <w:tr w:rsidR="003E5BF5" w:rsidRPr="00AD4D68" w14:paraId="75489248" w14:textId="77777777" w:rsidTr="005859E4">
        <w:trPr>
          <w:trHeight w:val="340"/>
        </w:trPr>
        <w:tc>
          <w:tcPr>
            <w:tcW w:w="3509" w:type="dxa"/>
            <w:shd w:val="clear" w:color="auto" w:fill="auto"/>
            <w:noWrap/>
            <w:vAlign w:val="center"/>
            <w:hideMark/>
          </w:tcPr>
          <w:p w14:paraId="250ED7F3" w14:textId="77777777" w:rsidR="003E5BF5" w:rsidRPr="00AD4D68" w:rsidRDefault="003E5BF5" w:rsidP="00DE1921">
            <w:pPr>
              <w:pStyle w:val="TableTextLeftBold"/>
              <w:rPr>
                <w:rFonts w:ascii="Arial" w:hAnsi="Arial" w:cs="Arial"/>
                <w:sz w:val="24"/>
                <w:szCs w:val="24"/>
              </w:rPr>
            </w:pPr>
            <w:r w:rsidRPr="00AD4D68">
              <w:rPr>
                <w:rFonts w:ascii="Arial" w:hAnsi="Arial" w:cs="Arial"/>
                <w:sz w:val="24"/>
                <w:szCs w:val="24"/>
              </w:rPr>
              <w:t>Net worth</w:t>
            </w:r>
          </w:p>
        </w:tc>
        <w:tc>
          <w:tcPr>
            <w:tcW w:w="1036" w:type="dxa"/>
            <w:shd w:val="clear" w:color="auto" w:fill="auto"/>
            <w:noWrap/>
            <w:vAlign w:val="center"/>
            <w:hideMark/>
          </w:tcPr>
          <w:p w14:paraId="457F5DEB" w14:textId="77777777" w:rsidR="003E5BF5" w:rsidRPr="00AD4D68" w:rsidRDefault="003E5BF5" w:rsidP="00DE1921">
            <w:pPr>
              <w:jc w:val="right"/>
              <w:rPr>
                <w:rFonts w:ascii="Arial" w:hAnsi="Arial" w:cs="Arial"/>
                <w:b/>
                <w:sz w:val="24"/>
                <w:szCs w:val="24"/>
                <w:lang w:eastAsia="en-AU"/>
              </w:rPr>
            </w:pPr>
          </w:p>
        </w:tc>
        <w:tc>
          <w:tcPr>
            <w:tcW w:w="1509" w:type="dxa"/>
            <w:shd w:val="clear" w:color="auto" w:fill="auto"/>
            <w:noWrap/>
            <w:vAlign w:val="center"/>
            <w:hideMark/>
          </w:tcPr>
          <w:p w14:paraId="4242D5A4"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75,418,368 </w:t>
            </w:r>
          </w:p>
        </w:tc>
        <w:tc>
          <w:tcPr>
            <w:tcW w:w="1509" w:type="dxa"/>
            <w:shd w:val="clear" w:color="auto" w:fill="auto"/>
            <w:noWrap/>
            <w:vAlign w:val="center"/>
            <w:hideMark/>
          </w:tcPr>
          <w:p w14:paraId="190AC32E"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3,611,187 </w:t>
            </w:r>
          </w:p>
        </w:tc>
        <w:tc>
          <w:tcPr>
            <w:tcW w:w="1531" w:type="dxa"/>
            <w:gridSpan w:val="2"/>
            <w:shd w:val="clear" w:color="auto" w:fill="auto"/>
            <w:noWrap/>
            <w:vAlign w:val="center"/>
            <w:hideMark/>
          </w:tcPr>
          <w:p w14:paraId="4CEE83F1"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2,452,215 </w:t>
            </w:r>
          </w:p>
        </w:tc>
      </w:tr>
    </w:tbl>
    <w:p w14:paraId="7097219F" w14:textId="6FA80ACC" w:rsidR="00837EDB" w:rsidRDefault="007D7DE4" w:rsidP="00F40940">
      <w:pPr>
        <w:spacing w:before="120" w:line="360" w:lineRule="auto"/>
        <w:rPr>
          <w:rFonts w:ascii="Arial" w:hAnsi="Arial" w:cs="Arial"/>
          <w:sz w:val="24"/>
          <w:szCs w:val="24"/>
          <w:lang w:eastAsia="en-AU"/>
        </w:rPr>
      </w:pPr>
      <w:r w:rsidRPr="00AD4D68">
        <w:rPr>
          <w:rFonts w:ascii="Arial" w:hAnsi="Arial" w:cs="Arial"/>
          <w:sz w:val="24"/>
          <w:szCs w:val="24"/>
          <w:lang w:eastAsia="en-AU"/>
        </w:rPr>
        <w:t>The above balance sheet statement should be read in conjunction with the notes to the financial statements.</w:t>
      </w:r>
    </w:p>
    <w:p w14:paraId="1CB32C26" w14:textId="77777777" w:rsidR="00837EDB" w:rsidRDefault="00837EDB">
      <w:pPr>
        <w:rPr>
          <w:rFonts w:ascii="Arial" w:hAnsi="Arial" w:cs="Arial"/>
          <w:sz w:val="24"/>
          <w:szCs w:val="24"/>
          <w:lang w:eastAsia="en-AU"/>
        </w:rPr>
      </w:pPr>
      <w:r>
        <w:rPr>
          <w:rFonts w:ascii="Arial" w:hAnsi="Arial" w:cs="Arial"/>
          <w:sz w:val="24"/>
          <w:szCs w:val="24"/>
          <w:lang w:eastAsia="en-AU"/>
        </w:rPr>
        <w:br w:type="page"/>
      </w:r>
    </w:p>
    <w:p w14:paraId="70F1D1EF" w14:textId="77777777" w:rsidR="007D7DE4" w:rsidRPr="00AD4D68" w:rsidRDefault="007D7DE4" w:rsidP="00F40940">
      <w:pPr>
        <w:pStyle w:val="Note"/>
        <w:spacing w:line="360" w:lineRule="auto"/>
        <w:rPr>
          <w:rFonts w:ascii="Arial" w:hAnsi="Arial" w:cs="Arial"/>
          <w:sz w:val="24"/>
          <w:szCs w:val="24"/>
        </w:rPr>
      </w:pPr>
      <w:r w:rsidRPr="00AD4D68">
        <w:rPr>
          <w:rFonts w:ascii="Arial" w:hAnsi="Arial" w:cs="Arial"/>
          <w:sz w:val="24"/>
          <w:szCs w:val="24"/>
        </w:rPr>
        <w:lastRenderedPageBreak/>
        <w:t>Notes:</w:t>
      </w:r>
    </w:p>
    <w:p w14:paraId="080FC3BA" w14:textId="77777777" w:rsidR="007D7DE4" w:rsidRPr="00AD4D68" w:rsidRDefault="007D7DE4" w:rsidP="00610F5F">
      <w:pPr>
        <w:pStyle w:val="aaaNotenumberiiiiii"/>
        <w:numPr>
          <w:ilvl w:val="0"/>
          <w:numId w:val="66"/>
        </w:numPr>
      </w:pPr>
      <w:r w:rsidRPr="00AD4D68">
        <w:t>The retrospective application of AASB 1059 has a material effect on the information presented in the balance sheet at the beginning of the preceding period, therefore the department is presenting a third balance sheet as at the beginning of the 1 July 2018. Refer to Note 9.6.5.2 for further details.</w:t>
      </w:r>
    </w:p>
    <w:p w14:paraId="0301BA12" w14:textId="5FD45A76" w:rsidR="007D7DE4" w:rsidRPr="00F40940" w:rsidRDefault="007D7DE4" w:rsidP="006667CC">
      <w:pPr>
        <w:pStyle w:val="aaaNotenumberiiiiii"/>
      </w:pPr>
      <w:r w:rsidRPr="00AD4D68">
        <w:t xml:space="preserve">The 2019 comparatives figures have been restated to reflect the adoption of AASB 1059, refer to Note 9.6.5.2 for further </w:t>
      </w:r>
      <w:r w:rsidRPr="00F40940">
        <w:t>details.</w:t>
      </w:r>
    </w:p>
    <w:p w14:paraId="0E6DA2F3" w14:textId="77777777" w:rsidR="007F6ED1" w:rsidRDefault="007F6ED1" w:rsidP="00DE1921">
      <w:pPr>
        <w:pStyle w:val="Note"/>
        <w:rPr>
          <w:sz w:val="24"/>
          <w:szCs w:val="24"/>
        </w:rPr>
        <w:sectPr w:rsidR="007F6ED1" w:rsidSect="00DE1921">
          <w:pgSz w:w="11906" w:h="16838"/>
          <w:pgMar w:top="1701" w:right="1418" w:bottom="1418" w:left="1418" w:header="709" w:footer="709" w:gutter="0"/>
          <w:cols w:space="708"/>
          <w:docGrid w:linePitch="360"/>
        </w:sectPr>
      </w:pPr>
    </w:p>
    <w:p w14:paraId="0398F260" w14:textId="77777777" w:rsidR="00793874" w:rsidRDefault="00793874" w:rsidP="008A0170">
      <w:pPr>
        <w:pStyle w:val="Heading1"/>
        <w:sectPr w:rsidR="00793874" w:rsidSect="005B1B1A">
          <w:headerReference w:type="even" r:id="rId56"/>
          <w:headerReference w:type="default" r:id="rId57"/>
          <w:headerReference w:type="first" r:id="rId58"/>
          <w:type w:val="continuous"/>
          <w:pgSz w:w="11906" w:h="16838"/>
          <w:pgMar w:top="1701" w:right="1418" w:bottom="1418" w:left="1418" w:header="708" w:footer="708" w:gutter="0"/>
          <w:cols w:space="284"/>
          <w:docGrid w:linePitch="360"/>
        </w:sectPr>
      </w:pPr>
      <w:bookmarkStart w:id="53" w:name="_Toc530384153"/>
      <w:bookmarkStart w:id="54" w:name="_Toc530384448"/>
      <w:bookmarkStart w:id="55" w:name="_Toc530385290"/>
      <w:bookmarkStart w:id="56" w:name="_Toc530387388"/>
      <w:bookmarkStart w:id="57" w:name="_Toc530387580"/>
      <w:bookmarkStart w:id="58" w:name="_Toc530388238"/>
      <w:bookmarkStart w:id="59" w:name="_Toc530400359"/>
      <w:bookmarkStart w:id="60" w:name="_Toc530400698"/>
      <w:bookmarkStart w:id="61" w:name="SOCIE"/>
    </w:p>
    <w:p w14:paraId="349DD22E" w14:textId="0654F072" w:rsidR="003E5BF5" w:rsidRPr="00B57035" w:rsidRDefault="003E5BF5" w:rsidP="008A0170">
      <w:pPr>
        <w:pStyle w:val="Heading1"/>
      </w:pPr>
      <w:bookmarkStart w:id="62" w:name="_Toc55130687"/>
      <w:r w:rsidRPr="00B57035">
        <w:lastRenderedPageBreak/>
        <w:t>Statement of changes in equity</w:t>
      </w:r>
      <w:bookmarkEnd w:id="62"/>
    </w:p>
    <w:p w14:paraId="259506E7" w14:textId="77777777" w:rsidR="003E5BF5" w:rsidRPr="00D44423" w:rsidRDefault="003E5BF5" w:rsidP="008A0170">
      <w:pPr>
        <w:pStyle w:val="Heading3"/>
      </w:pPr>
      <w:r w:rsidRPr="00150F57">
        <w:t xml:space="preserve">for the financial year ended 30 June </w:t>
      </w:r>
      <w:bookmarkEnd w:id="53"/>
      <w:bookmarkEnd w:id="54"/>
      <w:bookmarkEnd w:id="55"/>
      <w:bookmarkEnd w:id="56"/>
      <w:bookmarkEnd w:id="57"/>
      <w:bookmarkEnd w:id="58"/>
      <w:bookmarkEnd w:id="59"/>
      <w:bookmarkEnd w:id="60"/>
      <w:r w:rsidRPr="00150F57">
        <w:t>2020</w:t>
      </w:r>
      <w:bookmarkStart w:id="63" w:name="RANGE!A3:F28"/>
      <w:bookmarkEnd w:id="61"/>
      <w:bookmarkEnd w:id="63"/>
    </w:p>
    <w:tbl>
      <w:tblPr>
        <w:tblStyle w:val="TableGrid"/>
        <w:tblW w:w="9206" w:type="dxa"/>
        <w:tblLayout w:type="fixed"/>
        <w:tblLook w:val="04A0" w:firstRow="1" w:lastRow="0" w:firstColumn="1" w:lastColumn="0" w:noHBand="0" w:noVBand="1"/>
      </w:tblPr>
      <w:tblGrid>
        <w:gridCol w:w="2459"/>
        <w:gridCol w:w="763"/>
        <w:gridCol w:w="1496"/>
        <w:gridCol w:w="1496"/>
        <w:gridCol w:w="1496"/>
        <w:gridCol w:w="1496"/>
      </w:tblGrid>
      <w:tr w:rsidR="00EF71B6" w:rsidRPr="00AD4D68" w14:paraId="43BE82B1" w14:textId="77777777" w:rsidTr="00606BFE">
        <w:trPr>
          <w:trHeight w:val="312"/>
          <w:tblHeader/>
        </w:trPr>
        <w:tc>
          <w:tcPr>
            <w:tcW w:w="2459" w:type="dxa"/>
            <w:noWrap/>
            <w:hideMark/>
          </w:tcPr>
          <w:p w14:paraId="61369DBD" w14:textId="77777777" w:rsidR="00EF71B6" w:rsidRPr="00AD4D68" w:rsidRDefault="00EF71B6" w:rsidP="00EF71B6">
            <w:pPr>
              <w:rPr>
                <w:rFonts w:ascii="Arial" w:hAnsi="Arial" w:cs="Arial"/>
                <w:sz w:val="24"/>
                <w:szCs w:val="24"/>
                <w:lang w:eastAsia="en-AU"/>
              </w:rPr>
            </w:pPr>
          </w:p>
        </w:tc>
        <w:tc>
          <w:tcPr>
            <w:tcW w:w="763" w:type="dxa"/>
            <w:noWrap/>
            <w:hideMark/>
          </w:tcPr>
          <w:p w14:paraId="074E42FD" w14:textId="77777777" w:rsidR="00EF71B6" w:rsidRPr="00AD4D68" w:rsidRDefault="00EF71B6" w:rsidP="00EF71B6">
            <w:pPr>
              <w:rPr>
                <w:rFonts w:ascii="Arial" w:hAnsi="Arial" w:cs="Arial"/>
                <w:sz w:val="24"/>
                <w:szCs w:val="24"/>
                <w:lang w:eastAsia="en-AU"/>
              </w:rPr>
            </w:pPr>
          </w:p>
        </w:tc>
        <w:tc>
          <w:tcPr>
            <w:tcW w:w="1496" w:type="dxa"/>
            <w:noWrap/>
            <w:hideMark/>
          </w:tcPr>
          <w:p w14:paraId="72FAE88C" w14:textId="250E0AB8" w:rsidR="00EF71B6" w:rsidRPr="00AD4D68" w:rsidRDefault="00EF71B6" w:rsidP="00EF71B6">
            <w:pPr>
              <w:jc w:val="center"/>
              <w:rPr>
                <w:rFonts w:ascii="Arial" w:hAnsi="Arial" w:cs="Arial"/>
                <w:b/>
                <w:sz w:val="24"/>
                <w:szCs w:val="24"/>
                <w:lang w:eastAsia="en-AU"/>
              </w:rPr>
            </w:pPr>
            <w:r w:rsidRPr="00AD4D68">
              <w:rPr>
                <w:rFonts w:ascii="Arial" w:hAnsi="Arial" w:cs="Arial"/>
                <w:b/>
                <w:sz w:val="24"/>
                <w:szCs w:val="24"/>
                <w:lang w:eastAsia="en-AU"/>
              </w:rPr>
              <w:t>($ thousand)</w:t>
            </w:r>
          </w:p>
        </w:tc>
        <w:tc>
          <w:tcPr>
            <w:tcW w:w="1496" w:type="dxa"/>
          </w:tcPr>
          <w:p w14:paraId="1EB8417E" w14:textId="4ED78324" w:rsidR="00EF71B6" w:rsidRPr="00AD4D68" w:rsidRDefault="00EF71B6" w:rsidP="00EF71B6">
            <w:pPr>
              <w:jc w:val="center"/>
              <w:rPr>
                <w:rFonts w:ascii="Arial" w:hAnsi="Arial" w:cs="Arial"/>
                <w:b/>
                <w:sz w:val="24"/>
                <w:szCs w:val="24"/>
                <w:lang w:eastAsia="en-AU"/>
              </w:rPr>
            </w:pPr>
            <w:r w:rsidRPr="009E5D84">
              <w:rPr>
                <w:rFonts w:ascii="Arial" w:hAnsi="Arial" w:cs="Arial"/>
                <w:b/>
                <w:sz w:val="24"/>
                <w:szCs w:val="24"/>
                <w:lang w:eastAsia="en-AU"/>
              </w:rPr>
              <w:t>($ thousand)</w:t>
            </w:r>
          </w:p>
        </w:tc>
        <w:tc>
          <w:tcPr>
            <w:tcW w:w="1496" w:type="dxa"/>
          </w:tcPr>
          <w:p w14:paraId="1DB5315A" w14:textId="3CCECE93" w:rsidR="00EF71B6" w:rsidRPr="00AD4D68" w:rsidRDefault="00EF71B6" w:rsidP="00EF71B6">
            <w:pPr>
              <w:jc w:val="center"/>
              <w:rPr>
                <w:rFonts w:ascii="Arial" w:hAnsi="Arial" w:cs="Arial"/>
                <w:b/>
                <w:sz w:val="24"/>
                <w:szCs w:val="24"/>
                <w:lang w:eastAsia="en-AU"/>
              </w:rPr>
            </w:pPr>
            <w:r w:rsidRPr="009E5D84">
              <w:rPr>
                <w:rFonts w:ascii="Arial" w:hAnsi="Arial" w:cs="Arial"/>
                <w:b/>
                <w:sz w:val="24"/>
                <w:szCs w:val="24"/>
                <w:lang w:eastAsia="en-AU"/>
              </w:rPr>
              <w:t>($ thousand)</w:t>
            </w:r>
          </w:p>
        </w:tc>
        <w:tc>
          <w:tcPr>
            <w:tcW w:w="1496" w:type="dxa"/>
          </w:tcPr>
          <w:p w14:paraId="606CA9E4" w14:textId="64D7B6B7" w:rsidR="00EF71B6" w:rsidRPr="00AD4D68" w:rsidRDefault="00EF71B6" w:rsidP="00EF71B6">
            <w:pPr>
              <w:jc w:val="center"/>
              <w:rPr>
                <w:rFonts w:ascii="Arial" w:hAnsi="Arial" w:cs="Arial"/>
                <w:b/>
                <w:sz w:val="24"/>
                <w:szCs w:val="24"/>
                <w:lang w:eastAsia="en-AU"/>
              </w:rPr>
            </w:pPr>
            <w:r w:rsidRPr="009E5D84">
              <w:rPr>
                <w:rFonts w:ascii="Arial" w:hAnsi="Arial" w:cs="Arial"/>
                <w:b/>
                <w:sz w:val="24"/>
                <w:szCs w:val="24"/>
                <w:lang w:eastAsia="en-AU"/>
              </w:rPr>
              <w:t>($ thousand)</w:t>
            </w:r>
          </w:p>
        </w:tc>
      </w:tr>
      <w:tr w:rsidR="003E5BF5" w:rsidRPr="00AD4D68" w14:paraId="58BF111E" w14:textId="77777777" w:rsidTr="001263E2">
        <w:trPr>
          <w:trHeight w:val="312"/>
          <w:tblHeader/>
        </w:trPr>
        <w:tc>
          <w:tcPr>
            <w:tcW w:w="2459" w:type="dxa"/>
            <w:noWrap/>
            <w:hideMark/>
          </w:tcPr>
          <w:p w14:paraId="7EA8AB98"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 </w:t>
            </w:r>
          </w:p>
        </w:tc>
        <w:tc>
          <w:tcPr>
            <w:tcW w:w="763" w:type="dxa"/>
            <w:noWrap/>
            <w:hideMark/>
          </w:tcPr>
          <w:p w14:paraId="27CBEA9E" w14:textId="77777777" w:rsidR="003E5BF5" w:rsidRPr="004526E0" w:rsidRDefault="003E5BF5" w:rsidP="00DE1921">
            <w:pPr>
              <w:jc w:val="right"/>
              <w:rPr>
                <w:rFonts w:ascii="Arial" w:hAnsi="Arial" w:cs="Arial"/>
                <w:b/>
                <w:lang w:eastAsia="en-AU"/>
              </w:rPr>
            </w:pPr>
            <w:r w:rsidRPr="004526E0">
              <w:rPr>
                <w:rFonts w:ascii="Arial" w:hAnsi="Arial" w:cs="Arial"/>
                <w:b/>
                <w:lang w:eastAsia="en-AU"/>
              </w:rPr>
              <w:t>Note</w:t>
            </w:r>
          </w:p>
        </w:tc>
        <w:tc>
          <w:tcPr>
            <w:tcW w:w="1496" w:type="dxa"/>
            <w:hideMark/>
          </w:tcPr>
          <w:p w14:paraId="54F487BD" w14:textId="77777777" w:rsidR="003E5BF5" w:rsidRPr="004526E0" w:rsidRDefault="003E5BF5" w:rsidP="00DE1921">
            <w:pPr>
              <w:jc w:val="right"/>
              <w:rPr>
                <w:rFonts w:ascii="Arial" w:hAnsi="Arial" w:cs="Arial"/>
                <w:b/>
                <w:lang w:eastAsia="en-AU"/>
              </w:rPr>
            </w:pPr>
            <w:r w:rsidRPr="004526E0">
              <w:rPr>
                <w:rFonts w:ascii="Arial" w:hAnsi="Arial" w:cs="Arial"/>
                <w:b/>
                <w:lang w:eastAsia="en-AU"/>
              </w:rPr>
              <w:t>Contributed</w:t>
            </w:r>
            <w:r w:rsidRPr="004526E0">
              <w:rPr>
                <w:rFonts w:ascii="Arial" w:hAnsi="Arial" w:cs="Arial"/>
                <w:b/>
                <w:lang w:eastAsia="en-AU"/>
              </w:rPr>
              <w:br/>
              <w:t>capital</w:t>
            </w:r>
          </w:p>
        </w:tc>
        <w:tc>
          <w:tcPr>
            <w:tcW w:w="1496" w:type="dxa"/>
            <w:hideMark/>
          </w:tcPr>
          <w:p w14:paraId="44083D6B" w14:textId="77777777" w:rsidR="003E5BF5" w:rsidRPr="00D057BA" w:rsidRDefault="003E5BF5" w:rsidP="00DE1921">
            <w:pPr>
              <w:jc w:val="right"/>
              <w:rPr>
                <w:rFonts w:ascii="Arial" w:hAnsi="Arial" w:cs="Arial"/>
                <w:b/>
                <w:sz w:val="20"/>
                <w:szCs w:val="20"/>
                <w:lang w:eastAsia="en-AU"/>
              </w:rPr>
            </w:pPr>
            <w:r w:rsidRPr="00D057BA">
              <w:rPr>
                <w:rFonts w:ascii="Arial" w:hAnsi="Arial" w:cs="Arial"/>
                <w:b/>
                <w:sz w:val="20"/>
                <w:szCs w:val="20"/>
                <w:lang w:eastAsia="en-AU"/>
              </w:rPr>
              <w:t>Accumulated</w:t>
            </w:r>
            <w:r w:rsidRPr="00D057BA">
              <w:rPr>
                <w:rFonts w:ascii="Arial" w:hAnsi="Arial" w:cs="Arial"/>
                <w:b/>
                <w:sz w:val="20"/>
                <w:szCs w:val="20"/>
                <w:lang w:eastAsia="en-AU"/>
              </w:rPr>
              <w:br/>
              <w:t>surplus</w:t>
            </w:r>
          </w:p>
        </w:tc>
        <w:tc>
          <w:tcPr>
            <w:tcW w:w="1496" w:type="dxa"/>
            <w:hideMark/>
          </w:tcPr>
          <w:p w14:paraId="0B2910F5" w14:textId="77777777" w:rsidR="003E5BF5" w:rsidRPr="004526E0" w:rsidRDefault="003E5BF5" w:rsidP="00DE1921">
            <w:pPr>
              <w:jc w:val="right"/>
              <w:rPr>
                <w:rFonts w:ascii="Arial" w:hAnsi="Arial" w:cs="Arial"/>
                <w:b/>
                <w:lang w:eastAsia="en-AU"/>
              </w:rPr>
            </w:pPr>
            <w:r w:rsidRPr="004526E0">
              <w:rPr>
                <w:rFonts w:ascii="Arial" w:hAnsi="Arial" w:cs="Arial"/>
                <w:b/>
                <w:lang w:eastAsia="en-AU"/>
              </w:rPr>
              <w:t>Physical asset</w:t>
            </w:r>
            <w:r w:rsidRPr="004526E0">
              <w:rPr>
                <w:rFonts w:ascii="Arial" w:hAnsi="Arial" w:cs="Arial"/>
                <w:b/>
                <w:lang w:eastAsia="en-AU"/>
              </w:rPr>
              <w:br/>
              <w:t>revaluation</w:t>
            </w:r>
            <w:r w:rsidRPr="004526E0">
              <w:rPr>
                <w:rFonts w:ascii="Arial" w:hAnsi="Arial" w:cs="Arial"/>
                <w:b/>
                <w:lang w:eastAsia="en-AU"/>
              </w:rPr>
              <w:br/>
              <w:t>surplus</w:t>
            </w:r>
          </w:p>
        </w:tc>
        <w:tc>
          <w:tcPr>
            <w:tcW w:w="1496" w:type="dxa"/>
            <w:hideMark/>
          </w:tcPr>
          <w:p w14:paraId="417C4DBD" w14:textId="77777777" w:rsidR="003E5BF5" w:rsidRPr="004526E0" w:rsidRDefault="003E5BF5" w:rsidP="00DE1921">
            <w:pPr>
              <w:jc w:val="right"/>
              <w:rPr>
                <w:rFonts w:ascii="Arial" w:hAnsi="Arial" w:cs="Arial"/>
                <w:b/>
                <w:lang w:eastAsia="en-AU"/>
              </w:rPr>
            </w:pPr>
            <w:r w:rsidRPr="004526E0">
              <w:rPr>
                <w:rFonts w:ascii="Arial" w:hAnsi="Arial" w:cs="Arial"/>
                <w:b/>
                <w:lang w:eastAsia="en-AU"/>
              </w:rPr>
              <w:t>Total</w:t>
            </w:r>
          </w:p>
        </w:tc>
      </w:tr>
      <w:tr w:rsidR="003E5BF5" w:rsidRPr="00AD4D68" w14:paraId="1D8905E6" w14:textId="77777777" w:rsidTr="006667CC">
        <w:trPr>
          <w:trHeight w:val="312"/>
        </w:trPr>
        <w:tc>
          <w:tcPr>
            <w:tcW w:w="2459" w:type="dxa"/>
            <w:noWrap/>
            <w:hideMark/>
          </w:tcPr>
          <w:p w14:paraId="35009459" w14:textId="77777777" w:rsidR="003E5BF5" w:rsidRPr="00AD4D68" w:rsidRDefault="003E5BF5" w:rsidP="00DE1921">
            <w:pPr>
              <w:pStyle w:val="TableTextLeftBold"/>
              <w:rPr>
                <w:rFonts w:ascii="Arial" w:hAnsi="Arial" w:cs="Arial"/>
                <w:sz w:val="24"/>
                <w:szCs w:val="24"/>
              </w:rPr>
            </w:pPr>
            <w:r w:rsidRPr="00AD4D68">
              <w:rPr>
                <w:rFonts w:ascii="Arial" w:hAnsi="Arial" w:cs="Arial"/>
                <w:sz w:val="24"/>
                <w:szCs w:val="24"/>
              </w:rPr>
              <w:t xml:space="preserve">Balance at 1 July 2018 </w:t>
            </w:r>
            <w:r w:rsidRPr="00AD4D68">
              <w:rPr>
                <w:rFonts w:ascii="Arial" w:hAnsi="Arial" w:cs="Arial"/>
                <w:sz w:val="24"/>
                <w:szCs w:val="24"/>
                <w:vertAlign w:val="superscript"/>
              </w:rPr>
              <w:t>(</w:t>
            </w:r>
            <w:proofErr w:type="spellStart"/>
            <w:r w:rsidRPr="00AD4D68">
              <w:rPr>
                <w:rFonts w:ascii="Arial" w:hAnsi="Arial" w:cs="Arial"/>
                <w:sz w:val="24"/>
                <w:szCs w:val="24"/>
                <w:vertAlign w:val="superscript"/>
              </w:rPr>
              <w:t>i</w:t>
            </w:r>
            <w:proofErr w:type="spellEnd"/>
            <w:r w:rsidRPr="00AD4D68">
              <w:rPr>
                <w:rFonts w:ascii="Arial" w:hAnsi="Arial" w:cs="Arial"/>
                <w:sz w:val="24"/>
                <w:szCs w:val="24"/>
                <w:vertAlign w:val="superscript"/>
              </w:rPr>
              <w:t>)</w:t>
            </w:r>
          </w:p>
        </w:tc>
        <w:tc>
          <w:tcPr>
            <w:tcW w:w="763" w:type="dxa"/>
            <w:noWrap/>
            <w:hideMark/>
          </w:tcPr>
          <w:p w14:paraId="7247FC1C" w14:textId="77777777" w:rsidR="003E5BF5" w:rsidRPr="00AD4D68" w:rsidRDefault="003E5BF5" w:rsidP="00DE1921">
            <w:pPr>
              <w:jc w:val="right"/>
              <w:rPr>
                <w:rFonts w:ascii="Arial" w:hAnsi="Arial" w:cs="Arial"/>
                <w:b/>
                <w:sz w:val="24"/>
                <w:szCs w:val="24"/>
                <w:lang w:eastAsia="en-AU"/>
              </w:rPr>
            </w:pPr>
          </w:p>
        </w:tc>
        <w:tc>
          <w:tcPr>
            <w:tcW w:w="1496" w:type="dxa"/>
            <w:noWrap/>
            <w:hideMark/>
          </w:tcPr>
          <w:p w14:paraId="4E9FBFF2"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2,766,296 </w:t>
            </w:r>
          </w:p>
        </w:tc>
        <w:tc>
          <w:tcPr>
            <w:tcW w:w="1496" w:type="dxa"/>
            <w:noWrap/>
            <w:hideMark/>
          </w:tcPr>
          <w:p w14:paraId="619397D4"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(715,814)</w:t>
            </w:r>
          </w:p>
        </w:tc>
        <w:tc>
          <w:tcPr>
            <w:tcW w:w="1496" w:type="dxa"/>
            <w:noWrap/>
            <w:hideMark/>
          </w:tcPr>
          <w:p w14:paraId="763495F3"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401,733 </w:t>
            </w:r>
          </w:p>
        </w:tc>
        <w:tc>
          <w:tcPr>
            <w:tcW w:w="1496" w:type="dxa"/>
            <w:noWrap/>
            <w:hideMark/>
          </w:tcPr>
          <w:p w14:paraId="5A6987BB"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2,452,215 </w:t>
            </w:r>
          </w:p>
        </w:tc>
      </w:tr>
      <w:tr w:rsidR="003E5BF5" w:rsidRPr="00AD4D68" w14:paraId="43C90FE3" w14:textId="77777777" w:rsidTr="006667CC">
        <w:trPr>
          <w:trHeight w:val="312"/>
        </w:trPr>
        <w:tc>
          <w:tcPr>
            <w:tcW w:w="2459" w:type="dxa"/>
            <w:noWrap/>
            <w:hideMark/>
          </w:tcPr>
          <w:p w14:paraId="2CB410C9"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Net result for the year</w:t>
            </w:r>
          </w:p>
        </w:tc>
        <w:tc>
          <w:tcPr>
            <w:tcW w:w="763" w:type="dxa"/>
            <w:noWrap/>
            <w:hideMark/>
          </w:tcPr>
          <w:p w14:paraId="12F4CCC2" w14:textId="77777777" w:rsidR="003E5BF5" w:rsidRPr="00AD4D68" w:rsidRDefault="003E5BF5" w:rsidP="00DE1921">
            <w:pPr>
              <w:jc w:val="right"/>
              <w:rPr>
                <w:rFonts w:ascii="Arial" w:hAnsi="Arial" w:cs="Arial"/>
                <w:sz w:val="24"/>
                <w:szCs w:val="24"/>
                <w:lang w:eastAsia="en-AU"/>
              </w:rPr>
            </w:pPr>
          </w:p>
        </w:tc>
        <w:tc>
          <w:tcPr>
            <w:tcW w:w="1496" w:type="dxa"/>
            <w:noWrap/>
            <w:hideMark/>
          </w:tcPr>
          <w:p w14:paraId="545FEADE"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 </w:t>
            </w:r>
            <w:r w:rsidRPr="00AD4D68">
              <w:rPr>
                <w:rFonts w:ascii="Arial" w:hAnsi="Arial" w:cs="Arial"/>
                <w:b/>
                <w:sz w:val="24"/>
                <w:szCs w:val="24"/>
              </w:rPr>
              <w:t>-</w:t>
            </w:r>
            <w:r w:rsidRPr="00AD4D68">
              <w:rPr>
                <w:rFonts w:ascii="Arial" w:hAnsi="Arial" w:cs="Arial"/>
                <w:sz w:val="24"/>
                <w:szCs w:val="24"/>
              </w:rPr>
              <w:t xml:space="preserve"> </w:t>
            </w:r>
          </w:p>
        </w:tc>
        <w:tc>
          <w:tcPr>
            <w:tcW w:w="1496" w:type="dxa"/>
            <w:noWrap/>
            <w:hideMark/>
          </w:tcPr>
          <w:p w14:paraId="7EC22FEB"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(254,525)</w:t>
            </w:r>
          </w:p>
        </w:tc>
        <w:tc>
          <w:tcPr>
            <w:tcW w:w="1496" w:type="dxa"/>
            <w:noWrap/>
            <w:hideMark/>
          </w:tcPr>
          <w:p w14:paraId="7AB55270"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19288D7F" w14:textId="77777777" w:rsidR="003E5BF5" w:rsidRPr="00AD4D68" w:rsidRDefault="003E5BF5" w:rsidP="00DE1921">
            <w:pPr>
              <w:jc w:val="right"/>
              <w:rPr>
                <w:rFonts w:ascii="Arial" w:hAnsi="Arial" w:cs="Arial"/>
                <w:b/>
                <w:sz w:val="24"/>
                <w:szCs w:val="24"/>
                <w:lang w:eastAsia="en-AU"/>
              </w:rPr>
            </w:pPr>
            <w:r w:rsidRPr="00AD4D68">
              <w:rPr>
                <w:rFonts w:ascii="Arial" w:hAnsi="Arial" w:cs="Arial"/>
                <w:sz w:val="24"/>
                <w:szCs w:val="24"/>
              </w:rPr>
              <w:t>(254,525)</w:t>
            </w:r>
          </w:p>
        </w:tc>
      </w:tr>
      <w:tr w:rsidR="003E5BF5" w:rsidRPr="00AD4D68" w14:paraId="1AB2914C" w14:textId="77777777" w:rsidTr="006667CC">
        <w:trPr>
          <w:trHeight w:val="312"/>
        </w:trPr>
        <w:tc>
          <w:tcPr>
            <w:tcW w:w="2459" w:type="dxa"/>
            <w:noWrap/>
            <w:hideMark/>
          </w:tcPr>
          <w:p w14:paraId="13734DA3"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Sec53(1)(b) entities no longer consolidated</w:t>
            </w:r>
            <w:r w:rsidRPr="00AD4D68">
              <w:rPr>
                <w:rFonts w:ascii="Arial" w:hAnsi="Arial" w:cs="Arial"/>
                <w:sz w:val="24"/>
                <w:szCs w:val="24"/>
                <w:vertAlign w:val="superscript"/>
                <w:lang w:eastAsia="en-AU"/>
              </w:rPr>
              <w:t xml:space="preserve"> (ii)</w:t>
            </w:r>
          </w:p>
        </w:tc>
        <w:tc>
          <w:tcPr>
            <w:tcW w:w="763" w:type="dxa"/>
            <w:noWrap/>
            <w:hideMark/>
          </w:tcPr>
          <w:p w14:paraId="49761558" w14:textId="77777777" w:rsidR="003E5BF5" w:rsidRPr="00AD4D68" w:rsidRDefault="003E5BF5" w:rsidP="00DE1921">
            <w:pPr>
              <w:jc w:val="right"/>
              <w:rPr>
                <w:rFonts w:ascii="Arial" w:hAnsi="Arial" w:cs="Arial"/>
                <w:sz w:val="24"/>
                <w:szCs w:val="24"/>
                <w:lang w:eastAsia="en-AU"/>
              </w:rPr>
            </w:pPr>
          </w:p>
        </w:tc>
        <w:tc>
          <w:tcPr>
            <w:tcW w:w="1496" w:type="dxa"/>
            <w:noWrap/>
            <w:hideMark/>
          </w:tcPr>
          <w:p w14:paraId="521DB479"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(467)</w:t>
            </w:r>
          </w:p>
        </w:tc>
        <w:tc>
          <w:tcPr>
            <w:tcW w:w="1496" w:type="dxa"/>
            <w:noWrap/>
            <w:hideMark/>
          </w:tcPr>
          <w:p w14:paraId="58A16830"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(3,510)</w:t>
            </w:r>
          </w:p>
        </w:tc>
        <w:tc>
          <w:tcPr>
            <w:tcW w:w="1496" w:type="dxa"/>
            <w:noWrap/>
            <w:hideMark/>
          </w:tcPr>
          <w:p w14:paraId="4326D84C"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4444B3CD" w14:textId="77777777" w:rsidR="003E5BF5" w:rsidRPr="00AD4D68" w:rsidRDefault="003E5BF5" w:rsidP="00DE1921">
            <w:pPr>
              <w:jc w:val="right"/>
              <w:rPr>
                <w:rFonts w:ascii="Arial" w:hAnsi="Arial" w:cs="Arial"/>
                <w:b/>
                <w:sz w:val="24"/>
                <w:szCs w:val="24"/>
                <w:lang w:eastAsia="en-AU"/>
              </w:rPr>
            </w:pPr>
            <w:r w:rsidRPr="00AD4D68">
              <w:rPr>
                <w:rFonts w:ascii="Arial" w:hAnsi="Arial" w:cs="Arial"/>
                <w:sz w:val="24"/>
                <w:szCs w:val="24"/>
              </w:rPr>
              <w:t>(3,977)</w:t>
            </w:r>
          </w:p>
        </w:tc>
      </w:tr>
      <w:tr w:rsidR="003E5BF5" w:rsidRPr="00AD4D68" w14:paraId="7ECA26B4" w14:textId="77777777" w:rsidTr="006667CC">
        <w:trPr>
          <w:trHeight w:val="312"/>
        </w:trPr>
        <w:tc>
          <w:tcPr>
            <w:tcW w:w="2459" w:type="dxa"/>
            <w:noWrap/>
            <w:hideMark/>
          </w:tcPr>
          <w:p w14:paraId="4F7CD192"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 xml:space="preserve">Capital appropriations </w:t>
            </w:r>
          </w:p>
        </w:tc>
        <w:tc>
          <w:tcPr>
            <w:tcW w:w="763" w:type="dxa"/>
            <w:noWrap/>
            <w:hideMark/>
          </w:tcPr>
          <w:p w14:paraId="0280BA64" w14:textId="77777777" w:rsidR="003E5BF5" w:rsidRPr="00AD4D68" w:rsidRDefault="009B2DDD" w:rsidP="00DE1921">
            <w:pPr>
              <w:jc w:val="right"/>
              <w:rPr>
                <w:rFonts w:ascii="Arial" w:hAnsi="Arial" w:cs="Arial"/>
                <w:sz w:val="24"/>
                <w:szCs w:val="24"/>
                <w:highlight w:val="yellow"/>
                <w:lang w:eastAsia="en-AU"/>
              </w:rPr>
            </w:pPr>
            <w:hyperlink w:anchor="_Equity_disclosure" w:history="1">
              <w:r w:rsidR="003E5BF5" w:rsidRPr="00AD4D68">
                <w:rPr>
                  <w:rStyle w:val="Hyperlink"/>
                  <w:rFonts w:ascii="Arial" w:hAnsi="Arial" w:cs="Arial"/>
                  <w:sz w:val="24"/>
                  <w:szCs w:val="24"/>
                  <w:lang w:eastAsia="en-AU"/>
                </w:rPr>
                <w:t>9.4</w:t>
              </w:r>
            </w:hyperlink>
          </w:p>
        </w:tc>
        <w:tc>
          <w:tcPr>
            <w:tcW w:w="1496" w:type="dxa"/>
            <w:noWrap/>
            <w:hideMark/>
          </w:tcPr>
          <w:p w14:paraId="1F7B3478"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3,394,244 </w:t>
            </w:r>
          </w:p>
        </w:tc>
        <w:tc>
          <w:tcPr>
            <w:tcW w:w="1496" w:type="dxa"/>
            <w:noWrap/>
            <w:hideMark/>
          </w:tcPr>
          <w:p w14:paraId="5498A487"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7EECC414"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5C2B28D4" w14:textId="77777777" w:rsidR="003E5BF5" w:rsidRPr="00AD4D68" w:rsidRDefault="003E5BF5" w:rsidP="00DE1921">
            <w:pPr>
              <w:jc w:val="right"/>
              <w:rPr>
                <w:rFonts w:ascii="Arial" w:hAnsi="Arial" w:cs="Arial"/>
                <w:b/>
                <w:sz w:val="24"/>
                <w:szCs w:val="24"/>
                <w:lang w:eastAsia="en-AU"/>
              </w:rPr>
            </w:pPr>
            <w:r w:rsidRPr="00AD4D68">
              <w:rPr>
                <w:rFonts w:ascii="Arial" w:hAnsi="Arial" w:cs="Arial"/>
                <w:sz w:val="24"/>
                <w:szCs w:val="24"/>
              </w:rPr>
              <w:t xml:space="preserve">3,394,244 </w:t>
            </w:r>
          </w:p>
        </w:tc>
      </w:tr>
      <w:tr w:rsidR="003E5BF5" w:rsidRPr="00AD4D68" w14:paraId="105610D3" w14:textId="77777777" w:rsidTr="006667CC">
        <w:trPr>
          <w:trHeight w:val="312"/>
        </w:trPr>
        <w:tc>
          <w:tcPr>
            <w:tcW w:w="2459" w:type="dxa"/>
            <w:noWrap/>
            <w:hideMark/>
          </w:tcPr>
          <w:p w14:paraId="2C3BB17E"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Capital funding to agencies within the portfolio</w:t>
            </w:r>
          </w:p>
        </w:tc>
        <w:tc>
          <w:tcPr>
            <w:tcW w:w="763" w:type="dxa"/>
            <w:noWrap/>
            <w:hideMark/>
          </w:tcPr>
          <w:p w14:paraId="0914EA0C" w14:textId="77777777" w:rsidR="003E5BF5" w:rsidRPr="00AD4D68" w:rsidRDefault="009B2DDD" w:rsidP="00DE1921">
            <w:pPr>
              <w:jc w:val="right"/>
              <w:rPr>
                <w:rFonts w:ascii="Arial" w:hAnsi="Arial" w:cs="Arial"/>
                <w:sz w:val="24"/>
                <w:szCs w:val="24"/>
                <w:lang w:eastAsia="en-AU"/>
              </w:rPr>
            </w:pPr>
            <w:hyperlink w:anchor="_Equity_disclosure" w:history="1">
              <w:r w:rsidR="003E5BF5" w:rsidRPr="00AD4D68">
                <w:rPr>
                  <w:rStyle w:val="Hyperlink"/>
                  <w:rFonts w:ascii="Arial" w:hAnsi="Arial" w:cs="Arial"/>
                  <w:sz w:val="24"/>
                  <w:szCs w:val="24"/>
                  <w:lang w:eastAsia="en-AU"/>
                </w:rPr>
                <w:t>9.4</w:t>
              </w:r>
            </w:hyperlink>
          </w:p>
        </w:tc>
        <w:tc>
          <w:tcPr>
            <w:tcW w:w="1496" w:type="dxa"/>
            <w:noWrap/>
            <w:hideMark/>
          </w:tcPr>
          <w:p w14:paraId="0263757A"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(533,962)</w:t>
            </w:r>
          </w:p>
        </w:tc>
        <w:tc>
          <w:tcPr>
            <w:tcW w:w="1496" w:type="dxa"/>
            <w:noWrap/>
            <w:hideMark/>
          </w:tcPr>
          <w:p w14:paraId="3C9E75C1"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26183BF1"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0AC05A54" w14:textId="77777777" w:rsidR="003E5BF5" w:rsidRPr="00AD4D68" w:rsidRDefault="003E5BF5" w:rsidP="00DE1921">
            <w:pPr>
              <w:jc w:val="right"/>
              <w:rPr>
                <w:rFonts w:ascii="Arial" w:hAnsi="Arial" w:cs="Arial"/>
                <w:b/>
                <w:sz w:val="24"/>
                <w:szCs w:val="24"/>
                <w:lang w:eastAsia="en-AU"/>
              </w:rPr>
            </w:pPr>
            <w:r w:rsidRPr="00AD4D68">
              <w:rPr>
                <w:rFonts w:ascii="Arial" w:hAnsi="Arial" w:cs="Arial"/>
                <w:sz w:val="24"/>
                <w:szCs w:val="24"/>
              </w:rPr>
              <w:t>(533,962)</w:t>
            </w:r>
          </w:p>
        </w:tc>
      </w:tr>
      <w:tr w:rsidR="003E5BF5" w:rsidRPr="00AD4D68" w14:paraId="69C703DD" w14:textId="77777777" w:rsidTr="006667CC">
        <w:trPr>
          <w:trHeight w:val="312"/>
        </w:trPr>
        <w:tc>
          <w:tcPr>
            <w:tcW w:w="2459" w:type="dxa"/>
            <w:noWrap/>
            <w:hideMark/>
          </w:tcPr>
          <w:p w14:paraId="50D02CFE"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Capital funding from the State</w:t>
            </w:r>
          </w:p>
        </w:tc>
        <w:tc>
          <w:tcPr>
            <w:tcW w:w="763" w:type="dxa"/>
            <w:noWrap/>
            <w:hideMark/>
          </w:tcPr>
          <w:p w14:paraId="5D5AEAE8" w14:textId="77777777" w:rsidR="003E5BF5" w:rsidRPr="00AD4D68" w:rsidRDefault="009B2DDD" w:rsidP="00DE1921">
            <w:pPr>
              <w:jc w:val="right"/>
              <w:rPr>
                <w:rFonts w:ascii="Arial" w:hAnsi="Arial" w:cs="Arial"/>
                <w:sz w:val="24"/>
                <w:szCs w:val="24"/>
                <w:lang w:eastAsia="en-AU"/>
              </w:rPr>
            </w:pPr>
            <w:hyperlink w:anchor="_Equity_disclosure" w:history="1">
              <w:r w:rsidR="003E5BF5" w:rsidRPr="00AD4D68">
                <w:rPr>
                  <w:rFonts w:ascii="Arial" w:hAnsi="Arial" w:cs="Arial"/>
                  <w:sz w:val="24"/>
                  <w:szCs w:val="24"/>
                </w:rPr>
                <w:t>9.4</w:t>
              </w:r>
            </w:hyperlink>
          </w:p>
        </w:tc>
        <w:tc>
          <w:tcPr>
            <w:tcW w:w="1496" w:type="dxa"/>
            <w:noWrap/>
            <w:hideMark/>
          </w:tcPr>
          <w:p w14:paraId="03F2AFEF"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lang w:eastAsia="en-AU"/>
              </w:rPr>
              <w:t xml:space="preserve">1,448,400 </w:t>
            </w:r>
          </w:p>
        </w:tc>
        <w:tc>
          <w:tcPr>
            <w:tcW w:w="1496" w:type="dxa"/>
            <w:noWrap/>
            <w:hideMark/>
          </w:tcPr>
          <w:p w14:paraId="10541BA6"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05B56F26"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1C75AEFE"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lang w:eastAsia="en-AU"/>
              </w:rPr>
              <w:t xml:space="preserve">1,448,400 </w:t>
            </w:r>
          </w:p>
        </w:tc>
      </w:tr>
      <w:tr w:rsidR="003E5BF5" w:rsidRPr="00AD4D68" w14:paraId="0025EE8F" w14:textId="77777777" w:rsidTr="006667CC">
        <w:trPr>
          <w:trHeight w:val="312"/>
        </w:trPr>
        <w:tc>
          <w:tcPr>
            <w:tcW w:w="2459" w:type="dxa"/>
            <w:noWrap/>
            <w:hideMark/>
          </w:tcPr>
          <w:p w14:paraId="12EC1AF7"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Net assets transferred (to)/from other government entities</w:t>
            </w:r>
          </w:p>
        </w:tc>
        <w:tc>
          <w:tcPr>
            <w:tcW w:w="763" w:type="dxa"/>
            <w:noWrap/>
            <w:hideMark/>
          </w:tcPr>
          <w:p w14:paraId="06D33BDE" w14:textId="77777777" w:rsidR="003E5BF5" w:rsidRPr="00AD4D68" w:rsidRDefault="009B2DDD" w:rsidP="00DE1921">
            <w:pPr>
              <w:jc w:val="right"/>
              <w:rPr>
                <w:rFonts w:ascii="Arial" w:hAnsi="Arial" w:cs="Arial"/>
                <w:sz w:val="24"/>
                <w:szCs w:val="24"/>
                <w:lang w:eastAsia="en-AU"/>
              </w:rPr>
            </w:pPr>
            <w:hyperlink w:anchor="_Equity_disclosure" w:history="1">
              <w:r w:rsidR="003E5BF5" w:rsidRPr="00AD4D68">
                <w:rPr>
                  <w:rStyle w:val="Hyperlink"/>
                  <w:rFonts w:ascii="Arial" w:hAnsi="Arial" w:cs="Arial"/>
                  <w:sz w:val="24"/>
                  <w:szCs w:val="24"/>
                  <w:lang w:eastAsia="en-AU"/>
                </w:rPr>
                <w:t>9.4</w:t>
              </w:r>
            </w:hyperlink>
          </w:p>
        </w:tc>
        <w:tc>
          <w:tcPr>
            <w:tcW w:w="1496" w:type="dxa"/>
            <w:noWrap/>
            <w:hideMark/>
          </w:tcPr>
          <w:p w14:paraId="70AC67B9"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(2,726,888)</w:t>
            </w:r>
          </w:p>
        </w:tc>
        <w:tc>
          <w:tcPr>
            <w:tcW w:w="1496" w:type="dxa"/>
            <w:noWrap/>
            <w:hideMark/>
          </w:tcPr>
          <w:p w14:paraId="21140744"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18677447"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53E48096" w14:textId="77777777" w:rsidR="003E5BF5" w:rsidRPr="00AD4D68" w:rsidRDefault="003E5BF5" w:rsidP="00DE1921">
            <w:pPr>
              <w:jc w:val="right"/>
              <w:rPr>
                <w:rFonts w:ascii="Arial" w:hAnsi="Arial" w:cs="Arial"/>
                <w:b/>
                <w:sz w:val="24"/>
                <w:szCs w:val="24"/>
                <w:lang w:eastAsia="en-AU"/>
              </w:rPr>
            </w:pPr>
            <w:r w:rsidRPr="00AD4D68">
              <w:rPr>
                <w:rFonts w:ascii="Arial" w:hAnsi="Arial" w:cs="Arial"/>
                <w:sz w:val="24"/>
                <w:szCs w:val="24"/>
              </w:rPr>
              <w:t>(2,726,888)</w:t>
            </w:r>
          </w:p>
        </w:tc>
      </w:tr>
      <w:tr w:rsidR="003E5BF5" w:rsidRPr="00AD4D68" w14:paraId="6920C54F" w14:textId="77777777" w:rsidTr="006667CC">
        <w:trPr>
          <w:trHeight w:val="312"/>
        </w:trPr>
        <w:tc>
          <w:tcPr>
            <w:tcW w:w="2459" w:type="dxa"/>
            <w:noWrap/>
            <w:hideMark/>
          </w:tcPr>
          <w:p w14:paraId="4A3DA549"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Net transfers via administrative restructure</w:t>
            </w:r>
          </w:p>
        </w:tc>
        <w:tc>
          <w:tcPr>
            <w:tcW w:w="763" w:type="dxa"/>
            <w:noWrap/>
            <w:hideMark/>
          </w:tcPr>
          <w:p w14:paraId="39FACA59" w14:textId="77777777" w:rsidR="003E5BF5" w:rsidRPr="00AD4D68" w:rsidRDefault="009B2DDD" w:rsidP="00DE1921">
            <w:pPr>
              <w:jc w:val="right"/>
              <w:rPr>
                <w:rFonts w:ascii="Arial" w:hAnsi="Arial" w:cs="Arial"/>
                <w:sz w:val="24"/>
                <w:szCs w:val="24"/>
                <w:lang w:eastAsia="en-AU"/>
              </w:rPr>
            </w:pPr>
            <w:hyperlink w:anchor="_Equity_disclosure" w:history="1">
              <w:r w:rsidR="003E5BF5" w:rsidRPr="00AD4D68">
                <w:rPr>
                  <w:rStyle w:val="Hyperlink"/>
                  <w:rFonts w:ascii="Arial" w:hAnsi="Arial" w:cs="Arial"/>
                  <w:sz w:val="24"/>
                  <w:szCs w:val="24"/>
                  <w:lang w:eastAsia="en-AU"/>
                </w:rPr>
                <w:t>9.4</w:t>
              </w:r>
            </w:hyperlink>
          </w:p>
        </w:tc>
        <w:tc>
          <w:tcPr>
            <w:tcW w:w="1496" w:type="dxa"/>
            <w:noWrap/>
            <w:hideMark/>
          </w:tcPr>
          <w:p w14:paraId="65317E9D"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(154,725)</w:t>
            </w:r>
          </w:p>
        </w:tc>
        <w:tc>
          <w:tcPr>
            <w:tcW w:w="1496" w:type="dxa"/>
            <w:noWrap/>
            <w:hideMark/>
          </w:tcPr>
          <w:p w14:paraId="36D33569"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5FB4D7F5"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37CDB18A" w14:textId="77777777" w:rsidR="003E5BF5" w:rsidRPr="00AD4D68" w:rsidRDefault="003E5BF5" w:rsidP="00DE1921">
            <w:pPr>
              <w:jc w:val="right"/>
              <w:rPr>
                <w:rFonts w:ascii="Arial" w:hAnsi="Arial" w:cs="Arial"/>
                <w:b/>
                <w:sz w:val="24"/>
                <w:szCs w:val="24"/>
                <w:lang w:eastAsia="en-AU"/>
              </w:rPr>
            </w:pPr>
            <w:r w:rsidRPr="00AD4D68">
              <w:rPr>
                <w:rFonts w:ascii="Arial" w:hAnsi="Arial" w:cs="Arial"/>
                <w:sz w:val="24"/>
                <w:szCs w:val="24"/>
              </w:rPr>
              <w:t>(154,725)</w:t>
            </w:r>
          </w:p>
        </w:tc>
      </w:tr>
      <w:tr w:rsidR="003E5BF5" w:rsidRPr="00AD4D68" w14:paraId="310E4FE7" w14:textId="77777777" w:rsidTr="006667CC">
        <w:trPr>
          <w:trHeight w:val="312"/>
        </w:trPr>
        <w:tc>
          <w:tcPr>
            <w:tcW w:w="2459" w:type="dxa"/>
            <w:noWrap/>
            <w:hideMark/>
          </w:tcPr>
          <w:p w14:paraId="293E6129" w14:textId="77777777" w:rsidR="003E5BF5" w:rsidRPr="00AD4D68" w:rsidRDefault="003E5BF5" w:rsidP="00DE1921">
            <w:pPr>
              <w:pStyle w:val="TableTextLeftBold"/>
              <w:rPr>
                <w:rFonts w:ascii="Arial" w:hAnsi="Arial" w:cs="Arial"/>
                <w:sz w:val="24"/>
                <w:szCs w:val="24"/>
              </w:rPr>
            </w:pPr>
            <w:r w:rsidRPr="00AD4D68">
              <w:rPr>
                <w:rFonts w:ascii="Arial" w:hAnsi="Arial" w:cs="Arial"/>
                <w:sz w:val="24"/>
                <w:szCs w:val="24"/>
              </w:rPr>
              <w:t>Balance at 30 June 2019</w:t>
            </w:r>
          </w:p>
        </w:tc>
        <w:tc>
          <w:tcPr>
            <w:tcW w:w="763" w:type="dxa"/>
            <w:noWrap/>
            <w:hideMark/>
          </w:tcPr>
          <w:p w14:paraId="5922263A" w14:textId="77777777" w:rsidR="003E5BF5" w:rsidRPr="00AD4D68" w:rsidRDefault="003E5BF5" w:rsidP="00DE1921">
            <w:pPr>
              <w:jc w:val="right"/>
              <w:rPr>
                <w:rFonts w:ascii="Arial" w:hAnsi="Arial" w:cs="Arial"/>
                <w:sz w:val="24"/>
                <w:szCs w:val="24"/>
                <w:lang w:eastAsia="en-AU"/>
              </w:rPr>
            </w:pPr>
          </w:p>
        </w:tc>
        <w:tc>
          <w:tcPr>
            <w:tcW w:w="1496" w:type="dxa"/>
            <w:noWrap/>
            <w:hideMark/>
          </w:tcPr>
          <w:p w14:paraId="0E217217"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4,192,898 </w:t>
            </w:r>
          </w:p>
        </w:tc>
        <w:tc>
          <w:tcPr>
            <w:tcW w:w="1496" w:type="dxa"/>
            <w:noWrap/>
            <w:hideMark/>
          </w:tcPr>
          <w:p w14:paraId="342288DD"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(973,849)</w:t>
            </w:r>
          </w:p>
        </w:tc>
        <w:tc>
          <w:tcPr>
            <w:tcW w:w="1496" w:type="dxa"/>
            <w:noWrap/>
            <w:hideMark/>
          </w:tcPr>
          <w:p w14:paraId="2BE95C14"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401,733 </w:t>
            </w:r>
          </w:p>
        </w:tc>
        <w:tc>
          <w:tcPr>
            <w:tcW w:w="1496" w:type="dxa"/>
            <w:noWrap/>
            <w:hideMark/>
          </w:tcPr>
          <w:p w14:paraId="327E4448"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3,620,782 </w:t>
            </w:r>
          </w:p>
        </w:tc>
      </w:tr>
      <w:tr w:rsidR="003E5BF5" w:rsidRPr="00AD4D68" w14:paraId="792822A0" w14:textId="77777777" w:rsidTr="006667CC">
        <w:trPr>
          <w:trHeight w:val="312"/>
        </w:trPr>
        <w:tc>
          <w:tcPr>
            <w:tcW w:w="2459" w:type="dxa"/>
            <w:noWrap/>
            <w:hideMark/>
          </w:tcPr>
          <w:p w14:paraId="0D1C3147"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 xml:space="preserve">Change in accounting policy (due to AASB 1059) </w:t>
            </w:r>
            <w:r w:rsidRPr="00AD4D68">
              <w:rPr>
                <w:rFonts w:ascii="Arial" w:hAnsi="Arial" w:cs="Arial"/>
                <w:sz w:val="24"/>
                <w:szCs w:val="24"/>
                <w:vertAlign w:val="superscript"/>
                <w:lang w:eastAsia="en-AU"/>
              </w:rPr>
              <w:t>(iii)</w:t>
            </w:r>
          </w:p>
        </w:tc>
        <w:tc>
          <w:tcPr>
            <w:tcW w:w="763" w:type="dxa"/>
            <w:noWrap/>
            <w:hideMark/>
          </w:tcPr>
          <w:p w14:paraId="0D9B3AE7" w14:textId="77777777" w:rsidR="003E5BF5" w:rsidRPr="00AD4D68" w:rsidRDefault="003E5BF5" w:rsidP="00DE1921">
            <w:pPr>
              <w:jc w:val="right"/>
              <w:rPr>
                <w:rFonts w:ascii="Arial" w:hAnsi="Arial" w:cs="Arial"/>
                <w:sz w:val="24"/>
                <w:szCs w:val="24"/>
                <w:lang w:eastAsia="en-AU"/>
              </w:rPr>
            </w:pPr>
          </w:p>
        </w:tc>
        <w:tc>
          <w:tcPr>
            <w:tcW w:w="1496" w:type="dxa"/>
            <w:noWrap/>
            <w:hideMark/>
          </w:tcPr>
          <w:p w14:paraId="172F55AF" w14:textId="77777777" w:rsidR="003E5BF5" w:rsidRPr="00AD4D68" w:rsidRDefault="003E5BF5" w:rsidP="00DE1921">
            <w:pPr>
              <w:jc w:val="right"/>
              <w:rPr>
                <w:rFonts w:ascii="Arial" w:hAnsi="Arial" w:cs="Arial"/>
                <w:b/>
                <w:sz w:val="24"/>
                <w:szCs w:val="24"/>
                <w:lang w:eastAsia="en-AU"/>
              </w:rPr>
            </w:pPr>
          </w:p>
        </w:tc>
        <w:tc>
          <w:tcPr>
            <w:tcW w:w="1496" w:type="dxa"/>
            <w:noWrap/>
            <w:hideMark/>
          </w:tcPr>
          <w:p w14:paraId="0DF6E309"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(127,277)</w:t>
            </w:r>
          </w:p>
        </w:tc>
        <w:tc>
          <w:tcPr>
            <w:tcW w:w="1496" w:type="dxa"/>
            <w:noWrap/>
            <w:hideMark/>
          </w:tcPr>
          <w:p w14:paraId="5370762F"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117,682 </w:t>
            </w:r>
          </w:p>
        </w:tc>
        <w:tc>
          <w:tcPr>
            <w:tcW w:w="1496" w:type="dxa"/>
            <w:noWrap/>
            <w:hideMark/>
          </w:tcPr>
          <w:p w14:paraId="1C72BF78" w14:textId="77777777" w:rsidR="003E5BF5" w:rsidRPr="00AD4D68" w:rsidRDefault="003E5BF5" w:rsidP="00DE1921">
            <w:pPr>
              <w:jc w:val="right"/>
              <w:rPr>
                <w:rFonts w:ascii="Arial" w:hAnsi="Arial" w:cs="Arial"/>
                <w:b/>
                <w:sz w:val="24"/>
                <w:szCs w:val="24"/>
                <w:lang w:eastAsia="en-AU"/>
              </w:rPr>
            </w:pPr>
            <w:r w:rsidRPr="00AD4D68">
              <w:rPr>
                <w:rFonts w:ascii="Arial" w:hAnsi="Arial" w:cs="Arial"/>
                <w:sz w:val="24"/>
                <w:szCs w:val="24"/>
              </w:rPr>
              <w:t>(9,595)</w:t>
            </w:r>
          </w:p>
        </w:tc>
      </w:tr>
      <w:tr w:rsidR="003E5BF5" w:rsidRPr="00AD4D68" w14:paraId="27BBC1CC" w14:textId="77777777" w:rsidTr="006667CC">
        <w:trPr>
          <w:trHeight w:val="312"/>
        </w:trPr>
        <w:tc>
          <w:tcPr>
            <w:tcW w:w="2459" w:type="dxa"/>
            <w:noWrap/>
            <w:hideMark/>
          </w:tcPr>
          <w:p w14:paraId="13C551A2" w14:textId="77777777" w:rsidR="003E5BF5" w:rsidRPr="00AD4D68" w:rsidRDefault="003E5BF5" w:rsidP="00DE1921">
            <w:pPr>
              <w:pStyle w:val="TableTextLeftBold"/>
              <w:rPr>
                <w:rFonts w:ascii="Arial" w:hAnsi="Arial" w:cs="Arial"/>
                <w:sz w:val="24"/>
                <w:szCs w:val="24"/>
              </w:rPr>
            </w:pPr>
            <w:r w:rsidRPr="00AD4D68">
              <w:rPr>
                <w:rFonts w:ascii="Arial" w:hAnsi="Arial" w:cs="Arial"/>
                <w:sz w:val="24"/>
                <w:szCs w:val="24"/>
              </w:rPr>
              <w:t>Restated Balance at 30 June 2019 (after new accounting standards)</w:t>
            </w:r>
          </w:p>
        </w:tc>
        <w:tc>
          <w:tcPr>
            <w:tcW w:w="763" w:type="dxa"/>
            <w:noWrap/>
            <w:hideMark/>
          </w:tcPr>
          <w:p w14:paraId="13D970EC" w14:textId="77777777" w:rsidR="003E5BF5" w:rsidRPr="00AD4D68" w:rsidRDefault="003E5BF5" w:rsidP="00DE1921">
            <w:pPr>
              <w:jc w:val="right"/>
              <w:rPr>
                <w:rFonts w:ascii="Arial" w:hAnsi="Arial" w:cs="Arial"/>
                <w:sz w:val="24"/>
                <w:szCs w:val="24"/>
                <w:lang w:eastAsia="en-AU"/>
              </w:rPr>
            </w:pPr>
          </w:p>
        </w:tc>
        <w:tc>
          <w:tcPr>
            <w:tcW w:w="1496" w:type="dxa"/>
            <w:noWrap/>
            <w:hideMark/>
          </w:tcPr>
          <w:p w14:paraId="17CDC2A3"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4,192,898 </w:t>
            </w:r>
          </w:p>
        </w:tc>
        <w:tc>
          <w:tcPr>
            <w:tcW w:w="1496" w:type="dxa"/>
            <w:noWrap/>
            <w:hideMark/>
          </w:tcPr>
          <w:p w14:paraId="4BB0A3D5"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(1,101,126)</w:t>
            </w:r>
          </w:p>
        </w:tc>
        <w:tc>
          <w:tcPr>
            <w:tcW w:w="1496" w:type="dxa"/>
            <w:noWrap/>
            <w:hideMark/>
          </w:tcPr>
          <w:p w14:paraId="5289FA32"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519,415 </w:t>
            </w:r>
          </w:p>
        </w:tc>
        <w:tc>
          <w:tcPr>
            <w:tcW w:w="1496" w:type="dxa"/>
            <w:noWrap/>
            <w:hideMark/>
          </w:tcPr>
          <w:p w14:paraId="12502583"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3,611,187 </w:t>
            </w:r>
          </w:p>
        </w:tc>
      </w:tr>
      <w:tr w:rsidR="003E5BF5" w:rsidRPr="00AD4D68" w14:paraId="19792B30" w14:textId="77777777" w:rsidTr="006667CC">
        <w:trPr>
          <w:trHeight w:val="312"/>
        </w:trPr>
        <w:tc>
          <w:tcPr>
            <w:tcW w:w="2459" w:type="dxa"/>
            <w:noWrap/>
            <w:hideMark/>
          </w:tcPr>
          <w:p w14:paraId="69067338" w14:textId="77777777" w:rsidR="003E5BF5" w:rsidRPr="00AD4D68" w:rsidRDefault="003E5BF5" w:rsidP="00DE1921">
            <w:pPr>
              <w:pStyle w:val="TableTextLeftBold"/>
              <w:rPr>
                <w:rFonts w:ascii="Arial" w:hAnsi="Arial" w:cs="Arial"/>
                <w:sz w:val="24"/>
                <w:szCs w:val="24"/>
              </w:rPr>
            </w:pPr>
            <w:r w:rsidRPr="00AD4D68">
              <w:rPr>
                <w:rFonts w:ascii="Arial" w:hAnsi="Arial" w:cs="Arial"/>
                <w:sz w:val="24"/>
                <w:szCs w:val="24"/>
              </w:rPr>
              <w:t>Balance at 1 July 2019</w:t>
            </w:r>
          </w:p>
        </w:tc>
        <w:tc>
          <w:tcPr>
            <w:tcW w:w="763" w:type="dxa"/>
            <w:noWrap/>
            <w:hideMark/>
          </w:tcPr>
          <w:p w14:paraId="377F0974" w14:textId="77777777" w:rsidR="003E5BF5" w:rsidRPr="00AD4D68" w:rsidRDefault="003E5BF5" w:rsidP="00DE1921">
            <w:pPr>
              <w:jc w:val="right"/>
              <w:rPr>
                <w:rFonts w:ascii="Arial" w:hAnsi="Arial" w:cs="Arial"/>
                <w:sz w:val="24"/>
                <w:szCs w:val="24"/>
                <w:lang w:eastAsia="en-AU"/>
              </w:rPr>
            </w:pPr>
          </w:p>
        </w:tc>
        <w:tc>
          <w:tcPr>
            <w:tcW w:w="1496" w:type="dxa"/>
            <w:noWrap/>
            <w:hideMark/>
          </w:tcPr>
          <w:p w14:paraId="1F9A8660"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4,192,898 </w:t>
            </w:r>
          </w:p>
        </w:tc>
        <w:tc>
          <w:tcPr>
            <w:tcW w:w="1496" w:type="dxa"/>
            <w:noWrap/>
            <w:hideMark/>
          </w:tcPr>
          <w:p w14:paraId="0621E58C"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(1,101,126)</w:t>
            </w:r>
          </w:p>
        </w:tc>
        <w:tc>
          <w:tcPr>
            <w:tcW w:w="1496" w:type="dxa"/>
            <w:noWrap/>
            <w:hideMark/>
          </w:tcPr>
          <w:p w14:paraId="5D6FE913"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519,415 </w:t>
            </w:r>
          </w:p>
        </w:tc>
        <w:tc>
          <w:tcPr>
            <w:tcW w:w="1496" w:type="dxa"/>
            <w:noWrap/>
            <w:hideMark/>
          </w:tcPr>
          <w:p w14:paraId="294D671A"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3,611,187 </w:t>
            </w:r>
          </w:p>
        </w:tc>
      </w:tr>
      <w:tr w:rsidR="003E5BF5" w:rsidRPr="00AD4D68" w14:paraId="1D6FB15D" w14:textId="77777777" w:rsidTr="006667CC">
        <w:trPr>
          <w:trHeight w:val="312"/>
        </w:trPr>
        <w:tc>
          <w:tcPr>
            <w:tcW w:w="2459" w:type="dxa"/>
            <w:noWrap/>
            <w:hideMark/>
          </w:tcPr>
          <w:p w14:paraId="587A82A3"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Change in accounting policy (due to AASB 15)</w:t>
            </w:r>
            <w:r w:rsidRPr="00AD4D68">
              <w:rPr>
                <w:rFonts w:ascii="Arial" w:hAnsi="Arial" w:cs="Arial"/>
                <w:sz w:val="24"/>
                <w:szCs w:val="24"/>
                <w:vertAlign w:val="superscript"/>
                <w:lang w:eastAsia="en-AU"/>
              </w:rPr>
              <w:t xml:space="preserve"> (iv)</w:t>
            </w:r>
          </w:p>
        </w:tc>
        <w:tc>
          <w:tcPr>
            <w:tcW w:w="763" w:type="dxa"/>
            <w:noWrap/>
            <w:hideMark/>
          </w:tcPr>
          <w:p w14:paraId="6EF29BE0" w14:textId="77777777" w:rsidR="003E5BF5" w:rsidRPr="00AD4D68" w:rsidRDefault="003E5BF5" w:rsidP="00DE1921">
            <w:pPr>
              <w:jc w:val="right"/>
              <w:rPr>
                <w:rFonts w:ascii="Arial" w:hAnsi="Arial" w:cs="Arial"/>
                <w:sz w:val="24"/>
                <w:szCs w:val="24"/>
                <w:lang w:eastAsia="en-AU"/>
              </w:rPr>
            </w:pPr>
          </w:p>
        </w:tc>
        <w:tc>
          <w:tcPr>
            <w:tcW w:w="1496" w:type="dxa"/>
            <w:noWrap/>
            <w:hideMark/>
          </w:tcPr>
          <w:p w14:paraId="6C52D975" w14:textId="77777777" w:rsidR="003E5BF5" w:rsidRPr="00AD4D68" w:rsidRDefault="003E5BF5" w:rsidP="00DE1921">
            <w:pPr>
              <w:jc w:val="right"/>
              <w:rPr>
                <w:rFonts w:ascii="Arial" w:hAnsi="Arial" w:cs="Arial"/>
                <w:sz w:val="24"/>
                <w:szCs w:val="24"/>
                <w:lang w:eastAsia="en-AU"/>
              </w:rPr>
            </w:pPr>
          </w:p>
        </w:tc>
        <w:tc>
          <w:tcPr>
            <w:tcW w:w="1496" w:type="dxa"/>
            <w:noWrap/>
            <w:hideMark/>
          </w:tcPr>
          <w:p w14:paraId="416D4BB9"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(41,112)</w:t>
            </w:r>
          </w:p>
        </w:tc>
        <w:tc>
          <w:tcPr>
            <w:tcW w:w="1496" w:type="dxa"/>
            <w:noWrap/>
            <w:hideMark/>
          </w:tcPr>
          <w:p w14:paraId="18FED98B" w14:textId="77777777" w:rsidR="003E5BF5" w:rsidRPr="00AD4D68" w:rsidRDefault="003E5BF5" w:rsidP="00DE1921">
            <w:pPr>
              <w:jc w:val="right"/>
              <w:rPr>
                <w:rFonts w:ascii="Arial" w:hAnsi="Arial" w:cs="Arial"/>
                <w:sz w:val="24"/>
                <w:szCs w:val="24"/>
                <w:lang w:eastAsia="en-AU"/>
              </w:rPr>
            </w:pPr>
          </w:p>
        </w:tc>
        <w:tc>
          <w:tcPr>
            <w:tcW w:w="1496" w:type="dxa"/>
            <w:noWrap/>
            <w:hideMark/>
          </w:tcPr>
          <w:p w14:paraId="03EC5B1A" w14:textId="77777777" w:rsidR="003E5BF5" w:rsidRPr="00AD4D68" w:rsidRDefault="003E5BF5" w:rsidP="00DE1921">
            <w:pPr>
              <w:jc w:val="right"/>
              <w:rPr>
                <w:rFonts w:ascii="Arial" w:hAnsi="Arial" w:cs="Arial"/>
                <w:b/>
                <w:sz w:val="24"/>
                <w:szCs w:val="24"/>
                <w:lang w:eastAsia="en-AU"/>
              </w:rPr>
            </w:pPr>
            <w:r w:rsidRPr="00AD4D68">
              <w:rPr>
                <w:rFonts w:ascii="Arial" w:hAnsi="Arial" w:cs="Arial"/>
                <w:sz w:val="24"/>
                <w:szCs w:val="24"/>
              </w:rPr>
              <w:t>(41,112)</w:t>
            </w:r>
          </w:p>
        </w:tc>
      </w:tr>
      <w:tr w:rsidR="003E5BF5" w:rsidRPr="00AD4D68" w14:paraId="6CA1E413" w14:textId="77777777" w:rsidTr="006667CC">
        <w:trPr>
          <w:trHeight w:val="312"/>
        </w:trPr>
        <w:tc>
          <w:tcPr>
            <w:tcW w:w="2459" w:type="dxa"/>
            <w:noWrap/>
            <w:hideMark/>
          </w:tcPr>
          <w:p w14:paraId="60F40A1C" w14:textId="77777777" w:rsidR="003E5BF5" w:rsidRPr="00AD4D68" w:rsidRDefault="003E5BF5" w:rsidP="00DE1921">
            <w:pPr>
              <w:pStyle w:val="TableTextLeftBold"/>
              <w:rPr>
                <w:rFonts w:ascii="Arial" w:hAnsi="Arial" w:cs="Arial"/>
                <w:sz w:val="24"/>
                <w:szCs w:val="24"/>
              </w:rPr>
            </w:pPr>
            <w:r w:rsidRPr="00AD4D68">
              <w:rPr>
                <w:rFonts w:ascii="Arial" w:hAnsi="Arial" w:cs="Arial"/>
                <w:sz w:val="24"/>
                <w:szCs w:val="24"/>
              </w:rPr>
              <w:t>Restated balance at 1 July 2019</w:t>
            </w:r>
          </w:p>
        </w:tc>
        <w:tc>
          <w:tcPr>
            <w:tcW w:w="763" w:type="dxa"/>
            <w:noWrap/>
            <w:hideMark/>
          </w:tcPr>
          <w:p w14:paraId="0D34BF66" w14:textId="77777777" w:rsidR="003E5BF5" w:rsidRPr="00AD4D68" w:rsidRDefault="003E5BF5" w:rsidP="00DE1921">
            <w:pPr>
              <w:jc w:val="right"/>
              <w:rPr>
                <w:rFonts w:ascii="Arial" w:hAnsi="Arial" w:cs="Arial"/>
                <w:sz w:val="24"/>
                <w:szCs w:val="24"/>
                <w:lang w:eastAsia="en-AU"/>
              </w:rPr>
            </w:pPr>
          </w:p>
        </w:tc>
        <w:tc>
          <w:tcPr>
            <w:tcW w:w="1496" w:type="dxa"/>
            <w:noWrap/>
            <w:hideMark/>
          </w:tcPr>
          <w:p w14:paraId="3B9F5CC2"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4,192,898 </w:t>
            </w:r>
          </w:p>
        </w:tc>
        <w:tc>
          <w:tcPr>
            <w:tcW w:w="1496" w:type="dxa"/>
            <w:noWrap/>
            <w:hideMark/>
          </w:tcPr>
          <w:p w14:paraId="6BB65ADC"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(1,142,238)</w:t>
            </w:r>
          </w:p>
        </w:tc>
        <w:tc>
          <w:tcPr>
            <w:tcW w:w="1496" w:type="dxa"/>
            <w:noWrap/>
            <w:hideMark/>
          </w:tcPr>
          <w:p w14:paraId="4DC8A8B3"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519,415 </w:t>
            </w:r>
          </w:p>
        </w:tc>
        <w:tc>
          <w:tcPr>
            <w:tcW w:w="1496" w:type="dxa"/>
            <w:noWrap/>
            <w:hideMark/>
          </w:tcPr>
          <w:p w14:paraId="25FCC1C2"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3,570,075 </w:t>
            </w:r>
          </w:p>
        </w:tc>
      </w:tr>
      <w:tr w:rsidR="003E5BF5" w:rsidRPr="00AD4D68" w14:paraId="74983BEA" w14:textId="77777777" w:rsidTr="006667CC">
        <w:trPr>
          <w:trHeight w:val="312"/>
        </w:trPr>
        <w:tc>
          <w:tcPr>
            <w:tcW w:w="2459" w:type="dxa"/>
            <w:noWrap/>
            <w:hideMark/>
          </w:tcPr>
          <w:p w14:paraId="19B79A60"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lastRenderedPageBreak/>
              <w:t>Net result for the year</w:t>
            </w:r>
          </w:p>
        </w:tc>
        <w:tc>
          <w:tcPr>
            <w:tcW w:w="763" w:type="dxa"/>
            <w:noWrap/>
            <w:hideMark/>
          </w:tcPr>
          <w:p w14:paraId="33AA16E3" w14:textId="77777777" w:rsidR="003E5BF5" w:rsidRPr="00AD4D68" w:rsidRDefault="003E5BF5" w:rsidP="00DE1921">
            <w:pPr>
              <w:jc w:val="right"/>
              <w:rPr>
                <w:rFonts w:ascii="Arial" w:hAnsi="Arial" w:cs="Arial"/>
                <w:sz w:val="24"/>
                <w:szCs w:val="24"/>
                <w:lang w:eastAsia="en-AU"/>
              </w:rPr>
            </w:pPr>
          </w:p>
        </w:tc>
        <w:tc>
          <w:tcPr>
            <w:tcW w:w="1496" w:type="dxa"/>
            <w:noWrap/>
            <w:hideMark/>
          </w:tcPr>
          <w:p w14:paraId="1F3CDD48"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7D01CC53"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(1,013,952)</w:t>
            </w:r>
          </w:p>
        </w:tc>
        <w:tc>
          <w:tcPr>
            <w:tcW w:w="1496" w:type="dxa"/>
            <w:noWrap/>
            <w:hideMark/>
          </w:tcPr>
          <w:p w14:paraId="49087CB2"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65A48BE8" w14:textId="77777777" w:rsidR="003E5BF5" w:rsidRPr="00AD4D68" w:rsidRDefault="003E5BF5" w:rsidP="00DE1921">
            <w:pPr>
              <w:jc w:val="right"/>
              <w:rPr>
                <w:rFonts w:ascii="Arial" w:hAnsi="Arial" w:cs="Arial"/>
                <w:b/>
                <w:sz w:val="24"/>
                <w:szCs w:val="24"/>
                <w:lang w:eastAsia="en-AU"/>
              </w:rPr>
            </w:pPr>
            <w:r w:rsidRPr="00AD4D68">
              <w:rPr>
                <w:rFonts w:ascii="Arial" w:hAnsi="Arial" w:cs="Arial"/>
                <w:sz w:val="24"/>
                <w:szCs w:val="24"/>
              </w:rPr>
              <w:t>(1,013,952)</w:t>
            </w:r>
          </w:p>
        </w:tc>
      </w:tr>
      <w:tr w:rsidR="003E5BF5" w:rsidRPr="00AD4D68" w14:paraId="2C780454" w14:textId="77777777" w:rsidTr="006667CC">
        <w:trPr>
          <w:trHeight w:val="312"/>
        </w:trPr>
        <w:tc>
          <w:tcPr>
            <w:tcW w:w="2459" w:type="dxa"/>
            <w:noWrap/>
          </w:tcPr>
          <w:p w14:paraId="0F3F6AC9"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 xml:space="preserve">Sec53(1)(b) entity first time consolidation </w:t>
            </w:r>
            <w:r w:rsidRPr="00AD4D68">
              <w:rPr>
                <w:rFonts w:ascii="Arial" w:hAnsi="Arial" w:cs="Arial"/>
                <w:sz w:val="24"/>
                <w:szCs w:val="24"/>
                <w:vertAlign w:val="superscript"/>
                <w:lang w:eastAsia="en-AU"/>
              </w:rPr>
              <w:t>(v)</w:t>
            </w:r>
          </w:p>
        </w:tc>
        <w:tc>
          <w:tcPr>
            <w:tcW w:w="763" w:type="dxa"/>
            <w:noWrap/>
          </w:tcPr>
          <w:p w14:paraId="0EF04E5B" w14:textId="77777777" w:rsidR="003E5BF5" w:rsidRPr="00AD4D68" w:rsidRDefault="003E5BF5" w:rsidP="00DE1921">
            <w:pPr>
              <w:jc w:val="right"/>
              <w:rPr>
                <w:rFonts w:ascii="Arial" w:hAnsi="Arial" w:cs="Arial"/>
                <w:sz w:val="24"/>
                <w:szCs w:val="24"/>
                <w:lang w:eastAsia="en-AU"/>
              </w:rPr>
            </w:pPr>
          </w:p>
        </w:tc>
        <w:tc>
          <w:tcPr>
            <w:tcW w:w="1496" w:type="dxa"/>
            <w:noWrap/>
          </w:tcPr>
          <w:p w14:paraId="33FAA86A"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tcPr>
          <w:p w14:paraId="321BBC8E"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(22,934)</w:t>
            </w:r>
          </w:p>
        </w:tc>
        <w:tc>
          <w:tcPr>
            <w:tcW w:w="1496" w:type="dxa"/>
            <w:noWrap/>
          </w:tcPr>
          <w:p w14:paraId="6D1D6974"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tcPr>
          <w:p w14:paraId="1C636720" w14:textId="77777777" w:rsidR="003E5BF5" w:rsidRPr="00AD4D68" w:rsidRDefault="003E5BF5" w:rsidP="00DE1921">
            <w:pPr>
              <w:jc w:val="right"/>
              <w:rPr>
                <w:rFonts w:ascii="Arial" w:hAnsi="Arial" w:cs="Arial"/>
                <w:b/>
                <w:sz w:val="24"/>
                <w:szCs w:val="24"/>
              </w:rPr>
            </w:pPr>
            <w:r w:rsidRPr="00AD4D68">
              <w:rPr>
                <w:rFonts w:ascii="Arial" w:hAnsi="Arial" w:cs="Arial"/>
                <w:sz w:val="24"/>
                <w:szCs w:val="24"/>
              </w:rPr>
              <w:t>(22,934)</w:t>
            </w:r>
          </w:p>
        </w:tc>
      </w:tr>
      <w:tr w:rsidR="003E5BF5" w:rsidRPr="00AD4D68" w14:paraId="5772D2A0" w14:textId="77777777" w:rsidTr="006667CC">
        <w:trPr>
          <w:trHeight w:val="312"/>
        </w:trPr>
        <w:tc>
          <w:tcPr>
            <w:tcW w:w="2459" w:type="dxa"/>
            <w:noWrap/>
            <w:hideMark/>
          </w:tcPr>
          <w:p w14:paraId="134ACBDB" w14:textId="77777777" w:rsidR="003E5BF5" w:rsidRPr="00E95990" w:rsidRDefault="003E5BF5" w:rsidP="00DE1921">
            <w:pPr>
              <w:rPr>
                <w:rFonts w:ascii="Arial" w:hAnsi="Arial" w:cs="Arial"/>
                <w:lang w:eastAsia="en-AU"/>
              </w:rPr>
            </w:pPr>
            <w:r w:rsidRPr="00E95990">
              <w:rPr>
                <w:rFonts w:ascii="Arial" w:hAnsi="Arial" w:cs="Arial"/>
                <w:lang w:eastAsia="en-AU"/>
              </w:rPr>
              <w:t>Revaluation increment/(decrement)</w:t>
            </w:r>
          </w:p>
        </w:tc>
        <w:tc>
          <w:tcPr>
            <w:tcW w:w="763" w:type="dxa"/>
            <w:noWrap/>
            <w:hideMark/>
          </w:tcPr>
          <w:p w14:paraId="377B5305" w14:textId="77777777" w:rsidR="003E5BF5" w:rsidRPr="00AD4D68" w:rsidRDefault="003E5BF5" w:rsidP="00DE1921">
            <w:pPr>
              <w:jc w:val="right"/>
              <w:rPr>
                <w:rFonts w:ascii="Arial" w:hAnsi="Arial" w:cs="Arial"/>
                <w:sz w:val="24"/>
                <w:szCs w:val="24"/>
                <w:lang w:eastAsia="en-AU"/>
              </w:rPr>
            </w:pPr>
          </w:p>
        </w:tc>
        <w:tc>
          <w:tcPr>
            <w:tcW w:w="1496" w:type="dxa"/>
            <w:noWrap/>
            <w:hideMark/>
          </w:tcPr>
          <w:p w14:paraId="112CC514"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7D915712"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4BC64054" w14:textId="77777777" w:rsidR="003E5BF5" w:rsidRPr="00AD4D68" w:rsidRDefault="003E5BF5" w:rsidP="00DE1921">
            <w:pPr>
              <w:jc w:val="right"/>
              <w:rPr>
                <w:rFonts w:ascii="Arial" w:hAnsi="Arial" w:cs="Arial"/>
                <w:sz w:val="24"/>
                <w:szCs w:val="24"/>
                <w:highlight w:val="yellow"/>
                <w:lang w:eastAsia="en-AU"/>
              </w:rPr>
            </w:pPr>
            <w:r w:rsidRPr="00AD4D68">
              <w:rPr>
                <w:rFonts w:ascii="Arial" w:hAnsi="Arial" w:cs="Arial"/>
                <w:sz w:val="24"/>
                <w:szCs w:val="24"/>
              </w:rPr>
              <w:t xml:space="preserve">12,084,681 </w:t>
            </w:r>
          </w:p>
        </w:tc>
        <w:tc>
          <w:tcPr>
            <w:tcW w:w="1496" w:type="dxa"/>
            <w:noWrap/>
            <w:hideMark/>
          </w:tcPr>
          <w:p w14:paraId="0F9EBAD9" w14:textId="77777777" w:rsidR="003E5BF5" w:rsidRPr="00AD4D68" w:rsidRDefault="003E5BF5" w:rsidP="00DE1921">
            <w:pPr>
              <w:jc w:val="right"/>
              <w:rPr>
                <w:rFonts w:ascii="Arial" w:hAnsi="Arial" w:cs="Arial"/>
                <w:b/>
                <w:sz w:val="24"/>
                <w:szCs w:val="24"/>
                <w:lang w:eastAsia="en-AU"/>
              </w:rPr>
            </w:pPr>
            <w:r w:rsidRPr="00AD4D68">
              <w:rPr>
                <w:rFonts w:ascii="Arial" w:hAnsi="Arial" w:cs="Arial"/>
                <w:sz w:val="24"/>
                <w:szCs w:val="24"/>
              </w:rPr>
              <w:t xml:space="preserve">12,084,681 </w:t>
            </w:r>
          </w:p>
        </w:tc>
      </w:tr>
      <w:tr w:rsidR="003E5BF5" w:rsidRPr="00AD4D68" w14:paraId="4D180139" w14:textId="77777777" w:rsidTr="006667CC">
        <w:trPr>
          <w:trHeight w:val="312"/>
        </w:trPr>
        <w:tc>
          <w:tcPr>
            <w:tcW w:w="2459" w:type="dxa"/>
            <w:noWrap/>
            <w:hideMark/>
          </w:tcPr>
          <w:p w14:paraId="6B071C03"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 xml:space="preserve">Capital appropriations </w:t>
            </w:r>
          </w:p>
        </w:tc>
        <w:tc>
          <w:tcPr>
            <w:tcW w:w="763" w:type="dxa"/>
            <w:noWrap/>
            <w:hideMark/>
          </w:tcPr>
          <w:p w14:paraId="0ACAA1C5" w14:textId="77777777" w:rsidR="003E5BF5" w:rsidRPr="00AD4D68" w:rsidRDefault="009B2DDD" w:rsidP="00DE1921">
            <w:pPr>
              <w:jc w:val="right"/>
              <w:rPr>
                <w:rFonts w:ascii="Arial" w:hAnsi="Arial" w:cs="Arial"/>
                <w:sz w:val="24"/>
                <w:szCs w:val="24"/>
                <w:lang w:eastAsia="en-AU"/>
              </w:rPr>
            </w:pPr>
            <w:hyperlink w:anchor="_Equity_disclosure" w:history="1">
              <w:r w:rsidR="003E5BF5" w:rsidRPr="00AD4D68">
                <w:rPr>
                  <w:rStyle w:val="Hyperlink"/>
                  <w:rFonts w:ascii="Arial" w:hAnsi="Arial" w:cs="Arial"/>
                  <w:sz w:val="24"/>
                  <w:szCs w:val="24"/>
                  <w:lang w:eastAsia="en-AU"/>
                </w:rPr>
                <w:t>9.4</w:t>
              </w:r>
            </w:hyperlink>
          </w:p>
        </w:tc>
        <w:tc>
          <w:tcPr>
            <w:tcW w:w="1496" w:type="dxa"/>
            <w:noWrap/>
            <w:hideMark/>
          </w:tcPr>
          <w:p w14:paraId="1AACADA7"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4,562,820 </w:t>
            </w:r>
          </w:p>
        </w:tc>
        <w:tc>
          <w:tcPr>
            <w:tcW w:w="1496" w:type="dxa"/>
            <w:noWrap/>
            <w:hideMark/>
          </w:tcPr>
          <w:p w14:paraId="6D8EA426"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143C46C2"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67734B2E" w14:textId="77777777" w:rsidR="003E5BF5" w:rsidRPr="00AD4D68" w:rsidRDefault="003E5BF5" w:rsidP="00DE1921">
            <w:pPr>
              <w:jc w:val="right"/>
              <w:rPr>
                <w:rFonts w:ascii="Arial" w:hAnsi="Arial" w:cs="Arial"/>
                <w:b/>
                <w:sz w:val="24"/>
                <w:szCs w:val="24"/>
                <w:lang w:eastAsia="en-AU"/>
              </w:rPr>
            </w:pPr>
            <w:r w:rsidRPr="00AD4D68">
              <w:rPr>
                <w:rFonts w:ascii="Arial" w:hAnsi="Arial" w:cs="Arial"/>
                <w:sz w:val="24"/>
                <w:szCs w:val="24"/>
              </w:rPr>
              <w:t xml:space="preserve">4,562,820 </w:t>
            </w:r>
          </w:p>
        </w:tc>
      </w:tr>
      <w:tr w:rsidR="003E5BF5" w:rsidRPr="00AD4D68" w14:paraId="4DA69634" w14:textId="77777777" w:rsidTr="006667CC">
        <w:trPr>
          <w:trHeight w:val="312"/>
        </w:trPr>
        <w:tc>
          <w:tcPr>
            <w:tcW w:w="2459" w:type="dxa"/>
            <w:noWrap/>
            <w:hideMark/>
          </w:tcPr>
          <w:p w14:paraId="2CF3B58F"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Capital funding to agencies within the portfolio</w:t>
            </w:r>
          </w:p>
        </w:tc>
        <w:tc>
          <w:tcPr>
            <w:tcW w:w="763" w:type="dxa"/>
            <w:noWrap/>
            <w:hideMark/>
          </w:tcPr>
          <w:p w14:paraId="1C88FE3A" w14:textId="77777777" w:rsidR="003E5BF5" w:rsidRPr="00AD4D68" w:rsidRDefault="009B2DDD" w:rsidP="00DE1921">
            <w:pPr>
              <w:jc w:val="right"/>
              <w:rPr>
                <w:rFonts w:ascii="Arial" w:hAnsi="Arial" w:cs="Arial"/>
                <w:sz w:val="24"/>
                <w:szCs w:val="24"/>
                <w:lang w:eastAsia="en-AU"/>
              </w:rPr>
            </w:pPr>
            <w:hyperlink w:anchor="_Equity_disclosure" w:history="1">
              <w:r w:rsidR="003E5BF5" w:rsidRPr="00AD4D68">
                <w:rPr>
                  <w:rStyle w:val="Hyperlink"/>
                  <w:rFonts w:ascii="Arial" w:hAnsi="Arial" w:cs="Arial"/>
                  <w:sz w:val="24"/>
                  <w:szCs w:val="24"/>
                  <w:lang w:eastAsia="en-AU"/>
                </w:rPr>
                <w:t>9.4</w:t>
              </w:r>
            </w:hyperlink>
          </w:p>
        </w:tc>
        <w:tc>
          <w:tcPr>
            <w:tcW w:w="1496" w:type="dxa"/>
            <w:noWrap/>
            <w:hideMark/>
          </w:tcPr>
          <w:p w14:paraId="4E8DB14A"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(13,023)</w:t>
            </w:r>
          </w:p>
        </w:tc>
        <w:tc>
          <w:tcPr>
            <w:tcW w:w="1496" w:type="dxa"/>
            <w:noWrap/>
            <w:hideMark/>
          </w:tcPr>
          <w:p w14:paraId="2CD742E5"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592E0AF4"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56672295" w14:textId="77777777" w:rsidR="003E5BF5" w:rsidRPr="00AD4D68" w:rsidRDefault="003E5BF5" w:rsidP="00DE1921">
            <w:pPr>
              <w:jc w:val="right"/>
              <w:rPr>
                <w:rFonts w:ascii="Arial" w:hAnsi="Arial" w:cs="Arial"/>
                <w:b/>
                <w:sz w:val="24"/>
                <w:szCs w:val="24"/>
                <w:lang w:eastAsia="en-AU"/>
              </w:rPr>
            </w:pPr>
            <w:r w:rsidRPr="00AD4D68">
              <w:rPr>
                <w:rFonts w:ascii="Arial" w:hAnsi="Arial" w:cs="Arial"/>
                <w:sz w:val="24"/>
                <w:szCs w:val="24"/>
              </w:rPr>
              <w:t>(13,023)</w:t>
            </w:r>
          </w:p>
        </w:tc>
      </w:tr>
      <w:tr w:rsidR="003E5BF5" w:rsidRPr="00AD4D68" w14:paraId="06313425" w14:textId="77777777" w:rsidTr="006667CC">
        <w:trPr>
          <w:trHeight w:val="312"/>
        </w:trPr>
        <w:tc>
          <w:tcPr>
            <w:tcW w:w="2459" w:type="dxa"/>
            <w:noWrap/>
            <w:hideMark/>
          </w:tcPr>
          <w:p w14:paraId="0ADD2E32"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Capital funding from the State</w:t>
            </w:r>
          </w:p>
        </w:tc>
        <w:tc>
          <w:tcPr>
            <w:tcW w:w="763" w:type="dxa"/>
            <w:noWrap/>
            <w:hideMark/>
          </w:tcPr>
          <w:p w14:paraId="6241FDD1" w14:textId="77777777" w:rsidR="003E5BF5" w:rsidRPr="00AD4D68" w:rsidRDefault="009B2DDD" w:rsidP="00DE1921">
            <w:pPr>
              <w:jc w:val="right"/>
              <w:rPr>
                <w:rFonts w:ascii="Arial" w:hAnsi="Arial" w:cs="Arial"/>
                <w:sz w:val="24"/>
                <w:szCs w:val="24"/>
                <w:lang w:eastAsia="en-AU"/>
              </w:rPr>
            </w:pPr>
            <w:hyperlink w:anchor="_Equity_disclosure" w:history="1">
              <w:r w:rsidR="003E5BF5" w:rsidRPr="00AD4D68">
                <w:rPr>
                  <w:rStyle w:val="Hyperlink"/>
                  <w:rFonts w:ascii="Arial" w:hAnsi="Arial" w:cs="Arial"/>
                  <w:sz w:val="24"/>
                  <w:szCs w:val="24"/>
                  <w:lang w:eastAsia="en-AU"/>
                </w:rPr>
                <w:t>9.4</w:t>
              </w:r>
            </w:hyperlink>
          </w:p>
        </w:tc>
        <w:tc>
          <w:tcPr>
            <w:tcW w:w="1496" w:type="dxa"/>
            <w:noWrap/>
            <w:hideMark/>
          </w:tcPr>
          <w:p w14:paraId="18B329F9"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1,782,600 </w:t>
            </w:r>
          </w:p>
        </w:tc>
        <w:tc>
          <w:tcPr>
            <w:tcW w:w="1496" w:type="dxa"/>
            <w:noWrap/>
            <w:hideMark/>
          </w:tcPr>
          <w:p w14:paraId="2C5DF047"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2AD79DD3"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2CCE6CD0" w14:textId="77777777" w:rsidR="003E5BF5" w:rsidRPr="00AD4D68" w:rsidRDefault="003E5BF5" w:rsidP="00DE1921">
            <w:pPr>
              <w:jc w:val="right"/>
              <w:rPr>
                <w:rFonts w:ascii="Arial" w:hAnsi="Arial" w:cs="Arial"/>
                <w:b/>
                <w:sz w:val="24"/>
                <w:szCs w:val="24"/>
                <w:lang w:eastAsia="en-AU"/>
              </w:rPr>
            </w:pPr>
            <w:r w:rsidRPr="00AD4D68">
              <w:rPr>
                <w:rFonts w:ascii="Arial" w:hAnsi="Arial" w:cs="Arial"/>
                <w:sz w:val="24"/>
                <w:szCs w:val="24"/>
              </w:rPr>
              <w:t xml:space="preserve">1,782,600 </w:t>
            </w:r>
          </w:p>
        </w:tc>
      </w:tr>
      <w:tr w:rsidR="003E5BF5" w:rsidRPr="00AD4D68" w14:paraId="5BD5A456" w14:textId="77777777" w:rsidTr="006667CC">
        <w:trPr>
          <w:trHeight w:val="312"/>
        </w:trPr>
        <w:tc>
          <w:tcPr>
            <w:tcW w:w="2459" w:type="dxa"/>
            <w:noWrap/>
            <w:hideMark/>
          </w:tcPr>
          <w:p w14:paraId="28AA14FB"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Net assets transferred (to)/from other government entities</w:t>
            </w:r>
          </w:p>
        </w:tc>
        <w:tc>
          <w:tcPr>
            <w:tcW w:w="763" w:type="dxa"/>
            <w:noWrap/>
            <w:hideMark/>
          </w:tcPr>
          <w:p w14:paraId="1FF3BB1A" w14:textId="77777777" w:rsidR="003E5BF5" w:rsidRPr="00AD4D68" w:rsidRDefault="009B2DDD" w:rsidP="00DE1921">
            <w:pPr>
              <w:jc w:val="right"/>
              <w:rPr>
                <w:rFonts w:ascii="Arial" w:hAnsi="Arial" w:cs="Arial"/>
                <w:sz w:val="24"/>
                <w:szCs w:val="24"/>
                <w:lang w:eastAsia="en-AU"/>
              </w:rPr>
            </w:pPr>
            <w:hyperlink w:anchor="_Equity_disclosure" w:history="1">
              <w:r w:rsidR="003E5BF5" w:rsidRPr="00AD4D68">
                <w:rPr>
                  <w:rStyle w:val="Hyperlink"/>
                  <w:rFonts w:ascii="Arial" w:hAnsi="Arial" w:cs="Arial"/>
                  <w:sz w:val="24"/>
                  <w:szCs w:val="24"/>
                  <w:lang w:eastAsia="en-AU"/>
                </w:rPr>
                <w:t>9.4</w:t>
              </w:r>
            </w:hyperlink>
          </w:p>
        </w:tc>
        <w:tc>
          <w:tcPr>
            <w:tcW w:w="1496" w:type="dxa"/>
            <w:noWrap/>
            <w:hideMark/>
          </w:tcPr>
          <w:p w14:paraId="645D86B8"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(3,936,577)</w:t>
            </w:r>
          </w:p>
        </w:tc>
        <w:tc>
          <w:tcPr>
            <w:tcW w:w="1496" w:type="dxa"/>
            <w:noWrap/>
            <w:hideMark/>
          </w:tcPr>
          <w:p w14:paraId="73063C79"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514AE2EB"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40F0400A" w14:textId="77777777" w:rsidR="003E5BF5" w:rsidRPr="00AD4D68" w:rsidRDefault="003E5BF5" w:rsidP="00DE1921">
            <w:pPr>
              <w:jc w:val="right"/>
              <w:rPr>
                <w:rFonts w:ascii="Arial" w:hAnsi="Arial" w:cs="Arial"/>
                <w:b/>
                <w:sz w:val="24"/>
                <w:szCs w:val="24"/>
                <w:lang w:eastAsia="en-AU"/>
              </w:rPr>
            </w:pPr>
            <w:r w:rsidRPr="00AD4D68">
              <w:rPr>
                <w:rFonts w:ascii="Arial" w:hAnsi="Arial" w:cs="Arial"/>
                <w:sz w:val="24"/>
                <w:szCs w:val="24"/>
              </w:rPr>
              <w:t>(3,936,577)</w:t>
            </w:r>
          </w:p>
        </w:tc>
      </w:tr>
      <w:tr w:rsidR="003E5BF5" w:rsidRPr="00AD4D68" w14:paraId="717F5D62" w14:textId="77777777" w:rsidTr="006667CC">
        <w:trPr>
          <w:trHeight w:val="312"/>
        </w:trPr>
        <w:tc>
          <w:tcPr>
            <w:tcW w:w="2459" w:type="dxa"/>
            <w:noWrap/>
            <w:hideMark/>
          </w:tcPr>
          <w:p w14:paraId="2E0E55E1" w14:textId="77777777" w:rsidR="003E5BF5" w:rsidRPr="00AD4D68" w:rsidRDefault="003E5BF5" w:rsidP="00DE1921">
            <w:pPr>
              <w:rPr>
                <w:rFonts w:ascii="Arial" w:hAnsi="Arial" w:cs="Arial"/>
                <w:sz w:val="24"/>
                <w:szCs w:val="24"/>
                <w:lang w:eastAsia="en-AU"/>
              </w:rPr>
            </w:pPr>
            <w:r w:rsidRPr="00AD4D68">
              <w:rPr>
                <w:rFonts w:ascii="Arial" w:hAnsi="Arial" w:cs="Arial"/>
                <w:sz w:val="24"/>
                <w:szCs w:val="24"/>
                <w:lang w:eastAsia="en-AU"/>
              </w:rPr>
              <w:t>Net transfers via administrative restructure</w:t>
            </w:r>
          </w:p>
        </w:tc>
        <w:tc>
          <w:tcPr>
            <w:tcW w:w="763" w:type="dxa"/>
            <w:noWrap/>
            <w:hideMark/>
          </w:tcPr>
          <w:p w14:paraId="77015C05" w14:textId="77777777" w:rsidR="003E5BF5" w:rsidRPr="00AD4D68" w:rsidRDefault="009B2DDD" w:rsidP="00DE1921">
            <w:pPr>
              <w:jc w:val="right"/>
              <w:rPr>
                <w:rFonts w:ascii="Arial" w:hAnsi="Arial" w:cs="Arial"/>
                <w:sz w:val="24"/>
                <w:szCs w:val="24"/>
                <w:lang w:eastAsia="en-AU"/>
              </w:rPr>
            </w:pPr>
            <w:hyperlink w:anchor="_Equity_disclosure" w:history="1">
              <w:r w:rsidR="003E5BF5" w:rsidRPr="00AD4D68">
                <w:rPr>
                  <w:rStyle w:val="Hyperlink"/>
                  <w:rFonts w:ascii="Arial" w:hAnsi="Arial" w:cs="Arial"/>
                  <w:sz w:val="24"/>
                  <w:szCs w:val="24"/>
                  <w:lang w:eastAsia="en-AU"/>
                </w:rPr>
                <w:t>9.4</w:t>
              </w:r>
            </w:hyperlink>
          </w:p>
        </w:tc>
        <w:tc>
          <w:tcPr>
            <w:tcW w:w="1496" w:type="dxa"/>
            <w:noWrap/>
            <w:hideMark/>
          </w:tcPr>
          <w:p w14:paraId="0A34305E" w14:textId="77777777" w:rsidR="003E5BF5" w:rsidRPr="00AD4D68" w:rsidRDefault="003E5BF5" w:rsidP="00DE1921">
            <w:pPr>
              <w:jc w:val="right"/>
              <w:rPr>
                <w:rFonts w:ascii="Arial" w:hAnsi="Arial" w:cs="Arial"/>
                <w:sz w:val="24"/>
                <w:szCs w:val="24"/>
                <w:lang w:eastAsia="en-AU"/>
              </w:rPr>
            </w:pPr>
            <w:r w:rsidRPr="00AD4D68">
              <w:rPr>
                <w:rFonts w:ascii="Arial" w:hAnsi="Arial" w:cs="Arial"/>
                <w:sz w:val="24"/>
                <w:szCs w:val="24"/>
              </w:rPr>
              <w:t xml:space="preserve">58,404,677 </w:t>
            </w:r>
          </w:p>
        </w:tc>
        <w:tc>
          <w:tcPr>
            <w:tcW w:w="1496" w:type="dxa"/>
            <w:noWrap/>
            <w:hideMark/>
          </w:tcPr>
          <w:p w14:paraId="0F304611"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49FCAB54" w14:textId="77777777" w:rsidR="003E5BF5" w:rsidRPr="00AD4D68" w:rsidRDefault="003E5BF5" w:rsidP="00DE1921">
            <w:pPr>
              <w:jc w:val="right"/>
              <w:rPr>
                <w:rFonts w:ascii="Arial" w:hAnsi="Arial" w:cs="Arial"/>
                <w:sz w:val="24"/>
                <w:szCs w:val="24"/>
                <w:lang w:eastAsia="en-AU"/>
              </w:rPr>
            </w:pPr>
            <w:r w:rsidRPr="00AD4D68">
              <w:rPr>
                <w:rFonts w:ascii="Arial" w:hAnsi="Arial" w:cs="Arial"/>
                <w:b/>
                <w:sz w:val="24"/>
                <w:szCs w:val="24"/>
              </w:rPr>
              <w:t>-</w:t>
            </w:r>
          </w:p>
        </w:tc>
        <w:tc>
          <w:tcPr>
            <w:tcW w:w="1496" w:type="dxa"/>
            <w:noWrap/>
            <w:hideMark/>
          </w:tcPr>
          <w:p w14:paraId="7D459558" w14:textId="77777777" w:rsidR="003E5BF5" w:rsidRPr="00AD4D68" w:rsidRDefault="003E5BF5" w:rsidP="00DE1921">
            <w:pPr>
              <w:jc w:val="right"/>
              <w:rPr>
                <w:rFonts w:ascii="Arial" w:hAnsi="Arial" w:cs="Arial"/>
                <w:b/>
                <w:sz w:val="24"/>
                <w:szCs w:val="24"/>
                <w:lang w:eastAsia="en-AU"/>
              </w:rPr>
            </w:pPr>
            <w:r w:rsidRPr="00AD4D68">
              <w:rPr>
                <w:rFonts w:ascii="Arial" w:hAnsi="Arial" w:cs="Arial"/>
                <w:sz w:val="24"/>
                <w:szCs w:val="24"/>
              </w:rPr>
              <w:t xml:space="preserve">58,404,677 </w:t>
            </w:r>
          </w:p>
        </w:tc>
      </w:tr>
      <w:tr w:rsidR="003E5BF5" w:rsidRPr="00AD4D68" w14:paraId="0D3FB197" w14:textId="77777777" w:rsidTr="006667CC">
        <w:trPr>
          <w:trHeight w:val="312"/>
        </w:trPr>
        <w:tc>
          <w:tcPr>
            <w:tcW w:w="2459" w:type="dxa"/>
            <w:noWrap/>
            <w:hideMark/>
          </w:tcPr>
          <w:p w14:paraId="3E2E61BA" w14:textId="77777777" w:rsidR="003E5BF5" w:rsidRPr="00AD4D68" w:rsidRDefault="003E5BF5" w:rsidP="00DE1921">
            <w:pPr>
              <w:pStyle w:val="TableTextLeftBold"/>
              <w:rPr>
                <w:rFonts w:ascii="Arial" w:hAnsi="Arial" w:cs="Arial"/>
                <w:sz w:val="24"/>
                <w:szCs w:val="24"/>
              </w:rPr>
            </w:pPr>
            <w:r w:rsidRPr="00AD4D68">
              <w:rPr>
                <w:rFonts w:ascii="Arial" w:hAnsi="Arial" w:cs="Arial"/>
                <w:sz w:val="24"/>
                <w:szCs w:val="24"/>
              </w:rPr>
              <w:t>Balance at 30 June 2020</w:t>
            </w:r>
          </w:p>
        </w:tc>
        <w:tc>
          <w:tcPr>
            <w:tcW w:w="763" w:type="dxa"/>
            <w:noWrap/>
            <w:hideMark/>
          </w:tcPr>
          <w:p w14:paraId="1467F06B" w14:textId="77777777" w:rsidR="003E5BF5" w:rsidRPr="00AD4D68" w:rsidRDefault="003E5BF5" w:rsidP="00DE1921">
            <w:pPr>
              <w:jc w:val="right"/>
              <w:rPr>
                <w:rFonts w:ascii="Arial" w:hAnsi="Arial" w:cs="Arial"/>
                <w:b/>
                <w:sz w:val="24"/>
                <w:szCs w:val="24"/>
                <w:lang w:eastAsia="en-AU"/>
              </w:rPr>
            </w:pPr>
          </w:p>
        </w:tc>
        <w:tc>
          <w:tcPr>
            <w:tcW w:w="1496" w:type="dxa"/>
            <w:noWrap/>
            <w:hideMark/>
          </w:tcPr>
          <w:p w14:paraId="727EF629"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64,993,395 </w:t>
            </w:r>
          </w:p>
        </w:tc>
        <w:tc>
          <w:tcPr>
            <w:tcW w:w="1496" w:type="dxa"/>
            <w:noWrap/>
            <w:hideMark/>
          </w:tcPr>
          <w:p w14:paraId="0BB67311"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(2,179,123)</w:t>
            </w:r>
          </w:p>
        </w:tc>
        <w:tc>
          <w:tcPr>
            <w:tcW w:w="1496" w:type="dxa"/>
            <w:noWrap/>
            <w:hideMark/>
          </w:tcPr>
          <w:p w14:paraId="71690380"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12,604,096 </w:t>
            </w:r>
          </w:p>
        </w:tc>
        <w:tc>
          <w:tcPr>
            <w:tcW w:w="1496" w:type="dxa"/>
            <w:noWrap/>
            <w:hideMark/>
          </w:tcPr>
          <w:p w14:paraId="64B84BC5" w14:textId="77777777" w:rsidR="003E5BF5" w:rsidRPr="00AD4D68" w:rsidRDefault="003E5BF5" w:rsidP="00DE1921">
            <w:pPr>
              <w:jc w:val="right"/>
              <w:rPr>
                <w:rFonts w:ascii="Arial" w:hAnsi="Arial" w:cs="Arial"/>
                <w:b/>
                <w:sz w:val="24"/>
                <w:szCs w:val="24"/>
                <w:lang w:eastAsia="en-AU"/>
              </w:rPr>
            </w:pPr>
            <w:r w:rsidRPr="00AD4D68">
              <w:rPr>
                <w:rFonts w:ascii="Arial" w:hAnsi="Arial" w:cs="Arial"/>
                <w:b/>
                <w:sz w:val="24"/>
                <w:szCs w:val="24"/>
              </w:rPr>
              <w:t xml:space="preserve">75,418,367 </w:t>
            </w:r>
          </w:p>
        </w:tc>
      </w:tr>
    </w:tbl>
    <w:p w14:paraId="4418200D" w14:textId="77777777" w:rsidR="006667CC" w:rsidRPr="00AD4D68" w:rsidRDefault="006667CC" w:rsidP="006667CC">
      <w:pPr>
        <w:spacing w:before="120"/>
        <w:rPr>
          <w:rFonts w:ascii="Arial" w:hAnsi="Arial" w:cs="Arial"/>
          <w:sz w:val="24"/>
          <w:szCs w:val="24"/>
          <w:lang w:eastAsia="en-AU"/>
        </w:rPr>
      </w:pPr>
      <w:bookmarkStart w:id="64" w:name="_Hlk55041002"/>
      <w:bookmarkStart w:id="65" w:name="_Toc530384154"/>
      <w:bookmarkStart w:id="66" w:name="_Toc530384449"/>
      <w:bookmarkStart w:id="67" w:name="_Toc530385291"/>
      <w:bookmarkStart w:id="68" w:name="_Toc530387389"/>
      <w:bookmarkStart w:id="69" w:name="_Toc530387581"/>
      <w:bookmarkStart w:id="70" w:name="_Toc530388239"/>
      <w:bookmarkStart w:id="71" w:name="_Toc530400360"/>
      <w:bookmarkStart w:id="72" w:name="_Toc530400699"/>
      <w:bookmarkStart w:id="73" w:name="CF"/>
      <w:r w:rsidRPr="00AD4D68">
        <w:rPr>
          <w:rFonts w:ascii="Arial" w:hAnsi="Arial" w:cs="Arial"/>
          <w:sz w:val="24"/>
          <w:szCs w:val="24"/>
          <w:lang w:eastAsia="en-AU"/>
        </w:rPr>
        <w:t>The above statement of changes in equity should be read in conjunction with the notes to the financial statements.</w:t>
      </w:r>
    </w:p>
    <w:p w14:paraId="6C92625E" w14:textId="77777777" w:rsidR="006667CC" w:rsidRPr="00AD4D68" w:rsidRDefault="006667CC" w:rsidP="006667CC">
      <w:pPr>
        <w:pStyle w:val="Note"/>
        <w:rPr>
          <w:rFonts w:ascii="Arial" w:hAnsi="Arial" w:cs="Arial"/>
          <w:sz w:val="24"/>
          <w:szCs w:val="24"/>
        </w:rPr>
      </w:pPr>
      <w:r w:rsidRPr="00AD4D68">
        <w:rPr>
          <w:rFonts w:ascii="Arial" w:hAnsi="Arial" w:cs="Arial"/>
          <w:sz w:val="24"/>
          <w:szCs w:val="24"/>
        </w:rPr>
        <w:t>Notes:</w:t>
      </w:r>
    </w:p>
    <w:p w14:paraId="46D4B393" w14:textId="77777777" w:rsidR="006667CC" w:rsidRPr="00AD4D68" w:rsidRDefault="006667CC" w:rsidP="00610F5F">
      <w:pPr>
        <w:pStyle w:val="aaaNotenumberiiiiii"/>
        <w:numPr>
          <w:ilvl w:val="0"/>
          <w:numId w:val="67"/>
        </w:numPr>
      </w:pPr>
      <w:r w:rsidRPr="00AD4D68">
        <w:t>Where a service concession arrangement is in existence at 1 July 2018; the opening balance at 1 July 2018 is adjusted to reflect the adoption of AASB 1059. Refer to Note 9.6.5.2 for further details.</w:t>
      </w:r>
    </w:p>
    <w:p w14:paraId="68F9D8F4" w14:textId="77777777" w:rsidR="006667CC" w:rsidRPr="00AD4D68" w:rsidRDefault="006667CC" w:rsidP="006667CC">
      <w:pPr>
        <w:pStyle w:val="aaaNotenumberiiiiii"/>
      </w:pPr>
      <w:r w:rsidRPr="00AD4D68">
        <w:t>Rural Assistance Commissioner has not been consolidated by the department since 1 January 2019.</w:t>
      </w:r>
    </w:p>
    <w:p w14:paraId="5404FE94" w14:textId="77777777" w:rsidR="006667CC" w:rsidRPr="00AD4D68" w:rsidRDefault="006667CC" w:rsidP="006667CC">
      <w:pPr>
        <w:pStyle w:val="aaaNotenumberiiiiii"/>
      </w:pPr>
      <w:r w:rsidRPr="00AD4D68">
        <w:t>The opening balance at 1 July 2019 is adjusted to reflect the adoption of AASB 1059, refer to Note 9.6 and Note 9.6.5.2 for further details.</w:t>
      </w:r>
    </w:p>
    <w:p w14:paraId="5EA749DB" w14:textId="77777777" w:rsidR="006667CC" w:rsidRPr="00AD4D68" w:rsidRDefault="006667CC" w:rsidP="006667CC">
      <w:pPr>
        <w:pStyle w:val="aaaNotenumberiiiiii"/>
      </w:pPr>
      <w:r w:rsidRPr="00AD4D68">
        <w:t xml:space="preserve">The opening balance brought forward from 30 June 2019 is adjusted for AASB 15 </w:t>
      </w:r>
      <w:r w:rsidRPr="00AD4D68">
        <w:rPr>
          <w:i/>
        </w:rPr>
        <w:t>Revenue from Contracts with Customers</w:t>
      </w:r>
      <w:r w:rsidRPr="00AD4D68">
        <w:t xml:space="preserve"> (AASB 15), refer to Note 9.6.5.3 for further details.</w:t>
      </w:r>
    </w:p>
    <w:p w14:paraId="152C5256" w14:textId="52C94B72" w:rsidR="006667CC" w:rsidRDefault="006667CC" w:rsidP="006667CC">
      <w:pPr>
        <w:pStyle w:val="aaaNotenumberiiiiii"/>
      </w:pPr>
      <w:r w:rsidRPr="00AD4D68">
        <w:lastRenderedPageBreak/>
        <w:t>VicRoads (Registration and Licensing) is consolidated into the department under s53(1)(b)</w:t>
      </w:r>
      <w:r w:rsidRPr="00AD4D68">
        <w:rPr>
          <w:i/>
        </w:rPr>
        <w:t xml:space="preserve"> </w:t>
      </w:r>
      <w:r w:rsidRPr="00AD4D68">
        <w:t>for the first time in the current year.</w:t>
      </w:r>
      <w:bookmarkEnd w:id="64"/>
    </w:p>
    <w:p w14:paraId="0570667B" w14:textId="77777777" w:rsidR="006667CC" w:rsidRPr="006667CC" w:rsidRDefault="006667CC" w:rsidP="006667CC"/>
    <w:p w14:paraId="20FA424B" w14:textId="3325A70A" w:rsidR="006667CC" w:rsidRPr="006667CC" w:rsidRDefault="006667CC" w:rsidP="006667CC">
      <w:pPr>
        <w:sectPr w:rsidR="006667CC" w:rsidRPr="006667CC" w:rsidSect="00793874">
          <w:pgSz w:w="11906" w:h="16838"/>
          <w:pgMar w:top="1701" w:right="1418" w:bottom="1418" w:left="1418" w:header="708" w:footer="708" w:gutter="0"/>
          <w:cols w:space="284"/>
          <w:docGrid w:linePitch="360"/>
        </w:sectPr>
      </w:pPr>
    </w:p>
    <w:p w14:paraId="55758BAC" w14:textId="6CC9D0F2" w:rsidR="003E5BF5" w:rsidRPr="00B57035" w:rsidRDefault="003E5BF5" w:rsidP="008A0170">
      <w:pPr>
        <w:pStyle w:val="Heading1"/>
      </w:pPr>
      <w:bookmarkStart w:id="74" w:name="p60"/>
      <w:bookmarkStart w:id="75" w:name="_Toc55130688"/>
      <w:bookmarkEnd w:id="74"/>
      <w:r w:rsidRPr="00B57035">
        <w:lastRenderedPageBreak/>
        <w:t>Cash flow statement</w:t>
      </w:r>
      <w:bookmarkEnd w:id="75"/>
      <w:r w:rsidRPr="00B57035">
        <w:t xml:space="preserve"> </w:t>
      </w:r>
    </w:p>
    <w:p w14:paraId="197C314F" w14:textId="77777777" w:rsidR="003E5BF5" w:rsidRPr="00367CDC" w:rsidRDefault="003E5BF5" w:rsidP="008A0170">
      <w:pPr>
        <w:pStyle w:val="Heading3"/>
      </w:pPr>
      <w:r w:rsidRPr="00367CDC">
        <w:t xml:space="preserve">for the financial year ended 30 June </w:t>
      </w:r>
      <w:bookmarkEnd w:id="65"/>
      <w:bookmarkEnd w:id="66"/>
      <w:bookmarkEnd w:id="67"/>
      <w:bookmarkEnd w:id="68"/>
      <w:bookmarkEnd w:id="69"/>
      <w:bookmarkEnd w:id="70"/>
      <w:bookmarkEnd w:id="71"/>
      <w:bookmarkEnd w:id="72"/>
      <w:r w:rsidRPr="00367CDC">
        <w:t>2020</w:t>
      </w:r>
      <w:bookmarkStart w:id="76" w:name="RANGE!A3:D35"/>
      <w:bookmarkStart w:id="77" w:name="RANGE!A3:D29"/>
      <w:bookmarkStart w:id="78" w:name="RANGE!A38:D65"/>
      <w:bookmarkStart w:id="79" w:name="RANGE!A32:D53"/>
      <w:bookmarkStart w:id="80" w:name="RANGE!A3:D42"/>
      <w:bookmarkStart w:id="81" w:name="RANGE!A3:D63"/>
      <w:bookmarkStart w:id="82" w:name="RANGE!A3:D41"/>
      <w:bookmarkStart w:id="83" w:name="RANGE!A3:D59"/>
      <w:bookmarkEnd w:id="73"/>
      <w:bookmarkEnd w:id="76"/>
      <w:bookmarkEnd w:id="77"/>
      <w:bookmarkEnd w:id="78"/>
      <w:bookmarkEnd w:id="79"/>
      <w:bookmarkEnd w:id="80"/>
      <w:bookmarkEnd w:id="81"/>
      <w:bookmarkEnd w:id="82"/>
      <w:bookmarkEnd w:id="83"/>
    </w:p>
    <w:tbl>
      <w:tblPr>
        <w:tblStyle w:val="TableGrid"/>
        <w:tblW w:w="8907" w:type="dxa"/>
        <w:tblLayout w:type="fixed"/>
        <w:tblLook w:val="04A0" w:firstRow="1" w:lastRow="0" w:firstColumn="1" w:lastColumn="0" w:noHBand="0" w:noVBand="1"/>
      </w:tblPr>
      <w:tblGrid>
        <w:gridCol w:w="5040"/>
        <w:gridCol w:w="783"/>
        <w:gridCol w:w="1542"/>
        <w:gridCol w:w="1542"/>
      </w:tblGrid>
      <w:tr w:rsidR="006B625D" w:rsidRPr="00D71A00" w14:paraId="71EE2F04" w14:textId="77777777" w:rsidTr="00E56A2F">
        <w:trPr>
          <w:trHeight w:val="340"/>
          <w:tblHeader/>
        </w:trPr>
        <w:tc>
          <w:tcPr>
            <w:tcW w:w="5040" w:type="dxa"/>
            <w:shd w:val="clear" w:color="auto" w:fill="auto"/>
            <w:hideMark/>
          </w:tcPr>
          <w:p w14:paraId="4C7C65C9" w14:textId="77777777" w:rsidR="006B625D" w:rsidRPr="00D71A00" w:rsidRDefault="006B625D" w:rsidP="00DE1921">
            <w:pPr>
              <w:rPr>
                <w:rFonts w:ascii="Arial" w:hAnsi="Arial" w:cs="Arial"/>
                <w:sz w:val="24"/>
                <w:szCs w:val="24"/>
                <w:lang w:eastAsia="en-AU"/>
              </w:rPr>
            </w:pPr>
          </w:p>
        </w:tc>
        <w:tc>
          <w:tcPr>
            <w:tcW w:w="783" w:type="dxa"/>
            <w:shd w:val="clear" w:color="auto" w:fill="auto"/>
            <w:noWrap/>
            <w:hideMark/>
          </w:tcPr>
          <w:p w14:paraId="5B59B1CD" w14:textId="77777777" w:rsidR="006B625D" w:rsidRPr="00D71A00" w:rsidRDefault="006B625D" w:rsidP="00DE1921">
            <w:pPr>
              <w:rPr>
                <w:rFonts w:ascii="Arial" w:hAnsi="Arial" w:cs="Arial"/>
                <w:sz w:val="24"/>
                <w:szCs w:val="24"/>
                <w:lang w:eastAsia="en-AU"/>
              </w:rPr>
            </w:pPr>
          </w:p>
        </w:tc>
        <w:tc>
          <w:tcPr>
            <w:tcW w:w="1542" w:type="dxa"/>
            <w:shd w:val="clear" w:color="auto" w:fill="auto"/>
            <w:noWrap/>
            <w:vAlign w:val="center"/>
            <w:hideMark/>
          </w:tcPr>
          <w:p w14:paraId="0E07D96E" w14:textId="77777777" w:rsidR="006B625D" w:rsidRPr="00D71A00" w:rsidRDefault="006B625D" w:rsidP="00DE1921">
            <w:pPr>
              <w:jc w:val="center"/>
              <w:rPr>
                <w:rFonts w:ascii="Arial" w:hAnsi="Arial" w:cs="Arial"/>
                <w:b/>
                <w:sz w:val="24"/>
                <w:szCs w:val="24"/>
                <w:lang w:eastAsia="en-AU"/>
              </w:rPr>
            </w:pPr>
            <w:r w:rsidRPr="00D71A00">
              <w:rPr>
                <w:rFonts w:ascii="Arial" w:hAnsi="Arial" w:cs="Arial"/>
                <w:b/>
                <w:sz w:val="24"/>
                <w:szCs w:val="24"/>
                <w:lang w:eastAsia="en-AU"/>
              </w:rPr>
              <w:t>($ thousand)</w:t>
            </w:r>
          </w:p>
        </w:tc>
        <w:tc>
          <w:tcPr>
            <w:tcW w:w="1542" w:type="dxa"/>
            <w:shd w:val="clear" w:color="auto" w:fill="auto"/>
            <w:vAlign w:val="center"/>
          </w:tcPr>
          <w:p w14:paraId="1B06E0E3" w14:textId="2DD43B13" w:rsidR="006B625D" w:rsidRPr="00D71A00" w:rsidRDefault="006B625D" w:rsidP="00DE1921">
            <w:pPr>
              <w:jc w:val="center"/>
              <w:rPr>
                <w:rFonts w:ascii="Arial" w:hAnsi="Arial" w:cs="Arial"/>
                <w:b/>
                <w:sz w:val="24"/>
                <w:szCs w:val="24"/>
                <w:lang w:eastAsia="en-AU"/>
              </w:rPr>
            </w:pPr>
            <w:r w:rsidRPr="00AD4D68">
              <w:rPr>
                <w:rFonts w:ascii="Arial" w:hAnsi="Arial" w:cs="Arial"/>
                <w:b/>
                <w:sz w:val="24"/>
                <w:szCs w:val="24"/>
                <w:lang w:eastAsia="en-AU"/>
              </w:rPr>
              <w:t>($ thousand)</w:t>
            </w:r>
          </w:p>
        </w:tc>
      </w:tr>
      <w:tr w:rsidR="003E5BF5" w:rsidRPr="00D71A00" w14:paraId="48CC3AB5" w14:textId="77777777" w:rsidTr="001263E2">
        <w:trPr>
          <w:trHeight w:val="340"/>
          <w:tblHeader/>
        </w:trPr>
        <w:tc>
          <w:tcPr>
            <w:tcW w:w="5040" w:type="dxa"/>
            <w:shd w:val="clear" w:color="auto" w:fill="auto"/>
            <w:hideMark/>
          </w:tcPr>
          <w:p w14:paraId="598EA264" w14:textId="77777777" w:rsidR="003E5BF5" w:rsidRPr="00D71A00" w:rsidRDefault="003E5BF5" w:rsidP="00DE1921">
            <w:pPr>
              <w:rPr>
                <w:rFonts w:ascii="Arial" w:hAnsi="Arial" w:cs="Arial"/>
                <w:sz w:val="24"/>
                <w:szCs w:val="24"/>
                <w:lang w:eastAsia="en-AU"/>
              </w:rPr>
            </w:pPr>
          </w:p>
        </w:tc>
        <w:tc>
          <w:tcPr>
            <w:tcW w:w="783" w:type="dxa"/>
            <w:shd w:val="clear" w:color="auto" w:fill="auto"/>
            <w:noWrap/>
            <w:vAlign w:val="center"/>
            <w:hideMark/>
          </w:tcPr>
          <w:p w14:paraId="4FF8AC92"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Note</w:t>
            </w:r>
          </w:p>
        </w:tc>
        <w:tc>
          <w:tcPr>
            <w:tcW w:w="1542" w:type="dxa"/>
            <w:shd w:val="clear" w:color="auto" w:fill="auto"/>
            <w:noWrap/>
            <w:vAlign w:val="center"/>
            <w:hideMark/>
          </w:tcPr>
          <w:p w14:paraId="12013981"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2020</w:t>
            </w:r>
          </w:p>
        </w:tc>
        <w:tc>
          <w:tcPr>
            <w:tcW w:w="1542" w:type="dxa"/>
            <w:shd w:val="clear" w:color="auto" w:fill="auto"/>
            <w:noWrap/>
            <w:vAlign w:val="center"/>
            <w:hideMark/>
          </w:tcPr>
          <w:p w14:paraId="5407C2E2"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2019</w:t>
            </w:r>
          </w:p>
        </w:tc>
      </w:tr>
      <w:tr w:rsidR="003E5BF5" w:rsidRPr="00D71A00" w14:paraId="709DC12B" w14:textId="77777777" w:rsidTr="000E2203">
        <w:trPr>
          <w:trHeight w:val="340"/>
        </w:trPr>
        <w:tc>
          <w:tcPr>
            <w:tcW w:w="5040" w:type="dxa"/>
            <w:shd w:val="clear" w:color="auto" w:fill="auto"/>
            <w:vAlign w:val="center"/>
            <w:hideMark/>
          </w:tcPr>
          <w:p w14:paraId="5DF50D17" w14:textId="77777777" w:rsidR="003E5BF5" w:rsidRPr="00D71A00" w:rsidRDefault="003E5BF5" w:rsidP="00604703">
            <w:pPr>
              <w:pStyle w:val="TableTextGreen"/>
            </w:pPr>
            <w:r w:rsidRPr="00D71A00">
              <w:t>Cash flows from operating activities</w:t>
            </w:r>
          </w:p>
        </w:tc>
        <w:tc>
          <w:tcPr>
            <w:tcW w:w="783" w:type="dxa"/>
            <w:shd w:val="clear" w:color="auto" w:fill="auto"/>
            <w:noWrap/>
            <w:vAlign w:val="center"/>
            <w:hideMark/>
          </w:tcPr>
          <w:p w14:paraId="1D04154E" w14:textId="77777777" w:rsidR="003E5BF5" w:rsidRPr="00D71A00" w:rsidRDefault="003E5BF5" w:rsidP="00DE1921">
            <w:pPr>
              <w:jc w:val="right"/>
              <w:rPr>
                <w:rFonts w:ascii="Arial" w:hAnsi="Arial" w:cs="Arial"/>
                <w:b/>
                <w:sz w:val="24"/>
                <w:szCs w:val="24"/>
                <w:lang w:eastAsia="en-AU"/>
              </w:rPr>
            </w:pPr>
          </w:p>
        </w:tc>
        <w:tc>
          <w:tcPr>
            <w:tcW w:w="1542" w:type="dxa"/>
            <w:shd w:val="clear" w:color="auto" w:fill="auto"/>
            <w:noWrap/>
            <w:vAlign w:val="center"/>
            <w:hideMark/>
          </w:tcPr>
          <w:p w14:paraId="40B22508"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0D4379A1" w14:textId="77777777" w:rsidR="003E5BF5" w:rsidRPr="00D71A00" w:rsidRDefault="003E5BF5" w:rsidP="00DE1921">
            <w:pPr>
              <w:jc w:val="right"/>
              <w:rPr>
                <w:rFonts w:ascii="Arial" w:hAnsi="Arial" w:cs="Arial"/>
                <w:sz w:val="24"/>
                <w:szCs w:val="24"/>
                <w:lang w:eastAsia="en-AU"/>
              </w:rPr>
            </w:pPr>
          </w:p>
        </w:tc>
      </w:tr>
      <w:tr w:rsidR="003E5BF5" w:rsidRPr="00D71A00" w14:paraId="593A41B3" w14:textId="77777777" w:rsidTr="000E2203">
        <w:trPr>
          <w:trHeight w:val="340"/>
        </w:trPr>
        <w:tc>
          <w:tcPr>
            <w:tcW w:w="5040" w:type="dxa"/>
            <w:shd w:val="clear" w:color="auto" w:fill="auto"/>
            <w:vAlign w:val="center"/>
            <w:hideMark/>
          </w:tcPr>
          <w:p w14:paraId="6F088ADA" w14:textId="77777777" w:rsidR="003E5BF5" w:rsidRPr="00D71A00" w:rsidRDefault="003E5BF5" w:rsidP="00604703">
            <w:pPr>
              <w:pStyle w:val="TableTextGreen"/>
            </w:pPr>
            <w:r w:rsidRPr="00D71A00">
              <w:t>Receipts</w:t>
            </w:r>
          </w:p>
        </w:tc>
        <w:tc>
          <w:tcPr>
            <w:tcW w:w="783" w:type="dxa"/>
            <w:shd w:val="clear" w:color="auto" w:fill="auto"/>
            <w:noWrap/>
            <w:vAlign w:val="center"/>
            <w:hideMark/>
          </w:tcPr>
          <w:p w14:paraId="35C3AD54" w14:textId="77777777" w:rsidR="003E5BF5" w:rsidRPr="00D71A00" w:rsidRDefault="003E5BF5" w:rsidP="00DE1921">
            <w:pPr>
              <w:jc w:val="right"/>
              <w:rPr>
                <w:rFonts w:ascii="Arial" w:hAnsi="Arial" w:cs="Arial"/>
                <w:b/>
                <w:sz w:val="24"/>
                <w:szCs w:val="24"/>
                <w:lang w:eastAsia="en-AU"/>
              </w:rPr>
            </w:pPr>
          </w:p>
        </w:tc>
        <w:tc>
          <w:tcPr>
            <w:tcW w:w="1542" w:type="dxa"/>
            <w:shd w:val="clear" w:color="auto" w:fill="auto"/>
            <w:noWrap/>
            <w:vAlign w:val="center"/>
            <w:hideMark/>
          </w:tcPr>
          <w:p w14:paraId="2EDD4B28"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7A98F6A0" w14:textId="77777777" w:rsidR="003E5BF5" w:rsidRPr="00D71A00" w:rsidRDefault="003E5BF5" w:rsidP="00DE1921">
            <w:pPr>
              <w:jc w:val="right"/>
              <w:rPr>
                <w:rFonts w:ascii="Arial" w:hAnsi="Arial" w:cs="Arial"/>
                <w:sz w:val="24"/>
                <w:szCs w:val="24"/>
                <w:lang w:eastAsia="en-AU"/>
              </w:rPr>
            </w:pPr>
          </w:p>
        </w:tc>
      </w:tr>
      <w:tr w:rsidR="003E5BF5" w:rsidRPr="00D71A00" w14:paraId="4C563457" w14:textId="77777777" w:rsidTr="000E2203">
        <w:trPr>
          <w:trHeight w:val="340"/>
        </w:trPr>
        <w:tc>
          <w:tcPr>
            <w:tcW w:w="5040" w:type="dxa"/>
            <w:shd w:val="clear" w:color="auto" w:fill="auto"/>
            <w:vAlign w:val="center"/>
            <w:hideMark/>
          </w:tcPr>
          <w:p w14:paraId="2AF74752"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Receipts from Victorian Government</w:t>
            </w:r>
          </w:p>
        </w:tc>
        <w:tc>
          <w:tcPr>
            <w:tcW w:w="783" w:type="dxa"/>
            <w:shd w:val="clear" w:color="auto" w:fill="auto"/>
            <w:noWrap/>
            <w:vAlign w:val="center"/>
            <w:hideMark/>
          </w:tcPr>
          <w:p w14:paraId="6B77DFB7"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70CE61E5"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8,705,244 </w:t>
            </w:r>
          </w:p>
        </w:tc>
        <w:tc>
          <w:tcPr>
            <w:tcW w:w="1542" w:type="dxa"/>
            <w:shd w:val="clear" w:color="auto" w:fill="auto"/>
            <w:noWrap/>
            <w:vAlign w:val="center"/>
            <w:hideMark/>
          </w:tcPr>
          <w:p w14:paraId="388E761E"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7,506,626 </w:t>
            </w:r>
          </w:p>
        </w:tc>
      </w:tr>
      <w:tr w:rsidR="003E5BF5" w:rsidRPr="00D71A00" w14:paraId="7E0D10F8" w14:textId="77777777" w:rsidTr="000E2203">
        <w:trPr>
          <w:trHeight w:val="340"/>
        </w:trPr>
        <w:tc>
          <w:tcPr>
            <w:tcW w:w="5040" w:type="dxa"/>
            <w:shd w:val="clear" w:color="auto" w:fill="auto"/>
            <w:vAlign w:val="center"/>
            <w:hideMark/>
          </w:tcPr>
          <w:p w14:paraId="2222C679"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Receipts from other entities</w:t>
            </w:r>
          </w:p>
        </w:tc>
        <w:tc>
          <w:tcPr>
            <w:tcW w:w="783" w:type="dxa"/>
            <w:shd w:val="clear" w:color="auto" w:fill="auto"/>
            <w:noWrap/>
            <w:vAlign w:val="center"/>
            <w:hideMark/>
          </w:tcPr>
          <w:p w14:paraId="2B24D3C5"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3EDCEECE"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541,635 </w:t>
            </w:r>
          </w:p>
        </w:tc>
        <w:tc>
          <w:tcPr>
            <w:tcW w:w="1542" w:type="dxa"/>
            <w:shd w:val="clear" w:color="auto" w:fill="auto"/>
            <w:noWrap/>
            <w:vAlign w:val="center"/>
            <w:hideMark/>
          </w:tcPr>
          <w:p w14:paraId="3CC21E31"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178,353 </w:t>
            </w:r>
          </w:p>
        </w:tc>
      </w:tr>
      <w:tr w:rsidR="003E5BF5" w:rsidRPr="00D71A00" w14:paraId="3A0E555D" w14:textId="77777777" w:rsidTr="000E2203">
        <w:trPr>
          <w:trHeight w:val="340"/>
        </w:trPr>
        <w:tc>
          <w:tcPr>
            <w:tcW w:w="5040" w:type="dxa"/>
            <w:shd w:val="clear" w:color="auto" w:fill="auto"/>
            <w:vAlign w:val="center"/>
            <w:hideMark/>
          </w:tcPr>
          <w:p w14:paraId="5650EBC2"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Goods and services tax recovered from the ATO </w:t>
            </w:r>
            <w:r w:rsidRPr="00D71A00">
              <w:rPr>
                <w:rFonts w:ascii="Arial" w:hAnsi="Arial" w:cs="Arial"/>
                <w:sz w:val="24"/>
                <w:szCs w:val="24"/>
                <w:vertAlign w:val="superscript"/>
                <w:lang w:eastAsia="en-AU"/>
              </w:rPr>
              <w:t>(</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783" w:type="dxa"/>
            <w:shd w:val="clear" w:color="auto" w:fill="auto"/>
            <w:noWrap/>
            <w:vAlign w:val="center"/>
            <w:hideMark/>
          </w:tcPr>
          <w:p w14:paraId="79716071"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0D8DCFA2"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938,971 </w:t>
            </w:r>
          </w:p>
        </w:tc>
        <w:tc>
          <w:tcPr>
            <w:tcW w:w="1542" w:type="dxa"/>
            <w:shd w:val="clear" w:color="auto" w:fill="auto"/>
            <w:noWrap/>
            <w:vAlign w:val="center"/>
            <w:hideMark/>
          </w:tcPr>
          <w:p w14:paraId="146321A4"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588,917 </w:t>
            </w:r>
          </w:p>
        </w:tc>
      </w:tr>
      <w:tr w:rsidR="003E5BF5" w:rsidRPr="00D71A00" w14:paraId="3A55A8D1" w14:textId="77777777" w:rsidTr="000E2203">
        <w:trPr>
          <w:trHeight w:val="340"/>
        </w:trPr>
        <w:tc>
          <w:tcPr>
            <w:tcW w:w="5040" w:type="dxa"/>
            <w:shd w:val="clear" w:color="auto" w:fill="auto"/>
            <w:vAlign w:val="center"/>
            <w:hideMark/>
          </w:tcPr>
          <w:p w14:paraId="52EDA0E2"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Sale of goods services</w:t>
            </w:r>
          </w:p>
        </w:tc>
        <w:tc>
          <w:tcPr>
            <w:tcW w:w="783" w:type="dxa"/>
            <w:shd w:val="clear" w:color="auto" w:fill="auto"/>
            <w:noWrap/>
            <w:vAlign w:val="center"/>
            <w:hideMark/>
          </w:tcPr>
          <w:p w14:paraId="0141DE9D"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5705DEB6"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1,000,570 </w:t>
            </w:r>
          </w:p>
        </w:tc>
        <w:tc>
          <w:tcPr>
            <w:tcW w:w="1542" w:type="dxa"/>
            <w:shd w:val="clear" w:color="auto" w:fill="auto"/>
            <w:noWrap/>
            <w:vAlign w:val="center"/>
            <w:hideMark/>
          </w:tcPr>
          <w:p w14:paraId="173DD65F"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7,260 </w:t>
            </w:r>
          </w:p>
        </w:tc>
      </w:tr>
      <w:tr w:rsidR="003E5BF5" w:rsidRPr="00D71A00" w14:paraId="494C43FB" w14:textId="77777777" w:rsidTr="000E2203">
        <w:trPr>
          <w:trHeight w:val="340"/>
        </w:trPr>
        <w:tc>
          <w:tcPr>
            <w:tcW w:w="5040" w:type="dxa"/>
            <w:shd w:val="clear" w:color="auto" w:fill="auto"/>
            <w:vAlign w:val="center"/>
            <w:hideMark/>
          </w:tcPr>
          <w:p w14:paraId="033A3D82"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Interest received</w:t>
            </w:r>
          </w:p>
        </w:tc>
        <w:tc>
          <w:tcPr>
            <w:tcW w:w="783" w:type="dxa"/>
            <w:shd w:val="clear" w:color="auto" w:fill="auto"/>
            <w:noWrap/>
            <w:vAlign w:val="center"/>
            <w:hideMark/>
          </w:tcPr>
          <w:p w14:paraId="6C56670F"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49BCAB8E"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2,710 </w:t>
            </w:r>
          </w:p>
        </w:tc>
        <w:tc>
          <w:tcPr>
            <w:tcW w:w="1542" w:type="dxa"/>
            <w:shd w:val="clear" w:color="auto" w:fill="auto"/>
            <w:noWrap/>
            <w:vAlign w:val="center"/>
            <w:hideMark/>
          </w:tcPr>
          <w:p w14:paraId="660E2FCA"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2,255 </w:t>
            </w:r>
          </w:p>
        </w:tc>
      </w:tr>
      <w:tr w:rsidR="003E5BF5" w:rsidRPr="00D71A00" w14:paraId="5032409A" w14:textId="77777777" w:rsidTr="000E2203">
        <w:trPr>
          <w:trHeight w:val="340"/>
        </w:trPr>
        <w:tc>
          <w:tcPr>
            <w:tcW w:w="5040" w:type="dxa"/>
            <w:shd w:val="clear" w:color="auto" w:fill="auto"/>
            <w:vAlign w:val="center"/>
            <w:hideMark/>
          </w:tcPr>
          <w:p w14:paraId="0DD8C7BB"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Total receipts</w:t>
            </w:r>
          </w:p>
        </w:tc>
        <w:tc>
          <w:tcPr>
            <w:tcW w:w="783" w:type="dxa"/>
            <w:shd w:val="clear" w:color="auto" w:fill="auto"/>
            <w:noWrap/>
            <w:vAlign w:val="center"/>
            <w:hideMark/>
          </w:tcPr>
          <w:p w14:paraId="507318B7" w14:textId="77777777" w:rsidR="003E5BF5" w:rsidRPr="00D71A00" w:rsidRDefault="003E5BF5" w:rsidP="00DE1921">
            <w:pPr>
              <w:jc w:val="right"/>
              <w:rPr>
                <w:rFonts w:ascii="Arial" w:hAnsi="Arial" w:cs="Arial"/>
                <w:b/>
                <w:sz w:val="24"/>
                <w:szCs w:val="24"/>
                <w:lang w:eastAsia="en-AU"/>
              </w:rPr>
            </w:pPr>
          </w:p>
        </w:tc>
        <w:tc>
          <w:tcPr>
            <w:tcW w:w="1542" w:type="dxa"/>
            <w:shd w:val="clear" w:color="auto" w:fill="auto"/>
            <w:noWrap/>
            <w:vAlign w:val="center"/>
            <w:hideMark/>
          </w:tcPr>
          <w:p w14:paraId="6A87FEC4"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 xml:space="preserve">11,189,130 </w:t>
            </w:r>
          </w:p>
        </w:tc>
        <w:tc>
          <w:tcPr>
            <w:tcW w:w="1542" w:type="dxa"/>
            <w:shd w:val="clear" w:color="auto" w:fill="auto"/>
            <w:noWrap/>
            <w:vAlign w:val="center"/>
            <w:hideMark/>
          </w:tcPr>
          <w:p w14:paraId="7E45A0AE"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 xml:space="preserve">8,283,411 </w:t>
            </w:r>
          </w:p>
        </w:tc>
      </w:tr>
      <w:tr w:rsidR="003E5BF5" w:rsidRPr="00D71A00" w14:paraId="22923D0B" w14:textId="77777777" w:rsidTr="000E2203">
        <w:trPr>
          <w:trHeight w:val="340"/>
        </w:trPr>
        <w:tc>
          <w:tcPr>
            <w:tcW w:w="5040" w:type="dxa"/>
            <w:shd w:val="clear" w:color="auto" w:fill="auto"/>
            <w:vAlign w:val="center"/>
            <w:hideMark/>
          </w:tcPr>
          <w:p w14:paraId="32E5247F" w14:textId="77777777" w:rsidR="003E5BF5" w:rsidRPr="00D71A00" w:rsidRDefault="003E5BF5" w:rsidP="00604703">
            <w:pPr>
              <w:pStyle w:val="TableTextGreen"/>
            </w:pPr>
            <w:r w:rsidRPr="00D71A00">
              <w:t>Payments</w:t>
            </w:r>
          </w:p>
        </w:tc>
        <w:tc>
          <w:tcPr>
            <w:tcW w:w="783" w:type="dxa"/>
            <w:shd w:val="clear" w:color="auto" w:fill="auto"/>
            <w:noWrap/>
            <w:vAlign w:val="center"/>
            <w:hideMark/>
          </w:tcPr>
          <w:p w14:paraId="1BB5D9BB" w14:textId="77777777" w:rsidR="003E5BF5" w:rsidRPr="00D71A00" w:rsidRDefault="003E5BF5" w:rsidP="00DE1921">
            <w:pPr>
              <w:jc w:val="right"/>
              <w:rPr>
                <w:rFonts w:ascii="Arial" w:hAnsi="Arial" w:cs="Arial"/>
                <w:b/>
                <w:sz w:val="24"/>
                <w:szCs w:val="24"/>
                <w:lang w:eastAsia="en-AU"/>
              </w:rPr>
            </w:pPr>
          </w:p>
        </w:tc>
        <w:tc>
          <w:tcPr>
            <w:tcW w:w="1542" w:type="dxa"/>
            <w:shd w:val="clear" w:color="auto" w:fill="auto"/>
            <w:noWrap/>
            <w:vAlign w:val="center"/>
            <w:hideMark/>
          </w:tcPr>
          <w:p w14:paraId="2A6E9A40"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70204F61" w14:textId="77777777" w:rsidR="003E5BF5" w:rsidRPr="00D71A00" w:rsidRDefault="003E5BF5" w:rsidP="00DE1921">
            <w:pPr>
              <w:jc w:val="right"/>
              <w:rPr>
                <w:rFonts w:ascii="Arial" w:hAnsi="Arial" w:cs="Arial"/>
                <w:sz w:val="24"/>
                <w:szCs w:val="24"/>
                <w:lang w:eastAsia="en-AU"/>
              </w:rPr>
            </w:pPr>
          </w:p>
        </w:tc>
      </w:tr>
      <w:tr w:rsidR="003E5BF5" w:rsidRPr="00D71A00" w14:paraId="52C1D43D" w14:textId="77777777" w:rsidTr="000E2203">
        <w:trPr>
          <w:trHeight w:val="340"/>
        </w:trPr>
        <w:tc>
          <w:tcPr>
            <w:tcW w:w="5040" w:type="dxa"/>
            <w:shd w:val="clear" w:color="auto" w:fill="auto"/>
            <w:vAlign w:val="center"/>
            <w:hideMark/>
          </w:tcPr>
          <w:p w14:paraId="5F3C8BC3"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Payments of grant expenses</w:t>
            </w:r>
          </w:p>
        </w:tc>
        <w:tc>
          <w:tcPr>
            <w:tcW w:w="783" w:type="dxa"/>
            <w:shd w:val="clear" w:color="auto" w:fill="auto"/>
            <w:noWrap/>
            <w:vAlign w:val="center"/>
            <w:hideMark/>
          </w:tcPr>
          <w:p w14:paraId="30CA9D98"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680C9D51"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(3,753,752)</w:t>
            </w:r>
          </w:p>
        </w:tc>
        <w:tc>
          <w:tcPr>
            <w:tcW w:w="1542" w:type="dxa"/>
            <w:shd w:val="clear" w:color="auto" w:fill="auto"/>
            <w:noWrap/>
            <w:vAlign w:val="center"/>
            <w:hideMark/>
          </w:tcPr>
          <w:p w14:paraId="46FC291B"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(7,995,287)</w:t>
            </w:r>
          </w:p>
        </w:tc>
      </w:tr>
      <w:tr w:rsidR="003E5BF5" w:rsidRPr="00D71A00" w14:paraId="4FD53678" w14:textId="77777777" w:rsidTr="000E2203">
        <w:trPr>
          <w:trHeight w:val="340"/>
        </w:trPr>
        <w:tc>
          <w:tcPr>
            <w:tcW w:w="5040" w:type="dxa"/>
            <w:shd w:val="clear" w:color="auto" w:fill="auto"/>
            <w:vAlign w:val="center"/>
            <w:hideMark/>
          </w:tcPr>
          <w:p w14:paraId="70F8036C"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Payments to suppliers and employees</w:t>
            </w:r>
          </w:p>
        </w:tc>
        <w:tc>
          <w:tcPr>
            <w:tcW w:w="783" w:type="dxa"/>
            <w:shd w:val="clear" w:color="auto" w:fill="auto"/>
            <w:noWrap/>
            <w:vAlign w:val="center"/>
            <w:hideMark/>
          </w:tcPr>
          <w:p w14:paraId="75A82936"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4F41FADF"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(3,441,914)</w:t>
            </w:r>
          </w:p>
        </w:tc>
        <w:tc>
          <w:tcPr>
            <w:tcW w:w="1542" w:type="dxa"/>
            <w:shd w:val="clear" w:color="auto" w:fill="auto"/>
            <w:noWrap/>
            <w:vAlign w:val="center"/>
            <w:hideMark/>
          </w:tcPr>
          <w:p w14:paraId="31421966"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(814,899)</w:t>
            </w:r>
          </w:p>
        </w:tc>
      </w:tr>
      <w:tr w:rsidR="003E5BF5" w:rsidRPr="00D71A00" w14:paraId="1DDEC8A9" w14:textId="77777777" w:rsidTr="000E2203">
        <w:trPr>
          <w:trHeight w:val="340"/>
        </w:trPr>
        <w:tc>
          <w:tcPr>
            <w:tcW w:w="5040" w:type="dxa"/>
            <w:shd w:val="clear" w:color="auto" w:fill="auto"/>
            <w:vAlign w:val="center"/>
            <w:hideMark/>
          </w:tcPr>
          <w:p w14:paraId="41978052"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Payments to public transport service providers</w:t>
            </w:r>
          </w:p>
        </w:tc>
        <w:tc>
          <w:tcPr>
            <w:tcW w:w="783" w:type="dxa"/>
            <w:shd w:val="clear" w:color="auto" w:fill="auto"/>
            <w:noWrap/>
            <w:vAlign w:val="center"/>
            <w:hideMark/>
          </w:tcPr>
          <w:p w14:paraId="6C22A4C0"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08174739"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(3,204,455)</w:t>
            </w:r>
          </w:p>
        </w:tc>
        <w:tc>
          <w:tcPr>
            <w:tcW w:w="1542" w:type="dxa"/>
            <w:shd w:val="clear" w:color="auto" w:fill="auto"/>
            <w:noWrap/>
            <w:vAlign w:val="center"/>
            <w:hideMark/>
          </w:tcPr>
          <w:p w14:paraId="001417B9"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 - </w:t>
            </w:r>
          </w:p>
        </w:tc>
      </w:tr>
      <w:tr w:rsidR="003E5BF5" w:rsidRPr="00D71A00" w14:paraId="4CA3C0DA" w14:textId="77777777" w:rsidTr="000E2203">
        <w:trPr>
          <w:trHeight w:val="340"/>
        </w:trPr>
        <w:tc>
          <w:tcPr>
            <w:tcW w:w="5040" w:type="dxa"/>
            <w:shd w:val="clear" w:color="auto" w:fill="auto"/>
            <w:vAlign w:val="center"/>
            <w:hideMark/>
          </w:tcPr>
          <w:p w14:paraId="06C4B492"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Capital asset charge payments </w:t>
            </w:r>
          </w:p>
        </w:tc>
        <w:tc>
          <w:tcPr>
            <w:tcW w:w="783" w:type="dxa"/>
            <w:shd w:val="clear" w:color="auto" w:fill="auto"/>
            <w:noWrap/>
            <w:vAlign w:val="center"/>
            <w:hideMark/>
          </w:tcPr>
          <w:p w14:paraId="434FF67E"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6DB0151D"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(74,519)</w:t>
            </w:r>
          </w:p>
        </w:tc>
        <w:tc>
          <w:tcPr>
            <w:tcW w:w="1542" w:type="dxa"/>
            <w:shd w:val="clear" w:color="auto" w:fill="auto"/>
            <w:noWrap/>
            <w:vAlign w:val="center"/>
            <w:hideMark/>
          </w:tcPr>
          <w:p w14:paraId="1726F578"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(50,964)</w:t>
            </w:r>
          </w:p>
        </w:tc>
      </w:tr>
      <w:tr w:rsidR="003E5BF5" w:rsidRPr="00D71A00" w14:paraId="1DE9B8B7" w14:textId="77777777" w:rsidTr="000E2203">
        <w:trPr>
          <w:trHeight w:val="340"/>
        </w:trPr>
        <w:tc>
          <w:tcPr>
            <w:tcW w:w="5040" w:type="dxa"/>
            <w:shd w:val="clear" w:color="auto" w:fill="auto"/>
            <w:vAlign w:val="center"/>
            <w:hideMark/>
          </w:tcPr>
          <w:p w14:paraId="412A573E"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Interest and other financing costs</w:t>
            </w:r>
          </w:p>
        </w:tc>
        <w:tc>
          <w:tcPr>
            <w:tcW w:w="783" w:type="dxa"/>
            <w:shd w:val="clear" w:color="auto" w:fill="auto"/>
            <w:noWrap/>
            <w:vAlign w:val="center"/>
            <w:hideMark/>
          </w:tcPr>
          <w:p w14:paraId="1061BC85"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1089E960"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(129,258)</w:t>
            </w:r>
          </w:p>
        </w:tc>
        <w:tc>
          <w:tcPr>
            <w:tcW w:w="1542" w:type="dxa"/>
            <w:shd w:val="clear" w:color="auto" w:fill="auto"/>
            <w:noWrap/>
            <w:vAlign w:val="center"/>
            <w:hideMark/>
          </w:tcPr>
          <w:p w14:paraId="15CABE0D"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(16,964)</w:t>
            </w:r>
          </w:p>
        </w:tc>
      </w:tr>
      <w:tr w:rsidR="003E5BF5" w:rsidRPr="00D71A00" w14:paraId="618579BE" w14:textId="77777777" w:rsidTr="000E2203">
        <w:trPr>
          <w:trHeight w:val="340"/>
        </w:trPr>
        <w:tc>
          <w:tcPr>
            <w:tcW w:w="5040" w:type="dxa"/>
            <w:shd w:val="clear" w:color="auto" w:fill="auto"/>
            <w:vAlign w:val="center"/>
            <w:hideMark/>
          </w:tcPr>
          <w:p w14:paraId="2A5FFC9A"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Total payments</w:t>
            </w:r>
          </w:p>
        </w:tc>
        <w:tc>
          <w:tcPr>
            <w:tcW w:w="783" w:type="dxa"/>
            <w:shd w:val="clear" w:color="auto" w:fill="auto"/>
            <w:noWrap/>
            <w:vAlign w:val="center"/>
            <w:hideMark/>
          </w:tcPr>
          <w:p w14:paraId="3F6A7BA8"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7316C275"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10,603,898</w:t>
            </w:r>
          </w:p>
        </w:tc>
        <w:tc>
          <w:tcPr>
            <w:tcW w:w="1542" w:type="dxa"/>
            <w:shd w:val="clear" w:color="auto" w:fill="auto"/>
            <w:noWrap/>
            <w:vAlign w:val="center"/>
            <w:hideMark/>
          </w:tcPr>
          <w:p w14:paraId="4B2EE7F5"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(8,878,114)</w:t>
            </w:r>
          </w:p>
        </w:tc>
      </w:tr>
      <w:tr w:rsidR="003E5BF5" w:rsidRPr="00D71A00" w14:paraId="46830199" w14:textId="77777777" w:rsidTr="000E2203">
        <w:trPr>
          <w:trHeight w:val="340"/>
        </w:trPr>
        <w:tc>
          <w:tcPr>
            <w:tcW w:w="5040" w:type="dxa"/>
            <w:shd w:val="clear" w:color="auto" w:fill="auto"/>
            <w:vAlign w:val="center"/>
            <w:hideMark/>
          </w:tcPr>
          <w:p w14:paraId="589C62C3"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Net cash flows from/ (used in) operating activities</w:t>
            </w:r>
          </w:p>
        </w:tc>
        <w:tc>
          <w:tcPr>
            <w:tcW w:w="783" w:type="dxa"/>
            <w:shd w:val="clear" w:color="auto" w:fill="auto"/>
            <w:noWrap/>
            <w:vAlign w:val="center"/>
            <w:hideMark/>
          </w:tcPr>
          <w:p w14:paraId="0285AC88" w14:textId="77777777" w:rsidR="003E5BF5" w:rsidRPr="00D71A00" w:rsidRDefault="009B2DDD" w:rsidP="00DE1921">
            <w:pPr>
              <w:jc w:val="right"/>
              <w:rPr>
                <w:rFonts w:ascii="Arial" w:hAnsi="Arial" w:cs="Arial"/>
                <w:sz w:val="24"/>
                <w:szCs w:val="24"/>
                <w:lang w:eastAsia="en-AU"/>
              </w:rPr>
            </w:pPr>
            <w:hyperlink w:anchor="_Reconciliation_of_net" w:history="1">
              <w:r w:rsidR="003E5BF5" w:rsidRPr="00D71A00">
                <w:rPr>
                  <w:rStyle w:val="Hyperlink"/>
                  <w:rFonts w:ascii="Arial" w:hAnsi="Arial" w:cs="Arial"/>
                  <w:sz w:val="24"/>
                  <w:szCs w:val="24"/>
                  <w:lang w:eastAsia="en-AU"/>
                </w:rPr>
                <w:t>7.3.</w:t>
              </w:r>
            </w:hyperlink>
            <w:r w:rsidR="003E5BF5" w:rsidRPr="00D71A00">
              <w:rPr>
                <w:rStyle w:val="Hyperlink"/>
                <w:rFonts w:ascii="Arial" w:hAnsi="Arial" w:cs="Arial"/>
                <w:sz w:val="24"/>
                <w:szCs w:val="24"/>
                <w:lang w:eastAsia="en-AU"/>
              </w:rPr>
              <w:t>1</w:t>
            </w:r>
          </w:p>
        </w:tc>
        <w:tc>
          <w:tcPr>
            <w:tcW w:w="1542" w:type="dxa"/>
            <w:shd w:val="clear" w:color="auto" w:fill="auto"/>
            <w:noWrap/>
            <w:vAlign w:val="center"/>
            <w:hideMark/>
          </w:tcPr>
          <w:p w14:paraId="5D38A124"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 xml:space="preserve">585,232 </w:t>
            </w:r>
          </w:p>
        </w:tc>
        <w:tc>
          <w:tcPr>
            <w:tcW w:w="1542" w:type="dxa"/>
            <w:shd w:val="clear" w:color="auto" w:fill="auto"/>
            <w:noWrap/>
            <w:vAlign w:val="center"/>
            <w:hideMark/>
          </w:tcPr>
          <w:p w14:paraId="608AC3B6"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(594,703)</w:t>
            </w:r>
          </w:p>
        </w:tc>
      </w:tr>
      <w:tr w:rsidR="003E5BF5" w:rsidRPr="00D71A00" w14:paraId="0A359E8A" w14:textId="77777777" w:rsidTr="000E2203">
        <w:trPr>
          <w:trHeight w:val="340"/>
        </w:trPr>
        <w:tc>
          <w:tcPr>
            <w:tcW w:w="5040" w:type="dxa"/>
            <w:shd w:val="clear" w:color="auto" w:fill="auto"/>
          </w:tcPr>
          <w:p w14:paraId="2AE11450" w14:textId="77777777" w:rsidR="003E5BF5" w:rsidRPr="00D71A00" w:rsidRDefault="003E5BF5" w:rsidP="00DE1921">
            <w:pPr>
              <w:rPr>
                <w:rFonts w:ascii="Arial" w:hAnsi="Arial" w:cs="Arial"/>
                <w:b/>
                <w:sz w:val="24"/>
                <w:szCs w:val="24"/>
                <w:lang w:eastAsia="en-AU"/>
              </w:rPr>
            </w:pPr>
          </w:p>
        </w:tc>
        <w:tc>
          <w:tcPr>
            <w:tcW w:w="783" w:type="dxa"/>
            <w:shd w:val="clear" w:color="auto" w:fill="auto"/>
            <w:noWrap/>
            <w:vAlign w:val="center"/>
          </w:tcPr>
          <w:p w14:paraId="17D510B7"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tcPr>
          <w:p w14:paraId="63EEF32D"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tcPr>
          <w:p w14:paraId="60F3F61D" w14:textId="77777777" w:rsidR="003E5BF5" w:rsidRPr="00D71A00" w:rsidRDefault="003E5BF5" w:rsidP="00DE1921">
            <w:pPr>
              <w:jc w:val="right"/>
              <w:rPr>
                <w:rFonts w:ascii="Arial" w:hAnsi="Arial" w:cs="Arial"/>
                <w:sz w:val="24"/>
                <w:szCs w:val="24"/>
                <w:lang w:eastAsia="en-AU"/>
              </w:rPr>
            </w:pPr>
          </w:p>
        </w:tc>
      </w:tr>
      <w:tr w:rsidR="003E5BF5" w:rsidRPr="00D71A00" w14:paraId="1BB88333" w14:textId="77777777" w:rsidTr="000E2203">
        <w:trPr>
          <w:trHeight w:val="340"/>
        </w:trPr>
        <w:tc>
          <w:tcPr>
            <w:tcW w:w="5040" w:type="dxa"/>
            <w:shd w:val="clear" w:color="auto" w:fill="auto"/>
            <w:vAlign w:val="center"/>
            <w:hideMark/>
          </w:tcPr>
          <w:p w14:paraId="460FCC1B" w14:textId="77777777" w:rsidR="003E5BF5" w:rsidRPr="00D71A00" w:rsidRDefault="003E5BF5" w:rsidP="00604703">
            <w:pPr>
              <w:pStyle w:val="TableTextGreen"/>
            </w:pPr>
            <w:r w:rsidRPr="00D71A00">
              <w:t>Cash flows from investing activities</w:t>
            </w:r>
          </w:p>
        </w:tc>
        <w:tc>
          <w:tcPr>
            <w:tcW w:w="783" w:type="dxa"/>
            <w:shd w:val="clear" w:color="auto" w:fill="auto"/>
            <w:noWrap/>
            <w:vAlign w:val="center"/>
            <w:hideMark/>
          </w:tcPr>
          <w:p w14:paraId="6715F595"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507B43CC"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23E4CDD1" w14:textId="77777777" w:rsidR="003E5BF5" w:rsidRPr="00D71A00" w:rsidRDefault="003E5BF5" w:rsidP="00DE1921">
            <w:pPr>
              <w:jc w:val="right"/>
              <w:rPr>
                <w:rFonts w:ascii="Arial" w:hAnsi="Arial" w:cs="Arial"/>
                <w:sz w:val="24"/>
                <w:szCs w:val="24"/>
                <w:lang w:eastAsia="en-AU"/>
              </w:rPr>
            </w:pPr>
          </w:p>
        </w:tc>
      </w:tr>
      <w:tr w:rsidR="003E5BF5" w:rsidRPr="00D71A00" w14:paraId="2E8F5860" w14:textId="77777777" w:rsidTr="000E2203">
        <w:trPr>
          <w:trHeight w:val="340"/>
        </w:trPr>
        <w:tc>
          <w:tcPr>
            <w:tcW w:w="5040" w:type="dxa"/>
            <w:shd w:val="clear" w:color="auto" w:fill="auto"/>
            <w:vAlign w:val="center"/>
            <w:hideMark/>
          </w:tcPr>
          <w:p w14:paraId="108DFED1" w14:textId="77777777" w:rsidR="003E5BF5" w:rsidRPr="00D71A00" w:rsidRDefault="003E5BF5" w:rsidP="00604703">
            <w:pPr>
              <w:pStyle w:val="TableTextGreen"/>
            </w:pPr>
            <w:r w:rsidRPr="00D71A00">
              <w:t>Receipts</w:t>
            </w:r>
          </w:p>
        </w:tc>
        <w:tc>
          <w:tcPr>
            <w:tcW w:w="783" w:type="dxa"/>
            <w:shd w:val="clear" w:color="auto" w:fill="auto"/>
            <w:noWrap/>
            <w:vAlign w:val="center"/>
            <w:hideMark/>
          </w:tcPr>
          <w:p w14:paraId="32754FC0" w14:textId="77777777" w:rsidR="003E5BF5" w:rsidRPr="00D71A00" w:rsidRDefault="003E5BF5" w:rsidP="00DE1921">
            <w:pPr>
              <w:jc w:val="right"/>
              <w:rPr>
                <w:rFonts w:ascii="Arial" w:hAnsi="Arial" w:cs="Arial"/>
                <w:b/>
                <w:sz w:val="24"/>
                <w:szCs w:val="24"/>
                <w:lang w:eastAsia="en-AU"/>
              </w:rPr>
            </w:pPr>
          </w:p>
        </w:tc>
        <w:tc>
          <w:tcPr>
            <w:tcW w:w="1542" w:type="dxa"/>
            <w:shd w:val="clear" w:color="auto" w:fill="auto"/>
            <w:noWrap/>
            <w:vAlign w:val="center"/>
            <w:hideMark/>
          </w:tcPr>
          <w:p w14:paraId="59813896"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4D64C967" w14:textId="77777777" w:rsidR="003E5BF5" w:rsidRPr="00D71A00" w:rsidRDefault="003E5BF5" w:rsidP="00DE1921">
            <w:pPr>
              <w:jc w:val="right"/>
              <w:rPr>
                <w:rFonts w:ascii="Arial" w:hAnsi="Arial" w:cs="Arial"/>
                <w:sz w:val="24"/>
                <w:szCs w:val="24"/>
                <w:lang w:eastAsia="en-AU"/>
              </w:rPr>
            </w:pPr>
          </w:p>
        </w:tc>
      </w:tr>
      <w:tr w:rsidR="003E5BF5" w:rsidRPr="00D71A00" w14:paraId="5649287A" w14:textId="77777777" w:rsidTr="000E2203">
        <w:trPr>
          <w:trHeight w:val="340"/>
        </w:trPr>
        <w:tc>
          <w:tcPr>
            <w:tcW w:w="5040" w:type="dxa"/>
            <w:shd w:val="clear" w:color="auto" w:fill="auto"/>
            <w:vAlign w:val="center"/>
            <w:hideMark/>
          </w:tcPr>
          <w:p w14:paraId="4C3E1A30"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Sale of non-financial assets</w:t>
            </w:r>
          </w:p>
        </w:tc>
        <w:tc>
          <w:tcPr>
            <w:tcW w:w="783" w:type="dxa"/>
            <w:shd w:val="clear" w:color="auto" w:fill="auto"/>
            <w:noWrap/>
            <w:vAlign w:val="center"/>
            <w:hideMark/>
          </w:tcPr>
          <w:p w14:paraId="057F8FF0"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09C19E44"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9,973 </w:t>
            </w:r>
          </w:p>
        </w:tc>
        <w:tc>
          <w:tcPr>
            <w:tcW w:w="1542" w:type="dxa"/>
            <w:shd w:val="clear" w:color="auto" w:fill="auto"/>
            <w:noWrap/>
            <w:vAlign w:val="center"/>
            <w:hideMark/>
          </w:tcPr>
          <w:p w14:paraId="63E15365"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14,878 </w:t>
            </w:r>
          </w:p>
        </w:tc>
      </w:tr>
      <w:tr w:rsidR="003E5BF5" w:rsidRPr="00D71A00" w14:paraId="4DF6F9BC" w14:textId="77777777" w:rsidTr="000E2203">
        <w:trPr>
          <w:trHeight w:val="340"/>
        </w:trPr>
        <w:tc>
          <w:tcPr>
            <w:tcW w:w="5040" w:type="dxa"/>
            <w:shd w:val="clear" w:color="auto" w:fill="auto"/>
            <w:vAlign w:val="center"/>
            <w:hideMark/>
          </w:tcPr>
          <w:p w14:paraId="4FA2A18B" w14:textId="77777777" w:rsidR="003E5BF5" w:rsidRPr="00D71A00" w:rsidRDefault="003E5BF5" w:rsidP="00DE1921">
            <w:pPr>
              <w:rPr>
                <w:rFonts w:ascii="Arial" w:hAnsi="Arial" w:cs="Arial"/>
                <w:b/>
                <w:sz w:val="24"/>
                <w:szCs w:val="24"/>
                <w:lang w:eastAsia="en-AU"/>
              </w:rPr>
            </w:pPr>
            <w:r w:rsidRPr="00D71A00">
              <w:rPr>
                <w:rFonts w:ascii="Arial" w:hAnsi="Arial" w:cs="Arial"/>
                <w:b/>
                <w:sz w:val="24"/>
                <w:szCs w:val="24"/>
                <w:lang w:eastAsia="en-AU"/>
              </w:rPr>
              <w:t>Total receipts</w:t>
            </w:r>
          </w:p>
        </w:tc>
        <w:tc>
          <w:tcPr>
            <w:tcW w:w="783" w:type="dxa"/>
            <w:shd w:val="clear" w:color="auto" w:fill="auto"/>
            <w:noWrap/>
            <w:vAlign w:val="center"/>
            <w:hideMark/>
          </w:tcPr>
          <w:p w14:paraId="2D1C2771" w14:textId="77777777" w:rsidR="003E5BF5" w:rsidRPr="00D71A00" w:rsidRDefault="003E5BF5" w:rsidP="00DE1921">
            <w:pPr>
              <w:jc w:val="right"/>
              <w:rPr>
                <w:rFonts w:ascii="Arial" w:hAnsi="Arial" w:cs="Arial"/>
                <w:b/>
                <w:sz w:val="24"/>
                <w:szCs w:val="24"/>
                <w:lang w:eastAsia="en-AU"/>
              </w:rPr>
            </w:pPr>
          </w:p>
        </w:tc>
        <w:tc>
          <w:tcPr>
            <w:tcW w:w="1542" w:type="dxa"/>
            <w:shd w:val="clear" w:color="auto" w:fill="auto"/>
            <w:noWrap/>
            <w:vAlign w:val="center"/>
            <w:hideMark/>
          </w:tcPr>
          <w:p w14:paraId="2C21DAA4"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 xml:space="preserve">9,973 </w:t>
            </w:r>
          </w:p>
        </w:tc>
        <w:tc>
          <w:tcPr>
            <w:tcW w:w="1542" w:type="dxa"/>
            <w:shd w:val="clear" w:color="auto" w:fill="auto"/>
            <w:noWrap/>
            <w:vAlign w:val="center"/>
            <w:hideMark/>
          </w:tcPr>
          <w:p w14:paraId="29CD8F16"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 xml:space="preserve">14,878 </w:t>
            </w:r>
          </w:p>
        </w:tc>
      </w:tr>
      <w:tr w:rsidR="003E5BF5" w:rsidRPr="00D71A00" w14:paraId="1959E807" w14:textId="77777777" w:rsidTr="000E2203">
        <w:trPr>
          <w:trHeight w:val="340"/>
        </w:trPr>
        <w:tc>
          <w:tcPr>
            <w:tcW w:w="5040" w:type="dxa"/>
            <w:shd w:val="clear" w:color="auto" w:fill="auto"/>
            <w:vAlign w:val="center"/>
            <w:hideMark/>
          </w:tcPr>
          <w:p w14:paraId="16D78AB9" w14:textId="77777777" w:rsidR="003E5BF5" w:rsidRPr="00D71A00" w:rsidRDefault="003E5BF5" w:rsidP="00604703">
            <w:pPr>
              <w:pStyle w:val="TableTextGreen"/>
            </w:pPr>
            <w:r w:rsidRPr="00D71A00">
              <w:t>Payments</w:t>
            </w:r>
          </w:p>
        </w:tc>
        <w:tc>
          <w:tcPr>
            <w:tcW w:w="783" w:type="dxa"/>
            <w:shd w:val="clear" w:color="auto" w:fill="auto"/>
            <w:noWrap/>
            <w:vAlign w:val="center"/>
            <w:hideMark/>
          </w:tcPr>
          <w:p w14:paraId="65F1A47C" w14:textId="77777777" w:rsidR="003E5BF5" w:rsidRPr="00D71A00" w:rsidRDefault="003E5BF5" w:rsidP="00DE1921">
            <w:pPr>
              <w:jc w:val="right"/>
              <w:rPr>
                <w:rFonts w:ascii="Arial" w:hAnsi="Arial" w:cs="Arial"/>
                <w:b/>
                <w:sz w:val="24"/>
                <w:szCs w:val="24"/>
                <w:lang w:eastAsia="en-AU"/>
              </w:rPr>
            </w:pPr>
          </w:p>
        </w:tc>
        <w:tc>
          <w:tcPr>
            <w:tcW w:w="1542" w:type="dxa"/>
            <w:shd w:val="clear" w:color="auto" w:fill="auto"/>
            <w:noWrap/>
            <w:vAlign w:val="center"/>
            <w:hideMark/>
          </w:tcPr>
          <w:p w14:paraId="02401B9E"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70702575" w14:textId="77777777" w:rsidR="003E5BF5" w:rsidRPr="00D71A00" w:rsidRDefault="003E5BF5" w:rsidP="00DE1921">
            <w:pPr>
              <w:jc w:val="right"/>
              <w:rPr>
                <w:rFonts w:ascii="Arial" w:hAnsi="Arial" w:cs="Arial"/>
                <w:sz w:val="24"/>
                <w:szCs w:val="24"/>
                <w:lang w:eastAsia="en-AU"/>
              </w:rPr>
            </w:pPr>
          </w:p>
        </w:tc>
      </w:tr>
      <w:tr w:rsidR="003E5BF5" w:rsidRPr="00D71A00" w14:paraId="4BABA5EF" w14:textId="77777777" w:rsidTr="000E2203">
        <w:trPr>
          <w:trHeight w:val="340"/>
        </w:trPr>
        <w:tc>
          <w:tcPr>
            <w:tcW w:w="5040" w:type="dxa"/>
            <w:shd w:val="clear" w:color="auto" w:fill="auto"/>
            <w:vAlign w:val="center"/>
            <w:hideMark/>
          </w:tcPr>
          <w:p w14:paraId="29271BF4"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Payments for property, plant and equipment</w:t>
            </w:r>
          </w:p>
        </w:tc>
        <w:tc>
          <w:tcPr>
            <w:tcW w:w="783" w:type="dxa"/>
            <w:shd w:val="clear" w:color="auto" w:fill="auto"/>
            <w:noWrap/>
            <w:vAlign w:val="center"/>
            <w:hideMark/>
          </w:tcPr>
          <w:p w14:paraId="5C681716"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204A90B8"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(6,216,888)</w:t>
            </w:r>
          </w:p>
        </w:tc>
        <w:tc>
          <w:tcPr>
            <w:tcW w:w="1542" w:type="dxa"/>
            <w:shd w:val="clear" w:color="auto" w:fill="auto"/>
            <w:noWrap/>
            <w:vAlign w:val="center"/>
            <w:hideMark/>
          </w:tcPr>
          <w:p w14:paraId="679EA1A2"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(3,912,933)</w:t>
            </w:r>
          </w:p>
        </w:tc>
      </w:tr>
      <w:tr w:rsidR="003E5BF5" w:rsidRPr="00D71A00" w14:paraId="2E4F6D52" w14:textId="77777777" w:rsidTr="000E2203">
        <w:trPr>
          <w:trHeight w:val="340"/>
        </w:trPr>
        <w:tc>
          <w:tcPr>
            <w:tcW w:w="5040" w:type="dxa"/>
            <w:shd w:val="clear" w:color="auto" w:fill="auto"/>
            <w:vAlign w:val="center"/>
            <w:hideMark/>
          </w:tcPr>
          <w:p w14:paraId="130992C0"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Payments for intangible assets</w:t>
            </w:r>
          </w:p>
        </w:tc>
        <w:tc>
          <w:tcPr>
            <w:tcW w:w="783" w:type="dxa"/>
            <w:shd w:val="clear" w:color="auto" w:fill="auto"/>
            <w:noWrap/>
            <w:vAlign w:val="center"/>
            <w:hideMark/>
          </w:tcPr>
          <w:p w14:paraId="714F89D1"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13670E5D"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(22,848)</w:t>
            </w:r>
          </w:p>
        </w:tc>
        <w:tc>
          <w:tcPr>
            <w:tcW w:w="1542" w:type="dxa"/>
            <w:shd w:val="clear" w:color="auto" w:fill="auto"/>
            <w:noWrap/>
            <w:vAlign w:val="center"/>
            <w:hideMark/>
          </w:tcPr>
          <w:p w14:paraId="739ECDF0"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(660)</w:t>
            </w:r>
          </w:p>
        </w:tc>
      </w:tr>
      <w:tr w:rsidR="003E5BF5" w:rsidRPr="00D71A00" w14:paraId="504C491A" w14:textId="77777777" w:rsidTr="000E2203">
        <w:trPr>
          <w:trHeight w:val="340"/>
        </w:trPr>
        <w:tc>
          <w:tcPr>
            <w:tcW w:w="5040" w:type="dxa"/>
            <w:shd w:val="clear" w:color="auto" w:fill="auto"/>
            <w:vAlign w:val="center"/>
            <w:hideMark/>
          </w:tcPr>
          <w:p w14:paraId="3821A374"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Total payments</w:t>
            </w:r>
          </w:p>
        </w:tc>
        <w:tc>
          <w:tcPr>
            <w:tcW w:w="783" w:type="dxa"/>
            <w:shd w:val="clear" w:color="auto" w:fill="auto"/>
            <w:noWrap/>
            <w:vAlign w:val="center"/>
            <w:hideMark/>
          </w:tcPr>
          <w:p w14:paraId="7D88699C" w14:textId="77777777" w:rsidR="003E5BF5" w:rsidRPr="00D71A00" w:rsidRDefault="003E5BF5" w:rsidP="00DE1921">
            <w:pPr>
              <w:jc w:val="right"/>
              <w:rPr>
                <w:rFonts w:ascii="Arial" w:hAnsi="Arial" w:cs="Arial"/>
                <w:b/>
                <w:sz w:val="24"/>
                <w:szCs w:val="24"/>
                <w:lang w:eastAsia="en-AU"/>
              </w:rPr>
            </w:pPr>
          </w:p>
        </w:tc>
        <w:tc>
          <w:tcPr>
            <w:tcW w:w="1542" w:type="dxa"/>
            <w:shd w:val="clear" w:color="auto" w:fill="auto"/>
            <w:noWrap/>
            <w:vAlign w:val="center"/>
            <w:hideMark/>
          </w:tcPr>
          <w:p w14:paraId="75488905"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(6,239,736)</w:t>
            </w:r>
          </w:p>
        </w:tc>
        <w:tc>
          <w:tcPr>
            <w:tcW w:w="1542" w:type="dxa"/>
            <w:shd w:val="clear" w:color="auto" w:fill="auto"/>
            <w:noWrap/>
            <w:vAlign w:val="center"/>
            <w:hideMark/>
          </w:tcPr>
          <w:p w14:paraId="7ABD6EB0"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(3,913,593)</w:t>
            </w:r>
          </w:p>
        </w:tc>
      </w:tr>
      <w:tr w:rsidR="003E5BF5" w:rsidRPr="00D71A00" w14:paraId="44E18222" w14:textId="77777777" w:rsidTr="000E2203">
        <w:trPr>
          <w:trHeight w:val="340"/>
        </w:trPr>
        <w:tc>
          <w:tcPr>
            <w:tcW w:w="5040" w:type="dxa"/>
            <w:shd w:val="clear" w:color="auto" w:fill="auto"/>
            <w:vAlign w:val="center"/>
            <w:hideMark/>
          </w:tcPr>
          <w:p w14:paraId="199D4B55"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Net cash flows from/ (used in) investing activities</w:t>
            </w:r>
          </w:p>
        </w:tc>
        <w:tc>
          <w:tcPr>
            <w:tcW w:w="783" w:type="dxa"/>
            <w:shd w:val="clear" w:color="auto" w:fill="auto"/>
            <w:noWrap/>
            <w:vAlign w:val="center"/>
            <w:hideMark/>
          </w:tcPr>
          <w:p w14:paraId="425FAA09" w14:textId="77777777" w:rsidR="003E5BF5" w:rsidRPr="00D71A00" w:rsidRDefault="003E5BF5" w:rsidP="00DE1921">
            <w:pPr>
              <w:jc w:val="right"/>
              <w:rPr>
                <w:rFonts w:ascii="Arial" w:hAnsi="Arial" w:cs="Arial"/>
                <w:b/>
                <w:sz w:val="24"/>
                <w:szCs w:val="24"/>
                <w:lang w:eastAsia="en-AU"/>
              </w:rPr>
            </w:pPr>
          </w:p>
        </w:tc>
        <w:tc>
          <w:tcPr>
            <w:tcW w:w="1542" w:type="dxa"/>
            <w:shd w:val="clear" w:color="auto" w:fill="auto"/>
            <w:noWrap/>
            <w:vAlign w:val="center"/>
            <w:hideMark/>
          </w:tcPr>
          <w:p w14:paraId="6B0AF0E9"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(6,229,763)</w:t>
            </w:r>
          </w:p>
        </w:tc>
        <w:tc>
          <w:tcPr>
            <w:tcW w:w="1542" w:type="dxa"/>
            <w:shd w:val="clear" w:color="auto" w:fill="auto"/>
            <w:noWrap/>
            <w:vAlign w:val="center"/>
            <w:hideMark/>
          </w:tcPr>
          <w:p w14:paraId="1DC90C17"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(3,898,715)</w:t>
            </w:r>
          </w:p>
        </w:tc>
      </w:tr>
      <w:tr w:rsidR="003E5BF5" w:rsidRPr="00D71A00" w14:paraId="32D89ED3" w14:textId="77777777" w:rsidTr="000E2203">
        <w:trPr>
          <w:trHeight w:val="340"/>
        </w:trPr>
        <w:tc>
          <w:tcPr>
            <w:tcW w:w="5040" w:type="dxa"/>
            <w:shd w:val="clear" w:color="auto" w:fill="auto"/>
            <w:vAlign w:val="center"/>
          </w:tcPr>
          <w:p w14:paraId="1A4A1989" w14:textId="77777777" w:rsidR="003E5BF5" w:rsidRPr="00D71A00" w:rsidRDefault="003E5BF5" w:rsidP="00DE1921">
            <w:pPr>
              <w:rPr>
                <w:rFonts w:ascii="Arial" w:hAnsi="Arial" w:cs="Arial"/>
                <w:b/>
                <w:sz w:val="24"/>
                <w:szCs w:val="24"/>
                <w:lang w:eastAsia="en-AU"/>
              </w:rPr>
            </w:pPr>
          </w:p>
        </w:tc>
        <w:tc>
          <w:tcPr>
            <w:tcW w:w="783" w:type="dxa"/>
            <w:shd w:val="clear" w:color="auto" w:fill="auto"/>
            <w:noWrap/>
            <w:vAlign w:val="center"/>
          </w:tcPr>
          <w:p w14:paraId="27C265AD" w14:textId="77777777" w:rsidR="003E5BF5" w:rsidRPr="00D71A00" w:rsidRDefault="003E5BF5" w:rsidP="00DE1921">
            <w:pPr>
              <w:jc w:val="right"/>
              <w:rPr>
                <w:rFonts w:ascii="Arial" w:hAnsi="Arial" w:cs="Arial"/>
                <w:b/>
                <w:sz w:val="24"/>
                <w:szCs w:val="24"/>
                <w:lang w:eastAsia="en-AU"/>
              </w:rPr>
            </w:pPr>
          </w:p>
        </w:tc>
        <w:tc>
          <w:tcPr>
            <w:tcW w:w="1542" w:type="dxa"/>
            <w:shd w:val="clear" w:color="auto" w:fill="auto"/>
            <w:noWrap/>
            <w:vAlign w:val="center"/>
          </w:tcPr>
          <w:p w14:paraId="67C36D92" w14:textId="77777777" w:rsidR="003E5BF5" w:rsidRPr="00D71A00" w:rsidRDefault="003E5BF5" w:rsidP="00DE1921">
            <w:pPr>
              <w:jc w:val="right"/>
              <w:rPr>
                <w:rFonts w:ascii="Arial" w:hAnsi="Arial" w:cs="Arial"/>
                <w:b/>
                <w:sz w:val="24"/>
                <w:szCs w:val="24"/>
              </w:rPr>
            </w:pPr>
          </w:p>
        </w:tc>
        <w:tc>
          <w:tcPr>
            <w:tcW w:w="1542" w:type="dxa"/>
            <w:shd w:val="clear" w:color="auto" w:fill="auto"/>
            <w:noWrap/>
            <w:vAlign w:val="center"/>
          </w:tcPr>
          <w:p w14:paraId="4F4F5E11" w14:textId="77777777" w:rsidR="003E5BF5" w:rsidRPr="00D71A00" w:rsidRDefault="003E5BF5" w:rsidP="00DE1921">
            <w:pPr>
              <w:jc w:val="right"/>
              <w:rPr>
                <w:rFonts w:ascii="Arial" w:hAnsi="Arial" w:cs="Arial"/>
                <w:b/>
                <w:sz w:val="24"/>
                <w:szCs w:val="24"/>
              </w:rPr>
            </w:pPr>
          </w:p>
        </w:tc>
      </w:tr>
      <w:tr w:rsidR="003E5BF5" w:rsidRPr="00D71A00" w14:paraId="21A41E3A" w14:textId="77777777" w:rsidTr="000E2203">
        <w:trPr>
          <w:trHeight w:val="340"/>
        </w:trPr>
        <w:tc>
          <w:tcPr>
            <w:tcW w:w="5040" w:type="dxa"/>
            <w:shd w:val="clear" w:color="auto" w:fill="auto"/>
            <w:vAlign w:val="center"/>
            <w:hideMark/>
          </w:tcPr>
          <w:p w14:paraId="3B51C6AA" w14:textId="77777777" w:rsidR="003E5BF5" w:rsidRPr="00D71A00" w:rsidRDefault="003E5BF5" w:rsidP="00604703">
            <w:pPr>
              <w:pStyle w:val="TableTextGreen"/>
            </w:pPr>
            <w:r w:rsidRPr="00D71A00">
              <w:t>Cash flows from financing activities</w:t>
            </w:r>
          </w:p>
        </w:tc>
        <w:tc>
          <w:tcPr>
            <w:tcW w:w="783" w:type="dxa"/>
            <w:shd w:val="clear" w:color="auto" w:fill="auto"/>
            <w:noWrap/>
            <w:vAlign w:val="center"/>
            <w:hideMark/>
          </w:tcPr>
          <w:p w14:paraId="4B3F4292" w14:textId="77777777" w:rsidR="003E5BF5" w:rsidRPr="00D71A00" w:rsidRDefault="003E5BF5" w:rsidP="00DE1921">
            <w:pPr>
              <w:jc w:val="right"/>
              <w:rPr>
                <w:rFonts w:ascii="Arial" w:hAnsi="Arial" w:cs="Arial"/>
                <w:b/>
                <w:sz w:val="24"/>
                <w:szCs w:val="24"/>
                <w:lang w:eastAsia="en-AU"/>
              </w:rPr>
            </w:pPr>
          </w:p>
        </w:tc>
        <w:tc>
          <w:tcPr>
            <w:tcW w:w="1542" w:type="dxa"/>
            <w:shd w:val="clear" w:color="auto" w:fill="auto"/>
            <w:noWrap/>
            <w:vAlign w:val="center"/>
            <w:hideMark/>
          </w:tcPr>
          <w:p w14:paraId="54E9BA92"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25A76395" w14:textId="77777777" w:rsidR="003E5BF5" w:rsidRPr="00D71A00" w:rsidRDefault="003E5BF5" w:rsidP="00DE1921">
            <w:pPr>
              <w:jc w:val="right"/>
              <w:rPr>
                <w:rFonts w:ascii="Arial" w:hAnsi="Arial" w:cs="Arial"/>
                <w:sz w:val="24"/>
                <w:szCs w:val="24"/>
                <w:lang w:eastAsia="en-AU"/>
              </w:rPr>
            </w:pPr>
          </w:p>
        </w:tc>
      </w:tr>
      <w:tr w:rsidR="003E5BF5" w:rsidRPr="00D71A00" w14:paraId="3214C905" w14:textId="77777777" w:rsidTr="000E2203">
        <w:trPr>
          <w:trHeight w:val="340"/>
        </w:trPr>
        <w:tc>
          <w:tcPr>
            <w:tcW w:w="5040" w:type="dxa"/>
            <w:shd w:val="clear" w:color="auto" w:fill="auto"/>
            <w:vAlign w:val="center"/>
            <w:hideMark/>
          </w:tcPr>
          <w:p w14:paraId="30285B68" w14:textId="77777777" w:rsidR="003E5BF5" w:rsidRPr="00D71A00" w:rsidRDefault="003E5BF5" w:rsidP="00604703">
            <w:pPr>
              <w:pStyle w:val="TableTextGreen"/>
            </w:pPr>
            <w:r w:rsidRPr="00D71A00">
              <w:t>Receipts</w:t>
            </w:r>
          </w:p>
        </w:tc>
        <w:tc>
          <w:tcPr>
            <w:tcW w:w="783" w:type="dxa"/>
            <w:shd w:val="clear" w:color="auto" w:fill="auto"/>
            <w:noWrap/>
            <w:vAlign w:val="center"/>
            <w:hideMark/>
          </w:tcPr>
          <w:p w14:paraId="17477170" w14:textId="77777777" w:rsidR="003E5BF5" w:rsidRPr="00D71A00" w:rsidRDefault="003E5BF5" w:rsidP="00DE1921">
            <w:pPr>
              <w:jc w:val="right"/>
              <w:rPr>
                <w:rFonts w:ascii="Arial" w:hAnsi="Arial" w:cs="Arial"/>
                <w:b/>
                <w:sz w:val="24"/>
                <w:szCs w:val="24"/>
                <w:lang w:eastAsia="en-AU"/>
              </w:rPr>
            </w:pPr>
          </w:p>
        </w:tc>
        <w:tc>
          <w:tcPr>
            <w:tcW w:w="1542" w:type="dxa"/>
            <w:shd w:val="clear" w:color="auto" w:fill="auto"/>
            <w:noWrap/>
            <w:vAlign w:val="center"/>
            <w:hideMark/>
          </w:tcPr>
          <w:p w14:paraId="2AD78232"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28AA8DF5" w14:textId="77777777" w:rsidR="003E5BF5" w:rsidRPr="00D71A00" w:rsidRDefault="003E5BF5" w:rsidP="00DE1921">
            <w:pPr>
              <w:jc w:val="right"/>
              <w:rPr>
                <w:rFonts w:ascii="Arial" w:hAnsi="Arial" w:cs="Arial"/>
                <w:sz w:val="24"/>
                <w:szCs w:val="24"/>
                <w:lang w:eastAsia="en-AU"/>
              </w:rPr>
            </w:pPr>
          </w:p>
        </w:tc>
      </w:tr>
      <w:tr w:rsidR="003E5BF5" w:rsidRPr="00D71A00" w14:paraId="6B409200" w14:textId="77777777" w:rsidTr="000E2203">
        <w:trPr>
          <w:trHeight w:val="340"/>
        </w:trPr>
        <w:tc>
          <w:tcPr>
            <w:tcW w:w="5040" w:type="dxa"/>
            <w:shd w:val="clear" w:color="auto" w:fill="auto"/>
            <w:vAlign w:val="center"/>
            <w:hideMark/>
          </w:tcPr>
          <w:p w14:paraId="62709690"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Owner contributions by Victorian Government</w:t>
            </w:r>
          </w:p>
        </w:tc>
        <w:tc>
          <w:tcPr>
            <w:tcW w:w="783" w:type="dxa"/>
            <w:shd w:val="clear" w:color="auto" w:fill="auto"/>
            <w:noWrap/>
            <w:vAlign w:val="center"/>
            <w:hideMark/>
          </w:tcPr>
          <w:p w14:paraId="144CF2AC"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67067A96"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4,562,820 </w:t>
            </w:r>
          </w:p>
        </w:tc>
        <w:tc>
          <w:tcPr>
            <w:tcW w:w="1542" w:type="dxa"/>
            <w:shd w:val="clear" w:color="auto" w:fill="auto"/>
            <w:noWrap/>
            <w:vAlign w:val="center"/>
            <w:hideMark/>
          </w:tcPr>
          <w:p w14:paraId="7E99BEFB"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3,394,244 </w:t>
            </w:r>
          </w:p>
        </w:tc>
      </w:tr>
      <w:tr w:rsidR="003E5BF5" w:rsidRPr="00D71A00" w14:paraId="3DBA70EF" w14:textId="77777777" w:rsidTr="000E2203">
        <w:trPr>
          <w:trHeight w:val="340"/>
        </w:trPr>
        <w:tc>
          <w:tcPr>
            <w:tcW w:w="5040" w:type="dxa"/>
            <w:shd w:val="clear" w:color="auto" w:fill="auto"/>
            <w:vAlign w:val="center"/>
            <w:hideMark/>
          </w:tcPr>
          <w:p w14:paraId="272DFCB8"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lastRenderedPageBreak/>
              <w:t>Receipts from other government entities</w:t>
            </w:r>
          </w:p>
        </w:tc>
        <w:tc>
          <w:tcPr>
            <w:tcW w:w="783" w:type="dxa"/>
            <w:shd w:val="clear" w:color="auto" w:fill="auto"/>
            <w:noWrap/>
            <w:vAlign w:val="center"/>
            <w:hideMark/>
          </w:tcPr>
          <w:p w14:paraId="2A44D5EB"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2DCF5F41"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1,782,600 </w:t>
            </w:r>
          </w:p>
        </w:tc>
        <w:tc>
          <w:tcPr>
            <w:tcW w:w="1542" w:type="dxa"/>
            <w:shd w:val="clear" w:color="auto" w:fill="auto"/>
            <w:noWrap/>
            <w:vAlign w:val="center"/>
            <w:hideMark/>
          </w:tcPr>
          <w:p w14:paraId="07861403"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1,448,400 </w:t>
            </w:r>
          </w:p>
        </w:tc>
      </w:tr>
      <w:tr w:rsidR="003E5BF5" w:rsidRPr="00D71A00" w14:paraId="32B5504B" w14:textId="77777777" w:rsidTr="000E2203">
        <w:trPr>
          <w:trHeight w:val="340"/>
        </w:trPr>
        <w:tc>
          <w:tcPr>
            <w:tcW w:w="5040" w:type="dxa"/>
            <w:shd w:val="clear" w:color="auto" w:fill="auto"/>
            <w:vAlign w:val="center"/>
            <w:hideMark/>
          </w:tcPr>
          <w:p w14:paraId="348B635B"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Receipts of loans and advances</w:t>
            </w:r>
          </w:p>
        </w:tc>
        <w:tc>
          <w:tcPr>
            <w:tcW w:w="783" w:type="dxa"/>
            <w:shd w:val="clear" w:color="auto" w:fill="auto"/>
            <w:noWrap/>
            <w:vAlign w:val="center"/>
            <w:hideMark/>
          </w:tcPr>
          <w:p w14:paraId="626F6E6D"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67EC39AA"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308,952 </w:t>
            </w:r>
          </w:p>
        </w:tc>
        <w:tc>
          <w:tcPr>
            <w:tcW w:w="1542" w:type="dxa"/>
            <w:shd w:val="clear" w:color="auto" w:fill="auto"/>
            <w:noWrap/>
            <w:vAlign w:val="center"/>
            <w:hideMark/>
          </w:tcPr>
          <w:p w14:paraId="6C6D2870"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41,677 </w:t>
            </w:r>
          </w:p>
        </w:tc>
      </w:tr>
      <w:tr w:rsidR="003E5BF5" w:rsidRPr="00D71A00" w14:paraId="7592DBFB" w14:textId="77777777" w:rsidTr="000E2203">
        <w:trPr>
          <w:trHeight w:val="340"/>
        </w:trPr>
        <w:tc>
          <w:tcPr>
            <w:tcW w:w="5040" w:type="dxa"/>
            <w:shd w:val="clear" w:color="auto" w:fill="auto"/>
            <w:vAlign w:val="center"/>
            <w:hideMark/>
          </w:tcPr>
          <w:p w14:paraId="70D60D9B"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Cash transferred in Machinery-of-Government changes</w:t>
            </w:r>
          </w:p>
        </w:tc>
        <w:tc>
          <w:tcPr>
            <w:tcW w:w="783" w:type="dxa"/>
            <w:shd w:val="clear" w:color="auto" w:fill="auto"/>
            <w:noWrap/>
            <w:vAlign w:val="center"/>
            <w:hideMark/>
          </w:tcPr>
          <w:p w14:paraId="5ED4F4A2"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2AB9D879"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96,787 </w:t>
            </w:r>
          </w:p>
        </w:tc>
        <w:tc>
          <w:tcPr>
            <w:tcW w:w="1542" w:type="dxa"/>
            <w:shd w:val="clear" w:color="auto" w:fill="auto"/>
            <w:noWrap/>
            <w:vAlign w:val="center"/>
            <w:hideMark/>
          </w:tcPr>
          <w:p w14:paraId="36B269D5"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8,762 </w:t>
            </w:r>
          </w:p>
        </w:tc>
      </w:tr>
      <w:tr w:rsidR="003E5BF5" w:rsidRPr="00D71A00" w14:paraId="488A42A0" w14:textId="77777777" w:rsidTr="000E2203">
        <w:trPr>
          <w:trHeight w:val="340"/>
        </w:trPr>
        <w:tc>
          <w:tcPr>
            <w:tcW w:w="5040" w:type="dxa"/>
            <w:shd w:val="clear" w:color="auto" w:fill="auto"/>
            <w:vAlign w:val="center"/>
            <w:hideMark/>
          </w:tcPr>
          <w:p w14:paraId="1E0E1097"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Total receipts</w:t>
            </w:r>
          </w:p>
        </w:tc>
        <w:tc>
          <w:tcPr>
            <w:tcW w:w="783" w:type="dxa"/>
            <w:shd w:val="clear" w:color="auto" w:fill="auto"/>
            <w:noWrap/>
            <w:vAlign w:val="center"/>
            <w:hideMark/>
          </w:tcPr>
          <w:p w14:paraId="1C9F339E" w14:textId="77777777" w:rsidR="003E5BF5" w:rsidRPr="00D71A00" w:rsidRDefault="003E5BF5" w:rsidP="00DE1921">
            <w:pPr>
              <w:jc w:val="right"/>
              <w:rPr>
                <w:rFonts w:ascii="Arial" w:hAnsi="Arial" w:cs="Arial"/>
                <w:b/>
                <w:sz w:val="24"/>
                <w:szCs w:val="24"/>
                <w:lang w:eastAsia="en-AU"/>
              </w:rPr>
            </w:pPr>
          </w:p>
        </w:tc>
        <w:tc>
          <w:tcPr>
            <w:tcW w:w="1542" w:type="dxa"/>
            <w:shd w:val="clear" w:color="auto" w:fill="auto"/>
            <w:noWrap/>
            <w:vAlign w:val="center"/>
            <w:hideMark/>
          </w:tcPr>
          <w:p w14:paraId="228C082C"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 xml:space="preserve">6,751,159 </w:t>
            </w:r>
          </w:p>
        </w:tc>
        <w:tc>
          <w:tcPr>
            <w:tcW w:w="1542" w:type="dxa"/>
            <w:shd w:val="clear" w:color="auto" w:fill="auto"/>
            <w:noWrap/>
            <w:vAlign w:val="center"/>
            <w:hideMark/>
          </w:tcPr>
          <w:p w14:paraId="7122364E"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 xml:space="preserve">4,893,083 </w:t>
            </w:r>
          </w:p>
        </w:tc>
      </w:tr>
    </w:tbl>
    <w:p w14:paraId="1544E516" w14:textId="246834C1" w:rsidR="00921B2F" w:rsidRDefault="00921B2F">
      <w:r>
        <w:br w:type="page"/>
      </w:r>
    </w:p>
    <w:tbl>
      <w:tblPr>
        <w:tblStyle w:val="TableGrid"/>
        <w:tblW w:w="8907" w:type="dxa"/>
        <w:tblLayout w:type="fixed"/>
        <w:tblLook w:val="04A0" w:firstRow="1" w:lastRow="0" w:firstColumn="1" w:lastColumn="0" w:noHBand="0" w:noVBand="1"/>
      </w:tblPr>
      <w:tblGrid>
        <w:gridCol w:w="5040"/>
        <w:gridCol w:w="783"/>
        <w:gridCol w:w="1542"/>
        <w:gridCol w:w="1542"/>
      </w:tblGrid>
      <w:tr w:rsidR="006B625D" w:rsidRPr="00D71A00" w14:paraId="6737EF6E" w14:textId="77777777" w:rsidTr="00840480">
        <w:trPr>
          <w:trHeight w:val="340"/>
        </w:trPr>
        <w:tc>
          <w:tcPr>
            <w:tcW w:w="5040" w:type="dxa"/>
            <w:shd w:val="clear" w:color="auto" w:fill="auto"/>
          </w:tcPr>
          <w:p w14:paraId="7B2ACA5D" w14:textId="77777777" w:rsidR="006B625D" w:rsidRPr="00D71A00" w:rsidRDefault="006B625D" w:rsidP="00DE1921">
            <w:pPr>
              <w:rPr>
                <w:rFonts w:ascii="Arial" w:hAnsi="Arial" w:cs="Arial"/>
                <w:b/>
                <w:color w:val="00BAC0"/>
                <w:sz w:val="24"/>
                <w:szCs w:val="24"/>
                <w:lang w:eastAsia="en-AU"/>
              </w:rPr>
            </w:pPr>
          </w:p>
        </w:tc>
        <w:tc>
          <w:tcPr>
            <w:tcW w:w="783" w:type="dxa"/>
            <w:shd w:val="clear" w:color="auto" w:fill="auto"/>
            <w:noWrap/>
            <w:vAlign w:val="center"/>
          </w:tcPr>
          <w:p w14:paraId="33A2549C" w14:textId="77777777" w:rsidR="006B625D" w:rsidRPr="00D71A00" w:rsidRDefault="006B625D" w:rsidP="00DE1921">
            <w:pPr>
              <w:jc w:val="center"/>
              <w:rPr>
                <w:rFonts w:ascii="Arial" w:hAnsi="Arial" w:cs="Arial"/>
                <w:b/>
                <w:sz w:val="24"/>
                <w:szCs w:val="24"/>
                <w:lang w:eastAsia="en-AU"/>
              </w:rPr>
            </w:pPr>
          </w:p>
        </w:tc>
        <w:tc>
          <w:tcPr>
            <w:tcW w:w="1542" w:type="dxa"/>
            <w:shd w:val="clear" w:color="auto" w:fill="auto"/>
            <w:noWrap/>
            <w:vAlign w:val="center"/>
          </w:tcPr>
          <w:p w14:paraId="02E5F38B" w14:textId="77777777" w:rsidR="006B625D" w:rsidRPr="00D71A00" w:rsidRDefault="006B625D" w:rsidP="00DE1921">
            <w:pPr>
              <w:jc w:val="center"/>
              <w:rPr>
                <w:rFonts w:ascii="Arial" w:hAnsi="Arial" w:cs="Arial"/>
                <w:sz w:val="24"/>
                <w:szCs w:val="24"/>
                <w:lang w:eastAsia="en-AU"/>
              </w:rPr>
            </w:pPr>
            <w:r w:rsidRPr="00D71A00">
              <w:rPr>
                <w:rFonts w:ascii="Arial" w:hAnsi="Arial" w:cs="Arial"/>
                <w:b/>
                <w:sz w:val="24"/>
                <w:szCs w:val="24"/>
                <w:lang w:eastAsia="en-AU"/>
              </w:rPr>
              <w:t>($ thousand)</w:t>
            </w:r>
          </w:p>
        </w:tc>
        <w:tc>
          <w:tcPr>
            <w:tcW w:w="1542" w:type="dxa"/>
            <w:shd w:val="clear" w:color="auto" w:fill="auto"/>
            <w:vAlign w:val="center"/>
          </w:tcPr>
          <w:p w14:paraId="7594C434" w14:textId="450A3A57" w:rsidR="006B625D" w:rsidRPr="00D71A00" w:rsidRDefault="006B625D" w:rsidP="00DE1921">
            <w:pPr>
              <w:jc w:val="center"/>
              <w:rPr>
                <w:rFonts w:ascii="Arial" w:hAnsi="Arial" w:cs="Arial"/>
                <w:sz w:val="24"/>
                <w:szCs w:val="24"/>
                <w:lang w:eastAsia="en-AU"/>
              </w:rPr>
            </w:pPr>
            <w:r w:rsidRPr="00AD4D68">
              <w:rPr>
                <w:rFonts w:ascii="Arial" w:hAnsi="Arial" w:cs="Arial"/>
                <w:b/>
                <w:sz w:val="24"/>
                <w:szCs w:val="24"/>
                <w:lang w:eastAsia="en-AU"/>
              </w:rPr>
              <w:t>($ thousand)</w:t>
            </w:r>
          </w:p>
        </w:tc>
      </w:tr>
      <w:tr w:rsidR="003E5BF5" w:rsidRPr="00D71A00" w14:paraId="77A0AD62" w14:textId="77777777" w:rsidTr="006667CC">
        <w:trPr>
          <w:trHeight w:val="340"/>
        </w:trPr>
        <w:tc>
          <w:tcPr>
            <w:tcW w:w="5040" w:type="dxa"/>
            <w:shd w:val="clear" w:color="auto" w:fill="auto"/>
          </w:tcPr>
          <w:p w14:paraId="67E94891" w14:textId="77777777" w:rsidR="003E5BF5" w:rsidRPr="00D71A00" w:rsidRDefault="003E5BF5" w:rsidP="00DE1921">
            <w:pPr>
              <w:rPr>
                <w:rFonts w:ascii="Arial" w:hAnsi="Arial" w:cs="Arial"/>
                <w:b/>
                <w:color w:val="00BAC0"/>
                <w:sz w:val="24"/>
                <w:szCs w:val="24"/>
                <w:lang w:eastAsia="en-AU"/>
              </w:rPr>
            </w:pPr>
          </w:p>
        </w:tc>
        <w:tc>
          <w:tcPr>
            <w:tcW w:w="783" w:type="dxa"/>
            <w:shd w:val="clear" w:color="auto" w:fill="auto"/>
            <w:noWrap/>
            <w:vAlign w:val="center"/>
          </w:tcPr>
          <w:p w14:paraId="7B91DB4F"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Note</w:t>
            </w:r>
          </w:p>
        </w:tc>
        <w:tc>
          <w:tcPr>
            <w:tcW w:w="1542" w:type="dxa"/>
            <w:shd w:val="clear" w:color="auto" w:fill="auto"/>
            <w:noWrap/>
            <w:vAlign w:val="center"/>
          </w:tcPr>
          <w:p w14:paraId="25975079"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lang w:eastAsia="en-AU"/>
              </w:rPr>
              <w:t>2020</w:t>
            </w:r>
          </w:p>
        </w:tc>
        <w:tc>
          <w:tcPr>
            <w:tcW w:w="1542" w:type="dxa"/>
            <w:shd w:val="clear" w:color="auto" w:fill="auto"/>
            <w:noWrap/>
            <w:vAlign w:val="center"/>
          </w:tcPr>
          <w:p w14:paraId="38F705A7"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lang w:eastAsia="en-AU"/>
              </w:rPr>
              <w:t>2019</w:t>
            </w:r>
          </w:p>
        </w:tc>
      </w:tr>
      <w:tr w:rsidR="003E5BF5" w:rsidRPr="00D71A00" w14:paraId="3D2BB2B5" w14:textId="77777777" w:rsidTr="006667CC">
        <w:trPr>
          <w:trHeight w:val="340"/>
        </w:trPr>
        <w:tc>
          <w:tcPr>
            <w:tcW w:w="5040" w:type="dxa"/>
            <w:shd w:val="clear" w:color="auto" w:fill="auto"/>
            <w:vAlign w:val="center"/>
            <w:hideMark/>
          </w:tcPr>
          <w:p w14:paraId="6A288102" w14:textId="77777777" w:rsidR="003E5BF5" w:rsidRPr="00D71A00" w:rsidRDefault="003E5BF5" w:rsidP="00604703">
            <w:pPr>
              <w:pStyle w:val="TableTextGreen"/>
            </w:pPr>
            <w:r w:rsidRPr="00D71A00">
              <w:t>Payments</w:t>
            </w:r>
          </w:p>
        </w:tc>
        <w:tc>
          <w:tcPr>
            <w:tcW w:w="783" w:type="dxa"/>
            <w:shd w:val="clear" w:color="auto" w:fill="auto"/>
            <w:noWrap/>
            <w:vAlign w:val="center"/>
            <w:hideMark/>
          </w:tcPr>
          <w:p w14:paraId="2EEA2609" w14:textId="77777777" w:rsidR="003E5BF5" w:rsidRPr="00D71A00" w:rsidRDefault="003E5BF5" w:rsidP="00DE1921">
            <w:pPr>
              <w:jc w:val="right"/>
              <w:rPr>
                <w:rFonts w:ascii="Arial" w:hAnsi="Arial" w:cs="Arial"/>
                <w:b/>
                <w:sz w:val="24"/>
                <w:szCs w:val="24"/>
                <w:lang w:eastAsia="en-AU"/>
              </w:rPr>
            </w:pPr>
          </w:p>
        </w:tc>
        <w:tc>
          <w:tcPr>
            <w:tcW w:w="1542" w:type="dxa"/>
            <w:shd w:val="clear" w:color="auto" w:fill="auto"/>
            <w:noWrap/>
            <w:vAlign w:val="center"/>
            <w:hideMark/>
          </w:tcPr>
          <w:p w14:paraId="67C1E7DB"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14E8AC6E" w14:textId="77777777" w:rsidR="003E5BF5" w:rsidRPr="00D71A00" w:rsidRDefault="003E5BF5" w:rsidP="00DE1921">
            <w:pPr>
              <w:jc w:val="right"/>
              <w:rPr>
                <w:rFonts w:ascii="Arial" w:hAnsi="Arial" w:cs="Arial"/>
                <w:sz w:val="24"/>
                <w:szCs w:val="24"/>
                <w:lang w:eastAsia="en-AU"/>
              </w:rPr>
            </w:pPr>
          </w:p>
        </w:tc>
      </w:tr>
      <w:tr w:rsidR="003E5BF5" w:rsidRPr="00D71A00" w14:paraId="7592258F" w14:textId="77777777" w:rsidTr="006667CC">
        <w:trPr>
          <w:trHeight w:val="340"/>
        </w:trPr>
        <w:tc>
          <w:tcPr>
            <w:tcW w:w="5040" w:type="dxa"/>
            <w:shd w:val="clear" w:color="auto" w:fill="auto"/>
            <w:vAlign w:val="center"/>
            <w:hideMark/>
          </w:tcPr>
          <w:p w14:paraId="50738CD0"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Payments of capital contribution funding to portfolio entities</w:t>
            </w:r>
          </w:p>
        </w:tc>
        <w:tc>
          <w:tcPr>
            <w:tcW w:w="783" w:type="dxa"/>
            <w:shd w:val="clear" w:color="auto" w:fill="auto"/>
            <w:noWrap/>
            <w:vAlign w:val="center"/>
            <w:hideMark/>
          </w:tcPr>
          <w:p w14:paraId="7BEDF734"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73317874"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(13,023)</w:t>
            </w:r>
          </w:p>
        </w:tc>
        <w:tc>
          <w:tcPr>
            <w:tcW w:w="1542" w:type="dxa"/>
            <w:shd w:val="clear" w:color="auto" w:fill="auto"/>
            <w:noWrap/>
            <w:vAlign w:val="center"/>
            <w:hideMark/>
          </w:tcPr>
          <w:p w14:paraId="4BE6F001"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(533,962)</w:t>
            </w:r>
          </w:p>
        </w:tc>
      </w:tr>
      <w:tr w:rsidR="003E5BF5" w:rsidRPr="00D71A00" w14:paraId="632A20BA" w14:textId="77777777" w:rsidTr="006667CC">
        <w:trPr>
          <w:trHeight w:val="340"/>
        </w:trPr>
        <w:tc>
          <w:tcPr>
            <w:tcW w:w="5040" w:type="dxa"/>
            <w:shd w:val="clear" w:color="auto" w:fill="auto"/>
            <w:vAlign w:val="center"/>
            <w:hideMark/>
          </w:tcPr>
          <w:p w14:paraId="02B7DEEE"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Repayment of borrowings and principal portion of lease liabilities (2019: finance leases) </w:t>
            </w:r>
            <w:r w:rsidRPr="00D71A00">
              <w:rPr>
                <w:rFonts w:ascii="Arial" w:hAnsi="Arial" w:cs="Arial"/>
                <w:sz w:val="24"/>
                <w:szCs w:val="24"/>
                <w:vertAlign w:val="superscript"/>
                <w:lang w:eastAsia="en-AU"/>
              </w:rPr>
              <w:t>(ii)</w:t>
            </w:r>
          </w:p>
        </w:tc>
        <w:tc>
          <w:tcPr>
            <w:tcW w:w="783" w:type="dxa"/>
            <w:shd w:val="clear" w:color="auto" w:fill="auto"/>
            <w:noWrap/>
            <w:hideMark/>
          </w:tcPr>
          <w:p w14:paraId="62F00D3A"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2E384FD4"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(369,746)</w:t>
            </w:r>
          </w:p>
        </w:tc>
        <w:tc>
          <w:tcPr>
            <w:tcW w:w="1542" w:type="dxa"/>
            <w:shd w:val="clear" w:color="auto" w:fill="auto"/>
            <w:noWrap/>
            <w:vAlign w:val="center"/>
            <w:hideMark/>
          </w:tcPr>
          <w:p w14:paraId="415B35C2"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(5,711)</w:t>
            </w:r>
          </w:p>
        </w:tc>
      </w:tr>
      <w:tr w:rsidR="003E5BF5" w:rsidRPr="00D71A00" w14:paraId="7FA17CB5" w14:textId="77777777" w:rsidTr="006667CC">
        <w:trPr>
          <w:trHeight w:val="340"/>
        </w:trPr>
        <w:tc>
          <w:tcPr>
            <w:tcW w:w="5040" w:type="dxa"/>
            <w:shd w:val="clear" w:color="auto" w:fill="auto"/>
            <w:vAlign w:val="center"/>
            <w:hideMark/>
          </w:tcPr>
          <w:p w14:paraId="623663D3"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Payments of loans and advances</w:t>
            </w:r>
          </w:p>
        </w:tc>
        <w:tc>
          <w:tcPr>
            <w:tcW w:w="783" w:type="dxa"/>
            <w:shd w:val="clear" w:color="auto" w:fill="auto"/>
            <w:noWrap/>
            <w:vAlign w:val="center"/>
            <w:hideMark/>
          </w:tcPr>
          <w:p w14:paraId="5BA070D7"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3515C41E"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(155,414)</w:t>
            </w:r>
          </w:p>
        </w:tc>
        <w:tc>
          <w:tcPr>
            <w:tcW w:w="1542" w:type="dxa"/>
            <w:shd w:val="clear" w:color="auto" w:fill="auto"/>
            <w:noWrap/>
            <w:vAlign w:val="center"/>
            <w:hideMark/>
          </w:tcPr>
          <w:p w14:paraId="1F118ED6"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(608,840)</w:t>
            </w:r>
          </w:p>
        </w:tc>
      </w:tr>
      <w:tr w:rsidR="003E5BF5" w:rsidRPr="00D71A00" w14:paraId="18EC1520" w14:textId="77777777" w:rsidTr="006667CC">
        <w:trPr>
          <w:trHeight w:val="340"/>
        </w:trPr>
        <w:tc>
          <w:tcPr>
            <w:tcW w:w="5040" w:type="dxa"/>
            <w:shd w:val="clear" w:color="auto" w:fill="auto"/>
            <w:vAlign w:val="center"/>
            <w:hideMark/>
          </w:tcPr>
          <w:p w14:paraId="713A2B34"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Cash transferred out Machinery-of-Government changes</w:t>
            </w:r>
          </w:p>
        </w:tc>
        <w:tc>
          <w:tcPr>
            <w:tcW w:w="783" w:type="dxa"/>
            <w:shd w:val="clear" w:color="auto" w:fill="auto"/>
            <w:noWrap/>
            <w:vAlign w:val="center"/>
            <w:hideMark/>
          </w:tcPr>
          <w:p w14:paraId="5F98690B"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7502AE46"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 - </w:t>
            </w:r>
          </w:p>
        </w:tc>
        <w:tc>
          <w:tcPr>
            <w:tcW w:w="1542" w:type="dxa"/>
            <w:shd w:val="clear" w:color="auto" w:fill="auto"/>
            <w:noWrap/>
            <w:vAlign w:val="center"/>
            <w:hideMark/>
          </w:tcPr>
          <w:p w14:paraId="02E4A71F"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(476,561)</w:t>
            </w:r>
          </w:p>
        </w:tc>
      </w:tr>
      <w:tr w:rsidR="003E5BF5" w:rsidRPr="00D71A00" w14:paraId="5B410785" w14:textId="77777777" w:rsidTr="006667CC">
        <w:trPr>
          <w:trHeight w:val="340"/>
        </w:trPr>
        <w:tc>
          <w:tcPr>
            <w:tcW w:w="5040" w:type="dxa"/>
            <w:shd w:val="clear" w:color="auto" w:fill="auto"/>
            <w:vAlign w:val="center"/>
            <w:hideMark/>
          </w:tcPr>
          <w:p w14:paraId="33F31D55"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S.53(1)(b) entities no longer consolidated</w:t>
            </w:r>
          </w:p>
        </w:tc>
        <w:tc>
          <w:tcPr>
            <w:tcW w:w="783" w:type="dxa"/>
            <w:shd w:val="clear" w:color="auto" w:fill="auto"/>
            <w:noWrap/>
            <w:vAlign w:val="center"/>
            <w:hideMark/>
          </w:tcPr>
          <w:p w14:paraId="10B912E9"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27171DA2"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 - </w:t>
            </w:r>
          </w:p>
        </w:tc>
        <w:tc>
          <w:tcPr>
            <w:tcW w:w="1542" w:type="dxa"/>
            <w:shd w:val="clear" w:color="auto" w:fill="auto"/>
            <w:noWrap/>
            <w:vAlign w:val="center"/>
            <w:hideMark/>
          </w:tcPr>
          <w:p w14:paraId="3CD8910A"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(32,381)</w:t>
            </w:r>
          </w:p>
        </w:tc>
      </w:tr>
      <w:tr w:rsidR="003E5BF5" w:rsidRPr="00D71A00" w14:paraId="2E2577B7" w14:textId="77777777" w:rsidTr="006667CC">
        <w:trPr>
          <w:trHeight w:val="340"/>
        </w:trPr>
        <w:tc>
          <w:tcPr>
            <w:tcW w:w="5040" w:type="dxa"/>
            <w:shd w:val="clear" w:color="auto" w:fill="auto"/>
            <w:vAlign w:val="center"/>
            <w:hideMark/>
          </w:tcPr>
          <w:p w14:paraId="68CA5FD1"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Total payments</w:t>
            </w:r>
          </w:p>
        </w:tc>
        <w:tc>
          <w:tcPr>
            <w:tcW w:w="783" w:type="dxa"/>
            <w:shd w:val="clear" w:color="auto" w:fill="auto"/>
            <w:noWrap/>
            <w:vAlign w:val="center"/>
            <w:hideMark/>
          </w:tcPr>
          <w:p w14:paraId="36CAC159" w14:textId="77777777" w:rsidR="003E5BF5" w:rsidRPr="00D71A00" w:rsidRDefault="003E5BF5" w:rsidP="00DE1921">
            <w:pPr>
              <w:jc w:val="right"/>
              <w:rPr>
                <w:rFonts w:ascii="Arial" w:hAnsi="Arial" w:cs="Arial"/>
                <w:b/>
                <w:sz w:val="24"/>
                <w:szCs w:val="24"/>
                <w:lang w:eastAsia="en-AU"/>
              </w:rPr>
            </w:pPr>
          </w:p>
        </w:tc>
        <w:tc>
          <w:tcPr>
            <w:tcW w:w="1542" w:type="dxa"/>
            <w:shd w:val="clear" w:color="auto" w:fill="auto"/>
            <w:noWrap/>
            <w:vAlign w:val="center"/>
            <w:hideMark/>
          </w:tcPr>
          <w:p w14:paraId="1B6846CE"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(538,183)</w:t>
            </w:r>
          </w:p>
        </w:tc>
        <w:tc>
          <w:tcPr>
            <w:tcW w:w="1542" w:type="dxa"/>
            <w:shd w:val="clear" w:color="auto" w:fill="auto"/>
            <w:noWrap/>
            <w:vAlign w:val="center"/>
            <w:hideMark/>
          </w:tcPr>
          <w:p w14:paraId="0A710DA7"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(1,657,455)</w:t>
            </w:r>
          </w:p>
        </w:tc>
      </w:tr>
      <w:tr w:rsidR="003E5BF5" w:rsidRPr="00D71A00" w14:paraId="5BA77F7B" w14:textId="77777777" w:rsidTr="006667CC">
        <w:trPr>
          <w:trHeight w:val="340"/>
        </w:trPr>
        <w:tc>
          <w:tcPr>
            <w:tcW w:w="5040" w:type="dxa"/>
            <w:shd w:val="clear" w:color="auto" w:fill="auto"/>
            <w:vAlign w:val="center"/>
            <w:hideMark/>
          </w:tcPr>
          <w:p w14:paraId="6E6E7C39"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Net cash flows from/ (used in) financing activities</w:t>
            </w:r>
          </w:p>
        </w:tc>
        <w:tc>
          <w:tcPr>
            <w:tcW w:w="783" w:type="dxa"/>
            <w:shd w:val="clear" w:color="auto" w:fill="auto"/>
            <w:noWrap/>
            <w:vAlign w:val="center"/>
            <w:hideMark/>
          </w:tcPr>
          <w:p w14:paraId="1FA08142"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6B8B7FD7"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6,212,976</w:t>
            </w:r>
          </w:p>
        </w:tc>
        <w:tc>
          <w:tcPr>
            <w:tcW w:w="1542" w:type="dxa"/>
            <w:shd w:val="clear" w:color="auto" w:fill="auto"/>
            <w:noWrap/>
            <w:vAlign w:val="center"/>
            <w:hideMark/>
          </w:tcPr>
          <w:p w14:paraId="61B44427"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 xml:space="preserve">3,235,628 </w:t>
            </w:r>
          </w:p>
        </w:tc>
      </w:tr>
      <w:tr w:rsidR="003E5BF5" w:rsidRPr="00D71A00" w14:paraId="256BB91F" w14:textId="77777777" w:rsidTr="006667CC">
        <w:trPr>
          <w:trHeight w:val="340"/>
        </w:trPr>
        <w:tc>
          <w:tcPr>
            <w:tcW w:w="5040" w:type="dxa"/>
            <w:shd w:val="clear" w:color="auto" w:fill="auto"/>
            <w:vAlign w:val="center"/>
          </w:tcPr>
          <w:p w14:paraId="43D2806D" w14:textId="77777777" w:rsidR="003E5BF5" w:rsidRPr="00D71A00" w:rsidRDefault="003E5BF5" w:rsidP="00DE1921">
            <w:pPr>
              <w:rPr>
                <w:rFonts w:ascii="Arial" w:hAnsi="Arial" w:cs="Arial"/>
                <w:b/>
                <w:sz w:val="24"/>
                <w:szCs w:val="24"/>
                <w:lang w:eastAsia="en-AU"/>
              </w:rPr>
            </w:pPr>
          </w:p>
        </w:tc>
        <w:tc>
          <w:tcPr>
            <w:tcW w:w="783" w:type="dxa"/>
            <w:shd w:val="clear" w:color="auto" w:fill="auto"/>
            <w:noWrap/>
            <w:vAlign w:val="center"/>
          </w:tcPr>
          <w:p w14:paraId="7D95C144"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tcPr>
          <w:p w14:paraId="75244E94" w14:textId="77777777" w:rsidR="003E5BF5" w:rsidRPr="00D71A00" w:rsidRDefault="003E5BF5" w:rsidP="00DE1921">
            <w:pPr>
              <w:jc w:val="right"/>
              <w:rPr>
                <w:rFonts w:ascii="Arial" w:hAnsi="Arial" w:cs="Arial"/>
                <w:b/>
                <w:sz w:val="24"/>
                <w:szCs w:val="24"/>
              </w:rPr>
            </w:pPr>
          </w:p>
        </w:tc>
        <w:tc>
          <w:tcPr>
            <w:tcW w:w="1542" w:type="dxa"/>
            <w:shd w:val="clear" w:color="auto" w:fill="auto"/>
            <w:noWrap/>
            <w:vAlign w:val="center"/>
          </w:tcPr>
          <w:p w14:paraId="0CE76DCB" w14:textId="77777777" w:rsidR="003E5BF5" w:rsidRPr="00D71A00" w:rsidRDefault="003E5BF5" w:rsidP="00DE1921">
            <w:pPr>
              <w:jc w:val="right"/>
              <w:rPr>
                <w:rFonts w:ascii="Arial" w:hAnsi="Arial" w:cs="Arial"/>
                <w:b/>
                <w:sz w:val="24"/>
                <w:szCs w:val="24"/>
              </w:rPr>
            </w:pPr>
          </w:p>
        </w:tc>
      </w:tr>
      <w:tr w:rsidR="003E5BF5" w:rsidRPr="00D71A00" w14:paraId="31E880A7" w14:textId="77777777" w:rsidTr="006667CC">
        <w:trPr>
          <w:trHeight w:val="340"/>
        </w:trPr>
        <w:tc>
          <w:tcPr>
            <w:tcW w:w="5040" w:type="dxa"/>
            <w:shd w:val="clear" w:color="auto" w:fill="auto"/>
            <w:vAlign w:val="center"/>
            <w:hideMark/>
          </w:tcPr>
          <w:p w14:paraId="30A9B2D4"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Net increase in cash and cash equivalents</w:t>
            </w:r>
          </w:p>
        </w:tc>
        <w:tc>
          <w:tcPr>
            <w:tcW w:w="783" w:type="dxa"/>
            <w:shd w:val="clear" w:color="auto" w:fill="auto"/>
            <w:noWrap/>
            <w:vAlign w:val="center"/>
            <w:hideMark/>
          </w:tcPr>
          <w:p w14:paraId="793E3D50"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63C31F25"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 xml:space="preserve">568,445 </w:t>
            </w:r>
          </w:p>
        </w:tc>
        <w:tc>
          <w:tcPr>
            <w:tcW w:w="1542" w:type="dxa"/>
            <w:shd w:val="clear" w:color="auto" w:fill="auto"/>
            <w:noWrap/>
            <w:vAlign w:val="center"/>
            <w:hideMark/>
          </w:tcPr>
          <w:p w14:paraId="4F8EBCA9"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(1,257,790)</w:t>
            </w:r>
          </w:p>
        </w:tc>
      </w:tr>
      <w:tr w:rsidR="003E5BF5" w:rsidRPr="00D71A00" w14:paraId="6CF3013B" w14:textId="77777777" w:rsidTr="006667CC">
        <w:trPr>
          <w:trHeight w:val="340"/>
        </w:trPr>
        <w:tc>
          <w:tcPr>
            <w:tcW w:w="5040" w:type="dxa"/>
            <w:shd w:val="clear" w:color="auto" w:fill="auto"/>
            <w:vAlign w:val="center"/>
          </w:tcPr>
          <w:p w14:paraId="3F9C57AA" w14:textId="77777777" w:rsidR="003E5BF5" w:rsidRPr="00D71A00" w:rsidRDefault="003E5BF5" w:rsidP="00DE1921">
            <w:pPr>
              <w:rPr>
                <w:rFonts w:ascii="Arial" w:hAnsi="Arial" w:cs="Arial"/>
                <w:sz w:val="24"/>
                <w:szCs w:val="24"/>
                <w:lang w:eastAsia="en-AU"/>
              </w:rPr>
            </w:pPr>
          </w:p>
        </w:tc>
        <w:tc>
          <w:tcPr>
            <w:tcW w:w="783" w:type="dxa"/>
            <w:shd w:val="clear" w:color="auto" w:fill="auto"/>
            <w:noWrap/>
            <w:vAlign w:val="center"/>
          </w:tcPr>
          <w:p w14:paraId="6BDBFC28"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tcPr>
          <w:p w14:paraId="71657DD8" w14:textId="77777777" w:rsidR="003E5BF5" w:rsidRPr="00D71A00" w:rsidRDefault="003E5BF5" w:rsidP="00DE1921">
            <w:pPr>
              <w:jc w:val="right"/>
              <w:rPr>
                <w:rFonts w:ascii="Arial" w:hAnsi="Arial" w:cs="Arial"/>
                <w:sz w:val="24"/>
                <w:szCs w:val="24"/>
              </w:rPr>
            </w:pPr>
          </w:p>
        </w:tc>
        <w:tc>
          <w:tcPr>
            <w:tcW w:w="1542" w:type="dxa"/>
            <w:shd w:val="clear" w:color="auto" w:fill="auto"/>
            <w:noWrap/>
            <w:vAlign w:val="center"/>
          </w:tcPr>
          <w:p w14:paraId="5D99B649" w14:textId="77777777" w:rsidR="003E5BF5" w:rsidRPr="00D71A00" w:rsidRDefault="003E5BF5" w:rsidP="00DE1921">
            <w:pPr>
              <w:jc w:val="right"/>
              <w:rPr>
                <w:rFonts w:ascii="Arial" w:hAnsi="Arial" w:cs="Arial"/>
                <w:sz w:val="24"/>
                <w:szCs w:val="24"/>
              </w:rPr>
            </w:pPr>
          </w:p>
        </w:tc>
      </w:tr>
      <w:tr w:rsidR="003E5BF5" w:rsidRPr="00D71A00" w14:paraId="52A00785" w14:textId="77777777" w:rsidTr="006667CC">
        <w:trPr>
          <w:trHeight w:val="340"/>
        </w:trPr>
        <w:tc>
          <w:tcPr>
            <w:tcW w:w="5040" w:type="dxa"/>
            <w:shd w:val="clear" w:color="auto" w:fill="auto"/>
            <w:vAlign w:val="center"/>
            <w:hideMark/>
          </w:tcPr>
          <w:p w14:paraId="41833828"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Cash and cash equivalents at the beginning of the financial year</w:t>
            </w:r>
          </w:p>
        </w:tc>
        <w:tc>
          <w:tcPr>
            <w:tcW w:w="783" w:type="dxa"/>
            <w:shd w:val="clear" w:color="auto" w:fill="auto"/>
            <w:noWrap/>
            <w:vAlign w:val="center"/>
            <w:hideMark/>
          </w:tcPr>
          <w:p w14:paraId="620E3CF5"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hideMark/>
          </w:tcPr>
          <w:p w14:paraId="57456875"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93,812 </w:t>
            </w:r>
          </w:p>
        </w:tc>
        <w:tc>
          <w:tcPr>
            <w:tcW w:w="1542" w:type="dxa"/>
            <w:shd w:val="clear" w:color="auto" w:fill="auto"/>
            <w:noWrap/>
            <w:vAlign w:val="center"/>
            <w:hideMark/>
          </w:tcPr>
          <w:p w14:paraId="1CC52819"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1,351,602 </w:t>
            </w:r>
          </w:p>
        </w:tc>
      </w:tr>
      <w:tr w:rsidR="003E5BF5" w:rsidRPr="00D71A00" w14:paraId="60C52634" w14:textId="77777777" w:rsidTr="006667CC">
        <w:trPr>
          <w:trHeight w:val="340"/>
        </w:trPr>
        <w:tc>
          <w:tcPr>
            <w:tcW w:w="5040" w:type="dxa"/>
            <w:shd w:val="clear" w:color="auto" w:fill="auto"/>
            <w:vAlign w:val="center"/>
          </w:tcPr>
          <w:p w14:paraId="604D5B3F" w14:textId="77777777" w:rsidR="003E5BF5" w:rsidRPr="00D71A00" w:rsidRDefault="003E5BF5" w:rsidP="00DE1921">
            <w:pPr>
              <w:rPr>
                <w:rFonts w:ascii="Arial" w:hAnsi="Arial" w:cs="Arial"/>
                <w:sz w:val="24"/>
                <w:szCs w:val="24"/>
                <w:lang w:eastAsia="en-AU"/>
              </w:rPr>
            </w:pPr>
          </w:p>
        </w:tc>
        <w:tc>
          <w:tcPr>
            <w:tcW w:w="783" w:type="dxa"/>
            <w:shd w:val="clear" w:color="auto" w:fill="auto"/>
            <w:noWrap/>
            <w:vAlign w:val="center"/>
          </w:tcPr>
          <w:p w14:paraId="12B2693D" w14:textId="77777777" w:rsidR="003E5BF5" w:rsidRPr="00D71A00" w:rsidRDefault="003E5BF5" w:rsidP="00DE1921">
            <w:pPr>
              <w:jc w:val="right"/>
              <w:rPr>
                <w:rFonts w:ascii="Arial" w:hAnsi="Arial" w:cs="Arial"/>
                <w:sz w:val="24"/>
                <w:szCs w:val="24"/>
                <w:lang w:eastAsia="en-AU"/>
              </w:rPr>
            </w:pPr>
          </w:p>
        </w:tc>
        <w:tc>
          <w:tcPr>
            <w:tcW w:w="1542" w:type="dxa"/>
            <w:shd w:val="clear" w:color="auto" w:fill="auto"/>
            <w:noWrap/>
            <w:vAlign w:val="center"/>
          </w:tcPr>
          <w:p w14:paraId="617C0B78" w14:textId="77777777" w:rsidR="003E5BF5" w:rsidRPr="00D71A00" w:rsidRDefault="003E5BF5" w:rsidP="00DE1921">
            <w:pPr>
              <w:jc w:val="right"/>
              <w:rPr>
                <w:rFonts w:ascii="Arial" w:hAnsi="Arial" w:cs="Arial"/>
                <w:sz w:val="24"/>
                <w:szCs w:val="24"/>
              </w:rPr>
            </w:pPr>
          </w:p>
        </w:tc>
        <w:tc>
          <w:tcPr>
            <w:tcW w:w="1542" w:type="dxa"/>
            <w:shd w:val="clear" w:color="auto" w:fill="auto"/>
            <w:noWrap/>
            <w:vAlign w:val="center"/>
          </w:tcPr>
          <w:p w14:paraId="6ED0F147" w14:textId="77777777" w:rsidR="003E5BF5" w:rsidRPr="00D71A00" w:rsidRDefault="003E5BF5" w:rsidP="00DE1921">
            <w:pPr>
              <w:jc w:val="right"/>
              <w:rPr>
                <w:rFonts w:ascii="Arial" w:hAnsi="Arial" w:cs="Arial"/>
                <w:sz w:val="24"/>
                <w:szCs w:val="24"/>
              </w:rPr>
            </w:pPr>
          </w:p>
        </w:tc>
      </w:tr>
      <w:tr w:rsidR="003E5BF5" w:rsidRPr="00D71A00" w14:paraId="1D52C9EC" w14:textId="77777777" w:rsidTr="006667CC">
        <w:trPr>
          <w:trHeight w:val="340"/>
        </w:trPr>
        <w:tc>
          <w:tcPr>
            <w:tcW w:w="5040" w:type="dxa"/>
            <w:shd w:val="clear" w:color="auto" w:fill="auto"/>
            <w:vAlign w:val="center"/>
            <w:hideMark/>
          </w:tcPr>
          <w:p w14:paraId="06578B03"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Cash and cash equivalents at the end of the financial year</w:t>
            </w:r>
          </w:p>
        </w:tc>
        <w:tc>
          <w:tcPr>
            <w:tcW w:w="783" w:type="dxa"/>
            <w:shd w:val="clear" w:color="auto" w:fill="auto"/>
            <w:noWrap/>
            <w:vAlign w:val="center"/>
            <w:hideMark/>
          </w:tcPr>
          <w:p w14:paraId="677C97B4" w14:textId="77777777" w:rsidR="003E5BF5" w:rsidRPr="00D71A00" w:rsidRDefault="009B2DDD" w:rsidP="00DE1921">
            <w:pPr>
              <w:jc w:val="right"/>
              <w:rPr>
                <w:rFonts w:ascii="Arial" w:hAnsi="Arial" w:cs="Arial"/>
                <w:sz w:val="24"/>
                <w:szCs w:val="24"/>
                <w:lang w:eastAsia="en-AU"/>
              </w:rPr>
            </w:pPr>
            <w:hyperlink w:anchor="_Toc11751455" w:history="1">
              <w:r w:rsidR="003E5BF5" w:rsidRPr="00D71A00">
                <w:rPr>
                  <w:rStyle w:val="Hyperlink"/>
                  <w:rFonts w:ascii="Arial" w:hAnsi="Arial" w:cs="Arial"/>
                  <w:sz w:val="24"/>
                  <w:szCs w:val="24"/>
                  <w:lang w:eastAsia="en-AU"/>
                </w:rPr>
                <w:t>7.3</w:t>
              </w:r>
            </w:hyperlink>
          </w:p>
        </w:tc>
        <w:tc>
          <w:tcPr>
            <w:tcW w:w="1542" w:type="dxa"/>
            <w:shd w:val="clear" w:color="auto" w:fill="auto"/>
            <w:noWrap/>
            <w:vAlign w:val="center"/>
            <w:hideMark/>
          </w:tcPr>
          <w:p w14:paraId="31D4B546"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 xml:space="preserve">662,257 </w:t>
            </w:r>
          </w:p>
        </w:tc>
        <w:tc>
          <w:tcPr>
            <w:tcW w:w="1542" w:type="dxa"/>
            <w:shd w:val="clear" w:color="auto" w:fill="auto"/>
            <w:noWrap/>
            <w:vAlign w:val="center"/>
            <w:hideMark/>
          </w:tcPr>
          <w:p w14:paraId="483B12F3"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 xml:space="preserve">93,812 </w:t>
            </w:r>
          </w:p>
        </w:tc>
      </w:tr>
    </w:tbl>
    <w:p w14:paraId="616D8086" w14:textId="53A41198" w:rsidR="003E5BF5" w:rsidRDefault="003E5BF5" w:rsidP="00DE1921">
      <w:pPr>
        <w:rPr>
          <w:lang w:eastAsia="en-AU"/>
        </w:rPr>
      </w:pPr>
    </w:p>
    <w:p w14:paraId="01A65683" w14:textId="77777777" w:rsidR="006667CC" w:rsidRPr="00D71A00" w:rsidRDefault="006667CC" w:rsidP="006667CC">
      <w:pPr>
        <w:spacing w:before="120"/>
        <w:rPr>
          <w:rFonts w:ascii="Arial" w:hAnsi="Arial" w:cs="Arial"/>
          <w:sz w:val="24"/>
          <w:szCs w:val="24"/>
          <w:lang w:eastAsia="en-AU"/>
        </w:rPr>
      </w:pPr>
      <w:r w:rsidRPr="00D71A00">
        <w:rPr>
          <w:rFonts w:ascii="Arial" w:hAnsi="Arial" w:cs="Arial"/>
          <w:sz w:val="24"/>
          <w:szCs w:val="24"/>
          <w:lang w:eastAsia="en-AU"/>
        </w:rPr>
        <w:t>The above cash flow statement should be read in conjunction with the accompanying notes.</w:t>
      </w:r>
    </w:p>
    <w:p w14:paraId="655187E6" w14:textId="77777777" w:rsidR="006667CC" w:rsidRPr="00D71A00" w:rsidRDefault="006667CC" w:rsidP="006667CC">
      <w:pPr>
        <w:pStyle w:val="Note"/>
        <w:rPr>
          <w:rFonts w:ascii="Arial" w:hAnsi="Arial" w:cs="Arial"/>
          <w:sz w:val="24"/>
          <w:szCs w:val="24"/>
        </w:rPr>
      </w:pPr>
      <w:r w:rsidRPr="00D71A00">
        <w:rPr>
          <w:rFonts w:ascii="Arial" w:hAnsi="Arial" w:cs="Arial"/>
          <w:sz w:val="24"/>
          <w:szCs w:val="24"/>
        </w:rPr>
        <w:t xml:space="preserve">Notes: </w:t>
      </w:r>
    </w:p>
    <w:p w14:paraId="03D7781F" w14:textId="77777777" w:rsidR="006667CC" w:rsidRPr="00D71A00" w:rsidRDefault="006667CC" w:rsidP="00610F5F">
      <w:pPr>
        <w:pStyle w:val="aaaNotenumberiiiiii"/>
        <w:numPr>
          <w:ilvl w:val="0"/>
          <w:numId w:val="68"/>
        </w:numPr>
      </w:pPr>
      <w:r w:rsidRPr="00D71A00">
        <w:t>Goods and Services Tax (GST) recovered/(paid) to the ATO is presented on a net basis.</w:t>
      </w:r>
    </w:p>
    <w:p w14:paraId="5843D1C4" w14:textId="7C27FBF9" w:rsidR="006667CC" w:rsidRDefault="006667CC" w:rsidP="006667CC">
      <w:pPr>
        <w:pStyle w:val="aaaNotenumberiiiiii"/>
      </w:pPr>
      <w:r w:rsidRPr="00D71A00">
        <w:t>The department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3FBD1872" w14:textId="77777777" w:rsidR="006667CC" w:rsidRDefault="006667CC" w:rsidP="00DE1921">
      <w:pPr>
        <w:rPr>
          <w:lang w:eastAsia="en-AU"/>
        </w:rPr>
      </w:pPr>
    </w:p>
    <w:p w14:paraId="59DFA333" w14:textId="77777777" w:rsidR="0004312E" w:rsidRDefault="0004312E" w:rsidP="006667CC">
      <w:pPr>
        <w:pStyle w:val="Heading1"/>
        <w:numPr>
          <w:ilvl w:val="0"/>
          <w:numId w:val="3"/>
        </w:numPr>
        <w:sectPr w:rsidR="0004312E" w:rsidSect="00C579FE">
          <w:pgSz w:w="11906" w:h="16838"/>
          <w:pgMar w:top="1701" w:right="1418" w:bottom="1418" w:left="1418" w:header="708" w:footer="708" w:gutter="0"/>
          <w:cols w:space="284"/>
          <w:docGrid w:linePitch="360"/>
        </w:sectPr>
      </w:pPr>
      <w:bookmarkStart w:id="84" w:name="_ABOUT_THIS_REPORT"/>
      <w:bookmarkStart w:id="85" w:name="SEC1"/>
      <w:bookmarkEnd w:id="84"/>
    </w:p>
    <w:p w14:paraId="3323709D" w14:textId="25AF8720" w:rsidR="003E5BF5" w:rsidRPr="00584901" w:rsidRDefault="003E5BF5" w:rsidP="006667CC">
      <w:pPr>
        <w:pStyle w:val="Heading1"/>
        <w:numPr>
          <w:ilvl w:val="0"/>
          <w:numId w:val="3"/>
        </w:numPr>
      </w:pPr>
      <w:bookmarkStart w:id="86" w:name="_Toc55130689"/>
      <w:r w:rsidRPr="00584901">
        <w:lastRenderedPageBreak/>
        <w:t>ABOUT THIS REPORT</w:t>
      </w:r>
      <w:bookmarkEnd w:id="86"/>
    </w:p>
    <w:p w14:paraId="653A5BEA" w14:textId="77777777" w:rsidR="003E5BF5" w:rsidRDefault="003E5BF5" w:rsidP="00DE1921">
      <w:pPr>
        <w:pStyle w:val="aaatyping"/>
      </w:pPr>
      <w:r w:rsidRPr="007444F0">
        <w:t>The Department of Transport (</w:t>
      </w:r>
      <w:r>
        <w:t xml:space="preserve">the department, </w:t>
      </w:r>
      <w:r w:rsidRPr="007444F0">
        <w:t>DoT) is a government department of the State of Victoria</w:t>
      </w:r>
      <w:r w:rsidRPr="00BB7C1E">
        <w:t xml:space="preserve">, established pursuant to an order made by the Premier under the </w:t>
      </w:r>
      <w:r w:rsidRPr="00704180">
        <w:rPr>
          <w:rFonts w:ascii="VIC Light Italic" w:hAnsi="VIC Light Italic"/>
        </w:rPr>
        <w:t>Public Administration Act 2004</w:t>
      </w:r>
      <w:r w:rsidRPr="00F67F37">
        <w:rPr>
          <w:i/>
          <w:iCs/>
        </w:rPr>
        <w:t>.</w:t>
      </w:r>
      <w:r w:rsidRPr="007444F0">
        <w:t xml:space="preserve"> It is an administrative agency acting on behalf of the Crown. </w:t>
      </w:r>
    </w:p>
    <w:p w14:paraId="0AE51952" w14:textId="77777777" w:rsidR="003E5BF5" w:rsidRDefault="003E5BF5" w:rsidP="00DE1921">
      <w:pPr>
        <w:pStyle w:val="aaatyping"/>
      </w:pPr>
      <w:r>
        <w:t>The department’s principal address is:</w:t>
      </w:r>
    </w:p>
    <w:p w14:paraId="12091531" w14:textId="77777777" w:rsidR="003E5BF5" w:rsidRDefault="003E5BF5" w:rsidP="00DE1921">
      <w:pPr>
        <w:pStyle w:val="aaatyping"/>
      </w:pPr>
      <w:r>
        <w:t>Department of Transport</w:t>
      </w:r>
    </w:p>
    <w:p w14:paraId="017EA756" w14:textId="77777777" w:rsidR="003E5BF5" w:rsidRDefault="003E5BF5" w:rsidP="00DE1921">
      <w:pPr>
        <w:pStyle w:val="aaatyping"/>
      </w:pPr>
      <w:r>
        <w:t>1 Spring Street</w:t>
      </w:r>
    </w:p>
    <w:p w14:paraId="72E639FF" w14:textId="77777777" w:rsidR="003E5BF5" w:rsidRDefault="003E5BF5" w:rsidP="00DE1921">
      <w:pPr>
        <w:pStyle w:val="aaatyping"/>
      </w:pPr>
      <w:r>
        <w:t>Melbourne VIC 3000</w:t>
      </w:r>
    </w:p>
    <w:p w14:paraId="054BEED7" w14:textId="77777777" w:rsidR="003E5BF5" w:rsidRDefault="003E5BF5" w:rsidP="00DE1921">
      <w:pPr>
        <w:pStyle w:val="aaatyping"/>
      </w:pPr>
      <w:r w:rsidRPr="007444F0">
        <w:t xml:space="preserve">These annual financial statements represent the audited general purpose financial statements for the year ended 30 June </w:t>
      </w:r>
      <w:r>
        <w:t>2020</w:t>
      </w:r>
      <w:r w:rsidRPr="007444F0">
        <w:t>.</w:t>
      </w:r>
    </w:p>
    <w:p w14:paraId="4D166F38" w14:textId="77777777" w:rsidR="003E5BF5" w:rsidRPr="007444F0" w:rsidRDefault="003E5BF5" w:rsidP="00DE1921">
      <w:pPr>
        <w:pStyle w:val="aaatyping"/>
      </w:pPr>
      <w:r w:rsidRPr="007444F0">
        <w:t xml:space="preserve">A description of the nature of its operations and its principal activities is included in the </w:t>
      </w:r>
      <w:r w:rsidRPr="00D63218">
        <w:t>Overview of this report</w:t>
      </w:r>
      <w:r w:rsidRPr="007444F0">
        <w:t xml:space="preserve">, which does not form part of these financial statements. </w:t>
      </w:r>
    </w:p>
    <w:p w14:paraId="70B58B43" w14:textId="77777777" w:rsidR="003E5BF5" w:rsidRPr="007444F0" w:rsidRDefault="003E5BF5" w:rsidP="008A0170">
      <w:pPr>
        <w:pStyle w:val="Heading2"/>
        <w:rPr>
          <w:b/>
        </w:rPr>
      </w:pPr>
      <w:r w:rsidRPr="007444F0">
        <w:t xml:space="preserve">Basis of preparation </w:t>
      </w:r>
    </w:p>
    <w:p w14:paraId="7FAC73F6" w14:textId="77777777" w:rsidR="003E5BF5" w:rsidRPr="007444F0" w:rsidRDefault="003E5BF5" w:rsidP="00DE1921">
      <w:pPr>
        <w:pStyle w:val="aaatyping"/>
      </w:pPr>
      <w:r w:rsidRPr="007444F0">
        <w:t>These financial statements are in Australian dollars and the historical cost convention is used</w:t>
      </w:r>
      <w:r>
        <w:t>,</w:t>
      </w:r>
      <w:r w:rsidRPr="007444F0">
        <w:t xml:space="preserve"> unless a different measurement basis is specifically disclosed in the note associated with the item measured on a different basis</w:t>
      </w:r>
      <w:r>
        <w:t>, including property, plant and equipment as disclosed in Note 8.3.2 Fair value determination.</w:t>
      </w:r>
    </w:p>
    <w:p w14:paraId="15E9907E" w14:textId="77777777" w:rsidR="003E5BF5" w:rsidRPr="007444F0" w:rsidRDefault="003E5BF5" w:rsidP="00DE1921">
      <w:pPr>
        <w:pStyle w:val="aaatyping"/>
      </w:pPr>
      <w:r w:rsidRPr="007444F0">
        <w:t>The accrual basis of accounting has been applied in preparing these financial statements whereby assets, liabilities, equity, income and expenses are recognised in the reporting period to which they relate, regardless of when cash is received or paid.</w:t>
      </w:r>
    </w:p>
    <w:p w14:paraId="3C58E972" w14:textId="77777777" w:rsidR="003E5BF5" w:rsidRPr="007444F0" w:rsidRDefault="003E5BF5" w:rsidP="00DE1921">
      <w:pPr>
        <w:pStyle w:val="aaatyping"/>
      </w:pPr>
      <w:r w:rsidRPr="007444F0">
        <w:lastRenderedPageBreak/>
        <w:t xml:space="preserve">Consistent with the requirements of AASB 1004 </w:t>
      </w:r>
      <w:r w:rsidRPr="007444F0">
        <w:rPr>
          <w:i/>
        </w:rPr>
        <w:t xml:space="preserve">Contributions, </w:t>
      </w:r>
      <w:r w:rsidRPr="007444F0">
        <w:t>contributions by owners (that is, contributed capital and its repayment) are treated as equity transactions</w:t>
      </w:r>
      <w:r>
        <w:t>,</w:t>
      </w:r>
      <w:r w:rsidRPr="007444F0">
        <w:t xml:space="preserve"> and therefore do not form part of the income and expenses of </w:t>
      </w:r>
      <w:r>
        <w:t>the department</w:t>
      </w:r>
      <w:r w:rsidRPr="007444F0">
        <w:t>.</w:t>
      </w:r>
    </w:p>
    <w:p w14:paraId="3A0092AE" w14:textId="77777777" w:rsidR="003E5BF5" w:rsidRDefault="003E5BF5" w:rsidP="00DE1921">
      <w:pPr>
        <w:pStyle w:val="aaatyping"/>
      </w:pPr>
      <w:r w:rsidRPr="007444F0">
        <w:t xml:space="preserve">Additions to net assets which have been designated as contributions by owners are recognised as contributed capital. Other transfers that are in the nature of contributions to or distributions by owners have also been designated as contributions by owners. </w:t>
      </w:r>
    </w:p>
    <w:p w14:paraId="4307F600" w14:textId="77777777" w:rsidR="003E5BF5" w:rsidRPr="007444F0" w:rsidRDefault="003E5BF5" w:rsidP="00DE1921">
      <w:pPr>
        <w:pStyle w:val="aaatyping"/>
      </w:pPr>
      <w:r w:rsidRPr="007444F0">
        <w:t xml:space="preserve">Transfers of net assets arising from administrative restructures are treated as distributions to or contributions by owners. Transfers of net liabilities arising from administrative restructures are treated as distributions to owners. </w:t>
      </w:r>
    </w:p>
    <w:p w14:paraId="23754135" w14:textId="77777777" w:rsidR="003E5BF5" w:rsidRPr="007444F0" w:rsidRDefault="003E5BF5" w:rsidP="00DE1921">
      <w:pPr>
        <w:pStyle w:val="aaatyping"/>
      </w:pPr>
      <w:r w:rsidRPr="007444F0">
        <w:t xml:space="preserve">Judgements, estimates and assumptions are required to be made about financial information being presented. Estimates and associated assumptions are based on professional judgements derived from historical experience and various other factors that are believed to be reasonable under the circumstances. Actual results may differ from these estimates. </w:t>
      </w:r>
    </w:p>
    <w:p w14:paraId="6453549C" w14:textId="77777777" w:rsidR="003E5BF5" w:rsidRDefault="003E5BF5" w:rsidP="00DE1921">
      <w:pPr>
        <w:pStyle w:val="aaatyping"/>
      </w:pPr>
      <w:r w:rsidRPr="007444F0">
        <w:t>Revisions to accounting estimates are recognised in the period in which the estimate is revised and in future periods that are affected by the revisions. Judgements and assumptions made by management in applying Australian Accounting Standards (AASs) that have significant effects on the financial statements and estimates are disclosed in the notes.</w:t>
      </w:r>
    </w:p>
    <w:p w14:paraId="6BE1D403" w14:textId="77777777" w:rsidR="003E5BF5" w:rsidRPr="007444F0" w:rsidRDefault="003E5BF5" w:rsidP="00DE1921">
      <w:pPr>
        <w:pStyle w:val="aaatyping"/>
      </w:pPr>
      <w:r w:rsidRPr="007444F0">
        <w:t xml:space="preserve">These financial statements cover the </w:t>
      </w:r>
      <w:r>
        <w:t>d</w:t>
      </w:r>
      <w:r w:rsidRPr="007444F0">
        <w:t xml:space="preserve">epartment as an individual reporting entity and include all the controlled activities of the </w:t>
      </w:r>
      <w:r>
        <w:t>d</w:t>
      </w:r>
      <w:r w:rsidRPr="007444F0">
        <w:t xml:space="preserve">epartment. </w:t>
      </w:r>
    </w:p>
    <w:p w14:paraId="518F7425" w14:textId="77777777" w:rsidR="003E5BF5" w:rsidRPr="007444F0" w:rsidRDefault="003E5BF5" w:rsidP="00DE1921">
      <w:pPr>
        <w:pStyle w:val="aaatyping"/>
      </w:pPr>
      <w:r w:rsidRPr="007444F0">
        <w:lastRenderedPageBreak/>
        <w:t xml:space="preserve">The following agencies have been consolidated into the </w:t>
      </w:r>
      <w:r>
        <w:t>d</w:t>
      </w:r>
      <w:r w:rsidRPr="007444F0">
        <w:t xml:space="preserve">epartment's financial statements pursuant to a determination made by the Assistant Treasurer under section 53(1)(b) of the </w:t>
      </w:r>
      <w:r w:rsidRPr="007444F0">
        <w:rPr>
          <w:i/>
        </w:rPr>
        <w:t>Financial Management Act 1994</w:t>
      </w:r>
      <w:r w:rsidRPr="007444F0">
        <w:t xml:space="preserve"> (FMA). These agencies are reported in </w:t>
      </w:r>
      <w:r>
        <w:t xml:space="preserve">combination </w:t>
      </w:r>
      <w:r w:rsidRPr="00821A42">
        <w:t>with the department:</w:t>
      </w:r>
    </w:p>
    <w:p w14:paraId="07678F6E" w14:textId="77777777" w:rsidR="003E5BF5" w:rsidRDefault="003E5BF5" w:rsidP="00DE1921">
      <w:pPr>
        <w:pStyle w:val="aaabullet"/>
      </w:pPr>
      <w:r w:rsidRPr="00943850">
        <w:t>Major Projects Victoria</w:t>
      </w:r>
      <w:r>
        <w:t xml:space="preserve"> (MPV)</w:t>
      </w:r>
    </w:p>
    <w:p w14:paraId="2AF6163A" w14:textId="77777777" w:rsidR="003E5BF5" w:rsidRPr="00DC41C7" w:rsidRDefault="003E5BF5" w:rsidP="00DE1921">
      <w:pPr>
        <w:pStyle w:val="aaatyping"/>
        <w:rPr>
          <w:b/>
        </w:rPr>
      </w:pPr>
      <w:r w:rsidRPr="00DC41C7">
        <w:t>(established under Project Development Construction and Management Act 1994)</w:t>
      </w:r>
    </w:p>
    <w:p w14:paraId="3DBF6971" w14:textId="77777777" w:rsidR="003E5BF5" w:rsidRDefault="003E5BF5" w:rsidP="00DE1921">
      <w:pPr>
        <w:pStyle w:val="aaabullet"/>
      </w:pPr>
      <w:r w:rsidRPr="00943850">
        <w:t>Linking Melbourne Authority</w:t>
      </w:r>
      <w:r>
        <w:t xml:space="preserve"> (LMA)</w:t>
      </w:r>
      <w:r w:rsidRPr="007D3E19">
        <w:t xml:space="preserve"> </w:t>
      </w:r>
    </w:p>
    <w:p w14:paraId="733CDAA1" w14:textId="77777777" w:rsidR="003E5BF5" w:rsidRPr="00DC41C7" w:rsidRDefault="003E5BF5" w:rsidP="00DE1921">
      <w:pPr>
        <w:pStyle w:val="aaatyping"/>
        <w:rPr>
          <w:b/>
        </w:rPr>
      </w:pPr>
      <w:r w:rsidRPr="00DC41C7">
        <w:t>(created under the Transport Integration Act 2010 (TIA))</w:t>
      </w:r>
    </w:p>
    <w:p w14:paraId="009C56BE" w14:textId="77777777" w:rsidR="003E5BF5" w:rsidRDefault="003E5BF5" w:rsidP="00DE1921">
      <w:pPr>
        <w:pStyle w:val="aaabullet"/>
      </w:pPr>
      <w:r w:rsidRPr="00943850">
        <w:t>Public Transport Development Authority (Public Transport Victoria</w:t>
      </w:r>
      <w:r>
        <w:t xml:space="preserve"> (PTV)</w:t>
      </w:r>
      <w:r w:rsidRPr="00943850">
        <w:t xml:space="preserve">) </w:t>
      </w:r>
    </w:p>
    <w:p w14:paraId="08B85B11" w14:textId="77777777" w:rsidR="003E5BF5" w:rsidRPr="00DC41C7" w:rsidRDefault="003E5BF5" w:rsidP="00DE1921">
      <w:pPr>
        <w:pStyle w:val="aaatyping"/>
        <w:rPr>
          <w:b/>
        </w:rPr>
      </w:pPr>
      <w:r w:rsidRPr="00DC41C7">
        <w:t>(Established under the TIA)</w:t>
      </w:r>
    </w:p>
    <w:p w14:paraId="238A5CD1" w14:textId="77777777" w:rsidR="003E5BF5" w:rsidRDefault="003E5BF5" w:rsidP="00DE1921">
      <w:pPr>
        <w:pStyle w:val="aaabullet"/>
      </w:pPr>
      <w:r w:rsidRPr="00943850">
        <w:t xml:space="preserve">Roads Corporation (VicRoads) </w:t>
      </w:r>
    </w:p>
    <w:p w14:paraId="0E178167" w14:textId="77777777" w:rsidR="003E5BF5" w:rsidRPr="00DC41C7" w:rsidRDefault="003E5BF5" w:rsidP="00DE1921">
      <w:pPr>
        <w:pStyle w:val="aaatyping"/>
        <w:rPr>
          <w:b/>
        </w:rPr>
      </w:pPr>
      <w:r w:rsidRPr="00DC41C7">
        <w:t>(Established under the TIA)</w:t>
      </w:r>
    </w:p>
    <w:p w14:paraId="36CC027B" w14:textId="77777777" w:rsidR="003E5BF5" w:rsidRDefault="003E5BF5" w:rsidP="00DE1921">
      <w:pPr>
        <w:pStyle w:val="aaabullet"/>
      </w:pPr>
      <w:r>
        <w:t xml:space="preserve">Head, Transport for Victoria (Head, </w:t>
      </w:r>
      <w:proofErr w:type="spellStart"/>
      <w:r>
        <w:t>TfV</w:t>
      </w:r>
      <w:proofErr w:type="spellEnd"/>
      <w:r>
        <w:t>)</w:t>
      </w:r>
    </w:p>
    <w:p w14:paraId="4B87F167" w14:textId="77777777" w:rsidR="003E5BF5" w:rsidRPr="00DC41C7" w:rsidRDefault="003E5BF5" w:rsidP="00DE1921">
      <w:pPr>
        <w:pStyle w:val="aaatyping"/>
        <w:rPr>
          <w:b/>
        </w:rPr>
      </w:pPr>
      <w:r w:rsidRPr="00DC41C7">
        <w:t>(Established under the TIA)</w:t>
      </w:r>
      <w:r>
        <w:t>.</w:t>
      </w:r>
    </w:p>
    <w:p w14:paraId="3944CDF1" w14:textId="77777777" w:rsidR="003E5BF5" w:rsidRDefault="003E5BF5" w:rsidP="00DE1921">
      <w:pPr>
        <w:pStyle w:val="aaatyping"/>
      </w:pPr>
      <w:r w:rsidRPr="004C417A">
        <w:t>Where control of an entity is obtained during the financial period, its results are included in the comprehensive operating statement from the date on which control commenced. Where control ceases during a financial period,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1F9D6202" w14:textId="77777777" w:rsidR="003E5BF5" w:rsidRPr="00782D46" w:rsidRDefault="003E5BF5" w:rsidP="00DE1921">
      <w:pPr>
        <w:pStyle w:val="aaatyping"/>
      </w:pPr>
      <w:r>
        <w:t>In accordance with AASB 10</w:t>
      </w:r>
      <w:r>
        <w:rPr>
          <w:i/>
          <w:iCs/>
        </w:rPr>
        <w:t xml:space="preserve"> Consolidated Financial Statements,</w:t>
      </w:r>
      <w:r>
        <w:t xml:space="preserve"> the consolidated financial statements of the department incorporate assets </w:t>
      </w:r>
      <w:r>
        <w:lastRenderedPageBreak/>
        <w:t>and liabilities of a reporting entity controlled by the department as at 30 June 2020 and its income and expenses for that part of the reporting period which control existed:</w:t>
      </w:r>
    </w:p>
    <w:p w14:paraId="73C596D4" w14:textId="77777777" w:rsidR="003E5BF5" w:rsidRPr="00B02679" w:rsidRDefault="003E5BF5" w:rsidP="00B02679">
      <w:pPr>
        <w:pStyle w:val="aaabullet"/>
      </w:pPr>
      <w:r w:rsidRPr="00EE2EB6">
        <w:t>Franchise Asset Holdings Pty Ltd (</w:t>
      </w:r>
      <w:proofErr w:type="spellStart"/>
      <w:r w:rsidRPr="00B02679">
        <w:t>AssetCo</w:t>
      </w:r>
      <w:proofErr w:type="spellEnd"/>
      <w:r w:rsidRPr="00B02679">
        <w:t xml:space="preserve">) </w:t>
      </w:r>
    </w:p>
    <w:p w14:paraId="7E383461" w14:textId="77777777" w:rsidR="003E5BF5" w:rsidRPr="00282DBA" w:rsidRDefault="003E5BF5" w:rsidP="00DE1921">
      <w:pPr>
        <w:pStyle w:val="aaatyping"/>
        <w:rPr>
          <w:sz w:val="16"/>
          <w:szCs w:val="20"/>
        </w:rPr>
      </w:pPr>
      <w:r w:rsidRPr="00282DBA">
        <w:t>(a special purpose entity for the purpose of acquisition and financing of buses and development of bus depots as part of the franchise agreement with Transdev Melbourne Pty Ltd)</w:t>
      </w:r>
      <w:r>
        <w:t>.</w:t>
      </w:r>
    </w:p>
    <w:p w14:paraId="4D3E66B2" w14:textId="77777777" w:rsidR="003E5BF5" w:rsidRDefault="003E5BF5" w:rsidP="00DE1921">
      <w:pPr>
        <w:pStyle w:val="aaatyping"/>
      </w:pPr>
      <w:r>
        <w:t>In addition, the following administrative office and statutory appointments are included within the department’s financial statements:</w:t>
      </w:r>
    </w:p>
    <w:p w14:paraId="6DF6A56F" w14:textId="77777777" w:rsidR="003E5BF5" w:rsidRPr="00DC41C7" w:rsidRDefault="003E5BF5" w:rsidP="00DE1921">
      <w:pPr>
        <w:pStyle w:val="aaabullet"/>
      </w:pPr>
      <w:r w:rsidRPr="002362FB">
        <w:t>The Director, Transport Safety</w:t>
      </w:r>
    </w:p>
    <w:p w14:paraId="2A358D4F" w14:textId="77777777" w:rsidR="003E5BF5" w:rsidRPr="00DC41C7" w:rsidRDefault="003E5BF5" w:rsidP="00DE1921">
      <w:pPr>
        <w:pStyle w:val="aaatyping"/>
      </w:pPr>
      <w:r w:rsidRPr="00DC41C7">
        <w:t>(statutory appointment)</w:t>
      </w:r>
    </w:p>
    <w:p w14:paraId="637ADE72" w14:textId="77777777" w:rsidR="003E5BF5" w:rsidRDefault="003E5BF5" w:rsidP="00DE1921">
      <w:pPr>
        <w:pStyle w:val="aaabullet"/>
      </w:pPr>
      <w:r w:rsidRPr="002362FB">
        <w:t>The Chief Investigator, Transport Safety</w:t>
      </w:r>
    </w:p>
    <w:p w14:paraId="7BB4B7F1" w14:textId="77777777" w:rsidR="003E5BF5" w:rsidRPr="00DC41C7" w:rsidRDefault="003E5BF5" w:rsidP="00DE1921">
      <w:pPr>
        <w:pStyle w:val="aaatyping"/>
      </w:pPr>
      <w:r w:rsidRPr="00DC41C7">
        <w:t>(statutory appointment)</w:t>
      </w:r>
    </w:p>
    <w:p w14:paraId="5F019468" w14:textId="77777777" w:rsidR="003E5BF5" w:rsidRPr="00DC41C7" w:rsidRDefault="003E5BF5" w:rsidP="00DE1921">
      <w:pPr>
        <w:pStyle w:val="aaabullet"/>
      </w:pPr>
      <w:r w:rsidRPr="002362FB">
        <w:t>Major Transport Infrastructure Authority</w:t>
      </w:r>
    </w:p>
    <w:p w14:paraId="5AA73D5C" w14:textId="77777777" w:rsidR="003E5BF5" w:rsidRPr="00DC41C7" w:rsidRDefault="003E5BF5" w:rsidP="00DE1921">
      <w:pPr>
        <w:pStyle w:val="aaatyping"/>
      </w:pPr>
      <w:r w:rsidRPr="00DC41C7">
        <w:t>(administrative office)</w:t>
      </w:r>
    </w:p>
    <w:p w14:paraId="5CE9DB9F" w14:textId="77777777" w:rsidR="003E5BF5" w:rsidRDefault="003E5BF5" w:rsidP="00DE1921">
      <w:pPr>
        <w:pStyle w:val="aaabullet"/>
      </w:pPr>
      <w:r w:rsidRPr="002362FB">
        <w:t xml:space="preserve">Suburban Rail Loop Authority </w:t>
      </w:r>
    </w:p>
    <w:p w14:paraId="129B3D81" w14:textId="77777777" w:rsidR="003E5BF5" w:rsidRPr="00DC41C7" w:rsidRDefault="003E5BF5" w:rsidP="00DE1921">
      <w:pPr>
        <w:pStyle w:val="aaatyping"/>
      </w:pPr>
      <w:r w:rsidRPr="00DC41C7">
        <w:t>(administrative office)</w:t>
      </w:r>
      <w:r>
        <w:t>.</w:t>
      </w:r>
    </w:p>
    <w:p w14:paraId="68933010" w14:textId="77777777" w:rsidR="003E5BF5" w:rsidRDefault="003E5BF5" w:rsidP="00DE1921">
      <w:pPr>
        <w:pStyle w:val="aaatyping"/>
      </w:pPr>
      <w:r w:rsidRPr="007444F0">
        <w:t xml:space="preserve">In preparing consolidated financial statements for the </w:t>
      </w:r>
      <w:r>
        <w:t>d</w:t>
      </w:r>
      <w:r w:rsidRPr="007444F0">
        <w:t>epartment, all material transactions and balances between consolidated entities are eliminated.</w:t>
      </w:r>
    </w:p>
    <w:p w14:paraId="71A7CA79" w14:textId="77777777" w:rsidR="003E5BF5" w:rsidRPr="00CC026F" w:rsidRDefault="003E5BF5" w:rsidP="008A0170">
      <w:pPr>
        <w:pStyle w:val="Heading2"/>
      </w:pPr>
      <w:r w:rsidRPr="00CC026F">
        <w:t>Establishment of Road Safety Victoria</w:t>
      </w:r>
    </w:p>
    <w:p w14:paraId="4D0F7D0A" w14:textId="77777777" w:rsidR="003E5BF5" w:rsidRDefault="003E5BF5" w:rsidP="00DE1921">
      <w:pPr>
        <w:pStyle w:val="aaatyping"/>
      </w:pPr>
      <w:r>
        <w:t>Announced on 29 June 2019, Road Safety Victoria has been established to strengthen Victoria’s road safety capability and ensure road safety is a priority within the department. This dedicated office of road safety</w:t>
      </w:r>
      <w:r w:rsidRPr="00AF128B">
        <w:t xml:space="preserve"> </w:t>
      </w:r>
      <w:r w:rsidRPr="00AF128B">
        <w:lastRenderedPageBreak/>
        <w:t>merge</w:t>
      </w:r>
      <w:r>
        <w:t>d</w:t>
      </w:r>
      <w:r w:rsidRPr="00AF128B">
        <w:t xml:space="preserve"> and centralise</w:t>
      </w:r>
      <w:r>
        <w:t>d</w:t>
      </w:r>
      <w:r w:rsidRPr="00AF128B">
        <w:t xml:space="preserve"> the road safety functions of VicRoads and the </w:t>
      </w:r>
      <w:r>
        <w:t xml:space="preserve">department, which </w:t>
      </w:r>
      <w:r w:rsidRPr="00AF128B">
        <w:t>commence</w:t>
      </w:r>
      <w:r>
        <w:t>d</w:t>
      </w:r>
      <w:r w:rsidRPr="00AF128B">
        <w:t xml:space="preserve"> operations from 1 August</w:t>
      </w:r>
      <w:r>
        <w:t xml:space="preserve"> 2019</w:t>
      </w:r>
      <w:r w:rsidRPr="00AF128B">
        <w:t xml:space="preserve">. </w:t>
      </w:r>
      <w:r w:rsidRPr="003128CC">
        <w:t>Road Safety Victoria will work closely with all road safety partners, made up of Victoria Police, the Transport Accident Commission, VicRoads, the Department of Transport, the Department of Justice and Regulation and the Department of Health and Human Services to develop strategies and programs to reduce Victoria’s road tol</w:t>
      </w:r>
      <w:r>
        <w:t>l. RSV is considered as a business unit within the department and its balances and results are included within the department’s statements.</w:t>
      </w:r>
    </w:p>
    <w:p w14:paraId="663CD6DA" w14:textId="77777777" w:rsidR="003E5BF5" w:rsidRPr="00CC026F" w:rsidRDefault="003E5BF5" w:rsidP="008A0170">
      <w:pPr>
        <w:pStyle w:val="Heading2"/>
      </w:pPr>
      <w:r w:rsidRPr="00CC026F">
        <w:t>Establishment of Suburban Rail Loop Authority</w:t>
      </w:r>
    </w:p>
    <w:p w14:paraId="470B4A74" w14:textId="77777777" w:rsidR="003E5BF5" w:rsidRDefault="003E5BF5" w:rsidP="00DE1921">
      <w:pPr>
        <w:pStyle w:val="aaatyping"/>
      </w:pPr>
      <w:r w:rsidRPr="00C71D5F">
        <w:t xml:space="preserve">The Suburban Rail Loop Authority (SRLA) was established under Section 30 of the </w:t>
      </w:r>
      <w:r w:rsidRPr="00C71D5F">
        <w:rPr>
          <w:i/>
          <w:iCs/>
        </w:rPr>
        <w:t>Public Administration Act 2004</w:t>
      </w:r>
      <w:r w:rsidRPr="00C71D5F">
        <w:t xml:space="preserve"> </w:t>
      </w:r>
      <w:r>
        <w:t xml:space="preserve">(PAA) </w:t>
      </w:r>
      <w:r w:rsidRPr="00C71D5F">
        <w:t>on 3 September 2019 for the purpose of planning the rail loop from Cheltenham to the Airport and oversee</w:t>
      </w:r>
      <w:r>
        <w:t>ing</w:t>
      </w:r>
      <w:r w:rsidRPr="00C71D5F">
        <w:t xml:space="preserve"> community and stakeholder engagement in preparation for the start of the first stage of construction in 2022</w:t>
      </w:r>
      <w:r>
        <w:t>. SRLA is an administrative office within the department and its balances and results are included within the department’s statements.</w:t>
      </w:r>
    </w:p>
    <w:p w14:paraId="17341524" w14:textId="77777777" w:rsidR="003E5BF5" w:rsidRPr="00CC026F" w:rsidRDefault="003E5BF5" w:rsidP="008A0170">
      <w:pPr>
        <w:pStyle w:val="Heading2"/>
      </w:pPr>
      <w:r w:rsidRPr="00CC026F">
        <w:t>Integration of VicRoads and PTV into the department</w:t>
      </w:r>
    </w:p>
    <w:p w14:paraId="441BC71E" w14:textId="77777777" w:rsidR="003E5BF5" w:rsidRDefault="003E5BF5" w:rsidP="00DE1921">
      <w:pPr>
        <w:pStyle w:val="aaatyping"/>
        <w:rPr>
          <w:lang w:val="en-GB"/>
        </w:rPr>
      </w:pPr>
      <w:r w:rsidRPr="005278BB">
        <w:rPr>
          <w:lang w:val="en-GB"/>
        </w:rPr>
        <w:t xml:space="preserve">In June 2019, the </w:t>
      </w:r>
      <w:r>
        <w:rPr>
          <w:lang w:val="en-GB"/>
        </w:rPr>
        <w:t xml:space="preserve">Victorian </w:t>
      </w:r>
      <w:r w:rsidRPr="005278BB">
        <w:rPr>
          <w:lang w:val="en-GB"/>
        </w:rPr>
        <w:t xml:space="preserve">Government issued an administrative order restructuring some of its activities via </w:t>
      </w:r>
      <w:r>
        <w:rPr>
          <w:lang w:val="en-GB"/>
        </w:rPr>
        <w:t>M</w:t>
      </w:r>
      <w:r w:rsidRPr="005278BB">
        <w:rPr>
          <w:lang w:val="en-GB"/>
        </w:rPr>
        <w:t xml:space="preserve">achinery of </w:t>
      </w:r>
      <w:r>
        <w:rPr>
          <w:lang w:val="en-GB"/>
        </w:rPr>
        <w:t>G</w:t>
      </w:r>
      <w:r w:rsidRPr="005278BB">
        <w:rPr>
          <w:lang w:val="en-GB"/>
        </w:rPr>
        <w:t xml:space="preserve">overnment </w:t>
      </w:r>
      <w:r>
        <w:rPr>
          <w:lang w:val="en-GB"/>
        </w:rPr>
        <w:t>(</w:t>
      </w:r>
      <w:proofErr w:type="spellStart"/>
      <w:r>
        <w:rPr>
          <w:lang w:val="en-GB"/>
        </w:rPr>
        <w:t>MoG</w:t>
      </w:r>
      <w:proofErr w:type="spellEnd"/>
      <w:r>
        <w:rPr>
          <w:lang w:val="en-GB"/>
        </w:rPr>
        <w:t xml:space="preserve">) </w:t>
      </w:r>
      <w:r w:rsidRPr="005278BB">
        <w:rPr>
          <w:lang w:val="en-GB"/>
        </w:rPr>
        <w:t xml:space="preserve">changes, taking effect from 1 July 2019. Furthermore, </w:t>
      </w:r>
      <w:r>
        <w:rPr>
          <w:lang w:val="en-GB"/>
        </w:rPr>
        <w:t>t</w:t>
      </w:r>
      <w:r w:rsidRPr="00AF128B">
        <w:rPr>
          <w:lang w:val="en-GB"/>
        </w:rPr>
        <w:t xml:space="preserve">he </w:t>
      </w:r>
      <w:r w:rsidRPr="00AF128B">
        <w:rPr>
          <w:i/>
          <w:iCs/>
        </w:rPr>
        <w:t>Transport Legislation Amendment Act 2019</w:t>
      </w:r>
      <w:r>
        <w:t xml:space="preserve"> (TLAA) </w:t>
      </w:r>
      <w:r>
        <w:rPr>
          <w:lang w:val="en-GB"/>
        </w:rPr>
        <w:t>provided for the integration</w:t>
      </w:r>
      <w:r w:rsidRPr="00AF128B">
        <w:rPr>
          <w:lang w:val="en-GB"/>
        </w:rPr>
        <w:t xml:space="preserve"> of </w:t>
      </w:r>
      <w:r>
        <w:rPr>
          <w:lang w:val="en-GB"/>
        </w:rPr>
        <w:t>Vic</w:t>
      </w:r>
      <w:r w:rsidRPr="00AF128B">
        <w:rPr>
          <w:lang w:val="en-GB"/>
        </w:rPr>
        <w:t xml:space="preserve">Roads </w:t>
      </w:r>
      <w:r>
        <w:rPr>
          <w:lang w:val="en-GB"/>
        </w:rPr>
        <w:t xml:space="preserve">and </w:t>
      </w:r>
      <w:r w:rsidRPr="0084564A">
        <w:t>PTV</w:t>
      </w:r>
      <w:r>
        <w:t xml:space="preserve"> </w:t>
      </w:r>
      <w:r w:rsidRPr="00AF128B">
        <w:rPr>
          <w:lang w:val="en-GB"/>
        </w:rPr>
        <w:t xml:space="preserve">into </w:t>
      </w:r>
      <w:r>
        <w:rPr>
          <w:lang w:val="en-GB"/>
        </w:rPr>
        <w:t xml:space="preserve">the department </w:t>
      </w:r>
      <w:r w:rsidRPr="00AF128B">
        <w:rPr>
          <w:lang w:val="en-GB"/>
        </w:rPr>
        <w:t>to create one transport body for the overall</w:t>
      </w:r>
      <w:r>
        <w:rPr>
          <w:lang w:val="en-GB"/>
        </w:rPr>
        <w:t xml:space="preserve"> </w:t>
      </w:r>
      <w:r w:rsidRPr="00AF128B">
        <w:rPr>
          <w:lang w:val="en-GB"/>
        </w:rPr>
        <w:t>strategic planning and operation of the Victorian transport system.</w:t>
      </w:r>
    </w:p>
    <w:p w14:paraId="78B296D9" w14:textId="77777777" w:rsidR="003E5BF5" w:rsidRPr="00FD6842" w:rsidRDefault="003E5BF5" w:rsidP="00DE1921">
      <w:pPr>
        <w:pStyle w:val="aaatyping"/>
      </w:pPr>
      <w:r>
        <w:t>Refer below for more detailed information on individual entities:</w:t>
      </w:r>
    </w:p>
    <w:p w14:paraId="7651F193" w14:textId="77777777" w:rsidR="003E5BF5" w:rsidRPr="00114BFC" w:rsidRDefault="003E5BF5" w:rsidP="008869A9">
      <w:pPr>
        <w:pStyle w:val="Heading4"/>
        <w:rPr>
          <w:lang w:eastAsia="en-AU"/>
        </w:rPr>
      </w:pPr>
      <w:r w:rsidRPr="00114BFC">
        <w:rPr>
          <w:lang w:eastAsia="en-AU"/>
        </w:rPr>
        <w:lastRenderedPageBreak/>
        <w:t>Public Transport Victoria</w:t>
      </w:r>
    </w:p>
    <w:p w14:paraId="40AD8039" w14:textId="77777777" w:rsidR="003E5BF5" w:rsidRDefault="003E5BF5" w:rsidP="00DE1921">
      <w:pPr>
        <w:pStyle w:val="aaatyping"/>
      </w:pPr>
      <w:r w:rsidRPr="0084564A">
        <w:t>As of 1 July 2019, the Transport Restructuring Order</w:t>
      </w:r>
      <w:r>
        <w:t xml:space="preserve"> (TRO)</w:t>
      </w:r>
      <w:r w:rsidRPr="0084564A">
        <w:t xml:space="preserve"> facilitated the conferral of duties, </w:t>
      </w:r>
      <w:r>
        <w:t>functions</w:t>
      </w:r>
      <w:r w:rsidRPr="0084564A">
        <w:t xml:space="preserve"> and powers of </w:t>
      </w:r>
      <w:r>
        <w:t>PTV</w:t>
      </w:r>
      <w:r w:rsidRPr="0084564A">
        <w:t xml:space="preserve"> to the Head, </w:t>
      </w:r>
      <w:proofErr w:type="spellStart"/>
      <w:r w:rsidRPr="0084564A">
        <w:t>TfV</w:t>
      </w:r>
      <w:proofErr w:type="spellEnd"/>
      <w:r>
        <w:t xml:space="preserve"> </w:t>
      </w:r>
      <w:r w:rsidRPr="0084564A">
        <w:t xml:space="preserve">and the Secretary of </w:t>
      </w:r>
      <w:r>
        <w:t>the department</w:t>
      </w:r>
      <w:r w:rsidRPr="0084564A">
        <w:t>, until its abolishment</w:t>
      </w:r>
      <w:r>
        <w:t>. T</w:t>
      </w:r>
      <w:r w:rsidRPr="00E3478B">
        <w:t xml:space="preserve">he corporate functions and employees of PTV (excluding public transport functions and bus contracts) were transferred to the Secretary of </w:t>
      </w:r>
      <w:r>
        <w:t>the department and c</w:t>
      </w:r>
      <w:r w:rsidRPr="00E3478B">
        <w:t xml:space="preserve">onsequently, public transport functions were transferred to the </w:t>
      </w:r>
      <w:r>
        <w:t xml:space="preserve">Head, </w:t>
      </w:r>
      <w:proofErr w:type="spellStart"/>
      <w:r w:rsidRPr="00E3478B">
        <w:t>TfV</w:t>
      </w:r>
      <w:proofErr w:type="spellEnd"/>
      <w:r w:rsidRPr="00E3478B">
        <w:t xml:space="preserve"> as of 1 July 2019 via the </w:t>
      </w:r>
      <w:r>
        <w:t>TRO</w:t>
      </w:r>
      <w:r w:rsidRPr="00E3478B">
        <w:t>. Effective 1 January 2020, PTV was abolished under</w:t>
      </w:r>
      <w:r>
        <w:t xml:space="preserve"> the TIA </w:t>
      </w:r>
      <w:r w:rsidRPr="00E3478B">
        <w:t>and the remainder</w:t>
      </w:r>
      <w:r>
        <w:t xml:space="preserve"> of the</w:t>
      </w:r>
      <w:r w:rsidRPr="00E3478B">
        <w:t xml:space="preserve"> balances relating to the bus contracts were transferred to the reconstituted Head, </w:t>
      </w:r>
      <w:proofErr w:type="spellStart"/>
      <w:r w:rsidRPr="00E3478B">
        <w:t>TfV</w:t>
      </w:r>
      <w:proofErr w:type="spellEnd"/>
      <w:r w:rsidRPr="00E3478B">
        <w:t xml:space="preserve"> within </w:t>
      </w:r>
      <w:r>
        <w:t>the department</w:t>
      </w:r>
      <w:r w:rsidRPr="00E3478B">
        <w:t>.</w:t>
      </w:r>
    </w:p>
    <w:p w14:paraId="5B1CF33B" w14:textId="77777777" w:rsidR="003E5BF5" w:rsidRPr="00114BFC" w:rsidRDefault="003E5BF5" w:rsidP="008869A9">
      <w:pPr>
        <w:pStyle w:val="Heading4"/>
        <w:rPr>
          <w:lang w:val="en-GB"/>
        </w:rPr>
      </w:pPr>
      <w:r w:rsidRPr="00114BFC">
        <w:t xml:space="preserve">Franchise Asset Holdings Pty Ltd </w:t>
      </w:r>
    </w:p>
    <w:p w14:paraId="00AC0730" w14:textId="77777777" w:rsidR="003E5BF5" w:rsidRDefault="003E5BF5" w:rsidP="00DE1921">
      <w:pPr>
        <w:pStyle w:val="aaatyping"/>
      </w:pPr>
      <w:r>
        <w:t xml:space="preserve">On 1 January 2020, the Head, </w:t>
      </w:r>
      <w:proofErr w:type="spellStart"/>
      <w:r>
        <w:t>TfV</w:t>
      </w:r>
      <w:proofErr w:type="spellEnd"/>
      <w:r>
        <w:t xml:space="preserve"> became the successor party to </w:t>
      </w:r>
      <w:r w:rsidRPr="009A3E61">
        <w:t>Franchise Asset Holdings Pty Ltd (</w:t>
      </w:r>
      <w:proofErr w:type="spellStart"/>
      <w:r w:rsidRPr="009A3E61">
        <w:t>AssetCo</w:t>
      </w:r>
      <w:proofErr w:type="spellEnd"/>
      <w:r w:rsidRPr="009A3E61">
        <w:t>), an entity established as a result of the bus franchise arrangements with Transdev</w:t>
      </w:r>
      <w:r>
        <w:t xml:space="preserve">. </w:t>
      </w:r>
    </w:p>
    <w:p w14:paraId="629C6D5D" w14:textId="1D5ED581" w:rsidR="006F2163" w:rsidRDefault="003E5BF5" w:rsidP="00DE1921">
      <w:pPr>
        <w:pStyle w:val="aaatyping"/>
      </w:pPr>
      <w:r w:rsidRPr="009A3E61">
        <w:t>As a controlled entity</w:t>
      </w:r>
      <w:r>
        <w:t xml:space="preserve"> of the former PTV</w:t>
      </w:r>
      <w:r w:rsidRPr="009A3E61">
        <w:t xml:space="preserve">, </w:t>
      </w:r>
      <w:proofErr w:type="spellStart"/>
      <w:r w:rsidRPr="009A3E61">
        <w:t>AssetCo</w:t>
      </w:r>
      <w:r>
        <w:t>’s</w:t>
      </w:r>
      <w:proofErr w:type="spellEnd"/>
      <w:r w:rsidRPr="009A3E61">
        <w:t xml:space="preserve"> financial information has been consolidated within </w:t>
      </w:r>
      <w:r>
        <w:t>the</w:t>
      </w:r>
      <w:r w:rsidRPr="009A3E61">
        <w:t xml:space="preserve"> financial statements</w:t>
      </w:r>
      <w:r>
        <w:t xml:space="preserve"> of the department. </w:t>
      </w:r>
      <w:r w:rsidRPr="001B6C4B">
        <w:t>In the process of preparing consolidated financial statements, all material transactions and balances between the consolidated entities are eliminated. The consolidated and parent financial statements are the same, with exception of those items described in Notes 7.1, 7.1.1, 7.1.2 and 7.2.4.</w:t>
      </w:r>
      <w:r w:rsidR="006F2163">
        <w:br w:type="page"/>
      </w:r>
    </w:p>
    <w:p w14:paraId="261C7A14" w14:textId="77777777" w:rsidR="003E5BF5" w:rsidRPr="00770FB0" w:rsidRDefault="003E5BF5" w:rsidP="008869A9">
      <w:pPr>
        <w:pStyle w:val="Heading4"/>
      </w:pPr>
      <w:r w:rsidRPr="00770FB0">
        <w:lastRenderedPageBreak/>
        <w:t>VicRoads</w:t>
      </w:r>
    </w:p>
    <w:p w14:paraId="2D8428C9" w14:textId="77777777" w:rsidR="003E5BF5" w:rsidRDefault="003E5BF5" w:rsidP="00DE1921">
      <w:pPr>
        <w:pStyle w:val="aaatyping"/>
        <w:rPr>
          <w:lang w:eastAsia="en-AU"/>
        </w:rPr>
      </w:pPr>
      <w:r>
        <w:rPr>
          <w:lang w:eastAsia="en-AU"/>
        </w:rPr>
        <w:t xml:space="preserve">Effective 1 July 2019, the corporate functions and employees of VicRoads (excluding of the Registration &amp; Licensing (R&amp;L), National Heavy Vehicle Register (NHVR staff) and selected Incident response officers) were transferred to the Secretary of </w:t>
      </w:r>
      <w:r>
        <w:t xml:space="preserve">the department </w:t>
      </w:r>
      <w:r>
        <w:rPr>
          <w:lang w:eastAsia="en-AU"/>
        </w:rPr>
        <w:t xml:space="preserve">while the Road Management function was conferred to the Head, </w:t>
      </w:r>
      <w:proofErr w:type="spellStart"/>
      <w:r>
        <w:rPr>
          <w:lang w:eastAsia="en-AU"/>
        </w:rPr>
        <w:t>TfV</w:t>
      </w:r>
      <w:proofErr w:type="spellEnd"/>
      <w:r>
        <w:rPr>
          <w:lang w:eastAsia="en-AU"/>
        </w:rPr>
        <w:t xml:space="preserve"> via the TRO. On 12 August 2019, the Victorian Government approved the transition of heavy vehicle regulatory service to occur on 8 December 2019 to the federal government due to the agreement of funding arrangements and the passage of associated legislation amendments. </w:t>
      </w:r>
    </w:p>
    <w:p w14:paraId="421D607D" w14:textId="77777777" w:rsidR="003E5BF5" w:rsidRDefault="003E5BF5" w:rsidP="00DE1921">
      <w:pPr>
        <w:pStyle w:val="aaatyping"/>
        <w:rPr>
          <w:lang w:eastAsia="en-AU"/>
        </w:rPr>
      </w:pPr>
      <w:r>
        <w:rPr>
          <w:lang w:eastAsia="en-AU"/>
        </w:rPr>
        <w:t>Furthermore, with the amendment of TIA as of 1 January 2020, the R&amp;L function was transferred to the Secretary while R&amp;L employees remained within VicRoads.</w:t>
      </w:r>
    </w:p>
    <w:p w14:paraId="7C0B8176" w14:textId="77777777" w:rsidR="003E5BF5" w:rsidRDefault="003E5BF5" w:rsidP="00DE1921">
      <w:pPr>
        <w:pStyle w:val="aaatyping"/>
      </w:pPr>
      <w:r>
        <w:rPr>
          <w:lang w:eastAsia="en-AU"/>
        </w:rPr>
        <w:t>VicRoads remains in existence with R&amp;L staff and operates with limited functions per the TIA which are to assist the Secretary with providing R&amp;L functions and make available R&amp;L staff of VicRoads.</w:t>
      </w:r>
    </w:p>
    <w:p w14:paraId="607274D7" w14:textId="77777777" w:rsidR="003E5BF5" w:rsidRPr="00770FB0" w:rsidRDefault="003E5BF5" w:rsidP="008869A9">
      <w:pPr>
        <w:pStyle w:val="Heading4"/>
      </w:pPr>
      <w:r w:rsidRPr="00770FB0">
        <w:t>Head, Transport for Victoria</w:t>
      </w:r>
    </w:p>
    <w:p w14:paraId="21F94861" w14:textId="77777777" w:rsidR="003E5BF5" w:rsidRPr="00FD6842" w:rsidRDefault="003E5BF5" w:rsidP="00DE1921">
      <w:pPr>
        <w:pStyle w:val="aaatyping"/>
      </w:pPr>
      <w:r w:rsidRPr="00FD6842">
        <w:t xml:space="preserve">As of 1 January 2020, the </w:t>
      </w:r>
      <w:r>
        <w:t>TLAA</w:t>
      </w:r>
      <w:r w:rsidRPr="00FD6842">
        <w:t xml:space="preserve"> provided for the reconstitution of the Head, </w:t>
      </w:r>
      <w:proofErr w:type="spellStart"/>
      <w:r w:rsidRPr="00FD6842">
        <w:t>TfV</w:t>
      </w:r>
      <w:proofErr w:type="spellEnd"/>
      <w:r w:rsidRPr="00FD6842">
        <w:t xml:space="preserve"> as a body corporate and reallocated public transport functions and powers of the former PTV and road management functions of VicRoads to the reconstituted Head, </w:t>
      </w:r>
      <w:proofErr w:type="spellStart"/>
      <w:r w:rsidRPr="00FD6842">
        <w:t>TfV</w:t>
      </w:r>
      <w:proofErr w:type="spellEnd"/>
      <w:r w:rsidRPr="00FD6842">
        <w:t xml:space="preserve"> under TIA. </w:t>
      </w:r>
    </w:p>
    <w:p w14:paraId="735A76C5" w14:textId="77777777" w:rsidR="003E5BF5" w:rsidRDefault="003E5BF5" w:rsidP="00DE1921">
      <w:pPr>
        <w:pStyle w:val="aaatyping"/>
        <w:rPr>
          <w:rFonts w:eastAsia="Times New Roman" w:cs="Calibri"/>
          <w:color w:val="000000"/>
          <w:lang w:eastAsia="en-AU"/>
        </w:rPr>
      </w:pPr>
      <w:r w:rsidRPr="00FD6842">
        <w:t xml:space="preserve">The Head, </w:t>
      </w:r>
      <w:proofErr w:type="spellStart"/>
      <w:r w:rsidRPr="00FD6842">
        <w:t>TfV</w:t>
      </w:r>
      <w:proofErr w:type="spellEnd"/>
      <w:r w:rsidRPr="00FD6842">
        <w:t xml:space="preserve"> is now a statutory office established under section 64A of the TIA which is set up to administer Victoria’s train, tram, bus and road systems. The primary object of the Head, </w:t>
      </w:r>
      <w:proofErr w:type="spellStart"/>
      <w:r w:rsidRPr="00FD6842">
        <w:t>TfV</w:t>
      </w:r>
      <w:proofErr w:type="spellEnd"/>
      <w:r w:rsidRPr="00FD6842">
        <w:t xml:space="preserve"> is to coordinate, provide, operate and maintain the public transport system and road system consistent with the vision statement and transport system objectives. </w:t>
      </w:r>
      <w:r w:rsidRPr="00FD6842">
        <w:lastRenderedPageBreak/>
        <w:t xml:space="preserve">Head, </w:t>
      </w:r>
      <w:proofErr w:type="spellStart"/>
      <w:r w:rsidRPr="00FD6842">
        <w:t>TfV</w:t>
      </w:r>
      <w:proofErr w:type="spellEnd"/>
      <w:r w:rsidRPr="00FD6842">
        <w:t xml:space="preserve"> does not have any employees other than the Head of Head, </w:t>
      </w:r>
      <w:proofErr w:type="spellStart"/>
      <w:r w:rsidRPr="00FD6842">
        <w:t>TfV</w:t>
      </w:r>
      <w:proofErr w:type="spellEnd"/>
      <w:r w:rsidRPr="00FD6842">
        <w:t xml:space="preserve"> who is employed by the Secretary and endorsed by the Minister</w:t>
      </w:r>
      <w:r>
        <w:t>.</w:t>
      </w:r>
    </w:p>
    <w:p w14:paraId="708B52FB" w14:textId="77777777" w:rsidR="003E5BF5" w:rsidRPr="00212E00" w:rsidRDefault="003E5BF5" w:rsidP="008A0170">
      <w:pPr>
        <w:pStyle w:val="Heading2"/>
      </w:pPr>
      <w:r w:rsidRPr="00212E00">
        <w:t>Comparative figures</w:t>
      </w:r>
    </w:p>
    <w:p w14:paraId="2BFB6B49" w14:textId="77777777" w:rsidR="003E5BF5" w:rsidRPr="0032411F" w:rsidRDefault="003E5BF5" w:rsidP="00DE1921">
      <w:pPr>
        <w:pStyle w:val="aaatyping"/>
      </w:pPr>
      <w:r w:rsidRPr="0032411F">
        <w:t xml:space="preserve">Due to the recent </w:t>
      </w:r>
      <w:proofErr w:type="spellStart"/>
      <w:r w:rsidRPr="0032411F">
        <w:t>MoG</w:t>
      </w:r>
      <w:proofErr w:type="spellEnd"/>
      <w:r w:rsidRPr="0032411F">
        <w:t xml:space="preserve"> change </w:t>
      </w:r>
      <w:r>
        <w:t>that took effect on</w:t>
      </w:r>
      <w:r w:rsidRPr="0032411F">
        <w:t xml:space="preserve"> 1 July 2019</w:t>
      </w:r>
      <w:r>
        <w:t xml:space="preserve"> integrating</w:t>
      </w:r>
      <w:r w:rsidRPr="0032411F">
        <w:t xml:space="preserve"> VicRoads and PTV into </w:t>
      </w:r>
      <w:r>
        <w:t>the department</w:t>
      </w:r>
      <w:r w:rsidRPr="0032411F">
        <w:t xml:space="preserve">, the current year figures within the </w:t>
      </w:r>
      <w:r>
        <w:t xml:space="preserve">department’s </w:t>
      </w:r>
      <w:r w:rsidRPr="0032411F">
        <w:t xml:space="preserve">financial statements for the year ended 30 June 2020 include </w:t>
      </w:r>
      <w:r>
        <w:t>the department</w:t>
      </w:r>
      <w:r w:rsidRPr="0032411F">
        <w:t>, former PTV and VicRoads.</w:t>
      </w:r>
      <w:r>
        <w:t xml:space="preserve"> </w:t>
      </w:r>
    </w:p>
    <w:p w14:paraId="674F8BFC" w14:textId="77777777" w:rsidR="003E5BF5" w:rsidRDefault="003E5BF5" w:rsidP="00DE1921">
      <w:pPr>
        <w:pStyle w:val="aaatyping"/>
      </w:pPr>
      <w:r w:rsidRPr="00604700">
        <w:t xml:space="preserve">As a result of </w:t>
      </w:r>
      <w:r>
        <w:t xml:space="preserve">the previous </w:t>
      </w:r>
      <w:proofErr w:type="spellStart"/>
      <w:r>
        <w:t>MoG</w:t>
      </w:r>
      <w:proofErr w:type="spellEnd"/>
      <w:r>
        <w:t xml:space="preserve"> </w:t>
      </w:r>
      <w:r w:rsidRPr="00604700">
        <w:t xml:space="preserve">change effective on 1 January 2019, the Department of Economic Development, Jobs, Transport and Resources (DEDJTR) became </w:t>
      </w:r>
      <w:r>
        <w:t xml:space="preserve">the department. </w:t>
      </w:r>
      <w:r w:rsidRPr="00604700">
        <w:t>The department assumed the transport</w:t>
      </w:r>
      <w:r>
        <w:t xml:space="preserve"> infrastructure, public</w:t>
      </w:r>
      <w:r w:rsidRPr="00604700">
        <w:t xml:space="preserve"> transport</w:t>
      </w:r>
      <w:r>
        <w:t>,</w:t>
      </w:r>
      <w:r w:rsidRPr="00604700">
        <w:t xml:space="preserve"> </w:t>
      </w:r>
      <w:r>
        <w:t>ports &amp; freight, roads, road safety &amp; the Transport Accident Commission (TAC), and fishing &amp; boating</w:t>
      </w:r>
      <w:r w:rsidRPr="00604700">
        <w:t xml:space="preserve"> portfolios of DEDJTR, and </w:t>
      </w:r>
      <w:r>
        <w:t>other</w:t>
      </w:r>
      <w:r w:rsidRPr="00604700">
        <w:t xml:space="preserve"> portfolios were transferred to the Department of Jobs, Precincts and Regions (DJPR).</w:t>
      </w:r>
      <w:r w:rsidRPr="00C96810">
        <w:t xml:space="preserve"> In addition, Industrial Relations Victoria and Economic Development functions were transferred to Department of Premier and Cabinet (DPC) and Department of Treasury and Finance (DTF) respectively</w:t>
      </w:r>
      <w:r>
        <w:t>.</w:t>
      </w:r>
    </w:p>
    <w:p w14:paraId="71BA32C9" w14:textId="77777777" w:rsidR="003E5BF5" w:rsidRDefault="003E5BF5" w:rsidP="00DE1921">
      <w:pPr>
        <w:pStyle w:val="aaatyping"/>
      </w:pPr>
      <w:r>
        <w:t>The comparative figures reported by the department include the financial performance, cash flow information and equity movements of non-transport functions from 1 July to 31 December 2018.</w:t>
      </w:r>
    </w:p>
    <w:p w14:paraId="0F3B4CF9" w14:textId="77777777" w:rsidR="003E5BF5" w:rsidRDefault="003E5BF5" w:rsidP="00DE1921">
      <w:pPr>
        <w:pStyle w:val="aaatyping"/>
      </w:pPr>
      <w:r>
        <w:t>The prior year comparative figures within the department’s financial statements do not include balances of the former PTV or VicRoads.</w:t>
      </w:r>
    </w:p>
    <w:p w14:paraId="71049AFC" w14:textId="77777777" w:rsidR="003E5BF5" w:rsidRDefault="003E5BF5" w:rsidP="00DE1921">
      <w:pPr>
        <w:pStyle w:val="aaatyping"/>
      </w:pPr>
      <w:r>
        <w:t xml:space="preserve">Due to the factors explained above, the current year financial information included in this report will not be comparable to prior year audited figures without considering the impact of the 2018-19 and 2019-20 </w:t>
      </w:r>
      <w:proofErr w:type="spellStart"/>
      <w:r>
        <w:t>MoG</w:t>
      </w:r>
      <w:proofErr w:type="spellEnd"/>
      <w:r>
        <w:t xml:space="preserve"> changes.</w:t>
      </w:r>
    </w:p>
    <w:p w14:paraId="58BAAE08" w14:textId="77777777" w:rsidR="003E5BF5" w:rsidRPr="007444F0" w:rsidRDefault="003E5BF5" w:rsidP="008A0170">
      <w:pPr>
        <w:pStyle w:val="Heading2"/>
        <w:rPr>
          <w:sz w:val="24"/>
        </w:rPr>
      </w:pPr>
      <w:bookmarkStart w:id="87" w:name="p71"/>
      <w:bookmarkEnd w:id="87"/>
      <w:r>
        <w:lastRenderedPageBreak/>
        <w:t>C</w:t>
      </w:r>
      <w:r w:rsidRPr="007444F0">
        <w:t>ompliance</w:t>
      </w:r>
      <w:r>
        <w:t xml:space="preserve"> information</w:t>
      </w:r>
    </w:p>
    <w:p w14:paraId="0CB345BF" w14:textId="77777777" w:rsidR="003E5BF5" w:rsidRPr="007444F0" w:rsidRDefault="003E5BF5" w:rsidP="00DE1921">
      <w:pPr>
        <w:pStyle w:val="aaatyping"/>
      </w:pPr>
      <w:r w:rsidRPr="007444F0">
        <w:t xml:space="preserve">These general purpose financial statements have been prepared in accordance with the FMA and applicable AASs which include Interpretations issued by the Australian Accounting Standards Board (AASB). In particular, they are presented in a manner consistent with the requirements of AASB 1049 </w:t>
      </w:r>
      <w:r w:rsidRPr="007444F0">
        <w:rPr>
          <w:i/>
        </w:rPr>
        <w:t>Whole of Government and General Government Sector Financial Reporting</w:t>
      </w:r>
      <w:r>
        <w:t>.</w:t>
      </w:r>
      <w:r w:rsidRPr="007444F0">
        <w:t xml:space="preserve"> </w:t>
      </w:r>
    </w:p>
    <w:p w14:paraId="548765E2" w14:textId="77777777" w:rsidR="003E5BF5" w:rsidRPr="007444F0" w:rsidRDefault="003E5BF5" w:rsidP="00DE1921">
      <w:pPr>
        <w:pStyle w:val="aaatyping"/>
      </w:pPr>
      <w:r w:rsidRPr="007444F0">
        <w:t xml:space="preserve">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 </w:t>
      </w:r>
    </w:p>
    <w:p w14:paraId="695C8377" w14:textId="77777777" w:rsidR="003E5BF5" w:rsidRPr="007444F0" w:rsidRDefault="003E5BF5" w:rsidP="008A0170">
      <w:pPr>
        <w:pStyle w:val="Heading2"/>
      </w:pPr>
      <w:r w:rsidRPr="007444F0">
        <w:t>Rounding of amounts</w:t>
      </w:r>
    </w:p>
    <w:p w14:paraId="1D2C4972" w14:textId="597808E5" w:rsidR="003E5BF5" w:rsidRDefault="003E5BF5" w:rsidP="00F85264">
      <w:pPr>
        <w:pStyle w:val="aaatyping"/>
      </w:pPr>
      <w:r w:rsidRPr="007444F0">
        <w:t>Amounts in the financial statements have been rounded to the nearest $1,000, unless otherwise stated. Figures in the financial statements may not equate due to rounding (</w:t>
      </w:r>
      <w:hyperlink w:anchor="_Style_conventions" w:history="1">
        <w:r w:rsidRPr="007444F0">
          <w:t>Note 9.1</w:t>
        </w:r>
        <w:r>
          <w:t>6</w:t>
        </w:r>
        <w:r w:rsidRPr="007444F0">
          <w:t xml:space="preserve"> Style conventions</w:t>
        </w:r>
      </w:hyperlink>
      <w:r w:rsidRPr="007444F0">
        <w:t>).</w:t>
      </w:r>
    </w:p>
    <w:p w14:paraId="470A4C64" w14:textId="77777777" w:rsidR="003E5BF5" w:rsidRDefault="003E5BF5" w:rsidP="00DE1921">
      <w:pPr>
        <w:sectPr w:rsidR="003E5BF5" w:rsidSect="00313F84">
          <w:type w:val="continuous"/>
          <w:pgSz w:w="11906" w:h="16838"/>
          <w:pgMar w:top="1701" w:right="1418" w:bottom="1418" w:left="1418" w:header="708" w:footer="708" w:gutter="0"/>
          <w:cols w:space="284"/>
          <w:docGrid w:linePitch="360"/>
        </w:sectPr>
      </w:pPr>
    </w:p>
    <w:p w14:paraId="321A83A7" w14:textId="77777777" w:rsidR="003E5BF5" w:rsidRPr="00F65E12" w:rsidRDefault="003E5BF5" w:rsidP="006667CC">
      <w:pPr>
        <w:pStyle w:val="Heading1"/>
        <w:numPr>
          <w:ilvl w:val="0"/>
          <w:numId w:val="3"/>
        </w:numPr>
        <w:sectPr w:rsidR="003E5BF5" w:rsidRPr="00F65E12" w:rsidSect="00DE1921">
          <w:headerReference w:type="even" r:id="rId59"/>
          <w:headerReference w:type="default" r:id="rId60"/>
          <w:footerReference w:type="even" r:id="rId61"/>
          <w:headerReference w:type="first" r:id="rId62"/>
          <w:pgSz w:w="11906" w:h="16838"/>
          <w:pgMar w:top="1701" w:right="1418" w:bottom="1418" w:left="1418" w:header="708" w:footer="708" w:gutter="0"/>
          <w:cols w:space="284"/>
          <w:docGrid w:linePitch="360"/>
        </w:sectPr>
      </w:pPr>
      <w:bookmarkStart w:id="88" w:name="p72"/>
      <w:bookmarkStart w:id="89" w:name="_Toc55130690"/>
      <w:bookmarkEnd w:id="85"/>
      <w:bookmarkEnd w:id="88"/>
      <w:r w:rsidRPr="00F65E12">
        <w:lastRenderedPageBreak/>
        <w:t>FUNDING DELIVERY OF OUR SERVICES</w:t>
      </w:r>
      <w:bookmarkEnd w:id="89"/>
    </w:p>
    <w:p w14:paraId="3E396227" w14:textId="77777777" w:rsidR="003E5BF5" w:rsidRPr="00651BF4" w:rsidRDefault="003E5BF5" w:rsidP="008A0170">
      <w:pPr>
        <w:pStyle w:val="Heading2"/>
      </w:pPr>
      <w:r w:rsidRPr="00651BF4">
        <w:t>Introduction</w:t>
      </w:r>
    </w:p>
    <w:p w14:paraId="3A774CC2" w14:textId="77777777" w:rsidR="003E5BF5" w:rsidRDefault="003E5BF5" w:rsidP="00F85264">
      <w:pPr>
        <w:pStyle w:val="aaatyping"/>
        <w:rPr>
          <w:lang w:val="en-GB" w:eastAsia="en-GB"/>
        </w:rPr>
      </w:pPr>
      <w:r w:rsidRPr="007444F0">
        <w:rPr>
          <w:lang w:val="en-GB" w:eastAsia="en-GB"/>
        </w:rPr>
        <w:t xml:space="preserve">The </w:t>
      </w:r>
      <w:r>
        <w:rPr>
          <w:lang w:val="en-GB" w:eastAsia="en-GB"/>
        </w:rPr>
        <w:t>d</w:t>
      </w:r>
      <w:r w:rsidRPr="007444F0">
        <w:rPr>
          <w:lang w:val="en-GB" w:eastAsia="en-GB"/>
        </w:rPr>
        <w:t xml:space="preserve">epartment’s mission is to enable simple, safe and connected journeys. </w:t>
      </w:r>
    </w:p>
    <w:p w14:paraId="2EEF843D" w14:textId="77777777" w:rsidR="000632B2" w:rsidRDefault="003E5BF5" w:rsidP="00F85264">
      <w:pPr>
        <w:pStyle w:val="aaatyping"/>
        <w:rPr>
          <w:lang w:val="en-GB" w:eastAsia="en-GB"/>
        </w:rPr>
      </w:pPr>
      <w:r w:rsidRPr="007444F0">
        <w:rPr>
          <w:lang w:val="en-GB" w:eastAsia="en-GB"/>
        </w:rPr>
        <w:t xml:space="preserve">To enable the </w:t>
      </w:r>
      <w:r>
        <w:rPr>
          <w:lang w:val="en-GB" w:eastAsia="en-GB"/>
        </w:rPr>
        <w:t>d</w:t>
      </w:r>
      <w:r w:rsidRPr="007444F0">
        <w:rPr>
          <w:lang w:val="en-GB" w:eastAsia="en-GB"/>
        </w:rPr>
        <w:t xml:space="preserve">epartment to fulfil its mission and provide outputs as described in Note 4 Disaggregated financial information by output, it receives income </w:t>
      </w:r>
      <w:r>
        <w:rPr>
          <w:lang w:val="en-GB" w:eastAsia="en-GB"/>
        </w:rPr>
        <w:t xml:space="preserve">in the form of </w:t>
      </w:r>
      <w:r w:rsidRPr="007444F0">
        <w:rPr>
          <w:lang w:val="en-GB" w:eastAsia="en-GB"/>
        </w:rPr>
        <w:t>parliamentary appropriations.</w:t>
      </w:r>
      <w:r>
        <w:rPr>
          <w:lang w:val="en-GB" w:eastAsia="en-GB"/>
        </w:rPr>
        <w:t xml:space="preserve"> In addition,</w:t>
      </w:r>
      <w:r w:rsidRPr="007444F0">
        <w:rPr>
          <w:lang w:val="en-GB" w:eastAsia="en-GB"/>
        </w:rPr>
        <w:t xml:space="preserve"> </w:t>
      </w:r>
      <w:r>
        <w:rPr>
          <w:lang w:val="en-GB" w:eastAsia="en-GB"/>
        </w:rPr>
        <w:t>t</w:t>
      </w:r>
      <w:r w:rsidRPr="007444F0">
        <w:rPr>
          <w:lang w:val="en-GB" w:eastAsia="en-GB"/>
        </w:rPr>
        <w:t xml:space="preserve">he </w:t>
      </w:r>
      <w:r>
        <w:rPr>
          <w:lang w:val="en-GB" w:eastAsia="en-GB"/>
        </w:rPr>
        <w:t>d</w:t>
      </w:r>
      <w:r w:rsidRPr="007444F0">
        <w:rPr>
          <w:lang w:val="en-GB" w:eastAsia="en-GB"/>
        </w:rPr>
        <w:t xml:space="preserve">epartment receives </w:t>
      </w:r>
      <w:r>
        <w:rPr>
          <w:lang w:val="en-GB" w:eastAsia="en-GB"/>
        </w:rPr>
        <w:t xml:space="preserve">grants and fees for service revenue </w:t>
      </w:r>
      <w:r w:rsidRPr="007444F0">
        <w:rPr>
          <w:lang w:val="en-GB" w:eastAsia="en-GB"/>
        </w:rPr>
        <w:t>in relation to agriculture and transport services.</w:t>
      </w:r>
    </w:p>
    <w:p w14:paraId="60187D7B" w14:textId="77777777" w:rsidR="000632B2" w:rsidRDefault="000632B2" w:rsidP="00DE1921">
      <w:pPr>
        <w:rPr>
          <w:lang w:val="en-GB" w:eastAsia="en-GB"/>
        </w:rPr>
      </w:pPr>
    </w:p>
    <w:p w14:paraId="0DC8791C" w14:textId="2692C468" w:rsidR="003E5BF5" w:rsidRPr="007444F0" w:rsidRDefault="003E5BF5" w:rsidP="00971262">
      <w:pPr>
        <w:pStyle w:val="Heading2"/>
        <w:rPr>
          <w:color w:val="2F5496" w:themeColor="accent1" w:themeShade="BF"/>
          <w:sz w:val="32"/>
          <w:szCs w:val="28"/>
        </w:rPr>
      </w:pPr>
      <w:r w:rsidRPr="00971262">
        <w:t>Structure</w:t>
      </w:r>
    </w:p>
    <w:p w14:paraId="5EDAD759" w14:textId="132334D5" w:rsidR="003E5BF5" w:rsidRPr="007435A6" w:rsidRDefault="003E5BF5" w:rsidP="002355F5">
      <w:pPr>
        <w:pStyle w:val="TOC1"/>
        <w:rPr>
          <w:lang w:eastAsia="en-AU"/>
        </w:rPr>
      </w:pPr>
      <w:r w:rsidRPr="007435A6">
        <w:fldChar w:fldCharType="begin"/>
      </w:r>
      <w:r w:rsidRPr="007435A6">
        <w:instrText xml:space="preserve"> TOC \t "Heading 2,1" \b SEC2 \h \* MERGEFORMAT </w:instrText>
      </w:r>
      <w:r w:rsidRPr="007435A6">
        <w:fldChar w:fldCharType="separate"/>
      </w:r>
      <w:hyperlink w:anchor="_Toc53420711" w:history="1">
        <w:r w:rsidRPr="007435A6">
          <w:rPr>
            <w:rStyle w:val="Hyperlink"/>
            <w:rFonts w:ascii="Arial" w:hAnsi="Arial"/>
          </w:rPr>
          <w:t>2.1Appropriations</w:t>
        </w:r>
        <w:r w:rsidRPr="007435A6">
          <w:tab/>
        </w:r>
        <w:r w:rsidRPr="007435A6">
          <w:fldChar w:fldCharType="begin"/>
        </w:r>
        <w:r w:rsidRPr="007435A6">
          <w:instrText xml:space="preserve"> PAGEREF _Toc53420711 \h </w:instrText>
        </w:r>
        <w:r w:rsidRPr="007435A6">
          <w:fldChar w:fldCharType="separate"/>
        </w:r>
        <w:r w:rsidR="003164D6">
          <w:t>73</w:t>
        </w:r>
        <w:r w:rsidRPr="007435A6">
          <w:fldChar w:fldCharType="end"/>
        </w:r>
      </w:hyperlink>
    </w:p>
    <w:p w14:paraId="0C8469AC" w14:textId="10D3086F" w:rsidR="003E5BF5" w:rsidRPr="007435A6" w:rsidRDefault="009B2DDD" w:rsidP="00BB2413">
      <w:pPr>
        <w:pStyle w:val="TOC1"/>
        <w:rPr>
          <w:lang w:eastAsia="en-AU"/>
        </w:rPr>
      </w:pPr>
      <w:hyperlink w:anchor="_Toc53420712" w:history="1">
        <w:r w:rsidR="003E5BF5" w:rsidRPr="007435A6">
          <w:rPr>
            <w:rStyle w:val="Hyperlink"/>
            <w:rFonts w:ascii="Arial" w:hAnsi="Arial"/>
          </w:rPr>
          <w:t>2.2Grant income</w:t>
        </w:r>
        <w:r w:rsidR="003E5BF5" w:rsidRPr="007435A6">
          <w:tab/>
        </w:r>
        <w:r w:rsidR="003E5BF5" w:rsidRPr="007435A6">
          <w:fldChar w:fldCharType="begin"/>
        </w:r>
        <w:r w:rsidR="003E5BF5" w:rsidRPr="007435A6">
          <w:instrText xml:space="preserve"> PAGEREF _Toc53420712 \h </w:instrText>
        </w:r>
        <w:r w:rsidR="003E5BF5" w:rsidRPr="007435A6">
          <w:fldChar w:fldCharType="separate"/>
        </w:r>
        <w:r w:rsidR="003164D6">
          <w:t>82</w:t>
        </w:r>
        <w:r w:rsidR="003E5BF5" w:rsidRPr="007435A6">
          <w:fldChar w:fldCharType="end"/>
        </w:r>
      </w:hyperlink>
    </w:p>
    <w:p w14:paraId="4ED69405" w14:textId="17D79F8F" w:rsidR="003E5BF5" w:rsidRPr="007435A6" w:rsidRDefault="009B2DDD" w:rsidP="00BB2413">
      <w:pPr>
        <w:pStyle w:val="TOC1"/>
        <w:rPr>
          <w:lang w:eastAsia="en-AU"/>
        </w:rPr>
      </w:pPr>
      <w:hyperlink w:anchor="_Toc53420713" w:history="1">
        <w:r w:rsidR="003E5BF5" w:rsidRPr="007435A6">
          <w:rPr>
            <w:rStyle w:val="Hyperlink"/>
            <w:rFonts w:ascii="Arial" w:hAnsi="Arial"/>
          </w:rPr>
          <w:t>2.3Sale of goods and services</w:t>
        </w:r>
        <w:r w:rsidR="003E5BF5" w:rsidRPr="007435A6">
          <w:tab/>
        </w:r>
        <w:r w:rsidR="003E5BF5" w:rsidRPr="007435A6">
          <w:fldChar w:fldCharType="begin"/>
        </w:r>
        <w:r w:rsidR="003E5BF5" w:rsidRPr="007435A6">
          <w:instrText xml:space="preserve"> PAGEREF _Toc53420713 \h </w:instrText>
        </w:r>
        <w:r w:rsidR="003E5BF5" w:rsidRPr="007435A6">
          <w:fldChar w:fldCharType="separate"/>
        </w:r>
        <w:r w:rsidR="003164D6">
          <w:t>86</w:t>
        </w:r>
        <w:r w:rsidR="003E5BF5" w:rsidRPr="007435A6">
          <w:fldChar w:fldCharType="end"/>
        </w:r>
      </w:hyperlink>
    </w:p>
    <w:p w14:paraId="18F967EC" w14:textId="13767FFC" w:rsidR="003E5BF5" w:rsidRPr="007435A6" w:rsidRDefault="009B2DDD" w:rsidP="00BB2413">
      <w:pPr>
        <w:pStyle w:val="TOC1"/>
        <w:rPr>
          <w:lang w:eastAsia="en-AU"/>
        </w:rPr>
      </w:pPr>
      <w:hyperlink w:anchor="_Toc53420714" w:history="1">
        <w:r w:rsidR="003E5BF5" w:rsidRPr="007435A6">
          <w:rPr>
            <w:rStyle w:val="Hyperlink"/>
            <w:rFonts w:ascii="Arial" w:hAnsi="Arial"/>
          </w:rPr>
          <w:t>2.4Other income</w:t>
        </w:r>
        <w:r w:rsidR="003E5BF5" w:rsidRPr="007435A6">
          <w:tab/>
        </w:r>
        <w:r w:rsidR="003E5BF5" w:rsidRPr="007435A6">
          <w:fldChar w:fldCharType="begin"/>
        </w:r>
        <w:r w:rsidR="003E5BF5" w:rsidRPr="007435A6">
          <w:instrText xml:space="preserve"> PAGEREF _Toc53420714 \h </w:instrText>
        </w:r>
        <w:r w:rsidR="003E5BF5" w:rsidRPr="007435A6">
          <w:fldChar w:fldCharType="separate"/>
        </w:r>
        <w:r w:rsidR="003164D6">
          <w:t>90</w:t>
        </w:r>
        <w:r w:rsidR="003E5BF5" w:rsidRPr="007435A6">
          <w:fldChar w:fldCharType="end"/>
        </w:r>
      </w:hyperlink>
    </w:p>
    <w:p w14:paraId="331495FD" w14:textId="77777777" w:rsidR="003E5BF5" w:rsidRDefault="003E5BF5" w:rsidP="00C65F95">
      <w:pPr>
        <w:pStyle w:val="TOC1"/>
        <w:sectPr w:rsidR="003E5BF5" w:rsidSect="000632B2">
          <w:type w:val="continuous"/>
          <w:pgSz w:w="11906" w:h="16838"/>
          <w:pgMar w:top="1701" w:right="1418" w:bottom="1418" w:left="1418" w:header="709" w:footer="709" w:gutter="0"/>
          <w:cols w:space="284"/>
          <w:docGrid w:linePitch="360"/>
        </w:sectPr>
      </w:pPr>
      <w:r w:rsidRPr="007435A6">
        <w:fldChar w:fldCharType="end"/>
      </w:r>
    </w:p>
    <w:p w14:paraId="37CAC8CD" w14:textId="77777777" w:rsidR="003E5BF5" w:rsidRPr="007444F0" w:rsidRDefault="003E5BF5" w:rsidP="00DE1921">
      <w:bookmarkStart w:id="90" w:name="SEC2"/>
    </w:p>
    <w:p w14:paraId="79863BA8" w14:textId="77777777" w:rsidR="003E5BF5" w:rsidRPr="007444F0" w:rsidRDefault="003E5BF5" w:rsidP="008A0170">
      <w:pPr>
        <w:pStyle w:val="Heading2"/>
        <w:sectPr w:rsidR="003E5BF5" w:rsidRPr="007444F0" w:rsidSect="000632B2">
          <w:type w:val="continuous"/>
          <w:pgSz w:w="11906" w:h="16838"/>
          <w:pgMar w:top="1701" w:right="1418" w:bottom="1418" w:left="1418" w:header="708" w:footer="708" w:gutter="0"/>
          <w:cols w:space="708"/>
          <w:docGrid w:linePitch="360"/>
        </w:sectPr>
      </w:pPr>
    </w:p>
    <w:p w14:paraId="2DAB9E68" w14:textId="77777777" w:rsidR="003E5BF5" w:rsidRPr="0092410C" w:rsidRDefault="003E5BF5" w:rsidP="00DE1921">
      <w:pPr>
        <w:spacing w:after="0"/>
        <w:rPr>
          <w:sz w:val="2"/>
          <w:szCs w:val="2"/>
        </w:rPr>
      </w:pPr>
      <w:bookmarkStart w:id="91" w:name="RANGE!A3:D10"/>
      <w:bookmarkStart w:id="92" w:name="RANGE!A3:D13"/>
      <w:bookmarkEnd w:id="91"/>
      <w:bookmarkEnd w:id="92"/>
    </w:p>
    <w:p w14:paraId="4903F8F8" w14:textId="77777777" w:rsidR="003E5BF5" w:rsidRDefault="003E5BF5" w:rsidP="00DE1921">
      <w:pPr>
        <w:sectPr w:rsidR="003E5BF5" w:rsidSect="000632B2">
          <w:headerReference w:type="even" r:id="rId63"/>
          <w:headerReference w:type="default" r:id="rId64"/>
          <w:headerReference w:type="first" r:id="rId65"/>
          <w:type w:val="continuous"/>
          <w:pgSz w:w="11906" w:h="16838"/>
          <w:pgMar w:top="1701" w:right="1418" w:bottom="1418" w:left="1418" w:header="708" w:footer="708" w:gutter="0"/>
          <w:cols w:space="708"/>
          <w:docGrid w:linePitch="360"/>
        </w:sectPr>
      </w:pPr>
      <w:bookmarkStart w:id="93" w:name="_Toc521958210"/>
      <w:bookmarkStart w:id="94" w:name="_Toc522178358"/>
      <w:bookmarkStart w:id="95" w:name="_Toc529179629"/>
      <w:bookmarkStart w:id="96" w:name="_Toc529197878"/>
      <w:bookmarkStart w:id="97" w:name="_Toc529197977"/>
      <w:bookmarkStart w:id="98" w:name="_Toc530386174"/>
      <w:bookmarkStart w:id="99" w:name="_Toc530403295"/>
      <w:bookmarkStart w:id="100" w:name="_Toc530403588"/>
      <w:bookmarkStart w:id="101" w:name="_Toc9235461"/>
      <w:bookmarkStart w:id="102" w:name="_Toc9344156"/>
      <w:bookmarkStart w:id="103" w:name="_Toc9344164"/>
      <w:bookmarkStart w:id="104" w:name="_Toc9344176"/>
    </w:p>
    <w:p w14:paraId="1495FE7B" w14:textId="77777777" w:rsidR="00212303" w:rsidRDefault="00212303" w:rsidP="006667CC">
      <w:pPr>
        <w:pStyle w:val="Heading2"/>
        <w:numPr>
          <w:ilvl w:val="1"/>
          <w:numId w:val="3"/>
        </w:numPr>
        <w:sectPr w:rsidR="00212303" w:rsidSect="001976CD">
          <w:type w:val="continuous"/>
          <w:pgSz w:w="11906" w:h="16838"/>
          <w:pgMar w:top="1701" w:right="1418" w:bottom="1418" w:left="1418" w:header="708" w:footer="708" w:gutter="0"/>
          <w:cols w:space="284"/>
          <w:docGrid w:linePitch="360"/>
        </w:sectPr>
      </w:pPr>
      <w:bookmarkStart w:id="105" w:name="_Toc53420594"/>
      <w:bookmarkStart w:id="106" w:name="_Toc53420711"/>
    </w:p>
    <w:p w14:paraId="38731856" w14:textId="71F30F11" w:rsidR="003E5BF5" w:rsidRPr="00282018" w:rsidRDefault="003E5BF5" w:rsidP="006667CC">
      <w:pPr>
        <w:pStyle w:val="Heading2"/>
        <w:numPr>
          <w:ilvl w:val="1"/>
          <w:numId w:val="3"/>
        </w:numPr>
      </w:pPr>
      <w:r w:rsidRPr="00282018">
        <w:lastRenderedPageBreak/>
        <w:t>Appropriations</w:t>
      </w:r>
      <w:bookmarkEnd w:id="105"/>
      <w:bookmarkEnd w:id="106"/>
    </w:p>
    <w:bookmarkEnd w:id="93"/>
    <w:bookmarkEnd w:id="94"/>
    <w:bookmarkEnd w:id="95"/>
    <w:bookmarkEnd w:id="96"/>
    <w:bookmarkEnd w:id="97"/>
    <w:bookmarkEnd w:id="98"/>
    <w:bookmarkEnd w:id="99"/>
    <w:bookmarkEnd w:id="100"/>
    <w:bookmarkEnd w:id="101"/>
    <w:bookmarkEnd w:id="102"/>
    <w:bookmarkEnd w:id="103"/>
    <w:bookmarkEnd w:id="104"/>
    <w:p w14:paraId="327977B4" w14:textId="77777777" w:rsidR="003E5BF5" w:rsidRDefault="003E5BF5" w:rsidP="00F85264">
      <w:pPr>
        <w:pStyle w:val="aaatyping"/>
        <w:rPr>
          <w:lang w:val="en-GB" w:eastAsia="en-GB"/>
        </w:rPr>
      </w:pPr>
      <w:r w:rsidRPr="007444F0">
        <w:rPr>
          <w:lang w:val="en-GB" w:eastAsia="en-GB"/>
        </w:rPr>
        <w:t xml:space="preserve">Annual </w:t>
      </w:r>
      <w:r>
        <w:rPr>
          <w:lang w:val="en-GB" w:eastAsia="en-GB"/>
        </w:rPr>
        <w:t>p</w:t>
      </w:r>
      <w:r w:rsidRPr="007444F0">
        <w:rPr>
          <w:lang w:val="en-GB" w:eastAsia="en-GB"/>
        </w:rPr>
        <w:t xml:space="preserve">arliamentary appropriations are applied by the Treasurer, they become controlled by the </w:t>
      </w:r>
      <w:r>
        <w:rPr>
          <w:lang w:val="en-GB" w:eastAsia="en-GB"/>
        </w:rPr>
        <w:t>d</w:t>
      </w:r>
      <w:r w:rsidRPr="007444F0">
        <w:rPr>
          <w:lang w:val="en-GB" w:eastAsia="en-GB"/>
        </w:rPr>
        <w:t xml:space="preserve">epartment and are recognised as income when applied to the purposes defined under the relevant </w:t>
      </w:r>
      <w:r w:rsidRPr="000D5DB9">
        <w:rPr>
          <w:i/>
          <w:iCs/>
          <w:lang w:val="en-GB" w:eastAsia="en-GB"/>
        </w:rPr>
        <w:t>Appropriations Act</w:t>
      </w:r>
      <w:r w:rsidRPr="007444F0">
        <w:rPr>
          <w:lang w:val="en-GB" w:eastAsia="en-GB"/>
        </w:rPr>
        <w:t>.</w:t>
      </w:r>
    </w:p>
    <w:p w14:paraId="78F213C5" w14:textId="77777777" w:rsidR="003E5BF5" w:rsidRPr="003D54C5" w:rsidRDefault="003E5BF5" w:rsidP="006667CC">
      <w:pPr>
        <w:pStyle w:val="Heading3"/>
        <w:numPr>
          <w:ilvl w:val="2"/>
          <w:numId w:val="3"/>
        </w:numPr>
        <w:ind w:left="765" w:hanging="765"/>
      </w:pPr>
      <w:bookmarkStart w:id="107" w:name="_Summary_of_compliance"/>
      <w:bookmarkEnd w:id="107"/>
      <w:r w:rsidRPr="003D54C5">
        <w:t>Summary of compliance with annual parliamentary appropriations</w:t>
      </w:r>
    </w:p>
    <w:p w14:paraId="79ED7588" w14:textId="77777777" w:rsidR="003E5BF5" w:rsidRPr="007444F0" w:rsidRDefault="003E5BF5" w:rsidP="00F85264">
      <w:pPr>
        <w:pStyle w:val="aaatyping"/>
        <w:rPr>
          <w:lang w:val="en-US"/>
        </w:rPr>
      </w:pPr>
      <w:r w:rsidRPr="007444F0">
        <w:rPr>
          <w:b/>
        </w:rPr>
        <w:t xml:space="preserve">Output appropriation </w:t>
      </w:r>
      <w:r w:rsidRPr="007444F0">
        <w:t xml:space="preserve">is provided to the </w:t>
      </w:r>
      <w:r>
        <w:t>d</w:t>
      </w:r>
      <w:r w:rsidRPr="007444F0">
        <w:t xml:space="preserve">epartment as payment for the production of agreed services and outputs. Income from the outputs the </w:t>
      </w:r>
      <w:r>
        <w:t>d</w:t>
      </w:r>
      <w:r w:rsidRPr="007444F0">
        <w:t xml:space="preserve">epartment provides to the Government is recognised when those outputs have been delivered and the </w:t>
      </w:r>
      <w:r>
        <w:t xml:space="preserve">Treasurer </w:t>
      </w:r>
      <w:r w:rsidRPr="007444F0">
        <w:t>has certified delivery of those outputs in accordance with specified performance criteria.</w:t>
      </w:r>
    </w:p>
    <w:p w14:paraId="25C2E41C" w14:textId="77777777" w:rsidR="003E5BF5" w:rsidRDefault="003E5BF5" w:rsidP="00F85264">
      <w:pPr>
        <w:pStyle w:val="aaatyping"/>
      </w:pPr>
      <w:r>
        <w:t xml:space="preserve">Other forms of appropriation include </w:t>
      </w:r>
      <w:r w:rsidRPr="00E6613C">
        <w:rPr>
          <w:b/>
          <w:bCs/>
        </w:rPr>
        <w:t>Additions to the Net Assets Base</w:t>
      </w:r>
      <w:r>
        <w:t xml:space="preserve"> (ATNAB) that provides for an increase in the net capital base and </w:t>
      </w:r>
      <w:r w:rsidRPr="00E6613C">
        <w:rPr>
          <w:b/>
          <w:bCs/>
        </w:rPr>
        <w:t>Payments on behalf of the State</w:t>
      </w:r>
      <w:r>
        <w:t xml:space="preserve"> (POBOS). POBOS provides for payments to be made by the Department on behalf of the State as the Department has no direct control with respect to the quantity of outputs delivered and are classified as an Administered function.</w:t>
      </w:r>
    </w:p>
    <w:p w14:paraId="40B5C9D5" w14:textId="77777777" w:rsidR="003E5BF5" w:rsidRDefault="003E5BF5" w:rsidP="00F85264">
      <w:pPr>
        <w:pStyle w:val="aaatyping"/>
      </w:pPr>
      <w:r>
        <w:t xml:space="preserve">The </w:t>
      </w:r>
      <w:r w:rsidRPr="00E6613C">
        <w:rPr>
          <w:i/>
          <w:iCs/>
        </w:rPr>
        <w:t>Financial Management Act</w:t>
      </w:r>
      <w:r>
        <w:t xml:space="preserve"> </w:t>
      </w:r>
      <w:r w:rsidRPr="00E6613C">
        <w:rPr>
          <w:i/>
          <w:iCs/>
        </w:rPr>
        <w:t>1994</w:t>
      </w:r>
      <w:r>
        <w:t xml:space="preserve"> (FMA) forms a key part of the State's resource management framework and provides the following mechanisms for resource allocation. </w:t>
      </w:r>
    </w:p>
    <w:p w14:paraId="3E60177D" w14:textId="77777777" w:rsidR="002E563D" w:rsidRDefault="003E5BF5" w:rsidP="00DC3DA9">
      <w:pPr>
        <w:pStyle w:val="Heading4"/>
      </w:pPr>
      <w:r w:rsidRPr="00CA070E">
        <w:t>Section 29 of FMA – Annotated revenue:</w:t>
      </w:r>
      <w:r w:rsidRPr="00955ADC">
        <w:t xml:space="preserve"> </w:t>
      </w:r>
    </w:p>
    <w:p w14:paraId="190CCB0B" w14:textId="21B98618" w:rsidR="003E5BF5" w:rsidRDefault="00DC3DA9" w:rsidP="00DC3DA9">
      <w:pPr>
        <w:pStyle w:val="aaatyping"/>
      </w:pPr>
      <w:r>
        <w:t>T</w:t>
      </w:r>
      <w:r w:rsidR="003E5BF5">
        <w:t xml:space="preserve">he department on behalf of the relevant Minister may apply to the Treasurer to retain certain types of revenue/receipts from third parties. The income which forms part of a section 29 agreement is recognised by the department and the receipts paid into the Consolidated Fund as an </w:t>
      </w:r>
      <w:r w:rsidR="003E5BF5">
        <w:lastRenderedPageBreak/>
        <w:t>administered item. At the point of income recognition, section 29 provides for an equivalent amount to be added to the annual appropriation. Examples of receipts which can form part of a section 29 agreement are Commonwealth specific purpose grants, municipal council special purpose grants, the proceeds from the sale of assets and income from the sale of products and services. This is shown in Note 2.1.3 Annotated income.</w:t>
      </w:r>
    </w:p>
    <w:p w14:paraId="4C01F23E" w14:textId="77777777" w:rsidR="00DC3DA9" w:rsidRDefault="003E5BF5" w:rsidP="00DC3DA9">
      <w:pPr>
        <w:pStyle w:val="Heading4"/>
      </w:pPr>
      <w:r w:rsidRPr="00CA070E">
        <w:t>Section 30 of FMA – Transfer between appropriation items:</w:t>
      </w:r>
      <w:r w:rsidRPr="002F77E0">
        <w:t xml:space="preserve"> </w:t>
      </w:r>
    </w:p>
    <w:p w14:paraId="1AD63698" w14:textId="2F1FC2F8" w:rsidR="003E5BF5" w:rsidRDefault="00DC3DA9" w:rsidP="00DC3DA9">
      <w:pPr>
        <w:pStyle w:val="aaatyping"/>
      </w:pPr>
      <w:r>
        <w:t>T</w:t>
      </w:r>
      <w:r w:rsidR="003E5BF5">
        <w:t>he department may upon the approval of the Treasurer transfer to or from other appropriation items (purposes).</w:t>
      </w:r>
    </w:p>
    <w:p w14:paraId="694F7931" w14:textId="77777777" w:rsidR="00DC3DA9" w:rsidRDefault="003E5BF5" w:rsidP="00DC3DA9">
      <w:pPr>
        <w:pStyle w:val="Heading4"/>
      </w:pPr>
      <w:r w:rsidRPr="00CA070E">
        <w:t>Section 32 of FMA – Carryover unspent appropriation:</w:t>
      </w:r>
      <w:r w:rsidRPr="002F77E0">
        <w:t xml:space="preserve"> </w:t>
      </w:r>
    </w:p>
    <w:p w14:paraId="26F937A4" w14:textId="34EF082E" w:rsidR="003E5BF5" w:rsidRDefault="003E5BF5" w:rsidP="00DC3DA9">
      <w:pPr>
        <w:pStyle w:val="aaatyping"/>
      </w:pPr>
      <w:r>
        <w:t>A carryover arises when amounts appropriated annually for the department, which remain unapplied at the end of one financial year, are approved by the Treasurer for application in the following financial year.</w:t>
      </w:r>
    </w:p>
    <w:p w14:paraId="00F84ED6" w14:textId="77777777" w:rsidR="00DC3DA9" w:rsidRDefault="003E5BF5" w:rsidP="00DC3DA9">
      <w:pPr>
        <w:pStyle w:val="Heading4"/>
      </w:pPr>
      <w:r w:rsidRPr="00CA070E">
        <w:t>Section 35 of FMA – Advances:</w:t>
      </w:r>
      <w:r>
        <w:t xml:space="preserve"> </w:t>
      </w:r>
    </w:p>
    <w:p w14:paraId="41D860ED" w14:textId="5DD64A96" w:rsidR="003E5BF5" w:rsidRDefault="003E5BF5" w:rsidP="00DC3DA9">
      <w:pPr>
        <w:pStyle w:val="aaatyping"/>
      </w:pPr>
      <w:r>
        <w:t>An advance provided by the Treasurer to meet urgent claims in the budget year that were unforeseen at the time of the Budget. Amounts advanced under this authority are reported to and sanctioned by the Parliament in a subsequent year’s annual Appropriation Bill.</w:t>
      </w:r>
    </w:p>
    <w:p w14:paraId="250B2F7A" w14:textId="77777777" w:rsidR="003E5BF5" w:rsidRDefault="003E5BF5" w:rsidP="00DC3DA9">
      <w:pPr>
        <w:pStyle w:val="aaatyping"/>
      </w:pPr>
      <w:r>
        <w:t xml:space="preserve">The following table discloses the details of the various annual parliamentary appropriations received by the department for the year. </w:t>
      </w:r>
    </w:p>
    <w:p w14:paraId="39292AD2" w14:textId="77777777" w:rsidR="003E5BF5" w:rsidRDefault="003E5BF5" w:rsidP="00DE1921">
      <w:pPr>
        <w:sectPr w:rsidR="003E5BF5" w:rsidSect="00212303">
          <w:pgSz w:w="11906" w:h="16838"/>
          <w:pgMar w:top="1701" w:right="1418" w:bottom="1418" w:left="1418" w:header="708" w:footer="708" w:gutter="0"/>
          <w:cols w:space="284"/>
          <w:docGrid w:linePitch="360"/>
        </w:sectPr>
      </w:pPr>
    </w:p>
    <w:p w14:paraId="7B5C8969" w14:textId="77777777" w:rsidR="003E5BF5" w:rsidRDefault="003E5BF5" w:rsidP="00DE1921">
      <w:pPr>
        <w:sectPr w:rsidR="003E5BF5" w:rsidSect="00DE1921">
          <w:type w:val="continuous"/>
          <w:pgSz w:w="11906" w:h="16838"/>
          <w:pgMar w:top="1701" w:right="1418" w:bottom="1418" w:left="1418" w:header="708" w:footer="708" w:gutter="0"/>
          <w:cols w:space="708"/>
          <w:docGrid w:linePitch="360"/>
        </w:sectPr>
      </w:pPr>
    </w:p>
    <w:p w14:paraId="28107A28" w14:textId="77777777" w:rsidR="003E5BF5" w:rsidRPr="009A5348" w:rsidRDefault="003E5BF5" w:rsidP="00DC3DA9">
      <w:pPr>
        <w:pStyle w:val="aaatyping"/>
      </w:pPr>
      <w:bookmarkStart w:id="108" w:name="RANGE!A3:K27"/>
      <w:bookmarkEnd w:id="108"/>
      <w:r w:rsidRPr="00A11759">
        <w:lastRenderedPageBreak/>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w:t>
      </w:r>
      <w:r>
        <w:t>.</w:t>
      </w:r>
      <w:bookmarkStart w:id="109" w:name="RANGE!A3:K23"/>
      <w:bookmarkEnd w:id="109"/>
    </w:p>
    <w:tbl>
      <w:tblPr>
        <w:tblStyle w:val="TableGrid"/>
        <w:tblW w:w="13757" w:type="dxa"/>
        <w:jc w:val="center"/>
        <w:tblLayout w:type="fixed"/>
        <w:tblCellMar>
          <w:left w:w="0" w:type="dxa"/>
          <w:right w:w="28" w:type="dxa"/>
        </w:tblCellMar>
        <w:tblLook w:val="04A0" w:firstRow="1" w:lastRow="0" w:firstColumn="1" w:lastColumn="0" w:noHBand="0" w:noVBand="1"/>
      </w:tblPr>
      <w:tblGrid>
        <w:gridCol w:w="2234"/>
        <w:gridCol w:w="1590"/>
        <w:gridCol w:w="1186"/>
        <w:gridCol w:w="1055"/>
        <w:gridCol w:w="923"/>
        <w:gridCol w:w="923"/>
        <w:gridCol w:w="1257"/>
        <w:gridCol w:w="1185"/>
        <w:gridCol w:w="1191"/>
        <w:gridCol w:w="1186"/>
        <w:gridCol w:w="1027"/>
      </w:tblGrid>
      <w:tr w:rsidR="003E5BF5" w:rsidRPr="00A84976" w14:paraId="7D90A0C3" w14:textId="77777777" w:rsidTr="009758EA">
        <w:trPr>
          <w:trHeight w:val="312"/>
          <w:jc w:val="center"/>
        </w:trPr>
        <w:tc>
          <w:tcPr>
            <w:tcW w:w="2234" w:type="dxa"/>
            <w:shd w:val="clear" w:color="auto" w:fill="auto"/>
            <w:noWrap/>
            <w:hideMark/>
          </w:tcPr>
          <w:p w14:paraId="1B2B117F" w14:textId="77777777" w:rsidR="003E5BF5" w:rsidRPr="00A84976" w:rsidRDefault="003E5BF5" w:rsidP="00DE1921">
            <w:pPr>
              <w:rPr>
                <w:rFonts w:ascii="Arial" w:hAnsi="Arial" w:cs="Arial"/>
                <w:lang w:eastAsia="en-AU"/>
              </w:rPr>
            </w:pPr>
          </w:p>
        </w:tc>
        <w:tc>
          <w:tcPr>
            <w:tcW w:w="11523" w:type="dxa"/>
            <w:gridSpan w:val="10"/>
            <w:shd w:val="clear" w:color="auto" w:fill="auto"/>
            <w:vAlign w:val="center"/>
            <w:hideMark/>
          </w:tcPr>
          <w:p w14:paraId="5E4AFB1E" w14:textId="77777777" w:rsidR="003E5BF5" w:rsidRPr="00A84976" w:rsidRDefault="003E5BF5" w:rsidP="00DE1921">
            <w:pPr>
              <w:jc w:val="center"/>
              <w:rPr>
                <w:rFonts w:ascii="Arial" w:hAnsi="Arial" w:cs="Arial"/>
                <w:b/>
                <w:lang w:eastAsia="en-AU"/>
              </w:rPr>
            </w:pPr>
            <w:r w:rsidRPr="00A84976">
              <w:rPr>
                <w:rFonts w:ascii="Arial" w:hAnsi="Arial" w:cs="Arial"/>
                <w:b/>
                <w:lang w:eastAsia="en-AU"/>
              </w:rPr>
              <w:t>($ thousand)</w:t>
            </w:r>
          </w:p>
        </w:tc>
      </w:tr>
      <w:tr w:rsidR="003E5BF5" w:rsidRPr="00A84976" w14:paraId="1F31CD3B" w14:textId="77777777" w:rsidTr="005330F3">
        <w:trPr>
          <w:trHeight w:val="312"/>
          <w:jc w:val="center"/>
        </w:trPr>
        <w:tc>
          <w:tcPr>
            <w:tcW w:w="2234" w:type="dxa"/>
            <w:shd w:val="clear" w:color="auto" w:fill="auto"/>
            <w:noWrap/>
            <w:hideMark/>
          </w:tcPr>
          <w:p w14:paraId="30744423" w14:textId="77777777" w:rsidR="003E5BF5" w:rsidRPr="00A84976" w:rsidRDefault="003E5BF5" w:rsidP="00DE1921">
            <w:pPr>
              <w:rPr>
                <w:rFonts w:ascii="Arial" w:hAnsi="Arial" w:cs="Arial"/>
                <w:lang w:eastAsia="en-AU"/>
              </w:rPr>
            </w:pPr>
          </w:p>
        </w:tc>
        <w:tc>
          <w:tcPr>
            <w:tcW w:w="2776" w:type="dxa"/>
            <w:gridSpan w:val="2"/>
            <w:shd w:val="clear" w:color="auto" w:fill="auto"/>
            <w:vAlign w:val="bottom"/>
            <w:hideMark/>
          </w:tcPr>
          <w:p w14:paraId="7766D0BF" w14:textId="77777777" w:rsidR="003E5BF5" w:rsidRPr="00E8088E" w:rsidRDefault="003E5BF5" w:rsidP="00DE1921">
            <w:pPr>
              <w:jc w:val="center"/>
              <w:rPr>
                <w:rFonts w:ascii="Arial" w:hAnsi="Arial" w:cs="Arial"/>
                <w:b/>
                <w:i/>
                <w:sz w:val="21"/>
                <w:szCs w:val="21"/>
                <w:lang w:eastAsia="en-AU"/>
              </w:rPr>
            </w:pPr>
            <w:r w:rsidRPr="00E8088E">
              <w:rPr>
                <w:rFonts w:ascii="Arial" w:hAnsi="Arial" w:cs="Arial"/>
                <w:b/>
                <w:i/>
                <w:sz w:val="21"/>
                <w:szCs w:val="21"/>
                <w:lang w:eastAsia="en-AU"/>
              </w:rPr>
              <w:t>Appropriation Act</w:t>
            </w:r>
          </w:p>
        </w:tc>
        <w:tc>
          <w:tcPr>
            <w:tcW w:w="4158" w:type="dxa"/>
            <w:gridSpan w:val="4"/>
            <w:shd w:val="clear" w:color="auto" w:fill="auto"/>
            <w:noWrap/>
            <w:vAlign w:val="bottom"/>
            <w:hideMark/>
          </w:tcPr>
          <w:p w14:paraId="3E632E04" w14:textId="77777777" w:rsidR="003E5BF5" w:rsidRPr="00E8088E" w:rsidRDefault="003E5BF5" w:rsidP="00DE1921">
            <w:pPr>
              <w:jc w:val="center"/>
              <w:rPr>
                <w:rFonts w:ascii="Arial" w:hAnsi="Arial" w:cs="Arial"/>
                <w:b/>
                <w:i/>
                <w:sz w:val="21"/>
                <w:szCs w:val="21"/>
                <w:lang w:eastAsia="en-AU"/>
              </w:rPr>
            </w:pPr>
            <w:r w:rsidRPr="00E8088E">
              <w:rPr>
                <w:rFonts w:ascii="Arial" w:hAnsi="Arial" w:cs="Arial"/>
                <w:b/>
                <w:i/>
                <w:sz w:val="21"/>
                <w:szCs w:val="21"/>
                <w:lang w:eastAsia="en-AU"/>
              </w:rPr>
              <w:t>Financial Management Act 1994</w:t>
            </w:r>
          </w:p>
        </w:tc>
        <w:tc>
          <w:tcPr>
            <w:tcW w:w="1185" w:type="dxa"/>
            <w:shd w:val="clear" w:color="auto" w:fill="auto"/>
            <w:vAlign w:val="bottom"/>
            <w:hideMark/>
          </w:tcPr>
          <w:p w14:paraId="7DE92864" w14:textId="77777777" w:rsidR="003E5BF5" w:rsidRPr="00E8088E" w:rsidRDefault="003E5BF5" w:rsidP="00DE1921">
            <w:pPr>
              <w:jc w:val="right"/>
              <w:rPr>
                <w:rFonts w:ascii="Arial" w:hAnsi="Arial" w:cs="Arial"/>
                <w:b/>
                <w:sz w:val="21"/>
                <w:szCs w:val="21"/>
                <w:lang w:eastAsia="en-AU"/>
              </w:rPr>
            </w:pPr>
            <w:proofErr w:type="spellStart"/>
            <w:r w:rsidRPr="00E8088E">
              <w:rPr>
                <w:rFonts w:ascii="Arial" w:hAnsi="Arial" w:cs="Arial"/>
                <w:b/>
                <w:sz w:val="21"/>
                <w:szCs w:val="21"/>
                <w:lang w:eastAsia="en-AU"/>
              </w:rPr>
              <w:t>MoG</w:t>
            </w:r>
            <w:proofErr w:type="spellEnd"/>
            <w:r w:rsidRPr="00E8088E">
              <w:rPr>
                <w:rFonts w:ascii="Arial" w:hAnsi="Arial" w:cs="Arial"/>
                <w:b/>
                <w:sz w:val="21"/>
                <w:szCs w:val="21"/>
                <w:lang w:eastAsia="en-AU"/>
              </w:rPr>
              <w:t xml:space="preserve"> change </w:t>
            </w:r>
            <w:r w:rsidRPr="00E8088E">
              <w:rPr>
                <w:rFonts w:ascii="Arial" w:hAnsi="Arial" w:cs="Arial"/>
                <w:b/>
                <w:sz w:val="21"/>
                <w:szCs w:val="21"/>
                <w:vertAlign w:val="superscript"/>
                <w:lang w:eastAsia="en-AU"/>
              </w:rPr>
              <w:t>(ii)</w:t>
            </w:r>
          </w:p>
        </w:tc>
        <w:tc>
          <w:tcPr>
            <w:tcW w:w="1191" w:type="dxa"/>
            <w:shd w:val="clear" w:color="auto" w:fill="auto"/>
            <w:vAlign w:val="bottom"/>
            <w:hideMark/>
          </w:tcPr>
          <w:p w14:paraId="74BF7578" w14:textId="77777777" w:rsidR="003E5BF5" w:rsidRPr="000806A6" w:rsidRDefault="003E5BF5" w:rsidP="00DE1921">
            <w:pPr>
              <w:jc w:val="right"/>
              <w:rPr>
                <w:rFonts w:ascii="Arial" w:hAnsi="Arial" w:cs="Arial"/>
                <w:b/>
                <w:sz w:val="16"/>
                <w:szCs w:val="16"/>
                <w:lang w:eastAsia="en-AU"/>
              </w:rPr>
            </w:pPr>
            <w:r w:rsidRPr="000806A6">
              <w:rPr>
                <w:rFonts w:ascii="Arial" w:hAnsi="Arial" w:cs="Arial"/>
                <w:b/>
                <w:sz w:val="16"/>
                <w:szCs w:val="16"/>
                <w:lang w:eastAsia="en-AU"/>
              </w:rPr>
              <w:t>Total Parliamentary Authority</w:t>
            </w:r>
          </w:p>
        </w:tc>
        <w:tc>
          <w:tcPr>
            <w:tcW w:w="1186" w:type="dxa"/>
            <w:shd w:val="clear" w:color="auto" w:fill="auto"/>
            <w:vAlign w:val="bottom"/>
            <w:hideMark/>
          </w:tcPr>
          <w:p w14:paraId="700A6138" w14:textId="77777777" w:rsidR="003E5BF5" w:rsidRPr="000806A6" w:rsidRDefault="003E5BF5" w:rsidP="00DE1921">
            <w:pPr>
              <w:jc w:val="right"/>
              <w:rPr>
                <w:rFonts w:ascii="Arial" w:hAnsi="Arial" w:cs="Arial"/>
                <w:b/>
                <w:sz w:val="16"/>
                <w:szCs w:val="16"/>
                <w:lang w:eastAsia="en-AU"/>
              </w:rPr>
            </w:pPr>
            <w:r w:rsidRPr="000806A6">
              <w:rPr>
                <w:rFonts w:ascii="Arial" w:hAnsi="Arial" w:cs="Arial"/>
                <w:b/>
                <w:sz w:val="16"/>
                <w:szCs w:val="16"/>
                <w:lang w:eastAsia="en-AU"/>
              </w:rPr>
              <w:t>Appropriations Applied</w:t>
            </w:r>
          </w:p>
        </w:tc>
        <w:tc>
          <w:tcPr>
            <w:tcW w:w="1027" w:type="dxa"/>
            <w:shd w:val="clear" w:color="auto" w:fill="auto"/>
            <w:vAlign w:val="bottom"/>
            <w:hideMark/>
          </w:tcPr>
          <w:p w14:paraId="59409F72" w14:textId="77777777" w:rsidR="003E5BF5" w:rsidRPr="00E8088E" w:rsidRDefault="003E5BF5" w:rsidP="00DE1921">
            <w:pPr>
              <w:jc w:val="right"/>
              <w:rPr>
                <w:rFonts w:ascii="Arial" w:hAnsi="Arial" w:cs="Arial"/>
                <w:b/>
                <w:sz w:val="21"/>
                <w:szCs w:val="21"/>
                <w:lang w:eastAsia="en-AU"/>
              </w:rPr>
            </w:pPr>
            <w:r w:rsidRPr="00E8088E">
              <w:rPr>
                <w:rFonts w:ascii="Arial" w:hAnsi="Arial" w:cs="Arial"/>
                <w:b/>
                <w:sz w:val="21"/>
                <w:szCs w:val="21"/>
                <w:lang w:eastAsia="en-AU"/>
              </w:rPr>
              <w:t xml:space="preserve">Variance </w:t>
            </w:r>
            <w:r w:rsidRPr="00E8088E">
              <w:rPr>
                <w:rFonts w:ascii="Arial" w:hAnsi="Arial" w:cs="Arial"/>
                <w:b/>
                <w:sz w:val="21"/>
                <w:szCs w:val="21"/>
                <w:vertAlign w:val="superscript"/>
                <w:lang w:eastAsia="en-AU"/>
              </w:rPr>
              <w:t>(iii)</w:t>
            </w:r>
          </w:p>
        </w:tc>
      </w:tr>
      <w:tr w:rsidR="00C002CB" w:rsidRPr="00A84976" w14:paraId="1BB2C6E7" w14:textId="77777777" w:rsidTr="009758EA">
        <w:trPr>
          <w:trHeight w:val="312"/>
          <w:jc w:val="center"/>
        </w:trPr>
        <w:tc>
          <w:tcPr>
            <w:tcW w:w="2234" w:type="dxa"/>
            <w:shd w:val="clear" w:color="auto" w:fill="auto"/>
            <w:noWrap/>
            <w:vAlign w:val="center"/>
            <w:hideMark/>
          </w:tcPr>
          <w:p w14:paraId="549B0ABA" w14:textId="77777777" w:rsidR="003E5BF5" w:rsidRPr="00A84976" w:rsidRDefault="003E5BF5" w:rsidP="00DE1921">
            <w:pPr>
              <w:rPr>
                <w:rFonts w:ascii="Arial" w:hAnsi="Arial" w:cs="Arial"/>
                <w:b/>
                <w:color w:val="00BAC0"/>
                <w:lang w:eastAsia="en-AU"/>
              </w:rPr>
            </w:pPr>
          </w:p>
        </w:tc>
        <w:tc>
          <w:tcPr>
            <w:tcW w:w="1590" w:type="dxa"/>
            <w:shd w:val="clear" w:color="auto" w:fill="auto"/>
            <w:vAlign w:val="bottom"/>
            <w:hideMark/>
          </w:tcPr>
          <w:p w14:paraId="5AF7678C" w14:textId="77777777" w:rsidR="003E5BF5" w:rsidRPr="00E8088E" w:rsidRDefault="003E5BF5" w:rsidP="00DE1921">
            <w:pPr>
              <w:jc w:val="right"/>
              <w:rPr>
                <w:rFonts w:ascii="Arial" w:hAnsi="Arial" w:cs="Arial"/>
                <w:b/>
                <w:sz w:val="21"/>
                <w:szCs w:val="21"/>
                <w:lang w:eastAsia="en-AU"/>
              </w:rPr>
            </w:pPr>
            <w:r w:rsidRPr="00E8088E">
              <w:rPr>
                <w:rFonts w:ascii="Arial" w:hAnsi="Arial" w:cs="Arial"/>
                <w:b/>
                <w:sz w:val="21"/>
                <w:szCs w:val="21"/>
                <w:lang w:eastAsia="en-AU"/>
              </w:rPr>
              <w:t xml:space="preserve">Annual Appropriation </w:t>
            </w:r>
            <w:r w:rsidRPr="00E8088E">
              <w:rPr>
                <w:rFonts w:ascii="Arial" w:hAnsi="Arial" w:cs="Arial"/>
                <w:b/>
                <w:sz w:val="21"/>
                <w:szCs w:val="21"/>
                <w:vertAlign w:val="superscript"/>
                <w:lang w:eastAsia="en-AU"/>
              </w:rPr>
              <w:t>(</w:t>
            </w:r>
            <w:proofErr w:type="spellStart"/>
            <w:r w:rsidRPr="00E8088E">
              <w:rPr>
                <w:rFonts w:ascii="Arial" w:hAnsi="Arial" w:cs="Arial"/>
                <w:b/>
                <w:sz w:val="21"/>
                <w:szCs w:val="21"/>
                <w:vertAlign w:val="superscript"/>
                <w:lang w:eastAsia="en-AU"/>
              </w:rPr>
              <w:t>i</w:t>
            </w:r>
            <w:proofErr w:type="spellEnd"/>
            <w:r w:rsidRPr="00E8088E">
              <w:rPr>
                <w:rFonts w:ascii="Arial" w:hAnsi="Arial" w:cs="Arial"/>
                <w:b/>
                <w:sz w:val="21"/>
                <w:szCs w:val="21"/>
                <w:vertAlign w:val="superscript"/>
                <w:lang w:eastAsia="en-AU"/>
              </w:rPr>
              <w:t>)</w:t>
            </w:r>
          </w:p>
        </w:tc>
        <w:tc>
          <w:tcPr>
            <w:tcW w:w="1186" w:type="dxa"/>
            <w:shd w:val="clear" w:color="auto" w:fill="auto"/>
            <w:vAlign w:val="bottom"/>
            <w:hideMark/>
          </w:tcPr>
          <w:p w14:paraId="604C47DD" w14:textId="77777777" w:rsidR="003E5BF5" w:rsidRPr="00E8088E" w:rsidRDefault="003E5BF5" w:rsidP="00DE1921">
            <w:pPr>
              <w:jc w:val="right"/>
              <w:rPr>
                <w:rFonts w:ascii="Arial" w:hAnsi="Arial" w:cs="Arial"/>
                <w:b/>
                <w:sz w:val="21"/>
                <w:szCs w:val="21"/>
                <w:lang w:eastAsia="en-AU"/>
              </w:rPr>
            </w:pPr>
            <w:r w:rsidRPr="00E8088E">
              <w:rPr>
                <w:rFonts w:ascii="Arial" w:hAnsi="Arial" w:cs="Arial"/>
                <w:b/>
                <w:sz w:val="21"/>
                <w:szCs w:val="21"/>
                <w:lang w:eastAsia="en-AU"/>
              </w:rPr>
              <w:t>Advance from Treasurer</w:t>
            </w:r>
          </w:p>
        </w:tc>
        <w:tc>
          <w:tcPr>
            <w:tcW w:w="1055" w:type="dxa"/>
            <w:shd w:val="clear" w:color="auto" w:fill="auto"/>
            <w:vAlign w:val="bottom"/>
            <w:hideMark/>
          </w:tcPr>
          <w:p w14:paraId="696DD99A" w14:textId="77777777" w:rsidR="003E5BF5" w:rsidRPr="00E8088E" w:rsidRDefault="003E5BF5" w:rsidP="00DE1921">
            <w:pPr>
              <w:jc w:val="right"/>
              <w:rPr>
                <w:rFonts w:ascii="Arial" w:hAnsi="Arial" w:cs="Arial"/>
                <w:b/>
                <w:sz w:val="21"/>
                <w:szCs w:val="21"/>
                <w:lang w:eastAsia="en-AU"/>
              </w:rPr>
            </w:pPr>
            <w:r w:rsidRPr="00E8088E">
              <w:rPr>
                <w:rFonts w:ascii="Arial" w:hAnsi="Arial" w:cs="Arial"/>
                <w:b/>
                <w:sz w:val="21"/>
                <w:szCs w:val="21"/>
                <w:lang w:eastAsia="en-AU"/>
              </w:rPr>
              <w:t>Section 29</w:t>
            </w:r>
          </w:p>
        </w:tc>
        <w:tc>
          <w:tcPr>
            <w:tcW w:w="923" w:type="dxa"/>
            <w:shd w:val="clear" w:color="auto" w:fill="auto"/>
            <w:vAlign w:val="bottom"/>
            <w:hideMark/>
          </w:tcPr>
          <w:p w14:paraId="3641CD80" w14:textId="77777777" w:rsidR="003E5BF5" w:rsidRPr="00E8088E" w:rsidRDefault="003E5BF5" w:rsidP="00DE1921">
            <w:pPr>
              <w:jc w:val="right"/>
              <w:rPr>
                <w:rFonts w:ascii="Arial" w:hAnsi="Arial" w:cs="Arial"/>
                <w:b/>
                <w:sz w:val="21"/>
                <w:szCs w:val="21"/>
                <w:lang w:eastAsia="en-AU"/>
              </w:rPr>
            </w:pPr>
            <w:r w:rsidRPr="00E8088E">
              <w:rPr>
                <w:rFonts w:ascii="Arial" w:hAnsi="Arial" w:cs="Arial"/>
                <w:b/>
                <w:sz w:val="21"/>
                <w:szCs w:val="21"/>
                <w:lang w:eastAsia="en-AU"/>
              </w:rPr>
              <w:t>Section 30</w:t>
            </w:r>
          </w:p>
        </w:tc>
        <w:tc>
          <w:tcPr>
            <w:tcW w:w="923" w:type="dxa"/>
            <w:shd w:val="clear" w:color="auto" w:fill="auto"/>
            <w:vAlign w:val="bottom"/>
            <w:hideMark/>
          </w:tcPr>
          <w:p w14:paraId="15757833" w14:textId="77777777" w:rsidR="003E5BF5" w:rsidRPr="00E8088E" w:rsidRDefault="003E5BF5" w:rsidP="00DE1921">
            <w:pPr>
              <w:jc w:val="right"/>
              <w:rPr>
                <w:rFonts w:ascii="Arial" w:hAnsi="Arial" w:cs="Arial"/>
                <w:b/>
                <w:sz w:val="21"/>
                <w:szCs w:val="21"/>
                <w:lang w:eastAsia="en-AU"/>
              </w:rPr>
            </w:pPr>
            <w:r w:rsidRPr="00E8088E">
              <w:rPr>
                <w:rFonts w:ascii="Arial" w:hAnsi="Arial" w:cs="Arial"/>
                <w:b/>
                <w:sz w:val="21"/>
                <w:szCs w:val="21"/>
                <w:lang w:eastAsia="en-AU"/>
              </w:rPr>
              <w:t>Section 32</w:t>
            </w:r>
          </w:p>
        </w:tc>
        <w:tc>
          <w:tcPr>
            <w:tcW w:w="1257" w:type="dxa"/>
            <w:shd w:val="clear" w:color="auto" w:fill="auto"/>
            <w:vAlign w:val="bottom"/>
            <w:hideMark/>
          </w:tcPr>
          <w:p w14:paraId="5691080E" w14:textId="77777777" w:rsidR="003E5BF5" w:rsidRPr="00E8088E" w:rsidRDefault="003E5BF5" w:rsidP="00DE1921">
            <w:pPr>
              <w:jc w:val="right"/>
              <w:rPr>
                <w:rFonts w:ascii="Arial" w:hAnsi="Arial" w:cs="Arial"/>
                <w:b/>
                <w:sz w:val="21"/>
                <w:szCs w:val="21"/>
                <w:lang w:eastAsia="en-AU"/>
              </w:rPr>
            </w:pPr>
            <w:r w:rsidRPr="00E8088E">
              <w:rPr>
                <w:rFonts w:ascii="Arial" w:hAnsi="Arial" w:cs="Arial"/>
                <w:b/>
                <w:sz w:val="21"/>
                <w:szCs w:val="21"/>
                <w:lang w:eastAsia="en-AU"/>
              </w:rPr>
              <w:t>Section 35</w:t>
            </w:r>
            <w:r w:rsidRPr="00E8088E">
              <w:rPr>
                <w:rFonts w:ascii="Arial" w:hAnsi="Arial" w:cs="Arial"/>
                <w:b/>
                <w:sz w:val="21"/>
                <w:szCs w:val="21"/>
                <w:lang w:eastAsia="en-AU"/>
              </w:rPr>
              <w:br/>
              <w:t>Advances</w:t>
            </w:r>
          </w:p>
        </w:tc>
        <w:tc>
          <w:tcPr>
            <w:tcW w:w="1185" w:type="dxa"/>
            <w:shd w:val="clear" w:color="auto" w:fill="auto"/>
            <w:vAlign w:val="bottom"/>
            <w:hideMark/>
          </w:tcPr>
          <w:p w14:paraId="14EEDE86" w14:textId="77777777" w:rsidR="003E5BF5" w:rsidRPr="00E8088E" w:rsidRDefault="003E5BF5" w:rsidP="00DE1921">
            <w:pPr>
              <w:jc w:val="center"/>
              <w:rPr>
                <w:rFonts w:ascii="Arial" w:hAnsi="Arial" w:cs="Arial"/>
                <w:b/>
                <w:sz w:val="21"/>
                <w:szCs w:val="21"/>
                <w:lang w:eastAsia="en-AU"/>
              </w:rPr>
            </w:pPr>
          </w:p>
        </w:tc>
        <w:tc>
          <w:tcPr>
            <w:tcW w:w="1191" w:type="dxa"/>
            <w:shd w:val="clear" w:color="auto" w:fill="auto"/>
            <w:vAlign w:val="bottom"/>
            <w:hideMark/>
          </w:tcPr>
          <w:p w14:paraId="2ADB8190" w14:textId="77777777" w:rsidR="003E5BF5" w:rsidRPr="00E8088E" w:rsidRDefault="003E5BF5" w:rsidP="00DE1921">
            <w:pPr>
              <w:jc w:val="center"/>
              <w:rPr>
                <w:rFonts w:ascii="Arial" w:hAnsi="Arial" w:cs="Arial"/>
                <w:b/>
                <w:sz w:val="21"/>
                <w:szCs w:val="21"/>
                <w:lang w:eastAsia="en-AU"/>
              </w:rPr>
            </w:pPr>
          </w:p>
        </w:tc>
        <w:tc>
          <w:tcPr>
            <w:tcW w:w="1186" w:type="dxa"/>
            <w:shd w:val="clear" w:color="auto" w:fill="auto"/>
            <w:vAlign w:val="bottom"/>
            <w:hideMark/>
          </w:tcPr>
          <w:p w14:paraId="420644B5" w14:textId="77777777" w:rsidR="003E5BF5" w:rsidRPr="00E8088E" w:rsidRDefault="003E5BF5" w:rsidP="00DE1921">
            <w:pPr>
              <w:jc w:val="center"/>
              <w:rPr>
                <w:rFonts w:ascii="Arial" w:hAnsi="Arial" w:cs="Arial"/>
                <w:b/>
                <w:sz w:val="21"/>
                <w:szCs w:val="21"/>
                <w:lang w:eastAsia="en-AU"/>
              </w:rPr>
            </w:pPr>
          </w:p>
        </w:tc>
        <w:tc>
          <w:tcPr>
            <w:tcW w:w="1027" w:type="dxa"/>
            <w:shd w:val="clear" w:color="auto" w:fill="auto"/>
            <w:vAlign w:val="bottom"/>
            <w:hideMark/>
          </w:tcPr>
          <w:p w14:paraId="0586B3F7" w14:textId="77777777" w:rsidR="003E5BF5" w:rsidRPr="00E8088E" w:rsidRDefault="003E5BF5" w:rsidP="00DE1921">
            <w:pPr>
              <w:jc w:val="center"/>
              <w:rPr>
                <w:rFonts w:ascii="Arial" w:hAnsi="Arial" w:cs="Arial"/>
                <w:b/>
                <w:sz w:val="21"/>
                <w:szCs w:val="21"/>
                <w:lang w:eastAsia="en-AU"/>
              </w:rPr>
            </w:pPr>
          </w:p>
        </w:tc>
      </w:tr>
      <w:tr w:rsidR="00810FAC" w:rsidRPr="00A84976" w14:paraId="56CCAF4E" w14:textId="77777777" w:rsidTr="009758EA">
        <w:trPr>
          <w:trHeight w:val="312"/>
          <w:jc w:val="center"/>
        </w:trPr>
        <w:tc>
          <w:tcPr>
            <w:tcW w:w="2234" w:type="dxa"/>
            <w:shd w:val="clear" w:color="auto" w:fill="auto"/>
            <w:noWrap/>
            <w:vAlign w:val="center"/>
          </w:tcPr>
          <w:p w14:paraId="348539ED" w14:textId="77777777" w:rsidR="003E5BF5" w:rsidRPr="00A84976" w:rsidRDefault="003E5BF5" w:rsidP="00604703">
            <w:pPr>
              <w:pStyle w:val="TableTextGreen"/>
              <w:rPr>
                <w:sz w:val="22"/>
                <w:szCs w:val="22"/>
              </w:rPr>
            </w:pPr>
            <w:r w:rsidRPr="00A84976">
              <w:rPr>
                <w:sz w:val="22"/>
                <w:szCs w:val="22"/>
              </w:rPr>
              <w:t>2020</w:t>
            </w:r>
          </w:p>
        </w:tc>
        <w:tc>
          <w:tcPr>
            <w:tcW w:w="1590" w:type="dxa"/>
            <w:shd w:val="clear" w:color="auto" w:fill="auto"/>
            <w:noWrap/>
            <w:vAlign w:val="center"/>
          </w:tcPr>
          <w:p w14:paraId="760C00CD" w14:textId="77777777" w:rsidR="003E5BF5" w:rsidRPr="00A84976" w:rsidRDefault="003E5BF5" w:rsidP="00DE1921">
            <w:pPr>
              <w:jc w:val="right"/>
              <w:rPr>
                <w:rFonts w:ascii="Arial" w:hAnsi="Arial" w:cs="Arial"/>
                <w:lang w:eastAsia="en-AU"/>
              </w:rPr>
            </w:pPr>
          </w:p>
        </w:tc>
        <w:tc>
          <w:tcPr>
            <w:tcW w:w="1186" w:type="dxa"/>
            <w:shd w:val="clear" w:color="auto" w:fill="auto"/>
            <w:noWrap/>
            <w:vAlign w:val="center"/>
          </w:tcPr>
          <w:p w14:paraId="4587B228" w14:textId="77777777" w:rsidR="003E5BF5" w:rsidRPr="00A84976" w:rsidRDefault="003E5BF5" w:rsidP="00DE1921">
            <w:pPr>
              <w:jc w:val="right"/>
              <w:rPr>
                <w:rFonts w:ascii="Arial" w:hAnsi="Arial" w:cs="Arial"/>
                <w:lang w:eastAsia="en-AU"/>
              </w:rPr>
            </w:pPr>
          </w:p>
        </w:tc>
        <w:tc>
          <w:tcPr>
            <w:tcW w:w="1055" w:type="dxa"/>
            <w:shd w:val="clear" w:color="auto" w:fill="auto"/>
            <w:noWrap/>
            <w:vAlign w:val="center"/>
          </w:tcPr>
          <w:p w14:paraId="01CA81C6" w14:textId="77777777" w:rsidR="003E5BF5" w:rsidRPr="00A84976" w:rsidRDefault="003E5BF5" w:rsidP="00DE1921">
            <w:pPr>
              <w:jc w:val="right"/>
              <w:rPr>
                <w:rFonts w:ascii="Arial" w:hAnsi="Arial" w:cs="Arial"/>
                <w:lang w:eastAsia="en-AU"/>
              </w:rPr>
            </w:pPr>
          </w:p>
        </w:tc>
        <w:tc>
          <w:tcPr>
            <w:tcW w:w="923" w:type="dxa"/>
            <w:shd w:val="clear" w:color="auto" w:fill="auto"/>
            <w:noWrap/>
            <w:vAlign w:val="center"/>
          </w:tcPr>
          <w:p w14:paraId="50E14938" w14:textId="77777777" w:rsidR="003E5BF5" w:rsidRPr="00A84976" w:rsidRDefault="003E5BF5" w:rsidP="00DE1921">
            <w:pPr>
              <w:jc w:val="right"/>
              <w:rPr>
                <w:rFonts w:ascii="Arial" w:hAnsi="Arial" w:cs="Arial"/>
                <w:lang w:eastAsia="en-AU"/>
              </w:rPr>
            </w:pPr>
          </w:p>
        </w:tc>
        <w:tc>
          <w:tcPr>
            <w:tcW w:w="923" w:type="dxa"/>
            <w:shd w:val="clear" w:color="auto" w:fill="auto"/>
            <w:noWrap/>
            <w:vAlign w:val="center"/>
          </w:tcPr>
          <w:p w14:paraId="6DC2BD57" w14:textId="77777777" w:rsidR="003E5BF5" w:rsidRPr="00A84976" w:rsidRDefault="003E5BF5" w:rsidP="00DE1921">
            <w:pPr>
              <w:jc w:val="right"/>
              <w:rPr>
                <w:rFonts w:ascii="Arial" w:hAnsi="Arial" w:cs="Arial"/>
                <w:lang w:eastAsia="en-AU"/>
              </w:rPr>
            </w:pPr>
          </w:p>
        </w:tc>
        <w:tc>
          <w:tcPr>
            <w:tcW w:w="1257" w:type="dxa"/>
            <w:shd w:val="clear" w:color="auto" w:fill="auto"/>
            <w:noWrap/>
            <w:vAlign w:val="center"/>
          </w:tcPr>
          <w:p w14:paraId="62E694D6" w14:textId="77777777" w:rsidR="003E5BF5" w:rsidRPr="00A84976" w:rsidRDefault="003E5BF5" w:rsidP="00DE1921">
            <w:pPr>
              <w:jc w:val="right"/>
              <w:rPr>
                <w:rFonts w:ascii="Arial" w:hAnsi="Arial" w:cs="Arial"/>
                <w:lang w:eastAsia="en-AU"/>
              </w:rPr>
            </w:pPr>
          </w:p>
        </w:tc>
        <w:tc>
          <w:tcPr>
            <w:tcW w:w="1185" w:type="dxa"/>
            <w:shd w:val="clear" w:color="auto" w:fill="auto"/>
            <w:noWrap/>
            <w:vAlign w:val="center"/>
          </w:tcPr>
          <w:p w14:paraId="42E8B4AD" w14:textId="77777777" w:rsidR="003E5BF5" w:rsidRPr="00A84976" w:rsidRDefault="003E5BF5" w:rsidP="00DE1921">
            <w:pPr>
              <w:jc w:val="right"/>
              <w:rPr>
                <w:rFonts w:ascii="Arial" w:hAnsi="Arial" w:cs="Arial"/>
                <w:lang w:eastAsia="en-AU"/>
              </w:rPr>
            </w:pPr>
          </w:p>
        </w:tc>
        <w:tc>
          <w:tcPr>
            <w:tcW w:w="1191" w:type="dxa"/>
            <w:shd w:val="clear" w:color="auto" w:fill="auto"/>
            <w:noWrap/>
            <w:vAlign w:val="center"/>
          </w:tcPr>
          <w:p w14:paraId="74683001" w14:textId="77777777" w:rsidR="003E5BF5" w:rsidRPr="00A84976" w:rsidRDefault="003E5BF5" w:rsidP="00DE1921">
            <w:pPr>
              <w:jc w:val="right"/>
              <w:rPr>
                <w:rFonts w:ascii="Arial" w:hAnsi="Arial" w:cs="Arial"/>
                <w:lang w:eastAsia="en-AU"/>
              </w:rPr>
            </w:pPr>
          </w:p>
        </w:tc>
        <w:tc>
          <w:tcPr>
            <w:tcW w:w="1186" w:type="dxa"/>
            <w:shd w:val="clear" w:color="auto" w:fill="auto"/>
            <w:noWrap/>
            <w:vAlign w:val="center"/>
          </w:tcPr>
          <w:p w14:paraId="5C068A6D" w14:textId="77777777" w:rsidR="003E5BF5" w:rsidRPr="00A84976" w:rsidRDefault="003E5BF5" w:rsidP="00DE1921">
            <w:pPr>
              <w:jc w:val="right"/>
              <w:rPr>
                <w:rFonts w:ascii="Arial" w:hAnsi="Arial" w:cs="Arial"/>
                <w:lang w:eastAsia="en-AU"/>
              </w:rPr>
            </w:pPr>
          </w:p>
        </w:tc>
        <w:tc>
          <w:tcPr>
            <w:tcW w:w="1027" w:type="dxa"/>
            <w:shd w:val="clear" w:color="auto" w:fill="auto"/>
            <w:noWrap/>
            <w:vAlign w:val="center"/>
          </w:tcPr>
          <w:p w14:paraId="01F95F61" w14:textId="77777777" w:rsidR="003E5BF5" w:rsidRPr="00A84976" w:rsidRDefault="003E5BF5" w:rsidP="00DE1921">
            <w:pPr>
              <w:jc w:val="right"/>
              <w:rPr>
                <w:rFonts w:ascii="Arial" w:hAnsi="Arial" w:cs="Arial"/>
                <w:lang w:eastAsia="en-AU"/>
              </w:rPr>
            </w:pPr>
          </w:p>
        </w:tc>
      </w:tr>
      <w:tr w:rsidR="00810FAC" w:rsidRPr="00A84976" w14:paraId="39866486" w14:textId="77777777" w:rsidTr="009758EA">
        <w:trPr>
          <w:trHeight w:val="312"/>
          <w:jc w:val="center"/>
        </w:trPr>
        <w:tc>
          <w:tcPr>
            <w:tcW w:w="2234" w:type="dxa"/>
            <w:shd w:val="clear" w:color="auto" w:fill="auto"/>
            <w:noWrap/>
            <w:vAlign w:val="center"/>
            <w:hideMark/>
          </w:tcPr>
          <w:p w14:paraId="056E1D7B" w14:textId="77777777" w:rsidR="003E5BF5" w:rsidRPr="00A84976" w:rsidRDefault="003E5BF5" w:rsidP="00604703">
            <w:pPr>
              <w:pStyle w:val="TableTextGreen"/>
              <w:rPr>
                <w:sz w:val="22"/>
                <w:szCs w:val="22"/>
              </w:rPr>
            </w:pPr>
            <w:r w:rsidRPr="00A84976">
              <w:rPr>
                <w:sz w:val="22"/>
                <w:szCs w:val="22"/>
              </w:rPr>
              <w:t xml:space="preserve">Controlled </w:t>
            </w:r>
          </w:p>
        </w:tc>
        <w:tc>
          <w:tcPr>
            <w:tcW w:w="1590" w:type="dxa"/>
            <w:shd w:val="clear" w:color="auto" w:fill="auto"/>
            <w:noWrap/>
            <w:vAlign w:val="center"/>
          </w:tcPr>
          <w:p w14:paraId="6C6DAF81" w14:textId="77777777" w:rsidR="003E5BF5" w:rsidRPr="00A84976" w:rsidRDefault="003E5BF5" w:rsidP="00DE1921">
            <w:pPr>
              <w:jc w:val="right"/>
              <w:rPr>
                <w:rFonts w:ascii="Arial" w:hAnsi="Arial" w:cs="Arial"/>
                <w:lang w:eastAsia="en-AU"/>
              </w:rPr>
            </w:pPr>
          </w:p>
        </w:tc>
        <w:tc>
          <w:tcPr>
            <w:tcW w:w="1186" w:type="dxa"/>
            <w:shd w:val="clear" w:color="auto" w:fill="auto"/>
            <w:noWrap/>
            <w:vAlign w:val="center"/>
          </w:tcPr>
          <w:p w14:paraId="46F2CE11" w14:textId="77777777" w:rsidR="003E5BF5" w:rsidRPr="00A84976" w:rsidRDefault="003E5BF5" w:rsidP="00DE1921">
            <w:pPr>
              <w:jc w:val="right"/>
              <w:rPr>
                <w:rFonts w:ascii="Arial" w:hAnsi="Arial" w:cs="Arial"/>
                <w:lang w:eastAsia="en-AU"/>
              </w:rPr>
            </w:pPr>
          </w:p>
        </w:tc>
        <w:tc>
          <w:tcPr>
            <w:tcW w:w="1055" w:type="dxa"/>
            <w:shd w:val="clear" w:color="auto" w:fill="auto"/>
            <w:noWrap/>
            <w:vAlign w:val="center"/>
          </w:tcPr>
          <w:p w14:paraId="6BD832B9" w14:textId="77777777" w:rsidR="003E5BF5" w:rsidRPr="00A84976" w:rsidRDefault="003E5BF5" w:rsidP="00DE1921">
            <w:pPr>
              <w:jc w:val="right"/>
              <w:rPr>
                <w:rFonts w:ascii="Arial" w:hAnsi="Arial" w:cs="Arial"/>
                <w:lang w:eastAsia="en-AU"/>
              </w:rPr>
            </w:pPr>
          </w:p>
        </w:tc>
        <w:tc>
          <w:tcPr>
            <w:tcW w:w="923" w:type="dxa"/>
            <w:shd w:val="clear" w:color="auto" w:fill="auto"/>
            <w:noWrap/>
            <w:vAlign w:val="center"/>
          </w:tcPr>
          <w:p w14:paraId="601EC729" w14:textId="77777777" w:rsidR="003E5BF5" w:rsidRPr="00A84976" w:rsidRDefault="003E5BF5" w:rsidP="00DE1921">
            <w:pPr>
              <w:jc w:val="right"/>
              <w:rPr>
                <w:rFonts w:ascii="Arial" w:hAnsi="Arial" w:cs="Arial"/>
                <w:lang w:eastAsia="en-AU"/>
              </w:rPr>
            </w:pPr>
          </w:p>
        </w:tc>
        <w:tc>
          <w:tcPr>
            <w:tcW w:w="923" w:type="dxa"/>
            <w:shd w:val="clear" w:color="auto" w:fill="auto"/>
            <w:noWrap/>
            <w:vAlign w:val="center"/>
          </w:tcPr>
          <w:p w14:paraId="17CB55BA" w14:textId="77777777" w:rsidR="003E5BF5" w:rsidRPr="00A84976" w:rsidRDefault="003E5BF5" w:rsidP="00DE1921">
            <w:pPr>
              <w:jc w:val="right"/>
              <w:rPr>
                <w:rFonts w:ascii="Arial" w:hAnsi="Arial" w:cs="Arial"/>
                <w:lang w:eastAsia="en-AU"/>
              </w:rPr>
            </w:pPr>
          </w:p>
        </w:tc>
        <w:tc>
          <w:tcPr>
            <w:tcW w:w="1257" w:type="dxa"/>
            <w:shd w:val="clear" w:color="auto" w:fill="auto"/>
            <w:noWrap/>
            <w:vAlign w:val="center"/>
          </w:tcPr>
          <w:p w14:paraId="6EA46E46" w14:textId="77777777" w:rsidR="003E5BF5" w:rsidRPr="00A84976" w:rsidRDefault="003E5BF5" w:rsidP="00DE1921">
            <w:pPr>
              <w:jc w:val="right"/>
              <w:rPr>
                <w:rFonts w:ascii="Arial" w:hAnsi="Arial" w:cs="Arial"/>
                <w:lang w:eastAsia="en-AU"/>
              </w:rPr>
            </w:pPr>
          </w:p>
        </w:tc>
        <w:tc>
          <w:tcPr>
            <w:tcW w:w="1185" w:type="dxa"/>
            <w:shd w:val="clear" w:color="auto" w:fill="auto"/>
            <w:noWrap/>
            <w:vAlign w:val="center"/>
          </w:tcPr>
          <w:p w14:paraId="35276BFE" w14:textId="77777777" w:rsidR="003E5BF5" w:rsidRPr="00A84976" w:rsidRDefault="003E5BF5" w:rsidP="00DE1921">
            <w:pPr>
              <w:jc w:val="right"/>
              <w:rPr>
                <w:rFonts w:ascii="Arial" w:hAnsi="Arial" w:cs="Arial"/>
                <w:lang w:eastAsia="en-AU"/>
              </w:rPr>
            </w:pPr>
          </w:p>
        </w:tc>
        <w:tc>
          <w:tcPr>
            <w:tcW w:w="1191" w:type="dxa"/>
            <w:shd w:val="clear" w:color="auto" w:fill="auto"/>
            <w:noWrap/>
            <w:vAlign w:val="center"/>
          </w:tcPr>
          <w:p w14:paraId="4466ACCA" w14:textId="77777777" w:rsidR="003E5BF5" w:rsidRPr="00A84976" w:rsidRDefault="003E5BF5" w:rsidP="00DE1921">
            <w:pPr>
              <w:jc w:val="right"/>
              <w:rPr>
                <w:rFonts w:ascii="Arial" w:hAnsi="Arial" w:cs="Arial"/>
                <w:lang w:eastAsia="en-AU"/>
              </w:rPr>
            </w:pPr>
          </w:p>
        </w:tc>
        <w:tc>
          <w:tcPr>
            <w:tcW w:w="1186" w:type="dxa"/>
            <w:shd w:val="clear" w:color="auto" w:fill="auto"/>
            <w:noWrap/>
            <w:vAlign w:val="center"/>
          </w:tcPr>
          <w:p w14:paraId="31FFA018" w14:textId="77777777" w:rsidR="003E5BF5" w:rsidRPr="00A84976" w:rsidRDefault="003E5BF5" w:rsidP="00DE1921">
            <w:pPr>
              <w:jc w:val="right"/>
              <w:rPr>
                <w:rFonts w:ascii="Arial" w:hAnsi="Arial" w:cs="Arial"/>
                <w:lang w:eastAsia="en-AU"/>
              </w:rPr>
            </w:pPr>
          </w:p>
        </w:tc>
        <w:tc>
          <w:tcPr>
            <w:tcW w:w="1027" w:type="dxa"/>
            <w:shd w:val="clear" w:color="auto" w:fill="auto"/>
            <w:noWrap/>
            <w:vAlign w:val="center"/>
          </w:tcPr>
          <w:p w14:paraId="36AD82F9" w14:textId="77777777" w:rsidR="003E5BF5" w:rsidRPr="00A84976" w:rsidRDefault="003E5BF5" w:rsidP="00DE1921">
            <w:pPr>
              <w:jc w:val="right"/>
              <w:rPr>
                <w:rFonts w:ascii="Arial" w:hAnsi="Arial" w:cs="Arial"/>
                <w:lang w:eastAsia="en-AU"/>
              </w:rPr>
            </w:pPr>
          </w:p>
        </w:tc>
      </w:tr>
      <w:tr w:rsidR="00810FAC" w:rsidRPr="00A84976" w14:paraId="4C1CDD11" w14:textId="77777777" w:rsidTr="009758EA">
        <w:trPr>
          <w:trHeight w:val="312"/>
          <w:jc w:val="center"/>
        </w:trPr>
        <w:tc>
          <w:tcPr>
            <w:tcW w:w="2234" w:type="dxa"/>
            <w:shd w:val="clear" w:color="auto" w:fill="auto"/>
            <w:vAlign w:val="center"/>
            <w:hideMark/>
          </w:tcPr>
          <w:p w14:paraId="73CB28E4" w14:textId="77777777" w:rsidR="003E5BF5" w:rsidRPr="00A84976" w:rsidRDefault="003E5BF5" w:rsidP="00DE1921">
            <w:pPr>
              <w:rPr>
                <w:rFonts w:ascii="Arial" w:hAnsi="Arial" w:cs="Arial"/>
                <w:lang w:eastAsia="en-AU"/>
              </w:rPr>
            </w:pPr>
            <w:r w:rsidRPr="00A84976">
              <w:rPr>
                <w:rFonts w:ascii="Arial" w:hAnsi="Arial" w:cs="Arial"/>
                <w:lang w:eastAsia="en-AU"/>
              </w:rPr>
              <w:t xml:space="preserve">Provision of outputs </w:t>
            </w:r>
          </w:p>
        </w:tc>
        <w:tc>
          <w:tcPr>
            <w:tcW w:w="1590" w:type="dxa"/>
            <w:shd w:val="clear" w:color="auto" w:fill="auto"/>
            <w:noWrap/>
            <w:vAlign w:val="center"/>
            <w:hideMark/>
          </w:tcPr>
          <w:p w14:paraId="53ECA638" w14:textId="77777777" w:rsidR="003E5BF5" w:rsidRPr="00A84976" w:rsidRDefault="003E5BF5" w:rsidP="00DE1921">
            <w:pPr>
              <w:jc w:val="right"/>
              <w:rPr>
                <w:rFonts w:ascii="Arial" w:hAnsi="Arial" w:cs="Arial"/>
                <w:lang w:eastAsia="en-AU"/>
              </w:rPr>
            </w:pPr>
            <w:r w:rsidRPr="00A84976">
              <w:rPr>
                <w:rFonts w:ascii="Arial" w:hAnsi="Arial" w:cs="Arial"/>
              </w:rPr>
              <w:t xml:space="preserve">6,780,658 </w:t>
            </w:r>
          </w:p>
        </w:tc>
        <w:tc>
          <w:tcPr>
            <w:tcW w:w="1186" w:type="dxa"/>
            <w:shd w:val="clear" w:color="auto" w:fill="auto"/>
            <w:noWrap/>
            <w:vAlign w:val="center"/>
            <w:hideMark/>
          </w:tcPr>
          <w:p w14:paraId="38B181B2" w14:textId="77777777" w:rsidR="003E5BF5" w:rsidRPr="00A84976" w:rsidRDefault="003E5BF5" w:rsidP="00DE1921">
            <w:pPr>
              <w:jc w:val="right"/>
              <w:rPr>
                <w:rFonts w:ascii="Arial" w:hAnsi="Arial" w:cs="Arial"/>
                <w:lang w:eastAsia="en-AU"/>
              </w:rPr>
            </w:pPr>
            <w:r w:rsidRPr="00A84976">
              <w:rPr>
                <w:rFonts w:ascii="Arial" w:hAnsi="Arial" w:cs="Arial"/>
              </w:rPr>
              <w:t xml:space="preserve">337,143 </w:t>
            </w:r>
          </w:p>
        </w:tc>
        <w:tc>
          <w:tcPr>
            <w:tcW w:w="1055" w:type="dxa"/>
            <w:shd w:val="clear" w:color="auto" w:fill="auto"/>
            <w:noWrap/>
            <w:vAlign w:val="center"/>
            <w:hideMark/>
          </w:tcPr>
          <w:p w14:paraId="0CC94ADB" w14:textId="77777777" w:rsidR="003E5BF5" w:rsidRPr="00A84976" w:rsidRDefault="003E5BF5" w:rsidP="00DE1921">
            <w:pPr>
              <w:jc w:val="right"/>
              <w:rPr>
                <w:rFonts w:ascii="Arial" w:hAnsi="Arial" w:cs="Arial"/>
                <w:lang w:eastAsia="en-AU"/>
              </w:rPr>
            </w:pPr>
            <w:r w:rsidRPr="00A84976">
              <w:rPr>
                <w:rFonts w:ascii="Arial" w:hAnsi="Arial" w:cs="Arial"/>
              </w:rPr>
              <w:t xml:space="preserve">453,135 </w:t>
            </w:r>
          </w:p>
        </w:tc>
        <w:tc>
          <w:tcPr>
            <w:tcW w:w="923" w:type="dxa"/>
            <w:shd w:val="clear" w:color="auto" w:fill="auto"/>
            <w:noWrap/>
            <w:vAlign w:val="center"/>
            <w:hideMark/>
          </w:tcPr>
          <w:p w14:paraId="21496816" w14:textId="77777777" w:rsidR="003E5BF5" w:rsidRPr="00A84976" w:rsidRDefault="003E5BF5" w:rsidP="00DE1921">
            <w:pPr>
              <w:jc w:val="right"/>
              <w:rPr>
                <w:rFonts w:ascii="Arial" w:hAnsi="Arial" w:cs="Arial"/>
                <w:lang w:eastAsia="en-AU"/>
              </w:rPr>
            </w:pPr>
            <w:r w:rsidRPr="00A84976">
              <w:rPr>
                <w:rFonts w:ascii="Arial" w:hAnsi="Arial" w:cs="Arial"/>
              </w:rPr>
              <w:t xml:space="preserve">62,596 </w:t>
            </w:r>
          </w:p>
        </w:tc>
        <w:tc>
          <w:tcPr>
            <w:tcW w:w="923" w:type="dxa"/>
            <w:shd w:val="clear" w:color="auto" w:fill="auto"/>
            <w:noWrap/>
            <w:vAlign w:val="center"/>
            <w:hideMark/>
          </w:tcPr>
          <w:p w14:paraId="182AD422" w14:textId="77777777" w:rsidR="003E5BF5" w:rsidRPr="00A84976" w:rsidRDefault="003E5BF5" w:rsidP="00DE1921">
            <w:pPr>
              <w:jc w:val="right"/>
              <w:rPr>
                <w:rFonts w:ascii="Arial" w:hAnsi="Arial" w:cs="Arial"/>
                <w:lang w:eastAsia="en-AU"/>
              </w:rPr>
            </w:pPr>
            <w:r w:rsidRPr="00A84976">
              <w:rPr>
                <w:rFonts w:ascii="Arial" w:hAnsi="Arial" w:cs="Arial"/>
              </w:rPr>
              <w:t xml:space="preserve">17,400 </w:t>
            </w:r>
          </w:p>
        </w:tc>
        <w:tc>
          <w:tcPr>
            <w:tcW w:w="1257" w:type="dxa"/>
            <w:shd w:val="clear" w:color="auto" w:fill="auto"/>
            <w:noWrap/>
            <w:vAlign w:val="center"/>
            <w:hideMark/>
          </w:tcPr>
          <w:p w14:paraId="3E18E269" w14:textId="77777777" w:rsidR="003E5BF5" w:rsidRPr="00A84976" w:rsidRDefault="003E5BF5" w:rsidP="00DE1921">
            <w:pPr>
              <w:jc w:val="right"/>
              <w:rPr>
                <w:rFonts w:ascii="Arial" w:hAnsi="Arial" w:cs="Arial"/>
                <w:lang w:eastAsia="en-AU"/>
              </w:rPr>
            </w:pPr>
            <w:r w:rsidRPr="00A84976">
              <w:rPr>
                <w:rFonts w:ascii="Arial" w:hAnsi="Arial" w:cs="Arial"/>
              </w:rPr>
              <w:t xml:space="preserve">40,493 </w:t>
            </w:r>
          </w:p>
        </w:tc>
        <w:tc>
          <w:tcPr>
            <w:tcW w:w="1185" w:type="dxa"/>
            <w:shd w:val="clear" w:color="auto" w:fill="auto"/>
            <w:noWrap/>
            <w:vAlign w:val="center"/>
            <w:hideMark/>
          </w:tcPr>
          <w:p w14:paraId="5BB2A99D" w14:textId="77777777" w:rsidR="003E5BF5" w:rsidRPr="00A84976" w:rsidRDefault="003E5BF5" w:rsidP="00DE1921">
            <w:pPr>
              <w:jc w:val="right"/>
              <w:rPr>
                <w:rFonts w:ascii="Arial" w:hAnsi="Arial" w:cs="Arial"/>
                <w:lang w:eastAsia="en-AU"/>
              </w:rPr>
            </w:pPr>
            <w:r w:rsidRPr="00A84976">
              <w:rPr>
                <w:rFonts w:ascii="Arial" w:hAnsi="Arial" w:cs="Arial"/>
              </w:rPr>
              <w:t xml:space="preserve">  - </w:t>
            </w:r>
          </w:p>
        </w:tc>
        <w:tc>
          <w:tcPr>
            <w:tcW w:w="1191" w:type="dxa"/>
            <w:shd w:val="clear" w:color="auto" w:fill="auto"/>
            <w:noWrap/>
            <w:vAlign w:val="center"/>
            <w:hideMark/>
          </w:tcPr>
          <w:p w14:paraId="7021D335" w14:textId="77777777" w:rsidR="003E5BF5" w:rsidRPr="00A84976" w:rsidRDefault="003E5BF5" w:rsidP="00DE1921">
            <w:pPr>
              <w:jc w:val="right"/>
              <w:rPr>
                <w:rFonts w:ascii="Arial" w:hAnsi="Arial" w:cs="Arial"/>
                <w:lang w:eastAsia="en-AU"/>
              </w:rPr>
            </w:pPr>
            <w:r w:rsidRPr="00A84976">
              <w:rPr>
                <w:rFonts w:ascii="Arial" w:hAnsi="Arial" w:cs="Arial"/>
              </w:rPr>
              <w:t xml:space="preserve">7,691,425 </w:t>
            </w:r>
          </w:p>
        </w:tc>
        <w:tc>
          <w:tcPr>
            <w:tcW w:w="1186" w:type="dxa"/>
            <w:shd w:val="clear" w:color="auto" w:fill="auto"/>
            <w:noWrap/>
            <w:vAlign w:val="center"/>
            <w:hideMark/>
          </w:tcPr>
          <w:p w14:paraId="5CB09D07" w14:textId="77777777" w:rsidR="003E5BF5" w:rsidRPr="00A84976" w:rsidRDefault="003E5BF5" w:rsidP="00DE1921">
            <w:pPr>
              <w:jc w:val="right"/>
              <w:rPr>
                <w:rFonts w:ascii="Arial" w:hAnsi="Arial" w:cs="Arial"/>
                <w:lang w:eastAsia="en-AU"/>
              </w:rPr>
            </w:pPr>
            <w:r w:rsidRPr="00A84976">
              <w:rPr>
                <w:rFonts w:ascii="Arial" w:hAnsi="Arial" w:cs="Arial"/>
              </w:rPr>
              <w:t xml:space="preserve">7,540,969 </w:t>
            </w:r>
          </w:p>
        </w:tc>
        <w:tc>
          <w:tcPr>
            <w:tcW w:w="1027" w:type="dxa"/>
            <w:shd w:val="clear" w:color="auto" w:fill="auto"/>
            <w:noWrap/>
            <w:vAlign w:val="center"/>
            <w:hideMark/>
          </w:tcPr>
          <w:p w14:paraId="7E84EA49" w14:textId="77777777" w:rsidR="003E5BF5" w:rsidRPr="00A84976" w:rsidRDefault="003E5BF5" w:rsidP="00DE1921">
            <w:pPr>
              <w:jc w:val="right"/>
              <w:rPr>
                <w:rFonts w:ascii="Arial" w:hAnsi="Arial" w:cs="Arial"/>
                <w:lang w:eastAsia="en-AU"/>
              </w:rPr>
            </w:pPr>
            <w:r w:rsidRPr="00A84976">
              <w:rPr>
                <w:rFonts w:ascii="Arial" w:hAnsi="Arial" w:cs="Arial"/>
              </w:rPr>
              <w:t xml:space="preserve">150,455 </w:t>
            </w:r>
          </w:p>
        </w:tc>
      </w:tr>
      <w:tr w:rsidR="00810FAC" w:rsidRPr="00A84976" w14:paraId="4486A144" w14:textId="77777777" w:rsidTr="009758EA">
        <w:trPr>
          <w:trHeight w:val="312"/>
          <w:jc w:val="center"/>
        </w:trPr>
        <w:tc>
          <w:tcPr>
            <w:tcW w:w="2234" w:type="dxa"/>
            <w:shd w:val="clear" w:color="auto" w:fill="auto"/>
            <w:vAlign w:val="center"/>
            <w:hideMark/>
          </w:tcPr>
          <w:p w14:paraId="0A59BA68" w14:textId="77777777" w:rsidR="003E5BF5" w:rsidRPr="00A84976" w:rsidRDefault="003E5BF5" w:rsidP="00DE1921">
            <w:pPr>
              <w:rPr>
                <w:rFonts w:ascii="Arial" w:hAnsi="Arial" w:cs="Arial"/>
                <w:lang w:eastAsia="en-AU"/>
              </w:rPr>
            </w:pPr>
            <w:r w:rsidRPr="00A84976">
              <w:rPr>
                <w:rFonts w:ascii="Arial" w:hAnsi="Arial" w:cs="Arial"/>
                <w:lang w:eastAsia="en-AU"/>
              </w:rPr>
              <w:t>Additions to net assets</w:t>
            </w:r>
          </w:p>
        </w:tc>
        <w:tc>
          <w:tcPr>
            <w:tcW w:w="1590" w:type="dxa"/>
            <w:shd w:val="clear" w:color="auto" w:fill="auto"/>
            <w:noWrap/>
            <w:vAlign w:val="center"/>
            <w:hideMark/>
          </w:tcPr>
          <w:p w14:paraId="2F50EA78" w14:textId="77777777" w:rsidR="003E5BF5" w:rsidRPr="00A84976" w:rsidRDefault="003E5BF5" w:rsidP="00DE1921">
            <w:pPr>
              <w:jc w:val="right"/>
              <w:rPr>
                <w:rFonts w:ascii="Arial" w:hAnsi="Arial" w:cs="Arial"/>
                <w:lang w:eastAsia="en-AU"/>
              </w:rPr>
            </w:pPr>
            <w:r w:rsidRPr="00A84976">
              <w:rPr>
                <w:rFonts w:ascii="Arial" w:hAnsi="Arial" w:cs="Arial"/>
              </w:rPr>
              <w:t xml:space="preserve">4,936,463 </w:t>
            </w:r>
          </w:p>
        </w:tc>
        <w:tc>
          <w:tcPr>
            <w:tcW w:w="1186" w:type="dxa"/>
            <w:shd w:val="clear" w:color="auto" w:fill="auto"/>
            <w:noWrap/>
            <w:vAlign w:val="center"/>
            <w:hideMark/>
          </w:tcPr>
          <w:p w14:paraId="4E3FCA65" w14:textId="77777777" w:rsidR="003E5BF5" w:rsidRPr="00A84976" w:rsidRDefault="003E5BF5" w:rsidP="00DE1921">
            <w:pPr>
              <w:jc w:val="right"/>
              <w:rPr>
                <w:rFonts w:ascii="Arial" w:hAnsi="Arial" w:cs="Arial"/>
                <w:lang w:eastAsia="en-AU"/>
              </w:rPr>
            </w:pPr>
            <w:r w:rsidRPr="00A84976">
              <w:rPr>
                <w:rFonts w:ascii="Arial" w:hAnsi="Arial" w:cs="Arial"/>
              </w:rPr>
              <w:t xml:space="preserve">374,856 </w:t>
            </w:r>
          </w:p>
        </w:tc>
        <w:tc>
          <w:tcPr>
            <w:tcW w:w="1055" w:type="dxa"/>
            <w:shd w:val="clear" w:color="auto" w:fill="auto"/>
            <w:noWrap/>
            <w:vAlign w:val="center"/>
            <w:hideMark/>
          </w:tcPr>
          <w:p w14:paraId="00446581" w14:textId="77777777" w:rsidR="003E5BF5" w:rsidRPr="00A84976" w:rsidRDefault="003E5BF5" w:rsidP="00DE1921">
            <w:pPr>
              <w:jc w:val="right"/>
              <w:rPr>
                <w:rFonts w:ascii="Arial" w:hAnsi="Arial" w:cs="Arial"/>
                <w:lang w:eastAsia="en-AU"/>
              </w:rPr>
            </w:pPr>
            <w:r w:rsidRPr="00A84976">
              <w:rPr>
                <w:rFonts w:ascii="Arial" w:hAnsi="Arial" w:cs="Arial"/>
              </w:rPr>
              <w:t xml:space="preserve">683,691 </w:t>
            </w:r>
          </w:p>
        </w:tc>
        <w:tc>
          <w:tcPr>
            <w:tcW w:w="923" w:type="dxa"/>
            <w:shd w:val="clear" w:color="auto" w:fill="auto"/>
            <w:noWrap/>
            <w:vAlign w:val="center"/>
            <w:hideMark/>
          </w:tcPr>
          <w:p w14:paraId="5AF6AD0D" w14:textId="77777777" w:rsidR="003E5BF5" w:rsidRPr="00A84976" w:rsidRDefault="003E5BF5" w:rsidP="00DE1921">
            <w:pPr>
              <w:jc w:val="right"/>
              <w:rPr>
                <w:rFonts w:ascii="Arial" w:hAnsi="Arial" w:cs="Arial"/>
                <w:lang w:eastAsia="en-AU"/>
              </w:rPr>
            </w:pPr>
            <w:r w:rsidRPr="00A84976">
              <w:rPr>
                <w:rFonts w:ascii="Arial" w:hAnsi="Arial" w:cs="Arial"/>
              </w:rPr>
              <w:t>(62,596)</w:t>
            </w:r>
          </w:p>
        </w:tc>
        <w:tc>
          <w:tcPr>
            <w:tcW w:w="923" w:type="dxa"/>
            <w:shd w:val="clear" w:color="auto" w:fill="auto"/>
            <w:noWrap/>
            <w:vAlign w:val="center"/>
            <w:hideMark/>
          </w:tcPr>
          <w:p w14:paraId="4459A57D" w14:textId="77777777" w:rsidR="003E5BF5" w:rsidRPr="00A84976" w:rsidRDefault="003E5BF5" w:rsidP="00DE1921">
            <w:pPr>
              <w:jc w:val="right"/>
              <w:rPr>
                <w:rFonts w:ascii="Arial" w:hAnsi="Arial" w:cs="Arial"/>
                <w:lang w:eastAsia="en-AU"/>
              </w:rPr>
            </w:pPr>
            <w:r w:rsidRPr="00A84976">
              <w:rPr>
                <w:rFonts w:ascii="Arial" w:hAnsi="Arial" w:cs="Arial"/>
              </w:rPr>
              <w:t xml:space="preserve">452,180 </w:t>
            </w:r>
          </w:p>
        </w:tc>
        <w:tc>
          <w:tcPr>
            <w:tcW w:w="1257" w:type="dxa"/>
            <w:shd w:val="clear" w:color="auto" w:fill="auto"/>
            <w:noWrap/>
            <w:vAlign w:val="center"/>
            <w:hideMark/>
          </w:tcPr>
          <w:p w14:paraId="3E2E8580" w14:textId="77777777" w:rsidR="003E5BF5" w:rsidRPr="00A84976" w:rsidRDefault="003E5BF5" w:rsidP="00DE1921">
            <w:pPr>
              <w:jc w:val="right"/>
              <w:rPr>
                <w:rFonts w:ascii="Arial" w:hAnsi="Arial" w:cs="Arial"/>
                <w:lang w:eastAsia="en-AU"/>
              </w:rPr>
            </w:pPr>
            <w:r w:rsidRPr="00A84976">
              <w:rPr>
                <w:rFonts w:ascii="Arial" w:hAnsi="Arial" w:cs="Arial"/>
              </w:rPr>
              <w:t xml:space="preserve">280,537 </w:t>
            </w:r>
          </w:p>
        </w:tc>
        <w:tc>
          <w:tcPr>
            <w:tcW w:w="1185" w:type="dxa"/>
            <w:shd w:val="clear" w:color="auto" w:fill="auto"/>
            <w:noWrap/>
            <w:vAlign w:val="center"/>
            <w:hideMark/>
          </w:tcPr>
          <w:p w14:paraId="19C45838" w14:textId="77777777" w:rsidR="003E5BF5" w:rsidRPr="00A84976" w:rsidRDefault="003E5BF5" w:rsidP="00DE1921">
            <w:pPr>
              <w:jc w:val="right"/>
              <w:rPr>
                <w:rFonts w:ascii="Arial" w:hAnsi="Arial" w:cs="Arial"/>
                <w:lang w:eastAsia="en-AU"/>
              </w:rPr>
            </w:pPr>
            <w:r w:rsidRPr="00A84976">
              <w:rPr>
                <w:rFonts w:ascii="Arial" w:hAnsi="Arial" w:cs="Arial"/>
              </w:rPr>
              <w:t xml:space="preserve">  - </w:t>
            </w:r>
          </w:p>
        </w:tc>
        <w:tc>
          <w:tcPr>
            <w:tcW w:w="1191" w:type="dxa"/>
            <w:shd w:val="clear" w:color="auto" w:fill="auto"/>
            <w:noWrap/>
            <w:vAlign w:val="center"/>
            <w:hideMark/>
          </w:tcPr>
          <w:p w14:paraId="1C791238" w14:textId="77777777" w:rsidR="003E5BF5" w:rsidRPr="00A84976" w:rsidRDefault="003E5BF5" w:rsidP="00DE1921">
            <w:pPr>
              <w:jc w:val="right"/>
              <w:rPr>
                <w:rFonts w:ascii="Arial" w:hAnsi="Arial" w:cs="Arial"/>
                <w:lang w:eastAsia="en-AU"/>
              </w:rPr>
            </w:pPr>
            <w:r w:rsidRPr="00A84976">
              <w:rPr>
                <w:rFonts w:ascii="Arial" w:hAnsi="Arial" w:cs="Arial"/>
              </w:rPr>
              <w:t xml:space="preserve">6,665,130 </w:t>
            </w:r>
          </w:p>
        </w:tc>
        <w:tc>
          <w:tcPr>
            <w:tcW w:w="1186" w:type="dxa"/>
            <w:shd w:val="clear" w:color="auto" w:fill="auto"/>
            <w:noWrap/>
            <w:vAlign w:val="center"/>
            <w:hideMark/>
          </w:tcPr>
          <w:p w14:paraId="6BBCB8D2" w14:textId="77777777" w:rsidR="003E5BF5" w:rsidRPr="00A84976" w:rsidRDefault="003E5BF5" w:rsidP="00DE1921">
            <w:pPr>
              <w:jc w:val="right"/>
              <w:rPr>
                <w:rFonts w:ascii="Arial" w:hAnsi="Arial" w:cs="Arial"/>
                <w:lang w:eastAsia="en-AU"/>
              </w:rPr>
            </w:pPr>
            <w:r w:rsidRPr="00A84976">
              <w:rPr>
                <w:rFonts w:ascii="Arial" w:hAnsi="Arial" w:cs="Arial"/>
              </w:rPr>
              <w:t xml:space="preserve">4,341,357 </w:t>
            </w:r>
          </w:p>
        </w:tc>
        <w:tc>
          <w:tcPr>
            <w:tcW w:w="1027" w:type="dxa"/>
            <w:shd w:val="clear" w:color="auto" w:fill="auto"/>
            <w:noWrap/>
            <w:vAlign w:val="center"/>
            <w:hideMark/>
          </w:tcPr>
          <w:p w14:paraId="420B3F42" w14:textId="77777777" w:rsidR="003E5BF5" w:rsidRPr="00A84976" w:rsidRDefault="003E5BF5" w:rsidP="00DE1921">
            <w:pPr>
              <w:jc w:val="right"/>
              <w:rPr>
                <w:rFonts w:ascii="Arial" w:hAnsi="Arial" w:cs="Arial"/>
                <w:lang w:eastAsia="en-AU"/>
              </w:rPr>
            </w:pPr>
            <w:r w:rsidRPr="00A84976">
              <w:rPr>
                <w:rFonts w:ascii="Arial" w:hAnsi="Arial" w:cs="Arial"/>
              </w:rPr>
              <w:t xml:space="preserve">2,323,773 </w:t>
            </w:r>
          </w:p>
        </w:tc>
      </w:tr>
      <w:tr w:rsidR="00810FAC" w:rsidRPr="00A84976" w14:paraId="7D50B4F3" w14:textId="77777777" w:rsidTr="009758EA">
        <w:trPr>
          <w:trHeight w:val="312"/>
          <w:jc w:val="center"/>
        </w:trPr>
        <w:tc>
          <w:tcPr>
            <w:tcW w:w="2234" w:type="dxa"/>
            <w:shd w:val="clear" w:color="auto" w:fill="auto"/>
            <w:vAlign w:val="center"/>
            <w:hideMark/>
          </w:tcPr>
          <w:p w14:paraId="7BE582D1" w14:textId="77777777" w:rsidR="003E5BF5" w:rsidRPr="00A84976" w:rsidRDefault="003E5BF5" w:rsidP="00DE1921">
            <w:pPr>
              <w:pStyle w:val="TableTextLeftBold"/>
              <w:rPr>
                <w:rFonts w:ascii="Arial" w:hAnsi="Arial" w:cs="Arial"/>
                <w:sz w:val="22"/>
              </w:rPr>
            </w:pPr>
            <w:r w:rsidRPr="00A84976">
              <w:rPr>
                <w:rFonts w:ascii="Arial" w:hAnsi="Arial" w:cs="Arial"/>
                <w:sz w:val="22"/>
              </w:rPr>
              <w:t>Total</w:t>
            </w:r>
          </w:p>
        </w:tc>
        <w:tc>
          <w:tcPr>
            <w:tcW w:w="1590" w:type="dxa"/>
            <w:shd w:val="clear" w:color="auto" w:fill="auto"/>
            <w:noWrap/>
            <w:vAlign w:val="center"/>
            <w:hideMark/>
          </w:tcPr>
          <w:p w14:paraId="2ED89951" w14:textId="77777777" w:rsidR="003E5BF5" w:rsidRPr="00A84976" w:rsidRDefault="003E5BF5" w:rsidP="00DE1921">
            <w:pPr>
              <w:jc w:val="right"/>
              <w:rPr>
                <w:rFonts w:ascii="Arial" w:hAnsi="Arial" w:cs="Arial"/>
                <w:b/>
                <w:lang w:eastAsia="en-AU"/>
              </w:rPr>
            </w:pPr>
            <w:r w:rsidRPr="00A84976">
              <w:rPr>
                <w:rFonts w:ascii="Arial" w:hAnsi="Arial" w:cs="Arial"/>
                <w:b/>
              </w:rPr>
              <w:t xml:space="preserve">11,717,121 </w:t>
            </w:r>
          </w:p>
        </w:tc>
        <w:tc>
          <w:tcPr>
            <w:tcW w:w="1186" w:type="dxa"/>
            <w:shd w:val="clear" w:color="auto" w:fill="auto"/>
            <w:noWrap/>
            <w:vAlign w:val="center"/>
            <w:hideMark/>
          </w:tcPr>
          <w:p w14:paraId="467E88F9" w14:textId="77777777" w:rsidR="003E5BF5" w:rsidRPr="00A84976" w:rsidRDefault="003E5BF5" w:rsidP="00DE1921">
            <w:pPr>
              <w:jc w:val="right"/>
              <w:rPr>
                <w:rFonts w:ascii="Arial" w:hAnsi="Arial" w:cs="Arial"/>
                <w:b/>
                <w:lang w:eastAsia="en-AU"/>
              </w:rPr>
            </w:pPr>
            <w:r w:rsidRPr="00A84976">
              <w:rPr>
                <w:rFonts w:ascii="Arial" w:hAnsi="Arial" w:cs="Arial"/>
                <w:b/>
              </w:rPr>
              <w:t xml:space="preserve">711,999 </w:t>
            </w:r>
          </w:p>
        </w:tc>
        <w:tc>
          <w:tcPr>
            <w:tcW w:w="1055" w:type="dxa"/>
            <w:shd w:val="clear" w:color="auto" w:fill="auto"/>
            <w:noWrap/>
            <w:vAlign w:val="center"/>
            <w:hideMark/>
          </w:tcPr>
          <w:p w14:paraId="7F599C68" w14:textId="77777777" w:rsidR="003E5BF5" w:rsidRPr="00A84976" w:rsidRDefault="003E5BF5" w:rsidP="00DE1921">
            <w:pPr>
              <w:jc w:val="right"/>
              <w:rPr>
                <w:rFonts w:ascii="Arial" w:hAnsi="Arial" w:cs="Arial"/>
                <w:b/>
                <w:lang w:eastAsia="en-AU"/>
              </w:rPr>
            </w:pPr>
            <w:r w:rsidRPr="00A84976">
              <w:rPr>
                <w:rFonts w:ascii="Arial" w:hAnsi="Arial" w:cs="Arial"/>
                <w:b/>
              </w:rPr>
              <w:t xml:space="preserve">1,136,826 </w:t>
            </w:r>
          </w:p>
        </w:tc>
        <w:tc>
          <w:tcPr>
            <w:tcW w:w="923" w:type="dxa"/>
            <w:shd w:val="clear" w:color="auto" w:fill="auto"/>
            <w:noWrap/>
            <w:vAlign w:val="center"/>
            <w:hideMark/>
          </w:tcPr>
          <w:p w14:paraId="2BD24DD3" w14:textId="77777777" w:rsidR="003E5BF5" w:rsidRPr="00A84976" w:rsidRDefault="003E5BF5" w:rsidP="00DE1921">
            <w:pPr>
              <w:jc w:val="right"/>
              <w:rPr>
                <w:rFonts w:ascii="Arial" w:hAnsi="Arial" w:cs="Arial"/>
                <w:b/>
                <w:lang w:eastAsia="en-AU"/>
              </w:rPr>
            </w:pPr>
            <w:r w:rsidRPr="00A84976">
              <w:rPr>
                <w:rFonts w:ascii="Arial" w:hAnsi="Arial" w:cs="Arial"/>
                <w:b/>
              </w:rPr>
              <w:t xml:space="preserve">  -</w:t>
            </w:r>
          </w:p>
        </w:tc>
        <w:tc>
          <w:tcPr>
            <w:tcW w:w="923" w:type="dxa"/>
            <w:shd w:val="clear" w:color="auto" w:fill="auto"/>
            <w:noWrap/>
            <w:vAlign w:val="center"/>
            <w:hideMark/>
          </w:tcPr>
          <w:p w14:paraId="3E005DDC" w14:textId="77777777" w:rsidR="003E5BF5" w:rsidRPr="00A84976" w:rsidRDefault="003E5BF5" w:rsidP="00DE1921">
            <w:pPr>
              <w:jc w:val="right"/>
              <w:rPr>
                <w:rFonts w:ascii="Arial" w:hAnsi="Arial" w:cs="Arial"/>
                <w:b/>
                <w:lang w:eastAsia="en-AU"/>
              </w:rPr>
            </w:pPr>
            <w:r w:rsidRPr="00A84976">
              <w:rPr>
                <w:rFonts w:ascii="Arial" w:hAnsi="Arial" w:cs="Arial"/>
                <w:b/>
              </w:rPr>
              <w:t xml:space="preserve">469,580 </w:t>
            </w:r>
          </w:p>
        </w:tc>
        <w:tc>
          <w:tcPr>
            <w:tcW w:w="1257" w:type="dxa"/>
            <w:shd w:val="clear" w:color="auto" w:fill="auto"/>
            <w:noWrap/>
            <w:vAlign w:val="center"/>
            <w:hideMark/>
          </w:tcPr>
          <w:p w14:paraId="2F1DA254" w14:textId="77777777" w:rsidR="003E5BF5" w:rsidRPr="00A84976" w:rsidRDefault="003E5BF5" w:rsidP="00DE1921">
            <w:pPr>
              <w:jc w:val="right"/>
              <w:rPr>
                <w:rFonts w:ascii="Arial" w:hAnsi="Arial" w:cs="Arial"/>
                <w:b/>
                <w:lang w:eastAsia="en-AU"/>
              </w:rPr>
            </w:pPr>
            <w:r w:rsidRPr="00A84976">
              <w:rPr>
                <w:rFonts w:ascii="Arial" w:hAnsi="Arial" w:cs="Arial"/>
                <w:b/>
              </w:rPr>
              <w:t xml:space="preserve">321,030 </w:t>
            </w:r>
          </w:p>
        </w:tc>
        <w:tc>
          <w:tcPr>
            <w:tcW w:w="1185" w:type="dxa"/>
            <w:shd w:val="clear" w:color="auto" w:fill="auto"/>
            <w:noWrap/>
            <w:vAlign w:val="center"/>
            <w:hideMark/>
          </w:tcPr>
          <w:p w14:paraId="1EE94F74" w14:textId="77777777" w:rsidR="003E5BF5" w:rsidRPr="00A84976" w:rsidRDefault="003E5BF5" w:rsidP="00DE1921">
            <w:pPr>
              <w:jc w:val="right"/>
              <w:rPr>
                <w:rFonts w:ascii="Arial" w:hAnsi="Arial" w:cs="Arial"/>
                <w:b/>
                <w:lang w:eastAsia="en-AU"/>
              </w:rPr>
            </w:pPr>
            <w:r w:rsidRPr="00A84976">
              <w:rPr>
                <w:rFonts w:ascii="Arial" w:hAnsi="Arial" w:cs="Arial"/>
                <w:b/>
              </w:rPr>
              <w:t xml:space="preserve">  -</w:t>
            </w:r>
          </w:p>
        </w:tc>
        <w:tc>
          <w:tcPr>
            <w:tcW w:w="1191" w:type="dxa"/>
            <w:shd w:val="clear" w:color="auto" w:fill="auto"/>
            <w:noWrap/>
            <w:vAlign w:val="center"/>
            <w:hideMark/>
          </w:tcPr>
          <w:p w14:paraId="7799CDEF" w14:textId="77777777" w:rsidR="003E5BF5" w:rsidRPr="00A84976" w:rsidRDefault="003E5BF5" w:rsidP="00DE1921">
            <w:pPr>
              <w:jc w:val="right"/>
              <w:rPr>
                <w:rFonts w:ascii="Arial" w:hAnsi="Arial" w:cs="Arial"/>
                <w:b/>
                <w:lang w:eastAsia="en-AU"/>
              </w:rPr>
            </w:pPr>
            <w:r w:rsidRPr="00A84976">
              <w:rPr>
                <w:rFonts w:ascii="Arial" w:hAnsi="Arial" w:cs="Arial"/>
                <w:b/>
              </w:rPr>
              <w:t xml:space="preserve">14,356,555 </w:t>
            </w:r>
          </w:p>
        </w:tc>
        <w:tc>
          <w:tcPr>
            <w:tcW w:w="1186" w:type="dxa"/>
            <w:shd w:val="clear" w:color="auto" w:fill="auto"/>
            <w:noWrap/>
            <w:vAlign w:val="center"/>
            <w:hideMark/>
          </w:tcPr>
          <w:p w14:paraId="627E3DE3" w14:textId="77777777" w:rsidR="003E5BF5" w:rsidRPr="00A84976" w:rsidRDefault="003E5BF5" w:rsidP="00DE1921">
            <w:pPr>
              <w:jc w:val="right"/>
              <w:rPr>
                <w:rFonts w:ascii="Arial" w:hAnsi="Arial" w:cs="Arial"/>
                <w:b/>
                <w:lang w:eastAsia="en-AU"/>
              </w:rPr>
            </w:pPr>
            <w:r w:rsidRPr="00A84976">
              <w:rPr>
                <w:rFonts w:ascii="Arial" w:hAnsi="Arial" w:cs="Arial"/>
                <w:b/>
              </w:rPr>
              <w:t xml:space="preserve">11,882,326 </w:t>
            </w:r>
          </w:p>
        </w:tc>
        <w:tc>
          <w:tcPr>
            <w:tcW w:w="1027" w:type="dxa"/>
            <w:shd w:val="clear" w:color="auto" w:fill="auto"/>
            <w:noWrap/>
            <w:vAlign w:val="center"/>
            <w:hideMark/>
          </w:tcPr>
          <w:p w14:paraId="2019153E" w14:textId="77777777" w:rsidR="003E5BF5" w:rsidRPr="00A84976" w:rsidRDefault="003E5BF5" w:rsidP="00DE1921">
            <w:pPr>
              <w:jc w:val="right"/>
              <w:rPr>
                <w:rFonts w:ascii="Arial" w:hAnsi="Arial" w:cs="Arial"/>
                <w:b/>
                <w:lang w:eastAsia="en-AU"/>
              </w:rPr>
            </w:pPr>
            <w:r w:rsidRPr="00A84976">
              <w:rPr>
                <w:rFonts w:ascii="Arial" w:hAnsi="Arial" w:cs="Arial"/>
                <w:b/>
              </w:rPr>
              <w:t xml:space="preserve">2,474,228 </w:t>
            </w:r>
          </w:p>
        </w:tc>
      </w:tr>
      <w:tr w:rsidR="008F7599" w:rsidRPr="00A84976" w14:paraId="7295BA67" w14:textId="77777777" w:rsidTr="009758EA">
        <w:trPr>
          <w:trHeight w:val="312"/>
          <w:jc w:val="center"/>
        </w:trPr>
        <w:tc>
          <w:tcPr>
            <w:tcW w:w="2234" w:type="dxa"/>
            <w:shd w:val="clear" w:color="auto" w:fill="auto"/>
            <w:noWrap/>
            <w:vAlign w:val="center"/>
            <w:hideMark/>
          </w:tcPr>
          <w:p w14:paraId="1C3ACEC8" w14:textId="77777777" w:rsidR="003E5BF5" w:rsidRPr="00A84976" w:rsidRDefault="003E5BF5" w:rsidP="00604703">
            <w:pPr>
              <w:pStyle w:val="TableTextGreen"/>
              <w:rPr>
                <w:sz w:val="22"/>
                <w:szCs w:val="22"/>
              </w:rPr>
            </w:pPr>
            <w:r w:rsidRPr="00A84976">
              <w:rPr>
                <w:sz w:val="22"/>
                <w:szCs w:val="22"/>
              </w:rPr>
              <w:t>2019</w:t>
            </w:r>
          </w:p>
        </w:tc>
        <w:tc>
          <w:tcPr>
            <w:tcW w:w="1590" w:type="dxa"/>
            <w:shd w:val="clear" w:color="auto" w:fill="auto"/>
            <w:noWrap/>
            <w:vAlign w:val="center"/>
          </w:tcPr>
          <w:p w14:paraId="171B95EA" w14:textId="77777777" w:rsidR="003E5BF5" w:rsidRPr="00A84976" w:rsidRDefault="003E5BF5" w:rsidP="00DE1921">
            <w:pPr>
              <w:jc w:val="right"/>
              <w:rPr>
                <w:rFonts w:ascii="Arial" w:hAnsi="Arial" w:cs="Arial"/>
                <w:lang w:eastAsia="en-AU"/>
              </w:rPr>
            </w:pPr>
          </w:p>
        </w:tc>
        <w:tc>
          <w:tcPr>
            <w:tcW w:w="1186" w:type="dxa"/>
            <w:shd w:val="clear" w:color="auto" w:fill="auto"/>
            <w:noWrap/>
            <w:vAlign w:val="center"/>
          </w:tcPr>
          <w:p w14:paraId="185301E2" w14:textId="77777777" w:rsidR="003E5BF5" w:rsidRPr="00A84976" w:rsidRDefault="003E5BF5" w:rsidP="00DE1921">
            <w:pPr>
              <w:jc w:val="right"/>
              <w:rPr>
                <w:rFonts w:ascii="Arial" w:hAnsi="Arial" w:cs="Arial"/>
                <w:lang w:eastAsia="en-AU"/>
              </w:rPr>
            </w:pPr>
          </w:p>
        </w:tc>
        <w:tc>
          <w:tcPr>
            <w:tcW w:w="1055" w:type="dxa"/>
            <w:shd w:val="clear" w:color="auto" w:fill="auto"/>
            <w:noWrap/>
            <w:vAlign w:val="center"/>
          </w:tcPr>
          <w:p w14:paraId="437C06B4" w14:textId="77777777" w:rsidR="003E5BF5" w:rsidRPr="00A84976" w:rsidRDefault="003E5BF5" w:rsidP="00DE1921">
            <w:pPr>
              <w:jc w:val="right"/>
              <w:rPr>
                <w:rFonts w:ascii="Arial" w:hAnsi="Arial" w:cs="Arial"/>
                <w:lang w:eastAsia="en-AU"/>
              </w:rPr>
            </w:pPr>
          </w:p>
        </w:tc>
        <w:tc>
          <w:tcPr>
            <w:tcW w:w="923" w:type="dxa"/>
            <w:shd w:val="clear" w:color="auto" w:fill="auto"/>
            <w:noWrap/>
            <w:vAlign w:val="center"/>
          </w:tcPr>
          <w:p w14:paraId="081A0BCC" w14:textId="77777777" w:rsidR="003E5BF5" w:rsidRPr="00A84976" w:rsidRDefault="003E5BF5" w:rsidP="00DE1921">
            <w:pPr>
              <w:jc w:val="right"/>
              <w:rPr>
                <w:rFonts w:ascii="Arial" w:hAnsi="Arial" w:cs="Arial"/>
                <w:lang w:eastAsia="en-AU"/>
              </w:rPr>
            </w:pPr>
          </w:p>
        </w:tc>
        <w:tc>
          <w:tcPr>
            <w:tcW w:w="923" w:type="dxa"/>
            <w:shd w:val="clear" w:color="auto" w:fill="auto"/>
            <w:noWrap/>
            <w:vAlign w:val="center"/>
          </w:tcPr>
          <w:p w14:paraId="6A4353DE" w14:textId="77777777" w:rsidR="003E5BF5" w:rsidRPr="00A84976" w:rsidRDefault="003E5BF5" w:rsidP="00DE1921">
            <w:pPr>
              <w:jc w:val="right"/>
              <w:rPr>
                <w:rFonts w:ascii="Arial" w:hAnsi="Arial" w:cs="Arial"/>
                <w:lang w:eastAsia="en-AU"/>
              </w:rPr>
            </w:pPr>
          </w:p>
        </w:tc>
        <w:tc>
          <w:tcPr>
            <w:tcW w:w="1257" w:type="dxa"/>
            <w:shd w:val="clear" w:color="auto" w:fill="auto"/>
            <w:noWrap/>
            <w:vAlign w:val="center"/>
          </w:tcPr>
          <w:p w14:paraId="33F565C8" w14:textId="77777777" w:rsidR="003E5BF5" w:rsidRPr="00A84976" w:rsidRDefault="003E5BF5" w:rsidP="00DE1921">
            <w:pPr>
              <w:jc w:val="right"/>
              <w:rPr>
                <w:rFonts w:ascii="Arial" w:hAnsi="Arial" w:cs="Arial"/>
                <w:lang w:eastAsia="en-AU"/>
              </w:rPr>
            </w:pPr>
          </w:p>
        </w:tc>
        <w:tc>
          <w:tcPr>
            <w:tcW w:w="1185" w:type="dxa"/>
            <w:shd w:val="clear" w:color="auto" w:fill="auto"/>
            <w:noWrap/>
            <w:vAlign w:val="center"/>
          </w:tcPr>
          <w:p w14:paraId="684E8657" w14:textId="77777777" w:rsidR="003E5BF5" w:rsidRPr="00A84976" w:rsidRDefault="003E5BF5" w:rsidP="00DE1921">
            <w:pPr>
              <w:jc w:val="right"/>
              <w:rPr>
                <w:rFonts w:ascii="Arial" w:hAnsi="Arial" w:cs="Arial"/>
                <w:lang w:eastAsia="en-AU"/>
              </w:rPr>
            </w:pPr>
          </w:p>
        </w:tc>
        <w:tc>
          <w:tcPr>
            <w:tcW w:w="1191" w:type="dxa"/>
            <w:shd w:val="clear" w:color="auto" w:fill="auto"/>
            <w:noWrap/>
            <w:vAlign w:val="center"/>
          </w:tcPr>
          <w:p w14:paraId="2784ABE5" w14:textId="77777777" w:rsidR="003E5BF5" w:rsidRPr="00A84976" w:rsidRDefault="003E5BF5" w:rsidP="00DE1921">
            <w:pPr>
              <w:jc w:val="right"/>
              <w:rPr>
                <w:rFonts w:ascii="Arial" w:hAnsi="Arial" w:cs="Arial"/>
                <w:lang w:eastAsia="en-AU"/>
              </w:rPr>
            </w:pPr>
          </w:p>
        </w:tc>
        <w:tc>
          <w:tcPr>
            <w:tcW w:w="1186" w:type="dxa"/>
            <w:shd w:val="clear" w:color="auto" w:fill="auto"/>
            <w:noWrap/>
            <w:vAlign w:val="center"/>
          </w:tcPr>
          <w:p w14:paraId="27C34670" w14:textId="77777777" w:rsidR="003E5BF5" w:rsidRPr="00A84976" w:rsidRDefault="003E5BF5" w:rsidP="00DE1921">
            <w:pPr>
              <w:jc w:val="right"/>
              <w:rPr>
                <w:rFonts w:ascii="Arial" w:hAnsi="Arial" w:cs="Arial"/>
                <w:lang w:eastAsia="en-AU"/>
              </w:rPr>
            </w:pPr>
          </w:p>
        </w:tc>
        <w:tc>
          <w:tcPr>
            <w:tcW w:w="1027" w:type="dxa"/>
            <w:shd w:val="clear" w:color="auto" w:fill="auto"/>
            <w:noWrap/>
            <w:vAlign w:val="center"/>
          </w:tcPr>
          <w:p w14:paraId="0971ECCA" w14:textId="77777777" w:rsidR="003E5BF5" w:rsidRPr="00A84976" w:rsidRDefault="003E5BF5" w:rsidP="00DE1921">
            <w:pPr>
              <w:jc w:val="right"/>
              <w:rPr>
                <w:rFonts w:ascii="Arial" w:hAnsi="Arial" w:cs="Arial"/>
                <w:lang w:eastAsia="en-AU"/>
              </w:rPr>
            </w:pPr>
          </w:p>
        </w:tc>
      </w:tr>
      <w:tr w:rsidR="008F7599" w:rsidRPr="00A84976" w14:paraId="26C1E698" w14:textId="77777777" w:rsidTr="009758EA">
        <w:trPr>
          <w:trHeight w:val="312"/>
          <w:jc w:val="center"/>
        </w:trPr>
        <w:tc>
          <w:tcPr>
            <w:tcW w:w="2234" w:type="dxa"/>
            <w:shd w:val="clear" w:color="auto" w:fill="auto"/>
            <w:noWrap/>
            <w:vAlign w:val="center"/>
            <w:hideMark/>
          </w:tcPr>
          <w:p w14:paraId="751CE405" w14:textId="77777777" w:rsidR="003E5BF5" w:rsidRPr="00A84976" w:rsidRDefault="003E5BF5" w:rsidP="00604703">
            <w:pPr>
              <w:pStyle w:val="TableTextGreen"/>
              <w:rPr>
                <w:sz w:val="22"/>
                <w:szCs w:val="22"/>
              </w:rPr>
            </w:pPr>
            <w:r w:rsidRPr="00A84976">
              <w:rPr>
                <w:sz w:val="22"/>
                <w:szCs w:val="22"/>
              </w:rPr>
              <w:t xml:space="preserve">Controlled </w:t>
            </w:r>
          </w:p>
        </w:tc>
        <w:tc>
          <w:tcPr>
            <w:tcW w:w="1590" w:type="dxa"/>
            <w:shd w:val="clear" w:color="auto" w:fill="auto"/>
            <w:noWrap/>
            <w:vAlign w:val="center"/>
          </w:tcPr>
          <w:p w14:paraId="70649584" w14:textId="77777777" w:rsidR="003E5BF5" w:rsidRPr="00A84976" w:rsidRDefault="003E5BF5" w:rsidP="00DE1921">
            <w:pPr>
              <w:jc w:val="right"/>
              <w:rPr>
                <w:rFonts w:ascii="Arial" w:hAnsi="Arial" w:cs="Arial"/>
                <w:lang w:eastAsia="en-AU"/>
              </w:rPr>
            </w:pPr>
          </w:p>
        </w:tc>
        <w:tc>
          <w:tcPr>
            <w:tcW w:w="1186" w:type="dxa"/>
            <w:shd w:val="clear" w:color="auto" w:fill="auto"/>
            <w:noWrap/>
            <w:vAlign w:val="center"/>
          </w:tcPr>
          <w:p w14:paraId="5DC8D2FA" w14:textId="77777777" w:rsidR="003E5BF5" w:rsidRPr="00A84976" w:rsidRDefault="003E5BF5" w:rsidP="00DE1921">
            <w:pPr>
              <w:jc w:val="right"/>
              <w:rPr>
                <w:rFonts w:ascii="Arial" w:hAnsi="Arial" w:cs="Arial"/>
                <w:lang w:eastAsia="en-AU"/>
              </w:rPr>
            </w:pPr>
          </w:p>
        </w:tc>
        <w:tc>
          <w:tcPr>
            <w:tcW w:w="1055" w:type="dxa"/>
            <w:shd w:val="clear" w:color="auto" w:fill="auto"/>
            <w:noWrap/>
            <w:vAlign w:val="center"/>
          </w:tcPr>
          <w:p w14:paraId="7C529B8E" w14:textId="77777777" w:rsidR="003E5BF5" w:rsidRPr="00A84976" w:rsidRDefault="003E5BF5" w:rsidP="00DE1921">
            <w:pPr>
              <w:jc w:val="right"/>
              <w:rPr>
                <w:rFonts w:ascii="Arial" w:hAnsi="Arial" w:cs="Arial"/>
                <w:lang w:eastAsia="en-AU"/>
              </w:rPr>
            </w:pPr>
          </w:p>
        </w:tc>
        <w:tc>
          <w:tcPr>
            <w:tcW w:w="923" w:type="dxa"/>
            <w:shd w:val="clear" w:color="auto" w:fill="auto"/>
            <w:noWrap/>
            <w:vAlign w:val="center"/>
          </w:tcPr>
          <w:p w14:paraId="08269585" w14:textId="77777777" w:rsidR="003E5BF5" w:rsidRPr="00A84976" w:rsidRDefault="003E5BF5" w:rsidP="00DE1921">
            <w:pPr>
              <w:jc w:val="right"/>
              <w:rPr>
                <w:rFonts w:ascii="Arial" w:hAnsi="Arial" w:cs="Arial"/>
                <w:lang w:eastAsia="en-AU"/>
              </w:rPr>
            </w:pPr>
          </w:p>
        </w:tc>
        <w:tc>
          <w:tcPr>
            <w:tcW w:w="923" w:type="dxa"/>
            <w:shd w:val="clear" w:color="auto" w:fill="auto"/>
            <w:noWrap/>
            <w:vAlign w:val="center"/>
          </w:tcPr>
          <w:p w14:paraId="4B42B767" w14:textId="77777777" w:rsidR="003E5BF5" w:rsidRPr="00A84976" w:rsidRDefault="003E5BF5" w:rsidP="00DE1921">
            <w:pPr>
              <w:jc w:val="right"/>
              <w:rPr>
                <w:rFonts w:ascii="Arial" w:hAnsi="Arial" w:cs="Arial"/>
                <w:lang w:eastAsia="en-AU"/>
              </w:rPr>
            </w:pPr>
          </w:p>
        </w:tc>
        <w:tc>
          <w:tcPr>
            <w:tcW w:w="1257" w:type="dxa"/>
            <w:shd w:val="clear" w:color="auto" w:fill="auto"/>
            <w:noWrap/>
            <w:vAlign w:val="center"/>
          </w:tcPr>
          <w:p w14:paraId="5982CB13" w14:textId="77777777" w:rsidR="003E5BF5" w:rsidRPr="00A84976" w:rsidRDefault="003E5BF5" w:rsidP="00DE1921">
            <w:pPr>
              <w:jc w:val="right"/>
              <w:rPr>
                <w:rFonts w:ascii="Arial" w:hAnsi="Arial" w:cs="Arial"/>
                <w:lang w:eastAsia="en-AU"/>
              </w:rPr>
            </w:pPr>
          </w:p>
        </w:tc>
        <w:tc>
          <w:tcPr>
            <w:tcW w:w="1185" w:type="dxa"/>
            <w:shd w:val="clear" w:color="auto" w:fill="auto"/>
            <w:noWrap/>
            <w:vAlign w:val="center"/>
          </w:tcPr>
          <w:p w14:paraId="09B57DE2" w14:textId="77777777" w:rsidR="003E5BF5" w:rsidRPr="00A84976" w:rsidRDefault="003E5BF5" w:rsidP="00DE1921">
            <w:pPr>
              <w:jc w:val="right"/>
              <w:rPr>
                <w:rFonts w:ascii="Arial" w:hAnsi="Arial" w:cs="Arial"/>
                <w:lang w:eastAsia="en-AU"/>
              </w:rPr>
            </w:pPr>
          </w:p>
        </w:tc>
        <w:tc>
          <w:tcPr>
            <w:tcW w:w="1191" w:type="dxa"/>
            <w:shd w:val="clear" w:color="auto" w:fill="auto"/>
            <w:noWrap/>
            <w:vAlign w:val="center"/>
          </w:tcPr>
          <w:p w14:paraId="12AB02BF" w14:textId="77777777" w:rsidR="003E5BF5" w:rsidRPr="00A84976" w:rsidRDefault="003E5BF5" w:rsidP="00DE1921">
            <w:pPr>
              <w:jc w:val="right"/>
              <w:rPr>
                <w:rFonts w:ascii="Arial" w:hAnsi="Arial" w:cs="Arial"/>
                <w:lang w:eastAsia="en-AU"/>
              </w:rPr>
            </w:pPr>
          </w:p>
        </w:tc>
        <w:tc>
          <w:tcPr>
            <w:tcW w:w="1186" w:type="dxa"/>
            <w:shd w:val="clear" w:color="auto" w:fill="auto"/>
            <w:noWrap/>
            <w:vAlign w:val="center"/>
          </w:tcPr>
          <w:p w14:paraId="45952357" w14:textId="77777777" w:rsidR="003E5BF5" w:rsidRPr="00A84976" w:rsidRDefault="003E5BF5" w:rsidP="00DE1921">
            <w:pPr>
              <w:jc w:val="right"/>
              <w:rPr>
                <w:rFonts w:ascii="Arial" w:hAnsi="Arial" w:cs="Arial"/>
                <w:lang w:eastAsia="en-AU"/>
              </w:rPr>
            </w:pPr>
          </w:p>
        </w:tc>
        <w:tc>
          <w:tcPr>
            <w:tcW w:w="1027" w:type="dxa"/>
            <w:shd w:val="clear" w:color="auto" w:fill="auto"/>
            <w:noWrap/>
            <w:vAlign w:val="center"/>
          </w:tcPr>
          <w:p w14:paraId="0579A52A" w14:textId="77777777" w:rsidR="003E5BF5" w:rsidRPr="00A84976" w:rsidRDefault="003E5BF5" w:rsidP="00DE1921">
            <w:pPr>
              <w:jc w:val="right"/>
              <w:rPr>
                <w:rFonts w:ascii="Arial" w:hAnsi="Arial" w:cs="Arial"/>
                <w:lang w:eastAsia="en-AU"/>
              </w:rPr>
            </w:pPr>
          </w:p>
        </w:tc>
      </w:tr>
      <w:tr w:rsidR="008F7599" w:rsidRPr="00A84976" w14:paraId="660DC131" w14:textId="77777777" w:rsidTr="009758EA">
        <w:trPr>
          <w:trHeight w:val="312"/>
          <w:jc w:val="center"/>
        </w:trPr>
        <w:tc>
          <w:tcPr>
            <w:tcW w:w="2234" w:type="dxa"/>
            <w:shd w:val="clear" w:color="auto" w:fill="auto"/>
            <w:vAlign w:val="center"/>
            <w:hideMark/>
          </w:tcPr>
          <w:p w14:paraId="77B820BE" w14:textId="77777777" w:rsidR="003E5BF5" w:rsidRPr="00A84976" w:rsidRDefault="003E5BF5" w:rsidP="00DE1921">
            <w:pPr>
              <w:rPr>
                <w:rFonts w:ascii="Arial" w:hAnsi="Arial" w:cs="Arial"/>
                <w:lang w:eastAsia="en-AU"/>
              </w:rPr>
            </w:pPr>
            <w:r w:rsidRPr="00A84976">
              <w:rPr>
                <w:rFonts w:ascii="Arial" w:hAnsi="Arial" w:cs="Arial"/>
                <w:lang w:eastAsia="en-AU"/>
              </w:rPr>
              <w:t xml:space="preserve">Provision of outputs </w:t>
            </w:r>
          </w:p>
        </w:tc>
        <w:tc>
          <w:tcPr>
            <w:tcW w:w="1590" w:type="dxa"/>
            <w:shd w:val="clear" w:color="auto" w:fill="auto"/>
            <w:noWrap/>
            <w:vAlign w:val="center"/>
            <w:hideMark/>
          </w:tcPr>
          <w:p w14:paraId="6DCD1CD2"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8,191,672 </w:t>
            </w:r>
          </w:p>
        </w:tc>
        <w:tc>
          <w:tcPr>
            <w:tcW w:w="1186" w:type="dxa"/>
            <w:shd w:val="clear" w:color="auto" w:fill="auto"/>
            <w:noWrap/>
            <w:vAlign w:val="center"/>
            <w:hideMark/>
          </w:tcPr>
          <w:p w14:paraId="70D7919B"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97,039 </w:t>
            </w:r>
          </w:p>
        </w:tc>
        <w:tc>
          <w:tcPr>
            <w:tcW w:w="1055" w:type="dxa"/>
            <w:shd w:val="clear" w:color="auto" w:fill="auto"/>
            <w:noWrap/>
            <w:vAlign w:val="center"/>
            <w:hideMark/>
          </w:tcPr>
          <w:p w14:paraId="18F9E81D"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159,132 </w:t>
            </w:r>
          </w:p>
        </w:tc>
        <w:tc>
          <w:tcPr>
            <w:tcW w:w="923" w:type="dxa"/>
            <w:shd w:val="clear" w:color="auto" w:fill="auto"/>
            <w:noWrap/>
            <w:vAlign w:val="center"/>
            <w:hideMark/>
          </w:tcPr>
          <w:p w14:paraId="464A5D4D"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117,703 </w:t>
            </w:r>
          </w:p>
        </w:tc>
        <w:tc>
          <w:tcPr>
            <w:tcW w:w="923" w:type="dxa"/>
            <w:shd w:val="clear" w:color="auto" w:fill="auto"/>
            <w:noWrap/>
            <w:vAlign w:val="center"/>
            <w:hideMark/>
          </w:tcPr>
          <w:p w14:paraId="2DEA38BA"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41,024 </w:t>
            </w:r>
          </w:p>
        </w:tc>
        <w:tc>
          <w:tcPr>
            <w:tcW w:w="1257" w:type="dxa"/>
            <w:shd w:val="clear" w:color="auto" w:fill="auto"/>
            <w:noWrap/>
            <w:vAlign w:val="center"/>
            <w:hideMark/>
          </w:tcPr>
          <w:p w14:paraId="0D8F04AD"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1185" w:type="dxa"/>
            <w:shd w:val="clear" w:color="auto" w:fill="auto"/>
            <w:noWrap/>
            <w:vAlign w:val="center"/>
            <w:hideMark/>
          </w:tcPr>
          <w:p w14:paraId="42B310CD" w14:textId="77777777" w:rsidR="003E5BF5" w:rsidRPr="00A84976" w:rsidRDefault="003E5BF5" w:rsidP="00DE1921">
            <w:pPr>
              <w:jc w:val="right"/>
              <w:rPr>
                <w:rFonts w:ascii="Arial" w:hAnsi="Arial" w:cs="Arial"/>
                <w:lang w:eastAsia="en-AU"/>
              </w:rPr>
            </w:pPr>
            <w:r w:rsidRPr="00A84976">
              <w:rPr>
                <w:rFonts w:ascii="Arial" w:hAnsi="Arial" w:cs="Arial"/>
                <w:lang w:eastAsia="en-AU"/>
              </w:rPr>
              <w:t>(935,584)</w:t>
            </w:r>
          </w:p>
        </w:tc>
        <w:tc>
          <w:tcPr>
            <w:tcW w:w="1191" w:type="dxa"/>
            <w:shd w:val="clear" w:color="auto" w:fill="auto"/>
            <w:noWrap/>
            <w:vAlign w:val="center"/>
            <w:hideMark/>
          </w:tcPr>
          <w:p w14:paraId="6A986BE6"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7,670,985 </w:t>
            </w:r>
          </w:p>
        </w:tc>
        <w:tc>
          <w:tcPr>
            <w:tcW w:w="1186" w:type="dxa"/>
            <w:shd w:val="clear" w:color="auto" w:fill="auto"/>
            <w:noWrap/>
            <w:vAlign w:val="center"/>
            <w:hideMark/>
          </w:tcPr>
          <w:p w14:paraId="7470582E"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7,459,163 </w:t>
            </w:r>
          </w:p>
        </w:tc>
        <w:tc>
          <w:tcPr>
            <w:tcW w:w="1027" w:type="dxa"/>
            <w:shd w:val="clear" w:color="auto" w:fill="auto"/>
            <w:noWrap/>
            <w:vAlign w:val="center"/>
            <w:hideMark/>
          </w:tcPr>
          <w:p w14:paraId="14F3BFB2"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211,823 </w:t>
            </w:r>
          </w:p>
        </w:tc>
      </w:tr>
      <w:tr w:rsidR="008F7599" w:rsidRPr="00A84976" w14:paraId="5CC6D886" w14:textId="77777777" w:rsidTr="009758EA">
        <w:trPr>
          <w:trHeight w:val="312"/>
          <w:jc w:val="center"/>
        </w:trPr>
        <w:tc>
          <w:tcPr>
            <w:tcW w:w="2234" w:type="dxa"/>
            <w:shd w:val="clear" w:color="auto" w:fill="auto"/>
            <w:vAlign w:val="center"/>
            <w:hideMark/>
          </w:tcPr>
          <w:p w14:paraId="38B9511D" w14:textId="77777777" w:rsidR="003E5BF5" w:rsidRPr="00A84976" w:rsidRDefault="003E5BF5" w:rsidP="00DE1921">
            <w:pPr>
              <w:rPr>
                <w:rFonts w:ascii="Arial" w:hAnsi="Arial" w:cs="Arial"/>
                <w:lang w:eastAsia="en-AU"/>
              </w:rPr>
            </w:pPr>
            <w:r w:rsidRPr="00A84976">
              <w:rPr>
                <w:rFonts w:ascii="Arial" w:hAnsi="Arial" w:cs="Arial"/>
                <w:lang w:eastAsia="en-AU"/>
              </w:rPr>
              <w:t>Regional Jobs and Infrastructure Fund</w:t>
            </w:r>
          </w:p>
        </w:tc>
        <w:tc>
          <w:tcPr>
            <w:tcW w:w="1590" w:type="dxa"/>
            <w:shd w:val="clear" w:color="auto" w:fill="auto"/>
            <w:noWrap/>
            <w:hideMark/>
          </w:tcPr>
          <w:p w14:paraId="386996FC"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125,000 </w:t>
            </w:r>
          </w:p>
        </w:tc>
        <w:tc>
          <w:tcPr>
            <w:tcW w:w="1186" w:type="dxa"/>
            <w:shd w:val="clear" w:color="auto" w:fill="auto"/>
            <w:noWrap/>
            <w:hideMark/>
          </w:tcPr>
          <w:p w14:paraId="45D20608"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1055" w:type="dxa"/>
            <w:shd w:val="clear" w:color="auto" w:fill="auto"/>
            <w:noWrap/>
            <w:hideMark/>
          </w:tcPr>
          <w:p w14:paraId="253E3B7F"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923" w:type="dxa"/>
            <w:shd w:val="clear" w:color="auto" w:fill="auto"/>
            <w:noWrap/>
            <w:hideMark/>
          </w:tcPr>
          <w:p w14:paraId="5F7D41C4"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923" w:type="dxa"/>
            <w:shd w:val="clear" w:color="auto" w:fill="auto"/>
            <w:noWrap/>
            <w:hideMark/>
          </w:tcPr>
          <w:p w14:paraId="6350D2BE"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1257" w:type="dxa"/>
            <w:shd w:val="clear" w:color="auto" w:fill="auto"/>
            <w:noWrap/>
            <w:hideMark/>
          </w:tcPr>
          <w:p w14:paraId="2EB1BB5C"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1185" w:type="dxa"/>
            <w:shd w:val="clear" w:color="auto" w:fill="auto"/>
            <w:noWrap/>
            <w:hideMark/>
          </w:tcPr>
          <w:p w14:paraId="736D8752" w14:textId="77777777" w:rsidR="003E5BF5" w:rsidRPr="00A84976" w:rsidRDefault="003E5BF5" w:rsidP="00DE1921">
            <w:pPr>
              <w:jc w:val="right"/>
              <w:rPr>
                <w:rFonts w:ascii="Arial" w:hAnsi="Arial" w:cs="Arial"/>
                <w:lang w:eastAsia="en-AU"/>
              </w:rPr>
            </w:pPr>
            <w:r w:rsidRPr="00A84976">
              <w:rPr>
                <w:rFonts w:ascii="Arial" w:hAnsi="Arial" w:cs="Arial"/>
                <w:lang w:eastAsia="en-AU"/>
              </w:rPr>
              <w:t>(62,500)</w:t>
            </w:r>
          </w:p>
        </w:tc>
        <w:tc>
          <w:tcPr>
            <w:tcW w:w="1191" w:type="dxa"/>
            <w:shd w:val="clear" w:color="auto" w:fill="auto"/>
            <w:noWrap/>
            <w:hideMark/>
          </w:tcPr>
          <w:p w14:paraId="4BED38E5"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62,500 </w:t>
            </w:r>
          </w:p>
        </w:tc>
        <w:tc>
          <w:tcPr>
            <w:tcW w:w="1186" w:type="dxa"/>
            <w:shd w:val="clear" w:color="auto" w:fill="auto"/>
            <w:noWrap/>
            <w:hideMark/>
          </w:tcPr>
          <w:p w14:paraId="66AC7671"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62,500 </w:t>
            </w:r>
          </w:p>
        </w:tc>
        <w:tc>
          <w:tcPr>
            <w:tcW w:w="1027" w:type="dxa"/>
            <w:shd w:val="clear" w:color="auto" w:fill="auto"/>
            <w:noWrap/>
            <w:hideMark/>
          </w:tcPr>
          <w:p w14:paraId="0148B14F" w14:textId="77777777" w:rsidR="003E5BF5" w:rsidRPr="00A84976" w:rsidRDefault="003E5BF5" w:rsidP="00DE1921">
            <w:pPr>
              <w:jc w:val="right"/>
              <w:rPr>
                <w:rFonts w:ascii="Arial" w:hAnsi="Arial" w:cs="Arial"/>
                <w:lang w:eastAsia="en-AU"/>
              </w:rPr>
            </w:pPr>
            <w:r w:rsidRPr="00A84976">
              <w:rPr>
                <w:rFonts w:ascii="Arial" w:hAnsi="Arial" w:cs="Arial"/>
                <w:b/>
              </w:rPr>
              <w:t>-</w:t>
            </w:r>
          </w:p>
        </w:tc>
      </w:tr>
      <w:tr w:rsidR="008F7599" w:rsidRPr="00A84976" w14:paraId="0E49143E" w14:textId="77777777" w:rsidTr="009758EA">
        <w:trPr>
          <w:trHeight w:val="312"/>
          <w:jc w:val="center"/>
        </w:trPr>
        <w:tc>
          <w:tcPr>
            <w:tcW w:w="2234" w:type="dxa"/>
            <w:shd w:val="clear" w:color="auto" w:fill="auto"/>
            <w:vAlign w:val="center"/>
            <w:hideMark/>
          </w:tcPr>
          <w:p w14:paraId="536D68B1" w14:textId="77777777" w:rsidR="003E5BF5" w:rsidRPr="00A84976" w:rsidRDefault="003E5BF5" w:rsidP="00DE1921">
            <w:pPr>
              <w:rPr>
                <w:rFonts w:ascii="Arial" w:hAnsi="Arial" w:cs="Arial"/>
                <w:lang w:eastAsia="en-AU"/>
              </w:rPr>
            </w:pPr>
            <w:r w:rsidRPr="00A84976">
              <w:rPr>
                <w:rFonts w:ascii="Arial" w:hAnsi="Arial" w:cs="Arial"/>
                <w:lang w:eastAsia="en-AU"/>
              </w:rPr>
              <w:t>Additions to net assets</w:t>
            </w:r>
          </w:p>
        </w:tc>
        <w:tc>
          <w:tcPr>
            <w:tcW w:w="1590" w:type="dxa"/>
            <w:shd w:val="clear" w:color="auto" w:fill="auto"/>
            <w:noWrap/>
            <w:vAlign w:val="center"/>
            <w:hideMark/>
          </w:tcPr>
          <w:p w14:paraId="275635B4"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4,112,258 </w:t>
            </w:r>
          </w:p>
        </w:tc>
        <w:tc>
          <w:tcPr>
            <w:tcW w:w="1186" w:type="dxa"/>
            <w:shd w:val="clear" w:color="auto" w:fill="auto"/>
            <w:noWrap/>
            <w:vAlign w:val="center"/>
            <w:hideMark/>
          </w:tcPr>
          <w:p w14:paraId="31570758"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334,908 </w:t>
            </w:r>
          </w:p>
        </w:tc>
        <w:tc>
          <w:tcPr>
            <w:tcW w:w="1055" w:type="dxa"/>
            <w:shd w:val="clear" w:color="auto" w:fill="auto"/>
            <w:noWrap/>
            <w:vAlign w:val="center"/>
            <w:hideMark/>
          </w:tcPr>
          <w:p w14:paraId="72C18359"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533,766 </w:t>
            </w:r>
          </w:p>
        </w:tc>
        <w:tc>
          <w:tcPr>
            <w:tcW w:w="923" w:type="dxa"/>
            <w:shd w:val="clear" w:color="auto" w:fill="auto"/>
            <w:noWrap/>
            <w:vAlign w:val="center"/>
            <w:hideMark/>
          </w:tcPr>
          <w:p w14:paraId="04D8D902" w14:textId="77777777" w:rsidR="003E5BF5" w:rsidRPr="00A84976" w:rsidRDefault="003E5BF5" w:rsidP="00DE1921">
            <w:pPr>
              <w:jc w:val="right"/>
              <w:rPr>
                <w:rFonts w:ascii="Arial" w:hAnsi="Arial" w:cs="Arial"/>
                <w:lang w:eastAsia="en-AU"/>
              </w:rPr>
            </w:pPr>
            <w:r w:rsidRPr="00A84976">
              <w:rPr>
                <w:rFonts w:ascii="Arial" w:hAnsi="Arial" w:cs="Arial"/>
                <w:lang w:eastAsia="en-AU"/>
              </w:rPr>
              <w:t>(117,703)</w:t>
            </w:r>
          </w:p>
        </w:tc>
        <w:tc>
          <w:tcPr>
            <w:tcW w:w="923" w:type="dxa"/>
            <w:shd w:val="clear" w:color="auto" w:fill="auto"/>
            <w:noWrap/>
            <w:vAlign w:val="center"/>
            <w:hideMark/>
          </w:tcPr>
          <w:p w14:paraId="0E09D5F4"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133,126 </w:t>
            </w:r>
          </w:p>
        </w:tc>
        <w:tc>
          <w:tcPr>
            <w:tcW w:w="1257" w:type="dxa"/>
            <w:shd w:val="clear" w:color="auto" w:fill="auto"/>
            <w:noWrap/>
            <w:vAlign w:val="center"/>
            <w:hideMark/>
          </w:tcPr>
          <w:p w14:paraId="2A61BC45"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  </w:t>
            </w:r>
            <w:r w:rsidRPr="00A84976">
              <w:rPr>
                <w:rFonts w:ascii="Arial" w:hAnsi="Arial" w:cs="Arial"/>
                <w:b/>
              </w:rPr>
              <w:t>-</w:t>
            </w:r>
            <w:r w:rsidRPr="00A84976">
              <w:rPr>
                <w:rFonts w:ascii="Arial" w:hAnsi="Arial" w:cs="Arial"/>
                <w:lang w:eastAsia="en-AU"/>
              </w:rPr>
              <w:t xml:space="preserve"> </w:t>
            </w:r>
          </w:p>
        </w:tc>
        <w:tc>
          <w:tcPr>
            <w:tcW w:w="1185" w:type="dxa"/>
            <w:shd w:val="clear" w:color="auto" w:fill="auto"/>
            <w:noWrap/>
            <w:vAlign w:val="center"/>
            <w:hideMark/>
          </w:tcPr>
          <w:p w14:paraId="0280799D" w14:textId="77777777" w:rsidR="003E5BF5" w:rsidRPr="00A84976" w:rsidRDefault="003E5BF5" w:rsidP="00DE1921">
            <w:pPr>
              <w:jc w:val="right"/>
              <w:rPr>
                <w:rFonts w:ascii="Arial" w:hAnsi="Arial" w:cs="Arial"/>
                <w:lang w:eastAsia="en-AU"/>
              </w:rPr>
            </w:pPr>
            <w:r w:rsidRPr="00A84976">
              <w:rPr>
                <w:rFonts w:ascii="Arial" w:hAnsi="Arial" w:cs="Arial"/>
                <w:lang w:eastAsia="en-AU"/>
              </w:rPr>
              <w:t>(91,176)</w:t>
            </w:r>
          </w:p>
        </w:tc>
        <w:tc>
          <w:tcPr>
            <w:tcW w:w="1191" w:type="dxa"/>
            <w:shd w:val="clear" w:color="auto" w:fill="auto"/>
            <w:noWrap/>
            <w:vAlign w:val="center"/>
            <w:hideMark/>
          </w:tcPr>
          <w:p w14:paraId="15C627A5"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4,905,179 </w:t>
            </w:r>
          </w:p>
        </w:tc>
        <w:tc>
          <w:tcPr>
            <w:tcW w:w="1186" w:type="dxa"/>
            <w:shd w:val="clear" w:color="auto" w:fill="auto"/>
            <w:noWrap/>
            <w:vAlign w:val="center"/>
            <w:hideMark/>
          </w:tcPr>
          <w:p w14:paraId="6DEBB3D7"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3,342,412 </w:t>
            </w:r>
          </w:p>
        </w:tc>
        <w:tc>
          <w:tcPr>
            <w:tcW w:w="1027" w:type="dxa"/>
            <w:shd w:val="clear" w:color="auto" w:fill="auto"/>
            <w:noWrap/>
            <w:vAlign w:val="center"/>
            <w:hideMark/>
          </w:tcPr>
          <w:p w14:paraId="065F3A37"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1,562,767 </w:t>
            </w:r>
          </w:p>
        </w:tc>
      </w:tr>
      <w:tr w:rsidR="008F7599" w:rsidRPr="00A84976" w14:paraId="22DD4D73" w14:textId="77777777" w:rsidTr="009758EA">
        <w:trPr>
          <w:trHeight w:val="312"/>
          <w:jc w:val="center"/>
        </w:trPr>
        <w:tc>
          <w:tcPr>
            <w:tcW w:w="2234" w:type="dxa"/>
            <w:shd w:val="clear" w:color="auto" w:fill="auto"/>
            <w:vAlign w:val="center"/>
            <w:hideMark/>
          </w:tcPr>
          <w:p w14:paraId="249A5435" w14:textId="77777777" w:rsidR="003E5BF5" w:rsidRPr="00A84976" w:rsidRDefault="003E5BF5" w:rsidP="00604703">
            <w:pPr>
              <w:pStyle w:val="TableTextGreen"/>
              <w:rPr>
                <w:sz w:val="22"/>
                <w:szCs w:val="22"/>
              </w:rPr>
            </w:pPr>
            <w:r w:rsidRPr="00A84976">
              <w:rPr>
                <w:sz w:val="22"/>
                <w:szCs w:val="22"/>
              </w:rPr>
              <w:t>Administered</w:t>
            </w:r>
          </w:p>
        </w:tc>
        <w:tc>
          <w:tcPr>
            <w:tcW w:w="1590" w:type="dxa"/>
            <w:shd w:val="clear" w:color="auto" w:fill="auto"/>
            <w:noWrap/>
            <w:vAlign w:val="center"/>
          </w:tcPr>
          <w:p w14:paraId="4F9D4C3F" w14:textId="77777777" w:rsidR="003E5BF5" w:rsidRPr="00A84976" w:rsidRDefault="003E5BF5" w:rsidP="00DE1921">
            <w:pPr>
              <w:jc w:val="right"/>
              <w:rPr>
                <w:rFonts w:ascii="Arial" w:hAnsi="Arial" w:cs="Arial"/>
                <w:lang w:eastAsia="en-AU"/>
              </w:rPr>
            </w:pPr>
          </w:p>
        </w:tc>
        <w:tc>
          <w:tcPr>
            <w:tcW w:w="1186" w:type="dxa"/>
            <w:shd w:val="clear" w:color="auto" w:fill="auto"/>
            <w:noWrap/>
            <w:vAlign w:val="center"/>
          </w:tcPr>
          <w:p w14:paraId="6082E24E" w14:textId="77777777" w:rsidR="003E5BF5" w:rsidRPr="00A84976" w:rsidRDefault="003E5BF5" w:rsidP="00DE1921">
            <w:pPr>
              <w:jc w:val="right"/>
              <w:rPr>
                <w:rFonts w:ascii="Arial" w:hAnsi="Arial" w:cs="Arial"/>
                <w:lang w:eastAsia="en-AU"/>
              </w:rPr>
            </w:pPr>
          </w:p>
        </w:tc>
        <w:tc>
          <w:tcPr>
            <w:tcW w:w="1055" w:type="dxa"/>
            <w:shd w:val="clear" w:color="auto" w:fill="auto"/>
            <w:noWrap/>
            <w:vAlign w:val="center"/>
          </w:tcPr>
          <w:p w14:paraId="1830A6E0" w14:textId="77777777" w:rsidR="003E5BF5" w:rsidRPr="00A84976" w:rsidRDefault="003E5BF5" w:rsidP="00DE1921">
            <w:pPr>
              <w:jc w:val="right"/>
              <w:rPr>
                <w:rFonts w:ascii="Arial" w:hAnsi="Arial" w:cs="Arial"/>
                <w:lang w:eastAsia="en-AU"/>
              </w:rPr>
            </w:pPr>
          </w:p>
        </w:tc>
        <w:tc>
          <w:tcPr>
            <w:tcW w:w="923" w:type="dxa"/>
            <w:shd w:val="clear" w:color="auto" w:fill="auto"/>
            <w:noWrap/>
            <w:vAlign w:val="center"/>
          </w:tcPr>
          <w:p w14:paraId="1D7E9F5E" w14:textId="77777777" w:rsidR="003E5BF5" w:rsidRPr="00A84976" w:rsidRDefault="003E5BF5" w:rsidP="00DE1921">
            <w:pPr>
              <w:jc w:val="right"/>
              <w:rPr>
                <w:rFonts w:ascii="Arial" w:hAnsi="Arial" w:cs="Arial"/>
                <w:lang w:eastAsia="en-AU"/>
              </w:rPr>
            </w:pPr>
          </w:p>
        </w:tc>
        <w:tc>
          <w:tcPr>
            <w:tcW w:w="923" w:type="dxa"/>
            <w:shd w:val="clear" w:color="auto" w:fill="auto"/>
            <w:noWrap/>
            <w:vAlign w:val="center"/>
          </w:tcPr>
          <w:p w14:paraId="1DB49146" w14:textId="77777777" w:rsidR="003E5BF5" w:rsidRPr="00A84976" w:rsidRDefault="003E5BF5" w:rsidP="00DE1921">
            <w:pPr>
              <w:jc w:val="right"/>
              <w:rPr>
                <w:rFonts w:ascii="Arial" w:hAnsi="Arial" w:cs="Arial"/>
                <w:lang w:eastAsia="en-AU"/>
              </w:rPr>
            </w:pPr>
          </w:p>
        </w:tc>
        <w:tc>
          <w:tcPr>
            <w:tcW w:w="1257" w:type="dxa"/>
            <w:shd w:val="clear" w:color="auto" w:fill="auto"/>
            <w:noWrap/>
            <w:vAlign w:val="center"/>
          </w:tcPr>
          <w:p w14:paraId="3335DFC8" w14:textId="77777777" w:rsidR="003E5BF5" w:rsidRPr="00A84976" w:rsidRDefault="003E5BF5" w:rsidP="00DE1921">
            <w:pPr>
              <w:jc w:val="right"/>
              <w:rPr>
                <w:rFonts w:ascii="Arial" w:hAnsi="Arial" w:cs="Arial"/>
                <w:lang w:eastAsia="en-AU"/>
              </w:rPr>
            </w:pPr>
          </w:p>
        </w:tc>
        <w:tc>
          <w:tcPr>
            <w:tcW w:w="1185" w:type="dxa"/>
            <w:shd w:val="clear" w:color="auto" w:fill="auto"/>
            <w:noWrap/>
            <w:vAlign w:val="center"/>
          </w:tcPr>
          <w:p w14:paraId="34D6BBB9" w14:textId="77777777" w:rsidR="003E5BF5" w:rsidRPr="00A84976" w:rsidRDefault="003E5BF5" w:rsidP="00DE1921">
            <w:pPr>
              <w:jc w:val="right"/>
              <w:rPr>
                <w:rFonts w:ascii="Arial" w:hAnsi="Arial" w:cs="Arial"/>
                <w:lang w:eastAsia="en-AU"/>
              </w:rPr>
            </w:pPr>
          </w:p>
        </w:tc>
        <w:tc>
          <w:tcPr>
            <w:tcW w:w="1191" w:type="dxa"/>
            <w:shd w:val="clear" w:color="auto" w:fill="auto"/>
            <w:noWrap/>
            <w:vAlign w:val="center"/>
          </w:tcPr>
          <w:p w14:paraId="2CEC674C" w14:textId="77777777" w:rsidR="003E5BF5" w:rsidRPr="00A84976" w:rsidRDefault="003E5BF5" w:rsidP="00DE1921">
            <w:pPr>
              <w:jc w:val="right"/>
              <w:rPr>
                <w:rFonts w:ascii="Arial" w:hAnsi="Arial" w:cs="Arial"/>
                <w:lang w:eastAsia="en-AU"/>
              </w:rPr>
            </w:pPr>
          </w:p>
        </w:tc>
        <w:tc>
          <w:tcPr>
            <w:tcW w:w="1186" w:type="dxa"/>
            <w:shd w:val="clear" w:color="auto" w:fill="auto"/>
            <w:noWrap/>
            <w:vAlign w:val="center"/>
          </w:tcPr>
          <w:p w14:paraId="0443A634" w14:textId="77777777" w:rsidR="003E5BF5" w:rsidRPr="00A84976" w:rsidRDefault="003E5BF5" w:rsidP="00DE1921">
            <w:pPr>
              <w:jc w:val="right"/>
              <w:rPr>
                <w:rFonts w:ascii="Arial" w:hAnsi="Arial" w:cs="Arial"/>
                <w:lang w:eastAsia="en-AU"/>
              </w:rPr>
            </w:pPr>
          </w:p>
        </w:tc>
        <w:tc>
          <w:tcPr>
            <w:tcW w:w="1027" w:type="dxa"/>
            <w:shd w:val="clear" w:color="auto" w:fill="auto"/>
            <w:noWrap/>
            <w:vAlign w:val="center"/>
          </w:tcPr>
          <w:p w14:paraId="324BD955" w14:textId="77777777" w:rsidR="003E5BF5" w:rsidRPr="00A84976" w:rsidRDefault="003E5BF5" w:rsidP="00DE1921">
            <w:pPr>
              <w:jc w:val="right"/>
              <w:rPr>
                <w:rFonts w:ascii="Arial" w:hAnsi="Arial" w:cs="Arial"/>
                <w:lang w:eastAsia="en-AU"/>
              </w:rPr>
            </w:pPr>
          </w:p>
        </w:tc>
      </w:tr>
      <w:tr w:rsidR="008F7599" w:rsidRPr="00A84976" w14:paraId="7C0C555D" w14:textId="77777777" w:rsidTr="009758EA">
        <w:trPr>
          <w:trHeight w:val="312"/>
          <w:jc w:val="center"/>
        </w:trPr>
        <w:tc>
          <w:tcPr>
            <w:tcW w:w="2234" w:type="dxa"/>
            <w:shd w:val="clear" w:color="auto" w:fill="auto"/>
            <w:vAlign w:val="center"/>
            <w:hideMark/>
          </w:tcPr>
          <w:p w14:paraId="1EF0F7C4" w14:textId="77777777" w:rsidR="003E5BF5" w:rsidRPr="00A84976" w:rsidRDefault="003E5BF5" w:rsidP="00DE1921">
            <w:pPr>
              <w:rPr>
                <w:rFonts w:ascii="Arial" w:hAnsi="Arial" w:cs="Arial"/>
                <w:lang w:eastAsia="en-AU"/>
              </w:rPr>
            </w:pPr>
            <w:r w:rsidRPr="00A84976">
              <w:rPr>
                <w:rFonts w:ascii="Arial" w:hAnsi="Arial" w:cs="Arial"/>
                <w:lang w:eastAsia="en-AU"/>
              </w:rPr>
              <w:t xml:space="preserve">Provision of outputs </w:t>
            </w:r>
          </w:p>
        </w:tc>
        <w:tc>
          <w:tcPr>
            <w:tcW w:w="1590" w:type="dxa"/>
            <w:shd w:val="clear" w:color="auto" w:fill="auto"/>
            <w:noWrap/>
            <w:vAlign w:val="center"/>
            <w:hideMark/>
          </w:tcPr>
          <w:p w14:paraId="1D5DDC84"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1186" w:type="dxa"/>
            <w:shd w:val="clear" w:color="auto" w:fill="auto"/>
            <w:noWrap/>
            <w:vAlign w:val="center"/>
            <w:hideMark/>
          </w:tcPr>
          <w:p w14:paraId="34E18447"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409 </w:t>
            </w:r>
          </w:p>
        </w:tc>
        <w:tc>
          <w:tcPr>
            <w:tcW w:w="1055" w:type="dxa"/>
            <w:shd w:val="clear" w:color="auto" w:fill="auto"/>
            <w:noWrap/>
            <w:vAlign w:val="center"/>
            <w:hideMark/>
          </w:tcPr>
          <w:p w14:paraId="4A9C66D8"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923" w:type="dxa"/>
            <w:shd w:val="clear" w:color="auto" w:fill="auto"/>
            <w:noWrap/>
            <w:vAlign w:val="center"/>
            <w:hideMark/>
          </w:tcPr>
          <w:p w14:paraId="6D223825"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923" w:type="dxa"/>
            <w:shd w:val="clear" w:color="auto" w:fill="auto"/>
            <w:noWrap/>
            <w:vAlign w:val="center"/>
            <w:hideMark/>
          </w:tcPr>
          <w:p w14:paraId="54D0CED0"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1257" w:type="dxa"/>
            <w:shd w:val="clear" w:color="auto" w:fill="auto"/>
            <w:noWrap/>
            <w:vAlign w:val="center"/>
            <w:hideMark/>
          </w:tcPr>
          <w:p w14:paraId="699AE6A3"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1185" w:type="dxa"/>
            <w:shd w:val="clear" w:color="auto" w:fill="auto"/>
            <w:noWrap/>
            <w:vAlign w:val="center"/>
            <w:hideMark/>
          </w:tcPr>
          <w:p w14:paraId="768EFCB0"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1191" w:type="dxa"/>
            <w:shd w:val="clear" w:color="auto" w:fill="auto"/>
            <w:noWrap/>
            <w:vAlign w:val="center"/>
            <w:hideMark/>
          </w:tcPr>
          <w:p w14:paraId="6680E758"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409 </w:t>
            </w:r>
          </w:p>
        </w:tc>
        <w:tc>
          <w:tcPr>
            <w:tcW w:w="1186" w:type="dxa"/>
            <w:shd w:val="clear" w:color="auto" w:fill="auto"/>
            <w:noWrap/>
            <w:vAlign w:val="center"/>
            <w:hideMark/>
          </w:tcPr>
          <w:p w14:paraId="7A37FB19"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409 </w:t>
            </w:r>
          </w:p>
        </w:tc>
        <w:tc>
          <w:tcPr>
            <w:tcW w:w="1027" w:type="dxa"/>
            <w:shd w:val="clear" w:color="auto" w:fill="auto"/>
            <w:noWrap/>
            <w:vAlign w:val="center"/>
            <w:hideMark/>
          </w:tcPr>
          <w:p w14:paraId="50A8F002" w14:textId="77777777" w:rsidR="003E5BF5" w:rsidRPr="00A84976" w:rsidRDefault="003E5BF5" w:rsidP="00DE1921">
            <w:pPr>
              <w:jc w:val="right"/>
              <w:rPr>
                <w:rFonts w:ascii="Arial" w:hAnsi="Arial" w:cs="Arial"/>
                <w:lang w:eastAsia="en-AU"/>
              </w:rPr>
            </w:pPr>
            <w:r w:rsidRPr="00A84976">
              <w:rPr>
                <w:rFonts w:ascii="Arial" w:hAnsi="Arial" w:cs="Arial"/>
                <w:b/>
              </w:rPr>
              <w:t>-</w:t>
            </w:r>
            <w:r w:rsidRPr="00A84976">
              <w:rPr>
                <w:rFonts w:ascii="Arial" w:hAnsi="Arial" w:cs="Arial"/>
                <w:lang w:eastAsia="en-AU"/>
              </w:rPr>
              <w:t xml:space="preserve"> </w:t>
            </w:r>
          </w:p>
        </w:tc>
      </w:tr>
      <w:tr w:rsidR="008F7599" w:rsidRPr="00A84976" w14:paraId="74850FED" w14:textId="77777777" w:rsidTr="009758EA">
        <w:trPr>
          <w:trHeight w:val="312"/>
          <w:jc w:val="center"/>
        </w:trPr>
        <w:tc>
          <w:tcPr>
            <w:tcW w:w="2234" w:type="dxa"/>
            <w:tcBorders>
              <w:bottom w:val="single" w:sz="4" w:space="0" w:color="auto"/>
            </w:tcBorders>
            <w:shd w:val="clear" w:color="auto" w:fill="auto"/>
            <w:vAlign w:val="center"/>
            <w:hideMark/>
          </w:tcPr>
          <w:p w14:paraId="0033CC6C" w14:textId="77777777" w:rsidR="003E5BF5" w:rsidRPr="00A84976" w:rsidRDefault="003E5BF5" w:rsidP="00DE1921">
            <w:pPr>
              <w:rPr>
                <w:rFonts w:ascii="Arial" w:hAnsi="Arial" w:cs="Arial"/>
                <w:lang w:eastAsia="en-AU"/>
              </w:rPr>
            </w:pPr>
            <w:r w:rsidRPr="00A84976">
              <w:rPr>
                <w:rFonts w:ascii="Arial" w:hAnsi="Arial" w:cs="Arial"/>
                <w:lang w:eastAsia="en-AU"/>
              </w:rPr>
              <w:t>Payments made on behalf of the State</w:t>
            </w:r>
          </w:p>
        </w:tc>
        <w:tc>
          <w:tcPr>
            <w:tcW w:w="1590" w:type="dxa"/>
            <w:tcBorders>
              <w:bottom w:val="single" w:sz="4" w:space="0" w:color="auto"/>
            </w:tcBorders>
            <w:shd w:val="clear" w:color="auto" w:fill="auto"/>
            <w:noWrap/>
            <w:hideMark/>
          </w:tcPr>
          <w:p w14:paraId="5E35F39F"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72,507 </w:t>
            </w:r>
          </w:p>
        </w:tc>
        <w:tc>
          <w:tcPr>
            <w:tcW w:w="1186" w:type="dxa"/>
            <w:tcBorders>
              <w:bottom w:val="single" w:sz="4" w:space="0" w:color="auto"/>
            </w:tcBorders>
            <w:shd w:val="clear" w:color="auto" w:fill="auto"/>
            <w:noWrap/>
            <w:hideMark/>
          </w:tcPr>
          <w:p w14:paraId="56CFF0EE"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1055" w:type="dxa"/>
            <w:tcBorders>
              <w:bottom w:val="single" w:sz="4" w:space="0" w:color="auto"/>
            </w:tcBorders>
            <w:shd w:val="clear" w:color="auto" w:fill="auto"/>
            <w:noWrap/>
            <w:hideMark/>
          </w:tcPr>
          <w:p w14:paraId="025ABE58"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923" w:type="dxa"/>
            <w:tcBorders>
              <w:bottom w:val="single" w:sz="4" w:space="0" w:color="auto"/>
            </w:tcBorders>
            <w:shd w:val="clear" w:color="auto" w:fill="auto"/>
            <w:noWrap/>
            <w:hideMark/>
          </w:tcPr>
          <w:p w14:paraId="6E44EE50"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923" w:type="dxa"/>
            <w:tcBorders>
              <w:bottom w:val="single" w:sz="4" w:space="0" w:color="auto"/>
            </w:tcBorders>
            <w:shd w:val="clear" w:color="auto" w:fill="auto"/>
            <w:noWrap/>
            <w:hideMark/>
          </w:tcPr>
          <w:p w14:paraId="657763AE"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1257" w:type="dxa"/>
            <w:tcBorders>
              <w:bottom w:val="single" w:sz="4" w:space="0" w:color="auto"/>
            </w:tcBorders>
            <w:shd w:val="clear" w:color="auto" w:fill="auto"/>
            <w:noWrap/>
            <w:hideMark/>
          </w:tcPr>
          <w:p w14:paraId="3037FB47" w14:textId="77777777" w:rsidR="003E5BF5" w:rsidRPr="00A84976" w:rsidRDefault="003E5BF5" w:rsidP="00DE1921">
            <w:pPr>
              <w:jc w:val="right"/>
              <w:rPr>
                <w:rFonts w:ascii="Arial" w:hAnsi="Arial" w:cs="Arial"/>
                <w:lang w:eastAsia="en-AU"/>
              </w:rPr>
            </w:pPr>
            <w:r w:rsidRPr="00A84976">
              <w:rPr>
                <w:rFonts w:ascii="Arial" w:hAnsi="Arial" w:cs="Arial"/>
                <w:b/>
              </w:rPr>
              <w:t>-</w:t>
            </w:r>
          </w:p>
        </w:tc>
        <w:tc>
          <w:tcPr>
            <w:tcW w:w="1185" w:type="dxa"/>
            <w:tcBorders>
              <w:bottom w:val="single" w:sz="4" w:space="0" w:color="auto"/>
            </w:tcBorders>
            <w:shd w:val="clear" w:color="auto" w:fill="auto"/>
            <w:noWrap/>
            <w:hideMark/>
          </w:tcPr>
          <w:p w14:paraId="6EAFB04D" w14:textId="77777777" w:rsidR="003E5BF5" w:rsidRPr="00A84976" w:rsidRDefault="003E5BF5" w:rsidP="00DE1921">
            <w:pPr>
              <w:jc w:val="right"/>
              <w:rPr>
                <w:rFonts w:ascii="Arial" w:hAnsi="Arial" w:cs="Arial"/>
                <w:lang w:eastAsia="en-AU"/>
              </w:rPr>
            </w:pPr>
            <w:r w:rsidRPr="00A84976">
              <w:rPr>
                <w:rFonts w:ascii="Arial" w:hAnsi="Arial" w:cs="Arial"/>
                <w:lang w:eastAsia="en-AU"/>
              </w:rPr>
              <w:t>(37,768)</w:t>
            </w:r>
          </w:p>
        </w:tc>
        <w:tc>
          <w:tcPr>
            <w:tcW w:w="1191" w:type="dxa"/>
            <w:tcBorders>
              <w:bottom w:val="single" w:sz="4" w:space="0" w:color="auto"/>
            </w:tcBorders>
            <w:shd w:val="clear" w:color="auto" w:fill="auto"/>
            <w:noWrap/>
            <w:hideMark/>
          </w:tcPr>
          <w:p w14:paraId="650B6E2F"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34,739 </w:t>
            </w:r>
          </w:p>
        </w:tc>
        <w:tc>
          <w:tcPr>
            <w:tcW w:w="1186" w:type="dxa"/>
            <w:tcBorders>
              <w:bottom w:val="single" w:sz="4" w:space="0" w:color="auto"/>
            </w:tcBorders>
            <w:shd w:val="clear" w:color="auto" w:fill="auto"/>
            <w:noWrap/>
            <w:hideMark/>
          </w:tcPr>
          <w:p w14:paraId="028EF6CA"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34,387 </w:t>
            </w:r>
          </w:p>
        </w:tc>
        <w:tc>
          <w:tcPr>
            <w:tcW w:w="1027" w:type="dxa"/>
            <w:tcBorders>
              <w:bottom w:val="single" w:sz="4" w:space="0" w:color="auto"/>
            </w:tcBorders>
            <w:shd w:val="clear" w:color="auto" w:fill="auto"/>
            <w:noWrap/>
            <w:hideMark/>
          </w:tcPr>
          <w:p w14:paraId="419E6492" w14:textId="77777777" w:rsidR="003E5BF5" w:rsidRPr="00A84976" w:rsidRDefault="003E5BF5" w:rsidP="00DE1921">
            <w:pPr>
              <w:jc w:val="right"/>
              <w:rPr>
                <w:rFonts w:ascii="Arial" w:hAnsi="Arial" w:cs="Arial"/>
                <w:lang w:eastAsia="en-AU"/>
              </w:rPr>
            </w:pPr>
            <w:r w:rsidRPr="00A84976">
              <w:rPr>
                <w:rFonts w:ascii="Arial" w:hAnsi="Arial" w:cs="Arial"/>
                <w:lang w:eastAsia="en-AU"/>
              </w:rPr>
              <w:t xml:space="preserve">352 </w:t>
            </w:r>
          </w:p>
        </w:tc>
      </w:tr>
      <w:tr w:rsidR="008F7599" w:rsidRPr="00A84976" w14:paraId="6625B244" w14:textId="77777777" w:rsidTr="009758EA">
        <w:trPr>
          <w:trHeight w:val="312"/>
          <w:jc w:val="center"/>
        </w:trPr>
        <w:tc>
          <w:tcPr>
            <w:tcW w:w="2234" w:type="dxa"/>
            <w:tcBorders>
              <w:bottom w:val="single" w:sz="4" w:space="0" w:color="auto"/>
            </w:tcBorders>
            <w:shd w:val="clear" w:color="auto" w:fill="auto"/>
            <w:vAlign w:val="center"/>
            <w:hideMark/>
          </w:tcPr>
          <w:p w14:paraId="2FC0F49B" w14:textId="77777777" w:rsidR="003E5BF5" w:rsidRPr="00A84976" w:rsidRDefault="003E5BF5" w:rsidP="00DE1921">
            <w:pPr>
              <w:pStyle w:val="TableTextLeftBold"/>
              <w:rPr>
                <w:rFonts w:ascii="Arial" w:hAnsi="Arial" w:cs="Arial"/>
                <w:sz w:val="22"/>
              </w:rPr>
            </w:pPr>
            <w:r w:rsidRPr="00A84976">
              <w:rPr>
                <w:rFonts w:ascii="Arial" w:hAnsi="Arial" w:cs="Arial"/>
                <w:sz w:val="22"/>
              </w:rPr>
              <w:t>Total</w:t>
            </w:r>
          </w:p>
        </w:tc>
        <w:tc>
          <w:tcPr>
            <w:tcW w:w="1590" w:type="dxa"/>
            <w:tcBorders>
              <w:bottom w:val="single" w:sz="4" w:space="0" w:color="auto"/>
            </w:tcBorders>
            <w:shd w:val="clear" w:color="auto" w:fill="auto"/>
            <w:noWrap/>
            <w:vAlign w:val="center"/>
            <w:hideMark/>
          </w:tcPr>
          <w:p w14:paraId="18749B61" w14:textId="77777777" w:rsidR="003E5BF5" w:rsidRPr="00A84976" w:rsidRDefault="003E5BF5" w:rsidP="00DE1921">
            <w:pPr>
              <w:jc w:val="right"/>
              <w:rPr>
                <w:rFonts w:ascii="Arial" w:hAnsi="Arial" w:cs="Arial"/>
                <w:b/>
                <w:lang w:eastAsia="en-AU"/>
              </w:rPr>
            </w:pPr>
            <w:r w:rsidRPr="00A84976">
              <w:rPr>
                <w:rFonts w:ascii="Arial" w:hAnsi="Arial" w:cs="Arial"/>
                <w:b/>
                <w:lang w:eastAsia="en-AU"/>
              </w:rPr>
              <w:t xml:space="preserve">12,501,437 </w:t>
            </w:r>
          </w:p>
        </w:tc>
        <w:tc>
          <w:tcPr>
            <w:tcW w:w="1186" w:type="dxa"/>
            <w:tcBorders>
              <w:bottom w:val="single" w:sz="4" w:space="0" w:color="auto"/>
            </w:tcBorders>
            <w:shd w:val="clear" w:color="auto" w:fill="auto"/>
            <w:noWrap/>
            <w:vAlign w:val="center"/>
            <w:hideMark/>
          </w:tcPr>
          <w:p w14:paraId="4C798D23" w14:textId="77777777" w:rsidR="003E5BF5" w:rsidRPr="00A84976" w:rsidRDefault="003E5BF5" w:rsidP="00DE1921">
            <w:pPr>
              <w:jc w:val="right"/>
              <w:rPr>
                <w:rFonts w:ascii="Arial" w:hAnsi="Arial" w:cs="Arial"/>
                <w:b/>
                <w:lang w:eastAsia="en-AU"/>
              </w:rPr>
            </w:pPr>
            <w:r w:rsidRPr="00A84976">
              <w:rPr>
                <w:rFonts w:ascii="Arial" w:hAnsi="Arial" w:cs="Arial"/>
                <w:b/>
                <w:lang w:eastAsia="en-AU"/>
              </w:rPr>
              <w:t xml:space="preserve">432,356 </w:t>
            </w:r>
          </w:p>
        </w:tc>
        <w:tc>
          <w:tcPr>
            <w:tcW w:w="1055" w:type="dxa"/>
            <w:tcBorders>
              <w:bottom w:val="single" w:sz="4" w:space="0" w:color="auto"/>
            </w:tcBorders>
            <w:shd w:val="clear" w:color="auto" w:fill="auto"/>
            <w:noWrap/>
            <w:vAlign w:val="center"/>
            <w:hideMark/>
          </w:tcPr>
          <w:p w14:paraId="6E285AB1" w14:textId="77777777" w:rsidR="003E5BF5" w:rsidRPr="00A84976" w:rsidRDefault="003E5BF5" w:rsidP="00DE1921">
            <w:pPr>
              <w:jc w:val="right"/>
              <w:rPr>
                <w:rFonts w:ascii="Arial" w:hAnsi="Arial" w:cs="Arial"/>
                <w:b/>
                <w:lang w:eastAsia="en-AU"/>
              </w:rPr>
            </w:pPr>
            <w:r w:rsidRPr="00A84976">
              <w:rPr>
                <w:rFonts w:ascii="Arial" w:hAnsi="Arial" w:cs="Arial"/>
                <w:b/>
                <w:lang w:eastAsia="en-AU"/>
              </w:rPr>
              <w:t xml:space="preserve">692,898 </w:t>
            </w:r>
          </w:p>
        </w:tc>
        <w:tc>
          <w:tcPr>
            <w:tcW w:w="923" w:type="dxa"/>
            <w:tcBorders>
              <w:bottom w:val="single" w:sz="4" w:space="0" w:color="auto"/>
            </w:tcBorders>
            <w:shd w:val="clear" w:color="auto" w:fill="auto"/>
            <w:noWrap/>
            <w:vAlign w:val="center"/>
            <w:hideMark/>
          </w:tcPr>
          <w:p w14:paraId="1D2C367C" w14:textId="77777777" w:rsidR="003E5BF5" w:rsidRPr="00A84976" w:rsidRDefault="003E5BF5" w:rsidP="00DE1921">
            <w:pPr>
              <w:jc w:val="right"/>
              <w:rPr>
                <w:rFonts w:ascii="Arial" w:hAnsi="Arial" w:cs="Arial"/>
                <w:b/>
                <w:lang w:eastAsia="en-AU"/>
              </w:rPr>
            </w:pPr>
            <w:r w:rsidRPr="00A84976">
              <w:rPr>
                <w:rFonts w:ascii="Arial" w:hAnsi="Arial" w:cs="Arial"/>
                <w:b/>
              </w:rPr>
              <w:t>-</w:t>
            </w:r>
          </w:p>
        </w:tc>
        <w:tc>
          <w:tcPr>
            <w:tcW w:w="923" w:type="dxa"/>
            <w:tcBorders>
              <w:bottom w:val="single" w:sz="4" w:space="0" w:color="auto"/>
            </w:tcBorders>
            <w:shd w:val="clear" w:color="auto" w:fill="auto"/>
            <w:noWrap/>
            <w:vAlign w:val="center"/>
            <w:hideMark/>
          </w:tcPr>
          <w:p w14:paraId="4432E207" w14:textId="77777777" w:rsidR="003E5BF5" w:rsidRPr="00A84976" w:rsidRDefault="003E5BF5" w:rsidP="00DE1921">
            <w:pPr>
              <w:jc w:val="right"/>
              <w:rPr>
                <w:rFonts w:ascii="Arial" w:hAnsi="Arial" w:cs="Arial"/>
                <w:b/>
                <w:lang w:eastAsia="en-AU"/>
              </w:rPr>
            </w:pPr>
            <w:r w:rsidRPr="00A84976">
              <w:rPr>
                <w:rFonts w:ascii="Arial" w:hAnsi="Arial" w:cs="Arial"/>
                <w:b/>
                <w:lang w:eastAsia="en-AU"/>
              </w:rPr>
              <w:t xml:space="preserve">174,150 </w:t>
            </w:r>
          </w:p>
        </w:tc>
        <w:tc>
          <w:tcPr>
            <w:tcW w:w="1257" w:type="dxa"/>
            <w:tcBorders>
              <w:bottom w:val="single" w:sz="4" w:space="0" w:color="auto"/>
            </w:tcBorders>
            <w:shd w:val="clear" w:color="auto" w:fill="auto"/>
            <w:noWrap/>
            <w:vAlign w:val="center"/>
            <w:hideMark/>
          </w:tcPr>
          <w:p w14:paraId="6F15FC1C" w14:textId="77777777" w:rsidR="003E5BF5" w:rsidRPr="00A84976" w:rsidRDefault="003E5BF5" w:rsidP="00DE1921">
            <w:pPr>
              <w:jc w:val="right"/>
              <w:rPr>
                <w:rFonts w:ascii="Arial" w:hAnsi="Arial" w:cs="Arial"/>
                <w:b/>
                <w:lang w:eastAsia="en-AU"/>
              </w:rPr>
            </w:pPr>
            <w:r w:rsidRPr="00A84976">
              <w:rPr>
                <w:rFonts w:ascii="Arial" w:hAnsi="Arial" w:cs="Arial"/>
                <w:b/>
              </w:rPr>
              <w:t>-</w:t>
            </w:r>
          </w:p>
        </w:tc>
        <w:tc>
          <w:tcPr>
            <w:tcW w:w="1185" w:type="dxa"/>
            <w:tcBorders>
              <w:bottom w:val="single" w:sz="4" w:space="0" w:color="auto"/>
            </w:tcBorders>
            <w:shd w:val="clear" w:color="auto" w:fill="auto"/>
            <w:noWrap/>
            <w:vAlign w:val="center"/>
            <w:hideMark/>
          </w:tcPr>
          <w:p w14:paraId="3975A8A5" w14:textId="77777777" w:rsidR="003E5BF5" w:rsidRPr="00A84976" w:rsidRDefault="003E5BF5" w:rsidP="00DE1921">
            <w:pPr>
              <w:jc w:val="right"/>
              <w:rPr>
                <w:rFonts w:ascii="Arial" w:hAnsi="Arial" w:cs="Arial"/>
                <w:b/>
                <w:lang w:eastAsia="en-AU"/>
              </w:rPr>
            </w:pPr>
            <w:r w:rsidRPr="00A84976">
              <w:rPr>
                <w:rFonts w:ascii="Arial" w:hAnsi="Arial" w:cs="Arial"/>
                <w:b/>
                <w:lang w:eastAsia="en-AU"/>
              </w:rPr>
              <w:t>(1,127,028)</w:t>
            </w:r>
          </w:p>
        </w:tc>
        <w:tc>
          <w:tcPr>
            <w:tcW w:w="1191" w:type="dxa"/>
            <w:tcBorders>
              <w:bottom w:val="single" w:sz="4" w:space="0" w:color="auto"/>
            </w:tcBorders>
            <w:shd w:val="clear" w:color="auto" w:fill="auto"/>
            <w:noWrap/>
            <w:vAlign w:val="center"/>
            <w:hideMark/>
          </w:tcPr>
          <w:p w14:paraId="71D3A020" w14:textId="77777777" w:rsidR="003E5BF5" w:rsidRPr="00A84976" w:rsidRDefault="003E5BF5" w:rsidP="00DE1921">
            <w:pPr>
              <w:jc w:val="right"/>
              <w:rPr>
                <w:rFonts w:ascii="Arial" w:hAnsi="Arial" w:cs="Arial"/>
                <w:b/>
                <w:lang w:eastAsia="en-AU"/>
              </w:rPr>
            </w:pPr>
            <w:r w:rsidRPr="00A84976">
              <w:rPr>
                <w:rFonts w:ascii="Arial" w:hAnsi="Arial" w:cs="Arial"/>
                <w:b/>
                <w:lang w:eastAsia="en-AU"/>
              </w:rPr>
              <w:t xml:space="preserve">12,673,812 </w:t>
            </w:r>
          </w:p>
        </w:tc>
        <w:tc>
          <w:tcPr>
            <w:tcW w:w="1186" w:type="dxa"/>
            <w:tcBorders>
              <w:bottom w:val="single" w:sz="4" w:space="0" w:color="auto"/>
            </w:tcBorders>
            <w:shd w:val="clear" w:color="auto" w:fill="auto"/>
            <w:noWrap/>
            <w:vAlign w:val="center"/>
            <w:hideMark/>
          </w:tcPr>
          <w:p w14:paraId="5EB2D1D3" w14:textId="77777777" w:rsidR="003E5BF5" w:rsidRPr="00A84976" w:rsidRDefault="003E5BF5" w:rsidP="00DE1921">
            <w:pPr>
              <w:jc w:val="right"/>
              <w:rPr>
                <w:rFonts w:ascii="Arial" w:hAnsi="Arial" w:cs="Arial"/>
                <w:b/>
                <w:lang w:eastAsia="en-AU"/>
              </w:rPr>
            </w:pPr>
            <w:r w:rsidRPr="00A84976">
              <w:rPr>
                <w:rFonts w:ascii="Arial" w:hAnsi="Arial" w:cs="Arial"/>
                <w:b/>
                <w:lang w:eastAsia="en-AU"/>
              </w:rPr>
              <w:t xml:space="preserve">10,898,871 </w:t>
            </w:r>
          </w:p>
        </w:tc>
        <w:tc>
          <w:tcPr>
            <w:tcW w:w="1027" w:type="dxa"/>
            <w:tcBorders>
              <w:bottom w:val="single" w:sz="4" w:space="0" w:color="auto"/>
            </w:tcBorders>
            <w:shd w:val="clear" w:color="auto" w:fill="auto"/>
            <w:noWrap/>
            <w:vAlign w:val="center"/>
            <w:hideMark/>
          </w:tcPr>
          <w:p w14:paraId="0D288291" w14:textId="77777777" w:rsidR="003E5BF5" w:rsidRPr="00A84976" w:rsidRDefault="003E5BF5" w:rsidP="00DE1921">
            <w:pPr>
              <w:jc w:val="right"/>
              <w:rPr>
                <w:rFonts w:ascii="Arial" w:hAnsi="Arial" w:cs="Arial"/>
                <w:b/>
                <w:lang w:eastAsia="en-AU"/>
              </w:rPr>
            </w:pPr>
            <w:r w:rsidRPr="00A84976">
              <w:rPr>
                <w:rFonts w:ascii="Arial" w:hAnsi="Arial" w:cs="Arial"/>
                <w:b/>
                <w:lang w:eastAsia="en-AU"/>
              </w:rPr>
              <w:t xml:space="preserve">1,774,942 </w:t>
            </w:r>
          </w:p>
        </w:tc>
      </w:tr>
    </w:tbl>
    <w:p w14:paraId="36E81729" w14:textId="77777777" w:rsidR="003E5BF5" w:rsidRDefault="003E5BF5" w:rsidP="00DE1921">
      <w:pPr>
        <w:rPr>
          <w:lang w:eastAsia="en-AU"/>
        </w:rPr>
      </w:pPr>
    </w:p>
    <w:p w14:paraId="222D7EC0" w14:textId="77777777" w:rsidR="009758EA" w:rsidRPr="00A84976" w:rsidRDefault="009758EA" w:rsidP="009758EA">
      <w:pPr>
        <w:pStyle w:val="Note"/>
        <w:rPr>
          <w:rFonts w:ascii="Arial" w:hAnsi="Arial" w:cs="Arial"/>
          <w:sz w:val="22"/>
        </w:rPr>
      </w:pPr>
      <w:r w:rsidRPr="00A84976">
        <w:rPr>
          <w:rFonts w:ascii="Arial" w:hAnsi="Arial" w:cs="Arial"/>
          <w:sz w:val="22"/>
        </w:rPr>
        <w:lastRenderedPageBreak/>
        <w:t>Notes:</w:t>
      </w:r>
    </w:p>
    <w:p w14:paraId="4664506C" w14:textId="77777777" w:rsidR="009758EA" w:rsidRPr="00A84976" w:rsidRDefault="009758EA" w:rsidP="00610F5F">
      <w:pPr>
        <w:pStyle w:val="aaaNotenumberiiiiii"/>
        <w:numPr>
          <w:ilvl w:val="0"/>
          <w:numId w:val="69"/>
        </w:numPr>
      </w:pPr>
      <w:r w:rsidRPr="00A84976">
        <w:t>As published in Victorian Budget 2019-20 Statement of Finances (incorporating Quarterly Financial Report No.3) Budget Paper No.5 Appendix A Table A.5: Consolidated Fund payments: total annual appropriations.</w:t>
      </w:r>
    </w:p>
    <w:p w14:paraId="116E1811" w14:textId="77777777" w:rsidR="009758EA" w:rsidRPr="00A84976" w:rsidRDefault="009758EA" w:rsidP="009758EA">
      <w:pPr>
        <w:pStyle w:val="aaaNotenumberiiiiii"/>
      </w:pPr>
      <w:r w:rsidRPr="00A84976">
        <w:t xml:space="preserve">Effective from 1 July 2019, as a result of the </w:t>
      </w:r>
      <w:proofErr w:type="spellStart"/>
      <w:r w:rsidRPr="00A84976">
        <w:t>MoG</w:t>
      </w:r>
      <w:proofErr w:type="spellEnd"/>
      <w:r w:rsidRPr="00A84976">
        <w:t xml:space="preserve"> change, VicRoads and PTV were integrated into the department. (2019: Effective from 1 January 2019, as a result of </w:t>
      </w:r>
      <w:proofErr w:type="spellStart"/>
      <w:r w:rsidRPr="00A84976">
        <w:t>MoG</w:t>
      </w:r>
      <w:proofErr w:type="spellEnd"/>
      <w:r w:rsidRPr="00A84976">
        <w:t xml:space="preserve"> change, non-transport appropriations were transferred out of the department.)</w:t>
      </w:r>
    </w:p>
    <w:p w14:paraId="20C85924" w14:textId="479DF148" w:rsidR="00DD24F7" w:rsidRDefault="009758EA" w:rsidP="009758EA">
      <w:pPr>
        <w:pStyle w:val="aaaNotenumberiiiiii"/>
      </w:pPr>
      <w:r w:rsidRPr="00A84976">
        <w:t>A number of the department's output programs have been rescheduled to the next financial year due to timing differences in commencements, completion of milestones, and/or contract finalisation.</w:t>
      </w:r>
    </w:p>
    <w:p w14:paraId="1D31A2D3" w14:textId="77777777" w:rsidR="00DD24F7" w:rsidRDefault="00DD24F7" w:rsidP="00DE1921">
      <w:pPr>
        <w:rPr>
          <w:lang w:eastAsia="en-AU"/>
        </w:rPr>
      </w:pPr>
    </w:p>
    <w:p w14:paraId="6C877159" w14:textId="623B6F81" w:rsidR="00DD24F7" w:rsidRPr="008C2194" w:rsidRDefault="00DD24F7" w:rsidP="00DE1921">
      <w:pPr>
        <w:rPr>
          <w:lang w:eastAsia="en-AU"/>
        </w:rPr>
        <w:sectPr w:rsidR="00DD24F7" w:rsidRPr="008C2194" w:rsidSect="00DE1921">
          <w:headerReference w:type="even" r:id="rId66"/>
          <w:headerReference w:type="default" r:id="rId67"/>
          <w:footerReference w:type="even" r:id="rId68"/>
          <w:headerReference w:type="first" r:id="rId69"/>
          <w:pgSz w:w="16838" w:h="11906" w:orient="landscape"/>
          <w:pgMar w:top="1418" w:right="1701" w:bottom="1418" w:left="1418" w:header="709" w:footer="709" w:gutter="0"/>
          <w:cols w:space="708"/>
          <w:docGrid w:linePitch="360"/>
        </w:sectPr>
      </w:pPr>
    </w:p>
    <w:p w14:paraId="231454C7" w14:textId="77777777" w:rsidR="003E5BF5" w:rsidRPr="00100BC2" w:rsidRDefault="003E5BF5" w:rsidP="006667CC">
      <w:pPr>
        <w:pStyle w:val="Heading3"/>
        <w:numPr>
          <w:ilvl w:val="2"/>
          <w:numId w:val="3"/>
        </w:numPr>
        <w:ind w:left="851" w:hanging="851"/>
      </w:pPr>
      <w:bookmarkStart w:id="110" w:name="_Summary_of_compliance_1"/>
      <w:bookmarkEnd w:id="110"/>
      <w:r w:rsidRPr="00100BC2">
        <w:lastRenderedPageBreak/>
        <w:t>Summary of compliance with annual parliamentary appropriations</w:t>
      </w:r>
    </w:p>
    <w:p w14:paraId="5E050A11" w14:textId="77777777" w:rsidR="003E5BF5" w:rsidRPr="00807860" w:rsidRDefault="003E5BF5" w:rsidP="00DC3DA9">
      <w:pPr>
        <w:pStyle w:val="aaatyping"/>
        <w:rPr>
          <w:lang w:val="en-GB" w:eastAsia="en-GB"/>
        </w:rPr>
      </w:pPr>
      <w:r w:rsidRPr="00DD3DE2">
        <w:rPr>
          <w:lang w:val="en-GB" w:eastAsia="en-GB"/>
        </w:rPr>
        <w:t>Special appropriation is a provision within an Act that provides authority to spend money for particular purposes, for example, to fund a particular project or function.</w:t>
      </w:r>
      <w:r>
        <w:rPr>
          <w:lang w:val="en-GB" w:eastAsia="en-GB"/>
        </w:rPr>
        <w:t xml:space="preserve"> </w:t>
      </w:r>
      <w:r w:rsidRPr="00807860">
        <w:rPr>
          <w:lang w:val="en-GB" w:eastAsia="en-GB"/>
        </w:rPr>
        <w:t>Special appropriations represent a standing authority and remain in force until the relevant legislation</w:t>
      </w:r>
      <w:r>
        <w:rPr>
          <w:lang w:val="en-GB" w:eastAsia="en-GB"/>
        </w:rPr>
        <w:t xml:space="preserve"> </w:t>
      </w:r>
      <w:r w:rsidRPr="00807860">
        <w:rPr>
          <w:lang w:val="en-GB" w:eastAsia="en-GB"/>
        </w:rPr>
        <w:t>providing for the special appropriation is amended or repealed by Parliament.</w:t>
      </w:r>
    </w:p>
    <w:p w14:paraId="02601BBA" w14:textId="77777777" w:rsidR="003E5BF5" w:rsidRPr="00807860" w:rsidRDefault="003E5BF5" w:rsidP="00DC3DA9">
      <w:pPr>
        <w:pStyle w:val="aaatyping"/>
        <w:rPr>
          <w:lang w:val="en-GB" w:eastAsia="en-GB"/>
        </w:rPr>
      </w:pPr>
      <w:r w:rsidRPr="00807860">
        <w:rPr>
          <w:lang w:val="en-GB" w:eastAsia="en-GB"/>
        </w:rPr>
        <w:t>Income is recognised when the amount appropriated for a specific purpose is due and payable by the</w:t>
      </w:r>
      <w:r>
        <w:rPr>
          <w:lang w:val="en-GB" w:eastAsia="en-GB"/>
        </w:rPr>
        <w:t xml:space="preserve"> </w:t>
      </w:r>
      <w:r w:rsidRPr="00807860">
        <w:rPr>
          <w:lang w:val="en-GB" w:eastAsia="en-GB"/>
        </w:rPr>
        <w:t>department.</w:t>
      </w:r>
    </w:p>
    <w:p w14:paraId="3C14511D" w14:textId="77777777" w:rsidR="003E5BF5" w:rsidRPr="0009495C" w:rsidRDefault="003E5BF5" w:rsidP="00DC3DA9">
      <w:pPr>
        <w:pStyle w:val="aaatyping"/>
        <w:rPr>
          <w:lang w:val="en-GB" w:eastAsia="en-GB"/>
        </w:rPr>
      </w:pPr>
      <w:r w:rsidRPr="00807860">
        <w:rPr>
          <w:lang w:val="en-GB" w:eastAsia="en-GB"/>
        </w:rPr>
        <w:t>The following table discloses the details of compliance with special appropriation</w:t>
      </w:r>
      <w:r>
        <w:rPr>
          <w:lang w:val="en-GB" w:eastAsia="en-GB"/>
        </w:rPr>
        <w:t>.</w:t>
      </w:r>
      <w:r w:rsidRPr="00D73844">
        <w:rPr>
          <w:lang w:val="en-GB" w:eastAsia="en-GB"/>
        </w:rPr>
        <w:t xml:space="preserve"> </w:t>
      </w:r>
      <w:bookmarkStart w:id="111" w:name="_Toc521958211"/>
      <w:bookmarkStart w:id="112" w:name="_Toc522178359"/>
      <w:bookmarkStart w:id="113" w:name="_Toc529179630"/>
      <w:bookmarkStart w:id="114" w:name="_Toc529197879"/>
      <w:bookmarkStart w:id="115" w:name="_Toc529197978"/>
      <w:bookmarkStart w:id="116" w:name="_Toc530386175"/>
      <w:bookmarkStart w:id="117" w:name="_Toc530403296"/>
      <w:bookmarkStart w:id="118" w:name="_Toc530403589"/>
      <w:bookmarkStart w:id="119" w:name="_Toc9235462"/>
      <w:bookmarkStart w:id="120" w:name="_Toc9344157"/>
      <w:bookmarkStart w:id="121" w:name="_Toc9344165"/>
      <w:bookmarkStart w:id="122" w:name="_Toc9344177"/>
    </w:p>
    <w:tbl>
      <w:tblPr>
        <w:tblStyle w:val="TableGrid"/>
        <w:tblW w:w="9072" w:type="dxa"/>
        <w:tblLook w:val="04A0" w:firstRow="1" w:lastRow="0" w:firstColumn="1" w:lastColumn="0" w:noHBand="0" w:noVBand="1"/>
      </w:tblPr>
      <w:tblGrid>
        <w:gridCol w:w="2738"/>
        <w:gridCol w:w="3370"/>
        <w:gridCol w:w="1936"/>
        <w:gridCol w:w="1936"/>
      </w:tblGrid>
      <w:tr w:rsidR="003D0103" w:rsidRPr="00835B3B" w14:paraId="2C63C947" w14:textId="77777777" w:rsidTr="00835B3B">
        <w:trPr>
          <w:trHeight w:val="340"/>
          <w:tblHeader/>
        </w:trPr>
        <w:tc>
          <w:tcPr>
            <w:tcW w:w="2738" w:type="dxa"/>
            <w:shd w:val="clear" w:color="auto" w:fill="auto"/>
            <w:noWrap/>
            <w:hideMark/>
          </w:tcPr>
          <w:p w14:paraId="72789542" w14:textId="77777777" w:rsidR="003D0103" w:rsidRPr="00835B3B" w:rsidRDefault="003D0103" w:rsidP="00DE1921">
            <w:pPr>
              <w:rPr>
                <w:rFonts w:ascii="Arial" w:hAnsi="Arial" w:cs="Arial"/>
                <w:lang w:eastAsia="en-AU"/>
              </w:rPr>
            </w:pPr>
          </w:p>
        </w:tc>
        <w:tc>
          <w:tcPr>
            <w:tcW w:w="3370" w:type="dxa"/>
            <w:shd w:val="clear" w:color="auto" w:fill="auto"/>
            <w:noWrap/>
            <w:hideMark/>
          </w:tcPr>
          <w:p w14:paraId="17030003" w14:textId="77777777" w:rsidR="003D0103" w:rsidRPr="00835B3B" w:rsidRDefault="003D0103" w:rsidP="00DE1921">
            <w:pPr>
              <w:rPr>
                <w:rFonts w:ascii="Arial" w:hAnsi="Arial" w:cs="Arial"/>
                <w:lang w:eastAsia="en-AU"/>
              </w:rPr>
            </w:pPr>
          </w:p>
        </w:tc>
        <w:tc>
          <w:tcPr>
            <w:tcW w:w="1482" w:type="dxa"/>
            <w:shd w:val="clear" w:color="auto" w:fill="auto"/>
            <w:noWrap/>
            <w:vAlign w:val="center"/>
            <w:hideMark/>
          </w:tcPr>
          <w:p w14:paraId="4FE02F39" w14:textId="77777777" w:rsidR="003D0103" w:rsidRPr="003945B9" w:rsidRDefault="003D0103" w:rsidP="00DE1921">
            <w:pPr>
              <w:jc w:val="center"/>
              <w:rPr>
                <w:rFonts w:ascii="Arial" w:hAnsi="Arial" w:cs="Arial"/>
                <w:b/>
                <w:sz w:val="24"/>
                <w:szCs w:val="24"/>
                <w:lang w:eastAsia="en-AU"/>
              </w:rPr>
            </w:pPr>
            <w:r w:rsidRPr="003945B9">
              <w:rPr>
                <w:rFonts w:ascii="Arial" w:hAnsi="Arial" w:cs="Arial"/>
                <w:b/>
                <w:sz w:val="24"/>
                <w:szCs w:val="24"/>
                <w:lang w:eastAsia="en-AU"/>
              </w:rPr>
              <w:t>($ thousand)</w:t>
            </w:r>
          </w:p>
        </w:tc>
        <w:tc>
          <w:tcPr>
            <w:tcW w:w="1482" w:type="dxa"/>
            <w:shd w:val="clear" w:color="auto" w:fill="auto"/>
            <w:vAlign w:val="center"/>
          </w:tcPr>
          <w:p w14:paraId="69243074" w14:textId="36CE6865" w:rsidR="003D0103" w:rsidRPr="003945B9" w:rsidRDefault="003D0103" w:rsidP="00DE1921">
            <w:pPr>
              <w:jc w:val="center"/>
              <w:rPr>
                <w:rFonts w:ascii="Arial" w:hAnsi="Arial" w:cs="Arial"/>
                <w:b/>
                <w:sz w:val="24"/>
                <w:szCs w:val="24"/>
                <w:lang w:eastAsia="en-AU"/>
              </w:rPr>
            </w:pPr>
            <w:r w:rsidRPr="003945B9">
              <w:rPr>
                <w:rFonts w:ascii="Arial" w:hAnsi="Arial" w:cs="Arial"/>
                <w:b/>
                <w:sz w:val="24"/>
                <w:szCs w:val="24"/>
                <w:lang w:eastAsia="en-AU"/>
              </w:rPr>
              <w:t>($ thousand)</w:t>
            </w:r>
          </w:p>
        </w:tc>
      </w:tr>
      <w:tr w:rsidR="007D7652" w:rsidRPr="00D71A00" w14:paraId="1C6EA4F8" w14:textId="77777777" w:rsidTr="00283B0E">
        <w:trPr>
          <w:trHeight w:val="340"/>
          <w:tblHeader/>
        </w:trPr>
        <w:tc>
          <w:tcPr>
            <w:tcW w:w="2738" w:type="dxa"/>
            <w:shd w:val="clear" w:color="auto" w:fill="auto"/>
            <w:noWrap/>
            <w:vAlign w:val="bottom"/>
            <w:hideMark/>
          </w:tcPr>
          <w:p w14:paraId="0B2D7B4B" w14:textId="77777777" w:rsidR="007D7652" w:rsidRPr="00D71A00" w:rsidRDefault="007D7652" w:rsidP="00DE1921">
            <w:pPr>
              <w:rPr>
                <w:rFonts w:ascii="Arial" w:hAnsi="Arial" w:cs="Arial"/>
                <w:b/>
                <w:sz w:val="24"/>
                <w:szCs w:val="24"/>
                <w:lang w:eastAsia="en-AU"/>
              </w:rPr>
            </w:pPr>
            <w:r w:rsidRPr="00D71A00">
              <w:rPr>
                <w:rFonts w:ascii="Arial" w:hAnsi="Arial" w:cs="Arial"/>
                <w:b/>
                <w:sz w:val="24"/>
                <w:szCs w:val="24"/>
                <w:lang w:eastAsia="en-AU"/>
              </w:rPr>
              <w:t>Authority</w:t>
            </w:r>
          </w:p>
        </w:tc>
        <w:tc>
          <w:tcPr>
            <w:tcW w:w="3370" w:type="dxa"/>
            <w:shd w:val="clear" w:color="auto" w:fill="auto"/>
            <w:noWrap/>
            <w:vAlign w:val="bottom"/>
            <w:hideMark/>
          </w:tcPr>
          <w:p w14:paraId="6ADF9F32" w14:textId="77777777" w:rsidR="007D7652" w:rsidRPr="00D71A00" w:rsidRDefault="007D7652" w:rsidP="00DE1921">
            <w:pPr>
              <w:rPr>
                <w:rFonts w:ascii="Arial" w:hAnsi="Arial" w:cs="Arial"/>
                <w:b/>
                <w:sz w:val="24"/>
                <w:szCs w:val="24"/>
                <w:lang w:eastAsia="en-AU"/>
              </w:rPr>
            </w:pPr>
            <w:r w:rsidRPr="00D71A00">
              <w:rPr>
                <w:rFonts w:ascii="Arial" w:hAnsi="Arial" w:cs="Arial"/>
                <w:b/>
                <w:sz w:val="24"/>
                <w:szCs w:val="24"/>
                <w:lang w:eastAsia="en-AU"/>
              </w:rPr>
              <w:t>Purpose</w:t>
            </w:r>
          </w:p>
        </w:tc>
        <w:tc>
          <w:tcPr>
            <w:tcW w:w="1482" w:type="dxa"/>
            <w:shd w:val="clear" w:color="auto" w:fill="auto"/>
            <w:vAlign w:val="bottom"/>
            <w:hideMark/>
          </w:tcPr>
          <w:p w14:paraId="52842C8D" w14:textId="77777777" w:rsidR="007D7652" w:rsidRPr="00D71A00" w:rsidRDefault="007D7652" w:rsidP="00DE1921">
            <w:pPr>
              <w:jc w:val="center"/>
              <w:rPr>
                <w:rFonts w:ascii="Arial" w:hAnsi="Arial" w:cs="Arial"/>
                <w:b/>
                <w:sz w:val="24"/>
                <w:szCs w:val="24"/>
                <w:lang w:eastAsia="en-AU"/>
              </w:rPr>
            </w:pPr>
            <w:r w:rsidRPr="00D71A00">
              <w:rPr>
                <w:rFonts w:ascii="Arial" w:hAnsi="Arial" w:cs="Arial"/>
                <w:b/>
                <w:sz w:val="24"/>
                <w:szCs w:val="24"/>
                <w:lang w:eastAsia="en-AU"/>
              </w:rPr>
              <w:t>Appropriations applied</w:t>
            </w:r>
          </w:p>
        </w:tc>
        <w:tc>
          <w:tcPr>
            <w:tcW w:w="1482" w:type="dxa"/>
            <w:shd w:val="clear" w:color="auto" w:fill="auto"/>
            <w:vAlign w:val="bottom"/>
          </w:tcPr>
          <w:p w14:paraId="1FEB2EC9" w14:textId="2860BC0C" w:rsidR="007D7652" w:rsidRPr="00D71A00" w:rsidRDefault="007D7652" w:rsidP="00DE1921">
            <w:pPr>
              <w:jc w:val="center"/>
              <w:rPr>
                <w:rFonts w:ascii="Arial" w:hAnsi="Arial" w:cs="Arial"/>
                <w:b/>
                <w:sz w:val="24"/>
                <w:szCs w:val="24"/>
                <w:lang w:eastAsia="en-AU"/>
              </w:rPr>
            </w:pPr>
            <w:r w:rsidRPr="00D71A00">
              <w:rPr>
                <w:rFonts w:ascii="Arial" w:hAnsi="Arial" w:cs="Arial"/>
                <w:b/>
                <w:sz w:val="24"/>
                <w:szCs w:val="24"/>
                <w:lang w:eastAsia="en-AU"/>
              </w:rPr>
              <w:t>Appropriations applied</w:t>
            </w:r>
          </w:p>
        </w:tc>
      </w:tr>
      <w:tr w:rsidR="003E5BF5" w:rsidRPr="00D71A00" w14:paraId="590AE706" w14:textId="77777777" w:rsidTr="00835B3B">
        <w:trPr>
          <w:trHeight w:val="340"/>
        </w:trPr>
        <w:tc>
          <w:tcPr>
            <w:tcW w:w="2738" w:type="dxa"/>
            <w:shd w:val="clear" w:color="auto" w:fill="auto"/>
            <w:noWrap/>
            <w:vAlign w:val="center"/>
            <w:hideMark/>
          </w:tcPr>
          <w:p w14:paraId="5BBB90AA" w14:textId="77777777" w:rsidR="003E5BF5" w:rsidRPr="00D71A00" w:rsidRDefault="003E5BF5" w:rsidP="00DE1921">
            <w:pPr>
              <w:rPr>
                <w:rFonts w:ascii="Arial" w:hAnsi="Arial" w:cs="Arial"/>
                <w:b/>
                <w:sz w:val="24"/>
                <w:szCs w:val="24"/>
                <w:lang w:eastAsia="en-AU"/>
              </w:rPr>
            </w:pPr>
          </w:p>
        </w:tc>
        <w:tc>
          <w:tcPr>
            <w:tcW w:w="3370" w:type="dxa"/>
            <w:shd w:val="clear" w:color="auto" w:fill="auto"/>
            <w:noWrap/>
            <w:vAlign w:val="center"/>
            <w:hideMark/>
          </w:tcPr>
          <w:p w14:paraId="45A9AA0A" w14:textId="77777777" w:rsidR="003E5BF5" w:rsidRPr="00D71A00" w:rsidRDefault="003E5BF5" w:rsidP="00DE1921">
            <w:pPr>
              <w:rPr>
                <w:rFonts w:ascii="Arial" w:hAnsi="Arial" w:cs="Arial"/>
                <w:sz w:val="24"/>
                <w:szCs w:val="24"/>
                <w:lang w:eastAsia="en-AU"/>
              </w:rPr>
            </w:pPr>
          </w:p>
        </w:tc>
        <w:tc>
          <w:tcPr>
            <w:tcW w:w="1482" w:type="dxa"/>
            <w:shd w:val="clear" w:color="auto" w:fill="auto"/>
            <w:noWrap/>
            <w:vAlign w:val="center"/>
            <w:hideMark/>
          </w:tcPr>
          <w:p w14:paraId="18ED2B22"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2020</w:t>
            </w:r>
          </w:p>
        </w:tc>
        <w:tc>
          <w:tcPr>
            <w:tcW w:w="1482" w:type="dxa"/>
            <w:shd w:val="clear" w:color="auto" w:fill="auto"/>
            <w:noWrap/>
            <w:vAlign w:val="center"/>
            <w:hideMark/>
          </w:tcPr>
          <w:p w14:paraId="5D9C8799"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2019</w:t>
            </w:r>
          </w:p>
        </w:tc>
      </w:tr>
      <w:tr w:rsidR="003E5BF5" w:rsidRPr="00D71A00" w14:paraId="7629F242" w14:textId="77777777" w:rsidTr="00835B3B">
        <w:trPr>
          <w:trHeight w:val="340"/>
        </w:trPr>
        <w:tc>
          <w:tcPr>
            <w:tcW w:w="2738" w:type="dxa"/>
            <w:shd w:val="clear" w:color="auto" w:fill="auto"/>
            <w:noWrap/>
            <w:vAlign w:val="center"/>
            <w:hideMark/>
          </w:tcPr>
          <w:p w14:paraId="124DC758" w14:textId="77777777" w:rsidR="003E5BF5" w:rsidRPr="00D71A00" w:rsidRDefault="003E5BF5" w:rsidP="00604703">
            <w:pPr>
              <w:pStyle w:val="TableTextGreen"/>
            </w:pPr>
            <w:r w:rsidRPr="00D71A00">
              <w:t>Operating</w:t>
            </w:r>
          </w:p>
        </w:tc>
        <w:tc>
          <w:tcPr>
            <w:tcW w:w="3370" w:type="dxa"/>
            <w:shd w:val="clear" w:color="auto" w:fill="auto"/>
            <w:noWrap/>
            <w:vAlign w:val="center"/>
            <w:hideMark/>
          </w:tcPr>
          <w:p w14:paraId="4CE53F9A" w14:textId="77777777" w:rsidR="003E5BF5" w:rsidRPr="00D71A00" w:rsidRDefault="003E5BF5" w:rsidP="00DE1921">
            <w:pPr>
              <w:rPr>
                <w:rFonts w:ascii="Arial" w:hAnsi="Arial" w:cs="Arial"/>
                <w:b/>
                <w:sz w:val="24"/>
                <w:szCs w:val="24"/>
                <w:lang w:eastAsia="en-AU"/>
              </w:rPr>
            </w:pPr>
          </w:p>
        </w:tc>
        <w:tc>
          <w:tcPr>
            <w:tcW w:w="1482" w:type="dxa"/>
            <w:shd w:val="clear" w:color="auto" w:fill="auto"/>
            <w:noWrap/>
            <w:vAlign w:val="center"/>
            <w:hideMark/>
          </w:tcPr>
          <w:p w14:paraId="11C5DF79" w14:textId="77777777" w:rsidR="003E5BF5" w:rsidRPr="00D71A00" w:rsidRDefault="003E5BF5" w:rsidP="00DE1921">
            <w:pPr>
              <w:jc w:val="right"/>
              <w:rPr>
                <w:rFonts w:ascii="Arial" w:hAnsi="Arial" w:cs="Arial"/>
                <w:sz w:val="24"/>
                <w:szCs w:val="24"/>
                <w:lang w:eastAsia="en-AU"/>
              </w:rPr>
            </w:pPr>
          </w:p>
        </w:tc>
        <w:tc>
          <w:tcPr>
            <w:tcW w:w="1482" w:type="dxa"/>
            <w:shd w:val="clear" w:color="auto" w:fill="auto"/>
            <w:noWrap/>
            <w:vAlign w:val="center"/>
            <w:hideMark/>
          </w:tcPr>
          <w:p w14:paraId="6F1AE757" w14:textId="77777777" w:rsidR="003E5BF5" w:rsidRPr="00D71A00" w:rsidRDefault="003E5BF5" w:rsidP="00DE1921">
            <w:pPr>
              <w:jc w:val="right"/>
              <w:rPr>
                <w:rFonts w:ascii="Arial" w:hAnsi="Arial" w:cs="Arial"/>
                <w:sz w:val="24"/>
                <w:szCs w:val="24"/>
                <w:lang w:eastAsia="en-AU"/>
              </w:rPr>
            </w:pPr>
          </w:p>
        </w:tc>
      </w:tr>
      <w:tr w:rsidR="003E5BF5" w:rsidRPr="00D71A00" w14:paraId="7205E164" w14:textId="77777777" w:rsidTr="00835B3B">
        <w:trPr>
          <w:trHeight w:val="340"/>
        </w:trPr>
        <w:tc>
          <w:tcPr>
            <w:tcW w:w="2738" w:type="dxa"/>
            <w:shd w:val="clear" w:color="auto" w:fill="auto"/>
            <w:hideMark/>
          </w:tcPr>
          <w:p w14:paraId="423FBF58"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Section 213A (4) of the </w:t>
            </w:r>
            <w:r w:rsidRPr="00D71A00">
              <w:rPr>
                <w:rFonts w:ascii="Arial" w:hAnsi="Arial" w:cs="Arial"/>
                <w:i/>
                <w:sz w:val="24"/>
                <w:szCs w:val="24"/>
                <w:lang w:eastAsia="en-AU"/>
              </w:rPr>
              <w:t>Transport (Compliance and Miscellaneous) Act</w:t>
            </w:r>
            <w:r w:rsidRPr="00D71A00">
              <w:rPr>
                <w:rFonts w:ascii="Arial" w:hAnsi="Arial" w:cs="Arial"/>
                <w:sz w:val="24"/>
                <w:szCs w:val="24"/>
                <w:lang w:eastAsia="en-AU"/>
              </w:rPr>
              <w:t xml:space="preserve"> </w:t>
            </w:r>
            <w:r w:rsidRPr="00D71A00">
              <w:rPr>
                <w:rFonts w:ascii="Arial" w:hAnsi="Arial" w:cs="Arial"/>
                <w:i/>
                <w:sz w:val="24"/>
                <w:szCs w:val="24"/>
                <w:lang w:eastAsia="en-AU"/>
              </w:rPr>
              <w:t>1983</w:t>
            </w:r>
          </w:p>
        </w:tc>
        <w:tc>
          <w:tcPr>
            <w:tcW w:w="3370" w:type="dxa"/>
            <w:shd w:val="clear" w:color="auto" w:fill="auto"/>
            <w:vAlign w:val="center"/>
            <w:hideMark/>
          </w:tcPr>
          <w:p w14:paraId="229C6611"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Refund to public transport operators for administrative costs associated with ticket infringements.</w:t>
            </w:r>
          </w:p>
        </w:tc>
        <w:tc>
          <w:tcPr>
            <w:tcW w:w="1482" w:type="dxa"/>
            <w:shd w:val="clear" w:color="auto" w:fill="auto"/>
            <w:noWrap/>
            <w:hideMark/>
          </w:tcPr>
          <w:p w14:paraId="65045E82"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lang w:eastAsia="en-AU"/>
              </w:rPr>
              <w:t xml:space="preserve">631 </w:t>
            </w:r>
          </w:p>
        </w:tc>
        <w:tc>
          <w:tcPr>
            <w:tcW w:w="1482" w:type="dxa"/>
            <w:shd w:val="clear" w:color="auto" w:fill="auto"/>
            <w:noWrap/>
            <w:hideMark/>
          </w:tcPr>
          <w:p w14:paraId="73AA943D"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lang w:eastAsia="en-AU"/>
              </w:rPr>
              <w:t>733</w:t>
            </w:r>
          </w:p>
        </w:tc>
      </w:tr>
      <w:tr w:rsidR="003E5BF5" w:rsidRPr="00D71A00" w14:paraId="13160FBF" w14:textId="77777777" w:rsidTr="00835B3B">
        <w:trPr>
          <w:trHeight w:val="340"/>
        </w:trPr>
        <w:tc>
          <w:tcPr>
            <w:tcW w:w="2738" w:type="dxa"/>
            <w:shd w:val="clear" w:color="auto" w:fill="auto"/>
            <w:hideMark/>
          </w:tcPr>
          <w:p w14:paraId="66A4B5A2"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Section 10 of the </w:t>
            </w:r>
            <w:r w:rsidRPr="00D71A00">
              <w:rPr>
                <w:rFonts w:ascii="Arial" w:hAnsi="Arial" w:cs="Arial"/>
                <w:i/>
                <w:sz w:val="24"/>
                <w:szCs w:val="24"/>
                <w:lang w:eastAsia="en-AU"/>
              </w:rPr>
              <w:t>Financial Management Act 1994</w:t>
            </w:r>
            <w:r w:rsidRPr="00D71A00">
              <w:rPr>
                <w:rFonts w:ascii="Arial" w:hAnsi="Arial" w:cs="Arial"/>
                <w:sz w:val="24"/>
                <w:szCs w:val="24"/>
                <w:lang w:eastAsia="en-AU"/>
              </w:rPr>
              <w:t xml:space="preserve"> Appropriation of Commonwealth Grants</w:t>
            </w:r>
          </w:p>
        </w:tc>
        <w:tc>
          <w:tcPr>
            <w:tcW w:w="3370" w:type="dxa"/>
            <w:shd w:val="clear" w:color="auto" w:fill="auto"/>
            <w:vAlign w:val="center"/>
            <w:hideMark/>
          </w:tcPr>
          <w:p w14:paraId="57D8EEE0"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Under arrangement between the Commonwealth and the State, money is granted or made available from the Consolidated Fund with the approval of the Governor in Council.</w:t>
            </w:r>
          </w:p>
        </w:tc>
        <w:tc>
          <w:tcPr>
            <w:tcW w:w="1482" w:type="dxa"/>
            <w:shd w:val="clear" w:color="auto" w:fill="auto"/>
            <w:noWrap/>
            <w:hideMark/>
          </w:tcPr>
          <w:p w14:paraId="3850FE36"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lang w:eastAsia="en-AU"/>
              </w:rPr>
              <w:t xml:space="preserve">48,143 </w:t>
            </w:r>
          </w:p>
        </w:tc>
        <w:tc>
          <w:tcPr>
            <w:tcW w:w="1482" w:type="dxa"/>
            <w:shd w:val="clear" w:color="auto" w:fill="auto"/>
            <w:hideMark/>
          </w:tcPr>
          <w:p w14:paraId="16353A9B"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lang w:eastAsia="en-AU"/>
              </w:rPr>
              <w:t>57,728</w:t>
            </w:r>
          </w:p>
        </w:tc>
      </w:tr>
      <w:tr w:rsidR="003E5BF5" w:rsidRPr="00D71A00" w14:paraId="51450928" w14:textId="77777777" w:rsidTr="00835B3B">
        <w:trPr>
          <w:trHeight w:val="340"/>
        </w:trPr>
        <w:tc>
          <w:tcPr>
            <w:tcW w:w="2738" w:type="dxa"/>
            <w:shd w:val="clear" w:color="auto" w:fill="auto"/>
            <w:hideMark/>
          </w:tcPr>
          <w:p w14:paraId="5066D825" w14:textId="77777777" w:rsidR="003E5BF5" w:rsidRPr="00D71A00" w:rsidRDefault="003E5BF5" w:rsidP="00DE1921">
            <w:pPr>
              <w:rPr>
                <w:rFonts w:ascii="Arial" w:hAnsi="Arial" w:cs="Arial"/>
                <w:sz w:val="24"/>
                <w:szCs w:val="24"/>
                <w:lang w:eastAsia="en-AU"/>
              </w:rPr>
            </w:pPr>
            <w:r w:rsidRPr="00D71A00">
              <w:rPr>
                <w:rFonts w:ascii="Arial" w:hAnsi="Arial" w:cs="Arial"/>
                <w:i/>
                <w:sz w:val="24"/>
                <w:szCs w:val="24"/>
                <w:lang w:eastAsia="en-AU"/>
              </w:rPr>
              <w:t>Transport Legislation Amendment</w:t>
            </w:r>
            <w:r w:rsidRPr="00D71A00">
              <w:rPr>
                <w:rFonts w:ascii="Arial" w:hAnsi="Arial" w:cs="Arial"/>
                <w:sz w:val="24"/>
                <w:szCs w:val="24"/>
                <w:lang w:eastAsia="en-AU"/>
              </w:rPr>
              <w:t xml:space="preserve"> </w:t>
            </w:r>
            <w:r w:rsidRPr="00D71A00">
              <w:rPr>
                <w:rFonts w:ascii="Arial" w:hAnsi="Arial" w:cs="Arial"/>
                <w:i/>
                <w:sz w:val="24"/>
                <w:szCs w:val="24"/>
                <w:lang w:eastAsia="en-AU"/>
              </w:rPr>
              <w:t>(Better Roads Victoria and Other Amendments) Act 2019</w:t>
            </w:r>
          </w:p>
        </w:tc>
        <w:tc>
          <w:tcPr>
            <w:tcW w:w="3370" w:type="dxa"/>
            <w:shd w:val="clear" w:color="auto" w:fill="auto"/>
            <w:vAlign w:val="center"/>
            <w:hideMark/>
          </w:tcPr>
          <w:p w14:paraId="147EE168"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Reflects legislation amendment under the </w:t>
            </w:r>
            <w:r w:rsidRPr="00D71A00">
              <w:rPr>
                <w:rFonts w:ascii="Arial" w:hAnsi="Arial" w:cs="Arial"/>
                <w:i/>
                <w:sz w:val="24"/>
                <w:szCs w:val="24"/>
                <w:lang w:eastAsia="en-AU"/>
              </w:rPr>
              <w:t>Business Franchise (Petroleum Products) Act 1979</w:t>
            </w:r>
            <w:r w:rsidRPr="00D71A00">
              <w:rPr>
                <w:rFonts w:ascii="Arial" w:hAnsi="Arial" w:cs="Arial"/>
                <w:sz w:val="24"/>
                <w:szCs w:val="24"/>
                <w:lang w:eastAsia="en-AU"/>
              </w:rPr>
              <w:t>, allowing for the collection of fines for road repair and upgrades.</w:t>
            </w:r>
          </w:p>
        </w:tc>
        <w:tc>
          <w:tcPr>
            <w:tcW w:w="1482" w:type="dxa"/>
            <w:shd w:val="clear" w:color="auto" w:fill="auto"/>
            <w:noWrap/>
            <w:hideMark/>
          </w:tcPr>
          <w:p w14:paraId="6299FDB7"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lang w:eastAsia="en-AU"/>
              </w:rPr>
              <w:t xml:space="preserve">389,772 </w:t>
            </w:r>
          </w:p>
        </w:tc>
        <w:tc>
          <w:tcPr>
            <w:tcW w:w="1482" w:type="dxa"/>
            <w:shd w:val="clear" w:color="auto" w:fill="auto"/>
            <w:hideMark/>
          </w:tcPr>
          <w:p w14:paraId="48A73264"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lang w:eastAsia="en-AU"/>
              </w:rPr>
              <w:t>68,637</w:t>
            </w:r>
          </w:p>
        </w:tc>
      </w:tr>
      <w:tr w:rsidR="003E5BF5" w:rsidRPr="00D71A00" w14:paraId="3E860D96" w14:textId="77777777" w:rsidTr="00835B3B">
        <w:trPr>
          <w:trHeight w:val="340"/>
        </w:trPr>
        <w:tc>
          <w:tcPr>
            <w:tcW w:w="2738" w:type="dxa"/>
            <w:shd w:val="clear" w:color="auto" w:fill="auto"/>
            <w:noWrap/>
            <w:vAlign w:val="center"/>
            <w:hideMark/>
          </w:tcPr>
          <w:p w14:paraId="607D33C6"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Total operating</w:t>
            </w:r>
          </w:p>
        </w:tc>
        <w:tc>
          <w:tcPr>
            <w:tcW w:w="3370" w:type="dxa"/>
            <w:shd w:val="clear" w:color="auto" w:fill="auto"/>
            <w:noWrap/>
            <w:vAlign w:val="center"/>
            <w:hideMark/>
          </w:tcPr>
          <w:p w14:paraId="3E381084"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w:t>
            </w:r>
          </w:p>
        </w:tc>
        <w:tc>
          <w:tcPr>
            <w:tcW w:w="1482" w:type="dxa"/>
            <w:shd w:val="clear" w:color="auto" w:fill="auto"/>
            <w:noWrap/>
            <w:vAlign w:val="center"/>
            <w:hideMark/>
          </w:tcPr>
          <w:p w14:paraId="07DE6CC7"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 xml:space="preserve">438,547 </w:t>
            </w:r>
          </w:p>
        </w:tc>
        <w:tc>
          <w:tcPr>
            <w:tcW w:w="1482" w:type="dxa"/>
            <w:shd w:val="clear" w:color="auto" w:fill="auto"/>
            <w:noWrap/>
            <w:vAlign w:val="center"/>
            <w:hideMark/>
          </w:tcPr>
          <w:p w14:paraId="7AFFB314"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 xml:space="preserve">127,098 </w:t>
            </w:r>
          </w:p>
        </w:tc>
      </w:tr>
      <w:tr w:rsidR="003E5BF5" w:rsidRPr="00D71A00" w14:paraId="74F774D1" w14:textId="77777777" w:rsidTr="00835B3B">
        <w:trPr>
          <w:trHeight w:val="340"/>
        </w:trPr>
        <w:tc>
          <w:tcPr>
            <w:tcW w:w="2738" w:type="dxa"/>
            <w:shd w:val="clear" w:color="auto" w:fill="auto"/>
            <w:noWrap/>
            <w:vAlign w:val="center"/>
          </w:tcPr>
          <w:p w14:paraId="37C40F21" w14:textId="77777777" w:rsidR="003E5BF5" w:rsidRPr="00D71A00" w:rsidRDefault="003E5BF5" w:rsidP="00DE1921">
            <w:pPr>
              <w:rPr>
                <w:rFonts w:ascii="Arial" w:hAnsi="Arial" w:cs="Arial"/>
                <w:b/>
                <w:sz w:val="24"/>
                <w:szCs w:val="24"/>
                <w:lang w:eastAsia="en-AU"/>
              </w:rPr>
            </w:pPr>
          </w:p>
        </w:tc>
        <w:tc>
          <w:tcPr>
            <w:tcW w:w="3370" w:type="dxa"/>
            <w:shd w:val="clear" w:color="auto" w:fill="auto"/>
            <w:noWrap/>
            <w:vAlign w:val="center"/>
          </w:tcPr>
          <w:p w14:paraId="77854472" w14:textId="77777777" w:rsidR="003E5BF5" w:rsidRPr="00D71A00" w:rsidRDefault="003E5BF5" w:rsidP="00DE1921">
            <w:pPr>
              <w:rPr>
                <w:rFonts w:ascii="Arial" w:hAnsi="Arial" w:cs="Arial"/>
                <w:sz w:val="24"/>
                <w:szCs w:val="24"/>
                <w:lang w:eastAsia="en-AU"/>
              </w:rPr>
            </w:pPr>
          </w:p>
        </w:tc>
        <w:tc>
          <w:tcPr>
            <w:tcW w:w="1482" w:type="dxa"/>
            <w:shd w:val="clear" w:color="auto" w:fill="auto"/>
            <w:noWrap/>
            <w:vAlign w:val="center"/>
          </w:tcPr>
          <w:p w14:paraId="4E9FB2FD" w14:textId="77777777" w:rsidR="003E5BF5" w:rsidRPr="00D71A00" w:rsidRDefault="003E5BF5" w:rsidP="00DE1921">
            <w:pPr>
              <w:jc w:val="right"/>
              <w:rPr>
                <w:rFonts w:ascii="Arial" w:hAnsi="Arial" w:cs="Arial"/>
                <w:b/>
                <w:sz w:val="24"/>
                <w:szCs w:val="24"/>
                <w:lang w:eastAsia="en-AU"/>
              </w:rPr>
            </w:pPr>
          </w:p>
        </w:tc>
        <w:tc>
          <w:tcPr>
            <w:tcW w:w="1482" w:type="dxa"/>
            <w:shd w:val="clear" w:color="auto" w:fill="auto"/>
            <w:noWrap/>
            <w:vAlign w:val="center"/>
          </w:tcPr>
          <w:p w14:paraId="5FA26B33" w14:textId="77777777" w:rsidR="003E5BF5" w:rsidRPr="00D71A00" w:rsidRDefault="003E5BF5" w:rsidP="00DE1921">
            <w:pPr>
              <w:jc w:val="right"/>
              <w:rPr>
                <w:rFonts w:ascii="Arial" w:hAnsi="Arial" w:cs="Arial"/>
                <w:b/>
                <w:sz w:val="24"/>
                <w:szCs w:val="24"/>
                <w:lang w:eastAsia="en-AU"/>
              </w:rPr>
            </w:pPr>
          </w:p>
        </w:tc>
      </w:tr>
      <w:tr w:rsidR="003E5BF5" w:rsidRPr="00D71A00" w14:paraId="2B268AF3" w14:textId="77777777" w:rsidTr="00835B3B">
        <w:trPr>
          <w:trHeight w:val="340"/>
        </w:trPr>
        <w:tc>
          <w:tcPr>
            <w:tcW w:w="2738" w:type="dxa"/>
            <w:shd w:val="clear" w:color="auto" w:fill="auto"/>
            <w:noWrap/>
            <w:vAlign w:val="center"/>
            <w:hideMark/>
          </w:tcPr>
          <w:p w14:paraId="54496857" w14:textId="77777777" w:rsidR="003E5BF5" w:rsidRPr="00DA4FE9" w:rsidRDefault="003E5BF5" w:rsidP="00DE1921">
            <w:pPr>
              <w:rPr>
                <w:rFonts w:ascii="Arial" w:hAnsi="Arial" w:cs="Arial"/>
                <w:b/>
                <w:color w:val="0E787C"/>
                <w:sz w:val="24"/>
                <w:szCs w:val="24"/>
                <w:lang w:eastAsia="en-AU"/>
              </w:rPr>
            </w:pPr>
            <w:r w:rsidRPr="00DA4FE9">
              <w:rPr>
                <w:rFonts w:ascii="Arial" w:hAnsi="Arial" w:cs="Arial"/>
                <w:b/>
                <w:color w:val="0E787C"/>
                <w:sz w:val="24"/>
                <w:szCs w:val="24"/>
                <w:lang w:eastAsia="en-AU"/>
              </w:rPr>
              <w:t>Capital</w:t>
            </w:r>
          </w:p>
        </w:tc>
        <w:tc>
          <w:tcPr>
            <w:tcW w:w="3370" w:type="dxa"/>
            <w:shd w:val="clear" w:color="auto" w:fill="auto"/>
            <w:noWrap/>
            <w:vAlign w:val="center"/>
            <w:hideMark/>
          </w:tcPr>
          <w:p w14:paraId="1F34B989" w14:textId="77777777" w:rsidR="003E5BF5" w:rsidRPr="00D71A00" w:rsidRDefault="003E5BF5" w:rsidP="00DE1921">
            <w:pPr>
              <w:rPr>
                <w:rFonts w:ascii="Arial" w:hAnsi="Arial" w:cs="Arial"/>
                <w:b/>
                <w:sz w:val="24"/>
                <w:szCs w:val="24"/>
                <w:lang w:eastAsia="en-AU"/>
              </w:rPr>
            </w:pPr>
          </w:p>
        </w:tc>
        <w:tc>
          <w:tcPr>
            <w:tcW w:w="1482" w:type="dxa"/>
            <w:shd w:val="clear" w:color="auto" w:fill="auto"/>
            <w:noWrap/>
            <w:vAlign w:val="center"/>
            <w:hideMark/>
          </w:tcPr>
          <w:p w14:paraId="44BE6DC6" w14:textId="77777777" w:rsidR="003E5BF5" w:rsidRPr="00D71A00" w:rsidRDefault="003E5BF5" w:rsidP="00DE1921">
            <w:pPr>
              <w:jc w:val="right"/>
              <w:rPr>
                <w:rFonts w:ascii="Arial" w:hAnsi="Arial" w:cs="Arial"/>
                <w:sz w:val="24"/>
                <w:szCs w:val="24"/>
                <w:lang w:eastAsia="en-AU"/>
              </w:rPr>
            </w:pPr>
          </w:p>
        </w:tc>
        <w:tc>
          <w:tcPr>
            <w:tcW w:w="1482" w:type="dxa"/>
            <w:shd w:val="clear" w:color="auto" w:fill="auto"/>
            <w:noWrap/>
            <w:vAlign w:val="center"/>
            <w:hideMark/>
          </w:tcPr>
          <w:p w14:paraId="588616D3" w14:textId="77777777" w:rsidR="003E5BF5" w:rsidRPr="00D71A00" w:rsidRDefault="003E5BF5" w:rsidP="00DE1921">
            <w:pPr>
              <w:jc w:val="right"/>
              <w:rPr>
                <w:rFonts w:ascii="Arial" w:hAnsi="Arial" w:cs="Arial"/>
                <w:sz w:val="24"/>
                <w:szCs w:val="24"/>
                <w:lang w:eastAsia="en-AU"/>
              </w:rPr>
            </w:pPr>
          </w:p>
        </w:tc>
      </w:tr>
      <w:tr w:rsidR="003E5BF5" w:rsidRPr="00D71A00" w14:paraId="4D66C539" w14:textId="77777777" w:rsidTr="00835B3B">
        <w:trPr>
          <w:trHeight w:val="340"/>
        </w:trPr>
        <w:tc>
          <w:tcPr>
            <w:tcW w:w="2738" w:type="dxa"/>
            <w:shd w:val="clear" w:color="auto" w:fill="auto"/>
            <w:hideMark/>
          </w:tcPr>
          <w:p w14:paraId="00AD4E25"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lastRenderedPageBreak/>
              <w:t xml:space="preserve">Section 10 of the </w:t>
            </w:r>
            <w:r w:rsidRPr="00D71A00">
              <w:rPr>
                <w:rFonts w:ascii="Arial" w:hAnsi="Arial" w:cs="Arial"/>
                <w:i/>
                <w:sz w:val="24"/>
                <w:szCs w:val="24"/>
                <w:lang w:eastAsia="en-AU"/>
              </w:rPr>
              <w:t>Financial Management Act 1994</w:t>
            </w:r>
            <w:r w:rsidRPr="00D71A00">
              <w:rPr>
                <w:rFonts w:ascii="Arial" w:hAnsi="Arial" w:cs="Arial"/>
                <w:sz w:val="24"/>
                <w:szCs w:val="24"/>
                <w:lang w:eastAsia="en-AU"/>
              </w:rPr>
              <w:t xml:space="preserve"> Appropriation of Commonwealth Grants</w:t>
            </w:r>
          </w:p>
        </w:tc>
        <w:tc>
          <w:tcPr>
            <w:tcW w:w="3370" w:type="dxa"/>
            <w:shd w:val="clear" w:color="auto" w:fill="auto"/>
            <w:vAlign w:val="center"/>
            <w:hideMark/>
          </w:tcPr>
          <w:p w14:paraId="139B87F5"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Under arrangement between the Commonwealth and the State, money is granted or made available from the Consolidated Fund with the approval of the Governor in Council.</w:t>
            </w:r>
          </w:p>
        </w:tc>
        <w:tc>
          <w:tcPr>
            <w:tcW w:w="1482" w:type="dxa"/>
            <w:shd w:val="clear" w:color="auto" w:fill="auto"/>
            <w:noWrap/>
            <w:hideMark/>
          </w:tcPr>
          <w:p w14:paraId="50BB836B"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lang w:eastAsia="en-AU"/>
              </w:rPr>
              <w:t xml:space="preserve">221,463 </w:t>
            </w:r>
          </w:p>
        </w:tc>
        <w:tc>
          <w:tcPr>
            <w:tcW w:w="1482" w:type="dxa"/>
            <w:shd w:val="clear" w:color="auto" w:fill="auto"/>
            <w:noWrap/>
            <w:hideMark/>
          </w:tcPr>
          <w:p w14:paraId="44AD74CD"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lang w:eastAsia="en-AU"/>
              </w:rPr>
              <w:t xml:space="preserve">51,832 </w:t>
            </w:r>
          </w:p>
        </w:tc>
      </w:tr>
      <w:tr w:rsidR="003E5BF5" w:rsidRPr="00D71A00" w14:paraId="75337F72" w14:textId="77777777" w:rsidTr="00835B3B">
        <w:trPr>
          <w:trHeight w:val="340"/>
        </w:trPr>
        <w:tc>
          <w:tcPr>
            <w:tcW w:w="2738" w:type="dxa"/>
            <w:shd w:val="clear" w:color="auto" w:fill="auto"/>
            <w:noWrap/>
            <w:vAlign w:val="center"/>
            <w:hideMark/>
          </w:tcPr>
          <w:p w14:paraId="7AA8F2FF"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Total capital</w:t>
            </w:r>
          </w:p>
        </w:tc>
        <w:tc>
          <w:tcPr>
            <w:tcW w:w="3370" w:type="dxa"/>
            <w:shd w:val="clear" w:color="auto" w:fill="auto"/>
            <w:noWrap/>
            <w:vAlign w:val="center"/>
            <w:hideMark/>
          </w:tcPr>
          <w:p w14:paraId="3E7F11EE"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w:t>
            </w:r>
          </w:p>
        </w:tc>
        <w:tc>
          <w:tcPr>
            <w:tcW w:w="1482" w:type="dxa"/>
            <w:shd w:val="clear" w:color="auto" w:fill="auto"/>
            <w:noWrap/>
            <w:vAlign w:val="center"/>
            <w:hideMark/>
          </w:tcPr>
          <w:p w14:paraId="2BDFA384"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 xml:space="preserve">221,463 </w:t>
            </w:r>
          </w:p>
        </w:tc>
        <w:tc>
          <w:tcPr>
            <w:tcW w:w="1482" w:type="dxa"/>
            <w:shd w:val="clear" w:color="auto" w:fill="auto"/>
            <w:noWrap/>
            <w:vAlign w:val="center"/>
            <w:hideMark/>
          </w:tcPr>
          <w:p w14:paraId="3D90C071"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 xml:space="preserve">51,832 </w:t>
            </w:r>
          </w:p>
        </w:tc>
      </w:tr>
    </w:tbl>
    <w:p w14:paraId="53AD34CB" w14:textId="77777777" w:rsidR="003E5BF5" w:rsidRDefault="003E5BF5" w:rsidP="00DE1921">
      <w:pPr>
        <w:rPr>
          <w:lang w:eastAsia="en-AU"/>
        </w:rPr>
      </w:pPr>
    </w:p>
    <w:p w14:paraId="36CF3DAB" w14:textId="77777777" w:rsidR="003E5BF5" w:rsidRPr="001D3183" w:rsidRDefault="003E5BF5" w:rsidP="00DE1921">
      <w:pPr>
        <w:rPr>
          <w:lang w:val="en-GB" w:eastAsia="en-GB"/>
        </w:rPr>
      </w:pPr>
      <w:r>
        <w:br w:type="page"/>
      </w:r>
    </w:p>
    <w:p w14:paraId="477D8E81" w14:textId="77777777" w:rsidR="003E5BF5" w:rsidRPr="00100BC2" w:rsidRDefault="003E5BF5" w:rsidP="006667CC">
      <w:pPr>
        <w:pStyle w:val="Heading3"/>
        <w:numPr>
          <w:ilvl w:val="2"/>
          <w:numId w:val="3"/>
        </w:numPr>
        <w:ind w:left="851" w:hanging="851"/>
      </w:pPr>
      <w:r w:rsidRPr="00721F5D">
        <w:lastRenderedPageBreak/>
        <w:t>Annotated income agreements</w:t>
      </w:r>
    </w:p>
    <w:bookmarkEnd w:id="111"/>
    <w:bookmarkEnd w:id="112"/>
    <w:bookmarkEnd w:id="113"/>
    <w:bookmarkEnd w:id="114"/>
    <w:bookmarkEnd w:id="115"/>
    <w:bookmarkEnd w:id="116"/>
    <w:bookmarkEnd w:id="117"/>
    <w:bookmarkEnd w:id="118"/>
    <w:bookmarkEnd w:id="119"/>
    <w:bookmarkEnd w:id="120"/>
    <w:bookmarkEnd w:id="121"/>
    <w:bookmarkEnd w:id="122"/>
    <w:p w14:paraId="36D0CC59" w14:textId="77777777" w:rsidR="003E5BF5" w:rsidRPr="006C3075" w:rsidRDefault="003E5BF5" w:rsidP="005D79E1">
      <w:pPr>
        <w:pStyle w:val="aaatyping"/>
      </w:pPr>
      <w:r w:rsidRPr="007444F0">
        <w:t xml:space="preserve">The </w:t>
      </w:r>
      <w:r>
        <w:t>d</w:t>
      </w:r>
      <w:r w:rsidRPr="007444F0">
        <w:t>epartment is permitted under section 29 of the FMA</w:t>
      </w:r>
      <w:r>
        <w:t xml:space="preserve"> </w:t>
      </w:r>
      <w:r w:rsidRPr="007444F0">
        <w:t xml:space="preserve">to have certain income annotated to the annual appropriation. The income which forms part of a section 29 agreement is recognised by the </w:t>
      </w:r>
      <w:r>
        <w:t>d</w:t>
      </w:r>
      <w:r w:rsidRPr="007444F0">
        <w:t>epartment as an administered item and the receipts paid into the consolidated fund. If a section 29 agreement is in place, the relevant appropriation item will be increased by the equivalent amount at the point of income recognition.</w:t>
      </w:r>
      <w:r>
        <w:t xml:space="preserve"> </w:t>
      </w:r>
      <w:r w:rsidRPr="007444F0">
        <w:t>The following is a listing of annotated income agreements approved by the Treasurer</w:t>
      </w:r>
      <w:r>
        <w:t>:</w:t>
      </w:r>
      <w:bookmarkStart w:id="123" w:name="RANGE!A3:C36"/>
      <w:bookmarkStart w:id="124" w:name="RANGE!A3:C41"/>
      <w:bookmarkEnd w:id="123"/>
      <w:bookmarkEnd w:id="124"/>
    </w:p>
    <w:tbl>
      <w:tblPr>
        <w:tblStyle w:val="TableGrid"/>
        <w:tblW w:w="9072" w:type="dxa"/>
        <w:tblLayout w:type="fixed"/>
        <w:tblLook w:val="04A0" w:firstRow="1" w:lastRow="0" w:firstColumn="1" w:lastColumn="0" w:noHBand="0" w:noVBand="1"/>
      </w:tblPr>
      <w:tblGrid>
        <w:gridCol w:w="5663"/>
        <w:gridCol w:w="1703"/>
        <w:gridCol w:w="1706"/>
      </w:tblGrid>
      <w:tr w:rsidR="003945B9" w:rsidRPr="00D71A00" w14:paraId="62B1A7CC" w14:textId="77777777" w:rsidTr="00722290">
        <w:trPr>
          <w:trHeight w:val="340"/>
          <w:tblHeader/>
        </w:trPr>
        <w:tc>
          <w:tcPr>
            <w:tcW w:w="5665" w:type="dxa"/>
            <w:shd w:val="clear" w:color="auto" w:fill="auto"/>
            <w:noWrap/>
            <w:hideMark/>
          </w:tcPr>
          <w:p w14:paraId="033C31E0" w14:textId="77777777" w:rsidR="003945B9" w:rsidRPr="00D71A00" w:rsidRDefault="003945B9" w:rsidP="00DE1921">
            <w:pPr>
              <w:rPr>
                <w:rFonts w:ascii="Arial" w:hAnsi="Arial" w:cs="Arial"/>
                <w:sz w:val="24"/>
                <w:szCs w:val="24"/>
                <w:lang w:eastAsia="en-AU"/>
              </w:rPr>
            </w:pPr>
          </w:p>
        </w:tc>
        <w:tc>
          <w:tcPr>
            <w:tcW w:w="1703" w:type="dxa"/>
            <w:shd w:val="clear" w:color="auto" w:fill="auto"/>
            <w:noWrap/>
            <w:vAlign w:val="center"/>
            <w:hideMark/>
          </w:tcPr>
          <w:p w14:paraId="4665C7B7" w14:textId="77777777" w:rsidR="003945B9" w:rsidRPr="00D71A00" w:rsidRDefault="003945B9" w:rsidP="00DE1921">
            <w:pPr>
              <w:jc w:val="center"/>
              <w:rPr>
                <w:rFonts w:ascii="Arial" w:hAnsi="Arial" w:cs="Arial"/>
                <w:b/>
                <w:sz w:val="24"/>
                <w:szCs w:val="24"/>
                <w:lang w:eastAsia="en-AU"/>
              </w:rPr>
            </w:pPr>
            <w:r w:rsidRPr="00D71A00">
              <w:rPr>
                <w:rFonts w:ascii="Arial" w:hAnsi="Arial" w:cs="Arial"/>
                <w:b/>
                <w:sz w:val="24"/>
                <w:szCs w:val="24"/>
                <w:lang w:eastAsia="en-AU"/>
              </w:rPr>
              <w:t>($ thousand)</w:t>
            </w:r>
          </w:p>
        </w:tc>
        <w:tc>
          <w:tcPr>
            <w:tcW w:w="1704" w:type="dxa"/>
            <w:shd w:val="clear" w:color="auto" w:fill="auto"/>
            <w:noWrap/>
            <w:vAlign w:val="center"/>
          </w:tcPr>
          <w:p w14:paraId="3752130D" w14:textId="0C1CD9C0" w:rsidR="003945B9" w:rsidRPr="00D71A00" w:rsidRDefault="003945B9" w:rsidP="00DE1921">
            <w:pPr>
              <w:jc w:val="center"/>
              <w:rPr>
                <w:rFonts w:ascii="Arial" w:hAnsi="Arial" w:cs="Arial"/>
                <w:b/>
                <w:sz w:val="24"/>
                <w:szCs w:val="24"/>
                <w:lang w:eastAsia="en-AU"/>
              </w:rPr>
            </w:pPr>
            <w:r w:rsidRPr="00D71A00">
              <w:rPr>
                <w:rFonts w:ascii="Arial" w:hAnsi="Arial" w:cs="Arial"/>
                <w:b/>
                <w:sz w:val="24"/>
                <w:szCs w:val="24"/>
                <w:lang w:eastAsia="en-AU"/>
              </w:rPr>
              <w:t>($ thousand)</w:t>
            </w:r>
          </w:p>
        </w:tc>
      </w:tr>
      <w:tr w:rsidR="003E5BF5" w:rsidRPr="00D71A00" w14:paraId="5086F094" w14:textId="77777777" w:rsidTr="00722290">
        <w:trPr>
          <w:trHeight w:val="340"/>
          <w:tblHeader/>
        </w:trPr>
        <w:tc>
          <w:tcPr>
            <w:tcW w:w="5665" w:type="dxa"/>
            <w:shd w:val="clear" w:color="auto" w:fill="auto"/>
            <w:noWrap/>
            <w:hideMark/>
          </w:tcPr>
          <w:p w14:paraId="547F384A" w14:textId="77777777" w:rsidR="003E5BF5" w:rsidRPr="00D71A00" w:rsidRDefault="003E5BF5" w:rsidP="00DE1921">
            <w:pPr>
              <w:rPr>
                <w:rFonts w:ascii="Arial" w:hAnsi="Arial" w:cs="Arial"/>
                <w:sz w:val="24"/>
                <w:szCs w:val="24"/>
                <w:lang w:eastAsia="en-AU"/>
              </w:rPr>
            </w:pPr>
          </w:p>
        </w:tc>
        <w:tc>
          <w:tcPr>
            <w:tcW w:w="1703" w:type="dxa"/>
            <w:shd w:val="clear" w:color="auto" w:fill="auto"/>
            <w:noWrap/>
            <w:vAlign w:val="center"/>
            <w:hideMark/>
          </w:tcPr>
          <w:p w14:paraId="2F9F6067"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2020</w:t>
            </w:r>
          </w:p>
        </w:tc>
        <w:tc>
          <w:tcPr>
            <w:tcW w:w="1704" w:type="dxa"/>
            <w:shd w:val="clear" w:color="auto" w:fill="auto"/>
            <w:noWrap/>
            <w:vAlign w:val="center"/>
            <w:hideMark/>
          </w:tcPr>
          <w:p w14:paraId="10420A04"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2019</w:t>
            </w:r>
          </w:p>
        </w:tc>
      </w:tr>
      <w:tr w:rsidR="003E5BF5" w:rsidRPr="00D71A00" w14:paraId="5F31A31E" w14:textId="77777777" w:rsidTr="00722290">
        <w:trPr>
          <w:trHeight w:val="340"/>
        </w:trPr>
        <w:tc>
          <w:tcPr>
            <w:tcW w:w="5665" w:type="dxa"/>
            <w:shd w:val="clear" w:color="auto" w:fill="auto"/>
            <w:noWrap/>
            <w:vAlign w:val="center"/>
            <w:hideMark/>
          </w:tcPr>
          <w:p w14:paraId="63C82F49" w14:textId="77777777" w:rsidR="003E5BF5" w:rsidRPr="00D71A00" w:rsidRDefault="003E5BF5" w:rsidP="00604703">
            <w:pPr>
              <w:pStyle w:val="TableTextGreen"/>
            </w:pPr>
            <w:r w:rsidRPr="00D71A00">
              <w:t>User charges, sale of goods and services</w:t>
            </w:r>
          </w:p>
        </w:tc>
        <w:tc>
          <w:tcPr>
            <w:tcW w:w="1701" w:type="dxa"/>
            <w:shd w:val="clear" w:color="auto" w:fill="auto"/>
            <w:noWrap/>
            <w:vAlign w:val="center"/>
            <w:hideMark/>
          </w:tcPr>
          <w:p w14:paraId="11CAF557" w14:textId="77777777" w:rsidR="003E5BF5" w:rsidRPr="00D71A00" w:rsidRDefault="003E5BF5" w:rsidP="00DE1921">
            <w:pPr>
              <w:jc w:val="right"/>
              <w:rPr>
                <w:rFonts w:ascii="Arial" w:hAnsi="Arial" w:cs="Arial"/>
                <w:b/>
                <w:sz w:val="24"/>
                <w:szCs w:val="24"/>
                <w:lang w:eastAsia="en-AU"/>
              </w:rPr>
            </w:pPr>
          </w:p>
        </w:tc>
        <w:tc>
          <w:tcPr>
            <w:tcW w:w="1706" w:type="dxa"/>
            <w:shd w:val="clear" w:color="auto" w:fill="auto"/>
            <w:noWrap/>
            <w:vAlign w:val="center"/>
            <w:hideMark/>
          </w:tcPr>
          <w:p w14:paraId="3232BAB6" w14:textId="77777777" w:rsidR="003E5BF5" w:rsidRPr="00D71A00" w:rsidRDefault="003E5BF5" w:rsidP="00DE1921">
            <w:pPr>
              <w:jc w:val="right"/>
              <w:rPr>
                <w:rFonts w:ascii="Arial" w:hAnsi="Arial" w:cs="Arial"/>
                <w:sz w:val="24"/>
                <w:szCs w:val="24"/>
                <w:lang w:eastAsia="en-AU"/>
              </w:rPr>
            </w:pPr>
          </w:p>
        </w:tc>
      </w:tr>
      <w:tr w:rsidR="003E5BF5" w:rsidRPr="00D71A00" w14:paraId="673997A7" w14:textId="77777777" w:rsidTr="00722290">
        <w:trPr>
          <w:trHeight w:val="340"/>
        </w:trPr>
        <w:tc>
          <w:tcPr>
            <w:tcW w:w="5665" w:type="dxa"/>
            <w:shd w:val="clear" w:color="auto" w:fill="auto"/>
            <w:noWrap/>
            <w:vAlign w:val="center"/>
            <w:hideMark/>
          </w:tcPr>
          <w:p w14:paraId="0E4BAF49"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Advertising panels at bus shelter</w:t>
            </w:r>
          </w:p>
        </w:tc>
        <w:tc>
          <w:tcPr>
            <w:tcW w:w="1701" w:type="dxa"/>
            <w:shd w:val="clear" w:color="auto" w:fill="auto"/>
            <w:noWrap/>
            <w:vAlign w:val="center"/>
            <w:hideMark/>
          </w:tcPr>
          <w:p w14:paraId="089040E4"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17,740 </w:t>
            </w:r>
          </w:p>
        </w:tc>
        <w:tc>
          <w:tcPr>
            <w:tcW w:w="1706" w:type="dxa"/>
            <w:shd w:val="clear" w:color="auto" w:fill="auto"/>
            <w:noWrap/>
            <w:vAlign w:val="center"/>
            <w:hideMark/>
          </w:tcPr>
          <w:p w14:paraId="2116153D"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r>
      <w:tr w:rsidR="003E5BF5" w:rsidRPr="00D71A00" w14:paraId="6BC5AB89" w14:textId="77777777" w:rsidTr="00722290">
        <w:trPr>
          <w:trHeight w:val="340"/>
        </w:trPr>
        <w:tc>
          <w:tcPr>
            <w:tcW w:w="5665" w:type="dxa"/>
            <w:shd w:val="clear" w:color="auto" w:fill="auto"/>
            <w:noWrap/>
            <w:vAlign w:val="center"/>
            <w:hideMark/>
          </w:tcPr>
          <w:p w14:paraId="277BE159"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Agriculture and veterinary chemical permits </w:t>
            </w:r>
            <w:r w:rsidRPr="00D71A00">
              <w:rPr>
                <w:rFonts w:ascii="Arial" w:hAnsi="Arial" w:cs="Arial"/>
                <w:sz w:val="24"/>
                <w:szCs w:val="24"/>
                <w:vertAlign w:val="superscript"/>
                <w:lang w:eastAsia="en-AU"/>
              </w:rPr>
              <w:t>(</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5680DA96"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284EA2BB"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62 </w:t>
            </w:r>
          </w:p>
        </w:tc>
      </w:tr>
      <w:tr w:rsidR="003E5BF5" w:rsidRPr="00D71A00" w14:paraId="6ADFCB3C" w14:textId="77777777" w:rsidTr="00722290">
        <w:trPr>
          <w:trHeight w:val="340"/>
        </w:trPr>
        <w:tc>
          <w:tcPr>
            <w:tcW w:w="5665" w:type="dxa"/>
            <w:shd w:val="clear" w:color="auto" w:fill="auto"/>
            <w:noWrap/>
            <w:vAlign w:val="center"/>
            <w:hideMark/>
          </w:tcPr>
          <w:p w14:paraId="19528B2D"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Bioscience Research Centre - La Trobe contribution to quarterly services payments</w:t>
            </w:r>
            <w:r w:rsidRPr="00D71A00">
              <w:rPr>
                <w:rFonts w:ascii="Arial" w:hAnsi="Arial" w:cs="Arial"/>
                <w:sz w:val="24"/>
                <w:szCs w:val="24"/>
                <w:vertAlign w:val="superscript"/>
                <w:lang w:eastAsia="en-AU"/>
              </w:rPr>
              <w:t xml:space="preserve"> (</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0EB2001D"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5DBB05F1"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944 </w:t>
            </w:r>
          </w:p>
        </w:tc>
      </w:tr>
      <w:tr w:rsidR="003E5BF5" w:rsidRPr="00D71A00" w14:paraId="05071C5D" w14:textId="77777777" w:rsidTr="00722290">
        <w:trPr>
          <w:trHeight w:val="340"/>
        </w:trPr>
        <w:tc>
          <w:tcPr>
            <w:tcW w:w="5665" w:type="dxa"/>
            <w:shd w:val="clear" w:color="auto" w:fill="auto"/>
            <w:noWrap/>
            <w:vAlign w:val="center"/>
            <w:hideMark/>
          </w:tcPr>
          <w:p w14:paraId="2684B116"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Bridge Renewal Programme</w:t>
            </w:r>
          </w:p>
        </w:tc>
        <w:tc>
          <w:tcPr>
            <w:tcW w:w="1701" w:type="dxa"/>
            <w:shd w:val="clear" w:color="auto" w:fill="auto"/>
            <w:noWrap/>
            <w:vAlign w:val="center"/>
            <w:hideMark/>
          </w:tcPr>
          <w:p w14:paraId="4B8A6F3C"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21,500 </w:t>
            </w:r>
          </w:p>
        </w:tc>
        <w:tc>
          <w:tcPr>
            <w:tcW w:w="1706" w:type="dxa"/>
            <w:shd w:val="clear" w:color="auto" w:fill="auto"/>
            <w:noWrap/>
            <w:vAlign w:val="center"/>
            <w:hideMark/>
          </w:tcPr>
          <w:p w14:paraId="18DA2D43"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1,234 </w:t>
            </w:r>
          </w:p>
        </w:tc>
      </w:tr>
      <w:tr w:rsidR="003E5BF5" w:rsidRPr="00D71A00" w14:paraId="5A6D2794" w14:textId="77777777" w:rsidTr="00722290">
        <w:trPr>
          <w:trHeight w:val="340"/>
        </w:trPr>
        <w:tc>
          <w:tcPr>
            <w:tcW w:w="5665" w:type="dxa"/>
            <w:shd w:val="clear" w:color="auto" w:fill="auto"/>
            <w:noWrap/>
            <w:vAlign w:val="center"/>
            <w:hideMark/>
          </w:tcPr>
          <w:p w14:paraId="7CD7D806"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Cultivating and processing of poppies</w:t>
            </w:r>
            <w:r w:rsidRPr="00D71A00">
              <w:rPr>
                <w:rFonts w:ascii="Arial" w:hAnsi="Arial" w:cs="Arial"/>
                <w:sz w:val="24"/>
                <w:szCs w:val="24"/>
                <w:vertAlign w:val="superscript"/>
                <w:lang w:eastAsia="en-AU"/>
              </w:rPr>
              <w:t xml:space="preserve"> (</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7F875FE1"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r w:rsidRPr="00D71A00">
              <w:rPr>
                <w:rFonts w:ascii="Arial" w:hAnsi="Arial" w:cs="Arial"/>
                <w:sz w:val="24"/>
                <w:szCs w:val="24"/>
              </w:rPr>
              <w:t xml:space="preserve"> </w:t>
            </w:r>
          </w:p>
        </w:tc>
        <w:tc>
          <w:tcPr>
            <w:tcW w:w="1706" w:type="dxa"/>
            <w:shd w:val="clear" w:color="auto" w:fill="auto"/>
            <w:noWrap/>
            <w:vAlign w:val="center"/>
            <w:hideMark/>
          </w:tcPr>
          <w:p w14:paraId="077624C4"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67 </w:t>
            </w:r>
          </w:p>
        </w:tc>
      </w:tr>
      <w:tr w:rsidR="003E5BF5" w:rsidRPr="00D71A00" w14:paraId="2A4AFD2F" w14:textId="77777777" w:rsidTr="00722290">
        <w:trPr>
          <w:trHeight w:val="340"/>
        </w:trPr>
        <w:tc>
          <w:tcPr>
            <w:tcW w:w="5665" w:type="dxa"/>
            <w:shd w:val="clear" w:color="auto" w:fill="auto"/>
            <w:noWrap/>
            <w:vAlign w:val="center"/>
            <w:hideMark/>
          </w:tcPr>
          <w:p w14:paraId="28943155"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Custom Registration Plates</w:t>
            </w:r>
          </w:p>
        </w:tc>
        <w:tc>
          <w:tcPr>
            <w:tcW w:w="1701" w:type="dxa"/>
            <w:shd w:val="clear" w:color="auto" w:fill="auto"/>
            <w:noWrap/>
            <w:vAlign w:val="center"/>
            <w:hideMark/>
          </w:tcPr>
          <w:p w14:paraId="5835582E"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53,349 </w:t>
            </w:r>
          </w:p>
        </w:tc>
        <w:tc>
          <w:tcPr>
            <w:tcW w:w="1706" w:type="dxa"/>
            <w:shd w:val="clear" w:color="auto" w:fill="auto"/>
            <w:noWrap/>
            <w:vAlign w:val="center"/>
            <w:hideMark/>
          </w:tcPr>
          <w:p w14:paraId="1184AF6F"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r>
      <w:tr w:rsidR="003E5BF5" w:rsidRPr="00D71A00" w14:paraId="0E2BAD6E" w14:textId="77777777" w:rsidTr="00722290">
        <w:trPr>
          <w:trHeight w:val="340"/>
        </w:trPr>
        <w:tc>
          <w:tcPr>
            <w:tcW w:w="5665" w:type="dxa"/>
            <w:shd w:val="clear" w:color="auto" w:fill="auto"/>
            <w:noWrap/>
            <w:vAlign w:val="center"/>
            <w:hideMark/>
          </w:tcPr>
          <w:p w14:paraId="19DFAEF8"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Fisheries Cost Recovery</w:t>
            </w:r>
          </w:p>
        </w:tc>
        <w:tc>
          <w:tcPr>
            <w:tcW w:w="1701" w:type="dxa"/>
            <w:shd w:val="clear" w:color="auto" w:fill="auto"/>
            <w:noWrap/>
            <w:vAlign w:val="center"/>
            <w:hideMark/>
          </w:tcPr>
          <w:p w14:paraId="35483118"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4,370 </w:t>
            </w:r>
          </w:p>
        </w:tc>
        <w:tc>
          <w:tcPr>
            <w:tcW w:w="1706" w:type="dxa"/>
            <w:shd w:val="clear" w:color="auto" w:fill="auto"/>
            <w:noWrap/>
            <w:vAlign w:val="center"/>
            <w:hideMark/>
          </w:tcPr>
          <w:p w14:paraId="2D9026C2"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3,143 </w:t>
            </w:r>
          </w:p>
        </w:tc>
      </w:tr>
      <w:tr w:rsidR="003E5BF5" w:rsidRPr="00D71A00" w14:paraId="608D4E5C" w14:textId="77777777" w:rsidTr="00722290">
        <w:trPr>
          <w:trHeight w:val="340"/>
        </w:trPr>
        <w:tc>
          <w:tcPr>
            <w:tcW w:w="5665" w:type="dxa"/>
            <w:shd w:val="clear" w:color="auto" w:fill="auto"/>
            <w:noWrap/>
            <w:vAlign w:val="center"/>
            <w:hideMark/>
          </w:tcPr>
          <w:p w14:paraId="3CA91D58"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Gardiner Foundation contributions from Commonwealth-funded bodies </w:t>
            </w:r>
            <w:r w:rsidRPr="00D71A00">
              <w:rPr>
                <w:rFonts w:ascii="Arial" w:hAnsi="Arial" w:cs="Arial"/>
                <w:sz w:val="24"/>
                <w:szCs w:val="24"/>
                <w:vertAlign w:val="superscript"/>
                <w:lang w:eastAsia="en-AU"/>
              </w:rPr>
              <w:t>(</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3ED77E47"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6C14444E"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7 </w:t>
            </w:r>
          </w:p>
        </w:tc>
      </w:tr>
      <w:tr w:rsidR="003E5BF5" w:rsidRPr="00D71A00" w14:paraId="76CA3457" w14:textId="77777777" w:rsidTr="00722290">
        <w:trPr>
          <w:trHeight w:val="340"/>
        </w:trPr>
        <w:tc>
          <w:tcPr>
            <w:tcW w:w="5665" w:type="dxa"/>
            <w:shd w:val="clear" w:color="auto" w:fill="auto"/>
            <w:noWrap/>
            <w:vAlign w:val="center"/>
            <w:hideMark/>
          </w:tcPr>
          <w:p w14:paraId="2803FA29"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Grants from Catchment Management Authorities </w:t>
            </w:r>
            <w:r w:rsidRPr="00D71A00">
              <w:rPr>
                <w:rFonts w:ascii="Arial" w:hAnsi="Arial" w:cs="Arial"/>
                <w:sz w:val="24"/>
                <w:szCs w:val="24"/>
                <w:vertAlign w:val="superscript"/>
                <w:lang w:eastAsia="en-AU"/>
              </w:rPr>
              <w:t>(</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3BA0CF76"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2343B02B"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21 </w:t>
            </w:r>
          </w:p>
        </w:tc>
      </w:tr>
      <w:tr w:rsidR="003E5BF5" w:rsidRPr="00D71A00" w14:paraId="2BB1D1DF" w14:textId="77777777" w:rsidTr="00722290">
        <w:trPr>
          <w:trHeight w:val="340"/>
        </w:trPr>
        <w:tc>
          <w:tcPr>
            <w:tcW w:w="5665" w:type="dxa"/>
            <w:shd w:val="clear" w:color="auto" w:fill="auto"/>
            <w:noWrap/>
            <w:vAlign w:val="center"/>
            <w:hideMark/>
          </w:tcPr>
          <w:p w14:paraId="4646DBD3"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Infrastructure Investment Programme/Building Australia Fund - rail projects</w:t>
            </w:r>
          </w:p>
        </w:tc>
        <w:tc>
          <w:tcPr>
            <w:tcW w:w="1701" w:type="dxa"/>
            <w:shd w:val="clear" w:color="auto" w:fill="auto"/>
            <w:noWrap/>
            <w:vAlign w:val="center"/>
            <w:hideMark/>
          </w:tcPr>
          <w:p w14:paraId="276C0EFC"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637 </w:t>
            </w:r>
          </w:p>
        </w:tc>
        <w:tc>
          <w:tcPr>
            <w:tcW w:w="1706" w:type="dxa"/>
            <w:shd w:val="clear" w:color="auto" w:fill="auto"/>
            <w:noWrap/>
            <w:vAlign w:val="center"/>
            <w:hideMark/>
          </w:tcPr>
          <w:p w14:paraId="7787B182"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3,273 </w:t>
            </w:r>
          </w:p>
        </w:tc>
      </w:tr>
      <w:tr w:rsidR="003E5BF5" w:rsidRPr="00D71A00" w14:paraId="2F538333" w14:textId="77777777" w:rsidTr="00722290">
        <w:trPr>
          <w:trHeight w:val="340"/>
        </w:trPr>
        <w:tc>
          <w:tcPr>
            <w:tcW w:w="5665" w:type="dxa"/>
            <w:shd w:val="clear" w:color="auto" w:fill="auto"/>
            <w:noWrap/>
            <w:vAlign w:val="center"/>
            <w:hideMark/>
          </w:tcPr>
          <w:p w14:paraId="5FCD2569"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Livestock Electronic Tags</w:t>
            </w:r>
            <w:r w:rsidRPr="00D71A00">
              <w:rPr>
                <w:rFonts w:ascii="Arial" w:hAnsi="Arial" w:cs="Arial"/>
                <w:sz w:val="24"/>
                <w:szCs w:val="24"/>
                <w:vertAlign w:val="superscript"/>
                <w:lang w:eastAsia="en-AU"/>
              </w:rPr>
              <w:t xml:space="preserve"> (</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5C211F55"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7DBBF92F"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3,234 </w:t>
            </w:r>
          </w:p>
        </w:tc>
      </w:tr>
      <w:tr w:rsidR="003E5BF5" w:rsidRPr="00D71A00" w14:paraId="39960976" w14:textId="77777777" w:rsidTr="00722290">
        <w:trPr>
          <w:trHeight w:val="340"/>
        </w:trPr>
        <w:tc>
          <w:tcPr>
            <w:tcW w:w="5665" w:type="dxa"/>
            <w:shd w:val="clear" w:color="auto" w:fill="auto"/>
            <w:noWrap/>
            <w:vAlign w:val="center"/>
            <w:hideMark/>
          </w:tcPr>
          <w:p w14:paraId="31DD1092"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Melbourne Convention Exhibition Centre </w:t>
            </w:r>
            <w:r w:rsidRPr="00D71A00">
              <w:rPr>
                <w:rFonts w:ascii="Arial" w:hAnsi="Arial" w:cs="Arial"/>
                <w:sz w:val="24"/>
                <w:szCs w:val="24"/>
                <w:vertAlign w:val="superscript"/>
                <w:lang w:eastAsia="en-AU"/>
              </w:rPr>
              <w:t>(</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08D1911A"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6AB840AC"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2,281 </w:t>
            </w:r>
          </w:p>
        </w:tc>
      </w:tr>
      <w:tr w:rsidR="003E5BF5" w:rsidRPr="00D71A00" w14:paraId="23BFB50A" w14:textId="77777777" w:rsidTr="00722290">
        <w:trPr>
          <w:trHeight w:val="340"/>
        </w:trPr>
        <w:tc>
          <w:tcPr>
            <w:tcW w:w="5665" w:type="dxa"/>
            <w:shd w:val="clear" w:color="auto" w:fill="auto"/>
            <w:noWrap/>
            <w:vAlign w:val="center"/>
            <w:hideMark/>
          </w:tcPr>
          <w:p w14:paraId="4BF5BAD3"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Melbourne Markets </w:t>
            </w:r>
            <w:r w:rsidRPr="00D71A00">
              <w:rPr>
                <w:rFonts w:ascii="Arial" w:hAnsi="Arial" w:cs="Arial"/>
                <w:sz w:val="24"/>
                <w:szCs w:val="24"/>
                <w:vertAlign w:val="superscript"/>
                <w:lang w:eastAsia="en-AU"/>
              </w:rPr>
              <w:t>(</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2D0D0B04"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686C748A"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58 </w:t>
            </w:r>
          </w:p>
        </w:tc>
      </w:tr>
      <w:tr w:rsidR="003E5BF5" w:rsidRPr="00D71A00" w14:paraId="63A6AFA1" w14:textId="77777777" w:rsidTr="00722290">
        <w:trPr>
          <w:trHeight w:val="340"/>
        </w:trPr>
        <w:tc>
          <w:tcPr>
            <w:tcW w:w="5665" w:type="dxa"/>
            <w:shd w:val="clear" w:color="auto" w:fill="auto"/>
            <w:noWrap/>
            <w:vAlign w:val="center"/>
            <w:hideMark/>
          </w:tcPr>
          <w:p w14:paraId="0C91117C"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Nation Building - road projects</w:t>
            </w:r>
          </w:p>
        </w:tc>
        <w:tc>
          <w:tcPr>
            <w:tcW w:w="1701" w:type="dxa"/>
            <w:shd w:val="clear" w:color="auto" w:fill="auto"/>
            <w:noWrap/>
            <w:vAlign w:val="center"/>
            <w:hideMark/>
          </w:tcPr>
          <w:p w14:paraId="34587526"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5,771 </w:t>
            </w:r>
          </w:p>
        </w:tc>
        <w:tc>
          <w:tcPr>
            <w:tcW w:w="1706" w:type="dxa"/>
            <w:shd w:val="clear" w:color="auto" w:fill="auto"/>
            <w:noWrap/>
            <w:vAlign w:val="center"/>
            <w:hideMark/>
          </w:tcPr>
          <w:p w14:paraId="40930800"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12,237 </w:t>
            </w:r>
          </w:p>
        </w:tc>
      </w:tr>
      <w:tr w:rsidR="003E5BF5" w:rsidRPr="00D71A00" w14:paraId="1729A190" w14:textId="77777777" w:rsidTr="00722290">
        <w:trPr>
          <w:trHeight w:val="340"/>
        </w:trPr>
        <w:tc>
          <w:tcPr>
            <w:tcW w:w="5665" w:type="dxa"/>
            <w:shd w:val="clear" w:color="auto" w:fill="auto"/>
            <w:noWrap/>
            <w:vAlign w:val="center"/>
            <w:hideMark/>
          </w:tcPr>
          <w:p w14:paraId="0CACA635"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Paper Australia Pulpwood Agreement </w:t>
            </w:r>
            <w:r w:rsidRPr="00D71A00">
              <w:rPr>
                <w:rFonts w:ascii="Arial" w:hAnsi="Arial" w:cs="Arial"/>
                <w:sz w:val="24"/>
                <w:szCs w:val="24"/>
                <w:vertAlign w:val="superscript"/>
                <w:lang w:eastAsia="en-AU"/>
              </w:rPr>
              <w:t>(</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5670F640"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46A3DB87"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6,058 </w:t>
            </w:r>
          </w:p>
        </w:tc>
      </w:tr>
      <w:tr w:rsidR="003E5BF5" w:rsidRPr="00D71A00" w14:paraId="1A08F3C5" w14:textId="77777777" w:rsidTr="00722290">
        <w:trPr>
          <w:trHeight w:val="340"/>
        </w:trPr>
        <w:tc>
          <w:tcPr>
            <w:tcW w:w="5665" w:type="dxa"/>
            <w:shd w:val="clear" w:color="auto" w:fill="auto"/>
            <w:noWrap/>
            <w:vAlign w:val="center"/>
            <w:hideMark/>
          </w:tcPr>
          <w:p w14:paraId="3327CAC9"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Plant and exotic disease preparedness and eradication </w:t>
            </w:r>
            <w:r w:rsidRPr="00D71A00">
              <w:rPr>
                <w:rFonts w:ascii="Arial" w:hAnsi="Arial" w:cs="Arial"/>
                <w:sz w:val="24"/>
                <w:szCs w:val="24"/>
                <w:vertAlign w:val="superscript"/>
                <w:lang w:eastAsia="en-AU"/>
              </w:rPr>
              <w:t>(</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189B40B6"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170E48BB"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50 </w:t>
            </w:r>
          </w:p>
        </w:tc>
      </w:tr>
      <w:tr w:rsidR="003E5BF5" w:rsidRPr="00D71A00" w14:paraId="05D3B1D4" w14:textId="77777777" w:rsidTr="00722290">
        <w:trPr>
          <w:trHeight w:val="340"/>
        </w:trPr>
        <w:tc>
          <w:tcPr>
            <w:tcW w:w="5665" w:type="dxa"/>
            <w:shd w:val="clear" w:color="auto" w:fill="auto"/>
            <w:noWrap/>
            <w:vAlign w:val="center"/>
            <w:hideMark/>
          </w:tcPr>
          <w:p w14:paraId="647C8B21"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Proceed from East West Link Land Sales</w:t>
            </w:r>
          </w:p>
        </w:tc>
        <w:tc>
          <w:tcPr>
            <w:tcW w:w="1701" w:type="dxa"/>
            <w:shd w:val="clear" w:color="auto" w:fill="auto"/>
            <w:noWrap/>
            <w:vAlign w:val="center"/>
            <w:hideMark/>
          </w:tcPr>
          <w:p w14:paraId="18F26488"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1,917 </w:t>
            </w:r>
          </w:p>
        </w:tc>
        <w:tc>
          <w:tcPr>
            <w:tcW w:w="1706" w:type="dxa"/>
            <w:shd w:val="clear" w:color="auto" w:fill="auto"/>
            <w:noWrap/>
            <w:vAlign w:val="center"/>
            <w:hideMark/>
          </w:tcPr>
          <w:p w14:paraId="26076C55"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r w:rsidRPr="00D71A00">
              <w:rPr>
                <w:rFonts w:ascii="Arial" w:hAnsi="Arial" w:cs="Arial"/>
                <w:sz w:val="24"/>
                <w:szCs w:val="24"/>
              </w:rPr>
              <w:t xml:space="preserve"> </w:t>
            </w:r>
          </w:p>
        </w:tc>
      </w:tr>
      <w:tr w:rsidR="003E5BF5" w:rsidRPr="00D71A00" w14:paraId="313A0BEE" w14:textId="77777777" w:rsidTr="00722290">
        <w:trPr>
          <w:trHeight w:val="340"/>
        </w:trPr>
        <w:tc>
          <w:tcPr>
            <w:tcW w:w="5665" w:type="dxa"/>
            <w:shd w:val="clear" w:color="auto" w:fill="auto"/>
            <w:noWrap/>
            <w:vAlign w:val="center"/>
            <w:hideMark/>
          </w:tcPr>
          <w:p w14:paraId="2559C74B"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Rental income</w:t>
            </w:r>
          </w:p>
        </w:tc>
        <w:tc>
          <w:tcPr>
            <w:tcW w:w="1701" w:type="dxa"/>
            <w:shd w:val="clear" w:color="auto" w:fill="auto"/>
            <w:noWrap/>
            <w:vAlign w:val="center"/>
            <w:hideMark/>
          </w:tcPr>
          <w:p w14:paraId="003F4158"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15BA902F"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2,038 </w:t>
            </w:r>
          </w:p>
        </w:tc>
      </w:tr>
      <w:tr w:rsidR="003E5BF5" w:rsidRPr="00D71A00" w14:paraId="08B22641" w14:textId="77777777" w:rsidTr="00722290">
        <w:trPr>
          <w:trHeight w:val="340"/>
        </w:trPr>
        <w:tc>
          <w:tcPr>
            <w:tcW w:w="5665" w:type="dxa"/>
            <w:shd w:val="clear" w:color="auto" w:fill="auto"/>
            <w:noWrap/>
            <w:vAlign w:val="center"/>
            <w:hideMark/>
          </w:tcPr>
          <w:p w14:paraId="1AE87BCA"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Research and experimental projects - industry contributions</w:t>
            </w:r>
            <w:r w:rsidRPr="00D71A00">
              <w:rPr>
                <w:rFonts w:ascii="Arial" w:hAnsi="Arial" w:cs="Arial"/>
                <w:sz w:val="24"/>
                <w:szCs w:val="24"/>
                <w:vertAlign w:val="superscript"/>
                <w:lang w:eastAsia="en-AU"/>
              </w:rPr>
              <w:t xml:space="preserve"> (</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63E1C7A0"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67B43DC2"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5,753 </w:t>
            </w:r>
          </w:p>
        </w:tc>
      </w:tr>
      <w:tr w:rsidR="003E5BF5" w:rsidRPr="00D71A00" w14:paraId="24E96E5F" w14:textId="77777777" w:rsidTr="00722290">
        <w:trPr>
          <w:trHeight w:val="340"/>
        </w:trPr>
        <w:tc>
          <w:tcPr>
            <w:tcW w:w="5665" w:type="dxa"/>
            <w:shd w:val="clear" w:color="auto" w:fill="auto"/>
            <w:noWrap/>
            <w:vAlign w:val="center"/>
            <w:hideMark/>
          </w:tcPr>
          <w:p w14:paraId="357238DF"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Sales Revenue &amp; Fees Received </w:t>
            </w:r>
          </w:p>
        </w:tc>
        <w:tc>
          <w:tcPr>
            <w:tcW w:w="1701" w:type="dxa"/>
            <w:shd w:val="clear" w:color="auto" w:fill="auto"/>
            <w:noWrap/>
            <w:vAlign w:val="center"/>
            <w:hideMark/>
          </w:tcPr>
          <w:p w14:paraId="79FC91C2"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140,031 </w:t>
            </w:r>
          </w:p>
        </w:tc>
        <w:tc>
          <w:tcPr>
            <w:tcW w:w="1706" w:type="dxa"/>
            <w:shd w:val="clear" w:color="auto" w:fill="auto"/>
            <w:noWrap/>
            <w:vAlign w:val="center"/>
            <w:hideMark/>
          </w:tcPr>
          <w:p w14:paraId="6970BC01"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r>
      <w:tr w:rsidR="003E5BF5" w:rsidRPr="00D71A00" w14:paraId="6F741169" w14:textId="77777777" w:rsidTr="00722290">
        <w:trPr>
          <w:trHeight w:val="340"/>
        </w:trPr>
        <w:tc>
          <w:tcPr>
            <w:tcW w:w="5665" w:type="dxa"/>
            <w:shd w:val="clear" w:color="auto" w:fill="auto"/>
            <w:noWrap/>
            <w:vAlign w:val="center"/>
            <w:hideMark/>
          </w:tcPr>
          <w:p w14:paraId="2A3BFD97"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lastRenderedPageBreak/>
              <w:t xml:space="preserve">Seafood Industry Victoria levy </w:t>
            </w:r>
            <w:r w:rsidRPr="00D71A00">
              <w:rPr>
                <w:rFonts w:ascii="Arial" w:hAnsi="Arial" w:cs="Arial"/>
                <w:sz w:val="24"/>
                <w:szCs w:val="24"/>
                <w:vertAlign w:val="superscript"/>
                <w:lang w:eastAsia="en-AU"/>
              </w:rPr>
              <w:t>(</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5A7C63D8"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r w:rsidRPr="00D71A00">
              <w:rPr>
                <w:rFonts w:ascii="Arial" w:hAnsi="Arial" w:cs="Arial"/>
                <w:sz w:val="24"/>
                <w:szCs w:val="24"/>
              </w:rPr>
              <w:t xml:space="preserve"> </w:t>
            </w:r>
          </w:p>
        </w:tc>
        <w:tc>
          <w:tcPr>
            <w:tcW w:w="1706" w:type="dxa"/>
            <w:shd w:val="clear" w:color="auto" w:fill="auto"/>
            <w:noWrap/>
            <w:vAlign w:val="center"/>
            <w:hideMark/>
          </w:tcPr>
          <w:p w14:paraId="710F3513"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770 </w:t>
            </w:r>
          </w:p>
        </w:tc>
      </w:tr>
      <w:tr w:rsidR="003E5BF5" w:rsidRPr="00D71A00" w14:paraId="1E2F9F08" w14:textId="77777777" w:rsidTr="00722290">
        <w:trPr>
          <w:trHeight w:val="340"/>
        </w:trPr>
        <w:tc>
          <w:tcPr>
            <w:tcW w:w="5665" w:type="dxa"/>
            <w:shd w:val="clear" w:color="auto" w:fill="auto"/>
            <w:noWrap/>
            <w:vAlign w:val="center"/>
          </w:tcPr>
          <w:p w14:paraId="52CCDE8E" w14:textId="77777777" w:rsidR="003E5BF5" w:rsidRPr="00D71A00" w:rsidRDefault="003E5BF5" w:rsidP="00DE1921">
            <w:pPr>
              <w:pStyle w:val="TableTextLeftBold"/>
              <w:rPr>
                <w:rFonts w:ascii="Arial" w:hAnsi="Arial" w:cs="Arial"/>
                <w:color w:val="00BAC0"/>
                <w:sz w:val="24"/>
                <w:szCs w:val="24"/>
              </w:rPr>
            </w:pPr>
            <w:r w:rsidRPr="00D71A00">
              <w:rPr>
                <w:rFonts w:ascii="Arial" w:hAnsi="Arial" w:cs="Arial"/>
                <w:sz w:val="24"/>
                <w:szCs w:val="24"/>
              </w:rPr>
              <w:t>Total user charges, sale of goods and services</w:t>
            </w:r>
          </w:p>
        </w:tc>
        <w:tc>
          <w:tcPr>
            <w:tcW w:w="1701" w:type="dxa"/>
            <w:shd w:val="clear" w:color="auto" w:fill="auto"/>
            <w:noWrap/>
            <w:vAlign w:val="center"/>
          </w:tcPr>
          <w:p w14:paraId="1882DFB4"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 xml:space="preserve">245,315 </w:t>
            </w:r>
          </w:p>
        </w:tc>
        <w:tc>
          <w:tcPr>
            <w:tcW w:w="1706" w:type="dxa"/>
            <w:shd w:val="clear" w:color="auto" w:fill="auto"/>
            <w:noWrap/>
            <w:vAlign w:val="center"/>
          </w:tcPr>
          <w:p w14:paraId="6FCCC85E"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lang w:eastAsia="en-AU"/>
              </w:rPr>
              <w:t>41,231</w:t>
            </w:r>
            <w:r w:rsidRPr="00D71A00">
              <w:rPr>
                <w:rFonts w:ascii="Arial" w:hAnsi="Arial" w:cs="Arial"/>
                <w:b/>
                <w:color w:val="000000"/>
                <w:sz w:val="24"/>
                <w:szCs w:val="24"/>
              </w:rPr>
              <w:t xml:space="preserve"> </w:t>
            </w:r>
          </w:p>
        </w:tc>
      </w:tr>
    </w:tbl>
    <w:p w14:paraId="23F4CA81" w14:textId="77777777" w:rsidR="003E5BF5" w:rsidRDefault="003E5BF5"/>
    <w:p w14:paraId="01096D1E" w14:textId="77777777" w:rsidR="003E5BF5" w:rsidRDefault="003E5BF5"/>
    <w:p w14:paraId="61ABB87E" w14:textId="77777777" w:rsidR="003E5BF5" w:rsidRDefault="003E5BF5"/>
    <w:p w14:paraId="1619C3EC" w14:textId="77777777" w:rsidR="003E5BF5" w:rsidRDefault="003E5BF5">
      <w:pPr>
        <w:sectPr w:rsidR="003E5BF5" w:rsidSect="00DE1921">
          <w:headerReference w:type="even" r:id="rId70"/>
          <w:headerReference w:type="default" r:id="rId71"/>
          <w:footerReference w:type="even" r:id="rId72"/>
          <w:headerReference w:type="first" r:id="rId73"/>
          <w:pgSz w:w="11906" w:h="16838"/>
          <w:pgMar w:top="1701" w:right="1418" w:bottom="1418" w:left="1418" w:header="708" w:footer="708" w:gutter="0"/>
          <w:cols w:space="708"/>
          <w:docGrid w:linePitch="360"/>
        </w:sectPr>
      </w:pPr>
    </w:p>
    <w:tbl>
      <w:tblPr>
        <w:tblStyle w:val="TableGrid"/>
        <w:tblW w:w="9072" w:type="dxa"/>
        <w:tblLook w:val="04A0" w:firstRow="1" w:lastRow="0" w:firstColumn="1" w:lastColumn="0" w:noHBand="0" w:noVBand="1"/>
      </w:tblPr>
      <w:tblGrid>
        <w:gridCol w:w="5665"/>
        <w:gridCol w:w="1701"/>
        <w:gridCol w:w="1706"/>
      </w:tblGrid>
      <w:tr w:rsidR="00E64319" w:rsidRPr="00D71A00" w14:paraId="6FF71CAD" w14:textId="77777777" w:rsidTr="004436A8">
        <w:trPr>
          <w:trHeight w:val="340"/>
        </w:trPr>
        <w:tc>
          <w:tcPr>
            <w:tcW w:w="5665" w:type="dxa"/>
            <w:shd w:val="clear" w:color="auto" w:fill="auto"/>
            <w:noWrap/>
          </w:tcPr>
          <w:p w14:paraId="757DEB5B" w14:textId="77777777" w:rsidR="00E64319" w:rsidRPr="00D71A00" w:rsidRDefault="00E64319" w:rsidP="00DE1921">
            <w:pPr>
              <w:rPr>
                <w:rFonts w:ascii="Arial" w:hAnsi="Arial" w:cs="Arial"/>
                <w:b/>
                <w:color w:val="00BAC0"/>
                <w:sz w:val="24"/>
                <w:szCs w:val="24"/>
                <w:lang w:eastAsia="en-AU"/>
              </w:rPr>
            </w:pPr>
          </w:p>
        </w:tc>
        <w:tc>
          <w:tcPr>
            <w:tcW w:w="1701" w:type="dxa"/>
            <w:shd w:val="clear" w:color="auto" w:fill="auto"/>
            <w:noWrap/>
            <w:vAlign w:val="center"/>
          </w:tcPr>
          <w:p w14:paraId="1267D6E3" w14:textId="77777777" w:rsidR="00E64319" w:rsidRPr="00D71A00" w:rsidRDefault="00E64319" w:rsidP="00DE1921">
            <w:pPr>
              <w:jc w:val="center"/>
              <w:rPr>
                <w:rFonts w:ascii="Arial" w:hAnsi="Arial" w:cs="Arial"/>
                <w:b/>
                <w:sz w:val="24"/>
                <w:szCs w:val="24"/>
                <w:lang w:eastAsia="en-AU"/>
              </w:rPr>
            </w:pPr>
            <w:r w:rsidRPr="00D71A00">
              <w:rPr>
                <w:rFonts w:ascii="Arial" w:hAnsi="Arial" w:cs="Arial"/>
                <w:b/>
                <w:sz w:val="24"/>
                <w:szCs w:val="24"/>
                <w:lang w:eastAsia="en-AU"/>
              </w:rPr>
              <w:t>($ thousand)</w:t>
            </w:r>
          </w:p>
        </w:tc>
        <w:tc>
          <w:tcPr>
            <w:tcW w:w="1706" w:type="dxa"/>
            <w:shd w:val="clear" w:color="auto" w:fill="auto"/>
            <w:vAlign w:val="center"/>
          </w:tcPr>
          <w:p w14:paraId="7ABAEBDB" w14:textId="28A404C0" w:rsidR="00E64319" w:rsidRPr="00D71A00" w:rsidRDefault="00E64319" w:rsidP="00DE1921">
            <w:pPr>
              <w:jc w:val="center"/>
              <w:rPr>
                <w:rFonts w:ascii="Arial" w:hAnsi="Arial" w:cs="Arial"/>
                <w:b/>
                <w:sz w:val="24"/>
                <w:szCs w:val="24"/>
                <w:lang w:eastAsia="en-AU"/>
              </w:rPr>
            </w:pPr>
            <w:r w:rsidRPr="00D71A00">
              <w:rPr>
                <w:rFonts w:ascii="Arial" w:hAnsi="Arial" w:cs="Arial"/>
                <w:b/>
                <w:sz w:val="24"/>
                <w:szCs w:val="24"/>
                <w:lang w:eastAsia="en-AU"/>
              </w:rPr>
              <w:t>($ thousand</w:t>
            </w:r>
            <w:r w:rsidR="00DF13C5">
              <w:rPr>
                <w:rFonts w:ascii="Arial" w:hAnsi="Arial" w:cs="Arial"/>
                <w:b/>
                <w:sz w:val="24"/>
                <w:szCs w:val="24"/>
                <w:lang w:eastAsia="en-AU"/>
              </w:rPr>
              <w:t>)</w:t>
            </w:r>
          </w:p>
        </w:tc>
      </w:tr>
      <w:tr w:rsidR="003E5BF5" w:rsidRPr="00D71A00" w14:paraId="40D5B60C" w14:textId="77777777" w:rsidTr="004436A8">
        <w:trPr>
          <w:trHeight w:val="340"/>
        </w:trPr>
        <w:tc>
          <w:tcPr>
            <w:tcW w:w="5665" w:type="dxa"/>
            <w:shd w:val="clear" w:color="auto" w:fill="auto"/>
            <w:noWrap/>
          </w:tcPr>
          <w:p w14:paraId="76141D3E" w14:textId="77777777" w:rsidR="003E5BF5" w:rsidRPr="00D71A00" w:rsidRDefault="003E5BF5" w:rsidP="00DE1921">
            <w:pPr>
              <w:rPr>
                <w:rFonts w:ascii="Arial" w:hAnsi="Arial" w:cs="Arial"/>
                <w:b/>
                <w:color w:val="00BAC0"/>
                <w:sz w:val="24"/>
                <w:szCs w:val="24"/>
                <w:lang w:eastAsia="en-AU"/>
              </w:rPr>
            </w:pPr>
          </w:p>
        </w:tc>
        <w:tc>
          <w:tcPr>
            <w:tcW w:w="1701" w:type="dxa"/>
            <w:shd w:val="clear" w:color="auto" w:fill="auto"/>
            <w:noWrap/>
            <w:vAlign w:val="center"/>
          </w:tcPr>
          <w:p w14:paraId="7CB2D239"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2020</w:t>
            </w:r>
          </w:p>
        </w:tc>
        <w:tc>
          <w:tcPr>
            <w:tcW w:w="1706" w:type="dxa"/>
            <w:shd w:val="clear" w:color="auto" w:fill="auto"/>
            <w:noWrap/>
            <w:vAlign w:val="center"/>
          </w:tcPr>
          <w:p w14:paraId="7337DAE7"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lang w:eastAsia="en-AU"/>
              </w:rPr>
              <w:t>2019</w:t>
            </w:r>
          </w:p>
        </w:tc>
      </w:tr>
      <w:tr w:rsidR="003E5BF5" w:rsidRPr="00D71A00" w14:paraId="11A73CCD" w14:textId="77777777" w:rsidTr="004436A8">
        <w:trPr>
          <w:trHeight w:val="340"/>
        </w:trPr>
        <w:tc>
          <w:tcPr>
            <w:tcW w:w="5665" w:type="dxa"/>
            <w:shd w:val="clear" w:color="auto" w:fill="auto"/>
            <w:noWrap/>
            <w:vAlign w:val="center"/>
            <w:hideMark/>
          </w:tcPr>
          <w:p w14:paraId="61B5B403" w14:textId="77777777" w:rsidR="003E5BF5" w:rsidRPr="00D71A00" w:rsidRDefault="003E5BF5" w:rsidP="00604703">
            <w:pPr>
              <w:pStyle w:val="TableTextGreen"/>
            </w:pPr>
            <w:r w:rsidRPr="00D71A00">
              <w:t>Commonwealth payments</w:t>
            </w:r>
          </w:p>
        </w:tc>
        <w:tc>
          <w:tcPr>
            <w:tcW w:w="1701" w:type="dxa"/>
            <w:shd w:val="clear" w:color="auto" w:fill="auto"/>
            <w:noWrap/>
            <w:vAlign w:val="center"/>
            <w:hideMark/>
          </w:tcPr>
          <w:p w14:paraId="12C7C623" w14:textId="77777777" w:rsidR="003E5BF5" w:rsidRPr="00D71A00" w:rsidRDefault="003E5BF5" w:rsidP="00DE1921">
            <w:pPr>
              <w:jc w:val="right"/>
              <w:rPr>
                <w:rFonts w:ascii="Arial" w:hAnsi="Arial" w:cs="Arial"/>
                <w:b/>
                <w:sz w:val="24"/>
                <w:szCs w:val="24"/>
                <w:lang w:eastAsia="en-AU"/>
              </w:rPr>
            </w:pPr>
          </w:p>
        </w:tc>
        <w:tc>
          <w:tcPr>
            <w:tcW w:w="1706" w:type="dxa"/>
            <w:shd w:val="clear" w:color="auto" w:fill="auto"/>
            <w:noWrap/>
            <w:vAlign w:val="center"/>
            <w:hideMark/>
          </w:tcPr>
          <w:p w14:paraId="1508E789" w14:textId="77777777" w:rsidR="003E5BF5" w:rsidRPr="00D71A00" w:rsidRDefault="003E5BF5" w:rsidP="00DE1921">
            <w:pPr>
              <w:jc w:val="right"/>
              <w:rPr>
                <w:rFonts w:ascii="Arial" w:hAnsi="Arial" w:cs="Arial"/>
                <w:sz w:val="24"/>
                <w:szCs w:val="24"/>
                <w:lang w:eastAsia="en-AU"/>
              </w:rPr>
            </w:pPr>
          </w:p>
        </w:tc>
      </w:tr>
      <w:tr w:rsidR="003E5BF5" w:rsidRPr="00D71A00" w14:paraId="64AB1B32" w14:textId="77777777" w:rsidTr="004436A8">
        <w:trPr>
          <w:trHeight w:val="340"/>
        </w:trPr>
        <w:tc>
          <w:tcPr>
            <w:tcW w:w="5665" w:type="dxa"/>
            <w:shd w:val="clear" w:color="auto" w:fill="auto"/>
            <w:noWrap/>
            <w:vAlign w:val="center"/>
            <w:hideMark/>
          </w:tcPr>
          <w:p w14:paraId="57D449A1"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Black spot projects (including Asset Recycling Fund)</w:t>
            </w:r>
          </w:p>
        </w:tc>
        <w:tc>
          <w:tcPr>
            <w:tcW w:w="1701" w:type="dxa"/>
            <w:shd w:val="clear" w:color="auto" w:fill="auto"/>
            <w:noWrap/>
            <w:vAlign w:val="center"/>
            <w:hideMark/>
          </w:tcPr>
          <w:p w14:paraId="0619986F"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5,017 </w:t>
            </w:r>
          </w:p>
        </w:tc>
        <w:tc>
          <w:tcPr>
            <w:tcW w:w="1706" w:type="dxa"/>
            <w:shd w:val="clear" w:color="auto" w:fill="auto"/>
            <w:noWrap/>
            <w:vAlign w:val="center"/>
            <w:hideMark/>
          </w:tcPr>
          <w:p w14:paraId="1EF97FDE"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15,349 </w:t>
            </w:r>
          </w:p>
        </w:tc>
      </w:tr>
      <w:tr w:rsidR="003E5BF5" w:rsidRPr="00D71A00" w14:paraId="22902B45" w14:textId="77777777" w:rsidTr="004436A8">
        <w:trPr>
          <w:trHeight w:val="340"/>
        </w:trPr>
        <w:tc>
          <w:tcPr>
            <w:tcW w:w="5665" w:type="dxa"/>
            <w:shd w:val="clear" w:color="auto" w:fill="auto"/>
            <w:noWrap/>
            <w:vAlign w:val="center"/>
            <w:hideMark/>
          </w:tcPr>
          <w:p w14:paraId="133F4C2C"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Bridge Renewal Programme</w:t>
            </w:r>
          </w:p>
        </w:tc>
        <w:tc>
          <w:tcPr>
            <w:tcW w:w="1701" w:type="dxa"/>
            <w:shd w:val="clear" w:color="auto" w:fill="auto"/>
            <w:noWrap/>
            <w:vAlign w:val="center"/>
            <w:hideMark/>
          </w:tcPr>
          <w:p w14:paraId="7E59E2E3"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39,493 </w:t>
            </w:r>
          </w:p>
        </w:tc>
        <w:tc>
          <w:tcPr>
            <w:tcW w:w="1706" w:type="dxa"/>
            <w:shd w:val="clear" w:color="auto" w:fill="auto"/>
            <w:noWrap/>
            <w:vAlign w:val="center"/>
            <w:hideMark/>
          </w:tcPr>
          <w:p w14:paraId="5962136D"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13,215 </w:t>
            </w:r>
          </w:p>
        </w:tc>
      </w:tr>
      <w:tr w:rsidR="003E5BF5" w:rsidRPr="00D71A00" w14:paraId="09A790B8" w14:textId="77777777" w:rsidTr="004436A8">
        <w:trPr>
          <w:trHeight w:val="340"/>
        </w:trPr>
        <w:tc>
          <w:tcPr>
            <w:tcW w:w="5665" w:type="dxa"/>
            <w:shd w:val="clear" w:color="auto" w:fill="auto"/>
            <w:noWrap/>
            <w:vAlign w:val="center"/>
            <w:hideMark/>
          </w:tcPr>
          <w:p w14:paraId="0FD8B469"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Cooperative Research Centre contributions </w:t>
            </w:r>
            <w:r w:rsidRPr="00D71A00">
              <w:rPr>
                <w:rFonts w:ascii="Arial" w:hAnsi="Arial" w:cs="Arial"/>
                <w:sz w:val="24"/>
                <w:szCs w:val="24"/>
                <w:vertAlign w:val="superscript"/>
                <w:lang w:eastAsia="en-AU"/>
              </w:rPr>
              <w:t>(</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078DD86B"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67B44428"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481 </w:t>
            </w:r>
          </w:p>
        </w:tc>
      </w:tr>
      <w:tr w:rsidR="003E5BF5" w:rsidRPr="00D71A00" w14:paraId="0F6BCC88" w14:textId="77777777" w:rsidTr="004436A8">
        <w:trPr>
          <w:trHeight w:val="340"/>
        </w:trPr>
        <w:tc>
          <w:tcPr>
            <w:tcW w:w="5665" w:type="dxa"/>
            <w:shd w:val="clear" w:color="auto" w:fill="auto"/>
            <w:noWrap/>
            <w:vAlign w:val="center"/>
            <w:hideMark/>
          </w:tcPr>
          <w:p w14:paraId="7C67A2AE"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Establish Pest Animal and Weed Management</w:t>
            </w:r>
            <w:r w:rsidRPr="00D71A00">
              <w:rPr>
                <w:rFonts w:ascii="Arial" w:hAnsi="Arial" w:cs="Arial"/>
                <w:sz w:val="24"/>
                <w:szCs w:val="24"/>
                <w:vertAlign w:val="superscript"/>
                <w:lang w:eastAsia="en-AU"/>
              </w:rPr>
              <w:t xml:space="preserve"> (</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2ED8E420"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51B45D4A"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894 </w:t>
            </w:r>
          </w:p>
        </w:tc>
      </w:tr>
      <w:tr w:rsidR="003E5BF5" w:rsidRPr="00D71A00" w14:paraId="7A538759" w14:textId="77777777" w:rsidTr="004436A8">
        <w:trPr>
          <w:trHeight w:val="340"/>
        </w:trPr>
        <w:tc>
          <w:tcPr>
            <w:tcW w:w="5665" w:type="dxa"/>
            <w:shd w:val="clear" w:color="auto" w:fill="auto"/>
            <w:noWrap/>
            <w:vAlign w:val="center"/>
            <w:hideMark/>
          </w:tcPr>
          <w:p w14:paraId="35923F6B"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Heavy Vehicle Safety and Productivity</w:t>
            </w:r>
          </w:p>
        </w:tc>
        <w:tc>
          <w:tcPr>
            <w:tcW w:w="1701" w:type="dxa"/>
            <w:shd w:val="clear" w:color="auto" w:fill="auto"/>
            <w:noWrap/>
            <w:vAlign w:val="center"/>
            <w:hideMark/>
          </w:tcPr>
          <w:p w14:paraId="4697C6AF"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8,645 </w:t>
            </w:r>
          </w:p>
        </w:tc>
        <w:tc>
          <w:tcPr>
            <w:tcW w:w="1706" w:type="dxa"/>
            <w:shd w:val="clear" w:color="auto" w:fill="auto"/>
            <w:noWrap/>
            <w:vAlign w:val="center"/>
            <w:hideMark/>
          </w:tcPr>
          <w:p w14:paraId="47AE071C"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2,004 </w:t>
            </w:r>
          </w:p>
        </w:tc>
      </w:tr>
      <w:tr w:rsidR="003E5BF5" w:rsidRPr="00D71A00" w14:paraId="4F2E42CA" w14:textId="77777777" w:rsidTr="004436A8">
        <w:trPr>
          <w:trHeight w:val="340"/>
        </w:trPr>
        <w:tc>
          <w:tcPr>
            <w:tcW w:w="5665" w:type="dxa"/>
            <w:shd w:val="clear" w:color="auto" w:fill="auto"/>
            <w:noWrap/>
            <w:vAlign w:val="center"/>
            <w:hideMark/>
          </w:tcPr>
          <w:p w14:paraId="717C5ACA"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Infrastructure Investment Programme/Building Australia Fund - rail projects</w:t>
            </w:r>
          </w:p>
        </w:tc>
        <w:tc>
          <w:tcPr>
            <w:tcW w:w="1701" w:type="dxa"/>
            <w:shd w:val="clear" w:color="auto" w:fill="auto"/>
            <w:noWrap/>
            <w:vAlign w:val="center"/>
            <w:hideMark/>
          </w:tcPr>
          <w:p w14:paraId="4AB3E228"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242,147 </w:t>
            </w:r>
          </w:p>
        </w:tc>
        <w:tc>
          <w:tcPr>
            <w:tcW w:w="1706" w:type="dxa"/>
            <w:shd w:val="clear" w:color="auto" w:fill="auto"/>
            <w:noWrap/>
            <w:vAlign w:val="center"/>
            <w:hideMark/>
          </w:tcPr>
          <w:p w14:paraId="71F7EC39"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440,320 </w:t>
            </w:r>
          </w:p>
        </w:tc>
      </w:tr>
      <w:tr w:rsidR="003E5BF5" w:rsidRPr="00D71A00" w14:paraId="20B5ACB4" w14:textId="77777777" w:rsidTr="004436A8">
        <w:trPr>
          <w:trHeight w:val="340"/>
        </w:trPr>
        <w:tc>
          <w:tcPr>
            <w:tcW w:w="5665" w:type="dxa"/>
            <w:shd w:val="clear" w:color="auto" w:fill="auto"/>
            <w:noWrap/>
            <w:vAlign w:val="center"/>
            <w:hideMark/>
          </w:tcPr>
          <w:p w14:paraId="3CC5116E"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Interstate road transport</w:t>
            </w:r>
          </w:p>
        </w:tc>
        <w:tc>
          <w:tcPr>
            <w:tcW w:w="1701" w:type="dxa"/>
            <w:shd w:val="clear" w:color="auto" w:fill="auto"/>
            <w:noWrap/>
            <w:vAlign w:val="center"/>
            <w:hideMark/>
          </w:tcPr>
          <w:p w14:paraId="6F3A7ED4"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32206B00"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1,983 </w:t>
            </w:r>
          </w:p>
        </w:tc>
      </w:tr>
      <w:tr w:rsidR="003E5BF5" w:rsidRPr="00D71A00" w14:paraId="6EA94D51" w14:textId="77777777" w:rsidTr="004436A8">
        <w:trPr>
          <w:trHeight w:val="340"/>
        </w:trPr>
        <w:tc>
          <w:tcPr>
            <w:tcW w:w="5665" w:type="dxa"/>
            <w:shd w:val="clear" w:color="auto" w:fill="auto"/>
            <w:noWrap/>
            <w:vAlign w:val="center"/>
            <w:hideMark/>
          </w:tcPr>
          <w:p w14:paraId="74AF36BA"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Nation Building - road projects</w:t>
            </w:r>
          </w:p>
        </w:tc>
        <w:tc>
          <w:tcPr>
            <w:tcW w:w="1701" w:type="dxa"/>
            <w:shd w:val="clear" w:color="auto" w:fill="auto"/>
            <w:noWrap/>
            <w:vAlign w:val="center"/>
            <w:hideMark/>
          </w:tcPr>
          <w:p w14:paraId="00D36666"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84,618 </w:t>
            </w:r>
          </w:p>
        </w:tc>
        <w:tc>
          <w:tcPr>
            <w:tcW w:w="1706" w:type="dxa"/>
            <w:shd w:val="clear" w:color="auto" w:fill="auto"/>
            <w:noWrap/>
            <w:vAlign w:val="center"/>
            <w:hideMark/>
          </w:tcPr>
          <w:p w14:paraId="490C0F07"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63,087 </w:t>
            </w:r>
          </w:p>
        </w:tc>
      </w:tr>
      <w:tr w:rsidR="003E5BF5" w:rsidRPr="00D71A00" w14:paraId="52D0E5F9" w14:textId="77777777" w:rsidTr="004436A8">
        <w:trPr>
          <w:trHeight w:val="340"/>
        </w:trPr>
        <w:tc>
          <w:tcPr>
            <w:tcW w:w="5665" w:type="dxa"/>
            <w:shd w:val="clear" w:color="auto" w:fill="auto"/>
            <w:noWrap/>
            <w:vAlign w:val="center"/>
            <w:hideMark/>
          </w:tcPr>
          <w:p w14:paraId="7008168E"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Research and Development Corporations Contributions</w:t>
            </w:r>
            <w:r w:rsidRPr="00D71A00">
              <w:rPr>
                <w:rFonts w:ascii="Arial" w:hAnsi="Arial" w:cs="Arial"/>
                <w:sz w:val="24"/>
                <w:szCs w:val="24"/>
                <w:vertAlign w:val="superscript"/>
                <w:lang w:eastAsia="en-AU"/>
              </w:rPr>
              <w:t xml:space="preserve"> (</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015648CA"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663322F4"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11,621 </w:t>
            </w:r>
          </w:p>
        </w:tc>
      </w:tr>
      <w:tr w:rsidR="003E5BF5" w:rsidRPr="00D71A00" w14:paraId="1C263115" w14:textId="77777777" w:rsidTr="004436A8">
        <w:trPr>
          <w:trHeight w:val="340"/>
        </w:trPr>
        <w:tc>
          <w:tcPr>
            <w:tcW w:w="5665" w:type="dxa"/>
            <w:shd w:val="clear" w:color="auto" w:fill="auto"/>
            <w:noWrap/>
            <w:vAlign w:val="center"/>
            <w:hideMark/>
          </w:tcPr>
          <w:p w14:paraId="33136603"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Road maintenance</w:t>
            </w:r>
          </w:p>
        </w:tc>
        <w:tc>
          <w:tcPr>
            <w:tcW w:w="1701" w:type="dxa"/>
            <w:shd w:val="clear" w:color="auto" w:fill="auto"/>
            <w:noWrap/>
            <w:vAlign w:val="center"/>
            <w:hideMark/>
          </w:tcPr>
          <w:p w14:paraId="0A3D51CB"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64,418 </w:t>
            </w:r>
          </w:p>
        </w:tc>
        <w:tc>
          <w:tcPr>
            <w:tcW w:w="1706" w:type="dxa"/>
            <w:shd w:val="clear" w:color="auto" w:fill="auto"/>
            <w:noWrap/>
            <w:vAlign w:val="center"/>
            <w:hideMark/>
          </w:tcPr>
          <w:p w14:paraId="6D777DE8"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rPr>
              <w:t xml:space="preserve">64,739 </w:t>
            </w:r>
          </w:p>
        </w:tc>
      </w:tr>
      <w:tr w:rsidR="003E5BF5" w:rsidRPr="00D71A00" w14:paraId="46C1153C" w14:textId="77777777" w:rsidTr="004436A8">
        <w:trPr>
          <w:trHeight w:val="340"/>
        </w:trPr>
        <w:tc>
          <w:tcPr>
            <w:tcW w:w="5665" w:type="dxa"/>
            <w:shd w:val="clear" w:color="auto" w:fill="auto"/>
            <w:noWrap/>
            <w:vAlign w:val="center"/>
          </w:tcPr>
          <w:p w14:paraId="0035B997"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Total Commonwealth payments</w:t>
            </w:r>
          </w:p>
        </w:tc>
        <w:tc>
          <w:tcPr>
            <w:tcW w:w="1701" w:type="dxa"/>
            <w:shd w:val="clear" w:color="auto" w:fill="auto"/>
            <w:noWrap/>
            <w:vAlign w:val="center"/>
          </w:tcPr>
          <w:p w14:paraId="281D89DC"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 xml:space="preserve">444,338 </w:t>
            </w:r>
          </w:p>
        </w:tc>
        <w:tc>
          <w:tcPr>
            <w:tcW w:w="1706" w:type="dxa"/>
            <w:shd w:val="clear" w:color="auto" w:fill="auto"/>
            <w:noWrap/>
            <w:vAlign w:val="center"/>
          </w:tcPr>
          <w:p w14:paraId="103E72A6"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 xml:space="preserve">613,693 </w:t>
            </w:r>
          </w:p>
        </w:tc>
      </w:tr>
      <w:tr w:rsidR="003E5BF5" w:rsidRPr="00D71A00" w14:paraId="01AC094C" w14:textId="77777777" w:rsidTr="004436A8">
        <w:trPr>
          <w:trHeight w:val="340"/>
        </w:trPr>
        <w:tc>
          <w:tcPr>
            <w:tcW w:w="5665" w:type="dxa"/>
            <w:shd w:val="clear" w:color="auto" w:fill="auto"/>
            <w:noWrap/>
            <w:vAlign w:val="center"/>
            <w:hideMark/>
          </w:tcPr>
          <w:p w14:paraId="78586AD9" w14:textId="77777777" w:rsidR="003E5BF5" w:rsidRPr="00D71A00" w:rsidRDefault="003E5BF5" w:rsidP="00604703">
            <w:pPr>
              <w:pStyle w:val="TableTextGreen"/>
            </w:pPr>
            <w:r w:rsidRPr="00D71A00">
              <w:t>Municipal payments</w:t>
            </w:r>
          </w:p>
        </w:tc>
        <w:tc>
          <w:tcPr>
            <w:tcW w:w="1701" w:type="dxa"/>
            <w:shd w:val="clear" w:color="auto" w:fill="auto"/>
            <w:noWrap/>
            <w:vAlign w:val="center"/>
            <w:hideMark/>
          </w:tcPr>
          <w:p w14:paraId="7307EEAE" w14:textId="77777777" w:rsidR="003E5BF5" w:rsidRPr="00D71A00" w:rsidRDefault="003E5BF5" w:rsidP="00DE1921">
            <w:pPr>
              <w:jc w:val="right"/>
              <w:rPr>
                <w:rFonts w:ascii="Arial" w:hAnsi="Arial" w:cs="Arial"/>
                <w:b/>
                <w:sz w:val="24"/>
                <w:szCs w:val="24"/>
                <w:lang w:eastAsia="en-AU"/>
              </w:rPr>
            </w:pPr>
          </w:p>
        </w:tc>
        <w:tc>
          <w:tcPr>
            <w:tcW w:w="1706" w:type="dxa"/>
            <w:shd w:val="clear" w:color="auto" w:fill="auto"/>
            <w:noWrap/>
            <w:vAlign w:val="center"/>
            <w:hideMark/>
          </w:tcPr>
          <w:p w14:paraId="125C8020" w14:textId="77777777" w:rsidR="003E5BF5" w:rsidRPr="00D71A00" w:rsidRDefault="003E5BF5" w:rsidP="00DE1921">
            <w:pPr>
              <w:jc w:val="right"/>
              <w:rPr>
                <w:rFonts w:ascii="Arial" w:hAnsi="Arial" w:cs="Arial"/>
                <w:sz w:val="24"/>
                <w:szCs w:val="24"/>
                <w:lang w:eastAsia="en-AU"/>
              </w:rPr>
            </w:pPr>
          </w:p>
        </w:tc>
      </w:tr>
      <w:tr w:rsidR="003E5BF5" w:rsidRPr="00D71A00" w14:paraId="1A87EB68" w14:textId="77777777" w:rsidTr="004436A8">
        <w:trPr>
          <w:trHeight w:val="340"/>
        </w:trPr>
        <w:tc>
          <w:tcPr>
            <w:tcW w:w="5665" w:type="dxa"/>
            <w:shd w:val="clear" w:color="auto" w:fill="auto"/>
            <w:noWrap/>
            <w:vAlign w:val="center"/>
            <w:hideMark/>
          </w:tcPr>
          <w:p w14:paraId="3FED4887" w14:textId="77777777" w:rsidR="003E5BF5" w:rsidRPr="00D71A00" w:rsidRDefault="003E5BF5" w:rsidP="00DE1921">
            <w:pPr>
              <w:rPr>
                <w:rFonts w:ascii="Arial" w:hAnsi="Arial" w:cs="Arial"/>
                <w:sz w:val="24"/>
                <w:szCs w:val="24"/>
                <w:lang w:eastAsia="en-AU"/>
              </w:rPr>
            </w:pPr>
            <w:r w:rsidRPr="00D71A00">
              <w:rPr>
                <w:rFonts w:ascii="Arial" w:hAnsi="Arial" w:cs="Arial"/>
                <w:sz w:val="24"/>
                <w:szCs w:val="24"/>
                <w:lang w:eastAsia="en-AU"/>
              </w:rPr>
              <w:t xml:space="preserve">Domestic Animals Act </w:t>
            </w:r>
            <w:r w:rsidRPr="00D71A00">
              <w:rPr>
                <w:rFonts w:ascii="Arial" w:hAnsi="Arial" w:cs="Arial"/>
                <w:sz w:val="24"/>
                <w:szCs w:val="24"/>
                <w:vertAlign w:val="superscript"/>
                <w:lang w:eastAsia="en-AU"/>
              </w:rPr>
              <w:t>(</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0D044B6D" w14:textId="77777777" w:rsidR="003E5BF5" w:rsidRPr="00D71A00" w:rsidRDefault="003E5BF5" w:rsidP="00DE1921">
            <w:pPr>
              <w:jc w:val="right"/>
              <w:rPr>
                <w:rFonts w:ascii="Arial" w:hAnsi="Arial" w:cs="Arial"/>
                <w:sz w:val="24"/>
                <w:szCs w:val="24"/>
                <w:lang w:eastAsia="en-AU"/>
              </w:rPr>
            </w:pPr>
            <w:r w:rsidRPr="00D71A00">
              <w:rPr>
                <w:rFonts w:ascii="Arial" w:hAnsi="Arial" w:cs="Arial"/>
                <w:b/>
                <w:sz w:val="24"/>
                <w:szCs w:val="24"/>
              </w:rPr>
              <w:t>-</w:t>
            </w:r>
          </w:p>
        </w:tc>
        <w:tc>
          <w:tcPr>
            <w:tcW w:w="1706" w:type="dxa"/>
            <w:shd w:val="clear" w:color="auto" w:fill="auto"/>
            <w:noWrap/>
            <w:vAlign w:val="center"/>
            <w:hideMark/>
          </w:tcPr>
          <w:p w14:paraId="78CE39AF" w14:textId="77777777" w:rsidR="003E5BF5" w:rsidRPr="00D71A00" w:rsidRDefault="003E5BF5" w:rsidP="00DE1921">
            <w:pPr>
              <w:jc w:val="right"/>
              <w:rPr>
                <w:rFonts w:ascii="Arial" w:hAnsi="Arial" w:cs="Arial"/>
                <w:sz w:val="24"/>
                <w:szCs w:val="24"/>
                <w:lang w:eastAsia="en-AU"/>
              </w:rPr>
            </w:pPr>
            <w:r w:rsidRPr="00D71A00">
              <w:rPr>
                <w:rFonts w:ascii="Arial" w:hAnsi="Arial" w:cs="Arial"/>
                <w:sz w:val="24"/>
                <w:szCs w:val="24"/>
                <w:lang w:eastAsia="en-AU"/>
              </w:rPr>
              <w:t xml:space="preserve">787 </w:t>
            </w:r>
          </w:p>
        </w:tc>
      </w:tr>
      <w:tr w:rsidR="003E5BF5" w:rsidRPr="00D71A00" w14:paraId="3B18D4B5" w14:textId="77777777" w:rsidTr="004436A8">
        <w:trPr>
          <w:trHeight w:val="340"/>
        </w:trPr>
        <w:tc>
          <w:tcPr>
            <w:tcW w:w="5665" w:type="dxa"/>
            <w:tcBorders>
              <w:bottom w:val="single" w:sz="4" w:space="0" w:color="auto"/>
            </w:tcBorders>
            <w:shd w:val="clear" w:color="auto" w:fill="auto"/>
            <w:noWrap/>
            <w:vAlign w:val="center"/>
          </w:tcPr>
          <w:p w14:paraId="6B5EBFEF"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Total municipal payments</w:t>
            </w:r>
          </w:p>
        </w:tc>
        <w:tc>
          <w:tcPr>
            <w:tcW w:w="1701" w:type="dxa"/>
            <w:tcBorders>
              <w:bottom w:val="single" w:sz="4" w:space="0" w:color="auto"/>
            </w:tcBorders>
            <w:shd w:val="clear" w:color="auto" w:fill="auto"/>
            <w:noWrap/>
            <w:vAlign w:val="center"/>
          </w:tcPr>
          <w:p w14:paraId="2CF614C8"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rPr>
              <w:t>-</w:t>
            </w:r>
          </w:p>
        </w:tc>
        <w:tc>
          <w:tcPr>
            <w:tcW w:w="1706" w:type="dxa"/>
            <w:tcBorders>
              <w:bottom w:val="single" w:sz="4" w:space="0" w:color="auto"/>
            </w:tcBorders>
            <w:shd w:val="clear" w:color="auto" w:fill="auto"/>
            <w:noWrap/>
            <w:vAlign w:val="center"/>
          </w:tcPr>
          <w:p w14:paraId="7788184A"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 xml:space="preserve">787 </w:t>
            </w:r>
          </w:p>
        </w:tc>
      </w:tr>
      <w:tr w:rsidR="003E5BF5" w:rsidRPr="00D71A00" w14:paraId="505EF2BD" w14:textId="77777777" w:rsidTr="004436A8">
        <w:trPr>
          <w:trHeight w:val="70"/>
        </w:trPr>
        <w:tc>
          <w:tcPr>
            <w:tcW w:w="5665" w:type="dxa"/>
            <w:tcBorders>
              <w:bottom w:val="single" w:sz="4" w:space="0" w:color="auto"/>
            </w:tcBorders>
            <w:shd w:val="clear" w:color="auto" w:fill="auto"/>
            <w:noWrap/>
            <w:vAlign w:val="center"/>
            <w:hideMark/>
          </w:tcPr>
          <w:p w14:paraId="42A4E71D"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Total annotated income agreements</w:t>
            </w:r>
          </w:p>
        </w:tc>
        <w:tc>
          <w:tcPr>
            <w:tcW w:w="1701" w:type="dxa"/>
            <w:tcBorders>
              <w:bottom w:val="single" w:sz="4" w:space="0" w:color="auto"/>
            </w:tcBorders>
            <w:shd w:val="clear" w:color="auto" w:fill="auto"/>
            <w:noWrap/>
            <w:vAlign w:val="center"/>
            <w:hideMark/>
          </w:tcPr>
          <w:p w14:paraId="4B4328B0"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 xml:space="preserve">689,653 </w:t>
            </w:r>
          </w:p>
        </w:tc>
        <w:tc>
          <w:tcPr>
            <w:tcW w:w="1706" w:type="dxa"/>
            <w:tcBorders>
              <w:bottom w:val="single" w:sz="4" w:space="0" w:color="auto"/>
            </w:tcBorders>
            <w:shd w:val="clear" w:color="auto" w:fill="auto"/>
            <w:noWrap/>
            <w:vAlign w:val="center"/>
            <w:hideMark/>
          </w:tcPr>
          <w:p w14:paraId="6A7CCA04" w14:textId="77777777" w:rsidR="003E5BF5" w:rsidRPr="00D71A00" w:rsidRDefault="003E5BF5" w:rsidP="00DE1921">
            <w:pPr>
              <w:jc w:val="right"/>
              <w:rPr>
                <w:rFonts w:ascii="Arial" w:hAnsi="Arial" w:cs="Arial"/>
                <w:b/>
                <w:sz w:val="24"/>
                <w:szCs w:val="24"/>
                <w:lang w:eastAsia="en-AU"/>
              </w:rPr>
            </w:pPr>
            <w:r w:rsidRPr="00D71A00">
              <w:rPr>
                <w:rFonts w:ascii="Arial" w:hAnsi="Arial" w:cs="Arial"/>
                <w:b/>
                <w:sz w:val="24"/>
                <w:szCs w:val="24"/>
                <w:lang w:eastAsia="en-AU"/>
              </w:rPr>
              <w:t xml:space="preserve">655,711 </w:t>
            </w:r>
          </w:p>
        </w:tc>
      </w:tr>
    </w:tbl>
    <w:p w14:paraId="1AFFEA50" w14:textId="77777777" w:rsidR="003E5BF5" w:rsidRDefault="003E5BF5" w:rsidP="001B06D6">
      <w:pPr>
        <w:pStyle w:val="Heading2"/>
      </w:pPr>
      <w:bookmarkStart w:id="125" w:name="_Annotated_income"/>
      <w:bookmarkStart w:id="126" w:name="_Grants_income"/>
      <w:bookmarkStart w:id="127" w:name="_Toc521958213"/>
      <w:bookmarkStart w:id="128" w:name="_Toc522178361"/>
      <w:bookmarkStart w:id="129" w:name="_Toc529179632"/>
      <w:bookmarkStart w:id="130" w:name="_Toc529197881"/>
      <w:bookmarkStart w:id="131" w:name="_Toc9344179"/>
      <w:bookmarkEnd w:id="125"/>
      <w:bookmarkEnd w:id="126"/>
    </w:p>
    <w:p w14:paraId="371E985E" w14:textId="77777777" w:rsidR="001B06D6" w:rsidRPr="00D71A00" w:rsidRDefault="001B06D6" w:rsidP="001B06D6">
      <w:pPr>
        <w:pStyle w:val="Note"/>
        <w:rPr>
          <w:rFonts w:ascii="Arial" w:hAnsi="Arial" w:cs="Arial"/>
          <w:i/>
          <w:sz w:val="24"/>
          <w:szCs w:val="24"/>
        </w:rPr>
      </w:pPr>
      <w:r w:rsidRPr="00D71A00">
        <w:rPr>
          <w:rFonts w:ascii="Arial" w:hAnsi="Arial" w:cs="Arial"/>
          <w:sz w:val="24"/>
          <w:szCs w:val="24"/>
        </w:rPr>
        <w:t xml:space="preserve">Note: </w:t>
      </w:r>
    </w:p>
    <w:p w14:paraId="2BC82E6F" w14:textId="77777777" w:rsidR="001B06D6" w:rsidRPr="001B06D6" w:rsidRDefault="001B06D6" w:rsidP="00610F5F">
      <w:pPr>
        <w:pStyle w:val="aaaNotenumberiiiiii"/>
        <w:numPr>
          <w:ilvl w:val="0"/>
          <w:numId w:val="70"/>
        </w:numPr>
        <w:rPr>
          <w:i/>
        </w:rPr>
      </w:pPr>
      <w:r w:rsidRPr="00D71A00">
        <w:t xml:space="preserve">These items are no longer applicable to the department as they were transferred to DJPR as part of the </w:t>
      </w:r>
      <w:proofErr w:type="spellStart"/>
      <w:r w:rsidRPr="00D71A00">
        <w:t>MoG</w:t>
      </w:r>
      <w:proofErr w:type="spellEnd"/>
      <w:r w:rsidRPr="00D71A00">
        <w:t xml:space="preserve"> effective 1 January 2019.</w:t>
      </w:r>
    </w:p>
    <w:p w14:paraId="57AD7580" w14:textId="77777777" w:rsidR="001B06D6" w:rsidRDefault="001B06D6" w:rsidP="001B06D6"/>
    <w:p w14:paraId="6933B821" w14:textId="77777777" w:rsidR="001B06D6" w:rsidRDefault="001B06D6" w:rsidP="001B06D6"/>
    <w:p w14:paraId="475A9B03" w14:textId="34818E0F" w:rsidR="001B06D6" w:rsidRPr="001B06D6" w:rsidRDefault="001B06D6" w:rsidP="001B06D6">
      <w:pPr>
        <w:sectPr w:rsidR="001B06D6" w:rsidRPr="001B06D6" w:rsidSect="00DE1921">
          <w:headerReference w:type="even" r:id="rId74"/>
          <w:headerReference w:type="default" r:id="rId75"/>
          <w:headerReference w:type="first" r:id="rId76"/>
          <w:pgSz w:w="11906" w:h="16838" w:code="9"/>
          <w:pgMar w:top="1701" w:right="1418" w:bottom="1418" w:left="1418" w:header="709" w:footer="709" w:gutter="0"/>
          <w:cols w:space="708"/>
          <w:docGrid w:linePitch="360"/>
        </w:sectPr>
      </w:pPr>
    </w:p>
    <w:p w14:paraId="79F99DE0" w14:textId="77777777" w:rsidR="003E5BF5" w:rsidRPr="00DB5890" w:rsidRDefault="003E5BF5" w:rsidP="006667CC">
      <w:pPr>
        <w:pStyle w:val="Heading2"/>
        <w:numPr>
          <w:ilvl w:val="1"/>
          <w:numId w:val="3"/>
        </w:numPr>
      </w:pPr>
      <w:bookmarkStart w:id="132" w:name="_Toc53420595"/>
      <w:bookmarkStart w:id="133" w:name="_Toc53420712"/>
      <w:r w:rsidRPr="00DB5890">
        <w:lastRenderedPageBreak/>
        <w:t>Grant</w:t>
      </w:r>
      <w:bookmarkEnd w:id="127"/>
      <w:bookmarkEnd w:id="128"/>
      <w:bookmarkEnd w:id="129"/>
      <w:bookmarkEnd w:id="130"/>
      <w:bookmarkEnd w:id="131"/>
      <w:r w:rsidRPr="00DB5890">
        <w:t xml:space="preserve"> income</w:t>
      </w:r>
      <w:bookmarkEnd w:id="132"/>
      <w:bookmarkEnd w:id="133"/>
    </w:p>
    <w:tbl>
      <w:tblPr>
        <w:tblStyle w:val="TableGrid"/>
        <w:tblW w:w="9264" w:type="dxa"/>
        <w:tblLayout w:type="fixed"/>
        <w:tblLook w:val="04A0" w:firstRow="1" w:lastRow="0" w:firstColumn="1" w:lastColumn="0" w:noHBand="0" w:noVBand="1"/>
      </w:tblPr>
      <w:tblGrid>
        <w:gridCol w:w="5646"/>
        <w:gridCol w:w="1809"/>
        <w:gridCol w:w="1809"/>
      </w:tblGrid>
      <w:tr w:rsidR="00C855E3" w:rsidRPr="00D71A00" w14:paraId="3CC95C99" w14:textId="77777777" w:rsidTr="00FA33E6">
        <w:trPr>
          <w:trHeight w:val="340"/>
        </w:trPr>
        <w:tc>
          <w:tcPr>
            <w:tcW w:w="5665" w:type="dxa"/>
            <w:shd w:val="clear" w:color="auto" w:fill="auto"/>
            <w:noWrap/>
            <w:hideMark/>
          </w:tcPr>
          <w:p w14:paraId="782A87C4" w14:textId="77777777" w:rsidR="00C855E3" w:rsidRPr="00D71A00" w:rsidRDefault="00C855E3" w:rsidP="00DE1921">
            <w:pPr>
              <w:rPr>
                <w:rFonts w:ascii="Arial" w:hAnsi="Arial" w:cs="Arial"/>
                <w:sz w:val="24"/>
                <w:szCs w:val="24"/>
              </w:rPr>
            </w:pPr>
          </w:p>
        </w:tc>
        <w:tc>
          <w:tcPr>
            <w:tcW w:w="1814" w:type="dxa"/>
            <w:shd w:val="clear" w:color="auto" w:fill="auto"/>
            <w:noWrap/>
            <w:vAlign w:val="center"/>
            <w:hideMark/>
          </w:tcPr>
          <w:p w14:paraId="631178E3" w14:textId="77777777" w:rsidR="00C855E3" w:rsidRPr="00D71A00" w:rsidRDefault="00C855E3" w:rsidP="00DE1921">
            <w:pPr>
              <w:jc w:val="center"/>
              <w:rPr>
                <w:rFonts w:ascii="Arial" w:hAnsi="Arial" w:cs="Arial"/>
                <w:b/>
                <w:sz w:val="24"/>
                <w:szCs w:val="24"/>
              </w:rPr>
            </w:pPr>
            <w:r w:rsidRPr="00D71A00">
              <w:rPr>
                <w:rFonts w:ascii="Arial" w:hAnsi="Arial" w:cs="Arial"/>
                <w:b/>
                <w:sz w:val="24"/>
                <w:szCs w:val="24"/>
              </w:rPr>
              <w:t>($ thousand)</w:t>
            </w:r>
          </w:p>
        </w:tc>
        <w:tc>
          <w:tcPr>
            <w:tcW w:w="1814" w:type="dxa"/>
            <w:shd w:val="clear" w:color="auto" w:fill="auto"/>
            <w:vAlign w:val="center"/>
          </w:tcPr>
          <w:p w14:paraId="12A771E7" w14:textId="61742F2E" w:rsidR="00C855E3" w:rsidRPr="00D71A00" w:rsidRDefault="00C855E3" w:rsidP="00DE1921">
            <w:pPr>
              <w:jc w:val="center"/>
              <w:rPr>
                <w:rFonts w:ascii="Arial" w:hAnsi="Arial" w:cs="Arial"/>
                <w:b/>
                <w:sz w:val="24"/>
                <w:szCs w:val="24"/>
              </w:rPr>
            </w:pPr>
            <w:r w:rsidRPr="00D71A00">
              <w:rPr>
                <w:rFonts w:ascii="Arial" w:hAnsi="Arial" w:cs="Arial"/>
                <w:b/>
                <w:sz w:val="24"/>
                <w:szCs w:val="24"/>
              </w:rPr>
              <w:t>($ thousand)</w:t>
            </w:r>
          </w:p>
        </w:tc>
      </w:tr>
      <w:tr w:rsidR="003E5BF5" w:rsidRPr="00D71A00" w14:paraId="1DC0D14D" w14:textId="77777777" w:rsidTr="00FA33E6">
        <w:trPr>
          <w:trHeight w:val="340"/>
        </w:trPr>
        <w:tc>
          <w:tcPr>
            <w:tcW w:w="5665" w:type="dxa"/>
            <w:shd w:val="clear" w:color="auto" w:fill="auto"/>
            <w:noWrap/>
            <w:hideMark/>
          </w:tcPr>
          <w:p w14:paraId="13F21D78" w14:textId="77777777" w:rsidR="003E5BF5" w:rsidRPr="00D71A00" w:rsidRDefault="003E5BF5" w:rsidP="00DE1921">
            <w:pPr>
              <w:rPr>
                <w:rFonts w:ascii="Arial" w:hAnsi="Arial" w:cs="Arial"/>
                <w:b/>
                <w:sz w:val="24"/>
                <w:szCs w:val="24"/>
              </w:rPr>
            </w:pPr>
            <w:r w:rsidRPr="00D71A00">
              <w:rPr>
                <w:rFonts w:ascii="Arial" w:hAnsi="Arial" w:cs="Arial"/>
                <w:b/>
                <w:sz w:val="24"/>
                <w:szCs w:val="24"/>
              </w:rPr>
              <w:t> </w:t>
            </w:r>
          </w:p>
        </w:tc>
        <w:tc>
          <w:tcPr>
            <w:tcW w:w="1814" w:type="dxa"/>
            <w:shd w:val="clear" w:color="auto" w:fill="auto"/>
            <w:vAlign w:val="center"/>
            <w:hideMark/>
          </w:tcPr>
          <w:p w14:paraId="4A614DCC" w14:textId="77777777" w:rsidR="003E5BF5" w:rsidRPr="00D71A00" w:rsidRDefault="003E5BF5" w:rsidP="00DE1921">
            <w:pPr>
              <w:jc w:val="right"/>
              <w:rPr>
                <w:rFonts w:ascii="Arial" w:hAnsi="Arial" w:cs="Arial"/>
                <w:b/>
                <w:sz w:val="24"/>
                <w:szCs w:val="24"/>
              </w:rPr>
            </w:pPr>
            <w:r w:rsidRPr="00D71A00">
              <w:rPr>
                <w:rFonts w:ascii="Arial" w:hAnsi="Arial" w:cs="Arial"/>
                <w:b/>
                <w:sz w:val="24"/>
                <w:szCs w:val="24"/>
              </w:rPr>
              <w:t>2020</w:t>
            </w:r>
          </w:p>
        </w:tc>
        <w:tc>
          <w:tcPr>
            <w:tcW w:w="1814" w:type="dxa"/>
            <w:shd w:val="clear" w:color="auto" w:fill="auto"/>
            <w:vAlign w:val="center"/>
            <w:hideMark/>
          </w:tcPr>
          <w:p w14:paraId="11F276B6" w14:textId="77777777" w:rsidR="003E5BF5" w:rsidRPr="00D71A00" w:rsidRDefault="003E5BF5" w:rsidP="00DE1921">
            <w:pPr>
              <w:jc w:val="right"/>
              <w:rPr>
                <w:rFonts w:ascii="Arial" w:hAnsi="Arial" w:cs="Arial"/>
                <w:b/>
                <w:sz w:val="24"/>
                <w:szCs w:val="24"/>
              </w:rPr>
            </w:pPr>
            <w:r w:rsidRPr="00D71A00">
              <w:rPr>
                <w:rFonts w:ascii="Arial" w:hAnsi="Arial" w:cs="Arial"/>
                <w:b/>
                <w:sz w:val="24"/>
                <w:szCs w:val="24"/>
              </w:rPr>
              <w:t>2019</w:t>
            </w:r>
          </w:p>
        </w:tc>
      </w:tr>
      <w:tr w:rsidR="003E5BF5" w:rsidRPr="00D71A00" w14:paraId="53BBCECC" w14:textId="77777777" w:rsidTr="00FA33E6">
        <w:trPr>
          <w:trHeight w:val="340"/>
        </w:trPr>
        <w:tc>
          <w:tcPr>
            <w:tcW w:w="5665" w:type="dxa"/>
            <w:shd w:val="clear" w:color="auto" w:fill="auto"/>
            <w:noWrap/>
            <w:vAlign w:val="center"/>
            <w:hideMark/>
          </w:tcPr>
          <w:p w14:paraId="092A3EC2" w14:textId="77777777" w:rsidR="003E5BF5" w:rsidRPr="00D71A00" w:rsidRDefault="003E5BF5" w:rsidP="00604703">
            <w:pPr>
              <w:pStyle w:val="TableTextGreen"/>
            </w:pPr>
            <w:r w:rsidRPr="00D71A00">
              <w:t xml:space="preserve">Income recognised as income of not-for-profit entities </w:t>
            </w:r>
          </w:p>
        </w:tc>
        <w:tc>
          <w:tcPr>
            <w:tcW w:w="1814" w:type="dxa"/>
            <w:shd w:val="clear" w:color="auto" w:fill="auto"/>
            <w:noWrap/>
            <w:vAlign w:val="center"/>
            <w:hideMark/>
          </w:tcPr>
          <w:p w14:paraId="34B64C67" w14:textId="77777777" w:rsidR="003E5BF5" w:rsidRPr="00D71A00" w:rsidRDefault="003E5BF5" w:rsidP="00DE1921">
            <w:pPr>
              <w:jc w:val="right"/>
              <w:rPr>
                <w:rFonts w:ascii="Arial" w:hAnsi="Arial" w:cs="Arial"/>
                <w:b/>
                <w:sz w:val="24"/>
                <w:szCs w:val="24"/>
              </w:rPr>
            </w:pPr>
          </w:p>
        </w:tc>
        <w:tc>
          <w:tcPr>
            <w:tcW w:w="1814" w:type="dxa"/>
            <w:shd w:val="clear" w:color="auto" w:fill="auto"/>
            <w:noWrap/>
            <w:vAlign w:val="center"/>
            <w:hideMark/>
          </w:tcPr>
          <w:p w14:paraId="509DE089" w14:textId="77777777" w:rsidR="003E5BF5" w:rsidRPr="00D71A00" w:rsidRDefault="003E5BF5" w:rsidP="00DE1921">
            <w:pPr>
              <w:jc w:val="right"/>
              <w:rPr>
                <w:rFonts w:ascii="Arial" w:hAnsi="Arial" w:cs="Arial"/>
                <w:sz w:val="24"/>
                <w:szCs w:val="24"/>
              </w:rPr>
            </w:pPr>
          </w:p>
        </w:tc>
      </w:tr>
      <w:tr w:rsidR="003E5BF5" w:rsidRPr="00D71A00" w14:paraId="37973401" w14:textId="77777777" w:rsidTr="00FA33E6">
        <w:trPr>
          <w:trHeight w:val="340"/>
        </w:trPr>
        <w:tc>
          <w:tcPr>
            <w:tcW w:w="5665" w:type="dxa"/>
            <w:shd w:val="clear" w:color="auto" w:fill="auto"/>
            <w:noWrap/>
            <w:vAlign w:val="center"/>
            <w:hideMark/>
          </w:tcPr>
          <w:p w14:paraId="66F93895" w14:textId="77777777" w:rsidR="003E5BF5" w:rsidRPr="00D71A00" w:rsidRDefault="003E5BF5" w:rsidP="00DE1921">
            <w:pPr>
              <w:rPr>
                <w:rFonts w:ascii="Arial" w:hAnsi="Arial" w:cs="Arial"/>
                <w:sz w:val="24"/>
                <w:szCs w:val="24"/>
              </w:rPr>
            </w:pPr>
            <w:r w:rsidRPr="00D71A00">
              <w:rPr>
                <w:rFonts w:ascii="Arial" w:hAnsi="Arial" w:cs="Arial"/>
                <w:sz w:val="24"/>
                <w:szCs w:val="24"/>
              </w:rPr>
              <w:t>General purpose</w:t>
            </w:r>
          </w:p>
        </w:tc>
        <w:tc>
          <w:tcPr>
            <w:tcW w:w="1814" w:type="dxa"/>
            <w:shd w:val="clear" w:color="auto" w:fill="auto"/>
            <w:noWrap/>
            <w:vAlign w:val="center"/>
            <w:hideMark/>
          </w:tcPr>
          <w:p w14:paraId="01FC891E" w14:textId="77777777" w:rsidR="003E5BF5" w:rsidRPr="00D71A00" w:rsidRDefault="003E5BF5" w:rsidP="00DE1921">
            <w:pPr>
              <w:jc w:val="right"/>
              <w:rPr>
                <w:rFonts w:ascii="Arial" w:hAnsi="Arial" w:cs="Arial"/>
                <w:sz w:val="24"/>
                <w:szCs w:val="24"/>
              </w:rPr>
            </w:pPr>
            <w:r w:rsidRPr="00D71A00">
              <w:rPr>
                <w:rFonts w:ascii="Arial" w:hAnsi="Arial" w:cs="Arial"/>
                <w:sz w:val="24"/>
                <w:szCs w:val="24"/>
              </w:rPr>
              <w:t xml:space="preserve">192,858 </w:t>
            </w:r>
          </w:p>
        </w:tc>
        <w:tc>
          <w:tcPr>
            <w:tcW w:w="1814" w:type="dxa"/>
            <w:shd w:val="clear" w:color="auto" w:fill="auto"/>
            <w:noWrap/>
            <w:vAlign w:val="center"/>
            <w:hideMark/>
          </w:tcPr>
          <w:p w14:paraId="50250755" w14:textId="77777777" w:rsidR="003E5BF5" w:rsidRPr="00D71A00" w:rsidRDefault="003E5BF5" w:rsidP="00DE1921">
            <w:pPr>
              <w:jc w:val="right"/>
              <w:rPr>
                <w:rFonts w:ascii="Arial" w:hAnsi="Arial" w:cs="Arial"/>
                <w:sz w:val="24"/>
                <w:szCs w:val="24"/>
              </w:rPr>
            </w:pPr>
            <w:r w:rsidRPr="00D71A00">
              <w:rPr>
                <w:rFonts w:ascii="Arial" w:hAnsi="Arial" w:cs="Arial"/>
                <w:sz w:val="24"/>
                <w:szCs w:val="24"/>
              </w:rPr>
              <w:t xml:space="preserve">143,956 </w:t>
            </w:r>
          </w:p>
        </w:tc>
      </w:tr>
      <w:tr w:rsidR="003E5BF5" w:rsidRPr="00D71A00" w14:paraId="6A195246" w14:textId="77777777" w:rsidTr="00FA33E6">
        <w:trPr>
          <w:trHeight w:val="340"/>
        </w:trPr>
        <w:tc>
          <w:tcPr>
            <w:tcW w:w="5665" w:type="dxa"/>
            <w:shd w:val="clear" w:color="auto" w:fill="auto"/>
            <w:noWrap/>
            <w:vAlign w:val="center"/>
            <w:hideMark/>
          </w:tcPr>
          <w:p w14:paraId="3EB2D8F7" w14:textId="77777777" w:rsidR="003E5BF5" w:rsidRPr="00D71A00" w:rsidRDefault="003E5BF5" w:rsidP="00DE1921">
            <w:pPr>
              <w:rPr>
                <w:rFonts w:ascii="Arial" w:hAnsi="Arial" w:cs="Arial"/>
                <w:sz w:val="24"/>
                <w:szCs w:val="24"/>
              </w:rPr>
            </w:pPr>
            <w:r w:rsidRPr="00D71A00">
              <w:rPr>
                <w:rFonts w:ascii="Arial" w:hAnsi="Arial" w:cs="Arial"/>
                <w:sz w:val="24"/>
                <w:szCs w:val="24"/>
              </w:rPr>
              <w:t>Specific purpose grants for on passing</w:t>
            </w:r>
          </w:p>
        </w:tc>
        <w:tc>
          <w:tcPr>
            <w:tcW w:w="1814" w:type="dxa"/>
            <w:shd w:val="clear" w:color="auto" w:fill="auto"/>
            <w:noWrap/>
            <w:vAlign w:val="center"/>
            <w:hideMark/>
          </w:tcPr>
          <w:p w14:paraId="6E3A43F5" w14:textId="77777777" w:rsidR="003E5BF5" w:rsidRPr="00D71A00" w:rsidRDefault="003E5BF5" w:rsidP="00DE1921">
            <w:pPr>
              <w:jc w:val="right"/>
              <w:rPr>
                <w:rFonts w:ascii="Arial" w:hAnsi="Arial" w:cs="Arial"/>
                <w:sz w:val="24"/>
                <w:szCs w:val="24"/>
              </w:rPr>
            </w:pPr>
            <w:r w:rsidRPr="00D71A00">
              <w:rPr>
                <w:rFonts w:ascii="Arial" w:hAnsi="Arial" w:cs="Arial"/>
                <w:sz w:val="24"/>
                <w:szCs w:val="24"/>
              </w:rPr>
              <w:t xml:space="preserve">974 </w:t>
            </w:r>
          </w:p>
        </w:tc>
        <w:tc>
          <w:tcPr>
            <w:tcW w:w="1814" w:type="dxa"/>
            <w:shd w:val="clear" w:color="auto" w:fill="auto"/>
            <w:noWrap/>
            <w:vAlign w:val="center"/>
            <w:hideMark/>
          </w:tcPr>
          <w:p w14:paraId="4C4E121A" w14:textId="77777777" w:rsidR="003E5BF5" w:rsidRPr="00D71A00" w:rsidRDefault="003E5BF5" w:rsidP="00DE1921">
            <w:pPr>
              <w:jc w:val="right"/>
              <w:rPr>
                <w:rFonts w:ascii="Arial" w:hAnsi="Arial" w:cs="Arial"/>
                <w:sz w:val="24"/>
                <w:szCs w:val="24"/>
              </w:rPr>
            </w:pPr>
            <w:r w:rsidRPr="00D71A00">
              <w:rPr>
                <w:rFonts w:ascii="Arial" w:hAnsi="Arial" w:cs="Arial"/>
                <w:b/>
                <w:sz w:val="24"/>
                <w:szCs w:val="24"/>
              </w:rPr>
              <w:t>-</w:t>
            </w:r>
          </w:p>
        </w:tc>
      </w:tr>
      <w:tr w:rsidR="003E5BF5" w:rsidRPr="00D71A00" w14:paraId="2C7A7694" w14:textId="77777777" w:rsidTr="00FA33E6">
        <w:trPr>
          <w:trHeight w:val="340"/>
        </w:trPr>
        <w:tc>
          <w:tcPr>
            <w:tcW w:w="5665" w:type="dxa"/>
            <w:shd w:val="clear" w:color="auto" w:fill="auto"/>
            <w:noWrap/>
            <w:vAlign w:val="center"/>
            <w:hideMark/>
          </w:tcPr>
          <w:p w14:paraId="687637AC" w14:textId="77777777" w:rsidR="003E5BF5" w:rsidRPr="00D71A00" w:rsidRDefault="003E5BF5" w:rsidP="00DE1921">
            <w:pPr>
              <w:rPr>
                <w:rFonts w:ascii="Arial" w:hAnsi="Arial" w:cs="Arial"/>
                <w:sz w:val="24"/>
                <w:szCs w:val="24"/>
              </w:rPr>
            </w:pPr>
            <w:r w:rsidRPr="00D71A00">
              <w:rPr>
                <w:rFonts w:ascii="Arial" w:hAnsi="Arial" w:cs="Arial"/>
                <w:sz w:val="24"/>
                <w:szCs w:val="24"/>
              </w:rPr>
              <w:t>Other specific purpose to acquire a recognisable non-financial asset</w:t>
            </w:r>
          </w:p>
        </w:tc>
        <w:tc>
          <w:tcPr>
            <w:tcW w:w="1814" w:type="dxa"/>
            <w:shd w:val="clear" w:color="auto" w:fill="auto"/>
            <w:noWrap/>
            <w:vAlign w:val="center"/>
            <w:hideMark/>
          </w:tcPr>
          <w:p w14:paraId="1A429F13" w14:textId="77777777" w:rsidR="003E5BF5" w:rsidRPr="00D71A00" w:rsidRDefault="003E5BF5" w:rsidP="00DE1921">
            <w:pPr>
              <w:jc w:val="right"/>
              <w:rPr>
                <w:rFonts w:ascii="Arial" w:hAnsi="Arial" w:cs="Arial"/>
                <w:sz w:val="24"/>
                <w:szCs w:val="24"/>
              </w:rPr>
            </w:pPr>
            <w:r w:rsidRPr="00D71A00">
              <w:rPr>
                <w:rFonts w:ascii="Arial" w:hAnsi="Arial" w:cs="Arial"/>
                <w:sz w:val="24"/>
                <w:szCs w:val="24"/>
              </w:rPr>
              <w:t xml:space="preserve">240,588 </w:t>
            </w:r>
          </w:p>
        </w:tc>
        <w:tc>
          <w:tcPr>
            <w:tcW w:w="1814" w:type="dxa"/>
            <w:shd w:val="clear" w:color="auto" w:fill="auto"/>
            <w:noWrap/>
            <w:vAlign w:val="center"/>
            <w:hideMark/>
          </w:tcPr>
          <w:p w14:paraId="08DD4A5D" w14:textId="77777777" w:rsidR="003E5BF5" w:rsidRPr="00D71A00" w:rsidRDefault="003E5BF5" w:rsidP="00DE1921">
            <w:pPr>
              <w:jc w:val="right"/>
              <w:rPr>
                <w:rFonts w:ascii="Arial" w:hAnsi="Arial" w:cs="Arial"/>
                <w:sz w:val="24"/>
                <w:szCs w:val="24"/>
              </w:rPr>
            </w:pPr>
            <w:r w:rsidRPr="00D71A00">
              <w:rPr>
                <w:rFonts w:ascii="Arial" w:hAnsi="Arial" w:cs="Arial"/>
                <w:b/>
                <w:sz w:val="24"/>
                <w:szCs w:val="24"/>
              </w:rPr>
              <w:t>-</w:t>
            </w:r>
          </w:p>
        </w:tc>
      </w:tr>
      <w:tr w:rsidR="003E5BF5" w:rsidRPr="00D71A00" w14:paraId="3AB70AF2" w14:textId="77777777" w:rsidTr="00FA33E6">
        <w:trPr>
          <w:trHeight w:val="340"/>
        </w:trPr>
        <w:tc>
          <w:tcPr>
            <w:tcW w:w="5665" w:type="dxa"/>
            <w:shd w:val="clear" w:color="auto" w:fill="auto"/>
            <w:noWrap/>
            <w:vAlign w:val="center"/>
            <w:hideMark/>
          </w:tcPr>
          <w:p w14:paraId="7123C65B" w14:textId="77777777" w:rsidR="003E5BF5" w:rsidRPr="00D71A00" w:rsidRDefault="003E5BF5" w:rsidP="00604703">
            <w:pPr>
              <w:pStyle w:val="TableTextGreen"/>
            </w:pPr>
            <w:r w:rsidRPr="00D71A00">
              <w:t>Income recognised as revenue from contract with customers</w:t>
            </w:r>
          </w:p>
        </w:tc>
        <w:tc>
          <w:tcPr>
            <w:tcW w:w="1814" w:type="dxa"/>
            <w:shd w:val="clear" w:color="auto" w:fill="auto"/>
            <w:noWrap/>
            <w:vAlign w:val="center"/>
            <w:hideMark/>
          </w:tcPr>
          <w:p w14:paraId="047D92EA" w14:textId="77777777" w:rsidR="003E5BF5" w:rsidRPr="00D71A00" w:rsidRDefault="003E5BF5" w:rsidP="00DE1921">
            <w:pPr>
              <w:jc w:val="right"/>
              <w:rPr>
                <w:rFonts w:ascii="Arial" w:hAnsi="Arial" w:cs="Arial"/>
                <w:b/>
                <w:sz w:val="24"/>
                <w:szCs w:val="24"/>
              </w:rPr>
            </w:pPr>
          </w:p>
        </w:tc>
        <w:tc>
          <w:tcPr>
            <w:tcW w:w="1814" w:type="dxa"/>
            <w:shd w:val="clear" w:color="auto" w:fill="auto"/>
            <w:noWrap/>
            <w:vAlign w:val="center"/>
            <w:hideMark/>
          </w:tcPr>
          <w:p w14:paraId="6079C63D" w14:textId="77777777" w:rsidR="003E5BF5" w:rsidRPr="00D71A00" w:rsidRDefault="003E5BF5" w:rsidP="00DE1921">
            <w:pPr>
              <w:jc w:val="right"/>
              <w:rPr>
                <w:rFonts w:ascii="Arial" w:hAnsi="Arial" w:cs="Arial"/>
                <w:sz w:val="24"/>
                <w:szCs w:val="24"/>
              </w:rPr>
            </w:pPr>
          </w:p>
        </w:tc>
      </w:tr>
      <w:tr w:rsidR="003E5BF5" w:rsidRPr="00D71A00" w14:paraId="5A1A6E2B" w14:textId="77777777" w:rsidTr="00FA33E6">
        <w:trPr>
          <w:trHeight w:val="340"/>
        </w:trPr>
        <w:tc>
          <w:tcPr>
            <w:tcW w:w="5665" w:type="dxa"/>
            <w:shd w:val="clear" w:color="auto" w:fill="auto"/>
            <w:noWrap/>
            <w:vAlign w:val="center"/>
            <w:hideMark/>
          </w:tcPr>
          <w:p w14:paraId="1B2BB843" w14:textId="77777777" w:rsidR="003E5BF5" w:rsidRPr="00D71A00" w:rsidRDefault="003E5BF5" w:rsidP="00DE1921">
            <w:pPr>
              <w:rPr>
                <w:rFonts w:ascii="Arial" w:hAnsi="Arial" w:cs="Arial"/>
                <w:sz w:val="24"/>
                <w:szCs w:val="24"/>
              </w:rPr>
            </w:pPr>
            <w:r w:rsidRPr="00D71A00">
              <w:rPr>
                <w:rFonts w:ascii="Arial" w:hAnsi="Arial" w:cs="Arial"/>
                <w:sz w:val="24"/>
                <w:szCs w:val="24"/>
              </w:rPr>
              <w:t>Other specific purpose grants</w:t>
            </w:r>
          </w:p>
        </w:tc>
        <w:tc>
          <w:tcPr>
            <w:tcW w:w="1814" w:type="dxa"/>
            <w:shd w:val="clear" w:color="auto" w:fill="auto"/>
            <w:noWrap/>
            <w:vAlign w:val="center"/>
            <w:hideMark/>
          </w:tcPr>
          <w:p w14:paraId="7748ADB7" w14:textId="77777777" w:rsidR="003E5BF5" w:rsidRPr="00D71A00" w:rsidRDefault="003E5BF5" w:rsidP="00DE1921">
            <w:pPr>
              <w:jc w:val="right"/>
              <w:rPr>
                <w:rFonts w:ascii="Arial" w:hAnsi="Arial" w:cs="Arial"/>
                <w:sz w:val="24"/>
                <w:szCs w:val="24"/>
              </w:rPr>
            </w:pPr>
            <w:r w:rsidRPr="00D71A00">
              <w:rPr>
                <w:rFonts w:ascii="Arial" w:hAnsi="Arial" w:cs="Arial"/>
                <w:sz w:val="24"/>
                <w:szCs w:val="24"/>
              </w:rPr>
              <w:t xml:space="preserve">32,508 </w:t>
            </w:r>
          </w:p>
        </w:tc>
        <w:tc>
          <w:tcPr>
            <w:tcW w:w="1814" w:type="dxa"/>
            <w:shd w:val="clear" w:color="auto" w:fill="auto"/>
            <w:noWrap/>
            <w:vAlign w:val="center"/>
            <w:hideMark/>
          </w:tcPr>
          <w:p w14:paraId="3A3D3B58" w14:textId="77777777" w:rsidR="003E5BF5" w:rsidRPr="00D71A00" w:rsidRDefault="003E5BF5" w:rsidP="00DE1921">
            <w:pPr>
              <w:jc w:val="right"/>
              <w:rPr>
                <w:rFonts w:ascii="Arial" w:hAnsi="Arial" w:cs="Arial"/>
                <w:sz w:val="24"/>
                <w:szCs w:val="24"/>
              </w:rPr>
            </w:pPr>
            <w:r w:rsidRPr="00D71A00">
              <w:rPr>
                <w:rFonts w:ascii="Arial" w:hAnsi="Arial" w:cs="Arial"/>
                <w:b/>
                <w:sz w:val="24"/>
                <w:szCs w:val="24"/>
              </w:rPr>
              <w:t>-</w:t>
            </w:r>
          </w:p>
        </w:tc>
      </w:tr>
      <w:tr w:rsidR="003E5BF5" w:rsidRPr="00D71A00" w14:paraId="12B4C24D" w14:textId="77777777" w:rsidTr="00FA33E6">
        <w:trPr>
          <w:trHeight w:val="340"/>
        </w:trPr>
        <w:tc>
          <w:tcPr>
            <w:tcW w:w="5665" w:type="dxa"/>
            <w:shd w:val="clear" w:color="auto" w:fill="auto"/>
            <w:noWrap/>
            <w:vAlign w:val="center"/>
            <w:hideMark/>
          </w:tcPr>
          <w:p w14:paraId="4301413C" w14:textId="77777777" w:rsidR="003E5BF5" w:rsidRPr="00D71A00" w:rsidRDefault="003E5BF5" w:rsidP="00DE1921">
            <w:pPr>
              <w:pStyle w:val="TableTextLeftBold"/>
              <w:rPr>
                <w:rFonts w:ascii="Arial" w:hAnsi="Arial" w:cs="Arial"/>
                <w:sz w:val="24"/>
                <w:szCs w:val="24"/>
              </w:rPr>
            </w:pPr>
            <w:r w:rsidRPr="00D71A00">
              <w:rPr>
                <w:rFonts w:ascii="Arial" w:hAnsi="Arial" w:cs="Arial"/>
                <w:sz w:val="24"/>
                <w:szCs w:val="24"/>
              </w:rPr>
              <w:t>Total grant income</w:t>
            </w:r>
          </w:p>
        </w:tc>
        <w:tc>
          <w:tcPr>
            <w:tcW w:w="1814" w:type="dxa"/>
            <w:shd w:val="clear" w:color="auto" w:fill="auto"/>
            <w:noWrap/>
            <w:vAlign w:val="center"/>
            <w:hideMark/>
          </w:tcPr>
          <w:p w14:paraId="22307DEE" w14:textId="77777777" w:rsidR="003E5BF5" w:rsidRPr="00D71A00" w:rsidRDefault="003E5BF5" w:rsidP="00DE1921">
            <w:pPr>
              <w:jc w:val="right"/>
              <w:rPr>
                <w:rFonts w:ascii="Arial" w:hAnsi="Arial" w:cs="Arial"/>
                <w:b/>
                <w:sz w:val="24"/>
                <w:szCs w:val="24"/>
              </w:rPr>
            </w:pPr>
            <w:r w:rsidRPr="00D71A00">
              <w:rPr>
                <w:rFonts w:ascii="Arial" w:hAnsi="Arial" w:cs="Arial"/>
                <w:b/>
                <w:sz w:val="24"/>
                <w:szCs w:val="24"/>
              </w:rPr>
              <w:t xml:space="preserve">466,928 </w:t>
            </w:r>
          </w:p>
        </w:tc>
        <w:tc>
          <w:tcPr>
            <w:tcW w:w="1814" w:type="dxa"/>
            <w:shd w:val="clear" w:color="auto" w:fill="auto"/>
            <w:noWrap/>
            <w:vAlign w:val="center"/>
            <w:hideMark/>
          </w:tcPr>
          <w:p w14:paraId="395BD2DA" w14:textId="77777777" w:rsidR="003E5BF5" w:rsidRPr="00D71A00" w:rsidRDefault="003E5BF5" w:rsidP="00DE1921">
            <w:pPr>
              <w:jc w:val="right"/>
              <w:rPr>
                <w:rFonts w:ascii="Arial" w:hAnsi="Arial" w:cs="Arial"/>
                <w:b/>
                <w:sz w:val="24"/>
                <w:szCs w:val="24"/>
              </w:rPr>
            </w:pPr>
            <w:r w:rsidRPr="00D71A00">
              <w:rPr>
                <w:rFonts w:ascii="Arial" w:hAnsi="Arial" w:cs="Arial"/>
                <w:b/>
                <w:sz w:val="24"/>
                <w:szCs w:val="24"/>
              </w:rPr>
              <w:t xml:space="preserve">143,956 </w:t>
            </w:r>
          </w:p>
        </w:tc>
      </w:tr>
    </w:tbl>
    <w:p w14:paraId="3B8EB3ED" w14:textId="77777777" w:rsidR="003E5BF5" w:rsidRDefault="003E5BF5" w:rsidP="00DE1921">
      <w:pPr>
        <w:spacing w:after="0"/>
        <w:sectPr w:rsidR="003E5BF5" w:rsidSect="00DE1921">
          <w:pgSz w:w="11906" w:h="16838"/>
          <w:pgMar w:top="1701" w:right="1418" w:bottom="1418" w:left="1418" w:header="708" w:footer="708" w:gutter="0"/>
          <w:cols w:space="708"/>
          <w:docGrid w:linePitch="360"/>
        </w:sectPr>
      </w:pPr>
    </w:p>
    <w:p w14:paraId="6C996E86" w14:textId="77777777" w:rsidR="003E5BF5" w:rsidRDefault="003E5BF5" w:rsidP="005D79E1">
      <w:pPr>
        <w:pStyle w:val="aaatyping"/>
      </w:pPr>
      <w:r w:rsidRPr="0085477A">
        <w:t>The department has determined that all grant income is recognised as income of not-for-profit entities in accordance with AASB 1058, except for grants that are enforceable and with sufficiently specific performance obligations and accounted for as revenue from contracts with customers in accordance with AASB 15</w:t>
      </w:r>
      <w:r>
        <w:t>.</w:t>
      </w:r>
    </w:p>
    <w:p w14:paraId="55320C4E" w14:textId="77777777" w:rsidR="003E5BF5" w:rsidRDefault="003E5BF5" w:rsidP="005D79E1">
      <w:pPr>
        <w:pStyle w:val="aaatyping"/>
      </w:pPr>
      <w:r>
        <w:t xml:space="preserve">The impact of initially applying AASB 1058 on the department’s grant revenue is described in Note 9.6. Due to the modified retrospective transition method chosen in applying AASB 1058, comparative information has not been restated to reflect the new requirements. The adoption of AASB 1058 did not have an impact on Other comprehensive income and the Statement of Cash flows for the financial year. </w:t>
      </w:r>
    </w:p>
    <w:p w14:paraId="7C0EEF76" w14:textId="77777777" w:rsidR="003E5BF5" w:rsidRDefault="003E5BF5" w:rsidP="005D79E1">
      <w:pPr>
        <w:pStyle w:val="aaatyping"/>
      </w:pPr>
      <w:r>
        <w:t xml:space="preserve">Income from grants that are enforceable and with sufficiently specific performance obligations and accounted for as revenue from contracts with customers is recognised when the department satisfies the performance obligation by providing the relevant services to the relevant bodies. This is recognised based on the consideration specified in the funding agreement and to the extent that it is highly probable a significant reversal of the revenue will not occur. The funding payments </w:t>
      </w:r>
      <w:r>
        <w:lastRenderedPageBreak/>
        <w:t>are normally received in advance or shortly after the relevant obligation is satisfied.</w:t>
      </w:r>
    </w:p>
    <w:p w14:paraId="64058DFB" w14:textId="225375E4" w:rsidR="003E5BF5" w:rsidRDefault="003E5BF5" w:rsidP="005D79E1">
      <w:pPr>
        <w:pStyle w:val="aaatyping"/>
      </w:pPr>
      <w:r>
        <w:t xml:space="preserve">Income from grants without any sufficiently specific performance obligations, or that are not enforceable, is recognised when the department receives the cash. On initial recognition of the asset, the department recognises any related contributions by owners, increases in liabilities, decreases in assets, and revenue (‘related amounts’) in accordance with other Australian Accounting Standards. Related amounts may take the form of: </w:t>
      </w:r>
    </w:p>
    <w:p w14:paraId="4424C9CC" w14:textId="77777777" w:rsidR="003E5BF5" w:rsidRDefault="003E5BF5" w:rsidP="005D79E1">
      <w:pPr>
        <w:pStyle w:val="aaabullet"/>
      </w:pPr>
      <w:r>
        <w:t>contributions by owners, in accordance with AASB 1004</w:t>
      </w:r>
    </w:p>
    <w:p w14:paraId="525E7B5D" w14:textId="77777777" w:rsidR="003E5BF5" w:rsidRDefault="003E5BF5" w:rsidP="005D79E1">
      <w:pPr>
        <w:pStyle w:val="aaabullet"/>
      </w:pPr>
      <w:r>
        <w:t>revenue or a contract liability arising from a contract with a customer, in accordance with AASB 15</w:t>
      </w:r>
    </w:p>
    <w:p w14:paraId="0DAF79FA" w14:textId="77777777" w:rsidR="003E5BF5" w:rsidRDefault="003E5BF5" w:rsidP="005D79E1">
      <w:pPr>
        <w:pStyle w:val="aaabullet"/>
      </w:pPr>
      <w:r>
        <w:t xml:space="preserve">a lease liability in accordance with AASB 16; </w:t>
      </w:r>
    </w:p>
    <w:p w14:paraId="1FE72179" w14:textId="77777777" w:rsidR="003E5BF5" w:rsidRDefault="003E5BF5" w:rsidP="005D79E1">
      <w:pPr>
        <w:pStyle w:val="aaabullet"/>
      </w:pPr>
      <w:r>
        <w:t>a financial instrument, in accordance with AASB 9 or</w:t>
      </w:r>
    </w:p>
    <w:p w14:paraId="00FBD489" w14:textId="77777777" w:rsidR="003E5BF5" w:rsidRDefault="003E5BF5" w:rsidP="005D79E1">
      <w:pPr>
        <w:pStyle w:val="aaabullet"/>
      </w:pPr>
      <w:r>
        <w:t xml:space="preserve">a provision, in accordance with AASB 137 </w:t>
      </w:r>
      <w:r w:rsidRPr="00134FD8">
        <w:rPr>
          <w:i/>
          <w:iCs/>
        </w:rPr>
        <w:t>Provisions, Contingent Liabilities and Contingent Assets.</w:t>
      </w:r>
    </w:p>
    <w:p w14:paraId="58153A60" w14:textId="77777777" w:rsidR="003E5BF5" w:rsidRDefault="003E5BF5" w:rsidP="005D79E1">
      <w:pPr>
        <w:pStyle w:val="aaatyping"/>
      </w:pPr>
      <w:r>
        <w:t>Income received for specific purpose grants for on-passing is recognised simultaneously as the funds are immediately on passed to the relevant recipient entities on behalf of the Commonwealth Government.</w:t>
      </w:r>
    </w:p>
    <w:p w14:paraId="416D4DF7" w14:textId="77777777" w:rsidR="003E5BF5" w:rsidRDefault="003E5BF5" w:rsidP="005D79E1">
      <w:pPr>
        <w:pStyle w:val="aaatyping"/>
      </w:pPr>
      <w:r w:rsidRPr="004B263C">
        <w:t>As a result of the transitional impacts of adopting AASB 15 and AASB 1058, a portion of the grant revenue has been deferred. If the grant income is accounted for in accordance with AASB 15, the deferred grant revenue has been recognised in contract liabilities</w:t>
      </w:r>
      <w:r>
        <w:t xml:space="preserve"> (Note 6.2.1)</w:t>
      </w:r>
      <w:r w:rsidRPr="004B263C">
        <w:t xml:space="preserve"> whereas grant revenue in relation to the construction of capital assets which the department controls </w:t>
      </w:r>
      <w:r>
        <w:t>is</w:t>
      </w:r>
      <w:r w:rsidRPr="004B263C">
        <w:t xml:space="preserve"> recognised in accordance with AASB 1058 and recognised as deferred grant revenue  (Note 6.2). If the grant revenue was accounted for under the previous accounting standard AASB 1004 </w:t>
      </w:r>
      <w:r w:rsidRPr="004B263C">
        <w:lastRenderedPageBreak/>
        <w:t>in 2019-20, the total grant revenue received would have been recognised in full</w:t>
      </w:r>
      <w:r>
        <w:t xml:space="preserve">.  </w:t>
      </w:r>
    </w:p>
    <w:p w14:paraId="1954E0EA" w14:textId="77777777" w:rsidR="003E5BF5" w:rsidRDefault="003E5BF5" w:rsidP="00EF5131">
      <w:pPr>
        <w:pStyle w:val="Heading5"/>
        <w:sectPr w:rsidR="003E5BF5" w:rsidSect="001976CD">
          <w:type w:val="continuous"/>
          <w:pgSz w:w="11906" w:h="16838"/>
          <w:pgMar w:top="1701" w:right="1418" w:bottom="1418" w:left="1418" w:header="708" w:footer="708" w:gutter="0"/>
          <w:cols w:space="284"/>
          <w:docGrid w:linePitch="360"/>
        </w:sectPr>
      </w:pPr>
    </w:p>
    <w:p w14:paraId="68451EDD" w14:textId="77777777" w:rsidR="003E5BF5" w:rsidRPr="001C3412" w:rsidRDefault="003E5BF5" w:rsidP="005D79E1">
      <w:pPr>
        <w:pStyle w:val="Heading4"/>
      </w:pPr>
      <w:r w:rsidRPr="001C3412">
        <w:lastRenderedPageBreak/>
        <w:t>Previous accounting policy for 30 June 2019</w:t>
      </w:r>
    </w:p>
    <w:p w14:paraId="3EBDE46B" w14:textId="77777777" w:rsidR="003E5BF5" w:rsidRDefault="003E5BF5" w:rsidP="005D79E1">
      <w:pPr>
        <w:pStyle w:val="aaatyping"/>
      </w:pPr>
      <w:r>
        <w:t xml:space="preserve">Grant income arises from transactions in which a party provides goods or assets (or extinguishes a liability) to the department without receiving approximately equal value in return. While grants may result in the provision of some goods or services to the transferring party, they do not provide a claim to receive benefits directly of approximately equal value (and are termed ‘non-reciprocal’ transfers). Receipt and sacrifice of approximately equal value may occur, but only by coincidence. </w:t>
      </w:r>
    </w:p>
    <w:p w14:paraId="15F0B870" w14:textId="77777777" w:rsidR="003E5BF5" w:rsidRDefault="003E5BF5" w:rsidP="005D79E1">
      <w:pPr>
        <w:pStyle w:val="aaatyping"/>
      </w:pPr>
      <w:r>
        <w:t>Some grants are reciprocal in nature (i.e. equal value is given back by the recipient of the grant to the provider). The department recognises income when it has satisfied its performance obligations under the terms of the grant.</w:t>
      </w:r>
    </w:p>
    <w:p w14:paraId="4EE052D0" w14:textId="77777777" w:rsidR="003E5BF5" w:rsidRDefault="003E5BF5" w:rsidP="005D79E1">
      <w:pPr>
        <w:pStyle w:val="aaatyping"/>
      </w:pPr>
      <w:r>
        <w:t>For non-reciprocal grants, the department recognises revenue when the grant is received.</w:t>
      </w:r>
    </w:p>
    <w:p w14:paraId="0ED5E343" w14:textId="77777777" w:rsidR="003E5BF5" w:rsidRDefault="003E5BF5" w:rsidP="005D79E1">
      <w:pPr>
        <w:pStyle w:val="aaatyping"/>
      </w:pPr>
      <w:r>
        <w:t xml:space="preserve">Grants can be received as </w:t>
      </w:r>
      <w:r w:rsidRPr="00D56F49">
        <w:rPr>
          <w:b/>
          <w:bCs/>
        </w:rPr>
        <w:t>general purpose grants</w:t>
      </w:r>
      <w:r>
        <w:t xml:space="preserve">, which refers to grants which are not subject to conditions regarding their use. Alternatively, they may be received as </w:t>
      </w:r>
      <w:r w:rsidRPr="00D56F49">
        <w:rPr>
          <w:b/>
          <w:bCs/>
        </w:rPr>
        <w:t>specific purpose grants</w:t>
      </w:r>
      <w:r>
        <w:t>, which are paid for a particular purpose and/or have conditions attached regarding their use.</w:t>
      </w:r>
    </w:p>
    <w:p w14:paraId="3E7C31D2" w14:textId="77777777" w:rsidR="003E5BF5" w:rsidRDefault="003E5BF5" w:rsidP="005D79E1">
      <w:pPr>
        <w:pStyle w:val="aaatyping"/>
      </w:pPr>
      <w:r>
        <w:t>Grants for on passing are grants paid to one institutional sector (e.g. a state based general government entity) to be passed on to another institutional sector (e.g. local government or a private non-profit institution).</w:t>
      </w:r>
    </w:p>
    <w:p w14:paraId="135DD195" w14:textId="77777777" w:rsidR="001976CD" w:rsidRDefault="001976CD" w:rsidP="00DE1921">
      <w:pPr>
        <w:sectPr w:rsidR="001976CD" w:rsidSect="001976CD">
          <w:pgSz w:w="11906" w:h="16838"/>
          <w:pgMar w:top="1701" w:right="1418" w:bottom="1418" w:left="1418" w:header="708" w:footer="708" w:gutter="0"/>
          <w:cols w:space="284"/>
          <w:docGrid w:linePitch="360"/>
        </w:sectPr>
      </w:pPr>
    </w:p>
    <w:p w14:paraId="2E79DD91" w14:textId="77777777" w:rsidR="003E5BF5" w:rsidRPr="00983E53" w:rsidRDefault="003E5BF5" w:rsidP="006667CC">
      <w:pPr>
        <w:pStyle w:val="Heading2"/>
        <w:numPr>
          <w:ilvl w:val="1"/>
          <w:numId w:val="3"/>
        </w:numPr>
      </w:pPr>
      <w:bookmarkStart w:id="134" w:name="_Sale_of_goods"/>
      <w:bookmarkStart w:id="135" w:name="_Toc53420596"/>
      <w:bookmarkStart w:id="136" w:name="_Toc53420713"/>
      <w:bookmarkEnd w:id="134"/>
      <w:r w:rsidRPr="00983E53">
        <w:lastRenderedPageBreak/>
        <w:t>Sale of goods and services</w:t>
      </w:r>
      <w:bookmarkStart w:id="137" w:name="RANGE!A3:C9"/>
      <w:bookmarkEnd w:id="135"/>
      <w:bookmarkEnd w:id="136"/>
      <w:bookmarkEnd w:id="137"/>
    </w:p>
    <w:tbl>
      <w:tblPr>
        <w:tblStyle w:val="TableGrid"/>
        <w:tblW w:w="9421" w:type="dxa"/>
        <w:tblLook w:val="04A0" w:firstRow="1" w:lastRow="0" w:firstColumn="1" w:lastColumn="0" w:noHBand="0" w:noVBand="1"/>
      </w:tblPr>
      <w:tblGrid>
        <w:gridCol w:w="6019"/>
        <w:gridCol w:w="1701"/>
        <w:gridCol w:w="1701"/>
      </w:tblGrid>
      <w:tr w:rsidR="00FA33E6" w:rsidRPr="00D71A00" w14:paraId="7579FCA0" w14:textId="77777777" w:rsidTr="00484B74">
        <w:trPr>
          <w:trHeight w:val="340"/>
        </w:trPr>
        <w:tc>
          <w:tcPr>
            <w:tcW w:w="6019" w:type="dxa"/>
            <w:noWrap/>
            <w:hideMark/>
          </w:tcPr>
          <w:p w14:paraId="1435E23D" w14:textId="77777777" w:rsidR="00FA33E6" w:rsidRPr="00D71A00" w:rsidRDefault="00FA33E6" w:rsidP="00FA33E6">
            <w:pPr>
              <w:rPr>
                <w:rFonts w:ascii="Arial" w:hAnsi="Arial" w:cs="Arial"/>
                <w:sz w:val="24"/>
                <w:szCs w:val="24"/>
              </w:rPr>
            </w:pPr>
          </w:p>
        </w:tc>
        <w:tc>
          <w:tcPr>
            <w:tcW w:w="1701" w:type="dxa"/>
            <w:noWrap/>
            <w:vAlign w:val="center"/>
            <w:hideMark/>
          </w:tcPr>
          <w:p w14:paraId="68C60641" w14:textId="77777777" w:rsidR="00FA33E6" w:rsidRPr="00D71A00" w:rsidRDefault="00FA33E6" w:rsidP="00FA33E6">
            <w:pPr>
              <w:jc w:val="center"/>
              <w:rPr>
                <w:rFonts w:ascii="Arial" w:hAnsi="Arial" w:cs="Arial"/>
                <w:b/>
                <w:sz w:val="24"/>
                <w:szCs w:val="24"/>
              </w:rPr>
            </w:pPr>
            <w:r w:rsidRPr="00D71A00">
              <w:rPr>
                <w:rFonts w:ascii="Arial" w:hAnsi="Arial" w:cs="Arial"/>
                <w:b/>
                <w:sz w:val="24"/>
                <w:szCs w:val="24"/>
              </w:rPr>
              <w:t>($ thousand)</w:t>
            </w:r>
          </w:p>
        </w:tc>
        <w:tc>
          <w:tcPr>
            <w:tcW w:w="1701" w:type="dxa"/>
            <w:vAlign w:val="center"/>
          </w:tcPr>
          <w:p w14:paraId="7234FA7A" w14:textId="35328B2D" w:rsidR="00FA33E6" w:rsidRPr="00D71A00" w:rsidRDefault="00FA33E6" w:rsidP="00FA33E6">
            <w:pPr>
              <w:jc w:val="center"/>
              <w:rPr>
                <w:rFonts w:ascii="Arial" w:hAnsi="Arial" w:cs="Arial"/>
                <w:b/>
                <w:sz w:val="24"/>
                <w:szCs w:val="24"/>
              </w:rPr>
            </w:pPr>
            <w:r w:rsidRPr="00D71A00">
              <w:rPr>
                <w:rFonts w:ascii="Arial" w:hAnsi="Arial" w:cs="Arial"/>
                <w:b/>
                <w:sz w:val="24"/>
                <w:szCs w:val="24"/>
              </w:rPr>
              <w:t>($ thousand)</w:t>
            </w:r>
          </w:p>
        </w:tc>
      </w:tr>
      <w:tr w:rsidR="00FA33E6" w:rsidRPr="00D71A00" w14:paraId="67069DC1" w14:textId="77777777" w:rsidTr="00484B74">
        <w:trPr>
          <w:trHeight w:val="340"/>
        </w:trPr>
        <w:tc>
          <w:tcPr>
            <w:tcW w:w="6019" w:type="dxa"/>
            <w:noWrap/>
            <w:hideMark/>
          </w:tcPr>
          <w:p w14:paraId="63DD6BF3" w14:textId="77777777" w:rsidR="00FA33E6" w:rsidRPr="00D71A00" w:rsidRDefault="00FA33E6" w:rsidP="00FA33E6">
            <w:pPr>
              <w:rPr>
                <w:rFonts w:ascii="Arial" w:hAnsi="Arial" w:cs="Arial"/>
                <w:b/>
                <w:sz w:val="24"/>
                <w:szCs w:val="24"/>
              </w:rPr>
            </w:pPr>
            <w:r w:rsidRPr="00D71A00">
              <w:rPr>
                <w:rFonts w:ascii="Arial" w:hAnsi="Arial" w:cs="Arial"/>
                <w:b/>
                <w:sz w:val="24"/>
                <w:szCs w:val="24"/>
              </w:rPr>
              <w:t> </w:t>
            </w:r>
          </w:p>
        </w:tc>
        <w:tc>
          <w:tcPr>
            <w:tcW w:w="1701" w:type="dxa"/>
            <w:shd w:val="clear" w:color="auto" w:fill="auto"/>
            <w:noWrap/>
            <w:vAlign w:val="center"/>
            <w:hideMark/>
          </w:tcPr>
          <w:p w14:paraId="408343C9" w14:textId="77777777" w:rsidR="00FA33E6" w:rsidRPr="00D71A00" w:rsidRDefault="00FA33E6" w:rsidP="00FA33E6">
            <w:pPr>
              <w:jc w:val="right"/>
              <w:rPr>
                <w:rFonts w:ascii="Arial" w:hAnsi="Arial" w:cs="Arial"/>
                <w:b/>
                <w:sz w:val="24"/>
                <w:szCs w:val="24"/>
              </w:rPr>
            </w:pPr>
            <w:r w:rsidRPr="00D71A00">
              <w:rPr>
                <w:rFonts w:ascii="Arial" w:hAnsi="Arial" w:cs="Arial"/>
                <w:b/>
                <w:sz w:val="24"/>
                <w:szCs w:val="24"/>
              </w:rPr>
              <w:t>2020</w:t>
            </w:r>
          </w:p>
        </w:tc>
        <w:tc>
          <w:tcPr>
            <w:tcW w:w="1701" w:type="dxa"/>
            <w:noWrap/>
            <w:vAlign w:val="center"/>
            <w:hideMark/>
          </w:tcPr>
          <w:p w14:paraId="06CC4F30" w14:textId="77777777" w:rsidR="00FA33E6" w:rsidRPr="00D71A00" w:rsidRDefault="00FA33E6" w:rsidP="00FA33E6">
            <w:pPr>
              <w:jc w:val="right"/>
              <w:rPr>
                <w:rFonts w:ascii="Arial" w:hAnsi="Arial" w:cs="Arial"/>
                <w:b/>
                <w:sz w:val="24"/>
                <w:szCs w:val="24"/>
              </w:rPr>
            </w:pPr>
            <w:r w:rsidRPr="00D71A00">
              <w:rPr>
                <w:rFonts w:ascii="Arial" w:hAnsi="Arial" w:cs="Arial"/>
                <w:b/>
                <w:sz w:val="24"/>
                <w:szCs w:val="24"/>
              </w:rPr>
              <w:t>2019</w:t>
            </w:r>
          </w:p>
        </w:tc>
      </w:tr>
      <w:tr w:rsidR="00FA33E6" w:rsidRPr="00D71A00" w14:paraId="4B171985" w14:textId="77777777" w:rsidTr="00484B74">
        <w:trPr>
          <w:trHeight w:val="340"/>
        </w:trPr>
        <w:tc>
          <w:tcPr>
            <w:tcW w:w="6019" w:type="dxa"/>
            <w:noWrap/>
            <w:vAlign w:val="center"/>
            <w:hideMark/>
          </w:tcPr>
          <w:p w14:paraId="03DEF399" w14:textId="77777777" w:rsidR="00FA33E6" w:rsidRPr="00D71A00" w:rsidRDefault="00FA33E6" w:rsidP="00FA33E6">
            <w:pPr>
              <w:rPr>
                <w:rFonts w:ascii="Arial" w:hAnsi="Arial" w:cs="Arial"/>
                <w:sz w:val="24"/>
                <w:szCs w:val="24"/>
              </w:rPr>
            </w:pPr>
            <w:r w:rsidRPr="00D71A00">
              <w:rPr>
                <w:rFonts w:ascii="Arial" w:hAnsi="Arial" w:cs="Arial"/>
                <w:sz w:val="24"/>
                <w:szCs w:val="24"/>
              </w:rPr>
              <w:t xml:space="preserve">Supply of transport services </w:t>
            </w:r>
            <w:r w:rsidRPr="00D71A00">
              <w:rPr>
                <w:rFonts w:ascii="Arial" w:hAnsi="Arial" w:cs="Arial"/>
                <w:sz w:val="24"/>
                <w:szCs w:val="24"/>
                <w:vertAlign w:val="superscript"/>
              </w:rPr>
              <w:t>(</w:t>
            </w:r>
            <w:proofErr w:type="spellStart"/>
            <w:r w:rsidRPr="00D71A00">
              <w:rPr>
                <w:rFonts w:ascii="Arial" w:hAnsi="Arial" w:cs="Arial"/>
                <w:sz w:val="24"/>
                <w:szCs w:val="24"/>
                <w:vertAlign w:val="superscript"/>
              </w:rPr>
              <w:t>i</w:t>
            </w:r>
            <w:proofErr w:type="spellEnd"/>
            <w:r w:rsidRPr="00D71A00">
              <w:rPr>
                <w:rFonts w:ascii="Arial" w:hAnsi="Arial" w:cs="Arial"/>
                <w:sz w:val="24"/>
                <w:szCs w:val="24"/>
                <w:vertAlign w:val="superscript"/>
              </w:rPr>
              <w:t>)</w:t>
            </w:r>
          </w:p>
        </w:tc>
        <w:tc>
          <w:tcPr>
            <w:tcW w:w="1701" w:type="dxa"/>
            <w:shd w:val="clear" w:color="auto" w:fill="auto"/>
            <w:noWrap/>
            <w:vAlign w:val="center"/>
            <w:hideMark/>
          </w:tcPr>
          <w:p w14:paraId="1B33D913" w14:textId="77777777" w:rsidR="00FA33E6" w:rsidRPr="00D71A00" w:rsidRDefault="00FA33E6" w:rsidP="00FA33E6">
            <w:pPr>
              <w:jc w:val="right"/>
              <w:rPr>
                <w:rFonts w:ascii="Arial" w:hAnsi="Arial" w:cs="Arial"/>
                <w:sz w:val="24"/>
                <w:szCs w:val="24"/>
              </w:rPr>
            </w:pPr>
            <w:r w:rsidRPr="00D71A00">
              <w:rPr>
                <w:rFonts w:ascii="Arial" w:hAnsi="Arial" w:cs="Arial"/>
                <w:sz w:val="24"/>
                <w:szCs w:val="24"/>
              </w:rPr>
              <w:t xml:space="preserve">250,365 </w:t>
            </w:r>
          </w:p>
        </w:tc>
        <w:tc>
          <w:tcPr>
            <w:tcW w:w="1701" w:type="dxa"/>
            <w:noWrap/>
            <w:vAlign w:val="center"/>
            <w:hideMark/>
          </w:tcPr>
          <w:p w14:paraId="2F1B72FD" w14:textId="77777777" w:rsidR="00FA33E6" w:rsidRPr="00D71A00" w:rsidRDefault="00FA33E6" w:rsidP="00FA33E6">
            <w:pPr>
              <w:jc w:val="right"/>
              <w:rPr>
                <w:rFonts w:ascii="Arial" w:hAnsi="Arial" w:cs="Arial"/>
                <w:sz w:val="24"/>
                <w:szCs w:val="24"/>
              </w:rPr>
            </w:pPr>
            <w:r w:rsidRPr="00D71A00">
              <w:rPr>
                <w:rFonts w:ascii="Arial" w:hAnsi="Arial" w:cs="Arial"/>
                <w:b/>
                <w:sz w:val="24"/>
                <w:szCs w:val="24"/>
              </w:rPr>
              <w:t>-</w:t>
            </w:r>
          </w:p>
        </w:tc>
      </w:tr>
      <w:tr w:rsidR="00FA33E6" w:rsidRPr="00D71A00" w14:paraId="5C05C2F8" w14:textId="77777777" w:rsidTr="00484B74">
        <w:trPr>
          <w:trHeight w:val="340"/>
        </w:trPr>
        <w:tc>
          <w:tcPr>
            <w:tcW w:w="6019" w:type="dxa"/>
            <w:noWrap/>
            <w:vAlign w:val="center"/>
            <w:hideMark/>
          </w:tcPr>
          <w:p w14:paraId="503AD357" w14:textId="77777777" w:rsidR="00FA33E6" w:rsidRPr="00D71A00" w:rsidRDefault="00FA33E6" w:rsidP="00FA33E6">
            <w:pPr>
              <w:rPr>
                <w:rFonts w:ascii="Arial" w:hAnsi="Arial" w:cs="Arial"/>
                <w:sz w:val="24"/>
                <w:szCs w:val="24"/>
              </w:rPr>
            </w:pPr>
            <w:r w:rsidRPr="00D71A00">
              <w:rPr>
                <w:rFonts w:ascii="Arial" w:hAnsi="Arial" w:cs="Arial"/>
                <w:sz w:val="24"/>
                <w:szCs w:val="24"/>
              </w:rPr>
              <w:t>Commission revenue</w:t>
            </w:r>
          </w:p>
        </w:tc>
        <w:tc>
          <w:tcPr>
            <w:tcW w:w="1701" w:type="dxa"/>
            <w:shd w:val="clear" w:color="auto" w:fill="auto"/>
            <w:noWrap/>
            <w:vAlign w:val="center"/>
            <w:hideMark/>
          </w:tcPr>
          <w:p w14:paraId="7BCA8A24" w14:textId="77777777" w:rsidR="00FA33E6" w:rsidRPr="00D71A00" w:rsidRDefault="00FA33E6" w:rsidP="00FA33E6">
            <w:pPr>
              <w:jc w:val="right"/>
              <w:rPr>
                <w:rFonts w:ascii="Arial" w:hAnsi="Arial" w:cs="Arial"/>
                <w:sz w:val="24"/>
                <w:szCs w:val="24"/>
              </w:rPr>
            </w:pPr>
            <w:r w:rsidRPr="00D71A00">
              <w:rPr>
                <w:rFonts w:ascii="Arial" w:hAnsi="Arial" w:cs="Arial"/>
                <w:sz w:val="24"/>
                <w:szCs w:val="24"/>
              </w:rPr>
              <w:t xml:space="preserve">26,955 </w:t>
            </w:r>
          </w:p>
        </w:tc>
        <w:tc>
          <w:tcPr>
            <w:tcW w:w="1701" w:type="dxa"/>
            <w:noWrap/>
            <w:vAlign w:val="center"/>
            <w:hideMark/>
          </w:tcPr>
          <w:p w14:paraId="2422899B" w14:textId="77777777" w:rsidR="00FA33E6" w:rsidRPr="00D71A00" w:rsidRDefault="00FA33E6" w:rsidP="00FA33E6">
            <w:pPr>
              <w:jc w:val="right"/>
              <w:rPr>
                <w:rFonts w:ascii="Arial" w:hAnsi="Arial" w:cs="Arial"/>
                <w:sz w:val="24"/>
                <w:szCs w:val="24"/>
              </w:rPr>
            </w:pPr>
            <w:r w:rsidRPr="00D71A00">
              <w:rPr>
                <w:rFonts w:ascii="Arial" w:hAnsi="Arial" w:cs="Arial"/>
                <w:b/>
                <w:sz w:val="24"/>
                <w:szCs w:val="24"/>
              </w:rPr>
              <w:t>-</w:t>
            </w:r>
          </w:p>
        </w:tc>
      </w:tr>
      <w:tr w:rsidR="00FA33E6" w:rsidRPr="00D71A00" w14:paraId="393FDB80" w14:textId="77777777" w:rsidTr="00484B74">
        <w:trPr>
          <w:trHeight w:val="340"/>
        </w:trPr>
        <w:tc>
          <w:tcPr>
            <w:tcW w:w="6019" w:type="dxa"/>
            <w:noWrap/>
            <w:vAlign w:val="center"/>
            <w:hideMark/>
          </w:tcPr>
          <w:p w14:paraId="64157EC1" w14:textId="77777777" w:rsidR="00FA33E6" w:rsidRPr="00D71A00" w:rsidRDefault="00FA33E6" w:rsidP="00FA33E6">
            <w:pPr>
              <w:rPr>
                <w:rFonts w:ascii="Arial" w:hAnsi="Arial" w:cs="Arial"/>
                <w:sz w:val="24"/>
                <w:szCs w:val="24"/>
              </w:rPr>
            </w:pPr>
            <w:r w:rsidRPr="00D71A00">
              <w:rPr>
                <w:rFonts w:ascii="Arial" w:hAnsi="Arial" w:cs="Arial"/>
                <w:sz w:val="24"/>
                <w:szCs w:val="24"/>
              </w:rPr>
              <w:t>Regulatory charges and fees</w:t>
            </w:r>
          </w:p>
        </w:tc>
        <w:tc>
          <w:tcPr>
            <w:tcW w:w="1701" w:type="dxa"/>
            <w:shd w:val="clear" w:color="auto" w:fill="auto"/>
            <w:noWrap/>
            <w:vAlign w:val="center"/>
            <w:hideMark/>
          </w:tcPr>
          <w:p w14:paraId="27ACAA13" w14:textId="77777777" w:rsidR="00FA33E6" w:rsidRPr="00D71A00" w:rsidRDefault="00FA33E6" w:rsidP="00FA33E6">
            <w:pPr>
              <w:jc w:val="right"/>
              <w:rPr>
                <w:rFonts w:ascii="Arial" w:hAnsi="Arial" w:cs="Arial"/>
                <w:sz w:val="24"/>
                <w:szCs w:val="24"/>
              </w:rPr>
            </w:pPr>
            <w:r w:rsidRPr="00D71A00">
              <w:rPr>
                <w:rFonts w:ascii="Arial" w:hAnsi="Arial" w:cs="Arial"/>
                <w:sz w:val="24"/>
                <w:szCs w:val="24"/>
              </w:rPr>
              <w:t xml:space="preserve">49,068 </w:t>
            </w:r>
          </w:p>
        </w:tc>
        <w:tc>
          <w:tcPr>
            <w:tcW w:w="1701" w:type="dxa"/>
            <w:noWrap/>
            <w:vAlign w:val="center"/>
            <w:hideMark/>
          </w:tcPr>
          <w:p w14:paraId="26056D53" w14:textId="77777777" w:rsidR="00FA33E6" w:rsidRPr="00D71A00" w:rsidRDefault="00FA33E6" w:rsidP="00FA33E6">
            <w:pPr>
              <w:jc w:val="right"/>
              <w:rPr>
                <w:rFonts w:ascii="Arial" w:hAnsi="Arial" w:cs="Arial"/>
                <w:sz w:val="24"/>
                <w:szCs w:val="24"/>
              </w:rPr>
            </w:pPr>
            <w:r w:rsidRPr="00D71A00">
              <w:rPr>
                <w:rFonts w:ascii="Arial" w:hAnsi="Arial" w:cs="Arial"/>
                <w:sz w:val="24"/>
                <w:szCs w:val="24"/>
              </w:rPr>
              <w:t xml:space="preserve">11,381 </w:t>
            </w:r>
          </w:p>
        </w:tc>
      </w:tr>
      <w:tr w:rsidR="00FA33E6" w:rsidRPr="00D71A00" w14:paraId="29BCB12B" w14:textId="77777777" w:rsidTr="00484B74">
        <w:trPr>
          <w:trHeight w:val="340"/>
        </w:trPr>
        <w:tc>
          <w:tcPr>
            <w:tcW w:w="6019" w:type="dxa"/>
            <w:tcBorders>
              <w:bottom w:val="single" w:sz="4" w:space="0" w:color="auto"/>
            </w:tcBorders>
            <w:noWrap/>
            <w:vAlign w:val="center"/>
            <w:hideMark/>
          </w:tcPr>
          <w:p w14:paraId="61D488E0" w14:textId="77777777" w:rsidR="00FA33E6" w:rsidRPr="00D71A00" w:rsidRDefault="00FA33E6" w:rsidP="00FA33E6">
            <w:pPr>
              <w:rPr>
                <w:rFonts w:ascii="Arial" w:hAnsi="Arial" w:cs="Arial"/>
                <w:sz w:val="24"/>
                <w:szCs w:val="24"/>
              </w:rPr>
            </w:pPr>
            <w:r w:rsidRPr="00D71A00">
              <w:rPr>
                <w:rFonts w:ascii="Arial" w:hAnsi="Arial" w:cs="Arial"/>
                <w:sz w:val="24"/>
                <w:szCs w:val="24"/>
              </w:rPr>
              <w:t>Other sale of goods and services</w:t>
            </w:r>
          </w:p>
        </w:tc>
        <w:tc>
          <w:tcPr>
            <w:tcW w:w="1701" w:type="dxa"/>
            <w:tcBorders>
              <w:bottom w:val="single" w:sz="4" w:space="0" w:color="auto"/>
            </w:tcBorders>
            <w:shd w:val="clear" w:color="auto" w:fill="auto"/>
            <w:noWrap/>
            <w:vAlign w:val="center"/>
            <w:hideMark/>
          </w:tcPr>
          <w:p w14:paraId="3193EF3D" w14:textId="77777777" w:rsidR="00FA33E6" w:rsidRPr="00D71A00" w:rsidRDefault="00FA33E6" w:rsidP="00FA33E6">
            <w:pPr>
              <w:jc w:val="right"/>
              <w:rPr>
                <w:rFonts w:ascii="Arial" w:hAnsi="Arial" w:cs="Arial"/>
                <w:sz w:val="24"/>
                <w:szCs w:val="24"/>
              </w:rPr>
            </w:pPr>
            <w:r w:rsidRPr="00D71A00">
              <w:rPr>
                <w:rFonts w:ascii="Arial" w:hAnsi="Arial" w:cs="Arial"/>
                <w:sz w:val="24"/>
                <w:szCs w:val="24"/>
              </w:rPr>
              <w:t xml:space="preserve">43,793 </w:t>
            </w:r>
          </w:p>
        </w:tc>
        <w:tc>
          <w:tcPr>
            <w:tcW w:w="1701" w:type="dxa"/>
            <w:tcBorders>
              <w:bottom w:val="single" w:sz="4" w:space="0" w:color="auto"/>
            </w:tcBorders>
            <w:noWrap/>
            <w:vAlign w:val="center"/>
            <w:hideMark/>
          </w:tcPr>
          <w:p w14:paraId="134DC64A" w14:textId="77777777" w:rsidR="00FA33E6" w:rsidRPr="00D71A00" w:rsidRDefault="00FA33E6" w:rsidP="00FA33E6">
            <w:pPr>
              <w:jc w:val="right"/>
              <w:rPr>
                <w:rFonts w:ascii="Arial" w:hAnsi="Arial" w:cs="Arial"/>
                <w:sz w:val="24"/>
                <w:szCs w:val="24"/>
              </w:rPr>
            </w:pPr>
            <w:r w:rsidRPr="00D71A00">
              <w:rPr>
                <w:rFonts w:ascii="Arial" w:hAnsi="Arial" w:cs="Arial"/>
                <w:sz w:val="24"/>
                <w:szCs w:val="24"/>
              </w:rPr>
              <w:t xml:space="preserve">7,260 </w:t>
            </w:r>
          </w:p>
        </w:tc>
      </w:tr>
      <w:tr w:rsidR="00FA33E6" w:rsidRPr="00D71A00" w14:paraId="7EC31261" w14:textId="77777777" w:rsidTr="00484B74">
        <w:trPr>
          <w:trHeight w:val="340"/>
        </w:trPr>
        <w:tc>
          <w:tcPr>
            <w:tcW w:w="6019" w:type="dxa"/>
            <w:tcBorders>
              <w:top w:val="single" w:sz="4" w:space="0" w:color="auto"/>
              <w:left w:val="single" w:sz="4" w:space="0" w:color="auto"/>
              <w:bottom w:val="single" w:sz="4" w:space="0" w:color="auto"/>
              <w:right w:val="single" w:sz="4" w:space="0" w:color="auto"/>
            </w:tcBorders>
            <w:noWrap/>
            <w:vAlign w:val="center"/>
            <w:hideMark/>
          </w:tcPr>
          <w:p w14:paraId="46E57F82" w14:textId="77777777" w:rsidR="00FA33E6" w:rsidRPr="00D71A00" w:rsidRDefault="00FA33E6" w:rsidP="00FA33E6">
            <w:pPr>
              <w:pStyle w:val="TableTextLeftBold"/>
              <w:rPr>
                <w:rFonts w:ascii="Arial" w:hAnsi="Arial" w:cs="Arial"/>
                <w:sz w:val="24"/>
                <w:szCs w:val="24"/>
              </w:rPr>
            </w:pPr>
            <w:r w:rsidRPr="00D71A00">
              <w:rPr>
                <w:rFonts w:ascii="Arial" w:hAnsi="Arial" w:cs="Arial"/>
                <w:sz w:val="24"/>
                <w:szCs w:val="24"/>
              </w:rPr>
              <w:t>Total sale of goods and services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9839A" w14:textId="77777777" w:rsidR="00FA33E6" w:rsidRPr="00D71A00" w:rsidRDefault="00FA33E6" w:rsidP="00FA33E6">
            <w:pPr>
              <w:jc w:val="right"/>
              <w:rPr>
                <w:rFonts w:ascii="Arial" w:hAnsi="Arial" w:cs="Arial"/>
                <w:b/>
                <w:sz w:val="24"/>
                <w:szCs w:val="24"/>
              </w:rPr>
            </w:pPr>
            <w:r w:rsidRPr="00D71A00">
              <w:rPr>
                <w:rFonts w:ascii="Arial" w:hAnsi="Arial" w:cs="Arial"/>
                <w:b/>
                <w:sz w:val="24"/>
                <w:szCs w:val="24"/>
              </w:rPr>
              <w:t xml:space="preserve">370,181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E1AA1EF" w14:textId="77777777" w:rsidR="00FA33E6" w:rsidRPr="00D71A00" w:rsidRDefault="00FA33E6" w:rsidP="00FA33E6">
            <w:pPr>
              <w:jc w:val="right"/>
              <w:rPr>
                <w:rFonts w:ascii="Arial" w:hAnsi="Arial" w:cs="Arial"/>
                <w:b/>
                <w:sz w:val="24"/>
                <w:szCs w:val="24"/>
              </w:rPr>
            </w:pPr>
            <w:r w:rsidRPr="00D71A00">
              <w:rPr>
                <w:rFonts w:ascii="Arial" w:hAnsi="Arial" w:cs="Arial"/>
                <w:b/>
                <w:sz w:val="24"/>
                <w:szCs w:val="24"/>
              </w:rPr>
              <w:t xml:space="preserve">18,641 </w:t>
            </w:r>
          </w:p>
        </w:tc>
      </w:tr>
    </w:tbl>
    <w:p w14:paraId="68A1D6D7" w14:textId="77777777" w:rsidR="003E5BF5" w:rsidRDefault="003E5BF5" w:rsidP="00DE1921"/>
    <w:p w14:paraId="0735EEEC" w14:textId="77777777" w:rsidR="001B06D6" w:rsidRPr="00D71A00" w:rsidRDefault="001B06D6" w:rsidP="001B06D6">
      <w:pPr>
        <w:pStyle w:val="Note"/>
        <w:rPr>
          <w:rFonts w:ascii="Arial" w:hAnsi="Arial" w:cs="Arial"/>
          <w:sz w:val="24"/>
          <w:szCs w:val="24"/>
        </w:rPr>
      </w:pPr>
      <w:r w:rsidRPr="00D71A00">
        <w:rPr>
          <w:rFonts w:ascii="Arial" w:hAnsi="Arial" w:cs="Arial"/>
          <w:sz w:val="24"/>
          <w:szCs w:val="24"/>
        </w:rPr>
        <w:t>Note:</w:t>
      </w:r>
    </w:p>
    <w:p w14:paraId="3B1B8975" w14:textId="77777777" w:rsidR="001B06D6" w:rsidRPr="00D71A00" w:rsidRDefault="001B06D6" w:rsidP="00610F5F">
      <w:pPr>
        <w:pStyle w:val="aaaNotenumberiiiiii"/>
        <w:numPr>
          <w:ilvl w:val="0"/>
          <w:numId w:val="71"/>
        </w:numPr>
      </w:pPr>
      <w:r w:rsidRPr="00D71A00">
        <w:t>The department and the public transport operators each earn a share of revenue from public transport ticketing. There has been a significant reduction in patronage and therefore ticketing revenue expected to be received as a result of coronavirus (COVID-19) impacting both the department and the operators. However, the public transport network continued to provide largely the same services for the full year. Additional costs of implementing critical public health measures, such as cleaning and assistance in managing regional and metropolitan road checkpoints, have also been incurred. Additional funding has been provided to the department and the operators to cover a portion of the foregone revenue and additional cost, refer to Note 3.4 Payments to public transport service providers for further details.</w:t>
      </w:r>
    </w:p>
    <w:p w14:paraId="7AE55D63" w14:textId="77777777" w:rsidR="001B06D6" w:rsidRDefault="001B06D6" w:rsidP="00DE1921"/>
    <w:p w14:paraId="5DDAEC5D" w14:textId="77777777" w:rsidR="003E5BF5" w:rsidRDefault="003E5BF5" w:rsidP="005D79E1">
      <w:pPr>
        <w:pStyle w:val="aaatyping"/>
      </w:pPr>
      <w:r w:rsidRPr="00F1706B">
        <w:t>The</w:t>
      </w:r>
      <w:r>
        <w:t xml:space="preserve"> </w:t>
      </w:r>
      <w:r w:rsidRPr="00553E1C">
        <w:rPr>
          <w:b/>
          <w:bCs/>
        </w:rPr>
        <w:t>supply of transport services</w:t>
      </w:r>
      <w:r>
        <w:t xml:space="preserve"> and the</w:t>
      </w:r>
      <w:r w:rsidRPr="00F1706B">
        <w:t xml:space="preserve"> sale of goods and services included in the table above are transaction that the department has determined to be classified as revenue from contracts with customers in accordance with AASB 15</w:t>
      </w:r>
      <w:r>
        <w:t xml:space="preserve">. The impact of </w:t>
      </w:r>
      <w:r w:rsidRPr="00870790">
        <w:t xml:space="preserve">initially applying AASB 15 on the </w:t>
      </w:r>
      <w:r>
        <w:t>d</w:t>
      </w:r>
      <w:r w:rsidRPr="00870790">
        <w:t>epartment’s revenue from contracts with customers is described in Note 9.6. Due</w:t>
      </w:r>
      <w:r>
        <w:t xml:space="preserve"> to the modified retrospective transition method chosen in applying AASB 15, comparative information has not been restated to reflect the new requirements. </w:t>
      </w:r>
    </w:p>
    <w:p w14:paraId="32AA8AB8" w14:textId="77777777" w:rsidR="003E5BF5" w:rsidRDefault="003E5BF5" w:rsidP="005D79E1">
      <w:pPr>
        <w:pStyle w:val="aaatyping"/>
      </w:pPr>
      <w:r>
        <w:lastRenderedPageBreak/>
        <w:t>The following practical expedient has been used for uncompleted contracts when applying AASB 15 retrospectively under the modified approach:</w:t>
      </w:r>
    </w:p>
    <w:p w14:paraId="53989400" w14:textId="77777777" w:rsidR="003E5BF5" w:rsidRDefault="003E5BF5" w:rsidP="005D79E1">
      <w:pPr>
        <w:pStyle w:val="aaabullet"/>
      </w:pPr>
      <w:r>
        <w:t>For contracts modified before the date of initial application, the department has reflected the aggregate of all past contract modifications that occurred before the date of initial application when identifying performance obligations and determining and allocating the transaction price.</w:t>
      </w:r>
    </w:p>
    <w:p w14:paraId="1F72B811" w14:textId="77777777" w:rsidR="003E5BF5" w:rsidRDefault="003E5BF5" w:rsidP="005D79E1">
      <w:pPr>
        <w:pStyle w:val="aaatyping"/>
      </w:pPr>
      <w:r>
        <w:t>The practical expedient has been consistently applied to all contracts</w:t>
      </w:r>
      <w:r w:rsidRPr="008C5BFF">
        <w:t xml:space="preserve"> </w:t>
      </w:r>
      <w:r>
        <w:t>within the current reporting period.</w:t>
      </w:r>
    </w:p>
    <w:p w14:paraId="0F0C2584" w14:textId="77777777" w:rsidR="003E5BF5" w:rsidRPr="00983E53" w:rsidRDefault="003E5BF5" w:rsidP="00EF5131">
      <w:pPr>
        <w:pStyle w:val="Heading5"/>
      </w:pPr>
      <w:r w:rsidRPr="00983E53">
        <w:t>Performance obligations and revenue recognition policies</w:t>
      </w:r>
    </w:p>
    <w:p w14:paraId="6007FB6A" w14:textId="77777777" w:rsidR="003E5BF5" w:rsidRDefault="003E5BF5" w:rsidP="005D79E1">
      <w:pPr>
        <w:pStyle w:val="aaatyping"/>
      </w:pPr>
      <w:r>
        <w:t>Revenue is measured based on the consideration specified in the contract with the customer. The department recognises revenue when it transfers control of a good or service to the customer, i.e. when, or as, the performance obligations for the sale of goods and services to the customer are satisfied.</w:t>
      </w:r>
    </w:p>
    <w:p w14:paraId="2D44EFC5" w14:textId="77777777" w:rsidR="003E5BF5" w:rsidRDefault="003E5BF5" w:rsidP="005D79E1">
      <w:pPr>
        <w:pStyle w:val="aaabullet"/>
      </w:pPr>
      <w:r>
        <w:t xml:space="preserve">Customers obtain control of the supplies and consumables at a point in time when the goods are delivered to and have been accepted at their premises. </w:t>
      </w:r>
    </w:p>
    <w:p w14:paraId="48AF1F60" w14:textId="77777777" w:rsidR="003E5BF5" w:rsidRDefault="003E5BF5" w:rsidP="005D79E1">
      <w:pPr>
        <w:pStyle w:val="aaabullet"/>
      </w:pPr>
      <w:r>
        <w:t>Revenue from the sale of goods are recognised when the goods are delivered and have been accepted by the customer at their premises.</w:t>
      </w:r>
    </w:p>
    <w:p w14:paraId="0153724E" w14:textId="77777777" w:rsidR="003E5BF5" w:rsidRDefault="003E5BF5" w:rsidP="005D79E1">
      <w:pPr>
        <w:pStyle w:val="aaabullet"/>
      </w:pPr>
      <w:r>
        <w:t xml:space="preserve">Revenue from the rendering of services is recognised at a point in time when the performance obligation is satisfied when the service is completed; and over time when the customer simultaneously receives and consumes the services as it is provided. </w:t>
      </w:r>
    </w:p>
    <w:p w14:paraId="7954D84C" w14:textId="440B8A11" w:rsidR="003E5BF5" w:rsidRDefault="003E5BF5" w:rsidP="005D79E1">
      <w:pPr>
        <w:pStyle w:val="aaatyping"/>
      </w:pPr>
      <w:r>
        <w:t xml:space="preserve">Customers are invoiced and revenue is recognised when the goods are delivered and accepted by customers. For services rendered, where </w:t>
      </w:r>
      <w:r>
        <w:lastRenderedPageBreak/>
        <w:t xml:space="preserve">customers simultaneously receive and consume the services as it is provided, revenue is recognised progressively as contract assets until the customer is subsequently invoiced in accordance with the terms of the service agreement. For other customers that are only able to consume the services when they have been completed, revenue is only recognised upon completion and delivery of the services. In rare circumstance where there may be a change in the scope of services provided, the customer will be provided with a new contract for the additional services to be rendered and revenue is recognised consistent with accounting policy above. </w:t>
      </w:r>
    </w:p>
    <w:p w14:paraId="220EA96C" w14:textId="77777777" w:rsidR="003E5BF5" w:rsidRDefault="003E5BF5" w:rsidP="005D79E1">
      <w:pPr>
        <w:pStyle w:val="aaatyping"/>
      </w:pPr>
      <w:r>
        <w:t xml:space="preserve">For contracts that permit the customer to return an item, revenue is recognised to the extent it is highly probable that a significant cumulative reversal will not occur. Therefore, the amount of revenue recognised is adjusted for the expected returns, which are estimated based on the historical data. In these circumstances, a refund liability and a right to recover returned goods asset are recognised. The right to recover the returned goods asset is measured at the former carrying amount of the inventory less any expected costs to recover goods. The refund liability is included in other payables (Note 6.2) and the right to recover returned goods is included in inventory (Note 6.3). The department reviews its estimate of expected returns at each reporting date and updates the amount of the asset and liability accordingly. As the sales are made with a short credit term, there is no financing element present. There has been no change in the recognition of revenue from the sale of goods as a result of the adoption of AASB 15. </w:t>
      </w:r>
    </w:p>
    <w:p w14:paraId="27864923" w14:textId="77777777" w:rsidR="003E5BF5" w:rsidRDefault="003E5BF5" w:rsidP="005D79E1">
      <w:pPr>
        <w:pStyle w:val="aaatyping"/>
      </w:pPr>
      <w:r>
        <w:br w:type="column"/>
      </w:r>
      <w:r>
        <w:lastRenderedPageBreak/>
        <w:t>Consideration received in advance of recognising the associated revenue from the customer is recorded as a contract liability (Note 6.2.1). Where the performance obligations are satisfied but not yet billed, a contract asset is recorded (Note 6.1.1).</w:t>
      </w:r>
    </w:p>
    <w:p w14:paraId="65B08054" w14:textId="77777777" w:rsidR="003E5BF5" w:rsidRDefault="003E5BF5" w:rsidP="005D79E1">
      <w:pPr>
        <w:pStyle w:val="aaatyping"/>
      </w:pPr>
      <w:r w:rsidRPr="006647CB">
        <w:rPr>
          <w:b/>
          <w:bCs/>
        </w:rPr>
        <w:t>Regulatory income</w:t>
      </w:r>
      <w:r>
        <w:t xml:space="preserve"> is derived from regulatory fees payable to the department in accordance with relevant legislation and regulations and is recognised when received by the department.</w:t>
      </w:r>
    </w:p>
    <w:p w14:paraId="3F3814B2" w14:textId="77777777" w:rsidR="003E5BF5" w:rsidRPr="00EF5131" w:rsidRDefault="003E5BF5" w:rsidP="00EF5131">
      <w:pPr>
        <w:pStyle w:val="Heading5"/>
      </w:pPr>
      <w:r w:rsidRPr="00EF5131">
        <w:t>Previous accounting policy for 30 June 2019</w:t>
      </w:r>
    </w:p>
    <w:p w14:paraId="657EC601" w14:textId="77777777" w:rsidR="003E5BF5" w:rsidRPr="00CB6066" w:rsidRDefault="003E5BF5" w:rsidP="005D79E1">
      <w:pPr>
        <w:pStyle w:val="aaatyping"/>
      </w:pPr>
      <w:r w:rsidRPr="00CB6066">
        <w:t xml:space="preserve">Income from the </w:t>
      </w:r>
      <w:r w:rsidRPr="008D5E09">
        <w:rPr>
          <w:b/>
          <w:bCs/>
        </w:rPr>
        <w:t>supply of services</w:t>
      </w:r>
      <w:r w:rsidRPr="00CB6066">
        <w:t xml:space="preserve"> is recognised by reference to the stage of completion of the services being performed. The income is recognised when:</w:t>
      </w:r>
    </w:p>
    <w:p w14:paraId="4B7F104B" w14:textId="77777777" w:rsidR="003E5BF5" w:rsidRPr="00CB6066" w:rsidRDefault="003E5BF5" w:rsidP="005D79E1">
      <w:pPr>
        <w:pStyle w:val="aaabullet"/>
      </w:pPr>
      <w:r w:rsidRPr="00CB6066">
        <w:t>the amount of the income, stage of completion and transaction costs incurred can be reliably measured and</w:t>
      </w:r>
    </w:p>
    <w:p w14:paraId="64A0F7B8" w14:textId="77777777" w:rsidR="003E5BF5" w:rsidRDefault="003E5BF5" w:rsidP="005D79E1">
      <w:pPr>
        <w:pStyle w:val="aaabullet"/>
      </w:pPr>
      <w:r w:rsidRPr="00CB6066">
        <w:t>it is probable that the economic benefits associated with the transaction will flow to the</w:t>
      </w:r>
      <w:r>
        <w:t xml:space="preserve"> department.</w:t>
      </w:r>
    </w:p>
    <w:p w14:paraId="0E4C2BF5" w14:textId="77777777" w:rsidR="003E5BF5" w:rsidRDefault="003E5BF5" w:rsidP="005D79E1">
      <w:pPr>
        <w:pStyle w:val="aaatyping"/>
        <w:sectPr w:rsidR="003E5BF5" w:rsidSect="001976CD">
          <w:pgSz w:w="11906" w:h="16838"/>
          <w:pgMar w:top="1701" w:right="1418" w:bottom="1418" w:left="1418" w:header="708" w:footer="708" w:gutter="0"/>
          <w:cols w:space="284"/>
          <w:docGrid w:linePitch="360"/>
        </w:sectPr>
      </w:pPr>
      <w:r>
        <w:t>Under this method, income is recognised by reference to labour hours supplied or to labour hours supplied as a percentage of total services to be performed in each annual reporting period.</w:t>
      </w:r>
    </w:p>
    <w:p w14:paraId="41E59593" w14:textId="77777777" w:rsidR="003E5BF5" w:rsidRDefault="003E5BF5" w:rsidP="006667CC">
      <w:pPr>
        <w:pStyle w:val="Heading2"/>
        <w:numPr>
          <w:ilvl w:val="1"/>
          <w:numId w:val="3"/>
        </w:numPr>
        <w:sectPr w:rsidR="003E5BF5" w:rsidSect="00DE1921">
          <w:type w:val="continuous"/>
          <w:pgSz w:w="11906" w:h="16838"/>
          <w:pgMar w:top="1701" w:right="1418" w:bottom="1418" w:left="1418" w:header="708" w:footer="708" w:gutter="0"/>
          <w:cols w:space="708"/>
          <w:docGrid w:linePitch="360"/>
        </w:sectPr>
      </w:pPr>
      <w:bookmarkStart w:id="138" w:name="_Other_income"/>
      <w:bookmarkStart w:id="139" w:name="_Toc521958217"/>
      <w:bookmarkStart w:id="140" w:name="_Toc522178365"/>
      <w:bookmarkStart w:id="141" w:name="_Toc529179636"/>
      <w:bookmarkStart w:id="142" w:name="_Toc529197885"/>
      <w:bookmarkEnd w:id="138"/>
    </w:p>
    <w:p w14:paraId="1FA8119B" w14:textId="77777777" w:rsidR="003E5BF5" w:rsidRPr="00983E53" w:rsidRDefault="003E5BF5" w:rsidP="006667CC">
      <w:pPr>
        <w:pStyle w:val="Heading2"/>
        <w:numPr>
          <w:ilvl w:val="1"/>
          <w:numId w:val="3"/>
        </w:numPr>
      </w:pPr>
      <w:bookmarkStart w:id="143" w:name="_Toc53420597"/>
      <w:bookmarkStart w:id="144" w:name="_Toc53420714"/>
      <w:r w:rsidRPr="00983E53">
        <w:lastRenderedPageBreak/>
        <w:t>Other income</w:t>
      </w:r>
      <w:bookmarkStart w:id="145" w:name="RANGE!A3:C12"/>
      <w:bookmarkStart w:id="146" w:name="RANGE!A3:C11"/>
      <w:bookmarkEnd w:id="139"/>
      <w:bookmarkEnd w:id="140"/>
      <w:bookmarkEnd w:id="141"/>
      <w:bookmarkEnd w:id="142"/>
      <w:bookmarkEnd w:id="143"/>
      <w:bookmarkEnd w:id="144"/>
      <w:bookmarkEnd w:id="145"/>
      <w:bookmarkEnd w:id="146"/>
    </w:p>
    <w:tbl>
      <w:tblPr>
        <w:tblStyle w:val="TableGrid"/>
        <w:tblW w:w="9072" w:type="dxa"/>
        <w:tblLayout w:type="fixed"/>
        <w:tblLook w:val="04A0" w:firstRow="1" w:lastRow="0" w:firstColumn="1" w:lastColumn="0" w:noHBand="0" w:noVBand="1"/>
      </w:tblPr>
      <w:tblGrid>
        <w:gridCol w:w="5668"/>
        <w:gridCol w:w="1702"/>
        <w:gridCol w:w="1702"/>
      </w:tblGrid>
      <w:tr w:rsidR="00484B74" w:rsidRPr="00D71A00" w14:paraId="1B6BF061" w14:textId="77777777" w:rsidTr="002C3E4B">
        <w:trPr>
          <w:trHeight w:val="340"/>
        </w:trPr>
        <w:tc>
          <w:tcPr>
            <w:tcW w:w="5665" w:type="dxa"/>
            <w:noWrap/>
            <w:hideMark/>
          </w:tcPr>
          <w:p w14:paraId="0DB81BB0" w14:textId="77777777" w:rsidR="00484B74" w:rsidRPr="00D71A00" w:rsidRDefault="00484B74" w:rsidP="00484B74">
            <w:pPr>
              <w:rPr>
                <w:rFonts w:ascii="Arial" w:hAnsi="Arial" w:cs="Arial"/>
                <w:sz w:val="24"/>
                <w:szCs w:val="24"/>
                <w:lang w:eastAsia="en-AU"/>
              </w:rPr>
            </w:pPr>
          </w:p>
        </w:tc>
        <w:tc>
          <w:tcPr>
            <w:tcW w:w="1701" w:type="dxa"/>
            <w:noWrap/>
            <w:vAlign w:val="center"/>
            <w:hideMark/>
          </w:tcPr>
          <w:p w14:paraId="533B65D0" w14:textId="77777777" w:rsidR="00484B74" w:rsidRPr="00D71A00" w:rsidRDefault="00484B74" w:rsidP="00484B74">
            <w:pPr>
              <w:jc w:val="center"/>
              <w:rPr>
                <w:rFonts w:ascii="Arial" w:hAnsi="Arial" w:cs="Arial"/>
                <w:b/>
                <w:sz w:val="24"/>
                <w:szCs w:val="24"/>
                <w:lang w:eastAsia="en-AU"/>
              </w:rPr>
            </w:pPr>
            <w:r w:rsidRPr="00D71A00">
              <w:rPr>
                <w:rFonts w:ascii="Arial" w:hAnsi="Arial" w:cs="Arial"/>
                <w:b/>
                <w:sz w:val="24"/>
                <w:szCs w:val="24"/>
                <w:lang w:eastAsia="en-AU"/>
              </w:rPr>
              <w:t>($ thousand)</w:t>
            </w:r>
          </w:p>
        </w:tc>
        <w:tc>
          <w:tcPr>
            <w:tcW w:w="1701" w:type="dxa"/>
            <w:vAlign w:val="center"/>
          </w:tcPr>
          <w:p w14:paraId="6B0AE123" w14:textId="7B92A9D0" w:rsidR="00484B74" w:rsidRPr="00D71A00" w:rsidRDefault="00484B74" w:rsidP="00484B74">
            <w:pPr>
              <w:jc w:val="center"/>
              <w:rPr>
                <w:rFonts w:ascii="Arial" w:hAnsi="Arial" w:cs="Arial"/>
                <w:b/>
                <w:sz w:val="24"/>
                <w:szCs w:val="24"/>
                <w:lang w:eastAsia="en-AU"/>
              </w:rPr>
            </w:pPr>
            <w:r w:rsidRPr="00D71A00">
              <w:rPr>
                <w:rFonts w:ascii="Arial" w:hAnsi="Arial" w:cs="Arial"/>
                <w:b/>
                <w:sz w:val="24"/>
                <w:szCs w:val="24"/>
                <w:lang w:eastAsia="en-AU"/>
              </w:rPr>
              <w:t>($ thousand)</w:t>
            </w:r>
          </w:p>
        </w:tc>
      </w:tr>
      <w:tr w:rsidR="00484B74" w:rsidRPr="00D71A00" w14:paraId="774347ED" w14:textId="77777777" w:rsidTr="002C3E4B">
        <w:trPr>
          <w:trHeight w:val="340"/>
        </w:trPr>
        <w:tc>
          <w:tcPr>
            <w:tcW w:w="5665" w:type="dxa"/>
            <w:noWrap/>
            <w:hideMark/>
          </w:tcPr>
          <w:p w14:paraId="16F18C09" w14:textId="77777777" w:rsidR="00484B74" w:rsidRPr="00D71A00" w:rsidRDefault="00484B74" w:rsidP="00484B74">
            <w:pPr>
              <w:rPr>
                <w:rFonts w:ascii="Arial" w:hAnsi="Arial" w:cs="Arial"/>
                <w:b/>
                <w:sz w:val="24"/>
                <w:szCs w:val="24"/>
                <w:lang w:eastAsia="en-AU"/>
              </w:rPr>
            </w:pPr>
            <w:r w:rsidRPr="00D71A00">
              <w:rPr>
                <w:rFonts w:ascii="Arial" w:hAnsi="Arial" w:cs="Arial"/>
                <w:b/>
                <w:sz w:val="24"/>
                <w:szCs w:val="24"/>
                <w:lang w:eastAsia="en-AU"/>
              </w:rPr>
              <w:t> </w:t>
            </w:r>
          </w:p>
        </w:tc>
        <w:tc>
          <w:tcPr>
            <w:tcW w:w="1701" w:type="dxa"/>
            <w:shd w:val="clear" w:color="auto" w:fill="auto"/>
            <w:vAlign w:val="center"/>
            <w:hideMark/>
          </w:tcPr>
          <w:p w14:paraId="4B960418" w14:textId="77777777" w:rsidR="00484B74" w:rsidRPr="00D71A00" w:rsidRDefault="00484B74" w:rsidP="00484B74">
            <w:pPr>
              <w:jc w:val="right"/>
              <w:rPr>
                <w:rFonts w:ascii="Arial" w:hAnsi="Arial" w:cs="Arial"/>
                <w:b/>
                <w:sz w:val="24"/>
                <w:szCs w:val="24"/>
                <w:lang w:eastAsia="en-AU"/>
              </w:rPr>
            </w:pPr>
            <w:r w:rsidRPr="00D71A00">
              <w:rPr>
                <w:rFonts w:ascii="Arial" w:hAnsi="Arial" w:cs="Arial"/>
                <w:b/>
                <w:sz w:val="24"/>
                <w:szCs w:val="24"/>
                <w:lang w:eastAsia="en-AU"/>
              </w:rPr>
              <w:t>2020</w:t>
            </w:r>
          </w:p>
        </w:tc>
        <w:tc>
          <w:tcPr>
            <w:tcW w:w="1701" w:type="dxa"/>
            <w:vAlign w:val="center"/>
            <w:hideMark/>
          </w:tcPr>
          <w:p w14:paraId="5527E9DB" w14:textId="77777777" w:rsidR="00484B74" w:rsidRPr="00D71A00" w:rsidRDefault="00484B74" w:rsidP="00484B74">
            <w:pPr>
              <w:jc w:val="right"/>
              <w:rPr>
                <w:rFonts w:ascii="Arial" w:hAnsi="Arial" w:cs="Arial"/>
                <w:b/>
                <w:sz w:val="24"/>
                <w:szCs w:val="24"/>
                <w:lang w:eastAsia="en-AU"/>
              </w:rPr>
            </w:pPr>
            <w:r w:rsidRPr="00D71A00">
              <w:rPr>
                <w:rFonts w:ascii="Arial" w:hAnsi="Arial" w:cs="Arial"/>
                <w:b/>
                <w:sz w:val="24"/>
                <w:szCs w:val="24"/>
                <w:lang w:eastAsia="en-AU"/>
              </w:rPr>
              <w:t>2019</w:t>
            </w:r>
          </w:p>
        </w:tc>
      </w:tr>
      <w:tr w:rsidR="00484B74" w:rsidRPr="00D71A00" w14:paraId="64AC351C" w14:textId="77777777" w:rsidTr="002C3E4B">
        <w:trPr>
          <w:trHeight w:val="340"/>
        </w:trPr>
        <w:tc>
          <w:tcPr>
            <w:tcW w:w="5665" w:type="dxa"/>
            <w:noWrap/>
            <w:vAlign w:val="center"/>
            <w:hideMark/>
          </w:tcPr>
          <w:p w14:paraId="6B2B5957" w14:textId="77777777" w:rsidR="00484B74" w:rsidRPr="00D71A00" w:rsidRDefault="00484B74" w:rsidP="00484B74">
            <w:pPr>
              <w:rPr>
                <w:rFonts w:ascii="Arial" w:hAnsi="Arial" w:cs="Arial"/>
                <w:sz w:val="24"/>
                <w:szCs w:val="24"/>
                <w:lang w:eastAsia="en-AU"/>
              </w:rPr>
            </w:pPr>
            <w:r w:rsidRPr="00D71A00">
              <w:rPr>
                <w:rFonts w:ascii="Arial" w:hAnsi="Arial" w:cs="Arial"/>
                <w:sz w:val="24"/>
                <w:szCs w:val="24"/>
                <w:lang w:eastAsia="en-AU"/>
              </w:rPr>
              <w:t>Interest income</w:t>
            </w:r>
          </w:p>
        </w:tc>
        <w:tc>
          <w:tcPr>
            <w:tcW w:w="1701" w:type="dxa"/>
            <w:shd w:val="clear" w:color="auto" w:fill="auto"/>
            <w:noWrap/>
            <w:vAlign w:val="center"/>
            <w:hideMark/>
          </w:tcPr>
          <w:p w14:paraId="790F3D63" w14:textId="77777777" w:rsidR="00484B74" w:rsidRPr="00D71A00" w:rsidRDefault="00484B74" w:rsidP="00484B74">
            <w:pPr>
              <w:jc w:val="right"/>
              <w:rPr>
                <w:rFonts w:ascii="Arial" w:hAnsi="Arial" w:cs="Arial"/>
                <w:sz w:val="24"/>
                <w:szCs w:val="24"/>
                <w:lang w:eastAsia="en-AU"/>
              </w:rPr>
            </w:pPr>
            <w:r w:rsidRPr="00D71A00">
              <w:rPr>
                <w:rFonts w:ascii="Arial" w:hAnsi="Arial" w:cs="Arial"/>
                <w:sz w:val="24"/>
                <w:szCs w:val="24"/>
                <w:lang w:eastAsia="en-AU"/>
              </w:rPr>
              <w:t xml:space="preserve">2,710 </w:t>
            </w:r>
          </w:p>
        </w:tc>
        <w:tc>
          <w:tcPr>
            <w:tcW w:w="1701" w:type="dxa"/>
            <w:noWrap/>
            <w:vAlign w:val="center"/>
            <w:hideMark/>
          </w:tcPr>
          <w:p w14:paraId="58B2F6A0" w14:textId="77777777" w:rsidR="00484B74" w:rsidRPr="00D71A00" w:rsidRDefault="00484B74" w:rsidP="00484B74">
            <w:pPr>
              <w:jc w:val="right"/>
              <w:rPr>
                <w:rFonts w:ascii="Arial" w:hAnsi="Arial" w:cs="Arial"/>
                <w:sz w:val="24"/>
                <w:szCs w:val="24"/>
                <w:lang w:eastAsia="en-AU"/>
              </w:rPr>
            </w:pPr>
            <w:r w:rsidRPr="00D71A00">
              <w:rPr>
                <w:rFonts w:ascii="Arial" w:hAnsi="Arial" w:cs="Arial"/>
                <w:sz w:val="24"/>
                <w:szCs w:val="24"/>
                <w:lang w:eastAsia="en-AU"/>
              </w:rPr>
              <w:t xml:space="preserve">2,255 </w:t>
            </w:r>
          </w:p>
        </w:tc>
      </w:tr>
      <w:tr w:rsidR="00484B74" w:rsidRPr="00D71A00" w14:paraId="11C6CFDA" w14:textId="77777777" w:rsidTr="002C3E4B">
        <w:trPr>
          <w:trHeight w:val="340"/>
        </w:trPr>
        <w:tc>
          <w:tcPr>
            <w:tcW w:w="5665" w:type="dxa"/>
            <w:noWrap/>
            <w:vAlign w:val="center"/>
            <w:hideMark/>
          </w:tcPr>
          <w:p w14:paraId="3D7E5CF9" w14:textId="77777777" w:rsidR="00484B74" w:rsidRPr="00D71A00" w:rsidRDefault="00484B74" w:rsidP="00484B74">
            <w:pPr>
              <w:rPr>
                <w:rFonts w:ascii="Arial" w:hAnsi="Arial" w:cs="Arial"/>
                <w:sz w:val="24"/>
                <w:szCs w:val="24"/>
                <w:lang w:eastAsia="en-AU"/>
              </w:rPr>
            </w:pPr>
            <w:r w:rsidRPr="00D71A00">
              <w:rPr>
                <w:rFonts w:ascii="Arial" w:hAnsi="Arial" w:cs="Arial"/>
                <w:sz w:val="24"/>
                <w:szCs w:val="24"/>
                <w:lang w:eastAsia="en-AU"/>
              </w:rPr>
              <w:t>Fair value of assets and services received free of charge</w:t>
            </w:r>
          </w:p>
        </w:tc>
        <w:tc>
          <w:tcPr>
            <w:tcW w:w="1701" w:type="dxa"/>
            <w:shd w:val="clear" w:color="auto" w:fill="auto"/>
            <w:noWrap/>
            <w:vAlign w:val="center"/>
            <w:hideMark/>
          </w:tcPr>
          <w:p w14:paraId="33C18237" w14:textId="77777777" w:rsidR="00484B74" w:rsidRPr="00D71A00" w:rsidRDefault="00484B74" w:rsidP="00484B74">
            <w:pPr>
              <w:jc w:val="right"/>
              <w:rPr>
                <w:rFonts w:ascii="Arial" w:hAnsi="Arial" w:cs="Arial"/>
                <w:sz w:val="24"/>
                <w:szCs w:val="24"/>
                <w:lang w:eastAsia="en-AU"/>
              </w:rPr>
            </w:pPr>
            <w:r w:rsidRPr="00D71A00">
              <w:rPr>
                <w:rFonts w:ascii="Arial" w:hAnsi="Arial" w:cs="Arial"/>
                <w:sz w:val="24"/>
                <w:szCs w:val="24"/>
                <w:lang w:eastAsia="en-AU"/>
              </w:rPr>
              <w:t xml:space="preserve">11,075 </w:t>
            </w:r>
          </w:p>
        </w:tc>
        <w:tc>
          <w:tcPr>
            <w:tcW w:w="1701" w:type="dxa"/>
            <w:noWrap/>
            <w:vAlign w:val="center"/>
            <w:hideMark/>
          </w:tcPr>
          <w:p w14:paraId="21AD55F1" w14:textId="77777777" w:rsidR="00484B74" w:rsidRPr="00D71A00" w:rsidRDefault="00484B74" w:rsidP="00484B74">
            <w:pPr>
              <w:jc w:val="right"/>
              <w:rPr>
                <w:rFonts w:ascii="Arial" w:hAnsi="Arial" w:cs="Arial"/>
                <w:sz w:val="24"/>
                <w:szCs w:val="24"/>
                <w:lang w:eastAsia="en-AU"/>
              </w:rPr>
            </w:pPr>
            <w:r w:rsidRPr="00D71A00">
              <w:rPr>
                <w:rFonts w:ascii="Arial" w:hAnsi="Arial" w:cs="Arial"/>
                <w:sz w:val="24"/>
                <w:szCs w:val="24"/>
                <w:lang w:eastAsia="en-AU"/>
              </w:rPr>
              <w:t xml:space="preserve">26 </w:t>
            </w:r>
          </w:p>
        </w:tc>
      </w:tr>
      <w:tr w:rsidR="00484B74" w:rsidRPr="00D71A00" w14:paraId="4F9B4C46" w14:textId="77777777" w:rsidTr="002C3E4B">
        <w:trPr>
          <w:trHeight w:val="340"/>
        </w:trPr>
        <w:tc>
          <w:tcPr>
            <w:tcW w:w="5665" w:type="dxa"/>
            <w:noWrap/>
            <w:vAlign w:val="center"/>
            <w:hideMark/>
          </w:tcPr>
          <w:p w14:paraId="132094BF" w14:textId="77777777" w:rsidR="00484B74" w:rsidRPr="00D71A00" w:rsidRDefault="00484B74" w:rsidP="00484B74">
            <w:pPr>
              <w:rPr>
                <w:rFonts w:ascii="Arial" w:hAnsi="Arial" w:cs="Arial"/>
                <w:sz w:val="24"/>
                <w:szCs w:val="24"/>
                <w:lang w:eastAsia="en-AU"/>
              </w:rPr>
            </w:pPr>
            <w:r w:rsidRPr="00D71A00">
              <w:rPr>
                <w:rFonts w:ascii="Arial" w:hAnsi="Arial" w:cs="Arial"/>
                <w:sz w:val="24"/>
                <w:szCs w:val="24"/>
                <w:lang w:eastAsia="en-AU"/>
              </w:rPr>
              <w:t xml:space="preserve">Revenue related to service concession arrangement </w:t>
            </w:r>
            <w:r w:rsidRPr="00D71A00">
              <w:rPr>
                <w:rFonts w:ascii="Arial" w:hAnsi="Arial" w:cs="Arial"/>
                <w:sz w:val="24"/>
                <w:szCs w:val="24"/>
                <w:vertAlign w:val="superscript"/>
                <w:lang w:eastAsia="en-AU"/>
              </w:rPr>
              <w:t>(</w:t>
            </w:r>
            <w:proofErr w:type="spellStart"/>
            <w:r w:rsidRPr="00D71A00">
              <w:rPr>
                <w:rFonts w:ascii="Arial" w:hAnsi="Arial" w:cs="Arial"/>
                <w:sz w:val="24"/>
                <w:szCs w:val="24"/>
                <w:vertAlign w:val="superscript"/>
                <w:lang w:eastAsia="en-AU"/>
              </w:rPr>
              <w:t>i</w:t>
            </w:r>
            <w:proofErr w:type="spellEnd"/>
            <w:r w:rsidRPr="00D71A00">
              <w:rPr>
                <w:rFonts w:ascii="Arial" w:hAnsi="Arial" w:cs="Arial"/>
                <w:sz w:val="24"/>
                <w:szCs w:val="24"/>
                <w:vertAlign w:val="superscript"/>
                <w:lang w:eastAsia="en-AU"/>
              </w:rPr>
              <w:t>)</w:t>
            </w:r>
          </w:p>
        </w:tc>
        <w:tc>
          <w:tcPr>
            <w:tcW w:w="1701" w:type="dxa"/>
            <w:shd w:val="clear" w:color="auto" w:fill="auto"/>
            <w:noWrap/>
            <w:vAlign w:val="center"/>
            <w:hideMark/>
          </w:tcPr>
          <w:p w14:paraId="63F71FDA" w14:textId="77777777" w:rsidR="00484B74" w:rsidRPr="00D71A00" w:rsidRDefault="00484B74" w:rsidP="00484B74">
            <w:pPr>
              <w:jc w:val="right"/>
              <w:rPr>
                <w:rFonts w:ascii="Arial" w:hAnsi="Arial" w:cs="Arial"/>
                <w:sz w:val="24"/>
                <w:szCs w:val="24"/>
                <w:lang w:eastAsia="en-AU"/>
              </w:rPr>
            </w:pPr>
            <w:r w:rsidRPr="00D71A00">
              <w:rPr>
                <w:rFonts w:ascii="Arial" w:hAnsi="Arial" w:cs="Arial"/>
                <w:sz w:val="24"/>
                <w:szCs w:val="24"/>
                <w:lang w:eastAsia="en-AU"/>
              </w:rPr>
              <w:t xml:space="preserve">249,817 </w:t>
            </w:r>
          </w:p>
        </w:tc>
        <w:tc>
          <w:tcPr>
            <w:tcW w:w="1701" w:type="dxa"/>
            <w:noWrap/>
            <w:vAlign w:val="center"/>
            <w:hideMark/>
          </w:tcPr>
          <w:p w14:paraId="1A8DDE71" w14:textId="77777777" w:rsidR="00484B74" w:rsidRPr="00D71A00" w:rsidRDefault="00484B74" w:rsidP="00484B74">
            <w:pPr>
              <w:jc w:val="right"/>
              <w:rPr>
                <w:rFonts w:ascii="Arial" w:hAnsi="Arial" w:cs="Arial"/>
                <w:sz w:val="24"/>
                <w:szCs w:val="24"/>
                <w:lang w:eastAsia="en-AU"/>
              </w:rPr>
            </w:pPr>
            <w:r w:rsidRPr="00D71A00">
              <w:rPr>
                <w:rFonts w:ascii="Arial" w:hAnsi="Arial" w:cs="Arial"/>
                <w:b/>
                <w:sz w:val="24"/>
                <w:szCs w:val="24"/>
              </w:rPr>
              <w:t>-</w:t>
            </w:r>
          </w:p>
        </w:tc>
      </w:tr>
      <w:tr w:rsidR="00484B74" w:rsidRPr="00D71A00" w14:paraId="6012E65C" w14:textId="77777777" w:rsidTr="002C3E4B">
        <w:trPr>
          <w:trHeight w:val="340"/>
        </w:trPr>
        <w:tc>
          <w:tcPr>
            <w:tcW w:w="5665" w:type="dxa"/>
            <w:noWrap/>
            <w:vAlign w:val="center"/>
            <w:hideMark/>
          </w:tcPr>
          <w:p w14:paraId="13C9EE40" w14:textId="77777777" w:rsidR="00484B74" w:rsidRPr="00D71A00" w:rsidRDefault="00484B74" w:rsidP="00484B74">
            <w:pPr>
              <w:rPr>
                <w:rFonts w:ascii="Arial" w:hAnsi="Arial" w:cs="Arial"/>
                <w:sz w:val="24"/>
                <w:szCs w:val="24"/>
                <w:lang w:eastAsia="en-AU"/>
              </w:rPr>
            </w:pPr>
            <w:r w:rsidRPr="00D71A00">
              <w:rPr>
                <w:rFonts w:ascii="Arial" w:hAnsi="Arial" w:cs="Arial"/>
                <w:sz w:val="24"/>
                <w:szCs w:val="24"/>
                <w:lang w:eastAsia="en-AU"/>
              </w:rPr>
              <w:t>Rental income</w:t>
            </w:r>
          </w:p>
        </w:tc>
        <w:tc>
          <w:tcPr>
            <w:tcW w:w="1701" w:type="dxa"/>
            <w:shd w:val="clear" w:color="auto" w:fill="auto"/>
            <w:noWrap/>
            <w:vAlign w:val="center"/>
            <w:hideMark/>
          </w:tcPr>
          <w:p w14:paraId="44C5D867" w14:textId="77777777" w:rsidR="00484B74" w:rsidRPr="00D71A00" w:rsidRDefault="00484B74" w:rsidP="00484B74">
            <w:pPr>
              <w:jc w:val="right"/>
              <w:rPr>
                <w:rFonts w:ascii="Arial" w:hAnsi="Arial" w:cs="Arial"/>
                <w:sz w:val="24"/>
                <w:szCs w:val="24"/>
                <w:lang w:eastAsia="en-AU"/>
              </w:rPr>
            </w:pPr>
            <w:r w:rsidRPr="00D71A00">
              <w:rPr>
                <w:rFonts w:ascii="Arial" w:hAnsi="Arial" w:cs="Arial"/>
                <w:sz w:val="24"/>
                <w:szCs w:val="24"/>
                <w:lang w:eastAsia="en-AU"/>
              </w:rPr>
              <w:t xml:space="preserve">15,346 </w:t>
            </w:r>
          </w:p>
        </w:tc>
        <w:tc>
          <w:tcPr>
            <w:tcW w:w="1701" w:type="dxa"/>
            <w:noWrap/>
            <w:vAlign w:val="center"/>
            <w:hideMark/>
          </w:tcPr>
          <w:p w14:paraId="750BC85F" w14:textId="77777777" w:rsidR="00484B74" w:rsidRPr="00D71A00" w:rsidRDefault="00484B74" w:rsidP="00484B74">
            <w:pPr>
              <w:jc w:val="right"/>
              <w:rPr>
                <w:rFonts w:ascii="Arial" w:hAnsi="Arial" w:cs="Arial"/>
                <w:sz w:val="24"/>
                <w:szCs w:val="24"/>
                <w:lang w:eastAsia="en-AU"/>
              </w:rPr>
            </w:pPr>
            <w:r w:rsidRPr="00D71A00">
              <w:rPr>
                <w:rFonts w:ascii="Arial" w:hAnsi="Arial" w:cs="Arial"/>
                <w:sz w:val="24"/>
                <w:szCs w:val="24"/>
                <w:lang w:eastAsia="en-AU"/>
              </w:rPr>
              <w:t xml:space="preserve">2,007 </w:t>
            </w:r>
          </w:p>
        </w:tc>
      </w:tr>
      <w:tr w:rsidR="00484B74" w:rsidRPr="00D71A00" w14:paraId="59457B6B" w14:textId="77777777" w:rsidTr="002C3E4B">
        <w:trPr>
          <w:trHeight w:val="340"/>
        </w:trPr>
        <w:tc>
          <w:tcPr>
            <w:tcW w:w="5665" w:type="dxa"/>
            <w:tcBorders>
              <w:bottom w:val="single" w:sz="4" w:space="0" w:color="auto"/>
            </w:tcBorders>
            <w:noWrap/>
            <w:vAlign w:val="center"/>
            <w:hideMark/>
          </w:tcPr>
          <w:p w14:paraId="501C4F62" w14:textId="77777777" w:rsidR="00484B74" w:rsidRPr="00D71A00" w:rsidRDefault="00484B74" w:rsidP="00484B74">
            <w:pPr>
              <w:rPr>
                <w:rFonts w:ascii="Arial" w:hAnsi="Arial" w:cs="Arial"/>
                <w:sz w:val="24"/>
                <w:szCs w:val="24"/>
                <w:lang w:eastAsia="en-AU"/>
              </w:rPr>
            </w:pPr>
            <w:r w:rsidRPr="00D71A00">
              <w:rPr>
                <w:rFonts w:ascii="Arial" w:hAnsi="Arial" w:cs="Arial"/>
                <w:sz w:val="24"/>
                <w:szCs w:val="24"/>
                <w:lang w:eastAsia="en-AU"/>
              </w:rPr>
              <w:t>Miscellaneous income</w:t>
            </w:r>
          </w:p>
        </w:tc>
        <w:tc>
          <w:tcPr>
            <w:tcW w:w="1701" w:type="dxa"/>
            <w:tcBorders>
              <w:bottom w:val="single" w:sz="4" w:space="0" w:color="auto"/>
            </w:tcBorders>
            <w:shd w:val="clear" w:color="auto" w:fill="auto"/>
            <w:noWrap/>
            <w:vAlign w:val="center"/>
            <w:hideMark/>
          </w:tcPr>
          <w:p w14:paraId="691E3505" w14:textId="77777777" w:rsidR="00484B74" w:rsidRPr="00D71A00" w:rsidRDefault="00484B74" w:rsidP="00484B74">
            <w:pPr>
              <w:jc w:val="right"/>
              <w:rPr>
                <w:rFonts w:ascii="Arial" w:hAnsi="Arial" w:cs="Arial"/>
                <w:sz w:val="24"/>
                <w:szCs w:val="24"/>
                <w:lang w:eastAsia="en-AU"/>
              </w:rPr>
            </w:pPr>
            <w:r w:rsidRPr="00D71A00">
              <w:rPr>
                <w:rFonts w:ascii="Arial" w:hAnsi="Arial" w:cs="Arial"/>
                <w:sz w:val="24"/>
                <w:szCs w:val="24"/>
                <w:lang w:eastAsia="en-AU"/>
              </w:rPr>
              <w:t xml:space="preserve">4,855 </w:t>
            </w:r>
          </w:p>
        </w:tc>
        <w:tc>
          <w:tcPr>
            <w:tcW w:w="1701" w:type="dxa"/>
            <w:tcBorders>
              <w:bottom w:val="single" w:sz="4" w:space="0" w:color="auto"/>
            </w:tcBorders>
            <w:noWrap/>
            <w:vAlign w:val="center"/>
            <w:hideMark/>
          </w:tcPr>
          <w:p w14:paraId="46E4F987" w14:textId="77777777" w:rsidR="00484B74" w:rsidRPr="00D71A00" w:rsidRDefault="00484B74" w:rsidP="00484B74">
            <w:pPr>
              <w:jc w:val="right"/>
              <w:rPr>
                <w:rFonts w:ascii="Arial" w:hAnsi="Arial" w:cs="Arial"/>
                <w:sz w:val="24"/>
                <w:szCs w:val="24"/>
                <w:lang w:eastAsia="en-AU"/>
              </w:rPr>
            </w:pPr>
            <w:r w:rsidRPr="00D71A00">
              <w:rPr>
                <w:rFonts w:ascii="Arial" w:hAnsi="Arial" w:cs="Arial"/>
                <w:sz w:val="24"/>
                <w:szCs w:val="24"/>
                <w:lang w:eastAsia="en-AU"/>
              </w:rPr>
              <w:t xml:space="preserve">11,454 </w:t>
            </w:r>
          </w:p>
        </w:tc>
      </w:tr>
      <w:tr w:rsidR="00484B74" w:rsidRPr="00D71A00" w14:paraId="5A916FFD" w14:textId="77777777" w:rsidTr="002C3E4B">
        <w:trPr>
          <w:trHeight w:val="340"/>
        </w:trPr>
        <w:tc>
          <w:tcPr>
            <w:tcW w:w="5665" w:type="dxa"/>
            <w:tcBorders>
              <w:bottom w:val="single" w:sz="4" w:space="0" w:color="auto"/>
            </w:tcBorders>
            <w:noWrap/>
            <w:vAlign w:val="center"/>
            <w:hideMark/>
          </w:tcPr>
          <w:p w14:paraId="599CADBB" w14:textId="77777777" w:rsidR="00484B74" w:rsidRPr="00D71A00" w:rsidRDefault="00484B74" w:rsidP="00484B74">
            <w:pPr>
              <w:rPr>
                <w:rFonts w:ascii="Arial" w:hAnsi="Arial" w:cs="Arial"/>
                <w:b/>
                <w:sz w:val="24"/>
                <w:szCs w:val="24"/>
                <w:lang w:eastAsia="en-AU"/>
              </w:rPr>
            </w:pPr>
            <w:r w:rsidRPr="00D71A00">
              <w:rPr>
                <w:rFonts w:ascii="Arial" w:hAnsi="Arial" w:cs="Arial"/>
                <w:b/>
                <w:sz w:val="24"/>
                <w:szCs w:val="24"/>
                <w:lang w:eastAsia="en-AU"/>
              </w:rPr>
              <w:t>Total other income</w:t>
            </w:r>
          </w:p>
        </w:tc>
        <w:tc>
          <w:tcPr>
            <w:tcW w:w="1701" w:type="dxa"/>
            <w:tcBorders>
              <w:bottom w:val="single" w:sz="4" w:space="0" w:color="auto"/>
            </w:tcBorders>
            <w:shd w:val="clear" w:color="auto" w:fill="auto"/>
            <w:noWrap/>
            <w:vAlign w:val="center"/>
            <w:hideMark/>
          </w:tcPr>
          <w:p w14:paraId="6AC1D46B" w14:textId="77777777" w:rsidR="00484B74" w:rsidRPr="00D71A00" w:rsidRDefault="00484B74" w:rsidP="00484B74">
            <w:pPr>
              <w:jc w:val="right"/>
              <w:rPr>
                <w:rFonts w:ascii="Arial" w:hAnsi="Arial" w:cs="Arial"/>
                <w:b/>
                <w:sz w:val="24"/>
                <w:szCs w:val="24"/>
                <w:lang w:eastAsia="en-AU"/>
              </w:rPr>
            </w:pPr>
            <w:r w:rsidRPr="00D71A00">
              <w:rPr>
                <w:rFonts w:ascii="Arial" w:hAnsi="Arial" w:cs="Arial"/>
                <w:b/>
                <w:sz w:val="24"/>
                <w:szCs w:val="24"/>
                <w:lang w:eastAsia="en-AU"/>
              </w:rPr>
              <w:t xml:space="preserve">283,803 </w:t>
            </w:r>
          </w:p>
        </w:tc>
        <w:tc>
          <w:tcPr>
            <w:tcW w:w="1701" w:type="dxa"/>
            <w:tcBorders>
              <w:bottom w:val="single" w:sz="4" w:space="0" w:color="auto"/>
            </w:tcBorders>
            <w:noWrap/>
            <w:vAlign w:val="center"/>
            <w:hideMark/>
          </w:tcPr>
          <w:p w14:paraId="28FF05E2" w14:textId="77777777" w:rsidR="00484B74" w:rsidRPr="00D71A00" w:rsidRDefault="00484B74" w:rsidP="00484B74">
            <w:pPr>
              <w:jc w:val="right"/>
              <w:rPr>
                <w:rFonts w:ascii="Arial" w:hAnsi="Arial" w:cs="Arial"/>
                <w:b/>
                <w:sz w:val="24"/>
                <w:szCs w:val="24"/>
                <w:lang w:eastAsia="en-AU"/>
              </w:rPr>
            </w:pPr>
            <w:r w:rsidRPr="00D71A00">
              <w:rPr>
                <w:rFonts w:ascii="Arial" w:hAnsi="Arial" w:cs="Arial"/>
                <w:b/>
                <w:sz w:val="24"/>
                <w:szCs w:val="24"/>
                <w:lang w:eastAsia="en-AU"/>
              </w:rPr>
              <w:t xml:space="preserve">15,742 </w:t>
            </w:r>
          </w:p>
        </w:tc>
      </w:tr>
    </w:tbl>
    <w:p w14:paraId="4D8A8BDA" w14:textId="77777777" w:rsidR="007068F5" w:rsidRPr="00D71A00" w:rsidRDefault="007068F5" w:rsidP="007068F5">
      <w:pPr>
        <w:pStyle w:val="Note"/>
        <w:rPr>
          <w:rFonts w:ascii="Arial" w:hAnsi="Arial" w:cs="Arial"/>
          <w:i/>
          <w:sz w:val="24"/>
          <w:szCs w:val="24"/>
          <w:lang w:eastAsia="en-AU"/>
        </w:rPr>
      </w:pPr>
      <w:r w:rsidRPr="00D71A00">
        <w:rPr>
          <w:rFonts w:ascii="Arial" w:hAnsi="Arial" w:cs="Arial"/>
          <w:sz w:val="24"/>
          <w:szCs w:val="24"/>
        </w:rPr>
        <w:t>Note:</w:t>
      </w:r>
      <w:r w:rsidRPr="00D71A00">
        <w:rPr>
          <w:rFonts w:ascii="Arial" w:hAnsi="Arial" w:cs="Arial"/>
          <w:i/>
          <w:sz w:val="24"/>
          <w:szCs w:val="24"/>
          <w:lang w:eastAsia="en-AU"/>
        </w:rPr>
        <w:t xml:space="preserve"> </w:t>
      </w:r>
    </w:p>
    <w:p w14:paraId="57241052" w14:textId="77777777" w:rsidR="007068F5" w:rsidRPr="00D71A00" w:rsidRDefault="007068F5" w:rsidP="00610F5F">
      <w:pPr>
        <w:pStyle w:val="aaaNotenumberiiiiii"/>
        <w:numPr>
          <w:ilvl w:val="0"/>
          <w:numId w:val="72"/>
        </w:numPr>
      </w:pPr>
      <w:r w:rsidRPr="00D71A00">
        <w:t xml:space="preserve">This revenue relates to the service concession arrangements and reflects the progressive unwinding of the ‘grant of right to operate liability’ (Note 6.2 Payables) over the remaining period of the arrangement. Refer to Note 7.5.3 AASB 1059 </w:t>
      </w:r>
      <w:r w:rsidRPr="00E310C7">
        <w:rPr>
          <w:i/>
        </w:rPr>
        <w:t>Service Concession Arrangements: Grantors</w:t>
      </w:r>
      <w:r w:rsidRPr="00D71A00">
        <w:t xml:space="preserve"> for more details.</w:t>
      </w:r>
    </w:p>
    <w:p w14:paraId="2EA5EC94" w14:textId="0ABDE3DC" w:rsidR="003E5BF5" w:rsidRPr="00A47158" w:rsidRDefault="003E5BF5" w:rsidP="005D79E1">
      <w:pPr>
        <w:pStyle w:val="aaatyping"/>
      </w:pPr>
      <w:r>
        <w:rPr>
          <w:b/>
          <w:bCs/>
        </w:rPr>
        <w:t>Revenue related to service concession arrangement</w:t>
      </w:r>
      <w:r>
        <w:t xml:space="preserve"> reflects the progressive unwinding of the unearned revenue relating to the g</w:t>
      </w:r>
      <w:r w:rsidRPr="00C4213F">
        <w:t>rant of a right to the operator (GORTO)</w:t>
      </w:r>
      <w:r>
        <w:t xml:space="preserve"> liability over the remaining period of the service concession arrangement. </w:t>
      </w:r>
      <w:r w:rsidRPr="00C4213F">
        <w:t xml:space="preserve">Refer to Note </w:t>
      </w:r>
      <w:r>
        <w:t>6.2</w:t>
      </w:r>
      <w:r w:rsidRPr="00C4213F">
        <w:t xml:space="preserve"> Payables for the amounts disclosed as GORTO liability</w:t>
      </w:r>
      <w:r>
        <w:t>.</w:t>
      </w:r>
    </w:p>
    <w:p w14:paraId="2E71B046" w14:textId="77777777" w:rsidR="003E5BF5" w:rsidRPr="0011300E" w:rsidRDefault="003E5BF5" w:rsidP="005D79E1">
      <w:pPr>
        <w:pStyle w:val="aaatyping"/>
      </w:pPr>
      <w:r w:rsidRPr="006A6F34">
        <w:t xml:space="preserve">Contributions </w:t>
      </w:r>
      <w:r w:rsidRPr="006A6F34">
        <w:rPr>
          <w:b/>
          <w:bCs/>
        </w:rPr>
        <w:t>of resources received free of charge or for nominal consideration</w:t>
      </w:r>
      <w:r w:rsidRPr="006A6F34">
        <w:t xml:space="preserve"> are recognised at fair value when control is obtained over </w:t>
      </w:r>
      <w:r>
        <w:t>the resources</w:t>
      </w:r>
      <w:r w:rsidRPr="006A6F34">
        <w:t>, irrespective of whether restrictions or conditions</w:t>
      </w:r>
      <w:r>
        <w:t xml:space="preserve"> are imposed</w:t>
      </w:r>
      <w:r w:rsidRPr="006A6F34">
        <w:t xml:space="preserve"> over their use. </w:t>
      </w:r>
      <w:r w:rsidRPr="00182F79">
        <w:t>The exception to this would be when the resource is received from another government department (or agency) as a consequence of a restructuring of administrative arrangements, in which case such a transfer will be recognised at its carrying value in the transferring department or agency as a capital contribution transfer</w:t>
      </w:r>
      <w:r>
        <w:t>.</w:t>
      </w:r>
    </w:p>
    <w:p w14:paraId="5A844458" w14:textId="77777777" w:rsidR="003E5BF5" w:rsidRDefault="003E5BF5" w:rsidP="005D79E1">
      <w:pPr>
        <w:pStyle w:val="aaatyping"/>
      </w:pPr>
      <w:r w:rsidRPr="00781B80">
        <w:rPr>
          <w:b/>
          <w:bCs/>
        </w:rPr>
        <w:t xml:space="preserve">Interest income </w:t>
      </w:r>
      <w:r w:rsidRPr="00781B80">
        <w:t xml:space="preserve">includes interest received on bank term deposits and other investments. Interest income is recognised using the effective </w:t>
      </w:r>
      <w:r w:rsidRPr="00781B80">
        <w:lastRenderedPageBreak/>
        <w:t>interest method which allocates interest over the relevant period of investment.</w:t>
      </w:r>
    </w:p>
    <w:p w14:paraId="1F3ED8C9" w14:textId="77777777" w:rsidR="003E5BF5" w:rsidRDefault="003E5BF5" w:rsidP="005D79E1">
      <w:pPr>
        <w:pStyle w:val="aaatyping"/>
      </w:pPr>
      <w:r w:rsidRPr="008E451C">
        <w:rPr>
          <w:b/>
          <w:bCs/>
        </w:rPr>
        <w:t>Rental income</w:t>
      </w:r>
      <w:r w:rsidRPr="008E451C">
        <w:t xml:space="preserve"> relates primarily to leases of properties acquired for future road development and is recognised on a straight-line basis over the lease term.</w:t>
      </w:r>
      <w:r>
        <w:t xml:space="preserve"> T</w:t>
      </w:r>
      <w:r w:rsidRPr="008152F7">
        <w:t>he lease terms range from 1 to 40 years. The lessee does not have an option to purchase the property at the end of the expiry of the lease period.</w:t>
      </w:r>
    </w:p>
    <w:p w14:paraId="490F5150" w14:textId="77777777" w:rsidR="003E5BF5" w:rsidRDefault="003E5BF5" w:rsidP="00DE1921"/>
    <w:p w14:paraId="6BAF500A" w14:textId="77777777" w:rsidR="003E5BF5" w:rsidRDefault="003E5BF5" w:rsidP="00DE1921">
      <w:pPr>
        <w:sectPr w:rsidR="003E5BF5" w:rsidSect="00DE1921">
          <w:pgSz w:w="11906" w:h="16838"/>
          <w:pgMar w:top="1701" w:right="1418" w:bottom="1418" w:left="1418" w:header="708" w:footer="708" w:gutter="0"/>
          <w:cols w:space="708"/>
          <w:docGrid w:linePitch="360"/>
        </w:sectPr>
      </w:pPr>
    </w:p>
    <w:p w14:paraId="3F9E71A4" w14:textId="77777777" w:rsidR="003E5BF5" w:rsidRPr="002D6C11" w:rsidRDefault="003E5BF5" w:rsidP="006667CC">
      <w:pPr>
        <w:pStyle w:val="Heading3"/>
        <w:numPr>
          <w:ilvl w:val="2"/>
          <w:numId w:val="3"/>
        </w:numPr>
        <w:ind w:left="851" w:hanging="851"/>
      </w:pPr>
      <w:r w:rsidRPr="002D6C11">
        <w:t>Non-cancellable operating lease receivables</w:t>
      </w:r>
      <w:bookmarkStart w:id="147" w:name="RANGE!A3:C8"/>
      <w:bookmarkEnd w:id="147"/>
    </w:p>
    <w:tbl>
      <w:tblPr>
        <w:tblStyle w:val="TableGrid"/>
        <w:tblW w:w="9072" w:type="dxa"/>
        <w:tblLayout w:type="fixed"/>
        <w:tblLook w:val="04A0" w:firstRow="1" w:lastRow="0" w:firstColumn="1" w:lastColumn="0" w:noHBand="0" w:noVBand="1"/>
      </w:tblPr>
      <w:tblGrid>
        <w:gridCol w:w="5670"/>
        <w:gridCol w:w="1701"/>
        <w:gridCol w:w="1701"/>
      </w:tblGrid>
      <w:tr w:rsidR="002C3E4B" w:rsidRPr="00020050" w14:paraId="58E4F910" w14:textId="77777777" w:rsidTr="002C3E4B">
        <w:trPr>
          <w:trHeight w:val="340"/>
        </w:trPr>
        <w:tc>
          <w:tcPr>
            <w:tcW w:w="6091" w:type="dxa"/>
            <w:noWrap/>
            <w:hideMark/>
          </w:tcPr>
          <w:p w14:paraId="3C7A6A88" w14:textId="77777777" w:rsidR="002C3E4B" w:rsidRPr="00020050" w:rsidRDefault="002C3E4B" w:rsidP="002C3E4B">
            <w:pPr>
              <w:rPr>
                <w:rFonts w:ascii="Arial" w:hAnsi="Arial" w:cs="Arial"/>
                <w:sz w:val="24"/>
                <w:szCs w:val="24"/>
                <w:lang w:eastAsia="en-AU"/>
              </w:rPr>
            </w:pPr>
          </w:p>
        </w:tc>
        <w:tc>
          <w:tcPr>
            <w:tcW w:w="1814" w:type="dxa"/>
            <w:noWrap/>
            <w:vAlign w:val="center"/>
            <w:hideMark/>
          </w:tcPr>
          <w:p w14:paraId="22DB4533" w14:textId="77777777" w:rsidR="002C3E4B" w:rsidRPr="00020050" w:rsidRDefault="002C3E4B" w:rsidP="002C3E4B">
            <w:pPr>
              <w:jc w:val="center"/>
              <w:rPr>
                <w:rFonts w:ascii="Arial" w:hAnsi="Arial" w:cs="Arial"/>
                <w:b/>
                <w:sz w:val="24"/>
                <w:szCs w:val="24"/>
                <w:lang w:eastAsia="en-AU"/>
              </w:rPr>
            </w:pPr>
            <w:r w:rsidRPr="00020050">
              <w:rPr>
                <w:rFonts w:ascii="Arial" w:hAnsi="Arial" w:cs="Arial"/>
                <w:b/>
                <w:sz w:val="24"/>
                <w:szCs w:val="24"/>
                <w:lang w:eastAsia="en-AU"/>
              </w:rPr>
              <w:t>($ thousand)</w:t>
            </w:r>
          </w:p>
        </w:tc>
        <w:tc>
          <w:tcPr>
            <w:tcW w:w="1814" w:type="dxa"/>
            <w:vAlign w:val="center"/>
          </w:tcPr>
          <w:p w14:paraId="3F55C7F6" w14:textId="4EBEFEE8" w:rsidR="002C3E4B" w:rsidRPr="00020050" w:rsidRDefault="002C3E4B" w:rsidP="002C3E4B">
            <w:pPr>
              <w:jc w:val="center"/>
              <w:rPr>
                <w:rFonts w:ascii="Arial" w:hAnsi="Arial" w:cs="Arial"/>
                <w:b/>
                <w:sz w:val="24"/>
                <w:szCs w:val="24"/>
                <w:lang w:eastAsia="en-AU"/>
              </w:rPr>
            </w:pPr>
            <w:r w:rsidRPr="00D71A00">
              <w:rPr>
                <w:rFonts w:ascii="Arial" w:hAnsi="Arial" w:cs="Arial"/>
                <w:b/>
                <w:sz w:val="24"/>
                <w:szCs w:val="24"/>
                <w:lang w:eastAsia="en-AU"/>
              </w:rPr>
              <w:t>($ thousand)</w:t>
            </w:r>
          </w:p>
        </w:tc>
      </w:tr>
      <w:tr w:rsidR="002C3E4B" w:rsidRPr="00020050" w14:paraId="07A7CBF4" w14:textId="77777777" w:rsidTr="002C3E4B">
        <w:trPr>
          <w:trHeight w:val="340"/>
        </w:trPr>
        <w:tc>
          <w:tcPr>
            <w:tcW w:w="6091" w:type="dxa"/>
            <w:noWrap/>
            <w:hideMark/>
          </w:tcPr>
          <w:p w14:paraId="6333CCB4" w14:textId="77777777" w:rsidR="002C3E4B" w:rsidRPr="00020050" w:rsidRDefault="002C3E4B" w:rsidP="002C3E4B">
            <w:pPr>
              <w:rPr>
                <w:rFonts w:ascii="Arial" w:hAnsi="Arial" w:cs="Arial"/>
                <w:b/>
                <w:sz w:val="24"/>
                <w:szCs w:val="24"/>
                <w:lang w:eastAsia="en-AU"/>
              </w:rPr>
            </w:pPr>
          </w:p>
        </w:tc>
        <w:tc>
          <w:tcPr>
            <w:tcW w:w="1814" w:type="dxa"/>
            <w:shd w:val="clear" w:color="auto" w:fill="auto"/>
            <w:vAlign w:val="center"/>
            <w:hideMark/>
          </w:tcPr>
          <w:p w14:paraId="5540F2D3" w14:textId="77777777" w:rsidR="002C3E4B" w:rsidRPr="00020050" w:rsidRDefault="002C3E4B" w:rsidP="002C3E4B">
            <w:pPr>
              <w:jc w:val="right"/>
              <w:rPr>
                <w:rFonts w:ascii="Arial" w:hAnsi="Arial" w:cs="Arial"/>
                <w:b/>
                <w:sz w:val="24"/>
                <w:szCs w:val="24"/>
                <w:lang w:eastAsia="en-AU"/>
              </w:rPr>
            </w:pPr>
            <w:r w:rsidRPr="00020050">
              <w:rPr>
                <w:rFonts w:ascii="Arial" w:hAnsi="Arial" w:cs="Arial"/>
                <w:b/>
                <w:sz w:val="24"/>
                <w:szCs w:val="24"/>
                <w:lang w:eastAsia="en-AU"/>
              </w:rPr>
              <w:t>2020</w:t>
            </w:r>
          </w:p>
        </w:tc>
        <w:tc>
          <w:tcPr>
            <w:tcW w:w="1814" w:type="dxa"/>
            <w:vAlign w:val="center"/>
            <w:hideMark/>
          </w:tcPr>
          <w:p w14:paraId="37B075E6" w14:textId="77777777" w:rsidR="002C3E4B" w:rsidRPr="00020050" w:rsidRDefault="002C3E4B" w:rsidP="002C3E4B">
            <w:pPr>
              <w:jc w:val="right"/>
              <w:rPr>
                <w:rFonts w:ascii="Arial" w:hAnsi="Arial" w:cs="Arial"/>
                <w:b/>
                <w:sz w:val="24"/>
                <w:szCs w:val="24"/>
                <w:lang w:eastAsia="en-AU"/>
              </w:rPr>
            </w:pPr>
            <w:r w:rsidRPr="00020050">
              <w:rPr>
                <w:rFonts w:ascii="Arial" w:hAnsi="Arial" w:cs="Arial"/>
                <w:b/>
                <w:sz w:val="24"/>
                <w:szCs w:val="24"/>
                <w:lang w:eastAsia="en-AU"/>
              </w:rPr>
              <w:t>2019</w:t>
            </w:r>
          </w:p>
        </w:tc>
      </w:tr>
      <w:tr w:rsidR="002C3E4B" w:rsidRPr="00020050" w14:paraId="23155C6C" w14:textId="77777777" w:rsidTr="002C3E4B">
        <w:trPr>
          <w:trHeight w:val="340"/>
        </w:trPr>
        <w:tc>
          <w:tcPr>
            <w:tcW w:w="6091" w:type="dxa"/>
            <w:noWrap/>
            <w:vAlign w:val="center"/>
            <w:hideMark/>
          </w:tcPr>
          <w:p w14:paraId="4B48097C" w14:textId="77777777" w:rsidR="002C3E4B" w:rsidRPr="00604703" w:rsidRDefault="002C3E4B" w:rsidP="002C3E4B">
            <w:pPr>
              <w:pStyle w:val="TableTextGreen"/>
            </w:pPr>
            <w:r w:rsidRPr="00604703">
              <w:t>Non-cancellable operating lease receivables</w:t>
            </w:r>
          </w:p>
        </w:tc>
        <w:tc>
          <w:tcPr>
            <w:tcW w:w="1814" w:type="dxa"/>
            <w:shd w:val="clear" w:color="auto" w:fill="auto"/>
            <w:noWrap/>
            <w:vAlign w:val="center"/>
            <w:hideMark/>
          </w:tcPr>
          <w:p w14:paraId="25A0BC94" w14:textId="77777777" w:rsidR="002C3E4B" w:rsidRPr="00020050" w:rsidRDefault="002C3E4B" w:rsidP="002C3E4B">
            <w:pPr>
              <w:jc w:val="right"/>
              <w:rPr>
                <w:rFonts w:ascii="Arial" w:hAnsi="Arial" w:cs="Arial"/>
                <w:sz w:val="24"/>
                <w:szCs w:val="24"/>
                <w:lang w:eastAsia="en-AU"/>
              </w:rPr>
            </w:pPr>
          </w:p>
        </w:tc>
        <w:tc>
          <w:tcPr>
            <w:tcW w:w="1814" w:type="dxa"/>
            <w:noWrap/>
            <w:vAlign w:val="center"/>
            <w:hideMark/>
          </w:tcPr>
          <w:p w14:paraId="226F4E23" w14:textId="77777777" w:rsidR="002C3E4B" w:rsidRPr="00020050" w:rsidRDefault="002C3E4B" w:rsidP="002C3E4B">
            <w:pPr>
              <w:jc w:val="right"/>
              <w:rPr>
                <w:rFonts w:ascii="Arial" w:hAnsi="Arial" w:cs="Arial"/>
                <w:sz w:val="24"/>
                <w:szCs w:val="24"/>
                <w:lang w:eastAsia="en-AU"/>
              </w:rPr>
            </w:pPr>
          </w:p>
        </w:tc>
      </w:tr>
      <w:tr w:rsidR="002C3E4B" w:rsidRPr="00020050" w14:paraId="09031B56" w14:textId="77777777" w:rsidTr="002C3E4B">
        <w:trPr>
          <w:trHeight w:val="340"/>
        </w:trPr>
        <w:tc>
          <w:tcPr>
            <w:tcW w:w="6091" w:type="dxa"/>
            <w:noWrap/>
            <w:vAlign w:val="center"/>
          </w:tcPr>
          <w:p w14:paraId="05876E8F" w14:textId="77777777" w:rsidR="002C3E4B" w:rsidRPr="00020050" w:rsidRDefault="002C3E4B" w:rsidP="002C3E4B">
            <w:pPr>
              <w:rPr>
                <w:rFonts w:ascii="Arial" w:hAnsi="Arial" w:cs="Arial"/>
                <w:sz w:val="24"/>
                <w:szCs w:val="24"/>
                <w:lang w:eastAsia="en-AU"/>
              </w:rPr>
            </w:pPr>
            <w:proofErr w:type="spellStart"/>
            <w:r w:rsidRPr="00020050">
              <w:rPr>
                <w:rFonts w:ascii="Arial" w:hAnsi="Arial" w:cs="Arial"/>
                <w:sz w:val="24"/>
                <w:szCs w:val="24"/>
                <w:lang w:eastAsia="en-AU"/>
              </w:rPr>
              <w:t>Not longer</w:t>
            </w:r>
            <w:proofErr w:type="spellEnd"/>
            <w:r w:rsidRPr="00020050">
              <w:rPr>
                <w:rFonts w:ascii="Arial" w:hAnsi="Arial" w:cs="Arial"/>
                <w:sz w:val="24"/>
                <w:szCs w:val="24"/>
                <w:lang w:eastAsia="en-AU"/>
              </w:rPr>
              <w:t xml:space="preserve"> than one year</w:t>
            </w:r>
          </w:p>
        </w:tc>
        <w:tc>
          <w:tcPr>
            <w:tcW w:w="1814" w:type="dxa"/>
            <w:shd w:val="clear" w:color="auto" w:fill="auto"/>
            <w:noWrap/>
            <w:vAlign w:val="center"/>
          </w:tcPr>
          <w:p w14:paraId="37A916D4" w14:textId="77777777" w:rsidR="002C3E4B" w:rsidRPr="00020050" w:rsidRDefault="002C3E4B" w:rsidP="002C3E4B">
            <w:pPr>
              <w:jc w:val="right"/>
              <w:rPr>
                <w:rFonts w:ascii="Arial" w:hAnsi="Arial" w:cs="Arial"/>
                <w:sz w:val="24"/>
                <w:szCs w:val="24"/>
                <w:lang w:eastAsia="en-AU"/>
              </w:rPr>
            </w:pPr>
            <w:r w:rsidRPr="00020050">
              <w:rPr>
                <w:rFonts w:ascii="Arial" w:hAnsi="Arial" w:cs="Arial"/>
                <w:sz w:val="24"/>
                <w:szCs w:val="24"/>
                <w:lang w:eastAsia="en-AU"/>
              </w:rPr>
              <w:t xml:space="preserve">10,946 </w:t>
            </w:r>
          </w:p>
        </w:tc>
        <w:tc>
          <w:tcPr>
            <w:tcW w:w="1814" w:type="dxa"/>
            <w:noWrap/>
            <w:vAlign w:val="center"/>
          </w:tcPr>
          <w:p w14:paraId="6CDD834D" w14:textId="77777777" w:rsidR="002C3E4B" w:rsidRPr="00020050" w:rsidRDefault="002C3E4B" w:rsidP="002C3E4B">
            <w:pPr>
              <w:jc w:val="right"/>
              <w:rPr>
                <w:rFonts w:ascii="Arial" w:hAnsi="Arial" w:cs="Arial"/>
                <w:b/>
                <w:sz w:val="24"/>
                <w:szCs w:val="24"/>
              </w:rPr>
            </w:pPr>
            <w:r w:rsidRPr="00020050">
              <w:rPr>
                <w:rFonts w:ascii="Arial" w:hAnsi="Arial" w:cs="Arial"/>
                <w:b/>
                <w:sz w:val="24"/>
                <w:szCs w:val="24"/>
              </w:rPr>
              <w:t>-</w:t>
            </w:r>
          </w:p>
        </w:tc>
      </w:tr>
      <w:tr w:rsidR="002C3E4B" w:rsidRPr="00020050" w14:paraId="30A630DC" w14:textId="77777777" w:rsidTr="002C3E4B">
        <w:trPr>
          <w:trHeight w:val="340"/>
        </w:trPr>
        <w:tc>
          <w:tcPr>
            <w:tcW w:w="6091" w:type="dxa"/>
            <w:noWrap/>
            <w:vAlign w:val="center"/>
            <w:hideMark/>
          </w:tcPr>
          <w:p w14:paraId="573C572E" w14:textId="77777777" w:rsidR="002C3E4B" w:rsidRPr="00020050" w:rsidRDefault="002C3E4B" w:rsidP="002C3E4B">
            <w:pPr>
              <w:rPr>
                <w:rFonts w:ascii="Arial" w:hAnsi="Arial" w:cs="Arial"/>
                <w:sz w:val="24"/>
                <w:szCs w:val="24"/>
                <w:lang w:eastAsia="en-AU"/>
              </w:rPr>
            </w:pPr>
            <w:r w:rsidRPr="00020050">
              <w:rPr>
                <w:rFonts w:ascii="Arial" w:hAnsi="Arial" w:cs="Arial"/>
                <w:sz w:val="24"/>
                <w:szCs w:val="24"/>
                <w:lang w:eastAsia="en-AU"/>
              </w:rPr>
              <w:t>Longer than one year but not longer than five years</w:t>
            </w:r>
          </w:p>
        </w:tc>
        <w:tc>
          <w:tcPr>
            <w:tcW w:w="1814" w:type="dxa"/>
            <w:shd w:val="clear" w:color="auto" w:fill="auto"/>
            <w:noWrap/>
            <w:vAlign w:val="center"/>
            <w:hideMark/>
          </w:tcPr>
          <w:p w14:paraId="40E96E9B" w14:textId="77777777" w:rsidR="002C3E4B" w:rsidRPr="00020050" w:rsidRDefault="002C3E4B" w:rsidP="002C3E4B">
            <w:pPr>
              <w:jc w:val="right"/>
              <w:rPr>
                <w:rFonts w:ascii="Arial" w:hAnsi="Arial" w:cs="Arial"/>
                <w:sz w:val="24"/>
                <w:szCs w:val="24"/>
                <w:lang w:eastAsia="en-AU"/>
              </w:rPr>
            </w:pPr>
            <w:r w:rsidRPr="00020050">
              <w:rPr>
                <w:rFonts w:ascii="Arial" w:hAnsi="Arial" w:cs="Arial"/>
                <w:sz w:val="24"/>
                <w:szCs w:val="24"/>
                <w:lang w:eastAsia="en-AU"/>
              </w:rPr>
              <w:t xml:space="preserve">42,951 </w:t>
            </w:r>
          </w:p>
        </w:tc>
        <w:tc>
          <w:tcPr>
            <w:tcW w:w="1814" w:type="dxa"/>
            <w:noWrap/>
            <w:vAlign w:val="center"/>
            <w:hideMark/>
          </w:tcPr>
          <w:p w14:paraId="5645038E" w14:textId="77777777" w:rsidR="002C3E4B" w:rsidRPr="00020050" w:rsidRDefault="002C3E4B" w:rsidP="002C3E4B">
            <w:pPr>
              <w:jc w:val="right"/>
              <w:rPr>
                <w:rFonts w:ascii="Arial" w:hAnsi="Arial" w:cs="Arial"/>
                <w:sz w:val="24"/>
                <w:szCs w:val="24"/>
                <w:lang w:eastAsia="en-AU"/>
              </w:rPr>
            </w:pPr>
            <w:r w:rsidRPr="00020050">
              <w:rPr>
                <w:rFonts w:ascii="Arial" w:hAnsi="Arial" w:cs="Arial"/>
                <w:b/>
                <w:sz w:val="24"/>
                <w:szCs w:val="24"/>
              </w:rPr>
              <w:t>-</w:t>
            </w:r>
          </w:p>
        </w:tc>
      </w:tr>
      <w:tr w:rsidR="002C3E4B" w:rsidRPr="00020050" w14:paraId="1767427F" w14:textId="77777777" w:rsidTr="002C3E4B">
        <w:trPr>
          <w:trHeight w:val="340"/>
        </w:trPr>
        <w:tc>
          <w:tcPr>
            <w:tcW w:w="6091" w:type="dxa"/>
            <w:noWrap/>
            <w:vAlign w:val="center"/>
            <w:hideMark/>
          </w:tcPr>
          <w:p w14:paraId="72AD2C54" w14:textId="77777777" w:rsidR="002C3E4B" w:rsidRPr="00020050" w:rsidRDefault="002C3E4B" w:rsidP="002C3E4B">
            <w:pPr>
              <w:rPr>
                <w:rFonts w:ascii="Arial" w:hAnsi="Arial" w:cs="Arial"/>
                <w:sz w:val="24"/>
                <w:szCs w:val="24"/>
                <w:lang w:eastAsia="en-AU"/>
              </w:rPr>
            </w:pPr>
            <w:r w:rsidRPr="00020050">
              <w:rPr>
                <w:rFonts w:ascii="Arial" w:hAnsi="Arial" w:cs="Arial"/>
                <w:sz w:val="24"/>
                <w:szCs w:val="24"/>
                <w:lang w:eastAsia="en-AU"/>
              </w:rPr>
              <w:t>Longer than five years</w:t>
            </w:r>
          </w:p>
        </w:tc>
        <w:tc>
          <w:tcPr>
            <w:tcW w:w="1814" w:type="dxa"/>
            <w:shd w:val="clear" w:color="auto" w:fill="auto"/>
            <w:noWrap/>
            <w:vAlign w:val="center"/>
            <w:hideMark/>
          </w:tcPr>
          <w:p w14:paraId="788A8C7F" w14:textId="77777777" w:rsidR="002C3E4B" w:rsidRPr="00020050" w:rsidRDefault="002C3E4B" w:rsidP="002C3E4B">
            <w:pPr>
              <w:jc w:val="right"/>
              <w:rPr>
                <w:rFonts w:ascii="Arial" w:hAnsi="Arial" w:cs="Arial"/>
                <w:sz w:val="24"/>
                <w:szCs w:val="24"/>
                <w:lang w:eastAsia="en-AU"/>
              </w:rPr>
            </w:pPr>
            <w:r w:rsidRPr="00020050">
              <w:rPr>
                <w:rFonts w:ascii="Arial" w:hAnsi="Arial" w:cs="Arial"/>
                <w:sz w:val="24"/>
                <w:szCs w:val="24"/>
                <w:lang w:eastAsia="en-AU"/>
              </w:rPr>
              <w:t xml:space="preserve">60,619 </w:t>
            </w:r>
          </w:p>
        </w:tc>
        <w:tc>
          <w:tcPr>
            <w:tcW w:w="1814" w:type="dxa"/>
            <w:noWrap/>
            <w:vAlign w:val="center"/>
            <w:hideMark/>
          </w:tcPr>
          <w:p w14:paraId="763CD93F" w14:textId="77777777" w:rsidR="002C3E4B" w:rsidRPr="00020050" w:rsidRDefault="002C3E4B" w:rsidP="002C3E4B">
            <w:pPr>
              <w:jc w:val="right"/>
              <w:rPr>
                <w:rFonts w:ascii="Arial" w:hAnsi="Arial" w:cs="Arial"/>
                <w:sz w:val="24"/>
                <w:szCs w:val="24"/>
                <w:lang w:eastAsia="en-AU"/>
              </w:rPr>
            </w:pPr>
            <w:r w:rsidRPr="00020050">
              <w:rPr>
                <w:rFonts w:ascii="Arial" w:hAnsi="Arial" w:cs="Arial"/>
                <w:b/>
                <w:sz w:val="24"/>
                <w:szCs w:val="24"/>
              </w:rPr>
              <w:t>-</w:t>
            </w:r>
          </w:p>
        </w:tc>
      </w:tr>
      <w:tr w:rsidR="002C3E4B" w:rsidRPr="00020050" w14:paraId="046176B6" w14:textId="77777777" w:rsidTr="002C3E4B">
        <w:trPr>
          <w:trHeight w:val="340"/>
        </w:trPr>
        <w:tc>
          <w:tcPr>
            <w:tcW w:w="6091" w:type="dxa"/>
            <w:noWrap/>
            <w:vAlign w:val="center"/>
            <w:hideMark/>
          </w:tcPr>
          <w:p w14:paraId="6F6EB84F" w14:textId="77777777" w:rsidR="002C3E4B" w:rsidRPr="00020050" w:rsidRDefault="002C3E4B" w:rsidP="002C3E4B">
            <w:pPr>
              <w:rPr>
                <w:rFonts w:ascii="Arial" w:hAnsi="Arial" w:cs="Arial"/>
                <w:b/>
                <w:sz w:val="24"/>
                <w:szCs w:val="24"/>
                <w:lang w:eastAsia="en-AU"/>
              </w:rPr>
            </w:pPr>
            <w:r w:rsidRPr="00020050">
              <w:rPr>
                <w:rFonts w:ascii="Arial" w:hAnsi="Arial" w:cs="Arial"/>
                <w:b/>
                <w:sz w:val="24"/>
                <w:szCs w:val="24"/>
                <w:lang w:eastAsia="en-AU"/>
              </w:rPr>
              <w:t>Total non-cancellable operating lease receivables</w:t>
            </w:r>
          </w:p>
        </w:tc>
        <w:tc>
          <w:tcPr>
            <w:tcW w:w="1814" w:type="dxa"/>
            <w:shd w:val="clear" w:color="auto" w:fill="auto"/>
            <w:noWrap/>
            <w:vAlign w:val="center"/>
            <w:hideMark/>
          </w:tcPr>
          <w:p w14:paraId="05A1950E" w14:textId="77777777" w:rsidR="002C3E4B" w:rsidRPr="00020050" w:rsidRDefault="002C3E4B" w:rsidP="002C3E4B">
            <w:pPr>
              <w:jc w:val="right"/>
              <w:rPr>
                <w:rFonts w:ascii="Arial" w:hAnsi="Arial" w:cs="Arial"/>
                <w:b/>
                <w:sz w:val="24"/>
                <w:szCs w:val="24"/>
                <w:lang w:eastAsia="en-AU"/>
              </w:rPr>
            </w:pPr>
            <w:r w:rsidRPr="00020050">
              <w:rPr>
                <w:rFonts w:ascii="Arial" w:hAnsi="Arial" w:cs="Arial"/>
                <w:b/>
                <w:sz w:val="24"/>
                <w:szCs w:val="24"/>
                <w:lang w:eastAsia="en-AU"/>
              </w:rPr>
              <w:t xml:space="preserve">114,516 </w:t>
            </w:r>
          </w:p>
        </w:tc>
        <w:tc>
          <w:tcPr>
            <w:tcW w:w="1814" w:type="dxa"/>
            <w:noWrap/>
            <w:vAlign w:val="center"/>
            <w:hideMark/>
          </w:tcPr>
          <w:p w14:paraId="22DFF25C" w14:textId="77777777" w:rsidR="002C3E4B" w:rsidRPr="00020050" w:rsidRDefault="002C3E4B" w:rsidP="002C3E4B">
            <w:pPr>
              <w:jc w:val="right"/>
              <w:rPr>
                <w:rFonts w:ascii="Arial" w:hAnsi="Arial" w:cs="Arial"/>
                <w:b/>
                <w:sz w:val="24"/>
                <w:szCs w:val="24"/>
                <w:lang w:eastAsia="en-AU"/>
              </w:rPr>
            </w:pPr>
            <w:r w:rsidRPr="00020050">
              <w:rPr>
                <w:rFonts w:ascii="Arial" w:hAnsi="Arial" w:cs="Arial"/>
                <w:b/>
                <w:sz w:val="24"/>
                <w:szCs w:val="24"/>
              </w:rPr>
              <w:t>-</w:t>
            </w:r>
          </w:p>
        </w:tc>
      </w:tr>
    </w:tbl>
    <w:p w14:paraId="56E96C63" w14:textId="77777777" w:rsidR="003E5BF5" w:rsidRDefault="003E5BF5" w:rsidP="00DE1921"/>
    <w:p w14:paraId="53F008E0" w14:textId="77777777" w:rsidR="003E5BF5" w:rsidRPr="007146DA" w:rsidRDefault="003E5BF5" w:rsidP="00DE1921">
      <w:pPr>
        <w:sectPr w:rsidR="003E5BF5" w:rsidRPr="007146DA" w:rsidSect="00DE1921">
          <w:type w:val="continuous"/>
          <w:pgSz w:w="11906" w:h="16838"/>
          <w:pgMar w:top="1701" w:right="1418" w:bottom="1418" w:left="1418" w:header="708" w:footer="708" w:gutter="0"/>
          <w:cols w:space="708"/>
          <w:docGrid w:linePitch="360"/>
        </w:sectPr>
      </w:pPr>
    </w:p>
    <w:p w14:paraId="5D6E773A" w14:textId="77777777" w:rsidR="003E5BF5" w:rsidRDefault="003E5BF5" w:rsidP="006667CC">
      <w:pPr>
        <w:pStyle w:val="Heading3"/>
        <w:numPr>
          <w:ilvl w:val="2"/>
          <w:numId w:val="3"/>
        </w:numPr>
        <w:sectPr w:rsidR="003E5BF5" w:rsidSect="00DE1921">
          <w:headerReference w:type="even" r:id="rId77"/>
          <w:headerReference w:type="default" r:id="rId78"/>
          <w:headerReference w:type="first" r:id="rId79"/>
          <w:type w:val="continuous"/>
          <w:pgSz w:w="11906" w:h="16838" w:code="9"/>
          <w:pgMar w:top="1701" w:right="1418" w:bottom="1418" w:left="1418" w:header="709" w:footer="709" w:gutter="0"/>
          <w:cols w:num="2" w:space="284"/>
          <w:docGrid w:linePitch="360"/>
        </w:sectPr>
      </w:pPr>
      <w:bookmarkStart w:id="148" w:name="_Toc521959737"/>
      <w:bookmarkStart w:id="149" w:name="_Toc529183616"/>
      <w:bookmarkStart w:id="150" w:name="_Toc529197887"/>
      <w:bookmarkStart w:id="151" w:name="_Toc529197981"/>
      <w:bookmarkStart w:id="152" w:name="_Toc530386178"/>
      <w:bookmarkStart w:id="153" w:name="_Toc530404072"/>
      <w:bookmarkStart w:id="154" w:name="SEC3"/>
      <w:bookmarkEnd w:id="90"/>
    </w:p>
    <w:p w14:paraId="621F7EF9" w14:textId="77777777" w:rsidR="003E5BF5" w:rsidRPr="00EF1925" w:rsidRDefault="003E5BF5" w:rsidP="006667CC">
      <w:pPr>
        <w:pStyle w:val="Heading1"/>
        <w:numPr>
          <w:ilvl w:val="0"/>
          <w:numId w:val="3"/>
        </w:numPr>
        <w:sectPr w:rsidR="003E5BF5" w:rsidRPr="00EF1925" w:rsidSect="00DE1921">
          <w:headerReference w:type="even" r:id="rId80"/>
          <w:headerReference w:type="default" r:id="rId81"/>
          <w:headerReference w:type="first" r:id="rId82"/>
          <w:pgSz w:w="11906" w:h="16838"/>
          <w:pgMar w:top="1701" w:right="1418" w:bottom="1418" w:left="1418" w:header="708" w:footer="708" w:gutter="0"/>
          <w:cols w:space="708"/>
          <w:docGrid w:linePitch="360"/>
        </w:sectPr>
      </w:pPr>
      <w:bookmarkStart w:id="155" w:name="_Toc55130691"/>
      <w:r w:rsidRPr="00EF1925">
        <w:lastRenderedPageBreak/>
        <w:t>THE COST OF DELIVERING SERVICES</w:t>
      </w:r>
      <w:bookmarkEnd w:id="155"/>
    </w:p>
    <w:p w14:paraId="6D56F564" w14:textId="77777777" w:rsidR="003E5BF5" w:rsidRPr="00EF1925" w:rsidRDefault="003E5BF5" w:rsidP="008A0170">
      <w:pPr>
        <w:pStyle w:val="Heading2"/>
      </w:pPr>
      <w:bookmarkStart w:id="156" w:name="_Toc53420604"/>
      <w:r w:rsidRPr="00EF1925">
        <w:t>Introduction</w:t>
      </w:r>
      <w:bookmarkEnd w:id="156"/>
    </w:p>
    <w:p w14:paraId="5E4CE02F" w14:textId="77777777" w:rsidR="00300F67" w:rsidRDefault="003E5BF5" w:rsidP="005D79E1">
      <w:pPr>
        <w:pStyle w:val="aaatyping"/>
      </w:pPr>
      <w:r w:rsidRPr="007444F0">
        <w:t xml:space="preserve">This section provides an account of the expenses incurred by the </w:t>
      </w:r>
      <w:r>
        <w:t>d</w:t>
      </w:r>
      <w:r w:rsidRPr="007444F0">
        <w:t>epartment in delivering services and outputs. In Note 2 Funding delivery of our services, the funds that enable the provision of services were disclosed. Note 4 Disaggregated financial information by output, discloses aggregated information in relation to the income and expenses by output.</w:t>
      </w:r>
    </w:p>
    <w:p w14:paraId="3C10DC7D" w14:textId="5860EE08" w:rsidR="003E5BF5" w:rsidRPr="00372488" w:rsidRDefault="003E5BF5" w:rsidP="00F70E3A">
      <w:pPr>
        <w:pStyle w:val="Heading2"/>
        <w:rPr>
          <w:color w:val="00B2A9"/>
          <w:sz w:val="32"/>
          <w:szCs w:val="28"/>
        </w:rPr>
      </w:pPr>
      <w:r w:rsidRPr="00F70E3A">
        <w:t>Structure</w:t>
      </w:r>
    </w:p>
    <w:p w14:paraId="6DE77542" w14:textId="11345B94" w:rsidR="003E5BF5" w:rsidRPr="00F37562" w:rsidRDefault="003E5BF5" w:rsidP="00796906">
      <w:pPr>
        <w:pStyle w:val="TOC1"/>
        <w:rPr>
          <w:rStyle w:val="Hyperlink"/>
        </w:rPr>
      </w:pPr>
      <w:r w:rsidRPr="007444F0">
        <w:rPr>
          <w:rFonts w:cstheme="minorBidi"/>
          <w:sz w:val="28"/>
          <w:szCs w:val="22"/>
        </w:rPr>
        <w:fldChar w:fldCharType="begin"/>
      </w:r>
      <w:r w:rsidRPr="007444F0">
        <w:instrText xml:space="preserve"> TOC \t "Heading 2,1"  \b SEC3 \h  \* MERGEFORMAT </w:instrText>
      </w:r>
      <w:r w:rsidRPr="007444F0">
        <w:rPr>
          <w:rFonts w:cstheme="minorBidi"/>
          <w:sz w:val="28"/>
          <w:szCs w:val="22"/>
        </w:rPr>
        <w:fldChar w:fldCharType="separate"/>
      </w:r>
      <w:hyperlink w:anchor="_Toc41471419" w:history="1">
        <w:r w:rsidRPr="00297231">
          <w:rPr>
            <w:rStyle w:val="Hyperlink"/>
          </w:rPr>
          <w:t>3.1Employee benefits</w:t>
        </w:r>
        <w:r w:rsidRPr="00F37562">
          <w:rPr>
            <w:rStyle w:val="Hyperlink"/>
          </w:rPr>
          <w:tab/>
        </w:r>
        <w:r w:rsidRPr="00F37562">
          <w:rPr>
            <w:rStyle w:val="Hyperlink"/>
          </w:rPr>
          <w:fldChar w:fldCharType="begin"/>
        </w:r>
        <w:r w:rsidRPr="00F37562">
          <w:rPr>
            <w:rStyle w:val="Hyperlink"/>
          </w:rPr>
          <w:instrText xml:space="preserve"> PAGEREF _Toc41471419 \h </w:instrText>
        </w:r>
        <w:r w:rsidRPr="00F37562">
          <w:rPr>
            <w:rStyle w:val="Hyperlink"/>
          </w:rPr>
        </w:r>
        <w:r w:rsidRPr="00F37562">
          <w:rPr>
            <w:rStyle w:val="Hyperlink"/>
          </w:rPr>
          <w:fldChar w:fldCharType="separate"/>
        </w:r>
        <w:r w:rsidR="002554E0">
          <w:rPr>
            <w:rStyle w:val="Hyperlink"/>
          </w:rPr>
          <w:t>92</w:t>
        </w:r>
        <w:r w:rsidRPr="00F37562">
          <w:rPr>
            <w:rStyle w:val="Hyperlink"/>
          </w:rPr>
          <w:fldChar w:fldCharType="end"/>
        </w:r>
      </w:hyperlink>
    </w:p>
    <w:p w14:paraId="638A5A9D" w14:textId="365B529C" w:rsidR="003E5BF5" w:rsidRPr="00F37562" w:rsidRDefault="009B2DDD" w:rsidP="00796906">
      <w:pPr>
        <w:pStyle w:val="TOC1"/>
        <w:rPr>
          <w:rStyle w:val="Hyperlink"/>
        </w:rPr>
      </w:pPr>
      <w:hyperlink w:anchor="_Toc41471420" w:history="1">
        <w:r w:rsidR="003E5BF5" w:rsidRPr="00297231">
          <w:rPr>
            <w:rStyle w:val="Hyperlink"/>
          </w:rPr>
          <w:t>3.2Grant expenses</w:t>
        </w:r>
        <w:r w:rsidR="003E5BF5" w:rsidRPr="00F37562">
          <w:rPr>
            <w:rStyle w:val="Hyperlink"/>
          </w:rPr>
          <w:tab/>
        </w:r>
        <w:r w:rsidR="003E5BF5" w:rsidRPr="00F37562">
          <w:rPr>
            <w:rStyle w:val="Hyperlink"/>
          </w:rPr>
          <w:fldChar w:fldCharType="begin"/>
        </w:r>
        <w:r w:rsidR="003E5BF5" w:rsidRPr="00F37562">
          <w:rPr>
            <w:rStyle w:val="Hyperlink"/>
          </w:rPr>
          <w:instrText xml:space="preserve"> PAGEREF _Toc41471420 \h </w:instrText>
        </w:r>
        <w:r w:rsidR="003E5BF5" w:rsidRPr="00F37562">
          <w:rPr>
            <w:rStyle w:val="Hyperlink"/>
          </w:rPr>
        </w:r>
        <w:r w:rsidR="003E5BF5" w:rsidRPr="00F37562">
          <w:rPr>
            <w:rStyle w:val="Hyperlink"/>
          </w:rPr>
          <w:fldChar w:fldCharType="separate"/>
        </w:r>
        <w:r w:rsidR="002554E0">
          <w:rPr>
            <w:rStyle w:val="Hyperlink"/>
          </w:rPr>
          <w:t>97</w:t>
        </w:r>
        <w:r w:rsidR="003E5BF5" w:rsidRPr="00F37562">
          <w:rPr>
            <w:rStyle w:val="Hyperlink"/>
          </w:rPr>
          <w:fldChar w:fldCharType="end"/>
        </w:r>
      </w:hyperlink>
    </w:p>
    <w:p w14:paraId="4DC319C4" w14:textId="3CAF36AC" w:rsidR="003E5BF5" w:rsidRPr="00F37562" w:rsidRDefault="009B2DDD" w:rsidP="00796906">
      <w:pPr>
        <w:pStyle w:val="TOC1"/>
        <w:rPr>
          <w:rStyle w:val="Hyperlink"/>
        </w:rPr>
      </w:pPr>
      <w:hyperlink w:anchor="_Toc41471421" w:history="1">
        <w:r w:rsidR="003E5BF5" w:rsidRPr="00297231">
          <w:rPr>
            <w:rStyle w:val="Hyperlink"/>
          </w:rPr>
          <w:t>3.3Capital asset charge</w:t>
        </w:r>
        <w:r w:rsidR="003E5BF5" w:rsidRPr="00F37562">
          <w:rPr>
            <w:rStyle w:val="Hyperlink"/>
          </w:rPr>
          <w:tab/>
        </w:r>
        <w:r w:rsidR="003E5BF5" w:rsidRPr="00F37562">
          <w:rPr>
            <w:rStyle w:val="Hyperlink"/>
          </w:rPr>
          <w:fldChar w:fldCharType="begin"/>
        </w:r>
        <w:r w:rsidR="003E5BF5" w:rsidRPr="00F37562">
          <w:rPr>
            <w:rStyle w:val="Hyperlink"/>
          </w:rPr>
          <w:instrText xml:space="preserve"> PAGEREF _Toc41471421 \h </w:instrText>
        </w:r>
        <w:r w:rsidR="003E5BF5" w:rsidRPr="00F37562">
          <w:rPr>
            <w:rStyle w:val="Hyperlink"/>
          </w:rPr>
        </w:r>
        <w:r w:rsidR="003E5BF5" w:rsidRPr="00F37562">
          <w:rPr>
            <w:rStyle w:val="Hyperlink"/>
          </w:rPr>
          <w:fldChar w:fldCharType="separate"/>
        </w:r>
        <w:r w:rsidR="002554E0">
          <w:rPr>
            <w:rStyle w:val="Hyperlink"/>
          </w:rPr>
          <w:t>99</w:t>
        </w:r>
        <w:r w:rsidR="003E5BF5" w:rsidRPr="00F37562">
          <w:rPr>
            <w:rStyle w:val="Hyperlink"/>
          </w:rPr>
          <w:fldChar w:fldCharType="end"/>
        </w:r>
      </w:hyperlink>
    </w:p>
    <w:p w14:paraId="50C06126" w14:textId="1563E969" w:rsidR="003E5BF5" w:rsidRPr="00F37562" w:rsidRDefault="009B2DDD" w:rsidP="00796906">
      <w:pPr>
        <w:pStyle w:val="TOC1"/>
        <w:rPr>
          <w:rStyle w:val="Hyperlink"/>
        </w:rPr>
      </w:pPr>
      <w:hyperlink w:anchor="_Toc41471422" w:history="1">
        <w:r w:rsidR="003E5BF5" w:rsidRPr="00297231">
          <w:rPr>
            <w:rStyle w:val="Hyperlink"/>
          </w:rPr>
          <w:t>3.4Payments to public transport service providers</w:t>
        </w:r>
        <w:r w:rsidR="003E5BF5" w:rsidRPr="00F37562">
          <w:rPr>
            <w:rStyle w:val="Hyperlink"/>
          </w:rPr>
          <w:tab/>
        </w:r>
        <w:r w:rsidR="003E5BF5" w:rsidRPr="00F37562">
          <w:rPr>
            <w:rStyle w:val="Hyperlink"/>
          </w:rPr>
          <w:fldChar w:fldCharType="begin"/>
        </w:r>
        <w:r w:rsidR="003E5BF5" w:rsidRPr="00F37562">
          <w:rPr>
            <w:rStyle w:val="Hyperlink"/>
          </w:rPr>
          <w:instrText xml:space="preserve"> PAGEREF _Toc41471422 \h </w:instrText>
        </w:r>
        <w:r w:rsidR="003E5BF5" w:rsidRPr="00F37562">
          <w:rPr>
            <w:rStyle w:val="Hyperlink"/>
          </w:rPr>
        </w:r>
        <w:r w:rsidR="003E5BF5" w:rsidRPr="00F37562">
          <w:rPr>
            <w:rStyle w:val="Hyperlink"/>
          </w:rPr>
          <w:fldChar w:fldCharType="separate"/>
        </w:r>
        <w:r w:rsidR="002554E0">
          <w:rPr>
            <w:rStyle w:val="Hyperlink"/>
          </w:rPr>
          <w:t>99</w:t>
        </w:r>
        <w:r w:rsidR="003E5BF5" w:rsidRPr="00F37562">
          <w:rPr>
            <w:rStyle w:val="Hyperlink"/>
          </w:rPr>
          <w:fldChar w:fldCharType="end"/>
        </w:r>
      </w:hyperlink>
    </w:p>
    <w:p w14:paraId="7F5BCCB0" w14:textId="3160FB77" w:rsidR="003E5BF5" w:rsidRPr="00F37562" w:rsidRDefault="009B2DDD" w:rsidP="00796906">
      <w:pPr>
        <w:pStyle w:val="TOC1"/>
        <w:rPr>
          <w:rStyle w:val="Hyperlink"/>
        </w:rPr>
      </w:pPr>
      <w:hyperlink w:anchor="_Toc41471423" w:history="1">
        <w:r w:rsidR="003E5BF5" w:rsidRPr="00297231">
          <w:rPr>
            <w:rStyle w:val="Hyperlink"/>
          </w:rPr>
          <w:t>3.5Other operating expenses</w:t>
        </w:r>
        <w:r w:rsidR="003E5BF5" w:rsidRPr="00F37562">
          <w:rPr>
            <w:rStyle w:val="Hyperlink"/>
          </w:rPr>
          <w:tab/>
        </w:r>
        <w:r w:rsidR="003E5BF5" w:rsidRPr="00F37562">
          <w:rPr>
            <w:rStyle w:val="Hyperlink"/>
          </w:rPr>
          <w:fldChar w:fldCharType="begin"/>
        </w:r>
        <w:r w:rsidR="003E5BF5" w:rsidRPr="00F37562">
          <w:rPr>
            <w:rStyle w:val="Hyperlink"/>
          </w:rPr>
          <w:instrText xml:space="preserve"> PAGEREF _Toc41471423 \h </w:instrText>
        </w:r>
        <w:r w:rsidR="003E5BF5" w:rsidRPr="00F37562">
          <w:rPr>
            <w:rStyle w:val="Hyperlink"/>
          </w:rPr>
        </w:r>
        <w:r w:rsidR="003E5BF5" w:rsidRPr="00F37562">
          <w:rPr>
            <w:rStyle w:val="Hyperlink"/>
          </w:rPr>
          <w:fldChar w:fldCharType="separate"/>
        </w:r>
        <w:r w:rsidR="002554E0">
          <w:rPr>
            <w:rStyle w:val="Hyperlink"/>
          </w:rPr>
          <w:t>100</w:t>
        </w:r>
        <w:r w:rsidR="003E5BF5" w:rsidRPr="00F37562">
          <w:rPr>
            <w:rStyle w:val="Hyperlink"/>
          </w:rPr>
          <w:fldChar w:fldCharType="end"/>
        </w:r>
      </w:hyperlink>
    </w:p>
    <w:p w14:paraId="46FC3D85" w14:textId="129FCD11" w:rsidR="003E5BF5" w:rsidRPr="00EF1925" w:rsidRDefault="003E5BF5" w:rsidP="00A50369">
      <w:pPr>
        <w:pStyle w:val="Heading2"/>
      </w:pPr>
      <w:r w:rsidRPr="007444F0">
        <w:fldChar w:fldCharType="end"/>
      </w:r>
      <w:bookmarkStart w:id="157" w:name="_Toc41471419"/>
      <w:bookmarkStart w:id="158" w:name="_Toc53420605"/>
      <w:r w:rsidRPr="00EF1925">
        <w:t xml:space="preserve">Employee </w:t>
      </w:r>
      <w:r w:rsidRPr="00C053FA">
        <w:t>benefits</w:t>
      </w:r>
      <w:bookmarkEnd w:id="157"/>
      <w:bookmarkEnd w:id="158"/>
    </w:p>
    <w:p w14:paraId="55D0F9D9" w14:textId="77777777" w:rsidR="003E5BF5" w:rsidRPr="0007767D" w:rsidRDefault="003E5BF5" w:rsidP="006667CC">
      <w:pPr>
        <w:pStyle w:val="Heading3"/>
        <w:numPr>
          <w:ilvl w:val="2"/>
          <w:numId w:val="3"/>
        </w:numPr>
        <w:ind w:left="851" w:hanging="851"/>
      </w:pPr>
      <w:bookmarkStart w:id="159" w:name="_Employee_benefits_in_1"/>
      <w:bookmarkEnd w:id="159"/>
      <w:r w:rsidRPr="0007767D">
        <w:t>Employee benefits in the comprehensive operating statement</w:t>
      </w:r>
      <w:bookmarkStart w:id="160" w:name="RANGE!A3:G9"/>
      <w:bookmarkEnd w:id="160"/>
    </w:p>
    <w:tbl>
      <w:tblPr>
        <w:tblStyle w:val="TableGrid"/>
        <w:tblW w:w="9072" w:type="dxa"/>
        <w:tblLayout w:type="fixed"/>
        <w:tblLook w:val="04A0" w:firstRow="1" w:lastRow="0" w:firstColumn="1" w:lastColumn="0" w:noHBand="0" w:noVBand="1"/>
      </w:tblPr>
      <w:tblGrid>
        <w:gridCol w:w="5644"/>
        <w:gridCol w:w="1714"/>
        <w:gridCol w:w="1714"/>
      </w:tblGrid>
      <w:tr w:rsidR="00313E15" w:rsidRPr="00020050" w14:paraId="623588E7" w14:textId="77777777" w:rsidTr="00313E15">
        <w:trPr>
          <w:trHeight w:val="340"/>
        </w:trPr>
        <w:tc>
          <w:tcPr>
            <w:tcW w:w="6012" w:type="dxa"/>
            <w:shd w:val="clear" w:color="auto" w:fill="auto"/>
            <w:noWrap/>
            <w:hideMark/>
          </w:tcPr>
          <w:p w14:paraId="4D0DCE33" w14:textId="77777777" w:rsidR="00313E15" w:rsidRPr="00020050" w:rsidRDefault="00313E15" w:rsidP="00313E15">
            <w:pPr>
              <w:rPr>
                <w:rFonts w:ascii="Arial" w:hAnsi="Arial" w:cs="Arial"/>
                <w:sz w:val="24"/>
                <w:szCs w:val="24"/>
                <w:lang w:eastAsia="en-AU"/>
              </w:rPr>
            </w:pPr>
          </w:p>
        </w:tc>
        <w:tc>
          <w:tcPr>
            <w:tcW w:w="1814" w:type="dxa"/>
            <w:shd w:val="clear" w:color="auto" w:fill="auto"/>
            <w:noWrap/>
            <w:vAlign w:val="center"/>
            <w:hideMark/>
          </w:tcPr>
          <w:p w14:paraId="10CF54EE" w14:textId="77777777" w:rsidR="00313E15" w:rsidRPr="00020050" w:rsidRDefault="00313E15" w:rsidP="00313E15">
            <w:pPr>
              <w:jc w:val="center"/>
              <w:rPr>
                <w:rFonts w:ascii="Arial" w:hAnsi="Arial" w:cs="Arial"/>
                <w:b/>
                <w:sz w:val="24"/>
                <w:szCs w:val="24"/>
                <w:lang w:eastAsia="en-AU"/>
              </w:rPr>
            </w:pPr>
            <w:r w:rsidRPr="00020050">
              <w:rPr>
                <w:rFonts w:ascii="Arial" w:hAnsi="Arial" w:cs="Arial"/>
                <w:b/>
                <w:sz w:val="24"/>
                <w:szCs w:val="24"/>
                <w:lang w:eastAsia="en-AU"/>
              </w:rPr>
              <w:t>($ thousand)</w:t>
            </w:r>
          </w:p>
        </w:tc>
        <w:tc>
          <w:tcPr>
            <w:tcW w:w="1814" w:type="dxa"/>
            <w:shd w:val="clear" w:color="auto" w:fill="auto"/>
            <w:vAlign w:val="center"/>
          </w:tcPr>
          <w:p w14:paraId="25AC6899" w14:textId="14D22805" w:rsidR="00313E15" w:rsidRPr="00020050" w:rsidRDefault="00313E15" w:rsidP="00313E15">
            <w:pPr>
              <w:jc w:val="center"/>
              <w:rPr>
                <w:rFonts w:ascii="Arial" w:hAnsi="Arial" w:cs="Arial"/>
                <w:b/>
                <w:sz w:val="24"/>
                <w:szCs w:val="24"/>
                <w:lang w:eastAsia="en-AU"/>
              </w:rPr>
            </w:pPr>
            <w:r w:rsidRPr="00D71A00">
              <w:rPr>
                <w:rFonts w:ascii="Arial" w:hAnsi="Arial" w:cs="Arial"/>
                <w:b/>
                <w:sz w:val="24"/>
                <w:szCs w:val="24"/>
                <w:lang w:eastAsia="en-AU"/>
              </w:rPr>
              <w:t>($ thousand)</w:t>
            </w:r>
          </w:p>
        </w:tc>
      </w:tr>
      <w:tr w:rsidR="00313E15" w:rsidRPr="00020050" w14:paraId="5D99A8C4" w14:textId="77777777" w:rsidTr="00313E15">
        <w:trPr>
          <w:trHeight w:val="340"/>
        </w:trPr>
        <w:tc>
          <w:tcPr>
            <w:tcW w:w="6012" w:type="dxa"/>
            <w:shd w:val="clear" w:color="auto" w:fill="auto"/>
            <w:noWrap/>
            <w:hideMark/>
          </w:tcPr>
          <w:p w14:paraId="3AD1DF29" w14:textId="77777777" w:rsidR="00313E15" w:rsidRPr="00020050" w:rsidRDefault="00313E15" w:rsidP="00313E15">
            <w:pPr>
              <w:rPr>
                <w:rFonts w:ascii="Arial" w:hAnsi="Arial" w:cs="Arial"/>
                <w:b/>
                <w:sz w:val="24"/>
                <w:szCs w:val="24"/>
                <w:lang w:eastAsia="en-AU"/>
              </w:rPr>
            </w:pPr>
          </w:p>
        </w:tc>
        <w:tc>
          <w:tcPr>
            <w:tcW w:w="1814" w:type="dxa"/>
            <w:shd w:val="clear" w:color="auto" w:fill="auto"/>
            <w:vAlign w:val="center"/>
            <w:hideMark/>
          </w:tcPr>
          <w:p w14:paraId="206AE82F" w14:textId="77777777" w:rsidR="00313E15" w:rsidRPr="00020050" w:rsidRDefault="00313E15" w:rsidP="00313E15">
            <w:pPr>
              <w:jc w:val="right"/>
              <w:rPr>
                <w:rFonts w:ascii="Arial" w:hAnsi="Arial" w:cs="Arial"/>
                <w:b/>
                <w:sz w:val="24"/>
                <w:szCs w:val="24"/>
                <w:lang w:eastAsia="en-AU"/>
              </w:rPr>
            </w:pPr>
            <w:r w:rsidRPr="00020050">
              <w:rPr>
                <w:rFonts w:ascii="Arial" w:hAnsi="Arial" w:cs="Arial"/>
                <w:b/>
                <w:sz w:val="24"/>
                <w:szCs w:val="24"/>
                <w:lang w:eastAsia="en-AU"/>
              </w:rPr>
              <w:t>2020</w:t>
            </w:r>
          </w:p>
        </w:tc>
        <w:tc>
          <w:tcPr>
            <w:tcW w:w="1814" w:type="dxa"/>
            <w:shd w:val="clear" w:color="auto" w:fill="auto"/>
            <w:vAlign w:val="center"/>
            <w:hideMark/>
          </w:tcPr>
          <w:p w14:paraId="405A2712" w14:textId="77777777" w:rsidR="00313E15" w:rsidRPr="00020050" w:rsidRDefault="00313E15" w:rsidP="00313E15">
            <w:pPr>
              <w:jc w:val="right"/>
              <w:rPr>
                <w:rFonts w:ascii="Arial" w:hAnsi="Arial" w:cs="Arial"/>
                <w:b/>
                <w:sz w:val="24"/>
                <w:szCs w:val="24"/>
                <w:lang w:eastAsia="en-AU"/>
              </w:rPr>
            </w:pPr>
            <w:r w:rsidRPr="00020050">
              <w:rPr>
                <w:rFonts w:ascii="Arial" w:hAnsi="Arial" w:cs="Arial"/>
                <w:b/>
                <w:sz w:val="24"/>
                <w:szCs w:val="24"/>
                <w:lang w:eastAsia="en-AU"/>
              </w:rPr>
              <w:t>2019</w:t>
            </w:r>
          </w:p>
        </w:tc>
      </w:tr>
      <w:tr w:rsidR="00313E15" w:rsidRPr="00020050" w14:paraId="0BBCBEAE" w14:textId="77777777" w:rsidTr="00313E15">
        <w:trPr>
          <w:trHeight w:val="340"/>
        </w:trPr>
        <w:tc>
          <w:tcPr>
            <w:tcW w:w="6012" w:type="dxa"/>
            <w:shd w:val="clear" w:color="auto" w:fill="auto"/>
            <w:noWrap/>
            <w:vAlign w:val="center"/>
          </w:tcPr>
          <w:p w14:paraId="6AEC4F20" w14:textId="77777777" w:rsidR="00313E15" w:rsidRPr="00020050" w:rsidRDefault="00313E15" w:rsidP="00313E15">
            <w:pPr>
              <w:pStyle w:val="TableTextGreen"/>
            </w:pPr>
            <w:r w:rsidRPr="00020050">
              <w:t>Employee Benefits</w:t>
            </w:r>
          </w:p>
        </w:tc>
        <w:tc>
          <w:tcPr>
            <w:tcW w:w="1814" w:type="dxa"/>
            <w:shd w:val="clear" w:color="auto" w:fill="auto"/>
            <w:noWrap/>
            <w:vAlign w:val="center"/>
          </w:tcPr>
          <w:p w14:paraId="06A47C5C" w14:textId="77777777" w:rsidR="00313E15" w:rsidRPr="00020050" w:rsidRDefault="00313E15" w:rsidP="00313E15">
            <w:pPr>
              <w:jc w:val="right"/>
              <w:rPr>
                <w:rFonts w:ascii="Arial" w:hAnsi="Arial" w:cs="Arial"/>
                <w:sz w:val="24"/>
                <w:szCs w:val="24"/>
              </w:rPr>
            </w:pPr>
          </w:p>
        </w:tc>
        <w:tc>
          <w:tcPr>
            <w:tcW w:w="1814" w:type="dxa"/>
            <w:shd w:val="clear" w:color="auto" w:fill="auto"/>
            <w:noWrap/>
            <w:vAlign w:val="center"/>
          </w:tcPr>
          <w:p w14:paraId="6F43811A" w14:textId="77777777" w:rsidR="00313E15" w:rsidRPr="00020050" w:rsidRDefault="00313E15" w:rsidP="00313E15">
            <w:pPr>
              <w:jc w:val="right"/>
              <w:rPr>
                <w:rFonts w:ascii="Arial" w:hAnsi="Arial" w:cs="Arial"/>
                <w:sz w:val="24"/>
                <w:szCs w:val="24"/>
              </w:rPr>
            </w:pPr>
          </w:p>
        </w:tc>
      </w:tr>
      <w:tr w:rsidR="00313E15" w:rsidRPr="00020050" w14:paraId="06CC0C13" w14:textId="77777777" w:rsidTr="00313E15">
        <w:trPr>
          <w:trHeight w:val="340"/>
        </w:trPr>
        <w:tc>
          <w:tcPr>
            <w:tcW w:w="6012" w:type="dxa"/>
            <w:shd w:val="clear" w:color="auto" w:fill="auto"/>
            <w:noWrap/>
            <w:vAlign w:val="center"/>
            <w:hideMark/>
          </w:tcPr>
          <w:p w14:paraId="62EBD2FB" w14:textId="77777777" w:rsidR="00313E15" w:rsidRPr="00020050" w:rsidRDefault="00313E15" w:rsidP="00313E15">
            <w:pPr>
              <w:rPr>
                <w:rFonts w:ascii="Arial" w:hAnsi="Arial" w:cs="Arial"/>
                <w:sz w:val="24"/>
                <w:szCs w:val="24"/>
                <w:lang w:eastAsia="en-AU"/>
              </w:rPr>
            </w:pPr>
            <w:r w:rsidRPr="00020050">
              <w:rPr>
                <w:rFonts w:ascii="Arial" w:hAnsi="Arial" w:cs="Arial"/>
                <w:sz w:val="24"/>
                <w:szCs w:val="24"/>
                <w:lang w:eastAsia="en-AU"/>
              </w:rPr>
              <w:t>Salaries and wages, annual leave, long service leave and on-costs</w:t>
            </w:r>
          </w:p>
        </w:tc>
        <w:tc>
          <w:tcPr>
            <w:tcW w:w="1814" w:type="dxa"/>
            <w:shd w:val="clear" w:color="auto" w:fill="auto"/>
            <w:noWrap/>
            <w:vAlign w:val="center"/>
            <w:hideMark/>
          </w:tcPr>
          <w:p w14:paraId="0C09C2C0" w14:textId="77777777" w:rsidR="00313E15" w:rsidRPr="00020050" w:rsidRDefault="00313E15" w:rsidP="00313E15">
            <w:pPr>
              <w:jc w:val="right"/>
              <w:rPr>
                <w:rFonts w:ascii="Arial" w:hAnsi="Arial" w:cs="Arial"/>
                <w:sz w:val="24"/>
                <w:szCs w:val="24"/>
                <w:lang w:eastAsia="en-AU"/>
              </w:rPr>
            </w:pPr>
            <w:r w:rsidRPr="00020050">
              <w:rPr>
                <w:rFonts w:ascii="Arial" w:hAnsi="Arial" w:cs="Arial"/>
                <w:sz w:val="24"/>
                <w:szCs w:val="24"/>
              </w:rPr>
              <w:t>(510,086)</w:t>
            </w:r>
          </w:p>
        </w:tc>
        <w:tc>
          <w:tcPr>
            <w:tcW w:w="1814" w:type="dxa"/>
            <w:shd w:val="clear" w:color="auto" w:fill="auto"/>
            <w:noWrap/>
            <w:vAlign w:val="center"/>
            <w:hideMark/>
          </w:tcPr>
          <w:p w14:paraId="6D80F1E0" w14:textId="77777777" w:rsidR="00313E15" w:rsidRPr="00020050" w:rsidRDefault="00313E15" w:rsidP="00313E15">
            <w:pPr>
              <w:jc w:val="right"/>
              <w:rPr>
                <w:rFonts w:ascii="Arial" w:hAnsi="Arial" w:cs="Arial"/>
                <w:sz w:val="24"/>
                <w:szCs w:val="24"/>
                <w:lang w:eastAsia="en-AU"/>
              </w:rPr>
            </w:pPr>
            <w:r w:rsidRPr="00020050">
              <w:rPr>
                <w:rFonts w:ascii="Arial" w:hAnsi="Arial" w:cs="Arial"/>
                <w:sz w:val="24"/>
                <w:szCs w:val="24"/>
              </w:rPr>
              <w:t>(294,132)</w:t>
            </w:r>
          </w:p>
        </w:tc>
      </w:tr>
      <w:tr w:rsidR="00313E15" w:rsidRPr="00020050" w14:paraId="64970562" w14:textId="77777777" w:rsidTr="00313E15">
        <w:trPr>
          <w:trHeight w:val="340"/>
        </w:trPr>
        <w:tc>
          <w:tcPr>
            <w:tcW w:w="6012" w:type="dxa"/>
            <w:shd w:val="clear" w:color="auto" w:fill="auto"/>
            <w:noWrap/>
            <w:vAlign w:val="center"/>
            <w:hideMark/>
          </w:tcPr>
          <w:p w14:paraId="5CF7E561" w14:textId="77777777" w:rsidR="00313E15" w:rsidRPr="00020050" w:rsidRDefault="00313E15" w:rsidP="00313E15">
            <w:pPr>
              <w:rPr>
                <w:rFonts w:ascii="Arial" w:hAnsi="Arial" w:cs="Arial"/>
                <w:sz w:val="24"/>
                <w:szCs w:val="24"/>
                <w:lang w:eastAsia="en-AU"/>
              </w:rPr>
            </w:pPr>
            <w:r w:rsidRPr="00020050">
              <w:rPr>
                <w:rFonts w:ascii="Arial" w:hAnsi="Arial" w:cs="Arial"/>
                <w:sz w:val="24"/>
                <w:szCs w:val="24"/>
                <w:lang w:eastAsia="en-AU"/>
              </w:rPr>
              <w:t>Defined contribution superannuation expense</w:t>
            </w:r>
          </w:p>
        </w:tc>
        <w:tc>
          <w:tcPr>
            <w:tcW w:w="1814" w:type="dxa"/>
            <w:shd w:val="clear" w:color="auto" w:fill="auto"/>
            <w:noWrap/>
            <w:vAlign w:val="center"/>
            <w:hideMark/>
          </w:tcPr>
          <w:p w14:paraId="2D27A816" w14:textId="77777777" w:rsidR="00313E15" w:rsidRPr="00020050" w:rsidRDefault="00313E15" w:rsidP="00313E15">
            <w:pPr>
              <w:jc w:val="right"/>
              <w:rPr>
                <w:rFonts w:ascii="Arial" w:hAnsi="Arial" w:cs="Arial"/>
                <w:sz w:val="24"/>
                <w:szCs w:val="24"/>
                <w:lang w:eastAsia="en-AU"/>
              </w:rPr>
            </w:pPr>
            <w:r w:rsidRPr="00020050">
              <w:rPr>
                <w:rFonts w:ascii="Arial" w:hAnsi="Arial" w:cs="Arial"/>
                <w:sz w:val="24"/>
                <w:szCs w:val="24"/>
              </w:rPr>
              <w:t>(65,348)</w:t>
            </w:r>
          </w:p>
        </w:tc>
        <w:tc>
          <w:tcPr>
            <w:tcW w:w="1814" w:type="dxa"/>
            <w:shd w:val="clear" w:color="auto" w:fill="auto"/>
            <w:noWrap/>
            <w:vAlign w:val="center"/>
            <w:hideMark/>
          </w:tcPr>
          <w:p w14:paraId="65681268" w14:textId="77777777" w:rsidR="00313E15" w:rsidRPr="00020050" w:rsidRDefault="00313E15" w:rsidP="00313E15">
            <w:pPr>
              <w:jc w:val="right"/>
              <w:rPr>
                <w:rFonts w:ascii="Arial" w:hAnsi="Arial" w:cs="Arial"/>
                <w:sz w:val="24"/>
                <w:szCs w:val="24"/>
                <w:lang w:eastAsia="en-AU"/>
              </w:rPr>
            </w:pPr>
            <w:r w:rsidRPr="00020050">
              <w:rPr>
                <w:rFonts w:ascii="Arial" w:hAnsi="Arial" w:cs="Arial"/>
                <w:sz w:val="24"/>
                <w:szCs w:val="24"/>
              </w:rPr>
              <w:t>(22,523)</w:t>
            </w:r>
          </w:p>
        </w:tc>
      </w:tr>
      <w:tr w:rsidR="00313E15" w:rsidRPr="00020050" w14:paraId="7A09276F" w14:textId="77777777" w:rsidTr="00313E15">
        <w:trPr>
          <w:trHeight w:val="340"/>
        </w:trPr>
        <w:tc>
          <w:tcPr>
            <w:tcW w:w="6012" w:type="dxa"/>
            <w:shd w:val="clear" w:color="auto" w:fill="auto"/>
            <w:noWrap/>
            <w:vAlign w:val="center"/>
            <w:hideMark/>
          </w:tcPr>
          <w:p w14:paraId="10B66622" w14:textId="77777777" w:rsidR="00313E15" w:rsidRPr="00020050" w:rsidRDefault="00313E15" w:rsidP="00313E15">
            <w:pPr>
              <w:rPr>
                <w:rFonts w:ascii="Arial" w:hAnsi="Arial" w:cs="Arial"/>
                <w:sz w:val="24"/>
                <w:szCs w:val="24"/>
                <w:lang w:eastAsia="en-AU"/>
              </w:rPr>
            </w:pPr>
            <w:r w:rsidRPr="00020050">
              <w:rPr>
                <w:rFonts w:ascii="Arial" w:hAnsi="Arial" w:cs="Arial"/>
                <w:sz w:val="24"/>
                <w:szCs w:val="24"/>
                <w:lang w:eastAsia="en-AU"/>
              </w:rPr>
              <w:t>Defined benefit superannuation expense</w:t>
            </w:r>
          </w:p>
        </w:tc>
        <w:tc>
          <w:tcPr>
            <w:tcW w:w="1814" w:type="dxa"/>
            <w:shd w:val="clear" w:color="auto" w:fill="auto"/>
            <w:noWrap/>
            <w:vAlign w:val="center"/>
            <w:hideMark/>
          </w:tcPr>
          <w:p w14:paraId="4078DE8C" w14:textId="77777777" w:rsidR="00313E15" w:rsidRPr="00020050" w:rsidRDefault="00313E15" w:rsidP="00313E15">
            <w:pPr>
              <w:jc w:val="right"/>
              <w:rPr>
                <w:rFonts w:ascii="Arial" w:hAnsi="Arial" w:cs="Arial"/>
                <w:sz w:val="24"/>
                <w:szCs w:val="24"/>
                <w:lang w:eastAsia="en-AU"/>
              </w:rPr>
            </w:pPr>
            <w:r w:rsidRPr="00020050">
              <w:rPr>
                <w:rFonts w:ascii="Arial" w:hAnsi="Arial" w:cs="Arial"/>
                <w:sz w:val="24"/>
                <w:szCs w:val="24"/>
              </w:rPr>
              <w:t>(7,145)</w:t>
            </w:r>
          </w:p>
        </w:tc>
        <w:tc>
          <w:tcPr>
            <w:tcW w:w="1814" w:type="dxa"/>
            <w:shd w:val="clear" w:color="auto" w:fill="auto"/>
            <w:noWrap/>
            <w:vAlign w:val="center"/>
            <w:hideMark/>
          </w:tcPr>
          <w:p w14:paraId="77FE8389" w14:textId="77777777" w:rsidR="00313E15" w:rsidRPr="00020050" w:rsidRDefault="00313E15" w:rsidP="00313E15">
            <w:pPr>
              <w:jc w:val="right"/>
              <w:rPr>
                <w:rFonts w:ascii="Arial" w:hAnsi="Arial" w:cs="Arial"/>
                <w:sz w:val="24"/>
                <w:szCs w:val="24"/>
                <w:lang w:eastAsia="en-AU"/>
              </w:rPr>
            </w:pPr>
            <w:r w:rsidRPr="00020050">
              <w:rPr>
                <w:rFonts w:ascii="Arial" w:hAnsi="Arial" w:cs="Arial"/>
                <w:sz w:val="24"/>
                <w:szCs w:val="24"/>
              </w:rPr>
              <w:t>(1,989)</w:t>
            </w:r>
          </w:p>
        </w:tc>
      </w:tr>
      <w:tr w:rsidR="00313E15" w:rsidRPr="00020050" w14:paraId="7C224191" w14:textId="77777777" w:rsidTr="00313E15">
        <w:trPr>
          <w:trHeight w:val="340"/>
        </w:trPr>
        <w:tc>
          <w:tcPr>
            <w:tcW w:w="6012" w:type="dxa"/>
            <w:shd w:val="clear" w:color="auto" w:fill="auto"/>
            <w:noWrap/>
            <w:vAlign w:val="center"/>
            <w:hideMark/>
          </w:tcPr>
          <w:p w14:paraId="4C3AD984" w14:textId="77777777" w:rsidR="00313E15" w:rsidRPr="00020050" w:rsidRDefault="00313E15" w:rsidP="00313E15">
            <w:pPr>
              <w:rPr>
                <w:rFonts w:ascii="Arial" w:hAnsi="Arial" w:cs="Arial"/>
                <w:sz w:val="24"/>
                <w:szCs w:val="24"/>
                <w:lang w:eastAsia="en-AU"/>
              </w:rPr>
            </w:pPr>
            <w:r w:rsidRPr="00020050">
              <w:rPr>
                <w:rFonts w:ascii="Arial" w:hAnsi="Arial" w:cs="Arial"/>
                <w:sz w:val="24"/>
                <w:szCs w:val="24"/>
                <w:lang w:eastAsia="en-AU"/>
              </w:rPr>
              <w:t>Termination benefits</w:t>
            </w:r>
          </w:p>
        </w:tc>
        <w:tc>
          <w:tcPr>
            <w:tcW w:w="1814" w:type="dxa"/>
            <w:shd w:val="clear" w:color="auto" w:fill="auto"/>
            <w:noWrap/>
            <w:vAlign w:val="center"/>
            <w:hideMark/>
          </w:tcPr>
          <w:p w14:paraId="08B7711A" w14:textId="77777777" w:rsidR="00313E15" w:rsidRPr="00020050" w:rsidRDefault="00313E15" w:rsidP="00313E15">
            <w:pPr>
              <w:jc w:val="right"/>
              <w:rPr>
                <w:rFonts w:ascii="Arial" w:hAnsi="Arial" w:cs="Arial"/>
                <w:sz w:val="24"/>
                <w:szCs w:val="24"/>
                <w:lang w:eastAsia="en-AU"/>
              </w:rPr>
            </w:pPr>
            <w:r w:rsidRPr="00020050">
              <w:rPr>
                <w:rFonts w:ascii="Arial" w:hAnsi="Arial" w:cs="Arial"/>
                <w:sz w:val="24"/>
                <w:szCs w:val="24"/>
              </w:rPr>
              <w:t>(3,358)</w:t>
            </w:r>
          </w:p>
        </w:tc>
        <w:tc>
          <w:tcPr>
            <w:tcW w:w="1814" w:type="dxa"/>
            <w:shd w:val="clear" w:color="auto" w:fill="auto"/>
            <w:noWrap/>
            <w:vAlign w:val="center"/>
            <w:hideMark/>
          </w:tcPr>
          <w:p w14:paraId="007AA540" w14:textId="77777777" w:rsidR="00313E15" w:rsidRPr="00020050" w:rsidRDefault="00313E15" w:rsidP="00313E15">
            <w:pPr>
              <w:jc w:val="right"/>
              <w:rPr>
                <w:rFonts w:ascii="Arial" w:hAnsi="Arial" w:cs="Arial"/>
                <w:sz w:val="24"/>
                <w:szCs w:val="24"/>
                <w:lang w:eastAsia="en-AU"/>
              </w:rPr>
            </w:pPr>
            <w:r w:rsidRPr="00020050">
              <w:rPr>
                <w:rFonts w:ascii="Arial" w:hAnsi="Arial" w:cs="Arial"/>
                <w:sz w:val="24"/>
                <w:szCs w:val="24"/>
              </w:rPr>
              <w:t>(2,366)</w:t>
            </w:r>
          </w:p>
        </w:tc>
      </w:tr>
      <w:tr w:rsidR="00313E15" w:rsidRPr="00020050" w14:paraId="5DEC397E" w14:textId="77777777" w:rsidTr="00313E15">
        <w:trPr>
          <w:trHeight w:val="340"/>
        </w:trPr>
        <w:tc>
          <w:tcPr>
            <w:tcW w:w="6012" w:type="dxa"/>
            <w:shd w:val="clear" w:color="auto" w:fill="auto"/>
            <w:noWrap/>
            <w:vAlign w:val="center"/>
            <w:hideMark/>
          </w:tcPr>
          <w:p w14:paraId="493A5628" w14:textId="77777777" w:rsidR="00313E15" w:rsidRPr="00020050" w:rsidRDefault="00313E15" w:rsidP="00313E15">
            <w:pPr>
              <w:rPr>
                <w:rFonts w:ascii="Arial" w:hAnsi="Arial" w:cs="Arial"/>
                <w:b/>
                <w:sz w:val="24"/>
                <w:szCs w:val="24"/>
                <w:lang w:eastAsia="en-AU"/>
              </w:rPr>
            </w:pPr>
            <w:r w:rsidRPr="00020050">
              <w:rPr>
                <w:rFonts w:ascii="Arial" w:hAnsi="Arial" w:cs="Arial"/>
                <w:b/>
                <w:sz w:val="24"/>
                <w:szCs w:val="24"/>
                <w:lang w:eastAsia="en-AU"/>
              </w:rPr>
              <w:t>Total employee benefits expense</w:t>
            </w:r>
          </w:p>
        </w:tc>
        <w:tc>
          <w:tcPr>
            <w:tcW w:w="1814" w:type="dxa"/>
            <w:shd w:val="clear" w:color="auto" w:fill="auto"/>
            <w:noWrap/>
            <w:vAlign w:val="center"/>
            <w:hideMark/>
          </w:tcPr>
          <w:p w14:paraId="5E0812EC" w14:textId="77777777" w:rsidR="00313E15" w:rsidRPr="00020050" w:rsidRDefault="00313E15" w:rsidP="00313E15">
            <w:pPr>
              <w:jc w:val="right"/>
              <w:rPr>
                <w:rFonts w:ascii="Arial" w:hAnsi="Arial" w:cs="Arial"/>
                <w:b/>
                <w:sz w:val="24"/>
                <w:szCs w:val="24"/>
                <w:lang w:eastAsia="en-AU"/>
              </w:rPr>
            </w:pPr>
            <w:r w:rsidRPr="00020050">
              <w:rPr>
                <w:rFonts w:ascii="Arial" w:hAnsi="Arial" w:cs="Arial"/>
                <w:b/>
                <w:sz w:val="24"/>
                <w:szCs w:val="24"/>
              </w:rPr>
              <w:t>(585,937)</w:t>
            </w:r>
          </w:p>
        </w:tc>
        <w:tc>
          <w:tcPr>
            <w:tcW w:w="1814" w:type="dxa"/>
            <w:shd w:val="clear" w:color="auto" w:fill="auto"/>
            <w:noWrap/>
            <w:vAlign w:val="center"/>
            <w:hideMark/>
          </w:tcPr>
          <w:p w14:paraId="76CAD221" w14:textId="77777777" w:rsidR="00313E15" w:rsidRPr="00020050" w:rsidRDefault="00313E15" w:rsidP="00313E15">
            <w:pPr>
              <w:jc w:val="right"/>
              <w:rPr>
                <w:rFonts w:ascii="Arial" w:hAnsi="Arial" w:cs="Arial"/>
                <w:b/>
                <w:sz w:val="24"/>
                <w:szCs w:val="24"/>
                <w:lang w:eastAsia="en-AU"/>
              </w:rPr>
            </w:pPr>
            <w:r w:rsidRPr="00020050">
              <w:rPr>
                <w:rFonts w:ascii="Arial" w:hAnsi="Arial" w:cs="Arial"/>
                <w:b/>
                <w:sz w:val="24"/>
                <w:szCs w:val="24"/>
              </w:rPr>
              <w:t>(321,010)</w:t>
            </w:r>
          </w:p>
        </w:tc>
      </w:tr>
    </w:tbl>
    <w:p w14:paraId="4A667A34" w14:textId="77777777" w:rsidR="003E5BF5" w:rsidRDefault="003E5BF5" w:rsidP="00DE1921">
      <w:pPr>
        <w:spacing w:after="0"/>
        <w:rPr>
          <w:lang w:eastAsia="en-AU"/>
        </w:rPr>
      </w:pPr>
    </w:p>
    <w:p w14:paraId="586AF827" w14:textId="77777777" w:rsidR="003E5BF5" w:rsidRDefault="003E5BF5" w:rsidP="00DE1921">
      <w:pPr>
        <w:sectPr w:rsidR="003E5BF5" w:rsidSect="00DE1921">
          <w:type w:val="continuous"/>
          <w:pgSz w:w="11906" w:h="16838"/>
          <w:pgMar w:top="1701" w:right="1418" w:bottom="1418" w:left="1418" w:header="708" w:footer="708" w:gutter="0"/>
          <w:cols w:space="708"/>
          <w:docGrid w:linePitch="360"/>
        </w:sectPr>
      </w:pPr>
    </w:p>
    <w:p w14:paraId="1ABED327" w14:textId="77777777" w:rsidR="003E5BF5" w:rsidRPr="007444F0" w:rsidRDefault="003E5BF5" w:rsidP="005D79E1">
      <w:pPr>
        <w:pStyle w:val="aaatyping"/>
      </w:pPr>
      <w:r w:rsidRPr="007444F0">
        <w:t xml:space="preserve">Employee expenses include all costs related to employment including salaries </w:t>
      </w:r>
      <w:r>
        <w:t xml:space="preserve">and </w:t>
      </w:r>
      <w:r w:rsidRPr="007444F0">
        <w:t xml:space="preserve">wages, fringe benefits tax, leave entitlements, redundancy payments, WorkCover premiums </w:t>
      </w:r>
      <w:r>
        <w:t xml:space="preserve">and </w:t>
      </w:r>
      <w:r w:rsidRPr="007444F0">
        <w:t xml:space="preserve">superannuation </w:t>
      </w:r>
      <w:r>
        <w:t>contributions</w:t>
      </w:r>
      <w:r w:rsidRPr="007444F0">
        <w:t>.</w:t>
      </w:r>
    </w:p>
    <w:p w14:paraId="25B7309F" w14:textId="77777777" w:rsidR="003E5BF5" w:rsidRDefault="003E5BF5" w:rsidP="005D79E1">
      <w:pPr>
        <w:pStyle w:val="aaatyping"/>
      </w:pPr>
      <w:r w:rsidRPr="007444F0">
        <w:lastRenderedPageBreak/>
        <w:t>The amount recognised in the comprehensive operating statement in relation to superannuation is the employer contributions for members of both defined benefit and defined contribution superannuation plans that are paid or payable during the reporting period.</w:t>
      </w:r>
    </w:p>
    <w:p w14:paraId="471305C6" w14:textId="77777777" w:rsidR="00056955" w:rsidRDefault="003E5BF5" w:rsidP="005D79E1">
      <w:pPr>
        <w:pStyle w:val="aaatyping"/>
      </w:pPr>
      <w:r>
        <w:t>The department does not recognise any defined benefit liabilities because it has no legal or constructive obligation to pay future benefits relating to its employees. Instead, DTF discloses in its annual financial statements the net defined benefit cost related to the members of these plans as an administered liability (on behalf of the State as the sponsoring employer).</w:t>
      </w:r>
    </w:p>
    <w:p w14:paraId="13BCF661" w14:textId="233BC576" w:rsidR="003E5BF5" w:rsidRDefault="003E5BF5" w:rsidP="005D79E1">
      <w:pPr>
        <w:pStyle w:val="aaatyping"/>
      </w:pPr>
      <w:r>
        <w:t>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w:t>
      </w:r>
    </w:p>
    <w:p w14:paraId="5344AB7F" w14:textId="77777777" w:rsidR="003E5BF5" w:rsidRDefault="003E5BF5" w:rsidP="00DE1921"/>
    <w:p w14:paraId="0C741330" w14:textId="77777777" w:rsidR="003E5BF5" w:rsidRPr="00A12BA5" w:rsidRDefault="003E5BF5" w:rsidP="00DE1921">
      <w:pPr>
        <w:sectPr w:rsidR="003E5BF5" w:rsidRPr="00A12BA5" w:rsidSect="00300F67">
          <w:type w:val="continuous"/>
          <w:pgSz w:w="11906" w:h="16838"/>
          <w:pgMar w:top="1701" w:right="1418" w:bottom="1418" w:left="1418" w:header="708" w:footer="708" w:gutter="0"/>
          <w:cols w:space="284"/>
          <w:docGrid w:linePitch="360"/>
        </w:sectPr>
      </w:pPr>
    </w:p>
    <w:p w14:paraId="5C10C911" w14:textId="77777777" w:rsidR="003E5BF5" w:rsidRPr="00EF1925" w:rsidRDefault="003E5BF5" w:rsidP="006667CC">
      <w:pPr>
        <w:pStyle w:val="Heading3"/>
        <w:numPr>
          <w:ilvl w:val="2"/>
          <w:numId w:val="3"/>
        </w:numPr>
        <w:ind w:left="851" w:hanging="851"/>
      </w:pPr>
      <w:bookmarkStart w:id="161" w:name="_Employee_benefits_in"/>
      <w:bookmarkEnd w:id="161"/>
      <w:r w:rsidRPr="00EF1925">
        <w:lastRenderedPageBreak/>
        <w:t>Employee benefits in the balance sheet</w:t>
      </w:r>
    </w:p>
    <w:p w14:paraId="0AFE6699" w14:textId="77777777" w:rsidR="003E5BF5" w:rsidRPr="0088493A" w:rsidRDefault="003E5BF5" w:rsidP="00056955">
      <w:pPr>
        <w:pStyle w:val="aaatyping"/>
      </w:pPr>
      <w:r w:rsidRPr="007444F0">
        <w:t xml:space="preserve">Provision is made for benefits accruing to employees in respect of salaries </w:t>
      </w:r>
      <w:r>
        <w:t xml:space="preserve">and </w:t>
      </w:r>
      <w:r w:rsidRPr="007444F0">
        <w:t>wages, annual leave and long service leave (LSL) for services rendered to the reporting date.</w:t>
      </w:r>
      <w:bookmarkStart w:id="162" w:name="RANGE!A3:C24"/>
      <w:bookmarkStart w:id="163" w:name="RANGE!A3:G21"/>
      <w:bookmarkStart w:id="164" w:name="RANGE!A3:C22"/>
      <w:bookmarkEnd w:id="162"/>
      <w:bookmarkEnd w:id="163"/>
      <w:bookmarkEnd w:id="164"/>
    </w:p>
    <w:tbl>
      <w:tblPr>
        <w:tblStyle w:val="TableGrid"/>
        <w:tblW w:w="9072" w:type="dxa"/>
        <w:tblLayout w:type="fixed"/>
        <w:tblLook w:val="04A0" w:firstRow="1" w:lastRow="0" w:firstColumn="1" w:lastColumn="0" w:noHBand="0" w:noVBand="1"/>
      </w:tblPr>
      <w:tblGrid>
        <w:gridCol w:w="5726"/>
        <w:gridCol w:w="1673"/>
        <w:gridCol w:w="1673"/>
      </w:tblGrid>
      <w:tr w:rsidR="00EF3D7D" w:rsidRPr="00020050" w14:paraId="7275F6B6" w14:textId="77777777" w:rsidTr="006D70B5">
        <w:trPr>
          <w:trHeight w:val="340"/>
        </w:trPr>
        <w:tc>
          <w:tcPr>
            <w:tcW w:w="6266" w:type="dxa"/>
            <w:shd w:val="clear" w:color="auto" w:fill="auto"/>
            <w:noWrap/>
            <w:hideMark/>
          </w:tcPr>
          <w:p w14:paraId="229E8ECD" w14:textId="2D5AB59D" w:rsidR="00EF3D7D" w:rsidRPr="00020050" w:rsidRDefault="00EF3D7D" w:rsidP="00DE1921">
            <w:pPr>
              <w:jc w:val="center"/>
              <w:rPr>
                <w:rFonts w:ascii="Arial" w:hAnsi="Arial" w:cs="Arial"/>
                <w:b/>
                <w:sz w:val="24"/>
                <w:szCs w:val="24"/>
                <w:lang w:eastAsia="en-AU"/>
              </w:rPr>
            </w:pPr>
          </w:p>
        </w:tc>
        <w:tc>
          <w:tcPr>
            <w:tcW w:w="1814" w:type="dxa"/>
            <w:shd w:val="clear" w:color="auto" w:fill="auto"/>
            <w:noWrap/>
            <w:vAlign w:val="center"/>
            <w:hideMark/>
          </w:tcPr>
          <w:p w14:paraId="55041ABF" w14:textId="303F9666" w:rsidR="00EF3D7D" w:rsidRPr="00020050" w:rsidRDefault="00EF3D7D" w:rsidP="002250DD">
            <w:pPr>
              <w:jc w:val="center"/>
              <w:rPr>
                <w:rFonts w:ascii="Arial" w:hAnsi="Arial" w:cs="Arial"/>
                <w:b/>
                <w:sz w:val="24"/>
                <w:szCs w:val="24"/>
                <w:lang w:eastAsia="en-AU"/>
              </w:rPr>
            </w:pPr>
            <w:r w:rsidRPr="00020050">
              <w:rPr>
                <w:rFonts w:ascii="Arial" w:hAnsi="Arial" w:cs="Arial"/>
                <w:b/>
                <w:sz w:val="24"/>
                <w:szCs w:val="24"/>
                <w:lang w:eastAsia="en-AU"/>
              </w:rPr>
              <w:t>($ thousand)</w:t>
            </w:r>
          </w:p>
        </w:tc>
        <w:tc>
          <w:tcPr>
            <w:tcW w:w="1814" w:type="dxa"/>
            <w:shd w:val="clear" w:color="auto" w:fill="auto"/>
            <w:vAlign w:val="center"/>
          </w:tcPr>
          <w:p w14:paraId="4E5A1F77" w14:textId="39469468" w:rsidR="00EF3D7D" w:rsidRPr="00020050" w:rsidRDefault="00EF3D7D" w:rsidP="00DE1921">
            <w:pPr>
              <w:jc w:val="center"/>
              <w:rPr>
                <w:rFonts w:ascii="Arial" w:hAnsi="Arial" w:cs="Arial"/>
                <w:b/>
                <w:sz w:val="24"/>
                <w:szCs w:val="24"/>
                <w:lang w:eastAsia="en-AU"/>
              </w:rPr>
            </w:pPr>
            <w:r w:rsidRPr="00020050">
              <w:rPr>
                <w:rFonts w:ascii="Arial" w:hAnsi="Arial" w:cs="Arial"/>
                <w:b/>
                <w:sz w:val="24"/>
                <w:szCs w:val="24"/>
                <w:lang w:eastAsia="en-AU"/>
              </w:rPr>
              <w:t>($ thousand)</w:t>
            </w:r>
          </w:p>
        </w:tc>
      </w:tr>
      <w:tr w:rsidR="003E5BF5" w:rsidRPr="00020050" w14:paraId="1D38566C" w14:textId="77777777" w:rsidTr="006D70B5">
        <w:trPr>
          <w:trHeight w:val="340"/>
        </w:trPr>
        <w:tc>
          <w:tcPr>
            <w:tcW w:w="6266" w:type="dxa"/>
            <w:shd w:val="clear" w:color="auto" w:fill="auto"/>
            <w:noWrap/>
            <w:hideMark/>
          </w:tcPr>
          <w:p w14:paraId="3286A632"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t> </w:t>
            </w:r>
          </w:p>
        </w:tc>
        <w:tc>
          <w:tcPr>
            <w:tcW w:w="1814" w:type="dxa"/>
            <w:shd w:val="clear" w:color="auto" w:fill="auto"/>
            <w:noWrap/>
            <w:vAlign w:val="center"/>
            <w:hideMark/>
          </w:tcPr>
          <w:p w14:paraId="72A28C3A"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2020</w:t>
            </w:r>
          </w:p>
        </w:tc>
        <w:tc>
          <w:tcPr>
            <w:tcW w:w="1814" w:type="dxa"/>
            <w:shd w:val="clear" w:color="auto" w:fill="auto"/>
            <w:noWrap/>
            <w:vAlign w:val="center"/>
            <w:hideMark/>
          </w:tcPr>
          <w:p w14:paraId="60EA7286"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2019</w:t>
            </w:r>
          </w:p>
        </w:tc>
      </w:tr>
      <w:tr w:rsidR="003E5BF5" w:rsidRPr="00020050" w14:paraId="387A87F3" w14:textId="77777777" w:rsidTr="006D70B5">
        <w:trPr>
          <w:trHeight w:val="340"/>
        </w:trPr>
        <w:tc>
          <w:tcPr>
            <w:tcW w:w="6266" w:type="dxa"/>
            <w:shd w:val="clear" w:color="auto" w:fill="auto"/>
            <w:noWrap/>
            <w:vAlign w:val="center"/>
            <w:hideMark/>
          </w:tcPr>
          <w:p w14:paraId="15583B9D" w14:textId="77777777" w:rsidR="003E5BF5" w:rsidRPr="00020050" w:rsidRDefault="003E5BF5" w:rsidP="00604703">
            <w:pPr>
              <w:pStyle w:val="TableTextGreen"/>
              <w:rPr>
                <w:lang w:eastAsia="en-AU"/>
              </w:rPr>
            </w:pPr>
            <w:r w:rsidRPr="00020050">
              <w:t>Current provisions</w:t>
            </w:r>
          </w:p>
        </w:tc>
        <w:tc>
          <w:tcPr>
            <w:tcW w:w="1814" w:type="dxa"/>
            <w:shd w:val="clear" w:color="auto" w:fill="auto"/>
            <w:noWrap/>
            <w:vAlign w:val="center"/>
            <w:hideMark/>
          </w:tcPr>
          <w:p w14:paraId="74F3A95C" w14:textId="77777777" w:rsidR="003E5BF5" w:rsidRPr="00020050" w:rsidRDefault="003E5BF5" w:rsidP="00DE1921">
            <w:pPr>
              <w:jc w:val="right"/>
              <w:rPr>
                <w:rFonts w:ascii="Arial" w:hAnsi="Arial" w:cs="Arial"/>
                <w:b/>
                <w:sz w:val="24"/>
                <w:szCs w:val="24"/>
                <w:lang w:eastAsia="en-AU"/>
              </w:rPr>
            </w:pPr>
          </w:p>
        </w:tc>
        <w:tc>
          <w:tcPr>
            <w:tcW w:w="1814" w:type="dxa"/>
            <w:shd w:val="clear" w:color="auto" w:fill="auto"/>
            <w:noWrap/>
            <w:vAlign w:val="center"/>
            <w:hideMark/>
          </w:tcPr>
          <w:p w14:paraId="42B51885" w14:textId="77777777" w:rsidR="003E5BF5" w:rsidRPr="00020050" w:rsidRDefault="003E5BF5" w:rsidP="00DE1921">
            <w:pPr>
              <w:jc w:val="right"/>
              <w:rPr>
                <w:rFonts w:ascii="Arial" w:hAnsi="Arial" w:cs="Arial"/>
                <w:sz w:val="24"/>
                <w:szCs w:val="24"/>
                <w:lang w:eastAsia="en-AU"/>
              </w:rPr>
            </w:pPr>
          </w:p>
        </w:tc>
      </w:tr>
      <w:tr w:rsidR="003E5BF5" w:rsidRPr="00020050" w14:paraId="103E85BC" w14:textId="77777777" w:rsidTr="006D70B5">
        <w:trPr>
          <w:trHeight w:val="340"/>
        </w:trPr>
        <w:tc>
          <w:tcPr>
            <w:tcW w:w="6266" w:type="dxa"/>
            <w:shd w:val="clear" w:color="auto" w:fill="auto"/>
            <w:noWrap/>
            <w:vAlign w:val="center"/>
            <w:hideMark/>
          </w:tcPr>
          <w:p w14:paraId="4FBE42C1"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t>Annual leave</w:t>
            </w:r>
          </w:p>
        </w:tc>
        <w:tc>
          <w:tcPr>
            <w:tcW w:w="1814" w:type="dxa"/>
            <w:shd w:val="clear" w:color="auto" w:fill="auto"/>
            <w:noWrap/>
            <w:vAlign w:val="center"/>
            <w:hideMark/>
          </w:tcPr>
          <w:p w14:paraId="5113B8E9" w14:textId="77777777" w:rsidR="003E5BF5" w:rsidRPr="00020050" w:rsidRDefault="003E5BF5" w:rsidP="00DE1921">
            <w:pPr>
              <w:jc w:val="right"/>
              <w:rPr>
                <w:rFonts w:ascii="Arial" w:hAnsi="Arial" w:cs="Arial"/>
                <w:b/>
                <w:sz w:val="24"/>
                <w:szCs w:val="24"/>
                <w:lang w:eastAsia="en-AU"/>
              </w:rPr>
            </w:pPr>
          </w:p>
        </w:tc>
        <w:tc>
          <w:tcPr>
            <w:tcW w:w="1814" w:type="dxa"/>
            <w:shd w:val="clear" w:color="auto" w:fill="auto"/>
            <w:noWrap/>
            <w:vAlign w:val="center"/>
            <w:hideMark/>
          </w:tcPr>
          <w:p w14:paraId="7CA99177" w14:textId="77777777" w:rsidR="003E5BF5" w:rsidRPr="00020050" w:rsidRDefault="003E5BF5" w:rsidP="00DE1921">
            <w:pPr>
              <w:jc w:val="right"/>
              <w:rPr>
                <w:rFonts w:ascii="Arial" w:hAnsi="Arial" w:cs="Arial"/>
                <w:sz w:val="24"/>
                <w:szCs w:val="24"/>
                <w:lang w:eastAsia="en-AU"/>
              </w:rPr>
            </w:pPr>
          </w:p>
        </w:tc>
      </w:tr>
      <w:tr w:rsidR="003E5BF5" w:rsidRPr="00020050" w14:paraId="1E28C8C3" w14:textId="77777777" w:rsidTr="006D70B5">
        <w:trPr>
          <w:trHeight w:val="340"/>
        </w:trPr>
        <w:tc>
          <w:tcPr>
            <w:tcW w:w="6266" w:type="dxa"/>
            <w:shd w:val="clear" w:color="auto" w:fill="auto"/>
            <w:noWrap/>
            <w:vAlign w:val="center"/>
            <w:hideMark/>
          </w:tcPr>
          <w:p w14:paraId="499D2861"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 xml:space="preserve"> - Unconditional and expected to wholly settle within 12 months </w:t>
            </w:r>
            <w:r w:rsidRPr="00020050">
              <w:rPr>
                <w:rFonts w:ascii="Arial" w:hAnsi="Arial" w:cs="Arial"/>
                <w:sz w:val="24"/>
                <w:szCs w:val="24"/>
                <w:vertAlign w:val="superscript"/>
                <w:lang w:eastAsia="en-AU"/>
              </w:rPr>
              <w:t>(</w:t>
            </w:r>
            <w:proofErr w:type="spellStart"/>
            <w:r w:rsidRPr="00020050">
              <w:rPr>
                <w:rFonts w:ascii="Arial" w:hAnsi="Arial" w:cs="Arial"/>
                <w:sz w:val="24"/>
                <w:szCs w:val="24"/>
                <w:vertAlign w:val="superscript"/>
                <w:lang w:eastAsia="en-AU"/>
              </w:rPr>
              <w:t>i</w:t>
            </w:r>
            <w:proofErr w:type="spellEnd"/>
            <w:r w:rsidRPr="00020050">
              <w:rPr>
                <w:rFonts w:ascii="Arial" w:hAnsi="Arial" w:cs="Arial"/>
                <w:sz w:val="24"/>
                <w:szCs w:val="24"/>
                <w:vertAlign w:val="superscript"/>
                <w:lang w:eastAsia="en-AU"/>
              </w:rPr>
              <w:t>)</w:t>
            </w:r>
          </w:p>
        </w:tc>
        <w:tc>
          <w:tcPr>
            <w:tcW w:w="1814" w:type="dxa"/>
            <w:shd w:val="clear" w:color="auto" w:fill="auto"/>
            <w:noWrap/>
            <w:vAlign w:val="center"/>
            <w:hideMark/>
          </w:tcPr>
          <w:p w14:paraId="2D22FC16"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39,611 </w:t>
            </w:r>
          </w:p>
        </w:tc>
        <w:tc>
          <w:tcPr>
            <w:tcW w:w="1814" w:type="dxa"/>
            <w:shd w:val="clear" w:color="auto" w:fill="auto"/>
            <w:noWrap/>
            <w:vAlign w:val="center"/>
            <w:hideMark/>
          </w:tcPr>
          <w:p w14:paraId="322DB295"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10,547 </w:t>
            </w:r>
          </w:p>
        </w:tc>
      </w:tr>
      <w:tr w:rsidR="003E5BF5" w:rsidRPr="00020050" w14:paraId="2806A043" w14:textId="77777777" w:rsidTr="006D70B5">
        <w:trPr>
          <w:trHeight w:val="340"/>
        </w:trPr>
        <w:tc>
          <w:tcPr>
            <w:tcW w:w="6266" w:type="dxa"/>
            <w:shd w:val="clear" w:color="auto" w:fill="auto"/>
            <w:noWrap/>
            <w:vAlign w:val="center"/>
            <w:hideMark/>
          </w:tcPr>
          <w:p w14:paraId="1DAA9105"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 xml:space="preserve"> - Unconditional and expected to wholly settle after 12 months </w:t>
            </w:r>
            <w:r w:rsidRPr="00020050">
              <w:rPr>
                <w:rFonts w:ascii="Arial" w:hAnsi="Arial" w:cs="Arial"/>
                <w:sz w:val="24"/>
                <w:szCs w:val="24"/>
                <w:vertAlign w:val="superscript"/>
                <w:lang w:eastAsia="en-AU"/>
              </w:rPr>
              <w:t>(ii)</w:t>
            </w:r>
          </w:p>
        </w:tc>
        <w:tc>
          <w:tcPr>
            <w:tcW w:w="1814" w:type="dxa"/>
            <w:shd w:val="clear" w:color="auto" w:fill="auto"/>
            <w:noWrap/>
            <w:vAlign w:val="center"/>
            <w:hideMark/>
          </w:tcPr>
          <w:p w14:paraId="338A3ECA"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23,909 </w:t>
            </w:r>
          </w:p>
        </w:tc>
        <w:tc>
          <w:tcPr>
            <w:tcW w:w="1814" w:type="dxa"/>
            <w:shd w:val="clear" w:color="auto" w:fill="auto"/>
            <w:noWrap/>
            <w:vAlign w:val="center"/>
            <w:hideMark/>
          </w:tcPr>
          <w:p w14:paraId="59979A48"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8,918 </w:t>
            </w:r>
          </w:p>
        </w:tc>
      </w:tr>
      <w:tr w:rsidR="003E5BF5" w:rsidRPr="00020050" w14:paraId="27819E70" w14:textId="77777777" w:rsidTr="006D70B5">
        <w:trPr>
          <w:trHeight w:val="340"/>
        </w:trPr>
        <w:tc>
          <w:tcPr>
            <w:tcW w:w="6266" w:type="dxa"/>
            <w:shd w:val="clear" w:color="auto" w:fill="auto"/>
            <w:noWrap/>
            <w:vAlign w:val="center"/>
            <w:hideMark/>
          </w:tcPr>
          <w:p w14:paraId="213EF798"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t>Long service leave</w:t>
            </w:r>
          </w:p>
        </w:tc>
        <w:tc>
          <w:tcPr>
            <w:tcW w:w="1814" w:type="dxa"/>
            <w:shd w:val="clear" w:color="auto" w:fill="auto"/>
            <w:noWrap/>
            <w:vAlign w:val="center"/>
            <w:hideMark/>
          </w:tcPr>
          <w:p w14:paraId="07AD401D" w14:textId="77777777" w:rsidR="003E5BF5" w:rsidRPr="00020050" w:rsidRDefault="003E5BF5" w:rsidP="00DE1921">
            <w:pPr>
              <w:jc w:val="right"/>
              <w:rPr>
                <w:rFonts w:ascii="Arial" w:hAnsi="Arial" w:cs="Arial"/>
                <w:b/>
                <w:sz w:val="24"/>
                <w:szCs w:val="24"/>
                <w:lang w:eastAsia="en-AU"/>
              </w:rPr>
            </w:pPr>
          </w:p>
        </w:tc>
        <w:tc>
          <w:tcPr>
            <w:tcW w:w="1814" w:type="dxa"/>
            <w:shd w:val="clear" w:color="auto" w:fill="auto"/>
            <w:noWrap/>
            <w:vAlign w:val="center"/>
            <w:hideMark/>
          </w:tcPr>
          <w:p w14:paraId="1C814D5D" w14:textId="77777777" w:rsidR="003E5BF5" w:rsidRPr="00020050" w:rsidRDefault="003E5BF5" w:rsidP="00DE1921">
            <w:pPr>
              <w:jc w:val="right"/>
              <w:rPr>
                <w:rFonts w:ascii="Arial" w:hAnsi="Arial" w:cs="Arial"/>
                <w:sz w:val="24"/>
                <w:szCs w:val="24"/>
                <w:lang w:eastAsia="en-AU"/>
              </w:rPr>
            </w:pPr>
          </w:p>
        </w:tc>
      </w:tr>
      <w:tr w:rsidR="003E5BF5" w:rsidRPr="00020050" w14:paraId="391C3C2C" w14:textId="77777777" w:rsidTr="006D70B5">
        <w:trPr>
          <w:trHeight w:val="340"/>
        </w:trPr>
        <w:tc>
          <w:tcPr>
            <w:tcW w:w="6266" w:type="dxa"/>
            <w:shd w:val="clear" w:color="auto" w:fill="auto"/>
            <w:noWrap/>
            <w:vAlign w:val="center"/>
            <w:hideMark/>
          </w:tcPr>
          <w:p w14:paraId="32A7E443"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 xml:space="preserve"> - Unconditional and expected to wholly settle within 12 months </w:t>
            </w:r>
            <w:r w:rsidRPr="00020050">
              <w:rPr>
                <w:rFonts w:ascii="Arial" w:hAnsi="Arial" w:cs="Arial"/>
                <w:sz w:val="24"/>
                <w:szCs w:val="24"/>
                <w:vertAlign w:val="superscript"/>
                <w:lang w:eastAsia="en-AU"/>
              </w:rPr>
              <w:t>(</w:t>
            </w:r>
            <w:proofErr w:type="spellStart"/>
            <w:r w:rsidRPr="00020050">
              <w:rPr>
                <w:rFonts w:ascii="Arial" w:hAnsi="Arial" w:cs="Arial"/>
                <w:sz w:val="24"/>
                <w:szCs w:val="24"/>
                <w:vertAlign w:val="superscript"/>
                <w:lang w:eastAsia="en-AU"/>
              </w:rPr>
              <w:t>i</w:t>
            </w:r>
            <w:proofErr w:type="spellEnd"/>
            <w:r w:rsidRPr="00020050">
              <w:rPr>
                <w:rFonts w:ascii="Arial" w:hAnsi="Arial" w:cs="Arial"/>
                <w:sz w:val="24"/>
                <w:szCs w:val="24"/>
                <w:vertAlign w:val="superscript"/>
                <w:lang w:eastAsia="en-AU"/>
              </w:rPr>
              <w:t>)</w:t>
            </w:r>
          </w:p>
        </w:tc>
        <w:tc>
          <w:tcPr>
            <w:tcW w:w="1814" w:type="dxa"/>
            <w:shd w:val="clear" w:color="auto" w:fill="auto"/>
            <w:noWrap/>
            <w:vAlign w:val="center"/>
            <w:hideMark/>
          </w:tcPr>
          <w:p w14:paraId="6DECB34E"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11,188 </w:t>
            </w:r>
          </w:p>
        </w:tc>
        <w:tc>
          <w:tcPr>
            <w:tcW w:w="1814" w:type="dxa"/>
            <w:shd w:val="clear" w:color="auto" w:fill="auto"/>
            <w:noWrap/>
            <w:vAlign w:val="center"/>
            <w:hideMark/>
          </w:tcPr>
          <w:p w14:paraId="2CA7B6CA"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4,280 </w:t>
            </w:r>
          </w:p>
        </w:tc>
      </w:tr>
      <w:tr w:rsidR="003E5BF5" w:rsidRPr="00020050" w14:paraId="5BD87211" w14:textId="77777777" w:rsidTr="006D70B5">
        <w:trPr>
          <w:trHeight w:val="340"/>
        </w:trPr>
        <w:tc>
          <w:tcPr>
            <w:tcW w:w="6266" w:type="dxa"/>
            <w:shd w:val="clear" w:color="auto" w:fill="auto"/>
            <w:noWrap/>
            <w:vAlign w:val="center"/>
            <w:hideMark/>
          </w:tcPr>
          <w:p w14:paraId="0B3D4731"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 xml:space="preserve"> - Unconditional and expected to wholly settle after 12 months </w:t>
            </w:r>
            <w:r w:rsidRPr="00020050">
              <w:rPr>
                <w:rFonts w:ascii="Arial" w:hAnsi="Arial" w:cs="Arial"/>
                <w:sz w:val="24"/>
                <w:szCs w:val="24"/>
                <w:vertAlign w:val="superscript"/>
                <w:lang w:eastAsia="en-AU"/>
              </w:rPr>
              <w:t>(ii)</w:t>
            </w:r>
          </w:p>
        </w:tc>
        <w:tc>
          <w:tcPr>
            <w:tcW w:w="1814" w:type="dxa"/>
            <w:shd w:val="clear" w:color="auto" w:fill="auto"/>
            <w:noWrap/>
            <w:vAlign w:val="center"/>
            <w:hideMark/>
          </w:tcPr>
          <w:p w14:paraId="48E0E929"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88,894 </w:t>
            </w:r>
          </w:p>
        </w:tc>
        <w:tc>
          <w:tcPr>
            <w:tcW w:w="1814" w:type="dxa"/>
            <w:shd w:val="clear" w:color="auto" w:fill="auto"/>
            <w:noWrap/>
            <w:vAlign w:val="center"/>
            <w:hideMark/>
          </w:tcPr>
          <w:p w14:paraId="775D92DF"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20,146 </w:t>
            </w:r>
          </w:p>
        </w:tc>
      </w:tr>
      <w:tr w:rsidR="003E5BF5" w:rsidRPr="00020050" w14:paraId="0A7E1C4F" w14:textId="77777777" w:rsidTr="006D70B5">
        <w:trPr>
          <w:trHeight w:val="340"/>
        </w:trPr>
        <w:tc>
          <w:tcPr>
            <w:tcW w:w="6266" w:type="dxa"/>
            <w:shd w:val="clear" w:color="auto" w:fill="auto"/>
            <w:noWrap/>
            <w:vAlign w:val="center"/>
            <w:hideMark/>
          </w:tcPr>
          <w:p w14:paraId="199CD629"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t>Provisions for on-costs</w:t>
            </w:r>
          </w:p>
        </w:tc>
        <w:tc>
          <w:tcPr>
            <w:tcW w:w="1814" w:type="dxa"/>
            <w:shd w:val="clear" w:color="auto" w:fill="auto"/>
            <w:noWrap/>
            <w:vAlign w:val="center"/>
            <w:hideMark/>
          </w:tcPr>
          <w:p w14:paraId="30D0B086" w14:textId="77777777" w:rsidR="003E5BF5" w:rsidRPr="00020050" w:rsidRDefault="003E5BF5" w:rsidP="00DE1921">
            <w:pPr>
              <w:jc w:val="right"/>
              <w:rPr>
                <w:rFonts w:ascii="Arial" w:hAnsi="Arial" w:cs="Arial"/>
                <w:b/>
                <w:sz w:val="24"/>
                <w:szCs w:val="24"/>
                <w:lang w:eastAsia="en-AU"/>
              </w:rPr>
            </w:pPr>
          </w:p>
        </w:tc>
        <w:tc>
          <w:tcPr>
            <w:tcW w:w="1814" w:type="dxa"/>
            <w:shd w:val="clear" w:color="auto" w:fill="auto"/>
            <w:noWrap/>
            <w:vAlign w:val="center"/>
            <w:hideMark/>
          </w:tcPr>
          <w:p w14:paraId="5110BF0C" w14:textId="77777777" w:rsidR="003E5BF5" w:rsidRPr="00020050" w:rsidRDefault="003E5BF5" w:rsidP="00DE1921">
            <w:pPr>
              <w:jc w:val="right"/>
              <w:rPr>
                <w:rFonts w:ascii="Arial" w:hAnsi="Arial" w:cs="Arial"/>
                <w:sz w:val="24"/>
                <w:szCs w:val="24"/>
                <w:lang w:eastAsia="en-AU"/>
              </w:rPr>
            </w:pPr>
          </w:p>
        </w:tc>
      </w:tr>
      <w:tr w:rsidR="003E5BF5" w:rsidRPr="00020050" w14:paraId="0903DD6F" w14:textId="77777777" w:rsidTr="006D70B5">
        <w:trPr>
          <w:trHeight w:val="340"/>
        </w:trPr>
        <w:tc>
          <w:tcPr>
            <w:tcW w:w="6266" w:type="dxa"/>
            <w:shd w:val="clear" w:color="auto" w:fill="auto"/>
            <w:noWrap/>
            <w:vAlign w:val="center"/>
            <w:hideMark/>
          </w:tcPr>
          <w:p w14:paraId="2310BA39"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 xml:space="preserve"> - Unconditional and expected to wholly settle within 12 months </w:t>
            </w:r>
            <w:r w:rsidRPr="00020050">
              <w:rPr>
                <w:rFonts w:ascii="Arial" w:hAnsi="Arial" w:cs="Arial"/>
                <w:sz w:val="24"/>
                <w:szCs w:val="24"/>
                <w:vertAlign w:val="superscript"/>
                <w:lang w:eastAsia="en-AU"/>
              </w:rPr>
              <w:t>(</w:t>
            </w:r>
            <w:proofErr w:type="spellStart"/>
            <w:r w:rsidRPr="00020050">
              <w:rPr>
                <w:rFonts w:ascii="Arial" w:hAnsi="Arial" w:cs="Arial"/>
                <w:sz w:val="24"/>
                <w:szCs w:val="24"/>
                <w:vertAlign w:val="superscript"/>
                <w:lang w:eastAsia="en-AU"/>
              </w:rPr>
              <w:t>i</w:t>
            </w:r>
            <w:proofErr w:type="spellEnd"/>
            <w:r w:rsidRPr="00020050">
              <w:rPr>
                <w:rFonts w:ascii="Arial" w:hAnsi="Arial" w:cs="Arial"/>
                <w:sz w:val="24"/>
                <w:szCs w:val="24"/>
                <w:vertAlign w:val="superscript"/>
                <w:lang w:eastAsia="en-AU"/>
              </w:rPr>
              <w:t>)</w:t>
            </w:r>
          </w:p>
        </w:tc>
        <w:tc>
          <w:tcPr>
            <w:tcW w:w="1814" w:type="dxa"/>
            <w:shd w:val="clear" w:color="auto" w:fill="auto"/>
            <w:noWrap/>
            <w:vAlign w:val="center"/>
            <w:hideMark/>
          </w:tcPr>
          <w:p w14:paraId="53C4E709"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9,042 </w:t>
            </w:r>
          </w:p>
        </w:tc>
        <w:tc>
          <w:tcPr>
            <w:tcW w:w="1814" w:type="dxa"/>
            <w:shd w:val="clear" w:color="auto" w:fill="auto"/>
            <w:noWrap/>
            <w:vAlign w:val="center"/>
            <w:hideMark/>
          </w:tcPr>
          <w:p w14:paraId="43E0254D"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2,308 </w:t>
            </w:r>
          </w:p>
        </w:tc>
      </w:tr>
      <w:tr w:rsidR="003E5BF5" w:rsidRPr="00020050" w14:paraId="03557BF3" w14:textId="77777777" w:rsidTr="006D70B5">
        <w:trPr>
          <w:trHeight w:val="340"/>
        </w:trPr>
        <w:tc>
          <w:tcPr>
            <w:tcW w:w="6266" w:type="dxa"/>
            <w:shd w:val="clear" w:color="auto" w:fill="auto"/>
            <w:noWrap/>
            <w:vAlign w:val="center"/>
            <w:hideMark/>
          </w:tcPr>
          <w:p w14:paraId="7452925C"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 xml:space="preserve"> - Unconditional and expected to wholly settle after 12 months </w:t>
            </w:r>
            <w:r w:rsidRPr="00020050">
              <w:rPr>
                <w:rFonts w:ascii="Arial" w:hAnsi="Arial" w:cs="Arial"/>
                <w:sz w:val="24"/>
                <w:szCs w:val="24"/>
                <w:vertAlign w:val="superscript"/>
                <w:lang w:eastAsia="en-AU"/>
              </w:rPr>
              <w:t>(ii)</w:t>
            </w:r>
          </w:p>
        </w:tc>
        <w:tc>
          <w:tcPr>
            <w:tcW w:w="1814" w:type="dxa"/>
            <w:shd w:val="clear" w:color="auto" w:fill="auto"/>
            <w:noWrap/>
            <w:vAlign w:val="center"/>
            <w:hideMark/>
          </w:tcPr>
          <w:p w14:paraId="1EC5C59D"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17,792 </w:t>
            </w:r>
          </w:p>
        </w:tc>
        <w:tc>
          <w:tcPr>
            <w:tcW w:w="1814" w:type="dxa"/>
            <w:shd w:val="clear" w:color="auto" w:fill="auto"/>
            <w:noWrap/>
            <w:vAlign w:val="center"/>
            <w:hideMark/>
          </w:tcPr>
          <w:p w14:paraId="243AEAFC"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4,524 </w:t>
            </w:r>
          </w:p>
        </w:tc>
      </w:tr>
      <w:tr w:rsidR="003E5BF5" w:rsidRPr="00020050" w14:paraId="730E6173" w14:textId="77777777" w:rsidTr="006D70B5">
        <w:trPr>
          <w:trHeight w:val="340"/>
        </w:trPr>
        <w:tc>
          <w:tcPr>
            <w:tcW w:w="6266" w:type="dxa"/>
            <w:shd w:val="clear" w:color="auto" w:fill="auto"/>
            <w:noWrap/>
            <w:vAlign w:val="center"/>
            <w:hideMark/>
          </w:tcPr>
          <w:p w14:paraId="0180C7D0"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t>Total current provisions</w:t>
            </w:r>
          </w:p>
        </w:tc>
        <w:tc>
          <w:tcPr>
            <w:tcW w:w="1814" w:type="dxa"/>
            <w:shd w:val="clear" w:color="auto" w:fill="auto"/>
            <w:noWrap/>
            <w:vAlign w:val="center"/>
            <w:hideMark/>
          </w:tcPr>
          <w:p w14:paraId="447E2252"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190,436 </w:t>
            </w:r>
          </w:p>
        </w:tc>
        <w:tc>
          <w:tcPr>
            <w:tcW w:w="1814" w:type="dxa"/>
            <w:shd w:val="clear" w:color="auto" w:fill="auto"/>
            <w:noWrap/>
            <w:vAlign w:val="center"/>
            <w:hideMark/>
          </w:tcPr>
          <w:p w14:paraId="35F780A1"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50,723 </w:t>
            </w:r>
          </w:p>
        </w:tc>
      </w:tr>
      <w:tr w:rsidR="003E5BF5" w:rsidRPr="00020050" w14:paraId="7AD37E8C" w14:textId="77777777" w:rsidTr="006D70B5">
        <w:trPr>
          <w:trHeight w:val="340"/>
        </w:trPr>
        <w:tc>
          <w:tcPr>
            <w:tcW w:w="6266" w:type="dxa"/>
            <w:shd w:val="clear" w:color="auto" w:fill="auto"/>
            <w:noWrap/>
            <w:vAlign w:val="center"/>
            <w:hideMark/>
          </w:tcPr>
          <w:p w14:paraId="09BD6521" w14:textId="77777777" w:rsidR="003E5BF5" w:rsidRPr="00020050" w:rsidRDefault="003E5BF5" w:rsidP="00604703">
            <w:pPr>
              <w:pStyle w:val="TableTextGreen"/>
              <w:rPr>
                <w:lang w:eastAsia="en-AU"/>
              </w:rPr>
            </w:pPr>
            <w:r w:rsidRPr="00020050">
              <w:t>Non-current provisions</w:t>
            </w:r>
          </w:p>
        </w:tc>
        <w:tc>
          <w:tcPr>
            <w:tcW w:w="1814" w:type="dxa"/>
            <w:shd w:val="clear" w:color="auto" w:fill="auto"/>
            <w:noWrap/>
            <w:vAlign w:val="center"/>
            <w:hideMark/>
          </w:tcPr>
          <w:p w14:paraId="41DD4947" w14:textId="77777777" w:rsidR="003E5BF5" w:rsidRPr="00020050" w:rsidRDefault="003E5BF5" w:rsidP="00DE1921">
            <w:pPr>
              <w:jc w:val="right"/>
              <w:rPr>
                <w:rFonts w:ascii="Arial" w:hAnsi="Arial" w:cs="Arial"/>
                <w:b/>
                <w:sz w:val="24"/>
                <w:szCs w:val="24"/>
                <w:lang w:eastAsia="en-AU"/>
              </w:rPr>
            </w:pPr>
          </w:p>
        </w:tc>
        <w:tc>
          <w:tcPr>
            <w:tcW w:w="1814" w:type="dxa"/>
            <w:shd w:val="clear" w:color="auto" w:fill="auto"/>
            <w:noWrap/>
            <w:vAlign w:val="center"/>
            <w:hideMark/>
          </w:tcPr>
          <w:p w14:paraId="6150FBA9" w14:textId="77777777" w:rsidR="003E5BF5" w:rsidRPr="00020050" w:rsidRDefault="003E5BF5" w:rsidP="00DE1921">
            <w:pPr>
              <w:jc w:val="right"/>
              <w:rPr>
                <w:rFonts w:ascii="Arial" w:hAnsi="Arial" w:cs="Arial"/>
                <w:sz w:val="24"/>
                <w:szCs w:val="24"/>
                <w:lang w:eastAsia="en-AU"/>
              </w:rPr>
            </w:pPr>
          </w:p>
        </w:tc>
      </w:tr>
      <w:tr w:rsidR="003E5BF5" w:rsidRPr="00020050" w14:paraId="12400EAF" w14:textId="77777777" w:rsidTr="006D70B5">
        <w:trPr>
          <w:trHeight w:val="340"/>
        </w:trPr>
        <w:tc>
          <w:tcPr>
            <w:tcW w:w="6266" w:type="dxa"/>
            <w:shd w:val="clear" w:color="auto" w:fill="auto"/>
            <w:noWrap/>
            <w:vAlign w:val="center"/>
            <w:hideMark/>
          </w:tcPr>
          <w:p w14:paraId="1EAAC03D"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 xml:space="preserve">Employee benefits </w:t>
            </w:r>
          </w:p>
        </w:tc>
        <w:tc>
          <w:tcPr>
            <w:tcW w:w="1814" w:type="dxa"/>
            <w:shd w:val="clear" w:color="auto" w:fill="auto"/>
            <w:noWrap/>
            <w:vAlign w:val="center"/>
            <w:hideMark/>
          </w:tcPr>
          <w:p w14:paraId="179DB5E9"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23,610 </w:t>
            </w:r>
          </w:p>
        </w:tc>
        <w:tc>
          <w:tcPr>
            <w:tcW w:w="1814" w:type="dxa"/>
            <w:shd w:val="clear" w:color="auto" w:fill="auto"/>
            <w:noWrap/>
            <w:vAlign w:val="center"/>
            <w:hideMark/>
          </w:tcPr>
          <w:p w14:paraId="185865A4"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11,956 </w:t>
            </w:r>
          </w:p>
        </w:tc>
      </w:tr>
      <w:tr w:rsidR="003E5BF5" w:rsidRPr="00020050" w14:paraId="6DD98590" w14:textId="77777777" w:rsidTr="006D70B5">
        <w:trPr>
          <w:trHeight w:val="340"/>
        </w:trPr>
        <w:tc>
          <w:tcPr>
            <w:tcW w:w="6266" w:type="dxa"/>
            <w:shd w:val="clear" w:color="auto" w:fill="auto"/>
            <w:noWrap/>
            <w:vAlign w:val="center"/>
            <w:hideMark/>
          </w:tcPr>
          <w:p w14:paraId="3E801BB4"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Provisions for on-costs</w:t>
            </w:r>
          </w:p>
        </w:tc>
        <w:tc>
          <w:tcPr>
            <w:tcW w:w="1814" w:type="dxa"/>
            <w:shd w:val="clear" w:color="auto" w:fill="auto"/>
            <w:noWrap/>
            <w:vAlign w:val="center"/>
            <w:hideMark/>
          </w:tcPr>
          <w:p w14:paraId="53B390D8"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3,658 </w:t>
            </w:r>
          </w:p>
        </w:tc>
        <w:tc>
          <w:tcPr>
            <w:tcW w:w="1814" w:type="dxa"/>
            <w:shd w:val="clear" w:color="auto" w:fill="auto"/>
            <w:noWrap/>
            <w:vAlign w:val="center"/>
            <w:hideMark/>
          </w:tcPr>
          <w:p w14:paraId="2AC8A11C"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1,834 </w:t>
            </w:r>
          </w:p>
        </w:tc>
      </w:tr>
      <w:tr w:rsidR="003E5BF5" w:rsidRPr="00020050" w14:paraId="0E06AC2D" w14:textId="77777777" w:rsidTr="006D70B5">
        <w:trPr>
          <w:trHeight w:val="340"/>
        </w:trPr>
        <w:tc>
          <w:tcPr>
            <w:tcW w:w="6266" w:type="dxa"/>
            <w:tcBorders>
              <w:bottom w:val="single" w:sz="4" w:space="0" w:color="auto"/>
            </w:tcBorders>
            <w:shd w:val="clear" w:color="auto" w:fill="auto"/>
            <w:noWrap/>
            <w:vAlign w:val="center"/>
            <w:hideMark/>
          </w:tcPr>
          <w:p w14:paraId="4CE5CFB6"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t>Total non-current provisions</w:t>
            </w:r>
          </w:p>
        </w:tc>
        <w:tc>
          <w:tcPr>
            <w:tcW w:w="1814" w:type="dxa"/>
            <w:tcBorders>
              <w:bottom w:val="single" w:sz="4" w:space="0" w:color="auto"/>
            </w:tcBorders>
            <w:shd w:val="clear" w:color="auto" w:fill="auto"/>
            <w:noWrap/>
            <w:vAlign w:val="center"/>
            <w:hideMark/>
          </w:tcPr>
          <w:p w14:paraId="275E5043"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27,268 </w:t>
            </w:r>
          </w:p>
        </w:tc>
        <w:tc>
          <w:tcPr>
            <w:tcW w:w="1814" w:type="dxa"/>
            <w:tcBorders>
              <w:bottom w:val="single" w:sz="4" w:space="0" w:color="auto"/>
            </w:tcBorders>
            <w:shd w:val="clear" w:color="auto" w:fill="auto"/>
            <w:noWrap/>
            <w:vAlign w:val="center"/>
            <w:hideMark/>
          </w:tcPr>
          <w:p w14:paraId="6839D754"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13,790 </w:t>
            </w:r>
          </w:p>
        </w:tc>
      </w:tr>
      <w:tr w:rsidR="003E5BF5" w:rsidRPr="00020050" w14:paraId="2DCE2C9D" w14:textId="77777777" w:rsidTr="006D70B5">
        <w:trPr>
          <w:trHeight w:val="340"/>
        </w:trPr>
        <w:tc>
          <w:tcPr>
            <w:tcW w:w="6266" w:type="dxa"/>
            <w:tcBorders>
              <w:bottom w:val="single" w:sz="4" w:space="0" w:color="auto"/>
            </w:tcBorders>
            <w:shd w:val="clear" w:color="auto" w:fill="auto"/>
            <w:noWrap/>
            <w:vAlign w:val="center"/>
            <w:hideMark/>
          </w:tcPr>
          <w:p w14:paraId="3107FB16"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t>Total provisions for employee benefits</w:t>
            </w:r>
          </w:p>
        </w:tc>
        <w:tc>
          <w:tcPr>
            <w:tcW w:w="1814" w:type="dxa"/>
            <w:tcBorders>
              <w:bottom w:val="single" w:sz="4" w:space="0" w:color="auto"/>
            </w:tcBorders>
            <w:shd w:val="clear" w:color="auto" w:fill="auto"/>
            <w:noWrap/>
            <w:vAlign w:val="center"/>
            <w:hideMark/>
          </w:tcPr>
          <w:p w14:paraId="1A385270"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217,704 </w:t>
            </w:r>
          </w:p>
        </w:tc>
        <w:tc>
          <w:tcPr>
            <w:tcW w:w="1814" w:type="dxa"/>
            <w:tcBorders>
              <w:bottom w:val="single" w:sz="4" w:space="0" w:color="auto"/>
            </w:tcBorders>
            <w:shd w:val="clear" w:color="auto" w:fill="auto"/>
            <w:noWrap/>
            <w:vAlign w:val="center"/>
            <w:hideMark/>
          </w:tcPr>
          <w:p w14:paraId="7DBF4530"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64,514 </w:t>
            </w:r>
          </w:p>
        </w:tc>
      </w:tr>
    </w:tbl>
    <w:p w14:paraId="0EE817B6" w14:textId="41BF6FA9" w:rsidR="003E5BF5" w:rsidRDefault="003E5BF5" w:rsidP="00DE1921">
      <w:pPr>
        <w:rPr>
          <w:lang w:eastAsia="en-AU"/>
        </w:rPr>
      </w:pPr>
    </w:p>
    <w:p w14:paraId="04BB5102" w14:textId="77777777" w:rsidR="00E310C7" w:rsidRPr="00020050" w:rsidRDefault="00E310C7" w:rsidP="00E310C7">
      <w:pPr>
        <w:spacing w:before="120"/>
        <w:rPr>
          <w:rFonts w:ascii="Arial" w:hAnsi="Arial" w:cs="Arial"/>
          <w:sz w:val="24"/>
          <w:szCs w:val="24"/>
          <w:lang w:eastAsia="en-AU"/>
        </w:rPr>
      </w:pPr>
      <w:r w:rsidRPr="00020050">
        <w:rPr>
          <w:rFonts w:ascii="Arial" w:hAnsi="Arial" w:cs="Arial"/>
          <w:sz w:val="24"/>
          <w:szCs w:val="24"/>
          <w:lang w:eastAsia="en-AU"/>
        </w:rPr>
        <w:t>Notes:</w:t>
      </w:r>
    </w:p>
    <w:p w14:paraId="211F65A3" w14:textId="77777777" w:rsidR="00E310C7" w:rsidRPr="00020050" w:rsidRDefault="00E310C7" w:rsidP="00610F5F">
      <w:pPr>
        <w:pStyle w:val="aaaNotenumberiiiiii"/>
        <w:numPr>
          <w:ilvl w:val="0"/>
          <w:numId w:val="73"/>
        </w:numPr>
      </w:pPr>
      <w:r w:rsidRPr="00020050">
        <w:t>Nominal amounts are disclosed.</w:t>
      </w:r>
    </w:p>
    <w:p w14:paraId="682B70DF" w14:textId="7324EEE0" w:rsidR="00BE79E3" w:rsidRDefault="00E310C7" w:rsidP="00E310C7">
      <w:pPr>
        <w:pStyle w:val="aaaNotenumberiiiiii"/>
      </w:pPr>
      <w:r w:rsidRPr="00020050">
        <w:t>The amounts disclosed are discounted to present value.</w:t>
      </w:r>
      <w:r w:rsidR="00BE79E3">
        <w:br w:type="page"/>
      </w:r>
    </w:p>
    <w:p w14:paraId="0308EC10" w14:textId="77777777" w:rsidR="003E5BF5" w:rsidRDefault="003E5BF5" w:rsidP="00DE1921">
      <w:pPr>
        <w:spacing w:after="0"/>
        <w:sectPr w:rsidR="003E5BF5" w:rsidSect="00DE1921">
          <w:headerReference w:type="even" r:id="rId83"/>
          <w:headerReference w:type="default" r:id="rId84"/>
          <w:headerReference w:type="first" r:id="rId85"/>
          <w:pgSz w:w="11906" w:h="16838"/>
          <w:pgMar w:top="1701" w:right="1418" w:bottom="1418" w:left="1418" w:header="708" w:footer="708" w:gutter="0"/>
          <w:cols w:space="708"/>
          <w:docGrid w:linePitch="360"/>
        </w:sectPr>
      </w:pPr>
    </w:p>
    <w:p w14:paraId="0854E16E" w14:textId="77777777" w:rsidR="003E5BF5" w:rsidRPr="007444F0" w:rsidRDefault="003E5BF5" w:rsidP="00056955">
      <w:pPr>
        <w:pStyle w:val="aaatyping"/>
      </w:pPr>
      <w:r w:rsidRPr="007444F0">
        <w:lastRenderedPageBreak/>
        <w:t xml:space="preserve">Liabilities for salaries and wages and annual leave are all recognised in the provision for employee benefits as current liabilities, as </w:t>
      </w:r>
      <w:r>
        <w:t>the department</w:t>
      </w:r>
      <w:r w:rsidRPr="007444F0">
        <w:t xml:space="preserve"> does not have an unconditional right to defer settlements of these liabilities.</w:t>
      </w:r>
    </w:p>
    <w:p w14:paraId="3B58F49B" w14:textId="77777777" w:rsidR="003E5BF5" w:rsidRPr="007444F0" w:rsidRDefault="003E5BF5" w:rsidP="00056955">
      <w:pPr>
        <w:pStyle w:val="aaatyping"/>
      </w:pPr>
      <w:r w:rsidRPr="007444F0">
        <w:t xml:space="preserve">Depending on the expectation of the timing of settlement, liabilities for salaries </w:t>
      </w:r>
      <w:r>
        <w:t xml:space="preserve">and </w:t>
      </w:r>
      <w:r w:rsidRPr="007444F0">
        <w:t xml:space="preserve">wages and annual leave are measured at nominal value if </w:t>
      </w:r>
      <w:r>
        <w:t>the department</w:t>
      </w:r>
      <w:r w:rsidRPr="007444F0">
        <w:t xml:space="preserve"> expects to wholly settle within 12 months or present value if </w:t>
      </w:r>
      <w:r>
        <w:t>the department</w:t>
      </w:r>
      <w:r w:rsidRPr="007444F0">
        <w:t xml:space="preserve"> does not expect to wholly settle within 12 months.</w:t>
      </w:r>
    </w:p>
    <w:p w14:paraId="5EACBF41" w14:textId="77777777" w:rsidR="003E5BF5" w:rsidRPr="007444F0" w:rsidRDefault="003E5BF5" w:rsidP="00056955">
      <w:pPr>
        <w:pStyle w:val="aaatyping"/>
      </w:pPr>
      <w:r w:rsidRPr="007444F0">
        <w:rPr>
          <w:b/>
        </w:rPr>
        <w:t>Unconditional long service leave (LSL)</w:t>
      </w:r>
      <w:r w:rsidRPr="007444F0">
        <w:t xml:space="preserve"> is disclosed as a current liability even where </w:t>
      </w:r>
      <w:r>
        <w:t>the department</w:t>
      </w:r>
      <w:r w:rsidRPr="007444F0">
        <w:t xml:space="preserve"> does not expect to settle the liability within 12 months</w:t>
      </w:r>
      <w:r>
        <w:t>,</w:t>
      </w:r>
      <w:r w:rsidRPr="007444F0">
        <w:t xml:space="preserve"> because it will not have an unconditional right to defer the settlement of the entitlement should an employee take leave within 12 months.</w:t>
      </w:r>
    </w:p>
    <w:p w14:paraId="2432132E" w14:textId="77777777" w:rsidR="003E5BF5" w:rsidRPr="007444F0" w:rsidRDefault="003E5BF5" w:rsidP="00056955">
      <w:pPr>
        <w:pStyle w:val="aaatyping"/>
      </w:pPr>
      <w:r w:rsidRPr="007444F0">
        <w:t>The components of this current LSL liability are measured at:</w:t>
      </w:r>
    </w:p>
    <w:p w14:paraId="30169B23" w14:textId="77777777" w:rsidR="003E5BF5" w:rsidRPr="007444F0" w:rsidRDefault="003E5BF5" w:rsidP="00056955">
      <w:pPr>
        <w:pStyle w:val="aaabullet"/>
      </w:pPr>
      <w:r w:rsidRPr="007444F0">
        <w:t xml:space="preserve">undiscounted value if </w:t>
      </w:r>
      <w:r>
        <w:t>the department</w:t>
      </w:r>
      <w:r w:rsidRPr="007444F0">
        <w:t xml:space="preserve"> expects to wholly settle within 12 months; or </w:t>
      </w:r>
    </w:p>
    <w:p w14:paraId="6E4A55DE" w14:textId="77777777" w:rsidR="003E5BF5" w:rsidRPr="007444F0" w:rsidRDefault="003E5BF5" w:rsidP="00056955">
      <w:pPr>
        <w:pStyle w:val="aaabullet"/>
      </w:pPr>
      <w:r w:rsidRPr="007444F0">
        <w:t xml:space="preserve">present value if </w:t>
      </w:r>
      <w:r>
        <w:t>the department</w:t>
      </w:r>
      <w:r w:rsidRPr="007444F0">
        <w:t xml:space="preserve"> does not expect to wholly settle within 12 months.</w:t>
      </w:r>
    </w:p>
    <w:p w14:paraId="34CD22C8" w14:textId="01C48561" w:rsidR="003E5BF5" w:rsidRDefault="003E5BF5" w:rsidP="00056955">
      <w:pPr>
        <w:pStyle w:val="aaatyping"/>
      </w:pPr>
      <w:r w:rsidRPr="007444F0">
        <w:rPr>
          <w:b/>
        </w:rPr>
        <w:t>Conditional</w:t>
      </w:r>
      <w:r>
        <w:rPr>
          <w:b/>
        </w:rPr>
        <w:t xml:space="preserve"> LSL </w:t>
      </w:r>
      <w:r w:rsidRPr="007444F0">
        <w:t>is disclosed as a non-current liability. There is an unconditional right to defer the settlement of the entitlement until the employee has completed the requisite years of service. This non-current long service liability is measured at present value.</w:t>
      </w:r>
    </w:p>
    <w:p w14:paraId="3CBC1352" w14:textId="2B0FBE52" w:rsidR="003E5BF5" w:rsidRDefault="003E5BF5" w:rsidP="00056955">
      <w:pPr>
        <w:pStyle w:val="aaatyping"/>
      </w:pPr>
      <w:r w:rsidRPr="007444F0">
        <w:t xml:space="preserve">Any gain or loss following revaluation of the present value of non-current LSL liability is recognised as a transaction, except to the extent that a </w:t>
      </w:r>
      <w:bookmarkStart w:id="165" w:name="p96"/>
      <w:bookmarkEnd w:id="165"/>
      <w:r w:rsidRPr="007444F0">
        <w:lastRenderedPageBreak/>
        <w:t>gain or loss arises due to changes in bond interest rates for which it is then recognised as an 'other economic flow' in the net result.</w:t>
      </w:r>
    </w:p>
    <w:p w14:paraId="163E0144" w14:textId="77777777" w:rsidR="003E5BF5" w:rsidRDefault="003E5BF5" w:rsidP="006667CC">
      <w:pPr>
        <w:pStyle w:val="Heading3"/>
        <w:numPr>
          <w:ilvl w:val="2"/>
          <w:numId w:val="3"/>
        </w:numPr>
        <w:sectPr w:rsidR="003E5BF5" w:rsidSect="003A5C96">
          <w:type w:val="continuous"/>
          <w:pgSz w:w="11906" w:h="16838"/>
          <w:pgMar w:top="1701" w:right="1418" w:bottom="1418" w:left="1418" w:header="708" w:footer="708" w:gutter="0"/>
          <w:cols w:space="284"/>
          <w:docGrid w:linePitch="360"/>
        </w:sectPr>
      </w:pPr>
    </w:p>
    <w:p w14:paraId="29A790C2" w14:textId="77777777" w:rsidR="003E5BF5" w:rsidRDefault="003E5BF5" w:rsidP="006667CC">
      <w:pPr>
        <w:pStyle w:val="Heading3"/>
        <w:numPr>
          <w:ilvl w:val="2"/>
          <w:numId w:val="3"/>
        </w:numPr>
        <w:ind w:left="851" w:hanging="851"/>
      </w:pPr>
      <w:r w:rsidRPr="0007767D">
        <w:t>Superannuation contributions</w:t>
      </w:r>
    </w:p>
    <w:p w14:paraId="55210DF3" w14:textId="77777777" w:rsidR="003E5BF5" w:rsidRPr="007444F0" w:rsidRDefault="003E5BF5" w:rsidP="00056955">
      <w:pPr>
        <w:pStyle w:val="aaatyping"/>
      </w:pPr>
      <w:r w:rsidRPr="007444F0">
        <w:t xml:space="preserve">Employees of </w:t>
      </w:r>
      <w:r>
        <w:t>the department</w:t>
      </w:r>
      <w:r w:rsidRPr="007444F0">
        <w:t xml:space="preserve"> are entitled to receive superannuation benefits and </w:t>
      </w:r>
      <w:r>
        <w:t>the department</w:t>
      </w:r>
      <w:r w:rsidRPr="007444F0">
        <w:t xml:space="preserve"> contributes to both defined benefit and defined contribution plans. The defined benefit plans provide benefits based on years of service and final average salary.</w:t>
      </w:r>
    </w:p>
    <w:p w14:paraId="70210F65" w14:textId="77777777" w:rsidR="003E5BF5" w:rsidRPr="007444F0" w:rsidRDefault="003E5BF5" w:rsidP="00056955">
      <w:pPr>
        <w:pStyle w:val="aaatyping"/>
      </w:pPr>
      <w:r w:rsidRPr="007444F0">
        <w:t xml:space="preserve">Superannuation contributions paid or payable for the reporting period are included as part of employee benefits in the comprehensive operating statement of </w:t>
      </w:r>
      <w:r>
        <w:t>the department</w:t>
      </w:r>
      <w:r w:rsidRPr="007444F0">
        <w:t>.</w:t>
      </w:r>
    </w:p>
    <w:p w14:paraId="3F589A04" w14:textId="748F50C6" w:rsidR="00507498" w:rsidRDefault="003E5BF5" w:rsidP="00056955">
      <w:pPr>
        <w:pStyle w:val="aaatyping"/>
      </w:pPr>
      <w:r>
        <w:t>The department</w:t>
      </w:r>
      <w:r w:rsidRPr="007444F0">
        <w:t xml:space="preserve"> does not recognise any liability in respect of the defined benefit plans because the entity has no legal or constructive obligation to pay future benefits relating to its employees; its only obligation is to pay superannuation contributions as they fall due. </w:t>
      </w:r>
      <w:r>
        <w:t>DTF</w:t>
      </w:r>
      <w:r w:rsidRPr="007444F0">
        <w:t xml:space="preserve"> recognises and discloses the State's defined benefit liabilities in its financial statements as an administered liability.</w:t>
      </w:r>
      <w:r w:rsidR="00507498">
        <w:br w:type="page"/>
      </w:r>
    </w:p>
    <w:p w14:paraId="7DCC3376" w14:textId="77777777" w:rsidR="003E5BF5" w:rsidRDefault="003E5BF5" w:rsidP="00056955">
      <w:pPr>
        <w:pStyle w:val="aaatyping"/>
      </w:pPr>
      <w:r w:rsidRPr="007444F0">
        <w:lastRenderedPageBreak/>
        <w:t xml:space="preserve">The name, details and amounts expensed in relation to the major employee superannuation funds and contributions made by </w:t>
      </w:r>
      <w:r>
        <w:t>the department</w:t>
      </w:r>
      <w:r w:rsidRPr="007444F0">
        <w:t xml:space="preserve"> are as follows</w:t>
      </w:r>
      <w:r>
        <w:t>:</w:t>
      </w:r>
      <w:bookmarkStart w:id="166" w:name="RANGE!A3:E12"/>
      <w:bookmarkStart w:id="167" w:name="RANGE!A3:E13"/>
      <w:bookmarkStart w:id="168" w:name="_Toc41471420"/>
      <w:bookmarkEnd w:id="166"/>
      <w:bookmarkEnd w:id="167"/>
    </w:p>
    <w:tbl>
      <w:tblPr>
        <w:tblStyle w:val="TableGrid"/>
        <w:tblW w:w="9072" w:type="dxa"/>
        <w:tblLayout w:type="fixed"/>
        <w:tblLook w:val="04A0" w:firstRow="1" w:lastRow="0" w:firstColumn="1" w:lastColumn="0" w:noHBand="0" w:noVBand="1"/>
      </w:tblPr>
      <w:tblGrid>
        <w:gridCol w:w="4393"/>
        <w:gridCol w:w="1169"/>
        <w:gridCol w:w="1168"/>
        <w:gridCol w:w="1168"/>
        <w:gridCol w:w="1174"/>
      </w:tblGrid>
      <w:tr w:rsidR="006D70B5" w:rsidRPr="00020050" w14:paraId="3255D479" w14:textId="77777777" w:rsidTr="00E00040">
        <w:trPr>
          <w:trHeight w:val="340"/>
        </w:trPr>
        <w:tc>
          <w:tcPr>
            <w:tcW w:w="4395" w:type="dxa"/>
            <w:shd w:val="clear" w:color="auto" w:fill="auto"/>
            <w:noWrap/>
            <w:hideMark/>
          </w:tcPr>
          <w:p w14:paraId="21B42002" w14:textId="77777777" w:rsidR="006D70B5" w:rsidRPr="00020050" w:rsidRDefault="006D70B5" w:rsidP="00DE1921">
            <w:pPr>
              <w:rPr>
                <w:rFonts w:ascii="Arial" w:hAnsi="Arial" w:cs="Arial"/>
                <w:sz w:val="24"/>
                <w:szCs w:val="24"/>
              </w:rPr>
            </w:pPr>
          </w:p>
        </w:tc>
        <w:tc>
          <w:tcPr>
            <w:tcW w:w="2338" w:type="dxa"/>
            <w:gridSpan w:val="2"/>
            <w:shd w:val="clear" w:color="auto" w:fill="auto"/>
            <w:noWrap/>
            <w:vAlign w:val="center"/>
            <w:hideMark/>
          </w:tcPr>
          <w:p w14:paraId="501F617F" w14:textId="77777777" w:rsidR="006D70B5" w:rsidRPr="00020050" w:rsidRDefault="006D70B5" w:rsidP="00DE1921">
            <w:pPr>
              <w:jc w:val="center"/>
              <w:rPr>
                <w:rFonts w:ascii="Arial" w:hAnsi="Arial" w:cs="Arial"/>
                <w:b/>
                <w:sz w:val="24"/>
                <w:szCs w:val="24"/>
              </w:rPr>
            </w:pPr>
            <w:r w:rsidRPr="00020050">
              <w:rPr>
                <w:rFonts w:ascii="Arial" w:hAnsi="Arial" w:cs="Arial"/>
                <w:b/>
                <w:sz w:val="24"/>
                <w:szCs w:val="24"/>
              </w:rPr>
              <w:t>($ thousand)</w:t>
            </w:r>
          </w:p>
        </w:tc>
        <w:tc>
          <w:tcPr>
            <w:tcW w:w="2339" w:type="dxa"/>
            <w:gridSpan w:val="2"/>
            <w:shd w:val="clear" w:color="auto" w:fill="auto"/>
            <w:vAlign w:val="center"/>
          </w:tcPr>
          <w:p w14:paraId="163CB76F" w14:textId="4A1293A9" w:rsidR="006D70B5" w:rsidRPr="00020050" w:rsidRDefault="006D70B5" w:rsidP="00DE1921">
            <w:pPr>
              <w:jc w:val="center"/>
              <w:rPr>
                <w:rFonts w:ascii="Arial" w:hAnsi="Arial" w:cs="Arial"/>
                <w:b/>
                <w:sz w:val="24"/>
                <w:szCs w:val="24"/>
              </w:rPr>
            </w:pPr>
            <w:r w:rsidRPr="00020050">
              <w:rPr>
                <w:rFonts w:ascii="Arial" w:hAnsi="Arial" w:cs="Arial"/>
                <w:b/>
                <w:sz w:val="24"/>
                <w:szCs w:val="24"/>
              </w:rPr>
              <w:t>($ thousand)</w:t>
            </w:r>
          </w:p>
        </w:tc>
      </w:tr>
      <w:tr w:rsidR="003E5BF5" w:rsidRPr="00020050" w14:paraId="3C4F7A24" w14:textId="77777777" w:rsidTr="006D70B5">
        <w:trPr>
          <w:trHeight w:val="340"/>
        </w:trPr>
        <w:tc>
          <w:tcPr>
            <w:tcW w:w="4395" w:type="dxa"/>
            <w:shd w:val="clear" w:color="auto" w:fill="auto"/>
            <w:noWrap/>
            <w:hideMark/>
          </w:tcPr>
          <w:p w14:paraId="21C4F3CF" w14:textId="77777777" w:rsidR="003E5BF5" w:rsidRPr="00020050" w:rsidRDefault="003E5BF5" w:rsidP="00DE1921">
            <w:pPr>
              <w:rPr>
                <w:rFonts w:ascii="Arial" w:hAnsi="Arial" w:cs="Arial"/>
                <w:sz w:val="24"/>
                <w:szCs w:val="24"/>
              </w:rPr>
            </w:pPr>
          </w:p>
        </w:tc>
        <w:tc>
          <w:tcPr>
            <w:tcW w:w="2333" w:type="dxa"/>
            <w:gridSpan w:val="2"/>
            <w:shd w:val="clear" w:color="auto" w:fill="auto"/>
            <w:vAlign w:val="bottom"/>
            <w:hideMark/>
          </w:tcPr>
          <w:p w14:paraId="1BCA1B7A" w14:textId="77777777" w:rsidR="003E5BF5" w:rsidRPr="00020050" w:rsidRDefault="003E5BF5" w:rsidP="00DE1921">
            <w:pPr>
              <w:jc w:val="center"/>
              <w:rPr>
                <w:rFonts w:ascii="Arial" w:hAnsi="Arial" w:cs="Arial"/>
                <w:b/>
                <w:sz w:val="24"/>
                <w:szCs w:val="24"/>
              </w:rPr>
            </w:pPr>
            <w:r w:rsidRPr="00020050">
              <w:rPr>
                <w:rFonts w:ascii="Arial" w:hAnsi="Arial" w:cs="Arial"/>
                <w:b/>
                <w:sz w:val="24"/>
                <w:szCs w:val="24"/>
              </w:rPr>
              <w:t>Paid contribution for the year</w:t>
            </w:r>
          </w:p>
        </w:tc>
        <w:tc>
          <w:tcPr>
            <w:tcW w:w="2344" w:type="dxa"/>
            <w:gridSpan w:val="2"/>
            <w:shd w:val="clear" w:color="auto" w:fill="auto"/>
            <w:vAlign w:val="bottom"/>
            <w:hideMark/>
          </w:tcPr>
          <w:p w14:paraId="338CD18A" w14:textId="77777777" w:rsidR="003E5BF5" w:rsidRPr="00020050" w:rsidRDefault="003E5BF5" w:rsidP="00DE1921">
            <w:pPr>
              <w:jc w:val="center"/>
              <w:rPr>
                <w:rFonts w:ascii="Arial" w:hAnsi="Arial" w:cs="Arial"/>
                <w:b/>
                <w:sz w:val="24"/>
                <w:szCs w:val="24"/>
              </w:rPr>
            </w:pPr>
            <w:r w:rsidRPr="00020050">
              <w:rPr>
                <w:rFonts w:ascii="Arial" w:hAnsi="Arial" w:cs="Arial"/>
                <w:b/>
                <w:sz w:val="24"/>
                <w:szCs w:val="24"/>
              </w:rPr>
              <w:t>Contribution outstanding at year end</w:t>
            </w:r>
          </w:p>
        </w:tc>
      </w:tr>
      <w:tr w:rsidR="003E5BF5" w:rsidRPr="00020050" w14:paraId="7C948F37" w14:textId="77777777" w:rsidTr="00B10162">
        <w:trPr>
          <w:trHeight w:val="340"/>
        </w:trPr>
        <w:tc>
          <w:tcPr>
            <w:tcW w:w="4395" w:type="dxa"/>
            <w:shd w:val="clear" w:color="auto" w:fill="auto"/>
            <w:noWrap/>
            <w:hideMark/>
          </w:tcPr>
          <w:p w14:paraId="500D9D34" w14:textId="77777777" w:rsidR="003E5BF5" w:rsidRPr="00020050" w:rsidRDefault="003E5BF5" w:rsidP="00DE1921">
            <w:pPr>
              <w:rPr>
                <w:rFonts w:ascii="Arial" w:hAnsi="Arial" w:cs="Arial"/>
                <w:b/>
                <w:sz w:val="24"/>
                <w:szCs w:val="24"/>
              </w:rPr>
            </w:pPr>
          </w:p>
        </w:tc>
        <w:tc>
          <w:tcPr>
            <w:tcW w:w="1169" w:type="dxa"/>
            <w:shd w:val="clear" w:color="auto" w:fill="auto"/>
            <w:vAlign w:val="center"/>
            <w:hideMark/>
          </w:tcPr>
          <w:p w14:paraId="3554C3D6" w14:textId="77777777" w:rsidR="003E5BF5" w:rsidRPr="00020050" w:rsidRDefault="003E5BF5" w:rsidP="00DE1921">
            <w:pPr>
              <w:jc w:val="right"/>
              <w:rPr>
                <w:rFonts w:ascii="Arial" w:hAnsi="Arial" w:cs="Arial"/>
                <w:b/>
                <w:sz w:val="24"/>
                <w:szCs w:val="24"/>
              </w:rPr>
            </w:pPr>
            <w:r w:rsidRPr="00020050">
              <w:rPr>
                <w:rFonts w:ascii="Arial" w:hAnsi="Arial" w:cs="Arial"/>
                <w:b/>
                <w:sz w:val="24"/>
                <w:szCs w:val="24"/>
              </w:rPr>
              <w:t>2020</w:t>
            </w:r>
          </w:p>
        </w:tc>
        <w:tc>
          <w:tcPr>
            <w:tcW w:w="1169" w:type="dxa"/>
            <w:shd w:val="clear" w:color="auto" w:fill="auto"/>
            <w:vAlign w:val="center"/>
            <w:hideMark/>
          </w:tcPr>
          <w:p w14:paraId="0FE9AA75" w14:textId="77777777" w:rsidR="003E5BF5" w:rsidRPr="00020050" w:rsidRDefault="003E5BF5" w:rsidP="00DE1921">
            <w:pPr>
              <w:jc w:val="right"/>
              <w:rPr>
                <w:rFonts w:ascii="Arial" w:hAnsi="Arial" w:cs="Arial"/>
                <w:b/>
                <w:sz w:val="24"/>
                <w:szCs w:val="24"/>
              </w:rPr>
            </w:pPr>
            <w:r w:rsidRPr="00020050">
              <w:rPr>
                <w:rFonts w:ascii="Arial" w:hAnsi="Arial" w:cs="Arial"/>
                <w:b/>
                <w:sz w:val="24"/>
                <w:szCs w:val="24"/>
              </w:rPr>
              <w:t>2019</w:t>
            </w:r>
          </w:p>
        </w:tc>
        <w:tc>
          <w:tcPr>
            <w:tcW w:w="1169" w:type="dxa"/>
            <w:shd w:val="clear" w:color="auto" w:fill="auto"/>
            <w:vAlign w:val="center"/>
            <w:hideMark/>
          </w:tcPr>
          <w:p w14:paraId="123D0972" w14:textId="77777777" w:rsidR="003E5BF5" w:rsidRPr="00020050" w:rsidRDefault="003E5BF5" w:rsidP="00DE1921">
            <w:pPr>
              <w:jc w:val="right"/>
              <w:rPr>
                <w:rFonts w:ascii="Arial" w:hAnsi="Arial" w:cs="Arial"/>
                <w:b/>
                <w:sz w:val="24"/>
                <w:szCs w:val="24"/>
              </w:rPr>
            </w:pPr>
            <w:r w:rsidRPr="00020050">
              <w:rPr>
                <w:rFonts w:ascii="Arial" w:hAnsi="Arial" w:cs="Arial"/>
                <w:b/>
                <w:sz w:val="24"/>
                <w:szCs w:val="24"/>
              </w:rPr>
              <w:t>2020</w:t>
            </w:r>
          </w:p>
        </w:tc>
        <w:tc>
          <w:tcPr>
            <w:tcW w:w="1170" w:type="dxa"/>
            <w:shd w:val="clear" w:color="auto" w:fill="auto"/>
            <w:vAlign w:val="center"/>
            <w:hideMark/>
          </w:tcPr>
          <w:p w14:paraId="4AA02411" w14:textId="77777777" w:rsidR="003E5BF5" w:rsidRPr="00020050" w:rsidRDefault="003E5BF5" w:rsidP="00DE1921">
            <w:pPr>
              <w:jc w:val="right"/>
              <w:rPr>
                <w:rFonts w:ascii="Arial" w:hAnsi="Arial" w:cs="Arial"/>
                <w:b/>
                <w:sz w:val="24"/>
                <w:szCs w:val="24"/>
              </w:rPr>
            </w:pPr>
            <w:r w:rsidRPr="00020050">
              <w:rPr>
                <w:rFonts w:ascii="Arial" w:hAnsi="Arial" w:cs="Arial"/>
                <w:b/>
                <w:sz w:val="24"/>
                <w:szCs w:val="24"/>
              </w:rPr>
              <w:t>2019</w:t>
            </w:r>
          </w:p>
        </w:tc>
      </w:tr>
      <w:tr w:rsidR="003E5BF5" w:rsidRPr="00020050" w14:paraId="241B75DE" w14:textId="77777777" w:rsidTr="00B10162">
        <w:trPr>
          <w:trHeight w:val="340"/>
        </w:trPr>
        <w:tc>
          <w:tcPr>
            <w:tcW w:w="4395" w:type="dxa"/>
            <w:shd w:val="clear" w:color="auto" w:fill="auto"/>
            <w:noWrap/>
            <w:vAlign w:val="center"/>
            <w:hideMark/>
          </w:tcPr>
          <w:p w14:paraId="6A473886" w14:textId="77777777" w:rsidR="003E5BF5" w:rsidRPr="00020050" w:rsidRDefault="003E5BF5" w:rsidP="00604703">
            <w:pPr>
              <w:pStyle w:val="TableTextGreen"/>
            </w:pPr>
            <w:r w:rsidRPr="00020050">
              <w:t xml:space="preserve">Defined benefit plans </w:t>
            </w:r>
            <w:r w:rsidRPr="00020050">
              <w:rPr>
                <w:vertAlign w:val="superscript"/>
              </w:rPr>
              <w:t>(</w:t>
            </w:r>
            <w:proofErr w:type="spellStart"/>
            <w:r w:rsidRPr="00020050">
              <w:rPr>
                <w:vertAlign w:val="superscript"/>
              </w:rPr>
              <w:t>i</w:t>
            </w:r>
            <w:proofErr w:type="spellEnd"/>
            <w:r w:rsidRPr="00020050">
              <w:rPr>
                <w:vertAlign w:val="superscript"/>
              </w:rPr>
              <w:t>)</w:t>
            </w:r>
          </w:p>
        </w:tc>
        <w:tc>
          <w:tcPr>
            <w:tcW w:w="1169" w:type="dxa"/>
            <w:shd w:val="clear" w:color="auto" w:fill="auto"/>
            <w:noWrap/>
            <w:vAlign w:val="center"/>
            <w:hideMark/>
          </w:tcPr>
          <w:p w14:paraId="49505D26" w14:textId="77777777" w:rsidR="003E5BF5" w:rsidRPr="00020050" w:rsidRDefault="003E5BF5" w:rsidP="00DE1921">
            <w:pPr>
              <w:jc w:val="right"/>
              <w:rPr>
                <w:rFonts w:ascii="Arial" w:hAnsi="Arial" w:cs="Arial"/>
                <w:b/>
                <w:sz w:val="24"/>
                <w:szCs w:val="24"/>
              </w:rPr>
            </w:pPr>
          </w:p>
        </w:tc>
        <w:tc>
          <w:tcPr>
            <w:tcW w:w="1169" w:type="dxa"/>
            <w:shd w:val="clear" w:color="auto" w:fill="auto"/>
            <w:noWrap/>
            <w:vAlign w:val="center"/>
            <w:hideMark/>
          </w:tcPr>
          <w:p w14:paraId="2B1246EF" w14:textId="77777777" w:rsidR="003E5BF5" w:rsidRPr="00020050" w:rsidRDefault="003E5BF5" w:rsidP="00DE1921">
            <w:pPr>
              <w:jc w:val="right"/>
              <w:rPr>
                <w:rFonts w:ascii="Arial" w:hAnsi="Arial" w:cs="Arial"/>
                <w:sz w:val="24"/>
                <w:szCs w:val="24"/>
              </w:rPr>
            </w:pPr>
          </w:p>
        </w:tc>
        <w:tc>
          <w:tcPr>
            <w:tcW w:w="1169" w:type="dxa"/>
            <w:shd w:val="clear" w:color="auto" w:fill="auto"/>
            <w:noWrap/>
            <w:vAlign w:val="center"/>
            <w:hideMark/>
          </w:tcPr>
          <w:p w14:paraId="77380747" w14:textId="77777777" w:rsidR="003E5BF5" w:rsidRPr="00020050" w:rsidRDefault="003E5BF5" w:rsidP="00DE1921">
            <w:pPr>
              <w:jc w:val="right"/>
              <w:rPr>
                <w:rFonts w:ascii="Arial" w:hAnsi="Arial" w:cs="Arial"/>
                <w:sz w:val="24"/>
                <w:szCs w:val="24"/>
              </w:rPr>
            </w:pPr>
            <w:r w:rsidRPr="00020050">
              <w:rPr>
                <w:rFonts w:ascii="Arial" w:hAnsi="Arial" w:cs="Arial"/>
                <w:sz w:val="24"/>
                <w:szCs w:val="24"/>
              </w:rPr>
              <w:t> </w:t>
            </w:r>
          </w:p>
        </w:tc>
        <w:tc>
          <w:tcPr>
            <w:tcW w:w="1170" w:type="dxa"/>
            <w:shd w:val="clear" w:color="auto" w:fill="auto"/>
            <w:noWrap/>
            <w:vAlign w:val="center"/>
            <w:hideMark/>
          </w:tcPr>
          <w:p w14:paraId="3B7C216F" w14:textId="77777777" w:rsidR="003E5BF5" w:rsidRPr="00020050" w:rsidRDefault="003E5BF5" w:rsidP="00DE1921">
            <w:pPr>
              <w:jc w:val="right"/>
              <w:rPr>
                <w:rFonts w:ascii="Arial" w:hAnsi="Arial" w:cs="Arial"/>
                <w:sz w:val="24"/>
                <w:szCs w:val="24"/>
              </w:rPr>
            </w:pPr>
          </w:p>
        </w:tc>
      </w:tr>
      <w:tr w:rsidR="003E5BF5" w:rsidRPr="00020050" w14:paraId="4834F68D" w14:textId="77777777" w:rsidTr="00B10162">
        <w:trPr>
          <w:trHeight w:val="340"/>
        </w:trPr>
        <w:tc>
          <w:tcPr>
            <w:tcW w:w="4395" w:type="dxa"/>
            <w:shd w:val="clear" w:color="auto" w:fill="auto"/>
            <w:noWrap/>
            <w:vAlign w:val="center"/>
            <w:hideMark/>
          </w:tcPr>
          <w:p w14:paraId="4C85979F" w14:textId="77777777" w:rsidR="003E5BF5" w:rsidRPr="00020050" w:rsidRDefault="003E5BF5" w:rsidP="00DE1921">
            <w:pPr>
              <w:rPr>
                <w:rFonts w:ascii="Arial" w:hAnsi="Arial" w:cs="Arial"/>
                <w:sz w:val="24"/>
                <w:szCs w:val="24"/>
              </w:rPr>
            </w:pPr>
            <w:r w:rsidRPr="00020050">
              <w:rPr>
                <w:rFonts w:ascii="Arial" w:hAnsi="Arial" w:cs="Arial"/>
                <w:sz w:val="24"/>
                <w:szCs w:val="24"/>
              </w:rPr>
              <w:t>State Superannuation Fund - revised and new</w:t>
            </w:r>
          </w:p>
        </w:tc>
        <w:tc>
          <w:tcPr>
            <w:tcW w:w="1169" w:type="dxa"/>
            <w:shd w:val="clear" w:color="auto" w:fill="auto"/>
            <w:noWrap/>
            <w:vAlign w:val="center"/>
            <w:hideMark/>
          </w:tcPr>
          <w:p w14:paraId="3C167DA9" w14:textId="77777777" w:rsidR="003E5BF5" w:rsidRPr="00020050" w:rsidRDefault="003E5BF5" w:rsidP="00DE1921">
            <w:pPr>
              <w:jc w:val="right"/>
              <w:rPr>
                <w:rFonts w:ascii="Arial" w:hAnsi="Arial" w:cs="Arial"/>
                <w:sz w:val="24"/>
                <w:szCs w:val="24"/>
              </w:rPr>
            </w:pPr>
            <w:r w:rsidRPr="00020050">
              <w:rPr>
                <w:rFonts w:ascii="Arial" w:hAnsi="Arial" w:cs="Arial"/>
                <w:sz w:val="24"/>
                <w:szCs w:val="24"/>
              </w:rPr>
              <w:t>(6,807)</w:t>
            </w:r>
          </w:p>
        </w:tc>
        <w:tc>
          <w:tcPr>
            <w:tcW w:w="1169" w:type="dxa"/>
            <w:shd w:val="clear" w:color="auto" w:fill="auto"/>
            <w:noWrap/>
            <w:vAlign w:val="center"/>
            <w:hideMark/>
          </w:tcPr>
          <w:p w14:paraId="45DFA080" w14:textId="77777777" w:rsidR="003E5BF5" w:rsidRPr="00020050" w:rsidRDefault="003E5BF5" w:rsidP="00DE1921">
            <w:pPr>
              <w:jc w:val="right"/>
              <w:rPr>
                <w:rFonts w:ascii="Arial" w:hAnsi="Arial" w:cs="Arial"/>
                <w:sz w:val="24"/>
                <w:szCs w:val="24"/>
              </w:rPr>
            </w:pPr>
            <w:r w:rsidRPr="00020050">
              <w:rPr>
                <w:rFonts w:ascii="Arial" w:hAnsi="Arial" w:cs="Arial"/>
                <w:sz w:val="24"/>
                <w:szCs w:val="24"/>
              </w:rPr>
              <w:t>(1,989)</w:t>
            </w:r>
          </w:p>
        </w:tc>
        <w:tc>
          <w:tcPr>
            <w:tcW w:w="1169" w:type="dxa"/>
            <w:shd w:val="clear" w:color="auto" w:fill="auto"/>
            <w:noWrap/>
            <w:vAlign w:val="center"/>
            <w:hideMark/>
          </w:tcPr>
          <w:p w14:paraId="2F1D1BC1" w14:textId="77777777" w:rsidR="003E5BF5" w:rsidRPr="00020050" w:rsidRDefault="003E5BF5" w:rsidP="00DE1921">
            <w:pPr>
              <w:jc w:val="right"/>
              <w:rPr>
                <w:rFonts w:ascii="Arial" w:hAnsi="Arial" w:cs="Arial"/>
                <w:sz w:val="24"/>
                <w:szCs w:val="24"/>
              </w:rPr>
            </w:pPr>
            <w:r w:rsidRPr="00020050">
              <w:rPr>
                <w:rFonts w:ascii="Arial" w:hAnsi="Arial" w:cs="Arial"/>
                <w:sz w:val="24"/>
                <w:szCs w:val="24"/>
              </w:rPr>
              <w:t>(265)</w:t>
            </w:r>
          </w:p>
        </w:tc>
        <w:tc>
          <w:tcPr>
            <w:tcW w:w="1170" w:type="dxa"/>
            <w:shd w:val="clear" w:color="auto" w:fill="auto"/>
            <w:noWrap/>
            <w:vAlign w:val="center"/>
            <w:hideMark/>
          </w:tcPr>
          <w:p w14:paraId="0ABE7902" w14:textId="77777777" w:rsidR="003E5BF5" w:rsidRPr="00020050" w:rsidRDefault="003E5BF5" w:rsidP="00DE1921">
            <w:pPr>
              <w:jc w:val="right"/>
              <w:rPr>
                <w:rFonts w:ascii="Arial" w:hAnsi="Arial" w:cs="Arial"/>
                <w:sz w:val="24"/>
                <w:szCs w:val="24"/>
              </w:rPr>
            </w:pPr>
            <w:r w:rsidRPr="00020050">
              <w:rPr>
                <w:rFonts w:ascii="Arial" w:hAnsi="Arial" w:cs="Arial"/>
                <w:b/>
                <w:sz w:val="24"/>
                <w:szCs w:val="24"/>
              </w:rPr>
              <w:t>-</w:t>
            </w:r>
          </w:p>
        </w:tc>
      </w:tr>
      <w:tr w:rsidR="003E5BF5" w:rsidRPr="00020050" w14:paraId="3BB2BD1B" w14:textId="77777777" w:rsidTr="00B10162">
        <w:trPr>
          <w:trHeight w:val="340"/>
        </w:trPr>
        <w:tc>
          <w:tcPr>
            <w:tcW w:w="4395" w:type="dxa"/>
            <w:shd w:val="clear" w:color="auto" w:fill="auto"/>
            <w:noWrap/>
            <w:vAlign w:val="center"/>
            <w:hideMark/>
          </w:tcPr>
          <w:p w14:paraId="32E35B3C" w14:textId="77777777" w:rsidR="003E5BF5" w:rsidRPr="00020050" w:rsidRDefault="003E5BF5" w:rsidP="00DE1921">
            <w:pPr>
              <w:rPr>
                <w:rFonts w:ascii="Arial" w:hAnsi="Arial" w:cs="Arial"/>
                <w:sz w:val="24"/>
                <w:szCs w:val="24"/>
              </w:rPr>
            </w:pPr>
            <w:r w:rsidRPr="00020050">
              <w:rPr>
                <w:rFonts w:ascii="Arial" w:hAnsi="Arial" w:cs="Arial"/>
                <w:sz w:val="24"/>
                <w:szCs w:val="24"/>
              </w:rPr>
              <w:t>Transport Superannuation Fund</w:t>
            </w:r>
          </w:p>
        </w:tc>
        <w:tc>
          <w:tcPr>
            <w:tcW w:w="1169" w:type="dxa"/>
            <w:shd w:val="clear" w:color="auto" w:fill="auto"/>
            <w:noWrap/>
            <w:vAlign w:val="center"/>
            <w:hideMark/>
          </w:tcPr>
          <w:p w14:paraId="572FE8BC" w14:textId="77777777" w:rsidR="003E5BF5" w:rsidRPr="00020050" w:rsidRDefault="003E5BF5" w:rsidP="00DE1921">
            <w:pPr>
              <w:jc w:val="right"/>
              <w:rPr>
                <w:rFonts w:ascii="Arial" w:hAnsi="Arial" w:cs="Arial"/>
                <w:sz w:val="24"/>
                <w:szCs w:val="24"/>
              </w:rPr>
            </w:pPr>
            <w:r w:rsidRPr="00020050">
              <w:rPr>
                <w:rFonts w:ascii="Arial" w:hAnsi="Arial" w:cs="Arial"/>
                <w:sz w:val="24"/>
                <w:szCs w:val="24"/>
              </w:rPr>
              <w:t>(72)</w:t>
            </w:r>
          </w:p>
        </w:tc>
        <w:tc>
          <w:tcPr>
            <w:tcW w:w="1169" w:type="dxa"/>
            <w:shd w:val="clear" w:color="auto" w:fill="auto"/>
            <w:noWrap/>
            <w:vAlign w:val="center"/>
            <w:hideMark/>
          </w:tcPr>
          <w:p w14:paraId="64004944" w14:textId="77777777" w:rsidR="003E5BF5" w:rsidRPr="00020050" w:rsidRDefault="003E5BF5" w:rsidP="00DE1921">
            <w:pPr>
              <w:jc w:val="right"/>
              <w:rPr>
                <w:rFonts w:ascii="Arial" w:hAnsi="Arial" w:cs="Arial"/>
                <w:sz w:val="24"/>
                <w:szCs w:val="24"/>
              </w:rPr>
            </w:pPr>
            <w:r w:rsidRPr="00020050">
              <w:rPr>
                <w:rFonts w:ascii="Arial" w:hAnsi="Arial" w:cs="Arial"/>
                <w:b/>
                <w:sz w:val="24"/>
                <w:szCs w:val="24"/>
              </w:rPr>
              <w:t>-</w:t>
            </w:r>
            <w:r w:rsidRPr="00020050">
              <w:rPr>
                <w:rFonts w:ascii="Arial" w:hAnsi="Arial" w:cs="Arial"/>
                <w:sz w:val="24"/>
                <w:szCs w:val="24"/>
              </w:rPr>
              <w:t xml:space="preserve"> </w:t>
            </w:r>
          </w:p>
        </w:tc>
        <w:tc>
          <w:tcPr>
            <w:tcW w:w="1169" w:type="dxa"/>
            <w:shd w:val="clear" w:color="auto" w:fill="auto"/>
            <w:noWrap/>
            <w:vAlign w:val="center"/>
            <w:hideMark/>
          </w:tcPr>
          <w:p w14:paraId="7A078ECA" w14:textId="77777777" w:rsidR="003E5BF5" w:rsidRPr="00020050" w:rsidRDefault="003E5BF5" w:rsidP="00DE1921">
            <w:pPr>
              <w:jc w:val="right"/>
              <w:rPr>
                <w:rFonts w:ascii="Arial" w:hAnsi="Arial" w:cs="Arial"/>
                <w:sz w:val="24"/>
                <w:szCs w:val="24"/>
              </w:rPr>
            </w:pPr>
            <w:r w:rsidRPr="00020050">
              <w:rPr>
                <w:rFonts w:ascii="Arial" w:hAnsi="Arial" w:cs="Arial"/>
                <w:sz w:val="24"/>
                <w:szCs w:val="24"/>
              </w:rPr>
              <w:t>(1)</w:t>
            </w:r>
          </w:p>
        </w:tc>
        <w:tc>
          <w:tcPr>
            <w:tcW w:w="1170" w:type="dxa"/>
            <w:shd w:val="clear" w:color="auto" w:fill="auto"/>
            <w:noWrap/>
            <w:vAlign w:val="center"/>
            <w:hideMark/>
          </w:tcPr>
          <w:p w14:paraId="0EFDDA77" w14:textId="77777777" w:rsidR="003E5BF5" w:rsidRPr="00020050" w:rsidRDefault="003E5BF5" w:rsidP="00DE1921">
            <w:pPr>
              <w:jc w:val="right"/>
              <w:rPr>
                <w:rFonts w:ascii="Arial" w:hAnsi="Arial" w:cs="Arial"/>
                <w:sz w:val="24"/>
                <w:szCs w:val="24"/>
              </w:rPr>
            </w:pPr>
            <w:r w:rsidRPr="00020050">
              <w:rPr>
                <w:rFonts w:ascii="Arial" w:hAnsi="Arial" w:cs="Arial"/>
                <w:b/>
                <w:sz w:val="24"/>
                <w:szCs w:val="24"/>
              </w:rPr>
              <w:t>-</w:t>
            </w:r>
          </w:p>
        </w:tc>
      </w:tr>
      <w:tr w:rsidR="003E5BF5" w:rsidRPr="00020050" w14:paraId="569E38BC" w14:textId="77777777" w:rsidTr="00B10162">
        <w:trPr>
          <w:trHeight w:val="340"/>
        </w:trPr>
        <w:tc>
          <w:tcPr>
            <w:tcW w:w="4395" w:type="dxa"/>
            <w:shd w:val="clear" w:color="auto" w:fill="auto"/>
            <w:noWrap/>
            <w:vAlign w:val="center"/>
            <w:hideMark/>
          </w:tcPr>
          <w:p w14:paraId="530D7F49" w14:textId="77777777" w:rsidR="003E5BF5" w:rsidRPr="00020050" w:rsidRDefault="003E5BF5" w:rsidP="00604703">
            <w:pPr>
              <w:pStyle w:val="TableTextGreen"/>
            </w:pPr>
            <w:r w:rsidRPr="00020050">
              <w:t>Defined contribution plans</w:t>
            </w:r>
          </w:p>
        </w:tc>
        <w:tc>
          <w:tcPr>
            <w:tcW w:w="1169" w:type="dxa"/>
            <w:shd w:val="clear" w:color="auto" w:fill="auto"/>
            <w:noWrap/>
            <w:vAlign w:val="center"/>
            <w:hideMark/>
          </w:tcPr>
          <w:p w14:paraId="47D9027D" w14:textId="77777777" w:rsidR="003E5BF5" w:rsidRPr="00020050" w:rsidRDefault="003E5BF5" w:rsidP="00DE1921">
            <w:pPr>
              <w:jc w:val="right"/>
              <w:rPr>
                <w:rFonts w:ascii="Arial" w:hAnsi="Arial" w:cs="Arial"/>
                <w:sz w:val="24"/>
                <w:szCs w:val="24"/>
              </w:rPr>
            </w:pPr>
            <w:r w:rsidRPr="00020050">
              <w:rPr>
                <w:rFonts w:ascii="Arial" w:hAnsi="Arial" w:cs="Arial"/>
                <w:sz w:val="24"/>
                <w:szCs w:val="24"/>
              </w:rPr>
              <w:t> </w:t>
            </w:r>
          </w:p>
        </w:tc>
        <w:tc>
          <w:tcPr>
            <w:tcW w:w="1169" w:type="dxa"/>
            <w:shd w:val="clear" w:color="auto" w:fill="auto"/>
            <w:noWrap/>
            <w:vAlign w:val="center"/>
            <w:hideMark/>
          </w:tcPr>
          <w:p w14:paraId="6B414F9F" w14:textId="77777777" w:rsidR="003E5BF5" w:rsidRPr="00020050" w:rsidRDefault="003E5BF5" w:rsidP="00DE1921">
            <w:pPr>
              <w:jc w:val="right"/>
              <w:rPr>
                <w:rFonts w:ascii="Arial" w:hAnsi="Arial" w:cs="Arial"/>
                <w:sz w:val="24"/>
                <w:szCs w:val="24"/>
              </w:rPr>
            </w:pPr>
          </w:p>
        </w:tc>
        <w:tc>
          <w:tcPr>
            <w:tcW w:w="1169" w:type="dxa"/>
            <w:shd w:val="clear" w:color="auto" w:fill="auto"/>
            <w:noWrap/>
            <w:vAlign w:val="center"/>
            <w:hideMark/>
          </w:tcPr>
          <w:p w14:paraId="43987B46" w14:textId="77777777" w:rsidR="003E5BF5" w:rsidRPr="00020050" w:rsidRDefault="003E5BF5" w:rsidP="00DE1921">
            <w:pPr>
              <w:jc w:val="right"/>
              <w:rPr>
                <w:rFonts w:ascii="Arial" w:hAnsi="Arial" w:cs="Arial"/>
                <w:sz w:val="24"/>
                <w:szCs w:val="24"/>
              </w:rPr>
            </w:pPr>
            <w:r w:rsidRPr="00020050">
              <w:rPr>
                <w:rFonts w:ascii="Arial" w:hAnsi="Arial" w:cs="Arial"/>
                <w:sz w:val="24"/>
                <w:szCs w:val="24"/>
              </w:rPr>
              <w:t> </w:t>
            </w:r>
          </w:p>
        </w:tc>
        <w:tc>
          <w:tcPr>
            <w:tcW w:w="1170" w:type="dxa"/>
            <w:shd w:val="clear" w:color="auto" w:fill="auto"/>
            <w:noWrap/>
            <w:vAlign w:val="center"/>
            <w:hideMark/>
          </w:tcPr>
          <w:p w14:paraId="4BBE17A7" w14:textId="77777777" w:rsidR="003E5BF5" w:rsidRPr="00020050" w:rsidRDefault="003E5BF5" w:rsidP="00DE1921">
            <w:pPr>
              <w:jc w:val="right"/>
              <w:rPr>
                <w:rFonts w:ascii="Arial" w:hAnsi="Arial" w:cs="Arial"/>
                <w:sz w:val="24"/>
                <w:szCs w:val="24"/>
              </w:rPr>
            </w:pPr>
          </w:p>
        </w:tc>
      </w:tr>
      <w:tr w:rsidR="003E5BF5" w:rsidRPr="00020050" w14:paraId="6A2AB24C" w14:textId="77777777" w:rsidTr="00B10162">
        <w:trPr>
          <w:trHeight w:val="340"/>
        </w:trPr>
        <w:tc>
          <w:tcPr>
            <w:tcW w:w="4395" w:type="dxa"/>
            <w:shd w:val="clear" w:color="auto" w:fill="auto"/>
            <w:noWrap/>
            <w:vAlign w:val="center"/>
            <w:hideMark/>
          </w:tcPr>
          <w:p w14:paraId="0EF360B0" w14:textId="77777777" w:rsidR="003E5BF5" w:rsidRPr="00020050" w:rsidRDefault="003E5BF5" w:rsidP="00DE1921">
            <w:pPr>
              <w:rPr>
                <w:rFonts w:ascii="Arial" w:hAnsi="Arial" w:cs="Arial"/>
                <w:sz w:val="24"/>
                <w:szCs w:val="24"/>
              </w:rPr>
            </w:pPr>
            <w:proofErr w:type="spellStart"/>
            <w:r w:rsidRPr="00020050">
              <w:rPr>
                <w:rFonts w:ascii="Arial" w:hAnsi="Arial" w:cs="Arial"/>
                <w:sz w:val="24"/>
                <w:szCs w:val="24"/>
              </w:rPr>
              <w:t>VicSuper</w:t>
            </w:r>
            <w:proofErr w:type="spellEnd"/>
          </w:p>
        </w:tc>
        <w:tc>
          <w:tcPr>
            <w:tcW w:w="1169" w:type="dxa"/>
            <w:shd w:val="clear" w:color="auto" w:fill="auto"/>
            <w:noWrap/>
            <w:vAlign w:val="center"/>
            <w:hideMark/>
          </w:tcPr>
          <w:p w14:paraId="29D0F1FE" w14:textId="77777777" w:rsidR="003E5BF5" w:rsidRPr="00020050" w:rsidRDefault="003E5BF5" w:rsidP="00DE1921">
            <w:pPr>
              <w:jc w:val="right"/>
              <w:rPr>
                <w:rFonts w:ascii="Arial" w:hAnsi="Arial" w:cs="Arial"/>
                <w:sz w:val="24"/>
                <w:szCs w:val="24"/>
              </w:rPr>
            </w:pPr>
            <w:r w:rsidRPr="00020050">
              <w:rPr>
                <w:rFonts w:ascii="Arial" w:hAnsi="Arial" w:cs="Arial"/>
                <w:sz w:val="24"/>
                <w:szCs w:val="24"/>
              </w:rPr>
              <w:t>(32,149)</w:t>
            </w:r>
          </w:p>
        </w:tc>
        <w:tc>
          <w:tcPr>
            <w:tcW w:w="1169" w:type="dxa"/>
            <w:shd w:val="clear" w:color="auto" w:fill="auto"/>
            <w:noWrap/>
            <w:vAlign w:val="center"/>
            <w:hideMark/>
          </w:tcPr>
          <w:p w14:paraId="4FE05DA3" w14:textId="77777777" w:rsidR="003E5BF5" w:rsidRPr="00020050" w:rsidRDefault="003E5BF5" w:rsidP="00DE1921">
            <w:pPr>
              <w:jc w:val="right"/>
              <w:rPr>
                <w:rFonts w:ascii="Arial" w:hAnsi="Arial" w:cs="Arial"/>
                <w:sz w:val="24"/>
                <w:szCs w:val="24"/>
              </w:rPr>
            </w:pPr>
            <w:r w:rsidRPr="00020050">
              <w:rPr>
                <w:rFonts w:ascii="Arial" w:hAnsi="Arial" w:cs="Arial"/>
                <w:sz w:val="24"/>
                <w:szCs w:val="24"/>
              </w:rPr>
              <w:t>(13,270)</w:t>
            </w:r>
          </w:p>
        </w:tc>
        <w:tc>
          <w:tcPr>
            <w:tcW w:w="1169" w:type="dxa"/>
            <w:shd w:val="clear" w:color="auto" w:fill="auto"/>
            <w:noWrap/>
            <w:vAlign w:val="center"/>
            <w:hideMark/>
          </w:tcPr>
          <w:p w14:paraId="6D75112D" w14:textId="77777777" w:rsidR="003E5BF5" w:rsidRPr="00020050" w:rsidRDefault="003E5BF5" w:rsidP="00DE1921">
            <w:pPr>
              <w:jc w:val="right"/>
              <w:rPr>
                <w:rFonts w:ascii="Arial" w:hAnsi="Arial" w:cs="Arial"/>
                <w:sz w:val="24"/>
                <w:szCs w:val="24"/>
              </w:rPr>
            </w:pPr>
            <w:r w:rsidRPr="00020050">
              <w:rPr>
                <w:rFonts w:ascii="Arial" w:hAnsi="Arial" w:cs="Arial"/>
                <w:sz w:val="24"/>
                <w:szCs w:val="24"/>
              </w:rPr>
              <w:t>(903)</w:t>
            </w:r>
          </w:p>
        </w:tc>
        <w:tc>
          <w:tcPr>
            <w:tcW w:w="1170" w:type="dxa"/>
            <w:shd w:val="clear" w:color="auto" w:fill="auto"/>
            <w:noWrap/>
            <w:vAlign w:val="center"/>
            <w:hideMark/>
          </w:tcPr>
          <w:p w14:paraId="3F20D8D1" w14:textId="77777777" w:rsidR="003E5BF5" w:rsidRPr="00020050" w:rsidRDefault="003E5BF5" w:rsidP="00DE1921">
            <w:pPr>
              <w:jc w:val="right"/>
              <w:rPr>
                <w:rFonts w:ascii="Arial" w:hAnsi="Arial" w:cs="Arial"/>
                <w:sz w:val="24"/>
                <w:szCs w:val="24"/>
              </w:rPr>
            </w:pPr>
            <w:r w:rsidRPr="00020050">
              <w:rPr>
                <w:rFonts w:ascii="Arial" w:hAnsi="Arial" w:cs="Arial"/>
                <w:b/>
                <w:sz w:val="24"/>
                <w:szCs w:val="24"/>
              </w:rPr>
              <w:t>-</w:t>
            </w:r>
          </w:p>
        </w:tc>
      </w:tr>
      <w:tr w:rsidR="003E5BF5" w:rsidRPr="00020050" w14:paraId="780AE0C8" w14:textId="77777777" w:rsidTr="00DB35CE">
        <w:trPr>
          <w:trHeight w:val="340"/>
        </w:trPr>
        <w:tc>
          <w:tcPr>
            <w:tcW w:w="4395" w:type="dxa"/>
            <w:tcBorders>
              <w:bottom w:val="single" w:sz="4" w:space="0" w:color="auto"/>
            </w:tcBorders>
            <w:shd w:val="clear" w:color="auto" w:fill="auto"/>
            <w:noWrap/>
            <w:vAlign w:val="center"/>
            <w:hideMark/>
          </w:tcPr>
          <w:p w14:paraId="03070ECA" w14:textId="77777777" w:rsidR="003E5BF5" w:rsidRPr="00020050" w:rsidRDefault="003E5BF5" w:rsidP="00DE1921">
            <w:pPr>
              <w:rPr>
                <w:rFonts w:ascii="Arial" w:hAnsi="Arial" w:cs="Arial"/>
                <w:sz w:val="24"/>
                <w:szCs w:val="24"/>
              </w:rPr>
            </w:pPr>
            <w:r w:rsidRPr="00020050">
              <w:rPr>
                <w:rFonts w:ascii="Arial" w:hAnsi="Arial" w:cs="Arial"/>
                <w:sz w:val="24"/>
                <w:szCs w:val="24"/>
              </w:rPr>
              <w:t>Other</w:t>
            </w:r>
          </w:p>
        </w:tc>
        <w:tc>
          <w:tcPr>
            <w:tcW w:w="1169" w:type="dxa"/>
            <w:tcBorders>
              <w:bottom w:val="single" w:sz="4" w:space="0" w:color="auto"/>
            </w:tcBorders>
            <w:shd w:val="clear" w:color="auto" w:fill="auto"/>
            <w:noWrap/>
            <w:vAlign w:val="center"/>
            <w:hideMark/>
          </w:tcPr>
          <w:p w14:paraId="40CF148E" w14:textId="77777777" w:rsidR="003E5BF5" w:rsidRPr="00020050" w:rsidRDefault="003E5BF5" w:rsidP="00DE1921">
            <w:pPr>
              <w:jc w:val="right"/>
              <w:rPr>
                <w:rFonts w:ascii="Arial" w:hAnsi="Arial" w:cs="Arial"/>
                <w:sz w:val="24"/>
                <w:szCs w:val="24"/>
              </w:rPr>
            </w:pPr>
            <w:r w:rsidRPr="00020050">
              <w:rPr>
                <w:rFonts w:ascii="Arial" w:hAnsi="Arial" w:cs="Arial"/>
                <w:sz w:val="24"/>
                <w:szCs w:val="24"/>
              </w:rPr>
              <w:t>(31,406)</w:t>
            </w:r>
          </w:p>
        </w:tc>
        <w:tc>
          <w:tcPr>
            <w:tcW w:w="1169" w:type="dxa"/>
            <w:tcBorders>
              <w:bottom w:val="single" w:sz="4" w:space="0" w:color="auto"/>
            </w:tcBorders>
            <w:shd w:val="clear" w:color="auto" w:fill="auto"/>
            <w:noWrap/>
            <w:vAlign w:val="center"/>
            <w:hideMark/>
          </w:tcPr>
          <w:p w14:paraId="635455C4" w14:textId="77777777" w:rsidR="003E5BF5" w:rsidRPr="00020050" w:rsidRDefault="003E5BF5" w:rsidP="00DE1921">
            <w:pPr>
              <w:jc w:val="right"/>
              <w:rPr>
                <w:rFonts w:ascii="Arial" w:hAnsi="Arial" w:cs="Arial"/>
                <w:sz w:val="24"/>
                <w:szCs w:val="24"/>
              </w:rPr>
            </w:pPr>
            <w:r w:rsidRPr="00020050">
              <w:rPr>
                <w:rFonts w:ascii="Arial" w:hAnsi="Arial" w:cs="Arial"/>
                <w:sz w:val="24"/>
                <w:szCs w:val="24"/>
              </w:rPr>
              <w:t>(9,253)</w:t>
            </w:r>
          </w:p>
        </w:tc>
        <w:tc>
          <w:tcPr>
            <w:tcW w:w="1169" w:type="dxa"/>
            <w:tcBorders>
              <w:bottom w:val="single" w:sz="4" w:space="0" w:color="auto"/>
            </w:tcBorders>
            <w:shd w:val="clear" w:color="auto" w:fill="auto"/>
            <w:noWrap/>
            <w:vAlign w:val="center"/>
            <w:hideMark/>
          </w:tcPr>
          <w:p w14:paraId="356B2A4D" w14:textId="77777777" w:rsidR="003E5BF5" w:rsidRPr="00020050" w:rsidRDefault="003E5BF5" w:rsidP="00DE1921">
            <w:pPr>
              <w:jc w:val="right"/>
              <w:rPr>
                <w:rFonts w:ascii="Arial" w:hAnsi="Arial" w:cs="Arial"/>
                <w:sz w:val="24"/>
                <w:szCs w:val="24"/>
              </w:rPr>
            </w:pPr>
            <w:r w:rsidRPr="00020050">
              <w:rPr>
                <w:rFonts w:ascii="Arial" w:hAnsi="Arial" w:cs="Arial"/>
                <w:sz w:val="24"/>
                <w:szCs w:val="24"/>
              </w:rPr>
              <w:t>(890)</w:t>
            </w:r>
          </w:p>
        </w:tc>
        <w:tc>
          <w:tcPr>
            <w:tcW w:w="1170" w:type="dxa"/>
            <w:tcBorders>
              <w:bottom w:val="single" w:sz="4" w:space="0" w:color="auto"/>
            </w:tcBorders>
            <w:shd w:val="clear" w:color="auto" w:fill="auto"/>
            <w:noWrap/>
            <w:vAlign w:val="center"/>
            <w:hideMark/>
          </w:tcPr>
          <w:p w14:paraId="6B42AD9A" w14:textId="77777777" w:rsidR="003E5BF5" w:rsidRPr="00020050" w:rsidRDefault="003E5BF5" w:rsidP="00DE1921">
            <w:pPr>
              <w:jc w:val="right"/>
              <w:rPr>
                <w:rFonts w:ascii="Arial" w:hAnsi="Arial" w:cs="Arial"/>
                <w:sz w:val="24"/>
                <w:szCs w:val="24"/>
              </w:rPr>
            </w:pPr>
            <w:r w:rsidRPr="00020050">
              <w:rPr>
                <w:rFonts w:ascii="Arial" w:hAnsi="Arial" w:cs="Arial"/>
                <w:b/>
                <w:sz w:val="24"/>
                <w:szCs w:val="24"/>
              </w:rPr>
              <w:t>-</w:t>
            </w:r>
          </w:p>
        </w:tc>
      </w:tr>
      <w:tr w:rsidR="003E5BF5" w:rsidRPr="00020050" w14:paraId="055E94A8" w14:textId="77777777" w:rsidTr="00DB35CE">
        <w:trPr>
          <w:trHeight w:val="340"/>
        </w:trPr>
        <w:tc>
          <w:tcPr>
            <w:tcW w:w="4395" w:type="dxa"/>
            <w:tcBorders>
              <w:bottom w:val="single" w:sz="4" w:space="0" w:color="auto"/>
            </w:tcBorders>
            <w:shd w:val="clear" w:color="auto" w:fill="auto"/>
            <w:noWrap/>
            <w:vAlign w:val="center"/>
            <w:hideMark/>
          </w:tcPr>
          <w:p w14:paraId="545E51F7" w14:textId="77777777" w:rsidR="003E5BF5" w:rsidRPr="00020050" w:rsidRDefault="003E5BF5" w:rsidP="00DE1921">
            <w:pPr>
              <w:pStyle w:val="TableTextLeftBold"/>
              <w:rPr>
                <w:rFonts w:ascii="Arial" w:hAnsi="Arial" w:cs="Arial"/>
                <w:sz w:val="24"/>
                <w:szCs w:val="24"/>
              </w:rPr>
            </w:pPr>
            <w:r w:rsidRPr="00020050">
              <w:rPr>
                <w:rFonts w:ascii="Arial" w:hAnsi="Arial" w:cs="Arial"/>
                <w:sz w:val="24"/>
                <w:szCs w:val="24"/>
              </w:rPr>
              <w:t>Total</w:t>
            </w:r>
          </w:p>
        </w:tc>
        <w:tc>
          <w:tcPr>
            <w:tcW w:w="1169" w:type="dxa"/>
            <w:tcBorders>
              <w:bottom w:val="single" w:sz="4" w:space="0" w:color="auto"/>
            </w:tcBorders>
            <w:shd w:val="clear" w:color="auto" w:fill="auto"/>
            <w:noWrap/>
            <w:vAlign w:val="center"/>
            <w:hideMark/>
          </w:tcPr>
          <w:p w14:paraId="417B4D91" w14:textId="77777777" w:rsidR="003E5BF5" w:rsidRPr="00020050" w:rsidRDefault="003E5BF5" w:rsidP="00DE1921">
            <w:pPr>
              <w:jc w:val="right"/>
              <w:rPr>
                <w:rFonts w:ascii="Arial" w:hAnsi="Arial" w:cs="Arial"/>
                <w:b/>
                <w:sz w:val="24"/>
                <w:szCs w:val="24"/>
              </w:rPr>
            </w:pPr>
            <w:r w:rsidRPr="00020050">
              <w:rPr>
                <w:rFonts w:ascii="Arial" w:hAnsi="Arial" w:cs="Arial"/>
                <w:b/>
                <w:sz w:val="24"/>
                <w:szCs w:val="24"/>
              </w:rPr>
              <w:t>(70,434)</w:t>
            </w:r>
          </w:p>
        </w:tc>
        <w:tc>
          <w:tcPr>
            <w:tcW w:w="1169" w:type="dxa"/>
            <w:tcBorders>
              <w:bottom w:val="single" w:sz="4" w:space="0" w:color="auto"/>
            </w:tcBorders>
            <w:shd w:val="clear" w:color="auto" w:fill="auto"/>
            <w:noWrap/>
            <w:vAlign w:val="center"/>
            <w:hideMark/>
          </w:tcPr>
          <w:p w14:paraId="325B8F8A" w14:textId="77777777" w:rsidR="003E5BF5" w:rsidRPr="00020050" w:rsidRDefault="003E5BF5" w:rsidP="00DE1921">
            <w:pPr>
              <w:jc w:val="right"/>
              <w:rPr>
                <w:rFonts w:ascii="Arial" w:hAnsi="Arial" w:cs="Arial"/>
                <w:b/>
                <w:sz w:val="24"/>
                <w:szCs w:val="24"/>
              </w:rPr>
            </w:pPr>
            <w:r w:rsidRPr="00020050">
              <w:rPr>
                <w:rFonts w:ascii="Arial" w:hAnsi="Arial" w:cs="Arial"/>
                <w:b/>
                <w:sz w:val="24"/>
                <w:szCs w:val="24"/>
              </w:rPr>
              <w:t>(24,512)</w:t>
            </w:r>
          </w:p>
        </w:tc>
        <w:tc>
          <w:tcPr>
            <w:tcW w:w="1169" w:type="dxa"/>
            <w:tcBorders>
              <w:bottom w:val="single" w:sz="4" w:space="0" w:color="auto"/>
            </w:tcBorders>
            <w:shd w:val="clear" w:color="auto" w:fill="auto"/>
            <w:noWrap/>
            <w:vAlign w:val="center"/>
            <w:hideMark/>
          </w:tcPr>
          <w:p w14:paraId="7D9E6F21" w14:textId="77777777" w:rsidR="003E5BF5" w:rsidRPr="00020050" w:rsidRDefault="003E5BF5" w:rsidP="00DE1921">
            <w:pPr>
              <w:jc w:val="right"/>
              <w:rPr>
                <w:rFonts w:ascii="Arial" w:hAnsi="Arial" w:cs="Arial"/>
                <w:b/>
                <w:sz w:val="24"/>
                <w:szCs w:val="24"/>
              </w:rPr>
            </w:pPr>
            <w:r w:rsidRPr="00020050">
              <w:rPr>
                <w:rFonts w:ascii="Arial" w:hAnsi="Arial" w:cs="Arial"/>
                <w:b/>
                <w:sz w:val="24"/>
                <w:szCs w:val="24"/>
              </w:rPr>
              <w:t>(2,059)</w:t>
            </w:r>
          </w:p>
        </w:tc>
        <w:tc>
          <w:tcPr>
            <w:tcW w:w="1170" w:type="dxa"/>
            <w:tcBorders>
              <w:bottom w:val="single" w:sz="4" w:space="0" w:color="auto"/>
            </w:tcBorders>
            <w:shd w:val="clear" w:color="auto" w:fill="auto"/>
            <w:noWrap/>
            <w:vAlign w:val="center"/>
            <w:hideMark/>
          </w:tcPr>
          <w:p w14:paraId="421A4890" w14:textId="77777777" w:rsidR="003E5BF5" w:rsidRPr="00020050" w:rsidRDefault="003E5BF5" w:rsidP="00DE1921">
            <w:pPr>
              <w:jc w:val="right"/>
              <w:rPr>
                <w:rFonts w:ascii="Arial" w:hAnsi="Arial" w:cs="Arial"/>
                <w:b/>
                <w:sz w:val="24"/>
                <w:szCs w:val="24"/>
              </w:rPr>
            </w:pPr>
            <w:r w:rsidRPr="00020050">
              <w:rPr>
                <w:rFonts w:ascii="Arial" w:hAnsi="Arial" w:cs="Arial"/>
                <w:b/>
                <w:sz w:val="24"/>
                <w:szCs w:val="24"/>
              </w:rPr>
              <w:t>-</w:t>
            </w:r>
          </w:p>
        </w:tc>
      </w:tr>
    </w:tbl>
    <w:p w14:paraId="1EF416DD" w14:textId="77777777" w:rsidR="003E5BF5" w:rsidRDefault="003E5BF5" w:rsidP="00DE1921"/>
    <w:p w14:paraId="56E2FC59" w14:textId="77777777" w:rsidR="00BE5932" w:rsidRPr="00020050" w:rsidRDefault="00BE5932" w:rsidP="00BE5932">
      <w:pPr>
        <w:pStyle w:val="Note"/>
        <w:rPr>
          <w:rFonts w:ascii="Arial" w:hAnsi="Arial" w:cs="Arial"/>
          <w:sz w:val="24"/>
          <w:szCs w:val="24"/>
        </w:rPr>
      </w:pPr>
      <w:r w:rsidRPr="00020050">
        <w:rPr>
          <w:rFonts w:ascii="Arial" w:hAnsi="Arial" w:cs="Arial"/>
          <w:sz w:val="24"/>
          <w:szCs w:val="24"/>
        </w:rPr>
        <w:t>Note:</w:t>
      </w:r>
    </w:p>
    <w:p w14:paraId="7D17E9BB" w14:textId="5CF7D9C4" w:rsidR="00BE5932" w:rsidRDefault="00BE5932" w:rsidP="00610F5F">
      <w:pPr>
        <w:pStyle w:val="aaaNotenumberiiiiii"/>
        <w:numPr>
          <w:ilvl w:val="0"/>
          <w:numId w:val="74"/>
        </w:numPr>
      </w:pPr>
      <w:r w:rsidRPr="00020050">
        <w:t>The basis for determining the level of contributions is determined by the various actuaries of the defined benefit superannuation plans.</w:t>
      </w:r>
    </w:p>
    <w:p w14:paraId="42FEEE30" w14:textId="77777777" w:rsidR="00BE5932" w:rsidRDefault="00BE5932" w:rsidP="00DE1921"/>
    <w:p w14:paraId="4BC97F02" w14:textId="77777777" w:rsidR="00BE5932" w:rsidRDefault="00BE5932" w:rsidP="00DE1921"/>
    <w:p w14:paraId="0CC5C229" w14:textId="49047A02" w:rsidR="00BE5932" w:rsidRDefault="00BE5932" w:rsidP="00DE1921">
      <w:pPr>
        <w:sectPr w:rsidR="00BE5932" w:rsidSect="00DE1921">
          <w:type w:val="continuous"/>
          <w:pgSz w:w="11906" w:h="16838"/>
          <w:pgMar w:top="1701" w:right="1418" w:bottom="1418" w:left="1418" w:header="708" w:footer="708" w:gutter="0"/>
          <w:cols w:space="708"/>
          <w:docGrid w:linePitch="360"/>
        </w:sectPr>
      </w:pPr>
    </w:p>
    <w:p w14:paraId="19B660FC" w14:textId="77777777" w:rsidR="003E5BF5" w:rsidRPr="0088493A" w:rsidRDefault="003E5BF5" w:rsidP="006667CC">
      <w:pPr>
        <w:pStyle w:val="Heading2"/>
        <w:numPr>
          <w:ilvl w:val="1"/>
          <w:numId w:val="3"/>
        </w:numPr>
      </w:pPr>
      <w:bookmarkStart w:id="169" w:name="_Grant_expenses"/>
      <w:bookmarkStart w:id="170" w:name="_Toc53420606"/>
      <w:bookmarkEnd w:id="169"/>
      <w:r w:rsidRPr="007444F0">
        <w:lastRenderedPageBreak/>
        <w:t>Grant</w:t>
      </w:r>
      <w:r>
        <w:t xml:space="preserve"> expenses</w:t>
      </w:r>
      <w:bookmarkStart w:id="171" w:name="RANGE!A3:G26"/>
      <w:bookmarkEnd w:id="168"/>
      <w:bookmarkEnd w:id="170"/>
      <w:bookmarkEnd w:id="171"/>
    </w:p>
    <w:tbl>
      <w:tblPr>
        <w:tblStyle w:val="TableGrid"/>
        <w:tblW w:w="9072" w:type="dxa"/>
        <w:tblLayout w:type="fixed"/>
        <w:tblLook w:val="04A0" w:firstRow="1" w:lastRow="0" w:firstColumn="1" w:lastColumn="0" w:noHBand="0" w:noVBand="1"/>
      </w:tblPr>
      <w:tblGrid>
        <w:gridCol w:w="5648"/>
        <w:gridCol w:w="1712"/>
        <w:gridCol w:w="1712"/>
      </w:tblGrid>
      <w:tr w:rsidR="00910DD4" w:rsidRPr="00020050" w14:paraId="228526FF" w14:textId="77777777" w:rsidTr="00910DD4">
        <w:trPr>
          <w:trHeight w:val="340"/>
        </w:trPr>
        <w:tc>
          <w:tcPr>
            <w:tcW w:w="6020" w:type="dxa"/>
            <w:shd w:val="clear" w:color="auto" w:fill="auto"/>
            <w:noWrap/>
            <w:hideMark/>
          </w:tcPr>
          <w:p w14:paraId="04B35EF8" w14:textId="77777777" w:rsidR="00910DD4" w:rsidRPr="00020050" w:rsidRDefault="00910DD4" w:rsidP="00DE1921">
            <w:pPr>
              <w:rPr>
                <w:rFonts w:ascii="Arial" w:hAnsi="Arial" w:cs="Arial"/>
                <w:sz w:val="24"/>
                <w:szCs w:val="24"/>
                <w:lang w:eastAsia="en-AU"/>
              </w:rPr>
            </w:pPr>
            <w:bookmarkStart w:id="172" w:name="GrantExp"/>
          </w:p>
        </w:tc>
        <w:tc>
          <w:tcPr>
            <w:tcW w:w="1814" w:type="dxa"/>
            <w:shd w:val="clear" w:color="auto" w:fill="auto"/>
            <w:noWrap/>
            <w:vAlign w:val="center"/>
            <w:hideMark/>
          </w:tcPr>
          <w:p w14:paraId="514FAF57" w14:textId="77777777" w:rsidR="00910DD4" w:rsidRPr="00020050" w:rsidRDefault="00910DD4" w:rsidP="00DE1921">
            <w:pPr>
              <w:jc w:val="center"/>
              <w:rPr>
                <w:rFonts w:ascii="Arial" w:hAnsi="Arial" w:cs="Arial"/>
                <w:b/>
                <w:sz w:val="24"/>
                <w:szCs w:val="24"/>
                <w:lang w:eastAsia="en-AU"/>
              </w:rPr>
            </w:pPr>
            <w:r w:rsidRPr="00020050">
              <w:rPr>
                <w:rFonts w:ascii="Arial" w:hAnsi="Arial" w:cs="Arial"/>
                <w:b/>
                <w:sz w:val="24"/>
                <w:szCs w:val="24"/>
                <w:lang w:eastAsia="en-AU"/>
              </w:rPr>
              <w:t>($ thousand)</w:t>
            </w:r>
          </w:p>
        </w:tc>
        <w:tc>
          <w:tcPr>
            <w:tcW w:w="1814" w:type="dxa"/>
            <w:shd w:val="clear" w:color="auto" w:fill="auto"/>
            <w:vAlign w:val="center"/>
          </w:tcPr>
          <w:p w14:paraId="704F0524" w14:textId="1A84183B" w:rsidR="00910DD4" w:rsidRPr="00020050" w:rsidRDefault="00910DD4" w:rsidP="00DE1921">
            <w:pPr>
              <w:jc w:val="center"/>
              <w:rPr>
                <w:rFonts w:ascii="Arial" w:hAnsi="Arial" w:cs="Arial"/>
                <w:b/>
                <w:sz w:val="24"/>
                <w:szCs w:val="24"/>
                <w:lang w:eastAsia="en-AU"/>
              </w:rPr>
            </w:pPr>
            <w:r w:rsidRPr="00020050">
              <w:rPr>
                <w:rFonts w:ascii="Arial" w:hAnsi="Arial" w:cs="Arial"/>
                <w:b/>
                <w:sz w:val="24"/>
                <w:szCs w:val="24"/>
              </w:rPr>
              <w:t>($ thousand)</w:t>
            </w:r>
          </w:p>
        </w:tc>
      </w:tr>
      <w:tr w:rsidR="003E5BF5" w:rsidRPr="00020050" w14:paraId="500D4868" w14:textId="77777777" w:rsidTr="00910DD4">
        <w:trPr>
          <w:trHeight w:val="340"/>
        </w:trPr>
        <w:tc>
          <w:tcPr>
            <w:tcW w:w="6020" w:type="dxa"/>
            <w:shd w:val="clear" w:color="auto" w:fill="auto"/>
            <w:noWrap/>
            <w:hideMark/>
          </w:tcPr>
          <w:p w14:paraId="6935D449"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t> </w:t>
            </w:r>
          </w:p>
        </w:tc>
        <w:tc>
          <w:tcPr>
            <w:tcW w:w="1814" w:type="dxa"/>
            <w:shd w:val="clear" w:color="auto" w:fill="auto"/>
            <w:noWrap/>
            <w:vAlign w:val="center"/>
            <w:hideMark/>
          </w:tcPr>
          <w:p w14:paraId="511DD194"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2020</w:t>
            </w:r>
          </w:p>
        </w:tc>
        <w:tc>
          <w:tcPr>
            <w:tcW w:w="1814" w:type="dxa"/>
            <w:shd w:val="clear" w:color="auto" w:fill="auto"/>
            <w:noWrap/>
            <w:vAlign w:val="center"/>
            <w:hideMark/>
          </w:tcPr>
          <w:p w14:paraId="7FFE0B87"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2019</w:t>
            </w:r>
          </w:p>
        </w:tc>
      </w:tr>
      <w:tr w:rsidR="003E5BF5" w:rsidRPr="00020050" w14:paraId="01AF35E0" w14:textId="77777777" w:rsidTr="00910DD4">
        <w:trPr>
          <w:trHeight w:val="340"/>
        </w:trPr>
        <w:tc>
          <w:tcPr>
            <w:tcW w:w="6020" w:type="dxa"/>
            <w:shd w:val="clear" w:color="auto" w:fill="auto"/>
            <w:noWrap/>
            <w:vAlign w:val="center"/>
            <w:hideMark/>
          </w:tcPr>
          <w:p w14:paraId="289F9C1E" w14:textId="77777777" w:rsidR="003E5BF5" w:rsidRPr="00020050" w:rsidRDefault="003E5BF5" w:rsidP="00604703">
            <w:pPr>
              <w:pStyle w:val="TableTextGreen"/>
            </w:pPr>
            <w:r w:rsidRPr="00020050">
              <w:t>Grants to portfolio agencies</w:t>
            </w:r>
          </w:p>
        </w:tc>
        <w:tc>
          <w:tcPr>
            <w:tcW w:w="1814" w:type="dxa"/>
            <w:shd w:val="clear" w:color="auto" w:fill="auto"/>
            <w:noWrap/>
            <w:vAlign w:val="center"/>
            <w:hideMark/>
          </w:tcPr>
          <w:p w14:paraId="0E34F8AD"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lang w:eastAsia="en-AU"/>
              </w:rPr>
              <w:t> </w:t>
            </w:r>
          </w:p>
        </w:tc>
        <w:tc>
          <w:tcPr>
            <w:tcW w:w="1814" w:type="dxa"/>
            <w:shd w:val="clear" w:color="auto" w:fill="auto"/>
            <w:noWrap/>
            <w:vAlign w:val="center"/>
            <w:hideMark/>
          </w:tcPr>
          <w:p w14:paraId="2134CD28" w14:textId="77777777" w:rsidR="003E5BF5" w:rsidRPr="00020050" w:rsidRDefault="003E5BF5" w:rsidP="00DE1921">
            <w:pPr>
              <w:jc w:val="right"/>
              <w:rPr>
                <w:rFonts w:ascii="Arial" w:hAnsi="Arial" w:cs="Arial"/>
                <w:sz w:val="24"/>
                <w:szCs w:val="24"/>
                <w:lang w:eastAsia="en-AU"/>
              </w:rPr>
            </w:pPr>
          </w:p>
        </w:tc>
      </w:tr>
      <w:tr w:rsidR="003E5BF5" w:rsidRPr="00020050" w14:paraId="5070AE22" w14:textId="77777777" w:rsidTr="00910DD4">
        <w:trPr>
          <w:trHeight w:val="340"/>
        </w:trPr>
        <w:tc>
          <w:tcPr>
            <w:tcW w:w="6020" w:type="dxa"/>
            <w:shd w:val="clear" w:color="auto" w:fill="auto"/>
            <w:noWrap/>
            <w:vAlign w:val="center"/>
            <w:hideMark/>
          </w:tcPr>
          <w:p w14:paraId="39B28AA6"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 xml:space="preserve">Public Transport Victoria </w:t>
            </w:r>
            <w:r w:rsidRPr="00020050">
              <w:rPr>
                <w:rFonts w:ascii="Arial" w:hAnsi="Arial" w:cs="Arial"/>
                <w:sz w:val="24"/>
                <w:szCs w:val="24"/>
                <w:vertAlign w:val="superscript"/>
                <w:lang w:eastAsia="en-AU"/>
              </w:rPr>
              <w:t>(</w:t>
            </w:r>
            <w:proofErr w:type="spellStart"/>
            <w:r w:rsidRPr="00020050">
              <w:rPr>
                <w:rFonts w:ascii="Arial" w:hAnsi="Arial" w:cs="Arial"/>
                <w:sz w:val="24"/>
                <w:szCs w:val="24"/>
                <w:vertAlign w:val="superscript"/>
                <w:lang w:eastAsia="en-AU"/>
              </w:rPr>
              <w:t>i</w:t>
            </w:r>
            <w:proofErr w:type="spellEnd"/>
            <w:r w:rsidRPr="00020050">
              <w:rPr>
                <w:rFonts w:ascii="Arial" w:hAnsi="Arial" w:cs="Arial"/>
                <w:sz w:val="24"/>
                <w:szCs w:val="24"/>
                <w:vertAlign w:val="superscript"/>
                <w:lang w:eastAsia="en-AU"/>
              </w:rPr>
              <w:t>)</w:t>
            </w:r>
          </w:p>
        </w:tc>
        <w:tc>
          <w:tcPr>
            <w:tcW w:w="1814" w:type="dxa"/>
            <w:shd w:val="clear" w:color="auto" w:fill="auto"/>
            <w:noWrap/>
            <w:vAlign w:val="center"/>
            <w:hideMark/>
          </w:tcPr>
          <w:p w14:paraId="117DC599"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c>
          <w:tcPr>
            <w:tcW w:w="1814" w:type="dxa"/>
            <w:shd w:val="clear" w:color="auto" w:fill="auto"/>
            <w:noWrap/>
            <w:vAlign w:val="center"/>
            <w:hideMark/>
          </w:tcPr>
          <w:p w14:paraId="2112270C"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(5,048,546)</w:t>
            </w:r>
          </w:p>
        </w:tc>
      </w:tr>
      <w:tr w:rsidR="003E5BF5" w:rsidRPr="00020050" w14:paraId="1A70E5A6" w14:textId="77777777" w:rsidTr="00910DD4">
        <w:trPr>
          <w:trHeight w:val="340"/>
        </w:trPr>
        <w:tc>
          <w:tcPr>
            <w:tcW w:w="6020" w:type="dxa"/>
            <w:shd w:val="clear" w:color="auto" w:fill="auto"/>
            <w:noWrap/>
            <w:vAlign w:val="center"/>
            <w:hideMark/>
          </w:tcPr>
          <w:p w14:paraId="0DD51FBA"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 xml:space="preserve">VicRoads </w:t>
            </w:r>
            <w:r w:rsidRPr="00020050">
              <w:rPr>
                <w:rFonts w:ascii="Arial" w:hAnsi="Arial" w:cs="Arial"/>
                <w:sz w:val="24"/>
                <w:szCs w:val="24"/>
                <w:vertAlign w:val="superscript"/>
                <w:lang w:eastAsia="en-AU"/>
              </w:rPr>
              <w:t>(</w:t>
            </w:r>
            <w:proofErr w:type="spellStart"/>
            <w:r w:rsidRPr="00020050">
              <w:rPr>
                <w:rFonts w:ascii="Arial" w:hAnsi="Arial" w:cs="Arial"/>
                <w:sz w:val="24"/>
                <w:szCs w:val="24"/>
                <w:vertAlign w:val="superscript"/>
                <w:lang w:eastAsia="en-AU"/>
              </w:rPr>
              <w:t>i</w:t>
            </w:r>
            <w:proofErr w:type="spellEnd"/>
            <w:r w:rsidRPr="00020050">
              <w:rPr>
                <w:rFonts w:ascii="Arial" w:hAnsi="Arial" w:cs="Arial"/>
                <w:sz w:val="24"/>
                <w:szCs w:val="24"/>
                <w:vertAlign w:val="superscript"/>
                <w:lang w:eastAsia="en-AU"/>
              </w:rPr>
              <w:t>)</w:t>
            </w:r>
          </w:p>
        </w:tc>
        <w:tc>
          <w:tcPr>
            <w:tcW w:w="1814" w:type="dxa"/>
            <w:shd w:val="clear" w:color="auto" w:fill="auto"/>
            <w:noWrap/>
            <w:vAlign w:val="center"/>
            <w:hideMark/>
          </w:tcPr>
          <w:p w14:paraId="442EE016"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c>
          <w:tcPr>
            <w:tcW w:w="1814" w:type="dxa"/>
            <w:shd w:val="clear" w:color="auto" w:fill="auto"/>
            <w:noWrap/>
            <w:vAlign w:val="center"/>
            <w:hideMark/>
          </w:tcPr>
          <w:p w14:paraId="55578AB3"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(1,255,691)</w:t>
            </w:r>
          </w:p>
        </w:tc>
      </w:tr>
      <w:tr w:rsidR="003E5BF5" w:rsidRPr="00020050" w14:paraId="136B23FE" w14:textId="77777777" w:rsidTr="00910DD4">
        <w:trPr>
          <w:trHeight w:val="340"/>
        </w:trPr>
        <w:tc>
          <w:tcPr>
            <w:tcW w:w="6020" w:type="dxa"/>
            <w:shd w:val="clear" w:color="auto" w:fill="auto"/>
            <w:noWrap/>
            <w:vAlign w:val="center"/>
            <w:hideMark/>
          </w:tcPr>
          <w:p w14:paraId="7826C501"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Commercial Passenger Vehicles Victoria</w:t>
            </w:r>
          </w:p>
        </w:tc>
        <w:tc>
          <w:tcPr>
            <w:tcW w:w="1814" w:type="dxa"/>
            <w:shd w:val="clear" w:color="auto" w:fill="auto"/>
            <w:noWrap/>
            <w:vAlign w:val="center"/>
            <w:hideMark/>
          </w:tcPr>
          <w:p w14:paraId="02609DF2"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(97,851)</w:t>
            </w:r>
          </w:p>
        </w:tc>
        <w:tc>
          <w:tcPr>
            <w:tcW w:w="1814" w:type="dxa"/>
            <w:shd w:val="clear" w:color="auto" w:fill="auto"/>
            <w:noWrap/>
            <w:vAlign w:val="center"/>
            <w:hideMark/>
          </w:tcPr>
          <w:p w14:paraId="4F97F3A7"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(117,363)</w:t>
            </w:r>
          </w:p>
        </w:tc>
      </w:tr>
      <w:tr w:rsidR="003E5BF5" w:rsidRPr="00020050" w14:paraId="35F181BD" w14:textId="77777777" w:rsidTr="00910DD4">
        <w:trPr>
          <w:trHeight w:val="340"/>
        </w:trPr>
        <w:tc>
          <w:tcPr>
            <w:tcW w:w="6020" w:type="dxa"/>
            <w:shd w:val="clear" w:color="auto" w:fill="auto"/>
            <w:noWrap/>
            <w:vAlign w:val="center"/>
            <w:hideMark/>
          </w:tcPr>
          <w:p w14:paraId="105074FC" w14:textId="77777777" w:rsidR="003E5BF5" w:rsidRPr="00020050" w:rsidRDefault="003E5BF5" w:rsidP="00DE1921">
            <w:pPr>
              <w:rPr>
                <w:rFonts w:ascii="Arial" w:hAnsi="Arial" w:cs="Arial"/>
                <w:sz w:val="24"/>
                <w:szCs w:val="24"/>
                <w:lang w:eastAsia="en-AU"/>
              </w:rPr>
            </w:pPr>
            <w:proofErr w:type="spellStart"/>
            <w:r w:rsidRPr="00020050">
              <w:rPr>
                <w:rFonts w:ascii="Arial" w:hAnsi="Arial" w:cs="Arial"/>
                <w:sz w:val="24"/>
                <w:szCs w:val="24"/>
                <w:lang w:eastAsia="en-AU"/>
              </w:rPr>
              <w:t>VicTrack</w:t>
            </w:r>
            <w:proofErr w:type="spellEnd"/>
          </w:p>
        </w:tc>
        <w:tc>
          <w:tcPr>
            <w:tcW w:w="1814" w:type="dxa"/>
            <w:shd w:val="clear" w:color="auto" w:fill="auto"/>
            <w:noWrap/>
            <w:vAlign w:val="center"/>
            <w:hideMark/>
          </w:tcPr>
          <w:p w14:paraId="79A49360"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(2,550,385)</w:t>
            </w:r>
          </w:p>
        </w:tc>
        <w:tc>
          <w:tcPr>
            <w:tcW w:w="1814" w:type="dxa"/>
            <w:shd w:val="clear" w:color="auto" w:fill="auto"/>
            <w:noWrap/>
            <w:vAlign w:val="center"/>
            <w:hideMark/>
          </w:tcPr>
          <w:p w14:paraId="39B6D40B"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(117,120)</w:t>
            </w:r>
          </w:p>
        </w:tc>
      </w:tr>
      <w:tr w:rsidR="003E5BF5" w:rsidRPr="00020050" w14:paraId="12B47C14" w14:textId="77777777" w:rsidTr="00910DD4">
        <w:trPr>
          <w:trHeight w:val="340"/>
        </w:trPr>
        <w:tc>
          <w:tcPr>
            <w:tcW w:w="6020" w:type="dxa"/>
            <w:shd w:val="clear" w:color="auto" w:fill="auto"/>
            <w:noWrap/>
            <w:vAlign w:val="center"/>
            <w:hideMark/>
          </w:tcPr>
          <w:p w14:paraId="0D0AFE0A"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V/Line</w:t>
            </w:r>
          </w:p>
        </w:tc>
        <w:tc>
          <w:tcPr>
            <w:tcW w:w="1814" w:type="dxa"/>
            <w:shd w:val="clear" w:color="auto" w:fill="auto"/>
            <w:noWrap/>
            <w:vAlign w:val="center"/>
            <w:hideMark/>
          </w:tcPr>
          <w:p w14:paraId="79C078F5"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(624,995)</w:t>
            </w:r>
          </w:p>
        </w:tc>
        <w:tc>
          <w:tcPr>
            <w:tcW w:w="1814" w:type="dxa"/>
            <w:shd w:val="clear" w:color="auto" w:fill="auto"/>
            <w:noWrap/>
            <w:vAlign w:val="center"/>
            <w:hideMark/>
          </w:tcPr>
          <w:p w14:paraId="67ED391A"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r w:rsidRPr="00020050">
              <w:rPr>
                <w:rFonts w:ascii="Arial" w:hAnsi="Arial" w:cs="Arial"/>
                <w:sz w:val="24"/>
                <w:szCs w:val="24"/>
              </w:rPr>
              <w:t xml:space="preserve"> </w:t>
            </w:r>
          </w:p>
        </w:tc>
      </w:tr>
      <w:tr w:rsidR="003E5BF5" w:rsidRPr="00020050" w14:paraId="37681BAC" w14:textId="77777777" w:rsidTr="00910DD4">
        <w:trPr>
          <w:trHeight w:val="340"/>
        </w:trPr>
        <w:tc>
          <w:tcPr>
            <w:tcW w:w="6020" w:type="dxa"/>
            <w:shd w:val="clear" w:color="auto" w:fill="auto"/>
            <w:noWrap/>
            <w:vAlign w:val="center"/>
            <w:hideMark/>
          </w:tcPr>
          <w:p w14:paraId="3108D8BE"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 xml:space="preserve">Creative Victoria agencies </w:t>
            </w:r>
            <w:r w:rsidRPr="00020050">
              <w:rPr>
                <w:rFonts w:ascii="Arial" w:hAnsi="Arial" w:cs="Arial"/>
                <w:sz w:val="24"/>
                <w:szCs w:val="24"/>
                <w:vertAlign w:val="superscript"/>
                <w:lang w:eastAsia="en-AU"/>
              </w:rPr>
              <w:t>(ii)</w:t>
            </w:r>
          </w:p>
        </w:tc>
        <w:tc>
          <w:tcPr>
            <w:tcW w:w="1814" w:type="dxa"/>
            <w:shd w:val="clear" w:color="auto" w:fill="auto"/>
            <w:noWrap/>
            <w:vAlign w:val="center"/>
            <w:hideMark/>
          </w:tcPr>
          <w:p w14:paraId="3B6FC3D2"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c>
          <w:tcPr>
            <w:tcW w:w="1814" w:type="dxa"/>
            <w:shd w:val="clear" w:color="auto" w:fill="auto"/>
            <w:noWrap/>
            <w:vAlign w:val="center"/>
            <w:hideMark/>
          </w:tcPr>
          <w:p w14:paraId="49B81E1D"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(127,560)</w:t>
            </w:r>
          </w:p>
        </w:tc>
      </w:tr>
      <w:tr w:rsidR="003E5BF5" w:rsidRPr="00020050" w14:paraId="1DC3D950" w14:textId="77777777" w:rsidTr="00910DD4">
        <w:trPr>
          <w:trHeight w:val="340"/>
        </w:trPr>
        <w:tc>
          <w:tcPr>
            <w:tcW w:w="6020" w:type="dxa"/>
            <w:shd w:val="clear" w:color="auto" w:fill="auto"/>
            <w:noWrap/>
            <w:vAlign w:val="center"/>
            <w:hideMark/>
          </w:tcPr>
          <w:p w14:paraId="2FFA66DC"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 xml:space="preserve">Visit Victoria </w:t>
            </w:r>
            <w:r w:rsidRPr="00020050">
              <w:rPr>
                <w:rFonts w:ascii="Arial" w:hAnsi="Arial" w:cs="Arial"/>
                <w:sz w:val="24"/>
                <w:szCs w:val="24"/>
                <w:vertAlign w:val="superscript"/>
                <w:lang w:eastAsia="en-AU"/>
              </w:rPr>
              <w:t>(ii)</w:t>
            </w:r>
          </w:p>
        </w:tc>
        <w:tc>
          <w:tcPr>
            <w:tcW w:w="1814" w:type="dxa"/>
            <w:shd w:val="clear" w:color="auto" w:fill="auto"/>
            <w:noWrap/>
            <w:vAlign w:val="center"/>
            <w:hideMark/>
          </w:tcPr>
          <w:p w14:paraId="3448C370"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c>
          <w:tcPr>
            <w:tcW w:w="1814" w:type="dxa"/>
            <w:shd w:val="clear" w:color="auto" w:fill="auto"/>
            <w:noWrap/>
            <w:vAlign w:val="center"/>
            <w:hideMark/>
          </w:tcPr>
          <w:p w14:paraId="667E7E65"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(64,740)</w:t>
            </w:r>
          </w:p>
        </w:tc>
      </w:tr>
      <w:tr w:rsidR="003E5BF5" w:rsidRPr="00020050" w14:paraId="646D77D9" w14:textId="77777777" w:rsidTr="00910DD4">
        <w:trPr>
          <w:trHeight w:val="340"/>
        </w:trPr>
        <w:tc>
          <w:tcPr>
            <w:tcW w:w="6020" w:type="dxa"/>
            <w:shd w:val="clear" w:color="auto" w:fill="auto"/>
            <w:noWrap/>
            <w:vAlign w:val="center"/>
            <w:hideMark/>
          </w:tcPr>
          <w:p w14:paraId="7D7485C2"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 xml:space="preserve">Film Victoria </w:t>
            </w:r>
            <w:r w:rsidRPr="00020050">
              <w:rPr>
                <w:rFonts w:ascii="Arial" w:hAnsi="Arial" w:cs="Arial"/>
                <w:sz w:val="24"/>
                <w:szCs w:val="24"/>
                <w:vertAlign w:val="superscript"/>
                <w:lang w:eastAsia="en-AU"/>
              </w:rPr>
              <w:t>(ii)</w:t>
            </w:r>
          </w:p>
        </w:tc>
        <w:tc>
          <w:tcPr>
            <w:tcW w:w="1814" w:type="dxa"/>
            <w:shd w:val="clear" w:color="auto" w:fill="auto"/>
            <w:noWrap/>
            <w:vAlign w:val="center"/>
            <w:hideMark/>
          </w:tcPr>
          <w:p w14:paraId="7A3C706A"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c>
          <w:tcPr>
            <w:tcW w:w="1814" w:type="dxa"/>
            <w:shd w:val="clear" w:color="auto" w:fill="auto"/>
            <w:noWrap/>
            <w:vAlign w:val="center"/>
            <w:hideMark/>
          </w:tcPr>
          <w:p w14:paraId="7BB185F8"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(12,947)</w:t>
            </w:r>
          </w:p>
        </w:tc>
      </w:tr>
      <w:tr w:rsidR="003E5BF5" w:rsidRPr="00020050" w14:paraId="2C3728FA" w14:textId="77777777" w:rsidTr="00910DD4">
        <w:trPr>
          <w:trHeight w:val="340"/>
        </w:trPr>
        <w:tc>
          <w:tcPr>
            <w:tcW w:w="6020" w:type="dxa"/>
            <w:shd w:val="clear" w:color="auto" w:fill="auto"/>
            <w:noWrap/>
            <w:vAlign w:val="center"/>
            <w:hideMark/>
          </w:tcPr>
          <w:p w14:paraId="569BAA4E"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Victorian Fisheries Authority</w:t>
            </w:r>
          </w:p>
        </w:tc>
        <w:tc>
          <w:tcPr>
            <w:tcW w:w="1814" w:type="dxa"/>
            <w:shd w:val="clear" w:color="auto" w:fill="auto"/>
            <w:noWrap/>
            <w:vAlign w:val="center"/>
            <w:hideMark/>
          </w:tcPr>
          <w:p w14:paraId="2CE15073"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(53,905)</w:t>
            </w:r>
          </w:p>
        </w:tc>
        <w:tc>
          <w:tcPr>
            <w:tcW w:w="1814" w:type="dxa"/>
            <w:shd w:val="clear" w:color="auto" w:fill="auto"/>
            <w:noWrap/>
            <w:vAlign w:val="center"/>
            <w:hideMark/>
          </w:tcPr>
          <w:p w14:paraId="5AD804A6"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(39,394)</w:t>
            </w:r>
          </w:p>
        </w:tc>
      </w:tr>
      <w:tr w:rsidR="003E5BF5" w:rsidRPr="00020050" w14:paraId="72B7D171" w14:textId="77777777" w:rsidTr="00910DD4">
        <w:trPr>
          <w:trHeight w:val="340"/>
        </w:trPr>
        <w:tc>
          <w:tcPr>
            <w:tcW w:w="6020" w:type="dxa"/>
            <w:shd w:val="clear" w:color="auto" w:fill="auto"/>
            <w:noWrap/>
            <w:vAlign w:val="center"/>
            <w:hideMark/>
          </w:tcPr>
          <w:p w14:paraId="5B2BBC09"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Other grants to portfolio agencies</w:t>
            </w:r>
          </w:p>
        </w:tc>
        <w:tc>
          <w:tcPr>
            <w:tcW w:w="1814" w:type="dxa"/>
            <w:shd w:val="clear" w:color="auto" w:fill="auto"/>
            <w:noWrap/>
            <w:vAlign w:val="center"/>
            <w:hideMark/>
          </w:tcPr>
          <w:p w14:paraId="37D98E78"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(305)</w:t>
            </w:r>
          </w:p>
        </w:tc>
        <w:tc>
          <w:tcPr>
            <w:tcW w:w="1814" w:type="dxa"/>
            <w:shd w:val="clear" w:color="auto" w:fill="auto"/>
            <w:noWrap/>
            <w:vAlign w:val="center"/>
            <w:hideMark/>
          </w:tcPr>
          <w:p w14:paraId="303B6C55"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(111,282)</w:t>
            </w:r>
          </w:p>
        </w:tc>
      </w:tr>
      <w:tr w:rsidR="003E5BF5" w:rsidRPr="00020050" w14:paraId="2EC77B89" w14:textId="77777777" w:rsidTr="00910DD4">
        <w:trPr>
          <w:trHeight w:val="340"/>
        </w:trPr>
        <w:tc>
          <w:tcPr>
            <w:tcW w:w="6020" w:type="dxa"/>
            <w:shd w:val="clear" w:color="auto" w:fill="auto"/>
            <w:noWrap/>
            <w:vAlign w:val="center"/>
            <w:hideMark/>
          </w:tcPr>
          <w:p w14:paraId="10EAD0B8" w14:textId="77777777" w:rsidR="003E5BF5" w:rsidRPr="00020050" w:rsidRDefault="003E5BF5" w:rsidP="00DE1921">
            <w:pPr>
              <w:pStyle w:val="TableTextLeftBold"/>
              <w:rPr>
                <w:rFonts w:ascii="Arial" w:hAnsi="Arial" w:cs="Arial"/>
                <w:sz w:val="24"/>
                <w:szCs w:val="24"/>
              </w:rPr>
            </w:pPr>
            <w:r w:rsidRPr="00020050">
              <w:rPr>
                <w:rFonts w:ascii="Arial" w:hAnsi="Arial" w:cs="Arial"/>
                <w:sz w:val="24"/>
                <w:szCs w:val="24"/>
              </w:rPr>
              <w:t>Total grants to portfolio agencies</w:t>
            </w:r>
          </w:p>
        </w:tc>
        <w:tc>
          <w:tcPr>
            <w:tcW w:w="1814" w:type="dxa"/>
            <w:shd w:val="clear" w:color="auto" w:fill="auto"/>
            <w:noWrap/>
            <w:vAlign w:val="center"/>
            <w:hideMark/>
          </w:tcPr>
          <w:p w14:paraId="1B55CF47" w14:textId="77777777" w:rsidR="003E5BF5" w:rsidRPr="00020050" w:rsidRDefault="003E5BF5" w:rsidP="00DE1921">
            <w:pPr>
              <w:pStyle w:val="TableTextRightBold"/>
              <w:rPr>
                <w:rFonts w:ascii="Arial" w:hAnsi="Arial" w:cs="Arial"/>
                <w:sz w:val="24"/>
                <w:szCs w:val="24"/>
                <w:lang w:eastAsia="en-AU"/>
              </w:rPr>
            </w:pPr>
            <w:r w:rsidRPr="00020050">
              <w:rPr>
                <w:rFonts w:ascii="Arial" w:hAnsi="Arial" w:cs="Arial"/>
                <w:sz w:val="24"/>
                <w:szCs w:val="24"/>
              </w:rPr>
              <w:t>(3,327,441)</w:t>
            </w:r>
          </w:p>
        </w:tc>
        <w:tc>
          <w:tcPr>
            <w:tcW w:w="1814" w:type="dxa"/>
            <w:shd w:val="clear" w:color="auto" w:fill="auto"/>
            <w:noWrap/>
            <w:vAlign w:val="center"/>
            <w:hideMark/>
          </w:tcPr>
          <w:p w14:paraId="45FDA59E" w14:textId="77777777" w:rsidR="003E5BF5" w:rsidRPr="00020050" w:rsidRDefault="003E5BF5" w:rsidP="00DE1921">
            <w:pPr>
              <w:pStyle w:val="TableTextRightBold"/>
              <w:rPr>
                <w:rFonts w:ascii="Arial" w:hAnsi="Arial" w:cs="Arial"/>
                <w:sz w:val="24"/>
                <w:szCs w:val="24"/>
                <w:lang w:eastAsia="en-AU"/>
              </w:rPr>
            </w:pPr>
            <w:r w:rsidRPr="00020050">
              <w:rPr>
                <w:rFonts w:ascii="Arial" w:hAnsi="Arial" w:cs="Arial"/>
                <w:sz w:val="24"/>
                <w:szCs w:val="24"/>
              </w:rPr>
              <w:t>(6,894,643)</w:t>
            </w:r>
          </w:p>
        </w:tc>
      </w:tr>
      <w:tr w:rsidR="003E5BF5" w:rsidRPr="00020050" w14:paraId="145307BD" w14:textId="77777777" w:rsidTr="00910DD4">
        <w:trPr>
          <w:trHeight w:val="340"/>
        </w:trPr>
        <w:tc>
          <w:tcPr>
            <w:tcW w:w="6020" w:type="dxa"/>
            <w:shd w:val="clear" w:color="auto" w:fill="auto"/>
            <w:noWrap/>
            <w:vAlign w:val="center"/>
            <w:hideMark/>
          </w:tcPr>
          <w:p w14:paraId="35DB0825" w14:textId="77777777" w:rsidR="003E5BF5" w:rsidRPr="00020050" w:rsidRDefault="003E5BF5" w:rsidP="00604703">
            <w:pPr>
              <w:pStyle w:val="TableTextGreen"/>
            </w:pPr>
            <w:r w:rsidRPr="00020050">
              <w:t>Grants to entities outside portfolio</w:t>
            </w:r>
          </w:p>
        </w:tc>
        <w:tc>
          <w:tcPr>
            <w:tcW w:w="1814" w:type="dxa"/>
            <w:shd w:val="clear" w:color="auto" w:fill="auto"/>
            <w:noWrap/>
            <w:vAlign w:val="center"/>
            <w:hideMark/>
          </w:tcPr>
          <w:p w14:paraId="2ED430F5" w14:textId="77777777" w:rsidR="003E5BF5" w:rsidRPr="00020050" w:rsidRDefault="003E5BF5" w:rsidP="00DE1921">
            <w:pPr>
              <w:jc w:val="right"/>
              <w:rPr>
                <w:rFonts w:ascii="Arial" w:hAnsi="Arial" w:cs="Arial"/>
                <w:b/>
                <w:sz w:val="24"/>
                <w:szCs w:val="24"/>
                <w:lang w:eastAsia="en-AU"/>
              </w:rPr>
            </w:pPr>
          </w:p>
        </w:tc>
        <w:tc>
          <w:tcPr>
            <w:tcW w:w="1814" w:type="dxa"/>
            <w:shd w:val="clear" w:color="auto" w:fill="auto"/>
            <w:noWrap/>
            <w:vAlign w:val="center"/>
            <w:hideMark/>
          </w:tcPr>
          <w:p w14:paraId="1D6705B7" w14:textId="77777777" w:rsidR="003E5BF5" w:rsidRPr="00020050" w:rsidRDefault="003E5BF5" w:rsidP="00DE1921">
            <w:pPr>
              <w:jc w:val="right"/>
              <w:rPr>
                <w:rFonts w:ascii="Arial" w:hAnsi="Arial" w:cs="Arial"/>
                <w:sz w:val="24"/>
                <w:szCs w:val="24"/>
                <w:lang w:eastAsia="en-AU"/>
              </w:rPr>
            </w:pPr>
          </w:p>
        </w:tc>
      </w:tr>
      <w:tr w:rsidR="003E5BF5" w:rsidRPr="00020050" w14:paraId="071D59E5" w14:textId="77777777" w:rsidTr="00910DD4">
        <w:trPr>
          <w:trHeight w:val="340"/>
        </w:trPr>
        <w:tc>
          <w:tcPr>
            <w:tcW w:w="6020" w:type="dxa"/>
            <w:shd w:val="clear" w:color="auto" w:fill="auto"/>
            <w:noWrap/>
            <w:vAlign w:val="center"/>
            <w:hideMark/>
          </w:tcPr>
          <w:p w14:paraId="505C915C"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 xml:space="preserve">Local government </w:t>
            </w:r>
          </w:p>
        </w:tc>
        <w:tc>
          <w:tcPr>
            <w:tcW w:w="1814" w:type="dxa"/>
            <w:shd w:val="clear" w:color="auto" w:fill="auto"/>
            <w:noWrap/>
            <w:vAlign w:val="center"/>
            <w:hideMark/>
          </w:tcPr>
          <w:p w14:paraId="0A415D01"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(189,978)</w:t>
            </w:r>
          </w:p>
        </w:tc>
        <w:tc>
          <w:tcPr>
            <w:tcW w:w="1814" w:type="dxa"/>
            <w:shd w:val="clear" w:color="auto" w:fill="auto"/>
            <w:noWrap/>
            <w:vAlign w:val="center"/>
            <w:hideMark/>
          </w:tcPr>
          <w:p w14:paraId="08999608"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(33,679)</w:t>
            </w:r>
          </w:p>
        </w:tc>
      </w:tr>
      <w:tr w:rsidR="003E5BF5" w:rsidRPr="00020050" w14:paraId="1000E90D" w14:textId="77777777" w:rsidTr="00910DD4">
        <w:trPr>
          <w:trHeight w:val="340"/>
        </w:trPr>
        <w:tc>
          <w:tcPr>
            <w:tcW w:w="6020" w:type="dxa"/>
            <w:shd w:val="clear" w:color="auto" w:fill="auto"/>
            <w:noWrap/>
            <w:vAlign w:val="center"/>
            <w:hideMark/>
          </w:tcPr>
          <w:p w14:paraId="0C0E6762"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Other government departments and associated entities</w:t>
            </w:r>
          </w:p>
        </w:tc>
        <w:tc>
          <w:tcPr>
            <w:tcW w:w="1814" w:type="dxa"/>
            <w:shd w:val="clear" w:color="auto" w:fill="auto"/>
            <w:noWrap/>
            <w:vAlign w:val="center"/>
            <w:hideMark/>
          </w:tcPr>
          <w:p w14:paraId="1FA0CF21"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(82,960)</w:t>
            </w:r>
          </w:p>
        </w:tc>
        <w:tc>
          <w:tcPr>
            <w:tcW w:w="1814" w:type="dxa"/>
            <w:shd w:val="clear" w:color="auto" w:fill="auto"/>
            <w:noWrap/>
            <w:vAlign w:val="center"/>
            <w:hideMark/>
          </w:tcPr>
          <w:p w14:paraId="7736E520"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(73,579)</w:t>
            </w:r>
          </w:p>
        </w:tc>
      </w:tr>
      <w:tr w:rsidR="003E5BF5" w:rsidRPr="00020050" w14:paraId="28CA3A91" w14:textId="77777777" w:rsidTr="00910DD4">
        <w:trPr>
          <w:trHeight w:val="340"/>
        </w:trPr>
        <w:tc>
          <w:tcPr>
            <w:tcW w:w="6020" w:type="dxa"/>
            <w:shd w:val="clear" w:color="auto" w:fill="auto"/>
            <w:noWrap/>
            <w:vAlign w:val="center"/>
            <w:hideMark/>
          </w:tcPr>
          <w:p w14:paraId="0DF944E8"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Other non-government agencies</w:t>
            </w:r>
          </w:p>
        </w:tc>
        <w:tc>
          <w:tcPr>
            <w:tcW w:w="1814" w:type="dxa"/>
            <w:shd w:val="clear" w:color="auto" w:fill="auto"/>
            <w:noWrap/>
            <w:vAlign w:val="center"/>
            <w:hideMark/>
          </w:tcPr>
          <w:p w14:paraId="2ED54010"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(8,973)</w:t>
            </w:r>
          </w:p>
        </w:tc>
        <w:tc>
          <w:tcPr>
            <w:tcW w:w="1814" w:type="dxa"/>
            <w:shd w:val="clear" w:color="auto" w:fill="auto"/>
            <w:noWrap/>
            <w:vAlign w:val="center"/>
            <w:hideMark/>
          </w:tcPr>
          <w:p w14:paraId="4607801A"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(214,887)</w:t>
            </w:r>
          </w:p>
        </w:tc>
      </w:tr>
      <w:tr w:rsidR="003E5BF5" w:rsidRPr="00020050" w14:paraId="10F917CB" w14:textId="77777777" w:rsidTr="00910DD4">
        <w:trPr>
          <w:trHeight w:val="340"/>
        </w:trPr>
        <w:tc>
          <w:tcPr>
            <w:tcW w:w="6020" w:type="dxa"/>
            <w:tcBorders>
              <w:bottom w:val="single" w:sz="4" w:space="0" w:color="auto"/>
            </w:tcBorders>
            <w:shd w:val="clear" w:color="auto" w:fill="auto"/>
            <w:noWrap/>
            <w:vAlign w:val="center"/>
            <w:hideMark/>
          </w:tcPr>
          <w:p w14:paraId="71358D56" w14:textId="77777777" w:rsidR="003E5BF5" w:rsidRPr="00020050" w:rsidRDefault="003E5BF5" w:rsidP="00DE1921">
            <w:pPr>
              <w:pStyle w:val="TableTextLeftBold"/>
              <w:rPr>
                <w:rFonts w:ascii="Arial" w:hAnsi="Arial" w:cs="Arial"/>
                <w:sz w:val="24"/>
                <w:szCs w:val="24"/>
              </w:rPr>
            </w:pPr>
            <w:r w:rsidRPr="00020050">
              <w:rPr>
                <w:rFonts w:ascii="Arial" w:hAnsi="Arial" w:cs="Arial"/>
                <w:sz w:val="24"/>
                <w:szCs w:val="24"/>
              </w:rPr>
              <w:t>Total grants to entities outside portfolio</w:t>
            </w:r>
          </w:p>
        </w:tc>
        <w:tc>
          <w:tcPr>
            <w:tcW w:w="1814" w:type="dxa"/>
            <w:tcBorders>
              <w:bottom w:val="single" w:sz="4" w:space="0" w:color="auto"/>
            </w:tcBorders>
            <w:shd w:val="clear" w:color="auto" w:fill="auto"/>
            <w:noWrap/>
            <w:vAlign w:val="center"/>
            <w:hideMark/>
          </w:tcPr>
          <w:p w14:paraId="2E7C1314" w14:textId="77777777" w:rsidR="003E5BF5" w:rsidRPr="00020050" w:rsidRDefault="003E5BF5" w:rsidP="00DE1921">
            <w:pPr>
              <w:pStyle w:val="TableTextRightBold"/>
              <w:rPr>
                <w:rFonts w:ascii="Arial" w:hAnsi="Arial" w:cs="Arial"/>
                <w:sz w:val="24"/>
                <w:szCs w:val="24"/>
                <w:lang w:eastAsia="en-AU"/>
              </w:rPr>
            </w:pPr>
            <w:r w:rsidRPr="00020050">
              <w:rPr>
                <w:rFonts w:ascii="Arial" w:hAnsi="Arial" w:cs="Arial"/>
                <w:sz w:val="24"/>
                <w:szCs w:val="24"/>
              </w:rPr>
              <w:t>(281,911)</w:t>
            </w:r>
          </w:p>
        </w:tc>
        <w:tc>
          <w:tcPr>
            <w:tcW w:w="1814" w:type="dxa"/>
            <w:tcBorders>
              <w:bottom w:val="single" w:sz="4" w:space="0" w:color="auto"/>
            </w:tcBorders>
            <w:shd w:val="clear" w:color="auto" w:fill="auto"/>
            <w:noWrap/>
            <w:vAlign w:val="center"/>
            <w:hideMark/>
          </w:tcPr>
          <w:p w14:paraId="68F4C366" w14:textId="77777777" w:rsidR="003E5BF5" w:rsidRPr="00020050" w:rsidRDefault="003E5BF5" w:rsidP="00DE1921">
            <w:pPr>
              <w:pStyle w:val="TableTextRightBold"/>
              <w:rPr>
                <w:rFonts w:ascii="Arial" w:hAnsi="Arial" w:cs="Arial"/>
                <w:sz w:val="24"/>
                <w:szCs w:val="24"/>
                <w:lang w:eastAsia="en-AU"/>
              </w:rPr>
            </w:pPr>
            <w:r w:rsidRPr="00020050">
              <w:rPr>
                <w:rFonts w:ascii="Arial" w:hAnsi="Arial" w:cs="Arial"/>
                <w:sz w:val="24"/>
                <w:szCs w:val="24"/>
              </w:rPr>
              <w:t>(322,145)</w:t>
            </w:r>
          </w:p>
        </w:tc>
      </w:tr>
      <w:tr w:rsidR="003E5BF5" w:rsidRPr="00020050" w14:paraId="23F321E3" w14:textId="77777777" w:rsidTr="00910DD4">
        <w:trPr>
          <w:trHeight w:val="340"/>
        </w:trPr>
        <w:tc>
          <w:tcPr>
            <w:tcW w:w="6020" w:type="dxa"/>
            <w:tcBorders>
              <w:bottom w:val="single" w:sz="4" w:space="0" w:color="auto"/>
            </w:tcBorders>
            <w:shd w:val="clear" w:color="auto" w:fill="auto"/>
            <w:noWrap/>
            <w:vAlign w:val="center"/>
            <w:hideMark/>
          </w:tcPr>
          <w:p w14:paraId="3F128443" w14:textId="77777777" w:rsidR="003E5BF5" w:rsidRPr="00020050" w:rsidRDefault="003E5BF5" w:rsidP="00DE1921">
            <w:pPr>
              <w:pStyle w:val="TableTextLeftBold"/>
              <w:rPr>
                <w:rFonts w:ascii="Arial" w:hAnsi="Arial" w:cs="Arial"/>
                <w:sz w:val="24"/>
                <w:szCs w:val="24"/>
              </w:rPr>
            </w:pPr>
            <w:r w:rsidRPr="00020050">
              <w:rPr>
                <w:rFonts w:ascii="Arial" w:hAnsi="Arial" w:cs="Arial"/>
                <w:sz w:val="24"/>
                <w:szCs w:val="24"/>
              </w:rPr>
              <w:t>Total grant expenses</w:t>
            </w:r>
          </w:p>
        </w:tc>
        <w:tc>
          <w:tcPr>
            <w:tcW w:w="1814" w:type="dxa"/>
            <w:tcBorders>
              <w:bottom w:val="single" w:sz="4" w:space="0" w:color="auto"/>
            </w:tcBorders>
            <w:shd w:val="clear" w:color="auto" w:fill="auto"/>
            <w:noWrap/>
            <w:vAlign w:val="center"/>
            <w:hideMark/>
          </w:tcPr>
          <w:p w14:paraId="4468DD0D" w14:textId="77777777" w:rsidR="003E5BF5" w:rsidRPr="00020050" w:rsidRDefault="003E5BF5" w:rsidP="00DE1921">
            <w:pPr>
              <w:pStyle w:val="TableTextRightBold"/>
              <w:rPr>
                <w:rFonts w:ascii="Arial" w:hAnsi="Arial" w:cs="Arial"/>
                <w:sz w:val="24"/>
                <w:szCs w:val="24"/>
                <w:lang w:eastAsia="en-AU"/>
              </w:rPr>
            </w:pPr>
            <w:r w:rsidRPr="00020050">
              <w:rPr>
                <w:rFonts w:ascii="Arial" w:hAnsi="Arial" w:cs="Arial"/>
                <w:sz w:val="24"/>
                <w:szCs w:val="24"/>
              </w:rPr>
              <w:t>(3,609,352)</w:t>
            </w:r>
          </w:p>
        </w:tc>
        <w:tc>
          <w:tcPr>
            <w:tcW w:w="1814" w:type="dxa"/>
            <w:tcBorders>
              <w:bottom w:val="single" w:sz="4" w:space="0" w:color="auto"/>
            </w:tcBorders>
            <w:shd w:val="clear" w:color="auto" w:fill="auto"/>
            <w:noWrap/>
            <w:vAlign w:val="center"/>
            <w:hideMark/>
          </w:tcPr>
          <w:p w14:paraId="05F505FB" w14:textId="77777777" w:rsidR="003E5BF5" w:rsidRPr="00020050" w:rsidRDefault="003E5BF5" w:rsidP="00DE1921">
            <w:pPr>
              <w:pStyle w:val="TableTextRightBold"/>
              <w:rPr>
                <w:rFonts w:ascii="Arial" w:hAnsi="Arial" w:cs="Arial"/>
                <w:sz w:val="24"/>
                <w:szCs w:val="24"/>
                <w:lang w:eastAsia="en-AU"/>
              </w:rPr>
            </w:pPr>
            <w:r w:rsidRPr="00020050">
              <w:rPr>
                <w:rFonts w:ascii="Arial" w:hAnsi="Arial" w:cs="Arial"/>
                <w:sz w:val="24"/>
                <w:szCs w:val="24"/>
              </w:rPr>
              <w:t>(7,216,788)</w:t>
            </w:r>
          </w:p>
        </w:tc>
      </w:tr>
      <w:bookmarkEnd w:id="172"/>
    </w:tbl>
    <w:p w14:paraId="553B032E" w14:textId="77777777" w:rsidR="003E5BF5" w:rsidRDefault="003E5BF5" w:rsidP="00DE1921">
      <w:pPr>
        <w:rPr>
          <w:lang w:eastAsia="en-AU"/>
        </w:rPr>
      </w:pPr>
    </w:p>
    <w:p w14:paraId="18E6CA7E" w14:textId="77777777" w:rsidR="0044567B" w:rsidRPr="00020050" w:rsidRDefault="0044567B" w:rsidP="0044567B">
      <w:pPr>
        <w:pStyle w:val="Note"/>
        <w:rPr>
          <w:rFonts w:ascii="Arial" w:hAnsi="Arial" w:cs="Arial"/>
          <w:sz w:val="24"/>
          <w:szCs w:val="24"/>
        </w:rPr>
      </w:pPr>
      <w:r w:rsidRPr="00020050">
        <w:rPr>
          <w:rFonts w:ascii="Arial" w:hAnsi="Arial" w:cs="Arial"/>
          <w:sz w:val="24"/>
          <w:szCs w:val="24"/>
        </w:rPr>
        <w:t>Notes:</w:t>
      </w:r>
    </w:p>
    <w:p w14:paraId="68F313B8" w14:textId="77777777" w:rsidR="0044567B" w:rsidRPr="00020050" w:rsidRDefault="0044567B" w:rsidP="00610F5F">
      <w:pPr>
        <w:pStyle w:val="aaaNotenumberiiiiii"/>
        <w:numPr>
          <w:ilvl w:val="0"/>
          <w:numId w:val="75"/>
        </w:numPr>
      </w:pPr>
      <w:r w:rsidRPr="00020050">
        <w:t>As of 1 July 2019, the Government announced a major restructure of its transport agencies which provided for the integration of VicRoads and PTV into the department to create one transport body for the overall strategic planning and operation of the Victorian transport system.</w:t>
      </w:r>
    </w:p>
    <w:p w14:paraId="79FC8EF8" w14:textId="504872C7" w:rsidR="0044567B" w:rsidRDefault="0044567B" w:rsidP="0044567B">
      <w:pPr>
        <w:pStyle w:val="aaaNotenumberiiiiii"/>
        <w:rPr>
          <w:b/>
          <w:bCs/>
        </w:rPr>
      </w:pPr>
      <w:r w:rsidRPr="00020050">
        <w:t xml:space="preserve">The portfolio responsibility of these agencies was transferred to DJPR as part of the </w:t>
      </w:r>
      <w:proofErr w:type="spellStart"/>
      <w:r w:rsidRPr="00020050">
        <w:t>MoG</w:t>
      </w:r>
      <w:proofErr w:type="spellEnd"/>
      <w:r w:rsidRPr="00020050">
        <w:t xml:space="preserve"> change effective on 1 January 2019.</w:t>
      </w:r>
    </w:p>
    <w:p w14:paraId="53F5E236" w14:textId="6905ACE3" w:rsidR="003E5BF5" w:rsidRDefault="003E5BF5" w:rsidP="00056955">
      <w:pPr>
        <w:pStyle w:val="aaatyping"/>
        <w:sectPr w:rsidR="003E5BF5" w:rsidSect="00DE1921">
          <w:pgSz w:w="11906" w:h="16838"/>
          <w:pgMar w:top="1701" w:right="1418" w:bottom="1418" w:left="1418" w:header="708" w:footer="708" w:gutter="0"/>
          <w:cols w:space="708"/>
          <w:docGrid w:linePitch="360"/>
        </w:sectPr>
      </w:pPr>
      <w:r w:rsidRPr="00237C0D">
        <w:rPr>
          <w:b/>
          <w:bCs/>
        </w:rPr>
        <w:t>Grant expenses</w:t>
      </w:r>
      <w:r>
        <w:t xml:space="preserve"> are contributions of the department’s resources to another party where there is no expectation that the amount will be repaid in equal value (either by money, goods or services). Grants can either be operating or capital in nature and are recognised in the reporting period in which they are paid or payable.</w:t>
      </w:r>
    </w:p>
    <w:p w14:paraId="1AF41E0A" w14:textId="77777777" w:rsidR="003E5BF5" w:rsidRPr="007444F0" w:rsidRDefault="003E5BF5" w:rsidP="006667CC">
      <w:pPr>
        <w:pStyle w:val="Heading2"/>
        <w:numPr>
          <w:ilvl w:val="1"/>
          <w:numId w:val="3"/>
        </w:numPr>
      </w:pPr>
      <w:bookmarkStart w:id="173" w:name="_Capital_asset_charge"/>
      <w:bookmarkStart w:id="174" w:name="_Toc41471421"/>
      <w:bookmarkStart w:id="175" w:name="_Toc53420607"/>
      <w:bookmarkEnd w:id="173"/>
      <w:r w:rsidRPr="007444F0">
        <w:lastRenderedPageBreak/>
        <w:t>Capital asset charge</w:t>
      </w:r>
      <w:bookmarkEnd w:id="174"/>
      <w:bookmarkEnd w:id="175"/>
    </w:p>
    <w:p w14:paraId="2231391B" w14:textId="77777777" w:rsidR="003E5BF5" w:rsidRPr="00FB410D" w:rsidRDefault="003E5BF5" w:rsidP="00056955">
      <w:pPr>
        <w:pStyle w:val="aaatyping"/>
      </w:pPr>
      <w:r w:rsidRPr="007444F0">
        <w:t xml:space="preserve">The </w:t>
      </w:r>
      <w:r w:rsidRPr="007444F0">
        <w:rPr>
          <w:b/>
        </w:rPr>
        <w:t>capital asset charge</w:t>
      </w:r>
      <w:r w:rsidRPr="007444F0">
        <w:t xml:space="preserve"> is a charge levied on the written down value of controlled non-current physical assets which aims to attribute to departmental outputs the opportunity cost of capital used in service delivery</w:t>
      </w:r>
      <w:r>
        <w:t>,</w:t>
      </w:r>
      <w:r w:rsidRPr="007444F0">
        <w:t xml:space="preserve"> and provide incentives to departments to identify and dispose of underutilised or surplus assets in a timely manner. It is calculated on the budgeted carrying amount of applicable non-financial physical assets. </w:t>
      </w:r>
    </w:p>
    <w:p w14:paraId="25418F2C" w14:textId="77777777" w:rsidR="003E5BF5" w:rsidRPr="0088493A" w:rsidRDefault="003E5BF5" w:rsidP="006667CC">
      <w:pPr>
        <w:pStyle w:val="Heading2"/>
        <w:numPr>
          <w:ilvl w:val="1"/>
          <w:numId w:val="3"/>
        </w:numPr>
      </w:pPr>
      <w:bookmarkStart w:id="176" w:name="_Payments_to_public"/>
      <w:bookmarkStart w:id="177" w:name="_Toc41471422"/>
      <w:bookmarkStart w:id="178" w:name="_Toc53420608"/>
      <w:bookmarkEnd w:id="176"/>
      <w:r w:rsidRPr="00333CDC">
        <w:t>Payments to public transport service providers</w:t>
      </w:r>
      <w:bookmarkEnd w:id="177"/>
      <w:bookmarkEnd w:id="178"/>
    </w:p>
    <w:tbl>
      <w:tblPr>
        <w:tblStyle w:val="TableGrid"/>
        <w:tblW w:w="9072" w:type="dxa"/>
        <w:tblLayout w:type="fixed"/>
        <w:tblLook w:val="04A0" w:firstRow="1" w:lastRow="0" w:firstColumn="1" w:lastColumn="0" w:noHBand="0" w:noVBand="1"/>
      </w:tblPr>
      <w:tblGrid>
        <w:gridCol w:w="5648"/>
        <w:gridCol w:w="1712"/>
        <w:gridCol w:w="1712"/>
      </w:tblGrid>
      <w:tr w:rsidR="00910DD4" w:rsidRPr="00020050" w14:paraId="02DA5CFB" w14:textId="77777777" w:rsidTr="00313B8B">
        <w:trPr>
          <w:trHeight w:val="340"/>
        </w:trPr>
        <w:tc>
          <w:tcPr>
            <w:tcW w:w="6020" w:type="dxa"/>
            <w:shd w:val="clear" w:color="auto" w:fill="auto"/>
            <w:noWrap/>
            <w:hideMark/>
          </w:tcPr>
          <w:p w14:paraId="5F1E5FBA" w14:textId="77777777" w:rsidR="00910DD4" w:rsidRPr="00020050" w:rsidRDefault="00910DD4" w:rsidP="00DE1921">
            <w:pPr>
              <w:rPr>
                <w:rFonts w:ascii="Arial" w:hAnsi="Arial" w:cs="Arial"/>
                <w:sz w:val="24"/>
                <w:szCs w:val="24"/>
                <w:lang w:eastAsia="en-AU"/>
              </w:rPr>
            </w:pPr>
          </w:p>
        </w:tc>
        <w:tc>
          <w:tcPr>
            <w:tcW w:w="1814" w:type="dxa"/>
            <w:shd w:val="clear" w:color="auto" w:fill="auto"/>
            <w:noWrap/>
            <w:vAlign w:val="center"/>
            <w:hideMark/>
          </w:tcPr>
          <w:p w14:paraId="620CCE71" w14:textId="77777777" w:rsidR="00910DD4" w:rsidRPr="00020050" w:rsidRDefault="00910DD4" w:rsidP="00DE1921">
            <w:pPr>
              <w:jc w:val="center"/>
              <w:rPr>
                <w:rFonts w:ascii="Arial" w:hAnsi="Arial" w:cs="Arial"/>
                <w:b/>
                <w:sz w:val="24"/>
                <w:szCs w:val="24"/>
                <w:lang w:eastAsia="en-AU"/>
              </w:rPr>
            </w:pPr>
            <w:r w:rsidRPr="00020050">
              <w:rPr>
                <w:rFonts w:ascii="Arial" w:hAnsi="Arial" w:cs="Arial"/>
                <w:b/>
                <w:sz w:val="24"/>
                <w:szCs w:val="24"/>
                <w:lang w:eastAsia="en-AU"/>
              </w:rPr>
              <w:t>($ thousand)</w:t>
            </w:r>
          </w:p>
        </w:tc>
        <w:tc>
          <w:tcPr>
            <w:tcW w:w="1814" w:type="dxa"/>
            <w:shd w:val="clear" w:color="auto" w:fill="auto"/>
            <w:vAlign w:val="center"/>
          </w:tcPr>
          <w:p w14:paraId="2B4B4D1F" w14:textId="28764A92" w:rsidR="00910DD4" w:rsidRPr="00020050" w:rsidRDefault="00910DD4" w:rsidP="00DE1921">
            <w:pPr>
              <w:jc w:val="center"/>
              <w:rPr>
                <w:rFonts w:ascii="Arial" w:hAnsi="Arial" w:cs="Arial"/>
                <w:b/>
                <w:sz w:val="24"/>
                <w:szCs w:val="24"/>
                <w:lang w:eastAsia="en-AU"/>
              </w:rPr>
            </w:pPr>
            <w:r w:rsidRPr="00020050">
              <w:rPr>
                <w:rFonts w:ascii="Arial" w:hAnsi="Arial" w:cs="Arial"/>
                <w:b/>
                <w:sz w:val="24"/>
                <w:szCs w:val="24"/>
              </w:rPr>
              <w:t>($ thousand)</w:t>
            </w:r>
          </w:p>
        </w:tc>
      </w:tr>
      <w:tr w:rsidR="003E5BF5" w:rsidRPr="00020050" w14:paraId="7F44BEA4" w14:textId="77777777" w:rsidTr="00313B8B">
        <w:trPr>
          <w:trHeight w:val="340"/>
        </w:trPr>
        <w:tc>
          <w:tcPr>
            <w:tcW w:w="6020" w:type="dxa"/>
            <w:shd w:val="clear" w:color="auto" w:fill="auto"/>
            <w:noWrap/>
            <w:hideMark/>
          </w:tcPr>
          <w:p w14:paraId="0E2DBDF0"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t> </w:t>
            </w:r>
          </w:p>
        </w:tc>
        <w:tc>
          <w:tcPr>
            <w:tcW w:w="1814" w:type="dxa"/>
            <w:shd w:val="clear" w:color="auto" w:fill="auto"/>
            <w:noWrap/>
            <w:vAlign w:val="center"/>
            <w:hideMark/>
          </w:tcPr>
          <w:p w14:paraId="0BDC4EE0"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2020</w:t>
            </w:r>
          </w:p>
        </w:tc>
        <w:tc>
          <w:tcPr>
            <w:tcW w:w="1814" w:type="dxa"/>
            <w:shd w:val="clear" w:color="auto" w:fill="auto"/>
            <w:noWrap/>
            <w:vAlign w:val="center"/>
            <w:hideMark/>
          </w:tcPr>
          <w:p w14:paraId="1DCA91B6"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2019</w:t>
            </w:r>
          </w:p>
        </w:tc>
      </w:tr>
      <w:tr w:rsidR="003E5BF5" w:rsidRPr="00020050" w14:paraId="435BF048" w14:textId="77777777" w:rsidTr="00313B8B">
        <w:trPr>
          <w:trHeight w:val="340"/>
        </w:trPr>
        <w:tc>
          <w:tcPr>
            <w:tcW w:w="6020" w:type="dxa"/>
            <w:shd w:val="clear" w:color="auto" w:fill="auto"/>
            <w:noWrap/>
            <w:vAlign w:val="center"/>
            <w:hideMark/>
          </w:tcPr>
          <w:p w14:paraId="0B529D61"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Rail system operation and related services</w:t>
            </w:r>
            <w:r w:rsidRPr="00020050">
              <w:rPr>
                <w:rFonts w:ascii="Arial" w:hAnsi="Arial" w:cs="Arial"/>
                <w:sz w:val="24"/>
                <w:szCs w:val="24"/>
                <w:vertAlign w:val="superscript"/>
                <w:lang w:eastAsia="en-AU"/>
              </w:rPr>
              <w:t xml:space="preserve"> (</w:t>
            </w:r>
            <w:proofErr w:type="spellStart"/>
            <w:r w:rsidRPr="00020050">
              <w:rPr>
                <w:rFonts w:ascii="Arial" w:hAnsi="Arial" w:cs="Arial"/>
                <w:sz w:val="24"/>
                <w:szCs w:val="24"/>
                <w:vertAlign w:val="superscript"/>
                <w:lang w:eastAsia="en-AU"/>
              </w:rPr>
              <w:t>i</w:t>
            </w:r>
            <w:proofErr w:type="spellEnd"/>
            <w:r w:rsidRPr="00020050">
              <w:rPr>
                <w:rFonts w:ascii="Arial" w:hAnsi="Arial" w:cs="Arial"/>
                <w:sz w:val="24"/>
                <w:szCs w:val="24"/>
                <w:vertAlign w:val="superscript"/>
                <w:lang w:eastAsia="en-AU"/>
              </w:rPr>
              <w:t>)</w:t>
            </w:r>
          </w:p>
        </w:tc>
        <w:tc>
          <w:tcPr>
            <w:tcW w:w="1814" w:type="dxa"/>
            <w:shd w:val="clear" w:color="auto" w:fill="auto"/>
            <w:noWrap/>
            <w:vAlign w:val="center"/>
            <w:hideMark/>
          </w:tcPr>
          <w:p w14:paraId="7B6C5931"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lang w:eastAsia="en-AU"/>
              </w:rPr>
              <w:t>(1,314,888)</w:t>
            </w:r>
          </w:p>
        </w:tc>
        <w:tc>
          <w:tcPr>
            <w:tcW w:w="1814" w:type="dxa"/>
            <w:shd w:val="clear" w:color="auto" w:fill="auto"/>
            <w:noWrap/>
            <w:hideMark/>
          </w:tcPr>
          <w:p w14:paraId="06A6AD88"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r>
      <w:tr w:rsidR="003E5BF5" w:rsidRPr="00020050" w14:paraId="4C725E03" w14:textId="77777777" w:rsidTr="00313B8B">
        <w:trPr>
          <w:trHeight w:val="340"/>
        </w:trPr>
        <w:tc>
          <w:tcPr>
            <w:tcW w:w="6020" w:type="dxa"/>
            <w:shd w:val="clear" w:color="auto" w:fill="auto"/>
            <w:noWrap/>
            <w:vAlign w:val="center"/>
            <w:hideMark/>
          </w:tcPr>
          <w:p w14:paraId="391DC4A3"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Bus services</w:t>
            </w:r>
          </w:p>
        </w:tc>
        <w:tc>
          <w:tcPr>
            <w:tcW w:w="1814" w:type="dxa"/>
            <w:shd w:val="clear" w:color="auto" w:fill="auto"/>
            <w:noWrap/>
            <w:vAlign w:val="center"/>
            <w:hideMark/>
          </w:tcPr>
          <w:p w14:paraId="460D69D2"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lang w:eastAsia="en-AU"/>
              </w:rPr>
              <w:t>(1,078,889)</w:t>
            </w:r>
          </w:p>
        </w:tc>
        <w:tc>
          <w:tcPr>
            <w:tcW w:w="1814" w:type="dxa"/>
            <w:shd w:val="clear" w:color="auto" w:fill="auto"/>
            <w:noWrap/>
            <w:hideMark/>
          </w:tcPr>
          <w:p w14:paraId="0BA17782"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r>
      <w:tr w:rsidR="003E5BF5" w:rsidRPr="00020050" w14:paraId="78C0C916" w14:textId="77777777" w:rsidTr="00313B8B">
        <w:trPr>
          <w:trHeight w:val="340"/>
        </w:trPr>
        <w:tc>
          <w:tcPr>
            <w:tcW w:w="6020" w:type="dxa"/>
            <w:tcBorders>
              <w:bottom w:val="single" w:sz="4" w:space="0" w:color="auto"/>
            </w:tcBorders>
            <w:shd w:val="clear" w:color="auto" w:fill="auto"/>
            <w:noWrap/>
            <w:vAlign w:val="center"/>
            <w:hideMark/>
          </w:tcPr>
          <w:p w14:paraId="5A8D843C"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Ticketing service operating costs</w:t>
            </w:r>
          </w:p>
        </w:tc>
        <w:tc>
          <w:tcPr>
            <w:tcW w:w="1814" w:type="dxa"/>
            <w:tcBorders>
              <w:bottom w:val="single" w:sz="4" w:space="0" w:color="auto"/>
            </w:tcBorders>
            <w:shd w:val="clear" w:color="auto" w:fill="auto"/>
            <w:noWrap/>
            <w:vAlign w:val="center"/>
            <w:hideMark/>
          </w:tcPr>
          <w:p w14:paraId="0216E843"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lang w:eastAsia="en-AU"/>
              </w:rPr>
              <w:t>(95,276)</w:t>
            </w:r>
          </w:p>
        </w:tc>
        <w:tc>
          <w:tcPr>
            <w:tcW w:w="1814" w:type="dxa"/>
            <w:tcBorders>
              <w:bottom w:val="single" w:sz="4" w:space="0" w:color="auto"/>
            </w:tcBorders>
            <w:shd w:val="clear" w:color="auto" w:fill="auto"/>
            <w:noWrap/>
            <w:hideMark/>
          </w:tcPr>
          <w:p w14:paraId="43D90C7C"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r>
      <w:tr w:rsidR="003E5BF5" w:rsidRPr="00020050" w14:paraId="20F1AE4F" w14:textId="77777777" w:rsidTr="00313B8B">
        <w:trPr>
          <w:trHeight w:val="340"/>
        </w:trPr>
        <w:tc>
          <w:tcPr>
            <w:tcW w:w="6020" w:type="dxa"/>
            <w:tcBorders>
              <w:bottom w:val="single" w:sz="4" w:space="0" w:color="auto"/>
            </w:tcBorders>
            <w:shd w:val="clear" w:color="auto" w:fill="auto"/>
            <w:noWrap/>
            <w:vAlign w:val="center"/>
            <w:hideMark/>
          </w:tcPr>
          <w:p w14:paraId="16EF523F" w14:textId="77777777" w:rsidR="003E5BF5" w:rsidRPr="00020050" w:rsidRDefault="003E5BF5" w:rsidP="00DE1921">
            <w:pPr>
              <w:pStyle w:val="TableTextLeftBold"/>
              <w:rPr>
                <w:rFonts w:ascii="Arial" w:hAnsi="Arial" w:cs="Arial"/>
                <w:sz w:val="24"/>
                <w:szCs w:val="24"/>
              </w:rPr>
            </w:pPr>
            <w:r w:rsidRPr="00020050">
              <w:rPr>
                <w:rFonts w:ascii="Arial" w:hAnsi="Arial" w:cs="Arial"/>
                <w:sz w:val="24"/>
                <w:szCs w:val="24"/>
              </w:rPr>
              <w:t>Total payments to public transport service providers</w:t>
            </w:r>
          </w:p>
        </w:tc>
        <w:tc>
          <w:tcPr>
            <w:tcW w:w="1814" w:type="dxa"/>
            <w:tcBorders>
              <w:bottom w:val="single" w:sz="4" w:space="0" w:color="auto"/>
            </w:tcBorders>
            <w:shd w:val="clear" w:color="auto" w:fill="auto"/>
            <w:noWrap/>
            <w:vAlign w:val="center"/>
            <w:hideMark/>
          </w:tcPr>
          <w:p w14:paraId="7632FB19"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(2,489,053)</w:t>
            </w:r>
          </w:p>
        </w:tc>
        <w:tc>
          <w:tcPr>
            <w:tcW w:w="1814" w:type="dxa"/>
            <w:tcBorders>
              <w:bottom w:val="single" w:sz="4" w:space="0" w:color="auto"/>
            </w:tcBorders>
            <w:shd w:val="clear" w:color="auto" w:fill="auto"/>
            <w:noWrap/>
            <w:hideMark/>
          </w:tcPr>
          <w:p w14:paraId="1CD7E179"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w:t>
            </w:r>
          </w:p>
        </w:tc>
      </w:tr>
    </w:tbl>
    <w:p w14:paraId="531C8925" w14:textId="0CC07B40" w:rsidR="0044567B" w:rsidRPr="00020050" w:rsidRDefault="0044567B" w:rsidP="0044567B">
      <w:pPr>
        <w:pStyle w:val="Note"/>
        <w:rPr>
          <w:rFonts w:ascii="Arial" w:hAnsi="Arial" w:cs="Arial"/>
          <w:sz w:val="24"/>
          <w:szCs w:val="24"/>
        </w:rPr>
      </w:pPr>
      <w:r w:rsidRPr="00020050">
        <w:rPr>
          <w:rFonts w:ascii="Arial" w:hAnsi="Arial" w:cs="Arial"/>
          <w:sz w:val="24"/>
          <w:szCs w:val="24"/>
        </w:rPr>
        <w:t>Note:</w:t>
      </w:r>
    </w:p>
    <w:p w14:paraId="08C62A22" w14:textId="77777777" w:rsidR="0044567B" w:rsidRPr="00020050" w:rsidRDefault="0044567B" w:rsidP="00610F5F">
      <w:pPr>
        <w:pStyle w:val="aaaNotenumberiiiiii"/>
        <w:numPr>
          <w:ilvl w:val="0"/>
          <w:numId w:val="76"/>
        </w:numPr>
      </w:pPr>
      <w:r w:rsidRPr="00020050">
        <w:t>The department and the public transport operators each earn a share of revenue from public transport ticketing. There has been a significant reduction in patronage and therefore ticketing revenue expected to be received as a result of coronavirus (COVID-19), impacting both the department and the operators. Refer to Note 2.3 Sale of goods and services for further details. However, the public transport network continued to provide largely the same services for the full year. Additional costs of implementing critical public health measures, such as cleaning and assistance in managing regional and metropolitan road checkpoints, have also been incurred. Additional funding has been provided to the department and the operators to cover a portion of the foregone revenue and additional cost.</w:t>
      </w:r>
    </w:p>
    <w:p w14:paraId="1DDBACDB" w14:textId="77777777" w:rsidR="003E5BF5" w:rsidRDefault="003E5BF5" w:rsidP="00056955">
      <w:pPr>
        <w:pStyle w:val="aaatyping"/>
        <w:sectPr w:rsidR="003E5BF5" w:rsidSect="00DE1921">
          <w:pgSz w:w="11906" w:h="16838"/>
          <w:pgMar w:top="1701" w:right="1418" w:bottom="1418" w:left="1418" w:header="708" w:footer="708" w:gutter="0"/>
          <w:cols w:space="708"/>
          <w:docGrid w:linePitch="360"/>
        </w:sectPr>
      </w:pPr>
      <w:r w:rsidRPr="00227C9C">
        <w:rPr>
          <w:b/>
          <w:bCs/>
        </w:rPr>
        <w:t>Payments to</w:t>
      </w:r>
      <w:r>
        <w:t xml:space="preserve"> </w:t>
      </w:r>
      <w:r>
        <w:rPr>
          <w:b/>
        </w:rPr>
        <w:t>public transport service providers</w:t>
      </w:r>
      <w:r>
        <w:t xml:space="preserve"> are recognised as an expense in the reporting period in which they are paid or payable. They include transactions such as subsidies and other transfer payments to other agencies.</w:t>
      </w:r>
    </w:p>
    <w:p w14:paraId="0F830EC0" w14:textId="77777777" w:rsidR="003E5BF5" w:rsidRPr="00171C80" w:rsidRDefault="003E5BF5" w:rsidP="006667CC">
      <w:pPr>
        <w:pStyle w:val="Heading2"/>
        <w:numPr>
          <w:ilvl w:val="1"/>
          <w:numId w:val="3"/>
        </w:numPr>
        <w:sectPr w:rsidR="003E5BF5" w:rsidRPr="00171C80" w:rsidSect="00DE1921">
          <w:pgSz w:w="11906" w:h="16838"/>
          <w:pgMar w:top="1701" w:right="1418" w:bottom="1418" w:left="1418" w:header="708" w:footer="708" w:gutter="0"/>
          <w:cols w:space="708"/>
          <w:docGrid w:linePitch="360"/>
        </w:sectPr>
      </w:pPr>
      <w:bookmarkStart w:id="179" w:name="_Other_operating_expenses"/>
      <w:bookmarkStart w:id="180" w:name="_Toc41471423"/>
      <w:bookmarkStart w:id="181" w:name="_Toc53420609"/>
      <w:bookmarkEnd w:id="179"/>
      <w:r w:rsidRPr="007444F0">
        <w:lastRenderedPageBreak/>
        <w:t>Other operating expens</w:t>
      </w:r>
      <w:bookmarkEnd w:id="180"/>
      <w:r>
        <w:t>e</w:t>
      </w:r>
      <w:bookmarkEnd w:id="181"/>
    </w:p>
    <w:tbl>
      <w:tblPr>
        <w:tblStyle w:val="TableGrid"/>
        <w:tblW w:w="9072" w:type="dxa"/>
        <w:tblLayout w:type="fixed"/>
        <w:tblLook w:val="04A0" w:firstRow="1" w:lastRow="0" w:firstColumn="1" w:lastColumn="0" w:noHBand="0" w:noVBand="1"/>
      </w:tblPr>
      <w:tblGrid>
        <w:gridCol w:w="5572"/>
        <w:gridCol w:w="1750"/>
        <w:gridCol w:w="1750"/>
      </w:tblGrid>
      <w:tr w:rsidR="00CF330C" w:rsidRPr="00020050" w14:paraId="1E839DE2" w14:textId="77777777" w:rsidTr="00CF330C">
        <w:trPr>
          <w:trHeight w:val="340"/>
        </w:trPr>
        <w:tc>
          <w:tcPr>
            <w:tcW w:w="5797" w:type="dxa"/>
            <w:shd w:val="clear" w:color="auto" w:fill="auto"/>
            <w:noWrap/>
            <w:hideMark/>
          </w:tcPr>
          <w:p w14:paraId="31D99047" w14:textId="77777777" w:rsidR="00CF330C" w:rsidRPr="00020050" w:rsidRDefault="00CF330C" w:rsidP="00DE1921">
            <w:pPr>
              <w:rPr>
                <w:rFonts w:ascii="Arial" w:hAnsi="Arial" w:cs="Arial"/>
                <w:sz w:val="24"/>
                <w:szCs w:val="24"/>
                <w:lang w:eastAsia="en-AU"/>
              </w:rPr>
            </w:pPr>
            <w:bookmarkStart w:id="182" w:name="RANGE!A3:C34"/>
            <w:bookmarkEnd w:id="182"/>
          </w:p>
        </w:tc>
        <w:tc>
          <w:tcPr>
            <w:tcW w:w="1814" w:type="dxa"/>
            <w:shd w:val="clear" w:color="auto" w:fill="auto"/>
            <w:noWrap/>
            <w:vAlign w:val="center"/>
            <w:hideMark/>
          </w:tcPr>
          <w:p w14:paraId="05668D12" w14:textId="77777777" w:rsidR="00CF330C" w:rsidRPr="00020050" w:rsidRDefault="00CF330C" w:rsidP="00DE1921">
            <w:pPr>
              <w:jc w:val="center"/>
              <w:rPr>
                <w:rFonts w:ascii="Arial" w:hAnsi="Arial" w:cs="Arial"/>
                <w:b/>
                <w:sz w:val="24"/>
                <w:szCs w:val="24"/>
                <w:lang w:eastAsia="en-AU"/>
              </w:rPr>
            </w:pPr>
            <w:r w:rsidRPr="00020050">
              <w:rPr>
                <w:rFonts w:ascii="Arial" w:hAnsi="Arial" w:cs="Arial"/>
                <w:b/>
                <w:sz w:val="24"/>
                <w:szCs w:val="24"/>
                <w:lang w:eastAsia="en-AU"/>
              </w:rPr>
              <w:t>($ thousand)</w:t>
            </w:r>
          </w:p>
        </w:tc>
        <w:tc>
          <w:tcPr>
            <w:tcW w:w="1814" w:type="dxa"/>
            <w:shd w:val="clear" w:color="auto" w:fill="auto"/>
            <w:vAlign w:val="center"/>
          </w:tcPr>
          <w:p w14:paraId="0280B3F0" w14:textId="149F953B" w:rsidR="00CF330C" w:rsidRPr="00020050" w:rsidRDefault="00CF330C" w:rsidP="00DE1921">
            <w:pPr>
              <w:jc w:val="center"/>
              <w:rPr>
                <w:rFonts w:ascii="Arial" w:hAnsi="Arial" w:cs="Arial"/>
                <w:b/>
                <w:sz w:val="24"/>
                <w:szCs w:val="24"/>
                <w:lang w:eastAsia="en-AU"/>
              </w:rPr>
            </w:pPr>
            <w:r w:rsidRPr="00020050">
              <w:rPr>
                <w:rFonts w:ascii="Arial" w:hAnsi="Arial" w:cs="Arial"/>
                <w:b/>
                <w:sz w:val="24"/>
                <w:szCs w:val="24"/>
              </w:rPr>
              <w:t>($ thousand)</w:t>
            </w:r>
          </w:p>
        </w:tc>
      </w:tr>
      <w:tr w:rsidR="003E5BF5" w:rsidRPr="00020050" w14:paraId="6926A381" w14:textId="77777777" w:rsidTr="00CF330C">
        <w:trPr>
          <w:trHeight w:val="340"/>
        </w:trPr>
        <w:tc>
          <w:tcPr>
            <w:tcW w:w="5797" w:type="dxa"/>
            <w:shd w:val="clear" w:color="auto" w:fill="auto"/>
            <w:noWrap/>
            <w:hideMark/>
          </w:tcPr>
          <w:p w14:paraId="3A4CBA93" w14:textId="77777777" w:rsidR="003E5BF5" w:rsidRPr="00020050" w:rsidRDefault="003E5BF5" w:rsidP="00DE1921">
            <w:pPr>
              <w:rPr>
                <w:rFonts w:ascii="Arial" w:hAnsi="Arial" w:cs="Arial"/>
                <w:sz w:val="24"/>
                <w:szCs w:val="24"/>
                <w:lang w:eastAsia="en-AU"/>
              </w:rPr>
            </w:pPr>
          </w:p>
        </w:tc>
        <w:tc>
          <w:tcPr>
            <w:tcW w:w="1814" w:type="dxa"/>
            <w:shd w:val="clear" w:color="auto" w:fill="auto"/>
            <w:noWrap/>
            <w:vAlign w:val="center"/>
            <w:hideMark/>
          </w:tcPr>
          <w:p w14:paraId="2C9E7138"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2020</w:t>
            </w:r>
          </w:p>
        </w:tc>
        <w:tc>
          <w:tcPr>
            <w:tcW w:w="1814" w:type="dxa"/>
            <w:shd w:val="clear" w:color="auto" w:fill="auto"/>
            <w:noWrap/>
            <w:vAlign w:val="center"/>
            <w:hideMark/>
          </w:tcPr>
          <w:p w14:paraId="556A46B0"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2019</w:t>
            </w:r>
          </w:p>
        </w:tc>
      </w:tr>
      <w:tr w:rsidR="003E5BF5" w:rsidRPr="00020050" w14:paraId="10F46535" w14:textId="77777777" w:rsidTr="00CF330C">
        <w:trPr>
          <w:trHeight w:val="340"/>
        </w:trPr>
        <w:tc>
          <w:tcPr>
            <w:tcW w:w="5797" w:type="dxa"/>
            <w:shd w:val="clear" w:color="auto" w:fill="auto"/>
            <w:noWrap/>
            <w:vAlign w:val="center"/>
            <w:hideMark/>
          </w:tcPr>
          <w:p w14:paraId="0A5B7657" w14:textId="77777777" w:rsidR="003E5BF5" w:rsidRPr="00020050" w:rsidRDefault="003E5BF5" w:rsidP="00604703">
            <w:pPr>
              <w:pStyle w:val="TableTextGreen"/>
            </w:pPr>
            <w:r w:rsidRPr="00020050">
              <w:t xml:space="preserve">Supplies and services </w:t>
            </w:r>
          </w:p>
        </w:tc>
        <w:tc>
          <w:tcPr>
            <w:tcW w:w="1814" w:type="dxa"/>
            <w:shd w:val="clear" w:color="auto" w:fill="auto"/>
            <w:noWrap/>
            <w:vAlign w:val="center"/>
            <w:hideMark/>
          </w:tcPr>
          <w:p w14:paraId="71D79F59"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lang w:eastAsia="en-AU"/>
              </w:rPr>
              <w:t> </w:t>
            </w:r>
          </w:p>
        </w:tc>
        <w:tc>
          <w:tcPr>
            <w:tcW w:w="1814" w:type="dxa"/>
            <w:shd w:val="clear" w:color="auto" w:fill="auto"/>
            <w:noWrap/>
            <w:vAlign w:val="center"/>
            <w:hideMark/>
          </w:tcPr>
          <w:p w14:paraId="78091EED"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lang w:eastAsia="en-AU"/>
              </w:rPr>
              <w:t> </w:t>
            </w:r>
          </w:p>
        </w:tc>
      </w:tr>
      <w:tr w:rsidR="003E5BF5" w:rsidRPr="00020050" w14:paraId="37572DAC" w14:textId="77777777" w:rsidTr="00CF330C">
        <w:trPr>
          <w:trHeight w:val="340"/>
        </w:trPr>
        <w:tc>
          <w:tcPr>
            <w:tcW w:w="5797" w:type="dxa"/>
            <w:shd w:val="clear" w:color="auto" w:fill="auto"/>
            <w:noWrap/>
            <w:vAlign w:val="center"/>
            <w:hideMark/>
          </w:tcPr>
          <w:p w14:paraId="0ADB6684"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Contracts and services</w:t>
            </w:r>
            <w:r w:rsidRPr="00020050">
              <w:rPr>
                <w:rFonts w:ascii="Arial" w:hAnsi="Arial" w:cs="Arial"/>
                <w:sz w:val="24"/>
                <w:szCs w:val="24"/>
                <w:vertAlign w:val="superscript"/>
                <w:lang w:eastAsia="en-AU"/>
              </w:rPr>
              <w:t xml:space="preserve"> (</w:t>
            </w:r>
            <w:proofErr w:type="spellStart"/>
            <w:r w:rsidRPr="00020050">
              <w:rPr>
                <w:rFonts w:ascii="Arial" w:hAnsi="Arial" w:cs="Arial"/>
                <w:sz w:val="24"/>
                <w:szCs w:val="24"/>
                <w:vertAlign w:val="superscript"/>
                <w:lang w:eastAsia="en-AU"/>
              </w:rPr>
              <w:t>i</w:t>
            </w:r>
            <w:proofErr w:type="spellEnd"/>
            <w:r w:rsidRPr="00020050">
              <w:rPr>
                <w:rFonts w:ascii="Arial" w:hAnsi="Arial" w:cs="Arial"/>
                <w:sz w:val="24"/>
                <w:szCs w:val="24"/>
                <w:vertAlign w:val="superscript"/>
                <w:lang w:eastAsia="en-AU"/>
              </w:rPr>
              <w:t>)</w:t>
            </w:r>
          </w:p>
        </w:tc>
        <w:tc>
          <w:tcPr>
            <w:tcW w:w="1814" w:type="dxa"/>
            <w:shd w:val="clear" w:color="auto" w:fill="auto"/>
            <w:noWrap/>
            <w:vAlign w:val="center"/>
            <w:hideMark/>
          </w:tcPr>
          <w:p w14:paraId="1DF89BA4"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(871,406)</w:t>
            </w:r>
          </w:p>
        </w:tc>
        <w:tc>
          <w:tcPr>
            <w:tcW w:w="1814" w:type="dxa"/>
            <w:shd w:val="clear" w:color="auto" w:fill="auto"/>
            <w:noWrap/>
            <w:vAlign w:val="center"/>
            <w:hideMark/>
          </w:tcPr>
          <w:p w14:paraId="65779334"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(210,687)</w:t>
            </w:r>
          </w:p>
        </w:tc>
      </w:tr>
      <w:tr w:rsidR="003E5BF5" w:rsidRPr="00020050" w14:paraId="6B9A3985" w14:textId="77777777" w:rsidTr="00CF330C">
        <w:trPr>
          <w:trHeight w:val="340"/>
        </w:trPr>
        <w:tc>
          <w:tcPr>
            <w:tcW w:w="5797" w:type="dxa"/>
            <w:shd w:val="clear" w:color="auto" w:fill="auto"/>
            <w:noWrap/>
            <w:vAlign w:val="center"/>
            <w:hideMark/>
          </w:tcPr>
          <w:p w14:paraId="267FFC06"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Computer services and equipment</w:t>
            </w:r>
          </w:p>
        </w:tc>
        <w:tc>
          <w:tcPr>
            <w:tcW w:w="1814" w:type="dxa"/>
            <w:shd w:val="clear" w:color="auto" w:fill="auto"/>
            <w:noWrap/>
            <w:vAlign w:val="center"/>
            <w:hideMark/>
          </w:tcPr>
          <w:p w14:paraId="16F4322C"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(81,748)</w:t>
            </w:r>
          </w:p>
        </w:tc>
        <w:tc>
          <w:tcPr>
            <w:tcW w:w="1814" w:type="dxa"/>
            <w:shd w:val="clear" w:color="auto" w:fill="auto"/>
            <w:noWrap/>
            <w:vAlign w:val="center"/>
            <w:hideMark/>
          </w:tcPr>
          <w:p w14:paraId="31357A1B"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(26,312)</w:t>
            </w:r>
          </w:p>
        </w:tc>
      </w:tr>
      <w:tr w:rsidR="003E5BF5" w:rsidRPr="00020050" w14:paraId="715AF956" w14:textId="77777777" w:rsidTr="00CF330C">
        <w:trPr>
          <w:trHeight w:val="340"/>
        </w:trPr>
        <w:tc>
          <w:tcPr>
            <w:tcW w:w="5797" w:type="dxa"/>
            <w:shd w:val="clear" w:color="auto" w:fill="auto"/>
            <w:noWrap/>
            <w:vAlign w:val="center"/>
            <w:hideMark/>
          </w:tcPr>
          <w:p w14:paraId="169D89BF"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Accommodation</w:t>
            </w:r>
          </w:p>
        </w:tc>
        <w:tc>
          <w:tcPr>
            <w:tcW w:w="1814" w:type="dxa"/>
            <w:shd w:val="clear" w:color="auto" w:fill="auto"/>
            <w:noWrap/>
            <w:vAlign w:val="center"/>
            <w:hideMark/>
          </w:tcPr>
          <w:p w14:paraId="34BA238D"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(64,079)</w:t>
            </w:r>
          </w:p>
        </w:tc>
        <w:tc>
          <w:tcPr>
            <w:tcW w:w="1814" w:type="dxa"/>
            <w:shd w:val="clear" w:color="auto" w:fill="auto"/>
            <w:noWrap/>
            <w:vAlign w:val="center"/>
            <w:hideMark/>
          </w:tcPr>
          <w:p w14:paraId="63F2B6C8"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(21,803)</w:t>
            </w:r>
          </w:p>
        </w:tc>
      </w:tr>
      <w:tr w:rsidR="003E5BF5" w:rsidRPr="00020050" w14:paraId="07D904ED" w14:textId="77777777" w:rsidTr="00CF330C">
        <w:trPr>
          <w:trHeight w:val="340"/>
        </w:trPr>
        <w:tc>
          <w:tcPr>
            <w:tcW w:w="5797" w:type="dxa"/>
            <w:shd w:val="clear" w:color="auto" w:fill="auto"/>
            <w:noWrap/>
            <w:vAlign w:val="center"/>
            <w:hideMark/>
          </w:tcPr>
          <w:p w14:paraId="4A1C3A8C"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Administrative expenses</w:t>
            </w:r>
          </w:p>
        </w:tc>
        <w:tc>
          <w:tcPr>
            <w:tcW w:w="1814" w:type="dxa"/>
            <w:shd w:val="clear" w:color="auto" w:fill="auto"/>
            <w:noWrap/>
            <w:vAlign w:val="center"/>
            <w:hideMark/>
          </w:tcPr>
          <w:p w14:paraId="37FEF2B0"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(326,113)</w:t>
            </w:r>
          </w:p>
        </w:tc>
        <w:tc>
          <w:tcPr>
            <w:tcW w:w="1814" w:type="dxa"/>
            <w:shd w:val="clear" w:color="auto" w:fill="auto"/>
            <w:noWrap/>
            <w:vAlign w:val="center"/>
            <w:hideMark/>
          </w:tcPr>
          <w:p w14:paraId="4AB11E02"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(122,383)</w:t>
            </w:r>
          </w:p>
        </w:tc>
      </w:tr>
      <w:tr w:rsidR="003E5BF5" w:rsidRPr="00020050" w14:paraId="2B201871" w14:textId="77777777" w:rsidTr="00CF330C">
        <w:trPr>
          <w:trHeight w:val="340"/>
        </w:trPr>
        <w:tc>
          <w:tcPr>
            <w:tcW w:w="5797" w:type="dxa"/>
            <w:shd w:val="clear" w:color="auto" w:fill="auto"/>
            <w:noWrap/>
            <w:vAlign w:val="center"/>
            <w:hideMark/>
          </w:tcPr>
          <w:p w14:paraId="2B9EB58A" w14:textId="77777777" w:rsidR="003E5BF5" w:rsidRPr="00020050" w:rsidRDefault="003E5BF5" w:rsidP="00DE1921">
            <w:pPr>
              <w:pStyle w:val="TableTextLeftBold"/>
              <w:rPr>
                <w:rFonts w:ascii="Arial" w:hAnsi="Arial" w:cs="Arial"/>
                <w:sz w:val="24"/>
                <w:szCs w:val="24"/>
              </w:rPr>
            </w:pPr>
            <w:r w:rsidRPr="00020050">
              <w:rPr>
                <w:rFonts w:ascii="Arial" w:hAnsi="Arial" w:cs="Arial"/>
                <w:sz w:val="24"/>
                <w:szCs w:val="24"/>
              </w:rPr>
              <w:t>Total supplies and services</w:t>
            </w:r>
          </w:p>
        </w:tc>
        <w:tc>
          <w:tcPr>
            <w:tcW w:w="1814" w:type="dxa"/>
            <w:shd w:val="clear" w:color="auto" w:fill="auto"/>
            <w:noWrap/>
            <w:vAlign w:val="center"/>
            <w:hideMark/>
          </w:tcPr>
          <w:p w14:paraId="02A746E1" w14:textId="77777777" w:rsidR="003E5BF5" w:rsidRPr="00020050" w:rsidRDefault="003E5BF5" w:rsidP="00DE1921">
            <w:pPr>
              <w:pStyle w:val="TableTextRightBold"/>
              <w:rPr>
                <w:rFonts w:ascii="Arial" w:hAnsi="Arial" w:cs="Arial"/>
                <w:sz w:val="24"/>
                <w:szCs w:val="24"/>
                <w:lang w:eastAsia="en-AU"/>
              </w:rPr>
            </w:pPr>
            <w:r w:rsidRPr="00020050">
              <w:rPr>
                <w:rFonts w:ascii="Arial" w:hAnsi="Arial" w:cs="Arial"/>
                <w:sz w:val="24"/>
                <w:szCs w:val="24"/>
              </w:rPr>
              <w:t>(1,343,346)</w:t>
            </w:r>
          </w:p>
        </w:tc>
        <w:tc>
          <w:tcPr>
            <w:tcW w:w="1814" w:type="dxa"/>
            <w:shd w:val="clear" w:color="auto" w:fill="auto"/>
            <w:noWrap/>
            <w:vAlign w:val="center"/>
            <w:hideMark/>
          </w:tcPr>
          <w:p w14:paraId="6656CDBF" w14:textId="77777777" w:rsidR="003E5BF5" w:rsidRPr="00020050" w:rsidRDefault="003E5BF5" w:rsidP="00DE1921">
            <w:pPr>
              <w:pStyle w:val="TableTextRightBold"/>
              <w:rPr>
                <w:rFonts w:ascii="Arial" w:hAnsi="Arial" w:cs="Arial"/>
                <w:sz w:val="24"/>
                <w:szCs w:val="24"/>
                <w:lang w:eastAsia="en-AU"/>
              </w:rPr>
            </w:pPr>
            <w:r w:rsidRPr="00020050">
              <w:rPr>
                <w:rFonts w:ascii="Arial" w:hAnsi="Arial" w:cs="Arial"/>
                <w:sz w:val="24"/>
                <w:szCs w:val="24"/>
              </w:rPr>
              <w:t>(381,185)</w:t>
            </w:r>
          </w:p>
        </w:tc>
      </w:tr>
      <w:tr w:rsidR="003E5BF5" w:rsidRPr="00020050" w14:paraId="2D0FA27D" w14:textId="77777777" w:rsidTr="00CF330C">
        <w:trPr>
          <w:trHeight w:val="340"/>
        </w:trPr>
        <w:tc>
          <w:tcPr>
            <w:tcW w:w="5797" w:type="dxa"/>
            <w:shd w:val="clear" w:color="auto" w:fill="auto"/>
            <w:noWrap/>
            <w:vAlign w:val="center"/>
            <w:hideMark/>
          </w:tcPr>
          <w:p w14:paraId="095681CB"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Operating lease rental expenses</w:t>
            </w:r>
          </w:p>
        </w:tc>
        <w:tc>
          <w:tcPr>
            <w:tcW w:w="1814" w:type="dxa"/>
            <w:shd w:val="clear" w:color="auto" w:fill="auto"/>
            <w:noWrap/>
            <w:vAlign w:val="center"/>
            <w:hideMark/>
          </w:tcPr>
          <w:p w14:paraId="56BDFAF2"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(9,207)</w:t>
            </w:r>
          </w:p>
        </w:tc>
        <w:tc>
          <w:tcPr>
            <w:tcW w:w="1814" w:type="dxa"/>
            <w:shd w:val="clear" w:color="auto" w:fill="auto"/>
            <w:noWrap/>
            <w:vAlign w:val="center"/>
            <w:hideMark/>
          </w:tcPr>
          <w:p w14:paraId="51510A94"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(22,141)</w:t>
            </w:r>
          </w:p>
        </w:tc>
      </w:tr>
      <w:tr w:rsidR="003E5BF5" w:rsidRPr="00020050" w14:paraId="4A8B3743" w14:textId="77777777" w:rsidTr="00CF330C">
        <w:trPr>
          <w:trHeight w:val="340"/>
        </w:trPr>
        <w:tc>
          <w:tcPr>
            <w:tcW w:w="5797" w:type="dxa"/>
            <w:shd w:val="clear" w:color="auto" w:fill="auto"/>
            <w:noWrap/>
            <w:vAlign w:val="center"/>
            <w:hideMark/>
          </w:tcPr>
          <w:p w14:paraId="4BD95D44"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Short-term lease expenses</w:t>
            </w:r>
          </w:p>
        </w:tc>
        <w:tc>
          <w:tcPr>
            <w:tcW w:w="1814" w:type="dxa"/>
            <w:shd w:val="clear" w:color="auto" w:fill="auto"/>
            <w:noWrap/>
            <w:vAlign w:val="center"/>
            <w:hideMark/>
          </w:tcPr>
          <w:p w14:paraId="6CDBDAF5"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(410)</w:t>
            </w:r>
          </w:p>
        </w:tc>
        <w:tc>
          <w:tcPr>
            <w:tcW w:w="1814" w:type="dxa"/>
            <w:shd w:val="clear" w:color="auto" w:fill="auto"/>
            <w:noWrap/>
            <w:vAlign w:val="center"/>
            <w:hideMark/>
          </w:tcPr>
          <w:p w14:paraId="496BE05D"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 - </w:t>
            </w:r>
          </w:p>
        </w:tc>
      </w:tr>
      <w:tr w:rsidR="003E5BF5" w:rsidRPr="00020050" w14:paraId="3409C77B" w14:textId="77777777" w:rsidTr="00CF330C">
        <w:trPr>
          <w:trHeight w:val="340"/>
        </w:trPr>
        <w:tc>
          <w:tcPr>
            <w:tcW w:w="5797" w:type="dxa"/>
            <w:shd w:val="clear" w:color="auto" w:fill="auto"/>
            <w:noWrap/>
            <w:vAlign w:val="center"/>
            <w:hideMark/>
          </w:tcPr>
          <w:p w14:paraId="59D3D942"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Low-value assets</w:t>
            </w:r>
          </w:p>
        </w:tc>
        <w:tc>
          <w:tcPr>
            <w:tcW w:w="1814" w:type="dxa"/>
            <w:shd w:val="clear" w:color="auto" w:fill="auto"/>
            <w:noWrap/>
            <w:vAlign w:val="center"/>
            <w:hideMark/>
          </w:tcPr>
          <w:p w14:paraId="2F42A39A"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(8,462)</w:t>
            </w:r>
          </w:p>
        </w:tc>
        <w:tc>
          <w:tcPr>
            <w:tcW w:w="1814" w:type="dxa"/>
            <w:shd w:val="clear" w:color="auto" w:fill="auto"/>
            <w:noWrap/>
            <w:vAlign w:val="center"/>
            <w:hideMark/>
          </w:tcPr>
          <w:p w14:paraId="2A8B10A1"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 - </w:t>
            </w:r>
          </w:p>
        </w:tc>
      </w:tr>
      <w:tr w:rsidR="003E5BF5" w:rsidRPr="00020050" w14:paraId="655D311F" w14:textId="77777777" w:rsidTr="00CF330C">
        <w:trPr>
          <w:trHeight w:val="340"/>
        </w:trPr>
        <w:tc>
          <w:tcPr>
            <w:tcW w:w="5797" w:type="dxa"/>
            <w:tcBorders>
              <w:bottom w:val="single" w:sz="4" w:space="0" w:color="auto"/>
            </w:tcBorders>
            <w:shd w:val="clear" w:color="auto" w:fill="auto"/>
            <w:noWrap/>
            <w:vAlign w:val="center"/>
            <w:hideMark/>
          </w:tcPr>
          <w:p w14:paraId="76368F19"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Fair value of assets and services provided free of charge</w:t>
            </w:r>
          </w:p>
        </w:tc>
        <w:tc>
          <w:tcPr>
            <w:tcW w:w="1814" w:type="dxa"/>
            <w:tcBorders>
              <w:bottom w:val="single" w:sz="4" w:space="0" w:color="auto"/>
            </w:tcBorders>
            <w:shd w:val="clear" w:color="auto" w:fill="auto"/>
            <w:noWrap/>
            <w:vAlign w:val="center"/>
            <w:hideMark/>
          </w:tcPr>
          <w:p w14:paraId="261CB4FC"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(10,469)</w:t>
            </w:r>
          </w:p>
        </w:tc>
        <w:tc>
          <w:tcPr>
            <w:tcW w:w="1814" w:type="dxa"/>
            <w:tcBorders>
              <w:bottom w:val="single" w:sz="4" w:space="0" w:color="auto"/>
            </w:tcBorders>
            <w:shd w:val="clear" w:color="auto" w:fill="auto"/>
            <w:noWrap/>
            <w:vAlign w:val="center"/>
            <w:hideMark/>
          </w:tcPr>
          <w:p w14:paraId="3657E79D"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(29,898)</w:t>
            </w:r>
          </w:p>
        </w:tc>
      </w:tr>
      <w:tr w:rsidR="003E5BF5" w:rsidRPr="00020050" w14:paraId="18BA09D8" w14:textId="77777777" w:rsidTr="00CF330C">
        <w:trPr>
          <w:trHeight w:val="340"/>
        </w:trPr>
        <w:tc>
          <w:tcPr>
            <w:tcW w:w="5797" w:type="dxa"/>
            <w:tcBorders>
              <w:bottom w:val="single" w:sz="4" w:space="0" w:color="auto"/>
            </w:tcBorders>
            <w:shd w:val="clear" w:color="auto" w:fill="auto"/>
            <w:noWrap/>
            <w:vAlign w:val="center"/>
            <w:hideMark/>
          </w:tcPr>
          <w:p w14:paraId="43327037" w14:textId="77777777" w:rsidR="003E5BF5" w:rsidRPr="00020050" w:rsidRDefault="003E5BF5" w:rsidP="00DE1921">
            <w:pPr>
              <w:pStyle w:val="TableTextLeftBold"/>
              <w:rPr>
                <w:rFonts w:ascii="Arial" w:hAnsi="Arial" w:cs="Arial"/>
                <w:sz w:val="24"/>
                <w:szCs w:val="24"/>
              </w:rPr>
            </w:pPr>
            <w:r w:rsidRPr="00020050">
              <w:rPr>
                <w:rFonts w:ascii="Arial" w:hAnsi="Arial" w:cs="Arial"/>
                <w:sz w:val="24"/>
                <w:szCs w:val="24"/>
              </w:rPr>
              <w:t>Total other operating expenses</w:t>
            </w:r>
          </w:p>
        </w:tc>
        <w:tc>
          <w:tcPr>
            <w:tcW w:w="1814" w:type="dxa"/>
            <w:tcBorders>
              <w:bottom w:val="single" w:sz="4" w:space="0" w:color="auto"/>
            </w:tcBorders>
            <w:shd w:val="clear" w:color="auto" w:fill="auto"/>
            <w:noWrap/>
            <w:vAlign w:val="center"/>
            <w:hideMark/>
          </w:tcPr>
          <w:p w14:paraId="0107D4C9" w14:textId="77777777" w:rsidR="003E5BF5" w:rsidRPr="00020050" w:rsidRDefault="003E5BF5" w:rsidP="00DE1921">
            <w:pPr>
              <w:pStyle w:val="TableTextRightBold"/>
              <w:rPr>
                <w:rFonts w:ascii="Arial" w:hAnsi="Arial" w:cs="Arial"/>
                <w:sz w:val="24"/>
                <w:szCs w:val="24"/>
                <w:lang w:eastAsia="en-AU"/>
              </w:rPr>
            </w:pPr>
            <w:r w:rsidRPr="00020050">
              <w:rPr>
                <w:rFonts w:ascii="Arial" w:hAnsi="Arial" w:cs="Arial"/>
                <w:sz w:val="24"/>
                <w:szCs w:val="24"/>
              </w:rPr>
              <w:t>(1,371,894)</w:t>
            </w:r>
          </w:p>
        </w:tc>
        <w:tc>
          <w:tcPr>
            <w:tcW w:w="1814" w:type="dxa"/>
            <w:tcBorders>
              <w:bottom w:val="single" w:sz="4" w:space="0" w:color="auto"/>
            </w:tcBorders>
            <w:shd w:val="clear" w:color="auto" w:fill="auto"/>
            <w:noWrap/>
            <w:vAlign w:val="center"/>
            <w:hideMark/>
          </w:tcPr>
          <w:p w14:paraId="247ADE97" w14:textId="77777777" w:rsidR="003E5BF5" w:rsidRPr="00020050" w:rsidRDefault="003E5BF5" w:rsidP="00DE1921">
            <w:pPr>
              <w:pStyle w:val="TableTextRightBold"/>
              <w:rPr>
                <w:rFonts w:ascii="Arial" w:hAnsi="Arial" w:cs="Arial"/>
                <w:sz w:val="24"/>
                <w:szCs w:val="24"/>
                <w:lang w:eastAsia="en-AU"/>
              </w:rPr>
            </w:pPr>
            <w:r w:rsidRPr="00020050">
              <w:rPr>
                <w:rFonts w:ascii="Arial" w:hAnsi="Arial" w:cs="Arial"/>
                <w:sz w:val="24"/>
                <w:szCs w:val="24"/>
              </w:rPr>
              <w:t>(433,224)</w:t>
            </w:r>
          </w:p>
        </w:tc>
      </w:tr>
    </w:tbl>
    <w:p w14:paraId="60D87B74" w14:textId="77777777" w:rsidR="000D546E" w:rsidRPr="00020050" w:rsidRDefault="000D546E" w:rsidP="000D546E">
      <w:pPr>
        <w:pStyle w:val="Note"/>
        <w:rPr>
          <w:rFonts w:ascii="Arial" w:hAnsi="Arial" w:cs="Arial"/>
          <w:sz w:val="24"/>
          <w:szCs w:val="24"/>
        </w:rPr>
      </w:pPr>
      <w:r w:rsidRPr="00020050">
        <w:rPr>
          <w:rFonts w:ascii="Arial" w:hAnsi="Arial" w:cs="Arial"/>
          <w:sz w:val="24"/>
          <w:szCs w:val="24"/>
        </w:rPr>
        <w:t>Note:</w:t>
      </w:r>
    </w:p>
    <w:p w14:paraId="6C04E9B4" w14:textId="77777777" w:rsidR="000D546E" w:rsidRPr="00020050" w:rsidRDefault="000D546E" w:rsidP="00610F5F">
      <w:pPr>
        <w:pStyle w:val="aaaNotenumberiiiiii"/>
        <w:numPr>
          <w:ilvl w:val="0"/>
          <w:numId w:val="77"/>
        </w:numPr>
      </w:pPr>
      <w:r w:rsidRPr="00020050">
        <w:t xml:space="preserve">This includes quarterly payments relating to the service concession arrangement. Refer to Note 7.5.3 AASB1059 </w:t>
      </w:r>
      <w:r w:rsidRPr="000D546E">
        <w:rPr>
          <w:i/>
        </w:rPr>
        <w:t>Service Concession Arrangements: Grantors</w:t>
      </w:r>
      <w:r w:rsidRPr="00020050">
        <w:t xml:space="preserve"> for further details.</w:t>
      </w:r>
    </w:p>
    <w:p w14:paraId="69863EAA" w14:textId="0E0E358B" w:rsidR="003E5BF5" w:rsidRDefault="003E5BF5" w:rsidP="00056955">
      <w:pPr>
        <w:pStyle w:val="aaatyping"/>
      </w:pPr>
      <w:r>
        <w:t>Other operating expenses generally represent the day-to-day running costs incurred in normal operations. It also includes bad debts expense from transactions that are mutually agreed.</w:t>
      </w:r>
    </w:p>
    <w:p w14:paraId="5E1EF4F2" w14:textId="77777777" w:rsidR="003E5BF5" w:rsidRDefault="003E5BF5" w:rsidP="00056955">
      <w:pPr>
        <w:pStyle w:val="aaatyping"/>
      </w:pPr>
      <w:r w:rsidRPr="00171C80">
        <w:rPr>
          <w:b/>
          <w:bCs/>
        </w:rPr>
        <w:t>Supplies and services</w:t>
      </w:r>
      <w:r>
        <w:t xml:space="preserve"> are recognised as an expense in the reporting period in which they are incurred. The carrying amounts of any inventories held for distribution are expensed when the inventories are distributed.</w:t>
      </w:r>
    </w:p>
    <w:p w14:paraId="64A7C50C" w14:textId="77777777" w:rsidR="003E5BF5" w:rsidRDefault="003E5BF5" w:rsidP="00056955">
      <w:pPr>
        <w:pStyle w:val="aaatyping"/>
      </w:pPr>
      <w:r w:rsidRPr="00171C80">
        <w:rPr>
          <w:b/>
          <w:bCs/>
        </w:rPr>
        <w:t>Operating lease payments up until 30 June 2019</w:t>
      </w:r>
      <w:r>
        <w:t xml:space="preserve"> (including contingent rentals) are recognised on a straight-line basis over the lease term, except where another systematic basis is more representative of the time pattern of the benefits derived from the use of the leased asset. </w:t>
      </w:r>
    </w:p>
    <w:p w14:paraId="133F5519" w14:textId="77777777" w:rsidR="003E5BF5" w:rsidRPr="003C53A2" w:rsidRDefault="003E5BF5" w:rsidP="00056955">
      <w:pPr>
        <w:pStyle w:val="aaatyping"/>
      </w:pPr>
      <w:r w:rsidRPr="003C53A2">
        <w:lastRenderedPageBreak/>
        <w:t>From 1 July 2019, the following lease payments are recognised on a straight-line basis:</w:t>
      </w:r>
    </w:p>
    <w:p w14:paraId="7FB05D98" w14:textId="77777777" w:rsidR="003E5BF5" w:rsidRPr="00DF065B" w:rsidRDefault="003E5BF5" w:rsidP="00056955">
      <w:pPr>
        <w:pStyle w:val="aaabullet"/>
      </w:pPr>
      <w:r w:rsidRPr="003C53A2">
        <w:t>Short-</w:t>
      </w:r>
      <w:r w:rsidRPr="00CC1F9C">
        <w:t xml:space="preserve">term leases – leases with a term less than 12 </w:t>
      </w:r>
      <w:r w:rsidRPr="00DF065B">
        <w:t>months; and</w:t>
      </w:r>
    </w:p>
    <w:p w14:paraId="2C03954B" w14:textId="77777777" w:rsidR="003E5BF5" w:rsidRPr="003C53A2" w:rsidRDefault="003E5BF5" w:rsidP="00056955">
      <w:pPr>
        <w:pStyle w:val="aaabullet"/>
      </w:pPr>
      <w:r w:rsidRPr="00DF065B">
        <w:t>Low value leases – leases w</w:t>
      </w:r>
      <w:r>
        <w:t>here</w:t>
      </w:r>
      <w:r w:rsidRPr="00DF065B">
        <w:t xml:space="preserve"> the underlying asset’s fair value (when new, regardless of the age of the asset being leased) is no</w:t>
      </w:r>
      <w:r w:rsidRPr="003C53A2">
        <w:t xml:space="preserve"> more than $10,000.</w:t>
      </w:r>
    </w:p>
    <w:p w14:paraId="20832881" w14:textId="77777777" w:rsidR="003E5BF5" w:rsidRDefault="003E5BF5" w:rsidP="00056955">
      <w:pPr>
        <w:pStyle w:val="aaatyping"/>
      </w:pPr>
      <w:r w:rsidRPr="003C53A2">
        <w:t>Variable lease payments not included in the measurement of the lease liability (i.e. variable lease payments that do not depend on an index or a rate, initially measured using the index or rate as at the commencement date). These payments are recognised</w:t>
      </w:r>
      <w:r>
        <w:t xml:space="preserve"> in the period in which the event or condition that triggers those payments occur. </w:t>
      </w:r>
      <w:bookmarkStart w:id="183" w:name="RANGE!A3:C25"/>
      <w:bookmarkStart w:id="184" w:name="RANGE!A3:C26"/>
      <w:bookmarkStart w:id="185" w:name="RANGE!A3:C28"/>
      <w:bookmarkEnd w:id="148"/>
      <w:bookmarkEnd w:id="149"/>
      <w:bookmarkEnd w:id="150"/>
      <w:bookmarkEnd w:id="151"/>
      <w:bookmarkEnd w:id="152"/>
      <w:bookmarkEnd w:id="153"/>
      <w:bookmarkEnd w:id="183"/>
      <w:bookmarkEnd w:id="184"/>
      <w:bookmarkEnd w:id="185"/>
    </w:p>
    <w:p w14:paraId="0383D815" w14:textId="77777777" w:rsidR="003E5BF5" w:rsidRDefault="003E5BF5" w:rsidP="00056955">
      <w:pPr>
        <w:pStyle w:val="aaatyping"/>
      </w:pPr>
      <w:r w:rsidRPr="00B9446A">
        <w:rPr>
          <w:b/>
          <w:bCs/>
        </w:rPr>
        <w:t>Fair value of assets and services provided free of charge</w:t>
      </w:r>
      <w:r>
        <w:t xml:space="preserve"> or for nominal consideration are recognised at their fair value as expenses when the department loses control over the resources, irrespective of whether restrictions or conditions are imposed over the use of the contributions. The exception to this would be when the resource is transferred to another government department (or agency) as a consequence of a restructuring of administrative arrangements, in which case such a transfer will be recognised at its carrying value. Contributions in the form of services are only recognised when a fair value can be reliably determined, and the services would have been purchased if not donated.</w:t>
      </w:r>
    </w:p>
    <w:p w14:paraId="586B2B00" w14:textId="77777777" w:rsidR="001E5F0A" w:rsidRDefault="001E5F0A" w:rsidP="00DE1921">
      <w:pPr>
        <w:sectPr w:rsidR="001E5F0A" w:rsidSect="00DE1921">
          <w:headerReference w:type="even" r:id="rId86"/>
          <w:headerReference w:type="default" r:id="rId87"/>
          <w:headerReference w:type="first" r:id="rId88"/>
          <w:type w:val="continuous"/>
          <w:pgSz w:w="11906" w:h="16838"/>
          <w:pgMar w:top="1701" w:right="1418" w:bottom="1418" w:left="1418" w:header="708" w:footer="708" w:gutter="0"/>
          <w:cols w:space="708"/>
          <w:docGrid w:linePitch="360"/>
        </w:sectPr>
      </w:pPr>
    </w:p>
    <w:p w14:paraId="4C31613F" w14:textId="77777777" w:rsidR="00DA3912" w:rsidRDefault="00DA3912" w:rsidP="00DE1921"/>
    <w:p w14:paraId="6A77CAE3" w14:textId="00C622CA" w:rsidR="003E5BF5" w:rsidRPr="005D6CA6" w:rsidRDefault="003E5BF5" w:rsidP="00DE1921">
      <w:r>
        <w:br w:type="page"/>
      </w:r>
    </w:p>
    <w:p w14:paraId="10AF59DC" w14:textId="77777777" w:rsidR="003E5BF5" w:rsidRPr="007444F0" w:rsidRDefault="003E5BF5" w:rsidP="006667CC">
      <w:pPr>
        <w:pStyle w:val="Heading1"/>
        <w:numPr>
          <w:ilvl w:val="0"/>
          <w:numId w:val="3"/>
        </w:numPr>
        <w:sectPr w:rsidR="003E5BF5" w:rsidRPr="007444F0" w:rsidSect="00DE1921">
          <w:type w:val="continuous"/>
          <w:pgSz w:w="11906" w:h="16838"/>
          <w:pgMar w:top="1701" w:right="1418" w:bottom="1418" w:left="1418" w:header="708" w:footer="708" w:gutter="0"/>
          <w:cols w:space="708"/>
          <w:docGrid w:linePitch="360"/>
        </w:sectPr>
      </w:pPr>
      <w:bookmarkStart w:id="186" w:name="_Toc55130692"/>
      <w:r>
        <w:lastRenderedPageBreak/>
        <w:t>DISAGGREGATED FINANCIAL INFORMATION BY OUTPUT</w:t>
      </w:r>
      <w:bookmarkEnd w:id="186"/>
    </w:p>
    <w:bookmarkEnd w:id="154"/>
    <w:p w14:paraId="3216F5E9" w14:textId="77777777" w:rsidR="003E5BF5" w:rsidRPr="006F6308" w:rsidRDefault="003E5BF5" w:rsidP="008A0170">
      <w:pPr>
        <w:pStyle w:val="Heading2"/>
      </w:pPr>
      <w:r w:rsidRPr="006F6308">
        <w:t>Introduction</w:t>
      </w:r>
    </w:p>
    <w:p w14:paraId="35E4ACD5" w14:textId="77777777" w:rsidR="003E5BF5" w:rsidRPr="007444F0" w:rsidRDefault="003E5BF5" w:rsidP="0079690B">
      <w:pPr>
        <w:pStyle w:val="aaatyping"/>
      </w:pPr>
      <w:r>
        <w:t>The department</w:t>
      </w:r>
      <w:r w:rsidRPr="007444F0">
        <w:t xml:space="preserve"> is predominantly funded by accrual based parliamentary appropriations for the provision of outputs. This section provides a description of the departmental outputs performed during the year ended 30 June </w:t>
      </w:r>
      <w:r>
        <w:t>2020</w:t>
      </w:r>
      <w:r w:rsidRPr="007444F0">
        <w:t xml:space="preserve"> along with the objectives of those outputs.</w:t>
      </w:r>
    </w:p>
    <w:p w14:paraId="20C74245" w14:textId="77777777" w:rsidR="003E5BF5" w:rsidRPr="007444F0" w:rsidRDefault="003E5BF5" w:rsidP="0079690B">
      <w:pPr>
        <w:pStyle w:val="aaatyping"/>
      </w:pPr>
      <w:r w:rsidRPr="007444F0">
        <w:t>This section disaggregates revenue and income (described in Note 2 Funding delivery of our services) by output and records the allocation of expenses incurred (described in Note 3 The cost of delivering services) also by output.</w:t>
      </w:r>
    </w:p>
    <w:p w14:paraId="03F9EB12" w14:textId="77777777" w:rsidR="00E05C1F" w:rsidRDefault="003E5BF5" w:rsidP="0079690B">
      <w:pPr>
        <w:pStyle w:val="aaatyping"/>
      </w:pPr>
      <w:r w:rsidRPr="007444F0">
        <w:t>It provides information on controlled and administered items in connection with these outputs.</w:t>
      </w:r>
    </w:p>
    <w:p w14:paraId="4279B22D" w14:textId="53FF27B4" w:rsidR="00E05C1F" w:rsidRDefault="00E05C1F" w:rsidP="00DE1921">
      <w:pPr>
        <w:sectPr w:rsidR="00E05C1F" w:rsidSect="00E05C1F">
          <w:headerReference w:type="even" r:id="rId89"/>
          <w:headerReference w:type="default" r:id="rId90"/>
          <w:footerReference w:type="even" r:id="rId91"/>
          <w:headerReference w:type="first" r:id="rId92"/>
          <w:type w:val="continuous"/>
          <w:pgSz w:w="11906" w:h="16838"/>
          <w:pgMar w:top="1701" w:right="1418" w:bottom="1418" w:left="1418" w:header="708" w:footer="708" w:gutter="0"/>
          <w:cols w:space="708"/>
          <w:docGrid w:linePitch="360"/>
        </w:sectPr>
      </w:pPr>
    </w:p>
    <w:p w14:paraId="17461135" w14:textId="630B337A" w:rsidR="003E5BF5" w:rsidRPr="00B3046F" w:rsidRDefault="003E5BF5" w:rsidP="003170FD">
      <w:pPr>
        <w:pStyle w:val="Heading2"/>
        <w:rPr>
          <w:color w:val="4472C4" w:themeColor="accent1"/>
          <w:sz w:val="32"/>
          <w:szCs w:val="28"/>
        </w:rPr>
      </w:pPr>
      <w:r w:rsidRPr="003170FD">
        <w:t>Structure</w:t>
      </w:r>
    </w:p>
    <w:p w14:paraId="760EE44F" w14:textId="3A50E637" w:rsidR="003E5BF5" w:rsidRPr="00F37562" w:rsidRDefault="003E5BF5" w:rsidP="00796906">
      <w:pPr>
        <w:pStyle w:val="TOC1"/>
        <w:rPr>
          <w:rStyle w:val="Hyperlink"/>
        </w:rPr>
      </w:pPr>
      <w:r w:rsidRPr="007444F0">
        <w:rPr>
          <w:sz w:val="28"/>
        </w:rPr>
        <w:fldChar w:fldCharType="begin"/>
      </w:r>
      <w:r w:rsidRPr="007444F0">
        <w:instrText xml:space="preserve"> TOC \t "Heading 2,1"  \b SEC4 \h \* MERGEFORMAT </w:instrText>
      </w:r>
      <w:r w:rsidRPr="007444F0">
        <w:rPr>
          <w:sz w:val="28"/>
        </w:rPr>
        <w:fldChar w:fldCharType="separate"/>
      </w:r>
      <w:hyperlink w:anchor="_Toc41469578" w:history="1">
        <w:r w:rsidRPr="002A3DF2">
          <w:rPr>
            <w:rStyle w:val="Hyperlink"/>
          </w:rPr>
          <w:t>4.1Departmental outputs</w:t>
        </w:r>
        <w:r w:rsidRPr="00F37562">
          <w:rPr>
            <w:rStyle w:val="Hyperlink"/>
          </w:rPr>
          <w:tab/>
        </w:r>
        <w:r w:rsidRPr="00F37562">
          <w:rPr>
            <w:rStyle w:val="Hyperlink"/>
          </w:rPr>
          <w:fldChar w:fldCharType="begin"/>
        </w:r>
        <w:r w:rsidRPr="00F37562">
          <w:rPr>
            <w:rStyle w:val="Hyperlink"/>
          </w:rPr>
          <w:instrText xml:space="preserve"> PAGEREF _Toc41469578 \h </w:instrText>
        </w:r>
        <w:r w:rsidRPr="00F37562">
          <w:rPr>
            <w:rStyle w:val="Hyperlink"/>
          </w:rPr>
        </w:r>
        <w:r w:rsidRPr="00F37562">
          <w:rPr>
            <w:rStyle w:val="Hyperlink"/>
          </w:rPr>
          <w:fldChar w:fldCharType="separate"/>
        </w:r>
        <w:r w:rsidR="00E72BF1">
          <w:rPr>
            <w:rStyle w:val="Hyperlink"/>
          </w:rPr>
          <w:t>102</w:t>
        </w:r>
        <w:r w:rsidRPr="00F37562">
          <w:rPr>
            <w:rStyle w:val="Hyperlink"/>
          </w:rPr>
          <w:fldChar w:fldCharType="end"/>
        </w:r>
      </w:hyperlink>
    </w:p>
    <w:p w14:paraId="3459A489" w14:textId="2DEBD97C" w:rsidR="003E5BF5" w:rsidRPr="00F37562" w:rsidRDefault="009B2DDD" w:rsidP="00796906">
      <w:pPr>
        <w:pStyle w:val="TOC1"/>
        <w:rPr>
          <w:rStyle w:val="Hyperlink"/>
        </w:rPr>
      </w:pPr>
      <w:hyperlink w:anchor="_Toc41469579" w:history="1">
        <w:r w:rsidR="003E5BF5" w:rsidRPr="002A3DF2">
          <w:rPr>
            <w:rStyle w:val="Hyperlink"/>
          </w:rPr>
          <w:t>4.2Administered items</w:t>
        </w:r>
        <w:r w:rsidR="003E5BF5" w:rsidRPr="00F37562">
          <w:rPr>
            <w:rStyle w:val="Hyperlink"/>
          </w:rPr>
          <w:tab/>
        </w:r>
        <w:r w:rsidR="003E5BF5" w:rsidRPr="00F37562">
          <w:rPr>
            <w:rStyle w:val="Hyperlink"/>
          </w:rPr>
          <w:fldChar w:fldCharType="begin"/>
        </w:r>
        <w:r w:rsidR="003E5BF5" w:rsidRPr="00F37562">
          <w:rPr>
            <w:rStyle w:val="Hyperlink"/>
          </w:rPr>
          <w:instrText xml:space="preserve"> PAGEREF _Toc41469579 \h </w:instrText>
        </w:r>
        <w:r w:rsidR="003E5BF5" w:rsidRPr="00F37562">
          <w:rPr>
            <w:rStyle w:val="Hyperlink"/>
          </w:rPr>
        </w:r>
        <w:r w:rsidR="003E5BF5" w:rsidRPr="00F37562">
          <w:rPr>
            <w:rStyle w:val="Hyperlink"/>
          </w:rPr>
          <w:fldChar w:fldCharType="separate"/>
        </w:r>
        <w:r w:rsidR="00E72BF1">
          <w:rPr>
            <w:rStyle w:val="Hyperlink"/>
          </w:rPr>
          <w:t>120</w:t>
        </w:r>
        <w:r w:rsidR="003E5BF5" w:rsidRPr="00F37562">
          <w:rPr>
            <w:rStyle w:val="Hyperlink"/>
          </w:rPr>
          <w:fldChar w:fldCharType="end"/>
        </w:r>
      </w:hyperlink>
    </w:p>
    <w:p w14:paraId="6E09DCBB" w14:textId="308498DA" w:rsidR="003E5BF5" w:rsidRDefault="009B2DDD" w:rsidP="00796906">
      <w:pPr>
        <w:pStyle w:val="TOC1"/>
        <w:rPr>
          <w:rStyle w:val="Hyperlink"/>
        </w:rPr>
      </w:pPr>
      <w:hyperlink w:anchor="_Toc41469580" w:history="1">
        <w:r w:rsidR="003E5BF5" w:rsidRPr="002A3DF2">
          <w:rPr>
            <w:rStyle w:val="Hyperlink"/>
          </w:rPr>
          <w:t>4.3Restructuring of administrative arrangements</w:t>
        </w:r>
        <w:r w:rsidR="003E5BF5" w:rsidRPr="00F37562">
          <w:rPr>
            <w:rStyle w:val="Hyperlink"/>
          </w:rPr>
          <w:tab/>
        </w:r>
        <w:r w:rsidR="003E5BF5" w:rsidRPr="00F37562">
          <w:rPr>
            <w:rStyle w:val="Hyperlink"/>
          </w:rPr>
          <w:fldChar w:fldCharType="begin"/>
        </w:r>
        <w:r w:rsidR="003E5BF5" w:rsidRPr="00F37562">
          <w:rPr>
            <w:rStyle w:val="Hyperlink"/>
          </w:rPr>
          <w:instrText xml:space="preserve"> PAGEREF _Toc41469580 \h </w:instrText>
        </w:r>
        <w:r w:rsidR="003E5BF5" w:rsidRPr="00F37562">
          <w:rPr>
            <w:rStyle w:val="Hyperlink"/>
          </w:rPr>
        </w:r>
        <w:r w:rsidR="003E5BF5" w:rsidRPr="00F37562">
          <w:rPr>
            <w:rStyle w:val="Hyperlink"/>
          </w:rPr>
          <w:fldChar w:fldCharType="separate"/>
        </w:r>
        <w:r w:rsidR="00E72BF1">
          <w:rPr>
            <w:rStyle w:val="Hyperlink"/>
          </w:rPr>
          <w:t>133</w:t>
        </w:r>
        <w:r w:rsidR="003E5BF5" w:rsidRPr="00F37562">
          <w:rPr>
            <w:rStyle w:val="Hyperlink"/>
          </w:rPr>
          <w:fldChar w:fldCharType="end"/>
        </w:r>
      </w:hyperlink>
    </w:p>
    <w:p w14:paraId="7FBE8E1E" w14:textId="77777777" w:rsidR="007C0692" w:rsidRPr="007C0692" w:rsidRDefault="007C0692" w:rsidP="007C0692">
      <w:pPr>
        <w:rPr>
          <w:noProof/>
          <w:lang w:eastAsia="zh-CN"/>
        </w:rPr>
      </w:pPr>
    </w:p>
    <w:p w14:paraId="0B65DE49" w14:textId="77777777" w:rsidR="003E5BF5" w:rsidRPr="007444F0" w:rsidRDefault="003E5BF5" w:rsidP="00DE1921">
      <w:pPr>
        <w:pStyle w:val="TOC2"/>
        <w:framePr w:wrap="around"/>
      </w:pPr>
      <w:r w:rsidRPr="007444F0">
        <w:fldChar w:fldCharType="end"/>
      </w:r>
    </w:p>
    <w:p w14:paraId="25A15940" w14:textId="77777777" w:rsidR="003E5BF5" w:rsidRPr="007444F0" w:rsidRDefault="003E5BF5" w:rsidP="00DE1921">
      <w:pPr>
        <w:pStyle w:val="TOC2"/>
        <w:framePr w:wrap="around"/>
        <w:sectPr w:rsidR="003E5BF5" w:rsidRPr="007444F0" w:rsidSect="00E05C1F">
          <w:type w:val="continuous"/>
          <w:pgSz w:w="11906" w:h="16838"/>
          <w:pgMar w:top="1701" w:right="1418" w:bottom="1418" w:left="1418" w:header="708" w:footer="708" w:gutter="0"/>
          <w:cols w:space="708"/>
          <w:docGrid w:linePitch="360"/>
        </w:sectPr>
      </w:pPr>
    </w:p>
    <w:p w14:paraId="39E9B468" w14:textId="77777777" w:rsidR="003E5BF5" w:rsidRPr="001369F7" w:rsidRDefault="003E5BF5" w:rsidP="00DE1921">
      <w:pPr>
        <w:spacing w:after="0"/>
        <w:rPr>
          <w:sz w:val="16"/>
          <w:szCs w:val="20"/>
        </w:rPr>
        <w:sectPr w:rsidR="003E5BF5" w:rsidRPr="001369F7" w:rsidSect="00E05C1F">
          <w:type w:val="continuous"/>
          <w:pgSz w:w="11906" w:h="16838"/>
          <w:pgMar w:top="1701" w:right="1418" w:bottom="1418" w:left="1418" w:header="708" w:footer="708" w:gutter="0"/>
          <w:cols w:space="708"/>
          <w:docGrid w:linePitch="360"/>
        </w:sectPr>
      </w:pPr>
    </w:p>
    <w:p w14:paraId="55BAD08C" w14:textId="77777777" w:rsidR="003E5BF5" w:rsidRPr="007444F0" w:rsidRDefault="003E5BF5" w:rsidP="006667CC">
      <w:pPr>
        <w:pStyle w:val="Heading2"/>
        <w:numPr>
          <w:ilvl w:val="1"/>
          <w:numId w:val="3"/>
        </w:numPr>
      </w:pPr>
      <w:bookmarkStart w:id="187" w:name="_Toc522178149"/>
      <w:bookmarkStart w:id="188" w:name="_Toc529184421"/>
      <w:bookmarkStart w:id="189" w:name="_Toc529197893"/>
      <w:bookmarkStart w:id="190" w:name="_Toc529197983"/>
      <w:bookmarkStart w:id="191" w:name="_Toc530386180"/>
      <w:bookmarkStart w:id="192" w:name="_Toc9344203"/>
      <w:bookmarkStart w:id="193" w:name="_Toc41469578"/>
      <w:bookmarkStart w:id="194" w:name="_Toc53420659"/>
      <w:bookmarkStart w:id="195" w:name="SEC4"/>
      <w:r w:rsidRPr="007444F0">
        <w:t>Departmental outputs</w:t>
      </w:r>
      <w:bookmarkEnd w:id="187"/>
      <w:bookmarkEnd w:id="188"/>
      <w:bookmarkEnd w:id="189"/>
      <w:bookmarkEnd w:id="190"/>
      <w:bookmarkEnd w:id="191"/>
      <w:bookmarkEnd w:id="192"/>
      <w:bookmarkEnd w:id="193"/>
      <w:bookmarkEnd w:id="194"/>
    </w:p>
    <w:p w14:paraId="39DDED9F" w14:textId="77777777" w:rsidR="003E5BF5" w:rsidRDefault="003E5BF5" w:rsidP="006667CC">
      <w:pPr>
        <w:pStyle w:val="Heading3"/>
        <w:numPr>
          <w:ilvl w:val="2"/>
          <w:numId w:val="3"/>
        </w:numPr>
        <w:ind w:left="851" w:hanging="851"/>
      </w:pPr>
      <w:bookmarkStart w:id="196" w:name="_Toc522178150"/>
      <w:bookmarkStart w:id="197" w:name="_Toc529184422"/>
      <w:bookmarkStart w:id="198" w:name="_Toc529197894"/>
      <w:bookmarkStart w:id="199" w:name="_Toc9344204"/>
      <w:r w:rsidRPr="007444F0">
        <w:t>Departmental outputs objectives</w:t>
      </w:r>
      <w:bookmarkEnd w:id="196"/>
      <w:bookmarkEnd w:id="197"/>
      <w:bookmarkEnd w:id="198"/>
      <w:bookmarkEnd w:id="199"/>
      <w:r w:rsidR="007C0692">
        <w:t xml:space="preserve">  </w:t>
      </w:r>
    </w:p>
    <w:p w14:paraId="6FDF51D1" w14:textId="77777777" w:rsidR="003E5BF5" w:rsidRPr="007444F0" w:rsidRDefault="003E5BF5" w:rsidP="0079690B">
      <w:pPr>
        <w:pStyle w:val="aaatyping"/>
      </w:pPr>
      <w:r w:rsidRPr="00151C38">
        <w:t xml:space="preserve">The </w:t>
      </w:r>
      <w:r>
        <w:t>d</w:t>
      </w:r>
      <w:r w:rsidRPr="00151C38">
        <w:t>epartment supports the ministerial portfolios of transport infrastructure; public transport; ports and freight; roads</w:t>
      </w:r>
      <w:r>
        <w:t xml:space="preserve">; </w:t>
      </w:r>
      <w:r w:rsidRPr="00151C38">
        <w:t>road safety</w:t>
      </w:r>
      <w:r>
        <w:t xml:space="preserve"> and the TAC</w:t>
      </w:r>
      <w:r w:rsidRPr="00151C38">
        <w:t>; and fishing and boating</w:t>
      </w:r>
      <w:r w:rsidRPr="007444F0">
        <w:t>.</w:t>
      </w:r>
    </w:p>
    <w:p w14:paraId="6552C2CC" w14:textId="77777777" w:rsidR="003E5BF5" w:rsidRPr="00A32A06" w:rsidRDefault="003E5BF5" w:rsidP="00EF5131">
      <w:pPr>
        <w:pStyle w:val="Heading5"/>
      </w:pPr>
      <w:r w:rsidRPr="00A32A06">
        <w:t>Departmental mission statement</w:t>
      </w:r>
    </w:p>
    <w:p w14:paraId="33080053" w14:textId="77777777" w:rsidR="003E5BF5" w:rsidRPr="007444F0" w:rsidRDefault="003E5BF5" w:rsidP="0079690B">
      <w:pPr>
        <w:pStyle w:val="aaatyping"/>
      </w:pPr>
      <w:r w:rsidRPr="00AC631A">
        <w:t xml:space="preserve">The </w:t>
      </w:r>
      <w:r>
        <w:t>department</w:t>
      </w:r>
      <w:r w:rsidRPr="00AC631A">
        <w:t xml:space="preserve">’s mission is to enable simple, safe and connected journeys. The </w:t>
      </w:r>
      <w:r>
        <w:t>d</w:t>
      </w:r>
      <w:r w:rsidRPr="00AC631A">
        <w:t xml:space="preserve">epartment plans, builds and operates the transport </w:t>
      </w:r>
      <w:r w:rsidRPr="00AC631A">
        <w:lastRenderedPageBreak/>
        <w:t xml:space="preserve">system in a way that meets the needs of the people and freight that travel on it, now and in the future. It brings together management of ports, boating and fisheries for commercial and recreational uses. The </w:t>
      </w:r>
      <w:r>
        <w:t>d</w:t>
      </w:r>
      <w:r w:rsidRPr="00AC631A">
        <w:t>epartment ensures that transport agencies and operators work towards a common goal of an integrated transport system that contributes to an inclusive, prosperous and environmentally responsible state</w:t>
      </w:r>
      <w:r w:rsidRPr="007444F0">
        <w:t>.</w:t>
      </w:r>
    </w:p>
    <w:p w14:paraId="55013F6D" w14:textId="77777777" w:rsidR="003E5BF5" w:rsidRPr="00A32A06" w:rsidRDefault="003E5BF5" w:rsidP="00EF5131">
      <w:pPr>
        <w:pStyle w:val="Heading5"/>
      </w:pPr>
      <w:r w:rsidRPr="00A32A06">
        <w:t>Outputs transferred out in Machinery-of-Government change</w:t>
      </w:r>
    </w:p>
    <w:p w14:paraId="2BEB192F" w14:textId="77777777" w:rsidR="003E5BF5" w:rsidRDefault="003E5BF5" w:rsidP="0079690B">
      <w:pPr>
        <w:pStyle w:val="aaatyping"/>
      </w:pPr>
      <w:r w:rsidRPr="007444F0">
        <w:t xml:space="preserve">Effective from 1 January 2019, </w:t>
      </w:r>
      <w:r>
        <w:t xml:space="preserve">non-transport </w:t>
      </w:r>
      <w:r w:rsidRPr="007444F0">
        <w:t xml:space="preserve">objectives and output groups have been transferred out of </w:t>
      </w:r>
      <w:r>
        <w:t>the department</w:t>
      </w:r>
      <w:r w:rsidRPr="007444F0">
        <w:t xml:space="preserve"> as a result of the </w:t>
      </w:r>
      <w:proofErr w:type="spellStart"/>
      <w:r>
        <w:t>MoG</w:t>
      </w:r>
      <w:proofErr w:type="spellEnd"/>
      <w:r w:rsidRPr="007444F0">
        <w:t xml:space="preserve"> change announced in the 2019 financial year. </w:t>
      </w:r>
    </w:p>
    <w:p w14:paraId="7531D8B8" w14:textId="66B5533E" w:rsidR="003E5BF5" w:rsidRDefault="003E5BF5" w:rsidP="0079690B">
      <w:pPr>
        <w:pStyle w:val="aaatyping"/>
      </w:pPr>
      <w:r>
        <w:t>The outputs that have been transferred out of the department are as follows:</w:t>
      </w:r>
    </w:p>
    <w:p w14:paraId="1453F0F9" w14:textId="77777777" w:rsidR="003E5BF5" w:rsidRDefault="003E5BF5" w:rsidP="0079690B">
      <w:pPr>
        <w:pStyle w:val="aaabullet"/>
      </w:pPr>
      <w:r w:rsidRPr="00F71186">
        <w:t>Agriculture</w:t>
      </w:r>
    </w:p>
    <w:p w14:paraId="73504A1C" w14:textId="77777777" w:rsidR="003E5BF5" w:rsidRDefault="003E5BF5" w:rsidP="0079690B">
      <w:pPr>
        <w:pStyle w:val="aaabullet"/>
      </w:pPr>
      <w:r w:rsidRPr="00083526">
        <w:t>Resources</w:t>
      </w:r>
    </w:p>
    <w:p w14:paraId="6A380337" w14:textId="77777777" w:rsidR="003E5BF5" w:rsidRPr="00083526" w:rsidRDefault="003E5BF5" w:rsidP="0079690B">
      <w:pPr>
        <w:pStyle w:val="aaabullet"/>
      </w:pPr>
      <w:r w:rsidRPr="00083526">
        <w:t>Creative Industries Access, Development and Innovation</w:t>
      </w:r>
    </w:p>
    <w:p w14:paraId="01E03651" w14:textId="77777777" w:rsidR="003E5BF5" w:rsidRPr="00083526" w:rsidRDefault="003E5BF5" w:rsidP="0079690B">
      <w:pPr>
        <w:pStyle w:val="aaabullet"/>
      </w:pPr>
      <w:r w:rsidRPr="00083526">
        <w:t>Creative industries portfolio agencies</w:t>
      </w:r>
    </w:p>
    <w:p w14:paraId="11907308" w14:textId="77777777" w:rsidR="003E5BF5" w:rsidRPr="00083526" w:rsidRDefault="003E5BF5" w:rsidP="0079690B">
      <w:pPr>
        <w:pStyle w:val="aaabullet"/>
      </w:pPr>
      <w:r w:rsidRPr="00083526">
        <w:t>Cultural infrastructure and facilities</w:t>
      </w:r>
    </w:p>
    <w:p w14:paraId="6D99B6D3" w14:textId="77777777" w:rsidR="003E5BF5" w:rsidRPr="00083526" w:rsidRDefault="003E5BF5" w:rsidP="0079690B">
      <w:pPr>
        <w:pStyle w:val="aaabullet"/>
      </w:pPr>
      <w:r w:rsidRPr="00083526">
        <w:t>Tourism, major events and international education</w:t>
      </w:r>
    </w:p>
    <w:p w14:paraId="3D07A0FB" w14:textId="77777777" w:rsidR="003E5BF5" w:rsidRPr="00083526" w:rsidRDefault="003E5BF5" w:rsidP="0079690B">
      <w:pPr>
        <w:pStyle w:val="aaabullet"/>
      </w:pPr>
      <w:r w:rsidRPr="00083526">
        <w:t>Industrial Relations</w:t>
      </w:r>
    </w:p>
    <w:p w14:paraId="68B79F6A" w14:textId="77777777" w:rsidR="003E5BF5" w:rsidRPr="00083526" w:rsidRDefault="003E5BF5" w:rsidP="0079690B">
      <w:pPr>
        <w:pStyle w:val="aaabullet"/>
      </w:pPr>
      <w:r w:rsidRPr="00083526">
        <w:t>Industry and enterprise innovation</w:t>
      </w:r>
    </w:p>
    <w:p w14:paraId="676B845D" w14:textId="77777777" w:rsidR="003E5BF5" w:rsidRPr="00083526" w:rsidRDefault="003E5BF5" w:rsidP="0079690B">
      <w:pPr>
        <w:pStyle w:val="aaabullet"/>
      </w:pPr>
      <w:r w:rsidRPr="00083526">
        <w:t>Jobs and investment</w:t>
      </w:r>
    </w:p>
    <w:p w14:paraId="22C1E257" w14:textId="77777777" w:rsidR="003E5BF5" w:rsidRPr="00083526" w:rsidRDefault="003E5BF5" w:rsidP="0079690B">
      <w:pPr>
        <w:pStyle w:val="aaabullet"/>
      </w:pPr>
      <w:r w:rsidRPr="00083526">
        <w:t>Major projects</w:t>
      </w:r>
    </w:p>
    <w:p w14:paraId="0314F56E" w14:textId="77777777" w:rsidR="003E5BF5" w:rsidRPr="00083526" w:rsidRDefault="003E5BF5" w:rsidP="0079690B">
      <w:pPr>
        <w:pStyle w:val="aaabullet"/>
      </w:pPr>
      <w:r w:rsidRPr="00083526">
        <w:t>Regional development</w:t>
      </w:r>
    </w:p>
    <w:p w14:paraId="56183DEC" w14:textId="77777777" w:rsidR="003E5BF5" w:rsidRPr="00083526" w:rsidRDefault="003E5BF5" w:rsidP="0079690B">
      <w:pPr>
        <w:pStyle w:val="aaabullet"/>
      </w:pPr>
      <w:r w:rsidRPr="00083526">
        <w:t>Trade</w:t>
      </w:r>
      <w:r>
        <w:t>.</w:t>
      </w:r>
    </w:p>
    <w:p w14:paraId="7B0C7314" w14:textId="77777777" w:rsidR="003E5BF5" w:rsidRDefault="003E5BF5" w:rsidP="0079690B">
      <w:pPr>
        <w:pStyle w:val="aaatyping"/>
      </w:pPr>
      <w:r>
        <w:lastRenderedPageBreak/>
        <w:t>In the comparative figures, t</w:t>
      </w:r>
      <w:r w:rsidRPr="007444F0">
        <w:t>he operating result of these outputs for the period between 1 July 2018 and 31 December 2018</w:t>
      </w:r>
      <w:r>
        <w:t xml:space="preserve"> </w:t>
      </w:r>
      <w:r w:rsidRPr="007444F0">
        <w:t>have been included in this report</w:t>
      </w:r>
      <w:r>
        <w:t>.</w:t>
      </w:r>
    </w:p>
    <w:p w14:paraId="27A7D023" w14:textId="77777777" w:rsidR="003E5BF5" w:rsidRDefault="003E5BF5" w:rsidP="0079690B">
      <w:pPr>
        <w:pStyle w:val="aaatyping"/>
      </w:pPr>
      <w:r>
        <w:t>There have been no changes in the outputs since 30 June 2019 within the department.</w:t>
      </w:r>
    </w:p>
    <w:p w14:paraId="6BE88A95" w14:textId="77777777" w:rsidR="003E5BF5" w:rsidRPr="00A32A06" w:rsidRDefault="003E5BF5" w:rsidP="00EF5131">
      <w:pPr>
        <w:pStyle w:val="Heading5"/>
      </w:pPr>
      <w:r w:rsidRPr="00A32A06">
        <w:t>Objectives and descriptions</w:t>
      </w:r>
    </w:p>
    <w:p w14:paraId="531954FD" w14:textId="77777777" w:rsidR="003E5BF5" w:rsidRDefault="003E5BF5" w:rsidP="0079690B">
      <w:pPr>
        <w:pStyle w:val="aaatyping"/>
      </w:pPr>
      <w:r w:rsidRPr="007444F0">
        <w:t xml:space="preserve">The objectives and descriptions of the departmental outputs performed during the financial year ended 30 June </w:t>
      </w:r>
      <w:r>
        <w:t>2020</w:t>
      </w:r>
      <w:r w:rsidRPr="007444F0">
        <w:t xml:space="preserve"> are summarised in </w:t>
      </w:r>
      <w:hyperlink w:anchor="_Departmental_output_objectives" w:history="1">
        <w:r w:rsidRPr="007444F0">
          <w:rPr>
            <w:rStyle w:val="Hyperlink"/>
          </w:rPr>
          <w:t>Note 9.1</w:t>
        </w:r>
        <w:r>
          <w:rPr>
            <w:rStyle w:val="Hyperlink"/>
          </w:rPr>
          <w:t>4</w:t>
        </w:r>
        <w:r w:rsidRPr="007444F0">
          <w:rPr>
            <w:rStyle w:val="Hyperlink"/>
          </w:rPr>
          <w:t xml:space="preserve"> Department output objectives and descriptions</w:t>
        </w:r>
      </w:hyperlink>
      <w:r w:rsidRPr="007444F0">
        <w:t>.</w:t>
      </w:r>
      <w:r>
        <w:t xml:space="preserve"> </w:t>
      </w:r>
    </w:p>
    <w:p w14:paraId="0DDE4641" w14:textId="77777777" w:rsidR="003E5BF5" w:rsidRPr="007444F0" w:rsidRDefault="003E5BF5" w:rsidP="00DE1921">
      <w:pPr>
        <w:sectPr w:rsidR="003E5BF5" w:rsidRPr="007444F0" w:rsidSect="00E05C1F">
          <w:headerReference w:type="even" r:id="rId93"/>
          <w:headerReference w:type="default" r:id="rId94"/>
          <w:headerReference w:type="first" r:id="rId95"/>
          <w:type w:val="continuous"/>
          <w:pgSz w:w="11906" w:h="16838"/>
          <w:pgMar w:top="1701" w:right="1418" w:bottom="1418" w:left="1418" w:header="708" w:footer="708" w:gutter="0"/>
          <w:cols w:space="284"/>
          <w:docGrid w:linePitch="360"/>
        </w:sectPr>
      </w:pPr>
    </w:p>
    <w:p w14:paraId="3384E86B" w14:textId="77777777" w:rsidR="00E05C1F" w:rsidRDefault="00E05C1F" w:rsidP="006667CC">
      <w:pPr>
        <w:pStyle w:val="Heading3"/>
        <w:numPr>
          <w:ilvl w:val="2"/>
          <w:numId w:val="3"/>
        </w:numPr>
        <w:sectPr w:rsidR="00E05C1F" w:rsidSect="00DE1921">
          <w:headerReference w:type="even" r:id="rId96"/>
          <w:headerReference w:type="default" r:id="rId97"/>
          <w:headerReference w:type="first" r:id="rId98"/>
          <w:pgSz w:w="11906" w:h="16838" w:code="9"/>
          <w:pgMar w:top="1701" w:right="1418" w:bottom="1418" w:left="1418" w:header="709" w:footer="709" w:gutter="0"/>
          <w:cols w:space="708"/>
          <w:docGrid w:linePitch="360"/>
        </w:sectPr>
      </w:pPr>
      <w:bookmarkStart w:id="200" w:name="p105"/>
      <w:bookmarkStart w:id="201" w:name="_Toc522178151"/>
      <w:bookmarkStart w:id="202" w:name="_Toc529184423"/>
      <w:bookmarkStart w:id="203" w:name="_Toc529197895"/>
      <w:bookmarkStart w:id="204" w:name="_Toc9344205"/>
      <w:bookmarkEnd w:id="200"/>
    </w:p>
    <w:p w14:paraId="2339E503" w14:textId="51B54E2D" w:rsidR="003E5BF5" w:rsidRDefault="003E5BF5" w:rsidP="006667CC">
      <w:pPr>
        <w:pStyle w:val="Heading3"/>
        <w:numPr>
          <w:ilvl w:val="2"/>
          <w:numId w:val="3"/>
        </w:numPr>
        <w:ind w:left="851" w:hanging="851"/>
      </w:pPr>
      <w:r w:rsidRPr="007444F0">
        <w:t>Departmental outputs: Controlled income and expenses for the financial year ended 30 June</w:t>
      </w:r>
      <w:bookmarkEnd w:id="201"/>
      <w:bookmarkEnd w:id="202"/>
      <w:bookmarkEnd w:id="203"/>
      <w:bookmarkEnd w:id="204"/>
      <w:r>
        <w:t xml:space="preserve"> 2020</w:t>
      </w:r>
    </w:p>
    <w:p w14:paraId="7F135CCF" w14:textId="77777777" w:rsidR="003E5BF5" w:rsidRPr="00F13519" w:rsidRDefault="003E5BF5" w:rsidP="008A0170">
      <w:pPr>
        <w:pStyle w:val="Heading3"/>
      </w:pPr>
      <w:r>
        <w:t>Departmental o</w:t>
      </w:r>
      <w:r w:rsidRPr="00A24B20">
        <w:t>ut</w:t>
      </w:r>
      <w:r>
        <w:t>puts</w:t>
      </w:r>
      <w:bookmarkStart w:id="205" w:name="RANGE!A3:G39"/>
      <w:bookmarkStart w:id="206" w:name="RANGE!A3:G35"/>
      <w:bookmarkEnd w:id="205"/>
      <w:bookmarkEnd w:id="206"/>
    </w:p>
    <w:tbl>
      <w:tblPr>
        <w:tblStyle w:val="TableGrid"/>
        <w:tblW w:w="9923" w:type="dxa"/>
        <w:tblLayout w:type="fixed"/>
        <w:tblCellMar>
          <w:left w:w="6" w:type="dxa"/>
          <w:right w:w="6" w:type="dxa"/>
        </w:tblCellMar>
        <w:tblLook w:val="04A0" w:firstRow="1" w:lastRow="0" w:firstColumn="1" w:lastColumn="0" w:noHBand="0" w:noVBand="1"/>
      </w:tblPr>
      <w:tblGrid>
        <w:gridCol w:w="2407"/>
        <w:gridCol w:w="1252"/>
        <w:gridCol w:w="1252"/>
        <w:gridCol w:w="1253"/>
        <w:gridCol w:w="1253"/>
        <w:gridCol w:w="1253"/>
        <w:gridCol w:w="1253"/>
      </w:tblGrid>
      <w:tr w:rsidR="00DE75F7" w:rsidRPr="00001592" w14:paraId="4D5827A0" w14:textId="77777777" w:rsidTr="00DE75F7">
        <w:trPr>
          <w:trHeight w:val="340"/>
          <w:tblHeader/>
        </w:trPr>
        <w:tc>
          <w:tcPr>
            <w:tcW w:w="2407" w:type="dxa"/>
            <w:shd w:val="clear" w:color="auto" w:fill="auto"/>
            <w:noWrap/>
            <w:hideMark/>
          </w:tcPr>
          <w:p w14:paraId="24DC5E4C" w14:textId="77777777" w:rsidR="00DE75F7" w:rsidRPr="00DE75F7" w:rsidRDefault="00DE75F7" w:rsidP="004810E3">
            <w:pPr>
              <w:rPr>
                <w:rFonts w:ascii="Arial" w:hAnsi="Arial" w:cs="Arial"/>
                <w:sz w:val="24"/>
                <w:szCs w:val="24"/>
              </w:rPr>
            </w:pPr>
          </w:p>
        </w:tc>
        <w:tc>
          <w:tcPr>
            <w:tcW w:w="7516" w:type="dxa"/>
            <w:gridSpan w:val="6"/>
            <w:shd w:val="clear" w:color="auto" w:fill="auto"/>
            <w:vAlign w:val="center"/>
            <w:hideMark/>
          </w:tcPr>
          <w:p w14:paraId="3A58416A" w14:textId="77777777" w:rsidR="00DE75F7" w:rsidRPr="00DE75F7" w:rsidRDefault="00DE75F7" w:rsidP="00DE75F7">
            <w:pPr>
              <w:jc w:val="center"/>
              <w:rPr>
                <w:rFonts w:ascii="Arial" w:hAnsi="Arial" w:cs="Arial"/>
                <w:b/>
                <w:sz w:val="24"/>
                <w:szCs w:val="24"/>
              </w:rPr>
            </w:pPr>
            <w:r w:rsidRPr="00DE75F7">
              <w:rPr>
                <w:rFonts w:ascii="Arial" w:hAnsi="Arial" w:cs="Arial"/>
                <w:b/>
                <w:sz w:val="24"/>
                <w:szCs w:val="24"/>
              </w:rPr>
              <w:t>($ thousand)</w:t>
            </w:r>
          </w:p>
          <w:p w14:paraId="351A4F12" w14:textId="6C10959B" w:rsidR="00DE75F7" w:rsidRPr="00DE75F7" w:rsidRDefault="00DE75F7" w:rsidP="00DE75F7">
            <w:pPr>
              <w:jc w:val="center"/>
              <w:rPr>
                <w:rFonts w:ascii="Arial" w:hAnsi="Arial" w:cs="Arial"/>
                <w:b/>
                <w:sz w:val="24"/>
                <w:szCs w:val="24"/>
              </w:rPr>
            </w:pPr>
          </w:p>
        </w:tc>
      </w:tr>
      <w:tr w:rsidR="00DE75F7" w:rsidRPr="00C64555" w14:paraId="54E7049D" w14:textId="77777777" w:rsidTr="00DE75F7">
        <w:trPr>
          <w:trHeight w:val="340"/>
          <w:tblHeader/>
        </w:trPr>
        <w:tc>
          <w:tcPr>
            <w:tcW w:w="2407" w:type="dxa"/>
            <w:shd w:val="clear" w:color="auto" w:fill="auto"/>
            <w:noWrap/>
            <w:hideMark/>
          </w:tcPr>
          <w:p w14:paraId="49F506E8" w14:textId="77777777" w:rsidR="00DE75F7" w:rsidRPr="00DE75F7" w:rsidRDefault="00DE75F7" w:rsidP="004810E3">
            <w:pPr>
              <w:rPr>
                <w:rFonts w:ascii="Arial" w:hAnsi="Arial" w:cs="Arial"/>
                <w:sz w:val="24"/>
                <w:szCs w:val="24"/>
              </w:rPr>
            </w:pPr>
          </w:p>
        </w:tc>
        <w:tc>
          <w:tcPr>
            <w:tcW w:w="2504" w:type="dxa"/>
            <w:gridSpan w:val="2"/>
            <w:shd w:val="clear" w:color="auto" w:fill="auto"/>
            <w:vAlign w:val="bottom"/>
            <w:hideMark/>
          </w:tcPr>
          <w:p w14:paraId="0619D2EB" w14:textId="77777777" w:rsidR="00DE75F7" w:rsidRPr="00DE75F7" w:rsidRDefault="00DE75F7" w:rsidP="00DE75F7">
            <w:pPr>
              <w:jc w:val="center"/>
              <w:rPr>
                <w:rFonts w:ascii="Arial" w:hAnsi="Arial" w:cs="Arial"/>
                <w:b/>
                <w:sz w:val="24"/>
                <w:szCs w:val="24"/>
              </w:rPr>
            </w:pPr>
            <w:r w:rsidRPr="00DE75F7">
              <w:rPr>
                <w:rFonts w:ascii="Arial" w:hAnsi="Arial" w:cs="Arial"/>
                <w:b/>
                <w:sz w:val="24"/>
                <w:szCs w:val="24"/>
              </w:rPr>
              <w:t>Bus Services</w:t>
            </w:r>
          </w:p>
          <w:p w14:paraId="5816CDB1" w14:textId="4F9D2FD6" w:rsidR="00DE75F7" w:rsidRPr="00DE75F7" w:rsidRDefault="00DE75F7" w:rsidP="00DE75F7">
            <w:pPr>
              <w:jc w:val="center"/>
              <w:rPr>
                <w:rFonts w:ascii="Arial" w:hAnsi="Arial" w:cs="Arial"/>
                <w:b/>
                <w:sz w:val="24"/>
                <w:szCs w:val="24"/>
              </w:rPr>
            </w:pPr>
          </w:p>
        </w:tc>
        <w:tc>
          <w:tcPr>
            <w:tcW w:w="2506" w:type="dxa"/>
            <w:gridSpan w:val="2"/>
            <w:shd w:val="clear" w:color="auto" w:fill="auto"/>
            <w:vAlign w:val="bottom"/>
            <w:hideMark/>
          </w:tcPr>
          <w:p w14:paraId="6E7B4549" w14:textId="77777777" w:rsidR="00DE75F7" w:rsidRPr="00DE75F7" w:rsidRDefault="00DE75F7" w:rsidP="00DE75F7">
            <w:pPr>
              <w:jc w:val="center"/>
              <w:rPr>
                <w:rFonts w:ascii="Arial" w:hAnsi="Arial" w:cs="Arial"/>
                <w:b/>
                <w:sz w:val="24"/>
                <w:szCs w:val="24"/>
              </w:rPr>
            </w:pPr>
            <w:r w:rsidRPr="00DE75F7">
              <w:rPr>
                <w:rFonts w:ascii="Arial" w:hAnsi="Arial" w:cs="Arial"/>
                <w:b/>
                <w:sz w:val="24"/>
                <w:szCs w:val="24"/>
              </w:rPr>
              <w:t>Transport Infrastructure</w:t>
            </w:r>
          </w:p>
          <w:p w14:paraId="7DDDF037" w14:textId="5C40F716" w:rsidR="00DE75F7" w:rsidRPr="00DE75F7" w:rsidRDefault="00DE75F7" w:rsidP="00DE75F7">
            <w:pPr>
              <w:jc w:val="center"/>
              <w:rPr>
                <w:rFonts w:ascii="Arial" w:hAnsi="Arial" w:cs="Arial"/>
                <w:b/>
                <w:sz w:val="24"/>
                <w:szCs w:val="24"/>
              </w:rPr>
            </w:pPr>
          </w:p>
        </w:tc>
        <w:tc>
          <w:tcPr>
            <w:tcW w:w="2506" w:type="dxa"/>
            <w:gridSpan w:val="2"/>
            <w:shd w:val="clear" w:color="auto" w:fill="auto"/>
            <w:vAlign w:val="bottom"/>
            <w:hideMark/>
          </w:tcPr>
          <w:p w14:paraId="465563EB" w14:textId="2C2D0E34" w:rsidR="00DE75F7" w:rsidRPr="00DE75F7" w:rsidRDefault="00DE75F7" w:rsidP="004B7E45">
            <w:pPr>
              <w:jc w:val="center"/>
              <w:rPr>
                <w:rFonts w:ascii="Arial" w:hAnsi="Arial" w:cs="Arial"/>
                <w:b/>
                <w:sz w:val="24"/>
                <w:szCs w:val="24"/>
              </w:rPr>
            </w:pPr>
            <w:r w:rsidRPr="00DE75F7">
              <w:rPr>
                <w:rFonts w:ascii="Arial" w:hAnsi="Arial" w:cs="Arial"/>
                <w:b/>
                <w:sz w:val="24"/>
                <w:szCs w:val="24"/>
              </w:rPr>
              <w:t>Ports, Freight and Boating</w:t>
            </w:r>
          </w:p>
        </w:tc>
      </w:tr>
      <w:tr w:rsidR="004810E3" w:rsidRPr="00C64555" w14:paraId="159F6818" w14:textId="77777777" w:rsidTr="00DE75F7">
        <w:trPr>
          <w:trHeight w:val="340"/>
          <w:tblHeader/>
        </w:trPr>
        <w:tc>
          <w:tcPr>
            <w:tcW w:w="2407" w:type="dxa"/>
            <w:shd w:val="clear" w:color="auto" w:fill="auto"/>
            <w:noWrap/>
            <w:hideMark/>
          </w:tcPr>
          <w:p w14:paraId="3DA8D77F" w14:textId="77777777" w:rsidR="004810E3" w:rsidRPr="00C64555" w:rsidRDefault="004810E3" w:rsidP="004810E3">
            <w:pPr>
              <w:rPr>
                <w:rFonts w:ascii="Arial" w:hAnsi="Arial" w:cs="Arial"/>
                <w:b/>
              </w:rPr>
            </w:pPr>
          </w:p>
        </w:tc>
        <w:tc>
          <w:tcPr>
            <w:tcW w:w="1252" w:type="dxa"/>
            <w:shd w:val="clear" w:color="auto" w:fill="auto"/>
            <w:vAlign w:val="center"/>
            <w:hideMark/>
          </w:tcPr>
          <w:p w14:paraId="11600286" w14:textId="77777777" w:rsidR="004810E3" w:rsidRPr="00C64555" w:rsidRDefault="004810E3" w:rsidP="004810E3">
            <w:pPr>
              <w:jc w:val="right"/>
              <w:rPr>
                <w:rFonts w:ascii="Arial" w:hAnsi="Arial" w:cs="Arial"/>
                <w:b/>
              </w:rPr>
            </w:pPr>
            <w:r w:rsidRPr="00C64555">
              <w:rPr>
                <w:rFonts w:ascii="Arial" w:hAnsi="Arial" w:cs="Arial"/>
                <w:b/>
              </w:rPr>
              <w:t>2020</w:t>
            </w:r>
          </w:p>
        </w:tc>
        <w:tc>
          <w:tcPr>
            <w:tcW w:w="1252" w:type="dxa"/>
            <w:shd w:val="clear" w:color="auto" w:fill="auto"/>
            <w:vAlign w:val="center"/>
            <w:hideMark/>
          </w:tcPr>
          <w:p w14:paraId="2B4D8AEC" w14:textId="77777777" w:rsidR="004810E3" w:rsidRPr="00C64555" w:rsidRDefault="004810E3" w:rsidP="004810E3">
            <w:pPr>
              <w:jc w:val="right"/>
              <w:rPr>
                <w:rFonts w:ascii="Arial" w:hAnsi="Arial" w:cs="Arial"/>
                <w:b/>
              </w:rPr>
            </w:pPr>
            <w:r w:rsidRPr="00C64555">
              <w:rPr>
                <w:rFonts w:ascii="Arial" w:hAnsi="Arial" w:cs="Arial"/>
                <w:b/>
              </w:rPr>
              <w:t>2019</w:t>
            </w:r>
          </w:p>
        </w:tc>
        <w:tc>
          <w:tcPr>
            <w:tcW w:w="1253" w:type="dxa"/>
            <w:shd w:val="clear" w:color="auto" w:fill="auto"/>
            <w:vAlign w:val="center"/>
            <w:hideMark/>
          </w:tcPr>
          <w:p w14:paraId="58D75B12" w14:textId="77777777" w:rsidR="004810E3" w:rsidRPr="00C64555" w:rsidRDefault="004810E3" w:rsidP="004810E3">
            <w:pPr>
              <w:jc w:val="right"/>
              <w:rPr>
                <w:rFonts w:ascii="Arial" w:hAnsi="Arial" w:cs="Arial"/>
                <w:b/>
              </w:rPr>
            </w:pPr>
            <w:r w:rsidRPr="00C64555">
              <w:rPr>
                <w:rFonts w:ascii="Arial" w:hAnsi="Arial" w:cs="Arial"/>
                <w:b/>
              </w:rPr>
              <w:t>2020</w:t>
            </w:r>
          </w:p>
        </w:tc>
        <w:tc>
          <w:tcPr>
            <w:tcW w:w="1253" w:type="dxa"/>
            <w:shd w:val="clear" w:color="auto" w:fill="auto"/>
            <w:vAlign w:val="center"/>
            <w:hideMark/>
          </w:tcPr>
          <w:p w14:paraId="58CDAB7D" w14:textId="77777777" w:rsidR="004810E3" w:rsidRPr="00C64555" w:rsidRDefault="004810E3" w:rsidP="004810E3">
            <w:pPr>
              <w:jc w:val="right"/>
              <w:rPr>
                <w:rFonts w:ascii="Arial" w:hAnsi="Arial" w:cs="Arial"/>
                <w:b/>
              </w:rPr>
            </w:pPr>
            <w:r w:rsidRPr="00C64555">
              <w:rPr>
                <w:rFonts w:ascii="Arial" w:hAnsi="Arial" w:cs="Arial"/>
                <w:b/>
              </w:rPr>
              <w:t>2019</w:t>
            </w:r>
          </w:p>
        </w:tc>
        <w:tc>
          <w:tcPr>
            <w:tcW w:w="1253" w:type="dxa"/>
            <w:shd w:val="clear" w:color="auto" w:fill="auto"/>
            <w:vAlign w:val="center"/>
            <w:hideMark/>
          </w:tcPr>
          <w:p w14:paraId="6538AE1A" w14:textId="77777777" w:rsidR="004810E3" w:rsidRPr="00C64555" w:rsidRDefault="004810E3" w:rsidP="004810E3">
            <w:pPr>
              <w:jc w:val="right"/>
              <w:rPr>
                <w:rFonts w:ascii="Arial" w:hAnsi="Arial" w:cs="Arial"/>
                <w:b/>
              </w:rPr>
            </w:pPr>
            <w:r w:rsidRPr="00C64555">
              <w:rPr>
                <w:rFonts w:ascii="Arial" w:hAnsi="Arial" w:cs="Arial"/>
                <w:b/>
              </w:rPr>
              <w:t>2020</w:t>
            </w:r>
          </w:p>
        </w:tc>
        <w:tc>
          <w:tcPr>
            <w:tcW w:w="1253" w:type="dxa"/>
            <w:shd w:val="clear" w:color="auto" w:fill="auto"/>
            <w:vAlign w:val="center"/>
            <w:hideMark/>
          </w:tcPr>
          <w:p w14:paraId="4A7C1787" w14:textId="77777777" w:rsidR="004810E3" w:rsidRPr="00C64555" w:rsidRDefault="004810E3" w:rsidP="004810E3">
            <w:pPr>
              <w:jc w:val="right"/>
              <w:rPr>
                <w:rFonts w:ascii="Arial" w:hAnsi="Arial" w:cs="Arial"/>
                <w:b/>
              </w:rPr>
            </w:pPr>
            <w:r w:rsidRPr="00C64555">
              <w:rPr>
                <w:rFonts w:ascii="Arial" w:hAnsi="Arial" w:cs="Arial"/>
                <w:b/>
              </w:rPr>
              <w:t>2019</w:t>
            </w:r>
          </w:p>
        </w:tc>
      </w:tr>
      <w:tr w:rsidR="004810E3" w:rsidRPr="00020050" w14:paraId="6B8E5674" w14:textId="77777777" w:rsidTr="00DE75F7">
        <w:trPr>
          <w:trHeight w:val="340"/>
        </w:trPr>
        <w:tc>
          <w:tcPr>
            <w:tcW w:w="2407" w:type="dxa"/>
            <w:shd w:val="clear" w:color="auto" w:fill="auto"/>
            <w:noWrap/>
            <w:vAlign w:val="center"/>
            <w:hideMark/>
          </w:tcPr>
          <w:p w14:paraId="1F69103A" w14:textId="77777777" w:rsidR="004810E3" w:rsidRPr="00020050" w:rsidRDefault="004810E3" w:rsidP="004810E3">
            <w:pPr>
              <w:pStyle w:val="TableTextGreen"/>
            </w:pPr>
            <w:r w:rsidRPr="00020050">
              <w:t>Income from transactions</w:t>
            </w:r>
          </w:p>
        </w:tc>
        <w:tc>
          <w:tcPr>
            <w:tcW w:w="1252" w:type="dxa"/>
            <w:shd w:val="clear" w:color="auto" w:fill="auto"/>
            <w:noWrap/>
            <w:vAlign w:val="center"/>
            <w:hideMark/>
          </w:tcPr>
          <w:p w14:paraId="1CA03AB1"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 </w:t>
            </w:r>
          </w:p>
        </w:tc>
        <w:tc>
          <w:tcPr>
            <w:tcW w:w="1252" w:type="dxa"/>
            <w:shd w:val="clear" w:color="auto" w:fill="auto"/>
            <w:noWrap/>
            <w:vAlign w:val="center"/>
            <w:hideMark/>
          </w:tcPr>
          <w:p w14:paraId="49F865ED"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 </w:t>
            </w:r>
          </w:p>
        </w:tc>
        <w:tc>
          <w:tcPr>
            <w:tcW w:w="1253" w:type="dxa"/>
            <w:shd w:val="clear" w:color="auto" w:fill="auto"/>
            <w:noWrap/>
            <w:vAlign w:val="center"/>
            <w:hideMark/>
          </w:tcPr>
          <w:p w14:paraId="596B15D4"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 </w:t>
            </w:r>
          </w:p>
        </w:tc>
        <w:tc>
          <w:tcPr>
            <w:tcW w:w="1253" w:type="dxa"/>
            <w:shd w:val="clear" w:color="auto" w:fill="auto"/>
            <w:noWrap/>
            <w:vAlign w:val="center"/>
            <w:hideMark/>
          </w:tcPr>
          <w:p w14:paraId="7C3152F5"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 </w:t>
            </w:r>
          </w:p>
        </w:tc>
        <w:tc>
          <w:tcPr>
            <w:tcW w:w="1253" w:type="dxa"/>
            <w:shd w:val="clear" w:color="auto" w:fill="auto"/>
            <w:noWrap/>
            <w:vAlign w:val="center"/>
            <w:hideMark/>
          </w:tcPr>
          <w:p w14:paraId="0B488542"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 </w:t>
            </w:r>
          </w:p>
        </w:tc>
        <w:tc>
          <w:tcPr>
            <w:tcW w:w="1253" w:type="dxa"/>
            <w:shd w:val="clear" w:color="auto" w:fill="auto"/>
            <w:noWrap/>
            <w:vAlign w:val="center"/>
            <w:hideMark/>
          </w:tcPr>
          <w:p w14:paraId="782CD904"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 </w:t>
            </w:r>
          </w:p>
        </w:tc>
      </w:tr>
      <w:tr w:rsidR="004810E3" w:rsidRPr="00020050" w14:paraId="4E42EBB0" w14:textId="77777777" w:rsidTr="00DE75F7">
        <w:trPr>
          <w:trHeight w:val="340"/>
        </w:trPr>
        <w:tc>
          <w:tcPr>
            <w:tcW w:w="2407" w:type="dxa"/>
            <w:shd w:val="clear" w:color="auto" w:fill="auto"/>
            <w:noWrap/>
            <w:vAlign w:val="center"/>
            <w:hideMark/>
          </w:tcPr>
          <w:p w14:paraId="4E977E7A" w14:textId="77777777" w:rsidR="004810E3" w:rsidRPr="00020050" w:rsidRDefault="004810E3" w:rsidP="004810E3">
            <w:pPr>
              <w:rPr>
                <w:rFonts w:ascii="Arial" w:hAnsi="Arial" w:cs="Arial"/>
                <w:sz w:val="24"/>
                <w:szCs w:val="24"/>
              </w:rPr>
            </w:pPr>
            <w:r w:rsidRPr="00020050">
              <w:rPr>
                <w:rFonts w:ascii="Arial" w:hAnsi="Arial" w:cs="Arial"/>
                <w:sz w:val="24"/>
                <w:szCs w:val="24"/>
              </w:rPr>
              <w:t>Output appropriations</w:t>
            </w:r>
          </w:p>
        </w:tc>
        <w:tc>
          <w:tcPr>
            <w:tcW w:w="1252" w:type="dxa"/>
            <w:shd w:val="clear" w:color="auto" w:fill="auto"/>
            <w:noWrap/>
            <w:vAlign w:val="center"/>
            <w:hideMark/>
          </w:tcPr>
          <w:p w14:paraId="24DBDC2C"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715,839 </w:t>
            </w:r>
          </w:p>
        </w:tc>
        <w:tc>
          <w:tcPr>
            <w:tcW w:w="1252" w:type="dxa"/>
            <w:shd w:val="clear" w:color="auto" w:fill="auto"/>
            <w:noWrap/>
            <w:vAlign w:val="center"/>
            <w:hideMark/>
          </w:tcPr>
          <w:p w14:paraId="219A5343"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670,691 </w:t>
            </w:r>
          </w:p>
        </w:tc>
        <w:tc>
          <w:tcPr>
            <w:tcW w:w="1253" w:type="dxa"/>
            <w:shd w:val="clear" w:color="auto" w:fill="auto"/>
            <w:noWrap/>
            <w:vAlign w:val="center"/>
            <w:hideMark/>
          </w:tcPr>
          <w:p w14:paraId="3878EB8F"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489,257 </w:t>
            </w:r>
          </w:p>
        </w:tc>
        <w:tc>
          <w:tcPr>
            <w:tcW w:w="1253" w:type="dxa"/>
            <w:shd w:val="clear" w:color="auto" w:fill="auto"/>
            <w:noWrap/>
            <w:vAlign w:val="center"/>
            <w:hideMark/>
          </w:tcPr>
          <w:p w14:paraId="11F1ABF6"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356,984 </w:t>
            </w:r>
          </w:p>
        </w:tc>
        <w:tc>
          <w:tcPr>
            <w:tcW w:w="1253" w:type="dxa"/>
            <w:shd w:val="clear" w:color="auto" w:fill="auto"/>
            <w:noWrap/>
            <w:vAlign w:val="center"/>
            <w:hideMark/>
          </w:tcPr>
          <w:p w14:paraId="7F5EBC21"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94,008 </w:t>
            </w:r>
          </w:p>
        </w:tc>
        <w:tc>
          <w:tcPr>
            <w:tcW w:w="1253" w:type="dxa"/>
            <w:shd w:val="clear" w:color="auto" w:fill="auto"/>
            <w:noWrap/>
            <w:vAlign w:val="center"/>
            <w:hideMark/>
          </w:tcPr>
          <w:p w14:paraId="70642DEE"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47,208 </w:t>
            </w:r>
          </w:p>
        </w:tc>
      </w:tr>
      <w:tr w:rsidR="004810E3" w:rsidRPr="00020050" w14:paraId="584C20EB" w14:textId="77777777" w:rsidTr="00DE75F7">
        <w:trPr>
          <w:trHeight w:val="340"/>
        </w:trPr>
        <w:tc>
          <w:tcPr>
            <w:tcW w:w="2407" w:type="dxa"/>
            <w:shd w:val="clear" w:color="auto" w:fill="auto"/>
            <w:noWrap/>
            <w:vAlign w:val="center"/>
            <w:hideMark/>
          </w:tcPr>
          <w:p w14:paraId="78588BE3" w14:textId="77777777" w:rsidR="004810E3" w:rsidRPr="00020050" w:rsidRDefault="004810E3" w:rsidP="004810E3">
            <w:pPr>
              <w:rPr>
                <w:rFonts w:ascii="Arial" w:hAnsi="Arial" w:cs="Arial"/>
                <w:sz w:val="24"/>
                <w:szCs w:val="24"/>
              </w:rPr>
            </w:pPr>
            <w:r w:rsidRPr="00020050">
              <w:rPr>
                <w:rFonts w:ascii="Arial" w:hAnsi="Arial" w:cs="Arial"/>
                <w:sz w:val="24"/>
                <w:szCs w:val="24"/>
              </w:rPr>
              <w:t>Special appropriations</w:t>
            </w:r>
          </w:p>
        </w:tc>
        <w:tc>
          <w:tcPr>
            <w:tcW w:w="1252" w:type="dxa"/>
            <w:shd w:val="clear" w:color="auto" w:fill="auto"/>
            <w:noWrap/>
            <w:vAlign w:val="center"/>
            <w:hideMark/>
          </w:tcPr>
          <w:p w14:paraId="77FB7235"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147 </w:t>
            </w:r>
          </w:p>
        </w:tc>
        <w:tc>
          <w:tcPr>
            <w:tcW w:w="1252" w:type="dxa"/>
            <w:shd w:val="clear" w:color="auto" w:fill="auto"/>
            <w:noWrap/>
            <w:vAlign w:val="center"/>
            <w:hideMark/>
          </w:tcPr>
          <w:p w14:paraId="04594714"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c>
          <w:tcPr>
            <w:tcW w:w="1253" w:type="dxa"/>
            <w:shd w:val="clear" w:color="auto" w:fill="auto"/>
            <w:noWrap/>
            <w:vAlign w:val="center"/>
            <w:hideMark/>
          </w:tcPr>
          <w:p w14:paraId="70088C6D"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19,103 </w:t>
            </w:r>
          </w:p>
        </w:tc>
        <w:tc>
          <w:tcPr>
            <w:tcW w:w="1253" w:type="dxa"/>
            <w:shd w:val="clear" w:color="auto" w:fill="auto"/>
            <w:noWrap/>
            <w:vAlign w:val="center"/>
            <w:hideMark/>
          </w:tcPr>
          <w:p w14:paraId="13001A5A"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r w:rsidRPr="00020050">
              <w:rPr>
                <w:rFonts w:ascii="Arial" w:hAnsi="Arial" w:cs="Arial"/>
                <w:sz w:val="24"/>
                <w:szCs w:val="24"/>
              </w:rPr>
              <w:t xml:space="preserve"> </w:t>
            </w:r>
          </w:p>
        </w:tc>
        <w:tc>
          <w:tcPr>
            <w:tcW w:w="1253" w:type="dxa"/>
            <w:shd w:val="clear" w:color="auto" w:fill="auto"/>
            <w:noWrap/>
            <w:vAlign w:val="center"/>
            <w:hideMark/>
          </w:tcPr>
          <w:p w14:paraId="05FF9FC7"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1,361 </w:t>
            </w:r>
          </w:p>
        </w:tc>
        <w:tc>
          <w:tcPr>
            <w:tcW w:w="1253" w:type="dxa"/>
            <w:shd w:val="clear" w:color="auto" w:fill="auto"/>
            <w:noWrap/>
            <w:vAlign w:val="center"/>
            <w:hideMark/>
          </w:tcPr>
          <w:p w14:paraId="3AA147CC"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r w:rsidRPr="00020050">
              <w:rPr>
                <w:rFonts w:ascii="Arial" w:hAnsi="Arial" w:cs="Arial"/>
                <w:sz w:val="24"/>
                <w:szCs w:val="24"/>
              </w:rPr>
              <w:t xml:space="preserve"> </w:t>
            </w:r>
          </w:p>
        </w:tc>
      </w:tr>
      <w:tr w:rsidR="004810E3" w:rsidRPr="00020050" w14:paraId="20205600" w14:textId="77777777" w:rsidTr="00DE75F7">
        <w:trPr>
          <w:trHeight w:val="340"/>
        </w:trPr>
        <w:tc>
          <w:tcPr>
            <w:tcW w:w="2407" w:type="dxa"/>
            <w:shd w:val="clear" w:color="auto" w:fill="auto"/>
            <w:noWrap/>
            <w:vAlign w:val="center"/>
            <w:hideMark/>
          </w:tcPr>
          <w:p w14:paraId="7B97BFF8" w14:textId="77777777" w:rsidR="004810E3" w:rsidRPr="00020050" w:rsidRDefault="004810E3" w:rsidP="004810E3">
            <w:pPr>
              <w:rPr>
                <w:rFonts w:ascii="Arial" w:hAnsi="Arial" w:cs="Arial"/>
                <w:sz w:val="24"/>
                <w:szCs w:val="24"/>
              </w:rPr>
            </w:pPr>
            <w:r w:rsidRPr="00020050">
              <w:rPr>
                <w:rFonts w:ascii="Arial" w:hAnsi="Arial" w:cs="Arial"/>
                <w:sz w:val="24"/>
                <w:szCs w:val="24"/>
              </w:rPr>
              <w:t>Grant income</w:t>
            </w:r>
          </w:p>
        </w:tc>
        <w:tc>
          <w:tcPr>
            <w:tcW w:w="1252" w:type="dxa"/>
            <w:shd w:val="clear" w:color="auto" w:fill="auto"/>
            <w:noWrap/>
            <w:vAlign w:val="center"/>
            <w:hideMark/>
          </w:tcPr>
          <w:p w14:paraId="07AC7CD1"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45,346 </w:t>
            </w:r>
          </w:p>
        </w:tc>
        <w:tc>
          <w:tcPr>
            <w:tcW w:w="1252" w:type="dxa"/>
            <w:shd w:val="clear" w:color="auto" w:fill="auto"/>
            <w:noWrap/>
            <w:vAlign w:val="center"/>
            <w:hideMark/>
          </w:tcPr>
          <w:p w14:paraId="7F3D0ACE"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c>
          <w:tcPr>
            <w:tcW w:w="1253" w:type="dxa"/>
            <w:shd w:val="clear" w:color="auto" w:fill="auto"/>
            <w:noWrap/>
            <w:vAlign w:val="center"/>
            <w:hideMark/>
          </w:tcPr>
          <w:p w14:paraId="63D47978"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13,463 </w:t>
            </w:r>
          </w:p>
        </w:tc>
        <w:tc>
          <w:tcPr>
            <w:tcW w:w="1253" w:type="dxa"/>
            <w:shd w:val="clear" w:color="auto" w:fill="auto"/>
            <w:noWrap/>
            <w:vAlign w:val="center"/>
            <w:hideMark/>
          </w:tcPr>
          <w:p w14:paraId="6944DB84"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23,220 </w:t>
            </w:r>
          </w:p>
        </w:tc>
        <w:tc>
          <w:tcPr>
            <w:tcW w:w="1253" w:type="dxa"/>
            <w:shd w:val="clear" w:color="auto" w:fill="auto"/>
            <w:noWrap/>
            <w:vAlign w:val="center"/>
            <w:hideMark/>
          </w:tcPr>
          <w:p w14:paraId="11A63883"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977 </w:t>
            </w:r>
          </w:p>
        </w:tc>
        <w:tc>
          <w:tcPr>
            <w:tcW w:w="1253" w:type="dxa"/>
            <w:shd w:val="clear" w:color="auto" w:fill="auto"/>
            <w:noWrap/>
            <w:vAlign w:val="center"/>
            <w:hideMark/>
          </w:tcPr>
          <w:p w14:paraId="30D2C019"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903 </w:t>
            </w:r>
          </w:p>
        </w:tc>
      </w:tr>
      <w:tr w:rsidR="004810E3" w:rsidRPr="00020050" w14:paraId="354ECEBB" w14:textId="77777777" w:rsidTr="00DE75F7">
        <w:trPr>
          <w:trHeight w:val="340"/>
        </w:trPr>
        <w:tc>
          <w:tcPr>
            <w:tcW w:w="2407" w:type="dxa"/>
            <w:shd w:val="clear" w:color="auto" w:fill="auto"/>
            <w:noWrap/>
            <w:vAlign w:val="center"/>
            <w:hideMark/>
          </w:tcPr>
          <w:p w14:paraId="13900C74" w14:textId="77777777" w:rsidR="004810E3" w:rsidRPr="00020050" w:rsidRDefault="004810E3" w:rsidP="004810E3">
            <w:pPr>
              <w:rPr>
                <w:rFonts w:ascii="Arial" w:hAnsi="Arial" w:cs="Arial"/>
                <w:sz w:val="24"/>
                <w:szCs w:val="24"/>
              </w:rPr>
            </w:pPr>
            <w:r w:rsidRPr="00020050">
              <w:rPr>
                <w:rFonts w:ascii="Arial" w:hAnsi="Arial" w:cs="Arial"/>
                <w:sz w:val="24"/>
                <w:szCs w:val="24"/>
              </w:rPr>
              <w:t>Sale of goods and services</w:t>
            </w:r>
          </w:p>
        </w:tc>
        <w:tc>
          <w:tcPr>
            <w:tcW w:w="1252" w:type="dxa"/>
            <w:shd w:val="clear" w:color="auto" w:fill="auto"/>
            <w:noWrap/>
            <w:vAlign w:val="center"/>
            <w:hideMark/>
          </w:tcPr>
          <w:p w14:paraId="183A7870"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61,339 </w:t>
            </w:r>
          </w:p>
        </w:tc>
        <w:tc>
          <w:tcPr>
            <w:tcW w:w="1252" w:type="dxa"/>
            <w:shd w:val="clear" w:color="auto" w:fill="auto"/>
            <w:noWrap/>
            <w:vAlign w:val="center"/>
            <w:hideMark/>
          </w:tcPr>
          <w:p w14:paraId="162B204E"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c>
          <w:tcPr>
            <w:tcW w:w="1253" w:type="dxa"/>
            <w:shd w:val="clear" w:color="auto" w:fill="auto"/>
            <w:noWrap/>
            <w:vAlign w:val="center"/>
            <w:hideMark/>
          </w:tcPr>
          <w:p w14:paraId="0F830BFB"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292 </w:t>
            </w:r>
          </w:p>
        </w:tc>
        <w:tc>
          <w:tcPr>
            <w:tcW w:w="1253" w:type="dxa"/>
            <w:shd w:val="clear" w:color="auto" w:fill="auto"/>
            <w:noWrap/>
            <w:vAlign w:val="center"/>
            <w:hideMark/>
          </w:tcPr>
          <w:p w14:paraId="316F6624"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r w:rsidRPr="00020050">
              <w:rPr>
                <w:rFonts w:ascii="Arial" w:hAnsi="Arial" w:cs="Arial"/>
                <w:sz w:val="24"/>
                <w:szCs w:val="24"/>
              </w:rPr>
              <w:t xml:space="preserve"> </w:t>
            </w:r>
          </w:p>
        </w:tc>
        <w:tc>
          <w:tcPr>
            <w:tcW w:w="1253" w:type="dxa"/>
            <w:shd w:val="clear" w:color="auto" w:fill="auto"/>
            <w:noWrap/>
            <w:vAlign w:val="center"/>
            <w:hideMark/>
          </w:tcPr>
          <w:p w14:paraId="19AE3145"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4 </w:t>
            </w:r>
          </w:p>
        </w:tc>
        <w:tc>
          <w:tcPr>
            <w:tcW w:w="1253" w:type="dxa"/>
            <w:shd w:val="clear" w:color="auto" w:fill="auto"/>
            <w:noWrap/>
            <w:vAlign w:val="center"/>
            <w:hideMark/>
          </w:tcPr>
          <w:p w14:paraId="4AA4F4C4"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r>
      <w:tr w:rsidR="004810E3" w:rsidRPr="00020050" w14:paraId="7FA89CF4" w14:textId="77777777" w:rsidTr="00DE75F7">
        <w:trPr>
          <w:trHeight w:val="340"/>
        </w:trPr>
        <w:tc>
          <w:tcPr>
            <w:tcW w:w="2407" w:type="dxa"/>
            <w:shd w:val="clear" w:color="auto" w:fill="auto"/>
            <w:noWrap/>
            <w:vAlign w:val="center"/>
            <w:hideMark/>
          </w:tcPr>
          <w:p w14:paraId="2B5DB95F" w14:textId="77777777" w:rsidR="004810E3" w:rsidRPr="00020050" w:rsidRDefault="004810E3" w:rsidP="004810E3">
            <w:pPr>
              <w:rPr>
                <w:rFonts w:ascii="Arial" w:hAnsi="Arial" w:cs="Arial"/>
                <w:sz w:val="24"/>
                <w:szCs w:val="24"/>
              </w:rPr>
            </w:pPr>
            <w:r w:rsidRPr="00020050">
              <w:rPr>
                <w:rFonts w:ascii="Arial" w:hAnsi="Arial" w:cs="Arial"/>
                <w:sz w:val="24"/>
                <w:szCs w:val="24"/>
              </w:rPr>
              <w:t>Other income</w:t>
            </w:r>
          </w:p>
        </w:tc>
        <w:tc>
          <w:tcPr>
            <w:tcW w:w="1252" w:type="dxa"/>
            <w:shd w:val="clear" w:color="auto" w:fill="auto"/>
            <w:noWrap/>
            <w:vAlign w:val="center"/>
            <w:hideMark/>
          </w:tcPr>
          <w:p w14:paraId="459D3865"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1,160 </w:t>
            </w:r>
          </w:p>
        </w:tc>
        <w:tc>
          <w:tcPr>
            <w:tcW w:w="1252" w:type="dxa"/>
            <w:shd w:val="clear" w:color="auto" w:fill="auto"/>
            <w:noWrap/>
            <w:vAlign w:val="center"/>
            <w:hideMark/>
          </w:tcPr>
          <w:p w14:paraId="3B894E16"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7 </w:t>
            </w:r>
          </w:p>
        </w:tc>
        <w:tc>
          <w:tcPr>
            <w:tcW w:w="1253" w:type="dxa"/>
            <w:shd w:val="clear" w:color="auto" w:fill="auto"/>
            <w:noWrap/>
            <w:vAlign w:val="center"/>
            <w:hideMark/>
          </w:tcPr>
          <w:p w14:paraId="1D858234"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70 </w:t>
            </w:r>
          </w:p>
        </w:tc>
        <w:tc>
          <w:tcPr>
            <w:tcW w:w="1253" w:type="dxa"/>
            <w:shd w:val="clear" w:color="auto" w:fill="auto"/>
            <w:noWrap/>
            <w:vAlign w:val="center"/>
            <w:hideMark/>
          </w:tcPr>
          <w:p w14:paraId="25E0C10F"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1,078 </w:t>
            </w:r>
          </w:p>
        </w:tc>
        <w:tc>
          <w:tcPr>
            <w:tcW w:w="1253" w:type="dxa"/>
            <w:shd w:val="clear" w:color="auto" w:fill="auto"/>
            <w:noWrap/>
            <w:vAlign w:val="center"/>
            <w:hideMark/>
          </w:tcPr>
          <w:p w14:paraId="3A5B30D2"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44 </w:t>
            </w:r>
          </w:p>
        </w:tc>
        <w:tc>
          <w:tcPr>
            <w:tcW w:w="1253" w:type="dxa"/>
            <w:shd w:val="clear" w:color="auto" w:fill="auto"/>
            <w:noWrap/>
            <w:vAlign w:val="center"/>
            <w:hideMark/>
          </w:tcPr>
          <w:p w14:paraId="576CAFFF"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r>
      <w:tr w:rsidR="004810E3" w:rsidRPr="00020050" w14:paraId="3B0B03A4" w14:textId="77777777" w:rsidTr="00DE75F7">
        <w:trPr>
          <w:trHeight w:val="340"/>
        </w:trPr>
        <w:tc>
          <w:tcPr>
            <w:tcW w:w="2407" w:type="dxa"/>
            <w:shd w:val="clear" w:color="auto" w:fill="auto"/>
            <w:noWrap/>
            <w:vAlign w:val="center"/>
            <w:hideMark/>
          </w:tcPr>
          <w:p w14:paraId="029A3C3F" w14:textId="77777777" w:rsidR="004810E3" w:rsidRPr="00020050" w:rsidRDefault="004810E3" w:rsidP="004810E3">
            <w:pPr>
              <w:pStyle w:val="TableTextLeftBold"/>
              <w:rPr>
                <w:rFonts w:ascii="Arial" w:hAnsi="Arial" w:cs="Arial"/>
                <w:sz w:val="24"/>
                <w:szCs w:val="24"/>
              </w:rPr>
            </w:pPr>
            <w:r w:rsidRPr="00020050">
              <w:rPr>
                <w:rFonts w:ascii="Arial" w:hAnsi="Arial" w:cs="Arial"/>
                <w:sz w:val="24"/>
                <w:szCs w:val="24"/>
              </w:rPr>
              <w:t>Total income from transactions</w:t>
            </w:r>
          </w:p>
        </w:tc>
        <w:tc>
          <w:tcPr>
            <w:tcW w:w="1252" w:type="dxa"/>
            <w:shd w:val="clear" w:color="auto" w:fill="auto"/>
            <w:noWrap/>
            <w:vAlign w:val="center"/>
            <w:hideMark/>
          </w:tcPr>
          <w:p w14:paraId="7205FD3F"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 xml:space="preserve">823,831 </w:t>
            </w:r>
          </w:p>
        </w:tc>
        <w:tc>
          <w:tcPr>
            <w:tcW w:w="1252" w:type="dxa"/>
            <w:shd w:val="clear" w:color="auto" w:fill="auto"/>
            <w:noWrap/>
            <w:vAlign w:val="center"/>
            <w:hideMark/>
          </w:tcPr>
          <w:p w14:paraId="6AD15B37"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 xml:space="preserve">670,698 </w:t>
            </w:r>
          </w:p>
        </w:tc>
        <w:tc>
          <w:tcPr>
            <w:tcW w:w="1253" w:type="dxa"/>
            <w:shd w:val="clear" w:color="auto" w:fill="auto"/>
            <w:noWrap/>
            <w:vAlign w:val="center"/>
            <w:hideMark/>
          </w:tcPr>
          <w:p w14:paraId="7CA52B29"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 xml:space="preserve">522,185 </w:t>
            </w:r>
          </w:p>
        </w:tc>
        <w:tc>
          <w:tcPr>
            <w:tcW w:w="1253" w:type="dxa"/>
            <w:shd w:val="clear" w:color="auto" w:fill="auto"/>
            <w:noWrap/>
            <w:vAlign w:val="center"/>
            <w:hideMark/>
          </w:tcPr>
          <w:p w14:paraId="6775D088"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 xml:space="preserve">381,282 </w:t>
            </w:r>
          </w:p>
        </w:tc>
        <w:tc>
          <w:tcPr>
            <w:tcW w:w="1253" w:type="dxa"/>
            <w:shd w:val="clear" w:color="auto" w:fill="auto"/>
            <w:noWrap/>
            <w:vAlign w:val="center"/>
            <w:hideMark/>
          </w:tcPr>
          <w:p w14:paraId="2DCDEF5D"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 xml:space="preserve">96,394 </w:t>
            </w:r>
          </w:p>
        </w:tc>
        <w:tc>
          <w:tcPr>
            <w:tcW w:w="1253" w:type="dxa"/>
            <w:shd w:val="clear" w:color="auto" w:fill="auto"/>
            <w:noWrap/>
            <w:vAlign w:val="center"/>
            <w:hideMark/>
          </w:tcPr>
          <w:p w14:paraId="50648339"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 xml:space="preserve">48,111 </w:t>
            </w:r>
          </w:p>
        </w:tc>
      </w:tr>
      <w:tr w:rsidR="004810E3" w:rsidRPr="00020050" w14:paraId="030E09A4" w14:textId="77777777" w:rsidTr="00DE75F7">
        <w:trPr>
          <w:trHeight w:val="340"/>
        </w:trPr>
        <w:tc>
          <w:tcPr>
            <w:tcW w:w="2407" w:type="dxa"/>
            <w:shd w:val="clear" w:color="auto" w:fill="auto"/>
            <w:noWrap/>
            <w:vAlign w:val="center"/>
            <w:hideMark/>
          </w:tcPr>
          <w:p w14:paraId="30976D91" w14:textId="77777777" w:rsidR="004810E3" w:rsidRPr="00020050" w:rsidRDefault="004810E3" w:rsidP="004810E3">
            <w:pPr>
              <w:pStyle w:val="TableTextGreen"/>
            </w:pPr>
            <w:r w:rsidRPr="00020050">
              <w:t>Expenses from transactions</w:t>
            </w:r>
          </w:p>
        </w:tc>
        <w:tc>
          <w:tcPr>
            <w:tcW w:w="1252" w:type="dxa"/>
            <w:shd w:val="clear" w:color="auto" w:fill="auto"/>
            <w:noWrap/>
            <w:vAlign w:val="center"/>
            <w:hideMark/>
          </w:tcPr>
          <w:p w14:paraId="3C5315FD" w14:textId="77777777" w:rsidR="004810E3" w:rsidRPr="00020050" w:rsidRDefault="004810E3" w:rsidP="004810E3">
            <w:pPr>
              <w:jc w:val="right"/>
              <w:rPr>
                <w:rFonts w:ascii="Arial" w:hAnsi="Arial" w:cs="Arial"/>
                <w:sz w:val="24"/>
                <w:szCs w:val="24"/>
              </w:rPr>
            </w:pPr>
          </w:p>
        </w:tc>
        <w:tc>
          <w:tcPr>
            <w:tcW w:w="1252" w:type="dxa"/>
            <w:shd w:val="clear" w:color="auto" w:fill="auto"/>
            <w:noWrap/>
            <w:vAlign w:val="center"/>
            <w:hideMark/>
          </w:tcPr>
          <w:p w14:paraId="5A7F5B3B" w14:textId="77777777" w:rsidR="004810E3" w:rsidRPr="00020050" w:rsidRDefault="004810E3" w:rsidP="004810E3">
            <w:pPr>
              <w:jc w:val="right"/>
              <w:rPr>
                <w:rFonts w:ascii="Arial" w:hAnsi="Arial" w:cs="Arial"/>
                <w:sz w:val="24"/>
                <w:szCs w:val="24"/>
              </w:rPr>
            </w:pPr>
          </w:p>
        </w:tc>
        <w:tc>
          <w:tcPr>
            <w:tcW w:w="1253" w:type="dxa"/>
            <w:shd w:val="clear" w:color="auto" w:fill="auto"/>
            <w:noWrap/>
            <w:vAlign w:val="center"/>
            <w:hideMark/>
          </w:tcPr>
          <w:p w14:paraId="62DBDBD8" w14:textId="77777777" w:rsidR="004810E3" w:rsidRPr="00020050" w:rsidRDefault="004810E3" w:rsidP="004810E3">
            <w:pPr>
              <w:jc w:val="right"/>
              <w:rPr>
                <w:rFonts w:ascii="Arial" w:hAnsi="Arial" w:cs="Arial"/>
                <w:sz w:val="24"/>
                <w:szCs w:val="24"/>
              </w:rPr>
            </w:pPr>
          </w:p>
        </w:tc>
        <w:tc>
          <w:tcPr>
            <w:tcW w:w="1253" w:type="dxa"/>
            <w:shd w:val="clear" w:color="auto" w:fill="auto"/>
            <w:noWrap/>
            <w:vAlign w:val="center"/>
            <w:hideMark/>
          </w:tcPr>
          <w:p w14:paraId="278DDF83" w14:textId="77777777" w:rsidR="004810E3" w:rsidRPr="00020050" w:rsidRDefault="004810E3" w:rsidP="004810E3">
            <w:pPr>
              <w:jc w:val="right"/>
              <w:rPr>
                <w:rFonts w:ascii="Arial" w:hAnsi="Arial" w:cs="Arial"/>
                <w:sz w:val="24"/>
                <w:szCs w:val="24"/>
              </w:rPr>
            </w:pPr>
          </w:p>
        </w:tc>
        <w:tc>
          <w:tcPr>
            <w:tcW w:w="1253" w:type="dxa"/>
            <w:shd w:val="clear" w:color="auto" w:fill="auto"/>
            <w:noWrap/>
            <w:vAlign w:val="center"/>
            <w:hideMark/>
          </w:tcPr>
          <w:p w14:paraId="08C4699A" w14:textId="77777777" w:rsidR="004810E3" w:rsidRPr="00020050" w:rsidRDefault="004810E3" w:rsidP="004810E3">
            <w:pPr>
              <w:jc w:val="right"/>
              <w:rPr>
                <w:rFonts w:ascii="Arial" w:hAnsi="Arial" w:cs="Arial"/>
                <w:sz w:val="24"/>
                <w:szCs w:val="24"/>
              </w:rPr>
            </w:pPr>
          </w:p>
        </w:tc>
        <w:tc>
          <w:tcPr>
            <w:tcW w:w="1253" w:type="dxa"/>
            <w:shd w:val="clear" w:color="auto" w:fill="auto"/>
            <w:noWrap/>
            <w:vAlign w:val="center"/>
            <w:hideMark/>
          </w:tcPr>
          <w:p w14:paraId="7213F795" w14:textId="77777777" w:rsidR="004810E3" w:rsidRPr="00020050" w:rsidRDefault="004810E3" w:rsidP="004810E3">
            <w:pPr>
              <w:jc w:val="right"/>
              <w:rPr>
                <w:rFonts w:ascii="Arial" w:hAnsi="Arial" w:cs="Arial"/>
                <w:sz w:val="24"/>
                <w:szCs w:val="24"/>
              </w:rPr>
            </w:pPr>
          </w:p>
        </w:tc>
      </w:tr>
      <w:tr w:rsidR="004810E3" w:rsidRPr="00020050" w14:paraId="3BC921A6" w14:textId="77777777" w:rsidTr="00DE75F7">
        <w:trPr>
          <w:trHeight w:val="340"/>
        </w:trPr>
        <w:tc>
          <w:tcPr>
            <w:tcW w:w="2407" w:type="dxa"/>
            <w:shd w:val="clear" w:color="auto" w:fill="auto"/>
            <w:noWrap/>
            <w:vAlign w:val="center"/>
            <w:hideMark/>
          </w:tcPr>
          <w:p w14:paraId="4C948B74" w14:textId="77777777" w:rsidR="004810E3" w:rsidRPr="00020050" w:rsidRDefault="004810E3" w:rsidP="004810E3">
            <w:pPr>
              <w:rPr>
                <w:rFonts w:ascii="Arial" w:hAnsi="Arial" w:cs="Arial"/>
                <w:sz w:val="24"/>
                <w:szCs w:val="24"/>
              </w:rPr>
            </w:pPr>
            <w:r w:rsidRPr="00020050">
              <w:rPr>
                <w:rFonts w:ascii="Arial" w:hAnsi="Arial" w:cs="Arial"/>
                <w:sz w:val="24"/>
                <w:szCs w:val="24"/>
              </w:rPr>
              <w:t>Grant expenses</w:t>
            </w:r>
          </w:p>
        </w:tc>
        <w:tc>
          <w:tcPr>
            <w:tcW w:w="1252" w:type="dxa"/>
            <w:shd w:val="clear" w:color="auto" w:fill="auto"/>
            <w:noWrap/>
            <w:vAlign w:val="center"/>
            <w:hideMark/>
          </w:tcPr>
          <w:p w14:paraId="79B6C7CB"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(185,595)</w:t>
            </w:r>
          </w:p>
        </w:tc>
        <w:tc>
          <w:tcPr>
            <w:tcW w:w="1252" w:type="dxa"/>
            <w:shd w:val="clear" w:color="auto" w:fill="auto"/>
            <w:noWrap/>
            <w:vAlign w:val="center"/>
            <w:hideMark/>
          </w:tcPr>
          <w:p w14:paraId="741BA1BE"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(675,137)</w:t>
            </w:r>
          </w:p>
        </w:tc>
        <w:tc>
          <w:tcPr>
            <w:tcW w:w="1253" w:type="dxa"/>
            <w:shd w:val="clear" w:color="auto" w:fill="auto"/>
            <w:noWrap/>
            <w:vAlign w:val="center"/>
            <w:hideMark/>
          </w:tcPr>
          <w:p w14:paraId="6318DE8C"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(20,040)</w:t>
            </w:r>
          </w:p>
        </w:tc>
        <w:tc>
          <w:tcPr>
            <w:tcW w:w="1253" w:type="dxa"/>
            <w:shd w:val="clear" w:color="auto" w:fill="auto"/>
            <w:noWrap/>
            <w:vAlign w:val="center"/>
            <w:hideMark/>
          </w:tcPr>
          <w:p w14:paraId="4C1E89AF"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(118,337)</w:t>
            </w:r>
          </w:p>
        </w:tc>
        <w:tc>
          <w:tcPr>
            <w:tcW w:w="1253" w:type="dxa"/>
            <w:shd w:val="clear" w:color="auto" w:fill="auto"/>
            <w:noWrap/>
            <w:vAlign w:val="center"/>
            <w:hideMark/>
          </w:tcPr>
          <w:p w14:paraId="4A94DCD5"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(78,398)</w:t>
            </w:r>
          </w:p>
        </w:tc>
        <w:tc>
          <w:tcPr>
            <w:tcW w:w="1253" w:type="dxa"/>
            <w:shd w:val="clear" w:color="auto" w:fill="auto"/>
            <w:noWrap/>
            <w:vAlign w:val="center"/>
            <w:hideMark/>
          </w:tcPr>
          <w:p w14:paraId="4BE8C48D"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(43,182)</w:t>
            </w:r>
          </w:p>
        </w:tc>
      </w:tr>
      <w:tr w:rsidR="004810E3" w:rsidRPr="00020050" w14:paraId="0AE22FAE" w14:textId="77777777" w:rsidTr="00DE75F7">
        <w:trPr>
          <w:trHeight w:val="340"/>
        </w:trPr>
        <w:tc>
          <w:tcPr>
            <w:tcW w:w="2407" w:type="dxa"/>
            <w:shd w:val="clear" w:color="auto" w:fill="auto"/>
            <w:noWrap/>
            <w:vAlign w:val="center"/>
            <w:hideMark/>
          </w:tcPr>
          <w:p w14:paraId="2E1CC1A3" w14:textId="77777777" w:rsidR="004810E3" w:rsidRPr="00020050" w:rsidRDefault="004810E3" w:rsidP="004810E3">
            <w:pPr>
              <w:rPr>
                <w:rFonts w:ascii="Arial" w:hAnsi="Arial" w:cs="Arial"/>
                <w:sz w:val="24"/>
                <w:szCs w:val="24"/>
              </w:rPr>
            </w:pPr>
            <w:r w:rsidRPr="00020050">
              <w:rPr>
                <w:rFonts w:ascii="Arial" w:hAnsi="Arial" w:cs="Arial"/>
                <w:sz w:val="24"/>
                <w:szCs w:val="24"/>
              </w:rPr>
              <w:t>Employee benefits expense</w:t>
            </w:r>
          </w:p>
        </w:tc>
        <w:tc>
          <w:tcPr>
            <w:tcW w:w="1252" w:type="dxa"/>
            <w:shd w:val="clear" w:color="auto" w:fill="auto"/>
            <w:noWrap/>
            <w:vAlign w:val="center"/>
            <w:hideMark/>
          </w:tcPr>
          <w:p w14:paraId="203D4603"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(21,541)</w:t>
            </w:r>
          </w:p>
        </w:tc>
        <w:tc>
          <w:tcPr>
            <w:tcW w:w="1252" w:type="dxa"/>
            <w:shd w:val="clear" w:color="auto" w:fill="auto"/>
            <w:noWrap/>
            <w:vAlign w:val="center"/>
            <w:hideMark/>
          </w:tcPr>
          <w:p w14:paraId="69B3929D"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(6,655)</w:t>
            </w:r>
          </w:p>
        </w:tc>
        <w:tc>
          <w:tcPr>
            <w:tcW w:w="1253" w:type="dxa"/>
            <w:shd w:val="clear" w:color="auto" w:fill="auto"/>
            <w:noWrap/>
            <w:vAlign w:val="center"/>
            <w:hideMark/>
          </w:tcPr>
          <w:p w14:paraId="290C93B6"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(114,465)</w:t>
            </w:r>
          </w:p>
        </w:tc>
        <w:tc>
          <w:tcPr>
            <w:tcW w:w="1253" w:type="dxa"/>
            <w:shd w:val="clear" w:color="auto" w:fill="auto"/>
            <w:noWrap/>
            <w:vAlign w:val="center"/>
            <w:hideMark/>
          </w:tcPr>
          <w:p w14:paraId="628B7E90"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(81,344)</w:t>
            </w:r>
          </w:p>
        </w:tc>
        <w:tc>
          <w:tcPr>
            <w:tcW w:w="1253" w:type="dxa"/>
            <w:shd w:val="clear" w:color="auto" w:fill="auto"/>
            <w:noWrap/>
            <w:vAlign w:val="center"/>
            <w:hideMark/>
          </w:tcPr>
          <w:p w14:paraId="1C83452A"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(5,676)</w:t>
            </w:r>
          </w:p>
        </w:tc>
        <w:tc>
          <w:tcPr>
            <w:tcW w:w="1253" w:type="dxa"/>
            <w:shd w:val="clear" w:color="auto" w:fill="auto"/>
            <w:noWrap/>
            <w:vAlign w:val="center"/>
            <w:hideMark/>
          </w:tcPr>
          <w:p w14:paraId="7301107B"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(7,832)</w:t>
            </w:r>
          </w:p>
        </w:tc>
      </w:tr>
      <w:tr w:rsidR="004810E3" w:rsidRPr="00020050" w14:paraId="33A4A03A" w14:textId="77777777" w:rsidTr="00DE75F7">
        <w:trPr>
          <w:trHeight w:val="340"/>
        </w:trPr>
        <w:tc>
          <w:tcPr>
            <w:tcW w:w="2407" w:type="dxa"/>
            <w:shd w:val="clear" w:color="auto" w:fill="auto"/>
            <w:noWrap/>
            <w:vAlign w:val="center"/>
            <w:hideMark/>
          </w:tcPr>
          <w:p w14:paraId="224BD664" w14:textId="77777777" w:rsidR="004810E3" w:rsidRPr="00020050" w:rsidRDefault="004810E3" w:rsidP="004810E3">
            <w:pPr>
              <w:rPr>
                <w:rFonts w:ascii="Arial" w:hAnsi="Arial" w:cs="Arial"/>
                <w:sz w:val="24"/>
                <w:szCs w:val="24"/>
              </w:rPr>
            </w:pPr>
            <w:r w:rsidRPr="00020050">
              <w:rPr>
                <w:rFonts w:ascii="Arial" w:hAnsi="Arial" w:cs="Arial"/>
                <w:sz w:val="24"/>
                <w:szCs w:val="24"/>
              </w:rPr>
              <w:t>Capital asset charge</w:t>
            </w:r>
          </w:p>
        </w:tc>
        <w:tc>
          <w:tcPr>
            <w:tcW w:w="1252" w:type="dxa"/>
            <w:shd w:val="clear" w:color="auto" w:fill="auto"/>
            <w:noWrap/>
            <w:vAlign w:val="center"/>
            <w:hideMark/>
          </w:tcPr>
          <w:p w14:paraId="526C8C4D"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(4,574)</w:t>
            </w:r>
          </w:p>
        </w:tc>
        <w:tc>
          <w:tcPr>
            <w:tcW w:w="1252" w:type="dxa"/>
            <w:shd w:val="clear" w:color="auto" w:fill="auto"/>
            <w:noWrap/>
            <w:vAlign w:val="center"/>
            <w:hideMark/>
          </w:tcPr>
          <w:p w14:paraId="294F34E0"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(1,176)</w:t>
            </w:r>
          </w:p>
        </w:tc>
        <w:tc>
          <w:tcPr>
            <w:tcW w:w="1253" w:type="dxa"/>
            <w:shd w:val="clear" w:color="auto" w:fill="auto"/>
            <w:noWrap/>
            <w:vAlign w:val="center"/>
            <w:hideMark/>
          </w:tcPr>
          <w:p w14:paraId="5EAC331D"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(134)</w:t>
            </w:r>
          </w:p>
        </w:tc>
        <w:tc>
          <w:tcPr>
            <w:tcW w:w="1253" w:type="dxa"/>
            <w:shd w:val="clear" w:color="auto" w:fill="auto"/>
            <w:noWrap/>
            <w:vAlign w:val="center"/>
            <w:hideMark/>
          </w:tcPr>
          <w:p w14:paraId="0F31D327"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(990)</w:t>
            </w:r>
          </w:p>
        </w:tc>
        <w:tc>
          <w:tcPr>
            <w:tcW w:w="1253" w:type="dxa"/>
            <w:shd w:val="clear" w:color="auto" w:fill="auto"/>
            <w:noWrap/>
            <w:vAlign w:val="center"/>
            <w:hideMark/>
          </w:tcPr>
          <w:p w14:paraId="057E3D10"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(716)</w:t>
            </w:r>
          </w:p>
        </w:tc>
        <w:tc>
          <w:tcPr>
            <w:tcW w:w="1253" w:type="dxa"/>
            <w:shd w:val="clear" w:color="auto" w:fill="auto"/>
            <w:noWrap/>
            <w:vAlign w:val="center"/>
            <w:hideMark/>
          </w:tcPr>
          <w:p w14:paraId="56F943A3"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(753)</w:t>
            </w:r>
          </w:p>
        </w:tc>
      </w:tr>
      <w:tr w:rsidR="004810E3" w:rsidRPr="00020050" w14:paraId="3552035E" w14:textId="77777777" w:rsidTr="00DE75F7">
        <w:trPr>
          <w:trHeight w:val="340"/>
        </w:trPr>
        <w:tc>
          <w:tcPr>
            <w:tcW w:w="2407" w:type="dxa"/>
            <w:shd w:val="clear" w:color="auto" w:fill="auto"/>
            <w:noWrap/>
            <w:vAlign w:val="center"/>
            <w:hideMark/>
          </w:tcPr>
          <w:p w14:paraId="4DA3AD02" w14:textId="77777777" w:rsidR="004810E3" w:rsidRPr="00020050" w:rsidRDefault="004810E3" w:rsidP="004810E3">
            <w:pPr>
              <w:rPr>
                <w:rFonts w:ascii="Arial" w:hAnsi="Arial" w:cs="Arial"/>
                <w:sz w:val="24"/>
                <w:szCs w:val="24"/>
              </w:rPr>
            </w:pPr>
            <w:r w:rsidRPr="00020050">
              <w:rPr>
                <w:rFonts w:ascii="Arial" w:hAnsi="Arial" w:cs="Arial"/>
                <w:sz w:val="24"/>
                <w:szCs w:val="24"/>
              </w:rPr>
              <w:t xml:space="preserve">Depreciation and amortisation </w:t>
            </w:r>
          </w:p>
        </w:tc>
        <w:tc>
          <w:tcPr>
            <w:tcW w:w="1252" w:type="dxa"/>
            <w:shd w:val="clear" w:color="auto" w:fill="auto"/>
            <w:noWrap/>
            <w:vAlign w:val="center"/>
            <w:hideMark/>
          </w:tcPr>
          <w:p w14:paraId="1B30FAB3"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(20,376)</w:t>
            </w:r>
          </w:p>
        </w:tc>
        <w:tc>
          <w:tcPr>
            <w:tcW w:w="1252" w:type="dxa"/>
            <w:shd w:val="clear" w:color="auto" w:fill="auto"/>
            <w:noWrap/>
            <w:vAlign w:val="center"/>
            <w:hideMark/>
          </w:tcPr>
          <w:p w14:paraId="410E57C1"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(1,066)</w:t>
            </w:r>
          </w:p>
        </w:tc>
        <w:tc>
          <w:tcPr>
            <w:tcW w:w="1253" w:type="dxa"/>
            <w:shd w:val="clear" w:color="auto" w:fill="auto"/>
            <w:noWrap/>
            <w:vAlign w:val="center"/>
            <w:hideMark/>
          </w:tcPr>
          <w:p w14:paraId="5E495FD4"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(13,545)</w:t>
            </w:r>
          </w:p>
        </w:tc>
        <w:tc>
          <w:tcPr>
            <w:tcW w:w="1253" w:type="dxa"/>
            <w:shd w:val="clear" w:color="auto" w:fill="auto"/>
            <w:noWrap/>
            <w:vAlign w:val="center"/>
            <w:hideMark/>
          </w:tcPr>
          <w:p w14:paraId="3FEE2441"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(1,482)</w:t>
            </w:r>
          </w:p>
        </w:tc>
        <w:tc>
          <w:tcPr>
            <w:tcW w:w="1253" w:type="dxa"/>
            <w:shd w:val="clear" w:color="auto" w:fill="auto"/>
            <w:noWrap/>
            <w:vAlign w:val="center"/>
            <w:hideMark/>
          </w:tcPr>
          <w:p w14:paraId="2DF19C18"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(749)</w:t>
            </w:r>
          </w:p>
        </w:tc>
        <w:tc>
          <w:tcPr>
            <w:tcW w:w="1253" w:type="dxa"/>
            <w:shd w:val="clear" w:color="auto" w:fill="auto"/>
            <w:noWrap/>
            <w:vAlign w:val="center"/>
            <w:hideMark/>
          </w:tcPr>
          <w:p w14:paraId="28FE0D53"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(415)</w:t>
            </w:r>
          </w:p>
        </w:tc>
      </w:tr>
      <w:tr w:rsidR="004810E3" w:rsidRPr="00020050" w14:paraId="5D89DD0B" w14:textId="77777777" w:rsidTr="00DE75F7">
        <w:trPr>
          <w:trHeight w:val="340"/>
        </w:trPr>
        <w:tc>
          <w:tcPr>
            <w:tcW w:w="2407" w:type="dxa"/>
            <w:shd w:val="clear" w:color="auto" w:fill="auto"/>
            <w:noWrap/>
            <w:vAlign w:val="center"/>
            <w:hideMark/>
          </w:tcPr>
          <w:p w14:paraId="2657FB4D" w14:textId="77777777" w:rsidR="004810E3" w:rsidRPr="00020050" w:rsidRDefault="004810E3" w:rsidP="004810E3">
            <w:pPr>
              <w:rPr>
                <w:rFonts w:ascii="Arial" w:hAnsi="Arial" w:cs="Arial"/>
                <w:sz w:val="24"/>
                <w:szCs w:val="24"/>
              </w:rPr>
            </w:pPr>
            <w:r w:rsidRPr="00020050">
              <w:rPr>
                <w:rFonts w:ascii="Arial" w:hAnsi="Arial" w:cs="Arial"/>
                <w:sz w:val="24"/>
                <w:szCs w:val="24"/>
              </w:rPr>
              <w:t xml:space="preserve">Interest expense </w:t>
            </w:r>
            <w:r w:rsidRPr="00020050">
              <w:rPr>
                <w:rFonts w:ascii="Arial" w:hAnsi="Arial" w:cs="Arial"/>
                <w:sz w:val="24"/>
                <w:szCs w:val="24"/>
                <w:vertAlign w:val="superscript"/>
              </w:rPr>
              <w:t>(</w:t>
            </w:r>
            <w:proofErr w:type="spellStart"/>
            <w:r w:rsidRPr="00020050">
              <w:rPr>
                <w:rFonts w:ascii="Arial" w:hAnsi="Arial" w:cs="Arial"/>
                <w:sz w:val="24"/>
                <w:szCs w:val="24"/>
                <w:vertAlign w:val="superscript"/>
              </w:rPr>
              <w:t>i</w:t>
            </w:r>
            <w:proofErr w:type="spellEnd"/>
            <w:r w:rsidRPr="00020050">
              <w:rPr>
                <w:rFonts w:ascii="Arial" w:hAnsi="Arial" w:cs="Arial"/>
                <w:sz w:val="24"/>
                <w:szCs w:val="24"/>
                <w:vertAlign w:val="superscript"/>
              </w:rPr>
              <w:t>)</w:t>
            </w:r>
          </w:p>
        </w:tc>
        <w:tc>
          <w:tcPr>
            <w:tcW w:w="1252" w:type="dxa"/>
            <w:shd w:val="clear" w:color="auto" w:fill="auto"/>
            <w:noWrap/>
            <w:vAlign w:val="center"/>
            <w:hideMark/>
          </w:tcPr>
          <w:p w14:paraId="18507DC2"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(11,234)</w:t>
            </w:r>
          </w:p>
        </w:tc>
        <w:tc>
          <w:tcPr>
            <w:tcW w:w="1252" w:type="dxa"/>
            <w:shd w:val="clear" w:color="auto" w:fill="auto"/>
            <w:noWrap/>
            <w:vAlign w:val="center"/>
            <w:hideMark/>
          </w:tcPr>
          <w:p w14:paraId="62F54B93"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w:t>
            </w:r>
          </w:p>
        </w:tc>
        <w:tc>
          <w:tcPr>
            <w:tcW w:w="1253" w:type="dxa"/>
            <w:shd w:val="clear" w:color="auto" w:fill="auto"/>
            <w:noWrap/>
            <w:vAlign w:val="center"/>
            <w:hideMark/>
          </w:tcPr>
          <w:p w14:paraId="776126E8"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(148,504)</w:t>
            </w:r>
          </w:p>
        </w:tc>
        <w:tc>
          <w:tcPr>
            <w:tcW w:w="1253" w:type="dxa"/>
            <w:shd w:val="clear" w:color="auto" w:fill="auto"/>
            <w:noWrap/>
            <w:vAlign w:val="center"/>
            <w:hideMark/>
          </w:tcPr>
          <w:p w14:paraId="651E90AF"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(72,820)</w:t>
            </w:r>
          </w:p>
        </w:tc>
        <w:tc>
          <w:tcPr>
            <w:tcW w:w="1253" w:type="dxa"/>
            <w:shd w:val="clear" w:color="auto" w:fill="auto"/>
            <w:noWrap/>
            <w:vAlign w:val="center"/>
            <w:hideMark/>
          </w:tcPr>
          <w:p w14:paraId="60A173E5"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(16)</w:t>
            </w:r>
          </w:p>
        </w:tc>
        <w:tc>
          <w:tcPr>
            <w:tcW w:w="1253" w:type="dxa"/>
            <w:shd w:val="clear" w:color="auto" w:fill="auto"/>
            <w:noWrap/>
            <w:vAlign w:val="center"/>
            <w:hideMark/>
          </w:tcPr>
          <w:p w14:paraId="2CE80EBB"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(3)</w:t>
            </w:r>
          </w:p>
        </w:tc>
      </w:tr>
      <w:tr w:rsidR="004810E3" w:rsidRPr="00020050" w14:paraId="2D432CAA" w14:textId="77777777" w:rsidTr="00DE75F7">
        <w:trPr>
          <w:trHeight w:val="340"/>
        </w:trPr>
        <w:tc>
          <w:tcPr>
            <w:tcW w:w="2407" w:type="dxa"/>
            <w:shd w:val="clear" w:color="auto" w:fill="auto"/>
            <w:noWrap/>
          </w:tcPr>
          <w:p w14:paraId="0CF1E948" w14:textId="77777777" w:rsidR="004810E3" w:rsidRPr="00020050" w:rsidRDefault="004810E3" w:rsidP="004810E3">
            <w:pPr>
              <w:rPr>
                <w:rFonts w:ascii="Arial" w:hAnsi="Arial" w:cs="Arial"/>
                <w:sz w:val="24"/>
                <w:szCs w:val="24"/>
              </w:rPr>
            </w:pPr>
            <w:r w:rsidRPr="00020050">
              <w:rPr>
                <w:rFonts w:ascii="Arial" w:hAnsi="Arial" w:cs="Arial"/>
                <w:sz w:val="24"/>
                <w:szCs w:val="24"/>
              </w:rPr>
              <w:t>Payments to public transport service providers</w:t>
            </w:r>
          </w:p>
        </w:tc>
        <w:tc>
          <w:tcPr>
            <w:tcW w:w="1252" w:type="dxa"/>
            <w:shd w:val="clear" w:color="auto" w:fill="auto"/>
            <w:noWrap/>
          </w:tcPr>
          <w:p w14:paraId="378F336B"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(861,860)</w:t>
            </w:r>
          </w:p>
        </w:tc>
        <w:tc>
          <w:tcPr>
            <w:tcW w:w="1252" w:type="dxa"/>
            <w:shd w:val="clear" w:color="auto" w:fill="auto"/>
            <w:noWrap/>
          </w:tcPr>
          <w:p w14:paraId="0BB4558F"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c>
          <w:tcPr>
            <w:tcW w:w="1253" w:type="dxa"/>
            <w:shd w:val="clear" w:color="auto" w:fill="auto"/>
            <w:noWrap/>
          </w:tcPr>
          <w:p w14:paraId="2042FF94"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(2,549)</w:t>
            </w:r>
          </w:p>
        </w:tc>
        <w:tc>
          <w:tcPr>
            <w:tcW w:w="1253" w:type="dxa"/>
            <w:shd w:val="clear" w:color="auto" w:fill="auto"/>
            <w:noWrap/>
          </w:tcPr>
          <w:p w14:paraId="4553A62F"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c>
          <w:tcPr>
            <w:tcW w:w="1253" w:type="dxa"/>
            <w:shd w:val="clear" w:color="auto" w:fill="auto"/>
            <w:noWrap/>
          </w:tcPr>
          <w:p w14:paraId="351B359D"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c>
          <w:tcPr>
            <w:tcW w:w="1253" w:type="dxa"/>
            <w:shd w:val="clear" w:color="auto" w:fill="auto"/>
            <w:noWrap/>
          </w:tcPr>
          <w:p w14:paraId="6FE48805"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r>
      <w:tr w:rsidR="004810E3" w:rsidRPr="00020050" w14:paraId="45577BF5" w14:textId="77777777" w:rsidTr="00DE75F7">
        <w:trPr>
          <w:trHeight w:val="340"/>
        </w:trPr>
        <w:tc>
          <w:tcPr>
            <w:tcW w:w="2407" w:type="dxa"/>
            <w:shd w:val="clear" w:color="auto" w:fill="auto"/>
            <w:noWrap/>
            <w:vAlign w:val="center"/>
            <w:hideMark/>
          </w:tcPr>
          <w:p w14:paraId="0515518D" w14:textId="77777777" w:rsidR="004810E3" w:rsidRPr="00020050" w:rsidRDefault="004810E3" w:rsidP="004810E3">
            <w:pPr>
              <w:rPr>
                <w:rFonts w:ascii="Arial" w:hAnsi="Arial" w:cs="Arial"/>
                <w:sz w:val="24"/>
                <w:szCs w:val="24"/>
              </w:rPr>
            </w:pPr>
            <w:r w:rsidRPr="00020050">
              <w:rPr>
                <w:rFonts w:ascii="Arial" w:hAnsi="Arial" w:cs="Arial"/>
                <w:sz w:val="24"/>
                <w:szCs w:val="24"/>
              </w:rPr>
              <w:t>Other operating expenses</w:t>
            </w:r>
          </w:p>
        </w:tc>
        <w:tc>
          <w:tcPr>
            <w:tcW w:w="1252" w:type="dxa"/>
            <w:shd w:val="clear" w:color="auto" w:fill="auto"/>
            <w:noWrap/>
            <w:vAlign w:val="center"/>
            <w:hideMark/>
          </w:tcPr>
          <w:p w14:paraId="1DE62EE5"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(84,431)</w:t>
            </w:r>
          </w:p>
        </w:tc>
        <w:tc>
          <w:tcPr>
            <w:tcW w:w="1252" w:type="dxa"/>
            <w:shd w:val="clear" w:color="auto" w:fill="auto"/>
            <w:noWrap/>
            <w:vAlign w:val="center"/>
            <w:hideMark/>
          </w:tcPr>
          <w:p w14:paraId="22A1C229"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(7,253)</w:t>
            </w:r>
          </w:p>
        </w:tc>
        <w:tc>
          <w:tcPr>
            <w:tcW w:w="1253" w:type="dxa"/>
            <w:shd w:val="clear" w:color="auto" w:fill="auto"/>
            <w:noWrap/>
            <w:vAlign w:val="center"/>
            <w:hideMark/>
          </w:tcPr>
          <w:p w14:paraId="32A276DD"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(308,028)</w:t>
            </w:r>
          </w:p>
        </w:tc>
        <w:tc>
          <w:tcPr>
            <w:tcW w:w="1253" w:type="dxa"/>
            <w:shd w:val="clear" w:color="auto" w:fill="auto"/>
            <w:noWrap/>
            <w:vAlign w:val="center"/>
            <w:hideMark/>
          </w:tcPr>
          <w:p w14:paraId="1DB6B934"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(160,830)</w:t>
            </w:r>
          </w:p>
        </w:tc>
        <w:tc>
          <w:tcPr>
            <w:tcW w:w="1253" w:type="dxa"/>
            <w:shd w:val="clear" w:color="auto" w:fill="auto"/>
            <w:noWrap/>
            <w:vAlign w:val="center"/>
            <w:hideMark/>
          </w:tcPr>
          <w:p w14:paraId="05EBCD38"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(37,445)</w:t>
            </w:r>
          </w:p>
        </w:tc>
        <w:tc>
          <w:tcPr>
            <w:tcW w:w="1253" w:type="dxa"/>
            <w:shd w:val="clear" w:color="auto" w:fill="auto"/>
            <w:noWrap/>
            <w:vAlign w:val="center"/>
            <w:hideMark/>
          </w:tcPr>
          <w:p w14:paraId="422CA234"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(1,801)</w:t>
            </w:r>
          </w:p>
        </w:tc>
      </w:tr>
      <w:tr w:rsidR="004810E3" w:rsidRPr="00020050" w14:paraId="0B950983" w14:textId="77777777" w:rsidTr="00DE75F7">
        <w:trPr>
          <w:trHeight w:val="340"/>
        </w:trPr>
        <w:tc>
          <w:tcPr>
            <w:tcW w:w="2407" w:type="dxa"/>
            <w:shd w:val="clear" w:color="auto" w:fill="auto"/>
            <w:noWrap/>
            <w:vAlign w:val="center"/>
            <w:hideMark/>
          </w:tcPr>
          <w:p w14:paraId="483B4264" w14:textId="77777777" w:rsidR="004810E3" w:rsidRPr="00020050" w:rsidRDefault="004810E3" w:rsidP="004810E3">
            <w:pPr>
              <w:pStyle w:val="TableTextLeftBold"/>
              <w:rPr>
                <w:rFonts w:ascii="Arial" w:hAnsi="Arial" w:cs="Arial"/>
                <w:sz w:val="24"/>
                <w:szCs w:val="24"/>
              </w:rPr>
            </w:pPr>
            <w:r w:rsidRPr="00020050">
              <w:rPr>
                <w:rFonts w:ascii="Arial" w:hAnsi="Arial" w:cs="Arial"/>
                <w:sz w:val="24"/>
                <w:szCs w:val="24"/>
              </w:rPr>
              <w:t>Total expenses from transactions</w:t>
            </w:r>
          </w:p>
        </w:tc>
        <w:tc>
          <w:tcPr>
            <w:tcW w:w="1252" w:type="dxa"/>
            <w:shd w:val="clear" w:color="auto" w:fill="auto"/>
            <w:noWrap/>
            <w:vAlign w:val="center"/>
            <w:hideMark/>
          </w:tcPr>
          <w:p w14:paraId="246ECEBF"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(1,189,611)</w:t>
            </w:r>
          </w:p>
        </w:tc>
        <w:tc>
          <w:tcPr>
            <w:tcW w:w="1252" w:type="dxa"/>
            <w:shd w:val="clear" w:color="auto" w:fill="auto"/>
            <w:noWrap/>
            <w:vAlign w:val="center"/>
            <w:hideMark/>
          </w:tcPr>
          <w:p w14:paraId="49FE35C0"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(691,288)</w:t>
            </w:r>
          </w:p>
        </w:tc>
        <w:tc>
          <w:tcPr>
            <w:tcW w:w="1253" w:type="dxa"/>
            <w:shd w:val="clear" w:color="auto" w:fill="auto"/>
            <w:noWrap/>
            <w:vAlign w:val="center"/>
            <w:hideMark/>
          </w:tcPr>
          <w:p w14:paraId="3860E1B7"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(607,265)</w:t>
            </w:r>
          </w:p>
        </w:tc>
        <w:tc>
          <w:tcPr>
            <w:tcW w:w="1253" w:type="dxa"/>
            <w:shd w:val="clear" w:color="auto" w:fill="auto"/>
            <w:noWrap/>
            <w:vAlign w:val="center"/>
            <w:hideMark/>
          </w:tcPr>
          <w:p w14:paraId="77BFF096"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(435,803)</w:t>
            </w:r>
          </w:p>
        </w:tc>
        <w:tc>
          <w:tcPr>
            <w:tcW w:w="1253" w:type="dxa"/>
            <w:shd w:val="clear" w:color="auto" w:fill="auto"/>
            <w:noWrap/>
            <w:vAlign w:val="center"/>
            <w:hideMark/>
          </w:tcPr>
          <w:p w14:paraId="197D92CC"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(123,000)</w:t>
            </w:r>
          </w:p>
        </w:tc>
        <w:tc>
          <w:tcPr>
            <w:tcW w:w="1253" w:type="dxa"/>
            <w:shd w:val="clear" w:color="auto" w:fill="auto"/>
            <w:noWrap/>
            <w:vAlign w:val="center"/>
            <w:hideMark/>
          </w:tcPr>
          <w:p w14:paraId="01754998"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(53,986)</w:t>
            </w:r>
          </w:p>
        </w:tc>
      </w:tr>
      <w:tr w:rsidR="004810E3" w:rsidRPr="00020050" w14:paraId="4A0DB40C" w14:textId="77777777" w:rsidTr="00DE75F7">
        <w:trPr>
          <w:trHeight w:val="340"/>
        </w:trPr>
        <w:tc>
          <w:tcPr>
            <w:tcW w:w="2407" w:type="dxa"/>
            <w:shd w:val="clear" w:color="auto" w:fill="auto"/>
            <w:noWrap/>
            <w:vAlign w:val="center"/>
            <w:hideMark/>
          </w:tcPr>
          <w:p w14:paraId="6F9AB065" w14:textId="77777777" w:rsidR="004810E3" w:rsidRPr="00020050" w:rsidRDefault="004810E3" w:rsidP="004810E3">
            <w:pPr>
              <w:pStyle w:val="TableTextLeftBold"/>
              <w:rPr>
                <w:rFonts w:ascii="Arial" w:hAnsi="Arial" w:cs="Arial"/>
                <w:sz w:val="24"/>
                <w:szCs w:val="24"/>
              </w:rPr>
            </w:pPr>
            <w:r w:rsidRPr="00020050">
              <w:rPr>
                <w:rFonts w:ascii="Arial" w:hAnsi="Arial" w:cs="Arial"/>
                <w:sz w:val="24"/>
                <w:szCs w:val="24"/>
              </w:rPr>
              <w:t>Net result from transactions</w:t>
            </w:r>
          </w:p>
        </w:tc>
        <w:tc>
          <w:tcPr>
            <w:tcW w:w="1252" w:type="dxa"/>
            <w:shd w:val="clear" w:color="auto" w:fill="auto"/>
            <w:noWrap/>
            <w:vAlign w:val="center"/>
            <w:hideMark/>
          </w:tcPr>
          <w:p w14:paraId="1C6DF4D0"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(365,780)</w:t>
            </w:r>
          </w:p>
        </w:tc>
        <w:tc>
          <w:tcPr>
            <w:tcW w:w="1252" w:type="dxa"/>
            <w:shd w:val="clear" w:color="auto" w:fill="auto"/>
            <w:noWrap/>
            <w:vAlign w:val="center"/>
            <w:hideMark/>
          </w:tcPr>
          <w:p w14:paraId="415590D3"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(20,590)</w:t>
            </w:r>
          </w:p>
        </w:tc>
        <w:tc>
          <w:tcPr>
            <w:tcW w:w="1253" w:type="dxa"/>
            <w:shd w:val="clear" w:color="auto" w:fill="auto"/>
            <w:noWrap/>
            <w:vAlign w:val="center"/>
            <w:hideMark/>
          </w:tcPr>
          <w:p w14:paraId="0AA1D083"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(85,080)</w:t>
            </w:r>
          </w:p>
        </w:tc>
        <w:tc>
          <w:tcPr>
            <w:tcW w:w="1253" w:type="dxa"/>
            <w:shd w:val="clear" w:color="auto" w:fill="auto"/>
            <w:noWrap/>
            <w:vAlign w:val="center"/>
            <w:hideMark/>
          </w:tcPr>
          <w:p w14:paraId="7CC8ED9B"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(54,521)</w:t>
            </w:r>
          </w:p>
        </w:tc>
        <w:tc>
          <w:tcPr>
            <w:tcW w:w="1253" w:type="dxa"/>
            <w:shd w:val="clear" w:color="auto" w:fill="auto"/>
            <w:noWrap/>
            <w:vAlign w:val="center"/>
            <w:hideMark/>
          </w:tcPr>
          <w:p w14:paraId="4350401B"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(26,606)</w:t>
            </w:r>
          </w:p>
        </w:tc>
        <w:tc>
          <w:tcPr>
            <w:tcW w:w="1253" w:type="dxa"/>
            <w:shd w:val="clear" w:color="auto" w:fill="auto"/>
            <w:noWrap/>
            <w:vAlign w:val="center"/>
            <w:hideMark/>
          </w:tcPr>
          <w:p w14:paraId="78B81BC1"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(5,875)</w:t>
            </w:r>
          </w:p>
        </w:tc>
      </w:tr>
      <w:tr w:rsidR="004810E3" w:rsidRPr="00020050" w14:paraId="5FCF48D3" w14:textId="77777777" w:rsidTr="00DE75F7">
        <w:trPr>
          <w:trHeight w:val="340"/>
        </w:trPr>
        <w:tc>
          <w:tcPr>
            <w:tcW w:w="2407" w:type="dxa"/>
            <w:shd w:val="clear" w:color="auto" w:fill="auto"/>
            <w:noWrap/>
            <w:vAlign w:val="center"/>
          </w:tcPr>
          <w:p w14:paraId="0AC110CC" w14:textId="77777777" w:rsidR="004810E3" w:rsidRPr="00020050" w:rsidRDefault="004810E3" w:rsidP="004810E3">
            <w:pPr>
              <w:pStyle w:val="TableTextLeftBold"/>
              <w:rPr>
                <w:rFonts w:ascii="Arial" w:hAnsi="Arial" w:cs="Arial"/>
                <w:sz w:val="24"/>
                <w:szCs w:val="24"/>
              </w:rPr>
            </w:pPr>
          </w:p>
        </w:tc>
        <w:tc>
          <w:tcPr>
            <w:tcW w:w="1252" w:type="dxa"/>
            <w:shd w:val="clear" w:color="auto" w:fill="auto"/>
            <w:noWrap/>
            <w:vAlign w:val="center"/>
          </w:tcPr>
          <w:p w14:paraId="2BAE0CD2" w14:textId="77777777" w:rsidR="004810E3" w:rsidRPr="00020050" w:rsidRDefault="004810E3" w:rsidP="004810E3">
            <w:pPr>
              <w:jc w:val="right"/>
              <w:rPr>
                <w:rFonts w:ascii="Arial" w:hAnsi="Arial" w:cs="Arial"/>
                <w:b/>
                <w:sz w:val="24"/>
                <w:szCs w:val="24"/>
              </w:rPr>
            </w:pPr>
          </w:p>
        </w:tc>
        <w:tc>
          <w:tcPr>
            <w:tcW w:w="1252" w:type="dxa"/>
            <w:shd w:val="clear" w:color="auto" w:fill="auto"/>
            <w:noWrap/>
            <w:vAlign w:val="center"/>
          </w:tcPr>
          <w:p w14:paraId="4F2E9C4B" w14:textId="77777777" w:rsidR="004810E3" w:rsidRPr="00020050" w:rsidRDefault="004810E3" w:rsidP="004810E3">
            <w:pPr>
              <w:jc w:val="right"/>
              <w:rPr>
                <w:rFonts w:ascii="Arial" w:hAnsi="Arial" w:cs="Arial"/>
                <w:b/>
                <w:sz w:val="24"/>
                <w:szCs w:val="24"/>
              </w:rPr>
            </w:pPr>
          </w:p>
        </w:tc>
        <w:tc>
          <w:tcPr>
            <w:tcW w:w="1253" w:type="dxa"/>
            <w:shd w:val="clear" w:color="auto" w:fill="auto"/>
            <w:noWrap/>
            <w:vAlign w:val="center"/>
          </w:tcPr>
          <w:p w14:paraId="4A2ED870" w14:textId="77777777" w:rsidR="004810E3" w:rsidRPr="00020050" w:rsidRDefault="004810E3" w:rsidP="004810E3">
            <w:pPr>
              <w:jc w:val="right"/>
              <w:rPr>
                <w:rFonts w:ascii="Arial" w:hAnsi="Arial" w:cs="Arial"/>
                <w:b/>
                <w:sz w:val="24"/>
                <w:szCs w:val="24"/>
              </w:rPr>
            </w:pPr>
          </w:p>
        </w:tc>
        <w:tc>
          <w:tcPr>
            <w:tcW w:w="1253" w:type="dxa"/>
            <w:shd w:val="clear" w:color="auto" w:fill="auto"/>
            <w:noWrap/>
            <w:vAlign w:val="center"/>
          </w:tcPr>
          <w:p w14:paraId="02322FCF" w14:textId="77777777" w:rsidR="004810E3" w:rsidRPr="00020050" w:rsidRDefault="004810E3" w:rsidP="004810E3">
            <w:pPr>
              <w:jc w:val="right"/>
              <w:rPr>
                <w:rFonts w:ascii="Arial" w:hAnsi="Arial" w:cs="Arial"/>
                <w:b/>
                <w:sz w:val="24"/>
                <w:szCs w:val="24"/>
              </w:rPr>
            </w:pPr>
          </w:p>
        </w:tc>
        <w:tc>
          <w:tcPr>
            <w:tcW w:w="1253" w:type="dxa"/>
            <w:shd w:val="clear" w:color="auto" w:fill="auto"/>
            <w:noWrap/>
            <w:vAlign w:val="center"/>
          </w:tcPr>
          <w:p w14:paraId="5A60D9FC" w14:textId="77777777" w:rsidR="004810E3" w:rsidRPr="00020050" w:rsidRDefault="004810E3" w:rsidP="004810E3">
            <w:pPr>
              <w:jc w:val="right"/>
              <w:rPr>
                <w:rFonts w:ascii="Arial" w:hAnsi="Arial" w:cs="Arial"/>
                <w:b/>
                <w:sz w:val="24"/>
                <w:szCs w:val="24"/>
              </w:rPr>
            </w:pPr>
          </w:p>
        </w:tc>
        <w:tc>
          <w:tcPr>
            <w:tcW w:w="1253" w:type="dxa"/>
            <w:shd w:val="clear" w:color="auto" w:fill="auto"/>
            <w:noWrap/>
            <w:vAlign w:val="center"/>
          </w:tcPr>
          <w:p w14:paraId="509784D2" w14:textId="77777777" w:rsidR="004810E3" w:rsidRPr="00020050" w:rsidRDefault="004810E3" w:rsidP="004810E3">
            <w:pPr>
              <w:jc w:val="right"/>
              <w:rPr>
                <w:rFonts w:ascii="Arial" w:hAnsi="Arial" w:cs="Arial"/>
                <w:b/>
                <w:sz w:val="24"/>
                <w:szCs w:val="24"/>
              </w:rPr>
            </w:pPr>
          </w:p>
        </w:tc>
      </w:tr>
      <w:tr w:rsidR="004810E3" w:rsidRPr="00020050" w14:paraId="636763B7" w14:textId="77777777" w:rsidTr="00DE75F7">
        <w:trPr>
          <w:trHeight w:val="340"/>
        </w:trPr>
        <w:tc>
          <w:tcPr>
            <w:tcW w:w="2407" w:type="dxa"/>
            <w:shd w:val="clear" w:color="auto" w:fill="auto"/>
            <w:noWrap/>
            <w:hideMark/>
          </w:tcPr>
          <w:p w14:paraId="2E29AD01" w14:textId="77777777" w:rsidR="004810E3" w:rsidRPr="00020050" w:rsidRDefault="004810E3" w:rsidP="004810E3">
            <w:pPr>
              <w:pStyle w:val="TableTextGreen"/>
            </w:pPr>
            <w:r w:rsidRPr="00020050">
              <w:t>Other economic flows included in net result</w:t>
            </w:r>
          </w:p>
        </w:tc>
        <w:tc>
          <w:tcPr>
            <w:tcW w:w="1252" w:type="dxa"/>
            <w:shd w:val="clear" w:color="auto" w:fill="auto"/>
            <w:noWrap/>
            <w:vAlign w:val="center"/>
            <w:hideMark/>
          </w:tcPr>
          <w:p w14:paraId="0FDEDDDA" w14:textId="77777777" w:rsidR="004810E3" w:rsidRPr="00020050" w:rsidRDefault="004810E3" w:rsidP="004810E3">
            <w:pPr>
              <w:jc w:val="right"/>
              <w:rPr>
                <w:rFonts w:ascii="Arial" w:hAnsi="Arial" w:cs="Arial"/>
                <w:sz w:val="24"/>
                <w:szCs w:val="24"/>
              </w:rPr>
            </w:pPr>
          </w:p>
        </w:tc>
        <w:tc>
          <w:tcPr>
            <w:tcW w:w="1252" w:type="dxa"/>
            <w:shd w:val="clear" w:color="auto" w:fill="auto"/>
            <w:noWrap/>
            <w:vAlign w:val="center"/>
            <w:hideMark/>
          </w:tcPr>
          <w:p w14:paraId="73F1A98B" w14:textId="77777777" w:rsidR="004810E3" w:rsidRPr="00020050" w:rsidRDefault="004810E3" w:rsidP="004810E3">
            <w:pPr>
              <w:jc w:val="right"/>
              <w:rPr>
                <w:rFonts w:ascii="Arial" w:hAnsi="Arial" w:cs="Arial"/>
                <w:sz w:val="24"/>
                <w:szCs w:val="24"/>
              </w:rPr>
            </w:pPr>
          </w:p>
        </w:tc>
        <w:tc>
          <w:tcPr>
            <w:tcW w:w="1253" w:type="dxa"/>
            <w:shd w:val="clear" w:color="auto" w:fill="auto"/>
            <w:noWrap/>
            <w:vAlign w:val="center"/>
            <w:hideMark/>
          </w:tcPr>
          <w:p w14:paraId="19021FED" w14:textId="77777777" w:rsidR="004810E3" w:rsidRPr="00020050" w:rsidRDefault="004810E3" w:rsidP="004810E3">
            <w:pPr>
              <w:jc w:val="right"/>
              <w:rPr>
                <w:rFonts w:ascii="Arial" w:hAnsi="Arial" w:cs="Arial"/>
                <w:sz w:val="24"/>
                <w:szCs w:val="24"/>
              </w:rPr>
            </w:pPr>
          </w:p>
        </w:tc>
        <w:tc>
          <w:tcPr>
            <w:tcW w:w="1253" w:type="dxa"/>
            <w:shd w:val="clear" w:color="auto" w:fill="auto"/>
            <w:noWrap/>
            <w:vAlign w:val="center"/>
            <w:hideMark/>
          </w:tcPr>
          <w:p w14:paraId="018F8644" w14:textId="77777777" w:rsidR="004810E3" w:rsidRPr="00020050" w:rsidRDefault="004810E3" w:rsidP="004810E3">
            <w:pPr>
              <w:jc w:val="right"/>
              <w:rPr>
                <w:rFonts w:ascii="Arial" w:hAnsi="Arial" w:cs="Arial"/>
                <w:sz w:val="24"/>
                <w:szCs w:val="24"/>
              </w:rPr>
            </w:pPr>
          </w:p>
        </w:tc>
        <w:tc>
          <w:tcPr>
            <w:tcW w:w="1253" w:type="dxa"/>
            <w:shd w:val="clear" w:color="auto" w:fill="auto"/>
            <w:noWrap/>
            <w:vAlign w:val="center"/>
            <w:hideMark/>
          </w:tcPr>
          <w:p w14:paraId="7A1E96E5" w14:textId="77777777" w:rsidR="004810E3" w:rsidRPr="00020050" w:rsidRDefault="004810E3" w:rsidP="004810E3">
            <w:pPr>
              <w:jc w:val="right"/>
              <w:rPr>
                <w:rFonts w:ascii="Arial" w:hAnsi="Arial" w:cs="Arial"/>
                <w:sz w:val="24"/>
                <w:szCs w:val="24"/>
              </w:rPr>
            </w:pPr>
          </w:p>
        </w:tc>
        <w:tc>
          <w:tcPr>
            <w:tcW w:w="1253" w:type="dxa"/>
            <w:shd w:val="clear" w:color="auto" w:fill="auto"/>
            <w:noWrap/>
            <w:vAlign w:val="center"/>
            <w:hideMark/>
          </w:tcPr>
          <w:p w14:paraId="028FD83E" w14:textId="77777777" w:rsidR="004810E3" w:rsidRPr="00020050" w:rsidRDefault="004810E3" w:rsidP="004810E3">
            <w:pPr>
              <w:jc w:val="right"/>
              <w:rPr>
                <w:rFonts w:ascii="Arial" w:hAnsi="Arial" w:cs="Arial"/>
                <w:sz w:val="24"/>
                <w:szCs w:val="24"/>
              </w:rPr>
            </w:pPr>
          </w:p>
        </w:tc>
      </w:tr>
      <w:tr w:rsidR="004810E3" w:rsidRPr="00020050" w14:paraId="2503632D" w14:textId="77777777" w:rsidTr="00DE75F7">
        <w:trPr>
          <w:trHeight w:val="340"/>
        </w:trPr>
        <w:tc>
          <w:tcPr>
            <w:tcW w:w="2407" w:type="dxa"/>
            <w:shd w:val="clear" w:color="auto" w:fill="auto"/>
            <w:noWrap/>
            <w:vAlign w:val="center"/>
            <w:hideMark/>
          </w:tcPr>
          <w:p w14:paraId="10694F3C" w14:textId="77777777" w:rsidR="004810E3" w:rsidRPr="00020050" w:rsidRDefault="004810E3" w:rsidP="004810E3">
            <w:pPr>
              <w:rPr>
                <w:rFonts w:ascii="Arial" w:hAnsi="Arial" w:cs="Arial"/>
                <w:sz w:val="24"/>
                <w:szCs w:val="24"/>
              </w:rPr>
            </w:pPr>
            <w:r w:rsidRPr="00020050">
              <w:rPr>
                <w:rFonts w:ascii="Arial" w:hAnsi="Arial" w:cs="Arial"/>
                <w:sz w:val="24"/>
                <w:szCs w:val="24"/>
              </w:rPr>
              <w:t>Net loss on non-financial assets</w:t>
            </w:r>
          </w:p>
        </w:tc>
        <w:tc>
          <w:tcPr>
            <w:tcW w:w="1252" w:type="dxa"/>
            <w:shd w:val="clear" w:color="auto" w:fill="auto"/>
            <w:noWrap/>
            <w:vAlign w:val="center"/>
            <w:hideMark/>
          </w:tcPr>
          <w:p w14:paraId="33115C8E"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(6,470)</w:t>
            </w:r>
          </w:p>
        </w:tc>
        <w:tc>
          <w:tcPr>
            <w:tcW w:w="1252" w:type="dxa"/>
            <w:shd w:val="clear" w:color="auto" w:fill="auto"/>
            <w:noWrap/>
            <w:vAlign w:val="center"/>
            <w:hideMark/>
          </w:tcPr>
          <w:p w14:paraId="3C18906C"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(89)</w:t>
            </w:r>
          </w:p>
        </w:tc>
        <w:tc>
          <w:tcPr>
            <w:tcW w:w="1253" w:type="dxa"/>
            <w:shd w:val="clear" w:color="auto" w:fill="auto"/>
            <w:noWrap/>
            <w:vAlign w:val="center"/>
            <w:hideMark/>
          </w:tcPr>
          <w:p w14:paraId="15695B19"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(9,891)</w:t>
            </w:r>
          </w:p>
        </w:tc>
        <w:tc>
          <w:tcPr>
            <w:tcW w:w="1253" w:type="dxa"/>
            <w:shd w:val="clear" w:color="auto" w:fill="auto"/>
            <w:noWrap/>
            <w:vAlign w:val="center"/>
            <w:hideMark/>
          </w:tcPr>
          <w:p w14:paraId="05D89C16"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57 </w:t>
            </w:r>
          </w:p>
        </w:tc>
        <w:tc>
          <w:tcPr>
            <w:tcW w:w="1253" w:type="dxa"/>
            <w:shd w:val="clear" w:color="auto" w:fill="auto"/>
            <w:noWrap/>
            <w:vAlign w:val="center"/>
            <w:hideMark/>
          </w:tcPr>
          <w:p w14:paraId="61E8AED7"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(10,724)</w:t>
            </w:r>
          </w:p>
        </w:tc>
        <w:tc>
          <w:tcPr>
            <w:tcW w:w="1253" w:type="dxa"/>
            <w:shd w:val="clear" w:color="auto" w:fill="auto"/>
            <w:noWrap/>
            <w:vAlign w:val="center"/>
            <w:hideMark/>
          </w:tcPr>
          <w:p w14:paraId="36884672"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(3,008)</w:t>
            </w:r>
          </w:p>
        </w:tc>
      </w:tr>
      <w:tr w:rsidR="004810E3" w:rsidRPr="00020050" w14:paraId="5B1B2C55" w14:textId="77777777" w:rsidTr="00DE75F7">
        <w:trPr>
          <w:trHeight w:val="340"/>
        </w:trPr>
        <w:tc>
          <w:tcPr>
            <w:tcW w:w="2407" w:type="dxa"/>
            <w:shd w:val="clear" w:color="auto" w:fill="auto"/>
            <w:noWrap/>
            <w:vAlign w:val="center"/>
            <w:hideMark/>
          </w:tcPr>
          <w:p w14:paraId="0E006E12" w14:textId="77777777" w:rsidR="004810E3" w:rsidRPr="00020050" w:rsidRDefault="004810E3" w:rsidP="004810E3">
            <w:pPr>
              <w:rPr>
                <w:rFonts w:ascii="Arial" w:hAnsi="Arial" w:cs="Arial"/>
                <w:sz w:val="24"/>
                <w:szCs w:val="24"/>
              </w:rPr>
            </w:pPr>
            <w:r w:rsidRPr="00020050">
              <w:rPr>
                <w:rFonts w:ascii="Arial" w:hAnsi="Arial" w:cs="Arial"/>
                <w:sz w:val="24"/>
                <w:szCs w:val="24"/>
              </w:rPr>
              <w:lastRenderedPageBreak/>
              <w:t>Net loss on financial instruments</w:t>
            </w:r>
          </w:p>
        </w:tc>
        <w:tc>
          <w:tcPr>
            <w:tcW w:w="1252" w:type="dxa"/>
            <w:shd w:val="clear" w:color="auto" w:fill="auto"/>
            <w:noWrap/>
            <w:vAlign w:val="center"/>
            <w:hideMark/>
          </w:tcPr>
          <w:p w14:paraId="418B6F46"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(444)</w:t>
            </w:r>
          </w:p>
        </w:tc>
        <w:tc>
          <w:tcPr>
            <w:tcW w:w="1252" w:type="dxa"/>
            <w:shd w:val="clear" w:color="auto" w:fill="auto"/>
            <w:noWrap/>
            <w:vAlign w:val="center"/>
            <w:hideMark/>
          </w:tcPr>
          <w:p w14:paraId="1D3895E4"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c>
          <w:tcPr>
            <w:tcW w:w="1253" w:type="dxa"/>
            <w:shd w:val="clear" w:color="auto" w:fill="auto"/>
            <w:noWrap/>
            <w:vAlign w:val="center"/>
            <w:hideMark/>
          </w:tcPr>
          <w:p w14:paraId="1EDB0DEB"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c>
          <w:tcPr>
            <w:tcW w:w="1253" w:type="dxa"/>
            <w:shd w:val="clear" w:color="auto" w:fill="auto"/>
            <w:noWrap/>
            <w:vAlign w:val="center"/>
            <w:hideMark/>
          </w:tcPr>
          <w:p w14:paraId="54B1ABCA"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c>
          <w:tcPr>
            <w:tcW w:w="1253" w:type="dxa"/>
            <w:shd w:val="clear" w:color="auto" w:fill="auto"/>
            <w:noWrap/>
            <w:vAlign w:val="center"/>
            <w:hideMark/>
          </w:tcPr>
          <w:p w14:paraId="3F183FCC"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(250)</w:t>
            </w:r>
          </w:p>
        </w:tc>
        <w:tc>
          <w:tcPr>
            <w:tcW w:w="1253" w:type="dxa"/>
            <w:shd w:val="clear" w:color="auto" w:fill="auto"/>
            <w:noWrap/>
            <w:vAlign w:val="center"/>
            <w:hideMark/>
          </w:tcPr>
          <w:p w14:paraId="20543FAA"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r>
      <w:tr w:rsidR="004810E3" w:rsidRPr="00020050" w14:paraId="28B33859" w14:textId="77777777" w:rsidTr="00DE75F7">
        <w:trPr>
          <w:trHeight w:val="340"/>
        </w:trPr>
        <w:tc>
          <w:tcPr>
            <w:tcW w:w="2407" w:type="dxa"/>
            <w:shd w:val="clear" w:color="auto" w:fill="auto"/>
            <w:noWrap/>
            <w:vAlign w:val="center"/>
            <w:hideMark/>
          </w:tcPr>
          <w:p w14:paraId="3C808EF9" w14:textId="77777777" w:rsidR="004810E3" w:rsidRPr="00020050" w:rsidRDefault="004810E3" w:rsidP="004810E3">
            <w:pPr>
              <w:rPr>
                <w:rFonts w:ascii="Arial" w:hAnsi="Arial" w:cs="Arial"/>
                <w:sz w:val="24"/>
                <w:szCs w:val="24"/>
              </w:rPr>
            </w:pPr>
            <w:r w:rsidRPr="00020050">
              <w:rPr>
                <w:rFonts w:ascii="Arial" w:hAnsi="Arial" w:cs="Arial"/>
                <w:sz w:val="24"/>
                <w:szCs w:val="24"/>
              </w:rPr>
              <w:t>Other gains/(losses) from other economic flows</w:t>
            </w:r>
          </w:p>
        </w:tc>
        <w:tc>
          <w:tcPr>
            <w:tcW w:w="1252" w:type="dxa"/>
            <w:shd w:val="clear" w:color="auto" w:fill="auto"/>
            <w:noWrap/>
            <w:hideMark/>
          </w:tcPr>
          <w:p w14:paraId="2AF9B4FC"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(9,403)</w:t>
            </w:r>
          </w:p>
        </w:tc>
        <w:tc>
          <w:tcPr>
            <w:tcW w:w="1252" w:type="dxa"/>
            <w:shd w:val="clear" w:color="auto" w:fill="auto"/>
            <w:noWrap/>
            <w:hideMark/>
          </w:tcPr>
          <w:p w14:paraId="48A0E8CF"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(42)</w:t>
            </w:r>
          </w:p>
        </w:tc>
        <w:tc>
          <w:tcPr>
            <w:tcW w:w="1253" w:type="dxa"/>
            <w:shd w:val="clear" w:color="auto" w:fill="auto"/>
            <w:noWrap/>
            <w:hideMark/>
          </w:tcPr>
          <w:p w14:paraId="60102F0E"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(217)</w:t>
            </w:r>
          </w:p>
        </w:tc>
        <w:tc>
          <w:tcPr>
            <w:tcW w:w="1253" w:type="dxa"/>
            <w:shd w:val="clear" w:color="auto" w:fill="auto"/>
            <w:noWrap/>
            <w:hideMark/>
          </w:tcPr>
          <w:p w14:paraId="67EA0E77"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(2,363)</w:t>
            </w:r>
          </w:p>
        </w:tc>
        <w:tc>
          <w:tcPr>
            <w:tcW w:w="1253" w:type="dxa"/>
            <w:shd w:val="clear" w:color="auto" w:fill="auto"/>
            <w:noWrap/>
            <w:hideMark/>
          </w:tcPr>
          <w:p w14:paraId="1939D807"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(8)</w:t>
            </w:r>
          </w:p>
        </w:tc>
        <w:tc>
          <w:tcPr>
            <w:tcW w:w="1253" w:type="dxa"/>
            <w:shd w:val="clear" w:color="auto" w:fill="auto"/>
            <w:noWrap/>
            <w:hideMark/>
          </w:tcPr>
          <w:p w14:paraId="5B21547D"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(16)</w:t>
            </w:r>
          </w:p>
        </w:tc>
      </w:tr>
      <w:tr w:rsidR="004810E3" w:rsidRPr="00020050" w14:paraId="181A95AB" w14:textId="77777777" w:rsidTr="00DE75F7">
        <w:trPr>
          <w:trHeight w:val="340"/>
        </w:trPr>
        <w:tc>
          <w:tcPr>
            <w:tcW w:w="2407" w:type="dxa"/>
            <w:shd w:val="clear" w:color="auto" w:fill="auto"/>
            <w:noWrap/>
            <w:vAlign w:val="center"/>
            <w:hideMark/>
          </w:tcPr>
          <w:p w14:paraId="7E856840" w14:textId="77777777" w:rsidR="004810E3" w:rsidRPr="00020050" w:rsidRDefault="004810E3" w:rsidP="004810E3">
            <w:pPr>
              <w:pStyle w:val="TableTextLeftBold"/>
              <w:rPr>
                <w:rFonts w:ascii="Arial" w:hAnsi="Arial" w:cs="Arial"/>
                <w:sz w:val="24"/>
                <w:szCs w:val="24"/>
              </w:rPr>
            </w:pPr>
            <w:r w:rsidRPr="00020050">
              <w:rPr>
                <w:rFonts w:ascii="Arial" w:hAnsi="Arial" w:cs="Arial"/>
                <w:sz w:val="24"/>
                <w:szCs w:val="24"/>
              </w:rPr>
              <w:t>Total other economic flows included in net result</w:t>
            </w:r>
          </w:p>
        </w:tc>
        <w:tc>
          <w:tcPr>
            <w:tcW w:w="1252" w:type="dxa"/>
            <w:shd w:val="clear" w:color="auto" w:fill="auto"/>
            <w:noWrap/>
            <w:hideMark/>
          </w:tcPr>
          <w:p w14:paraId="5EFD48BF"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(16,317)</w:t>
            </w:r>
          </w:p>
        </w:tc>
        <w:tc>
          <w:tcPr>
            <w:tcW w:w="1252" w:type="dxa"/>
            <w:shd w:val="clear" w:color="auto" w:fill="auto"/>
            <w:noWrap/>
            <w:hideMark/>
          </w:tcPr>
          <w:p w14:paraId="35DCBE00"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(131)</w:t>
            </w:r>
          </w:p>
        </w:tc>
        <w:tc>
          <w:tcPr>
            <w:tcW w:w="1253" w:type="dxa"/>
            <w:shd w:val="clear" w:color="auto" w:fill="auto"/>
            <w:noWrap/>
            <w:hideMark/>
          </w:tcPr>
          <w:p w14:paraId="7071CE14"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(10,108)</w:t>
            </w:r>
          </w:p>
        </w:tc>
        <w:tc>
          <w:tcPr>
            <w:tcW w:w="1253" w:type="dxa"/>
            <w:shd w:val="clear" w:color="auto" w:fill="auto"/>
            <w:noWrap/>
            <w:hideMark/>
          </w:tcPr>
          <w:p w14:paraId="58FBCB6D"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(2,306)</w:t>
            </w:r>
          </w:p>
        </w:tc>
        <w:tc>
          <w:tcPr>
            <w:tcW w:w="1253" w:type="dxa"/>
            <w:shd w:val="clear" w:color="auto" w:fill="auto"/>
            <w:noWrap/>
            <w:hideMark/>
          </w:tcPr>
          <w:p w14:paraId="4EB7FFAB"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(10,982)</w:t>
            </w:r>
          </w:p>
        </w:tc>
        <w:tc>
          <w:tcPr>
            <w:tcW w:w="1253" w:type="dxa"/>
            <w:shd w:val="clear" w:color="auto" w:fill="auto"/>
            <w:noWrap/>
            <w:hideMark/>
          </w:tcPr>
          <w:p w14:paraId="03D8329E"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(3,024)</w:t>
            </w:r>
          </w:p>
        </w:tc>
      </w:tr>
      <w:tr w:rsidR="004810E3" w:rsidRPr="00020050" w14:paraId="1B7CD690" w14:textId="77777777" w:rsidTr="00DE75F7">
        <w:trPr>
          <w:trHeight w:val="340"/>
        </w:trPr>
        <w:tc>
          <w:tcPr>
            <w:tcW w:w="2407" w:type="dxa"/>
            <w:shd w:val="clear" w:color="auto" w:fill="auto"/>
            <w:noWrap/>
            <w:vAlign w:val="center"/>
            <w:hideMark/>
          </w:tcPr>
          <w:p w14:paraId="4EEC726C" w14:textId="77777777" w:rsidR="004810E3" w:rsidRPr="00020050" w:rsidRDefault="004810E3" w:rsidP="004810E3">
            <w:pPr>
              <w:pStyle w:val="TableTextLeftBold"/>
              <w:rPr>
                <w:rFonts w:ascii="Arial" w:hAnsi="Arial" w:cs="Arial"/>
                <w:sz w:val="24"/>
                <w:szCs w:val="24"/>
              </w:rPr>
            </w:pPr>
            <w:r w:rsidRPr="00020050">
              <w:rPr>
                <w:rFonts w:ascii="Arial" w:hAnsi="Arial" w:cs="Arial"/>
                <w:sz w:val="24"/>
                <w:szCs w:val="24"/>
              </w:rPr>
              <w:t>Net result</w:t>
            </w:r>
          </w:p>
        </w:tc>
        <w:tc>
          <w:tcPr>
            <w:tcW w:w="1252" w:type="dxa"/>
            <w:shd w:val="clear" w:color="auto" w:fill="auto"/>
            <w:noWrap/>
            <w:vAlign w:val="center"/>
            <w:hideMark/>
          </w:tcPr>
          <w:p w14:paraId="5FEE8701"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(382,097)</w:t>
            </w:r>
          </w:p>
        </w:tc>
        <w:tc>
          <w:tcPr>
            <w:tcW w:w="1252" w:type="dxa"/>
            <w:shd w:val="clear" w:color="auto" w:fill="auto"/>
            <w:noWrap/>
            <w:vAlign w:val="center"/>
            <w:hideMark/>
          </w:tcPr>
          <w:p w14:paraId="5CBE0F2C"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(20,721)</w:t>
            </w:r>
          </w:p>
        </w:tc>
        <w:tc>
          <w:tcPr>
            <w:tcW w:w="1253" w:type="dxa"/>
            <w:shd w:val="clear" w:color="auto" w:fill="auto"/>
            <w:noWrap/>
            <w:vAlign w:val="center"/>
            <w:hideMark/>
          </w:tcPr>
          <w:p w14:paraId="0258F4B6"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(95,188)</w:t>
            </w:r>
          </w:p>
        </w:tc>
        <w:tc>
          <w:tcPr>
            <w:tcW w:w="1253" w:type="dxa"/>
            <w:shd w:val="clear" w:color="auto" w:fill="auto"/>
            <w:noWrap/>
            <w:vAlign w:val="center"/>
            <w:hideMark/>
          </w:tcPr>
          <w:p w14:paraId="29B0A8E9"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(56,827)</w:t>
            </w:r>
          </w:p>
        </w:tc>
        <w:tc>
          <w:tcPr>
            <w:tcW w:w="1253" w:type="dxa"/>
            <w:shd w:val="clear" w:color="auto" w:fill="auto"/>
            <w:noWrap/>
            <w:vAlign w:val="center"/>
            <w:hideMark/>
          </w:tcPr>
          <w:p w14:paraId="794CAE5D"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(37,588)</w:t>
            </w:r>
          </w:p>
        </w:tc>
        <w:tc>
          <w:tcPr>
            <w:tcW w:w="1253" w:type="dxa"/>
            <w:shd w:val="clear" w:color="auto" w:fill="auto"/>
            <w:noWrap/>
            <w:vAlign w:val="center"/>
            <w:hideMark/>
          </w:tcPr>
          <w:p w14:paraId="0DCA0DB7" w14:textId="77777777" w:rsidR="004810E3" w:rsidRPr="00020050" w:rsidRDefault="004810E3" w:rsidP="004810E3">
            <w:pPr>
              <w:jc w:val="right"/>
              <w:rPr>
                <w:rFonts w:ascii="Arial" w:hAnsi="Arial" w:cs="Arial"/>
                <w:b/>
                <w:sz w:val="24"/>
                <w:szCs w:val="24"/>
              </w:rPr>
            </w:pPr>
            <w:r w:rsidRPr="00020050">
              <w:rPr>
                <w:rFonts w:ascii="Arial" w:hAnsi="Arial" w:cs="Arial"/>
                <w:b/>
                <w:sz w:val="24"/>
                <w:szCs w:val="24"/>
              </w:rPr>
              <w:t>(8,899)</w:t>
            </w:r>
          </w:p>
        </w:tc>
      </w:tr>
      <w:tr w:rsidR="004810E3" w:rsidRPr="00020050" w14:paraId="1B2E34FA" w14:textId="77777777" w:rsidTr="00DE75F7">
        <w:trPr>
          <w:trHeight w:val="340"/>
        </w:trPr>
        <w:tc>
          <w:tcPr>
            <w:tcW w:w="2407" w:type="dxa"/>
            <w:shd w:val="clear" w:color="auto" w:fill="auto"/>
            <w:noWrap/>
            <w:vAlign w:val="center"/>
            <w:hideMark/>
          </w:tcPr>
          <w:p w14:paraId="1F4004D1" w14:textId="77777777" w:rsidR="004810E3" w:rsidRPr="00020050" w:rsidRDefault="004810E3" w:rsidP="004810E3">
            <w:pPr>
              <w:pStyle w:val="TableTextGreen"/>
            </w:pPr>
            <w:r w:rsidRPr="00020050">
              <w:t>Items that will not be reclassified to net result</w:t>
            </w:r>
          </w:p>
        </w:tc>
        <w:tc>
          <w:tcPr>
            <w:tcW w:w="1252" w:type="dxa"/>
            <w:shd w:val="clear" w:color="auto" w:fill="auto"/>
            <w:noWrap/>
            <w:vAlign w:val="center"/>
            <w:hideMark/>
          </w:tcPr>
          <w:p w14:paraId="760589BC" w14:textId="77777777" w:rsidR="004810E3" w:rsidRPr="00020050" w:rsidRDefault="004810E3" w:rsidP="004810E3">
            <w:pPr>
              <w:jc w:val="right"/>
              <w:rPr>
                <w:rFonts w:ascii="Arial" w:hAnsi="Arial" w:cs="Arial"/>
                <w:b/>
                <w:sz w:val="24"/>
                <w:szCs w:val="24"/>
              </w:rPr>
            </w:pPr>
          </w:p>
        </w:tc>
        <w:tc>
          <w:tcPr>
            <w:tcW w:w="1252" w:type="dxa"/>
            <w:shd w:val="clear" w:color="auto" w:fill="auto"/>
            <w:noWrap/>
            <w:vAlign w:val="center"/>
            <w:hideMark/>
          </w:tcPr>
          <w:p w14:paraId="4D81D9E5" w14:textId="77777777" w:rsidR="004810E3" w:rsidRPr="00020050" w:rsidRDefault="004810E3" w:rsidP="004810E3">
            <w:pPr>
              <w:jc w:val="right"/>
              <w:rPr>
                <w:rFonts w:ascii="Arial" w:hAnsi="Arial" w:cs="Arial"/>
                <w:b/>
                <w:sz w:val="24"/>
                <w:szCs w:val="24"/>
              </w:rPr>
            </w:pPr>
          </w:p>
        </w:tc>
        <w:tc>
          <w:tcPr>
            <w:tcW w:w="1253" w:type="dxa"/>
            <w:shd w:val="clear" w:color="auto" w:fill="auto"/>
            <w:noWrap/>
            <w:vAlign w:val="center"/>
            <w:hideMark/>
          </w:tcPr>
          <w:p w14:paraId="099115EA" w14:textId="77777777" w:rsidR="004810E3" w:rsidRPr="00020050" w:rsidRDefault="004810E3" w:rsidP="004810E3">
            <w:pPr>
              <w:jc w:val="right"/>
              <w:rPr>
                <w:rFonts w:ascii="Arial" w:hAnsi="Arial" w:cs="Arial"/>
                <w:b/>
                <w:sz w:val="24"/>
                <w:szCs w:val="24"/>
              </w:rPr>
            </w:pPr>
          </w:p>
        </w:tc>
        <w:tc>
          <w:tcPr>
            <w:tcW w:w="1253" w:type="dxa"/>
            <w:shd w:val="clear" w:color="auto" w:fill="auto"/>
            <w:noWrap/>
            <w:vAlign w:val="center"/>
            <w:hideMark/>
          </w:tcPr>
          <w:p w14:paraId="1E025ED1" w14:textId="77777777" w:rsidR="004810E3" w:rsidRPr="00020050" w:rsidRDefault="004810E3" w:rsidP="004810E3">
            <w:pPr>
              <w:jc w:val="right"/>
              <w:rPr>
                <w:rFonts w:ascii="Arial" w:hAnsi="Arial" w:cs="Arial"/>
                <w:b/>
                <w:sz w:val="24"/>
                <w:szCs w:val="24"/>
              </w:rPr>
            </w:pPr>
          </w:p>
        </w:tc>
        <w:tc>
          <w:tcPr>
            <w:tcW w:w="1253" w:type="dxa"/>
            <w:shd w:val="clear" w:color="auto" w:fill="auto"/>
            <w:noWrap/>
            <w:vAlign w:val="center"/>
            <w:hideMark/>
          </w:tcPr>
          <w:p w14:paraId="5BFC433A" w14:textId="77777777" w:rsidR="004810E3" w:rsidRPr="00020050" w:rsidRDefault="004810E3" w:rsidP="004810E3">
            <w:pPr>
              <w:jc w:val="right"/>
              <w:rPr>
                <w:rFonts w:ascii="Arial" w:hAnsi="Arial" w:cs="Arial"/>
                <w:b/>
                <w:sz w:val="24"/>
                <w:szCs w:val="24"/>
              </w:rPr>
            </w:pPr>
          </w:p>
        </w:tc>
        <w:tc>
          <w:tcPr>
            <w:tcW w:w="1253" w:type="dxa"/>
            <w:shd w:val="clear" w:color="auto" w:fill="auto"/>
            <w:noWrap/>
            <w:vAlign w:val="center"/>
            <w:hideMark/>
          </w:tcPr>
          <w:p w14:paraId="77ABF6F6" w14:textId="77777777" w:rsidR="004810E3" w:rsidRPr="00020050" w:rsidRDefault="004810E3" w:rsidP="004810E3">
            <w:pPr>
              <w:jc w:val="right"/>
              <w:rPr>
                <w:rFonts w:ascii="Arial" w:hAnsi="Arial" w:cs="Arial"/>
                <w:b/>
                <w:sz w:val="24"/>
                <w:szCs w:val="24"/>
              </w:rPr>
            </w:pPr>
          </w:p>
        </w:tc>
      </w:tr>
      <w:tr w:rsidR="004810E3" w:rsidRPr="00020050" w14:paraId="574419F5" w14:textId="77777777" w:rsidTr="00DE75F7">
        <w:trPr>
          <w:trHeight w:val="340"/>
        </w:trPr>
        <w:tc>
          <w:tcPr>
            <w:tcW w:w="2407" w:type="dxa"/>
            <w:shd w:val="clear" w:color="auto" w:fill="auto"/>
            <w:noWrap/>
            <w:vAlign w:val="center"/>
            <w:hideMark/>
          </w:tcPr>
          <w:p w14:paraId="56B32D2A" w14:textId="77777777" w:rsidR="004810E3" w:rsidRPr="00020050" w:rsidRDefault="004810E3" w:rsidP="004810E3">
            <w:pPr>
              <w:rPr>
                <w:rFonts w:ascii="Arial" w:hAnsi="Arial" w:cs="Arial"/>
                <w:sz w:val="24"/>
                <w:szCs w:val="24"/>
              </w:rPr>
            </w:pPr>
            <w:r w:rsidRPr="00020050">
              <w:rPr>
                <w:rFonts w:ascii="Arial" w:hAnsi="Arial" w:cs="Arial"/>
                <w:sz w:val="24"/>
                <w:szCs w:val="24"/>
              </w:rPr>
              <w:t>Changes in physical asset revaluation surplus</w:t>
            </w:r>
          </w:p>
        </w:tc>
        <w:tc>
          <w:tcPr>
            <w:tcW w:w="1252" w:type="dxa"/>
            <w:shd w:val="clear" w:color="auto" w:fill="auto"/>
            <w:noWrap/>
            <w:hideMark/>
          </w:tcPr>
          <w:p w14:paraId="32D89600"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88,340 </w:t>
            </w:r>
          </w:p>
        </w:tc>
        <w:tc>
          <w:tcPr>
            <w:tcW w:w="1252" w:type="dxa"/>
            <w:shd w:val="clear" w:color="auto" w:fill="auto"/>
            <w:noWrap/>
            <w:hideMark/>
          </w:tcPr>
          <w:p w14:paraId="39FF4D80"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c>
          <w:tcPr>
            <w:tcW w:w="1253" w:type="dxa"/>
            <w:shd w:val="clear" w:color="auto" w:fill="auto"/>
            <w:noWrap/>
            <w:hideMark/>
          </w:tcPr>
          <w:p w14:paraId="124CF6A1"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238,965 </w:t>
            </w:r>
          </w:p>
        </w:tc>
        <w:tc>
          <w:tcPr>
            <w:tcW w:w="1253" w:type="dxa"/>
            <w:shd w:val="clear" w:color="auto" w:fill="auto"/>
            <w:noWrap/>
            <w:hideMark/>
          </w:tcPr>
          <w:p w14:paraId="2D9E2AC6"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c>
          <w:tcPr>
            <w:tcW w:w="1253" w:type="dxa"/>
            <w:shd w:val="clear" w:color="auto" w:fill="auto"/>
            <w:noWrap/>
            <w:hideMark/>
          </w:tcPr>
          <w:p w14:paraId="27DBAED2" w14:textId="77777777" w:rsidR="004810E3" w:rsidRPr="00020050" w:rsidRDefault="004810E3" w:rsidP="004810E3">
            <w:pPr>
              <w:jc w:val="right"/>
              <w:rPr>
                <w:rFonts w:ascii="Arial" w:hAnsi="Arial" w:cs="Arial"/>
                <w:sz w:val="24"/>
                <w:szCs w:val="24"/>
              </w:rPr>
            </w:pPr>
            <w:r w:rsidRPr="00020050">
              <w:rPr>
                <w:rFonts w:ascii="Arial" w:hAnsi="Arial" w:cs="Arial"/>
                <w:sz w:val="24"/>
                <w:szCs w:val="24"/>
              </w:rPr>
              <w:t xml:space="preserve">11,099 </w:t>
            </w:r>
          </w:p>
        </w:tc>
        <w:tc>
          <w:tcPr>
            <w:tcW w:w="1253" w:type="dxa"/>
            <w:shd w:val="clear" w:color="auto" w:fill="auto"/>
            <w:noWrap/>
            <w:hideMark/>
          </w:tcPr>
          <w:p w14:paraId="31CE6D4E" w14:textId="77777777" w:rsidR="004810E3" w:rsidRPr="00020050" w:rsidRDefault="004810E3" w:rsidP="004810E3">
            <w:pPr>
              <w:jc w:val="right"/>
              <w:rPr>
                <w:rFonts w:ascii="Arial" w:hAnsi="Arial" w:cs="Arial"/>
                <w:sz w:val="24"/>
                <w:szCs w:val="24"/>
              </w:rPr>
            </w:pPr>
            <w:r w:rsidRPr="00020050">
              <w:rPr>
                <w:rFonts w:ascii="Arial" w:hAnsi="Arial" w:cs="Arial"/>
                <w:b/>
                <w:sz w:val="24"/>
                <w:szCs w:val="24"/>
              </w:rPr>
              <w:t>-</w:t>
            </w:r>
          </w:p>
        </w:tc>
      </w:tr>
      <w:tr w:rsidR="004810E3" w:rsidRPr="00020050" w14:paraId="46957298" w14:textId="77777777" w:rsidTr="00DE75F7">
        <w:trPr>
          <w:trHeight w:val="340"/>
        </w:trPr>
        <w:tc>
          <w:tcPr>
            <w:tcW w:w="2407" w:type="dxa"/>
            <w:tcBorders>
              <w:bottom w:val="single" w:sz="4" w:space="0" w:color="auto"/>
            </w:tcBorders>
            <w:shd w:val="clear" w:color="auto" w:fill="auto"/>
            <w:vAlign w:val="center"/>
            <w:hideMark/>
          </w:tcPr>
          <w:p w14:paraId="6AA4B6ED" w14:textId="77777777" w:rsidR="004810E3" w:rsidRPr="00020050" w:rsidRDefault="004810E3" w:rsidP="004810E3">
            <w:pPr>
              <w:pStyle w:val="TableTextLeftBold"/>
              <w:rPr>
                <w:rFonts w:ascii="Arial" w:hAnsi="Arial" w:cs="Arial"/>
                <w:sz w:val="24"/>
                <w:szCs w:val="24"/>
              </w:rPr>
            </w:pPr>
            <w:r w:rsidRPr="00020050">
              <w:rPr>
                <w:rFonts w:ascii="Arial" w:hAnsi="Arial" w:cs="Arial"/>
                <w:sz w:val="24"/>
                <w:szCs w:val="24"/>
              </w:rPr>
              <w:t>Total other economic flows - other comprehensive income</w:t>
            </w:r>
          </w:p>
        </w:tc>
        <w:tc>
          <w:tcPr>
            <w:tcW w:w="1252" w:type="dxa"/>
            <w:tcBorders>
              <w:bottom w:val="single" w:sz="4" w:space="0" w:color="auto"/>
            </w:tcBorders>
            <w:shd w:val="clear" w:color="auto" w:fill="auto"/>
            <w:noWrap/>
            <w:hideMark/>
          </w:tcPr>
          <w:p w14:paraId="4C0A83A7" w14:textId="77777777" w:rsidR="004810E3" w:rsidRPr="00020050" w:rsidRDefault="004810E3" w:rsidP="004810E3">
            <w:pPr>
              <w:pStyle w:val="TableTextRightBold"/>
              <w:rPr>
                <w:rFonts w:ascii="Arial" w:hAnsi="Arial" w:cs="Arial"/>
                <w:sz w:val="24"/>
                <w:szCs w:val="24"/>
              </w:rPr>
            </w:pPr>
            <w:r w:rsidRPr="00020050">
              <w:rPr>
                <w:rFonts w:ascii="Arial" w:hAnsi="Arial" w:cs="Arial"/>
                <w:sz w:val="24"/>
                <w:szCs w:val="24"/>
              </w:rPr>
              <w:t xml:space="preserve">88,340 </w:t>
            </w:r>
          </w:p>
        </w:tc>
        <w:tc>
          <w:tcPr>
            <w:tcW w:w="1252" w:type="dxa"/>
            <w:tcBorders>
              <w:bottom w:val="single" w:sz="4" w:space="0" w:color="auto"/>
            </w:tcBorders>
            <w:shd w:val="clear" w:color="auto" w:fill="auto"/>
            <w:noWrap/>
            <w:hideMark/>
          </w:tcPr>
          <w:p w14:paraId="4A698A8A" w14:textId="77777777" w:rsidR="004810E3" w:rsidRPr="00020050" w:rsidRDefault="004810E3" w:rsidP="004810E3">
            <w:pPr>
              <w:pStyle w:val="TableTextRightBold"/>
              <w:rPr>
                <w:rFonts w:ascii="Arial" w:hAnsi="Arial" w:cs="Arial"/>
                <w:sz w:val="24"/>
                <w:szCs w:val="24"/>
              </w:rPr>
            </w:pPr>
            <w:r w:rsidRPr="00020050">
              <w:rPr>
                <w:rFonts w:ascii="Arial" w:hAnsi="Arial" w:cs="Arial"/>
                <w:sz w:val="24"/>
                <w:szCs w:val="24"/>
              </w:rPr>
              <w:t>-</w:t>
            </w:r>
          </w:p>
        </w:tc>
        <w:tc>
          <w:tcPr>
            <w:tcW w:w="1253" w:type="dxa"/>
            <w:tcBorders>
              <w:bottom w:val="single" w:sz="4" w:space="0" w:color="auto"/>
            </w:tcBorders>
            <w:shd w:val="clear" w:color="auto" w:fill="auto"/>
            <w:noWrap/>
            <w:hideMark/>
          </w:tcPr>
          <w:p w14:paraId="4DF4A70D" w14:textId="77777777" w:rsidR="004810E3" w:rsidRPr="00020050" w:rsidRDefault="004810E3" w:rsidP="004810E3">
            <w:pPr>
              <w:pStyle w:val="TableTextRightBold"/>
              <w:rPr>
                <w:rFonts w:ascii="Arial" w:hAnsi="Arial" w:cs="Arial"/>
                <w:sz w:val="24"/>
                <w:szCs w:val="24"/>
              </w:rPr>
            </w:pPr>
            <w:r w:rsidRPr="00020050">
              <w:rPr>
                <w:rFonts w:ascii="Arial" w:hAnsi="Arial" w:cs="Arial"/>
                <w:sz w:val="24"/>
                <w:szCs w:val="24"/>
              </w:rPr>
              <w:t xml:space="preserve">238,965 </w:t>
            </w:r>
          </w:p>
        </w:tc>
        <w:tc>
          <w:tcPr>
            <w:tcW w:w="1253" w:type="dxa"/>
            <w:tcBorders>
              <w:bottom w:val="single" w:sz="4" w:space="0" w:color="auto"/>
            </w:tcBorders>
            <w:shd w:val="clear" w:color="auto" w:fill="auto"/>
            <w:noWrap/>
            <w:hideMark/>
          </w:tcPr>
          <w:p w14:paraId="3DB96C2C" w14:textId="77777777" w:rsidR="004810E3" w:rsidRPr="00020050" w:rsidRDefault="004810E3" w:rsidP="004810E3">
            <w:pPr>
              <w:pStyle w:val="TableTextRightBold"/>
              <w:rPr>
                <w:rFonts w:ascii="Arial" w:hAnsi="Arial" w:cs="Arial"/>
                <w:sz w:val="24"/>
                <w:szCs w:val="24"/>
              </w:rPr>
            </w:pPr>
            <w:r w:rsidRPr="00020050">
              <w:rPr>
                <w:rFonts w:ascii="Arial" w:hAnsi="Arial" w:cs="Arial"/>
                <w:sz w:val="24"/>
                <w:szCs w:val="24"/>
              </w:rPr>
              <w:t>-</w:t>
            </w:r>
          </w:p>
        </w:tc>
        <w:tc>
          <w:tcPr>
            <w:tcW w:w="1253" w:type="dxa"/>
            <w:tcBorders>
              <w:bottom w:val="single" w:sz="4" w:space="0" w:color="auto"/>
            </w:tcBorders>
            <w:shd w:val="clear" w:color="auto" w:fill="auto"/>
            <w:noWrap/>
            <w:hideMark/>
          </w:tcPr>
          <w:p w14:paraId="0D77B4A5" w14:textId="77777777" w:rsidR="004810E3" w:rsidRPr="00020050" w:rsidRDefault="004810E3" w:rsidP="004810E3">
            <w:pPr>
              <w:pStyle w:val="TableTextRightBold"/>
              <w:rPr>
                <w:rFonts w:ascii="Arial" w:hAnsi="Arial" w:cs="Arial"/>
                <w:sz w:val="24"/>
                <w:szCs w:val="24"/>
              </w:rPr>
            </w:pPr>
            <w:r w:rsidRPr="00020050">
              <w:rPr>
                <w:rFonts w:ascii="Arial" w:hAnsi="Arial" w:cs="Arial"/>
                <w:sz w:val="24"/>
                <w:szCs w:val="24"/>
              </w:rPr>
              <w:t xml:space="preserve">11,099 </w:t>
            </w:r>
          </w:p>
        </w:tc>
        <w:tc>
          <w:tcPr>
            <w:tcW w:w="1253" w:type="dxa"/>
            <w:tcBorders>
              <w:bottom w:val="single" w:sz="4" w:space="0" w:color="auto"/>
            </w:tcBorders>
            <w:shd w:val="clear" w:color="auto" w:fill="auto"/>
            <w:noWrap/>
            <w:hideMark/>
          </w:tcPr>
          <w:p w14:paraId="4459DD8E" w14:textId="77777777" w:rsidR="004810E3" w:rsidRPr="00020050" w:rsidRDefault="004810E3" w:rsidP="004810E3">
            <w:pPr>
              <w:pStyle w:val="TableTextRightBold"/>
              <w:rPr>
                <w:rFonts w:ascii="Arial" w:hAnsi="Arial" w:cs="Arial"/>
                <w:sz w:val="24"/>
                <w:szCs w:val="24"/>
              </w:rPr>
            </w:pPr>
            <w:r w:rsidRPr="00020050">
              <w:rPr>
                <w:rFonts w:ascii="Arial" w:hAnsi="Arial" w:cs="Arial"/>
                <w:sz w:val="24"/>
                <w:szCs w:val="24"/>
              </w:rPr>
              <w:t>-</w:t>
            </w:r>
          </w:p>
        </w:tc>
      </w:tr>
      <w:tr w:rsidR="004810E3" w:rsidRPr="00020050" w14:paraId="755472A4" w14:textId="77777777" w:rsidTr="00DE75F7">
        <w:trPr>
          <w:trHeight w:val="340"/>
        </w:trPr>
        <w:tc>
          <w:tcPr>
            <w:tcW w:w="2407" w:type="dxa"/>
            <w:tcBorders>
              <w:bottom w:val="single" w:sz="4" w:space="0" w:color="auto"/>
            </w:tcBorders>
            <w:shd w:val="clear" w:color="auto" w:fill="auto"/>
            <w:noWrap/>
            <w:vAlign w:val="center"/>
            <w:hideMark/>
          </w:tcPr>
          <w:p w14:paraId="6E59FB2C" w14:textId="77777777" w:rsidR="004810E3" w:rsidRPr="00020050" w:rsidRDefault="004810E3" w:rsidP="004810E3">
            <w:pPr>
              <w:pStyle w:val="TableTextLeftBold"/>
              <w:rPr>
                <w:rFonts w:ascii="Arial" w:hAnsi="Arial" w:cs="Arial"/>
                <w:sz w:val="24"/>
                <w:szCs w:val="24"/>
              </w:rPr>
            </w:pPr>
            <w:r w:rsidRPr="00020050">
              <w:rPr>
                <w:rFonts w:ascii="Arial" w:hAnsi="Arial" w:cs="Arial"/>
                <w:sz w:val="24"/>
                <w:szCs w:val="24"/>
              </w:rPr>
              <w:t>Comprehensive result</w:t>
            </w:r>
          </w:p>
        </w:tc>
        <w:tc>
          <w:tcPr>
            <w:tcW w:w="1252" w:type="dxa"/>
            <w:tcBorders>
              <w:bottom w:val="single" w:sz="4" w:space="0" w:color="auto"/>
            </w:tcBorders>
            <w:shd w:val="clear" w:color="auto" w:fill="auto"/>
            <w:noWrap/>
            <w:vAlign w:val="center"/>
            <w:hideMark/>
          </w:tcPr>
          <w:p w14:paraId="0D05AB8B" w14:textId="77777777" w:rsidR="004810E3" w:rsidRPr="00020050" w:rsidRDefault="004810E3" w:rsidP="004810E3">
            <w:pPr>
              <w:pStyle w:val="TableTextRightBold"/>
              <w:rPr>
                <w:rFonts w:ascii="Arial" w:hAnsi="Arial" w:cs="Arial"/>
                <w:sz w:val="24"/>
                <w:szCs w:val="24"/>
              </w:rPr>
            </w:pPr>
            <w:r w:rsidRPr="00020050">
              <w:rPr>
                <w:rFonts w:ascii="Arial" w:hAnsi="Arial" w:cs="Arial"/>
                <w:sz w:val="24"/>
                <w:szCs w:val="24"/>
              </w:rPr>
              <w:t>(293,757)</w:t>
            </w:r>
          </w:p>
        </w:tc>
        <w:tc>
          <w:tcPr>
            <w:tcW w:w="1252" w:type="dxa"/>
            <w:tcBorders>
              <w:bottom w:val="single" w:sz="4" w:space="0" w:color="auto"/>
            </w:tcBorders>
            <w:shd w:val="clear" w:color="auto" w:fill="auto"/>
            <w:noWrap/>
            <w:vAlign w:val="center"/>
            <w:hideMark/>
          </w:tcPr>
          <w:p w14:paraId="2D929DFB" w14:textId="77777777" w:rsidR="004810E3" w:rsidRPr="00020050" w:rsidRDefault="004810E3" w:rsidP="004810E3">
            <w:pPr>
              <w:pStyle w:val="TableTextRightBold"/>
              <w:rPr>
                <w:rFonts w:ascii="Arial" w:hAnsi="Arial" w:cs="Arial"/>
                <w:sz w:val="24"/>
                <w:szCs w:val="24"/>
              </w:rPr>
            </w:pPr>
            <w:r w:rsidRPr="00020050">
              <w:rPr>
                <w:rFonts w:ascii="Arial" w:hAnsi="Arial" w:cs="Arial"/>
                <w:sz w:val="24"/>
                <w:szCs w:val="24"/>
              </w:rPr>
              <w:t>(20,721)</w:t>
            </w:r>
          </w:p>
        </w:tc>
        <w:tc>
          <w:tcPr>
            <w:tcW w:w="1253" w:type="dxa"/>
            <w:tcBorders>
              <w:bottom w:val="single" w:sz="4" w:space="0" w:color="auto"/>
            </w:tcBorders>
            <w:shd w:val="clear" w:color="auto" w:fill="auto"/>
            <w:noWrap/>
            <w:vAlign w:val="center"/>
            <w:hideMark/>
          </w:tcPr>
          <w:p w14:paraId="6CC37FA5" w14:textId="77777777" w:rsidR="004810E3" w:rsidRPr="00020050" w:rsidRDefault="004810E3" w:rsidP="004810E3">
            <w:pPr>
              <w:pStyle w:val="TableTextRightBold"/>
              <w:rPr>
                <w:rFonts w:ascii="Arial" w:hAnsi="Arial" w:cs="Arial"/>
                <w:sz w:val="24"/>
                <w:szCs w:val="24"/>
              </w:rPr>
            </w:pPr>
            <w:r w:rsidRPr="00020050">
              <w:rPr>
                <w:rFonts w:ascii="Arial" w:hAnsi="Arial" w:cs="Arial"/>
                <w:sz w:val="24"/>
                <w:szCs w:val="24"/>
              </w:rPr>
              <w:t xml:space="preserve">143,777 </w:t>
            </w:r>
          </w:p>
        </w:tc>
        <w:tc>
          <w:tcPr>
            <w:tcW w:w="1253" w:type="dxa"/>
            <w:tcBorders>
              <w:bottom w:val="single" w:sz="4" w:space="0" w:color="auto"/>
            </w:tcBorders>
            <w:shd w:val="clear" w:color="auto" w:fill="auto"/>
            <w:noWrap/>
            <w:vAlign w:val="center"/>
            <w:hideMark/>
          </w:tcPr>
          <w:p w14:paraId="2304D880" w14:textId="77777777" w:rsidR="004810E3" w:rsidRPr="00020050" w:rsidRDefault="004810E3" w:rsidP="004810E3">
            <w:pPr>
              <w:pStyle w:val="TableTextRightBold"/>
              <w:rPr>
                <w:rFonts w:ascii="Arial" w:hAnsi="Arial" w:cs="Arial"/>
                <w:sz w:val="24"/>
                <w:szCs w:val="24"/>
              </w:rPr>
            </w:pPr>
            <w:r w:rsidRPr="00020050">
              <w:rPr>
                <w:rFonts w:ascii="Arial" w:hAnsi="Arial" w:cs="Arial"/>
                <w:sz w:val="24"/>
                <w:szCs w:val="24"/>
              </w:rPr>
              <w:t>(56,827)</w:t>
            </w:r>
          </w:p>
        </w:tc>
        <w:tc>
          <w:tcPr>
            <w:tcW w:w="1253" w:type="dxa"/>
            <w:tcBorders>
              <w:bottom w:val="single" w:sz="4" w:space="0" w:color="auto"/>
            </w:tcBorders>
            <w:shd w:val="clear" w:color="auto" w:fill="auto"/>
            <w:noWrap/>
            <w:vAlign w:val="center"/>
            <w:hideMark/>
          </w:tcPr>
          <w:p w14:paraId="0BF26E36" w14:textId="77777777" w:rsidR="004810E3" w:rsidRPr="00020050" w:rsidRDefault="004810E3" w:rsidP="004810E3">
            <w:pPr>
              <w:pStyle w:val="TableTextRightBold"/>
              <w:rPr>
                <w:rFonts w:ascii="Arial" w:hAnsi="Arial" w:cs="Arial"/>
                <w:sz w:val="24"/>
                <w:szCs w:val="24"/>
              </w:rPr>
            </w:pPr>
            <w:r w:rsidRPr="00020050">
              <w:rPr>
                <w:rFonts w:ascii="Arial" w:hAnsi="Arial" w:cs="Arial"/>
                <w:sz w:val="24"/>
                <w:szCs w:val="24"/>
              </w:rPr>
              <w:t>(26,489)</w:t>
            </w:r>
          </w:p>
        </w:tc>
        <w:tc>
          <w:tcPr>
            <w:tcW w:w="1253" w:type="dxa"/>
            <w:tcBorders>
              <w:bottom w:val="single" w:sz="4" w:space="0" w:color="auto"/>
            </w:tcBorders>
            <w:shd w:val="clear" w:color="auto" w:fill="auto"/>
            <w:noWrap/>
            <w:vAlign w:val="center"/>
            <w:hideMark/>
          </w:tcPr>
          <w:p w14:paraId="6E7ABA92" w14:textId="77777777" w:rsidR="004810E3" w:rsidRPr="00020050" w:rsidRDefault="004810E3" w:rsidP="004810E3">
            <w:pPr>
              <w:pStyle w:val="TableTextRightBold"/>
              <w:rPr>
                <w:rFonts w:ascii="Arial" w:hAnsi="Arial" w:cs="Arial"/>
                <w:sz w:val="24"/>
                <w:szCs w:val="24"/>
              </w:rPr>
            </w:pPr>
            <w:r w:rsidRPr="00020050">
              <w:rPr>
                <w:rFonts w:ascii="Arial" w:hAnsi="Arial" w:cs="Arial"/>
                <w:sz w:val="24"/>
                <w:szCs w:val="24"/>
              </w:rPr>
              <w:t>(8,899)</w:t>
            </w:r>
          </w:p>
        </w:tc>
      </w:tr>
    </w:tbl>
    <w:p w14:paraId="2FAE0CCF" w14:textId="77777777" w:rsidR="00E70ED8" w:rsidRPr="00020050" w:rsidRDefault="00E70ED8" w:rsidP="00E70ED8">
      <w:pPr>
        <w:pStyle w:val="Note"/>
        <w:rPr>
          <w:rFonts w:ascii="Arial" w:hAnsi="Arial" w:cs="Arial"/>
          <w:sz w:val="24"/>
          <w:szCs w:val="24"/>
        </w:rPr>
      </w:pPr>
      <w:bookmarkStart w:id="207" w:name="RANGE!H3:N39"/>
      <w:bookmarkStart w:id="208" w:name="RANGE!H3:N35"/>
      <w:bookmarkEnd w:id="207"/>
      <w:bookmarkEnd w:id="208"/>
      <w:r w:rsidRPr="00020050">
        <w:rPr>
          <w:rFonts w:ascii="Arial" w:hAnsi="Arial" w:cs="Arial"/>
          <w:sz w:val="24"/>
          <w:szCs w:val="24"/>
        </w:rPr>
        <w:t>Note:</w:t>
      </w:r>
    </w:p>
    <w:p w14:paraId="432E2DC7" w14:textId="77777777" w:rsidR="00E70ED8" w:rsidRPr="00020050" w:rsidRDefault="00E70ED8" w:rsidP="00610F5F">
      <w:pPr>
        <w:pStyle w:val="aaaNotenumberiiiiii"/>
        <w:numPr>
          <w:ilvl w:val="0"/>
          <w:numId w:val="78"/>
        </w:numPr>
      </w:pPr>
      <w:r w:rsidRPr="00020050">
        <w:t>The 2019 comparatives figures have been restated to reflect the adoption of AASB 1059, refer to Note 9.6.5.1 for further details.</w:t>
      </w:r>
    </w:p>
    <w:p w14:paraId="06886BC1" w14:textId="77777777" w:rsidR="003E5BF5" w:rsidRDefault="003E5BF5" w:rsidP="00DE1921">
      <w:pPr>
        <w:spacing w:after="0"/>
      </w:pPr>
    </w:p>
    <w:p w14:paraId="568C5AC8" w14:textId="77777777" w:rsidR="00E70ED8" w:rsidRDefault="00E70ED8" w:rsidP="00DE1921">
      <w:pPr>
        <w:spacing w:after="0"/>
      </w:pPr>
    </w:p>
    <w:p w14:paraId="0F1CBB30" w14:textId="77777777" w:rsidR="00E70ED8" w:rsidRDefault="00E70ED8" w:rsidP="00DE1921">
      <w:pPr>
        <w:spacing w:after="0"/>
      </w:pPr>
    </w:p>
    <w:p w14:paraId="496038EF" w14:textId="61838F49" w:rsidR="00E70ED8" w:rsidRDefault="00E70ED8" w:rsidP="00DE1921">
      <w:pPr>
        <w:spacing w:after="0"/>
        <w:sectPr w:rsidR="00E70ED8" w:rsidSect="00E05C1F">
          <w:type w:val="continuous"/>
          <w:pgSz w:w="11906" w:h="16838" w:code="9"/>
          <w:pgMar w:top="1701" w:right="1418" w:bottom="1418" w:left="1418" w:header="709" w:footer="709" w:gutter="0"/>
          <w:cols w:space="708"/>
          <w:docGrid w:linePitch="360"/>
        </w:sectPr>
      </w:pPr>
    </w:p>
    <w:tbl>
      <w:tblPr>
        <w:tblStyle w:val="TableGrid"/>
        <w:tblW w:w="9923" w:type="dxa"/>
        <w:tblLayout w:type="fixed"/>
        <w:tblCellMar>
          <w:left w:w="28" w:type="dxa"/>
          <w:right w:w="28" w:type="dxa"/>
        </w:tblCellMar>
        <w:tblLook w:val="04A0" w:firstRow="1" w:lastRow="0" w:firstColumn="1" w:lastColumn="0" w:noHBand="0" w:noVBand="1"/>
      </w:tblPr>
      <w:tblGrid>
        <w:gridCol w:w="2867"/>
        <w:gridCol w:w="1176"/>
        <w:gridCol w:w="1176"/>
        <w:gridCol w:w="1176"/>
        <w:gridCol w:w="1108"/>
        <w:gridCol w:w="1286"/>
        <w:gridCol w:w="1092"/>
        <w:gridCol w:w="42"/>
      </w:tblGrid>
      <w:tr w:rsidR="003E5BF5" w:rsidRPr="00020050" w14:paraId="4D869BE5" w14:textId="77777777" w:rsidTr="00392A84">
        <w:trPr>
          <w:trHeight w:val="340"/>
          <w:tblHeader/>
        </w:trPr>
        <w:tc>
          <w:tcPr>
            <w:tcW w:w="2867" w:type="dxa"/>
            <w:shd w:val="clear" w:color="auto" w:fill="auto"/>
            <w:hideMark/>
          </w:tcPr>
          <w:p w14:paraId="0B74FD7F" w14:textId="77777777" w:rsidR="003E5BF5" w:rsidRPr="00020050" w:rsidRDefault="003E5BF5" w:rsidP="00DE1921">
            <w:pPr>
              <w:rPr>
                <w:rFonts w:ascii="Arial" w:hAnsi="Arial" w:cs="Arial"/>
                <w:sz w:val="24"/>
                <w:szCs w:val="24"/>
                <w:lang w:eastAsia="en-AU"/>
              </w:rPr>
            </w:pPr>
          </w:p>
        </w:tc>
        <w:tc>
          <w:tcPr>
            <w:tcW w:w="7056" w:type="dxa"/>
            <w:gridSpan w:val="7"/>
            <w:shd w:val="clear" w:color="auto" w:fill="auto"/>
            <w:vAlign w:val="center"/>
            <w:hideMark/>
          </w:tcPr>
          <w:p w14:paraId="222DAE5B" w14:textId="77777777" w:rsidR="003E5BF5" w:rsidRPr="00020050" w:rsidRDefault="003E5BF5" w:rsidP="00DE1921">
            <w:pPr>
              <w:jc w:val="center"/>
              <w:rPr>
                <w:rFonts w:ascii="Arial" w:hAnsi="Arial" w:cs="Arial"/>
                <w:b/>
                <w:sz w:val="24"/>
                <w:szCs w:val="24"/>
                <w:lang w:eastAsia="en-AU"/>
              </w:rPr>
            </w:pPr>
            <w:r w:rsidRPr="00020050">
              <w:rPr>
                <w:rFonts w:ascii="Arial" w:hAnsi="Arial" w:cs="Arial"/>
                <w:b/>
                <w:sz w:val="24"/>
                <w:szCs w:val="24"/>
                <w:lang w:eastAsia="en-AU"/>
              </w:rPr>
              <w:t>($ thousand)</w:t>
            </w:r>
          </w:p>
        </w:tc>
      </w:tr>
      <w:tr w:rsidR="003E5BF5" w:rsidRPr="00020050" w14:paraId="3A223FA8" w14:textId="77777777" w:rsidTr="00392A84">
        <w:trPr>
          <w:trHeight w:val="340"/>
          <w:tblHeader/>
        </w:trPr>
        <w:tc>
          <w:tcPr>
            <w:tcW w:w="2867" w:type="dxa"/>
            <w:shd w:val="clear" w:color="auto" w:fill="auto"/>
            <w:noWrap/>
            <w:hideMark/>
          </w:tcPr>
          <w:p w14:paraId="40177AEE" w14:textId="77777777" w:rsidR="003E5BF5" w:rsidRPr="00020050" w:rsidRDefault="003E5BF5" w:rsidP="00DE1921">
            <w:pPr>
              <w:rPr>
                <w:rFonts w:ascii="Arial" w:hAnsi="Arial" w:cs="Arial"/>
                <w:sz w:val="24"/>
                <w:szCs w:val="24"/>
                <w:lang w:eastAsia="en-AU"/>
              </w:rPr>
            </w:pPr>
          </w:p>
        </w:tc>
        <w:tc>
          <w:tcPr>
            <w:tcW w:w="2352" w:type="dxa"/>
            <w:gridSpan w:val="2"/>
            <w:shd w:val="clear" w:color="auto" w:fill="auto"/>
            <w:vAlign w:val="bottom"/>
            <w:hideMark/>
          </w:tcPr>
          <w:p w14:paraId="5FD3D506" w14:textId="77777777" w:rsidR="003E5BF5" w:rsidRPr="00020050" w:rsidRDefault="003E5BF5" w:rsidP="00DE1921">
            <w:pPr>
              <w:jc w:val="center"/>
              <w:rPr>
                <w:rFonts w:ascii="Arial" w:hAnsi="Arial" w:cs="Arial"/>
                <w:b/>
                <w:sz w:val="24"/>
                <w:szCs w:val="24"/>
                <w:lang w:eastAsia="en-AU"/>
              </w:rPr>
            </w:pPr>
            <w:r w:rsidRPr="00020050">
              <w:rPr>
                <w:rFonts w:ascii="Arial" w:hAnsi="Arial" w:cs="Arial"/>
                <w:b/>
                <w:sz w:val="24"/>
                <w:szCs w:val="24"/>
                <w:lang w:eastAsia="en-AU"/>
              </w:rPr>
              <w:t>Regulation of Commercial Passenger Vehicle Services</w:t>
            </w:r>
          </w:p>
        </w:tc>
        <w:tc>
          <w:tcPr>
            <w:tcW w:w="2284" w:type="dxa"/>
            <w:gridSpan w:val="2"/>
            <w:shd w:val="clear" w:color="auto" w:fill="auto"/>
            <w:vAlign w:val="bottom"/>
            <w:hideMark/>
          </w:tcPr>
          <w:p w14:paraId="5CA03BD7" w14:textId="77777777" w:rsidR="003E5BF5" w:rsidRPr="00020050" w:rsidRDefault="003E5BF5" w:rsidP="00DE1921">
            <w:pPr>
              <w:jc w:val="center"/>
              <w:rPr>
                <w:rFonts w:ascii="Arial" w:hAnsi="Arial" w:cs="Arial"/>
                <w:b/>
                <w:sz w:val="24"/>
                <w:szCs w:val="24"/>
                <w:lang w:eastAsia="en-AU"/>
              </w:rPr>
            </w:pPr>
            <w:r w:rsidRPr="00020050">
              <w:rPr>
                <w:rFonts w:ascii="Arial" w:hAnsi="Arial" w:cs="Arial"/>
                <w:b/>
                <w:sz w:val="24"/>
                <w:szCs w:val="24"/>
                <w:lang w:eastAsia="en-AU"/>
              </w:rPr>
              <w:t>Road Asset Management</w:t>
            </w:r>
          </w:p>
        </w:tc>
        <w:tc>
          <w:tcPr>
            <w:tcW w:w="2420" w:type="dxa"/>
            <w:gridSpan w:val="3"/>
            <w:shd w:val="clear" w:color="auto" w:fill="auto"/>
            <w:vAlign w:val="bottom"/>
            <w:hideMark/>
          </w:tcPr>
          <w:p w14:paraId="0A24A031" w14:textId="77777777" w:rsidR="003E5BF5" w:rsidRPr="00020050" w:rsidRDefault="003E5BF5" w:rsidP="00DE1921">
            <w:pPr>
              <w:jc w:val="center"/>
              <w:rPr>
                <w:rFonts w:ascii="Arial" w:hAnsi="Arial" w:cs="Arial"/>
                <w:b/>
                <w:sz w:val="24"/>
                <w:szCs w:val="24"/>
                <w:lang w:eastAsia="en-AU"/>
              </w:rPr>
            </w:pPr>
            <w:r w:rsidRPr="00020050">
              <w:rPr>
                <w:rFonts w:ascii="Arial" w:hAnsi="Arial" w:cs="Arial"/>
                <w:b/>
                <w:sz w:val="24"/>
                <w:szCs w:val="24"/>
                <w:lang w:eastAsia="en-AU"/>
              </w:rPr>
              <w:t>Road Operations</w:t>
            </w:r>
          </w:p>
        </w:tc>
      </w:tr>
      <w:tr w:rsidR="003E5BF5" w:rsidRPr="00020050" w14:paraId="596F0D16" w14:textId="77777777" w:rsidTr="00392A84">
        <w:trPr>
          <w:gridAfter w:val="1"/>
          <w:wAfter w:w="42" w:type="dxa"/>
          <w:trHeight w:val="340"/>
          <w:tblHeader/>
        </w:trPr>
        <w:tc>
          <w:tcPr>
            <w:tcW w:w="2867" w:type="dxa"/>
            <w:shd w:val="clear" w:color="auto" w:fill="auto"/>
            <w:noWrap/>
            <w:hideMark/>
          </w:tcPr>
          <w:p w14:paraId="4EF0F14A" w14:textId="77777777" w:rsidR="003E5BF5" w:rsidRPr="00020050" w:rsidRDefault="003E5BF5" w:rsidP="00DE1921">
            <w:pPr>
              <w:rPr>
                <w:rFonts w:ascii="Arial" w:hAnsi="Arial" w:cs="Arial"/>
                <w:b/>
                <w:sz w:val="24"/>
                <w:szCs w:val="24"/>
                <w:lang w:eastAsia="en-AU"/>
              </w:rPr>
            </w:pPr>
          </w:p>
        </w:tc>
        <w:tc>
          <w:tcPr>
            <w:tcW w:w="1176" w:type="dxa"/>
            <w:shd w:val="clear" w:color="auto" w:fill="auto"/>
            <w:vAlign w:val="center"/>
            <w:hideMark/>
          </w:tcPr>
          <w:p w14:paraId="0C6574E2"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2020</w:t>
            </w:r>
          </w:p>
        </w:tc>
        <w:tc>
          <w:tcPr>
            <w:tcW w:w="1176" w:type="dxa"/>
            <w:shd w:val="clear" w:color="auto" w:fill="auto"/>
            <w:vAlign w:val="center"/>
            <w:hideMark/>
          </w:tcPr>
          <w:p w14:paraId="2B41C324"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2019</w:t>
            </w:r>
          </w:p>
        </w:tc>
        <w:tc>
          <w:tcPr>
            <w:tcW w:w="1176" w:type="dxa"/>
            <w:shd w:val="clear" w:color="auto" w:fill="auto"/>
            <w:vAlign w:val="center"/>
            <w:hideMark/>
          </w:tcPr>
          <w:p w14:paraId="14E80908"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2020</w:t>
            </w:r>
          </w:p>
        </w:tc>
        <w:tc>
          <w:tcPr>
            <w:tcW w:w="1108" w:type="dxa"/>
            <w:shd w:val="clear" w:color="auto" w:fill="auto"/>
            <w:vAlign w:val="center"/>
            <w:hideMark/>
          </w:tcPr>
          <w:p w14:paraId="24AF404A"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2019</w:t>
            </w:r>
          </w:p>
        </w:tc>
        <w:tc>
          <w:tcPr>
            <w:tcW w:w="1286" w:type="dxa"/>
            <w:shd w:val="clear" w:color="auto" w:fill="auto"/>
            <w:vAlign w:val="center"/>
            <w:hideMark/>
          </w:tcPr>
          <w:p w14:paraId="72421C30"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2020</w:t>
            </w:r>
          </w:p>
        </w:tc>
        <w:tc>
          <w:tcPr>
            <w:tcW w:w="1092" w:type="dxa"/>
            <w:shd w:val="clear" w:color="auto" w:fill="auto"/>
            <w:vAlign w:val="center"/>
            <w:hideMark/>
          </w:tcPr>
          <w:p w14:paraId="6D405E50"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2019</w:t>
            </w:r>
          </w:p>
        </w:tc>
      </w:tr>
      <w:tr w:rsidR="003E5BF5" w:rsidRPr="00020050" w14:paraId="10FB4AF5" w14:textId="77777777" w:rsidTr="007D4F5B">
        <w:trPr>
          <w:gridAfter w:val="1"/>
          <w:wAfter w:w="42" w:type="dxa"/>
          <w:trHeight w:val="340"/>
        </w:trPr>
        <w:tc>
          <w:tcPr>
            <w:tcW w:w="2867" w:type="dxa"/>
            <w:shd w:val="clear" w:color="auto" w:fill="auto"/>
            <w:noWrap/>
            <w:vAlign w:val="center"/>
            <w:hideMark/>
          </w:tcPr>
          <w:p w14:paraId="1455DFBC" w14:textId="77777777" w:rsidR="003E5BF5" w:rsidRPr="00020050" w:rsidRDefault="003E5BF5" w:rsidP="00604703">
            <w:pPr>
              <w:pStyle w:val="TableTextGreen"/>
            </w:pPr>
            <w:r w:rsidRPr="00020050">
              <w:t>Income from transactions</w:t>
            </w:r>
          </w:p>
        </w:tc>
        <w:tc>
          <w:tcPr>
            <w:tcW w:w="1176" w:type="dxa"/>
            <w:shd w:val="clear" w:color="auto" w:fill="auto"/>
            <w:noWrap/>
            <w:vAlign w:val="center"/>
            <w:hideMark/>
          </w:tcPr>
          <w:p w14:paraId="3D74E180"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 </w:t>
            </w:r>
          </w:p>
        </w:tc>
        <w:tc>
          <w:tcPr>
            <w:tcW w:w="1176" w:type="dxa"/>
            <w:shd w:val="clear" w:color="auto" w:fill="auto"/>
            <w:noWrap/>
            <w:vAlign w:val="center"/>
            <w:hideMark/>
          </w:tcPr>
          <w:p w14:paraId="47FBB9CD"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 </w:t>
            </w:r>
          </w:p>
        </w:tc>
        <w:tc>
          <w:tcPr>
            <w:tcW w:w="1176" w:type="dxa"/>
            <w:shd w:val="clear" w:color="auto" w:fill="auto"/>
            <w:noWrap/>
            <w:vAlign w:val="center"/>
            <w:hideMark/>
          </w:tcPr>
          <w:p w14:paraId="1F13C032"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 </w:t>
            </w:r>
          </w:p>
        </w:tc>
        <w:tc>
          <w:tcPr>
            <w:tcW w:w="1108" w:type="dxa"/>
            <w:shd w:val="clear" w:color="auto" w:fill="auto"/>
            <w:noWrap/>
            <w:vAlign w:val="center"/>
            <w:hideMark/>
          </w:tcPr>
          <w:p w14:paraId="53C10605"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 </w:t>
            </w:r>
          </w:p>
        </w:tc>
        <w:tc>
          <w:tcPr>
            <w:tcW w:w="1286" w:type="dxa"/>
            <w:shd w:val="clear" w:color="auto" w:fill="auto"/>
            <w:noWrap/>
            <w:vAlign w:val="center"/>
            <w:hideMark/>
          </w:tcPr>
          <w:p w14:paraId="2F10CF13"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 </w:t>
            </w:r>
          </w:p>
        </w:tc>
        <w:tc>
          <w:tcPr>
            <w:tcW w:w="1092" w:type="dxa"/>
            <w:shd w:val="clear" w:color="auto" w:fill="auto"/>
            <w:noWrap/>
            <w:vAlign w:val="center"/>
            <w:hideMark/>
          </w:tcPr>
          <w:p w14:paraId="32E4DCE7"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lang w:eastAsia="en-AU"/>
              </w:rPr>
              <w:t> </w:t>
            </w:r>
          </w:p>
        </w:tc>
      </w:tr>
      <w:tr w:rsidR="003E5BF5" w:rsidRPr="00020050" w14:paraId="64A51259" w14:textId="77777777" w:rsidTr="007D4F5B">
        <w:trPr>
          <w:gridAfter w:val="1"/>
          <w:wAfter w:w="42" w:type="dxa"/>
          <w:trHeight w:val="340"/>
        </w:trPr>
        <w:tc>
          <w:tcPr>
            <w:tcW w:w="2867" w:type="dxa"/>
            <w:shd w:val="clear" w:color="auto" w:fill="auto"/>
            <w:noWrap/>
            <w:vAlign w:val="center"/>
            <w:hideMark/>
          </w:tcPr>
          <w:p w14:paraId="137765F5"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Output appropriations</w:t>
            </w:r>
          </w:p>
        </w:tc>
        <w:tc>
          <w:tcPr>
            <w:tcW w:w="1176" w:type="dxa"/>
            <w:shd w:val="clear" w:color="auto" w:fill="auto"/>
            <w:noWrap/>
            <w:vAlign w:val="center"/>
            <w:hideMark/>
          </w:tcPr>
          <w:p w14:paraId="668F3062"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98,220 </w:t>
            </w:r>
          </w:p>
        </w:tc>
        <w:tc>
          <w:tcPr>
            <w:tcW w:w="1176" w:type="dxa"/>
            <w:shd w:val="clear" w:color="auto" w:fill="auto"/>
            <w:noWrap/>
            <w:vAlign w:val="center"/>
            <w:hideMark/>
          </w:tcPr>
          <w:p w14:paraId="1E400B47"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137,771 </w:t>
            </w:r>
          </w:p>
        </w:tc>
        <w:tc>
          <w:tcPr>
            <w:tcW w:w="1176" w:type="dxa"/>
            <w:shd w:val="clear" w:color="auto" w:fill="auto"/>
            <w:noWrap/>
            <w:vAlign w:val="center"/>
            <w:hideMark/>
          </w:tcPr>
          <w:p w14:paraId="19FD56F2"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615,486 </w:t>
            </w:r>
          </w:p>
        </w:tc>
        <w:tc>
          <w:tcPr>
            <w:tcW w:w="1108" w:type="dxa"/>
            <w:shd w:val="clear" w:color="auto" w:fill="auto"/>
            <w:noWrap/>
            <w:vAlign w:val="center"/>
            <w:hideMark/>
          </w:tcPr>
          <w:p w14:paraId="26FD4593"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151,175 </w:t>
            </w:r>
          </w:p>
        </w:tc>
        <w:tc>
          <w:tcPr>
            <w:tcW w:w="1286" w:type="dxa"/>
            <w:shd w:val="clear" w:color="auto" w:fill="auto"/>
            <w:noWrap/>
            <w:vAlign w:val="center"/>
            <w:hideMark/>
          </w:tcPr>
          <w:p w14:paraId="5D62F310"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662,158 </w:t>
            </w:r>
          </w:p>
        </w:tc>
        <w:tc>
          <w:tcPr>
            <w:tcW w:w="1092" w:type="dxa"/>
            <w:shd w:val="clear" w:color="auto" w:fill="auto"/>
            <w:noWrap/>
            <w:vAlign w:val="center"/>
            <w:hideMark/>
          </w:tcPr>
          <w:p w14:paraId="3813A4C6"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856,285 </w:t>
            </w:r>
          </w:p>
        </w:tc>
      </w:tr>
      <w:tr w:rsidR="003E5BF5" w:rsidRPr="00020050" w14:paraId="6C2E5368" w14:textId="77777777" w:rsidTr="007D4F5B">
        <w:trPr>
          <w:gridAfter w:val="1"/>
          <w:wAfter w:w="42" w:type="dxa"/>
          <w:trHeight w:val="340"/>
        </w:trPr>
        <w:tc>
          <w:tcPr>
            <w:tcW w:w="2867" w:type="dxa"/>
            <w:shd w:val="clear" w:color="auto" w:fill="auto"/>
            <w:noWrap/>
            <w:vAlign w:val="center"/>
            <w:hideMark/>
          </w:tcPr>
          <w:p w14:paraId="2BBDD90B"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Special appropriations</w:t>
            </w:r>
          </w:p>
        </w:tc>
        <w:tc>
          <w:tcPr>
            <w:tcW w:w="1176" w:type="dxa"/>
            <w:shd w:val="clear" w:color="auto" w:fill="auto"/>
            <w:noWrap/>
            <w:vAlign w:val="center"/>
            <w:hideMark/>
          </w:tcPr>
          <w:p w14:paraId="2D3C4660"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1,621 </w:t>
            </w:r>
          </w:p>
        </w:tc>
        <w:tc>
          <w:tcPr>
            <w:tcW w:w="1176" w:type="dxa"/>
            <w:shd w:val="clear" w:color="auto" w:fill="auto"/>
            <w:noWrap/>
            <w:vAlign w:val="center"/>
            <w:hideMark/>
          </w:tcPr>
          <w:p w14:paraId="7C64A05F"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c>
          <w:tcPr>
            <w:tcW w:w="1176" w:type="dxa"/>
            <w:shd w:val="clear" w:color="auto" w:fill="auto"/>
            <w:noWrap/>
            <w:vAlign w:val="center"/>
            <w:hideMark/>
          </w:tcPr>
          <w:p w14:paraId="3B695200"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16,477 </w:t>
            </w:r>
          </w:p>
        </w:tc>
        <w:tc>
          <w:tcPr>
            <w:tcW w:w="1108" w:type="dxa"/>
            <w:shd w:val="clear" w:color="auto" w:fill="auto"/>
            <w:noWrap/>
            <w:vAlign w:val="center"/>
            <w:hideMark/>
          </w:tcPr>
          <w:p w14:paraId="527B9CA5"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12,597 </w:t>
            </w:r>
          </w:p>
        </w:tc>
        <w:tc>
          <w:tcPr>
            <w:tcW w:w="1286" w:type="dxa"/>
            <w:shd w:val="clear" w:color="auto" w:fill="auto"/>
            <w:noWrap/>
            <w:vAlign w:val="center"/>
            <w:hideMark/>
          </w:tcPr>
          <w:p w14:paraId="6B354D31"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393,679 </w:t>
            </w:r>
          </w:p>
        </w:tc>
        <w:tc>
          <w:tcPr>
            <w:tcW w:w="1092" w:type="dxa"/>
            <w:shd w:val="clear" w:color="auto" w:fill="auto"/>
            <w:noWrap/>
            <w:vAlign w:val="center"/>
            <w:hideMark/>
          </w:tcPr>
          <w:p w14:paraId="76DF362D"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109,630 </w:t>
            </w:r>
          </w:p>
        </w:tc>
      </w:tr>
      <w:tr w:rsidR="003E5BF5" w:rsidRPr="00020050" w14:paraId="70C09515" w14:textId="77777777" w:rsidTr="007D4F5B">
        <w:trPr>
          <w:gridAfter w:val="1"/>
          <w:wAfter w:w="42" w:type="dxa"/>
          <w:trHeight w:val="340"/>
        </w:trPr>
        <w:tc>
          <w:tcPr>
            <w:tcW w:w="2867" w:type="dxa"/>
            <w:shd w:val="clear" w:color="auto" w:fill="auto"/>
            <w:noWrap/>
            <w:vAlign w:val="center"/>
            <w:hideMark/>
          </w:tcPr>
          <w:p w14:paraId="4842AEBF"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Grant income</w:t>
            </w:r>
          </w:p>
        </w:tc>
        <w:tc>
          <w:tcPr>
            <w:tcW w:w="1176" w:type="dxa"/>
            <w:shd w:val="clear" w:color="auto" w:fill="auto"/>
            <w:noWrap/>
            <w:vAlign w:val="center"/>
            <w:hideMark/>
          </w:tcPr>
          <w:p w14:paraId="4136B9DE"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8 </w:t>
            </w:r>
          </w:p>
        </w:tc>
        <w:tc>
          <w:tcPr>
            <w:tcW w:w="1176" w:type="dxa"/>
            <w:shd w:val="clear" w:color="auto" w:fill="auto"/>
            <w:noWrap/>
            <w:vAlign w:val="center"/>
            <w:hideMark/>
          </w:tcPr>
          <w:p w14:paraId="6B854360"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c>
          <w:tcPr>
            <w:tcW w:w="1176" w:type="dxa"/>
            <w:shd w:val="clear" w:color="auto" w:fill="auto"/>
            <w:noWrap/>
            <w:vAlign w:val="center"/>
            <w:hideMark/>
          </w:tcPr>
          <w:p w14:paraId="7276AFE2"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17 </w:t>
            </w:r>
          </w:p>
        </w:tc>
        <w:tc>
          <w:tcPr>
            <w:tcW w:w="1108" w:type="dxa"/>
            <w:shd w:val="clear" w:color="auto" w:fill="auto"/>
            <w:noWrap/>
            <w:vAlign w:val="center"/>
            <w:hideMark/>
          </w:tcPr>
          <w:p w14:paraId="4E46749A"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c>
          <w:tcPr>
            <w:tcW w:w="1286" w:type="dxa"/>
            <w:shd w:val="clear" w:color="auto" w:fill="auto"/>
            <w:noWrap/>
            <w:vAlign w:val="center"/>
            <w:hideMark/>
          </w:tcPr>
          <w:p w14:paraId="7FF40964"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240,617 </w:t>
            </w:r>
          </w:p>
        </w:tc>
        <w:tc>
          <w:tcPr>
            <w:tcW w:w="1092" w:type="dxa"/>
            <w:shd w:val="clear" w:color="auto" w:fill="auto"/>
            <w:noWrap/>
            <w:vAlign w:val="center"/>
            <w:hideMark/>
          </w:tcPr>
          <w:p w14:paraId="50192C2D"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r>
      <w:tr w:rsidR="003E5BF5" w:rsidRPr="00020050" w14:paraId="4364C7F5" w14:textId="77777777" w:rsidTr="007D4F5B">
        <w:trPr>
          <w:gridAfter w:val="1"/>
          <w:wAfter w:w="42" w:type="dxa"/>
          <w:trHeight w:val="340"/>
        </w:trPr>
        <w:tc>
          <w:tcPr>
            <w:tcW w:w="2867" w:type="dxa"/>
            <w:shd w:val="clear" w:color="auto" w:fill="auto"/>
            <w:noWrap/>
            <w:vAlign w:val="center"/>
            <w:hideMark/>
          </w:tcPr>
          <w:p w14:paraId="2724458F"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Sale of goods and services</w:t>
            </w:r>
          </w:p>
        </w:tc>
        <w:tc>
          <w:tcPr>
            <w:tcW w:w="1176" w:type="dxa"/>
            <w:shd w:val="clear" w:color="auto" w:fill="auto"/>
            <w:noWrap/>
            <w:vAlign w:val="center"/>
            <w:hideMark/>
          </w:tcPr>
          <w:p w14:paraId="358D4D66"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8 </w:t>
            </w:r>
          </w:p>
        </w:tc>
        <w:tc>
          <w:tcPr>
            <w:tcW w:w="1176" w:type="dxa"/>
            <w:shd w:val="clear" w:color="auto" w:fill="auto"/>
            <w:noWrap/>
            <w:vAlign w:val="center"/>
            <w:hideMark/>
          </w:tcPr>
          <w:p w14:paraId="08DF22B7"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c>
          <w:tcPr>
            <w:tcW w:w="1176" w:type="dxa"/>
            <w:shd w:val="clear" w:color="auto" w:fill="auto"/>
            <w:noWrap/>
            <w:vAlign w:val="center"/>
            <w:hideMark/>
          </w:tcPr>
          <w:p w14:paraId="73438617"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85 </w:t>
            </w:r>
          </w:p>
        </w:tc>
        <w:tc>
          <w:tcPr>
            <w:tcW w:w="1108" w:type="dxa"/>
            <w:shd w:val="clear" w:color="auto" w:fill="auto"/>
            <w:noWrap/>
            <w:vAlign w:val="center"/>
            <w:hideMark/>
          </w:tcPr>
          <w:p w14:paraId="007C28BB"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c>
          <w:tcPr>
            <w:tcW w:w="1286" w:type="dxa"/>
            <w:shd w:val="clear" w:color="auto" w:fill="auto"/>
            <w:noWrap/>
            <w:vAlign w:val="center"/>
            <w:hideMark/>
          </w:tcPr>
          <w:p w14:paraId="36333187"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96,628 </w:t>
            </w:r>
          </w:p>
        </w:tc>
        <w:tc>
          <w:tcPr>
            <w:tcW w:w="1092" w:type="dxa"/>
            <w:shd w:val="clear" w:color="auto" w:fill="auto"/>
            <w:noWrap/>
            <w:vAlign w:val="center"/>
            <w:hideMark/>
          </w:tcPr>
          <w:p w14:paraId="64FFC63C"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r>
      <w:tr w:rsidR="003E5BF5" w:rsidRPr="00020050" w14:paraId="3D176BAB" w14:textId="77777777" w:rsidTr="007D4F5B">
        <w:trPr>
          <w:gridAfter w:val="1"/>
          <w:wAfter w:w="42" w:type="dxa"/>
          <w:trHeight w:val="340"/>
        </w:trPr>
        <w:tc>
          <w:tcPr>
            <w:tcW w:w="2867" w:type="dxa"/>
            <w:shd w:val="clear" w:color="auto" w:fill="auto"/>
            <w:noWrap/>
            <w:vAlign w:val="center"/>
            <w:hideMark/>
          </w:tcPr>
          <w:p w14:paraId="0C57EBE2"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Other income</w:t>
            </w:r>
          </w:p>
        </w:tc>
        <w:tc>
          <w:tcPr>
            <w:tcW w:w="1176" w:type="dxa"/>
            <w:shd w:val="clear" w:color="auto" w:fill="auto"/>
            <w:noWrap/>
            <w:vAlign w:val="center"/>
            <w:hideMark/>
          </w:tcPr>
          <w:p w14:paraId="2400E378"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115 </w:t>
            </w:r>
          </w:p>
        </w:tc>
        <w:tc>
          <w:tcPr>
            <w:tcW w:w="1176" w:type="dxa"/>
            <w:shd w:val="clear" w:color="auto" w:fill="auto"/>
            <w:noWrap/>
            <w:vAlign w:val="center"/>
            <w:hideMark/>
          </w:tcPr>
          <w:p w14:paraId="51232612"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 </w:t>
            </w:r>
          </w:p>
        </w:tc>
        <w:tc>
          <w:tcPr>
            <w:tcW w:w="1176" w:type="dxa"/>
            <w:shd w:val="clear" w:color="auto" w:fill="auto"/>
            <w:noWrap/>
            <w:vAlign w:val="center"/>
            <w:hideMark/>
          </w:tcPr>
          <w:p w14:paraId="4C785236"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15,603 </w:t>
            </w:r>
          </w:p>
        </w:tc>
        <w:tc>
          <w:tcPr>
            <w:tcW w:w="1108" w:type="dxa"/>
            <w:shd w:val="clear" w:color="auto" w:fill="auto"/>
            <w:noWrap/>
            <w:vAlign w:val="center"/>
            <w:hideMark/>
          </w:tcPr>
          <w:p w14:paraId="3EF6BB02"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4 </w:t>
            </w:r>
          </w:p>
        </w:tc>
        <w:tc>
          <w:tcPr>
            <w:tcW w:w="1286" w:type="dxa"/>
            <w:shd w:val="clear" w:color="auto" w:fill="auto"/>
            <w:noWrap/>
            <w:vAlign w:val="center"/>
            <w:hideMark/>
          </w:tcPr>
          <w:p w14:paraId="1A7109F4"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253,037 </w:t>
            </w:r>
          </w:p>
        </w:tc>
        <w:tc>
          <w:tcPr>
            <w:tcW w:w="1092" w:type="dxa"/>
            <w:shd w:val="clear" w:color="auto" w:fill="auto"/>
            <w:noWrap/>
            <w:vAlign w:val="center"/>
            <w:hideMark/>
          </w:tcPr>
          <w:p w14:paraId="7D97A164"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114 </w:t>
            </w:r>
          </w:p>
        </w:tc>
      </w:tr>
      <w:tr w:rsidR="003E5BF5" w:rsidRPr="00020050" w14:paraId="5B9E3C34" w14:textId="77777777" w:rsidTr="007D4F5B">
        <w:trPr>
          <w:gridAfter w:val="1"/>
          <w:wAfter w:w="42" w:type="dxa"/>
          <w:trHeight w:val="340"/>
        </w:trPr>
        <w:tc>
          <w:tcPr>
            <w:tcW w:w="2867" w:type="dxa"/>
            <w:shd w:val="clear" w:color="auto" w:fill="auto"/>
            <w:noWrap/>
            <w:vAlign w:val="center"/>
            <w:hideMark/>
          </w:tcPr>
          <w:p w14:paraId="468A6027"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t>Total income from transactions</w:t>
            </w:r>
          </w:p>
        </w:tc>
        <w:tc>
          <w:tcPr>
            <w:tcW w:w="1176" w:type="dxa"/>
            <w:shd w:val="clear" w:color="auto" w:fill="auto"/>
            <w:noWrap/>
            <w:vAlign w:val="center"/>
            <w:hideMark/>
          </w:tcPr>
          <w:p w14:paraId="45979AA0"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99,972 </w:t>
            </w:r>
          </w:p>
        </w:tc>
        <w:tc>
          <w:tcPr>
            <w:tcW w:w="1176" w:type="dxa"/>
            <w:shd w:val="clear" w:color="auto" w:fill="auto"/>
            <w:noWrap/>
            <w:vAlign w:val="center"/>
            <w:hideMark/>
          </w:tcPr>
          <w:p w14:paraId="6413B986"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137,772 </w:t>
            </w:r>
          </w:p>
        </w:tc>
        <w:tc>
          <w:tcPr>
            <w:tcW w:w="1176" w:type="dxa"/>
            <w:shd w:val="clear" w:color="auto" w:fill="auto"/>
            <w:noWrap/>
            <w:vAlign w:val="center"/>
            <w:hideMark/>
          </w:tcPr>
          <w:p w14:paraId="63C13BDE"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647,668 </w:t>
            </w:r>
          </w:p>
        </w:tc>
        <w:tc>
          <w:tcPr>
            <w:tcW w:w="1108" w:type="dxa"/>
            <w:shd w:val="clear" w:color="auto" w:fill="auto"/>
            <w:noWrap/>
            <w:vAlign w:val="center"/>
            <w:hideMark/>
          </w:tcPr>
          <w:p w14:paraId="0722ACF6"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163,776 </w:t>
            </w:r>
          </w:p>
        </w:tc>
        <w:tc>
          <w:tcPr>
            <w:tcW w:w="1286" w:type="dxa"/>
            <w:shd w:val="clear" w:color="auto" w:fill="auto"/>
            <w:noWrap/>
            <w:vAlign w:val="center"/>
            <w:hideMark/>
          </w:tcPr>
          <w:p w14:paraId="58520FC4"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1,646,119 </w:t>
            </w:r>
          </w:p>
        </w:tc>
        <w:tc>
          <w:tcPr>
            <w:tcW w:w="1092" w:type="dxa"/>
            <w:shd w:val="clear" w:color="auto" w:fill="auto"/>
            <w:noWrap/>
            <w:vAlign w:val="center"/>
            <w:hideMark/>
          </w:tcPr>
          <w:p w14:paraId="5F33A718"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966,029 </w:t>
            </w:r>
          </w:p>
        </w:tc>
      </w:tr>
      <w:tr w:rsidR="003E5BF5" w:rsidRPr="00020050" w14:paraId="7D009EF7" w14:textId="77777777" w:rsidTr="007D4F5B">
        <w:trPr>
          <w:gridAfter w:val="1"/>
          <w:wAfter w:w="42" w:type="dxa"/>
          <w:trHeight w:val="340"/>
        </w:trPr>
        <w:tc>
          <w:tcPr>
            <w:tcW w:w="2867" w:type="dxa"/>
            <w:shd w:val="clear" w:color="auto" w:fill="auto"/>
            <w:noWrap/>
            <w:vAlign w:val="center"/>
            <w:hideMark/>
          </w:tcPr>
          <w:p w14:paraId="607873BA" w14:textId="77777777" w:rsidR="003E5BF5" w:rsidRPr="00020050" w:rsidRDefault="003E5BF5" w:rsidP="00604703">
            <w:pPr>
              <w:pStyle w:val="TableTextGreen"/>
            </w:pPr>
            <w:r w:rsidRPr="00020050">
              <w:t>Expenses from transactions</w:t>
            </w:r>
          </w:p>
        </w:tc>
        <w:tc>
          <w:tcPr>
            <w:tcW w:w="1176" w:type="dxa"/>
            <w:shd w:val="clear" w:color="auto" w:fill="auto"/>
            <w:noWrap/>
            <w:vAlign w:val="center"/>
            <w:hideMark/>
          </w:tcPr>
          <w:p w14:paraId="07FC8270" w14:textId="77777777" w:rsidR="003E5BF5" w:rsidRPr="00020050" w:rsidRDefault="003E5BF5" w:rsidP="00DE1921">
            <w:pPr>
              <w:jc w:val="right"/>
              <w:rPr>
                <w:rFonts w:ascii="Arial" w:hAnsi="Arial" w:cs="Arial"/>
                <w:sz w:val="24"/>
                <w:szCs w:val="24"/>
                <w:lang w:eastAsia="en-AU"/>
              </w:rPr>
            </w:pPr>
          </w:p>
        </w:tc>
        <w:tc>
          <w:tcPr>
            <w:tcW w:w="1176" w:type="dxa"/>
            <w:shd w:val="clear" w:color="auto" w:fill="auto"/>
            <w:noWrap/>
            <w:vAlign w:val="center"/>
            <w:hideMark/>
          </w:tcPr>
          <w:p w14:paraId="7D24AA52" w14:textId="77777777" w:rsidR="003E5BF5" w:rsidRPr="00020050" w:rsidRDefault="003E5BF5" w:rsidP="00DE1921">
            <w:pPr>
              <w:jc w:val="right"/>
              <w:rPr>
                <w:rFonts w:ascii="Arial" w:hAnsi="Arial" w:cs="Arial"/>
                <w:sz w:val="24"/>
                <w:szCs w:val="24"/>
                <w:lang w:eastAsia="en-AU"/>
              </w:rPr>
            </w:pPr>
          </w:p>
        </w:tc>
        <w:tc>
          <w:tcPr>
            <w:tcW w:w="1176" w:type="dxa"/>
            <w:shd w:val="clear" w:color="auto" w:fill="auto"/>
            <w:noWrap/>
            <w:vAlign w:val="center"/>
            <w:hideMark/>
          </w:tcPr>
          <w:p w14:paraId="02A70F5E" w14:textId="77777777" w:rsidR="003E5BF5" w:rsidRPr="00020050" w:rsidRDefault="003E5BF5" w:rsidP="00DE1921">
            <w:pPr>
              <w:jc w:val="right"/>
              <w:rPr>
                <w:rFonts w:ascii="Arial" w:hAnsi="Arial" w:cs="Arial"/>
                <w:sz w:val="24"/>
                <w:szCs w:val="24"/>
                <w:lang w:eastAsia="en-AU"/>
              </w:rPr>
            </w:pPr>
          </w:p>
        </w:tc>
        <w:tc>
          <w:tcPr>
            <w:tcW w:w="1108" w:type="dxa"/>
            <w:shd w:val="clear" w:color="auto" w:fill="auto"/>
            <w:noWrap/>
            <w:vAlign w:val="center"/>
            <w:hideMark/>
          </w:tcPr>
          <w:p w14:paraId="5E053B20" w14:textId="77777777" w:rsidR="003E5BF5" w:rsidRPr="00020050" w:rsidRDefault="003E5BF5" w:rsidP="00DE1921">
            <w:pPr>
              <w:jc w:val="right"/>
              <w:rPr>
                <w:rFonts w:ascii="Arial" w:hAnsi="Arial" w:cs="Arial"/>
                <w:sz w:val="24"/>
                <w:szCs w:val="24"/>
                <w:lang w:eastAsia="en-AU"/>
              </w:rPr>
            </w:pPr>
          </w:p>
        </w:tc>
        <w:tc>
          <w:tcPr>
            <w:tcW w:w="1286" w:type="dxa"/>
            <w:shd w:val="clear" w:color="auto" w:fill="auto"/>
            <w:noWrap/>
            <w:vAlign w:val="center"/>
            <w:hideMark/>
          </w:tcPr>
          <w:p w14:paraId="09BA1A64" w14:textId="77777777" w:rsidR="003E5BF5" w:rsidRPr="00020050" w:rsidRDefault="003E5BF5" w:rsidP="00DE1921">
            <w:pPr>
              <w:jc w:val="right"/>
              <w:rPr>
                <w:rFonts w:ascii="Arial" w:hAnsi="Arial" w:cs="Arial"/>
                <w:sz w:val="24"/>
                <w:szCs w:val="24"/>
                <w:lang w:eastAsia="en-AU"/>
              </w:rPr>
            </w:pPr>
          </w:p>
        </w:tc>
        <w:tc>
          <w:tcPr>
            <w:tcW w:w="1092" w:type="dxa"/>
            <w:shd w:val="clear" w:color="auto" w:fill="auto"/>
            <w:noWrap/>
            <w:vAlign w:val="center"/>
            <w:hideMark/>
          </w:tcPr>
          <w:p w14:paraId="439317B0" w14:textId="77777777" w:rsidR="003E5BF5" w:rsidRPr="00020050" w:rsidRDefault="003E5BF5" w:rsidP="00DE1921">
            <w:pPr>
              <w:jc w:val="right"/>
              <w:rPr>
                <w:rFonts w:ascii="Arial" w:hAnsi="Arial" w:cs="Arial"/>
                <w:sz w:val="24"/>
                <w:szCs w:val="24"/>
                <w:lang w:eastAsia="en-AU"/>
              </w:rPr>
            </w:pPr>
          </w:p>
        </w:tc>
      </w:tr>
      <w:tr w:rsidR="003E5BF5" w:rsidRPr="00020050" w14:paraId="34358C7C" w14:textId="77777777" w:rsidTr="007D4F5B">
        <w:trPr>
          <w:gridAfter w:val="1"/>
          <w:wAfter w:w="42" w:type="dxa"/>
          <w:trHeight w:val="340"/>
        </w:trPr>
        <w:tc>
          <w:tcPr>
            <w:tcW w:w="2867" w:type="dxa"/>
            <w:shd w:val="clear" w:color="auto" w:fill="auto"/>
            <w:noWrap/>
            <w:vAlign w:val="center"/>
            <w:hideMark/>
          </w:tcPr>
          <w:p w14:paraId="1BDF5661"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Grant expenses</w:t>
            </w:r>
          </w:p>
        </w:tc>
        <w:tc>
          <w:tcPr>
            <w:tcW w:w="1176" w:type="dxa"/>
            <w:shd w:val="clear" w:color="auto" w:fill="auto"/>
            <w:noWrap/>
            <w:vAlign w:val="center"/>
            <w:hideMark/>
          </w:tcPr>
          <w:p w14:paraId="62018966"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(93,074)</w:t>
            </w:r>
          </w:p>
        </w:tc>
        <w:tc>
          <w:tcPr>
            <w:tcW w:w="1176" w:type="dxa"/>
            <w:shd w:val="clear" w:color="auto" w:fill="auto"/>
            <w:noWrap/>
            <w:vAlign w:val="center"/>
            <w:hideMark/>
          </w:tcPr>
          <w:p w14:paraId="7000F6CD"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(136,574)</w:t>
            </w:r>
          </w:p>
        </w:tc>
        <w:tc>
          <w:tcPr>
            <w:tcW w:w="1176" w:type="dxa"/>
            <w:shd w:val="clear" w:color="auto" w:fill="auto"/>
            <w:noWrap/>
            <w:vAlign w:val="center"/>
            <w:hideMark/>
          </w:tcPr>
          <w:p w14:paraId="70091420"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(13,109)</w:t>
            </w:r>
          </w:p>
        </w:tc>
        <w:tc>
          <w:tcPr>
            <w:tcW w:w="1108" w:type="dxa"/>
            <w:shd w:val="clear" w:color="auto" w:fill="auto"/>
            <w:noWrap/>
            <w:vAlign w:val="center"/>
            <w:hideMark/>
          </w:tcPr>
          <w:p w14:paraId="275600FE"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(255,145)</w:t>
            </w:r>
          </w:p>
        </w:tc>
        <w:tc>
          <w:tcPr>
            <w:tcW w:w="1286" w:type="dxa"/>
            <w:shd w:val="clear" w:color="auto" w:fill="auto"/>
            <w:noWrap/>
            <w:vAlign w:val="center"/>
            <w:hideMark/>
          </w:tcPr>
          <w:p w14:paraId="2970E35F"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(162,710)</w:t>
            </w:r>
          </w:p>
        </w:tc>
        <w:tc>
          <w:tcPr>
            <w:tcW w:w="1092" w:type="dxa"/>
            <w:shd w:val="clear" w:color="auto" w:fill="auto"/>
            <w:noWrap/>
            <w:vAlign w:val="center"/>
            <w:hideMark/>
          </w:tcPr>
          <w:p w14:paraId="6ACF77D8"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(882,992)</w:t>
            </w:r>
          </w:p>
        </w:tc>
      </w:tr>
      <w:tr w:rsidR="003E5BF5" w:rsidRPr="00020050" w14:paraId="37B083DD" w14:textId="77777777" w:rsidTr="007D4F5B">
        <w:trPr>
          <w:gridAfter w:val="1"/>
          <w:wAfter w:w="42" w:type="dxa"/>
          <w:trHeight w:val="340"/>
        </w:trPr>
        <w:tc>
          <w:tcPr>
            <w:tcW w:w="2867" w:type="dxa"/>
            <w:shd w:val="clear" w:color="auto" w:fill="auto"/>
            <w:noWrap/>
            <w:vAlign w:val="center"/>
            <w:hideMark/>
          </w:tcPr>
          <w:p w14:paraId="055B43FF"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Employee benefits expense</w:t>
            </w:r>
          </w:p>
        </w:tc>
        <w:tc>
          <w:tcPr>
            <w:tcW w:w="1176" w:type="dxa"/>
            <w:shd w:val="clear" w:color="auto" w:fill="auto"/>
            <w:noWrap/>
            <w:vAlign w:val="center"/>
            <w:hideMark/>
          </w:tcPr>
          <w:p w14:paraId="194C440A"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(2,655)</w:t>
            </w:r>
          </w:p>
        </w:tc>
        <w:tc>
          <w:tcPr>
            <w:tcW w:w="1176" w:type="dxa"/>
            <w:shd w:val="clear" w:color="auto" w:fill="auto"/>
            <w:noWrap/>
            <w:vAlign w:val="center"/>
            <w:hideMark/>
          </w:tcPr>
          <w:p w14:paraId="1DDAE22A"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(1,637)</w:t>
            </w:r>
          </w:p>
        </w:tc>
        <w:tc>
          <w:tcPr>
            <w:tcW w:w="1176" w:type="dxa"/>
            <w:shd w:val="clear" w:color="auto" w:fill="auto"/>
            <w:noWrap/>
            <w:vAlign w:val="center"/>
            <w:hideMark/>
          </w:tcPr>
          <w:p w14:paraId="71233760"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(18,308)</w:t>
            </w:r>
          </w:p>
        </w:tc>
        <w:tc>
          <w:tcPr>
            <w:tcW w:w="1108" w:type="dxa"/>
            <w:shd w:val="clear" w:color="auto" w:fill="auto"/>
            <w:noWrap/>
            <w:vAlign w:val="center"/>
            <w:hideMark/>
          </w:tcPr>
          <w:p w14:paraId="6F106112"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(3,562)</w:t>
            </w:r>
          </w:p>
        </w:tc>
        <w:tc>
          <w:tcPr>
            <w:tcW w:w="1286" w:type="dxa"/>
            <w:shd w:val="clear" w:color="auto" w:fill="auto"/>
            <w:noWrap/>
            <w:vAlign w:val="center"/>
            <w:hideMark/>
          </w:tcPr>
          <w:p w14:paraId="6268F1D6"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(326,303)</w:t>
            </w:r>
          </w:p>
        </w:tc>
        <w:tc>
          <w:tcPr>
            <w:tcW w:w="1092" w:type="dxa"/>
            <w:shd w:val="clear" w:color="auto" w:fill="auto"/>
            <w:noWrap/>
            <w:vAlign w:val="center"/>
            <w:hideMark/>
          </w:tcPr>
          <w:p w14:paraId="6F129A26"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(27,740)</w:t>
            </w:r>
          </w:p>
        </w:tc>
      </w:tr>
      <w:tr w:rsidR="003E5BF5" w:rsidRPr="00020050" w14:paraId="03A7DC44" w14:textId="77777777" w:rsidTr="007D4F5B">
        <w:trPr>
          <w:gridAfter w:val="1"/>
          <w:wAfter w:w="42" w:type="dxa"/>
          <w:trHeight w:val="340"/>
        </w:trPr>
        <w:tc>
          <w:tcPr>
            <w:tcW w:w="2867" w:type="dxa"/>
            <w:shd w:val="clear" w:color="auto" w:fill="auto"/>
            <w:noWrap/>
            <w:vAlign w:val="center"/>
            <w:hideMark/>
          </w:tcPr>
          <w:p w14:paraId="09BF8A08"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Capital asset charge</w:t>
            </w:r>
          </w:p>
        </w:tc>
        <w:tc>
          <w:tcPr>
            <w:tcW w:w="1176" w:type="dxa"/>
            <w:shd w:val="clear" w:color="auto" w:fill="auto"/>
            <w:noWrap/>
            <w:vAlign w:val="center"/>
            <w:hideMark/>
          </w:tcPr>
          <w:p w14:paraId="141F1918"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(1,558)</w:t>
            </w:r>
          </w:p>
        </w:tc>
        <w:tc>
          <w:tcPr>
            <w:tcW w:w="1176" w:type="dxa"/>
            <w:shd w:val="clear" w:color="auto" w:fill="auto"/>
            <w:noWrap/>
            <w:vAlign w:val="center"/>
            <w:hideMark/>
          </w:tcPr>
          <w:p w14:paraId="08126C70"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(271)</w:t>
            </w:r>
          </w:p>
        </w:tc>
        <w:tc>
          <w:tcPr>
            <w:tcW w:w="1176" w:type="dxa"/>
            <w:shd w:val="clear" w:color="auto" w:fill="auto"/>
            <w:noWrap/>
            <w:vAlign w:val="center"/>
            <w:hideMark/>
          </w:tcPr>
          <w:p w14:paraId="45D6B970"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(11,222)</w:t>
            </w:r>
          </w:p>
        </w:tc>
        <w:tc>
          <w:tcPr>
            <w:tcW w:w="1108" w:type="dxa"/>
            <w:shd w:val="clear" w:color="auto" w:fill="auto"/>
            <w:noWrap/>
            <w:vAlign w:val="center"/>
            <w:hideMark/>
          </w:tcPr>
          <w:p w14:paraId="5994D2BB"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(608)</w:t>
            </w:r>
          </w:p>
        </w:tc>
        <w:tc>
          <w:tcPr>
            <w:tcW w:w="1286" w:type="dxa"/>
            <w:shd w:val="clear" w:color="auto" w:fill="auto"/>
            <w:noWrap/>
            <w:vAlign w:val="center"/>
            <w:hideMark/>
          </w:tcPr>
          <w:p w14:paraId="3D652FFE"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(37,026)</w:t>
            </w:r>
          </w:p>
        </w:tc>
        <w:tc>
          <w:tcPr>
            <w:tcW w:w="1092" w:type="dxa"/>
            <w:shd w:val="clear" w:color="auto" w:fill="auto"/>
            <w:noWrap/>
            <w:vAlign w:val="center"/>
            <w:hideMark/>
          </w:tcPr>
          <w:p w14:paraId="6DEEF7DD"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(6,494)</w:t>
            </w:r>
          </w:p>
        </w:tc>
      </w:tr>
      <w:tr w:rsidR="003E5BF5" w:rsidRPr="00020050" w14:paraId="1EFE3A8F" w14:textId="77777777" w:rsidTr="007D4F5B">
        <w:trPr>
          <w:gridAfter w:val="1"/>
          <w:wAfter w:w="42" w:type="dxa"/>
          <w:trHeight w:val="340"/>
        </w:trPr>
        <w:tc>
          <w:tcPr>
            <w:tcW w:w="2867" w:type="dxa"/>
            <w:shd w:val="clear" w:color="auto" w:fill="auto"/>
            <w:noWrap/>
            <w:vAlign w:val="center"/>
            <w:hideMark/>
          </w:tcPr>
          <w:p w14:paraId="59B9BD4C"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 xml:space="preserve">Depreciation and amortisation </w:t>
            </w:r>
          </w:p>
        </w:tc>
        <w:tc>
          <w:tcPr>
            <w:tcW w:w="1176" w:type="dxa"/>
            <w:shd w:val="clear" w:color="auto" w:fill="auto"/>
            <w:noWrap/>
            <w:vAlign w:val="center"/>
            <w:hideMark/>
          </w:tcPr>
          <w:p w14:paraId="459FE6F9"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(342)</w:t>
            </w:r>
          </w:p>
        </w:tc>
        <w:tc>
          <w:tcPr>
            <w:tcW w:w="1176" w:type="dxa"/>
            <w:shd w:val="clear" w:color="auto" w:fill="auto"/>
            <w:noWrap/>
            <w:vAlign w:val="center"/>
            <w:hideMark/>
          </w:tcPr>
          <w:p w14:paraId="226CBA8C"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(248)</w:t>
            </w:r>
          </w:p>
        </w:tc>
        <w:tc>
          <w:tcPr>
            <w:tcW w:w="1176" w:type="dxa"/>
            <w:shd w:val="clear" w:color="auto" w:fill="auto"/>
            <w:noWrap/>
            <w:vAlign w:val="center"/>
            <w:hideMark/>
          </w:tcPr>
          <w:p w14:paraId="403D4967"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(4,163)</w:t>
            </w:r>
          </w:p>
        </w:tc>
        <w:tc>
          <w:tcPr>
            <w:tcW w:w="1108" w:type="dxa"/>
            <w:shd w:val="clear" w:color="auto" w:fill="auto"/>
            <w:noWrap/>
            <w:vAlign w:val="center"/>
            <w:hideMark/>
          </w:tcPr>
          <w:p w14:paraId="0A35C545"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(543)</w:t>
            </w:r>
          </w:p>
        </w:tc>
        <w:tc>
          <w:tcPr>
            <w:tcW w:w="1286" w:type="dxa"/>
            <w:shd w:val="clear" w:color="auto" w:fill="auto"/>
            <w:noWrap/>
            <w:vAlign w:val="center"/>
            <w:hideMark/>
          </w:tcPr>
          <w:p w14:paraId="4BDD9B2B"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(906,185)</w:t>
            </w:r>
          </w:p>
        </w:tc>
        <w:tc>
          <w:tcPr>
            <w:tcW w:w="1092" w:type="dxa"/>
            <w:shd w:val="clear" w:color="auto" w:fill="auto"/>
            <w:noWrap/>
            <w:vAlign w:val="center"/>
            <w:hideMark/>
          </w:tcPr>
          <w:p w14:paraId="0F9695D1"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(1,222)</w:t>
            </w:r>
          </w:p>
        </w:tc>
      </w:tr>
      <w:tr w:rsidR="003E5BF5" w:rsidRPr="00020050" w14:paraId="48B44AD1" w14:textId="77777777" w:rsidTr="007D4F5B">
        <w:trPr>
          <w:gridAfter w:val="1"/>
          <w:wAfter w:w="42" w:type="dxa"/>
          <w:trHeight w:val="340"/>
        </w:trPr>
        <w:tc>
          <w:tcPr>
            <w:tcW w:w="2867" w:type="dxa"/>
            <w:shd w:val="clear" w:color="auto" w:fill="auto"/>
            <w:noWrap/>
            <w:vAlign w:val="center"/>
            <w:hideMark/>
          </w:tcPr>
          <w:p w14:paraId="1A194C4E"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 xml:space="preserve">Interest expense </w:t>
            </w:r>
            <w:r w:rsidRPr="00020050">
              <w:rPr>
                <w:rFonts w:ascii="Arial" w:hAnsi="Arial" w:cs="Arial"/>
                <w:sz w:val="24"/>
                <w:szCs w:val="24"/>
                <w:vertAlign w:val="superscript"/>
                <w:lang w:eastAsia="en-AU"/>
              </w:rPr>
              <w:t>(</w:t>
            </w:r>
            <w:proofErr w:type="spellStart"/>
            <w:r w:rsidRPr="00020050">
              <w:rPr>
                <w:rFonts w:ascii="Arial" w:hAnsi="Arial" w:cs="Arial"/>
                <w:sz w:val="24"/>
                <w:szCs w:val="24"/>
                <w:vertAlign w:val="superscript"/>
                <w:lang w:eastAsia="en-AU"/>
              </w:rPr>
              <w:t>i</w:t>
            </w:r>
            <w:proofErr w:type="spellEnd"/>
            <w:r w:rsidRPr="00020050">
              <w:rPr>
                <w:rFonts w:ascii="Arial" w:hAnsi="Arial" w:cs="Arial"/>
                <w:sz w:val="24"/>
                <w:szCs w:val="24"/>
                <w:vertAlign w:val="superscript"/>
                <w:lang w:eastAsia="en-AU"/>
              </w:rPr>
              <w:t>)</w:t>
            </w:r>
          </w:p>
        </w:tc>
        <w:tc>
          <w:tcPr>
            <w:tcW w:w="1176" w:type="dxa"/>
            <w:shd w:val="clear" w:color="auto" w:fill="auto"/>
            <w:noWrap/>
            <w:vAlign w:val="center"/>
            <w:hideMark/>
          </w:tcPr>
          <w:p w14:paraId="57910355"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(29)</w:t>
            </w:r>
          </w:p>
        </w:tc>
        <w:tc>
          <w:tcPr>
            <w:tcW w:w="1176" w:type="dxa"/>
            <w:shd w:val="clear" w:color="auto" w:fill="auto"/>
            <w:noWrap/>
            <w:vAlign w:val="center"/>
            <w:hideMark/>
          </w:tcPr>
          <w:p w14:paraId="7139BA27"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r w:rsidRPr="00020050">
              <w:rPr>
                <w:rFonts w:ascii="Arial" w:hAnsi="Arial" w:cs="Arial"/>
                <w:sz w:val="24"/>
                <w:szCs w:val="24"/>
              </w:rPr>
              <w:t xml:space="preserve"> </w:t>
            </w:r>
          </w:p>
        </w:tc>
        <w:tc>
          <w:tcPr>
            <w:tcW w:w="1176" w:type="dxa"/>
            <w:shd w:val="clear" w:color="auto" w:fill="auto"/>
            <w:noWrap/>
            <w:vAlign w:val="center"/>
            <w:hideMark/>
          </w:tcPr>
          <w:p w14:paraId="4EA7680C"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(292)</w:t>
            </w:r>
          </w:p>
        </w:tc>
        <w:tc>
          <w:tcPr>
            <w:tcW w:w="1108" w:type="dxa"/>
            <w:shd w:val="clear" w:color="auto" w:fill="auto"/>
            <w:noWrap/>
            <w:vAlign w:val="center"/>
            <w:hideMark/>
          </w:tcPr>
          <w:p w14:paraId="074F7432"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w:t>
            </w:r>
          </w:p>
        </w:tc>
        <w:tc>
          <w:tcPr>
            <w:tcW w:w="1286" w:type="dxa"/>
            <w:shd w:val="clear" w:color="auto" w:fill="auto"/>
            <w:noWrap/>
            <w:vAlign w:val="center"/>
            <w:hideMark/>
          </w:tcPr>
          <w:p w14:paraId="0E2961DB"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(105,272)</w:t>
            </w:r>
          </w:p>
        </w:tc>
        <w:tc>
          <w:tcPr>
            <w:tcW w:w="1092" w:type="dxa"/>
            <w:shd w:val="clear" w:color="auto" w:fill="auto"/>
            <w:noWrap/>
            <w:vAlign w:val="center"/>
            <w:hideMark/>
          </w:tcPr>
          <w:p w14:paraId="649BD12B"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(18,476)</w:t>
            </w:r>
          </w:p>
        </w:tc>
      </w:tr>
      <w:tr w:rsidR="003E5BF5" w:rsidRPr="00020050" w14:paraId="79949A78" w14:textId="77777777" w:rsidTr="007D4F5B">
        <w:trPr>
          <w:gridAfter w:val="1"/>
          <w:wAfter w:w="42" w:type="dxa"/>
          <w:trHeight w:val="340"/>
        </w:trPr>
        <w:tc>
          <w:tcPr>
            <w:tcW w:w="2867" w:type="dxa"/>
            <w:shd w:val="clear" w:color="auto" w:fill="auto"/>
            <w:noWrap/>
          </w:tcPr>
          <w:p w14:paraId="47A718DB"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rPr>
              <w:t>Payments to public transport service providers</w:t>
            </w:r>
          </w:p>
        </w:tc>
        <w:tc>
          <w:tcPr>
            <w:tcW w:w="1176" w:type="dxa"/>
            <w:shd w:val="clear" w:color="auto" w:fill="auto"/>
            <w:noWrap/>
          </w:tcPr>
          <w:p w14:paraId="707156BB" w14:textId="77777777" w:rsidR="003E5BF5" w:rsidRPr="00020050" w:rsidRDefault="003E5BF5" w:rsidP="00DE1921">
            <w:pPr>
              <w:jc w:val="right"/>
              <w:rPr>
                <w:rFonts w:ascii="Arial" w:hAnsi="Arial" w:cs="Arial"/>
                <w:sz w:val="24"/>
                <w:szCs w:val="24"/>
              </w:rPr>
            </w:pPr>
            <w:r w:rsidRPr="00020050">
              <w:rPr>
                <w:rFonts w:ascii="Arial" w:hAnsi="Arial" w:cs="Arial"/>
                <w:b/>
                <w:sz w:val="24"/>
                <w:szCs w:val="24"/>
              </w:rPr>
              <w:t>-</w:t>
            </w:r>
          </w:p>
        </w:tc>
        <w:tc>
          <w:tcPr>
            <w:tcW w:w="1176" w:type="dxa"/>
            <w:shd w:val="clear" w:color="auto" w:fill="auto"/>
            <w:noWrap/>
          </w:tcPr>
          <w:p w14:paraId="47194795" w14:textId="77777777" w:rsidR="003E5BF5" w:rsidRPr="00020050" w:rsidRDefault="003E5BF5" w:rsidP="00DE1921">
            <w:pPr>
              <w:jc w:val="right"/>
              <w:rPr>
                <w:rFonts w:ascii="Arial" w:hAnsi="Arial" w:cs="Arial"/>
                <w:sz w:val="24"/>
                <w:szCs w:val="24"/>
              </w:rPr>
            </w:pPr>
            <w:r w:rsidRPr="00020050">
              <w:rPr>
                <w:rFonts w:ascii="Arial" w:hAnsi="Arial" w:cs="Arial"/>
                <w:b/>
                <w:sz w:val="24"/>
                <w:szCs w:val="24"/>
              </w:rPr>
              <w:t>-</w:t>
            </w:r>
          </w:p>
        </w:tc>
        <w:tc>
          <w:tcPr>
            <w:tcW w:w="1176" w:type="dxa"/>
            <w:shd w:val="clear" w:color="auto" w:fill="auto"/>
            <w:noWrap/>
          </w:tcPr>
          <w:p w14:paraId="2FDBFE84" w14:textId="77777777" w:rsidR="003E5BF5" w:rsidRPr="00020050" w:rsidRDefault="003E5BF5" w:rsidP="00DE1921">
            <w:pPr>
              <w:jc w:val="right"/>
              <w:rPr>
                <w:rFonts w:ascii="Arial" w:hAnsi="Arial" w:cs="Arial"/>
                <w:sz w:val="24"/>
                <w:szCs w:val="24"/>
              </w:rPr>
            </w:pPr>
            <w:r w:rsidRPr="00020050">
              <w:rPr>
                <w:rFonts w:ascii="Arial" w:hAnsi="Arial" w:cs="Arial"/>
                <w:b/>
                <w:sz w:val="24"/>
                <w:szCs w:val="24"/>
              </w:rPr>
              <w:t>-</w:t>
            </w:r>
          </w:p>
        </w:tc>
        <w:tc>
          <w:tcPr>
            <w:tcW w:w="1108" w:type="dxa"/>
            <w:shd w:val="clear" w:color="auto" w:fill="auto"/>
            <w:noWrap/>
          </w:tcPr>
          <w:p w14:paraId="25BFCA33" w14:textId="77777777" w:rsidR="003E5BF5" w:rsidRPr="00020050" w:rsidRDefault="003E5BF5" w:rsidP="00DE1921">
            <w:pPr>
              <w:jc w:val="right"/>
              <w:rPr>
                <w:rFonts w:ascii="Arial" w:hAnsi="Arial" w:cs="Arial"/>
                <w:sz w:val="24"/>
                <w:szCs w:val="24"/>
              </w:rPr>
            </w:pPr>
            <w:r w:rsidRPr="00020050">
              <w:rPr>
                <w:rFonts w:ascii="Arial" w:hAnsi="Arial" w:cs="Arial"/>
                <w:b/>
                <w:sz w:val="24"/>
                <w:szCs w:val="24"/>
              </w:rPr>
              <w:t>-</w:t>
            </w:r>
          </w:p>
        </w:tc>
        <w:tc>
          <w:tcPr>
            <w:tcW w:w="1286" w:type="dxa"/>
            <w:shd w:val="clear" w:color="auto" w:fill="auto"/>
            <w:noWrap/>
          </w:tcPr>
          <w:p w14:paraId="49BCBB80" w14:textId="77777777" w:rsidR="003E5BF5" w:rsidRPr="00020050" w:rsidRDefault="003E5BF5" w:rsidP="00DE1921">
            <w:pPr>
              <w:jc w:val="right"/>
              <w:rPr>
                <w:rFonts w:ascii="Arial" w:hAnsi="Arial" w:cs="Arial"/>
                <w:sz w:val="24"/>
                <w:szCs w:val="24"/>
              </w:rPr>
            </w:pPr>
            <w:r w:rsidRPr="00020050">
              <w:rPr>
                <w:rFonts w:ascii="Arial" w:hAnsi="Arial" w:cs="Arial"/>
                <w:b/>
                <w:sz w:val="24"/>
                <w:szCs w:val="24"/>
              </w:rPr>
              <w:t>-</w:t>
            </w:r>
          </w:p>
        </w:tc>
        <w:tc>
          <w:tcPr>
            <w:tcW w:w="1092" w:type="dxa"/>
            <w:shd w:val="clear" w:color="auto" w:fill="auto"/>
            <w:noWrap/>
          </w:tcPr>
          <w:p w14:paraId="68720772" w14:textId="77777777" w:rsidR="003E5BF5" w:rsidRPr="00020050" w:rsidRDefault="003E5BF5" w:rsidP="00DE1921">
            <w:pPr>
              <w:jc w:val="right"/>
              <w:rPr>
                <w:rFonts w:ascii="Arial" w:hAnsi="Arial" w:cs="Arial"/>
                <w:sz w:val="24"/>
                <w:szCs w:val="24"/>
              </w:rPr>
            </w:pPr>
            <w:r w:rsidRPr="00020050">
              <w:rPr>
                <w:rFonts w:ascii="Arial" w:hAnsi="Arial" w:cs="Arial"/>
                <w:b/>
                <w:sz w:val="24"/>
                <w:szCs w:val="24"/>
              </w:rPr>
              <w:t>-</w:t>
            </w:r>
          </w:p>
        </w:tc>
      </w:tr>
      <w:tr w:rsidR="003E5BF5" w:rsidRPr="00020050" w14:paraId="77357C5E" w14:textId="77777777" w:rsidTr="007D4F5B">
        <w:trPr>
          <w:gridAfter w:val="1"/>
          <w:wAfter w:w="42" w:type="dxa"/>
          <w:trHeight w:val="340"/>
        </w:trPr>
        <w:tc>
          <w:tcPr>
            <w:tcW w:w="2867" w:type="dxa"/>
            <w:shd w:val="clear" w:color="auto" w:fill="auto"/>
            <w:noWrap/>
            <w:vAlign w:val="center"/>
            <w:hideMark/>
          </w:tcPr>
          <w:p w14:paraId="54F6E9AD"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Other operating expenses</w:t>
            </w:r>
          </w:p>
        </w:tc>
        <w:tc>
          <w:tcPr>
            <w:tcW w:w="1176" w:type="dxa"/>
            <w:shd w:val="clear" w:color="auto" w:fill="auto"/>
            <w:noWrap/>
            <w:vAlign w:val="center"/>
            <w:hideMark/>
          </w:tcPr>
          <w:p w14:paraId="1F6F63E5"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(996)</w:t>
            </w:r>
          </w:p>
        </w:tc>
        <w:tc>
          <w:tcPr>
            <w:tcW w:w="1176" w:type="dxa"/>
            <w:shd w:val="clear" w:color="auto" w:fill="auto"/>
            <w:noWrap/>
            <w:vAlign w:val="center"/>
            <w:hideMark/>
          </w:tcPr>
          <w:p w14:paraId="0F581E10"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(10,687)</w:t>
            </w:r>
          </w:p>
        </w:tc>
        <w:tc>
          <w:tcPr>
            <w:tcW w:w="1176" w:type="dxa"/>
            <w:shd w:val="clear" w:color="auto" w:fill="auto"/>
            <w:noWrap/>
            <w:vAlign w:val="center"/>
            <w:hideMark/>
          </w:tcPr>
          <w:p w14:paraId="4286056F"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(621,155)</w:t>
            </w:r>
          </w:p>
        </w:tc>
        <w:tc>
          <w:tcPr>
            <w:tcW w:w="1108" w:type="dxa"/>
            <w:shd w:val="clear" w:color="auto" w:fill="auto"/>
            <w:noWrap/>
            <w:vAlign w:val="center"/>
            <w:hideMark/>
          </w:tcPr>
          <w:p w14:paraId="2A8B40F4"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(32,283)</w:t>
            </w:r>
          </w:p>
        </w:tc>
        <w:tc>
          <w:tcPr>
            <w:tcW w:w="1286" w:type="dxa"/>
            <w:shd w:val="clear" w:color="auto" w:fill="auto"/>
            <w:noWrap/>
            <w:vAlign w:val="center"/>
            <w:hideMark/>
          </w:tcPr>
          <w:p w14:paraId="3B478B03"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(116,408)</w:t>
            </w:r>
          </w:p>
        </w:tc>
        <w:tc>
          <w:tcPr>
            <w:tcW w:w="1092" w:type="dxa"/>
            <w:shd w:val="clear" w:color="auto" w:fill="auto"/>
            <w:noWrap/>
            <w:vAlign w:val="center"/>
            <w:hideMark/>
          </w:tcPr>
          <w:p w14:paraId="42ACB8AC"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(29,455)</w:t>
            </w:r>
          </w:p>
        </w:tc>
      </w:tr>
      <w:tr w:rsidR="003E5BF5" w:rsidRPr="00020050" w14:paraId="09A4F1B6" w14:textId="77777777" w:rsidTr="007D4F5B">
        <w:trPr>
          <w:gridAfter w:val="1"/>
          <w:wAfter w:w="42" w:type="dxa"/>
          <w:trHeight w:val="340"/>
        </w:trPr>
        <w:tc>
          <w:tcPr>
            <w:tcW w:w="2867" w:type="dxa"/>
            <w:shd w:val="clear" w:color="auto" w:fill="auto"/>
            <w:noWrap/>
            <w:vAlign w:val="center"/>
            <w:hideMark/>
          </w:tcPr>
          <w:p w14:paraId="59F112D7"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t>Total expenses from transactions</w:t>
            </w:r>
          </w:p>
        </w:tc>
        <w:tc>
          <w:tcPr>
            <w:tcW w:w="1176" w:type="dxa"/>
            <w:shd w:val="clear" w:color="auto" w:fill="auto"/>
            <w:noWrap/>
            <w:vAlign w:val="center"/>
            <w:hideMark/>
          </w:tcPr>
          <w:p w14:paraId="106CA324"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(98,654)</w:t>
            </w:r>
          </w:p>
        </w:tc>
        <w:tc>
          <w:tcPr>
            <w:tcW w:w="1176" w:type="dxa"/>
            <w:shd w:val="clear" w:color="auto" w:fill="auto"/>
            <w:noWrap/>
            <w:vAlign w:val="center"/>
            <w:hideMark/>
          </w:tcPr>
          <w:p w14:paraId="32BB582C"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(149,417)</w:t>
            </w:r>
          </w:p>
        </w:tc>
        <w:tc>
          <w:tcPr>
            <w:tcW w:w="1176" w:type="dxa"/>
            <w:shd w:val="clear" w:color="auto" w:fill="auto"/>
            <w:noWrap/>
            <w:vAlign w:val="center"/>
            <w:hideMark/>
          </w:tcPr>
          <w:p w14:paraId="58325D62"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(668,249)</w:t>
            </w:r>
          </w:p>
        </w:tc>
        <w:tc>
          <w:tcPr>
            <w:tcW w:w="1108" w:type="dxa"/>
            <w:shd w:val="clear" w:color="auto" w:fill="auto"/>
            <w:noWrap/>
            <w:vAlign w:val="center"/>
            <w:hideMark/>
          </w:tcPr>
          <w:p w14:paraId="1F356ACB"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(292,142)</w:t>
            </w:r>
          </w:p>
        </w:tc>
        <w:tc>
          <w:tcPr>
            <w:tcW w:w="1286" w:type="dxa"/>
            <w:shd w:val="clear" w:color="auto" w:fill="auto"/>
            <w:noWrap/>
            <w:vAlign w:val="center"/>
            <w:hideMark/>
          </w:tcPr>
          <w:p w14:paraId="5F4EC0B1"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(1,653,904)</w:t>
            </w:r>
          </w:p>
        </w:tc>
        <w:tc>
          <w:tcPr>
            <w:tcW w:w="1092" w:type="dxa"/>
            <w:shd w:val="clear" w:color="auto" w:fill="auto"/>
            <w:noWrap/>
            <w:vAlign w:val="center"/>
            <w:hideMark/>
          </w:tcPr>
          <w:p w14:paraId="6B43230F"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(966,379)</w:t>
            </w:r>
          </w:p>
        </w:tc>
      </w:tr>
      <w:tr w:rsidR="003E5BF5" w:rsidRPr="00020050" w14:paraId="1958A39D" w14:textId="77777777" w:rsidTr="007D4F5B">
        <w:trPr>
          <w:gridAfter w:val="1"/>
          <w:wAfter w:w="42" w:type="dxa"/>
          <w:trHeight w:val="340"/>
        </w:trPr>
        <w:tc>
          <w:tcPr>
            <w:tcW w:w="2867" w:type="dxa"/>
            <w:shd w:val="clear" w:color="auto" w:fill="auto"/>
            <w:noWrap/>
            <w:vAlign w:val="center"/>
            <w:hideMark/>
          </w:tcPr>
          <w:p w14:paraId="17D97EF4"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t>Net result from transactions</w:t>
            </w:r>
          </w:p>
        </w:tc>
        <w:tc>
          <w:tcPr>
            <w:tcW w:w="1176" w:type="dxa"/>
            <w:shd w:val="clear" w:color="auto" w:fill="auto"/>
            <w:noWrap/>
            <w:vAlign w:val="center"/>
            <w:hideMark/>
          </w:tcPr>
          <w:p w14:paraId="0DE81416"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1,318 </w:t>
            </w:r>
          </w:p>
        </w:tc>
        <w:tc>
          <w:tcPr>
            <w:tcW w:w="1176" w:type="dxa"/>
            <w:shd w:val="clear" w:color="auto" w:fill="auto"/>
            <w:noWrap/>
            <w:vAlign w:val="center"/>
            <w:hideMark/>
          </w:tcPr>
          <w:p w14:paraId="1B57415F"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(11,645)</w:t>
            </w:r>
          </w:p>
        </w:tc>
        <w:tc>
          <w:tcPr>
            <w:tcW w:w="1176" w:type="dxa"/>
            <w:shd w:val="clear" w:color="auto" w:fill="auto"/>
            <w:noWrap/>
            <w:vAlign w:val="center"/>
            <w:hideMark/>
          </w:tcPr>
          <w:p w14:paraId="7D73A7E2"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(20,581)</w:t>
            </w:r>
          </w:p>
        </w:tc>
        <w:tc>
          <w:tcPr>
            <w:tcW w:w="1108" w:type="dxa"/>
            <w:shd w:val="clear" w:color="auto" w:fill="auto"/>
            <w:noWrap/>
            <w:vAlign w:val="center"/>
            <w:hideMark/>
          </w:tcPr>
          <w:p w14:paraId="58FC8927"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(128,366)</w:t>
            </w:r>
          </w:p>
        </w:tc>
        <w:tc>
          <w:tcPr>
            <w:tcW w:w="1286" w:type="dxa"/>
            <w:shd w:val="clear" w:color="auto" w:fill="auto"/>
            <w:noWrap/>
            <w:vAlign w:val="center"/>
            <w:hideMark/>
          </w:tcPr>
          <w:p w14:paraId="6B268757"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(7,785)</w:t>
            </w:r>
          </w:p>
        </w:tc>
        <w:tc>
          <w:tcPr>
            <w:tcW w:w="1092" w:type="dxa"/>
            <w:shd w:val="clear" w:color="auto" w:fill="auto"/>
            <w:noWrap/>
            <w:vAlign w:val="center"/>
            <w:hideMark/>
          </w:tcPr>
          <w:p w14:paraId="4022FD35"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(350)</w:t>
            </w:r>
          </w:p>
        </w:tc>
      </w:tr>
      <w:tr w:rsidR="003E5BF5" w:rsidRPr="00020050" w14:paraId="13B10EE8" w14:textId="77777777" w:rsidTr="007D4F5B">
        <w:trPr>
          <w:gridAfter w:val="1"/>
          <w:wAfter w:w="42" w:type="dxa"/>
          <w:trHeight w:val="340"/>
        </w:trPr>
        <w:tc>
          <w:tcPr>
            <w:tcW w:w="2867" w:type="dxa"/>
            <w:shd w:val="clear" w:color="auto" w:fill="auto"/>
            <w:noWrap/>
            <w:vAlign w:val="center"/>
          </w:tcPr>
          <w:p w14:paraId="78896AD7" w14:textId="77777777" w:rsidR="003E5BF5" w:rsidRPr="00020050" w:rsidRDefault="003E5BF5" w:rsidP="00DE1921">
            <w:pPr>
              <w:rPr>
                <w:rFonts w:ascii="Arial" w:hAnsi="Arial" w:cs="Arial"/>
                <w:b/>
                <w:sz w:val="24"/>
                <w:szCs w:val="24"/>
                <w:lang w:eastAsia="en-AU"/>
              </w:rPr>
            </w:pPr>
          </w:p>
        </w:tc>
        <w:tc>
          <w:tcPr>
            <w:tcW w:w="1176" w:type="dxa"/>
            <w:shd w:val="clear" w:color="auto" w:fill="auto"/>
            <w:noWrap/>
            <w:vAlign w:val="center"/>
          </w:tcPr>
          <w:p w14:paraId="4AD4ABC5" w14:textId="77777777" w:rsidR="003E5BF5" w:rsidRPr="00020050" w:rsidRDefault="003E5BF5" w:rsidP="00DE1921">
            <w:pPr>
              <w:jc w:val="right"/>
              <w:rPr>
                <w:rFonts w:ascii="Arial" w:hAnsi="Arial" w:cs="Arial"/>
                <w:b/>
                <w:sz w:val="24"/>
                <w:szCs w:val="24"/>
              </w:rPr>
            </w:pPr>
          </w:p>
        </w:tc>
        <w:tc>
          <w:tcPr>
            <w:tcW w:w="1176" w:type="dxa"/>
            <w:shd w:val="clear" w:color="auto" w:fill="auto"/>
            <w:noWrap/>
            <w:vAlign w:val="center"/>
          </w:tcPr>
          <w:p w14:paraId="5BCE9389" w14:textId="77777777" w:rsidR="003E5BF5" w:rsidRPr="00020050" w:rsidRDefault="003E5BF5" w:rsidP="00DE1921">
            <w:pPr>
              <w:jc w:val="right"/>
              <w:rPr>
                <w:rFonts w:ascii="Arial" w:hAnsi="Arial" w:cs="Arial"/>
                <w:b/>
                <w:sz w:val="24"/>
                <w:szCs w:val="24"/>
              </w:rPr>
            </w:pPr>
          </w:p>
        </w:tc>
        <w:tc>
          <w:tcPr>
            <w:tcW w:w="1176" w:type="dxa"/>
            <w:shd w:val="clear" w:color="auto" w:fill="auto"/>
            <w:noWrap/>
            <w:vAlign w:val="center"/>
          </w:tcPr>
          <w:p w14:paraId="1EFEC8FC" w14:textId="77777777" w:rsidR="003E5BF5" w:rsidRPr="00020050" w:rsidRDefault="003E5BF5" w:rsidP="00DE1921">
            <w:pPr>
              <w:jc w:val="right"/>
              <w:rPr>
                <w:rFonts w:ascii="Arial" w:hAnsi="Arial" w:cs="Arial"/>
                <w:b/>
                <w:sz w:val="24"/>
                <w:szCs w:val="24"/>
              </w:rPr>
            </w:pPr>
          </w:p>
        </w:tc>
        <w:tc>
          <w:tcPr>
            <w:tcW w:w="1108" w:type="dxa"/>
            <w:shd w:val="clear" w:color="auto" w:fill="auto"/>
            <w:noWrap/>
            <w:vAlign w:val="center"/>
          </w:tcPr>
          <w:p w14:paraId="2F7139B3" w14:textId="77777777" w:rsidR="003E5BF5" w:rsidRPr="00020050" w:rsidRDefault="003E5BF5" w:rsidP="00DE1921">
            <w:pPr>
              <w:jc w:val="right"/>
              <w:rPr>
                <w:rFonts w:ascii="Arial" w:hAnsi="Arial" w:cs="Arial"/>
                <w:b/>
                <w:sz w:val="24"/>
                <w:szCs w:val="24"/>
              </w:rPr>
            </w:pPr>
          </w:p>
        </w:tc>
        <w:tc>
          <w:tcPr>
            <w:tcW w:w="1286" w:type="dxa"/>
            <w:shd w:val="clear" w:color="auto" w:fill="auto"/>
            <w:noWrap/>
            <w:vAlign w:val="center"/>
          </w:tcPr>
          <w:p w14:paraId="25BF4CD0" w14:textId="77777777" w:rsidR="003E5BF5" w:rsidRPr="00020050" w:rsidRDefault="003E5BF5" w:rsidP="00DE1921">
            <w:pPr>
              <w:jc w:val="right"/>
              <w:rPr>
                <w:rFonts w:ascii="Arial" w:hAnsi="Arial" w:cs="Arial"/>
                <w:b/>
                <w:sz w:val="24"/>
                <w:szCs w:val="24"/>
              </w:rPr>
            </w:pPr>
          </w:p>
        </w:tc>
        <w:tc>
          <w:tcPr>
            <w:tcW w:w="1092" w:type="dxa"/>
            <w:shd w:val="clear" w:color="auto" w:fill="auto"/>
            <w:noWrap/>
            <w:vAlign w:val="center"/>
          </w:tcPr>
          <w:p w14:paraId="36F297A9" w14:textId="77777777" w:rsidR="003E5BF5" w:rsidRPr="00020050" w:rsidRDefault="003E5BF5" w:rsidP="00DE1921">
            <w:pPr>
              <w:jc w:val="right"/>
              <w:rPr>
                <w:rFonts w:ascii="Arial" w:hAnsi="Arial" w:cs="Arial"/>
                <w:b/>
                <w:sz w:val="24"/>
                <w:szCs w:val="24"/>
              </w:rPr>
            </w:pPr>
          </w:p>
        </w:tc>
      </w:tr>
      <w:tr w:rsidR="003E5BF5" w:rsidRPr="00020050" w14:paraId="4A34B25A" w14:textId="77777777" w:rsidTr="007D4F5B">
        <w:trPr>
          <w:gridAfter w:val="1"/>
          <w:wAfter w:w="42" w:type="dxa"/>
          <w:trHeight w:val="340"/>
        </w:trPr>
        <w:tc>
          <w:tcPr>
            <w:tcW w:w="2867" w:type="dxa"/>
            <w:shd w:val="clear" w:color="auto" w:fill="auto"/>
            <w:noWrap/>
            <w:hideMark/>
          </w:tcPr>
          <w:p w14:paraId="0A958BF6" w14:textId="77777777" w:rsidR="003E5BF5" w:rsidRPr="00020050" w:rsidRDefault="003E5BF5" w:rsidP="00604703">
            <w:pPr>
              <w:pStyle w:val="TableTextGreen"/>
            </w:pPr>
            <w:r w:rsidRPr="00020050">
              <w:t>Other economic flows included in net result</w:t>
            </w:r>
          </w:p>
        </w:tc>
        <w:tc>
          <w:tcPr>
            <w:tcW w:w="1176" w:type="dxa"/>
            <w:shd w:val="clear" w:color="auto" w:fill="auto"/>
            <w:noWrap/>
            <w:vAlign w:val="center"/>
            <w:hideMark/>
          </w:tcPr>
          <w:p w14:paraId="26272041" w14:textId="77777777" w:rsidR="003E5BF5" w:rsidRPr="00020050" w:rsidRDefault="003E5BF5" w:rsidP="00DE1921">
            <w:pPr>
              <w:jc w:val="right"/>
              <w:rPr>
                <w:rFonts w:ascii="Arial" w:hAnsi="Arial" w:cs="Arial"/>
                <w:sz w:val="24"/>
                <w:szCs w:val="24"/>
                <w:lang w:eastAsia="en-AU"/>
              </w:rPr>
            </w:pPr>
          </w:p>
        </w:tc>
        <w:tc>
          <w:tcPr>
            <w:tcW w:w="1176" w:type="dxa"/>
            <w:shd w:val="clear" w:color="auto" w:fill="auto"/>
            <w:noWrap/>
            <w:vAlign w:val="center"/>
            <w:hideMark/>
          </w:tcPr>
          <w:p w14:paraId="460D26D1" w14:textId="77777777" w:rsidR="003E5BF5" w:rsidRPr="00020050" w:rsidRDefault="003E5BF5" w:rsidP="00DE1921">
            <w:pPr>
              <w:jc w:val="right"/>
              <w:rPr>
                <w:rFonts w:ascii="Arial" w:hAnsi="Arial" w:cs="Arial"/>
                <w:sz w:val="24"/>
                <w:szCs w:val="24"/>
                <w:lang w:eastAsia="en-AU"/>
              </w:rPr>
            </w:pPr>
          </w:p>
        </w:tc>
        <w:tc>
          <w:tcPr>
            <w:tcW w:w="1176" w:type="dxa"/>
            <w:shd w:val="clear" w:color="auto" w:fill="auto"/>
            <w:noWrap/>
            <w:vAlign w:val="center"/>
            <w:hideMark/>
          </w:tcPr>
          <w:p w14:paraId="01970B87" w14:textId="77777777" w:rsidR="003E5BF5" w:rsidRPr="00020050" w:rsidRDefault="003E5BF5" w:rsidP="00DE1921">
            <w:pPr>
              <w:jc w:val="right"/>
              <w:rPr>
                <w:rFonts w:ascii="Arial" w:hAnsi="Arial" w:cs="Arial"/>
                <w:sz w:val="24"/>
                <w:szCs w:val="24"/>
                <w:lang w:eastAsia="en-AU"/>
              </w:rPr>
            </w:pPr>
          </w:p>
        </w:tc>
        <w:tc>
          <w:tcPr>
            <w:tcW w:w="1108" w:type="dxa"/>
            <w:shd w:val="clear" w:color="auto" w:fill="auto"/>
            <w:noWrap/>
            <w:vAlign w:val="center"/>
            <w:hideMark/>
          </w:tcPr>
          <w:p w14:paraId="1AA1E73A" w14:textId="77777777" w:rsidR="003E5BF5" w:rsidRPr="00020050" w:rsidRDefault="003E5BF5" w:rsidP="00DE1921">
            <w:pPr>
              <w:jc w:val="right"/>
              <w:rPr>
                <w:rFonts w:ascii="Arial" w:hAnsi="Arial" w:cs="Arial"/>
                <w:sz w:val="24"/>
                <w:szCs w:val="24"/>
                <w:lang w:eastAsia="en-AU"/>
              </w:rPr>
            </w:pPr>
          </w:p>
        </w:tc>
        <w:tc>
          <w:tcPr>
            <w:tcW w:w="1286" w:type="dxa"/>
            <w:shd w:val="clear" w:color="auto" w:fill="auto"/>
            <w:noWrap/>
            <w:vAlign w:val="center"/>
            <w:hideMark/>
          </w:tcPr>
          <w:p w14:paraId="503063DA" w14:textId="77777777" w:rsidR="003E5BF5" w:rsidRPr="00020050" w:rsidRDefault="003E5BF5" w:rsidP="00DE1921">
            <w:pPr>
              <w:jc w:val="right"/>
              <w:rPr>
                <w:rFonts w:ascii="Arial" w:hAnsi="Arial" w:cs="Arial"/>
                <w:sz w:val="24"/>
                <w:szCs w:val="24"/>
                <w:lang w:eastAsia="en-AU"/>
              </w:rPr>
            </w:pPr>
          </w:p>
        </w:tc>
        <w:tc>
          <w:tcPr>
            <w:tcW w:w="1092" w:type="dxa"/>
            <w:shd w:val="clear" w:color="auto" w:fill="auto"/>
            <w:noWrap/>
            <w:vAlign w:val="center"/>
            <w:hideMark/>
          </w:tcPr>
          <w:p w14:paraId="6B7387FC" w14:textId="77777777" w:rsidR="003E5BF5" w:rsidRPr="00020050" w:rsidRDefault="003E5BF5" w:rsidP="00DE1921">
            <w:pPr>
              <w:jc w:val="right"/>
              <w:rPr>
                <w:rFonts w:ascii="Arial" w:hAnsi="Arial" w:cs="Arial"/>
                <w:sz w:val="24"/>
                <w:szCs w:val="24"/>
                <w:lang w:eastAsia="en-AU"/>
              </w:rPr>
            </w:pPr>
          </w:p>
        </w:tc>
      </w:tr>
      <w:tr w:rsidR="003E5BF5" w:rsidRPr="00020050" w14:paraId="36F0558A" w14:textId="77777777" w:rsidTr="007D4F5B">
        <w:trPr>
          <w:gridAfter w:val="1"/>
          <w:wAfter w:w="42" w:type="dxa"/>
          <w:trHeight w:val="340"/>
        </w:trPr>
        <w:tc>
          <w:tcPr>
            <w:tcW w:w="2867" w:type="dxa"/>
            <w:shd w:val="clear" w:color="auto" w:fill="auto"/>
            <w:noWrap/>
            <w:vAlign w:val="center"/>
            <w:hideMark/>
          </w:tcPr>
          <w:p w14:paraId="62AAFE6F"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Net loss on non-financial assets</w:t>
            </w:r>
          </w:p>
        </w:tc>
        <w:tc>
          <w:tcPr>
            <w:tcW w:w="1176" w:type="dxa"/>
            <w:shd w:val="clear" w:color="auto" w:fill="auto"/>
            <w:noWrap/>
            <w:vAlign w:val="center"/>
            <w:hideMark/>
          </w:tcPr>
          <w:p w14:paraId="54EFDD10"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(328)</w:t>
            </w:r>
          </w:p>
        </w:tc>
        <w:tc>
          <w:tcPr>
            <w:tcW w:w="1176" w:type="dxa"/>
            <w:shd w:val="clear" w:color="auto" w:fill="auto"/>
            <w:noWrap/>
            <w:vAlign w:val="center"/>
            <w:hideMark/>
          </w:tcPr>
          <w:p w14:paraId="11008881"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(20)</w:t>
            </w:r>
          </w:p>
        </w:tc>
        <w:tc>
          <w:tcPr>
            <w:tcW w:w="1176" w:type="dxa"/>
            <w:shd w:val="clear" w:color="auto" w:fill="auto"/>
            <w:noWrap/>
            <w:vAlign w:val="center"/>
            <w:hideMark/>
          </w:tcPr>
          <w:p w14:paraId="5C818099"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(759)</w:t>
            </w:r>
          </w:p>
        </w:tc>
        <w:tc>
          <w:tcPr>
            <w:tcW w:w="1108" w:type="dxa"/>
            <w:shd w:val="clear" w:color="auto" w:fill="auto"/>
            <w:noWrap/>
            <w:vAlign w:val="center"/>
            <w:hideMark/>
          </w:tcPr>
          <w:p w14:paraId="6F2F4F36"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(46)</w:t>
            </w:r>
          </w:p>
        </w:tc>
        <w:tc>
          <w:tcPr>
            <w:tcW w:w="1286" w:type="dxa"/>
            <w:shd w:val="clear" w:color="auto" w:fill="auto"/>
            <w:noWrap/>
            <w:vAlign w:val="center"/>
            <w:hideMark/>
          </w:tcPr>
          <w:p w14:paraId="04FEBE76"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(527,544)</w:t>
            </w:r>
          </w:p>
        </w:tc>
        <w:tc>
          <w:tcPr>
            <w:tcW w:w="1092" w:type="dxa"/>
            <w:shd w:val="clear" w:color="auto" w:fill="auto"/>
            <w:noWrap/>
            <w:vAlign w:val="center"/>
            <w:hideMark/>
          </w:tcPr>
          <w:p w14:paraId="3BDD6173"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(60)</w:t>
            </w:r>
          </w:p>
        </w:tc>
      </w:tr>
      <w:tr w:rsidR="003E5BF5" w:rsidRPr="00020050" w14:paraId="5899E346" w14:textId="77777777" w:rsidTr="007D4F5B">
        <w:trPr>
          <w:gridAfter w:val="1"/>
          <w:wAfter w:w="42" w:type="dxa"/>
          <w:trHeight w:val="340"/>
        </w:trPr>
        <w:tc>
          <w:tcPr>
            <w:tcW w:w="2867" w:type="dxa"/>
            <w:shd w:val="clear" w:color="auto" w:fill="auto"/>
            <w:noWrap/>
            <w:vAlign w:val="center"/>
            <w:hideMark/>
          </w:tcPr>
          <w:p w14:paraId="3D0E6407"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Net loss on financial instruments</w:t>
            </w:r>
          </w:p>
        </w:tc>
        <w:tc>
          <w:tcPr>
            <w:tcW w:w="1176" w:type="dxa"/>
            <w:shd w:val="clear" w:color="auto" w:fill="auto"/>
            <w:noWrap/>
            <w:vAlign w:val="center"/>
            <w:hideMark/>
          </w:tcPr>
          <w:p w14:paraId="6C2032A9"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c>
          <w:tcPr>
            <w:tcW w:w="1176" w:type="dxa"/>
            <w:shd w:val="clear" w:color="auto" w:fill="auto"/>
            <w:noWrap/>
            <w:vAlign w:val="center"/>
            <w:hideMark/>
          </w:tcPr>
          <w:p w14:paraId="2A448098"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c>
          <w:tcPr>
            <w:tcW w:w="1176" w:type="dxa"/>
            <w:shd w:val="clear" w:color="auto" w:fill="auto"/>
            <w:noWrap/>
            <w:vAlign w:val="center"/>
            <w:hideMark/>
          </w:tcPr>
          <w:p w14:paraId="21062328"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(1,324)</w:t>
            </w:r>
          </w:p>
        </w:tc>
        <w:tc>
          <w:tcPr>
            <w:tcW w:w="1108" w:type="dxa"/>
            <w:shd w:val="clear" w:color="auto" w:fill="auto"/>
            <w:noWrap/>
            <w:vAlign w:val="center"/>
            <w:hideMark/>
          </w:tcPr>
          <w:p w14:paraId="037F8A81"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c>
          <w:tcPr>
            <w:tcW w:w="1286" w:type="dxa"/>
            <w:shd w:val="clear" w:color="auto" w:fill="auto"/>
            <w:noWrap/>
            <w:vAlign w:val="center"/>
            <w:hideMark/>
          </w:tcPr>
          <w:p w14:paraId="4EF12997"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(138)</w:t>
            </w:r>
          </w:p>
        </w:tc>
        <w:tc>
          <w:tcPr>
            <w:tcW w:w="1092" w:type="dxa"/>
            <w:shd w:val="clear" w:color="auto" w:fill="auto"/>
            <w:noWrap/>
            <w:vAlign w:val="center"/>
            <w:hideMark/>
          </w:tcPr>
          <w:p w14:paraId="14D55E93"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r w:rsidRPr="00020050">
              <w:rPr>
                <w:rFonts w:ascii="Arial" w:hAnsi="Arial" w:cs="Arial"/>
                <w:sz w:val="24"/>
                <w:szCs w:val="24"/>
              </w:rPr>
              <w:t xml:space="preserve"> </w:t>
            </w:r>
          </w:p>
        </w:tc>
      </w:tr>
      <w:tr w:rsidR="003E5BF5" w:rsidRPr="00020050" w14:paraId="7567A354" w14:textId="77777777" w:rsidTr="007D4F5B">
        <w:trPr>
          <w:gridAfter w:val="1"/>
          <w:wAfter w:w="42" w:type="dxa"/>
          <w:trHeight w:val="340"/>
        </w:trPr>
        <w:tc>
          <w:tcPr>
            <w:tcW w:w="2867" w:type="dxa"/>
            <w:shd w:val="clear" w:color="auto" w:fill="auto"/>
            <w:noWrap/>
            <w:hideMark/>
          </w:tcPr>
          <w:p w14:paraId="22B0E546"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Other gains/(losses) from other economic flows</w:t>
            </w:r>
          </w:p>
        </w:tc>
        <w:tc>
          <w:tcPr>
            <w:tcW w:w="1176" w:type="dxa"/>
            <w:shd w:val="clear" w:color="auto" w:fill="auto"/>
            <w:noWrap/>
            <w:hideMark/>
          </w:tcPr>
          <w:p w14:paraId="77587708"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w:t>
            </w:r>
          </w:p>
        </w:tc>
        <w:tc>
          <w:tcPr>
            <w:tcW w:w="1176" w:type="dxa"/>
            <w:shd w:val="clear" w:color="auto" w:fill="auto"/>
            <w:noWrap/>
            <w:hideMark/>
          </w:tcPr>
          <w:p w14:paraId="17DB6E7C"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(10)</w:t>
            </w:r>
          </w:p>
        </w:tc>
        <w:tc>
          <w:tcPr>
            <w:tcW w:w="1176" w:type="dxa"/>
            <w:shd w:val="clear" w:color="auto" w:fill="auto"/>
            <w:noWrap/>
            <w:hideMark/>
          </w:tcPr>
          <w:p w14:paraId="582A5932"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(4)</w:t>
            </w:r>
          </w:p>
        </w:tc>
        <w:tc>
          <w:tcPr>
            <w:tcW w:w="1108" w:type="dxa"/>
            <w:shd w:val="clear" w:color="auto" w:fill="auto"/>
            <w:noWrap/>
            <w:hideMark/>
          </w:tcPr>
          <w:p w14:paraId="6BACBE4F"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(22)</w:t>
            </w:r>
          </w:p>
        </w:tc>
        <w:tc>
          <w:tcPr>
            <w:tcW w:w="1286" w:type="dxa"/>
            <w:shd w:val="clear" w:color="auto" w:fill="auto"/>
            <w:noWrap/>
            <w:hideMark/>
          </w:tcPr>
          <w:p w14:paraId="5D0DD329"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(2,638)</w:t>
            </w:r>
          </w:p>
        </w:tc>
        <w:tc>
          <w:tcPr>
            <w:tcW w:w="1092" w:type="dxa"/>
            <w:shd w:val="clear" w:color="auto" w:fill="auto"/>
            <w:noWrap/>
            <w:hideMark/>
          </w:tcPr>
          <w:p w14:paraId="766AAC79"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(135)</w:t>
            </w:r>
          </w:p>
        </w:tc>
      </w:tr>
      <w:tr w:rsidR="003E5BF5" w:rsidRPr="00020050" w14:paraId="3107846A" w14:textId="77777777" w:rsidTr="007D4F5B">
        <w:trPr>
          <w:gridAfter w:val="1"/>
          <w:wAfter w:w="42" w:type="dxa"/>
          <w:trHeight w:val="340"/>
        </w:trPr>
        <w:tc>
          <w:tcPr>
            <w:tcW w:w="2867" w:type="dxa"/>
            <w:shd w:val="clear" w:color="auto" w:fill="auto"/>
            <w:noWrap/>
            <w:hideMark/>
          </w:tcPr>
          <w:p w14:paraId="23F1B3A5"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t>Total other economic flows included in net result</w:t>
            </w:r>
          </w:p>
        </w:tc>
        <w:tc>
          <w:tcPr>
            <w:tcW w:w="1176" w:type="dxa"/>
            <w:shd w:val="clear" w:color="auto" w:fill="auto"/>
            <w:noWrap/>
            <w:hideMark/>
          </w:tcPr>
          <w:p w14:paraId="0A858A99"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(330)</w:t>
            </w:r>
          </w:p>
        </w:tc>
        <w:tc>
          <w:tcPr>
            <w:tcW w:w="1176" w:type="dxa"/>
            <w:shd w:val="clear" w:color="auto" w:fill="auto"/>
            <w:noWrap/>
            <w:hideMark/>
          </w:tcPr>
          <w:p w14:paraId="4022D843"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(30)</w:t>
            </w:r>
          </w:p>
        </w:tc>
        <w:tc>
          <w:tcPr>
            <w:tcW w:w="1176" w:type="dxa"/>
            <w:shd w:val="clear" w:color="auto" w:fill="auto"/>
            <w:noWrap/>
            <w:hideMark/>
          </w:tcPr>
          <w:p w14:paraId="13CF6386"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(2,087)</w:t>
            </w:r>
          </w:p>
        </w:tc>
        <w:tc>
          <w:tcPr>
            <w:tcW w:w="1108" w:type="dxa"/>
            <w:shd w:val="clear" w:color="auto" w:fill="auto"/>
            <w:noWrap/>
            <w:hideMark/>
          </w:tcPr>
          <w:p w14:paraId="1629D5B6"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(68)</w:t>
            </w:r>
          </w:p>
        </w:tc>
        <w:tc>
          <w:tcPr>
            <w:tcW w:w="1286" w:type="dxa"/>
            <w:shd w:val="clear" w:color="auto" w:fill="auto"/>
            <w:noWrap/>
            <w:hideMark/>
          </w:tcPr>
          <w:p w14:paraId="5DF86C46"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(530,320)</w:t>
            </w:r>
          </w:p>
        </w:tc>
        <w:tc>
          <w:tcPr>
            <w:tcW w:w="1092" w:type="dxa"/>
            <w:shd w:val="clear" w:color="auto" w:fill="auto"/>
            <w:noWrap/>
            <w:hideMark/>
          </w:tcPr>
          <w:p w14:paraId="1E5EAC5F"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(195)</w:t>
            </w:r>
          </w:p>
        </w:tc>
      </w:tr>
      <w:tr w:rsidR="003E5BF5" w:rsidRPr="00020050" w14:paraId="3B14C8C8" w14:textId="77777777" w:rsidTr="007D4F5B">
        <w:trPr>
          <w:gridAfter w:val="1"/>
          <w:wAfter w:w="42" w:type="dxa"/>
          <w:trHeight w:val="340"/>
        </w:trPr>
        <w:tc>
          <w:tcPr>
            <w:tcW w:w="2867" w:type="dxa"/>
            <w:shd w:val="clear" w:color="auto" w:fill="auto"/>
            <w:noWrap/>
            <w:vAlign w:val="center"/>
            <w:hideMark/>
          </w:tcPr>
          <w:p w14:paraId="086FB06D"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lastRenderedPageBreak/>
              <w:t>Net result</w:t>
            </w:r>
          </w:p>
        </w:tc>
        <w:tc>
          <w:tcPr>
            <w:tcW w:w="1176" w:type="dxa"/>
            <w:shd w:val="clear" w:color="auto" w:fill="auto"/>
            <w:noWrap/>
            <w:vAlign w:val="center"/>
            <w:hideMark/>
          </w:tcPr>
          <w:p w14:paraId="3FCFF7E0"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988 </w:t>
            </w:r>
          </w:p>
        </w:tc>
        <w:tc>
          <w:tcPr>
            <w:tcW w:w="1176" w:type="dxa"/>
            <w:shd w:val="clear" w:color="auto" w:fill="auto"/>
            <w:noWrap/>
            <w:vAlign w:val="center"/>
            <w:hideMark/>
          </w:tcPr>
          <w:p w14:paraId="286521A5"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(11,675)</w:t>
            </w:r>
          </w:p>
        </w:tc>
        <w:tc>
          <w:tcPr>
            <w:tcW w:w="1176" w:type="dxa"/>
            <w:shd w:val="clear" w:color="auto" w:fill="auto"/>
            <w:noWrap/>
            <w:vAlign w:val="center"/>
            <w:hideMark/>
          </w:tcPr>
          <w:p w14:paraId="4AC8858A"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(22,668)</w:t>
            </w:r>
          </w:p>
        </w:tc>
        <w:tc>
          <w:tcPr>
            <w:tcW w:w="1108" w:type="dxa"/>
            <w:shd w:val="clear" w:color="auto" w:fill="auto"/>
            <w:noWrap/>
            <w:vAlign w:val="center"/>
            <w:hideMark/>
          </w:tcPr>
          <w:p w14:paraId="09B7EDBB"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(128,434)</w:t>
            </w:r>
          </w:p>
        </w:tc>
        <w:tc>
          <w:tcPr>
            <w:tcW w:w="1286" w:type="dxa"/>
            <w:shd w:val="clear" w:color="auto" w:fill="auto"/>
            <w:noWrap/>
            <w:vAlign w:val="center"/>
            <w:hideMark/>
          </w:tcPr>
          <w:p w14:paraId="7027D64E"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(538,105)</w:t>
            </w:r>
          </w:p>
        </w:tc>
        <w:tc>
          <w:tcPr>
            <w:tcW w:w="1092" w:type="dxa"/>
            <w:shd w:val="clear" w:color="auto" w:fill="auto"/>
            <w:noWrap/>
            <w:vAlign w:val="center"/>
            <w:hideMark/>
          </w:tcPr>
          <w:p w14:paraId="43555117"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(545)</w:t>
            </w:r>
          </w:p>
        </w:tc>
      </w:tr>
      <w:tr w:rsidR="003E5BF5" w:rsidRPr="00020050" w14:paraId="4E3222D1" w14:textId="77777777" w:rsidTr="007D4F5B">
        <w:trPr>
          <w:gridAfter w:val="1"/>
          <w:wAfter w:w="42" w:type="dxa"/>
          <w:trHeight w:val="340"/>
        </w:trPr>
        <w:tc>
          <w:tcPr>
            <w:tcW w:w="2867" w:type="dxa"/>
            <w:shd w:val="clear" w:color="auto" w:fill="auto"/>
            <w:noWrap/>
            <w:hideMark/>
          </w:tcPr>
          <w:p w14:paraId="276769F0" w14:textId="77777777" w:rsidR="003E5BF5" w:rsidRPr="00020050" w:rsidRDefault="003E5BF5" w:rsidP="00604703">
            <w:pPr>
              <w:pStyle w:val="TableTextGreen"/>
            </w:pPr>
            <w:r w:rsidRPr="00020050">
              <w:t>Items that will not be reclassified to net result</w:t>
            </w:r>
          </w:p>
        </w:tc>
        <w:tc>
          <w:tcPr>
            <w:tcW w:w="1176" w:type="dxa"/>
            <w:shd w:val="clear" w:color="auto" w:fill="auto"/>
            <w:noWrap/>
            <w:vAlign w:val="center"/>
            <w:hideMark/>
          </w:tcPr>
          <w:p w14:paraId="4557E864" w14:textId="77777777" w:rsidR="003E5BF5" w:rsidRPr="00020050" w:rsidRDefault="003E5BF5" w:rsidP="00DE1921">
            <w:pPr>
              <w:jc w:val="right"/>
              <w:rPr>
                <w:rFonts w:ascii="Arial" w:hAnsi="Arial" w:cs="Arial"/>
                <w:b/>
                <w:sz w:val="24"/>
                <w:szCs w:val="24"/>
                <w:lang w:eastAsia="en-AU"/>
              </w:rPr>
            </w:pPr>
          </w:p>
        </w:tc>
        <w:tc>
          <w:tcPr>
            <w:tcW w:w="1176" w:type="dxa"/>
            <w:shd w:val="clear" w:color="auto" w:fill="auto"/>
            <w:noWrap/>
            <w:vAlign w:val="center"/>
            <w:hideMark/>
          </w:tcPr>
          <w:p w14:paraId="587B13C0" w14:textId="77777777" w:rsidR="003E5BF5" w:rsidRPr="00020050" w:rsidRDefault="003E5BF5" w:rsidP="00DE1921">
            <w:pPr>
              <w:jc w:val="right"/>
              <w:rPr>
                <w:rFonts w:ascii="Arial" w:hAnsi="Arial" w:cs="Arial"/>
                <w:b/>
                <w:sz w:val="24"/>
                <w:szCs w:val="24"/>
                <w:lang w:eastAsia="en-AU"/>
              </w:rPr>
            </w:pPr>
          </w:p>
        </w:tc>
        <w:tc>
          <w:tcPr>
            <w:tcW w:w="1176" w:type="dxa"/>
            <w:shd w:val="clear" w:color="auto" w:fill="auto"/>
            <w:noWrap/>
            <w:vAlign w:val="center"/>
            <w:hideMark/>
          </w:tcPr>
          <w:p w14:paraId="04B19B46" w14:textId="77777777" w:rsidR="003E5BF5" w:rsidRPr="00020050" w:rsidRDefault="003E5BF5" w:rsidP="00DE1921">
            <w:pPr>
              <w:jc w:val="right"/>
              <w:rPr>
                <w:rFonts w:ascii="Arial" w:hAnsi="Arial" w:cs="Arial"/>
                <w:b/>
                <w:sz w:val="24"/>
                <w:szCs w:val="24"/>
                <w:lang w:eastAsia="en-AU"/>
              </w:rPr>
            </w:pPr>
          </w:p>
        </w:tc>
        <w:tc>
          <w:tcPr>
            <w:tcW w:w="1108" w:type="dxa"/>
            <w:shd w:val="clear" w:color="auto" w:fill="auto"/>
            <w:noWrap/>
            <w:vAlign w:val="center"/>
            <w:hideMark/>
          </w:tcPr>
          <w:p w14:paraId="2C9E7CD6" w14:textId="77777777" w:rsidR="003E5BF5" w:rsidRPr="00020050" w:rsidRDefault="003E5BF5" w:rsidP="00DE1921">
            <w:pPr>
              <w:jc w:val="right"/>
              <w:rPr>
                <w:rFonts w:ascii="Arial" w:hAnsi="Arial" w:cs="Arial"/>
                <w:b/>
                <w:sz w:val="24"/>
                <w:szCs w:val="24"/>
                <w:lang w:eastAsia="en-AU"/>
              </w:rPr>
            </w:pPr>
          </w:p>
        </w:tc>
        <w:tc>
          <w:tcPr>
            <w:tcW w:w="1286" w:type="dxa"/>
            <w:shd w:val="clear" w:color="auto" w:fill="auto"/>
            <w:noWrap/>
            <w:vAlign w:val="center"/>
            <w:hideMark/>
          </w:tcPr>
          <w:p w14:paraId="5727DE41" w14:textId="77777777" w:rsidR="003E5BF5" w:rsidRPr="00020050" w:rsidRDefault="003E5BF5" w:rsidP="00DE1921">
            <w:pPr>
              <w:jc w:val="right"/>
              <w:rPr>
                <w:rFonts w:ascii="Arial" w:hAnsi="Arial" w:cs="Arial"/>
                <w:b/>
                <w:sz w:val="24"/>
                <w:szCs w:val="24"/>
                <w:lang w:eastAsia="en-AU"/>
              </w:rPr>
            </w:pPr>
          </w:p>
        </w:tc>
        <w:tc>
          <w:tcPr>
            <w:tcW w:w="1092" w:type="dxa"/>
            <w:shd w:val="clear" w:color="auto" w:fill="auto"/>
            <w:noWrap/>
            <w:vAlign w:val="center"/>
            <w:hideMark/>
          </w:tcPr>
          <w:p w14:paraId="2F864C84" w14:textId="77777777" w:rsidR="003E5BF5" w:rsidRPr="00020050" w:rsidRDefault="003E5BF5" w:rsidP="00DE1921">
            <w:pPr>
              <w:jc w:val="right"/>
              <w:rPr>
                <w:rFonts w:ascii="Arial" w:hAnsi="Arial" w:cs="Arial"/>
                <w:b/>
                <w:sz w:val="24"/>
                <w:szCs w:val="24"/>
                <w:lang w:eastAsia="en-AU"/>
              </w:rPr>
            </w:pPr>
          </w:p>
        </w:tc>
      </w:tr>
      <w:tr w:rsidR="003E5BF5" w:rsidRPr="00020050" w14:paraId="198F7D14" w14:textId="77777777" w:rsidTr="007D4F5B">
        <w:trPr>
          <w:gridAfter w:val="1"/>
          <w:wAfter w:w="42" w:type="dxa"/>
          <w:trHeight w:val="340"/>
        </w:trPr>
        <w:tc>
          <w:tcPr>
            <w:tcW w:w="2867" w:type="dxa"/>
            <w:shd w:val="clear" w:color="auto" w:fill="auto"/>
            <w:noWrap/>
            <w:hideMark/>
          </w:tcPr>
          <w:p w14:paraId="746E94F9" w14:textId="77777777" w:rsidR="003E5BF5" w:rsidRPr="00020050" w:rsidRDefault="003E5BF5" w:rsidP="00DE1921">
            <w:pPr>
              <w:rPr>
                <w:rFonts w:ascii="Arial" w:hAnsi="Arial" w:cs="Arial"/>
                <w:sz w:val="24"/>
                <w:szCs w:val="24"/>
                <w:lang w:eastAsia="en-AU"/>
              </w:rPr>
            </w:pPr>
            <w:r w:rsidRPr="00020050">
              <w:rPr>
                <w:rFonts w:ascii="Arial" w:hAnsi="Arial" w:cs="Arial"/>
                <w:sz w:val="24"/>
                <w:szCs w:val="24"/>
                <w:lang w:eastAsia="en-AU"/>
              </w:rPr>
              <w:t>Changes in physical asset revaluation surplus</w:t>
            </w:r>
          </w:p>
        </w:tc>
        <w:tc>
          <w:tcPr>
            <w:tcW w:w="1176" w:type="dxa"/>
            <w:shd w:val="clear" w:color="auto" w:fill="auto"/>
            <w:noWrap/>
            <w:hideMark/>
          </w:tcPr>
          <w:p w14:paraId="5156079F"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24,400 </w:t>
            </w:r>
          </w:p>
        </w:tc>
        <w:tc>
          <w:tcPr>
            <w:tcW w:w="1176" w:type="dxa"/>
            <w:shd w:val="clear" w:color="auto" w:fill="auto"/>
            <w:noWrap/>
            <w:hideMark/>
          </w:tcPr>
          <w:p w14:paraId="6C6F3FA4"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c>
          <w:tcPr>
            <w:tcW w:w="1176" w:type="dxa"/>
            <w:shd w:val="clear" w:color="auto" w:fill="auto"/>
            <w:noWrap/>
            <w:hideMark/>
          </w:tcPr>
          <w:p w14:paraId="02E97177"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168,570 </w:t>
            </w:r>
          </w:p>
        </w:tc>
        <w:tc>
          <w:tcPr>
            <w:tcW w:w="1108" w:type="dxa"/>
            <w:shd w:val="clear" w:color="auto" w:fill="auto"/>
            <w:noWrap/>
            <w:hideMark/>
          </w:tcPr>
          <w:p w14:paraId="50B29182"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c>
          <w:tcPr>
            <w:tcW w:w="1286" w:type="dxa"/>
            <w:shd w:val="clear" w:color="auto" w:fill="auto"/>
            <w:noWrap/>
            <w:hideMark/>
          </w:tcPr>
          <w:p w14:paraId="6D8519AB" w14:textId="77777777" w:rsidR="003E5BF5" w:rsidRPr="00020050" w:rsidRDefault="003E5BF5" w:rsidP="00DE1921">
            <w:pPr>
              <w:jc w:val="right"/>
              <w:rPr>
                <w:rFonts w:ascii="Arial" w:hAnsi="Arial" w:cs="Arial"/>
                <w:sz w:val="24"/>
                <w:szCs w:val="24"/>
                <w:lang w:eastAsia="en-AU"/>
              </w:rPr>
            </w:pPr>
            <w:r w:rsidRPr="00020050">
              <w:rPr>
                <w:rFonts w:ascii="Arial" w:hAnsi="Arial" w:cs="Arial"/>
                <w:sz w:val="24"/>
                <w:szCs w:val="24"/>
              </w:rPr>
              <w:t xml:space="preserve">11,094,485 </w:t>
            </w:r>
          </w:p>
        </w:tc>
        <w:tc>
          <w:tcPr>
            <w:tcW w:w="1092" w:type="dxa"/>
            <w:shd w:val="clear" w:color="auto" w:fill="auto"/>
            <w:noWrap/>
            <w:hideMark/>
          </w:tcPr>
          <w:p w14:paraId="2636A61D" w14:textId="77777777" w:rsidR="003E5BF5" w:rsidRPr="00020050" w:rsidRDefault="003E5BF5" w:rsidP="00DE1921">
            <w:pPr>
              <w:jc w:val="right"/>
              <w:rPr>
                <w:rFonts w:ascii="Arial" w:hAnsi="Arial" w:cs="Arial"/>
                <w:sz w:val="24"/>
                <w:szCs w:val="24"/>
                <w:lang w:eastAsia="en-AU"/>
              </w:rPr>
            </w:pPr>
            <w:r w:rsidRPr="00020050">
              <w:rPr>
                <w:rFonts w:ascii="Arial" w:hAnsi="Arial" w:cs="Arial"/>
                <w:b/>
                <w:sz w:val="24"/>
                <w:szCs w:val="24"/>
              </w:rPr>
              <w:t>-</w:t>
            </w:r>
          </w:p>
        </w:tc>
      </w:tr>
      <w:tr w:rsidR="003E5BF5" w:rsidRPr="00020050" w14:paraId="270401B2" w14:textId="77777777" w:rsidTr="007D4F5B">
        <w:trPr>
          <w:gridAfter w:val="1"/>
          <w:wAfter w:w="42" w:type="dxa"/>
          <w:trHeight w:val="340"/>
        </w:trPr>
        <w:tc>
          <w:tcPr>
            <w:tcW w:w="2867" w:type="dxa"/>
            <w:shd w:val="clear" w:color="auto" w:fill="auto"/>
            <w:hideMark/>
          </w:tcPr>
          <w:p w14:paraId="30BE3A3D"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t>Total other economic flows - other comprehensive income</w:t>
            </w:r>
          </w:p>
        </w:tc>
        <w:tc>
          <w:tcPr>
            <w:tcW w:w="1176" w:type="dxa"/>
            <w:shd w:val="clear" w:color="auto" w:fill="auto"/>
            <w:noWrap/>
            <w:hideMark/>
          </w:tcPr>
          <w:p w14:paraId="0CCD0510"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24,400 </w:t>
            </w:r>
          </w:p>
        </w:tc>
        <w:tc>
          <w:tcPr>
            <w:tcW w:w="1176" w:type="dxa"/>
            <w:shd w:val="clear" w:color="auto" w:fill="auto"/>
            <w:noWrap/>
            <w:hideMark/>
          </w:tcPr>
          <w:p w14:paraId="3047F48E"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w:t>
            </w:r>
          </w:p>
        </w:tc>
        <w:tc>
          <w:tcPr>
            <w:tcW w:w="1176" w:type="dxa"/>
            <w:shd w:val="clear" w:color="auto" w:fill="auto"/>
            <w:noWrap/>
            <w:hideMark/>
          </w:tcPr>
          <w:p w14:paraId="537DB8D6"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168,570 </w:t>
            </w:r>
          </w:p>
        </w:tc>
        <w:tc>
          <w:tcPr>
            <w:tcW w:w="1108" w:type="dxa"/>
            <w:shd w:val="clear" w:color="auto" w:fill="auto"/>
            <w:noWrap/>
            <w:hideMark/>
          </w:tcPr>
          <w:p w14:paraId="1928CE00"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w:t>
            </w:r>
          </w:p>
        </w:tc>
        <w:tc>
          <w:tcPr>
            <w:tcW w:w="1286" w:type="dxa"/>
            <w:shd w:val="clear" w:color="auto" w:fill="auto"/>
            <w:noWrap/>
            <w:hideMark/>
          </w:tcPr>
          <w:p w14:paraId="4D738AD3"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11,094,485 </w:t>
            </w:r>
          </w:p>
        </w:tc>
        <w:tc>
          <w:tcPr>
            <w:tcW w:w="1092" w:type="dxa"/>
            <w:shd w:val="clear" w:color="auto" w:fill="auto"/>
            <w:noWrap/>
            <w:hideMark/>
          </w:tcPr>
          <w:p w14:paraId="64A19CAA"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w:t>
            </w:r>
          </w:p>
        </w:tc>
      </w:tr>
      <w:tr w:rsidR="003E5BF5" w:rsidRPr="00020050" w14:paraId="67DE0E30" w14:textId="77777777" w:rsidTr="007D4F5B">
        <w:trPr>
          <w:gridAfter w:val="1"/>
          <w:wAfter w:w="42" w:type="dxa"/>
          <w:trHeight w:val="340"/>
        </w:trPr>
        <w:tc>
          <w:tcPr>
            <w:tcW w:w="2867" w:type="dxa"/>
            <w:shd w:val="clear" w:color="auto" w:fill="auto"/>
            <w:noWrap/>
            <w:vAlign w:val="center"/>
            <w:hideMark/>
          </w:tcPr>
          <w:p w14:paraId="5FC1DEA2" w14:textId="77777777" w:rsidR="003E5BF5" w:rsidRPr="00020050" w:rsidRDefault="003E5BF5" w:rsidP="00DE1921">
            <w:pPr>
              <w:rPr>
                <w:rFonts w:ascii="Arial" w:hAnsi="Arial" w:cs="Arial"/>
                <w:b/>
                <w:sz w:val="24"/>
                <w:szCs w:val="24"/>
                <w:lang w:eastAsia="en-AU"/>
              </w:rPr>
            </w:pPr>
            <w:r w:rsidRPr="00020050">
              <w:rPr>
                <w:rFonts w:ascii="Arial" w:hAnsi="Arial" w:cs="Arial"/>
                <w:b/>
                <w:sz w:val="24"/>
                <w:szCs w:val="24"/>
                <w:lang w:eastAsia="en-AU"/>
              </w:rPr>
              <w:t>Comprehensive result</w:t>
            </w:r>
          </w:p>
        </w:tc>
        <w:tc>
          <w:tcPr>
            <w:tcW w:w="1176" w:type="dxa"/>
            <w:shd w:val="clear" w:color="auto" w:fill="auto"/>
            <w:noWrap/>
            <w:vAlign w:val="center"/>
            <w:hideMark/>
          </w:tcPr>
          <w:p w14:paraId="2B86C5F1"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25,388 </w:t>
            </w:r>
          </w:p>
        </w:tc>
        <w:tc>
          <w:tcPr>
            <w:tcW w:w="1176" w:type="dxa"/>
            <w:shd w:val="clear" w:color="auto" w:fill="auto"/>
            <w:noWrap/>
            <w:vAlign w:val="center"/>
            <w:hideMark/>
          </w:tcPr>
          <w:p w14:paraId="6C648743"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(11,675)</w:t>
            </w:r>
          </w:p>
        </w:tc>
        <w:tc>
          <w:tcPr>
            <w:tcW w:w="1176" w:type="dxa"/>
            <w:shd w:val="clear" w:color="auto" w:fill="auto"/>
            <w:noWrap/>
            <w:vAlign w:val="center"/>
            <w:hideMark/>
          </w:tcPr>
          <w:p w14:paraId="67A617F0"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145,902 </w:t>
            </w:r>
          </w:p>
        </w:tc>
        <w:tc>
          <w:tcPr>
            <w:tcW w:w="1108" w:type="dxa"/>
            <w:shd w:val="clear" w:color="auto" w:fill="auto"/>
            <w:noWrap/>
            <w:vAlign w:val="center"/>
            <w:hideMark/>
          </w:tcPr>
          <w:p w14:paraId="69F1431A"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(128,434)</w:t>
            </w:r>
          </w:p>
        </w:tc>
        <w:tc>
          <w:tcPr>
            <w:tcW w:w="1286" w:type="dxa"/>
            <w:shd w:val="clear" w:color="auto" w:fill="auto"/>
            <w:noWrap/>
            <w:vAlign w:val="center"/>
            <w:hideMark/>
          </w:tcPr>
          <w:p w14:paraId="67A83261"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 xml:space="preserve">10,556,380 </w:t>
            </w:r>
          </w:p>
        </w:tc>
        <w:tc>
          <w:tcPr>
            <w:tcW w:w="1092" w:type="dxa"/>
            <w:shd w:val="clear" w:color="auto" w:fill="auto"/>
            <w:noWrap/>
            <w:vAlign w:val="center"/>
            <w:hideMark/>
          </w:tcPr>
          <w:p w14:paraId="3AA1AFB2" w14:textId="77777777" w:rsidR="003E5BF5" w:rsidRPr="00020050" w:rsidRDefault="003E5BF5" w:rsidP="00DE1921">
            <w:pPr>
              <w:jc w:val="right"/>
              <w:rPr>
                <w:rFonts w:ascii="Arial" w:hAnsi="Arial" w:cs="Arial"/>
                <w:b/>
                <w:sz w:val="24"/>
                <w:szCs w:val="24"/>
                <w:lang w:eastAsia="en-AU"/>
              </w:rPr>
            </w:pPr>
            <w:r w:rsidRPr="00020050">
              <w:rPr>
                <w:rFonts w:ascii="Arial" w:hAnsi="Arial" w:cs="Arial"/>
                <w:b/>
                <w:sz w:val="24"/>
                <w:szCs w:val="24"/>
              </w:rPr>
              <w:t>(545)</w:t>
            </w:r>
          </w:p>
        </w:tc>
      </w:tr>
    </w:tbl>
    <w:p w14:paraId="1888FF03" w14:textId="77777777" w:rsidR="00E70ED8" w:rsidRPr="00020050" w:rsidRDefault="00E70ED8" w:rsidP="00E70ED8">
      <w:pPr>
        <w:pStyle w:val="Note"/>
        <w:rPr>
          <w:rFonts w:ascii="Arial" w:hAnsi="Arial" w:cs="Arial"/>
          <w:sz w:val="24"/>
          <w:szCs w:val="24"/>
        </w:rPr>
      </w:pPr>
      <w:r w:rsidRPr="00020050">
        <w:rPr>
          <w:rFonts w:ascii="Arial" w:hAnsi="Arial" w:cs="Arial"/>
          <w:sz w:val="24"/>
          <w:szCs w:val="24"/>
        </w:rPr>
        <w:t>Note:</w:t>
      </w:r>
    </w:p>
    <w:p w14:paraId="5AABD40E" w14:textId="77777777" w:rsidR="00E70ED8" w:rsidRPr="00020050" w:rsidRDefault="00E70ED8" w:rsidP="00610F5F">
      <w:pPr>
        <w:pStyle w:val="aaaNotenumberiiiiii"/>
        <w:numPr>
          <w:ilvl w:val="0"/>
          <w:numId w:val="79"/>
        </w:numPr>
      </w:pPr>
      <w:r w:rsidRPr="00020050">
        <w:t>The 2019 comparatives figures have been restated to reflect the adoption of AASB 1059, refer to Note 9.6.5.1 for further details.</w:t>
      </w:r>
    </w:p>
    <w:p w14:paraId="68AAFF4B" w14:textId="77777777" w:rsidR="003E5BF5" w:rsidRDefault="003E5BF5" w:rsidP="00DE1921">
      <w:pPr>
        <w:rPr>
          <w:lang w:eastAsia="en-AU"/>
        </w:rPr>
      </w:pPr>
    </w:p>
    <w:p w14:paraId="0310D690" w14:textId="77777777" w:rsidR="003E5BF5" w:rsidRDefault="003E5BF5" w:rsidP="00DE1921">
      <w:pPr>
        <w:rPr>
          <w:highlight w:val="cyan"/>
        </w:rPr>
        <w:sectPr w:rsidR="003E5BF5" w:rsidSect="00DE1921">
          <w:pgSz w:w="11906" w:h="16838" w:code="9"/>
          <w:pgMar w:top="1701" w:right="1418" w:bottom="1418" w:left="1418" w:header="709" w:footer="709" w:gutter="0"/>
          <w:cols w:space="708"/>
          <w:docGrid w:linePitch="360"/>
        </w:sectPr>
      </w:pPr>
    </w:p>
    <w:tbl>
      <w:tblPr>
        <w:tblStyle w:val="TableGrid"/>
        <w:tblW w:w="9923" w:type="dxa"/>
        <w:tblLayout w:type="fixed"/>
        <w:tblCellMar>
          <w:left w:w="28" w:type="dxa"/>
          <w:right w:w="28" w:type="dxa"/>
        </w:tblCellMar>
        <w:tblLook w:val="04A0" w:firstRow="1" w:lastRow="0" w:firstColumn="1" w:lastColumn="0" w:noHBand="0" w:noVBand="1"/>
      </w:tblPr>
      <w:tblGrid>
        <w:gridCol w:w="2349"/>
        <w:gridCol w:w="1263"/>
        <w:gridCol w:w="1263"/>
        <w:gridCol w:w="1262"/>
        <w:gridCol w:w="1262"/>
        <w:gridCol w:w="1262"/>
        <w:gridCol w:w="1262"/>
      </w:tblGrid>
      <w:tr w:rsidR="003E5BF5" w:rsidRPr="00397FFB" w14:paraId="2C607B5B" w14:textId="77777777" w:rsidTr="00392A84">
        <w:trPr>
          <w:trHeight w:val="340"/>
          <w:tblHeader/>
        </w:trPr>
        <w:tc>
          <w:tcPr>
            <w:tcW w:w="2349" w:type="dxa"/>
            <w:shd w:val="clear" w:color="auto" w:fill="auto"/>
            <w:hideMark/>
          </w:tcPr>
          <w:p w14:paraId="380409FC" w14:textId="77777777" w:rsidR="003E5BF5" w:rsidRPr="00397FFB" w:rsidRDefault="003E5BF5" w:rsidP="00DE1921">
            <w:pPr>
              <w:rPr>
                <w:rFonts w:ascii="Arial" w:hAnsi="Arial" w:cs="Arial"/>
                <w:sz w:val="23"/>
                <w:szCs w:val="23"/>
                <w:lang w:eastAsia="en-AU"/>
              </w:rPr>
            </w:pPr>
            <w:bookmarkStart w:id="209" w:name="RANGE!O3:U35"/>
            <w:bookmarkEnd w:id="209"/>
          </w:p>
        </w:tc>
        <w:tc>
          <w:tcPr>
            <w:tcW w:w="7574" w:type="dxa"/>
            <w:gridSpan w:val="6"/>
            <w:shd w:val="clear" w:color="auto" w:fill="auto"/>
            <w:vAlign w:val="center"/>
            <w:hideMark/>
          </w:tcPr>
          <w:p w14:paraId="0DFFE0D1" w14:textId="77777777" w:rsidR="003E5BF5" w:rsidRPr="00397FFB" w:rsidRDefault="003E5BF5" w:rsidP="00DE1921">
            <w:pPr>
              <w:jc w:val="center"/>
              <w:rPr>
                <w:rFonts w:ascii="Arial" w:hAnsi="Arial" w:cs="Arial"/>
                <w:b/>
                <w:sz w:val="23"/>
                <w:szCs w:val="23"/>
                <w:lang w:eastAsia="en-AU"/>
              </w:rPr>
            </w:pPr>
            <w:r w:rsidRPr="00397FFB">
              <w:rPr>
                <w:rFonts w:ascii="Arial" w:hAnsi="Arial" w:cs="Arial"/>
                <w:b/>
                <w:sz w:val="23"/>
                <w:szCs w:val="23"/>
                <w:lang w:eastAsia="en-AU"/>
              </w:rPr>
              <w:t>($ thousand)</w:t>
            </w:r>
          </w:p>
        </w:tc>
      </w:tr>
      <w:tr w:rsidR="003E5BF5" w:rsidRPr="00397FFB" w14:paraId="2D1E0CF3" w14:textId="77777777" w:rsidTr="00392A84">
        <w:trPr>
          <w:trHeight w:val="340"/>
          <w:tblHeader/>
        </w:trPr>
        <w:tc>
          <w:tcPr>
            <w:tcW w:w="2349" w:type="dxa"/>
            <w:shd w:val="clear" w:color="auto" w:fill="auto"/>
            <w:noWrap/>
            <w:hideMark/>
          </w:tcPr>
          <w:p w14:paraId="0C692C33" w14:textId="77777777" w:rsidR="003E5BF5" w:rsidRPr="00397FFB" w:rsidRDefault="003E5BF5" w:rsidP="00DE1921">
            <w:pPr>
              <w:rPr>
                <w:rFonts w:ascii="Arial" w:hAnsi="Arial" w:cs="Arial"/>
                <w:sz w:val="23"/>
                <w:szCs w:val="23"/>
                <w:lang w:eastAsia="en-AU"/>
              </w:rPr>
            </w:pPr>
          </w:p>
        </w:tc>
        <w:tc>
          <w:tcPr>
            <w:tcW w:w="2526" w:type="dxa"/>
            <w:gridSpan w:val="2"/>
            <w:shd w:val="clear" w:color="auto" w:fill="auto"/>
            <w:vAlign w:val="bottom"/>
            <w:hideMark/>
          </w:tcPr>
          <w:p w14:paraId="39D167B6" w14:textId="77777777" w:rsidR="003E5BF5" w:rsidRPr="00397FFB" w:rsidRDefault="003E5BF5" w:rsidP="00DE1921">
            <w:pPr>
              <w:jc w:val="center"/>
              <w:rPr>
                <w:rFonts w:ascii="Arial" w:hAnsi="Arial" w:cs="Arial"/>
                <w:b/>
                <w:sz w:val="23"/>
                <w:szCs w:val="23"/>
                <w:lang w:eastAsia="en-AU"/>
              </w:rPr>
            </w:pPr>
            <w:r w:rsidRPr="00397FFB">
              <w:rPr>
                <w:rFonts w:ascii="Arial" w:hAnsi="Arial" w:cs="Arial"/>
                <w:b/>
                <w:sz w:val="23"/>
                <w:szCs w:val="23"/>
                <w:lang w:eastAsia="en-AU"/>
              </w:rPr>
              <w:t>Train services</w:t>
            </w:r>
          </w:p>
        </w:tc>
        <w:tc>
          <w:tcPr>
            <w:tcW w:w="2524" w:type="dxa"/>
            <w:gridSpan w:val="2"/>
            <w:shd w:val="clear" w:color="auto" w:fill="auto"/>
            <w:vAlign w:val="bottom"/>
            <w:hideMark/>
          </w:tcPr>
          <w:p w14:paraId="31847A06" w14:textId="77777777" w:rsidR="003E5BF5" w:rsidRPr="00397FFB" w:rsidRDefault="003E5BF5" w:rsidP="00DE1921">
            <w:pPr>
              <w:jc w:val="center"/>
              <w:rPr>
                <w:rFonts w:ascii="Arial" w:hAnsi="Arial" w:cs="Arial"/>
                <w:b/>
                <w:sz w:val="23"/>
                <w:szCs w:val="23"/>
                <w:lang w:eastAsia="en-AU"/>
              </w:rPr>
            </w:pPr>
            <w:r w:rsidRPr="00397FFB">
              <w:rPr>
                <w:rFonts w:ascii="Arial" w:hAnsi="Arial" w:cs="Arial"/>
                <w:b/>
                <w:sz w:val="23"/>
                <w:szCs w:val="23"/>
                <w:lang w:eastAsia="en-AU"/>
              </w:rPr>
              <w:t>Tram services</w:t>
            </w:r>
          </w:p>
        </w:tc>
        <w:tc>
          <w:tcPr>
            <w:tcW w:w="2524" w:type="dxa"/>
            <w:gridSpan w:val="2"/>
            <w:shd w:val="clear" w:color="auto" w:fill="auto"/>
            <w:vAlign w:val="bottom"/>
            <w:hideMark/>
          </w:tcPr>
          <w:p w14:paraId="424A07E7" w14:textId="77777777" w:rsidR="003E5BF5" w:rsidRPr="00397FFB" w:rsidRDefault="003E5BF5" w:rsidP="00DE1921">
            <w:pPr>
              <w:jc w:val="center"/>
              <w:rPr>
                <w:rFonts w:ascii="Arial" w:hAnsi="Arial" w:cs="Arial"/>
                <w:b/>
                <w:sz w:val="23"/>
                <w:szCs w:val="23"/>
                <w:lang w:eastAsia="en-AU"/>
              </w:rPr>
            </w:pPr>
            <w:r w:rsidRPr="00397FFB">
              <w:rPr>
                <w:rFonts w:ascii="Arial" w:hAnsi="Arial" w:cs="Arial"/>
                <w:b/>
                <w:sz w:val="23"/>
                <w:szCs w:val="23"/>
                <w:lang w:eastAsia="en-AU"/>
              </w:rPr>
              <w:t>Transport Safety and Security</w:t>
            </w:r>
          </w:p>
        </w:tc>
      </w:tr>
      <w:tr w:rsidR="003E5BF5" w:rsidRPr="00397FFB" w14:paraId="3BB6F1BC" w14:textId="77777777" w:rsidTr="00392A84">
        <w:trPr>
          <w:trHeight w:val="340"/>
          <w:tblHeader/>
        </w:trPr>
        <w:tc>
          <w:tcPr>
            <w:tcW w:w="2349" w:type="dxa"/>
            <w:shd w:val="clear" w:color="auto" w:fill="auto"/>
            <w:noWrap/>
            <w:hideMark/>
          </w:tcPr>
          <w:p w14:paraId="74E38C8F" w14:textId="77777777" w:rsidR="003E5BF5" w:rsidRPr="00397FFB" w:rsidRDefault="003E5BF5" w:rsidP="00DE1921">
            <w:pPr>
              <w:rPr>
                <w:rFonts w:ascii="Arial" w:hAnsi="Arial" w:cs="Arial"/>
                <w:b/>
                <w:sz w:val="23"/>
                <w:szCs w:val="23"/>
                <w:lang w:eastAsia="en-AU"/>
              </w:rPr>
            </w:pPr>
          </w:p>
        </w:tc>
        <w:tc>
          <w:tcPr>
            <w:tcW w:w="1263" w:type="dxa"/>
            <w:shd w:val="clear" w:color="auto" w:fill="auto"/>
            <w:vAlign w:val="center"/>
            <w:hideMark/>
          </w:tcPr>
          <w:p w14:paraId="58943253"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lang w:eastAsia="en-AU"/>
              </w:rPr>
              <w:t>2020</w:t>
            </w:r>
          </w:p>
        </w:tc>
        <w:tc>
          <w:tcPr>
            <w:tcW w:w="1263" w:type="dxa"/>
            <w:shd w:val="clear" w:color="auto" w:fill="auto"/>
            <w:vAlign w:val="center"/>
            <w:hideMark/>
          </w:tcPr>
          <w:p w14:paraId="485B750A"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lang w:eastAsia="en-AU"/>
              </w:rPr>
              <w:t>2019</w:t>
            </w:r>
          </w:p>
        </w:tc>
        <w:tc>
          <w:tcPr>
            <w:tcW w:w="1262" w:type="dxa"/>
            <w:shd w:val="clear" w:color="auto" w:fill="auto"/>
            <w:vAlign w:val="center"/>
            <w:hideMark/>
          </w:tcPr>
          <w:p w14:paraId="77A5E722"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lang w:eastAsia="en-AU"/>
              </w:rPr>
              <w:t>2020</w:t>
            </w:r>
          </w:p>
        </w:tc>
        <w:tc>
          <w:tcPr>
            <w:tcW w:w="1262" w:type="dxa"/>
            <w:shd w:val="clear" w:color="auto" w:fill="auto"/>
            <w:vAlign w:val="center"/>
            <w:hideMark/>
          </w:tcPr>
          <w:p w14:paraId="32A0EFC6"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lang w:eastAsia="en-AU"/>
              </w:rPr>
              <w:t>2019</w:t>
            </w:r>
          </w:p>
        </w:tc>
        <w:tc>
          <w:tcPr>
            <w:tcW w:w="1262" w:type="dxa"/>
            <w:shd w:val="clear" w:color="auto" w:fill="auto"/>
            <w:vAlign w:val="center"/>
            <w:hideMark/>
          </w:tcPr>
          <w:p w14:paraId="631B5279"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lang w:eastAsia="en-AU"/>
              </w:rPr>
              <w:t>2020</w:t>
            </w:r>
          </w:p>
        </w:tc>
        <w:tc>
          <w:tcPr>
            <w:tcW w:w="1262" w:type="dxa"/>
            <w:shd w:val="clear" w:color="auto" w:fill="auto"/>
            <w:vAlign w:val="center"/>
            <w:hideMark/>
          </w:tcPr>
          <w:p w14:paraId="2A37DA1A"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lang w:eastAsia="en-AU"/>
              </w:rPr>
              <w:t>2019</w:t>
            </w:r>
          </w:p>
        </w:tc>
      </w:tr>
      <w:tr w:rsidR="003E5BF5" w:rsidRPr="00397FFB" w14:paraId="6BA2C107" w14:textId="77777777" w:rsidTr="00E70ED8">
        <w:trPr>
          <w:trHeight w:val="340"/>
        </w:trPr>
        <w:tc>
          <w:tcPr>
            <w:tcW w:w="2349" w:type="dxa"/>
            <w:shd w:val="clear" w:color="auto" w:fill="auto"/>
            <w:noWrap/>
            <w:vAlign w:val="center"/>
            <w:hideMark/>
          </w:tcPr>
          <w:p w14:paraId="74648E6A" w14:textId="77777777" w:rsidR="003E5BF5" w:rsidRPr="00397FFB" w:rsidRDefault="003E5BF5" w:rsidP="00604703">
            <w:pPr>
              <w:pStyle w:val="TableTextGreen"/>
              <w:rPr>
                <w:sz w:val="23"/>
                <w:szCs w:val="23"/>
              </w:rPr>
            </w:pPr>
            <w:r w:rsidRPr="00397FFB">
              <w:rPr>
                <w:sz w:val="23"/>
                <w:szCs w:val="23"/>
              </w:rPr>
              <w:t>Income from transactions</w:t>
            </w:r>
          </w:p>
        </w:tc>
        <w:tc>
          <w:tcPr>
            <w:tcW w:w="1263" w:type="dxa"/>
            <w:shd w:val="clear" w:color="auto" w:fill="auto"/>
            <w:noWrap/>
            <w:vAlign w:val="center"/>
            <w:hideMark/>
          </w:tcPr>
          <w:p w14:paraId="50B85F89"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lang w:eastAsia="en-AU"/>
              </w:rPr>
              <w:t> </w:t>
            </w:r>
          </w:p>
        </w:tc>
        <w:tc>
          <w:tcPr>
            <w:tcW w:w="1263" w:type="dxa"/>
            <w:shd w:val="clear" w:color="auto" w:fill="auto"/>
            <w:noWrap/>
            <w:vAlign w:val="center"/>
            <w:hideMark/>
          </w:tcPr>
          <w:p w14:paraId="4C35DB51"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lang w:eastAsia="en-AU"/>
              </w:rPr>
              <w:t> </w:t>
            </w:r>
          </w:p>
        </w:tc>
        <w:tc>
          <w:tcPr>
            <w:tcW w:w="1262" w:type="dxa"/>
            <w:shd w:val="clear" w:color="auto" w:fill="auto"/>
            <w:noWrap/>
            <w:vAlign w:val="center"/>
            <w:hideMark/>
          </w:tcPr>
          <w:p w14:paraId="492B9661"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lang w:eastAsia="en-AU"/>
              </w:rPr>
              <w:t> </w:t>
            </w:r>
          </w:p>
        </w:tc>
        <w:tc>
          <w:tcPr>
            <w:tcW w:w="1262" w:type="dxa"/>
            <w:shd w:val="clear" w:color="auto" w:fill="auto"/>
            <w:noWrap/>
            <w:vAlign w:val="center"/>
            <w:hideMark/>
          </w:tcPr>
          <w:p w14:paraId="2834ECEB"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lang w:eastAsia="en-AU"/>
              </w:rPr>
              <w:t> </w:t>
            </w:r>
          </w:p>
        </w:tc>
        <w:tc>
          <w:tcPr>
            <w:tcW w:w="1262" w:type="dxa"/>
            <w:shd w:val="clear" w:color="auto" w:fill="auto"/>
            <w:noWrap/>
            <w:vAlign w:val="center"/>
            <w:hideMark/>
          </w:tcPr>
          <w:p w14:paraId="1171B982"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lang w:eastAsia="en-AU"/>
              </w:rPr>
              <w:t> </w:t>
            </w:r>
          </w:p>
        </w:tc>
        <w:tc>
          <w:tcPr>
            <w:tcW w:w="1262" w:type="dxa"/>
            <w:shd w:val="clear" w:color="auto" w:fill="auto"/>
            <w:noWrap/>
            <w:vAlign w:val="center"/>
            <w:hideMark/>
          </w:tcPr>
          <w:p w14:paraId="52E6644D"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lang w:eastAsia="en-AU"/>
              </w:rPr>
              <w:t> </w:t>
            </w:r>
          </w:p>
        </w:tc>
      </w:tr>
      <w:tr w:rsidR="003E5BF5" w:rsidRPr="00397FFB" w14:paraId="0E0BDB4F" w14:textId="77777777" w:rsidTr="00E70ED8">
        <w:trPr>
          <w:trHeight w:val="340"/>
        </w:trPr>
        <w:tc>
          <w:tcPr>
            <w:tcW w:w="2349" w:type="dxa"/>
            <w:shd w:val="clear" w:color="auto" w:fill="auto"/>
            <w:noWrap/>
            <w:vAlign w:val="center"/>
            <w:hideMark/>
          </w:tcPr>
          <w:p w14:paraId="5DD40853"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Output appropriations</w:t>
            </w:r>
          </w:p>
        </w:tc>
        <w:tc>
          <w:tcPr>
            <w:tcW w:w="1263" w:type="dxa"/>
            <w:shd w:val="clear" w:color="auto" w:fill="auto"/>
            <w:noWrap/>
            <w:vAlign w:val="center"/>
            <w:hideMark/>
          </w:tcPr>
          <w:p w14:paraId="2A504FD1"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3,829,142 </w:t>
            </w:r>
          </w:p>
        </w:tc>
        <w:tc>
          <w:tcPr>
            <w:tcW w:w="1263" w:type="dxa"/>
            <w:shd w:val="clear" w:color="auto" w:fill="auto"/>
            <w:noWrap/>
            <w:vAlign w:val="center"/>
            <w:hideMark/>
          </w:tcPr>
          <w:p w14:paraId="6612BB79"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3,523,087 </w:t>
            </w:r>
          </w:p>
        </w:tc>
        <w:tc>
          <w:tcPr>
            <w:tcW w:w="1262" w:type="dxa"/>
            <w:shd w:val="clear" w:color="auto" w:fill="auto"/>
            <w:noWrap/>
            <w:vAlign w:val="center"/>
            <w:hideMark/>
          </w:tcPr>
          <w:p w14:paraId="77AEF3C9"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947,576 </w:t>
            </w:r>
          </w:p>
        </w:tc>
        <w:tc>
          <w:tcPr>
            <w:tcW w:w="1262" w:type="dxa"/>
            <w:shd w:val="clear" w:color="auto" w:fill="auto"/>
            <w:noWrap/>
            <w:vAlign w:val="center"/>
            <w:hideMark/>
          </w:tcPr>
          <w:p w14:paraId="0DCB5644"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877,132 </w:t>
            </w:r>
          </w:p>
        </w:tc>
        <w:tc>
          <w:tcPr>
            <w:tcW w:w="1262" w:type="dxa"/>
            <w:shd w:val="clear" w:color="auto" w:fill="auto"/>
            <w:noWrap/>
            <w:vAlign w:val="center"/>
            <w:hideMark/>
          </w:tcPr>
          <w:p w14:paraId="4CB92613"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43,913 </w:t>
            </w:r>
          </w:p>
        </w:tc>
        <w:tc>
          <w:tcPr>
            <w:tcW w:w="1262" w:type="dxa"/>
            <w:shd w:val="clear" w:color="auto" w:fill="auto"/>
            <w:noWrap/>
            <w:vAlign w:val="center"/>
            <w:hideMark/>
          </w:tcPr>
          <w:p w14:paraId="75F689A8"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97,555 </w:t>
            </w:r>
          </w:p>
        </w:tc>
      </w:tr>
      <w:tr w:rsidR="003E5BF5" w:rsidRPr="00397FFB" w14:paraId="0243F9C2" w14:textId="77777777" w:rsidTr="00E70ED8">
        <w:trPr>
          <w:trHeight w:val="340"/>
        </w:trPr>
        <w:tc>
          <w:tcPr>
            <w:tcW w:w="2349" w:type="dxa"/>
            <w:shd w:val="clear" w:color="auto" w:fill="auto"/>
            <w:noWrap/>
            <w:vAlign w:val="center"/>
            <w:hideMark/>
          </w:tcPr>
          <w:p w14:paraId="77E9211D"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Special appropriations</w:t>
            </w:r>
          </w:p>
        </w:tc>
        <w:tc>
          <w:tcPr>
            <w:tcW w:w="1263" w:type="dxa"/>
            <w:shd w:val="clear" w:color="auto" w:fill="auto"/>
            <w:noWrap/>
            <w:vAlign w:val="center"/>
            <w:hideMark/>
          </w:tcPr>
          <w:p w14:paraId="45A85750"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397 </w:t>
            </w:r>
          </w:p>
        </w:tc>
        <w:tc>
          <w:tcPr>
            <w:tcW w:w="1263" w:type="dxa"/>
            <w:shd w:val="clear" w:color="auto" w:fill="auto"/>
            <w:noWrap/>
            <w:vAlign w:val="center"/>
            <w:hideMark/>
          </w:tcPr>
          <w:p w14:paraId="662A629D" w14:textId="77777777" w:rsidR="003E5BF5" w:rsidRPr="00397FFB" w:rsidRDefault="003E5BF5" w:rsidP="00DE1921">
            <w:pPr>
              <w:jc w:val="right"/>
              <w:rPr>
                <w:rFonts w:ascii="Arial" w:hAnsi="Arial" w:cs="Arial"/>
                <w:sz w:val="23"/>
                <w:szCs w:val="23"/>
                <w:lang w:eastAsia="en-AU"/>
              </w:rPr>
            </w:pPr>
            <w:r w:rsidRPr="00397FFB">
              <w:rPr>
                <w:rFonts w:ascii="Arial" w:hAnsi="Arial" w:cs="Arial"/>
                <w:b/>
                <w:sz w:val="23"/>
                <w:szCs w:val="23"/>
              </w:rPr>
              <w:t>-</w:t>
            </w:r>
            <w:r w:rsidRPr="00397FFB">
              <w:rPr>
                <w:rFonts w:ascii="Arial" w:hAnsi="Arial" w:cs="Arial"/>
                <w:sz w:val="23"/>
                <w:szCs w:val="23"/>
              </w:rPr>
              <w:t xml:space="preserve"> </w:t>
            </w:r>
          </w:p>
        </w:tc>
        <w:tc>
          <w:tcPr>
            <w:tcW w:w="1262" w:type="dxa"/>
            <w:shd w:val="clear" w:color="auto" w:fill="auto"/>
            <w:noWrap/>
            <w:vAlign w:val="center"/>
            <w:hideMark/>
          </w:tcPr>
          <w:p w14:paraId="031616FA"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87 </w:t>
            </w:r>
          </w:p>
        </w:tc>
        <w:tc>
          <w:tcPr>
            <w:tcW w:w="1262" w:type="dxa"/>
            <w:shd w:val="clear" w:color="auto" w:fill="auto"/>
            <w:noWrap/>
            <w:vAlign w:val="center"/>
            <w:hideMark/>
          </w:tcPr>
          <w:p w14:paraId="017C248E" w14:textId="77777777" w:rsidR="003E5BF5" w:rsidRPr="00397FFB" w:rsidRDefault="003E5BF5" w:rsidP="00DE1921">
            <w:pPr>
              <w:jc w:val="right"/>
              <w:rPr>
                <w:rFonts w:ascii="Arial" w:hAnsi="Arial" w:cs="Arial"/>
                <w:sz w:val="23"/>
                <w:szCs w:val="23"/>
                <w:lang w:eastAsia="en-AU"/>
              </w:rPr>
            </w:pPr>
            <w:r w:rsidRPr="00397FFB">
              <w:rPr>
                <w:rFonts w:ascii="Arial" w:hAnsi="Arial" w:cs="Arial"/>
                <w:b/>
                <w:sz w:val="23"/>
                <w:szCs w:val="23"/>
              </w:rPr>
              <w:t>-</w:t>
            </w:r>
          </w:p>
        </w:tc>
        <w:tc>
          <w:tcPr>
            <w:tcW w:w="1262" w:type="dxa"/>
            <w:shd w:val="clear" w:color="auto" w:fill="auto"/>
            <w:noWrap/>
            <w:vAlign w:val="center"/>
            <w:hideMark/>
          </w:tcPr>
          <w:p w14:paraId="129303C1"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5,675 </w:t>
            </w:r>
          </w:p>
        </w:tc>
        <w:tc>
          <w:tcPr>
            <w:tcW w:w="1262" w:type="dxa"/>
            <w:shd w:val="clear" w:color="auto" w:fill="auto"/>
            <w:noWrap/>
            <w:vAlign w:val="center"/>
            <w:hideMark/>
          </w:tcPr>
          <w:p w14:paraId="2D03B503"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4,774 </w:t>
            </w:r>
          </w:p>
        </w:tc>
      </w:tr>
      <w:tr w:rsidR="003E5BF5" w:rsidRPr="00397FFB" w14:paraId="0A7EB480" w14:textId="77777777" w:rsidTr="00E70ED8">
        <w:trPr>
          <w:trHeight w:val="340"/>
        </w:trPr>
        <w:tc>
          <w:tcPr>
            <w:tcW w:w="2349" w:type="dxa"/>
            <w:shd w:val="clear" w:color="auto" w:fill="auto"/>
            <w:noWrap/>
            <w:vAlign w:val="center"/>
            <w:hideMark/>
          </w:tcPr>
          <w:p w14:paraId="04D13FFA"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Grant income</w:t>
            </w:r>
          </w:p>
        </w:tc>
        <w:tc>
          <w:tcPr>
            <w:tcW w:w="1263" w:type="dxa"/>
            <w:shd w:val="clear" w:color="auto" w:fill="auto"/>
            <w:noWrap/>
            <w:vAlign w:val="center"/>
            <w:hideMark/>
          </w:tcPr>
          <w:p w14:paraId="6A900BA6"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139,095 </w:t>
            </w:r>
          </w:p>
        </w:tc>
        <w:tc>
          <w:tcPr>
            <w:tcW w:w="1263" w:type="dxa"/>
            <w:shd w:val="clear" w:color="auto" w:fill="auto"/>
            <w:noWrap/>
            <w:vAlign w:val="center"/>
            <w:hideMark/>
          </w:tcPr>
          <w:p w14:paraId="331BC81F"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945 </w:t>
            </w:r>
          </w:p>
        </w:tc>
        <w:tc>
          <w:tcPr>
            <w:tcW w:w="1262" w:type="dxa"/>
            <w:shd w:val="clear" w:color="auto" w:fill="auto"/>
            <w:noWrap/>
            <w:vAlign w:val="center"/>
            <w:hideMark/>
          </w:tcPr>
          <w:p w14:paraId="4BD91C3C"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26,945 </w:t>
            </w:r>
          </w:p>
        </w:tc>
        <w:tc>
          <w:tcPr>
            <w:tcW w:w="1262" w:type="dxa"/>
            <w:shd w:val="clear" w:color="auto" w:fill="auto"/>
            <w:noWrap/>
            <w:vAlign w:val="center"/>
            <w:hideMark/>
          </w:tcPr>
          <w:p w14:paraId="631D14DE" w14:textId="77777777" w:rsidR="003E5BF5" w:rsidRPr="00397FFB" w:rsidRDefault="003E5BF5" w:rsidP="00DE1921">
            <w:pPr>
              <w:jc w:val="right"/>
              <w:rPr>
                <w:rFonts w:ascii="Arial" w:hAnsi="Arial" w:cs="Arial"/>
                <w:sz w:val="23"/>
                <w:szCs w:val="23"/>
                <w:lang w:eastAsia="en-AU"/>
              </w:rPr>
            </w:pPr>
            <w:r w:rsidRPr="00397FFB">
              <w:rPr>
                <w:rFonts w:ascii="Arial" w:hAnsi="Arial" w:cs="Arial"/>
                <w:b/>
                <w:sz w:val="23"/>
                <w:szCs w:val="23"/>
              </w:rPr>
              <w:t>-</w:t>
            </w:r>
          </w:p>
        </w:tc>
        <w:tc>
          <w:tcPr>
            <w:tcW w:w="1262" w:type="dxa"/>
            <w:shd w:val="clear" w:color="auto" w:fill="auto"/>
            <w:noWrap/>
            <w:vAlign w:val="center"/>
            <w:hideMark/>
          </w:tcPr>
          <w:p w14:paraId="6DB67824"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10 </w:t>
            </w:r>
          </w:p>
        </w:tc>
        <w:tc>
          <w:tcPr>
            <w:tcW w:w="1262" w:type="dxa"/>
            <w:shd w:val="clear" w:color="auto" w:fill="auto"/>
            <w:noWrap/>
            <w:vAlign w:val="center"/>
            <w:hideMark/>
          </w:tcPr>
          <w:p w14:paraId="0C2BE1B6" w14:textId="77777777" w:rsidR="003E5BF5" w:rsidRPr="00397FFB" w:rsidRDefault="003E5BF5" w:rsidP="00DE1921">
            <w:pPr>
              <w:jc w:val="right"/>
              <w:rPr>
                <w:rFonts w:ascii="Arial" w:hAnsi="Arial" w:cs="Arial"/>
                <w:sz w:val="23"/>
                <w:szCs w:val="23"/>
                <w:lang w:eastAsia="en-AU"/>
              </w:rPr>
            </w:pPr>
            <w:r w:rsidRPr="00397FFB">
              <w:rPr>
                <w:rFonts w:ascii="Arial" w:hAnsi="Arial" w:cs="Arial"/>
                <w:b/>
                <w:sz w:val="23"/>
                <w:szCs w:val="23"/>
              </w:rPr>
              <w:t>-</w:t>
            </w:r>
          </w:p>
        </w:tc>
      </w:tr>
      <w:tr w:rsidR="003E5BF5" w:rsidRPr="00397FFB" w14:paraId="2A7D978D" w14:textId="77777777" w:rsidTr="00E70ED8">
        <w:trPr>
          <w:trHeight w:val="340"/>
        </w:trPr>
        <w:tc>
          <w:tcPr>
            <w:tcW w:w="2349" w:type="dxa"/>
            <w:shd w:val="clear" w:color="auto" w:fill="auto"/>
            <w:noWrap/>
            <w:vAlign w:val="center"/>
            <w:hideMark/>
          </w:tcPr>
          <w:p w14:paraId="39DF3A83"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Sale of goods and services</w:t>
            </w:r>
          </w:p>
        </w:tc>
        <w:tc>
          <w:tcPr>
            <w:tcW w:w="1263" w:type="dxa"/>
            <w:shd w:val="clear" w:color="auto" w:fill="auto"/>
            <w:noWrap/>
            <w:vAlign w:val="center"/>
            <w:hideMark/>
          </w:tcPr>
          <w:p w14:paraId="43D48D47"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167,700 </w:t>
            </w:r>
          </w:p>
        </w:tc>
        <w:tc>
          <w:tcPr>
            <w:tcW w:w="1263" w:type="dxa"/>
            <w:shd w:val="clear" w:color="auto" w:fill="auto"/>
            <w:noWrap/>
            <w:vAlign w:val="center"/>
            <w:hideMark/>
          </w:tcPr>
          <w:p w14:paraId="4C3CC6E4" w14:textId="77777777" w:rsidR="003E5BF5" w:rsidRPr="00397FFB" w:rsidRDefault="003E5BF5" w:rsidP="00DE1921">
            <w:pPr>
              <w:jc w:val="right"/>
              <w:rPr>
                <w:rFonts w:ascii="Arial" w:hAnsi="Arial" w:cs="Arial"/>
                <w:sz w:val="23"/>
                <w:szCs w:val="23"/>
                <w:lang w:eastAsia="en-AU"/>
              </w:rPr>
            </w:pPr>
            <w:r w:rsidRPr="00397FFB">
              <w:rPr>
                <w:rFonts w:ascii="Arial" w:hAnsi="Arial" w:cs="Arial"/>
                <w:b/>
                <w:sz w:val="23"/>
                <w:szCs w:val="23"/>
              </w:rPr>
              <w:t>-</w:t>
            </w:r>
          </w:p>
        </w:tc>
        <w:tc>
          <w:tcPr>
            <w:tcW w:w="1262" w:type="dxa"/>
            <w:shd w:val="clear" w:color="auto" w:fill="auto"/>
            <w:noWrap/>
            <w:vAlign w:val="center"/>
            <w:hideMark/>
          </w:tcPr>
          <w:p w14:paraId="52A6FA75"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36,448 </w:t>
            </w:r>
          </w:p>
        </w:tc>
        <w:tc>
          <w:tcPr>
            <w:tcW w:w="1262" w:type="dxa"/>
            <w:shd w:val="clear" w:color="auto" w:fill="auto"/>
            <w:noWrap/>
            <w:vAlign w:val="center"/>
            <w:hideMark/>
          </w:tcPr>
          <w:p w14:paraId="6AE34E57" w14:textId="77777777" w:rsidR="003E5BF5" w:rsidRPr="00397FFB" w:rsidRDefault="003E5BF5" w:rsidP="00DE1921">
            <w:pPr>
              <w:jc w:val="right"/>
              <w:rPr>
                <w:rFonts w:ascii="Arial" w:hAnsi="Arial" w:cs="Arial"/>
                <w:sz w:val="23"/>
                <w:szCs w:val="23"/>
                <w:lang w:eastAsia="en-AU"/>
              </w:rPr>
            </w:pPr>
            <w:r w:rsidRPr="00397FFB">
              <w:rPr>
                <w:rFonts w:ascii="Arial" w:hAnsi="Arial" w:cs="Arial"/>
                <w:b/>
                <w:sz w:val="23"/>
                <w:szCs w:val="23"/>
              </w:rPr>
              <w:t>-</w:t>
            </w:r>
          </w:p>
        </w:tc>
        <w:tc>
          <w:tcPr>
            <w:tcW w:w="1262" w:type="dxa"/>
            <w:shd w:val="clear" w:color="auto" w:fill="auto"/>
            <w:noWrap/>
            <w:vAlign w:val="center"/>
            <w:hideMark/>
          </w:tcPr>
          <w:p w14:paraId="2D4158C4"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29 </w:t>
            </w:r>
          </w:p>
        </w:tc>
        <w:tc>
          <w:tcPr>
            <w:tcW w:w="1262" w:type="dxa"/>
            <w:shd w:val="clear" w:color="auto" w:fill="auto"/>
            <w:noWrap/>
            <w:vAlign w:val="center"/>
            <w:hideMark/>
          </w:tcPr>
          <w:p w14:paraId="3EF7261A" w14:textId="77777777" w:rsidR="003E5BF5" w:rsidRPr="00397FFB" w:rsidRDefault="003E5BF5" w:rsidP="00DE1921">
            <w:pPr>
              <w:jc w:val="right"/>
              <w:rPr>
                <w:rFonts w:ascii="Arial" w:hAnsi="Arial" w:cs="Arial"/>
                <w:sz w:val="23"/>
                <w:szCs w:val="23"/>
                <w:lang w:eastAsia="en-AU"/>
              </w:rPr>
            </w:pPr>
            <w:r w:rsidRPr="00397FFB">
              <w:rPr>
                <w:rFonts w:ascii="Arial" w:hAnsi="Arial" w:cs="Arial"/>
                <w:b/>
                <w:sz w:val="23"/>
                <w:szCs w:val="23"/>
              </w:rPr>
              <w:t>-</w:t>
            </w:r>
          </w:p>
        </w:tc>
      </w:tr>
      <w:tr w:rsidR="003E5BF5" w:rsidRPr="00397FFB" w14:paraId="154E31A4" w14:textId="77777777" w:rsidTr="00E70ED8">
        <w:trPr>
          <w:trHeight w:val="340"/>
        </w:trPr>
        <w:tc>
          <w:tcPr>
            <w:tcW w:w="2349" w:type="dxa"/>
            <w:shd w:val="clear" w:color="auto" w:fill="auto"/>
            <w:noWrap/>
            <w:vAlign w:val="center"/>
            <w:hideMark/>
          </w:tcPr>
          <w:p w14:paraId="2F2BC97A"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Other income</w:t>
            </w:r>
          </w:p>
        </w:tc>
        <w:tc>
          <w:tcPr>
            <w:tcW w:w="1263" w:type="dxa"/>
            <w:shd w:val="clear" w:color="auto" w:fill="auto"/>
            <w:noWrap/>
            <w:vAlign w:val="center"/>
            <w:hideMark/>
          </w:tcPr>
          <w:p w14:paraId="3DDD0B36"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12,914 </w:t>
            </w:r>
          </w:p>
        </w:tc>
        <w:tc>
          <w:tcPr>
            <w:tcW w:w="1263" w:type="dxa"/>
            <w:shd w:val="clear" w:color="auto" w:fill="auto"/>
            <w:noWrap/>
            <w:vAlign w:val="center"/>
            <w:hideMark/>
          </w:tcPr>
          <w:p w14:paraId="6403F1CE"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73 </w:t>
            </w:r>
          </w:p>
        </w:tc>
        <w:tc>
          <w:tcPr>
            <w:tcW w:w="1262" w:type="dxa"/>
            <w:shd w:val="clear" w:color="auto" w:fill="auto"/>
            <w:noWrap/>
            <w:vAlign w:val="center"/>
            <w:hideMark/>
          </w:tcPr>
          <w:p w14:paraId="066047DA"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686 </w:t>
            </w:r>
          </w:p>
        </w:tc>
        <w:tc>
          <w:tcPr>
            <w:tcW w:w="1262" w:type="dxa"/>
            <w:shd w:val="clear" w:color="auto" w:fill="auto"/>
            <w:noWrap/>
            <w:vAlign w:val="center"/>
            <w:hideMark/>
          </w:tcPr>
          <w:p w14:paraId="36B12BC5"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4 </w:t>
            </w:r>
          </w:p>
        </w:tc>
        <w:tc>
          <w:tcPr>
            <w:tcW w:w="1262" w:type="dxa"/>
            <w:shd w:val="clear" w:color="auto" w:fill="auto"/>
            <w:noWrap/>
            <w:vAlign w:val="center"/>
            <w:hideMark/>
          </w:tcPr>
          <w:p w14:paraId="45E8F989"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155 </w:t>
            </w:r>
          </w:p>
        </w:tc>
        <w:tc>
          <w:tcPr>
            <w:tcW w:w="1262" w:type="dxa"/>
            <w:shd w:val="clear" w:color="auto" w:fill="auto"/>
            <w:noWrap/>
            <w:vAlign w:val="center"/>
            <w:hideMark/>
          </w:tcPr>
          <w:p w14:paraId="15B9D5DD"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2 </w:t>
            </w:r>
          </w:p>
        </w:tc>
      </w:tr>
      <w:tr w:rsidR="003E5BF5" w:rsidRPr="00397FFB" w14:paraId="353347E8" w14:textId="77777777" w:rsidTr="00E70ED8">
        <w:trPr>
          <w:trHeight w:val="340"/>
        </w:trPr>
        <w:tc>
          <w:tcPr>
            <w:tcW w:w="2349" w:type="dxa"/>
            <w:shd w:val="clear" w:color="auto" w:fill="auto"/>
            <w:noWrap/>
            <w:vAlign w:val="center"/>
            <w:hideMark/>
          </w:tcPr>
          <w:p w14:paraId="73D31673" w14:textId="77777777" w:rsidR="003E5BF5" w:rsidRPr="00397FFB" w:rsidRDefault="003E5BF5" w:rsidP="00DE1921">
            <w:pPr>
              <w:pStyle w:val="TableTextLeftBold"/>
              <w:rPr>
                <w:rFonts w:ascii="Arial" w:hAnsi="Arial" w:cs="Arial"/>
                <w:sz w:val="23"/>
                <w:szCs w:val="23"/>
              </w:rPr>
            </w:pPr>
            <w:r w:rsidRPr="00397FFB">
              <w:rPr>
                <w:rFonts w:ascii="Arial" w:hAnsi="Arial" w:cs="Arial"/>
                <w:sz w:val="23"/>
                <w:szCs w:val="23"/>
              </w:rPr>
              <w:t>Total income from transactions</w:t>
            </w:r>
          </w:p>
        </w:tc>
        <w:tc>
          <w:tcPr>
            <w:tcW w:w="1263" w:type="dxa"/>
            <w:shd w:val="clear" w:color="auto" w:fill="auto"/>
            <w:noWrap/>
            <w:vAlign w:val="center"/>
            <w:hideMark/>
          </w:tcPr>
          <w:p w14:paraId="04112AA0"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4,149,248 </w:t>
            </w:r>
          </w:p>
        </w:tc>
        <w:tc>
          <w:tcPr>
            <w:tcW w:w="1263" w:type="dxa"/>
            <w:shd w:val="clear" w:color="auto" w:fill="auto"/>
            <w:noWrap/>
            <w:vAlign w:val="center"/>
            <w:hideMark/>
          </w:tcPr>
          <w:p w14:paraId="219CDE85"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3,524,105 </w:t>
            </w:r>
          </w:p>
        </w:tc>
        <w:tc>
          <w:tcPr>
            <w:tcW w:w="1262" w:type="dxa"/>
            <w:shd w:val="clear" w:color="auto" w:fill="auto"/>
            <w:noWrap/>
            <w:vAlign w:val="center"/>
            <w:hideMark/>
          </w:tcPr>
          <w:p w14:paraId="1A11561B"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1,011,742 </w:t>
            </w:r>
          </w:p>
        </w:tc>
        <w:tc>
          <w:tcPr>
            <w:tcW w:w="1262" w:type="dxa"/>
            <w:shd w:val="clear" w:color="auto" w:fill="auto"/>
            <w:noWrap/>
            <w:vAlign w:val="center"/>
            <w:hideMark/>
          </w:tcPr>
          <w:p w14:paraId="26210FB8"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877,136 </w:t>
            </w:r>
          </w:p>
        </w:tc>
        <w:tc>
          <w:tcPr>
            <w:tcW w:w="1262" w:type="dxa"/>
            <w:shd w:val="clear" w:color="auto" w:fill="auto"/>
            <w:noWrap/>
            <w:vAlign w:val="center"/>
            <w:hideMark/>
          </w:tcPr>
          <w:p w14:paraId="5D64CB60"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49,782 </w:t>
            </w:r>
          </w:p>
        </w:tc>
        <w:tc>
          <w:tcPr>
            <w:tcW w:w="1262" w:type="dxa"/>
            <w:shd w:val="clear" w:color="auto" w:fill="auto"/>
            <w:noWrap/>
            <w:vAlign w:val="center"/>
            <w:hideMark/>
          </w:tcPr>
          <w:p w14:paraId="7EDB114A"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102,331 </w:t>
            </w:r>
          </w:p>
        </w:tc>
      </w:tr>
      <w:tr w:rsidR="003E5BF5" w:rsidRPr="00397FFB" w14:paraId="6B0247CC" w14:textId="77777777" w:rsidTr="00E70ED8">
        <w:trPr>
          <w:trHeight w:val="340"/>
        </w:trPr>
        <w:tc>
          <w:tcPr>
            <w:tcW w:w="2349" w:type="dxa"/>
            <w:shd w:val="clear" w:color="auto" w:fill="auto"/>
            <w:noWrap/>
            <w:vAlign w:val="center"/>
            <w:hideMark/>
          </w:tcPr>
          <w:p w14:paraId="0B5A6B39" w14:textId="77777777" w:rsidR="003E5BF5" w:rsidRPr="00397FFB" w:rsidRDefault="003E5BF5" w:rsidP="00604703">
            <w:pPr>
              <w:pStyle w:val="TableTextGreen"/>
              <w:rPr>
                <w:sz w:val="23"/>
                <w:szCs w:val="23"/>
              </w:rPr>
            </w:pPr>
            <w:r w:rsidRPr="00397FFB">
              <w:rPr>
                <w:sz w:val="23"/>
                <w:szCs w:val="23"/>
              </w:rPr>
              <w:t>Expenses from transactions</w:t>
            </w:r>
          </w:p>
        </w:tc>
        <w:tc>
          <w:tcPr>
            <w:tcW w:w="1263" w:type="dxa"/>
            <w:shd w:val="clear" w:color="auto" w:fill="auto"/>
            <w:noWrap/>
            <w:vAlign w:val="center"/>
            <w:hideMark/>
          </w:tcPr>
          <w:p w14:paraId="26D01850" w14:textId="77777777" w:rsidR="003E5BF5" w:rsidRPr="00397FFB" w:rsidRDefault="003E5BF5" w:rsidP="00DE1921">
            <w:pPr>
              <w:jc w:val="right"/>
              <w:rPr>
                <w:rFonts w:ascii="Arial" w:hAnsi="Arial" w:cs="Arial"/>
                <w:sz w:val="23"/>
                <w:szCs w:val="23"/>
                <w:lang w:eastAsia="en-AU"/>
              </w:rPr>
            </w:pPr>
          </w:p>
        </w:tc>
        <w:tc>
          <w:tcPr>
            <w:tcW w:w="1263" w:type="dxa"/>
            <w:shd w:val="clear" w:color="auto" w:fill="auto"/>
            <w:noWrap/>
            <w:vAlign w:val="center"/>
            <w:hideMark/>
          </w:tcPr>
          <w:p w14:paraId="18418E28" w14:textId="77777777" w:rsidR="003E5BF5" w:rsidRPr="00397FFB" w:rsidRDefault="003E5BF5" w:rsidP="00DE1921">
            <w:pPr>
              <w:jc w:val="right"/>
              <w:rPr>
                <w:rFonts w:ascii="Arial" w:hAnsi="Arial" w:cs="Arial"/>
                <w:sz w:val="23"/>
                <w:szCs w:val="23"/>
                <w:lang w:eastAsia="en-AU"/>
              </w:rPr>
            </w:pPr>
          </w:p>
        </w:tc>
        <w:tc>
          <w:tcPr>
            <w:tcW w:w="1262" w:type="dxa"/>
            <w:shd w:val="clear" w:color="auto" w:fill="auto"/>
            <w:noWrap/>
            <w:vAlign w:val="center"/>
            <w:hideMark/>
          </w:tcPr>
          <w:p w14:paraId="25F746E3" w14:textId="77777777" w:rsidR="003E5BF5" w:rsidRPr="00397FFB" w:rsidRDefault="003E5BF5" w:rsidP="00DE1921">
            <w:pPr>
              <w:jc w:val="right"/>
              <w:rPr>
                <w:rFonts w:ascii="Arial" w:hAnsi="Arial" w:cs="Arial"/>
                <w:sz w:val="23"/>
                <w:szCs w:val="23"/>
                <w:lang w:eastAsia="en-AU"/>
              </w:rPr>
            </w:pPr>
          </w:p>
        </w:tc>
        <w:tc>
          <w:tcPr>
            <w:tcW w:w="1262" w:type="dxa"/>
            <w:shd w:val="clear" w:color="auto" w:fill="auto"/>
            <w:noWrap/>
            <w:vAlign w:val="center"/>
            <w:hideMark/>
          </w:tcPr>
          <w:p w14:paraId="1A672857" w14:textId="77777777" w:rsidR="003E5BF5" w:rsidRPr="00397FFB" w:rsidRDefault="003E5BF5" w:rsidP="00DE1921">
            <w:pPr>
              <w:jc w:val="right"/>
              <w:rPr>
                <w:rFonts w:ascii="Arial" w:hAnsi="Arial" w:cs="Arial"/>
                <w:sz w:val="23"/>
                <w:szCs w:val="23"/>
                <w:lang w:eastAsia="en-AU"/>
              </w:rPr>
            </w:pPr>
          </w:p>
        </w:tc>
        <w:tc>
          <w:tcPr>
            <w:tcW w:w="1262" w:type="dxa"/>
            <w:shd w:val="clear" w:color="auto" w:fill="auto"/>
            <w:noWrap/>
            <w:vAlign w:val="center"/>
            <w:hideMark/>
          </w:tcPr>
          <w:p w14:paraId="02835C17" w14:textId="77777777" w:rsidR="003E5BF5" w:rsidRPr="00397FFB" w:rsidRDefault="003E5BF5" w:rsidP="00DE1921">
            <w:pPr>
              <w:jc w:val="right"/>
              <w:rPr>
                <w:rFonts w:ascii="Arial" w:hAnsi="Arial" w:cs="Arial"/>
                <w:sz w:val="23"/>
                <w:szCs w:val="23"/>
                <w:lang w:eastAsia="en-AU"/>
              </w:rPr>
            </w:pPr>
          </w:p>
        </w:tc>
        <w:tc>
          <w:tcPr>
            <w:tcW w:w="1262" w:type="dxa"/>
            <w:shd w:val="clear" w:color="auto" w:fill="auto"/>
            <w:noWrap/>
            <w:vAlign w:val="center"/>
            <w:hideMark/>
          </w:tcPr>
          <w:p w14:paraId="0470809A" w14:textId="77777777" w:rsidR="003E5BF5" w:rsidRPr="00397FFB" w:rsidRDefault="003E5BF5" w:rsidP="00DE1921">
            <w:pPr>
              <w:jc w:val="right"/>
              <w:rPr>
                <w:rFonts w:ascii="Arial" w:hAnsi="Arial" w:cs="Arial"/>
                <w:sz w:val="23"/>
                <w:szCs w:val="23"/>
                <w:lang w:eastAsia="en-AU"/>
              </w:rPr>
            </w:pPr>
          </w:p>
        </w:tc>
      </w:tr>
      <w:tr w:rsidR="003E5BF5" w:rsidRPr="00397FFB" w14:paraId="1B856E5E" w14:textId="77777777" w:rsidTr="00E70ED8">
        <w:trPr>
          <w:trHeight w:val="340"/>
        </w:trPr>
        <w:tc>
          <w:tcPr>
            <w:tcW w:w="2349" w:type="dxa"/>
            <w:shd w:val="clear" w:color="auto" w:fill="auto"/>
            <w:noWrap/>
            <w:vAlign w:val="center"/>
            <w:hideMark/>
          </w:tcPr>
          <w:p w14:paraId="51894241"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Grant expenses</w:t>
            </w:r>
          </w:p>
        </w:tc>
        <w:tc>
          <w:tcPr>
            <w:tcW w:w="1263" w:type="dxa"/>
            <w:shd w:val="clear" w:color="auto" w:fill="auto"/>
            <w:noWrap/>
            <w:vAlign w:val="center"/>
            <w:hideMark/>
          </w:tcPr>
          <w:p w14:paraId="19BF8A90"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(2,375,390)</w:t>
            </w:r>
          </w:p>
        </w:tc>
        <w:tc>
          <w:tcPr>
            <w:tcW w:w="1263" w:type="dxa"/>
            <w:shd w:val="clear" w:color="auto" w:fill="auto"/>
            <w:noWrap/>
            <w:vAlign w:val="center"/>
            <w:hideMark/>
          </w:tcPr>
          <w:p w14:paraId="64336CB5"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(3,500,162)</w:t>
            </w:r>
          </w:p>
        </w:tc>
        <w:tc>
          <w:tcPr>
            <w:tcW w:w="1262" w:type="dxa"/>
            <w:shd w:val="clear" w:color="auto" w:fill="auto"/>
            <w:noWrap/>
            <w:vAlign w:val="center"/>
            <w:hideMark/>
          </w:tcPr>
          <w:p w14:paraId="23DE5703"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(617,306)</w:t>
            </w:r>
          </w:p>
        </w:tc>
        <w:tc>
          <w:tcPr>
            <w:tcW w:w="1262" w:type="dxa"/>
            <w:shd w:val="clear" w:color="auto" w:fill="auto"/>
            <w:noWrap/>
            <w:vAlign w:val="center"/>
            <w:hideMark/>
          </w:tcPr>
          <w:p w14:paraId="23BCE037"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(872,953)</w:t>
            </w:r>
          </w:p>
        </w:tc>
        <w:tc>
          <w:tcPr>
            <w:tcW w:w="1262" w:type="dxa"/>
            <w:shd w:val="clear" w:color="auto" w:fill="auto"/>
            <w:noWrap/>
            <w:vAlign w:val="center"/>
            <w:hideMark/>
          </w:tcPr>
          <w:p w14:paraId="1FF25475"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(9,825)</w:t>
            </w:r>
          </w:p>
        </w:tc>
        <w:tc>
          <w:tcPr>
            <w:tcW w:w="1262" w:type="dxa"/>
            <w:shd w:val="clear" w:color="auto" w:fill="auto"/>
            <w:noWrap/>
            <w:vAlign w:val="center"/>
            <w:hideMark/>
          </w:tcPr>
          <w:p w14:paraId="2E9EC201"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(99,643)</w:t>
            </w:r>
          </w:p>
        </w:tc>
      </w:tr>
      <w:tr w:rsidR="003E5BF5" w:rsidRPr="00397FFB" w14:paraId="1AD98AF2" w14:textId="77777777" w:rsidTr="00E70ED8">
        <w:trPr>
          <w:trHeight w:val="340"/>
        </w:trPr>
        <w:tc>
          <w:tcPr>
            <w:tcW w:w="2349" w:type="dxa"/>
            <w:shd w:val="clear" w:color="auto" w:fill="auto"/>
            <w:noWrap/>
            <w:vAlign w:val="center"/>
            <w:hideMark/>
          </w:tcPr>
          <w:p w14:paraId="68E7C2FE"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Employee benefits expense</w:t>
            </w:r>
          </w:p>
        </w:tc>
        <w:tc>
          <w:tcPr>
            <w:tcW w:w="1263" w:type="dxa"/>
            <w:shd w:val="clear" w:color="auto" w:fill="auto"/>
            <w:noWrap/>
            <w:vAlign w:val="center"/>
            <w:hideMark/>
          </w:tcPr>
          <w:p w14:paraId="1E3088FB"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(63,054)</w:t>
            </w:r>
          </w:p>
        </w:tc>
        <w:tc>
          <w:tcPr>
            <w:tcW w:w="1263" w:type="dxa"/>
            <w:shd w:val="clear" w:color="auto" w:fill="auto"/>
            <w:noWrap/>
            <w:vAlign w:val="center"/>
            <w:hideMark/>
          </w:tcPr>
          <w:p w14:paraId="4703BE94"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(24,855)</w:t>
            </w:r>
          </w:p>
        </w:tc>
        <w:tc>
          <w:tcPr>
            <w:tcW w:w="1262" w:type="dxa"/>
            <w:shd w:val="clear" w:color="auto" w:fill="auto"/>
            <w:noWrap/>
            <w:vAlign w:val="center"/>
            <w:hideMark/>
          </w:tcPr>
          <w:p w14:paraId="75B312D9"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(13,598)</w:t>
            </w:r>
          </w:p>
        </w:tc>
        <w:tc>
          <w:tcPr>
            <w:tcW w:w="1262" w:type="dxa"/>
            <w:shd w:val="clear" w:color="auto" w:fill="auto"/>
            <w:noWrap/>
            <w:vAlign w:val="center"/>
            <w:hideMark/>
          </w:tcPr>
          <w:p w14:paraId="71E6FBED"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(4,408)</w:t>
            </w:r>
          </w:p>
        </w:tc>
        <w:tc>
          <w:tcPr>
            <w:tcW w:w="1262" w:type="dxa"/>
            <w:shd w:val="clear" w:color="auto" w:fill="auto"/>
            <w:noWrap/>
            <w:vAlign w:val="center"/>
            <w:hideMark/>
          </w:tcPr>
          <w:p w14:paraId="455B9EEB"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(20,336)</w:t>
            </w:r>
          </w:p>
        </w:tc>
        <w:tc>
          <w:tcPr>
            <w:tcW w:w="1262" w:type="dxa"/>
            <w:shd w:val="clear" w:color="auto" w:fill="auto"/>
            <w:noWrap/>
            <w:vAlign w:val="center"/>
            <w:hideMark/>
          </w:tcPr>
          <w:p w14:paraId="66EC85E5"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(17,263)</w:t>
            </w:r>
          </w:p>
        </w:tc>
      </w:tr>
      <w:tr w:rsidR="003E5BF5" w:rsidRPr="00397FFB" w14:paraId="4D5631AB" w14:textId="77777777" w:rsidTr="00E70ED8">
        <w:trPr>
          <w:trHeight w:val="340"/>
        </w:trPr>
        <w:tc>
          <w:tcPr>
            <w:tcW w:w="2349" w:type="dxa"/>
            <w:shd w:val="clear" w:color="auto" w:fill="auto"/>
            <w:noWrap/>
            <w:vAlign w:val="center"/>
            <w:hideMark/>
          </w:tcPr>
          <w:p w14:paraId="26B416D8"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Capital asset charge</w:t>
            </w:r>
          </w:p>
        </w:tc>
        <w:tc>
          <w:tcPr>
            <w:tcW w:w="1263" w:type="dxa"/>
            <w:shd w:val="clear" w:color="auto" w:fill="auto"/>
            <w:noWrap/>
            <w:vAlign w:val="center"/>
            <w:hideMark/>
          </w:tcPr>
          <w:p w14:paraId="65DD2765"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(12,344)</w:t>
            </w:r>
          </w:p>
        </w:tc>
        <w:tc>
          <w:tcPr>
            <w:tcW w:w="1263" w:type="dxa"/>
            <w:shd w:val="clear" w:color="auto" w:fill="auto"/>
            <w:noWrap/>
            <w:vAlign w:val="center"/>
            <w:hideMark/>
          </w:tcPr>
          <w:p w14:paraId="703D401B"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(9,639)</w:t>
            </w:r>
          </w:p>
        </w:tc>
        <w:tc>
          <w:tcPr>
            <w:tcW w:w="1262" w:type="dxa"/>
            <w:shd w:val="clear" w:color="auto" w:fill="auto"/>
            <w:noWrap/>
            <w:vAlign w:val="center"/>
            <w:hideMark/>
          </w:tcPr>
          <w:p w14:paraId="78D133A8"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(2,699)</w:t>
            </w:r>
          </w:p>
        </w:tc>
        <w:tc>
          <w:tcPr>
            <w:tcW w:w="1262" w:type="dxa"/>
            <w:shd w:val="clear" w:color="auto" w:fill="auto"/>
            <w:noWrap/>
            <w:vAlign w:val="center"/>
            <w:hideMark/>
          </w:tcPr>
          <w:p w14:paraId="0CB7AAF2"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(690)</w:t>
            </w:r>
          </w:p>
        </w:tc>
        <w:tc>
          <w:tcPr>
            <w:tcW w:w="1262" w:type="dxa"/>
            <w:shd w:val="clear" w:color="auto" w:fill="auto"/>
            <w:noWrap/>
            <w:vAlign w:val="center"/>
            <w:hideMark/>
          </w:tcPr>
          <w:p w14:paraId="7D25C394"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(4,246)</w:t>
            </w:r>
          </w:p>
        </w:tc>
        <w:tc>
          <w:tcPr>
            <w:tcW w:w="1262" w:type="dxa"/>
            <w:shd w:val="clear" w:color="auto" w:fill="auto"/>
            <w:noWrap/>
            <w:vAlign w:val="center"/>
            <w:hideMark/>
          </w:tcPr>
          <w:p w14:paraId="2CCCF16A"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(1,160)</w:t>
            </w:r>
          </w:p>
        </w:tc>
      </w:tr>
      <w:tr w:rsidR="003E5BF5" w:rsidRPr="00397FFB" w14:paraId="4A24023B" w14:textId="77777777" w:rsidTr="00E70ED8">
        <w:trPr>
          <w:trHeight w:val="340"/>
        </w:trPr>
        <w:tc>
          <w:tcPr>
            <w:tcW w:w="2349" w:type="dxa"/>
            <w:shd w:val="clear" w:color="auto" w:fill="auto"/>
            <w:noWrap/>
            <w:vAlign w:val="center"/>
            <w:hideMark/>
          </w:tcPr>
          <w:p w14:paraId="7EBC55DE"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 xml:space="preserve">Depreciation and amortisation </w:t>
            </w:r>
          </w:p>
        </w:tc>
        <w:tc>
          <w:tcPr>
            <w:tcW w:w="1263" w:type="dxa"/>
            <w:shd w:val="clear" w:color="auto" w:fill="auto"/>
            <w:noWrap/>
            <w:vAlign w:val="center"/>
            <w:hideMark/>
          </w:tcPr>
          <w:p w14:paraId="1A37234E"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(55,198)</w:t>
            </w:r>
          </w:p>
        </w:tc>
        <w:tc>
          <w:tcPr>
            <w:tcW w:w="1263" w:type="dxa"/>
            <w:shd w:val="clear" w:color="auto" w:fill="auto"/>
            <w:noWrap/>
            <w:vAlign w:val="center"/>
            <w:hideMark/>
          </w:tcPr>
          <w:p w14:paraId="50523257"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(2,934)</w:t>
            </w:r>
          </w:p>
        </w:tc>
        <w:tc>
          <w:tcPr>
            <w:tcW w:w="1262" w:type="dxa"/>
            <w:shd w:val="clear" w:color="auto" w:fill="auto"/>
            <w:noWrap/>
            <w:vAlign w:val="center"/>
            <w:hideMark/>
          </w:tcPr>
          <w:p w14:paraId="7C62069F"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(12,107)</w:t>
            </w:r>
          </w:p>
        </w:tc>
        <w:tc>
          <w:tcPr>
            <w:tcW w:w="1262" w:type="dxa"/>
            <w:shd w:val="clear" w:color="auto" w:fill="auto"/>
            <w:noWrap/>
            <w:vAlign w:val="center"/>
            <w:hideMark/>
          </w:tcPr>
          <w:p w14:paraId="57A50BDA"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(626)</w:t>
            </w:r>
          </w:p>
        </w:tc>
        <w:tc>
          <w:tcPr>
            <w:tcW w:w="1262" w:type="dxa"/>
            <w:shd w:val="clear" w:color="auto" w:fill="auto"/>
            <w:noWrap/>
            <w:vAlign w:val="center"/>
            <w:hideMark/>
          </w:tcPr>
          <w:p w14:paraId="71C4A167"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(1,559)</w:t>
            </w:r>
          </w:p>
        </w:tc>
        <w:tc>
          <w:tcPr>
            <w:tcW w:w="1262" w:type="dxa"/>
            <w:shd w:val="clear" w:color="auto" w:fill="auto"/>
            <w:noWrap/>
            <w:vAlign w:val="center"/>
            <w:hideMark/>
          </w:tcPr>
          <w:p w14:paraId="1F70EC3F"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(772)</w:t>
            </w:r>
          </w:p>
        </w:tc>
      </w:tr>
      <w:tr w:rsidR="003E5BF5" w:rsidRPr="00397FFB" w14:paraId="1E9063BC" w14:textId="77777777" w:rsidTr="00E70ED8">
        <w:trPr>
          <w:trHeight w:val="340"/>
        </w:trPr>
        <w:tc>
          <w:tcPr>
            <w:tcW w:w="2349" w:type="dxa"/>
            <w:shd w:val="clear" w:color="auto" w:fill="auto"/>
            <w:noWrap/>
            <w:vAlign w:val="center"/>
            <w:hideMark/>
          </w:tcPr>
          <w:p w14:paraId="62766700"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 xml:space="preserve">Interest expense </w:t>
            </w:r>
            <w:r w:rsidRPr="00397FFB">
              <w:rPr>
                <w:rFonts w:ascii="Arial" w:hAnsi="Arial" w:cs="Arial"/>
                <w:sz w:val="23"/>
                <w:szCs w:val="23"/>
                <w:vertAlign w:val="superscript"/>
                <w:lang w:eastAsia="en-AU"/>
              </w:rPr>
              <w:t>(</w:t>
            </w:r>
            <w:proofErr w:type="spellStart"/>
            <w:r w:rsidRPr="00397FFB">
              <w:rPr>
                <w:rFonts w:ascii="Arial" w:hAnsi="Arial" w:cs="Arial"/>
                <w:sz w:val="23"/>
                <w:szCs w:val="23"/>
                <w:vertAlign w:val="superscript"/>
                <w:lang w:eastAsia="en-AU"/>
              </w:rPr>
              <w:t>i</w:t>
            </w:r>
            <w:proofErr w:type="spellEnd"/>
            <w:r w:rsidRPr="00397FFB">
              <w:rPr>
                <w:rFonts w:ascii="Arial" w:hAnsi="Arial" w:cs="Arial"/>
                <w:sz w:val="23"/>
                <w:szCs w:val="23"/>
                <w:vertAlign w:val="superscript"/>
                <w:lang w:eastAsia="en-AU"/>
              </w:rPr>
              <w:t>)</w:t>
            </w:r>
          </w:p>
        </w:tc>
        <w:tc>
          <w:tcPr>
            <w:tcW w:w="1263" w:type="dxa"/>
            <w:shd w:val="clear" w:color="auto" w:fill="auto"/>
            <w:noWrap/>
            <w:vAlign w:val="center"/>
            <w:hideMark/>
          </w:tcPr>
          <w:p w14:paraId="735A5578"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(55,520)</w:t>
            </w:r>
          </w:p>
        </w:tc>
        <w:tc>
          <w:tcPr>
            <w:tcW w:w="1263" w:type="dxa"/>
            <w:shd w:val="clear" w:color="auto" w:fill="auto"/>
            <w:noWrap/>
            <w:vAlign w:val="center"/>
            <w:hideMark/>
          </w:tcPr>
          <w:p w14:paraId="6B8DE111"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(47,145)</w:t>
            </w:r>
          </w:p>
        </w:tc>
        <w:tc>
          <w:tcPr>
            <w:tcW w:w="1262" w:type="dxa"/>
            <w:shd w:val="clear" w:color="auto" w:fill="auto"/>
            <w:noWrap/>
            <w:vAlign w:val="center"/>
            <w:hideMark/>
          </w:tcPr>
          <w:p w14:paraId="3D002869"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(6,675)</w:t>
            </w:r>
          </w:p>
        </w:tc>
        <w:tc>
          <w:tcPr>
            <w:tcW w:w="1262" w:type="dxa"/>
            <w:shd w:val="clear" w:color="auto" w:fill="auto"/>
            <w:noWrap/>
            <w:vAlign w:val="center"/>
            <w:hideMark/>
          </w:tcPr>
          <w:p w14:paraId="4A1B18E3"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(1)</w:t>
            </w:r>
          </w:p>
        </w:tc>
        <w:tc>
          <w:tcPr>
            <w:tcW w:w="1262" w:type="dxa"/>
            <w:shd w:val="clear" w:color="auto" w:fill="auto"/>
            <w:noWrap/>
            <w:vAlign w:val="center"/>
            <w:hideMark/>
          </w:tcPr>
          <w:p w14:paraId="0C96A704"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(109)</w:t>
            </w:r>
          </w:p>
        </w:tc>
        <w:tc>
          <w:tcPr>
            <w:tcW w:w="1262" w:type="dxa"/>
            <w:shd w:val="clear" w:color="auto" w:fill="auto"/>
            <w:noWrap/>
            <w:vAlign w:val="center"/>
            <w:hideMark/>
          </w:tcPr>
          <w:p w14:paraId="0A92032C"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(18)</w:t>
            </w:r>
          </w:p>
        </w:tc>
      </w:tr>
      <w:tr w:rsidR="003E5BF5" w:rsidRPr="00397FFB" w14:paraId="1D1D8333" w14:textId="77777777" w:rsidTr="00E70ED8">
        <w:trPr>
          <w:trHeight w:val="340"/>
        </w:trPr>
        <w:tc>
          <w:tcPr>
            <w:tcW w:w="2349" w:type="dxa"/>
            <w:shd w:val="clear" w:color="auto" w:fill="auto"/>
            <w:noWrap/>
          </w:tcPr>
          <w:p w14:paraId="244EF858"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Payments to public transport service providers</w:t>
            </w:r>
          </w:p>
        </w:tc>
        <w:tc>
          <w:tcPr>
            <w:tcW w:w="1263" w:type="dxa"/>
            <w:shd w:val="clear" w:color="auto" w:fill="auto"/>
            <w:noWrap/>
          </w:tcPr>
          <w:p w14:paraId="049A01AB" w14:textId="77777777" w:rsidR="003E5BF5" w:rsidRPr="00397FFB" w:rsidRDefault="003E5BF5" w:rsidP="00DE1921">
            <w:pPr>
              <w:jc w:val="right"/>
              <w:rPr>
                <w:rFonts w:ascii="Arial" w:hAnsi="Arial" w:cs="Arial"/>
                <w:sz w:val="23"/>
                <w:szCs w:val="23"/>
              </w:rPr>
            </w:pPr>
            <w:r w:rsidRPr="00397FFB">
              <w:rPr>
                <w:rFonts w:ascii="Arial" w:hAnsi="Arial" w:cs="Arial"/>
                <w:sz w:val="23"/>
                <w:szCs w:val="23"/>
              </w:rPr>
              <w:t>(1,347,399)</w:t>
            </w:r>
          </w:p>
        </w:tc>
        <w:tc>
          <w:tcPr>
            <w:tcW w:w="1263" w:type="dxa"/>
            <w:shd w:val="clear" w:color="auto" w:fill="auto"/>
            <w:noWrap/>
          </w:tcPr>
          <w:p w14:paraId="233EAB5B" w14:textId="77777777" w:rsidR="003E5BF5" w:rsidRPr="00397FFB" w:rsidRDefault="003E5BF5" w:rsidP="00DE1921">
            <w:pPr>
              <w:jc w:val="right"/>
              <w:rPr>
                <w:rFonts w:ascii="Arial" w:hAnsi="Arial" w:cs="Arial"/>
                <w:sz w:val="23"/>
                <w:szCs w:val="23"/>
              </w:rPr>
            </w:pPr>
            <w:r w:rsidRPr="00397FFB">
              <w:rPr>
                <w:rFonts w:ascii="Arial" w:hAnsi="Arial" w:cs="Arial"/>
                <w:b/>
                <w:sz w:val="23"/>
                <w:szCs w:val="23"/>
              </w:rPr>
              <w:t>-</w:t>
            </w:r>
          </w:p>
        </w:tc>
        <w:tc>
          <w:tcPr>
            <w:tcW w:w="1262" w:type="dxa"/>
            <w:shd w:val="clear" w:color="auto" w:fill="auto"/>
            <w:noWrap/>
          </w:tcPr>
          <w:p w14:paraId="3640784F" w14:textId="77777777" w:rsidR="003E5BF5" w:rsidRPr="00397FFB" w:rsidRDefault="003E5BF5" w:rsidP="00DE1921">
            <w:pPr>
              <w:jc w:val="right"/>
              <w:rPr>
                <w:rFonts w:ascii="Arial" w:hAnsi="Arial" w:cs="Arial"/>
                <w:sz w:val="23"/>
                <w:szCs w:val="23"/>
              </w:rPr>
            </w:pPr>
            <w:r w:rsidRPr="00397FFB">
              <w:rPr>
                <w:rFonts w:ascii="Arial" w:hAnsi="Arial" w:cs="Arial"/>
                <w:sz w:val="23"/>
                <w:szCs w:val="23"/>
              </w:rPr>
              <w:t>(277,245)</w:t>
            </w:r>
          </w:p>
        </w:tc>
        <w:tc>
          <w:tcPr>
            <w:tcW w:w="1262" w:type="dxa"/>
            <w:shd w:val="clear" w:color="auto" w:fill="auto"/>
            <w:noWrap/>
          </w:tcPr>
          <w:p w14:paraId="625435A8" w14:textId="77777777" w:rsidR="003E5BF5" w:rsidRPr="00397FFB" w:rsidRDefault="003E5BF5" w:rsidP="00DE1921">
            <w:pPr>
              <w:jc w:val="right"/>
              <w:rPr>
                <w:rFonts w:ascii="Arial" w:hAnsi="Arial" w:cs="Arial"/>
                <w:sz w:val="23"/>
                <w:szCs w:val="23"/>
              </w:rPr>
            </w:pPr>
            <w:r w:rsidRPr="00397FFB">
              <w:rPr>
                <w:rFonts w:ascii="Arial" w:hAnsi="Arial" w:cs="Arial"/>
                <w:b/>
                <w:sz w:val="23"/>
                <w:szCs w:val="23"/>
              </w:rPr>
              <w:t>-</w:t>
            </w:r>
          </w:p>
        </w:tc>
        <w:tc>
          <w:tcPr>
            <w:tcW w:w="1262" w:type="dxa"/>
            <w:shd w:val="clear" w:color="auto" w:fill="auto"/>
            <w:noWrap/>
          </w:tcPr>
          <w:p w14:paraId="539B4865" w14:textId="77777777" w:rsidR="003E5BF5" w:rsidRPr="00397FFB" w:rsidRDefault="003E5BF5" w:rsidP="00DE1921">
            <w:pPr>
              <w:jc w:val="right"/>
              <w:rPr>
                <w:rFonts w:ascii="Arial" w:hAnsi="Arial" w:cs="Arial"/>
                <w:sz w:val="23"/>
                <w:szCs w:val="23"/>
              </w:rPr>
            </w:pPr>
            <w:r w:rsidRPr="00397FFB">
              <w:rPr>
                <w:rFonts w:ascii="Arial" w:hAnsi="Arial" w:cs="Arial"/>
                <w:b/>
                <w:sz w:val="23"/>
                <w:szCs w:val="23"/>
              </w:rPr>
              <w:t>-</w:t>
            </w:r>
          </w:p>
        </w:tc>
        <w:tc>
          <w:tcPr>
            <w:tcW w:w="1262" w:type="dxa"/>
            <w:shd w:val="clear" w:color="auto" w:fill="auto"/>
            <w:noWrap/>
          </w:tcPr>
          <w:p w14:paraId="073526C8" w14:textId="77777777" w:rsidR="003E5BF5" w:rsidRPr="00397FFB" w:rsidRDefault="003E5BF5" w:rsidP="00DE1921">
            <w:pPr>
              <w:jc w:val="right"/>
              <w:rPr>
                <w:rFonts w:ascii="Arial" w:hAnsi="Arial" w:cs="Arial"/>
                <w:sz w:val="23"/>
                <w:szCs w:val="23"/>
              </w:rPr>
            </w:pPr>
            <w:r w:rsidRPr="00397FFB">
              <w:rPr>
                <w:rFonts w:ascii="Arial" w:hAnsi="Arial" w:cs="Arial"/>
                <w:b/>
                <w:sz w:val="23"/>
                <w:szCs w:val="23"/>
              </w:rPr>
              <w:t>-</w:t>
            </w:r>
          </w:p>
        </w:tc>
      </w:tr>
      <w:tr w:rsidR="003E5BF5" w:rsidRPr="00397FFB" w14:paraId="345BE158" w14:textId="77777777" w:rsidTr="00E70ED8">
        <w:trPr>
          <w:trHeight w:val="340"/>
        </w:trPr>
        <w:tc>
          <w:tcPr>
            <w:tcW w:w="2349" w:type="dxa"/>
            <w:shd w:val="clear" w:color="auto" w:fill="auto"/>
            <w:noWrap/>
            <w:vAlign w:val="center"/>
            <w:hideMark/>
          </w:tcPr>
          <w:p w14:paraId="103F0C61"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Other operating expenses</w:t>
            </w:r>
          </w:p>
        </w:tc>
        <w:tc>
          <w:tcPr>
            <w:tcW w:w="1263" w:type="dxa"/>
            <w:shd w:val="clear" w:color="auto" w:fill="auto"/>
            <w:noWrap/>
            <w:vAlign w:val="center"/>
            <w:hideMark/>
          </w:tcPr>
          <w:p w14:paraId="5DCA9856"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(158,684)</w:t>
            </w:r>
          </w:p>
        </w:tc>
        <w:tc>
          <w:tcPr>
            <w:tcW w:w="1263" w:type="dxa"/>
            <w:shd w:val="clear" w:color="auto" w:fill="auto"/>
            <w:noWrap/>
            <w:vAlign w:val="center"/>
            <w:hideMark/>
          </w:tcPr>
          <w:p w14:paraId="404316CD"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(31,668)</w:t>
            </w:r>
          </w:p>
        </w:tc>
        <w:tc>
          <w:tcPr>
            <w:tcW w:w="1262" w:type="dxa"/>
            <w:shd w:val="clear" w:color="auto" w:fill="auto"/>
            <w:noWrap/>
            <w:vAlign w:val="center"/>
            <w:hideMark/>
          </w:tcPr>
          <w:p w14:paraId="68CE7E1A"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(32,644)</w:t>
            </w:r>
          </w:p>
        </w:tc>
        <w:tc>
          <w:tcPr>
            <w:tcW w:w="1262" w:type="dxa"/>
            <w:shd w:val="clear" w:color="auto" w:fill="auto"/>
            <w:noWrap/>
            <w:vAlign w:val="center"/>
            <w:hideMark/>
          </w:tcPr>
          <w:p w14:paraId="54C89E29"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(10,599)</w:t>
            </w:r>
          </w:p>
        </w:tc>
        <w:tc>
          <w:tcPr>
            <w:tcW w:w="1262" w:type="dxa"/>
            <w:shd w:val="clear" w:color="auto" w:fill="auto"/>
            <w:noWrap/>
            <w:vAlign w:val="center"/>
            <w:hideMark/>
          </w:tcPr>
          <w:p w14:paraId="2F686842"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(9,159)</w:t>
            </w:r>
          </w:p>
        </w:tc>
        <w:tc>
          <w:tcPr>
            <w:tcW w:w="1262" w:type="dxa"/>
            <w:shd w:val="clear" w:color="auto" w:fill="auto"/>
            <w:noWrap/>
            <w:vAlign w:val="center"/>
            <w:hideMark/>
          </w:tcPr>
          <w:p w14:paraId="53746BE4"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(14,311)</w:t>
            </w:r>
          </w:p>
        </w:tc>
      </w:tr>
      <w:tr w:rsidR="003E5BF5" w:rsidRPr="00397FFB" w14:paraId="4C20673C" w14:textId="77777777" w:rsidTr="00E70ED8">
        <w:trPr>
          <w:trHeight w:val="340"/>
        </w:trPr>
        <w:tc>
          <w:tcPr>
            <w:tcW w:w="2349" w:type="dxa"/>
            <w:shd w:val="clear" w:color="auto" w:fill="auto"/>
            <w:noWrap/>
            <w:vAlign w:val="center"/>
            <w:hideMark/>
          </w:tcPr>
          <w:p w14:paraId="43E0CCCD" w14:textId="77777777" w:rsidR="003E5BF5" w:rsidRPr="00397FFB" w:rsidRDefault="003E5BF5" w:rsidP="00DE1921">
            <w:pPr>
              <w:pStyle w:val="TableTextLeftBold"/>
              <w:rPr>
                <w:rFonts w:ascii="Arial" w:hAnsi="Arial" w:cs="Arial"/>
                <w:sz w:val="23"/>
                <w:szCs w:val="23"/>
              </w:rPr>
            </w:pPr>
            <w:r w:rsidRPr="00397FFB">
              <w:rPr>
                <w:rFonts w:ascii="Arial" w:hAnsi="Arial" w:cs="Arial"/>
                <w:sz w:val="23"/>
                <w:szCs w:val="23"/>
              </w:rPr>
              <w:t>Total expenses from transactions</w:t>
            </w:r>
          </w:p>
        </w:tc>
        <w:tc>
          <w:tcPr>
            <w:tcW w:w="1263" w:type="dxa"/>
            <w:shd w:val="clear" w:color="auto" w:fill="auto"/>
            <w:noWrap/>
            <w:vAlign w:val="center"/>
            <w:hideMark/>
          </w:tcPr>
          <w:p w14:paraId="221DBA87"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(4,067,589)</w:t>
            </w:r>
          </w:p>
        </w:tc>
        <w:tc>
          <w:tcPr>
            <w:tcW w:w="1263" w:type="dxa"/>
            <w:shd w:val="clear" w:color="auto" w:fill="auto"/>
            <w:noWrap/>
            <w:vAlign w:val="center"/>
            <w:hideMark/>
          </w:tcPr>
          <w:p w14:paraId="69898FA7"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(3,616,403)</w:t>
            </w:r>
          </w:p>
        </w:tc>
        <w:tc>
          <w:tcPr>
            <w:tcW w:w="1262" w:type="dxa"/>
            <w:shd w:val="clear" w:color="auto" w:fill="auto"/>
            <w:noWrap/>
            <w:vAlign w:val="center"/>
            <w:hideMark/>
          </w:tcPr>
          <w:p w14:paraId="5D58E5DD"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(962,274)</w:t>
            </w:r>
          </w:p>
        </w:tc>
        <w:tc>
          <w:tcPr>
            <w:tcW w:w="1262" w:type="dxa"/>
            <w:shd w:val="clear" w:color="auto" w:fill="auto"/>
            <w:noWrap/>
            <w:vAlign w:val="center"/>
            <w:hideMark/>
          </w:tcPr>
          <w:p w14:paraId="36773437"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(889,277)</w:t>
            </w:r>
          </w:p>
        </w:tc>
        <w:tc>
          <w:tcPr>
            <w:tcW w:w="1262" w:type="dxa"/>
            <w:shd w:val="clear" w:color="auto" w:fill="auto"/>
            <w:noWrap/>
            <w:vAlign w:val="center"/>
            <w:hideMark/>
          </w:tcPr>
          <w:p w14:paraId="161AEF29"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(45,234)</w:t>
            </w:r>
          </w:p>
        </w:tc>
        <w:tc>
          <w:tcPr>
            <w:tcW w:w="1262" w:type="dxa"/>
            <w:shd w:val="clear" w:color="auto" w:fill="auto"/>
            <w:noWrap/>
            <w:vAlign w:val="center"/>
            <w:hideMark/>
          </w:tcPr>
          <w:p w14:paraId="2255AED2"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(133,167)</w:t>
            </w:r>
          </w:p>
        </w:tc>
      </w:tr>
      <w:tr w:rsidR="003E5BF5" w:rsidRPr="00397FFB" w14:paraId="4C8CE7BF" w14:textId="77777777" w:rsidTr="00E70ED8">
        <w:trPr>
          <w:trHeight w:val="340"/>
        </w:trPr>
        <w:tc>
          <w:tcPr>
            <w:tcW w:w="2349" w:type="dxa"/>
            <w:shd w:val="clear" w:color="auto" w:fill="auto"/>
            <w:noWrap/>
            <w:vAlign w:val="center"/>
            <w:hideMark/>
          </w:tcPr>
          <w:p w14:paraId="12254470" w14:textId="77777777" w:rsidR="003E5BF5" w:rsidRPr="00397FFB" w:rsidRDefault="003E5BF5" w:rsidP="00DE1921">
            <w:pPr>
              <w:pStyle w:val="TableTextLeftBold"/>
              <w:rPr>
                <w:rFonts w:ascii="Arial" w:hAnsi="Arial" w:cs="Arial"/>
                <w:sz w:val="23"/>
                <w:szCs w:val="23"/>
              </w:rPr>
            </w:pPr>
            <w:r w:rsidRPr="00397FFB">
              <w:rPr>
                <w:rFonts w:ascii="Arial" w:hAnsi="Arial" w:cs="Arial"/>
                <w:sz w:val="23"/>
                <w:szCs w:val="23"/>
              </w:rPr>
              <w:t>Net result from transactions</w:t>
            </w:r>
          </w:p>
        </w:tc>
        <w:tc>
          <w:tcPr>
            <w:tcW w:w="1263" w:type="dxa"/>
            <w:shd w:val="clear" w:color="auto" w:fill="auto"/>
            <w:noWrap/>
            <w:vAlign w:val="center"/>
            <w:hideMark/>
          </w:tcPr>
          <w:p w14:paraId="3ABF35C9"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81,659 </w:t>
            </w:r>
          </w:p>
        </w:tc>
        <w:tc>
          <w:tcPr>
            <w:tcW w:w="1263" w:type="dxa"/>
            <w:shd w:val="clear" w:color="auto" w:fill="auto"/>
            <w:noWrap/>
            <w:vAlign w:val="center"/>
            <w:hideMark/>
          </w:tcPr>
          <w:p w14:paraId="547F233B"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(92,298)</w:t>
            </w:r>
          </w:p>
        </w:tc>
        <w:tc>
          <w:tcPr>
            <w:tcW w:w="1262" w:type="dxa"/>
            <w:shd w:val="clear" w:color="auto" w:fill="auto"/>
            <w:noWrap/>
            <w:vAlign w:val="center"/>
            <w:hideMark/>
          </w:tcPr>
          <w:p w14:paraId="2C7765A7"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49,468 </w:t>
            </w:r>
          </w:p>
        </w:tc>
        <w:tc>
          <w:tcPr>
            <w:tcW w:w="1262" w:type="dxa"/>
            <w:shd w:val="clear" w:color="auto" w:fill="auto"/>
            <w:noWrap/>
            <w:vAlign w:val="center"/>
            <w:hideMark/>
          </w:tcPr>
          <w:p w14:paraId="7B837BA0"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(12,141)</w:t>
            </w:r>
          </w:p>
        </w:tc>
        <w:tc>
          <w:tcPr>
            <w:tcW w:w="1262" w:type="dxa"/>
            <w:shd w:val="clear" w:color="auto" w:fill="auto"/>
            <w:noWrap/>
            <w:vAlign w:val="center"/>
            <w:hideMark/>
          </w:tcPr>
          <w:p w14:paraId="7E2A9FA8"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4,548 </w:t>
            </w:r>
          </w:p>
        </w:tc>
        <w:tc>
          <w:tcPr>
            <w:tcW w:w="1262" w:type="dxa"/>
            <w:shd w:val="clear" w:color="auto" w:fill="auto"/>
            <w:noWrap/>
            <w:vAlign w:val="center"/>
            <w:hideMark/>
          </w:tcPr>
          <w:p w14:paraId="443BFE05"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(30,836)</w:t>
            </w:r>
          </w:p>
        </w:tc>
      </w:tr>
      <w:tr w:rsidR="003E5BF5" w:rsidRPr="00397FFB" w14:paraId="533E6F73" w14:textId="77777777" w:rsidTr="00E70ED8">
        <w:trPr>
          <w:trHeight w:val="340"/>
        </w:trPr>
        <w:tc>
          <w:tcPr>
            <w:tcW w:w="2349" w:type="dxa"/>
            <w:shd w:val="clear" w:color="auto" w:fill="auto"/>
            <w:noWrap/>
            <w:vAlign w:val="center"/>
          </w:tcPr>
          <w:p w14:paraId="54A373BC" w14:textId="77777777" w:rsidR="003E5BF5" w:rsidRPr="00397FFB" w:rsidRDefault="003E5BF5" w:rsidP="00DE1921">
            <w:pPr>
              <w:pStyle w:val="TableTextLeftBold"/>
              <w:rPr>
                <w:rFonts w:ascii="Arial" w:hAnsi="Arial" w:cs="Arial"/>
                <w:sz w:val="23"/>
                <w:szCs w:val="23"/>
              </w:rPr>
            </w:pPr>
          </w:p>
        </w:tc>
        <w:tc>
          <w:tcPr>
            <w:tcW w:w="1263" w:type="dxa"/>
            <w:shd w:val="clear" w:color="auto" w:fill="auto"/>
            <w:noWrap/>
            <w:vAlign w:val="center"/>
          </w:tcPr>
          <w:p w14:paraId="1D9BDBF9" w14:textId="77777777" w:rsidR="003E5BF5" w:rsidRPr="00397FFB" w:rsidRDefault="003E5BF5" w:rsidP="00DE1921">
            <w:pPr>
              <w:jc w:val="right"/>
              <w:rPr>
                <w:rFonts w:ascii="Arial" w:hAnsi="Arial" w:cs="Arial"/>
                <w:b/>
                <w:sz w:val="23"/>
                <w:szCs w:val="23"/>
              </w:rPr>
            </w:pPr>
          </w:p>
        </w:tc>
        <w:tc>
          <w:tcPr>
            <w:tcW w:w="1263" w:type="dxa"/>
            <w:shd w:val="clear" w:color="auto" w:fill="auto"/>
            <w:noWrap/>
            <w:vAlign w:val="center"/>
          </w:tcPr>
          <w:p w14:paraId="7F52AFC7" w14:textId="77777777" w:rsidR="003E5BF5" w:rsidRPr="00397FFB" w:rsidRDefault="003E5BF5" w:rsidP="00DE1921">
            <w:pPr>
              <w:jc w:val="right"/>
              <w:rPr>
                <w:rFonts w:ascii="Arial" w:hAnsi="Arial" w:cs="Arial"/>
                <w:b/>
                <w:sz w:val="23"/>
                <w:szCs w:val="23"/>
              </w:rPr>
            </w:pPr>
          </w:p>
        </w:tc>
        <w:tc>
          <w:tcPr>
            <w:tcW w:w="1262" w:type="dxa"/>
            <w:shd w:val="clear" w:color="auto" w:fill="auto"/>
            <w:noWrap/>
            <w:vAlign w:val="center"/>
          </w:tcPr>
          <w:p w14:paraId="222E5AB5" w14:textId="77777777" w:rsidR="003E5BF5" w:rsidRPr="00397FFB" w:rsidRDefault="003E5BF5" w:rsidP="00DE1921">
            <w:pPr>
              <w:jc w:val="right"/>
              <w:rPr>
                <w:rFonts w:ascii="Arial" w:hAnsi="Arial" w:cs="Arial"/>
                <w:b/>
                <w:sz w:val="23"/>
                <w:szCs w:val="23"/>
              </w:rPr>
            </w:pPr>
          </w:p>
        </w:tc>
        <w:tc>
          <w:tcPr>
            <w:tcW w:w="1262" w:type="dxa"/>
            <w:shd w:val="clear" w:color="auto" w:fill="auto"/>
            <w:noWrap/>
            <w:vAlign w:val="center"/>
          </w:tcPr>
          <w:p w14:paraId="675A9D81" w14:textId="77777777" w:rsidR="003E5BF5" w:rsidRPr="00397FFB" w:rsidRDefault="003E5BF5" w:rsidP="00DE1921">
            <w:pPr>
              <w:jc w:val="right"/>
              <w:rPr>
                <w:rFonts w:ascii="Arial" w:hAnsi="Arial" w:cs="Arial"/>
                <w:b/>
                <w:sz w:val="23"/>
                <w:szCs w:val="23"/>
              </w:rPr>
            </w:pPr>
          </w:p>
        </w:tc>
        <w:tc>
          <w:tcPr>
            <w:tcW w:w="1262" w:type="dxa"/>
            <w:shd w:val="clear" w:color="auto" w:fill="auto"/>
            <w:noWrap/>
            <w:vAlign w:val="center"/>
          </w:tcPr>
          <w:p w14:paraId="1A595035" w14:textId="77777777" w:rsidR="003E5BF5" w:rsidRPr="00397FFB" w:rsidRDefault="003E5BF5" w:rsidP="00DE1921">
            <w:pPr>
              <w:jc w:val="right"/>
              <w:rPr>
                <w:rFonts w:ascii="Arial" w:hAnsi="Arial" w:cs="Arial"/>
                <w:b/>
                <w:sz w:val="23"/>
                <w:szCs w:val="23"/>
              </w:rPr>
            </w:pPr>
          </w:p>
        </w:tc>
        <w:tc>
          <w:tcPr>
            <w:tcW w:w="1262" w:type="dxa"/>
            <w:shd w:val="clear" w:color="auto" w:fill="auto"/>
            <w:noWrap/>
            <w:vAlign w:val="center"/>
          </w:tcPr>
          <w:p w14:paraId="6F66BBC5" w14:textId="77777777" w:rsidR="003E5BF5" w:rsidRPr="00397FFB" w:rsidRDefault="003E5BF5" w:rsidP="00DE1921">
            <w:pPr>
              <w:jc w:val="right"/>
              <w:rPr>
                <w:rFonts w:ascii="Arial" w:hAnsi="Arial" w:cs="Arial"/>
                <w:b/>
                <w:sz w:val="23"/>
                <w:szCs w:val="23"/>
              </w:rPr>
            </w:pPr>
          </w:p>
        </w:tc>
      </w:tr>
      <w:tr w:rsidR="003E5BF5" w:rsidRPr="00397FFB" w14:paraId="2C91B0AD" w14:textId="77777777" w:rsidTr="00E70ED8">
        <w:trPr>
          <w:trHeight w:val="340"/>
        </w:trPr>
        <w:tc>
          <w:tcPr>
            <w:tcW w:w="2349" w:type="dxa"/>
            <w:shd w:val="clear" w:color="auto" w:fill="auto"/>
            <w:noWrap/>
            <w:hideMark/>
          </w:tcPr>
          <w:p w14:paraId="1D46646C" w14:textId="77777777" w:rsidR="003E5BF5" w:rsidRPr="00397FFB" w:rsidRDefault="003E5BF5" w:rsidP="00604703">
            <w:pPr>
              <w:pStyle w:val="TableTextGreen"/>
              <w:rPr>
                <w:sz w:val="23"/>
                <w:szCs w:val="23"/>
              </w:rPr>
            </w:pPr>
            <w:r w:rsidRPr="00397FFB">
              <w:rPr>
                <w:sz w:val="23"/>
                <w:szCs w:val="23"/>
              </w:rPr>
              <w:t>Other economic flows included in net result</w:t>
            </w:r>
          </w:p>
        </w:tc>
        <w:tc>
          <w:tcPr>
            <w:tcW w:w="1263" w:type="dxa"/>
            <w:shd w:val="clear" w:color="auto" w:fill="auto"/>
            <w:noWrap/>
            <w:vAlign w:val="center"/>
            <w:hideMark/>
          </w:tcPr>
          <w:p w14:paraId="30874E50" w14:textId="77777777" w:rsidR="003E5BF5" w:rsidRPr="00397FFB" w:rsidRDefault="003E5BF5" w:rsidP="00DE1921">
            <w:pPr>
              <w:jc w:val="right"/>
              <w:rPr>
                <w:rFonts w:ascii="Arial" w:hAnsi="Arial" w:cs="Arial"/>
                <w:sz w:val="23"/>
                <w:szCs w:val="23"/>
                <w:lang w:eastAsia="en-AU"/>
              </w:rPr>
            </w:pPr>
          </w:p>
        </w:tc>
        <w:tc>
          <w:tcPr>
            <w:tcW w:w="1263" w:type="dxa"/>
            <w:shd w:val="clear" w:color="auto" w:fill="auto"/>
            <w:noWrap/>
            <w:vAlign w:val="center"/>
            <w:hideMark/>
          </w:tcPr>
          <w:p w14:paraId="51D42D0D" w14:textId="77777777" w:rsidR="003E5BF5" w:rsidRPr="00397FFB" w:rsidRDefault="003E5BF5" w:rsidP="00DE1921">
            <w:pPr>
              <w:jc w:val="right"/>
              <w:rPr>
                <w:rFonts w:ascii="Arial" w:hAnsi="Arial" w:cs="Arial"/>
                <w:sz w:val="23"/>
                <w:szCs w:val="23"/>
                <w:lang w:eastAsia="en-AU"/>
              </w:rPr>
            </w:pPr>
          </w:p>
        </w:tc>
        <w:tc>
          <w:tcPr>
            <w:tcW w:w="1262" w:type="dxa"/>
            <w:shd w:val="clear" w:color="auto" w:fill="auto"/>
            <w:noWrap/>
            <w:vAlign w:val="center"/>
            <w:hideMark/>
          </w:tcPr>
          <w:p w14:paraId="53D12B55" w14:textId="77777777" w:rsidR="003E5BF5" w:rsidRPr="00397FFB" w:rsidRDefault="003E5BF5" w:rsidP="00DE1921">
            <w:pPr>
              <w:jc w:val="right"/>
              <w:rPr>
                <w:rFonts w:ascii="Arial" w:hAnsi="Arial" w:cs="Arial"/>
                <w:sz w:val="23"/>
                <w:szCs w:val="23"/>
                <w:lang w:eastAsia="en-AU"/>
              </w:rPr>
            </w:pPr>
          </w:p>
        </w:tc>
        <w:tc>
          <w:tcPr>
            <w:tcW w:w="1262" w:type="dxa"/>
            <w:shd w:val="clear" w:color="auto" w:fill="auto"/>
            <w:noWrap/>
            <w:vAlign w:val="center"/>
            <w:hideMark/>
          </w:tcPr>
          <w:p w14:paraId="1A782D07" w14:textId="77777777" w:rsidR="003E5BF5" w:rsidRPr="00397FFB" w:rsidRDefault="003E5BF5" w:rsidP="00DE1921">
            <w:pPr>
              <w:jc w:val="right"/>
              <w:rPr>
                <w:rFonts w:ascii="Arial" w:hAnsi="Arial" w:cs="Arial"/>
                <w:sz w:val="23"/>
                <w:szCs w:val="23"/>
                <w:lang w:eastAsia="en-AU"/>
              </w:rPr>
            </w:pPr>
          </w:p>
        </w:tc>
        <w:tc>
          <w:tcPr>
            <w:tcW w:w="1262" w:type="dxa"/>
            <w:shd w:val="clear" w:color="auto" w:fill="auto"/>
            <w:noWrap/>
            <w:vAlign w:val="center"/>
            <w:hideMark/>
          </w:tcPr>
          <w:p w14:paraId="0F643485" w14:textId="77777777" w:rsidR="003E5BF5" w:rsidRPr="00397FFB" w:rsidRDefault="003E5BF5" w:rsidP="00DE1921">
            <w:pPr>
              <w:jc w:val="right"/>
              <w:rPr>
                <w:rFonts w:ascii="Arial" w:hAnsi="Arial" w:cs="Arial"/>
                <w:sz w:val="23"/>
                <w:szCs w:val="23"/>
                <w:lang w:eastAsia="en-AU"/>
              </w:rPr>
            </w:pPr>
          </w:p>
        </w:tc>
        <w:tc>
          <w:tcPr>
            <w:tcW w:w="1262" w:type="dxa"/>
            <w:shd w:val="clear" w:color="auto" w:fill="auto"/>
            <w:noWrap/>
            <w:vAlign w:val="center"/>
            <w:hideMark/>
          </w:tcPr>
          <w:p w14:paraId="123F9707" w14:textId="77777777" w:rsidR="003E5BF5" w:rsidRPr="00397FFB" w:rsidRDefault="003E5BF5" w:rsidP="00DE1921">
            <w:pPr>
              <w:jc w:val="right"/>
              <w:rPr>
                <w:rFonts w:ascii="Arial" w:hAnsi="Arial" w:cs="Arial"/>
                <w:sz w:val="23"/>
                <w:szCs w:val="23"/>
                <w:lang w:eastAsia="en-AU"/>
              </w:rPr>
            </w:pPr>
          </w:p>
        </w:tc>
      </w:tr>
      <w:tr w:rsidR="003E5BF5" w:rsidRPr="00397FFB" w14:paraId="5018D5D8" w14:textId="77777777" w:rsidTr="00E70ED8">
        <w:trPr>
          <w:trHeight w:val="340"/>
        </w:trPr>
        <w:tc>
          <w:tcPr>
            <w:tcW w:w="2349" w:type="dxa"/>
            <w:shd w:val="clear" w:color="auto" w:fill="auto"/>
            <w:noWrap/>
            <w:vAlign w:val="center"/>
            <w:hideMark/>
          </w:tcPr>
          <w:p w14:paraId="6C339B1C"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Net loss on non-financial assets</w:t>
            </w:r>
          </w:p>
        </w:tc>
        <w:tc>
          <w:tcPr>
            <w:tcW w:w="1263" w:type="dxa"/>
            <w:shd w:val="clear" w:color="auto" w:fill="auto"/>
            <w:noWrap/>
            <w:vAlign w:val="center"/>
            <w:hideMark/>
          </w:tcPr>
          <w:p w14:paraId="12D27F34"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(35,657)</w:t>
            </w:r>
          </w:p>
        </w:tc>
        <w:tc>
          <w:tcPr>
            <w:tcW w:w="1263" w:type="dxa"/>
            <w:shd w:val="clear" w:color="auto" w:fill="auto"/>
            <w:noWrap/>
            <w:vAlign w:val="center"/>
            <w:hideMark/>
          </w:tcPr>
          <w:p w14:paraId="3066B573"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(238)</w:t>
            </w:r>
          </w:p>
        </w:tc>
        <w:tc>
          <w:tcPr>
            <w:tcW w:w="1262" w:type="dxa"/>
            <w:shd w:val="clear" w:color="auto" w:fill="auto"/>
            <w:noWrap/>
            <w:vAlign w:val="center"/>
            <w:hideMark/>
          </w:tcPr>
          <w:p w14:paraId="6F4BC229"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(2,362)</w:t>
            </w:r>
          </w:p>
        </w:tc>
        <w:tc>
          <w:tcPr>
            <w:tcW w:w="1262" w:type="dxa"/>
            <w:shd w:val="clear" w:color="auto" w:fill="auto"/>
            <w:noWrap/>
            <w:vAlign w:val="center"/>
            <w:hideMark/>
          </w:tcPr>
          <w:p w14:paraId="48648060"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(52)</w:t>
            </w:r>
          </w:p>
        </w:tc>
        <w:tc>
          <w:tcPr>
            <w:tcW w:w="1262" w:type="dxa"/>
            <w:shd w:val="clear" w:color="auto" w:fill="auto"/>
            <w:noWrap/>
            <w:vAlign w:val="center"/>
            <w:hideMark/>
          </w:tcPr>
          <w:p w14:paraId="529DC8DA"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(422)</w:t>
            </w:r>
          </w:p>
        </w:tc>
        <w:tc>
          <w:tcPr>
            <w:tcW w:w="1262" w:type="dxa"/>
            <w:shd w:val="clear" w:color="auto" w:fill="auto"/>
            <w:noWrap/>
            <w:vAlign w:val="center"/>
            <w:hideMark/>
          </w:tcPr>
          <w:p w14:paraId="0A2F3535"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10 </w:t>
            </w:r>
          </w:p>
        </w:tc>
      </w:tr>
      <w:tr w:rsidR="003E5BF5" w:rsidRPr="00397FFB" w14:paraId="25A099C3" w14:textId="77777777" w:rsidTr="00E70ED8">
        <w:trPr>
          <w:trHeight w:val="340"/>
        </w:trPr>
        <w:tc>
          <w:tcPr>
            <w:tcW w:w="2349" w:type="dxa"/>
            <w:shd w:val="clear" w:color="auto" w:fill="auto"/>
            <w:noWrap/>
            <w:vAlign w:val="center"/>
            <w:hideMark/>
          </w:tcPr>
          <w:p w14:paraId="63D0A405"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Net loss on financial instruments</w:t>
            </w:r>
          </w:p>
        </w:tc>
        <w:tc>
          <w:tcPr>
            <w:tcW w:w="1263" w:type="dxa"/>
            <w:shd w:val="clear" w:color="auto" w:fill="auto"/>
            <w:noWrap/>
            <w:vAlign w:val="center"/>
            <w:hideMark/>
          </w:tcPr>
          <w:p w14:paraId="56314AE0"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(1,202)</w:t>
            </w:r>
          </w:p>
        </w:tc>
        <w:tc>
          <w:tcPr>
            <w:tcW w:w="1263" w:type="dxa"/>
            <w:shd w:val="clear" w:color="auto" w:fill="auto"/>
            <w:noWrap/>
            <w:vAlign w:val="center"/>
            <w:hideMark/>
          </w:tcPr>
          <w:p w14:paraId="3C126544" w14:textId="77777777" w:rsidR="003E5BF5" w:rsidRPr="00397FFB" w:rsidRDefault="003E5BF5" w:rsidP="00DE1921">
            <w:pPr>
              <w:jc w:val="right"/>
              <w:rPr>
                <w:rFonts w:ascii="Arial" w:hAnsi="Arial" w:cs="Arial"/>
                <w:sz w:val="23"/>
                <w:szCs w:val="23"/>
                <w:lang w:eastAsia="en-AU"/>
              </w:rPr>
            </w:pPr>
            <w:r w:rsidRPr="00397FFB">
              <w:rPr>
                <w:rFonts w:ascii="Arial" w:hAnsi="Arial" w:cs="Arial"/>
                <w:b/>
                <w:sz w:val="23"/>
                <w:szCs w:val="23"/>
              </w:rPr>
              <w:t>-</w:t>
            </w:r>
          </w:p>
        </w:tc>
        <w:tc>
          <w:tcPr>
            <w:tcW w:w="1262" w:type="dxa"/>
            <w:shd w:val="clear" w:color="auto" w:fill="auto"/>
            <w:noWrap/>
            <w:vAlign w:val="center"/>
            <w:hideMark/>
          </w:tcPr>
          <w:p w14:paraId="28C3BF24"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(264)</w:t>
            </w:r>
          </w:p>
        </w:tc>
        <w:tc>
          <w:tcPr>
            <w:tcW w:w="1262" w:type="dxa"/>
            <w:shd w:val="clear" w:color="auto" w:fill="auto"/>
            <w:noWrap/>
            <w:vAlign w:val="center"/>
            <w:hideMark/>
          </w:tcPr>
          <w:p w14:paraId="78888EF5" w14:textId="77777777" w:rsidR="003E5BF5" w:rsidRPr="00397FFB" w:rsidRDefault="003E5BF5" w:rsidP="00DE1921">
            <w:pPr>
              <w:jc w:val="right"/>
              <w:rPr>
                <w:rFonts w:ascii="Arial" w:hAnsi="Arial" w:cs="Arial"/>
                <w:sz w:val="23"/>
                <w:szCs w:val="23"/>
                <w:lang w:eastAsia="en-AU"/>
              </w:rPr>
            </w:pPr>
            <w:r w:rsidRPr="00397FFB">
              <w:rPr>
                <w:rFonts w:ascii="Arial" w:hAnsi="Arial" w:cs="Arial"/>
                <w:b/>
                <w:sz w:val="23"/>
                <w:szCs w:val="23"/>
              </w:rPr>
              <w:t>-</w:t>
            </w:r>
          </w:p>
        </w:tc>
        <w:tc>
          <w:tcPr>
            <w:tcW w:w="1262" w:type="dxa"/>
            <w:shd w:val="clear" w:color="auto" w:fill="auto"/>
            <w:noWrap/>
            <w:vAlign w:val="center"/>
            <w:hideMark/>
          </w:tcPr>
          <w:p w14:paraId="29E146C4" w14:textId="77777777" w:rsidR="003E5BF5" w:rsidRPr="00397FFB" w:rsidRDefault="003E5BF5" w:rsidP="00DE1921">
            <w:pPr>
              <w:jc w:val="right"/>
              <w:rPr>
                <w:rFonts w:ascii="Arial" w:hAnsi="Arial" w:cs="Arial"/>
                <w:sz w:val="23"/>
                <w:szCs w:val="23"/>
                <w:lang w:eastAsia="en-AU"/>
              </w:rPr>
            </w:pPr>
            <w:r w:rsidRPr="00397FFB">
              <w:rPr>
                <w:rFonts w:ascii="Arial" w:hAnsi="Arial" w:cs="Arial"/>
                <w:b/>
                <w:sz w:val="23"/>
                <w:szCs w:val="23"/>
              </w:rPr>
              <w:t>-</w:t>
            </w:r>
          </w:p>
        </w:tc>
        <w:tc>
          <w:tcPr>
            <w:tcW w:w="1262" w:type="dxa"/>
            <w:shd w:val="clear" w:color="auto" w:fill="auto"/>
            <w:noWrap/>
            <w:vAlign w:val="center"/>
            <w:hideMark/>
          </w:tcPr>
          <w:p w14:paraId="4264871F" w14:textId="77777777" w:rsidR="003E5BF5" w:rsidRPr="00397FFB" w:rsidRDefault="003E5BF5" w:rsidP="00DE1921">
            <w:pPr>
              <w:jc w:val="right"/>
              <w:rPr>
                <w:rFonts w:ascii="Arial" w:hAnsi="Arial" w:cs="Arial"/>
                <w:sz w:val="23"/>
                <w:szCs w:val="23"/>
                <w:lang w:eastAsia="en-AU"/>
              </w:rPr>
            </w:pPr>
            <w:r w:rsidRPr="00397FFB">
              <w:rPr>
                <w:rFonts w:ascii="Arial" w:hAnsi="Arial" w:cs="Arial"/>
                <w:b/>
                <w:sz w:val="23"/>
                <w:szCs w:val="23"/>
              </w:rPr>
              <w:t>-</w:t>
            </w:r>
          </w:p>
        </w:tc>
      </w:tr>
      <w:tr w:rsidR="003E5BF5" w:rsidRPr="00397FFB" w14:paraId="200A01E5" w14:textId="77777777" w:rsidTr="00E70ED8">
        <w:trPr>
          <w:trHeight w:val="340"/>
        </w:trPr>
        <w:tc>
          <w:tcPr>
            <w:tcW w:w="2349" w:type="dxa"/>
            <w:shd w:val="clear" w:color="auto" w:fill="auto"/>
            <w:noWrap/>
            <w:vAlign w:val="center"/>
            <w:hideMark/>
          </w:tcPr>
          <w:p w14:paraId="1D379E17"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Other gains/(losses) from other economic flows</w:t>
            </w:r>
          </w:p>
        </w:tc>
        <w:tc>
          <w:tcPr>
            <w:tcW w:w="1263" w:type="dxa"/>
            <w:shd w:val="clear" w:color="auto" w:fill="auto"/>
            <w:noWrap/>
            <w:hideMark/>
          </w:tcPr>
          <w:p w14:paraId="79B8A06F"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(25,448)</w:t>
            </w:r>
          </w:p>
        </w:tc>
        <w:tc>
          <w:tcPr>
            <w:tcW w:w="1263" w:type="dxa"/>
            <w:shd w:val="clear" w:color="auto" w:fill="auto"/>
            <w:noWrap/>
            <w:hideMark/>
          </w:tcPr>
          <w:p w14:paraId="3AEFB87D"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(134)</w:t>
            </w:r>
          </w:p>
        </w:tc>
        <w:tc>
          <w:tcPr>
            <w:tcW w:w="1262" w:type="dxa"/>
            <w:shd w:val="clear" w:color="auto" w:fill="auto"/>
            <w:noWrap/>
            <w:hideMark/>
          </w:tcPr>
          <w:p w14:paraId="1985581F"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(5,587)</w:t>
            </w:r>
          </w:p>
        </w:tc>
        <w:tc>
          <w:tcPr>
            <w:tcW w:w="1262" w:type="dxa"/>
            <w:shd w:val="clear" w:color="auto" w:fill="auto"/>
            <w:noWrap/>
            <w:hideMark/>
          </w:tcPr>
          <w:p w14:paraId="2B926665"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(24)</w:t>
            </w:r>
          </w:p>
        </w:tc>
        <w:tc>
          <w:tcPr>
            <w:tcW w:w="1262" w:type="dxa"/>
            <w:shd w:val="clear" w:color="auto" w:fill="auto"/>
            <w:noWrap/>
            <w:hideMark/>
          </w:tcPr>
          <w:p w14:paraId="2A6EEEF5"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(12)</w:t>
            </w:r>
          </w:p>
        </w:tc>
        <w:tc>
          <w:tcPr>
            <w:tcW w:w="1262" w:type="dxa"/>
            <w:shd w:val="clear" w:color="auto" w:fill="auto"/>
            <w:noWrap/>
            <w:hideMark/>
          </w:tcPr>
          <w:p w14:paraId="7CD204AB"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(32)</w:t>
            </w:r>
          </w:p>
        </w:tc>
      </w:tr>
      <w:tr w:rsidR="003E5BF5" w:rsidRPr="00397FFB" w14:paraId="0373D92D" w14:textId="77777777" w:rsidTr="00E70ED8">
        <w:trPr>
          <w:trHeight w:val="340"/>
        </w:trPr>
        <w:tc>
          <w:tcPr>
            <w:tcW w:w="2349" w:type="dxa"/>
            <w:shd w:val="clear" w:color="auto" w:fill="auto"/>
            <w:noWrap/>
            <w:vAlign w:val="center"/>
            <w:hideMark/>
          </w:tcPr>
          <w:p w14:paraId="3AF765B7" w14:textId="77777777" w:rsidR="003E5BF5" w:rsidRPr="00397FFB" w:rsidRDefault="003E5BF5" w:rsidP="00DE1921">
            <w:pPr>
              <w:pStyle w:val="TableTextLeftBold"/>
              <w:rPr>
                <w:rFonts w:ascii="Arial" w:hAnsi="Arial" w:cs="Arial"/>
                <w:sz w:val="23"/>
                <w:szCs w:val="23"/>
              </w:rPr>
            </w:pPr>
            <w:r w:rsidRPr="00397FFB">
              <w:rPr>
                <w:rFonts w:ascii="Arial" w:hAnsi="Arial" w:cs="Arial"/>
                <w:sz w:val="23"/>
                <w:szCs w:val="23"/>
              </w:rPr>
              <w:t>Total other economic flows included in net result</w:t>
            </w:r>
          </w:p>
        </w:tc>
        <w:tc>
          <w:tcPr>
            <w:tcW w:w="1263" w:type="dxa"/>
            <w:shd w:val="clear" w:color="auto" w:fill="auto"/>
            <w:noWrap/>
            <w:hideMark/>
          </w:tcPr>
          <w:p w14:paraId="4005E7CF"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(62,307)</w:t>
            </w:r>
          </w:p>
        </w:tc>
        <w:tc>
          <w:tcPr>
            <w:tcW w:w="1263" w:type="dxa"/>
            <w:shd w:val="clear" w:color="auto" w:fill="auto"/>
            <w:noWrap/>
            <w:hideMark/>
          </w:tcPr>
          <w:p w14:paraId="3D9AD13B"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(372)</w:t>
            </w:r>
          </w:p>
        </w:tc>
        <w:tc>
          <w:tcPr>
            <w:tcW w:w="1262" w:type="dxa"/>
            <w:shd w:val="clear" w:color="auto" w:fill="auto"/>
            <w:noWrap/>
            <w:hideMark/>
          </w:tcPr>
          <w:p w14:paraId="7759A6E3"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(8,213)</w:t>
            </w:r>
          </w:p>
        </w:tc>
        <w:tc>
          <w:tcPr>
            <w:tcW w:w="1262" w:type="dxa"/>
            <w:shd w:val="clear" w:color="auto" w:fill="auto"/>
            <w:noWrap/>
            <w:hideMark/>
          </w:tcPr>
          <w:p w14:paraId="4564463B"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(76)</w:t>
            </w:r>
          </w:p>
        </w:tc>
        <w:tc>
          <w:tcPr>
            <w:tcW w:w="1262" w:type="dxa"/>
            <w:shd w:val="clear" w:color="auto" w:fill="auto"/>
            <w:noWrap/>
            <w:hideMark/>
          </w:tcPr>
          <w:p w14:paraId="32E71156"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(434)</w:t>
            </w:r>
          </w:p>
        </w:tc>
        <w:tc>
          <w:tcPr>
            <w:tcW w:w="1262" w:type="dxa"/>
            <w:shd w:val="clear" w:color="auto" w:fill="auto"/>
            <w:noWrap/>
            <w:hideMark/>
          </w:tcPr>
          <w:p w14:paraId="6590EA27"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(22)</w:t>
            </w:r>
          </w:p>
        </w:tc>
      </w:tr>
      <w:tr w:rsidR="003E5BF5" w:rsidRPr="00397FFB" w14:paraId="405FE568" w14:textId="77777777" w:rsidTr="00E70ED8">
        <w:trPr>
          <w:trHeight w:val="340"/>
        </w:trPr>
        <w:tc>
          <w:tcPr>
            <w:tcW w:w="2349" w:type="dxa"/>
            <w:shd w:val="clear" w:color="auto" w:fill="auto"/>
            <w:noWrap/>
            <w:vAlign w:val="center"/>
            <w:hideMark/>
          </w:tcPr>
          <w:p w14:paraId="0E5F4242" w14:textId="77777777" w:rsidR="003E5BF5" w:rsidRPr="00397FFB" w:rsidRDefault="003E5BF5" w:rsidP="00DE1921">
            <w:pPr>
              <w:pStyle w:val="TableTextLeftBold"/>
              <w:rPr>
                <w:rFonts w:ascii="Arial" w:hAnsi="Arial" w:cs="Arial"/>
                <w:sz w:val="23"/>
                <w:szCs w:val="23"/>
              </w:rPr>
            </w:pPr>
            <w:r w:rsidRPr="00397FFB">
              <w:rPr>
                <w:rFonts w:ascii="Arial" w:hAnsi="Arial" w:cs="Arial"/>
                <w:sz w:val="23"/>
                <w:szCs w:val="23"/>
              </w:rPr>
              <w:lastRenderedPageBreak/>
              <w:t>Net result</w:t>
            </w:r>
          </w:p>
        </w:tc>
        <w:tc>
          <w:tcPr>
            <w:tcW w:w="1263" w:type="dxa"/>
            <w:shd w:val="clear" w:color="auto" w:fill="auto"/>
            <w:noWrap/>
            <w:vAlign w:val="center"/>
            <w:hideMark/>
          </w:tcPr>
          <w:p w14:paraId="777D8636"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19,352 </w:t>
            </w:r>
          </w:p>
        </w:tc>
        <w:tc>
          <w:tcPr>
            <w:tcW w:w="1263" w:type="dxa"/>
            <w:shd w:val="clear" w:color="auto" w:fill="auto"/>
            <w:noWrap/>
            <w:vAlign w:val="center"/>
            <w:hideMark/>
          </w:tcPr>
          <w:p w14:paraId="2592B437"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(92,670)</w:t>
            </w:r>
          </w:p>
        </w:tc>
        <w:tc>
          <w:tcPr>
            <w:tcW w:w="1262" w:type="dxa"/>
            <w:shd w:val="clear" w:color="auto" w:fill="auto"/>
            <w:noWrap/>
            <w:vAlign w:val="center"/>
            <w:hideMark/>
          </w:tcPr>
          <w:p w14:paraId="0818595B"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41,255 </w:t>
            </w:r>
          </w:p>
        </w:tc>
        <w:tc>
          <w:tcPr>
            <w:tcW w:w="1262" w:type="dxa"/>
            <w:shd w:val="clear" w:color="auto" w:fill="auto"/>
            <w:noWrap/>
            <w:vAlign w:val="center"/>
            <w:hideMark/>
          </w:tcPr>
          <w:p w14:paraId="2928B474"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(12,217)</w:t>
            </w:r>
          </w:p>
        </w:tc>
        <w:tc>
          <w:tcPr>
            <w:tcW w:w="1262" w:type="dxa"/>
            <w:shd w:val="clear" w:color="auto" w:fill="auto"/>
            <w:noWrap/>
            <w:vAlign w:val="center"/>
            <w:hideMark/>
          </w:tcPr>
          <w:p w14:paraId="199F890E"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4,114 </w:t>
            </w:r>
          </w:p>
        </w:tc>
        <w:tc>
          <w:tcPr>
            <w:tcW w:w="1262" w:type="dxa"/>
            <w:shd w:val="clear" w:color="auto" w:fill="auto"/>
            <w:noWrap/>
            <w:vAlign w:val="center"/>
            <w:hideMark/>
          </w:tcPr>
          <w:p w14:paraId="1859996F"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(30,858)</w:t>
            </w:r>
          </w:p>
        </w:tc>
      </w:tr>
      <w:tr w:rsidR="003E5BF5" w:rsidRPr="00397FFB" w14:paraId="729EC5E7" w14:textId="77777777" w:rsidTr="00E70ED8">
        <w:trPr>
          <w:trHeight w:val="340"/>
        </w:trPr>
        <w:tc>
          <w:tcPr>
            <w:tcW w:w="2349" w:type="dxa"/>
            <w:shd w:val="clear" w:color="auto" w:fill="auto"/>
            <w:noWrap/>
            <w:vAlign w:val="center"/>
            <w:hideMark/>
          </w:tcPr>
          <w:p w14:paraId="39F09575" w14:textId="77777777" w:rsidR="003E5BF5" w:rsidRPr="00397FFB" w:rsidRDefault="003E5BF5" w:rsidP="00604703">
            <w:pPr>
              <w:pStyle w:val="TableTextGreen"/>
              <w:rPr>
                <w:sz w:val="23"/>
                <w:szCs w:val="23"/>
              </w:rPr>
            </w:pPr>
            <w:r w:rsidRPr="00397FFB">
              <w:rPr>
                <w:sz w:val="23"/>
                <w:szCs w:val="23"/>
              </w:rPr>
              <w:t>Items that will not be reclassified to net result</w:t>
            </w:r>
          </w:p>
        </w:tc>
        <w:tc>
          <w:tcPr>
            <w:tcW w:w="1263" w:type="dxa"/>
            <w:shd w:val="clear" w:color="auto" w:fill="auto"/>
            <w:noWrap/>
            <w:vAlign w:val="center"/>
            <w:hideMark/>
          </w:tcPr>
          <w:p w14:paraId="5DA278B4" w14:textId="77777777" w:rsidR="003E5BF5" w:rsidRPr="00397FFB" w:rsidRDefault="003E5BF5" w:rsidP="00DE1921">
            <w:pPr>
              <w:jc w:val="right"/>
              <w:rPr>
                <w:rFonts w:ascii="Arial" w:hAnsi="Arial" w:cs="Arial"/>
                <w:b/>
                <w:sz w:val="23"/>
                <w:szCs w:val="23"/>
                <w:lang w:eastAsia="en-AU"/>
              </w:rPr>
            </w:pPr>
          </w:p>
        </w:tc>
        <w:tc>
          <w:tcPr>
            <w:tcW w:w="1263" w:type="dxa"/>
            <w:shd w:val="clear" w:color="auto" w:fill="auto"/>
            <w:noWrap/>
            <w:vAlign w:val="center"/>
            <w:hideMark/>
          </w:tcPr>
          <w:p w14:paraId="3CFD6B01" w14:textId="77777777" w:rsidR="003E5BF5" w:rsidRPr="00397FFB" w:rsidRDefault="003E5BF5" w:rsidP="00DE1921">
            <w:pPr>
              <w:jc w:val="right"/>
              <w:rPr>
                <w:rFonts w:ascii="Arial" w:hAnsi="Arial" w:cs="Arial"/>
                <w:b/>
                <w:sz w:val="23"/>
                <w:szCs w:val="23"/>
                <w:lang w:eastAsia="en-AU"/>
              </w:rPr>
            </w:pPr>
          </w:p>
        </w:tc>
        <w:tc>
          <w:tcPr>
            <w:tcW w:w="1262" w:type="dxa"/>
            <w:shd w:val="clear" w:color="auto" w:fill="auto"/>
            <w:noWrap/>
            <w:vAlign w:val="center"/>
            <w:hideMark/>
          </w:tcPr>
          <w:p w14:paraId="60FEE87E" w14:textId="77777777" w:rsidR="003E5BF5" w:rsidRPr="00397FFB" w:rsidRDefault="003E5BF5" w:rsidP="00DE1921">
            <w:pPr>
              <w:jc w:val="right"/>
              <w:rPr>
                <w:rFonts w:ascii="Arial" w:hAnsi="Arial" w:cs="Arial"/>
                <w:b/>
                <w:sz w:val="23"/>
                <w:szCs w:val="23"/>
                <w:lang w:eastAsia="en-AU"/>
              </w:rPr>
            </w:pPr>
          </w:p>
        </w:tc>
        <w:tc>
          <w:tcPr>
            <w:tcW w:w="1262" w:type="dxa"/>
            <w:shd w:val="clear" w:color="auto" w:fill="auto"/>
            <w:noWrap/>
            <w:vAlign w:val="center"/>
            <w:hideMark/>
          </w:tcPr>
          <w:p w14:paraId="2E2A0F87" w14:textId="77777777" w:rsidR="003E5BF5" w:rsidRPr="00397FFB" w:rsidRDefault="003E5BF5" w:rsidP="00DE1921">
            <w:pPr>
              <w:jc w:val="right"/>
              <w:rPr>
                <w:rFonts w:ascii="Arial" w:hAnsi="Arial" w:cs="Arial"/>
                <w:b/>
                <w:sz w:val="23"/>
                <w:szCs w:val="23"/>
                <w:lang w:eastAsia="en-AU"/>
              </w:rPr>
            </w:pPr>
          </w:p>
        </w:tc>
        <w:tc>
          <w:tcPr>
            <w:tcW w:w="1262" w:type="dxa"/>
            <w:shd w:val="clear" w:color="auto" w:fill="auto"/>
            <w:noWrap/>
            <w:vAlign w:val="center"/>
            <w:hideMark/>
          </w:tcPr>
          <w:p w14:paraId="1EA27B26" w14:textId="77777777" w:rsidR="003E5BF5" w:rsidRPr="00397FFB" w:rsidRDefault="003E5BF5" w:rsidP="00DE1921">
            <w:pPr>
              <w:jc w:val="right"/>
              <w:rPr>
                <w:rFonts w:ascii="Arial" w:hAnsi="Arial" w:cs="Arial"/>
                <w:b/>
                <w:sz w:val="23"/>
                <w:szCs w:val="23"/>
                <w:lang w:eastAsia="en-AU"/>
              </w:rPr>
            </w:pPr>
          </w:p>
        </w:tc>
        <w:tc>
          <w:tcPr>
            <w:tcW w:w="1262" w:type="dxa"/>
            <w:shd w:val="clear" w:color="auto" w:fill="auto"/>
            <w:noWrap/>
            <w:vAlign w:val="center"/>
            <w:hideMark/>
          </w:tcPr>
          <w:p w14:paraId="5A5B10C2" w14:textId="77777777" w:rsidR="003E5BF5" w:rsidRPr="00397FFB" w:rsidRDefault="003E5BF5" w:rsidP="00DE1921">
            <w:pPr>
              <w:jc w:val="right"/>
              <w:rPr>
                <w:rFonts w:ascii="Arial" w:hAnsi="Arial" w:cs="Arial"/>
                <w:b/>
                <w:sz w:val="23"/>
                <w:szCs w:val="23"/>
                <w:lang w:eastAsia="en-AU"/>
              </w:rPr>
            </w:pPr>
          </w:p>
        </w:tc>
      </w:tr>
      <w:tr w:rsidR="003E5BF5" w:rsidRPr="00397FFB" w14:paraId="5E88F1CC" w14:textId="77777777" w:rsidTr="00E70ED8">
        <w:trPr>
          <w:trHeight w:val="340"/>
        </w:trPr>
        <w:tc>
          <w:tcPr>
            <w:tcW w:w="2349" w:type="dxa"/>
            <w:shd w:val="clear" w:color="auto" w:fill="auto"/>
            <w:noWrap/>
            <w:vAlign w:val="center"/>
            <w:hideMark/>
          </w:tcPr>
          <w:p w14:paraId="501B308B" w14:textId="77777777" w:rsidR="003E5BF5" w:rsidRPr="00397FFB" w:rsidRDefault="003E5BF5" w:rsidP="00DE1921">
            <w:pPr>
              <w:rPr>
                <w:rFonts w:ascii="Arial" w:hAnsi="Arial" w:cs="Arial"/>
                <w:sz w:val="23"/>
                <w:szCs w:val="23"/>
                <w:lang w:eastAsia="en-AU"/>
              </w:rPr>
            </w:pPr>
            <w:r w:rsidRPr="00397FFB">
              <w:rPr>
                <w:rFonts w:ascii="Arial" w:hAnsi="Arial" w:cs="Arial"/>
                <w:sz w:val="23"/>
                <w:szCs w:val="23"/>
                <w:lang w:eastAsia="en-AU"/>
              </w:rPr>
              <w:t>Changes in physical asset revaluation surplus</w:t>
            </w:r>
          </w:p>
        </w:tc>
        <w:tc>
          <w:tcPr>
            <w:tcW w:w="1263" w:type="dxa"/>
            <w:shd w:val="clear" w:color="auto" w:fill="auto"/>
            <w:noWrap/>
            <w:hideMark/>
          </w:tcPr>
          <w:p w14:paraId="3E2227A0"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281,101 </w:t>
            </w:r>
          </w:p>
        </w:tc>
        <w:tc>
          <w:tcPr>
            <w:tcW w:w="1263" w:type="dxa"/>
            <w:shd w:val="clear" w:color="auto" w:fill="auto"/>
            <w:noWrap/>
            <w:hideMark/>
          </w:tcPr>
          <w:p w14:paraId="3F570AE1" w14:textId="77777777" w:rsidR="003E5BF5" w:rsidRPr="00397FFB" w:rsidRDefault="003E5BF5" w:rsidP="00DE1921">
            <w:pPr>
              <w:jc w:val="right"/>
              <w:rPr>
                <w:rFonts w:ascii="Arial" w:hAnsi="Arial" w:cs="Arial"/>
                <w:sz w:val="23"/>
                <w:szCs w:val="23"/>
                <w:lang w:eastAsia="en-AU"/>
              </w:rPr>
            </w:pPr>
            <w:r w:rsidRPr="00397FFB">
              <w:rPr>
                <w:rFonts w:ascii="Arial" w:hAnsi="Arial" w:cs="Arial"/>
                <w:b/>
                <w:sz w:val="23"/>
                <w:szCs w:val="23"/>
              </w:rPr>
              <w:t>-</w:t>
            </w:r>
          </w:p>
        </w:tc>
        <w:tc>
          <w:tcPr>
            <w:tcW w:w="1262" w:type="dxa"/>
            <w:shd w:val="clear" w:color="auto" w:fill="auto"/>
            <w:noWrap/>
            <w:hideMark/>
          </w:tcPr>
          <w:p w14:paraId="094926D8"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52,172 </w:t>
            </w:r>
          </w:p>
        </w:tc>
        <w:tc>
          <w:tcPr>
            <w:tcW w:w="1262" w:type="dxa"/>
            <w:shd w:val="clear" w:color="auto" w:fill="auto"/>
            <w:noWrap/>
            <w:hideMark/>
          </w:tcPr>
          <w:p w14:paraId="5663DC6C" w14:textId="77777777" w:rsidR="003E5BF5" w:rsidRPr="00397FFB" w:rsidRDefault="003E5BF5" w:rsidP="00DE1921">
            <w:pPr>
              <w:jc w:val="right"/>
              <w:rPr>
                <w:rFonts w:ascii="Arial" w:hAnsi="Arial" w:cs="Arial"/>
                <w:sz w:val="23"/>
                <w:szCs w:val="23"/>
                <w:lang w:eastAsia="en-AU"/>
              </w:rPr>
            </w:pPr>
            <w:r w:rsidRPr="00397FFB">
              <w:rPr>
                <w:rFonts w:ascii="Arial" w:hAnsi="Arial" w:cs="Arial"/>
                <w:b/>
                <w:sz w:val="23"/>
                <w:szCs w:val="23"/>
              </w:rPr>
              <w:t>-</w:t>
            </w:r>
          </w:p>
        </w:tc>
        <w:tc>
          <w:tcPr>
            <w:tcW w:w="1262" w:type="dxa"/>
            <w:shd w:val="clear" w:color="auto" w:fill="auto"/>
            <w:noWrap/>
            <w:hideMark/>
          </w:tcPr>
          <w:p w14:paraId="500BFEAA" w14:textId="77777777" w:rsidR="003E5BF5" w:rsidRPr="00397FFB" w:rsidRDefault="003E5BF5" w:rsidP="00DE1921">
            <w:pPr>
              <w:jc w:val="right"/>
              <w:rPr>
                <w:rFonts w:ascii="Arial" w:hAnsi="Arial" w:cs="Arial"/>
                <w:sz w:val="23"/>
                <w:szCs w:val="23"/>
                <w:lang w:eastAsia="en-AU"/>
              </w:rPr>
            </w:pPr>
            <w:r w:rsidRPr="00397FFB">
              <w:rPr>
                <w:rFonts w:ascii="Arial" w:hAnsi="Arial" w:cs="Arial"/>
                <w:sz w:val="23"/>
                <w:szCs w:val="23"/>
              </w:rPr>
              <w:t xml:space="preserve">78,554 </w:t>
            </w:r>
          </w:p>
        </w:tc>
        <w:tc>
          <w:tcPr>
            <w:tcW w:w="1262" w:type="dxa"/>
            <w:shd w:val="clear" w:color="auto" w:fill="auto"/>
            <w:noWrap/>
            <w:hideMark/>
          </w:tcPr>
          <w:p w14:paraId="77359B04" w14:textId="77777777" w:rsidR="003E5BF5" w:rsidRPr="00397FFB" w:rsidRDefault="003E5BF5" w:rsidP="00DE1921">
            <w:pPr>
              <w:jc w:val="right"/>
              <w:rPr>
                <w:rFonts w:ascii="Arial" w:hAnsi="Arial" w:cs="Arial"/>
                <w:sz w:val="23"/>
                <w:szCs w:val="23"/>
                <w:lang w:eastAsia="en-AU"/>
              </w:rPr>
            </w:pPr>
            <w:r w:rsidRPr="00397FFB">
              <w:rPr>
                <w:rFonts w:ascii="Arial" w:hAnsi="Arial" w:cs="Arial"/>
                <w:b/>
                <w:sz w:val="23"/>
                <w:szCs w:val="23"/>
              </w:rPr>
              <w:t>-</w:t>
            </w:r>
          </w:p>
        </w:tc>
      </w:tr>
      <w:tr w:rsidR="003E5BF5" w:rsidRPr="00397FFB" w14:paraId="08300658" w14:textId="77777777" w:rsidTr="00E70ED8">
        <w:trPr>
          <w:trHeight w:val="340"/>
        </w:trPr>
        <w:tc>
          <w:tcPr>
            <w:tcW w:w="2349" w:type="dxa"/>
            <w:tcBorders>
              <w:bottom w:val="single" w:sz="4" w:space="0" w:color="auto"/>
            </w:tcBorders>
            <w:shd w:val="clear" w:color="auto" w:fill="auto"/>
            <w:vAlign w:val="center"/>
            <w:hideMark/>
          </w:tcPr>
          <w:p w14:paraId="46B0F700" w14:textId="77777777" w:rsidR="003E5BF5" w:rsidRPr="00397FFB" w:rsidRDefault="003E5BF5" w:rsidP="00DE1921">
            <w:pPr>
              <w:pStyle w:val="TableTextLeftBold"/>
              <w:rPr>
                <w:rFonts w:ascii="Arial" w:hAnsi="Arial" w:cs="Arial"/>
                <w:sz w:val="23"/>
                <w:szCs w:val="23"/>
              </w:rPr>
            </w:pPr>
            <w:r w:rsidRPr="00397FFB">
              <w:rPr>
                <w:rFonts w:ascii="Arial" w:hAnsi="Arial" w:cs="Arial"/>
                <w:sz w:val="23"/>
                <w:szCs w:val="23"/>
              </w:rPr>
              <w:t>Total other economic flows - other comprehensive income</w:t>
            </w:r>
          </w:p>
        </w:tc>
        <w:tc>
          <w:tcPr>
            <w:tcW w:w="1263" w:type="dxa"/>
            <w:tcBorders>
              <w:bottom w:val="single" w:sz="4" w:space="0" w:color="auto"/>
            </w:tcBorders>
            <w:shd w:val="clear" w:color="auto" w:fill="auto"/>
            <w:noWrap/>
            <w:hideMark/>
          </w:tcPr>
          <w:p w14:paraId="0E009751"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281,101 </w:t>
            </w:r>
          </w:p>
        </w:tc>
        <w:tc>
          <w:tcPr>
            <w:tcW w:w="1263" w:type="dxa"/>
            <w:tcBorders>
              <w:bottom w:val="single" w:sz="4" w:space="0" w:color="auto"/>
            </w:tcBorders>
            <w:shd w:val="clear" w:color="auto" w:fill="auto"/>
            <w:noWrap/>
            <w:hideMark/>
          </w:tcPr>
          <w:p w14:paraId="47B9A982"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w:t>
            </w:r>
          </w:p>
        </w:tc>
        <w:tc>
          <w:tcPr>
            <w:tcW w:w="1262" w:type="dxa"/>
            <w:tcBorders>
              <w:bottom w:val="single" w:sz="4" w:space="0" w:color="auto"/>
            </w:tcBorders>
            <w:shd w:val="clear" w:color="auto" w:fill="auto"/>
            <w:noWrap/>
            <w:hideMark/>
          </w:tcPr>
          <w:p w14:paraId="38A8CB13"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52,172 </w:t>
            </w:r>
          </w:p>
        </w:tc>
        <w:tc>
          <w:tcPr>
            <w:tcW w:w="1262" w:type="dxa"/>
            <w:tcBorders>
              <w:bottom w:val="single" w:sz="4" w:space="0" w:color="auto"/>
            </w:tcBorders>
            <w:shd w:val="clear" w:color="auto" w:fill="auto"/>
            <w:noWrap/>
            <w:hideMark/>
          </w:tcPr>
          <w:p w14:paraId="3E83727E"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w:t>
            </w:r>
          </w:p>
        </w:tc>
        <w:tc>
          <w:tcPr>
            <w:tcW w:w="1262" w:type="dxa"/>
            <w:tcBorders>
              <w:bottom w:val="single" w:sz="4" w:space="0" w:color="auto"/>
            </w:tcBorders>
            <w:shd w:val="clear" w:color="auto" w:fill="auto"/>
            <w:noWrap/>
            <w:hideMark/>
          </w:tcPr>
          <w:p w14:paraId="53CC1667"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78,554 </w:t>
            </w:r>
          </w:p>
        </w:tc>
        <w:tc>
          <w:tcPr>
            <w:tcW w:w="1262" w:type="dxa"/>
            <w:tcBorders>
              <w:bottom w:val="single" w:sz="4" w:space="0" w:color="auto"/>
            </w:tcBorders>
            <w:shd w:val="clear" w:color="auto" w:fill="auto"/>
            <w:noWrap/>
            <w:hideMark/>
          </w:tcPr>
          <w:p w14:paraId="578443F6"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w:t>
            </w:r>
          </w:p>
        </w:tc>
      </w:tr>
      <w:tr w:rsidR="003E5BF5" w:rsidRPr="00397FFB" w14:paraId="7D932AFB" w14:textId="77777777" w:rsidTr="00E70ED8">
        <w:trPr>
          <w:trHeight w:val="340"/>
        </w:trPr>
        <w:tc>
          <w:tcPr>
            <w:tcW w:w="2349" w:type="dxa"/>
            <w:tcBorders>
              <w:bottom w:val="single" w:sz="4" w:space="0" w:color="auto"/>
            </w:tcBorders>
            <w:shd w:val="clear" w:color="auto" w:fill="auto"/>
            <w:noWrap/>
            <w:vAlign w:val="center"/>
            <w:hideMark/>
          </w:tcPr>
          <w:p w14:paraId="35700682" w14:textId="77777777" w:rsidR="003E5BF5" w:rsidRPr="00397FFB" w:rsidRDefault="003E5BF5" w:rsidP="00DE1921">
            <w:pPr>
              <w:pStyle w:val="TableTextLeftBold"/>
              <w:rPr>
                <w:rFonts w:ascii="Arial" w:hAnsi="Arial" w:cs="Arial"/>
                <w:sz w:val="23"/>
                <w:szCs w:val="23"/>
              </w:rPr>
            </w:pPr>
            <w:r w:rsidRPr="00397FFB">
              <w:rPr>
                <w:rFonts w:ascii="Arial" w:hAnsi="Arial" w:cs="Arial"/>
                <w:sz w:val="23"/>
                <w:szCs w:val="23"/>
              </w:rPr>
              <w:t>Comprehensive result</w:t>
            </w:r>
          </w:p>
        </w:tc>
        <w:tc>
          <w:tcPr>
            <w:tcW w:w="1263" w:type="dxa"/>
            <w:tcBorders>
              <w:bottom w:val="single" w:sz="4" w:space="0" w:color="auto"/>
            </w:tcBorders>
            <w:shd w:val="clear" w:color="auto" w:fill="auto"/>
            <w:noWrap/>
            <w:vAlign w:val="center"/>
            <w:hideMark/>
          </w:tcPr>
          <w:p w14:paraId="25B666F8"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300,453 </w:t>
            </w:r>
          </w:p>
        </w:tc>
        <w:tc>
          <w:tcPr>
            <w:tcW w:w="1263" w:type="dxa"/>
            <w:tcBorders>
              <w:bottom w:val="single" w:sz="4" w:space="0" w:color="auto"/>
            </w:tcBorders>
            <w:shd w:val="clear" w:color="auto" w:fill="auto"/>
            <w:noWrap/>
            <w:vAlign w:val="center"/>
            <w:hideMark/>
          </w:tcPr>
          <w:p w14:paraId="61990558"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(92,670)</w:t>
            </w:r>
          </w:p>
        </w:tc>
        <w:tc>
          <w:tcPr>
            <w:tcW w:w="1262" w:type="dxa"/>
            <w:tcBorders>
              <w:bottom w:val="single" w:sz="4" w:space="0" w:color="auto"/>
            </w:tcBorders>
            <w:shd w:val="clear" w:color="auto" w:fill="auto"/>
            <w:noWrap/>
            <w:vAlign w:val="center"/>
            <w:hideMark/>
          </w:tcPr>
          <w:p w14:paraId="466EE539"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93,427 </w:t>
            </w:r>
          </w:p>
        </w:tc>
        <w:tc>
          <w:tcPr>
            <w:tcW w:w="1262" w:type="dxa"/>
            <w:tcBorders>
              <w:bottom w:val="single" w:sz="4" w:space="0" w:color="auto"/>
            </w:tcBorders>
            <w:shd w:val="clear" w:color="auto" w:fill="auto"/>
            <w:noWrap/>
            <w:vAlign w:val="center"/>
            <w:hideMark/>
          </w:tcPr>
          <w:p w14:paraId="275C96E6"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(12,217)</w:t>
            </w:r>
          </w:p>
        </w:tc>
        <w:tc>
          <w:tcPr>
            <w:tcW w:w="1262" w:type="dxa"/>
            <w:tcBorders>
              <w:bottom w:val="single" w:sz="4" w:space="0" w:color="auto"/>
            </w:tcBorders>
            <w:shd w:val="clear" w:color="auto" w:fill="auto"/>
            <w:noWrap/>
            <w:vAlign w:val="center"/>
            <w:hideMark/>
          </w:tcPr>
          <w:p w14:paraId="2615AB35"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 xml:space="preserve">82,668 </w:t>
            </w:r>
          </w:p>
        </w:tc>
        <w:tc>
          <w:tcPr>
            <w:tcW w:w="1262" w:type="dxa"/>
            <w:tcBorders>
              <w:bottom w:val="single" w:sz="4" w:space="0" w:color="auto"/>
              <w:right w:val="single" w:sz="4" w:space="0" w:color="auto"/>
            </w:tcBorders>
            <w:shd w:val="clear" w:color="auto" w:fill="auto"/>
            <w:noWrap/>
            <w:vAlign w:val="center"/>
            <w:hideMark/>
          </w:tcPr>
          <w:p w14:paraId="2855C5D4" w14:textId="77777777" w:rsidR="003E5BF5" w:rsidRPr="00397FFB" w:rsidRDefault="003E5BF5" w:rsidP="00DE1921">
            <w:pPr>
              <w:jc w:val="right"/>
              <w:rPr>
                <w:rFonts w:ascii="Arial" w:hAnsi="Arial" w:cs="Arial"/>
                <w:b/>
                <w:sz w:val="23"/>
                <w:szCs w:val="23"/>
                <w:lang w:eastAsia="en-AU"/>
              </w:rPr>
            </w:pPr>
            <w:r w:rsidRPr="00397FFB">
              <w:rPr>
                <w:rFonts w:ascii="Arial" w:hAnsi="Arial" w:cs="Arial"/>
                <w:b/>
                <w:sz w:val="23"/>
                <w:szCs w:val="23"/>
              </w:rPr>
              <w:t>(30,858)</w:t>
            </w:r>
          </w:p>
        </w:tc>
      </w:tr>
    </w:tbl>
    <w:p w14:paraId="631BA047" w14:textId="77777777" w:rsidR="00E70ED8" w:rsidRPr="00397FFB" w:rsidRDefault="00E70ED8" w:rsidP="00E70ED8">
      <w:pPr>
        <w:pStyle w:val="Note"/>
        <w:rPr>
          <w:rFonts w:ascii="Arial" w:hAnsi="Arial" w:cs="Arial"/>
          <w:sz w:val="23"/>
          <w:szCs w:val="23"/>
        </w:rPr>
      </w:pPr>
      <w:r w:rsidRPr="00397FFB">
        <w:rPr>
          <w:rFonts w:ascii="Arial" w:hAnsi="Arial" w:cs="Arial"/>
          <w:sz w:val="23"/>
          <w:szCs w:val="23"/>
        </w:rPr>
        <w:t>Note:</w:t>
      </w:r>
    </w:p>
    <w:p w14:paraId="35E0A606" w14:textId="77777777" w:rsidR="00E70ED8" w:rsidRPr="00397FFB" w:rsidRDefault="00E70ED8" w:rsidP="00610F5F">
      <w:pPr>
        <w:pStyle w:val="aaaNotenumberiiiiii"/>
        <w:numPr>
          <w:ilvl w:val="0"/>
          <w:numId w:val="80"/>
        </w:numPr>
      </w:pPr>
      <w:r w:rsidRPr="00397FFB">
        <w:t>The 2019 comparatives figures have been restated to reflect the adoption of AASB 1059, refer to Note 9.6.5.1 for further details.</w:t>
      </w:r>
    </w:p>
    <w:p w14:paraId="0E0F3866" w14:textId="77777777" w:rsidR="003E5BF5" w:rsidRDefault="003E5BF5" w:rsidP="00DE1921">
      <w:pPr>
        <w:rPr>
          <w:lang w:eastAsia="en-AU"/>
        </w:rPr>
      </w:pPr>
    </w:p>
    <w:p w14:paraId="78F36A08" w14:textId="77777777" w:rsidR="003E5BF5" w:rsidRPr="00BE5BE9" w:rsidRDefault="003E5BF5" w:rsidP="00DE1921">
      <w:pPr>
        <w:rPr>
          <w:highlight w:val="cyan"/>
        </w:rPr>
      </w:pPr>
      <w:r w:rsidRPr="00BE5BE9">
        <w:rPr>
          <w:highlight w:val="cyan"/>
        </w:rPr>
        <w:br w:type="page"/>
      </w:r>
    </w:p>
    <w:tbl>
      <w:tblPr>
        <w:tblStyle w:val="TableGrid"/>
        <w:tblW w:w="9923" w:type="dxa"/>
        <w:tblLayout w:type="fixed"/>
        <w:tblCellMar>
          <w:left w:w="28" w:type="dxa"/>
          <w:right w:w="28" w:type="dxa"/>
        </w:tblCellMar>
        <w:tblLook w:val="04A0" w:firstRow="1" w:lastRow="0" w:firstColumn="1" w:lastColumn="0" w:noHBand="0" w:noVBand="1"/>
      </w:tblPr>
      <w:tblGrid>
        <w:gridCol w:w="2351"/>
        <w:gridCol w:w="1262"/>
        <w:gridCol w:w="1262"/>
        <w:gridCol w:w="1262"/>
        <w:gridCol w:w="951"/>
        <w:gridCol w:w="1417"/>
        <w:gridCol w:w="1418"/>
      </w:tblGrid>
      <w:tr w:rsidR="003E5BF5" w:rsidRPr="00865762" w14:paraId="0BA0EC53" w14:textId="77777777" w:rsidTr="001847E8">
        <w:trPr>
          <w:trHeight w:val="340"/>
          <w:tblHeader/>
        </w:trPr>
        <w:tc>
          <w:tcPr>
            <w:tcW w:w="2351" w:type="dxa"/>
            <w:shd w:val="clear" w:color="auto" w:fill="auto"/>
            <w:hideMark/>
          </w:tcPr>
          <w:p w14:paraId="2D37B1F7" w14:textId="77777777" w:rsidR="003E5BF5" w:rsidRPr="00865762" w:rsidRDefault="003E5BF5" w:rsidP="00DE1921">
            <w:pPr>
              <w:rPr>
                <w:rFonts w:ascii="Arial" w:hAnsi="Arial" w:cs="Arial"/>
                <w:sz w:val="24"/>
                <w:szCs w:val="24"/>
                <w:lang w:eastAsia="en-AU"/>
              </w:rPr>
            </w:pPr>
            <w:bookmarkStart w:id="210" w:name="RANGE!V3:AB35"/>
            <w:bookmarkEnd w:id="210"/>
          </w:p>
        </w:tc>
        <w:tc>
          <w:tcPr>
            <w:tcW w:w="7572" w:type="dxa"/>
            <w:gridSpan w:val="6"/>
            <w:shd w:val="clear" w:color="auto" w:fill="auto"/>
            <w:vAlign w:val="center"/>
            <w:hideMark/>
          </w:tcPr>
          <w:p w14:paraId="4CB30A5A" w14:textId="77777777" w:rsidR="003E5BF5" w:rsidRPr="00865762" w:rsidRDefault="003E5BF5" w:rsidP="00DE1921">
            <w:pPr>
              <w:jc w:val="center"/>
              <w:rPr>
                <w:rFonts w:ascii="Arial" w:hAnsi="Arial" w:cs="Arial"/>
                <w:b/>
                <w:sz w:val="24"/>
                <w:szCs w:val="24"/>
                <w:lang w:eastAsia="en-AU"/>
              </w:rPr>
            </w:pPr>
            <w:r w:rsidRPr="00865762">
              <w:rPr>
                <w:rFonts w:ascii="Arial" w:hAnsi="Arial" w:cs="Arial"/>
                <w:b/>
                <w:sz w:val="24"/>
                <w:szCs w:val="24"/>
                <w:lang w:eastAsia="en-AU"/>
              </w:rPr>
              <w:t>($ thousand)</w:t>
            </w:r>
          </w:p>
        </w:tc>
      </w:tr>
      <w:tr w:rsidR="003E5BF5" w:rsidRPr="00865762" w14:paraId="74E80E15" w14:textId="77777777" w:rsidTr="001847E8">
        <w:trPr>
          <w:trHeight w:val="340"/>
          <w:tblHeader/>
        </w:trPr>
        <w:tc>
          <w:tcPr>
            <w:tcW w:w="2351" w:type="dxa"/>
            <w:shd w:val="clear" w:color="auto" w:fill="auto"/>
            <w:noWrap/>
            <w:hideMark/>
          </w:tcPr>
          <w:p w14:paraId="3796E686" w14:textId="77777777" w:rsidR="003E5BF5" w:rsidRPr="00865762" w:rsidRDefault="003E5BF5" w:rsidP="00DE1921">
            <w:pPr>
              <w:rPr>
                <w:rFonts w:ascii="Arial" w:hAnsi="Arial" w:cs="Arial"/>
                <w:sz w:val="24"/>
                <w:szCs w:val="24"/>
                <w:lang w:eastAsia="en-AU"/>
              </w:rPr>
            </w:pPr>
          </w:p>
        </w:tc>
        <w:tc>
          <w:tcPr>
            <w:tcW w:w="2524" w:type="dxa"/>
            <w:gridSpan w:val="2"/>
            <w:shd w:val="clear" w:color="auto" w:fill="auto"/>
            <w:vAlign w:val="bottom"/>
            <w:hideMark/>
          </w:tcPr>
          <w:p w14:paraId="33166943" w14:textId="77777777" w:rsidR="003E5BF5" w:rsidRPr="00865762" w:rsidRDefault="003E5BF5" w:rsidP="00DE1921">
            <w:pPr>
              <w:jc w:val="center"/>
              <w:rPr>
                <w:rFonts w:ascii="Arial" w:hAnsi="Arial" w:cs="Arial"/>
                <w:b/>
                <w:sz w:val="24"/>
                <w:szCs w:val="24"/>
                <w:lang w:eastAsia="en-AU"/>
              </w:rPr>
            </w:pPr>
            <w:r w:rsidRPr="00865762">
              <w:rPr>
                <w:rFonts w:ascii="Arial" w:hAnsi="Arial" w:cs="Arial"/>
                <w:b/>
                <w:sz w:val="24"/>
                <w:szCs w:val="24"/>
                <w:lang w:eastAsia="en-AU"/>
              </w:rPr>
              <w:t>Sustainably Manage Fish Resources</w:t>
            </w:r>
          </w:p>
        </w:tc>
        <w:tc>
          <w:tcPr>
            <w:tcW w:w="1262" w:type="dxa"/>
            <w:shd w:val="clear" w:color="auto" w:fill="auto"/>
            <w:vAlign w:val="bottom"/>
            <w:hideMark/>
          </w:tcPr>
          <w:p w14:paraId="7DD10D39" w14:textId="77777777" w:rsidR="003E5BF5" w:rsidRPr="00865762" w:rsidRDefault="003E5BF5" w:rsidP="00DE1921">
            <w:pPr>
              <w:jc w:val="center"/>
              <w:rPr>
                <w:rFonts w:ascii="Arial" w:hAnsi="Arial" w:cs="Arial"/>
                <w:b/>
                <w:sz w:val="24"/>
                <w:szCs w:val="24"/>
                <w:lang w:eastAsia="en-AU"/>
              </w:rPr>
            </w:pPr>
            <w:r w:rsidRPr="00865762">
              <w:rPr>
                <w:rFonts w:ascii="Arial" w:hAnsi="Arial" w:cs="Arial"/>
                <w:b/>
                <w:sz w:val="24"/>
                <w:szCs w:val="24"/>
                <w:lang w:eastAsia="en-AU"/>
              </w:rPr>
              <w:t>Major projects</w:t>
            </w:r>
          </w:p>
        </w:tc>
        <w:tc>
          <w:tcPr>
            <w:tcW w:w="3786" w:type="dxa"/>
            <w:gridSpan w:val="3"/>
            <w:shd w:val="clear" w:color="auto" w:fill="auto"/>
            <w:vAlign w:val="bottom"/>
            <w:hideMark/>
          </w:tcPr>
          <w:p w14:paraId="57F53466" w14:textId="77777777" w:rsidR="003E5BF5" w:rsidRPr="00865762" w:rsidRDefault="003E5BF5" w:rsidP="00DE1921">
            <w:pPr>
              <w:jc w:val="center"/>
              <w:rPr>
                <w:rFonts w:ascii="Arial" w:hAnsi="Arial" w:cs="Arial"/>
                <w:b/>
                <w:sz w:val="24"/>
                <w:szCs w:val="24"/>
                <w:lang w:eastAsia="en-AU"/>
              </w:rPr>
            </w:pPr>
            <w:r w:rsidRPr="00865762">
              <w:rPr>
                <w:rFonts w:ascii="Arial" w:hAnsi="Arial" w:cs="Arial"/>
                <w:b/>
                <w:sz w:val="24"/>
                <w:szCs w:val="24"/>
                <w:lang w:eastAsia="en-AU"/>
              </w:rPr>
              <w:t>DoT Consolidated Totals</w:t>
            </w:r>
          </w:p>
        </w:tc>
      </w:tr>
      <w:tr w:rsidR="003E5BF5" w:rsidRPr="00865762" w14:paraId="7367DF36" w14:textId="77777777" w:rsidTr="001847E8">
        <w:trPr>
          <w:trHeight w:val="340"/>
          <w:tblHeader/>
        </w:trPr>
        <w:tc>
          <w:tcPr>
            <w:tcW w:w="2351" w:type="dxa"/>
            <w:shd w:val="clear" w:color="auto" w:fill="auto"/>
            <w:noWrap/>
            <w:hideMark/>
          </w:tcPr>
          <w:p w14:paraId="05714474" w14:textId="77777777" w:rsidR="003E5BF5" w:rsidRPr="00865762" w:rsidRDefault="003E5BF5" w:rsidP="00DE1921">
            <w:pPr>
              <w:rPr>
                <w:rFonts w:ascii="Arial" w:hAnsi="Arial" w:cs="Arial"/>
                <w:b/>
                <w:sz w:val="24"/>
                <w:szCs w:val="24"/>
                <w:lang w:eastAsia="en-AU"/>
              </w:rPr>
            </w:pPr>
          </w:p>
        </w:tc>
        <w:tc>
          <w:tcPr>
            <w:tcW w:w="1262" w:type="dxa"/>
            <w:shd w:val="clear" w:color="auto" w:fill="auto"/>
            <w:vAlign w:val="center"/>
            <w:hideMark/>
          </w:tcPr>
          <w:p w14:paraId="655BBD54"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lang w:eastAsia="en-AU"/>
              </w:rPr>
              <w:t>2020</w:t>
            </w:r>
          </w:p>
        </w:tc>
        <w:tc>
          <w:tcPr>
            <w:tcW w:w="1262" w:type="dxa"/>
            <w:shd w:val="clear" w:color="auto" w:fill="auto"/>
            <w:vAlign w:val="center"/>
            <w:hideMark/>
          </w:tcPr>
          <w:p w14:paraId="0B7B1949"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lang w:eastAsia="en-AU"/>
              </w:rPr>
              <w:t>2019</w:t>
            </w:r>
          </w:p>
        </w:tc>
        <w:tc>
          <w:tcPr>
            <w:tcW w:w="1262" w:type="dxa"/>
            <w:shd w:val="clear" w:color="auto" w:fill="auto"/>
            <w:vAlign w:val="center"/>
            <w:hideMark/>
          </w:tcPr>
          <w:p w14:paraId="0C85A9DD"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lang w:eastAsia="en-AU"/>
              </w:rPr>
              <w:t>2020</w:t>
            </w:r>
          </w:p>
        </w:tc>
        <w:tc>
          <w:tcPr>
            <w:tcW w:w="951" w:type="dxa"/>
            <w:shd w:val="clear" w:color="auto" w:fill="auto"/>
            <w:vAlign w:val="center"/>
            <w:hideMark/>
          </w:tcPr>
          <w:p w14:paraId="7ED23A6E"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lang w:eastAsia="en-AU"/>
              </w:rPr>
              <w:t>2019</w:t>
            </w:r>
          </w:p>
        </w:tc>
        <w:tc>
          <w:tcPr>
            <w:tcW w:w="1417" w:type="dxa"/>
            <w:shd w:val="clear" w:color="auto" w:fill="auto"/>
            <w:vAlign w:val="center"/>
            <w:hideMark/>
          </w:tcPr>
          <w:p w14:paraId="6218822C"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lang w:eastAsia="en-AU"/>
              </w:rPr>
              <w:t>2020</w:t>
            </w:r>
          </w:p>
        </w:tc>
        <w:tc>
          <w:tcPr>
            <w:tcW w:w="1418" w:type="dxa"/>
            <w:shd w:val="clear" w:color="auto" w:fill="auto"/>
            <w:vAlign w:val="center"/>
            <w:hideMark/>
          </w:tcPr>
          <w:p w14:paraId="6146C7B2"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lang w:eastAsia="en-AU"/>
              </w:rPr>
              <w:t>2019</w:t>
            </w:r>
          </w:p>
        </w:tc>
      </w:tr>
      <w:tr w:rsidR="003E5BF5" w:rsidRPr="00865762" w14:paraId="3DD6A6B1" w14:textId="77777777" w:rsidTr="000F17DB">
        <w:trPr>
          <w:trHeight w:val="340"/>
        </w:trPr>
        <w:tc>
          <w:tcPr>
            <w:tcW w:w="2351" w:type="dxa"/>
            <w:shd w:val="clear" w:color="auto" w:fill="auto"/>
            <w:noWrap/>
            <w:vAlign w:val="center"/>
            <w:hideMark/>
          </w:tcPr>
          <w:p w14:paraId="72EB1BDE" w14:textId="77777777" w:rsidR="003E5BF5" w:rsidRPr="00865762" w:rsidRDefault="003E5BF5" w:rsidP="00604703">
            <w:pPr>
              <w:pStyle w:val="TableTextGreen"/>
            </w:pPr>
            <w:r w:rsidRPr="00865762">
              <w:t>Income from transactions</w:t>
            </w:r>
          </w:p>
        </w:tc>
        <w:tc>
          <w:tcPr>
            <w:tcW w:w="1262" w:type="dxa"/>
            <w:shd w:val="clear" w:color="auto" w:fill="auto"/>
            <w:noWrap/>
            <w:vAlign w:val="center"/>
            <w:hideMark/>
          </w:tcPr>
          <w:p w14:paraId="4098FA3A"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lang w:eastAsia="en-AU"/>
              </w:rPr>
              <w:t> </w:t>
            </w:r>
          </w:p>
        </w:tc>
        <w:tc>
          <w:tcPr>
            <w:tcW w:w="1262" w:type="dxa"/>
            <w:shd w:val="clear" w:color="auto" w:fill="auto"/>
            <w:noWrap/>
            <w:vAlign w:val="center"/>
            <w:hideMark/>
          </w:tcPr>
          <w:p w14:paraId="47C4502C"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lang w:eastAsia="en-AU"/>
              </w:rPr>
              <w:t> </w:t>
            </w:r>
          </w:p>
        </w:tc>
        <w:tc>
          <w:tcPr>
            <w:tcW w:w="1262" w:type="dxa"/>
            <w:shd w:val="clear" w:color="auto" w:fill="auto"/>
            <w:noWrap/>
            <w:vAlign w:val="center"/>
            <w:hideMark/>
          </w:tcPr>
          <w:p w14:paraId="51447E4D"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lang w:eastAsia="en-AU"/>
              </w:rPr>
              <w:t> </w:t>
            </w:r>
          </w:p>
        </w:tc>
        <w:tc>
          <w:tcPr>
            <w:tcW w:w="951" w:type="dxa"/>
            <w:shd w:val="clear" w:color="auto" w:fill="auto"/>
            <w:noWrap/>
            <w:vAlign w:val="center"/>
            <w:hideMark/>
          </w:tcPr>
          <w:p w14:paraId="4BAE3367"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lang w:eastAsia="en-AU"/>
              </w:rPr>
              <w:t> </w:t>
            </w:r>
          </w:p>
        </w:tc>
        <w:tc>
          <w:tcPr>
            <w:tcW w:w="1417" w:type="dxa"/>
            <w:shd w:val="clear" w:color="auto" w:fill="auto"/>
            <w:noWrap/>
            <w:vAlign w:val="center"/>
            <w:hideMark/>
          </w:tcPr>
          <w:p w14:paraId="74F6D1AD"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lang w:eastAsia="en-AU"/>
              </w:rPr>
              <w:t> </w:t>
            </w:r>
          </w:p>
        </w:tc>
        <w:tc>
          <w:tcPr>
            <w:tcW w:w="1418" w:type="dxa"/>
            <w:shd w:val="clear" w:color="auto" w:fill="auto"/>
            <w:noWrap/>
            <w:vAlign w:val="center"/>
            <w:hideMark/>
          </w:tcPr>
          <w:p w14:paraId="3BD6E331"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lang w:eastAsia="en-AU"/>
              </w:rPr>
              <w:t> </w:t>
            </w:r>
          </w:p>
        </w:tc>
      </w:tr>
      <w:tr w:rsidR="003E5BF5" w:rsidRPr="00865762" w14:paraId="3C501FCE" w14:textId="77777777" w:rsidTr="000F17DB">
        <w:trPr>
          <w:trHeight w:val="340"/>
        </w:trPr>
        <w:tc>
          <w:tcPr>
            <w:tcW w:w="2351" w:type="dxa"/>
            <w:shd w:val="clear" w:color="auto" w:fill="auto"/>
            <w:noWrap/>
            <w:vAlign w:val="center"/>
            <w:hideMark/>
          </w:tcPr>
          <w:p w14:paraId="6EC5B09C"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Output appropriations</w:t>
            </w:r>
          </w:p>
        </w:tc>
        <w:tc>
          <w:tcPr>
            <w:tcW w:w="1262" w:type="dxa"/>
            <w:shd w:val="clear" w:color="auto" w:fill="auto"/>
            <w:noWrap/>
            <w:vAlign w:val="center"/>
            <w:hideMark/>
          </w:tcPr>
          <w:p w14:paraId="3115487C"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45,370 </w:t>
            </w:r>
          </w:p>
        </w:tc>
        <w:tc>
          <w:tcPr>
            <w:tcW w:w="1262" w:type="dxa"/>
            <w:shd w:val="clear" w:color="auto" w:fill="auto"/>
            <w:noWrap/>
            <w:vAlign w:val="center"/>
            <w:hideMark/>
          </w:tcPr>
          <w:p w14:paraId="188A819C"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40,405 </w:t>
            </w:r>
          </w:p>
        </w:tc>
        <w:tc>
          <w:tcPr>
            <w:tcW w:w="1262" w:type="dxa"/>
            <w:shd w:val="clear" w:color="auto" w:fill="auto"/>
            <w:noWrap/>
            <w:vAlign w:val="center"/>
            <w:hideMark/>
          </w:tcPr>
          <w:p w14:paraId="149AF8DE"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951" w:type="dxa"/>
            <w:shd w:val="clear" w:color="auto" w:fill="auto"/>
            <w:noWrap/>
            <w:vAlign w:val="center"/>
            <w:hideMark/>
          </w:tcPr>
          <w:p w14:paraId="184A2329"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417" w:type="dxa"/>
            <w:shd w:val="clear" w:color="auto" w:fill="auto"/>
            <w:noWrap/>
            <w:vAlign w:val="center"/>
            <w:hideMark/>
          </w:tcPr>
          <w:p w14:paraId="6F338C72"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7,540,969 </w:t>
            </w:r>
          </w:p>
        </w:tc>
        <w:tc>
          <w:tcPr>
            <w:tcW w:w="1418" w:type="dxa"/>
            <w:shd w:val="clear" w:color="auto" w:fill="auto"/>
            <w:noWrap/>
            <w:vAlign w:val="center"/>
            <w:hideMark/>
          </w:tcPr>
          <w:p w14:paraId="279FE63B"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6,758,293 </w:t>
            </w:r>
          </w:p>
        </w:tc>
      </w:tr>
      <w:tr w:rsidR="003E5BF5" w:rsidRPr="00865762" w14:paraId="12D29C5D" w14:textId="77777777" w:rsidTr="000F17DB">
        <w:trPr>
          <w:trHeight w:val="340"/>
        </w:trPr>
        <w:tc>
          <w:tcPr>
            <w:tcW w:w="2351" w:type="dxa"/>
            <w:shd w:val="clear" w:color="auto" w:fill="auto"/>
            <w:noWrap/>
            <w:vAlign w:val="center"/>
            <w:hideMark/>
          </w:tcPr>
          <w:p w14:paraId="68E0E86B"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Special appropriations</w:t>
            </w:r>
          </w:p>
        </w:tc>
        <w:tc>
          <w:tcPr>
            <w:tcW w:w="1262" w:type="dxa"/>
            <w:shd w:val="clear" w:color="auto" w:fill="auto"/>
            <w:noWrap/>
            <w:vAlign w:val="center"/>
            <w:hideMark/>
          </w:tcPr>
          <w:p w14:paraId="17412EC2"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262" w:type="dxa"/>
            <w:shd w:val="clear" w:color="auto" w:fill="auto"/>
            <w:noWrap/>
            <w:vAlign w:val="center"/>
            <w:hideMark/>
          </w:tcPr>
          <w:p w14:paraId="3AAB92CE"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262" w:type="dxa"/>
            <w:shd w:val="clear" w:color="auto" w:fill="auto"/>
            <w:noWrap/>
            <w:vAlign w:val="center"/>
            <w:hideMark/>
          </w:tcPr>
          <w:p w14:paraId="632BC9DE"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951" w:type="dxa"/>
            <w:shd w:val="clear" w:color="auto" w:fill="auto"/>
            <w:noWrap/>
            <w:vAlign w:val="center"/>
            <w:hideMark/>
          </w:tcPr>
          <w:p w14:paraId="21EC2C1B"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417" w:type="dxa"/>
            <w:shd w:val="clear" w:color="auto" w:fill="auto"/>
            <w:noWrap/>
            <w:vAlign w:val="center"/>
            <w:hideMark/>
          </w:tcPr>
          <w:p w14:paraId="7C64D535"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438,547 </w:t>
            </w:r>
          </w:p>
        </w:tc>
        <w:tc>
          <w:tcPr>
            <w:tcW w:w="1418" w:type="dxa"/>
            <w:shd w:val="clear" w:color="auto" w:fill="auto"/>
            <w:noWrap/>
            <w:vAlign w:val="center"/>
            <w:hideMark/>
          </w:tcPr>
          <w:p w14:paraId="43544472"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127,001 </w:t>
            </w:r>
          </w:p>
        </w:tc>
      </w:tr>
      <w:tr w:rsidR="003E5BF5" w:rsidRPr="00865762" w14:paraId="3A08668E" w14:textId="77777777" w:rsidTr="000F17DB">
        <w:trPr>
          <w:trHeight w:val="340"/>
        </w:trPr>
        <w:tc>
          <w:tcPr>
            <w:tcW w:w="2351" w:type="dxa"/>
            <w:shd w:val="clear" w:color="auto" w:fill="auto"/>
            <w:noWrap/>
            <w:vAlign w:val="center"/>
            <w:hideMark/>
          </w:tcPr>
          <w:p w14:paraId="34C5522F"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Grant income</w:t>
            </w:r>
          </w:p>
        </w:tc>
        <w:tc>
          <w:tcPr>
            <w:tcW w:w="1262" w:type="dxa"/>
            <w:shd w:val="clear" w:color="auto" w:fill="auto"/>
            <w:noWrap/>
            <w:vAlign w:val="center"/>
            <w:hideMark/>
          </w:tcPr>
          <w:p w14:paraId="10EEA9F9"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450 </w:t>
            </w:r>
          </w:p>
        </w:tc>
        <w:tc>
          <w:tcPr>
            <w:tcW w:w="1262" w:type="dxa"/>
            <w:shd w:val="clear" w:color="auto" w:fill="auto"/>
            <w:noWrap/>
            <w:vAlign w:val="center"/>
            <w:hideMark/>
          </w:tcPr>
          <w:p w14:paraId="2EFB6137"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r w:rsidRPr="00865762">
              <w:rPr>
                <w:rFonts w:ascii="Arial" w:hAnsi="Arial" w:cs="Arial"/>
                <w:sz w:val="24"/>
                <w:szCs w:val="24"/>
              </w:rPr>
              <w:t xml:space="preserve"> </w:t>
            </w:r>
          </w:p>
        </w:tc>
        <w:tc>
          <w:tcPr>
            <w:tcW w:w="1262" w:type="dxa"/>
            <w:shd w:val="clear" w:color="auto" w:fill="auto"/>
            <w:noWrap/>
            <w:vAlign w:val="center"/>
            <w:hideMark/>
          </w:tcPr>
          <w:p w14:paraId="7CCD57D0"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951" w:type="dxa"/>
            <w:shd w:val="clear" w:color="auto" w:fill="auto"/>
            <w:noWrap/>
            <w:vAlign w:val="center"/>
            <w:hideMark/>
          </w:tcPr>
          <w:p w14:paraId="6CAEC8C9"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417" w:type="dxa"/>
            <w:shd w:val="clear" w:color="auto" w:fill="auto"/>
            <w:noWrap/>
            <w:vAlign w:val="center"/>
            <w:hideMark/>
          </w:tcPr>
          <w:p w14:paraId="0859BB89"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466,928 </w:t>
            </w:r>
          </w:p>
        </w:tc>
        <w:tc>
          <w:tcPr>
            <w:tcW w:w="1418" w:type="dxa"/>
            <w:shd w:val="clear" w:color="auto" w:fill="auto"/>
            <w:noWrap/>
            <w:vAlign w:val="center"/>
            <w:hideMark/>
          </w:tcPr>
          <w:p w14:paraId="757C3BA0"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25,068 </w:t>
            </w:r>
          </w:p>
        </w:tc>
      </w:tr>
      <w:tr w:rsidR="003E5BF5" w:rsidRPr="00865762" w14:paraId="71E68B64" w14:textId="77777777" w:rsidTr="000F17DB">
        <w:trPr>
          <w:trHeight w:val="340"/>
        </w:trPr>
        <w:tc>
          <w:tcPr>
            <w:tcW w:w="2351" w:type="dxa"/>
            <w:shd w:val="clear" w:color="auto" w:fill="auto"/>
            <w:noWrap/>
            <w:vAlign w:val="center"/>
            <w:hideMark/>
          </w:tcPr>
          <w:p w14:paraId="6F53321F"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Sale of goods and services</w:t>
            </w:r>
          </w:p>
        </w:tc>
        <w:tc>
          <w:tcPr>
            <w:tcW w:w="1262" w:type="dxa"/>
            <w:shd w:val="clear" w:color="auto" w:fill="auto"/>
            <w:noWrap/>
            <w:vAlign w:val="center"/>
            <w:hideMark/>
          </w:tcPr>
          <w:p w14:paraId="65B6B59D"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7,648 </w:t>
            </w:r>
          </w:p>
        </w:tc>
        <w:tc>
          <w:tcPr>
            <w:tcW w:w="1262" w:type="dxa"/>
            <w:shd w:val="clear" w:color="auto" w:fill="auto"/>
            <w:noWrap/>
            <w:vAlign w:val="center"/>
            <w:hideMark/>
          </w:tcPr>
          <w:p w14:paraId="2D6226AC"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1 </w:t>
            </w:r>
          </w:p>
        </w:tc>
        <w:tc>
          <w:tcPr>
            <w:tcW w:w="1262" w:type="dxa"/>
            <w:shd w:val="clear" w:color="auto" w:fill="auto"/>
            <w:noWrap/>
            <w:vAlign w:val="center"/>
            <w:hideMark/>
          </w:tcPr>
          <w:p w14:paraId="297257C6"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951" w:type="dxa"/>
            <w:shd w:val="clear" w:color="auto" w:fill="auto"/>
            <w:noWrap/>
            <w:vAlign w:val="center"/>
            <w:hideMark/>
          </w:tcPr>
          <w:p w14:paraId="229DFEC1"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417" w:type="dxa"/>
            <w:shd w:val="clear" w:color="auto" w:fill="auto"/>
            <w:noWrap/>
            <w:vAlign w:val="center"/>
            <w:hideMark/>
          </w:tcPr>
          <w:p w14:paraId="2242F1F4"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370,181 </w:t>
            </w:r>
          </w:p>
        </w:tc>
        <w:tc>
          <w:tcPr>
            <w:tcW w:w="1418" w:type="dxa"/>
            <w:shd w:val="clear" w:color="auto" w:fill="auto"/>
            <w:noWrap/>
            <w:vAlign w:val="center"/>
            <w:hideMark/>
          </w:tcPr>
          <w:p w14:paraId="7D48EE2F"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1 </w:t>
            </w:r>
          </w:p>
        </w:tc>
      </w:tr>
      <w:tr w:rsidR="003E5BF5" w:rsidRPr="00865762" w14:paraId="0F37F187" w14:textId="77777777" w:rsidTr="000F17DB">
        <w:trPr>
          <w:trHeight w:val="340"/>
        </w:trPr>
        <w:tc>
          <w:tcPr>
            <w:tcW w:w="2351" w:type="dxa"/>
            <w:shd w:val="clear" w:color="auto" w:fill="auto"/>
            <w:noWrap/>
            <w:vAlign w:val="center"/>
            <w:hideMark/>
          </w:tcPr>
          <w:p w14:paraId="347E6128"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Other income</w:t>
            </w:r>
          </w:p>
        </w:tc>
        <w:tc>
          <w:tcPr>
            <w:tcW w:w="1262" w:type="dxa"/>
            <w:shd w:val="clear" w:color="auto" w:fill="auto"/>
            <w:noWrap/>
            <w:vAlign w:val="center"/>
            <w:hideMark/>
          </w:tcPr>
          <w:p w14:paraId="6F620FAC"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19 </w:t>
            </w:r>
          </w:p>
        </w:tc>
        <w:tc>
          <w:tcPr>
            <w:tcW w:w="1262" w:type="dxa"/>
            <w:shd w:val="clear" w:color="auto" w:fill="auto"/>
            <w:noWrap/>
            <w:vAlign w:val="center"/>
            <w:hideMark/>
          </w:tcPr>
          <w:p w14:paraId="20003904"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8,980 </w:t>
            </w:r>
          </w:p>
        </w:tc>
        <w:tc>
          <w:tcPr>
            <w:tcW w:w="1262" w:type="dxa"/>
            <w:shd w:val="clear" w:color="auto" w:fill="auto"/>
            <w:noWrap/>
            <w:vAlign w:val="center"/>
            <w:hideMark/>
          </w:tcPr>
          <w:p w14:paraId="439807EC"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951" w:type="dxa"/>
            <w:shd w:val="clear" w:color="auto" w:fill="auto"/>
            <w:noWrap/>
            <w:vAlign w:val="center"/>
            <w:hideMark/>
          </w:tcPr>
          <w:p w14:paraId="3A74CECA"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417" w:type="dxa"/>
            <w:shd w:val="clear" w:color="auto" w:fill="auto"/>
            <w:noWrap/>
            <w:vAlign w:val="center"/>
            <w:hideMark/>
          </w:tcPr>
          <w:p w14:paraId="2E2DDDFF"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283,803 </w:t>
            </w:r>
          </w:p>
        </w:tc>
        <w:tc>
          <w:tcPr>
            <w:tcW w:w="1418" w:type="dxa"/>
            <w:shd w:val="clear" w:color="auto" w:fill="auto"/>
            <w:noWrap/>
            <w:vAlign w:val="center"/>
            <w:hideMark/>
          </w:tcPr>
          <w:p w14:paraId="30AA4579"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10,263 </w:t>
            </w:r>
          </w:p>
        </w:tc>
      </w:tr>
      <w:tr w:rsidR="003E5BF5" w:rsidRPr="00865762" w14:paraId="16527539" w14:textId="77777777" w:rsidTr="000F17DB">
        <w:trPr>
          <w:trHeight w:val="340"/>
        </w:trPr>
        <w:tc>
          <w:tcPr>
            <w:tcW w:w="2351" w:type="dxa"/>
            <w:shd w:val="clear" w:color="auto" w:fill="auto"/>
            <w:noWrap/>
            <w:vAlign w:val="center"/>
            <w:hideMark/>
          </w:tcPr>
          <w:p w14:paraId="70396EDA" w14:textId="77777777" w:rsidR="003E5BF5" w:rsidRPr="00865762" w:rsidRDefault="003E5BF5" w:rsidP="00DE1921">
            <w:pPr>
              <w:rPr>
                <w:rFonts w:ascii="Arial" w:hAnsi="Arial" w:cs="Arial"/>
                <w:b/>
                <w:sz w:val="24"/>
                <w:szCs w:val="24"/>
                <w:lang w:eastAsia="en-AU"/>
              </w:rPr>
            </w:pPr>
            <w:r w:rsidRPr="00865762">
              <w:rPr>
                <w:rFonts w:ascii="Arial" w:hAnsi="Arial" w:cs="Arial"/>
                <w:b/>
                <w:sz w:val="24"/>
                <w:szCs w:val="24"/>
                <w:lang w:eastAsia="en-AU"/>
              </w:rPr>
              <w:t>Total income from transactions</w:t>
            </w:r>
          </w:p>
        </w:tc>
        <w:tc>
          <w:tcPr>
            <w:tcW w:w="1262" w:type="dxa"/>
            <w:shd w:val="clear" w:color="auto" w:fill="auto"/>
            <w:noWrap/>
            <w:vAlign w:val="center"/>
            <w:hideMark/>
          </w:tcPr>
          <w:p w14:paraId="665EA4D8"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 xml:space="preserve">53,487 </w:t>
            </w:r>
          </w:p>
        </w:tc>
        <w:tc>
          <w:tcPr>
            <w:tcW w:w="1262" w:type="dxa"/>
            <w:shd w:val="clear" w:color="auto" w:fill="auto"/>
            <w:noWrap/>
            <w:vAlign w:val="center"/>
            <w:hideMark/>
          </w:tcPr>
          <w:p w14:paraId="57E6D1DA"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 xml:space="preserve">49,386 </w:t>
            </w:r>
          </w:p>
        </w:tc>
        <w:tc>
          <w:tcPr>
            <w:tcW w:w="1262" w:type="dxa"/>
            <w:shd w:val="clear" w:color="auto" w:fill="auto"/>
            <w:noWrap/>
            <w:vAlign w:val="center"/>
            <w:hideMark/>
          </w:tcPr>
          <w:p w14:paraId="4D0D7ACD"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w:t>
            </w:r>
          </w:p>
        </w:tc>
        <w:tc>
          <w:tcPr>
            <w:tcW w:w="951" w:type="dxa"/>
            <w:shd w:val="clear" w:color="auto" w:fill="auto"/>
            <w:noWrap/>
            <w:vAlign w:val="center"/>
            <w:hideMark/>
          </w:tcPr>
          <w:p w14:paraId="192CE5D0"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w:t>
            </w:r>
          </w:p>
        </w:tc>
        <w:tc>
          <w:tcPr>
            <w:tcW w:w="1417" w:type="dxa"/>
            <w:shd w:val="clear" w:color="auto" w:fill="auto"/>
            <w:noWrap/>
            <w:vAlign w:val="center"/>
            <w:hideMark/>
          </w:tcPr>
          <w:p w14:paraId="6A792025"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 xml:space="preserve">9,100,428 </w:t>
            </w:r>
          </w:p>
        </w:tc>
        <w:tc>
          <w:tcPr>
            <w:tcW w:w="1418" w:type="dxa"/>
            <w:shd w:val="clear" w:color="auto" w:fill="auto"/>
            <w:noWrap/>
            <w:vAlign w:val="center"/>
            <w:hideMark/>
          </w:tcPr>
          <w:p w14:paraId="43D32580"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 xml:space="preserve">6,920,626 </w:t>
            </w:r>
          </w:p>
        </w:tc>
      </w:tr>
      <w:tr w:rsidR="003E5BF5" w:rsidRPr="00865762" w14:paraId="1B60A313" w14:textId="77777777" w:rsidTr="000F17DB">
        <w:trPr>
          <w:trHeight w:val="340"/>
        </w:trPr>
        <w:tc>
          <w:tcPr>
            <w:tcW w:w="2351" w:type="dxa"/>
            <w:shd w:val="clear" w:color="auto" w:fill="auto"/>
            <w:noWrap/>
            <w:vAlign w:val="center"/>
            <w:hideMark/>
          </w:tcPr>
          <w:p w14:paraId="7467B763" w14:textId="77777777" w:rsidR="003E5BF5" w:rsidRPr="00865762" w:rsidRDefault="003E5BF5" w:rsidP="00604703">
            <w:pPr>
              <w:pStyle w:val="TableTextGreen"/>
            </w:pPr>
            <w:r w:rsidRPr="00865762">
              <w:t>Expenses from transactions</w:t>
            </w:r>
          </w:p>
        </w:tc>
        <w:tc>
          <w:tcPr>
            <w:tcW w:w="1262" w:type="dxa"/>
            <w:shd w:val="clear" w:color="auto" w:fill="auto"/>
            <w:noWrap/>
            <w:vAlign w:val="center"/>
            <w:hideMark/>
          </w:tcPr>
          <w:p w14:paraId="49F34D32" w14:textId="77777777" w:rsidR="003E5BF5" w:rsidRPr="00865762" w:rsidRDefault="003E5BF5" w:rsidP="00DE1921">
            <w:pPr>
              <w:jc w:val="right"/>
              <w:rPr>
                <w:rFonts w:ascii="Arial" w:hAnsi="Arial" w:cs="Arial"/>
                <w:b/>
                <w:sz w:val="24"/>
                <w:szCs w:val="24"/>
                <w:lang w:eastAsia="en-AU"/>
              </w:rPr>
            </w:pPr>
          </w:p>
        </w:tc>
        <w:tc>
          <w:tcPr>
            <w:tcW w:w="1262" w:type="dxa"/>
            <w:shd w:val="clear" w:color="auto" w:fill="auto"/>
            <w:noWrap/>
            <w:vAlign w:val="center"/>
            <w:hideMark/>
          </w:tcPr>
          <w:p w14:paraId="15E5574D" w14:textId="77777777" w:rsidR="003E5BF5" w:rsidRPr="00865762" w:rsidRDefault="003E5BF5" w:rsidP="00DE1921">
            <w:pPr>
              <w:jc w:val="right"/>
              <w:rPr>
                <w:rFonts w:ascii="Arial" w:hAnsi="Arial" w:cs="Arial"/>
                <w:b/>
                <w:sz w:val="24"/>
                <w:szCs w:val="24"/>
                <w:lang w:eastAsia="en-AU"/>
              </w:rPr>
            </w:pPr>
          </w:p>
        </w:tc>
        <w:tc>
          <w:tcPr>
            <w:tcW w:w="1262" w:type="dxa"/>
            <w:shd w:val="clear" w:color="auto" w:fill="auto"/>
            <w:noWrap/>
            <w:vAlign w:val="center"/>
            <w:hideMark/>
          </w:tcPr>
          <w:p w14:paraId="1A52DA2D" w14:textId="77777777" w:rsidR="003E5BF5" w:rsidRPr="00865762" w:rsidRDefault="003E5BF5" w:rsidP="00DE1921">
            <w:pPr>
              <w:jc w:val="right"/>
              <w:rPr>
                <w:rFonts w:ascii="Arial" w:hAnsi="Arial" w:cs="Arial"/>
                <w:b/>
                <w:sz w:val="24"/>
                <w:szCs w:val="24"/>
                <w:lang w:eastAsia="en-AU"/>
              </w:rPr>
            </w:pPr>
          </w:p>
        </w:tc>
        <w:tc>
          <w:tcPr>
            <w:tcW w:w="951" w:type="dxa"/>
            <w:shd w:val="clear" w:color="auto" w:fill="auto"/>
            <w:noWrap/>
            <w:vAlign w:val="center"/>
            <w:hideMark/>
          </w:tcPr>
          <w:p w14:paraId="7788A279" w14:textId="77777777" w:rsidR="003E5BF5" w:rsidRPr="00865762" w:rsidRDefault="003E5BF5" w:rsidP="00DE1921">
            <w:pPr>
              <w:jc w:val="right"/>
              <w:rPr>
                <w:rFonts w:ascii="Arial" w:hAnsi="Arial" w:cs="Arial"/>
                <w:b/>
                <w:sz w:val="24"/>
                <w:szCs w:val="24"/>
                <w:lang w:eastAsia="en-AU"/>
              </w:rPr>
            </w:pPr>
          </w:p>
        </w:tc>
        <w:tc>
          <w:tcPr>
            <w:tcW w:w="1417" w:type="dxa"/>
            <w:shd w:val="clear" w:color="auto" w:fill="auto"/>
            <w:noWrap/>
            <w:vAlign w:val="center"/>
            <w:hideMark/>
          </w:tcPr>
          <w:p w14:paraId="4FCDE9A7" w14:textId="77777777" w:rsidR="003E5BF5" w:rsidRPr="00865762" w:rsidRDefault="003E5BF5" w:rsidP="00DE1921">
            <w:pPr>
              <w:jc w:val="right"/>
              <w:rPr>
                <w:rFonts w:ascii="Arial" w:hAnsi="Arial" w:cs="Arial"/>
                <w:b/>
                <w:sz w:val="24"/>
                <w:szCs w:val="24"/>
                <w:lang w:eastAsia="en-AU"/>
              </w:rPr>
            </w:pPr>
          </w:p>
        </w:tc>
        <w:tc>
          <w:tcPr>
            <w:tcW w:w="1418" w:type="dxa"/>
            <w:shd w:val="clear" w:color="auto" w:fill="auto"/>
            <w:noWrap/>
            <w:vAlign w:val="center"/>
            <w:hideMark/>
          </w:tcPr>
          <w:p w14:paraId="29898283" w14:textId="77777777" w:rsidR="003E5BF5" w:rsidRPr="00865762" w:rsidRDefault="003E5BF5" w:rsidP="00DE1921">
            <w:pPr>
              <w:jc w:val="right"/>
              <w:rPr>
                <w:rFonts w:ascii="Arial" w:hAnsi="Arial" w:cs="Arial"/>
                <w:b/>
                <w:sz w:val="24"/>
                <w:szCs w:val="24"/>
                <w:lang w:eastAsia="en-AU"/>
              </w:rPr>
            </w:pPr>
          </w:p>
        </w:tc>
      </w:tr>
      <w:tr w:rsidR="003E5BF5" w:rsidRPr="00865762" w14:paraId="59E0628A" w14:textId="77777777" w:rsidTr="000F17DB">
        <w:trPr>
          <w:trHeight w:val="340"/>
        </w:trPr>
        <w:tc>
          <w:tcPr>
            <w:tcW w:w="2351" w:type="dxa"/>
            <w:shd w:val="clear" w:color="auto" w:fill="auto"/>
            <w:noWrap/>
            <w:vAlign w:val="center"/>
            <w:hideMark/>
          </w:tcPr>
          <w:p w14:paraId="655CCE51"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Grant expenses</w:t>
            </w:r>
          </w:p>
        </w:tc>
        <w:tc>
          <w:tcPr>
            <w:tcW w:w="1262" w:type="dxa"/>
            <w:shd w:val="clear" w:color="auto" w:fill="auto"/>
            <w:noWrap/>
            <w:vAlign w:val="center"/>
            <w:hideMark/>
          </w:tcPr>
          <w:p w14:paraId="3463DF08"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(53,905)</w:t>
            </w:r>
          </w:p>
        </w:tc>
        <w:tc>
          <w:tcPr>
            <w:tcW w:w="1262" w:type="dxa"/>
            <w:shd w:val="clear" w:color="auto" w:fill="auto"/>
            <w:noWrap/>
            <w:vAlign w:val="center"/>
            <w:hideMark/>
          </w:tcPr>
          <w:p w14:paraId="766FF511"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(47,976)</w:t>
            </w:r>
          </w:p>
        </w:tc>
        <w:tc>
          <w:tcPr>
            <w:tcW w:w="1262" w:type="dxa"/>
            <w:shd w:val="clear" w:color="auto" w:fill="auto"/>
            <w:noWrap/>
            <w:vAlign w:val="center"/>
            <w:hideMark/>
          </w:tcPr>
          <w:p w14:paraId="40199219"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951" w:type="dxa"/>
            <w:shd w:val="clear" w:color="auto" w:fill="auto"/>
            <w:noWrap/>
            <w:vAlign w:val="center"/>
            <w:hideMark/>
          </w:tcPr>
          <w:p w14:paraId="3006ABEA"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417" w:type="dxa"/>
            <w:shd w:val="clear" w:color="auto" w:fill="auto"/>
            <w:noWrap/>
            <w:vAlign w:val="center"/>
            <w:hideMark/>
          </w:tcPr>
          <w:p w14:paraId="0AFDF9E4"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(3,609,352)</w:t>
            </w:r>
          </w:p>
        </w:tc>
        <w:tc>
          <w:tcPr>
            <w:tcW w:w="1418" w:type="dxa"/>
            <w:shd w:val="clear" w:color="auto" w:fill="auto"/>
            <w:noWrap/>
            <w:vAlign w:val="center"/>
            <w:hideMark/>
          </w:tcPr>
          <w:p w14:paraId="4C68570D"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(6,632,101)</w:t>
            </w:r>
          </w:p>
        </w:tc>
      </w:tr>
      <w:tr w:rsidR="003E5BF5" w:rsidRPr="00865762" w14:paraId="5C4D4188" w14:textId="77777777" w:rsidTr="000F17DB">
        <w:trPr>
          <w:trHeight w:val="340"/>
        </w:trPr>
        <w:tc>
          <w:tcPr>
            <w:tcW w:w="2351" w:type="dxa"/>
            <w:shd w:val="clear" w:color="auto" w:fill="auto"/>
            <w:noWrap/>
            <w:vAlign w:val="center"/>
            <w:hideMark/>
          </w:tcPr>
          <w:p w14:paraId="103139A7"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Employee benefits expense</w:t>
            </w:r>
          </w:p>
        </w:tc>
        <w:tc>
          <w:tcPr>
            <w:tcW w:w="1262" w:type="dxa"/>
            <w:shd w:val="clear" w:color="auto" w:fill="auto"/>
            <w:noWrap/>
            <w:vAlign w:val="center"/>
            <w:hideMark/>
          </w:tcPr>
          <w:p w14:paraId="4B7D7643"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(1)</w:t>
            </w:r>
          </w:p>
        </w:tc>
        <w:tc>
          <w:tcPr>
            <w:tcW w:w="1262" w:type="dxa"/>
            <w:shd w:val="clear" w:color="auto" w:fill="auto"/>
            <w:noWrap/>
            <w:vAlign w:val="center"/>
            <w:hideMark/>
          </w:tcPr>
          <w:p w14:paraId="272EC3D4"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(1,851)</w:t>
            </w:r>
          </w:p>
        </w:tc>
        <w:tc>
          <w:tcPr>
            <w:tcW w:w="1262" w:type="dxa"/>
            <w:shd w:val="clear" w:color="auto" w:fill="auto"/>
            <w:noWrap/>
            <w:vAlign w:val="center"/>
            <w:hideMark/>
          </w:tcPr>
          <w:p w14:paraId="481B6D8A"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951" w:type="dxa"/>
            <w:shd w:val="clear" w:color="auto" w:fill="auto"/>
            <w:noWrap/>
            <w:vAlign w:val="center"/>
            <w:hideMark/>
          </w:tcPr>
          <w:p w14:paraId="5F461296"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417" w:type="dxa"/>
            <w:shd w:val="clear" w:color="auto" w:fill="auto"/>
            <w:noWrap/>
            <w:vAlign w:val="center"/>
            <w:hideMark/>
          </w:tcPr>
          <w:p w14:paraId="1E43DAF6"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(585,937)</w:t>
            </w:r>
          </w:p>
        </w:tc>
        <w:tc>
          <w:tcPr>
            <w:tcW w:w="1418" w:type="dxa"/>
            <w:shd w:val="clear" w:color="auto" w:fill="auto"/>
            <w:noWrap/>
            <w:vAlign w:val="center"/>
            <w:hideMark/>
          </w:tcPr>
          <w:p w14:paraId="2C33DA5F"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(177,147)</w:t>
            </w:r>
          </w:p>
        </w:tc>
      </w:tr>
      <w:tr w:rsidR="003E5BF5" w:rsidRPr="00865762" w14:paraId="13F5856D" w14:textId="77777777" w:rsidTr="000F17DB">
        <w:trPr>
          <w:trHeight w:val="340"/>
        </w:trPr>
        <w:tc>
          <w:tcPr>
            <w:tcW w:w="2351" w:type="dxa"/>
            <w:shd w:val="clear" w:color="auto" w:fill="auto"/>
            <w:noWrap/>
            <w:vAlign w:val="center"/>
            <w:hideMark/>
          </w:tcPr>
          <w:p w14:paraId="1AD7E223"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Capital asset charge</w:t>
            </w:r>
          </w:p>
        </w:tc>
        <w:tc>
          <w:tcPr>
            <w:tcW w:w="1262" w:type="dxa"/>
            <w:shd w:val="clear" w:color="auto" w:fill="auto"/>
            <w:noWrap/>
            <w:vAlign w:val="center"/>
            <w:hideMark/>
          </w:tcPr>
          <w:p w14:paraId="670B297C"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262" w:type="dxa"/>
            <w:shd w:val="clear" w:color="auto" w:fill="auto"/>
            <w:noWrap/>
            <w:vAlign w:val="center"/>
            <w:hideMark/>
          </w:tcPr>
          <w:p w14:paraId="324372E8"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718 </w:t>
            </w:r>
          </w:p>
        </w:tc>
        <w:tc>
          <w:tcPr>
            <w:tcW w:w="1262" w:type="dxa"/>
            <w:shd w:val="clear" w:color="auto" w:fill="auto"/>
            <w:noWrap/>
            <w:vAlign w:val="center"/>
            <w:hideMark/>
          </w:tcPr>
          <w:p w14:paraId="609C0798"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951" w:type="dxa"/>
            <w:shd w:val="clear" w:color="auto" w:fill="auto"/>
            <w:noWrap/>
            <w:vAlign w:val="center"/>
            <w:hideMark/>
          </w:tcPr>
          <w:p w14:paraId="5CDC3FD6"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417" w:type="dxa"/>
            <w:shd w:val="clear" w:color="auto" w:fill="auto"/>
            <w:noWrap/>
            <w:vAlign w:val="center"/>
            <w:hideMark/>
          </w:tcPr>
          <w:p w14:paraId="0889EAFC"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(74,519)</w:t>
            </w:r>
          </w:p>
        </w:tc>
        <w:tc>
          <w:tcPr>
            <w:tcW w:w="1418" w:type="dxa"/>
            <w:shd w:val="clear" w:color="auto" w:fill="auto"/>
            <w:noWrap/>
            <w:vAlign w:val="center"/>
            <w:hideMark/>
          </w:tcPr>
          <w:p w14:paraId="2E086ACA"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(21,063)</w:t>
            </w:r>
          </w:p>
        </w:tc>
      </w:tr>
      <w:tr w:rsidR="003E5BF5" w:rsidRPr="00865762" w14:paraId="675E11CB" w14:textId="77777777" w:rsidTr="000F17DB">
        <w:trPr>
          <w:trHeight w:val="340"/>
        </w:trPr>
        <w:tc>
          <w:tcPr>
            <w:tcW w:w="2351" w:type="dxa"/>
            <w:shd w:val="clear" w:color="auto" w:fill="auto"/>
            <w:noWrap/>
            <w:vAlign w:val="center"/>
            <w:hideMark/>
          </w:tcPr>
          <w:p w14:paraId="4D0C695C"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 xml:space="preserve">Depreciation and amortisation </w:t>
            </w:r>
          </w:p>
        </w:tc>
        <w:tc>
          <w:tcPr>
            <w:tcW w:w="1262" w:type="dxa"/>
            <w:shd w:val="clear" w:color="auto" w:fill="auto"/>
            <w:noWrap/>
            <w:vAlign w:val="center"/>
            <w:hideMark/>
          </w:tcPr>
          <w:p w14:paraId="7032C230"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262" w:type="dxa"/>
            <w:shd w:val="clear" w:color="auto" w:fill="auto"/>
            <w:noWrap/>
            <w:vAlign w:val="center"/>
            <w:hideMark/>
          </w:tcPr>
          <w:p w14:paraId="6650AE7C"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(100)</w:t>
            </w:r>
          </w:p>
        </w:tc>
        <w:tc>
          <w:tcPr>
            <w:tcW w:w="1262" w:type="dxa"/>
            <w:shd w:val="clear" w:color="auto" w:fill="auto"/>
            <w:noWrap/>
            <w:vAlign w:val="center"/>
            <w:hideMark/>
          </w:tcPr>
          <w:p w14:paraId="4042BF69"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(652)</w:t>
            </w:r>
          </w:p>
        </w:tc>
        <w:tc>
          <w:tcPr>
            <w:tcW w:w="951" w:type="dxa"/>
            <w:shd w:val="clear" w:color="auto" w:fill="auto"/>
            <w:noWrap/>
            <w:vAlign w:val="center"/>
            <w:hideMark/>
          </w:tcPr>
          <w:p w14:paraId="5BB5FC5B"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(652)</w:t>
            </w:r>
          </w:p>
        </w:tc>
        <w:tc>
          <w:tcPr>
            <w:tcW w:w="1417" w:type="dxa"/>
            <w:shd w:val="clear" w:color="auto" w:fill="auto"/>
            <w:noWrap/>
            <w:vAlign w:val="center"/>
            <w:hideMark/>
          </w:tcPr>
          <w:p w14:paraId="6F9F0765"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(1,014,876)</w:t>
            </w:r>
          </w:p>
        </w:tc>
        <w:tc>
          <w:tcPr>
            <w:tcW w:w="1418" w:type="dxa"/>
            <w:shd w:val="clear" w:color="auto" w:fill="auto"/>
            <w:noWrap/>
            <w:vAlign w:val="center"/>
            <w:hideMark/>
          </w:tcPr>
          <w:p w14:paraId="42EBB3D0"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(10,060)</w:t>
            </w:r>
          </w:p>
        </w:tc>
      </w:tr>
      <w:tr w:rsidR="003E5BF5" w:rsidRPr="00865762" w14:paraId="6D971AA5" w14:textId="77777777" w:rsidTr="000F17DB">
        <w:trPr>
          <w:trHeight w:val="340"/>
        </w:trPr>
        <w:tc>
          <w:tcPr>
            <w:tcW w:w="2351" w:type="dxa"/>
            <w:shd w:val="clear" w:color="auto" w:fill="auto"/>
            <w:noWrap/>
            <w:vAlign w:val="center"/>
            <w:hideMark/>
          </w:tcPr>
          <w:p w14:paraId="1EDD93C8"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 xml:space="preserve">Interest expense </w:t>
            </w:r>
            <w:r w:rsidRPr="00865762">
              <w:rPr>
                <w:rFonts w:ascii="Arial" w:hAnsi="Arial" w:cs="Arial"/>
                <w:sz w:val="24"/>
                <w:szCs w:val="24"/>
                <w:vertAlign w:val="superscript"/>
                <w:lang w:eastAsia="en-AU"/>
              </w:rPr>
              <w:t>(</w:t>
            </w:r>
            <w:proofErr w:type="spellStart"/>
            <w:r w:rsidRPr="00865762">
              <w:rPr>
                <w:rFonts w:ascii="Arial" w:hAnsi="Arial" w:cs="Arial"/>
                <w:sz w:val="24"/>
                <w:szCs w:val="24"/>
                <w:vertAlign w:val="superscript"/>
                <w:lang w:eastAsia="en-AU"/>
              </w:rPr>
              <w:t>i</w:t>
            </w:r>
            <w:proofErr w:type="spellEnd"/>
            <w:r w:rsidRPr="00865762">
              <w:rPr>
                <w:rFonts w:ascii="Arial" w:hAnsi="Arial" w:cs="Arial"/>
                <w:sz w:val="24"/>
                <w:szCs w:val="24"/>
                <w:vertAlign w:val="superscript"/>
                <w:lang w:eastAsia="en-AU"/>
              </w:rPr>
              <w:t>)</w:t>
            </w:r>
          </w:p>
        </w:tc>
        <w:tc>
          <w:tcPr>
            <w:tcW w:w="1262" w:type="dxa"/>
            <w:shd w:val="clear" w:color="auto" w:fill="auto"/>
            <w:noWrap/>
            <w:vAlign w:val="center"/>
            <w:hideMark/>
          </w:tcPr>
          <w:p w14:paraId="357B1CE0"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262" w:type="dxa"/>
            <w:shd w:val="clear" w:color="auto" w:fill="auto"/>
            <w:noWrap/>
            <w:vAlign w:val="center"/>
            <w:hideMark/>
          </w:tcPr>
          <w:p w14:paraId="4F0F8036"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(1)</w:t>
            </w:r>
          </w:p>
        </w:tc>
        <w:tc>
          <w:tcPr>
            <w:tcW w:w="1262" w:type="dxa"/>
            <w:shd w:val="clear" w:color="auto" w:fill="auto"/>
            <w:noWrap/>
            <w:vAlign w:val="center"/>
            <w:hideMark/>
          </w:tcPr>
          <w:p w14:paraId="20B6725C"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951" w:type="dxa"/>
            <w:shd w:val="clear" w:color="auto" w:fill="auto"/>
            <w:noWrap/>
            <w:vAlign w:val="center"/>
            <w:hideMark/>
          </w:tcPr>
          <w:p w14:paraId="124DE5A0"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417" w:type="dxa"/>
            <w:shd w:val="clear" w:color="auto" w:fill="auto"/>
            <w:noWrap/>
            <w:vAlign w:val="center"/>
            <w:hideMark/>
          </w:tcPr>
          <w:p w14:paraId="516EF96D"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(327,651)</w:t>
            </w:r>
          </w:p>
        </w:tc>
        <w:tc>
          <w:tcPr>
            <w:tcW w:w="1418" w:type="dxa"/>
            <w:shd w:val="clear" w:color="auto" w:fill="auto"/>
            <w:noWrap/>
            <w:vAlign w:val="center"/>
            <w:hideMark/>
          </w:tcPr>
          <w:p w14:paraId="29639D52"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(138,466)</w:t>
            </w:r>
          </w:p>
        </w:tc>
      </w:tr>
      <w:tr w:rsidR="003E5BF5" w:rsidRPr="00865762" w14:paraId="09D0BE83" w14:textId="77777777" w:rsidTr="000F17DB">
        <w:trPr>
          <w:trHeight w:val="340"/>
        </w:trPr>
        <w:tc>
          <w:tcPr>
            <w:tcW w:w="2351" w:type="dxa"/>
            <w:shd w:val="clear" w:color="auto" w:fill="auto"/>
            <w:noWrap/>
            <w:vAlign w:val="center"/>
          </w:tcPr>
          <w:p w14:paraId="58E60D32"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Payments to public transport service providers</w:t>
            </w:r>
          </w:p>
        </w:tc>
        <w:tc>
          <w:tcPr>
            <w:tcW w:w="1262" w:type="dxa"/>
            <w:shd w:val="clear" w:color="auto" w:fill="auto"/>
            <w:noWrap/>
          </w:tcPr>
          <w:p w14:paraId="0C952EAE" w14:textId="77777777" w:rsidR="003E5BF5" w:rsidRPr="00865762" w:rsidRDefault="003E5BF5" w:rsidP="00DE1921">
            <w:pPr>
              <w:jc w:val="right"/>
              <w:rPr>
                <w:rFonts w:ascii="Arial" w:hAnsi="Arial" w:cs="Arial"/>
                <w:sz w:val="24"/>
                <w:szCs w:val="24"/>
              </w:rPr>
            </w:pPr>
            <w:r w:rsidRPr="00865762">
              <w:rPr>
                <w:rFonts w:ascii="Arial" w:hAnsi="Arial" w:cs="Arial"/>
                <w:b/>
                <w:sz w:val="24"/>
                <w:szCs w:val="24"/>
              </w:rPr>
              <w:t>-</w:t>
            </w:r>
          </w:p>
        </w:tc>
        <w:tc>
          <w:tcPr>
            <w:tcW w:w="1262" w:type="dxa"/>
            <w:shd w:val="clear" w:color="auto" w:fill="auto"/>
            <w:noWrap/>
          </w:tcPr>
          <w:p w14:paraId="522C71D2" w14:textId="77777777" w:rsidR="003E5BF5" w:rsidRPr="00865762" w:rsidRDefault="003E5BF5" w:rsidP="00DE1921">
            <w:pPr>
              <w:jc w:val="right"/>
              <w:rPr>
                <w:rFonts w:ascii="Arial" w:hAnsi="Arial" w:cs="Arial"/>
                <w:sz w:val="24"/>
                <w:szCs w:val="24"/>
              </w:rPr>
            </w:pPr>
            <w:r w:rsidRPr="00865762">
              <w:rPr>
                <w:rFonts w:ascii="Arial" w:hAnsi="Arial" w:cs="Arial"/>
                <w:b/>
                <w:sz w:val="24"/>
                <w:szCs w:val="24"/>
              </w:rPr>
              <w:t>-</w:t>
            </w:r>
          </w:p>
        </w:tc>
        <w:tc>
          <w:tcPr>
            <w:tcW w:w="1262" w:type="dxa"/>
            <w:shd w:val="clear" w:color="auto" w:fill="auto"/>
            <w:noWrap/>
          </w:tcPr>
          <w:p w14:paraId="0E17705D" w14:textId="77777777" w:rsidR="003E5BF5" w:rsidRPr="00865762" w:rsidRDefault="003E5BF5" w:rsidP="00DE1921">
            <w:pPr>
              <w:jc w:val="right"/>
              <w:rPr>
                <w:rFonts w:ascii="Arial" w:hAnsi="Arial" w:cs="Arial"/>
                <w:sz w:val="24"/>
                <w:szCs w:val="24"/>
              </w:rPr>
            </w:pPr>
            <w:r w:rsidRPr="00865762">
              <w:rPr>
                <w:rFonts w:ascii="Arial" w:hAnsi="Arial" w:cs="Arial"/>
                <w:b/>
                <w:sz w:val="24"/>
                <w:szCs w:val="24"/>
              </w:rPr>
              <w:t>-</w:t>
            </w:r>
          </w:p>
        </w:tc>
        <w:tc>
          <w:tcPr>
            <w:tcW w:w="951" w:type="dxa"/>
            <w:shd w:val="clear" w:color="auto" w:fill="auto"/>
            <w:noWrap/>
          </w:tcPr>
          <w:p w14:paraId="343E68EB" w14:textId="77777777" w:rsidR="003E5BF5" w:rsidRPr="00865762" w:rsidRDefault="003E5BF5" w:rsidP="00DE1921">
            <w:pPr>
              <w:jc w:val="right"/>
              <w:rPr>
                <w:rFonts w:ascii="Arial" w:hAnsi="Arial" w:cs="Arial"/>
                <w:sz w:val="24"/>
                <w:szCs w:val="24"/>
              </w:rPr>
            </w:pPr>
            <w:r w:rsidRPr="00865762">
              <w:rPr>
                <w:rFonts w:ascii="Arial" w:hAnsi="Arial" w:cs="Arial"/>
                <w:b/>
                <w:sz w:val="24"/>
                <w:szCs w:val="24"/>
              </w:rPr>
              <w:t>-</w:t>
            </w:r>
          </w:p>
        </w:tc>
        <w:tc>
          <w:tcPr>
            <w:tcW w:w="1417" w:type="dxa"/>
            <w:shd w:val="clear" w:color="auto" w:fill="auto"/>
            <w:noWrap/>
          </w:tcPr>
          <w:p w14:paraId="594BBDA3" w14:textId="77777777" w:rsidR="003E5BF5" w:rsidRPr="00865762" w:rsidRDefault="003E5BF5" w:rsidP="00DE1921">
            <w:pPr>
              <w:jc w:val="right"/>
              <w:rPr>
                <w:rFonts w:ascii="Arial" w:hAnsi="Arial" w:cs="Arial"/>
                <w:sz w:val="24"/>
                <w:szCs w:val="24"/>
              </w:rPr>
            </w:pPr>
            <w:r w:rsidRPr="00865762">
              <w:rPr>
                <w:rFonts w:ascii="Arial" w:hAnsi="Arial" w:cs="Arial"/>
                <w:sz w:val="24"/>
                <w:szCs w:val="24"/>
              </w:rPr>
              <w:t>(2,489,053)</w:t>
            </w:r>
          </w:p>
        </w:tc>
        <w:tc>
          <w:tcPr>
            <w:tcW w:w="1418" w:type="dxa"/>
            <w:shd w:val="clear" w:color="auto" w:fill="auto"/>
            <w:noWrap/>
          </w:tcPr>
          <w:p w14:paraId="49B6EDE1" w14:textId="77777777" w:rsidR="003E5BF5" w:rsidRPr="00865762" w:rsidRDefault="003E5BF5" w:rsidP="00DE1921">
            <w:pPr>
              <w:jc w:val="right"/>
              <w:rPr>
                <w:rFonts w:ascii="Arial" w:hAnsi="Arial" w:cs="Arial"/>
                <w:sz w:val="24"/>
                <w:szCs w:val="24"/>
              </w:rPr>
            </w:pPr>
            <w:r w:rsidRPr="00865762">
              <w:rPr>
                <w:rFonts w:ascii="Arial" w:hAnsi="Arial" w:cs="Arial"/>
                <w:b/>
                <w:sz w:val="24"/>
                <w:szCs w:val="24"/>
              </w:rPr>
              <w:t>-</w:t>
            </w:r>
            <w:r w:rsidRPr="00865762">
              <w:rPr>
                <w:rFonts w:ascii="Arial" w:hAnsi="Arial" w:cs="Arial"/>
                <w:sz w:val="24"/>
                <w:szCs w:val="24"/>
              </w:rPr>
              <w:t xml:space="preserve"> </w:t>
            </w:r>
          </w:p>
        </w:tc>
      </w:tr>
      <w:tr w:rsidR="003E5BF5" w:rsidRPr="00865762" w14:paraId="60E7F7EB" w14:textId="77777777" w:rsidTr="000F17DB">
        <w:trPr>
          <w:trHeight w:val="340"/>
        </w:trPr>
        <w:tc>
          <w:tcPr>
            <w:tcW w:w="2351" w:type="dxa"/>
            <w:shd w:val="clear" w:color="auto" w:fill="auto"/>
            <w:noWrap/>
            <w:vAlign w:val="center"/>
            <w:hideMark/>
          </w:tcPr>
          <w:p w14:paraId="28295F0A"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Other operating expenses</w:t>
            </w:r>
          </w:p>
        </w:tc>
        <w:tc>
          <w:tcPr>
            <w:tcW w:w="1262" w:type="dxa"/>
            <w:shd w:val="clear" w:color="auto" w:fill="auto"/>
            <w:noWrap/>
            <w:vAlign w:val="center"/>
            <w:hideMark/>
          </w:tcPr>
          <w:p w14:paraId="562FC5FE"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(19)</w:t>
            </w:r>
          </w:p>
        </w:tc>
        <w:tc>
          <w:tcPr>
            <w:tcW w:w="1262" w:type="dxa"/>
            <w:shd w:val="clear" w:color="auto" w:fill="auto"/>
            <w:noWrap/>
            <w:vAlign w:val="center"/>
            <w:hideMark/>
          </w:tcPr>
          <w:p w14:paraId="01CB866E"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(570)</w:t>
            </w:r>
          </w:p>
        </w:tc>
        <w:tc>
          <w:tcPr>
            <w:tcW w:w="1262" w:type="dxa"/>
            <w:shd w:val="clear" w:color="auto" w:fill="auto"/>
            <w:noWrap/>
            <w:vAlign w:val="center"/>
            <w:hideMark/>
          </w:tcPr>
          <w:p w14:paraId="77F0E5AD"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(2,925)</w:t>
            </w:r>
          </w:p>
        </w:tc>
        <w:tc>
          <w:tcPr>
            <w:tcW w:w="951" w:type="dxa"/>
            <w:shd w:val="clear" w:color="auto" w:fill="auto"/>
            <w:noWrap/>
            <w:vAlign w:val="center"/>
            <w:hideMark/>
          </w:tcPr>
          <w:p w14:paraId="6FA81522"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r w:rsidRPr="00865762">
              <w:rPr>
                <w:rFonts w:ascii="Arial" w:hAnsi="Arial" w:cs="Arial"/>
                <w:sz w:val="24"/>
                <w:szCs w:val="24"/>
              </w:rPr>
              <w:t xml:space="preserve"> </w:t>
            </w:r>
          </w:p>
        </w:tc>
        <w:tc>
          <w:tcPr>
            <w:tcW w:w="1417" w:type="dxa"/>
            <w:shd w:val="clear" w:color="auto" w:fill="auto"/>
            <w:noWrap/>
            <w:vAlign w:val="center"/>
            <w:hideMark/>
          </w:tcPr>
          <w:p w14:paraId="1E3FB0DD"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(1,371,894)</w:t>
            </w:r>
          </w:p>
        </w:tc>
        <w:tc>
          <w:tcPr>
            <w:tcW w:w="1418" w:type="dxa"/>
            <w:shd w:val="clear" w:color="auto" w:fill="auto"/>
            <w:noWrap/>
            <w:vAlign w:val="center"/>
            <w:hideMark/>
          </w:tcPr>
          <w:p w14:paraId="0C70DD57"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(299,457)</w:t>
            </w:r>
          </w:p>
        </w:tc>
      </w:tr>
      <w:tr w:rsidR="003E5BF5" w:rsidRPr="00865762" w14:paraId="3F18F19A" w14:textId="77777777" w:rsidTr="000F17DB">
        <w:trPr>
          <w:trHeight w:val="340"/>
        </w:trPr>
        <w:tc>
          <w:tcPr>
            <w:tcW w:w="2351" w:type="dxa"/>
            <w:shd w:val="clear" w:color="auto" w:fill="auto"/>
            <w:noWrap/>
            <w:vAlign w:val="center"/>
            <w:hideMark/>
          </w:tcPr>
          <w:p w14:paraId="3E1EDDBE" w14:textId="77777777" w:rsidR="003E5BF5" w:rsidRPr="00865762" w:rsidRDefault="003E5BF5" w:rsidP="00DE1921">
            <w:pPr>
              <w:rPr>
                <w:rFonts w:ascii="Arial" w:hAnsi="Arial" w:cs="Arial"/>
                <w:b/>
                <w:sz w:val="24"/>
                <w:szCs w:val="24"/>
                <w:lang w:eastAsia="en-AU"/>
              </w:rPr>
            </w:pPr>
            <w:r w:rsidRPr="00865762">
              <w:rPr>
                <w:rFonts w:ascii="Arial" w:hAnsi="Arial" w:cs="Arial"/>
                <w:b/>
                <w:sz w:val="24"/>
                <w:szCs w:val="24"/>
                <w:lang w:eastAsia="en-AU"/>
              </w:rPr>
              <w:t>Total expenses from transactions</w:t>
            </w:r>
          </w:p>
        </w:tc>
        <w:tc>
          <w:tcPr>
            <w:tcW w:w="1262" w:type="dxa"/>
            <w:shd w:val="clear" w:color="auto" w:fill="auto"/>
            <w:noWrap/>
            <w:vAlign w:val="center"/>
            <w:hideMark/>
          </w:tcPr>
          <w:p w14:paraId="412DA707"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(53,925)</w:t>
            </w:r>
          </w:p>
        </w:tc>
        <w:tc>
          <w:tcPr>
            <w:tcW w:w="1262" w:type="dxa"/>
            <w:shd w:val="clear" w:color="auto" w:fill="auto"/>
            <w:noWrap/>
            <w:vAlign w:val="center"/>
            <w:hideMark/>
          </w:tcPr>
          <w:p w14:paraId="0F6D8BB1"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(49,780)</w:t>
            </w:r>
          </w:p>
        </w:tc>
        <w:tc>
          <w:tcPr>
            <w:tcW w:w="1262" w:type="dxa"/>
            <w:shd w:val="clear" w:color="auto" w:fill="auto"/>
            <w:noWrap/>
            <w:vAlign w:val="center"/>
            <w:hideMark/>
          </w:tcPr>
          <w:p w14:paraId="7894B819"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(3,577)</w:t>
            </w:r>
          </w:p>
        </w:tc>
        <w:tc>
          <w:tcPr>
            <w:tcW w:w="951" w:type="dxa"/>
            <w:shd w:val="clear" w:color="auto" w:fill="auto"/>
            <w:noWrap/>
            <w:vAlign w:val="center"/>
            <w:hideMark/>
          </w:tcPr>
          <w:p w14:paraId="7C679D20"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(652)</w:t>
            </w:r>
          </w:p>
        </w:tc>
        <w:tc>
          <w:tcPr>
            <w:tcW w:w="1417" w:type="dxa"/>
            <w:shd w:val="clear" w:color="auto" w:fill="auto"/>
            <w:noWrap/>
            <w:vAlign w:val="center"/>
            <w:hideMark/>
          </w:tcPr>
          <w:p w14:paraId="2E03D32E"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(9,473,282)</w:t>
            </w:r>
          </w:p>
        </w:tc>
        <w:tc>
          <w:tcPr>
            <w:tcW w:w="1418" w:type="dxa"/>
            <w:shd w:val="clear" w:color="auto" w:fill="auto"/>
            <w:noWrap/>
            <w:vAlign w:val="center"/>
            <w:hideMark/>
          </w:tcPr>
          <w:p w14:paraId="63C95D9B"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(7,278,294)</w:t>
            </w:r>
          </w:p>
        </w:tc>
      </w:tr>
      <w:tr w:rsidR="003E5BF5" w:rsidRPr="00865762" w14:paraId="7CD3622B" w14:textId="77777777" w:rsidTr="000F17DB">
        <w:trPr>
          <w:trHeight w:val="340"/>
        </w:trPr>
        <w:tc>
          <w:tcPr>
            <w:tcW w:w="2351" w:type="dxa"/>
            <w:shd w:val="clear" w:color="auto" w:fill="auto"/>
            <w:noWrap/>
            <w:vAlign w:val="center"/>
            <w:hideMark/>
          </w:tcPr>
          <w:p w14:paraId="3AF9892C" w14:textId="77777777" w:rsidR="003E5BF5" w:rsidRPr="00865762" w:rsidRDefault="003E5BF5" w:rsidP="00DE1921">
            <w:pPr>
              <w:rPr>
                <w:rFonts w:ascii="Arial" w:hAnsi="Arial" w:cs="Arial"/>
                <w:b/>
                <w:sz w:val="24"/>
                <w:szCs w:val="24"/>
                <w:lang w:eastAsia="en-AU"/>
              </w:rPr>
            </w:pPr>
            <w:r w:rsidRPr="00865762">
              <w:rPr>
                <w:rFonts w:ascii="Arial" w:hAnsi="Arial" w:cs="Arial"/>
                <w:b/>
                <w:sz w:val="24"/>
                <w:szCs w:val="24"/>
                <w:lang w:eastAsia="en-AU"/>
              </w:rPr>
              <w:t>Net result from transactions</w:t>
            </w:r>
          </w:p>
        </w:tc>
        <w:tc>
          <w:tcPr>
            <w:tcW w:w="1262" w:type="dxa"/>
            <w:shd w:val="clear" w:color="auto" w:fill="auto"/>
            <w:noWrap/>
            <w:vAlign w:val="center"/>
            <w:hideMark/>
          </w:tcPr>
          <w:p w14:paraId="121029DD"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(438)</w:t>
            </w:r>
          </w:p>
        </w:tc>
        <w:tc>
          <w:tcPr>
            <w:tcW w:w="1262" w:type="dxa"/>
            <w:shd w:val="clear" w:color="auto" w:fill="auto"/>
            <w:noWrap/>
            <w:vAlign w:val="center"/>
            <w:hideMark/>
          </w:tcPr>
          <w:p w14:paraId="1122C4B3"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(394)</w:t>
            </w:r>
          </w:p>
        </w:tc>
        <w:tc>
          <w:tcPr>
            <w:tcW w:w="1262" w:type="dxa"/>
            <w:shd w:val="clear" w:color="auto" w:fill="auto"/>
            <w:noWrap/>
            <w:vAlign w:val="center"/>
            <w:hideMark/>
          </w:tcPr>
          <w:p w14:paraId="7DE0D074"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(3,577)</w:t>
            </w:r>
          </w:p>
        </w:tc>
        <w:tc>
          <w:tcPr>
            <w:tcW w:w="951" w:type="dxa"/>
            <w:shd w:val="clear" w:color="auto" w:fill="auto"/>
            <w:noWrap/>
            <w:vAlign w:val="center"/>
            <w:hideMark/>
          </w:tcPr>
          <w:p w14:paraId="34A9F2A5"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(652)</w:t>
            </w:r>
          </w:p>
        </w:tc>
        <w:tc>
          <w:tcPr>
            <w:tcW w:w="1417" w:type="dxa"/>
            <w:shd w:val="clear" w:color="auto" w:fill="auto"/>
            <w:noWrap/>
            <w:vAlign w:val="center"/>
            <w:hideMark/>
          </w:tcPr>
          <w:p w14:paraId="76CE6B32"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(372,854)</w:t>
            </w:r>
          </w:p>
        </w:tc>
        <w:tc>
          <w:tcPr>
            <w:tcW w:w="1418" w:type="dxa"/>
            <w:shd w:val="clear" w:color="auto" w:fill="auto"/>
            <w:noWrap/>
            <w:vAlign w:val="center"/>
            <w:hideMark/>
          </w:tcPr>
          <w:p w14:paraId="67F35366"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(357,668)</w:t>
            </w:r>
          </w:p>
        </w:tc>
      </w:tr>
      <w:tr w:rsidR="003E5BF5" w:rsidRPr="00865762" w14:paraId="5E041851" w14:textId="77777777" w:rsidTr="000F17DB">
        <w:trPr>
          <w:trHeight w:val="340"/>
        </w:trPr>
        <w:tc>
          <w:tcPr>
            <w:tcW w:w="2351" w:type="dxa"/>
            <w:shd w:val="clear" w:color="auto" w:fill="auto"/>
            <w:noWrap/>
            <w:vAlign w:val="center"/>
            <w:hideMark/>
          </w:tcPr>
          <w:p w14:paraId="5469FDF6" w14:textId="77777777" w:rsidR="003E5BF5" w:rsidRPr="00865762" w:rsidRDefault="003E5BF5" w:rsidP="00DE1921">
            <w:pPr>
              <w:rPr>
                <w:rFonts w:ascii="Arial" w:hAnsi="Arial" w:cs="Arial"/>
                <w:b/>
                <w:sz w:val="24"/>
                <w:szCs w:val="24"/>
                <w:lang w:eastAsia="en-AU"/>
              </w:rPr>
            </w:pPr>
          </w:p>
        </w:tc>
        <w:tc>
          <w:tcPr>
            <w:tcW w:w="1262" w:type="dxa"/>
            <w:shd w:val="clear" w:color="auto" w:fill="auto"/>
            <w:noWrap/>
            <w:vAlign w:val="center"/>
            <w:hideMark/>
          </w:tcPr>
          <w:p w14:paraId="0140A767" w14:textId="77777777" w:rsidR="003E5BF5" w:rsidRPr="00865762" w:rsidRDefault="003E5BF5" w:rsidP="00DE1921">
            <w:pPr>
              <w:jc w:val="right"/>
              <w:rPr>
                <w:rFonts w:ascii="Arial" w:hAnsi="Arial" w:cs="Arial"/>
                <w:b/>
                <w:sz w:val="24"/>
                <w:szCs w:val="24"/>
                <w:lang w:eastAsia="en-AU"/>
              </w:rPr>
            </w:pPr>
          </w:p>
        </w:tc>
        <w:tc>
          <w:tcPr>
            <w:tcW w:w="1262" w:type="dxa"/>
            <w:shd w:val="clear" w:color="auto" w:fill="auto"/>
            <w:noWrap/>
            <w:vAlign w:val="center"/>
            <w:hideMark/>
          </w:tcPr>
          <w:p w14:paraId="2862D683" w14:textId="77777777" w:rsidR="003E5BF5" w:rsidRPr="00865762" w:rsidRDefault="003E5BF5" w:rsidP="00DE1921">
            <w:pPr>
              <w:jc w:val="right"/>
              <w:rPr>
                <w:rFonts w:ascii="Arial" w:hAnsi="Arial" w:cs="Arial"/>
                <w:b/>
                <w:sz w:val="24"/>
                <w:szCs w:val="24"/>
                <w:lang w:eastAsia="en-AU"/>
              </w:rPr>
            </w:pPr>
          </w:p>
        </w:tc>
        <w:tc>
          <w:tcPr>
            <w:tcW w:w="1262" w:type="dxa"/>
            <w:shd w:val="clear" w:color="auto" w:fill="auto"/>
            <w:noWrap/>
            <w:vAlign w:val="center"/>
            <w:hideMark/>
          </w:tcPr>
          <w:p w14:paraId="72CC2CFD" w14:textId="77777777" w:rsidR="003E5BF5" w:rsidRPr="00865762" w:rsidRDefault="003E5BF5" w:rsidP="00DE1921">
            <w:pPr>
              <w:jc w:val="right"/>
              <w:rPr>
                <w:rFonts w:ascii="Arial" w:hAnsi="Arial" w:cs="Arial"/>
                <w:b/>
                <w:sz w:val="24"/>
                <w:szCs w:val="24"/>
                <w:lang w:eastAsia="en-AU"/>
              </w:rPr>
            </w:pPr>
          </w:p>
        </w:tc>
        <w:tc>
          <w:tcPr>
            <w:tcW w:w="951" w:type="dxa"/>
            <w:shd w:val="clear" w:color="auto" w:fill="auto"/>
            <w:noWrap/>
            <w:vAlign w:val="center"/>
            <w:hideMark/>
          </w:tcPr>
          <w:p w14:paraId="1DE6E39B" w14:textId="77777777" w:rsidR="003E5BF5" w:rsidRPr="00865762" w:rsidRDefault="003E5BF5" w:rsidP="00DE1921">
            <w:pPr>
              <w:jc w:val="right"/>
              <w:rPr>
                <w:rFonts w:ascii="Arial" w:hAnsi="Arial" w:cs="Arial"/>
                <w:b/>
                <w:sz w:val="24"/>
                <w:szCs w:val="24"/>
                <w:lang w:eastAsia="en-AU"/>
              </w:rPr>
            </w:pPr>
          </w:p>
        </w:tc>
        <w:tc>
          <w:tcPr>
            <w:tcW w:w="1417" w:type="dxa"/>
            <w:shd w:val="clear" w:color="auto" w:fill="auto"/>
            <w:noWrap/>
            <w:vAlign w:val="center"/>
            <w:hideMark/>
          </w:tcPr>
          <w:p w14:paraId="3DB66C94" w14:textId="77777777" w:rsidR="003E5BF5" w:rsidRPr="00865762" w:rsidRDefault="003E5BF5" w:rsidP="00DE1921">
            <w:pPr>
              <w:jc w:val="right"/>
              <w:rPr>
                <w:rFonts w:ascii="Arial" w:hAnsi="Arial" w:cs="Arial"/>
                <w:b/>
                <w:sz w:val="24"/>
                <w:szCs w:val="24"/>
                <w:lang w:eastAsia="en-AU"/>
              </w:rPr>
            </w:pPr>
          </w:p>
        </w:tc>
        <w:tc>
          <w:tcPr>
            <w:tcW w:w="1418" w:type="dxa"/>
            <w:shd w:val="clear" w:color="auto" w:fill="auto"/>
            <w:noWrap/>
            <w:vAlign w:val="center"/>
            <w:hideMark/>
          </w:tcPr>
          <w:p w14:paraId="1A70373E" w14:textId="77777777" w:rsidR="003E5BF5" w:rsidRPr="00865762" w:rsidRDefault="003E5BF5" w:rsidP="00DE1921">
            <w:pPr>
              <w:jc w:val="right"/>
              <w:rPr>
                <w:rFonts w:ascii="Arial" w:hAnsi="Arial" w:cs="Arial"/>
                <w:b/>
                <w:sz w:val="24"/>
                <w:szCs w:val="24"/>
                <w:lang w:eastAsia="en-AU"/>
              </w:rPr>
            </w:pPr>
          </w:p>
        </w:tc>
      </w:tr>
      <w:tr w:rsidR="003E5BF5" w:rsidRPr="00865762" w14:paraId="2B201770" w14:textId="77777777" w:rsidTr="000F17DB">
        <w:trPr>
          <w:trHeight w:val="340"/>
        </w:trPr>
        <w:tc>
          <w:tcPr>
            <w:tcW w:w="2351" w:type="dxa"/>
            <w:shd w:val="clear" w:color="auto" w:fill="auto"/>
            <w:noWrap/>
            <w:vAlign w:val="center"/>
            <w:hideMark/>
          </w:tcPr>
          <w:p w14:paraId="5E25D09D" w14:textId="77777777" w:rsidR="003E5BF5" w:rsidRPr="00865762" w:rsidRDefault="003E5BF5" w:rsidP="00604703">
            <w:pPr>
              <w:pStyle w:val="TableTextGreen"/>
            </w:pPr>
            <w:r w:rsidRPr="00865762">
              <w:t>Other economic flows included in net result</w:t>
            </w:r>
          </w:p>
        </w:tc>
        <w:tc>
          <w:tcPr>
            <w:tcW w:w="1262" w:type="dxa"/>
            <w:shd w:val="clear" w:color="auto" w:fill="auto"/>
            <w:noWrap/>
            <w:vAlign w:val="center"/>
            <w:hideMark/>
          </w:tcPr>
          <w:p w14:paraId="6BC0F42B" w14:textId="77777777" w:rsidR="003E5BF5" w:rsidRPr="00865762" w:rsidRDefault="003E5BF5" w:rsidP="00DE1921">
            <w:pPr>
              <w:jc w:val="right"/>
              <w:rPr>
                <w:rFonts w:ascii="Arial" w:hAnsi="Arial" w:cs="Arial"/>
                <w:b/>
                <w:sz w:val="24"/>
                <w:szCs w:val="24"/>
                <w:lang w:eastAsia="en-AU"/>
              </w:rPr>
            </w:pPr>
          </w:p>
        </w:tc>
        <w:tc>
          <w:tcPr>
            <w:tcW w:w="1262" w:type="dxa"/>
            <w:shd w:val="clear" w:color="auto" w:fill="auto"/>
            <w:noWrap/>
            <w:vAlign w:val="center"/>
            <w:hideMark/>
          </w:tcPr>
          <w:p w14:paraId="64640D5B" w14:textId="77777777" w:rsidR="003E5BF5" w:rsidRPr="00865762" w:rsidRDefault="003E5BF5" w:rsidP="00DE1921">
            <w:pPr>
              <w:jc w:val="right"/>
              <w:rPr>
                <w:rFonts w:ascii="Arial" w:hAnsi="Arial" w:cs="Arial"/>
                <w:b/>
                <w:sz w:val="24"/>
                <w:szCs w:val="24"/>
                <w:lang w:eastAsia="en-AU"/>
              </w:rPr>
            </w:pPr>
          </w:p>
        </w:tc>
        <w:tc>
          <w:tcPr>
            <w:tcW w:w="1262" w:type="dxa"/>
            <w:shd w:val="clear" w:color="auto" w:fill="auto"/>
            <w:noWrap/>
            <w:vAlign w:val="center"/>
            <w:hideMark/>
          </w:tcPr>
          <w:p w14:paraId="6D614016" w14:textId="77777777" w:rsidR="003E5BF5" w:rsidRPr="00865762" w:rsidRDefault="003E5BF5" w:rsidP="00DE1921">
            <w:pPr>
              <w:jc w:val="right"/>
              <w:rPr>
                <w:rFonts w:ascii="Arial" w:hAnsi="Arial" w:cs="Arial"/>
                <w:b/>
                <w:sz w:val="24"/>
                <w:szCs w:val="24"/>
                <w:lang w:eastAsia="en-AU"/>
              </w:rPr>
            </w:pPr>
          </w:p>
        </w:tc>
        <w:tc>
          <w:tcPr>
            <w:tcW w:w="951" w:type="dxa"/>
            <w:shd w:val="clear" w:color="auto" w:fill="auto"/>
            <w:noWrap/>
            <w:vAlign w:val="center"/>
            <w:hideMark/>
          </w:tcPr>
          <w:p w14:paraId="46E478A3" w14:textId="77777777" w:rsidR="003E5BF5" w:rsidRPr="00865762" w:rsidRDefault="003E5BF5" w:rsidP="00DE1921">
            <w:pPr>
              <w:jc w:val="right"/>
              <w:rPr>
                <w:rFonts w:ascii="Arial" w:hAnsi="Arial" w:cs="Arial"/>
                <w:b/>
                <w:sz w:val="24"/>
                <w:szCs w:val="24"/>
                <w:lang w:eastAsia="en-AU"/>
              </w:rPr>
            </w:pPr>
          </w:p>
        </w:tc>
        <w:tc>
          <w:tcPr>
            <w:tcW w:w="1417" w:type="dxa"/>
            <w:shd w:val="clear" w:color="auto" w:fill="auto"/>
            <w:noWrap/>
            <w:vAlign w:val="center"/>
            <w:hideMark/>
          </w:tcPr>
          <w:p w14:paraId="45F4EDBD" w14:textId="77777777" w:rsidR="003E5BF5" w:rsidRPr="00865762" w:rsidRDefault="003E5BF5" w:rsidP="00DE1921">
            <w:pPr>
              <w:jc w:val="right"/>
              <w:rPr>
                <w:rFonts w:ascii="Arial" w:hAnsi="Arial" w:cs="Arial"/>
                <w:b/>
                <w:sz w:val="24"/>
                <w:szCs w:val="24"/>
                <w:lang w:eastAsia="en-AU"/>
              </w:rPr>
            </w:pPr>
          </w:p>
        </w:tc>
        <w:tc>
          <w:tcPr>
            <w:tcW w:w="1418" w:type="dxa"/>
            <w:shd w:val="clear" w:color="auto" w:fill="auto"/>
            <w:noWrap/>
            <w:vAlign w:val="center"/>
            <w:hideMark/>
          </w:tcPr>
          <w:p w14:paraId="60515469" w14:textId="77777777" w:rsidR="003E5BF5" w:rsidRPr="00865762" w:rsidRDefault="003E5BF5" w:rsidP="00DE1921">
            <w:pPr>
              <w:jc w:val="right"/>
              <w:rPr>
                <w:rFonts w:ascii="Arial" w:hAnsi="Arial" w:cs="Arial"/>
                <w:b/>
                <w:sz w:val="24"/>
                <w:szCs w:val="24"/>
                <w:lang w:eastAsia="en-AU"/>
              </w:rPr>
            </w:pPr>
          </w:p>
        </w:tc>
      </w:tr>
      <w:tr w:rsidR="003E5BF5" w:rsidRPr="00865762" w14:paraId="736D36EE" w14:textId="77777777" w:rsidTr="000F17DB">
        <w:trPr>
          <w:trHeight w:val="340"/>
        </w:trPr>
        <w:tc>
          <w:tcPr>
            <w:tcW w:w="2351" w:type="dxa"/>
            <w:shd w:val="clear" w:color="auto" w:fill="auto"/>
            <w:noWrap/>
            <w:vAlign w:val="center"/>
            <w:hideMark/>
          </w:tcPr>
          <w:p w14:paraId="092FEE9F"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Net loss on non-financial assets</w:t>
            </w:r>
          </w:p>
        </w:tc>
        <w:tc>
          <w:tcPr>
            <w:tcW w:w="1262" w:type="dxa"/>
            <w:shd w:val="clear" w:color="auto" w:fill="auto"/>
            <w:noWrap/>
            <w:vAlign w:val="center"/>
            <w:hideMark/>
          </w:tcPr>
          <w:p w14:paraId="0EE1EF74"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262" w:type="dxa"/>
            <w:shd w:val="clear" w:color="auto" w:fill="auto"/>
            <w:noWrap/>
            <w:vAlign w:val="center"/>
            <w:hideMark/>
          </w:tcPr>
          <w:p w14:paraId="0CABF6A2"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2 </w:t>
            </w:r>
          </w:p>
        </w:tc>
        <w:tc>
          <w:tcPr>
            <w:tcW w:w="1262" w:type="dxa"/>
            <w:shd w:val="clear" w:color="auto" w:fill="auto"/>
            <w:noWrap/>
            <w:vAlign w:val="center"/>
            <w:hideMark/>
          </w:tcPr>
          <w:p w14:paraId="3C214EE3"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951" w:type="dxa"/>
            <w:shd w:val="clear" w:color="auto" w:fill="auto"/>
            <w:noWrap/>
            <w:vAlign w:val="center"/>
            <w:hideMark/>
          </w:tcPr>
          <w:p w14:paraId="64DC307B"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417" w:type="dxa"/>
            <w:shd w:val="clear" w:color="auto" w:fill="auto"/>
            <w:noWrap/>
            <w:vAlign w:val="center"/>
            <w:hideMark/>
          </w:tcPr>
          <w:p w14:paraId="6E3CCC9A"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(594,157)</w:t>
            </w:r>
          </w:p>
        </w:tc>
        <w:tc>
          <w:tcPr>
            <w:tcW w:w="1418" w:type="dxa"/>
            <w:shd w:val="clear" w:color="auto" w:fill="auto"/>
            <w:noWrap/>
            <w:vAlign w:val="center"/>
            <w:hideMark/>
          </w:tcPr>
          <w:p w14:paraId="2D821BB2"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(3,444)</w:t>
            </w:r>
          </w:p>
        </w:tc>
      </w:tr>
      <w:tr w:rsidR="003E5BF5" w:rsidRPr="00865762" w14:paraId="40E6A559" w14:textId="77777777" w:rsidTr="000F17DB">
        <w:trPr>
          <w:trHeight w:val="340"/>
        </w:trPr>
        <w:tc>
          <w:tcPr>
            <w:tcW w:w="2351" w:type="dxa"/>
            <w:shd w:val="clear" w:color="auto" w:fill="auto"/>
            <w:noWrap/>
            <w:vAlign w:val="center"/>
            <w:hideMark/>
          </w:tcPr>
          <w:p w14:paraId="3FE13C4D"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Net loss on financial instruments</w:t>
            </w:r>
          </w:p>
        </w:tc>
        <w:tc>
          <w:tcPr>
            <w:tcW w:w="1262" w:type="dxa"/>
            <w:shd w:val="clear" w:color="auto" w:fill="auto"/>
            <w:noWrap/>
            <w:vAlign w:val="center"/>
            <w:hideMark/>
          </w:tcPr>
          <w:p w14:paraId="3ED328EB"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262" w:type="dxa"/>
            <w:shd w:val="clear" w:color="auto" w:fill="auto"/>
            <w:noWrap/>
            <w:vAlign w:val="center"/>
            <w:hideMark/>
          </w:tcPr>
          <w:p w14:paraId="45D59C22"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 - </w:t>
            </w:r>
          </w:p>
        </w:tc>
        <w:tc>
          <w:tcPr>
            <w:tcW w:w="1262" w:type="dxa"/>
            <w:shd w:val="clear" w:color="auto" w:fill="auto"/>
            <w:noWrap/>
            <w:vAlign w:val="center"/>
            <w:hideMark/>
          </w:tcPr>
          <w:p w14:paraId="2ED3993F"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951" w:type="dxa"/>
            <w:shd w:val="clear" w:color="auto" w:fill="auto"/>
            <w:noWrap/>
            <w:vAlign w:val="center"/>
            <w:hideMark/>
          </w:tcPr>
          <w:p w14:paraId="06AAD803"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417" w:type="dxa"/>
            <w:shd w:val="clear" w:color="auto" w:fill="auto"/>
            <w:noWrap/>
            <w:vAlign w:val="center"/>
            <w:hideMark/>
          </w:tcPr>
          <w:p w14:paraId="632DA190"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(3,622)</w:t>
            </w:r>
          </w:p>
        </w:tc>
        <w:tc>
          <w:tcPr>
            <w:tcW w:w="1418" w:type="dxa"/>
            <w:shd w:val="clear" w:color="auto" w:fill="auto"/>
            <w:noWrap/>
            <w:vAlign w:val="center"/>
            <w:hideMark/>
          </w:tcPr>
          <w:p w14:paraId="689BED2C"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r>
      <w:tr w:rsidR="003E5BF5" w:rsidRPr="00865762" w14:paraId="0D612277" w14:textId="77777777" w:rsidTr="000F17DB">
        <w:trPr>
          <w:trHeight w:val="340"/>
        </w:trPr>
        <w:tc>
          <w:tcPr>
            <w:tcW w:w="2351" w:type="dxa"/>
            <w:shd w:val="clear" w:color="auto" w:fill="auto"/>
            <w:noWrap/>
            <w:vAlign w:val="center"/>
            <w:hideMark/>
          </w:tcPr>
          <w:p w14:paraId="6B62248A"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Other gains/(losses) from other economic flows</w:t>
            </w:r>
          </w:p>
        </w:tc>
        <w:tc>
          <w:tcPr>
            <w:tcW w:w="1262" w:type="dxa"/>
            <w:shd w:val="clear" w:color="auto" w:fill="auto"/>
            <w:noWrap/>
            <w:hideMark/>
          </w:tcPr>
          <w:p w14:paraId="2F20C0D7"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262" w:type="dxa"/>
            <w:shd w:val="clear" w:color="auto" w:fill="auto"/>
            <w:noWrap/>
            <w:hideMark/>
          </w:tcPr>
          <w:p w14:paraId="1692B194"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(11)</w:t>
            </w:r>
          </w:p>
        </w:tc>
        <w:tc>
          <w:tcPr>
            <w:tcW w:w="1262" w:type="dxa"/>
            <w:shd w:val="clear" w:color="auto" w:fill="auto"/>
            <w:noWrap/>
            <w:hideMark/>
          </w:tcPr>
          <w:p w14:paraId="14B33A75"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951" w:type="dxa"/>
            <w:shd w:val="clear" w:color="auto" w:fill="auto"/>
            <w:noWrap/>
            <w:hideMark/>
          </w:tcPr>
          <w:p w14:paraId="3AD65D1E"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417" w:type="dxa"/>
            <w:shd w:val="clear" w:color="auto" w:fill="auto"/>
            <w:noWrap/>
            <w:hideMark/>
          </w:tcPr>
          <w:p w14:paraId="4CBF0DBB"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(43,319)</w:t>
            </w:r>
          </w:p>
        </w:tc>
        <w:tc>
          <w:tcPr>
            <w:tcW w:w="1418" w:type="dxa"/>
            <w:shd w:val="clear" w:color="auto" w:fill="auto"/>
            <w:noWrap/>
            <w:hideMark/>
          </w:tcPr>
          <w:p w14:paraId="587EA3DC"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(2,789)</w:t>
            </w:r>
          </w:p>
        </w:tc>
      </w:tr>
      <w:tr w:rsidR="003E5BF5" w:rsidRPr="00865762" w14:paraId="04B8B3B8" w14:textId="77777777" w:rsidTr="000F17DB">
        <w:trPr>
          <w:trHeight w:val="340"/>
        </w:trPr>
        <w:tc>
          <w:tcPr>
            <w:tcW w:w="2351" w:type="dxa"/>
            <w:shd w:val="clear" w:color="auto" w:fill="auto"/>
            <w:noWrap/>
            <w:vAlign w:val="center"/>
            <w:hideMark/>
          </w:tcPr>
          <w:p w14:paraId="6273E627" w14:textId="77777777" w:rsidR="003E5BF5" w:rsidRPr="00865762" w:rsidRDefault="003E5BF5" w:rsidP="00DE1921">
            <w:pPr>
              <w:rPr>
                <w:rFonts w:ascii="Arial" w:hAnsi="Arial" w:cs="Arial"/>
                <w:b/>
                <w:sz w:val="24"/>
                <w:szCs w:val="24"/>
                <w:lang w:eastAsia="en-AU"/>
              </w:rPr>
            </w:pPr>
            <w:r w:rsidRPr="00865762">
              <w:rPr>
                <w:rFonts w:ascii="Arial" w:hAnsi="Arial" w:cs="Arial"/>
                <w:b/>
                <w:sz w:val="24"/>
                <w:szCs w:val="24"/>
                <w:lang w:eastAsia="en-AU"/>
              </w:rPr>
              <w:lastRenderedPageBreak/>
              <w:t>Total other economic flows included in net result</w:t>
            </w:r>
          </w:p>
        </w:tc>
        <w:tc>
          <w:tcPr>
            <w:tcW w:w="1262" w:type="dxa"/>
            <w:shd w:val="clear" w:color="auto" w:fill="auto"/>
            <w:noWrap/>
            <w:hideMark/>
          </w:tcPr>
          <w:p w14:paraId="1351457B"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w:t>
            </w:r>
          </w:p>
        </w:tc>
        <w:tc>
          <w:tcPr>
            <w:tcW w:w="1262" w:type="dxa"/>
            <w:shd w:val="clear" w:color="auto" w:fill="auto"/>
            <w:noWrap/>
            <w:hideMark/>
          </w:tcPr>
          <w:p w14:paraId="2FE334F5"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(9)</w:t>
            </w:r>
          </w:p>
        </w:tc>
        <w:tc>
          <w:tcPr>
            <w:tcW w:w="1262" w:type="dxa"/>
            <w:shd w:val="clear" w:color="auto" w:fill="auto"/>
            <w:noWrap/>
            <w:hideMark/>
          </w:tcPr>
          <w:p w14:paraId="3A737A77"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w:t>
            </w:r>
          </w:p>
        </w:tc>
        <w:tc>
          <w:tcPr>
            <w:tcW w:w="951" w:type="dxa"/>
            <w:shd w:val="clear" w:color="auto" w:fill="auto"/>
            <w:noWrap/>
            <w:hideMark/>
          </w:tcPr>
          <w:p w14:paraId="7B2DEA70"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w:t>
            </w:r>
          </w:p>
        </w:tc>
        <w:tc>
          <w:tcPr>
            <w:tcW w:w="1417" w:type="dxa"/>
            <w:shd w:val="clear" w:color="auto" w:fill="auto"/>
            <w:noWrap/>
            <w:hideMark/>
          </w:tcPr>
          <w:p w14:paraId="2B87C845"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(641,098)</w:t>
            </w:r>
          </w:p>
        </w:tc>
        <w:tc>
          <w:tcPr>
            <w:tcW w:w="1418" w:type="dxa"/>
            <w:shd w:val="clear" w:color="auto" w:fill="auto"/>
            <w:noWrap/>
            <w:hideMark/>
          </w:tcPr>
          <w:p w14:paraId="131AC308"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(6,233)</w:t>
            </w:r>
          </w:p>
        </w:tc>
      </w:tr>
      <w:tr w:rsidR="003E5BF5" w:rsidRPr="00865762" w14:paraId="3446C323" w14:textId="77777777" w:rsidTr="000F17DB">
        <w:trPr>
          <w:trHeight w:val="340"/>
        </w:trPr>
        <w:tc>
          <w:tcPr>
            <w:tcW w:w="2351" w:type="dxa"/>
            <w:shd w:val="clear" w:color="auto" w:fill="auto"/>
            <w:noWrap/>
            <w:vAlign w:val="center"/>
            <w:hideMark/>
          </w:tcPr>
          <w:p w14:paraId="3CD35AF5" w14:textId="77777777" w:rsidR="003E5BF5" w:rsidRPr="00865762" w:rsidRDefault="003E5BF5" w:rsidP="00DE1921">
            <w:pPr>
              <w:rPr>
                <w:rFonts w:ascii="Arial" w:hAnsi="Arial" w:cs="Arial"/>
                <w:b/>
                <w:sz w:val="24"/>
                <w:szCs w:val="24"/>
                <w:lang w:eastAsia="en-AU"/>
              </w:rPr>
            </w:pPr>
            <w:r w:rsidRPr="00865762">
              <w:rPr>
                <w:rFonts w:ascii="Arial" w:hAnsi="Arial" w:cs="Arial"/>
                <w:b/>
                <w:sz w:val="24"/>
                <w:szCs w:val="24"/>
                <w:lang w:eastAsia="en-AU"/>
              </w:rPr>
              <w:t>Net result</w:t>
            </w:r>
          </w:p>
        </w:tc>
        <w:tc>
          <w:tcPr>
            <w:tcW w:w="1262" w:type="dxa"/>
            <w:shd w:val="clear" w:color="auto" w:fill="auto"/>
            <w:noWrap/>
            <w:vAlign w:val="center"/>
            <w:hideMark/>
          </w:tcPr>
          <w:p w14:paraId="13553CED"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(438)</w:t>
            </w:r>
          </w:p>
        </w:tc>
        <w:tc>
          <w:tcPr>
            <w:tcW w:w="1262" w:type="dxa"/>
            <w:shd w:val="clear" w:color="auto" w:fill="auto"/>
            <w:noWrap/>
            <w:vAlign w:val="center"/>
            <w:hideMark/>
          </w:tcPr>
          <w:p w14:paraId="480F145B"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(403)</w:t>
            </w:r>
          </w:p>
        </w:tc>
        <w:tc>
          <w:tcPr>
            <w:tcW w:w="1262" w:type="dxa"/>
            <w:shd w:val="clear" w:color="auto" w:fill="auto"/>
            <w:noWrap/>
            <w:vAlign w:val="center"/>
            <w:hideMark/>
          </w:tcPr>
          <w:p w14:paraId="058CD31C"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(3,577)</w:t>
            </w:r>
          </w:p>
        </w:tc>
        <w:tc>
          <w:tcPr>
            <w:tcW w:w="951" w:type="dxa"/>
            <w:shd w:val="clear" w:color="auto" w:fill="auto"/>
            <w:noWrap/>
            <w:vAlign w:val="center"/>
            <w:hideMark/>
          </w:tcPr>
          <w:p w14:paraId="068B89CE"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(652)</w:t>
            </w:r>
          </w:p>
        </w:tc>
        <w:tc>
          <w:tcPr>
            <w:tcW w:w="1417" w:type="dxa"/>
            <w:shd w:val="clear" w:color="auto" w:fill="auto"/>
            <w:noWrap/>
            <w:vAlign w:val="center"/>
            <w:hideMark/>
          </w:tcPr>
          <w:p w14:paraId="323252E4"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(1,013,952)</w:t>
            </w:r>
          </w:p>
        </w:tc>
        <w:tc>
          <w:tcPr>
            <w:tcW w:w="1418" w:type="dxa"/>
            <w:shd w:val="clear" w:color="auto" w:fill="auto"/>
            <w:noWrap/>
            <w:vAlign w:val="center"/>
            <w:hideMark/>
          </w:tcPr>
          <w:p w14:paraId="4FA2D15D"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(363,901)</w:t>
            </w:r>
          </w:p>
        </w:tc>
      </w:tr>
      <w:tr w:rsidR="003E5BF5" w:rsidRPr="00865762" w14:paraId="3AD4874A" w14:textId="77777777" w:rsidTr="000F17DB">
        <w:trPr>
          <w:trHeight w:val="340"/>
        </w:trPr>
        <w:tc>
          <w:tcPr>
            <w:tcW w:w="2351" w:type="dxa"/>
            <w:shd w:val="clear" w:color="auto" w:fill="auto"/>
            <w:noWrap/>
            <w:vAlign w:val="center"/>
            <w:hideMark/>
          </w:tcPr>
          <w:p w14:paraId="19B8F434" w14:textId="77777777" w:rsidR="003E5BF5" w:rsidRPr="00865762" w:rsidRDefault="003E5BF5" w:rsidP="00604703">
            <w:pPr>
              <w:pStyle w:val="TableTextGreen"/>
            </w:pPr>
            <w:r w:rsidRPr="00865762">
              <w:t>Items that will not be reclassified to net result</w:t>
            </w:r>
          </w:p>
        </w:tc>
        <w:tc>
          <w:tcPr>
            <w:tcW w:w="1262" w:type="dxa"/>
            <w:shd w:val="clear" w:color="auto" w:fill="auto"/>
            <w:noWrap/>
            <w:vAlign w:val="center"/>
            <w:hideMark/>
          </w:tcPr>
          <w:p w14:paraId="677D243D" w14:textId="77777777" w:rsidR="003E5BF5" w:rsidRPr="00865762" w:rsidRDefault="003E5BF5" w:rsidP="00DE1921">
            <w:pPr>
              <w:jc w:val="right"/>
              <w:rPr>
                <w:rFonts w:ascii="Arial" w:hAnsi="Arial" w:cs="Arial"/>
                <w:b/>
                <w:sz w:val="24"/>
                <w:szCs w:val="24"/>
                <w:lang w:eastAsia="en-AU"/>
              </w:rPr>
            </w:pPr>
          </w:p>
        </w:tc>
        <w:tc>
          <w:tcPr>
            <w:tcW w:w="1262" w:type="dxa"/>
            <w:shd w:val="clear" w:color="auto" w:fill="auto"/>
            <w:noWrap/>
            <w:vAlign w:val="center"/>
            <w:hideMark/>
          </w:tcPr>
          <w:p w14:paraId="46E41E96" w14:textId="77777777" w:rsidR="003E5BF5" w:rsidRPr="00865762" w:rsidRDefault="003E5BF5" w:rsidP="00DE1921">
            <w:pPr>
              <w:jc w:val="right"/>
              <w:rPr>
                <w:rFonts w:ascii="Arial" w:hAnsi="Arial" w:cs="Arial"/>
                <w:b/>
                <w:sz w:val="24"/>
                <w:szCs w:val="24"/>
                <w:lang w:eastAsia="en-AU"/>
              </w:rPr>
            </w:pPr>
          </w:p>
        </w:tc>
        <w:tc>
          <w:tcPr>
            <w:tcW w:w="1262" w:type="dxa"/>
            <w:shd w:val="clear" w:color="auto" w:fill="auto"/>
            <w:noWrap/>
            <w:vAlign w:val="center"/>
            <w:hideMark/>
          </w:tcPr>
          <w:p w14:paraId="387645F2" w14:textId="77777777" w:rsidR="003E5BF5" w:rsidRPr="00865762" w:rsidRDefault="003E5BF5" w:rsidP="00DE1921">
            <w:pPr>
              <w:jc w:val="right"/>
              <w:rPr>
                <w:rFonts w:ascii="Arial" w:hAnsi="Arial" w:cs="Arial"/>
                <w:b/>
                <w:sz w:val="24"/>
                <w:szCs w:val="24"/>
                <w:lang w:eastAsia="en-AU"/>
              </w:rPr>
            </w:pPr>
          </w:p>
        </w:tc>
        <w:tc>
          <w:tcPr>
            <w:tcW w:w="951" w:type="dxa"/>
            <w:shd w:val="clear" w:color="auto" w:fill="auto"/>
            <w:noWrap/>
            <w:vAlign w:val="center"/>
            <w:hideMark/>
          </w:tcPr>
          <w:p w14:paraId="2C662C82" w14:textId="77777777" w:rsidR="003E5BF5" w:rsidRPr="00865762" w:rsidRDefault="003E5BF5" w:rsidP="00DE1921">
            <w:pPr>
              <w:jc w:val="right"/>
              <w:rPr>
                <w:rFonts w:ascii="Arial" w:hAnsi="Arial" w:cs="Arial"/>
                <w:b/>
                <w:sz w:val="24"/>
                <w:szCs w:val="24"/>
                <w:lang w:eastAsia="en-AU"/>
              </w:rPr>
            </w:pPr>
          </w:p>
        </w:tc>
        <w:tc>
          <w:tcPr>
            <w:tcW w:w="1417" w:type="dxa"/>
            <w:shd w:val="clear" w:color="auto" w:fill="auto"/>
            <w:noWrap/>
            <w:vAlign w:val="center"/>
            <w:hideMark/>
          </w:tcPr>
          <w:p w14:paraId="66C637AA" w14:textId="77777777" w:rsidR="003E5BF5" w:rsidRPr="00865762" w:rsidRDefault="003E5BF5" w:rsidP="00DE1921">
            <w:pPr>
              <w:jc w:val="right"/>
              <w:rPr>
                <w:rFonts w:ascii="Arial" w:hAnsi="Arial" w:cs="Arial"/>
                <w:b/>
                <w:sz w:val="24"/>
                <w:szCs w:val="24"/>
                <w:lang w:eastAsia="en-AU"/>
              </w:rPr>
            </w:pPr>
          </w:p>
        </w:tc>
        <w:tc>
          <w:tcPr>
            <w:tcW w:w="1418" w:type="dxa"/>
            <w:shd w:val="clear" w:color="auto" w:fill="auto"/>
            <w:noWrap/>
            <w:vAlign w:val="center"/>
            <w:hideMark/>
          </w:tcPr>
          <w:p w14:paraId="5D5256B0" w14:textId="77777777" w:rsidR="003E5BF5" w:rsidRPr="00865762" w:rsidRDefault="003E5BF5" w:rsidP="00DE1921">
            <w:pPr>
              <w:jc w:val="right"/>
              <w:rPr>
                <w:rFonts w:ascii="Arial" w:hAnsi="Arial" w:cs="Arial"/>
                <w:b/>
                <w:sz w:val="24"/>
                <w:szCs w:val="24"/>
                <w:lang w:eastAsia="en-AU"/>
              </w:rPr>
            </w:pPr>
          </w:p>
        </w:tc>
      </w:tr>
      <w:tr w:rsidR="003E5BF5" w:rsidRPr="00865762" w14:paraId="2306D0BB" w14:textId="77777777" w:rsidTr="000F17DB">
        <w:trPr>
          <w:trHeight w:val="340"/>
        </w:trPr>
        <w:tc>
          <w:tcPr>
            <w:tcW w:w="2351" w:type="dxa"/>
            <w:shd w:val="clear" w:color="auto" w:fill="auto"/>
            <w:noWrap/>
            <w:vAlign w:val="center"/>
            <w:hideMark/>
          </w:tcPr>
          <w:p w14:paraId="0656E433" w14:textId="77777777" w:rsidR="003E5BF5" w:rsidRPr="00865762" w:rsidRDefault="003E5BF5" w:rsidP="00DE1921">
            <w:pPr>
              <w:rPr>
                <w:rFonts w:ascii="Arial" w:hAnsi="Arial" w:cs="Arial"/>
                <w:sz w:val="24"/>
                <w:szCs w:val="24"/>
                <w:lang w:eastAsia="en-AU"/>
              </w:rPr>
            </w:pPr>
            <w:r w:rsidRPr="00865762">
              <w:rPr>
                <w:rFonts w:ascii="Arial" w:hAnsi="Arial" w:cs="Arial"/>
                <w:sz w:val="24"/>
                <w:szCs w:val="24"/>
                <w:lang w:eastAsia="en-AU"/>
              </w:rPr>
              <w:t>Changes in physical asset revaluation surplus</w:t>
            </w:r>
          </w:p>
        </w:tc>
        <w:tc>
          <w:tcPr>
            <w:tcW w:w="1262" w:type="dxa"/>
            <w:shd w:val="clear" w:color="auto" w:fill="auto"/>
            <w:noWrap/>
            <w:hideMark/>
          </w:tcPr>
          <w:p w14:paraId="4E7D227D"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262" w:type="dxa"/>
            <w:shd w:val="clear" w:color="auto" w:fill="auto"/>
            <w:noWrap/>
            <w:hideMark/>
          </w:tcPr>
          <w:p w14:paraId="31A0E476"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262" w:type="dxa"/>
            <w:shd w:val="clear" w:color="auto" w:fill="auto"/>
            <w:noWrap/>
            <w:hideMark/>
          </w:tcPr>
          <w:p w14:paraId="04694E8C"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46,995 </w:t>
            </w:r>
          </w:p>
        </w:tc>
        <w:tc>
          <w:tcPr>
            <w:tcW w:w="951" w:type="dxa"/>
            <w:shd w:val="clear" w:color="auto" w:fill="auto"/>
            <w:noWrap/>
            <w:hideMark/>
          </w:tcPr>
          <w:p w14:paraId="56F715DE"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c>
          <w:tcPr>
            <w:tcW w:w="1417" w:type="dxa"/>
            <w:shd w:val="clear" w:color="auto" w:fill="auto"/>
            <w:noWrap/>
            <w:hideMark/>
          </w:tcPr>
          <w:p w14:paraId="600ECAA6" w14:textId="77777777" w:rsidR="003E5BF5" w:rsidRPr="00865762" w:rsidRDefault="003E5BF5" w:rsidP="00DE1921">
            <w:pPr>
              <w:jc w:val="right"/>
              <w:rPr>
                <w:rFonts w:ascii="Arial" w:hAnsi="Arial" w:cs="Arial"/>
                <w:sz w:val="24"/>
                <w:szCs w:val="24"/>
                <w:lang w:eastAsia="en-AU"/>
              </w:rPr>
            </w:pPr>
            <w:r w:rsidRPr="00865762">
              <w:rPr>
                <w:rFonts w:ascii="Arial" w:hAnsi="Arial" w:cs="Arial"/>
                <w:sz w:val="24"/>
                <w:szCs w:val="24"/>
              </w:rPr>
              <w:t xml:space="preserve">12,084,681 </w:t>
            </w:r>
          </w:p>
        </w:tc>
        <w:tc>
          <w:tcPr>
            <w:tcW w:w="1418" w:type="dxa"/>
            <w:shd w:val="clear" w:color="auto" w:fill="auto"/>
            <w:noWrap/>
            <w:hideMark/>
          </w:tcPr>
          <w:p w14:paraId="32813CD0" w14:textId="77777777" w:rsidR="003E5BF5" w:rsidRPr="00865762" w:rsidRDefault="003E5BF5" w:rsidP="00DE1921">
            <w:pPr>
              <w:jc w:val="right"/>
              <w:rPr>
                <w:rFonts w:ascii="Arial" w:hAnsi="Arial" w:cs="Arial"/>
                <w:sz w:val="24"/>
                <w:szCs w:val="24"/>
                <w:lang w:eastAsia="en-AU"/>
              </w:rPr>
            </w:pPr>
            <w:r w:rsidRPr="00865762">
              <w:rPr>
                <w:rFonts w:ascii="Arial" w:hAnsi="Arial" w:cs="Arial"/>
                <w:b/>
                <w:sz w:val="24"/>
                <w:szCs w:val="24"/>
              </w:rPr>
              <w:t>-</w:t>
            </w:r>
          </w:p>
        </w:tc>
      </w:tr>
      <w:tr w:rsidR="003E5BF5" w:rsidRPr="00865762" w14:paraId="208E4A06" w14:textId="77777777" w:rsidTr="000F17DB">
        <w:trPr>
          <w:trHeight w:val="340"/>
        </w:trPr>
        <w:tc>
          <w:tcPr>
            <w:tcW w:w="2351" w:type="dxa"/>
            <w:tcBorders>
              <w:bottom w:val="single" w:sz="4" w:space="0" w:color="auto"/>
            </w:tcBorders>
            <w:shd w:val="clear" w:color="auto" w:fill="auto"/>
            <w:vAlign w:val="center"/>
            <w:hideMark/>
          </w:tcPr>
          <w:p w14:paraId="57824F41" w14:textId="77777777" w:rsidR="003E5BF5" w:rsidRPr="00865762" w:rsidRDefault="003E5BF5" w:rsidP="00DE1921">
            <w:pPr>
              <w:rPr>
                <w:rFonts w:ascii="Arial" w:hAnsi="Arial" w:cs="Arial"/>
                <w:b/>
                <w:sz w:val="24"/>
                <w:szCs w:val="24"/>
                <w:lang w:eastAsia="en-AU"/>
              </w:rPr>
            </w:pPr>
            <w:r w:rsidRPr="00865762">
              <w:rPr>
                <w:rFonts w:ascii="Arial" w:hAnsi="Arial" w:cs="Arial"/>
                <w:b/>
                <w:sz w:val="24"/>
                <w:szCs w:val="24"/>
                <w:lang w:eastAsia="en-AU"/>
              </w:rPr>
              <w:t>Total other economic flows - other comprehensive income</w:t>
            </w:r>
          </w:p>
        </w:tc>
        <w:tc>
          <w:tcPr>
            <w:tcW w:w="1262" w:type="dxa"/>
            <w:tcBorders>
              <w:bottom w:val="single" w:sz="4" w:space="0" w:color="auto"/>
            </w:tcBorders>
            <w:shd w:val="clear" w:color="auto" w:fill="auto"/>
            <w:noWrap/>
            <w:hideMark/>
          </w:tcPr>
          <w:p w14:paraId="3D2748BB"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w:t>
            </w:r>
          </w:p>
        </w:tc>
        <w:tc>
          <w:tcPr>
            <w:tcW w:w="1262" w:type="dxa"/>
            <w:tcBorders>
              <w:bottom w:val="single" w:sz="4" w:space="0" w:color="auto"/>
            </w:tcBorders>
            <w:shd w:val="clear" w:color="auto" w:fill="auto"/>
            <w:noWrap/>
            <w:hideMark/>
          </w:tcPr>
          <w:p w14:paraId="271DF8CA"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w:t>
            </w:r>
          </w:p>
        </w:tc>
        <w:tc>
          <w:tcPr>
            <w:tcW w:w="1262" w:type="dxa"/>
            <w:tcBorders>
              <w:bottom w:val="single" w:sz="4" w:space="0" w:color="auto"/>
            </w:tcBorders>
            <w:shd w:val="clear" w:color="auto" w:fill="auto"/>
            <w:noWrap/>
            <w:hideMark/>
          </w:tcPr>
          <w:p w14:paraId="43DE2277"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 xml:space="preserve">46,995 </w:t>
            </w:r>
          </w:p>
        </w:tc>
        <w:tc>
          <w:tcPr>
            <w:tcW w:w="951" w:type="dxa"/>
            <w:tcBorders>
              <w:bottom w:val="single" w:sz="4" w:space="0" w:color="auto"/>
            </w:tcBorders>
            <w:shd w:val="clear" w:color="auto" w:fill="auto"/>
            <w:noWrap/>
            <w:hideMark/>
          </w:tcPr>
          <w:p w14:paraId="3BDD1B34"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w:t>
            </w:r>
          </w:p>
        </w:tc>
        <w:tc>
          <w:tcPr>
            <w:tcW w:w="1417" w:type="dxa"/>
            <w:tcBorders>
              <w:bottom w:val="single" w:sz="4" w:space="0" w:color="auto"/>
            </w:tcBorders>
            <w:shd w:val="clear" w:color="auto" w:fill="auto"/>
            <w:noWrap/>
            <w:hideMark/>
          </w:tcPr>
          <w:p w14:paraId="2C6969EA"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 xml:space="preserve">12,084,681 </w:t>
            </w:r>
          </w:p>
        </w:tc>
        <w:tc>
          <w:tcPr>
            <w:tcW w:w="1418" w:type="dxa"/>
            <w:tcBorders>
              <w:bottom w:val="single" w:sz="4" w:space="0" w:color="auto"/>
            </w:tcBorders>
            <w:shd w:val="clear" w:color="auto" w:fill="auto"/>
            <w:noWrap/>
            <w:hideMark/>
          </w:tcPr>
          <w:p w14:paraId="63110F8C"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w:t>
            </w:r>
          </w:p>
        </w:tc>
      </w:tr>
      <w:tr w:rsidR="003E5BF5" w:rsidRPr="00865762" w14:paraId="017FB7BC" w14:textId="77777777" w:rsidTr="000F17DB">
        <w:trPr>
          <w:trHeight w:val="340"/>
        </w:trPr>
        <w:tc>
          <w:tcPr>
            <w:tcW w:w="2351" w:type="dxa"/>
            <w:tcBorders>
              <w:bottom w:val="single" w:sz="4" w:space="0" w:color="auto"/>
            </w:tcBorders>
            <w:shd w:val="clear" w:color="auto" w:fill="auto"/>
            <w:noWrap/>
            <w:vAlign w:val="center"/>
            <w:hideMark/>
          </w:tcPr>
          <w:p w14:paraId="0DBA8BB2" w14:textId="77777777" w:rsidR="003E5BF5" w:rsidRPr="00865762" w:rsidRDefault="003E5BF5" w:rsidP="00DE1921">
            <w:pPr>
              <w:rPr>
                <w:rFonts w:ascii="Arial" w:hAnsi="Arial" w:cs="Arial"/>
                <w:b/>
                <w:sz w:val="24"/>
                <w:szCs w:val="24"/>
                <w:lang w:eastAsia="en-AU"/>
              </w:rPr>
            </w:pPr>
            <w:r w:rsidRPr="00865762">
              <w:rPr>
                <w:rFonts w:ascii="Arial" w:hAnsi="Arial" w:cs="Arial"/>
                <w:b/>
                <w:sz w:val="24"/>
                <w:szCs w:val="24"/>
                <w:lang w:eastAsia="en-AU"/>
              </w:rPr>
              <w:t>Comprehensive result</w:t>
            </w:r>
          </w:p>
        </w:tc>
        <w:tc>
          <w:tcPr>
            <w:tcW w:w="1262" w:type="dxa"/>
            <w:tcBorders>
              <w:bottom w:val="single" w:sz="4" w:space="0" w:color="auto"/>
            </w:tcBorders>
            <w:shd w:val="clear" w:color="auto" w:fill="auto"/>
            <w:noWrap/>
            <w:vAlign w:val="center"/>
            <w:hideMark/>
          </w:tcPr>
          <w:p w14:paraId="488DD207"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(438)</w:t>
            </w:r>
          </w:p>
        </w:tc>
        <w:tc>
          <w:tcPr>
            <w:tcW w:w="1262" w:type="dxa"/>
            <w:tcBorders>
              <w:bottom w:val="single" w:sz="4" w:space="0" w:color="auto"/>
            </w:tcBorders>
            <w:shd w:val="clear" w:color="auto" w:fill="auto"/>
            <w:noWrap/>
            <w:vAlign w:val="center"/>
            <w:hideMark/>
          </w:tcPr>
          <w:p w14:paraId="03BF3063"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(403)</w:t>
            </w:r>
          </w:p>
        </w:tc>
        <w:tc>
          <w:tcPr>
            <w:tcW w:w="1262" w:type="dxa"/>
            <w:tcBorders>
              <w:bottom w:val="single" w:sz="4" w:space="0" w:color="auto"/>
            </w:tcBorders>
            <w:shd w:val="clear" w:color="auto" w:fill="auto"/>
            <w:noWrap/>
            <w:vAlign w:val="center"/>
            <w:hideMark/>
          </w:tcPr>
          <w:p w14:paraId="58AFF146"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 xml:space="preserve">43,418 </w:t>
            </w:r>
          </w:p>
        </w:tc>
        <w:tc>
          <w:tcPr>
            <w:tcW w:w="951" w:type="dxa"/>
            <w:tcBorders>
              <w:bottom w:val="single" w:sz="4" w:space="0" w:color="auto"/>
            </w:tcBorders>
            <w:shd w:val="clear" w:color="auto" w:fill="auto"/>
            <w:noWrap/>
            <w:vAlign w:val="center"/>
            <w:hideMark/>
          </w:tcPr>
          <w:p w14:paraId="70C7E3D1"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(652)</w:t>
            </w:r>
          </w:p>
        </w:tc>
        <w:tc>
          <w:tcPr>
            <w:tcW w:w="1417" w:type="dxa"/>
            <w:tcBorders>
              <w:bottom w:val="single" w:sz="4" w:space="0" w:color="auto"/>
            </w:tcBorders>
            <w:shd w:val="clear" w:color="auto" w:fill="auto"/>
            <w:noWrap/>
            <w:vAlign w:val="center"/>
            <w:hideMark/>
          </w:tcPr>
          <w:p w14:paraId="3F7BBD84"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 xml:space="preserve">11,070,729 </w:t>
            </w:r>
          </w:p>
        </w:tc>
        <w:tc>
          <w:tcPr>
            <w:tcW w:w="1418" w:type="dxa"/>
            <w:tcBorders>
              <w:bottom w:val="single" w:sz="4" w:space="0" w:color="auto"/>
            </w:tcBorders>
            <w:shd w:val="clear" w:color="auto" w:fill="auto"/>
            <w:noWrap/>
            <w:vAlign w:val="center"/>
            <w:hideMark/>
          </w:tcPr>
          <w:p w14:paraId="09223CB6" w14:textId="77777777" w:rsidR="003E5BF5" w:rsidRPr="00865762" w:rsidRDefault="003E5BF5" w:rsidP="00DE1921">
            <w:pPr>
              <w:jc w:val="right"/>
              <w:rPr>
                <w:rFonts w:ascii="Arial" w:hAnsi="Arial" w:cs="Arial"/>
                <w:b/>
                <w:sz w:val="24"/>
                <w:szCs w:val="24"/>
                <w:lang w:eastAsia="en-AU"/>
              </w:rPr>
            </w:pPr>
            <w:r w:rsidRPr="00865762">
              <w:rPr>
                <w:rFonts w:ascii="Arial" w:hAnsi="Arial" w:cs="Arial"/>
                <w:b/>
                <w:sz w:val="24"/>
                <w:szCs w:val="24"/>
              </w:rPr>
              <w:t>(363,901)</w:t>
            </w:r>
          </w:p>
        </w:tc>
      </w:tr>
    </w:tbl>
    <w:p w14:paraId="5777E6A6" w14:textId="77777777" w:rsidR="00E70ED8" w:rsidRPr="00865762" w:rsidRDefault="00E70ED8" w:rsidP="00E70ED8">
      <w:pPr>
        <w:pStyle w:val="Note"/>
        <w:rPr>
          <w:rFonts w:ascii="Arial" w:hAnsi="Arial" w:cs="Arial"/>
          <w:sz w:val="24"/>
          <w:szCs w:val="24"/>
        </w:rPr>
      </w:pPr>
      <w:r w:rsidRPr="00865762">
        <w:rPr>
          <w:rFonts w:ascii="Arial" w:hAnsi="Arial" w:cs="Arial"/>
          <w:sz w:val="24"/>
          <w:szCs w:val="24"/>
        </w:rPr>
        <w:t>Note:</w:t>
      </w:r>
    </w:p>
    <w:p w14:paraId="2DD84E97" w14:textId="77777777" w:rsidR="00E70ED8" w:rsidRPr="00865762" w:rsidRDefault="00E70ED8" w:rsidP="00610F5F">
      <w:pPr>
        <w:pStyle w:val="aaaNotenumberiiiiii"/>
        <w:numPr>
          <w:ilvl w:val="0"/>
          <w:numId w:val="81"/>
        </w:numPr>
      </w:pPr>
      <w:r w:rsidRPr="00865762">
        <w:t>The 2019 comparatives figures have been restated to reflect the adoption of AASB 1059, refer to Note 9.6.5.1 for further details.</w:t>
      </w:r>
    </w:p>
    <w:p w14:paraId="38A260AD" w14:textId="77777777" w:rsidR="003E5BF5" w:rsidRDefault="003E5BF5" w:rsidP="00DE1921">
      <w:pPr>
        <w:rPr>
          <w:lang w:eastAsia="en-AU"/>
        </w:rPr>
      </w:pPr>
    </w:p>
    <w:p w14:paraId="4863A736" w14:textId="77777777" w:rsidR="003E5BF5" w:rsidRDefault="003E5BF5" w:rsidP="00DE1921">
      <w:pPr>
        <w:rPr>
          <w:sz w:val="16"/>
          <w:highlight w:val="cyan"/>
        </w:rPr>
      </w:pPr>
    </w:p>
    <w:p w14:paraId="32129EB5" w14:textId="77777777" w:rsidR="003E5BF5" w:rsidRPr="00245457" w:rsidRDefault="003E5BF5" w:rsidP="00DE1921">
      <w:pPr>
        <w:pStyle w:val="iNotenumberiiiiii0"/>
        <w:numPr>
          <w:ilvl w:val="0"/>
          <w:numId w:val="0"/>
        </w:numPr>
        <w:spacing w:line="259" w:lineRule="auto"/>
        <w:ind w:left="340" w:hanging="227"/>
        <w:rPr>
          <w:highlight w:val="green"/>
        </w:rPr>
      </w:pPr>
      <w:r w:rsidRPr="00245457">
        <w:rPr>
          <w:highlight w:val="green"/>
        </w:rPr>
        <w:br w:type="page"/>
      </w:r>
    </w:p>
    <w:p w14:paraId="0F5F424D" w14:textId="77777777" w:rsidR="003E5BF5" w:rsidRPr="00790347" w:rsidRDefault="003E5BF5" w:rsidP="008A0170">
      <w:pPr>
        <w:pStyle w:val="Heading3"/>
      </w:pPr>
      <w:r w:rsidRPr="00A24B20">
        <w:lastRenderedPageBreak/>
        <w:t>Out</w:t>
      </w:r>
      <w:r>
        <w:t>puts transferred out as part of Machinery-of-Government change</w:t>
      </w:r>
      <w:bookmarkStart w:id="211" w:name="RANGE!AC3:AI39"/>
      <w:bookmarkStart w:id="212" w:name="RANGE!AC3:AI35"/>
      <w:bookmarkEnd w:id="211"/>
      <w:bookmarkEnd w:id="212"/>
    </w:p>
    <w:tbl>
      <w:tblPr>
        <w:tblStyle w:val="TableGrid"/>
        <w:tblW w:w="9923" w:type="dxa"/>
        <w:tblLayout w:type="fixed"/>
        <w:tblCellMar>
          <w:left w:w="28" w:type="dxa"/>
          <w:right w:w="28" w:type="dxa"/>
        </w:tblCellMar>
        <w:tblLook w:val="04A0" w:firstRow="1" w:lastRow="0" w:firstColumn="1" w:lastColumn="0" w:noHBand="0" w:noVBand="1"/>
      </w:tblPr>
      <w:tblGrid>
        <w:gridCol w:w="4182"/>
        <w:gridCol w:w="956"/>
        <w:gridCol w:w="957"/>
        <w:gridCol w:w="957"/>
        <w:gridCol w:w="957"/>
        <w:gridCol w:w="957"/>
        <w:gridCol w:w="957"/>
      </w:tblGrid>
      <w:tr w:rsidR="003E5BF5" w:rsidRPr="0029213D" w14:paraId="06725A4B" w14:textId="77777777" w:rsidTr="000F17DB">
        <w:trPr>
          <w:trHeight w:val="340"/>
        </w:trPr>
        <w:tc>
          <w:tcPr>
            <w:tcW w:w="3823" w:type="dxa"/>
            <w:shd w:val="clear" w:color="auto" w:fill="auto"/>
            <w:hideMark/>
          </w:tcPr>
          <w:p w14:paraId="547F2E75" w14:textId="77777777" w:rsidR="003E5BF5" w:rsidRPr="0029213D" w:rsidRDefault="003E5BF5" w:rsidP="00DE1921">
            <w:pPr>
              <w:spacing w:line="259" w:lineRule="auto"/>
              <w:rPr>
                <w:rFonts w:ascii="Arial" w:hAnsi="Arial" w:cs="Arial"/>
                <w:sz w:val="24"/>
                <w:szCs w:val="24"/>
              </w:rPr>
            </w:pPr>
          </w:p>
        </w:tc>
        <w:tc>
          <w:tcPr>
            <w:tcW w:w="5249" w:type="dxa"/>
            <w:gridSpan w:val="6"/>
            <w:shd w:val="clear" w:color="auto" w:fill="auto"/>
            <w:hideMark/>
          </w:tcPr>
          <w:p w14:paraId="2E2617F8"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 thousand)</w:t>
            </w:r>
          </w:p>
        </w:tc>
      </w:tr>
      <w:tr w:rsidR="003E5BF5" w:rsidRPr="0029213D" w14:paraId="6DE9921B" w14:textId="77777777" w:rsidTr="000F17DB">
        <w:trPr>
          <w:trHeight w:val="340"/>
        </w:trPr>
        <w:tc>
          <w:tcPr>
            <w:tcW w:w="3823" w:type="dxa"/>
            <w:shd w:val="clear" w:color="auto" w:fill="auto"/>
            <w:noWrap/>
            <w:hideMark/>
          </w:tcPr>
          <w:p w14:paraId="6BFE9083" w14:textId="77777777" w:rsidR="003E5BF5" w:rsidRPr="0029213D" w:rsidRDefault="003E5BF5" w:rsidP="00DE1921">
            <w:pPr>
              <w:spacing w:line="259" w:lineRule="auto"/>
              <w:rPr>
                <w:rFonts w:ascii="Arial" w:hAnsi="Arial" w:cs="Arial"/>
                <w:sz w:val="24"/>
                <w:szCs w:val="24"/>
              </w:rPr>
            </w:pPr>
          </w:p>
        </w:tc>
        <w:tc>
          <w:tcPr>
            <w:tcW w:w="1749" w:type="dxa"/>
            <w:gridSpan w:val="2"/>
            <w:shd w:val="clear" w:color="auto" w:fill="auto"/>
            <w:vAlign w:val="bottom"/>
            <w:hideMark/>
          </w:tcPr>
          <w:p w14:paraId="1FFAE44F"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Rural Assistance Commissioner</w:t>
            </w:r>
          </w:p>
        </w:tc>
        <w:tc>
          <w:tcPr>
            <w:tcW w:w="1750" w:type="dxa"/>
            <w:gridSpan w:val="2"/>
            <w:shd w:val="clear" w:color="auto" w:fill="auto"/>
            <w:vAlign w:val="bottom"/>
            <w:hideMark/>
          </w:tcPr>
          <w:p w14:paraId="771561C5"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Agriculture</w:t>
            </w:r>
          </w:p>
        </w:tc>
        <w:tc>
          <w:tcPr>
            <w:tcW w:w="1750" w:type="dxa"/>
            <w:gridSpan w:val="2"/>
            <w:shd w:val="clear" w:color="auto" w:fill="auto"/>
            <w:vAlign w:val="bottom"/>
            <w:hideMark/>
          </w:tcPr>
          <w:p w14:paraId="0A54AFD1"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Resources</w:t>
            </w:r>
          </w:p>
        </w:tc>
      </w:tr>
      <w:tr w:rsidR="003E5BF5" w:rsidRPr="0029213D" w14:paraId="13079E7F" w14:textId="77777777" w:rsidTr="000F17DB">
        <w:trPr>
          <w:trHeight w:val="340"/>
        </w:trPr>
        <w:tc>
          <w:tcPr>
            <w:tcW w:w="3823" w:type="dxa"/>
            <w:shd w:val="clear" w:color="auto" w:fill="auto"/>
            <w:noWrap/>
            <w:hideMark/>
          </w:tcPr>
          <w:p w14:paraId="349703F4" w14:textId="77777777" w:rsidR="003E5BF5" w:rsidRPr="0029213D" w:rsidRDefault="003E5BF5" w:rsidP="00DE1921">
            <w:pPr>
              <w:spacing w:line="259" w:lineRule="auto"/>
              <w:rPr>
                <w:rFonts w:ascii="Arial" w:hAnsi="Arial" w:cs="Arial"/>
                <w:b/>
                <w:sz w:val="24"/>
                <w:szCs w:val="24"/>
              </w:rPr>
            </w:pPr>
          </w:p>
        </w:tc>
        <w:tc>
          <w:tcPr>
            <w:tcW w:w="874" w:type="dxa"/>
            <w:shd w:val="clear" w:color="auto" w:fill="auto"/>
            <w:vAlign w:val="center"/>
            <w:hideMark/>
          </w:tcPr>
          <w:p w14:paraId="207F8215"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2020</w:t>
            </w:r>
          </w:p>
        </w:tc>
        <w:tc>
          <w:tcPr>
            <w:tcW w:w="875" w:type="dxa"/>
            <w:shd w:val="clear" w:color="auto" w:fill="auto"/>
            <w:vAlign w:val="center"/>
            <w:hideMark/>
          </w:tcPr>
          <w:p w14:paraId="56AE1C5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2019</w:t>
            </w:r>
          </w:p>
        </w:tc>
        <w:tc>
          <w:tcPr>
            <w:tcW w:w="875" w:type="dxa"/>
            <w:shd w:val="clear" w:color="auto" w:fill="auto"/>
            <w:vAlign w:val="center"/>
            <w:hideMark/>
          </w:tcPr>
          <w:p w14:paraId="7081549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2020</w:t>
            </w:r>
          </w:p>
        </w:tc>
        <w:tc>
          <w:tcPr>
            <w:tcW w:w="875" w:type="dxa"/>
            <w:shd w:val="clear" w:color="auto" w:fill="auto"/>
            <w:vAlign w:val="center"/>
            <w:hideMark/>
          </w:tcPr>
          <w:p w14:paraId="2C965CA0"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2019</w:t>
            </w:r>
          </w:p>
        </w:tc>
        <w:tc>
          <w:tcPr>
            <w:tcW w:w="875" w:type="dxa"/>
            <w:shd w:val="clear" w:color="auto" w:fill="auto"/>
            <w:vAlign w:val="center"/>
            <w:hideMark/>
          </w:tcPr>
          <w:p w14:paraId="1F6C3C1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2020</w:t>
            </w:r>
          </w:p>
        </w:tc>
        <w:tc>
          <w:tcPr>
            <w:tcW w:w="875" w:type="dxa"/>
            <w:shd w:val="clear" w:color="auto" w:fill="auto"/>
            <w:vAlign w:val="center"/>
            <w:hideMark/>
          </w:tcPr>
          <w:p w14:paraId="16493F21"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2019</w:t>
            </w:r>
          </w:p>
        </w:tc>
      </w:tr>
      <w:tr w:rsidR="003E5BF5" w:rsidRPr="0029213D" w14:paraId="19473808" w14:textId="77777777" w:rsidTr="000F17DB">
        <w:trPr>
          <w:trHeight w:val="340"/>
        </w:trPr>
        <w:tc>
          <w:tcPr>
            <w:tcW w:w="3823" w:type="dxa"/>
            <w:shd w:val="clear" w:color="auto" w:fill="auto"/>
            <w:noWrap/>
            <w:vAlign w:val="center"/>
            <w:hideMark/>
          </w:tcPr>
          <w:p w14:paraId="265828E2" w14:textId="77777777" w:rsidR="003E5BF5" w:rsidRPr="0029213D" w:rsidRDefault="003E5BF5" w:rsidP="00604703">
            <w:pPr>
              <w:pStyle w:val="TableTextGreen"/>
            </w:pPr>
            <w:r w:rsidRPr="0029213D">
              <w:t>Income from transactions</w:t>
            </w:r>
          </w:p>
        </w:tc>
        <w:tc>
          <w:tcPr>
            <w:tcW w:w="874" w:type="dxa"/>
            <w:shd w:val="clear" w:color="auto" w:fill="auto"/>
            <w:noWrap/>
            <w:vAlign w:val="center"/>
            <w:hideMark/>
          </w:tcPr>
          <w:p w14:paraId="1F25292A"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w:t>
            </w:r>
          </w:p>
        </w:tc>
        <w:tc>
          <w:tcPr>
            <w:tcW w:w="875" w:type="dxa"/>
            <w:shd w:val="clear" w:color="auto" w:fill="auto"/>
            <w:noWrap/>
            <w:vAlign w:val="center"/>
            <w:hideMark/>
          </w:tcPr>
          <w:p w14:paraId="6FA8F989"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w:t>
            </w:r>
          </w:p>
        </w:tc>
        <w:tc>
          <w:tcPr>
            <w:tcW w:w="875" w:type="dxa"/>
            <w:shd w:val="clear" w:color="auto" w:fill="auto"/>
            <w:noWrap/>
            <w:vAlign w:val="center"/>
            <w:hideMark/>
          </w:tcPr>
          <w:p w14:paraId="4079EF56"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w:t>
            </w:r>
          </w:p>
        </w:tc>
        <w:tc>
          <w:tcPr>
            <w:tcW w:w="875" w:type="dxa"/>
            <w:shd w:val="clear" w:color="auto" w:fill="auto"/>
            <w:noWrap/>
            <w:vAlign w:val="center"/>
            <w:hideMark/>
          </w:tcPr>
          <w:p w14:paraId="20DF85BE"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w:t>
            </w:r>
          </w:p>
        </w:tc>
        <w:tc>
          <w:tcPr>
            <w:tcW w:w="875" w:type="dxa"/>
            <w:shd w:val="clear" w:color="auto" w:fill="auto"/>
            <w:noWrap/>
            <w:vAlign w:val="center"/>
            <w:hideMark/>
          </w:tcPr>
          <w:p w14:paraId="3A1A9926"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w:t>
            </w:r>
          </w:p>
        </w:tc>
        <w:tc>
          <w:tcPr>
            <w:tcW w:w="875" w:type="dxa"/>
            <w:shd w:val="clear" w:color="auto" w:fill="auto"/>
            <w:noWrap/>
            <w:vAlign w:val="center"/>
            <w:hideMark/>
          </w:tcPr>
          <w:p w14:paraId="29721974"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w:t>
            </w:r>
          </w:p>
        </w:tc>
      </w:tr>
      <w:tr w:rsidR="003E5BF5" w:rsidRPr="0029213D" w14:paraId="49EAF97E" w14:textId="77777777" w:rsidTr="000F17DB">
        <w:trPr>
          <w:trHeight w:val="340"/>
        </w:trPr>
        <w:tc>
          <w:tcPr>
            <w:tcW w:w="3823" w:type="dxa"/>
            <w:shd w:val="clear" w:color="auto" w:fill="auto"/>
            <w:noWrap/>
            <w:vAlign w:val="center"/>
            <w:hideMark/>
          </w:tcPr>
          <w:p w14:paraId="5C3D49EB"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Output appropriations</w:t>
            </w:r>
          </w:p>
        </w:tc>
        <w:tc>
          <w:tcPr>
            <w:tcW w:w="874" w:type="dxa"/>
            <w:shd w:val="clear" w:color="auto" w:fill="auto"/>
            <w:noWrap/>
            <w:vAlign w:val="center"/>
            <w:hideMark/>
          </w:tcPr>
          <w:p w14:paraId="3649B35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447294F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7ACA42B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3C6F398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133,406 </w:t>
            </w:r>
          </w:p>
        </w:tc>
        <w:tc>
          <w:tcPr>
            <w:tcW w:w="875" w:type="dxa"/>
            <w:shd w:val="clear" w:color="auto" w:fill="auto"/>
            <w:noWrap/>
            <w:vAlign w:val="center"/>
            <w:hideMark/>
          </w:tcPr>
          <w:p w14:paraId="11FEED6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7BE6377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22,355 </w:t>
            </w:r>
          </w:p>
        </w:tc>
      </w:tr>
      <w:tr w:rsidR="003E5BF5" w:rsidRPr="0029213D" w14:paraId="6AB8EFBC" w14:textId="77777777" w:rsidTr="000F17DB">
        <w:trPr>
          <w:trHeight w:val="340"/>
        </w:trPr>
        <w:tc>
          <w:tcPr>
            <w:tcW w:w="3823" w:type="dxa"/>
            <w:shd w:val="clear" w:color="auto" w:fill="auto"/>
            <w:noWrap/>
            <w:vAlign w:val="center"/>
            <w:hideMark/>
          </w:tcPr>
          <w:p w14:paraId="56723D33"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Special appropriations</w:t>
            </w:r>
          </w:p>
        </w:tc>
        <w:tc>
          <w:tcPr>
            <w:tcW w:w="874" w:type="dxa"/>
            <w:shd w:val="clear" w:color="auto" w:fill="auto"/>
            <w:noWrap/>
            <w:vAlign w:val="center"/>
            <w:hideMark/>
          </w:tcPr>
          <w:p w14:paraId="77A2B2F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37B91EC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53DE78C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18CD5FB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19DE948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0AF4C1B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97 </w:t>
            </w:r>
          </w:p>
        </w:tc>
      </w:tr>
      <w:tr w:rsidR="003E5BF5" w:rsidRPr="0029213D" w14:paraId="6D5A9C20" w14:textId="77777777" w:rsidTr="000F17DB">
        <w:trPr>
          <w:trHeight w:val="340"/>
        </w:trPr>
        <w:tc>
          <w:tcPr>
            <w:tcW w:w="3823" w:type="dxa"/>
            <w:shd w:val="clear" w:color="auto" w:fill="auto"/>
            <w:noWrap/>
            <w:hideMark/>
          </w:tcPr>
          <w:p w14:paraId="53D1E01A"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Regional Jobs and Infrastructure Fund appropriations</w:t>
            </w:r>
          </w:p>
        </w:tc>
        <w:tc>
          <w:tcPr>
            <w:tcW w:w="874" w:type="dxa"/>
            <w:shd w:val="clear" w:color="auto" w:fill="auto"/>
            <w:noWrap/>
            <w:hideMark/>
          </w:tcPr>
          <w:p w14:paraId="358F395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hideMark/>
          </w:tcPr>
          <w:p w14:paraId="5298582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hideMark/>
          </w:tcPr>
          <w:p w14:paraId="397BF42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hideMark/>
          </w:tcPr>
          <w:p w14:paraId="6351E69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hideMark/>
          </w:tcPr>
          <w:p w14:paraId="5807FCB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hideMark/>
          </w:tcPr>
          <w:p w14:paraId="45767B0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r>
      <w:tr w:rsidR="003E5BF5" w:rsidRPr="0029213D" w14:paraId="7FCB10CE" w14:textId="77777777" w:rsidTr="000F17DB">
        <w:trPr>
          <w:trHeight w:val="340"/>
        </w:trPr>
        <w:tc>
          <w:tcPr>
            <w:tcW w:w="3823" w:type="dxa"/>
            <w:shd w:val="clear" w:color="auto" w:fill="auto"/>
            <w:noWrap/>
            <w:vAlign w:val="center"/>
            <w:hideMark/>
          </w:tcPr>
          <w:p w14:paraId="482456A2"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Grant income</w:t>
            </w:r>
          </w:p>
        </w:tc>
        <w:tc>
          <w:tcPr>
            <w:tcW w:w="874" w:type="dxa"/>
            <w:shd w:val="clear" w:color="auto" w:fill="auto"/>
            <w:noWrap/>
            <w:vAlign w:val="center"/>
            <w:hideMark/>
          </w:tcPr>
          <w:p w14:paraId="351C6AF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1E40E8C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3B2E68E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7E7BBE4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6C40CCB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0CFA779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r>
      <w:tr w:rsidR="003E5BF5" w:rsidRPr="0029213D" w14:paraId="4170940B" w14:textId="77777777" w:rsidTr="000F17DB">
        <w:trPr>
          <w:trHeight w:val="340"/>
        </w:trPr>
        <w:tc>
          <w:tcPr>
            <w:tcW w:w="3823" w:type="dxa"/>
            <w:shd w:val="clear" w:color="auto" w:fill="auto"/>
            <w:noWrap/>
            <w:vAlign w:val="center"/>
            <w:hideMark/>
          </w:tcPr>
          <w:p w14:paraId="2C50A214"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Sale of goods and services</w:t>
            </w:r>
          </w:p>
        </w:tc>
        <w:tc>
          <w:tcPr>
            <w:tcW w:w="874" w:type="dxa"/>
            <w:shd w:val="clear" w:color="auto" w:fill="auto"/>
            <w:noWrap/>
            <w:vAlign w:val="center"/>
            <w:hideMark/>
          </w:tcPr>
          <w:p w14:paraId="2C669AD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774E8E61"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1BB9178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26C75182"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7,258 </w:t>
            </w:r>
          </w:p>
        </w:tc>
        <w:tc>
          <w:tcPr>
            <w:tcW w:w="875" w:type="dxa"/>
            <w:shd w:val="clear" w:color="auto" w:fill="auto"/>
            <w:noWrap/>
            <w:vAlign w:val="center"/>
            <w:hideMark/>
          </w:tcPr>
          <w:p w14:paraId="478EB10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482B553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r>
      <w:tr w:rsidR="003E5BF5" w:rsidRPr="0029213D" w14:paraId="60EA01BA" w14:textId="77777777" w:rsidTr="000F17DB">
        <w:trPr>
          <w:trHeight w:val="340"/>
        </w:trPr>
        <w:tc>
          <w:tcPr>
            <w:tcW w:w="3823" w:type="dxa"/>
            <w:shd w:val="clear" w:color="auto" w:fill="auto"/>
            <w:noWrap/>
            <w:vAlign w:val="center"/>
            <w:hideMark/>
          </w:tcPr>
          <w:p w14:paraId="16EC2FE8"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Other income</w:t>
            </w:r>
          </w:p>
        </w:tc>
        <w:tc>
          <w:tcPr>
            <w:tcW w:w="874" w:type="dxa"/>
            <w:shd w:val="clear" w:color="auto" w:fill="auto"/>
            <w:noWrap/>
            <w:vAlign w:val="center"/>
            <w:hideMark/>
          </w:tcPr>
          <w:p w14:paraId="7DF69CD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78EAC6F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30 </w:t>
            </w:r>
          </w:p>
        </w:tc>
        <w:tc>
          <w:tcPr>
            <w:tcW w:w="875" w:type="dxa"/>
            <w:shd w:val="clear" w:color="auto" w:fill="auto"/>
            <w:noWrap/>
            <w:vAlign w:val="center"/>
            <w:hideMark/>
          </w:tcPr>
          <w:p w14:paraId="61E068E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7925E23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2,702 </w:t>
            </w:r>
          </w:p>
        </w:tc>
        <w:tc>
          <w:tcPr>
            <w:tcW w:w="875" w:type="dxa"/>
            <w:shd w:val="clear" w:color="auto" w:fill="auto"/>
            <w:noWrap/>
            <w:vAlign w:val="center"/>
            <w:hideMark/>
          </w:tcPr>
          <w:p w14:paraId="3D63AEC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3434994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491 </w:t>
            </w:r>
          </w:p>
        </w:tc>
      </w:tr>
      <w:tr w:rsidR="003E5BF5" w:rsidRPr="0029213D" w14:paraId="3CE7DB04" w14:textId="77777777" w:rsidTr="000F17DB">
        <w:trPr>
          <w:trHeight w:val="340"/>
        </w:trPr>
        <w:tc>
          <w:tcPr>
            <w:tcW w:w="3823" w:type="dxa"/>
            <w:shd w:val="clear" w:color="auto" w:fill="auto"/>
            <w:noWrap/>
            <w:vAlign w:val="center"/>
            <w:hideMark/>
          </w:tcPr>
          <w:p w14:paraId="0C5125D9"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income from transactions</w:t>
            </w:r>
          </w:p>
        </w:tc>
        <w:tc>
          <w:tcPr>
            <w:tcW w:w="874" w:type="dxa"/>
            <w:shd w:val="clear" w:color="auto" w:fill="auto"/>
            <w:noWrap/>
            <w:vAlign w:val="center"/>
            <w:hideMark/>
          </w:tcPr>
          <w:p w14:paraId="2025B12D"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vAlign w:val="center"/>
            <w:hideMark/>
          </w:tcPr>
          <w:p w14:paraId="610ADFCA"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30 </w:t>
            </w:r>
          </w:p>
        </w:tc>
        <w:tc>
          <w:tcPr>
            <w:tcW w:w="875" w:type="dxa"/>
            <w:shd w:val="clear" w:color="auto" w:fill="auto"/>
            <w:noWrap/>
            <w:vAlign w:val="center"/>
            <w:hideMark/>
          </w:tcPr>
          <w:p w14:paraId="79383D6B"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vAlign w:val="center"/>
            <w:hideMark/>
          </w:tcPr>
          <w:p w14:paraId="7D99276E"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143,366 </w:t>
            </w:r>
          </w:p>
        </w:tc>
        <w:tc>
          <w:tcPr>
            <w:tcW w:w="875" w:type="dxa"/>
            <w:shd w:val="clear" w:color="auto" w:fill="auto"/>
            <w:noWrap/>
            <w:vAlign w:val="center"/>
            <w:hideMark/>
          </w:tcPr>
          <w:p w14:paraId="778AA703"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vAlign w:val="center"/>
            <w:hideMark/>
          </w:tcPr>
          <w:p w14:paraId="1D360844"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22,943 </w:t>
            </w:r>
          </w:p>
        </w:tc>
      </w:tr>
      <w:tr w:rsidR="003E5BF5" w:rsidRPr="0029213D" w14:paraId="35F39932" w14:textId="77777777" w:rsidTr="000F17DB">
        <w:trPr>
          <w:trHeight w:val="340"/>
        </w:trPr>
        <w:tc>
          <w:tcPr>
            <w:tcW w:w="3823" w:type="dxa"/>
            <w:shd w:val="clear" w:color="auto" w:fill="auto"/>
            <w:noWrap/>
            <w:vAlign w:val="center"/>
            <w:hideMark/>
          </w:tcPr>
          <w:p w14:paraId="25C9F8C7" w14:textId="77777777" w:rsidR="003E5BF5" w:rsidRPr="0029213D" w:rsidRDefault="003E5BF5" w:rsidP="00604703">
            <w:pPr>
              <w:pStyle w:val="TableTextGreen"/>
            </w:pPr>
            <w:r w:rsidRPr="0029213D">
              <w:t>Expenses from transactions</w:t>
            </w:r>
          </w:p>
        </w:tc>
        <w:tc>
          <w:tcPr>
            <w:tcW w:w="874" w:type="dxa"/>
            <w:shd w:val="clear" w:color="auto" w:fill="auto"/>
            <w:noWrap/>
            <w:vAlign w:val="center"/>
            <w:hideMark/>
          </w:tcPr>
          <w:p w14:paraId="5059B957" w14:textId="77777777" w:rsidR="003E5BF5" w:rsidRPr="0029213D" w:rsidRDefault="003E5BF5" w:rsidP="00DE1921">
            <w:pPr>
              <w:spacing w:line="259" w:lineRule="auto"/>
              <w:jc w:val="right"/>
              <w:rPr>
                <w:rFonts w:ascii="Arial" w:hAnsi="Arial" w:cs="Arial"/>
                <w:sz w:val="24"/>
                <w:szCs w:val="24"/>
              </w:rPr>
            </w:pPr>
          </w:p>
        </w:tc>
        <w:tc>
          <w:tcPr>
            <w:tcW w:w="875" w:type="dxa"/>
            <w:shd w:val="clear" w:color="auto" w:fill="auto"/>
            <w:noWrap/>
            <w:vAlign w:val="center"/>
            <w:hideMark/>
          </w:tcPr>
          <w:p w14:paraId="1D2830A6" w14:textId="77777777" w:rsidR="003E5BF5" w:rsidRPr="0029213D" w:rsidRDefault="003E5BF5" w:rsidP="00DE1921">
            <w:pPr>
              <w:spacing w:line="259" w:lineRule="auto"/>
              <w:jc w:val="right"/>
              <w:rPr>
                <w:rFonts w:ascii="Arial" w:hAnsi="Arial" w:cs="Arial"/>
                <w:sz w:val="24"/>
                <w:szCs w:val="24"/>
              </w:rPr>
            </w:pPr>
          </w:p>
        </w:tc>
        <w:tc>
          <w:tcPr>
            <w:tcW w:w="875" w:type="dxa"/>
            <w:shd w:val="clear" w:color="auto" w:fill="auto"/>
            <w:noWrap/>
            <w:vAlign w:val="center"/>
            <w:hideMark/>
          </w:tcPr>
          <w:p w14:paraId="29DF1551" w14:textId="77777777" w:rsidR="003E5BF5" w:rsidRPr="0029213D" w:rsidRDefault="003E5BF5" w:rsidP="00DE1921">
            <w:pPr>
              <w:spacing w:line="259" w:lineRule="auto"/>
              <w:jc w:val="right"/>
              <w:rPr>
                <w:rFonts w:ascii="Arial" w:hAnsi="Arial" w:cs="Arial"/>
                <w:sz w:val="24"/>
                <w:szCs w:val="24"/>
              </w:rPr>
            </w:pPr>
          </w:p>
        </w:tc>
        <w:tc>
          <w:tcPr>
            <w:tcW w:w="875" w:type="dxa"/>
            <w:shd w:val="clear" w:color="auto" w:fill="auto"/>
            <w:noWrap/>
            <w:vAlign w:val="center"/>
            <w:hideMark/>
          </w:tcPr>
          <w:p w14:paraId="6E418310" w14:textId="77777777" w:rsidR="003E5BF5" w:rsidRPr="0029213D" w:rsidRDefault="003E5BF5" w:rsidP="00DE1921">
            <w:pPr>
              <w:spacing w:line="259" w:lineRule="auto"/>
              <w:jc w:val="right"/>
              <w:rPr>
                <w:rFonts w:ascii="Arial" w:hAnsi="Arial" w:cs="Arial"/>
                <w:sz w:val="24"/>
                <w:szCs w:val="24"/>
              </w:rPr>
            </w:pPr>
          </w:p>
        </w:tc>
        <w:tc>
          <w:tcPr>
            <w:tcW w:w="875" w:type="dxa"/>
            <w:shd w:val="clear" w:color="auto" w:fill="auto"/>
            <w:noWrap/>
            <w:vAlign w:val="center"/>
            <w:hideMark/>
          </w:tcPr>
          <w:p w14:paraId="624DF752" w14:textId="77777777" w:rsidR="003E5BF5" w:rsidRPr="0029213D" w:rsidRDefault="003E5BF5" w:rsidP="00DE1921">
            <w:pPr>
              <w:spacing w:line="259" w:lineRule="auto"/>
              <w:jc w:val="right"/>
              <w:rPr>
                <w:rFonts w:ascii="Arial" w:hAnsi="Arial" w:cs="Arial"/>
                <w:sz w:val="24"/>
                <w:szCs w:val="24"/>
              </w:rPr>
            </w:pPr>
          </w:p>
        </w:tc>
        <w:tc>
          <w:tcPr>
            <w:tcW w:w="875" w:type="dxa"/>
            <w:shd w:val="clear" w:color="auto" w:fill="auto"/>
            <w:noWrap/>
            <w:vAlign w:val="center"/>
            <w:hideMark/>
          </w:tcPr>
          <w:p w14:paraId="6415DE07" w14:textId="77777777" w:rsidR="003E5BF5" w:rsidRPr="0029213D" w:rsidRDefault="003E5BF5" w:rsidP="00DE1921">
            <w:pPr>
              <w:spacing w:line="259" w:lineRule="auto"/>
              <w:jc w:val="right"/>
              <w:rPr>
                <w:rFonts w:ascii="Arial" w:hAnsi="Arial" w:cs="Arial"/>
                <w:sz w:val="24"/>
                <w:szCs w:val="24"/>
              </w:rPr>
            </w:pPr>
          </w:p>
        </w:tc>
      </w:tr>
      <w:tr w:rsidR="003E5BF5" w:rsidRPr="0029213D" w14:paraId="4CC83D7C" w14:textId="77777777" w:rsidTr="000F17DB">
        <w:trPr>
          <w:trHeight w:val="340"/>
        </w:trPr>
        <w:tc>
          <w:tcPr>
            <w:tcW w:w="3823" w:type="dxa"/>
            <w:shd w:val="clear" w:color="auto" w:fill="auto"/>
            <w:noWrap/>
            <w:vAlign w:val="center"/>
            <w:hideMark/>
          </w:tcPr>
          <w:p w14:paraId="5D48E728"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Grant expenses</w:t>
            </w:r>
          </w:p>
        </w:tc>
        <w:tc>
          <w:tcPr>
            <w:tcW w:w="874" w:type="dxa"/>
            <w:shd w:val="clear" w:color="auto" w:fill="auto"/>
            <w:noWrap/>
            <w:vAlign w:val="center"/>
            <w:hideMark/>
          </w:tcPr>
          <w:p w14:paraId="50D8DB1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2A5B1C3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045534C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53D794B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(7,010)</w:t>
            </w:r>
          </w:p>
        </w:tc>
        <w:tc>
          <w:tcPr>
            <w:tcW w:w="875" w:type="dxa"/>
            <w:shd w:val="clear" w:color="auto" w:fill="auto"/>
            <w:noWrap/>
            <w:vAlign w:val="center"/>
            <w:hideMark/>
          </w:tcPr>
          <w:p w14:paraId="1071B83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75B5714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(1,750)</w:t>
            </w:r>
          </w:p>
        </w:tc>
      </w:tr>
      <w:tr w:rsidR="003E5BF5" w:rsidRPr="0029213D" w14:paraId="252B6D50" w14:textId="77777777" w:rsidTr="000F17DB">
        <w:trPr>
          <w:trHeight w:val="340"/>
        </w:trPr>
        <w:tc>
          <w:tcPr>
            <w:tcW w:w="3823" w:type="dxa"/>
            <w:shd w:val="clear" w:color="auto" w:fill="auto"/>
            <w:noWrap/>
            <w:vAlign w:val="center"/>
            <w:hideMark/>
          </w:tcPr>
          <w:p w14:paraId="38EBA5F9"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Employee benefits expense</w:t>
            </w:r>
          </w:p>
        </w:tc>
        <w:tc>
          <w:tcPr>
            <w:tcW w:w="874" w:type="dxa"/>
            <w:shd w:val="clear" w:color="auto" w:fill="auto"/>
            <w:noWrap/>
            <w:vAlign w:val="center"/>
            <w:hideMark/>
          </w:tcPr>
          <w:p w14:paraId="434B18D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3304288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4194712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76C5CD6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(64,648)</w:t>
            </w:r>
          </w:p>
        </w:tc>
        <w:tc>
          <w:tcPr>
            <w:tcW w:w="875" w:type="dxa"/>
            <w:shd w:val="clear" w:color="auto" w:fill="auto"/>
            <w:noWrap/>
            <w:vAlign w:val="center"/>
            <w:hideMark/>
          </w:tcPr>
          <w:p w14:paraId="1D656892"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56696A9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(11,135)</w:t>
            </w:r>
          </w:p>
        </w:tc>
      </w:tr>
      <w:tr w:rsidR="003E5BF5" w:rsidRPr="0029213D" w14:paraId="04950A96" w14:textId="77777777" w:rsidTr="000F17DB">
        <w:trPr>
          <w:trHeight w:val="340"/>
        </w:trPr>
        <w:tc>
          <w:tcPr>
            <w:tcW w:w="3823" w:type="dxa"/>
            <w:shd w:val="clear" w:color="auto" w:fill="auto"/>
            <w:noWrap/>
            <w:vAlign w:val="center"/>
            <w:hideMark/>
          </w:tcPr>
          <w:p w14:paraId="0E0D67F6"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Capital asset charge</w:t>
            </w:r>
          </w:p>
        </w:tc>
        <w:tc>
          <w:tcPr>
            <w:tcW w:w="874" w:type="dxa"/>
            <w:shd w:val="clear" w:color="auto" w:fill="auto"/>
            <w:noWrap/>
            <w:vAlign w:val="center"/>
            <w:hideMark/>
          </w:tcPr>
          <w:p w14:paraId="335A104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21301BD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4DA8AD9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5B196E2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(7,118)</w:t>
            </w:r>
          </w:p>
        </w:tc>
        <w:tc>
          <w:tcPr>
            <w:tcW w:w="875" w:type="dxa"/>
            <w:shd w:val="clear" w:color="auto" w:fill="auto"/>
            <w:noWrap/>
            <w:vAlign w:val="center"/>
            <w:hideMark/>
          </w:tcPr>
          <w:p w14:paraId="79A47DC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367A156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(198)</w:t>
            </w:r>
          </w:p>
        </w:tc>
      </w:tr>
      <w:tr w:rsidR="003E5BF5" w:rsidRPr="0029213D" w14:paraId="400BCDD9" w14:textId="77777777" w:rsidTr="000F17DB">
        <w:trPr>
          <w:trHeight w:val="340"/>
        </w:trPr>
        <w:tc>
          <w:tcPr>
            <w:tcW w:w="3823" w:type="dxa"/>
            <w:shd w:val="clear" w:color="auto" w:fill="auto"/>
            <w:noWrap/>
            <w:vAlign w:val="center"/>
            <w:hideMark/>
          </w:tcPr>
          <w:p w14:paraId="64C3C600"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 xml:space="preserve">Depreciation and amortisation </w:t>
            </w:r>
          </w:p>
        </w:tc>
        <w:tc>
          <w:tcPr>
            <w:tcW w:w="874" w:type="dxa"/>
            <w:shd w:val="clear" w:color="auto" w:fill="auto"/>
            <w:noWrap/>
            <w:vAlign w:val="center"/>
            <w:hideMark/>
          </w:tcPr>
          <w:p w14:paraId="458FDFF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3B8FEB2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1B3C607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764DFC1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(8,935)</w:t>
            </w:r>
          </w:p>
        </w:tc>
        <w:tc>
          <w:tcPr>
            <w:tcW w:w="875" w:type="dxa"/>
            <w:shd w:val="clear" w:color="auto" w:fill="auto"/>
            <w:noWrap/>
            <w:vAlign w:val="center"/>
            <w:hideMark/>
          </w:tcPr>
          <w:p w14:paraId="28CCDB0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55FC02F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(248)</w:t>
            </w:r>
          </w:p>
        </w:tc>
      </w:tr>
      <w:tr w:rsidR="003E5BF5" w:rsidRPr="0029213D" w14:paraId="1B0A700E" w14:textId="77777777" w:rsidTr="000F17DB">
        <w:trPr>
          <w:trHeight w:val="340"/>
        </w:trPr>
        <w:tc>
          <w:tcPr>
            <w:tcW w:w="3823" w:type="dxa"/>
            <w:shd w:val="clear" w:color="auto" w:fill="auto"/>
            <w:noWrap/>
            <w:vAlign w:val="center"/>
            <w:hideMark/>
          </w:tcPr>
          <w:p w14:paraId="1FE4D62D"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Interest expense</w:t>
            </w:r>
          </w:p>
        </w:tc>
        <w:tc>
          <w:tcPr>
            <w:tcW w:w="874" w:type="dxa"/>
            <w:shd w:val="clear" w:color="auto" w:fill="auto"/>
            <w:noWrap/>
            <w:vAlign w:val="center"/>
            <w:hideMark/>
          </w:tcPr>
          <w:p w14:paraId="28F935B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7B8F991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4EF18DE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23DDC2B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(15,702)</w:t>
            </w:r>
          </w:p>
        </w:tc>
        <w:tc>
          <w:tcPr>
            <w:tcW w:w="875" w:type="dxa"/>
            <w:shd w:val="clear" w:color="auto" w:fill="auto"/>
            <w:noWrap/>
            <w:vAlign w:val="center"/>
            <w:hideMark/>
          </w:tcPr>
          <w:p w14:paraId="0D84B51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3724D4F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(14)</w:t>
            </w:r>
          </w:p>
        </w:tc>
      </w:tr>
      <w:tr w:rsidR="003E5BF5" w:rsidRPr="0029213D" w14:paraId="1B00675A" w14:textId="77777777" w:rsidTr="000F17DB">
        <w:trPr>
          <w:trHeight w:val="340"/>
        </w:trPr>
        <w:tc>
          <w:tcPr>
            <w:tcW w:w="3823" w:type="dxa"/>
            <w:shd w:val="clear" w:color="auto" w:fill="auto"/>
            <w:noWrap/>
            <w:vAlign w:val="center"/>
            <w:hideMark/>
          </w:tcPr>
          <w:p w14:paraId="7A7993A3"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Other operating expenses</w:t>
            </w:r>
          </w:p>
        </w:tc>
        <w:tc>
          <w:tcPr>
            <w:tcW w:w="874" w:type="dxa"/>
            <w:shd w:val="clear" w:color="auto" w:fill="auto"/>
            <w:noWrap/>
            <w:vAlign w:val="center"/>
            <w:hideMark/>
          </w:tcPr>
          <w:p w14:paraId="2521CA2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1C55106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(404)</w:t>
            </w:r>
          </w:p>
        </w:tc>
        <w:tc>
          <w:tcPr>
            <w:tcW w:w="875" w:type="dxa"/>
            <w:shd w:val="clear" w:color="auto" w:fill="auto"/>
            <w:noWrap/>
            <w:vAlign w:val="center"/>
            <w:hideMark/>
          </w:tcPr>
          <w:p w14:paraId="0663689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2EB0E1B2"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(49,244)</w:t>
            </w:r>
          </w:p>
        </w:tc>
        <w:tc>
          <w:tcPr>
            <w:tcW w:w="875" w:type="dxa"/>
            <w:shd w:val="clear" w:color="auto" w:fill="auto"/>
            <w:noWrap/>
            <w:vAlign w:val="center"/>
            <w:hideMark/>
          </w:tcPr>
          <w:p w14:paraId="52CF25E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6FEE109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(10,017)</w:t>
            </w:r>
          </w:p>
        </w:tc>
      </w:tr>
      <w:tr w:rsidR="003E5BF5" w:rsidRPr="0029213D" w14:paraId="0702F80F" w14:textId="77777777" w:rsidTr="000F17DB">
        <w:trPr>
          <w:trHeight w:val="340"/>
        </w:trPr>
        <w:tc>
          <w:tcPr>
            <w:tcW w:w="3823" w:type="dxa"/>
            <w:shd w:val="clear" w:color="auto" w:fill="auto"/>
            <w:noWrap/>
            <w:vAlign w:val="center"/>
            <w:hideMark/>
          </w:tcPr>
          <w:p w14:paraId="7989952C"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expenses from transactions</w:t>
            </w:r>
          </w:p>
        </w:tc>
        <w:tc>
          <w:tcPr>
            <w:tcW w:w="874" w:type="dxa"/>
            <w:shd w:val="clear" w:color="auto" w:fill="auto"/>
            <w:noWrap/>
            <w:vAlign w:val="center"/>
            <w:hideMark/>
          </w:tcPr>
          <w:p w14:paraId="2E2CC301"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vAlign w:val="center"/>
            <w:hideMark/>
          </w:tcPr>
          <w:p w14:paraId="0641C75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(404)</w:t>
            </w:r>
          </w:p>
        </w:tc>
        <w:tc>
          <w:tcPr>
            <w:tcW w:w="875" w:type="dxa"/>
            <w:shd w:val="clear" w:color="auto" w:fill="auto"/>
            <w:noWrap/>
            <w:vAlign w:val="center"/>
            <w:hideMark/>
          </w:tcPr>
          <w:p w14:paraId="248852FB"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vAlign w:val="center"/>
            <w:hideMark/>
          </w:tcPr>
          <w:p w14:paraId="1CE437E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(152,657)</w:t>
            </w:r>
          </w:p>
        </w:tc>
        <w:tc>
          <w:tcPr>
            <w:tcW w:w="875" w:type="dxa"/>
            <w:shd w:val="clear" w:color="auto" w:fill="auto"/>
            <w:noWrap/>
            <w:vAlign w:val="center"/>
            <w:hideMark/>
          </w:tcPr>
          <w:p w14:paraId="7A40A4A0"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vAlign w:val="center"/>
            <w:hideMark/>
          </w:tcPr>
          <w:p w14:paraId="1CF891ED"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(23,362)</w:t>
            </w:r>
          </w:p>
        </w:tc>
      </w:tr>
      <w:tr w:rsidR="003E5BF5" w:rsidRPr="0029213D" w14:paraId="4A2CF04F" w14:textId="77777777" w:rsidTr="000F17DB">
        <w:trPr>
          <w:trHeight w:val="340"/>
        </w:trPr>
        <w:tc>
          <w:tcPr>
            <w:tcW w:w="3823" w:type="dxa"/>
            <w:shd w:val="clear" w:color="auto" w:fill="auto"/>
            <w:noWrap/>
            <w:vAlign w:val="center"/>
            <w:hideMark/>
          </w:tcPr>
          <w:p w14:paraId="17F30B74"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Net result from transactions</w:t>
            </w:r>
          </w:p>
        </w:tc>
        <w:tc>
          <w:tcPr>
            <w:tcW w:w="874" w:type="dxa"/>
            <w:shd w:val="clear" w:color="auto" w:fill="auto"/>
            <w:noWrap/>
            <w:vAlign w:val="center"/>
            <w:hideMark/>
          </w:tcPr>
          <w:p w14:paraId="620B16DD"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vAlign w:val="center"/>
            <w:hideMark/>
          </w:tcPr>
          <w:p w14:paraId="5E78FF30"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(374)</w:t>
            </w:r>
          </w:p>
        </w:tc>
        <w:tc>
          <w:tcPr>
            <w:tcW w:w="875" w:type="dxa"/>
            <w:shd w:val="clear" w:color="auto" w:fill="auto"/>
            <w:noWrap/>
            <w:vAlign w:val="center"/>
            <w:hideMark/>
          </w:tcPr>
          <w:p w14:paraId="62E2CBA6"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vAlign w:val="center"/>
            <w:hideMark/>
          </w:tcPr>
          <w:p w14:paraId="31AB78C5"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(9,291)</w:t>
            </w:r>
          </w:p>
        </w:tc>
        <w:tc>
          <w:tcPr>
            <w:tcW w:w="875" w:type="dxa"/>
            <w:shd w:val="clear" w:color="auto" w:fill="auto"/>
            <w:noWrap/>
            <w:vAlign w:val="center"/>
            <w:hideMark/>
          </w:tcPr>
          <w:p w14:paraId="1A44F2C3"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vAlign w:val="center"/>
            <w:hideMark/>
          </w:tcPr>
          <w:p w14:paraId="6221EA78"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(419)</w:t>
            </w:r>
          </w:p>
        </w:tc>
      </w:tr>
      <w:tr w:rsidR="003E5BF5" w:rsidRPr="0029213D" w14:paraId="5917CDFB" w14:textId="77777777" w:rsidTr="000F17DB">
        <w:trPr>
          <w:trHeight w:val="340"/>
        </w:trPr>
        <w:tc>
          <w:tcPr>
            <w:tcW w:w="3823" w:type="dxa"/>
            <w:shd w:val="clear" w:color="auto" w:fill="auto"/>
            <w:noWrap/>
            <w:vAlign w:val="center"/>
            <w:hideMark/>
          </w:tcPr>
          <w:p w14:paraId="390BE410" w14:textId="77777777" w:rsidR="003E5BF5" w:rsidRPr="0029213D" w:rsidRDefault="003E5BF5" w:rsidP="00DE1921">
            <w:pPr>
              <w:spacing w:line="259" w:lineRule="auto"/>
              <w:rPr>
                <w:rFonts w:ascii="Arial" w:hAnsi="Arial" w:cs="Arial"/>
                <w:b/>
                <w:sz w:val="24"/>
                <w:szCs w:val="24"/>
              </w:rPr>
            </w:pPr>
          </w:p>
        </w:tc>
        <w:tc>
          <w:tcPr>
            <w:tcW w:w="874" w:type="dxa"/>
            <w:shd w:val="clear" w:color="auto" w:fill="auto"/>
            <w:noWrap/>
            <w:vAlign w:val="center"/>
            <w:hideMark/>
          </w:tcPr>
          <w:p w14:paraId="1838F9BB" w14:textId="77777777" w:rsidR="003E5BF5" w:rsidRPr="0029213D" w:rsidRDefault="003E5BF5" w:rsidP="00DE1921">
            <w:pPr>
              <w:spacing w:line="259" w:lineRule="auto"/>
              <w:jc w:val="right"/>
              <w:rPr>
                <w:rFonts w:ascii="Arial" w:hAnsi="Arial" w:cs="Arial"/>
                <w:sz w:val="24"/>
                <w:szCs w:val="24"/>
              </w:rPr>
            </w:pPr>
          </w:p>
        </w:tc>
        <w:tc>
          <w:tcPr>
            <w:tcW w:w="875" w:type="dxa"/>
            <w:shd w:val="clear" w:color="auto" w:fill="auto"/>
            <w:noWrap/>
            <w:vAlign w:val="center"/>
            <w:hideMark/>
          </w:tcPr>
          <w:p w14:paraId="5CD12C16" w14:textId="77777777" w:rsidR="003E5BF5" w:rsidRPr="0029213D" w:rsidRDefault="003E5BF5" w:rsidP="00DE1921">
            <w:pPr>
              <w:spacing w:line="259" w:lineRule="auto"/>
              <w:jc w:val="right"/>
              <w:rPr>
                <w:rFonts w:ascii="Arial" w:hAnsi="Arial" w:cs="Arial"/>
                <w:sz w:val="24"/>
                <w:szCs w:val="24"/>
              </w:rPr>
            </w:pPr>
          </w:p>
        </w:tc>
        <w:tc>
          <w:tcPr>
            <w:tcW w:w="875" w:type="dxa"/>
            <w:shd w:val="clear" w:color="auto" w:fill="auto"/>
            <w:noWrap/>
            <w:vAlign w:val="center"/>
            <w:hideMark/>
          </w:tcPr>
          <w:p w14:paraId="5F9527D3" w14:textId="77777777" w:rsidR="003E5BF5" w:rsidRPr="0029213D" w:rsidRDefault="003E5BF5" w:rsidP="00DE1921">
            <w:pPr>
              <w:spacing w:line="259" w:lineRule="auto"/>
              <w:jc w:val="right"/>
              <w:rPr>
                <w:rFonts w:ascii="Arial" w:hAnsi="Arial" w:cs="Arial"/>
                <w:sz w:val="24"/>
                <w:szCs w:val="24"/>
              </w:rPr>
            </w:pPr>
          </w:p>
        </w:tc>
        <w:tc>
          <w:tcPr>
            <w:tcW w:w="875" w:type="dxa"/>
            <w:shd w:val="clear" w:color="auto" w:fill="auto"/>
            <w:noWrap/>
            <w:vAlign w:val="center"/>
            <w:hideMark/>
          </w:tcPr>
          <w:p w14:paraId="7825AFB4" w14:textId="77777777" w:rsidR="003E5BF5" w:rsidRPr="0029213D" w:rsidRDefault="003E5BF5" w:rsidP="00DE1921">
            <w:pPr>
              <w:spacing w:line="259" w:lineRule="auto"/>
              <w:jc w:val="right"/>
              <w:rPr>
                <w:rFonts w:ascii="Arial" w:hAnsi="Arial" w:cs="Arial"/>
                <w:sz w:val="24"/>
                <w:szCs w:val="24"/>
              </w:rPr>
            </w:pPr>
          </w:p>
        </w:tc>
        <w:tc>
          <w:tcPr>
            <w:tcW w:w="875" w:type="dxa"/>
            <w:shd w:val="clear" w:color="auto" w:fill="auto"/>
            <w:noWrap/>
            <w:vAlign w:val="center"/>
            <w:hideMark/>
          </w:tcPr>
          <w:p w14:paraId="58D2755D" w14:textId="77777777" w:rsidR="003E5BF5" w:rsidRPr="0029213D" w:rsidRDefault="003E5BF5" w:rsidP="00DE1921">
            <w:pPr>
              <w:spacing w:line="259" w:lineRule="auto"/>
              <w:jc w:val="right"/>
              <w:rPr>
                <w:rFonts w:ascii="Arial" w:hAnsi="Arial" w:cs="Arial"/>
                <w:sz w:val="24"/>
                <w:szCs w:val="24"/>
              </w:rPr>
            </w:pPr>
          </w:p>
        </w:tc>
        <w:tc>
          <w:tcPr>
            <w:tcW w:w="875" w:type="dxa"/>
            <w:shd w:val="clear" w:color="auto" w:fill="auto"/>
            <w:noWrap/>
            <w:vAlign w:val="center"/>
            <w:hideMark/>
          </w:tcPr>
          <w:p w14:paraId="1CED5D0F" w14:textId="77777777" w:rsidR="003E5BF5" w:rsidRPr="0029213D" w:rsidRDefault="003E5BF5" w:rsidP="00DE1921">
            <w:pPr>
              <w:spacing w:line="259" w:lineRule="auto"/>
              <w:jc w:val="right"/>
              <w:rPr>
                <w:rFonts w:ascii="Arial" w:hAnsi="Arial" w:cs="Arial"/>
                <w:sz w:val="24"/>
                <w:szCs w:val="24"/>
              </w:rPr>
            </w:pPr>
          </w:p>
        </w:tc>
      </w:tr>
      <w:tr w:rsidR="003E5BF5" w:rsidRPr="0029213D" w14:paraId="77C3A7F1" w14:textId="77777777" w:rsidTr="000F17DB">
        <w:trPr>
          <w:trHeight w:val="340"/>
        </w:trPr>
        <w:tc>
          <w:tcPr>
            <w:tcW w:w="3823" w:type="dxa"/>
            <w:shd w:val="clear" w:color="auto" w:fill="auto"/>
            <w:noWrap/>
            <w:vAlign w:val="center"/>
            <w:hideMark/>
          </w:tcPr>
          <w:p w14:paraId="0146059B" w14:textId="77777777" w:rsidR="003E5BF5" w:rsidRPr="0029213D" w:rsidRDefault="003E5BF5" w:rsidP="00604703">
            <w:pPr>
              <w:pStyle w:val="TableTextGreen"/>
            </w:pPr>
            <w:r w:rsidRPr="0029213D">
              <w:t>Other economic flows included in net result</w:t>
            </w:r>
          </w:p>
        </w:tc>
        <w:tc>
          <w:tcPr>
            <w:tcW w:w="874" w:type="dxa"/>
            <w:shd w:val="clear" w:color="auto" w:fill="auto"/>
            <w:noWrap/>
            <w:vAlign w:val="center"/>
            <w:hideMark/>
          </w:tcPr>
          <w:p w14:paraId="7651C29A" w14:textId="77777777" w:rsidR="003E5BF5" w:rsidRPr="0029213D" w:rsidRDefault="003E5BF5" w:rsidP="00DE1921">
            <w:pPr>
              <w:spacing w:line="259" w:lineRule="auto"/>
              <w:jc w:val="right"/>
              <w:rPr>
                <w:rFonts w:ascii="Arial" w:hAnsi="Arial" w:cs="Arial"/>
                <w:sz w:val="24"/>
                <w:szCs w:val="24"/>
              </w:rPr>
            </w:pPr>
          </w:p>
        </w:tc>
        <w:tc>
          <w:tcPr>
            <w:tcW w:w="875" w:type="dxa"/>
            <w:shd w:val="clear" w:color="auto" w:fill="auto"/>
            <w:noWrap/>
            <w:vAlign w:val="center"/>
            <w:hideMark/>
          </w:tcPr>
          <w:p w14:paraId="39A39019" w14:textId="77777777" w:rsidR="003E5BF5" w:rsidRPr="0029213D" w:rsidRDefault="003E5BF5" w:rsidP="00DE1921">
            <w:pPr>
              <w:spacing w:line="259" w:lineRule="auto"/>
              <w:jc w:val="right"/>
              <w:rPr>
                <w:rFonts w:ascii="Arial" w:hAnsi="Arial" w:cs="Arial"/>
                <w:sz w:val="24"/>
                <w:szCs w:val="24"/>
              </w:rPr>
            </w:pPr>
          </w:p>
        </w:tc>
        <w:tc>
          <w:tcPr>
            <w:tcW w:w="875" w:type="dxa"/>
            <w:shd w:val="clear" w:color="auto" w:fill="auto"/>
            <w:noWrap/>
            <w:vAlign w:val="center"/>
            <w:hideMark/>
          </w:tcPr>
          <w:p w14:paraId="52DBE1BA" w14:textId="77777777" w:rsidR="003E5BF5" w:rsidRPr="0029213D" w:rsidRDefault="003E5BF5" w:rsidP="00DE1921">
            <w:pPr>
              <w:spacing w:line="259" w:lineRule="auto"/>
              <w:jc w:val="right"/>
              <w:rPr>
                <w:rFonts w:ascii="Arial" w:hAnsi="Arial" w:cs="Arial"/>
                <w:sz w:val="24"/>
                <w:szCs w:val="24"/>
              </w:rPr>
            </w:pPr>
          </w:p>
        </w:tc>
        <w:tc>
          <w:tcPr>
            <w:tcW w:w="875" w:type="dxa"/>
            <w:shd w:val="clear" w:color="auto" w:fill="auto"/>
            <w:noWrap/>
            <w:vAlign w:val="center"/>
            <w:hideMark/>
          </w:tcPr>
          <w:p w14:paraId="586F83D2" w14:textId="77777777" w:rsidR="003E5BF5" w:rsidRPr="0029213D" w:rsidRDefault="003E5BF5" w:rsidP="00DE1921">
            <w:pPr>
              <w:spacing w:line="259" w:lineRule="auto"/>
              <w:jc w:val="right"/>
              <w:rPr>
                <w:rFonts w:ascii="Arial" w:hAnsi="Arial" w:cs="Arial"/>
                <w:sz w:val="24"/>
                <w:szCs w:val="24"/>
              </w:rPr>
            </w:pPr>
          </w:p>
        </w:tc>
        <w:tc>
          <w:tcPr>
            <w:tcW w:w="875" w:type="dxa"/>
            <w:shd w:val="clear" w:color="auto" w:fill="auto"/>
            <w:noWrap/>
            <w:vAlign w:val="center"/>
            <w:hideMark/>
          </w:tcPr>
          <w:p w14:paraId="4920F4AB" w14:textId="77777777" w:rsidR="003E5BF5" w:rsidRPr="0029213D" w:rsidRDefault="003E5BF5" w:rsidP="00DE1921">
            <w:pPr>
              <w:spacing w:line="259" w:lineRule="auto"/>
              <w:jc w:val="right"/>
              <w:rPr>
                <w:rFonts w:ascii="Arial" w:hAnsi="Arial" w:cs="Arial"/>
                <w:sz w:val="24"/>
                <w:szCs w:val="24"/>
              </w:rPr>
            </w:pPr>
          </w:p>
        </w:tc>
        <w:tc>
          <w:tcPr>
            <w:tcW w:w="875" w:type="dxa"/>
            <w:shd w:val="clear" w:color="auto" w:fill="auto"/>
            <w:noWrap/>
            <w:vAlign w:val="center"/>
            <w:hideMark/>
          </w:tcPr>
          <w:p w14:paraId="105714BF" w14:textId="77777777" w:rsidR="003E5BF5" w:rsidRPr="0029213D" w:rsidRDefault="003E5BF5" w:rsidP="00DE1921">
            <w:pPr>
              <w:spacing w:line="259" w:lineRule="auto"/>
              <w:jc w:val="right"/>
              <w:rPr>
                <w:rFonts w:ascii="Arial" w:hAnsi="Arial" w:cs="Arial"/>
                <w:sz w:val="24"/>
                <w:szCs w:val="24"/>
              </w:rPr>
            </w:pPr>
          </w:p>
        </w:tc>
      </w:tr>
      <w:tr w:rsidR="003E5BF5" w:rsidRPr="0029213D" w14:paraId="261247C7" w14:textId="77777777" w:rsidTr="000F17DB">
        <w:trPr>
          <w:trHeight w:val="340"/>
        </w:trPr>
        <w:tc>
          <w:tcPr>
            <w:tcW w:w="3823" w:type="dxa"/>
            <w:shd w:val="clear" w:color="auto" w:fill="auto"/>
            <w:noWrap/>
            <w:vAlign w:val="center"/>
            <w:hideMark/>
          </w:tcPr>
          <w:p w14:paraId="280ED079"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Net loss on non-financial assets</w:t>
            </w:r>
          </w:p>
        </w:tc>
        <w:tc>
          <w:tcPr>
            <w:tcW w:w="874" w:type="dxa"/>
            <w:shd w:val="clear" w:color="auto" w:fill="auto"/>
            <w:noWrap/>
            <w:vAlign w:val="center"/>
            <w:hideMark/>
          </w:tcPr>
          <w:p w14:paraId="5B60789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1F0003E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5EA20809"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091B22A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210 </w:t>
            </w:r>
          </w:p>
        </w:tc>
        <w:tc>
          <w:tcPr>
            <w:tcW w:w="875" w:type="dxa"/>
            <w:shd w:val="clear" w:color="auto" w:fill="auto"/>
            <w:noWrap/>
            <w:vAlign w:val="center"/>
            <w:hideMark/>
          </w:tcPr>
          <w:p w14:paraId="710E25C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46CC48D1"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7 </w:t>
            </w:r>
          </w:p>
        </w:tc>
      </w:tr>
      <w:tr w:rsidR="003E5BF5" w:rsidRPr="0029213D" w14:paraId="77533309" w14:textId="77777777" w:rsidTr="000F17DB">
        <w:trPr>
          <w:trHeight w:val="340"/>
        </w:trPr>
        <w:tc>
          <w:tcPr>
            <w:tcW w:w="3823" w:type="dxa"/>
            <w:shd w:val="clear" w:color="auto" w:fill="auto"/>
            <w:noWrap/>
            <w:vAlign w:val="center"/>
            <w:hideMark/>
          </w:tcPr>
          <w:p w14:paraId="26586C92"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Net loss on financial instruments</w:t>
            </w:r>
          </w:p>
        </w:tc>
        <w:tc>
          <w:tcPr>
            <w:tcW w:w="874" w:type="dxa"/>
            <w:shd w:val="clear" w:color="auto" w:fill="auto"/>
            <w:noWrap/>
            <w:vAlign w:val="center"/>
            <w:hideMark/>
          </w:tcPr>
          <w:p w14:paraId="2949D74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10D3DDF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2AF7F2A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0525A06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0F885DA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vAlign w:val="center"/>
            <w:hideMark/>
          </w:tcPr>
          <w:p w14:paraId="7D7E74C9"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r>
      <w:tr w:rsidR="003E5BF5" w:rsidRPr="0029213D" w14:paraId="3AFFFC39" w14:textId="77777777" w:rsidTr="000F17DB">
        <w:trPr>
          <w:trHeight w:val="340"/>
        </w:trPr>
        <w:tc>
          <w:tcPr>
            <w:tcW w:w="3823" w:type="dxa"/>
            <w:shd w:val="clear" w:color="auto" w:fill="auto"/>
            <w:noWrap/>
            <w:vAlign w:val="center"/>
            <w:hideMark/>
          </w:tcPr>
          <w:p w14:paraId="4DD9CF63"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Other gains/(losses) from other economic flows</w:t>
            </w:r>
          </w:p>
        </w:tc>
        <w:tc>
          <w:tcPr>
            <w:tcW w:w="874" w:type="dxa"/>
            <w:shd w:val="clear" w:color="auto" w:fill="auto"/>
            <w:noWrap/>
            <w:hideMark/>
          </w:tcPr>
          <w:p w14:paraId="37F5F131"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hideMark/>
          </w:tcPr>
          <w:p w14:paraId="7132B1A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hideMark/>
          </w:tcPr>
          <w:p w14:paraId="40D721A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hideMark/>
          </w:tcPr>
          <w:p w14:paraId="1831C0A2"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(44)</w:t>
            </w:r>
          </w:p>
        </w:tc>
        <w:tc>
          <w:tcPr>
            <w:tcW w:w="875" w:type="dxa"/>
            <w:shd w:val="clear" w:color="auto" w:fill="auto"/>
            <w:noWrap/>
            <w:hideMark/>
          </w:tcPr>
          <w:p w14:paraId="47B7C19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875" w:type="dxa"/>
            <w:shd w:val="clear" w:color="auto" w:fill="auto"/>
            <w:noWrap/>
            <w:hideMark/>
          </w:tcPr>
          <w:p w14:paraId="6F8ACDA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(14)</w:t>
            </w:r>
          </w:p>
        </w:tc>
      </w:tr>
      <w:tr w:rsidR="003E5BF5" w:rsidRPr="0029213D" w14:paraId="553DAE4D" w14:textId="77777777" w:rsidTr="000F17DB">
        <w:trPr>
          <w:trHeight w:val="340"/>
        </w:trPr>
        <w:tc>
          <w:tcPr>
            <w:tcW w:w="3823" w:type="dxa"/>
            <w:shd w:val="clear" w:color="auto" w:fill="auto"/>
            <w:noWrap/>
            <w:vAlign w:val="center"/>
            <w:hideMark/>
          </w:tcPr>
          <w:p w14:paraId="097BE310"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other economic flows included in net result</w:t>
            </w:r>
          </w:p>
        </w:tc>
        <w:tc>
          <w:tcPr>
            <w:tcW w:w="874" w:type="dxa"/>
            <w:shd w:val="clear" w:color="auto" w:fill="auto"/>
            <w:noWrap/>
            <w:hideMark/>
          </w:tcPr>
          <w:p w14:paraId="70C293CF"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hideMark/>
          </w:tcPr>
          <w:p w14:paraId="73AD5279"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hideMark/>
          </w:tcPr>
          <w:p w14:paraId="5B41E9E9"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hideMark/>
          </w:tcPr>
          <w:p w14:paraId="0AB77686"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166 </w:t>
            </w:r>
          </w:p>
        </w:tc>
        <w:tc>
          <w:tcPr>
            <w:tcW w:w="875" w:type="dxa"/>
            <w:shd w:val="clear" w:color="auto" w:fill="auto"/>
            <w:noWrap/>
            <w:hideMark/>
          </w:tcPr>
          <w:p w14:paraId="3B4AB537"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hideMark/>
          </w:tcPr>
          <w:p w14:paraId="3C16E436"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(7)</w:t>
            </w:r>
          </w:p>
        </w:tc>
      </w:tr>
      <w:tr w:rsidR="003E5BF5" w:rsidRPr="0029213D" w14:paraId="4F7B480F" w14:textId="77777777" w:rsidTr="000F17DB">
        <w:trPr>
          <w:trHeight w:val="340"/>
        </w:trPr>
        <w:tc>
          <w:tcPr>
            <w:tcW w:w="3823" w:type="dxa"/>
            <w:shd w:val="clear" w:color="auto" w:fill="auto"/>
            <w:noWrap/>
            <w:vAlign w:val="center"/>
            <w:hideMark/>
          </w:tcPr>
          <w:p w14:paraId="3A54B323"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Net result</w:t>
            </w:r>
          </w:p>
        </w:tc>
        <w:tc>
          <w:tcPr>
            <w:tcW w:w="874" w:type="dxa"/>
            <w:shd w:val="clear" w:color="auto" w:fill="auto"/>
            <w:noWrap/>
            <w:vAlign w:val="center"/>
            <w:hideMark/>
          </w:tcPr>
          <w:p w14:paraId="5E692685"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vAlign w:val="center"/>
            <w:hideMark/>
          </w:tcPr>
          <w:p w14:paraId="02F7B03C"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(374)</w:t>
            </w:r>
          </w:p>
        </w:tc>
        <w:tc>
          <w:tcPr>
            <w:tcW w:w="875" w:type="dxa"/>
            <w:shd w:val="clear" w:color="auto" w:fill="auto"/>
            <w:noWrap/>
            <w:vAlign w:val="center"/>
            <w:hideMark/>
          </w:tcPr>
          <w:p w14:paraId="7330A13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vAlign w:val="center"/>
            <w:hideMark/>
          </w:tcPr>
          <w:p w14:paraId="2BA4EC3C"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(9,125)</w:t>
            </w:r>
          </w:p>
        </w:tc>
        <w:tc>
          <w:tcPr>
            <w:tcW w:w="875" w:type="dxa"/>
            <w:shd w:val="clear" w:color="auto" w:fill="auto"/>
            <w:noWrap/>
            <w:vAlign w:val="center"/>
            <w:hideMark/>
          </w:tcPr>
          <w:p w14:paraId="710787F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vAlign w:val="center"/>
            <w:hideMark/>
          </w:tcPr>
          <w:p w14:paraId="48F73A10"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(426)</w:t>
            </w:r>
          </w:p>
        </w:tc>
      </w:tr>
      <w:tr w:rsidR="003E5BF5" w:rsidRPr="0029213D" w14:paraId="688C98A0" w14:textId="77777777" w:rsidTr="000F17DB">
        <w:trPr>
          <w:trHeight w:val="340"/>
        </w:trPr>
        <w:tc>
          <w:tcPr>
            <w:tcW w:w="3823" w:type="dxa"/>
            <w:shd w:val="clear" w:color="auto" w:fill="auto"/>
            <w:noWrap/>
            <w:vAlign w:val="center"/>
            <w:hideMark/>
          </w:tcPr>
          <w:p w14:paraId="478855E5"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Comprehensive result</w:t>
            </w:r>
          </w:p>
        </w:tc>
        <w:tc>
          <w:tcPr>
            <w:tcW w:w="874" w:type="dxa"/>
            <w:shd w:val="clear" w:color="auto" w:fill="auto"/>
            <w:noWrap/>
            <w:vAlign w:val="center"/>
            <w:hideMark/>
          </w:tcPr>
          <w:p w14:paraId="545401FD"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vAlign w:val="center"/>
            <w:hideMark/>
          </w:tcPr>
          <w:p w14:paraId="35DD31E9"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(374)</w:t>
            </w:r>
          </w:p>
        </w:tc>
        <w:tc>
          <w:tcPr>
            <w:tcW w:w="875" w:type="dxa"/>
            <w:shd w:val="clear" w:color="auto" w:fill="auto"/>
            <w:noWrap/>
            <w:vAlign w:val="center"/>
            <w:hideMark/>
          </w:tcPr>
          <w:p w14:paraId="01D079CF"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vAlign w:val="center"/>
            <w:hideMark/>
          </w:tcPr>
          <w:p w14:paraId="35DDBC96"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(9,125)</w:t>
            </w:r>
          </w:p>
        </w:tc>
        <w:tc>
          <w:tcPr>
            <w:tcW w:w="875" w:type="dxa"/>
            <w:shd w:val="clear" w:color="auto" w:fill="auto"/>
            <w:noWrap/>
            <w:vAlign w:val="center"/>
            <w:hideMark/>
          </w:tcPr>
          <w:p w14:paraId="16989DCA"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875" w:type="dxa"/>
            <w:shd w:val="clear" w:color="auto" w:fill="auto"/>
            <w:noWrap/>
            <w:vAlign w:val="center"/>
            <w:hideMark/>
          </w:tcPr>
          <w:p w14:paraId="77EA09F3"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(426)</w:t>
            </w:r>
          </w:p>
        </w:tc>
      </w:tr>
    </w:tbl>
    <w:p w14:paraId="74C81AF2" w14:textId="77777777" w:rsidR="003E5BF5" w:rsidRDefault="003E5BF5" w:rsidP="00DE1921"/>
    <w:p w14:paraId="3BBEBA8A" w14:textId="77777777" w:rsidR="003E5BF5" w:rsidRPr="004352D6" w:rsidRDefault="003E5BF5" w:rsidP="00DE1921">
      <w:r w:rsidRPr="004352D6">
        <w:br w:type="page"/>
      </w:r>
    </w:p>
    <w:tbl>
      <w:tblPr>
        <w:tblStyle w:val="TableGrid"/>
        <w:tblW w:w="9923" w:type="dxa"/>
        <w:tblLayout w:type="fixed"/>
        <w:tblCellMar>
          <w:left w:w="28" w:type="dxa"/>
          <w:right w:w="28" w:type="dxa"/>
        </w:tblCellMar>
        <w:tblLook w:val="04A0" w:firstRow="1" w:lastRow="0" w:firstColumn="1" w:lastColumn="0" w:noHBand="0" w:noVBand="1"/>
      </w:tblPr>
      <w:tblGrid>
        <w:gridCol w:w="3872"/>
        <w:gridCol w:w="1009"/>
        <w:gridCol w:w="1008"/>
        <w:gridCol w:w="1008"/>
        <w:gridCol w:w="1008"/>
        <w:gridCol w:w="1008"/>
        <w:gridCol w:w="1010"/>
      </w:tblGrid>
      <w:tr w:rsidR="003E5BF5" w:rsidRPr="0029213D" w14:paraId="210B89EF" w14:textId="77777777" w:rsidTr="004832D5">
        <w:trPr>
          <w:trHeight w:val="340"/>
        </w:trPr>
        <w:tc>
          <w:tcPr>
            <w:tcW w:w="3539" w:type="dxa"/>
            <w:shd w:val="clear" w:color="auto" w:fill="auto"/>
            <w:hideMark/>
          </w:tcPr>
          <w:p w14:paraId="1F070718" w14:textId="77777777" w:rsidR="003E5BF5" w:rsidRPr="0029213D" w:rsidRDefault="003E5BF5" w:rsidP="00DE1921">
            <w:pPr>
              <w:rPr>
                <w:rFonts w:ascii="Arial" w:hAnsi="Arial" w:cs="Arial"/>
                <w:sz w:val="24"/>
                <w:szCs w:val="24"/>
              </w:rPr>
            </w:pPr>
            <w:bookmarkStart w:id="213" w:name="RANGE!AJ3:AP39"/>
            <w:bookmarkStart w:id="214" w:name="RANGE!AJ3:AP35"/>
            <w:bookmarkEnd w:id="213"/>
            <w:bookmarkEnd w:id="214"/>
          </w:p>
        </w:tc>
        <w:tc>
          <w:tcPr>
            <w:tcW w:w="5533" w:type="dxa"/>
            <w:gridSpan w:val="6"/>
            <w:shd w:val="clear" w:color="auto" w:fill="auto"/>
            <w:vAlign w:val="center"/>
            <w:hideMark/>
          </w:tcPr>
          <w:p w14:paraId="6BA7D7B7"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 thousand)</w:t>
            </w:r>
          </w:p>
        </w:tc>
      </w:tr>
      <w:tr w:rsidR="003E5BF5" w:rsidRPr="0029213D" w14:paraId="173BC495" w14:textId="77777777" w:rsidTr="004832D5">
        <w:trPr>
          <w:trHeight w:val="340"/>
        </w:trPr>
        <w:tc>
          <w:tcPr>
            <w:tcW w:w="3539" w:type="dxa"/>
            <w:shd w:val="clear" w:color="auto" w:fill="auto"/>
            <w:noWrap/>
            <w:hideMark/>
          </w:tcPr>
          <w:p w14:paraId="52B75271" w14:textId="77777777" w:rsidR="003E5BF5" w:rsidRPr="0029213D" w:rsidRDefault="003E5BF5" w:rsidP="00DE1921">
            <w:pPr>
              <w:rPr>
                <w:rFonts w:ascii="Arial" w:hAnsi="Arial" w:cs="Arial"/>
                <w:sz w:val="24"/>
                <w:szCs w:val="24"/>
              </w:rPr>
            </w:pPr>
          </w:p>
        </w:tc>
        <w:tc>
          <w:tcPr>
            <w:tcW w:w="1844" w:type="dxa"/>
            <w:gridSpan w:val="2"/>
            <w:shd w:val="clear" w:color="auto" w:fill="auto"/>
            <w:vAlign w:val="bottom"/>
            <w:hideMark/>
          </w:tcPr>
          <w:p w14:paraId="5DE290DE"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Creative Industries Access, Development and Innovation</w:t>
            </w:r>
          </w:p>
        </w:tc>
        <w:tc>
          <w:tcPr>
            <w:tcW w:w="1844" w:type="dxa"/>
            <w:gridSpan w:val="2"/>
            <w:shd w:val="clear" w:color="auto" w:fill="auto"/>
            <w:vAlign w:val="bottom"/>
            <w:hideMark/>
          </w:tcPr>
          <w:p w14:paraId="57DC69FE"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Creative industries portfolio agencies</w:t>
            </w:r>
          </w:p>
        </w:tc>
        <w:tc>
          <w:tcPr>
            <w:tcW w:w="1845" w:type="dxa"/>
            <w:gridSpan w:val="2"/>
            <w:shd w:val="clear" w:color="auto" w:fill="auto"/>
            <w:vAlign w:val="bottom"/>
            <w:hideMark/>
          </w:tcPr>
          <w:p w14:paraId="3DDB0AD8"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Cultural infrastructure and facilities</w:t>
            </w:r>
          </w:p>
        </w:tc>
      </w:tr>
      <w:tr w:rsidR="003E5BF5" w:rsidRPr="0029213D" w14:paraId="371B4A0D" w14:textId="77777777" w:rsidTr="004832D5">
        <w:trPr>
          <w:trHeight w:val="340"/>
        </w:trPr>
        <w:tc>
          <w:tcPr>
            <w:tcW w:w="3539" w:type="dxa"/>
            <w:shd w:val="clear" w:color="auto" w:fill="auto"/>
            <w:noWrap/>
            <w:vAlign w:val="center"/>
            <w:hideMark/>
          </w:tcPr>
          <w:p w14:paraId="6AF13FE0" w14:textId="77777777" w:rsidR="003E5BF5" w:rsidRPr="0029213D" w:rsidRDefault="003E5BF5" w:rsidP="00DE1921">
            <w:pPr>
              <w:rPr>
                <w:rFonts w:ascii="Arial" w:hAnsi="Arial" w:cs="Arial"/>
                <w:b/>
                <w:sz w:val="24"/>
                <w:szCs w:val="24"/>
              </w:rPr>
            </w:pPr>
          </w:p>
        </w:tc>
        <w:tc>
          <w:tcPr>
            <w:tcW w:w="922" w:type="dxa"/>
            <w:shd w:val="clear" w:color="auto" w:fill="auto"/>
            <w:vAlign w:val="center"/>
            <w:hideMark/>
          </w:tcPr>
          <w:p w14:paraId="442C539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922" w:type="dxa"/>
            <w:shd w:val="clear" w:color="auto" w:fill="auto"/>
            <w:vAlign w:val="center"/>
            <w:hideMark/>
          </w:tcPr>
          <w:p w14:paraId="73905C6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922" w:type="dxa"/>
            <w:shd w:val="clear" w:color="auto" w:fill="auto"/>
            <w:vAlign w:val="center"/>
            <w:hideMark/>
          </w:tcPr>
          <w:p w14:paraId="0436390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922" w:type="dxa"/>
            <w:shd w:val="clear" w:color="auto" w:fill="auto"/>
            <w:vAlign w:val="center"/>
            <w:hideMark/>
          </w:tcPr>
          <w:p w14:paraId="2F37B35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922" w:type="dxa"/>
            <w:shd w:val="clear" w:color="auto" w:fill="auto"/>
            <w:vAlign w:val="center"/>
            <w:hideMark/>
          </w:tcPr>
          <w:p w14:paraId="06E6ED1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923" w:type="dxa"/>
            <w:shd w:val="clear" w:color="auto" w:fill="auto"/>
            <w:vAlign w:val="center"/>
            <w:hideMark/>
          </w:tcPr>
          <w:p w14:paraId="64233E5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r>
      <w:tr w:rsidR="003E5BF5" w:rsidRPr="0029213D" w14:paraId="4DD627D4" w14:textId="77777777" w:rsidTr="004832D5">
        <w:trPr>
          <w:trHeight w:val="340"/>
        </w:trPr>
        <w:tc>
          <w:tcPr>
            <w:tcW w:w="3539" w:type="dxa"/>
            <w:shd w:val="clear" w:color="auto" w:fill="auto"/>
            <w:noWrap/>
            <w:vAlign w:val="center"/>
            <w:hideMark/>
          </w:tcPr>
          <w:p w14:paraId="2CF4A246" w14:textId="77777777" w:rsidR="003E5BF5" w:rsidRPr="0029213D" w:rsidRDefault="003E5BF5" w:rsidP="00604703">
            <w:pPr>
              <w:pStyle w:val="TableTextGreen"/>
            </w:pPr>
            <w:r w:rsidRPr="0029213D">
              <w:t>Income from transactions</w:t>
            </w:r>
          </w:p>
        </w:tc>
        <w:tc>
          <w:tcPr>
            <w:tcW w:w="922" w:type="dxa"/>
            <w:shd w:val="clear" w:color="auto" w:fill="auto"/>
            <w:noWrap/>
            <w:vAlign w:val="center"/>
            <w:hideMark/>
          </w:tcPr>
          <w:p w14:paraId="4002313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w:t>
            </w:r>
          </w:p>
        </w:tc>
        <w:tc>
          <w:tcPr>
            <w:tcW w:w="922" w:type="dxa"/>
            <w:shd w:val="clear" w:color="auto" w:fill="auto"/>
            <w:noWrap/>
            <w:vAlign w:val="center"/>
            <w:hideMark/>
          </w:tcPr>
          <w:p w14:paraId="2F2615D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w:t>
            </w:r>
          </w:p>
        </w:tc>
        <w:tc>
          <w:tcPr>
            <w:tcW w:w="922" w:type="dxa"/>
            <w:shd w:val="clear" w:color="auto" w:fill="auto"/>
            <w:noWrap/>
            <w:vAlign w:val="center"/>
            <w:hideMark/>
          </w:tcPr>
          <w:p w14:paraId="6321C328"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w:t>
            </w:r>
          </w:p>
        </w:tc>
        <w:tc>
          <w:tcPr>
            <w:tcW w:w="922" w:type="dxa"/>
            <w:shd w:val="clear" w:color="auto" w:fill="auto"/>
            <w:noWrap/>
            <w:vAlign w:val="center"/>
            <w:hideMark/>
          </w:tcPr>
          <w:p w14:paraId="2148C9B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w:t>
            </w:r>
          </w:p>
        </w:tc>
        <w:tc>
          <w:tcPr>
            <w:tcW w:w="922" w:type="dxa"/>
            <w:shd w:val="clear" w:color="auto" w:fill="auto"/>
            <w:noWrap/>
            <w:vAlign w:val="center"/>
            <w:hideMark/>
          </w:tcPr>
          <w:p w14:paraId="007073A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w:t>
            </w:r>
          </w:p>
        </w:tc>
        <w:tc>
          <w:tcPr>
            <w:tcW w:w="923" w:type="dxa"/>
            <w:shd w:val="clear" w:color="auto" w:fill="auto"/>
            <w:noWrap/>
            <w:vAlign w:val="center"/>
            <w:hideMark/>
          </w:tcPr>
          <w:p w14:paraId="7511FAF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w:t>
            </w:r>
          </w:p>
        </w:tc>
      </w:tr>
      <w:tr w:rsidR="003E5BF5" w:rsidRPr="0029213D" w14:paraId="51CEF649" w14:textId="77777777" w:rsidTr="004832D5">
        <w:trPr>
          <w:trHeight w:val="340"/>
        </w:trPr>
        <w:tc>
          <w:tcPr>
            <w:tcW w:w="3539" w:type="dxa"/>
            <w:shd w:val="clear" w:color="auto" w:fill="auto"/>
            <w:noWrap/>
            <w:vAlign w:val="center"/>
            <w:hideMark/>
          </w:tcPr>
          <w:p w14:paraId="2BC2E1AF" w14:textId="77777777" w:rsidR="003E5BF5" w:rsidRPr="0029213D" w:rsidRDefault="003E5BF5" w:rsidP="00DE1921">
            <w:pPr>
              <w:rPr>
                <w:rFonts w:ascii="Arial" w:hAnsi="Arial" w:cs="Arial"/>
                <w:sz w:val="24"/>
                <w:szCs w:val="24"/>
              </w:rPr>
            </w:pPr>
            <w:r w:rsidRPr="0029213D">
              <w:rPr>
                <w:rFonts w:ascii="Arial" w:hAnsi="Arial" w:cs="Arial"/>
                <w:sz w:val="24"/>
                <w:szCs w:val="24"/>
              </w:rPr>
              <w:t>Output appropriations</w:t>
            </w:r>
          </w:p>
        </w:tc>
        <w:tc>
          <w:tcPr>
            <w:tcW w:w="922" w:type="dxa"/>
            <w:shd w:val="clear" w:color="auto" w:fill="auto"/>
            <w:noWrap/>
            <w:vAlign w:val="center"/>
            <w:hideMark/>
          </w:tcPr>
          <w:p w14:paraId="6E58BF1A"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5DA8420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30,374 </w:t>
            </w:r>
          </w:p>
        </w:tc>
        <w:tc>
          <w:tcPr>
            <w:tcW w:w="922" w:type="dxa"/>
            <w:shd w:val="clear" w:color="auto" w:fill="auto"/>
            <w:noWrap/>
            <w:vAlign w:val="center"/>
            <w:hideMark/>
          </w:tcPr>
          <w:p w14:paraId="1AFAE56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26409EB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156,028 </w:t>
            </w:r>
          </w:p>
        </w:tc>
        <w:tc>
          <w:tcPr>
            <w:tcW w:w="922" w:type="dxa"/>
            <w:shd w:val="clear" w:color="auto" w:fill="auto"/>
            <w:noWrap/>
            <w:vAlign w:val="center"/>
            <w:hideMark/>
          </w:tcPr>
          <w:p w14:paraId="18152EE4"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3" w:type="dxa"/>
            <w:shd w:val="clear" w:color="auto" w:fill="auto"/>
            <w:noWrap/>
            <w:vAlign w:val="center"/>
            <w:hideMark/>
          </w:tcPr>
          <w:p w14:paraId="7FB4AFF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19,290 </w:t>
            </w:r>
          </w:p>
        </w:tc>
      </w:tr>
      <w:tr w:rsidR="003E5BF5" w:rsidRPr="0029213D" w14:paraId="3414829D" w14:textId="77777777" w:rsidTr="004832D5">
        <w:trPr>
          <w:trHeight w:val="340"/>
        </w:trPr>
        <w:tc>
          <w:tcPr>
            <w:tcW w:w="3539" w:type="dxa"/>
            <w:shd w:val="clear" w:color="auto" w:fill="auto"/>
            <w:noWrap/>
            <w:vAlign w:val="center"/>
            <w:hideMark/>
          </w:tcPr>
          <w:p w14:paraId="0BCB35D9" w14:textId="77777777" w:rsidR="003E5BF5" w:rsidRPr="0029213D" w:rsidRDefault="003E5BF5" w:rsidP="00DE1921">
            <w:pPr>
              <w:rPr>
                <w:rFonts w:ascii="Arial" w:hAnsi="Arial" w:cs="Arial"/>
                <w:sz w:val="24"/>
                <w:szCs w:val="24"/>
              </w:rPr>
            </w:pPr>
            <w:r w:rsidRPr="0029213D">
              <w:rPr>
                <w:rFonts w:ascii="Arial" w:hAnsi="Arial" w:cs="Arial"/>
                <w:sz w:val="24"/>
                <w:szCs w:val="24"/>
              </w:rPr>
              <w:t>Special appropriations</w:t>
            </w:r>
          </w:p>
        </w:tc>
        <w:tc>
          <w:tcPr>
            <w:tcW w:w="922" w:type="dxa"/>
            <w:shd w:val="clear" w:color="auto" w:fill="auto"/>
            <w:noWrap/>
            <w:vAlign w:val="center"/>
            <w:hideMark/>
          </w:tcPr>
          <w:p w14:paraId="0DDD8BD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07499D6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2E2949E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0104B43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2C82ED56"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3" w:type="dxa"/>
            <w:shd w:val="clear" w:color="auto" w:fill="auto"/>
            <w:noWrap/>
            <w:vAlign w:val="center"/>
            <w:hideMark/>
          </w:tcPr>
          <w:p w14:paraId="35D7D50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4F6EF9A6" w14:textId="77777777" w:rsidTr="004832D5">
        <w:trPr>
          <w:trHeight w:val="340"/>
        </w:trPr>
        <w:tc>
          <w:tcPr>
            <w:tcW w:w="3539" w:type="dxa"/>
            <w:shd w:val="clear" w:color="auto" w:fill="auto"/>
            <w:noWrap/>
            <w:vAlign w:val="center"/>
            <w:hideMark/>
          </w:tcPr>
          <w:p w14:paraId="11E39602" w14:textId="77777777" w:rsidR="003E5BF5" w:rsidRPr="0029213D" w:rsidRDefault="003E5BF5" w:rsidP="00DE1921">
            <w:pPr>
              <w:rPr>
                <w:rFonts w:ascii="Arial" w:hAnsi="Arial" w:cs="Arial"/>
                <w:sz w:val="24"/>
                <w:szCs w:val="24"/>
              </w:rPr>
            </w:pPr>
            <w:r w:rsidRPr="0029213D">
              <w:rPr>
                <w:rFonts w:ascii="Arial" w:hAnsi="Arial" w:cs="Arial"/>
                <w:sz w:val="24"/>
                <w:szCs w:val="24"/>
              </w:rPr>
              <w:t>Regional Jobs and Infrastructure Fund appropriations</w:t>
            </w:r>
          </w:p>
        </w:tc>
        <w:tc>
          <w:tcPr>
            <w:tcW w:w="922" w:type="dxa"/>
            <w:shd w:val="clear" w:color="auto" w:fill="auto"/>
            <w:noWrap/>
            <w:hideMark/>
          </w:tcPr>
          <w:p w14:paraId="62FE7D74"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hideMark/>
          </w:tcPr>
          <w:p w14:paraId="581FA3D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hideMark/>
          </w:tcPr>
          <w:p w14:paraId="50DDE4C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hideMark/>
          </w:tcPr>
          <w:p w14:paraId="6B9F3096"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hideMark/>
          </w:tcPr>
          <w:p w14:paraId="5517D976"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3" w:type="dxa"/>
            <w:shd w:val="clear" w:color="auto" w:fill="auto"/>
            <w:noWrap/>
            <w:hideMark/>
          </w:tcPr>
          <w:p w14:paraId="0EFE5E2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0B6FDEB9" w14:textId="77777777" w:rsidTr="004832D5">
        <w:trPr>
          <w:trHeight w:val="340"/>
        </w:trPr>
        <w:tc>
          <w:tcPr>
            <w:tcW w:w="3539" w:type="dxa"/>
            <w:shd w:val="clear" w:color="auto" w:fill="auto"/>
            <w:noWrap/>
            <w:vAlign w:val="center"/>
            <w:hideMark/>
          </w:tcPr>
          <w:p w14:paraId="6F6C3C54" w14:textId="77777777" w:rsidR="003E5BF5" w:rsidRPr="0029213D" w:rsidRDefault="003E5BF5" w:rsidP="00DE1921">
            <w:pPr>
              <w:rPr>
                <w:rFonts w:ascii="Arial" w:hAnsi="Arial" w:cs="Arial"/>
                <w:sz w:val="24"/>
                <w:szCs w:val="24"/>
              </w:rPr>
            </w:pPr>
            <w:r w:rsidRPr="0029213D">
              <w:rPr>
                <w:rFonts w:ascii="Arial" w:hAnsi="Arial" w:cs="Arial"/>
                <w:sz w:val="24"/>
                <w:szCs w:val="24"/>
              </w:rPr>
              <w:t>Grant income</w:t>
            </w:r>
          </w:p>
        </w:tc>
        <w:tc>
          <w:tcPr>
            <w:tcW w:w="922" w:type="dxa"/>
            <w:shd w:val="clear" w:color="auto" w:fill="auto"/>
            <w:noWrap/>
            <w:vAlign w:val="center"/>
            <w:hideMark/>
          </w:tcPr>
          <w:p w14:paraId="2653595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6697AED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4,832 </w:t>
            </w:r>
          </w:p>
        </w:tc>
        <w:tc>
          <w:tcPr>
            <w:tcW w:w="922" w:type="dxa"/>
            <w:shd w:val="clear" w:color="auto" w:fill="auto"/>
            <w:noWrap/>
            <w:vAlign w:val="center"/>
            <w:hideMark/>
          </w:tcPr>
          <w:p w14:paraId="641AF2C0"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78DF93A0"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342F6633"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3" w:type="dxa"/>
            <w:shd w:val="clear" w:color="auto" w:fill="auto"/>
            <w:noWrap/>
            <w:vAlign w:val="center"/>
            <w:hideMark/>
          </w:tcPr>
          <w:p w14:paraId="19707CC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075E8BC5" w14:textId="77777777" w:rsidTr="004832D5">
        <w:trPr>
          <w:trHeight w:val="340"/>
        </w:trPr>
        <w:tc>
          <w:tcPr>
            <w:tcW w:w="3539" w:type="dxa"/>
            <w:shd w:val="clear" w:color="auto" w:fill="auto"/>
            <w:noWrap/>
            <w:vAlign w:val="center"/>
            <w:hideMark/>
          </w:tcPr>
          <w:p w14:paraId="5DC01F6B" w14:textId="77777777" w:rsidR="003E5BF5" w:rsidRPr="0029213D" w:rsidRDefault="003E5BF5" w:rsidP="00DE1921">
            <w:pPr>
              <w:rPr>
                <w:rFonts w:ascii="Arial" w:hAnsi="Arial" w:cs="Arial"/>
                <w:sz w:val="24"/>
                <w:szCs w:val="24"/>
              </w:rPr>
            </w:pPr>
            <w:r w:rsidRPr="0029213D">
              <w:rPr>
                <w:rFonts w:ascii="Arial" w:hAnsi="Arial" w:cs="Arial"/>
                <w:sz w:val="24"/>
                <w:szCs w:val="24"/>
              </w:rPr>
              <w:t>Sale of goods and services</w:t>
            </w:r>
          </w:p>
        </w:tc>
        <w:tc>
          <w:tcPr>
            <w:tcW w:w="922" w:type="dxa"/>
            <w:shd w:val="clear" w:color="auto" w:fill="auto"/>
            <w:noWrap/>
            <w:vAlign w:val="center"/>
            <w:hideMark/>
          </w:tcPr>
          <w:p w14:paraId="2E823F43"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55C1BCB0"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0470937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6DD6FD4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2,033 </w:t>
            </w:r>
          </w:p>
        </w:tc>
        <w:tc>
          <w:tcPr>
            <w:tcW w:w="922" w:type="dxa"/>
            <w:shd w:val="clear" w:color="auto" w:fill="auto"/>
            <w:noWrap/>
            <w:vAlign w:val="center"/>
            <w:hideMark/>
          </w:tcPr>
          <w:p w14:paraId="6BC0331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3" w:type="dxa"/>
            <w:shd w:val="clear" w:color="auto" w:fill="auto"/>
            <w:noWrap/>
            <w:vAlign w:val="center"/>
            <w:hideMark/>
          </w:tcPr>
          <w:p w14:paraId="4775A59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 </w:t>
            </w:r>
          </w:p>
        </w:tc>
      </w:tr>
      <w:tr w:rsidR="003E5BF5" w:rsidRPr="0029213D" w14:paraId="757FC0B5" w14:textId="77777777" w:rsidTr="004832D5">
        <w:trPr>
          <w:trHeight w:val="340"/>
        </w:trPr>
        <w:tc>
          <w:tcPr>
            <w:tcW w:w="3539" w:type="dxa"/>
            <w:shd w:val="clear" w:color="auto" w:fill="auto"/>
            <w:noWrap/>
            <w:vAlign w:val="center"/>
            <w:hideMark/>
          </w:tcPr>
          <w:p w14:paraId="5124A5FC" w14:textId="77777777" w:rsidR="003E5BF5" w:rsidRPr="0029213D" w:rsidRDefault="003E5BF5" w:rsidP="00DE1921">
            <w:pPr>
              <w:rPr>
                <w:rFonts w:ascii="Arial" w:hAnsi="Arial" w:cs="Arial"/>
                <w:sz w:val="24"/>
                <w:szCs w:val="24"/>
              </w:rPr>
            </w:pPr>
            <w:r w:rsidRPr="0029213D">
              <w:rPr>
                <w:rFonts w:ascii="Arial" w:hAnsi="Arial" w:cs="Arial"/>
                <w:sz w:val="24"/>
                <w:szCs w:val="24"/>
              </w:rPr>
              <w:t>Other income</w:t>
            </w:r>
          </w:p>
        </w:tc>
        <w:tc>
          <w:tcPr>
            <w:tcW w:w="922" w:type="dxa"/>
            <w:shd w:val="clear" w:color="auto" w:fill="auto"/>
            <w:noWrap/>
            <w:vAlign w:val="center"/>
            <w:hideMark/>
          </w:tcPr>
          <w:p w14:paraId="06008ED7"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5E747CD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35E6EAF3"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76D03CB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2DB76EB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3" w:type="dxa"/>
            <w:shd w:val="clear" w:color="auto" w:fill="auto"/>
            <w:noWrap/>
            <w:vAlign w:val="center"/>
            <w:hideMark/>
          </w:tcPr>
          <w:p w14:paraId="71200C2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1806C79B" w14:textId="77777777" w:rsidTr="004832D5">
        <w:trPr>
          <w:trHeight w:val="340"/>
        </w:trPr>
        <w:tc>
          <w:tcPr>
            <w:tcW w:w="3539" w:type="dxa"/>
            <w:shd w:val="clear" w:color="auto" w:fill="auto"/>
            <w:noWrap/>
            <w:vAlign w:val="center"/>
            <w:hideMark/>
          </w:tcPr>
          <w:p w14:paraId="4110DFF5"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income from transactions</w:t>
            </w:r>
          </w:p>
        </w:tc>
        <w:tc>
          <w:tcPr>
            <w:tcW w:w="922" w:type="dxa"/>
            <w:shd w:val="clear" w:color="auto" w:fill="auto"/>
            <w:noWrap/>
            <w:vAlign w:val="center"/>
            <w:hideMark/>
          </w:tcPr>
          <w:p w14:paraId="3F6C8BC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2" w:type="dxa"/>
            <w:shd w:val="clear" w:color="auto" w:fill="auto"/>
            <w:noWrap/>
            <w:vAlign w:val="center"/>
            <w:hideMark/>
          </w:tcPr>
          <w:p w14:paraId="423A251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35,206 </w:t>
            </w:r>
          </w:p>
        </w:tc>
        <w:tc>
          <w:tcPr>
            <w:tcW w:w="922" w:type="dxa"/>
            <w:shd w:val="clear" w:color="auto" w:fill="auto"/>
            <w:noWrap/>
            <w:vAlign w:val="center"/>
            <w:hideMark/>
          </w:tcPr>
          <w:p w14:paraId="4BAE6D47"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2" w:type="dxa"/>
            <w:shd w:val="clear" w:color="auto" w:fill="auto"/>
            <w:noWrap/>
            <w:vAlign w:val="center"/>
            <w:hideMark/>
          </w:tcPr>
          <w:p w14:paraId="7DA308EB"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158,061 </w:t>
            </w:r>
          </w:p>
        </w:tc>
        <w:tc>
          <w:tcPr>
            <w:tcW w:w="922" w:type="dxa"/>
            <w:shd w:val="clear" w:color="auto" w:fill="auto"/>
            <w:noWrap/>
            <w:vAlign w:val="center"/>
            <w:hideMark/>
          </w:tcPr>
          <w:p w14:paraId="729A0E3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3" w:type="dxa"/>
            <w:shd w:val="clear" w:color="auto" w:fill="auto"/>
            <w:noWrap/>
            <w:vAlign w:val="center"/>
            <w:hideMark/>
          </w:tcPr>
          <w:p w14:paraId="1B1F3A28"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19,290 </w:t>
            </w:r>
          </w:p>
        </w:tc>
      </w:tr>
      <w:tr w:rsidR="003E5BF5" w:rsidRPr="0029213D" w14:paraId="33CACFFB" w14:textId="77777777" w:rsidTr="004832D5">
        <w:trPr>
          <w:trHeight w:val="340"/>
        </w:trPr>
        <w:tc>
          <w:tcPr>
            <w:tcW w:w="3539" w:type="dxa"/>
            <w:shd w:val="clear" w:color="auto" w:fill="auto"/>
            <w:noWrap/>
            <w:vAlign w:val="center"/>
            <w:hideMark/>
          </w:tcPr>
          <w:p w14:paraId="57244C31" w14:textId="77777777" w:rsidR="003E5BF5" w:rsidRPr="0029213D" w:rsidRDefault="003E5BF5" w:rsidP="00604703">
            <w:pPr>
              <w:pStyle w:val="TableTextGreen"/>
            </w:pPr>
            <w:r w:rsidRPr="0029213D">
              <w:t>Expenses from transactions</w:t>
            </w:r>
          </w:p>
        </w:tc>
        <w:tc>
          <w:tcPr>
            <w:tcW w:w="922" w:type="dxa"/>
            <w:shd w:val="clear" w:color="auto" w:fill="auto"/>
            <w:noWrap/>
            <w:vAlign w:val="center"/>
            <w:hideMark/>
          </w:tcPr>
          <w:p w14:paraId="268BC733" w14:textId="77777777" w:rsidR="003E5BF5" w:rsidRPr="0029213D" w:rsidRDefault="003E5BF5" w:rsidP="00DE1921">
            <w:pPr>
              <w:jc w:val="right"/>
              <w:rPr>
                <w:rFonts w:ascii="Arial" w:hAnsi="Arial" w:cs="Arial"/>
                <w:sz w:val="24"/>
                <w:szCs w:val="24"/>
              </w:rPr>
            </w:pPr>
          </w:p>
        </w:tc>
        <w:tc>
          <w:tcPr>
            <w:tcW w:w="922" w:type="dxa"/>
            <w:shd w:val="clear" w:color="auto" w:fill="auto"/>
            <w:noWrap/>
            <w:vAlign w:val="center"/>
            <w:hideMark/>
          </w:tcPr>
          <w:p w14:paraId="5B65A95F" w14:textId="77777777" w:rsidR="003E5BF5" w:rsidRPr="0029213D" w:rsidRDefault="003E5BF5" w:rsidP="00DE1921">
            <w:pPr>
              <w:jc w:val="right"/>
              <w:rPr>
                <w:rFonts w:ascii="Arial" w:hAnsi="Arial" w:cs="Arial"/>
                <w:sz w:val="24"/>
                <w:szCs w:val="24"/>
              </w:rPr>
            </w:pPr>
          </w:p>
        </w:tc>
        <w:tc>
          <w:tcPr>
            <w:tcW w:w="922" w:type="dxa"/>
            <w:shd w:val="clear" w:color="auto" w:fill="auto"/>
            <w:noWrap/>
            <w:vAlign w:val="center"/>
            <w:hideMark/>
          </w:tcPr>
          <w:p w14:paraId="661F840A" w14:textId="77777777" w:rsidR="003E5BF5" w:rsidRPr="0029213D" w:rsidRDefault="003E5BF5" w:rsidP="00DE1921">
            <w:pPr>
              <w:jc w:val="right"/>
              <w:rPr>
                <w:rFonts w:ascii="Arial" w:hAnsi="Arial" w:cs="Arial"/>
                <w:sz w:val="24"/>
                <w:szCs w:val="24"/>
              </w:rPr>
            </w:pPr>
          </w:p>
        </w:tc>
        <w:tc>
          <w:tcPr>
            <w:tcW w:w="922" w:type="dxa"/>
            <w:shd w:val="clear" w:color="auto" w:fill="auto"/>
            <w:noWrap/>
            <w:vAlign w:val="center"/>
            <w:hideMark/>
          </w:tcPr>
          <w:p w14:paraId="62196E5D" w14:textId="77777777" w:rsidR="003E5BF5" w:rsidRPr="0029213D" w:rsidRDefault="003E5BF5" w:rsidP="00DE1921">
            <w:pPr>
              <w:jc w:val="right"/>
              <w:rPr>
                <w:rFonts w:ascii="Arial" w:hAnsi="Arial" w:cs="Arial"/>
                <w:sz w:val="24"/>
                <w:szCs w:val="24"/>
              </w:rPr>
            </w:pPr>
          </w:p>
        </w:tc>
        <w:tc>
          <w:tcPr>
            <w:tcW w:w="922" w:type="dxa"/>
            <w:shd w:val="clear" w:color="auto" w:fill="auto"/>
            <w:noWrap/>
            <w:vAlign w:val="center"/>
            <w:hideMark/>
          </w:tcPr>
          <w:p w14:paraId="04ABD3DC" w14:textId="77777777" w:rsidR="003E5BF5" w:rsidRPr="0029213D" w:rsidRDefault="003E5BF5" w:rsidP="00DE1921">
            <w:pPr>
              <w:jc w:val="right"/>
              <w:rPr>
                <w:rFonts w:ascii="Arial" w:hAnsi="Arial" w:cs="Arial"/>
                <w:sz w:val="24"/>
                <w:szCs w:val="24"/>
              </w:rPr>
            </w:pPr>
          </w:p>
        </w:tc>
        <w:tc>
          <w:tcPr>
            <w:tcW w:w="923" w:type="dxa"/>
            <w:shd w:val="clear" w:color="auto" w:fill="auto"/>
            <w:noWrap/>
            <w:vAlign w:val="center"/>
            <w:hideMark/>
          </w:tcPr>
          <w:p w14:paraId="4EEB4BE1" w14:textId="77777777" w:rsidR="003E5BF5" w:rsidRPr="0029213D" w:rsidRDefault="003E5BF5" w:rsidP="00DE1921">
            <w:pPr>
              <w:jc w:val="right"/>
              <w:rPr>
                <w:rFonts w:ascii="Arial" w:hAnsi="Arial" w:cs="Arial"/>
                <w:sz w:val="24"/>
                <w:szCs w:val="24"/>
              </w:rPr>
            </w:pPr>
          </w:p>
        </w:tc>
      </w:tr>
      <w:tr w:rsidR="003E5BF5" w:rsidRPr="0029213D" w14:paraId="4D21A31F" w14:textId="77777777" w:rsidTr="004832D5">
        <w:trPr>
          <w:trHeight w:val="340"/>
        </w:trPr>
        <w:tc>
          <w:tcPr>
            <w:tcW w:w="3539" w:type="dxa"/>
            <w:shd w:val="clear" w:color="auto" w:fill="auto"/>
            <w:noWrap/>
            <w:vAlign w:val="center"/>
            <w:hideMark/>
          </w:tcPr>
          <w:p w14:paraId="0699907A" w14:textId="77777777" w:rsidR="003E5BF5" w:rsidRPr="0029213D" w:rsidRDefault="003E5BF5" w:rsidP="00DE1921">
            <w:pPr>
              <w:rPr>
                <w:rFonts w:ascii="Arial" w:hAnsi="Arial" w:cs="Arial"/>
                <w:sz w:val="24"/>
                <w:szCs w:val="24"/>
              </w:rPr>
            </w:pPr>
            <w:r w:rsidRPr="0029213D">
              <w:rPr>
                <w:rFonts w:ascii="Arial" w:hAnsi="Arial" w:cs="Arial"/>
                <w:sz w:val="24"/>
                <w:szCs w:val="24"/>
              </w:rPr>
              <w:t>Grant expenses</w:t>
            </w:r>
          </w:p>
        </w:tc>
        <w:tc>
          <w:tcPr>
            <w:tcW w:w="922" w:type="dxa"/>
            <w:shd w:val="clear" w:color="auto" w:fill="auto"/>
            <w:noWrap/>
            <w:vAlign w:val="center"/>
            <w:hideMark/>
          </w:tcPr>
          <w:p w14:paraId="4C4845F4"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0BB06CD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(27,332)</w:t>
            </w:r>
          </w:p>
        </w:tc>
        <w:tc>
          <w:tcPr>
            <w:tcW w:w="922" w:type="dxa"/>
            <w:shd w:val="clear" w:color="auto" w:fill="auto"/>
            <w:noWrap/>
            <w:vAlign w:val="center"/>
            <w:hideMark/>
          </w:tcPr>
          <w:p w14:paraId="0A4D6894"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56B1A6C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(152,237)</w:t>
            </w:r>
          </w:p>
        </w:tc>
        <w:tc>
          <w:tcPr>
            <w:tcW w:w="922" w:type="dxa"/>
            <w:shd w:val="clear" w:color="auto" w:fill="auto"/>
            <w:noWrap/>
            <w:vAlign w:val="center"/>
            <w:hideMark/>
          </w:tcPr>
          <w:p w14:paraId="7857A576"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3" w:type="dxa"/>
            <w:shd w:val="clear" w:color="auto" w:fill="auto"/>
            <w:noWrap/>
            <w:vAlign w:val="center"/>
            <w:hideMark/>
          </w:tcPr>
          <w:p w14:paraId="55738E2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(45)</w:t>
            </w:r>
          </w:p>
        </w:tc>
      </w:tr>
      <w:tr w:rsidR="003E5BF5" w:rsidRPr="0029213D" w14:paraId="07FC980C" w14:textId="77777777" w:rsidTr="004832D5">
        <w:trPr>
          <w:trHeight w:val="340"/>
        </w:trPr>
        <w:tc>
          <w:tcPr>
            <w:tcW w:w="3539" w:type="dxa"/>
            <w:shd w:val="clear" w:color="auto" w:fill="auto"/>
            <w:noWrap/>
            <w:vAlign w:val="center"/>
            <w:hideMark/>
          </w:tcPr>
          <w:p w14:paraId="1E7BA924" w14:textId="77777777" w:rsidR="003E5BF5" w:rsidRPr="0029213D" w:rsidRDefault="003E5BF5" w:rsidP="00DE1921">
            <w:pPr>
              <w:rPr>
                <w:rFonts w:ascii="Arial" w:hAnsi="Arial" w:cs="Arial"/>
                <w:sz w:val="24"/>
                <w:szCs w:val="24"/>
              </w:rPr>
            </w:pPr>
            <w:r w:rsidRPr="0029213D">
              <w:rPr>
                <w:rFonts w:ascii="Arial" w:hAnsi="Arial" w:cs="Arial"/>
                <w:sz w:val="24"/>
                <w:szCs w:val="24"/>
              </w:rPr>
              <w:t>Employee benefits expense</w:t>
            </w:r>
          </w:p>
        </w:tc>
        <w:tc>
          <w:tcPr>
            <w:tcW w:w="922" w:type="dxa"/>
            <w:shd w:val="clear" w:color="auto" w:fill="auto"/>
            <w:noWrap/>
            <w:vAlign w:val="center"/>
            <w:hideMark/>
          </w:tcPr>
          <w:p w14:paraId="09148B7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74382A3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(3,782)</w:t>
            </w:r>
          </w:p>
        </w:tc>
        <w:tc>
          <w:tcPr>
            <w:tcW w:w="922" w:type="dxa"/>
            <w:shd w:val="clear" w:color="auto" w:fill="auto"/>
            <w:noWrap/>
            <w:vAlign w:val="center"/>
            <w:hideMark/>
          </w:tcPr>
          <w:p w14:paraId="29B7E708"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0F26E52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(1,618)</w:t>
            </w:r>
          </w:p>
        </w:tc>
        <w:tc>
          <w:tcPr>
            <w:tcW w:w="922" w:type="dxa"/>
            <w:shd w:val="clear" w:color="auto" w:fill="auto"/>
            <w:noWrap/>
            <w:vAlign w:val="center"/>
            <w:hideMark/>
          </w:tcPr>
          <w:p w14:paraId="62324C21"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3" w:type="dxa"/>
            <w:shd w:val="clear" w:color="auto" w:fill="auto"/>
            <w:noWrap/>
            <w:vAlign w:val="center"/>
            <w:hideMark/>
          </w:tcPr>
          <w:p w14:paraId="3E9F7FF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(2,049)</w:t>
            </w:r>
          </w:p>
        </w:tc>
      </w:tr>
      <w:tr w:rsidR="003E5BF5" w:rsidRPr="0029213D" w14:paraId="03CEAAA0" w14:textId="77777777" w:rsidTr="004832D5">
        <w:trPr>
          <w:trHeight w:val="340"/>
        </w:trPr>
        <w:tc>
          <w:tcPr>
            <w:tcW w:w="3539" w:type="dxa"/>
            <w:shd w:val="clear" w:color="auto" w:fill="auto"/>
            <w:noWrap/>
            <w:vAlign w:val="center"/>
            <w:hideMark/>
          </w:tcPr>
          <w:p w14:paraId="0061C720" w14:textId="77777777" w:rsidR="003E5BF5" w:rsidRPr="0029213D" w:rsidRDefault="003E5BF5" w:rsidP="00DE1921">
            <w:pPr>
              <w:rPr>
                <w:rFonts w:ascii="Arial" w:hAnsi="Arial" w:cs="Arial"/>
                <w:sz w:val="24"/>
                <w:szCs w:val="24"/>
              </w:rPr>
            </w:pPr>
            <w:r w:rsidRPr="0029213D">
              <w:rPr>
                <w:rFonts w:ascii="Arial" w:hAnsi="Arial" w:cs="Arial"/>
                <w:sz w:val="24"/>
                <w:szCs w:val="24"/>
              </w:rPr>
              <w:t>Capital asset charge</w:t>
            </w:r>
          </w:p>
        </w:tc>
        <w:tc>
          <w:tcPr>
            <w:tcW w:w="922" w:type="dxa"/>
            <w:shd w:val="clear" w:color="auto" w:fill="auto"/>
            <w:noWrap/>
            <w:vAlign w:val="center"/>
            <w:hideMark/>
          </w:tcPr>
          <w:p w14:paraId="4220C408"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7E0D439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(57)</w:t>
            </w:r>
          </w:p>
        </w:tc>
        <w:tc>
          <w:tcPr>
            <w:tcW w:w="922" w:type="dxa"/>
            <w:shd w:val="clear" w:color="auto" w:fill="auto"/>
            <w:noWrap/>
            <w:vAlign w:val="center"/>
            <w:hideMark/>
          </w:tcPr>
          <w:p w14:paraId="5DE6FA87"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012604D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(280)</w:t>
            </w:r>
          </w:p>
        </w:tc>
        <w:tc>
          <w:tcPr>
            <w:tcW w:w="922" w:type="dxa"/>
            <w:shd w:val="clear" w:color="auto" w:fill="auto"/>
            <w:noWrap/>
            <w:vAlign w:val="center"/>
            <w:hideMark/>
          </w:tcPr>
          <w:p w14:paraId="2A950A0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3" w:type="dxa"/>
            <w:shd w:val="clear" w:color="auto" w:fill="auto"/>
            <w:noWrap/>
            <w:vAlign w:val="center"/>
            <w:hideMark/>
          </w:tcPr>
          <w:p w14:paraId="32AF229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(11,417)</w:t>
            </w:r>
          </w:p>
        </w:tc>
      </w:tr>
      <w:tr w:rsidR="003E5BF5" w:rsidRPr="0029213D" w14:paraId="6A051C92" w14:textId="77777777" w:rsidTr="004832D5">
        <w:trPr>
          <w:trHeight w:val="340"/>
        </w:trPr>
        <w:tc>
          <w:tcPr>
            <w:tcW w:w="3539" w:type="dxa"/>
            <w:shd w:val="clear" w:color="auto" w:fill="auto"/>
            <w:noWrap/>
            <w:vAlign w:val="center"/>
            <w:hideMark/>
          </w:tcPr>
          <w:p w14:paraId="2A747AF4" w14:textId="77777777" w:rsidR="003E5BF5" w:rsidRPr="0029213D" w:rsidRDefault="003E5BF5" w:rsidP="00DE1921">
            <w:pPr>
              <w:rPr>
                <w:rFonts w:ascii="Arial" w:hAnsi="Arial" w:cs="Arial"/>
                <w:sz w:val="24"/>
                <w:szCs w:val="24"/>
              </w:rPr>
            </w:pPr>
            <w:r w:rsidRPr="0029213D">
              <w:rPr>
                <w:rFonts w:ascii="Arial" w:hAnsi="Arial" w:cs="Arial"/>
                <w:sz w:val="24"/>
                <w:szCs w:val="24"/>
              </w:rPr>
              <w:t xml:space="preserve">Depreciation and amortisation </w:t>
            </w:r>
          </w:p>
        </w:tc>
        <w:tc>
          <w:tcPr>
            <w:tcW w:w="922" w:type="dxa"/>
            <w:shd w:val="clear" w:color="auto" w:fill="auto"/>
            <w:noWrap/>
            <w:vAlign w:val="center"/>
            <w:hideMark/>
          </w:tcPr>
          <w:p w14:paraId="519DB506"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2A36893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(50)</w:t>
            </w:r>
          </w:p>
        </w:tc>
        <w:tc>
          <w:tcPr>
            <w:tcW w:w="922" w:type="dxa"/>
            <w:shd w:val="clear" w:color="auto" w:fill="auto"/>
            <w:noWrap/>
            <w:vAlign w:val="center"/>
            <w:hideMark/>
          </w:tcPr>
          <w:p w14:paraId="093B305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3EBB45C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(656)</w:t>
            </w:r>
          </w:p>
        </w:tc>
        <w:tc>
          <w:tcPr>
            <w:tcW w:w="922" w:type="dxa"/>
            <w:shd w:val="clear" w:color="auto" w:fill="auto"/>
            <w:noWrap/>
            <w:vAlign w:val="center"/>
            <w:hideMark/>
          </w:tcPr>
          <w:p w14:paraId="31702BD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3" w:type="dxa"/>
            <w:shd w:val="clear" w:color="auto" w:fill="auto"/>
            <w:noWrap/>
            <w:vAlign w:val="center"/>
            <w:hideMark/>
          </w:tcPr>
          <w:p w14:paraId="374EEDC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(3,823)</w:t>
            </w:r>
          </w:p>
        </w:tc>
      </w:tr>
      <w:tr w:rsidR="003E5BF5" w:rsidRPr="0029213D" w14:paraId="57ACFCF2" w14:textId="77777777" w:rsidTr="004832D5">
        <w:trPr>
          <w:trHeight w:val="340"/>
        </w:trPr>
        <w:tc>
          <w:tcPr>
            <w:tcW w:w="3539" w:type="dxa"/>
            <w:shd w:val="clear" w:color="auto" w:fill="auto"/>
            <w:noWrap/>
            <w:vAlign w:val="center"/>
            <w:hideMark/>
          </w:tcPr>
          <w:p w14:paraId="61260419" w14:textId="77777777" w:rsidR="003E5BF5" w:rsidRPr="0029213D" w:rsidRDefault="003E5BF5" w:rsidP="00DE1921">
            <w:pPr>
              <w:rPr>
                <w:rFonts w:ascii="Arial" w:hAnsi="Arial" w:cs="Arial"/>
                <w:sz w:val="24"/>
                <w:szCs w:val="24"/>
              </w:rPr>
            </w:pPr>
            <w:r w:rsidRPr="0029213D">
              <w:rPr>
                <w:rFonts w:ascii="Arial" w:hAnsi="Arial" w:cs="Arial"/>
                <w:sz w:val="24"/>
                <w:szCs w:val="24"/>
              </w:rPr>
              <w:t>Interest expense</w:t>
            </w:r>
          </w:p>
        </w:tc>
        <w:tc>
          <w:tcPr>
            <w:tcW w:w="922" w:type="dxa"/>
            <w:shd w:val="clear" w:color="auto" w:fill="auto"/>
            <w:noWrap/>
            <w:vAlign w:val="center"/>
            <w:hideMark/>
          </w:tcPr>
          <w:p w14:paraId="0A7824FA"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3E2F41E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35FFB513"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2DD26D4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7CB7DCD0"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3" w:type="dxa"/>
            <w:shd w:val="clear" w:color="auto" w:fill="auto"/>
            <w:noWrap/>
            <w:vAlign w:val="center"/>
            <w:hideMark/>
          </w:tcPr>
          <w:p w14:paraId="349F207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w:t>
            </w:r>
          </w:p>
        </w:tc>
      </w:tr>
      <w:tr w:rsidR="003E5BF5" w:rsidRPr="0029213D" w14:paraId="2A4ADC53" w14:textId="77777777" w:rsidTr="004832D5">
        <w:trPr>
          <w:trHeight w:val="340"/>
        </w:trPr>
        <w:tc>
          <w:tcPr>
            <w:tcW w:w="3539" w:type="dxa"/>
            <w:shd w:val="clear" w:color="auto" w:fill="auto"/>
            <w:noWrap/>
            <w:vAlign w:val="center"/>
            <w:hideMark/>
          </w:tcPr>
          <w:p w14:paraId="2270C4F4" w14:textId="77777777" w:rsidR="003E5BF5" w:rsidRPr="0029213D" w:rsidRDefault="003E5BF5" w:rsidP="00DE1921">
            <w:pPr>
              <w:rPr>
                <w:rFonts w:ascii="Arial" w:hAnsi="Arial" w:cs="Arial"/>
                <w:sz w:val="24"/>
                <w:szCs w:val="24"/>
              </w:rPr>
            </w:pPr>
            <w:r w:rsidRPr="0029213D">
              <w:rPr>
                <w:rFonts w:ascii="Arial" w:hAnsi="Arial" w:cs="Arial"/>
                <w:sz w:val="24"/>
                <w:szCs w:val="24"/>
              </w:rPr>
              <w:t>Other operating expenses</w:t>
            </w:r>
          </w:p>
        </w:tc>
        <w:tc>
          <w:tcPr>
            <w:tcW w:w="922" w:type="dxa"/>
            <w:shd w:val="clear" w:color="auto" w:fill="auto"/>
            <w:noWrap/>
            <w:vAlign w:val="center"/>
            <w:hideMark/>
          </w:tcPr>
          <w:p w14:paraId="5B4093D7"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577478B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(3,185)</w:t>
            </w:r>
          </w:p>
        </w:tc>
        <w:tc>
          <w:tcPr>
            <w:tcW w:w="922" w:type="dxa"/>
            <w:shd w:val="clear" w:color="auto" w:fill="auto"/>
            <w:noWrap/>
            <w:vAlign w:val="center"/>
            <w:hideMark/>
          </w:tcPr>
          <w:p w14:paraId="2A480DFA"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294CEF3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(31,126)</w:t>
            </w:r>
          </w:p>
        </w:tc>
        <w:tc>
          <w:tcPr>
            <w:tcW w:w="922" w:type="dxa"/>
            <w:shd w:val="clear" w:color="auto" w:fill="auto"/>
            <w:noWrap/>
            <w:vAlign w:val="center"/>
            <w:hideMark/>
          </w:tcPr>
          <w:p w14:paraId="0781B7B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3" w:type="dxa"/>
            <w:shd w:val="clear" w:color="auto" w:fill="auto"/>
            <w:noWrap/>
            <w:vAlign w:val="center"/>
            <w:hideMark/>
          </w:tcPr>
          <w:p w14:paraId="1671E42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(2,099)</w:t>
            </w:r>
          </w:p>
        </w:tc>
      </w:tr>
      <w:tr w:rsidR="003E5BF5" w:rsidRPr="0029213D" w14:paraId="5EB6D2C7" w14:textId="77777777" w:rsidTr="004832D5">
        <w:trPr>
          <w:trHeight w:val="340"/>
        </w:trPr>
        <w:tc>
          <w:tcPr>
            <w:tcW w:w="3539" w:type="dxa"/>
            <w:shd w:val="clear" w:color="auto" w:fill="auto"/>
            <w:noWrap/>
            <w:vAlign w:val="center"/>
            <w:hideMark/>
          </w:tcPr>
          <w:p w14:paraId="14F3376B"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expenses from transactions</w:t>
            </w:r>
          </w:p>
        </w:tc>
        <w:tc>
          <w:tcPr>
            <w:tcW w:w="922" w:type="dxa"/>
            <w:shd w:val="clear" w:color="auto" w:fill="auto"/>
            <w:noWrap/>
            <w:vAlign w:val="center"/>
            <w:hideMark/>
          </w:tcPr>
          <w:p w14:paraId="51A1C07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2" w:type="dxa"/>
            <w:shd w:val="clear" w:color="auto" w:fill="auto"/>
            <w:noWrap/>
            <w:vAlign w:val="center"/>
            <w:hideMark/>
          </w:tcPr>
          <w:p w14:paraId="4562533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(34,406)</w:t>
            </w:r>
          </w:p>
        </w:tc>
        <w:tc>
          <w:tcPr>
            <w:tcW w:w="922" w:type="dxa"/>
            <w:shd w:val="clear" w:color="auto" w:fill="auto"/>
            <w:noWrap/>
            <w:vAlign w:val="center"/>
            <w:hideMark/>
          </w:tcPr>
          <w:p w14:paraId="681FAD6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2" w:type="dxa"/>
            <w:shd w:val="clear" w:color="auto" w:fill="auto"/>
            <w:noWrap/>
            <w:vAlign w:val="center"/>
            <w:hideMark/>
          </w:tcPr>
          <w:p w14:paraId="224C911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(185,917)</w:t>
            </w:r>
          </w:p>
        </w:tc>
        <w:tc>
          <w:tcPr>
            <w:tcW w:w="922" w:type="dxa"/>
            <w:shd w:val="clear" w:color="auto" w:fill="auto"/>
            <w:noWrap/>
            <w:vAlign w:val="center"/>
            <w:hideMark/>
          </w:tcPr>
          <w:p w14:paraId="6E66705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3" w:type="dxa"/>
            <w:shd w:val="clear" w:color="auto" w:fill="auto"/>
            <w:noWrap/>
            <w:vAlign w:val="center"/>
            <w:hideMark/>
          </w:tcPr>
          <w:p w14:paraId="6AF1F0F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(19,435)</w:t>
            </w:r>
          </w:p>
        </w:tc>
      </w:tr>
      <w:tr w:rsidR="003E5BF5" w:rsidRPr="0029213D" w14:paraId="45EE85DE" w14:textId="77777777" w:rsidTr="004832D5">
        <w:trPr>
          <w:trHeight w:val="340"/>
        </w:trPr>
        <w:tc>
          <w:tcPr>
            <w:tcW w:w="3539" w:type="dxa"/>
            <w:shd w:val="clear" w:color="auto" w:fill="auto"/>
            <w:noWrap/>
            <w:vAlign w:val="center"/>
            <w:hideMark/>
          </w:tcPr>
          <w:p w14:paraId="26C11767" w14:textId="77777777" w:rsidR="003E5BF5" w:rsidRPr="0029213D" w:rsidRDefault="003E5BF5" w:rsidP="00DE1921">
            <w:pPr>
              <w:rPr>
                <w:rFonts w:ascii="Arial" w:hAnsi="Arial" w:cs="Arial"/>
                <w:b/>
                <w:sz w:val="24"/>
                <w:szCs w:val="24"/>
              </w:rPr>
            </w:pPr>
            <w:r w:rsidRPr="0029213D">
              <w:rPr>
                <w:rFonts w:ascii="Arial" w:hAnsi="Arial" w:cs="Arial"/>
                <w:b/>
                <w:sz w:val="24"/>
                <w:szCs w:val="24"/>
              </w:rPr>
              <w:t>Net result from transactions</w:t>
            </w:r>
          </w:p>
        </w:tc>
        <w:tc>
          <w:tcPr>
            <w:tcW w:w="922" w:type="dxa"/>
            <w:shd w:val="clear" w:color="auto" w:fill="auto"/>
            <w:noWrap/>
            <w:vAlign w:val="center"/>
            <w:hideMark/>
          </w:tcPr>
          <w:p w14:paraId="58AB8E9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2" w:type="dxa"/>
            <w:shd w:val="clear" w:color="auto" w:fill="auto"/>
            <w:noWrap/>
            <w:vAlign w:val="center"/>
            <w:hideMark/>
          </w:tcPr>
          <w:p w14:paraId="488A8F0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800 </w:t>
            </w:r>
          </w:p>
        </w:tc>
        <w:tc>
          <w:tcPr>
            <w:tcW w:w="922" w:type="dxa"/>
            <w:shd w:val="clear" w:color="auto" w:fill="auto"/>
            <w:noWrap/>
            <w:vAlign w:val="center"/>
            <w:hideMark/>
          </w:tcPr>
          <w:p w14:paraId="069DB44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2" w:type="dxa"/>
            <w:shd w:val="clear" w:color="auto" w:fill="auto"/>
            <w:noWrap/>
            <w:vAlign w:val="center"/>
            <w:hideMark/>
          </w:tcPr>
          <w:p w14:paraId="6B1A764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(27,856)</w:t>
            </w:r>
          </w:p>
        </w:tc>
        <w:tc>
          <w:tcPr>
            <w:tcW w:w="922" w:type="dxa"/>
            <w:shd w:val="clear" w:color="auto" w:fill="auto"/>
            <w:noWrap/>
            <w:vAlign w:val="center"/>
            <w:hideMark/>
          </w:tcPr>
          <w:p w14:paraId="7138D4F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3" w:type="dxa"/>
            <w:shd w:val="clear" w:color="auto" w:fill="auto"/>
            <w:noWrap/>
            <w:vAlign w:val="center"/>
            <w:hideMark/>
          </w:tcPr>
          <w:p w14:paraId="2C4DF64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(145)</w:t>
            </w:r>
          </w:p>
        </w:tc>
      </w:tr>
      <w:tr w:rsidR="003E5BF5" w:rsidRPr="0029213D" w14:paraId="4F085A2D" w14:textId="77777777" w:rsidTr="004832D5">
        <w:trPr>
          <w:trHeight w:val="340"/>
        </w:trPr>
        <w:tc>
          <w:tcPr>
            <w:tcW w:w="3539" w:type="dxa"/>
            <w:shd w:val="clear" w:color="auto" w:fill="auto"/>
            <w:noWrap/>
            <w:vAlign w:val="center"/>
            <w:hideMark/>
          </w:tcPr>
          <w:p w14:paraId="6A9281B1" w14:textId="77777777" w:rsidR="003E5BF5" w:rsidRPr="0029213D" w:rsidRDefault="003E5BF5" w:rsidP="00DE1921">
            <w:pPr>
              <w:rPr>
                <w:rFonts w:ascii="Arial" w:hAnsi="Arial" w:cs="Arial"/>
                <w:b/>
                <w:sz w:val="24"/>
                <w:szCs w:val="24"/>
              </w:rPr>
            </w:pPr>
          </w:p>
        </w:tc>
        <w:tc>
          <w:tcPr>
            <w:tcW w:w="922" w:type="dxa"/>
            <w:shd w:val="clear" w:color="auto" w:fill="auto"/>
            <w:noWrap/>
            <w:vAlign w:val="center"/>
            <w:hideMark/>
          </w:tcPr>
          <w:p w14:paraId="118660A9" w14:textId="77777777" w:rsidR="003E5BF5" w:rsidRPr="0029213D" w:rsidRDefault="003E5BF5" w:rsidP="00DE1921">
            <w:pPr>
              <w:jc w:val="right"/>
              <w:rPr>
                <w:rFonts w:ascii="Arial" w:hAnsi="Arial" w:cs="Arial"/>
                <w:sz w:val="24"/>
                <w:szCs w:val="24"/>
              </w:rPr>
            </w:pPr>
          </w:p>
        </w:tc>
        <w:tc>
          <w:tcPr>
            <w:tcW w:w="922" w:type="dxa"/>
            <w:shd w:val="clear" w:color="auto" w:fill="auto"/>
            <w:noWrap/>
            <w:vAlign w:val="center"/>
            <w:hideMark/>
          </w:tcPr>
          <w:p w14:paraId="6B36E272" w14:textId="77777777" w:rsidR="003E5BF5" w:rsidRPr="0029213D" w:rsidRDefault="003E5BF5" w:rsidP="00DE1921">
            <w:pPr>
              <w:jc w:val="right"/>
              <w:rPr>
                <w:rFonts w:ascii="Arial" w:hAnsi="Arial" w:cs="Arial"/>
                <w:sz w:val="24"/>
                <w:szCs w:val="24"/>
              </w:rPr>
            </w:pPr>
          </w:p>
        </w:tc>
        <w:tc>
          <w:tcPr>
            <w:tcW w:w="922" w:type="dxa"/>
            <w:shd w:val="clear" w:color="auto" w:fill="auto"/>
            <w:noWrap/>
            <w:vAlign w:val="center"/>
            <w:hideMark/>
          </w:tcPr>
          <w:p w14:paraId="339A3251" w14:textId="77777777" w:rsidR="003E5BF5" w:rsidRPr="0029213D" w:rsidRDefault="003E5BF5" w:rsidP="00DE1921">
            <w:pPr>
              <w:jc w:val="right"/>
              <w:rPr>
                <w:rFonts w:ascii="Arial" w:hAnsi="Arial" w:cs="Arial"/>
                <w:sz w:val="24"/>
                <w:szCs w:val="24"/>
              </w:rPr>
            </w:pPr>
          </w:p>
        </w:tc>
        <w:tc>
          <w:tcPr>
            <w:tcW w:w="922" w:type="dxa"/>
            <w:shd w:val="clear" w:color="auto" w:fill="auto"/>
            <w:noWrap/>
            <w:vAlign w:val="center"/>
            <w:hideMark/>
          </w:tcPr>
          <w:p w14:paraId="3D890D7D" w14:textId="77777777" w:rsidR="003E5BF5" w:rsidRPr="0029213D" w:rsidRDefault="003E5BF5" w:rsidP="00DE1921">
            <w:pPr>
              <w:jc w:val="right"/>
              <w:rPr>
                <w:rFonts w:ascii="Arial" w:hAnsi="Arial" w:cs="Arial"/>
                <w:sz w:val="24"/>
                <w:szCs w:val="24"/>
              </w:rPr>
            </w:pPr>
          </w:p>
        </w:tc>
        <w:tc>
          <w:tcPr>
            <w:tcW w:w="922" w:type="dxa"/>
            <w:shd w:val="clear" w:color="auto" w:fill="auto"/>
            <w:noWrap/>
            <w:vAlign w:val="center"/>
            <w:hideMark/>
          </w:tcPr>
          <w:p w14:paraId="4DD759DD" w14:textId="77777777" w:rsidR="003E5BF5" w:rsidRPr="0029213D" w:rsidRDefault="003E5BF5" w:rsidP="00DE1921">
            <w:pPr>
              <w:jc w:val="right"/>
              <w:rPr>
                <w:rFonts w:ascii="Arial" w:hAnsi="Arial" w:cs="Arial"/>
                <w:sz w:val="24"/>
                <w:szCs w:val="24"/>
              </w:rPr>
            </w:pPr>
          </w:p>
        </w:tc>
        <w:tc>
          <w:tcPr>
            <w:tcW w:w="923" w:type="dxa"/>
            <w:shd w:val="clear" w:color="auto" w:fill="auto"/>
            <w:noWrap/>
            <w:vAlign w:val="center"/>
            <w:hideMark/>
          </w:tcPr>
          <w:p w14:paraId="599F4AE0" w14:textId="77777777" w:rsidR="003E5BF5" w:rsidRPr="0029213D" w:rsidRDefault="003E5BF5" w:rsidP="00DE1921">
            <w:pPr>
              <w:jc w:val="right"/>
              <w:rPr>
                <w:rFonts w:ascii="Arial" w:hAnsi="Arial" w:cs="Arial"/>
                <w:sz w:val="24"/>
                <w:szCs w:val="24"/>
              </w:rPr>
            </w:pPr>
          </w:p>
        </w:tc>
      </w:tr>
      <w:tr w:rsidR="003E5BF5" w:rsidRPr="0029213D" w14:paraId="1B50156D" w14:textId="77777777" w:rsidTr="004832D5">
        <w:trPr>
          <w:trHeight w:val="340"/>
        </w:trPr>
        <w:tc>
          <w:tcPr>
            <w:tcW w:w="3539" w:type="dxa"/>
            <w:shd w:val="clear" w:color="auto" w:fill="auto"/>
            <w:noWrap/>
            <w:vAlign w:val="center"/>
            <w:hideMark/>
          </w:tcPr>
          <w:p w14:paraId="0E785248" w14:textId="77777777" w:rsidR="003E5BF5" w:rsidRPr="0029213D" w:rsidRDefault="003E5BF5" w:rsidP="00604703">
            <w:pPr>
              <w:pStyle w:val="TableTextGreen"/>
            </w:pPr>
            <w:r w:rsidRPr="0029213D">
              <w:t>Other economic flows included in net result</w:t>
            </w:r>
          </w:p>
        </w:tc>
        <w:tc>
          <w:tcPr>
            <w:tcW w:w="922" w:type="dxa"/>
            <w:shd w:val="clear" w:color="auto" w:fill="auto"/>
            <w:noWrap/>
            <w:vAlign w:val="center"/>
            <w:hideMark/>
          </w:tcPr>
          <w:p w14:paraId="38F95725" w14:textId="77777777" w:rsidR="003E5BF5" w:rsidRPr="0029213D" w:rsidRDefault="003E5BF5" w:rsidP="00DE1921">
            <w:pPr>
              <w:jc w:val="right"/>
              <w:rPr>
                <w:rFonts w:ascii="Arial" w:hAnsi="Arial" w:cs="Arial"/>
                <w:sz w:val="24"/>
                <w:szCs w:val="24"/>
              </w:rPr>
            </w:pPr>
          </w:p>
        </w:tc>
        <w:tc>
          <w:tcPr>
            <w:tcW w:w="922" w:type="dxa"/>
            <w:shd w:val="clear" w:color="auto" w:fill="auto"/>
            <w:noWrap/>
            <w:vAlign w:val="center"/>
            <w:hideMark/>
          </w:tcPr>
          <w:p w14:paraId="5090E8C1" w14:textId="77777777" w:rsidR="003E5BF5" w:rsidRPr="0029213D" w:rsidRDefault="003E5BF5" w:rsidP="00DE1921">
            <w:pPr>
              <w:jc w:val="right"/>
              <w:rPr>
                <w:rFonts w:ascii="Arial" w:hAnsi="Arial" w:cs="Arial"/>
                <w:sz w:val="24"/>
                <w:szCs w:val="24"/>
              </w:rPr>
            </w:pPr>
          </w:p>
        </w:tc>
        <w:tc>
          <w:tcPr>
            <w:tcW w:w="922" w:type="dxa"/>
            <w:shd w:val="clear" w:color="auto" w:fill="auto"/>
            <w:noWrap/>
            <w:vAlign w:val="center"/>
            <w:hideMark/>
          </w:tcPr>
          <w:p w14:paraId="623E046F" w14:textId="77777777" w:rsidR="003E5BF5" w:rsidRPr="0029213D" w:rsidRDefault="003E5BF5" w:rsidP="00DE1921">
            <w:pPr>
              <w:jc w:val="right"/>
              <w:rPr>
                <w:rFonts w:ascii="Arial" w:hAnsi="Arial" w:cs="Arial"/>
                <w:sz w:val="24"/>
                <w:szCs w:val="24"/>
              </w:rPr>
            </w:pPr>
          </w:p>
        </w:tc>
        <w:tc>
          <w:tcPr>
            <w:tcW w:w="922" w:type="dxa"/>
            <w:shd w:val="clear" w:color="auto" w:fill="auto"/>
            <w:noWrap/>
            <w:vAlign w:val="center"/>
            <w:hideMark/>
          </w:tcPr>
          <w:p w14:paraId="003D0BBE" w14:textId="77777777" w:rsidR="003E5BF5" w:rsidRPr="0029213D" w:rsidRDefault="003E5BF5" w:rsidP="00DE1921">
            <w:pPr>
              <w:jc w:val="right"/>
              <w:rPr>
                <w:rFonts w:ascii="Arial" w:hAnsi="Arial" w:cs="Arial"/>
                <w:sz w:val="24"/>
                <w:szCs w:val="24"/>
              </w:rPr>
            </w:pPr>
          </w:p>
        </w:tc>
        <w:tc>
          <w:tcPr>
            <w:tcW w:w="922" w:type="dxa"/>
            <w:shd w:val="clear" w:color="auto" w:fill="auto"/>
            <w:noWrap/>
            <w:vAlign w:val="center"/>
            <w:hideMark/>
          </w:tcPr>
          <w:p w14:paraId="40F81D57" w14:textId="77777777" w:rsidR="003E5BF5" w:rsidRPr="0029213D" w:rsidRDefault="003E5BF5" w:rsidP="00DE1921">
            <w:pPr>
              <w:jc w:val="right"/>
              <w:rPr>
                <w:rFonts w:ascii="Arial" w:hAnsi="Arial" w:cs="Arial"/>
                <w:sz w:val="24"/>
                <w:szCs w:val="24"/>
              </w:rPr>
            </w:pPr>
          </w:p>
        </w:tc>
        <w:tc>
          <w:tcPr>
            <w:tcW w:w="923" w:type="dxa"/>
            <w:shd w:val="clear" w:color="auto" w:fill="auto"/>
            <w:noWrap/>
            <w:vAlign w:val="center"/>
            <w:hideMark/>
          </w:tcPr>
          <w:p w14:paraId="098A579F" w14:textId="77777777" w:rsidR="003E5BF5" w:rsidRPr="0029213D" w:rsidRDefault="003E5BF5" w:rsidP="00DE1921">
            <w:pPr>
              <w:jc w:val="right"/>
              <w:rPr>
                <w:rFonts w:ascii="Arial" w:hAnsi="Arial" w:cs="Arial"/>
                <w:sz w:val="24"/>
                <w:szCs w:val="24"/>
              </w:rPr>
            </w:pPr>
          </w:p>
        </w:tc>
      </w:tr>
      <w:tr w:rsidR="003E5BF5" w:rsidRPr="0029213D" w14:paraId="3C7B455C" w14:textId="77777777" w:rsidTr="004832D5">
        <w:trPr>
          <w:trHeight w:val="340"/>
        </w:trPr>
        <w:tc>
          <w:tcPr>
            <w:tcW w:w="3539" w:type="dxa"/>
            <w:shd w:val="clear" w:color="auto" w:fill="auto"/>
            <w:noWrap/>
            <w:vAlign w:val="center"/>
            <w:hideMark/>
          </w:tcPr>
          <w:p w14:paraId="6A52C5F2" w14:textId="77777777" w:rsidR="003E5BF5" w:rsidRPr="0029213D" w:rsidRDefault="003E5BF5" w:rsidP="00DE1921">
            <w:pPr>
              <w:rPr>
                <w:rFonts w:ascii="Arial" w:hAnsi="Arial" w:cs="Arial"/>
                <w:sz w:val="24"/>
                <w:szCs w:val="24"/>
              </w:rPr>
            </w:pPr>
            <w:r w:rsidRPr="0029213D">
              <w:rPr>
                <w:rFonts w:ascii="Arial" w:hAnsi="Arial" w:cs="Arial"/>
                <w:sz w:val="24"/>
                <w:szCs w:val="24"/>
              </w:rPr>
              <w:t>Net loss on non-financial assets</w:t>
            </w:r>
          </w:p>
        </w:tc>
        <w:tc>
          <w:tcPr>
            <w:tcW w:w="922" w:type="dxa"/>
            <w:shd w:val="clear" w:color="auto" w:fill="auto"/>
            <w:noWrap/>
            <w:vAlign w:val="center"/>
            <w:hideMark/>
          </w:tcPr>
          <w:p w14:paraId="0480BC78"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59CAFC1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5B36F166"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65D7C27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w:t>
            </w:r>
          </w:p>
        </w:tc>
        <w:tc>
          <w:tcPr>
            <w:tcW w:w="922" w:type="dxa"/>
            <w:shd w:val="clear" w:color="auto" w:fill="auto"/>
            <w:noWrap/>
            <w:vAlign w:val="center"/>
            <w:hideMark/>
          </w:tcPr>
          <w:p w14:paraId="214C95C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3" w:type="dxa"/>
            <w:shd w:val="clear" w:color="auto" w:fill="auto"/>
            <w:noWrap/>
            <w:vAlign w:val="center"/>
            <w:hideMark/>
          </w:tcPr>
          <w:p w14:paraId="121B4D90"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409B74DF" w14:textId="77777777" w:rsidTr="004832D5">
        <w:trPr>
          <w:trHeight w:val="340"/>
        </w:trPr>
        <w:tc>
          <w:tcPr>
            <w:tcW w:w="3539" w:type="dxa"/>
            <w:shd w:val="clear" w:color="auto" w:fill="auto"/>
            <w:noWrap/>
            <w:vAlign w:val="center"/>
            <w:hideMark/>
          </w:tcPr>
          <w:p w14:paraId="6020AF2A" w14:textId="77777777" w:rsidR="003E5BF5" w:rsidRPr="0029213D" w:rsidRDefault="003E5BF5" w:rsidP="00DE1921">
            <w:pPr>
              <w:rPr>
                <w:rFonts w:ascii="Arial" w:hAnsi="Arial" w:cs="Arial"/>
                <w:sz w:val="24"/>
                <w:szCs w:val="24"/>
              </w:rPr>
            </w:pPr>
            <w:r w:rsidRPr="0029213D">
              <w:rPr>
                <w:rFonts w:ascii="Arial" w:hAnsi="Arial" w:cs="Arial"/>
                <w:sz w:val="24"/>
                <w:szCs w:val="24"/>
              </w:rPr>
              <w:t>Net loss on financial instruments</w:t>
            </w:r>
          </w:p>
        </w:tc>
        <w:tc>
          <w:tcPr>
            <w:tcW w:w="922" w:type="dxa"/>
            <w:shd w:val="clear" w:color="auto" w:fill="auto"/>
            <w:noWrap/>
            <w:vAlign w:val="center"/>
            <w:hideMark/>
          </w:tcPr>
          <w:p w14:paraId="60ECC8C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76E06BE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1A98CB20"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72B5394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vAlign w:val="center"/>
            <w:hideMark/>
          </w:tcPr>
          <w:p w14:paraId="2D64456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3" w:type="dxa"/>
            <w:shd w:val="clear" w:color="auto" w:fill="auto"/>
            <w:noWrap/>
            <w:vAlign w:val="center"/>
            <w:hideMark/>
          </w:tcPr>
          <w:p w14:paraId="7AC7086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63EDB999" w14:textId="77777777" w:rsidTr="004832D5">
        <w:trPr>
          <w:trHeight w:val="340"/>
        </w:trPr>
        <w:tc>
          <w:tcPr>
            <w:tcW w:w="3539" w:type="dxa"/>
            <w:shd w:val="clear" w:color="auto" w:fill="auto"/>
            <w:noWrap/>
            <w:vAlign w:val="center"/>
            <w:hideMark/>
          </w:tcPr>
          <w:p w14:paraId="26DF743E" w14:textId="77777777" w:rsidR="003E5BF5" w:rsidRPr="0029213D" w:rsidRDefault="003E5BF5" w:rsidP="00DE1921">
            <w:pPr>
              <w:rPr>
                <w:rFonts w:ascii="Arial" w:hAnsi="Arial" w:cs="Arial"/>
                <w:sz w:val="24"/>
                <w:szCs w:val="24"/>
              </w:rPr>
            </w:pPr>
            <w:r w:rsidRPr="0029213D">
              <w:rPr>
                <w:rFonts w:ascii="Arial" w:hAnsi="Arial" w:cs="Arial"/>
                <w:sz w:val="24"/>
                <w:szCs w:val="24"/>
              </w:rPr>
              <w:t>Other gains/(losses) from other economic flows</w:t>
            </w:r>
          </w:p>
        </w:tc>
        <w:tc>
          <w:tcPr>
            <w:tcW w:w="922" w:type="dxa"/>
            <w:shd w:val="clear" w:color="auto" w:fill="auto"/>
            <w:noWrap/>
            <w:hideMark/>
          </w:tcPr>
          <w:p w14:paraId="657B313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hideMark/>
          </w:tcPr>
          <w:p w14:paraId="421BB16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(8)</w:t>
            </w:r>
          </w:p>
        </w:tc>
        <w:tc>
          <w:tcPr>
            <w:tcW w:w="922" w:type="dxa"/>
            <w:shd w:val="clear" w:color="auto" w:fill="auto"/>
            <w:noWrap/>
            <w:hideMark/>
          </w:tcPr>
          <w:p w14:paraId="3B7236A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2" w:type="dxa"/>
            <w:shd w:val="clear" w:color="auto" w:fill="auto"/>
            <w:noWrap/>
            <w:hideMark/>
          </w:tcPr>
          <w:p w14:paraId="27A87EC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(40)</w:t>
            </w:r>
          </w:p>
        </w:tc>
        <w:tc>
          <w:tcPr>
            <w:tcW w:w="922" w:type="dxa"/>
            <w:shd w:val="clear" w:color="auto" w:fill="auto"/>
            <w:noWrap/>
            <w:hideMark/>
          </w:tcPr>
          <w:p w14:paraId="0613D89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23" w:type="dxa"/>
            <w:shd w:val="clear" w:color="auto" w:fill="auto"/>
            <w:noWrap/>
            <w:hideMark/>
          </w:tcPr>
          <w:p w14:paraId="42697D0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(11)</w:t>
            </w:r>
          </w:p>
        </w:tc>
      </w:tr>
      <w:tr w:rsidR="003E5BF5" w:rsidRPr="0029213D" w14:paraId="1390FB33" w14:textId="77777777" w:rsidTr="004832D5">
        <w:trPr>
          <w:trHeight w:val="340"/>
        </w:trPr>
        <w:tc>
          <w:tcPr>
            <w:tcW w:w="3539" w:type="dxa"/>
            <w:shd w:val="clear" w:color="auto" w:fill="auto"/>
            <w:noWrap/>
            <w:vAlign w:val="center"/>
            <w:hideMark/>
          </w:tcPr>
          <w:p w14:paraId="31F616CC"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other economic flows included in net result</w:t>
            </w:r>
          </w:p>
        </w:tc>
        <w:tc>
          <w:tcPr>
            <w:tcW w:w="922" w:type="dxa"/>
            <w:shd w:val="clear" w:color="auto" w:fill="auto"/>
            <w:noWrap/>
            <w:hideMark/>
          </w:tcPr>
          <w:p w14:paraId="48D55F6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2" w:type="dxa"/>
            <w:shd w:val="clear" w:color="auto" w:fill="auto"/>
            <w:noWrap/>
            <w:hideMark/>
          </w:tcPr>
          <w:p w14:paraId="3CB9132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(8)</w:t>
            </w:r>
          </w:p>
        </w:tc>
        <w:tc>
          <w:tcPr>
            <w:tcW w:w="922" w:type="dxa"/>
            <w:shd w:val="clear" w:color="auto" w:fill="auto"/>
            <w:noWrap/>
            <w:hideMark/>
          </w:tcPr>
          <w:p w14:paraId="2321D11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2" w:type="dxa"/>
            <w:shd w:val="clear" w:color="auto" w:fill="auto"/>
            <w:noWrap/>
            <w:hideMark/>
          </w:tcPr>
          <w:p w14:paraId="635EF8C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(42)</w:t>
            </w:r>
          </w:p>
        </w:tc>
        <w:tc>
          <w:tcPr>
            <w:tcW w:w="922" w:type="dxa"/>
            <w:shd w:val="clear" w:color="auto" w:fill="auto"/>
            <w:noWrap/>
            <w:hideMark/>
          </w:tcPr>
          <w:p w14:paraId="4D79F40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3" w:type="dxa"/>
            <w:shd w:val="clear" w:color="auto" w:fill="auto"/>
            <w:noWrap/>
            <w:hideMark/>
          </w:tcPr>
          <w:p w14:paraId="5A94A52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(11)</w:t>
            </w:r>
          </w:p>
        </w:tc>
      </w:tr>
      <w:tr w:rsidR="003E5BF5" w:rsidRPr="0029213D" w14:paraId="325980BA" w14:textId="77777777" w:rsidTr="004832D5">
        <w:trPr>
          <w:trHeight w:val="340"/>
        </w:trPr>
        <w:tc>
          <w:tcPr>
            <w:tcW w:w="3539" w:type="dxa"/>
            <w:shd w:val="clear" w:color="auto" w:fill="auto"/>
            <w:noWrap/>
            <w:vAlign w:val="center"/>
            <w:hideMark/>
          </w:tcPr>
          <w:p w14:paraId="3C019D2F" w14:textId="77777777" w:rsidR="003E5BF5" w:rsidRPr="0029213D" w:rsidRDefault="003E5BF5" w:rsidP="00DE1921">
            <w:pPr>
              <w:rPr>
                <w:rFonts w:ascii="Arial" w:hAnsi="Arial" w:cs="Arial"/>
                <w:b/>
                <w:sz w:val="24"/>
                <w:szCs w:val="24"/>
              </w:rPr>
            </w:pPr>
            <w:r w:rsidRPr="0029213D">
              <w:rPr>
                <w:rFonts w:ascii="Arial" w:hAnsi="Arial" w:cs="Arial"/>
                <w:b/>
                <w:sz w:val="24"/>
                <w:szCs w:val="24"/>
              </w:rPr>
              <w:t>Net result</w:t>
            </w:r>
          </w:p>
        </w:tc>
        <w:tc>
          <w:tcPr>
            <w:tcW w:w="922" w:type="dxa"/>
            <w:shd w:val="clear" w:color="auto" w:fill="auto"/>
            <w:noWrap/>
            <w:vAlign w:val="center"/>
            <w:hideMark/>
          </w:tcPr>
          <w:p w14:paraId="24F7DCC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2" w:type="dxa"/>
            <w:shd w:val="clear" w:color="auto" w:fill="auto"/>
            <w:noWrap/>
            <w:vAlign w:val="center"/>
            <w:hideMark/>
          </w:tcPr>
          <w:p w14:paraId="53DCB94B"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792 </w:t>
            </w:r>
          </w:p>
        </w:tc>
        <w:tc>
          <w:tcPr>
            <w:tcW w:w="922" w:type="dxa"/>
            <w:shd w:val="clear" w:color="auto" w:fill="auto"/>
            <w:noWrap/>
            <w:vAlign w:val="center"/>
            <w:hideMark/>
          </w:tcPr>
          <w:p w14:paraId="55BD62A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2" w:type="dxa"/>
            <w:shd w:val="clear" w:color="auto" w:fill="auto"/>
            <w:noWrap/>
            <w:vAlign w:val="center"/>
            <w:hideMark/>
          </w:tcPr>
          <w:p w14:paraId="5D7DF2B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(27,898)</w:t>
            </w:r>
          </w:p>
        </w:tc>
        <w:tc>
          <w:tcPr>
            <w:tcW w:w="922" w:type="dxa"/>
            <w:shd w:val="clear" w:color="auto" w:fill="auto"/>
            <w:noWrap/>
            <w:vAlign w:val="center"/>
            <w:hideMark/>
          </w:tcPr>
          <w:p w14:paraId="43D6093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3" w:type="dxa"/>
            <w:shd w:val="clear" w:color="auto" w:fill="auto"/>
            <w:noWrap/>
            <w:vAlign w:val="center"/>
            <w:hideMark/>
          </w:tcPr>
          <w:p w14:paraId="052D351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(156)</w:t>
            </w:r>
          </w:p>
        </w:tc>
      </w:tr>
      <w:tr w:rsidR="003E5BF5" w:rsidRPr="0029213D" w14:paraId="284D7B40" w14:textId="77777777" w:rsidTr="004832D5">
        <w:trPr>
          <w:trHeight w:val="340"/>
        </w:trPr>
        <w:tc>
          <w:tcPr>
            <w:tcW w:w="3539" w:type="dxa"/>
            <w:shd w:val="clear" w:color="auto" w:fill="auto"/>
            <w:noWrap/>
            <w:vAlign w:val="center"/>
            <w:hideMark/>
          </w:tcPr>
          <w:p w14:paraId="2EAC3836" w14:textId="77777777" w:rsidR="003E5BF5" w:rsidRPr="0029213D" w:rsidRDefault="003E5BF5" w:rsidP="00DE1921">
            <w:pPr>
              <w:rPr>
                <w:rFonts w:ascii="Arial" w:hAnsi="Arial" w:cs="Arial"/>
                <w:b/>
                <w:sz w:val="24"/>
                <w:szCs w:val="24"/>
              </w:rPr>
            </w:pPr>
            <w:r w:rsidRPr="0029213D">
              <w:rPr>
                <w:rFonts w:ascii="Arial" w:hAnsi="Arial" w:cs="Arial"/>
                <w:b/>
                <w:sz w:val="24"/>
                <w:szCs w:val="24"/>
              </w:rPr>
              <w:t>Comprehensive result</w:t>
            </w:r>
          </w:p>
        </w:tc>
        <w:tc>
          <w:tcPr>
            <w:tcW w:w="922" w:type="dxa"/>
            <w:shd w:val="clear" w:color="auto" w:fill="auto"/>
            <w:noWrap/>
            <w:vAlign w:val="center"/>
            <w:hideMark/>
          </w:tcPr>
          <w:p w14:paraId="1FF544E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2" w:type="dxa"/>
            <w:shd w:val="clear" w:color="auto" w:fill="auto"/>
            <w:noWrap/>
            <w:vAlign w:val="center"/>
            <w:hideMark/>
          </w:tcPr>
          <w:p w14:paraId="1F60871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792 </w:t>
            </w:r>
          </w:p>
        </w:tc>
        <w:tc>
          <w:tcPr>
            <w:tcW w:w="922" w:type="dxa"/>
            <w:shd w:val="clear" w:color="auto" w:fill="auto"/>
            <w:noWrap/>
            <w:vAlign w:val="center"/>
            <w:hideMark/>
          </w:tcPr>
          <w:p w14:paraId="552A5F68"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2" w:type="dxa"/>
            <w:shd w:val="clear" w:color="auto" w:fill="auto"/>
            <w:noWrap/>
            <w:vAlign w:val="center"/>
            <w:hideMark/>
          </w:tcPr>
          <w:p w14:paraId="559AF68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(27,898)</w:t>
            </w:r>
          </w:p>
        </w:tc>
        <w:tc>
          <w:tcPr>
            <w:tcW w:w="922" w:type="dxa"/>
            <w:shd w:val="clear" w:color="auto" w:fill="auto"/>
            <w:noWrap/>
            <w:vAlign w:val="center"/>
            <w:hideMark/>
          </w:tcPr>
          <w:p w14:paraId="34F008B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23" w:type="dxa"/>
            <w:shd w:val="clear" w:color="auto" w:fill="auto"/>
            <w:noWrap/>
            <w:vAlign w:val="center"/>
            <w:hideMark/>
          </w:tcPr>
          <w:p w14:paraId="778AF10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(156)</w:t>
            </w:r>
          </w:p>
        </w:tc>
      </w:tr>
    </w:tbl>
    <w:p w14:paraId="3F7E1AB2" w14:textId="77777777" w:rsidR="003E5BF5" w:rsidRDefault="003E5BF5" w:rsidP="00DE1921"/>
    <w:p w14:paraId="63D2ED56" w14:textId="77777777" w:rsidR="003E5BF5" w:rsidRPr="004352D6" w:rsidRDefault="003E5BF5" w:rsidP="00DE1921">
      <w:r w:rsidRPr="004352D6">
        <w:br w:type="page"/>
      </w:r>
    </w:p>
    <w:tbl>
      <w:tblPr>
        <w:tblStyle w:val="TableGrid"/>
        <w:tblW w:w="9923" w:type="dxa"/>
        <w:tblLayout w:type="fixed"/>
        <w:tblCellMar>
          <w:left w:w="28" w:type="dxa"/>
          <w:right w:w="28" w:type="dxa"/>
        </w:tblCellMar>
        <w:tblLook w:val="04A0" w:firstRow="1" w:lastRow="0" w:firstColumn="1" w:lastColumn="0" w:noHBand="0" w:noVBand="1"/>
      </w:tblPr>
      <w:tblGrid>
        <w:gridCol w:w="3880"/>
        <w:gridCol w:w="1008"/>
        <w:gridCol w:w="1209"/>
        <w:gridCol w:w="808"/>
        <w:gridCol w:w="1008"/>
        <w:gridCol w:w="1008"/>
        <w:gridCol w:w="1002"/>
      </w:tblGrid>
      <w:tr w:rsidR="003E5BF5" w:rsidRPr="0029213D" w14:paraId="0E592FE9" w14:textId="77777777" w:rsidTr="004832D5">
        <w:trPr>
          <w:trHeight w:val="340"/>
        </w:trPr>
        <w:tc>
          <w:tcPr>
            <w:tcW w:w="1955" w:type="pct"/>
            <w:shd w:val="clear" w:color="auto" w:fill="auto"/>
            <w:hideMark/>
          </w:tcPr>
          <w:p w14:paraId="2DE7F1CE" w14:textId="77777777" w:rsidR="003E5BF5" w:rsidRPr="0029213D" w:rsidRDefault="003E5BF5" w:rsidP="00DE1921">
            <w:pPr>
              <w:rPr>
                <w:rFonts w:ascii="Arial" w:hAnsi="Arial" w:cs="Arial"/>
                <w:sz w:val="24"/>
                <w:szCs w:val="24"/>
              </w:rPr>
            </w:pPr>
            <w:bookmarkStart w:id="215" w:name="RANGE!AQ3:AW39"/>
            <w:bookmarkStart w:id="216" w:name="RANGE!AQ3:AW35"/>
            <w:bookmarkEnd w:id="215"/>
            <w:bookmarkEnd w:id="216"/>
          </w:p>
        </w:tc>
        <w:tc>
          <w:tcPr>
            <w:tcW w:w="3045" w:type="pct"/>
            <w:gridSpan w:val="6"/>
            <w:shd w:val="clear" w:color="auto" w:fill="auto"/>
            <w:vAlign w:val="center"/>
            <w:hideMark/>
          </w:tcPr>
          <w:p w14:paraId="36344573"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 thousand)</w:t>
            </w:r>
          </w:p>
        </w:tc>
      </w:tr>
      <w:tr w:rsidR="003E5BF5" w:rsidRPr="0029213D" w14:paraId="0D2D25AE" w14:textId="77777777" w:rsidTr="004832D5">
        <w:trPr>
          <w:trHeight w:val="340"/>
        </w:trPr>
        <w:tc>
          <w:tcPr>
            <w:tcW w:w="1955" w:type="pct"/>
            <w:shd w:val="clear" w:color="auto" w:fill="auto"/>
            <w:noWrap/>
            <w:hideMark/>
          </w:tcPr>
          <w:p w14:paraId="0E8FBD0A" w14:textId="77777777" w:rsidR="003E5BF5" w:rsidRPr="0029213D" w:rsidRDefault="003E5BF5" w:rsidP="00DE1921">
            <w:pPr>
              <w:rPr>
                <w:rFonts w:ascii="Arial" w:hAnsi="Arial" w:cs="Arial"/>
                <w:sz w:val="24"/>
                <w:szCs w:val="24"/>
              </w:rPr>
            </w:pPr>
          </w:p>
        </w:tc>
        <w:tc>
          <w:tcPr>
            <w:tcW w:w="1117" w:type="pct"/>
            <w:gridSpan w:val="2"/>
            <w:shd w:val="clear" w:color="auto" w:fill="auto"/>
            <w:vAlign w:val="bottom"/>
            <w:hideMark/>
          </w:tcPr>
          <w:p w14:paraId="3B53CF5F"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Tourism, major events and international education</w:t>
            </w:r>
          </w:p>
        </w:tc>
        <w:tc>
          <w:tcPr>
            <w:tcW w:w="915" w:type="pct"/>
            <w:gridSpan w:val="2"/>
            <w:shd w:val="clear" w:color="auto" w:fill="auto"/>
            <w:vAlign w:val="bottom"/>
            <w:hideMark/>
          </w:tcPr>
          <w:p w14:paraId="194745D5"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Industrial Relations</w:t>
            </w:r>
          </w:p>
        </w:tc>
        <w:tc>
          <w:tcPr>
            <w:tcW w:w="1014" w:type="pct"/>
            <w:gridSpan w:val="2"/>
            <w:shd w:val="clear" w:color="auto" w:fill="auto"/>
            <w:vAlign w:val="bottom"/>
            <w:hideMark/>
          </w:tcPr>
          <w:p w14:paraId="5E4EB972"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Industry and enterprise innovation</w:t>
            </w:r>
          </w:p>
        </w:tc>
      </w:tr>
      <w:tr w:rsidR="003E5BF5" w:rsidRPr="0029213D" w14:paraId="1143B3FB" w14:textId="77777777" w:rsidTr="004832D5">
        <w:trPr>
          <w:trHeight w:val="340"/>
        </w:trPr>
        <w:tc>
          <w:tcPr>
            <w:tcW w:w="1955" w:type="pct"/>
            <w:shd w:val="clear" w:color="auto" w:fill="auto"/>
            <w:noWrap/>
            <w:hideMark/>
          </w:tcPr>
          <w:p w14:paraId="180B40D5" w14:textId="77777777" w:rsidR="003E5BF5" w:rsidRPr="0029213D" w:rsidRDefault="003E5BF5" w:rsidP="00DE1921">
            <w:pPr>
              <w:rPr>
                <w:rFonts w:ascii="Arial" w:hAnsi="Arial" w:cs="Arial"/>
                <w:b/>
                <w:sz w:val="24"/>
                <w:szCs w:val="24"/>
              </w:rPr>
            </w:pPr>
          </w:p>
        </w:tc>
        <w:tc>
          <w:tcPr>
            <w:tcW w:w="508" w:type="pct"/>
            <w:shd w:val="clear" w:color="auto" w:fill="auto"/>
            <w:vAlign w:val="center"/>
            <w:hideMark/>
          </w:tcPr>
          <w:p w14:paraId="02C2DCD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609" w:type="pct"/>
            <w:shd w:val="clear" w:color="auto" w:fill="auto"/>
            <w:vAlign w:val="center"/>
            <w:hideMark/>
          </w:tcPr>
          <w:p w14:paraId="089EACB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407" w:type="pct"/>
            <w:shd w:val="clear" w:color="auto" w:fill="auto"/>
            <w:vAlign w:val="center"/>
            <w:hideMark/>
          </w:tcPr>
          <w:p w14:paraId="4A550AC7"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508" w:type="pct"/>
            <w:shd w:val="clear" w:color="auto" w:fill="auto"/>
            <w:vAlign w:val="center"/>
            <w:hideMark/>
          </w:tcPr>
          <w:p w14:paraId="3B8B4F6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508" w:type="pct"/>
            <w:shd w:val="clear" w:color="auto" w:fill="auto"/>
            <w:vAlign w:val="center"/>
            <w:hideMark/>
          </w:tcPr>
          <w:p w14:paraId="6A71C1D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506" w:type="pct"/>
            <w:shd w:val="clear" w:color="auto" w:fill="auto"/>
            <w:vAlign w:val="center"/>
            <w:hideMark/>
          </w:tcPr>
          <w:p w14:paraId="2925268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r>
      <w:tr w:rsidR="003E5BF5" w:rsidRPr="0029213D" w14:paraId="04F97A07" w14:textId="77777777" w:rsidTr="004832D5">
        <w:trPr>
          <w:trHeight w:val="340"/>
        </w:trPr>
        <w:tc>
          <w:tcPr>
            <w:tcW w:w="1955" w:type="pct"/>
            <w:shd w:val="clear" w:color="auto" w:fill="auto"/>
            <w:noWrap/>
            <w:vAlign w:val="center"/>
            <w:hideMark/>
          </w:tcPr>
          <w:p w14:paraId="6D5C5ABB" w14:textId="77777777" w:rsidR="003E5BF5" w:rsidRPr="0029213D" w:rsidRDefault="003E5BF5" w:rsidP="00604703">
            <w:pPr>
              <w:pStyle w:val="TableTextGreen"/>
            </w:pPr>
            <w:r w:rsidRPr="0029213D">
              <w:t>Income from transactions</w:t>
            </w:r>
          </w:p>
        </w:tc>
        <w:tc>
          <w:tcPr>
            <w:tcW w:w="508" w:type="pct"/>
            <w:shd w:val="clear" w:color="auto" w:fill="auto"/>
            <w:noWrap/>
            <w:vAlign w:val="center"/>
            <w:hideMark/>
          </w:tcPr>
          <w:p w14:paraId="0B119AC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w:t>
            </w:r>
          </w:p>
        </w:tc>
        <w:tc>
          <w:tcPr>
            <w:tcW w:w="609" w:type="pct"/>
            <w:shd w:val="clear" w:color="auto" w:fill="auto"/>
            <w:noWrap/>
            <w:vAlign w:val="center"/>
            <w:hideMark/>
          </w:tcPr>
          <w:p w14:paraId="3D6B1B28"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w:t>
            </w:r>
          </w:p>
        </w:tc>
        <w:tc>
          <w:tcPr>
            <w:tcW w:w="407" w:type="pct"/>
            <w:shd w:val="clear" w:color="auto" w:fill="auto"/>
            <w:noWrap/>
            <w:vAlign w:val="center"/>
            <w:hideMark/>
          </w:tcPr>
          <w:p w14:paraId="50FDB21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w:t>
            </w:r>
          </w:p>
        </w:tc>
        <w:tc>
          <w:tcPr>
            <w:tcW w:w="508" w:type="pct"/>
            <w:shd w:val="clear" w:color="auto" w:fill="auto"/>
            <w:noWrap/>
            <w:vAlign w:val="center"/>
            <w:hideMark/>
          </w:tcPr>
          <w:p w14:paraId="2FA5C6B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w:t>
            </w:r>
          </w:p>
        </w:tc>
        <w:tc>
          <w:tcPr>
            <w:tcW w:w="508" w:type="pct"/>
            <w:shd w:val="clear" w:color="auto" w:fill="auto"/>
            <w:noWrap/>
            <w:vAlign w:val="center"/>
            <w:hideMark/>
          </w:tcPr>
          <w:p w14:paraId="05C43FD5"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w:t>
            </w:r>
          </w:p>
        </w:tc>
        <w:tc>
          <w:tcPr>
            <w:tcW w:w="506" w:type="pct"/>
            <w:shd w:val="clear" w:color="auto" w:fill="auto"/>
            <w:noWrap/>
            <w:vAlign w:val="center"/>
            <w:hideMark/>
          </w:tcPr>
          <w:p w14:paraId="54D1857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w:t>
            </w:r>
          </w:p>
        </w:tc>
      </w:tr>
      <w:tr w:rsidR="003E5BF5" w:rsidRPr="0029213D" w14:paraId="72641B6D" w14:textId="77777777" w:rsidTr="004832D5">
        <w:trPr>
          <w:trHeight w:val="340"/>
        </w:trPr>
        <w:tc>
          <w:tcPr>
            <w:tcW w:w="1955" w:type="pct"/>
            <w:shd w:val="clear" w:color="auto" w:fill="auto"/>
            <w:noWrap/>
            <w:vAlign w:val="center"/>
            <w:hideMark/>
          </w:tcPr>
          <w:p w14:paraId="71CB0B92" w14:textId="77777777" w:rsidR="003E5BF5" w:rsidRPr="0029213D" w:rsidRDefault="003E5BF5" w:rsidP="00DE1921">
            <w:pPr>
              <w:rPr>
                <w:rFonts w:ascii="Arial" w:hAnsi="Arial" w:cs="Arial"/>
                <w:sz w:val="24"/>
                <w:szCs w:val="24"/>
              </w:rPr>
            </w:pPr>
            <w:r w:rsidRPr="0029213D">
              <w:rPr>
                <w:rFonts w:ascii="Arial" w:hAnsi="Arial" w:cs="Arial"/>
                <w:sz w:val="24"/>
                <w:szCs w:val="24"/>
              </w:rPr>
              <w:t>Output appropriations</w:t>
            </w:r>
          </w:p>
        </w:tc>
        <w:tc>
          <w:tcPr>
            <w:tcW w:w="508" w:type="pct"/>
            <w:shd w:val="clear" w:color="auto" w:fill="auto"/>
            <w:noWrap/>
            <w:vAlign w:val="center"/>
            <w:hideMark/>
          </w:tcPr>
          <w:p w14:paraId="1587E69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609" w:type="pct"/>
            <w:shd w:val="clear" w:color="auto" w:fill="auto"/>
            <w:noWrap/>
            <w:vAlign w:val="center"/>
            <w:hideMark/>
          </w:tcPr>
          <w:p w14:paraId="19A6D13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76,243 </w:t>
            </w:r>
          </w:p>
        </w:tc>
        <w:tc>
          <w:tcPr>
            <w:tcW w:w="407" w:type="pct"/>
            <w:shd w:val="clear" w:color="auto" w:fill="auto"/>
            <w:noWrap/>
            <w:vAlign w:val="center"/>
            <w:hideMark/>
          </w:tcPr>
          <w:p w14:paraId="2FB48C43"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3C75AE0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4,720 </w:t>
            </w:r>
          </w:p>
        </w:tc>
        <w:tc>
          <w:tcPr>
            <w:tcW w:w="508" w:type="pct"/>
            <w:shd w:val="clear" w:color="auto" w:fill="auto"/>
            <w:noWrap/>
            <w:vAlign w:val="center"/>
            <w:hideMark/>
          </w:tcPr>
          <w:p w14:paraId="09A2D5A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6" w:type="pct"/>
            <w:shd w:val="clear" w:color="auto" w:fill="auto"/>
            <w:noWrap/>
            <w:vAlign w:val="center"/>
            <w:hideMark/>
          </w:tcPr>
          <w:p w14:paraId="46EC4D7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92,223 </w:t>
            </w:r>
          </w:p>
        </w:tc>
      </w:tr>
      <w:tr w:rsidR="003E5BF5" w:rsidRPr="0029213D" w14:paraId="435D8560" w14:textId="77777777" w:rsidTr="004832D5">
        <w:trPr>
          <w:trHeight w:val="340"/>
        </w:trPr>
        <w:tc>
          <w:tcPr>
            <w:tcW w:w="1955" w:type="pct"/>
            <w:shd w:val="clear" w:color="auto" w:fill="auto"/>
            <w:noWrap/>
            <w:vAlign w:val="center"/>
            <w:hideMark/>
          </w:tcPr>
          <w:p w14:paraId="057D1EF6" w14:textId="77777777" w:rsidR="003E5BF5" w:rsidRPr="0029213D" w:rsidRDefault="003E5BF5" w:rsidP="00DE1921">
            <w:pPr>
              <w:rPr>
                <w:rFonts w:ascii="Arial" w:hAnsi="Arial" w:cs="Arial"/>
                <w:sz w:val="24"/>
                <w:szCs w:val="24"/>
              </w:rPr>
            </w:pPr>
            <w:r w:rsidRPr="0029213D">
              <w:rPr>
                <w:rFonts w:ascii="Arial" w:hAnsi="Arial" w:cs="Arial"/>
                <w:sz w:val="24"/>
                <w:szCs w:val="24"/>
              </w:rPr>
              <w:t>Special appropriations</w:t>
            </w:r>
          </w:p>
        </w:tc>
        <w:tc>
          <w:tcPr>
            <w:tcW w:w="508" w:type="pct"/>
            <w:shd w:val="clear" w:color="auto" w:fill="auto"/>
            <w:noWrap/>
            <w:vAlign w:val="center"/>
            <w:hideMark/>
          </w:tcPr>
          <w:p w14:paraId="2C19684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609" w:type="pct"/>
            <w:shd w:val="clear" w:color="auto" w:fill="auto"/>
            <w:noWrap/>
            <w:vAlign w:val="center"/>
            <w:hideMark/>
          </w:tcPr>
          <w:p w14:paraId="65C3673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 </w:t>
            </w:r>
          </w:p>
        </w:tc>
        <w:tc>
          <w:tcPr>
            <w:tcW w:w="407" w:type="pct"/>
            <w:shd w:val="clear" w:color="auto" w:fill="auto"/>
            <w:noWrap/>
            <w:vAlign w:val="center"/>
            <w:hideMark/>
          </w:tcPr>
          <w:p w14:paraId="145C15A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2BB8867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610C0774"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6" w:type="pct"/>
            <w:shd w:val="clear" w:color="auto" w:fill="auto"/>
            <w:noWrap/>
            <w:vAlign w:val="center"/>
            <w:hideMark/>
          </w:tcPr>
          <w:p w14:paraId="2586E720"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12DD2FD7" w14:textId="77777777" w:rsidTr="004832D5">
        <w:trPr>
          <w:trHeight w:val="340"/>
        </w:trPr>
        <w:tc>
          <w:tcPr>
            <w:tcW w:w="1955" w:type="pct"/>
            <w:shd w:val="clear" w:color="auto" w:fill="auto"/>
            <w:noWrap/>
            <w:vAlign w:val="center"/>
            <w:hideMark/>
          </w:tcPr>
          <w:p w14:paraId="75D28A0A" w14:textId="77777777" w:rsidR="003E5BF5" w:rsidRPr="0029213D" w:rsidRDefault="003E5BF5" w:rsidP="00DE1921">
            <w:pPr>
              <w:rPr>
                <w:rFonts w:ascii="Arial" w:hAnsi="Arial" w:cs="Arial"/>
                <w:sz w:val="24"/>
                <w:szCs w:val="24"/>
              </w:rPr>
            </w:pPr>
            <w:r w:rsidRPr="0029213D">
              <w:rPr>
                <w:rFonts w:ascii="Arial" w:hAnsi="Arial" w:cs="Arial"/>
                <w:sz w:val="24"/>
                <w:szCs w:val="24"/>
              </w:rPr>
              <w:t>Regional Jobs and Infrastructure Fund appropriations</w:t>
            </w:r>
          </w:p>
        </w:tc>
        <w:tc>
          <w:tcPr>
            <w:tcW w:w="508" w:type="pct"/>
            <w:shd w:val="clear" w:color="auto" w:fill="auto"/>
            <w:noWrap/>
            <w:hideMark/>
          </w:tcPr>
          <w:p w14:paraId="29069D7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609" w:type="pct"/>
            <w:shd w:val="clear" w:color="auto" w:fill="auto"/>
            <w:noWrap/>
            <w:hideMark/>
          </w:tcPr>
          <w:p w14:paraId="7DD4A7F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 </w:t>
            </w:r>
          </w:p>
        </w:tc>
        <w:tc>
          <w:tcPr>
            <w:tcW w:w="407" w:type="pct"/>
            <w:shd w:val="clear" w:color="auto" w:fill="auto"/>
            <w:noWrap/>
            <w:hideMark/>
          </w:tcPr>
          <w:p w14:paraId="623D7E1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hideMark/>
          </w:tcPr>
          <w:p w14:paraId="6C1BD2E8"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hideMark/>
          </w:tcPr>
          <w:p w14:paraId="02770D37"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6" w:type="pct"/>
            <w:shd w:val="clear" w:color="auto" w:fill="auto"/>
            <w:noWrap/>
            <w:hideMark/>
          </w:tcPr>
          <w:p w14:paraId="2C429F1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50F2FEEF" w14:textId="77777777" w:rsidTr="004832D5">
        <w:trPr>
          <w:trHeight w:val="340"/>
        </w:trPr>
        <w:tc>
          <w:tcPr>
            <w:tcW w:w="1955" w:type="pct"/>
            <w:shd w:val="clear" w:color="auto" w:fill="auto"/>
            <w:noWrap/>
            <w:vAlign w:val="center"/>
            <w:hideMark/>
          </w:tcPr>
          <w:p w14:paraId="4A80FB5C" w14:textId="77777777" w:rsidR="003E5BF5" w:rsidRPr="0029213D" w:rsidRDefault="003E5BF5" w:rsidP="00DE1921">
            <w:pPr>
              <w:rPr>
                <w:rFonts w:ascii="Arial" w:hAnsi="Arial" w:cs="Arial"/>
                <w:sz w:val="24"/>
                <w:szCs w:val="24"/>
              </w:rPr>
            </w:pPr>
            <w:r w:rsidRPr="0029213D">
              <w:rPr>
                <w:rFonts w:ascii="Arial" w:hAnsi="Arial" w:cs="Arial"/>
                <w:sz w:val="24"/>
                <w:szCs w:val="24"/>
              </w:rPr>
              <w:t>Grant income</w:t>
            </w:r>
          </w:p>
        </w:tc>
        <w:tc>
          <w:tcPr>
            <w:tcW w:w="508" w:type="pct"/>
            <w:shd w:val="clear" w:color="auto" w:fill="auto"/>
            <w:noWrap/>
            <w:vAlign w:val="center"/>
            <w:hideMark/>
          </w:tcPr>
          <w:p w14:paraId="5137D15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609" w:type="pct"/>
            <w:shd w:val="clear" w:color="auto" w:fill="auto"/>
            <w:noWrap/>
            <w:vAlign w:val="center"/>
            <w:hideMark/>
          </w:tcPr>
          <w:p w14:paraId="6567A79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83,344 </w:t>
            </w:r>
          </w:p>
        </w:tc>
        <w:tc>
          <w:tcPr>
            <w:tcW w:w="407" w:type="pct"/>
            <w:shd w:val="clear" w:color="auto" w:fill="auto"/>
            <w:noWrap/>
            <w:vAlign w:val="center"/>
            <w:hideMark/>
          </w:tcPr>
          <w:p w14:paraId="549423CA"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522DEC7A"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46D5D3F8"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6" w:type="pct"/>
            <w:shd w:val="clear" w:color="auto" w:fill="auto"/>
            <w:noWrap/>
            <w:vAlign w:val="center"/>
            <w:hideMark/>
          </w:tcPr>
          <w:p w14:paraId="1431AE2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4,898 </w:t>
            </w:r>
          </w:p>
        </w:tc>
      </w:tr>
      <w:tr w:rsidR="003E5BF5" w:rsidRPr="0029213D" w14:paraId="53995C05" w14:textId="77777777" w:rsidTr="004832D5">
        <w:trPr>
          <w:trHeight w:val="340"/>
        </w:trPr>
        <w:tc>
          <w:tcPr>
            <w:tcW w:w="1955" w:type="pct"/>
            <w:shd w:val="clear" w:color="auto" w:fill="auto"/>
            <w:noWrap/>
            <w:vAlign w:val="center"/>
            <w:hideMark/>
          </w:tcPr>
          <w:p w14:paraId="152AFED4" w14:textId="77777777" w:rsidR="003E5BF5" w:rsidRPr="0029213D" w:rsidRDefault="003E5BF5" w:rsidP="00DE1921">
            <w:pPr>
              <w:rPr>
                <w:rFonts w:ascii="Arial" w:hAnsi="Arial" w:cs="Arial"/>
                <w:sz w:val="24"/>
                <w:szCs w:val="24"/>
              </w:rPr>
            </w:pPr>
            <w:r w:rsidRPr="0029213D">
              <w:rPr>
                <w:rFonts w:ascii="Arial" w:hAnsi="Arial" w:cs="Arial"/>
                <w:sz w:val="24"/>
                <w:szCs w:val="24"/>
              </w:rPr>
              <w:t>Sale of goods and services</w:t>
            </w:r>
          </w:p>
        </w:tc>
        <w:tc>
          <w:tcPr>
            <w:tcW w:w="508" w:type="pct"/>
            <w:shd w:val="clear" w:color="auto" w:fill="auto"/>
            <w:noWrap/>
            <w:vAlign w:val="center"/>
            <w:hideMark/>
          </w:tcPr>
          <w:p w14:paraId="2D7EC2F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609" w:type="pct"/>
            <w:shd w:val="clear" w:color="auto" w:fill="auto"/>
            <w:noWrap/>
            <w:vAlign w:val="center"/>
            <w:hideMark/>
          </w:tcPr>
          <w:p w14:paraId="730B31A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9,349 </w:t>
            </w:r>
          </w:p>
        </w:tc>
        <w:tc>
          <w:tcPr>
            <w:tcW w:w="407" w:type="pct"/>
            <w:shd w:val="clear" w:color="auto" w:fill="auto"/>
            <w:noWrap/>
            <w:vAlign w:val="center"/>
            <w:hideMark/>
          </w:tcPr>
          <w:p w14:paraId="0F7DF53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6E36304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2FE7DF94"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6" w:type="pct"/>
            <w:shd w:val="clear" w:color="auto" w:fill="auto"/>
            <w:noWrap/>
            <w:vAlign w:val="center"/>
            <w:hideMark/>
          </w:tcPr>
          <w:p w14:paraId="6D78EFE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474B685C" w14:textId="77777777" w:rsidTr="004832D5">
        <w:trPr>
          <w:trHeight w:val="340"/>
        </w:trPr>
        <w:tc>
          <w:tcPr>
            <w:tcW w:w="1955" w:type="pct"/>
            <w:shd w:val="clear" w:color="auto" w:fill="auto"/>
            <w:noWrap/>
            <w:vAlign w:val="center"/>
            <w:hideMark/>
          </w:tcPr>
          <w:p w14:paraId="3D6C0EA6" w14:textId="77777777" w:rsidR="003E5BF5" w:rsidRPr="0029213D" w:rsidRDefault="003E5BF5" w:rsidP="00DE1921">
            <w:pPr>
              <w:rPr>
                <w:rFonts w:ascii="Arial" w:hAnsi="Arial" w:cs="Arial"/>
                <w:sz w:val="24"/>
                <w:szCs w:val="24"/>
              </w:rPr>
            </w:pPr>
            <w:r w:rsidRPr="0029213D">
              <w:rPr>
                <w:rFonts w:ascii="Arial" w:hAnsi="Arial" w:cs="Arial"/>
                <w:sz w:val="24"/>
                <w:szCs w:val="24"/>
              </w:rPr>
              <w:t>Other income</w:t>
            </w:r>
          </w:p>
        </w:tc>
        <w:tc>
          <w:tcPr>
            <w:tcW w:w="508" w:type="pct"/>
            <w:shd w:val="clear" w:color="auto" w:fill="auto"/>
            <w:noWrap/>
            <w:vAlign w:val="center"/>
            <w:hideMark/>
          </w:tcPr>
          <w:p w14:paraId="757AC02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609" w:type="pct"/>
            <w:shd w:val="clear" w:color="auto" w:fill="auto"/>
            <w:noWrap/>
            <w:vAlign w:val="center"/>
            <w:hideMark/>
          </w:tcPr>
          <w:p w14:paraId="012BA8A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623 </w:t>
            </w:r>
          </w:p>
        </w:tc>
        <w:tc>
          <w:tcPr>
            <w:tcW w:w="407" w:type="pct"/>
            <w:shd w:val="clear" w:color="auto" w:fill="auto"/>
            <w:noWrap/>
            <w:vAlign w:val="center"/>
            <w:hideMark/>
          </w:tcPr>
          <w:p w14:paraId="02F2304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2033590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6CEA63B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6" w:type="pct"/>
            <w:shd w:val="clear" w:color="auto" w:fill="auto"/>
            <w:noWrap/>
            <w:vAlign w:val="center"/>
            <w:hideMark/>
          </w:tcPr>
          <w:p w14:paraId="76FF9D8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 </w:t>
            </w:r>
          </w:p>
        </w:tc>
      </w:tr>
      <w:tr w:rsidR="003E5BF5" w:rsidRPr="0029213D" w14:paraId="4AD52F99" w14:textId="77777777" w:rsidTr="004832D5">
        <w:trPr>
          <w:trHeight w:val="340"/>
        </w:trPr>
        <w:tc>
          <w:tcPr>
            <w:tcW w:w="1955" w:type="pct"/>
            <w:shd w:val="clear" w:color="auto" w:fill="auto"/>
            <w:noWrap/>
            <w:vAlign w:val="center"/>
            <w:hideMark/>
          </w:tcPr>
          <w:p w14:paraId="32EF784D"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income from transactions</w:t>
            </w:r>
          </w:p>
        </w:tc>
        <w:tc>
          <w:tcPr>
            <w:tcW w:w="508" w:type="pct"/>
            <w:shd w:val="clear" w:color="auto" w:fill="auto"/>
            <w:noWrap/>
            <w:vAlign w:val="center"/>
            <w:hideMark/>
          </w:tcPr>
          <w:p w14:paraId="27E6E48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609" w:type="pct"/>
            <w:shd w:val="clear" w:color="auto" w:fill="auto"/>
            <w:noWrap/>
            <w:vAlign w:val="center"/>
            <w:hideMark/>
          </w:tcPr>
          <w:p w14:paraId="5FD9347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169,559 </w:t>
            </w:r>
          </w:p>
        </w:tc>
        <w:tc>
          <w:tcPr>
            <w:tcW w:w="407" w:type="pct"/>
            <w:shd w:val="clear" w:color="auto" w:fill="auto"/>
            <w:noWrap/>
            <w:vAlign w:val="center"/>
            <w:hideMark/>
          </w:tcPr>
          <w:p w14:paraId="2ABE2F3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508" w:type="pct"/>
            <w:shd w:val="clear" w:color="auto" w:fill="auto"/>
            <w:noWrap/>
            <w:vAlign w:val="center"/>
            <w:hideMark/>
          </w:tcPr>
          <w:p w14:paraId="5D25379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4,720 </w:t>
            </w:r>
          </w:p>
        </w:tc>
        <w:tc>
          <w:tcPr>
            <w:tcW w:w="508" w:type="pct"/>
            <w:shd w:val="clear" w:color="auto" w:fill="auto"/>
            <w:noWrap/>
            <w:vAlign w:val="center"/>
            <w:hideMark/>
          </w:tcPr>
          <w:p w14:paraId="77D2EFC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506" w:type="pct"/>
            <w:shd w:val="clear" w:color="auto" w:fill="auto"/>
            <w:noWrap/>
            <w:vAlign w:val="center"/>
            <w:hideMark/>
          </w:tcPr>
          <w:p w14:paraId="72448CA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97,123 </w:t>
            </w:r>
          </w:p>
        </w:tc>
      </w:tr>
      <w:tr w:rsidR="003E5BF5" w:rsidRPr="0029213D" w14:paraId="53F4D5C0" w14:textId="77777777" w:rsidTr="004832D5">
        <w:trPr>
          <w:trHeight w:val="340"/>
        </w:trPr>
        <w:tc>
          <w:tcPr>
            <w:tcW w:w="1955" w:type="pct"/>
            <w:shd w:val="clear" w:color="auto" w:fill="auto"/>
            <w:noWrap/>
            <w:vAlign w:val="center"/>
            <w:hideMark/>
          </w:tcPr>
          <w:p w14:paraId="6F8FD254" w14:textId="77777777" w:rsidR="003E5BF5" w:rsidRPr="0029213D" w:rsidRDefault="003E5BF5" w:rsidP="00604703">
            <w:pPr>
              <w:pStyle w:val="TableTextGreen"/>
            </w:pPr>
            <w:r w:rsidRPr="0029213D">
              <w:t>Expenses from transactions</w:t>
            </w:r>
          </w:p>
        </w:tc>
        <w:tc>
          <w:tcPr>
            <w:tcW w:w="508" w:type="pct"/>
            <w:shd w:val="clear" w:color="auto" w:fill="auto"/>
            <w:noWrap/>
            <w:vAlign w:val="center"/>
            <w:hideMark/>
          </w:tcPr>
          <w:p w14:paraId="7B84C0DF" w14:textId="77777777" w:rsidR="003E5BF5" w:rsidRPr="0029213D" w:rsidRDefault="003E5BF5" w:rsidP="00DE1921">
            <w:pPr>
              <w:jc w:val="right"/>
              <w:rPr>
                <w:rFonts w:ascii="Arial" w:hAnsi="Arial" w:cs="Arial"/>
                <w:sz w:val="24"/>
                <w:szCs w:val="24"/>
              </w:rPr>
            </w:pPr>
          </w:p>
        </w:tc>
        <w:tc>
          <w:tcPr>
            <w:tcW w:w="609" w:type="pct"/>
            <w:shd w:val="clear" w:color="auto" w:fill="auto"/>
            <w:noWrap/>
            <w:vAlign w:val="center"/>
            <w:hideMark/>
          </w:tcPr>
          <w:p w14:paraId="2EE81BA1" w14:textId="77777777" w:rsidR="003E5BF5" w:rsidRPr="0029213D" w:rsidRDefault="003E5BF5" w:rsidP="00DE1921">
            <w:pPr>
              <w:jc w:val="right"/>
              <w:rPr>
                <w:rFonts w:ascii="Arial" w:hAnsi="Arial" w:cs="Arial"/>
                <w:sz w:val="24"/>
                <w:szCs w:val="24"/>
              </w:rPr>
            </w:pPr>
          </w:p>
        </w:tc>
        <w:tc>
          <w:tcPr>
            <w:tcW w:w="407" w:type="pct"/>
            <w:shd w:val="clear" w:color="auto" w:fill="auto"/>
            <w:noWrap/>
            <w:vAlign w:val="center"/>
            <w:hideMark/>
          </w:tcPr>
          <w:p w14:paraId="1978C9A1" w14:textId="77777777" w:rsidR="003E5BF5" w:rsidRPr="0029213D" w:rsidRDefault="003E5BF5" w:rsidP="00DE1921">
            <w:pPr>
              <w:jc w:val="right"/>
              <w:rPr>
                <w:rFonts w:ascii="Arial" w:hAnsi="Arial" w:cs="Arial"/>
                <w:sz w:val="24"/>
                <w:szCs w:val="24"/>
              </w:rPr>
            </w:pPr>
          </w:p>
        </w:tc>
        <w:tc>
          <w:tcPr>
            <w:tcW w:w="508" w:type="pct"/>
            <w:shd w:val="clear" w:color="auto" w:fill="auto"/>
            <w:noWrap/>
            <w:vAlign w:val="center"/>
            <w:hideMark/>
          </w:tcPr>
          <w:p w14:paraId="49DBECAB" w14:textId="77777777" w:rsidR="003E5BF5" w:rsidRPr="0029213D" w:rsidRDefault="003E5BF5" w:rsidP="00DE1921">
            <w:pPr>
              <w:jc w:val="right"/>
              <w:rPr>
                <w:rFonts w:ascii="Arial" w:hAnsi="Arial" w:cs="Arial"/>
                <w:sz w:val="24"/>
                <w:szCs w:val="24"/>
              </w:rPr>
            </w:pPr>
          </w:p>
        </w:tc>
        <w:tc>
          <w:tcPr>
            <w:tcW w:w="508" w:type="pct"/>
            <w:shd w:val="clear" w:color="auto" w:fill="auto"/>
            <w:noWrap/>
            <w:vAlign w:val="center"/>
            <w:hideMark/>
          </w:tcPr>
          <w:p w14:paraId="15134B64" w14:textId="77777777" w:rsidR="003E5BF5" w:rsidRPr="0029213D" w:rsidRDefault="003E5BF5" w:rsidP="00DE1921">
            <w:pPr>
              <w:jc w:val="right"/>
              <w:rPr>
                <w:rFonts w:ascii="Arial" w:hAnsi="Arial" w:cs="Arial"/>
                <w:sz w:val="24"/>
                <w:szCs w:val="24"/>
              </w:rPr>
            </w:pPr>
          </w:p>
        </w:tc>
        <w:tc>
          <w:tcPr>
            <w:tcW w:w="506" w:type="pct"/>
            <w:shd w:val="clear" w:color="auto" w:fill="auto"/>
            <w:noWrap/>
            <w:vAlign w:val="center"/>
            <w:hideMark/>
          </w:tcPr>
          <w:p w14:paraId="20400B0E" w14:textId="77777777" w:rsidR="003E5BF5" w:rsidRPr="0029213D" w:rsidRDefault="003E5BF5" w:rsidP="00DE1921">
            <w:pPr>
              <w:jc w:val="right"/>
              <w:rPr>
                <w:rFonts w:ascii="Arial" w:hAnsi="Arial" w:cs="Arial"/>
                <w:sz w:val="24"/>
                <w:szCs w:val="24"/>
              </w:rPr>
            </w:pPr>
          </w:p>
        </w:tc>
      </w:tr>
      <w:tr w:rsidR="003E5BF5" w:rsidRPr="0029213D" w14:paraId="1DA5EAAC" w14:textId="77777777" w:rsidTr="004832D5">
        <w:trPr>
          <w:trHeight w:val="340"/>
        </w:trPr>
        <w:tc>
          <w:tcPr>
            <w:tcW w:w="1955" w:type="pct"/>
            <w:shd w:val="clear" w:color="auto" w:fill="auto"/>
            <w:noWrap/>
            <w:vAlign w:val="center"/>
            <w:hideMark/>
          </w:tcPr>
          <w:p w14:paraId="72B91365" w14:textId="77777777" w:rsidR="003E5BF5" w:rsidRPr="0029213D" w:rsidRDefault="003E5BF5" w:rsidP="00DE1921">
            <w:pPr>
              <w:rPr>
                <w:rFonts w:ascii="Arial" w:hAnsi="Arial" w:cs="Arial"/>
                <w:sz w:val="24"/>
                <w:szCs w:val="24"/>
              </w:rPr>
            </w:pPr>
            <w:r w:rsidRPr="0029213D">
              <w:rPr>
                <w:rFonts w:ascii="Arial" w:hAnsi="Arial" w:cs="Arial"/>
                <w:sz w:val="24"/>
                <w:szCs w:val="24"/>
              </w:rPr>
              <w:t>Grant expenses</w:t>
            </w:r>
          </w:p>
        </w:tc>
        <w:tc>
          <w:tcPr>
            <w:tcW w:w="508" w:type="pct"/>
            <w:shd w:val="clear" w:color="auto" w:fill="auto"/>
            <w:noWrap/>
            <w:vAlign w:val="center"/>
            <w:hideMark/>
          </w:tcPr>
          <w:p w14:paraId="4129F211"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609" w:type="pct"/>
            <w:shd w:val="clear" w:color="auto" w:fill="auto"/>
            <w:noWrap/>
            <w:vAlign w:val="center"/>
            <w:hideMark/>
          </w:tcPr>
          <w:p w14:paraId="0138511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(145,909)</w:t>
            </w:r>
          </w:p>
        </w:tc>
        <w:tc>
          <w:tcPr>
            <w:tcW w:w="407" w:type="pct"/>
            <w:shd w:val="clear" w:color="auto" w:fill="auto"/>
            <w:noWrap/>
            <w:vAlign w:val="center"/>
            <w:hideMark/>
          </w:tcPr>
          <w:p w14:paraId="688AB950"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2CF41E7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(699)</w:t>
            </w:r>
          </w:p>
        </w:tc>
        <w:tc>
          <w:tcPr>
            <w:tcW w:w="508" w:type="pct"/>
            <w:shd w:val="clear" w:color="auto" w:fill="auto"/>
            <w:noWrap/>
            <w:vAlign w:val="center"/>
            <w:hideMark/>
          </w:tcPr>
          <w:p w14:paraId="2C4259F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6" w:type="pct"/>
            <w:shd w:val="clear" w:color="auto" w:fill="auto"/>
            <w:noWrap/>
            <w:vAlign w:val="center"/>
            <w:hideMark/>
          </w:tcPr>
          <w:p w14:paraId="0882D15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(67,016)</w:t>
            </w:r>
          </w:p>
        </w:tc>
      </w:tr>
      <w:tr w:rsidR="003E5BF5" w:rsidRPr="0029213D" w14:paraId="09485C77" w14:textId="77777777" w:rsidTr="004832D5">
        <w:trPr>
          <w:trHeight w:val="340"/>
        </w:trPr>
        <w:tc>
          <w:tcPr>
            <w:tcW w:w="1955" w:type="pct"/>
            <w:shd w:val="clear" w:color="auto" w:fill="auto"/>
            <w:noWrap/>
            <w:vAlign w:val="center"/>
            <w:hideMark/>
          </w:tcPr>
          <w:p w14:paraId="012889D3" w14:textId="77777777" w:rsidR="003E5BF5" w:rsidRPr="0029213D" w:rsidRDefault="003E5BF5" w:rsidP="00DE1921">
            <w:pPr>
              <w:rPr>
                <w:rFonts w:ascii="Arial" w:hAnsi="Arial" w:cs="Arial"/>
                <w:sz w:val="24"/>
                <w:szCs w:val="24"/>
              </w:rPr>
            </w:pPr>
            <w:r w:rsidRPr="0029213D">
              <w:rPr>
                <w:rFonts w:ascii="Arial" w:hAnsi="Arial" w:cs="Arial"/>
                <w:sz w:val="24"/>
                <w:szCs w:val="24"/>
              </w:rPr>
              <w:t>Employee benefits expense</w:t>
            </w:r>
          </w:p>
        </w:tc>
        <w:tc>
          <w:tcPr>
            <w:tcW w:w="508" w:type="pct"/>
            <w:shd w:val="clear" w:color="auto" w:fill="auto"/>
            <w:noWrap/>
            <w:vAlign w:val="center"/>
            <w:hideMark/>
          </w:tcPr>
          <w:p w14:paraId="0B3C261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609" w:type="pct"/>
            <w:shd w:val="clear" w:color="auto" w:fill="auto"/>
            <w:noWrap/>
            <w:vAlign w:val="center"/>
            <w:hideMark/>
          </w:tcPr>
          <w:p w14:paraId="1D8F04C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(3,746)</w:t>
            </w:r>
          </w:p>
        </w:tc>
        <w:tc>
          <w:tcPr>
            <w:tcW w:w="407" w:type="pct"/>
            <w:shd w:val="clear" w:color="auto" w:fill="auto"/>
            <w:noWrap/>
            <w:vAlign w:val="center"/>
            <w:hideMark/>
          </w:tcPr>
          <w:p w14:paraId="12B7D86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31F65BF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(3,251)</w:t>
            </w:r>
          </w:p>
        </w:tc>
        <w:tc>
          <w:tcPr>
            <w:tcW w:w="508" w:type="pct"/>
            <w:shd w:val="clear" w:color="auto" w:fill="auto"/>
            <w:noWrap/>
            <w:vAlign w:val="center"/>
            <w:hideMark/>
          </w:tcPr>
          <w:p w14:paraId="533237A8"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6" w:type="pct"/>
            <w:shd w:val="clear" w:color="auto" w:fill="auto"/>
            <w:noWrap/>
            <w:vAlign w:val="center"/>
            <w:hideMark/>
          </w:tcPr>
          <w:p w14:paraId="488DF6F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(14,431)</w:t>
            </w:r>
          </w:p>
        </w:tc>
      </w:tr>
      <w:tr w:rsidR="003E5BF5" w:rsidRPr="0029213D" w14:paraId="61CB7C7D" w14:textId="77777777" w:rsidTr="004832D5">
        <w:trPr>
          <w:trHeight w:val="340"/>
        </w:trPr>
        <w:tc>
          <w:tcPr>
            <w:tcW w:w="1955" w:type="pct"/>
            <w:shd w:val="clear" w:color="auto" w:fill="auto"/>
            <w:noWrap/>
            <w:vAlign w:val="center"/>
            <w:hideMark/>
          </w:tcPr>
          <w:p w14:paraId="381008F0" w14:textId="77777777" w:rsidR="003E5BF5" w:rsidRPr="0029213D" w:rsidRDefault="003E5BF5" w:rsidP="00DE1921">
            <w:pPr>
              <w:rPr>
                <w:rFonts w:ascii="Arial" w:hAnsi="Arial" w:cs="Arial"/>
                <w:sz w:val="24"/>
                <w:szCs w:val="24"/>
              </w:rPr>
            </w:pPr>
            <w:r w:rsidRPr="0029213D">
              <w:rPr>
                <w:rFonts w:ascii="Arial" w:hAnsi="Arial" w:cs="Arial"/>
                <w:sz w:val="24"/>
                <w:szCs w:val="24"/>
              </w:rPr>
              <w:t>Capital asset charge</w:t>
            </w:r>
          </w:p>
        </w:tc>
        <w:tc>
          <w:tcPr>
            <w:tcW w:w="508" w:type="pct"/>
            <w:shd w:val="clear" w:color="auto" w:fill="auto"/>
            <w:noWrap/>
            <w:vAlign w:val="center"/>
            <w:hideMark/>
          </w:tcPr>
          <w:p w14:paraId="5A33B28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609" w:type="pct"/>
            <w:shd w:val="clear" w:color="auto" w:fill="auto"/>
            <w:noWrap/>
            <w:vAlign w:val="center"/>
            <w:hideMark/>
          </w:tcPr>
          <w:p w14:paraId="0C53FE7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(111)</w:t>
            </w:r>
          </w:p>
        </w:tc>
        <w:tc>
          <w:tcPr>
            <w:tcW w:w="407" w:type="pct"/>
            <w:shd w:val="clear" w:color="auto" w:fill="auto"/>
            <w:noWrap/>
            <w:vAlign w:val="center"/>
            <w:hideMark/>
          </w:tcPr>
          <w:p w14:paraId="0D5601E3"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37930F1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(4)</w:t>
            </w:r>
          </w:p>
        </w:tc>
        <w:tc>
          <w:tcPr>
            <w:tcW w:w="508" w:type="pct"/>
            <w:shd w:val="clear" w:color="auto" w:fill="auto"/>
            <w:noWrap/>
            <w:vAlign w:val="center"/>
            <w:hideMark/>
          </w:tcPr>
          <w:p w14:paraId="1FB6FD50"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6" w:type="pct"/>
            <w:shd w:val="clear" w:color="auto" w:fill="auto"/>
            <w:noWrap/>
            <w:vAlign w:val="center"/>
            <w:hideMark/>
          </w:tcPr>
          <w:p w14:paraId="4A20A7A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(411)</w:t>
            </w:r>
          </w:p>
        </w:tc>
      </w:tr>
      <w:tr w:rsidR="003E5BF5" w:rsidRPr="0029213D" w14:paraId="7951D053" w14:textId="77777777" w:rsidTr="004832D5">
        <w:trPr>
          <w:trHeight w:val="340"/>
        </w:trPr>
        <w:tc>
          <w:tcPr>
            <w:tcW w:w="1955" w:type="pct"/>
            <w:shd w:val="clear" w:color="auto" w:fill="auto"/>
            <w:noWrap/>
            <w:vAlign w:val="center"/>
            <w:hideMark/>
          </w:tcPr>
          <w:p w14:paraId="5673BFAB" w14:textId="77777777" w:rsidR="003E5BF5" w:rsidRPr="0029213D" w:rsidRDefault="003E5BF5" w:rsidP="00DE1921">
            <w:pPr>
              <w:rPr>
                <w:rFonts w:ascii="Arial" w:hAnsi="Arial" w:cs="Arial"/>
                <w:sz w:val="24"/>
                <w:szCs w:val="24"/>
              </w:rPr>
            </w:pPr>
            <w:r w:rsidRPr="0029213D">
              <w:rPr>
                <w:rFonts w:ascii="Arial" w:hAnsi="Arial" w:cs="Arial"/>
                <w:sz w:val="24"/>
                <w:szCs w:val="24"/>
              </w:rPr>
              <w:t xml:space="preserve">Depreciation and amortisation </w:t>
            </w:r>
          </w:p>
        </w:tc>
        <w:tc>
          <w:tcPr>
            <w:tcW w:w="508" w:type="pct"/>
            <w:shd w:val="clear" w:color="auto" w:fill="auto"/>
            <w:noWrap/>
            <w:vAlign w:val="center"/>
            <w:hideMark/>
          </w:tcPr>
          <w:p w14:paraId="318CF16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609" w:type="pct"/>
            <w:shd w:val="clear" w:color="auto" w:fill="auto"/>
            <w:noWrap/>
            <w:vAlign w:val="center"/>
            <w:hideMark/>
          </w:tcPr>
          <w:p w14:paraId="071657B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(97)</w:t>
            </w:r>
          </w:p>
        </w:tc>
        <w:tc>
          <w:tcPr>
            <w:tcW w:w="407" w:type="pct"/>
            <w:shd w:val="clear" w:color="auto" w:fill="auto"/>
            <w:noWrap/>
            <w:vAlign w:val="center"/>
            <w:hideMark/>
          </w:tcPr>
          <w:p w14:paraId="7F30942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05B143C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(13)</w:t>
            </w:r>
          </w:p>
        </w:tc>
        <w:tc>
          <w:tcPr>
            <w:tcW w:w="508" w:type="pct"/>
            <w:shd w:val="clear" w:color="auto" w:fill="auto"/>
            <w:noWrap/>
            <w:vAlign w:val="center"/>
            <w:hideMark/>
          </w:tcPr>
          <w:p w14:paraId="7C815957"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6" w:type="pct"/>
            <w:shd w:val="clear" w:color="auto" w:fill="auto"/>
            <w:noWrap/>
            <w:vAlign w:val="center"/>
            <w:hideMark/>
          </w:tcPr>
          <w:p w14:paraId="094D661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(365)</w:t>
            </w:r>
          </w:p>
        </w:tc>
      </w:tr>
      <w:tr w:rsidR="003E5BF5" w:rsidRPr="0029213D" w14:paraId="7AC7822C" w14:textId="77777777" w:rsidTr="004832D5">
        <w:trPr>
          <w:trHeight w:val="340"/>
        </w:trPr>
        <w:tc>
          <w:tcPr>
            <w:tcW w:w="1955" w:type="pct"/>
            <w:shd w:val="clear" w:color="auto" w:fill="auto"/>
            <w:noWrap/>
            <w:vAlign w:val="center"/>
            <w:hideMark/>
          </w:tcPr>
          <w:p w14:paraId="52B1EFCB" w14:textId="77777777" w:rsidR="003E5BF5" w:rsidRPr="0029213D" w:rsidRDefault="003E5BF5" w:rsidP="00DE1921">
            <w:pPr>
              <w:rPr>
                <w:rFonts w:ascii="Arial" w:hAnsi="Arial" w:cs="Arial"/>
                <w:sz w:val="24"/>
                <w:szCs w:val="24"/>
              </w:rPr>
            </w:pPr>
            <w:r w:rsidRPr="0029213D">
              <w:rPr>
                <w:rFonts w:ascii="Arial" w:hAnsi="Arial" w:cs="Arial"/>
                <w:sz w:val="24"/>
                <w:szCs w:val="24"/>
              </w:rPr>
              <w:t>Interest expense</w:t>
            </w:r>
          </w:p>
        </w:tc>
        <w:tc>
          <w:tcPr>
            <w:tcW w:w="508" w:type="pct"/>
            <w:shd w:val="clear" w:color="auto" w:fill="auto"/>
            <w:noWrap/>
            <w:vAlign w:val="center"/>
            <w:hideMark/>
          </w:tcPr>
          <w:p w14:paraId="0F493177"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609" w:type="pct"/>
            <w:shd w:val="clear" w:color="auto" w:fill="auto"/>
            <w:noWrap/>
            <w:vAlign w:val="center"/>
            <w:hideMark/>
          </w:tcPr>
          <w:p w14:paraId="05FB593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(1,182)</w:t>
            </w:r>
          </w:p>
        </w:tc>
        <w:tc>
          <w:tcPr>
            <w:tcW w:w="407" w:type="pct"/>
            <w:shd w:val="clear" w:color="auto" w:fill="auto"/>
            <w:noWrap/>
            <w:vAlign w:val="center"/>
            <w:hideMark/>
          </w:tcPr>
          <w:p w14:paraId="169AEC5A"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5069E9D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w:t>
            </w:r>
          </w:p>
        </w:tc>
        <w:tc>
          <w:tcPr>
            <w:tcW w:w="508" w:type="pct"/>
            <w:shd w:val="clear" w:color="auto" w:fill="auto"/>
            <w:noWrap/>
            <w:vAlign w:val="center"/>
            <w:hideMark/>
          </w:tcPr>
          <w:p w14:paraId="0A3D09A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6" w:type="pct"/>
            <w:shd w:val="clear" w:color="auto" w:fill="auto"/>
            <w:noWrap/>
            <w:vAlign w:val="center"/>
            <w:hideMark/>
          </w:tcPr>
          <w:p w14:paraId="62A8A4C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(4)</w:t>
            </w:r>
          </w:p>
        </w:tc>
      </w:tr>
      <w:tr w:rsidR="003E5BF5" w:rsidRPr="0029213D" w14:paraId="5F9E3113" w14:textId="77777777" w:rsidTr="004832D5">
        <w:trPr>
          <w:trHeight w:val="340"/>
        </w:trPr>
        <w:tc>
          <w:tcPr>
            <w:tcW w:w="1955" w:type="pct"/>
            <w:shd w:val="clear" w:color="auto" w:fill="auto"/>
            <w:noWrap/>
            <w:vAlign w:val="center"/>
            <w:hideMark/>
          </w:tcPr>
          <w:p w14:paraId="52D9BE2E" w14:textId="77777777" w:rsidR="003E5BF5" w:rsidRPr="0029213D" w:rsidRDefault="003E5BF5" w:rsidP="00DE1921">
            <w:pPr>
              <w:rPr>
                <w:rFonts w:ascii="Arial" w:hAnsi="Arial" w:cs="Arial"/>
                <w:sz w:val="24"/>
                <w:szCs w:val="24"/>
              </w:rPr>
            </w:pPr>
            <w:r w:rsidRPr="0029213D">
              <w:rPr>
                <w:rFonts w:ascii="Arial" w:hAnsi="Arial" w:cs="Arial"/>
                <w:sz w:val="24"/>
                <w:szCs w:val="24"/>
              </w:rPr>
              <w:t>Other operating expenses</w:t>
            </w:r>
          </w:p>
        </w:tc>
        <w:tc>
          <w:tcPr>
            <w:tcW w:w="508" w:type="pct"/>
            <w:shd w:val="clear" w:color="auto" w:fill="auto"/>
            <w:noWrap/>
            <w:vAlign w:val="center"/>
            <w:hideMark/>
          </w:tcPr>
          <w:p w14:paraId="0661CFA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609" w:type="pct"/>
            <w:shd w:val="clear" w:color="auto" w:fill="auto"/>
            <w:noWrap/>
            <w:vAlign w:val="center"/>
            <w:hideMark/>
          </w:tcPr>
          <w:p w14:paraId="716793C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(9,129)</w:t>
            </w:r>
          </w:p>
        </w:tc>
        <w:tc>
          <w:tcPr>
            <w:tcW w:w="407" w:type="pct"/>
            <w:shd w:val="clear" w:color="auto" w:fill="auto"/>
            <w:noWrap/>
            <w:vAlign w:val="center"/>
            <w:hideMark/>
          </w:tcPr>
          <w:p w14:paraId="2D9C3067"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5BF9987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(754)</w:t>
            </w:r>
          </w:p>
        </w:tc>
        <w:tc>
          <w:tcPr>
            <w:tcW w:w="508" w:type="pct"/>
            <w:shd w:val="clear" w:color="auto" w:fill="auto"/>
            <w:noWrap/>
            <w:vAlign w:val="center"/>
            <w:hideMark/>
          </w:tcPr>
          <w:p w14:paraId="1159E34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6" w:type="pct"/>
            <w:shd w:val="clear" w:color="auto" w:fill="auto"/>
            <w:noWrap/>
            <w:vAlign w:val="center"/>
            <w:hideMark/>
          </w:tcPr>
          <w:p w14:paraId="40718F9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(9,343)</w:t>
            </w:r>
          </w:p>
        </w:tc>
      </w:tr>
      <w:tr w:rsidR="003E5BF5" w:rsidRPr="0029213D" w14:paraId="708BBEEC" w14:textId="77777777" w:rsidTr="004832D5">
        <w:trPr>
          <w:trHeight w:val="340"/>
        </w:trPr>
        <w:tc>
          <w:tcPr>
            <w:tcW w:w="1955" w:type="pct"/>
            <w:shd w:val="clear" w:color="auto" w:fill="auto"/>
            <w:noWrap/>
            <w:vAlign w:val="center"/>
            <w:hideMark/>
          </w:tcPr>
          <w:p w14:paraId="52CD9FF6"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expenses from transactions</w:t>
            </w:r>
          </w:p>
        </w:tc>
        <w:tc>
          <w:tcPr>
            <w:tcW w:w="508" w:type="pct"/>
            <w:shd w:val="clear" w:color="auto" w:fill="auto"/>
            <w:noWrap/>
            <w:vAlign w:val="center"/>
            <w:hideMark/>
          </w:tcPr>
          <w:p w14:paraId="357E761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609" w:type="pct"/>
            <w:shd w:val="clear" w:color="auto" w:fill="auto"/>
            <w:noWrap/>
            <w:vAlign w:val="center"/>
            <w:hideMark/>
          </w:tcPr>
          <w:p w14:paraId="4F84FC0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(160,174)</w:t>
            </w:r>
          </w:p>
        </w:tc>
        <w:tc>
          <w:tcPr>
            <w:tcW w:w="407" w:type="pct"/>
            <w:shd w:val="clear" w:color="auto" w:fill="auto"/>
            <w:noWrap/>
            <w:vAlign w:val="center"/>
            <w:hideMark/>
          </w:tcPr>
          <w:p w14:paraId="3BC5E18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508" w:type="pct"/>
            <w:shd w:val="clear" w:color="auto" w:fill="auto"/>
            <w:noWrap/>
            <w:vAlign w:val="center"/>
            <w:hideMark/>
          </w:tcPr>
          <w:p w14:paraId="3168CB7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(4,722)</w:t>
            </w:r>
          </w:p>
        </w:tc>
        <w:tc>
          <w:tcPr>
            <w:tcW w:w="508" w:type="pct"/>
            <w:shd w:val="clear" w:color="auto" w:fill="auto"/>
            <w:noWrap/>
            <w:vAlign w:val="center"/>
            <w:hideMark/>
          </w:tcPr>
          <w:p w14:paraId="1C5321A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506" w:type="pct"/>
            <w:shd w:val="clear" w:color="auto" w:fill="auto"/>
            <w:noWrap/>
            <w:vAlign w:val="center"/>
            <w:hideMark/>
          </w:tcPr>
          <w:p w14:paraId="3C3FA438"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(91,570)</w:t>
            </w:r>
          </w:p>
        </w:tc>
      </w:tr>
      <w:tr w:rsidR="003E5BF5" w:rsidRPr="0029213D" w14:paraId="787AAA18" w14:textId="77777777" w:rsidTr="004832D5">
        <w:trPr>
          <w:trHeight w:val="340"/>
        </w:trPr>
        <w:tc>
          <w:tcPr>
            <w:tcW w:w="1955" w:type="pct"/>
            <w:shd w:val="clear" w:color="auto" w:fill="auto"/>
            <w:noWrap/>
            <w:vAlign w:val="center"/>
            <w:hideMark/>
          </w:tcPr>
          <w:p w14:paraId="3C2867FC" w14:textId="77777777" w:rsidR="003E5BF5" w:rsidRPr="0029213D" w:rsidRDefault="003E5BF5" w:rsidP="00DE1921">
            <w:pPr>
              <w:rPr>
                <w:rFonts w:ascii="Arial" w:hAnsi="Arial" w:cs="Arial"/>
                <w:b/>
                <w:sz w:val="24"/>
                <w:szCs w:val="24"/>
              </w:rPr>
            </w:pPr>
            <w:r w:rsidRPr="0029213D">
              <w:rPr>
                <w:rFonts w:ascii="Arial" w:hAnsi="Arial" w:cs="Arial"/>
                <w:b/>
                <w:sz w:val="24"/>
                <w:szCs w:val="24"/>
              </w:rPr>
              <w:t>Net result from transactions</w:t>
            </w:r>
          </w:p>
        </w:tc>
        <w:tc>
          <w:tcPr>
            <w:tcW w:w="508" w:type="pct"/>
            <w:shd w:val="clear" w:color="auto" w:fill="auto"/>
            <w:noWrap/>
            <w:vAlign w:val="center"/>
            <w:hideMark/>
          </w:tcPr>
          <w:p w14:paraId="7529F8F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609" w:type="pct"/>
            <w:shd w:val="clear" w:color="auto" w:fill="auto"/>
            <w:noWrap/>
            <w:vAlign w:val="center"/>
            <w:hideMark/>
          </w:tcPr>
          <w:p w14:paraId="66406A47"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9,385 </w:t>
            </w:r>
          </w:p>
        </w:tc>
        <w:tc>
          <w:tcPr>
            <w:tcW w:w="407" w:type="pct"/>
            <w:shd w:val="clear" w:color="auto" w:fill="auto"/>
            <w:noWrap/>
            <w:vAlign w:val="center"/>
            <w:hideMark/>
          </w:tcPr>
          <w:p w14:paraId="503A042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508" w:type="pct"/>
            <w:shd w:val="clear" w:color="auto" w:fill="auto"/>
            <w:noWrap/>
            <w:vAlign w:val="center"/>
            <w:hideMark/>
          </w:tcPr>
          <w:p w14:paraId="5CBD33C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w:t>
            </w:r>
          </w:p>
        </w:tc>
        <w:tc>
          <w:tcPr>
            <w:tcW w:w="508" w:type="pct"/>
            <w:shd w:val="clear" w:color="auto" w:fill="auto"/>
            <w:noWrap/>
            <w:vAlign w:val="center"/>
            <w:hideMark/>
          </w:tcPr>
          <w:p w14:paraId="6177AE8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506" w:type="pct"/>
            <w:shd w:val="clear" w:color="auto" w:fill="auto"/>
            <w:noWrap/>
            <w:vAlign w:val="center"/>
            <w:hideMark/>
          </w:tcPr>
          <w:p w14:paraId="476E95E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5,553 </w:t>
            </w:r>
          </w:p>
        </w:tc>
      </w:tr>
      <w:tr w:rsidR="003E5BF5" w:rsidRPr="0029213D" w14:paraId="06D08518" w14:textId="77777777" w:rsidTr="004832D5">
        <w:trPr>
          <w:trHeight w:val="340"/>
        </w:trPr>
        <w:tc>
          <w:tcPr>
            <w:tcW w:w="1955" w:type="pct"/>
            <w:shd w:val="clear" w:color="auto" w:fill="auto"/>
            <w:noWrap/>
            <w:vAlign w:val="center"/>
            <w:hideMark/>
          </w:tcPr>
          <w:p w14:paraId="14DC445F" w14:textId="77777777" w:rsidR="003E5BF5" w:rsidRPr="0029213D" w:rsidRDefault="003E5BF5" w:rsidP="00DE1921">
            <w:pPr>
              <w:rPr>
                <w:rFonts w:ascii="Arial" w:hAnsi="Arial" w:cs="Arial"/>
                <w:b/>
                <w:sz w:val="24"/>
                <w:szCs w:val="24"/>
              </w:rPr>
            </w:pPr>
          </w:p>
        </w:tc>
        <w:tc>
          <w:tcPr>
            <w:tcW w:w="508" w:type="pct"/>
            <w:shd w:val="clear" w:color="auto" w:fill="auto"/>
            <w:noWrap/>
            <w:vAlign w:val="center"/>
            <w:hideMark/>
          </w:tcPr>
          <w:p w14:paraId="6137A87B" w14:textId="77777777" w:rsidR="003E5BF5" w:rsidRPr="0029213D" w:rsidRDefault="003E5BF5" w:rsidP="00DE1921">
            <w:pPr>
              <w:jc w:val="right"/>
              <w:rPr>
                <w:rFonts w:ascii="Arial" w:hAnsi="Arial" w:cs="Arial"/>
                <w:sz w:val="24"/>
                <w:szCs w:val="24"/>
              </w:rPr>
            </w:pPr>
          </w:p>
        </w:tc>
        <w:tc>
          <w:tcPr>
            <w:tcW w:w="609" w:type="pct"/>
            <w:shd w:val="clear" w:color="auto" w:fill="auto"/>
            <w:noWrap/>
            <w:vAlign w:val="center"/>
            <w:hideMark/>
          </w:tcPr>
          <w:p w14:paraId="2F476AD3" w14:textId="77777777" w:rsidR="003E5BF5" w:rsidRPr="0029213D" w:rsidRDefault="003E5BF5" w:rsidP="00DE1921">
            <w:pPr>
              <w:jc w:val="right"/>
              <w:rPr>
                <w:rFonts w:ascii="Arial" w:hAnsi="Arial" w:cs="Arial"/>
                <w:sz w:val="24"/>
                <w:szCs w:val="24"/>
              </w:rPr>
            </w:pPr>
          </w:p>
        </w:tc>
        <w:tc>
          <w:tcPr>
            <w:tcW w:w="407" w:type="pct"/>
            <w:shd w:val="clear" w:color="auto" w:fill="auto"/>
            <w:noWrap/>
            <w:vAlign w:val="center"/>
            <w:hideMark/>
          </w:tcPr>
          <w:p w14:paraId="61D9E8F5" w14:textId="77777777" w:rsidR="003E5BF5" w:rsidRPr="0029213D" w:rsidRDefault="003E5BF5" w:rsidP="00DE1921">
            <w:pPr>
              <w:jc w:val="right"/>
              <w:rPr>
                <w:rFonts w:ascii="Arial" w:hAnsi="Arial" w:cs="Arial"/>
                <w:sz w:val="24"/>
                <w:szCs w:val="24"/>
              </w:rPr>
            </w:pPr>
          </w:p>
        </w:tc>
        <w:tc>
          <w:tcPr>
            <w:tcW w:w="508" w:type="pct"/>
            <w:shd w:val="clear" w:color="auto" w:fill="auto"/>
            <w:noWrap/>
            <w:vAlign w:val="center"/>
            <w:hideMark/>
          </w:tcPr>
          <w:p w14:paraId="7FCAE3B4" w14:textId="77777777" w:rsidR="003E5BF5" w:rsidRPr="0029213D" w:rsidRDefault="003E5BF5" w:rsidP="00DE1921">
            <w:pPr>
              <w:jc w:val="right"/>
              <w:rPr>
                <w:rFonts w:ascii="Arial" w:hAnsi="Arial" w:cs="Arial"/>
                <w:sz w:val="24"/>
                <w:szCs w:val="24"/>
              </w:rPr>
            </w:pPr>
          </w:p>
        </w:tc>
        <w:tc>
          <w:tcPr>
            <w:tcW w:w="508" w:type="pct"/>
            <w:shd w:val="clear" w:color="auto" w:fill="auto"/>
            <w:noWrap/>
            <w:vAlign w:val="center"/>
            <w:hideMark/>
          </w:tcPr>
          <w:p w14:paraId="258E7564" w14:textId="77777777" w:rsidR="003E5BF5" w:rsidRPr="0029213D" w:rsidRDefault="003E5BF5" w:rsidP="00DE1921">
            <w:pPr>
              <w:jc w:val="right"/>
              <w:rPr>
                <w:rFonts w:ascii="Arial" w:hAnsi="Arial" w:cs="Arial"/>
                <w:sz w:val="24"/>
                <w:szCs w:val="24"/>
              </w:rPr>
            </w:pPr>
          </w:p>
        </w:tc>
        <w:tc>
          <w:tcPr>
            <w:tcW w:w="506" w:type="pct"/>
            <w:shd w:val="clear" w:color="auto" w:fill="auto"/>
            <w:noWrap/>
            <w:vAlign w:val="center"/>
            <w:hideMark/>
          </w:tcPr>
          <w:p w14:paraId="653A40B0" w14:textId="77777777" w:rsidR="003E5BF5" w:rsidRPr="0029213D" w:rsidRDefault="003E5BF5" w:rsidP="00DE1921">
            <w:pPr>
              <w:jc w:val="right"/>
              <w:rPr>
                <w:rFonts w:ascii="Arial" w:hAnsi="Arial" w:cs="Arial"/>
                <w:sz w:val="24"/>
                <w:szCs w:val="24"/>
              </w:rPr>
            </w:pPr>
          </w:p>
        </w:tc>
      </w:tr>
      <w:tr w:rsidR="003E5BF5" w:rsidRPr="0029213D" w14:paraId="727A6E74" w14:textId="77777777" w:rsidTr="004832D5">
        <w:trPr>
          <w:trHeight w:val="340"/>
        </w:trPr>
        <w:tc>
          <w:tcPr>
            <w:tcW w:w="1955" w:type="pct"/>
            <w:shd w:val="clear" w:color="auto" w:fill="auto"/>
            <w:noWrap/>
            <w:vAlign w:val="center"/>
            <w:hideMark/>
          </w:tcPr>
          <w:p w14:paraId="088EA571" w14:textId="77777777" w:rsidR="003E5BF5" w:rsidRPr="0029213D" w:rsidRDefault="003E5BF5" w:rsidP="00604703">
            <w:pPr>
              <w:pStyle w:val="TableTextGreen"/>
            </w:pPr>
            <w:r w:rsidRPr="0029213D">
              <w:t>Other economic flows included in net result</w:t>
            </w:r>
          </w:p>
        </w:tc>
        <w:tc>
          <w:tcPr>
            <w:tcW w:w="508" w:type="pct"/>
            <w:shd w:val="clear" w:color="auto" w:fill="auto"/>
            <w:noWrap/>
            <w:vAlign w:val="center"/>
            <w:hideMark/>
          </w:tcPr>
          <w:p w14:paraId="636D8A9C" w14:textId="77777777" w:rsidR="003E5BF5" w:rsidRPr="0029213D" w:rsidRDefault="003E5BF5" w:rsidP="00DE1921">
            <w:pPr>
              <w:jc w:val="right"/>
              <w:rPr>
                <w:rFonts w:ascii="Arial" w:hAnsi="Arial" w:cs="Arial"/>
                <w:sz w:val="24"/>
                <w:szCs w:val="24"/>
              </w:rPr>
            </w:pPr>
          </w:p>
        </w:tc>
        <w:tc>
          <w:tcPr>
            <w:tcW w:w="609" w:type="pct"/>
            <w:shd w:val="clear" w:color="auto" w:fill="auto"/>
            <w:noWrap/>
            <w:vAlign w:val="center"/>
            <w:hideMark/>
          </w:tcPr>
          <w:p w14:paraId="7C6B631A" w14:textId="77777777" w:rsidR="003E5BF5" w:rsidRPr="0029213D" w:rsidRDefault="003E5BF5" w:rsidP="00DE1921">
            <w:pPr>
              <w:jc w:val="right"/>
              <w:rPr>
                <w:rFonts w:ascii="Arial" w:hAnsi="Arial" w:cs="Arial"/>
                <w:sz w:val="24"/>
                <w:szCs w:val="24"/>
              </w:rPr>
            </w:pPr>
          </w:p>
        </w:tc>
        <w:tc>
          <w:tcPr>
            <w:tcW w:w="407" w:type="pct"/>
            <w:shd w:val="clear" w:color="auto" w:fill="auto"/>
            <w:noWrap/>
            <w:vAlign w:val="center"/>
            <w:hideMark/>
          </w:tcPr>
          <w:p w14:paraId="3EC5D3E2" w14:textId="77777777" w:rsidR="003E5BF5" w:rsidRPr="0029213D" w:rsidRDefault="003E5BF5" w:rsidP="00DE1921">
            <w:pPr>
              <w:jc w:val="right"/>
              <w:rPr>
                <w:rFonts w:ascii="Arial" w:hAnsi="Arial" w:cs="Arial"/>
                <w:sz w:val="24"/>
                <w:szCs w:val="24"/>
              </w:rPr>
            </w:pPr>
          </w:p>
        </w:tc>
        <w:tc>
          <w:tcPr>
            <w:tcW w:w="508" w:type="pct"/>
            <w:shd w:val="clear" w:color="auto" w:fill="auto"/>
            <w:noWrap/>
            <w:vAlign w:val="center"/>
            <w:hideMark/>
          </w:tcPr>
          <w:p w14:paraId="465E4D42" w14:textId="77777777" w:rsidR="003E5BF5" w:rsidRPr="0029213D" w:rsidRDefault="003E5BF5" w:rsidP="00DE1921">
            <w:pPr>
              <w:jc w:val="right"/>
              <w:rPr>
                <w:rFonts w:ascii="Arial" w:hAnsi="Arial" w:cs="Arial"/>
                <w:sz w:val="24"/>
                <w:szCs w:val="24"/>
              </w:rPr>
            </w:pPr>
          </w:p>
        </w:tc>
        <w:tc>
          <w:tcPr>
            <w:tcW w:w="508" w:type="pct"/>
            <w:shd w:val="clear" w:color="auto" w:fill="auto"/>
            <w:noWrap/>
            <w:vAlign w:val="center"/>
            <w:hideMark/>
          </w:tcPr>
          <w:p w14:paraId="2AC6B3BF" w14:textId="77777777" w:rsidR="003E5BF5" w:rsidRPr="0029213D" w:rsidRDefault="003E5BF5" w:rsidP="00DE1921">
            <w:pPr>
              <w:jc w:val="right"/>
              <w:rPr>
                <w:rFonts w:ascii="Arial" w:hAnsi="Arial" w:cs="Arial"/>
                <w:sz w:val="24"/>
                <w:szCs w:val="24"/>
              </w:rPr>
            </w:pPr>
          </w:p>
        </w:tc>
        <w:tc>
          <w:tcPr>
            <w:tcW w:w="506" w:type="pct"/>
            <w:shd w:val="clear" w:color="auto" w:fill="auto"/>
            <w:noWrap/>
            <w:vAlign w:val="center"/>
            <w:hideMark/>
          </w:tcPr>
          <w:p w14:paraId="23EA66E7" w14:textId="77777777" w:rsidR="003E5BF5" w:rsidRPr="0029213D" w:rsidRDefault="003E5BF5" w:rsidP="00DE1921">
            <w:pPr>
              <w:jc w:val="right"/>
              <w:rPr>
                <w:rFonts w:ascii="Arial" w:hAnsi="Arial" w:cs="Arial"/>
                <w:sz w:val="24"/>
                <w:szCs w:val="24"/>
              </w:rPr>
            </w:pPr>
          </w:p>
        </w:tc>
      </w:tr>
      <w:tr w:rsidR="003E5BF5" w:rsidRPr="0029213D" w14:paraId="2EA0289D" w14:textId="77777777" w:rsidTr="004832D5">
        <w:trPr>
          <w:trHeight w:val="340"/>
        </w:trPr>
        <w:tc>
          <w:tcPr>
            <w:tcW w:w="1955" w:type="pct"/>
            <w:shd w:val="clear" w:color="auto" w:fill="auto"/>
            <w:noWrap/>
            <w:vAlign w:val="center"/>
            <w:hideMark/>
          </w:tcPr>
          <w:p w14:paraId="5DEC3D5E" w14:textId="77777777" w:rsidR="003E5BF5" w:rsidRPr="0029213D" w:rsidRDefault="003E5BF5" w:rsidP="00DE1921">
            <w:pPr>
              <w:rPr>
                <w:rFonts w:ascii="Arial" w:hAnsi="Arial" w:cs="Arial"/>
                <w:sz w:val="24"/>
                <w:szCs w:val="24"/>
              </w:rPr>
            </w:pPr>
            <w:r w:rsidRPr="0029213D">
              <w:rPr>
                <w:rFonts w:ascii="Arial" w:hAnsi="Arial" w:cs="Arial"/>
                <w:sz w:val="24"/>
                <w:szCs w:val="24"/>
              </w:rPr>
              <w:t>Net loss on non-financial assets</w:t>
            </w:r>
          </w:p>
        </w:tc>
        <w:tc>
          <w:tcPr>
            <w:tcW w:w="508" w:type="pct"/>
            <w:shd w:val="clear" w:color="auto" w:fill="auto"/>
            <w:noWrap/>
            <w:vAlign w:val="center"/>
            <w:hideMark/>
          </w:tcPr>
          <w:p w14:paraId="4AFB2846"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609" w:type="pct"/>
            <w:shd w:val="clear" w:color="auto" w:fill="auto"/>
            <w:noWrap/>
            <w:vAlign w:val="center"/>
            <w:hideMark/>
          </w:tcPr>
          <w:p w14:paraId="2044D93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(3)</w:t>
            </w:r>
          </w:p>
        </w:tc>
        <w:tc>
          <w:tcPr>
            <w:tcW w:w="407" w:type="pct"/>
            <w:shd w:val="clear" w:color="auto" w:fill="auto"/>
            <w:noWrap/>
            <w:vAlign w:val="center"/>
            <w:hideMark/>
          </w:tcPr>
          <w:p w14:paraId="0C4D5638"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0DF149E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7CAD1F8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6" w:type="pct"/>
            <w:shd w:val="clear" w:color="auto" w:fill="auto"/>
            <w:noWrap/>
            <w:vAlign w:val="center"/>
            <w:hideMark/>
          </w:tcPr>
          <w:p w14:paraId="189F342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 </w:t>
            </w:r>
          </w:p>
        </w:tc>
      </w:tr>
      <w:tr w:rsidR="003E5BF5" w:rsidRPr="0029213D" w14:paraId="0F0B0EA3" w14:textId="77777777" w:rsidTr="004832D5">
        <w:trPr>
          <w:trHeight w:val="340"/>
        </w:trPr>
        <w:tc>
          <w:tcPr>
            <w:tcW w:w="1955" w:type="pct"/>
            <w:shd w:val="clear" w:color="auto" w:fill="auto"/>
            <w:noWrap/>
            <w:vAlign w:val="center"/>
            <w:hideMark/>
          </w:tcPr>
          <w:p w14:paraId="5142D937" w14:textId="77777777" w:rsidR="003E5BF5" w:rsidRPr="0029213D" w:rsidRDefault="003E5BF5" w:rsidP="00DE1921">
            <w:pPr>
              <w:rPr>
                <w:rFonts w:ascii="Arial" w:hAnsi="Arial" w:cs="Arial"/>
                <w:sz w:val="24"/>
                <w:szCs w:val="24"/>
              </w:rPr>
            </w:pPr>
            <w:r w:rsidRPr="0029213D">
              <w:rPr>
                <w:rFonts w:ascii="Arial" w:hAnsi="Arial" w:cs="Arial"/>
                <w:sz w:val="24"/>
                <w:szCs w:val="24"/>
              </w:rPr>
              <w:t>Net loss on financial instruments</w:t>
            </w:r>
          </w:p>
        </w:tc>
        <w:tc>
          <w:tcPr>
            <w:tcW w:w="508" w:type="pct"/>
            <w:shd w:val="clear" w:color="auto" w:fill="auto"/>
            <w:noWrap/>
            <w:vAlign w:val="center"/>
            <w:hideMark/>
          </w:tcPr>
          <w:p w14:paraId="0C93E614"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609" w:type="pct"/>
            <w:shd w:val="clear" w:color="auto" w:fill="auto"/>
            <w:noWrap/>
            <w:vAlign w:val="center"/>
            <w:hideMark/>
          </w:tcPr>
          <w:p w14:paraId="20EE519A"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407" w:type="pct"/>
            <w:shd w:val="clear" w:color="auto" w:fill="auto"/>
            <w:noWrap/>
            <w:vAlign w:val="center"/>
            <w:hideMark/>
          </w:tcPr>
          <w:p w14:paraId="71BD4D98"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0656B97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vAlign w:val="center"/>
            <w:hideMark/>
          </w:tcPr>
          <w:p w14:paraId="48156D1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6" w:type="pct"/>
            <w:shd w:val="clear" w:color="auto" w:fill="auto"/>
            <w:noWrap/>
            <w:vAlign w:val="center"/>
            <w:hideMark/>
          </w:tcPr>
          <w:p w14:paraId="7906A594"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r w:rsidRPr="0029213D">
              <w:rPr>
                <w:rFonts w:ascii="Arial" w:hAnsi="Arial" w:cs="Arial"/>
                <w:sz w:val="24"/>
                <w:szCs w:val="24"/>
              </w:rPr>
              <w:t xml:space="preserve"> </w:t>
            </w:r>
          </w:p>
        </w:tc>
      </w:tr>
      <w:tr w:rsidR="003E5BF5" w:rsidRPr="0029213D" w14:paraId="1E567B64" w14:textId="77777777" w:rsidTr="004832D5">
        <w:trPr>
          <w:trHeight w:val="340"/>
        </w:trPr>
        <w:tc>
          <w:tcPr>
            <w:tcW w:w="1955" w:type="pct"/>
            <w:shd w:val="clear" w:color="auto" w:fill="auto"/>
            <w:noWrap/>
            <w:vAlign w:val="center"/>
            <w:hideMark/>
          </w:tcPr>
          <w:p w14:paraId="363D3E09" w14:textId="77777777" w:rsidR="003E5BF5" w:rsidRPr="0029213D" w:rsidRDefault="003E5BF5" w:rsidP="00DE1921">
            <w:pPr>
              <w:rPr>
                <w:rFonts w:ascii="Arial" w:hAnsi="Arial" w:cs="Arial"/>
                <w:sz w:val="24"/>
                <w:szCs w:val="24"/>
              </w:rPr>
            </w:pPr>
            <w:r w:rsidRPr="0029213D">
              <w:rPr>
                <w:rFonts w:ascii="Arial" w:hAnsi="Arial" w:cs="Arial"/>
                <w:sz w:val="24"/>
                <w:szCs w:val="24"/>
              </w:rPr>
              <w:t>Other gains/(losses) from other economic flows</w:t>
            </w:r>
          </w:p>
        </w:tc>
        <w:tc>
          <w:tcPr>
            <w:tcW w:w="508" w:type="pct"/>
            <w:shd w:val="clear" w:color="auto" w:fill="auto"/>
            <w:noWrap/>
            <w:hideMark/>
          </w:tcPr>
          <w:p w14:paraId="6681A94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609" w:type="pct"/>
            <w:shd w:val="clear" w:color="auto" w:fill="auto"/>
            <w:noWrap/>
            <w:hideMark/>
          </w:tcPr>
          <w:p w14:paraId="1748B422"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(12)</w:t>
            </w:r>
          </w:p>
        </w:tc>
        <w:tc>
          <w:tcPr>
            <w:tcW w:w="407" w:type="pct"/>
            <w:shd w:val="clear" w:color="auto" w:fill="auto"/>
            <w:noWrap/>
            <w:hideMark/>
          </w:tcPr>
          <w:p w14:paraId="5B3348E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8" w:type="pct"/>
            <w:shd w:val="clear" w:color="auto" w:fill="auto"/>
            <w:noWrap/>
            <w:hideMark/>
          </w:tcPr>
          <w:p w14:paraId="59819E5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w:t>
            </w:r>
          </w:p>
        </w:tc>
        <w:tc>
          <w:tcPr>
            <w:tcW w:w="508" w:type="pct"/>
            <w:shd w:val="clear" w:color="auto" w:fill="auto"/>
            <w:noWrap/>
            <w:hideMark/>
          </w:tcPr>
          <w:p w14:paraId="5CA52FB3"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506" w:type="pct"/>
            <w:shd w:val="clear" w:color="auto" w:fill="auto"/>
            <w:noWrap/>
            <w:hideMark/>
          </w:tcPr>
          <w:p w14:paraId="4823BEA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(24)</w:t>
            </w:r>
          </w:p>
        </w:tc>
      </w:tr>
      <w:tr w:rsidR="003E5BF5" w:rsidRPr="0029213D" w14:paraId="76CC0C77" w14:textId="77777777" w:rsidTr="004832D5">
        <w:trPr>
          <w:trHeight w:val="340"/>
        </w:trPr>
        <w:tc>
          <w:tcPr>
            <w:tcW w:w="1955" w:type="pct"/>
            <w:shd w:val="clear" w:color="auto" w:fill="auto"/>
            <w:noWrap/>
            <w:vAlign w:val="center"/>
            <w:hideMark/>
          </w:tcPr>
          <w:p w14:paraId="76C879ED"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other economic flows included in net result</w:t>
            </w:r>
          </w:p>
        </w:tc>
        <w:tc>
          <w:tcPr>
            <w:tcW w:w="508" w:type="pct"/>
            <w:shd w:val="clear" w:color="auto" w:fill="auto"/>
            <w:noWrap/>
            <w:hideMark/>
          </w:tcPr>
          <w:p w14:paraId="03FA67B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609" w:type="pct"/>
            <w:shd w:val="clear" w:color="auto" w:fill="auto"/>
            <w:noWrap/>
            <w:hideMark/>
          </w:tcPr>
          <w:p w14:paraId="3868CF0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(15)</w:t>
            </w:r>
          </w:p>
        </w:tc>
        <w:tc>
          <w:tcPr>
            <w:tcW w:w="407" w:type="pct"/>
            <w:shd w:val="clear" w:color="auto" w:fill="auto"/>
            <w:noWrap/>
            <w:hideMark/>
          </w:tcPr>
          <w:p w14:paraId="27DB6F07"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508" w:type="pct"/>
            <w:shd w:val="clear" w:color="auto" w:fill="auto"/>
            <w:noWrap/>
            <w:hideMark/>
          </w:tcPr>
          <w:p w14:paraId="283F2275"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w:t>
            </w:r>
          </w:p>
        </w:tc>
        <w:tc>
          <w:tcPr>
            <w:tcW w:w="508" w:type="pct"/>
            <w:shd w:val="clear" w:color="auto" w:fill="auto"/>
            <w:noWrap/>
            <w:hideMark/>
          </w:tcPr>
          <w:p w14:paraId="19199DD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506" w:type="pct"/>
            <w:shd w:val="clear" w:color="auto" w:fill="auto"/>
            <w:noWrap/>
            <w:hideMark/>
          </w:tcPr>
          <w:p w14:paraId="06C96248"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(18)</w:t>
            </w:r>
          </w:p>
        </w:tc>
      </w:tr>
      <w:tr w:rsidR="003E5BF5" w:rsidRPr="0029213D" w14:paraId="7AAB5195" w14:textId="77777777" w:rsidTr="004832D5">
        <w:trPr>
          <w:trHeight w:val="340"/>
        </w:trPr>
        <w:tc>
          <w:tcPr>
            <w:tcW w:w="1955" w:type="pct"/>
            <w:shd w:val="clear" w:color="auto" w:fill="auto"/>
            <w:noWrap/>
            <w:vAlign w:val="center"/>
            <w:hideMark/>
          </w:tcPr>
          <w:p w14:paraId="0D0726CC" w14:textId="77777777" w:rsidR="003E5BF5" w:rsidRPr="0029213D" w:rsidRDefault="003E5BF5" w:rsidP="00DE1921">
            <w:pPr>
              <w:rPr>
                <w:rFonts w:ascii="Arial" w:hAnsi="Arial" w:cs="Arial"/>
                <w:b/>
                <w:sz w:val="24"/>
                <w:szCs w:val="24"/>
              </w:rPr>
            </w:pPr>
            <w:r w:rsidRPr="0029213D">
              <w:rPr>
                <w:rFonts w:ascii="Arial" w:hAnsi="Arial" w:cs="Arial"/>
                <w:b/>
                <w:sz w:val="24"/>
                <w:szCs w:val="24"/>
              </w:rPr>
              <w:t>Net result</w:t>
            </w:r>
          </w:p>
        </w:tc>
        <w:tc>
          <w:tcPr>
            <w:tcW w:w="508" w:type="pct"/>
            <w:shd w:val="clear" w:color="auto" w:fill="auto"/>
            <w:noWrap/>
            <w:vAlign w:val="center"/>
            <w:hideMark/>
          </w:tcPr>
          <w:p w14:paraId="6668136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609" w:type="pct"/>
            <w:shd w:val="clear" w:color="auto" w:fill="auto"/>
            <w:noWrap/>
            <w:vAlign w:val="center"/>
            <w:hideMark/>
          </w:tcPr>
          <w:p w14:paraId="41BE736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9,370 </w:t>
            </w:r>
          </w:p>
        </w:tc>
        <w:tc>
          <w:tcPr>
            <w:tcW w:w="407" w:type="pct"/>
            <w:shd w:val="clear" w:color="auto" w:fill="auto"/>
            <w:noWrap/>
            <w:vAlign w:val="center"/>
            <w:hideMark/>
          </w:tcPr>
          <w:p w14:paraId="425ED7D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508" w:type="pct"/>
            <w:shd w:val="clear" w:color="auto" w:fill="auto"/>
            <w:noWrap/>
            <w:vAlign w:val="center"/>
            <w:hideMark/>
          </w:tcPr>
          <w:p w14:paraId="4B8C2D2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(3)</w:t>
            </w:r>
          </w:p>
        </w:tc>
        <w:tc>
          <w:tcPr>
            <w:tcW w:w="508" w:type="pct"/>
            <w:shd w:val="clear" w:color="auto" w:fill="auto"/>
            <w:noWrap/>
            <w:vAlign w:val="center"/>
            <w:hideMark/>
          </w:tcPr>
          <w:p w14:paraId="5BABF76B"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506" w:type="pct"/>
            <w:shd w:val="clear" w:color="auto" w:fill="auto"/>
            <w:noWrap/>
            <w:vAlign w:val="center"/>
            <w:hideMark/>
          </w:tcPr>
          <w:p w14:paraId="6F3FB90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5,535 </w:t>
            </w:r>
          </w:p>
        </w:tc>
      </w:tr>
      <w:tr w:rsidR="003E5BF5" w:rsidRPr="0029213D" w14:paraId="4EED0BE2" w14:textId="77777777" w:rsidTr="004832D5">
        <w:trPr>
          <w:trHeight w:val="340"/>
        </w:trPr>
        <w:tc>
          <w:tcPr>
            <w:tcW w:w="1955" w:type="pct"/>
            <w:shd w:val="clear" w:color="auto" w:fill="auto"/>
            <w:noWrap/>
            <w:vAlign w:val="center"/>
            <w:hideMark/>
          </w:tcPr>
          <w:p w14:paraId="1965B8F1" w14:textId="77777777" w:rsidR="003E5BF5" w:rsidRPr="0029213D" w:rsidRDefault="003E5BF5" w:rsidP="00DE1921">
            <w:pPr>
              <w:rPr>
                <w:rFonts w:ascii="Arial" w:hAnsi="Arial" w:cs="Arial"/>
                <w:b/>
                <w:sz w:val="24"/>
                <w:szCs w:val="24"/>
              </w:rPr>
            </w:pPr>
            <w:r w:rsidRPr="0029213D">
              <w:rPr>
                <w:rFonts w:ascii="Arial" w:hAnsi="Arial" w:cs="Arial"/>
                <w:b/>
                <w:sz w:val="24"/>
                <w:szCs w:val="24"/>
              </w:rPr>
              <w:t>Comprehensive result</w:t>
            </w:r>
          </w:p>
        </w:tc>
        <w:tc>
          <w:tcPr>
            <w:tcW w:w="508" w:type="pct"/>
            <w:shd w:val="clear" w:color="auto" w:fill="auto"/>
            <w:noWrap/>
            <w:vAlign w:val="center"/>
            <w:hideMark/>
          </w:tcPr>
          <w:p w14:paraId="6E74BA1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609" w:type="pct"/>
            <w:shd w:val="clear" w:color="auto" w:fill="auto"/>
            <w:noWrap/>
            <w:vAlign w:val="center"/>
            <w:hideMark/>
          </w:tcPr>
          <w:p w14:paraId="0F14A5BB"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9,370 </w:t>
            </w:r>
          </w:p>
        </w:tc>
        <w:tc>
          <w:tcPr>
            <w:tcW w:w="407" w:type="pct"/>
            <w:shd w:val="clear" w:color="auto" w:fill="auto"/>
            <w:noWrap/>
            <w:vAlign w:val="center"/>
            <w:hideMark/>
          </w:tcPr>
          <w:p w14:paraId="2626BD98"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508" w:type="pct"/>
            <w:shd w:val="clear" w:color="auto" w:fill="auto"/>
            <w:noWrap/>
            <w:vAlign w:val="center"/>
            <w:hideMark/>
          </w:tcPr>
          <w:p w14:paraId="37442EB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(3)</w:t>
            </w:r>
          </w:p>
        </w:tc>
        <w:tc>
          <w:tcPr>
            <w:tcW w:w="508" w:type="pct"/>
            <w:shd w:val="clear" w:color="auto" w:fill="auto"/>
            <w:noWrap/>
            <w:vAlign w:val="center"/>
            <w:hideMark/>
          </w:tcPr>
          <w:p w14:paraId="4DC0C25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506" w:type="pct"/>
            <w:shd w:val="clear" w:color="auto" w:fill="auto"/>
            <w:noWrap/>
            <w:vAlign w:val="center"/>
            <w:hideMark/>
          </w:tcPr>
          <w:p w14:paraId="76EBCB8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5,535 </w:t>
            </w:r>
          </w:p>
        </w:tc>
      </w:tr>
    </w:tbl>
    <w:p w14:paraId="76EDBC55" w14:textId="77777777" w:rsidR="003E5BF5" w:rsidRDefault="003E5BF5" w:rsidP="00DE1921"/>
    <w:p w14:paraId="195F03EA" w14:textId="77777777" w:rsidR="003E5BF5" w:rsidRPr="004352D6" w:rsidRDefault="003E5BF5" w:rsidP="00DE1921">
      <w:r w:rsidRPr="004352D6">
        <w:br w:type="page"/>
      </w:r>
    </w:p>
    <w:tbl>
      <w:tblPr>
        <w:tblStyle w:val="TableGrid"/>
        <w:tblW w:w="9923" w:type="dxa"/>
        <w:tblLayout w:type="fixed"/>
        <w:tblCellMar>
          <w:left w:w="28" w:type="dxa"/>
          <w:right w:w="28" w:type="dxa"/>
        </w:tblCellMar>
        <w:tblLook w:val="04A0" w:firstRow="1" w:lastRow="0" w:firstColumn="1" w:lastColumn="0" w:noHBand="0" w:noVBand="1"/>
      </w:tblPr>
      <w:tblGrid>
        <w:gridCol w:w="2476"/>
        <w:gridCol w:w="853"/>
        <w:gridCol w:w="1066"/>
        <w:gridCol w:w="749"/>
        <w:gridCol w:w="1235"/>
        <w:gridCol w:w="726"/>
        <w:gridCol w:w="907"/>
        <w:gridCol w:w="777"/>
        <w:gridCol w:w="1134"/>
      </w:tblGrid>
      <w:tr w:rsidR="003E5BF5" w:rsidRPr="0029213D" w14:paraId="056B06F4" w14:textId="77777777" w:rsidTr="004832D5">
        <w:trPr>
          <w:trHeight w:val="340"/>
        </w:trPr>
        <w:tc>
          <w:tcPr>
            <w:tcW w:w="2476" w:type="dxa"/>
            <w:shd w:val="clear" w:color="auto" w:fill="auto"/>
            <w:vAlign w:val="center"/>
            <w:hideMark/>
          </w:tcPr>
          <w:p w14:paraId="6D25E55F" w14:textId="77777777" w:rsidR="003E5BF5" w:rsidRPr="0029213D" w:rsidRDefault="003E5BF5" w:rsidP="00DE1921">
            <w:pPr>
              <w:jc w:val="right"/>
              <w:rPr>
                <w:rFonts w:ascii="Arial" w:hAnsi="Arial" w:cs="Arial"/>
                <w:sz w:val="24"/>
                <w:szCs w:val="24"/>
                <w:lang w:eastAsia="en-AU"/>
              </w:rPr>
            </w:pPr>
            <w:bookmarkStart w:id="217" w:name="RANGE!AX3:BD35"/>
            <w:bookmarkEnd w:id="217"/>
          </w:p>
        </w:tc>
        <w:tc>
          <w:tcPr>
            <w:tcW w:w="7447" w:type="dxa"/>
            <w:gridSpan w:val="8"/>
            <w:shd w:val="clear" w:color="auto" w:fill="auto"/>
            <w:vAlign w:val="center"/>
            <w:hideMark/>
          </w:tcPr>
          <w:p w14:paraId="61DD64A5" w14:textId="77777777" w:rsidR="003E5BF5" w:rsidRPr="0029213D" w:rsidRDefault="003E5BF5" w:rsidP="00DE1921">
            <w:pPr>
              <w:jc w:val="center"/>
              <w:rPr>
                <w:rFonts w:ascii="Arial" w:hAnsi="Arial" w:cs="Arial"/>
                <w:b/>
                <w:sz w:val="24"/>
                <w:szCs w:val="24"/>
                <w:lang w:eastAsia="en-AU"/>
              </w:rPr>
            </w:pPr>
            <w:r w:rsidRPr="0029213D">
              <w:rPr>
                <w:rFonts w:ascii="Arial" w:hAnsi="Arial" w:cs="Arial"/>
                <w:b/>
                <w:sz w:val="24"/>
                <w:szCs w:val="24"/>
                <w:lang w:eastAsia="en-AU"/>
              </w:rPr>
              <w:t>($ thousand)</w:t>
            </w:r>
          </w:p>
        </w:tc>
      </w:tr>
      <w:tr w:rsidR="003E5BF5" w:rsidRPr="0029213D" w14:paraId="5F82BB4F" w14:textId="77777777" w:rsidTr="004832D5">
        <w:trPr>
          <w:trHeight w:val="340"/>
        </w:trPr>
        <w:tc>
          <w:tcPr>
            <w:tcW w:w="2476" w:type="dxa"/>
            <w:shd w:val="clear" w:color="auto" w:fill="auto"/>
            <w:noWrap/>
            <w:vAlign w:val="center"/>
            <w:hideMark/>
          </w:tcPr>
          <w:p w14:paraId="75F67F87" w14:textId="77777777" w:rsidR="003E5BF5" w:rsidRPr="0029213D" w:rsidRDefault="003E5BF5" w:rsidP="00DE1921">
            <w:pPr>
              <w:rPr>
                <w:rFonts w:ascii="Arial" w:hAnsi="Arial" w:cs="Arial"/>
                <w:sz w:val="24"/>
                <w:szCs w:val="24"/>
                <w:lang w:eastAsia="en-AU"/>
              </w:rPr>
            </w:pPr>
          </w:p>
        </w:tc>
        <w:tc>
          <w:tcPr>
            <w:tcW w:w="1919" w:type="dxa"/>
            <w:gridSpan w:val="2"/>
            <w:shd w:val="clear" w:color="auto" w:fill="auto"/>
            <w:vAlign w:val="bottom"/>
            <w:hideMark/>
          </w:tcPr>
          <w:p w14:paraId="0C87436D" w14:textId="77777777" w:rsidR="003E5BF5" w:rsidRPr="0029213D" w:rsidRDefault="003E5BF5" w:rsidP="00DE1921">
            <w:pPr>
              <w:jc w:val="center"/>
              <w:rPr>
                <w:rFonts w:ascii="Arial" w:hAnsi="Arial" w:cs="Arial"/>
                <w:b/>
                <w:sz w:val="24"/>
                <w:szCs w:val="24"/>
                <w:lang w:eastAsia="en-AU"/>
              </w:rPr>
            </w:pPr>
            <w:r w:rsidRPr="0029213D">
              <w:rPr>
                <w:rFonts w:ascii="Arial" w:hAnsi="Arial" w:cs="Arial"/>
                <w:b/>
                <w:sz w:val="24"/>
                <w:szCs w:val="24"/>
                <w:lang w:eastAsia="en-AU"/>
              </w:rPr>
              <w:t>Jobs and investment</w:t>
            </w:r>
          </w:p>
        </w:tc>
        <w:tc>
          <w:tcPr>
            <w:tcW w:w="1984" w:type="dxa"/>
            <w:gridSpan w:val="2"/>
            <w:shd w:val="clear" w:color="auto" w:fill="auto"/>
            <w:vAlign w:val="bottom"/>
            <w:hideMark/>
          </w:tcPr>
          <w:p w14:paraId="3C3256EF" w14:textId="77777777" w:rsidR="003E5BF5" w:rsidRPr="0029213D" w:rsidRDefault="003E5BF5" w:rsidP="00DE1921">
            <w:pPr>
              <w:jc w:val="center"/>
              <w:rPr>
                <w:rFonts w:ascii="Arial" w:hAnsi="Arial" w:cs="Arial"/>
                <w:b/>
                <w:sz w:val="24"/>
                <w:szCs w:val="24"/>
                <w:lang w:eastAsia="en-AU"/>
              </w:rPr>
            </w:pPr>
            <w:r w:rsidRPr="0029213D">
              <w:rPr>
                <w:rFonts w:ascii="Arial" w:hAnsi="Arial" w:cs="Arial"/>
                <w:b/>
                <w:sz w:val="24"/>
                <w:szCs w:val="24"/>
                <w:lang w:eastAsia="en-AU"/>
              </w:rPr>
              <w:t>Regional development</w:t>
            </w:r>
          </w:p>
        </w:tc>
        <w:tc>
          <w:tcPr>
            <w:tcW w:w="1633" w:type="dxa"/>
            <w:gridSpan w:val="2"/>
            <w:shd w:val="clear" w:color="auto" w:fill="auto"/>
            <w:vAlign w:val="bottom"/>
            <w:hideMark/>
          </w:tcPr>
          <w:p w14:paraId="723DDA59" w14:textId="77777777" w:rsidR="003E5BF5" w:rsidRPr="0029213D" w:rsidRDefault="003E5BF5" w:rsidP="00DE1921">
            <w:pPr>
              <w:jc w:val="center"/>
              <w:rPr>
                <w:rFonts w:ascii="Arial" w:hAnsi="Arial" w:cs="Arial"/>
                <w:b/>
                <w:sz w:val="24"/>
                <w:szCs w:val="24"/>
                <w:lang w:eastAsia="en-AU"/>
              </w:rPr>
            </w:pPr>
            <w:r w:rsidRPr="0029213D">
              <w:rPr>
                <w:rFonts w:ascii="Arial" w:hAnsi="Arial" w:cs="Arial"/>
                <w:b/>
                <w:sz w:val="24"/>
                <w:szCs w:val="24"/>
                <w:lang w:eastAsia="en-AU"/>
              </w:rPr>
              <w:t>Trade</w:t>
            </w:r>
          </w:p>
        </w:tc>
        <w:tc>
          <w:tcPr>
            <w:tcW w:w="1911" w:type="dxa"/>
            <w:gridSpan w:val="2"/>
            <w:shd w:val="clear" w:color="auto" w:fill="auto"/>
            <w:vAlign w:val="bottom"/>
            <w:hideMark/>
          </w:tcPr>
          <w:p w14:paraId="49EE8C21" w14:textId="77777777" w:rsidR="003E5BF5" w:rsidRPr="0029213D" w:rsidRDefault="003E5BF5" w:rsidP="00DE1921">
            <w:pPr>
              <w:jc w:val="center"/>
              <w:rPr>
                <w:rFonts w:ascii="Arial" w:hAnsi="Arial" w:cs="Arial"/>
                <w:b/>
                <w:sz w:val="24"/>
                <w:szCs w:val="24"/>
                <w:lang w:eastAsia="en-AU"/>
              </w:rPr>
            </w:pPr>
            <w:r w:rsidRPr="0029213D">
              <w:rPr>
                <w:rFonts w:ascii="Arial" w:hAnsi="Arial" w:cs="Arial"/>
                <w:b/>
                <w:sz w:val="24"/>
                <w:szCs w:val="24"/>
                <w:lang w:eastAsia="en-AU"/>
              </w:rPr>
              <w:t>Transferred Out Totals</w:t>
            </w:r>
          </w:p>
        </w:tc>
      </w:tr>
      <w:tr w:rsidR="003E5BF5" w:rsidRPr="0029213D" w14:paraId="108EC28A" w14:textId="77777777" w:rsidTr="004832D5">
        <w:trPr>
          <w:trHeight w:val="340"/>
        </w:trPr>
        <w:tc>
          <w:tcPr>
            <w:tcW w:w="2476" w:type="dxa"/>
            <w:shd w:val="clear" w:color="auto" w:fill="auto"/>
            <w:noWrap/>
            <w:vAlign w:val="center"/>
            <w:hideMark/>
          </w:tcPr>
          <w:p w14:paraId="3558A010" w14:textId="77777777" w:rsidR="003E5BF5" w:rsidRPr="0029213D" w:rsidRDefault="003E5BF5" w:rsidP="00DE1921">
            <w:pPr>
              <w:rPr>
                <w:rFonts w:ascii="Arial" w:hAnsi="Arial" w:cs="Arial"/>
                <w:b/>
                <w:sz w:val="24"/>
                <w:szCs w:val="24"/>
                <w:lang w:eastAsia="en-AU"/>
              </w:rPr>
            </w:pPr>
          </w:p>
        </w:tc>
        <w:tc>
          <w:tcPr>
            <w:tcW w:w="853" w:type="dxa"/>
            <w:shd w:val="clear" w:color="auto" w:fill="auto"/>
            <w:vAlign w:val="center"/>
            <w:hideMark/>
          </w:tcPr>
          <w:p w14:paraId="240161E7"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2020</w:t>
            </w:r>
          </w:p>
        </w:tc>
        <w:tc>
          <w:tcPr>
            <w:tcW w:w="1066" w:type="dxa"/>
            <w:shd w:val="clear" w:color="auto" w:fill="auto"/>
            <w:vAlign w:val="center"/>
            <w:hideMark/>
          </w:tcPr>
          <w:p w14:paraId="64159775"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2019</w:t>
            </w:r>
          </w:p>
        </w:tc>
        <w:tc>
          <w:tcPr>
            <w:tcW w:w="749" w:type="dxa"/>
            <w:shd w:val="clear" w:color="auto" w:fill="auto"/>
            <w:vAlign w:val="center"/>
            <w:hideMark/>
          </w:tcPr>
          <w:p w14:paraId="2B605AB7"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2020</w:t>
            </w:r>
          </w:p>
        </w:tc>
        <w:tc>
          <w:tcPr>
            <w:tcW w:w="1235" w:type="dxa"/>
            <w:shd w:val="clear" w:color="auto" w:fill="auto"/>
            <w:vAlign w:val="center"/>
            <w:hideMark/>
          </w:tcPr>
          <w:p w14:paraId="2A84F7F2"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2019</w:t>
            </w:r>
          </w:p>
        </w:tc>
        <w:tc>
          <w:tcPr>
            <w:tcW w:w="726" w:type="dxa"/>
            <w:shd w:val="clear" w:color="auto" w:fill="auto"/>
            <w:vAlign w:val="center"/>
            <w:hideMark/>
          </w:tcPr>
          <w:p w14:paraId="4A28D41B"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2020</w:t>
            </w:r>
          </w:p>
        </w:tc>
        <w:tc>
          <w:tcPr>
            <w:tcW w:w="907" w:type="dxa"/>
            <w:shd w:val="clear" w:color="auto" w:fill="auto"/>
            <w:vAlign w:val="center"/>
            <w:hideMark/>
          </w:tcPr>
          <w:p w14:paraId="1B5DFDCE"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2019</w:t>
            </w:r>
          </w:p>
        </w:tc>
        <w:tc>
          <w:tcPr>
            <w:tcW w:w="777" w:type="dxa"/>
            <w:shd w:val="clear" w:color="auto" w:fill="auto"/>
            <w:vAlign w:val="center"/>
            <w:hideMark/>
          </w:tcPr>
          <w:p w14:paraId="7FDE942F"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2020</w:t>
            </w:r>
          </w:p>
        </w:tc>
        <w:tc>
          <w:tcPr>
            <w:tcW w:w="1134" w:type="dxa"/>
            <w:shd w:val="clear" w:color="auto" w:fill="auto"/>
            <w:vAlign w:val="center"/>
            <w:hideMark/>
          </w:tcPr>
          <w:p w14:paraId="18E7D2CD"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2019</w:t>
            </w:r>
          </w:p>
        </w:tc>
      </w:tr>
      <w:tr w:rsidR="003E5BF5" w:rsidRPr="0029213D" w14:paraId="14DBFDB0" w14:textId="77777777" w:rsidTr="004832D5">
        <w:trPr>
          <w:trHeight w:val="340"/>
        </w:trPr>
        <w:tc>
          <w:tcPr>
            <w:tcW w:w="2476" w:type="dxa"/>
            <w:shd w:val="clear" w:color="auto" w:fill="auto"/>
            <w:noWrap/>
            <w:vAlign w:val="center"/>
            <w:hideMark/>
          </w:tcPr>
          <w:p w14:paraId="4FC9E739" w14:textId="77777777" w:rsidR="003E5BF5" w:rsidRPr="0029213D" w:rsidRDefault="003E5BF5" w:rsidP="00604703">
            <w:pPr>
              <w:pStyle w:val="TableTextGreen"/>
            </w:pPr>
            <w:r w:rsidRPr="0029213D">
              <w:t>Income from transactions</w:t>
            </w:r>
          </w:p>
        </w:tc>
        <w:tc>
          <w:tcPr>
            <w:tcW w:w="853" w:type="dxa"/>
            <w:shd w:val="clear" w:color="auto" w:fill="auto"/>
            <w:noWrap/>
            <w:vAlign w:val="center"/>
            <w:hideMark/>
          </w:tcPr>
          <w:p w14:paraId="0FB84D4D"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 </w:t>
            </w:r>
          </w:p>
        </w:tc>
        <w:tc>
          <w:tcPr>
            <w:tcW w:w="1066" w:type="dxa"/>
            <w:shd w:val="clear" w:color="auto" w:fill="auto"/>
            <w:noWrap/>
            <w:vAlign w:val="center"/>
            <w:hideMark/>
          </w:tcPr>
          <w:p w14:paraId="2C7A436A"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 </w:t>
            </w:r>
          </w:p>
        </w:tc>
        <w:tc>
          <w:tcPr>
            <w:tcW w:w="749" w:type="dxa"/>
            <w:shd w:val="clear" w:color="auto" w:fill="auto"/>
            <w:noWrap/>
            <w:vAlign w:val="center"/>
            <w:hideMark/>
          </w:tcPr>
          <w:p w14:paraId="6978F513"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 </w:t>
            </w:r>
          </w:p>
        </w:tc>
        <w:tc>
          <w:tcPr>
            <w:tcW w:w="1235" w:type="dxa"/>
            <w:shd w:val="clear" w:color="auto" w:fill="auto"/>
            <w:noWrap/>
            <w:vAlign w:val="center"/>
            <w:hideMark/>
          </w:tcPr>
          <w:p w14:paraId="605EC340"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 </w:t>
            </w:r>
          </w:p>
        </w:tc>
        <w:tc>
          <w:tcPr>
            <w:tcW w:w="726" w:type="dxa"/>
            <w:shd w:val="clear" w:color="auto" w:fill="auto"/>
            <w:noWrap/>
            <w:vAlign w:val="center"/>
            <w:hideMark/>
          </w:tcPr>
          <w:p w14:paraId="2E7556ED"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 </w:t>
            </w:r>
          </w:p>
        </w:tc>
        <w:tc>
          <w:tcPr>
            <w:tcW w:w="907" w:type="dxa"/>
            <w:shd w:val="clear" w:color="auto" w:fill="auto"/>
            <w:noWrap/>
            <w:vAlign w:val="center"/>
            <w:hideMark/>
          </w:tcPr>
          <w:p w14:paraId="6694926B"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 </w:t>
            </w:r>
          </w:p>
        </w:tc>
        <w:tc>
          <w:tcPr>
            <w:tcW w:w="777" w:type="dxa"/>
            <w:shd w:val="clear" w:color="auto" w:fill="auto"/>
            <w:noWrap/>
            <w:vAlign w:val="center"/>
            <w:hideMark/>
          </w:tcPr>
          <w:p w14:paraId="6CC20848"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 </w:t>
            </w:r>
          </w:p>
        </w:tc>
        <w:tc>
          <w:tcPr>
            <w:tcW w:w="1134" w:type="dxa"/>
            <w:shd w:val="clear" w:color="auto" w:fill="auto"/>
            <w:noWrap/>
            <w:vAlign w:val="center"/>
            <w:hideMark/>
          </w:tcPr>
          <w:p w14:paraId="6AC4A432"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lang w:eastAsia="en-AU"/>
              </w:rPr>
              <w:t> </w:t>
            </w:r>
          </w:p>
        </w:tc>
      </w:tr>
      <w:tr w:rsidR="003E5BF5" w:rsidRPr="0029213D" w14:paraId="4AA5E42C" w14:textId="77777777" w:rsidTr="004832D5">
        <w:trPr>
          <w:trHeight w:val="340"/>
        </w:trPr>
        <w:tc>
          <w:tcPr>
            <w:tcW w:w="2476" w:type="dxa"/>
            <w:shd w:val="clear" w:color="auto" w:fill="auto"/>
            <w:noWrap/>
            <w:vAlign w:val="center"/>
            <w:hideMark/>
          </w:tcPr>
          <w:p w14:paraId="56A01597" w14:textId="77777777" w:rsidR="003E5BF5" w:rsidRPr="0029213D" w:rsidRDefault="003E5BF5" w:rsidP="00DE1921">
            <w:pPr>
              <w:rPr>
                <w:rFonts w:ascii="Arial" w:hAnsi="Arial" w:cs="Arial"/>
                <w:sz w:val="24"/>
                <w:szCs w:val="24"/>
                <w:lang w:eastAsia="en-AU"/>
              </w:rPr>
            </w:pPr>
            <w:r w:rsidRPr="0029213D">
              <w:rPr>
                <w:rFonts w:ascii="Arial" w:hAnsi="Arial" w:cs="Arial"/>
                <w:sz w:val="24"/>
                <w:szCs w:val="24"/>
                <w:lang w:eastAsia="en-AU"/>
              </w:rPr>
              <w:t>Output appropriations</w:t>
            </w:r>
          </w:p>
        </w:tc>
        <w:tc>
          <w:tcPr>
            <w:tcW w:w="853" w:type="dxa"/>
            <w:shd w:val="clear" w:color="auto" w:fill="auto"/>
            <w:noWrap/>
            <w:vAlign w:val="center"/>
            <w:hideMark/>
          </w:tcPr>
          <w:p w14:paraId="566914BA"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066" w:type="dxa"/>
            <w:shd w:val="clear" w:color="auto" w:fill="auto"/>
            <w:noWrap/>
            <w:vAlign w:val="center"/>
            <w:hideMark/>
          </w:tcPr>
          <w:p w14:paraId="184CF95E"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81,291 </w:t>
            </w:r>
          </w:p>
        </w:tc>
        <w:tc>
          <w:tcPr>
            <w:tcW w:w="749" w:type="dxa"/>
            <w:shd w:val="clear" w:color="auto" w:fill="auto"/>
            <w:noWrap/>
            <w:vAlign w:val="center"/>
            <w:hideMark/>
          </w:tcPr>
          <w:p w14:paraId="5C073DCC"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235" w:type="dxa"/>
            <w:shd w:val="clear" w:color="auto" w:fill="auto"/>
            <w:noWrap/>
            <w:vAlign w:val="center"/>
            <w:hideMark/>
          </w:tcPr>
          <w:p w14:paraId="1CDAB339"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75,389 </w:t>
            </w:r>
          </w:p>
        </w:tc>
        <w:tc>
          <w:tcPr>
            <w:tcW w:w="726" w:type="dxa"/>
            <w:shd w:val="clear" w:color="auto" w:fill="auto"/>
            <w:noWrap/>
            <w:vAlign w:val="center"/>
            <w:hideMark/>
          </w:tcPr>
          <w:p w14:paraId="0D1A4BB4"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907" w:type="dxa"/>
            <w:shd w:val="clear" w:color="auto" w:fill="auto"/>
            <w:noWrap/>
            <w:vAlign w:val="center"/>
            <w:hideMark/>
          </w:tcPr>
          <w:p w14:paraId="44D7027F"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9,551 </w:t>
            </w:r>
          </w:p>
        </w:tc>
        <w:tc>
          <w:tcPr>
            <w:tcW w:w="777" w:type="dxa"/>
            <w:shd w:val="clear" w:color="auto" w:fill="auto"/>
            <w:noWrap/>
            <w:vAlign w:val="center"/>
            <w:hideMark/>
          </w:tcPr>
          <w:p w14:paraId="07878E45"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134" w:type="dxa"/>
            <w:shd w:val="clear" w:color="auto" w:fill="auto"/>
            <w:noWrap/>
            <w:vAlign w:val="center"/>
            <w:hideMark/>
          </w:tcPr>
          <w:p w14:paraId="76698F28"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700,870 </w:t>
            </w:r>
          </w:p>
        </w:tc>
      </w:tr>
      <w:tr w:rsidR="003E5BF5" w:rsidRPr="0029213D" w14:paraId="7B328FC8" w14:textId="77777777" w:rsidTr="004832D5">
        <w:trPr>
          <w:trHeight w:val="340"/>
        </w:trPr>
        <w:tc>
          <w:tcPr>
            <w:tcW w:w="2476" w:type="dxa"/>
            <w:shd w:val="clear" w:color="auto" w:fill="auto"/>
            <w:noWrap/>
            <w:vAlign w:val="center"/>
            <w:hideMark/>
          </w:tcPr>
          <w:p w14:paraId="592F4286" w14:textId="77777777" w:rsidR="003E5BF5" w:rsidRPr="0029213D" w:rsidRDefault="003E5BF5" w:rsidP="00DE1921">
            <w:pPr>
              <w:rPr>
                <w:rFonts w:ascii="Arial" w:hAnsi="Arial" w:cs="Arial"/>
                <w:sz w:val="24"/>
                <w:szCs w:val="24"/>
                <w:lang w:eastAsia="en-AU"/>
              </w:rPr>
            </w:pPr>
            <w:r w:rsidRPr="0029213D">
              <w:rPr>
                <w:rFonts w:ascii="Arial" w:hAnsi="Arial" w:cs="Arial"/>
                <w:sz w:val="24"/>
                <w:szCs w:val="24"/>
                <w:lang w:eastAsia="en-AU"/>
              </w:rPr>
              <w:t>Special appropriations</w:t>
            </w:r>
          </w:p>
        </w:tc>
        <w:tc>
          <w:tcPr>
            <w:tcW w:w="853" w:type="dxa"/>
            <w:shd w:val="clear" w:color="auto" w:fill="auto"/>
            <w:noWrap/>
            <w:vAlign w:val="center"/>
            <w:hideMark/>
          </w:tcPr>
          <w:p w14:paraId="05180705"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066" w:type="dxa"/>
            <w:shd w:val="clear" w:color="auto" w:fill="auto"/>
            <w:noWrap/>
            <w:vAlign w:val="center"/>
            <w:hideMark/>
          </w:tcPr>
          <w:p w14:paraId="05D1F35B"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749" w:type="dxa"/>
            <w:shd w:val="clear" w:color="auto" w:fill="auto"/>
            <w:noWrap/>
            <w:vAlign w:val="center"/>
            <w:hideMark/>
          </w:tcPr>
          <w:p w14:paraId="6271A7CC"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235" w:type="dxa"/>
            <w:shd w:val="clear" w:color="auto" w:fill="auto"/>
            <w:noWrap/>
            <w:vAlign w:val="center"/>
            <w:hideMark/>
          </w:tcPr>
          <w:p w14:paraId="3D3F30B9"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726" w:type="dxa"/>
            <w:shd w:val="clear" w:color="auto" w:fill="auto"/>
            <w:noWrap/>
            <w:vAlign w:val="center"/>
            <w:hideMark/>
          </w:tcPr>
          <w:p w14:paraId="3C3D0D76"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907" w:type="dxa"/>
            <w:shd w:val="clear" w:color="auto" w:fill="auto"/>
            <w:noWrap/>
            <w:vAlign w:val="center"/>
            <w:hideMark/>
          </w:tcPr>
          <w:p w14:paraId="0D3A430F"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777" w:type="dxa"/>
            <w:shd w:val="clear" w:color="auto" w:fill="auto"/>
            <w:noWrap/>
            <w:vAlign w:val="center"/>
            <w:hideMark/>
          </w:tcPr>
          <w:p w14:paraId="0F2B4C1A"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134" w:type="dxa"/>
            <w:shd w:val="clear" w:color="auto" w:fill="auto"/>
            <w:noWrap/>
            <w:vAlign w:val="center"/>
            <w:hideMark/>
          </w:tcPr>
          <w:p w14:paraId="0B133706"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97 </w:t>
            </w:r>
          </w:p>
        </w:tc>
      </w:tr>
      <w:tr w:rsidR="003E5BF5" w:rsidRPr="0029213D" w14:paraId="74D2B6E0" w14:textId="77777777" w:rsidTr="004832D5">
        <w:trPr>
          <w:trHeight w:val="340"/>
        </w:trPr>
        <w:tc>
          <w:tcPr>
            <w:tcW w:w="2476" w:type="dxa"/>
            <w:shd w:val="clear" w:color="auto" w:fill="auto"/>
            <w:noWrap/>
            <w:vAlign w:val="center"/>
            <w:hideMark/>
          </w:tcPr>
          <w:p w14:paraId="5DC2EB1C" w14:textId="77777777" w:rsidR="003E5BF5" w:rsidRPr="0029213D" w:rsidRDefault="003E5BF5" w:rsidP="00DE1921">
            <w:pPr>
              <w:rPr>
                <w:rFonts w:ascii="Arial" w:hAnsi="Arial" w:cs="Arial"/>
                <w:sz w:val="24"/>
                <w:szCs w:val="24"/>
                <w:lang w:eastAsia="en-AU"/>
              </w:rPr>
            </w:pPr>
            <w:r w:rsidRPr="0029213D">
              <w:rPr>
                <w:rFonts w:ascii="Arial" w:hAnsi="Arial" w:cs="Arial"/>
                <w:sz w:val="24"/>
                <w:szCs w:val="24"/>
                <w:lang w:eastAsia="en-AU"/>
              </w:rPr>
              <w:t>Regional Jobs and Infrastructure Fund appropriations</w:t>
            </w:r>
          </w:p>
        </w:tc>
        <w:tc>
          <w:tcPr>
            <w:tcW w:w="853" w:type="dxa"/>
            <w:shd w:val="clear" w:color="auto" w:fill="auto"/>
            <w:noWrap/>
            <w:hideMark/>
          </w:tcPr>
          <w:p w14:paraId="19C269F7"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066" w:type="dxa"/>
            <w:shd w:val="clear" w:color="auto" w:fill="auto"/>
            <w:noWrap/>
            <w:hideMark/>
          </w:tcPr>
          <w:p w14:paraId="5267E592"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749" w:type="dxa"/>
            <w:shd w:val="clear" w:color="auto" w:fill="auto"/>
            <w:noWrap/>
            <w:hideMark/>
          </w:tcPr>
          <w:p w14:paraId="76DEFEC2"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235" w:type="dxa"/>
            <w:shd w:val="clear" w:color="auto" w:fill="auto"/>
            <w:noWrap/>
            <w:hideMark/>
          </w:tcPr>
          <w:p w14:paraId="63E047D1"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62,500 </w:t>
            </w:r>
          </w:p>
        </w:tc>
        <w:tc>
          <w:tcPr>
            <w:tcW w:w="726" w:type="dxa"/>
            <w:shd w:val="clear" w:color="auto" w:fill="auto"/>
            <w:noWrap/>
            <w:hideMark/>
          </w:tcPr>
          <w:p w14:paraId="2E301A22"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907" w:type="dxa"/>
            <w:shd w:val="clear" w:color="auto" w:fill="auto"/>
            <w:noWrap/>
            <w:hideMark/>
          </w:tcPr>
          <w:p w14:paraId="066751D6"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777" w:type="dxa"/>
            <w:shd w:val="clear" w:color="auto" w:fill="auto"/>
            <w:noWrap/>
            <w:hideMark/>
          </w:tcPr>
          <w:p w14:paraId="44BB3D28"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134" w:type="dxa"/>
            <w:shd w:val="clear" w:color="auto" w:fill="auto"/>
            <w:noWrap/>
            <w:hideMark/>
          </w:tcPr>
          <w:p w14:paraId="5E260D22"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62,500 </w:t>
            </w:r>
          </w:p>
        </w:tc>
      </w:tr>
      <w:tr w:rsidR="003E5BF5" w:rsidRPr="0029213D" w14:paraId="75D08DF2" w14:textId="77777777" w:rsidTr="004832D5">
        <w:trPr>
          <w:trHeight w:val="340"/>
        </w:trPr>
        <w:tc>
          <w:tcPr>
            <w:tcW w:w="2476" w:type="dxa"/>
            <w:shd w:val="clear" w:color="auto" w:fill="auto"/>
            <w:noWrap/>
            <w:vAlign w:val="center"/>
            <w:hideMark/>
          </w:tcPr>
          <w:p w14:paraId="52BEB44C" w14:textId="77777777" w:rsidR="003E5BF5" w:rsidRPr="0029213D" w:rsidRDefault="003E5BF5" w:rsidP="00DE1921">
            <w:pPr>
              <w:rPr>
                <w:rFonts w:ascii="Arial" w:hAnsi="Arial" w:cs="Arial"/>
                <w:sz w:val="24"/>
                <w:szCs w:val="24"/>
                <w:lang w:eastAsia="en-AU"/>
              </w:rPr>
            </w:pPr>
            <w:r w:rsidRPr="0029213D">
              <w:rPr>
                <w:rFonts w:ascii="Arial" w:hAnsi="Arial" w:cs="Arial"/>
                <w:sz w:val="24"/>
                <w:szCs w:val="24"/>
                <w:lang w:eastAsia="en-AU"/>
              </w:rPr>
              <w:t>Grant income</w:t>
            </w:r>
          </w:p>
        </w:tc>
        <w:tc>
          <w:tcPr>
            <w:tcW w:w="853" w:type="dxa"/>
            <w:shd w:val="clear" w:color="auto" w:fill="auto"/>
            <w:noWrap/>
            <w:vAlign w:val="center"/>
            <w:hideMark/>
          </w:tcPr>
          <w:p w14:paraId="7917AA70"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066" w:type="dxa"/>
            <w:shd w:val="clear" w:color="auto" w:fill="auto"/>
            <w:noWrap/>
            <w:vAlign w:val="center"/>
            <w:hideMark/>
          </w:tcPr>
          <w:p w14:paraId="1BF27AEF"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16,969 </w:t>
            </w:r>
          </w:p>
        </w:tc>
        <w:tc>
          <w:tcPr>
            <w:tcW w:w="749" w:type="dxa"/>
            <w:shd w:val="clear" w:color="auto" w:fill="auto"/>
            <w:noWrap/>
            <w:vAlign w:val="center"/>
            <w:hideMark/>
          </w:tcPr>
          <w:p w14:paraId="4062DA32"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235" w:type="dxa"/>
            <w:shd w:val="clear" w:color="auto" w:fill="auto"/>
            <w:noWrap/>
            <w:vAlign w:val="center"/>
            <w:hideMark/>
          </w:tcPr>
          <w:p w14:paraId="2B5992EC"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6,855 </w:t>
            </w:r>
          </w:p>
        </w:tc>
        <w:tc>
          <w:tcPr>
            <w:tcW w:w="726" w:type="dxa"/>
            <w:shd w:val="clear" w:color="auto" w:fill="auto"/>
            <w:noWrap/>
            <w:vAlign w:val="center"/>
            <w:hideMark/>
          </w:tcPr>
          <w:p w14:paraId="26662AA6"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907" w:type="dxa"/>
            <w:shd w:val="clear" w:color="auto" w:fill="auto"/>
            <w:noWrap/>
            <w:vAlign w:val="center"/>
            <w:hideMark/>
          </w:tcPr>
          <w:p w14:paraId="387EDDA6"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1,990 </w:t>
            </w:r>
          </w:p>
        </w:tc>
        <w:tc>
          <w:tcPr>
            <w:tcW w:w="777" w:type="dxa"/>
            <w:shd w:val="clear" w:color="auto" w:fill="auto"/>
            <w:noWrap/>
            <w:vAlign w:val="center"/>
            <w:hideMark/>
          </w:tcPr>
          <w:p w14:paraId="7609FDBF"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134" w:type="dxa"/>
            <w:shd w:val="clear" w:color="auto" w:fill="auto"/>
            <w:noWrap/>
            <w:vAlign w:val="center"/>
            <w:hideMark/>
          </w:tcPr>
          <w:p w14:paraId="78587D6C"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118,888 </w:t>
            </w:r>
          </w:p>
        </w:tc>
      </w:tr>
      <w:tr w:rsidR="003E5BF5" w:rsidRPr="0029213D" w14:paraId="04B1A680" w14:textId="77777777" w:rsidTr="004832D5">
        <w:trPr>
          <w:trHeight w:val="340"/>
        </w:trPr>
        <w:tc>
          <w:tcPr>
            <w:tcW w:w="2476" w:type="dxa"/>
            <w:shd w:val="clear" w:color="auto" w:fill="auto"/>
            <w:noWrap/>
            <w:vAlign w:val="center"/>
            <w:hideMark/>
          </w:tcPr>
          <w:p w14:paraId="5CE2648A" w14:textId="77777777" w:rsidR="003E5BF5" w:rsidRPr="0029213D" w:rsidRDefault="003E5BF5" w:rsidP="00DE1921">
            <w:pPr>
              <w:rPr>
                <w:rFonts w:ascii="Arial" w:hAnsi="Arial" w:cs="Arial"/>
                <w:sz w:val="24"/>
                <w:szCs w:val="24"/>
                <w:lang w:eastAsia="en-AU"/>
              </w:rPr>
            </w:pPr>
            <w:r w:rsidRPr="0029213D">
              <w:rPr>
                <w:rFonts w:ascii="Arial" w:hAnsi="Arial" w:cs="Arial"/>
                <w:sz w:val="24"/>
                <w:szCs w:val="24"/>
                <w:lang w:eastAsia="en-AU"/>
              </w:rPr>
              <w:t>Sale of goods and services</w:t>
            </w:r>
          </w:p>
        </w:tc>
        <w:tc>
          <w:tcPr>
            <w:tcW w:w="853" w:type="dxa"/>
            <w:shd w:val="clear" w:color="auto" w:fill="auto"/>
            <w:noWrap/>
            <w:vAlign w:val="center"/>
            <w:hideMark/>
          </w:tcPr>
          <w:p w14:paraId="7437E410"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066" w:type="dxa"/>
            <w:shd w:val="clear" w:color="auto" w:fill="auto"/>
            <w:noWrap/>
            <w:vAlign w:val="center"/>
            <w:hideMark/>
          </w:tcPr>
          <w:p w14:paraId="1F35232A"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749" w:type="dxa"/>
            <w:shd w:val="clear" w:color="auto" w:fill="auto"/>
            <w:noWrap/>
            <w:vAlign w:val="center"/>
            <w:hideMark/>
          </w:tcPr>
          <w:p w14:paraId="5492C4B8"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235" w:type="dxa"/>
            <w:shd w:val="clear" w:color="auto" w:fill="auto"/>
            <w:noWrap/>
            <w:vAlign w:val="center"/>
            <w:hideMark/>
          </w:tcPr>
          <w:p w14:paraId="1D91A51B"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726" w:type="dxa"/>
            <w:shd w:val="clear" w:color="auto" w:fill="auto"/>
            <w:noWrap/>
            <w:vAlign w:val="center"/>
            <w:hideMark/>
          </w:tcPr>
          <w:p w14:paraId="7777C39D"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907" w:type="dxa"/>
            <w:shd w:val="clear" w:color="auto" w:fill="auto"/>
            <w:noWrap/>
            <w:vAlign w:val="center"/>
            <w:hideMark/>
          </w:tcPr>
          <w:p w14:paraId="489850D3"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777" w:type="dxa"/>
            <w:shd w:val="clear" w:color="auto" w:fill="auto"/>
            <w:noWrap/>
            <w:vAlign w:val="center"/>
            <w:hideMark/>
          </w:tcPr>
          <w:p w14:paraId="166192FC"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134" w:type="dxa"/>
            <w:shd w:val="clear" w:color="auto" w:fill="auto"/>
            <w:noWrap/>
            <w:vAlign w:val="center"/>
            <w:hideMark/>
          </w:tcPr>
          <w:p w14:paraId="38508957"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18,640 </w:t>
            </w:r>
          </w:p>
        </w:tc>
      </w:tr>
      <w:tr w:rsidR="003E5BF5" w:rsidRPr="0029213D" w14:paraId="72E16D4D" w14:textId="77777777" w:rsidTr="004832D5">
        <w:trPr>
          <w:trHeight w:val="340"/>
        </w:trPr>
        <w:tc>
          <w:tcPr>
            <w:tcW w:w="2476" w:type="dxa"/>
            <w:shd w:val="clear" w:color="auto" w:fill="auto"/>
            <w:noWrap/>
            <w:vAlign w:val="center"/>
            <w:hideMark/>
          </w:tcPr>
          <w:p w14:paraId="2E4D3273" w14:textId="77777777" w:rsidR="003E5BF5" w:rsidRPr="0029213D" w:rsidRDefault="003E5BF5" w:rsidP="00DE1921">
            <w:pPr>
              <w:rPr>
                <w:rFonts w:ascii="Arial" w:hAnsi="Arial" w:cs="Arial"/>
                <w:sz w:val="24"/>
                <w:szCs w:val="24"/>
                <w:lang w:eastAsia="en-AU"/>
              </w:rPr>
            </w:pPr>
            <w:r w:rsidRPr="0029213D">
              <w:rPr>
                <w:rFonts w:ascii="Arial" w:hAnsi="Arial" w:cs="Arial"/>
                <w:sz w:val="24"/>
                <w:szCs w:val="24"/>
                <w:lang w:eastAsia="en-AU"/>
              </w:rPr>
              <w:t>Other income</w:t>
            </w:r>
          </w:p>
        </w:tc>
        <w:tc>
          <w:tcPr>
            <w:tcW w:w="853" w:type="dxa"/>
            <w:shd w:val="clear" w:color="auto" w:fill="auto"/>
            <w:noWrap/>
            <w:vAlign w:val="center"/>
            <w:hideMark/>
          </w:tcPr>
          <w:p w14:paraId="62953739"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066" w:type="dxa"/>
            <w:shd w:val="clear" w:color="auto" w:fill="auto"/>
            <w:noWrap/>
            <w:vAlign w:val="center"/>
            <w:hideMark/>
          </w:tcPr>
          <w:p w14:paraId="1174708F"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11 </w:t>
            </w:r>
          </w:p>
        </w:tc>
        <w:tc>
          <w:tcPr>
            <w:tcW w:w="749" w:type="dxa"/>
            <w:shd w:val="clear" w:color="auto" w:fill="auto"/>
            <w:noWrap/>
            <w:vAlign w:val="center"/>
            <w:hideMark/>
          </w:tcPr>
          <w:p w14:paraId="3B0ED22D"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235" w:type="dxa"/>
            <w:shd w:val="clear" w:color="auto" w:fill="auto"/>
            <w:noWrap/>
            <w:vAlign w:val="center"/>
            <w:hideMark/>
          </w:tcPr>
          <w:p w14:paraId="42A1D2FA"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1,620 </w:t>
            </w:r>
          </w:p>
        </w:tc>
        <w:tc>
          <w:tcPr>
            <w:tcW w:w="726" w:type="dxa"/>
            <w:shd w:val="clear" w:color="auto" w:fill="auto"/>
            <w:noWrap/>
            <w:vAlign w:val="center"/>
            <w:hideMark/>
          </w:tcPr>
          <w:p w14:paraId="5527975D"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907" w:type="dxa"/>
            <w:shd w:val="clear" w:color="auto" w:fill="auto"/>
            <w:noWrap/>
            <w:vAlign w:val="center"/>
            <w:hideMark/>
          </w:tcPr>
          <w:p w14:paraId="6AE69CC1"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777" w:type="dxa"/>
            <w:shd w:val="clear" w:color="auto" w:fill="auto"/>
            <w:noWrap/>
            <w:vAlign w:val="center"/>
            <w:hideMark/>
          </w:tcPr>
          <w:p w14:paraId="2C188D61"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134" w:type="dxa"/>
            <w:shd w:val="clear" w:color="auto" w:fill="auto"/>
            <w:noWrap/>
            <w:vAlign w:val="center"/>
            <w:hideMark/>
          </w:tcPr>
          <w:p w14:paraId="44F4800E"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5,479 </w:t>
            </w:r>
          </w:p>
        </w:tc>
      </w:tr>
      <w:tr w:rsidR="003E5BF5" w:rsidRPr="0029213D" w14:paraId="3F3C3762" w14:textId="77777777" w:rsidTr="004832D5">
        <w:trPr>
          <w:trHeight w:val="340"/>
        </w:trPr>
        <w:tc>
          <w:tcPr>
            <w:tcW w:w="2476" w:type="dxa"/>
            <w:shd w:val="clear" w:color="auto" w:fill="auto"/>
            <w:noWrap/>
            <w:vAlign w:val="center"/>
            <w:hideMark/>
          </w:tcPr>
          <w:p w14:paraId="4D2B2978" w14:textId="77777777" w:rsidR="003E5BF5" w:rsidRPr="0029213D" w:rsidRDefault="003E5BF5" w:rsidP="00DE1921">
            <w:pPr>
              <w:rPr>
                <w:rFonts w:ascii="Arial" w:hAnsi="Arial" w:cs="Arial"/>
                <w:b/>
                <w:sz w:val="24"/>
                <w:szCs w:val="24"/>
                <w:lang w:eastAsia="en-AU"/>
              </w:rPr>
            </w:pPr>
            <w:r w:rsidRPr="0029213D">
              <w:rPr>
                <w:rFonts w:ascii="Arial" w:hAnsi="Arial" w:cs="Arial"/>
                <w:b/>
                <w:sz w:val="24"/>
                <w:szCs w:val="24"/>
                <w:lang w:eastAsia="en-AU"/>
              </w:rPr>
              <w:t>Total income from transactions</w:t>
            </w:r>
          </w:p>
        </w:tc>
        <w:tc>
          <w:tcPr>
            <w:tcW w:w="853" w:type="dxa"/>
            <w:shd w:val="clear" w:color="auto" w:fill="auto"/>
            <w:noWrap/>
            <w:vAlign w:val="center"/>
            <w:hideMark/>
          </w:tcPr>
          <w:p w14:paraId="0BE2BC3C"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066" w:type="dxa"/>
            <w:shd w:val="clear" w:color="auto" w:fill="auto"/>
            <w:noWrap/>
            <w:vAlign w:val="center"/>
            <w:hideMark/>
          </w:tcPr>
          <w:p w14:paraId="145C02E5"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 xml:space="preserve">98,271 </w:t>
            </w:r>
          </w:p>
        </w:tc>
        <w:tc>
          <w:tcPr>
            <w:tcW w:w="749" w:type="dxa"/>
            <w:shd w:val="clear" w:color="auto" w:fill="auto"/>
            <w:noWrap/>
            <w:vAlign w:val="center"/>
            <w:hideMark/>
          </w:tcPr>
          <w:p w14:paraId="28E7CE67"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235" w:type="dxa"/>
            <w:shd w:val="clear" w:color="auto" w:fill="auto"/>
            <w:noWrap/>
            <w:vAlign w:val="center"/>
            <w:hideMark/>
          </w:tcPr>
          <w:p w14:paraId="5FE61CA2"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 xml:space="preserve">146,364 </w:t>
            </w:r>
          </w:p>
        </w:tc>
        <w:tc>
          <w:tcPr>
            <w:tcW w:w="726" w:type="dxa"/>
            <w:shd w:val="clear" w:color="auto" w:fill="auto"/>
            <w:noWrap/>
            <w:vAlign w:val="center"/>
            <w:hideMark/>
          </w:tcPr>
          <w:p w14:paraId="19E55D2D"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907" w:type="dxa"/>
            <w:shd w:val="clear" w:color="auto" w:fill="auto"/>
            <w:noWrap/>
            <w:vAlign w:val="center"/>
            <w:hideMark/>
          </w:tcPr>
          <w:p w14:paraId="0F345786"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 xml:space="preserve">11,541 </w:t>
            </w:r>
          </w:p>
        </w:tc>
        <w:tc>
          <w:tcPr>
            <w:tcW w:w="777" w:type="dxa"/>
            <w:shd w:val="clear" w:color="auto" w:fill="auto"/>
            <w:noWrap/>
            <w:vAlign w:val="center"/>
            <w:hideMark/>
          </w:tcPr>
          <w:p w14:paraId="660E70CA"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134" w:type="dxa"/>
            <w:shd w:val="clear" w:color="auto" w:fill="auto"/>
            <w:noWrap/>
            <w:vAlign w:val="center"/>
            <w:hideMark/>
          </w:tcPr>
          <w:p w14:paraId="5309EFAA"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 xml:space="preserve">906,474 </w:t>
            </w:r>
          </w:p>
        </w:tc>
      </w:tr>
      <w:tr w:rsidR="003E5BF5" w:rsidRPr="0029213D" w14:paraId="028F9250" w14:textId="77777777" w:rsidTr="004832D5">
        <w:trPr>
          <w:trHeight w:val="340"/>
        </w:trPr>
        <w:tc>
          <w:tcPr>
            <w:tcW w:w="2476" w:type="dxa"/>
            <w:shd w:val="clear" w:color="auto" w:fill="auto"/>
            <w:noWrap/>
            <w:vAlign w:val="center"/>
            <w:hideMark/>
          </w:tcPr>
          <w:p w14:paraId="0425704A" w14:textId="77777777" w:rsidR="003E5BF5" w:rsidRPr="0029213D" w:rsidRDefault="003E5BF5" w:rsidP="00604703">
            <w:pPr>
              <w:pStyle w:val="TableTextGreen"/>
            </w:pPr>
            <w:r w:rsidRPr="0029213D">
              <w:t>Expenses from transactions</w:t>
            </w:r>
          </w:p>
        </w:tc>
        <w:tc>
          <w:tcPr>
            <w:tcW w:w="853" w:type="dxa"/>
            <w:shd w:val="clear" w:color="auto" w:fill="auto"/>
            <w:noWrap/>
            <w:vAlign w:val="center"/>
            <w:hideMark/>
          </w:tcPr>
          <w:p w14:paraId="2B517783" w14:textId="77777777" w:rsidR="003E5BF5" w:rsidRPr="0029213D" w:rsidRDefault="003E5BF5" w:rsidP="00DE1921">
            <w:pPr>
              <w:jc w:val="right"/>
              <w:rPr>
                <w:rFonts w:ascii="Arial" w:hAnsi="Arial" w:cs="Arial"/>
                <w:sz w:val="24"/>
                <w:szCs w:val="24"/>
                <w:lang w:eastAsia="en-AU"/>
              </w:rPr>
            </w:pPr>
          </w:p>
        </w:tc>
        <w:tc>
          <w:tcPr>
            <w:tcW w:w="1066" w:type="dxa"/>
            <w:shd w:val="clear" w:color="auto" w:fill="auto"/>
            <w:noWrap/>
            <w:vAlign w:val="center"/>
            <w:hideMark/>
          </w:tcPr>
          <w:p w14:paraId="6F62B201" w14:textId="77777777" w:rsidR="003E5BF5" w:rsidRPr="0029213D" w:rsidRDefault="003E5BF5" w:rsidP="00DE1921">
            <w:pPr>
              <w:jc w:val="right"/>
              <w:rPr>
                <w:rFonts w:ascii="Arial" w:hAnsi="Arial" w:cs="Arial"/>
                <w:sz w:val="24"/>
                <w:szCs w:val="24"/>
                <w:lang w:eastAsia="en-AU"/>
              </w:rPr>
            </w:pPr>
          </w:p>
        </w:tc>
        <w:tc>
          <w:tcPr>
            <w:tcW w:w="749" w:type="dxa"/>
            <w:shd w:val="clear" w:color="auto" w:fill="auto"/>
            <w:noWrap/>
            <w:vAlign w:val="center"/>
            <w:hideMark/>
          </w:tcPr>
          <w:p w14:paraId="3853D344" w14:textId="77777777" w:rsidR="003E5BF5" w:rsidRPr="0029213D" w:rsidRDefault="003E5BF5" w:rsidP="00DE1921">
            <w:pPr>
              <w:jc w:val="right"/>
              <w:rPr>
                <w:rFonts w:ascii="Arial" w:hAnsi="Arial" w:cs="Arial"/>
                <w:sz w:val="24"/>
                <w:szCs w:val="24"/>
                <w:lang w:eastAsia="en-AU"/>
              </w:rPr>
            </w:pPr>
          </w:p>
        </w:tc>
        <w:tc>
          <w:tcPr>
            <w:tcW w:w="1235" w:type="dxa"/>
            <w:shd w:val="clear" w:color="auto" w:fill="auto"/>
            <w:noWrap/>
            <w:vAlign w:val="center"/>
            <w:hideMark/>
          </w:tcPr>
          <w:p w14:paraId="02DC97C5" w14:textId="77777777" w:rsidR="003E5BF5" w:rsidRPr="0029213D" w:rsidRDefault="003E5BF5" w:rsidP="00DE1921">
            <w:pPr>
              <w:jc w:val="right"/>
              <w:rPr>
                <w:rFonts w:ascii="Arial" w:hAnsi="Arial" w:cs="Arial"/>
                <w:sz w:val="24"/>
                <w:szCs w:val="24"/>
                <w:lang w:eastAsia="en-AU"/>
              </w:rPr>
            </w:pPr>
          </w:p>
        </w:tc>
        <w:tc>
          <w:tcPr>
            <w:tcW w:w="726" w:type="dxa"/>
            <w:shd w:val="clear" w:color="auto" w:fill="auto"/>
            <w:noWrap/>
            <w:vAlign w:val="center"/>
            <w:hideMark/>
          </w:tcPr>
          <w:p w14:paraId="63B71FA7" w14:textId="77777777" w:rsidR="003E5BF5" w:rsidRPr="0029213D" w:rsidRDefault="003E5BF5" w:rsidP="00DE1921">
            <w:pPr>
              <w:jc w:val="right"/>
              <w:rPr>
                <w:rFonts w:ascii="Arial" w:hAnsi="Arial" w:cs="Arial"/>
                <w:sz w:val="24"/>
                <w:szCs w:val="24"/>
                <w:lang w:eastAsia="en-AU"/>
              </w:rPr>
            </w:pPr>
          </w:p>
        </w:tc>
        <w:tc>
          <w:tcPr>
            <w:tcW w:w="907" w:type="dxa"/>
            <w:shd w:val="clear" w:color="auto" w:fill="auto"/>
            <w:noWrap/>
            <w:vAlign w:val="center"/>
            <w:hideMark/>
          </w:tcPr>
          <w:p w14:paraId="034647A1" w14:textId="77777777" w:rsidR="003E5BF5" w:rsidRPr="0029213D" w:rsidRDefault="003E5BF5" w:rsidP="00DE1921">
            <w:pPr>
              <w:jc w:val="right"/>
              <w:rPr>
                <w:rFonts w:ascii="Arial" w:hAnsi="Arial" w:cs="Arial"/>
                <w:sz w:val="24"/>
                <w:szCs w:val="24"/>
                <w:lang w:eastAsia="en-AU"/>
              </w:rPr>
            </w:pPr>
          </w:p>
        </w:tc>
        <w:tc>
          <w:tcPr>
            <w:tcW w:w="777" w:type="dxa"/>
            <w:shd w:val="clear" w:color="auto" w:fill="auto"/>
            <w:noWrap/>
            <w:vAlign w:val="center"/>
            <w:hideMark/>
          </w:tcPr>
          <w:p w14:paraId="3A369C91" w14:textId="77777777" w:rsidR="003E5BF5" w:rsidRPr="0029213D" w:rsidRDefault="003E5BF5" w:rsidP="00DE1921">
            <w:pPr>
              <w:jc w:val="right"/>
              <w:rPr>
                <w:rFonts w:ascii="Arial" w:hAnsi="Arial" w:cs="Arial"/>
                <w:sz w:val="24"/>
                <w:szCs w:val="24"/>
                <w:lang w:eastAsia="en-AU"/>
              </w:rPr>
            </w:pPr>
          </w:p>
        </w:tc>
        <w:tc>
          <w:tcPr>
            <w:tcW w:w="1134" w:type="dxa"/>
            <w:shd w:val="clear" w:color="auto" w:fill="auto"/>
            <w:noWrap/>
            <w:vAlign w:val="center"/>
            <w:hideMark/>
          </w:tcPr>
          <w:p w14:paraId="5C213F8B" w14:textId="77777777" w:rsidR="003E5BF5" w:rsidRPr="0029213D" w:rsidRDefault="003E5BF5" w:rsidP="00DE1921">
            <w:pPr>
              <w:jc w:val="right"/>
              <w:rPr>
                <w:rFonts w:ascii="Arial" w:hAnsi="Arial" w:cs="Arial"/>
                <w:sz w:val="24"/>
                <w:szCs w:val="24"/>
                <w:lang w:eastAsia="en-AU"/>
              </w:rPr>
            </w:pPr>
          </w:p>
        </w:tc>
      </w:tr>
      <w:tr w:rsidR="003E5BF5" w:rsidRPr="0029213D" w14:paraId="76F26D94" w14:textId="77777777" w:rsidTr="004832D5">
        <w:trPr>
          <w:trHeight w:val="340"/>
        </w:trPr>
        <w:tc>
          <w:tcPr>
            <w:tcW w:w="2476" w:type="dxa"/>
            <w:shd w:val="clear" w:color="auto" w:fill="auto"/>
            <w:noWrap/>
            <w:vAlign w:val="center"/>
            <w:hideMark/>
          </w:tcPr>
          <w:p w14:paraId="58ECC03B" w14:textId="77777777" w:rsidR="003E5BF5" w:rsidRPr="0029213D" w:rsidRDefault="003E5BF5" w:rsidP="00DE1921">
            <w:pPr>
              <w:rPr>
                <w:rFonts w:ascii="Arial" w:hAnsi="Arial" w:cs="Arial"/>
                <w:sz w:val="24"/>
                <w:szCs w:val="24"/>
                <w:lang w:eastAsia="en-AU"/>
              </w:rPr>
            </w:pPr>
            <w:r w:rsidRPr="0029213D">
              <w:rPr>
                <w:rFonts w:ascii="Arial" w:hAnsi="Arial" w:cs="Arial"/>
                <w:sz w:val="24"/>
                <w:szCs w:val="24"/>
                <w:lang w:eastAsia="en-AU"/>
              </w:rPr>
              <w:t>Grant expenses</w:t>
            </w:r>
          </w:p>
        </w:tc>
        <w:tc>
          <w:tcPr>
            <w:tcW w:w="853" w:type="dxa"/>
            <w:shd w:val="clear" w:color="auto" w:fill="auto"/>
            <w:noWrap/>
            <w:vAlign w:val="center"/>
            <w:hideMark/>
          </w:tcPr>
          <w:p w14:paraId="0D9787FB"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066" w:type="dxa"/>
            <w:shd w:val="clear" w:color="auto" w:fill="auto"/>
            <w:noWrap/>
            <w:vAlign w:val="center"/>
            <w:hideMark/>
          </w:tcPr>
          <w:p w14:paraId="09486BEC"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(57,104)</w:t>
            </w:r>
          </w:p>
        </w:tc>
        <w:tc>
          <w:tcPr>
            <w:tcW w:w="749" w:type="dxa"/>
            <w:shd w:val="clear" w:color="auto" w:fill="auto"/>
            <w:noWrap/>
            <w:vAlign w:val="center"/>
            <w:hideMark/>
          </w:tcPr>
          <w:p w14:paraId="3A60F801"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235" w:type="dxa"/>
            <w:shd w:val="clear" w:color="auto" w:fill="auto"/>
            <w:noWrap/>
            <w:vAlign w:val="center"/>
            <w:hideMark/>
          </w:tcPr>
          <w:p w14:paraId="35170BD7"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(124,545)</w:t>
            </w:r>
          </w:p>
        </w:tc>
        <w:tc>
          <w:tcPr>
            <w:tcW w:w="726" w:type="dxa"/>
            <w:shd w:val="clear" w:color="auto" w:fill="auto"/>
            <w:noWrap/>
            <w:vAlign w:val="center"/>
            <w:hideMark/>
          </w:tcPr>
          <w:p w14:paraId="502E09E7"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907" w:type="dxa"/>
            <w:shd w:val="clear" w:color="auto" w:fill="auto"/>
            <w:noWrap/>
            <w:vAlign w:val="center"/>
            <w:hideMark/>
          </w:tcPr>
          <w:p w14:paraId="113EB1BF"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(1,040)</w:t>
            </w:r>
          </w:p>
        </w:tc>
        <w:tc>
          <w:tcPr>
            <w:tcW w:w="777" w:type="dxa"/>
            <w:shd w:val="clear" w:color="auto" w:fill="auto"/>
            <w:noWrap/>
            <w:vAlign w:val="center"/>
            <w:hideMark/>
          </w:tcPr>
          <w:p w14:paraId="2D35A329"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134" w:type="dxa"/>
            <w:shd w:val="clear" w:color="auto" w:fill="auto"/>
            <w:noWrap/>
            <w:vAlign w:val="center"/>
            <w:hideMark/>
          </w:tcPr>
          <w:p w14:paraId="7DC12D43"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(584,687)</w:t>
            </w:r>
          </w:p>
        </w:tc>
      </w:tr>
      <w:tr w:rsidR="003E5BF5" w:rsidRPr="0029213D" w14:paraId="5CFDBB55" w14:textId="77777777" w:rsidTr="004832D5">
        <w:trPr>
          <w:trHeight w:val="340"/>
        </w:trPr>
        <w:tc>
          <w:tcPr>
            <w:tcW w:w="2476" w:type="dxa"/>
            <w:shd w:val="clear" w:color="auto" w:fill="auto"/>
            <w:noWrap/>
            <w:vAlign w:val="center"/>
            <w:hideMark/>
          </w:tcPr>
          <w:p w14:paraId="4D62CBEA" w14:textId="77777777" w:rsidR="003E5BF5" w:rsidRPr="0029213D" w:rsidRDefault="003E5BF5" w:rsidP="00DE1921">
            <w:pPr>
              <w:rPr>
                <w:rFonts w:ascii="Arial" w:hAnsi="Arial" w:cs="Arial"/>
                <w:sz w:val="24"/>
                <w:szCs w:val="24"/>
                <w:lang w:eastAsia="en-AU"/>
              </w:rPr>
            </w:pPr>
            <w:r w:rsidRPr="0029213D">
              <w:rPr>
                <w:rFonts w:ascii="Arial" w:hAnsi="Arial" w:cs="Arial"/>
                <w:sz w:val="24"/>
                <w:szCs w:val="24"/>
                <w:lang w:eastAsia="en-AU"/>
              </w:rPr>
              <w:t>Employee benefits expense</w:t>
            </w:r>
          </w:p>
        </w:tc>
        <w:tc>
          <w:tcPr>
            <w:tcW w:w="853" w:type="dxa"/>
            <w:shd w:val="clear" w:color="auto" w:fill="auto"/>
            <w:noWrap/>
            <w:hideMark/>
          </w:tcPr>
          <w:p w14:paraId="6235A14E"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066" w:type="dxa"/>
            <w:shd w:val="clear" w:color="auto" w:fill="auto"/>
            <w:noWrap/>
            <w:hideMark/>
          </w:tcPr>
          <w:p w14:paraId="3E7A0A3F"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(15,564)</w:t>
            </w:r>
          </w:p>
        </w:tc>
        <w:tc>
          <w:tcPr>
            <w:tcW w:w="749" w:type="dxa"/>
            <w:shd w:val="clear" w:color="auto" w:fill="auto"/>
            <w:noWrap/>
            <w:hideMark/>
          </w:tcPr>
          <w:p w14:paraId="6AE7F5B7"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235" w:type="dxa"/>
            <w:shd w:val="clear" w:color="auto" w:fill="auto"/>
            <w:noWrap/>
            <w:hideMark/>
          </w:tcPr>
          <w:p w14:paraId="5FCA5DB9"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(18,645)</w:t>
            </w:r>
          </w:p>
        </w:tc>
        <w:tc>
          <w:tcPr>
            <w:tcW w:w="726" w:type="dxa"/>
            <w:shd w:val="clear" w:color="auto" w:fill="auto"/>
            <w:noWrap/>
            <w:hideMark/>
          </w:tcPr>
          <w:p w14:paraId="717A5FF1"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907" w:type="dxa"/>
            <w:shd w:val="clear" w:color="auto" w:fill="auto"/>
            <w:noWrap/>
            <w:hideMark/>
          </w:tcPr>
          <w:p w14:paraId="7EBF834E"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(4,994)</w:t>
            </w:r>
          </w:p>
        </w:tc>
        <w:tc>
          <w:tcPr>
            <w:tcW w:w="777" w:type="dxa"/>
            <w:shd w:val="clear" w:color="auto" w:fill="auto"/>
            <w:noWrap/>
            <w:hideMark/>
          </w:tcPr>
          <w:p w14:paraId="141D30C3"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134" w:type="dxa"/>
            <w:shd w:val="clear" w:color="auto" w:fill="auto"/>
            <w:noWrap/>
            <w:hideMark/>
          </w:tcPr>
          <w:p w14:paraId="3EE47232"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(143,863)</w:t>
            </w:r>
          </w:p>
        </w:tc>
      </w:tr>
      <w:tr w:rsidR="003E5BF5" w:rsidRPr="0029213D" w14:paraId="269CDEB4" w14:textId="77777777" w:rsidTr="004832D5">
        <w:trPr>
          <w:trHeight w:val="340"/>
        </w:trPr>
        <w:tc>
          <w:tcPr>
            <w:tcW w:w="2476" w:type="dxa"/>
            <w:shd w:val="clear" w:color="auto" w:fill="auto"/>
            <w:noWrap/>
            <w:vAlign w:val="center"/>
            <w:hideMark/>
          </w:tcPr>
          <w:p w14:paraId="0D089D8C" w14:textId="77777777" w:rsidR="003E5BF5" w:rsidRPr="0029213D" w:rsidRDefault="003E5BF5" w:rsidP="00DE1921">
            <w:pPr>
              <w:rPr>
                <w:rFonts w:ascii="Arial" w:hAnsi="Arial" w:cs="Arial"/>
                <w:sz w:val="24"/>
                <w:szCs w:val="24"/>
                <w:lang w:eastAsia="en-AU"/>
              </w:rPr>
            </w:pPr>
            <w:r w:rsidRPr="0029213D">
              <w:rPr>
                <w:rFonts w:ascii="Arial" w:hAnsi="Arial" w:cs="Arial"/>
                <w:sz w:val="24"/>
                <w:szCs w:val="24"/>
                <w:lang w:eastAsia="en-AU"/>
              </w:rPr>
              <w:t>Capital asset charge</w:t>
            </w:r>
          </w:p>
        </w:tc>
        <w:tc>
          <w:tcPr>
            <w:tcW w:w="853" w:type="dxa"/>
            <w:shd w:val="clear" w:color="auto" w:fill="auto"/>
            <w:noWrap/>
            <w:vAlign w:val="center"/>
            <w:hideMark/>
          </w:tcPr>
          <w:p w14:paraId="1E90CC64"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066" w:type="dxa"/>
            <w:shd w:val="clear" w:color="auto" w:fill="auto"/>
            <w:noWrap/>
            <w:vAlign w:val="center"/>
            <w:hideMark/>
          </w:tcPr>
          <w:p w14:paraId="33FDEB93"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(9,358)</w:t>
            </w:r>
          </w:p>
        </w:tc>
        <w:tc>
          <w:tcPr>
            <w:tcW w:w="749" w:type="dxa"/>
            <w:shd w:val="clear" w:color="auto" w:fill="auto"/>
            <w:noWrap/>
            <w:vAlign w:val="center"/>
            <w:hideMark/>
          </w:tcPr>
          <w:p w14:paraId="2F4338AD"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235" w:type="dxa"/>
            <w:shd w:val="clear" w:color="auto" w:fill="auto"/>
            <w:noWrap/>
            <w:vAlign w:val="center"/>
            <w:hideMark/>
          </w:tcPr>
          <w:p w14:paraId="40E20942"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(870)</w:t>
            </w:r>
          </w:p>
        </w:tc>
        <w:tc>
          <w:tcPr>
            <w:tcW w:w="726" w:type="dxa"/>
            <w:shd w:val="clear" w:color="auto" w:fill="auto"/>
            <w:noWrap/>
            <w:vAlign w:val="center"/>
            <w:hideMark/>
          </w:tcPr>
          <w:p w14:paraId="3A89FC99"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907" w:type="dxa"/>
            <w:shd w:val="clear" w:color="auto" w:fill="auto"/>
            <w:noWrap/>
            <w:vAlign w:val="center"/>
            <w:hideMark/>
          </w:tcPr>
          <w:p w14:paraId="5AAC4855"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(77)</w:t>
            </w:r>
          </w:p>
        </w:tc>
        <w:tc>
          <w:tcPr>
            <w:tcW w:w="777" w:type="dxa"/>
            <w:shd w:val="clear" w:color="auto" w:fill="auto"/>
            <w:noWrap/>
            <w:vAlign w:val="center"/>
            <w:hideMark/>
          </w:tcPr>
          <w:p w14:paraId="1E5FBB0C"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134" w:type="dxa"/>
            <w:shd w:val="clear" w:color="auto" w:fill="auto"/>
            <w:noWrap/>
            <w:vAlign w:val="center"/>
            <w:hideMark/>
          </w:tcPr>
          <w:p w14:paraId="599790DA"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(29,901)</w:t>
            </w:r>
          </w:p>
        </w:tc>
      </w:tr>
      <w:tr w:rsidR="003E5BF5" w:rsidRPr="0029213D" w14:paraId="54856A2A" w14:textId="77777777" w:rsidTr="004832D5">
        <w:trPr>
          <w:trHeight w:val="340"/>
        </w:trPr>
        <w:tc>
          <w:tcPr>
            <w:tcW w:w="2476" w:type="dxa"/>
            <w:shd w:val="clear" w:color="auto" w:fill="auto"/>
            <w:noWrap/>
            <w:vAlign w:val="center"/>
            <w:hideMark/>
          </w:tcPr>
          <w:p w14:paraId="6B185B42" w14:textId="77777777" w:rsidR="003E5BF5" w:rsidRPr="0029213D" w:rsidRDefault="003E5BF5" w:rsidP="00DE1921">
            <w:pPr>
              <w:rPr>
                <w:rFonts w:ascii="Arial" w:hAnsi="Arial" w:cs="Arial"/>
                <w:sz w:val="24"/>
                <w:szCs w:val="24"/>
                <w:lang w:eastAsia="en-AU"/>
              </w:rPr>
            </w:pPr>
            <w:r w:rsidRPr="0029213D">
              <w:rPr>
                <w:rFonts w:ascii="Arial" w:hAnsi="Arial" w:cs="Arial"/>
                <w:sz w:val="24"/>
                <w:szCs w:val="24"/>
                <w:lang w:eastAsia="en-AU"/>
              </w:rPr>
              <w:t xml:space="preserve">Depreciation and amortisation </w:t>
            </w:r>
          </w:p>
        </w:tc>
        <w:tc>
          <w:tcPr>
            <w:tcW w:w="853" w:type="dxa"/>
            <w:shd w:val="clear" w:color="auto" w:fill="auto"/>
            <w:noWrap/>
            <w:hideMark/>
          </w:tcPr>
          <w:p w14:paraId="2071D1D7"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066" w:type="dxa"/>
            <w:shd w:val="clear" w:color="auto" w:fill="auto"/>
            <w:noWrap/>
            <w:hideMark/>
          </w:tcPr>
          <w:p w14:paraId="498BD715"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(220)</w:t>
            </w:r>
          </w:p>
        </w:tc>
        <w:tc>
          <w:tcPr>
            <w:tcW w:w="749" w:type="dxa"/>
            <w:shd w:val="clear" w:color="auto" w:fill="auto"/>
            <w:noWrap/>
            <w:hideMark/>
          </w:tcPr>
          <w:p w14:paraId="14C72064"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235" w:type="dxa"/>
            <w:shd w:val="clear" w:color="auto" w:fill="auto"/>
            <w:noWrap/>
            <w:hideMark/>
          </w:tcPr>
          <w:p w14:paraId="3632550D"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(470)</w:t>
            </w:r>
          </w:p>
        </w:tc>
        <w:tc>
          <w:tcPr>
            <w:tcW w:w="726" w:type="dxa"/>
            <w:shd w:val="clear" w:color="auto" w:fill="auto"/>
            <w:noWrap/>
            <w:hideMark/>
          </w:tcPr>
          <w:p w14:paraId="43F59A74"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907" w:type="dxa"/>
            <w:shd w:val="clear" w:color="auto" w:fill="auto"/>
            <w:noWrap/>
            <w:hideMark/>
          </w:tcPr>
          <w:p w14:paraId="40333FF6"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(30)</w:t>
            </w:r>
          </w:p>
        </w:tc>
        <w:tc>
          <w:tcPr>
            <w:tcW w:w="777" w:type="dxa"/>
            <w:shd w:val="clear" w:color="auto" w:fill="auto"/>
            <w:noWrap/>
            <w:hideMark/>
          </w:tcPr>
          <w:p w14:paraId="0929A8D2"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134" w:type="dxa"/>
            <w:shd w:val="clear" w:color="auto" w:fill="auto"/>
            <w:noWrap/>
            <w:hideMark/>
          </w:tcPr>
          <w:p w14:paraId="1E3E3BB6"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(14,907)</w:t>
            </w:r>
          </w:p>
        </w:tc>
      </w:tr>
      <w:tr w:rsidR="003E5BF5" w:rsidRPr="0029213D" w14:paraId="29BA9DAE" w14:textId="77777777" w:rsidTr="004832D5">
        <w:trPr>
          <w:trHeight w:val="340"/>
        </w:trPr>
        <w:tc>
          <w:tcPr>
            <w:tcW w:w="2476" w:type="dxa"/>
            <w:shd w:val="clear" w:color="auto" w:fill="auto"/>
            <w:noWrap/>
            <w:vAlign w:val="center"/>
            <w:hideMark/>
          </w:tcPr>
          <w:p w14:paraId="1D46BE2D" w14:textId="77777777" w:rsidR="003E5BF5" w:rsidRPr="0029213D" w:rsidRDefault="003E5BF5" w:rsidP="00DE1921">
            <w:pPr>
              <w:rPr>
                <w:rFonts w:ascii="Arial" w:hAnsi="Arial" w:cs="Arial"/>
                <w:sz w:val="24"/>
                <w:szCs w:val="24"/>
                <w:lang w:eastAsia="en-AU"/>
              </w:rPr>
            </w:pPr>
            <w:r w:rsidRPr="0029213D">
              <w:rPr>
                <w:rFonts w:ascii="Arial" w:hAnsi="Arial" w:cs="Arial"/>
                <w:sz w:val="24"/>
                <w:szCs w:val="24"/>
                <w:lang w:eastAsia="en-AU"/>
              </w:rPr>
              <w:t>Interest expense</w:t>
            </w:r>
          </w:p>
        </w:tc>
        <w:tc>
          <w:tcPr>
            <w:tcW w:w="853" w:type="dxa"/>
            <w:shd w:val="clear" w:color="auto" w:fill="auto"/>
            <w:noWrap/>
            <w:vAlign w:val="center"/>
            <w:hideMark/>
          </w:tcPr>
          <w:p w14:paraId="3DFA93EC"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066" w:type="dxa"/>
            <w:shd w:val="clear" w:color="auto" w:fill="auto"/>
            <w:noWrap/>
            <w:vAlign w:val="center"/>
            <w:hideMark/>
          </w:tcPr>
          <w:p w14:paraId="51099AD4"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(1)</w:t>
            </w:r>
          </w:p>
        </w:tc>
        <w:tc>
          <w:tcPr>
            <w:tcW w:w="749" w:type="dxa"/>
            <w:shd w:val="clear" w:color="auto" w:fill="auto"/>
            <w:noWrap/>
            <w:vAlign w:val="center"/>
            <w:hideMark/>
          </w:tcPr>
          <w:p w14:paraId="7885858A"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235" w:type="dxa"/>
            <w:shd w:val="clear" w:color="auto" w:fill="auto"/>
            <w:noWrap/>
            <w:vAlign w:val="center"/>
            <w:hideMark/>
          </w:tcPr>
          <w:p w14:paraId="3560E6C2"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(6)</w:t>
            </w:r>
          </w:p>
        </w:tc>
        <w:tc>
          <w:tcPr>
            <w:tcW w:w="726" w:type="dxa"/>
            <w:shd w:val="clear" w:color="auto" w:fill="auto"/>
            <w:noWrap/>
            <w:vAlign w:val="center"/>
            <w:hideMark/>
          </w:tcPr>
          <w:p w14:paraId="61818268"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907" w:type="dxa"/>
            <w:shd w:val="clear" w:color="auto" w:fill="auto"/>
            <w:noWrap/>
            <w:vAlign w:val="center"/>
            <w:hideMark/>
          </w:tcPr>
          <w:p w14:paraId="4074B921"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(1)</w:t>
            </w:r>
          </w:p>
        </w:tc>
        <w:tc>
          <w:tcPr>
            <w:tcW w:w="777" w:type="dxa"/>
            <w:shd w:val="clear" w:color="auto" w:fill="auto"/>
            <w:noWrap/>
            <w:vAlign w:val="center"/>
            <w:hideMark/>
          </w:tcPr>
          <w:p w14:paraId="58EF0FA9"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134" w:type="dxa"/>
            <w:shd w:val="clear" w:color="auto" w:fill="auto"/>
            <w:noWrap/>
            <w:vAlign w:val="center"/>
            <w:hideMark/>
          </w:tcPr>
          <w:p w14:paraId="6638BD14"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(16,913)</w:t>
            </w:r>
          </w:p>
        </w:tc>
      </w:tr>
      <w:tr w:rsidR="003E5BF5" w:rsidRPr="0029213D" w14:paraId="3589E818" w14:textId="77777777" w:rsidTr="004832D5">
        <w:trPr>
          <w:trHeight w:val="340"/>
        </w:trPr>
        <w:tc>
          <w:tcPr>
            <w:tcW w:w="2476" w:type="dxa"/>
            <w:shd w:val="clear" w:color="auto" w:fill="auto"/>
            <w:noWrap/>
            <w:vAlign w:val="center"/>
            <w:hideMark/>
          </w:tcPr>
          <w:p w14:paraId="773FE7E3" w14:textId="77777777" w:rsidR="003E5BF5" w:rsidRPr="0029213D" w:rsidRDefault="003E5BF5" w:rsidP="00DE1921">
            <w:pPr>
              <w:rPr>
                <w:rFonts w:ascii="Arial" w:hAnsi="Arial" w:cs="Arial"/>
                <w:sz w:val="24"/>
                <w:szCs w:val="24"/>
                <w:lang w:eastAsia="en-AU"/>
              </w:rPr>
            </w:pPr>
            <w:r w:rsidRPr="0029213D">
              <w:rPr>
                <w:rFonts w:ascii="Arial" w:hAnsi="Arial" w:cs="Arial"/>
                <w:sz w:val="24"/>
                <w:szCs w:val="24"/>
                <w:lang w:eastAsia="en-AU"/>
              </w:rPr>
              <w:t>Other operating expenses</w:t>
            </w:r>
          </w:p>
        </w:tc>
        <w:tc>
          <w:tcPr>
            <w:tcW w:w="853" w:type="dxa"/>
            <w:shd w:val="clear" w:color="auto" w:fill="auto"/>
            <w:noWrap/>
            <w:vAlign w:val="center"/>
            <w:hideMark/>
          </w:tcPr>
          <w:p w14:paraId="69AFDAD6"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066" w:type="dxa"/>
            <w:shd w:val="clear" w:color="auto" w:fill="auto"/>
            <w:noWrap/>
            <w:vAlign w:val="center"/>
            <w:hideMark/>
          </w:tcPr>
          <w:p w14:paraId="1A6B28D3"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(9,124)</w:t>
            </w:r>
          </w:p>
        </w:tc>
        <w:tc>
          <w:tcPr>
            <w:tcW w:w="749" w:type="dxa"/>
            <w:shd w:val="clear" w:color="auto" w:fill="auto"/>
            <w:noWrap/>
            <w:vAlign w:val="center"/>
            <w:hideMark/>
          </w:tcPr>
          <w:p w14:paraId="1C09DB68"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235" w:type="dxa"/>
            <w:shd w:val="clear" w:color="auto" w:fill="auto"/>
            <w:noWrap/>
            <w:vAlign w:val="center"/>
            <w:hideMark/>
          </w:tcPr>
          <w:p w14:paraId="4132D376"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(5,437)</w:t>
            </w:r>
          </w:p>
        </w:tc>
        <w:tc>
          <w:tcPr>
            <w:tcW w:w="726" w:type="dxa"/>
            <w:shd w:val="clear" w:color="auto" w:fill="auto"/>
            <w:noWrap/>
            <w:vAlign w:val="center"/>
            <w:hideMark/>
          </w:tcPr>
          <w:p w14:paraId="55E735ED"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907" w:type="dxa"/>
            <w:shd w:val="clear" w:color="auto" w:fill="auto"/>
            <w:noWrap/>
            <w:vAlign w:val="center"/>
            <w:hideMark/>
          </w:tcPr>
          <w:p w14:paraId="220C99B2"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(3,905)</w:t>
            </w:r>
          </w:p>
        </w:tc>
        <w:tc>
          <w:tcPr>
            <w:tcW w:w="777" w:type="dxa"/>
            <w:shd w:val="clear" w:color="auto" w:fill="auto"/>
            <w:noWrap/>
            <w:vAlign w:val="center"/>
            <w:hideMark/>
          </w:tcPr>
          <w:p w14:paraId="5870F7E9"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134" w:type="dxa"/>
            <w:shd w:val="clear" w:color="auto" w:fill="auto"/>
            <w:noWrap/>
            <w:vAlign w:val="center"/>
            <w:hideMark/>
          </w:tcPr>
          <w:p w14:paraId="00E392F8"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(133,767)</w:t>
            </w:r>
          </w:p>
        </w:tc>
      </w:tr>
      <w:tr w:rsidR="003E5BF5" w:rsidRPr="0029213D" w14:paraId="6E4C4EA0" w14:textId="77777777" w:rsidTr="004832D5">
        <w:trPr>
          <w:trHeight w:val="340"/>
        </w:trPr>
        <w:tc>
          <w:tcPr>
            <w:tcW w:w="2476" w:type="dxa"/>
            <w:shd w:val="clear" w:color="auto" w:fill="auto"/>
            <w:noWrap/>
            <w:vAlign w:val="center"/>
            <w:hideMark/>
          </w:tcPr>
          <w:p w14:paraId="0699BCD0" w14:textId="77777777" w:rsidR="003E5BF5" w:rsidRPr="0029213D" w:rsidRDefault="003E5BF5" w:rsidP="00DE1921">
            <w:pPr>
              <w:rPr>
                <w:rFonts w:ascii="Arial" w:hAnsi="Arial" w:cs="Arial"/>
                <w:b/>
                <w:sz w:val="24"/>
                <w:szCs w:val="24"/>
                <w:lang w:eastAsia="en-AU"/>
              </w:rPr>
            </w:pPr>
            <w:r w:rsidRPr="0029213D">
              <w:rPr>
                <w:rFonts w:ascii="Arial" w:hAnsi="Arial" w:cs="Arial"/>
                <w:b/>
                <w:sz w:val="24"/>
                <w:szCs w:val="24"/>
                <w:lang w:eastAsia="en-AU"/>
              </w:rPr>
              <w:t>Total expenses from transactions</w:t>
            </w:r>
          </w:p>
        </w:tc>
        <w:tc>
          <w:tcPr>
            <w:tcW w:w="853" w:type="dxa"/>
            <w:shd w:val="clear" w:color="auto" w:fill="auto"/>
            <w:noWrap/>
            <w:hideMark/>
          </w:tcPr>
          <w:p w14:paraId="52ED1934"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066" w:type="dxa"/>
            <w:shd w:val="clear" w:color="auto" w:fill="auto"/>
            <w:noWrap/>
            <w:hideMark/>
          </w:tcPr>
          <w:p w14:paraId="6CECCF15"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(91,371)</w:t>
            </w:r>
          </w:p>
        </w:tc>
        <w:tc>
          <w:tcPr>
            <w:tcW w:w="749" w:type="dxa"/>
            <w:shd w:val="clear" w:color="auto" w:fill="auto"/>
            <w:noWrap/>
            <w:hideMark/>
          </w:tcPr>
          <w:p w14:paraId="53D147BF"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235" w:type="dxa"/>
            <w:shd w:val="clear" w:color="auto" w:fill="auto"/>
            <w:noWrap/>
            <w:hideMark/>
          </w:tcPr>
          <w:p w14:paraId="1EBA529D"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(149,973)</w:t>
            </w:r>
          </w:p>
        </w:tc>
        <w:tc>
          <w:tcPr>
            <w:tcW w:w="726" w:type="dxa"/>
            <w:shd w:val="clear" w:color="auto" w:fill="auto"/>
            <w:noWrap/>
            <w:hideMark/>
          </w:tcPr>
          <w:p w14:paraId="6D001DE9"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907" w:type="dxa"/>
            <w:shd w:val="clear" w:color="auto" w:fill="auto"/>
            <w:noWrap/>
            <w:hideMark/>
          </w:tcPr>
          <w:p w14:paraId="38885B6C" w14:textId="77777777" w:rsidR="003E5BF5" w:rsidRPr="006966CC" w:rsidRDefault="003E5BF5" w:rsidP="00DE1921">
            <w:pPr>
              <w:jc w:val="right"/>
              <w:rPr>
                <w:rFonts w:ascii="Arial" w:hAnsi="Arial" w:cs="Arial"/>
                <w:b/>
                <w:lang w:eastAsia="en-AU"/>
              </w:rPr>
            </w:pPr>
            <w:r w:rsidRPr="006966CC">
              <w:rPr>
                <w:rFonts w:ascii="Arial" w:hAnsi="Arial" w:cs="Arial"/>
                <w:b/>
              </w:rPr>
              <w:t>(10,047)</w:t>
            </w:r>
          </w:p>
        </w:tc>
        <w:tc>
          <w:tcPr>
            <w:tcW w:w="777" w:type="dxa"/>
            <w:shd w:val="clear" w:color="auto" w:fill="auto"/>
            <w:noWrap/>
            <w:hideMark/>
          </w:tcPr>
          <w:p w14:paraId="622807BD"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134" w:type="dxa"/>
            <w:shd w:val="clear" w:color="auto" w:fill="auto"/>
            <w:noWrap/>
            <w:hideMark/>
          </w:tcPr>
          <w:p w14:paraId="34BDBEC5"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(924,038)</w:t>
            </w:r>
          </w:p>
        </w:tc>
      </w:tr>
      <w:tr w:rsidR="003E5BF5" w:rsidRPr="0029213D" w14:paraId="442B5D96" w14:textId="77777777" w:rsidTr="004832D5">
        <w:trPr>
          <w:trHeight w:val="340"/>
        </w:trPr>
        <w:tc>
          <w:tcPr>
            <w:tcW w:w="2476" w:type="dxa"/>
            <w:shd w:val="clear" w:color="auto" w:fill="auto"/>
            <w:noWrap/>
            <w:vAlign w:val="center"/>
            <w:hideMark/>
          </w:tcPr>
          <w:p w14:paraId="00713FC6" w14:textId="77777777" w:rsidR="003E5BF5" w:rsidRPr="0029213D" w:rsidRDefault="003E5BF5" w:rsidP="00DE1921">
            <w:pPr>
              <w:rPr>
                <w:rFonts w:ascii="Arial" w:hAnsi="Arial" w:cs="Arial"/>
                <w:b/>
                <w:sz w:val="24"/>
                <w:szCs w:val="24"/>
                <w:lang w:eastAsia="en-AU"/>
              </w:rPr>
            </w:pPr>
            <w:r w:rsidRPr="0029213D">
              <w:rPr>
                <w:rFonts w:ascii="Arial" w:hAnsi="Arial" w:cs="Arial"/>
                <w:b/>
                <w:sz w:val="24"/>
                <w:szCs w:val="24"/>
                <w:lang w:eastAsia="en-AU"/>
              </w:rPr>
              <w:t>Net result from transactions</w:t>
            </w:r>
          </w:p>
        </w:tc>
        <w:tc>
          <w:tcPr>
            <w:tcW w:w="853" w:type="dxa"/>
            <w:shd w:val="clear" w:color="auto" w:fill="auto"/>
            <w:noWrap/>
            <w:hideMark/>
          </w:tcPr>
          <w:p w14:paraId="13A834EC"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066" w:type="dxa"/>
            <w:shd w:val="clear" w:color="auto" w:fill="auto"/>
            <w:noWrap/>
            <w:hideMark/>
          </w:tcPr>
          <w:p w14:paraId="3702F8BC"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 xml:space="preserve">6,900 </w:t>
            </w:r>
          </w:p>
        </w:tc>
        <w:tc>
          <w:tcPr>
            <w:tcW w:w="749" w:type="dxa"/>
            <w:shd w:val="clear" w:color="auto" w:fill="auto"/>
            <w:noWrap/>
            <w:hideMark/>
          </w:tcPr>
          <w:p w14:paraId="080D0FB7"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235" w:type="dxa"/>
            <w:shd w:val="clear" w:color="auto" w:fill="auto"/>
            <w:noWrap/>
            <w:hideMark/>
          </w:tcPr>
          <w:p w14:paraId="78209F51"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(3,609)</w:t>
            </w:r>
          </w:p>
        </w:tc>
        <w:tc>
          <w:tcPr>
            <w:tcW w:w="726" w:type="dxa"/>
            <w:shd w:val="clear" w:color="auto" w:fill="auto"/>
            <w:noWrap/>
            <w:hideMark/>
          </w:tcPr>
          <w:p w14:paraId="168CDD57"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907" w:type="dxa"/>
            <w:shd w:val="clear" w:color="auto" w:fill="auto"/>
            <w:noWrap/>
            <w:hideMark/>
          </w:tcPr>
          <w:p w14:paraId="35141046"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 xml:space="preserve">1,494 </w:t>
            </w:r>
          </w:p>
        </w:tc>
        <w:tc>
          <w:tcPr>
            <w:tcW w:w="777" w:type="dxa"/>
            <w:shd w:val="clear" w:color="auto" w:fill="auto"/>
            <w:noWrap/>
            <w:hideMark/>
          </w:tcPr>
          <w:p w14:paraId="5DC113B6"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134" w:type="dxa"/>
            <w:shd w:val="clear" w:color="auto" w:fill="auto"/>
            <w:noWrap/>
            <w:hideMark/>
          </w:tcPr>
          <w:p w14:paraId="531E157E"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(17,564)</w:t>
            </w:r>
          </w:p>
        </w:tc>
      </w:tr>
      <w:tr w:rsidR="003E5BF5" w:rsidRPr="0029213D" w14:paraId="3128D350" w14:textId="77777777" w:rsidTr="004832D5">
        <w:trPr>
          <w:trHeight w:val="340"/>
        </w:trPr>
        <w:tc>
          <w:tcPr>
            <w:tcW w:w="2476" w:type="dxa"/>
            <w:shd w:val="clear" w:color="auto" w:fill="auto"/>
            <w:noWrap/>
            <w:vAlign w:val="center"/>
            <w:hideMark/>
          </w:tcPr>
          <w:p w14:paraId="4EB22306" w14:textId="77777777" w:rsidR="003E5BF5" w:rsidRPr="0029213D" w:rsidRDefault="003E5BF5" w:rsidP="00DE1921">
            <w:pPr>
              <w:rPr>
                <w:rFonts w:ascii="Arial" w:hAnsi="Arial" w:cs="Arial"/>
                <w:b/>
                <w:sz w:val="24"/>
                <w:szCs w:val="24"/>
                <w:lang w:eastAsia="en-AU"/>
              </w:rPr>
            </w:pPr>
          </w:p>
        </w:tc>
        <w:tc>
          <w:tcPr>
            <w:tcW w:w="853" w:type="dxa"/>
            <w:shd w:val="clear" w:color="auto" w:fill="auto"/>
            <w:noWrap/>
            <w:vAlign w:val="center"/>
            <w:hideMark/>
          </w:tcPr>
          <w:p w14:paraId="22F68DB9" w14:textId="77777777" w:rsidR="003E5BF5" w:rsidRPr="0029213D" w:rsidRDefault="003E5BF5" w:rsidP="00DE1921">
            <w:pPr>
              <w:jc w:val="right"/>
              <w:rPr>
                <w:rFonts w:ascii="Arial" w:hAnsi="Arial" w:cs="Arial"/>
                <w:sz w:val="24"/>
                <w:szCs w:val="24"/>
                <w:lang w:eastAsia="en-AU"/>
              </w:rPr>
            </w:pPr>
          </w:p>
        </w:tc>
        <w:tc>
          <w:tcPr>
            <w:tcW w:w="1066" w:type="dxa"/>
            <w:shd w:val="clear" w:color="auto" w:fill="auto"/>
            <w:noWrap/>
            <w:vAlign w:val="center"/>
            <w:hideMark/>
          </w:tcPr>
          <w:p w14:paraId="67A7C54D" w14:textId="77777777" w:rsidR="003E5BF5" w:rsidRPr="0029213D" w:rsidRDefault="003E5BF5" w:rsidP="00DE1921">
            <w:pPr>
              <w:jc w:val="right"/>
              <w:rPr>
                <w:rFonts w:ascii="Arial" w:hAnsi="Arial" w:cs="Arial"/>
                <w:sz w:val="24"/>
                <w:szCs w:val="24"/>
                <w:lang w:eastAsia="en-AU"/>
              </w:rPr>
            </w:pPr>
          </w:p>
        </w:tc>
        <w:tc>
          <w:tcPr>
            <w:tcW w:w="749" w:type="dxa"/>
            <w:shd w:val="clear" w:color="auto" w:fill="auto"/>
            <w:noWrap/>
            <w:vAlign w:val="center"/>
            <w:hideMark/>
          </w:tcPr>
          <w:p w14:paraId="2A4905AC" w14:textId="77777777" w:rsidR="003E5BF5" w:rsidRPr="0029213D" w:rsidRDefault="003E5BF5" w:rsidP="00DE1921">
            <w:pPr>
              <w:jc w:val="right"/>
              <w:rPr>
                <w:rFonts w:ascii="Arial" w:hAnsi="Arial" w:cs="Arial"/>
                <w:sz w:val="24"/>
                <w:szCs w:val="24"/>
                <w:lang w:eastAsia="en-AU"/>
              </w:rPr>
            </w:pPr>
          </w:p>
        </w:tc>
        <w:tc>
          <w:tcPr>
            <w:tcW w:w="1235" w:type="dxa"/>
            <w:shd w:val="clear" w:color="auto" w:fill="auto"/>
            <w:noWrap/>
            <w:vAlign w:val="center"/>
            <w:hideMark/>
          </w:tcPr>
          <w:p w14:paraId="4E6B6423" w14:textId="77777777" w:rsidR="003E5BF5" w:rsidRPr="0029213D" w:rsidRDefault="003E5BF5" w:rsidP="00DE1921">
            <w:pPr>
              <w:jc w:val="right"/>
              <w:rPr>
                <w:rFonts w:ascii="Arial" w:hAnsi="Arial" w:cs="Arial"/>
                <w:sz w:val="24"/>
                <w:szCs w:val="24"/>
                <w:lang w:eastAsia="en-AU"/>
              </w:rPr>
            </w:pPr>
          </w:p>
        </w:tc>
        <w:tc>
          <w:tcPr>
            <w:tcW w:w="726" w:type="dxa"/>
            <w:shd w:val="clear" w:color="auto" w:fill="auto"/>
            <w:noWrap/>
            <w:vAlign w:val="center"/>
            <w:hideMark/>
          </w:tcPr>
          <w:p w14:paraId="08ED6597" w14:textId="77777777" w:rsidR="003E5BF5" w:rsidRPr="0029213D" w:rsidRDefault="003E5BF5" w:rsidP="00DE1921">
            <w:pPr>
              <w:jc w:val="right"/>
              <w:rPr>
                <w:rFonts w:ascii="Arial" w:hAnsi="Arial" w:cs="Arial"/>
                <w:sz w:val="24"/>
                <w:szCs w:val="24"/>
                <w:lang w:eastAsia="en-AU"/>
              </w:rPr>
            </w:pPr>
          </w:p>
        </w:tc>
        <w:tc>
          <w:tcPr>
            <w:tcW w:w="907" w:type="dxa"/>
            <w:shd w:val="clear" w:color="auto" w:fill="auto"/>
            <w:noWrap/>
            <w:vAlign w:val="center"/>
            <w:hideMark/>
          </w:tcPr>
          <w:p w14:paraId="165F014A" w14:textId="77777777" w:rsidR="003E5BF5" w:rsidRPr="0029213D" w:rsidRDefault="003E5BF5" w:rsidP="00DE1921">
            <w:pPr>
              <w:jc w:val="right"/>
              <w:rPr>
                <w:rFonts w:ascii="Arial" w:hAnsi="Arial" w:cs="Arial"/>
                <w:sz w:val="24"/>
                <w:szCs w:val="24"/>
                <w:lang w:eastAsia="en-AU"/>
              </w:rPr>
            </w:pPr>
          </w:p>
        </w:tc>
        <w:tc>
          <w:tcPr>
            <w:tcW w:w="777" w:type="dxa"/>
            <w:shd w:val="clear" w:color="auto" w:fill="auto"/>
            <w:noWrap/>
            <w:vAlign w:val="center"/>
            <w:hideMark/>
          </w:tcPr>
          <w:p w14:paraId="55C12689" w14:textId="77777777" w:rsidR="003E5BF5" w:rsidRPr="0029213D" w:rsidRDefault="003E5BF5" w:rsidP="00DE1921">
            <w:pPr>
              <w:jc w:val="right"/>
              <w:rPr>
                <w:rFonts w:ascii="Arial" w:hAnsi="Arial" w:cs="Arial"/>
                <w:sz w:val="24"/>
                <w:szCs w:val="24"/>
                <w:lang w:eastAsia="en-AU"/>
              </w:rPr>
            </w:pPr>
          </w:p>
        </w:tc>
        <w:tc>
          <w:tcPr>
            <w:tcW w:w="1134" w:type="dxa"/>
            <w:shd w:val="clear" w:color="auto" w:fill="auto"/>
            <w:noWrap/>
            <w:vAlign w:val="center"/>
            <w:hideMark/>
          </w:tcPr>
          <w:p w14:paraId="6DF02784" w14:textId="77777777" w:rsidR="003E5BF5" w:rsidRPr="0029213D" w:rsidRDefault="003E5BF5" w:rsidP="00DE1921">
            <w:pPr>
              <w:jc w:val="right"/>
              <w:rPr>
                <w:rFonts w:ascii="Arial" w:hAnsi="Arial" w:cs="Arial"/>
                <w:sz w:val="24"/>
                <w:szCs w:val="24"/>
                <w:lang w:eastAsia="en-AU"/>
              </w:rPr>
            </w:pPr>
          </w:p>
        </w:tc>
      </w:tr>
      <w:tr w:rsidR="003E5BF5" w:rsidRPr="0029213D" w14:paraId="1717AAF5" w14:textId="77777777" w:rsidTr="004832D5">
        <w:trPr>
          <w:trHeight w:val="340"/>
        </w:trPr>
        <w:tc>
          <w:tcPr>
            <w:tcW w:w="2476" w:type="dxa"/>
            <w:shd w:val="clear" w:color="auto" w:fill="auto"/>
            <w:noWrap/>
            <w:vAlign w:val="center"/>
            <w:hideMark/>
          </w:tcPr>
          <w:p w14:paraId="063F6E52" w14:textId="77777777" w:rsidR="003E5BF5" w:rsidRPr="0029213D" w:rsidRDefault="003E5BF5" w:rsidP="00604703">
            <w:pPr>
              <w:pStyle w:val="TableTextGreen"/>
            </w:pPr>
            <w:r w:rsidRPr="0029213D">
              <w:t>Other economic flows included in net result</w:t>
            </w:r>
          </w:p>
        </w:tc>
        <w:tc>
          <w:tcPr>
            <w:tcW w:w="853" w:type="dxa"/>
            <w:shd w:val="clear" w:color="auto" w:fill="auto"/>
            <w:noWrap/>
            <w:vAlign w:val="center"/>
            <w:hideMark/>
          </w:tcPr>
          <w:p w14:paraId="4A77F37D" w14:textId="77777777" w:rsidR="003E5BF5" w:rsidRPr="0029213D" w:rsidRDefault="003E5BF5" w:rsidP="00DE1921">
            <w:pPr>
              <w:jc w:val="right"/>
              <w:rPr>
                <w:rFonts w:ascii="Arial" w:hAnsi="Arial" w:cs="Arial"/>
                <w:sz w:val="24"/>
                <w:szCs w:val="24"/>
                <w:lang w:eastAsia="en-AU"/>
              </w:rPr>
            </w:pPr>
          </w:p>
        </w:tc>
        <w:tc>
          <w:tcPr>
            <w:tcW w:w="1066" w:type="dxa"/>
            <w:shd w:val="clear" w:color="auto" w:fill="auto"/>
            <w:noWrap/>
            <w:vAlign w:val="center"/>
            <w:hideMark/>
          </w:tcPr>
          <w:p w14:paraId="76C4E8FC" w14:textId="77777777" w:rsidR="003E5BF5" w:rsidRPr="0029213D" w:rsidRDefault="003E5BF5" w:rsidP="00DE1921">
            <w:pPr>
              <w:jc w:val="right"/>
              <w:rPr>
                <w:rFonts w:ascii="Arial" w:hAnsi="Arial" w:cs="Arial"/>
                <w:sz w:val="24"/>
                <w:szCs w:val="24"/>
                <w:lang w:eastAsia="en-AU"/>
              </w:rPr>
            </w:pPr>
          </w:p>
        </w:tc>
        <w:tc>
          <w:tcPr>
            <w:tcW w:w="749" w:type="dxa"/>
            <w:shd w:val="clear" w:color="auto" w:fill="auto"/>
            <w:noWrap/>
            <w:vAlign w:val="center"/>
            <w:hideMark/>
          </w:tcPr>
          <w:p w14:paraId="7B2AFEEF" w14:textId="77777777" w:rsidR="003E5BF5" w:rsidRPr="0029213D" w:rsidRDefault="003E5BF5" w:rsidP="00DE1921">
            <w:pPr>
              <w:jc w:val="right"/>
              <w:rPr>
                <w:rFonts w:ascii="Arial" w:hAnsi="Arial" w:cs="Arial"/>
                <w:sz w:val="24"/>
                <w:szCs w:val="24"/>
                <w:lang w:eastAsia="en-AU"/>
              </w:rPr>
            </w:pPr>
          </w:p>
        </w:tc>
        <w:tc>
          <w:tcPr>
            <w:tcW w:w="1235" w:type="dxa"/>
            <w:shd w:val="clear" w:color="auto" w:fill="auto"/>
            <w:noWrap/>
            <w:vAlign w:val="center"/>
            <w:hideMark/>
          </w:tcPr>
          <w:p w14:paraId="3B830C8A" w14:textId="77777777" w:rsidR="003E5BF5" w:rsidRPr="0029213D" w:rsidRDefault="003E5BF5" w:rsidP="00DE1921">
            <w:pPr>
              <w:jc w:val="right"/>
              <w:rPr>
                <w:rFonts w:ascii="Arial" w:hAnsi="Arial" w:cs="Arial"/>
                <w:sz w:val="24"/>
                <w:szCs w:val="24"/>
                <w:lang w:eastAsia="en-AU"/>
              </w:rPr>
            </w:pPr>
          </w:p>
        </w:tc>
        <w:tc>
          <w:tcPr>
            <w:tcW w:w="726" w:type="dxa"/>
            <w:shd w:val="clear" w:color="auto" w:fill="auto"/>
            <w:noWrap/>
            <w:vAlign w:val="center"/>
            <w:hideMark/>
          </w:tcPr>
          <w:p w14:paraId="2D84CB66" w14:textId="77777777" w:rsidR="003E5BF5" w:rsidRPr="0029213D" w:rsidRDefault="003E5BF5" w:rsidP="00DE1921">
            <w:pPr>
              <w:jc w:val="right"/>
              <w:rPr>
                <w:rFonts w:ascii="Arial" w:hAnsi="Arial" w:cs="Arial"/>
                <w:sz w:val="24"/>
                <w:szCs w:val="24"/>
                <w:lang w:eastAsia="en-AU"/>
              </w:rPr>
            </w:pPr>
          </w:p>
        </w:tc>
        <w:tc>
          <w:tcPr>
            <w:tcW w:w="907" w:type="dxa"/>
            <w:shd w:val="clear" w:color="auto" w:fill="auto"/>
            <w:noWrap/>
            <w:vAlign w:val="center"/>
            <w:hideMark/>
          </w:tcPr>
          <w:p w14:paraId="5A7BC38C" w14:textId="77777777" w:rsidR="003E5BF5" w:rsidRPr="0029213D" w:rsidRDefault="003E5BF5" w:rsidP="00DE1921">
            <w:pPr>
              <w:jc w:val="right"/>
              <w:rPr>
                <w:rFonts w:ascii="Arial" w:hAnsi="Arial" w:cs="Arial"/>
                <w:sz w:val="24"/>
                <w:szCs w:val="24"/>
                <w:lang w:eastAsia="en-AU"/>
              </w:rPr>
            </w:pPr>
          </w:p>
        </w:tc>
        <w:tc>
          <w:tcPr>
            <w:tcW w:w="777" w:type="dxa"/>
            <w:shd w:val="clear" w:color="auto" w:fill="auto"/>
            <w:noWrap/>
            <w:vAlign w:val="center"/>
            <w:hideMark/>
          </w:tcPr>
          <w:p w14:paraId="5909B43D" w14:textId="77777777" w:rsidR="003E5BF5" w:rsidRPr="0029213D" w:rsidRDefault="003E5BF5" w:rsidP="00DE1921">
            <w:pPr>
              <w:jc w:val="right"/>
              <w:rPr>
                <w:rFonts w:ascii="Arial" w:hAnsi="Arial" w:cs="Arial"/>
                <w:sz w:val="24"/>
                <w:szCs w:val="24"/>
                <w:lang w:eastAsia="en-AU"/>
              </w:rPr>
            </w:pPr>
          </w:p>
        </w:tc>
        <w:tc>
          <w:tcPr>
            <w:tcW w:w="1134" w:type="dxa"/>
            <w:shd w:val="clear" w:color="auto" w:fill="auto"/>
            <w:noWrap/>
            <w:vAlign w:val="center"/>
            <w:hideMark/>
          </w:tcPr>
          <w:p w14:paraId="645474F4" w14:textId="77777777" w:rsidR="003E5BF5" w:rsidRPr="0029213D" w:rsidRDefault="003E5BF5" w:rsidP="00DE1921">
            <w:pPr>
              <w:jc w:val="right"/>
              <w:rPr>
                <w:rFonts w:ascii="Arial" w:hAnsi="Arial" w:cs="Arial"/>
                <w:sz w:val="24"/>
                <w:szCs w:val="24"/>
                <w:lang w:eastAsia="en-AU"/>
              </w:rPr>
            </w:pPr>
          </w:p>
        </w:tc>
      </w:tr>
      <w:tr w:rsidR="003E5BF5" w:rsidRPr="0029213D" w14:paraId="01AE0A0B" w14:textId="77777777" w:rsidTr="004832D5">
        <w:trPr>
          <w:trHeight w:val="340"/>
        </w:trPr>
        <w:tc>
          <w:tcPr>
            <w:tcW w:w="2476" w:type="dxa"/>
            <w:shd w:val="clear" w:color="auto" w:fill="auto"/>
            <w:noWrap/>
            <w:vAlign w:val="center"/>
            <w:hideMark/>
          </w:tcPr>
          <w:p w14:paraId="02062537" w14:textId="77777777" w:rsidR="003E5BF5" w:rsidRPr="0029213D" w:rsidRDefault="003E5BF5" w:rsidP="00DE1921">
            <w:pPr>
              <w:rPr>
                <w:rFonts w:ascii="Arial" w:hAnsi="Arial" w:cs="Arial"/>
                <w:sz w:val="24"/>
                <w:szCs w:val="24"/>
                <w:lang w:eastAsia="en-AU"/>
              </w:rPr>
            </w:pPr>
            <w:r w:rsidRPr="0029213D">
              <w:rPr>
                <w:rFonts w:ascii="Arial" w:hAnsi="Arial" w:cs="Arial"/>
                <w:sz w:val="24"/>
                <w:szCs w:val="24"/>
                <w:lang w:eastAsia="en-AU"/>
              </w:rPr>
              <w:t>Net loss on non-financial assets</w:t>
            </w:r>
          </w:p>
        </w:tc>
        <w:tc>
          <w:tcPr>
            <w:tcW w:w="853" w:type="dxa"/>
            <w:shd w:val="clear" w:color="auto" w:fill="auto"/>
            <w:noWrap/>
            <w:hideMark/>
          </w:tcPr>
          <w:p w14:paraId="40CE68E6"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066" w:type="dxa"/>
            <w:shd w:val="clear" w:color="auto" w:fill="auto"/>
            <w:noWrap/>
            <w:hideMark/>
          </w:tcPr>
          <w:p w14:paraId="499B290E"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19 </w:t>
            </w:r>
          </w:p>
        </w:tc>
        <w:tc>
          <w:tcPr>
            <w:tcW w:w="749" w:type="dxa"/>
            <w:shd w:val="clear" w:color="auto" w:fill="auto"/>
            <w:noWrap/>
            <w:hideMark/>
          </w:tcPr>
          <w:p w14:paraId="6082E556"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235" w:type="dxa"/>
            <w:shd w:val="clear" w:color="auto" w:fill="auto"/>
            <w:noWrap/>
            <w:hideMark/>
          </w:tcPr>
          <w:p w14:paraId="18A4F99F"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83 </w:t>
            </w:r>
          </w:p>
        </w:tc>
        <w:tc>
          <w:tcPr>
            <w:tcW w:w="726" w:type="dxa"/>
            <w:shd w:val="clear" w:color="auto" w:fill="auto"/>
            <w:noWrap/>
            <w:hideMark/>
          </w:tcPr>
          <w:p w14:paraId="0C091963"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907" w:type="dxa"/>
            <w:shd w:val="clear" w:color="auto" w:fill="auto"/>
            <w:noWrap/>
            <w:hideMark/>
          </w:tcPr>
          <w:p w14:paraId="541FAF86"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1 </w:t>
            </w:r>
          </w:p>
        </w:tc>
        <w:tc>
          <w:tcPr>
            <w:tcW w:w="777" w:type="dxa"/>
            <w:shd w:val="clear" w:color="auto" w:fill="auto"/>
            <w:noWrap/>
            <w:hideMark/>
          </w:tcPr>
          <w:p w14:paraId="5E9D893C"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134" w:type="dxa"/>
            <w:shd w:val="clear" w:color="auto" w:fill="auto"/>
            <w:noWrap/>
            <w:hideMark/>
          </w:tcPr>
          <w:p w14:paraId="5CA6AFAB"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 xml:space="preserve">321 </w:t>
            </w:r>
          </w:p>
        </w:tc>
      </w:tr>
      <w:tr w:rsidR="003E5BF5" w:rsidRPr="0029213D" w14:paraId="72D4305D" w14:textId="77777777" w:rsidTr="004832D5">
        <w:trPr>
          <w:trHeight w:val="340"/>
        </w:trPr>
        <w:tc>
          <w:tcPr>
            <w:tcW w:w="2476" w:type="dxa"/>
            <w:shd w:val="clear" w:color="auto" w:fill="auto"/>
            <w:noWrap/>
            <w:vAlign w:val="center"/>
            <w:hideMark/>
          </w:tcPr>
          <w:p w14:paraId="0CC3F016" w14:textId="77777777" w:rsidR="003E5BF5" w:rsidRPr="0029213D" w:rsidRDefault="003E5BF5" w:rsidP="00DE1921">
            <w:pPr>
              <w:rPr>
                <w:rFonts w:ascii="Arial" w:hAnsi="Arial" w:cs="Arial"/>
                <w:sz w:val="24"/>
                <w:szCs w:val="24"/>
                <w:lang w:eastAsia="en-AU"/>
              </w:rPr>
            </w:pPr>
            <w:r w:rsidRPr="0029213D">
              <w:rPr>
                <w:rFonts w:ascii="Arial" w:hAnsi="Arial" w:cs="Arial"/>
                <w:sz w:val="24"/>
                <w:szCs w:val="24"/>
                <w:lang w:eastAsia="en-AU"/>
              </w:rPr>
              <w:t>Net loss on financial instruments</w:t>
            </w:r>
          </w:p>
        </w:tc>
        <w:tc>
          <w:tcPr>
            <w:tcW w:w="853" w:type="dxa"/>
            <w:shd w:val="clear" w:color="auto" w:fill="auto"/>
            <w:noWrap/>
            <w:hideMark/>
          </w:tcPr>
          <w:p w14:paraId="53DE364A"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066" w:type="dxa"/>
            <w:shd w:val="clear" w:color="auto" w:fill="auto"/>
            <w:noWrap/>
            <w:hideMark/>
          </w:tcPr>
          <w:p w14:paraId="0ED58B7E"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(226)</w:t>
            </w:r>
          </w:p>
        </w:tc>
        <w:tc>
          <w:tcPr>
            <w:tcW w:w="749" w:type="dxa"/>
            <w:shd w:val="clear" w:color="auto" w:fill="auto"/>
            <w:noWrap/>
            <w:hideMark/>
          </w:tcPr>
          <w:p w14:paraId="31552A6E"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235" w:type="dxa"/>
            <w:shd w:val="clear" w:color="auto" w:fill="auto"/>
            <w:noWrap/>
            <w:hideMark/>
          </w:tcPr>
          <w:p w14:paraId="2B4986A5"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726" w:type="dxa"/>
            <w:shd w:val="clear" w:color="auto" w:fill="auto"/>
            <w:noWrap/>
            <w:hideMark/>
          </w:tcPr>
          <w:p w14:paraId="3EBF22C3"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907" w:type="dxa"/>
            <w:shd w:val="clear" w:color="auto" w:fill="auto"/>
            <w:noWrap/>
            <w:hideMark/>
          </w:tcPr>
          <w:p w14:paraId="45A55CDE"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(226)</w:t>
            </w:r>
          </w:p>
        </w:tc>
        <w:tc>
          <w:tcPr>
            <w:tcW w:w="777" w:type="dxa"/>
            <w:shd w:val="clear" w:color="auto" w:fill="auto"/>
            <w:noWrap/>
            <w:hideMark/>
          </w:tcPr>
          <w:p w14:paraId="73E89C2B"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134" w:type="dxa"/>
            <w:shd w:val="clear" w:color="auto" w:fill="auto"/>
            <w:noWrap/>
            <w:hideMark/>
          </w:tcPr>
          <w:p w14:paraId="3DBC1090"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(452)</w:t>
            </w:r>
          </w:p>
        </w:tc>
      </w:tr>
      <w:tr w:rsidR="003E5BF5" w:rsidRPr="0029213D" w14:paraId="38A9A04D" w14:textId="77777777" w:rsidTr="004832D5">
        <w:trPr>
          <w:trHeight w:val="340"/>
        </w:trPr>
        <w:tc>
          <w:tcPr>
            <w:tcW w:w="2476" w:type="dxa"/>
            <w:shd w:val="clear" w:color="auto" w:fill="auto"/>
            <w:noWrap/>
            <w:vAlign w:val="center"/>
            <w:hideMark/>
          </w:tcPr>
          <w:p w14:paraId="515047A3" w14:textId="77777777" w:rsidR="003E5BF5" w:rsidRPr="0029213D" w:rsidRDefault="003E5BF5" w:rsidP="00DE1921">
            <w:pPr>
              <w:rPr>
                <w:rFonts w:ascii="Arial" w:hAnsi="Arial" w:cs="Arial"/>
                <w:sz w:val="24"/>
                <w:szCs w:val="24"/>
                <w:lang w:eastAsia="en-AU"/>
              </w:rPr>
            </w:pPr>
            <w:r w:rsidRPr="0029213D">
              <w:rPr>
                <w:rFonts w:ascii="Arial" w:hAnsi="Arial" w:cs="Arial"/>
                <w:sz w:val="24"/>
                <w:szCs w:val="24"/>
                <w:lang w:eastAsia="en-AU"/>
              </w:rPr>
              <w:t>Other gains/(losses) from other economic flows</w:t>
            </w:r>
          </w:p>
        </w:tc>
        <w:tc>
          <w:tcPr>
            <w:tcW w:w="853" w:type="dxa"/>
            <w:shd w:val="clear" w:color="auto" w:fill="auto"/>
            <w:noWrap/>
            <w:hideMark/>
          </w:tcPr>
          <w:p w14:paraId="0FD908C4"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066" w:type="dxa"/>
            <w:shd w:val="clear" w:color="auto" w:fill="auto"/>
            <w:noWrap/>
            <w:hideMark/>
          </w:tcPr>
          <w:p w14:paraId="143204CC"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(24)</w:t>
            </w:r>
          </w:p>
        </w:tc>
        <w:tc>
          <w:tcPr>
            <w:tcW w:w="749" w:type="dxa"/>
            <w:shd w:val="clear" w:color="auto" w:fill="auto"/>
            <w:noWrap/>
            <w:hideMark/>
          </w:tcPr>
          <w:p w14:paraId="5DEEC56C"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235" w:type="dxa"/>
            <w:shd w:val="clear" w:color="auto" w:fill="auto"/>
            <w:noWrap/>
            <w:hideMark/>
          </w:tcPr>
          <w:p w14:paraId="2C18ACBB"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(25)</w:t>
            </w:r>
          </w:p>
        </w:tc>
        <w:tc>
          <w:tcPr>
            <w:tcW w:w="726" w:type="dxa"/>
            <w:shd w:val="clear" w:color="auto" w:fill="auto"/>
            <w:noWrap/>
            <w:hideMark/>
          </w:tcPr>
          <w:p w14:paraId="49A75C5F"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907" w:type="dxa"/>
            <w:shd w:val="clear" w:color="auto" w:fill="auto"/>
            <w:noWrap/>
            <w:hideMark/>
          </w:tcPr>
          <w:p w14:paraId="348F8B91"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(3)</w:t>
            </w:r>
          </w:p>
        </w:tc>
        <w:tc>
          <w:tcPr>
            <w:tcW w:w="777" w:type="dxa"/>
            <w:shd w:val="clear" w:color="auto" w:fill="auto"/>
            <w:noWrap/>
            <w:hideMark/>
          </w:tcPr>
          <w:p w14:paraId="01EA1877" w14:textId="77777777" w:rsidR="003E5BF5" w:rsidRPr="0029213D" w:rsidRDefault="003E5BF5" w:rsidP="00DE1921">
            <w:pPr>
              <w:jc w:val="right"/>
              <w:rPr>
                <w:rFonts w:ascii="Arial" w:hAnsi="Arial" w:cs="Arial"/>
                <w:sz w:val="24"/>
                <w:szCs w:val="24"/>
                <w:lang w:eastAsia="en-AU"/>
              </w:rPr>
            </w:pPr>
            <w:r w:rsidRPr="0029213D">
              <w:rPr>
                <w:rFonts w:ascii="Arial" w:hAnsi="Arial" w:cs="Arial"/>
                <w:b/>
                <w:sz w:val="24"/>
                <w:szCs w:val="24"/>
              </w:rPr>
              <w:t>-</w:t>
            </w:r>
          </w:p>
        </w:tc>
        <w:tc>
          <w:tcPr>
            <w:tcW w:w="1134" w:type="dxa"/>
            <w:shd w:val="clear" w:color="auto" w:fill="auto"/>
            <w:noWrap/>
            <w:hideMark/>
          </w:tcPr>
          <w:p w14:paraId="0CB93818" w14:textId="77777777" w:rsidR="003E5BF5" w:rsidRPr="0029213D" w:rsidRDefault="003E5BF5" w:rsidP="00DE1921">
            <w:pPr>
              <w:jc w:val="right"/>
              <w:rPr>
                <w:rFonts w:ascii="Arial" w:hAnsi="Arial" w:cs="Arial"/>
                <w:sz w:val="24"/>
                <w:szCs w:val="24"/>
                <w:lang w:eastAsia="en-AU"/>
              </w:rPr>
            </w:pPr>
            <w:r w:rsidRPr="0029213D">
              <w:rPr>
                <w:rFonts w:ascii="Arial" w:hAnsi="Arial" w:cs="Arial"/>
                <w:sz w:val="24"/>
                <w:szCs w:val="24"/>
              </w:rPr>
              <w:t>(206)</w:t>
            </w:r>
          </w:p>
        </w:tc>
      </w:tr>
      <w:tr w:rsidR="003E5BF5" w:rsidRPr="0029213D" w14:paraId="094CEB3F" w14:textId="77777777" w:rsidTr="004832D5">
        <w:trPr>
          <w:trHeight w:val="340"/>
        </w:trPr>
        <w:tc>
          <w:tcPr>
            <w:tcW w:w="2476" w:type="dxa"/>
            <w:shd w:val="clear" w:color="auto" w:fill="auto"/>
            <w:noWrap/>
            <w:vAlign w:val="center"/>
            <w:hideMark/>
          </w:tcPr>
          <w:p w14:paraId="5E77818E" w14:textId="77777777" w:rsidR="003E5BF5" w:rsidRPr="0029213D" w:rsidRDefault="003E5BF5" w:rsidP="00DE1921">
            <w:pPr>
              <w:rPr>
                <w:rFonts w:ascii="Arial" w:hAnsi="Arial" w:cs="Arial"/>
                <w:b/>
                <w:sz w:val="24"/>
                <w:szCs w:val="24"/>
                <w:lang w:eastAsia="en-AU"/>
              </w:rPr>
            </w:pPr>
            <w:r w:rsidRPr="0029213D">
              <w:rPr>
                <w:rFonts w:ascii="Arial" w:hAnsi="Arial" w:cs="Arial"/>
                <w:b/>
                <w:sz w:val="24"/>
                <w:szCs w:val="24"/>
                <w:lang w:eastAsia="en-AU"/>
              </w:rPr>
              <w:t>Total other economic flows included in net result</w:t>
            </w:r>
          </w:p>
        </w:tc>
        <w:tc>
          <w:tcPr>
            <w:tcW w:w="853" w:type="dxa"/>
            <w:shd w:val="clear" w:color="auto" w:fill="auto"/>
            <w:noWrap/>
            <w:hideMark/>
          </w:tcPr>
          <w:p w14:paraId="29B1FC1B"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066" w:type="dxa"/>
            <w:shd w:val="clear" w:color="auto" w:fill="auto"/>
            <w:noWrap/>
            <w:hideMark/>
          </w:tcPr>
          <w:p w14:paraId="2C215148"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(231)</w:t>
            </w:r>
          </w:p>
        </w:tc>
        <w:tc>
          <w:tcPr>
            <w:tcW w:w="749" w:type="dxa"/>
            <w:shd w:val="clear" w:color="auto" w:fill="auto"/>
            <w:noWrap/>
            <w:hideMark/>
          </w:tcPr>
          <w:p w14:paraId="1537F6D9"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235" w:type="dxa"/>
            <w:shd w:val="clear" w:color="auto" w:fill="auto"/>
            <w:noWrap/>
            <w:hideMark/>
          </w:tcPr>
          <w:p w14:paraId="1F05A572"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 xml:space="preserve">58 </w:t>
            </w:r>
          </w:p>
        </w:tc>
        <w:tc>
          <w:tcPr>
            <w:tcW w:w="726" w:type="dxa"/>
            <w:shd w:val="clear" w:color="auto" w:fill="auto"/>
            <w:noWrap/>
            <w:hideMark/>
          </w:tcPr>
          <w:p w14:paraId="36A8CC40"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907" w:type="dxa"/>
            <w:shd w:val="clear" w:color="auto" w:fill="auto"/>
            <w:noWrap/>
            <w:hideMark/>
          </w:tcPr>
          <w:p w14:paraId="04B071D2"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(228)</w:t>
            </w:r>
          </w:p>
        </w:tc>
        <w:tc>
          <w:tcPr>
            <w:tcW w:w="777" w:type="dxa"/>
            <w:shd w:val="clear" w:color="auto" w:fill="auto"/>
            <w:noWrap/>
            <w:hideMark/>
          </w:tcPr>
          <w:p w14:paraId="000B2C1B"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134" w:type="dxa"/>
            <w:shd w:val="clear" w:color="auto" w:fill="auto"/>
            <w:noWrap/>
            <w:hideMark/>
          </w:tcPr>
          <w:p w14:paraId="47A7BEBB"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(337)</w:t>
            </w:r>
          </w:p>
        </w:tc>
      </w:tr>
      <w:tr w:rsidR="003E5BF5" w:rsidRPr="0029213D" w14:paraId="4EC03B05" w14:textId="77777777" w:rsidTr="004832D5">
        <w:trPr>
          <w:trHeight w:val="340"/>
        </w:trPr>
        <w:tc>
          <w:tcPr>
            <w:tcW w:w="2476" w:type="dxa"/>
            <w:shd w:val="clear" w:color="auto" w:fill="auto"/>
            <w:noWrap/>
            <w:vAlign w:val="center"/>
            <w:hideMark/>
          </w:tcPr>
          <w:p w14:paraId="66E992CC" w14:textId="77777777" w:rsidR="003E5BF5" w:rsidRPr="0029213D" w:rsidRDefault="003E5BF5" w:rsidP="00DE1921">
            <w:pPr>
              <w:rPr>
                <w:rFonts w:ascii="Arial" w:hAnsi="Arial" w:cs="Arial"/>
                <w:b/>
                <w:sz w:val="24"/>
                <w:szCs w:val="24"/>
                <w:lang w:eastAsia="en-AU"/>
              </w:rPr>
            </w:pPr>
            <w:r w:rsidRPr="0029213D">
              <w:rPr>
                <w:rFonts w:ascii="Arial" w:hAnsi="Arial" w:cs="Arial"/>
                <w:b/>
                <w:sz w:val="24"/>
                <w:szCs w:val="24"/>
                <w:lang w:eastAsia="en-AU"/>
              </w:rPr>
              <w:lastRenderedPageBreak/>
              <w:t>Net result</w:t>
            </w:r>
          </w:p>
        </w:tc>
        <w:tc>
          <w:tcPr>
            <w:tcW w:w="853" w:type="dxa"/>
            <w:shd w:val="clear" w:color="auto" w:fill="auto"/>
            <w:noWrap/>
            <w:vAlign w:val="center"/>
            <w:hideMark/>
          </w:tcPr>
          <w:p w14:paraId="29B17DD1"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066" w:type="dxa"/>
            <w:shd w:val="clear" w:color="auto" w:fill="auto"/>
            <w:noWrap/>
            <w:vAlign w:val="center"/>
            <w:hideMark/>
          </w:tcPr>
          <w:p w14:paraId="19348F5F"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 xml:space="preserve">6,669 </w:t>
            </w:r>
          </w:p>
        </w:tc>
        <w:tc>
          <w:tcPr>
            <w:tcW w:w="749" w:type="dxa"/>
            <w:shd w:val="clear" w:color="auto" w:fill="auto"/>
            <w:noWrap/>
            <w:vAlign w:val="center"/>
            <w:hideMark/>
          </w:tcPr>
          <w:p w14:paraId="106CFE31"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235" w:type="dxa"/>
            <w:shd w:val="clear" w:color="auto" w:fill="auto"/>
            <w:noWrap/>
            <w:vAlign w:val="center"/>
            <w:hideMark/>
          </w:tcPr>
          <w:p w14:paraId="406046A3"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(3,551)</w:t>
            </w:r>
          </w:p>
        </w:tc>
        <w:tc>
          <w:tcPr>
            <w:tcW w:w="726" w:type="dxa"/>
            <w:shd w:val="clear" w:color="auto" w:fill="auto"/>
            <w:noWrap/>
            <w:vAlign w:val="center"/>
            <w:hideMark/>
          </w:tcPr>
          <w:p w14:paraId="4882B4D4"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907" w:type="dxa"/>
            <w:shd w:val="clear" w:color="auto" w:fill="auto"/>
            <w:noWrap/>
            <w:vAlign w:val="center"/>
            <w:hideMark/>
          </w:tcPr>
          <w:p w14:paraId="59600C25"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 xml:space="preserve">1,266 </w:t>
            </w:r>
          </w:p>
        </w:tc>
        <w:tc>
          <w:tcPr>
            <w:tcW w:w="777" w:type="dxa"/>
            <w:shd w:val="clear" w:color="auto" w:fill="auto"/>
            <w:noWrap/>
            <w:vAlign w:val="center"/>
            <w:hideMark/>
          </w:tcPr>
          <w:p w14:paraId="54BECD31"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134" w:type="dxa"/>
            <w:shd w:val="clear" w:color="auto" w:fill="auto"/>
            <w:noWrap/>
            <w:vAlign w:val="center"/>
            <w:hideMark/>
          </w:tcPr>
          <w:p w14:paraId="36D2C444"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(17,901)</w:t>
            </w:r>
          </w:p>
        </w:tc>
      </w:tr>
      <w:tr w:rsidR="003E5BF5" w:rsidRPr="0029213D" w14:paraId="788E2BF6" w14:textId="77777777" w:rsidTr="004832D5">
        <w:trPr>
          <w:trHeight w:val="340"/>
        </w:trPr>
        <w:tc>
          <w:tcPr>
            <w:tcW w:w="2476" w:type="dxa"/>
            <w:shd w:val="clear" w:color="auto" w:fill="auto"/>
            <w:noWrap/>
            <w:vAlign w:val="center"/>
            <w:hideMark/>
          </w:tcPr>
          <w:p w14:paraId="3FA5123F" w14:textId="77777777" w:rsidR="003E5BF5" w:rsidRPr="0029213D" w:rsidRDefault="003E5BF5" w:rsidP="00DE1921">
            <w:pPr>
              <w:rPr>
                <w:rFonts w:ascii="Arial" w:hAnsi="Arial" w:cs="Arial"/>
                <w:b/>
                <w:sz w:val="24"/>
                <w:szCs w:val="24"/>
                <w:lang w:eastAsia="en-AU"/>
              </w:rPr>
            </w:pPr>
            <w:r w:rsidRPr="0029213D">
              <w:rPr>
                <w:rFonts w:ascii="Arial" w:hAnsi="Arial" w:cs="Arial"/>
                <w:b/>
                <w:sz w:val="24"/>
                <w:szCs w:val="24"/>
                <w:lang w:eastAsia="en-AU"/>
              </w:rPr>
              <w:t>Comprehensive result</w:t>
            </w:r>
          </w:p>
        </w:tc>
        <w:tc>
          <w:tcPr>
            <w:tcW w:w="853" w:type="dxa"/>
            <w:shd w:val="clear" w:color="auto" w:fill="auto"/>
            <w:noWrap/>
            <w:vAlign w:val="center"/>
            <w:hideMark/>
          </w:tcPr>
          <w:p w14:paraId="3AB9D626"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066" w:type="dxa"/>
            <w:shd w:val="clear" w:color="auto" w:fill="auto"/>
            <w:noWrap/>
            <w:vAlign w:val="center"/>
            <w:hideMark/>
          </w:tcPr>
          <w:p w14:paraId="065952CA"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 xml:space="preserve">6,669 </w:t>
            </w:r>
          </w:p>
        </w:tc>
        <w:tc>
          <w:tcPr>
            <w:tcW w:w="749" w:type="dxa"/>
            <w:shd w:val="clear" w:color="auto" w:fill="auto"/>
            <w:noWrap/>
            <w:vAlign w:val="center"/>
            <w:hideMark/>
          </w:tcPr>
          <w:p w14:paraId="2BC9C0D6"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235" w:type="dxa"/>
            <w:shd w:val="clear" w:color="auto" w:fill="auto"/>
            <w:noWrap/>
            <w:vAlign w:val="center"/>
            <w:hideMark/>
          </w:tcPr>
          <w:p w14:paraId="75F7A715"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(3,551)</w:t>
            </w:r>
          </w:p>
        </w:tc>
        <w:tc>
          <w:tcPr>
            <w:tcW w:w="726" w:type="dxa"/>
            <w:shd w:val="clear" w:color="auto" w:fill="auto"/>
            <w:noWrap/>
            <w:vAlign w:val="center"/>
            <w:hideMark/>
          </w:tcPr>
          <w:p w14:paraId="38D1CC90"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907" w:type="dxa"/>
            <w:shd w:val="clear" w:color="auto" w:fill="auto"/>
            <w:noWrap/>
            <w:vAlign w:val="center"/>
            <w:hideMark/>
          </w:tcPr>
          <w:p w14:paraId="63A17492"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 xml:space="preserve">1,266 </w:t>
            </w:r>
          </w:p>
        </w:tc>
        <w:tc>
          <w:tcPr>
            <w:tcW w:w="777" w:type="dxa"/>
            <w:shd w:val="clear" w:color="auto" w:fill="auto"/>
            <w:noWrap/>
            <w:vAlign w:val="center"/>
            <w:hideMark/>
          </w:tcPr>
          <w:p w14:paraId="4401F116"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w:t>
            </w:r>
          </w:p>
        </w:tc>
        <w:tc>
          <w:tcPr>
            <w:tcW w:w="1134" w:type="dxa"/>
            <w:shd w:val="clear" w:color="auto" w:fill="auto"/>
            <w:noWrap/>
            <w:vAlign w:val="center"/>
            <w:hideMark/>
          </w:tcPr>
          <w:p w14:paraId="198AAFFD" w14:textId="77777777" w:rsidR="003E5BF5" w:rsidRPr="0029213D" w:rsidRDefault="003E5BF5" w:rsidP="00DE1921">
            <w:pPr>
              <w:jc w:val="right"/>
              <w:rPr>
                <w:rFonts w:ascii="Arial" w:hAnsi="Arial" w:cs="Arial"/>
                <w:b/>
                <w:sz w:val="24"/>
                <w:szCs w:val="24"/>
                <w:lang w:eastAsia="en-AU"/>
              </w:rPr>
            </w:pPr>
            <w:r w:rsidRPr="0029213D">
              <w:rPr>
                <w:rFonts w:ascii="Arial" w:hAnsi="Arial" w:cs="Arial"/>
                <w:b/>
                <w:sz w:val="24"/>
                <w:szCs w:val="24"/>
              </w:rPr>
              <w:t>(17,901)</w:t>
            </w:r>
          </w:p>
        </w:tc>
      </w:tr>
    </w:tbl>
    <w:p w14:paraId="01397F45" w14:textId="77777777" w:rsidR="003E5BF5" w:rsidRDefault="003E5BF5" w:rsidP="00DE1921">
      <w:pPr>
        <w:rPr>
          <w:lang w:eastAsia="en-AU"/>
        </w:rPr>
      </w:pPr>
    </w:p>
    <w:p w14:paraId="15D43A22" w14:textId="77777777" w:rsidR="003E5BF5" w:rsidRDefault="003E5BF5" w:rsidP="00DE1921"/>
    <w:p w14:paraId="09C6E972" w14:textId="77777777" w:rsidR="003E5BF5" w:rsidRPr="004352D6" w:rsidRDefault="003E5BF5" w:rsidP="00DE1921">
      <w:pPr>
        <w:sectPr w:rsidR="003E5BF5" w:rsidRPr="004352D6" w:rsidSect="00DE1921">
          <w:pgSz w:w="11906" w:h="16838" w:code="9"/>
          <w:pgMar w:top="1701" w:right="1418" w:bottom="1418" w:left="1418" w:header="709" w:footer="709" w:gutter="0"/>
          <w:cols w:space="708"/>
          <w:docGrid w:linePitch="360"/>
        </w:sectPr>
      </w:pPr>
    </w:p>
    <w:p w14:paraId="2EF67725" w14:textId="77777777" w:rsidR="003E5BF5" w:rsidRPr="004352D6" w:rsidRDefault="003E5BF5" w:rsidP="006667CC">
      <w:pPr>
        <w:pStyle w:val="Heading3"/>
        <w:numPr>
          <w:ilvl w:val="2"/>
          <w:numId w:val="3"/>
        </w:numPr>
        <w:ind w:left="851" w:hanging="851"/>
      </w:pPr>
      <w:bookmarkStart w:id="218" w:name="_Toc522178152"/>
      <w:bookmarkStart w:id="219" w:name="_Toc529184424"/>
      <w:bookmarkStart w:id="220" w:name="_Toc529197896"/>
      <w:bookmarkStart w:id="221" w:name="_Toc9344206"/>
      <w:r w:rsidRPr="004352D6">
        <w:lastRenderedPageBreak/>
        <w:t>Departmental outputs: Controlled assets and liabilities as at 30 June</w:t>
      </w:r>
      <w:bookmarkEnd w:id="218"/>
      <w:bookmarkEnd w:id="219"/>
      <w:bookmarkEnd w:id="220"/>
      <w:bookmarkEnd w:id="221"/>
      <w:r w:rsidRPr="004352D6">
        <w:t xml:space="preserve"> 2020</w:t>
      </w:r>
    </w:p>
    <w:tbl>
      <w:tblPr>
        <w:tblStyle w:val="TableGrid"/>
        <w:tblW w:w="15593" w:type="dxa"/>
        <w:jc w:val="center"/>
        <w:tblLayout w:type="fixed"/>
        <w:tblCellMar>
          <w:left w:w="6" w:type="dxa"/>
          <w:right w:w="0" w:type="dxa"/>
        </w:tblCellMar>
        <w:tblLook w:val="04A0" w:firstRow="1" w:lastRow="0" w:firstColumn="1" w:lastColumn="0" w:noHBand="0" w:noVBand="1"/>
      </w:tblPr>
      <w:tblGrid>
        <w:gridCol w:w="1781"/>
        <w:gridCol w:w="1136"/>
        <w:gridCol w:w="1136"/>
        <w:gridCol w:w="1137"/>
        <w:gridCol w:w="1137"/>
        <w:gridCol w:w="1138"/>
        <w:gridCol w:w="1137"/>
        <w:gridCol w:w="1137"/>
        <w:gridCol w:w="1137"/>
        <w:gridCol w:w="1301"/>
        <w:gridCol w:w="974"/>
        <w:gridCol w:w="1290"/>
        <w:gridCol w:w="1152"/>
      </w:tblGrid>
      <w:tr w:rsidR="003E5BF5" w:rsidRPr="00A52920" w14:paraId="61143221" w14:textId="77777777" w:rsidTr="00610F5F">
        <w:trPr>
          <w:trHeight w:val="283"/>
          <w:jc w:val="center"/>
        </w:trPr>
        <w:tc>
          <w:tcPr>
            <w:tcW w:w="1781" w:type="dxa"/>
            <w:shd w:val="clear" w:color="auto" w:fill="auto"/>
            <w:noWrap/>
            <w:hideMark/>
          </w:tcPr>
          <w:p w14:paraId="40459587" w14:textId="77777777" w:rsidR="003E5BF5" w:rsidRPr="00A52920" w:rsidRDefault="003E5BF5" w:rsidP="00DE1921">
            <w:pPr>
              <w:spacing w:line="259" w:lineRule="auto"/>
              <w:rPr>
                <w:rFonts w:ascii="Arial" w:hAnsi="Arial" w:cs="Arial"/>
              </w:rPr>
            </w:pPr>
            <w:bookmarkStart w:id="222" w:name="RANGE!A3:K13"/>
            <w:bookmarkStart w:id="223" w:name="RANGE!L3:V14"/>
            <w:bookmarkStart w:id="224" w:name="RANGE!AM3:AW13"/>
            <w:bookmarkStart w:id="225" w:name="RANGE!AS3:BA13"/>
            <w:bookmarkStart w:id="226" w:name="RANGE!A3:M13"/>
            <w:bookmarkEnd w:id="222"/>
            <w:bookmarkEnd w:id="223"/>
            <w:bookmarkEnd w:id="224"/>
            <w:bookmarkEnd w:id="225"/>
            <w:bookmarkEnd w:id="226"/>
          </w:p>
        </w:tc>
        <w:tc>
          <w:tcPr>
            <w:tcW w:w="13812" w:type="dxa"/>
            <w:gridSpan w:val="12"/>
            <w:shd w:val="clear" w:color="auto" w:fill="auto"/>
            <w:vAlign w:val="center"/>
            <w:hideMark/>
          </w:tcPr>
          <w:p w14:paraId="48863E63" w14:textId="77777777" w:rsidR="003E5BF5" w:rsidRPr="00A52920" w:rsidRDefault="003E5BF5" w:rsidP="00DE1921">
            <w:pPr>
              <w:spacing w:line="259" w:lineRule="auto"/>
              <w:jc w:val="center"/>
              <w:rPr>
                <w:rFonts w:ascii="Arial" w:hAnsi="Arial" w:cs="Arial"/>
                <w:b/>
              </w:rPr>
            </w:pPr>
            <w:r w:rsidRPr="00A52920">
              <w:rPr>
                <w:rFonts w:ascii="Arial" w:hAnsi="Arial" w:cs="Arial"/>
                <w:b/>
              </w:rPr>
              <w:t>($ thousand)</w:t>
            </w:r>
          </w:p>
        </w:tc>
      </w:tr>
      <w:tr w:rsidR="003E5BF5" w:rsidRPr="00A52920" w14:paraId="05FC6EE4" w14:textId="77777777" w:rsidTr="00610F5F">
        <w:trPr>
          <w:trHeight w:val="283"/>
          <w:jc w:val="center"/>
        </w:trPr>
        <w:tc>
          <w:tcPr>
            <w:tcW w:w="1781" w:type="dxa"/>
            <w:shd w:val="clear" w:color="auto" w:fill="auto"/>
            <w:noWrap/>
            <w:hideMark/>
          </w:tcPr>
          <w:p w14:paraId="5ED417D8" w14:textId="77777777" w:rsidR="003E5BF5" w:rsidRPr="00A52920" w:rsidRDefault="003E5BF5" w:rsidP="00DE1921">
            <w:pPr>
              <w:spacing w:line="259" w:lineRule="auto"/>
              <w:rPr>
                <w:rFonts w:ascii="Arial" w:hAnsi="Arial" w:cs="Arial"/>
              </w:rPr>
            </w:pPr>
          </w:p>
        </w:tc>
        <w:tc>
          <w:tcPr>
            <w:tcW w:w="2272" w:type="dxa"/>
            <w:gridSpan w:val="2"/>
            <w:shd w:val="clear" w:color="auto" w:fill="auto"/>
            <w:vAlign w:val="bottom"/>
            <w:hideMark/>
          </w:tcPr>
          <w:p w14:paraId="09A39CFA" w14:textId="77777777" w:rsidR="003E5BF5" w:rsidRPr="00A52920" w:rsidRDefault="003E5BF5" w:rsidP="00DE1921">
            <w:pPr>
              <w:spacing w:line="259" w:lineRule="auto"/>
              <w:jc w:val="center"/>
              <w:rPr>
                <w:rFonts w:ascii="Arial" w:hAnsi="Arial" w:cs="Arial"/>
                <w:b/>
              </w:rPr>
            </w:pPr>
            <w:r w:rsidRPr="00A52920">
              <w:rPr>
                <w:rFonts w:ascii="Arial" w:hAnsi="Arial" w:cs="Arial"/>
                <w:b/>
              </w:rPr>
              <w:t>Bus Services</w:t>
            </w:r>
          </w:p>
        </w:tc>
        <w:tc>
          <w:tcPr>
            <w:tcW w:w="2274" w:type="dxa"/>
            <w:gridSpan w:val="2"/>
            <w:shd w:val="clear" w:color="auto" w:fill="auto"/>
            <w:vAlign w:val="bottom"/>
            <w:hideMark/>
          </w:tcPr>
          <w:p w14:paraId="64C9DEB0" w14:textId="77777777" w:rsidR="003E5BF5" w:rsidRPr="00A52920" w:rsidRDefault="003E5BF5" w:rsidP="00DE1921">
            <w:pPr>
              <w:spacing w:line="259" w:lineRule="auto"/>
              <w:jc w:val="center"/>
              <w:rPr>
                <w:rFonts w:ascii="Arial" w:hAnsi="Arial" w:cs="Arial"/>
                <w:b/>
              </w:rPr>
            </w:pPr>
            <w:r w:rsidRPr="00A52920">
              <w:rPr>
                <w:rFonts w:ascii="Arial" w:hAnsi="Arial" w:cs="Arial"/>
                <w:b/>
              </w:rPr>
              <w:t>Transport Infrastructure</w:t>
            </w:r>
          </w:p>
        </w:tc>
        <w:tc>
          <w:tcPr>
            <w:tcW w:w="2275" w:type="dxa"/>
            <w:gridSpan w:val="2"/>
            <w:shd w:val="clear" w:color="auto" w:fill="auto"/>
            <w:vAlign w:val="bottom"/>
            <w:hideMark/>
          </w:tcPr>
          <w:p w14:paraId="2F70E4CC" w14:textId="77777777" w:rsidR="003E5BF5" w:rsidRPr="00A52920" w:rsidRDefault="003E5BF5" w:rsidP="00DE1921">
            <w:pPr>
              <w:spacing w:line="259" w:lineRule="auto"/>
              <w:jc w:val="center"/>
              <w:rPr>
                <w:rFonts w:ascii="Arial" w:hAnsi="Arial" w:cs="Arial"/>
                <w:b/>
              </w:rPr>
            </w:pPr>
            <w:r w:rsidRPr="00A52920">
              <w:rPr>
                <w:rFonts w:ascii="Arial" w:hAnsi="Arial" w:cs="Arial"/>
                <w:b/>
              </w:rPr>
              <w:t>Ports, Freight and Boating</w:t>
            </w:r>
          </w:p>
        </w:tc>
        <w:tc>
          <w:tcPr>
            <w:tcW w:w="2274" w:type="dxa"/>
            <w:gridSpan w:val="2"/>
            <w:shd w:val="clear" w:color="auto" w:fill="auto"/>
            <w:vAlign w:val="bottom"/>
            <w:hideMark/>
          </w:tcPr>
          <w:p w14:paraId="19063E4D" w14:textId="77777777" w:rsidR="003E5BF5" w:rsidRPr="00A52920" w:rsidRDefault="003E5BF5" w:rsidP="00DE1921">
            <w:pPr>
              <w:spacing w:line="259" w:lineRule="auto"/>
              <w:jc w:val="center"/>
              <w:rPr>
                <w:rFonts w:ascii="Arial" w:hAnsi="Arial" w:cs="Arial"/>
                <w:b/>
              </w:rPr>
            </w:pPr>
            <w:r w:rsidRPr="00A52920">
              <w:rPr>
                <w:rFonts w:ascii="Arial" w:hAnsi="Arial" w:cs="Arial"/>
                <w:b/>
              </w:rPr>
              <w:t>Regulation of Commercial Passenger Vehicle Services</w:t>
            </w:r>
          </w:p>
        </w:tc>
        <w:tc>
          <w:tcPr>
            <w:tcW w:w="2275" w:type="dxa"/>
            <w:gridSpan w:val="2"/>
            <w:shd w:val="clear" w:color="auto" w:fill="auto"/>
            <w:vAlign w:val="bottom"/>
            <w:hideMark/>
          </w:tcPr>
          <w:p w14:paraId="1F90E1CC" w14:textId="77777777" w:rsidR="003E5BF5" w:rsidRPr="00A52920" w:rsidRDefault="003E5BF5" w:rsidP="00DE1921">
            <w:pPr>
              <w:spacing w:line="259" w:lineRule="auto"/>
              <w:jc w:val="center"/>
              <w:rPr>
                <w:rFonts w:ascii="Arial" w:hAnsi="Arial" w:cs="Arial"/>
                <w:b/>
              </w:rPr>
            </w:pPr>
            <w:r w:rsidRPr="00A52920">
              <w:rPr>
                <w:rFonts w:ascii="Arial" w:hAnsi="Arial" w:cs="Arial"/>
                <w:b/>
              </w:rPr>
              <w:t>Road Asset Management</w:t>
            </w:r>
          </w:p>
        </w:tc>
        <w:tc>
          <w:tcPr>
            <w:tcW w:w="2442" w:type="dxa"/>
            <w:gridSpan w:val="2"/>
            <w:shd w:val="clear" w:color="auto" w:fill="auto"/>
            <w:vAlign w:val="bottom"/>
            <w:hideMark/>
          </w:tcPr>
          <w:p w14:paraId="14331013" w14:textId="77777777" w:rsidR="003E5BF5" w:rsidRPr="00A52920" w:rsidRDefault="003E5BF5" w:rsidP="00DE1921">
            <w:pPr>
              <w:spacing w:line="259" w:lineRule="auto"/>
              <w:jc w:val="center"/>
              <w:rPr>
                <w:rFonts w:ascii="Arial" w:hAnsi="Arial" w:cs="Arial"/>
                <w:b/>
              </w:rPr>
            </w:pPr>
            <w:r w:rsidRPr="00A52920">
              <w:rPr>
                <w:rFonts w:ascii="Arial" w:hAnsi="Arial" w:cs="Arial"/>
                <w:b/>
              </w:rPr>
              <w:t>Road Operations</w:t>
            </w:r>
          </w:p>
        </w:tc>
      </w:tr>
      <w:tr w:rsidR="003E5BF5" w:rsidRPr="00A52920" w14:paraId="7BBD5D10" w14:textId="77777777" w:rsidTr="00610F5F">
        <w:trPr>
          <w:trHeight w:val="283"/>
          <w:jc w:val="center"/>
        </w:trPr>
        <w:tc>
          <w:tcPr>
            <w:tcW w:w="1781" w:type="dxa"/>
            <w:shd w:val="clear" w:color="auto" w:fill="auto"/>
            <w:hideMark/>
          </w:tcPr>
          <w:p w14:paraId="4036C6F8" w14:textId="77777777" w:rsidR="003E5BF5" w:rsidRPr="00A52920" w:rsidRDefault="003E5BF5" w:rsidP="00DE1921">
            <w:pPr>
              <w:spacing w:line="259" w:lineRule="auto"/>
              <w:rPr>
                <w:rFonts w:ascii="Arial" w:hAnsi="Arial" w:cs="Arial"/>
                <w:b/>
              </w:rPr>
            </w:pPr>
          </w:p>
        </w:tc>
        <w:tc>
          <w:tcPr>
            <w:tcW w:w="1136" w:type="dxa"/>
            <w:shd w:val="clear" w:color="auto" w:fill="auto"/>
            <w:vAlign w:val="center"/>
            <w:hideMark/>
          </w:tcPr>
          <w:p w14:paraId="107BDD08" w14:textId="77777777" w:rsidR="003E5BF5" w:rsidRPr="00A52920" w:rsidRDefault="003E5BF5" w:rsidP="00DE1921">
            <w:pPr>
              <w:spacing w:line="259" w:lineRule="auto"/>
              <w:jc w:val="right"/>
              <w:rPr>
                <w:rFonts w:ascii="Arial" w:hAnsi="Arial" w:cs="Arial"/>
                <w:b/>
              </w:rPr>
            </w:pPr>
            <w:r w:rsidRPr="00A52920">
              <w:rPr>
                <w:rFonts w:ascii="Arial" w:hAnsi="Arial" w:cs="Arial"/>
                <w:b/>
              </w:rPr>
              <w:t>2020</w:t>
            </w:r>
          </w:p>
        </w:tc>
        <w:tc>
          <w:tcPr>
            <w:tcW w:w="1136" w:type="dxa"/>
            <w:shd w:val="clear" w:color="auto" w:fill="auto"/>
            <w:vAlign w:val="center"/>
            <w:hideMark/>
          </w:tcPr>
          <w:p w14:paraId="7ADB3393" w14:textId="77777777" w:rsidR="003E5BF5" w:rsidRPr="00A52920" w:rsidRDefault="003E5BF5" w:rsidP="00DE1921">
            <w:pPr>
              <w:spacing w:line="259" w:lineRule="auto"/>
              <w:jc w:val="right"/>
              <w:rPr>
                <w:rFonts w:ascii="Arial" w:hAnsi="Arial" w:cs="Arial"/>
                <w:b/>
              </w:rPr>
            </w:pPr>
            <w:r w:rsidRPr="00A52920">
              <w:rPr>
                <w:rFonts w:ascii="Arial" w:hAnsi="Arial" w:cs="Arial"/>
                <w:b/>
              </w:rPr>
              <w:t>2019</w:t>
            </w:r>
          </w:p>
        </w:tc>
        <w:tc>
          <w:tcPr>
            <w:tcW w:w="1137" w:type="dxa"/>
            <w:shd w:val="clear" w:color="auto" w:fill="auto"/>
            <w:vAlign w:val="center"/>
            <w:hideMark/>
          </w:tcPr>
          <w:p w14:paraId="46568D08" w14:textId="77777777" w:rsidR="003E5BF5" w:rsidRPr="00A52920" w:rsidRDefault="003E5BF5" w:rsidP="00DE1921">
            <w:pPr>
              <w:spacing w:line="259" w:lineRule="auto"/>
              <w:jc w:val="right"/>
              <w:rPr>
                <w:rFonts w:ascii="Arial" w:hAnsi="Arial" w:cs="Arial"/>
                <w:b/>
              </w:rPr>
            </w:pPr>
            <w:r w:rsidRPr="00A52920">
              <w:rPr>
                <w:rFonts w:ascii="Arial" w:hAnsi="Arial" w:cs="Arial"/>
                <w:b/>
              </w:rPr>
              <w:t>2020</w:t>
            </w:r>
          </w:p>
        </w:tc>
        <w:tc>
          <w:tcPr>
            <w:tcW w:w="1137" w:type="dxa"/>
            <w:shd w:val="clear" w:color="auto" w:fill="auto"/>
            <w:vAlign w:val="center"/>
            <w:hideMark/>
          </w:tcPr>
          <w:p w14:paraId="016D44DA" w14:textId="77777777" w:rsidR="003E5BF5" w:rsidRPr="00A52920" w:rsidRDefault="003E5BF5" w:rsidP="00DE1921">
            <w:pPr>
              <w:spacing w:line="259" w:lineRule="auto"/>
              <w:jc w:val="right"/>
              <w:rPr>
                <w:rFonts w:ascii="Arial" w:hAnsi="Arial" w:cs="Arial"/>
                <w:b/>
              </w:rPr>
            </w:pPr>
            <w:r w:rsidRPr="00A52920">
              <w:rPr>
                <w:rFonts w:ascii="Arial" w:hAnsi="Arial" w:cs="Arial"/>
                <w:b/>
              </w:rPr>
              <w:t>2019</w:t>
            </w:r>
          </w:p>
        </w:tc>
        <w:tc>
          <w:tcPr>
            <w:tcW w:w="1138" w:type="dxa"/>
            <w:shd w:val="clear" w:color="auto" w:fill="auto"/>
            <w:vAlign w:val="center"/>
            <w:hideMark/>
          </w:tcPr>
          <w:p w14:paraId="57F7039C" w14:textId="77777777" w:rsidR="003E5BF5" w:rsidRPr="00A52920" w:rsidRDefault="003E5BF5" w:rsidP="00DE1921">
            <w:pPr>
              <w:spacing w:line="259" w:lineRule="auto"/>
              <w:jc w:val="right"/>
              <w:rPr>
                <w:rFonts w:ascii="Arial" w:hAnsi="Arial" w:cs="Arial"/>
                <w:b/>
              </w:rPr>
            </w:pPr>
            <w:r w:rsidRPr="00A52920">
              <w:rPr>
                <w:rFonts w:ascii="Arial" w:hAnsi="Arial" w:cs="Arial"/>
                <w:b/>
              </w:rPr>
              <w:t>2020</w:t>
            </w:r>
          </w:p>
        </w:tc>
        <w:tc>
          <w:tcPr>
            <w:tcW w:w="1137" w:type="dxa"/>
            <w:shd w:val="clear" w:color="auto" w:fill="auto"/>
            <w:vAlign w:val="center"/>
            <w:hideMark/>
          </w:tcPr>
          <w:p w14:paraId="3A525C27" w14:textId="77777777" w:rsidR="003E5BF5" w:rsidRPr="00A52920" w:rsidRDefault="003E5BF5" w:rsidP="00DE1921">
            <w:pPr>
              <w:spacing w:line="259" w:lineRule="auto"/>
              <w:jc w:val="right"/>
              <w:rPr>
                <w:rFonts w:ascii="Arial" w:hAnsi="Arial" w:cs="Arial"/>
                <w:b/>
              </w:rPr>
            </w:pPr>
            <w:r w:rsidRPr="00A52920">
              <w:rPr>
                <w:rFonts w:ascii="Arial" w:hAnsi="Arial" w:cs="Arial"/>
                <w:b/>
              </w:rPr>
              <w:t>2019</w:t>
            </w:r>
          </w:p>
        </w:tc>
        <w:tc>
          <w:tcPr>
            <w:tcW w:w="1137" w:type="dxa"/>
            <w:shd w:val="clear" w:color="auto" w:fill="auto"/>
            <w:vAlign w:val="center"/>
            <w:hideMark/>
          </w:tcPr>
          <w:p w14:paraId="04A6195E" w14:textId="77777777" w:rsidR="003E5BF5" w:rsidRPr="00A52920" w:rsidRDefault="003E5BF5" w:rsidP="00DE1921">
            <w:pPr>
              <w:spacing w:line="259" w:lineRule="auto"/>
              <w:jc w:val="right"/>
              <w:rPr>
                <w:rFonts w:ascii="Arial" w:hAnsi="Arial" w:cs="Arial"/>
                <w:b/>
              </w:rPr>
            </w:pPr>
            <w:r w:rsidRPr="00A52920">
              <w:rPr>
                <w:rFonts w:ascii="Arial" w:hAnsi="Arial" w:cs="Arial"/>
                <w:b/>
              </w:rPr>
              <w:t>2020</w:t>
            </w:r>
          </w:p>
        </w:tc>
        <w:tc>
          <w:tcPr>
            <w:tcW w:w="1137" w:type="dxa"/>
            <w:shd w:val="clear" w:color="auto" w:fill="auto"/>
            <w:vAlign w:val="center"/>
            <w:hideMark/>
          </w:tcPr>
          <w:p w14:paraId="7327CC6A" w14:textId="77777777" w:rsidR="003E5BF5" w:rsidRPr="00A52920" w:rsidRDefault="003E5BF5" w:rsidP="00DE1921">
            <w:pPr>
              <w:spacing w:line="259" w:lineRule="auto"/>
              <w:jc w:val="right"/>
              <w:rPr>
                <w:rFonts w:ascii="Arial" w:hAnsi="Arial" w:cs="Arial"/>
                <w:b/>
              </w:rPr>
            </w:pPr>
            <w:r w:rsidRPr="00A52920">
              <w:rPr>
                <w:rFonts w:ascii="Arial" w:hAnsi="Arial" w:cs="Arial"/>
                <w:b/>
              </w:rPr>
              <w:t>2019</w:t>
            </w:r>
          </w:p>
        </w:tc>
        <w:tc>
          <w:tcPr>
            <w:tcW w:w="1301" w:type="dxa"/>
            <w:shd w:val="clear" w:color="auto" w:fill="auto"/>
            <w:vAlign w:val="center"/>
            <w:hideMark/>
          </w:tcPr>
          <w:p w14:paraId="58D9F139" w14:textId="77777777" w:rsidR="003E5BF5" w:rsidRPr="00A52920" w:rsidRDefault="003E5BF5" w:rsidP="00DE1921">
            <w:pPr>
              <w:spacing w:line="259" w:lineRule="auto"/>
              <w:jc w:val="right"/>
              <w:rPr>
                <w:rFonts w:ascii="Arial" w:hAnsi="Arial" w:cs="Arial"/>
                <w:b/>
              </w:rPr>
            </w:pPr>
            <w:r w:rsidRPr="00A52920">
              <w:rPr>
                <w:rFonts w:ascii="Arial" w:hAnsi="Arial" w:cs="Arial"/>
                <w:b/>
              </w:rPr>
              <w:t>2020</w:t>
            </w:r>
          </w:p>
        </w:tc>
        <w:tc>
          <w:tcPr>
            <w:tcW w:w="974" w:type="dxa"/>
            <w:shd w:val="clear" w:color="auto" w:fill="auto"/>
            <w:vAlign w:val="center"/>
            <w:hideMark/>
          </w:tcPr>
          <w:p w14:paraId="3C07F525" w14:textId="77777777" w:rsidR="003E5BF5" w:rsidRPr="00A52920" w:rsidRDefault="003E5BF5" w:rsidP="00DE1921">
            <w:pPr>
              <w:spacing w:line="259" w:lineRule="auto"/>
              <w:jc w:val="right"/>
              <w:rPr>
                <w:rFonts w:ascii="Arial" w:hAnsi="Arial" w:cs="Arial"/>
                <w:b/>
              </w:rPr>
            </w:pPr>
            <w:r w:rsidRPr="00A52920">
              <w:rPr>
                <w:rFonts w:ascii="Arial" w:hAnsi="Arial" w:cs="Arial"/>
                <w:b/>
              </w:rPr>
              <w:t>2019</w:t>
            </w:r>
          </w:p>
        </w:tc>
        <w:tc>
          <w:tcPr>
            <w:tcW w:w="1290" w:type="dxa"/>
            <w:shd w:val="clear" w:color="auto" w:fill="auto"/>
            <w:vAlign w:val="center"/>
            <w:hideMark/>
          </w:tcPr>
          <w:p w14:paraId="18545354" w14:textId="77777777" w:rsidR="003E5BF5" w:rsidRPr="00A52920" w:rsidRDefault="003E5BF5" w:rsidP="00DE1921">
            <w:pPr>
              <w:spacing w:line="259" w:lineRule="auto"/>
              <w:jc w:val="right"/>
              <w:rPr>
                <w:rFonts w:ascii="Arial" w:hAnsi="Arial" w:cs="Arial"/>
                <w:b/>
              </w:rPr>
            </w:pPr>
            <w:r w:rsidRPr="00A52920">
              <w:rPr>
                <w:rFonts w:ascii="Arial" w:hAnsi="Arial" w:cs="Arial"/>
                <w:b/>
              </w:rPr>
              <w:t>2020</w:t>
            </w:r>
          </w:p>
        </w:tc>
        <w:tc>
          <w:tcPr>
            <w:tcW w:w="1152" w:type="dxa"/>
            <w:shd w:val="clear" w:color="auto" w:fill="auto"/>
            <w:vAlign w:val="center"/>
            <w:hideMark/>
          </w:tcPr>
          <w:p w14:paraId="760D6A8B" w14:textId="77777777" w:rsidR="003E5BF5" w:rsidRPr="00A52920" w:rsidRDefault="003E5BF5" w:rsidP="00DE1921">
            <w:pPr>
              <w:spacing w:line="259" w:lineRule="auto"/>
              <w:jc w:val="right"/>
              <w:rPr>
                <w:rFonts w:ascii="Arial" w:hAnsi="Arial" w:cs="Arial"/>
                <w:b/>
              </w:rPr>
            </w:pPr>
            <w:r w:rsidRPr="00A52920">
              <w:rPr>
                <w:rFonts w:ascii="Arial" w:hAnsi="Arial" w:cs="Arial"/>
                <w:b/>
              </w:rPr>
              <w:t>2019</w:t>
            </w:r>
          </w:p>
        </w:tc>
      </w:tr>
      <w:tr w:rsidR="003E5BF5" w:rsidRPr="00A52920" w14:paraId="5D171BAA" w14:textId="77777777" w:rsidTr="00610F5F">
        <w:trPr>
          <w:trHeight w:val="283"/>
          <w:jc w:val="center"/>
        </w:trPr>
        <w:tc>
          <w:tcPr>
            <w:tcW w:w="1781" w:type="dxa"/>
            <w:shd w:val="clear" w:color="auto" w:fill="auto"/>
            <w:noWrap/>
            <w:vAlign w:val="center"/>
            <w:hideMark/>
          </w:tcPr>
          <w:p w14:paraId="2AA837B5" w14:textId="77777777" w:rsidR="003E5BF5" w:rsidRPr="00A52920" w:rsidRDefault="003E5BF5" w:rsidP="00604703">
            <w:pPr>
              <w:pStyle w:val="TableTextGreen"/>
              <w:rPr>
                <w:sz w:val="22"/>
                <w:szCs w:val="22"/>
              </w:rPr>
            </w:pPr>
            <w:r w:rsidRPr="00A52920">
              <w:rPr>
                <w:sz w:val="22"/>
                <w:szCs w:val="22"/>
              </w:rPr>
              <w:t>Assets</w:t>
            </w:r>
          </w:p>
        </w:tc>
        <w:tc>
          <w:tcPr>
            <w:tcW w:w="1136" w:type="dxa"/>
            <w:shd w:val="clear" w:color="auto" w:fill="auto"/>
            <w:noWrap/>
            <w:vAlign w:val="center"/>
            <w:hideMark/>
          </w:tcPr>
          <w:p w14:paraId="126DEF34" w14:textId="77777777" w:rsidR="003E5BF5" w:rsidRPr="00A52920" w:rsidRDefault="003E5BF5" w:rsidP="00DE1921">
            <w:pPr>
              <w:spacing w:line="259" w:lineRule="auto"/>
              <w:jc w:val="right"/>
              <w:rPr>
                <w:rFonts w:ascii="Arial" w:hAnsi="Arial" w:cs="Arial"/>
              </w:rPr>
            </w:pPr>
            <w:r w:rsidRPr="00A52920">
              <w:rPr>
                <w:rFonts w:ascii="Arial" w:hAnsi="Arial" w:cs="Arial"/>
              </w:rPr>
              <w:t> </w:t>
            </w:r>
          </w:p>
        </w:tc>
        <w:tc>
          <w:tcPr>
            <w:tcW w:w="1136" w:type="dxa"/>
            <w:shd w:val="clear" w:color="auto" w:fill="auto"/>
            <w:noWrap/>
            <w:vAlign w:val="center"/>
            <w:hideMark/>
          </w:tcPr>
          <w:p w14:paraId="1E7E4634" w14:textId="77777777" w:rsidR="003E5BF5" w:rsidRPr="00A52920" w:rsidRDefault="003E5BF5" w:rsidP="00DE1921">
            <w:pPr>
              <w:spacing w:line="259" w:lineRule="auto"/>
              <w:jc w:val="right"/>
              <w:rPr>
                <w:rFonts w:ascii="Arial" w:hAnsi="Arial" w:cs="Arial"/>
              </w:rPr>
            </w:pPr>
            <w:r w:rsidRPr="00A52920">
              <w:rPr>
                <w:rFonts w:ascii="Arial" w:hAnsi="Arial" w:cs="Arial"/>
              </w:rPr>
              <w:t> </w:t>
            </w:r>
          </w:p>
        </w:tc>
        <w:tc>
          <w:tcPr>
            <w:tcW w:w="1137" w:type="dxa"/>
            <w:shd w:val="clear" w:color="auto" w:fill="auto"/>
            <w:noWrap/>
            <w:vAlign w:val="center"/>
            <w:hideMark/>
          </w:tcPr>
          <w:p w14:paraId="6D580816" w14:textId="77777777" w:rsidR="003E5BF5" w:rsidRPr="00A52920" w:rsidRDefault="003E5BF5" w:rsidP="00DE1921">
            <w:pPr>
              <w:spacing w:line="259" w:lineRule="auto"/>
              <w:jc w:val="right"/>
              <w:rPr>
                <w:rFonts w:ascii="Arial" w:hAnsi="Arial" w:cs="Arial"/>
              </w:rPr>
            </w:pPr>
            <w:r w:rsidRPr="00A52920">
              <w:rPr>
                <w:rFonts w:ascii="Arial" w:hAnsi="Arial" w:cs="Arial"/>
              </w:rPr>
              <w:t> </w:t>
            </w:r>
          </w:p>
        </w:tc>
        <w:tc>
          <w:tcPr>
            <w:tcW w:w="1137" w:type="dxa"/>
            <w:shd w:val="clear" w:color="auto" w:fill="auto"/>
            <w:noWrap/>
            <w:vAlign w:val="center"/>
            <w:hideMark/>
          </w:tcPr>
          <w:p w14:paraId="653B33F8" w14:textId="77777777" w:rsidR="003E5BF5" w:rsidRPr="00A52920" w:rsidRDefault="003E5BF5" w:rsidP="00DE1921">
            <w:pPr>
              <w:spacing w:line="259" w:lineRule="auto"/>
              <w:jc w:val="right"/>
              <w:rPr>
                <w:rFonts w:ascii="Arial" w:hAnsi="Arial" w:cs="Arial"/>
              </w:rPr>
            </w:pPr>
            <w:r w:rsidRPr="00A52920">
              <w:rPr>
                <w:rFonts w:ascii="Arial" w:hAnsi="Arial" w:cs="Arial"/>
              </w:rPr>
              <w:t> </w:t>
            </w:r>
          </w:p>
        </w:tc>
        <w:tc>
          <w:tcPr>
            <w:tcW w:w="1138" w:type="dxa"/>
            <w:shd w:val="clear" w:color="auto" w:fill="auto"/>
            <w:noWrap/>
            <w:vAlign w:val="center"/>
            <w:hideMark/>
          </w:tcPr>
          <w:p w14:paraId="2B45943A" w14:textId="77777777" w:rsidR="003E5BF5" w:rsidRPr="00A52920" w:rsidRDefault="003E5BF5" w:rsidP="00DE1921">
            <w:pPr>
              <w:spacing w:line="259" w:lineRule="auto"/>
              <w:jc w:val="right"/>
              <w:rPr>
                <w:rFonts w:ascii="Arial" w:hAnsi="Arial" w:cs="Arial"/>
              </w:rPr>
            </w:pPr>
            <w:r w:rsidRPr="00A52920">
              <w:rPr>
                <w:rFonts w:ascii="Arial" w:hAnsi="Arial" w:cs="Arial"/>
              </w:rPr>
              <w:t> </w:t>
            </w:r>
          </w:p>
        </w:tc>
        <w:tc>
          <w:tcPr>
            <w:tcW w:w="1137" w:type="dxa"/>
            <w:shd w:val="clear" w:color="auto" w:fill="auto"/>
            <w:noWrap/>
            <w:vAlign w:val="center"/>
            <w:hideMark/>
          </w:tcPr>
          <w:p w14:paraId="27543476" w14:textId="77777777" w:rsidR="003E5BF5" w:rsidRPr="00A52920" w:rsidRDefault="003E5BF5" w:rsidP="00DE1921">
            <w:pPr>
              <w:spacing w:line="259" w:lineRule="auto"/>
              <w:jc w:val="right"/>
              <w:rPr>
                <w:rFonts w:ascii="Arial" w:hAnsi="Arial" w:cs="Arial"/>
              </w:rPr>
            </w:pPr>
            <w:r w:rsidRPr="00A52920">
              <w:rPr>
                <w:rFonts w:ascii="Arial" w:hAnsi="Arial" w:cs="Arial"/>
              </w:rPr>
              <w:t> </w:t>
            </w:r>
          </w:p>
        </w:tc>
        <w:tc>
          <w:tcPr>
            <w:tcW w:w="1137" w:type="dxa"/>
            <w:shd w:val="clear" w:color="auto" w:fill="auto"/>
            <w:noWrap/>
            <w:vAlign w:val="center"/>
            <w:hideMark/>
          </w:tcPr>
          <w:p w14:paraId="646D5FF7" w14:textId="77777777" w:rsidR="003E5BF5" w:rsidRPr="00A52920" w:rsidRDefault="003E5BF5" w:rsidP="00DE1921">
            <w:pPr>
              <w:spacing w:line="259" w:lineRule="auto"/>
              <w:jc w:val="right"/>
              <w:rPr>
                <w:rFonts w:ascii="Arial" w:hAnsi="Arial" w:cs="Arial"/>
              </w:rPr>
            </w:pPr>
            <w:r w:rsidRPr="00A52920">
              <w:rPr>
                <w:rFonts w:ascii="Arial" w:hAnsi="Arial" w:cs="Arial"/>
              </w:rPr>
              <w:t> </w:t>
            </w:r>
          </w:p>
        </w:tc>
        <w:tc>
          <w:tcPr>
            <w:tcW w:w="1137" w:type="dxa"/>
            <w:shd w:val="clear" w:color="auto" w:fill="auto"/>
            <w:noWrap/>
            <w:vAlign w:val="center"/>
            <w:hideMark/>
          </w:tcPr>
          <w:p w14:paraId="53078369" w14:textId="77777777" w:rsidR="003E5BF5" w:rsidRPr="00A52920" w:rsidRDefault="003E5BF5" w:rsidP="00DE1921">
            <w:pPr>
              <w:spacing w:line="259" w:lineRule="auto"/>
              <w:jc w:val="right"/>
              <w:rPr>
                <w:rFonts w:ascii="Arial" w:hAnsi="Arial" w:cs="Arial"/>
              </w:rPr>
            </w:pPr>
            <w:r w:rsidRPr="00A52920">
              <w:rPr>
                <w:rFonts w:ascii="Arial" w:hAnsi="Arial" w:cs="Arial"/>
              </w:rPr>
              <w:t> </w:t>
            </w:r>
          </w:p>
        </w:tc>
        <w:tc>
          <w:tcPr>
            <w:tcW w:w="1301" w:type="dxa"/>
            <w:shd w:val="clear" w:color="auto" w:fill="auto"/>
            <w:noWrap/>
            <w:vAlign w:val="center"/>
            <w:hideMark/>
          </w:tcPr>
          <w:p w14:paraId="62493693" w14:textId="77777777" w:rsidR="003E5BF5" w:rsidRPr="00A52920" w:rsidRDefault="003E5BF5" w:rsidP="00DE1921">
            <w:pPr>
              <w:spacing w:line="259" w:lineRule="auto"/>
              <w:jc w:val="right"/>
              <w:rPr>
                <w:rFonts w:ascii="Arial" w:hAnsi="Arial" w:cs="Arial"/>
              </w:rPr>
            </w:pPr>
            <w:r w:rsidRPr="00A52920">
              <w:rPr>
                <w:rFonts w:ascii="Arial" w:hAnsi="Arial" w:cs="Arial"/>
              </w:rPr>
              <w:t> </w:t>
            </w:r>
          </w:p>
        </w:tc>
        <w:tc>
          <w:tcPr>
            <w:tcW w:w="974" w:type="dxa"/>
            <w:shd w:val="clear" w:color="auto" w:fill="auto"/>
            <w:noWrap/>
            <w:vAlign w:val="center"/>
            <w:hideMark/>
          </w:tcPr>
          <w:p w14:paraId="2DBF80AB" w14:textId="77777777" w:rsidR="003E5BF5" w:rsidRPr="00A52920" w:rsidRDefault="003E5BF5" w:rsidP="00DE1921">
            <w:pPr>
              <w:spacing w:line="259" w:lineRule="auto"/>
              <w:jc w:val="right"/>
              <w:rPr>
                <w:rFonts w:ascii="Arial" w:hAnsi="Arial" w:cs="Arial"/>
              </w:rPr>
            </w:pPr>
            <w:r w:rsidRPr="00A52920">
              <w:rPr>
                <w:rFonts w:ascii="Arial" w:hAnsi="Arial" w:cs="Arial"/>
              </w:rPr>
              <w:t> </w:t>
            </w:r>
          </w:p>
        </w:tc>
        <w:tc>
          <w:tcPr>
            <w:tcW w:w="1290" w:type="dxa"/>
            <w:shd w:val="clear" w:color="auto" w:fill="auto"/>
            <w:noWrap/>
            <w:vAlign w:val="center"/>
            <w:hideMark/>
          </w:tcPr>
          <w:p w14:paraId="26B7DCBD" w14:textId="77777777" w:rsidR="003E5BF5" w:rsidRPr="00A52920" w:rsidRDefault="003E5BF5" w:rsidP="00DE1921">
            <w:pPr>
              <w:spacing w:line="259" w:lineRule="auto"/>
              <w:jc w:val="right"/>
              <w:rPr>
                <w:rFonts w:ascii="Arial" w:hAnsi="Arial" w:cs="Arial"/>
              </w:rPr>
            </w:pPr>
            <w:r w:rsidRPr="00A52920">
              <w:rPr>
                <w:rFonts w:ascii="Arial" w:hAnsi="Arial" w:cs="Arial"/>
              </w:rPr>
              <w:t> </w:t>
            </w:r>
          </w:p>
        </w:tc>
        <w:tc>
          <w:tcPr>
            <w:tcW w:w="1152" w:type="dxa"/>
            <w:shd w:val="clear" w:color="auto" w:fill="auto"/>
            <w:noWrap/>
            <w:vAlign w:val="center"/>
            <w:hideMark/>
          </w:tcPr>
          <w:p w14:paraId="769C1679" w14:textId="77777777" w:rsidR="003E5BF5" w:rsidRPr="00A52920" w:rsidRDefault="003E5BF5" w:rsidP="00DE1921">
            <w:pPr>
              <w:spacing w:line="259" w:lineRule="auto"/>
              <w:jc w:val="right"/>
              <w:rPr>
                <w:rFonts w:ascii="Arial" w:hAnsi="Arial" w:cs="Arial"/>
              </w:rPr>
            </w:pPr>
            <w:r w:rsidRPr="00A52920">
              <w:rPr>
                <w:rFonts w:ascii="Arial" w:hAnsi="Arial" w:cs="Arial"/>
              </w:rPr>
              <w:t> </w:t>
            </w:r>
          </w:p>
        </w:tc>
      </w:tr>
      <w:tr w:rsidR="003E5BF5" w:rsidRPr="00A52920" w14:paraId="16AD5654" w14:textId="77777777" w:rsidTr="00610F5F">
        <w:trPr>
          <w:trHeight w:val="283"/>
          <w:jc w:val="center"/>
        </w:trPr>
        <w:tc>
          <w:tcPr>
            <w:tcW w:w="1781" w:type="dxa"/>
            <w:shd w:val="clear" w:color="auto" w:fill="auto"/>
            <w:noWrap/>
            <w:vAlign w:val="center"/>
            <w:hideMark/>
          </w:tcPr>
          <w:p w14:paraId="5A8D1E66" w14:textId="77777777" w:rsidR="003E5BF5" w:rsidRPr="00A52920" w:rsidRDefault="003E5BF5" w:rsidP="00DE1921">
            <w:pPr>
              <w:spacing w:line="259" w:lineRule="auto"/>
              <w:rPr>
                <w:rFonts w:ascii="Arial" w:hAnsi="Arial" w:cs="Arial"/>
              </w:rPr>
            </w:pPr>
            <w:r w:rsidRPr="00A52920">
              <w:rPr>
                <w:rFonts w:ascii="Arial" w:hAnsi="Arial" w:cs="Arial"/>
              </w:rPr>
              <w:t>Financial assets</w:t>
            </w:r>
          </w:p>
        </w:tc>
        <w:tc>
          <w:tcPr>
            <w:tcW w:w="1136" w:type="dxa"/>
            <w:shd w:val="clear" w:color="auto" w:fill="auto"/>
            <w:noWrap/>
            <w:vAlign w:val="center"/>
            <w:hideMark/>
          </w:tcPr>
          <w:p w14:paraId="72D4207E"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63,811 </w:t>
            </w:r>
          </w:p>
        </w:tc>
        <w:tc>
          <w:tcPr>
            <w:tcW w:w="1136" w:type="dxa"/>
            <w:shd w:val="clear" w:color="auto" w:fill="auto"/>
            <w:noWrap/>
            <w:vAlign w:val="center"/>
            <w:hideMark/>
          </w:tcPr>
          <w:p w14:paraId="4EEF8220"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135,931 </w:t>
            </w:r>
          </w:p>
        </w:tc>
        <w:tc>
          <w:tcPr>
            <w:tcW w:w="1137" w:type="dxa"/>
            <w:shd w:val="clear" w:color="auto" w:fill="auto"/>
            <w:noWrap/>
            <w:vAlign w:val="center"/>
            <w:hideMark/>
          </w:tcPr>
          <w:p w14:paraId="555FE54F"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465,422 </w:t>
            </w:r>
          </w:p>
        </w:tc>
        <w:tc>
          <w:tcPr>
            <w:tcW w:w="1137" w:type="dxa"/>
            <w:shd w:val="clear" w:color="auto" w:fill="auto"/>
            <w:noWrap/>
            <w:vAlign w:val="center"/>
            <w:hideMark/>
          </w:tcPr>
          <w:p w14:paraId="5AECDFD0"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61,904 </w:t>
            </w:r>
          </w:p>
        </w:tc>
        <w:tc>
          <w:tcPr>
            <w:tcW w:w="1138" w:type="dxa"/>
            <w:shd w:val="clear" w:color="auto" w:fill="auto"/>
            <w:noWrap/>
            <w:vAlign w:val="center"/>
            <w:hideMark/>
          </w:tcPr>
          <w:p w14:paraId="4C531FC7"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10,169 </w:t>
            </w:r>
          </w:p>
        </w:tc>
        <w:tc>
          <w:tcPr>
            <w:tcW w:w="1137" w:type="dxa"/>
            <w:shd w:val="clear" w:color="auto" w:fill="auto"/>
            <w:noWrap/>
            <w:vAlign w:val="center"/>
            <w:hideMark/>
          </w:tcPr>
          <w:p w14:paraId="2BF700BE"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14,907 </w:t>
            </w:r>
          </w:p>
        </w:tc>
        <w:tc>
          <w:tcPr>
            <w:tcW w:w="1137" w:type="dxa"/>
            <w:shd w:val="clear" w:color="auto" w:fill="auto"/>
            <w:noWrap/>
            <w:vAlign w:val="center"/>
            <w:hideMark/>
          </w:tcPr>
          <w:p w14:paraId="3DE43EA2"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18,585 </w:t>
            </w:r>
          </w:p>
        </w:tc>
        <w:tc>
          <w:tcPr>
            <w:tcW w:w="1137" w:type="dxa"/>
            <w:shd w:val="clear" w:color="auto" w:fill="auto"/>
            <w:noWrap/>
            <w:vAlign w:val="center"/>
            <w:hideMark/>
          </w:tcPr>
          <w:p w14:paraId="78439CDF"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27,608 </w:t>
            </w:r>
          </w:p>
        </w:tc>
        <w:tc>
          <w:tcPr>
            <w:tcW w:w="1301" w:type="dxa"/>
            <w:shd w:val="clear" w:color="auto" w:fill="auto"/>
            <w:noWrap/>
            <w:vAlign w:val="center"/>
            <w:hideMark/>
          </w:tcPr>
          <w:p w14:paraId="54E616EA"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176,610 </w:t>
            </w:r>
          </w:p>
        </w:tc>
        <w:tc>
          <w:tcPr>
            <w:tcW w:w="974" w:type="dxa"/>
            <w:shd w:val="clear" w:color="auto" w:fill="auto"/>
            <w:noWrap/>
            <w:vAlign w:val="center"/>
            <w:hideMark/>
          </w:tcPr>
          <w:p w14:paraId="1A09EB3F"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94,273 </w:t>
            </w:r>
          </w:p>
        </w:tc>
        <w:tc>
          <w:tcPr>
            <w:tcW w:w="1290" w:type="dxa"/>
            <w:shd w:val="clear" w:color="auto" w:fill="auto"/>
            <w:noWrap/>
            <w:vAlign w:val="center"/>
            <w:hideMark/>
          </w:tcPr>
          <w:p w14:paraId="09929A5E"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1,231,543 </w:t>
            </w:r>
          </w:p>
        </w:tc>
        <w:tc>
          <w:tcPr>
            <w:tcW w:w="1152" w:type="dxa"/>
            <w:shd w:val="clear" w:color="auto" w:fill="auto"/>
            <w:noWrap/>
            <w:vAlign w:val="center"/>
            <w:hideMark/>
          </w:tcPr>
          <w:p w14:paraId="5838D0C1"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26,915 </w:t>
            </w:r>
          </w:p>
        </w:tc>
      </w:tr>
      <w:tr w:rsidR="003E5BF5" w:rsidRPr="00A52920" w14:paraId="65EC6152" w14:textId="77777777" w:rsidTr="00610F5F">
        <w:trPr>
          <w:trHeight w:val="283"/>
          <w:jc w:val="center"/>
        </w:trPr>
        <w:tc>
          <w:tcPr>
            <w:tcW w:w="1781" w:type="dxa"/>
            <w:shd w:val="clear" w:color="auto" w:fill="auto"/>
            <w:noWrap/>
            <w:vAlign w:val="center"/>
            <w:hideMark/>
          </w:tcPr>
          <w:p w14:paraId="12D5A2AB" w14:textId="77777777" w:rsidR="003E5BF5" w:rsidRPr="00A52920" w:rsidRDefault="003E5BF5" w:rsidP="00DE1921">
            <w:pPr>
              <w:spacing w:line="259" w:lineRule="auto"/>
              <w:rPr>
                <w:rFonts w:ascii="Arial" w:hAnsi="Arial" w:cs="Arial"/>
              </w:rPr>
            </w:pPr>
            <w:r w:rsidRPr="00A52920">
              <w:rPr>
                <w:rFonts w:ascii="Arial" w:hAnsi="Arial" w:cs="Arial"/>
              </w:rPr>
              <w:t xml:space="preserve">Non-financial assets </w:t>
            </w:r>
            <w:r w:rsidRPr="00A52920">
              <w:rPr>
                <w:rFonts w:ascii="Arial" w:hAnsi="Arial" w:cs="Arial"/>
                <w:vertAlign w:val="superscript"/>
              </w:rPr>
              <w:t>(</w:t>
            </w:r>
            <w:proofErr w:type="spellStart"/>
            <w:r w:rsidRPr="00A52920">
              <w:rPr>
                <w:rFonts w:ascii="Arial" w:hAnsi="Arial" w:cs="Arial"/>
                <w:vertAlign w:val="superscript"/>
              </w:rPr>
              <w:t>i</w:t>
            </w:r>
            <w:proofErr w:type="spellEnd"/>
            <w:r w:rsidRPr="00A52920">
              <w:rPr>
                <w:rFonts w:ascii="Arial" w:hAnsi="Arial" w:cs="Arial"/>
                <w:vertAlign w:val="superscript"/>
              </w:rPr>
              <w:t>)</w:t>
            </w:r>
          </w:p>
        </w:tc>
        <w:tc>
          <w:tcPr>
            <w:tcW w:w="1136" w:type="dxa"/>
            <w:shd w:val="clear" w:color="auto" w:fill="auto"/>
            <w:noWrap/>
            <w:hideMark/>
          </w:tcPr>
          <w:p w14:paraId="28CE3EE8"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395,912 </w:t>
            </w:r>
          </w:p>
        </w:tc>
        <w:tc>
          <w:tcPr>
            <w:tcW w:w="1136" w:type="dxa"/>
            <w:shd w:val="clear" w:color="auto" w:fill="auto"/>
            <w:noWrap/>
            <w:hideMark/>
          </w:tcPr>
          <w:p w14:paraId="0B501A62"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12,285 </w:t>
            </w:r>
          </w:p>
        </w:tc>
        <w:tc>
          <w:tcPr>
            <w:tcW w:w="1137" w:type="dxa"/>
            <w:shd w:val="clear" w:color="auto" w:fill="auto"/>
            <w:noWrap/>
            <w:hideMark/>
          </w:tcPr>
          <w:p w14:paraId="1B10DBC0"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4,719,806 </w:t>
            </w:r>
          </w:p>
        </w:tc>
        <w:tc>
          <w:tcPr>
            <w:tcW w:w="1137" w:type="dxa"/>
            <w:shd w:val="clear" w:color="auto" w:fill="auto"/>
            <w:noWrap/>
            <w:hideMark/>
          </w:tcPr>
          <w:p w14:paraId="70CB066D"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3,376,330 </w:t>
            </w:r>
          </w:p>
        </w:tc>
        <w:tc>
          <w:tcPr>
            <w:tcW w:w="1138" w:type="dxa"/>
            <w:shd w:val="clear" w:color="auto" w:fill="auto"/>
            <w:noWrap/>
            <w:hideMark/>
          </w:tcPr>
          <w:p w14:paraId="37C26DD9"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797,492 </w:t>
            </w:r>
          </w:p>
        </w:tc>
        <w:tc>
          <w:tcPr>
            <w:tcW w:w="1137" w:type="dxa"/>
            <w:shd w:val="clear" w:color="auto" w:fill="auto"/>
            <w:noWrap/>
            <w:hideMark/>
          </w:tcPr>
          <w:p w14:paraId="38FCE730"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6,029 </w:t>
            </w:r>
          </w:p>
        </w:tc>
        <w:tc>
          <w:tcPr>
            <w:tcW w:w="1137" w:type="dxa"/>
            <w:shd w:val="clear" w:color="auto" w:fill="auto"/>
            <w:noWrap/>
            <w:hideMark/>
          </w:tcPr>
          <w:p w14:paraId="593DEF9B"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1,507,426 </w:t>
            </w:r>
          </w:p>
        </w:tc>
        <w:tc>
          <w:tcPr>
            <w:tcW w:w="1137" w:type="dxa"/>
            <w:shd w:val="clear" w:color="auto" w:fill="auto"/>
            <w:noWrap/>
            <w:hideMark/>
          </w:tcPr>
          <w:p w14:paraId="381DFEFA"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2,850 </w:t>
            </w:r>
          </w:p>
        </w:tc>
        <w:tc>
          <w:tcPr>
            <w:tcW w:w="1301" w:type="dxa"/>
            <w:shd w:val="clear" w:color="auto" w:fill="auto"/>
            <w:noWrap/>
            <w:hideMark/>
          </w:tcPr>
          <w:p w14:paraId="71CB8559"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15,187,779 </w:t>
            </w:r>
          </w:p>
        </w:tc>
        <w:tc>
          <w:tcPr>
            <w:tcW w:w="974" w:type="dxa"/>
            <w:shd w:val="clear" w:color="auto" w:fill="auto"/>
            <w:noWrap/>
            <w:hideMark/>
          </w:tcPr>
          <w:p w14:paraId="27C7A0F1"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6,373 </w:t>
            </w:r>
          </w:p>
        </w:tc>
        <w:tc>
          <w:tcPr>
            <w:tcW w:w="1290" w:type="dxa"/>
            <w:shd w:val="clear" w:color="auto" w:fill="auto"/>
            <w:noWrap/>
            <w:hideMark/>
          </w:tcPr>
          <w:p w14:paraId="30760FE6"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58,862,854 </w:t>
            </w:r>
          </w:p>
        </w:tc>
        <w:tc>
          <w:tcPr>
            <w:tcW w:w="1152" w:type="dxa"/>
            <w:shd w:val="clear" w:color="auto" w:fill="auto"/>
            <w:noWrap/>
            <w:hideMark/>
          </w:tcPr>
          <w:p w14:paraId="3C4CB5EF" w14:textId="77777777" w:rsidR="003E5BF5" w:rsidRPr="00A52920" w:rsidRDefault="003E5BF5" w:rsidP="00DE1921">
            <w:pPr>
              <w:spacing w:line="259" w:lineRule="auto"/>
              <w:jc w:val="right"/>
              <w:rPr>
                <w:rFonts w:ascii="Arial" w:hAnsi="Arial" w:cs="Arial"/>
              </w:rPr>
            </w:pPr>
            <w:r w:rsidRPr="00A52920">
              <w:rPr>
                <w:rFonts w:ascii="Arial" w:hAnsi="Arial" w:cs="Arial"/>
              </w:rPr>
              <w:t xml:space="preserve">4,646,567 </w:t>
            </w:r>
          </w:p>
        </w:tc>
      </w:tr>
      <w:tr w:rsidR="003E5BF5" w:rsidRPr="00A52920" w14:paraId="6480B020" w14:textId="77777777" w:rsidTr="00610F5F">
        <w:trPr>
          <w:trHeight w:val="283"/>
          <w:jc w:val="center"/>
        </w:trPr>
        <w:tc>
          <w:tcPr>
            <w:tcW w:w="1781" w:type="dxa"/>
            <w:shd w:val="clear" w:color="auto" w:fill="auto"/>
            <w:noWrap/>
            <w:vAlign w:val="center"/>
            <w:hideMark/>
          </w:tcPr>
          <w:p w14:paraId="385E7C47" w14:textId="77777777" w:rsidR="003E5BF5" w:rsidRPr="00A52920" w:rsidRDefault="003E5BF5" w:rsidP="00DE1921">
            <w:pPr>
              <w:spacing w:line="259" w:lineRule="auto"/>
              <w:rPr>
                <w:rFonts w:ascii="Arial" w:hAnsi="Arial" w:cs="Arial"/>
                <w:b/>
              </w:rPr>
            </w:pPr>
            <w:r w:rsidRPr="00A52920">
              <w:rPr>
                <w:rFonts w:ascii="Arial" w:hAnsi="Arial" w:cs="Arial"/>
                <w:b/>
              </w:rPr>
              <w:t>Total Assets</w:t>
            </w:r>
          </w:p>
        </w:tc>
        <w:tc>
          <w:tcPr>
            <w:tcW w:w="1136" w:type="dxa"/>
            <w:shd w:val="clear" w:color="auto" w:fill="auto"/>
            <w:noWrap/>
            <w:vAlign w:val="center"/>
            <w:hideMark/>
          </w:tcPr>
          <w:p w14:paraId="1BD28271"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459,723 </w:t>
            </w:r>
          </w:p>
        </w:tc>
        <w:tc>
          <w:tcPr>
            <w:tcW w:w="1136" w:type="dxa"/>
            <w:shd w:val="clear" w:color="auto" w:fill="auto"/>
            <w:noWrap/>
            <w:vAlign w:val="center"/>
            <w:hideMark/>
          </w:tcPr>
          <w:p w14:paraId="75E2E9F0"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148,216 </w:t>
            </w:r>
          </w:p>
        </w:tc>
        <w:tc>
          <w:tcPr>
            <w:tcW w:w="1137" w:type="dxa"/>
            <w:shd w:val="clear" w:color="auto" w:fill="auto"/>
            <w:noWrap/>
            <w:vAlign w:val="center"/>
            <w:hideMark/>
          </w:tcPr>
          <w:p w14:paraId="1D358191"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5,185,228 </w:t>
            </w:r>
          </w:p>
        </w:tc>
        <w:tc>
          <w:tcPr>
            <w:tcW w:w="1137" w:type="dxa"/>
            <w:shd w:val="clear" w:color="auto" w:fill="auto"/>
            <w:noWrap/>
            <w:vAlign w:val="center"/>
            <w:hideMark/>
          </w:tcPr>
          <w:p w14:paraId="28B86860"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3,438,234 </w:t>
            </w:r>
          </w:p>
        </w:tc>
        <w:tc>
          <w:tcPr>
            <w:tcW w:w="1138" w:type="dxa"/>
            <w:shd w:val="clear" w:color="auto" w:fill="auto"/>
            <w:noWrap/>
            <w:vAlign w:val="center"/>
            <w:hideMark/>
          </w:tcPr>
          <w:p w14:paraId="4588F667"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807,661 </w:t>
            </w:r>
          </w:p>
        </w:tc>
        <w:tc>
          <w:tcPr>
            <w:tcW w:w="1137" w:type="dxa"/>
            <w:shd w:val="clear" w:color="auto" w:fill="auto"/>
            <w:noWrap/>
            <w:vAlign w:val="center"/>
            <w:hideMark/>
          </w:tcPr>
          <w:p w14:paraId="3261AADB"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20,936 </w:t>
            </w:r>
          </w:p>
        </w:tc>
        <w:tc>
          <w:tcPr>
            <w:tcW w:w="1137" w:type="dxa"/>
            <w:shd w:val="clear" w:color="auto" w:fill="auto"/>
            <w:noWrap/>
            <w:vAlign w:val="center"/>
            <w:hideMark/>
          </w:tcPr>
          <w:p w14:paraId="67E45A70"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1,526,011 </w:t>
            </w:r>
          </w:p>
        </w:tc>
        <w:tc>
          <w:tcPr>
            <w:tcW w:w="1137" w:type="dxa"/>
            <w:shd w:val="clear" w:color="auto" w:fill="auto"/>
            <w:noWrap/>
            <w:vAlign w:val="center"/>
            <w:hideMark/>
          </w:tcPr>
          <w:p w14:paraId="3E6E7472"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30,458 </w:t>
            </w:r>
          </w:p>
        </w:tc>
        <w:tc>
          <w:tcPr>
            <w:tcW w:w="1301" w:type="dxa"/>
            <w:shd w:val="clear" w:color="auto" w:fill="auto"/>
            <w:noWrap/>
            <w:vAlign w:val="center"/>
            <w:hideMark/>
          </w:tcPr>
          <w:p w14:paraId="2E7619A0"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15,364,389 </w:t>
            </w:r>
          </w:p>
        </w:tc>
        <w:tc>
          <w:tcPr>
            <w:tcW w:w="974" w:type="dxa"/>
            <w:shd w:val="clear" w:color="auto" w:fill="auto"/>
            <w:noWrap/>
            <w:vAlign w:val="center"/>
            <w:hideMark/>
          </w:tcPr>
          <w:p w14:paraId="03C1CB4C"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100,646 </w:t>
            </w:r>
          </w:p>
        </w:tc>
        <w:tc>
          <w:tcPr>
            <w:tcW w:w="1290" w:type="dxa"/>
            <w:shd w:val="clear" w:color="auto" w:fill="auto"/>
            <w:noWrap/>
            <w:vAlign w:val="center"/>
            <w:hideMark/>
          </w:tcPr>
          <w:p w14:paraId="3CA0D09E"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60,094,397 </w:t>
            </w:r>
          </w:p>
        </w:tc>
        <w:tc>
          <w:tcPr>
            <w:tcW w:w="1152" w:type="dxa"/>
            <w:shd w:val="clear" w:color="auto" w:fill="auto"/>
            <w:noWrap/>
            <w:vAlign w:val="center"/>
            <w:hideMark/>
          </w:tcPr>
          <w:p w14:paraId="0070051C"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4,673,482 </w:t>
            </w:r>
          </w:p>
        </w:tc>
      </w:tr>
      <w:tr w:rsidR="003E5BF5" w:rsidRPr="00A52920" w14:paraId="2CFABA91" w14:textId="77777777" w:rsidTr="00610F5F">
        <w:trPr>
          <w:trHeight w:val="283"/>
          <w:jc w:val="center"/>
        </w:trPr>
        <w:tc>
          <w:tcPr>
            <w:tcW w:w="1781" w:type="dxa"/>
            <w:tcBorders>
              <w:bottom w:val="single" w:sz="4" w:space="0" w:color="auto"/>
            </w:tcBorders>
            <w:shd w:val="clear" w:color="auto" w:fill="auto"/>
            <w:noWrap/>
            <w:vAlign w:val="center"/>
            <w:hideMark/>
          </w:tcPr>
          <w:p w14:paraId="37F1BB3B" w14:textId="77777777" w:rsidR="003E5BF5" w:rsidRPr="00A52920" w:rsidRDefault="003E5BF5" w:rsidP="00DE1921">
            <w:pPr>
              <w:spacing w:line="259" w:lineRule="auto"/>
              <w:rPr>
                <w:rFonts w:ascii="Arial" w:hAnsi="Arial" w:cs="Arial"/>
                <w:b/>
              </w:rPr>
            </w:pPr>
            <w:r w:rsidRPr="00A52920">
              <w:rPr>
                <w:rFonts w:ascii="Arial" w:hAnsi="Arial" w:cs="Arial"/>
                <w:b/>
              </w:rPr>
              <w:t xml:space="preserve">Total Liabilities </w:t>
            </w:r>
            <w:r w:rsidRPr="00A52920">
              <w:rPr>
                <w:rFonts w:ascii="Arial" w:hAnsi="Arial" w:cs="Arial"/>
                <w:b/>
                <w:vertAlign w:val="superscript"/>
              </w:rPr>
              <w:t>(</w:t>
            </w:r>
            <w:proofErr w:type="spellStart"/>
            <w:r w:rsidRPr="00A52920">
              <w:rPr>
                <w:rFonts w:ascii="Arial" w:hAnsi="Arial" w:cs="Arial"/>
                <w:b/>
                <w:vertAlign w:val="superscript"/>
              </w:rPr>
              <w:t>i</w:t>
            </w:r>
            <w:proofErr w:type="spellEnd"/>
            <w:r w:rsidRPr="00A52920">
              <w:rPr>
                <w:rFonts w:ascii="Arial" w:hAnsi="Arial" w:cs="Arial"/>
                <w:b/>
                <w:vertAlign w:val="superscript"/>
              </w:rPr>
              <w:t>)</w:t>
            </w:r>
          </w:p>
        </w:tc>
        <w:tc>
          <w:tcPr>
            <w:tcW w:w="1136" w:type="dxa"/>
            <w:tcBorders>
              <w:bottom w:val="single" w:sz="4" w:space="0" w:color="auto"/>
            </w:tcBorders>
            <w:shd w:val="clear" w:color="auto" w:fill="auto"/>
            <w:noWrap/>
            <w:vAlign w:val="center"/>
            <w:hideMark/>
          </w:tcPr>
          <w:p w14:paraId="4FA8922F" w14:textId="77777777" w:rsidR="003E5BF5" w:rsidRPr="00A52920" w:rsidRDefault="003E5BF5" w:rsidP="00DE1921">
            <w:pPr>
              <w:spacing w:line="259" w:lineRule="auto"/>
              <w:jc w:val="right"/>
              <w:rPr>
                <w:rFonts w:ascii="Arial" w:hAnsi="Arial" w:cs="Arial"/>
                <w:b/>
              </w:rPr>
            </w:pPr>
            <w:r w:rsidRPr="00A52920">
              <w:rPr>
                <w:rFonts w:ascii="Arial" w:hAnsi="Arial" w:cs="Arial"/>
                <w:b/>
              </w:rPr>
              <w:t>(387,579)</w:t>
            </w:r>
          </w:p>
        </w:tc>
        <w:tc>
          <w:tcPr>
            <w:tcW w:w="1136" w:type="dxa"/>
            <w:tcBorders>
              <w:bottom w:val="single" w:sz="4" w:space="0" w:color="auto"/>
            </w:tcBorders>
            <w:shd w:val="clear" w:color="auto" w:fill="auto"/>
            <w:noWrap/>
            <w:vAlign w:val="center"/>
            <w:hideMark/>
          </w:tcPr>
          <w:p w14:paraId="10FD076B" w14:textId="77777777" w:rsidR="003E5BF5" w:rsidRPr="00A52920" w:rsidRDefault="003E5BF5" w:rsidP="00DE1921">
            <w:pPr>
              <w:spacing w:line="259" w:lineRule="auto"/>
              <w:jc w:val="right"/>
              <w:rPr>
                <w:rFonts w:ascii="Arial" w:hAnsi="Arial" w:cs="Arial"/>
                <w:b/>
              </w:rPr>
            </w:pPr>
            <w:r w:rsidRPr="00A52920">
              <w:rPr>
                <w:rFonts w:ascii="Arial" w:hAnsi="Arial" w:cs="Arial"/>
                <w:b/>
              </w:rPr>
              <w:t>(135,467)</w:t>
            </w:r>
          </w:p>
        </w:tc>
        <w:tc>
          <w:tcPr>
            <w:tcW w:w="1137" w:type="dxa"/>
            <w:tcBorders>
              <w:bottom w:val="single" w:sz="4" w:space="0" w:color="auto"/>
            </w:tcBorders>
            <w:shd w:val="clear" w:color="auto" w:fill="auto"/>
            <w:noWrap/>
            <w:vAlign w:val="center"/>
            <w:hideMark/>
          </w:tcPr>
          <w:p w14:paraId="56124E64" w14:textId="77777777" w:rsidR="003E5BF5" w:rsidRPr="00A52920" w:rsidRDefault="003E5BF5" w:rsidP="00DE1921">
            <w:pPr>
              <w:spacing w:line="259" w:lineRule="auto"/>
              <w:jc w:val="right"/>
              <w:rPr>
                <w:rFonts w:ascii="Arial" w:hAnsi="Arial" w:cs="Arial"/>
                <w:b/>
              </w:rPr>
            </w:pPr>
            <w:r w:rsidRPr="00A52920">
              <w:rPr>
                <w:rFonts w:ascii="Arial" w:hAnsi="Arial" w:cs="Arial"/>
                <w:b/>
              </w:rPr>
              <w:t>(3,429,152)</w:t>
            </w:r>
          </w:p>
        </w:tc>
        <w:tc>
          <w:tcPr>
            <w:tcW w:w="1137" w:type="dxa"/>
            <w:tcBorders>
              <w:bottom w:val="single" w:sz="4" w:space="0" w:color="auto"/>
            </w:tcBorders>
            <w:shd w:val="clear" w:color="auto" w:fill="auto"/>
            <w:noWrap/>
            <w:vAlign w:val="center"/>
            <w:hideMark/>
          </w:tcPr>
          <w:p w14:paraId="175626DA" w14:textId="77777777" w:rsidR="003E5BF5" w:rsidRPr="00A52920" w:rsidRDefault="003E5BF5" w:rsidP="00DE1921">
            <w:pPr>
              <w:spacing w:line="259" w:lineRule="auto"/>
              <w:jc w:val="right"/>
              <w:rPr>
                <w:rFonts w:ascii="Arial" w:hAnsi="Arial" w:cs="Arial"/>
                <w:b/>
              </w:rPr>
            </w:pPr>
            <w:r w:rsidRPr="00A52920">
              <w:rPr>
                <w:rFonts w:ascii="Arial" w:hAnsi="Arial" w:cs="Arial"/>
                <w:b/>
              </w:rPr>
              <w:t>(2,310,274)</w:t>
            </w:r>
          </w:p>
        </w:tc>
        <w:tc>
          <w:tcPr>
            <w:tcW w:w="1138" w:type="dxa"/>
            <w:tcBorders>
              <w:bottom w:val="single" w:sz="4" w:space="0" w:color="auto"/>
            </w:tcBorders>
            <w:shd w:val="clear" w:color="auto" w:fill="auto"/>
            <w:noWrap/>
            <w:vAlign w:val="center"/>
            <w:hideMark/>
          </w:tcPr>
          <w:p w14:paraId="5F1D2879" w14:textId="77777777" w:rsidR="003E5BF5" w:rsidRPr="00A52920" w:rsidRDefault="003E5BF5" w:rsidP="00DE1921">
            <w:pPr>
              <w:spacing w:line="259" w:lineRule="auto"/>
              <w:jc w:val="right"/>
              <w:rPr>
                <w:rFonts w:ascii="Arial" w:hAnsi="Arial" w:cs="Arial"/>
                <w:b/>
              </w:rPr>
            </w:pPr>
            <w:r w:rsidRPr="00A52920">
              <w:rPr>
                <w:rFonts w:ascii="Arial" w:hAnsi="Arial" w:cs="Arial"/>
                <w:b/>
              </w:rPr>
              <w:t>(63,269)</w:t>
            </w:r>
          </w:p>
        </w:tc>
        <w:tc>
          <w:tcPr>
            <w:tcW w:w="1137" w:type="dxa"/>
            <w:tcBorders>
              <w:bottom w:val="single" w:sz="4" w:space="0" w:color="auto"/>
            </w:tcBorders>
            <w:shd w:val="clear" w:color="auto" w:fill="auto"/>
            <w:noWrap/>
            <w:vAlign w:val="center"/>
            <w:hideMark/>
          </w:tcPr>
          <w:p w14:paraId="7CA69B65" w14:textId="77777777" w:rsidR="003E5BF5" w:rsidRPr="00A52920" w:rsidRDefault="003E5BF5" w:rsidP="00DE1921">
            <w:pPr>
              <w:spacing w:line="259" w:lineRule="auto"/>
              <w:jc w:val="right"/>
              <w:rPr>
                <w:rFonts w:ascii="Arial" w:hAnsi="Arial" w:cs="Arial"/>
                <w:b/>
              </w:rPr>
            </w:pPr>
            <w:r w:rsidRPr="00A52920">
              <w:rPr>
                <w:rFonts w:ascii="Arial" w:hAnsi="Arial" w:cs="Arial"/>
                <w:b/>
              </w:rPr>
              <w:t>(8,401)</w:t>
            </w:r>
          </w:p>
        </w:tc>
        <w:tc>
          <w:tcPr>
            <w:tcW w:w="1137" w:type="dxa"/>
            <w:tcBorders>
              <w:bottom w:val="single" w:sz="4" w:space="0" w:color="auto"/>
            </w:tcBorders>
            <w:shd w:val="clear" w:color="auto" w:fill="auto"/>
            <w:noWrap/>
            <w:vAlign w:val="center"/>
            <w:hideMark/>
          </w:tcPr>
          <w:p w14:paraId="1EA4720C" w14:textId="77777777" w:rsidR="003E5BF5" w:rsidRPr="00A52920" w:rsidRDefault="003E5BF5" w:rsidP="00DE1921">
            <w:pPr>
              <w:spacing w:line="259" w:lineRule="auto"/>
              <w:jc w:val="right"/>
              <w:rPr>
                <w:rFonts w:ascii="Arial" w:hAnsi="Arial" w:cs="Arial"/>
                <w:b/>
              </w:rPr>
            </w:pPr>
            <w:r w:rsidRPr="00A52920">
              <w:rPr>
                <w:rFonts w:ascii="Arial" w:hAnsi="Arial" w:cs="Arial"/>
                <w:b/>
              </w:rPr>
              <w:t>(125,864)</w:t>
            </w:r>
          </w:p>
        </w:tc>
        <w:tc>
          <w:tcPr>
            <w:tcW w:w="1137" w:type="dxa"/>
            <w:tcBorders>
              <w:bottom w:val="single" w:sz="4" w:space="0" w:color="auto"/>
            </w:tcBorders>
            <w:shd w:val="clear" w:color="auto" w:fill="auto"/>
            <w:noWrap/>
            <w:vAlign w:val="center"/>
            <w:hideMark/>
          </w:tcPr>
          <w:p w14:paraId="25B7EFAE" w14:textId="77777777" w:rsidR="003E5BF5" w:rsidRPr="00A52920" w:rsidRDefault="003E5BF5" w:rsidP="00DE1921">
            <w:pPr>
              <w:spacing w:line="259" w:lineRule="auto"/>
              <w:jc w:val="right"/>
              <w:rPr>
                <w:rFonts w:ascii="Arial" w:hAnsi="Arial" w:cs="Arial"/>
                <w:b/>
              </w:rPr>
            </w:pPr>
            <w:r w:rsidRPr="00A52920">
              <w:rPr>
                <w:rFonts w:ascii="Arial" w:hAnsi="Arial" w:cs="Arial"/>
                <w:b/>
              </w:rPr>
              <w:t>(27,707)</w:t>
            </w:r>
          </w:p>
        </w:tc>
        <w:tc>
          <w:tcPr>
            <w:tcW w:w="1301" w:type="dxa"/>
            <w:tcBorders>
              <w:bottom w:val="single" w:sz="4" w:space="0" w:color="auto"/>
            </w:tcBorders>
            <w:shd w:val="clear" w:color="auto" w:fill="auto"/>
            <w:noWrap/>
            <w:vAlign w:val="center"/>
            <w:hideMark/>
          </w:tcPr>
          <w:p w14:paraId="1C72BE54" w14:textId="77777777" w:rsidR="003E5BF5" w:rsidRPr="00A52920" w:rsidRDefault="003E5BF5" w:rsidP="00DE1921">
            <w:pPr>
              <w:spacing w:line="259" w:lineRule="auto"/>
              <w:jc w:val="right"/>
              <w:rPr>
                <w:rFonts w:ascii="Arial" w:hAnsi="Arial" w:cs="Arial"/>
                <w:b/>
              </w:rPr>
            </w:pPr>
            <w:r w:rsidRPr="00A52920">
              <w:rPr>
                <w:rFonts w:ascii="Arial" w:hAnsi="Arial" w:cs="Arial"/>
                <w:b/>
              </w:rPr>
              <w:t>(1,148,538)</w:t>
            </w:r>
          </w:p>
        </w:tc>
        <w:tc>
          <w:tcPr>
            <w:tcW w:w="974" w:type="dxa"/>
            <w:tcBorders>
              <w:bottom w:val="single" w:sz="4" w:space="0" w:color="auto"/>
            </w:tcBorders>
            <w:shd w:val="clear" w:color="auto" w:fill="auto"/>
            <w:noWrap/>
            <w:vAlign w:val="center"/>
            <w:hideMark/>
          </w:tcPr>
          <w:p w14:paraId="78FC675E" w14:textId="77777777" w:rsidR="003E5BF5" w:rsidRPr="00A52920" w:rsidRDefault="003E5BF5" w:rsidP="00DE1921">
            <w:pPr>
              <w:spacing w:line="259" w:lineRule="auto"/>
              <w:jc w:val="right"/>
              <w:rPr>
                <w:rFonts w:ascii="Arial" w:hAnsi="Arial" w:cs="Arial"/>
                <w:b/>
              </w:rPr>
            </w:pPr>
            <w:r w:rsidRPr="00A52920">
              <w:rPr>
                <w:rFonts w:ascii="Arial" w:hAnsi="Arial" w:cs="Arial"/>
                <w:b/>
              </w:rPr>
              <w:t>(92,689)</w:t>
            </w:r>
          </w:p>
        </w:tc>
        <w:tc>
          <w:tcPr>
            <w:tcW w:w="1290" w:type="dxa"/>
            <w:tcBorders>
              <w:bottom w:val="single" w:sz="4" w:space="0" w:color="auto"/>
            </w:tcBorders>
            <w:shd w:val="clear" w:color="auto" w:fill="auto"/>
            <w:noWrap/>
            <w:vAlign w:val="center"/>
            <w:hideMark/>
          </w:tcPr>
          <w:p w14:paraId="06166C99" w14:textId="77777777" w:rsidR="003E5BF5" w:rsidRPr="00A52920" w:rsidRDefault="003E5BF5" w:rsidP="00DE1921">
            <w:pPr>
              <w:spacing w:line="259" w:lineRule="auto"/>
              <w:jc w:val="right"/>
              <w:rPr>
                <w:rFonts w:ascii="Arial" w:hAnsi="Arial" w:cs="Arial"/>
                <w:b/>
              </w:rPr>
            </w:pPr>
            <w:r w:rsidRPr="00A52920">
              <w:rPr>
                <w:rFonts w:ascii="Arial" w:hAnsi="Arial" w:cs="Arial"/>
                <w:b/>
              </w:rPr>
              <w:t>(8,233,306)</w:t>
            </w:r>
          </w:p>
        </w:tc>
        <w:tc>
          <w:tcPr>
            <w:tcW w:w="1152" w:type="dxa"/>
            <w:tcBorders>
              <w:bottom w:val="single" w:sz="4" w:space="0" w:color="auto"/>
            </w:tcBorders>
            <w:shd w:val="clear" w:color="auto" w:fill="auto"/>
            <w:noWrap/>
            <w:vAlign w:val="center"/>
            <w:hideMark/>
          </w:tcPr>
          <w:p w14:paraId="2550EF58" w14:textId="77777777" w:rsidR="003E5BF5" w:rsidRPr="00A52920" w:rsidRDefault="003E5BF5" w:rsidP="00DE1921">
            <w:pPr>
              <w:spacing w:line="259" w:lineRule="auto"/>
              <w:jc w:val="right"/>
              <w:rPr>
                <w:rFonts w:ascii="Arial" w:hAnsi="Arial" w:cs="Arial"/>
                <w:b/>
              </w:rPr>
            </w:pPr>
            <w:r w:rsidRPr="00A52920">
              <w:rPr>
                <w:rFonts w:ascii="Arial" w:hAnsi="Arial" w:cs="Arial"/>
                <w:b/>
              </w:rPr>
              <w:t>(2,188,370)</w:t>
            </w:r>
          </w:p>
        </w:tc>
      </w:tr>
      <w:tr w:rsidR="003E5BF5" w:rsidRPr="00A52920" w14:paraId="76173592" w14:textId="77777777" w:rsidTr="00610F5F">
        <w:trPr>
          <w:trHeight w:val="283"/>
          <w:jc w:val="center"/>
        </w:trPr>
        <w:tc>
          <w:tcPr>
            <w:tcW w:w="1781" w:type="dxa"/>
            <w:tcBorders>
              <w:bottom w:val="single" w:sz="4" w:space="0" w:color="auto"/>
            </w:tcBorders>
            <w:shd w:val="clear" w:color="auto" w:fill="auto"/>
            <w:noWrap/>
            <w:vAlign w:val="center"/>
            <w:hideMark/>
          </w:tcPr>
          <w:p w14:paraId="29D41DFA" w14:textId="77777777" w:rsidR="003E5BF5" w:rsidRPr="00A52920" w:rsidRDefault="003E5BF5" w:rsidP="00DE1921">
            <w:pPr>
              <w:spacing w:line="259" w:lineRule="auto"/>
              <w:rPr>
                <w:rFonts w:ascii="Arial" w:hAnsi="Arial" w:cs="Arial"/>
                <w:b/>
              </w:rPr>
            </w:pPr>
            <w:r w:rsidRPr="00A52920">
              <w:rPr>
                <w:rFonts w:ascii="Arial" w:hAnsi="Arial" w:cs="Arial"/>
                <w:b/>
              </w:rPr>
              <w:t>Net Assets</w:t>
            </w:r>
          </w:p>
        </w:tc>
        <w:tc>
          <w:tcPr>
            <w:tcW w:w="1136" w:type="dxa"/>
            <w:tcBorders>
              <w:bottom w:val="single" w:sz="4" w:space="0" w:color="auto"/>
            </w:tcBorders>
            <w:shd w:val="clear" w:color="auto" w:fill="auto"/>
            <w:noWrap/>
            <w:vAlign w:val="center"/>
            <w:hideMark/>
          </w:tcPr>
          <w:p w14:paraId="498EB65E"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72,144 </w:t>
            </w:r>
          </w:p>
        </w:tc>
        <w:tc>
          <w:tcPr>
            <w:tcW w:w="1136" w:type="dxa"/>
            <w:tcBorders>
              <w:bottom w:val="single" w:sz="4" w:space="0" w:color="auto"/>
            </w:tcBorders>
            <w:shd w:val="clear" w:color="auto" w:fill="auto"/>
            <w:noWrap/>
            <w:vAlign w:val="center"/>
            <w:hideMark/>
          </w:tcPr>
          <w:p w14:paraId="02F716FC"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12,749 </w:t>
            </w:r>
          </w:p>
        </w:tc>
        <w:tc>
          <w:tcPr>
            <w:tcW w:w="1137" w:type="dxa"/>
            <w:tcBorders>
              <w:bottom w:val="single" w:sz="4" w:space="0" w:color="auto"/>
            </w:tcBorders>
            <w:shd w:val="clear" w:color="auto" w:fill="auto"/>
            <w:noWrap/>
            <w:vAlign w:val="center"/>
            <w:hideMark/>
          </w:tcPr>
          <w:p w14:paraId="5C396510"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1,756,076 </w:t>
            </w:r>
          </w:p>
        </w:tc>
        <w:tc>
          <w:tcPr>
            <w:tcW w:w="1137" w:type="dxa"/>
            <w:tcBorders>
              <w:bottom w:val="single" w:sz="4" w:space="0" w:color="auto"/>
            </w:tcBorders>
            <w:shd w:val="clear" w:color="auto" w:fill="auto"/>
            <w:noWrap/>
            <w:vAlign w:val="center"/>
            <w:hideMark/>
          </w:tcPr>
          <w:p w14:paraId="20E6F467"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1,127,960 </w:t>
            </w:r>
          </w:p>
        </w:tc>
        <w:tc>
          <w:tcPr>
            <w:tcW w:w="1138" w:type="dxa"/>
            <w:tcBorders>
              <w:bottom w:val="single" w:sz="4" w:space="0" w:color="auto"/>
            </w:tcBorders>
            <w:shd w:val="clear" w:color="auto" w:fill="auto"/>
            <w:noWrap/>
            <w:vAlign w:val="center"/>
            <w:hideMark/>
          </w:tcPr>
          <w:p w14:paraId="573AD8E0"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744,392 </w:t>
            </w:r>
          </w:p>
        </w:tc>
        <w:tc>
          <w:tcPr>
            <w:tcW w:w="1137" w:type="dxa"/>
            <w:tcBorders>
              <w:bottom w:val="single" w:sz="4" w:space="0" w:color="auto"/>
            </w:tcBorders>
            <w:shd w:val="clear" w:color="auto" w:fill="auto"/>
            <w:noWrap/>
            <w:vAlign w:val="center"/>
            <w:hideMark/>
          </w:tcPr>
          <w:p w14:paraId="079EF1D4"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12,535 </w:t>
            </w:r>
          </w:p>
        </w:tc>
        <w:tc>
          <w:tcPr>
            <w:tcW w:w="1137" w:type="dxa"/>
            <w:tcBorders>
              <w:bottom w:val="single" w:sz="4" w:space="0" w:color="auto"/>
            </w:tcBorders>
            <w:shd w:val="clear" w:color="auto" w:fill="auto"/>
            <w:noWrap/>
            <w:vAlign w:val="center"/>
            <w:hideMark/>
          </w:tcPr>
          <w:p w14:paraId="77B00D6E"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1,400,147 </w:t>
            </w:r>
          </w:p>
        </w:tc>
        <w:tc>
          <w:tcPr>
            <w:tcW w:w="1137" w:type="dxa"/>
            <w:tcBorders>
              <w:bottom w:val="single" w:sz="4" w:space="0" w:color="auto"/>
            </w:tcBorders>
            <w:shd w:val="clear" w:color="auto" w:fill="auto"/>
            <w:noWrap/>
            <w:vAlign w:val="center"/>
            <w:hideMark/>
          </w:tcPr>
          <w:p w14:paraId="380036BD"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2,751 </w:t>
            </w:r>
          </w:p>
        </w:tc>
        <w:tc>
          <w:tcPr>
            <w:tcW w:w="1301" w:type="dxa"/>
            <w:tcBorders>
              <w:bottom w:val="single" w:sz="4" w:space="0" w:color="auto"/>
            </w:tcBorders>
            <w:shd w:val="clear" w:color="auto" w:fill="auto"/>
            <w:noWrap/>
            <w:vAlign w:val="center"/>
            <w:hideMark/>
          </w:tcPr>
          <w:p w14:paraId="7B40BB36"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14,215,851 </w:t>
            </w:r>
          </w:p>
        </w:tc>
        <w:tc>
          <w:tcPr>
            <w:tcW w:w="974" w:type="dxa"/>
            <w:tcBorders>
              <w:bottom w:val="single" w:sz="4" w:space="0" w:color="auto"/>
            </w:tcBorders>
            <w:shd w:val="clear" w:color="auto" w:fill="auto"/>
            <w:noWrap/>
            <w:vAlign w:val="center"/>
            <w:hideMark/>
          </w:tcPr>
          <w:p w14:paraId="7D5AFC8D"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7,957 </w:t>
            </w:r>
          </w:p>
        </w:tc>
        <w:tc>
          <w:tcPr>
            <w:tcW w:w="1290" w:type="dxa"/>
            <w:tcBorders>
              <w:bottom w:val="single" w:sz="4" w:space="0" w:color="auto"/>
            </w:tcBorders>
            <w:shd w:val="clear" w:color="auto" w:fill="auto"/>
            <w:noWrap/>
            <w:vAlign w:val="center"/>
            <w:hideMark/>
          </w:tcPr>
          <w:p w14:paraId="2697A9D5"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51,861,091 </w:t>
            </w:r>
          </w:p>
        </w:tc>
        <w:tc>
          <w:tcPr>
            <w:tcW w:w="1152" w:type="dxa"/>
            <w:tcBorders>
              <w:bottom w:val="single" w:sz="4" w:space="0" w:color="auto"/>
            </w:tcBorders>
            <w:shd w:val="clear" w:color="auto" w:fill="auto"/>
            <w:noWrap/>
            <w:vAlign w:val="center"/>
            <w:hideMark/>
          </w:tcPr>
          <w:p w14:paraId="235B068E" w14:textId="77777777" w:rsidR="003E5BF5" w:rsidRPr="00A52920" w:rsidRDefault="003E5BF5" w:rsidP="00DE1921">
            <w:pPr>
              <w:spacing w:line="259" w:lineRule="auto"/>
              <w:jc w:val="right"/>
              <w:rPr>
                <w:rFonts w:ascii="Arial" w:hAnsi="Arial" w:cs="Arial"/>
                <w:b/>
              </w:rPr>
            </w:pPr>
            <w:r w:rsidRPr="00A52920">
              <w:rPr>
                <w:rFonts w:ascii="Arial" w:hAnsi="Arial" w:cs="Arial"/>
                <w:b/>
              </w:rPr>
              <w:t xml:space="preserve">2,485,112 </w:t>
            </w:r>
          </w:p>
        </w:tc>
      </w:tr>
    </w:tbl>
    <w:p w14:paraId="7E5758F2" w14:textId="77777777" w:rsidR="00610F5F" w:rsidRPr="00A52920" w:rsidRDefault="00610F5F" w:rsidP="00610F5F">
      <w:pPr>
        <w:pStyle w:val="Note"/>
        <w:rPr>
          <w:rFonts w:ascii="Arial" w:hAnsi="Arial" w:cs="Arial"/>
          <w:sz w:val="22"/>
        </w:rPr>
      </w:pPr>
      <w:bookmarkStart w:id="227" w:name="RANGE!N3:Z13"/>
      <w:bookmarkEnd w:id="227"/>
      <w:r w:rsidRPr="00610F5F">
        <w:rPr>
          <w:rFonts w:ascii="Arial" w:hAnsi="Arial" w:cs="Arial"/>
          <w:sz w:val="24"/>
          <w:szCs w:val="24"/>
        </w:rPr>
        <w:t>Note</w:t>
      </w:r>
      <w:r w:rsidRPr="00A52920">
        <w:rPr>
          <w:rFonts w:ascii="Arial" w:hAnsi="Arial" w:cs="Arial"/>
          <w:sz w:val="22"/>
        </w:rPr>
        <w:t>:</w:t>
      </w:r>
    </w:p>
    <w:p w14:paraId="77FC4614" w14:textId="343A7AD7" w:rsidR="00610F5F" w:rsidRDefault="00610F5F" w:rsidP="00610F5F">
      <w:pPr>
        <w:pStyle w:val="aaaNotenumberiiiiii"/>
        <w:numPr>
          <w:ilvl w:val="0"/>
          <w:numId w:val="135"/>
        </w:numPr>
      </w:pPr>
      <w:r w:rsidRPr="00610F5F">
        <w:t>The</w:t>
      </w:r>
      <w:r w:rsidRPr="00A52920">
        <w:t xml:space="preserve"> 2019 comparatives figures have been restated to reflect the adoption of AASB 1059, refer to Note 9.6.5.2 for further details.</w:t>
      </w:r>
      <w:r>
        <w:br w:type="page"/>
      </w:r>
    </w:p>
    <w:tbl>
      <w:tblPr>
        <w:tblStyle w:val="TableGrid"/>
        <w:tblW w:w="15593" w:type="dxa"/>
        <w:jc w:val="center"/>
        <w:tblLayout w:type="fixed"/>
        <w:tblCellMar>
          <w:left w:w="6" w:type="dxa"/>
          <w:right w:w="0" w:type="dxa"/>
        </w:tblCellMar>
        <w:tblLook w:val="04A0" w:firstRow="1" w:lastRow="0" w:firstColumn="1" w:lastColumn="0" w:noHBand="0" w:noVBand="1"/>
      </w:tblPr>
      <w:tblGrid>
        <w:gridCol w:w="2269"/>
        <w:gridCol w:w="1149"/>
        <w:gridCol w:w="1195"/>
        <w:gridCol w:w="1102"/>
        <w:gridCol w:w="972"/>
        <w:gridCol w:w="1163"/>
        <w:gridCol w:w="1037"/>
        <w:gridCol w:w="996"/>
        <w:gridCol w:w="1027"/>
        <w:gridCol w:w="1028"/>
        <w:gridCol w:w="1028"/>
        <w:gridCol w:w="1385"/>
        <w:gridCol w:w="1242"/>
      </w:tblGrid>
      <w:tr w:rsidR="003E5BF5" w:rsidRPr="00260166" w14:paraId="0DC36428" w14:textId="77777777" w:rsidTr="00E70ED8">
        <w:trPr>
          <w:trHeight w:val="284"/>
          <w:jc w:val="center"/>
        </w:trPr>
        <w:tc>
          <w:tcPr>
            <w:tcW w:w="2269" w:type="dxa"/>
            <w:shd w:val="clear" w:color="auto" w:fill="auto"/>
            <w:noWrap/>
            <w:hideMark/>
          </w:tcPr>
          <w:p w14:paraId="581D1849" w14:textId="77777777" w:rsidR="003E5BF5" w:rsidRPr="00260166" w:rsidRDefault="003E5BF5" w:rsidP="00DE1921">
            <w:pPr>
              <w:rPr>
                <w:rFonts w:ascii="Arial" w:hAnsi="Arial" w:cs="Arial"/>
              </w:rPr>
            </w:pPr>
          </w:p>
        </w:tc>
        <w:tc>
          <w:tcPr>
            <w:tcW w:w="13324" w:type="dxa"/>
            <w:gridSpan w:val="12"/>
            <w:shd w:val="clear" w:color="auto" w:fill="auto"/>
            <w:vAlign w:val="center"/>
            <w:hideMark/>
          </w:tcPr>
          <w:p w14:paraId="6F398C2C" w14:textId="77777777" w:rsidR="003E5BF5" w:rsidRPr="00260166" w:rsidRDefault="003E5BF5" w:rsidP="00DE1921">
            <w:pPr>
              <w:jc w:val="center"/>
              <w:rPr>
                <w:rFonts w:ascii="Arial" w:hAnsi="Arial" w:cs="Arial"/>
                <w:b/>
              </w:rPr>
            </w:pPr>
            <w:r w:rsidRPr="00260166">
              <w:rPr>
                <w:rFonts w:ascii="Arial" w:hAnsi="Arial" w:cs="Arial"/>
                <w:b/>
              </w:rPr>
              <w:t>($ thousand)</w:t>
            </w:r>
          </w:p>
        </w:tc>
      </w:tr>
      <w:tr w:rsidR="003E5BF5" w:rsidRPr="00260166" w14:paraId="28AF8B35" w14:textId="77777777" w:rsidTr="00E70ED8">
        <w:trPr>
          <w:trHeight w:val="284"/>
          <w:jc w:val="center"/>
        </w:trPr>
        <w:tc>
          <w:tcPr>
            <w:tcW w:w="2269" w:type="dxa"/>
            <w:shd w:val="clear" w:color="auto" w:fill="auto"/>
            <w:hideMark/>
          </w:tcPr>
          <w:p w14:paraId="1BE602DD" w14:textId="77777777" w:rsidR="003E5BF5" w:rsidRPr="00260166" w:rsidRDefault="003E5BF5" w:rsidP="00DE1921">
            <w:pPr>
              <w:rPr>
                <w:rFonts w:ascii="Arial" w:hAnsi="Arial" w:cs="Arial"/>
              </w:rPr>
            </w:pPr>
          </w:p>
        </w:tc>
        <w:tc>
          <w:tcPr>
            <w:tcW w:w="2344" w:type="dxa"/>
            <w:gridSpan w:val="2"/>
            <w:shd w:val="clear" w:color="auto" w:fill="auto"/>
            <w:vAlign w:val="bottom"/>
            <w:hideMark/>
          </w:tcPr>
          <w:p w14:paraId="620891D4" w14:textId="77777777" w:rsidR="003E5BF5" w:rsidRPr="00260166" w:rsidRDefault="003E5BF5" w:rsidP="00DE1921">
            <w:pPr>
              <w:jc w:val="right"/>
              <w:rPr>
                <w:rFonts w:ascii="Arial" w:hAnsi="Arial" w:cs="Arial"/>
                <w:b/>
              </w:rPr>
            </w:pPr>
            <w:r w:rsidRPr="00260166">
              <w:rPr>
                <w:rFonts w:ascii="Arial" w:hAnsi="Arial" w:cs="Arial"/>
                <w:b/>
              </w:rPr>
              <w:t>Train services</w:t>
            </w:r>
          </w:p>
        </w:tc>
        <w:tc>
          <w:tcPr>
            <w:tcW w:w="2074" w:type="dxa"/>
            <w:gridSpan w:val="2"/>
            <w:shd w:val="clear" w:color="auto" w:fill="auto"/>
            <w:vAlign w:val="bottom"/>
            <w:hideMark/>
          </w:tcPr>
          <w:p w14:paraId="7DCF5F08" w14:textId="77777777" w:rsidR="003E5BF5" w:rsidRPr="00260166" w:rsidRDefault="003E5BF5" w:rsidP="00DE1921">
            <w:pPr>
              <w:jc w:val="right"/>
              <w:rPr>
                <w:rFonts w:ascii="Arial" w:hAnsi="Arial" w:cs="Arial"/>
                <w:b/>
              </w:rPr>
            </w:pPr>
            <w:r w:rsidRPr="00260166">
              <w:rPr>
                <w:rFonts w:ascii="Arial" w:hAnsi="Arial" w:cs="Arial"/>
                <w:b/>
              </w:rPr>
              <w:t>Tram services</w:t>
            </w:r>
          </w:p>
        </w:tc>
        <w:tc>
          <w:tcPr>
            <w:tcW w:w="2200" w:type="dxa"/>
            <w:gridSpan w:val="2"/>
            <w:shd w:val="clear" w:color="auto" w:fill="auto"/>
            <w:vAlign w:val="bottom"/>
            <w:hideMark/>
          </w:tcPr>
          <w:p w14:paraId="177DC120" w14:textId="77777777" w:rsidR="003E5BF5" w:rsidRPr="00260166" w:rsidRDefault="003E5BF5" w:rsidP="00DE1921">
            <w:pPr>
              <w:jc w:val="right"/>
              <w:rPr>
                <w:rFonts w:ascii="Arial" w:hAnsi="Arial" w:cs="Arial"/>
                <w:b/>
              </w:rPr>
            </w:pPr>
            <w:r w:rsidRPr="00260166">
              <w:rPr>
                <w:rFonts w:ascii="Arial" w:hAnsi="Arial" w:cs="Arial"/>
                <w:b/>
              </w:rPr>
              <w:t>Transport Safety and Security</w:t>
            </w:r>
          </w:p>
        </w:tc>
        <w:tc>
          <w:tcPr>
            <w:tcW w:w="2023" w:type="dxa"/>
            <w:gridSpan w:val="2"/>
            <w:shd w:val="clear" w:color="auto" w:fill="auto"/>
            <w:vAlign w:val="bottom"/>
            <w:hideMark/>
          </w:tcPr>
          <w:p w14:paraId="4E66AEFB" w14:textId="77777777" w:rsidR="003E5BF5" w:rsidRPr="00260166" w:rsidRDefault="003E5BF5" w:rsidP="00DE1921">
            <w:pPr>
              <w:jc w:val="right"/>
              <w:rPr>
                <w:rFonts w:ascii="Arial" w:hAnsi="Arial" w:cs="Arial"/>
                <w:b/>
              </w:rPr>
            </w:pPr>
            <w:r w:rsidRPr="00260166">
              <w:rPr>
                <w:rFonts w:ascii="Arial" w:hAnsi="Arial" w:cs="Arial"/>
                <w:b/>
              </w:rPr>
              <w:t>Sustainably Manage Fish Resources</w:t>
            </w:r>
          </w:p>
        </w:tc>
        <w:tc>
          <w:tcPr>
            <w:tcW w:w="2056" w:type="dxa"/>
            <w:gridSpan w:val="2"/>
            <w:shd w:val="clear" w:color="auto" w:fill="auto"/>
            <w:vAlign w:val="bottom"/>
            <w:hideMark/>
          </w:tcPr>
          <w:p w14:paraId="5453C287" w14:textId="77777777" w:rsidR="003E5BF5" w:rsidRPr="00260166" w:rsidRDefault="003E5BF5" w:rsidP="00DE1921">
            <w:pPr>
              <w:jc w:val="right"/>
              <w:rPr>
                <w:rFonts w:ascii="Arial" w:hAnsi="Arial" w:cs="Arial"/>
                <w:b/>
              </w:rPr>
            </w:pPr>
            <w:r w:rsidRPr="00260166">
              <w:rPr>
                <w:rFonts w:ascii="Arial" w:hAnsi="Arial" w:cs="Arial"/>
                <w:b/>
              </w:rPr>
              <w:t xml:space="preserve">Major projects </w:t>
            </w:r>
          </w:p>
        </w:tc>
        <w:tc>
          <w:tcPr>
            <w:tcW w:w="2627" w:type="dxa"/>
            <w:gridSpan w:val="2"/>
            <w:shd w:val="clear" w:color="auto" w:fill="auto"/>
            <w:vAlign w:val="bottom"/>
            <w:hideMark/>
          </w:tcPr>
          <w:p w14:paraId="2C5A8BBD" w14:textId="77777777" w:rsidR="003E5BF5" w:rsidRPr="00260166" w:rsidRDefault="003E5BF5" w:rsidP="00DE1921">
            <w:pPr>
              <w:jc w:val="right"/>
              <w:rPr>
                <w:rFonts w:ascii="Arial" w:hAnsi="Arial" w:cs="Arial"/>
                <w:b/>
              </w:rPr>
            </w:pPr>
            <w:r w:rsidRPr="00260166">
              <w:rPr>
                <w:rFonts w:ascii="Arial" w:hAnsi="Arial" w:cs="Arial"/>
                <w:b/>
              </w:rPr>
              <w:t>DoT Consolidated Totals</w:t>
            </w:r>
          </w:p>
        </w:tc>
      </w:tr>
      <w:tr w:rsidR="003E5BF5" w:rsidRPr="00260166" w14:paraId="4F78936F" w14:textId="77777777" w:rsidTr="00E70ED8">
        <w:trPr>
          <w:trHeight w:val="284"/>
          <w:jc w:val="center"/>
        </w:trPr>
        <w:tc>
          <w:tcPr>
            <w:tcW w:w="2269" w:type="dxa"/>
            <w:shd w:val="clear" w:color="auto" w:fill="auto"/>
            <w:noWrap/>
            <w:hideMark/>
          </w:tcPr>
          <w:p w14:paraId="717C36E9" w14:textId="77777777" w:rsidR="003E5BF5" w:rsidRPr="00260166" w:rsidRDefault="003E5BF5" w:rsidP="00DE1921">
            <w:pPr>
              <w:rPr>
                <w:rFonts w:ascii="Arial" w:hAnsi="Arial" w:cs="Arial"/>
                <w:b/>
              </w:rPr>
            </w:pPr>
          </w:p>
        </w:tc>
        <w:tc>
          <w:tcPr>
            <w:tcW w:w="1149" w:type="dxa"/>
            <w:shd w:val="clear" w:color="auto" w:fill="auto"/>
            <w:vAlign w:val="center"/>
            <w:hideMark/>
          </w:tcPr>
          <w:p w14:paraId="45536D7F" w14:textId="77777777" w:rsidR="003E5BF5" w:rsidRPr="00260166" w:rsidRDefault="003E5BF5" w:rsidP="00DE1921">
            <w:pPr>
              <w:jc w:val="right"/>
              <w:rPr>
                <w:rFonts w:ascii="Arial" w:hAnsi="Arial" w:cs="Arial"/>
                <w:b/>
              </w:rPr>
            </w:pPr>
            <w:r w:rsidRPr="00260166">
              <w:rPr>
                <w:rFonts w:ascii="Arial" w:hAnsi="Arial" w:cs="Arial"/>
                <w:b/>
              </w:rPr>
              <w:t>2020</w:t>
            </w:r>
          </w:p>
        </w:tc>
        <w:tc>
          <w:tcPr>
            <w:tcW w:w="1195" w:type="dxa"/>
            <w:shd w:val="clear" w:color="auto" w:fill="auto"/>
            <w:vAlign w:val="center"/>
            <w:hideMark/>
          </w:tcPr>
          <w:p w14:paraId="2C9C8DDC" w14:textId="77777777" w:rsidR="003E5BF5" w:rsidRPr="00260166" w:rsidRDefault="003E5BF5" w:rsidP="00DE1921">
            <w:pPr>
              <w:jc w:val="right"/>
              <w:rPr>
                <w:rFonts w:ascii="Arial" w:hAnsi="Arial" w:cs="Arial"/>
                <w:b/>
              </w:rPr>
            </w:pPr>
            <w:r w:rsidRPr="00260166">
              <w:rPr>
                <w:rFonts w:ascii="Arial" w:hAnsi="Arial" w:cs="Arial"/>
                <w:b/>
              </w:rPr>
              <w:t>2019</w:t>
            </w:r>
          </w:p>
        </w:tc>
        <w:tc>
          <w:tcPr>
            <w:tcW w:w="1102" w:type="dxa"/>
            <w:shd w:val="clear" w:color="auto" w:fill="auto"/>
            <w:vAlign w:val="center"/>
            <w:hideMark/>
          </w:tcPr>
          <w:p w14:paraId="0CFAF9E8" w14:textId="77777777" w:rsidR="003E5BF5" w:rsidRPr="00260166" w:rsidRDefault="003E5BF5" w:rsidP="00DE1921">
            <w:pPr>
              <w:jc w:val="right"/>
              <w:rPr>
                <w:rFonts w:ascii="Arial" w:hAnsi="Arial" w:cs="Arial"/>
                <w:b/>
              </w:rPr>
            </w:pPr>
            <w:r w:rsidRPr="00260166">
              <w:rPr>
                <w:rFonts w:ascii="Arial" w:hAnsi="Arial" w:cs="Arial"/>
                <w:b/>
              </w:rPr>
              <w:t>2020</w:t>
            </w:r>
          </w:p>
        </w:tc>
        <w:tc>
          <w:tcPr>
            <w:tcW w:w="972" w:type="dxa"/>
            <w:shd w:val="clear" w:color="auto" w:fill="auto"/>
            <w:vAlign w:val="center"/>
            <w:hideMark/>
          </w:tcPr>
          <w:p w14:paraId="1351E99D" w14:textId="77777777" w:rsidR="003E5BF5" w:rsidRPr="00260166" w:rsidRDefault="003E5BF5" w:rsidP="00DE1921">
            <w:pPr>
              <w:jc w:val="right"/>
              <w:rPr>
                <w:rFonts w:ascii="Arial" w:hAnsi="Arial" w:cs="Arial"/>
                <w:b/>
              </w:rPr>
            </w:pPr>
            <w:r w:rsidRPr="00260166">
              <w:rPr>
                <w:rFonts w:ascii="Arial" w:hAnsi="Arial" w:cs="Arial"/>
                <w:b/>
              </w:rPr>
              <w:t>2019</w:t>
            </w:r>
          </w:p>
        </w:tc>
        <w:tc>
          <w:tcPr>
            <w:tcW w:w="1163" w:type="dxa"/>
            <w:shd w:val="clear" w:color="auto" w:fill="auto"/>
            <w:vAlign w:val="center"/>
            <w:hideMark/>
          </w:tcPr>
          <w:p w14:paraId="487BE594" w14:textId="77777777" w:rsidR="003E5BF5" w:rsidRPr="00260166" w:rsidRDefault="003E5BF5" w:rsidP="00DE1921">
            <w:pPr>
              <w:jc w:val="right"/>
              <w:rPr>
                <w:rFonts w:ascii="Arial" w:hAnsi="Arial" w:cs="Arial"/>
                <w:b/>
              </w:rPr>
            </w:pPr>
            <w:r w:rsidRPr="00260166">
              <w:rPr>
                <w:rFonts w:ascii="Arial" w:hAnsi="Arial" w:cs="Arial"/>
                <w:b/>
              </w:rPr>
              <w:t>2020</w:t>
            </w:r>
          </w:p>
        </w:tc>
        <w:tc>
          <w:tcPr>
            <w:tcW w:w="1037" w:type="dxa"/>
            <w:shd w:val="clear" w:color="auto" w:fill="auto"/>
            <w:vAlign w:val="center"/>
            <w:hideMark/>
          </w:tcPr>
          <w:p w14:paraId="54234BC9" w14:textId="77777777" w:rsidR="003E5BF5" w:rsidRPr="00260166" w:rsidRDefault="003E5BF5" w:rsidP="00DE1921">
            <w:pPr>
              <w:jc w:val="right"/>
              <w:rPr>
                <w:rFonts w:ascii="Arial" w:hAnsi="Arial" w:cs="Arial"/>
                <w:b/>
              </w:rPr>
            </w:pPr>
            <w:r w:rsidRPr="00260166">
              <w:rPr>
                <w:rFonts w:ascii="Arial" w:hAnsi="Arial" w:cs="Arial"/>
                <w:b/>
              </w:rPr>
              <w:t>2019</w:t>
            </w:r>
          </w:p>
        </w:tc>
        <w:tc>
          <w:tcPr>
            <w:tcW w:w="996" w:type="dxa"/>
            <w:shd w:val="clear" w:color="auto" w:fill="auto"/>
            <w:vAlign w:val="center"/>
            <w:hideMark/>
          </w:tcPr>
          <w:p w14:paraId="691F42DF" w14:textId="77777777" w:rsidR="003E5BF5" w:rsidRPr="00260166" w:rsidRDefault="003E5BF5" w:rsidP="00DE1921">
            <w:pPr>
              <w:jc w:val="right"/>
              <w:rPr>
                <w:rFonts w:ascii="Arial" w:hAnsi="Arial" w:cs="Arial"/>
                <w:b/>
              </w:rPr>
            </w:pPr>
            <w:r w:rsidRPr="00260166">
              <w:rPr>
                <w:rFonts w:ascii="Arial" w:hAnsi="Arial" w:cs="Arial"/>
                <w:b/>
              </w:rPr>
              <w:t>2020</w:t>
            </w:r>
          </w:p>
        </w:tc>
        <w:tc>
          <w:tcPr>
            <w:tcW w:w="1027" w:type="dxa"/>
            <w:shd w:val="clear" w:color="auto" w:fill="auto"/>
            <w:vAlign w:val="center"/>
            <w:hideMark/>
          </w:tcPr>
          <w:p w14:paraId="6F555195" w14:textId="77777777" w:rsidR="003E5BF5" w:rsidRPr="00260166" w:rsidRDefault="003E5BF5" w:rsidP="00DE1921">
            <w:pPr>
              <w:jc w:val="right"/>
              <w:rPr>
                <w:rFonts w:ascii="Arial" w:hAnsi="Arial" w:cs="Arial"/>
                <w:b/>
              </w:rPr>
            </w:pPr>
            <w:r w:rsidRPr="00260166">
              <w:rPr>
                <w:rFonts w:ascii="Arial" w:hAnsi="Arial" w:cs="Arial"/>
                <w:b/>
              </w:rPr>
              <w:t>2019</w:t>
            </w:r>
          </w:p>
        </w:tc>
        <w:tc>
          <w:tcPr>
            <w:tcW w:w="1028" w:type="dxa"/>
            <w:shd w:val="clear" w:color="auto" w:fill="auto"/>
            <w:vAlign w:val="center"/>
            <w:hideMark/>
          </w:tcPr>
          <w:p w14:paraId="3727A289" w14:textId="77777777" w:rsidR="003E5BF5" w:rsidRPr="00260166" w:rsidRDefault="003E5BF5" w:rsidP="00DE1921">
            <w:pPr>
              <w:jc w:val="right"/>
              <w:rPr>
                <w:rFonts w:ascii="Arial" w:hAnsi="Arial" w:cs="Arial"/>
                <w:b/>
              </w:rPr>
            </w:pPr>
            <w:r w:rsidRPr="00260166">
              <w:rPr>
                <w:rFonts w:ascii="Arial" w:hAnsi="Arial" w:cs="Arial"/>
                <w:b/>
              </w:rPr>
              <w:t>2020</w:t>
            </w:r>
          </w:p>
        </w:tc>
        <w:tc>
          <w:tcPr>
            <w:tcW w:w="1028" w:type="dxa"/>
            <w:shd w:val="clear" w:color="auto" w:fill="auto"/>
            <w:vAlign w:val="center"/>
            <w:hideMark/>
          </w:tcPr>
          <w:p w14:paraId="069340B5" w14:textId="77777777" w:rsidR="003E5BF5" w:rsidRPr="00260166" w:rsidRDefault="003E5BF5" w:rsidP="00DE1921">
            <w:pPr>
              <w:jc w:val="right"/>
              <w:rPr>
                <w:rFonts w:ascii="Arial" w:hAnsi="Arial" w:cs="Arial"/>
                <w:b/>
              </w:rPr>
            </w:pPr>
            <w:r w:rsidRPr="00260166">
              <w:rPr>
                <w:rFonts w:ascii="Arial" w:hAnsi="Arial" w:cs="Arial"/>
                <w:b/>
              </w:rPr>
              <w:t>2019</w:t>
            </w:r>
          </w:p>
        </w:tc>
        <w:tc>
          <w:tcPr>
            <w:tcW w:w="1385" w:type="dxa"/>
            <w:shd w:val="clear" w:color="auto" w:fill="auto"/>
            <w:vAlign w:val="center"/>
            <w:hideMark/>
          </w:tcPr>
          <w:p w14:paraId="5A26188C" w14:textId="77777777" w:rsidR="003E5BF5" w:rsidRPr="00260166" w:rsidRDefault="003E5BF5" w:rsidP="00DE1921">
            <w:pPr>
              <w:jc w:val="right"/>
              <w:rPr>
                <w:rFonts w:ascii="Arial" w:hAnsi="Arial" w:cs="Arial"/>
                <w:b/>
              </w:rPr>
            </w:pPr>
            <w:r w:rsidRPr="00260166">
              <w:rPr>
                <w:rFonts w:ascii="Arial" w:hAnsi="Arial" w:cs="Arial"/>
                <w:b/>
              </w:rPr>
              <w:t>2020</w:t>
            </w:r>
          </w:p>
        </w:tc>
        <w:tc>
          <w:tcPr>
            <w:tcW w:w="1242" w:type="dxa"/>
            <w:shd w:val="clear" w:color="auto" w:fill="auto"/>
            <w:vAlign w:val="center"/>
            <w:hideMark/>
          </w:tcPr>
          <w:p w14:paraId="0288A6ED" w14:textId="77777777" w:rsidR="003E5BF5" w:rsidRPr="00260166" w:rsidRDefault="003E5BF5" w:rsidP="00DE1921">
            <w:pPr>
              <w:jc w:val="right"/>
              <w:rPr>
                <w:rFonts w:ascii="Arial" w:hAnsi="Arial" w:cs="Arial"/>
                <w:b/>
              </w:rPr>
            </w:pPr>
            <w:r w:rsidRPr="00260166">
              <w:rPr>
                <w:rFonts w:ascii="Arial" w:hAnsi="Arial" w:cs="Arial"/>
                <w:b/>
              </w:rPr>
              <w:t>2019</w:t>
            </w:r>
          </w:p>
        </w:tc>
      </w:tr>
      <w:tr w:rsidR="003E5BF5" w:rsidRPr="00260166" w14:paraId="6BA12FDE" w14:textId="77777777" w:rsidTr="00E70ED8">
        <w:trPr>
          <w:trHeight w:val="284"/>
          <w:jc w:val="center"/>
        </w:trPr>
        <w:tc>
          <w:tcPr>
            <w:tcW w:w="2269" w:type="dxa"/>
            <w:shd w:val="clear" w:color="auto" w:fill="auto"/>
            <w:noWrap/>
            <w:hideMark/>
          </w:tcPr>
          <w:p w14:paraId="5FBCF226" w14:textId="77777777" w:rsidR="003E5BF5" w:rsidRPr="00260166" w:rsidRDefault="003E5BF5" w:rsidP="00604703">
            <w:pPr>
              <w:pStyle w:val="TableTextGreen"/>
              <w:rPr>
                <w:sz w:val="22"/>
                <w:szCs w:val="22"/>
              </w:rPr>
            </w:pPr>
            <w:r w:rsidRPr="00260166">
              <w:rPr>
                <w:sz w:val="22"/>
                <w:szCs w:val="22"/>
              </w:rPr>
              <w:t>Assets</w:t>
            </w:r>
          </w:p>
        </w:tc>
        <w:tc>
          <w:tcPr>
            <w:tcW w:w="1149" w:type="dxa"/>
            <w:shd w:val="clear" w:color="auto" w:fill="auto"/>
            <w:noWrap/>
            <w:vAlign w:val="center"/>
            <w:hideMark/>
          </w:tcPr>
          <w:p w14:paraId="6EA29111" w14:textId="77777777" w:rsidR="003E5BF5" w:rsidRPr="00260166" w:rsidRDefault="003E5BF5" w:rsidP="00DE1921">
            <w:pPr>
              <w:jc w:val="right"/>
              <w:rPr>
                <w:rFonts w:ascii="Arial" w:hAnsi="Arial" w:cs="Arial"/>
              </w:rPr>
            </w:pPr>
            <w:r w:rsidRPr="00260166">
              <w:rPr>
                <w:rFonts w:ascii="Arial" w:hAnsi="Arial" w:cs="Arial"/>
              </w:rPr>
              <w:t> </w:t>
            </w:r>
          </w:p>
        </w:tc>
        <w:tc>
          <w:tcPr>
            <w:tcW w:w="1195" w:type="dxa"/>
            <w:shd w:val="clear" w:color="auto" w:fill="auto"/>
            <w:noWrap/>
            <w:vAlign w:val="center"/>
            <w:hideMark/>
          </w:tcPr>
          <w:p w14:paraId="6DA41D47" w14:textId="77777777" w:rsidR="003E5BF5" w:rsidRPr="00260166" w:rsidRDefault="003E5BF5" w:rsidP="00DE1921">
            <w:pPr>
              <w:jc w:val="right"/>
              <w:rPr>
                <w:rFonts w:ascii="Arial" w:hAnsi="Arial" w:cs="Arial"/>
              </w:rPr>
            </w:pPr>
            <w:r w:rsidRPr="00260166">
              <w:rPr>
                <w:rFonts w:ascii="Arial" w:hAnsi="Arial" w:cs="Arial"/>
              </w:rPr>
              <w:t> </w:t>
            </w:r>
          </w:p>
        </w:tc>
        <w:tc>
          <w:tcPr>
            <w:tcW w:w="1102" w:type="dxa"/>
            <w:shd w:val="clear" w:color="auto" w:fill="auto"/>
            <w:noWrap/>
            <w:vAlign w:val="center"/>
            <w:hideMark/>
          </w:tcPr>
          <w:p w14:paraId="4C042068" w14:textId="77777777" w:rsidR="003E5BF5" w:rsidRPr="00260166" w:rsidRDefault="003E5BF5" w:rsidP="00DE1921">
            <w:pPr>
              <w:jc w:val="right"/>
              <w:rPr>
                <w:rFonts w:ascii="Arial" w:hAnsi="Arial" w:cs="Arial"/>
              </w:rPr>
            </w:pPr>
            <w:r w:rsidRPr="00260166">
              <w:rPr>
                <w:rFonts w:ascii="Arial" w:hAnsi="Arial" w:cs="Arial"/>
              </w:rPr>
              <w:t> </w:t>
            </w:r>
          </w:p>
        </w:tc>
        <w:tc>
          <w:tcPr>
            <w:tcW w:w="972" w:type="dxa"/>
            <w:shd w:val="clear" w:color="auto" w:fill="auto"/>
            <w:noWrap/>
            <w:vAlign w:val="center"/>
            <w:hideMark/>
          </w:tcPr>
          <w:p w14:paraId="555C1A1C" w14:textId="77777777" w:rsidR="003E5BF5" w:rsidRPr="00260166" w:rsidRDefault="003E5BF5" w:rsidP="00DE1921">
            <w:pPr>
              <w:jc w:val="right"/>
              <w:rPr>
                <w:rFonts w:ascii="Arial" w:hAnsi="Arial" w:cs="Arial"/>
              </w:rPr>
            </w:pPr>
            <w:r w:rsidRPr="00260166">
              <w:rPr>
                <w:rFonts w:ascii="Arial" w:hAnsi="Arial" w:cs="Arial"/>
              </w:rPr>
              <w:t> </w:t>
            </w:r>
          </w:p>
        </w:tc>
        <w:tc>
          <w:tcPr>
            <w:tcW w:w="1163" w:type="dxa"/>
            <w:shd w:val="clear" w:color="auto" w:fill="auto"/>
            <w:noWrap/>
            <w:vAlign w:val="center"/>
            <w:hideMark/>
          </w:tcPr>
          <w:p w14:paraId="49628654" w14:textId="77777777" w:rsidR="003E5BF5" w:rsidRPr="00260166" w:rsidRDefault="003E5BF5" w:rsidP="00DE1921">
            <w:pPr>
              <w:jc w:val="right"/>
              <w:rPr>
                <w:rFonts w:ascii="Arial" w:hAnsi="Arial" w:cs="Arial"/>
              </w:rPr>
            </w:pPr>
            <w:r w:rsidRPr="00260166">
              <w:rPr>
                <w:rFonts w:ascii="Arial" w:hAnsi="Arial" w:cs="Arial"/>
              </w:rPr>
              <w:t> </w:t>
            </w:r>
          </w:p>
        </w:tc>
        <w:tc>
          <w:tcPr>
            <w:tcW w:w="1037" w:type="dxa"/>
            <w:shd w:val="clear" w:color="auto" w:fill="auto"/>
            <w:noWrap/>
            <w:vAlign w:val="center"/>
            <w:hideMark/>
          </w:tcPr>
          <w:p w14:paraId="63C81C68" w14:textId="77777777" w:rsidR="003E5BF5" w:rsidRPr="00260166" w:rsidRDefault="003E5BF5" w:rsidP="00DE1921">
            <w:pPr>
              <w:jc w:val="right"/>
              <w:rPr>
                <w:rFonts w:ascii="Arial" w:hAnsi="Arial" w:cs="Arial"/>
              </w:rPr>
            </w:pPr>
            <w:r w:rsidRPr="00260166">
              <w:rPr>
                <w:rFonts w:ascii="Arial" w:hAnsi="Arial" w:cs="Arial"/>
              </w:rPr>
              <w:t> </w:t>
            </w:r>
          </w:p>
        </w:tc>
        <w:tc>
          <w:tcPr>
            <w:tcW w:w="996" w:type="dxa"/>
            <w:shd w:val="clear" w:color="auto" w:fill="auto"/>
            <w:noWrap/>
            <w:vAlign w:val="center"/>
            <w:hideMark/>
          </w:tcPr>
          <w:p w14:paraId="0EF69E19" w14:textId="77777777" w:rsidR="003E5BF5" w:rsidRPr="00260166" w:rsidRDefault="003E5BF5" w:rsidP="00DE1921">
            <w:pPr>
              <w:jc w:val="right"/>
              <w:rPr>
                <w:rFonts w:ascii="Arial" w:hAnsi="Arial" w:cs="Arial"/>
              </w:rPr>
            </w:pPr>
            <w:r w:rsidRPr="00260166">
              <w:rPr>
                <w:rFonts w:ascii="Arial" w:hAnsi="Arial" w:cs="Arial"/>
              </w:rPr>
              <w:t> </w:t>
            </w:r>
          </w:p>
        </w:tc>
        <w:tc>
          <w:tcPr>
            <w:tcW w:w="1027" w:type="dxa"/>
            <w:shd w:val="clear" w:color="auto" w:fill="auto"/>
            <w:noWrap/>
            <w:vAlign w:val="center"/>
            <w:hideMark/>
          </w:tcPr>
          <w:p w14:paraId="261BD02B" w14:textId="77777777" w:rsidR="003E5BF5" w:rsidRPr="00260166" w:rsidRDefault="003E5BF5" w:rsidP="00DE1921">
            <w:pPr>
              <w:jc w:val="right"/>
              <w:rPr>
                <w:rFonts w:ascii="Arial" w:hAnsi="Arial" w:cs="Arial"/>
              </w:rPr>
            </w:pPr>
            <w:r w:rsidRPr="00260166">
              <w:rPr>
                <w:rFonts w:ascii="Arial" w:hAnsi="Arial" w:cs="Arial"/>
              </w:rPr>
              <w:t> </w:t>
            </w:r>
          </w:p>
        </w:tc>
        <w:tc>
          <w:tcPr>
            <w:tcW w:w="1028" w:type="dxa"/>
            <w:shd w:val="clear" w:color="auto" w:fill="auto"/>
            <w:noWrap/>
            <w:vAlign w:val="center"/>
            <w:hideMark/>
          </w:tcPr>
          <w:p w14:paraId="140DC61C" w14:textId="77777777" w:rsidR="003E5BF5" w:rsidRPr="00260166" w:rsidRDefault="003E5BF5" w:rsidP="00DE1921">
            <w:pPr>
              <w:jc w:val="right"/>
              <w:rPr>
                <w:rFonts w:ascii="Arial" w:hAnsi="Arial" w:cs="Arial"/>
              </w:rPr>
            </w:pPr>
            <w:r w:rsidRPr="00260166">
              <w:rPr>
                <w:rFonts w:ascii="Arial" w:hAnsi="Arial" w:cs="Arial"/>
              </w:rPr>
              <w:t> </w:t>
            </w:r>
          </w:p>
        </w:tc>
        <w:tc>
          <w:tcPr>
            <w:tcW w:w="1028" w:type="dxa"/>
            <w:shd w:val="clear" w:color="auto" w:fill="auto"/>
            <w:noWrap/>
            <w:vAlign w:val="center"/>
            <w:hideMark/>
          </w:tcPr>
          <w:p w14:paraId="6F75D465" w14:textId="77777777" w:rsidR="003E5BF5" w:rsidRPr="00260166" w:rsidRDefault="003E5BF5" w:rsidP="00DE1921">
            <w:pPr>
              <w:jc w:val="right"/>
              <w:rPr>
                <w:rFonts w:ascii="Arial" w:hAnsi="Arial" w:cs="Arial"/>
              </w:rPr>
            </w:pPr>
            <w:r w:rsidRPr="00260166">
              <w:rPr>
                <w:rFonts w:ascii="Arial" w:hAnsi="Arial" w:cs="Arial"/>
              </w:rPr>
              <w:t> </w:t>
            </w:r>
          </w:p>
        </w:tc>
        <w:tc>
          <w:tcPr>
            <w:tcW w:w="1385" w:type="dxa"/>
            <w:shd w:val="clear" w:color="auto" w:fill="auto"/>
            <w:noWrap/>
            <w:vAlign w:val="center"/>
            <w:hideMark/>
          </w:tcPr>
          <w:p w14:paraId="166217B0" w14:textId="77777777" w:rsidR="003E5BF5" w:rsidRPr="00260166" w:rsidRDefault="003E5BF5" w:rsidP="00DE1921">
            <w:pPr>
              <w:jc w:val="right"/>
              <w:rPr>
                <w:rFonts w:ascii="Arial" w:hAnsi="Arial" w:cs="Arial"/>
              </w:rPr>
            </w:pPr>
            <w:r w:rsidRPr="00260166">
              <w:rPr>
                <w:rFonts w:ascii="Arial" w:hAnsi="Arial" w:cs="Arial"/>
              </w:rPr>
              <w:t> </w:t>
            </w:r>
          </w:p>
        </w:tc>
        <w:tc>
          <w:tcPr>
            <w:tcW w:w="1242" w:type="dxa"/>
            <w:shd w:val="clear" w:color="auto" w:fill="auto"/>
            <w:noWrap/>
            <w:vAlign w:val="center"/>
            <w:hideMark/>
          </w:tcPr>
          <w:p w14:paraId="4C336B1E" w14:textId="77777777" w:rsidR="003E5BF5" w:rsidRPr="00260166" w:rsidRDefault="003E5BF5" w:rsidP="00DE1921">
            <w:pPr>
              <w:jc w:val="right"/>
              <w:rPr>
                <w:rFonts w:ascii="Arial" w:hAnsi="Arial" w:cs="Arial"/>
              </w:rPr>
            </w:pPr>
            <w:r w:rsidRPr="00260166">
              <w:rPr>
                <w:rFonts w:ascii="Arial" w:hAnsi="Arial" w:cs="Arial"/>
              </w:rPr>
              <w:t> </w:t>
            </w:r>
          </w:p>
        </w:tc>
      </w:tr>
      <w:tr w:rsidR="003E5BF5" w:rsidRPr="00260166" w14:paraId="3967EEC4" w14:textId="77777777" w:rsidTr="00E70ED8">
        <w:trPr>
          <w:trHeight w:val="284"/>
          <w:jc w:val="center"/>
        </w:trPr>
        <w:tc>
          <w:tcPr>
            <w:tcW w:w="2269" w:type="dxa"/>
            <w:shd w:val="clear" w:color="auto" w:fill="auto"/>
            <w:noWrap/>
            <w:hideMark/>
          </w:tcPr>
          <w:p w14:paraId="21B64CEA" w14:textId="77777777" w:rsidR="003E5BF5" w:rsidRPr="00260166" w:rsidRDefault="003E5BF5" w:rsidP="00DE1921">
            <w:pPr>
              <w:rPr>
                <w:rFonts w:ascii="Arial" w:hAnsi="Arial" w:cs="Arial"/>
              </w:rPr>
            </w:pPr>
            <w:r w:rsidRPr="00260166">
              <w:rPr>
                <w:rFonts w:ascii="Arial" w:hAnsi="Arial" w:cs="Arial"/>
              </w:rPr>
              <w:t>Financial assets</w:t>
            </w:r>
          </w:p>
        </w:tc>
        <w:tc>
          <w:tcPr>
            <w:tcW w:w="1149" w:type="dxa"/>
            <w:shd w:val="clear" w:color="auto" w:fill="auto"/>
            <w:noWrap/>
            <w:vAlign w:val="center"/>
            <w:hideMark/>
          </w:tcPr>
          <w:p w14:paraId="69B16AD2" w14:textId="77777777" w:rsidR="003E5BF5" w:rsidRPr="00260166" w:rsidRDefault="003E5BF5" w:rsidP="00DE1921">
            <w:pPr>
              <w:jc w:val="right"/>
              <w:rPr>
                <w:rFonts w:ascii="Arial" w:hAnsi="Arial" w:cs="Arial"/>
              </w:rPr>
            </w:pPr>
            <w:r w:rsidRPr="00260166">
              <w:rPr>
                <w:rFonts w:ascii="Arial" w:hAnsi="Arial" w:cs="Arial"/>
              </w:rPr>
              <w:t xml:space="preserve">248,704 </w:t>
            </w:r>
          </w:p>
        </w:tc>
        <w:tc>
          <w:tcPr>
            <w:tcW w:w="1195" w:type="dxa"/>
            <w:shd w:val="clear" w:color="auto" w:fill="auto"/>
            <w:noWrap/>
            <w:vAlign w:val="center"/>
            <w:hideMark/>
          </w:tcPr>
          <w:p w14:paraId="565BF4DF" w14:textId="77777777" w:rsidR="003E5BF5" w:rsidRPr="00260166" w:rsidRDefault="003E5BF5" w:rsidP="00DE1921">
            <w:pPr>
              <w:jc w:val="right"/>
              <w:rPr>
                <w:rFonts w:ascii="Arial" w:hAnsi="Arial" w:cs="Arial"/>
              </w:rPr>
            </w:pPr>
            <w:r w:rsidRPr="00260166">
              <w:rPr>
                <w:rFonts w:ascii="Arial" w:hAnsi="Arial" w:cs="Arial"/>
              </w:rPr>
              <w:t xml:space="preserve">738,894 </w:t>
            </w:r>
          </w:p>
        </w:tc>
        <w:tc>
          <w:tcPr>
            <w:tcW w:w="1102" w:type="dxa"/>
            <w:shd w:val="clear" w:color="auto" w:fill="auto"/>
            <w:noWrap/>
            <w:vAlign w:val="center"/>
            <w:hideMark/>
          </w:tcPr>
          <w:p w14:paraId="20CDEF26" w14:textId="77777777" w:rsidR="003E5BF5" w:rsidRPr="00260166" w:rsidRDefault="003E5BF5" w:rsidP="00DE1921">
            <w:pPr>
              <w:jc w:val="right"/>
              <w:rPr>
                <w:rFonts w:ascii="Arial" w:hAnsi="Arial" w:cs="Arial"/>
              </w:rPr>
            </w:pPr>
            <w:r w:rsidRPr="00260166">
              <w:rPr>
                <w:rFonts w:ascii="Arial" w:hAnsi="Arial" w:cs="Arial"/>
              </w:rPr>
              <w:t xml:space="preserve">39,255 </w:t>
            </w:r>
          </w:p>
        </w:tc>
        <w:tc>
          <w:tcPr>
            <w:tcW w:w="972" w:type="dxa"/>
            <w:shd w:val="clear" w:color="auto" w:fill="auto"/>
            <w:noWrap/>
            <w:vAlign w:val="center"/>
            <w:hideMark/>
          </w:tcPr>
          <w:p w14:paraId="175C3A02" w14:textId="77777777" w:rsidR="003E5BF5" w:rsidRPr="00260166" w:rsidRDefault="003E5BF5" w:rsidP="00DE1921">
            <w:pPr>
              <w:jc w:val="right"/>
              <w:rPr>
                <w:rFonts w:ascii="Arial" w:hAnsi="Arial" w:cs="Arial"/>
              </w:rPr>
            </w:pPr>
            <w:r w:rsidRPr="00260166">
              <w:rPr>
                <w:rFonts w:ascii="Arial" w:hAnsi="Arial" w:cs="Arial"/>
              </w:rPr>
              <w:t xml:space="preserve">82,983 </w:t>
            </w:r>
          </w:p>
        </w:tc>
        <w:tc>
          <w:tcPr>
            <w:tcW w:w="1163" w:type="dxa"/>
            <w:shd w:val="clear" w:color="auto" w:fill="auto"/>
            <w:noWrap/>
            <w:vAlign w:val="center"/>
            <w:hideMark/>
          </w:tcPr>
          <w:p w14:paraId="482A10DA" w14:textId="77777777" w:rsidR="003E5BF5" w:rsidRPr="00260166" w:rsidRDefault="003E5BF5" w:rsidP="00DE1921">
            <w:pPr>
              <w:jc w:val="right"/>
              <w:rPr>
                <w:rFonts w:ascii="Arial" w:hAnsi="Arial" w:cs="Arial"/>
              </w:rPr>
            </w:pPr>
            <w:r w:rsidRPr="00260166">
              <w:rPr>
                <w:rFonts w:ascii="Arial" w:hAnsi="Arial" w:cs="Arial"/>
              </w:rPr>
              <w:t xml:space="preserve">64,685 </w:t>
            </w:r>
          </w:p>
        </w:tc>
        <w:tc>
          <w:tcPr>
            <w:tcW w:w="1037" w:type="dxa"/>
            <w:shd w:val="clear" w:color="auto" w:fill="auto"/>
            <w:noWrap/>
            <w:vAlign w:val="center"/>
            <w:hideMark/>
          </w:tcPr>
          <w:p w14:paraId="10D568E5" w14:textId="77777777" w:rsidR="003E5BF5" w:rsidRPr="00260166" w:rsidRDefault="003E5BF5" w:rsidP="00DE1921">
            <w:pPr>
              <w:jc w:val="right"/>
              <w:rPr>
                <w:rFonts w:ascii="Arial" w:hAnsi="Arial" w:cs="Arial"/>
              </w:rPr>
            </w:pPr>
            <w:r w:rsidRPr="00260166">
              <w:rPr>
                <w:rFonts w:ascii="Arial" w:hAnsi="Arial" w:cs="Arial"/>
              </w:rPr>
              <w:t xml:space="preserve">44,774 </w:t>
            </w:r>
          </w:p>
        </w:tc>
        <w:tc>
          <w:tcPr>
            <w:tcW w:w="996" w:type="dxa"/>
            <w:shd w:val="clear" w:color="auto" w:fill="auto"/>
            <w:noWrap/>
            <w:vAlign w:val="center"/>
            <w:hideMark/>
          </w:tcPr>
          <w:p w14:paraId="6625C9AB" w14:textId="77777777" w:rsidR="003E5BF5" w:rsidRPr="00260166" w:rsidRDefault="003E5BF5" w:rsidP="00DE1921">
            <w:pPr>
              <w:jc w:val="right"/>
              <w:rPr>
                <w:rFonts w:ascii="Arial" w:hAnsi="Arial" w:cs="Arial"/>
              </w:rPr>
            </w:pPr>
            <w:r w:rsidRPr="00260166">
              <w:rPr>
                <w:rFonts w:ascii="Arial" w:hAnsi="Arial" w:cs="Arial"/>
              </w:rPr>
              <w:t xml:space="preserve">56,807 </w:t>
            </w:r>
          </w:p>
        </w:tc>
        <w:tc>
          <w:tcPr>
            <w:tcW w:w="1027" w:type="dxa"/>
            <w:shd w:val="clear" w:color="auto" w:fill="auto"/>
            <w:noWrap/>
            <w:vAlign w:val="center"/>
            <w:hideMark/>
          </w:tcPr>
          <w:p w14:paraId="52B692F7" w14:textId="77777777" w:rsidR="003E5BF5" w:rsidRPr="00260166" w:rsidRDefault="003E5BF5" w:rsidP="00DE1921">
            <w:pPr>
              <w:jc w:val="right"/>
              <w:rPr>
                <w:rFonts w:ascii="Arial" w:hAnsi="Arial" w:cs="Arial"/>
              </w:rPr>
            </w:pPr>
            <w:r w:rsidRPr="00260166">
              <w:rPr>
                <w:rFonts w:ascii="Arial" w:hAnsi="Arial" w:cs="Arial"/>
              </w:rPr>
              <w:t xml:space="preserve">9,534 </w:t>
            </w:r>
          </w:p>
        </w:tc>
        <w:tc>
          <w:tcPr>
            <w:tcW w:w="1028" w:type="dxa"/>
            <w:shd w:val="clear" w:color="auto" w:fill="auto"/>
            <w:noWrap/>
            <w:vAlign w:val="center"/>
            <w:hideMark/>
          </w:tcPr>
          <w:p w14:paraId="4130F282" w14:textId="77777777" w:rsidR="003E5BF5" w:rsidRPr="00260166" w:rsidRDefault="003E5BF5" w:rsidP="00DE1921">
            <w:pPr>
              <w:jc w:val="right"/>
              <w:rPr>
                <w:rFonts w:ascii="Arial" w:hAnsi="Arial" w:cs="Arial"/>
              </w:rPr>
            </w:pPr>
            <w:r w:rsidRPr="00260166">
              <w:rPr>
                <w:rFonts w:ascii="Arial" w:hAnsi="Arial" w:cs="Arial"/>
              </w:rPr>
              <w:t xml:space="preserve"> </w:t>
            </w:r>
            <w:r w:rsidRPr="00260166">
              <w:rPr>
                <w:rFonts w:ascii="Arial" w:hAnsi="Arial" w:cs="Arial"/>
                <w:b/>
              </w:rPr>
              <w:t>-</w:t>
            </w:r>
            <w:r w:rsidRPr="00260166">
              <w:rPr>
                <w:rFonts w:ascii="Arial" w:hAnsi="Arial" w:cs="Arial"/>
              </w:rPr>
              <w:t xml:space="preserve"> </w:t>
            </w:r>
          </w:p>
        </w:tc>
        <w:tc>
          <w:tcPr>
            <w:tcW w:w="1028" w:type="dxa"/>
            <w:shd w:val="clear" w:color="auto" w:fill="auto"/>
            <w:noWrap/>
            <w:vAlign w:val="center"/>
            <w:hideMark/>
          </w:tcPr>
          <w:p w14:paraId="0DD44AD5" w14:textId="77777777" w:rsidR="003E5BF5" w:rsidRPr="00260166" w:rsidRDefault="003E5BF5" w:rsidP="00DE1921">
            <w:pPr>
              <w:jc w:val="right"/>
              <w:rPr>
                <w:rFonts w:ascii="Arial" w:hAnsi="Arial" w:cs="Arial"/>
              </w:rPr>
            </w:pPr>
            <w:r w:rsidRPr="00260166">
              <w:rPr>
                <w:rFonts w:ascii="Arial" w:hAnsi="Arial" w:cs="Arial"/>
              </w:rPr>
              <w:t xml:space="preserve">5,783 </w:t>
            </w:r>
          </w:p>
        </w:tc>
        <w:tc>
          <w:tcPr>
            <w:tcW w:w="1385" w:type="dxa"/>
            <w:shd w:val="clear" w:color="auto" w:fill="auto"/>
            <w:noWrap/>
            <w:vAlign w:val="center"/>
            <w:hideMark/>
          </w:tcPr>
          <w:p w14:paraId="24478C8C" w14:textId="77777777" w:rsidR="003E5BF5" w:rsidRPr="00260166" w:rsidRDefault="003E5BF5" w:rsidP="00DE1921">
            <w:pPr>
              <w:jc w:val="right"/>
              <w:rPr>
                <w:rFonts w:ascii="Arial" w:hAnsi="Arial" w:cs="Arial"/>
              </w:rPr>
            </w:pPr>
            <w:r w:rsidRPr="00260166">
              <w:rPr>
                <w:rFonts w:ascii="Arial" w:hAnsi="Arial" w:cs="Arial"/>
              </w:rPr>
              <w:t xml:space="preserve">2,375,591 </w:t>
            </w:r>
          </w:p>
        </w:tc>
        <w:tc>
          <w:tcPr>
            <w:tcW w:w="1242" w:type="dxa"/>
            <w:shd w:val="clear" w:color="auto" w:fill="auto"/>
            <w:noWrap/>
            <w:vAlign w:val="center"/>
            <w:hideMark/>
          </w:tcPr>
          <w:p w14:paraId="67E78F0E" w14:textId="77777777" w:rsidR="003E5BF5" w:rsidRPr="00260166" w:rsidRDefault="003E5BF5" w:rsidP="00DE1921">
            <w:pPr>
              <w:jc w:val="right"/>
              <w:rPr>
                <w:rFonts w:ascii="Arial" w:hAnsi="Arial" w:cs="Arial"/>
              </w:rPr>
            </w:pPr>
            <w:r w:rsidRPr="00260166">
              <w:rPr>
                <w:rFonts w:ascii="Arial" w:hAnsi="Arial" w:cs="Arial"/>
              </w:rPr>
              <w:t xml:space="preserve">1,243,506 </w:t>
            </w:r>
          </w:p>
        </w:tc>
      </w:tr>
      <w:tr w:rsidR="003E5BF5" w:rsidRPr="00260166" w14:paraId="6E3A1D2C" w14:textId="77777777" w:rsidTr="00E70ED8">
        <w:trPr>
          <w:trHeight w:val="284"/>
          <w:jc w:val="center"/>
        </w:trPr>
        <w:tc>
          <w:tcPr>
            <w:tcW w:w="2269" w:type="dxa"/>
            <w:shd w:val="clear" w:color="auto" w:fill="auto"/>
            <w:noWrap/>
            <w:hideMark/>
          </w:tcPr>
          <w:p w14:paraId="633FB782" w14:textId="77777777" w:rsidR="003E5BF5" w:rsidRPr="00260166" w:rsidRDefault="003E5BF5" w:rsidP="00DE1921">
            <w:pPr>
              <w:rPr>
                <w:rFonts w:ascii="Arial" w:hAnsi="Arial" w:cs="Arial"/>
              </w:rPr>
            </w:pPr>
            <w:r w:rsidRPr="00260166">
              <w:rPr>
                <w:rFonts w:ascii="Arial" w:hAnsi="Arial" w:cs="Arial"/>
              </w:rPr>
              <w:t xml:space="preserve">Non-financial assets </w:t>
            </w:r>
            <w:r w:rsidRPr="00260166">
              <w:rPr>
                <w:rFonts w:ascii="Arial" w:hAnsi="Arial" w:cs="Arial"/>
                <w:vertAlign w:val="superscript"/>
              </w:rPr>
              <w:t>(</w:t>
            </w:r>
            <w:proofErr w:type="spellStart"/>
            <w:r w:rsidRPr="00260166">
              <w:rPr>
                <w:rFonts w:ascii="Arial" w:hAnsi="Arial" w:cs="Arial"/>
                <w:vertAlign w:val="superscript"/>
              </w:rPr>
              <w:t>i</w:t>
            </w:r>
            <w:proofErr w:type="spellEnd"/>
            <w:r w:rsidRPr="00260166">
              <w:rPr>
                <w:rFonts w:ascii="Arial" w:hAnsi="Arial" w:cs="Arial"/>
                <w:vertAlign w:val="superscript"/>
              </w:rPr>
              <w:t>)</w:t>
            </w:r>
          </w:p>
        </w:tc>
        <w:tc>
          <w:tcPr>
            <w:tcW w:w="1149" w:type="dxa"/>
            <w:shd w:val="clear" w:color="auto" w:fill="auto"/>
            <w:noWrap/>
            <w:vAlign w:val="center"/>
            <w:hideMark/>
          </w:tcPr>
          <w:p w14:paraId="1E6FDC0E" w14:textId="77777777" w:rsidR="003E5BF5" w:rsidRPr="00260166" w:rsidRDefault="003E5BF5" w:rsidP="00DE1921">
            <w:pPr>
              <w:jc w:val="right"/>
              <w:rPr>
                <w:rFonts w:ascii="Arial" w:hAnsi="Arial" w:cs="Arial"/>
              </w:rPr>
            </w:pPr>
            <w:r w:rsidRPr="00260166">
              <w:rPr>
                <w:rFonts w:ascii="Arial" w:hAnsi="Arial" w:cs="Arial"/>
              </w:rPr>
              <w:t xml:space="preserve">1,353,367 </w:t>
            </w:r>
          </w:p>
        </w:tc>
        <w:tc>
          <w:tcPr>
            <w:tcW w:w="1195" w:type="dxa"/>
            <w:shd w:val="clear" w:color="auto" w:fill="auto"/>
            <w:noWrap/>
            <w:vAlign w:val="center"/>
            <w:hideMark/>
          </w:tcPr>
          <w:p w14:paraId="4459D928" w14:textId="77777777" w:rsidR="003E5BF5" w:rsidRPr="00260166" w:rsidRDefault="003E5BF5" w:rsidP="00DE1921">
            <w:pPr>
              <w:jc w:val="right"/>
              <w:rPr>
                <w:rFonts w:ascii="Arial" w:hAnsi="Arial" w:cs="Arial"/>
              </w:rPr>
            </w:pPr>
            <w:r w:rsidRPr="00260166">
              <w:rPr>
                <w:rFonts w:ascii="Arial" w:hAnsi="Arial" w:cs="Arial"/>
              </w:rPr>
              <w:t xml:space="preserve">659,601 </w:t>
            </w:r>
          </w:p>
        </w:tc>
        <w:tc>
          <w:tcPr>
            <w:tcW w:w="1102" w:type="dxa"/>
            <w:shd w:val="clear" w:color="auto" w:fill="auto"/>
            <w:noWrap/>
            <w:vAlign w:val="center"/>
            <w:hideMark/>
          </w:tcPr>
          <w:p w14:paraId="45ECA5BA" w14:textId="77777777" w:rsidR="003E5BF5" w:rsidRPr="00260166" w:rsidRDefault="003E5BF5" w:rsidP="00DE1921">
            <w:pPr>
              <w:jc w:val="right"/>
              <w:rPr>
                <w:rFonts w:ascii="Arial" w:hAnsi="Arial" w:cs="Arial"/>
              </w:rPr>
            </w:pPr>
            <w:r w:rsidRPr="00260166">
              <w:rPr>
                <w:rFonts w:ascii="Arial" w:hAnsi="Arial" w:cs="Arial"/>
              </w:rPr>
              <w:t xml:space="preserve">235,238 </w:t>
            </w:r>
          </w:p>
        </w:tc>
        <w:tc>
          <w:tcPr>
            <w:tcW w:w="972" w:type="dxa"/>
            <w:shd w:val="clear" w:color="auto" w:fill="auto"/>
            <w:noWrap/>
            <w:vAlign w:val="center"/>
            <w:hideMark/>
          </w:tcPr>
          <w:p w14:paraId="229EB460" w14:textId="77777777" w:rsidR="003E5BF5" w:rsidRPr="00260166" w:rsidRDefault="003E5BF5" w:rsidP="00DE1921">
            <w:pPr>
              <w:jc w:val="right"/>
              <w:rPr>
                <w:rFonts w:ascii="Arial" w:hAnsi="Arial" w:cs="Arial"/>
              </w:rPr>
            </w:pPr>
            <w:r w:rsidRPr="00260166">
              <w:rPr>
                <w:rFonts w:ascii="Arial" w:hAnsi="Arial" w:cs="Arial"/>
              </w:rPr>
              <w:t xml:space="preserve">7,207 </w:t>
            </w:r>
          </w:p>
        </w:tc>
        <w:tc>
          <w:tcPr>
            <w:tcW w:w="1163" w:type="dxa"/>
            <w:shd w:val="clear" w:color="auto" w:fill="auto"/>
            <w:noWrap/>
            <w:vAlign w:val="center"/>
            <w:hideMark/>
          </w:tcPr>
          <w:p w14:paraId="3D7A9E9E" w14:textId="77777777" w:rsidR="003E5BF5" w:rsidRPr="00260166" w:rsidRDefault="003E5BF5" w:rsidP="00DE1921">
            <w:pPr>
              <w:jc w:val="right"/>
              <w:rPr>
                <w:rFonts w:ascii="Arial" w:hAnsi="Arial" w:cs="Arial"/>
              </w:rPr>
            </w:pPr>
            <w:r w:rsidRPr="00260166">
              <w:rPr>
                <w:rFonts w:ascii="Arial" w:hAnsi="Arial" w:cs="Arial"/>
              </w:rPr>
              <w:t xml:space="preserve">5,277,342 </w:t>
            </w:r>
          </w:p>
        </w:tc>
        <w:tc>
          <w:tcPr>
            <w:tcW w:w="1037" w:type="dxa"/>
            <w:shd w:val="clear" w:color="auto" w:fill="auto"/>
            <w:noWrap/>
            <w:vAlign w:val="center"/>
            <w:hideMark/>
          </w:tcPr>
          <w:p w14:paraId="2423E1C7" w14:textId="77777777" w:rsidR="003E5BF5" w:rsidRPr="00260166" w:rsidRDefault="003E5BF5" w:rsidP="00DE1921">
            <w:pPr>
              <w:jc w:val="right"/>
              <w:rPr>
                <w:rFonts w:ascii="Arial" w:hAnsi="Arial" w:cs="Arial"/>
              </w:rPr>
            </w:pPr>
            <w:r w:rsidRPr="00260166">
              <w:rPr>
                <w:rFonts w:ascii="Arial" w:hAnsi="Arial" w:cs="Arial"/>
              </w:rPr>
              <w:t xml:space="preserve">5,618 </w:t>
            </w:r>
          </w:p>
        </w:tc>
        <w:tc>
          <w:tcPr>
            <w:tcW w:w="996" w:type="dxa"/>
            <w:shd w:val="clear" w:color="auto" w:fill="auto"/>
            <w:noWrap/>
            <w:vAlign w:val="center"/>
            <w:hideMark/>
          </w:tcPr>
          <w:p w14:paraId="0F99429F" w14:textId="77777777" w:rsidR="003E5BF5" w:rsidRPr="00260166" w:rsidRDefault="003E5BF5" w:rsidP="00DE1921">
            <w:pPr>
              <w:jc w:val="right"/>
              <w:rPr>
                <w:rFonts w:ascii="Arial" w:hAnsi="Arial" w:cs="Arial"/>
              </w:rPr>
            </w:pPr>
            <w:r w:rsidRPr="00260166">
              <w:rPr>
                <w:rFonts w:ascii="Arial" w:hAnsi="Arial" w:cs="Arial"/>
              </w:rPr>
              <w:t xml:space="preserve"> </w:t>
            </w:r>
            <w:r w:rsidRPr="00260166">
              <w:rPr>
                <w:rFonts w:ascii="Arial" w:hAnsi="Arial" w:cs="Arial"/>
                <w:b/>
              </w:rPr>
              <w:t>-</w:t>
            </w:r>
            <w:r w:rsidRPr="00260166">
              <w:rPr>
                <w:rFonts w:ascii="Arial" w:hAnsi="Arial" w:cs="Arial"/>
              </w:rPr>
              <w:t xml:space="preserve"> </w:t>
            </w:r>
          </w:p>
        </w:tc>
        <w:tc>
          <w:tcPr>
            <w:tcW w:w="1027" w:type="dxa"/>
            <w:shd w:val="clear" w:color="auto" w:fill="auto"/>
            <w:noWrap/>
            <w:vAlign w:val="center"/>
            <w:hideMark/>
          </w:tcPr>
          <w:p w14:paraId="059D9180" w14:textId="77777777" w:rsidR="003E5BF5" w:rsidRPr="00260166" w:rsidRDefault="003E5BF5" w:rsidP="00DE1921">
            <w:pPr>
              <w:jc w:val="right"/>
              <w:rPr>
                <w:rFonts w:ascii="Arial" w:hAnsi="Arial" w:cs="Arial"/>
              </w:rPr>
            </w:pPr>
            <w:r w:rsidRPr="00260166">
              <w:rPr>
                <w:rFonts w:ascii="Arial" w:hAnsi="Arial" w:cs="Arial"/>
              </w:rPr>
              <w:t xml:space="preserve">36 </w:t>
            </w:r>
          </w:p>
        </w:tc>
        <w:tc>
          <w:tcPr>
            <w:tcW w:w="1028" w:type="dxa"/>
            <w:shd w:val="clear" w:color="auto" w:fill="auto"/>
            <w:noWrap/>
            <w:vAlign w:val="center"/>
            <w:hideMark/>
          </w:tcPr>
          <w:p w14:paraId="08E396C6" w14:textId="77777777" w:rsidR="003E5BF5" w:rsidRPr="00260166" w:rsidRDefault="003E5BF5" w:rsidP="00DE1921">
            <w:pPr>
              <w:jc w:val="right"/>
              <w:rPr>
                <w:rFonts w:ascii="Arial" w:hAnsi="Arial" w:cs="Arial"/>
              </w:rPr>
            </w:pPr>
            <w:r w:rsidRPr="00260166">
              <w:rPr>
                <w:rFonts w:ascii="Arial" w:hAnsi="Arial" w:cs="Arial"/>
              </w:rPr>
              <w:t xml:space="preserve">114,464 </w:t>
            </w:r>
          </w:p>
        </w:tc>
        <w:tc>
          <w:tcPr>
            <w:tcW w:w="1028" w:type="dxa"/>
            <w:shd w:val="clear" w:color="auto" w:fill="auto"/>
            <w:noWrap/>
            <w:vAlign w:val="center"/>
            <w:hideMark/>
          </w:tcPr>
          <w:p w14:paraId="1E1BD10B" w14:textId="77777777" w:rsidR="003E5BF5" w:rsidRPr="00260166" w:rsidRDefault="003E5BF5" w:rsidP="00DE1921">
            <w:pPr>
              <w:jc w:val="right"/>
              <w:rPr>
                <w:rFonts w:ascii="Arial" w:hAnsi="Arial" w:cs="Arial"/>
              </w:rPr>
            </w:pPr>
            <w:r w:rsidRPr="00260166">
              <w:rPr>
                <w:rFonts w:ascii="Arial" w:hAnsi="Arial" w:cs="Arial"/>
              </w:rPr>
              <w:t xml:space="preserve">115,118 </w:t>
            </w:r>
          </w:p>
        </w:tc>
        <w:tc>
          <w:tcPr>
            <w:tcW w:w="1385" w:type="dxa"/>
            <w:shd w:val="clear" w:color="auto" w:fill="auto"/>
            <w:noWrap/>
            <w:vAlign w:val="center"/>
            <w:hideMark/>
          </w:tcPr>
          <w:p w14:paraId="2C2F65CB" w14:textId="77777777" w:rsidR="003E5BF5" w:rsidRPr="00260166" w:rsidRDefault="003E5BF5" w:rsidP="00DE1921">
            <w:pPr>
              <w:jc w:val="right"/>
              <w:rPr>
                <w:rFonts w:ascii="Arial" w:hAnsi="Arial" w:cs="Arial"/>
              </w:rPr>
            </w:pPr>
            <w:r w:rsidRPr="00260166">
              <w:rPr>
                <w:rFonts w:ascii="Arial" w:hAnsi="Arial" w:cs="Arial"/>
              </w:rPr>
              <w:t xml:space="preserve">88,451,680 </w:t>
            </w:r>
          </w:p>
        </w:tc>
        <w:tc>
          <w:tcPr>
            <w:tcW w:w="1242" w:type="dxa"/>
            <w:shd w:val="clear" w:color="auto" w:fill="auto"/>
            <w:noWrap/>
            <w:vAlign w:val="center"/>
            <w:hideMark/>
          </w:tcPr>
          <w:p w14:paraId="3160EB92" w14:textId="77777777" w:rsidR="003E5BF5" w:rsidRPr="00260166" w:rsidRDefault="003E5BF5" w:rsidP="00DE1921">
            <w:pPr>
              <w:jc w:val="right"/>
              <w:rPr>
                <w:rFonts w:ascii="Arial" w:hAnsi="Arial" w:cs="Arial"/>
              </w:rPr>
            </w:pPr>
            <w:r w:rsidRPr="00260166">
              <w:rPr>
                <w:rFonts w:ascii="Arial" w:hAnsi="Arial" w:cs="Arial"/>
              </w:rPr>
              <w:t xml:space="preserve">8,838,014 </w:t>
            </w:r>
          </w:p>
        </w:tc>
      </w:tr>
      <w:tr w:rsidR="003E5BF5" w:rsidRPr="00260166" w14:paraId="03451FB6" w14:textId="77777777" w:rsidTr="00E70ED8">
        <w:trPr>
          <w:trHeight w:val="284"/>
          <w:jc w:val="center"/>
        </w:trPr>
        <w:tc>
          <w:tcPr>
            <w:tcW w:w="2269" w:type="dxa"/>
            <w:shd w:val="clear" w:color="auto" w:fill="auto"/>
            <w:noWrap/>
            <w:hideMark/>
          </w:tcPr>
          <w:p w14:paraId="467E18B8" w14:textId="77777777" w:rsidR="003E5BF5" w:rsidRPr="00260166" w:rsidRDefault="003E5BF5" w:rsidP="00DE1921">
            <w:pPr>
              <w:rPr>
                <w:rFonts w:ascii="Arial" w:hAnsi="Arial" w:cs="Arial"/>
                <w:b/>
              </w:rPr>
            </w:pPr>
            <w:r w:rsidRPr="00260166">
              <w:rPr>
                <w:rFonts w:ascii="Arial" w:hAnsi="Arial" w:cs="Arial"/>
                <w:b/>
              </w:rPr>
              <w:t>Total Assets</w:t>
            </w:r>
          </w:p>
        </w:tc>
        <w:tc>
          <w:tcPr>
            <w:tcW w:w="1149" w:type="dxa"/>
            <w:shd w:val="clear" w:color="auto" w:fill="auto"/>
            <w:noWrap/>
            <w:vAlign w:val="center"/>
            <w:hideMark/>
          </w:tcPr>
          <w:p w14:paraId="6E872EDF" w14:textId="77777777" w:rsidR="003E5BF5" w:rsidRPr="00260166" w:rsidRDefault="003E5BF5" w:rsidP="00DE1921">
            <w:pPr>
              <w:jc w:val="right"/>
              <w:rPr>
                <w:rFonts w:ascii="Arial" w:hAnsi="Arial" w:cs="Arial"/>
                <w:b/>
              </w:rPr>
            </w:pPr>
            <w:r w:rsidRPr="00260166">
              <w:rPr>
                <w:rFonts w:ascii="Arial" w:hAnsi="Arial" w:cs="Arial"/>
                <w:b/>
              </w:rPr>
              <w:t xml:space="preserve">1,602,071 </w:t>
            </w:r>
          </w:p>
        </w:tc>
        <w:tc>
          <w:tcPr>
            <w:tcW w:w="1195" w:type="dxa"/>
            <w:shd w:val="clear" w:color="auto" w:fill="auto"/>
            <w:noWrap/>
            <w:vAlign w:val="center"/>
            <w:hideMark/>
          </w:tcPr>
          <w:p w14:paraId="531E0DA8" w14:textId="77777777" w:rsidR="003E5BF5" w:rsidRPr="00260166" w:rsidRDefault="003E5BF5" w:rsidP="00DE1921">
            <w:pPr>
              <w:jc w:val="right"/>
              <w:rPr>
                <w:rFonts w:ascii="Arial" w:hAnsi="Arial" w:cs="Arial"/>
                <w:b/>
              </w:rPr>
            </w:pPr>
            <w:r w:rsidRPr="00260166">
              <w:rPr>
                <w:rFonts w:ascii="Arial" w:hAnsi="Arial" w:cs="Arial"/>
                <w:b/>
              </w:rPr>
              <w:t xml:space="preserve">1,398,495 </w:t>
            </w:r>
          </w:p>
        </w:tc>
        <w:tc>
          <w:tcPr>
            <w:tcW w:w="1102" w:type="dxa"/>
            <w:shd w:val="clear" w:color="auto" w:fill="auto"/>
            <w:noWrap/>
            <w:vAlign w:val="center"/>
            <w:hideMark/>
          </w:tcPr>
          <w:p w14:paraId="42FECE8E" w14:textId="77777777" w:rsidR="003E5BF5" w:rsidRPr="00260166" w:rsidRDefault="003E5BF5" w:rsidP="00DE1921">
            <w:pPr>
              <w:jc w:val="right"/>
              <w:rPr>
                <w:rFonts w:ascii="Arial" w:hAnsi="Arial" w:cs="Arial"/>
                <w:b/>
              </w:rPr>
            </w:pPr>
            <w:r w:rsidRPr="00260166">
              <w:rPr>
                <w:rFonts w:ascii="Arial" w:hAnsi="Arial" w:cs="Arial"/>
                <w:b/>
              </w:rPr>
              <w:t xml:space="preserve">274,493 </w:t>
            </w:r>
          </w:p>
        </w:tc>
        <w:tc>
          <w:tcPr>
            <w:tcW w:w="972" w:type="dxa"/>
            <w:shd w:val="clear" w:color="auto" w:fill="auto"/>
            <w:noWrap/>
            <w:vAlign w:val="center"/>
            <w:hideMark/>
          </w:tcPr>
          <w:p w14:paraId="44470656" w14:textId="77777777" w:rsidR="003E5BF5" w:rsidRPr="00260166" w:rsidRDefault="003E5BF5" w:rsidP="00DE1921">
            <w:pPr>
              <w:jc w:val="right"/>
              <w:rPr>
                <w:rFonts w:ascii="Arial" w:hAnsi="Arial" w:cs="Arial"/>
                <w:b/>
              </w:rPr>
            </w:pPr>
            <w:r w:rsidRPr="00260166">
              <w:rPr>
                <w:rFonts w:ascii="Arial" w:hAnsi="Arial" w:cs="Arial"/>
                <w:b/>
              </w:rPr>
              <w:t xml:space="preserve">90,190 </w:t>
            </w:r>
          </w:p>
        </w:tc>
        <w:tc>
          <w:tcPr>
            <w:tcW w:w="1163" w:type="dxa"/>
            <w:shd w:val="clear" w:color="auto" w:fill="auto"/>
            <w:noWrap/>
            <w:vAlign w:val="center"/>
            <w:hideMark/>
          </w:tcPr>
          <w:p w14:paraId="73CAE888" w14:textId="77777777" w:rsidR="003E5BF5" w:rsidRPr="00260166" w:rsidRDefault="003E5BF5" w:rsidP="00DE1921">
            <w:pPr>
              <w:jc w:val="right"/>
              <w:rPr>
                <w:rFonts w:ascii="Arial" w:hAnsi="Arial" w:cs="Arial"/>
                <w:b/>
              </w:rPr>
            </w:pPr>
            <w:r w:rsidRPr="00260166">
              <w:rPr>
                <w:rFonts w:ascii="Arial" w:hAnsi="Arial" w:cs="Arial"/>
                <w:b/>
              </w:rPr>
              <w:t xml:space="preserve">5,342,027 </w:t>
            </w:r>
          </w:p>
        </w:tc>
        <w:tc>
          <w:tcPr>
            <w:tcW w:w="1037" w:type="dxa"/>
            <w:shd w:val="clear" w:color="auto" w:fill="auto"/>
            <w:noWrap/>
            <w:vAlign w:val="center"/>
            <w:hideMark/>
          </w:tcPr>
          <w:p w14:paraId="4A479AB3" w14:textId="77777777" w:rsidR="003E5BF5" w:rsidRPr="00260166" w:rsidRDefault="003E5BF5" w:rsidP="00DE1921">
            <w:pPr>
              <w:jc w:val="right"/>
              <w:rPr>
                <w:rFonts w:ascii="Arial" w:hAnsi="Arial" w:cs="Arial"/>
                <w:b/>
              </w:rPr>
            </w:pPr>
            <w:r w:rsidRPr="00260166">
              <w:rPr>
                <w:rFonts w:ascii="Arial" w:hAnsi="Arial" w:cs="Arial"/>
                <w:b/>
              </w:rPr>
              <w:t xml:space="preserve">50,392 </w:t>
            </w:r>
          </w:p>
        </w:tc>
        <w:tc>
          <w:tcPr>
            <w:tcW w:w="996" w:type="dxa"/>
            <w:shd w:val="clear" w:color="auto" w:fill="auto"/>
            <w:noWrap/>
            <w:vAlign w:val="center"/>
            <w:hideMark/>
          </w:tcPr>
          <w:p w14:paraId="38069115" w14:textId="77777777" w:rsidR="003E5BF5" w:rsidRPr="00260166" w:rsidRDefault="003E5BF5" w:rsidP="00DE1921">
            <w:pPr>
              <w:jc w:val="right"/>
              <w:rPr>
                <w:rFonts w:ascii="Arial" w:hAnsi="Arial" w:cs="Arial"/>
                <w:b/>
              </w:rPr>
            </w:pPr>
            <w:r w:rsidRPr="00260166">
              <w:rPr>
                <w:rFonts w:ascii="Arial" w:hAnsi="Arial" w:cs="Arial"/>
                <w:b/>
              </w:rPr>
              <w:t xml:space="preserve">56,807 </w:t>
            </w:r>
          </w:p>
        </w:tc>
        <w:tc>
          <w:tcPr>
            <w:tcW w:w="1027" w:type="dxa"/>
            <w:shd w:val="clear" w:color="auto" w:fill="auto"/>
            <w:noWrap/>
            <w:vAlign w:val="center"/>
            <w:hideMark/>
          </w:tcPr>
          <w:p w14:paraId="6EF8941D" w14:textId="77777777" w:rsidR="003E5BF5" w:rsidRPr="00260166" w:rsidRDefault="003E5BF5" w:rsidP="00DE1921">
            <w:pPr>
              <w:jc w:val="right"/>
              <w:rPr>
                <w:rFonts w:ascii="Arial" w:hAnsi="Arial" w:cs="Arial"/>
                <w:b/>
              </w:rPr>
            </w:pPr>
            <w:r w:rsidRPr="00260166">
              <w:rPr>
                <w:rFonts w:ascii="Arial" w:hAnsi="Arial" w:cs="Arial"/>
                <w:b/>
              </w:rPr>
              <w:t xml:space="preserve">9,570 </w:t>
            </w:r>
          </w:p>
        </w:tc>
        <w:tc>
          <w:tcPr>
            <w:tcW w:w="1028" w:type="dxa"/>
            <w:shd w:val="clear" w:color="auto" w:fill="auto"/>
            <w:noWrap/>
            <w:vAlign w:val="center"/>
            <w:hideMark/>
          </w:tcPr>
          <w:p w14:paraId="5157134C" w14:textId="77777777" w:rsidR="003E5BF5" w:rsidRPr="00260166" w:rsidRDefault="003E5BF5" w:rsidP="00DE1921">
            <w:pPr>
              <w:jc w:val="right"/>
              <w:rPr>
                <w:rFonts w:ascii="Arial" w:hAnsi="Arial" w:cs="Arial"/>
                <w:b/>
              </w:rPr>
            </w:pPr>
            <w:r w:rsidRPr="00260166">
              <w:rPr>
                <w:rFonts w:ascii="Arial" w:hAnsi="Arial" w:cs="Arial"/>
                <w:b/>
              </w:rPr>
              <w:t xml:space="preserve">114,464 </w:t>
            </w:r>
          </w:p>
        </w:tc>
        <w:tc>
          <w:tcPr>
            <w:tcW w:w="1028" w:type="dxa"/>
            <w:shd w:val="clear" w:color="auto" w:fill="auto"/>
            <w:noWrap/>
            <w:vAlign w:val="center"/>
            <w:hideMark/>
          </w:tcPr>
          <w:p w14:paraId="148C20B4" w14:textId="77777777" w:rsidR="003E5BF5" w:rsidRPr="00260166" w:rsidRDefault="003E5BF5" w:rsidP="00DE1921">
            <w:pPr>
              <w:jc w:val="right"/>
              <w:rPr>
                <w:rFonts w:ascii="Arial" w:hAnsi="Arial" w:cs="Arial"/>
                <w:b/>
              </w:rPr>
            </w:pPr>
            <w:r w:rsidRPr="00260166">
              <w:rPr>
                <w:rFonts w:ascii="Arial" w:hAnsi="Arial" w:cs="Arial"/>
                <w:b/>
              </w:rPr>
              <w:t xml:space="preserve">120,901 </w:t>
            </w:r>
          </w:p>
        </w:tc>
        <w:tc>
          <w:tcPr>
            <w:tcW w:w="1385" w:type="dxa"/>
            <w:shd w:val="clear" w:color="auto" w:fill="auto"/>
            <w:noWrap/>
            <w:vAlign w:val="center"/>
            <w:hideMark/>
          </w:tcPr>
          <w:p w14:paraId="5ECF67EA" w14:textId="77777777" w:rsidR="003E5BF5" w:rsidRPr="00260166" w:rsidRDefault="003E5BF5" w:rsidP="00DE1921">
            <w:pPr>
              <w:jc w:val="right"/>
              <w:rPr>
                <w:rFonts w:ascii="Arial" w:hAnsi="Arial" w:cs="Arial"/>
                <w:b/>
              </w:rPr>
            </w:pPr>
            <w:r w:rsidRPr="00260166">
              <w:rPr>
                <w:rFonts w:ascii="Arial" w:hAnsi="Arial" w:cs="Arial"/>
                <w:b/>
              </w:rPr>
              <w:t xml:space="preserve">90,827,271 </w:t>
            </w:r>
          </w:p>
        </w:tc>
        <w:tc>
          <w:tcPr>
            <w:tcW w:w="1242" w:type="dxa"/>
            <w:shd w:val="clear" w:color="auto" w:fill="auto"/>
            <w:noWrap/>
            <w:vAlign w:val="center"/>
            <w:hideMark/>
          </w:tcPr>
          <w:p w14:paraId="55D263A2" w14:textId="77777777" w:rsidR="003E5BF5" w:rsidRPr="00260166" w:rsidRDefault="003E5BF5" w:rsidP="00DE1921">
            <w:pPr>
              <w:jc w:val="right"/>
              <w:rPr>
                <w:rFonts w:ascii="Arial" w:hAnsi="Arial" w:cs="Arial"/>
                <w:b/>
              </w:rPr>
            </w:pPr>
            <w:r w:rsidRPr="00260166">
              <w:rPr>
                <w:rFonts w:ascii="Arial" w:hAnsi="Arial" w:cs="Arial"/>
                <w:b/>
              </w:rPr>
              <w:t xml:space="preserve">10,081,520 </w:t>
            </w:r>
          </w:p>
        </w:tc>
      </w:tr>
      <w:tr w:rsidR="003E5BF5" w:rsidRPr="00260166" w14:paraId="339817FF" w14:textId="77777777" w:rsidTr="00E70ED8">
        <w:trPr>
          <w:trHeight w:val="284"/>
          <w:jc w:val="center"/>
        </w:trPr>
        <w:tc>
          <w:tcPr>
            <w:tcW w:w="2269" w:type="dxa"/>
            <w:tcBorders>
              <w:bottom w:val="single" w:sz="4" w:space="0" w:color="auto"/>
            </w:tcBorders>
            <w:shd w:val="clear" w:color="auto" w:fill="auto"/>
            <w:noWrap/>
            <w:hideMark/>
          </w:tcPr>
          <w:p w14:paraId="0DDE4523" w14:textId="77777777" w:rsidR="003E5BF5" w:rsidRPr="00260166" w:rsidRDefault="003E5BF5" w:rsidP="00DE1921">
            <w:pPr>
              <w:rPr>
                <w:rFonts w:ascii="Arial" w:hAnsi="Arial" w:cs="Arial"/>
                <w:b/>
              </w:rPr>
            </w:pPr>
            <w:r w:rsidRPr="00260166">
              <w:rPr>
                <w:rFonts w:ascii="Arial" w:hAnsi="Arial" w:cs="Arial"/>
                <w:b/>
              </w:rPr>
              <w:t xml:space="preserve">Total Liabilities </w:t>
            </w:r>
            <w:r w:rsidRPr="00260166">
              <w:rPr>
                <w:rFonts w:ascii="Arial" w:hAnsi="Arial" w:cs="Arial"/>
                <w:b/>
                <w:vertAlign w:val="superscript"/>
              </w:rPr>
              <w:t>(</w:t>
            </w:r>
            <w:proofErr w:type="spellStart"/>
            <w:r w:rsidRPr="00260166">
              <w:rPr>
                <w:rFonts w:ascii="Arial" w:hAnsi="Arial" w:cs="Arial"/>
                <w:b/>
                <w:vertAlign w:val="superscript"/>
              </w:rPr>
              <w:t>i</w:t>
            </w:r>
            <w:proofErr w:type="spellEnd"/>
            <w:r w:rsidRPr="00260166">
              <w:rPr>
                <w:rFonts w:ascii="Arial" w:hAnsi="Arial" w:cs="Arial"/>
                <w:b/>
                <w:vertAlign w:val="superscript"/>
              </w:rPr>
              <w:t>)</w:t>
            </w:r>
          </w:p>
        </w:tc>
        <w:tc>
          <w:tcPr>
            <w:tcW w:w="1149" w:type="dxa"/>
            <w:tcBorders>
              <w:bottom w:val="single" w:sz="4" w:space="0" w:color="auto"/>
            </w:tcBorders>
            <w:shd w:val="clear" w:color="auto" w:fill="auto"/>
            <w:noWrap/>
            <w:vAlign w:val="center"/>
            <w:hideMark/>
          </w:tcPr>
          <w:p w14:paraId="230F1627" w14:textId="77777777" w:rsidR="003E5BF5" w:rsidRPr="00260166" w:rsidRDefault="003E5BF5" w:rsidP="00DE1921">
            <w:pPr>
              <w:jc w:val="right"/>
              <w:rPr>
                <w:rFonts w:ascii="Arial" w:hAnsi="Arial" w:cs="Arial"/>
                <w:b/>
              </w:rPr>
            </w:pPr>
            <w:r w:rsidRPr="00260166">
              <w:rPr>
                <w:rFonts w:ascii="Arial" w:hAnsi="Arial" w:cs="Arial"/>
                <w:b/>
              </w:rPr>
              <w:t>(1,374,527)</w:t>
            </w:r>
          </w:p>
        </w:tc>
        <w:tc>
          <w:tcPr>
            <w:tcW w:w="1195" w:type="dxa"/>
            <w:tcBorders>
              <w:bottom w:val="single" w:sz="4" w:space="0" w:color="auto"/>
            </w:tcBorders>
            <w:shd w:val="clear" w:color="auto" w:fill="auto"/>
            <w:noWrap/>
            <w:vAlign w:val="center"/>
            <w:hideMark/>
          </w:tcPr>
          <w:p w14:paraId="14D196C2" w14:textId="77777777" w:rsidR="003E5BF5" w:rsidRPr="00260166" w:rsidRDefault="003E5BF5" w:rsidP="00DE1921">
            <w:pPr>
              <w:jc w:val="right"/>
              <w:rPr>
                <w:rFonts w:ascii="Arial" w:hAnsi="Arial" w:cs="Arial"/>
                <w:b/>
              </w:rPr>
            </w:pPr>
            <w:r w:rsidRPr="00260166">
              <w:rPr>
                <w:rFonts w:ascii="Arial" w:hAnsi="Arial" w:cs="Arial"/>
                <w:b/>
              </w:rPr>
              <w:t>(1,576,720)</w:t>
            </w:r>
          </w:p>
        </w:tc>
        <w:tc>
          <w:tcPr>
            <w:tcW w:w="1102" w:type="dxa"/>
            <w:tcBorders>
              <w:bottom w:val="single" w:sz="4" w:space="0" w:color="auto"/>
            </w:tcBorders>
            <w:shd w:val="clear" w:color="auto" w:fill="auto"/>
            <w:noWrap/>
            <w:vAlign w:val="center"/>
            <w:hideMark/>
          </w:tcPr>
          <w:p w14:paraId="479159FB" w14:textId="77777777" w:rsidR="003E5BF5" w:rsidRPr="00260166" w:rsidRDefault="003E5BF5" w:rsidP="00DE1921">
            <w:pPr>
              <w:jc w:val="right"/>
              <w:rPr>
                <w:rFonts w:ascii="Arial" w:hAnsi="Arial" w:cs="Arial"/>
                <w:b/>
              </w:rPr>
            </w:pPr>
            <w:r w:rsidRPr="00260166">
              <w:rPr>
                <w:rFonts w:ascii="Arial" w:hAnsi="Arial" w:cs="Arial"/>
                <w:b/>
              </w:rPr>
              <w:t>(232,959)</w:t>
            </w:r>
          </w:p>
        </w:tc>
        <w:tc>
          <w:tcPr>
            <w:tcW w:w="972" w:type="dxa"/>
            <w:tcBorders>
              <w:bottom w:val="single" w:sz="4" w:space="0" w:color="auto"/>
            </w:tcBorders>
            <w:shd w:val="clear" w:color="auto" w:fill="auto"/>
            <w:noWrap/>
            <w:vAlign w:val="center"/>
            <w:hideMark/>
          </w:tcPr>
          <w:p w14:paraId="2E35D34B" w14:textId="77777777" w:rsidR="003E5BF5" w:rsidRPr="00260166" w:rsidRDefault="003E5BF5" w:rsidP="00DE1921">
            <w:pPr>
              <w:jc w:val="right"/>
              <w:rPr>
                <w:rFonts w:ascii="Arial" w:hAnsi="Arial" w:cs="Arial"/>
                <w:b/>
              </w:rPr>
            </w:pPr>
            <w:r w:rsidRPr="00260166">
              <w:rPr>
                <w:rFonts w:ascii="Arial" w:hAnsi="Arial" w:cs="Arial"/>
                <w:b/>
              </w:rPr>
              <w:t>(81,968)</w:t>
            </w:r>
          </w:p>
        </w:tc>
        <w:tc>
          <w:tcPr>
            <w:tcW w:w="1163" w:type="dxa"/>
            <w:tcBorders>
              <w:bottom w:val="single" w:sz="4" w:space="0" w:color="auto"/>
            </w:tcBorders>
            <w:shd w:val="clear" w:color="auto" w:fill="auto"/>
            <w:noWrap/>
            <w:vAlign w:val="center"/>
            <w:hideMark/>
          </w:tcPr>
          <w:p w14:paraId="61F7A74E" w14:textId="77777777" w:rsidR="003E5BF5" w:rsidRPr="00260166" w:rsidRDefault="003E5BF5" w:rsidP="00DE1921">
            <w:pPr>
              <w:jc w:val="right"/>
              <w:rPr>
                <w:rFonts w:ascii="Arial" w:hAnsi="Arial" w:cs="Arial"/>
                <w:b/>
              </w:rPr>
            </w:pPr>
            <w:r w:rsidRPr="00260166">
              <w:rPr>
                <w:rFonts w:ascii="Arial" w:hAnsi="Arial" w:cs="Arial"/>
                <w:b/>
              </w:rPr>
              <w:t>(406,992)</w:t>
            </w:r>
          </w:p>
        </w:tc>
        <w:tc>
          <w:tcPr>
            <w:tcW w:w="1037" w:type="dxa"/>
            <w:tcBorders>
              <w:bottom w:val="single" w:sz="4" w:space="0" w:color="auto"/>
            </w:tcBorders>
            <w:shd w:val="clear" w:color="auto" w:fill="auto"/>
            <w:noWrap/>
            <w:vAlign w:val="center"/>
            <w:hideMark/>
          </w:tcPr>
          <w:p w14:paraId="74DA4AFA" w14:textId="77777777" w:rsidR="003E5BF5" w:rsidRPr="00260166" w:rsidRDefault="003E5BF5" w:rsidP="00DE1921">
            <w:pPr>
              <w:jc w:val="right"/>
              <w:rPr>
                <w:rFonts w:ascii="Arial" w:hAnsi="Arial" w:cs="Arial"/>
                <w:b/>
              </w:rPr>
            </w:pPr>
            <w:r w:rsidRPr="00260166">
              <w:rPr>
                <w:rFonts w:ascii="Arial" w:hAnsi="Arial" w:cs="Arial"/>
                <w:b/>
              </w:rPr>
              <w:t>(40,889)</w:t>
            </w:r>
          </w:p>
        </w:tc>
        <w:tc>
          <w:tcPr>
            <w:tcW w:w="996" w:type="dxa"/>
            <w:tcBorders>
              <w:bottom w:val="single" w:sz="4" w:space="0" w:color="auto"/>
            </w:tcBorders>
            <w:shd w:val="clear" w:color="auto" w:fill="auto"/>
            <w:noWrap/>
            <w:vAlign w:val="center"/>
            <w:hideMark/>
          </w:tcPr>
          <w:p w14:paraId="757B4B62" w14:textId="77777777" w:rsidR="003E5BF5" w:rsidRPr="00260166" w:rsidRDefault="003E5BF5" w:rsidP="00DE1921">
            <w:pPr>
              <w:jc w:val="right"/>
              <w:rPr>
                <w:rFonts w:ascii="Arial" w:hAnsi="Arial" w:cs="Arial"/>
                <w:b/>
              </w:rPr>
            </w:pPr>
            <w:r w:rsidRPr="00260166">
              <w:rPr>
                <w:rFonts w:ascii="Arial" w:hAnsi="Arial" w:cs="Arial"/>
                <w:b/>
              </w:rPr>
              <w:t>(6,717)</w:t>
            </w:r>
          </w:p>
        </w:tc>
        <w:tc>
          <w:tcPr>
            <w:tcW w:w="1027" w:type="dxa"/>
            <w:tcBorders>
              <w:bottom w:val="single" w:sz="4" w:space="0" w:color="auto"/>
            </w:tcBorders>
            <w:shd w:val="clear" w:color="auto" w:fill="auto"/>
            <w:noWrap/>
            <w:vAlign w:val="center"/>
            <w:hideMark/>
          </w:tcPr>
          <w:p w14:paraId="1607E477" w14:textId="77777777" w:rsidR="003E5BF5" w:rsidRPr="00260166" w:rsidRDefault="003E5BF5" w:rsidP="00DE1921">
            <w:pPr>
              <w:jc w:val="right"/>
              <w:rPr>
                <w:rFonts w:ascii="Arial" w:hAnsi="Arial" w:cs="Arial"/>
                <w:b/>
              </w:rPr>
            </w:pPr>
            <w:r w:rsidRPr="00260166">
              <w:rPr>
                <w:rFonts w:ascii="Arial" w:hAnsi="Arial" w:cs="Arial"/>
                <w:b/>
              </w:rPr>
              <w:t>(6,461)</w:t>
            </w:r>
          </w:p>
        </w:tc>
        <w:tc>
          <w:tcPr>
            <w:tcW w:w="1028" w:type="dxa"/>
            <w:tcBorders>
              <w:bottom w:val="single" w:sz="4" w:space="0" w:color="auto"/>
            </w:tcBorders>
            <w:shd w:val="clear" w:color="auto" w:fill="auto"/>
            <w:noWrap/>
            <w:vAlign w:val="center"/>
            <w:hideMark/>
          </w:tcPr>
          <w:p w14:paraId="47D4786E" w14:textId="77777777" w:rsidR="003E5BF5" w:rsidRPr="00260166" w:rsidRDefault="003E5BF5" w:rsidP="00DE1921">
            <w:pPr>
              <w:jc w:val="right"/>
              <w:rPr>
                <w:rFonts w:ascii="Arial" w:hAnsi="Arial" w:cs="Arial"/>
                <w:b/>
              </w:rPr>
            </w:pPr>
            <w:r w:rsidRPr="00260166">
              <w:rPr>
                <w:rFonts w:ascii="Arial" w:hAnsi="Arial" w:cs="Arial"/>
                <w:b/>
              </w:rPr>
              <w:t xml:space="preserve"> -</w:t>
            </w:r>
          </w:p>
        </w:tc>
        <w:tc>
          <w:tcPr>
            <w:tcW w:w="1028" w:type="dxa"/>
            <w:tcBorders>
              <w:bottom w:val="single" w:sz="4" w:space="0" w:color="auto"/>
            </w:tcBorders>
            <w:shd w:val="clear" w:color="auto" w:fill="auto"/>
            <w:noWrap/>
            <w:vAlign w:val="center"/>
            <w:hideMark/>
          </w:tcPr>
          <w:p w14:paraId="3D1CED93" w14:textId="77777777" w:rsidR="003E5BF5" w:rsidRPr="00260166" w:rsidRDefault="003E5BF5" w:rsidP="00DE1921">
            <w:pPr>
              <w:jc w:val="right"/>
              <w:rPr>
                <w:rFonts w:ascii="Arial" w:hAnsi="Arial" w:cs="Arial"/>
                <w:b/>
              </w:rPr>
            </w:pPr>
            <w:r w:rsidRPr="00260166">
              <w:rPr>
                <w:rFonts w:ascii="Arial" w:hAnsi="Arial" w:cs="Arial"/>
                <w:b/>
              </w:rPr>
              <w:t>(1,387)</w:t>
            </w:r>
          </w:p>
        </w:tc>
        <w:tc>
          <w:tcPr>
            <w:tcW w:w="1385" w:type="dxa"/>
            <w:tcBorders>
              <w:bottom w:val="single" w:sz="4" w:space="0" w:color="auto"/>
            </w:tcBorders>
            <w:shd w:val="clear" w:color="auto" w:fill="auto"/>
            <w:noWrap/>
            <w:vAlign w:val="center"/>
            <w:hideMark/>
          </w:tcPr>
          <w:p w14:paraId="19D30389" w14:textId="77777777" w:rsidR="003E5BF5" w:rsidRPr="00260166" w:rsidRDefault="003E5BF5" w:rsidP="00DE1921">
            <w:pPr>
              <w:jc w:val="right"/>
              <w:rPr>
                <w:rFonts w:ascii="Arial" w:hAnsi="Arial" w:cs="Arial"/>
                <w:b/>
              </w:rPr>
            </w:pPr>
            <w:r w:rsidRPr="00260166">
              <w:rPr>
                <w:rFonts w:ascii="Arial" w:hAnsi="Arial" w:cs="Arial"/>
                <w:b/>
              </w:rPr>
              <w:t>(15,408,903)</w:t>
            </w:r>
          </w:p>
        </w:tc>
        <w:tc>
          <w:tcPr>
            <w:tcW w:w="1242" w:type="dxa"/>
            <w:tcBorders>
              <w:bottom w:val="single" w:sz="4" w:space="0" w:color="auto"/>
            </w:tcBorders>
            <w:shd w:val="clear" w:color="auto" w:fill="auto"/>
            <w:noWrap/>
            <w:vAlign w:val="center"/>
            <w:hideMark/>
          </w:tcPr>
          <w:p w14:paraId="4F3B5E29" w14:textId="77777777" w:rsidR="003E5BF5" w:rsidRPr="00260166" w:rsidRDefault="003E5BF5" w:rsidP="00DE1921">
            <w:pPr>
              <w:jc w:val="right"/>
              <w:rPr>
                <w:rFonts w:ascii="Arial" w:hAnsi="Arial" w:cs="Arial"/>
                <w:b/>
              </w:rPr>
            </w:pPr>
            <w:r w:rsidRPr="00260166">
              <w:rPr>
                <w:rFonts w:ascii="Arial" w:hAnsi="Arial" w:cs="Arial"/>
                <w:b/>
              </w:rPr>
              <w:t>(6,470,333)</w:t>
            </w:r>
          </w:p>
        </w:tc>
      </w:tr>
      <w:tr w:rsidR="003E5BF5" w:rsidRPr="00260166" w14:paraId="4F1B938A" w14:textId="77777777" w:rsidTr="00E70ED8">
        <w:trPr>
          <w:trHeight w:val="284"/>
          <w:jc w:val="center"/>
        </w:trPr>
        <w:tc>
          <w:tcPr>
            <w:tcW w:w="2269" w:type="dxa"/>
            <w:tcBorders>
              <w:bottom w:val="single" w:sz="4" w:space="0" w:color="auto"/>
            </w:tcBorders>
            <w:shd w:val="clear" w:color="auto" w:fill="auto"/>
            <w:noWrap/>
            <w:hideMark/>
          </w:tcPr>
          <w:p w14:paraId="6CDD67F4" w14:textId="77777777" w:rsidR="003E5BF5" w:rsidRPr="00260166" w:rsidRDefault="003E5BF5" w:rsidP="00DE1921">
            <w:pPr>
              <w:rPr>
                <w:rFonts w:ascii="Arial" w:hAnsi="Arial" w:cs="Arial"/>
                <w:b/>
              </w:rPr>
            </w:pPr>
            <w:r w:rsidRPr="00260166">
              <w:rPr>
                <w:rFonts w:ascii="Arial" w:hAnsi="Arial" w:cs="Arial"/>
                <w:b/>
              </w:rPr>
              <w:t>Net Assets</w:t>
            </w:r>
          </w:p>
        </w:tc>
        <w:tc>
          <w:tcPr>
            <w:tcW w:w="1149" w:type="dxa"/>
            <w:tcBorders>
              <w:bottom w:val="single" w:sz="4" w:space="0" w:color="auto"/>
            </w:tcBorders>
            <w:shd w:val="clear" w:color="auto" w:fill="auto"/>
            <w:noWrap/>
            <w:vAlign w:val="center"/>
            <w:hideMark/>
          </w:tcPr>
          <w:p w14:paraId="04E9DF13" w14:textId="77777777" w:rsidR="003E5BF5" w:rsidRPr="00260166" w:rsidRDefault="003E5BF5" w:rsidP="00DE1921">
            <w:pPr>
              <w:jc w:val="right"/>
              <w:rPr>
                <w:rFonts w:ascii="Arial" w:hAnsi="Arial" w:cs="Arial"/>
                <w:b/>
              </w:rPr>
            </w:pPr>
            <w:r w:rsidRPr="00260166">
              <w:rPr>
                <w:rFonts w:ascii="Arial" w:hAnsi="Arial" w:cs="Arial"/>
                <w:b/>
              </w:rPr>
              <w:t xml:space="preserve">227,544 </w:t>
            </w:r>
          </w:p>
        </w:tc>
        <w:tc>
          <w:tcPr>
            <w:tcW w:w="1195" w:type="dxa"/>
            <w:tcBorders>
              <w:bottom w:val="single" w:sz="4" w:space="0" w:color="auto"/>
            </w:tcBorders>
            <w:shd w:val="clear" w:color="auto" w:fill="auto"/>
            <w:noWrap/>
            <w:vAlign w:val="center"/>
            <w:hideMark/>
          </w:tcPr>
          <w:p w14:paraId="1B1F90E1" w14:textId="77777777" w:rsidR="003E5BF5" w:rsidRPr="00260166" w:rsidRDefault="003E5BF5" w:rsidP="00DE1921">
            <w:pPr>
              <w:jc w:val="right"/>
              <w:rPr>
                <w:rFonts w:ascii="Arial" w:hAnsi="Arial" w:cs="Arial"/>
                <w:b/>
              </w:rPr>
            </w:pPr>
            <w:r w:rsidRPr="00260166">
              <w:rPr>
                <w:rFonts w:ascii="Arial" w:hAnsi="Arial" w:cs="Arial"/>
                <w:b/>
              </w:rPr>
              <w:t>(178,225)</w:t>
            </w:r>
          </w:p>
        </w:tc>
        <w:tc>
          <w:tcPr>
            <w:tcW w:w="1102" w:type="dxa"/>
            <w:tcBorders>
              <w:bottom w:val="single" w:sz="4" w:space="0" w:color="auto"/>
            </w:tcBorders>
            <w:shd w:val="clear" w:color="auto" w:fill="auto"/>
            <w:noWrap/>
            <w:vAlign w:val="center"/>
            <w:hideMark/>
          </w:tcPr>
          <w:p w14:paraId="2505CB53" w14:textId="77777777" w:rsidR="003E5BF5" w:rsidRPr="00260166" w:rsidRDefault="003E5BF5" w:rsidP="00DE1921">
            <w:pPr>
              <w:jc w:val="right"/>
              <w:rPr>
                <w:rFonts w:ascii="Arial" w:hAnsi="Arial" w:cs="Arial"/>
                <w:b/>
              </w:rPr>
            </w:pPr>
            <w:r w:rsidRPr="00260166">
              <w:rPr>
                <w:rFonts w:ascii="Arial" w:hAnsi="Arial" w:cs="Arial"/>
                <w:b/>
              </w:rPr>
              <w:t xml:space="preserve">41,534 </w:t>
            </w:r>
          </w:p>
        </w:tc>
        <w:tc>
          <w:tcPr>
            <w:tcW w:w="972" w:type="dxa"/>
            <w:tcBorders>
              <w:bottom w:val="single" w:sz="4" w:space="0" w:color="auto"/>
            </w:tcBorders>
            <w:shd w:val="clear" w:color="auto" w:fill="auto"/>
            <w:noWrap/>
            <w:vAlign w:val="center"/>
            <w:hideMark/>
          </w:tcPr>
          <w:p w14:paraId="6A5602D8" w14:textId="77777777" w:rsidR="003E5BF5" w:rsidRPr="00260166" w:rsidRDefault="003E5BF5" w:rsidP="00DE1921">
            <w:pPr>
              <w:jc w:val="right"/>
              <w:rPr>
                <w:rFonts w:ascii="Arial" w:hAnsi="Arial" w:cs="Arial"/>
                <w:b/>
              </w:rPr>
            </w:pPr>
            <w:r w:rsidRPr="00260166">
              <w:rPr>
                <w:rFonts w:ascii="Arial" w:hAnsi="Arial" w:cs="Arial"/>
                <w:b/>
              </w:rPr>
              <w:t xml:space="preserve">8,222 </w:t>
            </w:r>
          </w:p>
        </w:tc>
        <w:tc>
          <w:tcPr>
            <w:tcW w:w="1163" w:type="dxa"/>
            <w:tcBorders>
              <w:bottom w:val="single" w:sz="4" w:space="0" w:color="auto"/>
            </w:tcBorders>
            <w:shd w:val="clear" w:color="auto" w:fill="auto"/>
            <w:noWrap/>
            <w:vAlign w:val="center"/>
            <w:hideMark/>
          </w:tcPr>
          <w:p w14:paraId="00B8148E" w14:textId="77777777" w:rsidR="003E5BF5" w:rsidRPr="00260166" w:rsidRDefault="003E5BF5" w:rsidP="00DE1921">
            <w:pPr>
              <w:jc w:val="right"/>
              <w:rPr>
                <w:rFonts w:ascii="Arial" w:hAnsi="Arial" w:cs="Arial"/>
                <w:b/>
              </w:rPr>
            </w:pPr>
            <w:r w:rsidRPr="00260166">
              <w:rPr>
                <w:rFonts w:ascii="Arial" w:hAnsi="Arial" w:cs="Arial"/>
                <w:b/>
              </w:rPr>
              <w:t xml:space="preserve">4,935,035 </w:t>
            </w:r>
          </w:p>
        </w:tc>
        <w:tc>
          <w:tcPr>
            <w:tcW w:w="1037" w:type="dxa"/>
            <w:tcBorders>
              <w:bottom w:val="single" w:sz="4" w:space="0" w:color="auto"/>
            </w:tcBorders>
            <w:shd w:val="clear" w:color="auto" w:fill="auto"/>
            <w:noWrap/>
            <w:vAlign w:val="center"/>
            <w:hideMark/>
          </w:tcPr>
          <w:p w14:paraId="30F93745" w14:textId="77777777" w:rsidR="003E5BF5" w:rsidRPr="00260166" w:rsidRDefault="003E5BF5" w:rsidP="00DE1921">
            <w:pPr>
              <w:jc w:val="right"/>
              <w:rPr>
                <w:rFonts w:ascii="Arial" w:hAnsi="Arial" w:cs="Arial"/>
                <w:b/>
              </w:rPr>
            </w:pPr>
            <w:r w:rsidRPr="00260166">
              <w:rPr>
                <w:rFonts w:ascii="Arial" w:hAnsi="Arial" w:cs="Arial"/>
                <w:b/>
              </w:rPr>
              <w:t xml:space="preserve">9,503 </w:t>
            </w:r>
          </w:p>
        </w:tc>
        <w:tc>
          <w:tcPr>
            <w:tcW w:w="996" w:type="dxa"/>
            <w:tcBorders>
              <w:bottom w:val="single" w:sz="4" w:space="0" w:color="auto"/>
            </w:tcBorders>
            <w:shd w:val="clear" w:color="auto" w:fill="auto"/>
            <w:noWrap/>
            <w:vAlign w:val="center"/>
            <w:hideMark/>
          </w:tcPr>
          <w:p w14:paraId="63CA27EF" w14:textId="77777777" w:rsidR="003E5BF5" w:rsidRPr="00260166" w:rsidRDefault="003E5BF5" w:rsidP="00DE1921">
            <w:pPr>
              <w:jc w:val="right"/>
              <w:rPr>
                <w:rFonts w:ascii="Arial" w:hAnsi="Arial" w:cs="Arial"/>
                <w:b/>
              </w:rPr>
            </w:pPr>
            <w:r w:rsidRPr="00260166">
              <w:rPr>
                <w:rFonts w:ascii="Arial" w:hAnsi="Arial" w:cs="Arial"/>
                <w:b/>
              </w:rPr>
              <w:t xml:space="preserve">50,090 </w:t>
            </w:r>
          </w:p>
        </w:tc>
        <w:tc>
          <w:tcPr>
            <w:tcW w:w="1027" w:type="dxa"/>
            <w:tcBorders>
              <w:bottom w:val="single" w:sz="4" w:space="0" w:color="auto"/>
            </w:tcBorders>
            <w:shd w:val="clear" w:color="auto" w:fill="auto"/>
            <w:noWrap/>
            <w:vAlign w:val="center"/>
            <w:hideMark/>
          </w:tcPr>
          <w:p w14:paraId="5D6AE74F" w14:textId="77777777" w:rsidR="003E5BF5" w:rsidRPr="00260166" w:rsidRDefault="003E5BF5" w:rsidP="00DE1921">
            <w:pPr>
              <w:jc w:val="right"/>
              <w:rPr>
                <w:rFonts w:ascii="Arial" w:hAnsi="Arial" w:cs="Arial"/>
                <w:b/>
              </w:rPr>
            </w:pPr>
            <w:r w:rsidRPr="00260166">
              <w:rPr>
                <w:rFonts w:ascii="Arial" w:hAnsi="Arial" w:cs="Arial"/>
                <w:b/>
              </w:rPr>
              <w:t xml:space="preserve">3,109 </w:t>
            </w:r>
          </w:p>
        </w:tc>
        <w:tc>
          <w:tcPr>
            <w:tcW w:w="1028" w:type="dxa"/>
            <w:tcBorders>
              <w:bottom w:val="single" w:sz="4" w:space="0" w:color="auto"/>
            </w:tcBorders>
            <w:shd w:val="clear" w:color="auto" w:fill="auto"/>
            <w:noWrap/>
            <w:vAlign w:val="center"/>
            <w:hideMark/>
          </w:tcPr>
          <w:p w14:paraId="69389E02" w14:textId="77777777" w:rsidR="003E5BF5" w:rsidRPr="00260166" w:rsidRDefault="003E5BF5" w:rsidP="00DE1921">
            <w:pPr>
              <w:jc w:val="right"/>
              <w:rPr>
                <w:rFonts w:ascii="Arial" w:hAnsi="Arial" w:cs="Arial"/>
                <w:b/>
              </w:rPr>
            </w:pPr>
            <w:r w:rsidRPr="00260166">
              <w:rPr>
                <w:rFonts w:ascii="Arial" w:hAnsi="Arial" w:cs="Arial"/>
                <w:b/>
              </w:rPr>
              <w:t xml:space="preserve">114,464 </w:t>
            </w:r>
          </w:p>
        </w:tc>
        <w:tc>
          <w:tcPr>
            <w:tcW w:w="1028" w:type="dxa"/>
            <w:tcBorders>
              <w:bottom w:val="single" w:sz="4" w:space="0" w:color="auto"/>
            </w:tcBorders>
            <w:shd w:val="clear" w:color="auto" w:fill="auto"/>
            <w:noWrap/>
            <w:vAlign w:val="center"/>
            <w:hideMark/>
          </w:tcPr>
          <w:p w14:paraId="3C12AA8A" w14:textId="77777777" w:rsidR="003E5BF5" w:rsidRPr="00260166" w:rsidRDefault="003E5BF5" w:rsidP="00DE1921">
            <w:pPr>
              <w:jc w:val="right"/>
              <w:rPr>
                <w:rFonts w:ascii="Arial" w:hAnsi="Arial" w:cs="Arial"/>
                <w:b/>
              </w:rPr>
            </w:pPr>
            <w:r w:rsidRPr="00260166">
              <w:rPr>
                <w:rFonts w:ascii="Arial" w:hAnsi="Arial" w:cs="Arial"/>
                <w:b/>
              </w:rPr>
              <w:t xml:space="preserve">119,514 </w:t>
            </w:r>
          </w:p>
        </w:tc>
        <w:tc>
          <w:tcPr>
            <w:tcW w:w="1385" w:type="dxa"/>
            <w:tcBorders>
              <w:bottom w:val="single" w:sz="4" w:space="0" w:color="auto"/>
            </w:tcBorders>
            <w:shd w:val="clear" w:color="auto" w:fill="auto"/>
            <w:noWrap/>
            <w:vAlign w:val="center"/>
            <w:hideMark/>
          </w:tcPr>
          <w:p w14:paraId="3325349E" w14:textId="77777777" w:rsidR="003E5BF5" w:rsidRPr="00260166" w:rsidRDefault="003E5BF5" w:rsidP="00DE1921">
            <w:pPr>
              <w:jc w:val="right"/>
              <w:rPr>
                <w:rFonts w:ascii="Arial" w:hAnsi="Arial" w:cs="Arial"/>
                <w:b/>
              </w:rPr>
            </w:pPr>
            <w:r w:rsidRPr="00260166">
              <w:rPr>
                <w:rFonts w:ascii="Arial" w:hAnsi="Arial" w:cs="Arial"/>
                <w:b/>
              </w:rPr>
              <w:t xml:space="preserve">75,418,368 </w:t>
            </w:r>
          </w:p>
        </w:tc>
        <w:tc>
          <w:tcPr>
            <w:tcW w:w="1242" w:type="dxa"/>
            <w:tcBorders>
              <w:bottom w:val="single" w:sz="4" w:space="0" w:color="auto"/>
            </w:tcBorders>
            <w:shd w:val="clear" w:color="auto" w:fill="auto"/>
            <w:noWrap/>
            <w:vAlign w:val="center"/>
            <w:hideMark/>
          </w:tcPr>
          <w:p w14:paraId="35606BFD" w14:textId="77777777" w:rsidR="003E5BF5" w:rsidRPr="00260166" w:rsidRDefault="003E5BF5" w:rsidP="00DE1921">
            <w:pPr>
              <w:jc w:val="right"/>
              <w:rPr>
                <w:rFonts w:ascii="Arial" w:hAnsi="Arial" w:cs="Arial"/>
                <w:b/>
              </w:rPr>
            </w:pPr>
            <w:r w:rsidRPr="00260166">
              <w:rPr>
                <w:rFonts w:ascii="Arial" w:hAnsi="Arial" w:cs="Arial"/>
                <w:b/>
              </w:rPr>
              <w:t xml:space="preserve">3,611,187 </w:t>
            </w:r>
          </w:p>
        </w:tc>
      </w:tr>
    </w:tbl>
    <w:p w14:paraId="5E957388" w14:textId="77777777" w:rsidR="00E70ED8" w:rsidRDefault="00E70ED8" w:rsidP="00DE1921">
      <w:bookmarkStart w:id="228" w:name="RANGE!AX3:BB13"/>
      <w:bookmarkEnd w:id="228"/>
    </w:p>
    <w:p w14:paraId="35BACCC5" w14:textId="77777777" w:rsidR="00E70ED8" w:rsidRPr="00260166" w:rsidRDefault="00E70ED8" w:rsidP="00E70ED8">
      <w:pPr>
        <w:pStyle w:val="Note"/>
        <w:rPr>
          <w:rFonts w:ascii="Arial" w:hAnsi="Arial" w:cs="Arial"/>
          <w:sz w:val="22"/>
        </w:rPr>
      </w:pPr>
      <w:r w:rsidRPr="00260166">
        <w:rPr>
          <w:rFonts w:ascii="Arial" w:hAnsi="Arial" w:cs="Arial"/>
          <w:sz w:val="22"/>
        </w:rPr>
        <w:t>Note:</w:t>
      </w:r>
    </w:p>
    <w:p w14:paraId="5A4E799B" w14:textId="77777777" w:rsidR="00E70ED8" w:rsidRPr="00E70ED8" w:rsidRDefault="00E70ED8" w:rsidP="00610F5F">
      <w:pPr>
        <w:pStyle w:val="aaaNotenumberiiiiii"/>
        <w:numPr>
          <w:ilvl w:val="0"/>
          <w:numId w:val="82"/>
        </w:numPr>
        <w:rPr>
          <w:b/>
        </w:rPr>
      </w:pPr>
      <w:r w:rsidRPr="00260166">
        <w:t>The 2019 comparatives figures have been restated to reflect the adoption of AASB 1059, refer to Note 9.6.5.2 for further details.</w:t>
      </w:r>
    </w:p>
    <w:p w14:paraId="4ADA6548" w14:textId="267E1A39" w:rsidR="003E5BF5" w:rsidRPr="004352D6" w:rsidRDefault="003E5BF5" w:rsidP="00DE1921">
      <w:r w:rsidRPr="004352D6">
        <w:br w:type="page"/>
      </w:r>
    </w:p>
    <w:p w14:paraId="57D8AF0B" w14:textId="77777777" w:rsidR="003E5BF5" w:rsidRPr="004352D6" w:rsidRDefault="003E5BF5" w:rsidP="00DE1921">
      <w:pPr>
        <w:sectPr w:rsidR="003E5BF5" w:rsidRPr="004352D6" w:rsidSect="00DE1921">
          <w:headerReference w:type="even" r:id="rId99"/>
          <w:headerReference w:type="default" r:id="rId100"/>
          <w:footerReference w:type="even" r:id="rId101"/>
          <w:pgSz w:w="16838" w:h="11906" w:orient="landscape" w:code="9"/>
          <w:pgMar w:top="1418" w:right="1701" w:bottom="1418" w:left="1418" w:header="709" w:footer="709" w:gutter="0"/>
          <w:cols w:space="708"/>
          <w:docGrid w:linePitch="360"/>
        </w:sectPr>
      </w:pPr>
    </w:p>
    <w:p w14:paraId="2EC00D11" w14:textId="77777777" w:rsidR="003E5BF5" w:rsidRPr="007444F0" w:rsidRDefault="003E5BF5" w:rsidP="006667CC">
      <w:pPr>
        <w:pStyle w:val="Heading2"/>
        <w:numPr>
          <w:ilvl w:val="1"/>
          <w:numId w:val="3"/>
        </w:numPr>
      </w:pPr>
      <w:bookmarkStart w:id="229" w:name="_Administered_items"/>
      <w:bookmarkStart w:id="230" w:name="_Toc522178153"/>
      <w:bookmarkStart w:id="231" w:name="_Toc529184425"/>
      <w:bookmarkStart w:id="232" w:name="_Toc529197897"/>
      <w:bookmarkStart w:id="233" w:name="_Toc529197984"/>
      <w:bookmarkStart w:id="234" w:name="_Toc530386181"/>
      <w:bookmarkStart w:id="235" w:name="_Toc9344207"/>
      <w:bookmarkStart w:id="236" w:name="_Toc41469579"/>
      <w:bookmarkStart w:id="237" w:name="_Toc53420660"/>
      <w:bookmarkEnd w:id="229"/>
      <w:r w:rsidRPr="004352D6">
        <w:lastRenderedPageBreak/>
        <w:t>Administered items</w:t>
      </w:r>
      <w:bookmarkEnd w:id="230"/>
      <w:bookmarkEnd w:id="231"/>
      <w:bookmarkEnd w:id="232"/>
      <w:bookmarkEnd w:id="233"/>
      <w:bookmarkEnd w:id="234"/>
      <w:bookmarkEnd w:id="235"/>
      <w:bookmarkEnd w:id="236"/>
      <w:bookmarkEnd w:id="237"/>
    </w:p>
    <w:p w14:paraId="18C21760" w14:textId="77777777" w:rsidR="003E5BF5" w:rsidRPr="007444F0" w:rsidRDefault="003E5BF5" w:rsidP="006667CC">
      <w:pPr>
        <w:pStyle w:val="Heading3"/>
        <w:numPr>
          <w:ilvl w:val="2"/>
          <w:numId w:val="3"/>
        </w:numPr>
        <w:ind w:left="851" w:hanging="851"/>
      </w:pPr>
      <w:bookmarkStart w:id="238" w:name="_Toc522178154"/>
      <w:bookmarkStart w:id="239" w:name="_Toc529184426"/>
      <w:bookmarkStart w:id="240" w:name="_Toc529197898"/>
      <w:bookmarkStart w:id="241" w:name="_Toc9344208"/>
      <w:r w:rsidRPr="007444F0">
        <w:t>Administered (non-controlled) items</w:t>
      </w:r>
      <w:bookmarkEnd w:id="238"/>
      <w:bookmarkEnd w:id="239"/>
      <w:bookmarkEnd w:id="240"/>
      <w:bookmarkEnd w:id="241"/>
    </w:p>
    <w:p w14:paraId="69077B50" w14:textId="77777777" w:rsidR="003E5BF5" w:rsidRPr="007444F0" w:rsidRDefault="003E5BF5" w:rsidP="0079690B">
      <w:pPr>
        <w:pStyle w:val="aaatyping"/>
      </w:pPr>
      <w:r w:rsidRPr="007444F0">
        <w:t>Administered income includes fees and fines and the proceeds from the sale of administered surplus land and buildings. Administered assets include government income earned but not yet collected. Administered liabilities include government expenses incurred but yet to be paid. Except as otherwise disclosed, administered resources are accounted for on an accrual basis using the same accounting policies adopted for the recognition of the departmental items in the financial statements. Both controlled and administered items of</w:t>
      </w:r>
      <w:r>
        <w:t xml:space="preserve"> the department </w:t>
      </w:r>
      <w:r w:rsidRPr="007444F0">
        <w:t>are consolidated into the financial statements of the State.</w:t>
      </w:r>
    </w:p>
    <w:p w14:paraId="5F12AA2A" w14:textId="77777777" w:rsidR="003E5BF5" w:rsidRDefault="003E5BF5" w:rsidP="0079690B">
      <w:pPr>
        <w:pStyle w:val="aaatyping"/>
      </w:pPr>
      <w:r>
        <w:t>The department</w:t>
      </w:r>
      <w:r w:rsidRPr="007444F0">
        <w:t xml:space="preserve"> does not gain control over assets arising from taxes, fines, licence and regulatory fees and royalties, </w:t>
      </w:r>
      <w:r>
        <w:t xml:space="preserve">therefore </w:t>
      </w:r>
      <w:r w:rsidRPr="007444F0">
        <w:t xml:space="preserve">no income is recognised in </w:t>
      </w:r>
      <w:r>
        <w:t>the department</w:t>
      </w:r>
      <w:r w:rsidRPr="007444F0">
        <w:t xml:space="preserve">’s financial statements. </w:t>
      </w:r>
      <w:r>
        <w:t>The department</w:t>
      </w:r>
      <w:r w:rsidRPr="007444F0">
        <w:t xml:space="preserve"> collects these amounts on behalf of the State. Accordingly, the amounts are disclosed as income in the schedule of Administered items.</w:t>
      </w:r>
    </w:p>
    <w:p w14:paraId="6A1701FE" w14:textId="77777777" w:rsidR="003E5BF5" w:rsidRPr="00173186" w:rsidRDefault="003E5BF5" w:rsidP="006667CC">
      <w:pPr>
        <w:pStyle w:val="Heading4"/>
        <w:numPr>
          <w:ilvl w:val="3"/>
          <w:numId w:val="3"/>
        </w:numPr>
        <w:rPr>
          <w:i/>
        </w:rPr>
      </w:pPr>
      <w:r w:rsidRPr="00173186">
        <w:t>Fare and cardholder funds administration</w:t>
      </w:r>
    </w:p>
    <w:p w14:paraId="0FB46D54" w14:textId="77777777" w:rsidR="003E5BF5" w:rsidRPr="005D63D9" w:rsidRDefault="003E5BF5" w:rsidP="0079690B">
      <w:pPr>
        <w:pStyle w:val="aaatyping"/>
      </w:pPr>
      <w:r w:rsidRPr="005D63D9">
        <w:t>For the year ended 30 June 2020</w:t>
      </w:r>
      <w:r>
        <w:t xml:space="preserve"> as a result of the </w:t>
      </w:r>
      <w:proofErr w:type="spellStart"/>
      <w:r>
        <w:t>MoG</w:t>
      </w:r>
      <w:proofErr w:type="spellEnd"/>
      <w:r>
        <w:t xml:space="preserve"> change from 1 July 2019, the department commenced administering </w:t>
      </w:r>
      <w:r w:rsidRPr="005D63D9">
        <w:t>the total metropolitan and regional farebox revenue and non-farebox receipts</w:t>
      </w:r>
      <w:r>
        <w:t>. These represent funds</w:t>
      </w:r>
      <w:r w:rsidRPr="005D63D9">
        <w:t xml:space="preserve"> received by transport operators</w:t>
      </w:r>
      <w:r>
        <w:t xml:space="preserve"> which are</w:t>
      </w:r>
      <w:r w:rsidRPr="005D63D9">
        <w:t xml:space="preserve"> derived from the sale of goods or </w:t>
      </w:r>
      <w:r w:rsidRPr="00A674C3">
        <w:t xml:space="preserve">services other than NTS tickets including: locker hire, map sales etc. Furthermore, $740,497,901 </w:t>
      </w:r>
      <w:r>
        <w:t xml:space="preserve">of ticketing revenue was collected </w:t>
      </w:r>
      <w:r w:rsidRPr="00A674C3">
        <w:t>of which $466,497,232 was</w:t>
      </w:r>
      <w:r w:rsidRPr="005D63D9">
        <w:t xml:space="preserve"> distributed from the myki ticketing system to V/Line and franchisees.</w:t>
      </w:r>
      <w:r w:rsidRPr="003E5E80">
        <w:t xml:space="preserve"> The department does not report on th</w:t>
      </w:r>
      <w:r>
        <w:t>e myki cardholder funds</w:t>
      </w:r>
      <w:r w:rsidRPr="003E5E80">
        <w:t xml:space="preserve"> balances in the controlled or administered financial statements.</w:t>
      </w:r>
    </w:p>
    <w:p w14:paraId="17D2F341" w14:textId="77777777" w:rsidR="003E5BF5" w:rsidRPr="005D63D9" w:rsidRDefault="003E5BF5" w:rsidP="0079690B">
      <w:pPr>
        <w:pStyle w:val="aaatyping"/>
      </w:pPr>
      <w:r w:rsidRPr="005D63D9">
        <w:lastRenderedPageBreak/>
        <w:t xml:space="preserve">As at 30 June 2020, the following amounts were held in Head, </w:t>
      </w:r>
      <w:proofErr w:type="spellStart"/>
      <w:r w:rsidRPr="005D63D9">
        <w:t>TfV</w:t>
      </w:r>
      <w:proofErr w:type="spellEnd"/>
      <w:r w:rsidRPr="005D63D9">
        <w:t xml:space="preserve"> managed bank accounts:</w:t>
      </w:r>
    </w:p>
    <w:p w14:paraId="12CABFE2" w14:textId="77777777" w:rsidR="003E5BF5" w:rsidRPr="00376D4B" w:rsidRDefault="003E5BF5" w:rsidP="0079690B">
      <w:pPr>
        <w:pStyle w:val="aaabullet"/>
      </w:pPr>
      <w:r w:rsidRPr="005D63D9">
        <w:t xml:space="preserve">for distribution to rail </w:t>
      </w:r>
      <w:r w:rsidRPr="00EC49A8">
        <w:t>franchisees $15,303</w:t>
      </w:r>
      <w:r>
        <w:t>,703</w:t>
      </w:r>
      <w:r w:rsidRPr="00376D4B">
        <w:t xml:space="preserve"> </w:t>
      </w:r>
    </w:p>
    <w:p w14:paraId="07300E95" w14:textId="77777777" w:rsidR="003E5BF5" w:rsidRPr="00376D4B" w:rsidRDefault="003E5BF5" w:rsidP="0079690B">
      <w:pPr>
        <w:pStyle w:val="aaabullet"/>
      </w:pPr>
      <w:r w:rsidRPr="00376D4B">
        <w:t xml:space="preserve">myki cardholder funds </w:t>
      </w:r>
      <w:r>
        <w:t>$155,345,579.</w:t>
      </w:r>
    </w:p>
    <w:p w14:paraId="59AC168F" w14:textId="77777777" w:rsidR="003E5BF5" w:rsidRPr="005D63D9" w:rsidRDefault="003E5BF5" w:rsidP="0079690B">
      <w:pPr>
        <w:pStyle w:val="aaatyping"/>
      </w:pPr>
      <w:r w:rsidRPr="005D63D9">
        <w:t xml:space="preserve">The department also receives and manages myki customer money balances which are not included in </w:t>
      </w:r>
      <w:r>
        <w:t xml:space="preserve">its </w:t>
      </w:r>
      <w:r w:rsidRPr="005D63D9">
        <w:t>balance sheet. These balances come from various channels including ticketing machines, railway stations, retail outlets, the internet and the public transport hubs. The department performs the accounts receivable function for the ticketing system and administers the agreement with the contractor NTT Data Payment Services Victoria to ensure cash collection services and payments via the banking system are managed effectively.</w:t>
      </w:r>
    </w:p>
    <w:p w14:paraId="39EA6123" w14:textId="77777777" w:rsidR="003E5BF5" w:rsidRDefault="003E5BF5" w:rsidP="0079690B">
      <w:pPr>
        <w:pStyle w:val="aaatyping"/>
      </w:pPr>
      <w:r w:rsidRPr="005D63D9">
        <w:t>The department manages the revenue audit function which focuses on reviewing and reporting on controls around farebox revenue collection and distribution processes within transport operators. Formal planned revenue audits are undertaken by the department at metropolitan and V/ Line train stations, as well as metropolitan and regional bus depots</w:t>
      </w:r>
      <w:r>
        <w:t>.</w:t>
      </w:r>
    </w:p>
    <w:p w14:paraId="6F9D58D9" w14:textId="77777777" w:rsidR="003E5BF5" w:rsidRDefault="003E5BF5" w:rsidP="00DE1921"/>
    <w:p w14:paraId="5E43B35C" w14:textId="77777777" w:rsidR="003E5BF5" w:rsidRPr="007444F0" w:rsidRDefault="003E5BF5" w:rsidP="00DE1921">
      <w:pPr>
        <w:sectPr w:rsidR="003E5BF5" w:rsidRPr="007444F0" w:rsidSect="00DE1921">
          <w:headerReference w:type="even" r:id="rId102"/>
          <w:headerReference w:type="default" r:id="rId103"/>
          <w:footerReference w:type="even" r:id="rId104"/>
          <w:headerReference w:type="first" r:id="rId105"/>
          <w:pgSz w:w="11906" w:h="16838"/>
          <w:pgMar w:top="1701" w:right="1418" w:bottom="1418" w:left="1418" w:header="708" w:footer="708" w:gutter="0"/>
          <w:cols w:space="708"/>
          <w:docGrid w:linePitch="360"/>
        </w:sectPr>
      </w:pPr>
    </w:p>
    <w:p w14:paraId="6644C9CE" w14:textId="77777777" w:rsidR="003E5BF5" w:rsidRPr="007444F0" w:rsidRDefault="003E5BF5" w:rsidP="006667CC">
      <w:pPr>
        <w:pStyle w:val="Heading3"/>
        <w:numPr>
          <w:ilvl w:val="2"/>
          <w:numId w:val="3"/>
        </w:numPr>
        <w:ind w:left="851" w:hanging="851"/>
      </w:pPr>
      <w:bookmarkStart w:id="242" w:name="_Toc9344209"/>
      <w:bookmarkStart w:id="243" w:name="_Toc522178155"/>
      <w:bookmarkStart w:id="244" w:name="_Toc529184427"/>
      <w:bookmarkStart w:id="245" w:name="_Toc529197899"/>
      <w:r w:rsidRPr="007444F0">
        <w:lastRenderedPageBreak/>
        <w:t>Administered income and expenses for the financial year ended 30 June</w:t>
      </w:r>
      <w:bookmarkEnd w:id="242"/>
      <w:r w:rsidRPr="007444F0">
        <w:t xml:space="preserve"> </w:t>
      </w:r>
      <w:bookmarkEnd w:id="243"/>
      <w:bookmarkEnd w:id="244"/>
      <w:bookmarkEnd w:id="245"/>
    </w:p>
    <w:p w14:paraId="77FEC790" w14:textId="77777777" w:rsidR="003E5BF5" w:rsidRPr="0042770D" w:rsidRDefault="003E5BF5" w:rsidP="008A0170">
      <w:pPr>
        <w:pStyle w:val="Heading3"/>
      </w:pPr>
      <w:r>
        <w:t>Department of Transport Outputs</w:t>
      </w:r>
    </w:p>
    <w:tbl>
      <w:tblPr>
        <w:tblStyle w:val="TableGrid"/>
        <w:tblW w:w="9072" w:type="dxa"/>
        <w:tblLayout w:type="fixed"/>
        <w:tblCellMar>
          <w:left w:w="28" w:type="dxa"/>
          <w:right w:w="28" w:type="dxa"/>
        </w:tblCellMar>
        <w:tblLook w:val="04A0" w:firstRow="1" w:lastRow="0" w:firstColumn="1" w:lastColumn="0" w:noHBand="0" w:noVBand="1"/>
      </w:tblPr>
      <w:tblGrid>
        <w:gridCol w:w="2783"/>
        <w:gridCol w:w="976"/>
        <w:gridCol w:w="976"/>
        <w:gridCol w:w="976"/>
        <w:gridCol w:w="976"/>
        <w:gridCol w:w="976"/>
        <w:gridCol w:w="1409"/>
      </w:tblGrid>
      <w:tr w:rsidR="003E5BF5" w:rsidRPr="0029213D" w14:paraId="574C327C" w14:textId="77777777" w:rsidTr="00610F5F">
        <w:trPr>
          <w:trHeight w:val="340"/>
          <w:tblHeader/>
        </w:trPr>
        <w:tc>
          <w:tcPr>
            <w:tcW w:w="3261" w:type="dxa"/>
            <w:shd w:val="clear" w:color="auto" w:fill="auto"/>
            <w:noWrap/>
            <w:hideMark/>
          </w:tcPr>
          <w:p w14:paraId="043AD674" w14:textId="77777777" w:rsidR="003E5BF5" w:rsidRPr="0029213D" w:rsidRDefault="003E5BF5" w:rsidP="00DE1921">
            <w:pPr>
              <w:rPr>
                <w:rFonts w:ascii="Arial" w:hAnsi="Arial" w:cs="Arial"/>
                <w:sz w:val="24"/>
                <w:szCs w:val="24"/>
              </w:rPr>
            </w:pPr>
            <w:bookmarkStart w:id="246" w:name="RANGE!A3:G32"/>
            <w:bookmarkStart w:id="247" w:name="RANGE!A3:G31"/>
            <w:bookmarkEnd w:id="246"/>
            <w:bookmarkEnd w:id="247"/>
          </w:p>
        </w:tc>
        <w:tc>
          <w:tcPr>
            <w:tcW w:w="1644" w:type="dxa"/>
            <w:gridSpan w:val="6"/>
            <w:shd w:val="clear" w:color="auto" w:fill="auto"/>
            <w:vAlign w:val="center"/>
            <w:hideMark/>
          </w:tcPr>
          <w:p w14:paraId="6041CC6C"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 thousand)</w:t>
            </w:r>
          </w:p>
        </w:tc>
      </w:tr>
      <w:tr w:rsidR="003E5BF5" w:rsidRPr="0029213D" w14:paraId="3F7F03D9" w14:textId="77777777" w:rsidTr="00610F5F">
        <w:trPr>
          <w:trHeight w:val="340"/>
          <w:tblHeader/>
        </w:trPr>
        <w:tc>
          <w:tcPr>
            <w:tcW w:w="3261" w:type="dxa"/>
            <w:shd w:val="clear" w:color="auto" w:fill="auto"/>
            <w:noWrap/>
            <w:vAlign w:val="center"/>
            <w:hideMark/>
          </w:tcPr>
          <w:p w14:paraId="2139A46D" w14:textId="77777777" w:rsidR="003E5BF5" w:rsidRPr="0029213D" w:rsidRDefault="003E5BF5" w:rsidP="00DE1921">
            <w:pPr>
              <w:rPr>
                <w:rFonts w:ascii="Arial" w:hAnsi="Arial" w:cs="Arial"/>
                <w:sz w:val="24"/>
                <w:szCs w:val="24"/>
              </w:rPr>
            </w:pPr>
          </w:p>
        </w:tc>
        <w:tc>
          <w:tcPr>
            <w:tcW w:w="1134" w:type="dxa"/>
            <w:gridSpan w:val="2"/>
            <w:shd w:val="clear" w:color="auto" w:fill="auto"/>
            <w:vAlign w:val="bottom"/>
            <w:hideMark/>
          </w:tcPr>
          <w:p w14:paraId="3B65BA39"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Bus Services</w:t>
            </w:r>
          </w:p>
        </w:tc>
        <w:tc>
          <w:tcPr>
            <w:tcW w:w="1134" w:type="dxa"/>
            <w:gridSpan w:val="2"/>
            <w:shd w:val="clear" w:color="auto" w:fill="auto"/>
            <w:vAlign w:val="bottom"/>
            <w:hideMark/>
          </w:tcPr>
          <w:p w14:paraId="48A5E144"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Transport Infrastructure</w:t>
            </w:r>
          </w:p>
        </w:tc>
        <w:tc>
          <w:tcPr>
            <w:tcW w:w="1644" w:type="dxa"/>
            <w:gridSpan w:val="2"/>
            <w:shd w:val="clear" w:color="auto" w:fill="auto"/>
            <w:vAlign w:val="bottom"/>
            <w:hideMark/>
          </w:tcPr>
          <w:p w14:paraId="1EBFCF43"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Port, Freight and Boating</w:t>
            </w:r>
          </w:p>
        </w:tc>
      </w:tr>
      <w:tr w:rsidR="003E5BF5" w:rsidRPr="0029213D" w14:paraId="2BE87063" w14:textId="77777777" w:rsidTr="00610F5F">
        <w:trPr>
          <w:trHeight w:val="340"/>
          <w:tblHeader/>
        </w:trPr>
        <w:tc>
          <w:tcPr>
            <w:tcW w:w="3261" w:type="dxa"/>
            <w:shd w:val="clear" w:color="auto" w:fill="auto"/>
            <w:vAlign w:val="center"/>
            <w:hideMark/>
          </w:tcPr>
          <w:p w14:paraId="06C372C1" w14:textId="77777777" w:rsidR="003E5BF5" w:rsidRPr="0029213D" w:rsidRDefault="003E5BF5" w:rsidP="00DE1921">
            <w:pPr>
              <w:rPr>
                <w:rFonts w:ascii="Arial" w:hAnsi="Arial" w:cs="Arial"/>
                <w:b/>
                <w:sz w:val="24"/>
                <w:szCs w:val="24"/>
              </w:rPr>
            </w:pPr>
          </w:p>
        </w:tc>
        <w:tc>
          <w:tcPr>
            <w:tcW w:w="1134" w:type="dxa"/>
            <w:shd w:val="clear" w:color="auto" w:fill="auto"/>
            <w:vAlign w:val="center"/>
            <w:hideMark/>
          </w:tcPr>
          <w:p w14:paraId="1315FE3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1134" w:type="dxa"/>
            <w:shd w:val="clear" w:color="auto" w:fill="auto"/>
            <w:vAlign w:val="center"/>
            <w:hideMark/>
          </w:tcPr>
          <w:p w14:paraId="4DC5CB2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1134" w:type="dxa"/>
            <w:shd w:val="clear" w:color="auto" w:fill="auto"/>
            <w:vAlign w:val="center"/>
            <w:hideMark/>
          </w:tcPr>
          <w:p w14:paraId="3810B00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1134" w:type="dxa"/>
            <w:shd w:val="clear" w:color="auto" w:fill="auto"/>
            <w:vAlign w:val="center"/>
            <w:hideMark/>
          </w:tcPr>
          <w:p w14:paraId="733EC4B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1134" w:type="dxa"/>
            <w:shd w:val="clear" w:color="auto" w:fill="auto"/>
            <w:vAlign w:val="center"/>
            <w:hideMark/>
          </w:tcPr>
          <w:p w14:paraId="4A0E03E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1644" w:type="dxa"/>
            <w:shd w:val="clear" w:color="auto" w:fill="auto"/>
            <w:vAlign w:val="center"/>
            <w:hideMark/>
          </w:tcPr>
          <w:p w14:paraId="16B8001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r>
      <w:tr w:rsidR="003E5BF5" w:rsidRPr="0029213D" w14:paraId="0E147039" w14:textId="77777777" w:rsidTr="00FD4D19">
        <w:trPr>
          <w:trHeight w:val="340"/>
        </w:trPr>
        <w:tc>
          <w:tcPr>
            <w:tcW w:w="3261" w:type="dxa"/>
            <w:shd w:val="clear" w:color="auto" w:fill="auto"/>
            <w:noWrap/>
            <w:vAlign w:val="center"/>
            <w:hideMark/>
          </w:tcPr>
          <w:p w14:paraId="0F2C4D60" w14:textId="77777777" w:rsidR="003E5BF5" w:rsidRPr="0029213D" w:rsidRDefault="003E5BF5" w:rsidP="00604703">
            <w:pPr>
              <w:pStyle w:val="TableTextGreen"/>
            </w:pPr>
            <w:r w:rsidRPr="0029213D">
              <w:t>Administered income from transactions</w:t>
            </w:r>
          </w:p>
        </w:tc>
        <w:tc>
          <w:tcPr>
            <w:tcW w:w="1134" w:type="dxa"/>
            <w:shd w:val="clear" w:color="auto" w:fill="auto"/>
            <w:noWrap/>
            <w:vAlign w:val="center"/>
            <w:hideMark/>
          </w:tcPr>
          <w:p w14:paraId="31A1135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134" w:type="dxa"/>
            <w:shd w:val="clear" w:color="auto" w:fill="auto"/>
            <w:noWrap/>
            <w:vAlign w:val="center"/>
            <w:hideMark/>
          </w:tcPr>
          <w:p w14:paraId="0B6F1A8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134" w:type="dxa"/>
            <w:shd w:val="clear" w:color="auto" w:fill="auto"/>
            <w:noWrap/>
            <w:vAlign w:val="center"/>
            <w:hideMark/>
          </w:tcPr>
          <w:p w14:paraId="4058F8B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134" w:type="dxa"/>
            <w:shd w:val="clear" w:color="auto" w:fill="auto"/>
            <w:noWrap/>
            <w:vAlign w:val="center"/>
            <w:hideMark/>
          </w:tcPr>
          <w:p w14:paraId="304B731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134" w:type="dxa"/>
            <w:shd w:val="clear" w:color="auto" w:fill="auto"/>
            <w:noWrap/>
            <w:vAlign w:val="center"/>
            <w:hideMark/>
          </w:tcPr>
          <w:p w14:paraId="598BA3B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644" w:type="dxa"/>
            <w:shd w:val="clear" w:color="auto" w:fill="auto"/>
            <w:noWrap/>
            <w:vAlign w:val="center"/>
            <w:hideMark/>
          </w:tcPr>
          <w:p w14:paraId="5D151D5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r>
      <w:tr w:rsidR="003E5BF5" w:rsidRPr="0029213D" w14:paraId="1F804D32" w14:textId="77777777" w:rsidTr="00FD4D19">
        <w:trPr>
          <w:trHeight w:val="340"/>
        </w:trPr>
        <w:tc>
          <w:tcPr>
            <w:tcW w:w="3261" w:type="dxa"/>
            <w:shd w:val="clear" w:color="auto" w:fill="auto"/>
            <w:noWrap/>
            <w:vAlign w:val="center"/>
            <w:hideMark/>
          </w:tcPr>
          <w:p w14:paraId="412202B7" w14:textId="77777777" w:rsidR="003E5BF5" w:rsidRPr="0029213D" w:rsidRDefault="003E5BF5" w:rsidP="00DE1921">
            <w:pPr>
              <w:rPr>
                <w:rFonts w:ascii="Arial" w:hAnsi="Arial" w:cs="Arial"/>
                <w:sz w:val="24"/>
                <w:szCs w:val="24"/>
              </w:rPr>
            </w:pPr>
            <w:r w:rsidRPr="0029213D">
              <w:rPr>
                <w:rFonts w:ascii="Arial" w:hAnsi="Arial" w:cs="Arial"/>
                <w:sz w:val="24"/>
                <w:szCs w:val="24"/>
              </w:rPr>
              <w:t xml:space="preserve">Sale of goods and services </w:t>
            </w:r>
          </w:p>
        </w:tc>
        <w:tc>
          <w:tcPr>
            <w:tcW w:w="1134" w:type="dxa"/>
            <w:shd w:val="clear" w:color="auto" w:fill="auto"/>
            <w:noWrap/>
            <w:vAlign w:val="center"/>
            <w:hideMark/>
          </w:tcPr>
          <w:p w14:paraId="50CEEF4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7,484 </w:t>
            </w:r>
          </w:p>
        </w:tc>
        <w:tc>
          <w:tcPr>
            <w:tcW w:w="1134" w:type="dxa"/>
            <w:shd w:val="clear" w:color="auto" w:fill="auto"/>
            <w:noWrap/>
            <w:vAlign w:val="center"/>
            <w:hideMark/>
          </w:tcPr>
          <w:p w14:paraId="2DBF98D2"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546 </w:t>
            </w:r>
          </w:p>
        </w:tc>
        <w:tc>
          <w:tcPr>
            <w:tcW w:w="1134" w:type="dxa"/>
            <w:shd w:val="clear" w:color="auto" w:fill="auto"/>
            <w:noWrap/>
            <w:vAlign w:val="center"/>
            <w:hideMark/>
          </w:tcPr>
          <w:p w14:paraId="2A56721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33 </w:t>
            </w:r>
          </w:p>
        </w:tc>
        <w:tc>
          <w:tcPr>
            <w:tcW w:w="1134" w:type="dxa"/>
            <w:shd w:val="clear" w:color="auto" w:fill="auto"/>
            <w:noWrap/>
            <w:vAlign w:val="center"/>
            <w:hideMark/>
          </w:tcPr>
          <w:p w14:paraId="51632F2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2,324 </w:t>
            </w:r>
          </w:p>
        </w:tc>
        <w:tc>
          <w:tcPr>
            <w:tcW w:w="1134" w:type="dxa"/>
            <w:shd w:val="clear" w:color="auto" w:fill="auto"/>
            <w:noWrap/>
            <w:vAlign w:val="center"/>
            <w:hideMark/>
          </w:tcPr>
          <w:p w14:paraId="651596E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3,159 </w:t>
            </w:r>
          </w:p>
        </w:tc>
        <w:tc>
          <w:tcPr>
            <w:tcW w:w="1644" w:type="dxa"/>
            <w:shd w:val="clear" w:color="auto" w:fill="auto"/>
            <w:noWrap/>
            <w:vAlign w:val="center"/>
            <w:hideMark/>
          </w:tcPr>
          <w:p w14:paraId="084A252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49 </w:t>
            </w:r>
          </w:p>
        </w:tc>
      </w:tr>
      <w:tr w:rsidR="003E5BF5" w:rsidRPr="0029213D" w14:paraId="5929D8DC" w14:textId="77777777" w:rsidTr="00FD4D19">
        <w:trPr>
          <w:trHeight w:val="340"/>
        </w:trPr>
        <w:tc>
          <w:tcPr>
            <w:tcW w:w="3261" w:type="dxa"/>
            <w:shd w:val="clear" w:color="auto" w:fill="auto"/>
            <w:noWrap/>
            <w:vAlign w:val="center"/>
            <w:hideMark/>
          </w:tcPr>
          <w:p w14:paraId="181E2C97" w14:textId="77777777" w:rsidR="003E5BF5" w:rsidRPr="0029213D" w:rsidRDefault="003E5BF5" w:rsidP="00DE1921">
            <w:pPr>
              <w:rPr>
                <w:rFonts w:ascii="Arial" w:hAnsi="Arial" w:cs="Arial"/>
                <w:sz w:val="24"/>
                <w:szCs w:val="24"/>
              </w:rPr>
            </w:pPr>
            <w:r w:rsidRPr="0029213D">
              <w:rPr>
                <w:rFonts w:ascii="Arial" w:hAnsi="Arial" w:cs="Arial"/>
                <w:sz w:val="24"/>
                <w:szCs w:val="24"/>
              </w:rPr>
              <w:t>Appropriations - payments made on behalf of the State</w:t>
            </w:r>
          </w:p>
        </w:tc>
        <w:tc>
          <w:tcPr>
            <w:tcW w:w="1134" w:type="dxa"/>
            <w:shd w:val="clear" w:color="auto" w:fill="auto"/>
            <w:noWrap/>
            <w:hideMark/>
          </w:tcPr>
          <w:p w14:paraId="58A163E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hideMark/>
          </w:tcPr>
          <w:p w14:paraId="4281DCC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hideMark/>
          </w:tcPr>
          <w:p w14:paraId="0B00561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hideMark/>
          </w:tcPr>
          <w:p w14:paraId="26F2FA2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hideMark/>
          </w:tcPr>
          <w:p w14:paraId="5274AA6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644" w:type="dxa"/>
            <w:shd w:val="clear" w:color="auto" w:fill="auto"/>
            <w:noWrap/>
            <w:hideMark/>
          </w:tcPr>
          <w:p w14:paraId="60B9F64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r>
      <w:tr w:rsidR="003E5BF5" w:rsidRPr="0029213D" w14:paraId="4D2BFF31" w14:textId="77777777" w:rsidTr="00FD4D19">
        <w:trPr>
          <w:trHeight w:val="340"/>
        </w:trPr>
        <w:tc>
          <w:tcPr>
            <w:tcW w:w="3261" w:type="dxa"/>
            <w:shd w:val="clear" w:color="auto" w:fill="auto"/>
            <w:noWrap/>
            <w:vAlign w:val="center"/>
            <w:hideMark/>
          </w:tcPr>
          <w:p w14:paraId="35714C4F" w14:textId="77777777" w:rsidR="003E5BF5" w:rsidRPr="0029213D" w:rsidRDefault="003E5BF5" w:rsidP="00DE1921">
            <w:pPr>
              <w:rPr>
                <w:rFonts w:ascii="Arial" w:hAnsi="Arial" w:cs="Arial"/>
                <w:sz w:val="24"/>
                <w:szCs w:val="24"/>
              </w:rPr>
            </w:pPr>
            <w:r w:rsidRPr="0029213D">
              <w:rPr>
                <w:rFonts w:ascii="Arial" w:hAnsi="Arial" w:cs="Arial"/>
                <w:sz w:val="24"/>
                <w:szCs w:val="24"/>
              </w:rPr>
              <w:t>Other income</w:t>
            </w:r>
          </w:p>
        </w:tc>
        <w:tc>
          <w:tcPr>
            <w:tcW w:w="1134" w:type="dxa"/>
            <w:shd w:val="clear" w:color="auto" w:fill="auto"/>
            <w:noWrap/>
            <w:vAlign w:val="center"/>
            <w:hideMark/>
          </w:tcPr>
          <w:p w14:paraId="56894B1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103 </w:t>
            </w:r>
          </w:p>
        </w:tc>
        <w:tc>
          <w:tcPr>
            <w:tcW w:w="1134" w:type="dxa"/>
            <w:shd w:val="clear" w:color="auto" w:fill="auto"/>
            <w:noWrap/>
            <w:vAlign w:val="center"/>
            <w:hideMark/>
          </w:tcPr>
          <w:p w14:paraId="6C137E42"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922 </w:t>
            </w:r>
          </w:p>
        </w:tc>
        <w:tc>
          <w:tcPr>
            <w:tcW w:w="1134" w:type="dxa"/>
            <w:shd w:val="clear" w:color="auto" w:fill="auto"/>
            <w:noWrap/>
            <w:vAlign w:val="center"/>
            <w:hideMark/>
          </w:tcPr>
          <w:p w14:paraId="42DFAB4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7,378 </w:t>
            </w:r>
          </w:p>
        </w:tc>
        <w:tc>
          <w:tcPr>
            <w:tcW w:w="1134" w:type="dxa"/>
            <w:shd w:val="clear" w:color="auto" w:fill="auto"/>
            <w:noWrap/>
            <w:vAlign w:val="center"/>
            <w:hideMark/>
          </w:tcPr>
          <w:p w14:paraId="19BB969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1,398 </w:t>
            </w:r>
          </w:p>
        </w:tc>
        <w:tc>
          <w:tcPr>
            <w:tcW w:w="1134" w:type="dxa"/>
            <w:shd w:val="clear" w:color="auto" w:fill="auto"/>
            <w:noWrap/>
            <w:vAlign w:val="center"/>
            <w:hideMark/>
          </w:tcPr>
          <w:p w14:paraId="4C8D151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10 </w:t>
            </w:r>
          </w:p>
        </w:tc>
        <w:tc>
          <w:tcPr>
            <w:tcW w:w="1644" w:type="dxa"/>
            <w:shd w:val="clear" w:color="auto" w:fill="auto"/>
            <w:noWrap/>
            <w:vAlign w:val="center"/>
            <w:hideMark/>
          </w:tcPr>
          <w:p w14:paraId="5B6F0552"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17 </w:t>
            </w:r>
          </w:p>
        </w:tc>
      </w:tr>
      <w:tr w:rsidR="003E5BF5" w:rsidRPr="0029213D" w14:paraId="7181710F" w14:textId="77777777" w:rsidTr="00FD4D19">
        <w:trPr>
          <w:trHeight w:val="340"/>
        </w:trPr>
        <w:tc>
          <w:tcPr>
            <w:tcW w:w="3261" w:type="dxa"/>
            <w:shd w:val="clear" w:color="auto" w:fill="auto"/>
            <w:noWrap/>
            <w:vAlign w:val="center"/>
            <w:hideMark/>
          </w:tcPr>
          <w:p w14:paraId="2BE9E3ED" w14:textId="77777777" w:rsidR="003E5BF5" w:rsidRPr="0029213D" w:rsidRDefault="003E5BF5" w:rsidP="00DE1921">
            <w:pPr>
              <w:rPr>
                <w:rFonts w:ascii="Arial" w:hAnsi="Arial" w:cs="Arial"/>
                <w:sz w:val="24"/>
                <w:szCs w:val="24"/>
              </w:rPr>
            </w:pPr>
            <w:r w:rsidRPr="0029213D">
              <w:rPr>
                <w:rFonts w:ascii="Arial" w:hAnsi="Arial" w:cs="Arial"/>
                <w:sz w:val="24"/>
                <w:szCs w:val="24"/>
              </w:rPr>
              <w:t>Statutory fines</w:t>
            </w:r>
          </w:p>
        </w:tc>
        <w:tc>
          <w:tcPr>
            <w:tcW w:w="1134" w:type="dxa"/>
            <w:shd w:val="clear" w:color="auto" w:fill="auto"/>
            <w:noWrap/>
            <w:vAlign w:val="center"/>
            <w:hideMark/>
          </w:tcPr>
          <w:p w14:paraId="46D9CED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2,445 </w:t>
            </w:r>
          </w:p>
        </w:tc>
        <w:tc>
          <w:tcPr>
            <w:tcW w:w="1134" w:type="dxa"/>
            <w:shd w:val="clear" w:color="auto" w:fill="auto"/>
            <w:noWrap/>
            <w:vAlign w:val="center"/>
            <w:hideMark/>
          </w:tcPr>
          <w:p w14:paraId="2CE1F75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2,515 </w:t>
            </w:r>
          </w:p>
        </w:tc>
        <w:tc>
          <w:tcPr>
            <w:tcW w:w="1134" w:type="dxa"/>
            <w:shd w:val="clear" w:color="auto" w:fill="auto"/>
            <w:noWrap/>
            <w:vAlign w:val="center"/>
            <w:hideMark/>
          </w:tcPr>
          <w:p w14:paraId="73DA6C2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vAlign w:val="center"/>
            <w:hideMark/>
          </w:tcPr>
          <w:p w14:paraId="1D7483D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vAlign w:val="center"/>
            <w:hideMark/>
          </w:tcPr>
          <w:p w14:paraId="19F391D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644" w:type="dxa"/>
            <w:shd w:val="clear" w:color="auto" w:fill="auto"/>
            <w:noWrap/>
            <w:vAlign w:val="center"/>
            <w:hideMark/>
          </w:tcPr>
          <w:p w14:paraId="302E0BA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r>
      <w:tr w:rsidR="003E5BF5" w:rsidRPr="0029213D" w14:paraId="109CE330" w14:textId="77777777" w:rsidTr="00FD4D19">
        <w:trPr>
          <w:trHeight w:val="340"/>
        </w:trPr>
        <w:tc>
          <w:tcPr>
            <w:tcW w:w="3261" w:type="dxa"/>
            <w:shd w:val="clear" w:color="auto" w:fill="auto"/>
            <w:noWrap/>
            <w:vAlign w:val="center"/>
            <w:hideMark/>
          </w:tcPr>
          <w:p w14:paraId="0DDB4E87" w14:textId="77777777" w:rsidR="003E5BF5" w:rsidRPr="0029213D" w:rsidRDefault="003E5BF5" w:rsidP="00DE1921">
            <w:pPr>
              <w:rPr>
                <w:rFonts w:ascii="Arial" w:hAnsi="Arial" w:cs="Arial"/>
                <w:sz w:val="24"/>
                <w:szCs w:val="24"/>
              </w:rPr>
            </w:pPr>
            <w:r w:rsidRPr="0029213D">
              <w:rPr>
                <w:rFonts w:ascii="Arial" w:hAnsi="Arial" w:cs="Arial"/>
                <w:sz w:val="24"/>
                <w:szCs w:val="24"/>
              </w:rPr>
              <w:t>Regulatory fees, fines, leases and licences</w:t>
            </w:r>
          </w:p>
        </w:tc>
        <w:tc>
          <w:tcPr>
            <w:tcW w:w="1134" w:type="dxa"/>
            <w:shd w:val="clear" w:color="auto" w:fill="auto"/>
            <w:noWrap/>
            <w:hideMark/>
          </w:tcPr>
          <w:p w14:paraId="3160511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5 </w:t>
            </w:r>
          </w:p>
        </w:tc>
        <w:tc>
          <w:tcPr>
            <w:tcW w:w="1134" w:type="dxa"/>
            <w:shd w:val="clear" w:color="auto" w:fill="auto"/>
            <w:noWrap/>
            <w:hideMark/>
          </w:tcPr>
          <w:p w14:paraId="57145E4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58 </w:t>
            </w:r>
          </w:p>
        </w:tc>
        <w:tc>
          <w:tcPr>
            <w:tcW w:w="1134" w:type="dxa"/>
            <w:shd w:val="clear" w:color="auto" w:fill="auto"/>
            <w:noWrap/>
            <w:hideMark/>
          </w:tcPr>
          <w:p w14:paraId="437107E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hideMark/>
          </w:tcPr>
          <w:p w14:paraId="624A1C4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 </w:t>
            </w:r>
          </w:p>
        </w:tc>
        <w:tc>
          <w:tcPr>
            <w:tcW w:w="1134" w:type="dxa"/>
            <w:shd w:val="clear" w:color="auto" w:fill="auto"/>
            <w:noWrap/>
            <w:hideMark/>
          </w:tcPr>
          <w:p w14:paraId="502B184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29,155 </w:t>
            </w:r>
          </w:p>
        </w:tc>
        <w:tc>
          <w:tcPr>
            <w:tcW w:w="1644" w:type="dxa"/>
            <w:shd w:val="clear" w:color="auto" w:fill="auto"/>
            <w:noWrap/>
            <w:hideMark/>
          </w:tcPr>
          <w:p w14:paraId="204EF86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5 </w:t>
            </w:r>
          </w:p>
        </w:tc>
      </w:tr>
      <w:tr w:rsidR="003E5BF5" w:rsidRPr="0029213D" w14:paraId="62E77191" w14:textId="77777777" w:rsidTr="00FD4D19">
        <w:trPr>
          <w:trHeight w:val="340"/>
        </w:trPr>
        <w:tc>
          <w:tcPr>
            <w:tcW w:w="3261" w:type="dxa"/>
            <w:shd w:val="clear" w:color="auto" w:fill="auto"/>
            <w:noWrap/>
            <w:vAlign w:val="center"/>
            <w:hideMark/>
          </w:tcPr>
          <w:p w14:paraId="6DC45265" w14:textId="77777777" w:rsidR="003E5BF5" w:rsidRPr="0029213D" w:rsidRDefault="003E5BF5" w:rsidP="00DE1921">
            <w:pPr>
              <w:rPr>
                <w:rFonts w:ascii="Arial" w:hAnsi="Arial" w:cs="Arial"/>
                <w:sz w:val="24"/>
                <w:szCs w:val="24"/>
              </w:rPr>
            </w:pPr>
            <w:r w:rsidRPr="0029213D">
              <w:rPr>
                <w:rFonts w:ascii="Arial" w:hAnsi="Arial" w:cs="Arial"/>
                <w:sz w:val="24"/>
                <w:szCs w:val="24"/>
              </w:rPr>
              <w:t>Interest income</w:t>
            </w:r>
          </w:p>
        </w:tc>
        <w:tc>
          <w:tcPr>
            <w:tcW w:w="1134" w:type="dxa"/>
            <w:shd w:val="clear" w:color="auto" w:fill="auto"/>
            <w:noWrap/>
            <w:vAlign w:val="center"/>
            <w:hideMark/>
          </w:tcPr>
          <w:p w14:paraId="1F99E21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vAlign w:val="center"/>
            <w:hideMark/>
          </w:tcPr>
          <w:p w14:paraId="6D83F18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vAlign w:val="center"/>
            <w:hideMark/>
          </w:tcPr>
          <w:p w14:paraId="79D6ED4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vAlign w:val="center"/>
            <w:hideMark/>
          </w:tcPr>
          <w:p w14:paraId="455A10E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vAlign w:val="center"/>
            <w:hideMark/>
          </w:tcPr>
          <w:p w14:paraId="2B47C38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644" w:type="dxa"/>
            <w:shd w:val="clear" w:color="auto" w:fill="auto"/>
            <w:noWrap/>
            <w:vAlign w:val="center"/>
            <w:hideMark/>
          </w:tcPr>
          <w:p w14:paraId="7B25598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r>
      <w:tr w:rsidR="003E5BF5" w:rsidRPr="0029213D" w14:paraId="49CA7BF0" w14:textId="77777777" w:rsidTr="00FD4D19">
        <w:trPr>
          <w:trHeight w:val="340"/>
        </w:trPr>
        <w:tc>
          <w:tcPr>
            <w:tcW w:w="3261" w:type="dxa"/>
            <w:shd w:val="clear" w:color="auto" w:fill="auto"/>
            <w:noWrap/>
            <w:vAlign w:val="center"/>
            <w:hideMark/>
          </w:tcPr>
          <w:p w14:paraId="63FCC16F" w14:textId="77777777" w:rsidR="003E5BF5" w:rsidRPr="0029213D" w:rsidRDefault="003E5BF5" w:rsidP="00DE1921">
            <w:pPr>
              <w:rPr>
                <w:rFonts w:ascii="Arial" w:hAnsi="Arial" w:cs="Arial"/>
                <w:sz w:val="24"/>
                <w:szCs w:val="24"/>
              </w:rPr>
            </w:pPr>
            <w:r w:rsidRPr="0029213D">
              <w:rPr>
                <w:rFonts w:ascii="Arial" w:hAnsi="Arial" w:cs="Arial"/>
                <w:sz w:val="24"/>
                <w:szCs w:val="24"/>
              </w:rPr>
              <w:t>Commonwealth grants</w:t>
            </w:r>
          </w:p>
        </w:tc>
        <w:tc>
          <w:tcPr>
            <w:tcW w:w="1134" w:type="dxa"/>
            <w:shd w:val="clear" w:color="auto" w:fill="auto"/>
            <w:noWrap/>
            <w:vAlign w:val="center"/>
            <w:hideMark/>
          </w:tcPr>
          <w:p w14:paraId="72959F8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vAlign w:val="center"/>
            <w:hideMark/>
          </w:tcPr>
          <w:p w14:paraId="711606E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vAlign w:val="center"/>
            <w:hideMark/>
          </w:tcPr>
          <w:p w14:paraId="7514F9A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vAlign w:val="center"/>
            <w:hideMark/>
          </w:tcPr>
          <w:p w14:paraId="40B98A9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vAlign w:val="center"/>
            <w:hideMark/>
          </w:tcPr>
          <w:p w14:paraId="29070C3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8,645 </w:t>
            </w:r>
          </w:p>
        </w:tc>
        <w:tc>
          <w:tcPr>
            <w:tcW w:w="1644" w:type="dxa"/>
            <w:shd w:val="clear" w:color="auto" w:fill="auto"/>
            <w:noWrap/>
            <w:vAlign w:val="center"/>
            <w:hideMark/>
          </w:tcPr>
          <w:p w14:paraId="0E6B69E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r>
      <w:tr w:rsidR="003E5BF5" w:rsidRPr="0029213D" w14:paraId="6842F942" w14:textId="77777777" w:rsidTr="00FD4D19">
        <w:trPr>
          <w:trHeight w:val="340"/>
        </w:trPr>
        <w:tc>
          <w:tcPr>
            <w:tcW w:w="3261" w:type="dxa"/>
            <w:shd w:val="clear" w:color="auto" w:fill="auto"/>
            <w:noWrap/>
            <w:vAlign w:val="center"/>
            <w:hideMark/>
          </w:tcPr>
          <w:p w14:paraId="780188CA"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income from transactions</w:t>
            </w:r>
          </w:p>
        </w:tc>
        <w:tc>
          <w:tcPr>
            <w:tcW w:w="1134" w:type="dxa"/>
            <w:shd w:val="clear" w:color="auto" w:fill="auto"/>
            <w:noWrap/>
            <w:hideMark/>
          </w:tcPr>
          <w:p w14:paraId="6DE9AF15"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10,037 </w:t>
            </w:r>
          </w:p>
        </w:tc>
        <w:tc>
          <w:tcPr>
            <w:tcW w:w="1134" w:type="dxa"/>
            <w:shd w:val="clear" w:color="auto" w:fill="auto"/>
            <w:noWrap/>
            <w:hideMark/>
          </w:tcPr>
          <w:p w14:paraId="38EEA2A7"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4,041 </w:t>
            </w:r>
          </w:p>
        </w:tc>
        <w:tc>
          <w:tcPr>
            <w:tcW w:w="1134" w:type="dxa"/>
            <w:shd w:val="clear" w:color="auto" w:fill="auto"/>
            <w:noWrap/>
            <w:hideMark/>
          </w:tcPr>
          <w:p w14:paraId="35E2BB68"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7,411 </w:t>
            </w:r>
          </w:p>
        </w:tc>
        <w:tc>
          <w:tcPr>
            <w:tcW w:w="1134" w:type="dxa"/>
            <w:shd w:val="clear" w:color="auto" w:fill="auto"/>
            <w:noWrap/>
            <w:hideMark/>
          </w:tcPr>
          <w:p w14:paraId="563C5D58"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3,725 </w:t>
            </w:r>
          </w:p>
        </w:tc>
        <w:tc>
          <w:tcPr>
            <w:tcW w:w="1134" w:type="dxa"/>
            <w:shd w:val="clear" w:color="auto" w:fill="auto"/>
            <w:noWrap/>
            <w:hideMark/>
          </w:tcPr>
          <w:p w14:paraId="64D5EDA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40,969 </w:t>
            </w:r>
          </w:p>
        </w:tc>
        <w:tc>
          <w:tcPr>
            <w:tcW w:w="1644" w:type="dxa"/>
            <w:shd w:val="clear" w:color="auto" w:fill="auto"/>
            <w:noWrap/>
            <w:hideMark/>
          </w:tcPr>
          <w:p w14:paraId="7E0A329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71 </w:t>
            </w:r>
          </w:p>
        </w:tc>
      </w:tr>
      <w:tr w:rsidR="003E5BF5" w:rsidRPr="0029213D" w14:paraId="0103E9C1" w14:textId="77777777" w:rsidTr="00FD4D19">
        <w:trPr>
          <w:trHeight w:val="340"/>
        </w:trPr>
        <w:tc>
          <w:tcPr>
            <w:tcW w:w="3261" w:type="dxa"/>
            <w:shd w:val="clear" w:color="auto" w:fill="auto"/>
            <w:noWrap/>
            <w:vAlign w:val="center"/>
            <w:hideMark/>
          </w:tcPr>
          <w:p w14:paraId="6C613A4E" w14:textId="77777777" w:rsidR="003E5BF5" w:rsidRPr="0029213D" w:rsidRDefault="003E5BF5" w:rsidP="00604703">
            <w:pPr>
              <w:pStyle w:val="TableTextGreen"/>
            </w:pPr>
            <w:r w:rsidRPr="0029213D">
              <w:t>Administered expenses from transactions</w:t>
            </w:r>
          </w:p>
        </w:tc>
        <w:tc>
          <w:tcPr>
            <w:tcW w:w="1134" w:type="dxa"/>
            <w:shd w:val="clear" w:color="auto" w:fill="auto"/>
            <w:noWrap/>
            <w:vAlign w:val="center"/>
            <w:hideMark/>
          </w:tcPr>
          <w:p w14:paraId="6906C0AA" w14:textId="77777777" w:rsidR="003E5BF5" w:rsidRPr="0029213D" w:rsidRDefault="003E5BF5" w:rsidP="00DE1921">
            <w:pPr>
              <w:jc w:val="right"/>
              <w:rPr>
                <w:rFonts w:ascii="Arial" w:hAnsi="Arial" w:cs="Arial"/>
                <w:sz w:val="24"/>
                <w:szCs w:val="24"/>
              </w:rPr>
            </w:pPr>
          </w:p>
        </w:tc>
        <w:tc>
          <w:tcPr>
            <w:tcW w:w="1134" w:type="dxa"/>
            <w:shd w:val="clear" w:color="auto" w:fill="auto"/>
            <w:noWrap/>
            <w:vAlign w:val="center"/>
            <w:hideMark/>
          </w:tcPr>
          <w:p w14:paraId="431A1D30" w14:textId="77777777" w:rsidR="003E5BF5" w:rsidRPr="0029213D" w:rsidRDefault="003E5BF5" w:rsidP="00DE1921">
            <w:pPr>
              <w:jc w:val="right"/>
              <w:rPr>
                <w:rFonts w:ascii="Arial" w:hAnsi="Arial" w:cs="Arial"/>
                <w:sz w:val="24"/>
                <w:szCs w:val="24"/>
              </w:rPr>
            </w:pPr>
          </w:p>
        </w:tc>
        <w:tc>
          <w:tcPr>
            <w:tcW w:w="1134" w:type="dxa"/>
            <w:shd w:val="clear" w:color="auto" w:fill="auto"/>
            <w:noWrap/>
            <w:vAlign w:val="center"/>
            <w:hideMark/>
          </w:tcPr>
          <w:p w14:paraId="5BDE95B3" w14:textId="77777777" w:rsidR="003E5BF5" w:rsidRPr="0029213D" w:rsidRDefault="003E5BF5" w:rsidP="00DE1921">
            <w:pPr>
              <w:jc w:val="right"/>
              <w:rPr>
                <w:rFonts w:ascii="Arial" w:hAnsi="Arial" w:cs="Arial"/>
                <w:sz w:val="24"/>
                <w:szCs w:val="24"/>
              </w:rPr>
            </w:pPr>
          </w:p>
        </w:tc>
        <w:tc>
          <w:tcPr>
            <w:tcW w:w="1134" w:type="dxa"/>
            <w:shd w:val="clear" w:color="auto" w:fill="auto"/>
            <w:noWrap/>
            <w:vAlign w:val="center"/>
            <w:hideMark/>
          </w:tcPr>
          <w:p w14:paraId="0521D703" w14:textId="77777777" w:rsidR="003E5BF5" w:rsidRPr="0029213D" w:rsidRDefault="003E5BF5" w:rsidP="00DE1921">
            <w:pPr>
              <w:jc w:val="right"/>
              <w:rPr>
                <w:rFonts w:ascii="Arial" w:hAnsi="Arial" w:cs="Arial"/>
                <w:sz w:val="24"/>
                <w:szCs w:val="24"/>
              </w:rPr>
            </w:pPr>
          </w:p>
        </w:tc>
        <w:tc>
          <w:tcPr>
            <w:tcW w:w="1134" w:type="dxa"/>
            <w:shd w:val="clear" w:color="auto" w:fill="auto"/>
            <w:noWrap/>
            <w:vAlign w:val="center"/>
            <w:hideMark/>
          </w:tcPr>
          <w:p w14:paraId="7E423F8A" w14:textId="77777777" w:rsidR="003E5BF5" w:rsidRPr="0029213D" w:rsidRDefault="003E5BF5" w:rsidP="00DE1921">
            <w:pPr>
              <w:jc w:val="right"/>
              <w:rPr>
                <w:rFonts w:ascii="Arial" w:hAnsi="Arial" w:cs="Arial"/>
                <w:sz w:val="24"/>
                <w:szCs w:val="24"/>
              </w:rPr>
            </w:pPr>
          </w:p>
        </w:tc>
        <w:tc>
          <w:tcPr>
            <w:tcW w:w="1644" w:type="dxa"/>
            <w:shd w:val="clear" w:color="auto" w:fill="auto"/>
            <w:noWrap/>
            <w:vAlign w:val="center"/>
            <w:hideMark/>
          </w:tcPr>
          <w:p w14:paraId="4E8C8CD7" w14:textId="77777777" w:rsidR="003E5BF5" w:rsidRPr="0029213D" w:rsidRDefault="003E5BF5" w:rsidP="00DE1921">
            <w:pPr>
              <w:jc w:val="right"/>
              <w:rPr>
                <w:rFonts w:ascii="Arial" w:hAnsi="Arial" w:cs="Arial"/>
                <w:sz w:val="24"/>
                <w:szCs w:val="24"/>
              </w:rPr>
            </w:pPr>
          </w:p>
        </w:tc>
      </w:tr>
      <w:tr w:rsidR="003E5BF5" w:rsidRPr="0029213D" w14:paraId="358BA807" w14:textId="77777777" w:rsidTr="00FD4D19">
        <w:trPr>
          <w:trHeight w:val="340"/>
        </w:trPr>
        <w:tc>
          <w:tcPr>
            <w:tcW w:w="3261" w:type="dxa"/>
            <w:shd w:val="clear" w:color="auto" w:fill="auto"/>
            <w:noWrap/>
            <w:vAlign w:val="center"/>
            <w:hideMark/>
          </w:tcPr>
          <w:p w14:paraId="0E2B35D5" w14:textId="77777777" w:rsidR="003E5BF5" w:rsidRPr="0029213D" w:rsidRDefault="003E5BF5" w:rsidP="00DE1921">
            <w:pPr>
              <w:rPr>
                <w:rFonts w:ascii="Arial" w:hAnsi="Arial" w:cs="Arial"/>
                <w:sz w:val="24"/>
                <w:szCs w:val="24"/>
              </w:rPr>
            </w:pPr>
            <w:r w:rsidRPr="0029213D">
              <w:rPr>
                <w:rFonts w:ascii="Arial" w:hAnsi="Arial" w:cs="Arial"/>
                <w:sz w:val="24"/>
                <w:szCs w:val="24"/>
              </w:rPr>
              <w:t>Payments into Consolidated Fund</w:t>
            </w:r>
          </w:p>
        </w:tc>
        <w:tc>
          <w:tcPr>
            <w:tcW w:w="1134" w:type="dxa"/>
            <w:shd w:val="clear" w:color="auto" w:fill="auto"/>
            <w:noWrap/>
            <w:vAlign w:val="center"/>
            <w:hideMark/>
          </w:tcPr>
          <w:p w14:paraId="2ABCE002"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(10,001)</w:t>
            </w:r>
          </w:p>
        </w:tc>
        <w:tc>
          <w:tcPr>
            <w:tcW w:w="1134" w:type="dxa"/>
            <w:shd w:val="clear" w:color="auto" w:fill="auto"/>
            <w:noWrap/>
            <w:vAlign w:val="center"/>
            <w:hideMark/>
          </w:tcPr>
          <w:p w14:paraId="2AEA717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(7,434)</w:t>
            </w:r>
          </w:p>
        </w:tc>
        <w:tc>
          <w:tcPr>
            <w:tcW w:w="1134" w:type="dxa"/>
            <w:shd w:val="clear" w:color="auto" w:fill="auto"/>
            <w:noWrap/>
            <w:vAlign w:val="center"/>
            <w:hideMark/>
          </w:tcPr>
          <w:p w14:paraId="7F100EC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(7,385)</w:t>
            </w:r>
          </w:p>
        </w:tc>
        <w:tc>
          <w:tcPr>
            <w:tcW w:w="1134" w:type="dxa"/>
            <w:shd w:val="clear" w:color="auto" w:fill="auto"/>
            <w:noWrap/>
            <w:vAlign w:val="center"/>
            <w:hideMark/>
          </w:tcPr>
          <w:p w14:paraId="2612D18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(6,005)</w:t>
            </w:r>
          </w:p>
        </w:tc>
        <w:tc>
          <w:tcPr>
            <w:tcW w:w="1134" w:type="dxa"/>
            <w:shd w:val="clear" w:color="auto" w:fill="auto"/>
            <w:noWrap/>
            <w:vAlign w:val="center"/>
            <w:hideMark/>
          </w:tcPr>
          <w:p w14:paraId="3AFBF36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(40,826)</w:t>
            </w:r>
          </w:p>
        </w:tc>
        <w:tc>
          <w:tcPr>
            <w:tcW w:w="1644" w:type="dxa"/>
            <w:shd w:val="clear" w:color="auto" w:fill="auto"/>
            <w:noWrap/>
            <w:vAlign w:val="center"/>
            <w:hideMark/>
          </w:tcPr>
          <w:p w14:paraId="6EB51FA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(522)</w:t>
            </w:r>
          </w:p>
        </w:tc>
      </w:tr>
      <w:tr w:rsidR="003E5BF5" w:rsidRPr="0029213D" w14:paraId="5C93949D" w14:textId="77777777" w:rsidTr="00FD4D19">
        <w:trPr>
          <w:trHeight w:val="340"/>
        </w:trPr>
        <w:tc>
          <w:tcPr>
            <w:tcW w:w="3261" w:type="dxa"/>
            <w:shd w:val="clear" w:color="auto" w:fill="auto"/>
            <w:noWrap/>
            <w:vAlign w:val="center"/>
            <w:hideMark/>
          </w:tcPr>
          <w:p w14:paraId="49B9D91A" w14:textId="77777777" w:rsidR="003E5BF5" w:rsidRPr="0029213D" w:rsidRDefault="003E5BF5" w:rsidP="00DE1921">
            <w:pPr>
              <w:rPr>
                <w:rFonts w:ascii="Arial" w:hAnsi="Arial" w:cs="Arial"/>
                <w:sz w:val="24"/>
                <w:szCs w:val="24"/>
              </w:rPr>
            </w:pPr>
            <w:r w:rsidRPr="0029213D">
              <w:rPr>
                <w:rFonts w:ascii="Arial" w:hAnsi="Arial" w:cs="Arial"/>
                <w:sz w:val="24"/>
                <w:szCs w:val="24"/>
              </w:rPr>
              <w:t>Other expenses</w:t>
            </w:r>
          </w:p>
        </w:tc>
        <w:tc>
          <w:tcPr>
            <w:tcW w:w="1134" w:type="dxa"/>
            <w:shd w:val="clear" w:color="auto" w:fill="auto"/>
            <w:noWrap/>
            <w:vAlign w:val="center"/>
            <w:hideMark/>
          </w:tcPr>
          <w:p w14:paraId="79CA9C0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(150)</w:t>
            </w:r>
          </w:p>
        </w:tc>
        <w:tc>
          <w:tcPr>
            <w:tcW w:w="1134" w:type="dxa"/>
            <w:shd w:val="clear" w:color="auto" w:fill="auto"/>
            <w:noWrap/>
            <w:vAlign w:val="center"/>
            <w:hideMark/>
          </w:tcPr>
          <w:p w14:paraId="6CCF98D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(251)</w:t>
            </w:r>
          </w:p>
        </w:tc>
        <w:tc>
          <w:tcPr>
            <w:tcW w:w="1134" w:type="dxa"/>
            <w:shd w:val="clear" w:color="auto" w:fill="auto"/>
            <w:noWrap/>
            <w:vAlign w:val="center"/>
            <w:hideMark/>
          </w:tcPr>
          <w:p w14:paraId="73287A0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(8)</w:t>
            </w:r>
          </w:p>
        </w:tc>
        <w:tc>
          <w:tcPr>
            <w:tcW w:w="1134" w:type="dxa"/>
            <w:shd w:val="clear" w:color="auto" w:fill="auto"/>
            <w:noWrap/>
            <w:vAlign w:val="center"/>
            <w:hideMark/>
          </w:tcPr>
          <w:p w14:paraId="72DD4DD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(14)</w:t>
            </w:r>
          </w:p>
        </w:tc>
        <w:tc>
          <w:tcPr>
            <w:tcW w:w="1134" w:type="dxa"/>
            <w:shd w:val="clear" w:color="auto" w:fill="auto"/>
            <w:noWrap/>
            <w:vAlign w:val="center"/>
            <w:hideMark/>
          </w:tcPr>
          <w:p w14:paraId="2F00AE2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(13)</w:t>
            </w:r>
          </w:p>
        </w:tc>
        <w:tc>
          <w:tcPr>
            <w:tcW w:w="1644" w:type="dxa"/>
            <w:shd w:val="clear" w:color="auto" w:fill="auto"/>
            <w:noWrap/>
            <w:vAlign w:val="center"/>
            <w:hideMark/>
          </w:tcPr>
          <w:p w14:paraId="48255DF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(22)</w:t>
            </w:r>
          </w:p>
        </w:tc>
      </w:tr>
      <w:tr w:rsidR="003E5BF5" w:rsidRPr="0029213D" w14:paraId="59136150" w14:textId="77777777" w:rsidTr="00FD4D19">
        <w:trPr>
          <w:trHeight w:val="340"/>
        </w:trPr>
        <w:tc>
          <w:tcPr>
            <w:tcW w:w="3261" w:type="dxa"/>
            <w:shd w:val="clear" w:color="auto" w:fill="auto"/>
            <w:noWrap/>
            <w:vAlign w:val="center"/>
            <w:hideMark/>
          </w:tcPr>
          <w:p w14:paraId="24B945D8" w14:textId="77777777" w:rsidR="003E5BF5" w:rsidRPr="0029213D" w:rsidRDefault="003E5BF5" w:rsidP="00DE1921">
            <w:pPr>
              <w:rPr>
                <w:rFonts w:ascii="Arial" w:hAnsi="Arial" w:cs="Arial"/>
                <w:sz w:val="24"/>
                <w:szCs w:val="24"/>
              </w:rPr>
            </w:pPr>
            <w:r w:rsidRPr="0029213D">
              <w:rPr>
                <w:rFonts w:ascii="Arial" w:hAnsi="Arial" w:cs="Arial"/>
                <w:sz w:val="24"/>
                <w:szCs w:val="24"/>
              </w:rPr>
              <w:t>Assets transferred to local/Commonwealth government</w:t>
            </w:r>
          </w:p>
        </w:tc>
        <w:tc>
          <w:tcPr>
            <w:tcW w:w="1134" w:type="dxa"/>
            <w:shd w:val="clear" w:color="auto" w:fill="auto"/>
            <w:noWrap/>
            <w:hideMark/>
          </w:tcPr>
          <w:p w14:paraId="72B93E24"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34" w:type="dxa"/>
            <w:shd w:val="clear" w:color="auto" w:fill="auto"/>
            <w:noWrap/>
            <w:hideMark/>
          </w:tcPr>
          <w:p w14:paraId="4791E0A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(591)</w:t>
            </w:r>
          </w:p>
        </w:tc>
        <w:tc>
          <w:tcPr>
            <w:tcW w:w="1134" w:type="dxa"/>
            <w:shd w:val="clear" w:color="auto" w:fill="auto"/>
            <w:noWrap/>
            <w:hideMark/>
          </w:tcPr>
          <w:p w14:paraId="4263CD4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hideMark/>
          </w:tcPr>
          <w:p w14:paraId="09C693C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34" w:type="dxa"/>
            <w:shd w:val="clear" w:color="auto" w:fill="auto"/>
            <w:noWrap/>
            <w:hideMark/>
          </w:tcPr>
          <w:p w14:paraId="2221011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644" w:type="dxa"/>
            <w:shd w:val="clear" w:color="auto" w:fill="auto"/>
            <w:noWrap/>
            <w:hideMark/>
          </w:tcPr>
          <w:p w14:paraId="6734364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r>
      <w:tr w:rsidR="003E5BF5" w:rsidRPr="0029213D" w14:paraId="4D2CA570" w14:textId="77777777" w:rsidTr="00FD4D19">
        <w:trPr>
          <w:trHeight w:val="340"/>
        </w:trPr>
        <w:tc>
          <w:tcPr>
            <w:tcW w:w="3261" w:type="dxa"/>
            <w:shd w:val="clear" w:color="auto" w:fill="auto"/>
            <w:noWrap/>
            <w:vAlign w:val="center"/>
            <w:hideMark/>
          </w:tcPr>
          <w:p w14:paraId="57892F40"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expenses from transactions</w:t>
            </w:r>
          </w:p>
        </w:tc>
        <w:tc>
          <w:tcPr>
            <w:tcW w:w="1134" w:type="dxa"/>
            <w:shd w:val="clear" w:color="auto" w:fill="auto"/>
            <w:noWrap/>
            <w:hideMark/>
          </w:tcPr>
          <w:p w14:paraId="44E6876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(10,151)</w:t>
            </w:r>
          </w:p>
        </w:tc>
        <w:tc>
          <w:tcPr>
            <w:tcW w:w="1134" w:type="dxa"/>
            <w:shd w:val="clear" w:color="auto" w:fill="auto"/>
            <w:noWrap/>
            <w:hideMark/>
          </w:tcPr>
          <w:p w14:paraId="5AE4B25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(8,276)</w:t>
            </w:r>
          </w:p>
        </w:tc>
        <w:tc>
          <w:tcPr>
            <w:tcW w:w="1134" w:type="dxa"/>
            <w:shd w:val="clear" w:color="auto" w:fill="auto"/>
            <w:noWrap/>
            <w:hideMark/>
          </w:tcPr>
          <w:p w14:paraId="129A712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(7,393)</w:t>
            </w:r>
          </w:p>
        </w:tc>
        <w:tc>
          <w:tcPr>
            <w:tcW w:w="1134" w:type="dxa"/>
            <w:shd w:val="clear" w:color="auto" w:fill="auto"/>
            <w:noWrap/>
            <w:hideMark/>
          </w:tcPr>
          <w:p w14:paraId="49F290F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(6,019)</w:t>
            </w:r>
          </w:p>
        </w:tc>
        <w:tc>
          <w:tcPr>
            <w:tcW w:w="1134" w:type="dxa"/>
            <w:shd w:val="clear" w:color="auto" w:fill="auto"/>
            <w:noWrap/>
            <w:hideMark/>
          </w:tcPr>
          <w:p w14:paraId="79B06AB5"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(40,839)</w:t>
            </w:r>
          </w:p>
        </w:tc>
        <w:tc>
          <w:tcPr>
            <w:tcW w:w="1644" w:type="dxa"/>
            <w:shd w:val="clear" w:color="auto" w:fill="auto"/>
            <w:noWrap/>
            <w:hideMark/>
          </w:tcPr>
          <w:p w14:paraId="7FFAA22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(544)</w:t>
            </w:r>
          </w:p>
        </w:tc>
      </w:tr>
      <w:tr w:rsidR="003E5BF5" w:rsidRPr="0029213D" w14:paraId="5D4CBF40" w14:textId="77777777" w:rsidTr="00FD4D19">
        <w:trPr>
          <w:trHeight w:val="340"/>
        </w:trPr>
        <w:tc>
          <w:tcPr>
            <w:tcW w:w="3261" w:type="dxa"/>
            <w:shd w:val="clear" w:color="auto" w:fill="auto"/>
            <w:noWrap/>
            <w:vAlign w:val="center"/>
            <w:hideMark/>
          </w:tcPr>
          <w:p w14:paraId="44D394BA"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net result from transactions</w:t>
            </w:r>
          </w:p>
        </w:tc>
        <w:tc>
          <w:tcPr>
            <w:tcW w:w="1134" w:type="dxa"/>
            <w:shd w:val="clear" w:color="auto" w:fill="auto"/>
            <w:noWrap/>
            <w:hideMark/>
          </w:tcPr>
          <w:p w14:paraId="03FD71A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(114)</w:t>
            </w:r>
          </w:p>
        </w:tc>
        <w:tc>
          <w:tcPr>
            <w:tcW w:w="1134" w:type="dxa"/>
            <w:shd w:val="clear" w:color="auto" w:fill="auto"/>
            <w:noWrap/>
            <w:hideMark/>
          </w:tcPr>
          <w:p w14:paraId="2CFDAB1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(4,235)</w:t>
            </w:r>
          </w:p>
        </w:tc>
        <w:tc>
          <w:tcPr>
            <w:tcW w:w="1134" w:type="dxa"/>
            <w:shd w:val="clear" w:color="auto" w:fill="auto"/>
            <w:noWrap/>
            <w:hideMark/>
          </w:tcPr>
          <w:p w14:paraId="1A9A987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18 </w:t>
            </w:r>
          </w:p>
        </w:tc>
        <w:tc>
          <w:tcPr>
            <w:tcW w:w="1134" w:type="dxa"/>
            <w:shd w:val="clear" w:color="auto" w:fill="auto"/>
            <w:noWrap/>
            <w:hideMark/>
          </w:tcPr>
          <w:p w14:paraId="37D886D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(2,294)</w:t>
            </w:r>
          </w:p>
        </w:tc>
        <w:tc>
          <w:tcPr>
            <w:tcW w:w="1134" w:type="dxa"/>
            <w:shd w:val="clear" w:color="auto" w:fill="auto"/>
            <w:noWrap/>
            <w:hideMark/>
          </w:tcPr>
          <w:p w14:paraId="08B8DB7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130 </w:t>
            </w:r>
          </w:p>
        </w:tc>
        <w:tc>
          <w:tcPr>
            <w:tcW w:w="1644" w:type="dxa"/>
            <w:shd w:val="clear" w:color="auto" w:fill="auto"/>
            <w:noWrap/>
            <w:hideMark/>
          </w:tcPr>
          <w:p w14:paraId="36C922E7"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(473)</w:t>
            </w:r>
          </w:p>
        </w:tc>
      </w:tr>
      <w:tr w:rsidR="003E5BF5" w:rsidRPr="0029213D" w14:paraId="5526A75E" w14:textId="77777777" w:rsidTr="00FD4D19">
        <w:trPr>
          <w:trHeight w:val="340"/>
        </w:trPr>
        <w:tc>
          <w:tcPr>
            <w:tcW w:w="3261" w:type="dxa"/>
            <w:shd w:val="clear" w:color="auto" w:fill="auto"/>
            <w:noWrap/>
            <w:vAlign w:val="center"/>
            <w:hideMark/>
          </w:tcPr>
          <w:p w14:paraId="6451D117" w14:textId="77777777" w:rsidR="003E5BF5" w:rsidRPr="0029213D" w:rsidRDefault="003E5BF5" w:rsidP="00DE1921">
            <w:pPr>
              <w:rPr>
                <w:rFonts w:ascii="Arial" w:hAnsi="Arial" w:cs="Arial"/>
                <w:b/>
                <w:sz w:val="24"/>
                <w:szCs w:val="24"/>
              </w:rPr>
            </w:pPr>
          </w:p>
        </w:tc>
        <w:tc>
          <w:tcPr>
            <w:tcW w:w="1134" w:type="dxa"/>
            <w:shd w:val="clear" w:color="auto" w:fill="auto"/>
            <w:noWrap/>
            <w:vAlign w:val="center"/>
            <w:hideMark/>
          </w:tcPr>
          <w:p w14:paraId="31CF4D34" w14:textId="77777777" w:rsidR="003E5BF5" w:rsidRPr="0029213D" w:rsidRDefault="003E5BF5" w:rsidP="00DE1921">
            <w:pPr>
              <w:jc w:val="right"/>
              <w:rPr>
                <w:rFonts w:ascii="Arial" w:hAnsi="Arial" w:cs="Arial"/>
                <w:b/>
                <w:sz w:val="24"/>
                <w:szCs w:val="24"/>
              </w:rPr>
            </w:pPr>
          </w:p>
        </w:tc>
        <w:tc>
          <w:tcPr>
            <w:tcW w:w="1134" w:type="dxa"/>
            <w:shd w:val="clear" w:color="auto" w:fill="auto"/>
            <w:noWrap/>
            <w:vAlign w:val="center"/>
            <w:hideMark/>
          </w:tcPr>
          <w:p w14:paraId="78D1824E" w14:textId="77777777" w:rsidR="003E5BF5" w:rsidRPr="0029213D" w:rsidRDefault="003E5BF5" w:rsidP="00DE1921">
            <w:pPr>
              <w:jc w:val="right"/>
              <w:rPr>
                <w:rFonts w:ascii="Arial" w:hAnsi="Arial" w:cs="Arial"/>
                <w:b/>
                <w:sz w:val="24"/>
                <w:szCs w:val="24"/>
              </w:rPr>
            </w:pPr>
          </w:p>
        </w:tc>
        <w:tc>
          <w:tcPr>
            <w:tcW w:w="1134" w:type="dxa"/>
            <w:shd w:val="clear" w:color="auto" w:fill="auto"/>
            <w:noWrap/>
            <w:vAlign w:val="center"/>
            <w:hideMark/>
          </w:tcPr>
          <w:p w14:paraId="1880CFF1" w14:textId="77777777" w:rsidR="003E5BF5" w:rsidRPr="0029213D" w:rsidRDefault="003E5BF5" w:rsidP="00DE1921">
            <w:pPr>
              <w:jc w:val="right"/>
              <w:rPr>
                <w:rFonts w:ascii="Arial" w:hAnsi="Arial" w:cs="Arial"/>
                <w:b/>
                <w:sz w:val="24"/>
                <w:szCs w:val="24"/>
              </w:rPr>
            </w:pPr>
          </w:p>
        </w:tc>
        <w:tc>
          <w:tcPr>
            <w:tcW w:w="1134" w:type="dxa"/>
            <w:shd w:val="clear" w:color="auto" w:fill="auto"/>
            <w:noWrap/>
            <w:vAlign w:val="center"/>
            <w:hideMark/>
          </w:tcPr>
          <w:p w14:paraId="20B60FB8" w14:textId="77777777" w:rsidR="003E5BF5" w:rsidRPr="0029213D" w:rsidRDefault="003E5BF5" w:rsidP="00DE1921">
            <w:pPr>
              <w:jc w:val="right"/>
              <w:rPr>
                <w:rFonts w:ascii="Arial" w:hAnsi="Arial" w:cs="Arial"/>
                <w:b/>
                <w:sz w:val="24"/>
                <w:szCs w:val="24"/>
              </w:rPr>
            </w:pPr>
          </w:p>
        </w:tc>
        <w:tc>
          <w:tcPr>
            <w:tcW w:w="1134" w:type="dxa"/>
            <w:shd w:val="clear" w:color="auto" w:fill="auto"/>
            <w:noWrap/>
            <w:vAlign w:val="center"/>
            <w:hideMark/>
          </w:tcPr>
          <w:p w14:paraId="0385BE0B" w14:textId="77777777" w:rsidR="003E5BF5" w:rsidRPr="0029213D" w:rsidRDefault="003E5BF5" w:rsidP="00DE1921">
            <w:pPr>
              <w:jc w:val="right"/>
              <w:rPr>
                <w:rFonts w:ascii="Arial" w:hAnsi="Arial" w:cs="Arial"/>
                <w:b/>
                <w:sz w:val="24"/>
                <w:szCs w:val="24"/>
              </w:rPr>
            </w:pPr>
          </w:p>
        </w:tc>
        <w:tc>
          <w:tcPr>
            <w:tcW w:w="1644" w:type="dxa"/>
            <w:shd w:val="clear" w:color="auto" w:fill="auto"/>
            <w:noWrap/>
            <w:vAlign w:val="center"/>
            <w:hideMark/>
          </w:tcPr>
          <w:p w14:paraId="3CD86850" w14:textId="77777777" w:rsidR="003E5BF5" w:rsidRPr="0029213D" w:rsidRDefault="003E5BF5" w:rsidP="00DE1921">
            <w:pPr>
              <w:jc w:val="right"/>
              <w:rPr>
                <w:rFonts w:ascii="Arial" w:hAnsi="Arial" w:cs="Arial"/>
                <w:b/>
                <w:sz w:val="24"/>
                <w:szCs w:val="24"/>
              </w:rPr>
            </w:pPr>
          </w:p>
        </w:tc>
      </w:tr>
      <w:tr w:rsidR="003E5BF5" w:rsidRPr="0029213D" w14:paraId="13A5326E" w14:textId="77777777" w:rsidTr="00FD4D19">
        <w:trPr>
          <w:trHeight w:val="340"/>
        </w:trPr>
        <w:tc>
          <w:tcPr>
            <w:tcW w:w="3261" w:type="dxa"/>
            <w:shd w:val="clear" w:color="auto" w:fill="auto"/>
            <w:vAlign w:val="center"/>
            <w:hideMark/>
          </w:tcPr>
          <w:p w14:paraId="46EFA6FA" w14:textId="77777777" w:rsidR="003E5BF5" w:rsidRPr="0029213D" w:rsidRDefault="003E5BF5" w:rsidP="00604703">
            <w:pPr>
              <w:pStyle w:val="TableTextGreen"/>
            </w:pPr>
            <w:r w:rsidRPr="0029213D">
              <w:t>Administered other economic flows included in administered net result</w:t>
            </w:r>
          </w:p>
        </w:tc>
        <w:tc>
          <w:tcPr>
            <w:tcW w:w="1134" w:type="dxa"/>
            <w:shd w:val="clear" w:color="auto" w:fill="auto"/>
            <w:noWrap/>
            <w:vAlign w:val="center"/>
            <w:hideMark/>
          </w:tcPr>
          <w:p w14:paraId="72E598E3" w14:textId="77777777" w:rsidR="003E5BF5" w:rsidRPr="0029213D" w:rsidRDefault="003E5BF5" w:rsidP="00DE1921">
            <w:pPr>
              <w:jc w:val="right"/>
              <w:rPr>
                <w:rFonts w:ascii="Arial" w:hAnsi="Arial" w:cs="Arial"/>
                <w:sz w:val="24"/>
                <w:szCs w:val="24"/>
              </w:rPr>
            </w:pPr>
          </w:p>
        </w:tc>
        <w:tc>
          <w:tcPr>
            <w:tcW w:w="1134" w:type="dxa"/>
            <w:shd w:val="clear" w:color="auto" w:fill="auto"/>
            <w:noWrap/>
            <w:vAlign w:val="center"/>
            <w:hideMark/>
          </w:tcPr>
          <w:p w14:paraId="6D273506" w14:textId="77777777" w:rsidR="003E5BF5" w:rsidRPr="0029213D" w:rsidRDefault="003E5BF5" w:rsidP="00DE1921">
            <w:pPr>
              <w:jc w:val="right"/>
              <w:rPr>
                <w:rFonts w:ascii="Arial" w:hAnsi="Arial" w:cs="Arial"/>
                <w:sz w:val="24"/>
                <w:szCs w:val="24"/>
              </w:rPr>
            </w:pPr>
          </w:p>
        </w:tc>
        <w:tc>
          <w:tcPr>
            <w:tcW w:w="1134" w:type="dxa"/>
            <w:shd w:val="clear" w:color="auto" w:fill="auto"/>
            <w:noWrap/>
            <w:vAlign w:val="center"/>
            <w:hideMark/>
          </w:tcPr>
          <w:p w14:paraId="142A0B10" w14:textId="77777777" w:rsidR="003E5BF5" w:rsidRPr="0029213D" w:rsidRDefault="003E5BF5" w:rsidP="00DE1921">
            <w:pPr>
              <w:jc w:val="right"/>
              <w:rPr>
                <w:rFonts w:ascii="Arial" w:hAnsi="Arial" w:cs="Arial"/>
                <w:sz w:val="24"/>
                <w:szCs w:val="24"/>
              </w:rPr>
            </w:pPr>
          </w:p>
        </w:tc>
        <w:tc>
          <w:tcPr>
            <w:tcW w:w="1134" w:type="dxa"/>
            <w:shd w:val="clear" w:color="auto" w:fill="auto"/>
            <w:noWrap/>
            <w:vAlign w:val="center"/>
            <w:hideMark/>
          </w:tcPr>
          <w:p w14:paraId="2BF71D3C" w14:textId="77777777" w:rsidR="003E5BF5" w:rsidRPr="0029213D" w:rsidRDefault="003E5BF5" w:rsidP="00DE1921">
            <w:pPr>
              <w:jc w:val="right"/>
              <w:rPr>
                <w:rFonts w:ascii="Arial" w:hAnsi="Arial" w:cs="Arial"/>
                <w:sz w:val="24"/>
                <w:szCs w:val="24"/>
              </w:rPr>
            </w:pPr>
          </w:p>
        </w:tc>
        <w:tc>
          <w:tcPr>
            <w:tcW w:w="1134" w:type="dxa"/>
            <w:shd w:val="clear" w:color="auto" w:fill="auto"/>
            <w:noWrap/>
            <w:vAlign w:val="center"/>
            <w:hideMark/>
          </w:tcPr>
          <w:p w14:paraId="42295805" w14:textId="77777777" w:rsidR="003E5BF5" w:rsidRPr="0029213D" w:rsidRDefault="003E5BF5" w:rsidP="00DE1921">
            <w:pPr>
              <w:jc w:val="right"/>
              <w:rPr>
                <w:rFonts w:ascii="Arial" w:hAnsi="Arial" w:cs="Arial"/>
                <w:sz w:val="24"/>
                <w:szCs w:val="24"/>
              </w:rPr>
            </w:pPr>
          </w:p>
        </w:tc>
        <w:tc>
          <w:tcPr>
            <w:tcW w:w="1644" w:type="dxa"/>
            <w:shd w:val="clear" w:color="auto" w:fill="auto"/>
            <w:noWrap/>
            <w:vAlign w:val="center"/>
            <w:hideMark/>
          </w:tcPr>
          <w:p w14:paraId="47228DC2" w14:textId="77777777" w:rsidR="003E5BF5" w:rsidRPr="0029213D" w:rsidRDefault="003E5BF5" w:rsidP="00DE1921">
            <w:pPr>
              <w:jc w:val="right"/>
              <w:rPr>
                <w:rFonts w:ascii="Arial" w:hAnsi="Arial" w:cs="Arial"/>
                <w:sz w:val="24"/>
                <w:szCs w:val="24"/>
              </w:rPr>
            </w:pPr>
          </w:p>
        </w:tc>
      </w:tr>
      <w:tr w:rsidR="003E5BF5" w:rsidRPr="0029213D" w14:paraId="16AE825C" w14:textId="77777777" w:rsidTr="00FD4D19">
        <w:trPr>
          <w:trHeight w:val="340"/>
        </w:trPr>
        <w:tc>
          <w:tcPr>
            <w:tcW w:w="3261" w:type="dxa"/>
            <w:shd w:val="clear" w:color="auto" w:fill="auto"/>
            <w:noWrap/>
            <w:vAlign w:val="center"/>
            <w:hideMark/>
          </w:tcPr>
          <w:p w14:paraId="438C6F77" w14:textId="77777777" w:rsidR="003E5BF5" w:rsidRPr="0029213D" w:rsidRDefault="003E5BF5" w:rsidP="00DE1921">
            <w:pPr>
              <w:rPr>
                <w:rFonts w:ascii="Arial" w:hAnsi="Arial" w:cs="Arial"/>
                <w:sz w:val="24"/>
                <w:szCs w:val="24"/>
              </w:rPr>
            </w:pPr>
            <w:r w:rsidRPr="0029213D">
              <w:rPr>
                <w:rFonts w:ascii="Arial" w:hAnsi="Arial" w:cs="Arial"/>
                <w:sz w:val="24"/>
                <w:szCs w:val="24"/>
              </w:rPr>
              <w:t>Net gain/(loss) on non-financial assets</w:t>
            </w:r>
          </w:p>
        </w:tc>
        <w:tc>
          <w:tcPr>
            <w:tcW w:w="1134" w:type="dxa"/>
            <w:shd w:val="clear" w:color="auto" w:fill="auto"/>
            <w:noWrap/>
            <w:vAlign w:val="center"/>
            <w:hideMark/>
          </w:tcPr>
          <w:p w14:paraId="7D9D095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279 </w:t>
            </w:r>
          </w:p>
        </w:tc>
        <w:tc>
          <w:tcPr>
            <w:tcW w:w="1134" w:type="dxa"/>
            <w:shd w:val="clear" w:color="auto" w:fill="auto"/>
            <w:noWrap/>
            <w:vAlign w:val="center"/>
            <w:hideMark/>
          </w:tcPr>
          <w:p w14:paraId="0C7C11A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w:t>
            </w:r>
          </w:p>
        </w:tc>
        <w:tc>
          <w:tcPr>
            <w:tcW w:w="1134" w:type="dxa"/>
            <w:shd w:val="clear" w:color="auto" w:fill="auto"/>
            <w:noWrap/>
            <w:vAlign w:val="center"/>
            <w:hideMark/>
          </w:tcPr>
          <w:p w14:paraId="0EBE967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7,424 </w:t>
            </w:r>
          </w:p>
        </w:tc>
        <w:tc>
          <w:tcPr>
            <w:tcW w:w="1134" w:type="dxa"/>
            <w:shd w:val="clear" w:color="auto" w:fill="auto"/>
            <w:noWrap/>
            <w:vAlign w:val="center"/>
            <w:hideMark/>
          </w:tcPr>
          <w:p w14:paraId="409F997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34" w:type="dxa"/>
            <w:shd w:val="clear" w:color="auto" w:fill="auto"/>
            <w:noWrap/>
            <w:vAlign w:val="center"/>
            <w:hideMark/>
          </w:tcPr>
          <w:p w14:paraId="45D0421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(73)</w:t>
            </w:r>
          </w:p>
        </w:tc>
        <w:tc>
          <w:tcPr>
            <w:tcW w:w="1644" w:type="dxa"/>
            <w:shd w:val="clear" w:color="auto" w:fill="auto"/>
            <w:noWrap/>
            <w:vAlign w:val="center"/>
            <w:hideMark/>
          </w:tcPr>
          <w:p w14:paraId="6183C1C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7B77A2B0" w14:textId="77777777" w:rsidTr="00FD4D19">
        <w:trPr>
          <w:trHeight w:val="340"/>
        </w:trPr>
        <w:tc>
          <w:tcPr>
            <w:tcW w:w="3261" w:type="dxa"/>
            <w:shd w:val="clear" w:color="auto" w:fill="auto"/>
            <w:noWrap/>
            <w:vAlign w:val="center"/>
            <w:hideMark/>
          </w:tcPr>
          <w:p w14:paraId="3FCBAF55" w14:textId="77777777" w:rsidR="003E5BF5" w:rsidRPr="0029213D" w:rsidRDefault="003E5BF5" w:rsidP="00DE1921">
            <w:pPr>
              <w:rPr>
                <w:rFonts w:ascii="Arial" w:hAnsi="Arial" w:cs="Arial"/>
                <w:sz w:val="24"/>
                <w:szCs w:val="24"/>
              </w:rPr>
            </w:pPr>
            <w:r w:rsidRPr="0029213D">
              <w:rPr>
                <w:rFonts w:ascii="Arial" w:hAnsi="Arial" w:cs="Arial"/>
                <w:sz w:val="24"/>
                <w:szCs w:val="24"/>
              </w:rPr>
              <w:lastRenderedPageBreak/>
              <w:t>Net gain/(loss) on financial assets</w:t>
            </w:r>
          </w:p>
        </w:tc>
        <w:tc>
          <w:tcPr>
            <w:tcW w:w="1134" w:type="dxa"/>
            <w:shd w:val="clear" w:color="auto" w:fill="auto"/>
            <w:noWrap/>
            <w:vAlign w:val="center"/>
            <w:hideMark/>
          </w:tcPr>
          <w:p w14:paraId="0412144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34" w:type="dxa"/>
            <w:shd w:val="clear" w:color="auto" w:fill="auto"/>
            <w:noWrap/>
            <w:vAlign w:val="center"/>
            <w:hideMark/>
          </w:tcPr>
          <w:p w14:paraId="44A12E8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27 </w:t>
            </w:r>
          </w:p>
        </w:tc>
        <w:tc>
          <w:tcPr>
            <w:tcW w:w="1134" w:type="dxa"/>
            <w:shd w:val="clear" w:color="auto" w:fill="auto"/>
            <w:noWrap/>
            <w:vAlign w:val="center"/>
            <w:hideMark/>
          </w:tcPr>
          <w:p w14:paraId="7681D99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34" w:type="dxa"/>
            <w:shd w:val="clear" w:color="auto" w:fill="auto"/>
            <w:noWrap/>
            <w:vAlign w:val="center"/>
            <w:hideMark/>
          </w:tcPr>
          <w:p w14:paraId="6E86323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12,571 </w:t>
            </w:r>
          </w:p>
        </w:tc>
        <w:tc>
          <w:tcPr>
            <w:tcW w:w="1134" w:type="dxa"/>
            <w:shd w:val="clear" w:color="auto" w:fill="auto"/>
            <w:noWrap/>
            <w:vAlign w:val="center"/>
            <w:hideMark/>
          </w:tcPr>
          <w:p w14:paraId="2D40CA8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644" w:type="dxa"/>
            <w:shd w:val="clear" w:color="auto" w:fill="auto"/>
            <w:noWrap/>
            <w:vAlign w:val="center"/>
            <w:hideMark/>
          </w:tcPr>
          <w:p w14:paraId="29A6B4E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 </w:t>
            </w:r>
          </w:p>
        </w:tc>
      </w:tr>
      <w:tr w:rsidR="003E5BF5" w:rsidRPr="0029213D" w14:paraId="44C05E79" w14:textId="77777777" w:rsidTr="00FD4D19">
        <w:trPr>
          <w:trHeight w:val="340"/>
        </w:trPr>
        <w:tc>
          <w:tcPr>
            <w:tcW w:w="3261" w:type="dxa"/>
            <w:shd w:val="clear" w:color="auto" w:fill="auto"/>
            <w:noWrap/>
            <w:vAlign w:val="center"/>
            <w:hideMark/>
          </w:tcPr>
          <w:p w14:paraId="37A93BCA"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other economic flows</w:t>
            </w:r>
          </w:p>
        </w:tc>
        <w:tc>
          <w:tcPr>
            <w:tcW w:w="1134" w:type="dxa"/>
            <w:shd w:val="clear" w:color="auto" w:fill="auto"/>
            <w:noWrap/>
            <w:vAlign w:val="center"/>
            <w:hideMark/>
          </w:tcPr>
          <w:p w14:paraId="726785F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279 </w:t>
            </w:r>
          </w:p>
        </w:tc>
        <w:tc>
          <w:tcPr>
            <w:tcW w:w="1134" w:type="dxa"/>
            <w:shd w:val="clear" w:color="auto" w:fill="auto"/>
            <w:noWrap/>
            <w:vAlign w:val="center"/>
            <w:hideMark/>
          </w:tcPr>
          <w:p w14:paraId="088BC09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26 </w:t>
            </w:r>
          </w:p>
        </w:tc>
        <w:tc>
          <w:tcPr>
            <w:tcW w:w="1134" w:type="dxa"/>
            <w:shd w:val="clear" w:color="auto" w:fill="auto"/>
            <w:noWrap/>
            <w:vAlign w:val="center"/>
            <w:hideMark/>
          </w:tcPr>
          <w:p w14:paraId="7468CCA7"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7,424 </w:t>
            </w:r>
          </w:p>
        </w:tc>
        <w:tc>
          <w:tcPr>
            <w:tcW w:w="1134" w:type="dxa"/>
            <w:shd w:val="clear" w:color="auto" w:fill="auto"/>
            <w:noWrap/>
            <w:vAlign w:val="center"/>
            <w:hideMark/>
          </w:tcPr>
          <w:p w14:paraId="73801468"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12,571 </w:t>
            </w:r>
          </w:p>
        </w:tc>
        <w:tc>
          <w:tcPr>
            <w:tcW w:w="1134" w:type="dxa"/>
            <w:shd w:val="clear" w:color="auto" w:fill="auto"/>
            <w:noWrap/>
            <w:vAlign w:val="center"/>
            <w:hideMark/>
          </w:tcPr>
          <w:p w14:paraId="139BCFC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(73)</w:t>
            </w:r>
          </w:p>
        </w:tc>
        <w:tc>
          <w:tcPr>
            <w:tcW w:w="1644" w:type="dxa"/>
            <w:shd w:val="clear" w:color="auto" w:fill="auto"/>
            <w:noWrap/>
            <w:vAlign w:val="center"/>
            <w:hideMark/>
          </w:tcPr>
          <w:p w14:paraId="5B7F7BE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2 </w:t>
            </w:r>
          </w:p>
        </w:tc>
      </w:tr>
      <w:tr w:rsidR="003E5BF5" w:rsidRPr="0029213D" w14:paraId="39AE81D7" w14:textId="77777777" w:rsidTr="00FD4D19">
        <w:trPr>
          <w:trHeight w:val="340"/>
        </w:trPr>
        <w:tc>
          <w:tcPr>
            <w:tcW w:w="3261" w:type="dxa"/>
            <w:shd w:val="clear" w:color="auto" w:fill="auto"/>
            <w:noWrap/>
            <w:vAlign w:val="center"/>
            <w:hideMark/>
          </w:tcPr>
          <w:p w14:paraId="22F52BD7"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comprehensive result</w:t>
            </w:r>
          </w:p>
        </w:tc>
        <w:tc>
          <w:tcPr>
            <w:tcW w:w="1134" w:type="dxa"/>
            <w:shd w:val="clear" w:color="auto" w:fill="auto"/>
            <w:noWrap/>
            <w:vAlign w:val="center"/>
            <w:hideMark/>
          </w:tcPr>
          <w:p w14:paraId="329F8F7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165 </w:t>
            </w:r>
          </w:p>
        </w:tc>
        <w:tc>
          <w:tcPr>
            <w:tcW w:w="1134" w:type="dxa"/>
            <w:shd w:val="clear" w:color="auto" w:fill="auto"/>
            <w:noWrap/>
            <w:vAlign w:val="center"/>
            <w:hideMark/>
          </w:tcPr>
          <w:p w14:paraId="2E4F1F65"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(4,209)</w:t>
            </w:r>
          </w:p>
        </w:tc>
        <w:tc>
          <w:tcPr>
            <w:tcW w:w="1134" w:type="dxa"/>
            <w:shd w:val="clear" w:color="auto" w:fill="auto"/>
            <w:noWrap/>
            <w:vAlign w:val="center"/>
            <w:hideMark/>
          </w:tcPr>
          <w:p w14:paraId="2C743FC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7,442 </w:t>
            </w:r>
          </w:p>
        </w:tc>
        <w:tc>
          <w:tcPr>
            <w:tcW w:w="1134" w:type="dxa"/>
            <w:shd w:val="clear" w:color="auto" w:fill="auto"/>
            <w:noWrap/>
            <w:vAlign w:val="center"/>
            <w:hideMark/>
          </w:tcPr>
          <w:p w14:paraId="02BEB5B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10,277 </w:t>
            </w:r>
          </w:p>
        </w:tc>
        <w:tc>
          <w:tcPr>
            <w:tcW w:w="1134" w:type="dxa"/>
            <w:shd w:val="clear" w:color="auto" w:fill="auto"/>
            <w:noWrap/>
            <w:vAlign w:val="center"/>
            <w:hideMark/>
          </w:tcPr>
          <w:p w14:paraId="694D145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57 </w:t>
            </w:r>
          </w:p>
        </w:tc>
        <w:tc>
          <w:tcPr>
            <w:tcW w:w="1644" w:type="dxa"/>
            <w:shd w:val="clear" w:color="auto" w:fill="auto"/>
            <w:noWrap/>
            <w:vAlign w:val="center"/>
            <w:hideMark/>
          </w:tcPr>
          <w:p w14:paraId="4D11A9D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(471)</w:t>
            </w:r>
          </w:p>
        </w:tc>
      </w:tr>
    </w:tbl>
    <w:p w14:paraId="76B7E6ED" w14:textId="77777777" w:rsidR="003E5BF5" w:rsidRDefault="003E5BF5" w:rsidP="00DE1921"/>
    <w:p w14:paraId="0822F96D" w14:textId="77777777" w:rsidR="003E5BF5" w:rsidRPr="00BE5BE9" w:rsidRDefault="003E5BF5" w:rsidP="00DE1921">
      <w:pPr>
        <w:rPr>
          <w:highlight w:val="cyan"/>
        </w:rPr>
      </w:pPr>
      <w:r w:rsidRPr="00BE5BE9">
        <w:rPr>
          <w:highlight w:val="cyan"/>
        </w:rPr>
        <w:br w:type="page"/>
      </w:r>
    </w:p>
    <w:tbl>
      <w:tblPr>
        <w:tblStyle w:val="TableGrid"/>
        <w:tblW w:w="9923" w:type="dxa"/>
        <w:tblLayout w:type="fixed"/>
        <w:tblCellMar>
          <w:left w:w="28" w:type="dxa"/>
          <w:right w:w="28" w:type="dxa"/>
        </w:tblCellMar>
        <w:tblLook w:val="04A0" w:firstRow="1" w:lastRow="0" w:firstColumn="1" w:lastColumn="0" w:noHBand="0" w:noVBand="1"/>
      </w:tblPr>
      <w:tblGrid>
        <w:gridCol w:w="3256"/>
        <w:gridCol w:w="1112"/>
        <w:gridCol w:w="1111"/>
        <w:gridCol w:w="1111"/>
        <w:gridCol w:w="1111"/>
        <w:gridCol w:w="1286"/>
        <w:gridCol w:w="936"/>
      </w:tblGrid>
      <w:tr w:rsidR="003E5BF5" w:rsidRPr="002D63A6" w14:paraId="3DEE25AD" w14:textId="77777777" w:rsidTr="00FD4D19">
        <w:trPr>
          <w:trHeight w:val="340"/>
        </w:trPr>
        <w:tc>
          <w:tcPr>
            <w:tcW w:w="3256" w:type="dxa"/>
            <w:shd w:val="clear" w:color="auto" w:fill="auto"/>
            <w:noWrap/>
            <w:hideMark/>
          </w:tcPr>
          <w:p w14:paraId="40C790A8" w14:textId="77777777" w:rsidR="003E5BF5" w:rsidRPr="002D63A6" w:rsidRDefault="003E5BF5" w:rsidP="00DE1921">
            <w:pPr>
              <w:rPr>
                <w:rFonts w:ascii="Arial" w:hAnsi="Arial" w:cs="Arial"/>
                <w:sz w:val="23"/>
                <w:szCs w:val="23"/>
              </w:rPr>
            </w:pPr>
            <w:bookmarkStart w:id="248" w:name="RANGE!H3:N31"/>
            <w:bookmarkEnd w:id="248"/>
          </w:p>
        </w:tc>
        <w:tc>
          <w:tcPr>
            <w:tcW w:w="6667" w:type="dxa"/>
            <w:gridSpan w:val="6"/>
            <w:shd w:val="clear" w:color="auto" w:fill="auto"/>
            <w:vAlign w:val="center"/>
            <w:hideMark/>
          </w:tcPr>
          <w:p w14:paraId="43055080" w14:textId="77777777" w:rsidR="003E5BF5" w:rsidRPr="002D63A6" w:rsidRDefault="003E5BF5" w:rsidP="00DE1921">
            <w:pPr>
              <w:jc w:val="center"/>
              <w:rPr>
                <w:rFonts w:ascii="Arial" w:hAnsi="Arial" w:cs="Arial"/>
                <w:b/>
                <w:sz w:val="23"/>
                <w:szCs w:val="23"/>
              </w:rPr>
            </w:pPr>
            <w:r w:rsidRPr="002D63A6">
              <w:rPr>
                <w:rFonts w:ascii="Arial" w:hAnsi="Arial" w:cs="Arial"/>
                <w:b/>
                <w:sz w:val="23"/>
                <w:szCs w:val="23"/>
              </w:rPr>
              <w:t>($ thousand)</w:t>
            </w:r>
          </w:p>
        </w:tc>
      </w:tr>
      <w:tr w:rsidR="003E5BF5" w:rsidRPr="002D63A6" w14:paraId="742B50EF" w14:textId="77777777" w:rsidTr="00FD4D19">
        <w:trPr>
          <w:trHeight w:val="340"/>
        </w:trPr>
        <w:tc>
          <w:tcPr>
            <w:tcW w:w="3256" w:type="dxa"/>
            <w:shd w:val="clear" w:color="auto" w:fill="auto"/>
            <w:noWrap/>
            <w:vAlign w:val="center"/>
            <w:hideMark/>
          </w:tcPr>
          <w:p w14:paraId="74283C41" w14:textId="77777777" w:rsidR="003E5BF5" w:rsidRPr="002D63A6" w:rsidRDefault="003E5BF5" w:rsidP="00DE1921">
            <w:pPr>
              <w:rPr>
                <w:rFonts w:ascii="Arial" w:hAnsi="Arial" w:cs="Arial"/>
                <w:sz w:val="23"/>
                <w:szCs w:val="23"/>
              </w:rPr>
            </w:pPr>
          </w:p>
        </w:tc>
        <w:tc>
          <w:tcPr>
            <w:tcW w:w="2223" w:type="dxa"/>
            <w:gridSpan w:val="2"/>
            <w:shd w:val="clear" w:color="auto" w:fill="auto"/>
            <w:vAlign w:val="bottom"/>
            <w:hideMark/>
          </w:tcPr>
          <w:p w14:paraId="469C84B8" w14:textId="77777777" w:rsidR="003E5BF5" w:rsidRPr="002D63A6" w:rsidRDefault="003E5BF5" w:rsidP="00DE1921">
            <w:pPr>
              <w:jc w:val="center"/>
              <w:rPr>
                <w:rFonts w:ascii="Arial" w:hAnsi="Arial" w:cs="Arial"/>
                <w:b/>
                <w:sz w:val="23"/>
                <w:szCs w:val="23"/>
              </w:rPr>
            </w:pPr>
            <w:r w:rsidRPr="002D63A6">
              <w:rPr>
                <w:rFonts w:ascii="Arial" w:hAnsi="Arial" w:cs="Arial"/>
                <w:b/>
                <w:sz w:val="23"/>
                <w:szCs w:val="23"/>
              </w:rPr>
              <w:t>Regulation of Commercial Passenger Vehicle Services</w:t>
            </w:r>
          </w:p>
        </w:tc>
        <w:tc>
          <w:tcPr>
            <w:tcW w:w="2222" w:type="dxa"/>
            <w:gridSpan w:val="2"/>
            <w:shd w:val="clear" w:color="auto" w:fill="auto"/>
            <w:vAlign w:val="bottom"/>
            <w:hideMark/>
          </w:tcPr>
          <w:p w14:paraId="7D9C7177" w14:textId="77777777" w:rsidR="003E5BF5" w:rsidRPr="002D63A6" w:rsidRDefault="003E5BF5" w:rsidP="00DE1921">
            <w:pPr>
              <w:jc w:val="center"/>
              <w:rPr>
                <w:rFonts w:ascii="Arial" w:hAnsi="Arial" w:cs="Arial"/>
                <w:b/>
                <w:sz w:val="23"/>
                <w:szCs w:val="23"/>
              </w:rPr>
            </w:pPr>
            <w:r w:rsidRPr="002D63A6">
              <w:rPr>
                <w:rFonts w:ascii="Arial" w:hAnsi="Arial" w:cs="Arial"/>
                <w:b/>
                <w:sz w:val="23"/>
                <w:szCs w:val="23"/>
              </w:rPr>
              <w:t>Road Asset Management</w:t>
            </w:r>
          </w:p>
        </w:tc>
        <w:tc>
          <w:tcPr>
            <w:tcW w:w="2222" w:type="dxa"/>
            <w:gridSpan w:val="2"/>
            <w:shd w:val="clear" w:color="auto" w:fill="auto"/>
            <w:vAlign w:val="bottom"/>
            <w:hideMark/>
          </w:tcPr>
          <w:p w14:paraId="75B9CE46" w14:textId="77777777" w:rsidR="003E5BF5" w:rsidRPr="002D63A6" w:rsidRDefault="003E5BF5" w:rsidP="00DE1921">
            <w:pPr>
              <w:jc w:val="center"/>
              <w:rPr>
                <w:rFonts w:ascii="Arial" w:hAnsi="Arial" w:cs="Arial"/>
                <w:b/>
                <w:sz w:val="23"/>
                <w:szCs w:val="23"/>
              </w:rPr>
            </w:pPr>
            <w:r w:rsidRPr="002D63A6">
              <w:rPr>
                <w:rFonts w:ascii="Arial" w:hAnsi="Arial" w:cs="Arial"/>
                <w:b/>
                <w:sz w:val="23"/>
                <w:szCs w:val="23"/>
              </w:rPr>
              <w:t>Road Operations</w:t>
            </w:r>
          </w:p>
        </w:tc>
      </w:tr>
      <w:tr w:rsidR="003E5BF5" w:rsidRPr="002D63A6" w14:paraId="198D79DE" w14:textId="77777777" w:rsidTr="00FD4D19">
        <w:trPr>
          <w:trHeight w:val="340"/>
        </w:trPr>
        <w:tc>
          <w:tcPr>
            <w:tcW w:w="3256" w:type="dxa"/>
            <w:shd w:val="clear" w:color="auto" w:fill="auto"/>
            <w:vAlign w:val="center"/>
            <w:hideMark/>
          </w:tcPr>
          <w:p w14:paraId="3CCCC441" w14:textId="77777777" w:rsidR="003E5BF5" w:rsidRPr="002D63A6" w:rsidRDefault="003E5BF5" w:rsidP="00DE1921">
            <w:pPr>
              <w:rPr>
                <w:rFonts w:ascii="Arial" w:hAnsi="Arial" w:cs="Arial"/>
                <w:b/>
                <w:sz w:val="23"/>
                <w:szCs w:val="23"/>
              </w:rPr>
            </w:pPr>
          </w:p>
        </w:tc>
        <w:tc>
          <w:tcPr>
            <w:tcW w:w="1112" w:type="dxa"/>
            <w:shd w:val="clear" w:color="auto" w:fill="auto"/>
            <w:vAlign w:val="center"/>
            <w:hideMark/>
          </w:tcPr>
          <w:p w14:paraId="1691CCF4"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2020</w:t>
            </w:r>
          </w:p>
        </w:tc>
        <w:tc>
          <w:tcPr>
            <w:tcW w:w="1111" w:type="dxa"/>
            <w:shd w:val="clear" w:color="auto" w:fill="auto"/>
            <w:vAlign w:val="center"/>
            <w:hideMark/>
          </w:tcPr>
          <w:p w14:paraId="72707039"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2019</w:t>
            </w:r>
          </w:p>
        </w:tc>
        <w:tc>
          <w:tcPr>
            <w:tcW w:w="1111" w:type="dxa"/>
            <w:shd w:val="clear" w:color="auto" w:fill="auto"/>
            <w:vAlign w:val="center"/>
            <w:hideMark/>
          </w:tcPr>
          <w:p w14:paraId="5E8E34C4"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2020</w:t>
            </w:r>
          </w:p>
        </w:tc>
        <w:tc>
          <w:tcPr>
            <w:tcW w:w="1111" w:type="dxa"/>
            <w:shd w:val="clear" w:color="auto" w:fill="auto"/>
            <w:vAlign w:val="center"/>
            <w:hideMark/>
          </w:tcPr>
          <w:p w14:paraId="108B1900"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2019</w:t>
            </w:r>
          </w:p>
        </w:tc>
        <w:tc>
          <w:tcPr>
            <w:tcW w:w="1286" w:type="dxa"/>
            <w:shd w:val="clear" w:color="auto" w:fill="auto"/>
            <w:vAlign w:val="center"/>
            <w:hideMark/>
          </w:tcPr>
          <w:p w14:paraId="434AC7A7"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2020</w:t>
            </w:r>
          </w:p>
        </w:tc>
        <w:tc>
          <w:tcPr>
            <w:tcW w:w="936" w:type="dxa"/>
            <w:shd w:val="clear" w:color="auto" w:fill="auto"/>
            <w:vAlign w:val="center"/>
            <w:hideMark/>
          </w:tcPr>
          <w:p w14:paraId="26DA236B"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2019</w:t>
            </w:r>
          </w:p>
        </w:tc>
      </w:tr>
      <w:tr w:rsidR="003E5BF5" w:rsidRPr="002D63A6" w14:paraId="01D68E33" w14:textId="77777777" w:rsidTr="00FD4D19">
        <w:trPr>
          <w:trHeight w:val="340"/>
        </w:trPr>
        <w:tc>
          <w:tcPr>
            <w:tcW w:w="3256" w:type="dxa"/>
            <w:shd w:val="clear" w:color="auto" w:fill="auto"/>
            <w:noWrap/>
            <w:vAlign w:val="center"/>
            <w:hideMark/>
          </w:tcPr>
          <w:p w14:paraId="638903C0" w14:textId="77777777" w:rsidR="003E5BF5" w:rsidRPr="002D63A6" w:rsidRDefault="003E5BF5" w:rsidP="00604703">
            <w:pPr>
              <w:pStyle w:val="TableTextGreen"/>
              <w:rPr>
                <w:sz w:val="23"/>
                <w:szCs w:val="23"/>
              </w:rPr>
            </w:pPr>
            <w:r w:rsidRPr="002D63A6">
              <w:rPr>
                <w:sz w:val="23"/>
                <w:szCs w:val="23"/>
              </w:rPr>
              <w:t>Administered income from transactions</w:t>
            </w:r>
          </w:p>
        </w:tc>
        <w:tc>
          <w:tcPr>
            <w:tcW w:w="1112" w:type="dxa"/>
            <w:shd w:val="clear" w:color="auto" w:fill="auto"/>
            <w:noWrap/>
            <w:vAlign w:val="center"/>
            <w:hideMark/>
          </w:tcPr>
          <w:p w14:paraId="1A61CF3E"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w:t>
            </w:r>
          </w:p>
        </w:tc>
        <w:tc>
          <w:tcPr>
            <w:tcW w:w="1111" w:type="dxa"/>
            <w:shd w:val="clear" w:color="auto" w:fill="auto"/>
            <w:noWrap/>
            <w:vAlign w:val="center"/>
            <w:hideMark/>
          </w:tcPr>
          <w:p w14:paraId="355845FB"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w:t>
            </w:r>
          </w:p>
        </w:tc>
        <w:tc>
          <w:tcPr>
            <w:tcW w:w="1111" w:type="dxa"/>
            <w:shd w:val="clear" w:color="auto" w:fill="auto"/>
            <w:noWrap/>
            <w:vAlign w:val="center"/>
            <w:hideMark/>
          </w:tcPr>
          <w:p w14:paraId="16817A77"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w:t>
            </w:r>
          </w:p>
        </w:tc>
        <w:tc>
          <w:tcPr>
            <w:tcW w:w="1111" w:type="dxa"/>
            <w:shd w:val="clear" w:color="auto" w:fill="auto"/>
            <w:noWrap/>
            <w:vAlign w:val="center"/>
            <w:hideMark/>
          </w:tcPr>
          <w:p w14:paraId="0043D744"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w:t>
            </w:r>
          </w:p>
        </w:tc>
        <w:tc>
          <w:tcPr>
            <w:tcW w:w="1286" w:type="dxa"/>
            <w:shd w:val="clear" w:color="auto" w:fill="auto"/>
            <w:noWrap/>
            <w:vAlign w:val="center"/>
            <w:hideMark/>
          </w:tcPr>
          <w:p w14:paraId="45A5E960"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w:t>
            </w:r>
          </w:p>
        </w:tc>
        <w:tc>
          <w:tcPr>
            <w:tcW w:w="936" w:type="dxa"/>
            <w:shd w:val="clear" w:color="auto" w:fill="auto"/>
            <w:noWrap/>
            <w:vAlign w:val="center"/>
            <w:hideMark/>
          </w:tcPr>
          <w:p w14:paraId="08F6DF06"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w:t>
            </w:r>
          </w:p>
        </w:tc>
      </w:tr>
      <w:tr w:rsidR="003E5BF5" w:rsidRPr="002D63A6" w14:paraId="6D34E73F" w14:textId="77777777" w:rsidTr="00FD4D19">
        <w:trPr>
          <w:trHeight w:val="340"/>
        </w:trPr>
        <w:tc>
          <w:tcPr>
            <w:tcW w:w="3256" w:type="dxa"/>
            <w:shd w:val="clear" w:color="auto" w:fill="auto"/>
            <w:noWrap/>
            <w:vAlign w:val="center"/>
            <w:hideMark/>
          </w:tcPr>
          <w:p w14:paraId="1F19E3AA" w14:textId="77777777" w:rsidR="003E5BF5" w:rsidRPr="002D63A6" w:rsidRDefault="003E5BF5" w:rsidP="00DE1921">
            <w:pPr>
              <w:rPr>
                <w:rFonts w:ascii="Arial" w:hAnsi="Arial" w:cs="Arial"/>
                <w:sz w:val="23"/>
                <w:szCs w:val="23"/>
              </w:rPr>
            </w:pPr>
            <w:r w:rsidRPr="002D63A6">
              <w:rPr>
                <w:rFonts w:ascii="Arial" w:hAnsi="Arial" w:cs="Arial"/>
                <w:sz w:val="23"/>
                <w:szCs w:val="23"/>
              </w:rPr>
              <w:t xml:space="preserve">Sale of goods and services </w:t>
            </w:r>
          </w:p>
        </w:tc>
        <w:tc>
          <w:tcPr>
            <w:tcW w:w="1112" w:type="dxa"/>
            <w:shd w:val="clear" w:color="auto" w:fill="auto"/>
            <w:noWrap/>
            <w:vAlign w:val="center"/>
            <w:hideMark/>
          </w:tcPr>
          <w:p w14:paraId="3F3FBFE3"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2,343 </w:t>
            </w:r>
          </w:p>
        </w:tc>
        <w:tc>
          <w:tcPr>
            <w:tcW w:w="1111" w:type="dxa"/>
            <w:shd w:val="clear" w:color="auto" w:fill="auto"/>
            <w:noWrap/>
            <w:vAlign w:val="center"/>
            <w:hideMark/>
          </w:tcPr>
          <w:p w14:paraId="0BB12AC1"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9,576 </w:t>
            </w:r>
          </w:p>
        </w:tc>
        <w:tc>
          <w:tcPr>
            <w:tcW w:w="1111" w:type="dxa"/>
            <w:shd w:val="clear" w:color="auto" w:fill="auto"/>
            <w:noWrap/>
            <w:vAlign w:val="center"/>
            <w:hideMark/>
          </w:tcPr>
          <w:p w14:paraId="26C1E5F0"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9,232 </w:t>
            </w:r>
          </w:p>
        </w:tc>
        <w:tc>
          <w:tcPr>
            <w:tcW w:w="1111" w:type="dxa"/>
            <w:shd w:val="clear" w:color="auto" w:fill="auto"/>
            <w:noWrap/>
            <w:vAlign w:val="center"/>
            <w:hideMark/>
          </w:tcPr>
          <w:p w14:paraId="779EE806"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283 </w:t>
            </w:r>
          </w:p>
        </w:tc>
        <w:tc>
          <w:tcPr>
            <w:tcW w:w="1286" w:type="dxa"/>
            <w:shd w:val="clear" w:color="auto" w:fill="auto"/>
            <w:noWrap/>
            <w:vAlign w:val="center"/>
            <w:hideMark/>
          </w:tcPr>
          <w:p w14:paraId="26382518"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102,075 </w:t>
            </w:r>
          </w:p>
        </w:tc>
        <w:tc>
          <w:tcPr>
            <w:tcW w:w="936" w:type="dxa"/>
            <w:shd w:val="clear" w:color="auto" w:fill="auto"/>
            <w:noWrap/>
            <w:vAlign w:val="center"/>
            <w:hideMark/>
          </w:tcPr>
          <w:p w14:paraId="52F3C762"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15,096 </w:t>
            </w:r>
          </w:p>
        </w:tc>
      </w:tr>
      <w:tr w:rsidR="003E5BF5" w:rsidRPr="002D63A6" w14:paraId="17F6C6E7" w14:textId="77777777" w:rsidTr="00FD4D19">
        <w:trPr>
          <w:trHeight w:val="340"/>
        </w:trPr>
        <w:tc>
          <w:tcPr>
            <w:tcW w:w="3256" w:type="dxa"/>
            <w:shd w:val="clear" w:color="auto" w:fill="auto"/>
            <w:noWrap/>
            <w:vAlign w:val="center"/>
            <w:hideMark/>
          </w:tcPr>
          <w:p w14:paraId="21984444" w14:textId="77777777" w:rsidR="003E5BF5" w:rsidRPr="002D63A6" w:rsidRDefault="003E5BF5" w:rsidP="00DE1921">
            <w:pPr>
              <w:rPr>
                <w:rFonts w:ascii="Arial" w:hAnsi="Arial" w:cs="Arial"/>
                <w:sz w:val="23"/>
                <w:szCs w:val="23"/>
              </w:rPr>
            </w:pPr>
            <w:r w:rsidRPr="002D63A6">
              <w:rPr>
                <w:rFonts w:ascii="Arial" w:hAnsi="Arial" w:cs="Arial"/>
                <w:sz w:val="23"/>
                <w:szCs w:val="23"/>
              </w:rPr>
              <w:t>Appropriations - payments made on behalf of the State</w:t>
            </w:r>
          </w:p>
        </w:tc>
        <w:tc>
          <w:tcPr>
            <w:tcW w:w="1112" w:type="dxa"/>
            <w:shd w:val="clear" w:color="auto" w:fill="auto"/>
            <w:noWrap/>
            <w:hideMark/>
          </w:tcPr>
          <w:p w14:paraId="697F993A"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hideMark/>
          </w:tcPr>
          <w:p w14:paraId="5F262C92"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hideMark/>
          </w:tcPr>
          <w:p w14:paraId="5688C976"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hideMark/>
          </w:tcPr>
          <w:p w14:paraId="58A58756"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286" w:type="dxa"/>
            <w:shd w:val="clear" w:color="auto" w:fill="auto"/>
            <w:noWrap/>
            <w:hideMark/>
          </w:tcPr>
          <w:p w14:paraId="6145D56B"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936" w:type="dxa"/>
            <w:shd w:val="clear" w:color="auto" w:fill="auto"/>
            <w:noWrap/>
            <w:hideMark/>
          </w:tcPr>
          <w:p w14:paraId="4F194848"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r>
      <w:tr w:rsidR="003E5BF5" w:rsidRPr="002D63A6" w14:paraId="58C07073" w14:textId="77777777" w:rsidTr="00FD4D19">
        <w:trPr>
          <w:trHeight w:val="340"/>
        </w:trPr>
        <w:tc>
          <w:tcPr>
            <w:tcW w:w="3256" w:type="dxa"/>
            <w:shd w:val="clear" w:color="auto" w:fill="auto"/>
            <w:noWrap/>
            <w:vAlign w:val="center"/>
            <w:hideMark/>
          </w:tcPr>
          <w:p w14:paraId="7139501A" w14:textId="77777777" w:rsidR="003E5BF5" w:rsidRPr="002D63A6" w:rsidRDefault="003E5BF5" w:rsidP="00DE1921">
            <w:pPr>
              <w:rPr>
                <w:rFonts w:ascii="Arial" w:hAnsi="Arial" w:cs="Arial"/>
                <w:sz w:val="23"/>
                <w:szCs w:val="23"/>
              </w:rPr>
            </w:pPr>
            <w:r w:rsidRPr="002D63A6">
              <w:rPr>
                <w:rFonts w:ascii="Arial" w:hAnsi="Arial" w:cs="Arial"/>
                <w:sz w:val="23"/>
                <w:szCs w:val="23"/>
              </w:rPr>
              <w:t>Other income</w:t>
            </w:r>
          </w:p>
        </w:tc>
        <w:tc>
          <w:tcPr>
            <w:tcW w:w="1112" w:type="dxa"/>
            <w:shd w:val="clear" w:color="auto" w:fill="auto"/>
            <w:noWrap/>
            <w:vAlign w:val="center"/>
            <w:hideMark/>
          </w:tcPr>
          <w:p w14:paraId="3EC2DA86"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26 </w:t>
            </w:r>
          </w:p>
        </w:tc>
        <w:tc>
          <w:tcPr>
            <w:tcW w:w="1111" w:type="dxa"/>
            <w:shd w:val="clear" w:color="auto" w:fill="auto"/>
            <w:noWrap/>
            <w:vAlign w:val="center"/>
            <w:hideMark/>
          </w:tcPr>
          <w:p w14:paraId="544621DE"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45 </w:t>
            </w:r>
          </w:p>
        </w:tc>
        <w:tc>
          <w:tcPr>
            <w:tcW w:w="1111" w:type="dxa"/>
            <w:shd w:val="clear" w:color="auto" w:fill="auto"/>
            <w:noWrap/>
            <w:vAlign w:val="center"/>
            <w:hideMark/>
          </w:tcPr>
          <w:p w14:paraId="218E1DAA"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86 </w:t>
            </w:r>
          </w:p>
        </w:tc>
        <w:tc>
          <w:tcPr>
            <w:tcW w:w="1111" w:type="dxa"/>
            <w:shd w:val="clear" w:color="auto" w:fill="auto"/>
            <w:noWrap/>
            <w:vAlign w:val="center"/>
            <w:hideMark/>
          </w:tcPr>
          <w:p w14:paraId="6414B854"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89 </w:t>
            </w:r>
          </w:p>
        </w:tc>
        <w:tc>
          <w:tcPr>
            <w:tcW w:w="1286" w:type="dxa"/>
            <w:shd w:val="clear" w:color="auto" w:fill="auto"/>
            <w:noWrap/>
            <w:vAlign w:val="center"/>
            <w:hideMark/>
          </w:tcPr>
          <w:p w14:paraId="09F069DA"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24,289 </w:t>
            </w:r>
          </w:p>
        </w:tc>
        <w:tc>
          <w:tcPr>
            <w:tcW w:w="936" w:type="dxa"/>
            <w:shd w:val="clear" w:color="auto" w:fill="auto"/>
            <w:noWrap/>
            <w:vAlign w:val="center"/>
            <w:hideMark/>
          </w:tcPr>
          <w:p w14:paraId="671982EB"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163 </w:t>
            </w:r>
          </w:p>
        </w:tc>
      </w:tr>
      <w:tr w:rsidR="003E5BF5" w:rsidRPr="002D63A6" w14:paraId="7A8FC2E7" w14:textId="77777777" w:rsidTr="00FD4D19">
        <w:trPr>
          <w:trHeight w:val="340"/>
        </w:trPr>
        <w:tc>
          <w:tcPr>
            <w:tcW w:w="3256" w:type="dxa"/>
            <w:shd w:val="clear" w:color="auto" w:fill="auto"/>
            <w:noWrap/>
            <w:vAlign w:val="center"/>
            <w:hideMark/>
          </w:tcPr>
          <w:p w14:paraId="69A6C803" w14:textId="77777777" w:rsidR="003E5BF5" w:rsidRPr="002D63A6" w:rsidRDefault="003E5BF5" w:rsidP="00DE1921">
            <w:pPr>
              <w:rPr>
                <w:rFonts w:ascii="Arial" w:hAnsi="Arial" w:cs="Arial"/>
                <w:sz w:val="23"/>
                <w:szCs w:val="23"/>
              </w:rPr>
            </w:pPr>
            <w:r w:rsidRPr="002D63A6">
              <w:rPr>
                <w:rFonts w:ascii="Arial" w:hAnsi="Arial" w:cs="Arial"/>
                <w:sz w:val="23"/>
                <w:szCs w:val="23"/>
              </w:rPr>
              <w:t>Statutory fines</w:t>
            </w:r>
          </w:p>
        </w:tc>
        <w:tc>
          <w:tcPr>
            <w:tcW w:w="1112" w:type="dxa"/>
            <w:shd w:val="clear" w:color="auto" w:fill="auto"/>
            <w:noWrap/>
            <w:vAlign w:val="center"/>
            <w:hideMark/>
          </w:tcPr>
          <w:p w14:paraId="3E540BEF"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vAlign w:val="center"/>
            <w:hideMark/>
          </w:tcPr>
          <w:p w14:paraId="395A986E"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vAlign w:val="center"/>
            <w:hideMark/>
          </w:tcPr>
          <w:p w14:paraId="63968E2C"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vAlign w:val="center"/>
            <w:hideMark/>
          </w:tcPr>
          <w:p w14:paraId="21D92280"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286" w:type="dxa"/>
            <w:shd w:val="clear" w:color="auto" w:fill="auto"/>
            <w:noWrap/>
            <w:vAlign w:val="center"/>
            <w:hideMark/>
          </w:tcPr>
          <w:p w14:paraId="220D4D49"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936" w:type="dxa"/>
            <w:shd w:val="clear" w:color="auto" w:fill="auto"/>
            <w:noWrap/>
            <w:vAlign w:val="center"/>
            <w:hideMark/>
          </w:tcPr>
          <w:p w14:paraId="735AB99D"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r>
      <w:tr w:rsidR="003E5BF5" w:rsidRPr="002D63A6" w14:paraId="593F85DB" w14:textId="77777777" w:rsidTr="00FD4D19">
        <w:trPr>
          <w:trHeight w:val="340"/>
        </w:trPr>
        <w:tc>
          <w:tcPr>
            <w:tcW w:w="3256" w:type="dxa"/>
            <w:shd w:val="clear" w:color="auto" w:fill="auto"/>
            <w:noWrap/>
            <w:vAlign w:val="center"/>
            <w:hideMark/>
          </w:tcPr>
          <w:p w14:paraId="78351652" w14:textId="77777777" w:rsidR="003E5BF5" w:rsidRPr="002D63A6" w:rsidRDefault="003E5BF5" w:rsidP="00DE1921">
            <w:pPr>
              <w:rPr>
                <w:rFonts w:ascii="Arial" w:hAnsi="Arial" w:cs="Arial"/>
                <w:sz w:val="23"/>
                <w:szCs w:val="23"/>
              </w:rPr>
            </w:pPr>
            <w:r w:rsidRPr="002D63A6">
              <w:rPr>
                <w:rFonts w:ascii="Arial" w:hAnsi="Arial" w:cs="Arial"/>
                <w:sz w:val="23"/>
                <w:szCs w:val="23"/>
              </w:rPr>
              <w:t>Regulatory fees, fines, leases and licences</w:t>
            </w:r>
          </w:p>
        </w:tc>
        <w:tc>
          <w:tcPr>
            <w:tcW w:w="1112" w:type="dxa"/>
            <w:shd w:val="clear" w:color="auto" w:fill="auto"/>
            <w:noWrap/>
            <w:hideMark/>
          </w:tcPr>
          <w:p w14:paraId="27A6321D"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56,291 </w:t>
            </w:r>
          </w:p>
        </w:tc>
        <w:tc>
          <w:tcPr>
            <w:tcW w:w="1111" w:type="dxa"/>
            <w:shd w:val="clear" w:color="auto" w:fill="auto"/>
            <w:noWrap/>
            <w:hideMark/>
          </w:tcPr>
          <w:p w14:paraId="2DDD52C9"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13 </w:t>
            </w:r>
          </w:p>
        </w:tc>
        <w:tc>
          <w:tcPr>
            <w:tcW w:w="1111" w:type="dxa"/>
            <w:shd w:val="clear" w:color="auto" w:fill="auto"/>
            <w:noWrap/>
            <w:hideMark/>
          </w:tcPr>
          <w:p w14:paraId="1EBDB11A"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562,899 </w:t>
            </w:r>
          </w:p>
        </w:tc>
        <w:tc>
          <w:tcPr>
            <w:tcW w:w="1111" w:type="dxa"/>
            <w:shd w:val="clear" w:color="auto" w:fill="auto"/>
            <w:noWrap/>
            <w:hideMark/>
          </w:tcPr>
          <w:p w14:paraId="6E40023E"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30 </w:t>
            </w:r>
          </w:p>
        </w:tc>
        <w:tc>
          <w:tcPr>
            <w:tcW w:w="1286" w:type="dxa"/>
            <w:shd w:val="clear" w:color="auto" w:fill="auto"/>
            <w:noWrap/>
            <w:hideMark/>
          </w:tcPr>
          <w:p w14:paraId="28A2EF86"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2,058,242 </w:t>
            </w:r>
          </w:p>
        </w:tc>
        <w:tc>
          <w:tcPr>
            <w:tcW w:w="936" w:type="dxa"/>
            <w:shd w:val="clear" w:color="auto" w:fill="auto"/>
            <w:noWrap/>
            <w:hideMark/>
          </w:tcPr>
          <w:p w14:paraId="0DCBA9D8"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51 </w:t>
            </w:r>
          </w:p>
        </w:tc>
      </w:tr>
      <w:tr w:rsidR="003E5BF5" w:rsidRPr="002D63A6" w14:paraId="3A4A3BC2" w14:textId="77777777" w:rsidTr="00FD4D19">
        <w:trPr>
          <w:trHeight w:val="340"/>
        </w:trPr>
        <w:tc>
          <w:tcPr>
            <w:tcW w:w="3256" w:type="dxa"/>
            <w:shd w:val="clear" w:color="auto" w:fill="auto"/>
            <w:noWrap/>
            <w:vAlign w:val="center"/>
            <w:hideMark/>
          </w:tcPr>
          <w:p w14:paraId="74FEF9D9" w14:textId="77777777" w:rsidR="003E5BF5" w:rsidRPr="002D63A6" w:rsidRDefault="003E5BF5" w:rsidP="00DE1921">
            <w:pPr>
              <w:rPr>
                <w:rFonts w:ascii="Arial" w:hAnsi="Arial" w:cs="Arial"/>
                <w:sz w:val="23"/>
                <w:szCs w:val="23"/>
              </w:rPr>
            </w:pPr>
            <w:r w:rsidRPr="002D63A6">
              <w:rPr>
                <w:rFonts w:ascii="Arial" w:hAnsi="Arial" w:cs="Arial"/>
                <w:sz w:val="23"/>
                <w:szCs w:val="23"/>
              </w:rPr>
              <w:t>Interest income</w:t>
            </w:r>
          </w:p>
        </w:tc>
        <w:tc>
          <w:tcPr>
            <w:tcW w:w="1112" w:type="dxa"/>
            <w:shd w:val="clear" w:color="auto" w:fill="auto"/>
            <w:noWrap/>
            <w:vAlign w:val="center"/>
            <w:hideMark/>
          </w:tcPr>
          <w:p w14:paraId="74C3EB1F"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vAlign w:val="center"/>
            <w:hideMark/>
          </w:tcPr>
          <w:p w14:paraId="1B1FF6AE"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vAlign w:val="center"/>
            <w:hideMark/>
          </w:tcPr>
          <w:p w14:paraId="344732C6"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vAlign w:val="center"/>
            <w:hideMark/>
          </w:tcPr>
          <w:p w14:paraId="2A73AD4C"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286" w:type="dxa"/>
            <w:shd w:val="clear" w:color="auto" w:fill="auto"/>
            <w:noWrap/>
            <w:vAlign w:val="center"/>
            <w:hideMark/>
          </w:tcPr>
          <w:p w14:paraId="32CC0E82"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303 </w:t>
            </w:r>
          </w:p>
        </w:tc>
        <w:tc>
          <w:tcPr>
            <w:tcW w:w="936" w:type="dxa"/>
            <w:shd w:val="clear" w:color="auto" w:fill="auto"/>
            <w:noWrap/>
            <w:vAlign w:val="center"/>
            <w:hideMark/>
          </w:tcPr>
          <w:p w14:paraId="59555928"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r>
      <w:tr w:rsidR="003E5BF5" w:rsidRPr="002D63A6" w14:paraId="39ACCE5B" w14:textId="77777777" w:rsidTr="00FD4D19">
        <w:trPr>
          <w:trHeight w:val="340"/>
        </w:trPr>
        <w:tc>
          <w:tcPr>
            <w:tcW w:w="3256" w:type="dxa"/>
            <w:shd w:val="clear" w:color="auto" w:fill="auto"/>
            <w:noWrap/>
            <w:vAlign w:val="center"/>
            <w:hideMark/>
          </w:tcPr>
          <w:p w14:paraId="4CE34E5A" w14:textId="77777777" w:rsidR="003E5BF5" w:rsidRPr="002D63A6" w:rsidRDefault="003E5BF5" w:rsidP="00DE1921">
            <w:pPr>
              <w:rPr>
                <w:rFonts w:ascii="Arial" w:hAnsi="Arial" w:cs="Arial"/>
                <w:sz w:val="23"/>
                <w:szCs w:val="23"/>
              </w:rPr>
            </w:pPr>
            <w:r w:rsidRPr="002D63A6">
              <w:rPr>
                <w:rFonts w:ascii="Arial" w:hAnsi="Arial" w:cs="Arial"/>
                <w:sz w:val="23"/>
                <w:szCs w:val="23"/>
              </w:rPr>
              <w:t>Commonwealth grants</w:t>
            </w:r>
          </w:p>
        </w:tc>
        <w:tc>
          <w:tcPr>
            <w:tcW w:w="1112" w:type="dxa"/>
            <w:shd w:val="clear" w:color="auto" w:fill="auto"/>
            <w:noWrap/>
            <w:vAlign w:val="center"/>
            <w:hideMark/>
          </w:tcPr>
          <w:p w14:paraId="4741BA79"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vAlign w:val="center"/>
            <w:hideMark/>
          </w:tcPr>
          <w:p w14:paraId="3F9B7D63"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vAlign w:val="center"/>
            <w:hideMark/>
          </w:tcPr>
          <w:p w14:paraId="4B26191A"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vAlign w:val="center"/>
            <w:hideMark/>
          </w:tcPr>
          <w:p w14:paraId="0F9DE7FE"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286" w:type="dxa"/>
            <w:shd w:val="clear" w:color="auto" w:fill="auto"/>
            <w:noWrap/>
            <w:vAlign w:val="center"/>
            <w:hideMark/>
          </w:tcPr>
          <w:p w14:paraId="37D9C42E"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936" w:type="dxa"/>
            <w:shd w:val="clear" w:color="auto" w:fill="auto"/>
            <w:noWrap/>
            <w:vAlign w:val="center"/>
            <w:hideMark/>
          </w:tcPr>
          <w:p w14:paraId="3847E86F"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r>
      <w:tr w:rsidR="003E5BF5" w:rsidRPr="002D63A6" w14:paraId="3329A758" w14:textId="77777777" w:rsidTr="00FD4D19">
        <w:trPr>
          <w:trHeight w:val="340"/>
        </w:trPr>
        <w:tc>
          <w:tcPr>
            <w:tcW w:w="3256" w:type="dxa"/>
            <w:shd w:val="clear" w:color="auto" w:fill="auto"/>
            <w:noWrap/>
            <w:vAlign w:val="center"/>
            <w:hideMark/>
          </w:tcPr>
          <w:p w14:paraId="35753F58" w14:textId="77777777" w:rsidR="003E5BF5" w:rsidRPr="002D63A6" w:rsidRDefault="003E5BF5" w:rsidP="00DE1921">
            <w:pPr>
              <w:rPr>
                <w:rFonts w:ascii="Arial" w:hAnsi="Arial" w:cs="Arial"/>
                <w:b/>
                <w:sz w:val="23"/>
                <w:szCs w:val="23"/>
              </w:rPr>
            </w:pPr>
            <w:r w:rsidRPr="002D63A6">
              <w:rPr>
                <w:rFonts w:ascii="Arial" w:hAnsi="Arial" w:cs="Arial"/>
                <w:b/>
                <w:sz w:val="23"/>
                <w:szCs w:val="23"/>
              </w:rPr>
              <w:t>Total administered income from transactions</w:t>
            </w:r>
          </w:p>
        </w:tc>
        <w:tc>
          <w:tcPr>
            <w:tcW w:w="1112" w:type="dxa"/>
            <w:shd w:val="clear" w:color="auto" w:fill="auto"/>
            <w:noWrap/>
            <w:hideMark/>
          </w:tcPr>
          <w:p w14:paraId="6E0BD4FA"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 xml:space="preserve">58,660 </w:t>
            </w:r>
          </w:p>
        </w:tc>
        <w:tc>
          <w:tcPr>
            <w:tcW w:w="1111" w:type="dxa"/>
            <w:shd w:val="clear" w:color="auto" w:fill="auto"/>
            <w:noWrap/>
            <w:hideMark/>
          </w:tcPr>
          <w:p w14:paraId="56F67BFF"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 xml:space="preserve">9,634 </w:t>
            </w:r>
          </w:p>
        </w:tc>
        <w:tc>
          <w:tcPr>
            <w:tcW w:w="1111" w:type="dxa"/>
            <w:shd w:val="clear" w:color="auto" w:fill="auto"/>
            <w:noWrap/>
            <w:hideMark/>
          </w:tcPr>
          <w:p w14:paraId="48FFC52C"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 xml:space="preserve">572,217 </w:t>
            </w:r>
          </w:p>
        </w:tc>
        <w:tc>
          <w:tcPr>
            <w:tcW w:w="1111" w:type="dxa"/>
            <w:shd w:val="clear" w:color="auto" w:fill="auto"/>
            <w:noWrap/>
            <w:hideMark/>
          </w:tcPr>
          <w:p w14:paraId="173BF32B"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 xml:space="preserve">402 </w:t>
            </w:r>
          </w:p>
        </w:tc>
        <w:tc>
          <w:tcPr>
            <w:tcW w:w="1286" w:type="dxa"/>
            <w:shd w:val="clear" w:color="auto" w:fill="auto"/>
            <w:noWrap/>
            <w:hideMark/>
          </w:tcPr>
          <w:p w14:paraId="71EC655A"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 xml:space="preserve">2,184,909 </w:t>
            </w:r>
          </w:p>
        </w:tc>
        <w:tc>
          <w:tcPr>
            <w:tcW w:w="936" w:type="dxa"/>
            <w:shd w:val="clear" w:color="auto" w:fill="auto"/>
            <w:noWrap/>
            <w:hideMark/>
          </w:tcPr>
          <w:p w14:paraId="14F91865"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 xml:space="preserve">15,310 </w:t>
            </w:r>
          </w:p>
        </w:tc>
      </w:tr>
      <w:tr w:rsidR="003E5BF5" w:rsidRPr="002D63A6" w14:paraId="4702118A" w14:textId="77777777" w:rsidTr="00FD4D19">
        <w:trPr>
          <w:trHeight w:val="340"/>
        </w:trPr>
        <w:tc>
          <w:tcPr>
            <w:tcW w:w="3256" w:type="dxa"/>
            <w:shd w:val="clear" w:color="auto" w:fill="auto"/>
            <w:noWrap/>
            <w:vAlign w:val="center"/>
            <w:hideMark/>
          </w:tcPr>
          <w:p w14:paraId="6005ADD6" w14:textId="77777777" w:rsidR="003E5BF5" w:rsidRPr="002D63A6" w:rsidRDefault="003E5BF5" w:rsidP="00604703">
            <w:pPr>
              <w:pStyle w:val="TableTextGreen"/>
              <w:rPr>
                <w:sz w:val="23"/>
                <w:szCs w:val="23"/>
              </w:rPr>
            </w:pPr>
            <w:r w:rsidRPr="002D63A6">
              <w:rPr>
                <w:sz w:val="23"/>
                <w:szCs w:val="23"/>
              </w:rPr>
              <w:t>Administered expenses from transactions</w:t>
            </w:r>
          </w:p>
        </w:tc>
        <w:tc>
          <w:tcPr>
            <w:tcW w:w="1112" w:type="dxa"/>
            <w:shd w:val="clear" w:color="auto" w:fill="auto"/>
            <w:noWrap/>
            <w:vAlign w:val="center"/>
            <w:hideMark/>
          </w:tcPr>
          <w:p w14:paraId="54EAE6E6" w14:textId="77777777" w:rsidR="003E5BF5" w:rsidRPr="002D63A6" w:rsidRDefault="003E5BF5" w:rsidP="00DE1921">
            <w:pPr>
              <w:jc w:val="right"/>
              <w:rPr>
                <w:rFonts w:ascii="Arial" w:hAnsi="Arial" w:cs="Arial"/>
                <w:sz w:val="23"/>
                <w:szCs w:val="23"/>
              </w:rPr>
            </w:pPr>
          </w:p>
        </w:tc>
        <w:tc>
          <w:tcPr>
            <w:tcW w:w="1111" w:type="dxa"/>
            <w:shd w:val="clear" w:color="auto" w:fill="auto"/>
            <w:noWrap/>
            <w:vAlign w:val="center"/>
            <w:hideMark/>
          </w:tcPr>
          <w:p w14:paraId="52A8DE92" w14:textId="77777777" w:rsidR="003E5BF5" w:rsidRPr="002D63A6" w:rsidRDefault="003E5BF5" w:rsidP="00DE1921">
            <w:pPr>
              <w:jc w:val="right"/>
              <w:rPr>
                <w:rFonts w:ascii="Arial" w:hAnsi="Arial" w:cs="Arial"/>
                <w:sz w:val="23"/>
                <w:szCs w:val="23"/>
              </w:rPr>
            </w:pPr>
          </w:p>
        </w:tc>
        <w:tc>
          <w:tcPr>
            <w:tcW w:w="1111" w:type="dxa"/>
            <w:shd w:val="clear" w:color="auto" w:fill="auto"/>
            <w:noWrap/>
            <w:vAlign w:val="center"/>
            <w:hideMark/>
          </w:tcPr>
          <w:p w14:paraId="336F58C9" w14:textId="77777777" w:rsidR="003E5BF5" w:rsidRPr="002D63A6" w:rsidRDefault="003E5BF5" w:rsidP="00DE1921">
            <w:pPr>
              <w:jc w:val="right"/>
              <w:rPr>
                <w:rFonts w:ascii="Arial" w:hAnsi="Arial" w:cs="Arial"/>
                <w:sz w:val="23"/>
                <w:szCs w:val="23"/>
              </w:rPr>
            </w:pPr>
          </w:p>
        </w:tc>
        <w:tc>
          <w:tcPr>
            <w:tcW w:w="1111" w:type="dxa"/>
            <w:shd w:val="clear" w:color="auto" w:fill="auto"/>
            <w:noWrap/>
            <w:vAlign w:val="center"/>
            <w:hideMark/>
          </w:tcPr>
          <w:p w14:paraId="51ADF760" w14:textId="77777777" w:rsidR="003E5BF5" w:rsidRPr="002D63A6" w:rsidRDefault="003E5BF5" w:rsidP="00DE1921">
            <w:pPr>
              <w:jc w:val="right"/>
              <w:rPr>
                <w:rFonts w:ascii="Arial" w:hAnsi="Arial" w:cs="Arial"/>
                <w:sz w:val="23"/>
                <w:szCs w:val="23"/>
              </w:rPr>
            </w:pPr>
          </w:p>
        </w:tc>
        <w:tc>
          <w:tcPr>
            <w:tcW w:w="1286" w:type="dxa"/>
            <w:shd w:val="clear" w:color="auto" w:fill="auto"/>
            <w:noWrap/>
            <w:vAlign w:val="center"/>
            <w:hideMark/>
          </w:tcPr>
          <w:p w14:paraId="19F80E58" w14:textId="77777777" w:rsidR="003E5BF5" w:rsidRPr="002D63A6" w:rsidRDefault="003E5BF5" w:rsidP="00DE1921">
            <w:pPr>
              <w:jc w:val="right"/>
              <w:rPr>
                <w:rFonts w:ascii="Arial" w:hAnsi="Arial" w:cs="Arial"/>
                <w:sz w:val="23"/>
                <w:szCs w:val="23"/>
              </w:rPr>
            </w:pPr>
          </w:p>
        </w:tc>
        <w:tc>
          <w:tcPr>
            <w:tcW w:w="936" w:type="dxa"/>
            <w:shd w:val="clear" w:color="auto" w:fill="auto"/>
            <w:noWrap/>
            <w:vAlign w:val="center"/>
            <w:hideMark/>
          </w:tcPr>
          <w:p w14:paraId="5C4B1218" w14:textId="77777777" w:rsidR="003E5BF5" w:rsidRPr="002D63A6" w:rsidRDefault="003E5BF5" w:rsidP="00DE1921">
            <w:pPr>
              <w:jc w:val="right"/>
              <w:rPr>
                <w:rFonts w:ascii="Arial" w:hAnsi="Arial" w:cs="Arial"/>
                <w:sz w:val="23"/>
                <w:szCs w:val="23"/>
              </w:rPr>
            </w:pPr>
          </w:p>
        </w:tc>
      </w:tr>
      <w:tr w:rsidR="003E5BF5" w:rsidRPr="002D63A6" w14:paraId="07B599C1" w14:textId="77777777" w:rsidTr="00FD4D19">
        <w:trPr>
          <w:trHeight w:val="340"/>
        </w:trPr>
        <w:tc>
          <w:tcPr>
            <w:tcW w:w="3256" w:type="dxa"/>
            <w:shd w:val="clear" w:color="auto" w:fill="auto"/>
            <w:noWrap/>
            <w:vAlign w:val="center"/>
            <w:hideMark/>
          </w:tcPr>
          <w:p w14:paraId="3567A769" w14:textId="77777777" w:rsidR="003E5BF5" w:rsidRPr="002D63A6" w:rsidRDefault="003E5BF5" w:rsidP="00DE1921">
            <w:pPr>
              <w:rPr>
                <w:rFonts w:ascii="Arial" w:hAnsi="Arial" w:cs="Arial"/>
                <w:sz w:val="23"/>
                <w:szCs w:val="23"/>
              </w:rPr>
            </w:pPr>
            <w:r w:rsidRPr="002D63A6">
              <w:rPr>
                <w:rFonts w:ascii="Arial" w:hAnsi="Arial" w:cs="Arial"/>
                <w:sz w:val="23"/>
                <w:szCs w:val="23"/>
              </w:rPr>
              <w:t>Payments into Consolidated Fund</w:t>
            </w:r>
          </w:p>
        </w:tc>
        <w:tc>
          <w:tcPr>
            <w:tcW w:w="1112" w:type="dxa"/>
            <w:shd w:val="clear" w:color="auto" w:fill="auto"/>
            <w:noWrap/>
            <w:vAlign w:val="center"/>
            <w:hideMark/>
          </w:tcPr>
          <w:p w14:paraId="648E3D89"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(58,455)</w:t>
            </w:r>
          </w:p>
        </w:tc>
        <w:tc>
          <w:tcPr>
            <w:tcW w:w="1111" w:type="dxa"/>
            <w:shd w:val="clear" w:color="auto" w:fill="auto"/>
            <w:noWrap/>
            <w:vAlign w:val="center"/>
            <w:hideMark/>
          </w:tcPr>
          <w:p w14:paraId="3FDB9B2B"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(10,802)</w:t>
            </w:r>
          </w:p>
        </w:tc>
        <w:tc>
          <w:tcPr>
            <w:tcW w:w="1111" w:type="dxa"/>
            <w:shd w:val="clear" w:color="auto" w:fill="auto"/>
            <w:noWrap/>
            <w:vAlign w:val="center"/>
            <w:hideMark/>
          </w:tcPr>
          <w:p w14:paraId="66DC97C3"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(570,222)</w:t>
            </w:r>
          </w:p>
        </w:tc>
        <w:tc>
          <w:tcPr>
            <w:tcW w:w="1111" w:type="dxa"/>
            <w:shd w:val="clear" w:color="auto" w:fill="auto"/>
            <w:noWrap/>
            <w:vAlign w:val="center"/>
            <w:hideMark/>
          </w:tcPr>
          <w:p w14:paraId="37B6F732"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(3,020)</w:t>
            </w:r>
          </w:p>
        </w:tc>
        <w:tc>
          <w:tcPr>
            <w:tcW w:w="1286" w:type="dxa"/>
            <w:shd w:val="clear" w:color="auto" w:fill="auto"/>
            <w:noWrap/>
            <w:vAlign w:val="center"/>
            <w:hideMark/>
          </w:tcPr>
          <w:p w14:paraId="01360D76"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(2,177,293)</w:t>
            </w:r>
          </w:p>
        </w:tc>
        <w:tc>
          <w:tcPr>
            <w:tcW w:w="936" w:type="dxa"/>
            <w:shd w:val="clear" w:color="auto" w:fill="auto"/>
            <w:noWrap/>
            <w:vAlign w:val="center"/>
            <w:hideMark/>
          </w:tcPr>
          <w:p w14:paraId="11AF289C"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(10,552)</w:t>
            </w:r>
          </w:p>
        </w:tc>
      </w:tr>
      <w:tr w:rsidR="003E5BF5" w:rsidRPr="002D63A6" w14:paraId="4DF64EAE" w14:textId="77777777" w:rsidTr="00FD4D19">
        <w:trPr>
          <w:trHeight w:val="340"/>
        </w:trPr>
        <w:tc>
          <w:tcPr>
            <w:tcW w:w="3256" w:type="dxa"/>
            <w:shd w:val="clear" w:color="auto" w:fill="auto"/>
            <w:noWrap/>
            <w:vAlign w:val="center"/>
            <w:hideMark/>
          </w:tcPr>
          <w:p w14:paraId="5CD83F1D" w14:textId="77777777" w:rsidR="003E5BF5" w:rsidRPr="002D63A6" w:rsidRDefault="003E5BF5" w:rsidP="00DE1921">
            <w:pPr>
              <w:rPr>
                <w:rFonts w:ascii="Arial" w:hAnsi="Arial" w:cs="Arial"/>
                <w:sz w:val="23"/>
                <w:szCs w:val="23"/>
              </w:rPr>
            </w:pPr>
            <w:r w:rsidRPr="002D63A6">
              <w:rPr>
                <w:rFonts w:ascii="Arial" w:hAnsi="Arial" w:cs="Arial"/>
                <w:sz w:val="23"/>
                <w:szCs w:val="23"/>
              </w:rPr>
              <w:t>Other expenses</w:t>
            </w:r>
          </w:p>
        </w:tc>
        <w:tc>
          <w:tcPr>
            <w:tcW w:w="1112" w:type="dxa"/>
            <w:shd w:val="clear" w:color="auto" w:fill="auto"/>
            <w:noWrap/>
            <w:vAlign w:val="center"/>
            <w:hideMark/>
          </w:tcPr>
          <w:p w14:paraId="6EFA345B"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(35)</w:t>
            </w:r>
          </w:p>
        </w:tc>
        <w:tc>
          <w:tcPr>
            <w:tcW w:w="1111" w:type="dxa"/>
            <w:shd w:val="clear" w:color="auto" w:fill="auto"/>
            <w:noWrap/>
            <w:vAlign w:val="center"/>
            <w:hideMark/>
          </w:tcPr>
          <w:p w14:paraId="0FB7701D"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(58)</w:t>
            </w:r>
          </w:p>
        </w:tc>
        <w:tc>
          <w:tcPr>
            <w:tcW w:w="1111" w:type="dxa"/>
            <w:shd w:val="clear" w:color="auto" w:fill="auto"/>
            <w:noWrap/>
            <w:vAlign w:val="center"/>
            <w:hideMark/>
          </w:tcPr>
          <w:p w14:paraId="0B54AF20"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(78)</w:t>
            </w:r>
          </w:p>
        </w:tc>
        <w:tc>
          <w:tcPr>
            <w:tcW w:w="1111" w:type="dxa"/>
            <w:shd w:val="clear" w:color="auto" w:fill="auto"/>
            <w:noWrap/>
            <w:vAlign w:val="center"/>
            <w:hideMark/>
          </w:tcPr>
          <w:p w14:paraId="4ACF2701"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(130)</w:t>
            </w:r>
          </w:p>
        </w:tc>
        <w:tc>
          <w:tcPr>
            <w:tcW w:w="1286" w:type="dxa"/>
            <w:shd w:val="clear" w:color="auto" w:fill="auto"/>
            <w:noWrap/>
            <w:vAlign w:val="center"/>
            <w:hideMark/>
          </w:tcPr>
          <w:p w14:paraId="08183D0A"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(133)</w:t>
            </w:r>
          </w:p>
        </w:tc>
        <w:tc>
          <w:tcPr>
            <w:tcW w:w="936" w:type="dxa"/>
            <w:shd w:val="clear" w:color="auto" w:fill="auto"/>
            <w:noWrap/>
            <w:vAlign w:val="center"/>
            <w:hideMark/>
          </w:tcPr>
          <w:p w14:paraId="24EA5CC9"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(222)</w:t>
            </w:r>
          </w:p>
        </w:tc>
      </w:tr>
      <w:tr w:rsidR="003E5BF5" w:rsidRPr="002D63A6" w14:paraId="367F891B" w14:textId="77777777" w:rsidTr="00FD4D19">
        <w:trPr>
          <w:trHeight w:val="340"/>
        </w:trPr>
        <w:tc>
          <w:tcPr>
            <w:tcW w:w="3256" w:type="dxa"/>
            <w:shd w:val="clear" w:color="auto" w:fill="auto"/>
            <w:noWrap/>
            <w:vAlign w:val="center"/>
            <w:hideMark/>
          </w:tcPr>
          <w:p w14:paraId="7D3543DF" w14:textId="77777777" w:rsidR="003E5BF5" w:rsidRPr="002D63A6" w:rsidRDefault="003E5BF5" w:rsidP="00DE1921">
            <w:pPr>
              <w:rPr>
                <w:rFonts w:ascii="Arial" w:hAnsi="Arial" w:cs="Arial"/>
                <w:sz w:val="23"/>
                <w:szCs w:val="23"/>
              </w:rPr>
            </w:pPr>
            <w:r w:rsidRPr="002D63A6">
              <w:rPr>
                <w:rFonts w:ascii="Arial" w:hAnsi="Arial" w:cs="Arial"/>
                <w:sz w:val="23"/>
                <w:szCs w:val="23"/>
              </w:rPr>
              <w:t>Assets transferred to local/Commonwealth government</w:t>
            </w:r>
          </w:p>
        </w:tc>
        <w:tc>
          <w:tcPr>
            <w:tcW w:w="1112" w:type="dxa"/>
            <w:shd w:val="clear" w:color="auto" w:fill="auto"/>
            <w:noWrap/>
            <w:vAlign w:val="center"/>
            <w:hideMark/>
          </w:tcPr>
          <w:p w14:paraId="7F79B9F8"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vAlign w:val="center"/>
            <w:hideMark/>
          </w:tcPr>
          <w:p w14:paraId="7BE057F3"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vAlign w:val="center"/>
            <w:hideMark/>
          </w:tcPr>
          <w:p w14:paraId="689B0507"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vAlign w:val="center"/>
            <w:hideMark/>
          </w:tcPr>
          <w:p w14:paraId="1E1CD235"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286" w:type="dxa"/>
            <w:shd w:val="clear" w:color="auto" w:fill="auto"/>
            <w:noWrap/>
            <w:vAlign w:val="center"/>
            <w:hideMark/>
          </w:tcPr>
          <w:p w14:paraId="52B90DF9"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936" w:type="dxa"/>
            <w:shd w:val="clear" w:color="auto" w:fill="auto"/>
            <w:noWrap/>
            <w:vAlign w:val="center"/>
            <w:hideMark/>
          </w:tcPr>
          <w:p w14:paraId="2059F7AE"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r>
      <w:tr w:rsidR="003E5BF5" w:rsidRPr="002D63A6" w14:paraId="225D5281" w14:textId="77777777" w:rsidTr="00FD4D19">
        <w:trPr>
          <w:trHeight w:val="340"/>
        </w:trPr>
        <w:tc>
          <w:tcPr>
            <w:tcW w:w="3256" w:type="dxa"/>
            <w:shd w:val="clear" w:color="auto" w:fill="auto"/>
            <w:noWrap/>
            <w:vAlign w:val="center"/>
            <w:hideMark/>
          </w:tcPr>
          <w:p w14:paraId="55BBA1CE" w14:textId="77777777" w:rsidR="003E5BF5" w:rsidRPr="002D63A6" w:rsidRDefault="003E5BF5" w:rsidP="00DE1921">
            <w:pPr>
              <w:rPr>
                <w:rFonts w:ascii="Arial" w:hAnsi="Arial" w:cs="Arial"/>
                <w:b/>
                <w:sz w:val="23"/>
                <w:szCs w:val="23"/>
              </w:rPr>
            </w:pPr>
            <w:r w:rsidRPr="002D63A6">
              <w:rPr>
                <w:rFonts w:ascii="Arial" w:hAnsi="Arial" w:cs="Arial"/>
                <w:b/>
                <w:sz w:val="23"/>
                <w:szCs w:val="23"/>
              </w:rPr>
              <w:t>Total administered expenses from transactions</w:t>
            </w:r>
          </w:p>
        </w:tc>
        <w:tc>
          <w:tcPr>
            <w:tcW w:w="1112" w:type="dxa"/>
            <w:shd w:val="clear" w:color="auto" w:fill="auto"/>
            <w:noWrap/>
            <w:hideMark/>
          </w:tcPr>
          <w:p w14:paraId="1A3B433D"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(58,490)</w:t>
            </w:r>
          </w:p>
        </w:tc>
        <w:tc>
          <w:tcPr>
            <w:tcW w:w="1111" w:type="dxa"/>
            <w:shd w:val="clear" w:color="auto" w:fill="auto"/>
            <w:noWrap/>
            <w:hideMark/>
          </w:tcPr>
          <w:p w14:paraId="6E8F481C"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(10,860)</w:t>
            </w:r>
          </w:p>
        </w:tc>
        <w:tc>
          <w:tcPr>
            <w:tcW w:w="1111" w:type="dxa"/>
            <w:shd w:val="clear" w:color="auto" w:fill="auto"/>
            <w:noWrap/>
            <w:hideMark/>
          </w:tcPr>
          <w:p w14:paraId="09CE48EB"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(570,300)</w:t>
            </w:r>
          </w:p>
        </w:tc>
        <w:tc>
          <w:tcPr>
            <w:tcW w:w="1111" w:type="dxa"/>
            <w:shd w:val="clear" w:color="auto" w:fill="auto"/>
            <w:noWrap/>
            <w:hideMark/>
          </w:tcPr>
          <w:p w14:paraId="49D024D4"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(3,150)</w:t>
            </w:r>
          </w:p>
        </w:tc>
        <w:tc>
          <w:tcPr>
            <w:tcW w:w="1286" w:type="dxa"/>
            <w:shd w:val="clear" w:color="auto" w:fill="auto"/>
            <w:noWrap/>
            <w:hideMark/>
          </w:tcPr>
          <w:p w14:paraId="5121C177"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(2,177,426)</w:t>
            </w:r>
          </w:p>
        </w:tc>
        <w:tc>
          <w:tcPr>
            <w:tcW w:w="936" w:type="dxa"/>
            <w:shd w:val="clear" w:color="auto" w:fill="auto"/>
            <w:noWrap/>
            <w:hideMark/>
          </w:tcPr>
          <w:p w14:paraId="1707D404"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(10,774)</w:t>
            </w:r>
          </w:p>
        </w:tc>
      </w:tr>
      <w:tr w:rsidR="003E5BF5" w:rsidRPr="002D63A6" w14:paraId="4C2CD9AC" w14:textId="77777777" w:rsidTr="00FD4D19">
        <w:trPr>
          <w:trHeight w:val="340"/>
        </w:trPr>
        <w:tc>
          <w:tcPr>
            <w:tcW w:w="3256" w:type="dxa"/>
            <w:shd w:val="clear" w:color="auto" w:fill="auto"/>
            <w:noWrap/>
            <w:vAlign w:val="center"/>
            <w:hideMark/>
          </w:tcPr>
          <w:p w14:paraId="7132E96A" w14:textId="77777777" w:rsidR="003E5BF5" w:rsidRPr="002D63A6" w:rsidRDefault="003E5BF5" w:rsidP="00DE1921">
            <w:pPr>
              <w:rPr>
                <w:rFonts w:ascii="Arial" w:hAnsi="Arial" w:cs="Arial"/>
                <w:b/>
                <w:sz w:val="23"/>
                <w:szCs w:val="23"/>
              </w:rPr>
            </w:pPr>
            <w:r w:rsidRPr="002D63A6">
              <w:rPr>
                <w:rFonts w:ascii="Arial" w:hAnsi="Arial" w:cs="Arial"/>
                <w:b/>
                <w:sz w:val="23"/>
                <w:szCs w:val="23"/>
              </w:rPr>
              <w:t>Total administered net result from transactions</w:t>
            </w:r>
          </w:p>
        </w:tc>
        <w:tc>
          <w:tcPr>
            <w:tcW w:w="1112" w:type="dxa"/>
            <w:shd w:val="clear" w:color="auto" w:fill="auto"/>
            <w:noWrap/>
            <w:hideMark/>
          </w:tcPr>
          <w:p w14:paraId="49317D72"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 xml:space="preserve">170 </w:t>
            </w:r>
          </w:p>
        </w:tc>
        <w:tc>
          <w:tcPr>
            <w:tcW w:w="1111" w:type="dxa"/>
            <w:shd w:val="clear" w:color="auto" w:fill="auto"/>
            <w:noWrap/>
            <w:hideMark/>
          </w:tcPr>
          <w:p w14:paraId="0AA654A9"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(1,226)</w:t>
            </w:r>
          </w:p>
        </w:tc>
        <w:tc>
          <w:tcPr>
            <w:tcW w:w="1111" w:type="dxa"/>
            <w:shd w:val="clear" w:color="auto" w:fill="auto"/>
            <w:noWrap/>
            <w:hideMark/>
          </w:tcPr>
          <w:p w14:paraId="2A0A8D7F"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 xml:space="preserve">1,917 </w:t>
            </w:r>
          </w:p>
        </w:tc>
        <w:tc>
          <w:tcPr>
            <w:tcW w:w="1111" w:type="dxa"/>
            <w:shd w:val="clear" w:color="auto" w:fill="auto"/>
            <w:noWrap/>
            <w:hideMark/>
          </w:tcPr>
          <w:p w14:paraId="71E2FA28"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(2,748)</w:t>
            </w:r>
          </w:p>
        </w:tc>
        <w:tc>
          <w:tcPr>
            <w:tcW w:w="1286" w:type="dxa"/>
            <w:shd w:val="clear" w:color="auto" w:fill="auto"/>
            <w:noWrap/>
            <w:hideMark/>
          </w:tcPr>
          <w:p w14:paraId="2BA3B323"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 xml:space="preserve">7,483 </w:t>
            </w:r>
          </w:p>
        </w:tc>
        <w:tc>
          <w:tcPr>
            <w:tcW w:w="936" w:type="dxa"/>
            <w:shd w:val="clear" w:color="auto" w:fill="auto"/>
            <w:noWrap/>
            <w:hideMark/>
          </w:tcPr>
          <w:p w14:paraId="421C210D"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 xml:space="preserve">4,536 </w:t>
            </w:r>
          </w:p>
        </w:tc>
      </w:tr>
      <w:tr w:rsidR="003E5BF5" w:rsidRPr="002D63A6" w14:paraId="1FF4A6EE" w14:textId="77777777" w:rsidTr="00FD4D19">
        <w:trPr>
          <w:trHeight w:val="340"/>
        </w:trPr>
        <w:tc>
          <w:tcPr>
            <w:tcW w:w="3256" w:type="dxa"/>
            <w:shd w:val="clear" w:color="auto" w:fill="auto"/>
            <w:noWrap/>
            <w:vAlign w:val="center"/>
            <w:hideMark/>
          </w:tcPr>
          <w:p w14:paraId="6FA76F2D" w14:textId="77777777" w:rsidR="003E5BF5" w:rsidRPr="002D63A6" w:rsidRDefault="003E5BF5" w:rsidP="00DE1921">
            <w:pPr>
              <w:rPr>
                <w:rFonts w:ascii="Arial" w:hAnsi="Arial" w:cs="Arial"/>
                <w:b/>
                <w:sz w:val="23"/>
                <w:szCs w:val="23"/>
              </w:rPr>
            </w:pPr>
          </w:p>
        </w:tc>
        <w:tc>
          <w:tcPr>
            <w:tcW w:w="1112" w:type="dxa"/>
            <w:shd w:val="clear" w:color="auto" w:fill="auto"/>
            <w:noWrap/>
            <w:vAlign w:val="center"/>
            <w:hideMark/>
          </w:tcPr>
          <w:p w14:paraId="05610D6F" w14:textId="77777777" w:rsidR="003E5BF5" w:rsidRPr="002D63A6" w:rsidRDefault="003E5BF5" w:rsidP="00DE1921">
            <w:pPr>
              <w:jc w:val="right"/>
              <w:rPr>
                <w:rFonts w:ascii="Arial" w:hAnsi="Arial" w:cs="Arial"/>
                <w:b/>
                <w:sz w:val="23"/>
                <w:szCs w:val="23"/>
              </w:rPr>
            </w:pPr>
          </w:p>
        </w:tc>
        <w:tc>
          <w:tcPr>
            <w:tcW w:w="1111" w:type="dxa"/>
            <w:shd w:val="clear" w:color="auto" w:fill="auto"/>
            <w:noWrap/>
            <w:vAlign w:val="center"/>
            <w:hideMark/>
          </w:tcPr>
          <w:p w14:paraId="774D0701" w14:textId="77777777" w:rsidR="003E5BF5" w:rsidRPr="002D63A6" w:rsidRDefault="003E5BF5" w:rsidP="00DE1921">
            <w:pPr>
              <w:jc w:val="right"/>
              <w:rPr>
                <w:rFonts w:ascii="Arial" w:hAnsi="Arial" w:cs="Arial"/>
                <w:b/>
                <w:sz w:val="23"/>
                <w:szCs w:val="23"/>
              </w:rPr>
            </w:pPr>
          </w:p>
        </w:tc>
        <w:tc>
          <w:tcPr>
            <w:tcW w:w="1111" w:type="dxa"/>
            <w:shd w:val="clear" w:color="auto" w:fill="auto"/>
            <w:noWrap/>
            <w:vAlign w:val="center"/>
            <w:hideMark/>
          </w:tcPr>
          <w:p w14:paraId="6112AD98" w14:textId="77777777" w:rsidR="003E5BF5" w:rsidRPr="002D63A6" w:rsidRDefault="003E5BF5" w:rsidP="00DE1921">
            <w:pPr>
              <w:jc w:val="right"/>
              <w:rPr>
                <w:rFonts w:ascii="Arial" w:hAnsi="Arial" w:cs="Arial"/>
                <w:b/>
                <w:sz w:val="23"/>
                <w:szCs w:val="23"/>
              </w:rPr>
            </w:pPr>
          </w:p>
        </w:tc>
        <w:tc>
          <w:tcPr>
            <w:tcW w:w="1111" w:type="dxa"/>
            <w:shd w:val="clear" w:color="auto" w:fill="auto"/>
            <w:noWrap/>
            <w:vAlign w:val="center"/>
            <w:hideMark/>
          </w:tcPr>
          <w:p w14:paraId="249A805B" w14:textId="77777777" w:rsidR="003E5BF5" w:rsidRPr="002D63A6" w:rsidRDefault="003E5BF5" w:rsidP="00DE1921">
            <w:pPr>
              <w:jc w:val="right"/>
              <w:rPr>
                <w:rFonts w:ascii="Arial" w:hAnsi="Arial" w:cs="Arial"/>
                <w:b/>
                <w:sz w:val="23"/>
                <w:szCs w:val="23"/>
              </w:rPr>
            </w:pPr>
          </w:p>
        </w:tc>
        <w:tc>
          <w:tcPr>
            <w:tcW w:w="1286" w:type="dxa"/>
            <w:shd w:val="clear" w:color="auto" w:fill="auto"/>
            <w:noWrap/>
            <w:vAlign w:val="center"/>
            <w:hideMark/>
          </w:tcPr>
          <w:p w14:paraId="563AD842" w14:textId="77777777" w:rsidR="003E5BF5" w:rsidRPr="002D63A6" w:rsidRDefault="003E5BF5" w:rsidP="00DE1921">
            <w:pPr>
              <w:jc w:val="right"/>
              <w:rPr>
                <w:rFonts w:ascii="Arial" w:hAnsi="Arial" w:cs="Arial"/>
                <w:b/>
                <w:sz w:val="23"/>
                <w:szCs w:val="23"/>
              </w:rPr>
            </w:pPr>
          </w:p>
        </w:tc>
        <w:tc>
          <w:tcPr>
            <w:tcW w:w="936" w:type="dxa"/>
            <w:shd w:val="clear" w:color="auto" w:fill="auto"/>
            <w:noWrap/>
            <w:vAlign w:val="center"/>
            <w:hideMark/>
          </w:tcPr>
          <w:p w14:paraId="2A873478" w14:textId="77777777" w:rsidR="003E5BF5" w:rsidRPr="002D63A6" w:rsidRDefault="003E5BF5" w:rsidP="00DE1921">
            <w:pPr>
              <w:jc w:val="right"/>
              <w:rPr>
                <w:rFonts w:ascii="Arial" w:hAnsi="Arial" w:cs="Arial"/>
                <w:b/>
                <w:sz w:val="23"/>
                <w:szCs w:val="23"/>
              </w:rPr>
            </w:pPr>
          </w:p>
        </w:tc>
      </w:tr>
      <w:tr w:rsidR="003E5BF5" w:rsidRPr="002D63A6" w14:paraId="28CF4F9B" w14:textId="77777777" w:rsidTr="00FD4D19">
        <w:trPr>
          <w:trHeight w:val="340"/>
        </w:trPr>
        <w:tc>
          <w:tcPr>
            <w:tcW w:w="3256" w:type="dxa"/>
            <w:shd w:val="clear" w:color="auto" w:fill="auto"/>
            <w:vAlign w:val="center"/>
            <w:hideMark/>
          </w:tcPr>
          <w:p w14:paraId="07B4A8F1" w14:textId="77777777" w:rsidR="003E5BF5" w:rsidRPr="002D63A6" w:rsidRDefault="003E5BF5" w:rsidP="00604703">
            <w:pPr>
              <w:pStyle w:val="TableTextGreen"/>
              <w:rPr>
                <w:sz w:val="23"/>
                <w:szCs w:val="23"/>
              </w:rPr>
            </w:pPr>
            <w:r w:rsidRPr="002D63A6">
              <w:rPr>
                <w:sz w:val="23"/>
                <w:szCs w:val="23"/>
              </w:rPr>
              <w:t>Administered other economic flows included in administered net result</w:t>
            </w:r>
          </w:p>
        </w:tc>
        <w:tc>
          <w:tcPr>
            <w:tcW w:w="1112" w:type="dxa"/>
            <w:shd w:val="clear" w:color="auto" w:fill="auto"/>
            <w:noWrap/>
            <w:vAlign w:val="center"/>
            <w:hideMark/>
          </w:tcPr>
          <w:p w14:paraId="38C1ED08" w14:textId="77777777" w:rsidR="003E5BF5" w:rsidRPr="002D63A6" w:rsidRDefault="003E5BF5" w:rsidP="00DE1921">
            <w:pPr>
              <w:jc w:val="right"/>
              <w:rPr>
                <w:rFonts w:ascii="Arial" w:hAnsi="Arial" w:cs="Arial"/>
                <w:sz w:val="23"/>
                <w:szCs w:val="23"/>
              </w:rPr>
            </w:pPr>
          </w:p>
        </w:tc>
        <w:tc>
          <w:tcPr>
            <w:tcW w:w="1111" w:type="dxa"/>
            <w:shd w:val="clear" w:color="auto" w:fill="auto"/>
            <w:noWrap/>
            <w:vAlign w:val="center"/>
            <w:hideMark/>
          </w:tcPr>
          <w:p w14:paraId="02AF30B0" w14:textId="77777777" w:rsidR="003E5BF5" w:rsidRPr="002D63A6" w:rsidRDefault="003E5BF5" w:rsidP="00DE1921">
            <w:pPr>
              <w:jc w:val="right"/>
              <w:rPr>
                <w:rFonts w:ascii="Arial" w:hAnsi="Arial" w:cs="Arial"/>
                <w:sz w:val="23"/>
                <w:szCs w:val="23"/>
              </w:rPr>
            </w:pPr>
          </w:p>
        </w:tc>
        <w:tc>
          <w:tcPr>
            <w:tcW w:w="1111" w:type="dxa"/>
            <w:shd w:val="clear" w:color="auto" w:fill="auto"/>
            <w:noWrap/>
            <w:vAlign w:val="center"/>
            <w:hideMark/>
          </w:tcPr>
          <w:p w14:paraId="15EB8F2E" w14:textId="77777777" w:rsidR="003E5BF5" w:rsidRPr="002D63A6" w:rsidRDefault="003E5BF5" w:rsidP="00DE1921">
            <w:pPr>
              <w:jc w:val="right"/>
              <w:rPr>
                <w:rFonts w:ascii="Arial" w:hAnsi="Arial" w:cs="Arial"/>
                <w:sz w:val="23"/>
                <w:szCs w:val="23"/>
              </w:rPr>
            </w:pPr>
          </w:p>
        </w:tc>
        <w:tc>
          <w:tcPr>
            <w:tcW w:w="1111" w:type="dxa"/>
            <w:shd w:val="clear" w:color="auto" w:fill="auto"/>
            <w:noWrap/>
            <w:vAlign w:val="center"/>
            <w:hideMark/>
          </w:tcPr>
          <w:p w14:paraId="08E096E2" w14:textId="77777777" w:rsidR="003E5BF5" w:rsidRPr="002D63A6" w:rsidRDefault="003E5BF5" w:rsidP="00DE1921">
            <w:pPr>
              <w:jc w:val="right"/>
              <w:rPr>
                <w:rFonts w:ascii="Arial" w:hAnsi="Arial" w:cs="Arial"/>
                <w:sz w:val="23"/>
                <w:szCs w:val="23"/>
              </w:rPr>
            </w:pPr>
          </w:p>
        </w:tc>
        <w:tc>
          <w:tcPr>
            <w:tcW w:w="1286" w:type="dxa"/>
            <w:shd w:val="clear" w:color="auto" w:fill="auto"/>
            <w:noWrap/>
            <w:vAlign w:val="center"/>
            <w:hideMark/>
          </w:tcPr>
          <w:p w14:paraId="2B0904F0" w14:textId="77777777" w:rsidR="003E5BF5" w:rsidRPr="002D63A6" w:rsidRDefault="003E5BF5" w:rsidP="00DE1921">
            <w:pPr>
              <w:jc w:val="right"/>
              <w:rPr>
                <w:rFonts w:ascii="Arial" w:hAnsi="Arial" w:cs="Arial"/>
                <w:sz w:val="23"/>
                <w:szCs w:val="23"/>
              </w:rPr>
            </w:pPr>
          </w:p>
        </w:tc>
        <w:tc>
          <w:tcPr>
            <w:tcW w:w="936" w:type="dxa"/>
            <w:shd w:val="clear" w:color="auto" w:fill="auto"/>
            <w:noWrap/>
            <w:vAlign w:val="center"/>
            <w:hideMark/>
          </w:tcPr>
          <w:p w14:paraId="140F44CE" w14:textId="77777777" w:rsidR="003E5BF5" w:rsidRPr="002D63A6" w:rsidRDefault="003E5BF5" w:rsidP="00DE1921">
            <w:pPr>
              <w:jc w:val="right"/>
              <w:rPr>
                <w:rFonts w:ascii="Arial" w:hAnsi="Arial" w:cs="Arial"/>
                <w:sz w:val="23"/>
                <w:szCs w:val="23"/>
              </w:rPr>
            </w:pPr>
          </w:p>
        </w:tc>
      </w:tr>
      <w:tr w:rsidR="003E5BF5" w:rsidRPr="002D63A6" w14:paraId="47159F99" w14:textId="77777777" w:rsidTr="00FD4D19">
        <w:trPr>
          <w:trHeight w:val="340"/>
        </w:trPr>
        <w:tc>
          <w:tcPr>
            <w:tcW w:w="3256" w:type="dxa"/>
            <w:shd w:val="clear" w:color="auto" w:fill="auto"/>
            <w:noWrap/>
            <w:vAlign w:val="center"/>
            <w:hideMark/>
          </w:tcPr>
          <w:p w14:paraId="342DACB3" w14:textId="77777777" w:rsidR="003E5BF5" w:rsidRPr="002D63A6" w:rsidRDefault="003E5BF5" w:rsidP="00DE1921">
            <w:pPr>
              <w:rPr>
                <w:rFonts w:ascii="Arial" w:hAnsi="Arial" w:cs="Arial"/>
                <w:sz w:val="23"/>
                <w:szCs w:val="23"/>
              </w:rPr>
            </w:pPr>
            <w:r w:rsidRPr="002D63A6">
              <w:rPr>
                <w:rFonts w:ascii="Arial" w:hAnsi="Arial" w:cs="Arial"/>
                <w:sz w:val="23"/>
                <w:szCs w:val="23"/>
              </w:rPr>
              <w:t>Net gain/(loss) on non-financial assets</w:t>
            </w:r>
          </w:p>
        </w:tc>
        <w:tc>
          <w:tcPr>
            <w:tcW w:w="1112" w:type="dxa"/>
            <w:shd w:val="clear" w:color="auto" w:fill="auto"/>
            <w:noWrap/>
            <w:hideMark/>
          </w:tcPr>
          <w:p w14:paraId="57471C21"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(145)</w:t>
            </w:r>
          </w:p>
        </w:tc>
        <w:tc>
          <w:tcPr>
            <w:tcW w:w="1111" w:type="dxa"/>
            <w:shd w:val="clear" w:color="auto" w:fill="auto"/>
            <w:noWrap/>
            <w:hideMark/>
          </w:tcPr>
          <w:p w14:paraId="5E0EF44E"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hideMark/>
          </w:tcPr>
          <w:p w14:paraId="7EBF37C3"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3,433 </w:t>
            </w:r>
          </w:p>
        </w:tc>
        <w:tc>
          <w:tcPr>
            <w:tcW w:w="1111" w:type="dxa"/>
            <w:shd w:val="clear" w:color="auto" w:fill="auto"/>
            <w:noWrap/>
            <w:hideMark/>
          </w:tcPr>
          <w:p w14:paraId="08CB3578"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286" w:type="dxa"/>
            <w:shd w:val="clear" w:color="auto" w:fill="auto"/>
            <w:noWrap/>
            <w:hideMark/>
          </w:tcPr>
          <w:p w14:paraId="76CEF95C"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(10,720)</w:t>
            </w:r>
          </w:p>
        </w:tc>
        <w:tc>
          <w:tcPr>
            <w:tcW w:w="936" w:type="dxa"/>
            <w:shd w:val="clear" w:color="auto" w:fill="auto"/>
            <w:noWrap/>
            <w:hideMark/>
          </w:tcPr>
          <w:p w14:paraId="7D41242C"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(1)</w:t>
            </w:r>
          </w:p>
        </w:tc>
      </w:tr>
      <w:tr w:rsidR="003E5BF5" w:rsidRPr="002D63A6" w14:paraId="66BD6D93" w14:textId="77777777" w:rsidTr="00FD4D19">
        <w:trPr>
          <w:trHeight w:val="340"/>
        </w:trPr>
        <w:tc>
          <w:tcPr>
            <w:tcW w:w="3256" w:type="dxa"/>
            <w:shd w:val="clear" w:color="auto" w:fill="auto"/>
            <w:noWrap/>
            <w:vAlign w:val="center"/>
            <w:hideMark/>
          </w:tcPr>
          <w:p w14:paraId="239894EA" w14:textId="77777777" w:rsidR="003E5BF5" w:rsidRPr="002D63A6" w:rsidRDefault="003E5BF5" w:rsidP="00DE1921">
            <w:pPr>
              <w:rPr>
                <w:rFonts w:ascii="Arial" w:hAnsi="Arial" w:cs="Arial"/>
                <w:sz w:val="23"/>
                <w:szCs w:val="23"/>
              </w:rPr>
            </w:pPr>
            <w:r w:rsidRPr="002D63A6">
              <w:rPr>
                <w:rFonts w:ascii="Arial" w:hAnsi="Arial" w:cs="Arial"/>
                <w:sz w:val="23"/>
                <w:szCs w:val="23"/>
              </w:rPr>
              <w:t>Net gain/(loss) on financial assets</w:t>
            </w:r>
          </w:p>
        </w:tc>
        <w:tc>
          <w:tcPr>
            <w:tcW w:w="1112" w:type="dxa"/>
            <w:shd w:val="clear" w:color="auto" w:fill="auto"/>
            <w:noWrap/>
            <w:vAlign w:val="center"/>
            <w:hideMark/>
          </w:tcPr>
          <w:p w14:paraId="2F9590CD"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vAlign w:val="center"/>
            <w:hideMark/>
          </w:tcPr>
          <w:p w14:paraId="17E0E05E"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6 </w:t>
            </w:r>
          </w:p>
        </w:tc>
        <w:tc>
          <w:tcPr>
            <w:tcW w:w="1111" w:type="dxa"/>
            <w:shd w:val="clear" w:color="auto" w:fill="auto"/>
            <w:noWrap/>
            <w:vAlign w:val="center"/>
            <w:hideMark/>
          </w:tcPr>
          <w:p w14:paraId="290C2C19"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1111" w:type="dxa"/>
            <w:shd w:val="clear" w:color="auto" w:fill="auto"/>
            <w:noWrap/>
            <w:vAlign w:val="center"/>
            <w:hideMark/>
          </w:tcPr>
          <w:p w14:paraId="53048C87"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 xml:space="preserve">14 </w:t>
            </w:r>
          </w:p>
        </w:tc>
        <w:tc>
          <w:tcPr>
            <w:tcW w:w="1286" w:type="dxa"/>
            <w:shd w:val="clear" w:color="auto" w:fill="auto"/>
            <w:noWrap/>
            <w:vAlign w:val="center"/>
            <w:hideMark/>
          </w:tcPr>
          <w:p w14:paraId="709001E3" w14:textId="77777777" w:rsidR="003E5BF5" w:rsidRPr="002D63A6" w:rsidRDefault="003E5BF5" w:rsidP="00DE1921">
            <w:pPr>
              <w:jc w:val="right"/>
              <w:rPr>
                <w:rFonts w:ascii="Arial" w:hAnsi="Arial" w:cs="Arial"/>
                <w:sz w:val="23"/>
                <w:szCs w:val="23"/>
              </w:rPr>
            </w:pPr>
            <w:r w:rsidRPr="002D63A6">
              <w:rPr>
                <w:rFonts w:ascii="Arial" w:hAnsi="Arial" w:cs="Arial"/>
                <w:b/>
                <w:sz w:val="23"/>
                <w:szCs w:val="23"/>
              </w:rPr>
              <w:t>-</w:t>
            </w:r>
          </w:p>
        </w:tc>
        <w:tc>
          <w:tcPr>
            <w:tcW w:w="936" w:type="dxa"/>
            <w:shd w:val="clear" w:color="auto" w:fill="auto"/>
            <w:noWrap/>
            <w:vAlign w:val="center"/>
            <w:hideMark/>
          </w:tcPr>
          <w:p w14:paraId="5FA5626A" w14:textId="77777777" w:rsidR="003E5BF5" w:rsidRPr="002D63A6" w:rsidRDefault="003E5BF5" w:rsidP="00DE1921">
            <w:pPr>
              <w:jc w:val="right"/>
              <w:rPr>
                <w:rFonts w:ascii="Arial" w:hAnsi="Arial" w:cs="Arial"/>
                <w:sz w:val="23"/>
                <w:szCs w:val="23"/>
              </w:rPr>
            </w:pPr>
            <w:r w:rsidRPr="002D63A6">
              <w:rPr>
                <w:rFonts w:ascii="Arial" w:hAnsi="Arial" w:cs="Arial"/>
                <w:sz w:val="23"/>
                <w:szCs w:val="23"/>
              </w:rPr>
              <w:t>(9,604)</w:t>
            </w:r>
          </w:p>
        </w:tc>
      </w:tr>
      <w:tr w:rsidR="003E5BF5" w:rsidRPr="002D63A6" w14:paraId="25ACFE56" w14:textId="77777777" w:rsidTr="00FD4D19">
        <w:trPr>
          <w:trHeight w:val="340"/>
        </w:trPr>
        <w:tc>
          <w:tcPr>
            <w:tcW w:w="3256" w:type="dxa"/>
            <w:shd w:val="clear" w:color="auto" w:fill="auto"/>
            <w:noWrap/>
            <w:vAlign w:val="center"/>
            <w:hideMark/>
          </w:tcPr>
          <w:p w14:paraId="0C217DEB" w14:textId="77777777" w:rsidR="003E5BF5" w:rsidRPr="002D63A6" w:rsidRDefault="003E5BF5" w:rsidP="00DE1921">
            <w:pPr>
              <w:rPr>
                <w:rFonts w:ascii="Arial" w:hAnsi="Arial" w:cs="Arial"/>
                <w:b/>
                <w:sz w:val="23"/>
                <w:szCs w:val="23"/>
              </w:rPr>
            </w:pPr>
            <w:r w:rsidRPr="002D63A6">
              <w:rPr>
                <w:rFonts w:ascii="Arial" w:hAnsi="Arial" w:cs="Arial"/>
                <w:b/>
                <w:sz w:val="23"/>
                <w:szCs w:val="23"/>
              </w:rPr>
              <w:t>Total administered other economic flows</w:t>
            </w:r>
          </w:p>
        </w:tc>
        <w:tc>
          <w:tcPr>
            <w:tcW w:w="1112" w:type="dxa"/>
            <w:shd w:val="clear" w:color="auto" w:fill="auto"/>
            <w:noWrap/>
            <w:hideMark/>
          </w:tcPr>
          <w:p w14:paraId="7BE847DB"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(145)</w:t>
            </w:r>
          </w:p>
        </w:tc>
        <w:tc>
          <w:tcPr>
            <w:tcW w:w="1111" w:type="dxa"/>
            <w:shd w:val="clear" w:color="auto" w:fill="auto"/>
            <w:noWrap/>
            <w:hideMark/>
          </w:tcPr>
          <w:p w14:paraId="19199233"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 xml:space="preserve">6 </w:t>
            </w:r>
          </w:p>
        </w:tc>
        <w:tc>
          <w:tcPr>
            <w:tcW w:w="1111" w:type="dxa"/>
            <w:shd w:val="clear" w:color="auto" w:fill="auto"/>
            <w:noWrap/>
            <w:hideMark/>
          </w:tcPr>
          <w:p w14:paraId="050A68E7"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 xml:space="preserve">3,433 </w:t>
            </w:r>
          </w:p>
        </w:tc>
        <w:tc>
          <w:tcPr>
            <w:tcW w:w="1111" w:type="dxa"/>
            <w:shd w:val="clear" w:color="auto" w:fill="auto"/>
            <w:noWrap/>
            <w:hideMark/>
          </w:tcPr>
          <w:p w14:paraId="7B670622"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 xml:space="preserve">14 </w:t>
            </w:r>
          </w:p>
        </w:tc>
        <w:tc>
          <w:tcPr>
            <w:tcW w:w="1286" w:type="dxa"/>
            <w:shd w:val="clear" w:color="auto" w:fill="auto"/>
            <w:noWrap/>
            <w:hideMark/>
          </w:tcPr>
          <w:p w14:paraId="3A634A9A"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(10,720)</w:t>
            </w:r>
          </w:p>
        </w:tc>
        <w:tc>
          <w:tcPr>
            <w:tcW w:w="936" w:type="dxa"/>
            <w:shd w:val="clear" w:color="auto" w:fill="auto"/>
            <w:noWrap/>
            <w:hideMark/>
          </w:tcPr>
          <w:p w14:paraId="0E31C05A"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(9,605)</w:t>
            </w:r>
          </w:p>
        </w:tc>
      </w:tr>
      <w:tr w:rsidR="003E5BF5" w:rsidRPr="002D63A6" w14:paraId="6B211DB2" w14:textId="77777777" w:rsidTr="00FD4D19">
        <w:trPr>
          <w:trHeight w:val="340"/>
        </w:trPr>
        <w:tc>
          <w:tcPr>
            <w:tcW w:w="3256" w:type="dxa"/>
            <w:shd w:val="clear" w:color="auto" w:fill="auto"/>
            <w:noWrap/>
            <w:vAlign w:val="center"/>
            <w:hideMark/>
          </w:tcPr>
          <w:p w14:paraId="78A5E136" w14:textId="77777777" w:rsidR="003E5BF5" w:rsidRPr="002D63A6" w:rsidRDefault="003E5BF5" w:rsidP="00DE1921">
            <w:pPr>
              <w:rPr>
                <w:rFonts w:ascii="Arial" w:hAnsi="Arial" w:cs="Arial"/>
                <w:b/>
                <w:sz w:val="23"/>
                <w:szCs w:val="23"/>
              </w:rPr>
            </w:pPr>
            <w:r w:rsidRPr="002D63A6">
              <w:rPr>
                <w:rFonts w:ascii="Arial" w:hAnsi="Arial" w:cs="Arial"/>
                <w:b/>
                <w:sz w:val="23"/>
                <w:szCs w:val="23"/>
              </w:rPr>
              <w:t>Total administered comprehensive result</w:t>
            </w:r>
          </w:p>
        </w:tc>
        <w:tc>
          <w:tcPr>
            <w:tcW w:w="1112" w:type="dxa"/>
            <w:shd w:val="clear" w:color="auto" w:fill="auto"/>
            <w:noWrap/>
            <w:hideMark/>
          </w:tcPr>
          <w:p w14:paraId="0EBDC8C2"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 xml:space="preserve">25 </w:t>
            </w:r>
          </w:p>
        </w:tc>
        <w:tc>
          <w:tcPr>
            <w:tcW w:w="1111" w:type="dxa"/>
            <w:shd w:val="clear" w:color="auto" w:fill="auto"/>
            <w:noWrap/>
            <w:hideMark/>
          </w:tcPr>
          <w:p w14:paraId="21CB82EF"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(1,220)</w:t>
            </w:r>
          </w:p>
        </w:tc>
        <w:tc>
          <w:tcPr>
            <w:tcW w:w="1111" w:type="dxa"/>
            <w:shd w:val="clear" w:color="auto" w:fill="auto"/>
            <w:noWrap/>
            <w:hideMark/>
          </w:tcPr>
          <w:p w14:paraId="176AD71B"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 xml:space="preserve">5,350 </w:t>
            </w:r>
          </w:p>
        </w:tc>
        <w:tc>
          <w:tcPr>
            <w:tcW w:w="1111" w:type="dxa"/>
            <w:shd w:val="clear" w:color="auto" w:fill="auto"/>
            <w:noWrap/>
            <w:hideMark/>
          </w:tcPr>
          <w:p w14:paraId="78CAD6D6"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(2,734)</w:t>
            </w:r>
          </w:p>
        </w:tc>
        <w:tc>
          <w:tcPr>
            <w:tcW w:w="1286" w:type="dxa"/>
            <w:shd w:val="clear" w:color="auto" w:fill="auto"/>
            <w:noWrap/>
            <w:hideMark/>
          </w:tcPr>
          <w:p w14:paraId="18A0BA25"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(3,237)</w:t>
            </w:r>
          </w:p>
        </w:tc>
        <w:tc>
          <w:tcPr>
            <w:tcW w:w="936" w:type="dxa"/>
            <w:shd w:val="clear" w:color="auto" w:fill="auto"/>
            <w:noWrap/>
            <w:hideMark/>
          </w:tcPr>
          <w:p w14:paraId="6911CE38" w14:textId="77777777" w:rsidR="003E5BF5" w:rsidRPr="002D63A6" w:rsidRDefault="003E5BF5" w:rsidP="00DE1921">
            <w:pPr>
              <w:jc w:val="right"/>
              <w:rPr>
                <w:rFonts w:ascii="Arial" w:hAnsi="Arial" w:cs="Arial"/>
                <w:b/>
                <w:sz w:val="23"/>
                <w:szCs w:val="23"/>
              </w:rPr>
            </w:pPr>
            <w:r w:rsidRPr="002D63A6">
              <w:rPr>
                <w:rFonts w:ascii="Arial" w:hAnsi="Arial" w:cs="Arial"/>
                <w:b/>
                <w:sz w:val="23"/>
                <w:szCs w:val="23"/>
              </w:rPr>
              <w:t>(5,069)</w:t>
            </w:r>
          </w:p>
        </w:tc>
      </w:tr>
    </w:tbl>
    <w:p w14:paraId="707D3052" w14:textId="77777777" w:rsidR="003E5BF5" w:rsidRDefault="003E5BF5" w:rsidP="00DE1921">
      <w:pPr>
        <w:rPr>
          <w:highlight w:val="cyan"/>
        </w:rPr>
      </w:pPr>
    </w:p>
    <w:p w14:paraId="0DB3A0F8" w14:textId="77777777" w:rsidR="003E5BF5" w:rsidRPr="00BE5BE9" w:rsidRDefault="003E5BF5" w:rsidP="00DE1921">
      <w:pPr>
        <w:rPr>
          <w:highlight w:val="cyan"/>
        </w:rPr>
      </w:pPr>
      <w:r w:rsidRPr="00BE5BE9">
        <w:rPr>
          <w:highlight w:val="cyan"/>
        </w:rPr>
        <w:br w:type="page"/>
      </w:r>
    </w:p>
    <w:tbl>
      <w:tblPr>
        <w:tblStyle w:val="TableGrid"/>
        <w:tblW w:w="9923" w:type="dxa"/>
        <w:tblLayout w:type="fixed"/>
        <w:tblCellMar>
          <w:left w:w="28" w:type="dxa"/>
          <w:right w:w="28" w:type="dxa"/>
        </w:tblCellMar>
        <w:tblLook w:val="04A0" w:firstRow="1" w:lastRow="0" w:firstColumn="1" w:lastColumn="0" w:noHBand="0" w:noVBand="1"/>
      </w:tblPr>
      <w:tblGrid>
        <w:gridCol w:w="3566"/>
        <w:gridCol w:w="1059"/>
        <w:gridCol w:w="1060"/>
        <w:gridCol w:w="1059"/>
        <w:gridCol w:w="1060"/>
        <w:gridCol w:w="1127"/>
        <w:gridCol w:w="992"/>
      </w:tblGrid>
      <w:tr w:rsidR="003E5BF5" w:rsidRPr="0029213D" w14:paraId="590E13BA" w14:textId="77777777" w:rsidTr="008E16CB">
        <w:trPr>
          <w:trHeight w:val="340"/>
        </w:trPr>
        <w:tc>
          <w:tcPr>
            <w:tcW w:w="3566" w:type="dxa"/>
            <w:shd w:val="clear" w:color="auto" w:fill="auto"/>
            <w:noWrap/>
            <w:hideMark/>
          </w:tcPr>
          <w:p w14:paraId="3F330237" w14:textId="77777777" w:rsidR="003E5BF5" w:rsidRPr="0029213D" w:rsidRDefault="003E5BF5" w:rsidP="00DE1921">
            <w:pPr>
              <w:rPr>
                <w:rFonts w:ascii="Arial" w:hAnsi="Arial" w:cs="Arial"/>
                <w:sz w:val="24"/>
                <w:szCs w:val="24"/>
              </w:rPr>
            </w:pPr>
            <w:bookmarkStart w:id="249" w:name="RANGE!O3:U32"/>
            <w:bookmarkStart w:id="250" w:name="RANGE!O3:U31"/>
            <w:bookmarkEnd w:id="249"/>
            <w:bookmarkEnd w:id="250"/>
          </w:p>
        </w:tc>
        <w:tc>
          <w:tcPr>
            <w:tcW w:w="6357" w:type="dxa"/>
            <w:gridSpan w:val="6"/>
            <w:shd w:val="clear" w:color="auto" w:fill="auto"/>
            <w:vAlign w:val="center"/>
            <w:hideMark/>
          </w:tcPr>
          <w:p w14:paraId="22E8D3B2"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 thousand)</w:t>
            </w:r>
          </w:p>
        </w:tc>
      </w:tr>
      <w:tr w:rsidR="003E5BF5" w:rsidRPr="0029213D" w14:paraId="1E2B009F" w14:textId="77777777" w:rsidTr="008E16CB">
        <w:trPr>
          <w:trHeight w:val="340"/>
        </w:trPr>
        <w:tc>
          <w:tcPr>
            <w:tcW w:w="3566" w:type="dxa"/>
            <w:shd w:val="clear" w:color="auto" w:fill="auto"/>
            <w:noWrap/>
            <w:vAlign w:val="center"/>
            <w:hideMark/>
          </w:tcPr>
          <w:p w14:paraId="0C17AC07" w14:textId="77777777" w:rsidR="003E5BF5" w:rsidRPr="0029213D" w:rsidRDefault="003E5BF5" w:rsidP="00DE1921">
            <w:pPr>
              <w:rPr>
                <w:rFonts w:ascii="Arial" w:hAnsi="Arial" w:cs="Arial"/>
                <w:sz w:val="24"/>
                <w:szCs w:val="24"/>
              </w:rPr>
            </w:pPr>
          </w:p>
        </w:tc>
        <w:tc>
          <w:tcPr>
            <w:tcW w:w="2119" w:type="dxa"/>
            <w:gridSpan w:val="2"/>
            <w:shd w:val="clear" w:color="auto" w:fill="auto"/>
            <w:vAlign w:val="bottom"/>
            <w:hideMark/>
          </w:tcPr>
          <w:p w14:paraId="032F39C6"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Train services</w:t>
            </w:r>
          </w:p>
        </w:tc>
        <w:tc>
          <w:tcPr>
            <w:tcW w:w="2119" w:type="dxa"/>
            <w:gridSpan w:val="2"/>
            <w:shd w:val="clear" w:color="auto" w:fill="auto"/>
            <w:vAlign w:val="bottom"/>
            <w:hideMark/>
          </w:tcPr>
          <w:p w14:paraId="45C8215E"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Tram services</w:t>
            </w:r>
          </w:p>
        </w:tc>
        <w:tc>
          <w:tcPr>
            <w:tcW w:w="2119" w:type="dxa"/>
            <w:gridSpan w:val="2"/>
            <w:shd w:val="clear" w:color="auto" w:fill="auto"/>
            <w:vAlign w:val="bottom"/>
            <w:hideMark/>
          </w:tcPr>
          <w:p w14:paraId="29B4F515"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Transport Safety and Security</w:t>
            </w:r>
          </w:p>
        </w:tc>
      </w:tr>
      <w:tr w:rsidR="003E5BF5" w:rsidRPr="0029213D" w14:paraId="5A535E65" w14:textId="77777777" w:rsidTr="008E16CB">
        <w:trPr>
          <w:trHeight w:val="340"/>
        </w:trPr>
        <w:tc>
          <w:tcPr>
            <w:tcW w:w="3566" w:type="dxa"/>
            <w:shd w:val="clear" w:color="auto" w:fill="auto"/>
            <w:vAlign w:val="center"/>
            <w:hideMark/>
          </w:tcPr>
          <w:p w14:paraId="72C38D01" w14:textId="77777777" w:rsidR="003E5BF5" w:rsidRPr="0029213D" w:rsidRDefault="003E5BF5" w:rsidP="00DE1921">
            <w:pPr>
              <w:rPr>
                <w:rFonts w:ascii="Arial" w:hAnsi="Arial" w:cs="Arial"/>
                <w:b/>
                <w:sz w:val="24"/>
                <w:szCs w:val="24"/>
              </w:rPr>
            </w:pPr>
          </w:p>
        </w:tc>
        <w:tc>
          <w:tcPr>
            <w:tcW w:w="1059" w:type="dxa"/>
            <w:shd w:val="clear" w:color="auto" w:fill="auto"/>
            <w:vAlign w:val="center"/>
            <w:hideMark/>
          </w:tcPr>
          <w:p w14:paraId="530556E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1060" w:type="dxa"/>
            <w:shd w:val="clear" w:color="auto" w:fill="auto"/>
            <w:vAlign w:val="center"/>
            <w:hideMark/>
          </w:tcPr>
          <w:p w14:paraId="0EE29E6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1059" w:type="dxa"/>
            <w:shd w:val="clear" w:color="auto" w:fill="auto"/>
            <w:vAlign w:val="center"/>
            <w:hideMark/>
          </w:tcPr>
          <w:p w14:paraId="26E48747"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1060" w:type="dxa"/>
            <w:shd w:val="clear" w:color="auto" w:fill="auto"/>
            <w:vAlign w:val="center"/>
            <w:hideMark/>
          </w:tcPr>
          <w:p w14:paraId="282673C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1127" w:type="dxa"/>
            <w:shd w:val="clear" w:color="auto" w:fill="auto"/>
            <w:vAlign w:val="center"/>
            <w:hideMark/>
          </w:tcPr>
          <w:p w14:paraId="6635647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992" w:type="dxa"/>
            <w:shd w:val="clear" w:color="auto" w:fill="auto"/>
            <w:vAlign w:val="center"/>
            <w:hideMark/>
          </w:tcPr>
          <w:p w14:paraId="295C7077"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r>
      <w:tr w:rsidR="003E5BF5" w:rsidRPr="0029213D" w14:paraId="74AEAA90" w14:textId="77777777" w:rsidTr="008E16CB">
        <w:trPr>
          <w:trHeight w:val="340"/>
        </w:trPr>
        <w:tc>
          <w:tcPr>
            <w:tcW w:w="3566" w:type="dxa"/>
            <w:shd w:val="clear" w:color="auto" w:fill="auto"/>
            <w:noWrap/>
            <w:vAlign w:val="center"/>
            <w:hideMark/>
          </w:tcPr>
          <w:p w14:paraId="4B592860" w14:textId="77777777" w:rsidR="003E5BF5" w:rsidRPr="0029213D" w:rsidRDefault="003E5BF5" w:rsidP="00604703">
            <w:pPr>
              <w:pStyle w:val="TableTextGreen"/>
            </w:pPr>
            <w:r w:rsidRPr="0029213D">
              <w:t>Administered income from transactions</w:t>
            </w:r>
          </w:p>
        </w:tc>
        <w:tc>
          <w:tcPr>
            <w:tcW w:w="1059" w:type="dxa"/>
            <w:shd w:val="clear" w:color="auto" w:fill="auto"/>
            <w:noWrap/>
            <w:vAlign w:val="center"/>
            <w:hideMark/>
          </w:tcPr>
          <w:p w14:paraId="366EC2F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060" w:type="dxa"/>
            <w:shd w:val="clear" w:color="auto" w:fill="auto"/>
            <w:noWrap/>
            <w:vAlign w:val="center"/>
            <w:hideMark/>
          </w:tcPr>
          <w:p w14:paraId="523B552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059" w:type="dxa"/>
            <w:shd w:val="clear" w:color="auto" w:fill="auto"/>
            <w:noWrap/>
            <w:vAlign w:val="center"/>
            <w:hideMark/>
          </w:tcPr>
          <w:p w14:paraId="493D9812"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060" w:type="dxa"/>
            <w:shd w:val="clear" w:color="auto" w:fill="auto"/>
            <w:noWrap/>
            <w:vAlign w:val="center"/>
            <w:hideMark/>
          </w:tcPr>
          <w:p w14:paraId="5AFFD682"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127" w:type="dxa"/>
            <w:shd w:val="clear" w:color="auto" w:fill="auto"/>
            <w:noWrap/>
            <w:vAlign w:val="center"/>
            <w:hideMark/>
          </w:tcPr>
          <w:p w14:paraId="23D52F9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992" w:type="dxa"/>
            <w:shd w:val="clear" w:color="auto" w:fill="auto"/>
            <w:noWrap/>
            <w:vAlign w:val="center"/>
            <w:hideMark/>
          </w:tcPr>
          <w:p w14:paraId="4490739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r>
      <w:tr w:rsidR="003E5BF5" w:rsidRPr="0029213D" w14:paraId="6AC37173" w14:textId="77777777" w:rsidTr="008E16CB">
        <w:trPr>
          <w:trHeight w:val="340"/>
        </w:trPr>
        <w:tc>
          <w:tcPr>
            <w:tcW w:w="3566" w:type="dxa"/>
            <w:shd w:val="clear" w:color="auto" w:fill="auto"/>
            <w:noWrap/>
            <w:vAlign w:val="center"/>
            <w:hideMark/>
          </w:tcPr>
          <w:p w14:paraId="6BD2402F" w14:textId="77777777" w:rsidR="003E5BF5" w:rsidRPr="0029213D" w:rsidRDefault="003E5BF5" w:rsidP="00DE1921">
            <w:pPr>
              <w:rPr>
                <w:rFonts w:ascii="Arial" w:hAnsi="Arial" w:cs="Arial"/>
                <w:sz w:val="24"/>
                <w:szCs w:val="24"/>
              </w:rPr>
            </w:pPr>
            <w:r w:rsidRPr="0029213D">
              <w:rPr>
                <w:rFonts w:ascii="Arial" w:hAnsi="Arial" w:cs="Arial"/>
                <w:sz w:val="24"/>
                <w:szCs w:val="24"/>
              </w:rPr>
              <w:t xml:space="preserve">Sale of goods and services </w:t>
            </w:r>
          </w:p>
        </w:tc>
        <w:tc>
          <w:tcPr>
            <w:tcW w:w="1059" w:type="dxa"/>
            <w:shd w:val="clear" w:color="auto" w:fill="auto"/>
            <w:noWrap/>
            <w:vAlign w:val="center"/>
            <w:hideMark/>
          </w:tcPr>
          <w:p w14:paraId="7BF53E3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8,765 </w:t>
            </w:r>
          </w:p>
        </w:tc>
        <w:tc>
          <w:tcPr>
            <w:tcW w:w="1060" w:type="dxa"/>
            <w:shd w:val="clear" w:color="auto" w:fill="auto"/>
            <w:noWrap/>
            <w:vAlign w:val="center"/>
            <w:hideMark/>
          </w:tcPr>
          <w:p w14:paraId="0A618B0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3,611 </w:t>
            </w:r>
          </w:p>
        </w:tc>
        <w:tc>
          <w:tcPr>
            <w:tcW w:w="1059" w:type="dxa"/>
            <w:shd w:val="clear" w:color="auto" w:fill="auto"/>
            <w:noWrap/>
            <w:vAlign w:val="center"/>
            <w:hideMark/>
          </w:tcPr>
          <w:p w14:paraId="5B1FF99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4,442 </w:t>
            </w:r>
          </w:p>
        </w:tc>
        <w:tc>
          <w:tcPr>
            <w:tcW w:w="1060" w:type="dxa"/>
            <w:shd w:val="clear" w:color="auto" w:fill="auto"/>
            <w:noWrap/>
            <w:vAlign w:val="center"/>
            <w:hideMark/>
          </w:tcPr>
          <w:p w14:paraId="74B6F27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320 </w:t>
            </w:r>
          </w:p>
        </w:tc>
        <w:tc>
          <w:tcPr>
            <w:tcW w:w="1127" w:type="dxa"/>
            <w:shd w:val="clear" w:color="auto" w:fill="auto"/>
            <w:noWrap/>
            <w:vAlign w:val="center"/>
            <w:hideMark/>
          </w:tcPr>
          <w:p w14:paraId="2980AC8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1,332 </w:t>
            </w:r>
          </w:p>
        </w:tc>
        <w:tc>
          <w:tcPr>
            <w:tcW w:w="992" w:type="dxa"/>
            <w:shd w:val="clear" w:color="auto" w:fill="auto"/>
            <w:noWrap/>
            <w:vAlign w:val="center"/>
            <w:hideMark/>
          </w:tcPr>
          <w:p w14:paraId="486877A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167 </w:t>
            </w:r>
          </w:p>
        </w:tc>
      </w:tr>
      <w:tr w:rsidR="003E5BF5" w:rsidRPr="0029213D" w14:paraId="28605B5E" w14:textId="77777777" w:rsidTr="008E16CB">
        <w:trPr>
          <w:trHeight w:val="340"/>
        </w:trPr>
        <w:tc>
          <w:tcPr>
            <w:tcW w:w="3566" w:type="dxa"/>
            <w:shd w:val="clear" w:color="auto" w:fill="auto"/>
            <w:noWrap/>
            <w:vAlign w:val="center"/>
            <w:hideMark/>
          </w:tcPr>
          <w:p w14:paraId="66E4278F" w14:textId="77777777" w:rsidR="003E5BF5" w:rsidRPr="0029213D" w:rsidRDefault="003E5BF5" w:rsidP="00DE1921">
            <w:pPr>
              <w:rPr>
                <w:rFonts w:ascii="Arial" w:hAnsi="Arial" w:cs="Arial"/>
                <w:sz w:val="24"/>
                <w:szCs w:val="24"/>
              </w:rPr>
            </w:pPr>
            <w:r w:rsidRPr="0029213D">
              <w:rPr>
                <w:rFonts w:ascii="Arial" w:hAnsi="Arial" w:cs="Arial"/>
                <w:sz w:val="24"/>
                <w:szCs w:val="24"/>
              </w:rPr>
              <w:t>Appropriations - payments made on behalf of the State</w:t>
            </w:r>
          </w:p>
        </w:tc>
        <w:tc>
          <w:tcPr>
            <w:tcW w:w="1059" w:type="dxa"/>
            <w:shd w:val="clear" w:color="auto" w:fill="auto"/>
            <w:noWrap/>
            <w:hideMark/>
          </w:tcPr>
          <w:p w14:paraId="59CE908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hideMark/>
          </w:tcPr>
          <w:p w14:paraId="648BADB6"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59" w:type="dxa"/>
            <w:shd w:val="clear" w:color="auto" w:fill="auto"/>
            <w:noWrap/>
            <w:hideMark/>
          </w:tcPr>
          <w:p w14:paraId="5D940611"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hideMark/>
          </w:tcPr>
          <w:p w14:paraId="12B9AA0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27" w:type="dxa"/>
            <w:shd w:val="clear" w:color="auto" w:fill="auto"/>
            <w:noWrap/>
            <w:hideMark/>
          </w:tcPr>
          <w:p w14:paraId="77BD491A"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92" w:type="dxa"/>
            <w:shd w:val="clear" w:color="auto" w:fill="auto"/>
            <w:noWrap/>
            <w:hideMark/>
          </w:tcPr>
          <w:p w14:paraId="33AA53D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22A5ECF4" w14:textId="77777777" w:rsidTr="008E16CB">
        <w:trPr>
          <w:trHeight w:val="340"/>
        </w:trPr>
        <w:tc>
          <w:tcPr>
            <w:tcW w:w="3566" w:type="dxa"/>
            <w:shd w:val="clear" w:color="auto" w:fill="auto"/>
            <w:noWrap/>
            <w:vAlign w:val="center"/>
            <w:hideMark/>
          </w:tcPr>
          <w:p w14:paraId="139DF852" w14:textId="77777777" w:rsidR="003E5BF5" w:rsidRPr="0029213D" w:rsidRDefault="003E5BF5" w:rsidP="00DE1921">
            <w:pPr>
              <w:rPr>
                <w:rFonts w:ascii="Arial" w:hAnsi="Arial" w:cs="Arial"/>
                <w:sz w:val="24"/>
                <w:szCs w:val="24"/>
              </w:rPr>
            </w:pPr>
            <w:r w:rsidRPr="0029213D">
              <w:rPr>
                <w:rFonts w:ascii="Arial" w:hAnsi="Arial" w:cs="Arial"/>
                <w:sz w:val="24"/>
                <w:szCs w:val="24"/>
              </w:rPr>
              <w:t>Other income</w:t>
            </w:r>
          </w:p>
        </w:tc>
        <w:tc>
          <w:tcPr>
            <w:tcW w:w="1059" w:type="dxa"/>
            <w:shd w:val="clear" w:color="auto" w:fill="auto"/>
            <w:noWrap/>
            <w:vAlign w:val="center"/>
            <w:hideMark/>
          </w:tcPr>
          <w:p w14:paraId="2E4C2D1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277 </w:t>
            </w:r>
          </w:p>
        </w:tc>
        <w:tc>
          <w:tcPr>
            <w:tcW w:w="1060" w:type="dxa"/>
            <w:shd w:val="clear" w:color="auto" w:fill="auto"/>
            <w:noWrap/>
            <w:vAlign w:val="center"/>
            <w:hideMark/>
          </w:tcPr>
          <w:p w14:paraId="3B6ABA4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2,494 </w:t>
            </w:r>
          </w:p>
        </w:tc>
        <w:tc>
          <w:tcPr>
            <w:tcW w:w="1059" w:type="dxa"/>
            <w:shd w:val="clear" w:color="auto" w:fill="auto"/>
            <w:noWrap/>
            <w:vAlign w:val="center"/>
            <w:hideMark/>
          </w:tcPr>
          <w:p w14:paraId="0877FC8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60 </w:t>
            </w:r>
          </w:p>
        </w:tc>
        <w:tc>
          <w:tcPr>
            <w:tcW w:w="1060" w:type="dxa"/>
            <w:shd w:val="clear" w:color="auto" w:fill="auto"/>
            <w:noWrap/>
            <w:vAlign w:val="center"/>
            <w:hideMark/>
          </w:tcPr>
          <w:p w14:paraId="7E1E666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547 </w:t>
            </w:r>
          </w:p>
        </w:tc>
        <w:tc>
          <w:tcPr>
            <w:tcW w:w="1127" w:type="dxa"/>
            <w:shd w:val="clear" w:color="auto" w:fill="auto"/>
            <w:noWrap/>
            <w:vAlign w:val="center"/>
            <w:hideMark/>
          </w:tcPr>
          <w:p w14:paraId="6F4B8E8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43 </w:t>
            </w:r>
          </w:p>
        </w:tc>
        <w:tc>
          <w:tcPr>
            <w:tcW w:w="992" w:type="dxa"/>
            <w:shd w:val="clear" w:color="auto" w:fill="auto"/>
            <w:noWrap/>
            <w:vAlign w:val="center"/>
            <w:hideMark/>
          </w:tcPr>
          <w:p w14:paraId="40A8B14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56 </w:t>
            </w:r>
          </w:p>
        </w:tc>
      </w:tr>
      <w:tr w:rsidR="003E5BF5" w:rsidRPr="0029213D" w14:paraId="41CD03B6" w14:textId="77777777" w:rsidTr="008E16CB">
        <w:trPr>
          <w:trHeight w:val="340"/>
        </w:trPr>
        <w:tc>
          <w:tcPr>
            <w:tcW w:w="3566" w:type="dxa"/>
            <w:shd w:val="clear" w:color="auto" w:fill="auto"/>
            <w:noWrap/>
            <w:vAlign w:val="center"/>
            <w:hideMark/>
          </w:tcPr>
          <w:p w14:paraId="527FFF4B" w14:textId="77777777" w:rsidR="003E5BF5" w:rsidRPr="0029213D" w:rsidRDefault="003E5BF5" w:rsidP="00DE1921">
            <w:pPr>
              <w:rPr>
                <w:rFonts w:ascii="Arial" w:hAnsi="Arial" w:cs="Arial"/>
                <w:sz w:val="24"/>
                <w:szCs w:val="24"/>
              </w:rPr>
            </w:pPr>
            <w:r w:rsidRPr="0029213D">
              <w:rPr>
                <w:rFonts w:ascii="Arial" w:hAnsi="Arial" w:cs="Arial"/>
                <w:sz w:val="24"/>
                <w:szCs w:val="24"/>
              </w:rPr>
              <w:t>Statutory fines</w:t>
            </w:r>
          </w:p>
        </w:tc>
        <w:tc>
          <w:tcPr>
            <w:tcW w:w="1059" w:type="dxa"/>
            <w:shd w:val="clear" w:color="auto" w:fill="auto"/>
            <w:noWrap/>
            <w:vAlign w:val="center"/>
            <w:hideMark/>
          </w:tcPr>
          <w:p w14:paraId="1371B1F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15,186 </w:t>
            </w:r>
          </w:p>
        </w:tc>
        <w:tc>
          <w:tcPr>
            <w:tcW w:w="1060" w:type="dxa"/>
            <w:shd w:val="clear" w:color="auto" w:fill="auto"/>
            <w:noWrap/>
            <w:vAlign w:val="center"/>
            <w:hideMark/>
          </w:tcPr>
          <w:p w14:paraId="0BC63DA2"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19,057 </w:t>
            </w:r>
          </w:p>
        </w:tc>
        <w:tc>
          <w:tcPr>
            <w:tcW w:w="1059" w:type="dxa"/>
            <w:shd w:val="clear" w:color="auto" w:fill="auto"/>
            <w:noWrap/>
            <w:vAlign w:val="center"/>
            <w:hideMark/>
          </w:tcPr>
          <w:p w14:paraId="4F3739F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1,453 </w:t>
            </w:r>
          </w:p>
        </w:tc>
        <w:tc>
          <w:tcPr>
            <w:tcW w:w="1060" w:type="dxa"/>
            <w:shd w:val="clear" w:color="auto" w:fill="auto"/>
            <w:noWrap/>
            <w:vAlign w:val="center"/>
            <w:hideMark/>
          </w:tcPr>
          <w:p w14:paraId="14B73822"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1,495 </w:t>
            </w:r>
          </w:p>
        </w:tc>
        <w:tc>
          <w:tcPr>
            <w:tcW w:w="1127" w:type="dxa"/>
            <w:shd w:val="clear" w:color="auto" w:fill="auto"/>
            <w:noWrap/>
            <w:vAlign w:val="center"/>
            <w:hideMark/>
          </w:tcPr>
          <w:p w14:paraId="53F138C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92" w:type="dxa"/>
            <w:shd w:val="clear" w:color="auto" w:fill="auto"/>
            <w:noWrap/>
            <w:vAlign w:val="center"/>
            <w:hideMark/>
          </w:tcPr>
          <w:p w14:paraId="681D297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18433F4F" w14:textId="77777777" w:rsidTr="008E16CB">
        <w:trPr>
          <w:trHeight w:val="340"/>
        </w:trPr>
        <w:tc>
          <w:tcPr>
            <w:tcW w:w="3566" w:type="dxa"/>
            <w:shd w:val="clear" w:color="auto" w:fill="auto"/>
            <w:noWrap/>
            <w:vAlign w:val="center"/>
            <w:hideMark/>
          </w:tcPr>
          <w:p w14:paraId="71144783" w14:textId="77777777" w:rsidR="003E5BF5" w:rsidRPr="0029213D" w:rsidRDefault="003E5BF5" w:rsidP="00DE1921">
            <w:pPr>
              <w:rPr>
                <w:rFonts w:ascii="Arial" w:hAnsi="Arial" w:cs="Arial"/>
                <w:sz w:val="24"/>
                <w:szCs w:val="24"/>
              </w:rPr>
            </w:pPr>
            <w:r w:rsidRPr="0029213D">
              <w:rPr>
                <w:rFonts w:ascii="Arial" w:hAnsi="Arial" w:cs="Arial"/>
                <w:sz w:val="24"/>
                <w:szCs w:val="24"/>
              </w:rPr>
              <w:t>Regulatory fees, fines, leases and licences</w:t>
            </w:r>
          </w:p>
        </w:tc>
        <w:tc>
          <w:tcPr>
            <w:tcW w:w="1059" w:type="dxa"/>
            <w:shd w:val="clear" w:color="auto" w:fill="auto"/>
            <w:noWrap/>
            <w:hideMark/>
          </w:tcPr>
          <w:p w14:paraId="32086A1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12 </w:t>
            </w:r>
          </w:p>
        </w:tc>
        <w:tc>
          <w:tcPr>
            <w:tcW w:w="1060" w:type="dxa"/>
            <w:shd w:val="clear" w:color="auto" w:fill="auto"/>
            <w:noWrap/>
            <w:hideMark/>
          </w:tcPr>
          <w:p w14:paraId="07DAFE2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156 </w:t>
            </w:r>
          </w:p>
        </w:tc>
        <w:tc>
          <w:tcPr>
            <w:tcW w:w="1059" w:type="dxa"/>
            <w:shd w:val="clear" w:color="auto" w:fill="auto"/>
            <w:noWrap/>
            <w:hideMark/>
          </w:tcPr>
          <w:p w14:paraId="7754D31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 </w:t>
            </w:r>
          </w:p>
        </w:tc>
        <w:tc>
          <w:tcPr>
            <w:tcW w:w="1060" w:type="dxa"/>
            <w:shd w:val="clear" w:color="auto" w:fill="auto"/>
            <w:noWrap/>
            <w:hideMark/>
          </w:tcPr>
          <w:p w14:paraId="0C32162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34 </w:t>
            </w:r>
          </w:p>
        </w:tc>
        <w:tc>
          <w:tcPr>
            <w:tcW w:w="1127" w:type="dxa"/>
            <w:shd w:val="clear" w:color="auto" w:fill="auto"/>
            <w:noWrap/>
            <w:hideMark/>
          </w:tcPr>
          <w:p w14:paraId="7888D46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197,887 </w:t>
            </w:r>
          </w:p>
        </w:tc>
        <w:tc>
          <w:tcPr>
            <w:tcW w:w="992" w:type="dxa"/>
            <w:shd w:val="clear" w:color="auto" w:fill="auto"/>
            <w:noWrap/>
            <w:hideMark/>
          </w:tcPr>
          <w:p w14:paraId="344A0F8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692 </w:t>
            </w:r>
          </w:p>
        </w:tc>
      </w:tr>
      <w:tr w:rsidR="003E5BF5" w:rsidRPr="0029213D" w14:paraId="66705AA4" w14:textId="77777777" w:rsidTr="008E16CB">
        <w:trPr>
          <w:trHeight w:val="340"/>
        </w:trPr>
        <w:tc>
          <w:tcPr>
            <w:tcW w:w="3566" w:type="dxa"/>
            <w:shd w:val="clear" w:color="auto" w:fill="auto"/>
            <w:noWrap/>
            <w:vAlign w:val="center"/>
            <w:hideMark/>
          </w:tcPr>
          <w:p w14:paraId="66E07E2E" w14:textId="77777777" w:rsidR="003E5BF5" w:rsidRPr="0029213D" w:rsidRDefault="003E5BF5" w:rsidP="00DE1921">
            <w:pPr>
              <w:rPr>
                <w:rFonts w:ascii="Arial" w:hAnsi="Arial" w:cs="Arial"/>
                <w:sz w:val="24"/>
                <w:szCs w:val="24"/>
              </w:rPr>
            </w:pPr>
            <w:r w:rsidRPr="0029213D">
              <w:rPr>
                <w:rFonts w:ascii="Arial" w:hAnsi="Arial" w:cs="Arial"/>
                <w:sz w:val="24"/>
                <w:szCs w:val="24"/>
              </w:rPr>
              <w:t>Interest income</w:t>
            </w:r>
          </w:p>
        </w:tc>
        <w:tc>
          <w:tcPr>
            <w:tcW w:w="1059" w:type="dxa"/>
            <w:shd w:val="clear" w:color="auto" w:fill="auto"/>
            <w:noWrap/>
            <w:vAlign w:val="center"/>
            <w:hideMark/>
          </w:tcPr>
          <w:p w14:paraId="4D55ABA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6AA7636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59" w:type="dxa"/>
            <w:shd w:val="clear" w:color="auto" w:fill="auto"/>
            <w:noWrap/>
            <w:vAlign w:val="center"/>
            <w:hideMark/>
          </w:tcPr>
          <w:p w14:paraId="329CA38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3E398433"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27" w:type="dxa"/>
            <w:shd w:val="clear" w:color="auto" w:fill="auto"/>
            <w:noWrap/>
            <w:vAlign w:val="center"/>
            <w:hideMark/>
          </w:tcPr>
          <w:p w14:paraId="3F91676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92" w:type="dxa"/>
            <w:shd w:val="clear" w:color="auto" w:fill="auto"/>
            <w:noWrap/>
            <w:vAlign w:val="center"/>
            <w:hideMark/>
          </w:tcPr>
          <w:p w14:paraId="4839A4B4"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05C7ED68" w14:textId="77777777" w:rsidTr="008E16CB">
        <w:trPr>
          <w:trHeight w:val="340"/>
        </w:trPr>
        <w:tc>
          <w:tcPr>
            <w:tcW w:w="3566" w:type="dxa"/>
            <w:shd w:val="clear" w:color="auto" w:fill="auto"/>
            <w:noWrap/>
            <w:vAlign w:val="center"/>
            <w:hideMark/>
          </w:tcPr>
          <w:p w14:paraId="7F5229D4" w14:textId="77777777" w:rsidR="003E5BF5" w:rsidRPr="0029213D" w:rsidRDefault="003E5BF5" w:rsidP="00DE1921">
            <w:pPr>
              <w:rPr>
                <w:rFonts w:ascii="Arial" w:hAnsi="Arial" w:cs="Arial"/>
                <w:sz w:val="24"/>
                <w:szCs w:val="24"/>
              </w:rPr>
            </w:pPr>
            <w:r w:rsidRPr="0029213D">
              <w:rPr>
                <w:rFonts w:ascii="Arial" w:hAnsi="Arial" w:cs="Arial"/>
                <w:sz w:val="24"/>
                <w:szCs w:val="24"/>
              </w:rPr>
              <w:t>Commonwealth grants</w:t>
            </w:r>
          </w:p>
        </w:tc>
        <w:tc>
          <w:tcPr>
            <w:tcW w:w="1059" w:type="dxa"/>
            <w:shd w:val="clear" w:color="auto" w:fill="auto"/>
            <w:noWrap/>
            <w:vAlign w:val="center"/>
            <w:hideMark/>
          </w:tcPr>
          <w:p w14:paraId="0E1BAB9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5691B5C3"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59" w:type="dxa"/>
            <w:shd w:val="clear" w:color="auto" w:fill="auto"/>
            <w:noWrap/>
            <w:vAlign w:val="center"/>
            <w:hideMark/>
          </w:tcPr>
          <w:p w14:paraId="2EF6DCB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4F7F5C3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27" w:type="dxa"/>
            <w:shd w:val="clear" w:color="auto" w:fill="auto"/>
            <w:noWrap/>
            <w:vAlign w:val="center"/>
            <w:hideMark/>
          </w:tcPr>
          <w:p w14:paraId="6402434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92" w:type="dxa"/>
            <w:shd w:val="clear" w:color="auto" w:fill="auto"/>
            <w:noWrap/>
            <w:vAlign w:val="center"/>
            <w:hideMark/>
          </w:tcPr>
          <w:p w14:paraId="45DB368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718C04A9" w14:textId="77777777" w:rsidTr="008E16CB">
        <w:trPr>
          <w:trHeight w:val="340"/>
        </w:trPr>
        <w:tc>
          <w:tcPr>
            <w:tcW w:w="3566" w:type="dxa"/>
            <w:shd w:val="clear" w:color="auto" w:fill="auto"/>
            <w:noWrap/>
            <w:vAlign w:val="center"/>
            <w:hideMark/>
          </w:tcPr>
          <w:p w14:paraId="61EB54C5"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income from transactions</w:t>
            </w:r>
          </w:p>
        </w:tc>
        <w:tc>
          <w:tcPr>
            <w:tcW w:w="1059" w:type="dxa"/>
            <w:shd w:val="clear" w:color="auto" w:fill="auto"/>
            <w:noWrap/>
            <w:hideMark/>
          </w:tcPr>
          <w:p w14:paraId="1C1FE6E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24,240 </w:t>
            </w:r>
          </w:p>
        </w:tc>
        <w:tc>
          <w:tcPr>
            <w:tcW w:w="1060" w:type="dxa"/>
            <w:shd w:val="clear" w:color="auto" w:fill="auto"/>
            <w:noWrap/>
            <w:hideMark/>
          </w:tcPr>
          <w:p w14:paraId="0EEAF86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25,318 </w:t>
            </w:r>
          </w:p>
        </w:tc>
        <w:tc>
          <w:tcPr>
            <w:tcW w:w="1059" w:type="dxa"/>
            <w:shd w:val="clear" w:color="auto" w:fill="auto"/>
            <w:noWrap/>
            <w:hideMark/>
          </w:tcPr>
          <w:p w14:paraId="6747526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5,958 </w:t>
            </w:r>
          </w:p>
        </w:tc>
        <w:tc>
          <w:tcPr>
            <w:tcW w:w="1060" w:type="dxa"/>
            <w:shd w:val="clear" w:color="auto" w:fill="auto"/>
            <w:noWrap/>
            <w:hideMark/>
          </w:tcPr>
          <w:p w14:paraId="3630A62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2,396 </w:t>
            </w:r>
          </w:p>
        </w:tc>
        <w:tc>
          <w:tcPr>
            <w:tcW w:w="1127" w:type="dxa"/>
            <w:shd w:val="clear" w:color="auto" w:fill="auto"/>
            <w:noWrap/>
            <w:hideMark/>
          </w:tcPr>
          <w:p w14:paraId="036358F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199,262 </w:t>
            </w:r>
          </w:p>
        </w:tc>
        <w:tc>
          <w:tcPr>
            <w:tcW w:w="992" w:type="dxa"/>
            <w:shd w:val="clear" w:color="auto" w:fill="auto"/>
            <w:noWrap/>
            <w:hideMark/>
          </w:tcPr>
          <w:p w14:paraId="155824E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915 </w:t>
            </w:r>
          </w:p>
        </w:tc>
      </w:tr>
      <w:tr w:rsidR="003E5BF5" w:rsidRPr="0029213D" w14:paraId="669AA419" w14:textId="77777777" w:rsidTr="008E16CB">
        <w:trPr>
          <w:trHeight w:val="340"/>
        </w:trPr>
        <w:tc>
          <w:tcPr>
            <w:tcW w:w="3566" w:type="dxa"/>
            <w:shd w:val="clear" w:color="auto" w:fill="auto"/>
            <w:noWrap/>
            <w:vAlign w:val="center"/>
            <w:hideMark/>
          </w:tcPr>
          <w:p w14:paraId="239BAC53" w14:textId="77777777" w:rsidR="003E5BF5" w:rsidRPr="0029213D" w:rsidRDefault="003E5BF5" w:rsidP="00604703">
            <w:pPr>
              <w:pStyle w:val="TableTextGreen"/>
            </w:pPr>
            <w:r w:rsidRPr="0029213D">
              <w:t>Administered expenses from transactions</w:t>
            </w:r>
          </w:p>
        </w:tc>
        <w:tc>
          <w:tcPr>
            <w:tcW w:w="1059" w:type="dxa"/>
            <w:shd w:val="clear" w:color="auto" w:fill="auto"/>
            <w:noWrap/>
            <w:vAlign w:val="center"/>
            <w:hideMark/>
          </w:tcPr>
          <w:p w14:paraId="262EB968" w14:textId="77777777" w:rsidR="003E5BF5" w:rsidRPr="0029213D" w:rsidRDefault="003E5BF5" w:rsidP="00DE1921">
            <w:pPr>
              <w:jc w:val="right"/>
              <w:rPr>
                <w:rFonts w:ascii="Arial" w:hAnsi="Arial" w:cs="Arial"/>
                <w:sz w:val="24"/>
                <w:szCs w:val="24"/>
              </w:rPr>
            </w:pPr>
          </w:p>
        </w:tc>
        <w:tc>
          <w:tcPr>
            <w:tcW w:w="1060" w:type="dxa"/>
            <w:shd w:val="clear" w:color="auto" w:fill="auto"/>
            <w:noWrap/>
            <w:vAlign w:val="center"/>
            <w:hideMark/>
          </w:tcPr>
          <w:p w14:paraId="698B88AB" w14:textId="77777777" w:rsidR="003E5BF5" w:rsidRPr="0029213D" w:rsidRDefault="003E5BF5" w:rsidP="00DE1921">
            <w:pPr>
              <w:jc w:val="right"/>
              <w:rPr>
                <w:rFonts w:ascii="Arial" w:hAnsi="Arial" w:cs="Arial"/>
                <w:sz w:val="24"/>
                <w:szCs w:val="24"/>
              </w:rPr>
            </w:pPr>
          </w:p>
        </w:tc>
        <w:tc>
          <w:tcPr>
            <w:tcW w:w="1059" w:type="dxa"/>
            <w:shd w:val="clear" w:color="auto" w:fill="auto"/>
            <w:noWrap/>
            <w:vAlign w:val="center"/>
            <w:hideMark/>
          </w:tcPr>
          <w:p w14:paraId="290709AD" w14:textId="77777777" w:rsidR="003E5BF5" w:rsidRPr="0029213D" w:rsidRDefault="003E5BF5" w:rsidP="00DE1921">
            <w:pPr>
              <w:jc w:val="right"/>
              <w:rPr>
                <w:rFonts w:ascii="Arial" w:hAnsi="Arial" w:cs="Arial"/>
                <w:sz w:val="24"/>
                <w:szCs w:val="24"/>
              </w:rPr>
            </w:pPr>
          </w:p>
        </w:tc>
        <w:tc>
          <w:tcPr>
            <w:tcW w:w="1060" w:type="dxa"/>
            <w:shd w:val="clear" w:color="auto" w:fill="auto"/>
            <w:noWrap/>
            <w:vAlign w:val="center"/>
            <w:hideMark/>
          </w:tcPr>
          <w:p w14:paraId="0E0AE780" w14:textId="77777777" w:rsidR="003E5BF5" w:rsidRPr="0029213D" w:rsidRDefault="003E5BF5" w:rsidP="00DE1921">
            <w:pPr>
              <w:jc w:val="right"/>
              <w:rPr>
                <w:rFonts w:ascii="Arial" w:hAnsi="Arial" w:cs="Arial"/>
                <w:sz w:val="24"/>
                <w:szCs w:val="24"/>
              </w:rPr>
            </w:pPr>
          </w:p>
        </w:tc>
        <w:tc>
          <w:tcPr>
            <w:tcW w:w="1127" w:type="dxa"/>
            <w:shd w:val="clear" w:color="auto" w:fill="auto"/>
            <w:noWrap/>
            <w:vAlign w:val="center"/>
            <w:hideMark/>
          </w:tcPr>
          <w:p w14:paraId="535FCF13" w14:textId="77777777" w:rsidR="003E5BF5" w:rsidRPr="0029213D" w:rsidRDefault="003E5BF5" w:rsidP="00DE1921">
            <w:pPr>
              <w:jc w:val="right"/>
              <w:rPr>
                <w:rFonts w:ascii="Arial" w:hAnsi="Arial" w:cs="Arial"/>
                <w:sz w:val="24"/>
                <w:szCs w:val="24"/>
              </w:rPr>
            </w:pPr>
          </w:p>
        </w:tc>
        <w:tc>
          <w:tcPr>
            <w:tcW w:w="992" w:type="dxa"/>
            <w:shd w:val="clear" w:color="auto" w:fill="auto"/>
            <w:noWrap/>
            <w:vAlign w:val="center"/>
            <w:hideMark/>
          </w:tcPr>
          <w:p w14:paraId="1D97E0E0" w14:textId="77777777" w:rsidR="003E5BF5" w:rsidRPr="0029213D" w:rsidRDefault="003E5BF5" w:rsidP="00DE1921">
            <w:pPr>
              <w:jc w:val="right"/>
              <w:rPr>
                <w:rFonts w:ascii="Arial" w:hAnsi="Arial" w:cs="Arial"/>
                <w:sz w:val="24"/>
                <w:szCs w:val="24"/>
              </w:rPr>
            </w:pPr>
          </w:p>
        </w:tc>
      </w:tr>
      <w:tr w:rsidR="003E5BF5" w:rsidRPr="0029213D" w14:paraId="2717558A" w14:textId="77777777" w:rsidTr="008E16CB">
        <w:trPr>
          <w:trHeight w:val="340"/>
        </w:trPr>
        <w:tc>
          <w:tcPr>
            <w:tcW w:w="3566" w:type="dxa"/>
            <w:shd w:val="clear" w:color="auto" w:fill="auto"/>
            <w:noWrap/>
            <w:vAlign w:val="center"/>
            <w:hideMark/>
          </w:tcPr>
          <w:p w14:paraId="55965229" w14:textId="77777777" w:rsidR="003E5BF5" w:rsidRPr="0029213D" w:rsidRDefault="003E5BF5" w:rsidP="00DE1921">
            <w:pPr>
              <w:rPr>
                <w:rFonts w:ascii="Arial" w:hAnsi="Arial" w:cs="Arial"/>
                <w:sz w:val="24"/>
                <w:szCs w:val="24"/>
              </w:rPr>
            </w:pPr>
            <w:r w:rsidRPr="0029213D">
              <w:rPr>
                <w:rFonts w:ascii="Arial" w:hAnsi="Arial" w:cs="Arial"/>
                <w:sz w:val="24"/>
                <w:szCs w:val="24"/>
              </w:rPr>
              <w:t>Payments into Consolidated Fund</w:t>
            </w:r>
          </w:p>
        </w:tc>
        <w:tc>
          <w:tcPr>
            <w:tcW w:w="1059" w:type="dxa"/>
            <w:shd w:val="clear" w:color="auto" w:fill="auto"/>
            <w:noWrap/>
            <w:vAlign w:val="center"/>
            <w:hideMark/>
          </w:tcPr>
          <w:p w14:paraId="02DACB2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(24,155)</w:t>
            </w:r>
          </w:p>
        </w:tc>
        <w:tc>
          <w:tcPr>
            <w:tcW w:w="1060" w:type="dxa"/>
            <w:shd w:val="clear" w:color="auto" w:fill="auto"/>
            <w:noWrap/>
            <w:vAlign w:val="center"/>
            <w:hideMark/>
          </w:tcPr>
          <w:p w14:paraId="1EAFA1D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(34,270)</w:t>
            </w:r>
          </w:p>
        </w:tc>
        <w:tc>
          <w:tcPr>
            <w:tcW w:w="1059" w:type="dxa"/>
            <w:shd w:val="clear" w:color="auto" w:fill="auto"/>
            <w:noWrap/>
            <w:vAlign w:val="center"/>
            <w:hideMark/>
          </w:tcPr>
          <w:p w14:paraId="52E030F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(5,937)</w:t>
            </w:r>
          </w:p>
        </w:tc>
        <w:tc>
          <w:tcPr>
            <w:tcW w:w="1060" w:type="dxa"/>
            <w:shd w:val="clear" w:color="auto" w:fill="auto"/>
            <w:noWrap/>
            <w:vAlign w:val="center"/>
            <w:hideMark/>
          </w:tcPr>
          <w:p w14:paraId="7DC424C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(4,374)</w:t>
            </w:r>
          </w:p>
        </w:tc>
        <w:tc>
          <w:tcPr>
            <w:tcW w:w="1127" w:type="dxa"/>
            <w:shd w:val="clear" w:color="auto" w:fill="auto"/>
            <w:noWrap/>
            <w:vAlign w:val="center"/>
            <w:hideMark/>
          </w:tcPr>
          <w:p w14:paraId="68C3384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(198,567)</w:t>
            </w:r>
          </w:p>
        </w:tc>
        <w:tc>
          <w:tcPr>
            <w:tcW w:w="992" w:type="dxa"/>
            <w:shd w:val="clear" w:color="auto" w:fill="auto"/>
            <w:noWrap/>
            <w:vAlign w:val="center"/>
            <w:hideMark/>
          </w:tcPr>
          <w:p w14:paraId="245334A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(1,876)</w:t>
            </w:r>
          </w:p>
        </w:tc>
      </w:tr>
      <w:tr w:rsidR="003E5BF5" w:rsidRPr="0029213D" w14:paraId="2F8F9FAD" w14:textId="77777777" w:rsidTr="008E16CB">
        <w:trPr>
          <w:trHeight w:val="340"/>
        </w:trPr>
        <w:tc>
          <w:tcPr>
            <w:tcW w:w="3566" w:type="dxa"/>
            <w:shd w:val="clear" w:color="auto" w:fill="auto"/>
            <w:noWrap/>
            <w:vAlign w:val="center"/>
            <w:hideMark/>
          </w:tcPr>
          <w:p w14:paraId="4539606E" w14:textId="77777777" w:rsidR="003E5BF5" w:rsidRPr="0029213D" w:rsidRDefault="003E5BF5" w:rsidP="00DE1921">
            <w:pPr>
              <w:rPr>
                <w:rFonts w:ascii="Arial" w:hAnsi="Arial" w:cs="Arial"/>
                <w:sz w:val="24"/>
                <w:szCs w:val="24"/>
              </w:rPr>
            </w:pPr>
            <w:r w:rsidRPr="0029213D">
              <w:rPr>
                <w:rFonts w:ascii="Arial" w:hAnsi="Arial" w:cs="Arial"/>
                <w:sz w:val="24"/>
                <w:szCs w:val="24"/>
              </w:rPr>
              <w:t>Other expenses</w:t>
            </w:r>
          </w:p>
        </w:tc>
        <w:tc>
          <w:tcPr>
            <w:tcW w:w="1059" w:type="dxa"/>
            <w:shd w:val="clear" w:color="auto" w:fill="auto"/>
            <w:noWrap/>
            <w:vAlign w:val="center"/>
            <w:hideMark/>
          </w:tcPr>
          <w:p w14:paraId="453538D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(404)</w:t>
            </w:r>
          </w:p>
        </w:tc>
        <w:tc>
          <w:tcPr>
            <w:tcW w:w="1060" w:type="dxa"/>
            <w:shd w:val="clear" w:color="auto" w:fill="auto"/>
            <w:noWrap/>
            <w:vAlign w:val="center"/>
            <w:hideMark/>
          </w:tcPr>
          <w:p w14:paraId="25D3A5D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(675)</w:t>
            </w:r>
          </w:p>
        </w:tc>
        <w:tc>
          <w:tcPr>
            <w:tcW w:w="1059" w:type="dxa"/>
            <w:shd w:val="clear" w:color="auto" w:fill="auto"/>
            <w:noWrap/>
            <w:vAlign w:val="center"/>
            <w:hideMark/>
          </w:tcPr>
          <w:p w14:paraId="438E195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(88)</w:t>
            </w:r>
          </w:p>
        </w:tc>
        <w:tc>
          <w:tcPr>
            <w:tcW w:w="1060" w:type="dxa"/>
            <w:shd w:val="clear" w:color="auto" w:fill="auto"/>
            <w:noWrap/>
            <w:vAlign w:val="center"/>
            <w:hideMark/>
          </w:tcPr>
          <w:p w14:paraId="3D6F48E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(147)</w:t>
            </w:r>
          </w:p>
        </w:tc>
        <w:tc>
          <w:tcPr>
            <w:tcW w:w="1127" w:type="dxa"/>
            <w:shd w:val="clear" w:color="auto" w:fill="auto"/>
            <w:noWrap/>
            <w:vAlign w:val="center"/>
            <w:hideMark/>
          </w:tcPr>
          <w:p w14:paraId="714D343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(47)</w:t>
            </w:r>
          </w:p>
        </w:tc>
        <w:tc>
          <w:tcPr>
            <w:tcW w:w="992" w:type="dxa"/>
            <w:shd w:val="clear" w:color="auto" w:fill="auto"/>
            <w:noWrap/>
            <w:vAlign w:val="center"/>
            <w:hideMark/>
          </w:tcPr>
          <w:p w14:paraId="39D806F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(78)</w:t>
            </w:r>
          </w:p>
        </w:tc>
      </w:tr>
      <w:tr w:rsidR="003E5BF5" w:rsidRPr="0029213D" w14:paraId="0A9A9E60" w14:textId="77777777" w:rsidTr="008E16CB">
        <w:trPr>
          <w:trHeight w:val="340"/>
        </w:trPr>
        <w:tc>
          <w:tcPr>
            <w:tcW w:w="3566" w:type="dxa"/>
            <w:shd w:val="clear" w:color="auto" w:fill="auto"/>
            <w:noWrap/>
            <w:vAlign w:val="center"/>
            <w:hideMark/>
          </w:tcPr>
          <w:p w14:paraId="33ED6BF1" w14:textId="77777777" w:rsidR="003E5BF5" w:rsidRPr="0029213D" w:rsidRDefault="003E5BF5" w:rsidP="00DE1921">
            <w:pPr>
              <w:rPr>
                <w:rFonts w:ascii="Arial" w:hAnsi="Arial" w:cs="Arial"/>
                <w:sz w:val="24"/>
                <w:szCs w:val="24"/>
              </w:rPr>
            </w:pPr>
            <w:r w:rsidRPr="0029213D">
              <w:rPr>
                <w:rFonts w:ascii="Arial" w:hAnsi="Arial" w:cs="Arial"/>
                <w:sz w:val="24"/>
                <w:szCs w:val="24"/>
              </w:rPr>
              <w:t>Assets transferred to local/Commonwealth government</w:t>
            </w:r>
          </w:p>
        </w:tc>
        <w:tc>
          <w:tcPr>
            <w:tcW w:w="1059" w:type="dxa"/>
            <w:shd w:val="clear" w:color="auto" w:fill="auto"/>
            <w:noWrap/>
            <w:hideMark/>
          </w:tcPr>
          <w:p w14:paraId="3652C9F4"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hideMark/>
          </w:tcPr>
          <w:p w14:paraId="211A617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(1,599)</w:t>
            </w:r>
          </w:p>
        </w:tc>
        <w:tc>
          <w:tcPr>
            <w:tcW w:w="1059" w:type="dxa"/>
            <w:shd w:val="clear" w:color="auto" w:fill="auto"/>
            <w:noWrap/>
            <w:hideMark/>
          </w:tcPr>
          <w:p w14:paraId="0C1A0B8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r w:rsidRPr="0029213D">
              <w:rPr>
                <w:rFonts w:ascii="Arial" w:hAnsi="Arial" w:cs="Arial"/>
                <w:sz w:val="24"/>
                <w:szCs w:val="24"/>
              </w:rPr>
              <w:t xml:space="preserve"> </w:t>
            </w:r>
          </w:p>
        </w:tc>
        <w:tc>
          <w:tcPr>
            <w:tcW w:w="1060" w:type="dxa"/>
            <w:shd w:val="clear" w:color="auto" w:fill="auto"/>
            <w:noWrap/>
            <w:hideMark/>
          </w:tcPr>
          <w:p w14:paraId="5E3989E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(351)</w:t>
            </w:r>
          </w:p>
        </w:tc>
        <w:tc>
          <w:tcPr>
            <w:tcW w:w="1127" w:type="dxa"/>
            <w:shd w:val="clear" w:color="auto" w:fill="auto"/>
            <w:noWrap/>
            <w:hideMark/>
          </w:tcPr>
          <w:p w14:paraId="606BEB1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92" w:type="dxa"/>
            <w:shd w:val="clear" w:color="auto" w:fill="auto"/>
            <w:noWrap/>
            <w:hideMark/>
          </w:tcPr>
          <w:p w14:paraId="27267D1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7F4363B5" w14:textId="77777777" w:rsidTr="008E16CB">
        <w:trPr>
          <w:trHeight w:val="340"/>
        </w:trPr>
        <w:tc>
          <w:tcPr>
            <w:tcW w:w="3566" w:type="dxa"/>
            <w:shd w:val="clear" w:color="auto" w:fill="auto"/>
            <w:noWrap/>
            <w:vAlign w:val="center"/>
            <w:hideMark/>
          </w:tcPr>
          <w:p w14:paraId="68BA7E5F"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expenses from transactions</w:t>
            </w:r>
          </w:p>
        </w:tc>
        <w:tc>
          <w:tcPr>
            <w:tcW w:w="1059" w:type="dxa"/>
            <w:shd w:val="clear" w:color="auto" w:fill="auto"/>
            <w:noWrap/>
            <w:hideMark/>
          </w:tcPr>
          <w:p w14:paraId="558EF6E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(24,559)</w:t>
            </w:r>
          </w:p>
        </w:tc>
        <w:tc>
          <w:tcPr>
            <w:tcW w:w="1060" w:type="dxa"/>
            <w:shd w:val="clear" w:color="auto" w:fill="auto"/>
            <w:noWrap/>
            <w:hideMark/>
          </w:tcPr>
          <w:p w14:paraId="68A1CC95"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(36,544)</w:t>
            </w:r>
          </w:p>
        </w:tc>
        <w:tc>
          <w:tcPr>
            <w:tcW w:w="1059" w:type="dxa"/>
            <w:shd w:val="clear" w:color="auto" w:fill="auto"/>
            <w:noWrap/>
            <w:hideMark/>
          </w:tcPr>
          <w:p w14:paraId="22326ED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(6,025)</w:t>
            </w:r>
          </w:p>
        </w:tc>
        <w:tc>
          <w:tcPr>
            <w:tcW w:w="1060" w:type="dxa"/>
            <w:shd w:val="clear" w:color="auto" w:fill="auto"/>
            <w:noWrap/>
            <w:hideMark/>
          </w:tcPr>
          <w:p w14:paraId="03D2C12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(4,872)</w:t>
            </w:r>
          </w:p>
        </w:tc>
        <w:tc>
          <w:tcPr>
            <w:tcW w:w="1127" w:type="dxa"/>
            <w:shd w:val="clear" w:color="auto" w:fill="auto"/>
            <w:noWrap/>
            <w:hideMark/>
          </w:tcPr>
          <w:p w14:paraId="47483AC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(198,614)</w:t>
            </w:r>
          </w:p>
        </w:tc>
        <w:tc>
          <w:tcPr>
            <w:tcW w:w="992" w:type="dxa"/>
            <w:shd w:val="clear" w:color="auto" w:fill="auto"/>
            <w:noWrap/>
            <w:hideMark/>
          </w:tcPr>
          <w:p w14:paraId="39049135"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(1,954)</w:t>
            </w:r>
          </w:p>
        </w:tc>
      </w:tr>
      <w:tr w:rsidR="003E5BF5" w:rsidRPr="0029213D" w14:paraId="2DDC918F" w14:textId="77777777" w:rsidTr="008E16CB">
        <w:trPr>
          <w:trHeight w:val="340"/>
        </w:trPr>
        <w:tc>
          <w:tcPr>
            <w:tcW w:w="3566" w:type="dxa"/>
            <w:shd w:val="clear" w:color="auto" w:fill="auto"/>
            <w:noWrap/>
            <w:vAlign w:val="center"/>
            <w:hideMark/>
          </w:tcPr>
          <w:p w14:paraId="57552591"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net result from transactions</w:t>
            </w:r>
          </w:p>
        </w:tc>
        <w:tc>
          <w:tcPr>
            <w:tcW w:w="1059" w:type="dxa"/>
            <w:shd w:val="clear" w:color="auto" w:fill="auto"/>
            <w:noWrap/>
            <w:hideMark/>
          </w:tcPr>
          <w:p w14:paraId="788F0D9B"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(319)</w:t>
            </w:r>
          </w:p>
        </w:tc>
        <w:tc>
          <w:tcPr>
            <w:tcW w:w="1060" w:type="dxa"/>
            <w:shd w:val="clear" w:color="auto" w:fill="auto"/>
            <w:noWrap/>
            <w:hideMark/>
          </w:tcPr>
          <w:p w14:paraId="2309DCA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(11,226)</w:t>
            </w:r>
          </w:p>
        </w:tc>
        <w:tc>
          <w:tcPr>
            <w:tcW w:w="1059" w:type="dxa"/>
            <w:shd w:val="clear" w:color="auto" w:fill="auto"/>
            <w:noWrap/>
            <w:hideMark/>
          </w:tcPr>
          <w:p w14:paraId="4C6301DB"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(67)</w:t>
            </w:r>
          </w:p>
        </w:tc>
        <w:tc>
          <w:tcPr>
            <w:tcW w:w="1060" w:type="dxa"/>
            <w:shd w:val="clear" w:color="auto" w:fill="auto"/>
            <w:noWrap/>
            <w:hideMark/>
          </w:tcPr>
          <w:p w14:paraId="0D4B0CD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(2,476)</w:t>
            </w:r>
          </w:p>
        </w:tc>
        <w:tc>
          <w:tcPr>
            <w:tcW w:w="1127" w:type="dxa"/>
            <w:shd w:val="clear" w:color="auto" w:fill="auto"/>
            <w:noWrap/>
            <w:hideMark/>
          </w:tcPr>
          <w:p w14:paraId="13379B1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648 </w:t>
            </w:r>
          </w:p>
        </w:tc>
        <w:tc>
          <w:tcPr>
            <w:tcW w:w="992" w:type="dxa"/>
            <w:shd w:val="clear" w:color="auto" w:fill="auto"/>
            <w:noWrap/>
            <w:hideMark/>
          </w:tcPr>
          <w:p w14:paraId="5745DA8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(1,039)</w:t>
            </w:r>
          </w:p>
        </w:tc>
      </w:tr>
      <w:tr w:rsidR="003E5BF5" w:rsidRPr="0029213D" w14:paraId="162CEA43" w14:textId="77777777" w:rsidTr="008E16CB">
        <w:trPr>
          <w:trHeight w:val="340"/>
        </w:trPr>
        <w:tc>
          <w:tcPr>
            <w:tcW w:w="3566" w:type="dxa"/>
            <w:shd w:val="clear" w:color="auto" w:fill="auto"/>
            <w:noWrap/>
            <w:vAlign w:val="center"/>
            <w:hideMark/>
          </w:tcPr>
          <w:p w14:paraId="01C8D6BF" w14:textId="77777777" w:rsidR="003E5BF5" w:rsidRPr="0029213D" w:rsidRDefault="003E5BF5" w:rsidP="00DE1921">
            <w:pPr>
              <w:rPr>
                <w:rFonts w:ascii="Arial" w:hAnsi="Arial" w:cs="Arial"/>
                <w:b/>
                <w:sz w:val="24"/>
                <w:szCs w:val="24"/>
              </w:rPr>
            </w:pPr>
          </w:p>
        </w:tc>
        <w:tc>
          <w:tcPr>
            <w:tcW w:w="1059" w:type="dxa"/>
            <w:shd w:val="clear" w:color="auto" w:fill="auto"/>
            <w:noWrap/>
            <w:vAlign w:val="center"/>
            <w:hideMark/>
          </w:tcPr>
          <w:p w14:paraId="10E30EEB" w14:textId="77777777" w:rsidR="003E5BF5" w:rsidRPr="0029213D" w:rsidRDefault="003E5BF5" w:rsidP="00DE1921">
            <w:pPr>
              <w:jc w:val="right"/>
              <w:rPr>
                <w:rFonts w:ascii="Arial" w:hAnsi="Arial" w:cs="Arial"/>
                <w:b/>
                <w:sz w:val="24"/>
                <w:szCs w:val="24"/>
              </w:rPr>
            </w:pPr>
          </w:p>
        </w:tc>
        <w:tc>
          <w:tcPr>
            <w:tcW w:w="1060" w:type="dxa"/>
            <w:shd w:val="clear" w:color="auto" w:fill="auto"/>
            <w:noWrap/>
            <w:vAlign w:val="center"/>
            <w:hideMark/>
          </w:tcPr>
          <w:p w14:paraId="71C00352" w14:textId="77777777" w:rsidR="003E5BF5" w:rsidRPr="0029213D" w:rsidRDefault="003E5BF5" w:rsidP="00DE1921">
            <w:pPr>
              <w:jc w:val="right"/>
              <w:rPr>
                <w:rFonts w:ascii="Arial" w:hAnsi="Arial" w:cs="Arial"/>
                <w:b/>
                <w:sz w:val="24"/>
                <w:szCs w:val="24"/>
              </w:rPr>
            </w:pPr>
          </w:p>
        </w:tc>
        <w:tc>
          <w:tcPr>
            <w:tcW w:w="1059" w:type="dxa"/>
            <w:shd w:val="clear" w:color="auto" w:fill="auto"/>
            <w:noWrap/>
            <w:vAlign w:val="center"/>
            <w:hideMark/>
          </w:tcPr>
          <w:p w14:paraId="6E4C493D" w14:textId="77777777" w:rsidR="003E5BF5" w:rsidRPr="0029213D" w:rsidRDefault="003E5BF5" w:rsidP="00DE1921">
            <w:pPr>
              <w:jc w:val="right"/>
              <w:rPr>
                <w:rFonts w:ascii="Arial" w:hAnsi="Arial" w:cs="Arial"/>
                <w:b/>
                <w:sz w:val="24"/>
                <w:szCs w:val="24"/>
              </w:rPr>
            </w:pPr>
          </w:p>
        </w:tc>
        <w:tc>
          <w:tcPr>
            <w:tcW w:w="1060" w:type="dxa"/>
            <w:shd w:val="clear" w:color="auto" w:fill="auto"/>
            <w:noWrap/>
            <w:vAlign w:val="center"/>
            <w:hideMark/>
          </w:tcPr>
          <w:p w14:paraId="7FA28B16" w14:textId="77777777" w:rsidR="003E5BF5" w:rsidRPr="0029213D" w:rsidRDefault="003E5BF5" w:rsidP="00DE1921">
            <w:pPr>
              <w:jc w:val="right"/>
              <w:rPr>
                <w:rFonts w:ascii="Arial" w:hAnsi="Arial" w:cs="Arial"/>
                <w:b/>
                <w:sz w:val="24"/>
                <w:szCs w:val="24"/>
              </w:rPr>
            </w:pPr>
          </w:p>
        </w:tc>
        <w:tc>
          <w:tcPr>
            <w:tcW w:w="1127" w:type="dxa"/>
            <w:shd w:val="clear" w:color="auto" w:fill="auto"/>
            <w:noWrap/>
            <w:vAlign w:val="center"/>
            <w:hideMark/>
          </w:tcPr>
          <w:p w14:paraId="19BEDAC8" w14:textId="77777777" w:rsidR="003E5BF5" w:rsidRPr="0029213D" w:rsidRDefault="003E5BF5" w:rsidP="00DE1921">
            <w:pPr>
              <w:jc w:val="right"/>
              <w:rPr>
                <w:rFonts w:ascii="Arial" w:hAnsi="Arial" w:cs="Arial"/>
                <w:b/>
                <w:sz w:val="24"/>
                <w:szCs w:val="24"/>
              </w:rPr>
            </w:pPr>
          </w:p>
        </w:tc>
        <w:tc>
          <w:tcPr>
            <w:tcW w:w="992" w:type="dxa"/>
            <w:shd w:val="clear" w:color="auto" w:fill="auto"/>
            <w:noWrap/>
            <w:vAlign w:val="center"/>
            <w:hideMark/>
          </w:tcPr>
          <w:p w14:paraId="49DBF403" w14:textId="77777777" w:rsidR="003E5BF5" w:rsidRPr="0029213D" w:rsidRDefault="003E5BF5" w:rsidP="00DE1921">
            <w:pPr>
              <w:jc w:val="right"/>
              <w:rPr>
                <w:rFonts w:ascii="Arial" w:hAnsi="Arial" w:cs="Arial"/>
                <w:b/>
                <w:sz w:val="24"/>
                <w:szCs w:val="24"/>
              </w:rPr>
            </w:pPr>
          </w:p>
        </w:tc>
      </w:tr>
      <w:tr w:rsidR="003E5BF5" w:rsidRPr="0029213D" w14:paraId="71F65DAB" w14:textId="77777777" w:rsidTr="008E16CB">
        <w:trPr>
          <w:trHeight w:val="340"/>
        </w:trPr>
        <w:tc>
          <w:tcPr>
            <w:tcW w:w="3566" w:type="dxa"/>
            <w:shd w:val="clear" w:color="auto" w:fill="auto"/>
            <w:vAlign w:val="center"/>
            <w:hideMark/>
          </w:tcPr>
          <w:p w14:paraId="5423D7A4" w14:textId="77777777" w:rsidR="003E5BF5" w:rsidRPr="0029213D" w:rsidRDefault="003E5BF5" w:rsidP="00604703">
            <w:pPr>
              <w:pStyle w:val="TableTextGreen"/>
            </w:pPr>
            <w:r w:rsidRPr="0029213D">
              <w:t>Administered other economic flows included in administered net result</w:t>
            </w:r>
          </w:p>
        </w:tc>
        <w:tc>
          <w:tcPr>
            <w:tcW w:w="1059" w:type="dxa"/>
            <w:shd w:val="clear" w:color="auto" w:fill="auto"/>
            <w:noWrap/>
            <w:vAlign w:val="center"/>
            <w:hideMark/>
          </w:tcPr>
          <w:p w14:paraId="7E149D78" w14:textId="77777777" w:rsidR="003E5BF5" w:rsidRPr="0029213D" w:rsidRDefault="003E5BF5" w:rsidP="00DE1921">
            <w:pPr>
              <w:jc w:val="right"/>
              <w:rPr>
                <w:rFonts w:ascii="Arial" w:hAnsi="Arial" w:cs="Arial"/>
                <w:sz w:val="24"/>
                <w:szCs w:val="24"/>
              </w:rPr>
            </w:pPr>
          </w:p>
        </w:tc>
        <w:tc>
          <w:tcPr>
            <w:tcW w:w="1060" w:type="dxa"/>
            <w:shd w:val="clear" w:color="auto" w:fill="auto"/>
            <w:noWrap/>
            <w:vAlign w:val="center"/>
            <w:hideMark/>
          </w:tcPr>
          <w:p w14:paraId="77E9FE33" w14:textId="77777777" w:rsidR="003E5BF5" w:rsidRPr="0029213D" w:rsidRDefault="003E5BF5" w:rsidP="00DE1921">
            <w:pPr>
              <w:jc w:val="right"/>
              <w:rPr>
                <w:rFonts w:ascii="Arial" w:hAnsi="Arial" w:cs="Arial"/>
                <w:sz w:val="24"/>
                <w:szCs w:val="24"/>
              </w:rPr>
            </w:pPr>
          </w:p>
        </w:tc>
        <w:tc>
          <w:tcPr>
            <w:tcW w:w="1059" w:type="dxa"/>
            <w:shd w:val="clear" w:color="auto" w:fill="auto"/>
            <w:noWrap/>
            <w:vAlign w:val="center"/>
            <w:hideMark/>
          </w:tcPr>
          <w:p w14:paraId="66C9E33C" w14:textId="77777777" w:rsidR="003E5BF5" w:rsidRPr="0029213D" w:rsidRDefault="003E5BF5" w:rsidP="00DE1921">
            <w:pPr>
              <w:jc w:val="right"/>
              <w:rPr>
                <w:rFonts w:ascii="Arial" w:hAnsi="Arial" w:cs="Arial"/>
                <w:sz w:val="24"/>
                <w:szCs w:val="24"/>
              </w:rPr>
            </w:pPr>
          </w:p>
        </w:tc>
        <w:tc>
          <w:tcPr>
            <w:tcW w:w="1060" w:type="dxa"/>
            <w:shd w:val="clear" w:color="auto" w:fill="auto"/>
            <w:noWrap/>
            <w:vAlign w:val="center"/>
            <w:hideMark/>
          </w:tcPr>
          <w:p w14:paraId="6A1F669C" w14:textId="77777777" w:rsidR="003E5BF5" w:rsidRPr="0029213D" w:rsidRDefault="003E5BF5" w:rsidP="00DE1921">
            <w:pPr>
              <w:jc w:val="right"/>
              <w:rPr>
                <w:rFonts w:ascii="Arial" w:hAnsi="Arial" w:cs="Arial"/>
                <w:sz w:val="24"/>
                <w:szCs w:val="24"/>
              </w:rPr>
            </w:pPr>
          </w:p>
        </w:tc>
        <w:tc>
          <w:tcPr>
            <w:tcW w:w="1127" w:type="dxa"/>
            <w:shd w:val="clear" w:color="auto" w:fill="auto"/>
            <w:noWrap/>
            <w:vAlign w:val="center"/>
            <w:hideMark/>
          </w:tcPr>
          <w:p w14:paraId="51B06B80" w14:textId="77777777" w:rsidR="003E5BF5" w:rsidRPr="0029213D" w:rsidRDefault="003E5BF5" w:rsidP="00DE1921">
            <w:pPr>
              <w:jc w:val="right"/>
              <w:rPr>
                <w:rFonts w:ascii="Arial" w:hAnsi="Arial" w:cs="Arial"/>
                <w:sz w:val="24"/>
                <w:szCs w:val="24"/>
              </w:rPr>
            </w:pPr>
          </w:p>
        </w:tc>
        <w:tc>
          <w:tcPr>
            <w:tcW w:w="992" w:type="dxa"/>
            <w:shd w:val="clear" w:color="auto" w:fill="auto"/>
            <w:noWrap/>
            <w:vAlign w:val="center"/>
            <w:hideMark/>
          </w:tcPr>
          <w:p w14:paraId="7818FEDD" w14:textId="77777777" w:rsidR="003E5BF5" w:rsidRPr="0029213D" w:rsidRDefault="003E5BF5" w:rsidP="00DE1921">
            <w:pPr>
              <w:jc w:val="right"/>
              <w:rPr>
                <w:rFonts w:ascii="Arial" w:hAnsi="Arial" w:cs="Arial"/>
                <w:sz w:val="24"/>
                <w:szCs w:val="24"/>
              </w:rPr>
            </w:pPr>
          </w:p>
        </w:tc>
      </w:tr>
      <w:tr w:rsidR="003E5BF5" w:rsidRPr="0029213D" w14:paraId="708F2E53" w14:textId="77777777" w:rsidTr="008E16CB">
        <w:trPr>
          <w:trHeight w:val="340"/>
        </w:trPr>
        <w:tc>
          <w:tcPr>
            <w:tcW w:w="3566" w:type="dxa"/>
            <w:shd w:val="clear" w:color="auto" w:fill="auto"/>
            <w:noWrap/>
            <w:vAlign w:val="center"/>
            <w:hideMark/>
          </w:tcPr>
          <w:p w14:paraId="13744CDB" w14:textId="77777777" w:rsidR="003E5BF5" w:rsidRPr="0029213D" w:rsidRDefault="003E5BF5" w:rsidP="00DE1921">
            <w:pPr>
              <w:rPr>
                <w:rFonts w:ascii="Arial" w:hAnsi="Arial" w:cs="Arial"/>
                <w:sz w:val="24"/>
                <w:szCs w:val="24"/>
              </w:rPr>
            </w:pPr>
            <w:r w:rsidRPr="0029213D">
              <w:rPr>
                <w:rFonts w:ascii="Arial" w:hAnsi="Arial" w:cs="Arial"/>
                <w:sz w:val="24"/>
                <w:szCs w:val="24"/>
              </w:rPr>
              <w:t>Net gain/(loss) on non-financial assets</w:t>
            </w:r>
          </w:p>
        </w:tc>
        <w:tc>
          <w:tcPr>
            <w:tcW w:w="1059" w:type="dxa"/>
            <w:shd w:val="clear" w:color="auto" w:fill="auto"/>
            <w:noWrap/>
            <w:vAlign w:val="center"/>
            <w:hideMark/>
          </w:tcPr>
          <w:p w14:paraId="6FB5180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(445)</w:t>
            </w:r>
          </w:p>
        </w:tc>
        <w:tc>
          <w:tcPr>
            <w:tcW w:w="1060" w:type="dxa"/>
            <w:shd w:val="clear" w:color="auto" w:fill="auto"/>
            <w:noWrap/>
            <w:vAlign w:val="center"/>
            <w:hideMark/>
          </w:tcPr>
          <w:p w14:paraId="1168377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(14,974)</w:t>
            </w:r>
          </w:p>
        </w:tc>
        <w:tc>
          <w:tcPr>
            <w:tcW w:w="1059" w:type="dxa"/>
            <w:shd w:val="clear" w:color="auto" w:fill="auto"/>
            <w:noWrap/>
            <w:vAlign w:val="center"/>
            <w:hideMark/>
          </w:tcPr>
          <w:p w14:paraId="66247F3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166 </w:t>
            </w:r>
          </w:p>
        </w:tc>
        <w:tc>
          <w:tcPr>
            <w:tcW w:w="1060" w:type="dxa"/>
            <w:shd w:val="clear" w:color="auto" w:fill="auto"/>
            <w:noWrap/>
            <w:vAlign w:val="center"/>
            <w:hideMark/>
          </w:tcPr>
          <w:p w14:paraId="2131103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127" w:type="dxa"/>
            <w:shd w:val="clear" w:color="auto" w:fill="auto"/>
            <w:noWrap/>
            <w:vAlign w:val="center"/>
            <w:hideMark/>
          </w:tcPr>
          <w:p w14:paraId="7246C58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(509)</w:t>
            </w:r>
          </w:p>
        </w:tc>
        <w:tc>
          <w:tcPr>
            <w:tcW w:w="992" w:type="dxa"/>
            <w:shd w:val="clear" w:color="auto" w:fill="auto"/>
            <w:noWrap/>
            <w:vAlign w:val="center"/>
            <w:hideMark/>
          </w:tcPr>
          <w:p w14:paraId="201569F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7EFE4C7B" w14:textId="77777777" w:rsidTr="008E16CB">
        <w:trPr>
          <w:trHeight w:val="340"/>
        </w:trPr>
        <w:tc>
          <w:tcPr>
            <w:tcW w:w="3566" w:type="dxa"/>
            <w:shd w:val="clear" w:color="auto" w:fill="auto"/>
            <w:noWrap/>
            <w:vAlign w:val="center"/>
            <w:hideMark/>
          </w:tcPr>
          <w:p w14:paraId="3FF1212F" w14:textId="77777777" w:rsidR="003E5BF5" w:rsidRPr="0029213D" w:rsidRDefault="003E5BF5" w:rsidP="00DE1921">
            <w:pPr>
              <w:rPr>
                <w:rFonts w:ascii="Arial" w:hAnsi="Arial" w:cs="Arial"/>
                <w:sz w:val="24"/>
                <w:szCs w:val="24"/>
              </w:rPr>
            </w:pPr>
            <w:r w:rsidRPr="0029213D">
              <w:rPr>
                <w:rFonts w:ascii="Arial" w:hAnsi="Arial" w:cs="Arial"/>
                <w:sz w:val="24"/>
                <w:szCs w:val="24"/>
              </w:rPr>
              <w:t>Net gain/(loss) on financial assets</w:t>
            </w:r>
          </w:p>
        </w:tc>
        <w:tc>
          <w:tcPr>
            <w:tcW w:w="1059" w:type="dxa"/>
            <w:shd w:val="clear" w:color="auto" w:fill="auto"/>
            <w:noWrap/>
            <w:vAlign w:val="center"/>
            <w:hideMark/>
          </w:tcPr>
          <w:p w14:paraId="2092EBC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(4,261)</w:t>
            </w:r>
          </w:p>
        </w:tc>
        <w:tc>
          <w:tcPr>
            <w:tcW w:w="1060" w:type="dxa"/>
            <w:shd w:val="clear" w:color="auto" w:fill="auto"/>
            <w:noWrap/>
            <w:vAlign w:val="center"/>
            <w:hideMark/>
          </w:tcPr>
          <w:p w14:paraId="3F6D0E9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73 </w:t>
            </w:r>
          </w:p>
        </w:tc>
        <w:tc>
          <w:tcPr>
            <w:tcW w:w="1059" w:type="dxa"/>
            <w:shd w:val="clear" w:color="auto" w:fill="auto"/>
            <w:noWrap/>
            <w:vAlign w:val="center"/>
            <w:hideMark/>
          </w:tcPr>
          <w:p w14:paraId="55D6492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18C1CFF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16 </w:t>
            </w:r>
          </w:p>
        </w:tc>
        <w:tc>
          <w:tcPr>
            <w:tcW w:w="1127" w:type="dxa"/>
            <w:shd w:val="clear" w:color="auto" w:fill="auto"/>
            <w:noWrap/>
            <w:vAlign w:val="center"/>
            <w:hideMark/>
          </w:tcPr>
          <w:p w14:paraId="5E52F17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(1,001)</w:t>
            </w:r>
          </w:p>
        </w:tc>
        <w:tc>
          <w:tcPr>
            <w:tcW w:w="992" w:type="dxa"/>
            <w:shd w:val="clear" w:color="auto" w:fill="auto"/>
            <w:noWrap/>
            <w:vAlign w:val="center"/>
            <w:hideMark/>
          </w:tcPr>
          <w:p w14:paraId="2F05724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8 </w:t>
            </w:r>
          </w:p>
        </w:tc>
      </w:tr>
      <w:tr w:rsidR="003E5BF5" w:rsidRPr="0029213D" w14:paraId="0D52A02B" w14:textId="77777777" w:rsidTr="008E16CB">
        <w:trPr>
          <w:trHeight w:val="340"/>
        </w:trPr>
        <w:tc>
          <w:tcPr>
            <w:tcW w:w="3566" w:type="dxa"/>
            <w:shd w:val="clear" w:color="auto" w:fill="auto"/>
            <w:noWrap/>
            <w:vAlign w:val="center"/>
            <w:hideMark/>
          </w:tcPr>
          <w:p w14:paraId="7CC91573"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other economic flows</w:t>
            </w:r>
          </w:p>
        </w:tc>
        <w:tc>
          <w:tcPr>
            <w:tcW w:w="1059" w:type="dxa"/>
            <w:shd w:val="clear" w:color="auto" w:fill="auto"/>
            <w:noWrap/>
            <w:vAlign w:val="center"/>
            <w:hideMark/>
          </w:tcPr>
          <w:p w14:paraId="4948C5E7"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(4,706)</w:t>
            </w:r>
          </w:p>
        </w:tc>
        <w:tc>
          <w:tcPr>
            <w:tcW w:w="1060" w:type="dxa"/>
            <w:shd w:val="clear" w:color="auto" w:fill="auto"/>
            <w:noWrap/>
            <w:vAlign w:val="center"/>
            <w:hideMark/>
          </w:tcPr>
          <w:p w14:paraId="07DD02C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(14,901)</w:t>
            </w:r>
          </w:p>
        </w:tc>
        <w:tc>
          <w:tcPr>
            <w:tcW w:w="1059" w:type="dxa"/>
            <w:shd w:val="clear" w:color="auto" w:fill="auto"/>
            <w:noWrap/>
            <w:vAlign w:val="center"/>
            <w:hideMark/>
          </w:tcPr>
          <w:p w14:paraId="44BFD67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166 </w:t>
            </w:r>
          </w:p>
        </w:tc>
        <w:tc>
          <w:tcPr>
            <w:tcW w:w="1060" w:type="dxa"/>
            <w:shd w:val="clear" w:color="auto" w:fill="auto"/>
            <w:noWrap/>
            <w:vAlign w:val="center"/>
            <w:hideMark/>
          </w:tcPr>
          <w:p w14:paraId="0E948FF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16 </w:t>
            </w:r>
          </w:p>
        </w:tc>
        <w:tc>
          <w:tcPr>
            <w:tcW w:w="1127" w:type="dxa"/>
            <w:shd w:val="clear" w:color="auto" w:fill="auto"/>
            <w:noWrap/>
            <w:vAlign w:val="center"/>
            <w:hideMark/>
          </w:tcPr>
          <w:p w14:paraId="7462E72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(1,510)</w:t>
            </w:r>
          </w:p>
        </w:tc>
        <w:tc>
          <w:tcPr>
            <w:tcW w:w="992" w:type="dxa"/>
            <w:shd w:val="clear" w:color="auto" w:fill="auto"/>
            <w:noWrap/>
            <w:vAlign w:val="center"/>
            <w:hideMark/>
          </w:tcPr>
          <w:p w14:paraId="114B359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8 </w:t>
            </w:r>
          </w:p>
        </w:tc>
      </w:tr>
      <w:tr w:rsidR="003E5BF5" w:rsidRPr="0029213D" w14:paraId="27CF4C63" w14:textId="77777777" w:rsidTr="008E16CB">
        <w:trPr>
          <w:trHeight w:val="340"/>
        </w:trPr>
        <w:tc>
          <w:tcPr>
            <w:tcW w:w="3566" w:type="dxa"/>
            <w:shd w:val="clear" w:color="auto" w:fill="auto"/>
            <w:noWrap/>
            <w:vAlign w:val="center"/>
            <w:hideMark/>
          </w:tcPr>
          <w:p w14:paraId="35D756B5"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comprehensive result</w:t>
            </w:r>
          </w:p>
        </w:tc>
        <w:tc>
          <w:tcPr>
            <w:tcW w:w="1059" w:type="dxa"/>
            <w:shd w:val="clear" w:color="auto" w:fill="auto"/>
            <w:noWrap/>
            <w:vAlign w:val="center"/>
            <w:hideMark/>
          </w:tcPr>
          <w:p w14:paraId="2126235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(5,025)</w:t>
            </w:r>
          </w:p>
        </w:tc>
        <w:tc>
          <w:tcPr>
            <w:tcW w:w="1060" w:type="dxa"/>
            <w:shd w:val="clear" w:color="auto" w:fill="auto"/>
            <w:noWrap/>
            <w:vAlign w:val="center"/>
            <w:hideMark/>
          </w:tcPr>
          <w:p w14:paraId="4F2776C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(26,127)</w:t>
            </w:r>
          </w:p>
        </w:tc>
        <w:tc>
          <w:tcPr>
            <w:tcW w:w="1059" w:type="dxa"/>
            <w:shd w:val="clear" w:color="auto" w:fill="auto"/>
            <w:noWrap/>
            <w:vAlign w:val="center"/>
            <w:hideMark/>
          </w:tcPr>
          <w:p w14:paraId="3805BCB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99 </w:t>
            </w:r>
          </w:p>
        </w:tc>
        <w:tc>
          <w:tcPr>
            <w:tcW w:w="1060" w:type="dxa"/>
            <w:shd w:val="clear" w:color="auto" w:fill="auto"/>
            <w:noWrap/>
            <w:vAlign w:val="center"/>
            <w:hideMark/>
          </w:tcPr>
          <w:p w14:paraId="4F267AD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(2,460)</w:t>
            </w:r>
          </w:p>
        </w:tc>
        <w:tc>
          <w:tcPr>
            <w:tcW w:w="1127" w:type="dxa"/>
            <w:shd w:val="clear" w:color="auto" w:fill="auto"/>
            <w:noWrap/>
            <w:vAlign w:val="center"/>
            <w:hideMark/>
          </w:tcPr>
          <w:p w14:paraId="1242B42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(862)</w:t>
            </w:r>
          </w:p>
        </w:tc>
        <w:tc>
          <w:tcPr>
            <w:tcW w:w="992" w:type="dxa"/>
            <w:shd w:val="clear" w:color="auto" w:fill="auto"/>
            <w:noWrap/>
            <w:vAlign w:val="center"/>
            <w:hideMark/>
          </w:tcPr>
          <w:p w14:paraId="24067BF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(1,031)</w:t>
            </w:r>
          </w:p>
        </w:tc>
      </w:tr>
    </w:tbl>
    <w:p w14:paraId="56B243A3" w14:textId="77777777" w:rsidR="003E5BF5" w:rsidRDefault="003E5BF5" w:rsidP="00DE1921">
      <w:pPr>
        <w:rPr>
          <w:highlight w:val="cyan"/>
        </w:rPr>
      </w:pPr>
    </w:p>
    <w:p w14:paraId="0FD99D9C" w14:textId="77777777" w:rsidR="003E5BF5" w:rsidRPr="00BE5BE9" w:rsidRDefault="003E5BF5" w:rsidP="00DE1921">
      <w:pPr>
        <w:rPr>
          <w:highlight w:val="cyan"/>
        </w:rPr>
      </w:pPr>
      <w:r w:rsidRPr="00BE5BE9">
        <w:rPr>
          <w:highlight w:val="cyan"/>
        </w:rPr>
        <w:br w:type="page"/>
      </w:r>
    </w:p>
    <w:tbl>
      <w:tblPr>
        <w:tblStyle w:val="TableGrid"/>
        <w:tblW w:w="9923" w:type="dxa"/>
        <w:tblLayout w:type="fixed"/>
        <w:tblCellMar>
          <w:left w:w="28" w:type="dxa"/>
          <w:right w:w="28" w:type="dxa"/>
        </w:tblCellMar>
        <w:tblLook w:val="04A0" w:firstRow="1" w:lastRow="0" w:firstColumn="1" w:lastColumn="0" w:noHBand="0" w:noVBand="1"/>
      </w:tblPr>
      <w:tblGrid>
        <w:gridCol w:w="3417"/>
        <w:gridCol w:w="1084"/>
        <w:gridCol w:w="1084"/>
        <w:gridCol w:w="1011"/>
        <w:gridCol w:w="1012"/>
        <w:gridCol w:w="1323"/>
        <w:gridCol w:w="992"/>
      </w:tblGrid>
      <w:tr w:rsidR="003E5BF5" w:rsidRPr="0029213D" w14:paraId="02A860A9" w14:textId="77777777" w:rsidTr="008E16CB">
        <w:trPr>
          <w:trHeight w:val="340"/>
        </w:trPr>
        <w:tc>
          <w:tcPr>
            <w:tcW w:w="3417" w:type="dxa"/>
            <w:shd w:val="clear" w:color="auto" w:fill="auto"/>
            <w:noWrap/>
            <w:hideMark/>
          </w:tcPr>
          <w:p w14:paraId="2A801189" w14:textId="77777777" w:rsidR="003E5BF5" w:rsidRPr="0029213D" w:rsidRDefault="003E5BF5" w:rsidP="00DE1921">
            <w:pPr>
              <w:rPr>
                <w:rFonts w:ascii="Arial" w:hAnsi="Arial" w:cs="Arial"/>
                <w:sz w:val="24"/>
                <w:szCs w:val="24"/>
              </w:rPr>
            </w:pPr>
            <w:bookmarkStart w:id="251" w:name="RANGE!V3:AB33"/>
            <w:bookmarkStart w:id="252" w:name="RANGE!V3:AB32"/>
            <w:bookmarkStart w:id="253" w:name="RANGE!V3:AB31"/>
            <w:bookmarkEnd w:id="251"/>
            <w:bookmarkEnd w:id="252"/>
            <w:bookmarkEnd w:id="253"/>
          </w:p>
        </w:tc>
        <w:tc>
          <w:tcPr>
            <w:tcW w:w="6506" w:type="dxa"/>
            <w:gridSpan w:val="6"/>
            <w:shd w:val="clear" w:color="auto" w:fill="auto"/>
            <w:vAlign w:val="center"/>
            <w:hideMark/>
          </w:tcPr>
          <w:p w14:paraId="0E2D8087"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 thousand)</w:t>
            </w:r>
          </w:p>
        </w:tc>
      </w:tr>
      <w:tr w:rsidR="003E5BF5" w:rsidRPr="0029213D" w14:paraId="546494F3" w14:textId="77777777" w:rsidTr="008E16CB">
        <w:trPr>
          <w:trHeight w:val="340"/>
        </w:trPr>
        <w:tc>
          <w:tcPr>
            <w:tcW w:w="3417" w:type="dxa"/>
            <w:shd w:val="clear" w:color="auto" w:fill="auto"/>
            <w:noWrap/>
            <w:hideMark/>
          </w:tcPr>
          <w:p w14:paraId="1090EDEB" w14:textId="77777777" w:rsidR="003E5BF5" w:rsidRPr="0029213D" w:rsidRDefault="003E5BF5" w:rsidP="00DE1921">
            <w:pPr>
              <w:rPr>
                <w:rFonts w:ascii="Arial" w:hAnsi="Arial" w:cs="Arial"/>
                <w:sz w:val="24"/>
                <w:szCs w:val="24"/>
              </w:rPr>
            </w:pPr>
          </w:p>
        </w:tc>
        <w:tc>
          <w:tcPr>
            <w:tcW w:w="2168" w:type="dxa"/>
            <w:gridSpan w:val="2"/>
            <w:shd w:val="clear" w:color="auto" w:fill="auto"/>
            <w:vAlign w:val="bottom"/>
            <w:hideMark/>
          </w:tcPr>
          <w:p w14:paraId="2303FE88"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Sustainably Manage Fish Resources</w:t>
            </w:r>
          </w:p>
        </w:tc>
        <w:tc>
          <w:tcPr>
            <w:tcW w:w="2023" w:type="dxa"/>
            <w:gridSpan w:val="2"/>
            <w:shd w:val="clear" w:color="auto" w:fill="auto"/>
            <w:vAlign w:val="bottom"/>
            <w:hideMark/>
          </w:tcPr>
          <w:p w14:paraId="6B486DB0"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Major projects</w:t>
            </w:r>
          </w:p>
        </w:tc>
        <w:tc>
          <w:tcPr>
            <w:tcW w:w="2315" w:type="dxa"/>
            <w:gridSpan w:val="2"/>
            <w:shd w:val="clear" w:color="auto" w:fill="auto"/>
            <w:vAlign w:val="bottom"/>
            <w:hideMark/>
          </w:tcPr>
          <w:p w14:paraId="54A4E150"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DoT Consolidated Totals</w:t>
            </w:r>
          </w:p>
        </w:tc>
      </w:tr>
      <w:tr w:rsidR="003E5BF5" w:rsidRPr="0029213D" w14:paraId="090FDBD7" w14:textId="77777777" w:rsidTr="008E16CB">
        <w:trPr>
          <w:trHeight w:val="340"/>
        </w:trPr>
        <w:tc>
          <w:tcPr>
            <w:tcW w:w="3417" w:type="dxa"/>
            <w:shd w:val="clear" w:color="auto" w:fill="auto"/>
            <w:vAlign w:val="center"/>
            <w:hideMark/>
          </w:tcPr>
          <w:p w14:paraId="31B314C8" w14:textId="77777777" w:rsidR="003E5BF5" w:rsidRPr="0029213D" w:rsidRDefault="003E5BF5" w:rsidP="00DE1921">
            <w:pPr>
              <w:rPr>
                <w:rFonts w:ascii="Arial" w:hAnsi="Arial" w:cs="Arial"/>
                <w:b/>
                <w:sz w:val="24"/>
                <w:szCs w:val="24"/>
              </w:rPr>
            </w:pPr>
          </w:p>
        </w:tc>
        <w:tc>
          <w:tcPr>
            <w:tcW w:w="1084" w:type="dxa"/>
            <w:shd w:val="clear" w:color="auto" w:fill="auto"/>
            <w:vAlign w:val="center"/>
            <w:hideMark/>
          </w:tcPr>
          <w:p w14:paraId="3E3102B7"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1084" w:type="dxa"/>
            <w:shd w:val="clear" w:color="auto" w:fill="auto"/>
            <w:vAlign w:val="center"/>
            <w:hideMark/>
          </w:tcPr>
          <w:p w14:paraId="7941F9F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1011" w:type="dxa"/>
            <w:shd w:val="clear" w:color="auto" w:fill="auto"/>
            <w:vAlign w:val="center"/>
            <w:hideMark/>
          </w:tcPr>
          <w:p w14:paraId="731EC67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1012" w:type="dxa"/>
            <w:shd w:val="clear" w:color="auto" w:fill="auto"/>
            <w:vAlign w:val="center"/>
            <w:hideMark/>
          </w:tcPr>
          <w:p w14:paraId="7EB02E9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1323" w:type="dxa"/>
            <w:shd w:val="clear" w:color="auto" w:fill="auto"/>
            <w:vAlign w:val="center"/>
            <w:hideMark/>
          </w:tcPr>
          <w:p w14:paraId="47F98BE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992" w:type="dxa"/>
            <w:shd w:val="clear" w:color="auto" w:fill="auto"/>
            <w:vAlign w:val="center"/>
            <w:hideMark/>
          </w:tcPr>
          <w:p w14:paraId="4B79571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r>
      <w:tr w:rsidR="003E5BF5" w:rsidRPr="0029213D" w14:paraId="5AAD2CC7" w14:textId="77777777" w:rsidTr="008E16CB">
        <w:trPr>
          <w:trHeight w:val="340"/>
        </w:trPr>
        <w:tc>
          <w:tcPr>
            <w:tcW w:w="3417" w:type="dxa"/>
            <w:shd w:val="clear" w:color="auto" w:fill="auto"/>
            <w:noWrap/>
            <w:vAlign w:val="center"/>
            <w:hideMark/>
          </w:tcPr>
          <w:p w14:paraId="40717496" w14:textId="77777777" w:rsidR="003E5BF5" w:rsidRPr="0029213D" w:rsidRDefault="003E5BF5" w:rsidP="00604703">
            <w:pPr>
              <w:pStyle w:val="TableTextGreen"/>
            </w:pPr>
            <w:r w:rsidRPr="0029213D">
              <w:t>Administered income from transactions</w:t>
            </w:r>
          </w:p>
        </w:tc>
        <w:tc>
          <w:tcPr>
            <w:tcW w:w="1084" w:type="dxa"/>
            <w:shd w:val="clear" w:color="auto" w:fill="auto"/>
            <w:noWrap/>
            <w:vAlign w:val="center"/>
            <w:hideMark/>
          </w:tcPr>
          <w:p w14:paraId="5B92822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084" w:type="dxa"/>
            <w:shd w:val="clear" w:color="auto" w:fill="auto"/>
            <w:noWrap/>
            <w:vAlign w:val="center"/>
            <w:hideMark/>
          </w:tcPr>
          <w:p w14:paraId="1E97B59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011" w:type="dxa"/>
            <w:shd w:val="clear" w:color="auto" w:fill="auto"/>
            <w:noWrap/>
            <w:vAlign w:val="center"/>
            <w:hideMark/>
          </w:tcPr>
          <w:p w14:paraId="3D1EF84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012" w:type="dxa"/>
            <w:shd w:val="clear" w:color="auto" w:fill="auto"/>
            <w:noWrap/>
            <w:vAlign w:val="center"/>
            <w:hideMark/>
          </w:tcPr>
          <w:p w14:paraId="682807D2"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323" w:type="dxa"/>
            <w:shd w:val="clear" w:color="auto" w:fill="auto"/>
            <w:noWrap/>
            <w:vAlign w:val="center"/>
            <w:hideMark/>
          </w:tcPr>
          <w:p w14:paraId="62C0F46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w:t>
            </w:r>
          </w:p>
        </w:tc>
        <w:tc>
          <w:tcPr>
            <w:tcW w:w="992" w:type="dxa"/>
            <w:shd w:val="clear" w:color="auto" w:fill="auto"/>
            <w:noWrap/>
            <w:vAlign w:val="center"/>
            <w:hideMark/>
          </w:tcPr>
          <w:p w14:paraId="1F6E047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w:t>
            </w:r>
          </w:p>
        </w:tc>
      </w:tr>
      <w:tr w:rsidR="003E5BF5" w:rsidRPr="0029213D" w14:paraId="719D7CBE" w14:textId="77777777" w:rsidTr="008E16CB">
        <w:trPr>
          <w:trHeight w:val="340"/>
        </w:trPr>
        <w:tc>
          <w:tcPr>
            <w:tcW w:w="3417" w:type="dxa"/>
            <w:shd w:val="clear" w:color="auto" w:fill="auto"/>
            <w:noWrap/>
            <w:vAlign w:val="center"/>
            <w:hideMark/>
          </w:tcPr>
          <w:p w14:paraId="409BC44E" w14:textId="77777777" w:rsidR="003E5BF5" w:rsidRPr="0029213D" w:rsidRDefault="003E5BF5" w:rsidP="00DE1921">
            <w:pPr>
              <w:rPr>
                <w:rFonts w:ascii="Arial" w:hAnsi="Arial" w:cs="Arial"/>
                <w:sz w:val="24"/>
                <w:szCs w:val="24"/>
              </w:rPr>
            </w:pPr>
            <w:r w:rsidRPr="0029213D">
              <w:rPr>
                <w:rFonts w:ascii="Arial" w:hAnsi="Arial" w:cs="Arial"/>
                <w:sz w:val="24"/>
                <w:szCs w:val="24"/>
              </w:rPr>
              <w:t xml:space="preserve">Sale of goods and services </w:t>
            </w:r>
          </w:p>
        </w:tc>
        <w:tc>
          <w:tcPr>
            <w:tcW w:w="1084" w:type="dxa"/>
            <w:shd w:val="clear" w:color="auto" w:fill="auto"/>
            <w:noWrap/>
            <w:vAlign w:val="center"/>
            <w:hideMark/>
          </w:tcPr>
          <w:p w14:paraId="32C6C16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349 </w:t>
            </w:r>
          </w:p>
        </w:tc>
        <w:tc>
          <w:tcPr>
            <w:tcW w:w="1084" w:type="dxa"/>
            <w:shd w:val="clear" w:color="auto" w:fill="auto"/>
            <w:noWrap/>
            <w:vAlign w:val="center"/>
            <w:hideMark/>
          </w:tcPr>
          <w:p w14:paraId="0DF6307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249 </w:t>
            </w:r>
          </w:p>
        </w:tc>
        <w:tc>
          <w:tcPr>
            <w:tcW w:w="1011" w:type="dxa"/>
            <w:shd w:val="clear" w:color="auto" w:fill="auto"/>
            <w:noWrap/>
            <w:vAlign w:val="center"/>
            <w:hideMark/>
          </w:tcPr>
          <w:p w14:paraId="38ADE081"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2" w:type="dxa"/>
            <w:shd w:val="clear" w:color="auto" w:fill="auto"/>
            <w:noWrap/>
            <w:vAlign w:val="center"/>
            <w:hideMark/>
          </w:tcPr>
          <w:p w14:paraId="018A933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880 </w:t>
            </w:r>
          </w:p>
        </w:tc>
        <w:tc>
          <w:tcPr>
            <w:tcW w:w="1323" w:type="dxa"/>
            <w:shd w:val="clear" w:color="auto" w:fill="auto"/>
            <w:noWrap/>
            <w:vAlign w:val="center"/>
            <w:hideMark/>
          </w:tcPr>
          <w:p w14:paraId="3C3DD94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139,214 </w:t>
            </w:r>
          </w:p>
        </w:tc>
        <w:tc>
          <w:tcPr>
            <w:tcW w:w="992" w:type="dxa"/>
            <w:shd w:val="clear" w:color="auto" w:fill="auto"/>
            <w:noWrap/>
            <w:vAlign w:val="center"/>
            <w:hideMark/>
          </w:tcPr>
          <w:p w14:paraId="2BC64DA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33,101 </w:t>
            </w:r>
          </w:p>
        </w:tc>
      </w:tr>
      <w:tr w:rsidR="003E5BF5" w:rsidRPr="0029213D" w14:paraId="1CC8F579" w14:textId="77777777" w:rsidTr="008E16CB">
        <w:trPr>
          <w:trHeight w:val="340"/>
        </w:trPr>
        <w:tc>
          <w:tcPr>
            <w:tcW w:w="3417" w:type="dxa"/>
            <w:shd w:val="clear" w:color="auto" w:fill="auto"/>
            <w:noWrap/>
            <w:vAlign w:val="center"/>
            <w:hideMark/>
          </w:tcPr>
          <w:p w14:paraId="41C78201" w14:textId="77777777" w:rsidR="003E5BF5" w:rsidRPr="0029213D" w:rsidRDefault="003E5BF5" w:rsidP="00DE1921">
            <w:pPr>
              <w:rPr>
                <w:rFonts w:ascii="Arial" w:hAnsi="Arial" w:cs="Arial"/>
                <w:sz w:val="24"/>
                <w:szCs w:val="24"/>
              </w:rPr>
            </w:pPr>
            <w:r w:rsidRPr="0029213D">
              <w:rPr>
                <w:rFonts w:ascii="Arial" w:hAnsi="Arial" w:cs="Arial"/>
                <w:sz w:val="24"/>
                <w:szCs w:val="24"/>
              </w:rPr>
              <w:t>Appropriations - payments made on behalf of the State</w:t>
            </w:r>
          </w:p>
        </w:tc>
        <w:tc>
          <w:tcPr>
            <w:tcW w:w="1084" w:type="dxa"/>
            <w:shd w:val="clear" w:color="auto" w:fill="auto"/>
            <w:noWrap/>
            <w:hideMark/>
          </w:tcPr>
          <w:p w14:paraId="1DD3394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84" w:type="dxa"/>
            <w:shd w:val="clear" w:color="auto" w:fill="auto"/>
            <w:noWrap/>
            <w:hideMark/>
          </w:tcPr>
          <w:p w14:paraId="4B4A301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18 </w:t>
            </w:r>
          </w:p>
        </w:tc>
        <w:tc>
          <w:tcPr>
            <w:tcW w:w="1011" w:type="dxa"/>
            <w:shd w:val="clear" w:color="auto" w:fill="auto"/>
            <w:noWrap/>
            <w:hideMark/>
          </w:tcPr>
          <w:p w14:paraId="7824AD03"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2" w:type="dxa"/>
            <w:shd w:val="clear" w:color="auto" w:fill="auto"/>
            <w:noWrap/>
            <w:hideMark/>
          </w:tcPr>
          <w:p w14:paraId="320E3C2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323" w:type="dxa"/>
            <w:shd w:val="clear" w:color="auto" w:fill="auto"/>
            <w:noWrap/>
            <w:hideMark/>
          </w:tcPr>
          <w:p w14:paraId="6727A6B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92" w:type="dxa"/>
            <w:shd w:val="clear" w:color="auto" w:fill="auto"/>
            <w:noWrap/>
            <w:hideMark/>
          </w:tcPr>
          <w:p w14:paraId="7733E44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18 </w:t>
            </w:r>
          </w:p>
        </w:tc>
      </w:tr>
      <w:tr w:rsidR="003E5BF5" w:rsidRPr="0029213D" w14:paraId="23B94426" w14:textId="77777777" w:rsidTr="008E16CB">
        <w:trPr>
          <w:trHeight w:val="340"/>
        </w:trPr>
        <w:tc>
          <w:tcPr>
            <w:tcW w:w="3417" w:type="dxa"/>
            <w:shd w:val="clear" w:color="auto" w:fill="auto"/>
            <w:noWrap/>
            <w:vAlign w:val="center"/>
            <w:hideMark/>
          </w:tcPr>
          <w:p w14:paraId="647DE4AB" w14:textId="77777777" w:rsidR="003E5BF5" w:rsidRPr="0029213D" w:rsidRDefault="003E5BF5" w:rsidP="00DE1921">
            <w:pPr>
              <w:rPr>
                <w:rFonts w:ascii="Arial" w:hAnsi="Arial" w:cs="Arial"/>
                <w:sz w:val="24"/>
                <w:szCs w:val="24"/>
              </w:rPr>
            </w:pPr>
            <w:r w:rsidRPr="0029213D">
              <w:rPr>
                <w:rFonts w:ascii="Arial" w:hAnsi="Arial" w:cs="Arial"/>
                <w:sz w:val="24"/>
                <w:szCs w:val="24"/>
              </w:rPr>
              <w:t>Other income</w:t>
            </w:r>
          </w:p>
        </w:tc>
        <w:tc>
          <w:tcPr>
            <w:tcW w:w="1084" w:type="dxa"/>
            <w:shd w:val="clear" w:color="auto" w:fill="auto"/>
            <w:noWrap/>
            <w:vAlign w:val="center"/>
            <w:hideMark/>
          </w:tcPr>
          <w:p w14:paraId="4CBA596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808 </w:t>
            </w:r>
          </w:p>
        </w:tc>
        <w:tc>
          <w:tcPr>
            <w:tcW w:w="1084" w:type="dxa"/>
            <w:shd w:val="clear" w:color="auto" w:fill="auto"/>
            <w:noWrap/>
            <w:vAlign w:val="center"/>
            <w:hideMark/>
          </w:tcPr>
          <w:p w14:paraId="2405744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 </w:t>
            </w:r>
          </w:p>
        </w:tc>
        <w:tc>
          <w:tcPr>
            <w:tcW w:w="1011" w:type="dxa"/>
            <w:shd w:val="clear" w:color="auto" w:fill="auto"/>
            <w:noWrap/>
            <w:vAlign w:val="center"/>
            <w:hideMark/>
          </w:tcPr>
          <w:p w14:paraId="0049AA4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2" w:type="dxa"/>
            <w:shd w:val="clear" w:color="auto" w:fill="auto"/>
            <w:noWrap/>
            <w:vAlign w:val="center"/>
            <w:hideMark/>
          </w:tcPr>
          <w:p w14:paraId="2516E06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 </w:t>
            </w:r>
          </w:p>
        </w:tc>
        <w:tc>
          <w:tcPr>
            <w:tcW w:w="1323" w:type="dxa"/>
            <w:shd w:val="clear" w:color="auto" w:fill="auto"/>
            <w:noWrap/>
            <w:vAlign w:val="center"/>
            <w:hideMark/>
          </w:tcPr>
          <w:p w14:paraId="79ACA5F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33,080 </w:t>
            </w:r>
          </w:p>
        </w:tc>
        <w:tc>
          <w:tcPr>
            <w:tcW w:w="992" w:type="dxa"/>
            <w:shd w:val="clear" w:color="auto" w:fill="auto"/>
            <w:noWrap/>
            <w:vAlign w:val="center"/>
            <w:hideMark/>
          </w:tcPr>
          <w:p w14:paraId="6F68D4D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5,738 </w:t>
            </w:r>
          </w:p>
        </w:tc>
      </w:tr>
      <w:tr w:rsidR="003E5BF5" w:rsidRPr="0029213D" w14:paraId="2AB704A0" w14:textId="77777777" w:rsidTr="008E16CB">
        <w:trPr>
          <w:trHeight w:val="340"/>
        </w:trPr>
        <w:tc>
          <w:tcPr>
            <w:tcW w:w="3417" w:type="dxa"/>
            <w:shd w:val="clear" w:color="auto" w:fill="auto"/>
            <w:noWrap/>
            <w:vAlign w:val="center"/>
            <w:hideMark/>
          </w:tcPr>
          <w:p w14:paraId="157820C7" w14:textId="77777777" w:rsidR="003E5BF5" w:rsidRPr="0029213D" w:rsidRDefault="003E5BF5" w:rsidP="00DE1921">
            <w:pPr>
              <w:rPr>
                <w:rFonts w:ascii="Arial" w:hAnsi="Arial" w:cs="Arial"/>
                <w:sz w:val="24"/>
                <w:szCs w:val="24"/>
              </w:rPr>
            </w:pPr>
            <w:r w:rsidRPr="0029213D">
              <w:rPr>
                <w:rFonts w:ascii="Arial" w:hAnsi="Arial" w:cs="Arial"/>
                <w:sz w:val="24"/>
                <w:szCs w:val="24"/>
              </w:rPr>
              <w:t>Statutory fines</w:t>
            </w:r>
          </w:p>
        </w:tc>
        <w:tc>
          <w:tcPr>
            <w:tcW w:w="1084" w:type="dxa"/>
            <w:shd w:val="clear" w:color="auto" w:fill="auto"/>
            <w:noWrap/>
            <w:vAlign w:val="center"/>
            <w:hideMark/>
          </w:tcPr>
          <w:p w14:paraId="3C8E23E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84" w:type="dxa"/>
            <w:shd w:val="clear" w:color="auto" w:fill="auto"/>
            <w:noWrap/>
            <w:vAlign w:val="center"/>
            <w:hideMark/>
          </w:tcPr>
          <w:p w14:paraId="3403EB7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1" w:type="dxa"/>
            <w:shd w:val="clear" w:color="auto" w:fill="auto"/>
            <w:noWrap/>
            <w:vAlign w:val="center"/>
            <w:hideMark/>
          </w:tcPr>
          <w:p w14:paraId="156D4E4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2" w:type="dxa"/>
            <w:shd w:val="clear" w:color="auto" w:fill="auto"/>
            <w:noWrap/>
            <w:vAlign w:val="center"/>
            <w:hideMark/>
          </w:tcPr>
          <w:p w14:paraId="1D610B6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323" w:type="dxa"/>
            <w:shd w:val="clear" w:color="auto" w:fill="auto"/>
            <w:noWrap/>
            <w:vAlign w:val="center"/>
            <w:hideMark/>
          </w:tcPr>
          <w:p w14:paraId="2EFE5F4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19,084 </w:t>
            </w:r>
          </w:p>
        </w:tc>
        <w:tc>
          <w:tcPr>
            <w:tcW w:w="992" w:type="dxa"/>
            <w:shd w:val="clear" w:color="auto" w:fill="auto"/>
            <w:noWrap/>
            <w:vAlign w:val="center"/>
            <w:hideMark/>
          </w:tcPr>
          <w:p w14:paraId="6F9B0FB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23,067 </w:t>
            </w:r>
          </w:p>
        </w:tc>
      </w:tr>
      <w:tr w:rsidR="003E5BF5" w:rsidRPr="0029213D" w14:paraId="7786A3CF" w14:textId="77777777" w:rsidTr="008E16CB">
        <w:trPr>
          <w:trHeight w:val="340"/>
        </w:trPr>
        <w:tc>
          <w:tcPr>
            <w:tcW w:w="3417" w:type="dxa"/>
            <w:shd w:val="clear" w:color="auto" w:fill="auto"/>
            <w:noWrap/>
            <w:vAlign w:val="center"/>
            <w:hideMark/>
          </w:tcPr>
          <w:p w14:paraId="4A392E7D" w14:textId="77777777" w:rsidR="003E5BF5" w:rsidRPr="0029213D" w:rsidRDefault="003E5BF5" w:rsidP="00DE1921">
            <w:pPr>
              <w:rPr>
                <w:rFonts w:ascii="Arial" w:hAnsi="Arial" w:cs="Arial"/>
                <w:sz w:val="24"/>
                <w:szCs w:val="24"/>
              </w:rPr>
            </w:pPr>
            <w:r w:rsidRPr="0029213D">
              <w:rPr>
                <w:rFonts w:ascii="Arial" w:hAnsi="Arial" w:cs="Arial"/>
                <w:sz w:val="24"/>
                <w:szCs w:val="24"/>
              </w:rPr>
              <w:t>Regulatory fees, fines, leases and licences</w:t>
            </w:r>
          </w:p>
        </w:tc>
        <w:tc>
          <w:tcPr>
            <w:tcW w:w="1084" w:type="dxa"/>
            <w:shd w:val="clear" w:color="auto" w:fill="auto"/>
            <w:noWrap/>
            <w:hideMark/>
          </w:tcPr>
          <w:p w14:paraId="0EB94C6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4,156 </w:t>
            </w:r>
          </w:p>
        </w:tc>
        <w:tc>
          <w:tcPr>
            <w:tcW w:w="1084" w:type="dxa"/>
            <w:shd w:val="clear" w:color="auto" w:fill="auto"/>
            <w:noWrap/>
            <w:hideMark/>
          </w:tcPr>
          <w:p w14:paraId="75B3C5F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12,690 </w:t>
            </w:r>
          </w:p>
        </w:tc>
        <w:tc>
          <w:tcPr>
            <w:tcW w:w="1011" w:type="dxa"/>
            <w:shd w:val="clear" w:color="auto" w:fill="auto"/>
            <w:noWrap/>
            <w:hideMark/>
          </w:tcPr>
          <w:p w14:paraId="0CBF167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2" w:type="dxa"/>
            <w:shd w:val="clear" w:color="auto" w:fill="auto"/>
            <w:noWrap/>
            <w:hideMark/>
          </w:tcPr>
          <w:p w14:paraId="19CE66E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323" w:type="dxa"/>
            <w:shd w:val="clear" w:color="auto" w:fill="auto"/>
            <w:noWrap/>
            <w:hideMark/>
          </w:tcPr>
          <w:p w14:paraId="1E4E1C7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2,908,650 </w:t>
            </w:r>
          </w:p>
        </w:tc>
        <w:tc>
          <w:tcPr>
            <w:tcW w:w="992" w:type="dxa"/>
            <w:shd w:val="clear" w:color="auto" w:fill="auto"/>
            <w:noWrap/>
            <w:hideMark/>
          </w:tcPr>
          <w:p w14:paraId="35A78AD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13,732 </w:t>
            </w:r>
          </w:p>
        </w:tc>
      </w:tr>
      <w:tr w:rsidR="003E5BF5" w:rsidRPr="0029213D" w14:paraId="246D401B" w14:textId="77777777" w:rsidTr="008E16CB">
        <w:trPr>
          <w:trHeight w:val="340"/>
        </w:trPr>
        <w:tc>
          <w:tcPr>
            <w:tcW w:w="3417" w:type="dxa"/>
            <w:shd w:val="clear" w:color="auto" w:fill="auto"/>
            <w:noWrap/>
            <w:vAlign w:val="center"/>
            <w:hideMark/>
          </w:tcPr>
          <w:p w14:paraId="03473B82" w14:textId="77777777" w:rsidR="003E5BF5" w:rsidRPr="0029213D" w:rsidRDefault="003E5BF5" w:rsidP="00DE1921">
            <w:pPr>
              <w:rPr>
                <w:rFonts w:ascii="Arial" w:hAnsi="Arial" w:cs="Arial"/>
                <w:sz w:val="24"/>
                <w:szCs w:val="24"/>
              </w:rPr>
            </w:pPr>
            <w:r w:rsidRPr="0029213D">
              <w:rPr>
                <w:rFonts w:ascii="Arial" w:hAnsi="Arial" w:cs="Arial"/>
                <w:sz w:val="24"/>
                <w:szCs w:val="24"/>
              </w:rPr>
              <w:t>Interest income</w:t>
            </w:r>
          </w:p>
        </w:tc>
        <w:tc>
          <w:tcPr>
            <w:tcW w:w="1084" w:type="dxa"/>
            <w:shd w:val="clear" w:color="auto" w:fill="auto"/>
            <w:noWrap/>
            <w:vAlign w:val="center"/>
            <w:hideMark/>
          </w:tcPr>
          <w:p w14:paraId="5EC28EB7"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84" w:type="dxa"/>
            <w:shd w:val="clear" w:color="auto" w:fill="auto"/>
            <w:noWrap/>
            <w:vAlign w:val="center"/>
            <w:hideMark/>
          </w:tcPr>
          <w:p w14:paraId="68E9EDE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1" w:type="dxa"/>
            <w:shd w:val="clear" w:color="auto" w:fill="auto"/>
            <w:noWrap/>
            <w:vAlign w:val="center"/>
            <w:hideMark/>
          </w:tcPr>
          <w:p w14:paraId="7159A01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2" w:type="dxa"/>
            <w:shd w:val="clear" w:color="auto" w:fill="auto"/>
            <w:noWrap/>
            <w:vAlign w:val="center"/>
            <w:hideMark/>
          </w:tcPr>
          <w:p w14:paraId="165EBFD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323" w:type="dxa"/>
            <w:shd w:val="clear" w:color="auto" w:fill="auto"/>
            <w:noWrap/>
            <w:vAlign w:val="center"/>
            <w:hideMark/>
          </w:tcPr>
          <w:p w14:paraId="4BF3355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303 </w:t>
            </w:r>
          </w:p>
        </w:tc>
        <w:tc>
          <w:tcPr>
            <w:tcW w:w="992" w:type="dxa"/>
            <w:shd w:val="clear" w:color="auto" w:fill="auto"/>
            <w:noWrap/>
            <w:vAlign w:val="center"/>
            <w:hideMark/>
          </w:tcPr>
          <w:p w14:paraId="4C52ED7A"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6169CEE1" w14:textId="77777777" w:rsidTr="008E16CB">
        <w:trPr>
          <w:trHeight w:val="340"/>
        </w:trPr>
        <w:tc>
          <w:tcPr>
            <w:tcW w:w="3417" w:type="dxa"/>
            <w:shd w:val="clear" w:color="auto" w:fill="auto"/>
            <w:noWrap/>
            <w:vAlign w:val="center"/>
            <w:hideMark/>
          </w:tcPr>
          <w:p w14:paraId="0E411D09" w14:textId="77777777" w:rsidR="003E5BF5" w:rsidRPr="0029213D" w:rsidRDefault="003E5BF5" w:rsidP="00DE1921">
            <w:pPr>
              <w:rPr>
                <w:rFonts w:ascii="Arial" w:hAnsi="Arial" w:cs="Arial"/>
                <w:sz w:val="24"/>
                <w:szCs w:val="24"/>
              </w:rPr>
            </w:pPr>
            <w:r w:rsidRPr="0029213D">
              <w:rPr>
                <w:rFonts w:ascii="Arial" w:hAnsi="Arial" w:cs="Arial"/>
                <w:sz w:val="24"/>
                <w:szCs w:val="24"/>
              </w:rPr>
              <w:t>Commonwealth grants</w:t>
            </w:r>
          </w:p>
        </w:tc>
        <w:tc>
          <w:tcPr>
            <w:tcW w:w="1084" w:type="dxa"/>
            <w:shd w:val="clear" w:color="auto" w:fill="auto"/>
            <w:noWrap/>
            <w:vAlign w:val="center"/>
            <w:hideMark/>
          </w:tcPr>
          <w:p w14:paraId="730391D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84" w:type="dxa"/>
            <w:shd w:val="clear" w:color="auto" w:fill="auto"/>
            <w:noWrap/>
            <w:vAlign w:val="center"/>
            <w:hideMark/>
          </w:tcPr>
          <w:p w14:paraId="6AFF18C8"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1" w:type="dxa"/>
            <w:shd w:val="clear" w:color="auto" w:fill="auto"/>
            <w:noWrap/>
            <w:vAlign w:val="center"/>
            <w:hideMark/>
          </w:tcPr>
          <w:p w14:paraId="5766A0A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2" w:type="dxa"/>
            <w:shd w:val="clear" w:color="auto" w:fill="auto"/>
            <w:noWrap/>
            <w:vAlign w:val="center"/>
            <w:hideMark/>
          </w:tcPr>
          <w:p w14:paraId="172ED59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323" w:type="dxa"/>
            <w:shd w:val="clear" w:color="auto" w:fill="auto"/>
            <w:noWrap/>
            <w:vAlign w:val="center"/>
            <w:hideMark/>
          </w:tcPr>
          <w:p w14:paraId="7AC55D1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8,645 </w:t>
            </w:r>
          </w:p>
        </w:tc>
        <w:tc>
          <w:tcPr>
            <w:tcW w:w="992" w:type="dxa"/>
            <w:shd w:val="clear" w:color="auto" w:fill="auto"/>
            <w:noWrap/>
            <w:vAlign w:val="center"/>
            <w:hideMark/>
          </w:tcPr>
          <w:p w14:paraId="00914DF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5EC48BF4" w14:textId="77777777" w:rsidTr="008E16CB">
        <w:trPr>
          <w:trHeight w:val="340"/>
        </w:trPr>
        <w:tc>
          <w:tcPr>
            <w:tcW w:w="3417" w:type="dxa"/>
            <w:shd w:val="clear" w:color="auto" w:fill="auto"/>
            <w:noWrap/>
            <w:vAlign w:val="center"/>
            <w:hideMark/>
          </w:tcPr>
          <w:p w14:paraId="33328421"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income from transactions</w:t>
            </w:r>
          </w:p>
        </w:tc>
        <w:tc>
          <w:tcPr>
            <w:tcW w:w="1084" w:type="dxa"/>
            <w:shd w:val="clear" w:color="auto" w:fill="auto"/>
            <w:noWrap/>
            <w:hideMark/>
          </w:tcPr>
          <w:p w14:paraId="3403A4A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5,313 </w:t>
            </w:r>
          </w:p>
        </w:tc>
        <w:tc>
          <w:tcPr>
            <w:tcW w:w="1084" w:type="dxa"/>
            <w:shd w:val="clear" w:color="auto" w:fill="auto"/>
            <w:noWrap/>
            <w:hideMark/>
          </w:tcPr>
          <w:p w14:paraId="0ACF88A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12,963 </w:t>
            </w:r>
          </w:p>
        </w:tc>
        <w:tc>
          <w:tcPr>
            <w:tcW w:w="1011" w:type="dxa"/>
            <w:shd w:val="clear" w:color="auto" w:fill="auto"/>
            <w:noWrap/>
            <w:hideMark/>
          </w:tcPr>
          <w:p w14:paraId="56B9880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12" w:type="dxa"/>
            <w:shd w:val="clear" w:color="auto" w:fill="auto"/>
            <w:noWrap/>
            <w:hideMark/>
          </w:tcPr>
          <w:p w14:paraId="26A3E12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881 </w:t>
            </w:r>
          </w:p>
        </w:tc>
        <w:tc>
          <w:tcPr>
            <w:tcW w:w="1323" w:type="dxa"/>
            <w:shd w:val="clear" w:color="auto" w:fill="auto"/>
            <w:noWrap/>
            <w:hideMark/>
          </w:tcPr>
          <w:p w14:paraId="7800D3D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3,108,976 </w:t>
            </w:r>
          </w:p>
        </w:tc>
        <w:tc>
          <w:tcPr>
            <w:tcW w:w="992" w:type="dxa"/>
            <w:shd w:val="clear" w:color="auto" w:fill="auto"/>
            <w:noWrap/>
            <w:hideMark/>
          </w:tcPr>
          <w:p w14:paraId="52CB5D3B"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75,656 </w:t>
            </w:r>
          </w:p>
        </w:tc>
      </w:tr>
      <w:tr w:rsidR="003E5BF5" w:rsidRPr="0029213D" w14:paraId="40C0A9BD" w14:textId="77777777" w:rsidTr="008E16CB">
        <w:trPr>
          <w:trHeight w:val="340"/>
        </w:trPr>
        <w:tc>
          <w:tcPr>
            <w:tcW w:w="3417" w:type="dxa"/>
            <w:shd w:val="clear" w:color="auto" w:fill="auto"/>
            <w:noWrap/>
            <w:vAlign w:val="center"/>
            <w:hideMark/>
          </w:tcPr>
          <w:p w14:paraId="353A0295" w14:textId="77777777" w:rsidR="003E5BF5" w:rsidRPr="0029213D" w:rsidRDefault="003E5BF5" w:rsidP="00604703">
            <w:pPr>
              <w:pStyle w:val="TableTextGreen"/>
            </w:pPr>
            <w:r w:rsidRPr="0029213D">
              <w:t>Administered expenses from transactions</w:t>
            </w:r>
          </w:p>
        </w:tc>
        <w:tc>
          <w:tcPr>
            <w:tcW w:w="1084" w:type="dxa"/>
            <w:shd w:val="clear" w:color="auto" w:fill="auto"/>
            <w:noWrap/>
            <w:vAlign w:val="center"/>
            <w:hideMark/>
          </w:tcPr>
          <w:p w14:paraId="0D81DA09" w14:textId="77777777" w:rsidR="003E5BF5" w:rsidRPr="0029213D" w:rsidRDefault="003E5BF5" w:rsidP="00DE1921">
            <w:pPr>
              <w:jc w:val="right"/>
              <w:rPr>
                <w:rFonts w:ascii="Arial" w:hAnsi="Arial" w:cs="Arial"/>
                <w:sz w:val="24"/>
                <w:szCs w:val="24"/>
              </w:rPr>
            </w:pPr>
          </w:p>
        </w:tc>
        <w:tc>
          <w:tcPr>
            <w:tcW w:w="1084" w:type="dxa"/>
            <w:shd w:val="clear" w:color="auto" w:fill="auto"/>
            <w:noWrap/>
            <w:vAlign w:val="center"/>
            <w:hideMark/>
          </w:tcPr>
          <w:p w14:paraId="49963ED2" w14:textId="77777777" w:rsidR="003E5BF5" w:rsidRPr="0029213D" w:rsidRDefault="003E5BF5" w:rsidP="00DE1921">
            <w:pPr>
              <w:jc w:val="right"/>
              <w:rPr>
                <w:rFonts w:ascii="Arial" w:hAnsi="Arial" w:cs="Arial"/>
                <w:sz w:val="24"/>
                <w:szCs w:val="24"/>
              </w:rPr>
            </w:pPr>
          </w:p>
        </w:tc>
        <w:tc>
          <w:tcPr>
            <w:tcW w:w="1011" w:type="dxa"/>
            <w:shd w:val="clear" w:color="auto" w:fill="auto"/>
            <w:noWrap/>
            <w:vAlign w:val="center"/>
            <w:hideMark/>
          </w:tcPr>
          <w:p w14:paraId="23F4D6EE" w14:textId="77777777" w:rsidR="003E5BF5" w:rsidRPr="0029213D" w:rsidRDefault="003E5BF5" w:rsidP="00DE1921">
            <w:pPr>
              <w:jc w:val="right"/>
              <w:rPr>
                <w:rFonts w:ascii="Arial" w:hAnsi="Arial" w:cs="Arial"/>
                <w:sz w:val="24"/>
                <w:szCs w:val="24"/>
              </w:rPr>
            </w:pPr>
          </w:p>
        </w:tc>
        <w:tc>
          <w:tcPr>
            <w:tcW w:w="1012" w:type="dxa"/>
            <w:shd w:val="clear" w:color="auto" w:fill="auto"/>
            <w:noWrap/>
            <w:vAlign w:val="center"/>
            <w:hideMark/>
          </w:tcPr>
          <w:p w14:paraId="02E63DBC" w14:textId="77777777" w:rsidR="003E5BF5" w:rsidRPr="0029213D" w:rsidRDefault="003E5BF5" w:rsidP="00DE1921">
            <w:pPr>
              <w:jc w:val="right"/>
              <w:rPr>
                <w:rFonts w:ascii="Arial" w:hAnsi="Arial" w:cs="Arial"/>
                <w:sz w:val="24"/>
                <w:szCs w:val="24"/>
              </w:rPr>
            </w:pPr>
          </w:p>
        </w:tc>
        <w:tc>
          <w:tcPr>
            <w:tcW w:w="1323" w:type="dxa"/>
            <w:shd w:val="clear" w:color="auto" w:fill="auto"/>
            <w:noWrap/>
            <w:vAlign w:val="center"/>
            <w:hideMark/>
          </w:tcPr>
          <w:p w14:paraId="55DAFD88" w14:textId="77777777" w:rsidR="003E5BF5" w:rsidRPr="0029213D" w:rsidRDefault="003E5BF5" w:rsidP="00DE1921">
            <w:pPr>
              <w:jc w:val="right"/>
              <w:rPr>
                <w:rFonts w:ascii="Arial" w:hAnsi="Arial" w:cs="Arial"/>
                <w:sz w:val="24"/>
                <w:szCs w:val="24"/>
              </w:rPr>
            </w:pPr>
          </w:p>
        </w:tc>
        <w:tc>
          <w:tcPr>
            <w:tcW w:w="992" w:type="dxa"/>
            <w:shd w:val="clear" w:color="auto" w:fill="auto"/>
            <w:noWrap/>
            <w:vAlign w:val="center"/>
            <w:hideMark/>
          </w:tcPr>
          <w:p w14:paraId="4D3D3901" w14:textId="77777777" w:rsidR="003E5BF5" w:rsidRPr="0029213D" w:rsidRDefault="003E5BF5" w:rsidP="00DE1921">
            <w:pPr>
              <w:jc w:val="right"/>
              <w:rPr>
                <w:rFonts w:ascii="Arial" w:hAnsi="Arial" w:cs="Arial"/>
                <w:sz w:val="24"/>
                <w:szCs w:val="24"/>
              </w:rPr>
            </w:pPr>
          </w:p>
        </w:tc>
      </w:tr>
      <w:tr w:rsidR="003E5BF5" w:rsidRPr="0029213D" w14:paraId="024DA336" w14:textId="77777777" w:rsidTr="008E16CB">
        <w:trPr>
          <w:trHeight w:val="340"/>
        </w:trPr>
        <w:tc>
          <w:tcPr>
            <w:tcW w:w="3417" w:type="dxa"/>
            <w:shd w:val="clear" w:color="auto" w:fill="auto"/>
            <w:noWrap/>
            <w:vAlign w:val="center"/>
            <w:hideMark/>
          </w:tcPr>
          <w:p w14:paraId="3A3C915A" w14:textId="77777777" w:rsidR="003E5BF5" w:rsidRPr="0029213D" w:rsidRDefault="003E5BF5" w:rsidP="00DE1921">
            <w:pPr>
              <w:rPr>
                <w:rFonts w:ascii="Arial" w:hAnsi="Arial" w:cs="Arial"/>
                <w:sz w:val="24"/>
                <w:szCs w:val="24"/>
              </w:rPr>
            </w:pPr>
            <w:r w:rsidRPr="0029213D">
              <w:rPr>
                <w:rFonts w:ascii="Arial" w:hAnsi="Arial" w:cs="Arial"/>
                <w:sz w:val="24"/>
                <w:szCs w:val="24"/>
              </w:rPr>
              <w:t>Payments into Consolidated Fund</w:t>
            </w:r>
          </w:p>
        </w:tc>
        <w:tc>
          <w:tcPr>
            <w:tcW w:w="1084" w:type="dxa"/>
            <w:shd w:val="clear" w:color="auto" w:fill="auto"/>
            <w:noWrap/>
            <w:vAlign w:val="center"/>
            <w:hideMark/>
          </w:tcPr>
          <w:p w14:paraId="40A0ED6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(5,295)</w:t>
            </w:r>
          </w:p>
        </w:tc>
        <w:tc>
          <w:tcPr>
            <w:tcW w:w="1084" w:type="dxa"/>
            <w:shd w:val="clear" w:color="auto" w:fill="auto"/>
            <w:noWrap/>
            <w:vAlign w:val="center"/>
            <w:hideMark/>
          </w:tcPr>
          <w:p w14:paraId="78C1769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(14,696)</w:t>
            </w:r>
          </w:p>
        </w:tc>
        <w:tc>
          <w:tcPr>
            <w:tcW w:w="1011" w:type="dxa"/>
            <w:shd w:val="clear" w:color="auto" w:fill="auto"/>
            <w:noWrap/>
            <w:vAlign w:val="center"/>
            <w:hideMark/>
          </w:tcPr>
          <w:p w14:paraId="30EF72B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2" w:type="dxa"/>
            <w:shd w:val="clear" w:color="auto" w:fill="auto"/>
            <w:noWrap/>
            <w:vAlign w:val="center"/>
            <w:hideMark/>
          </w:tcPr>
          <w:p w14:paraId="6D0FE99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(966)</w:t>
            </w:r>
          </w:p>
        </w:tc>
        <w:tc>
          <w:tcPr>
            <w:tcW w:w="1323" w:type="dxa"/>
            <w:shd w:val="clear" w:color="auto" w:fill="auto"/>
            <w:noWrap/>
            <w:vAlign w:val="center"/>
            <w:hideMark/>
          </w:tcPr>
          <w:p w14:paraId="1681E27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(3,098,136)</w:t>
            </w:r>
          </w:p>
        </w:tc>
        <w:tc>
          <w:tcPr>
            <w:tcW w:w="992" w:type="dxa"/>
            <w:shd w:val="clear" w:color="auto" w:fill="auto"/>
            <w:noWrap/>
            <w:vAlign w:val="center"/>
            <w:hideMark/>
          </w:tcPr>
          <w:p w14:paraId="0FD8915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(94,517)</w:t>
            </w:r>
          </w:p>
        </w:tc>
      </w:tr>
      <w:tr w:rsidR="003E5BF5" w:rsidRPr="0029213D" w14:paraId="156BF805" w14:textId="77777777" w:rsidTr="008E16CB">
        <w:trPr>
          <w:trHeight w:val="340"/>
        </w:trPr>
        <w:tc>
          <w:tcPr>
            <w:tcW w:w="3417" w:type="dxa"/>
            <w:shd w:val="clear" w:color="auto" w:fill="auto"/>
            <w:noWrap/>
            <w:vAlign w:val="center"/>
            <w:hideMark/>
          </w:tcPr>
          <w:p w14:paraId="777AFCD8" w14:textId="77777777" w:rsidR="003E5BF5" w:rsidRPr="0029213D" w:rsidRDefault="003E5BF5" w:rsidP="00DE1921">
            <w:pPr>
              <w:rPr>
                <w:rFonts w:ascii="Arial" w:hAnsi="Arial" w:cs="Arial"/>
                <w:sz w:val="24"/>
                <w:szCs w:val="24"/>
              </w:rPr>
            </w:pPr>
            <w:r w:rsidRPr="0029213D">
              <w:rPr>
                <w:rFonts w:ascii="Arial" w:hAnsi="Arial" w:cs="Arial"/>
                <w:sz w:val="24"/>
                <w:szCs w:val="24"/>
              </w:rPr>
              <w:t>Other expenses</w:t>
            </w:r>
          </w:p>
        </w:tc>
        <w:tc>
          <w:tcPr>
            <w:tcW w:w="1084" w:type="dxa"/>
            <w:shd w:val="clear" w:color="auto" w:fill="auto"/>
            <w:noWrap/>
            <w:vAlign w:val="center"/>
            <w:hideMark/>
          </w:tcPr>
          <w:p w14:paraId="4442ED7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84" w:type="dxa"/>
            <w:shd w:val="clear" w:color="auto" w:fill="auto"/>
            <w:noWrap/>
            <w:vAlign w:val="center"/>
            <w:hideMark/>
          </w:tcPr>
          <w:p w14:paraId="569C0C7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(29)</w:t>
            </w:r>
          </w:p>
        </w:tc>
        <w:tc>
          <w:tcPr>
            <w:tcW w:w="1011" w:type="dxa"/>
            <w:shd w:val="clear" w:color="auto" w:fill="auto"/>
            <w:noWrap/>
            <w:vAlign w:val="center"/>
            <w:hideMark/>
          </w:tcPr>
          <w:p w14:paraId="3B96700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2" w:type="dxa"/>
            <w:shd w:val="clear" w:color="auto" w:fill="auto"/>
            <w:noWrap/>
            <w:vAlign w:val="center"/>
            <w:hideMark/>
          </w:tcPr>
          <w:p w14:paraId="15552EC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w:t>
            </w:r>
          </w:p>
        </w:tc>
        <w:tc>
          <w:tcPr>
            <w:tcW w:w="1323" w:type="dxa"/>
            <w:shd w:val="clear" w:color="auto" w:fill="auto"/>
            <w:noWrap/>
            <w:vAlign w:val="center"/>
            <w:hideMark/>
          </w:tcPr>
          <w:p w14:paraId="7FF0B83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(956)</w:t>
            </w:r>
          </w:p>
        </w:tc>
        <w:tc>
          <w:tcPr>
            <w:tcW w:w="992" w:type="dxa"/>
            <w:shd w:val="clear" w:color="auto" w:fill="auto"/>
            <w:noWrap/>
            <w:vAlign w:val="center"/>
            <w:hideMark/>
          </w:tcPr>
          <w:p w14:paraId="50D84F6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(1,627)</w:t>
            </w:r>
          </w:p>
        </w:tc>
      </w:tr>
      <w:tr w:rsidR="003E5BF5" w:rsidRPr="0029213D" w14:paraId="211CFEDA" w14:textId="77777777" w:rsidTr="008E16CB">
        <w:trPr>
          <w:trHeight w:val="340"/>
        </w:trPr>
        <w:tc>
          <w:tcPr>
            <w:tcW w:w="3417" w:type="dxa"/>
            <w:shd w:val="clear" w:color="auto" w:fill="auto"/>
            <w:noWrap/>
            <w:vAlign w:val="center"/>
            <w:hideMark/>
          </w:tcPr>
          <w:p w14:paraId="6A168F1C" w14:textId="77777777" w:rsidR="003E5BF5" w:rsidRPr="0029213D" w:rsidRDefault="003E5BF5" w:rsidP="00DE1921">
            <w:pPr>
              <w:rPr>
                <w:rFonts w:ascii="Arial" w:hAnsi="Arial" w:cs="Arial"/>
                <w:sz w:val="24"/>
                <w:szCs w:val="24"/>
              </w:rPr>
            </w:pPr>
            <w:r w:rsidRPr="0029213D">
              <w:rPr>
                <w:rFonts w:ascii="Arial" w:hAnsi="Arial" w:cs="Arial"/>
                <w:sz w:val="24"/>
                <w:szCs w:val="24"/>
              </w:rPr>
              <w:t>Assets transferred to local/Commonwealth government</w:t>
            </w:r>
          </w:p>
        </w:tc>
        <w:tc>
          <w:tcPr>
            <w:tcW w:w="1084" w:type="dxa"/>
            <w:shd w:val="clear" w:color="auto" w:fill="auto"/>
            <w:noWrap/>
            <w:hideMark/>
          </w:tcPr>
          <w:p w14:paraId="7E7D275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84" w:type="dxa"/>
            <w:shd w:val="clear" w:color="auto" w:fill="auto"/>
            <w:noWrap/>
            <w:hideMark/>
          </w:tcPr>
          <w:p w14:paraId="225A623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 </w:t>
            </w:r>
          </w:p>
        </w:tc>
        <w:tc>
          <w:tcPr>
            <w:tcW w:w="1011" w:type="dxa"/>
            <w:shd w:val="clear" w:color="auto" w:fill="auto"/>
            <w:noWrap/>
            <w:hideMark/>
          </w:tcPr>
          <w:p w14:paraId="0075866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2" w:type="dxa"/>
            <w:shd w:val="clear" w:color="auto" w:fill="auto"/>
            <w:noWrap/>
            <w:hideMark/>
          </w:tcPr>
          <w:p w14:paraId="37B21BB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 </w:t>
            </w:r>
          </w:p>
        </w:tc>
        <w:tc>
          <w:tcPr>
            <w:tcW w:w="1323" w:type="dxa"/>
            <w:shd w:val="clear" w:color="auto" w:fill="auto"/>
            <w:noWrap/>
            <w:hideMark/>
          </w:tcPr>
          <w:p w14:paraId="46DF51A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 </w:t>
            </w:r>
          </w:p>
        </w:tc>
        <w:tc>
          <w:tcPr>
            <w:tcW w:w="992" w:type="dxa"/>
            <w:shd w:val="clear" w:color="auto" w:fill="auto"/>
            <w:noWrap/>
            <w:hideMark/>
          </w:tcPr>
          <w:p w14:paraId="004CE5E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(2,541)</w:t>
            </w:r>
          </w:p>
        </w:tc>
      </w:tr>
      <w:tr w:rsidR="003E5BF5" w:rsidRPr="0029213D" w14:paraId="52369F9B" w14:textId="77777777" w:rsidTr="008E16CB">
        <w:trPr>
          <w:trHeight w:val="340"/>
        </w:trPr>
        <w:tc>
          <w:tcPr>
            <w:tcW w:w="3417" w:type="dxa"/>
            <w:shd w:val="clear" w:color="auto" w:fill="auto"/>
            <w:noWrap/>
            <w:vAlign w:val="center"/>
            <w:hideMark/>
          </w:tcPr>
          <w:p w14:paraId="7069B78D"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expenses from transactions</w:t>
            </w:r>
          </w:p>
        </w:tc>
        <w:tc>
          <w:tcPr>
            <w:tcW w:w="1084" w:type="dxa"/>
            <w:shd w:val="clear" w:color="auto" w:fill="auto"/>
            <w:noWrap/>
            <w:hideMark/>
          </w:tcPr>
          <w:p w14:paraId="22B399F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(5,295)</w:t>
            </w:r>
          </w:p>
        </w:tc>
        <w:tc>
          <w:tcPr>
            <w:tcW w:w="1084" w:type="dxa"/>
            <w:shd w:val="clear" w:color="auto" w:fill="auto"/>
            <w:noWrap/>
            <w:hideMark/>
          </w:tcPr>
          <w:p w14:paraId="5F25F7A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(14,725)</w:t>
            </w:r>
          </w:p>
        </w:tc>
        <w:tc>
          <w:tcPr>
            <w:tcW w:w="1011" w:type="dxa"/>
            <w:shd w:val="clear" w:color="auto" w:fill="auto"/>
            <w:noWrap/>
            <w:hideMark/>
          </w:tcPr>
          <w:p w14:paraId="4E9BF0C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12" w:type="dxa"/>
            <w:shd w:val="clear" w:color="auto" w:fill="auto"/>
            <w:noWrap/>
            <w:hideMark/>
          </w:tcPr>
          <w:p w14:paraId="4F71EED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(967)</w:t>
            </w:r>
          </w:p>
        </w:tc>
        <w:tc>
          <w:tcPr>
            <w:tcW w:w="1323" w:type="dxa"/>
            <w:shd w:val="clear" w:color="auto" w:fill="auto"/>
            <w:noWrap/>
            <w:hideMark/>
          </w:tcPr>
          <w:p w14:paraId="60E3BBE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(3,099,092)</w:t>
            </w:r>
          </w:p>
        </w:tc>
        <w:tc>
          <w:tcPr>
            <w:tcW w:w="992" w:type="dxa"/>
            <w:shd w:val="clear" w:color="auto" w:fill="auto"/>
            <w:noWrap/>
            <w:hideMark/>
          </w:tcPr>
          <w:p w14:paraId="1BACE0B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(98,685)</w:t>
            </w:r>
          </w:p>
        </w:tc>
      </w:tr>
      <w:tr w:rsidR="003E5BF5" w:rsidRPr="0029213D" w14:paraId="45EE075F" w14:textId="77777777" w:rsidTr="008E16CB">
        <w:trPr>
          <w:trHeight w:val="340"/>
        </w:trPr>
        <w:tc>
          <w:tcPr>
            <w:tcW w:w="3417" w:type="dxa"/>
            <w:shd w:val="clear" w:color="auto" w:fill="auto"/>
            <w:noWrap/>
            <w:vAlign w:val="center"/>
            <w:hideMark/>
          </w:tcPr>
          <w:p w14:paraId="1495DB32"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net result from transactions</w:t>
            </w:r>
          </w:p>
        </w:tc>
        <w:tc>
          <w:tcPr>
            <w:tcW w:w="1084" w:type="dxa"/>
            <w:shd w:val="clear" w:color="auto" w:fill="auto"/>
            <w:noWrap/>
            <w:hideMark/>
          </w:tcPr>
          <w:p w14:paraId="5406D77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18 </w:t>
            </w:r>
          </w:p>
        </w:tc>
        <w:tc>
          <w:tcPr>
            <w:tcW w:w="1084" w:type="dxa"/>
            <w:shd w:val="clear" w:color="auto" w:fill="auto"/>
            <w:noWrap/>
            <w:hideMark/>
          </w:tcPr>
          <w:p w14:paraId="2585DDC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(1,762)</w:t>
            </w:r>
          </w:p>
        </w:tc>
        <w:tc>
          <w:tcPr>
            <w:tcW w:w="1011" w:type="dxa"/>
            <w:shd w:val="clear" w:color="auto" w:fill="auto"/>
            <w:noWrap/>
            <w:hideMark/>
          </w:tcPr>
          <w:p w14:paraId="1B9B0A4B"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12" w:type="dxa"/>
            <w:shd w:val="clear" w:color="auto" w:fill="auto"/>
            <w:noWrap/>
            <w:hideMark/>
          </w:tcPr>
          <w:p w14:paraId="25E6ACA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(86)</w:t>
            </w:r>
          </w:p>
        </w:tc>
        <w:tc>
          <w:tcPr>
            <w:tcW w:w="1323" w:type="dxa"/>
            <w:shd w:val="clear" w:color="auto" w:fill="auto"/>
            <w:noWrap/>
            <w:hideMark/>
          </w:tcPr>
          <w:p w14:paraId="1D7A282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9,884 </w:t>
            </w:r>
          </w:p>
        </w:tc>
        <w:tc>
          <w:tcPr>
            <w:tcW w:w="992" w:type="dxa"/>
            <w:shd w:val="clear" w:color="auto" w:fill="auto"/>
            <w:noWrap/>
            <w:hideMark/>
          </w:tcPr>
          <w:p w14:paraId="7262734B"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(23,029)</w:t>
            </w:r>
          </w:p>
        </w:tc>
      </w:tr>
      <w:tr w:rsidR="003E5BF5" w:rsidRPr="0029213D" w14:paraId="01BDF4B7" w14:textId="77777777" w:rsidTr="008E16CB">
        <w:trPr>
          <w:trHeight w:val="340"/>
        </w:trPr>
        <w:tc>
          <w:tcPr>
            <w:tcW w:w="3417" w:type="dxa"/>
            <w:shd w:val="clear" w:color="auto" w:fill="auto"/>
            <w:noWrap/>
            <w:vAlign w:val="center"/>
            <w:hideMark/>
          </w:tcPr>
          <w:p w14:paraId="579D9C8E" w14:textId="77777777" w:rsidR="003E5BF5" w:rsidRPr="0029213D" w:rsidRDefault="003E5BF5" w:rsidP="00DE1921">
            <w:pPr>
              <w:rPr>
                <w:rFonts w:ascii="Arial" w:hAnsi="Arial" w:cs="Arial"/>
                <w:b/>
                <w:sz w:val="24"/>
                <w:szCs w:val="24"/>
              </w:rPr>
            </w:pPr>
          </w:p>
        </w:tc>
        <w:tc>
          <w:tcPr>
            <w:tcW w:w="1084" w:type="dxa"/>
            <w:shd w:val="clear" w:color="auto" w:fill="auto"/>
            <w:noWrap/>
            <w:vAlign w:val="center"/>
            <w:hideMark/>
          </w:tcPr>
          <w:p w14:paraId="548BD3A5" w14:textId="77777777" w:rsidR="003E5BF5" w:rsidRPr="0029213D" w:rsidRDefault="003E5BF5" w:rsidP="00DE1921">
            <w:pPr>
              <w:jc w:val="right"/>
              <w:rPr>
                <w:rFonts w:ascii="Arial" w:hAnsi="Arial" w:cs="Arial"/>
                <w:b/>
                <w:sz w:val="24"/>
                <w:szCs w:val="24"/>
              </w:rPr>
            </w:pPr>
          </w:p>
        </w:tc>
        <w:tc>
          <w:tcPr>
            <w:tcW w:w="1084" w:type="dxa"/>
            <w:shd w:val="clear" w:color="auto" w:fill="auto"/>
            <w:noWrap/>
            <w:vAlign w:val="center"/>
            <w:hideMark/>
          </w:tcPr>
          <w:p w14:paraId="1343358A" w14:textId="77777777" w:rsidR="003E5BF5" w:rsidRPr="0029213D" w:rsidRDefault="003E5BF5" w:rsidP="00DE1921">
            <w:pPr>
              <w:jc w:val="right"/>
              <w:rPr>
                <w:rFonts w:ascii="Arial" w:hAnsi="Arial" w:cs="Arial"/>
                <w:b/>
                <w:sz w:val="24"/>
                <w:szCs w:val="24"/>
              </w:rPr>
            </w:pPr>
          </w:p>
        </w:tc>
        <w:tc>
          <w:tcPr>
            <w:tcW w:w="1011" w:type="dxa"/>
            <w:shd w:val="clear" w:color="auto" w:fill="auto"/>
            <w:noWrap/>
            <w:vAlign w:val="center"/>
            <w:hideMark/>
          </w:tcPr>
          <w:p w14:paraId="1469A562" w14:textId="77777777" w:rsidR="003E5BF5" w:rsidRPr="0029213D" w:rsidRDefault="003E5BF5" w:rsidP="00DE1921">
            <w:pPr>
              <w:jc w:val="right"/>
              <w:rPr>
                <w:rFonts w:ascii="Arial" w:hAnsi="Arial" w:cs="Arial"/>
                <w:b/>
                <w:sz w:val="24"/>
                <w:szCs w:val="24"/>
              </w:rPr>
            </w:pPr>
          </w:p>
        </w:tc>
        <w:tc>
          <w:tcPr>
            <w:tcW w:w="1012" w:type="dxa"/>
            <w:shd w:val="clear" w:color="auto" w:fill="auto"/>
            <w:noWrap/>
            <w:vAlign w:val="center"/>
            <w:hideMark/>
          </w:tcPr>
          <w:p w14:paraId="33FA678F" w14:textId="77777777" w:rsidR="003E5BF5" w:rsidRPr="0029213D" w:rsidRDefault="003E5BF5" w:rsidP="00DE1921">
            <w:pPr>
              <w:jc w:val="right"/>
              <w:rPr>
                <w:rFonts w:ascii="Arial" w:hAnsi="Arial" w:cs="Arial"/>
                <w:b/>
                <w:sz w:val="24"/>
                <w:szCs w:val="24"/>
              </w:rPr>
            </w:pPr>
          </w:p>
        </w:tc>
        <w:tc>
          <w:tcPr>
            <w:tcW w:w="1323" w:type="dxa"/>
            <w:shd w:val="clear" w:color="auto" w:fill="auto"/>
            <w:noWrap/>
            <w:vAlign w:val="center"/>
            <w:hideMark/>
          </w:tcPr>
          <w:p w14:paraId="2863B351" w14:textId="77777777" w:rsidR="003E5BF5" w:rsidRPr="0029213D" w:rsidRDefault="003E5BF5" w:rsidP="00DE1921">
            <w:pPr>
              <w:jc w:val="right"/>
              <w:rPr>
                <w:rFonts w:ascii="Arial" w:hAnsi="Arial" w:cs="Arial"/>
                <w:b/>
                <w:sz w:val="24"/>
                <w:szCs w:val="24"/>
              </w:rPr>
            </w:pPr>
          </w:p>
        </w:tc>
        <w:tc>
          <w:tcPr>
            <w:tcW w:w="992" w:type="dxa"/>
            <w:shd w:val="clear" w:color="auto" w:fill="auto"/>
            <w:noWrap/>
            <w:vAlign w:val="center"/>
            <w:hideMark/>
          </w:tcPr>
          <w:p w14:paraId="13E2E027" w14:textId="77777777" w:rsidR="003E5BF5" w:rsidRPr="0029213D" w:rsidRDefault="003E5BF5" w:rsidP="00DE1921">
            <w:pPr>
              <w:jc w:val="right"/>
              <w:rPr>
                <w:rFonts w:ascii="Arial" w:hAnsi="Arial" w:cs="Arial"/>
                <w:b/>
                <w:sz w:val="24"/>
                <w:szCs w:val="24"/>
              </w:rPr>
            </w:pPr>
          </w:p>
        </w:tc>
      </w:tr>
      <w:tr w:rsidR="003E5BF5" w:rsidRPr="0029213D" w14:paraId="4B9D4BEA" w14:textId="77777777" w:rsidTr="008E16CB">
        <w:trPr>
          <w:trHeight w:val="340"/>
        </w:trPr>
        <w:tc>
          <w:tcPr>
            <w:tcW w:w="3417" w:type="dxa"/>
            <w:shd w:val="clear" w:color="auto" w:fill="auto"/>
            <w:vAlign w:val="center"/>
            <w:hideMark/>
          </w:tcPr>
          <w:p w14:paraId="6F61BAF6" w14:textId="77777777" w:rsidR="003E5BF5" w:rsidRPr="0029213D" w:rsidRDefault="003E5BF5" w:rsidP="00604703">
            <w:pPr>
              <w:pStyle w:val="TableTextGreen"/>
            </w:pPr>
            <w:r w:rsidRPr="0029213D">
              <w:t>Administered other economic flows included in administered net result</w:t>
            </w:r>
          </w:p>
        </w:tc>
        <w:tc>
          <w:tcPr>
            <w:tcW w:w="1084" w:type="dxa"/>
            <w:shd w:val="clear" w:color="auto" w:fill="auto"/>
            <w:noWrap/>
            <w:vAlign w:val="center"/>
            <w:hideMark/>
          </w:tcPr>
          <w:p w14:paraId="134E6F33" w14:textId="77777777" w:rsidR="003E5BF5" w:rsidRPr="0029213D" w:rsidRDefault="003E5BF5" w:rsidP="00DE1921">
            <w:pPr>
              <w:jc w:val="right"/>
              <w:rPr>
                <w:rFonts w:ascii="Arial" w:hAnsi="Arial" w:cs="Arial"/>
                <w:sz w:val="24"/>
                <w:szCs w:val="24"/>
              </w:rPr>
            </w:pPr>
          </w:p>
        </w:tc>
        <w:tc>
          <w:tcPr>
            <w:tcW w:w="1084" w:type="dxa"/>
            <w:shd w:val="clear" w:color="auto" w:fill="auto"/>
            <w:noWrap/>
            <w:vAlign w:val="center"/>
            <w:hideMark/>
          </w:tcPr>
          <w:p w14:paraId="430CBD70" w14:textId="77777777" w:rsidR="003E5BF5" w:rsidRPr="0029213D" w:rsidRDefault="003E5BF5" w:rsidP="00DE1921">
            <w:pPr>
              <w:jc w:val="right"/>
              <w:rPr>
                <w:rFonts w:ascii="Arial" w:hAnsi="Arial" w:cs="Arial"/>
                <w:sz w:val="24"/>
                <w:szCs w:val="24"/>
              </w:rPr>
            </w:pPr>
          </w:p>
        </w:tc>
        <w:tc>
          <w:tcPr>
            <w:tcW w:w="1011" w:type="dxa"/>
            <w:shd w:val="clear" w:color="auto" w:fill="auto"/>
            <w:noWrap/>
            <w:vAlign w:val="center"/>
            <w:hideMark/>
          </w:tcPr>
          <w:p w14:paraId="5ACC3738" w14:textId="77777777" w:rsidR="003E5BF5" w:rsidRPr="0029213D" w:rsidRDefault="003E5BF5" w:rsidP="00DE1921">
            <w:pPr>
              <w:jc w:val="right"/>
              <w:rPr>
                <w:rFonts w:ascii="Arial" w:hAnsi="Arial" w:cs="Arial"/>
                <w:sz w:val="24"/>
                <w:szCs w:val="24"/>
              </w:rPr>
            </w:pPr>
          </w:p>
        </w:tc>
        <w:tc>
          <w:tcPr>
            <w:tcW w:w="1012" w:type="dxa"/>
            <w:shd w:val="clear" w:color="auto" w:fill="auto"/>
            <w:noWrap/>
            <w:vAlign w:val="center"/>
            <w:hideMark/>
          </w:tcPr>
          <w:p w14:paraId="676F4EC3" w14:textId="77777777" w:rsidR="003E5BF5" w:rsidRPr="0029213D" w:rsidRDefault="003E5BF5" w:rsidP="00DE1921">
            <w:pPr>
              <w:jc w:val="right"/>
              <w:rPr>
                <w:rFonts w:ascii="Arial" w:hAnsi="Arial" w:cs="Arial"/>
                <w:sz w:val="24"/>
                <w:szCs w:val="24"/>
              </w:rPr>
            </w:pPr>
          </w:p>
        </w:tc>
        <w:tc>
          <w:tcPr>
            <w:tcW w:w="1323" w:type="dxa"/>
            <w:shd w:val="clear" w:color="auto" w:fill="auto"/>
            <w:noWrap/>
            <w:vAlign w:val="center"/>
            <w:hideMark/>
          </w:tcPr>
          <w:p w14:paraId="342D6C80" w14:textId="77777777" w:rsidR="003E5BF5" w:rsidRPr="0029213D" w:rsidRDefault="003E5BF5" w:rsidP="00DE1921">
            <w:pPr>
              <w:jc w:val="right"/>
              <w:rPr>
                <w:rFonts w:ascii="Arial" w:hAnsi="Arial" w:cs="Arial"/>
                <w:sz w:val="24"/>
                <w:szCs w:val="24"/>
              </w:rPr>
            </w:pPr>
          </w:p>
        </w:tc>
        <w:tc>
          <w:tcPr>
            <w:tcW w:w="992" w:type="dxa"/>
            <w:shd w:val="clear" w:color="auto" w:fill="auto"/>
            <w:noWrap/>
            <w:vAlign w:val="center"/>
            <w:hideMark/>
          </w:tcPr>
          <w:p w14:paraId="4DA84649" w14:textId="77777777" w:rsidR="003E5BF5" w:rsidRPr="0029213D" w:rsidRDefault="003E5BF5" w:rsidP="00DE1921">
            <w:pPr>
              <w:jc w:val="right"/>
              <w:rPr>
                <w:rFonts w:ascii="Arial" w:hAnsi="Arial" w:cs="Arial"/>
                <w:sz w:val="24"/>
                <w:szCs w:val="24"/>
              </w:rPr>
            </w:pPr>
          </w:p>
        </w:tc>
      </w:tr>
      <w:tr w:rsidR="003E5BF5" w:rsidRPr="0029213D" w14:paraId="46F7A554" w14:textId="77777777" w:rsidTr="008E16CB">
        <w:trPr>
          <w:trHeight w:val="340"/>
        </w:trPr>
        <w:tc>
          <w:tcPr>
            <w:tcW w:w="3417" w:type="dxa"/>
            <w:shd w:val="clear" w:color="auto" w:fill="auto"/>
            <w:noWrap/>
            <w:vAlign w:val="center"/>
            <w:hideMark/>
          </w:tcPr>
          <w:p w14:paraId="6C763156" w14:textId="77777777" w:rsidR="003E5BF5" w:rsidRPr="0029213D" w:rsidRDefault="003E5BF5" w:rsidP="00DE1921">
            <w:pPr>
              <w:rPr>
                <w:rFonts w:ascii="Arial" w:hAnsi="Arial" w:cs="Arial"/>
                <w:sz w:val="24"/>
                <w:szCs w:val="24"/>
              </w:rPr>
            </w:pPr>
            <w:r w:rsidRPr="0029213D">
              <w:rPr>
                <w:rFonts w:ascii="Arial" w:hAnsi="Arial" w:cs="Arial"/>
                <w:sz w:val="24"/>
                <w:szCs w:val="24"/>
              </w:rPr>
              <w:t>Net gain/(loss) on non-financial assets</w:t>
            </w:r>
          </w:p>
        </w:tc>
        <w:tc>
          <w:tcPr>
            <w:tcW w:w="1084" w:type="dxa"/>
            <w:shd w:val="clear" w:color="auto" w:fill="auto"/>
            <w:noWrap/>
            <w:hideMark/>
          </w:tcPr>
          <w:p w14:paraId="0D4FAE93"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84" w:type="dxa"/>
            <w:shd w:val="clear" w:color="auto" w:fill="auto"/>
            <w:noWrap/>
            <w:hideMark/>
          </w:tcPr>
          <w:p w14:paraId="44E8FA78"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1" w:type="dxa"/>
            <w:shd w:val="clear" w:color="auto" w:fill="auto"/>
            <w:noWrap/>
            <w:hideMark/>
          </w:tcPr>
          <w:p w14:paraId="38DDA8D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2" w:type="dxa"/>
            <w:shd w:val="clear" w:color="auto" w:fill="auto"/>
            <w:noWrap/>
            <w:hideMark/>
          </w:tcPr>
          <w:p w14:paraId="2AA3BC8A"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323" w:type="dxa"/>
            <w:shd w:val="clear" w:color="auto" w:fill="auto"/>
            <w:noWrap/>
            <w:hideMark/>
          </w:tcPr>
          <w:p w14:paraId="6684D1F2"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(590)</w:t>
            </w:r>
          </w:p>
        </w:tc>
        <w:tc>
          <w:tcPr>
            <w:tcW w:w="992" w:type="dxa"/>
            <w:shd w:val="clear" w:color="auto" w:fill="auto"/>
            <w:noWrap/>
            <w:hideMark/>
          </w:tcPr>
          <w:p w14:paraId="10772CA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(14,976)</w:t>
            </w:r>
          </w:p>
        </w:tc>
      </w:tr>
      <w:tr w:rsidR="003E5BF5" w:rsidRPr="0029213D" w14:paraId="3D59D435" w14:textId="77777777" w:rsidTr="008E16CB">
        <w:trPr>
          <w:trHeight w:val="340"/>
        </w:trPr>
        <w:tc>
          <w:tcPr>
            <w:tcW w:w="3417" w:type="dxa"/>
            <w:shd w:val="clear" w:color="auto" w:fill="auto"/>
            <w:noWrap/>
            <w:vAlign w:val="center"/>
            <w:hideMark/>
          </w:tcPr>
          <w:p w14:paraId="258E71FE" w14:textId="77777777" w:rsidR="003E5BF5" w:rsidRPr="0029213D" w:rsidRDefault="003E5BF5" w:rsidP="00DE1921">
            <w:pPr>
              <w:rPr>
                <w:rFonts w:ascii="Arial" w:hAnsi="Arial" w:cs="Arial"/>
                <w:sz w:val="24"/>
                <w:szCs w:val="24"/>
              </w:rPr>
            </w:pPr>
            <w:r w:rsidRPr="0029213D">
              <w:rPr>
                <w:rFonts w:ascii="Arial" w:hAnsi="Arial" w:cs="Arial"/>
                <w:sz w:val="24"/>
                <w:szCs w:val="24"/>
              </w:rPr>
              <w:t>Net gain/(loss) on financial assets</w:t>
            </w:r>
          </w:p>
        </w:tc>
        <w:tc>
          <w:tcPr>
            <w:tcW w:w="1084" w:type="dxa"/>
            <w:shd w:val="clear" w:color="auto" w:fill="auto"/>
            <w:noWrap/>
            <w:vAlign w:val="center"/>
            <w:hideMark/>
          </w:tcPr>
          <w:p w14:paraId="64B7D50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84" w:type="dxa"/>
            <w:shd w:val="clear" w:color="auto" w:fill="auto"/>
            <w:noWrap/>
            <w:vAlign w:val="center"/>
            <w:hideMark/>
          </w:tcPr>
          <w:p w14:paraId="7B74000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 </w:t>
            </w:r>
          </w:p>
        </w:tc>
        <w:tc>
          <w:tcPr>
            <w:tcW w:w="1011" w:type="dxa"/>
            <w:shd w:val="clear" w:color="auto" w:fill="auto"/>
            <w:noWrap/>
            <w:vAlign w:val="center"/>
            <w:hideMark/>
          </w:tcPr>
          <w:p w14:paraId="2C32C76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2" w:type="dxa"/>
            <w:shd w:val="clear" w:color="auto" w:fill="auto"/>
            <w:noWrap/>
            <w:vAlign w:val="center"/>
            <w:hideMark/>
          </w:tcPr>
          <w:p w14:paraId="33182B0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323" w:type="dxa"/>
            <w:shd w:val="clear" w:color="auto" w:fill="auto"/>
            <w:noWrap/>
            <w:vAlign w:val="center"/>
            <w:hideMark/>
          </w:tcPr>
          <w:p w14:paraId="4138AF3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(5,262)</w:t>
            </w:r>
          </w:p>
        </w:tc>
        <w:tc>
          <w:tcPr>
            <w:tcW w:w="992" w:type="dxa"/>
            <w:shd w:val="clear" w:color="auto" w:fill="auto"/>
            <w:noWrap/>
            <w:vAlign w:val="center"/>
            <w:hideMark/>
          </w:tcPr>
          <w:p w14:paraId="36A6F03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3,115 </w:t>
            </w:r>
          </w:p>
        </w:tc>
      </w:tr>
      <w:tr w:rsidR="003E5BF5" w:rsidRPr="0029213D" w14:paraId="3E800D72" w14:textId="77777777" w:rsidTr="008E16CB">
        <w:trPr>
          <w:trHeight w:val="340"/>
        </w:trPr>
        <w:tc>
          <w:tcPr>
            <w:tcW w:w="3417" w:type="dxa"/>
            <w:shd w:val="clear" w:color="auto" w:fill="auto"/>
            <w:noWrap/>
            <w:vAlign w:val="center"/>
            <w:hideMark/>
          </w:tcPr>
          <w:p w14:paraId="3A2EBC83"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other economic flows</w:t>
            </w:r>
          </w:p>
        </w:tc>
        <w:tc>
          <w:tcPr>
            <w:tcW w:w="1084" w:type="dxa"/>
            <w:shd w:val="clear" w:color="auto" w:fill="auto"/>
            <w:noWrap/>
            <w:hideMark/>
          </w:tcPr>
          <w:p w14:paraId="2E02BD77"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84" w:type="dxa"/>
            <w:shd w:val="clear" w:color="auto" w:fill="auto"/>
            <w:noWrap/>
            <w:hideMark/>
          </w:tcPr>
          <w:p w14:paraId="3A2B49D5"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2 </w:t>
            </w:r>
          </w:p>
        </w:tc>
        <w:tc>
          <w:tcPr>
            <w:tcW w:w="1011" w:type="dxa"/>
            <w:shd w:val="clear" w:color="auto" w:fill="auto"/>
            <w:noWrap/>
            <w:hideMark/>
          </w:tcPr>
          <w:p w14:paraId="29BC54C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12" w:type="dxa"/>
            <w:shd w:val="clear" w:color="auto" w:fill="auto"/>
            <w:noWrap/>
            <w:hideMark/>
          </w:tcPr>
          <w:p w14:paraId="390D65C8"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323" w:type="dxa"/>
            <w:shd w:val="clear" w:color="auto" w:fill="auto"/>
            <w:noWrap/>
            <w:hideMark/>
          </w:tcPr>
          <w:p w14:paraId="52067D6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(5,852)</w:t>
            </w:r>
          </w:p>
        </w:tc>
        <w:tc>
          <w:tcPr>
            <w:tcW w:w="992" w:type="dxa"/>
            <w:shd w:val="clear" w:color="auto" w:fill="auto"/>
            <w:noWrap/>
            <w:hideMark/>
          </w:tcPr>
          <w:p w14:paraId="5E069B48"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(11,861)</w:t>
            </w:r>
          </w:p>
        </w:tc>
      </w:tr>
      <w:tr w:rsidR="003E5BF5" w:rsidRPr="0029213D" w14:paraId="254F5D2C" w14:textId="77777777" w:rsidTr="008E16CB">
        <w:trPr>
          <w:trHeight w:val="340"/>
        </w:trPr>
        <w:tc>
          <w:tcPr>
            <w:tcW w:w="3417" w:type="dxa"/>
            <w:shd w:val="clear" w:color="auto" w:fill="auto"/>
            <w:noWrap/>
            <w:vAlign w:val="center"/>
            <w:hideMark/>
          </w:tcPr>
          <w:p w14:paraId="5190A4A8"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comprehensive result</w:t>
            </w:r>
          </w:p>
        </w:tc>
        <w:tc>
          <w:tcPr>
            <w:tcW w:w="1084" w:type="dxa"/>
            <w:shd w:val="clear" w:color="auto" w:fill="auto"/>
            <w:noWrap/>
            <w:hideMark/>
          </w:tcPr>
          <w:p w14:paraId="35099D7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18 </w:t>
            </w:r>
          </w:p>
        </w:tc>
        <w:tc>
          <w:tcPr>
            <w:tcW w:w="1084" w:type="dxa"/>
            <w:shd w:val="clear" w:color="auto" w:fill="auto"/>
            <w:noWrap/>
            <w:hideMark/>
          </w:tcPr>
          <w:p w14:paraId="4CEBCA28"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(1,760)</w:t>
            </w:r>
          </w:p>
        </w:tc>
        <w:tc>
          <w:tcPr>
            <w:tcW w:w="1011" w:type="dxa"/>
            <w:shd w:val="clear" w:color="auto" w:fill="auto"/>
            <w:noWrap/>
            <w:hideMark/>
          </w:tcPr>
          <w:p w14:paraId="0CB7432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12" w:type="dxa"/>
            <w:shd w:val="clear" w:color="auto" w:fill="auto"/>
            <w:noWrap/>
            <w:hideMark/>
          </w:tcPr>
          <w:p w14:paraId="6D97710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(86)</w:t>
            </w:r>
          </w:p>
        </w:tc>
        <w:tc>
          <w:tcPr>
            <w:tcW w:w="1323" w:type="dxa"/>
            <w:shd w:val="clear" w:color="auto" w:fill="auto"/>
            <w:noWrap/>
            <w:hideMark/>
          </w:tcPr>
          <w:p w14:paraId="65D8E9AB"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4,032 </w:t>
            </w:r>
          </w:p>
        </w:tc>
        <w:tc>
          <w:tcPr>
            <w:tcW w:w="992" w:type="dxa"/>
            <w:shd w:val="clear" w:color="auto" w:fill="auto"/>
            <w:noWrap/>
            <w:hideMark/>
          </w:tcPr>
          <w:p w14:paraId="4D893F5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(34,890)</w:t>
            </w:r>
          </w:p>
        </w:tc>
      </w:tr>
    </w:tbl>
    <w:p w14:paraId="70B62AC9" w14:textId="77777777" w:rsidR="003E5BF5" w:rsidRPr="00513F26" w:rsidRDefault="003E5BF5" w:rsidP="00DE1921"/>
    <w:p w14:paraId="17945E01" w14:textId="77777777" w:rsidR="003E5BF5" w:rsidRPr="00B87757" w:rsidRDefault="003E5BF5" w:rsidP="00DE1921">
      <w:r w:rsidRPr="00B87757">
        <w:br w:type="page"/>
      </w:r>
    </w:p>
    <w:p w14:paraId="31E6FEF1" w14:textId="77777777" w:rsidR="003E5BF5" w:rsidRPr="00B87757" w:rsidRDefault="003E5BF5" w:rsidP="008A0170">
      <w:pPr>
        <w:pStyle w:val="Heading3"/>
      </w:pPr>
      <w:r w:rsidRPr="00B87757">
        <w:lastRenderedPageBreak/>
        <w:t>Outputs transferred out as part of Machinery-of-Government change</w:t>
      </w:r>
    </w:p>
    <w:tbl>
      <w:tblPr>
        <w:tblStyle w:val="TableGrid"/>
        <w:tblW w:w="9923" w:type="dxa"/>
        <w:tblLayout w:type="fixed"/>
        <w:tblCellMar>
          <w:left w:w="28" w:type="dxa"/>
          <w:right w:w="28" w:type="dxa"/>
        </w:tblCellMar>
        <w:tblLook w:val="04A0" w:firstRow="1" w:lastRow="0" w:firstColumn="1" w:lastColumn="0" w:noHBand="0" w:noVBand="1"/>
      </w:tblPr>
      <w:tblGrid>
        <w:gridCol w:w="3566"/>
        <w:gridCol w:w="1059"/>
        <w:gridCol w:w="1060"/>
        <w:gridCol w:w="1059"/>
        <w:gridCol w:w="1194"/>
        <w:gridCol w:w="925"/>
        <w:gridCol w:w="1060"/>
      </w:tblGrid>
      <w:tr w:rsidR="003E5BF5" w:rsidRPr="0029213D" w14:paraId="1231705F" w14:textId="77777777" w:rsidTr="008E16CB">
        <w:trPr>
          <w:trHeight w:val="340"/>
        </w:trPr>
        <w:tc>
          <w:tcPr>
            <w:tcW w:w="3566" w:type="dxa"/>
            <w:shd w:val="clear" w:color="auto" w:fill="auto"/>
            <w:noWrap/>
            <w:hideMark/>
          </w:tcPr>
          <w:p w14:paraId="05CF2E55" w14:textId="77777777" w:rsidR="003E5BF5" w:rsidRPr="0029213D" w:rsidRDefault="003E5BF5" w:rsidP="00DE1921">
            <w:pPr>
              <w:spacing w:line="259" w:lineRule="auto"/>
              <w:rPr>
                <w:rFonts w:ascii="Arial" w:hAnsi="Arial" w:cs="Arial"/>
                <w:sz w:val="24"/>
                <w:szCs w:val="24"/>
              </w:rPr>
            </w:pPr>
            <w:bookmarkStart w:id="254" w:name="RANGE!AC3:AI32"/>
            <w:bookmarkEnd w:id="254"/>
          </w:p>
        </w:tc>
        <w:tc>
          <w:tcPr>
            <w:tcW w:w="6357" w:type="dxa"/>
            <w:gridSpan w:val="6"/>
            <w:shd w:val="clear" w:color="auto" w:fill="auto"/>
            <w:vAlign w:val="center"/>
            <w:hideMark/>
          </w:tcPr>
          <w:p w14:paraId="783130FE"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 thousand)</w:t>
            </w:r>
          </w:p>
        </w:tc>
      </w:tr>
      <w:tr w:rsidR="003E5BF5" w:rsidRPr="0029213D" w14:paraId="0E934D12" w14:textId="77777777" w:rsidTr="008E16CB">
        <w:trPr>
          <w:trHeight w:val="340"/>
        </w:trPr>
        <w:tc>
          <w:tcPr>
            <w:tcW w:w="3566" w:type="dxa"/>
            <w:shd w:val="clear" w:color="auto" w:fill="auto"/>
            <w:noWrap/>
            <w:hideMark/>
          </w:tcPr>
          <w:p w14:paraId="0DB095CD" w14:textId="77777777" w:rsidR="003E5BF5" w:rsidRPr="0029213D" w:rsidRDefault="003E5BF5" w:rsidP="00DE1921">
            <w:pPr>
              <w:spacing w:line="259" w:lineRule="auto"/>
              <w:rPr>
                <w:rFonts w:ascii="Arial" w:hAnsi="Arial" w:cs="Arial"/>
                <w:sz w:val="24"/>
                <w:szCs w:val="24"/>
              </w:rPr>
            </w:pPr>
          </w:p>
        </w:tc>
        <w:tc>
          <w:tcPr>
            <w:tcW w:w="2119" w:type="dxa"/>
            <w:gridSpan w:val="2"/>
            <w:shd w:val="clear" w:color="auto" w:fill="auto"/>
            <w:vAlign w:val="bottom"/>
            <w:hideMark/>
          </w:tcPr>
          <w:p w14:paraId="4A6F902C"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Agriculture</w:t>
            </w:r>
          </w:p>
        </w:tc>
        <w:tc>
          <w:tcPr>
            <w:tcW w:w="2253" w:type="dxa"/>
            <w:gridSpan w:val="2"/>
            <w:shd w:val="clear" w:color="auto" w:fill="auto"/>
            <w:vAlign w:val="bottom"/>
            <w:hideMark/>
          </w:tcPr>
          <w:p w14:paraId="34FAB264"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Resources</w:t>
            </w:r>
          </w:p>
        </w:tc>
        <w:tc>
          <w:tcPr>
            <w:tcW w:w="1985" w:type="dxa"/>
            <w:gridSpan w:val="2"/>
            <w:shd w:val="clear" w:color="auto" w:fill="auto"/>
            <w:vAlign w:val="bottom"/>
            <w:hideMark/>
          </w:tcPr>
          <w:p w14:paraId="109A67F8"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Creative Industries Access, Development and Innovation</w:t>
            </w:r>
          </w:p>
        </w:tc>
      </w:tr>
      <w:tr w:rsidR="003E5BF5" w:rsidRPr="0029213D" w14:paraId="7C6E741C" w14:textId="77777777" w:rsidTr="008E16CB">
        <w:trPr>
          <w:trHeight w:val="340"/>
        </w:trPr>
        <w:tc>
          <w:tcPr>
            <w:tcW w:w="3566" w:type="dxa"/>
            <w:shd w:val="clear" w:color="auto" w:fill="auto"/>
            <w:hideMark/>
          </w:tcPr>
          <w:p w14:paraId="440052F4" w14:textId="77777777" w:rsidR="003E5BF5" w:rsidRPr="0029213D" w:rsidRDefault="003E5BF5" w:rsidP="00DE1921">
            <w:pPr>
              <w:spacing w:line="259" w:lineRule="auto"/>
              <w:rPr>
                <w:rFonts w:ascii="Arial" w:hAnsi="Arial" w:cs="Arial"/>
                <w:b/>
                <w:sz w:val="24"/>
                <w:szCs w:val="24"/>
              </w:rPr>
            </w:pPr>
          </w:p>
        </w:tc>
        <w:tc>
          <w:tcPr>
            <w:tcW w:w="1059" w:type="dxa"/>
            <w:shd w:val="clear" w:color="auto" w:fill="auto"/>
            <w:vAlign w:val="center"/>
            <w:hideMark/>
          </w:tcPr>
          <w:p w14:paraId="5B7B22F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2020</w:t>
            </w:r>
          </w:p>
        </w:tc>
        <w:tc>
          <w:tcPr>
            <w:tcW w:w="1060" w:type="dxa"/>
            <w:shd w:val="clear" w:color="auto" w:fill="auto"/>
            <w:vAlign w:val="center"/>
            <w:hideMark/>
          </w:tcPr>
          <w:p w14:paraId="1DF8829F"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2019</w:t>
            </w:r>
          </w:p>
        </w:tc>
        <w:tc>
          <w:tcPr>
            <w:tcW w:w="1059" w:type="dxa"/>
            <w:shd w:val="clear" w:color="auto" w:fill="auto"/>
            <w:vAlign w:val="center"/>
            <w:hideMark/>
          </w:tcPr>
          <w:p w14:paraId="61B7C608"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2020</w:t>
            </w:r>
          </w:p>
        </w:tc>
        <w:tc>
          <w:tcPr>
            <w:tcW w:w="1194" w:type="dxa"/>
            <w:shd w:val="clear" w:color="auto" w:fill="auto"/>
            <w:vAlign w:val="center"/>
            <w:hideMark/>
          </w:tcPr>
          <w:p w14:paraId="62350A8E"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2019</w:t>
            </w:r>
          </w:p>
        </w:tc>
        <w:tc>
          <w:tcPr>
            <w:tcW w:w="925" w:type="dxa"/>
            <w:shd w:val="clear" w:color="auto" w:fill="auto"/>
            <w:vAlign w:val="center"/>
            <w:hideMark/>
          </w:tcPr>
          <w:p w14:paraId="27E2C7C6"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2020</w:t>
            </w:r>
          </w:p>
        </w:tc>
        <w:tc>
          <w:tcPr>
            <w:tcW w:w="1060" w:type="dxa"/>
            <w:shd w:val="clear" w:color="auto" w:fill="auto"/>
            <w:vAlign w:val="center"/>
            <w:hideMark/>
          </w:tcPr>
          <w:p w14:paraId="4216B6C5"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2019</w:t>
            </w:r>
          </w:p>
        </w:tc>
      </w:tr>
      <w:tr w:rsidR="003E5BF5" w:rsidRPr="0029213D" w14:paraId="43A99435" w14:textId="77777777" w:rsidTr="008E16CB">
        <w:trPr>
          <w:trHeight w:val="340"/>
        </w:trPr>
        <w:tc>
          <w:tcPr>
            <w:tcW w:w="3566" w:type="dxa"/>
            <w:shd w:val="clear" w:color="auto" w:fill="auto"/>
            <w:noWrap/>
            <w:vAlign w:val="center"/>
            <w:hideMark/>
          </w:tcPr>
          <w:p w14:paraId="3469607E" w14:textId="77777777" w:rsidR="003E5BF5" w:rsidRPr="0029213D" w:rsidRDefault="003E5BF5" w:rsidP="00604703">
            <w:pPr>
              <w:pStyle w:val="TableTextGreen"/>
            </w:pPr>
            <w:r w:rsidRPr="0029213D">
              <w:t>Administered income from transactions</w:t>
            </w:r>
          </w:p>
        </w:tc>
        <w:tc>
          <w:tcPr>
            <w:tcW w:w="1059" w:type="dxa"/>
            <w:shd w:val="clear" w:color="auto" w:fill="auto"/>
            <w:noWrap/>
            <w:vAlign w:val="center"/>
            <w:hideMark/>
          </w:tcPr>
          <w:p w14:paraId="49A7813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c>
          <w:tcPr>
            <w:tcW w:w="1060" w:type="dxa"/>
            <w:shd w:val="clear" w:color="auto" w:fill="auto"/>
            <w:noWrap/>
            <w:vAlign w:val="center"/>
            <w:hideMark/>
          </w:tcPr>
          <w:p w14:paraId="3A15D53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c>
          <w:tcPr>
            <w:tcW w:w="1059" w:type="dxa"/>
            <w:shd w:val="clear" w:color="auto" w:fill="auto"/>
            <w:noWrap/>
            <w:vAlign w:val="center"/>
            <w:hideMark/>
          </w:tcPr>
          <w:p w14:paraId="72A20AA1"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c>
          <w:tcPr>
            <w:tcW w:w="1194" w:type="dxa"/>
            <w:shd w:val="clear" w:color="auto" w:fill="auto"/>
            <w:noWrap/>
            <w:vAlign w:val="center"/>
            <w:hideMark/>
          </w:tcPr>
          <w:p w14:paraId="4D7EA64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c>
          <w:tcPr>
            <w:tcW w:w="925" w:type="dxa"/>
            <w:shd w:val="clear" w:color="auto" w:fill="auto"/>
            <w:noWrap/>
            <w:vAlign w:val="center"/>
            <w:hideMark/>
          </w:tcPr>
          <w:p w14:paraId="0EBE62F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c>
          <w:tcPr>
            <w:tcW w:w="1060" w:type="dxa"/>
            <w:shd w:val="clear" w:color="auto" w:fill="auto"/>
            <w:noWrap/>
            <w:vAlign w:val="center"/>
            <w:hideMark/>
          </w:tcPr>
          <w:p w14:paraId="38E85249"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r>
      <w:tr w:rsidR="003E5BF5" w:rsidRPr="0029213D" w14:paraId="1820E6D7" w14:textId="77777777" w:rsidTr="008E16CB">
        <w:trPr>
          <w:trHeight w:val="340"/>
        </w:trPr>
        <w:tc>
          <w:tcPr>
            <w:tcW w:w="3566" w:type="dxa"/>
            <w:shd w:val="clear" w:color="auto" w:fill="auto"/>
            <w:noWrap/>
            <w:vAlign w:val="center"/>
            <w:hideMark/>
          </w:tcPr>
          <w:p w14:paraId="5BA79F5A"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 xml:space="preserve">Sale of goods and services </w:t>
            </w:r>
          </w:p>
        </w:tc>
        <w:tc>
          <w:tcPr>
            <w:tcW w:w="1059" w:type="dxa"/>
            <w:shd w:val="clear" w:color="auto" w:fill="auto"/>
            <w:noWrap/>
            <w:vAlign w:val="center"/>
            <w:hideMark/>
          </w:tcPr>
          <w:p w14:paraId="4899215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35A060F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26,603 </w:t>
            </w:r>
          </w:p>
        </w:tc>
        <w:tc>
          <w:tcPr>
            <w:tcW w:w="1059" w:type="dxa"/>
            <w:shd w:val="clear" w:color="auto" w:fill="auto"/>
            <w:noWrap/>
            <w:vAlign w:val="center"/>
            <w:hideMark/>
          </w:tcPr>
          <w:p w14:paraId="64B5C311"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194" w:type="dxa"/>
            <w:shd w:val="clear" w:color="auto" w:fill="auto"/>
            <w:noWrap/>
            <w:vAlign w:val="center"/>
            <w:hideMark/>
          </w:tcPr>
          <w:p w14:paraId="2C09585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180 </w:t>
            </w:r>
          </w:p>
        </w:tc>
        <w:tc>
          <w:tcPr>
            <w:tcW w:w="925" w:type="dxa"/>
            <w:shd w:val="clear" w:color="auto" w:fill="auto"/>
            <w:noWrap/>
            <w:vAlign w:val="center"/>
            <w:hideMark/>
          </w:tcPr>
          <w:p w14:paraId="7D8FC4E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0F82631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12 </w:t>
            </w:r>
          </w:p>
        </w:tc>
      </w:tr>
      <w:tr w:rsidR="003E5BF5" w:rsidRPr="0029213D" w14:paraId="15F48D33" w14:textId="77777777" w:rsidTr="008E16CB">
        <w:trPr>
          <w:trHeight w:val="340"/>
        </w:trPr>
        <w:tc>
          <w:tcPr>
            <w:tcW w:w="3566" w:type="dxa"/>
            <w:shd w:val="clear" w:color="auto" w:fill="auto"/>
            <w:noWrap/>
            <w:vAlign w:val="center"/>
            <w:hideMark/>
          </w:tcPr>
          <w:p w14:paraId="41448C63"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Appropriations - payments made on behalf of the State</w:t>
            </w:r>
          </w:p>
        </w:tc>
        <w:tc>
          <w:tcPr>
            <w:tcW w:w="1059" w:type="dxa"/>
            <w:shd w:val="clear" w:color="auto" w:fill="auto"/>
            <w:noWrap/>
            <w:hideMark/>
          </w:tcPr>
          <w:p w14:paraId="7DCA9A5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hideMark/>
          </w:tcPr>
          <w:p w14:paraId="608FD66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59" w:type="dxa"/>
            <w:shd w:val="clear" w:color="auto" w:fill="auto"/>
            <w:noWrap/>
            <w:hideMark/>
          </w:tcPr>
          <w:p w14:paraId="0921A669"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194" w:type="dxa"/>
            <w:shd w:val="clear" w:color="auto" w:fill="auto"/>
            <w:noWrap/>
            <w:hideMark/>
          </w:tcPr>
          <w:p w14:paraId="6AF9ADF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25" w:type="dxa"/>
            <w:shd w:val="clear" w:color="auto" w:fill="auto"/>
            <w:noWrap/>
            <w:hideMark/>
          </w:tcPr>
          <w:p w14:paraId="0793897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hideMark/>
          </w:tcPr>
          <w:p w14:paraId="420D5EA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r>
      <w:tr w:rsidR="003E5BF5" w:rsidRPr="0029213D" w14:paraId="6EF318DD" w14:textId="77777777" w:rsidTr="008E16CB">
        <w:trPr>
          <w:trHeight w:val="340"/>
        </w:trPr>
        <w:tc>
          <w:tcPr>
            <w:tcW w:w="3566" w:type="dxa"/>
            <w:shd w:val="clear" w:color="auto" w:fill="auto"/>
            <w:noWrap/>
            <w:vAlign w:val="center"/>
            <w:hideMark/>
          </w:tcPr>
          <w:p w14:paraId="61D9AC46"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Royalties</w:t>
            </w:r>
          </w:p>
        </w:tc>
        <w:tc>
          <w:tcPr>
            <w:tcW w:w="1059" w:type="dxa"/>
            <w:shd w:val="clear" w:color="auto" w:fill="auto"/>
            <w:noWrap/>
            <w:vAlign w:val="center"/>
            <w:hideMark/>
          </w:tcPr>
          <w:p w14:paraId="76B2F5F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4A92B3D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59" w:type="dxa"/>
            <w:shd w:val="clear" w:color="auto" w:fill="auto"/>
            <w:noWrap/>
            <w:vAlign w:val="center"/>
            <w:hideMark/>
          </w:tcPr>
          <w:p w14:paraId="790AE28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194" w:type="dxa"/>
            <w:shd w:val="clear" w:color="auto" w:fill="auto"/>
            <w:noWrap/>
            <w:vAlign w:val="center"/>
            <w:hideMark/>
          </w:tcPr>
          <w:p w14:paraId="31A031B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49,835 </w:t>
            </w:r>
          </w:p>
        </w:tc>
        <w:tc>
          <w:tcPr>
            <w:tcW w:w="925" w:type="dxa"/>
            <w:shd w:val="clear" w:color="auto" w:fill="auto"/>
            <w:noWrap/>
            <w:vAlign w:val="center"/>
            <w:hideMark/>
          </w:tcPr>
          <w:p w14:paraId="699F7AC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263589C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r>
      <w:tr w:rsidR="003E5BF5" w:rsidRPr="0029213D" w14:paraId="3C586FDF" w14:textId="77777777" w:rsidTr="008E16CB">
        <w:trPr>
          <w:trHeight w:val="340"/>
        </w:trPr>
        <w:tc>
          <w:tcPr>
            <w:tcW w:w="3566" w:type="dxa"/>
            <w:shd w:val="clear" w:color="auto" w:fill="auto"/>
            <w:noWrap/>
            <w:vAlign w:val="center"/>
            <w:hideMark/>
          </w:tcPr>
          <w:p w14:paraId="7F0DCF5E"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Other income</w:t>
            </w:r>
          </w:p>
        </w:tc>
        <w:tc>
          <w:tcPr>
            <w:tcW w:w="1059" w:type="dxa"/>
            <w:shd w:val="clear" w:color="auto" w:fill="auto"/>
            <w:noWrap/>
            <w:vAlign w:val="center"/>
            <w:hideMark/>
          </w:tcPr>
          <w:p w14:paraId="4FD9375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5B2DF27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134 </w:t>
            </w:r>
          </w:p>
        </w:tc>
        <w:tc>
          <w:tcPr>
            <w:tcW w:w="1059" w:type="dxa"/>
            <w:shd w:val="clear" w:color="auto" w:fill="auto"/>
            <w:noWrap/>
            <w:vAlign w:val="center"/>
            <w:hideMark/>
          </w:tcPr>
          <w:p w14:paraId="0CBC30A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194" w:type="dxa"/>
            <w:shd w:val="clear" w:color="auto" w:fill="auto"/>
            <w:noWrap/>
            <w:vAlign w:val="center"/>
            <w:hideMark/>
          </w:tcPr>
          <w:p w14:paraId="2AA3339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10 </w:t>
            </w:r>
          </w:p>
        </w:tc>
        <w:tc>
          <w:tcPr>
            <w:tcW w:w="925" w:type="dxa"/>
            <w:shd w:val="clear" w:color="auto" w:fill="auto"/>
            <w:noWrap/>
            <w:vAlign w:val="center"/>
            <w:hideMark/>
          </w:tcPr>
          <w:p w14:paraId="51FECED1"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3751132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5 </w:t>
            </w:r>
          </w:p>
        </w:tc>
      </w:tr>
      <w:tr w:rsidR="003E5BF5" w:rsidRPr="0029213D" w14:paraId="5355DFAC" w14:textId="77777777" w:rsidTr="008E16CB">
        <w:trPr>
          <w:trHeight w:val="340"/>
        </w:trPr>
        <w:tc>
          <w:tcPr>
            <w:tcW w:w="3566" w:type="dxa"/>
            <w:shd w:val="clear" w:color="auto" w:fill="auto"/>
            <w:noWrap/>
            <w:vAlign w:val="center"/>
            <w:hideMark/>
          </w:tcPr>
          <w:p w14:paraId="27C89A66"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Statutory fines</w:t>
            </w:r>
          </w:p>
        </w:tc>
        <w:tc>
          <w:tcPr>
            <w:tcW w:w="1059" w:type="dxa"/>
            <w:shd w:val="clear" w:color="auto" w:fill="auto"/>
            <w:noWrap/>
            <w:vAlign w:val="center"/>
            <w:hideMark/>
          </w:tcPr>
          <w:p w14:paraId="55D8137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5D6FC952"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6 </w:t>
            </w:r>
          </w:p>
        </w:tc>
        <w:tc>
          <w:tcPr>
            <w:tcW w:w="1059" w:type="dxa"/>
            <w:shd w:val="clear" w:color="auto" w:fill="auto"/>
            <w:noWrap/>
            <w:vAlign w:val="center"/>
            <w:hideMark/>
          </w:tcPr>
          <w:p w14:paraId="248B29C1"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194" w:type="dxa"/>
            <w:shd w:val="clear" w:color="auto" w:fill="auto"/>
            <w:noWrap/>
            <w:vAlign w:val="center"/>
            <w:hideMark/>
          </w:tcPr>
          <w:p w14:paraId="09CD9839"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25" w:type="dxa"/>
            <w:shd w:val="clear" w:color="auto" w:fill="auto"/>
            <w:noWrap/>
            <w:vAlign w:val="center"/>
            <w:hideMark/>
          </w:tcPr>
          <w:p w14:paraId="2F5584A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7ECE81C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r>
      <w:tr w:rsidR="003E5BF5" w:rsidRPr="0029213D" w14:paraId="553DACAA" w14:textId="77777777" w:rsidTr="008E16CB">
        <w:trPr>
          <w:trHeight w:val="340"/>
        </w:trPr>
        <w:tc>
          <w:tcPr>
            <w:tcW w:w="3566" w:type="dxa"/>
            <w:shd w:val="clear" w:color="auto" w:fill="auto"/>
            <w:noWrap/>
            <w:vAlign w:val="center"/>
            <w:hideMark/>
          </w:tcPr>
          <w:p w14:paraId="2072B9CE"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Regulatory fees, fines, leases and licences</w:t>
            </w:r>
          </w:p>
        </w:tc>
        <w:tc>
          <w:tcPr>
            <w:tcW w:w="1059" w:type="dxa"/>
            <w:shd w:val="clear" w:color="auto" w:fill="auto"/>
            <w:noWrap/>
            <w:hideMark/>
          </w:tcPr>
          <w:p w14:paraId="6C4ED20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hideMark/>
          </w:tcPr>
          <w:p w14:paraId="26DC273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176 </w:t>
            </w:r>
          </w:p>
        </w:tc>
        <w:tc>
          <w:tcPr>
            <w:tcW w:w="1059" w:type="dxa"/>
            <w:shd w:val="clear" w:color="auto" w:fill="auto"/>
            <w:noWrap/>
            <w:hideMark/>
          </w:tcPr>
          <w:p w14:paraId="66DA412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194" w:type="dxa"/>
            <w:shd w:val="clear" w:color="auto" w:fill="auto"/>
            <w:noWrap/>
            <w:hideMark/>
          </w:tcPr>
          <w:p w14:paraId="5E014D0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3,340 </w:t>
            </w:r>
          </w:p>
        </w:tc>
        <w:tc>
          <w:tcPr>
            <w:tcW w:w="925" w:type="dxa"/>
            <w:shd w:val="clear" w:color="auto" w:fill="auto"/>
            <w:noWrap/>
            <w:hideMark/>
          </w:tcPr>
          <w:p w14:paraId="72F4EEA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hideMark/>
          </w:tcPr>
          <w:p w14:paraId="3974E9E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3 </w:t>
            </w:r>
          </w:p>
        </w:tc>
      </w:tr>
      <w:tr w:rsidR="003E5BF5" w:rsidRPr="0029213D" w14:paraId="10F1A8E2" w14:textId="77777777" w:rsidTr="008E16CB">
        <w:trPr>
          <w:trHeight w:val="340"/>
        </w:trPr>
        <w:tc>
          <w:tcPr>
            <w:tcW w:w="3566" w:type="dxa"/>
            <w:shd w:val="clear" w:color="auto" w:fill="auto"/>
            <w:noWrap/>
            <w:vAlign w:val="center"/>
            <w:hideMark/>
          </w:tcPr>
          <w:p w14:paraId="3A15D19F"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Interest income</w:t>
            </w:r>
          </w:p>
        </w:tc>
        <w:tc>
          <w:tcPr>
            <w:tcW w:w="1059" w:type="dxa"/>
            <w:shd w:val="clear" w:color="auto" w:fill="auto"/>
            <w:noWrap/>
            <w:vAlign w:val="center"/>
            <w:hideMark/>
          </w:tcPr>
          <w:p w14:paraId="72178EC2"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0CCCAC0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59" w:type="dxa"/>
            <w:shd w:val="clear" w:color="auto" w:fill="auto"/>
            <w:noWrap/>
            <w:vAlign w:val="center"/>
            <w:hideMark/>
          </w:tcPr>
          <w:p w14:paraId="22F14711"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194" w:type="dxa"/>
            <w:shd w:val="clear" w:color="auto" w:fill="auto"/>
            <w:noWrap/>
            <w:vAlign w:val="center"/>
            <w:hideMark/>
          </w:tcPr>
          <w:p w14:paraId="1D40109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35 </w:t>
            </w:r>
          </w:p>
        </w:tc>
        <w:tc>
          <w:tcPr>
            <w:tcW w:w="925" w:type="dxa"/>
            <w:shd w:val="clear" w:color="auto" w:fill="auto"/>
            <w:noWrap/>
            <w:vAlign w:val="center"/>
            <w:hideMark/>
          </w:tcPr>
          <w:p w14:paraId="3DC8902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524DE25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r w:rsidRPr="0029213D">
              <w:rPr>
                <w:rFonts w:ascii="Arial" w:hAnsi="Arial" w:cs="Arial"/>
                <w:sz w:val="24"/>
                <w:szCs w:val="24"/>
              </w:rPr>
              <w:t xml:space="preserve"> </w:t>
            </w:r>
          </w:p>
        </w:tc>
      </w:tr>
      <w:tr w:rsidR="003E5BF5" w:rsidRPr="0029213D" w14:paraId="145A2A8E" w14:textId="77777777" w:rsidTr="008E16CB">
        <w:trPr>
          <w:trHeight w:val="340"/>
        </w:trPr>
        <w:tc>
          <w:tcPr>
            <w:tcW w:w="3566" w:type="dxa"/>
            <w:shd w:val="clear" w:color="auto" w:fill="auto"/>
            <w:noWrap/>
            <w:vAlign w:val="center"/>
            <w:hideMark/>
          </w:tcPr>
          <w:p w14:paraId="21E8A831"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administered income from transactions</w:t>
            </w:r>
          </w:p>
        </w:tc>
        <w:tc>
          <w:tcPr>
            <w:tcW w:w="1059" w:type="dxa"/>
            <w:shd w:val="clear" w:color="auto" w:fill="auto"/>
            <w:noWrap/>
            <w:hideMark/>
          </w:tcPr>
          <w:p w14:paraId="75891B37"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27E60EC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26,919 </w:t>
            </w:r>
          </w:p>
        </w:tc>
        <w:tc>
          <w:tcPr>
            <w:tcW w:w="1059" w:type="dxa"/>
            <w:shd w:val="clear" w:color="auto" w:fill="auto"/>
            <w:noWrap/>
            <w:hideMark/>
          </w:tcPr>
          <w:p w14:paraId="3FD0F308"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1194" w:type="dxa"/>
            <w:shd w:val="clear" w:color="auto" w:fill="auto"/>
            <w:noWrap/>
            <w:hideMark/>
          </w:tcPr>
          <w:p w14:paraId="4E08497B"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53,400 </w:t>
            </w:r>
          </w:p>
        </w:tc>
        <w:tc>
          <w:tcPr>
            <w:tcW w:w="925" w:type="dxa"/>
            <w:shd w:val="clear" w:color="auto" w:fill="auto"/>
            <w:noWrap/>
            <w:hideMark/>
          </w:tcPr>
          <w:p w14:paraId="2EF7C9C7"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7304A5D1"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20 </w:t>
            </w:r>
          </w:p>
        </w:tc>
      </w:tr>
      <w:tr w:rsidR="003E5BF5" w:rsidRPr="0029213D" w14:paraId="4CF5136A" w14:textId="77777777" w:rsidTr="008E16CB">
        <w:trPr>
          <w:trHeight w:val="340"/>
        </w:trPr>
        <w:tc>
          <w:tcPr>
            <w:tcW w:w="3566" w:type="dxa"/>
            <w:shd w:val="clear" w:color="auto" w:fill="auto"/>
            <w:noWrap/>
            <w:vAlign w:val="center"/>
            <w:hideMark/>
          </w:tcPr>
          <w:p w14:paraId="621F4527" w14:textId="77777777" w:rsidR="003E5BF5" w:rsidRPr="0029213D" w:rsidRDefault="003E5BF5" w:rsidP="00604703">
            <w:pPr>
              <w:pStyle w:val="TableTextGreen"/>
            </w:pPr>
            <w:r w:rsidRPr="0029213D">
              <w:t>Administered expenses from transactions</w:t>
            </w:r>
          </w:p>
        </w:tc>
        <w:tc>
          <w:tcPr>
            <w:tcW w:w="1059" w:type="dxa"/>
            <w:shd w:val="clear" w:color="auto" w:fill="auto"/>
            <w:noWrap/>
            <w:vAlign w:val="center"/>
            <w:hideMark/>
          </w:tcPr>
          <w:p w14:paraId="64ACD284" w14:textId="77777777" w:rsidR="003E5BF5" w:rsidRPr="0029213D" w:rsidRDefault="003E5BF5" w:rsidP="00DE1921">
            <w:pPr>
              <w:spacing w:line="259" w:lineRule="auto"/>
              <w:jc w:val="right"/>
              <w:rPr>
                <w:rFonts w:ascii="Arial" w:hAnsi="Arial" w:cs="Arial"/>
                <w:sz w:val="24"/>
                <w:szCs w:val="24"/>
              </w:rPr>
            </w:pPr>
          </w:p>
        </w:tc>
        <w:tc>
          <w:tcPr>
            <w:tcW w:w="1060" w:type="dxa"/>
            <w:shd w:val="clear" w:color="auto" w:fill="auto"/>
            <w:noWrap/>
            <w:vAlign w:val="center"/>
            <w:hideMark/>
          </w:tcPr>
          <w:p w14:paraId="5514FAA1" w14:textId="77777777" w:rsidR="003E5BF5" w:rsidRPr="0029213D" w:rsidRDefault="003E5BF5" w:rsidP="00DE1921">
            <w:pPr>
              <w:spacing w:line="259" w:lineRule="auto"/>
              <w:jc w:val="right"/>
              <w:rPr>
                <w:rFonts w:ascii="Arial" w:hAnsi="Arial" w:cs="Arial"/>
                <w:sz w:val="24"/>
                <w:szCs w:val="24"/>
              </w:rPr>
            </w:pPr>
          </w:p>
        </w:tc>
        <w:tc>
          <w:tcPr>
            <w:tcW w:w="1059" w:type="dxa"/>
            <w:shd w:val="clear" w:color="auto" w:fill="auto"/>
            <w:noWrap/>
            <w:vAlign w:val="center"/>
            <w:hideMark/>
          </w:tcPr>
          <w:p w14:paraId="20DFC2D0" w14:textId="77777777" w:rsidR="003E5BF5" w:rsidRPr="0029213D" w:rsidRDefault="003E5BF5" w:rsidP="00DE1921">
            <w:pPr>
              <w:spacing w:line="259" w:lineRule="auto"/>
              <w:jc w:val="right"/>
              <w:rPr>
                <w:rFonts w:ascii="Arial" w:hAnsi="Arial" w:cs="Arial"/>
                <w:sz w:val="24"/>
                <w:szCs w:val="24"/>
              </w:rPr>
            </w:pPr>
          </w:p>
        </w:tc>
        <w:tc>
          <w:tcPr>
            <w:tcW w:w="1194" w:type="dxa"/>
            <w:shd w:val="clear" w:color="auto" w:fill="auto"/>
            <w:noWrap/>
            <w:vAlign w:val="center"/>
            <w:hideMark/>
          </w:tcPr>
          <w:p w14:paraId="4341749D" w14:textId="77777777" w:rsidR="003E5BF5" w:rsidRPr="0029213D" w:rsidRDefault="003E5BF5" w:rsidP="00DE1921">
            <w:pPr>
              <w:spacing w:line="259" w:lineRule="auto"/>
              <w:jc w:val="right"/>
              <w:rPr>
                <w:rFonts w:ascii="Arial" w:hAnsi="Arial" w:cs="Arial"/>
                <w:sz w:val="24"/>
                <w:szCs w:val="24"/>
              </w:rPr>
            </w:pPr>
          </w:p>
        </w:tc>
        <w:tc>
          <w:tcPr>
            <w:tcW w:w="925" w:type="dxa"/>
            <w:shd w:val="clear" w:color="auto" w:fill="auto"/>
            <w:noWrap/>
            <w:vAlign w:val="center"/>
            <w:hideMark/>
          </w:tcPr>
          <w:p w14:paraId="412376B7" w14:textId="77777777" w:rsidR="003E5BF5" w:rsidRPr="0029213D" w:rsidRDefault="003E5BF5" w:rsidP="00DE1921">
            <w:pPr>
              <w:spacing w:line="259" w:lineRule="auto"/>
              <w:jc w:val="right"/>
              <w:rPr>
                <w:rFonts w:ascii="Arial" w:hAnsi="Arial" w:cs="Arial"/>
                <w:sz w:val="24"/>
                <w:szCs w:val="24"/>
              </w:rPr>
            </w:pPr>
          </w:p>
        </w:tc>
        <w:tc>
          <w:tcPr>
            <w:tcW w:w="1060" w:type="dxa"/>
            <w:shd w:val="clear" w:color="auto" w:fill="auto"/>
            <w:noWrap/>
            <w:vAlign w:val="center"/>
            <w:hideMark/>
          </w:tcPr>
          <w:p w14:paraId="088E0F7E" w14:textId="77777777" w:rsidR="003E5BF5" w:rsidRPr="0029213D" w:rsidRDefault="003E5BF5" w:rsidP="00DE1921">
            <w:pPr>
              <w:spacing w:line="259" w:lineRule="auto"/>
              <w:jc w:val="right"/>
              <w:rPr>
                <w:rFonts w:ascii="Arial" w:hAnsi="Arial" w:cs="Arial"/>
                <w:sz w:val="24"/>
                <w:szCs w:val="24"/>
              </w:rPr>
            </w:pPr>
          </w:p>
        </w:tc>
      </w:tr>
      <w:tr w:rsidR="003E5BF5" w:rsidRPr="0029213D" w14:paraId="76D1DAC4" w14:textId="77777777" w:rsidTr="008E16CB">
        <w:trPr>
          <w:trHeight w:val="340"/>
        </w:trPr>
        <w:tc>
          <w:tcPr>
            <w:tcW w:w="3566" w:type="dxa"/>
            <w:shd w:val="clear" w:color="auto" w:fill="auto"/>
            <w:noWrap/>
            <w:vAlign w:val="center"/>
            <w:hideMark/>
          </w:tcPr>
          <w:p w14:paraId="70F69DA6"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Payments into Consolidated Fund</w:t>
            </w:r>
          </w:p>
        </w:tc>
        <w:tc>
          <w:tcPr>
            <w:tcW w:w="1059" w:type="dxa"/>
            <w:shd w:val="clear" w:color="auto" w:fill="auto"/>
            <w:noWrap/>
            <w:vAlign w:val="center"/>
            <w:hideMark/>
          </w:tcPr>
          <w:p w14:paraId="400AE8D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7D93133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(56,305)</w:t>
            </w:r>
          </w:p>
        </w:tc>
        <w:tc>
          <w:tcPr>
            <w:tcW w:w="1059" w:type="dxa"/>
            <w:shd w:val="clear" w:color="auto" w:fill="auto"/>
            <w:noWrap/>
            <w:vAlign w:val="center"/>
            <w:hideMark/>
          </w:tcPr>
          <w:p w14:paraId="0E54E4A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194" w:type="dxa"/>
            <w:shd w:val="clear" w:color="auto" w:fill="auto"/>
            <w:noWrap/>
            <w:vAlign w:val="center"/>
            <w:hideMark/>
          </w:tcPr>
          <w:p w14:paraId="69D55D3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(106,865)</w:t>
            </w:r>
          </w:p>
        </w:tc>
        <w:tc>
          <w:tcPr>
            <w:tcW w:w="925" w:type="dxa"/>
            <w:shd w:val="clear" w:color="auto" w:fill="auto"/>
            <w:noWrap/>
            <w:vAlign w:val="center"/>
            <w:hideMark/>
          </w:tcPr>
          <w:p w14:paraId="39670DA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4183C2B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(174)</w:t>
            </w:r>
          </w:p>
        </w:tc>
      </w:tr>
      <w:tr w:rsidR="003E5BF5" w:rsidRPr="0029213D" w14:paraId="3D2ED3FC" w14:textId="77777777" w:rsidTr="008E16CB">
        <w:trPr>
          <w:trHeight w:val="340"/>
        </w:trPr>
        <w:tc>
          <w:tcPr>
            <w:tcW w:w="3566" w:type="dxa"/>
            <w:shd w:val="clear" w:color="auto" w:fill="auto"/>
            <w:noWrap/>
            <w:vAlign w:val="center"/>
            <w:hideMark/>
          </w:tcPr>
          <w:p w14:paraId="6BC28DCE"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Interest expense</w:t>
            </w:r>
          </w:p>
        </w:tc>
        <w:tc>
          <w:tcPr>
            <w:tcW w:w="1059" w:type="dxa"/>
            <w:shd w:val="clear" w:color="auto" w:fill="auto"/>
            <w:noWrap/>
            <w:vAlign w:val="center"/>
            <w:hideMark/>
          </w:tcPr>
          <w:p w14:paraId="21C71AB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6E5984B9"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59" w:type="dxa"/>
            <w:shd w:val="clear" w:color="auto" w:fill="auto"/>
            <w:noWrap/>
            <w:vAlign w:val="center"/>
            <w:hideMark/>
          </w:tcPr>
          <w:p w14:paraId="7B4592A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194" w:type="dxa"/>
            <w:shd w:val="clear" w:color="auto" w:fill="auto"/>
            <w:noWrap/>
            <w:vAlign w:val="center"/>
            <w:hideMark/>
          </w:tcPr>
          <w:p w14:paraId="3718352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25" w:type="dxa"/>
            <w:shd w:val="clear" w:color="auto" w:fill="auto"/>
            <w:noWrap/>
            <w:vAlign w:val="center"/>
            <w:hideMark/>
          </w:tcPr>
          <w:p w14:paraId="36BB4E2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4AB281E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r>
      <w:tr w:rsidR="003E5BF5" w:rsidRPr="0029213D" w14:paraId="0D4FF726" w14:textId="77777777" w:rsidTr="008E16CB">
        <w:trPr>
          <w:trHeight w:val="340"/>
        </w:trPr>
        <w:tc>
          <w:tcPr>
            <w:tcW w:w="3566" w:type="dxa"/>
            <w:shd w:val="clear" w:color="auto" w:fill="auto"/>
            <w:noWrap/>
            <w:vAlign w:val="center"/>
            <w:hideMark/>
          </w:tcPr>
          <w:p w14:paraId="48874C8E"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Other expenses</w:t>
            </w:r>
          </w:p>
        </w:tc>
        <w:tc>
          <w:tcPr>
            <w:tcW w:w="1059" w:type="dxa"/>
            <w:shd w:val="clear" w:color="auto" w:fill="auto"/>
            <w:noWrap/>
            <w:vAlign w:val="center"/>
            <w:hideMark/>
          </w:tcPr>
          <w:p w14:paraId="0990AD8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0E5E6BB1"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(51)</w:t>
            </w:r>
          </w:p>
        </w:tc>
        <w:tc>
          <w:tcPr>
            <w:tcW w:w="1059" w:type="dxa"/>
            <w:shd w:val="clear" w:color="auto" w:fill="auto"/>
            <w:noWrap/>
            <w:vAlign w:val="center"/>
            <w:hideMark/>
          </w:tcPr>
          <w:p w14:paraId="57560FA2"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194" w:type="dxa"/>
            <w:shd w:val="clear" w:color="auto" w:fill="auto"/>
            <w:noWrap/>
            <w:vAlign w:val="center"/>
            <w:hideMark/>
          </w:tcPr>
          <w:p w14:paraId="1BA2ABB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(16)</w:t>
            </w:r>
          </w:p>
        </w:tc>
        <w:tc>
          <w:tcPr>
            <w:tcW w:w="925" w:type="dxa"/>
            <w:shd w:val="clear" w:color="auto" w:fill="auto"/>
            <w:noWrap/>
            <w:vAlign w:val="center"/>
            <w:hideMark/>
          </w:tcPr>
          <w:p w14:paraId="4AA3757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7BDDF6B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(9)</w:t>
            </w:r>
          </w:p>
        </w:tc>
      </w:tr>
      <w:tr w:rsidR="003E5BF5" w:rsidRPr="0029213D" w14:paraId="7F84E837" w14:textId="77777777" w:rsidTr="008E16CB">
        <w:trPr>
          <w:trHeight w:val="340"/>
        </w:trPr>
        <w:tc>
          <w:tcPr>
            <w:tcW w:w="3566" w:type="dxa"/>
            <w:shd w:val="clear" w:color="auto" w:fill="auto"/>
            <w:noWrap/>
            <w:vAlign w:val="center"/>
            <w:hideMark/>
          </w:tcPr>
          <w:p w14:paraId="4FC926B9"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administered expenses from transactions</w:t>
            </w:r>
          </w:p>
        </w:tc>
        <w:tc>
          <w:tcPr>
            <w:tcW w:w="1059" w:type="dxa"/>
            <w:shd w:val="clear" w:color="auto" w:fill="auto"/>
            <w:noWrap/>
            <w:hideMark/>
          </w:tcPr>
          <w:p w14:paraId="72DF70B4"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00F3A00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(56,356)</w:t>
            </w:r>
          </w:p>
        </w:tc>
        <w:tc>
          <w:tcPr>
            <w:tcW w:w="1059" w:type="dxa"/>
            <w:shd w:val="clear" w:color="auto" w:fill="auto"/>
            <w:noWrap/>
            <w:hideMark/>
          </w:tcPr>
          <w:p w14:paraId="1D4E0E86"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1194" w:type="dxa"/>
            <w:shd w:val="clear" w:color="auto" w:fill="auto"/>
            <w:noWrap/>
            <w:hideMark/>
          </w:tcPr>
          <w:p w14:paraId="568FDB15"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(106,881)</w:t>
            </w:r>
          </w:p>
        </w:tc>
        <w:tc>
          <w:tcPr>
            <w:tcW w:w="925" w:type="dxa"/>
            <w:shd w:val="clear" w:color="auto" w:fill="auto"/>
            <w:noWrap/>
            <w:hideMark/>
          </w:tcPr>
          <w:p w14:paraId="67D4A701"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6417C8F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(184)</w:t>
            </w:r>
          </w:p>
        </w:tc>
      </w:tr>
      <w:tr w:rsidR="003E5BF5" w:rsidRPr="0029213D" w14:paraId="10D9F4BA" w14:textId="77777777" w:rsidTr="008E16CB">
        <w:trPr>
          <w:trHeight w:val="340"/>
        </w:trPr>
        <w:tc>
          <w:tcPr>
            <w:tcW w:w="3566" w:type="dxa"/>
            <w:shd w:val="clear" w:color="auto" w:fill="auto"/>
            <w:noWrap/>
            <w:vAlign w:val="center"/>
            <w:hideMark/>
          </w:tcPr>
          <w:p w14:paraId="28CD934C"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administered net result from transactions</w:t>
            </w:r>
          </w:p>
        </w:tc>
        <w:tc>
          <w:tcPr>
            <w:tcW w:w="1059" w:type="dxa"/>
            <w:shd w:val="clear" w:color="auto" w:fill="auto"/>
            <w:noWrap/>
            <w:hideMark/>
          </w:tcPr>
          <w:p w14:paraId="71989443"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057CBD63"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(29,437)</w:t>
            </w:r>
          </w:p>
        </w:tc>
        <w:tc>
          <w:tcPr>
            <w:tcW w:w="1059" w:type="dxa"/>
            <w:shd w:val="clear" w:color="auto" w:fill="auto"/>
            <w:noWrap/>
            <w:hideMark/>
          </w:tcPr>
          <w:p w14:paraId="1D7A39F0"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1194" w:type="dxa"/>
            <w:shd w:val="clear" w:color="auto" w:fill="auto"/>
            <w:noWrap/>
            <w:hideMark/>
          </w:tcPr>
          <w:p w14:paraId="750D5DCA"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(53,481)</w:t>
            </w:r>
          </w:p>
        </w:tc>
        <w:tc>
          <w:tcPr>
            <w:tcW w:w="925" w:type="dxa"/>
            <w:shd w:val="clear" w:color="auto" w:fill="auto"/>
            <w:noWrap/>
            <w:hideMark/>
          </w:tcPr>
          <w:p w14:paraId="1CD3F1AA"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09EAD42A"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(164)</w:t>
            </w:r>
          </w:p>
        </w:tc>
      </w:tr>
      <w:tr w:rsidR="003E5BF5" w:rsidRPr="0029213D" w14:paraId="64F54076" w14:textId="77777777" w:rsidTr="008E16CB">
        <w:trPr>
          <w:trHeight w:val="340"/>
        </w:trPr>
        <w:tc>
          <w:tcPr>
            <w:tcW w:w="3566" w:type="dxa"/>
            <w:shd w:val="clear" w:color="auto" w:fill="auto"/>
            <w:noWrap/>
            <w:vAlign w:val="center"/>
            <w:hideMark/>
          </w:tcPr>
          <w:p w14:paraId="148E3028" w14:textId="77777777" w:rsidR="003E5BF5" w:rsidRPr="0029213D" w:rsidRDefault="003E5BF5" w:rsidP="00DE1921">
            <w:pPr>
              <w:spacing w:line="259" w:lineRule="auto"/>
              <w:rPr>
                <w:rFonts w:ascii="Arial" w:hAnsi="Arial" w:cs="Arial"/>
                <w:b/>
                <w:sz w:val="24"/>
                <w:szCs w:val="24"/>
              </w:rPr>
            </w:pPr>
          </w:p>
        </w:tc>
        <w:tc>
          <w:tcPr>
            <w:tcW w:w="1059" w:type="dxa"/>
            <w:shd w:val="clear" w:color="auto" w:fill="auto"/>
            <w:noWrap/>
            <w:vAlign w:val="center"/>
            <w:hideMark/>
          </w:tcPr>
          <w:p w14:paraId="2DDA24EE" w14:textId="77777777" w:rsidR="003E5BF5" w:rsidRPr="0029213D" w:rsidRDefault="003E5BF5" w:rsidP="00DE1921">
            <w:pPr>
              <w:spacing w:line="259" w:lineRule="auto"/>
              <w:jc w:val="right"/>
              <w:rPr>
                <w:rFonts w:ascii="Arial" w:hAnsi="Arial" w:cs="Arial"/>
                <w:b/>
                <w:sz w:val="24"/>
                <w:szCs w:val="24"/>
              </w:rPr>
            </w:pPr>
          </w:p>
        </w:tc>
        <w:tc>
          <w:tcPr>
            <w:tcW w:w="1060" w:type="dxa"/>
            <w:shd w:val="clear" w:color="auto" w:fill="auto"/>
            <w:noWrap/>
            <w:vAlign w:val="center"/>
            <w:hideMark/>
          </w:tcPr>
          <w:p w14:paraId="24C7935B" w14:textId="77777777" w:rsidR="003E5BF5" w:rsidRPr="0029213D" w:rsidRDefault="003E5BF5" w:rsidP="00DE1921">
            <w:pPr>
              <w:spacing w:line="259" w:lineRule="auto"/>
              <w:jc w:val="right"/>
              <w:rPr>
                <w:rFonts w:ascii="Arial" w:hAnsi="Arial" w:cs="Arial"/>
                <w:b/>
                <w:sz w:val="24"/>
                <w:szCs w:val="24"/>
              </w:rPr>
            </w:pPr>
          </w:p>
        </w:tc>
        <w:tc>
          <w:tcPr>
            <w:tcW w:w="1059" w:type="dxa"/>
            <w:shd w:val="clear" w:color="auto" w:fill="auto"/>
            <w:noWrap/>
            <w:vAlign w:val="center"/>
            <w:hideMark/>
          </w:tcPr>
          <w:p w14:paraId="176CDC2F" w14:textId="77777777" w:rsidR="003E5BF5" w:rsidRPr="0029213D" w:rsidRDefault="003E5BF5" w:rsidP="00DE1921">
            <w:pPr>
              <w:spacing w:line="259" w:lineRule="auto"/>
              <w:jc w:val="right"/>
              <w:rPr>
                <w:rFonts w:ascii="Arial" w:hAnsi="Arial" w:cs="Arial"/>
                <w:b/>
                <w:sz w:val="24"/>
                <w:szCs w:val="24"/>
              </w:rPr>
            </w:pPr>
          </w:p>
        </w:tc>
        <w:tc>
          <w:tcPr>
            <w:tcW w:w="1194" w:type="dxa"/>
            <w:shd w:val="clear" w:color="auto" w:fill="auto"/>
            <w:noWrap/>
            <w:vAlign w:val="center"/>
            <w:hideMark/>
          </w:tcPr>
          <w:p w14:paraId="4647AD8C" w14:textId="77777777" w:rsidR="003E5BF5" w:rsidRPr="0029213D" w:rsidRDefault="003E5BF5" w:rsidP="00DE1921">
            <w:pPr>
              <w:spacing w:line="259" w:lineRule="auto"/>
              <w:jc w:val="right"/>
              <w:rPr>
                <w:rFonts w:ascii="Arial" w:hAnsi="Arial" w:cs="Arial"/>
                <w:b/>
                <w:sz w:val="24"/>
                <w:szCs w:val="24"/>
              </w:rPr>
            </w:pPr>
          </w:p>
        </w:tc>
        <w:tc>
          <w:tcPr>
            <w:tcW w:w="925" w:type="dxa"/>
            <w:shd w:val="clear" w:color="auto" w:fill="auto"/>
            <w:noWrap/>
            <w:vAlign w:val="center"/>
            <w:hideMark/>
          </w:tcPr>
          <w:p w14:paraId="46D9AFB9" w14:textId="77777777" w:rsidR="003E5BF5" w:rsidRPr="0029213D" w:rsidRDefault="003E5BF5" w:rsidP="00DE1921">
            <w:pPr>
              <w:spacing w:line="259" w:lineRule="auto"/>
              <w:jc w:val="right"/>
              <w:rPr>
                <w:rFonts w:ascii="Arial" w:hAnsi="Arial" w:cs="Arial"/>
                <w:b/>
                <w:sz w:val="24"/>
                <w:szCs w:val="24"/>
              </w:rPr>
            </w:pPr>
          </w:p>
        </w:tc>
        <w:tc>
          <w:tcPr>
            <w:tcW w:w="1060" w:type="dxa"/>
            <w:shd w:val="clear" w:color="auto" w:fill="auto"/>
            <w:noWrap/>
            <w:vAlign w:val="center"/>
            <w:hideMark/>
          </w:tcPr>
          <w:p w14:paraId="28371A36" w14:textId="77777777" w:rsidR="003E5BF5" w:rsidRPr="0029213D" w:rsidRDefault="003E5BF5" w:rsidP="00DE1921">
            <w:pPr>
              <w:spacing w:line="259" w:lineRule="auto"/>
              <w:jc w:val="right"/>
              <w:rPr>
                <w:rFonts w:ascii="Arial" w:hAnsi="Arial" w:cs="Arial"/>
                <w:b/>
                <w:sz w:val="24"/>
                <w:szCs w:val="24"/>
              </w:rPr>
            </w:pPr>
          </w:p>
        </w:tc>
      </w:tr>
      <w:tr w:rsidR="003E5BF5" w:rsidRPr="0029213D" w14:paraId="457ED56C" w14:textId="77777777" w:rsidTr="008E16CB">
        <w:trPr>
          <w:trHeight w:val="340"/>
        </w:trPr>
        <w:tc>
          <w:tcPr>
            <w:tcW w:w="3566" w:type="dxa"/>
            <w:shd w:val="clear" w:color="auto" w:fill="auto"/>
            <w:vAlign w:val="center"/>
            <w:hideMark/>
          </w:tcPr>
          <w:p w14:paraId="2FB6ED92" w14:textId="77777777" w:rsidR="003E5BF5" w:rsidRPr="0029213D" w:rsidRDefault="003E5BF5" w:rsidP="00604703">
            <w:pPr>
              <w:pStyle w:val="TableTextGreen"/>
            </w:pPr>
            <w:r w:rsidRPr="0029213D">
              <w:t>Administered other economic flows included in administered net result</w:t>
            </w:r>
          </w:p>
        </w:tc>
        <w:tc>
          <w:tcPr>
            <w:tcW w:w="1059" w:type="dxa"/>
            <w:shd w:val="clear" w:color="auto" w:fill="auto"/>
            <w:noWrap/>
            <w:vAlign w:val="center"/>
            <w:hideMark/>
          </w:tcPr>
          <w:p w14:paraId="17C4D9CD" w14:textId="77777777" w:rsidR="003E5BF5" w:rsidRPr="0029213D" w:rsidRDefault="003E5BF5" w:rsidP="00DE1921">
            <w:pPr>
              <w:spacing w:line="259" w:lineRule="auto"/>
              <w:jc w:val="right"/>
              <w:rPr>
                <w:rFonts w:ascii="Arial" w:hAnsi="Arial" w:cs="Arial"/>
                <w:sz w:val="24"/>
                <w:szCs w:val="24"/>
              </w:rPr>
            </w:pPr>
          </w:p>
        </w:tc>
        <w:tc>
          <w:tcPr>
            <w:tcW w:w="1060" w:type="dxa"/>
            <w:shd w:val="clear" w:color="auto" w:fill="auto"/>
            <w:noWrap/>
            <w:vAlign w:val="center"/>
            <w:hideMark/>
          </w:tcPr>
          <w:p w14:paraId="75E44631" w14:textId="77777777" w:rsidR="003E5BF5" w:rsidRPr="0029213D" w:rsidRDefault="003E5BF5" w:rsidP="00DE1921">
            <w:pPr>
              <w:spacing w:line="259" w:lineRule="auto"/>
              <w:jc w:val="right"/>
              <w:rPr>
                <w:rFonts w:ascii="Arial" w:hAnsi="Arial" w:cs="Arial"/>
                <w:sz w:val="24"/>
                <w:szCs w:val="24"/>
              </w:rPr>
            </w:pPr>
          </w:p>
        </w:tc>
        <w:tc>
          <w:tcPr>
            <w:tcW w:w="1059" w:type="dxa"/>
            <w:shd w:val="clear" w:color="auto" w:fill="auto"/>
            <w:noWrap/>
            <w:vAlign w:val="center"/>
            <w:hideMark/>
          </w:tcPr>
          <w:p w14:paraId="5165B2E5" w14:textId="77777777" w:rsidR="003E5BF5" w:rsidRPr="0029213D" w:rsidRDefault="003E5BF5" w:rsidP="00DE1921">
            <w:pPr>
              <w:spacing w:line="259" w:lineRule="auto"/>
              <w:jc w:val="right"/>
              <w:rPr>
                <w:rFonts w:ascii="Arial" w:hAnsi="Arial" w:cs="Arial"/>
                <w:sz w:val="24"/>
                <w:szCs w:val="24"/>
              </w:rPr>
            </w:pPr>
          </w:p>
        </w:tc>
        <w:tc>
          <w:tcPr>
            <w:tcW w:w="1194" w:type="dxa"/>
            <w:shd w:val="clear" w:color="auto" w:fill="auto"/>
            <w:noWrap/>
            <w:vAlign w:val="center"/>
            <w:hideMark/>
          </w:tcPr>
          <w:p w14:paraId="458CE703" w14:textId="77777777" w:rsidR="003E5BF5" w:rsidRPr="0029213D" w:rsidRDefault="003E5BF5" w:rsidP="00DE1921">
            <w:pPr>
              <w:spacing w:line="259" w:lineRule="auto"/>
              <w:jc w:val="right"/>
              <w:rPr>
                <w:rFonts w:ascii="Arial" w:hAnsi="Arial" w:cs="Arial"/>
                <w:sz w:val="24"/>
                <w:szCs w:val="24"/>
              </w:rPr>
            </w:pPr>
          </w:p>
        </w:tc>
        <w:tc>
          <w:tcPr>
            <w:tcW w:w="925" w:type="dxa"/>
            <w:shd w:val="clear" w:color="auto" w:fill="auto"/>
            <w:noWrap/>
            <w:vAlign w:val="center"/>
            <w:hideMark/>
          </w:tcPr>
          <w:p w14:paraId="4987468A" w14:textId="77777777" w:rsidR="003E5BF5" w:rsidRPr="0029213D" w:rsidRDefault="003E5BF5" w:rsidP="00DE1921">
            <w:pPr>
              <w:spacing w:line="259" w:lineRule="auto"/>
              <w:jc w:val="right"/>
              <w:rPr>
                <w:rFonts w:ascii="Arial" w:hAnsi="Arial" w:cs="Arial"/>
                <w:sz w:val="24"/>
                <w:szCs w:val="24"/>
              </w:rPr>
            </w:pPr>
          </w:p>
        </w:tc>
        <w:tc>
          <w:tcPr>
            <w:tcW w:w="1060" w:type="dxa"/>
            <w:shd w:val="clear" w:color="auto" w:fill="auto"/>
            <w:noWrap/>
            <w:vAlign w:val="center"/>
            <w:hideMark/>
          </w:tcPr>
          <w:p w14:paraId="65A9FDEA" w14:textId="77777777" w:rsidR="003E5BF5" w:rsidRPr="0029213D" w:rsidRDefault="003E5BF5" w:rsidP="00DE1921">
            <w:pPr>
              <w:spacing w:line="259" w:lineRule="auto"/>
              <w:jc w:val="right"/>
              <w:rPr>
                <w:rFonts w:ascii="Arial" w:hAnsi="Arial" w:cs="Arial"/>
                <w:sz w:val="24"/>
                <w:szCs w:val="24"/>
              </w:rPr>
            </w:pPr>
          </w:p>
        </w:tc>
      </w:tr>
      <w:tr w:rsidR="003E5BF5" w:rsidRPr="0029213D" w14:paraId="129CF1A8" w14:textId="77777777" w:rsidTr="008E16CB">
        <w:trPr>
          <w:trHeight w:val="340"/>
        </w:trPr>
        <w:tc>
          <w:tcPr>
            <w:tcW w:w="3566" w:type="dxa"/>
            <w:shd w:val="clear" w:color="auto" w:fill="auto"/>
            <w:noWrap/>
            <w:vAlign w:val="center"/>
            <w:hideMark/>
          </w:tcPr>
          <w:p w14:paraId="2DCE5ACA"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Net gain/(loss) on financial assets</w:t>
            </w:r>
          </w:p>
        </w:tc>
        <w:tc>
          <w:tcPr>
            <w:tcW w:w="1059" w:type="dxa"/>
            <w:shd w:val="clear" w:color="auto" w:fill="auto"/>
            <w:noWrap/>
            <w:vAlign w:val="center"/>
            <w:hideMark/>
          </w:tcPr>
          <w:p w14:paraId="607DC6F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54467B1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(245)</w:t>
            </w:r>
          </w:p>
        </w:tc>
        <w:tc>
          <w:tcPr>
            <w:tcW w:w="1059" w:type="dxa"/>
            <w:shd w:val="clear" w:color="auto" w:fill="auto"/>
            <w:noWrap/>
            <w:vAlign w:val="center"/>
            <w:hideMark/>
          </w:tcPr>
          <w:p w14:paraId="2EED3C9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194" w:type="dxa"/>
            <w:shd w:val="clear" w:color="auto" w:fill="auto"/>
            <w:noWrap/>
            <w:vAlign w:val="center"/>
            <w:hideMark/>
          </w:tcPr>
          <w:p w14:paraId="5E3AEDE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3 </w:t>
            </w:r>
          </w:p>
        </w:tc>
        <w:tc>
          <w:tcPr>
            <w:tcW w:w="925" w:type="dxa"/>
            <w:shd w:val="clear" w:color="auto" w:fill="auto"/>
            <w:noWrap/>
            <w:vAlign w:val="center"/>
            <w:hideMark/>
          </w:tcPr>
          <w:p w14:paraId="15C6CBA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0680B49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2 </w:t>
            </w:r>
          </w:p>
        </w:tc>
      </w:tr>
      <w:tr w:rsidR="003E5BF5" w:rsidRPr="0029213D" w14:paraId="0C4A1D39" w14:textId="77777777" w:rsidTr="008E16CB">
        <w:trPr>
          <w:trHeight w:val="340"/>
        </w:trPr>
        <w:tc>
          <w:tcPr>
            <w:tcW w:w="3566" w:type="dxa"/>
            <w:shd w:val="clear" w:color="auto" w:fill="auto"/>
            <w:noWrap/>
            <w:vAlign w:val="center"/>
            <w:hideMark/>
          </w:tcPr>
          <w:p w14:paraId="29EF639E"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administered other economic flows</w:t>
            </w:r>
          </w:p>
        </w:tc>
        <w:tc>
          <w:tcPr>
            <w:tcW w:w="1059" w:type="dxa"/>
            <w:shd w:val="clear" w:color="auto" w:fill="auto"/>
            <w:noWrap/>
            <w:hideMark/>
          </w:tcPr>
          <w:p w14:paraId="5FCD76F8"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6859E860"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(245)</w:t>
            </w:r>
          </w:p>
        </w:tc>
        <w:tc>
          <w:tcPr>
            <w:tcW w:w="1059" w:type="dxa"/>
            <w:shd w:val="clear" w:color="auto" w:fill="auto"/>
            <w:noWrap/>
            <w:hideMark/>
          </w:tcPr>
          <w:p w14:paraId="5C34945F"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1194" w:type="dxa"/>
            <w:shd w:val="clear" w:color="auto" w:fill="auto"/>
            <w:noWrap/>
            <w:hideMark/>
          </w:tcPr>
          <w:p w14:paraId="682CF71F"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3 </w:t>
            </w:r>
          </w:p>
        </w:tc>
        <w:tc>
          <w:tcPr>
            <w:tcW w:w="925" w:type="dxa"/>
            <w:shd w:val="clear" w:color="auto" w:fill="auto"/>
            <w:noWrap/>
            <w:hideMark/>
          </w:tcPr>
          <w:p w14:paraId="20114EB5"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5305458D"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2 </w:t>
            </w:r>
          </w:p>
        </w:tc>
      </w:tr>
      <w:tr w:rsidR="003E5BF5" w:rsidRPr="0029213D" w14:paraId="7DB9D414" w14:textId="77777777" w:rsidTr="008E16CB">
        <w:trPr>
          <w:trHeight w:val="340"/>
        </w:trPr>
        <w:tc>
          <w:tcPr>
            <w:tcW w:w="3566" w:type="dxa"/>
            <w:shd w:val="clear" w:color="auto" w:fill="auto"/>
            <w:noWrap/>
            <w:vAlign w:val="center"/>
            <w:hideMark/>
          </w:tcPr>
          <w:p w14:paraId="124FD5DF"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administered comprehensive result</w:t>
            </w:r>
          </w:p>
        </w:tc>
        <w:tc>
          <w:tcPr>
            <w:tcW w:w="1059" w:type="dxa"/>
            <w:shd w:val="clear" w:color="auto" w:fill="auto"/>
            <w:noWrap/>
            <w:hideMark/>
          </w:tcPr>
          <w:p w14:paraId="1BCC8E67"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117FB659"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(29,682)</w:t>
            </w:r>
          </w:p>
        </w:tc>
        <w:tc>
          <w:tcPr>
            <w:tcW w:w="1059" w:type="dxa"/>
            <w:shd w:val="clear" w:color="auto" w:fill="auto"/>
            <w:noWrap/>
            <w:hideMark/>
          </w:tcPr>
          <w:p w14:paraId="6B833F4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1194" w:type="dxa"/>
            <w:shd w:val="clear" w:color="auto" w:fill="auto"/>
            <w:noWrap/>
            <w:hideMark/>
          </w:tcPr>
          <w:p w14:paraId="251EB965"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(53,478)</w:t>
            </w:r>
          </w:p>
        </w:tc>
        <w:tc>
          <w:tcPr>
            <w:tcW w:w="925" w:type="dxa"/>
            <w:shd w:val="clear" w:color="auto" w:fill="auto"/>
            <w:noWrap/>
            <w:hideMark/>
          </w:tcPr>
          <w:p w14:paraId="26BB1941"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72C4A9FA"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(162)</w:t>
            </w:r>
          </w:p>
        </w:tc>
      </w:tr>
    </w:tbl>
    <w:p w14:paraId="5D09F1A2" w14:textId="77777777" w:rsidR="003E5BF5" w:rsidRPr="00B87757" w:rsidRDefault="003E5BF5" w:rsidP="00DE1921">
      <w:r w:rsidRPr="00B87757">
        <w:br w:type="page"/>
      </w:r>
    </w:p>
    <w:tbl>
      <w:tblPr>
        <w:tblStyle w:val="TableGrid"/>
        <w:tblW w:w="9923" w:type="dxa"/>
        <w:tblLayout w:type="fixed"/>
        <w:tblCellMar>
          <w:left w:w="28" w:type="dxa"/>
          <w:right w:w="28" w:type="dxa"/>
        </w:tblCellMar>
        <w:tblLook w:val="04A0" w:firstRow="1" w:lastRow="0" w:firstColumn="1" w:lastColumn="0" w:noHBand="0" w:noVBand="1"/>
      </w:tblPr>
      <w:tblGrid>
        <w:gridCol w:w="3417"/>
        <w:gridCol w:w="1085"/>
        <w:gridCol w:w="1084"/>
        <w:gridCol w:w="1084"/>
        <w:gridCol w:w="1084"/>
        <w:gridCol w:w="1084"/>
        <w:gridCol w:w="1085"/>
      </w:tblGrid>
      <w:tr w:rsidR="003E5BF5" w:rsidRPr="0029213D" w14:paraId="5350E693" w14:textId="77777777" w:rsidTr="008E16CB">
        <w:trPr>
          <w:trHeight w:val="340"/>
        </w:trPr>
        <w:tc>
          <w:tcPr>
            <w:tcW w:w="3119" w:type="dxa"/>
            <w:shd w:val="clear" w:color="auto" w:fill="auto"/>
            <w:noWrap/>
            <w:hideMark/>
          </w:tcPr>
          <w:p w14:paraId="6187C31E" w14:textId="77777777" w:rsidR="003E5BF5" w:rsidRPr="0029213D" w:rsidRDefault="003E5BF5" w:rsidP="00DE1921">
            <w:pPr>
              <w:spacing w:line="259" w:lineRule="auto"/>
              <w:rPr>
                <w:rFonts w:ascii="Arial" w:hAnsi="Arial" w:cs="Arial"/>
                <w:sz w:val="24"/>
                <w:szCs w:val="24"/>
              </w:rPr>
            </w:pPr>
            <w:bookmarkStart w:id="255" w:name="RANGE!AJ3:AP32"/>
            <w:bookmarkEnd w:id="255"/>
          </w:p>
        </w:tc>
        <w:tc>
          <w:tcPr>
            <w:tcW w:w="5941" w:type="dxa"/>
            <w:gridSpan w:val="6"/>
            <w:shd w:val="clear" w:color="auto" w:fill="auto"/>
            <w:vAlign w:val="center"/>
            <w:hideMark/>
          </w:tcPr>
          <w:p w14:paraId="30554BFD"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 thousand)</w:t>
            </w:r>
          </w:p>
        </w:tc>
      </w:tr>
      <w:tr w:rsidR="003E5BF5" w:rsidRPr="0029213D" w14:paraId="45AE3BEF" w14:textId="77777777" w:rsidTr="008E16CB">
        <w:trPr>
          <w:trHeight w:val="340"/>
        </w:trPr>
        <w:tc>
          <w:tcPr>
            <w:tcW w:w="3119" w:type="dxa"/>
            <w:shd w:val="clear" w:color="auto" w:fill="auto"/>
            <w:noWrap/>
            <w:hideMark/>
          </w:tcPr>
          <w:p w14:paraId="61AA820C" w14:textId="77777777" w:rsidR="003E5BF5" w:rsidRPr="0029213D" w:rsidRDefault="003E5BF5" w:rsidP="00DE1921">
            <w:pPr>
              <w:spacing w:line="259" w:lineRule="auto"/>
              <w:rPr>
                <w:rFonts w:ascii="Arial" w:hAnsi="Arial" w:cs="Arial"/>
                <w:sz w:val="24"/>
                <w:szCs w:val="24"/>
              </w:rPr>
            </w:pPr>
          </w:p>
        </w:tc>
        <w:tc>
          <w:tcPr>
            <w:tcW w:w="1980" w:type="dxa"/>
            <w:gridSpan w:val="2"/>
            <w:shd w:val="clear" w:color="auto" w:fill="auto"/>
            <w:vAlign w:val="bottom"/>
            <w:hideMark/>
          </w:tcPr>
          <w:p w14:paraId="654BEEBC"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Creative industries portfolio agencies</w:t>
            </w:r>
          </w:p>
        </w:tc>
        <w:tc>
          <w:tcPr>
            <w:tcW w:w="1980" w:type="dxa"/>
            <w:gridSpan w:val="2"/>
            <w:shd w:val="clear" w:color="auto" w:fill="auto"/>
            <w:vAlign w:val="bottom"/>
            <w:hideMark/>
          </w:tcPr>
          <w:p w14:paraId="2D127D1D"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Cultural infrastructure and facilities</w:t>
            </w:r>
          </w:p>
        </w:tc>
        <w:tc>
          <w:tcPr>
            <w:tcW w:w="1981" w:type="dxa"/>
            <w:gridSpan w:val="2"/>
            <w:shd w:val="clear" w:color="auto" w:fill="auto"/>
            <w:vAlign w:val="bottom"/>
            <w:hideMark/>
          </w:tcPr>
          <w:p w14:paraId="39567AB5"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Tourism, major events and international education</w:t>
            </w:r>
          </w:p>
        </w:tc>
      </w:tr>
      <w:tr w:rsidR="003E5BF5" w:rsidRPr="0029213D" w14:paraId="1C70F347" w14:textId="77777777" w:rsidTr="008E16CB">
        <w:trPr>
          <w:trHeight w:val="340"/>
        </w:trPr>
        <w:tc>
          <w:tcPr>
            <w:tcW w:w="3119" w:type="dxa"/>
            <w:shd w:val="clear" w:color="auto" w:fill="auto"/>
            <w:hideMark/>
          </w:tcPr>
          <w:p w14:paraId="483E12EB" w14:textId="77777777" w:rsidR="003E5BF5" w:rsidRPr="0029213D" w:rsidRDefault="003E5BF5" w:rsidP="00DE1921">
            <w:pPr>
              <w:spacing w:line="259" w:lineRule="auto"/>
              <w:rPr>
                <w:rFonts w:ascii="Arial" w:hAnsi="Arial" w:cs="Arial"/>
                <w:b/>
                <w:sz w:val="24"/>
                <w:szCs w:val="24"/>
              </w:rPr>
            </w:pPr>
          </w:p>
        </w:tc>
        <w:tc>
          <w:tcPr>
            <w:tcW w:w="990" w:type="dxa"/>
            <w:shd w:val="clear" w:color="auto" w:fill="auto"/>
            <w:vAlign w:val="center"/>
            <w:hideMark/>
          </w:tcPr>
          <w:p w14:paraId="1068AC1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2020</w:t>
            </w:r>
          </w:p>
        </w:tc>
        <w:tc>
          <w:tcPr>
            <w:tcW w:w="990" w:type="dxa"/>
            <w:shd w:val="clear" w:color="auto" w:fill="auto"/>
            <w:vAlign w:val="center"/>
            <w:hideMark/>
          </w:tcPr>
          <w:p w14:paraId="1A9DFB31"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2019</w:t>
            </w:r>
          </w:p>
        </w:tc>
        <w:tc>
          <w:tcPr>
            <w:tcW w:w="990" w:type="dxa"/>
            <w:shd w:val="clear" w:color="auto" w:fill="auto"/>
            <w:vAlign w:val="center"/>
            <w:hideMark/>
          </w:tcPr>
          <w:p w14:paraId="39BA59AC"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2020</w:t>
            </w:r>
          </w:p>
        </w:tc>
        <w:tc>
          <w:tcPr>
            <w:tcW w:w="990" w:type="dxa"/>
            <w:shd w:val="clear" w:color="auto" w:fill="auto"/>
            <w:vAlign w:val="center"/>
            <w:hideMark/>
          </w:tcPr>
          <w:p w14:paraId="3D0EF147"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2019</w:t>
            </w:r>
          </w:p>
        </w:tc>
        <w:tc>
          <w:tcPr>
            <w:tcW w:w="990" w:type="dxa"/>
            <w:shd w:val="clear" w:color="auto" w:fill="auto"/>
            <w:vAlign w:val="center"/>
            <w:hideMark/>
          </w:tcPr>
          <w:p w14:paraId="014B09D0"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2020</w:t>
            </w:r>
          </w:p>
        </w:tc>
        <w:tc>
          <w:tcPr>
            <w:tcW w:w="991" w:type="dxa"/>
            <w:shd w:val="clear" w:color="auto" w:fill="auto"/>
            <w:vAlign w:val="center"/>
            <w:hideMark/>
          </w:tcPr>
          <w:p w14:paraId="36C41BF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2019</w:t>
            </w:r>
          </w:p>
        </w:tc>
      </w:tr>
      <w:tr w:rsidR="003E5BF5" w:rsidRPr="0029213D" w14:paraId="6ADBF372" w14:textId="77777777" w:rsidTr="008E16CB">
        <w:trPr>
          <w:trHeight w:val="340"/>
        </w:trPr>
        <w:tc>
          <w:tcPr>
            <w:tcW w:w="3119" w:type="dxa"/>
            <w:shd w:val="clear" w:color="auto" w:fill="auto"/>
            <w:noWrap/>
            <w:vAlign w:val="center"/>
            <w:hideMark/>
          </w:tcPr>
          <w:p w14:paraId="34319A00" w14:textId="77777777" w:rsidR="003E5BF5" w:rsidRPr="0029213D" w:rsidRDefault="003E5BF5" w:rsidP="00604703">
            <w:pPr>
              <w:pStyle w:val="TableTextGreen"/>
            </w:pPr>
            <w:r w:rsidRPr="0029213D">
              <w:t>Administered income from transactions</w:t>
            </w:r>
          </w:p>
        </w:tc>
        <w:tc>
          <w:tcPr>
            <w:tcW w:w="990" w:type="dxa"/>
            <w:shd w:val="clear" w:color="auto" w:fill="auto"/>
            <w:noWrap/>
            <w:vAlign w:val="center"/>
            <w:hideMark/>
          </w:tcPr>
          <w:p w14:paraId="6DEDB61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c>
          <w:tcPr>
            <w:tcW w:w="990" w:type="dxa"/>
            <w:shd w:val="clear" w:color="auto" w:fill="auto"/>
            <w:noWrap/>
            <w:vAlign w:val="center"/>
            <w:hideMark/>
          </w:tcPr>
          <w:p w14:paraId="53702E4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c>
          <w:tcPr>
            <w:tcW w:w="990" w:type="dxa"/>
            <w:shd w:val="clear" w:color="auto" w:fill="auto"/>
            <w:noWrap/>
            <w:vAlign w:val="center"/>
            <w:hideMark/>
          </w:tcPr>
          <w:p w14:paraId="11AC5F6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c>
          <w:tcPr>
            <w:tcW w:w="990" w:type="dxa"/>
            <w:shd w:val="clear" w:color="auto" w:fill="auto"/>
            <w:noWrap/>
            <w:vAlign w:val="center"/>
            <w:hideMark/>
          </w:tcPr>
          <w:p w14:paraId="1CD4540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c>
          <w:tcPr>
            <w:tcW w:w="990" w:type="dxa"/>
            <w:shd w:val="clear" w:color="auto" w:fill="auto"/>
            <w:noWrap/>
            <w:vAlign w:val="center"/>
            <w:hideMark/>
          </w:tcPr>
          <w:p w14:paraId="18A7413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c>
          <w:tcPr>
            <w:tcW w:w="991" w:type="dxa"/>
            <w:shd w:val="clear" w:color="auto" w:fill="auto"/>
            <w:noWrap/>
            <w:vAlign w:val="center"/>
            <w:hideMark/>
          </w:tcPr>
          <w:p w14:paraId="637DC42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r>
      <w:tr w:rsidR="003E5BF5" w:rsidRPr="0029213D" w14:paraId="2C12BB3C" w14:textId="77777777" w:rsidTr="008E16CB">
        <w:trPr>
          <w:trHeight w:val="340"/>
        </w:trPr>
        <w:tc>
          <w:tcPr>
            <w:tcW w:w="3119" w:type="dxa"/>
            <w:shd w:val="clear" w:color="auto" w:fill="auto"/>
            <w:noWrap/>
            <w:vAlign w:val="center"/>
            <w:hideMark/>
          </w:tcPr>
          <w:p w14:paraId="13175B58"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 xml:space="preserve">Sale of goods and services </w:t>
            </w:r>
          </w:p>
        </w:tc>
        <w:tc>
          <w:tcPr>
            <w:tcW w:w="990" w:type="dxa"/>
            <w:shd w:val="clear" w:color="auto" w:fill="auto"/>
            <w:noWrap/>
            <w:vAlign w:val="center"/>
            <w:hideMark/>
          </w:tcPr>
          <w:p w14:paraId="02180D6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6FC7A28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58 </w:t>
            </w:r>
          </w:p>
        </w:tc>
        <w:tc>
          <w:tcPr>
            <w:tcW w:w="990" w:type="dxa"/>
            <w:shd w:val="clear" w:color="auto" w:fill="auto"/>
            <w:noWrap/>
            <w:vAlign w:val="center"/>
            <w:hideMark/>
          </w:tcPr>
          <w:p w14:paraId="58B2FB0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6554E7D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16 </w:t>
            </w:r>
          </w:p>
        </w:tc>
        <w:tc>
          <w:tcPr>
            <w:tcW w:w="990" w:type="dxa"/>
            <w:shd w:val="clear" w:color="auto" w:fill="auto"/>
            <w:noWrap/>
            <w:vAlign w:val="center"/>
            <w:hideMark/>
          </w:tcPr>
          <w:p w14:paraId="054E70E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1" w:type="dxa"/>
            <w:shd w:val="clear" w:color="auto" w:fill="auto"/>
            <w:noWrap/>
            <w:vAlign w:val="center"/>
            <w:hideMark/>
          </w:tcPr>
          <w:p w14:paraId="2D4E334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3,120 </w:t>
            </w:r>
          </w:p>
        </w:tc>
      </w:tr>
      <w:tr w:rsidR="003E5BF5" w:rsidRPr="0029213D" w14:paraId="7FF1EF9D" w14:textId="77777777" w:rsidTr="008E16CB">
        <w:trPr>
          <w:trHeight w:val="340"/>
        </w:trPr>
        <w:tc>
          <w:tcPr>
            <w:tcW w:w="3119" w:type="dxa"/>
            <w:shd w:val="clear" w:color="auto" w:fill="auto"/>
            <w:noWrap/>
            <w:vAlign w:val="center"/>
            <w:hideMark/>
          </w:tcPr>
          <w:p w14:paraId="65A5B15B"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Appropriations - payments made on behalf of the State</w:t>
            </w:r>
          </w:p>
        </w:tc>
        <w:tc>
          <w:tcPr>
            <w:tcW w:w="990" w:type="dxa"/>
            <w:shd w:val="clear" w:color="auto" w:fill="auto"/>
            <w:noWrap/>
            <w:vAlign w:val="center"/>
            <w:hideMark/>
          </w:tcPr>
          <w:p w14:paraId="2091D19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152360E9"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09497B3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630821F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4A0C547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1" w:type="dxa"/>
            <w:shd w:val="clear" w:color="auto" w:fill="auto"/>
            <w:noWrap/>
            <w:vAlign w:val="center"/>
            <w:hideMark/>
          </w:tcPr>
          <w:p w14:paraId="5611B24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34,387 </w:t>
            </w:r>
          </w:p>
        </w:tc>
      </w:tr>
      <w:tr w:rsidR="003E5BF5" w:rsidRPr="0029213D" w14:paraId="077A36C7" w14:textId="77777777" w:rsidTr="008E16CB">
        <w:trPr>
          <w:trHeight w:val="340"/>
        </w:trPr>
        <w:tc>
          <w:tcPr>
            <w:tcW w:w="3119" w:type="dxa"/>
            <w:shd w:val="clear" w:color="auto" w:fill="auto"/>
            <w:noWrap/>
            <w:vAlign w:val="center"/>
            <w:hideMark/>
          </w:tcPr>
          <w:p w14:paraId="7F824A59"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Royalties</w:t>
            </w:r>
          </w:p>
        </w:tc>
        <w:tc>
          <w:tcPr>
            <w:tcW w:w="990" w:type="dxa"/>
            <w:shd w:val="clear" w:color="auto" w:fill="auto"/>
            <w:noWrap/>
            <w:vAlign w:val="center"/>
            <w:hideMark/>
          </w:tcPr>
          <w:p w14:paraId="446B435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62029EE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19968592"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3E8EE55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0B020AE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1" w:type="dxa"/>
            <w:shd w:val="clear" w:color="auto" w:fill="auto"/>
            <w:noWrap/>
            <w:vAlign w:val="center"/>
            <w:hideMark/>
          </w:tcPr>
          <w:p w14:paraId="686861B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r>
      <w:tr w:rsidR="003E5BF5" w:rsidRPr="0029213D" w14:paraId="2ADF68CC" w14:textId="77777777" w:rsidTr="008E16CB">
        <w:trPr>
          <w:trHeight w:val="340"/>
        </w:trPr>
        <w:tc>
          <w:tcPr>
            <w:tcW w:w="3119" w:type="dxa"/>
            <w:shd w:val="clear" w:color="auto" w:fill="auto"/>
            <w:noWrap/>
            <w:vAlign w:val="center"/>
            <w:hideMark/>
          </w:tcPr>
          <w:p w14:paraId="76941CB9"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Other income</w:t>
            </w:r>
          </w:p>
        </w:tc>
        <w:tc>
          <w:tcPr>
            <w:tcW w:w="990" w:type="dxa"/>
            <w:shd w:val="clear" w:color="auto" w:fill="auto"/>
            <w:noWrap/>
            <w:vAlign w:val="center"/>
            <w:hideMark/>
          </w:tcPr>
          <w:p w14:paraId="2B1EDA6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59AD31D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25 </w:t>
            </w:r>
          </w:p>
        </w:tc>
        <w:tc>
          <w:tcPr>
            <w:tcW w:w="990" w:type="dxa"/>
            <w:shd w:val="clear" w:color="auto" w:fill="auto"/>
            <w:noWrap/>
            <w:vAlign w:val="center"/>
            <w:hideMark/>
          </w:tcPr>
          <w:p w14:paraId="645D636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6DBAB0D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7 </w:t>
            </w:r>
          </w:p>
        </w:tc>
        <w:tc>
          <w:tcPr>
            <w:tcW w:w="990" w:type="dxa"/>
            <w:shd w:val="clear" w:color="auto" w:fill="auto"/>
            <w:noWrap/>
            <w:vAlign w:val="center"/>
            <w:hideMark/>
          </w:tcPr>
          <w:p w14:paraId="2E1F2D2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1" w:type="dxa"/>
            <w:shd w:val="clear" w:color="auto" w:fill="auto"/>
            <w:noWrap/>
            <w:vAlign w:val="center"/>
            <w:hideMark/>
          </w:tcPr>
          <w:p w14:paraId="7D1507F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10 </w:t>
            </w:r>
          </w:p>
        </w:tc>
      </w:tr>
      <w:tr w:rsidR="003E5BF5" w:rsidRPr="0029213D" w14:paraId="4CBEC37C" w14:textId="77777777" w:rsidTr="008E16CB">
        <w:trPr>
          <w:trHeight w:val="340"/>
        </w:trPr>
        <w:tc>
          <w:tcPr>
            <w:tcW w:w="3119" w:type="dxa"/>
            <w:shd w:val="clear" w:color="auto" w:fill="auto"/>
            <w:noWrap/>
            <w:vAlign w:val="center"/>
            <w:hideMark/>
          </w:tcPr>
          <w:p w14:paraId="57C41A79"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Statutory fines</w:t>
            </w:r>
          </w:p>
        </w:tc>
        <w:tc>
          <w:tcPr>
            <w:tcW w:w="990" w:type="dxa"/>
            <w:shd w:val="clear" w:color="auto" w:fill="auto"/>
            <w:noWrap/>
            <w:vAlign w:val="center"/>
            <w:hideMark/>
          </w:tcPr>
          <w:p w14:paraId="19386EE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25041AD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2986926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2AAB73A1"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0E7FA4C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1" w:type="dxa"/>
            <w:shd w:val="clear" w:color="auto" w:fill="auto"/>
            <w:noWrap/>
            <w:vAlign w:val="center"/>
            <w:hideMark/>
          </w:tcPr>
          <w:p w14:paraId="51E1567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r>
      <w:tr w:rsidR="003E5BF5" w:rsidRPr="0029213D" w14:paraId="1200DB07" w14:textId="77777777" w:rsidTr="008E16CB">
        <w:trPr>
          <w:trHeight w:val="340"/>
        </w:trPr>
        <w:tc>
          <w:tcPr>
            <w:tcW w:w="3119" w:type="dxa"/>
            <w:shd w:val="clear" w:color="auto" w:fill="auto"/>
            <w:noWrap/>
            <w:vAlign w:val="center"/>
            <w:hideMark/>
          </w:tcPr>
          <w:p w14:paraId="4D5E44FC"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Regulatory fees, fines, leases and licences</w:t>
            </w:r>
          </w:p>
        </w:tc>
        <w:tc>
          <w:tcPr>
            <w:tcW w:w="990" w:type="dxa"/>
            <w:shd w:val="clear" w:color="auto" w:fill="auto"/>
            <w:noWrap/>
            <w:hideMark/>
          </w:tcPr>
          <w:p w14:paraId="348968B1"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hideMark/>
          </w:tcPr>
          <w:p w14:paraId="16820C6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17 </w:t>
            </w:r>
          </w:p>
        </w:tc>
        <w:tc>
          <w:tcPr>
            <w:tcW w:w="990" w:type="dxa"/>
            <w:shd w:val="clear" w:color="auto" w:fill="auto"/>
            <w:noWrap/>
            <w:hideMark/>
          </w:tcPr>
          <w:p w14:paraId="16232E9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hideMark/>
          </w:tcPr>
          <w:p w14:paraId="5EBF999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5 </w:t>
            </w:r>
          </w:p>
        </w:tc>
        <w:tc>
          <w:tcPr>
            <w:tcW w:w="990" w:type="dxa"/>
            <w:shd w:val="clear" w:color="auto" w:fill="auto"/>
            <w:noWrap/>
            <w:hideMark/>
          </w:tcPr>
          <w:p w14:paraId="7774394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1" w:type="dxa"/>
            <w:shd w:val="clear" w:color="auto" w:fill="auto"/>
            <w:noWrap/>
            <w:hideMark/>
          </w:tcPr>
          <w:p w14:paraId="40C6498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6 </w:t>
            </w:r>
          </w:p>
        </w:tc>
      </w:tr>
      <w:tr w:rsidR="003E5BF5" w:rsidRPr="0029213D" w14:paraId="2A828D0D" w14:textId="77777777" w:rsidTr="008E16CB">
        <w:trPr>
          <w:trHeight w:val="340"/>
        </w:trPr>
        <w:tc>
          <w:tcPr>
            <w:tcW w:w="3119" w:type="dxa"/>
            <w:shd w:val="clear" w:color="auto" w:fill="auto"/>
            <w:noWrap/>
            <w:vAlign w:val="center"/>
            <w:hideMark/>
          </w:tcPr>
          <w:p w14:paraId="45DF5A7C"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Interest income</w:t>
            </w:r>
          </w:p>
        </w:tc>
        <w:tc>
          <w:tcPr>
            <w:tcW w:w="990" w:type="dxa"/>
            <w:shd w:val="clear" w:color="auto" w:fill="auto"/>
            <w:noWrap/>
            <w:vAlign w:val="center"/>
            <w:hideMark/>
          </w:tcPr>
          <w:p w14:paraId="249F10B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0550921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7F009DB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55AF8C3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4AA3C552"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1" w:type="dxa"/>
            <w:shd w:val="clear" w:color="auto" w:fill="auto"/>
            <w:noWrap/>
            <w:vAlign w:val="center"/>
            <w:hideMark/>
          </w:tcPr>
          <w:p w14:paraId="07D5A75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2,713 </w:t>
            </w:r>
          </w:p>
        </w:tc>
      </w:tr>
      <w:tr w:rsidR="003E5BF5" w:rsidRPr="0029213D" w14:paraId="76D0020B" w14:textId="77777777" w:rsidTr="008E16CB">
        <w:trPr>
          <w:trHeight w:val="340"/>
        </w:trPr>
        <w:tc>
          <w:tcPr>
            <w:tcW w:w="3119" w:type="dxa"/>
            <w:shd w:val="clear" w:color="auto" w:fill="auto"/>
            <w:noWrap/>
            <w:vAlign w:val="center"/>
            <w:hideMark/>
          </w:tcPr>
          <w:p w14:paraId="6D6A05A2"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administered income from transactions</w:t>
            </w:r>
          </w:p>
        </w:tc>
        <w:tc>
          <w:tcPr>
            <w:tcW w:w="990" w:type="dxa"/>
            <w:shd w:val="clear" w:color="auto" w:fill="auto"/>
            <w:noWrap/>
            <w:hideMark/>
          </w:tcPr>
          <w:p w14:paraId="176716DC"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90" w:type="dxa"/>
            <w:shd w:val="clear" w:color="auto" w:fill="auto"/>
            <w:noWrap/>
            <w:hideMark/>
          </w:tcPr>
          <w:p w14:paraId="68E4A4E6"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100 </w:t>
            </w:r>
          </w:p>
        </w:tc>
        <w:tc>
          <w:tcPr>
            <w:tcW w:w="990" w:type="dxa"/>
            <w:shd w:val="clear" w:color="auto" w:fill="auto"/>
            <w:noWrap/>
            <w:hideMark/>
          </w:tcPr>
          <w:p w14:paraId="2697077D"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90" w:type="dxa"/>
            <w:shd w:val="clear" w:color="auto" w:fill="auto"/>
            <w:noWrap/>
            <w:hideMark/>
          </w:tcPr>
          <w:p w14:paraId="0B070A86"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28 </w:t>
            </w:r>
          </w:p>
        </w:tc>
        <w:tc>
          <w:tcPr>
            <w:tcW w:w="990" w:type="dxa"/>
            <w:shd w:val="clear" w:color="auto" w:fill="auto"/>
            <w:noWrap/>
            <w:hideMark/>
          </w:tcPr>
          <w:p w14:paraId="282B6E6E"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91" w:type="dxa"/>
            <w:shd w:val="clear" w:color="auto" w:fill="auto"/>
            <w:noWrap/>
            <w:hideMark/>
          </w:tcPr>
          <w:p w14:paraId="25382AD5"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40,236 </w:t>
            </w:r>
          </w:p>
        </w:tc>
      </w:tr>
      <w:tr w:rsidR="003E5BF5" w:rsidRPr="0029213D" w14:paraId="61795EBF" w14:textId="77777777" w:rsidTr="008E16CB">
        <w:trPr>
          <w:trHeight w:val="340"/>
        </w:trPr>
        <w:tc>
          <w:tcPr>
            <w:tcW w:w="3119" w:type="dxa"/>
            <w:shd w:val="clear" w:color="auto" w:fill="auto"/>
            <w:noWrap/>
            <w:vAlign w:val="center"/>
            <w:hideMark/>
          </w:tcPr>
          <w:p w14:paraId="24EB69F1" w14:textId="77777777" w:rsidR="003E5BF5" w:rsidRPr="0029213D" w:rsidRDefault="003E5BF5" w:rsidP="00604703">
            <w:pPr>
              <w:pStyle w:val="TableTextGreen"/>
            </w:pPr>
            <w:r w:rsidRPr="0029213D">
              <w:t>Administered expenses from transactions</w:t>
            </w:r>
          </w:p>
        </w:tc>
        <w:tc>
          <w:tcPr>
            <w:tcW w:w="990" w:type="dxa"/>
            <w:shd w:val="clear" w:color="auto" w:fill="auto"/>
            <w:noWrap/>
            <w:vAlign w:val="center"/>
            <w:hideMark/>
          </w:tcPr>
          <w:p w14:paraId="764C0575" w14:textId="77777777" w:rsidR="003E5BF5" w:rsidRPr="0029213D" w:rsidRDefault="003E5BF5" w:rsidP="00DE1921">
            <w:pPr>
              <w:spacing w:line="259" w:lineRule="auto"/>
              <w:jc w:val="right"/>
              <w:rPr>
                <w:rFonts w:ascii="Arial" w:hAnsi="Arial" w:cs="Arial"/>
                <w:sz w:val="24"/>
                <w:szCs w:val="24"/>
              </w:rPr>
            </w:pPr>
          </w:p>
        </w:tc>
        <w:tc>
          <w:tcPr>
            <w:tcW w:w="990" w:type="dxa"/>
            <w:shd w:val="clear" w:color="auto" w:fill="auto"/>
            <w:noWrap/>
            <w:vAlign w:val="center"/>
            <w:hideMark/>
          </w:tcPr>
          <w:p w14:paraId="5D7A6192" w14:textId="77777777" w:rsidR="003E5BF5" w:rsidRPr="0029213D" w:rsidRDefault="003E5BF5" w:rsidP="00DE1921">
            <w:pPr>
              <w:spacing w:line="259" w:lineRule="auto"/>
              <w:jc w:val="right"/>
              <w:rPr>
                <w:rFonts w:ascii="Arial" w:hAnsi="Arial" w:cs="Arial"/>
                <w:sz w:val="24"/>
                <w:szCs w:val="24"/>
              </w:rPr>
            </w:pPr>
          </w:p>
        </w:tc>
        <w:tc>
          <w:tcPr>
            <w:tcW w:w="990" w:type="dxa"/>
            <w:shd w:val="clear" w:color="auto" w:fill="auto"/>
            <w:noWrap/>
            <w:vAlign w:val="center"/>
            <w:hideMark/>
          </w:tcPr>
          <w:p w14:paraId="3AFE18D9" w14:textId="77777777" w:rsidR="003E5BF5" w:rsidRPr="0029213D" w:rsidRDefault="003E5BF5" w:rsidP="00DE1921">
            <w:pPr>
              <w:spacing w:line="259" w:lineRule="auto"/>
              <w:jc w:val="right"/>
              <w:rPr>
                <w:rFonts w:ascii="Arial" w:hAnsi="Arial" w:cs="Arial"/>
                <w:sz w:val="24"/>
                <w:szCs w:val="24"/>
              </w:rPr>
            </w:pPr>
          </w:p>
        </w:tc>
        <w:tc>
          <w:tcPr>
            <w:tcW w:w="990" w:type="dxa"/>
            <w:shd w:val="clear" w:color="auto" w:fill="auto"/>
            <w:noWrap/>
            <w:vAlign w:val="center"/>
            <w:hideMark/>
          </w:tcPr>
          <w:p w14:paraId="410C0B82" w14:textId="77777777" w:rsidR="003E5BF5" w:rsidRPr="0029213D" w:rsidRDefault="003E5BF5" w:rsidP="00DE1921">
            <w:pPr>
              <w:spacing w:line="259" w:lineRule="auto"/>
              <w:jc w:val="right"/>
              <w:rPr>
                <w:rFonts w:ascii="Arial" w:hAnsi="Arial" w:cs="Arial"/>
                <w:sz w:val="24"/>
                <w:szCs w:val="24"/>
              </w:rPr>
            </w:pPr>
          </w:p>
        </w:tc>
        <w:tc>
          <w:tcPr>
            <w:tcW w:w="990" w:type="dxa"/>
            <w:shd w:val="clear" w:color="auto" w:fill="auto"/>
            <w:noWrap/>
            <w:vAlign w:val="center"/>
            <w:hideMark/>
          </w:tcPr>
          <w:p w14:paraId="0622496E" w14:textId="77777777" w:rsidR="003E5BF5" w:rsidRPr="0029213D" w:rsidRDefault="003E5BF5" w:rsidP="00DE1921">
            <w:pPr>
              <w:spacing w:line="259" w:lineRule="auto"/>
              <w:jc w:val="right"/>
              <w:rPr>
                <w:rFonts w:ascii="Arial" w:hAnsi="Arial" w:cs="Arial"/>
                <w:sz w:val="24"/>
                <w:szCs w:val="24"/>
              </w:rPr>
            </w:pPr>
          </w:p>
        </w:tc>
        <w:tc>
          <w:tcPr>
            <w:tcW w:w="991" w:type="dxa"/>
            <w:shd w:val="clear" w:color="auto" w:fill="auto"/>
            <w:noWrap/>
            <w:vAlign w:val="center"/>
            <w:hideMark/>
          </w:tcPr>
          <w:p w14:paraId="6C67B436" w14:textId="77777777" w:rsidR="003E5BF5" w:rsidRPr="0029213D" w:rsidRDefault="003E5BF5" w:rsidP="00DE1921">
            <w:pPr>
              <w:spacing w:line="259" w:lineRule="auto"/>
              <w:jc w:val="right"/>
              <w:rPr>
                <w:rFonts w:ascii="Arial" w:hAnsi="Arial" w:cs="Arial"/>
                <w:sz w:val="24"/>
                <w:szCs w:val="24"/>
              </w:rPr>
            </w:pPr>
          </w:p>
        </w:tc>
      </w:tr>
      <w:tr w:rsidR="003E5BF5" w:rsidRPr="0029213D" w14:paraId="143036DD" w14:textId="77777777" w:rsidTr="008E16CB">
        <w:trPr>
          <w:trHeight w:val="340"/>
        </w:trPr>
        <w:tc>
          <w:tcPr>
            <w:tcW w:w="3119" w:type="dxa"/>
            <w:shd w:val="clear" w:color="auto" w:fill="auto"/>
            <w:noWrap/>
            <w:vAlign w:val="center"/>
            <w:hideMark/>
          </w:tcPr>
          <w:p w14:paraId="0834AB38"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Payments into Consolidated Fund</w:t>
            </w:r>
          </w:p>
        </w:tc>
        <w:tc>
          <w:tcPr>
            <w:tcW w:w="990" w:type="dxa"/>
            <w:shd w:val="clear" w:color="auto" w:fill="auto"/>
            <w:noWrap/>
            <w:vAlign w:val="center"/>
            <w:hideMark/>
          </w:tcPr>
          <w:p w14:paraId="6799310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7AFB91E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(114)</w:t>
            </w:r>
          </w:p>
        </w:tc>
        <w:tc>
          <w:tcPr>
            <w:tcW w:w="990" w:type="dxa"/>
            <w:shd w:val="clear" w:color="auto" w:fill="auto"/>
            <w:noWrap/>
            <w:vAlign w:val="center"/>
            <w:hideMark/>
          </w:tcPr>
          <w:p w14:paraId="2019C82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18213E1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(36)</w:t>
            </w:r>
          </w:p>
        </w:tc>
        <w:tc>
          <w:tcPr>
            <w:tcW w:w="990" w:type="dxa"/>
            <w:shd w:val="clear" w:color="auto" w:fill="auto"/>
            <w:noWrap/>
            <w:vAlign w:val="center"/>
            <w:hideMark/>
          </w:tcPr>
          <w:p w14:paraId="4E57C6B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1" w:type="dxa"/>
            <w:shd w:val="clear" w:color="auto" w:fill="auto"/>
            <w:noWrap/>
            <w:vAlign w:val="center"/>
            <w:hideMark/>
          </w:tcPr>
          <w:p w14:paraId="186FCDA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(3,701)</w:t>
            </w:r>
          </w:p>
        </w:tc>
      </w:tr>
      <w:tr w:rsidR="003E5BF5" w:rsidRPr="0029213D" w14:paraId="792DC567" w14:textId="77777777" w:rsidTr="008E16CB">
        <w:trPr>
          <w:trHeight w:val="340"/>
        </w:trPr>
        <w:tc>
          <w:tcPr>
            <w:tcW w:w="3119" w:type="dxa"/>
            <w:shd w:val="clear" w:color="auto" w:fill="auto"/>
            <w:noWrap/>
            <w:vAlign w:val="center"/>
            <w:hideMark/>
          </w:tcPr>
          <w:p w14:paraId="18B5778E"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Interest expense</w:t>
            </w:r>
          </w:p>
        </w:tc>
        <w:tc>
          <w:tcPr>
            <w:tcW w:w="990" w:type="dxa"/>
            <w:shd w:val="clear" w:color="auto" w:fill="auto"/>
            <w:noWrap/>
            <w:vAlign w:val="center"/>
            <w:hideMark/>
          </w:tcPr>
          <w:p w14:paraId="04B85011"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2DE4489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29C2578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1FA3804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5E7CCEC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1" w:type="dxa"/>
            <w:shd w:val="clear" w:color="auto" w:fill="auto"/>
            <w:noWrap/>
            <w:vAlign w:val="center"/>
            <w:hideMark/>
          </w:tcPr>
          <w:p w14:paraId="75167259"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(19,843)</w:t>
            </w:r>
          </w:p>
        </w:tc>
      </w:tr>
      <w:tr w:rsidR="003E5BF5" w:rsidRPr="0029213D" w14:paraId="37F6CE81" w14:textId="77777777" w:rsidTr="008E16CB">
        <w:trPr>
          <w:trHeight w:val="340"/>
        </w:trPr>
        <w:tc>
          <w:tcPr>
            <w:tcW w:w="3119" w:type="dxa"/>
            <w:shd w:val="clear" w:color="auto" w:fill="auto"/>
            <w:noWrap/>
            <w:vAlign w:val="center"/>
            <w:hideMark/>
          </w:tcPr>
          <w:p w14:paraId="6BFAF108"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Other expenses</w:t>
            </w:r>
          </w:p>
        </w:tc>
        <w:tc>
          <w:tcPr>
            <w:tcW w:w="990" w:type="dxa"/>
            <w:shd w:val="clear" w:color="auto" w:fill="auto"/>
            <w:noWrap/>
            <w:vAlign w:val="center"/>
            <w:hideMark/>
          </w:tcPr>
          <w:p w14:paraId="14FDC069"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65CB436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(46)</w:t>
            </w:r>
          </w:p>
        </w:tc>
        <w:tc>
          <w:tcPr>
            <w:tcW w:w="990" w:type="dxa"/>
            <w:shd w:val="clear" w:color="auto" w:fill="auto"/>
            <w:noWrap/>
            <w:vAlign w:val="center"/>
            <w:hideMark/>
          </w:tcPr>
          <w:p w14:paraId="41E5964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1FC386D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(13)</w:t>
            </w:r>
          </w:p>
        </w:tc>
        <w:tc>
          <w:tcPr>
            <w:tcW w:w="990" w:type="dxa"/>
            <w:shd w:val="clear" w:color="auto" w:fill="auto"/>
            <w:noWrap/>
            <w:vAlign w:val="center"/>
            <w:hideMark/>
          </w:tcPr>
          <w:p w14:paraId="2B19173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1" w:type="dxa"/>
            <w:shd w:val="clear" w:color="auto" w:fill="auto"/>
            <w:noWrap/>
            <w:vAlign w:val="center"/>
            <w:hideMark/>
          </w:tcPr>
          <w:p w14:paraId="7C9D41E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(11,374)</w:t>
            </w:r>
          </w:p>
        </w:tc>
      </w:tr>
      <w:tr w:rsidR="003E5BF5" w:rsidRPr="0029213D" w14:paraId="78782118" w14:textId="77777777" w:rsidTr="008E16CB">
        <w:trPr>
          <w:trHeight w:val="340"/>
        </w:trPr>
        <w:tc>
          <w:tcPr>
            <w:tcW w:w="3119" w:type="dxa"/>
            <w:shd w:val="clear" w:color="auto" w:fill="auto"/>
            <w:noWrap/>
            <w:vAlign w:val="center"/>
            <w:hideMark/>
          </w:tcPr>
          <w:p w14:paraId="125D07B4"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administered expenses from transactions</w:t>
            </w:r>
          </w:p>
        </w:tc>
        <w:tc>
          <w:tcPr>
            <w:tcW w:w="990" w:type="dxa"/>
            <w:shd w:val="clear" w:color="auto" w:fill="auto"/>
            <w:noWrap/>
            <w:hideMark/>
          </w:tcPr>
          <w:p w14:paraId="15FD39E4"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90" w:type="dxa"/>
            <w:shd w:val="clear" w:color="auto" w:fill="auto"/>
            <w:noWrap/>
            <w:hideMark/>
          </w:tcPr>
          <w:p w14:paraId="2EA2ADD4"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(160)</w:t>
            </w:r>
          </w:p>
        </w:tc>
        <w:tc>
          <w:tcPr>
            <w:tcW w:w="990" w:type="dxa"/>
            <w:shd w:val="clear" w:color="auto" w:fill="auto"/>
            <w:noWrap/>
            <w:hideMark/>
          </w:tcPr>
          <w:p w14:paraId="31F37B3A"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90" w:type="dxa"/>
            <w:shd w:val="clear" w:color="auto" w:fill="auto"/>
            <w:noWrap/>
            <w:hideMark/>
          </w:tcPr>
          <w:p w14:paraId="64CB3869"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(49)</w:t>
            </w:r>
          </w:p>
        </w:tc>
        <w:tc>
          <w:tcPr>
            <w:tcW w:w="990" w:type="dxa"/>
            <w:shd w:val="clear" w:color="auto" w:fill="auto"/>
            <w:noWrap/>
            <w:hideMark/>
          </w:tcPr>
          <w:p w14:paraId="633FF3E7"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91" w:type="dxa"/>
            <w:shd w:val="clear" w:color="auto" w:fill="auto"/>
            <w:noWrap/>
            <w:hideMark/>
          </w:tcPr>
          <w:p w14:paraId="277CC401"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(34,919)</w:t>
            </w:r>
          </w:p>
        </w:tc>
      </w:tr>
      <w:tr w:rsidR="003E5BF5" w:rsidRPr="0029213D" w14:paraId="464F52D6" w14:textId="77777777" w:rsidTr="008E16CB">
        <w:trPr>
          <w:trHeight w:val="340"/>
        </w:trPr>
        <w:tc>
          <w:tcPr>
            <w:tcW w:w="3119" w:type="dxa"/>
            <w:shd w:val="clear" w:color="auto" w:fill="auto"/>
            <w:noWrap/>
            <w:vAlign w:val="center"/>
            <w:hideMark/>
          </w:tcPr>
          <w:p w14:paraId="339A818B"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administered net result from transactions</w:t>
            </w:r>
          </w:p>
        </w:tc>
        <w:tc>
          <w:tcPr>
            <w:tcW w:w="990" w:type="dxa"/>
            <w:shd w:val="clear" w:color="auto" w:fill="auto"/>
            <w:noWrap/>
            <w:hideMark/>
          </w:tcPr>
          <w:p w14:paraId="496873A8"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90" w:type="dxa"/>
            <w:shd w:val="clear" w:color="auto" w:fill="auto"/>
            <w:noWrap/>
            <w:hideMark/>
          </w:tcPr>
          <w:p w14:paraId="4729DCC8"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(60)</w:t>
            </w:r>
          </w:p>
        </w:tc>
        <w:tc>
          <w:tcPr>
            <w:tcW w:w="990" w:type="dxa"/>
            <w:shd w:val="clear" w:color="auto" w:fill="auto"/>
            <w:noWrap/>
            <w:hideMark/>
          </w:tcPr>
          <w:p w14:paraId="2C07BBF3"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90" w:type="dxa"/>
            <w:shd w:val="clear" w:color="auto" w:fill="auto"/>
            <w:noWrap/>
            <w:hideMark/>
          </w:tcPr>
          <w:p w14:paraId="3FC22435"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(21)</w:t>
            </w:r>
          </w:p>
        </w:tc>
        <w:tc>
          <w:tcPr>
            <w:tcW w:w="990" w:type="dxa"/>
            <w:shd w:val="clear" w:color="auto" w:fill="auto"/>
            <w:noWrap/>
            <w:hideMark/>
          </w:tcPr>
          <w:p w14:paraId="15F3D14F"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91" w:type="dxa"/>
            <w:shd w:val="clear" w:color="auto" w:fill="auto"/>
            <w:noWrap/>
            <w:hideMark/>
          </w:tcPr>
          <w:p w14:paraId="45B18530"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5,317 </w:t>
            </w:r>
          </w:p>
        </w:tc>
      </w:tr>
      <w:tr w:rsidR="003E5BF5" w:rsidRPr="0029213D" w14:paraId="1AC47DF1" w14:textId="77777777" w:rsidTr="008E16CB">
        <w:trPr>
          <w:trHeight w:val="340"/>
        </w:trPr>
        <w:tc>
          <w:tcPr>
            <w:tcW w:w="3119" w:type="dxa"/>
            <w:shd w:val="clear" w:color="auto" w:fill="auto"/>
            <w:noWrap/>
            <w:vAlign w:val="center"/>
            <w:hideMark/>
          </w:tcPr>
          <w:p w14:paraId="6C29B1C2" w14:textId="77777777" w:rsidR="003E5BF5" w:rsidRPr="0029213D" w:rsidRDefault="003E5BF5" w:rsidP="00DE1921">
            <w:pPr>
              <w:spacing w:line="259" w:lineRule="auto"/>
              <w:rPr>
                <w:rFonts w:ascii="Arial" w:hAnsi="Arial" w:cs="Arial"/>
                <w:b/>
                <w:sz w:val="24"/>
                <w:szCs w:val="24"/>
              </w:rPr>
            </w:pPr>
          </w:p>
        </w:tc>
        <w:tc>
          <w:tcPr>
            <w:tcW w:w="990" w:type="dxa"/>
            <w:shd w:val="clear" w:color="auto" w:fill="auto"/>
            <w:noWrap/>
            <w:vAlign w:val="center"/>
            <w:hideMark/>
          </w:tcPr>
          <w:p w14:paraId="16954D66" w14:textId="77777777" w:rsidR="003E5BF5" w:rsidRPr="0029213D" w:rsidRDefault="003E5BF5" w:rsidP="00DE1921">
            <w:pPr>
              <w:spacing w:line="259" w:lineRule="auto"/>
              <w:jc w:val="right"/>
              <w:rPr>
                <w:rFonts w:ascii="Arial" w:hAnsi="Arial" w:cs="Arial"/>
                <w:b/>
                <w:sz w:val="24"/>
                <w:szCs w:val="24"/>
              </w:rPr>
            </w:pPr>
          </w:p>
        </w:tc>
        <w:tc>
          <w:tcPr>
            <w:tcW w:w="990" w:type="dxa"/>
            <w:shd w:val="clear" w:color="auto" w:fill="auto"/>
            <w:noWrap/>
            <w:vAlign w:val="center"/>
            <w:hideMark/>
          </w:tcPr>
          <w:p w14:paraId="78C70783" w14:textId="77777777" w:rsidR="003E5BF5" w:rsidRPr="0029213D" w:rsidRDefault="003E5BF5" w:rsidP="00DE1921">
            <w:pPr>
              <w:spacing w:line="259" w:lineRule="auto"/>
              <w:jc w:val="right"/>
              <w:rPr>
                <w:rFonts w:ascii="Arial" w:hAnsi="Arial" w:cs="Arial"/>
                <w:b/>
                <w:sz w:val="24"/>
                <w:szCs w:val="24"/>
              </w:rPr>
            </w:pPr>
          </w:p>
        </w:tc>
        <w:tc>
          <w:tcPr>
            <w:tcW w:w="990" w:type="dxa"/>
            <w:shd w:val="clear" w:color="auto" w:fill="auto"/>
            <w:noWrap/>
            <w:vAlign w:val="center"/>
            <w:hideMark/>
          </w:tcPr>
          <w:p w14:paraId="0678150B" w14:textId="77777777" w:rsidR="003E5BF5" w:rsidRPr="0029213D" w:rsidRDefault="003E5BF5" w:rsidP="00DE1921">
            <w:pPr>
              <w:spacing w:line="259" w:lineRule="auto"/>
              <w:jc w:val="right"/>
              <w:rPr>
                <w:rFonts w:ascii="Arial" w:hAnsi="Arial" w:cs="Arial"/>
                <w:b/>
                <w:sz w:val="24"/>
                <w:szCs w:val="24"/>
              </w:rPr>
            </w:pPr>
          </w:p>
        </w:tc>
        <w:tc>
          <w:tcPr>
            <w:tcW w:w="990" w:type="dxa"/>
            <w:shd w:val="clear" w:color="auto" w:fill="auto"/>
            <w:noWrap/>
            <w:vAlign w:val="center"/>
            <w:hideMark/>
          </w:tcPr>
          <w:p w14:paraId="47CC0290" w14:textId="77777777" w:rsidR="003E5BF5" w:rsidRPr="0029213D" w:rsidRDefault="003E5BF5" w:rsidP="00DE1921">
            <w:pPr>
              <w:spacing w:line="259" w:lineRule="auto"/>
              <w:jc w:val="right"/>
              <w:rPr>
                <w:rFonts w:ascii="Arial" w:hAnsi="Arial" w:cs="Arial"/>
                <w:b/>
                <w:sz w:val="24"/>
                <w:szCs w:val="24"/>
              </w:rPr>
            </w:pPr>
          </w:p>
        </w:tc>
        <w:tc>
          <w:tcPr>
            <w:tcW w:w="990" w:type="dxa"/>
            <w:shd w:val="clear" w:color="auto" w:fill="auto"/>
            <w:noWrap/>
            <w:vAlign w:val="center"/>
            <w:hideMark/>
          </w:tcPr>
          <w:p w14:paraId="788B37A9" w14:textId="77777777" w:rsidR="003E5BF5" w:rsidRPr="0029213D" w:rsidRDefault="003E5BF5" w:rsidP="00DE1921">
            <w:pPr>
              <w:spacing w:line="259" w:lineRule="auto"/>
              <w:jc w:val="right"/>
              <w:rPr>
                <w:rFonts w:ascii="Arial" w:hAnsi="Arial" w:cs="Arial"/>
                <w:b/>
                <w:sz w:val="24"/>
                <w:szCs w:val="24"/>
              </w:rPr>
            </w:pPr>
          </w:p>
        </w:tc>
        <w:tc>
          <w:tcPr>
            <w:tcW w:w="991" w:type="dxa"/>
            <w:shd w:val="clear" w:color="auto" w:fill="auto"/>
            <w:noWrap/>
            <w:vAlign w:val="center"/>
            <w:hideMark/>
          </w:tcPr>
          <w:p w14:paraId="0FE33713" w14:textId="77777777" w:rsidR="003E5BF5" w:rsidRPr="0029213D" w:rsidRDefault="003E5BF5" w:rsidP="00DE1921">
            <w:pPr>
              <w:spacing w:line="259" w:lineRule="auto"/>
              <w:jc w:val="right"/>
              <w:rPr>
                <w:rFonts w:ascii="Arial" w:hAnsi="Arial" w:cs="Arial"/>
                <w:b/>
                <w:sz w:val="24"/>
                <w:szCs w:val="24"/>
              </w:rPr>
            </w:pPr>
          </w:p>
        </w:tc>
      </w:tr>
      <w:tr w:rsidR="003E5BF5" w:rsidRPr="0029213D" w14:paraId="1E8A52B4" w14:textId="77777777" w:rsidTr="008E16CB">
        <w:trPr>
          <w:trHeight w:val="340"/>
        </w:trPr>
        <w:tc>
          <w:tcPr>
            <w:tcW w:w="3119" w:type="dxa"/>
            <w:shd w:val="clear" w:color="auto" w:fill="auto"/>
            <w:vAlign w:val="center"/>
            <w:hideMark/>
          </w:tcPr>
          <w:p w14:paraId="7F203634" w14:textId="77777777" w:rsidR="003E5BF5" w:rsidRPr="0029213D" w:rsidRDefault="003E5BF5" w:rsidP="00604703">
            <w:pPr>
              <w:pStyle w:val="TableTextGreen"/>
            </w:pPr>
            <w:r w:rsidRPr="0029213D">
              <w:t>Administered other economic flows included in administered net result</w:t>
            </w:r>
          </w:p>
        </w:tc>
        <w:tc>
          <w:tcPr>
            <w:tcW w:w="990" w:type="dxa"/>
            <w:shd w:val="clear" w:color="auto" w:fill="auto"/>
            <w:noWrap/>
            <w:vAlign w:val="center"/>
            <w:hideMark/>
          </w:tcPr>
          <w:p w14:paraId="11CC56D0" w14:textId="77777777" w:rsidR="003E5BF5" w:rsidRPr="0029213D" w:rsidRDefault="003E5BF5" w:rsidP="00DE1921">
            <w:pPr>
              <w:spacing w:line="259" w:lineRule="auto"/>
              <w:jc w:val="right"/>
              <w:rPr>
                <w:rFonts w:ascii="Arial" w:hAnsi="Arial" w:cs="Arial"/>
                <w:sz w:val="24"/>
                <w:szCs w:val="24"/>
              </w:rPr>
            </w:pPr>
          </w:p>
        </w:tc>
        <w:tc>
          <w:tcPr>
            <w:tcW w:w="990" w:type="dxa"/>
            <w:shd w:val="clear" w:color="auto" w:fill="auto"/>
            <w:noWrap/>
            <w:vAlign w:val="center"/>
            <w:hideMark/>
          </w:tcPr>
          <w:p w14:paraId="672B2F05" w14:textId="77777777" w:rsidR="003E5BF5" w:rsidRPr="0029213D" w:rsidRDefault="003E5BF5" w:rsidP="00DE1921">
            <w:pPr>
              <w:spacing w:line="259" w:lineRule="auto"/>
              <w:jc w:val="right"/>
              <w:rPr>
                <w:rFonts w:ascii="Arial" w:hAnsi="Arial" w:cs="Arial"/>
                <w:sz w:val="24"/>
                <w:szCs w:val="24"/>
              </w:rPr>
            </w:pPr>
          </w:p>
        </w:tc>
        <w:tc>
          <w:tcPr>
            <w:tcW w:w="990" w:type="dxa"/>
            <w:shd w:val="clear" w:color="auto" w:fill="auto"/>
            <w:noWrap/>
            <w:vAlign w:val="center"/>
            <w:hideMark/>
          </w:tcPr>
          <w:p w14:paraId="7EB7BB43" w14:textId="77777777" w:rsidR="003E5BF5" w:rsidRPr="0029213D" w:rsidRDefault="003E5BF5" w:rsidP="00DE1921">
            <w:pPr>
              <w:spacing w:line="259" w:lineRule="auto"/>
              <w:jc w:val="right"/>
              <w:rPr>
                <w:rFonts w:ascii="Arial" w:hAnsi="Arial" w:cs="Arial"/>
                <w:sz w:val="24"/>
                <w:szCs w:val="24"/>
              </w:rPr>
            </w:pPr>
          </w:p>
        </w:tc>
        <w:tc>
          <w:tcPr>
            <w:tcW w:w="990" w:type="dxa"/>
            <w:shd w:val="clear" w:color="auto" w:fill="auto"/>
            <w:noWrap/>
            <w:vAlign w:val="center"/>
            <w:hideMark/>
          </w:tcPr>
          <w:p w14:paraId="6998017B" w14:textId="77777777" w:rsidR="003E5BF5" w:rsidRPr="0029213D" w:rsidRDefault="003E5BF5" w:rsidP="00DE1921">
            <w:pPr>
              <w:spacing w:line="259" w:lineRule="auto"/>
              <w:jc w:val="right"/>
              <w:rPr>
                <w:rFonts w:ascii="Arial" w:hAnsi="Arial" w:cs="Arial"/>
                <w:sz w:val="24"/>
                <w:szCs w:val="24"/>
              </w:rPr>
            </w:pPr>
          </w:p>
        </w:tc>
        <w:tc>
          <w:tcPr>
            <w:tcW w:w="990" w:type="dxa"/>
            <w:shd w:val="clear" w:color="auto" w:fill="auto"/>
            <w:noWrap/>
            <w:vAlign w:val="center"/>
            <w:hideMark/>
          </w:tcPr>
          <w:p w14:paraId="077DCD8A" w14:textId="77777777" w:rsidR="003E5BF5" w:rsidRPr="0029213D" w:rsidRDefault="003E5BF5" w:rsidP="00DE1921">
            <w:pPr>
              <w:spacing w:line="259" w:lineRule="auto"/>
              <w:jc w:val="right"/>
              <w:rPr>
                <w:rFonts w:ascii="Arial" w:hAnsi="Arial" w:cs="Arial"/>
                <w:sz w:val="24"/>
                <w:szCs w:val="24"/>
              </w:rPr>
            </w:pPr>
          </w:p>
        </w:tc>
        <w:tc>
          <w:tcPr>
            <w:tcW w:w="991" w:type="dxa"/>
            <w:shd w:val="clear" w:color="auto" w:fill="auto"/>
            <w:noWrap/>
            <w:vAlign w:val="center"/>
            <w:hideMark/>
          </w:tcPr>
          <w:p w14:paraId="0042D24C" w14:textId="77777777" w:rsidR="003E5BF5" w:rsidRPr="0029213D" w:rsidRDefault="003E5BF5" w:rsidP="00DE1921">
            <w:pPr>
              <w:spacing w:line="259" w:lineRule="auto"/>
              <w:jc w:val="right"/>
              <w:rPr>
                <w:rFonts w:ascii="Arial" w:hAnsi="Arial" w:cs="Arial"/>
                <w:sz w:val="24"/>
                <w:szCs w:val="24"/>
              </w:rPr>
            </w:pPr>
          </w:p>
        </w:tc>
      </w:tr>
      <w:tr w:rsidR="003E5BF5" w:rsidRPr="0029213D" w14:paraId="59863EBC" w14:textId="77777777" w:rsidTr="008E16CB">
        <w:trPr>
          <w:trHeight w:val="340"/>
        </w:trPr>
        <w:tc>
          <w:tcPr>
            <w:tcW w:w="3119" w:type="dxa"/>
            <w:shd w:val="clear" w:color="auto" w:fill="auto"/>
            <w:noWrap/>
            <w:vAlign w:val="center"/>
            <w:hideMark/>
          </w:tcPr>
          <w:p w14:paraId="3B93737F"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Net gain/(loss) on financial assets</w:t>
            </w:r>
          </w:p>
        </w:tc>
        <w:tc>
          <w:tcPr>
            <w:tcW w:w="990" w:type="dxa"/>
            <w:shd w:val="clear" w:color="auto" w:fill="auto"/>
            <w:noWrap/>
            <w:vAlign w:val="center"/>
            <w:hideMark/>
          </w:tcPr>
          <w:p w14:paraId="22C2A88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20C8114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8 </w:t>
            </w:r>
          </w:p>
        </w:tc>
        <w:tc>
          <w:tcPr>
            <w:tcW w:w="990" w:type="dxa"/>
            <w:shd w:val="clear" w:color="auto" w:fill="auto"/>
            <w:noWrap/>
            <w:vAlign w:val="center"/>
            <w:hideMark/>
          </w:tcPr>
          <w:p w14:paraId="364B4FD2"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0" w:type="dxa"/>
            <w:shd w:val="clear" w:color="auto" w:fill="auto"/>
            <w:noWrap/>
            <w:vAlign w:val="center"/>
            <w:hideMark/>
          </w:tcPr>
          <w:p w14:paraId="0241F74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2 </w:t>
            </w:r>
          </w:p>
        </w:tc>
        <w:tc>
          <w:tcPr>
            <w:tcW w:w="990" w:type="dxa"/>
            <w:shd w:val="clear" w:color="auto" w:fill="auto"/>
            <w:noWrap/>
            <w:vAlign w:val="center"/>
            <w:hideMark/>
          </w:tcPr>
          <w:p w14:paraId="37B7CC9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91" w:type="dxa"/>
            <w:shd w:val="clear" w:color="auto" w:fill="auto"/>
            <w:noWrap/>
            <w:vAlign w:val="center"/>
            <w:hideMark/>
          </w:tcPr>
          <w:p w14:paraId="21306B0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3 </w:t>
            </w:r>
          </w:p>
        </w:tc>
      </w:tr>
      <w:tr w:rsidR="003E5BF5" w:rsidRPr="0029213D" w14:paraId="2FF2A16A" w14:textId="77777777" w:rsidTr="008E16CB">
        <w:trPr>
          <w:trHeight w:val="340"/>
        </w:trPr>
        <w:tc>
          <w:tcPr>
            <w:tcW w:w="3119" w:type="dxa"/>
            <w:shd w:val="clear" w:color="auto" w:fill="auto"/>
            <w:noWrap/>
            <w:vAlign w:val="center"/>
            <w:hideMark/>
          </w:tcPr>
          <w:p w14:paraId="0E219AAD"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administered other economic flows</w:t>
            </w:r>
          </w:p>
        </w:tc>
        <w:tc>
          <w:tcPr>
            <w:tcW w:w="990" w:type="dxa"/>
            <w:shd w:val="clear" w:color="auto" w:fill="auto"/>
            <w:noWrap/>
            <w:vAlign w:val="center"/>
            <w:hideMark/>
          </w:tcPr>
          <w:p w14:paraId="3A37934C"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90" w:type="dxa"/>
            <w:shd w:val="clear" w:color="auto" w:fill="auto"/>
            <w:noWrap/>
            <w:vAlign w:val="center"/>
            <w:hideMark/>
          </w:tcPr>
          <w:p w14:paraId="011AAA26"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8 </w:t>
            </w:r>
          </w:p>
        </w:tc>
        <w:tc>
          <w:tcPr>
            <w:tcW w:w="990" w:type="dxa"/>
            <w:shd w:val="clear" w:color="auto" w:fill="auto"/>
            <w:noWrap/>
            <w:vAlign w:val="center"/>
            <w:hideMark/>
          </w:tcPr>
          <w:p w14:paraId="76FE179E"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90" w:type="dxa"/>
            <w:shd w:val="clear" w:color="auto" w:fill="auto"/>
            <w:noWrap/>
            <w:vAlign w:val="center"/>
            <w:hideMark/>
          </w:tcPr>
          <w:p w14:paraId="0CDD01DD"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2 </w:t>
            </w:r>
          </w:p>
        </w:tc>
        <w:tc>
          <w:tcPr>
            <w:tcW w:w="990" w:type="dxa"/>
            <w:shd w:val="clear" w:color="auto" w:fill="auto"/>
            <w:noWrap/>
            <w:vAlign w:val="center"/>
            <w:hideMark/>
          </w:tcPr>
          <w:p w14:paraId="159D24E0"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91" w:type="dxa"/>
            <w:shd w:val="clear" w:color="auto" w:fill="auto"/>
            <w:noWrap/>
            <w:vAlign w:val="center"/>
            <w:hideMark/>
          </w:tcPr>
          <w:p w14:paraId="489C5195"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3 </w:t>
            </w:r>
          </w:p>
        </w:tc>
      </w:tr>
      <w:tr w:rsidR="003E5BF5" w:rsidRPr="0029213D" w14:paraId="5FCCAD28" w14:textId="77777777" w:rsidTr="008E16CB">
        <w:trPr>
          <w:trHeight w:val="340"/>
        </w:trPr>
        <w:tc>
          <w:tcPr>
            <w:tcW w:w="3119" w:type="dxa"/>
            <w:shd w:val="clear" w:color="auto" w:fill="auto"/>
            <w:noWrap/>
            <w:vAlign w:val="center"/>
            <w:hideMark/>
          </w:tcPr>
          <w:p w14:paraId="0A2722A6"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administered comprehensive result</w:t>
            </w:r>
          </w:p>
        </w:tc>
        <w:tc>
          <w:tcPr>
            <w:tcW w:w="990" w:type="dxa"/>
            <w:shd w:val="clear" w:color="auto" w:fill="auto"/>
            <w:noWrap/>
            <w:vAlign w:val="center"/>
            <w:hideMark/>
          </w:tcPr>
          <w:p w14:paraId="1A68E431"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90" w:type="dxa"/>
            <w:shd w:val="clear" w:color="auto" w:fill="auto"/>
            <w:noWrap/>
            <w:vAlign w:val="center"/>
            <w:hideMark/>
          </w:tcPr>
          <w:p w14:paraId="4506F3E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(52)</w:t>
            </w:r>
          </w:p>
        </w:tc>
        <w:tc>
          <w:tcPr>
            <w:tcW w:w="990" w:type="dxa"/>
            <w:shd w:val="clear" w:color="auto" w:fill="auto"/>
            <w:noWrap/>
            <w:vAlign w:val="center"/>
            <w:hideMark/>
          </w:tcPr>
          <w:p w14:paraId="36C6F4E7"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90" w:type="dxa"/>
            <w:shd w:val="clear" w:color="auto" w:fill="auto"/>
            <w:noWrap/>
            <w:vAlign w:val="center"/>
            <w:hideMark/>
          </w:tcPr>
          <w:p w14:paraId="09AE068E"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(19)</w:t>
            </w:r>
          </w:p>
        </w:tc>
        <w:tc>
          <w:tcPr>
            <w:tcW w:w="990" w:type="dxa"/>
            <w:shd w:val="clear" w:color="auto" w:fill="auto"/>
            <w:noWrap/>
            <w:vAlign w:val="center"/>
            <w:hideMark/>
          </w:tcPr>
          <w:p w14:paraId="743E37BF"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91" w:type="dxa"/>
            <w:shd w:val="clear" w:color="auto" w:fill="auto"/>
            <w:noWrap/>
            <w:vAlign w:val="center"/>
            <w:hideMark/>
          </w:tcPr>
          <w:p w14:paraId="11ED8324"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5,320 </w:t>
            </w:r>
          </w:p>
        </w:tc>
      </w:tr>
    </w:tbl>
    <w:p w14:paraId="4A1BB065" w14:textId="77777777" w:rsidR="003E5BF5" w:rsidRPr="00B87757" w:rsidRDefault="003E5BF5" w:rsidP="00DE1921">
      <w:r w:rsidRPr="00B87757">
        <w:br w:type="page"/>
      </w:r>
      <w:bookmarkStart w:id="256" w:name="RANGE!AQ3:AW32"/>
      <w:bookmarkEnd w:id="256"/>
    </w:p>
    <w:tbl>
      <w:tblPr>
        <w:tblStyle w:val="TableGrid"/>
        <w:tblW w:w="9923" w:type="dxa"/>
        <w:tblLayout w:type="fixed"/>
        <w:tblCellMar>
          <w:left w:w="28" w:type="dxa"/>
          <w:right w:w="28" w:type="dxa"/>
        </w:tblCellMar>
        <w:tblLook w:val="04A0" w:firstRow="1" w:lastRow="0" w:firstColumn="1" w:lastColumn="0" w:noHBand="0" w:noVBand="1"/>
      </w:tblPr>
      <w:tblGrid>
        <w:gridCol w:w="3561"/>
        <w:gridCol w:w="1060"/>
        <w:gridCol w:w="1060"/>
        <w:gridCol w:w="1061"/>
        <w:gridCol w:w="1060"/>
        <w:gridCol w:w="1060"/>
        <w:gridCol w:w="1061"/>
      </w:tblGrid>
      <w:tr w:rsidR="003E5BF5" w:rsidRPr="0029213D" w14:paraId="65B6D7D1" w14:textId="77777777" w:rsidTr="008E16CB">
        <w:trPr>
          <w:trHeight w:val="340"/>
        </w:trPr>
        <w:tc>
          <w:tcPr>
            <w:tcW w:w="3256" w:type="dxa"/>
            <w:shd w:val="clear" w:color="auto" w:fill="auto"/>
            <w:noWrap/>
            <w:hideMark/>
          </w:tcPr>
          <w:p w14:paraId="234AFCDE" w14:textId="77777777" w:rsidR="003E5BF5" w:rsidRPr="0029213D" w:rsidRDefault="003E5BF5" w:rsidP="00DE1921">
            <w:pPr>
              <w:spacing w:line="259" w:lineRule="auto"/>
              <w:rPr>
                <w:rFonts w:ascii="Arial" w:hAnsi="Arial" w:cs="Arial"/>
                <w:sz w:val="24"/>
                <w:szCs w:val="24"/>
              </w:rPr>
            </w:pPr>
          </w:p>
        </w:tc>
        <w:tc>
          <w:tcPr>
            <w:tcW w:w="5816" w:type="dxa"/>
            <w:gridSpan w:val="6"/>
            <w:shd w:val="clear" w:color="auto" w:fill="auto"/>
            <w:vAlign w:val="center"/>
            <w:hideMark/>
          </w:tcPr>
          <w:p w14:paraId="0ED392E3"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 thousand)</w:t>
            </w:r>
          </w:p>
        </w:tc>
      </w:tr>
      <w:tr w:rsidR="003E5BF5" w:rsidRPr="0029213D" w14:paraId="556CCDCD" w14:textId="77777777" w:rsidTr="008E16CB">
        <w:trPr>
          <w:trHeight w:val="340"/>
        </w:trPr>
        <w:tc>
          <w:tcPr>
            <w:tcW w:w="3256" w:type="dxa"/>
            <w:shd w:val="clear" w:color="auto" w:fill="auto"/>
            <w:noWrap/>
            <w:hideMark/>
          </w:tcPr>
          <w:p w14:paraId="32826676" w14:textId="77777777" w:rsidR="003E5BF5" w:rsidRPr="0029213D" w:rsidRDefault="003E5BF5" w:rsidP="00DE1921">
            <w:pPr>
              <w:spacing w:line="259" w:lineRule="auto"/>
              <w:rPr>
                <w:rFonts w:ascii="Arial" w:hAnsi="Arial" w:cs="Arial"/>
                <w:sz w:val="24"/>
                <w:szCs w:val="24"/>
              </w:rPr>
            </w:pPr>
          </w:p>
        </w:tc>
        <w:tc>
          <w:tcPr>
            <w:tcW w:w="1938" w:type="dxa"/>
            <w:gridSpan w:val="2"/>
            <w:shd w:val="clear" w:color="auto" w:fill="auto"/>
            <w:vAlign w:val="bottom"/>
            <w:hideMark/>
          </w:tcPr>
          <w:p w14:paraId="4FA1882B"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Industrial Relations</w:t>
            </w:r>
          </w:p>
        </w:tc>
        <w:tc>
          <w:tcPr>
            <w:tcW w:w="1939" w:type="dxa"/>
            <w:gridSpan w:val="2"/>
            <w:shd w:val="clear" w:color="auto" w:fill="auto"/>
            <w:vAlign w:val="bottom"/>
            <w:hideMark/>
          </w:tcPr>
          <w:p w14:paraId="02F1C885"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Industry and enterprise innovation</w:t>
            </w:r>
          </w:p>
        </w:tc>
        <w:tc>
          <w:tcPr>
            <w:tcW w:w="1939" w:type="dxa"/>
            <w:gridSpan w:val="2"/>
            <w:shd w:val="clear" w:color="auto" w:fill="auto"/>
            <w:vAlign w:val="bottom"/>
            <w:hideMark/>
          </w:tcPr>
          <w:p w14:paraId="10A64334" w14:textId="77777777" w:rsidR="003E5BF5" w:rsidRPr="0029213D" w:rsidRDefault="003E5BF5" w:rsidP="00DE1921">
            <w:pPr>
              <w:spacing w:line="259" w:lineRule="auto"/>
              <w:jc w:val="center"/>
              <w:rPr>
                <w:rFonts w:ascii="Arial" w:hAnsi="Arial" w:cs="Arial"/>
                <w:b/>
                <w:sz w:val="24"/>
                <w:szCs w:val="24"/>
              </w:rPr>
            </w:pPr>
            <w:r w:rsidRPr="0029213D">
              <w:rPr>
                <w:rFonts w:ascii="Arial" w:hAnsi="Arial" w:cs="Arial"/>
                <w:b/>
                <w:sz w:val="24"/>
                <w:szCs w:val="24"/>
              </w:rPr>
              <w:t>Jobs and investment</w:t>
            </w:r>
          </w:p>
        </w:tc>
      </w:tr>
      <w:tr w:rsidR="003E5BF5" w:rsidRPr="0029213D" w14:paraId="7257FA80" w14:textId="77777777" w:rsidTr="008E16CB">
        <w:trPr>
          <w:trHeight w:val="340"/>
        </w:trPr>
        <w:tc>
          <w:tcPr>
            <w:tcW w:w="3256" w:type="dxa"/>
            <w:shd w:val="clear" w:color="auto" w:fill="auto"/>
            <w:hideMark/>
          </w:tcPr>
          <w:p w14:paraId="4A200CE3" w14:textId="77777777" w:rsidR="003E5BF5" w:rsidRPr="0029213D" w:rsidRDefault="003E5BF5" w:rsidP="00DE1921">
            <w:pPr>
              <w:spacing w:line="259" w:lineRule="auto"/>
              <w:rPr>
                <w:rFonts w:ascii="Arial" w:hAnsi="Arial" w:cs="Arial"/>
                <w:b/>
                <w:sz w:val="24"/>
                <w:szCs w:val="24"/>
              </w:rPr>
            </w:pPr>
          </w:p>
        </w:tc>
        <w:tc>
          <w:tcPr>
            <w:tcW w:w="969" w:type="dxa"/>
            <w:shd w:val="clear" w:color="auto" w:fill="auto"/>
            <w:vAlign w:val="center"/>
            <w:hideMark/>
          </w:tcPr>
          <w:p w14:paraId="4A9B2B05"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2020</w:t>
            </w:r>
          </w:p>
        </w:tc>
        <w:tc>
          <w:tcPr>
            <w:tcW w:w="969" w:type="dxa"/>
            <w:shd w:val="clear" w:color="auto" w:fill="auto"/>
            <w:vAlign w:val="center"/>
            <w:hideMark/>
          </w:tcPr>
          <w:p w14:paraId="3DCE2E64"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2019</w:t>
            </w:r>
          </w:p>
        </w:tc>
        <w:tc>
          <w:tcPr>
            <w:tcW w:w="970" w:type="dxa"/>
            <w:shd w:val="clear" w:color="auto" w:fill="auto"/>
            <w:vAlign w:val="center"/>
            <w:hideMark/>
          </w:tcPr>
          <w:p w14:paraId="29D6886C"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2020</w:t>
            </w:r>
          </w:p>
        </w:tc>
        <w:tc>
          <w:tcPr>
            <w:tcW w:w="969" w:type="dxa"/>
            <w:shd w:val="clear" w:color="auto" w:fill="auto"/>
            <w:vAlign w:val="center"/>
            <w:hideMark/>
          </w:tcPr>
          <w:p w14:paraId="263C65C3"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2019</w:t>
            </w:r>
          </w:p>
        </w:tc>
        <w:tc>
          <w:tcPr>
            <w:tcW w:w="969" w:type="dxa"/>
            <w:shd w:val="clear" w:color="auto" w:fill="auto"/>
            <w:vAlign w:val="center"/>
            <w:hideMark/>
          </w:tcPr>
          <w:p w14:paraId="7618AB19"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2020</w:t>
            </w:r>
          </w:p>
        </w:tc>
        <w:tc>
          <w:tcPr>
            <w:tcW w:w="970" w:type="dxa"/>
            <w:shd w:val="clear" w:color="auto" w:fill="auto"/>
            <w:vAlign w:val="center"/>
            <w:hideMark/>
          </w:tcPr>
          <w:p w14:paraId="2B68E64E"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2019</w:t>
            </w:r>
          </w:p>
        </w:tc>
      </w:tr>
      <w:tr w:rsidR="003E5BF5" w:rsidRPr="0029213D" w14:paraId="5A34A7D5" w14:textId="77777777" w:rsidTr="008E16CB">
        <w:trPr>
          <w:trHeight w:val="340"/>
        </w:trPr>
        <w:tc>
          <w:tcPr>
            <w:tcW w:w="3256" w:type="dxa"/>
            <w:shd w:val="clear" w:color="auto" w:fill="auto"/>
            <w:noWrap/>
            <w:vAlign w:val="center"/>
            <w:hideMark/>
          </w:tcPr>
          <w:p w14:paraId="3431FB3C" w14:textId="77777777" w:rsidR="003E5BF5" w:rsidRPr="0029213D" w:rsidRDefault="003E5BF5" w:rsidP="00604703">
            <w:pPr>
              <w:pStyle w:val="TableTextGreen"/>
            </w:pPr>
            <w:r w:rsidRPr="0029213D">
              <w:t>Administered income from transactions</w:t>
            </w:r>
          </w:p>
        </w:tc>
        <w:tc>
          <w:tcPr>
            <w:tcW w:w="969" w:type="dxa"/>
            <w:shd w:val="clear" w:color="auto" w:fill="auto"/>
            <w:noWrap/>
            <w:vAlign w:val="center"/>
            <w:hideMark/>
          </w:tcPr>
          <w:p w14:paraId="7C7FF4A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c>
          <w:tcPr>
            <w:tcW w:w="969" w:type="dxa"/>
            <w:shd w:val="clear" w:color="auto" w:fill="auto"/>
            <w:noWrap/>
            <w:vAlign w:val="center"/>
            <w:hideMark/>
          </w:tcPr>
          <w:p w14:paraId="53D98BE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c>
          <w:tcPr>
            <w:tcW w:w="970" w:type="dxa"/>
            <w:shd w:val="clear" w:color="auto" w:fill="auto"/>
            <w:noWrap/>
            <w:vAlign w:val="center"/>
            <w:hideMark/>
          </w:tcPr>
          <w:p w14:paraId="5BD9D43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c>
          <w:tcPr>
            <w:tcW w:w="969" w:type="dxa"/>
            <w:shd w:val="clear" w:color="auto" w:fill="auto"/>
            <w:noWrap/>
            <w:vAlign w:val="center"/>
            <w:hideMark/>
          </w:tcPr>
          <w:p w14:paraId="4EB043D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c>
          <w:tcPr>
            <w:tcW w:w="969" w:type="dxa"/>
            <w:shd w:val="clear" w:color="auto" w:fill="auto"/>
            <w:noWrap/>
            <w:vAlign w:val="center"/>
            <w:hideMark/>
          </w:tcPr>
          <w:p w14:paraId="5B2839F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c>
          <w:tcPr>
            <w:tcW w:w="970" w:type="dxa"/>
            <w:shd w:val="clear" w:color="auto" w:fill="auto"/>
            <w:noWrap/>
            <w:vAlign w:val="center"/>
            <w:hideMark/>
          </w:tcPr>
          <w:p w14:paraId="3145B4C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w:t>
            </w:r>
          </w:p>
        </w:tc>
      </w:tr>
      <w:tr w:rsidR="003E5BF5" w:rsidRPr="0029213D" w14:paraId="6E280FA9" w14:textId="77777777" w:rsidTr="008E16CB">
        <w:trPr>
          <w:trHeight w:val="340"/>
        </w:trPr>
        <w:tc>
          <w:tcPr>
            <w:tcW w:w="3256" w:type="dxa"/>
            <w:shd w:val="clear" w:color="auto" w:fill="auto"/>
            <w:noWrap/>
            <w:vAlign w:val="center"/>
            <w:hideMark/>
          </w:tcPr>
          <w:p w14:paraId="31176E0C"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 xml:space="preserve">Sale of goods and services </w:t>
            </w:r>
          </w:p>
        </w:tc>
        <w:tc>
          <w:tcPr>
            <w:tcW w:w="969" w:type="dxa"/>
            <w:shd w:val="clear" w:color="auto" w:fill="auto"/>
            <w:noWrap/>
            <w:vAlign w:val="center"/>
            <w:hideMark/>
          </w:tcPr>
          <w:p w14:paraId="6AE589C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02E3020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1 </w:t>
            </w:r>
          </w:p>
        </w:tc>
        <w:tc>
          <w:tcPr>
            <w:tcW w:w="970" w:type="dxa"/>
            <w:shd w:val="clear" w:color="auto" w:fill="auto"/>
            <w:noWrap/>
            <w:vAlign w:val="center"/>
            <w:hideMark/>
          </w:tcPr>
          <w:p w14:paraId="59D116D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45650EB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202 </w:t>
            </w:r>
          </w:p>
        </w:tc>
        <w:tc>
          <w:tcPr>
            <w:tcW w:w="969" w:type="dxa"/>
            <w:shd w:val="clear" w:color="auto" w:fill="auto"/>
            <w:noWrap/>
            <w:vAlign w:val="center"/>
            <w:hideMark/>
          </w:tcPr>
          <w:p w14:paraId="50F27B9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017B3189"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35 </w:t>
            </w:r>
          </w:p>
        </w:tc>
      </w:tr>
      <w:tr w:rsidR="003E5BF5" w:rsidRPr="0029213D" w14:paraId="6C9151F8" w14:textId="77777777" w:rsidTr="008E16CB">
        <w:trPr>
          <w:trHeight w:val="340"/>
        </w:trPr>
        <w:tc>
          <w:tcPr>
            <w:tcW w:w="3256" w:type="dxa"/>
            <w:shd w:val="clear" w:color="auto" w:fill="auto"/>
            <w:noWrap/>
            <w:vAlign w:val="center"/>
            <w:hideMark/>
          </w:tcPr>
          <w:p w14:paraId="11EDBDC2"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Appropriations - payments made on behalf of the State</w:t>
            </w:r>
          </w:p>
        </w:tc>
        <w:tc>
          <w:tcPr>
            <w:tcW w:w="969" w:type="dxa"/>
            <w:shd w:val="clear" w:color="auto" w:fill="auto"/>
            <w:noWrap/>
            <w:hideMark/>
          </w:tcPr>
          <w:p w14:paraId="6895882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hideMark/>
          </w:tcPr>
          <w:p w14:paraId="4B942CD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hideMark/>
          </w:tcPr>
          <w:p w14:paraId="0E89C9B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hideMark/>
          </w:tcPr>
          <w:p w14:paraId="570C4A7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391 </w:t>
            </w:r>
          </w:p>
        </w:tc>
        <w:tc>
          <w:tcPr>
            <w:tcW w:w="969" w:type="dxa"/>
            <w:shd w:val="clear" w:color="auto" w:fill="auto"/>
            <w:noWrap/>
            <w:hideMark/>
          </w:tcPr>
          <w:p w14:paraId="0D92BBE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hideMark/>
          </w:tcPr>
          <w:p w14:paraId="513EAD7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r>
      <w:tr w:rsidR="003E5BF5" w:rsidRPr="0029213D" w14:paraId="46A26DDD" w14:textId="77777777" w:rsidTr="008E16CB">
        <w:trPr>
          <w:trHeight w:val="340"/>
        </w:trPr>
        <w:tc>
          <w:tcPr>
            <w:tcW w:w="3256" w:type="dxa"/>
            <w:shd w:val="clear" w:color="auto" w:fill="auto"/>
            <w:noWrap/>
            <w:vAlign w:val="center"/>
            <w:hideMark/>
          </w:tcPr>
          <w:p w14:paraId="1E028996"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Royalties</w:t>
            </w:r>
          </w:p>
        </w:tc>
        <w:tc>
          <w:tcPr>
            <w:tcW w:w="969" w:type="dxa"/>
            <w:shd w:val="clear" w:color="auto" w:fill="auto"/>
            <w:noWrap/>
            <w:vAlign w:val="center"/>
            <w:hideMark/>
          </w:tcPr>
          <w:p w14:paraId="626507F2"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58EEC18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5A843AF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1DD77339"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6D6C027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63A8326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r>
      <w:tr w:rsidR="003E5BF5" w:rsidRPr="0029213D" w14:paraId="21464F7E" w14:textId="77777777" w:rsidTr="008E16CB">
        <w:trPr>
          <w:trHeight w:val="340"/>
        </w:trPr>
        <w:tc>
          <w:tcPr>
            <w:tcW w:w="3256" w:type="dxa"/>
            <w:shd w:val="clear" w:color="auto" w:fill="auto"/>
            <w:noWrap/>
            <w:vAlign w:val="center"/>
            <w:hideMark/>
          </w:tcPr>
          <w:p w14:paraId="605D85F5"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Other income</w:t>
            </w:r>
          </w:p>
        </w:tc>
        <w:tc>
          <w:tcPr>
            <w:tcW w:w="969" w:type="dxa"/>
            <w:shd w:val="clear" w:color="auto" w:fill="auto"/>
            <w:noWrap/>
            <w:vAlign w:val="center"/>
            <w:hideMark/>
          </w:tcPr>
          <w:p w14:paraId="7EE8FD9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4B547D4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0357630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4A7E4FD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15 </w:t>
            </w:r>
          </w:p>
        </w:tc>
        <w:tc>
          <w:tcPr>
            <w:tcW w:w="969" w:type="dxa"/>
            <w:shd w:val="clear" w:color="auto" w:fill="auto"/>
            <w:noWrap/>
            <w:vAlign w:val="center"/>
            <w:hideMark/>
          </w:tcPr>
          <w:p w14:paraId="6AC9DE91"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5D6C5D5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15 </w:t>
            </w:r>
          </w:p>
        </w:tc>
      </w:tr>
      <w:tr w:rsidR="003E5BF5" w:rsidRPr="0029213D" w14:paraId="7EEC0065" w14:textId="77777777" w:rsidTr="008E16CB">
        <w:trPr>
          <w:trHeight w:val="340"/>
        </w:trPr>
        <w:tc>
          <w:tcPr>
            <w:tcW w:w="3256" w:type="dxa"/>
            <w:shd w:val="clear" w:color="auto" w:fill="auto"/>
            <w:noWrap/>
            <w:vAlign w:val="center"/>
            <w:hideMark/>
          </w:tcPr>
          <w:p w14:paraId="216449AD"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Statutory fines</w:t>
            </w:r>
          </w:p>
        </w:tc>
        <w:tc>
          <w:tcPr>
            <w:tcW w:w="969" w:type="dxa"/>
            <w:shd w:val="clear" w:color="auto" w:fill="auto"/>
            <w:noWrap/>
            <w:vAlign w:val="center"/>
            <w:hideMark/>
          </w:tcPr>
          <w:p w14:paraId="1F6B2E7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6DE2630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20FE98B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62350708"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275BAF59"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0362C35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r>
      <w:tr w:rsidR="003E5BF5" w:rsidRPr="0029213D" w14:paraId="4BEA1A44" w14:textId="77777777" w:rsidTr="008E16CB">
        <w:trPr>
          <w:trHeight w:val="340"/>
        </w:trPr>
        <w:tc>
          <w:tcPr>
            <w:tcW w:w="3256" w:type="dxa"/>
            <w:shd w:val="clear" w:color="auto" w:fill="auto"/>
            <w:noWrap/>
            <w:vAlign w:val="center"/>
            <w:hideMark/>
          </w:tcPr>
          <w:p w14:paraId="3ED81A34"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Regulatory fees, fines, leases and licences</w:t>
            </w:r>
          </w:p>
        </w:tc>
        <w:tc>
          <w:tcPr>
            <w:tcW w:w="969" w:type="dxa"/>
            <w:shd w:val="clear" w:color="auto" w:fill="auto"/>
            <w:noWrap/>
            <w:hideMark/>
          </w:tcPr>
          <w:p w14:paraId="03720BF2"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hideMark/>
          </w:tcPr>
          <w:p w14:paraId="4940E83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hideMark/>
          </w:tcPr>
          <w:p w14:paraId="5A19E471"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hideMark/>
          </w:tcPr>
          <w:p w14:paraId="2E5DA80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10 </w:t>
            </w:r>
          </w:p>
        </w:tc>
        <w:tc>
          <w:tcPr>
            <w:tcW w:w="969" w:type="dxa"/>
            <w:shd w:val="clear" w:color="auto" w:fill="auto"/>
            <w:noWrap/>
            <w:hideMark/>
          </w:tcPr>
          <w:p w14:paraId="5A04F53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hideMark/>
          </w:tcPr>
          <w:p w14:paraId="0B40B19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10 </w:t>
            </w:r>
          </w:p>
        </w:tc>
      </w:tr>
      <w:tr w:rsidR="003E5BF5" w:rsidRPr="0029213D" w14:paraId="0FBD0390" w14:textId="77777777" w:rsidTr="008E16CB">
        <w:trPr>
          <w:trHeight w:val="340"/>
        </w:trPr>
        <w:tc>
          <w:tcPr>
            <w:tcW w:w="3256" w:type="dxa"/>
            <w:shd w:val="clear" w:color="auto" w:fill="auto"/>
            <w:noWrap/>
            <w:vAlign w:val="center"/>
            <w:hideMark/>
          </w:tcPr>
          <w:p w14:paraId="6EFE7AD1"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Interest income</w:t>
            </w:r>
          </w:p>
        </w:tc>
        <w:tc>
          <w:tcPr>
            <w:tcW w:w="969" w:type="dxa"/>
            <w:shd w:val="clear" w:color="auto" w:fill="auto"/>
            <w:noWrap/>
            <w:vAlign w:val="center"/>
            <w:hideMark/>
          </w:tcPr>
          <w:p w14:paraId="33BA952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17F8719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312AED8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56E6F99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7601A30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37D8B5A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r>
      <w:tr w:rsidR="003E5BF5" w:rsidRPr="0029213D" w14:paraId="1BD0C95D" w14:textId="77777777" w:rsidTr="008E16CB">
        <w:trPr>
          <w:trHeight w:val="340"/>
        </w:trPr>
        <w:tc>
          <w:tcPr>
            <w:tcW w:w="3256" w:type="dxa"/>
            <w:shd w:val="clear" w:color="auto" w:fill="auto"/>
            <w:noWrap/>
            <w:vAlign w:val="center"/>
            <w:hideMark/>
          </w:tcPr>
          <w:p w14:paraId="613E5A84"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administered income from transactions</w:t>
            </w:r>
          </w:p>
        </w:tc>
        <w:tc>
          <w:tcPr>
            <w:tcW w:w="969" w:type="dxa"/>
            <w:shd w:val="clear" w:color="auto" w:fill="auto"/>
            <w:noWrap/>
            <w:hideMark/>
          </w:tcPr>
          <w:p w14:paraId="3023646D"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69" w:type="dxa"/>
            <w:shd w:val="clear" w:color="auto" w:fill="auto"/>
            <w:noWrap/>
            <w:hideMark/>
          </w:tcPr>
          <w:p w14:paraId="58D087B5"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1 </w:t>
            </w:r>
          </w:p>
        </w:tc>
        <w:tc>
          <w:tcPr>
            <w:tcW w:w="970" w:type="dxa"/>
            <w:shd w:val="clear" w:color="auto" w:fill="auto"/>
            <w:noWrap/>
            <w:hideMark/>
          </w:tcPr>
          <w:p w14:paraId="52F309FD"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69" w:type="dxa"/>
            <w:shd w:val="clear" w:color="auto" w:fill="auto"/>
            <w:noWrap/>
            <w:hideMark/>
          </w:tcPr>
          <w:p w14:paraId="50D30394"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618 </w:t>
            </w:r>
          </w:p>
        </w:tc>
        <w:tc>
          <w:tcPr>
            <w:tcW w:w="969" w:type="dxa"/>
            <w:shd w:val="clear" w:color="auto" w:fill="auto"/>
            <w:noWrap/>
            <w:hideMark/>
          </w:tcPr>
          <w:p w14:paraId="4A3D2858"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70" w:type="dxa"/>
            <w:shd w:val="clear" w:color="auto" w:fill="auto"/>
            <w:noWrap/>
            <w:hideMark/>
          </w:tcPr>
          <w:p w14:paraId="2741A12B"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60 </w:t>
            </w:r>
          </w:p>
        </w:tc>
      </w:tr>
      <w:tr w:rsidR="003E5BF5" w:rsidRPr="0029213D" w14:paraId="116A0025" w14:textId="77777777" w:rsidTr="008E16CB">
        <w:trPr>
          <w:trHeight w:val="340"/>
        </w:trPr>
        <w:tc>
          <w:tcPr>
            <w:tcW w:w="3256" w:type="dxa"/>
            <w:shd w:val="clear" w:color="auto" w:fill="auto"/>
            <w:noWrap/>
            <w:vAlign w:val="center"/>
            <w:hideMark/>
          </w:tcPr>
          <w:p w14:paraId="33C9A6FD" w14:textId="77777777" w:rsidR="003E5BF5" w:rsidRPr="0029213D" w:rsidRDefault="003E5BF5" w:rsidP="00604703">
            <w:pPr>
              <w:pStyle w:val="TableTextGreen"/>
            </w:pPr>
            <w:r w:rsidRPr="0029213D">
              <w:t>Administered expenses from transactions</w:t>
            </w:r>
          </w:p>
        </w:tc>
        <w:tc>
          <w:tcPr>
            <w:tcW w:w="969" w:type="dxa"/>
            <w:shd w:val="clear" w:color="auto" w:fill="auto"/>
            <w:noWrap/>
            <w:vAlign w:val="center"/>
            <w:hideMark/>
          </w:tcPr>
          <w:p w14:paraId="5A180635" w14:textId="77777777" w:rsidR="003E5BF5" w:rsidRPr="0029213D" w:rsidRDefault="003E5BF5" w:rsidP="00DE1921">
            <w:pPr>
              <w:spacing w:line="259" w:lineRule="auto"/>
              <w:jc w:val="right"/>
              <w:rPr>
                <w:rFonts w:ascii="Arial" w:hAnsi="Arial" w:cs="Arial"/>
                <w:b/>
                <w:sz w:val="24"/>
                <w:szCs w:val="24"/>
              </w:rPr>
            </w:pPr>
          </w:p>
        </w:tc>
        <w:tc>
          <w:tcPr>
            <w:tcW w:w="969" w:type="dxa"/>
            <w:shd w:val="clear" w:color="auto" w:fill="auto"/>
            <w:noWrap/>
            <w:vAlign w:val="center"/>
            <w:hideMark/>
          </w:tcPr>
          <w:p w14:paraId="66B31856" w14:textId="77777777" w:rsidR="003E5BF5" w:rsidRPr="0029213D" w:rsidRDefault="003E5BF5" w:rsidP="00DE1921">
            <w:pPr>
              <w:spacing w:line="259" w:lineRule="auto"/>
              <w:jc w:val="right"/>
              <w:rPr>
                <w:rFonts w:ascii="Arial" w:hAnsi="Arial" w:cs="Arial"/>
                <w:b/>
                <w:sz w:val="24"/>
                <w:szCs w:val="24"/>
              </w:rPr>
            </w:pPr>
          </w:p>
        </w:tc>
        <w:tc>
          <w:tcPr>
            <w:tcW w:w="970" w:type="dxa"/>
            <w:shd w:val="clear" w:color="auto" w:fill="auto"/>
            <w:noWrap/>
            <w:vAlign w:val="center"/>
            <w:hideMark/>
          </w:tcPr>
          <w:p w14:paraId="7FB98975" w14:textId="77777777" w:rsidR="003E5BF5" w:rsidRPr="0029213D" w:rsidRDefault="003E5BF5" w:rsidP="00DE1921">
            <w:pPr>
              <w:spacing w:line="259" w:lineRule="auto"/>
              <w:jc w:val="right"/>
              <w:rPr>
                <w:rFonts w:ascii="Arial" w:hAnsi="Arial" w:cs="Arial"/>
                <w:b/>
                <w:sz w:val="24"/>
                <w:szCs w:val="24"/>
              </w:rPr>
            </w:pPr>
          </w:p>
        </w:tc>
        <w:tc>
          <w:tcPr>
            <w:tcW w:w="969" w:type="dxa"/>
            <w:shd w:val="clear" w:color="auto" w:fill="auto"/>
            <w:noWrap/>
            <w:vAlign w:val="center"/>
            <w:hideMark/>
          </w:tcPr>
          <w:p w14:paraId="0BDB5521" w14:textId="77777777" w:rsidR="003E5BF5" w:rsidRPr="0029213D" w:rsidRDefault="003E5BF5" w:rsidP="00DE1921">
            <w:pPr>
              <w:spacing w:line="259" w:lineRule="auto"/>
              <w:jc w:val="right"/>
              <w:rPr>
                <w:rFonts w:ascii="Arial" w:hAnsi="Arial" w:cs="Arial"/>
                <w:b/>
                <w:sz w:val="24"/>
                <w:szCs w:val="24"/>
              </w:rPr>
            </w:pPr>
          </w:p>
        </w:tc>
        <w:tc>
          <w:tcPr>
            <w:tcW w:w="969" w:type="dxa"/>
            <w:shd w:val="clear" w:color="auto" w:fill="auto"/>
            <w:noWrap/>
            <w:vAlign w:val="center"/>
            <w:hideMark/>
          </w:tcPr>
          <w:p w14:paraId="785D7DC5" w14:textId="77777777" w:rsidR="003E5BF5" w:rsidRPr="0029213D" w:rsidRDefault="003E5BF5" w:rsidP="00DE1921">
            <w:pPr>
              <w:spacing w:line="259" w:lineRule="auto"/>
              <w:jc w:val="right"/>
              <w:rPr>
                <w:rFonts w:ascii="Arial" w:hAnsi="Arial" w:cs="Arial"/>
                <w:b/>
                <w:sz w:val="24"/>
                <w:szCs w:val="24"/>
              </w:rPr>
            </w:pPr>
          </w:p>
        </w:tc>
        <w:tc>
          <w:tcPr>
            <w:tcW w:w="970" w:type="dxa"/>
            <w:shd w:val="clear" w:color="auto" w:fill="auto"/>
            <w:noWrap/>
            <w:vAlign w:val="center"/>
            <w:hideMark/>
          </w:tcPr>
          <w:p w14:paraId="35AEE3E8" w14:textId="77777777" w:rsidR="003E5BF5" w:rsidRPr="0029213D" w:rsidRDefault="003E5BF5" w:rsidP="00DE1921">
            <w:pPr>
              <w:spacing w:line="259" w:lineRule="auto"/>
              <w:jc w:val="right"/>
              <w:rPr>
                <w:rFonts w:ascii="Arial" w:hAnsi="Arial" w:cs="Arial"/>
                <w:b/>
                <w:sz w:val="24"/>
                <w:szCs w:val="24"/>
              </w:rPr>
            </w:pPr>
          </w:p>
        </w:tc>
      </w:tr>
      <w:tr w:rsidR="003E5BF5" w:rsidRPr="0029213D" w14:paraId="56C2BD66" w14:textId="77777777" w:rsidTr="008E16CB">
        <w:trPr>
          <w:trHeight w:val="340"/>
        </w:trPr>
        <w:tc>
          <w:tcPr>
            <w:tcW w:w="3256" w:type="dxa"/>
            <w:shd w:val="clear" w:color="auto" w:fill="auto"/>
            <w:noWrap/>
            <w:vAlign w:val="center"/>
            <w:hideMark/>
          </w:tcPr>
          <w:p w14:paraId="2A943C25"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Payments into Consolidated Fund</w:t>
            </w:r>
          </w:p>
        </w:tc>
        <w:tc>
          <w:tcPr>
            <w:tcW w:w="969" w:type="dxa"/>
            <w:shd w:val="clear" w:color="auto" w:fill="auto"/>
            <w:noWrap/>
            <w:vAlign w:val="center"/>
            <w:hideMark/>
          </w:tcPr>
          <w:p w14:paraId="13D433D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4ED5246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61E376B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6E4D18E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(911)</w:t>
            </w:r>
          </w:p>
        </w:tc>
        <w:tc>
          <w:tcPr>
            <w:tcW w:w="969" w:type="dxa"/>
            <w:shd w:val="clear" w:color="auto" w:fill="auto"/>
            <w:noWrap/>
            <w:vAlign w:val="center"/>
            <w:hideMark/>
          </w:tcPr>
          <w:p w14:paraId="1EC11D07"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7183578D"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(565)</w:t>
            </w:r>
          </w:p>
        </w:tc>
      </w:tr>
      <w:tr w:rsidR="003E5BF5" w:rsidRPr="0029213D" w14:paraId="3F1BE859" w14:textId="77777777" w:rsidTr="008E16CB">
        <w:trPr>
          <w:trHeight w:val="340"/>
        </w:trPr>
        <w:tc>
          <w:tcPr>
            <w:tcW w:w="3256" w:type="dxa"/>
            <w:shd w:val="clear" w:color="auto" w:fill="auto"/>
            <w:noWrap/>
            <w:vAlign w:val="center"/>
            <w:hideMark/>
          </w:tcPr>
          <w:p w14:paraId="07E8D198"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Interest expense</w:t>
            </w:r>
          </w:p>
        </w:tc>
        <w:tc>
          <w:tcPr>
            <w:tcW w:w="969" w:type="dxa"/>
            <w:shd w:val="clear" w:color="auto" w:fill="auto"/>
            <w:noWrap/>
            <w:vAlign w:val="center"/>
            <w:hideMark/>
          </w:tcPr>
          <w:p w14:paraId="09BD580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3FE7245E"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216AEE7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1E4BD7B3"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5E9EC0E6"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0B5B0D5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r>
      <w:tr w:rsidR="003E5BF5" w:rsidRPr="0029213D" w14:paraId="71EA135C" w14:textId="77777777" w:rsidTr="008E16CB">
        <w:trPr>
          <w:trHeight w:val="340"/>
        </w:trPr>
        <w:tc>
          <w:tcPr>
            <w:tcW w:w="3256" w:type="dxa"/>
            <w:shd w:val="clear" w:color="auto" w:fill="auto"/>
            <w:noWrap/>
            <w:vAlign w:val="center"/>
            <w:hideMark/>
          </w:tcPr>
          <w:p w14:paraId="2CAD7015"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Other expenses</w:t>
            </w:r>
          </w:p>
        </w:tc>
        <w:tc>
          <w:tcPr>
            <w:tcW w:w="969" w:type="dxa"/>
            <w:shd w:val="clear" w:color="auto" w:fill="auto"/>
            <w:noWrap/>
            <w:vAlign w:val="center"/>
            <w:hideMark/>
          </w:tcPr>
          <w:p w14:paraId="14B18FA0"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7ADFB73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(1)</w:t>
            </w:r>
          </w:p>
        </w:tc>
        <w:tc>
          <w:tcPr>
            <w:tcW w:w="970" w:type="dxa"/>
            <w:shd w:val="clear" w:color="auto" w:fill="auto"/>
            <w:noWrap/>
            <w:vAlign w:val="center"/>
            <w:hideMark/>
          </w:tcPr>
          <w:p w14:paraId="73851E8F"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54F242C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(419)</w:t>
            </w:r>
          </w:p>
        </w:tc>
        <w:tc>
          <w:tcPr>
            <w:tcW w:w="969" w:type="dxa"/>
            <w:shd w:val="clear" w:color="auto" w:fill="auto"/>
            <w:noWrap/>
            <w:vAlign w:val="center"/>
            <w:hideMark/>
          </w:tcPr>
          <w:p w14:paraId="6CF84BEA"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0C8553B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(28)</w:t>
            </w:r>
          </w:p>
        </w:tc>
      </w:tr>
      <w:tr w:rsidR="003E5BF5" w:rsidRPr="0029213D" w14:paraId="5332B57E" w14:textId="77777777" w:rsidTr="008E16CB">
        <w:trPr>
          <w:trHeight w:val="340"/>
        </w:trPr>
        <w:tc>
          <w:tcPr>
            <w:tcW w:w="3256" w:type="dxa"/>
            <w:shd w:val="clear" w:color="auto" w:fill="auto"/>
            <w:noWrap/>
            <w:vAlign w:val="center"/>
            <w:hideMark/>
          </w:tcPr>
          <w:p w14:paraId="3BF595E0"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administered expenses from transactions</w:t>
            </w:r>
          </w:p>
        </w:tc>
        <w:tc>
          <w:tcPr>
            <w:tcW w:w="969" w:type="dxa"/>
            <w:shd w:val="clear" w:color="auto" w:fill="auto"/>
            <w:noWrap/>
            <w:hideMark/>
          </w:tcPr>
          <w:p w14:paraId="57838A1D"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69" w:type="dxa"/>
            <w:shd w:val="clear" w:color="auto" w:fill="auto"/>
            <w:noWrap/>
            <w:hideMark/>
          </w:tcPr>
          <w:p w14:paraId="6C566F45"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(1)</w:t>
            </w:r>
          </w:p>
        </w:tc>
        <w:tc>
          <w:tcPr>
            <w:tcW w:w="970" w:type="dxa"/>
            <w:shd w:val="clear" w:color="auto" w:fill="auto"/>
            <w:noWrap/>
            <w:hideMark/>
          </w:tcPr>
          <w:p w14:paraId="4AF7AA1E"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69" w:type="dxa"/>
            <w:shd w:val="clear" w:color="auto" w:fill="auto"/>
            <w:noWrap/>
            <w:hideMark/>
          </w:tcPr>
          <w:p w14:paraId="1A462B13"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(1,329)</w:t>
            </w:r>
          </w:p>
        </w:tc>
        <w:tc>
          <w:tcPr>
            <w:tcW w:w="969" w:type="dxa"/>
            <w:shd w:val="clear" w:color="auto" w:fill="auto"/>
            <w:noWrap/>
            <w:hideMark/>
          </w:tcPr>
          <w:p w14:paraId="10EF3A24"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70" w:type="dxa"/>
            <w:shd w:val="clear" w:color="auto" w:fill="auto"/>
            <w:noWrap/>
            <w:hideMark/>
          </w:tcPr>
          <w:p w14:paraId="4496406F"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(593)</w:t>
            </w:r>
          </w:p>
        </w:tc>
      </w:tr>
      <w:tr w:rsidR="003E5BF5" w:rsidRPr="0029213D" w14:paraId="5D167AA2" w14:textId="77777777" w:rsidTr="008E16CB">
        <w:trPr>
          <w:trHeight w:val="340"/>
        </w:trPr>
        <w:tc>
          <w:tcPr>
            <w:tcW w:w="3256" w:type="dxa"/>
            <w:shd w:val="clear" w:color="auto" w:fill="auto"/>
            <w:noWrap/>
            <w:vAlign w:val="center"/>
            <w:hideMark/>
          </w:tcPr>
          <w:p w14:paraId="5B699470"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administered net result from transactions</w:t>
            </w:r>
          </w:p>
        </w:tc>
        <w:tc>
          <w:tcPr>
            <w:tcW w:w="969" w:type="dxa"/>
            <w:shd w:val="clear" w:color="auto" w:fill="auto"/>
            <w:noWrap/>
            <w:hideMark/>
          </w:tcPr>
          <w:p w14:paraId="7C707B94"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69" w:type="dxa"/>
            <w:shd w:val="clear" w:color="auto" w:fill="auto"/>
            <w:noWrap/>
            <w:hideMark/>
          </w:tcPr>
          <w:p w14:paraId="0241D661"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1 </w:t>
            </w:r>
          </w:p>
        </w:tc>
        <w:tc>
          <w:tcPr>
            <w:tcW w:w="970" w:type="dxa"/>
            <w:shd w:val="clear" w:color="auto" w:fill="auto"/>
            <w:noWrap/>
            <w:hideMark/>
          </w:tcPr>
          <w:p w14:paraId="32C9F339"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69" w:type="dxa"/>
            <w:shd w:val="clear" w:color="auto" w:fill="auto"/>
            <w:noWrap/>
            <w:hideMark/>
          </w:tcPr>
          <w:p w14:paraId="08849D17"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(711)</w:t>
            </w:r>
          </w:p>
        </w:tc>
        <w:tc>
          <w:tcPr>
            <w:tcW w:w="969" w:type="dxa"/>
            <w:shd w:val="clear" w:color="auto" w:fill="auto"/>
            <w:noWrap/>
            <w:hideMark/>
          </w:tcPr>
          <w:p w14:paraId="628B3B7E"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70" w:type="dxa"/>
            <w:shd w:val="clear" w:color="auto" w:fill="auto"/>
            <w:noWrap/>
            <w:hideMark/>
          </w:tcPr>
          <w:p w14:paraId="12763D33"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(533)</w:t>
            </w:r>
          </w:p>
        </w:tc>
      </w:tr>
      <w:tr w:rsidR="003E5BF5" w:rsidRPr="0029213D" w14:paraId="578B7150" w14:textId="77777777" w:rsidTr="008E16CB">
        <w:trPr>
          <w:trHeight w:val="340"/>
        </w:trPr>
        <w:tc>
          <w:tcPr>
            <w:tcW w:w="3256" w:type="dxa"/>
            <w:shd w:val="clear" w:color="auto" w:fill="auto"/>
            <w:noWrap/>
            <w:vAlign w:val="center"/>
            <w:hideMark/>
          </w:tcPr>
          <w:p w14:paraId="426B8007" w14:textId="77777777" w:rsidR="003E5BF5" w:rsidRPr="0029213D" w:rsidRDefault="003E5BF5" w:rsidP="00DE1921">
            <w:pPr>
              <w:spacing w:line="259" w:lineRule="auto"/>
              <w:rPr>
                <w:rFonts w:ascii="Arial" w:hAnsi="Arial" w:cs="Arial"/>
                <w:b/>
                <w:sz w:val="24"/>
                <w:szCs w:val="24"/>
              </w:rPr>
            </w:pPr>
          </w:p>
        </w:tc>
        <w:tc>
          <w:tcPr>
            <w:tcW w:w="969" w:type="dxa"/>
            <w:shd w:val="clear" w:color="auto" w:fill="auto"/>
            <w:noWrap/>
            <w:vAlign w:val="center"/>
            <w:hideMark/>
          </w:tcPr>
          <w:p w14:paraId="311B6AF4" w14:textId="77777777" w:rsidR="003E5BF5" w:rsidRPr="0029213D" w:rsidRDefault="003E5BF5" w:rsidP="00DE1921">
            <w:pPr>
              <w:spacing w:line="259" w:lineRule="auto"/>
              <w:jc w:val="right"/>
              <w:rPr>
                <w:rFonts w:ascii="Arial" w:hAnsi="Arial" w:cs="Arial"/>
                <w:b/>
                <w:sz w:val="24"/>
                <w:szCs w:val="24"/>
              </w:rPr>
            </w:pPr>
          </w:p>
        </w:tc>
        <w:tc>
          <w:tcPr>
            <w:tcW w:w="969" w:type="dxa"/>
            <w:shd w:val="clear" w:color="auto" w:fill="auto"/>
            <w:noWrap/>
            <w:vAlign w:val="center"/>
            <w:hideMark/>
          </w:tcPr>
          <w:p w14:paraId="03E2E763" w14:textId="77777777" w:rsidR="003E5BF5" w:rsidRPr="0029213D" w:rsidRDefault="003E5BF5" w:rsidP="00DE1921">
            <w:pPr>
              <w:spacing w:line="259" w:lineRule="auto"/>
              <w:jc w:val="right"/>
              <w:rPr>
                <w:rFonts w:ascii="Arial" w:hAnsi="Arial" w:cs="Arial"/>
                <w:b/>
                <w:sz w:val="24"/>
                <w:szCs w:val="24"/>
              </w:rPr>
            </w:pPr>
          </w:p>
        </w:tc>
        <w:tc>
          <w:tcPr>
            <w:tcW w:w="970" w:type="dxa"/>
            <w:shd w:val="clear" w:color="auto" w:fill="auto"/>
            <w:noWrap/>
            <w:vAlign w:val="center"/>
            <w:hideMark/>
          </w:tcPr>
          <w:p w14:paraId="32D38527" w14:textId="77777777" w:rsidR="003E5BF5" w:rsidRPr="0029213D" w:rsidRDefault="003E5BF5" w:rsidP="00DE1921">
            <w:pPr>
              <w:spacing w:line="259" w:lineRule="auto"/>
              <w:jc w:val="right"/>
              <w:rPr>
                <w:rFonts w:ascii="Arial" w:hAnsi="Arial" w:cs="Arial"/>
                <w:b/>
                <w:sz w:val="24"/>
                <w:szCs w:val="24"/>
              </w:rPr>
            </w:pPr>
          </w:p>
        </w:tc>
        <w:tc>
          <w:tcPr>
            <w:tcW w:w="969" w:type="dxa"/>
            <w:shd w:val="clear" w:color="auto" w:fill="auto"/>
            <w:noWrap/>
            <w:vAlign w:val="center"/>
            <w:hideMark/>
          </w:tcPr>
          <w:p w14:paraId="77A7E7E1" w14:textId="77777777" w:rsidR="003E5BF5" w:rsidRPr="0029213D" w:rsidRDefault="003E5BF5" w:rsidP="00DE1921">
            <w:pPr>
              <w:spacing w:line="259" w:lineRule="auto"/>
              <w:jc w:val="right"/>
              <w:rPr>
                <w:rFonts w:ascii="Arial" w:hAnsi="Arial" w:cs="Arial"/>
                <w:b/>
                <w:sz w:val="24"/>
                <w:szCs w:val="24"/>
              </w:rPr>
            </w:pPr>
          </w:p>
        </w:tc>
        <w:tc>
          <w:tcPr>
            <w:tcW w:w="969" w:type="dxa"/>
            <w:shd w:val="clear" w:color="auto" w:fill="auto"/>
            <w:noWrap/>
            <w:vAlign w:val="center"/>
            <w:hideMark/>
          </w:tcPr>
          <w:p w14:paraId="7F77A436" w14:textId="77777777" w:rsidR="003E5BF5" w:rsidRPr="0029213D" w:rsidRDefault="003E5BF5" w:rsidP="00DE1921">
            <w:pPr>
              <w:spacing w:line="259" w:lineRule="auto"/>
              <w:jc w:val="right"/>
              <w:rPr>
                <w:rFonts w:ascii="Arial" w:hAnsi="Arial" w:cs="Arial"/>
                <w:b/>
                <w:sz w:val="24"/>
                <w:szCs w:val="24"/>
              </w:rPr>
            </w:pPr>
          </w:p>
        </w:tc>
        <w:tc>
          <w:tcPr>
            <w:tcW w:w="970" w:type="dxa"/>
            <w:shd w:val="clear" w:color="auto" w:fill="auto"/>
            <w:noWrap/>
            <w:vAlign w:val="center"/>
            <w:hideMark/>
          </w:tcPr>
          <w:p w14:paraId="2BE3A707" w14:textId="77777777" w:rsidR="003E5BF5" w:rsidRPr="0029213D" w:rsidRDefault="003E5BF5" w:rsidP="00DE1921">
            <w:pPr>
              <w:spacing w:line="259" w:lineRule="auto"/>
              <w:jc w:val="right"/>
              <w:rPr>
                <w:rFonts w:ascii="Arial" w:hAnsi="Arial" w:cs="Arial"/>
                <w:b/>
                <w:sz w:val="24"/>
                <w:szCs w:val="24"/>
              </w:rPr>
            </w:pPr>
          </w:p>
        </w:tc>
      </w:tr>
      <w:tr w:rsidR="003E5BF5" w:rsidRPr="0029213D" w14:paraId="708A01DD" w14:textId="77777777" w:rsidTr="008E16CB">
        <w:trPr>
          <w:trHeight w:val="340"/>
        </w:trPr>
        <w:tc>
          <w:tcPr>
            <w:tcW w:w="3256" w:type="dxa"/>
            <w:shd w:val="clear" w:color="auto" w:fill="auto"/>
            <w:vAlign w:val="center"/>
            <w:hideMark/>
          </w:tcPr>
          <w:p w14:paraId="1B86E5A1" w14:textId="77777777" w:rsidR="003E5BF5" w:rsidRPr="0029213D" w:rsidRDefault="003E5BF5" w:rsidP="00604703">
            <w:pPr>
              <w:pStyle w:val="TableTextGreen"/>
            </w:pPr>
            <w:r w:rsidRPr="0029213D">
              <w:t>Administered other economic flows included in administered net result</w:t>
            </w:r>
          </w:p>
        </w:tc>
        <w:tc>
          <w:tcPr>
            <w:tcW w:w="969" w:type="dxa"/>
            <w:shd w:val="clear" w:color="auto" w:fill="auto"/>
            <w:noWrap/>
            <w:vAlign w:val="center"/>
            <w:hideMark/>
          </w:tcPr>
          <w:p w14:paraId="2124039E" w14:textId="77777777" w:rsidR="003E5BF5" w:rsidRPr="0029213D" w:rsidRDefault="003E5BF5" w:rsidP="00DE1921">
            <w:pPr>
              <w:spacing w:line="259" w:lineRule="auto"/>
              <w:jc w:val="right"/>
              <w:rPr>
                <w:rFonts w:ascii="Arial" w:hAnsi="Arial" w:cs="Arial"/>
                <w:sz w:val="24"/>
                <w:szCs w:val="24"/>
              </w:rPr>
            </w:pPr>
          </w:p>
        </w:tc>
        <w:tc>
          <w:tcPr>
            <w:tcW w:w="969" w:type="dxa"/>
            <w:shd w:val="clear" w:color="auto" w:fill="auto"/>
            <w:noWrap/>
            <w:vAlign w:val="center"/>
            <w:hideMark/>
          </w:tcPr>
          <w:p w14:paraId="7DAB8BBA" w14:textId="77777777" w:rsidR="003E5BF5" w:rsidRPr="0029213D" w:rsidRDefault="003E5BF5" w:rsidP="00DE1921">
            <w:pPr>
              <w:spacing w:line="259" w:lineRule="auto"/>
              <w:jc w:val="right"/>
              <w:rPr>
                <w:rFonts w:ascii="Arial" w:hAnsi="Arial" w:cs="Arial"/>
                <w:sz w:val="24"/>
                <w:szCs w:val="24"/>
              </w:rPr>
            </w:pPr>
          </w:p>
        </w:tc>
        <w:tc>
          <w:tcPr>
            <w:tcW w:w="970" w:type="dxa"/>
            <w:shd w:val="clear" w:color="auto" w:fill="auto"/>
            <w:noWrap/>
            <w:vAlign w:val="center"/>
            <w:hideMark/>
          </w:tcPr>
          <w:p w14:paraId="391C5BC7" w14:textId="77777777" w:rsidR="003E5BF5" w:rsidRPr="0029213D" w:rsidRDefault="003E5BF5" w:rsidP="00DE1921">
            <w:pPr>
              <w:spacing w:line="259" w:lineRule="auto"/>
              <w:jc w:val="right"/>
              <w:rPr>
                <w:rFonts w:ascii="Arial" w:hAnsi="Arial" w:cs="Arial"/>
                <w:sz w:val="24"/>
                <w:szCs w:val="24"/>
              </w:rPr>
            </w:pPr>
          </w:p>
        </w:tc>
        <w:tc>
          <w:tcPr>
            <w:tcW w:w="969" w:type="dxa"/>
            <w:shd w:val="clear" w:color="auto" w:fill="auto"/>
            <w:noWrap/>
            <w:vAlign w:val="center"/>
            <w:hideMark/>
          </w:tcPr>
          <w:p w14:paraId="0FF9A8DA" w14:textId="77777777" w:rsidR="003E5BF5" w:rsidRPr="0029213D" w:rsidRDefault="003E5BF5" w:rsidP="00DE1921">
            <w:pPr>
              <w:spacing w:line="259" w:lineRule="auto"/>
              <w:jc w:val="right"/>
              <w:rPr>
                <w:rFonts w:ascii="Arial" w:hAnsi="Arial" w:cs="Arial"/>
                <w:sz w:val="24"/>
                <w:szCs w:val="24"/>
              </w:rPr>
            </w:pPr>
          </w:p>
        </w:tc>
        <w:tc>
          <w:tcPr>
            <w:tcW w:w="969" w:type="dxa"/>
            <w:shd w:val="clear" w:color="auto" w:fill="auto"/>
            <w:noWrap/>
            <w:vAlign w:val="center"/>
            <w:hideMark/>
          </w:tcPr>
          <w:p w14:paraId="77CF7893" w14:textId="77777777" w:rsidR="003E5BF5" w:rsidRPr="0029213D" w:rsidRDefault="003E5BF5" w:rsidP="00DE1921">
            <w:pPr>
              <w:spacing w:line="259" w:lineRule="auto"/>
              <w:jc w:val="right"/>
              <w:rPr>
                <w:rFonts w:ascii="Arial" w:hAnsi="Arial" w:cs="Arial"/>
                <w:sz w:val="24"/>
                <w:szCs w:val="24"/>
              </w:rPr>
            </w:pPr>
          </w:p>
        </w:tc>
        <w:tc>
          <w:tcPr>
            <w:tcW w:w="970" w:type="dxa"/>
            <w:shd w:val="clear" w:color="auto" w:fill="auto"/>
            <w:noWrap/>
            <w:vAlign w:val="center"/>
            <w:hideMark/>
          </w:tcPr>
          <w:p w14:paraId="6D51A73F" w14:textId="77777777" w:rsidR="003E5BF5" w:rsidRPr="0029213D" w:rsidRDefault="003E5BF5" w:rsidP="00DE1921">
            <w:pPr>
              <w:spacing w:line="259" w:lineRule="auto"/>
              <w:jc w:val="right"/>
              <w:rPr>
                <w:rFonts w:ascii="Arial" w:hAnsi="Arial" w:cs="Arial"/>
                <w:sz w:val="24"/>
                <w:szCs w:val="24"/>
              </w:rPr>
            </w:pPr>
          </w:p>
        </w:tc>
      </w:tr>
      <w:tr w:rsidR="003E5BF5" w:rsidRPr="0029213D" w14:paraId="092159A3" w14:textId="77777777" w:rsidTr="008E16CB">
        <w:trPr>
          <w:trHeight w:val="340"/>
        </w:trPr>
        <w:tc>
          <w:tcPr>
            <w:tcW w:w="3256" w:type="dxa"/>
            <w:shd w:val="clear" w:color="auto" w:fill="auto"/>
            <w:noWrap/>
            <w:vAlign w:val="center"/>
            <w:hideMark/>
          </w:tcPr>
          <w:p w14:paraId="79765D5D" w14:textId="77777777" w:rsidR="003E5BF5" w:rsidRPr="0029213D" w:rsidRDefault="003E5BF5" w:rsidP="00DE1921">
            <w:pPr>
              <w:spacing w:line="259" w:lineRule="auto"/>
              <w:rPr>
                <w:rFonts w:ascii="Arial" w:hAnsi="Arial" w:cs="Arial"/>
                <w:sz w:val="24"/>
                <w:szCs w:val="24"/>
              </w:rPr>
            </w:pPr>
            <w:r w:rsidRPr="0029213D">
              <w:rPr>
                <w:rFonts w:ascii="Arial" w:hAnsi="Arial" w:cs="Arial"/>
                <w:sz w:val="24"/>
                <w:szCs w:val="24"/>
              </w:rPr>
              <w:t>Net gain/(loss) on financial assets</w:t>
            </w:r>
          </w:p>
        </w:tc>
        <w:tc>
          <w:tcPr>
            <w:tcW w:w="969" w:type="dxa"/>
            <w:shd w:val="clear" w:color="auto" w:fill="auto"/>
            <w:noWrap/>
            <w:vAlign w:val="center"/>
            <w:hideMark/>
          </w:tcPr>
          <w:p w14:paraId="4CE8B025"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15BA62EC"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2A71A54B"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69" w:type="dxa"/>
            <w:shd w:val="clear" w:color="auto" w:fill="auto"/>
            <w:noWrap/>
            <w:vAlign w:val="center"/>
            <w:hideMark/>
          </w:tcPr>
          <w:p w14:paraId="64DEF281"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5 </w:t>
            </w:r>
          </w:p>
        </w:tc>
        <w:tc>
          <w:tcPr>
            <w:tcW w:w="969" w:type="dxa"/>
            <w:shd w:val="clear" w:color="auto" w:fill="auto"/>
            <w:noWrap/>
            <w:vAlign w:val="center"/>
            <w:hideMark/>
          </w:tcPr>
          <w:p w14:paraId="580A2AE9"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b/>
                <w:sz w:val="24"/>
                <w:szCs w:val="24"/>
              </w:rPr>
              <w:t>-</w:t>
            </w:r>
          </w:p>
        </w:tc>
        <w:tc>
          <w:tcPr>
            <w:tcW w:w="970" w:type="dxa"/>
            <w:shd w:val="clear" w:color="auto" w:fill="auto"/>
            <w:noWrap/>
            <w:vAlign w:val="center"/>
            <w:hideMark/>
          </w:tcPr>
          <w:p w14:paraId="191D03A4" w14:textId="77777777" w:rsidR="003E5BF5" w:rsidRPr="0029213D" w:rsidRDefault="003E5BF5" w:rsidP="00DE1921">
            <w:pPr>
              <w:spacing w:line="259" w:lineRule="auto"/>
              <w:jc w:val="right"/>
              <w:rPr>
                <w:rFonts w:ascii="Arial" w:hAnsi="Arial" w:cs="Arial"/>
                <w:sz w:val="24"/>
                <w:szCs w:val="24"/>
              </w:rPr>
            </w:pPr>
            <w:r w:rsidRPr="0029213D">
              <w:rPr>
                <w:rFonts w:ascii="Arial" w:hAnsi="Arial" w:cs="Arial"/>
                <w:sz w:val="24"/>
                <w:szCs w:val="24"/>
              </w:rPr>
              <w:t xml:space="preserve">5 </w:t>
            </w:r>
          </w:p>
        </w:tc>
      </w:tr>
      <w:tr w:rsidR="003E5BF5" w:rsidRPr="0029213D" w14:paraId="34164DA9" w14:textId="77777777" w:rsidTr="008E16CB">
        <w:trPr>
          <w:trHeight w:val="340"/>
        </w:trPr>
        <w:tc>
          <w:tcPr>
            <w:tcW w:w="3256" w:type="dxa"/>
            <w:shd w:val="clear" w:color="auto" w:fill="auto"/>
            <w:noWrap/>
            <w:vAlign w:val="center"/>
            <w:hideMark/>
          </w:tcPr>
          <w:p w14:paraId="5F787863"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administered other economic flows</w:t>
            </w:r>
          </w:p>
        </w:tc>
        <w:tc>
          <w:tcPr>
            <w:tcW w:w="969" w:type="dxa"/>
            <w:shd w:val="clear" w:color="auto" w:fill="auto"/>
            <w:noWrap/>
            <w:hideMark/>
          </w:tcPr>
          <w:p w14:paraId="2BAF5452"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69" w:type="dxa"/>
            <w:shd w:val="clear" w:color="auto" w:fill="auto"/>
            <w:noWrap/>
            <w:hideMark/>
          </w:tcPr>
          <w:p w14:paraId="004285EA"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70" w:type="dxa"/>
            <w:shd w:val="clear" w:color="auto" w:fill="auto"/>
            <w:noWrap/>
            <w:hideMark/>
          </w:tcPr>
          <w:p w14:paraId="1318175C"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69" w:type="dxa"/>
            <w:shd w:val="clear" w:color="auto" w:fill="auto"/>
            <w:noWrap/>
            <w:hideMark/>
          </w:tcPr>
          <w:p w14:paraId="1E44E47D"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5 </w:t>
            </w:r>
          </w:p>
        </w:tc>
        <w:tc>
          <w:tcPr>
            <w:tcW w:w="969" w:type="dxa"/>
            <w:shd w:val="clear" w:color="auto" w:fill="auto"/>
            <w:noWrap/>
            <w:hideMark/>
          </w:tcPr>
          <w:p w14:paraId="53FE5CDE"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70" w:type="dxa"/>
            <w:shd w:val="clear" w:color="auto" w:fill="auto"/>
            <w:noWrap/>
            <w:hideMark/>
          </w:tcPr>
          <w:p w14:paraId="603D8B4F"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5 </w:t>
            </w:r>
          </w:p>
        </w:tc>
      </w:tr>
      <w:tr w:rsidR="003E5BF5" w:rsidRPr="0029213D" w14:paraId="743A838C" w14:textId="77777777" w:rsidTr="008E16CB">
        <w:trPr>
          <w:trHeight w:val="340"/>
        </w:trPr>
        <w:tc>
          <w:tcPr>
            <w:tcW w:w="3256" w:type="dxa"/>
            <w:shd w:val="clear" w:color="auto" w:fill="auto"/>
            <w:noWrap/>
            <w:vAlign w:val="center"/>
            <w:hideMark/>
          </w:tcPr>
          <w:p w14:paraId="56AE1ED1" w14:textId="77777777" w:rsidR="003E5BF5" w:rsidRPr="0029213D" w:rsidRDefault="003E5BF5" w:rsidP="00DE1921">
            <w:pPr>
              <w:spacing w:line="259" w:lineRule="auto"/>
              <w:rPr>
                <w:rFonts w:ascii="Arial" w:hAnsi="Arial" w:cs="Arial"/>
                <w:b/>
                <w:sz w:val="24"/>
                <w:szCs w:val="24"/>
              </w:rPr>
            </w:pPr>
            <w:r w:rsidRPr="0029213D">
              <w:rPr>
                <w:rFonts w:ascii="Arial" w:hAnsi="Arial" w:cs="Arial"/>
                <w:b/>
                <w:sz w:val="24"/>
                <w:szCs w:val="24"/>
              </w:rPr>
              <w:t>Total administered comprehensive result</w:t>
            </w:r>
          </w:p>
        </w:tc>
        <w:tc>
          <w:tcPr>
            <w:tcW w:w="969" w:type="dxa"/>
            <w:shd w:val="clear" w:color="auto" w:fill="auto"/>
            <w:noWrap/>
            <w:hideMark/>
          </w:tcPr>
          <w:p w14:paraId="70E10A45"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69" w:type="dxa"/>
            <w:shd w:val="clear" w:color="auto" w:fill="auto"/>
            <w:noWrap/>
            <w:hideMark/>
          </w:tcPr>
          <w:p w14:paraId="0453EAD0"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 xml:space="preserve">1 </w:t>
            </w:r>
          </w:p>
        </w:tc>
        <w:tc>
          <w:tcPr>
            <w:tcW w:w="970" w:type="dxa"/>
            <w:shd w:val="clear" w:color="auto" w:fill="auto"/>
            <w:noWrap/>
            <w:hideMark/>
          </w:tcPr>
          <w:p w14:paraId="2263D6DA"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69" w:type="dxa"/>
            <w:shd w:val="clear" w:color="auto" w:fill="auto"/>
            <w:noWrap/>
            <w:hideMark/>
          </w:tcPr>
          <w:p w14:paraId="6B361FE4"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(706)</w:t>
            </w:r>
          </w:p>
        </w:tc>
        <w:tc>
          <w:tcPr>
            <w:tcW w:w="969" w:type="dxa"/>
            <w:shd w:val="clear" w:color="auto" w:fill="auto"/>
            <w:noWrap/>
            <w:hideMark/>
          </w:tcPr>
          <w:p w14:paraId="16725E99"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w:t>
            </w:r>
          </w:p>
        </w:tc>
        <w:tc>
          <w:tcPr>
            <w:tcW w:w="970" w:type="dxa"/>
            <w:shd w:val="clear" w:color="auto" w:fill="auto"/>
            <w:noWrap/>
            <w:hideMark/>
          </w:tcPr>
          <w:p w14:paraId="3CA3D54B" w14:textId="77777777" w:rsidR="003E5BF5" w:rsidRPr="0029213D" w:rsidRDefault="003E5BF5" w:rsidP="00DE1921">
            <w:pPr>
              <w:spacing w:line="259" w:lineRule="auto"/>
              <w:jc w:val="right"/>
              <w:rPr>
                <w:rFonts w:ascii="Arial" w:hAnsi="Arial" w:cs="Arial"/>
                <w:b/>
                <w:sz w:val="24"/>
                <w:szCs w:val="24"/>
              </w:rPr>
            </w:pPr>
            <w:r w:rsidRPr="0029213D">
              <w:rPr>
                <w:rFonts w:ascii="Arial" w:hAnsi="Arial" w:cs="Arial"/>
                <w:b/>
                <w:sz w:val="24"/>
                <w:szCs w:val="24"/>
              </w:rPr>
              <w:t>(528)</w:t>
            </w:r>
          </w:p>
        </w:tc>
      </w:tr>
    </w:tbl>
    <w:p w14:paraId="03D581E2" w14:textId="77777777" w:rsidR="003E5BF5" w:rsidRPr="00B87757" w:rsidRDefault="003E5BF5" w:rsidP="00DE1921">
      <w:r w:rsidRPr="00B87757">
        <w:br w:type="page"/>
      </w:r>
    </w:p>
    <w:tbl>
      <w:tblPr>
        <w:tblStyle w:val="TableGrid"/>
        <w:tblW w:w="9923" w:type="dxa"/>
        <w:tblLayout w:type="fixed"/>
        <w:tblCellMar>
          <w:left w:w="28" w:type="dxa"/>
          <w:right w:w="28" w:type="dxa"/>
        </w:tblCellMar>
        <w:tblLook w:val="04A0" w:firstRow="1" w:lastRow="0" w:firstColumn="1" w:lastColumn="0" w:noHBand="0" w:noVBand="1"/>
      </w:tblPr>
      <w:tblGrid>
        <w:gridCol w:w="3561"/>
        <w:gridCol w:w="1060"/>
        <w:gridCol w:w="1060"/>
        <w:gridCol w:w="1061"/>
        <w:gridCol w:w="1060"/>
        <w:gridCol w:w="987"/>
        <w:gridCol w:w="1134"/>
      </w:tblGrid>
      <w:tr w:rsidR="003E5BF5" w:rsidRPr="0029213D" w14:paraId="0C885402" w14:textId="77777777" w:rsidTr="008E16CB">
        <w:trPr>
          <w:trHeight w:val="340"/>
        </w:trPr>
        <w:tc>
          <w:tcPr>
            <w:tcW w:w="3561" w:type="dxa"/>
            <w:shd w:val="clear" w:color="auto" w:fill="auto"/>
            <w:noWrap/>
            <w:hideMark/>
          </w:tcPr>
          <w:p w14:paraId="30E45D7F" w14:textId="77777777" w:rsidR="003E5BF5" w:rsidRPr="0029213D" w:rsidRDefault="003E5BF5" w:rsidP="00DE1921">
            <w:pPr>
              <w:rPr>
                <w:rFonts w:ascii="Arial" w:hAnsi="Arial" w:cs="Arial"/>
                <w:sz w:val="24"/>
                <w:szCs w:val="24"/>
              </w:rPr>
            </w:pPr>
            <w:bookmarkStart w:id="257" w:name="RANGE!AX3:BD32"/>
            <w:bookmarkEnd w:id="257"/>
          </w:p>
        </w:tc>
        <w:tc>
          <w:tcPr>
            <w:tcW w:w="6362" w:type="dxa"/>
            <w:gridSpan w:val="6"/>
            <w:shd w:val="clear" w:color="auto" w:fill="auto"/>
            <w:vAlign w:val="center"/>
            <w:hideMark/>
          </w:tcPr>
          <w:p w14:paraId="43E392ED"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 thousand)</w:t>
            </w:r>
          </w:p>
        </w:tc>
      </w:tr>
      <w:tr w:rsidR="003E5BF5" w:rsidRPr="0029213D" w14:paraId="7ED6E913" w14:textId="77777777" w:rsidTr="008E16CB">
        <w:trPr>
          <w:trHeight w:val="340"/>
        </w:trPr>
        <w:tc>
          <w:tcPr>
            <w:tcW w:w="3561" w:type="dxa"/>
            <w:shd w:val="clear" w:color="auto" w:fill="auto"/>
            <w:noWrap/>
            <w:hideMark/>
          </w:tcPr>
          <w:p w14:paraId="650B9642" w14:textId="77777777" w:rsidR="003E5BF5" w:rsidRPr="0029213D" w:rsidRDefault="003E5BF5" w:rsidP="00DE1921">
            <w:pPr>
              <w:rPr>
                <w:rFonts w:ascii="Arial" w:hAnsi="Arial" w:cs="Arial"/>
                <w:sz w:val="24"/>
                <w:szCs w:val="24"/>
              </w:rPr>
            </w:pPr>
          </w:p>
        </w:tc>
        <w:tc>
          <w:tcPr>
            <w:tcW w:w="2120" w:type="dxa"/>
            <w:gridSpan w:val="2"/>
            <w:shd w:val="clear" w:color="auto" w:fill="auto"/>
            <w:vAlign w:val="bottom"/>
            <w:hideMark/>
          </w:tcPr>
          <w:p w14:paraId="08905166"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Regional development</w:t>
            </w:r>
          </w:p>
        </w:tc>
        <w:tc>
          <w:tcPr>
            <w:tcW w:w="2121" w:type="dxa"/>
            <w:gridSpan w:val="2"/>
            <w:shd w:val="clear" w:color="auto" w:fill="auto"/>
            <w:vAlign w:val="bottom"/>
            <w:hideMark/>
          </w:tcPr>
          <w:p w14:paraId="238F6D5B"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Trade</w:t>
            </w:r>
          </w:p>
        </w:tc>
        <w:tc>
          <w:tcPr>
            <w:tcW w:w="2121" w:type="dxa"/>
            <w:gridSpan w:val="2"/>
            <w:shd w:val="clear" w:color="auto" w:fill="auto"/>
            <w:vAlign w:val="bottom"/>
            <w:hideMark/>
          </w:tcPr>
          <w:p w14:paraId="5062F17B"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Transferred Out Totals</w:t>
            </w:r>
          </w:p>
        </w:tc>
      </w:tr>
      <w:tr w:rsidR="003E5BF5" w:rsidRPr="0029213D" w14:paraId="3EB12716" w14:textId="77777777" w:rsidTr="008E16CB">
        <w:trPr>
          <w:trHeight w:val="340"/>
        </w:trPr>
        <w:tc>
          <w:tcPr>
            <w:tcW w:w="3561" w:type="dxa"/>
            <w:shd w:val="clear" w:color="auto" w:fill="auto"/>
            <w:hideMark/>
          </w:tcPr>
          <w:p w14:paraId="15B8859A" w14:textId="77777777" w:rsidR="003E5BF5" w:rsidRPr="0029213D" w:rsidRDefault="003E5BF5" w:rsidP="00DE1921">
            <w:pPr>
              <w:rPr>
                <w:rFonts w:ascii="Arial" w:hAnsi="Arial" w:cs="Arial"/>
                <w:b/>
                <w:sz w:val="24"/>
                <w:szCs w:val="24"/>
              </w:rPr>
            </w:pPr>
          </w:p>
        </w:tc>
        <w:tc>
          <w:tcPr>
            <w:tcW w:w="1060" w:type="dxa"/>
            <w:shd w:val="clear" w:color="auto" w:fill="auto"/>
            <w:vAlign w:val="center"/>
            <w:hideMark/>
          </w:tcPr>
          <w:p w14:paraId="62EA169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1060" w:type="dxa"/>
            <w:shd w:val="clear" w:color="auto" w:fill="auto"/>
            <w:vAlign w:val="center"/>
            <w:hideMark/>
          </w:tcPr>
          <w:p w14:paraId="4972BC0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1061" w:type="dxa"/>
            <w:shd w:val="clear" w:color="auto" w:fill="auto"/>
            <w:vAlign w:val="center"/>
            <w:hideMark/>
          </w:tcPr>
          <w:p w14:paraId="51A3884B"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1060" w:type="dxa"/>
            <w:shd w:val="clear" w:color="auto" w:fill="auto"/>
            <w:vAlign w:val="center"/>
            <w:hideMark/>
          </w:tcPr>
          <w:p w14:paraId="09B090D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987" w:type="dxa"/>
            <w:shd w:val="clear" w:color="auto" w:fill="auto"/>
            <w:vAlign w:val="center"/>
            <w:hideMark/>
          </w:tcPr>
          <w:p w14:paraId="55B1820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1134" w:type="dxa"/>
            <w:shd w:val="clear" w:color="auto" w:fill="auto"/>
            <w:vAlign w:val="center"/>
            <w:hideMark/>
          </w:tcPr>
          <w:p w14:paraId="15D59B3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r>
      <w:tr w:rsidR="003E5BF5" w:rsidRPr="0029213D" w14:paraId="1F27AA77" w14:textId="77777777" w:rsidTr="008E16CB">
        <w:trPr>
          <w:trHeight w:val="340"/>
        </w:trPr>
        <w:tc>
          <w:tcPr>
            <w:tcW w:w="3561" w:type="dxa"/>
            <w:shd w:val="clear" w:color="auto" w:fill="auto"/>
            <w:noWrap/>
            <w:vAlign w:val="center"/>
            <w:hideMark/>
          </w:tcPr>
          <w:p w14:paraId="2D354C1D" w14:textId="77777777" w:rsidR="003E5BF5" w:rsidRPr="0029213D" w:rsidRDefault="003E5BF5" w:rsidP="00604703">
            <w:pPr>
              <w:pStyle w:val="TableTextGreen"/>
            </w:pPr>
            <w:r w:rsidRPr="0029213D">
              <w:t>Administered income from transactions</w:t>
            </w:r>
          </w:p>
        </w:tc>
        <w:tc>
          <w:tcPr>
            <w:tcW w:w="1060" w:type="dxa"/>
            <w:shd w:val="clear" w:color="auto" w:fill="auto"/>
            <w:noWrap/>
            <w:vAlign w:val="center"/>
            <w:hideMark/>
          </w:tcPr>
          <w:p w14:paraId="70B5B532"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060" w:type="dxa"/>
            <w:shd w:val="clear" w:color="auto" w:fill="auto"/>
            <w:noWrap/>
            <w:vAlign w:val="center"/>
            <w:hideMark/>
          </w:tcPr>
          <w:p w14:paraId="05F5360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061" w:type="dxa"/>
            <w:shd w:val="clear" w:color="auto" w:fill="auto"/>
            <w:noWrap/>
            <w:vAlign w:val="center"/>
            <w:hideMark/>
          </w:tcPr>
          <w:p w14:paraId="2B257B2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060" w:type="dxa"/>
            <w:shd w:val="clear" w:color="auto" w:fill="auto"/>
            <w:noWrap/>
            <w:vAlign w:val="center"/>
            <w:hideMark/>
          </w:tcPr>
          <w:p w14:paraId="57F1BF1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987" w:type="dxa"/>
            <w:shd w:val="clear" w:color="auto" w:fill="auto"/>
            <w:noWrap/>
            <w:vAlign w:val="center"/>
            <w:hideMark/>
          </w:tcPr>
          <w:p w14:paraId="703C92D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c>
          <w:tcPr>
            <w:tcW w:w="1134" w:type="dxa"/>
            <w:shd w:val="clear" w:color="auto" w:fill="auto"/>
            <w:noWrap/>
            <w:vAlign w:val="center"/>
            <w:hideMark/>
          </w:tcPr>
          <w:p w14:paraId="5EDB53B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w:t>
            </w:r>
          </w:p>
        </w:tc>
      </w:tr>
      <w:tr w:rsidR="003E5BF5" w:rsidRPr="0029213D" w14:paraId="61B23005" w14:textId="77777777" w:rsidTr="008E16CB">
        <w:trPr>
          <w:trHeight w:val="340"/>
        </w:trPr>
        <w:tc>
          <w:tcPr>
            <w:tcW w:w="3561" w:type="dxa"/>
            <w:shd w:val="clear" w:color="auto" w:fill="auto"/>
            <w:noWrap/>
            <w:vAlign w:val="center"/>
            <w:hideMark/>
          </w:tcPr>
          <w:p w14:paraId="4FC34AEE" w14:textId="77777777" w:rsidR="003E5BF5" w:rsidRPr="0029213D" w:rsidRDefault="003E5BF5" w:rsidP="00DE1921">
            <w:pPr>
              <w:rPr>
                <w:rFonts w:ascii="Arial" w:hAnsi="Arial" w:cs="Arial"/>
                <w:sz w:val="24"/>
                <w:szCs w:val="24"/>
              </w:rPr>
            </w:pPr>
            <w:r w:rsidRPr="0029213D">
              <w:rPr>
                <w:rFonts w:ascii="Arial" w:hAnsi="Arial" w:cs="Arial"/>
                <w:sz w:val="24"/>
                <w:szCs w:val="24"/>
              </w:rPr>
              <w:t xml:space="preserve">Sale of goods and services </w:t>
            </w:r>
          </w:p>
        </w:tc>
        <w:tc>
          <w:tcPr>
            <w:tcW w:w="1060" w:type="dxa"/>
            <w:shd w:val="clear" w:color="auto" w:fill="auto"/>
            <w:noWrap/>
            <w:vAlign w:val="center"/>
            <w:hideMark/>
          </w:tcPr>
          <w:p w14:paraId="121E730A"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353013A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3,617 </w:t>
            </w:r>
          </w:p>
        </w:tc>
        <w:tc>
          <w:tcPr>
            <w:tcW w:w="1061" w:type="dxa"/>
            <w:shd w:val="clear" w:color="auto" w:fill="auto"/>
            <w:noWrap/>
            <w:vAlign w:val="center"/>
            <w:hideMark/>
          </w:tcPr>
          <w:p w14:paraId="106F09B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0ED5A59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4 </w:t>
            </w:r>
          </w:p>
        </w:tc>
        <w:tc>
          <w:tcPr>
            <w:tcW w:w="987" w:type="dxa"/>
            <w:shd w:val="clear" w:color="auto" w:fill="auto"/>
            <w:noWrap/>
            <w:vAlign w:val="center"/>
            <w:hideMark/>
          </w:tcPr>
          <w:p w14:paraId="353DD34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34" w:type="dxa"/>
            <w:shd w:val="clear" w:color="auto" w:fill="auto"/>
            <w:noWrap/>
            <w:vAlign w:val="center"/>
            <w:hideMark/>
          </w:tcPr>
          <w:p w14:paraId="1FDFA46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33,848 </w:t>
            </w:r>
          </w:p>
        </w:tc>
      </w:tr>
      <w:tr w:rsidR="003E5BF5" w:rsidRPr="0029213D" w14:paraId="09BDF203" w14:textId="77777777" w:rsidTr="008E16CB">
        <w:trPr>
          <w:trHeight w:val="340"/>
        </w:trPr>
        <w:tc>
          <w:tcPr>
            <w:tcW w:w="3561" w:type="dxa"/>
            <w:shd w:val="clear" w:color="auto" w:fill="auto"/>
            <w:noWrap/>
            <w:vAlign w:val="center"/>
            <w:hideMark/>
          </w:tcPr>
          <w:p w14:paraId="0BE929A7" w14:textId="77777777" w:rsidR="003E5BF5" w:rsidRPr="0029213D" w:rsidRDefault="003E5BF5" w:rsidP="00DE1921">
            <w:pPr>
              <w:rPr>
                <w:rFonts w:ascii="Arial" w:hAnsi="Arial" w:cs="Arial"/>
                <w:sz w:val="24"/>
                <w:szCs w:val="24"/>
              </w:rPr>
            </w:pPr>
            <w:r w:rsidRPr="0029213D">
              <w:rPr>
                <w:rFonts w:ascii="Arial" w:hAnsi="Arial" w:cs="Arial"/>
                <w:sz w:val="24"/>
                <w:szCs w:val="24"/>
              </w:rPr>
              <w:t>Appropriations - payments made on behalf of the State</w:t>
            </w:r>
          </w:p>
        </w:tc>
        <w:tc>
          <w:tcPr>
            <w:tcW w:w="1060" w:type="dxa"/>
            <w:shd w:val="clear" w:color="auto" w:fill="auto"/>
            <w:noWrap/>
            <w:hideMark/>
          </w:tcPr>
          <w:p w14:paraId="0AEFAC7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hideMark/>
          </w:tcPr>
          <w:p w14:paraId="27B8C918"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1" w:type="dxa"/>
            <w:shd w:val="clear" w:color="auto" w:fill="auto"/>
            <w:noWrap/>
            <w:hideMark/>
          </w:tcPr>
          <w:p w14:paraId="77077276"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hideMark/>
          </w:tcPr>
          <w:p w14:paraId="73BF036A"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87" w:type="dxa"/>
            <w:shd w:val="clear" w:color="auto" w:fill="auto"/>
            <w:noWrap/>
            <w:hideMark/>
          </w:tcPr>
          <w:p w14:paraId="01F2DEB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34" w:type="dxa"/>
            <w:shd w:val="clear" w:color="auto" w:fill="auto"/>
            <w:noWrap/>
            <w:hideMark/>
          </w:tcPr>
          <w:p w14:paraId="5D57BB6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34,778 </w:t>
            </w:r>
          </w:p>
        </w:tc>
      </w:tr>
      <w:tr w:rsidR="003E5BF5" w:rsidRPr="0029213D" w14:paraId="3522CA59" w14:textId="77777777" w:rsidTr="008E16CB">
        <w:trPr>
          <w:trHeight w:val="340"/>
        </w:trPr>
        <w:tc>
          <w:tcPr>
            <w:tcW w:w="3561" w:type="dxa"/>
            <w:shd w:val="clear" w:color="auto" w:fill="auto"/>
            <w:noWrap/>
            <w:vAlign w:val="center"/>
            <w:hideMark/>
          </w:tcPr>
          <w:p w14:paraId="56FA040D" w14:textId="77777777" w:rsidR="003E5BF5" w:rsidRPr="0029213D" w:rsidRDefault="003E5BF5" w:rsidP="00DE1921">
            <w:pPr>
              <w:rPr>
                <w:rFonts w:ascii="Arial" w:hAnsi="Arial" w:cs="Arial"/>
                <w:sz w:val="24"/>
                <w:szCs w:val="24"/>
              </w:rPr>
            </w:pPr>
            <w:r w:rsidRPr="0029213D">
              <w:rPr>
                <w:rFonts w:ascii="Arial" w:hAnsi="Arial" w:cs="Arial"/>
                <w:sz w:val="24"/>
                <w:szCs w:val="24"/>
              </w:rPr>
              <w:t>Royalties</w:t>
            </w:r>
          </w:p>
        </w:tc>
        <w:tc>
          <w:tcPr>
            <w:tcW w:w="1060" w:type="dxa"/>
            <w:shd w:val="clear" w:color="auto" w:fill="auto"/>
            <w:noWrap/>
            <w:vAlign w:val="center"/>
            <w:hideMark/>
          </w:tcPr>
          <w:p w14:paraId="507A51F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7FA687FA"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1" w:type="dxa"/>
            <w:shd w:val="clear" w:color="auto" w:fill="auto"/>
            <w:noWrap/>
            <w:vAlign w:val="center"/>
            <w:hideMark/>
          </w:tcPr>
          <w:p w14:paraId="32BB849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5ED9AD87"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87" w:type="dxa"/>
            <w:shd w:val="clear" w:color="auto" w:fill="auto"/>
            <w:noWrap/>
            <w:vAlign w:val="center"/>
            <w:hideMark/>
          </w:tcPr>
          <w:p w14:paraId="5FE301B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34" w:type="dxa"/>
            <w:shd w:val="clear" w:color="auto" w:fill="auto"/>
            <w:noWrap/>
            <w:vAlign w:val="center"/>
            <w:hideMark/>
          </w:tcPr>
          <w:p w14:paraId="22C6868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49,835 </w:t>
            </w:r>
          </w:p>
        </w:tc>
      </w:tr>
      <w:tr w:rsidR="003E5BF5" w:rsidRPr="0029213D" w14:paraId="013598B8" w14:textId="77777777" w:rsidTr="008E16CB">
        <w:trPr>
          <w:trHeight w:val="340"/>
        </w:trPr>
        <w:tc>
          <w:tcPr>
            <w:tcW w:w="3561" w:type="dxa"/>
            <w:shd w:val="clear" w:color="auto" w:fill="auto"/>
            <w:noWrap/>
            <w:vAlign w:val="center"/>
            <w:hideMark/>
          </w:tcPr>
          <w:p w14:paraId="12B976C0" w14:textId="77777777" w:rsidR="003E5BF5" w:rsidRPr="0029213D" w:rsidRDefault="003E5BF5" w:rsidP="00DE1921">
            <w:pPr>
              <w:rPr>
                <w:rFonts w:ascii="Arial" w:hAnsi="Arial" w:cs="Arial"/>
                <w:sz w:val="24"/>
                <w:szCs w:val="24"/>
              </w:rPr>
            </w:pPr>
            <w:r w:rsidRPr="0029213D">
              <w:rPr>
                <w:rFonts w:ascii="Arial" w:hAnsi="Arial" w:cs="Arial"/>
                <w:sz w:val="24"/>
                <w:szCs w:val="24"/>
              </w:rPr>
              <w:t>Other income</w:t>
            </w:r>
          </w:p>
        </w:tc>
        <w:tc>
          <w:tcPr>
            <w:tcW w:w="1060" w:type="dxa"/>
            <w:shd w:val="clear" w:color="auto" w:fill="auto"/>
            <w:noWrap/>
            <w:vAlign w:val="center"/>
            <w:hideMark/>
          </w:tcPr>
          <w:p w14:paraId="700D62F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4C9B697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16 </w:t>
            </w:r>
          </w:p>
        </w:tc>
        <w:tc>
          <w:tcPr>
            <w:tcW w:w="1061" w:type="dxa"/>
            <w:shd w:val="clear" w:color="auto" w:fill="auto"/>
            <w:noWrap/>
            <w:vAlign w:val="center"/>
            <w:hideMark/>
          </w:tcPr>
          <w:p w14:paraId="0128CC53"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15334F7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 </w:t>
            </w:r>
          </w:p>
        </w:tc>
        <w:tc>
          <w:tcPr>
            <w:tcW w:w="987" w:type="dxa"/>
            <w:shd w:val="clear" w:color="auto" w:fill="auto"/>
            <w:noWrap/>
            <w:vAlign w:val="center"/>
            <w:hideMark/>
          </w:tcPr>
          <w:p w14:paraId="6C7B59D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34" w:type="dxa"/>
            <w:shd w:val="clear" w:color="auto" w:fill="auto"/>
            <w:noWrap/>
            <w:vAlign w:val="center"/>
            <w:hideMark/>
          </w:tcPr>
          <w:p w14:paraId="5333B1B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239 </w:t>
            </w:r>
          </w:p>
        </w:tc>
      </w:tr>
      <w:tr w:rsidR="003E5BF5" w:rsidRPr="0029213D" w14:paraId="5A4B7800" w14:textId="77777777" w:rsidTr="008E16CB">
        <w:trPr>
          <w:trHeight w:val="340"/>
        </w:trPr>
        <w:tc>
          <w:tcPr>
            <w:tcW w:w="3561" w:type="dxa"/>
            <w:shd w:val="clear" w:color="auto" w:fill="auto"/>
            <w:noWrap/>
            <w:vAlign w:val="center"/>
            <w:hideMark/>
          </w:tcPr>
          <w:p w14:paraId="00307927" w14:textId="77777777" w:rsidR="003E5BF5" w:rsidRPr="0029213D" w:rsidRDefault="003E5BF5" w:rsidP="00DE1921">
            <w:pPr>
              <w:rPr>
                <w:rFonts w:ascii="Arial" w:hAnsi="Arial" w:cs="Arial"/>
                <w:sz w:val="24"/>
                <w:szCs w:val="24"/>
              </w:rPr>
            </w:pPr>
            <w:r w:rsidRPr="0029213D">
              <w:rPr>
                <w:rFonts w:ascii="Arial" w:hAnsi="Arial" w:cs="Arial"/>
                <w:sz w:val="24"/>
                <w:szCs w:val="24"/>
              </w:rPr>
              <w:t>Statutory fines</w:t>
            </w:r>
          </w:p>
        </w:tc>
        <w:tc>
          <w:tcPr>
            <w:tcW w:w="1060" w:type="dxa"/>
            <w:shd w:val="clear" w:color="auto" w:fill="auto"/>
            <w:noWrap/>
            <w:vAlign w:val="center"/>
            <w:hideMark/>
          </w:tcPr>
          <w:p w14:paraId="5EA48A6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695DC64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1" w:type="dxa"/>
            <w:shd w:val="clear" w:color="auto" w:fill="auto"/>
            <w:noWrap/>
            <w:vAlign w:val="center"/>
            <w:hideMark/>
          </w:tcPr>
          <w:p w14:paraId="4D8D4D3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40D91220"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87" w:type="dxa"/>
            <w:shd w:val="clear" w:color="auto" w:fill="auto"/>
            <w:noWrap/>
            <w:vAlign w:val="center"/>
            <w:hideMark/>
          </w:tcPr>
          <w:p w14:paraId="62991DD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34" w:type="dxa"/>
            <w:shd w:val="clear" w:color="auto" w:fill="auto"/>
            <w:noWrap/>
            <w:vAlign w:val="center"/>
            <w:hideMark/>
          </w:tcPr>
          <w:p w14:paraId="271B384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 </w:t>
            </w:r>
          </w:p>
        </w:tc>
      </w:tr>
      <w:tr w:rsidR="003E5BF5" w:rsidRPr="0029213D" w14:paraId="7FABDA91" w14:textId="77777777" w:rsidTr="008E16CB">
        <w:trPr>
          <w:trHeight w:val="340"/>
        </w:trPr>
        <w:tc>
          <w:tcPr>
            <w:tcW w:w="3561" w:type="dxa"/>
            <w:shd w:val="clear" w:color="auto" w:fill="auto"/>
            <w:noWrap/>
            <w:vAlign w:val="center"/>
            <w:hideMark/>
          </w:tcPr>
          <w:p w14:paraId="1C478147" w14:textId="77777777" w:rsidR="003E5BF5" w:rsidRPr="0029213D" w:rsidRDefault="003E5BF5" w:rsidP="00DE1921">
            <w:pPr>
              <w:rPr>
                <w:rFonts w:ascii="Arial" w:hAnsi="Arial" w:cs="Arial"/>
                <w:sz w:val="24"/>
                <w:szCs w:val="24"/>
              </w:rPr>
            </w:pPr>
            <w:r w:rsidRPr="0029213D">
              <w:rPr>
                <w:rFonts w:ascii="Arial" w:hAnsi="Arial" w:cs="Arial"/>
                <w:sz w:val="24"/>
                <w:szCs w:val="24"/>
              </w:rPr>
              <w:t>Regulatory fees, fines, leases and licences</w:t>
            </w:r>
          </w:p>
        </w:tc>
        <w:tc>
          <w:tcPr>
            <w:tcW w:w="1060" w:type="dxa"/>
            <w:shd w:val="clear" w:color="auto" w:fill="auto"/>
            <w:noWrap/>
            <w:hideMark/>
          </w:tcPr>
          <w:p w14:paraId="7E373C2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hideMark/>
          </w:tcPr>
          <w:p w14:paraId="280ADF2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10 </w:t>
            </w:r>
          </w:p>
        </w:tc>
        <w:tc>
          <w:tcPr>
            <w:tcW w:w="1061" w:type="dxa"/>
            <w:shd w:val="clear" w:color="auto" w:fill="auto"/>
            <w:noWrap/>
            <w:hideMark/>
          </w:tcPr>
          <w:p w14:paraId="441FF6A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hideMark/>
          </w:tcPr>
          <w:p w14:paraId="1945EE1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 </w:t>
            </w:r>
          </w:p>
        </w:tc>
        <w:tc>
          <w:tcPr>
            <w:tcW w:w="987" w:type="dxa"/>
            <w:shd w:val="clear" w:color="auto" w:fill="auto"/>
            <w:noWrap/>
            <w:hideMark/>
          </w:tcPr>
          <w:p w14:paraId="2ACC7DA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34" w:type="dxa"/>
            <w:shd w:val="clear" w:color="auto" w:fill="auto"/>
            <w:noWrap/>
            <w:hideMark/>
          </w:tcPr>
          <w:p w14:paraId="01FDC64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3,578 </w:t>
            </w:r>
          </w:p>
        </w:tc>
      </w:tr>
      <w:tr w:rsidR="003E5BF5" w:rsidRPr="0029213D" w14:paraId="5C70BF43" w14:textId="77777777" w:rsidTr="008E16CB">
        <w:trPr>
          <w:trHeight w:val="340"/>
        </w:trPr>
        <w:tc>
          <w:tcPr>
            <w:tcW w:w="3561" w:type="dxa"/>
            <w:shd w:val="clear" w:color="auto" w:fill="auto"/>
            <w:noWrap/>
            <w:vAlign w:val="center"/>
            <w:hideMark/>
          </w:tcPr>
          <w:p w14:paraId="7EECF1E6" w14:textId="77777777" w:rsidR="003E5BF5" w:rsidRPr="0029213D" w:rsidRDefault="003E5BF5" w:rsidP="00DE1921">
            <w:pPr>
              <w:rPr>
                <w:rFonts w:ascii="Arial" w:hAnsi="Arial" w:cs="Arial"/>
                <w:sz w:val="24"/>
                <w:szCs w:val="24"/>
              </w:rPr>
            </w:pPr>
            <w:r w:rsidRPr="0029213D">
              <w:rPr>
                <w:rFonts w:ascii="Arial" w:hAnsi="Arial" w:cs="Arial"/>
                <w:sz w:val="24"/>
                <w:szCs w:val="24"/>
              </w:rPr>
              <w:t>Interest income</w:t>
            </w:r>
          </w:p>
        </w:tc>
        <w:tc>
          <w:tcPr>
            <w:tcW w:w="1060" w:type="dxa"/>
            <w:shd w:val="clear" w:color="auto" w:fill="auto"/>
            <w:noWrap/>
            <w:vAlign w:val="center"/>
            <w:hideMark/>
          </w:tcPr>
          <w:p w14:paraId="6308F3D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697EB573"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1" w:type="dxa"/>
            <w:shd w:val="clear" w:color="auto" w:fill="auto"/>
            <w:noWrap/>
            <w:vAlign w:val="center"/>
            <w:hideMark/>
          </w:tcPr>
          <w:p w14:paraId="3D03E7C7"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59DF7F74"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87" w:type="dxa"/>
            <w:shd w:val="clear" w:color="auto" w:fill="auto"/>
            <w:noWrap/>
            <w:vAlign w:val="center"/>
            <w:hideMark/>
          </w:tcPr>
          <w:p w14:paraId="6E296DE3"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34" w:type="dxa"/>
            <w:shd w:val="clear" w:color="auto" w:fill="auto"/>
            <w:noWrap/>
            <w:vAlign w:val="center"/>
            <w:hideMark/>
          </w:tcPr>
          <w:p w14:paraId="46699B1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2,748 </w:t>
            </w:r>
          </w:p>
        </w:tc>
      </w:tr>
      <w:tr w:rsidR="003E5BF5" w:rsidRPr="0029213D" w14:paraId="7C78D9C9" w14:textId="77777777" w:rsidTr="008E16CB">
        <w:trPr>
          <w:trHeight w:val="340"/>
        </w:trPr>
        <w:tc>
          <w:tcPr>
            <w:tcW w:w="3561" w:type="dxa"/>
            <w:shd w:val="clear" w:color="auto" w:fill="auto"/>
            <w:noWrap/>
            <w:vAlign w:val="center"/>
            <w:hideMark/>
          </w:tcPr>
          <w:p w14:paraId="6C6666B9"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income from transactions</w:t>
            </w:r>
          </w:p>
        </w:tc>
        <w:tc>
          <w:tcPr>
            <w:tcW w:w="1060" w:type="dxa"/>
            <w:shd w:val="clear" w:color="auto" w:fill="auto"/>
            <w:noWrap/>
            <w:hideMark/>
          </w:tcPr>
          <w:p w14:paraId="2F7FAAF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4FCD8A0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3,643 </w:t>
            </w:r>
          </w:p>
        </w:tc>
        <w:tc>
          <w:tcPr>
            <w:tcW w:w="1061" w:type="dxa"/>
            <w:shd w:val="clear" w:color="auto" w:fill="auto"/>
            <w:noWrap/>
            <w:hideMark/>
          </w:tcPr>
          <w:p w14:paraId="1B3554B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6800857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7 </w:t>
            </w:r>
          </w:p>
        </w:tc>
        <w:tc>
          <w:tcPr>
            <w:tcW w:w="987" w:type="dxa"/>
            <w:shd w:val="clear" w:color="auto" w:fill="auto"/>
            <w:noWrap/>
            <w:hideMark/>
          </w:tcPr>
          <w:p w14:paraId="770DFA67"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134" w:type="dxa"/>
            <w:shd w:val="clear" w:color="auto" w:fill="auto"/>
            <w:noWrap/>
            <w:hideMark/>
          </w:tcPr>
          <w:p w14:paraId="6E4C342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125,032 </w:t>
            </w:r>
          </w:p>
        </w:tc>
      </w:tr>
      <w:tr w:rsidR="003E5BF5" w:rsidRPr="0029213D" w14:paraId="685E347C" w14:textId="77777777" w:rsidTr="008E16CB">
        <w:trPr>
          <w:trHeight w:val="340"/>
        </w:trPr>
        <w:tc>
          <w:tcPr>
            <w:tcW w:w="3561" w:type="dxa"/>
            <w:shd w:val="clear" w:color="auto" w:fill="auto"/>
            <w:noWrap/>
            <w:vAlign w:val="center"/>
            <w:hideMark/>
          </w:tcPr>
          <w:p w14:paraId="4347E157" w14:textId="77777777" w:rsidR="003E5BF5" w:rsidRPr="0029213D" w:rsidRDefault="003E5BF5" w:rsidP="00604703">
            <w:pPr>
              <w:pStyle w:val="TableTextGreen"/>
            </w:pPr>
            <w:r w:rsidRPr="0029213D">
              <w:t>Administered expenses from transactions</w:t>
            </w:r>
          </w:p>
        </w:tc>
        <w:tc>
          <w:tcPr>
            <w:tcW w:w="1060" w:type="dxa"/>
            <w:shd w:val="clear" w:color="auto" w:fill="auto"/>
            <w:noWrap/>
            <w:vAlign w:val="center"/>
            <w:hideMark/>
          </w:tcPr>
          <w:p w14:paraId="379CA10B" w14:textId="77777777" w:rsidR="003E5BF5" w:rsidRPr="0029213D" w:rsidRDefault="003E5BF5" w:rsidP="00DE1921">
            <w:pPr>
              <w:jc w:val="right"/>
              <w:rPr>
                <w:rFonts w:ascii="Arial" w:hAnsi="Arial" w:cs="Arial"/>
                <w:sz w:val="24"/>
                <w:szCs w:val="24"/>
              </w:rPr>
            </w:pPr>
          </w:p>
        </w:tc>
        <w:tc>
          <w:tcPr>
            <w:tcW w:w="1060" w:type="dxa"/>
            <w:shd w:val="clear" w:color="auto" w:fill="auto"/>
            <w:noWrap/>
            <w:vAlign w:val="center"/>
            <w:hideMark/>
          </w:tcPr>
          <w:p w14:paraId="0EDB060E" w14:textId="77777777" w:rsidR="003E5BF5" w:rsidRPr="0029213D" w:rsidRDefault="003E5BF5" w:rsidP="00DE1921">
            <w:pPr>
              <w:jc w:val="right"/>
              <w:rPr>
                <w:rFonts w:ascii="Arial" w:hAnsi="Arial" w:cs="Arial"/>
                <w:sz w:val="24"/>
                <w:szCs w:val="24"/>
              </w:rPr>
            </w:pPr>
          </w:p>
        </w:tc>
        <w:tc>
          <w:tcPr>
            <w:tcW w:w="1061" w:type="dxa"/>
            <w:shd w:val="clear" w:color="auto" w:fill="auto"/>
            <w:noWrap/>
            <w:vAlign w:val="center"/>
            <w:hideMark/>
          </w:tcPr>
          <w:p w14:paraId="0383FF83" w14:textId="77777777" w:rsidR="003E5BF5" w:rsidRPr="0029213D" w:rsidRDefault="003E5BF5" w:rsidP="00DE1921">
            <w:pPr>
              <w:jc w:val="right"/>
              <w:rPr>
                <w:rFonts w:ascii="Arial" w:hAnsi="Arial" w:cs="Arial"/>
                <w:sz w:val="24"/>
                <w:szCs w:val="24"/>
              </w:rPr>
            </w:pPr>
          </w:p>
        </w:tc>
        <w:tc>
          <w:tcPr>
            <w:tcW w:w="1060" w:type="dxa"/>
            <w:shd w:val="clear" w:color="auto" w:fill="auto"/>
            <w:noWrap/>
            <w:vAlign w:val="center"/>
            <w:hideMark/>
          </w:tcPr>
          <w:p w14:paraId="79EDEF72" w14:textId="77777777" w:rsidR="003E5BF5" w:rsidRPr="0029213D" w:rsidRDefault="003E5BF5" w:rsidP="00DE1921">
            <w:pPr>
              <w:jc w:val="right"/>
              <w:rPr>
                <w:rFonts w:ascii="Arial" w:hAnsi="Arial" w:cs="Arial"/>
                <w:sz w:val="24"/>
                <w:szCs w:val="24"/>
              </w:rPr>
            </w:pPr>
          </w:p>
        </w:tc>
        <w:tc>
          <w:tcPr>
            <w:tcW w:w="987" w:type="dxa"/>
            <w:shd w:val="clear" w:color="auto" w:fill="auto"/>
            <w:noWrap/>
            <w:vAlign w:val="center"/>
            <w:hideMark/>
          </w:tcPr>
          <w:p w14:paraId="3807E4B9" w14:textId="77777777" w:rsidR="003E5BF5" w:rsidRPr="0029213D" w:rsidRDefault="003E5BF5" w:rsidP="00DE1921">
            <w:pPr>
              <w:jc w:val="right"/>
              <w:rPr>
                <w:rFonts w:ascii="Arial" w:hAnsi="Arial" w:cs="Arial"/>
                <w:sz w:val="24"/>
                <w:szCs w:val="24"/>
              </w:rPr>
            </w:pPr>
          </w:p>
        </w:tc>
        <w:tc>
          <w:tcPr>
            <w:tcW w:w="1134" w:type="dxa"/>
            <w:shd w:val="clear" w:color="auto" w:fill="auto"/>
            <w:noWrap/>
            <w:vAlign w:val="center"/>
            <w:hideMark/>
          </w:tcPr>
          <w:p w14:paraId="21DE4DDF" w14:textId="77777777" w:rsidR="003E5BF5" w:rsidRPr="0029213D" w:rsidRDefault="003E5BF5" w:rsidP="00DE1921">
            <w:pPr>
              <w:jc w:val="right"/>
              <w:rPr>
                <w:rFonts w:ascii="Arial" w:hAnsi="Arial" w:cs="Arial"/>
                <w:sz w:val="24"/>
                <w:szCs w:val="24"/>
              </w:rPr>
            </w:pPr>
          </w:p>
        </w:tc>
      </w:tr>
      <w:tr w:rsidR="003E5BF5" w:rsidRPr="0029213D" w14:paraId="0D0E1D42" w14:textId="77777777" w:rsidTr="008E16CB">
        <w:trPr>
          <w:trHeight w:val="340"/>
        </w:trPr>
        <w:tc>
          <w:tcPr>
            <w:tcW w:w="3561" w:type="dxa"/>
            <w:shd w:val="clear" w:color="auto" w:fill="auto"/>
            <w:noWrap/>
            <w:vAlign w:val="center"/>
            <w:hideMark/>
          </w:tcPr>
          <w:p w14:paraId="01105609" w14:textId="77777777" w:rsidR="003E5BF5" w:rsidRPr="0029213D" w:rsidRDefault="003E5BF5" w:rsidP="00DE1921">
            <w:pPr>
              <w:rPr>
                <w:rFonts w:ascii="Arial" w:hAnsi="Arial" w:cs="Arial"/>
                <w:sz w:val="24"/>
                <w:szCs w:val="24"/>
              </w:rPr>
            </w:pPr>
            <w:r w:rsidRPr="0029213D">
              <w:rPr>
                <w:rFonts w:ascii="Arial" w:hAnsi="Arial" w:cs="Arial"/>
                <w:sz w:val="24"/>
                <w:szCs w:val="24"/>
              </w:rPr>
              <w:t>Payments into Consolidated Fund</w:t>
            </w:r>
          </w:p>
        </w:tc>
        <w:tc>
          <w:tcPr>
            <w:tcW w:w="1060" w:type="dxa"/>
            <w:shd w:val="clear" w:color="auto" w:fill="auto"/>
            <w:noWrap/>
            <w:vAlign w:val="center"/>
            <w:hideMark/>
          </w:tcPr>
          <w:p w14:paraId="6AC15AB4"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16C1978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(4,553)</w:t>
            </w:r>
          </w:p>
        </w:tc>
        <w:tc>
          <w:tcPr>
            <w:tcW w:w="1061" w:type="dxa"/>
            <w:shd w:val="clear" w:color="auto" w:fill="auto"/>
            <w:noWrap/>
            <w:vAlign w:val="center"/>
            <w:hideMark/>
          </w:tcPr>
          <w:p w14:paraId="1BDE6604"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3DFC70B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(60)</w:t>
            </w:r>
          </w:p>
        </w:tc>
        <w:tc>
          <w:tcPr>
            <w:tcW w:w="987" w:type="dxa"/>
            <w:shd w:val="clear" w:color="auto" w:fill="auto"/>
            <w:noWrap/>
            <w:vAlign w:val="center"/>
            <w:hideMark/>
          </w:tcPr>
          <w:p w14:paraId="187DA880"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34" w:type="dxa"/>
            <w:shd w:val="clear" w:color="auto" w:fill="auto"/>
            <w:noWrap/>
            <w:vAlign w:val="center"/>
            <w:hideMark/>
          </w:tcPr>
          <w:p w14:paraId="27B605E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(173,284)</w:t>
            </w:r>
          </w:p>
        </w:tc>
      </w:tr>
      <w:tr w:rsidR="003E5BF5" w:rsidRPr="0029213D" w14:paraId="4FC333FB" w14:textId="77777777" w:rsidTr="008E16CB">
        <w:trPr>
          <w:trHeight w:val="340"/>
        </w:trPr>
        <w:tc>
          <w:tcPr>
            <w:tcW w:w="3561" w:type="dxa"/>
            <w:shd w:val="clear" w:color="auto" w:fill="auto"/>
            <w:noWrap/>
            <w:vAlign w:val="center"/>
            <w:hideMark/>
          </w:tcPr>
          <w:p w14:paraId="71851D61" w14:textId="77777777" w:rsidR="003E5BF5" w:rsidRPr="0029213D" w:rsidRDefault="003E5BF5" w:rsidP="00DE1921">
            <w:pPr>
              <w:rPr>
                <w:rFonts w:ascii="Arial" w:hAnsi="Arial" w:cs="Arial"/>
                <w:sz w:val="24"/>
                <w:szCs w:val="24"/>
              </w:rPr>
            </w:pPr>
            <w:r w:rsidRPr="0029213D">
              <w:rPr>
                <w:rFonts w:ascii="Arial" w:hAnsi="Arial" w:cs="Arial"/>
                <w:sz w:val="24"/>
                <w:szCs w:val="24"/>
              </w:rPr>
              <w:t>Interest expense</w:t>
            </w:r>
          </w:p>
        </w:tc>
        <w:tc>
          <w:tcPr>
            <w:tcW w:w="1060" w:type="dxa"/>
            <w:shd w:val="clear" w:color="auto" w:fill="auto"/>
            <w:noWrap/>
            <w:vAlign w:val="center"/>
            <w:hideMark/>
          </w:tcPr>
          <w:p w14:paraId="1AC4F91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1195B683"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1" w:type="dxa"/>
            <w:shd w:val="clear" w:color="auto" w:fill="auto"/>
            <w:noWrap/>
            <w:vAlign w:val="center"/>
            <w:hideMark/>
          </w:tcPr>
          <w:p w14:paraId="3787856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6516652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87" w:type="dxa"/>
            <w:shd w:val="clear" w:color="auto" w:fill="auto"/>
            <w:noWrap/>
            <w:vAlign w:val="center"/>
            <w:hideMark/>
          </w:tcPr>
          <w:p w14:paraId="2733C970"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34" w:type="dxa"/>
            <w:shd w:val="clear" w:color="auto" w:fill="auto"/>
            <w:noWrap/>
            <w:vAlign w:val="center"/>
            <w:hideMark/>
          </w:tcPr>
          <w:p w14:paraId="08C3849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(19,843)</w:t>
            </w:r>
          </w:p>
        </w:tc>
      </w:tr>
      <w:tr w:rsidR="003E5BF5" w:rsidRPr="0029213D" w14:paraId="4212140D" w14:textId="77777777" w:rsidTr="008E16CB">
        <w:trPr>
          <w:trHeight w:val="340"/>
        </w:trPr>
        <w:tc>
          <w:tcPr>
            <w:tcW w:w="3561" w:type="dxa"/>
            <w:shd w:val="clear" w:color="auto" w:fill="auto"/>
            <w:noWrap/>
            <w:vAlign w:val="center"/>
            <w:hideMark/>
          </w:tcPr>
          <w:p w14:paraId="0EADFFD3" w14:textId="77777777" w:rsidR="003E5BF5" w:rsidRPr="0029213D" w:rsidRDefault="003E5BF5" w:rsidP="00DE1921">
            <w:pPr>
              <w:rPr>
                <w:rFonts w:ascii="Arial" w:hAnsi="Arial" w:cs="Arial"/>
                <w:sz w:val="24"/>
                <w:szCs w:val="24"/>
              </w:rPr>
            </w:pPr>
            <w:r w:rsidRPr="0029213D">
              <w:rPr>
                <w:rFonts w:ascii="Arial" w:hAnsi="Arial" w:cs="Arial"/>
                <w:sz w:val="24"/>
                <w:szCs w:val="24"/>
              </w:rPr>
              <w:t>Other expenses</w:t>
            </w:r>
          </w:p>
        </w:tc>
        <w:tc>
          <w:tcPr>
            <w:tcW w:w="1060" w:type="dxa"/>
            <w:shd w:val="clear" w:color="auto" w:fill="auto"/>
            <w:noWrap/>
            <w:vAlign w:val="center"/>
            <w:hideMark/>
          </w:tcPr>
          <w:p w14:paraId="443BFAB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4C0F5AF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(29)</w:t>
            </w:r>
          </w:p>
        </w:tc>
        <w:tc>
          <w:tcPr>
            <w:tcW w:w="1061" w:type="dxa"/>
            <w:shd w:val="clear" w:color="auto" w:fill="auto"/>
            <w:noWrap/>
            <w:vAlign w:val="center"/>
            <w:hideMark/>
          </w:tcPr>
          <w:p w14:paraId="04216696"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10694C7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(3)</w:t>
            </w:r>
          </w:p>
        </w:tc>
        <w:tc>
          <w:tcPr>
            <w:tcW w:w="987" w:type="dxa"/>
            <w:shd w:val="clear" w:color="auto" w:fill="auto"/>
            <w:noWrap/>
            <w:vAlign w:val="center"/>
            <w:hideMark/>
          </w:tcPr>
          <w:p w14:paraId="32A6CE51"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34" w:type="dxa"/>
            <w:shd w:val="clear" w:color="auto" w:fill="auto"/>
            <w:noWrap/>
            <w:vAlign w:val="center"/>
            <w:hideMark/>
          </w:tcPr>
          <w:p w14:paraId="4445BA8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(11,989)</w:t>
            </w:r>
          </w:p>
        </w:tc>
      </w:tr>
      <w:tr w:rsidR="003E5BF5" w:rsidRPr="0029213D" w14:paraId="6B3D47FE" w14:textId="77777777" w:rsidTr="008E16CB">
        <w:trPr>
          <w:trHeight w:val="340"/>
        </w:trPr>
        <w:tc>
          <w:tcPr>
            <w:tcW w:w="3561" w:type="dxa"/>
            <w:shd w:val="clear" w:color="auto" w:fill="auto"/>
            <w:noWrap/>
            <w:vAlign w:val="center"/>
            <w:hideMark/>
          </w:tcPr>
          <w:p w14:paraId="4A982158"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expenses from transactions</w:t>
            </w:r>
          </w:p>
        </w:tc>
        <w:tc>
          <w:tcPr>
            <w:tcW w:w="1060" w:type="dxa"/>
            <w:shd w:val="clear" w:color="auto" w:fill="auto"/>
            <w:noWrap/>
            <w:hideMark/>
          </w:tcPr>
          <w:p w14:paraId="4944190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5480857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(4,582)</w:t>
            </w:r>
          </w:p>
        </w:tc>
        <w:tc>
          <w:tcPr>
            <w:tcW w:w="1061" w:type="dxa"/>
            <w:shd w:val="clear" w:color="auto" w:fill="auto"/>
            <w:noWrap/>
            <w:hideMark/>
          </w:tcPr>
          <w:p w14:paraId="618C3BD5"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5BE036E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(63)</w:t>
            </w:r>
          </w:p>
        </w:tc>
        <w:tc>
          <w:tcPr>
            <w:tcW w:w="987" w:type="dxa"/>
            <w:shd w:val="clear" w:color="auto" w:fill="auto"/>
            <w:noWrap/>
            <w:hideMark/>
          </w:tcPr>
          <w:p w14:paraId="43A7955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134" w:type="dxa"/>
            <w:shd w:val="clear" w:color="auto" w:fill="auto"/>
            <w:noWrap/>
            <w:hideMark/>
          </w:tcPr>
          <w:p w14:paraId="0F19C8E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(205,116)</w:t>
            </w:r>
          </w:p>
        </w:tc>
      </w:tr>
      <w:tr w:rsidR="003E5BF5" w:rsidRPr="0029213D" w14:paraId="1DEDE5C3" w14:textId="77777777" w:rsidTr="008E16CB">
        <w:trPr>
          <w:trHeight w:val="340"/>
        </w:trPr>
        <w:tc>
          <w:tcPr>
            <w:tcW w:w="3561" w:type="dxa"/>
            <w:shd w:val="clear" w:color="auto" w:fill="auto"/>
            <w:noWrap/>
            <w:vAlign w:val="center"/>
            <w:hideMark/>
          </w:tcPr>
          <w:p w14:paraId="28FFC1B4"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net result from transactions</w:t>
            </w:r>
          </w:p>
        </w:tc>
        <w:tc>
          <w:tcPr>
            <w:tcW w:w="1060" w:type="dxa"/>
            <w:shd w:val="clear" w:color="auto" w:fill="auto"/>
            <w:noWrap/>
            <w:hideMark/>
          </w:tcPr>
          <w:p w14:paraId="76B6D58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5F2B8725"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(939)</w:t>
            </w:r>
          </w:p>
        </w:tc>
        <w:tc>
          <w:tcPr>
            <w:tcW w:w="1061" w:type="dxa"/>
            <w:shd w:val="clear" w:color="auto" w:fill="auto"/>
            <w:noWrap/>
            <w:hideMark/>
          </w:tcPr>
          <w:p w14:paraId="23EC7946"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41F53C4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(56)</w:t>
            </w:r>
          </w:p>
        </w:tc>
        <w:tc>
          <w:tcPr>
            <w:tcW w:w="987" w:type="dxa"/>
            <w:shd w:val="clear" w:color="auto" w:fill="auto"/>
            <w:noWrap/>
            <w:hideMark/>
          </w:tcPr>
          <w:p w14:paraId="78178048"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134" w:type="dxa"/>
            <w:shd w:val="clear" w:color="auto" w:fill="auto"/>
            <w:noWrap/>
            <w:hideMark/>
          </w:tcPr>
          <w:p w14:paraId="38A14557"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(80,084)</w:t>
            </w:r>
          </w:p>
        </w:tc>
      </w:tr>
      <w:tr w:rsidR="003E5BF5" w:rsidRPr="0029213D" w14:paraId="29769F9E" w14:textId="77777777" w:rsidTr="008E16CB">
        <w:trPr>
          <w:trHeight w:val="340"/>
        </w:trPr>
        <w:tc>
          <w:tcPr>
            <w:tcW w:w="3561" w:type="dxa"/>
            <w:shd w:val="clear" w:color="auto" w:fill="auto"/>
            <w:noWrap/>
            <w:vAlign w:val="center"/>
            <w:hideMark/>
          </w:tcPr>
          <w:p w14:paraId="4A94246F" w14:textId="77777777" w:rsidR="003E5BF5" w:rsidRPr="0029213D" w:rsidRDefault="003E5BF5" w:rsidP="00DE1921">
            <w:pPr>
              <w:rPr>
                <w:rFonts w:ascii="Arial" w:hAnsi="Arial" w:cs="Arial"/>
                <w:b/>
                <w:sz w:val="24"/>
                <w:szCs w:val="24"/>
              </w:rPr>
            </w:pPr>
          </w:p>
        </w:tc>
        <w:tc>
          <w:tcPr>
            <w:tcW w:w="1060" w:type="dxa"/>
            <w:shd w:val="clear" w:color="auto" w:fill="auto"/>
            <w:noWrap/>
            <w:vAlign w:val="center"/>
            <w:hideMark/>
          </w:tcPr>
          <w:p w14:paraId="304691D0" w14:textId="77777777" w:rsidR="003E5BF5" w:rsidRPr="0029213D" w:rsidRDefault="003E5BF5" w:rsidP="00DE1921">
            <w:pPr>
              <w:jc w:val="right"/>
              <w:rPr>
                <w:rFonts w:ascii="Arial" w:hAnsi="Arial" w:cs="Arial"/>
                <w:b/>
                <w:sz w:val="24"/>
                <w:szCs w:val="24"/>
              </w:rPr>
            </w:pPr>
          </w:p>
        </w:tc>
        <w:tc>
          <w:tcPr>
            <w:tcW w:w="1060" w:type="dxa"/>
            <w:shd w:val="clear" w:color="auto" w:fill="auto"/>
            <w:noWrap/>
            <w:vAlign w:val="center"/>
            <w:hideMark/>
          </w:tcPr>
          <w:p w14:paraId="1E54AA16" w14:textId="77777777" w:rsidR="003E5BF5" w:rsidRPr="0029213D" w:rsidRDefault="003E5BF5" w:rsidP="00DE1921">
            <w:pPr>
              <w:jc w:val="right"/>
              <w:rPr>
                <w:rFonts w:ascii="Arial" w:hAnsi="Arial" w:cs="Arial"/>
                <w:b/>
                <w:sz w:val="24"/>
                <w:szCs w:val="24"/>
              </w:rPr>
            </w:pPr>
          </w:p>
        </w:tc>
        <w:tc>
          <w:tcPr>
            <w:tcW w:w="1061" w:type="dxa"/>
            <w:shd w:val="clear" w:color="auto" w:fill="auto"/>
            <w:noWrap/>
            <w:vAlign w:val="center"/>
            <w:hideMark/>
          </w:tcPr>
          <w:p w14:paraId="310DD972" w14:textId="77777777" w:rsidR="003E5BF5" w:rsidRPr="0029213D" w:rsidRDefault="003E5BF5" w:rsidP="00DE1921">
            <w:pPr>
              <w:jc w:val="right"/>
              <w:rPr>
                <w:rFonts w:ascii="Arial" w:hAnsi="Arial" w:cs="Arial"/>
                <w:b/>
                <w:sz w:val="24"/>
                <w:szCs w:val="24"/>
              </w:rPr>
            </w:pPr>
          </w:p>
        </w:tc>
        <w:tc>
          <w:tcPr>
            <w:tcW w:w="1060" w:type="dxa"/>
            <w:shd w:val="clear" w:color="auto" w:fill="auto"/>
            <w:noWrap/>
            <w:vAlign w:val="center"/>
            <w:hideMark/>
          </w:tcPr>
          <w:p w14:paraId="7B5BC0E1" w14:textId="77777777" w:rsidR="003E5BF5" w:rsidRPr="0029213D" w:rsidRDefault="003E5BF5" w:rsidP="00DE1921">
            <w:pPr>
              <w:jc w:val="right"/>
              <w:rPr>
                <w:rFonts w:ascii="Arial" w:hAnsi="Arial" w:cs="Arial"/>
                <w:b/>
                <w:sz w:val="24"/>
                <w:szCs w:val="24"/>
              </w:rPr>
            </w:pPr>
          </w:p>
        </w:tc>
        <w:tc>
          <w:tcPr>
            <w:tcW w:w="987" w:type="dxa"/>
            <w:shd w:val="clear" w:color="auto" w:fill="auto"/>
            <w:noWrap/>
            <w:vAlign w:val="center"/>
            <w:hideMark/>
          </w:tcPr>
          <w:p w14:paraId="0A03691C" w14:textId="77777777" w:rsidR="003E5BF5" w:rsidRPr="0029213D" w:rsidRDefault="003E5BF5" w:rsidP="00DE1921">
            <w:pPr>
              <w:jc w:val="right"/>
              <w:rPr>
                <w:rFonts w:ascii="Arial" w:hAnsi="Arial" w:cs="Arial"/>
                <w:b/>
                <w:sz w:val="24"/>
                <w:szCs w:val="24"/>
              </w:rPr>
            </w:pPr>
          </w:p>
        </w:tc>
        <w:tc>
          <w:tcPr>
            <w:tcW w:w="1134" w:type="dxa"/>
            <w:shd w:val="clear" w:color="auto" w:fill="auto"/>
            <w:noWrap/>
            <w:vAlign w:val="center"/>
            <w:hideMark/>
          </w:tcPr>
          <w:p w14:paraId="3FE403E8" w14:textId="77777777" w:rsidR="003E5BF5" w:rsidRPr="0029213D" w:rsidRDefault="003E5BF5" w:rsidP="00DE1921">
            <w:pPr>
              <w:jc w:val="right"/>
              <w:rPr>
                <w:rFonts w:ascii="Arial" w:hAnsi="Arial" w:cs="Arial"/>
                <w:b/>
                <w:sz w:val="24"/>
                <w:szCs w:val="24"/>
              </w:rPr>
            </w:pPr>
          </w:p>
        </w:tc>
      </w:tr>
      <w:tr w:rsidR="003E5BF5" w:rsidRPr="0029213D" w14:paraId="13263506" w14:textId="77777777" w:rsidTr="008E16CB">
        <w:trPr>
          <w:trHeight w:val="340"/>
        </w:trPr>
        <w:tc>
          <w:tcPr>
            <w:tcW w:w="3561" w:type="dxa"/>
            <w:shd w:val="clear" w:color="auto" w:fill="auto"/>
            <w:vAlign w:val="center"/>
            <w:hideMark/>
          </w:tcPr>
          <w:p w14:paraId="46D63D0D" w14:textId="77777777" w:rsidR="003E5BF5" w:rsidRPr="0029213D" w:rsidRDefault="003E5BF5" w:rsidP="00604703">
            <w:pPr>
              <w:pStyle w:val="TableTextGreen"/>
            </w:pPr>
            <w:r w:rsidRPr="0029213D">
              <w:t>Administered other economic flows included in administered net result</w:t>
            </w:r>
          </w:p>
        </w:tc>
        <w:tc>
          <w:tcPr>
            <w:tcW w:w="1060" w:type="dxa"/>
            <w:shd w:val="clear" w:color="auto" w:fill="auto"/>
            <w:noWrap/>
            <w:vAlign w:val="center"/>
            <w:hideMark/>
          </w:tcPr>
          <w:p w14:paraId="23F0EE98" w14:textId="77777777" w:rsidR="003E5BF5" w:rsidRPr="0029213D" w:rsidRDefault="003E5BF5" w:rsidP="00DE1921">
            <w:pPr>
              <w:jc w:val="right"/>
              <w:rPr>
                <w:rFonts w:ascii="Arial" w:hAnsi="Arial" w:cs="Arial"/>
                <w:sz w:val="24"/>
                <w:szCs w:val="24"/>
              </w:rPr>
            </w:pPr>
          </w:p>
        </w:tc>
        <w:tc>
          <w:tcPr>
            <w:tcW w:w="1060" w:type="dxa"/>
            <w:shd w:val="clear" w:color="auto" w:fill="auto"/>
            <w:noWrap/>
            <w:vAlign w:val="center"/>
            <w:hideMark/>
          </w:tcPr>
          <w:p w14:paraId="6CFE1302" w14:textId="77777777" w:rsidR="003E5BF5" w:rsidRPr="0029213D" w:rsidRDefault="003E5BF5" w:rsidP="00DE1921">
            <w:pPr>
              <w:jc w:val="right"/>
              <w:rPr>
                <w:rFonts w:ascii="Arial" w:hAnsi="Arial" w:cs="Arial"/>
                <w:sz w:val="24"/>
                <w:szCs w:val="24"/>
              </w:rPr>
            </w:pPr>
          </w:p>
        </w:tc>
        <w:tc>
          <w:tcPr>
            <w:tcW w:w="1061" w:type="dxa"/>
            <w:shd w:val="clear" w:color="auto" w:fill="auto"/>
            <w:noWrap/>
            <w:vAlign w:val="center"/>
            <w:hideMark/>
          </w:tcPr>
          <w:p w14:paraId="6A2C331A" w14:textId="77777777" w:rsidR="003E5BF5" w:rsidRPr="0029213D" w:rsidRDefault="003E5BF5" w:rsidP="00DE1921">
            <w:pPr>
              <w:jc w:val="right"/>
              <w:rPr>
                <w:rFonts w:ascii="Arial" w:hAnsi="Arial" w:cs="Arial"/>
                <w:sz w:val="24"/>
                <w:szCs w:val="24"/>
              </w:rPr>
            </w:pPr>
          </w:p>
        </w:tc>
        <w:tc>
          <w:tcPr>
            <w:tcW w:w="1060" w:type="dxa"/>
            <w:shd w:val="clear" w:color="auto" w:fill="auto"/>
            <w:noWrap/>
            <w:vAlign w:val="center"/>
            <w:hideMark/>
          </w:tcPr>
          <w:p w14:paraId="3CB1648E" w14:textId="77777777" w:rsidR="003E5BF5" w:rsidRPr="0029213D" w:rsidRDefault="003E5BF5" w:rsidP="00DE1921">
            <w:pPr>
              <w:jc w:val="right"/>
              <w:rPr>
                <w:rFonts w:ascii="Arial" w:hAnsi="Arial" w:cs="Arial"/>
                <w:sz w:val="24"/>
                <w:szCs w:val="24"/>
              </w:rPr>
            </w:pPr>
          </w:p>
        </w:tc>
        <w:tc>
          <w:tcPr>
            <w:tcW w:w="987" w:type="dxa"/>
            <w:shd w:val="clear" w:color="auto" w:fill="auto"/>
            <w:noWrap/>
            <w:vAlign w:val="center"/>
            <w:hideMark/>
          </w:tcPr>
          <w:p w14:paraId="7C6B7BF1" w14:textId="77777777" w:rsidR="003E5BF5" w:rsidRPr="0029213D" w:rsidRDefault="003E5BF5" w:rsidP="00DE1921">
            <w:pPr>
              <w:jc w:val="right"/>
              <w:rPr>
                <w:rFonts w:ascii="Arial" w:hAnsi="Arial" w:cs="Arial"/>
                <w:sz w:val="24"/>
                <w:szCs w:val="24"/>
              </w:rPr>
            </w:pPr>
          </w:p>
        </w:tc>
        <w:tc>
          <w:tcPr>
            <w:tcW w:w="1134" w:type="dxa"/>
            <w:shd w:val="clear" w:color="auto" w:fill="auto"/>
            <w:noWrap/>
            <w:vAlign w:val="center"/>
            <w:hideMark/>
          </w:tcPr>
          <w:p w14:paraId="427EBD05" w14:textId="77777777" w:rsidR="003E5BF5" w:rsidRPr="0029213D" w:rsidRDefault="003E5BF5" w:rsidP="00DE1921">
            <w:pPr>
              <w:jc w:val="right"/>
              <w:rPr>
                <w:rFonts w:ascii="Arial" w:hAnsi="Arial" w:cs="Arial"/>
                <w:sz w:val="24"/>
                <w:szCs w:val="24"/>
              </w:rPr>
            </w:pPr>
          </w:p>
        </w:tc>
      </w:tr>
      <w:tr w:rsidR="003E5BF5" w:rsidRPr="0029213D" w14:paraId="73B510DF" w14:textId="77777777" w:rsidTr="008E16CB">
        <w:trPr>
          <w:trHeight w:val="340"/>
        </w:trPr>
        <w:tc>
          <w:tcPr>
            <w:tcW w:w="3561" w:type="dxa"/>
            <w:shd w:val="clear" w:color="auto" w:fill="auto"/>
            <w:noWrap/>
            <w:vAlign w:val="center"/>
            <w:hideMark/>
          </w:tcPr>
          <w:p w14:paraId="3BCCD03E" w14:textId="77777777" w:rsidR="003E5BF5" w:rsidRPr="0029213D" w:rsidRDefault="003E5BF5" w:rsidP="00DE1921">
            <w:pPr>
              <w:rPr>
                <w:rFonts w:ascii="Arial" w:hAnsi="Arial" w:cs="Arial"/>
                <w:sz w:val="24"/>
                <w:szCs w:val="24"/>
              </w:rPr>
            </w:pPr>
            <w:r w:rsidRPr="0029213D">
              <w:rPr>
                <w:rFonts w:ascii="Arial" w:hAnsi="Arial" w:cs="Arial"/>
                <w:sz w:val="24"/>
                <w:szCs w:val="24"/>
              </w:rPr>
              <w:t>Net gain/(loss) on financial assets</w:t>
            </w:r>
          </w:p>
        </w:tc>
        <w:tc>
          <w:tcPr>
            <w:tcW w:w="1060" w:type="dxa"/>
            <w:shd w:val="clear" w:color="auto" w:fill="auto"/>
            <w:noWrap/>
            <w:vAlign w:val="center"/>
            <w:hideMark/>
          </w:tcPr>
          <w:p w14:paraId="3B5DA2A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1236C3F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5 </w:t>
            </w:r>
          </w:p>
        </w:tc>
        <w:tc>
          <w:tcPr>
            <w:tcW w:w="1061" w:type="dxa"/>
            <w:shd w:val="clear" w:color="auto" w:fill="auto"/>
            <w:noWrap/>
            <w:vAlign w:val="center"/>
            <w:hideMark/>
          </w:tcPr>
          <w:p w14:paraId="5A0934B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60" w:type="dxa"/>
            <w:shd w:val="clear" w:color="auto" w:fill="auto"/>
            <w:noWrap/>
            <w:vAlign w:val="center"/>
            <w:hideMark/>
          </w:tcPr>
          <w:p w14:paraId="2E37799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 </w:t>
            </w:r>
          </w:p>
        </w:tc>
        <w:tc>
          <w:tcPr>
            <w:tcW w:w="987" w:type="dxa"/>
            <w:shd w:val="clear" w:color="auto" w:fill="auto"/>
            <w:noWrap/>
            <w:vAlign w:val="center"/>
            <w:hideMark/>
          </w:tcPr>
          <w:p w14:paraId="213F6E8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34" w:type="dxa"/>
            <w:shd w:val="clear" w:color="auto" w:fill="auto"/>
            <w:noWrap/>
            <w:vAlign w:val="center"/>
            <w:hideMark/>
          </w:tcPr>
          <w:p w14:paraId="19808D2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(211)</w:t>
            </w:r>
          </w:p>
        </w:tc>
      </w:tr>
      <w:tr w:rsidR="003E5BF5" w:rsidRPr="0029213D" w14:paraId="34B2240B" w14:textId="77777777" w:rsidTr="008E16CB">
        <w:trPr>
          <w:trHeight w:val="340"/>
        </w:trPr>
        <w:tc>
          <w:tcPr>
            <w:tcW w:w="3561" w:type="dxa"/>
            <w:shd w:val="clear" w:color="auto" w:fill="auto"/>
            <w:noWrap/>
            <w:vAlign w:val="center"/>
            <w:hideMark/>
          </w:tcPr>
          <w:p w14:paraId="04554230"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other economic flows</w:t>
            </w:r>
          </w:p>
        </w:tc>
        <w:tc>
          <w:tcPr>
            <w:tcW w:w="1060" w:type="dxa"/>
            <w:shd w:val="clear" w:color="auto" w:fill="auto"/>
            <w:noWrap/>
            <w:hideMark/>
          </w:tcPr>
          <w:p w14:paraId="55D8D2A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7A151DE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5 </w:t>
            </w:r>
          </w:p>
        </w:tc>
        <w:tc>
          <w:tcPr>
            <w:tcW w:w="1061" w:type="dxa"/>
            <w:shd w:val="clear" w:color="auto" w:fill="auto"/>
            <w:noWrap/>
            <w:hideMark/>
          </w:tcPr>
          <w:p w14:paraId="17287E8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078B04F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 </w:t>
            </w:r>
          </w:p>
        </w:tc>
        <w:tc>
          <w:tcPr>
            <w:tcW w:w="987" w:type="dxa"/>
            <w:shd w:val="clear" w:color="auto" w:fill="auto"/>
            <w:noWrap/>
            <w:hideMark/>
          </w:tcPr>
          <w:p w14:paraId="7B4B5917"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134" w:type="dxa"/>
            <w:shd w:val="clear" w:color="auto" w:fill="auto"/>
            <w:noWrap/>
            <w:hideMark/>
          </w:tcPr>
          <w:p w14:paraId="14A5B8E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(211)</w:t>
            </w:r>
          </w:p>
        </w:tc>
      </w:tr>
      <w:tr w:rsidR="003E5BF5" w:rsidRPr="0029213D" w14:paraId="6B07061D" w14:textId="77777777" w:rsidTr="008E16CB">
        <w:trPr>
          <w:trHeight w:val="340"/>
        </w:trPr>
        <w:tc>
          <w:tcPr>
            <w:tcW w:w="3561" w:type="dxa"/>
            <w:shd w:val="clear" w:color="auto" w:fill="auto"/>
            <w:noWrap/>
            <w:vAlign w:val="center"/>
            <w:hideMark/>
          </w:tcPr>
          <w:p w14:paraId="311D9C74" w14:textId="77777777" w:rsidR="003E5BF5" w:rsidRPr="0029213D" w:rsidRDefault="003E5BF5" w:rsidP="00DE1921">
            <w:pPr>
              <w:rPr>
                <w:rFonts w:ascii="Arial" w:hAnsi="Arial" w:cs="Arial"/>
                <w:b/>
                <w:sz w:val="24"/>
                <w:szCs w:val="24"/>
              </w:rPr>
            </w:pPr>
            <w:r w:rsidRPr="0029213D">
              <w:rPr>
                <w:rFonts w:ascii="Arial" w:hAnsi="Arial" w:cs="Arial"/>
                <w:b/>
                <w:sz w:val="24"/>
                <w:szCs w:val="24"/>
              </w:rPr>
              <w:t>Total administered comprehensive result</w:t>
            </w:r>
          </w:p>
        </w:tc>
        <w:tc>
          <w:tcPr>
            <w:tcW w:w="1060" w:type="dxa"/>
            <w:shd w:val="clear" w:color="auto" w:fill="auto"/>
            <w:noWrap/>
            <w:hideMark/>
          </w:tcPr>
          <w:p w14:paraId="5807DB8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407E2F5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(934)</w:t>
            </w:r>
          </w:p>
        </w:tc>
        <w:tc>
          <w:tcPr>
            <w:tcW w:w="1061" w:type="dxa"/>
            <w:shd w:val="clear" w:color="auto" w:fill="auto"/>
            <w:noWrap/>
            <w:hideMark/>
          </w:tcPr>
          <w:p w14:paraId="43EA561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060" w:type="dxa"/>
            <w:shd w:val="clear" w:color="auto" w:fill="auto"/>
            <w:noWrap/>
            <w:hideMark/>
          </w:tcPr>
          <w:p w14:paraId="0FF5D9D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(55)</w:t>
            </w:r>
          </w:p>
        </w:tc>
        <w:tc>
          <w:tcPr>
            <w:tcW w:w="987" w:type="dxa"/>
            <w:shd w:val="clear" w:color="auto" w:fill="auto"/>
            <w:noWrap/>
            <w:hideMark/>
          </w:tcPr>
          <w:p w14:paraId="65B3085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1134" w:type="dxa"/>
            <w:shd w:val="clear" w:color="auto" w:fill="auto"/>
            <w:noWrap/>
            <w:hideMark/>
          </w:tcPr>
          <w:p w14:paraId="2054A9E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(80,295)</w:t>
            </w:r>
          </w:p>
        </w:tc>
      </w:tr>
    </w:tbl>
    <w:p w14:paraId="078288C4" w14:textId="77777777" w:rsidR="003E5BF5" w:rsidRDefault="003E5BF5" w:rsidP="00DE1921"/>
    <w:p w14:paraId="05CC0D8B" w14:textId="77777777" w:rsidR="003E5BF5" w:rsidRPr="00B87757" w:rsidRDefault="003E5BF5" w:rsidP="00DE1921">
      <w:pPr>
        <w:sectPr w:rsidR="003E5BF5" w:rsidRPr="00B87757" w:rsidSect="00DE1921">
          <w:headerReference w:type="even" r:id="rId106"/>
          <w:headerReference w:type="default" r:id="rId107"/>
          <w:footerReference w:type="even" r:id="rId108"/>
          <w:headerReference w:type="first" r:id="rId109"/>
          <w:pgSz w:w="11906" w:h="16838"/>
          <w:pgMar w:top="1701" w:right="1418" w:bottom="1418" w:left="1418" w:header="708" w:footer="708" w:gutter="0"/>
          <w:cols w:space="708"/>
          <w:docGrid w:linePitch="360"/>
        </w:sectPr>
      </w:pPr>
    </w:p>
    <w:p w14:paraId="003033B7" w14:textId="77777777" w:rsidR="003E5BF5" w:rsidRPr="00B87757" w:rsidRDefault="003E5BF5" w:rsidP="006667CC">
      <w:pPr>
        <w:pStyle w:val="Heading3"/>
        <w:numPr>
          <w:ilvl w:val="2"/>
          <w:numId w:val="3"/>
        </w:numPr>
        <w:ind w:left="851" w:hanging="851"/>
      </w:pPr>
      <w:bookmarkStart w:id="258" w:name="p131"/>
      <w:bookmarkStart w:id="259" w:name="_Toc9344210"/>
      <w:bookmarkEnd w:id="258"/>
      <w:r w:rsidRPr="00B87757">
        <w:lastRenderedPageBreak/>
        <w:t>Administered assets and liabilities as at 30 June</w:t>
      </w:r>
      <w:bookmarkEnd w:id="259"/>
      <w:r w:rsidRPr="00B87757">
        <w:t xml:space="preserve"> </w:t>
      </w:r>
    </w:p>
    <w:p w14:paraId="543C9905" w14:textId="77777777" w:rsidR="003E5BF5" w:rsidRPr="001F2CAA" w:rsidRDefault="003E5BF5" w:rsidP="008A0170">
      <w:pPr>
        <w:pStyle w:val="Heading3"/>
      </w:pPr>
      <w:r w:rsidRPr="00B87757">
        <w:t>Department of Transport Outputs</w:t>
      </w:r>
      <w:bookmarkStart w:id="260" w:name="RANGE!A3:I23"/>
      <w:bookmarkEnd w:id="260"/>
    </w:p>
    <w:tbl>
      <w:tblPr>
        <w:tblStyle w:val="TableGrid"/>
        <w:tblW w:w="14742" w:type="dxa"/>
        <w:jc w:val="center"/>
        <w:tblLayout w:type="fixed"/>
        <w:tblCellMar>
          <w:left w:w="28" w:type="dxa"/>
          <w:right w:w="28" w:type="dxa"/>
        </w:tblCellMar>
        <w:tblLook w:val="04A0" w:firstRow="1" w:lastRow="0" w:firstColumn="1" w:lastColumn="0" w:noHBand="0" w:noVBand="1"/>
      </w:tblPr>
      <w:tblGrid>
        <w:gridCol w:w="2718"/>
        <w:gridCol w:w="1002"/>
        <w:gridCol w:w="1002"/>
        <w:gridCol w:w="1241"/>
        <w:gridCol w:w="1242"/>
        <w:gridCol w:w="961"/>
        <w:gridCol w:w="962"/>
        <w:gridCol w:w="961"/>
        <w:gridCol w:w="962"/>
        <w:gridCol w:w="881"/>
        <w:gridCol w:w="882"/>
        <w:gridCol w:w="964"/>
        <w:gridCol w:w="964"/>
      </w:tblGrid>
      <w:tr w:rsidR="003E5BF5" w:rsidRPr="003C66E4" w14:paraId="127087D8" w14:textId="77777777" w:rsidTr="001E6180">
        <w:trPr>
          <w:trHeight w:val="340"/>
          <w:jc w:val="center"/>
        </w:trPr>
        <w:tc>
          <w:tcPr>
            <w:tcW w:w="2405" w:type="dxa"/>
            <w:shd w:val="clear" w:color="auto" w:fill="auto"/>
            <w:noWrap/>
            <w:hideMark/>
          </w:tcPr>
          <w:p w14:paraId="33C72EBC" w14:textId="77777777" w:rsidR="003E5BF5" w:rsidRPr="003C66E4" w:rsidRDefault="003E5BF5" w:rsidP="00DE1921">
            <w:pPr>
              <w:rPr>
                <w:rFonts w:ascii="Arial" w:hAnsi="Arial" w:cs="Arial"/>
                <w:sz w:val="23"/>
                <w:szCs w:val="23"/>
              </w:rPr>
            </w:pPr>
          </w:p>
        </w:tc>
        <w:tc>
          <w:tcPr>
            <w:tcW w:w="10636" w:type="dxa"/>
            <w:gridSpan w:val="12"/>
            <w:shd w:val="clear" w:color="auto" w:fill="auto"/>
            <w:vAlign w:val="center"/>
            <w:hideMark/>
          </w:tcPr>
          <w:p w14:paraId="7B58A2F5" w14:textId="77777777" w:rsidR="003E5BF5" w:rsidRPr="003C66E4" w:rsidRDefault="003E5BF5" w:rsidP="00DE1921">
            <w:pPr>
              <w:jc w:val="center"/>
              <w:rPr>
                <w:rFonts w:ascii="Arial" w:hAnsi="Arial" w:cs="Arial"/>
                <w:b/>
                <w:sz w:val="23"/>
                <w:szCs w:val="23"/>
              </w:rPr>
            </w:pPr>
            <w:r w:rsidRPr="003C66E4">
              <w:rPr>
                <w:rFonts w:ascii="Arial" w:hAnsi="Arial" w:cs="Arial"/>
                <w:b/>
                <w:sz w:val="23"/>
                <w:szCs w:val="23"/>
              </w:rPr>
              <w:t>($ thousand)</w:t>
            </w:r>
          </w:p>
        </w:tc>
      </w:tr>
      <w:tr w:rsidR="003E5BF5" w:rsidRPr="003C66E4" w14:paraId="67FCEDCE" w14:textId="77777777" w:rsidTr="001E6180">
        <w:trPr>
          <w:trHeight w:val="340"/>
          <w:jc w:val="center"/>
        </w:trPr>
        <w:tc>
          <w:tcPr>
            <w:tcW w:w="2405" w:type="dxa"/>
            <w:shd w:val="clear" w:color="auto" w:fill="auto"/>
            <w:noWrap/>
            <w:hideMark/>
          </w:tcPr>
          <w:p w14:paraId="0218203F" w14:textId="77777777" w:rsidR="003E5BF5" w:rsidRPr="003C66E4" w:rsidRDefault="003E5BF5" w:rsidP="00DE1921">
            <w:pPr>
              <w:rPr>
                <w:rFonts w:ascii="Arial" w:hAnsi="Arial" w:cs="Arial"/>
                <w:sz w:val="23"/>
                <w:szCs w:val="23"/>
              </w:rPr>
            </w:pPr>
          </w:p>
        </w:tc>
        <w:tc>
          <w:tcPr>
            <w:tcW w:w="1772" w:type="dxa"/>
            <w:gridSpan w:val="2"/>
            <w:shd w:val="clear" w:color="auto" w:fill="auto"/>
            <w:vAlign w:val="bottom"/>
            <w:hideMark/>
          </w:tcPr>
          <w:p w14:paraId="7299BBE5" w14:textId="77777777" w:rsidR="003E5BF5" w:rsidRPr="003C66E4" w:rsidRDefault="003E5BF5" w:rsidP="00DE1921">
            <w:pPr>
              <w:jc w:val="center"/>
              <w:rPr>
                <w:rFonts w:ascii="Arial" w:hAnsi="Arial" w:cs="Arial"/>
                <w:b/>
                <w:sz w:val="23"/>
                <w:szCs w:val="23"/>
              </w:rPr>
            </w:pPr>
            <w:r w:rsidRPr="003C66E4">
              <w:rPr>
                <w:rFonts w:ascii="Arial" w:hAnsi="Arial" w:cs="Arial"/>
                <w:b/>
                <w:sz w:val="23"/>
                <w:szCs w:val="23"/>
              </w:rPr>
              <w:t>Bus Services</w:t>
            </w:r>
          </w:p>
        </w:tc>
        <w:tc>
          <w:tcPr>
            <w:tcW w:w="2197" w:type="dxa"/>
            <w:gridSpan w:val="2"/>
            <w:shd w:val="clear" w:color="auto" w:fill="auto"/>
            <w:vAlign w:val="bottom"/>
            <w:hideMark/>
          </w:tcPr>
          <w:p w14:paraId="0ECA2414" w14:textId="77777777" w:rsidR="003E5BF5" w:rsidRPr="003C66E4" w:rsidRDefault="003E5BF5" w:rsidP="00DE1921">
            <w:pPr>
              <w:jc w:val="center"/>
              <w:rPr>
                <w:rFonts w:ascii="Arial" w:hAnsi="Arial" w:cs="Arial"/>
                <w:b/>
                <w:sz w:val="23"/>
                <w:szCs w:val="23"/>
              </w:rPr>
            </w:pPr>
            <w:r w:rsidRPr="003C66E4">
              <w:rPr>
                <w:rFonts w:ascii="Arial" w:hAnsi="Arial" w:cs="Arial"/>
                <w:b/>
                <w:sz w:val="23"/>
                <w:szCs w:val="23"/>
              </w:rPr>
              <w:t>Transport Infrastructure</w:t>
            </w:r>
          </w:p>
        </w:tc>
        <w:tc>
          <w:tcPr>
            <w:tcW w:w="1701" w:type="dxa"/>
            <w:gridSpan w:val="2"/>
            <w:shd w:val="clear" w:color="auto" w:fill="auto"/>
            <w:vAlign w:val="bottom"/>
            <w:hideMark/>
          </w:tcPr>
          <w:p w14:paraId="7BD6BC40" w14:textId="77777777" w:rsidR="003E5BF5" w:rsidRPr="003C66E4" w:rsidRDefault="003E5BF5" w:rsidP="00DE1921">
            <w:pPr>
              <w:jc w:val="center"/>
              <w:rPr>
                <w:rFonts w:ascii="Arial" w:hAnsi="Arial" w:cs="Arial"/>
                <w:b/>
                <w:sz w:val="23"/>
                <w:szCs w:val="23"/>
              </w:rPr>
            </w:pPr>
            <w:r w:rsidRPr="003C66E4">
              <w:rPr>
                <w:rFonts w:ascii="Arial" w:hAnsi="Arial" w:cs="Arial"/>
                <w:b/>
                <w:sz w:val="23"/>
                <w:szCs w:val="23"/>
              </w:rPr>
              <w:t>Port, Freight and Boating</w:t>
            </w:r>
          </w:p>
        </w:tc>
        <w:tc>
          <w:tcPr>
            <w:tcW w:w="1701" w:type="dxa"/>
            <w:gridSpan w:val="2"/>
            <w:shd w:val="clear" w:color="auto" w:fill="auto"/>
            <w:vAlign w:val="bottom"/>
            <w:hideMark/>
          </w:tcPr>
          <w:p w14:paraId="7800CACC" w14:textId="77777777" w:rsidR="003E5BF5" w:rsidRPr="003C66E4" w:rsidRDefault="003E5BF5" w:rsidP="00DE1921">
            <w:pPr>
              <w:jc w:val="center"/>
              <w:rPr>
                <w:rFonts w:ascii="Arial" w:hAnsi="Arial" w:cs="Arial"/>
                <w:b/>
                <w:sz w:val="23"/>
                <w:szCs w:val="23"/>
              </w:rPr>
            </w:pPr>
            <w:r w:rsidRPr="003C66E4">
              <w:rPr>
                <w:rFonts w:ascii="Arial" w:hAnsi="Arial" w:cs="Arial"/>
                <w:b/>
                <w:sz w:val="23"/>
                <w:szCs w:val="23"/>
              </w:rPr>
              <w:t>Regulation of Commercial Passenger Vehicle Services</w:t>
            </w:r>
          </w:p>
        </w:tc>
        <w:tc>
          <w:tcPr>
            <w:tcW w:w="1559" w:type="dxa"/>
            <w:gridSpan w:val="2"/>
            <w:shd w:val="clear" w:color="auto" w:fill="auto"/>
            <w:vAlign w:val="bottom"/>
            <w:hideMark/>
          </w:tcPr>
          <w:p w14:paraId="5170F583" w14:textId="77777777" w:rsidR="003E5BF5" w:rsidRPr="003C66E4" w:rsidRDefault="003E5BF5" w:rsidP="00DE1921">
            <w:pPr>
              <w:jc w:val="center"/>
              <w:rPr>
                <w:rFonts w:ascii="Arial" w:hAnsi="Arial" w:cs="Arial"/>
                <w:b/>
                <w:sz w:val="23"/>
                <w:szCs w:val="23"/>
              </w:rPr>
            </w:pPr>
            <w:r w:rsidRPr="003C66E4">
              <w:rPr>
                <w:rFonts w:ascii="Arial" w:hAnsi="Arial" w:cs="Arial"/>
                <w:b/>
                <w:sz w:val="23"/>
                <w:szCs w:val="23"/>
              </w:rPr>
              <w:t>Road Asset Management</w:t>
            </w:r>
          </w:p>
        </w:tc>
        <w:tc>
          <w:tcPr>
            <w:tcW w:w="1706" w:type="dxa"/>
            <w:gridSpan w:val="2"/>
            <w:shd w:val="clear" w:color="auto" w:fill="auto"/>
            <w:vAlign w:val="bottom"/>
            <w:hideMark/>
          </w:tcPr>
          <w:p w14:paraId="758770BD" w14:textId="77777777" w:rsidR="003E5BF5" w:rsidRPr="003C66E4" w:rsidRDefault="003E5BF5" w:rsidP="00DE1921">
            <w:pPr>
              <w:jc w:val="center"/>
              <w:rPr>
                <w:rFonts w:ascii="Arial" w:hAnsi="Arial" w:cs="Arial"/>
                <w:b/>
                <w:sz w:val="23"/>
                <w:szCs w:val="23"/>
              </w:rPr>
            </w:pPr>
            <w:r w:rsidRPr="003C66E4">
              <w:rPr>
                <w:rFonts w:ascii="Arial" w:hAnsi="Arial" w:cs="Arial"/>
                <w:b/>
                <w:sz w:val="23"/>
                <w:szCs w:val="23"/>
              </w:rPr>
              <w:t>Road Operations</w:t>
            </w:r>
          </w:p>
        </w:tc>
      </w:tr>
      <w:tr w:rsidR="003E5BF5" w:rsidRPr="003C66E4" w14:paraId="0A224A59" w14:textId="77777777" w:rsidTr="001E6180">
        <w:trPr>
          <w:trHeight w:val="340"/>
          <w:jc w:val="center"/>
        </w:trPr>
        <w:tc>
          <w:tcPr>
            <w:tcW w:w="2405" w:type="dxa"/>
            <w:shd w:val="clear" w:color="auto" w:fill="auto"/>
            <w:vAlign w:val="center"/>
            <w:hideMark/>
          </w:tcPr>
          <w:p w14:paraId="6D3BEE72" w14:textId="77777777" w:rsidR="003E5BF5" w:rsidRPr="003C66E4" w:rsidRDefault="003E5BF5" w:rsidP="00DE1921">
            <w:pPr>
              <w:rPr>
                <w:rFonts w:ascii="Arial" w:hAnsi="Arial" w:cs="Arial"/>
                <w:b/>
                <w:sz w:val="23"/>
                <w:szCs w:val="23"/>
              </w:rPr>
            </w:pPr>
          </w:p>
        </w:tc>
        <w:tc>
          <w:tcPr>
            <w:tcW w:w="886" w:type="dxa"/>
            <w:shd w:val="clear" w:color="auto" w:fill="auto"/>
            <w:vAlign w:val="center"/>
            <w:hideMark/>
          </w:tcPr>
          <w:p w14:paraId="2F3779DC"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2020</w:t>
            </w:r>
          </w:p>
        </w:tc>
        <w:tc>
          <w:tcPr>
            <w:tcW w:w="886" w:type="dxa"/>
            <w:shd w:val="clear" w:color="auto" w:fill="auto"/>
            <w:vAlign w:val="center"/>
            <w:hideMark/>
          </w:tcPr>
          <w:p w14:paraId="7E4ABCDE"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2019</w:t>
            </w:r>
          </w:p>
        </w:tc>
        <w:tc>
          <w:tcPr>
            <w:tcW w:w="1098" w:type="dxa"/>
            <w:shd w:val="clear" w:color="auto" w:fill="auto"/>
            <w:vAlign w:val="center"/>
            <w:hideMark/>
          </w:tcPr>
          <w:p w14:paraId="143C8996"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2020</w:t>
            </w:r>
          </w:p>
        </w:tc>
        <w:tc>
          <w:tcPr>
            <w:tcW w:w="1099" w:type="dxa"/>
            <w:shd w:val="clear" w:color="auto" w:fill="auto"/>
            <w:vAlign w:val="center"/>
            <w:hideMark/>
          </w:tcPr>
          <w:p w14:paraId="7176F98F"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2019</w:t>
            </w:r>
          </w:p>
        </w:tc>
        <w:tc>
          <w:tcPr>
            <w:tcW w:w="850" w:type="dxa"/>
            <w:shd w:val="clear" w:color="auto" w:fill="auto"/>
            <w:vAlign w:val="center"/>
            <w:hideMark/>
          </w:tcPr>
          <w:p w14:paraId="7C50DA62"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2020</w:t>
            </w:r>
          </w:p>
        </w:tc>
        <w:tc>
          <w:tcPr>
            <w:tcW w:w="851" w:type="dxa"/>
            <w:shd w:val="clear" w:color="auto" w:fill="auto"/>
            <w:vAlign w:val="center"/>
            <w:hideMark/>
          </w:tcPr>
          <w:p w14:paraId="44D6D01F"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2019</w:t>
            </w:r>
          </w:p>
        </w:tc>
        <w:tc>
          <w:tcPr>
            <w:tcW w:w="850" w:type="dxa"/>
            <w:shd w:val="clear" w:color="auto" w:fill="auto"/>
            <w:vAlign w:val="center"/>
            <w:hideMark/>
          </w:tcPr>
          <w:p w14:paraId="7FFB0C1A"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2020</w:t>
            </w:r>
          </w:p>
        </w:tc>
        <w:tc>
          <w:tcPr>
            <w:tcW w:w="851" w:type="dxa"/>
            <w:shd w:val="clear" w:color="auto" w:fill="auto"/>
            <w:vAlign w:val="center"/>
            <w:hideMark/>
          </w:tcPr>
          <w:p w14:paraId="5D0C2F4A"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2019</w:t>
            </w:r>
          </w:p>
        </w:tc>
        <w:tc>
          <w:tcPr>
            <w:tcW w:w="779" w:type="dxa"/>
            <w:shd w:val="clear" w:color="auto" w:fill="auto"/>
            <w:vAlign w:val="center"/>
            <w:hideMark/>
          </w:tcPr>
          <w:p w14:paraId="377F0ED0"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2020</w:t>
            </w:r>
          </w:p>
        </w:tc>
        <w:tc>
          <w:tcPr>
            <w:tcW w:w="780" w:type="dxa"/>
            <w:shd w:val="clear" w:color="auto" w:fill="auto"/>
            <w:vAlign w:val="center"/>
            <w:hideMark/>
          </w:tcPr>
          <w:p w14:paraId="20680EBE"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2019</w:t>
            </w:r>
          </w:p>
        </w:tc>
        <w:tc>
          <w:tcPr>
            <w:tcW w:w="853" w:type="dxa"/>
            <w:shd w:val="clear" w:color="auto" w:fill="auto"/>
            <w:vAlign w:val="center"/>
            <w:hideMark/>
          </w:tcPr>
          <w:p w14:paraId="530A45F2"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2020</w:t>
            </w:r>
          </w:p>
        </w:tc>
        <w:tc>
          <w:tcPr>
            <w:tcW w:w="853" w:type="dxa"/>
            <w:shd w:val="clear" w:color="auto" w:fill="auto"/>
            <w:vAlign w:val="center"/>
            <w:hideMark/>
          </w:tcPr>
          <w:p w14:paraId="4C2A3439"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2019</w:t>
            </w:r>
          </w:p>
        </w:tc>
      </w:tr>
      <w:tr w:rsidR="003E5BF5" w:rsidRPr="003C66E4" w14:paraId="42F4BA38" w14:textId="77777777" w:rsidTr="001E6180">
        <w:trPr>
          <w:trHeight w:val="340"/>
          <w:jc w:val="center"/>
        </w:trPr>
        <w:tc>
          <w:tcPr>
            <w:tcW w:w="2405" w:type="dxa"/>
            <w:shd w:val="clear" w:color="auto" w:fill="auto"/>
            <w:noWrap/>
            <w:vAlign w:val="center"/>
            <w:hideMark/>
          </w:tcPr>
          <w:p w14:paraId="608AF16D" w14:textId="77777777" w:rsidR="003E5BF5" w:rsidRPr="003C66E4" w:rsidRDefault="003E5BF5" w:rsidP="00604703">
            <w:pPr>
              <w:pStyle w:val="TableTextGreen"/>
              <w:rPr>
                <w:sz w:val="23"/>
                <w:szCs w:val="23"/>
              </w:rPr>
            </w:pPr>
            <w:r w:rsidRPr="003C66E4">
              <w:rPr>
                <w:sz w:val="23"/>
                <w:szCs w:val="23"/>
              </w:rPr>
              <w:t>Administered financial assets</w:t>
            </w:r>
          </w:p>
        </w:tc>
        <w:tc>
          <w:tcPr>
            <w:tcW w:w="886" w:type="dxa"/>
            <w:shd w:val="clear" w:color="auto" w:fill="auto"/>
            <w:noWrap/>
            <w:vAlign w:val="center"/>
            <w:hideMark/>
          </w:tcPr>
          <w:p w14:paraId="4D5CCC2C"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w:t>
            </w:r>
          </w:p>
        </w:tc>
        <w:tc>
          <w:tcPr>
            <w:tcW w:w="886" w:type="dxa"/>
            <w:shd w:val="clear" w:color="auto" w:fill="auto"/>
            <w:noWrap/>
            <w:vAlign w:val="center"/>
            <w:hideMark/>
          </w:tcPr>
          <w:p w14:paraId="7C118B33"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w:t>
            </w:r>
          </w:p>
        </w:tc>
        <w:tc>
          <w:tcPr>
            <w:tcW w:w="1098" w:type="dxa"/>
            <w:shd w:val="clear" w:color="auto" w:fill="auto"/>
            <w:noWrap/>
            <w:vAlign w:val="center"/>
            <w:hideMark/>
          </w:tcPr>
          <w:p w14:paraId="48160DDA"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w:t>
            </w:r>
          </w:p>
        </w:tc>
        <w:tc>
          <w:tcPr>
            <w:tcW w:w="1099" w:type="dxa"/>
            <w:shd w:val="clear" w:color="auto" w:fill="auto"/>
            <w:noWrap/>
            <w:vAlign w:val="center"/>
            <w:hideMark/>
          </w:tcPr>
          <w:p w14:paraId="111E3472"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w:t>
            </w:r>
          </w:p>
        </w:tc>
        <w:tc>
          <w:tcPr>
            <w:tcW w:w="850" w:type="dxa"/>
            <w:shd w:val="clear" w:color="auto" w:fill="auto"/>
            <w:noWrap/>
            <w:vAlign w:val="center"/>
            <w:hideMark/>
          </w:tcPr>
          <w:p w14:paraId="4ECEC17F"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w:t>
            </w:r>
          </w:p>
        </w:tc>
        <w:tc>
          <w:tcPr>
            <w:tcW w:w="851" w:type="dxa"/>
            <w:shd w:val="clear" w:color="auto" w:fill="auto"/>
            <w:noWrap/>
            <w:vAlign w:val="center"/>
            <w:hideMark/>
          </w:tcPr>
          <w:p w14:paraId="6CE1F4EF"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w:t>
            </w:r>
          </w:p>
        </w:tc>
        <w:tc>
          <w:tcPr>
            <w:tcW w:w="850" w:type="dxa"/>
            <w:shd w:val="clear" w:color="auto" w:fill="auto"/>
            <w:noWrap/>
            <w:vAlign w:val="center"/>
            <w:hideMark/>
          </w:tcPr>
          <w:p w14:paraId="337E5FD3"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w:t>
            </w:r>
          </w:p>
        </w:tc>
        <w:tc>
          <w:tcPr>
            <w:tcW w:w="851" w:type="dxa"/>
            <w:shd w:val="clear" w:color="auto" w:fill="auto"/>
            <w:noWrap/>
            <w:vAlign w:val="center"/>
            <w:hideMark/>
          </w:tcPr>
          <w:p w14:paraId="122EE3D1"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w:t>
            </w:r>
          </w:p>
        </w:tc>
        <w:tc>
          <w:tcPr>
            <w:tcW w:w="779" w:type="dxa"/>
            <w:shd w:val="clear" w:color="auto" w:fill="auto"/>
            <w:noWrap/>
            <w:vAlign w:val="center"/>
            <w:hideMark/>
          </w:tcPr>
          <w:p w14:paraId="2BE68B50"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w:t>
            </w:r>
          </w:p>
        </w:tc>
        <w:tc>
          <w:tcPr>
            <w:tcW w:w="780" w:type="dxa"/>
            <w:shd w:val="clear" w:color="auto" w:fill="auto"/>
            <w:noWrap/>
            <w:vAlign w:val="center"/>
            <w:hideMark/>
          </w:tcPr>
          <w:p w14:paraId="467B535B"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w:t>
            </w:r>
          </w:p>
        </w:tc>
        <w:tc>
          <w:tcPr>
            <w:tcW w:w="853" w:type="dxa"/>
            <w:shd w:val="clear" w:color="auto" w:fill="auto"/>
            <w:noWrap/>
            <w:vAlign w:val="center"/>
            <w:hideMark/>
          </w:tcPr>
          <w:p w14:paraId="043994FE"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w:t>
            </w:r>
          </w:p>
        </w:tc>
        <w:tc>
          <w:tcPr>
            <w:tcW w:w="853" w:type="dxa"/>
            <w:shd w:val="clear" w:color="auto" w:fill="auto"/>
            <w:noWrap/>
            <w:vAlign w:val="center"/>
            <w:hideMark/>
          </w:tcPr>
          <w:p w14:paraId="301579F7"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w:t>
            </w:r>
          </w:p>
        </w:tc>
      </w:tr>
      <w:tr w:rsidR="003E5BF5" w:rsidRPr="003C66E4" w14:paraId="05223ADF" w14:textId="77777777" w:rsidTr="001E6180">
        <w:trPr>
          <w:trHeight w:val="340"/>
          <w:jc w:val="center"/>
        </w:trPr>
        <w:tc>
          <w:tcPr>
            <w:tcW w:w="2405" w:type="dxa"/>
            <w:shd w:val="clear" w:color="auto" w:fill="auto"/>
            <w:noWrap/>
            <w:vAlign w:val="center"/>
            <w:hideMark/>
          </w:tcPr>
          <w:p w14:paraId="4198C6BE" w14:textId="77777777" w:rsidR="003E5BF5" w:rsidRPr="003C66E4" w:rsidRDefault="003E5BF5" w:rsidP="00DE1921">
            <w:pPr>
              <w:rPr>
                <w:rFonts w:ascii="Arial" w:hAnsi="Arial" w:cs="Arial"/>
                <w:sz w:val="23"/>
                <w:szCs w:val="23"/>
              </w:rPr>
            </w:pPr>
            <w:r w:rsidRPr="003C66E4">
              <w:rPr>
                <w:rFonts w:ascii="Arial" w:hAnsi="Arial" w:cs="Arial"/>
                <w:sz w:val="23"/>
                <w:szCs w:val="23"/>
              </w:rPr>
              <w:t>Receivables</w:t>
            </w:r>
          </w:p>
        </w:tc>
        <w:tc>
          <w:tcPr>
            <w:tcW w:w="886" w:type="dxa"/>
            <w:shd w:val="clear" w:color="auto" w:fill="auto"/>
            <w:noWrap/>
            <w:vAlign w:val="center"/>
            <w:hideMark/>
          </w:tcPr>
          <w:p w14:paraId="1D0D3D0B"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179 </w:t>
            </w:r>
          </w:p>
        </w:tc>
        <w:tc>
          <w:tcPr>
            <w:tcW w:w="886" w:type="dxa"/>
            <w:shd w:val="clear" w:color="auto" w:fill="auto"/>
            <w:noWrap/>
            <w:vAlign w:val="center"/>
            <w:hideMark/>
          </w:tcPr>
          <w:p w14:paraId="1FEB968E"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803 </w:t>
            </w:r>
          </w:p>
        </w:tc>
        <w:tc>
          <w:tcPr>
            <w:tcW w:w="1098" w:type="dxa"/>
            <w:shd w:val="clear" w:color="auto" w:fill="auto"/>
            <w:noWrap/>
            <w:vAlign w:val="center"/>
            <w:hideMark/>
          </w:tcPr>
          <w:p w14:paraId="2BFB8AF9"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7,138 </w:t>
            </w:r>
          </w:p>
        </w:tc>
        <w:tc>
          <w:tcPr>
            <w:tcW w:w="1099" w:type="dxa"/>
            <w:shd w:val="clear" w:color="auto" w:fill="auto"/>
            <w:noWrap/>
            <w:vAlign w:val="center"/>
            <w:hideMark/>
          </w:tcPr>
          <w:p w14:paraId="6C0F2D93"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2,631 </w:t>
            </w:r>
          </w:p>
        </w:tc>
        <w:tc>
          <w:tcPr>
            <w:tcW w:w="850" w:type="dxa"/>
            <w:shd w:val="clear" w:color="auto" w:fill="auto"/>
            <w:noWrap/>
            <w:vAlign w:val="center"/>
            <w:hideMark/>
          </w:tcPr>
          <w:p w14:paraId="1D54464F"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8 </w:t>
            </w:r>
          </w:p>
        </w:tc>
        <w:tc>
          <w:tcPr>
            <w:tcW w:w="851" w:type="dxa"/>
            <w:shd w:val="clear" w:color="auto" w:fill="auto"/>
            <w:noWrap/>
            <w:vAlign w:val="center"/>
            <w:hideMark/>
          </w:tcPr>
          <w:p w14:paraId="4519F960"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72 </w:t>
            </w:r>
          </w:p>
        </w:tc>
        <w:tc>
          <w:tcPr>
            <w:tcW w:w="850" w:type="dxa"/>
            <w:shd w:val="clear" w:color="auto" w:fill="auto"/>
            <w:noWrap/>
            <w:vAlign w:val="center"/>
            <w:hideMark/>
          </w:tcPr>
          <w:p w14:paraId="1080A5F4"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20 </w:t>
            </w:r>
          </w:p>
        </w:tc>
        <w:tc>
          <w:tcPr>
            <w:tcW w:w="851" w:type="dxa"/>
            <w:shd w:val="clear" w:color="auto" w:fill="auto"/>
            <w:noWrap/>
            <w:vAlign w:val="center"/>
            <w:hideMark/>
          </w:tcPr>
          <w:p w14:paraId="326B3F75"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185 </w:t>
            </w:r>
          </w:p>
        </w:tc>
        <w:tc>
          <w:tcPr>
            <w:tcW w:w="779" w:type="dxa"/>
            <w:shd w:val="clear" w:color="auto" w:fill="auto"/>
            <w:noWrap/>
            <w:vAlign w:val="center"/>
            <w:hideMark/>
          </w:tcPr>
          <w:p w14:paraId="576E3FB9"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43 </w:t>
            </w:r>
          </w:p>
        </w:tc>
        <w:tc>
          <w:tcPr>
            <w:tcW w:w="780" w:type="dxa"/>
            <w:shd w:val="clear" w:color="auto" w:fill="auto"/>
            <w:noWrap/>
            <w:vAlign w:val="center"/>
            <w:hideMark/>
          </w:tcPr>
          <w:p w14:paraId="3B8F7C57"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415 </w:t>
            </w:r>
          </w:p>
        </w:tc>
        <w:tc>
          <w:tcPr>
            <w:tcW w:w="853" w:type="dxa"/>
            <w:shd w:val="clear" w:color="auto" w:fill="auto"/>
            <w:noWrap/>
            <w:vAlign w:val="center"/>
            <w:hideMark/>
          </w:tcPr>
          <w:p w14:paraId="0AA1F12C"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75 </w:t>
            </w:r>
          </w:p>
        </w:tc>
        <w:tc>
          <w:tcPr>
            <w:tcW w:w="853" w:type="dxa"/>
            <w:shd w:val="clear" w:color="auto" w:fill="auto"/>
            <w:noWrap/>
            <w:vAlign w:val="center"/>
            <w:hideMark/>
          </w:tcPr>
          <w:p w14:paraId="01ADD71E"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713 </w:t>
            </w:r>
          </w:p>
        </w:tc>
      </w:tr>
      <w:tr w:rsidR="003E5BF5" w:rsidRPr="003C66E4" w14:paraId="5063E551" w14:textId="77777777" w:rsidTr="001E6180">
        <w:trPr>
          <w:trHeight w:val="340"/>
          <w:jc w:val="center"/>
        </w:trPr>
        <w:tc>
          <w:tcPr>
            <w:tcW w:w="2405" w:type="dxa"/>
            <w:shd w:val="clear" w:color="auto" w:fill="auto"/>
            <w:noWrap/>
            <w:vAlign w:val="center"/>
            <w:hideMark/>
          </w:tcPr>
          <w:p w14:paraId="0D392D7F" w14:textId="77777777" w:rsidR="003E5BF5" w:rsidRPr="003C66E4" w:rsidRDefault="003E5BF5" w:rsidP="00DE1921">
            <w:pPr>
              <w:rPr>
                <w:rFonts w:ascii="Arial" w:hAnsi="Arial" w:cs="Arial"/>
                <w:sz w:val="23"/>
                <w:szCs w:val="23"/>
              </w:rPr>
            </w:pPr>
            <w:r w:rsidRPr="003C66E4">
              <w:rPr>
                <w:rFonts w:ascii="Arial" w:hAnsi="Arial" w:cs="Arial"/>
                <w:sz w:val="23"/>
                <w:szCs w:val="23"/>
              </w:rPr>
              <w:t>Trust funds</w:t>
            </w:r>
          </w:p>
        </w:tc>
        <w:tc>
          <w:tcPr>
            <w:tcW w:w="886" w:type="dxa"/>
            <w:shd w:val="clear" w:color="auto" w:fill="auto"/>
            <w:noWrap/>
            <w:vAlign w:val="center"/>
            <w:hideMark/>
          </w:tcPr>
          <w:p w14:paraId="6593193F" w14:textId="77777777" w:rsidR="003E5BF5" w:rsidRPr="003C66E4" w:rsidRDefault="003E5BF5" w:rsidP="00DE1921">
            <w:pPr>
              <w:jc w:val="right"/>
              <w:rPr>
                <w:rFonts w:ascii="Arial" w:hAnsi="Arial" w:cs="Arial"/>
                <w:sz w:val="23"/>
                <w:szCs w:val="23"/>
              </w:rPr>
            </w:pPr>
            <w:r w:rsidRPr="003C66E4">
              <w:rPr>
                <w:rFonts w:ascii="Arial" w:hAnsi="Arial" w:cs="Arial"/>
                <w:b/>
                <w:sz w:val="23"/>
                <w:szCs w:val="23"/>
              </w:rPr>
              <w:t>-</w:t>
            </w:r>
          </w:p>
        </w:tc>
        <w:tc>
          <w:tcPr>
            <w:tcW w:w="886" w:type="dxa"/>
            <w:shd w:val="clear" w:color="auto" w:fill="auto"/>
            <w:noWrap/>
            <w:vAlign w:val="center"/>
            <w:hideMark/>
          </w:tcPr>
          <w:p w14:paraId="573C78B4"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17 </w:t>
            </w:r>
          </w:p>
        </w:tc>
        <w:tc>
          <w:tcPr>
            <w:tcW w:w="1098" w:type="dxa"/>
            <w:shd w:val="clear" w:color="auto" w:fill="auto"/>
            <w:noWrap/>
            <w:vAlign w:val="center"/>
            <w:hideMark/>
          </w:tcPr>
          <w:p w14:paraId="45EF7D23"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79 </w:t>
            </w:r>
          </w:p>
        </w:tc>
        <w:tc>
          <w:tcPr>
            <w:tcW w:w="1099" w:type="dxa"/>
            <w:shd w:val="clear" w:color="auto" w:fill="auto"/>
            <w:noWrap/>
            <w:vAlign w:val="center"/>
            <w:hideMark/>
          </w:tcPr>
          <w:p w14:paraId="0FA08933"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139 </w:t>
            </w:r>
          </w:p>
        </w:tc>
        <w:tc>
          <w:tcPr>
            <w:tcW w:w="850" w:type="dxa"/>
            <w:shd w:val="clear" w:color="auto" w:fill="auto"/>
            <w:noWrap/>
            <w:vAlign w:val="center"/>
            <w:hideMark/>
          </w:tcPr>
          <w:p w14:paraId="1CBC2912"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157 </w:t>
            </w:r>
          </w:p>
        </w:tc>
        <w:tc>
          <w:tcPr>
            <w:tcW w:w="851" w:type="dxa"/>
            <w:shd w:val="clear" w:color="auto" w:fill="auto"/>
            <w:noWrap/>
            <w:vAlign w:val="center"/>
            <w:hideMark/>
          </w:tcPr>
          <w:p w14:paraId="79804C36"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2 </w:t>
            </w:r>
          </w:p>
        </w:tc>
        <w:tc>
          <w:tcPr>
            <w:tcW w:w="850" w:type="dxa"/>
            <w:shd w:val="clear" w:color="auto" w:fill="auto"/>
            <w:noWrap/>
            <w:vAlign w:val="center"/>
            <w:hideMark/>
          </w:tcPr>
          <w:p w14:paraId="49F8A80E"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315 </w:t>
            </w:r>
          </w:p>
        </w:tc>
        <w:tc>
          <w:tcPr>
            <w:tcW w:w="851" w:type="dxa"/>
            <w:shd w:val="clear" w:color="auto" w:fill="auto"/>
            <w:noWrap/>
            <w:vAlign w:val="center"/>
            <w:hideMark/>
          </w:tcPr>
          <w:p w14:paraId="6354056A"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4 </w:t>
            </w:r>
          </w:p>
        </w:tc>
        <w:tc>
          <w:tcPr>
            <w:tcW w:w="779" w:type="dxa"/>
            <w:shd w:val="clear" w:color="auto" w:fill="auto"/>
            <w:noWrap/>
            <w:vAlign w:val="center"/>
            <w:hideMark/>
          </w:tcPr>
          <w:p w14:paraId="296095AA"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3,149 </w:t>
            </w:r>
          </w:p>
        </w:tc>
        <w:tc>
          <w:tcPr>
            <w:tcW w:w="780" w:type="dxa"/>
            <w:shd w:val="clear" w:color="auto" w:fill="auto"/>
            <w:noWrap/>
            <w:vAlign w:val="center"/>
            <w:hideMark/>
          </w:tcPr>
          <w:p w14:paraId="795A72A5"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9 </w:t>
            </w:r>
          </w:p>
        </w:tc>
        <w:tc>
          <w:tcPr>
            <w:tcW w:w="853" w:type="dxa"/>
            <w:shd w:val="clear" w:color="auto" w:fill="auto"/>
            <w:noWrap/>
            <w:vAlign w:val="center"/>
            <w:hideMark/>
          </w:tcPr>
          <w:p w14:paraId="1DED269E"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11,021 </w:t>
            </w:r>
          </w:p>
        </w:tc>
        <w:tc>
          <w:tcPr>
            <w:tcW w:w="853" w:type="dxa"/>
            <w:shd w:val="clear" w:color="auto" w:fill="auto"/>
            <w:noWrap/>
            <w:vAlign w:val="center"/>
            <w:hideMark/>
          </w:tcPr>
          <w:p w14:paraId="2DEF4CD9"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15 </w:t>
            </w:r>
          </w:p>
        </w:tc>
      </w:tr>
      <w:tr w:rsidR="003E5BF5" w:rsidRPr="003C66E4" w14:paraId="5F2BB4BC" w14:textId="77777777" w:rsidTr="001E6180">
        <w:trPr>
          <w:trHeight w:val="340"/>
          <w:jc w:val="center"/>
        </w:trPr>
        <w:tc>
          <w:tcPr>
            <w:tcW w:w="2405" w:type="dxa"/>
            <w:shd w:val="clear" w:color="auto" w:fill="auto"/>
            <w:noWrap/>
            <w:vAlign w:val="center"/>
          </w:tcPr>
          <w:p w14:paraId="23612F04" w14:textId="77777777" w:rsidR="003E5BF5" w:rsidRPr="003C66E4" w:rsidRDefault="003E5BF5" w:rsidP="00DE1921">
            <w:pPr>
              <w:rPr>
                <w:rFonts w:ascii="Arial" w:hAnsi="Arial" w:cs="Arial"/>
                <w:sz w:val="23"/>
                <w:szCs w:val="23"/>
              </w:rPr>
            </w:pPr>
            <w:r w:rsidRPr="003C66E4">
              <w:rPr>
                <w:rFonts w:ascii="Arial" w:hAnsi="Arial" w:cs="Arial"/>
                <w:sz w:val="23"/>
                <w:szCs w:val="23"/>
              </w:rPr>
              <w:t>Equity investment</w:t>
            </w:r>
          </w:p>
        </w:tc>
        <w:tc>
          <w:tcPr>
            <w:tcW w:w="886" w:type="dxa"/>
            <w:shd w:val="clear" w:color="auto" w:fill="auto"/>
            <w:noWrap/>
            <w:vAlign w:val="center"/>
          </w:tcPr>
          <w:p w14:paraId="62557714"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125,031 </w:t>
            </w:r>
          </w:p>
        </w:tc>
        <w:tc>
          <w:tcPr>
            <w:tcW w:w="886" w:type="dxa"/>
            <w:shd w:val="clear" w:color="auto" w:fill="auto"/>
            <w:noWrap/>
            <w:vAlign w:val="center"/>
          </w:tcPr>
          <w:p w14:paraId="03C6372D"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97,497 </w:t>
            </w:r>
          </w:p>
        </w:tc>
        <w:tc>
          <w:tcPr>
            <w:tcW w:w="1098" w:type="dxa"/>
            <w:shd w:val="clear" w:color="auto" w:fill="auto"/>
            <w:noWrap/>
            <w:vAlign w:val="center"/>
          </w:tcPr>
          <w:p w14:paraId="663F64F4"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30,492,465 </w:t>
            </w:r>
          </w:p>
        </w:tc>
        <w:tc>
          <w:tcPr>
            <w:tcW w:w="1099" w:type="dxa"/>
            <w:shd w:val="clear" w:color="auto" w:fill="auto"/>
            <w:noWrap/>
            <w:vAlign w:val="center"/>
          </w:tcPr>
          <w:p w14:paraId="2910D9E8"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26,320,455 </w:t>
            </w:r>
          </w:p>
        </w:tc>
        <w:tc>
          <w:tcPr>
            <w:tcW w:w="850" w:type="dxa"/>
            <w:shd w:val="clear" w:color="auto" w:fill="auto"/>
            <w:noWrap/>
            <w:vAlign w:val="center"/>
          </w:tcPr>
          <w:p w14:paraId="06845707"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938,285 </w:t>
            </w:r>
          </w:p>
        </w:tc>
        <w:tc>
          <w:tcPr>
            <w:tcW w:w="851" w:type="dxa"/>
            <w:shd w:val="clear" w:color="auto" w:fill="auto"/>
            <w:noWrap/>
            <w:vAlign w:val="center"/>
          </w:tcPr>
          <w:p w14:paraId="1E0B4E6F"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933,713 </w:t>
            </w:r>
          </w:p>
        </w:tc>
        <w:tc>
          <w:tcPr>
            <w:tcW w:w="850" w:type="dxa"/>
            <w:shd w:val="clear" w:color="auto" w:fill="auto"/>
            <w:noWrap/>
            <w:vAlign w:val="center"/>
          </w:tcPr>
          <w:p w14:paraId="32CCB637"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18 </w:t>
            </w:r>
          </w:p>
        </w:tc>
        <w:tc>
          <w:tcPr>
            <w:tcW w:w="851" w:type="dxa"/>
            <w:shd w:val="clear" w:color="auto" w:fill="auto"/>
            <w:noWrap/>
            <w:vAlign w:val="center"/>
          </w:tcPr>
          <w:p w14:paraId="7277372A" w14:textId="77777777" w:rsidR="003E5BF5" w:rsidRPr="003C66E4" w:rsidRDefault="003E5BF5" w:rsidP="00DE1921">
            <w:pPr>
              <w:jc w:val="right"/>
              <w:rPr>
                <w:rFonts w:ascii="Arial" w:hAnsi="Arial" w:cs="Arial"/>
                <w:sz w:val="23"/>
                <w:szCs w:val="23"/>
              </w:rPr>
            </w:pPr>
            <w:r w:rsidRPr="003C66E4">
              <w:rPr>
                <w:rFonts w:ascii="Arial" w:hAnsi="Arial" w:cs="Arial"/>
                <w:b/>
                <w:sz w:val="23"/>
                <w:szCs w:val="23"/>
              </w:rPr>
              <w:t>-</w:t>
            </w:r>
          </w:p>
        </w:tc>
        <w:tc>
          <w:tcPr>
            <w:tcW w:w="779" w:type="dxa"/>
            <w:shd w:val="clear" w:color="auto" w:fill="auto"/>
            <w:noWrap/>
            <w:vAlign w:val="center"/>
          </w:tcPr>
          <w:p w14:paraId="628C48A2"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40 </w:t>
            </w:r>
          </w:p>
        </w:tc>
        <w:tc>
          <w:tcPr>
            <w:tcW w:w="780" w:type="dxa"/>
            <w:shd w:val="clear" w:color="auto" w:fill="auto"/>
            <w:noWrap/>
            <w:vAlign w:val="center"/>
          </w:tcPr>
          <w:p w14:paraId="3ACB4ACA" w14:textId="77777777" w:rsidR="003E5BF5" w:rsidRPr="003C66E4" w:rsidRDefault="003E5BF5" w:rsidP="00DE1921">
            <w:pPr>
              <w:jc w:val="right"/>
              <w:rPr>
                <w:rFonts w:ascii="Arial" w:hAnsi="Arial" w:cs="Arial"/>
                <w:sz w:val="23"/>
                <w:szCs w:val="23"/>
              </w:rPr>
            </w:pPr>
            <w:r w:rsidRPr="003C66E4">
              <w:rPr>
                <w:rFonts w:ascii="Arial" w:hAnsi="Arial" w:cs="Arial"/>
                <w:b/>
                <w:sz w:val="23"/>
                <w:szCs w:val="23"/>
              </w:rPr>
              <w:t>-</w:t>
            </w:r>
          </w:p>
        </w:tc>
        <w:tc>
          <w:tcPr>
            <w:tcW w:w="853" w:type="dxa"/>
            <w:shd w:val="clear" w:color="auto" w:fill="auto"/>
            <w:noWrap/>
            <w:vAlign w:val="center"/>
          </w:tcPr>
          <w:p w14:paraId="2400FC5B"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 xml:space="preserve">69 </w:t>
            </w:r>
          </w:p>
        </w:tc>
        <w:tc>
          <w:tcPr>
            <w:tcW w:w="853" w:type="dxa"/>
            <w:shd w:val="clear" w:color="auto" w:fill="auto"/>
            <w:noWrap/>
            <w:vAlign w:val="center"/>
          </w:tcPr>
          <w:p w14:paraId="54DDE1C9" w14:textId="77777777" w:rsidR="003E5BF5" w:rsidRPr="003C66E4" w:rsidRDefault="003E5BF5" w:rsidP="00DE1921">
            <w:pPr>
              <w:jc w:val="right"/>
              <w:rPr>
                <w:rFonts w:ascii="Arial" w:hAnsi="Arial" w:cs="Arial"/>
                <w:sz w:val="23"/>
                <w:szCs w:val="23"/>
              </w:rPr>
            </w:pPr>
            <w:r w:rsidRPr="003C66E4">
              <w:rPr>
                <w:rFonts w:ascii="Arial" w:hAnsi="Arial" w:cs="Arial"/>
                <w:b/>
                <w:sz w:val="23"/>
                <w:szCs w:val="23"/>
              </w:rPr>
              <w:t>-</w:t>
            </w:r>
          </w:p>
        </w:tc>
      </w:tr>
      <w:tr w:rsidR="003E5BF5" w:rsidRPr="003C66E4" w14:paraId="33318FB4" w14:textId="77777777" w:rsidTr="001E6180">
        <w:trPr>
          <w:trHeight w:val="340"/>
          <w:jc w:val="center"/>
        </w:trPr>
        <w:tc>
          <w:tcPr>
            <w:tcW w:w="2405" w:type="dxa"/>
            <w:shd w:val="clear" w:color="auto" w:fill="auto"/>
            <w:noWrap/>
            <w:vAlign w:val="center"/>
            <w:hideMark/>
          </w:tcPr>
          <w:p w14:paraId="2AC16C89" w14:textId="77777777" w:rsidR="003E5BF5" w:rsidRPr="003C66E4" w:rsidRDefault="003E5BF5" w:rsidP="00DE1921">
            <w:pPr>
              <w:rPr>
                <w:rFonts w:ascii="Arial" w:hAnsi="Arial" w:cs="Arial"/>
                <w:b/>
                <w:sz w:val="23"/>
                <w:szCs w:val="23"/>
              </w:rPr>
            </w:pPr>
            <w:r w:rsidRPr="003C66E4">
              <w:rPr>
                <w:rFonts w:ascii="Arial" w:hAnsi="Arial" w:cs="Arial"/>
                <w:b/>
                <w:sz w:val="23"/>
                <w:szCs w:val="23"/>
              </w:rPr>
              <w:t>Total administered financial assets</w:t>
            </w:r>
          </w:p>
        </w:tc>
        <w:tc>
          <w:tcPr>
            <w:tcW w:w="886" w:type="dxa"/>
            <w:shd w:val="clear" w:color="auto" w:fill="auto"/>
            <w:noWrap/>
            <w:hideMark/>
          </w:tcPr>
          <w:p w14:paraId="596D8E3F"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125,210 </w:t>
            </w:r>
          </w:p>
        </w:tc>
        <w:tc>
          <w:tcPr>
            <w:tcW w:w="886" w:type="dxa"/>
            <w:shd w:val="clear" w:color="auto" w:fill="auto"/>
            <w:noWrap/>
            <w:hideMark/>
          </w:tcPr>
          <w:p w14:paraId="5AF6F5DB"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98,317 </w:t>
            </w:r>
          </w:p>
        </w:tc>
        <w:tc>
          <w:tcPr>
            <w:tcW w:w="1098" w:type="dxa"/>
            <w:shd w:val="clear" w:color="auto" w:fill="auto"/>
            <w:noWrap/>
            <w:hideMark/>
          </w:tcPr>
          <w:p w14:paraId="4F42ACC6"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30,499,682 </w:t>
            </w:r>
          </w:p>
        </w:tc>
        <w:tc>
          <w:tcPr>
            <w:tcW w:w="1099" w:type="dxa"/>
            <w:shd w:val="clear" w:color="auto" w:fill="auto"/>
            <w:noWrap/>
            <w:hideMark/>
          </w:tcPr>
          <w:p w14:paraId="4BEAF614"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26,323,225 </w:t>
            </w:r>
          </w:p>
        </w:tc>
        <w:tc>
          <w:tcPr>
            <w:tcW w:w="850" w:type="dxa"/>
            <w:shd w:val="clear" w:color="auto" w:fill="auto"/>
            <w:noWrap/>
            <w:hideMark/>
          </w:tcPr>
          <w:p w14:paraId="0FEF486B"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938,450 </w:t>
            </w:r>
          </w:p>
        </w:tc>
        <w:tc>
          <w:tcPr>
            <w:tcW w:w="851" w:type="dxa"/>
            <w:shd w:val="clear" w:color="auto" w:fill="auto"/>
            <w:noWrap/>
            <w:hideMark/>
          </w:tcPr>
          <w:p w14:paraId="69B9DA9B"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933,787 </w:t>
            </w:r>
          </w:p>
        </w:tc>
        <w:tc>
          <w:tcPr>
            <w:tcW w:w="850" w:type="dxa"/>
            <w:shd w:val="clear" w:color="auto" w:fill="auto"/>
            <w:noWrap/>
            <w:hideMark/>
          </w:tcPr>
          <w:p w14:paraId="1A044CD2"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353 </w:t>
            </w:r>
          </w:p>
        </w:tc>
        <w:tc>
          <w:tcPr>
            <w:tcW w:w="851" w:type="dxa"/>
            <w:shd w:val="clear" w:color="auto" w:fill="auto"/>
            <w:noWrap/>
            <w:hideMark/>
          </w:tcPr>
          <w:p w14:paraId="3203C5F8"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189 </w:t>
            </w:r>
          </w:p>
        </w:tc>
        <w:tc>
          <w:tcPr>
            <w:tcW w:w="779" w:type="dxa"/>
            <w:shd w:val="clear" w:color="auto" w:fill="auto"/>
            <w:noWrap/>
            <w:hideMark/>
          </w:tcPr>
          <w:p w14:paraId="55CE7EFA"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3,232 </w:t>
            </w:r>
          </w:p>
        </w:tc>
        <w:tc>
          <w:tcPr>
            <w:tcW w:w="780" w:type="dxa"/>
            <w:shd w:val="clear" w:color="auto" w:fill="auto"/>
            <w:noWrap/>
            <w:hideMark/>
          </w:tcPr>
          <w:p w14:paraId="6DEA2C63"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424 </w:t>
            </w:r>
          </w:p>
        </w:tc>
        <w:tc>
          <w:tcPr>
            <w:tcW w:w="853" w:type="dxa"/>
            <w:shd w:val="clear" w:color="auto" w:fill="auto"/>
            <w:noWrap/>
            <w:hideMark/>
          </w:tcPr>
          <w:p w14:paraId="4BB5BD90"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11,165 </w:t>
            </w:r>
          </w:p>
        </w:tc>
        <w:tc>
          <w:tcPr>
            <w:tcW w:w="853" w:type="dxa"/>
            <w:shd w:val="clear" w:color="auto" w:fill="auto"/>
            <w:noWrap/>
            <w:hideMark/>
          </w:tcPr>
          <w:p w14:paraId="163610DC"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728 </w:t>
            </w:r>
          </w:p>
        </w:tc>
      </w:tr>
      <w:tr w:rsidR="003E5BF5" w:rsidRPr="003C66E4" w14:paraId="05653674" w14:textId="77777777" w:rsidTr="001E6180">
        <w:trPr>
          <w:trHeight w:val="340"/>
          <w:jc w:val="center"/>
        </w:trPr>
        <w:tc>
          <w:tcPr>
            <w:tcW w:w="2405" w:type="dxa"/>
            <w:shd w:val="clear" w:color="auto" w:fill="auto"/>
            <w:noWrap/>
            <w:vAlign w:val="center"/>
            <w:hideMark/>
          </w:tcPr>
          <w:p w14:paraId="0F62C6AF" w14:textId="77777777" w:rsidR="003E5BF5" w:rsidRPr="003C66E4" w:rsidRDefault="003E5BF5" w:rsidP="00DE1921">
            <w:pPr>
              <w:rPr>
                <w:rFonts w:ascii="Arial" w:hAnsi="Arial" w:cs="Arial"/>
                <w:b/>
                <w:sz w:val="23"/>
                <w:szCs w:val="23"/>
              </w:rPr>
            </w:pPr>
            <w:r w:rsidRPr="003C66E4">
              <w:rPr>
                <w:rFonts w:ascii="Arial" w:hAnsi="Arial" w:cs="Arial"/>
                <w:b/>
                <w:sz w:val="23"/>
                <w:szCs w:val="23"/>
              </w:rPr>
              <w:t>Total administered assets</w:t>
            </w:r>
          </w:p>
        </w:tc>
        <w:tc>
          <w:tcPr>
            <w:tcW w:w="886" w:type="dxa"/>
            <w:shd w:val="clear" w:color="auto" w:fill="auto"/>
            <w:noWrap/>
            <w:vAlign w:val="center"/>
            <w:hideMark/>
          </w:tcPr>
          <w:p w14:paraId="5B6CD654"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125,210 </w:t>
            </w:r>
          </w:p>
        </w:tc>
        <w:tc>
          <w:tcPr>
            <w:tcW w:w="886" w:type="dxa"/>
            <w:shd w:val="clear" w:color="auto" w:fill="auto"/>
            <w:noWrap/>
            <w:vAlign w:val="center"/>
            <w:hideMark/>
          </w:tcPr>
          <w:p w14:paraId="79673B8A"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98,317 </w:t>
            </w:r>
          </w:p>
        </w:tc>
        <w:tc>
          <w:tcPr>
            <w:tcW w:w="1098" w:type="dxa"/>
            <w:shd w:val="clear" w:color="auto" w:fill="auto"/>
            <w:noWrap/>
            <w:vAlign w:val="center"/>
            <w:hideMark/>
          </w:tcPr>
          <w:p w14:paraId="086413F9"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30,499,682 </w:t>
            </w:r>
          </w:p>
        </w:tc>
        <w:tc>
          <w:tcPr>
            <w:tcW w:w="1099" w:type="dxa"/>
            <w:shd w:val="clear" w:color="auto" w:fill="auto"/>
            <w:noWrap/>
            <w:vAlign w:val="center"/>
            <w:hideMark/>
          </w:tcPr>
          <w:p w14:paraId="025EEE3C"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26,323,225 </w:t>
            </w:r>
          </w:p>
        </w:tc>
        <w:tc>
          <w:tcPr>
            <w:tcW w:w="850" w:type="dxa"/>
            <w:shd w:val="clear" w:color="auto" w:fill="auto"/>
            <w:noWrap/>
            <w:vAlign w:val="center"/>
            <w:hideMark/>
          </w:tcPr>
          <w:p w14:paraId="0EE61ECF"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938,450 </w:t>
            </w:r>
          </w:p>
        </w:tc>
        <w:tc>
          <w:tcPr>
            <w:tcW w:w="851" w:type="dxa"/>
            <w:shd w:val="clear" w:color="auto" w:fill="auto"/>
            <w:noWrap/>
            <w:vAlign w:val="center"/>
            <w:hideMark/>
          </w:tcPr>
          <w:p w14:paraId="2D38A8B8"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933,787 </w:t>
            </w:r>
          </w:p>
        </w:tc>
        <w:tc>
          <w:tcPr>
            <w:tcW w:w="850" w:type="dxa"/>
            <w:shd w:val="clear" w:color="auto" w:fill="auto"/>
            <w:noWrap/>
            <w:vAlign w:val="center"/>
            <w:hideMark/>
          </w:tcPr>
          <w:p w14:paraId="71AD6A31"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353 </w:t>
            </w:r>
          </w:p>
        </w:tc>
        <w:tc>
          <w:tcPr>
            <w:tcW w:w="851" w:type="dxa"/>
            <w:shd w:val="clear" w:color="auto" w:fill="auto"/>
            <w:noWrap/>
            <w:vAlign w:val="center"/>
            <w:hideMark/>
          </w:tcPr>
          <w:p w14:paraId="24CFC15B"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189 </w:t>
            </w:r>
          </w:p>
        </w:tc>
        <w:tc>
          <w:tcPr>
            <w:tcW w:w="779" w:type="dxa"/>
            <w:shd w:val="clear" w:color="auto" w:fill="auto"/>
            <w:noWrap/>
            <w:vAlign w:val="center"/>
            <w:hideMark/>
          </w:tcPr>
          <w:p w14:paraId="513974BC"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3,232 </w:t>
            </w:r>
          </w:p>
        </w:tc>
        <w:tc>
          <w:tcPr>
            <w:tcW w:w="780" w:type="dxa"/>
            <w:shd w:val="clear" w:color="auto" w:fill="auto"/>
            <w:noWrap/>
            <w:vAlign w:val="center"/>
            <w:hideMark/>
          </w:tcPr>
          <w:p w14:paraId="24401E60"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424 </w:t>
            </w:r>
          </w:p>
        </w:tc>
        <w:tc>
          <w:tcPr>
            <w:tcW w:w="853" w:type="dxa"/>
            <w:shd w:val="clear" w:color="auto" w:fill="auto"/>
            <w:noWrap/>
            <w:vAlign w:val="center"/>
            <w:hideMark/>
          </w:tcPr>
          <w:p w14:paraId="4ADA06B1"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11,165 </w:t>
            </w:r>
          </w:p>
        </w:tc>
        <w:tc>
          <w:tcPr>
            <w:tcW w:w="853" w:type="dxa"/>
            <w:shd w:val="clear" w:color="auto" w:fill="auto"/>
            <w:noWrap/>
            <w:vAlign w:val="center"/>
            <w:hideMark/>
          </w:tcPr>
          <w:p w14:paraId="293F8886"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728 </w:t>
            </w:r>
          </w:p>
        </w:tc>
      </w:tr>
      <w:tr w:rsidR="003E5BF5" w:rsidRPr="003C66E4" w14:paraId="2B416F19" w14:textId="77777777" w:rsidTr="001E6180">
        <w:trPr>
          <w:trHeight w:val="340"/>
          <w:jc w:val="center"/>
        </w:trPr>
        <w:tc>
          <w:tcPr>
            <w:tcW w:w="2405" w:type="dxa"/>
            <w:shd w:val="clear" w:color="auto" w:fill="auto"/>
            <w:noWrap/>
            <w:vAlign w:val="center"/>
            <w:hideMark/>
          </w:tcPr>
          <w:p w14:paraId="16E6B558" w14:textId="77777777" w:rsidR="003E5BF5" w:rsidRPr="003C66E4" w:rsidRDefault="003E5BF5" w:rsidP="00DE1921">
            <w:pPr>
              <w:rPr>
                <w:rFonts w:ascii="Arial" w:hAnsi="Arial" w:cs="Arial"/>
                <w:b/>
                <w:sz w:val="23"/>
                <w:szCs w:val="23"/>
              </w:rPr>
            </w:pPr>
          </w:p>
        </w:tc>
        <w:tc>
          <w:tcPr>
            <w:tcW w:w="886" w:type="dxa"/>
            <w:shd w:val="clear" w:color="auto" w:fill="auto"/>
            <w:noWrap/>
            <w:vAlign w:val="center"/>
            <w:hideMark/>
          </w:tcPr>
          <w:p w14:paraId="2BC7A319" w14:textId="77777777" w:rsidR="003E5BF5" w:rsidRPr="003C66E4" w:rsidRDefault="003E5BF5" w:rsidP="00DE1921">
            <w:pPr>
              <w:jc w:val="right"/>
              <w:rPr>
                <w:rFonts w:ascii="Arial" w:hAnsi="Arial" w:cs="Arial"/>
                <w:sz w:val="23"/>
                <w:szCs w:val="23"/>
              </w:rPr>
            </w:pPr>
          </w:p>
        </w:tc>
        <w:tc>
          <w:tcPr>
            <w:tcW w:w="886" w:type="dxa"/>
            <w:shd w:val="clear" w:color="auto" w:fill="auto"/>
            <w:noWrap/>
            <w:vAlign w:val="center"/>
            <w:hideMark/>
          </w:tcPr>
          <w:p w14:paraId="24C8BD6A" w14:textId="77777777" w:rsidR="003E5BF5" w:rsidRPr="003C66E4" w:rsidRDefault="003E5BF5" w:rsidP="00DE1921">
            <w:pPr>
              <w:jc w:val="right"/>
              <w:rPr>
                <w:rFonts w:ascii="Arial" w:hAnsi="Arial" w:cs="Arial"/>
                <w:sz w:val="23"/>
                <w:szCs w:val="23"/>
              </w:rPr>
            </w:pPr>
          </w:p>
        </w:tc>
        <w:tc>
          <w:tcPr>
            <w:tcW w:w="1098" w:type="dxa"/>
            <w:shd w:val="clear" w:color="auto" w:fill="auto"/>
            <w:noWrap/>
            <w:vAlign w:val="center"/>
            <w:hideMark/>
          </w:tcPr>
          <w:p w14:paraId="4417625A" w14:textId="77777777" w:rsidR="003E5BF5" w:rsidRPr="003C66E4" w:rsidRDefault="003E5BF5" w:rsidP="00DE1921">
            <w:pPr>
              <w:jc w:val="right"/>
              <w:rPr>
                <w:rFonts w:ascii="Arial" w:hAnsi="Arial" w:cs="Arial"/>
                <w:sz w:val="23"/>
                <w:szCs w:val="23"/>
              </w:rPr>
            </w:pPr>
          </w:p>
        </w:tc>
        <w:tc>
          <w:tcPr>
            <w:tcW w:w="1099" w:type="dxa"/>
            <w:shd w:val="clear" w:color="auto" w:fill="auto"/>
            <w:noWrap/>
            <w:vAlign w:val="center"/>
            <w:hideMark/>
          </w:tcPr>
          <w:p w14:paraId="5024DE2D" w14:textId="77777777" w:rsidR="003E5BF5" w:rsidRPr="003C66E4" w:rsidRDefault="003E5BF5" w:rsidP="00DE1921">
            <w:pPr>
              <w:jc w:val="right"/>
              <w:rPr>
                <w:rFonts w:ascii="Arial" w:hAnsi="Arial" w:cs="Arial"/>
                <w:sz w:val="23"/>
                <w:szCs w:val="23"/>
              </w:rPr>
            </w:pPr>
          </w:p>
        </w:tc>
        <w:tc>
          <w:tcPr>
            <w:tcW w:w="850" w:type="dxa"/>
            <w:shd w:val="clear" w:color="auto" w:fill="auto"/>
            <w:noWrap/>
            <w:vAlign w:val="center"/>
            <w:hideMark/>
          </w:tcPr>
          <w:p w14:paraId="316C4921" w14:textId="77777777" w:rsidR="003E5BF5" w:rsidRPr="003C66E4" w:rsidRDefault="003E5BF5" w:rsidP="00DE1921">
            <w:pPr>
              <w:jc w:val="right"/>
              <w:rPr>
                <w:rFonts w:ascii="Arial" w:hAnsi="Arial" w:cs="Arial"/>
                <w:sz w:val="23"/>
                <w:szCs w:val="23"/>
              </w:rPr>
            </w:pPr>
          </w:p>
        </w:tc>
        <w:tc>
          <w:tcPr>
            <w:tcW w:w="851" w:type="dxa"/>
            <w:shd w:val="clear" w:color="auto" w:fill="auto"/>
            <w:noWrap/>
            <w:vAlign w:val="center"/>
            <w:hideMark/>
          </w:tcPr>
          <w:p w14:paraId="223E363B" w14:textId="77777777" w:rsidR="003E5BF5" w:rsidRPr="003C66E4" w:rsidRDefault="003E5BF5" w:rsidP="00DE1921">
            <w:pPr>
              <w:jc w:val="right"/>
              <w:rPr>
                <w:rFonts w:ascii="Arial" w:hAnsi="Arial" w:cs="Arial"/>
                <w:sz w:val="23"/>
                <w:szCs w:val="23"/>
              </w:rPr>
            </w:pPr>
          </w:p>
        </w:tc>
        <w:tc>
          <w:tcPr>
            <w:tcW w:w="850" w:type="dxa"/>
            <w:shd w:val="clear" w:color="auto" w:fill="auto"/>
            <w:noWrap/>
            <w:vAlign w:val="center"/>
            <w:hideMark/>
          </w:tcPr>
          <w:p w14:paraId="47B33499" w14:textId="77777777" w:rsidR="003E5BF5" w:rsidRPr="003C66E4" w:rsidRDefault="003E5BF5" w:rsidP="00DE1921">
            <w:pPr>
              <w:jc w:val="right"/>
              <w:rPr>
                <w:rFonts w:ascii="Arial" w:hAnsi="Arial" w:cs="Arial"/>
                <w:sz w:val="23"/>
                <w:szCs w:val="23"/>
              </w:rPr>
            </w:pPr>
          </w:p>
        </w:tc>
        <w:tc>
          <w:tcPr>
            <w:tcW w:w="851" w:type="dxa"/>
            <w:shd w:val="clear" w:color="auto" w:fill="auto"/>
            <w:noWrap/>
            <w:vAlign w:val="center"/>
            <w:hideMark/>
          </w:tcPr>
          <w:p w14:paraId="40F5B024" w14:textId="77777777" w:rsidR="003E5BF5" w:rsidRPr="003C66E4" w:rsidRDefault="003E5BF5" w:rsidP="00DE1921">
            <w:pPr>
              <w:jc w:val="right"/>
              <w:rPr>
                <w:rFonts w:ascii="Arial" w:hAnsi="Arial" w:cs="Arial"/>
                <w:sz w:val="23"/>
                <w:szCs w:val="23"/>
              </w:rPr>
            </w:pPr>
          </w:p>
        </w:tc>
        <w:tc>
          <w:tcPr>
            <w:tcW w:w="779" w:type="dxa"/>
            <w:shd w:val="clear" w:color="auto" w:fill="auto"/>
            <w:noWrap/>
            <w:vAlign w:val="center"/>
            <w:hideMark/>
          </w:tcPr>
          <w:p w14:paraId="2C7337C3" w14:textId="77777777" w:rsidR="003E5BF5" w:rsidRPr="003C66E4" w:rsidRDefault="003E5BF5" w:rsidP="00DE1921">
            <w:pPr>
              <w:jc w:val="right"/>
              <w:rPr>
                <w:rFonts w:ascii="Arial" w:hAnsi="Arial" w:cs="Arial"/>
                <w:sz w:val="23"/>
                <w:szCs w:val="23"/>
              </w:rPr>
            </w:pPr>
          </w:p>
        </w:tc>
        <w:tc>
          <w:tcPr>
            <w:tcW w:w="780" w:type="dxa"/>
            <w:shd w:val="clear" w:color="auto" w:fill="auto"/>
            <w:noWrap/>
            <w:vAlign w:val="center"/>
            <w:hideMark/>
          </w:tcPr>
          <w:p w14:paraId="5B2EEFC8" w14:textId="77777777" w:rsidR="003E5BF5" w:rsidRPr="003C66E4" w:rsidRDefault="003E5BF5" w:rsidP="00DE1921">
            <w:pPr>
              <w:jc w:val="right"/>
              <w:rPr>
                <w:rFonts w:ascii="Arial" w:hAnsi="Arial" w:cs="Arial"/>
                <w:sz w:val="23"/>
                <w:szCs w:val="23"/>
              </w:rPr>
            </w:pPr>
          </w:p>
        </w:tc>
        <w:tc>
          <w:tcPr>
            <w:tcW w:w="853" w:type="dxa"/>
            <w:shd w:val="clear" w:color="auto" w:fill="auto"/>
            <w:noWrap/>
            <w:vAlign w:val="center"/>
            <w:hideMark/>
          </w:tcPr>
          <w:p w14:paraId="32B1B17C" w14:textId="77777777" w:rsidR="003E5BF5" w:rsidRPr="003C66E4" w:rsidRDefault="003E5BF5" w:rsidP="00DE1921">
            <w:pPr>
              <w:jc w:val="right"/>
              <w:rPr>
                <w:rFonts w:ascii="Arial" w:hAnsi="Arial" w:cs="Arial"/>
                <w:sz w:val="23"/>
                <w:szCs w:val="23"/>
              </w:rPr>
            </w:pPr>
          </w:p>
        </w:tc>
        <w:tc>
          <w:tcPr>
            <w:tcW w:w="853" w:type="dxa"/>
            <w:shd w:val="clear" w:color="auto" w:fill="auto"/>
            <w:noWrap/>
            <w:vAlign w:val="center"/>
            <w:hideMark/>
          </w:tcPr>
          <w:p w14:paraId="65F2B61D" w14:textId="77777777" w:rsidR="003E5BF5" w:rsidRPr="003C66E4" w:rsidRDefault="003E5BF5" w:rsidP="00DE1921">
            <w:pPr>
              <w:jc w:val="right"/>
              <w:rPr>
                <w:rFonts w:ascii="Arial" w:hAnsi="Arial" w:cs="Arial"/>
                <w:sz w:val="23"/>
                <w:szCs w:val="23"/>
              </w:rPr>
            </w:pPr>
          </w:p>
        </w:tc>
      </w:tr>
      <w:tr w:rsidR="003E5BF5" w:rsidRPr="003C66E4" w14:paraId="4C70C370" w14:textId="77777777" w:rsidTr="001E6180">
        <w:trPr>
          <w:trHeight w:val="340"/>
          <w:jc w:val="center"/>
        </w:trPr>
        <w:tc>
          <w:tcPr>
            <w:tcW w:w="2405" w:type="dxa"/>
            <w:shd w:val="clear" w:color="auto" w:fill="auto"/>
            <w:noWrap/>
            <w:vAlign w:val="center"/>
            <w:hideMark/>
          </w:tcPr>
          <w:p w14:paraId="084FCF87" w14:textId="77777777" w:rsidR="003E5BF5" w:rsidRPr="003C66E4" w:rsidRDefault="003E5BF5" w:rsidP="00604703">
            <w:pPr>
              <w:pStyle w:val="TableTextGreen"/>
              <w:rPr>
                <w:sz w:val="23"/>
                <w:szCs w:val="23"/>
              </w:rPr>
            </w:pPr>
            <w:r w:rsidRPr="003C66E4">
              <w:rPr>
                <w:sz w:val="23"/>
                <w:szCs w:val="23"/>
              </w:rPr>
              <w:t>Administered liabilities</w:t>
            </w:r>
          </w:p>
        </w:tc>
        <w:tc>
          <w:tcPr>
            <w:tcW w:w="886" w:type="dxa"/>
            <w:shd w:val="clear" w:color="auto" w:fill="auto"/>
            <w:noWrap/>
            <w:vAlign w:val="center"/>
            <w:hideMark/>
          </w:tcPr>
          <w:p w14:paraId="78D91F6B" w14:textId="77777777" w:rsidR="003E5BF5" w:rsidRPr="003C66E4" w:rsidRDefault="003E5BF5" w:rsidP="00DE1921">
            <w:pPr>
              <w:jc w:val="right"/>
              <w:rPr>
                <w:rFonts w:ascii="Arial" w:hAnsi="Arial" w:cs="Arial"/>
                <w:sz w:val="23"/>
                <w:szCs w:val="23"/>
              </w:rPr>
            </w:pPr>
          </w:p>
        </w:tc>
        <w:tc>
          <w:tcPr>
            <w:tcW w:w="886" w:type="dxa"/>
            <w:shd w:val="clear" w:color="auto" w:fill="auto"/>
            <w:noWrap/>
            <w:vAlign w:val="center"/>
            <w:hideMark/>
          </w:tcPr>
          <w:p w14:paraId="3C97409C" w14:textId="77777777" w:rsidR="003E5BF5" w:rsidRPr="003C66E4" w:rsidRDefault="003E5BF5" w:rsidP="00DE1921">
            <w:pPr>
              <w:jc w:val="right"/>
              <w:rPr>
                <w:rFonts w:ascii="Arial" w:hAnsi="Arial" w:cs="Arial"/>
                <w:sz w:val="23"/>
                <w:szCs w:val="23"/>
              </w:rPr>
            </w:pPr>
          </w:p>
        </w:tc>
        <w:tc>
          <w:tcPr>
            <w:tcW w:w="1098" w:type="dxa"/>
            <w:shd w:val="clear" w:color="auto" w:fill="auto"/>
            <w:noWrap/>
            <w:vAlign w:val="center"/>
            <w:hideMark/>
          </w:tcPr>
          <w:p w14:paraId="11967A84" w14:textId="77777777" w:rsidR="003E5BF5" w:rsidRPr="003C66E4" w:rsidRDefault="003E5BF5" w:rsidP="00DE1921">
            <w:pPr>
              <w:jc w:val="right"/>
              <w:rPr>
                <w:rFonts w:ascii="Arial" w:hAnsi="Arial" w:cs="Arial"/>
                <w:sz w:val="23"/>
                <w:szCs w:val="23"/>
              </w:rPr>
            </w:pPr>
          </w:p>
        </w:tc>
        <w:tc>
          <w:tcPr>
            <w:tcW w:w="1099" w:type="dxa"/>
            <w:shd w:val="clear" w:color="auto" w:fill="auto"/>
            <w:noWrap/>
            <w:vAlign w:val="center"/>
            <w:hideMark/>
          </w:tcPr>
          <w:p w14:paraId="54E6C543" w14:textId="77777777" w:rsidR="003E5BF5" w:rsidRPr="003C66E4" w:rsidRDefault="003E5BF5" w:rsidP="00DE1921">
            <w:pPr>
              <w:jc w:val="right"/>
              <w:rPr>
                <w:rFonts w:ascii="Arial" w:hAnsi="Arial" w:cs="Arial"/>
                <w:sz w:val="23"/>
                <w:szCs w:val="23"/>
              </w:rPr>
            </w:pPr>
          </w:p>
        </w:tc>
        <w:tc>
          <w:tcPr>
            <w:tcW w:w="850" w:type="dxa"/>
            <w:shd w:val="clear" w:color="auto" w:fill="auto"/>
            <w:noWrap/>
            <w:vAlign w:val="center"/>
            <w:hideMark/>
          </w:tcPr>
          <w:p w14:paraId="342A74BB" w14:textId="77777777" w:rsidR="003E5BF5" w:rsidRPr="003C66E4" w:rsidRDefault="003E5BF5" w:rsidP="00DE1921">
            <w:pPr>
              <w:jc w:val="right"/>
              <w:rPr>
                <w:rFonts w:ascii="Arial" w:hAnsi="Arial" w:cs="Arial"/>
                <w:sz w:val="23"/>
                <w:szCs w:val="23"/>
              </w:rPr>
            </w:pPr>
          </w:p>
        </w:tc>
        <w:tc>
          <w:tcPr>
            <w:tcW w:w="851" w:type="dxa"/>
            <w:shd w:val="clear" w:color="auto" w:fill="auto"/>
            <w:noWrap/>
            <w:vAlign w:val="center"/>
            <w:hideMark/>
          </w:tcPr>
          <w:p w14:paraId="5BCCF828" w14:textId="77777777" w:rsidR="003E5BF5" w:rsidRPr="003C66E4" w:rsidRDefault="003E5BF5" w:rsidP="00DE1921">
            <w:pPr>
              <w:jc w:val="right"/>
              <w:rPr>
                <w:rFonts w:ascii="Arial" w:hAnsi="Arial" w:cs="Arial"/>
                <w:sz w:val="23"/>
                <w:szCs w:val="23"/>
              </w:rPr>
            </w:pPr>
          </w:p>
        </w:tc>
        <w:tc>
          <w:tcPr>
            <w:tcW w:w="850" w:type="dxa"/>
            <w:shd w:val="clear" w:color="auto" w:fill="auto"/>
            <w:noWrap/>
            <w:vAlign w:val="center"/>
            <w:hideMark/>
          </w:tcPr>
          <w:p w14:paraId="615908A5" w14:textId="77777777" w:rsidR="003E5BF5" w:rsidRPr="003C66E4" w:rsidRDefault="003E5BF5" w:rsidP="00DE1921">
            <w:pPr>
              <w:jc w:val="right"/>
              <w:rPr>
                <w:rFonts w:ascii="Arial" w:hAnsi="Arial" w:cs="Arial"/>
                <w:sz w:val="23"/>
                <w:szCs w:val="23"/>
              </w:rPr>
            </w:pPr>
          </w:p>
        </w:tc>
        <w:tc>
          <w:tcPr>
            <w:tcW w:w="851" w:type="dxa"/>
            <w:shd w:val="clear" w:color="auto" w:fill="auto"/>
            <w:noWrap/>
            <w:vAlign w:val="center"/>
            <w:hideMark/>
          </w:tcPr>
          <w:p w14:paraId="2FAD9449" w14:textId="77777777" w:rsidR="003E5BF5" w:rsidRPr="003C66E4" w:rsidRDefault="003E5BF5" w:rsidP="00DE1921">
            <w:pPr>
              <w:jc w:val="right"/>
              <w:rPr>
                <w:rFonts w:ascii="Arial" w:hAnsi="Arial" w:cs="Arial"/>
                <w:sz w:val="23"/>
                <w:szCs w:val="23"/>
              </w:rPr>
            </w:pPr>
          </w:p>
        </w:tc>
        <w:tc>
          <w:tcPr>
            <w:tcW w:w="779" w:type="dxa"/>
            <w:shd w:val="clear" w:color="auto" w:fill="auto"/>
            <w:noWrap/>
            <w:vAlign w:val="center"/>
            <w:hideMark/>
          </w:tcPr>
          <w:p w14:paraId="311E6F0A" w14:textId="77777777" w:rsidR="003E5BF5" w:rsidRPr="003C66E4" w:rsidRDefault="003E5BF5" w:rsidP="00DE1921">
            <w:pPr>
              <w:jc w:val="right"/>
              <w:rPr>
                <w:rFonts w:ascii="Arial" w:hAnsi="Arial" w:cs="Arial"/>
                <w:sz w:val="23"/>
                <w:szCs w:val="23"/>
              </w:rPr>
            </w:pPr>
          </w:p>
        </w:tc>
        <w:tc>
          <w:tcPr>
            <w:tcW w:w="780" w:type="dxa"/>
            <w:shd w:val="clear" w:color="auto" w:fill="auto"/>
            <w:noWrap/>
            <w:vAlign w:val="center"/>
            <w:hideMark/>
          </w:tcPr>
          <w:p w14:paraId="7796A726" w14:textId="77777777" w:rsidR="003E5BF5" w:rsidRPr="003C66E4" w:rsidRDefault="003E5BF5" w:rsidP="00DE1921">
            <w:pPr>
              <w:jc w:val="right"/>
              <w:rPr>
                <w:rFonts w:ascii="Arial" w:hAnsi="Arial" w:cs="Arial"/>
                <w:sz w:val="23"/>
                <w:szCs w:val="23"/>
              </w:rPr>
            </w:pPr>
          </w:p>
        </w:tc>
        <w:tc>
          <w:tcPr>
            <w:tcW w:w="853" w:type="dxa"/>
            <w:shd w:val="clear" w:color="auto" w:fill="auto"/>
            <w:noWrap/>
            <w:vAlign w:val="center"/>
            <w:hideMark/>
          </w:tcPr>
          <w:p w14:paraId="699758CF" w14:textId="77777777" w:rsidR="003E5BF5" w:rsidRPr="003C66E4" w:rsidRDefault="003E5BF5" w:rsidP="00DE1921">
            <w:pPr>
              <w:jc w:val="right"/>
              <w:rPr>
                <w:rFonts w:ascii="Arial" w:hAnsi="Arial" w:cs="Arial"/>
                <w:sz w:val="23"/>
                <w:szCs w:val="23"/>
              </w:rPr>
            </w:pPr>
          </w:p>
        </w:tc>
        <w:tc>
          <w:tcPr>
            <w:tcW w:w="853" w:type="dxa"/>
            <w:shd w:val="clear" w:color="auto" w:fill="auto"/>
            <w:noWrap/>
            <w:vAlign w:val="center"/>
            <w:hideMark/>
          </w:tcPr>
          <w:p w14:paraId="6E36EEB7" w14:textId="77777777" w:rsidR="003E5BF5" w:rsidRPr="003C66E4" w:rsidRDefault="003E5BF5" w:rsidP="00DE1921">
            <w:pPr>
              <w:jc w:val="right"/>
              <w:rPr>
                <w:rFonts w:ascii="Arial" w:hAnsi="Arial" w:cs="Arial"/>
                <w:sz w:val="23"/>
                <w:szCs w:val="23"/>
              </w:rPr>
            </w:pPr>
          </w:p>
        </w:tc>
      </w:tr>
      <w:tr w:rsidR="003E5BF5" w:rsidRPr="003C66E4" w14:paraId="68958DCD" w14:textId="77777777" w:rsidTr="001E6180">
        <w:trPr>
          <w:trHeight w:val="340"/>
          <w:jc w:val="center"/>
        </w:trPr>
        <w:tc>
          <w:tcPr>
            <w:tcW w:w="2405" w:type="dxa"/>
            <w:shd w:val="clear" w:color="auto" w:fill="auto"/>
            <w:noWrap/>
            <w:vAlign w:val="center"/>
            <w:hideMark/>
          </w:tcPr>
          <w:p w14:paraId="1D067B54" w14:textId="77777777" w:rsidR="003E5BF5" w:rsidRPr="003C66E4" w:rsidRDefault="003E5BF5" w:rsidP="00DE1921">
            <w:pPr>
              <w:rPr>
                <w:rFonts w:ascii="Arial" w:hAnsi="Arial" w:cs="Arial"/>
                <w:sz w:val="23"/>
                <w:szCs w:val="23"/>
              </w:rPr>
            </w:pPr>
            <w:r w:rsidRPr="003C66E4">
              <w:rPr>
                <w:rFonts w:ascii="Arial" w:hAnsi="Arial" w:cs="Arial"/>
                <w:sz w:val="23"/>
                <w:szCs w:val="23"/>
              </w:rPr>
              <w:t>Creditors and accruals</w:t>
            </w:r>
          </w:p>
        </w:tc>
        <w:tc>
          <w:tcPr>
            <w:tcW w:w="886" w:type="dxa"/>
            <w:shd w:val="clear" w:color="auto" w:fill="auto"/>
            <w:noWrap/>
            <w:vAlign w:val="center"/>
            <w:hideMark/>
          </w:tcPr>
          <w:p w14:paraId="1CB5FE9D"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(1)</w:t>
            </w:r>
          </w:p>
        </w:tc>
        <w:tc>
          <w:tcPr>
            <w:tcW w:w="886" w:type="dxa"/>
            <w:shd w:val="clear" w:color="auto" w:fill="auto"/>
            <w:noWrap/>
            <w:vAlign w:val="center"/>
            <w:hideMark/>
          </w:tcPr>
          <w:p w14:paraId="0CF59040"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(35)</w:t>
            </w:r>
          </w:p>
        </w:tc>
        <w:tc>
          <w:tcPr>
            <w:tcW w:w="1098" w:type="dxa"/>
            <w:shd w:val="clear" w:color="auto" w:fill="auto"/>
            <w:noWrap/>
            <w:vAlign w:val="center"/>
            <w:hideMark/>
          </w:tcPr>
          <w:p w14:paraId="43AB981A"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(96)</w:t>
            </w:r>
          </w:p>
        </w:tc>
        <w:tc>
          <w:tcPr>
            <w:tcW w:w="1099" w:type="dxa"/>
            <w:shd w:val="clear" w:color="auto" w:fill="auto"/>
            <w:noWrap/>
            <w:vAlign w:val="center"/>
            <w:hideMark/>
          </w:tcPr>
          <w:p w14:paraId="28F707C5"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(131)</w:t>
            </w:r>
          </w:p>
        </w:tc>
        <w:tc>
          <w:tcPr>
            <w:tcW w:w="850" w:type="dxa"/>
            <w:shd w:val="clear" w:color="auto" w:fill="auto"/>
            <w:noWrap/>
            <w:vAlign w:val="center"/>
            <w:hideMark/>
          </w:tcPr>
          <w:p w14:paraId="27F1E0BE"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(158)</w:t>
            </w:r>
          </w:p>
        </w:tc>
        <w:tc>
          <w:tcPr>
            <w:tcW w:w="851" w:type="dxa"/>
            <w:shd w:val="clear" w:color="auto" w:fill="auto"/>
            <w:noWrap/>
            <w:vAlign w:val="center"/>
            <w:hideMark/>
          </w:tcPr>
          <w:p w14:paraId="05479A24"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(3)</w:t>
            </w:r>
          </w:p>
        </w:tc>
        <w:tc>
          <w:tcPr>
            <w:tcW w:w="850" w:type="dxa"/>
            <w:shd w:val="clear" w:color="auto" w:fill="auto"/>
            <w:noWrap/>
            <w:vAlign w:val="center"/>
            <w:hideMark/>
          </w:tcPr>
          <w:p w14:paraId="26F104A3"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(315)</w:t>
            </w:r>
          </w:p>
        </w:tc>
        <w:tc>
          <w:tcPr>
            <w:tcW w:w="851" w:type="dxa"/>
            <w:shd w:val="clear" w:color="auto" w:fill="auto"/>
            <w:noWrap/>
            <w:vAlign w:val="center"/>
            <w:hideMark/>
          </w:tcPr>
          <w:p w14:paraId="074BA57A"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(8)</w:t>
            </w:r>
          </w:p>
        </w:tc>
        <w:tc>
          <w:tcPr>
            <w:tcW w:w="779" w:type="dxa"/>
            <w:shd w:val="clear" w:color="auto" w:fill="auto"/>
            <w:noWrap/>
            <w:vAlign w:val="center"/>
            <w:hideMark/>
          </w:tcPr>
          <w:p w14:paraId="7C17FF00"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(3,149)</w:t>
            </w:r>
          </w:p>
        </w:tc>
        <w:tc>
          <w:tcPr>
            <w:tcW w:w="780" w:type="dxa"/>
            <w:shd w:val="clear" w:color="auto" w:fill="auto"/>
            <w:noWrap/>
            <w:vAlign w:val="center"/>
            <w:hideMark/>
          </w:tcPr>
          <w:p w14:paraId="3F9EA05B"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(18)</w:t>
            </w:r>
          </w:p>
        </w:tc>
        <w:tc>
          <w:tcPr>
            <w:tcW w:w="853" w:type="dxa"/>
            <w:shd w:val="clear" w:color="auto" w:fill="auto"/>
            <w:noWrap/>
            <w:vAlign w:val="center"/>
            <w:hideMark/>
          </w:tcPr>
          <w:p w14:paraId="437A988D"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(11,022)</w:t>
            </w:r>
          </w:p>
        </w:tc>
        <w:tc>
          <w:tcPr>
            <w:tcW w:w="853" w:type="dxa"/>
            <w:shd w:val="clear" w:color="auto" w:fill="auto"/>
            <w:noWrap/>
            <w:vAlign w:val="center"/>
            <w:hideMark/>
          </w:tcPr>
          <w:p w14:paraId="513B3CBA" w14:textId="77777777" w:rsidR="003E5BF5" w:rsidRPr="003C66E4" w:rsidRDefault="003E5BF5" w:rsidP="00DE1921">
            <w:pPr>
              <w:jc w:val="right"/>
              <w:rPr>
                <w:rFonts w:ascii="Arial" w:hAnsi="Arial" w:cs="Arial"/>
                <w:sz w:val="23"/>
                <w:szCs w:val="23"/>
              </w:rPr>
            </w:pPr>
            <w:r w:rsidRPr="003C66E4">
              <w:rPr>
                <w:rFonts w:ascii="Arial" w:hAnsi="Arial" w:cs="Arial"/>
                <w:sz w:val="23"/>
                <w:szCs w:val="23"/>
              </w:rPr>
              <w:t>(31)</w:t>
            </w:r>
          </w:p>
        </w:tc>
      </w:tr>
      <w:tr w:rsidR="003E5BF5" w:rsidRPr="003C66E4" w14:paraId="1C38747E" w14:textId="77777777" w:rsidTr="001E6180">
        <w:trPr>
          <w:trHeight w:val="340"/>
          <w:jc w:val="center"/>
        </w:trPr>
        <w:tc>
          <w:tcPr>
            <w:tcW w:w="2405" w:type="dxa"/>
            <w:shd w:val="clear" w:color="auto" w:fill="auto"/>
            <w:noWrap/>
            <w:vAlign w:val="center"/>
            <w:hideMark/>
          </w:tcPr>
          <w:p w14:paraId="4C6DD055" w14:textId="77777777" w:rsidR="003E5BF5" w:rsidRPr="003C66E4" w:rsidRDefault="003E5BF5" w:rsidP="00DE1921">
            <w:pPr>
              <w:rPr>
                <w:rFonts w:ascii="Arial" w:hAnsi="Arial" w:cs="Arial"/>
                <w:b/>
                <w:sz w:val="23"/>
                <w:szCs w:val="23"/>
              </w:rPr>
            </w:pPr>
            <w:r w:rsidRPr="003C66E4">
              <w:rPr>
                <w:rFonts w:ascii="Arial" w:hAnsi="Arial" w:cs="Arial"/>
                <w:b/>
                <w:sz w:val="23"/>
                <w:szCs w:val="23"/>
              </w:rPr>
              <w:t>Total administered liabilities</w:t>
            </w:r>
          </w:p>
        </w:tc>
        <w:tc>
          <w:tcPr>
            <w:tcW w:w="886" w:type="dxa"/>
            <w:shd w:val="clear" w:color="auto" w:fill="auto"/>
            <w:noWrap/>
            <w:vAlign w:val="center"/>
            <w:hideMark/>
          </w:tcPr>
          <w:p w14:paraId="2BDE2512"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(1)</w:t>
            </w:r>
          </w:p>
        </w:tc>
        <w:tc>
          <w:tcPr>
            <w:tcW w:w="886" w:type="dxa"/>
            <w:shd w:val="clear" w:color="auto" w:fill="auto"/>
            <w:noWrap/>
            <w:vAlign w:val="center"/>
            <w:hideMark/>
          </w:tcPr>
          <w:p w14:paraId="0440F55D"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(35)</w:t>
            </w:r>
          </w:p>
        </w:tc>
        <w:tc>
          <w:tcPr>
            <w:tcW w:w="1098" w:type="dxa"/>
            <w:shd w:val="clear" w:color="auto" w:fill="auto"/>
            <w:noWrap/>
            <w:vAlign w:val="center"/>
            <w:hideMark/>
          </w:tcPr>
          <w:p w14:paraId="4B11B1BF"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(96)</w:t>
            </w:r>
          </w:p>
        </w:tc>
        <w:tc>
          <w:tcPr>
            <w:tcW w:w="1099" w:type="dxa"/>
            <w:shd w:val="clear" w:color="auto" w:fill="auto"/>
            <w:noWrap/>
            <w:vAlign w:val="center"/>
            <w:hideMark/>
          </w:tcPr>
          <w:p w14:paraId="00DCD8BD"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(131)</w:t>
            </w:r>
          </w:p>
        </w:tc>
        <w:tc>
          <w:tcPr>
            <w:tcW w:w="850" w:type="dxa"/>
            <w:shd w:val="clear" w:color="auto" w:fill="auto"/>
            <w:noWrap/>
            <w:vAlign w:val="center"/>
            <w:hideMark/>
          </w:tcPr>
          <w:p w14:paraId="337370CD"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(158)</w:t>
            </w:r>
          </w:p>
        </w:tc>
        <w:tc>
          <w:tcPr>
            <w:tcW w:w="851" w:type="dxa"/>
            <w:shd w:val="clear" w:color="auto" w:fill="auto"/>
            <w:noWrap/>
            <w:vAlign w:val="center"/>
            <w:hideMark/>
          </w:tcPr>
          <w:p w14:paraId="6EBB2D68"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(3)</w:t>
            </w:r>
          </w:p>
        </w:tc>
        <w:tc>
          <w:tcPr>
            <w:tcW w:w="850" w:type="dxa"/>
            <w:shd w:val="clear" w:color="auto" w:fill="auto"/>
            <w:noWrap/>
            <w:vAlign w:val="center"/>
            <w:hideMark/>
          </w:tcPr>
          <w:p w14:paraId="1DC9D852"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(315)</w:t>
            </w:r>
          </w:p>
        </w:tc>
        <w:tc>
          <w:tcPr>
            <w:tcW w:w="851" w:type="dxa"/>
            <w:shd w:val="clear" w:color="auto" w:fill="auto"/>
            <w:noWrap/>
            <w:vAlign w:val="center"/>
            <w:hideMark/>
          </w:tcPr>
          <w:p w14:paraId="637C8273"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(8)</w:t>
            </w:r>
          </w:p>
        </w:tc>
        <w:tc>
          <w:tcPr>
            <w:tcW w:w="779" w:type="dxa"/>
            <w:shd w:val="clear" w:color="auto" w:fill="auto"/>
            <w:noWrap/>
            <w:vAlign w:val="center"/>
            <w:hideMark/>
          </w:tcPr>
          <w:p w14:paraId="3AA56C9D"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(3,149)</w:t>
            </w:r>
          </w:p>
        </w:tc>
        <w:tc>
          <w:tcPr>
            <w:tcW w:w="780" w:type="dxa"/>
            <w:shd w:val="clear" w:color="auto" w:fill="auto"/>
            <w:noWrap/>
            <w:vAlign w:val="center"/>
            <w:hideMark/>
          </w:tcPr>
          <w:p w14:paraId="7744A005"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(18)</w:t>
            </w:r>
          </w:p>
        </w:tc>
        <w:tc>
          <w:tcPr>
            <w:tcW w:w="853" w:type="dxa"/>
            <w:shd w:val="clear" w:color="auto" w:fill="auto"/>
            <w:noWrap/>
            <w:vAlign w:val="center"/>
            <w:hideMark/>
          </w:tcPr>
          <w:p w14:paraId="1EBBC99E"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(11,022)</w:t>
            </w:r>
          </w:p>
        </w:tc>
        <w:tc>
          <w:tcPr>
            <w:tcW w:w="853" w:type="dxa"/>
            <w:shd w:val="clear" w:color="auto" w:fill="auto"/>
            <w:noWrap/>
            <w:vAlign w:val="center"/>
            <w:hideMark/>
          </w:tcPr>
          <w:p w14:paraId="25327829"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(31)</w:t>
            </w:r>
          </w:p>
        </w:tc>
      </w:tr>
      <w:tr w:rsidR="003E5BF5" w:rsidRPr="003C66E4" w14:paraId="3C7487FB" w14:textId="77777777" w:rsidTr="001E6180">
        <w:trPr>
          <w:trHeight w:val="340"/>
          <w:jc w:val="center"/>
        </w:trPr>
        <w:tc>
          <w:tcPr>
            <w:tcW w:w="2405" w:type="dxa"/>
            <w:shd w:val="clear" w:color="auto" w:fill="auto"/>
            <w:noWrap/>
            <w:vAlign w:val="center"/>
            <w:hideMark/>
          </w:tcPr>
          <w:p w14:paraId="3CD9D712" w14:textId="77777777" w:rsidR="003E5BF5" w:rsidRPr="003C66E4" w:rsidRDefault="003E5BF5" w:rsidP="00DE1921">
            <w:pPr>
              <w:rPr>
                <w:rFonts w:ascii="Arial" w:hAnsi="Arial" w:cs="Arial"/>
                <w:b/>
                <w:sz w:val="23"/>
                <w:szCs w:val="23"/>
              </w:rPr>
            </w:pPr>
          </w:p>
        </w:tc>
        <w:tc>
          <w:tcPr>
            <w:tcW w:w="886" w:type="dxa"/>
            <w:shd w:val="clear" w:color="auto" w:fill="auto"/>
            <w:noWrap/>
            <w:hideMark/>
          </w:tcPr>
          <w:p w14:paraId="0C1CAA74" w14:textId="77777777" w:rsidR="003E5BF5" w:rsidRPr="003C66E4" w:rsidRDefault="003E5BF5" w:rsidP="00DE1921">
            <w:pPr>
              <w:jc w:val="right"/>
              <w:rPr>
                <w:rFonts w:ascii="Arial" w:hAnsi="Arial" w:cs="Arial"/>
                <w:b/>
                <w:sz w:val="23"/>
                <w:szCs w:val="23"/>
              </w:rPr>
            </w:pPr>
          </w:p>
        </w:tc>
        <w:tc>
          <w:tcPr>
            <w:tcW w:w="886" w:type="dxa"/>
            <w:shd w:val="clear" w:color="auto" w:fill="auto"/>
            <w:noWrap/>
            <w:hideMark/>
          </w:tcPr>
          <w:p w14:paraId="42C3E09C" w14:textId="77777777" w:rsidR="003E5BF5" w:rsidRPr="003C66E4" w:rsidRDefault="003E5BF5" w:rsidP="00DE1921">
            <w:pPr>
              <w:jc w:val="right"/>
              <w:rPr>
                <w:rFonts w:ascii="Arial" w:hAnsi="Arial" w:cs="Arial"/>
                <w:b/>
                <w:sz w:val="23"/>
                <w:szCs w:val="23"/>
              </w:rPr>
            </w:pPr>
          </w:p>
        </w:tc>
        <w:tc>
          <w:tcPr>
            <w:tcW w:w="1098" w:type="dxa"/>
            <w:shd w:val="clear" w:color="auto" w:fill="auto"/>
            <w:noWrap/>
            <w:hideMark/>
          </w:tcPr>
          <w:p w14:paraId="6F8C8A8C" w14:textId="77777777" w:rsidR="003E5BF5" w:rsidRPr="003C66E4" w:rsidRDefault="003E5BF5" w:rsidP="00DE1921">
            <w:pPr>
              <w:jc w:val="right"/>
              <w:rPr>
                <w:rFonts w:ascii="Arial" w:hAnsi="Arial" w:cs="Arial"/>
                <w:b/>
                <w:sz w:val="23"/>
                <w:szCs w:val="23"/>
              </w:rPr>
            </w:pPr>
          </w:p>
        </w:tc>
        <w:tc>
          <w:tcPr>
            <w:tcW w:w="1099" w:type="dxa"/>
            <w:shd w:val="clear" w:color="auto" w:fill="auto"/>
            <w:noWrap/>
            <w:hideMark/>
          </w:tcPr>
          <w:p w14:paraId="7DAC20CE" w14:textId="77777777" w:rsidR="003E5BF5" w:rsidRPr="003C66E4" w:rsidRDefault="003E5BF5" w:rsidP="00DE1921">
            <w:pPr>
              <w:jc w:val="right"/>
              <w:rPr>
                <w:rFonts w:ascii="Arial" w:hAnsi="Arial" w:cs="Arial"/>
                <w:b/>
                <w:sz w:val="23"/>
                <w:szCs w:val="23"/>
              </w:rPr>
            </w:pPr>
          </w:p>
        </w:tc>
        <w:tc>
          <w:tcPr>
            <w:tcW w:w="850" w:type="dxa"/>
            <w:shd w:val="clear" w:color="auto" w:fill="auto"/>
            <w:noWrap/>
            <w:hideMark/>
          </w:tcPr>
          <w:p w14:paraId="4F737A18" w14:textId="77777777" w:rsidR="003E5BF5" w:rsidRPr="003C66E4" w:rsidRDefault="003E5BF5" w:rsidP="00DE1921">
            <w:pPr>
              <w:jc w:val="right"/>
              <w:rPr>
                <w:rFonts w:ascii="Arial" w:hAnsi="Arial" w:cs="Arial"/>
                <w:b/>
                <w:sz w:val="23"/>
                <w:szCs w:val="23"/>
              </w:rPr>
            </w:pPr>
          </w:p>
        </w:tc>
        <w:tc>
          <w:tcPr>
            <w:tcW w:w="851" w:type="dxa"/>
            <w:shd w:val="clear" w:color="auto" w:fill="auto"/>
            <w:noWrap/>
            <w:hideMark/>
          </w:tcPr>
          <w:p w14:paraId="1C1FBCEB" w14:textId="77777777" w:rsidR="003E5BF5" w:rsidRPr="003C66E4" w:rsidRDefault="003E5BF5" w:rsidP="00DE1921">
            <w:pPr>
              <w:jc w:val="right"/>
              <w:rPr>
                <w:rFonts w:ascii="Arial" w:hAnsi="Arial" w:cs="Arial"/>
                <w:b/>
                <w:sz w:val="23"/>
                <w:szCs w:val="23"/>
              </w:rPr>
            </w:pPr>
          </w:p>
        </w:tc>
        <w:tc>
          <w:tcPr>
            <w:tcW w:w="850" w:type="dxa"/>
            <w:shd w:val="clear" w:color="auto" w:fill="auto"/>
            <w:noWrap/>
            <w:hideMark/>
          </w:tcPr>
          <w:p w14:paraId="089F40D1" w14:textId="77777777" w:rsidR="003E5BF5" w:rsidRPr="003C66E4" w:rsidRDefault="003E5BF5" w:rsidP="00DE1921">
            <w:pPr>
              <w:jc w:val="right"/>
              <w:rPr>
                <w:rFonts w:ascii="Arial" w:hAnsi="Arial" w:cs="Arial"/>
                <w:b/>
                <w:sz w:val="23"/>
                <w:szCs w:val="23"/>
              </w:rPr>
            </w:pPr>
          </w:p>
        </w:tc>
        <w:tc>
          <w:tcPr>
            <w:tcW w:w="851" w:type="dxa"/>
            <w:shd w:val="clear" w:color="auto" w:fill="auto"/>
            <w:noWrap/>
            <w:hideMark/>
          </w:tcPr>
          <w:p w14:paraId="6086434D" w14:textId="77777777" w:rsidR="003E5BF5" w:rsidRPr="003C66E4" w:rsidRDefault="003E5BF5" w:rsidP="00DE1921">
            <w:pPr>
              <w:jc w:val="right"/>
              <w:rPr>
                <w:rFonts w:ascii="Arial" w:hAnsi="Arial" w:cs="Arial"/>
                <w:b/>
                <w:sz w:val="23"/>
                <w:szCs w:val="23"/>
              </w:rPr>
            </w:pPr>
          </w:p>
        </w:tc>
        <w:tc>
          <w:tcPr>
            <w:tcW w:w="779" w:type="dxa"/>
            <w:shd w:val="clear" w:color="auto" w:fill="auto"/>
            <w:noWrap/>
            <w:hideMark/>
          </w:tcPr>
          <w:p w14:paraId="19D0D5B7" w14:textId="77777777" w:rsidR="003E5BF5" w:rsidRPr="003C66E4" w:rsidRDefault="003E5BF5" w:rsidP="00DE1921">
            <w:pPr>
              <w:jc w:val="right"/>
              <w:rPr>
                <w:rFonts w:ascii="Arial" w:hAnsi="Arial" w:cs="Arial"/>
                <w:b/>
                <w:sz w:val="23"/>
                <w:szCs w:val="23"/>
              </w:rPr>
            </w:pPr>
          </w:p>
        </w:tc>
        <w:tc>
          <w:tcPr>
            <w:tcW w:w="780" w:type="dxa"/>
            <w:shd w:val="clear" w:color="auto" w:fill="auto"/>
            <w:noWrap/>
            <w:hideMark/>
          </w:tcPr>
          <w:p w14:paraId="7BA380CE" w14:textId="77777777" w:rsidR="003E5BF5" w:rsidRPr="003C66E4" w:rsidRDefault="003E5BF5" w:rsidP="00DE1921">
            <w:pPr>
              <w:jc w:val="right"/>
              <w:rPr>
                <w:rFonts w:ascii="Arial" w:hAnsi="Arial" w:cs="Arial"/>
                <w:b/>
                <w:sz w:val="23"/>
                <w:szCs w:val="23"/>
              </w:rPr>
            </w:pPr>
          </w:p>
        </w:tc>
        <w:tc>
          <w:tcPr>
            <w:tcW w:w="853" w:type="dxa"/>
            <w:shd w:val="clear" w:color="auto" w:fill="auto"/>
            <w:noWrap/>
            <w:hideMark/>
          </w:tcPr>
          <w:p w14:paraId="4A9148EF" w14:textId="77777777" w:rsidR="003E5BF5" w:rsidRPr="003C66E4" w:rsidRDefault="003E5BF5" w:rsidP="00DE1921">
            <w:pPr>
              <w:jc w:val="right"/>
              <w:rPr>
                <w:rFonts w:ascii="Arial" w:hAnsi="Arial" w:cs="Arial"/>
                <w:b/>
                <w:sz w:val="23"/>
                <w:szCs w:val="23"/>
              </w:rPr>
            </w:pPr>
          </w:p>
        </w:tc>
        <w:tc>
          <w:tcPr>
            <w:tcW w:w="853" w:type="dxa"/>
            <w:shd w:val="clear" w:color="auto" w:fill="auto"/>
            <w:noWrap/>
            <w:hideMark/>
          </w:tcPr>
          <w:p w14:paraId="42A7DA75" w14:textId="77777777" w:rsidR="003E5BF5" w:rsidRPr="003C66E4" w:rsidRDefault="003E5BF5" w:rsidP="00DE1921">
            <w:pPr>
              <w:jc w:val="right"/>
              <w:rPr>
                <w:rFonts w:ascii="Arial" w:hAnsi="Arial" w:cs="Arial"/>
                <w:b/>
                <w:sz w:val="23"/>
                <w:szCs w:val="23"/>
              </w:rPr>
            </w:pPr>
          </w:p>
        </w:tc>
      </w:tr>
      <w:tr w:rsidR="003E5BF5" w:rsidRPr="003C66E4" w14:paraId="3188B116" w14:textId="77777777" w:rsidTr="001E6180">
        <w:trPr>
          <w:trHeight w:val="340"/>
          <w:jc w:val="center"/>
        </w:trPr>
        <w:tc>
          <w:tcPr>
            <w:tcW w:w="2405" w:type="dxa"/>
            <w:shd w:val="clear" w:color="auto" w:fill="auto"/>
            <w:noWrap/>
            <w:vAlign w:val="center"/>
            <w:hideMark/>
          </w:tcPr>
          <w:p w14:paraId="5D917AFA" w14:textId="77777777" w:rsidR="003E5BF5" w:rsidRPr="003C66E4" w:rsidRDefault="003E5BF5" w:rsidP="00DE1921">
            <w:pPr>
              <w:rPr>
                <w:rFonts w:ascii="Arial" w:hAnsi="Arial" w:cs="Arial"/>
                <w:b/>
                <w:sz w:val="23"/>
                <w:szCs w:val="23"/>
              </w:rPr>
            </w:pPr>
            <w:r w:rsidRPr="003C66E4">
              <w:rPr>
                <w:rFonts w:ascii="Arial" w:hAnsi="Arial" w:cs="Arial"/>
                <w:b/>
                <w:sz w:val="23"/>
                <w:szCs w:val="23"/>
              </w:rPr>
              <w:t>Total administered net assets</w:t>
            </w:r>
          </w:p>
        </w:tc>
        <w:tc>
          <w:tcPr>
            <w:tcW w:w="886" w:type="dxa"/>
            <w:shd w:val="clear" w:color="auto" w:fill="auto"/>
            <w:noWrap/>
            <w:hideMark/>
          </w:tcPr>
          <w:p w14:paraId="3127BE02"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125,209 </w:t>
            </w:r>
          </w:p>
        </w:tc>
        <w:tc>
          <w:tcPr>
            <w:tcW w:w="886" w:type="dxa"/>
            <w:shd w:val="clear" w:color="auto" w:fill="auto"/>
            <w:noWrap/>
            <w:hideMark/>
          </w:tcPr>
          <w:p w14:paraId="5CB12FDC"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98,282 </w:t>
            </w:r>
          </w:p>
        </w:tc>
        <w:tc>
          <w:tcPr>
            <w:tcW w:w="1098" w:type="dxa"/>
            <w:shd w:val="clear" w:color="auto" w:fill="auto"/>
            <w:noWrap/>
            <w:hideMark/>
          </w:tcPr>
          <w:p w14:paraId="148602A9"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30,499,586 </w:t>
            </w:r>
          </w:p>
        </w:tc>
        <w:tc>
          <w:tcPr>
            <w:tcW w:w="1099" w:type="dxa"/>
            <w:shd w:val="clear" w:color="auto" w:fill="auto"/>
            <w:noWrap/>
            <w:hideMark/>
          </w:tcPr>
          <w:p w14:paraId="7420CAE8"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26,323,094 </w:t>
            </w:r>
          </w:p>
        </w:tc>
        <w:tc>
          <w:tcPr>
            <w:tcW w:w="850" w:type="dxa"/>
            <w:shd w:val="clear" w:color="auto" w:fill="auto"/>
            <w:noWrap/>
            <w:hideMark/>
          </w:tcPr>
          <w:p w14:paraId="29152B5B"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938,292 </w:t>
            </w:r>
          </w:p>
        </w:tc>
        <w:tc>
          <w:tcPr>
            <w:tcW w:w="851" w:type="dxa"/>
            <w:shd w:val="clear" w:color="auto" w:fill="auto"/>
            <w:noWrap/>
            <w:hideMark/>
          </w:tcPr>
          <w:p w14:paraId="2C2D0C50"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933,784 </w:t>
            </w:r>
          </w:p>
        </w:tc>
        <w:tc>
          <w:tcPr>
            <w:tcW w:w="850" w:type="dxa"/>
            <w:shd w:val="clear" w:color="auto" w:fill="auto"/>
            <w:noWrap/>
            <w:hideMark/>
          </w:tcPr>
          <w:p w14:paraId="573E3320"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38 </w:t>
            </w:r>
          </w:p>
        </w:tc>
        <w:tc>
          <w:tcPr>
            <w:tcW w:w="851" w:type="dxa"/>
            <w:shd w:val="clear" w:color="auto" w:fill="auto"/>
            <w:noWrap/>
            <w:hideMark/>
          </w:tcPr>
          <w:p w14:paraId="083C3935"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181 </w:t>
            </w:r>
          </w:p>
        </w:tc>
        <w:tc>
          <w:tcPr>
            <w:tcW w:w="779" w:type="dxa"/>
            <w:shd w:val="clear" w:color="auto" w:fill="auto"/>
            <w:noWrap/>
            <w:hideMark/>
          </w:tcPr>
          <w:p w14:paraId="096B4CEC"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83 </w:t>
            </w:r>
          </w:p>
        </w:tc>
        <w:tc>
          <w:tcPr>
            <w:tcW w:w="780" w:type="dxa"/>
            <w:shd w:val="clear" w:color="auto" w:fill="auto"/>
            <w:noWrap/>
            <w:hideMark/>
          </w:tcPr>
          <w:p w14:paraId="7472A2B8"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406 </w:t>
            </w:r>
          </w:p>
        </w:tc>
        <w:tc>
          <w:tcPr>
            <w:tcW w:w="853" w:type="dxa"/>
            <w:shd w:val="clear" w:color="auto" w:fill="auto"/>
            <w:noWrap/>
            <w:hideMark/>
          </w:tcPr>
          <w:p w14:paraId="6CD95464"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143 </w:t>
            </w:r>
          </w:p>
        </w:tc>
        <w:tc>
          <w:tcPr>
            <w:tcW w:w="853" w:type="dxa"/>
            <w:shd w:val="clear" w:color="auto" w:fill="auto"/>
            <w:noWrap/>
            <w:hideMark/>
          </w:tcPr>
          <w:p w14:paraId="688781BA" w14:textId="77777777" w:rsidR="003E5BF5" w:rsidRPr="003C66E4" w:rsidRDefault="003E5BF5" w:rsidP="00DE1921">
            <w:pPr>
              <w:jc w:val="right"/>
              <w:rPr>
                <w:rFonts w:ascii="Arial" w:hAnsi="Arial" w:cs="Arial"/>
                <w:b/>
                <w:sz w:val="23"/>
                <w:szCs w:val="23"/>
              </w:rPr>
            </w:pPr>
            <w:r w:rsidRPr="003C66E4">
              <w:rPr>
                <w:rFonts w:ascii="Arial" w:hAnsi="Arial" w:cs="Arial"/>
                <w:b/>
                <w:sz w:val="23"/>
                <w:szCs w:val="23"/>
              </w:rPr>
              <w:t xml:space="preserve">697 </w:t>
            </w:r>
          </w:p>
        </w:tc>
      </w:tr>
    </w:tbl>
    <w:p w14:paraId="419DA4B1" w14:textId="77777777" w:rsidR="003E5BF5" w:rsidRDefault="003E5BF5" w:rsidP="00DE1921">
      <w:pPr>
        <w:rPr>
          <w:lang w:eastAsia="en-AU"/>
        </w:rPr>
        <w:sectPr w:rsidR="003E5BF5" w:rsidSect="00DE1921">
          <w:headerReference w:type="even" r:id="rId110"/>
          <w:headerReference w:type="default" r:id="rId111"/>
          <w:footerReference w:type="even" r:id="rId112"/>
          <w:headerReference w:type="first" r:id="rId113"/>
          <w:pgSz w:w="16838" w:h="11906" w:orient="landscape"/>
          <w:pgMar w:top="1418" w:right="1701" w:bottom="1418" w:left="1418" w:header="709" w:footer="709" w:gutter="0"/>
          <w:cols w:space="708"/>
          <w:docGrid w:linePitch="360"/>
        </w:sectPr>
      </w:pPr>
      <w:bookmarkStart w:id="261" w:name="RANGE!J3:R23"/>
      <w:bookmarkStart w:id="262" w:name="RANGE!N3:X23"/>
      <w:bookmarkEnd w:id="261"/>
      <w:bookmarkEnd w:id="262"/>
    </w:p>
    <w:tbl>
      <w:tblPr>
        <w:tblStyle w:val="TableGrid"/>
        <w:tblW w:w="14742" w:type="dxa"/>
        <w:tblLayout w:type="fixed"/>
        <w:tblCellMar>
          <w:left w:w="28" w:type="dxa"/>
          <w:right w:w="28" w:type="dxa"/>
        </w:tblCellMar>
        <w:tblLook w:val="04A0" w:firstRow="1" w:lastRow="0" w:firstColumn="1" w:lastColumn="0" w:noHBand="0" w:noVBand="1"/>
      </w:tblPr>
      <w:tblGrid>
        <w:gridCol w:w="3578"/>
        <w:gridCol w:w="1115"/>
        <w:gridCol w:w="1117"/>
        <w:gridCol w:w="1116"/>
        <w:gridCol w:w="1117"/>
        <w:gridCol w:w="1116"/>
        <w:gridCol w:w="1117"/>
        <w:gridCol w:w="957"/>
        <w:gridCol w:w="958"/>
        <w:gridCol w:w="1276"/>
        <w:gridCol w:w="1275"/>
      </w:tblGrid>
      <w:tr w:rsidR="003E5BF5" w:rsidRPr="00B932FA" w14:paraId="39223E8B" w14:textId="77777777" w:rsidTr="00F60F2C">
        <w:trPr>
          <w:trHeight w:val="340"/>
        </w:trPr>
        <w:tc>
          <w:tcPr>
            <w:tcW w:w="3578" w:type="dxa"/>
            <w:shd w:val="clear" w:color="auto" w:fill="auto"/>
            <w:noWrap/>
            <w:hideMark/>
          </w:tcPr>
          <w:p w14:paraId="57C3EDB2" w14:textId="77777777" w:rsidR="003E5BF5" w:rsidRPr="00B932FA" w:rsidRDefault="003E5BF5" w:rsidP="00DE1921">
            <w:pPr>
              <w:rPr>
                <w:rFonts w:ascii="Arial" w:hAnsi="Arial" w:cs="Arial"/>
                <w:sz w:val="23"/>
                <w:szCs w:val="23"/>
              </w:rPr>
            </w:pPr>
          </w:p>
        </w:tc>
        <w:tc>
          <w:tcPr>
            <w:tcW w:w="11164" w:type="dxa"/>
            <w:gridSpan w:val="10"/>
            <w:shd w:val="clear" w:color="auto" w:fill="auto"/>
            <w:vAlign w:val="center"/>
            <w:hideMark/>
          </w:tcPr>
          <w:p w14:paraId="1282A5E0" w14:textId="77777777" w:rsidR="003E5BF5" w:rsidRPr="00B932FA" w:rsidRDefault="003E5BF5" w:rsidP="00DE1921">
            <w:pPr>
              <w:jc w:val="center"/>
              <w:rPr>
                <w:rFonts w:ascii="Arial" w:hAnsi="Arial" w:cs="Arial"/>
                <w:b/>
                <w:sz w:val="23"/>
                <w:szCs w:val="23"/>
              </w:rPr>
            </w:pPr>
            <w:r w:rsidRPr="00B932FA">
              <w:rPr>
                <w:rFonts w:ascii="Arial" w:hAnsi="Arial" w:cs="Arial"/>
                <w:b/>
                <w:sz w:val="23"/>
                <w:szCs w:val="23"/>
              </w:rPr>
              <w:t>($ thousand)</w:t>
            </w:r>
          </w:p>
        </w:tc>
      </w:tr>
      <w:tr w:rsidR="003E5BF5" w:rsidRPr="00B932FA" w14:paraId="791810BC" w14:textId="77777777" w:rsidTr="00F60F2C">
        <w:trPr>
          <w:trHeight w:val="340"/>
        </w:trPr>
        <w:tc>
          <w:tcPr>
            <w:tcW w:w="3578" w:type="dxa"/>
            <w:shd w:val="clear" w:color="auto" w:fill="auto"/>
            <w:noWrap/>
            <w:hideMark/>
          </w:tcPr>
          <w:p w14:paraId="71C62EDD" w14:textId="77777777" w:rsidR="003E5BF5" w:rsidRPr="00B932FA" w:rsidRDefault="003E5BF5" w:rsidP="00DE1921">
            <w:pPr>
              <w:rPr>
                <w:rFonts w:ascii="Arial" w:hAnsi="Arial" w:cs="Arial"/>
                <w:sz w:val="23"/>
                <w:szCs w:val="23"/>
              </w:rPr>
            </w:pPr>
          </w:p>
        </w:tc>
        <w:tc>
          <w:tcPr>
            <w:tcW w:w="2232" w:type="dxa"/>
            <w:gridSpan w:val="2"/>
            <w:shd w:val="clear" w:color="auto" w:fill="auto"/>
            <w:vAlign w:val="bottom"/>
            <w:hideMark/>
          </w:tcPr>
          <w:p w14:paraId="5B00C25A" w14:textId="77777777" w:rsidR="003E5BF5" w:rsidRPr="00B932FA" w:rsidRDefault="003E5BF5" w:rsidP="00DE1921">
            <w:pPr>
              <w:jc w:val="center"/>
              <w:rPr>
                <w:rFonts w:ascii="Arial" w:hAnsi="Arial" w:cs="Arial"/>
                <w:b/>
                <w:sz w:val="23"/>
                <w:szCs w:val="23"/>
              </w:rPr>
            </w:pPr>
            <w:r w:rsidRPr="00B932FA">
              <w:rPr>
                <w:rFonts w:ascii="Arial" w:hAnsi="Arial" w:cs="Arial"/>
                <w:b/>
                <w:sz w:val="23"/>
                <w:szCs w:val="23"/>
              </w:rPr>
              <w:t>Train services</w:t>
            </w:r>
          </w:p>
        </w:tc>
        <w:tc>
          <w:tcPr>
            <w:tcW w:w="2233" w:type="dxa"/>
            <w:gridSpan w:val="2"/>
            <w:shd w:val="clear" w:color="auto" w:fill="auto"/>
            <w:vAlign w:val="bottom"/>
            <w:hideMark/>
          </w:tcPr>
          <w:p w14:paraId="472CF074" w14:textId="77777777" w:rsidR="003E5BF5" w:rsidRPr="00B932FA" w:rsidRDefault="003E5BF5" w:rsidP="00DE1921">
            <w:pPr>
              <w:jc w:val="center"/>
              <w:rPr>
                <w:rFonts w:ascii="Arial" w:hAnsi="Arial" w:cs="Arial"/>
                <w:b/>
                <w:sz w:val="23"/>
                <w:szCs w:val="23"/>
              </w:rPr>
            </w:pPr>
            <w:r w:rsidRPr="00B932FA">
              <w:rPr>
                <w:rFonts w:ascii="Arial" w:hAnsi="Arial" w:cs="Arial"/>
                <w:b/>
                <w:sz w:val="23"/>
                <w:szCs w:val="23"/>
              </w:rPr>
              <w:t>Tram services</w:t>
            </w:r>
          </w:p>
        </w:tc>
        <w:tc>
          <w:tcPr>
            <w:tcW w:w="2233" w:type="dxa"/>
            <w:gridSpan w:val="2"/>
            <w:shd w:val="clear" w:color="auto" w:fill="auto"/>
            <w:vAlign w:val="bottom"/>
            <w:hideMark/>
          </w:tcPr>
          <w:p w14:paraId="2211725A" w14:textId="77777777" w:rsidR="003E5BF5" w:rsidRPr="00B932FA" w:rsidRDefault="003E5BF5" w:rsidP="00DE1921">
            <w:pPr>
              <w:jc w:val="center"/>
              <w:rPr>
                <w:rFonts w:ascii="Arial" w:hAnsi="Arial" w:cs="Arial"/>
                <w:b/>
                <w:sz w:val="23"/>
                <w:szCs w:val="23"/>
              </w:rPr>
            </w:pPr>
            <w:r w:rsidRPr="00B932FA">
              <w:rPr>
                <w:rFonts w:ascii="Arial" w:hAnsi="Arial" w:cs="Arial"/>
                <w:b/>
                <w:sz w:val="23"/>
                <w:szCs w:val="23"/>
              </w:rPr>
              <w:t>Transport Safety and Security</w:t>
            </w:r>
          </w:p>
        </w:tc>
        <w:tc>
          <w:tcPr>
            <w:tcW w:w="1915" w:type="dxa"/>
            <w:gridSpan w:val="2"/>
            <w:shd w:val="clear" w:color="auto" w:fill="auto"/>
            <w:vAlign w:val="bottom"/>
            <w:hideMark/>
          </w:tcPr>
          <w:p w14:paraId="125CA2DE" w14:textId="77777777" w:rsidR="003E5BF5" w:rsidRPr="00B932FA" w:rsidRDefault="003E5BF5" w:rsidP="00DE1921">
            <w:pPr>
              <w:jc w:val="center"/>
              <w:rPr>
                <w:rFonts w:ascii="Arial" w:hAnsi="Arial" w:cs="Arial"/>
                <w:b/>
                <w:sz w:val="23"/>
                <w:szCs w:val="23"/>
              </w:rPr>
            </w:pPr>
            <w:r w:rsidRPr="00B932FA">
              <w:rPr>
                <w:rFonts w:ascii="Arial" w:hAnsi="Arial" w:cs="Arial"/>
                <w:b/>
                <w:sz w:val="23"/>
                <w:szCs w:val="23"/>
              </w:rPr>
              <w:t>Sustainably Manage Fish Resources</w:t>
            </w:r>
          </w:p>
        </w:tc>
        <w:tc>
          <w:tcPr>
            <w:tcW w:w="2551" w:type="dxa"/>
            <w:gridSpan w:val="2"/>
            <w:shd w:val="clear" w:color="auto" w:fill="auto"/>
            <w:vAlign w:val="bottom"/>
            <w:hideMark/>
          </w:tcPr>
          <w:p w14:paraId="06E0CCA9" w14:textId="77777777" w:rsidR="003E5BF5" w:rsidRPr="00B932FA" w:rsidRDefault="003E5BF5" w:rsidP="00DE1921">
            <w:pPr>
              <w:jc w:val="center"/>
              <w:rPr>
                <w:rFonts w:ascii="Arial" w:hAnsi="Arial" w:cs="Arial"/>
                <w:b/>
                <w:sz w:val="23"/>
                <w:szCs w:val="23"/>
              </w:rPr>
            </w:pPr>
            <w:r w:rsidRPr="00B932FA">
              <w:rPr>
                <w:rFonts w:ascii="Arial" w:hAnsi="Arial" w:cs="Arial"/>
                <w:b/>
                <w:sz w:val="23"/>
                <w:szCs w:val="23"/>
              </w:rPr>
              <w:t>DoT Consolidated Totals</w:t>
            </w:r>
          </w:p>
        </w:tc>
      </w:tr>
      <w:tr w:rsidR="003E5BF5" w:rsidRPr="00B932FA" w14:paraId="1AB2BF87" w14:textId="77777777" w:rsidTr="00F60F2C">
        <w:trPr>
          <w:trHeight w:val="340"/>
        </w:trPr>
        <w:tc>
          <w:tcPr>
            <w:tcW w:w="3578" w:type="dxa"/>
            <w:shd w:val="clear" w:color="auto" w:fill="auto"/>
            <w:noWrap/>
            <w:vAlign w:val="center"/>
            <w:hideMark/>
          </w:tcPr>
          <w:p w14:paraId="2B46F5FB" w14:textId="77777777" w:rsidR="003E5BF5" w:rsidRPr="00B932FA" w:rsidRDefault="003E5BF5" w:rsidP="00DE1921">
            <w:pPr>
              <w:rPr>
                <w:rFonts w:ascii="Arial" w:hAnsi="Arial" w:cs="Arial"/>
                <w:b/>
                <w:sz w:val="23"/>
                <w:szCs w:val="23"/>
              </w:rPr>
            </w:pPr>
          </w:p>
        </w:tc>
        <w:tc>
          <w:tcPr>
            <w:tcW w:w="1115" w:type="dxa"/>
            <w:shd w:val="clear" w:color="auto" w:fill="auto"/>
            <w:vAlign w:val="center"/>
            <w:hideMark/>
          </w:tcPr>
          <w:p w14:paraId="5C57776C"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2020</w:t>
            </w:r>
          </w:p>
        </w:tc>
        <w:tc>
          <w:tcPr>
            <w:tcW w:w="1117" w:type="dxa"/>
            <w:shd w:val="clear" w:color="auto" w:fill="auto"/>
            <w:vAlign w:val="center"/>
            <w:hideMark/>
          </w:tcPr>
          <w:p w14:paraId="228D50E3"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2019</w:t>
            </w:r>
          </w:p>
        </w:tc>
        <w:tc>
          <w:tcPr>
            <w:tcW w:w="1116" w:type="dxa"/>
            <w:shd w:val="clear" w:color="auto" w:fill="auto"/>
            <w:vAlign w:val="center"/>
            <w:hideMark/>
          </w:tcPr>
          <w:p w14:paraId="2264E876"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2020</w:t>
            </w:r>
          </w:p>
        </w:tc>
        <w:tc>
          <w:tcPr>
            <w:tcW w:w="1117" w:type="dxa"/>
            <w:shd w:val="clear" w:color="auto" w:fill="auto"/>
            <w:vAlign w:val="center"/>
            <w:hideMark/>
          </w:tcPr>
          <w:p w14:paraId="1436C219"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2019</w:t>
            </w:r>
          </w:p>
        </w:tc>
        <w:tc>
          <w:tcPr>
            <w:tcW w:w="1116" w:type="dxa"/>
            <w:shd w:val="clear" w:color="auto" w:fill="auto"/>
            <w:vAlign w:val="center"/>
            <w:hideMark/>
          </w:tcPr>
          <w:p w14:paraId="13C0FAA6"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2020</w:t>
            </w:r>
          </w:p>
        </w:tc>
        <w:tc>
          <w:tcPr>
            <w:tcW w:w="1117" w:type="dxa"/>
            <w:shd w:val="clear" w:color="auto" w:fill="auto"/>
            <w:vAlign w:val="center"/>
            <w:hideMark/>
          </w:tcPr>
          <w:p w14:paraId="6D5C634E"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2019</w:t>
            </w:r>
          </w:p>
        </w:tc>
        <w:tc>
          <w:tcPr>
            <w:tcW w:w="957" w:type="dxa"/>
            <w:shd w:val="clear" w:color="auto" w:fill="auto"/>
            <w:vAlign w:val="center"/>
            <w:hideMark/>
          </w:tcPr>
          <w:p w14:paraId="0C5A9F99"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2020</w:t>
            </w:r>
          </w:p>
        </w:tc>
        <w:tc>
          <w:tcPr>
            <w:tcW w:w="958" w:type="dxa"/>
            <w:shd w:val="clear" w:color="auto" w:fill="auto"/>
            <w:vAlign w:val="center"/>
            <w:hideMark/>
          </w:tcPr>
          <w:p w14:paraId="0BA97897"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2019</w:t>
            </w:r>
          </w:p>
        </w:tc>
        <w:tc>
          <w:tcPr>
            <w:tcW w:w="1276" w:type="dxa"/>
            <w:shd w:val="clear" w:color="auto" w:fill="auto"/>
            <w:vAlign w:val="center"/>
            <w:hideMark/>
          </w:tcPr>
          <w:p w14:paraId="7F8401AF"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2020</w:t>
            </w:r>
          </w:p>
        </w:tc>
        <w:tc>
          <w:tcPr>
            <w:tcW w:w="1275" w:type="dxa"/>
            <w:shd w:val="clear" w:color="auto" w:fill="auto"/>
            <w:vAlign w:val="center"/>
            <w:hideMark/>
          </w:tcPr>
          <w:p w14:paraId="064185B2"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2019</w:t>
            </w:r>
          </w:p>
        </w:tc>
      </w:tr>
      <w:tr w:rsidR="003E5BF5" w:rsidRPr="00B932FA" w14:paraId="61AE9920" w14:textId="77777777" w:rsidTr="00F60F2C">
        <w:trPr>
          <w:trHeight w:val="340"/>
        </w:trPr>
        <w:tc>
          <w:tcPr>
            <w:tcW w:w="3578" w:type="dxa"/>
            <w:shd w:val="clear" w:color="auto" w:fill="auto"/>
            <w:noWrap/>
            <w:vAlign w:val="center"/>
            <w:hideMark/>
          </w:tcPr>
          <w:p w14:paraId="566A6AEB" w14:textId="77777777" w:rsidR="003E5BF5" w:rsidRPr="00B932FA" w:rsidRDefault="003E5BF5" w:rsidP="00604703">
            <w:pPr>
              <w:pStyle w:val="TableTextGreen"/>
              <w:rPr>
                <w:sz w:val="23"/>
                <w:szCs w:val="23"/>
              </w:rPr>
            </w:pPr>
            <w:r w:rsidRPr="00B932FA">
              <w:rPr>
                <w:sz w:val="23"/>
                <w:szCs w:val="23"/>
              </w:rPr>
              <w:t>Administered financial assets</w:t>
            </w:r>
          </w:p>
        </w:tc>
        <w:tc>
          <w:tcPr>
            <w:tcW w:w="1115" w:type="dxa"/>
            <w:shd w:val="clear" w:color="auto" w:fill="auto"/>
            <w:noWrap/>
            <w:vAlign w:val="center"/>
            <w:hideMark/>
          </w:tcPr>
          <w:p w14:paraId="4B94A125"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w:t>
            </w:r>
          </w:p>
        </w:tc>
        <w:tc>
          <w:tcPr>
            <w:tcW w:w="1117" w:type="dxa"/>
            <w:shd w:val="clear" w:color="auto" w:fill="auto"/>
            <w:noWrap/>
            <w:vAlign w:val="center"/>
            <w:hideMark/>
          </w:tcPr>
          <w:p w14:paraId="1FF6F83D"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w:t>
            </w:r>
          </w:p>
        </w:tc>
        <w:tc>
          <w:tcPr>
            <w:tcW w:w="1116" w:type="dxa"/>
            <w:shd w:val="clear" w:color="auto" w:fill="auto"/>
            <w:noWrap/>
            <w:vAlign w:val="center"/>
            <w:hideMark/>
          </w:tcPr>
          <w:p w14:paraId="609DEFEF"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w:t>
            </w:r>
          </w:p>
        </w:tc>
        <w:tc>
          <w:tcPr>
            <w:tcW w:w="1117" w:type="dxa"/>
            <w:shd w:val="clear" w:color="auto" w:fill="auto"/>
            <w:noWrap/>
            <w:vAlign w:val="center"/>
            <w:hideMark/>
          </w:tcPr>
          <w:p w14:paraId="260A915F"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w:t>
            </w:r>
          </w:p>
        </w:tc>
        <w:tc>
          <w:tcPr>
            <w:tcW w:w="1116" w:type="dxa"/>
            <w:shd w:val="clear" w:color="auto" w:fill="auto"/>
            <w:noWrap/>
            <w:vAlign w:val="center"/>
            <w:hideMark/>
          </w:tcPr>
          <w:p w14:paraId="7E77B26A"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w:t>
            </w:r>
          </w:p>
        </w:tc>
        <w:tc>
          <w:tcPr>
            <w:tcW w:w="1117" w:type="dxa"/>
            <w:shd w:val="clear" w:color="auto" w:fill="auto"/>
            <w:noWrap/>
            <w:vAlign w:val="center"/>
            <w:hideMark/>
          </w:tcPr>
          <w:p w14:paraId="51048298"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w:t>
            </w:r>
          </w:p>
        </w:tc>
        <w:tc>
          <w:tcPr>
            <w:tcW w:w="957" w:type="dxa"/>
            <w:shd w:val="clear" w:color="auto" w:fill="auto"/>
            <w:noWrap/>
            <w:vAlign w:val="center"/>
            <w:hideMark/>
          </w:tcPr>
          <w:p w14:paraId="3512E540"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w:t>
            </w:r>
          </w:p>
        </w:tc>
        <w:tc>
          <w:tcPr>
            <w:tcW w:w="958" w:type="dxa"/>
            <w:shd w:val="clear" w:color="auto" w:fill="auto"/>
            <w:noWrap/>
            <w:vAlign w:val="center"/>
            <w:hideMark/>
          </w:tcPr>
          <w:p w14:paraId="30F18E89"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w:t>
            </w:r>
          </w:p>
        </w:tc>
        <w:tc>
          <w:tcPr>
            <w:tcW w:w="1276" w:type="dxa"/>
            <w:shd w:val="clear" w:color="auto" w:fill="auto"/>
            <w:noWrap/>
            <w:vAlign w:val="center"/>
            <w:hideMark/>
          </w:tcPr>
          <w:p w14:paraId="3DF5DFC8"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w:t>
            </w:r>
          </w:p>
        </w:tc>
        <w:tc>
          <w:tcPr>
            <w:tcW w:w="1275" w:type="dxa"/>
            <w:shd w:val="clear" w:color="auto" w:fill="auto"/>
            <w:noWrap/>
            <w:vAlign w:val="center"/>
            <w:hideMark/>
          </w:tcPr>
          <w:p w14:paraId="1C96D679"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w:t>
            </w:r>
          </w:p>
        </w:tc>
      </w:tr>
      <w:tr w:rsidR="003E5BF5" w:rsidRPr="00B932FA" w14:paraId="29D8DF06" w14:textId="77777777" w:rsidTr="00F60F2C">
        <w:trPr>
          <w:trHeight w:val="340"/>
        </w:trPr>
        <w:tc>
          <w:tcPr>
            <w:tcW w:w="3578" w:type="dxa"/>
            <w:shd w:val="clear" w:color="auto" w:fill="auto"/>
            <w:noWrap/>
            <w:vAlign w:val="center"/>
            <w:hideMark/>
          </w:tcPr>
          <w:p w14:paraId="0235512C" w14:textId="77777777" w:rsidR="003E5BF5" w:rsidRPr="00B932FA" w:rsidRDefault="003E5BF5" w:rsidP="00DE1921">
            <w:pPr>
              <w:rPr>
                <w:rFonts w:ascii="Arial" w:hAnsi="Arial" w:cs="Arial"/>
                <w:sz w:val="23"/>
                <w:szCs w:val="23"/>
              </w:rPr>
            </w:pPr>
            <w:r w:rsidRPr="00B932FA">
              <w:rPr>
                <w:rFonts w:ascii="Arial" w:hAnsi="Arial" w:cs="Arial"/>
                <w:sz w:val="23"/>
                <w:szCs w:val="23"/>
              </w:rPr>
              <w:t>Receivables</w:t>
            </w:r>
          </w:p>
        </w:tc>
        <w:tc>
          <w:tcPr>
            <w:tcW w:w="1115" w:type="dxa"/>
            <w:shd w:val="clear" w:color="auto" w:fill="auto"/>
            <w:noWrap/>
            <w:vAlign w:val="center"/>
            <w:hideMark/>
          </w:tcPr>
          <w:p w14:paraId="5277B1B7"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14,558 </w:t>
            </w:r>
          </w:p>
        </w:tc>
        <w:tc>
          <w:tcPr>
            <w:tcW w:w="1117" w:type="dxa"/>
            <w:shd w:val="clear" w:color="auto" w:fill="auto"/>
            <w:noWrap/>
            <w:vAlign w:val="center"/>
            <w:hideMark/>
          </w:tcPr>
          <w:p w14:paraId="54E9A42E"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11,932 </w:t>
            </w:r>
          </w:p>
        </w:tc>
        <w:tc>
          <w:tcPr>
            <w:tcW w:w="1116" w:type="dxa"/>
            <w:shd w:val="clear" w:color="auto" w:fill="auto"/>
            <w:noWrap/>
            <w:vAlign w:val="center"/>
            <w:hideMark/>
          </w:tcPr>
          <w:p w14:paraId="224C5C5E"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105 </w:t>
            </w:r>
          </w:p>
        </w:tc>
        <w:tc>
          <w:tcPr>
            <w:tcW w:w="1117" w:type="dxa"/>
            <w:shd w:val="clear" w:color="auto" w:fill="auto"/>
            <w:noWrap/>
            <w:vAlign w:val="center"/>
            <w:hideMark/>
          </w:tcPr>
          <w:p w14:paraId="66804BF3"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471 </w:t>
            </w:r>
          </w:p>
        </w:tc>
        <w:tc>
          <w:tcPr>
            <w:tcW w:w="1116" w:type="dxa"/>
            <w:shd w:val="clear" w:color="auto" w:fill="auto"/>
            <w:noWrap/>
            <w:vAlign w:val="center"/>
            <w:hideMark/>
          </w:tcPr>
          <w:p w14:paraId="62EEA642"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26 </w:t>
            </w:r>
          </w:p>
        </w:tc>
        <w:tc>
          <w:tcPr>
            <w:tcW w:w="1117" w:type="dxa"/>
            <w:shd w:val="clear" w:color="auto" w:fill="auto"/>
            <w:noWrap/>
            <w:vAlign w:val="center"/>
            <w:hideMark/>
          </w:tcPr>
          <w:p w14:paraId="786D0AEA"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1,252 </w:t>
            </w:r>
          </w:p>
        </w:tc>
        <w:tc>
          <w:tcPr>
            <w:tcW w:w="957" w:type="dxa"/>
            <w:shd w:val="clear" w:color="auto" w:fill="auto"/>
            <w:noWrap/>
            <w:vAlign w:val="center"/>
            <w:hideMark/>
          </w:tcPr>
          <w:p w14:paraId="0A48A427"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5 </w:t>
            </w:r>
          </w:p>
        </w:tc>
        <w:tc>
          <w:tcPr>
            <w:tcW w:w="958" w:type="dxa"/>
            <w:shd w:val="clear" w:color="auto" w:fill="auto"/>
            <w:noWrap/>
            <w:vAlign w:val="center"/>
            <w:hideMark/>
          </w:tcPr>
          <w:p w14:paraId="1FCE2A70" w14:textId="77777777" w:rsidR="003E5BF5" w:rsidRPr="00B932FA" w:rsidRDefault="003E5BF5" w:rsidP="00DE1921">
            <w:pPr>
              <w:jc w:val="right"/>
              <w:rPr>
                <w:rFonts w:ascii="Arial" w:hAnsi="Arial" w:cs="Arial"/>
                <w:sz w:val="23"/>
                <w:szCs w:val="23"/>
              </w:rPr>
            </w:pPr>
            <w:r w:rsidRPr="00B932FA">
              <w:rPr>
                <w:rFonts w:ascii="Arial" w:hAnsi="Arial" w:cs="Arial"/>
                <w:b/>
                <w:sz w:val="23"/>
                <w:szCs w:val="23"/>
              </w:rPr>
              <w:t>-</w:t>
            </w:r>
          </w:p>
        </w:tc>
        <w:tc>
          <w:tcPr>
            <w:tcW w:w="1276" w:type="dxa"/>
            <w:shd w:val="clear" w:color="auto" w:fill="auto"/>
            <w:noWrap/>
            <w:vAlign w:val="center"/>
            <w:hideMark/>
          </w:tcPr>
          <w:p w14:paraId="433EBBFE"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22,157 </w:t>
            </w:r>
          </w:p>
        </w:tc>
        <w:tc>
          <w:tcPr>
            <w:tcW w:w="1275" w:type="dxa"/>
            <w:shd w:val="clear" w:color="auto" w:fill="auto"/>
            <w:noWrap/>
            <w:vAlign w:val="center"/>
            <w:hideMark/>
          </w:tcPr>
          <w:p w14:paraId="58BEC6AE"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18,474 </w:t>
            </w:r>
          </w:p>
        </w:tc>
      </w:tr>
      <w:tr w:rsidR="003E5BF5" w:rsidRPr="00B932FA" w14:paraId="5B1B5FEB" w14:textId="77777777" w:rsidTr="00F60F2C">
        <w:trPr>
          <w:trHeight w:val="340"/>
        </w:trPr>
        <w:tc>
          <w:tcPr>
            <w:tcW w:w="3578" w:type="dxa"/>
            <w:shd w:val="clear" w:color="auto" w:fill="auto"/>
            <w:noWrap/>
            <w:vAlign w:val="center"/>
            <w:hideMark/>
          </w:tcPr>
          <w:p w14:paraId="7FF0AC89" w14:textId="77777777" w:rsidR="003E5BF5" w:rsidRPr="00B932FA" w:rsidRDefault="003E5BF5" w:rsidP="00DE1921">
            <w:pPr>
              <w:rPr>
                <w:rFonts w:ascii="Arial" w:hAnsi="Arial" w:cs="Arial"/>
                <w:sz w:val="23"/>
                <w:szCs w:val="23"/>
              </w:rPr>
            </w:pPr>
            <w:r w:rsidRPr="00B932FA">
              <w:rPr>
                <w:rFonts w:ascii="Arial" w:hAnsi="Arial" w:cs="Arial"/>
                <w:sz w:val="23"/>
                <w:szCs w:val="23"/>
              </w:rPr>
              <w:t>Trust funds</w:t>
            </w:r>
          </w:p>
        </w:tc>
        <w:tc>
          <w:tcPr>
            <w:tcW w:w="1115" w:type="dxa"/>
            <w:shd w:val="clear" w:color="auto" w:fill="auto"/>
            <w:noWrap/>
            <w:vAlign w:val="center"/>
            <w:hideMark/>
          </w:tcPr>
          <w:p w14:paraId="4F180F49"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 </w:t>
            </w:r>
            <w:r w:rsidRPr="00B932FA">
              <w:rPr>
                <w:rFonts w:ascii="Arial" w:hAnsi="Arial" w:cs="Arial"/>
                <w:b/>
                <w:sz w:val="23"/>
                <w:szCs w:val="23"/>
              </w:rPr>
              <w:t>-</w:t>
            </w:r>
          </w:p>
        </w:tc>
        <w:tc>
          <w:tcPr>
            <w:tcW w:w="1117" w:type="dxa"/>
            <w:shd w:val="clear" w:color="auto" w:fill="auto"/>
            <w:noWrap/>
            <w:vAlign w:val="center"/>
            <w:hideMark/>
          </w:tcPr>
          <w:p w14:paraId="690F45C0"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47 </w:t>
            </w:r>
          </w:p>
        </w:tc>
        <w:tc>
          <w:tcPr>
            <w:tcW w:w="1116" w:type="dxa"/>
            <w:shd w:val="clear" w:color="auto" w:fill="auto"/>
            <w:noWrap/>
            <w:vAlign w:val="center"/>
            <w:hideMark/>
          </w:tcPr>
          <w:p w14:paraId="09F3B59D" w14:textId="77777777" w:rsidR="003E5BF5" w:rsidRPr="00B932FA" w:rsidRDefault="003E5BF5" w:rsidP="00DE1921">
            <w:pPr>
              <w:jc w:val="right"/>
              <w:rPr>
                <w:rFonts w:ascii="Arial" w:hAnsi="Arial" w:cs="Arial"/>
                <w:sz w:val="23"/>
                <w:szCs w:val="23"/>
              </w:rPr>
            </w:pPr>
            <w:r w:rsidRPr="00B932FA">
              <w:rPr>
                <w:rFonts w:ascii="Arial" w:hAnsi="Arial" w:cs="Arial"/>
                <w:b/>
                <w:sz w:val="23"/>
                <w:szCs w:val="23"/>
              </w:rPr>
              <w:t>-</w:t>
            </w:r>
            <w:r w:rsidRPr="00B932FA">
              <w:rPr>
                <w:rFonts w:ascii="Arial" w:hAnsi="Arial" w:cs="Arial"/>
                <w:sz w:val="23"/>
                <w:szCs w:val="23"/>
              </w:rPr>
              <w:t xml:space="preserve"> </w:t>
            </w:r>
          </w:p>
        </w:tc>
        <w:tc>
          <w:tcPr>
            <w:tcW w:w="1117" w:type="dxa"/>
            <w:shd w:val="clear" w:color="auto" w:fill="auto"/>
            <w:noWrap/>
            <w:vAlign w:val="center"/>
            <w:hideMark/>
          </w:tcPr>
          <w:p w14:paraId="658AF9DC"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10 </w:t>
            </w:r>
          </w:p>
        </w:tc>
        <w:tc>
          <w:tcPr>
            <w:tcW w:w="1116" w:type="dxa"/>
            <w:shd w:val="clear" w:color="auto" w:fill="auto"/>
            <w:noWrap/>
            <w:vAlign w:val="center"/>
            <w:hideMark/>
          </w:tcPr>
          <w:p w14:paraId="1FA0651C"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1,102 </w:t>
            </w:r>
          </w:p>
        </w:tc>
        <w:tc>
          <w:tcPr>
            <w:tcW w:w="1117" w:type="dxa"/>
            <w:shd w:val="clear" w:color="auto" w:fill="auto"/>
            <w:noWrap/>
            <w:vAlign w:val="center"/>
            <w:hideMark/>
          </w:tcPr>
          <w:p w14:paraId="6753A422"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5 </w:t>
            </w:r>
          </w:p>
        </w:tc>
        <w:tc>
          <w:tcPr>
            <w:tcW w:w="957" w:type="dxa"/>
            <w:shd w:val="clear" w:color="auto" w:fill="auto"/>
            <w:noWrap/>
            <w:vAlign w:val="center"/>
            <w:hideMark/>
          </w:tcPr>
          <w:p w14:paraId="0ECC98B4" w14:textId="77777777" w:rsidR="003E5BF5" w:rsidRPr="00B932FA" w:rsidRDefault="003E5BF5" w:rsidP="00DE1921">
            <w:pPr>
              <w:jc w:val="right"/>
              <w:rPr>
                <w:rFonts w:ascii="Arial" w:hAnsi="Arial" w:cs="Arial"/>
                <w:sz w:val="23"/>
                <w:szCs w:val="23"/>
              </w:rPr>
            </w:pPr>
            <w:r w:rsidRPr="00B932FA">
              <w:rPr>
                <w:rFonts w:ascii="Arial" w:hAnsi="Arial" w:cs="Arial"/>
                <w:b/>
                <w:sz w:val="23"/>
                <w:szCs w:val="23"/>
              </w:rPr>
              <w:t>-</w:t>
            </w:r>
          </w:p>
        </w:tc>
        <w:tc>
          <w:tcPr>
            <w:tcW w:w="958" w:type="dxa"/>
            <w:shd w:val="clear" w:color="auto" w:fill="auto"/>
            <w:noWrap/>
            <w:vAlign w:val="center"/>
            <w:hideMark/>
          </w:tcPr>
          <w:p w14:paraId="5A0AD787"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2 </w:t>
            </w:r>
          </w:p>
        </w:tc>
        <w:tc>
          <w:tcPr>
            <w:tcW w:w="1276" w:type="dxa"/>
            <w:shd w:val="clear" w:color="auto" w:fill="auto"/>
            <w:noWrap/>
            <w:vAlign w:val="center"/>
            <w:hideMark/>
          </w:tcPr>
          <w:p w14:paraId="6CFB4156"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15,823 </w:t>
            </w:r>
          </w:p>
        </w:tc>
        <w:tc>
          <w:tcPr>
            <w:tcW w:w="1275" w:type="dxa"/>
            <w:shd w:val="clear" w:color="auto" w:fill="auto"/>
            <w:noWrap/>
            <w:vAlign w:val="center"/>
            <w:hideMark/>
          </w:tcPr>
          <w:p w14:paraId="7E0684A3"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250 </w:t>
            </w:r>
          </w:p>
        </w:tc>
      </w:tr>
      <w:tr w:rsidR="003E5BF5" w:rsidRPr="00B932FA" w14:paraId="20B20AB2" w14:textId="77777777" w:rsidTr="00F60F2C">
        <w:trPr>
          <w:trHeight w:val="340"/>
        </w:trPr>
        <w:tc>
          <w:tcPr>
            <w:tcW w:w="3578" w:type="dxa"/>
            <w:shd w:val="clear" w:color="auto" w:fill="auto"/>
            <w:noWrap/>
            <w:vAlign w:val="center"/>
          </w:tcPr>
          <w:p w14:paraId="443B9A34" w14:textId="77777777" w:rsidR="003E5BF5" w:rsidRPr="00B932FA" w:rsidRDefault="003E5BF5" w:rsidP="00DE1921">
            <w:pPr>
              <w:rPr>
                <w:rFonts w:ascii="Arial" w:hAnsi="Arial" w:cs="Arial"/>
                <w:sz w:val="23"/>
                <w:szCs w:val="23"/>
              </w:rPr>
            </w:pPr>
            <w:r w:rsidRPr="00B932FA">
              <w:rPr>
                <w:rFonts w:ascii="Arial" w:hAnsi="Arial" w:cs="Arial"/>
                <w:sz w:val="23"/>
                <w:szCs w:val="23"/>
              </w:rPr>
              <w:t>Equity investment</w:t>
            </w:r>
          </w:p>
        </w:tc>
        <w:tc>
          <w:tcPr>
            <w:tcW w:w="1115" w:type="dxa"/>
            <w:shd w:val="clear" w:color="auto" w:fill="auto"/>
            <w:noWrap/>
            <w:vAlign w:val="center"/>
          </w:tcPr>
          <w:p w14:paraId="3D97A2F2"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979,458 </w:t>
            </w:r>
          </w:p>
        </w:tc>
        <w:tc>
          <w:tcPr>
            <w:tcW w:w="1117" w:type="dxa"/>
            <w:shd w:val="clear" w:color="auto" w:fill="auto"/>
            <w:noWrap/>
            <w:vAlign w:val="center"/>
          </w:tcPr>
          <w:p w14:paraId="7D52E086"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1,292,491 </w:t>
            </w:r>
          </w:p>
        </w:tc>
        <w:tc>
          <w:tcPr>
            <w:tcW w:w="1116" w:type="dxa"/>
            <w:shd w:val="clear" w:color="auto" w:fill="auto"/>
            <w:noWrap/>
            <w:vAlign w:val="center"/>
          </w:tcPr>
          <w:p w14:paraId="6F7C60E0"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94,752 </w:t>
            </w:r>
          </w:p>
        </w:tc>
        <w:tc>
          <w:tcPr>
            <w:tcW w:w="1117" w:type="dxa"/>
            <w:shd w:val="clear" w:color="auto" w:fill="auto"/>
            <w:noWrap/>
            <w:vAlign w:val="center"/>
          </w:tcPr>
          <w:p w14:paraId="119D564E"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57,951 </w:t>
            </w:r>
          </w:p>
        </w:tc>
        <w:tc>
          <w:tcPr>
            <w:tcW w:w="1116" w:type="dxa"/>
            <w:shd w:val="clear" w:color="auto" w:fill="auto"/>
            <w:noWrap/>
            <w:vAlign w:val="center"/>
          </w:tcPr>
          <w:p w14:paraId="5C04BB96"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24 </w:t>
            </w:r>
          </w:p>
        </w:tc>
        <w:tc>
          <w:tcPr>
            <w:tcW w:w="1117" w:type="dxa"/>
            <w:shd w:val="clear" w:color="auto" w:fill="auto"/>
            <w:noWrap/>
            <w:vAlign w:val="center"/>
          </w:tcPr>
          <w:p w14:paraId="3C9D4DBF" w14:textId="77777777" w:rsidR="003E5BF5" w:rsidRPr="00B932FA" w:rsidRDefault="003E5BF5" w:rsidP="00DE1921">
            <w:pPr>
              <w:jc w:val="right"/>
              <w:rPr>
                <w:rFonts w:ascii="Arial" w:hAnsi="Arial" w:cs="Arial"/>
                <w:sz w:val="23"/>
                <w:szCs w:val="23"/>
              </w:rPr>
            </w:pPr>
            <w:r w:rsidRPr="00B932FA">
              <w:rPr>
                <w:rFonts w:ascii="Arial" w:hAnsi="Arial" w:cs="Arial"/>
                <w:b/>
                <w:sz w:val="23"/>
                <w:szCs w:val="23"/>
              </w:rPr>
              <w:t>-</w:t>
            </w:r>
          </w:p>
        </w:tc>
        <w:tc>
          <w:tcPr>
            <w:tcW w:w="957" w:type="dxa"/>
            <w:shd w:val="clear" w:color="auto" w:fill="auto"/>
            <w:noWrap/>
            <w:vAlign w:val="center"/>
          </w:tcPr>
          <w:p w14:paraId="79BC7392" w14:textId="77777777" w:rsidR="003E5BF5" w:rsidRPr="00B932FA" w:rsidRDefault="003E5BF5" w:rsidP="00DE1921">
            <w:pPr>
              <w:jc w:val="right"/>
              <w:rPr>
                <w:rFonts w:ascii="Arial" w:hAnsi="Arial" w:cs="Arial"/>
                <w:sz w:val="23"/>
                <w:szCs w:val="23"/>
              </w:rPr>
            </w:pPr>
            <w:r w:rsidRPr="00B932FA">
              <w:rPr>
                <w:rFonts w:ascii="Arial" w:hAnsi="Arial" w:cs="Arial"/>
                <w:b/>
                <w:sz w:val="23"/>
                <w:szCs w:val="23"/>
              </w:rPr>
              <w:t>-</w:t>
            </w:r>
          </w:p>
        </w:tc>
        <w:tc>
          <w:tcPr>
            <w:tcW w:w="958" w:type="dxa"/>
            <w:shd w:val="clear" w:color="auto" w:fill="auto"/>
            <w:noWrap/>
            <w:vAlign w:val="center"/>
          </w:tcPr>
          <w:p w14:paraId="4DAAAA6A" w14:textId="77777777" w:rsidR="003E5BF5" w:rsidRPr="00B932FA" w:rsidRDefault="003E5BF5" w:rsidP="00DE1921">
            <w:pPr>
              <w:jc w:val="right"/>
              <w:rPr>
                <w:rFonts w:ascii="Arial" w:hAnsi="Arial" w:cs="Arial"/>
                <w:sz w:val="23"/>
                <w:szCs w:val="23"/>
              </w:rPr>
            </w:pPr>
            <w:r w:rsidRPr="00B932FA">
              <w:rPr>
                <w:rFonts w:ascii="Arial" w:hAnsi="Arial" w:cs="Arial"/>
                <w:b/>
                <w:sz w:val="23"/>
                <w:szCs w:val="23"/>
              </w:rPr>
              <w:t>-</w:t>
            </w:r>
          </w:p>
        </w:tc>
        <w:tc>
          <w:tcPr>
            <w:tcW w:w="1276" w:type="dxa"/>
            <w:shd w:val="clear" w:color="auto" w:fill="auto"/>
            <w:noWrap/>
            <w:vAlign w:val="center"/>
          </w:tcPr>
          <w:p w14:paraId="27588072"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32,630,142 </w:t>
            </w:r>
          </w:p>
        </w:tc>
        <w:tc>
          <w:tcPr>
            <w:tcW w:w="1275" w:type="dxa"/>
            <w:shd w:val="clear" w:color="auto" w:fill="auto"/>
            <w:noWrap/>
            <w:vAlign w:val="center"/>
          </w:tcPr>
          <w:p w14:paraId="09446A63"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 xml:space="preserve">28,702,107 </w:t>
            </w:r>
          </w:p>
        </w:tc>
      </w:tr>
      <w:tr w:rsidR="003E5BF5" w:rsidRPr="00B932FA" w14:paraId="0F430ACC" w14:textId="77777777" w:rsidTr="00F60F2C">
        <w:trPr>
          <w:trHeight w:val="340"/>
        </w:trPr>
        <w:tc>
          <w:tcPr>
            <w:tcW w:w="3578" w:type="dxa"/>
            <w:shd w:val="clear" w:color="auto" w:fill="auto"/>
            <w:noWrap/>
            <w:vAlign w:val="center"/>
            <w:hideMark/>
          </w:tcPr>
          <w:p w14:paraId="69510104" w14:textId="77777777" w:rsidR="003E5BF5" w:rsidRPr="00B932FA" w:rsidRDefault="003E5BF5" w:rsidP="00DE1921">
            <w:pPr>
              <w:rPr>
                <w:rFonts w:ascii="Arial" w:hAnsi="Arial" w:cs="Arial"/>
                <w:b/>
                <w:sz w:val="23"/>
                <w:szCs w:val="23"/>
              </w:rPr>
            </w:pPr>
            <w:r w:rsidRPr="00B932FA">
              <w:rPr>
                <w:rFonts w:ascii="Arial" w:hAnsi="Arial" w:cs="Arial"/>
                <w:b/>
                <w:sz w:val="23"/>
                <w:szCs w:val="23"/>
              </w:rPr>
              <w:t>Total administered financial assets</w:t>
            </w:r>
          </w:p>
        </w:tc>
        <w:tc>
          <w:tcPr>
            <w:tcW w:w="1115" w:type="dxa"/>
            <w:shd w:val="clear" w:color="auto" w:fill="auto"/>
            <w:noWrap/>
            <w:vAlign w:val="center"/>
            <w:hideMark/>
          </w:tcPr>
          <w:p w14:paraId="63A0D2B0"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994,016 </w:t>
            </w:r>
          </w:p>
        </w:tc>
        <w:tc>
          <w:tcPr>
            <w:tcW w:w="1117" w:type="dxa"/>
            <w:shd w:val="clear" w:color="auto" w:fill="auto"/>
            <w:noWrap/>
            <w:vAlign w:val="center"/>
            <w:hideMark/>
          </w:tcPr>
          <w:p w14:paraId="2BBF9AC8"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1,304,470 </w:t>
            </w:r>
          </w:p>
        </w:tc>
        <w:tc>
          <w:tcPr>
            <w:tcW w:w="1116" w:type="dxa"/>
            <w:shd w:val="clear" w:color="auto" w:fill="auto"/>
            <w:noWrap/>
            <w:vAlign w:val="center"/>
            <w:hideMark/>
          </w:tcPr>
          <w:p w14:paraId="70A1B342"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94,857 </w:t>
            </w:r>
          </w:p>
        </w:tc>
        <w:tc>
          <w:tcPr>
            <w:tcW w:w="1117" w:type="dxa"/>
            <w:shd w:val="clear" w:color="auto" w:fill="auto"/>
            <w:noWrap/>
            <w:vAlign w:val="center"/>
            <w:hideMark/>
          </w:tcPr>
          <w:p w14:paraId="0666EB8F"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58,432 </w:t>
            </w:r>
          </w:p>
        </w:tc>
        <w:tc>
          <w:tcPr>
            <w:tcW w:w="1116" w:type="dxa"/>
            <w:shd w:val="clear" w:color="auto" w:fill="auto"/>
            <w:noWrap/>
            <w:vAlign w:val="center"/>
            <w:hideMark/>
          </w:tcPr>
          <w:p w14:paraId="356774BD"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1,152 </w:t>
            </w:r>
          </w:p>
        </w:tc>
        <w:tc>
          <w:tcPr>
            <w:tcW w:w="1117" w:type="dxa"/>
            <w:shd w:val="clear" w:color="auto" w:fill="auto"/>
            <w:noWrap/>
            <w:vAlign w:val="center"/>
            <w:hideMark/>
          </w:tcPr>
          <w:p w14:paraId="5CF63B71"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1,257 </w:t>
            </w:r>
          </w:p>
        </w:tc>
        <w:tc>
          <w:tcPr>
            <w:tcW w:w="957" w:type="dxa"/>
            <w:shd w:val="clear" w:color="auto" w:fill="auto"/>
            <w:noWrap/>
            <w:vAlign w:val="center"/>
            <w:hideMark/>
          </w:tcPr>
          <w:p w14:paraId="6D535483"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5 </w:t>
            </w:r>
          </w:p>
        </w:tc>
        <w:tc>
          <w:tcPr>
            <w:tcW w:w="958" w:type="dxa"/>
            <w:shd w:val="clear" w:color="auto" w:fill="auto"/>
            <w:noWrap/>
            <w:vAlign w:val="center"/>
            <w:hideMark/>
          </w:tcPr>
          <w:p w14:paraId="30DE0619"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2 </w:t>
            </w:r>
          </w:p>
        </w:tc>
        <w:tc>
          <w:tcPr>
            <w:tcW w:w="1276" w:type="dxa"/>
            <w:shd w:val="clear" w:color="auto" w:fill="auto"/>
            <w:noWrap/>
            <w:vAlign w:val="center"/>
            <w:hideMark/>
          </w:tcPr>
          <w:p w14:paraId="509CC51F"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32,668,122 </w:t>
            </w:r>
          </w:p>
        </w:tc>
        <w:tc>
          <w:tcPr>
            <w:tcW w:w="1275" w:type="dxa"/>
            <w:shd w:val="clear" w:color="auto" w:fill="auto"/>
            <w:noWrap/>
            <w:vAlign w:val="center"/>
            <w:hideMark/>
          </w:tcPr>
          <w:p w14:paraId="29432083"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28,720,831 </w:t>
            </w:r>
          </w:p>
        </w:tc>
      </w:tr>
      <w:tr w:rsidR="003E5BF5" w:rsidRPr="00B932FA" w14:paraId="5C8BE38D" w14:textId="77777777" w:rsidTr="00F60F2C">
        <w:trPr>
          <w:trHeight w:val="340"/>
        </w:trPr>
        <w:tc>
          <w:tcPr>
            <w:tcW w:w="3578" w:type="dxa"/>
            <w:shd w:val="clear" w:color="auto" w:fill="auto"/>
            <w:noWrap/>
            <w:vAlign w:val="center"/>
            <w:hideMark/>
          </w:tcPr>
          <w:p w14:paraId="1A01F959" w14:textId="77777777" w:rsidR="003E5BF5" w:rsidRPr="00B932FA" w:rsidRDefault="003E5BF5" w:rsidP="00DE1921">
            <w:pPr>
              <w:rPr>
                <w:rFonts w:ascii="Arial" w:hAnsi="Arial" w:cs="Arial"/>
                <w:b/>
                <w:sz w:val="23"/>
                <w:szCs w:val="23"/>
              </w:rPr>
            </w:pPr>
            <w:r w:rsidRPr="00B932FA">
              <w:rPr>
                <w:rFonts w:ascii="Arial" w:hAnsi="Arial" w:cs="Arial"/>
                <w:b/>
                <w:sz w:val="23"/>
                <w:szCs w:val="23"/>
              </w:rPr>
              <w:t>Total administered assets</w:t>
            </w:r>
          </w:p>
        </w:tc>
        <w:tc>
          <w:tcPr>
            <w:tcW w:w="1115" w:type="dxa"/>
            <w:shd w:val="clear" w:color="auto" w:fill="auto"/>
            <w:noWrap/>
            <w:vAlign w:val="center"/>
            <w:hideMark/>
          </w:tcPr>
          <w:p w14:paraId="58C77883"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994,016 </w:t>
            </w:r>
          </w:p>
        </w:tc>
        <w:tc>
          <w:tcPr>
            <w:tcW w:w="1117" w:type="dxa"/>
            <w:shd w:val="clear" w:color="auto" w:fill="auto"/>
            <w:noWrap/>
            <w:vAlign w:val="center"/>
            <w:hideMark/>
          </w:tcPr>
          <w:p w14:paraId="776727BB"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1,304,470 </w:t>
            </w:r>
          </w:p>
        </w:tc>
        <w:tc>
          <w:tcPr>
            <w:tcW w:w="1116" w:type="dxa"/>
            <w:shd w:val="clear" w:color="auto" w:fill="auto"/>
            <w:noWrap/>
            <w:vAlign w:val="center"/>
            <w:hideMark/>
          </w:tcPr>
          <w:p w14:paraId="4B6C3196"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94,857 </w:t>
            </w:r>
          </w:p>
        </w:tc>
        <w:tc>
          <w:tcPr>
            <w:tcW w:w="1117" w:type="dxa"/>
            <w:shd w:val="clear" w:color="auto" w:fill="auto"/>
            <w:noWrap/>
            <w:vAlign w:val="center"/>
            <w:hideMark/>
          </w:tcPr>
          <w:p w14:paraId="10B71CB0"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58,432 </w:t>
            </w:r>
          </w:p>
        </w:tc>
        <w:tc>
          <w:tcPr>
            <w:tcW w:w="1116" w:type="dxa"/>
            <w:shd w:val="clear" w:color="auto" w:fill="auto"/>
            <w:noWrap/>
            <w:vAlign w:val="center"/>
            <w:hideMark/>
          </w:tcPr>
          <w:p w14:paraId="5BD45391"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1,152 </w:t>
            </w:r>
          </w:p>
        </w:tc>
        <w:tc>
          <w:tcPr>
            <w:tcW w:w="1117" w:type="dxa"/>
            <w:shd w:val="clear" w:color="auto" w:fill="auto"/>
            <w:noWrap/>
            <w:vAlign w:val="center"/>
            <w:hideMark/>
          </w:tcPr>
          <w:p w14:paraId="7B96D463"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1,257 </w:t>
            </w:r>
          </w:p>
        </w:tc>
        <w:tc>
          <w:tcPr>
            <w:tcW w:w="957" w:type="dxa"/>
            <w:shd w:val="clear" w:color="auto" w:fill="auto"/>
            <w:noWrap/>
            <w:vAlign w:val="center"/>
            <w:hideMark/>
          </w:tcPr>
          <w:p w14:paraId="645EDDB0"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5 </w:t>
            </w:r>
          </w:p>
        </w:tc>
        <w:tc>
          <w:tcPr>
            <w:tcW w:w="958" w:type="dxa"/>
            <w:shd w:val="clear" w:color="auto" w:fill="auto"/>
            <w:noWrap/>
            <w:vAlign w:val="center"/>
            <w:hideMark/>
          </w:tcPr>
          <w:p w14:paraId="266B8F5E"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2 </w:t>
            </w:r>
          </w:p>
        </w:tc>
        <w:tc>
          <w:tcPr>
            <w:tcW w:w="1276" w:type="dxa"/>
            <w:shd w:val="clear" w:color="auto" w:fill="auto"/>
            <w:noWrap/>
            <w:vAlign w:val="center"/>
            <w:hideMark/>
          </w:tcPr>
          <w:p w14:paraId="0767C83E"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32,668,122 </w:t>
            </w:r>
          </w:p>
        </w:tc>
        <w:tc>
          <w:tcPr>
            <w:tcW w:w="1275" w:type="dxa"/>
            <w:shd w:val="clear" w:color="auto" w:fill="auto"/>
            <w:noWrap/>
            <w:vAlign w:val="center"/>
            <w:hideMark/>
          </w:tcPr>
          <w:p w14:paraId="3379A3C1"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28,720,831 </w:t>
            </w:r>
          </w:p>
        </w:tc>
      </w:tr>
      <w:tr w:rsidR="003E5BF5" w:rsidRPr="00B932FA" w14:paraId="3D0B66F4" w14:textId="77777777" w:rsidTr="00F60F2C">
        <w:trPr>
          <w:trHeight w:val="340"/>
        </w:trPr>
        <w:tc>
          <w:tcPr>
            <w:tcW w:w="3578" w:type="dxa"/>
            <w:shd w:val="clear" w:color="auto" w:fill="auto"/>
            <w:noWrap/>
            <w:vAlign w:val="center"/>
            <w:hideMark/>
          </w:tcPr>
          <w:p w14:paraId="7DA57A27" w14:textId="77777777" w:rsidR="003E5BF5" w:rsidRPr="00B932FA" w:rsidRDefault="003E5BF5" w:rsidP="00DE1921">
            <w:pPr>
              <w:rPr>
                <w:rFonts w:ascii="Arial" w:hAnsi="Arial" w:cs="Arial"/>
                <w:b/>
                <w:sz w:val="23"/>
                <w:szCs w:val="23"/>
              </w:rPr>
            </w:pPr>
          </w:p>
        </w:tc>
        <w:tc>
          <w:tcPr>
            <w:tcW w:w="1115" w:type="dxa"/>
            <w:shd w:val="clear" w:color="auto" w:fill="auto"/>
            <w:noWrap/>
            <w:vAlign w:val="center"/>
            <w:hideMark/>
          </w:tcPr>
          <w:p w14:paraId="504C1384" w14:textId="77777777" w:rsidR="003E5BF5" w:rsidRPr="00B932FA" w:rsidRDefault="003E5BF5" w:rsidP="00DE1921">
            <w:pPr>
              <w:jc w:val="right"/>
              <w:rPr>
                <w:rFonts w:ascii="Arial" w:hAnsi="Arial" w:cs="Arial"/>
                <w:sz w:val="23"/>
                <w:szCs w:val="23"/>
              </w:rPr>
            </w:pPr>
          </w:p>
        </w:tc>
        <w:tc>
          <w:tcPr>
            <w:tcW w:w="1117" w:type="dxa"/>
            <w:shd w:val="clear" w:color="auto" w:fill="auto"/>
            <w:noWrap/>
            <w:vAlign w:val="center"/>
            <w:hideMark/>
          </w:tcPr>
          <w:p w14:paraId="119597C8" w14:textId="77777777" w:rsidR="003E5BF5" w:rsidRPr="00B932FA" w:rsidRDefault="003E5BF5" w:rsidP="00DE1921">
            <w:pPr>
              <w:jc w:val="right"/>
              <w:rPr>
                <w:rFonts w:ascii="Arial" w:hAnsi="Arial" w:cs="Arial"/>
                <w:sz w:val="23"/>
                <w:szCs w:val="23"/>
              </w:rPr>
            </w:pPr>
          </w:p>
        </w:tc>
        <w:tc>
          <w:tcPr>
            <w:tcW w:w="1116" w:type="dxa"/>
            <w:shd w:val="clear" w:color="auto" w:fill="auto"/>
            <w:noWrap/>
            <w:vAlign w:val="center"/>
            <w:hideMark/>
          </w:tcPr>
          <w:p w14:paraId="32EC8B8E" w14:textId="77777777" w:rsidR="003E5BF5" w:rsidRPr="00B932FA" w:rsidRDefault="003E5BF5" w:rsidP="00DE1921">
            <w:pPr>
              <w:jc w:val="right"/>
              <w:rPr>
                <w:rFonts w:ascii="Arial" w:hAnsi="Arial" w:cs="Arial"/>
                <w:sz w:val="23"/>
                <w:szCs w:val="23"/>
              </w:rPr>
            </w:pPr>
          </w:p>
        </w:tc>
        <w:tc>
          <w:tcPr>
            <w:tcW w:w="1117" w:type="dxa"/>
            <w:shd w:val="clear" w:color="auto" w:fill="auto"/>
            <w:noWrap/>
            <w:vAlign w:val="center"/>
            <w:hideMark/>
          </w:tcPr>
          <w:p w14:paraId="37B28D65" w14:textId="77777777" w:rsidR="003E5BF5" w:rsidRPr="00B932FA" w:rsidRDefault="003E5BF5" w:rsidP="00DE1921">
            <w:pPr>
              <w:jc w:val="right"/>
              <w:rPr>
                <w:rFonts w:ascii="Arial" w:hAnsi="Arial" w:cs="Arial"/>
                <w:sz w:val="23"/>
                <w:szCs w:val="23"/>
              </w:rPr>
            </w:pPr>
          </w:p>
        </w:tc>
        <w:tc>
          <w:tcPr>
            <w:tcW w:w="1116" w:type="dxa"/>
            <w:shd w:val="clear" w:color="auto" w:fill="auto"/>
            <w:noWrap/>
            <w:vAlign w:val="center"/>
            <w:hideMark/>
          </w:tcPr>
          <w:p w14:paraId="57E7281E" w14:textId="77777777" w:rsidR="003E5BF5" w:rsidRPr="00B932FA" w:rsidRDefault="003E5BF5" w:rsidP="00DE1921">
            <w:pPr>
              <w:jc w:val="right"/>
              <w:rPr>
                <w:rFonts w:ascii="Arial" w:hAnsi="Arial" w:cs="Arial"/>
                <w:sz w:val="23"/>
                <w:szCs w:val="23"/>
              </w:rPr>
            </w:pPr>
          </w:p>
        </w:tc>
        <w:tc>
          <w:tcPr>
            <w:tcW w:w="1117" w:type="dxa"/>
            <w:shd w:val="clear" w:color="auto" w:fill="auto"/>
            <w:noWrap/>
            <w:vAlign w:val="center"/>
            <w:hideMark/>
          </w:tcPr>
          <w:p w14:paraId="59FAEB3A" w14:textId="77777777" w:rsidR="003E5BF5" w:rsidRPr="00B932FA" w:rsidRDefault="003E5BF5" w:rsidP="00DE1921">
            <w:pPr>
              <w:jc w:val="right"/>
              <w:rPr>
                <w:rFonts w:ascii="Arial" w:hAnsi="Arial" w:cs="Arial"/>
                <w:sz w:val="23"/>
                <w:szCs w:val="23"/>
              </w:rPr>
            </w:pPr>
          </w:p>
        </w:tc>
        <w:tc>
          <w:tcPr>
            <w:tcW w:w="957" w:type="dxa"/>
            <w:shd w:val="clear" w:color="auto" w:fill="auto"/>
            <w:noWrap/>
            <w:vAlign w:val="center"/>
            <w:hideMark/>
          </w:tcPr>
          <w:p w14:paraId="0A1EF23B" w14:textId="77777777" w:rsidR="003E5BF5" w:rsidRPr="00B932FA" w:rsidRDefault="003E5BF5" w:rsidP="00DE1921">
            <w:pPr>
              <w:jc w:val="right"/>
              <w:rPr>
                <w:rFonts w:ascii="Arial" w:hAnsi="Arial" w:cs="Arial"/>
                <w:sz w:val="23"/>
                <w:szCs w:val="23"/>
              </w:rPr>
            </w:pPr>
          </w:p>
        </w:tc>
        <w:tc>
          <w:tcPr>
            <w:tcW w:w="958" w:type="dxa"/>
            <w:shd w:val="clear" w:color="auto" w:fill="auto"/>
            <w:noWrap/>
            <w:vAlign w:val="center"/>
            <w:hideMark/>
          </w:tcPr>
          <w:p w14:paraId="603F72F6" w14:textId="77777777" w:rsidR="003E5BF5" w:rsidRPr="00B932FA" w:rsidRDefault="003E5BF5" w:rsidP="00DE1921">
            <w:pPr>
              <w:jc w:val="right"/>
              <w:rPr>
                <w:rFonts w:ascii="Arial" w:hAnsi="Arial" w:cs="Arial"/>
                <w:sz w:val="23"/>
                <w:szCs w:val="23"/>
              </w:rPr>
            </w:pPr>
          </w:p>
        </w:tc>
        <w:tc>
          <w:tcPr>
            <w:tcW w:w="1276" w:type="dxa"/>
            <w:shd w:val="clear" w:color="auto" w:fill="auto"/>
            <w:noWrap/>
            <w:vAlign w:val="center"/>
            <w:hideMark/>
          </w:tcPr>
          <w:p w14:paraId="7D2A23AD" w14:textId="77777777" w:rsidR="003E5BF5" w:rsidRPr="00B932FA" w:rsidRDefault="003E5BF5" w:rsidP="00DE1921">
            <w:pPr>
              <w:jc w:val="right"/>
              <w:rPr>
                <w:rFonts w:ascii="Arial" w:hAnsi="Arial" w:cs="Arial"/>
                <w:sz w:val="23"/>
                <w:szCs w:val="23"/>
              </w:rPr>
            </w:pPr>
          </w:p>
        </w:tc>
        <w:tc>
          <w:tcPr>
            <w:tcW w:w="1275" w:type="dxa"/>
            <w:shd w:val="clear" w:color="auto" w:fill="auto"/>
            <w:noWrap/>
            <w:vAlign w:val="center"/>
            <w:hideMark/>
          </w:tcPr>
          <w:p w14:paraId="54A79BA8" w14:textId="77777777" w:rsidR="003E5BF5" w:rsidRPr="00B932FA" w:rsidRDefault="003E5BF5" w:rsidP="00DE1921">
            <w:pPr>
              <w:jc w:val="right"/>
              <w:rPr>
                <w:rFonts w:ascii="Arial" w:hAnsi="Arial" w:cs="Arial"/>
                <w:sz w:val="23"/>
                <w:szCs w:val="23"/>
              </w:rPr>
            </w:pPr>
          </w:p>
        </w:tc>
      </w:tr>
      <w:tr w:rsidR="003E5BF5" w:rsidRPr="00B932FA" w14:paraId="2F9B879C" w14:textId="77777777" w:rsidTr="00F60F2C">
        <w:trPr>
          <w:trHeight w:val="340"/>
        </w:trPr>
        <w:tc>
          <w:tcPr>
            <w:tcW w:w="3578" w:type="dxa"/>
            <w:shd w:val="clear" w:color="auto" w:fill="auto"/>
            <w:noWrap/>
            <w:vAlign w:val="center"/>
            <w:hideMark/>
          </w:tcPr>
          <w:p w14:paraId="79798032" w14:textId="77777777" w:rsidR="003E5BF5" w:rsidRPr="00B932FA" w:rsidRDefault="003E5BF5" w:rsidP="00604703">
            <w:pPr>
              <w:pStyle w:val="TableTextGreen"/>
              <w:rPr>
                <w:sz w:val="23"/>
                <w:szCs w:val="23"/>
              </w:rPr>
            </w:pPr>
            <w:r w:rsidRPr="00B932FA">
              <w:rPr>
                <w:sz w:val="23"/>
                <w:szCs w:val="23"/>
              </w:rPr>
              <w:t>Administered liabilities</w:t>
            </w:r>
          </w:p>
        </w:tc>
        <w:tc>
          <w:tcPr>
            <w:tcW w:w="1115" w:type="dxa"/>
            <w:shd w:val="clear" w:color="auto" w:fill="auto"/>
            <w:noWrap/>
            <w:vAlign w:val="center"/>
            <w:hideMark/>
          </w:tcPr>
          <w:p w14:paraId="4537EB09" w14:textId="77777777" w:rsidR="003E5BF5" w:rsidRPr="00B932FA" w:rsidRDefault="003E5BF5" w:rsidP="00DE1921">
            <w:pPr>
              <w:jc w:val="right"/>
              <w:rPr>
                <w:rFonts w:ascii="Arial" w:hAnsi="Arial" w:cs="Arial"/>
                <w:sz w:val="23"/>
                <w:szCs w:val="23"/>
              </w:rPr>
            </w:pPr>
          </w:p>
        </w:tc>
        <w:tc>
          <w:tcPr>
            <w:tcW w:w="1117" w:type="dxa"/>
            <w:shd w:val="clear" w:color="auto" w:fill="auto"/>
            <w:noWrap/>
            <w:vAlign w:val="center"/>
            <w:hideMark/>
          </w:tcPr>
          <w:p w14:paraId="0D408F44" w14:textId="77777777" w:rsidR="003E5BF5" w:rsidRPr="00B932FA" w:rsidRDefault="003E5BF5" w:rsidP="00DE1921">
            <w:pPr>
              <w:jc w:val="right"/>
              <w:rPr>
                <w:rFonts w:ascii="Arial" w:hAnsi="Arial" w:cs="Arial"/>
                <w:sz w:val="23"/>
                <w:szCs w:val="23"/>
              </w:rPr>
            </w:pPr>
          </w:p>
        </w:tc>
        <w:tc>
          <w:tcPr>
            <w:tcW w:w="1116" w:type="dxa"/>
            <w:shd w:val="clear" w:color="auto" w:fill="auto"/>
            <w:noWrap/>
            <w:vAlign w:val="center"/>
            <w:hideMark/>
          </w:tcPr>
          <w:p w14:paraId="00C4D2C3" w14:textId="77777777" w:rsidR="003E5BF5" w:rsidRPr="00B932FA" w:rsidRDefault="003E5BF5" w:rsidP="00DE1921">
            <w:pPr>
              <w:jc w:val="right"/>
              <w:rPr>
                <w:rFonts w:ascii="Arial" w:hAnsi="Arial" w:cs="Arial"/>
                <w:sz w:val="23"/>
                <w:szCs w:val="23"/>
              </w:rPr>
            </w:pPr>
          </w:p>
        </w:tc>
        <w:tc>
          <w:tcPr>
            <w:tcW w:w="1117" w:type="dxa"/>
            <w:shd w:val="clear" w:color="auto" w:fill="auto"/>
            <w:noWrap/>
            <w:vAlign w:val="center"/>
            <w:hideMark/>
          </w:tcPr>
          <w:p w14:paraId="19D63904" w14:textId="77777777" w:rsidR="003E5BF5" w:rsidRPr="00B932FA" w:rsidRDefault="003E5BF5" w:rsidP="00DE1921">
            <w:pPr>
              <w:jc w:val="right"/>
              <w:rPr>
                <w:rFonts w:ascii="Arial" w:hAnsi="Arial" w:cs="Arial"/>
                <w:sz w:val="23"/>
                <w:szCs w:val="23"/>
              </w:rPr>
            </w:pPr>
          </w:p>
        </w:tc>
        <w:tc>
          <w:tcPr>
            <w:tcW w:w="1116" w:type="dxa"/>
            <w:shd w:val="clear" w:color="auto" w:fill="auto"/>
            <w:noWrap/>
            <w:vAlign w:val="center"/>
            <w:hideMark/>
          </w:tcPr>
          <w:p w14:paraId="4A560E71" w14:textId="77777777" w:rsidR="003E5BF5" w:rsidRPr="00B932FA" w:rsidRDefault="003E5BF5" w:rsidP="00DE1921">
            <w:pPr>
              <w:jc w:val="right"/>
              <w:rPr>
                <w:rFonts w:ascii="Arial" w:hAnsi="Arial" w:cs="Arial"/>
                <w:sz w:val="23"/>
                <w:szCs w:val="23"/>
              </w:rPr>
            </w:pPr>
          </w:p>
        </w:tc>
        <w:tc>
          <w:tcPr>
            <w:tcW w:w="1117" w:type="dxa"/>
            <w:shd w:val="clear" w:color="auto" w:fill="auto"/>
            <w:noWrap/>
            <w:vAlign w:val="center"/>
            <w:hideMark/>
          </w:tcPr>
          <w:p w14:paraId="6274EF09" w14:textId="77777777" w:rsidR="003E5BF5" w:rsidRPr="00B932FA" w:rsidRDefault="003E5BF5" w:rsidP="00DE1921">
            <w:pPr>
              <w:jc w:val="right"/>
              <w:rPr>
                <w:rFonts w:ascii="Arial" w:hAnsi="Arial" w:cs="Arial"/>
                <w:sz w:val="23"/>
                <w:szCs w:val="23"/>
              </w:rPr>
            </w:pPr>
          </w:p>
        </w:tc>
        <w:tc>
          <w:tcPr>
            <w:tcW w:w="957" w:type="dxa"/>
            <w:shd w:val="clear" w:color="auto" w:fill="auto"/>
            <w:noWrap/>
            <w:vAlign w:val="center"/>
            <w:hideMark/>
          </w:tcPr>
          <w:p w14:paraId="3B0316AB" w14:textId="77777777" w:rsidR="003E5BF5" w:rsidRPr="00B932FA" w:rsidRDefault="003E5BF5" w:rsidP="00DE1921">
            <w:pPr>
              <w:jc w:val="right"/>
              <w:rPr>
                <w:rFonts w:ascii="Arial" w:hAnsi="Arial" w:cs="Arial"/>
                <w:sz w:val="23"/>
                <w:szCs w:val="23"/>
              </w:rPr>
            </w:pPr>
          </w:p>
        </w:tc>
        <w:tc>
          <w:tcPr>
            <w:tcW w:w="958" w:type="dxa"/>
            <w:shd w:val="clear" w:color="auto" w:fill="auto"/>
            <w:noWrap/>
            <w:vAlign w:val="center"/>
            <w:hideMark/>
          </w:tcPr>
          <w:p w14:paraId="00897544" w14:textId="77777777" w:rsidR="003E5BF5" w:rsidRPr="00B932FA" w:rsidRDefault="003E5BF5" w:rsidP="00DE1921">
            <w:pPr>
              <w:jc w:val="right"/>
              <w:rPr>
                <w:rFonts w:ascii="Arial" w:hAnsi="Arial" w:cs="Arial"/>
                <w:sz w:val="23"/>
                <w:szCs w:val="23"/>
              </w:rPr>
            </w:pPr>
          </w:p>
        </w:tc>
        <w:tc>
          <w:tcPr>
            <w:tcW w:w="1276" w:type="dxa"/>
            <w:shd w:val="clear" w:color="auto" w:fill="auto"/>
            <w:noWrap/>
            <w:vAlign w:val="center"/>
            <w:hideMark/>
          </w:tcPr>
          <w:p w14:paraId="34646EB2" w14:textId="77777777" w:rsidR="003E5BF5" w:rsidRPr="00B932FA" w:rsidRDefault="003E5BF5" w:rsidP="00DE1921">
            <w:pPr>
              <w:jc w:val="right"/>
              <w:rPr>
                <w:rFonts w:ascii="Arial" w:hAnsi="Arial" w:cs="Arial"/>
                <w:sz w:val="23"/>
                <w:szCs w:val="23"/>
              </w:rPr>
            </w:pPr>
          </w:p>
        </w:tc>
        <w:tc>
          <w:tcPr>
            <w:tcW w:w="1275" w:type="dxa"/>
            <w:shd w:val="clear" w:color="auto" w:fill="auto"/>
            <w:noWrap/>
            <w:vAlign w:val="center"/>
            <w:hideMark/>
          </w:tcPr>
          <w:p w14:paraId="0BF776F7" w14:textId="77777777" w:rsidR="003E5BF5" w:rsidRPr="00B932FA" w:rsidRDefault="003E5BF5" w:rsidP="00DE1921">
            <w:pPr>
              <w:jc w:val="right"/>
              <w:rPr>
                <w:rFonts w:ascii="Arial" w:hAnsi="Arial" w:cs="Arial"/>
                <w:sz w:val="23"/>
                <w:szCs w:val="23"/>
              </w:rPr>
            </w:pPr>
          </w:p>
        </w:tc>
      </w:tr>
      <w:tr w:rsidR="003E5BF5" w:rsidRPr="00B932FA" w14:paraId="544C58A3" w14:textId="77777777" w:rsidTr="00F60F2C">
        <w:trPr>
          <w:trHeight w:val="340"/>
        </w:trPr>
        <w:tc>
          <w:tcPr>
            <w:tcW w:w="3578" w:type="dxa"/>
            <w:shd w:val="clear" w:color="auto" w:fill="auto"/>
            <w:noWrap/>
            <w:vAlign w:val="center"/>
            <w:hideMark/>
          </w:tcPr>
          <w:p w14:paraId="7CAE2B65" w14:textId="77777777" w:rsidR="003E5BF5" w:rsidRPr="00B932FA" w:rsidRDefault="003E5BF5" w:rsidP="00DE1921">
            <w:pPr>
              <w:rPr>
                <w:rFonts w:ascii="Arial" w:hAnsi="Arial" w:cs="Arial"/>
                <w:sz w:val="23"/>
                <w:szCs w:val="23"/>
              </w:rPr>
            </w:pPr>
            <w:r w:rsidRPr="00B932FA">
              <w:rPr>
                <w:rFonts w:ascii="Arial" w:hAnsi="Arial" w:cs="Arial"/>
                <w:sz w:val="23"/>
                <w:szCs w:val="23"/>
              </w:rPr>
              <w:t>Creditors and accruals</w:t>
            </w:r>
          </w:p>
        </w:tc>
        <w:tc>
          <w:tcPr>
            <w:tcW w:w="1115" w:type="dxa"/>
            <w:shd w:val="clear" w:color="auto" w:fill="auto"/>
            <w:noWrap/>
            <w:vAlign w:val="center"/>
            <w:hideMark/>
          </w:tcPr>
          <w:p w14:paraId="40C3C155"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(3)</w:t>
            </w:r>
          </w:p>
        </w:tc>
        <w:tc>
          <w:tcPr>
            <w:tcW w:w="1117" w:type="dxa"/>
            <w:shd w:val="clear" w:color="auto" w:fill="auto"/>
            <w:noWrap/>
            <w:vAlign w:val="center"/>
            <w:hideMark/>
          </w:tcPr>
          <w:p w14:paraId="30DCB0DF"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(95)</w:t>
            </w:r>
          </w:p>
        </w:tc>
        <w:tc>
          <w:tcPr>
            <w:tcW w:w="1116" w:type="dxa"/>
            <w:shd w:val="clear" w:color="auto" w:fill="auto"/>
            <w:noWrap/>
            <w:vAlign w:val="center"/>
            <w:hideMark/>
          </w:tcPr>
          <w:p w14:paraId="1D7A306F"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(1)</w:t>
            </w:r>
          </w:p>
        </w:tc>
        <w:tc>
          <w:tcPr>
            <w:tcW w:w="1117" w:type="dxa"/>
            <w:shd w:val="clear" w:color="auto" w:fill="auto"/>
            <w:noWrap/>
            <w:vAlign w:val="center"/>
            <w:hideMark/>
          </w:tcPr>
          <w:p w14:paraId="73A0C87F"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(21)</w:t>
            </w:r>
          </w:p>
        </w:tc>
        <w:tc>
          <w:tcPr>
            <w:tcW w:w="1116" w:type="dxa"/>
            <w:shd w:val="clear" w:color="auto" w:fill="auto"/>
            <w:noWrap/>
            <w:vAlign w:val="center"/>
            <w:hideMark/>
          </w:tcPr>
          <w:p w14:paraId="7A38967C"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(1,102)</w:t>
            </w:r>
          </w:p>
        </w:tc>
        <w:tc>
          <w:tcPr>
            <w:tcW w:w="1117" w:type="dxa"/>
            <w:shd w:val="clear" w:color="auto" w:fill="auto"/>
            <w:noWrap/>
            <w:vAlign w:val="center"/>
            <w:hideMark/>
          </w:tcPr>
          <w:p w14:paraId="67F2180B"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(10)</w:t>
            </w:r>
          </w:p>
        </w:tc>
        <w:tc>
          <w:tcPr>
            <w:tcW w:w="957" w:type="dxa"/>
            <w:shd w:val="clear" w:color="auto" w:fill="auto"/>
            <w:noWrap/>
            <w:vAlign w:val="center"/>
            <w:hideMark/>
          </w:tcPr>
          <w:p w14:paraId="4D9147B8" w14:textId="77777777" w:rsidR="003E5BF5" w:rsidRPr="00B932FA" w:rsidRDefault="003E5BF5" w:rsidP="00DE1921">
            <w:pPr>
              <w:jc w:val="right"/>
              <w:rPr>
                <w:rFonts w:ascii="Arial" w:hAnsi="Arial" w:cs="Arial"/>
                <w:sz w:val="23"/>
                <w:szCs w:val="23"/>
              </w:rPr>
            </w:pPr>
            <w:r w:rsidRPr="00B932FA">
              <w:rPr>
                <w:rFonts w:ascii="Arial" w:hAnsi="Arial" w:cs="Arial"/>
                <w:b/>
                <w:sz w:val="23"/>
                <w:szCs w:val="23"/>
              </w:rPr>
              <w:t>-</w:t>
            </w:r>
          </w:p>
        </w:tc>
        <w:tc>
          <w:tcPr>
            <w:tcW w:w="958" w:type="dxa"/>
            <w:shd w:val="clear" w:color="auto" w:fill="auto"/>
            <w:noWrap/>
            <w:vAlign w:val="center"/>
            <w:hideMark/>
          </w:tcPr>
          <w:p w14:paraId="597942FF"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(1)</w:t>
            </w:r>
          </w:p>
        </w:tc>
        <w:tc>
          <w:tcPr>
            <w:tcW w:w="1276" w:type="dxa"/>
            <w:shd w:val="clear" w:color="auto" w:fill="auto"/>
            <w:noWrap/>
            <w:vAlign w:val="center"/>
            <w:hideMark/>
          </w:tcPr>
          <w:p w14:paraId="1C0C12B8"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(15,847)</w:t>
            </w:r>
          </w:p>
        </w:tc>
        <w:tc>
          <w:tcPr>
            <w:tcW w:w="1275" w:type="dxa"/>
            <w:shd w:val="clear" w:color="auto" w:fill="auto"/>
            <w:noWrap/>
            <w:vAlign w:val="center"/>
            <w:hideMark/>
          </w:tcPr>
          <w:p w14:paraId="1636EDC5" w14:textId="77777777" w:rsidR="003E5BF5" w:rsidRPr="00B932FA" w:rsidRDefault="003E5BF5" w:rsidP="00DE1921">
            <w:pPr>
              <w:jc w:val="right"/>
              <w:rPr>
                <w:rFonts w:ascii="Arial" w:hAnsi="Arial" w:cs="Arial"/>
                <w:sz w:val="23"/>
                <w:szCs w:val="23"/>
              </w:rPr>
            </w:pPr>
            <w:r w:rsidRPr="00B932FA">
              <w:rPr>
                <w:rFonts w:ascii="Arial" w:hAnsi="Arial" w:cs="Arial"/>
                <w:sz w:val="23"/>
                <w:szCs w:val="23"/>
              </w:rPr>
              <w:t>(353)</w:t>
            </w:r>
          </w:p>
        </w:tc>
      </w:tr>
      <w:tr w:rsidR="003E5BF5" w:rsidRPr="00B932FA" w14:paraId="1B919034" w14:textId="77777777" w:rsidTr="00F60F2C">
        <w:trPr>
          <w:trHeight w:val="340"/>
        </w:trPr>
        <w:tc>
          <w:tcPr>
            <w:tcW w:w="3578" w:type="dxa"/>
            <w:shd w:val="clear" w:color="auto" w:fill="auto"/>
            <w:noWrap/>
            <w:vAlign w:val="center"/>
            <w:hideMark/>
          </w:tcPr>
          <w:p w14:paraId="0FF1364A" w14:textId="77777777" w:rsidR="003E5BF5" w:rsidRPr="00B932FA" w:rsidRDefault="003E5BF5" w:rsidP="00DE1921">
            <w:pPr>
              <w:rPr>
                <w:rFonts w:ascii="Arial" w:hAnsi="Arial" w:cs="Arial"/>
                <w:b/>
                <w:sz w:val="23"/>
                <w:szCs w:val="23"/>
              </w:rPr>
            </w:pPr>
            <w:r w:rsidRPr="00B932FA">
              <w:rPr>
                <w:rFonts w:ascii="Arial" w:hAnsi="Arial" w:cs="Arial"/>
                <w:b/>
                <w:sz w:val="23"/>
                <w:szCs w:val="23"/>
              </w:rPr>
              <w:t>Total administered liabilities</w:t>
            </w:r>
          </w:p>
        </w:tc>
        <w:tc>
          <w:tcPr>
            <w:tcW w:w="1115" w:type="dxa"/>
            <w:shd w:val="clear" w:color="auto" w:fill="auto"/>
            <w:noWrap/>
            <w:vAlign w:val="center"/>
            <w:hideMark/>
          </w:tcPr>
          <w:p w14:paraId="33BC7CE4"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(3)</w:t>
            </w:r>
          </w:p>
        </w:tc>
        <w:tc>
          <w:tcPr>
            <w:tcW w:w="1117" w:type="dxa"/>
            <w:shd w:val="clear" w:color="auto" w:fill="auto"/>
            <w:noWrap/>
            <w:vAlign w:val="center"/>
            <w:hideMark/>
          </w:tcPr>
          <w:p w14:paraId="610FFFA8"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(95)</w:t>
            </w:r>
          </w:p>
        </w:tc>
        <w:tc>
          <w:tcPr>
            <w:tcW w:w="1116" w:type="dxa"/>
            <w:shd w:val="clear" w:color="auto" w:fill="auto"/>
            <w:noWrap/>
            <w:vAlign w:val="center"/>
            <w:hideMark/>
          </w:tcPr>
          <w:p w14:paraId="3DCFBF26"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(1)</w:t>
            </w:r>
          </w:p>
        </w:tc>
        <w:tc>
          <w:tcPr>
            <w:tcW w:w="1117" w:type="dxa"/>
            <w:shd w:val="clear" w:color="auto" w:fill="auto"/>
            <w:noWrap/>
            <w:vAlign w:val="center"/>
            <w:hideMark/>
          </w:tcPr>
          <w:p w14:paraId="65E4FCF4"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(21)</w:t>
            </w:r>
          </w:p>
        </w:tc>
        <w:tc>
          <w:tcPr>
            <w:tcW w:w="1116" w:type="dxa"/>
            <w:shd w:val="clear" w:color="auto" w:fill="auto"/>
            <w:noWrap/>
            <w:vAlign w:val="center"/>
            <w:hideMark/>
          </w:tcPr>
          <w:p w14:paraId="1CC908EA"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(1,102)</w:t>
            </w:r>
          </w:p>
        </w:tc>
        <w:tc>
          <w:tcPr>
            <w:tcW w:w="1117" w:type="dxa"/>
            <w:shd w:val="clear" w:color="auto" w:fill="auto"/>
            <w:noWrap/>
            <w:vAlign w:val="center"/>
            <w:hideMark/>
          </w:tcPr>
          <w:p w14:paraId="6767BE8A"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(10)</w:t>
            </w:r>
          </w:p>
        </w:tc>
        <w:tc>
          <w:tcPr>
            <w:tcW w:w="957" w:type="dxa"/>
            <w:shd w:val="clear" w:color="auto" w:fill="auto"/>
            <w:noWrap/>
            <w:vAlign w:val="center"/>
            <w:hideMark/>
          </w:tcPr>
          <w:p w14:paraId="1205A38E"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w:t>
            </w:r>
          </w:p>
        </w:tc>
        <w:tc>
          <w:tcPr>
            <w:tcW w:w="958" w:type="dxa"/>
            <w:shd w:val="clear" w:color="auto" w:fill="auto"/>
            <w:noWrap/>
            <w:vAlign w:val="center"/>
            <w:hideMark/>
          </w:tcPr>
          <w:p w14:paraId="7D6035E1"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(1)</w:t>
            </w:r>
          </w:p>
        </w:tc>
        <w:tc>
          <w:tcPr>
            <w:tcW w:w="1276" w:type="dxa"/>
            <w:shd w:val="clear" w:color="auto" w:fill="auto"/>
            <w:noWrap/>
            <w:vAlign w:val="center"/>
            <w:hideMark/>
          </w:tcPr>
          <w:p w14:paraId="6EFFFAE3"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(15,847)</w:t>
            </w:r>
          </w:p>
        </w:tc>
        <w:tc>
          <w:tcPr>
            <w:tcW w:w="1275" w:type="dxa"/>
            <w:shd w:val="clear" w:color="auto" w:fill="auto"/>
            <w:noWrap/>
            <w:vAlign w:val="center"/>
            <w:hideMark/>
          </w:tcPr>
          <w:p w14:paraId="6D48C3EF"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(353)</w:t>
            </w:r>
          </w:p>
        </w:tc>
      </w:tr>
      <w:tr w:rsidR="003E5BF5" w:rsidRPr="00B932FA" w14:paraId="6CFD24B6" w14:textId="77777777" w:rsidTr="00F60F2C">
        <w:trPr>
          <w:trHeight w:val="340"/>
        </w:trPr>
        <w:tc>
          <w:tcPr>
            <w:tcW w:w="3578" w:type="dxa"/>
            <w:shd w:val="clear" w:color="auto" w:fill="auto"/>
            <w:noWrap/>
            <w:vAlign w:val="center"/>
            <w:hideMark/>
          </w:tcPr>
          <w:p w14:paraId="3A55CF6B" w14:textId="77777777" w:rsidR="003E5BF5" w:rsidRPr="00B932FA" w:rsidRDefault="003E5BF5" w:rsidP="00DE1921">
            <w:pPr>
              <w:rPr>
                <w:rFonts w:ascii="Arial" w:hAnsi="Arial" w:cs="Arial"/>
                <w:b/>
                <w:sz w:val="23"/>
                <w:szCs w:val="23"/>
              </w:rPr>
            </w:pPr>
          </w:p>
        </w:tc>
        <w:tc>
          <w:tcPr>
            <w:tcW w:w="1115" w:type="dxa"/>
            <w:shd w:val="clear" w:color="auto" w:fill="auto"/>
            <w:noWrap/>
            <w:vAlign w:val="center"/>
            <w:hideMark/>
          </w:tcPr>
          <w:p w14:paraId="0902FC03" w14:textId="77777777" w:rsidR="003E5BF5" w:rsidRPr="00B932FA" w:rsidRDefault="003E5BF5" w:rsidP="00DE1921">
            <w:pPr>
              <w:jc w:val="right"/>
              <w:rPr>
                <w:rFonts w:ascii="Arial" w:hAnsi="Arial" w:cs="Arial"/>
                <w:b/>
                <w:sz w:val="23"/>
                <w:szCs w:val="23"/>
              </w:rPr>
            </w:pPr>
          </w:p>
        </w:tc>
        <w:tc>
          <w:tcPr>
            <w:tcW w:w="1117" w:type="dxa"/>
            <w:shd w:val="clear" w:color="auto" w:fill="auto"/>
            <w:noWrap/>
            <w:vAlign w:val="center"/>
            <w:hideMark/>
          </w:tcPr>
          <w:p w14:paraId="528AC526" w14:textId="77777777" w:rsidR="003E5BF5" w:rsidRPr="00B932FA" w:rsidRDefault="003E5BF5" w:rsidP="00DE1921">
            <w:pPr>
              <w:jc w:val="right"/>
              <w:rPr>
                <w:rFonts w:ascii="Arial" w:hAnsi="Arial" w:cs="Arial"/>
                <w:b/>
                <w:sz w:val="23"/>
                <w:szCs w:val="23"/>
              </w:rPr>
            </w:pPr>
          </w:p>
        </w:tc>
        <w:tc>
          <w:tcPr>
            <w:tcW w:w="1116" w:type="dxa"/>
            <w:shd w:val="clear" w:color="auto" w:fill="auto"/>
            <w:noWrap/>
            <w:vAlign w:val="center"/>
            <w:hideMark/>
          </w:tcPr>
          <w:p w14:paraId="30BA1647" w14:textId="77777777" w:rsidR="003E5BF5" w:rsidRPr="00B932FA" w:rsidRDefault="003E5BF5" w:rsidP="00DE1921">
            <w:pPr>
              <w:jc w:val="right"/>
              <w:rPr>
                <w:rFonts w:ascii="Arial" w:hAnsi="Arial" w:cs="Arial"/>
                <w:b/>
                <w:sz w:val="23"/>
                <w:szCs w:val="23"/>
              </w:rPr>
            </w:pPr>
          </w:p>
        </w:tc>
        <w:tc>
          <w:tcPr>
            <w:tcW w:w="1117" w:type="dxa"/>
            <w:shd w:val="clear" w:color="auto" w:fill="auto"/>
            <w:noWrap/>
            <w:vAlign w:val="center"/>
            <w:hideMark/>
          </w:tcPr>
          <w:p w14:paraId="6DF5629A" w14:textId="77777777" w:rsidR="003E5BF5" w:rsidRPr="00B932FA" w:rsidRDefault="003E5BF5" w:rsidP="00DE1921">
            <w:pPr>
              <w:jc w:val="right"/>
              <w:rPr>
                <w:rFonts w:ascii="Arial" w:hAnsi="Arial" w:cs="Arial"/>
                <w:b/>
                <w:sz w:val="23"/>
                <w:szCs w:val="23"/>
              </w:rPr>
            </w:pPr>
          </w:p>
        </w:tc>
        <w:tc>
          <w:tcPr>
            <w:tcW w:w="1116" w:type="dxa"/>
            <w:shd w:val="clear" w:color="auto" w:fill="auto"/>
            <w:noWrap/>
            <w:vAlign w:val="center"/>
            <w:hideMark/>
          </w:tcPr>
          <w:p w14:paraId="79D4B2B7" w14:textId="77777777" w:rsidR="003E5BF5" w:rsidRPr="00B932FA" w:rsidRDefault="003E5BF5" w:rsidP="00DE1921">
            <w:pPr>
              <w:jc w:val="right"/>
              <w:rPr>
                <w:rFonts w:ascii="Arial" w:hAnsi="Arial" w:cs="Arial"/>
                <w:b/>
                <w:sz w:val="23"/>
                <w:szCs w:val="23"/>
              </w:rPr>
            </w:pPr>
          </w:p>
        </w:tc>
        <w:tc>
          <w:tcPr>
            <w:tcW w:w="1117" w:type="dxa"/>
            <w:shd w:val="clear" w:color="auto" w:fill="auto"/>
            <w:noWrap/>
            <w:vAlign w:val="center"/>
            <w:hideMark/>
          </w:tcPr>
          <w:p w14:paraId="6FD91196" w14:textId="77777777" w:rsidR="003E5BF5" w:rsidRPr="00B932FA" w:rsidRDefault="003E5BF5" w:rsidP="00DE1921">
            <w:pPr>
              <w:jc w:val="right"/>
              <w:rPr>
                <w:rFonts w:ascii="Arial" w:hAnsi="Arial" w:cs="Arial"/>
                <w:b/>
                <w:sz w:val="23"/>
                <w:szCs w:val="23"/>
              </w:rPr>
            </w:pPr>
          </w:p>
        </w:tc>
        <w:tc>
          <w:tcPr>
            <w:tcW w:w="957" w:type="dxa"/>
            <w:shd w:val="clear" w:color="auto" w:fill="auto"/>
            <w:noWrap/>
            <w:vAlign w:val="center"/>
            <w:hideMark/>
          </w:tcPr>
          <w:p w14:paraId="7584921D" w14:textId="77777777" w:rsidR="003E5BF5" w:rsidRPr="00B932FA" w:rsidRDefault="003E5BF5" w:rsidP="00DE1921">
            <w:pPr>
              <w:jc w:val="right"/>
              <w:rPr>
                <w:rFonts w:ascii="Arial" w:hAnsi="Arial" w:cs="Arial"/>
                <w:b/>
                <w:sz w:val="23"/>
                <w:szCs w:val="23"/>
              </w:rPr>
            </w:pPr>
          </w:p>
        </w:tc>
        <w:tc>
          <w:tcPr>
            <w:tcW w:w="958" w:type="dxa"/>
            <w:shd w:val="clear" w:color="auto" w:fill="auto"/>
            <w:noWrap/>
            <w:vAlign w:val="center"/>
            <w:hideMark/>
          </w:tcPr>
          <w:p w14:paraId="79E64EA7" w14:textId="77777777" w:rsidR="003E5BF5" w:rsidRPr="00B932FA" w:rsidRDefault="003E5BF5" w:rsidP="00DE1921">
            <w:pPr>
              <w:jc w:val="right"/>
              <w:rPr>
                <w:rFonts w:ascii="Arial" w:hAnsi="Arial" w:cs="Arial"/>
                <w:b/>
                <w:sz w:val="23"/>
                <w:szCs w:val="23"/>
              </w:rPr>
            </w:pPr>
          </w:p>
        </w:tc>
        <w:tc>
          <w:tcPr>
            <w:tcW w:w="1276" w:type="dxa"/>
            <w:shd w:val="clear" w:color="auto" w:fill="auto"/>
            <w:noWrap/>
            <w:vAlign w:val="center"/>
            <w:hideMark/>
          </w:tcPr>
          <w:p w14:paraId="13646112" w14:textId="77777777" w:rsidR="003E5BF5" w:rsidRPr="00B932FA" w:rsidRDefault="003E5BF5" w:rsidP="00DE1921">
            <w:pPr>
              <w:jc w:val="right"/>
              <w:rPr>
                <w:rFonts w:ascii="Arial" w:hAnsi="Arial" w:cs="Arial"/>
                <w:b/>
                <w:sz w:val="23"/>
                <w:szCs w:val="23"/>
              </w:rPr>
            </w:pPr>
          </w:p>
        </w:tc>
        <w:tc>
          <w:tcPr>
            <w:tcW w:w="1275" w:type="dxa"/>
            <w:shd w:val="clear" w:color="auto" w:fill="auto"/>
            <w:noWrap/>
            <w:vAlign w:val="center"/>
            <w:hideMark/>
          </w:tcPr>
          <w:p w14:paraId="0CECA185" w14:textId="77777777" w:rsidR="003E5BF5" w:rsidRPr="00B932FA" w:rsidRDefault="003E5BF5" w:rsidP="00DE1921">
            <w:pPr>
              <w:jc w:val="right"/>
              <w:rPr>
                <w:rFonts w:ascii="Arial" w:hAnsi="Arial" w:cs="Arial"/>
                <w:b/>
                <w:sz w:val="23"/>
                <w:szCs w:val="23"/>
              </w:rPr>
            </w:pPr>
          </w:p>
        </w:tc>
      </w:tr>
      <w:tr w:rsidR="003E5BF5" w:rsidRPr="00B932FA" w14:paraId="23B58CF6" w14:textId="77777777" w:rsidTr="00F60F2C">
        <w:trPr>
          <w:trHeight w:val="340"/>
        </w:trPr>
        <w:tc>
          <w:tcPr>
            <w:tcW w:w="3578" w:type="dxa"/>
            <w:shd w:val="clear" w:color="auto" w:fill="auto"/>
            <w:noWrap/>
            <w:vAlign w:val="center"/>
            <w:hideMark/>
          </w:tcPr>
          <w:p w14:paraId="46763933" w14:textId="77777777" w:rsidR="003E5BF5" w:rsidRPr="00B932FA" w:rsidRDefault="003E5BF5" w:rsidP="00DE1921">
            <w:pPr>
              <w:rPr>
                <w:rFonts w:ascii="Arial" w:hAnsi="Arial" w:cs="Arial"/>
                <w:b/>
                <w:sz w:val="23"/>
                <w:szCs w:val="23"/>
              </w:rPr>
            </w:pPr>
            <w:r w:rsidRPr="00B932FA">
              <w:rPr>
                <w:rFonts w:ascii="Arial" w:hAnsi="Arial" w:cs="Arial"/>
                <w:b/>
                <w:sz w:val="23"/>
                <w:szCs w:val="23"/>
              </w:rPr>
              <w:t>Total administered net assets</w:t>
            </w:r>
          </w:p>
        </w:tc>
        <w:tc>
          <w:tcPr>
            <w:tcW w:w="1115" w:type="dxa"/>
            <w:shd w:val="clear" w:color="auto" w:fill="auto"/>
            <w:noWrap/>
            <w:vAlign w:val="center"/>
            <w:hideMark/>
          </w:tcPr>
          <w:p w14:paraId="407D46B3"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994,013 </w:t>
            </w:r>
          </w:p>
        </w:tc>
        <w:tc>
          <w:tcPr>
            <w:tcW w:w="1117" w:type="dxa"/>
            <w:shd w:val="clear" w:color="auto" w:fill="auto"/>
            <w:noWrap/>
            <w:vAlign w:val="center"/>
            <w:hideMark/>
          </w:tcPr>
          <w:p w14:paraId="210E0D75"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1,304,375 </w:t>
            </w:r>
          </w:p>
        </w:tc>
        <w:tc>
          <w:tcPr>
            <w:tcW w:w="1116" w:type="dxa"/>
            <w:shd w:val="clear" w:color="auto" w:fill="auto"/>
            <w:noWrap/>
            <w:vAlign w:val="center"/>
            <w:hideMark/>
          </w:tcPr>
          <w:p w14:paraId="3326FF79"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94,856 </w:t>
            </w:r>
          </w:p>
        </w:tc>
        <w:tc>
          <w:tcPr>
            <w:tcW w:w="1117" w:type="dxa"/>
            <w:shd w:val="clear" w:color="auto" w:fill="auto"/>
            <w:noWrap/>
            <w:vAlign w:val="center"/>
            <w:hideMark/>
          </w:tcPr>
          <w:p w14:paraId="7A2380BF"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58,411 </w:t>
            </w:r>
          </w:p>
        </w:tc>
        <w:tc>
          <w:tcPr>
            <w:tcW w:w="1116" w:type="dxa"/>
            <w:shd w:val="clear" w:color="auto" w:fill="auto"/>
            <w:noWrap/>
            <w:vAlign w:val="center"/>
            <w:hideMark/>
          </w:tcPr>
          <w:p w14:paraId="3F0F1DA4"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50 </w:t>
            </w:r>
          </w:p>
        </w:tc>
        <w:tc>
          <w:tcPr>
            <w:tcW w:w="1117" w:type="dxa"/>
            <w:shd w:val="clear" w:color="auto" w:fill="auto"/>
            <w:noWrap/>
            <w:vAlign w:val="center"/>
            <w:hideMark/>
          </w:tcPr>
          <w:p w14:paraId="41F0F8F7"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1,247 </w:t>
            </w:r>
          </w:p>
        </w:tc>
        <w:tc>
          <w:tcPr>
            <w:tcW w:w="957" w:type="dxa"/>
            <w:shd w:val="clear" w:color="auto" w:fill="auto"/>
            <w:noWrap/>
            <w:vAlign w:val="center"/>
            <w:hideMark/>
          </w:tcPr>
          <w:p w14:paraId="548BF425"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5 </w:t>
            </w:r>
          </w:p>
        </w:tc>
        <w:tc>
          <w:tcPr>
            <w:tcW w:w="958" w:type="dxa"/>
            <w:shd w:val="clear" w:color="auto" w:fill="auto"/>
            <w:noWrap/>
            <w:vAlign w:val="center"/>
            <w:hideMark/>
          </w:tcPr>
          <w:p w14:paraId="1822162C"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1 </w:t>
            </w:r>
          </w:p>
        </w:tc>
        <w:tc>
          <w:tcPr>
            <w:tcW w:w="1276" w:type="dxa"/>
            <w:shd w:val="clear" w:color="auto" w:fill="auto"/>
            <w:noWrap/>
            <w:vAlign w:val="center"/>
            <w:hideMark/>
          </w:tcPr>
          <w:p w14:paraId="6EB94A95"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32,652,275 </w:t>
            </w:r>
          </w:p>
        </w:tc>
        <w:tc>
          <w:tcPr>
            <w:tcW w:w="1275" w:type="dxa"/>
            <w:shd w:val="clear" w:color="auto" w:fill="auto"/>
            <w:noWrap/>
            <w:vAlign w:val="center"/>
            <w:hideMark/>
          </w:tcPr>
          <w:p w14:paraId="556F2399" w14:textId="77777777" w:rsidR="003E5BF5" w:rsidRPr="00B932FA" w:rsidRDefault="003E5BF5" w:rsidP="00DE1921">
            <w:pPr>
              <w:jc w:val="right"/>
              <w:rPr>
                <w:rFonts w:ascii="Arial" w:hAnsi="Arial" w:cs="Arial"/>
                <w:b/>
                <w:sz w:val="23"/>
                <w:szCs w:val="23"/>
              </w:rPr>
            </w:pPr>
            <w:r w:rsidRPr="00B932FA">
              <w:rPr>
                <w:rFonts w:ascii="Arial" w:hAnsi="Arial" w:cs="Arial"/>
                <w:b/>
                <w:sz w:val="23"/>
                <w:szCs w:val="23"/>
              </w:rPr>
              <w:t xml:space="preserve">28,720,478 </w:t>
            </w:r>
          </w:p>
        </w:tc>
      </w:tr>
    </w:tbl>
    <w:p w14:paraId="03CF6B00" w14:textId="77777777" w:rsidR="003E5BF5" w:rsidRPr="007444F0" w:rsidRDefault="003E5BF5" w:rsidP="00DE1921">
      <w:pPr>
        <w:sectPr w:rsidR="003E5BF5" w:rsidRPr="007444F0" w:rsidSect="00DE1921">
          <w:headerReference w:type="default" r:id="rId114"/>
          <w:pgSz w:w="16838" w:h="11906" w:orient="landscape"/>
          <w:pgMar w:top="1418" w:right="1701" w:bottom="1418" w:left="1418" w:header="709" w:footer="709" w:gutter="0"/>
          <w:cols w:space="708"/>
          <w:docGrid w:linePitch="360"/>
        </w:sectPr>
      </w:pPr>
      <w:r w:rsidRPr="00B87757">
        <w:br w:type="page"/>
      </w:r>
    </w:p>
    <w:p w14:paraId="0FA43A79" w14:textId="77777777" w:rsidR="003E5BF5" w:rsidRDefault="003E5BF5" w:rsidP="006667CC">
      <w:pPr>
        <w:pStyle w:val="Heading2"/>
        <w:numPr>
          <w:ilvl w:val="1"/>
          <w:numId w:val="3"/>
        </w:numPr>
        <w:sectPr w:rsidR="003E5BF5" w:rsidSect="00DE1921">
          <w:headerReference w:type="even" r:id="rId115"/>
          <w:headerReference w:type="default" r:id="rId116"/>
          <w:footerReference w:type="even" r:id="rId117"/>
          <w:headerReference w:type="first" r:id="rId118"/>
          <w:pgSz w:w="11906" w:h="16838"/>
          <w:pgMar w:top="1701" w:right="1418" w:bottom="1418" w:left="1418" w:header="708" w:footer="708" w:gutter="0"/>
          <w:cols w:space="708"/>
          <w:docGrid w:linePitch="360"/>
        </w:sectPr>
      </w:pPr>
      <w:bookmarkStart w:id="263" w:name="_Toc522178156"/>
      <w:bookmarkStart w:id="264" w:name="_Toc529184428"/>
      <w:bookmarkStart w:id="265" w:name="_Toc529197900"/>
      <w:bookmarkStart w:id="266" w:name="_Toc529197985"/>
      <w:bookmarkStart w:id="267" w:name="_Toc530386182"/>
      <w:bookmarkStart w:id="268" w:name="_Toc9344211"/>
      <w:bookmarkStart w:id="269" w:name="_Toc41469580"/>
      <w:bookmarkStart w:id="270" w:name="_Toc53420661"/>
      <w:r w:rsidRPr="007444F0">
        <w:lastRenderedPageBreak/>
        <w:t>Restructuring of administrative arrangements</w:t>
      </w:r>
      <w:bookmarkEnd w:id="263"/>
      <w:bookmarkEnd w:id="264"/>
      <w:bookmarkEnd w:id="265"/>
      <w:bookmarkEnd w:id="266"/>
      <w:bookmarkEnd w:id="267"/>
      <w:bookmarkEnd w:id="268"/>
      <w:bookmarkEnd w:id="269"/>
      <w:bookmarkEnd w:id="270"/>
    </w:p>
    <w:bookmarkEnd w:id="195"/>
    <w:p w14:paraId="2A63F60C" w14:textId="77777777" w:rsidR="003E5BF5" w:rsidRPr="00895A81" w:rsidRDefault="003E5BF5" w:rsidP="008A0170">
      <w:pPr>
        <w:pStyle w:val="Heading3"/>
      </w:pPr>
      <w:r w:rsidRPr="00895A81">
        <w:t xml:space="preserve">Integration of VicRoads and PTV into the </w:t>
      </w:r>
      <w:r>
        <w:t>d</w:t>
      </w:r>
      <w:r w:rsidRPr="00895A81">
        <w:t>epartment</w:t>
      </w:r>
    </w:p>
    <w:p w14:paraId="57E2E5C7" w14:textId="77777777" w:rsidR="003E5BF5" w:rsidRDefault="003E5BF5" w:rsidP="0079690B">
      <w:pPr>
        <w:pStyle w:val="aaatyping"/>
        <w:rPr>
          <w:lang w:val="en-GB"/>
        </w:rPr>
      </w:pPr>
      <w:r>
        <w:t>In June 2019, the Government issued an administrative order restructuring some of its activities via machinery of government changes, taking effect from 1 July 2019. Furthermore, t</w:t>
      </w:r>
      <w:r w:rsidRPr="00AF128B">
        <w:rPr>
          <w:lang w:val="en-GB"/>
        </w:rPr>
        <w:t xml:space="preserve">he </w:t>
      </w:r>
      <w:r w:rsidRPr="00AF128B">
        <w:rPr>
          <w:i/>
          <w:iCs/>
        </w:rPr>
        <w:t>Transport Legislation Amendment Act 2019</w:t>
      </w:r>
      <w:r>
        <w:t xml:space="preserve"> (TLAA) </w:t>
      </w:r>
      <w:r>
        <w:rPr>
          <w:lang w:val="en-GB"/>
        </w:rPr>
        <w:t>provided for the integration</w:t>
      </w:r>
      <w:r w:rsidRPr="00AF128B">
        <w:rPr>
          <w:lang w:val="en-GB"/>
        </w:rPr>
        <w:t xml:space="preserve"> of the</w:t>
      </w:r>
      <w:r>
        <w:rPr>
          <w:lang w:val="en-GB"/>
        </w:rPr>
        <w:t xml:space="preserve"> Roads Corporation (Vic</w:t>
      </w:r>
      <w:r w:rsidRPr="00AF128B">
        <w:rPr>
          <w:lang w:val="en-GB"/>
        </w:rPr>
        <w:t>Roads</w:t>
      </w:r>
      <w:r>
        <w:rPr>
          <w:lang w:val="en-GB"/>
        </w:rPr>
        <w:t>)</w:t>
      </w:r>
      <w:r w:rsidRPr="00AF128B">
        <w:rPr>
          <w:lang w:val="en-GB"/>
        </w:rPr>
        <w:t xml:space="preserve"> </w:t>
      </w:r>
      <w:r>
        <w:rPr>
          <w:lang w:val="en-GB"/>
        </w:rPr>
        <w:t xml:space="preserve">and </w:t>
      </w:r>
      <w:r w:rsidRPr="0084564A">
        <w:t>Public Transport Victoria (PTV</w:t>
      </w:r>
      <w:r>
        <w:t>)</w:t>
      </w:r>
      <w:r>
        <w:rPr>
          <w:lang w:val="en-GB"/>
        </w:rPr>
        <w:t xml:space="preserve"> </w:t>
      </w:r>
      <w:r w:rsidRPr="00AF128B">
        <w:rPr>
          <w:lang w:val="en-GB"/>
        </w:rPr>
        <w:t xml:space="preserve">into the </w:t>
      </w:r>
      <w:r>
        <w:rPr>
          <w:lang w:val="en-GB"/>
        </w:rPr>
        <w:t xml:space="preserve">department </w:t>
      </w:r>
      <w:r w:rsidRPr="00AF128B">
        <w:rPr>
          <w:lang w:val="en-GB"/>
        </w:rPr>
        <w:t>to create one transport body for the overall</w:t>
      </w:r>
      <w:r>
        <w:rPr>
          <w:lang w:val="en-GB"/>
        </w:rPr>
        <w:t xml:space="preserve"> </w:t>
      </w:r>
      <w:r w:rsidRPr="00AF128B">
        <w:rPr>
          <w:lang w:val="en-GB"/>
        </w:rPr>
        <w:t>strategic planning and operation of the Victorian transport system.</w:t>
      </w:r>
    </w:p>
    <w:p w14:paraId="3695DEB5" w14:textId="77777777" w:rsidR="003E5BF5" w:rsidRDefault="003E5BF5" w:rsidP="0079690B">
      <w:pPr>
        <w:pStyle w:val="aaatyping"/>
        <w:rPr>
          <w:lang w:val="en-GB"/>
        </w:rPr>
      </w:pPr>
      <w:r w:rsidRPr="0016605C">
        <w:rPr>
          <w:lang w:val="en-GB"/>
        </w:rPr>
        <w:t xml:space="preserve">The net asset transfers into the </w:t>
      </w:r>
      <w:r>
        <w:rPr>
          <w:lang w:val="en-GB"/>
        </w:rPr>
        <w:t>d</w:t>
      </w:r>
      <w:r w:rsidRPr="0016605C">
        <w:rPr>
          <w:lang w:val="en-GB"/>
        </w:rPr>
        <w:t xml:space="preserve">epartment were treated as a contribution of capital by the State. No income has been recognised by the </w:t>
      </w:r>
      <w:r>
        <w:rPr>
          <w:lang w:val="en-GB"/>
        </w:rPr>
        <w:t>d</w:t>
      </w:r>
      <w:r w:rsidRPr="0016605C">
        <w:rPr>
          <w:lang w:val="en-GB"/>
        </w:rPr>
        <w:t>epartment in respect of the net assets transferred from PTV and VicRoads.</w:t>
      </w:r>
    </w:p>
    <w:p w14:paraId="2E8D904F" w14:textId="77777777" w:rsidR="003E5BF5" w:rsidRPr="001E6DED" w:rsidRDefault="003E5BF5" w:rsidP="008A0170">
      <w:pPr>
        <w:pStyle w:val="Heading3"/>
      </w:pPr>
      <w:r w:rsidRPr="001E6DED">
        <w:t xml:space="preserve">Transfer of </w:t>
      </w:r>
      <w:r>
        <w:t xml:space="preserve">Marine Pollution and Crisis Emergency Management functions and </w:t>
      </w:r>
      <w:r w:rsidRPr="001E6DED">
        <w:t xml:space="preserve">employees from DJPR to </w:t>
      </w:r>
      <w:r>
        <w:t>the department</w:t>
      </w:r>
    </w:p>
    <w:p w14:paraId="07E5F647" w14:textId="77777777" w:rsidR="003E5BF5" w:rsidRPr="009A756A" w:rsidRDefault="003E5BF5" w:rsidP="0079690B">
      <w:pPr>
        <w:pStyle w:val="aaatyping"/>
      </w:pPr>
      <w:r w:rsidRPr="0032798B">
        <w:t xml:space="preserve">Following the </w:t>
      </w:r>
      <w:proofErr w:type="spellStart"/>
      <w:r w:rsidRPr="0032798B">
        <w:t>MoG</w:t>
      </w:r>
      <w:proofErr w:type="spellEnd"/>
      <w:r w:rsidRPr="0032798B">
        <w:t xml:space="preserve"> arrangements that created the DJPR and determined </w:t>
      </w:r>
      <w:r>
        <w:t>the department</w:t>
      </w:r>
      <w:r w:rsidRPr="0032798B">
        <w:t xml:space="preserve"> to be the successor department of the former DEDJTR </w:t>
      </w:r>
      <w:r>
        <w:t>o</w:t>
      </w:r>
      <w:r w:rsidRPr="0032798B">
        <w:t xml:space="preserve">n 1 January 2019, the departments agreed to share their emergency management policy, strategy and coordination functions and to operate a number of corporate functions on a ‘shared service’ basis for an interim period. On 1 July 2019, several staff were transferred from DJPR to </w:t>
      </w:r>
      <w:r>
        <w:t>the department</w:t>
      </w:r>
      <w:r w:rsidRPr="0032798B">
        <w:t xml:space="preserve"> based on agreement by the Secretaries of both departments pursuant to Section 28(1) of the </w:t>
      </w:r>
      <w:r w:rsidRPr="00E56B24">
        <w:rPr>
          <w:i/>
        </w:rPr>
        <w:t>Public Administration Act 2014</w:t>
      </w:r>
      <w:r w:rsidRPr="0032798B">
        <w:t xml:space="preserve"> (PAA). This transfer was necessary to support the carrying out of functions transferred pursuant to Section 30 of the PAA, signed by the Premier of Victoria on 28 </w:t>
      </w:r>
      <w:r w:rsidRPr="009A756A">
        <w:t>December 2018.</w:t>
      </w:r>
    </w:p>
    <w:p w14:paraId="1C25B186" w14:textId="77777777" w:rsidR="003E5BF5" w:rsidRPr="009A756A" w:rsidRDefault="003E5BF5" w:rsidP="008A0170">
      <w:pPr>
        <w:pStyle w:val="Heading3"/>
      </w:pPr>
      <w:r w:rsidRPr="009A756A">
        <w:lastRenderedPageBreak/>
        <w:t>National Heavy Vehicle R</w:t>
      </w:r>
      <w:r>
        <w:t>egulator</w:t>
      </w:r>
    </w:p>
    <w:p w14:paraId="6D183034" w14:textId="77777777" w:rsidR="003E5BF5" w:rsidRPr="009A756A" w:rsidRDefault="003E5BF5" w:rsidP="0079690B">
      <w:pPr>
        <w:pStyle w:val="aaatyping"/>
        <w:rPr>
          <w:lang w:eastAsia="en-AU"/>
        </w:rPr>
      </w:pPr>
      <w:r w:rsidRPr="009A756A">
        <w:rPr>
          <w:lang w:eastAsia="en-AU"/>
        </w:rPr>
        <w:t xml:space="preserve">On 12 August 2019, the Victorian Government approved the transition of heavy vehicle regulatory service to occur on 8 December 2019 </w:t>
      </w:r>
      <w:r>
        <w:rPr>
          <w:lang w:eastAsia="en-AU"/>
        </w:rPr>
        <w:t>per</w:t>
      </w:r>
      <w:r w:rsidRPr="009A756A">
        <w:rPr>
          <w:lang w:eastAsia="en-AU"/>
        </w:rPr>
        <w:t xml:space="preserve"> the agreement of funding arrangements and the passage of associated legislation amendments.</w:t>
      </w:r>
    </w:p>
    <w:p w14:paraId="53FE2284" w14:textId="77777777" w:rsidR="003E5BF5" w:rsidRPr="0016605C" w:rsidRDefault="003E5BF5" w:rsidP="0079690B">
      <w:pPr>
        <w:pStyle w:val="aaatyping"/>
        <w:rPr>
          <w:lang w:eastAsia="en-AU"/>
        </w:rPr>
        <w:sectPr w:rsidR="003E5BF5" w:rsidRPr="0016605C" w:rsidSect="00232619">
          <w:type w:val="continuous"/>
          <w:pgSz w:w="11906" w:h="16838"/>
          <w:pgMar w:top="1701" w:right="1418" w:bottom="1418" w:left="1418" w:header="708" w:footer="708" w:gutter="0"/>
          <w:cols w:space="284"/>
          <w:docGrid w:linePitch="360"/>
        </w:sectPr>
      </w:pPr>
      <w:r w:rsidRPr="009A756A">
        <w:rPr>
          <w:lang w:eastAsia="en-AU"/>
        </w:rPr>
        <w:t xml:space="preserve">The net assets transferred out of the </w:t>
      </w:r>
      <w:r>
        <w:rPr>
          <w:lang w:eastAsia="en-AU"/>
        </w:rPr>
        <w:t>d</w:t>
      </w:r>
      <w:r w:rsidRPr="009A756A">
        <w:rPr>
          <w:lang w:eastAsia="en-AU"/>
        </w:rPr>
        <w:t>epartment were treated as an expense</w:t>
      </w:r>
      <w:r>
        <w:rPr>
          <w:lang w:eastAsia="en-AU"/>
        </w:rPr>
        <w:t xml:space="preserve"> which totalled </w:t>
      </w:r>
      <w:r w:rsidRPr="00667F01">
        <w:rPr>
          <w:lang w:eastAsia="en-AU"/>
        </w:rPr>
        <w:t>$148,360</w:t>
      </w:r>
      <w:r w:rsidRPr="009A756A">
        <w:rPr>
          <w:lang w:eastAsia="en-AU"/>
        </w:rPr>
        <w:t xml:space="preserve">. The State’s decision was to contribute </w:t>
      </w:r>
      <w:r>
        <w:rPr>
          <w:lang w:eastAsia="en-AU"/>
        </w:rPr>
        <w:t xml:space="preserve">the </w:t>
      </w:r>
      <w:r w:rsidRPr="009A756A">
        <w:rPr>
          <w:lang w:eastAsia="en-AU"/>
        </w:rPr>
        <w:t>non-financial assets of NHVR for no consideration to the federal government, therefore the transaction is treated as a general government expense within the administered entity</w:t>
      </w:r>
      <w:r>
        <w:rPr>
          <w:lang w:eastAsia="en-AU"/>
        </w:rPr>
        <w:t>.</w:t>
      </w:r>
    </w:p>
    <w:p w14:paraId="577F03E2" w14:textId="77777777" w:rsidR="003E5BF5" w:rsidRPr="009B2251" w:rsidRDefault="003E5BF5" w:rsidP="00DE1921">
      <w:pPr>
        <w:rPr>
          <w:szCs w:val="18"/>
        </w:rPr>
        <w:sectPr w:rsidR="003E5BF5" w:rsidRPr="009B2251" w:rsidSect="00DE1921">
          <w:type w:val="continuous"/>
          <w:pgSz w:w="11906" w:h="16838"/>
          <w:pgMar w:top="1701" w:right="1418" w:bottom="1418" w:left="1418" w:header="708" w:footer="708" w:gutter="0"/>
          <w:cols w:space="708"/>
          <w:docGrid w:linePitch="360"/>
        </w:sectPr>
      </w:pPr>
    </w:p>
    <w:tbl>
      <w:tblPr>
        <w:tblStyle w:val="TableGrid"/>
        <w:tblW w:w="0" w:type="auto"/>
        <w:tblLayout w:type="fixed"/>
        <w:tblLook w:val="04A0" w:firstRow="1" w:lastRow="0" w:firstColumn="1" w:lastColumn="0" w:noHBand="0" w:noVBand="1"/>
      </w:tblPr>
      <w:tblGrid>
        <w:gridCol w:w="3350"/>
        <w:gridCol w:w="1903"/>
        <w:gridCol w:w="1903"/>
        <w:gridCol w:w="1904"/>
      </w:tblGrid>
      <w:tr w:rsidR="003E5BF5" w:rsidRPr="0029213D" w14:paraId="30E19477" w14:textId="77777777" w:rsidTr="00F60F2C">
        <w:trPr>
          <w:trHeight w:val="283"/>
        </w:trPr>
        <w:tc>
          <w:tcPr>
            <w:tcW w:w="3350" w:type="dxa"/>
            <w:shd w:val="clear" w:color="auto" w:fill="auto"/>
            <w:noWrap/>
            <w:hideMark/>
          </w:tcPr>
          <w:p w14:paraId="3EC4DE73" w14:textId="77777777" w:rsidR="003E5BF5" w:rsidRPr="0029213D" w:rsidRDefault="003E5BF5" w:rsidP="00DE1921">
            <w:pPr>
              <w:rPr>
                <w:rFonts w:ascii="Arial" w:hAnsi="Arial" w:cs="Arial"/>
                <w:sz w:val="24"/>
                <w:szCs w:val="24"/>
              </w:rPr>
            </w:pPr>
            <w:bookmarkStart w:id="271" w:name="RANGE!A3:E18"/>
            <w:bookmarkStart w:id="272" w:name="_1659080810"/>
            <w:bookmarkStart w:id="273" w:name="RANGE!A3:D17"/>
            <w:bookmarkEnd w:id="271"/>
            <w:bookmarkEnd w:id="272"/>
            <w:bookmarkEnd w:id="273"/>
          </w:p>
        </w:tc>
        <w:tc>
          <w:tcPr>
            <w:tcW w:w="5710" w:type="dxa"/>
            <w:gridSpan w:val="3"/>
            <w:shd w:val="clear" w:color="auto" w:fill="auto"/>
            <w:vAlign w:val="center"/>
            <w:hideMark/>
          </w:tcPr>
          <w:p w14:paraId="2196CA74"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 thousand)</w:t>
            </w:r>
          </w:p>
        </w:tc>
      </w:tr>
      <w:tr w:rsidR="003E5BF5" w:rsidRPr="0029213D" w14:paraId="65069FC0" w14:textId="77777777" w:rsidTr="00F60F2C">
        <w:trPr>
          <w:trHeight w:val="283"/>
        </w:trPr>
        <w:tc>
          <w:tcPr>
            <w:tcW w:w="3350" w:type="dxa"/>
            <w:shd w:val="clear" w:color="auto" w:fill="auto"/>
            <w:noWrap/>
            <w:hideMark/>
          </w:tcPr>
          <w:p w14:paraId="59096847" w14:textId="77777777" w:rsidR="003E5BF5" w:rsidRPr="0029213D" w:rsidRDefault="003E5BF5" w:rsidP="00DE1921">
            <w:pPr>
              <w:rPr>
                <w:rFonts w:ascii="Arial" w:hAnsi="Arial" w:cs="Arial"/>
                <w:sz w:val="24"/>
                <w:szCs w:val="24"/>
              </w:rPr>
            </w:pPr>
          </w:p>
        </w:tc>
        <w:tc>
          <w:tcPr>
            <w:tcW w:w="5710" w:type="dxa"/>
            <w:gridSpan w:val="3"/>
            <w:shd w:val="clear" w:color="auto" w:fill="auto"/>
            <w:vAlign w:val="center"/>
            <w:hideMark/>
          </w:tcPr>
          <w:p w14:paraId="58F25DD5"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Transfer in</w:t>
            </w:r>
          </w:p>
        </w:tc>
      </w:tr>
      <w:tr w:rsidR="003E5BF5" w:rsidRPr="0029213D" w14:paraId="446DA6B2" w14:textId="77777777" w:rsidTr="00F60F2C">
        <w:trPr>
          <w:trHeight w:val="283"/>
        </w:trPr>
        <w:tc>
          <w:tcPr>
            <w:tcW w:w="3350" w:type="dxa"/>
            <w:shd w:val="clear" w:color="auto" w:fill="auto"/>
            <w:vAlign w:val="center"/>
            <w:hideMark/>
          </w:tcPr>
          <w:p w14:paraId="4A2B6DC1" w14:textId="77777777" w:rsidR="003E5BF5" w:rsidRPr="0029213D" w:rsidRDefault="003E5BF5" w:rsidP="00604703">
            <w:pPr>
              <w:pStyle w:val="TableTextGreen"/>
            </w:pPr>
          </w:p>
        </w:tc>
        <w:tc>
          <w:tcPr>
            <w:tcW w:w="1903" w:type="dxa"/>
            <w:shd w:val="clear" w:color="auto" w:fill="auto"/>
            <w:vAlign w:val="center"/>
            <w:hideMark/>
          </w:tcPr>
          <w:p w14:paraId="7F1E594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VicRoads </w:t>
            </w:r>
            <w:r w:rsidRPr="0029213D">
              <w:rPr>
                <w:rFonts w:ascii="Arial" w:hAnsi="Arial" w:cs="Arial"/>
                <w:b/>
                <w:sz w:val="24"/>
                <w:szCs w:val="24"/>
                <w:vertAlign w:val="superscript"/>
              </w:rPr>
              <w:t>(</w:t>
            </w:r>
            <w:proofErr w:type="spellStart"/>
            <w:r w:rsidRPr="0029213D">
              <w:rPr>
                <w:rFonts w:ascii="Arial" w:hAnsi="Arial" w:cs="Arial"/>
                <w:b/>
                <w:sz w:val="24"/>
                <w:szCs w:val="24"/>
                <w:vertAlign w:val="superscript"/>
              </w:rPr>
              <w:t>i</w:t>
            </w:r>
            <w:proofErr w:type="spellEnd"/>
            <w:r w:rsidRPr="0029213D">
              <w:rPr>
                <w:rFonts w:ascii="Arial" w:hAnsi="Arial" w:cs="Arial"/>
                <w:b/>
                <w:sz w:val="24"/>
                <w:szCs w:val="24"/>
                <w:vertAlign w:val="superscript"/>
              </w:rPr>
              <w:t>)</w:t>
            </w:r>
          </w:p>
        </w:tc>
        <w:tc>
          <w:tcPr>
            <w:tcW w:w="1903" w:type="dxa"/>
            <w:shd w:val="clear" w:color="auto" w:fill="auto"/>
            <w:vAlign w:val="center"/>
            <w:hideMark/>
          </w:tcPr>
          <w:p w14:paraId="4A53122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PTV </w:t>
            </w:r>
            <w:r w:rsidRPr="0029213D">
              <w:rPr>
                <w:rFonts w:ascii="Arial" w:hAnsi="Arial" w:cs="Arial"/>
                <w:b/>
                <w:sz w:val="24"/>
                <w:szCs w:val="24"/>
                <w:vertAlign w:val="superscript"/>
              </w:rPr>
              <w:t>(</w:t>
            </w:r>
            <w:proofErr w:type="spellStart"/>
            <w:r w:rsidRPr="0029213D">
              <w:rPr>
                <w:rFonts w:ascii="Arial" w:hAnsi="Arial" w:cs="Arial"/>
                <w:b/>
                <w:sz w:val="24"/>
                <w:szCs w:val="24"/>
                <w:vertAlign w:val="superscript"/>
              </w:rPr>
              <w:t>i</w:t>
            </w:r>
            <w:proofErr w:type="spellEnd"/>
            <w:r w:rsidRPr="0029213D">
              <w:rPr>
                <w:rFonts w:ascii="Arial" w:hAnsi="Arial" w:cs="Arial"/>
                <w:b/>
                <w:sz w:val="24"/>
                <w:szCs w:val="24"/>
                <w:vertAlign w:val="superscript"/>
              </w:rPr>
              <w:t>)</w:t>
            </w:r>
          </w:p>
        </w:tc>
        <w:tc>
          <w:tcPr>
            <w:tcW w:w="1904" w:type="dxa"/>
            <w:shd w:val="clear" w:color="auto" w:fill="auto"/>
            <w:vAlign w:val="center"/>
            <w:hideMark/>
          </w:tcPr>
          <w:p w14:paraId="6FEBCEE9"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DJPR</w:t>
            </w:r>
          </w:p>
        </w:tc>
      </w:tr>
      <w:tr w:rsidR="003E5BF5" w:rsidRPr="0029213D" w14:paraId="56ED524A" w14:textId="77777777" w:rsidTr="00F60F2C">
        <w:trPr>
          <w:trHeight w:val="283"/>
        </w:trPr>
        <w:tc>
          <w:tcPr>
            <w:tcW w:w="3350" w:type="dxa"/>
            <w:shd w:val="clear" w:color="auto" w:fill="auto"/>
            <w:vAlign w:val="center"/>
          </w:tcPr>
          <w:p w14:paraId="3DA0E3CA" w14:textId="77777777" w:rsidR="003E5BF5" w:rsidRPr="0029213D" w:rsidRDefault="003E5BF5" w:rsidP="00604703">
            <w:pPr>
              <w:pStyle w:val="TableTextGreen"/>
            </w:pPr>
            <w:r w:rsidRPr="0029213D">
              <w:t>Assets</w:t>
            </w:r>
          </w:p>
        </w:tc>
        <w:tc>
          <w:tcPr>
            <w:tcW w:w="1903" w:type="dxa"/>
            <w:shd w:val="clear" w:color="auto" w:fill="auto"/>
            <w:vAlign w:val="center"/>
          </w:tcPr>
          <w:p w14:paraId="604F9027" w14:textId="77777777" w:rsidR="003E5BF5" w:rsidRPr="0029213D" w:rsidRDefault="003E5BF5" w:rsidP="00DE1921">
            <w:pPr>
              <w:jc w:val="right"/>
              <w:rPr>
                <w:rFonts w:ascii="Arial" w:hAnsi="Arial" w:cs="Arial"/>
                <w:b/>
                <w:sz w:val="24"/>
                <w:szCs w:val="24"/>
              </w:rPr>
            </w:pPr>
          </w:p>
        </w:tc>
        <w:tc>
          <w:tcPr>
            <w:tcW w:w="1903" w:type="dxa"/>
            <w:shd w:val="clear" w:color="auto" w:fill="auto"/>
            <w:vAlign w:val="center"/>
          </w:tcPr>
          <w:p w14:paraId="675A04DA" w14:textId="77777777" w:rsidR="003E5BF5" w:rsidRPr="0029213D" w:rsidRDefault="003E5BF5" w:rsidP="00DE1921">
            <w:pPr>
              <w:jc w:val="right"/>
              <w:rPr>
                <w:rFonts w:ascii="Arial" w:hAnsi="Arial" w:cs="Arial"/>
                <w:b/>
                <w:sz w:val="24"/>
                <w:szCs w:val="24"/>
              </w:rPr>
            </w:pPr>
          </w:p>
        </w:tc>
        <w:tc>
          <w:tcPr>
            <w:tcW w:w="1904" w:type="dxa"/>
            <w:shd w:val="clear" w:color="auto" w:fill="auto"/>
            <w:vAlign w:val="center"/>
          </w:tcPr>
          <w:p w14:paraId="0379137D" w14:textId="77777777" w:rsidR="003E5BF5" w:rsidRPr="0029213D" w:rsidRDefault="003E5BF5" w:rsidP="00DE1921">
            <w:pPr>
              <w:jc w:val="right"/>
              <w:rPr>
                <w:rFonts w:ascii="Arial" w:hAnsi="Arial" w:cs="Arial"/>
                <w:b/>
                <w:sz w:val="24"/>
                <w:szCs w:val="24"/>
              </w:rPr>
            </w:pPr>
          </w:p>
        </w:tc>
      </w:tr>
      <w:tr w:rsidR="003E5BF5" w:rsidRPr="0029213D" w14:paraId="1244A0A7" w14:textId="77777777" w:rsidTr="00F60F2C">
        <w:trPr>
          <w:trHeight w:val="283"/>
        </w:trPr>
        <w:tc>
          <w:tcPr>
            <w:tcW w:w="3350" w:type="dxa"/>
            <w:shd w:val="clear" w:color="auto" w:fill="auto"/>
            <w:vAlign w:val="center"/>
            <w:hideMark/>
          </w:tcPr>
          <w:p w14:paraId="697ABD58" w14:textId="77777777" w:rsidR="003E5BF5" w:rsidRPr="0029213D" w:rsidRDefault="003E5BF5" w:rsidP="00DE1921">
            <w:pPr>
              <w:rPr>
                <w:rFonts w:ascii="Arial" w:hAnsi="Arial" w:cs="Arial"/>
                <w:sz w:val="24"/>
                <w:szCs w:val="24"/>
              </w:rPr>
            </w:pPr>
            <w:r w:rsidRPr="0029213D">
              <w:rPr>
                <w:rFonts w:ascii="Arial" w:hAnsi="Arial" w:cs="Arial"/>
                <w:sz w:val="24"/>
                <w:szCs w:val="24"/>
              </w:rPr>
              <w:t>Cash and cash equivalents</w:t>
            </w:r>
          </w:p>
        </w:tc>
        <w:tc>
          <w:tcPr>
            <w:tcW w:w="1903" w:type="dxa"/>
            <w:shd w:val="clear" w:color="auto" w:fill="auto"/>
            <w:noWrap/>
            <w:vAlign w:val="center"/>
            <w:hideMark/>
          </w:tcPr>
          <w:p w14:paraId="24BEB85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66,153 </w:t>
            </w:r>
          </w:p>
        </w:tc>
        <w:tc>
          <w:tcPr>
            <w:tcW w:w="1903" w:type="dxa"/>
            <w:shd w:val="clear" w:color="auto" w:fill="auto"/>
            <w:noWrap/>
            <w:vAlign w:val="center"/>
            <w:hideMark/>
          </w:tcPr>
          <w:p w14:paraId="43B3374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30,634 </w:t>
            </w:r>
          </w:p>
        </w:tc>
        <w:tc>
          <w:tcPr>
            <w:tcW w:w="1904" w:type="dxa"/>
            <w:shd w:val="clear" w:color="auto" w:fill="auto"/>
            <w:noWrap/>
            <w:vAlign w:val="center"/>
            <w:hideMark/>
          </w:tcPr>
          <w:p w14:paraId="4D5D604F"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r w:rsidRPr="0029213D">
              <w:rPr>
                <w:rFonts w:ascii="Arial" w:hAnsi="Arial" w:cs="Arial"/>
                <w:sz w:val="24"/>
                <w:szCs w:val="24"/>
              </w:rPr>
              <w:t xml:space="preserve"> </w:t>
            </w:r>
          </w:p>
        </w:tc>
      </w:tr>
      <w:tr w:rsidR="003E5BF5" w:rsidRPr="0029213D" w14:paraId="36AC2D85" w14:textId="77777777" w:rsidTr="00F60F2C">
        <w:trPr>
          <w:trHeight w:val="283"/>
        </w:trPr>
        <w:tc>
          <w:tcPr>
            <w:tcW w:w="3350" w:type="dxa"/>
            <w:shd w:val="clear" w:color="auto" w:fill="auto"/>
            <w:noWrap/>
            <w:vAlign w:val="center"/>
            <w:hideMark/>
          </w:tcPr>
          <w:p w14:paraId="6DD3D3FF" w14:textId="77777777" w:rsidR="003E5BF5" w:rsidRPr="0029213D" w:rsidRDefault="003E5BF5" w:rsidP="00DE1921">
            <w:pPr>
              <w:rPr>
                <w:rFonts w:ascii="Arial" w:hAnsi="Arial" w:cs="Arial"/>
                <w:sz w:val="24"/>
                <w:szCs w:val="24"/>
              </w:rPr>
            </w:pPr>
            <w:r w:rsidRPr="0029213D">
              <w:rPr>
                <w:rFonts w:ascii="Arial" w:hAnsi="Arial" w:cs="Arial"/>
                <w:sz w:val="24"/>
                <w:szCs w:val="24"/>
              </w:rPr>
              <w:t xml:space="preserve">Receivables </w:t>
            </w:r>
          </w:p>
        </w:tc>
        <w:tc>
          <w:tcPr>
            <w:tcW w:w="1903" w:type="dxa"/>
            <w:shd w:val="clear" w:color="auto" w:fill="auto"/>
            <w:noWrap/>
            <w:vAlign w:val="center"/>
            <w:hideMark/>
          </w:tcPr>
          <w:p w14:paraId="7278D9B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658,465 </w:t>
            </w:r>
          </w:p>
        </w:tc>
        <w:tc>
          <w:tcPr>
            <w:tcW w:w="1903" w:type="dxa"/>
            <w:shd w:val="clear" w:color="auto" w:fill="auto"/>
            <w:noWrap/>
            <w:vAlign w:val="center"/>
            <w:hideMark/>
          </w:tcPr>
          <w:p w14:paraId="214539E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584,902 </w:t>
            </w:r>
          </w:p>
        </w:tc>
        <w:tc>
          <w:tcPr>
            <w:tcW w:w="1904" w:type="dxa"/>
            <w:shd w:val="clear" w:color="auto" w:fill="auto"/>
            <w:noWrap/>
            <w:vAlign w:val="center"/>
            <w:hideMark/>
          </w:tcPr>
          <w:p w14:paraId="77CAB5C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2,193 </w:t>
            </w:r>
          </w:p>
        </w:tc>
      </w:tr>
      <w:tr w:rsidR="003E5BF5" w:rsidRPr="0029213D" w14:paraId="5C5EA085" w14:textId="77777777" w:rsidTr="00F60F2C">
        <w:trPr>
          <w:trHeight w:val="283"/>
        </w:trPr>
        <w:tc>
          <w:tcPr>
            <w:tcW w:w="3350" w:type="dxa"/>
            <w:shd w:val="clear" w:color="auto" w:fill="auto"/>
            <w:noWrap/>
            <w:vAlign w:val="center"/>
            <w:hideMark/>
          </w:tcPr>
          <w:p w14:paraId="065B10FA" w14:textId="77777777" w:rsidR="003E5BF5" w:rsidRPr="0029213D" w:rsidRDefault="003E5BF5" w:rsidP="00DE1921">
            <w:pPr>
              <w:rPr>
                <w:rFonts w:ascii="Arial" w:hAnsi="Arial" w:cs="Arial"/>
                <w:sz w:val="24"/>
                <w:szCs w:val="24"/>
              </w:rPr>
            </w:pPr>
            <w:r w:rsidRPr="0029213D">
              <w:rPr>
                <w:rFonts w:ascii="Arial" w:hAnsi="Arial" w:cs="Arial"/>
                <w:sz w:val="24"/>
                <w:szCs w:val="24"/>
              </w:rPr>
              <w:t>Non-financial assets held for sale</w:t>
            </w:r>
          </w:p>
        </w:tc>
        <w:tc>
          <w:tcPr>
            <w:tcW w:w="1903" w:type="dxa"/>
            <w:shd w:val="clear" w:color="auto" w:fill="auto"/>
            <w:noWrap/>
            <w:vAlign w:val="center"/>
            <w:hideMark/>
          </w:tcPr>
          <w:p w14:paraId="6EA6E92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5,934 </w:t>
            </w:r>
          </w:p>
        </w:tc>
        <w:tc>
          <w:tcPr>
            <w:tcW w:w="1903" w:type="dxa"/>
            <w:shd w:val="clear" w:color="auto" w:fill="auto"/>
            <w:noWrap/>
            <w:vAlign w:val="center"/>
            <w:hideMark/>
          </w:tcPr>
          <w:p w14:paraId="144AC4E6"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904" w:type="dxa"/>
            <w:shd w:val="clear" w:color="auto" w:fill="auto"/>
            <w:noWrap/>
            <w:vAlign w:val="center"/>
            <w:hideMark/>
          </w:tcPr>
          <w:p w14:paraId="137075A9"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50A57EAC" w14:textId="77777777" w:rsidTr="00F60F2C">
        <w:trPr>
          <w:trHeight w:val="283"/>
        </w:trPr>
        <w:tc>
          <w:tcPr>
            <w:tcW w:w="3350" w:type="dxa"/>
            <w:shd w:val="clear" w:color="auto" w:fill="auto"/>
            <w:noWrap/>
            <w:vAlign w:val="center"/>
            <w:hideMark/>
          </w:tcPr>
          <w:p w14:paraId="3540FD23" w14:textId="77777777" w:rsidR="003E5BF5" w:rsidRPr="0029213D" w:rsidRDefault="003E5BF5" w:rsidP="00DE1921">
            <w:pPr>
              <w:rPr>
                <w:rFonts w:ascii="Arial" w:hAnsi="Arial" w:cs="Arial"/>
                <w:sz w:val="24"/>
                <w:szCs w:val="24"/>
              </w:rPr>
            </w:pPr>
            <w:r w:rsidRPr="0029213D">
              <w:rPr>
                <w:rFonts w:ascii="Arial" w:hAnsi="Arial" w:cs="Arial"/>
                <w:sz w:val="24"/>
                <w:szCs w:val="24"/>
              </w:rPr>
              <w:t>Property, plant and equipment</w:t>
            </w:r>
          </w:p>
        </w:tc>
        <w:tc>
          <w:tcPr>
            <w:tcW w:w="1903" w:type="dxa"/>
            <w:shd w:val="clear" w:color="auto" w:fill="auto"/>
            <w:noWrap/>
            <w:vAlign w:val="center"/>
            <w:hideMark/>
          </w:tcPr>
          <w:p w14:paraId="193BF3F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63,227,134 </w:t>
            </w:r>
          </w:p>
        </w:tc>
        <w:tc>
          <w:tcPr>
            <w:tcW w:w="1903" w:type="dxa"/>
            <w:shd w:val="clear" w:color="auto" w:fill="auto"/>
            <w:noWrap/>
            <w:vAlign w:val="center"/>
            <w:hideMark/>
          </w:tcPr>
          <w:p w14:paraId="2C0C2DA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1,444,528 </w:t>
            </w:r>
          </w:p>
        </w:tc>
        <w:tc>
          <w:tcPr>
            <w:tcW w:w="1904" w:type="dxa"/>
            <w:shd w:val="clear" w:color="auto" w:fill="auto"/>
            <w:noWrap/>
            <w:vAlign w:val="center"/>
            <w:hideMark/>
          </w:tcPr>
          <w:p w14:paraId="6A40BD2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2,802 </w:t>
            </w:r>
          </w:p>
        </w:tc>
      </w:tr>
      <w:tr w:rsidR="003E5BF5" w:rsidRPr="0029213D" w14:paraId="5F0D7F36" w14:textId="77777777" w:rsidTr="00F60F2C">
        <w:trPr>
          <w:trHeight w:val="283"/>
        </w:trPr>
        <w:tc>
          <w:tcPr>
            <w:tcW w:w="3350" w:type="dxa"/>
            <w:shd w:val="clear" w:color="auto" w:fill="auto"/>
            <w:noWrap/>
            <w:vAlign w:val="center"/>
            <w:hideMark/>
          </w:tcPr>
          <w:p w14:paraId="77F96FD6" w14:textId="77777777" w:rsidR="003E5BF5" w:rsidRPr="0029213D" w:rsidRDefault="003E5BF5" w:rsidP="00DE1921">
            <w:pPr>
              <w:rPr>
                <w:rFonts w:ascii="Arial" w:hAnsi="Arial" w:cs="Arial"/>
                <w:sz w:val="24"/>
                <w:szCs w:val="24"/>
              </w:rPr>
            </w:pPr>
            <w:r w:rsidRPr="0029213D">
              <w:rPr>
                <w:rFonts w:ascii="Arial" w:hAnsi="Arial" w:cs="Arial"/>
                <w:sz w:val="24"/>
                <w:szCs w:val="24"/>
              </w:rPr>
              <w:t>Intangible assets</w:t>
            </w:r>
          </w:p>
        </w:tc>
        <w:tc>
          <w:tcPr>
            <w:tcW w:w="1903" w:type="dxa"/>
            <w:shd w:val="clear" w:color="auto" w:fill="auto"/>
            <w:noWrap/>
            <w:vAlign w:val="center"/>
            <w:hideMark/>
          </w:tcPr>
          <w:p w14:paraId="37445F6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77,297 </w:t>
            </w:r>
          </w:p>
        </w:tc>
        <w:tc>
          <w:tcPr>
            <w:tcW w:w="1903" w:type="dxa"/>
            <w:shd w:val="clear" w:color="auto" w:fill="auto"/>
            <w:noWrap/>
            <w:vAlign w:val="center"/>
            <w:hideMark/>
          </w:tcPr>
          <w:p w14:paraId="550CB33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11,417 </w:t>
            </w:r>
          </w:p>
        </w:tc>
        <w:tc>
          <w:tcPr>
            <w:tcW w:w="1904" w:type="dxa"/>
            <w:shd w:val="clear" w:color="auto" w:fill="auto"/>
            <w:noWrap/>
            <w:vAlign w:val="center"/>
            <w:hideMark/>
          </w:tcPr>
          <w:p w14:paraId="6344BCD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69 </w:t>
            </w:r>
          </w:p>
        </w:tc>
      </w:tr>
      <w:tr w:rsidR="003E5BF5" w:rsidRPr="0029213D" w14:paraId="0B91B082" w14:textId="77777777" w:rsidTr="00F60F2C">
        <w:trPr>
          <w:trHeight w:val="283"/>
        </w:trPr>
        <w:tc>
          <w:tcPr>
            <w:tcW w:w="3350" w:type="dxa"/>
            <w:shd w:val="clear" w:color="auto" w:fill="auto"/>
            <w:noWrap/>
            <w:vAlign w:val="center"/>
            <w:hideMark/>
          </w:tcPr>
          <w:p w14:paraId="23D6252B" w14:textId="77777777" w:rsidR="003E5BF5" w:rsidRPr="0029213D" w:rsidRDefault="003E5BF5" w:rsidP="00DE1921">
            <w:pPr>
              <w:rPr>
                <w:rFonts w:ascii="Arial" w:hAnsi="Arial" w:cs="Arial"/>
                <w:sz w:val="24"/>
                <w:szCs w:val="24"/>
              </w:rPr>
            </w:pPr>
            <w:r w:rsidRPr="0029213D">
              <w:rPr>
                <w:rFonts w:ascii="Arial" w:hAnsi="Arial" w:cs="Arial"/>
                <w:sz w:val="24"/>
                <w:szCs w:val="24"/>
              </w:rPr>
              <w:t>Other non-financial assets</w:t>
            </w:r>
          </w:p>
        </w:tc>
        <w:tc>
          <w:tcPr>
            <w:tcW w:w="1903" w:type="dxa"/>
            <w:shd w:val="clear" w:color="auto" w:fill="auto"/>
            <w:noWrap/>
            <w:vAlign w:val="center"/>
            <w:hideMark/>
          </w:tcPr>
          <w:p w14:paraId="695CA15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8,207 </w:t>
            </w:r>
          </w:p>
        </w:tc>
        <w:tc>
          <w:tcPr>
            <w:tcW w:w="1903" w:type="dxa"/>
            <w:shd w:val="clear" w:color="auto" w:fill="auto"/>
            <w:noWrap/>
            <w:vAlign w:val="center"/>
            <w:hideMark/>
          </w:tcPr>
          <w:p w14:paraId="21A63B5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7,065 </w:t>
            </w:r>
          </w:p>
        </w:tc>
        <w:tc>
          <w:tcPr>
            <w:tcW w:w="1904" w:type="dxa"/>
            <w:shd w:val="clear" w:color="auto" w:fill="auto"/>
            <w:noWrap/>
            <w:vAlign w:val="center"/>
            <w:hideMark/>
          </w:tcPr>
          <w:p w14:paraId="013FE71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 </w:t>
            </w:r>
          </w:p>
        </w:tc>
      </w:tr>
      <w:tr w:rsidR="003E5BF5" w:rsidRPr="0029213D" w14:paraId="3D6F33E4" w14:textId="77777777" w:rsidTr="00F60F2C">
        <w:trPr>
          <w:trHeight w:val="283"/>
        </w:trPr>
        <w:tc>
          <w:tcPr>
            <w:tcW w:w="3350" w:type="dxa"/>
            <w:shd w:val="clear" w:color="auto" w:fill="auto"/>
            <w:vAlign w:val="center"/>
            <w:hideMark/>
          </w:tcPr>
          <w:p w14:paraId="6F2D1975" w14:textId="77777777" w:rsidR="003E5BF5" w:rsidRPr="0029213D" w:rsidRDefault="003E5BF5" w:rsidP="00604703">
            <w:pPr>
              <w:pStyle w:val="TableTextGreen"/>
            </w:pPr>
            <w:r w:rsidRPr="0029213D">
              <w:t>Liabilities</w:t>
            </w:r>
          </w:p>
        </w:tc>
        <w:tc>
          <w:tcPr>
            <w:tcW w:w="1903" w:type="dxa"/>
            <w:shd w:val="clear" w:color="auto" w:fill="auto"/>
            <w:noWrap/>
            <w:vAlign w:val="center"/>
          </w:tcPr>
          <w:p w14:paraId="3036859E" w14:textId="77777777" w:rsidR="003E5BF5" w:rsidRPr="0029213D" w:rsidRDefault="003E5BF5" w:rsidP="00DE1921">
            <w:pPr>
              <w:jc w:val="right"/>
              <w:rPr>
                <w:rFonts w:ascii="Arial" w:hAnsi="Arial" w:cs="Arial"/>
                <w:sz w:val="24"/>
                <w:szCs w:val="24"/>
              </w:rPr>
            </w:pPr>
          </w:p>
        </w:tc>
        <w:tc>
          <w:tcPr>
            <w:tcW w:w="1903" w:type="dxa"/>
            <w:shd w:val="clear" w:color="auto" w:fill="auto"/>
            <w:noWrap/>
            <w:vAlign w:val="center"/>
          </w:tcPr>
          <w:p w14:paraId="36B0D40B" w14:textId="77777777" w:rsidR="003E5BF5" w:rsidRPr="0029213D" w:rsidRDefault="003E5BF5" w:rsidP="00DE1921">
            <w:pPr>
              <w:jc w:val="right"/>
              <w:rPr>
                <w:rFonts w:ascii="Arial" w:hAnsi="Arial" w:cs="Arial"/>
                <w:sz w:val="24"/>
                <w:szCs w:val="24"/>
              </w:rPr>
            </w:pPr>
          </w:p>
        </w:tc>
        <w:tc>
          <w:tcPr>
            <w:tcW w:w="1904" w:type="dxa"/>
            <w:shd w:val="clear" w:color="auto" w:fill="auto"/>
            <w:noWrap/>
            <w:vAlign w:val="center"/>
          </w:tcPr>
          <w:p w14:paraId="38C37513" w14:textId="77777777" w:rsidR="003E5BF5" w:rsidRPr="0029213D" w:rsidRDefault="003E5BF5" w:rsidP="00DE1921">
            <w:pPr>
              <w:jc w:val="right"/>
              <w:rPr>
                <w:rFonts w:ascii="Arial" w:hAnsi="Arial" w:cs="Arial"/>
                <w:sz w:val="24"/>
                <w:szCs w:val="24"/>
              </w:rPr>
            </w:pPr>
          </w:p>
        </w:tc>
      </w:tr>
      <w:tr w:rsidR="003E5BF5" w:rsidRPr="0029213D" w14:paraId="4F8553C1" w14:textId="77777777" w:rsidTr="00F60F2C">
        <w:trPr>
          <w:trHeight w:val="283"/>
        </w:trPr>
        <w:tc>
          <w:tcPr>
            <w:tcW w:w="3350" w:type="dxa"/>
            <w:shd w:val="clear" w:color="auto" w:fill="auto"/>
            <w:noWrap/>
            <w:vAlign w:val="center"/>
            <w:hideMark/>
          </w:tcPr>
          <w:p w14:paraId="6E26916F" w14:textId="77777777" w:rsidR="003E5BF5" w:rsidRPr="0029213D" w:rsidRDefault="003E5BF5" w:rsidP="00DE1921">
            <w:pPr>
              <w:rPr>
                <w:rFonts w:ascii="Arial" w:hAnsi="Arial" w:cs="Arial"/>
                <w:sz w:val="24"/>
                <w:szCs w:val="24"/>
              </w:rPr>
            </w:pPr>
            <w:r w:rsidRPr="0029213D">
              <w:rPr>
                <w:rFonts w:ascii="Arial" w:hAnsi="Arial" w:cs="Arial"/>
                <w:sz w:val="24"/>
                <w:szCs w:val="24"/>
              </w:rPr>
              <w:t>Payables</w:t>
            </w:r>
          </w:p>
        </w:tc>
        <w:tc>
          <w:tcPr>
            <w:tcW w:w="1903" w:type="dxa"/>
            <w:shd w:val="clear" w:color="auto" w:fill="auto"/>
            <w:noWrap/>
            <w:vAlign w:val="center"/>
            <w:hideMark/>
          </w:tcPr>
          <w:p w14:paraId="58A646D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5,007,498 </w:t>
            </w:r>
          </w:p>
        </w:tc>
        <w:tc>
          <w:tcPr>
            <w:tcW w:w="1903" w:type="dxa"/>
            <w:shd w:val="clear" w:color="auto" w:fill="auto"/>
            <w:noWrap/>
            <w:vAlign w:val="center"/>
            <w:hideMark/>
          </w:tcPr>
          <w:p w14:paraId="7DF84EC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598,890 </w:t>
            </w:r>
          </w:p>
        </w:tc>
        <w:tc>
          <w:tcPr>
            <w:tcW w:w="1904" w:type="dxa"/>
            <w:shd w:val="clear" w:color="auto" w:fill="auto"/>
            <w:noWrap/>
            <w:vAlign w:val="center"/>
            <w:hideMark/>
          </w:tcPr>
          <w:p w14:paraId="39F38D6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223 </w:t>
            </w:r>
          </w:p>
        </w:tc>
      </w:tr>
      <w:tr w:rsidR="003E5BF5" w:rsidRPr="0029213D" w14:paraId="526FC284" w14:textId="77777777" w:rsidTr="00F60F2C">
        <w:trPr>
          <w:trHeight w:val="283"/>
        </w:trPr>
        <w:tc>
          <w:tcPr>
            <w:tcW w:w="3350" w:type="dxa"/>
            <w:shd w:val="clear" w:color="auto" w:fill="auto"/>
            <w:noWrap/>
            <w:vAlign w:val="center"/>
          </w:tcPr>
          <w:p w14:paraId="48EB060E" w14:textId="77777777" w:rsidR="003E5BF5" w:rsidRPr="0029213D" w:rsidRDefault="003E5BF5" w:rsidP="00DE1921">
            <w:pPr>
              <w:rPr>
                <w:rFonts w:ascii="Arial" w:hAnsi="Arial" w:cs="Arial"/>
                <w:sz w:val="24"/>
                <w:szCs w:val="24"/>
              </w:rPr>
            </w:pPr>
            <w:r w:rsidRPr="0029213D">
              <w:rPr>
                <w:rFonts w:ascii="Arial" w:hAnsi="Arial" w:cs="Arial"/>
                <w:sz w:val="24"/>
                <w:szCs w:val="24"/>
              </w:rPr>
              <w:t>Contract liabilities</w:t>
            </w:r>
          </w:p>
        </w:tc>
        <w:tc>
          <w:tcPr>
            <w:tcW w:w="1903" w:type="dxa"/>
            <w:shd w:val="clear" w:color="auto" w:fill="auto"/>
            <w:noWrap/>
            <w:vAlign w:val="center"/>
          </w:tcPr>
          <w:p w14:paraId="7B5412F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r w:rsidRPr="0029213D">
              <w:rPr>
                <w:rFonts w:ascii="Arial" w:hAnsi="Arial" w:cs="Arial"/>
                <w:b/>
                <w:sz w:val="24"/>
                <w:szCs w:val="24"/>
              </w:rPr>
              <w:t>-</w:t>
            </w:r>
          </w:p>
        </w:tc>
        <w:tc>
          <w:tcPr>
            <w:tcW w:w="1903" w:type="dxa"/>
            <w:shd w:val="clear" w:color="auto" w:fill="auto"/>
            <w:noWrap/>
            <w:vAlign w:val="center"/>
          </w:tcPr>
          <w:p w14:paraId="63694DD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29,380 </w:t>
            </w:r>
          </w:p>
        </w:tc>
        <w:tc>
          <w:tcPr>
            <w:tcW w:w="1904" w:type="dxa"/>
            <w:shd w:val="clear" w:color="auto" w:fill="auto"/>
            <w:noWrap/>
            <w:vAlign w:val="center"/>
          </w:tcPr>
          <w:p w14:paraId="59DB704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6BA17B14" w14:textId="77777777" w:rsidTr="00F60F2C">
        <w:trPr>
          <w:trHeight w:val="283"/>
        </w:trPr>
        <w:tc>
          <w:tcPr>
            <w:tcW w:w="3350" w:type="dxa"/>
            <w:shd w:val="clear" w:color="auto" w:fill="auto"/>
            <w:noWrap/>
            <w:vAlign w:val="center"/>
            <w:hideMark/>
          </w:tcPr>
          <w:p w14:paraId="2486108E" w14:textId="77777777" w:rsidR="003E5BF5" w:rsidRPr="0029213D" w:rsidRDefault="003E5BF5" w:rsidP="00DE1921">
            <w:pPr>
              <w:rPr>
                <w:rFonts w:ascii="Arial" w:hAnsi="Arial" w:cs="Arial"/>
                <w:sz w:val="24"/>
                <w:szCs w:val="24"/>
              </w:rPr>
            </w:pPr>
            <w:r w:rsidRPr="0029213D">
              <w:rPr>
                <w:rFonts w:ascii="Arial" w:hAnsi="Arial" w:cs="Arial"/>
                <w:sz w:val="24"/>
                <w:szCs w:val="24"/>
              </w:rPr>
              <w:t>Borrowings</w:t>
            </w:r>
          </w:p>
        </w:tc>
        <w:tc>
          <w:tcPr>
            <w:tcW w:w="1903" w:type="dxa"/>
            <w:shd w:val="clear" w:color="auto" w:fill="auto"/>
            <w:noWrap/>
            <w:vAlign w:val="center"/>
            <w:hideMark/>
          </w:tcPr>
          <w:p w14:paraId="4635DFD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833,779 </w:t>
            </w:r>
          </w:p>
        </w:tc>
        <w:tc>
          <w:tcPr>
            <w:tcW w:w="1903" w:type="dxa"/>
            <w:shd w:val="clear" w:color="auto" w:fill="auto"/>
            <w:noWrap/>
            <w:vAlign w:val="center"/>
            <w:hideMark/>
          </w:tcPr>
          <w:p w14:paraId="1BD832A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616,246 </w:t>
            </w:r>
          </w:p>
        </w:tc>
        <w:tc>
          <w:tcPr>
            <w:tcW w:w="1904" w:type="dxa"/>
            <w:shd w:val="clear" w:color="auto" w:fill="auto"/>
            <w:noWrap/>
            <w:vAlign w:val="center"/>
            <w:hideMark/>
          </w:tcPr>
          <w:p w14:paraId="501C602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1,887 </w:t>
            </w:r>
          </w:p>
        </w:tc>
      </w:tr>
      <w:tr w:rsidR="003E5BF5" w:rsidRPr="0029213D" w14:paraId="5E499F7C" w14:textId="77777777" w:rsidTr="00F60F2C">
        <w:trPr>
          <w:trHeight w:val="283"/>
        </w:trPr>
        <w:tc>
          <w:tcPr>
            <w:tcW w:w="3350" w:type="dxa"/>
            <w:shd w:val="clear" w:color="auto" w:fill="auto"/>
            <w:noWrap/>
            <w:vAlign w:val="center"/>
            <w:hideMark/>
          </w:tcPr>
          <w:p w14:paraId="2CFB8FF9" w14:textId="77777777" w:rsidR="003E5BF5" w:rsidRPr="0029213D" w:rsidRDefault="003E5BF5" w:rsidP="00DE1921">
            <w:pPr>
              <w:rPr>
                <w:rFonts w:ascii="Arial" w:hAnsi="Arial" w:cs="Arial"/>
                <w:sz w:val="24"/>
                <w:szCs w:val="24"/>
              </w:rPr>
            </w:pPr>
            <w:r w:rsidRPr="0029213D">
              <w:rPr>
                <w:rFonts w:ascii="Arial" w:hAnsi="Arial" w:cs="Arial"/>
                <w:sz w:val="24"/>
                <w:szCs w:val="24"/>
              </w:rPr>
              <w:t>Provisions</w:t>
            </w:r>
          </w:p>
        </w:tc>
        <w:tc>
          <w:tcPr>
            <w:tcW w:w="1903" w:type="dxa"/>
            <w:shd w:val="clear" w:color="auto" w:fill="auto"/>
            <w:noWrap/>
            <w:vAlign w:val="center"/>
            <w:hideMark/>
          </w:tcPr>
          <w:p w14:paraId="49CF17E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82,875 </w:t>
            </w:r>
          </w:p>
        </w:tc>
        <w:tc>
          <w:tcPr>
            <w:tcW w:w="1903" w:type="dxa"/>
            <w:shd w:val="clear" w:color="auto" w:fill="auto"/>
            <w:noWrap/>
            <w:vAlign w:val="center"/>
            <w:hideMark/>
          </w:tcPr>
          <w:p w14:paraId="28D4C79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14,822 </w:t>
            </w:r>
          </w:p>
        </w:tc>
        <w:tc>
          <w:tcPr>
            <w:tcW w:w="1904" w:type="dxa"/>
            <w:shd w:val="clear" w:color="auto" w:fill="auto"/>
            <w:noWrap/>
            <w:vAlign w:val="center"/>
            <w:hideMark/>
          </w:tcPr>
          <w:p w14:paraId="05F9E16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82 </w:t>
            </w:r>
          </w:p>
        </w:tc>
      </w:tr>
      <w:tr w:rsidR="003E5BF5" w:rsidRPr="0029213D" w14:paraId="234FAFC8" w14:textId="77777777" w:rsidTr="00F60F2C">
        <w:trPr>
          <w:trHeight w:val="283"/>
        </w:trPr>
        <w:tc>
          <w:tcPr>
            <w:tcW w:w="3350" w:type="dxa"/>
            <w:tcBorders>
              <w:bottom w:val="single" w:sz="4" w:space="0" w:color="auto"/>
            </w:tcBorders>
            <w:shd w:val="clear" w:color="auto" w:fill="auto"/>
            <w:noWrap/>
            <w:vAlign w:val="center"/>
            <w:hideMark/>
          </w:tcPr>
          <w:p w14:paraId="49783B2D" w14:textId="77777777" w:rsidR="003E5BF5" w:rsidRPr="0029213D" w:rsidRDefault="003E5BF5" w:rsidP="00DE1921">
            <w:pPr>
              <w:rPr>
                <w:rFonts w:ascii="Arial" w:hAnsi="Arial" w:cs="Arial"/>
                <w:sz w:val="24"/>
                <w:szCs w:val="24"/>
              </w:rPr>
            </w:pPr>
            <w:r w:rsidRPr="0029213D">
              <w:rPr>
                <w:rFonts w:ascii="Arial" w:hAnsi="Arial" w:cs="Arial"/>
                <w:sz w:val="24"/>
                <w:szCs w:val="24"/>
              </w:rPr>
              <w:t>Other provisions</w:t>
            </w:r>
          </w:p>
        </w:tc>
        <w:tc>
          <w:tcPr>
            <w:tcW w:w="1903" w:type="dxa"/>
            <w:tcBorders>
              <w:bottom w:val="single" w:sz="4" w:space="0" w:color="auto"/>
            </w:tcBorders>
            <w:shd w:val="clear" w:color="auto" w:fill="auto"/>
            <w:noWrap/>
            <w:vAlign w:val="center"/>
            <w:hideMark/>
          </w:tcPr>
          <w:p w14:paraId="2483131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37,491 </w:t>
            </w:r>
          </w:p>
        </w:tc>
        <w:tc>
          <w:tcPr>
            <w:tcW w:w="1903" w:type="dxa"/>
            <w:tcBorders>
              <w:bottom w:val="single" w:sz="4" w:space="0" w:color="auto"/>
            </w:tcBorders>
            <w:shd w:val="clear" w:color="auto" w:fill="auto"/>
            <w:noWrap/>
            <w:vAlign w:val="center"/>
            <w:hideMark/>
          </w:tcPr>
          <w:p w14:paraId="5380998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498,946 </w:t>
            </w:r>
          </w:p>
        </w:tc>
        <w:tc>
          <w:tcPr>
            <w:tcW w:w="1904" w:type="dxa"/>
            <w:tcBorders>
              <w:bottom w:val="single" w:sz="4" w:space="0" w:color="auto"/>
            </w:tcBorders>
            <w:shd w:val="clear" w:color="auto" w:fill="auto"/>
            <w:noWrap/>
            <w:vAlign w:val="center"/>
            <w:hideMark/>
          </w:tcPr>
          <w:p w14:paraId="078F662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3E5BF5" w:rsidRPr="0029213D" w14:paraId="63E58377" w14:textId="77777777" w:rsidTr="00F60F2C">
        <w:trPr>
          <w:trHeight w:val="283"/>
        </w:trPr>
        <w:tc>
          <w:tcPr>
            <w:tcW w:w="3350" w:type="dxa"/>
            <w:tcBorders>
              <w:bottom w:val="single" w:sz="4" w:space="0" w:color="auto"/>
            </w:tcBorders>
            <w:shd w:val="clear" w:color="auto" w:fill="auto"/>
            <w:noWrap/>
            <w:vAlign w:val="center"/>
            <w:hideMark/>
          </w:tcPr>
          <w:p w14:paraId="4317408E" w14:textId="77777777" w:rsidR="003E5BF5" w:rsidRPr="0029213D" w:rsidRDefault="003E5BF5" w:rsidP="00DE1921">
            <w:pPr>
              <w:rPr>
                <w:rFonts w:ascii="Arial" w:hAnsi="Arial" w:cs="Arial"/>
                <w:b/>
                <w:sz w:val="24"/>
                <w:szCs w:val="24"/>
              </w:rPr>
            </w:pPr>
            <w:r w:rsidRPr="0029213D">
              <w:rPr>
                <w:rFonts w:ascii="Arial" w:hAnsi="Arial" w:cs="Arial"/>
                <w:b/>
                <w:sz w:val="24"/>
                <w:szCs w:val="24"/>
              </w:rPr>
              <w:t>Net assets recognised</w:t>
            </w:r>
          </w:p>
        </w:tc>
        <w:tc>
          <w:tcPr>
            <w:tcW w:w="1903" w:type="dxa"/>
            <w:tcBorders>
              <w:bottom w:val="single" w:sz="4" w:space="0" w:color="auto"/>
            </w:tcBorders>
            <w:shd w:val="clear" w:color="auto" w:fill="auto"/>
            <w:noWrap/>
            <w:vAlign w:val="center"/>
            <w:hideMark/>
          </w:tcPr>
          <w:p w14:paraId="6E146A9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58,081,547 </w:t>
            </w:r>
          </w:p>
        </w:tc>
        <w:tc>
          <w:tcPr>
            <w:tcW w:w="1903" w:type="dxa"/>
            <w:tcBorders>
              <w:bottom w:val="single" w:sz="4" w:space="0" w:color="auto"/>
            </w:tcBorders>
            <w:shd w:val="clear" w:color="auto" w:fill="auto"/>
            <w:noWrap/>
            <w:vAlign w:val="center"/>
            <w:hideMark/>
          </w:tcPr>
          <w:p w14:paraId="2049147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320,260 </w:t>
            </w:r>
          </w:p>
        </w:tc>
        <w:tc>
          <w:tcPr>
            <w:tcW w:w="1904" w:type="dxa"/>
            <w:tcBorders>
              <w:bottom w:val="single" w:sz="4" w:space="0" w:color="auto"/>
            </w:tcBorders>
            <w:shd w:val="clear" w:color="auto" w:fill="auto"/>
            <w:noWrap/>
            <w:vAlign w:val="center"/>
            <w:hideMark/>
          </w:tcPr>
          <w:p w14:paraId="2EA3FB1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2,870 </w:t>
            </w:r>
          </w:p>
        </w:tc>
      </w:tr>
    </w:tbl>
    <w:p w14:paraId="1E2447C2" w14:textId="77777777" w:rsidR="00E70ED8" w:rsidRPr="0029213D" w:rsidRDefault="00E70ED8" w:rsidP="00E70ED8">
      <w:pPr>
        <w:pStyle w:val="Note"/>
        <w:rPr>
          <w:rFonts w:ascii="Arial" w:hAnsi="Arial" w:cs="Arial"/>
          <w:sz w:val="24"/>
          <w:szCs w:val="24"/>
        </w:rPr>
      </w:pPr>
      <w:r w:rsidRPr="0029213D">
        <w:rPr>
          <w:rFonts w:ascii="Arial" w:hAnsi="Arial" w:cs="Arial"/>
          <w:sz w:val="24"/>
          <w:szCs w:val="24"/>
        </w:rPr>
        <w:t>Note:</w:t>
      </w:r>
    </w:p>
    <w:p w14:paraId="70E191A0" w14:textId="77777777" w:rsidR="00E70ED8" w:rsidRPr="0029213D" w:rsidRDefault="00E70ED8" w:rsidP="00610F5F">
      <w:pPr>
        <w:pStyle w:val="aaaNotenumberiiiiii"/>
        <w:numPr>
          <w:ilvl w:val="0"/>
          <w:numId w:val="83"/>
        </w:numPr>
      </w:pPr>
      <w:r w:rsidRPr="0029213D">
        <w:t xml:space="preserve">The balances transferred from VicRoads and PTV into the department are inclusive of the adjustments made as a result of the adoption of the new standards for the first time for AASB 15, 16 and 1059. </w:t>
      </w:r>
    </w:p>
    <w:p w14:paraId="1E9210CD" w14:textId="77777777" w:rsidR="00E70ED8" w:rsidRDefault="00E70ED8" w:rsidP="00DE1921"/>
    <w:p w14:paraId="1CA536F8" w14:textId="26337166" w:rsidR="00E70ED8" w:rsidRPr="00914D6E" w:rsidRDefault="00E70ED8" w:rsidP="00DE1921">
      <w:pPr>
        <w:sectPr w:rsidR="00E70ED8" w:rsidRPr="00914D6E" w:rsidSect="00DE1921">
          <w:type w:val="continuous"/>
          <w:pgSz w:w="11906" w:h="16838"/>
          <w:pgMar w:top="1701" w:right="1418" w:bottom="1418" w:left="1418" w:header="708" w:footer="708" w:gutter="0"/>
          <w:cols w:space="708"/>
          <w:docGrid w:linePitch="360"/>
        </w:sectPr>
      </w:pPr>
    </w:p>
    <w:p w14:paraId="17045CF7" w14:textId="77777777" w:rsidR="003E5BF5" w:rsidRPr="007444F0" w:rsidRDefault="003E5BF5" w:rsidP="006667CC">
      <w:pPr>
        <w:pStyle w:val="Heading1"/>
        <w:numPr>
          <w:ilvl w:val="0"/>
          <w:numId w:val="3"/>
        </w:numPr>
        <w:sectPr w:rsidR="003E5BF5" w:rsidRPr="007444F0" w:rsidSect="00DE1921">
          <w:headerReference w:type="even" r:id="rId119"/>
          <w:headerReference w:type="default" r:id="rId120"/>
          <w:headerReference w:type="first" r:id="rId121"/>
          <w:pgSz w:w="11906" w:h="16838"/>
          <w:pgMar w:top="1701" w:right="1418" w:bottom="1418" w:left="1418" w:header="708" w:footer="708" w:gutter="0"/>
          <w:cols w:space="708"/>
          <w:docGrid w:linePitch="360"/>
        </w:sectPr>
      </w:pPr>
      <w:bookmarkStart w:id="274" w:name="p135"/>
      <w:bookmarkStart w:id="275" w:name="_Toc55130693"/>
      <w:bookmarkEnd w:id="274"/>
      <w:r w:rsidRPr="007444F0">
        <w:lastRenderedPageBreak/>
        <w:t>KEY ASSETS AVAILABLE TO SUPPORT OUTPUT DELIVERY</w:t>
      </w:r>
      <w:bookmarkEnd w:id="275"/>
    </w:p>
    <w:p w14:paraId="1D6F30D8" w14:textId="77777777" w:rsidR="003E5BF5" w:rsidRPr="00B06AA2" w:rsidRDefault="003E5BF5" w:rsidP="008A0170">
      <w:pPr>
        <w:pStyle w:val="Heading2"/>
      </w:pPr>
      <w:r w:rsidRPr="00B06AA2">
        <w:t>Introduction</w:t>
      </w:r>
    </w:p>
    <w:p w14:paraId="4DB1A263" w14:textId="77777777" w:rsidR="003E5BF5" w:rsidRDefault="003E5BF5" w:rsidP="0079690B">
      <w:pPr>
        <w:pStyle w:val="aaatyping"/>
      </w:pPr>
      <w:r w:rsidRPr="007444F0">
        <w:t xml:space="preserve">The </w:t>
      </w:r>
      <w:r>
        <w:t>d</w:t>
      </w:r>
      <w:r w:rsidRPr="007444F0">
        <w:t xml:space="preserve">epartment controls infrastructure and other investments that are utilised in fulfilling its objectives and conducting its activities. They represent the resources that have been entrusted to the </w:t>
      </w:r>
      <w:r>
        <w:t>d</w:t>
      </w:r>
      <w:r w:rsidRPr="007444F0">
        <w:t>epartment for delivery of those outputs.</w:t>
      </w:r>
    </w:p>
    <w:p w14:paraId="32AF9A97" w14:textId="77777777" w:rsidR="003E5BF5" w:rsidRPr="001D2355" w:rsidRDefault="003E5BF5" w:rsidP="00EF5131">
      <w:pPr>
        <w:pStyle w:val="Heading5"/>
        <w:rPr>
          <w:rFonts w:asciiTheme="minorHAnsi" w:eastAsiaTheme="minorHAnsi" w:hAnsiTheme="minorHAnsi"/>
          <w:lang w:eastAsia="en-AU"/>
        </w:rPr>
      </w:pPr>
      <w:r w:rsidRPr="001D2355">
        <w:t>Fair value measurement</w:t>
      </w:r>
    </w:p>
    <w:p w14:paraId="0A5DD542" w14:textId="77777777" w:rsidR="00DB2575" w:rsidRDefault="003E5BF5" w:rsidP="0079690B">
      <w:pPr>
        <w:pStyle w:val="aaatyping"/>
      </w:pPr>
      <w:r w:rsidRPr="00AD3089">
        <w:t>Where the assets included in this section are carried at fair value, additional information is disclosed in Note 8.3</w:t>
      </w:r>
      <w:r>
        <w:t>.2</w:t>
      </w:r>
      <w:r w:rsidRPr="00AD3089">
        <w:t xml:space="preserve"> </w:t>
      </w:r>
      <w:r>
        <w:t>regarding</w:t>
      </w:r>
      <w:r w:rsidRPr="00AD3089">
        <w:t xml:space="preserve"> how those fair values were determined. </w:t>
      </w:r>
    </w:p>
    <w:p w14:paraId="2156EF91" w14:textId="77777777" w:rsidR="00DB2575" w:rsidRDefault="00DB2575" w:rsidP="00DE1921"/>
    <w:p w14:paraId="15CA588B" w14:textId="1F314520" w:rsidR="003E5BF5" w:rsidRPr="007444F0" w:rsidRDefault="003E5BF5" w:rsidP="008150EF">
      <w:pPr>
        <w:pStyle w:val="Heading2"/>
      </w:pPr>
      <w:r w:rsidRPr="008150EF">
        <w:t>Structure</w:t>
      </w:r>
    </w:p>
    <w:p w14:paraId="0EB37D21" w14:textId="49F57C05" w:rsidR="003E5BF5" w:rsidRPr="00F37562" w:rsidRDefault="003E5BF5" w:rsidP="00796906">
      <w:pPr>
        <w:pStyle w:val="TOC1"/>
        <w:rPr>
          <w:rStyle w:val="Hyperlink"/>
        </w:rPr>
      </w:pPr>
      <w:r w:rsidRPr="007444F0">
        <w:rPr>
          <w:sz w:val="28"/>
        </w:rPr>
        <w:fldChar w:fldCharType="begin"/>
      </w:r>
      <w:r w:rsidRPr="007444F0">
        <w:instrText xml:space="preserve"> TOC \u \t "Heading 2,1"  \b SEC5  \* MERGEFORMAT \h \* MERGEFORMAT </w:instrText>
      </w:r>
      <w:r w:rsidRPr="007444F0">
        <w:rPr>
          <w:sz w:val="28"/>
        </w:rPr>
        <w:fldChar w:fldCharType="separate"/>
      </w:r>
      <w:hyperlink w:anchor="_Toc41469588" w:history="1">
        <w:r w:rsidRPr="007D1053">
          <w:rPr>
            <w:rStyle w:val="Hyperlink"/>
          </w:rPr>
          <w:t>5.1Property, plant and equipment</w:t>
        </w:r>
        <w:r w:rsidRPr="00F37562">
          <w:rPr>
            <w:rStyle w:val="Hyperlink"/>
          </w:rPr>
          <w:tab/>
        </w:r>
        <w:r w:rsidRPr="00F37562">
          <w:rPr>
            <w:rStyle w:val="Hyperlink"/>
          </w:rPr>
          <w:fldChar w:fldCharType="begin"/>
        </w:r>
        <w:r w:rsidRPr="00F37562">
          <w:rPr>
            <w:rStyle w:val="Hyperlink"/>
          </w:rPr>
          <w:instrText xml:space="preserve"> PAGEREF _Toc41469588 \h </w:instrText>
        </w:r>
        <w:r w:rsidRPr="00F37562">
          <w:rPr>
            <w:rStyle w:val="Hyperlink"/>
          </w:rPr>
        </w:r>
        <w:r w:rsidRPr="00F37562">
          <w:rPr>
            <w:rStyle w:val="Hyperlink"/>
          </w:rPr>
          <w:fldChar w:fldCharType="separate"/>
        </w:r>
        <w:r w:rsidR="00E72BF1">
          <w:rPr>
            <w:rStyle w:val="Hyperlink"/>
          </w:rPr>
          <w:t>135</w:t>
        </w:r>
        <w:r w:rsidRPr="00F37562">
          <w:rPr>
            <w:rStyle w:val="Hyperlink"/>
          </w:rPr>
          <w:fldChar w:fldCharType="end"/>
        </w:r>
      </w:hyperlink>
    </w:p>
    <w:p w14:paraId="16D40A0C" w14:textId="756717DD" w:rsidR="003E5BF5" w:rsidRPr="00F37562" w:rsidRDefault="009B2DDD" w:rsidP="00796906">
      <w:pPr>
        <w:pStyle w:val="TOC1"/>
        <w:rPr>
          <w:rStyle w:val="Hyperlink"/>
        </w:rPr>
      </w:pPr>
      <w:hyperlink w:anchor="_Toc41469589" w:history="1">
        <w:r w:rsidR="003E5BF5" w:rsidRPr="007D1053">
          <w:rPr>
            <w:rStyle w:val="Hyperlink"/>
          </w:rPr>
          <w:t>5.2Intangible assets</w:t>
        </w:r>
        <w:r w:rsidR="003E5BF5" w:rsidRPr="00F37562">
          <w:rPr>
            <w:rStyle w:val="Hyperlink"/>
          </w:rPr>
          <w:tab/>
        </w:r>
        <w:r w:rsidR="003E5BF5" w:rsidRPr="00F37562">
          <w:rPr>
            <w:rStyle w:val="Hyperlink"/>
          </w:rPr>
          <w:fldChar w:fldCharType="begin"/>
        </w:r>
        <w:r w:rsidR="003E5BF5" w:rsidRPr="00F37562">
          <w:rPr>
            <w:rStyle w:val="Hyperlink"/>
          </w:rPr>
          <w:instrText xml:space="preserve"> PAGEREF _Toc41469589 \h </w:instrText>
        </w:r>
        <w:r w:rsidR="003E5BF5" w:rsidRPr="00F37562">
          <w:rPr>
            <w:rStyle w:val="Hyperlink"/>
          </w:rPr>
        </w:r>
        <w:r w:rsidR="003E5BF5" w:rsidRPr="00F37562">
          <w:rPr>
            <w:rStyle w:val="Hyperlink"/>
          </w:rPr>
          <w:fldChar w:fldCharType="separate"/>
        </w:r>
        <w:r w:rsidR="00E72BF1">
          <w:rPr>
            <w:rStyle w:val="Hyperlink"/>
          </w:rPr>
          <w:t>164</w:t>
        </w:r>
        <w:r w:rsidR="003E5BF5" w:rsidRPr="00F37562">
          <w:rPr>
            <w:rStyle w:val="Hyperlink"/>
          </w:rPr>
          <w:fldChar w:fldCharType="end"/>
        </w:r>
      </w:hyperlink>
    </w:p>
    <w:p w14:paraId="5F922488" w14:textId="7708A62C" w:rsidR="003E5BF5" w:rsidRDefault="009B2DDD" w:rsidP="00796906">
      <w:pPr>
        <w:pStyle w:val="TOC1"/>
        <w:rPr>
          <w:rStyle w:val="Hyperlink"/>
        </w:rPr>
      </w:pPr>
      <w:hyperlink w:anchor="_Toc41469590" w:history="1">
        <w:r w:rsidR="003E5BF5" w:rsidRPr="007D1053">
          <w:rPr>
            <w:rStyle w:val="Hyperlink"/>
          </w:rPr>
          <w:t>5.3Joint operations</w:t>
        </w:r>
        <w:r w:rsidR="003E5BF5" w:rsidRPr="00F37562">
          <w:rPr>
            <w:rStyle w:val="Hyperlink"/>
          </w:rPr>
          <w:tab/>
        </w:r>
        <w:r w:rsidR="003E5BF5" w:rsidRPr="00F37562">
          <w:rPr>
            <w:rStyle w:val="Hyperlink"/>
          </w:rPr>
          <w:fldChar w:fldCharType="begin"/>
        </w:r>
        <w:r w:rsidR="003E5BF5" w:rsidRPr="00F37562">
          <w:rPr>
            <w:rStyle w:val="Hyperlink"/>
          </w:rPr>
          <w:instrText xml:space="preserve"> PAGEREF _Toc41469590 \h </w:instrText>
        </w:r>
        <w:r w:rsidR="003E5BF5" w:rsidRPr="00F37562">
          <w:rPr>
            <w:rStyle w:val="Hyperlink"/>
          </w:rPr>
        </w:r>
        <w:r w:rsidR="003E5BF5" w:rsidRPr="00F37562">
          <w:rPr>
            <w:rStyle w:val="Hyperlink"/>
          </w:rPr>
          <w:fldChar w:fldCharType="separate"/>
        </w:r>
        <w:r w:rsidR="00E72BF1">
          <w:rPr>
            <w:rStyle w:val="Hyperlink"/>
          </w:rPr>
          <w:t>166</w:t>
        </w:r>
        <w:r w:rsidR="003E5BF5" w:rsidRPr="00F37562">
          <w:rPr>
            <w:rStyle w:val="Hyperlink"/>
          </w:rPr>
          <w:fldChar w:fldCharType="end"/>
        </w:r>
      </w:hyperlink>
    </w:p>
    <w:p w14:paraId="286DC719" w14:textId="77777777" w:rsidR="00DB2575" w:rsidRPr="00DB2575" w:rsidRDefault="00DB2575" w:rsidP="00DB2575">
      <w:pPr>
        <w:rPr>
          <w:noProof/>
          <w:lang w:eastAsia="zh-CN"/>
        </w:rPr>
      </w:pPr>
    </w:p>
    <w:p w14:paraId="04905BC3" w14:textId="167BC428" w:rsidR="003E5BF5" w:rsidRDefault="003E5BF5" w:rsidP="00DE1921">
      <w:pPr>
        <w:pStyle w:val="TOC2"/>
        <w:framePr w:wrap="around"/>
      </w:pPr>
      <w:r w:rsidRPr="007444F0">
        <w:fldChar w:fldCharType="end"/>
      </w:r>
    </w:p>
    <w:p w14:paraId="169D51B2" w14:textId="3E3882E8" w:rsidR="003E5BF5" w:rsidRDefault="003E5BF5" w:rsidP="006667CC">
      <w:pPr>
        <w:pStyle w:val="Heading2"/>
        <w:numPr>
          <w:ilvl w:val="1"/>
          <w:numId w:val="3"/>
        </w:numPr>
        <w:rPr>
          <w:lang w:eastAsia="en-AU"/>
        </w:rPr>
      </w:pPr>
      <w:bookmarkStart w:id="276" w:name="_Property,_plant_and"/>
      <w:bookmarkStart w:id="277" w:name="_Toc522000682"/>
      <w:bookmarkStart w:id="278" w:name="_Toc529196859"/>
      <w:bookmarkStart w:id="279" w:name="_Toc529197901"/>
      <w:bookmarkStart w:id="280" w:name="_Toc529197986"/>
      <w:bookmarkStart w:id="281" w:name="_Toc529198221"/>
      <w:bookmarkStart w:id="282" w:name="_Toc529198243"/>
      <w:bookmarkStart w:id="283" w:name="_Toc530386183"/>
      <w:bookmarkStart w:id="284" w:name="_Toc9344259"/>
      <w:bookmarkStart w:id="285" w:name="_Toc41469588"/>
      <w:bookmarkStart w:id="286" w:name="_Toc53420666"/>
      <w:bookmarkStart w:id="287" w:name="SEC5"/>
      <w:bookmarkEnd w:id="276"/>
      <w:r w:rsidRPr="007444F0">
        <w:t>Property, plant and equipme</w:t>
      </w:r>
      <w:bookmarkStart w:id="288" w:name="RANGE!A3:G14"/>
      <w:bookmarkEnd w:id="277"/>
      <w:bookmarkEnd w:id="278"/>
      <w:bookmarkEnd w:id="279"/>
      <w:bookmarkEnd w:id="280"/>
      <w:bookmarkEnd w:id="281"/>
      <w:bookmarkEnd w:id="282"/>
      <w:bookmarkEnd w:id="283"/>
      <w:bookmarkEnd w:id="284"/>
      <w:bookmarkEnd w:id="285"/>
      <w:bookmarkEnd w:id="288"/>
      <w:r>
        <w:t>nt</w:t>
      </w:r>
      <w:bookmarkStart w:id="289" w:name="RANGE!A22:G33"/>
      <w:bookmarkStart w:id="290" w:name="RANGE!A37:T51"/>
      <w:bookmarkStart w:id="291" w:name="RANGE!A3:G18"/>
      <w:bookmarkEnd w:id="286"/>
      <w:bookmarkEnd w:id="289"/>
      <w:bookmarkEnd w:id="290"/>
      <w:bookmarkEnd w:id="291"/>
    </w:p>
    <w:tbl>
      <w:tblPr>
        <w:tblStyle w:val="TableGrid"/>
        <w:tblW w:w="9923" w:type="dxa"/>
        <w:tblCellMar>
          <w:left w:w="28" w:type="dxa"/>
          <w:right w:w="28" w:type="dxa"/>
        </w:tblCellMar>
        <w:tblLook w:val="04A0" w:firstRow="1" w:lastRow="0" w:firstColumn="1" w:lastColumn="0" w:noHBand="0" w:noVBand="1"/>
      </w:tblPr>
      <w:tblGrid>
        <w:gridCol w:w="2290"/>
        <w:gridCol w:w="1358"/>
        <w:gridCol w:w="1301"/>
        <w:gridCol w:w="1170"/>
        <w:gridCol w:w="1149"/>
        <w:gridCol w:w="1358"/>
        <w:gridCol w:w="1297"/>
      </w:tblGrid>
      <w:tr w:rsidR="003E5BF5" w:rsidRPr="0029213D" w14:paraId="08924F32" w14:textId="77777777" w:rsidTr="00704029">
        <w:trPr>
          <w:trHeight w:val="340"/>
          <w:tblHeader/>
        </w:trPr>
        <w:tc>
          <w:tcPr>
            <w:tcW w:w="2290" w:type="dxa"/>
            <w:shd w:val="clear" w:color="auto" w:fill="auto"/>
            <w:noWrap/>
            <w:hideMark/>
          </w:tcPr>
          <w:p w14:paraId="2C53D8C1" w14:textId="77777777" w:rsidR="003E5BF5" w:rsidRPr="0029213D" w:rsidRDefault="003E5BF5" w:rsidP="00DE1921">
            <w:pPr>
              <w:rPr>
                <w:rFonts w:ascii="Arial" w:hAnsi="Arial" w:cs="Arial"/>
                <w:sz w:val="24"/>
                <w:szCs w:val="24"/>
              </w:rPr>
            </w:pPr>
          </w:p>
        </w:tc>
        <w:tc>
          <w:tcPr>
            <w:tcW w:w="7633" w:type="dxa"/>
            <w:gridSpan w:val="6"/>
            <w:shd w:val="clear" w:color="auto" w:fill="auto"/>
            <w:vAlign w:val="center"/>
            <w:hideMark/>
          </w:tcPr>
          <w:p w14:paraId="27AF3BB5"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 thousand)</w:t>
            </w:r>
          </w:p>
        </w:tc>
      </w:tr>
      <w:tr w:rsidR="003E5BF5" w:rsidRPr="0029213D" w14:paraId="7E28A438" w14:textId="77777777" w:rsidTr="00704029">
        <w:trPr>
          <w:trHeight w:val="340"/>
          <w:tblHeader/>
        </w:trPr>
        <w:tc>
          <w:tcPr>
            <w:tcW w:w="2290" w:type="dxa"/>
            <w:shd w:val="clear" w:color="auto" w:fill="auto"/>
            <w:noWrap/>
            <w:vAlign w:val="center"/>
            <w:hideMark/>
          </w:tcPr>
          <w:p w14:paraId="6FF4ECBB" w14:textId="77777777" w:rsidR="003E5BF5" w:rsidRPr="0029213D" w:rsidRDefault="003E5BF5" w:rsidP="00DE1921">
            <w:pPr>
              <w:rPr>
                <w:rFonts w:ascii="Arial" w:hAnsi="Arial" w:cs="Arial"/>
                <w:sz w:val="24"/>
                <w:szCs w:val="24"/>
              </w:rPr>
            </w:pPr>
          </w:p>
        </w:tc>
        <w:tc>
          <w:tcPr>
            <w:tcW w:w="2659" w:type="dxa"/>
            <w:gridSpan w:val="2"/>
            <w:shd w:val="clear" w:color="auto" w:fill="auto"/>
            <w:vAlign w:val="bottom"/>
            <w:hideMark/>
          </w:tcPr>
          <w:p w14:paraId="222AAB49"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Gross carrying amount</w:t>
            </w:r>
          </w:p>
        </w:tc>
        <w:tc>
          <w:tcPr>
            <w:tcW w:w="2319" w:type="dxa"/>
            <w:gridSpan w:val="2"/>
            <w:shd w:val="clear" w:color="auto" w:fill="auto"/>
            <w:vAlign w:val="bottom"/>
            <w:hideMark/>
          </w:tcPr>
          <w:p w14:paraId="59F9D1FB"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Accumulated depreciation</w:t>
            </w:r>
          </w:p>
        </w:tc>
        <w:tc>
          <w:tcPr>
            <w:tcW w:w="2655" w:type="dxa"/>
            <w:gridSpan w:val="2"/>
            <w:shd w:val="clear" w:color="auto" w:fill="auto"/>
            <w:vAlign w:val="bottom"/>
            <w:hideMark/>
          </w:tcPr>
          <w:p w14:paraId="5FF96871"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 xml:space="preserve">Net carrying amount </w:t>
            </w:r>
            <w:r w:rsidRPr="0029213D">
              <w:rPr>
                <w:rFonts w:ascii="Arial" w:hAnsi="Arial" w:cs="Arial"/>
                <w:b/>
                <w:sz w:val="24"/>
                <w:szCs w:val="24"/>
                <w:vertAlign w:val="superscript"/>
              </w:rPr>
              <w:t>(</w:t>
            </w:r>
            <w:proofErr w:type="spellStart"/>
            <w:r w:rsidRPr="0029213D">
              <w:rPr>
                <w:rFonts w:ascii="Arial" w:hAnsi="Arial" w:cs="Arial"/>
                <w:b/>
                <w:sz w:val="24"/>
                <w:szCs w:val="24"/>
                <w:vertAlign w:val="superscript"/>
              </w:rPr>
              <w:t>i</w:t>
            </w:r>
            <w:proofErr w:type="spellEnd"/>
            <w:r w:rsidRPr="0029213D">
              <w:rPr>
                <w:rFonts w:ascii="Arial" w:hAnsi="Arial" w:cs="Arial"/>
                <w:b/>
                <w:sz w:val="24"/>
                <w:szCs w:val="24"/>
                <w:vertAlign w:val="superscript"/>
              </w:rPr>
              <w:t>)(ii)</w:t>
            </w:r>
          </w:p>
        </w:tc>
      </w:tr>
      <w:tr w:rsidR="003E5BF5" w:rsidRPr="0029213D" w14:paraId="57B0BF0A" w14:textId="77777777" w:rsidTr="00704029">
        <w:trPr>
          <w:trHeight w:val="340"/>
          <w:tblHeader/>
        </w:trPr>
        <w:tc>
          <w:tcPr>
            <w:tcW w:w="2290" w:type="dxa"/>
            <w:shd w:val="clear" w:color="auto" w:fill="auto"/>
            <w:noWrap/>
            <w:vAlign w:val="center"/>
            <w:hideMark/>
          </w:tcPr>
          <w:p w14:paraId="7830EB21" w14:textId="77777777" w:rsidR="003E5BF5" w:rsidRPr="0029213D" w:rsidRDefault="003E5BF5" w:rsidP="00DE1921">
            <w:pPr>
              <w:rPr>
                <w:rFonts w:ascii="Arial" w:hAnsi="Arial" w:cs="Arial"/>
                <w:sz w:val="24"/>
                <w:szCs w:val="24"/>
              </w:rPr>
            </w:pPr>
            <w:r w:rsidRPr="0029213D">
              <w:rPr>
                <w:rFonts w:ascii="Arial" w:hAnsi="Arial" w:cs="Arial"/>
                <w:sz w:val="24"/>
                <w:szCs w:val="24"/>
              </w:rPr>
              <w:t> </w:t>
            </w:r>
          </w:p>
        </w:tc>
        <w:tc>
          <w:tcPr>
            <w:tcW w:w="1358" w:type="dxa"/>
            <w:shd w:val="clear" w:color="auto" w:fill="auto"/>
            <w:noWrap/>
            <w:vAlign w:val="center"/>
            <w:hideMark/>
          </w:tcPr>
          <w:p w14:paraId="07B95BA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1301" w:type="dxa"/>
            <w:shd w:val="clear" w:color="auto" w:fill="auto"/>
            <w:noWrap/>
            <w:vAlign w:val="center"/>
            <w:hideMark/>
          </w:tcPr>
          <w:p w14:paraId="6CFF047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1170" w:type="dxa"/>
            <w:shd w:val="clear" w:color="auto" w:fill="auto"/>
            <w:noWrap/>
            <w:vAlign w:val="center"/>
            <w:hideMark/>
          </w:tcPr>
          <w:p w14:paraId="0E5A41E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1149" w:type="dxa"/>
            <w:shd w:val="clear" w:color="auto" w:fill="auto"/>
            <w:noWrap/>
            <w:vAlign w:val="center"/>
            <w:hideMark/>
          </w:tcPr>
          <w:p w14:paraId="379F5FF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1358" w:type="dxa"/>
            <w:shd w:val="clear" w:color="auto" w:fill="auto"/>
            <w:noWrap/>
            <w:vAlign w:val="center"/>
            <w:hideMark/>
          </w:tcPr>
          <w:p w14:paraId="7832264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1297" w:type="dxa"/>
            <w:shd w:val="clear" w:color="auto" w:fill="auto"/>
            <w:noWrap/>
            <w:vAlign w:val="center"/>
            <w:hideMark/>
          </w:tcPr>
          <w:p w14:paraId="36F45D6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r>
      <w:tr w:rsidR="00E658D1" w:rsidRPr="0029213D" w14:paraId="7F7BE8BD" w14:textId="77777777" w:rsidTr="00E70ED8">
        <w:trPr>
          <w:trHeight w:val="340"/>
        </w:trPr>
        <w:tc>
          <w:tcPr>
            <w:tcW w:w="2290" w:type="dxa"/>
            <w:shd w:val="clear" w:color="auto" w:fill="auto"/>
            <w:noWrap/>
            <w:vAlign w:val="center"/>
            <w:hideMark/>
          </w:tcPr>
          <w:p w14:paraId="329DD56D" w14:textId="77777777" w:rsidR="003E5BF5" w:rsidRPr="0029213D" w:rsidRDefault="003E5BF5" w:rsidP="00DE1921">
            <w:pPr>
              <w:rPr>
                <w:rFonts w:ascii="Arial" w:hAnsi="Arial" w:cs="Arial"/>
                <w:sz w:val="24"/>
                <w:szCs w:val="24"/>
              </w:rPr>
            </w:pPr>
            <w:r w:rsidRPr="0029213D">
              <w:rPr>
                <w:rFonts w:ascii="Arial" w:hAnsi="Arial" w:cs="Arial"/>
                <w:sz w:val="24"/>
                <w:szCs w:val="24"/>
              </w:rPr>
              <w:t>Land under roads at fair value</w:t>
            </w:r>
          </w:p>
        </w:tc>
        <w:tc>
          <w:tcPr>
            <w:tcW w:w="1358" w:type="dxa"/>
            <w:shd w:val="clear" w:color="auto" w:fill="auto"/>
            <w:noWrap/>
            <w:hideMark/>
          </w:tcPr>
          <w:p w14:paraId="6C11749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34,398,450 </w:t>
            </w:r>
          </w:p>
        </w:tc>
        <w:tc>
          <w:tcPr>
            <w:tcW w:w="1301" w:type="dxa"/>
            <w:shd w:val="clear" w:color="auto" w:fill="auto"/>
            <w:noWrap/>
            <w:hideMark/>
          </w:tcPr>
          <w:p w14:paraId="74B19A77"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70" w:type="dxa"/>
            <w:shd w:val="clear" w:color="auto" w:fill="auto"/>
            <w:noWrap/>
            <w:hideMark/>
          </w:tcPr>
          <w:p w14:paraId="5C7FC5A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49" w:type="dxa"/>
            <w:shd w:val="clear" w:color="auto" w:fill="auto"/>
            <w:noWrap/>
            <w:hideMark/>
          </w:tcPr>
          <w:p w14:paraId="2CCDC22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358" w:type="dxa"/>
            <w:shd w:val="clear" w:color="auto" w:fill="auto"/>
            <w:noWrap/>
            <w:hideMark/>
          </w:tcPr>
          <w:p w14:paraId="6C9F088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34,398,450 </w:t>
            </w:r>
          </w:p>
        </w:tc>
        <w:tc>
          <w:tcPr>
            <w:tcW w:w="1297" w:type="dxa"/>
            <w:shd w:val="clear" w:color="auto" w:fill="auto"/>
            <w:noWrap/>
            <w:hideMark/>
          </w:tcPr>
          <w:p w14:paraId="2C16BDC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E658D1" w:rsidRPr="0029213D" w14:paraId="5C225C87" w14:textId="77777777" w:rsidTr="00E70ED8">
        <w:trPr>
          <w:trHeight w:val="340"/>
        </w:trPr>
        <w:tc>
          <w:tcPr>
            <w:tcW w:w="2290" w:type="dxa"/>
            <w:shd w:val="clear" w:color="auto" w:fill="auto"/>
            <w:noWrap/>
            <w:vAlign w:val="center"/>
            <w:hideMark/>
          </w:tcPr>
          <w:p w14:paraId="4F9C8C40" w14:textId="77777777" w:rsidR="003E5BF5" w:rsidRPr="0029213D" w:rsidRDefault="003E5BF5" w:rsidP="00DE1921">
            <w:pPr>
              <w:rPr>
                <w:rFonts w:ascii="Arial" w:hAnsi="Arial" w:cs="Arial"/>
                <w:sz w:val="24"/>
                <w:szCs w:val="24"/>
              </w:rPr>
            </w:pPr>
            <w:r w:rsidRPr="0029213D">
              <w:rPr>
                <w:rFonts w:ascii="Arial" w:hAnsi="Arial" w:cs="Arial"/>
                <w:sz w:val="24"/>
                <w:szCs w:val="24"/>
              </w:rPr>
              <w:t>Property Acquired for Road Deviation (PARD) land at fair value</w:t>
            </w:r>
          </w:p>
        </w:tc>
        <w:tc>
          <w:tcPr>
            <w:tcW w:w="1358" w:type="dxa"/>
            <w:shd w:val="clear" w:color="auto" w:fill="auto"/>
            <w:noWrap/>
            <w:hideMark/>
          </w:tcPr>
          <w:p w14:paraId="43BD5B2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1,707,687 </w:t>
            </w:r>
          </w:p>
        </w:tc>
        <w:tc>
          <w:tcPr>
            <w:tcW w:w="1301" w:type="dxa"/>
            <w:shd w:val="clear" w:color="auto" w:fill="auto"/>
            <w:noWrap/>
            <w:hideMark/>
          </w:tcPr>
          <w:p w14:paraId="525FA4B7"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70" w:type="dxa"/>
            <w:shd w:val="clear" w:color="auto" w:fill="auto"/>
            <w:noWrap/>
            <w:hideMark/>
          </w:tcPr>
          <w:p w14:paraId="3A3ED261"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49" w:type="dxa"/>
            <w:shd w:val="clear" w:color="auto" w:fill="auto"/>
            <w:noWrap/>
            <w:hideMark/>
          </w:tcPr>
          <w:p w14:paraId="17199B2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358" w:type="dxa"/>
            <w:shd w:val="clear" w:color="auto" w:fill="auto"/>
            <w:noWrap/>
            <w:hideMark/>
          </w:tcPr>
          <w:p w14:paraId="4C62A8D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1,707,687 </w:t>
            </w:r>
          </w:p>
        </w:tc>
        <w:tc>
          <w:tcPr>
            <w:tcW w:w="1297" w:type="dxa"/>
            <w:shd w:val="clear" w:color="auto" w:fill="auto"/>
            <w:noWrap/>
            <w:hideMark/>
          </w:tcPr>
          <w:p w14:paraId="7FF459B4"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E658D1" w:rsidRPr="0029213D" w14:paraId="0B551557" w14:textId="77777777" w:rsidTr="00E70ED8">
        <w:trPr>
          <w:trHeight w:val="340"/>
        </w:trPr>
        <w:tc>
          <w:tcPr>
            <w:tcW w:w="2290" w:type="dxa"/>
            <w:shd w:val="clear" w:color="auto" w:fill="auto"/>
            <w:noWrap/>
            <w:vAlign w:val="center"/>
            <w:hideMark/>
          </w:tcPr>
          <w:p w14:paraId="2D4496EA" w14:textId="77777777" w:rsidR="003E5BF5" w:rsidRPr="0029213D" w:rsidRDefault="003E5BF5" w:rsidP="00DE1921">
            <w:pPr>
              <w:rPr>
                <w:rFonts w:ascii="Arial" w:hAnsi="Arial" w:cs="Arial"/>
                <w:sz w:val="24"/>
                <w:szCs w:val="24"/>
              </w:rPr>
            </w:pPr>
            <w:r w:rsidRPr="0029213D">
              <w:rPr>
                <w:rFonts w:ascii="Arial" w:hAnsi="Arial" w:cs="Arial"/>
                <w:sz w:val="24"/>
                <w:szCs w:val="24"/>
              </w:rPr>
              <w:t>Other land at fair value</w:t>
            </w:r>
          </w:p>
        </w:tc>
        <w:tc>
          <w:tcPr>
            <w:tcW w:w="1358" w:type="dxa"/>
            <w:shd w:val="clear" w:color="auto" w:fill="auto"/>
            <w:noWrap/>
            <w:vAlign w:val="center"/>
            <w:hideMark/>
          </w:tcPr>
          <w:p w14:paraId="3B5E49C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3,089,849 </w:t>
            </w:r>
          </w:p>
        </w:tc>
        <w:tc>
          <w:tcPr>
            <w:tcW w:w="1301" w:type="dxa"/>
            <w:shd w:val="clear" w:color="auto" w:fill="auto"/>
            <w:noWrap/>
            <w:vAlign w:val="center"/>
            <w:hideMark/>
          </w:tcPr>
          <w:p w14:paraId="2B40342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309,859 </w:t>
            </w:r>
          </w:p>
        </w:tc>
        <w:tc>
          <w:tcPr>
            <w:tcW w:w="1170" w:type="dxa"/>
            <w:shd w:val="clear" w:color="auto" w:fill="auto"/>
            <w:noWrap/>
            <w:vAlign w:val="center"/>
            <w:hideMark/>
          </w:tcPr>
          <w:p w14:paraId="591E6BA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 </w:t>
            </w:r>
          </w:p>
        </w:tc>
        <w:tc>
          <w:tcPr>
            <w:tcW w:w="1149" w:type="dxa"/>
            <w:shd w:val="clear" w:color="auto" w:fill="auto"/>
            <w:noWrap/>
            <w:vAlign w:val="center"/>
            <w:hideMark/>
          </w:tcPr>
          <w:p w14:paraId="7F13CBB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p>
        </w:tc>
        <w:tc>
          <w:tcPr>
            <w:tcW w:w="1358" w:type="dxa"/>
            <w:shd w:val="clear" w:color="auto" w:fill="auto"/>
            <w:noWrap/>
            <w:vAlign w:val="center"/>
            <w:hideMark/>
          </w:tcPr>
          <w:p w14:paraId="357A14B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3,089,849 </w:t>
            </w:r>
          </w:p>
        </w:tc>
        <w:tc>
          <w:tcPr>
            <w:tcW w:w="1297" w:type="dxa"/>
            <w:shd w:val="clear" w:color="auto" w:fill="auto"/>
            <w:noWrap/>
            <w:vAlign w:val="center"/>
            <w:hideMark/>
          </w:tcPr>
          <w:p w14:paraId="2779EBB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309,859 </w:t>
            </w:r>
          </w:p>
        </w:tc>
      </w:tr>
      <w:tr w:rsidR="00E658D1" w:rsidRPr="0029213D" w14:paraId="27C7F440" w14:textId="77777777" w:rsidTr="00E70ED8">
        <w:trPr>
          <w:trHeight w:val="340"/>
        </w:trPr>
        <w:tc>
          <w:tcPr>
            <w:tcW w:w="2290" w:type="dxa"/>
            <w:shd w:val="clear" w:color="auto" w:fill="auto"/>
            <w:noWrap/>
            <w:vAlign w:val="center"/>
            <w:hideMark/>
          </w:tcPr>
          <w:p w14:paraId="5A206B1E" w14:textId="77777777" w:rsidR="003E5BF5" w:rsidRPr="0029213D" w:rsidRDefault="003E5BF5" w:rsidP="00DE1921">
            <w:pPr>
              <w:rPr>
                <w:rFonts w:ascii="Arial" w:hAnsi="Arial" w:cs="Arial"/>
                <w:sz w:val="24"/>
                <w:szCs w:val="24"/>
              </w:rPr>
            </w:pPr>
            <w:r w:rsidRPr="0029213D">
              <w:rPr>
                <w:rFonts w:ascii="Arial" w:hAnsi="Arial" w:cs="Arial"/>
                <w:sz w:val="24"/>
                <w:szCs w:val="24"/>
              </w:rPr>
              <w:t>Roads and bridges at fair value</w:t>
            </w:r>
          </w:p>
        </w:tc>
        <w:tc>
          <w:tcPr>
            <w:tcW w:w="1358" w:type="dxa"/>
            <w:shd w:val="clear" w:color="auto" w:fill="auto"/>
            <w:noWrap/>
            <w:hideMark/>
          </w:tcPr>
          <w:p w14:paraId="28BA46C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24,286,852 </w:t>
            </w:r>
          </w:p>
        </w:tc>
        <w:tc>
          <w:tcPr>
            <w:tcW w:w="1301" w:type="dxa"/>
            <w:shd w:val="clear" w:color="auto" w:fill="auto"/>
            <w:noWrap/>
            <w:hideMark/>
          </w:tcPr>
          <w:p w14:paraId="0D3AE55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  -</w:t>
            </w:r>
          </w:p>
        </w:tc>
        <w:tc>
          <w:tcPr>
            <w:tcW w:w="1170" w:type="dxa"/>
            <w:shd w:val="clear" w:color="auto" w:fill="auto"/>
            <w:noWrap/>
            <w:hideMark/>
          </w:tcPr>
          <w:p w14:paraId="277CFD4B"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(32,235)</w:t>
            </w:r>
          </w:p>
        </w:tc>
        <w:tc>
          <w:tcPr>
            <w:tcW w:w="1149" w:type="dxa"/>
            <w:shd w:val="clear" w:color="auto" w:fill="auto"/>
            <w:noWrap/>
            <w:hideMark/>
          </w:tcPr>
          <w:p w14:paraId="010DF30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358" w:type="dxa"/>
            <w:shd w:val="clear" w:color="auto" w:fill="auto"/>
            <w:noWrap/>
            <w:hideMark/>
          </w:tcPr>
          <w:p w14:paraId="0F31F42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24,254,617 </w:t>
            </w:r>
          </w:p>
        </w:tc>
        <w:tc>
          <w:tcPr>
            <w:tcW w:w="1297" w:type="dxa"/>
            <w:shd w:val="clear" w:color="auto" w:fill="auto"/>
            <w:noWrap/>
            <w:hideMark/>
          </w:tcPr>
          <w:p w14:paraId="0A70E32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E658D1" w:rsidRPr="0029213D" w14:paraId="7CB4FBD6" w14:textId="77777777" w:rsidTr="00E70ED8">
        <w:trPr>
          <w:trHeight w:val="340"/>
        </w:trPr>
        <w:tc>
          <w:tcPr>
            <w:tcW w:w="2290" w:type="dxa"/>
            <w:shd w:val="clear" w:color="auto" w:fill="auto"/>
            <w:noWrap/>
            <w:vAlign w:val="center"/>
            <w:hideMark/>
          </w:tcPr>
          <w:p w14:paraId="3CF2149A" w14:textId="77777777" w:rsidR="003E5BF5" w:rsidRPr="0029213D" w:rsidRDefault="003E5BF5" w:rsidP="00DE1921">
            <w:pPr>
              <w:rPr>
                <w:rFonts w:ascii="Arial" w:hAnsi="Arial" w:cs="Arial"/>
                <w:sz w:val="24"/>
                <w:szCs w:val="24"/>
              </w:rPr>
            </w:pPr>
            <w:r w:rsidRPr="0029213D">
              <w:rPr>
                <w:rFonts w:ascii="Arial" w:hAnsi="Arial" w:cs="Arial"/>
                <w:sz w:val="24"/>
                <w:szCs w:val="24"/>
              </w:rPr>
              <w:lastRenderedPageBreak/>
              <w:t>Earthworks at fair value</w:t>
            </w:r>
          </w:p>
        </w:tc>
        <w:tc>
          <w:tcPr>
            <w:tcW w:w="1358" w:type="dxa"/>
            <w:shd w:val="clear" w:color="auto" w:fill="auto"/>
            <w:noWrap/>
            <w:hideMark/>
          </w:tcPr>
          <w:p w14:paraId="2E0D35D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9,922,320 </w:t>
            </w:r>
          </w:p>
        </w:tc>
        <w:tc>
          <w:tcPr>
            <w:tcW w:w="1301" w:type="dxa"/>
            <w:shd w:val="clear" w:color="auto" w:fill="auto"/>
            <w:noWrap/>
            <w:hideMark/>
          </w:tcPr>
          <w:p w14:paraId="4BD8669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70" w:type="dxa"/>
            <w:shd w:val="clear" w:color="auto" w:fill="auto"/>
            <w:noWrap/>
            <w:hideMark/>
          </w:tcPr>
          <w:p w14:paraId="47E523C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49" w:type="dxa"/>
            <w:shd w:val="clear" w:color="auto" w:fill="auto"/>
            <w:noWrap/>
            <w:hideMark/>
          </w:tcPr>
          <w:p w14:paraId="3C9B1AA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358" w:type="dxa"/>
            <w:shd w:val="clear" w:color="auto" w:fill="auto"/>
            <w:noWrap/>
            <w:hideMark/>
          </w:tcPr>
          <w:p w14:paraId="2559844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9,922,320 </w:t>
            </w:r>
          </w:p>
        </w:tc>
        <w:tc>
          <w:tcPr>
            <w:tcW w:w="1297" w:type="dxa"/>
            <w:shd w:val="clear" w:color="auto" w:fill="auto"/>
            <w:noWrap/>
            <w:hideMark/>
          </w:tcPr>
          <w:p w14:paraId="76357ACD"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r>
      <w:tr w:rsidR="00E658D1" w:rsidRPr="0029213D" w14:paraId="25EDBE60" w14:textId="77777777" w:rsidTr="00E70ED8">
        <w:trPr>
          <w:trHeight w:val="340"/>
        </w:trPr>
        <w:tc>
          <w:tcPr>
            <w:tcW w:w="2290" w:type="dxa"/>
            <w:shd w:val="clear" w:color="auto" w:fill="auto"/>
            <w:noWrap/>
            <w:vAlign w:val="center"/>
            <w:hideMark/>
          </w:tcPr>
          <w:p w14:paraId="462E3A33" w14:textId="77777777" w:rsidR="003E5BF5" w:rsidRPr="0029213D" w:rsidRDefault="003E5BF5" w:rsidP="00DE1921">
            <w:pPr>
              <w:rPr>
                <w:rFonts w:ascii="Arial" w:hAnsi="Arial" w:cs="Arial"/>
                <w:sz w:val="24"/>
                <w:szCs w:val="24"/>
              </w:rPr>
            </w:pPr>
            <w:r w:rsidRPr="0029213D">
              <w:rPr>
                <w:rFonts w:ascii="Arial" w:hAnsi="Arial" w:cs="Arial"/>
                <w:sz w:val="24"/>
                <w:szCs w:val="24"/>
              </w:rPr>
              <w:t>Other infrastructure at fair value</w:t>
            </w:r>
          </w:p>
        </w:tc>
        <w:tc>
          <w:tcPr>
            <w:tcW w:w="1358" w:type="dxa"/>
            <w:shd w:val="clear" w:color="auto" w:fill="auto"/>
            <w:noWrap/>
            <w:hideMark/>
          </w:tcPr>
          <w:p w14:paraId="767BA14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2,551,179 </w:t>
            </w:r>
          </w:p>
        </w:tc>
        <w:tc>
          <w:tcPr>
            <w:tcW w:w="1301" w:type="dxa"/>
            <w:shd w:val="clear" w:color="auto" w:fill="auto"/>
            <w:noWrap/>
            <w:hideMark/>
          </w:tcPr>
          <w:p w14:paraId="7FE7DA9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1,344,434 </w:t>
            </w:r>
          </w:p>
        </w:tc>
        <w:tc>
          <w:tcPr>
            <w:tcW w:w="1170" w:type="dxa"/>
            <w:shd w:val="clear" w:color="auto" w:fill="auto"/>
            <w:noWrap/>
            <w:hideMark/>
          </w:tcPr>
          <w:p w14:paraId="7CB9C7F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(26,267)</w:t>
            </w:r>
          </w:p>
        </w:tc>
        <w:tc>
          <w:tcPr>
            <w:tcW w:w="1149" w:type="dxa"/>
            <w:shd w:val="clear" w:color="auto" w:fill="auto"/>
            <w:noWrap/>
            <w:hideMark/>
          </w:tcPr>
          <w:p w14:paraId="7E394B5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(2,644)</w:t>
            </w:r>
          </w:p>
        </w:tc>
        <w:tc>
          <w:tcPr>
            <w:tcW w:w="1358" w:type="dxa"/>
            <w:shd w:val="clear" w:color="auto" w:fill="auto"/>
            <w:noWrap/>
            <w:hideMark/>
          </w:tcPr>
          <w:p w14:paraId="770BFEC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2,524,912 </w:t>
            </w:r>
          </w:p>
        </w:tc>
        <w:tc>
          <w:tcPr>
            <w:tcW w:w="1297" w:type="dxa"/>
            <w:shd w:val="clear" w:color="auto" w:fill="auto"/>
            <w:noWrap/>
            <w:hideMark/>
          </w:tcPr>
          <w:p w14:paraId="2239FEB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1,341,790 </w:t>
            </w:r>
          </w:p>
        </w:tc>
      </w:tr>
      <w:tr w:rsidR="00E658D1" w:rsidRPr="0029213D" w14:paraId="7FBED4F1" w14:textId="77777777" w:rsidTr="00E70ED8">
        <w:trPr>
          <w:trHeight w:val="340"/>
        </w:trPr>
        <w:tc>
          <w:tcPr>
            <w:tcW w:w="2290" w:type="dxa"/>
            <w:shd w:val="clear" w:color="auto" w:fill="auto"/>
            <w:noWrap/>
            <w:vAlign w:val="center"/>
            <w:hideMark/>
          </w:tcPr>
          <w:p w14:paraId="2CAD2113" w14:textId="77777777" w:rsidR="003E5BF5" w:rsidRPr="0029213D" w:rsidRDefault="003E5BF5" w:rsidP="00DE1921">
            <w:pPr>
              <w:rPr>
                <w:rFonts w:ascii="Arial" w:hAnsi="Arial" w:cs="Arial"/>
                <w:sz w:val="24"/>
                <w:szCs w:val="24"/>
              </w:rPr>
            </w:pPr>
            <w:r w:rsidRPr="0029213D">
              <w:rPr>
                <w:rFonts w:ascii="Arial" w:hAnsi="Arial" w:cs="Arial"/>
                <w:sz w:val="24"/>
                <w:szCs w:val="24"/>
              </w:rPr>
              <w:t>Buildings at fair value</w:t>
            </w:r>
          </w:p>
        </w:tc>
        <w:tc>
          <w:tcPr>
            <w:tcW w:w="1358" w:type="dxa"/>
            <w:shd w:val="clear" w:color="auto" w:fill="auto"/>
            <w:noWrap/>
            <w:hideMark/>
          </w:tcPr>
          <w:p w14:paraId="08DA9239"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641,051 </w:t>
            </w:r>
          </w:p>
        </w:tc>
        <w:tc>
          <w:tcPr>
            <w:tcW w:w="1301" w:type="dxa"/>
            <w:shd w:val="clear" w:color="auto" w:fill="auto"/>
            <w:noWrap/>
            <w:hideMark/>
          </w:tcPr>
          <w:p w14:paraId="442850A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4,936 </w:t>
            </w:r>
          </w:p>
        </w:tc>
        <w:tc>
          <w:tcPr>
            <w:tcW w:w="1170" w:type="dxa"/>
            <w:shd w:val="clear" w:color="auto" w:fill="auto"/>
            <w:noWrap/>
            <w:hideMark/>
          </w:tcPr>
          <w:p w14:paraId="59AAD622"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(7,921)</w:t>
            </w:r>
          </w:p>
        </w:tc>
        <w:tc>
          <w:tcPr>
            <w:tcW w:w="1149" w:type="dxa"/>
            <w:shd w:val="clear" w:color="auto" w:fill="auto"/>
            <w:noWrap/>
            <w:hideMark/>
          </w:tcPr>
          <w:p w14:paraId="09E5AA6D"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(110)</w:t>
            </w:r>
          </w:p>
        </w:tc>
        <w:tc>
          <w:tcPr>
            <w:tcW w:w="1358" w:type="dxa"/>
            <w:shd w:val="clear" w:color="auto" w:fill="auto"/>
            <w:noWrap/>
            <w:hideMark/>
          </w:tcPr>
          <w:p w14:paraId="4AC7C36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633,130 </w:t>
            </w:r>
          </w:p>
        </w:tc>
        <w:tc>
          <w:tcPr>
            <w:tcW w:w="1297" w:type="dxa"/>
            <w:shd w:val="clear" w:color="auto" w:fill="auto"/>
            <w:noWrap/>
            <w:hideMark/>
          </w:tcPr>
          <w:p w14:paraId="6CA136C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4,826 </w:t>
            </w:r>
          </w:p>
        </w:tc>
      </w:tr>
      <w:tr w:rsidR="00E658D1" w:rsidRPr="0029213D" w14:paraId="7E4F9514" w14:textId="77777777" w:rsidTr="00E70ED8">
        <w:trPr>
          <w:trHeight w:val="340"/>
        </w:trPr>
        <w:tc>
          <w:tcPr>
            <w:tcW w:w="2290" w:type="dxa"/>
            <w:shd w:val="clear" w:color="auto" w:fill="auto"/>
            <w:noWrap/>
            <w:vAlign w:val="center"/>
            <w:hideMark/>
          </w:tcPr>
          <w:p w14:paraId="56FC165D" w14:textId="77777777" w:rsidR="003E5BF5" w:rsidRPr="0029213D" w:rsidRDefault="003E5BF5" w:rsidP="00DE1921">
            <w:pPr>
              <w:rPr>
                <w:rFonts w:ascii="Arial" w:hAnsi="Arial" w:cs="Arial"/>
                <w:sz w:val="24"/>
                <w:szCs w:val="24"/>
              </w:rPr>
            </w:pPr>
            <w:r w:rsidRPr="0029213D">
              <w:rPr>
                <w:rFonts w:ascii="Arial" w:hAnsi="Arial" w:cs="Arial"/>
                <w:sz w:val="24"/>
                <w:szCs w:val="24"/>
              </w:rPr>
              <w:t>Plant, equipment and vehicles at fair value</w:t>
            </w:r>
          </w:p>
        </w:tc>
        <w:tc>
          <w:tcPr>
            <w:tcW w:w="1358" w:type="dxa"/>
            <w:shd w:val="clear" w:color="auto" w:fill="auto"/>
            <w:noWrap/>
            <w:hideMark/>
          </w:tcPr>
          <w:p w14:paraId="1FF2CE8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277,069 </w:t>
            </w:r>
          </w:p>
        </w:tc>
        <w:tc>
          <w:tcPr>
            <w:tcW w:w="1301" w:type="dxa"/>
            <w:shd w:val="clear" w:color="auto" w:fill="auto"/>
            <w:noWrap/>
            <w:hideMark/>
          </w:tcPr>
          <w:p w14:paraId="40E98AE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9,111 </w:t>
            </w:r>
          </w:p>
        </w:tc>
        <w:tc>
          <w:tcPr>
            <w:tcW w:w="1170" w:type="dxa"/>
            <w:shd w:val="clear" w:color="auto" w:fill="auto"/>
            <w:noWrap/>
            <w:hideMark/>
          </w:tcPr>
          <w:p w14:paraId="5A82777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(20,390)</w:t>
            </w:r>
          </w:p>
        </w:tc>
        <w:tc>
          <w:tcPr>
            <w:tcW w:w="1149" w:type="dxa"/>
            <w:shd w:val="clear" w:color="auto" w:fill="auto"/>
            <w:noWrap/>
            <w:hideMark/>
          </w:tcPr>
          <w:p w14:paraId="5A2CF46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(2,003)</w:t>
            </w:r>
          </w:p>
        </w:tc>
        <w:tc>
          <w:tcPr>
            <w:tcW w:w="1358" w:type="dxa"/>
            <w:shd w:val="clear" w:color="auto" w:fill="auto"/>
            <w:noWrap/>
            <w:hideMark/>
          </w:tcPr>
          <w:p w14:paraId="09A80E4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256,679 </w:t>
            </w:r>
          </w:p>
        </w:tc>
        <w:tc>
          <w:tcPr>
            <w:tcW w:w="1297" w:type="dxa"/>
            <w:shd w:val="clear" w:color="auto" w:fill="auto"/>
            <w:noWrap/>
            <w:hideMark/>
          </w:tcPr>
          <w:p w14:paraId="0F384F87"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7,108 </w:t>
            </w:r>
          </w:p>
        </w:tc>
      </w:tr>
      <w:tr w:rsidR="00E658D1" w:rsidRPr="0029213D" w14:paraId="04678EA2" w14:textId="77777777" w:rsidTr="00E70ED8">
        <w:trPr>
          <w:trHeight w:val="340"/>
        </w:trPr>
        <w:tc>
          <w:tcPr>
            <w:tcW w:w="2290" w:type="dxa"/>
            <w:shd w:val="clear" w:color="auto" w:fill="auto"/>
            <w:noWrap/>
            <w:vAlign w:val="center"/>
            <w:hideMark/>
          </w:tcPr>
          <w:p w14:paraId="4E171275" w14:textId="77777777" w:rsidR="003E5BF5" w:rsidRPr="0029213D" w:rsidRDefault="003E5BF5" w:rsidP="00DE1921">
            <w:pPr>
              <w:rPr>
                <w:rFonts w:ascii="Arial" w:hAnsi="Arial" w:cs="Arial"/>
                <w:sz w:val="24"/>
                <w:szCs w:val="24"/>
              </w:rPr>
            </w:pPr>
            <w:r w:rsidRPr="0029213D">
              <w:rPr>
                <w:rFonts w:ascii="Arial" w:hAnsi="Arial" w:cs="Arial"/>
                <w:sz w:val="24"/>
                <w:szCs w:val="24"/>
              </w:rPr>
              <w:t>Leasehold improvements</w:t>
            </w:r>
          </w:p>
        </w:tc>
        <w:tc>
          <w:tcPr>
            <w:tcW w:w="1358" w:type="dxa"/>
            <w:shd w:val="clear" w:color="auto" w:fill="auto"/>
            <w:noWrap/>
            <w:hideMark/>
          </w:tcPr>
          <w:p w14:paraId="662BE573"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59,088 </w:t>
            </w:r>
          </w:p>
        </w:tc>
        <w:tc>
          <w:tcPr>
            <w:tcW w:w="1301" w:type="dxa"/>
            <w:shd w:val="clear" w:color="auto" w:fill="auto"/>
            <w:noWrap/>
            <w:hideMark/>
          </w:tcPr>
          <w:p w14:paraId="3D0E498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15,953 </w:t>
            </w:r>
          </w:p>
        </w:tc>
        <w:tc>
          <w:tcPr>
            <w:tcW w:w="1170" w:type="dxa"/>
            <w:shd w:val="clear" w:color="auto" w:fill="auto"/>
            <w:noWrap/>
            <w:hideMark/>
          </w:tcPr>
          <w:p w14:paraId="6828080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(17,871)</w:t>
            </w:r>
          </w:p>
        </w:tc>
        <w:tc>
          <w:tcPr>
            <w:tcW w:w="1149" w:type="dxa"/>
            <w:shd w:val="clear" w:color="auto" w:fill="auto"/>
            <w:noWrap/>
            <w:hideMark/>
          </w:tcPr>
          <w:p w14:paraId="62C8C6AA" w14:textId="77777777" w:rsidR="003E5BF5" w:rsidRPr="0029213D" w:rsidRDefault="003E5BF5" w:rsidP="00DE1921">
            <w:pPr>
              <w:jc w:val="right"/>
              <w:rPr>
                <w:rFonts w:ascii="Arial" w:hAnsi="Arial" w:cs="Arial"/>
                <w:sz w:val="24"/>
                <w:szCs w:val="24"/>
              </w:rPr>
            </w:pPr>
          </w:p>
        </w:tc>
        <w:tc>
          <w:tcPr>
            <w:tcW w:w="1358" w:type="dxa"/>
            <w:shd w:val="clear" w:color="auto" w:fill="auto"/>
            <w:noWrap/>
            <w:hideMark/>
          </w:tcPr>
          <w:p w14:paraId="4B7A449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41,217 </w:t>
            </w:r>
          </w:p>
        </w:tc>
        <w:tc>
          <w:tcPr>
            <w:tcW w:w="1297" w:type="dxa"/>
            <w:shd w:val="clear" w:color="auto" w:fill="auto"/>
            <w:noWrap/>
            <w:hideMark/>
          </w:tcPr>
          <w:p w14:paraId="2CA6571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15,953 </w:t>
            </w:r>
          </w:p>
        </w:tc>
      </w:tr>
      <w:tr w:rsidR="00E658D1" w:rsidRPr="0029213D" w14:paraId="4FEA55D6" w14:textId="77777777" w:rsidTr="00E70ED8">
        <w:trPr>
          <w:trHeight w:val="340"/>
        </w:trPr>
        <w:tc>
          <w:tcPr>
            <w:tcW w:w="2290" w:type="dxa"/>
            <w:shd w:val="clear" w:color="auto" w:fill="auto"/>
            <w:noWrap/>
            <w:vAlign w:val="center"/>
            <w:hideMark/>
          </w:tcPr>
          <w:p w14:paraId="13D793B4" w14:textId="77777777" w:rsidR="003E5BF5" w:rsidRPr="0029213D" w:rsidRDefault="003E5BF5" w:rsidP="00DE1921">
            <w:pPr>
              <w:rPr>
                <w:rFonts w:ascii="Arial" w:hAnsi="Arial" w:cs="Arial"/>
                <w:sz w:val="24"/>
                <w:szCs w:val="24"/>
              </w:rPr>
            </w:pPr>
            <w:r w:rsidRPr="0029213D">
              <w:rPr>
                <w:rFonts w:ascii="Arial" w:hAnsi="Arial" w:cs="Arial"/>
                <w:sz w:val="24"/>
                <w:szCs w:val="24"/>
              </w:rPr>
              <w:t>Cultural assets at fair value</w:t>
            </w:r>
          </w:p>
        </w:tc>
        <w:tc>
          <w:tcPr>
            <w:tcW w:w="1358" w:type="dxa"/>
            <w:shd w:val="clear" w:color="auto" w:fill="auto"/>
            <w:noWrap/>
            <w:hideMark/>
          </w:tcPr>
          <w:p w14:paraId="504A125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2,609 </w:t>
            </w:r>
          </w:p>
        </w:tc>
        <w:tc>
          <w:tcPr>
            <w:tcW w:w="1301" w:type="dxa"/>
            <w:shd w:val="clear" w:color="auto" w:fill="auto"/>
            <w:noWrap/>
            <w:hideMark/>
          </w:tcPr>
          <w:p w14:paraId="44AF7FE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256 </w:t>
            </w:r>
          </w:p>
        </w:tc>
        <w:tc>
          <w:tcPr>
            <w:tcW w:w="1170" w:type="dxa"/>
            <w:shd w:val="clear" w:color="auto" w:fill="auto"/>
            <w:noWrap/>
            <w:hideMark/>
          </w:tcPr>
          <w:p w14:paraId="1BCAC65E"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49" w:type="dxa"/>
            <w:shd w:val="clear" w:color="auto" w:fill="auto"/>
            <w:noWrap/>
            <w:hideMark/>
          </w:tcPr>
          <w:p w14:paraId="4D28CAE1"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358" w:type="dxa"/>
            <w:shd w:val="clear" w:color="auto" w:fill="auto"/>
            <w:noWrap/>
            <w:hideMark/>
          </w:tcPr>
          <w:p w14:paraId="30FC059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2,609 </w:t>
            </w:r>
          </w:p>
        </w:tc>
        <w:tc>
          <w:tcPr>
            <w:tcW w:w="1297" w:type="dxa"/>
            <w:shd w:val="clear" w:color="auto" w:fill="auto"/>
            <w:noWrap/>
            <w:hideMark/>
          </w:tcPr>
          <w:p w14:paraId="4F6E276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256 </w:t>
            </w:r>
          </w:p>
        </w:tc>
      </w:tr>
      <w:tr w:rsidR="00E658D1" w:rsidRPr="0029213D" w14:paraId="109962EC" w14:textId="77777777" w:rsidTr="00E70ED8">
        <w:trPr>
          <w:trHeight w:val="340"/>
        </w:trPr>
        <w:tc>
          <w:tcPr>
            <w:tcW w:w="2290" w:type="dxa"/>
            <w:tcBorders>
              <w:bottom w:val="single" w:sz="4" w:space="0" w:color="auto"/>
            </w:tcBorders>
            <w:shd w:val="clear" w:color="auto" w:fill="auto"/>
            <w:noWrap/>
            <w:vAlign w:val="center"/>
            <w:hideMark/>
          </w:tcPr>
          <w:p w14:paraId="6BEBCE27" w14:textId="77777777" w:rsidR="003E5BF5" w:rsidRPr="0029213D" w:rsidRDefault="003E5BF5" w:rsidP="00DE1921">
            <w:pPr>
              <w:rPr>
                <w:rFonts w:ascii="Arial" w:hAnsi="Arial" w:cs="Arial"/>
                <w:sz w:val="24"/>
                <w:szCs w:val="24"/>
              </w:rPr>
            </w:pPr>
            <w:r w:rsidRPr="0029213D">
              <w:rPr>
                <w:rFonts w:ascii="Arial" w:hAnsi="Arial" w:cs="Arial"/>
                <w:sz w:val="24"/>
                <w:szCs w:val="24"/>
              </w:rPr>
              <w:t>Assets under construction</w:t>
            </w:r>
            <w:r w:rsidRPr="0029213D">
              <w:rPr>
                <w:rFonts w:ascii="Arial" w:hAnsi="Arial" w:cs="Arial"/>
                <w:sz w:val="24"/>
                <w:szCs w:val="24"/>
                <w:vertAlign w:val="superscript"/>
              </w:rPr>
              <w:t xml:space="preserve"> (iii)</w:t>
            </w:r>
          </w:p>
        </w:tc>
        <w:tc>
          <w:tcPr>
            <w:tcW w:w="1358" w:type="dxa"/>
            <w:tcBorders>
              <w:bottom w:val="single" w:sz="4" w:space="0" w:color="auto"/>
            </w:tcBorders>
            <w:shd w:val="clear" w:color="auto" w:fill="auto"/>
            <w:noWrap/>
            <w:hideMark/>
          </w:tcPr>
          <w:p w14:paraId="50509F16"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11,032,032 </w:t>
            </w:r>
          </w:p>
        </w:tc>
        <w:tc>
          <w:tcPr>
            <w:tcW w:w="1301" w:type="dxa"/>
            <w:tcBorders>
              <w:bottom w:val="single" w:sz="4" w:space="0" w:color="auto"/>
            </w:tcBorders>
            <w:shd w:val="clear" w:color="auto" w:fill="auto"/>
            <w:noWrap/>
            <w:hideMark/>
          </w:tcPr>
          <w:p w14:paraId="3FF3DEA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6,946,290 </w:t>
            </w:r>
          </w:p>
        </w:tc>
        <w:tc>
          <w:tcPr>
            <w:tcW w:w="1170" w:type="dxa"/>
            <w:tcBorders>
              <w:bottom w:val="single" w:sz="4" w:space="0" w:color="auto"/>
            </w:tcBorders>
            <w:shd w:val="clear" w:color="auto" w:fill="auto"/>
            <w:noWrap/>
            <w:hideMark/>
          </w:tcPr>
          <w:p w14:paraId="09B116A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149" w:type="dxa"/>
            <w:tcBorders>
              <w:bottom w:val="single" w:sz="4" w:space="0" w:color="auto"/>
            </w:tcBorders>
            <w:shd w:val="clear" w:color="auto" w:fill="auto"/>
            <w:noWrap/>
            <w:hideMark/>
          </w:tcPr>
          <w:p w14:paraId="69BE5BFB"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358" w:type="dxa"/>
            <w:tcBorders>
              <w:bottom w:val="single" w:sz="4" w:space="0" w:color="auto"/>
            </w:tcBorders>
            <w:shd w:val="clear" w:color="auto" w:fill="auto"/>
            <w:noWrap/>
            <w:hideMark/>
          </w:tcPr>
          <w:p w14:paraId="46DB942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11,032,032 </w:t>
            </w:r>
          </w:p>
        </w:tc>
        <w:tc>
          <w:tcPr>
            <w:tcW w:w="1297" w:type="dxa"/>
            <w:tcBorders>
              <w:bottom w:val="single" w:sz="4" w:space="0" w:color="auto"/>
            </w:tcBorders>
            <w:shd w:val="clear" w:color="auto" w:fill="auto"/>
            <w:noWrap/>
            <w:hideMark/>
          </w:tcPr>
          <w:p w14:paraId="70D0AD6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6,946,290 </w:t>
            </w:r>
          </w:p>
        </w:tc>
      </w:tr>
      <w:tr w:rsidR="00E658D1" w:rsidRPr="0029213D" w14:paraId="317D054E" w14:textId="77777777" w:rsidTr="00E70ED8">
        <w:trPr>
          <w:trHeight w:val="340"/>
        </w:trPr>
        <w:tc>
          <w:tcPr>
            <w:tcW w:w="2290" w:type="dxa"/>
            <w:tcBorders>
              <w:bottom w:val="single" w:sz="4" w:space="0" w:color="auto"/>
            </w:tcBorders>
            <w:shd w:val="clear" w:color="auto" w:fill="auto"/>
            <w:noWrap/>
            <w:vAlign w:val="center"/>
            <w:hideMark/>
          </w:tcPr>
          <w:p w14:paraId="6774C030" w14:textId="77777777" w:rsidR="003E5BF5" w:rsidRPr="0029213D" w:rsidRDefault="003E5BF5" w:rsidP="00DE1921">
            <w:pPr>
              <w:rPr>
                <w:rFonts w:ascii="Arial" w:hAnsi="Arial" w:cs="Arial"/>
                <w:b/>
                <w:sz w:val="24"/>
                <w:szCs w:val="24"/>
              </w:rPr>
            </w:pPr>
            <w:r w:rsidRPr="0029213D">
              <w:rPr>
                <w:rFonts w:ascii="Arial" w:hAnsi="Arial" w:cs="Arial"/>
                <w:b/>
                <w:sz w:val="24"/>
                <w:szCs w:val="24"/>
              </w:rPr>
              <w:t>Net carrying amount</w:t>
            </w:r>
          </w:p>
        </w:tc>
        <w:tc>
          <w:tcPr>
            <w:tcW w:w="1358" w:type="dxa"/>
            <w:tcBorders>
              <w:bottom w:val="single" w:sz="4" w:space="0" w:color="auto"/>
            </w:tcBorders>
            <w:shd w:val="clear" w:color="auto" w:fill="auto"/>
            <w:noWrap/>
            <w:vAlign w:val="center"/>
            <w:hideMark/>
          </w:tcPr>
          <w:p w14:paraId="04FDE415"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87,968,186 </w:t>
            </w:r>
          </w:p>
        </w:tc>
        <w:tc>
          <w:tcPr>
            <w:tcW w:w="1301" w:type="dxa"/>
            <w:tcBorders>
              <w:bottom w:val="single" w:sz="4" w:space="0" w:color="auto"/>
            </w:tcBorders>
            <w:shd w:val="clear" w:color="auto" w:fill="auto"/>
            <w:noWrap/>
            <w:vAlign w:val="center"/>
            <w:hideMark/>
          </w:tcPr>
          <w:p w14:paraId="1B23A9A9" w14:textId="77777777" w:rsidR="003E5BF5" w:rsidRPr="0029213D" w:rsidRDefault="003E5BF5" w:rsidP="00DE1921">
            <w:pPr>
              <w:jc w:val="right"/>
              <w:rPr>
                <w:rFonts w:ascii="Arial" w:hAnsi="Arial" w:cs="Arial"/>
                <w:b/>
                <w:sz w:val="24"/>
                <w:szCs w:val="24"/>
              </w:rPr>
            </w:pPr>
            <w:r w:rsidRPr="0029213D" w:rsidDel="00CA5999">
              <w:rPr>
                <w:rFonts w:ascii="Arial" w:hAnsi="Arial" w:cs="Arial"/>
                <w:b/>
                <w:sz w:val="24"/>
                <w:szCs w:val="24"/>
              </w:rPr>
              <w:t>8,</w:t>
            </w:r>
            <w:r w:rsidRPr="0029213D">
              <w:rPr>
                <w:rFonts w:ascii="Arial" w:hAnsi="Arial" w:cs="Arial"/>
                <w:b/>
                <w:sz w:val="24"/>
                <w:szCs w:val="24"/>
              </w:rPr>
              <w:t xml:space="preserve">630,839 </w:t>
            </w:r>
          </w:p>
        </w:tc>
        <w:tc>
          <w:tcPr>
            <w:tcW w:w="1170" w:type="dxa"/>
            <w:tcBorders>
              <w:bottom w:val="single" w:sz="4" w:space="0" w:color="auto"/>
            </w:tcBorders>
            <w:shd w:val="clear" w:color="auto" w:fill="auto"/>
            <w:noWrap/>
            <w:vAlign w:val="center"/>
            <w:hideMark/>
          </w:tcPr>
          <w:p w14:paraId="42307C6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(104,684)</w:t>
            </w:r>
          </w:p>
        </w:tc>
        <w:tc>
          <w:tcPr>
            <w:tcW w:w="1149" w:type="dxa"/>
            <w:tcBorders>
              <w:bottom w:val="single" w:sz="4" w:space="0" w:color="auto"/>
            </w:tcBorders>
            <w:shd w:val="clear" w:color="auto" w:fill="auto"/>
            <w:noWrap/>
            <w:vAlign w:val="center"/>
            <w:hideMark/>
          </w:tcPr>
          <w:p w14:paraId="59225F1A"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(4,757)</w:t>
            </w:r>
          </w:p>
        </w:tc>
        <w:tc>
          <w:tcPr>
            <w:tcW w:w="1358" w:type="dxa"/>
            <w:tcBorders>
              <w:bottom w:val="single" w:sz="4" w:space="0" w:color="auto"/>
            </w:tcBorders>
            <w:shd w:val="clear" w:color="auto" w:fill="auto"/>
            <w:noWrap/>
            <w:vAlign w:val="center"/>
            <w:hideMark/>
          </w:tcPr>
          <w:p w14:paraId="16A74BC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87,863,502 </w:t>
            </w:r>
          </w:p>
        </w:tc>
        <w:tc>
          <w:tcPr>
            <w:tcW w:w="1297" w:type="dxa"/>
            <w:tcBorders>
              <w:bottom w:val="single" w:sz="4" w:space="0" w:color="auto"/>
            </w:tcBorders>
            <w:shd w:val="clear" w:color="auto" w:fill="auto"/>
            <w:noWrap/>
            <w:vAlign w:val="center"/>
            <w:hideMark/>
          </w:tcPr>
          <w:p w14:paraId="2B13CBC5"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8,626,082 </w:t>
            </w:r>
          </w:p>
        </w:tc>
      </w:tr>
    </w:tbl>
    <w:p w14:paraId="60AF5CB8" w14:textId="77777777" w:rsidR="00E70ED8" w:rsidRPr="0029213D" w:rsidRDefault="00E70ED8" w:rsidP="00E70ED8">
      <w:pPr>
        <w:pStyle w:val="Note"/>
        <w:rPr>
          <w:rFonts w:ascii="Arial" w:hAnsi="Arial" w:cs="Arial"/>
          <w:sz w:val="24"/>
          <w:szCs w:val="24"/>
        </w:rPr>
      </w:pPr>
      <w:r w:rsidRPr="0029213D">
        <w:rPr>
          <w:rFonts w:ascii="Arial" w:hAnsi="Arial" w:cs="Arial"/>
          <w:sz w:val="24"/>
          <w:szCs w:val="24"/>
        </w:rPr>
        <w:t>Notes:</w:t>
      </w:r>
    </w:p>
    <w:p w14:paraId="4284E053" w14:textId="77777777" w:rsidR="00E70ED8" w:rsidRPr="0029213D" w:rsidRDefault="00E70ED8" w:rsidP="00610F5F">
      <w:pPr>
        <w:pStyle w:val="aaaNotenumberiiiiii"/>
        <w:numPr>
          <w:ilvl w:val="0"/>
          <w:numId w:val="84"/>
        </w:numPr>
      </w:pPr>
      <w:r w:rsidRPr="0029213D">
        <w:t xml:space="preserve">AASB 16 </w:t>
      </w:r>
      <w:r w:rsidRPr="00E70ED8">
        <w:rPr>
          <w:i/>
        </w:rPr>
        <w:t>Leases</w:t>
      </w:r>
      <w:r w:rsidRPr="0029213D">
        <w:t xml:space="preserve"> (AASB 16) has been applied for the first time from 1 July 2019, refer to Note 5.1.1 Right-of-Use assets for further details.</w:t>
      </w:r>
    </w:p>
    <w:p w14:paraId="7E9EB60D" w14:textId="77777777" w:rsidR="00E70ED8" w:rsidRPr="0029213D" w:rsidRDefault="00E70ED8" w:rsidP="00E70ED8">
      <w:pPr>
        <w:pStyle w:val="aaaNotenumberiiiiii"/>
      </w:pPr>
      <w:r w:rsidRPr="0029213D">
        <w:t>Refer to Note 5.1.6 for the reconciliation of movements in carrying amount of property, plant and equipment.</w:t>
      </w:r>
    </w:p>
    <w:p w14:paraId="29BB1220" w14:textId="0B0618C1" w:rsidR="00E70ED8" w:rsidRDefault="00E70ED8" w:rsidP="00E70ED8">
      <w:pPr>
        <w:pStyle w:val="aaaNotenumberiiiiii"/>
      </w:pPr>
      <w:r w:rsidRPr="0029213D">
        <w:t>The 2019 comparatives figures have been restated to reflect the adoption of AASB 1059, refer to Note 5.1.2 Service concession assets for further details.</w:t>
      </w:r>
    </w:p>
    <w:p w14:paraId="03F06920" w14:textId="773997D8" w:rsidR="00704029" w:rsidRDefault="00704029" w:rsidP="00704029">
      <w:pPr>
        <w:pStyle w:val="aaaNotenumberiiiiii"/>
        <w:numPr>
          <w:ilvl w:val="0"/>
          <w:numId w:val="0"/>
        </w:numPr>
        <w:ind w:left="714" w:hanging="357"/>
      </w:pPr>
      <w:r>
        <w:br w:type="page"/>
      </w:r>
    </w:p>
    <w:p w14:paraId="63621E76" w14:textId="77777777" w:rsidR="00704029" w:rsidRDefault="003E5BF5" w:rsidP="0079690B">
      <w:pPr>
        <w:pStyle w:val="aaatyping"/>
      </w:pPr>
      <w:r w:rsidRPr="00BD3EFE">
        <w:rPr>
          <w:szCs w:val="18"/>
        </w:rPr>
        <w:lastRenderedPageBreak/>
        <w:t>The following tabl</w:t>
      </w:r>
      <w:r w:rsidRPr="00C4159C">
        <w:t xml:space="preserve">es are subsets of </w:t>
      </w:r>
      <w:r>
        <w:t>Property, Plant and Equipment (PPE)</w:t>
      </w:r>
      <w:r w:rsidRPr="00C4159C">
        <w:t xml:space="preserve"> </w:t>
      </w:r>
      <w:r>
        <w:t xml:space="preserve">grouped </w:t>
      </w:r>
      <w:r w:rsidRPr="00C4159C">
        <w:t>by</w:t>
      </w:r>
      <w:r>
        <w:t xml:space="preserve"> Note 5.1.1 Right-of-use assets, Note 5.1.2 Service Concession assets and Note 5.1.3 Other non-financial physical assets.</w:t>
      </w:r>
    </w:p>
    <w:p w14:paraId="2B5ECAE7" w14:textId="77777777" w:rsidR="003E5BF5" w:rsidRDefault="003E5BF5" w:rsidP="006667CC">
      <w:pPr>
        <w:pStyle w:val="Heading3"/>
        <w:numPr>
          <w:ilvl w:val="2"/>
          <w:numId w:val="3"/>
        </w:numPr>
        <w:ind w:left="851" w:hanging="851"/>
      </w:pPr>
      <w:r>
        <w:t>Right</w:t>
      </w:r>
      <w:r w:rsidRPr="00163E38">
        <w:t>-of-use assets</w:t>
      </w:r>
      <w:bookmarkStart w:id="292" w:name="RANGE!A15:D21"/>
      <w:bookmarkStart w:id="293" w:name="RANGE!A3:D9"/>
      <w:bookmarkStart w:id="294" w:name="RANGE!A28:S42"/>
      <w:bookmarkStart w:id="295" w:name="RANGE!A17:T25"/>
      <w:bookmarkEnd w:id="292"/>
      <w:bookmarkEnd w:id="293"/>
      <w:bookmarkEnd w:id="294"/>
      <w:bookmarkEnd w:id="295"/>
    </w:p>
    <w:tbl>
      <w:tblPr>
        <w:tblStyle w:val="TableGrid"/>
        <w:tblW w:w="9923" w:type="dxa"/>
        <w:tblCellMar>
          <w:left w:w="28" w:type="dxa"/>
          <w:right w:w="28" w:type="dxa"/>
        </w:tblCellMar>
        <w:tblLook w:val="04A0" w:firstRow="1" w:lastRow="0" w:firstColumn="1" w:lastColumn="0" w:noHBand="0" w:noVBand="1"/>
      </w:tblPr>
      <w:tblGrid>
        <w:gridCol w:w="4210"/>
        <w:gridCol w:w="986"/>
        <w:gridCol w:w="908"/>
        <w:gridCol w:w="1013"/>
        <w:gridCol w:w="955"/>
        <w:gridCol w:w="986"/>
        <w:gridCol w:w="865"/>
      </w:tblGrid>
      <w:tr w:rsidR="003E5BF5" w:rsidRPr="0029213D" w14:paraId="0174C298" w14:textId="77777777" w:rsidTr="00E70ED8">
        <w:trPr>
          <w:trHeight w:val="340"/>
        </w:trPr>
        <w:tc>
          <w:tcPr>
            <w:tcW w:w="4210" w:type="dxa"/>
            <w:shd w:val="clear" w:color="auto" w:fill="auto"/>
            <w:noWrap/>
            <w:hideMark/>
          </w:tcPr>
          <w:p w14:paraId="6E9AC4ED" w14:textId="77777777" w:rsidR="003E5BF5" w:rsidRPr="0029213D" w:rsidRDefault="003E5BF5" w:rsidP="00DE1921">
            <w:pPr>
              <w:rPr>
                <w:rFonts w:ascii="Arial" w:hAnsi="Arial" w:cs="Arial"/>
                <w:sz w:val="24"/>
                <w:szCs w:val="24"/>
              </w:rPr>
            </w:pPr>
          </w:p>
        </w:tc>
        <w:tc>
          <w:tcPr>
            <w:tcW w:w="5713" w:type="dxa"/>
            <w:gridSpan w:val="6"/>
            <w:shd w:val="clear" w:color="auto" w:fill="auto"/>
            <w:vAlign w:val="center"/>
            <w:hideMark/>
          </w:tcPr>
          <w:p w14:paraId="42819D1A"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 thousand)</w:t>
            </w:r>
          </w:p>
        </w:tc>
      </w:tr>
      <w:tr w:rsidR="003E5BF5" w:rsidRPr="0029213D" w14:paraId="6A733CBF" w14:textId="77777777" w:rsidTr="00E70ED8">
        <w:trPr>
          <w:trHeight w:val="340"/>
        </w:trPr>
        <w:tc>
          <w:tcPr>
            <w:tcW w:w="4210" w:type="dxa"/>
            <w:shd w:val="clear" w:color="auto" w:fill="auto"/>
            <w:noWrap/>
            <w:hideMark/>
          </w:tcPr>
          <w:p w14:paraId="7759F404" w14:textId="77777777" w:rsidR="003E5BF5" w:rsidRPr="0029213D" w:rsidRDefault="003E5BF5" w:rsidP="00DE1921">
            <w:pPr>
              <w:rPr>
                <w:rFonts w:ascii="Arial" w:hAnsi="Arial" w:cs="Arial"/>
                <w:sz w:val="24"/>
                <w:szCs w:val="24"/>
              </w:rPr>
            </w:pPr>
          </w:p>
        </w:tc>
        <w:tc>
          <w:tcPr>
            <w:tcW w:w="1894" w:type="dxa"/>
            <w:gridSpan w:val="2"/>
            <w:shd w:val="clear" w:color="auto" w:fill="auto"/>
            <w:vAlign w:val="bottom"/>
            <w:hideMark/>
          </w:tcPr>
          <w:p w14:paraId="50F34380"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Gross carrying amount</w:t>
            </w:r>
          </w:p>
        </w:tc>
        <w:tc>
          <w:tcPr>
            <w:tcW w:w="1968" w:type="dxa"/>
            <w:gridSpan w:val="2"/>
            <w:shd w:val="clear" w:color="auto" w:fill="auto"/>
            <w:vAlign w:val="bottom"/>
            <w:hideMark/>
          </w:tcPr>
          <w:p w14:paraId="1F71693B"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Accumulated depreciation</w:t>
            </w:r>
          </w:p>
        </w:tc>
        <w:tc>
          <w:tcPr>
            <w:tcW w:w="1851" w:type="dxa"/>
            <w:gridSpan w:val="2"/>
            <w:shd w:val="clear" w:color="auto" w:fill="auto"/>
            <w:vAlign w:val="bottom"/>
            <w:hideMark/>
          </w:tcPr>
          <w:p w14:paraId="5CDECD34" w14:textId="77777777" w:rsidR="003E5BF5" w:rsidRPr="0029213D" w:rsidRDefault="003E5BF5" w:rsidP="00DE1921">
            <w:pPr>
              <w:jc w:val="center"/>
              <w:rPr>
                <w:rFonts w:ascii="Arial" w:hAnsi="Arial" w:cs="Arial"/>
                <w:b/>
                <w:sz w:val="24"/>
                <w:szCs w:val="24"/>
              </w:rPr>
            </w:pPr>
            <w:r w:rsidRPr="0029213D">
              <w:rPr>
                <w:rFonts w:ascii="Arial" w:hAnsi="Arial" w:cs="Arial"/>
                <w:b/>
                <w:sz w:val="24"/>
                <w:szCs w:val="24"/>
              </w:rPr>
              <w:t xml:space="preserve">Net carrying amount </w:t>
            </w:r>
            <w:r w:rsidRPr="0029213D">
              <w:rPr>
                <w:rFonts w:ascii="Arial" w:hAnsi="Arial" w:cs="Arial"/>
                <w:b/>
                <w:sz w:val="24"/>
                <w:szCs w:val="24"/>
                <w:vertAlign w:val="superscript"/>
              </w:rPr>
              <w:t>(</w:t>
            </w:r>
            <w:proofErr w:type="spellStart"/>
            <w:r w:rsidRPr="0029213D">
              <w:rPr>
                <w:rFonts w:ascii="Arial" w:hAnsi="Arial" w:cs="Arial"/>
                <w:b/>
                <w:sz w:val="24"/>
                <w:szCs w:val="24"/>
                <w:vertAlign w:val="superscript"/>
              </w:rPr>
              <w:t>i</w:t>
            </w:r>
            <w:proofErr w:type="spellEnd"/>
            <w:r w:rsidRPr="0029213D">
              <w:rPr>
                <w:rFonts w:ascii="Arial" w:hAnsi="Arial" w:cs="Arial"/>
                <w:b/>
                <w:sz w:val="24"/>
                <w:szCs w:val="24"/>
                <w:vertAlign w:val="superscript"/>
              </w:rPr>
              <w:t>)</w:t>
            </w:r>
          </w:p>
        </w:tc>
      </w:tr>
      <w:tr w:rsidR="003E5BF5" w:rsidRPr="0029213D" w14:paraId="66112F88" w14:textId="77777777" w:rsidTr="00E70ED8">
        <w:trPr>
          <w:trHeight w:val="340"/>
        </w:trPr>
        <w:tc>
          <w:tcPr>
            <w:tcW w:w="4210" w:type="dxa"/>
            <w:shd w:val="clear" w:color="auto" w:fill="auto"/>
            <w:noWrap/>
            <w:hideMark/>
          </w:tcPr>
          <w:p w14:paraId="61EE6B10" w14:textId="77777777" w:rsidR="003E5BF5" w:rsidRPr="0029213D" w:rsidRDefault="003E5BF5" w:rsidP="00DE1921">
            <w:pPr>
              <w:rPr>
                <w:rFonts w:ascii="Arial" w:hAnsi="Arial" w:cs="Arial"/>
                <w:sz w:val="24"/>
                <w:szCs w:val="24"/>
              </w:rPr>
            </w:pPr>
            <w:r w:rsidRPr="0029213D">
              <w:rPr>
                <w:rFonts w:ascii="Arial" w:hAnsi="Arial" w:cs="Arial"/>
                <w:sz w:val="24"/>
                <w:szCs w:val="24"/>
              </w:rPr>
              <w:t> </w:t>
            </w:r>
          </w:p>
        </w:tc>
        <w:tc>
          <w:tcPr>
            <w:tcW w:w="986" w:type="dxa"/>
            <w:shd w:val="clear" w:color="auto" w:fill="auto"/>
            <w:noWrap/>
            <w:vAlign w:val="center"/>
            <w:hideMark/>
          </w:tcPr>
          <w:p w14:paraId="128E3270"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908" w:type="dxa"/>
            <w:shd w:val="clear" w:color="auto" w:fill="auto"/>
            <w:noWrap/>
            <w:vAlign w:val="center"/>
            <w:hideMark/>
          </w:tcPr>
          <w:p w14:paraId="74319C3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1013" w:type="dxa"/>
            <w:shd w:val="clear" w:color="auto" w:fill="auto"/>
            <w:noWrap/>
            <w:vAlign w:val="center"/>
            <w:hideMark/>
          </w:tcPr>
          <w:p w14:paraId="2E421C22"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955" w:type="dxa"/>
            <w:shd w:val="clear" w:color="auto" w:fill="auto"/>
            <w:noWrap/>
            <w:vAlign w:val="center"/>
            <w:hideMark/>
          </w:tcPr>
          <w:p w14:paraId="393E0278"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c>
          <w:tcPr>
            <w:tcW w:w="986" w:type="dxa"/>
            <w:shd w:val="clear" w:color="auto" w:fill="auto"/>
            <w:noWrap/>
            <w:vAlign w:val="center"/>
            <w:hideMark/>
          </w:tcPr>
          <w:p w14:paraId="1AF17F5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2020</w:t>
            </w:r>
          </w:p>
        </w:tc>
        <w:tc>
          <w:tcPr>
            <w:tcW w:w="865" w:type="dxa"/>
            <w:shd w:val="clear" w:color="auto" w:fill="auto"/>
            <w:noWrap/>
            <w:vAlign w:val="center"/>
            <w:hideMark/>
          </w:tcPr>
          <w:p w14:paraId="3DAE62CD"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2019</w:t>
            </w:r>
          </w:p>
        </w:tc>
      </w:tr>
      <w:tr w:rsidR="003E5BF5" w:rsidRPr="0029213D" w14:paraId="4BA5BC0B" w14:textId="77777777" w:rsidTr="00E70ED8">
        <w:trPr>
          <w:trHeight w:val="340"/>
        </w:trPr>
        <w:tc>
          <w:tcPr>
            <w:tcW w:w="4210" w:type="dxa"/>
            <w:shd w:val="clear" w:color="auto" w:fill="auto"/>
            <w:noWrap/>
            <w:vAlign w:val="center"/>
            <w:hideMark/>
          </w:tcPr>
          <w:p w14:paraId="3C59652D" w14:textId="77777777" w:rsidR="003E5BF5" w:rsidRPr="0029213D" w:rsidRDefault="003E5BF5" w:rsidP="00DE1921">
            <w:pPr>
              <w:rPr>
                <w:rFonts w:ascii="Arial" w:hAnsi="Arial" w:cs="Arial"/>
                <w:sz w:val="24"/>
                <w:szCs w:val="24"/>
              </w:rPr>
            </w:pPr>
            <w:r w:rsidRPr="0029213D">
              <w:rPr>
                <w:rFonts w:ascii="Arial" w:hAnsi="Arial" w:cs="Arial"/>
                <w:sz w:val="24"/>
                <w:szCs w:val="24"/>
              </w:rPr>
              <w:t>Buildings at fair value</w:t>
            </w:r>
          </w:p>
        </w:tc>
        <w:tc>
          <w:tcPr>
            <w:tcW w:w="986" w:type="dxa"/>
            <w:shd w:val="clear" w:color="auto" w:fill="auto"/>
            <w:noWrap/>
            <w:vAlign w:val="center"/>
            <w:hideMark/>
          </w:tcPr>
          <w:p w14:paraId="4C8B30FC"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76,593 </w:t>
            </w:r>
          </w:p>
        </w:tc>
        <w:tc>
          <w:tcPr>
            <w:tcW w:w="908" w:type="dxa"/>
            <w:shd w:val="clear" w:color="auto" w:fill="auto"/>
            <w:noWrap/>
            <w:vAlign w:val="center"/>
            <w:hideMark/>
          </w:tcPr>
          <w:p w14:paraId="12E311E2"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1013" w:type="dxa"/>
            <w:shd w:val="clear" w:color="auto" w:fill="auto"/>
            <w:noWrap/>
            <w:vAlign w:val="center"/>
            <w:hideMark/>
          </w:tcPr>
          <w:p w14:paraId="2C31D8E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(7,701)</w:t>
            </w:r>
          </w:p>
        </w:tc>
        <w:tc>
          <w:tcPr>
            <w:tcW w:w="955" w:type="dxa"/>
            <w:shd w:val="clear" w:color="auto" w:fill="auto"/>
            <w:noWrap/>
            <w:vAlign w:val="center"/>
            <w:hideMark/>
          </w:tcPr>
          <w:p w14:paraId="0F59F80C"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r w:rsidRPr="0029213D">
              <w:rPr>
                <w:rFonts w:ascii="Arial" w:hAnsi="Arial" w:cs="Arial"/>
                <w:sz w:val="24"/>
                <w:szCs w:val="24"/>
              </w:rPr>
              <w:t xml:space="preserve"> </w:t>
            </w:r>
          </w:p>
        </w:tc>
        <w:tc>
          <w:tcPr>
            <w:tcW w:w="986" w:type="dxa"/>
            <w:shd w:val="clear" w:color="auto" w:fill="auto"/>
            <w:noWrap/>
            <w:vAlign w:val="center"/>
            <w:hideMark/>
          </w:tcPr>
          <w:p w14:paraId="098DA2B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68,892 </w:t>
            </w:r>
          </w:p>
        </w:tc>
        <w:tc>
          <w:tcPr>
            <w:tcW w:w="865" w:type="dxa"/>
            <w:shd w:val="clear" w:color="auto" w:fill="auto"/>
            <w:noWrap/>
            <w:vAlign w:val="center"/>
            <w:hideMark/>
          </w:tcPr>
          <w:p w14:paraId="19A78BAA"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r w:rsidRPr="0029213D">
              <w:rPr>
                <w:rFonts w:ascii="Arial" w:hAnsi="Arial" w:cs="Arial"/>
                <w:sz w:val="24"/>
                <w:szCs w:val="24"/>
              </w:rPr>
              <w:t xml:space="preserve"> </w:t>
            </w:r>
          </w:p>
        </w:tc>
      </w:tr>
      <w:tr w:rsidR="003E5BF5" w:rsidRPr="0029213D" w14:paraId="03FC1D81" w14:textId="77777777" w:rsidTr="00E70ED8">
        <w:trPr>
          <w:trHeight w:val="340"/>
        </w:trPr>
        <w:tc>
          <w:tcPr>
            <w:tcW w:w="4210" w:type="dxa"/>
            <w:shd w:val="clear" w:color="auto" w:fill="auto"/>
            <w:noWrap/>
            <w:vAlign w:val="center"/>
            <w:hideMark/>
          </w:tcPr>
          <w:p w14:paraId="302BD02F" w14:textId="77777777" w:rsidR="003E5BF5" w:rsidRPr="0029213D" w:rsidRDefault="003E5BF5" w:rsidP="00DE1921">
            <w:pPr>
              <w:rPr>
                <w:rFonts w:ascii="Arial" w:hAnsi="Arial" w:cs="Arial"/>
                <w:sz w:val="24"/>
                <w:szCs w:val="24"/>
              </w:rPr>
            </w:pPr>
            <w:r w:rsidRPr="0029213D">
              <w:rPr>
                <w:rFonts w:ascii="Arial" w:hAnsi="Arial" w:cs="Arial"/>
                <w:sz w:val="24"/>
                <w:szCs w:val="24"/>
              </w:rPr>
              <w:t>Plant, equipment and vehicles at fair value</w:t>
            </w:r>
          </w:p>
        </w:tc>
        <w:tc>
          <w:tcPr>
            <w:tcW w:w="986" w:type="dxa"/>
            <w:shd w:val="clear" w:color="auto" w:fill="auto"/>
            <w:noWrap/>
            <w:vAlign w:val="center"/>
            <w:hideMark/>
          </w:tcPr>
          <w:p w14:paraId="1BDE5AE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29,564 </w:t>
            </w:r>
          </w:p>
        </w:tc>
        <w:tc>
          <w:tcPr>
            <w:tcW w:w="908" w:type="dxa"/>
            <w:shd w:val="clear" w:color="auto" w:fill="auto"/>
            <w:noWrap/>
            <w:vAlign w:val="center"/>
            <w:hideMark/>
          </w:tcPr>
          <w:p w14:paraId="3C52938E"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3,555 </w:t>
            </w:r>
          </w:p>
        </w:tc>
        <w:tc>
          <w:tcPr>
            <w:tcW w:w="1013" w:type="dxa"/>
            <w:shd w:val="clear" w:color="auto" w:fill="auto"/>
            <w:noWrap/>
            <w:vAlign w:val="center"/>
            <w:hideMark/>
          </w:tcPr>
          <w:p w14:paraId="46F3928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(10,506)</w:t>
            </w:r>
          </w:p>
        </w:tc>
        <w:tc>
          <w:tcPr>
            <w:tcW w:w="955" w:type="dxa"/>
            <w:shd w:val="clear" w:color="auto" w:fill="auto"/>
            <w:noWrap/>
            <w:vAlign w:val="center"/>
            <w:hideMark/>
          </w:tcPr>
          <w:p w14:paraId="09499DD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w:t>
            </w:r>
          </w:p>
        </w:tc>
        <w:tc>
          <w:tcPr>
            <w:tcW w:w="986" w:type="dxa"/>
            <w:shd w:val="clear" w:color="auto" w:fill="auto"/>
            <w:noWrap/>
            <w:vAlign w:val="center"/>
            <w:hideMark/>
          </w:tcPr>
          <w:p w14:paraId="6837FAB1"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19,058 </w:t>
            </w:r>
          </w:p>
        </w:tc>
        <w:tc>
          <w:tcPr>
            <w:tcW w:w="865" w:type="dxa"/>
            <w:shd w:val="clear" w:color="auto" w:fill="auto"/>
            <w:noWrap/>
            <w:vAlign w:val="center"/>
            <w:hideMark/>
          </w:tcPr>
          <w:p w14:paraId="4699591A"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3,555 </w:t>
            </w:r>
          </w:p>
        </w:tc>
      </w:tr>
      <w:tr w:rsidR="003E5BF5" w:rsidRPr="0029213D" w14:paraId="3D26FFC4" w14:textId="77777777" w:rsidTr="00E70ED8">
        <w:trPr>
          <w:trHeight w:val="340"/>
        </w:trPr>
        <w:tc>
          <w:tcPr>
            <w:tcW w:w="4210" w:type="dxa"/>
            <w:shd w:val="clear" w:color="auto" w:fill="auto"/>
            <w:noWrap/>
            <w:vAlign w:val="center"/>
            <w:hideMark/>
          </w:tcPr>
          <w:p w14:paraId="7A049648" w14:textId="77777777" w:rsidR="003E5BF5" w:rsidRPr="0029213D" w:rsidRDefault="003E5BF5" w:rsidP="00DE1921">
            <w:pPr>
              <w:rPr>
                <w:rFonts w:ascii="Arial" w:hAnsi="Arial" w:cs="Arial"/>
                <w:sz w:val="24"/>
                <w:szCs w:val="24"/>
              </w:rPr>
            </w:pPr>
            <w:r w:rsidRPr="0029213D">
              <w:rPr>
                <w:rFonts w:ascii="Arial" w:hAnsi="Arial" w:cs="Arial"/>
                <w:sz w:val="24"/>
                <w:szCs w:val="24"/>
              </w:rPr>
              <w:t>Leasehold improvements</w:t>
            </w:r>
          </w:p>
        </w:tc>
        <w:tc>
          <w:tcPr>
            <w:tcW w:w="986" w:type="dxa"/>
            <w:shd w:val="clear" w:color="auto" w:fill="auto"/>
            <w:noWrap/>
            <w:vAlign w:val="center"/>
            <w:hideMark/>
          </w:tcPr>
          <w:p w14:paraId="1D063FB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59,088 </w:t>
            </w:r>
          </w:p>
        </w:tc>
        <w:tc>
          <w:tcPr>
            <w:tcW w:w="908" w:type="dxa"/>
            <w:shd w:val="clear" w:color="auto" w:fill="auto"/>
            <w:noWrap/>
            <w:vAlign w:val="center"/>
            <w:hideMark/>
          </w:tcPr>
          <w:p w14:paraId="13C831F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15,953 </w:t>
            </w:r>
          </w:p>
        </w:tc>
        <w:tc>
          <w:tcPr>
            <w:tcW w:w="1013" w:type="dxa"/>
            <w:shd w:val="clear" w:color="auto" w:fill="auto"/>
            <w:noWrap/>
            <w:vAlign w:val="center"/>
            <w:hideMark/>
          </w:tcPr>
          <w:p w14:paraId="0231B7B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(17,871)</w:t>
            </w:r>
          </w:p>
        </w:tc>
        <w:tc>
          <w:tcPr>
            <w:tcW w:w="955" w:type="dxa"/>
            <w:shd w:val="clear" w:color="auto" w:fill="auto"/>
            <w:noWrap/>
            <w:vAlign w:val="center"/>
            <w:hideMark/>
          </w:tcPr>
          <w:p w14:paraId="48607E14"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w:t>
            </w:r>
          </w:p>
        </w:tc>
        <w:tc>
          <w:tcPr>
            <w:tcW w:w="986" w:type="dxa"/>
            <w:shd w:val="clear" w:color="auto" w:fill="auto"/>
            <w:noWrap/>
            <w:vAlign w:val="center"/>
            <w:hideMark/>
          </w:tcPr>
          <w:p w14:paraId="38D1A66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41,217 </w:t>
            </w:r>
          </w:p>
        </w:tc>
        <w:tc>
          <w:tcPr>
            <w:tcW w:w="865" w:type="dxa"/>
            <w:shd w:val="clear" w:color="auto" w:fill="auto"/>
            <w:noWrap/>
            <w:vAlign w:val="center"/>
            <w:hideMark/>
          </w:tcPr>
          <w:p w14:paraId="5DE88AF0"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15,953 </w:t>
            </w:r>
          </w:p>
        </w:tc>
      </w:tr>
      <w:tr w:rsidR="003E5BF5" w:rsidRPr="0029213D" w14:paraId="44B71D75" w14:textId="77777777" w:rsidTr="00E70ED8">
        <w:trPr>
          <w:trHeight w:val="340"/>
        </w:trPr>
        <w:tc>
          <w:tcPr>
            <w:tcW w:w="4210" w:type="dxa"/>
            <w:tcBorders>
              <w:bottom w:val="single" w:sz="4" w:space="0" w:color="auto"/>
            </w:tcBorders>
            <w:shd w:val="clear" w:color="auto" w:fill="auto"/>
            <w:vAlign w:val="center"/>
            <w:hideMark/>
          </w:tcPr>
          <w:p w14:paraId="1C2ECF3B" w14:textId="77777777" w:rsidR="003E5BF5" w:rsidRPr="0029213D" w:rsidRDefault="003E5BF5" w:rsidP="00DE1921">
            <w:pPr>
              <w:rPr>
                <w:rFonts w:ascii="Arial" w:hAnsi="Arial" w:cs="Arial"/>
                <w:sz w:val="24"/>
                <w:szCs w:val="24"/>
              </w:rPr>
            </w:pPr>
            <w:r w:rsidRPr="0029213D">
              <w:rPr>
                <w:rFonts w:ascii="Arial" w:hAnsi="Arial" w:cs="Arial"/>
                <w:sz w:val="24"/>
                <w:szCs w:val="24"/>
              </w:rPr>
              <w:t>Assets under construction</w:t>
            </w:r>
          </w:p>
        </w:tc>
        <w:tc>
          <w:tcPr>
            <w:tcW w:w="986" w:type="dxa"/>
            <w:tcBorders>
              <w:bottom w:val="single" w:sz="4" w:space="0" w:color="auto"/>
            </w:tcBorders>
            <w:shd w:val="clear" w:color="auto" w:fill="auto"/>
            <w:noWrap/>
            <w:vAlign w:val="center"/>
            <w:hideMark/>
          </w:tcPr>
          <w:p w14:paraId="4AD0D9C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20,728 </w:t>
            </w:r>
          </w:p>
        </w:tc>
        <w:tc>
          <w:tcPr>
            <w:tcW w:w="908" w:type="dxa"/>
            <w:tcBorders>
              <w:bottom w:val="single" w:sz="4" w:space="0" w:color="auto"/>
            </w:tcBorders>
            <w:shd w:val="clear" w:color="auto" w:fill="auto"/>
            <w:noWrap/>
            <w:vAlign w:val="center"/>
            <w:hideMark/>
          </w:tcPr>
          <w:p w14:paraId="493FB535"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18,784 </w:t>
            </w:r>
          </w:p>
        </w:tc>
        <w:tc>
          <w:tcPr>
            <w:tcW w:w="1013" w:type="dxa"/>
            <w:tcBorders>
              <w:bottom w:val="single" w:sz="4" w:space="0" w:color="auto"/>
            </w:tcBorders>
            <w:shd w:val="clear" w:color="auto" w:fill="auto"/>
            <w:noWrap/>
            <w:vAlign w:val="center"/>
            <w:hideMark/>
          </w:tcPr>
          <w:p w14:paraId="2C178D2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55" w:type="dxa"/>
            <w:tcBorders>
              <w:bottom w:val="single" w:sz="4" w:space="0" w:color="auto"/>
            </w:tcBorders>
            <w:shd w:val="clear" w:color="auto" w:fill="auto"/>
            <w:noWrap/>
            <w:vAlign w:val="center"/>
            <w:hideMark/>
          </w:tcPr>
          <w:p w14:paraId="1E8E8495" w14:textId="77777777" w:rsidR="003E5BF5" w:rsidRPr="0029213D" w:rsidRDefault="003E5BF5" w:rsidP="00DE1921">
            <w:pPr>
              <w:jc w:val="right"/>
              <w:rPr>
                <w:rFonts w:ascii="Arial" w:hAnsi="Arial" w:cs="Arial"/>
                <w:sz w:val="24"/>
                <w:szCs w:val="24"/>
              </w:rPr>
            </w:pPr>
            <w:r w:rsidRPr="0029213D">
              <w:rPr>
                <w:rFonts w:ascii="Arial" w:hAnsi="Arial" w:cs="Arial"/>
                <w:b/>
                <w:sz w:val="24"/>
                <w:szCs w:val="24"/>
              </w:rPr>
              <w:t>-</w:t>
            </w:r>
          </w:p>
        </w:tc>
        <w:tc>
          <w:tcPr>
            <w:tcW w:w="986" w:type="dxa"/>
            <w:tcBorders>
              <w:bottom w:val="single" w:sz="4" w:space="0" w:color="auto"/>
            </w:tcBorders>
            <w:shd w:val="clear" w:color="auto" w:fill="auto"/>
            <w:noWrap/>
            <w:vAlign w:val="center"/>
            <w:hideMark/>
          </w:tcPr>
          <w:p w14:paraId="5C810E2F"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20,728 </w:t>
            </w:r>
          </w:p>
        </w:tc>
        <w:tc>
          <w:tcPr>
            <w:tcW w:w="865" w:type="dxa"/>
            <w:tcBorders>
              <w:bottom w:val="single" w:sz="4" w:space="0" w:color="auto"/>
            </w:tcBorders>
            <w:shd w:val="clear" w:color="auto" w:fill="auto"/>
            <w:noWrap/>
            <w:vAlign w:val="center"/>
            <w:hideMark/>
          </w:tcPr>
          <w:p w14:paraId="5E0A1AE8" w14:textId="77777777" w:rsidR="003E5BF5" w:rsidRPr="0029213D" w:rsidRDefault="003E5BF5" w:rsidP="00DE1921">
            <w:pPr>
              <w:jc w:val="right"/>
              <w:rPr>
                <w:rFonts w:ascii="Arial" w:hAnsi="Arial" w:cs="Arial"/>
                <w:sz w:val="24"/>
                <w:szCs w:val="24"/>
              </w:rPr>
            </w:pPr>
            <w:r w:rsidRPr="0029213D">
              <w:rPr>
                <w:rFonts w:ascii="Arial" w:hAnsi="Arial" w:cs="Arial"/>
                <w:sz w:val="24"/>
                <w:szCs w:val="24"/>
              </w:rPr>
              <w:t xml:space="preserve">18,784 </w:t>
            </w:r>
          </w:p>
        </w:tc>
      </w:tr>
      <w:tr w:rsidR="003E5BF5" w:rsidRPr="0029213D" w14:paraId="6724D7EF" w14:textId="77777777" w:rsidTr="00E70ED8">
        <w:trPr>
          <w:trHeight w:val="340"/>
        </w:trPr>
        <w:tc>
          <w:tcPr>
            <w:tcW w:w="4210" w:type="dxa"/>
            <w:tcBorders>
              <w:bottom w:val="single" w:sz="4" w:space="0" w:color="auto"/>
            </w:tcBorders>
            <w:shd w:val="clear" w:color="auto" w:fill="auto"/>
            <w:noWrap/>
            <w:vAlign w:val="center"/>
            <w:hideMark/>
          </w:tcPr>
          <w:p w14:paraId="3FF1EFEA" w14:textId="77777777" w:rsidR="003E5BF5" w:rsidRPr="0029213D" w:rsidRDefault="003E5BF5" w:rsidP="00DE1921">
            <w:pPr>
              <w:rPr>
                <w:rFonts w:ascii="Arial" w:hAnsi="Arial" w:cs="Arial"/>
                <w:b/>
                <w:sz w:val="24"/>
                <w:szCs w:val="24"/>
              </w:rPr>
            </w:pPr>
            <w:r w:rsidRPr="0029213D">
              <w:rPr>
                <w:rFonts w:ascii="Arial" w:hAnsi="Arial" w:cs="Arial"/>
                <w:b/>
                <w:sz w:val="24"/>
                <w:szCs w:val="24"/>
              </w:rPr>
              <w:t>Net carrying amount</w:t>
            </w:r>
          </w:p>
        </w:tc>
        <w:tc>
          <w:tcPr>
            <w:tcW w:w="986" w:type="dxa"/>
            <w:tcBorders>
              <w:bottom w:val="single" w:sz="4" w:space="0" w:color="auto"/>
            </w:tcBorders>
            <w:shd w:val="clear" w:color="auto" w:fill="auto"/>
            <w:noWrap/>
            <w:vAlign w:val="center"/>
            <w:hideMark/>
          </w:tcPr>
          <w:p w14:paraId="3F8DB8C1"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185,973 </w:t>
            </w:r>
          </w:p>
        </w:tc>
        <w:tc>
          <w:tcPr>
            <w:tcW w:w="908" w:type="dxa"/>
            <w:tcBorders>
              <w:bottom w:val="single" w:sz="4" w:space="0" w:color="auto"/>
            </w:tcBorders>
            <w:shd w:val="clear" w:color="auto" w:fill="auto"/>
            <w:noWrap/>
            <w:vAlign w:val="center"/>
            <w:hideMark/>
          </w:tcPr>
          <w:p w14:paraId="3AF5884C"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38,292 </w:t>
            </w:r>
          </w:p>
        </w:tc>
        <w:tc>
          <w:tcPr>
            <w:tcW w:w="1013" w:type="dxa"/>
            <w:tcBorders>
              <w:bottom w:val="single" w:sz="4" w:space="0" w:color="auto"/>
            </w:tcBorders>
            <w:shd w:val="clear" w:color="auto" w:fill="auto"/>
            <w:noWrap/>
            <w:vAlign w:val="center"/>
            <w:hideMark/>
          </w:tcPr>
          <w:p w14:paraId="787AB0AF"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(36,078)</w:t>
            </w:r>
          </w:p>
        </w:tc>
        <w:tc>
          <w:tcPr>
            <w:tcW w:w="955" w:type="dxa"/>
            <w:tcBorders>
              <w:bottom w:val="single" w:sz="4" w:space="0" w:color="auto"/>
            </w:tcBorders>
            <w:shd w:val="clear" w:color="auto" w:fill="auto"/>
            <w:noWrap/>
            <w:vAlign w:val="center"/>
            <w:hideMark/>
          </w:tcPr>
          <w:p w14:paraId="15D92B0E"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w:t>
            </w:r>
          </w:p>
        </w:tc>
        <w:tc>
          <w:tcPr>
            <w:tcW w:w="986" w:type="dxa"/>
            <w:tcBorders>
              <w:bottom w:val="single" w:sz="4" w:space="0" w:color="auto"/>
            </w:tcBorders>
            <w:shd w:val="clear" w:color="auto" w:fill="auto"/>
            <w:noWrap/>
            <w:vAlign w:val="center"/>
            <w:hideMark/>
          </w:tcPr>
          <w:p w14:paraId="475566C4"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149,895 </w:t>
            </w:r>
          </w:p>
        </w:tc>
        <w:tc>
          <w:tcPr>
            <w:tcW w:w="865" w:type="dxa"/>
            <w:tcBorders>
              <w:bottom w:val="single" w:sz="4" w:space="0" w:color="auto"/>
            </w:tcBorders>
            <w:shd w:val="clear" w:color="auto" w:fill="auto"/>
            <w:noWrap/>
            <w:vAlign w:val="center"/>
            <w:hideMark/>
          </w:tcPr>
          <w:p w14:paraId="32544D43" w14:textId="77777777" w:rsidR="003E5BF5" w:rsidRPr="0029213D" w:rsidRDefault="003E5BF5" w:rsidP="00DE1921">
            <w:pPr>
              <w:jc w:val="right"/>
              <w:rPr>
                <w:rFonts w:ascii="Arial" w:hAnsi="Arial" w:cs="Arial"/>
                <w:b/>
                <w:sz w:val="24"/>
                <w:szCs w:val="24"/>
              </w:rPr>
            </w:pPr>
            <w:r w:rsidRPr="0029213D">
              <w:rPr>
                <w:rFonts w:ascii="Arial" w:hAnsi="Arial" w:cs="Arial"/>
                <w:b/>
                <w:sz w:val="24"/>
                <w:szCs w:val="24"/>
              </w:rPr>
              <w:t xml:space="preserve">38,292 </w:t>
            </w:r>
          </w:p>
        </w:tc>
      </w:tr>
    </w:tbl>
    <w:p w14:paraId="7C8D1207" w14:textId="77777777" w:rsidR="00E70ED8" w:rsidRPr="0029213D" w:rsidRDefault="00E70ED8" w:rsidP="00E70ED8">
      <w:pPr>
        <w:pStyle w:val="Note"/>
        <w:rPr>
          <w:rFonts w:ascii="Arial" w:hAnsi="Arial" w:cs="Arial"/>
          <w:sz w:val="24"/>
          <w:szCs w:val="24"/>
        </w:rPr>
      </w:pPr>
      <w:r w:rsidRPr="0029213D">
        <w:rPr>
          <w:rFonts w:ascii="Arial" w:hAnsi="Arial" w:cs="Arial"/>
          <w:sz w:val="24"/>
          <w:szCs w:val="24"/>
        </w:rPr>
        <w:t>Note:</w:t>
      </w:r>
    </w:p>
    <w:p w14:paraId="4AF983DD" w14:textId="77777777" w:rsidR="00E70ED8" w:rsidRPr="0029213D" w:rsidRDefault="00E70ED8" w:rsidP="00610F5F">
      <w:pPr>
        <w:pStyle w:val="aaaNotenumberiiiiii"/>
        <w:numPr>
          <w:ilvl w:val="0"/>
          <w:numId w:val="85"/>
        </w:numPr>
      </w:pPr>
      <w:r w:rsidRPr="0029213D">
        <w:t xml:space="preserve">AASB 16 </w:t>
      </w:r>
      <w:r w:rsidRPr="00E70ED8">
        <w:rPr>
          <w:i/>
        </w:rPr>
        <w:t>Leases</w:t>
      </w:r>
      <w:r w:rsidRPr="0029213D">
        <w:t xml:space="preserve"> (AASB 16) has been applied for the first time from 1 July 2019, refer to Note 5.1.6.1 for the reconciliation of movements in carrying amount of right-of-use assets.</w:t>
      </w:r>
    </w:p>
    <w:p w14:paraId="06141B72" w14:textId="77777777" w:rsidR="00E70ED8" w:rsidRPr="00B7609C" w:rsidRDefault="00E70ED8" w:rsidP="00DE1921"/>
    <w:p w14:paraId="0FCC98CB" w14:textId="77777777" w:rsidR="003E5BF5" w:rsidRDefault="003E5BF5" w:rsidP="00EF5131">
      <w:pPr>
        <w:pStyle w:val="Heading5"/>
        <w:sectPr w:rsidR="003E5BF5" w:rsidSect="00DE1921">
          <w:headerReference w:type="even" r:id="rId122"/>
          <w:headerReference w:type="default" r:id="rId123"/>
          <w:headerReference w:type="first" r:id="rId124"/>
          <w:type w:val="continuous"/>
          <w:pgSz w:w="11906" w:h="16838"/>
          <w:pgMar w:top="1701" w:right="1418" w:bottom="1418" w:left="1418" w:header="708" w:footer="708" w:gutter="0"/>
          <w:cols w:space="708"/>
          <w:docGrid w:linePitch="360"/>
        </w:sectPr>
      </w:pPr>
    </w:p>
    <w:p w14:paraId="370E63A9" w14:textId="77777777" w:rsidR="003E5BF5" w:rsidRPr="008E2794" w:rsidRDefault="003E5BF5" w:rsidP="00EF5131">
      <w:pPr>
        <w:pStyle w:val="Heading5"/>
      </w:pPr>
      <w:r w:rsidRPr="008E2794">
        <w:t>Initial recognition</w:t>
      </w:r>
    </w:p>
    <w:p w14:paraId="3E1221E9" w14:textId="77777777" w:rsidR="003E5BF5" w:rsidRDefault="003E5BF5" w:rsidP="0079690B">
      <w:pPr>
        <w:pStyle w:val="aaatyping"/>
      </w:pPr>
      <w:r>
        <w:t>The department recognises a right-of-use (</w:t>
      </w:r>
      <w:proofErr w:type="spellStart"/>
      <w:r>
        <w:t>RoU</w:t>
      </w:r>
      <w:proofErr w:type="spellEnd"/>
      <w:r>
        <w:t xml:space="preserve">) asset acquired by lessees under AASB 16 </w:t>
      </w:r>
      <w:r w:rsidRPr="009F317B">
        <w:rPr>
          <w:i/>
          <w:iCs/>
        </w:rPr>
        <w:t>Leases</w:t>
      </w:r>
      <w:r>
        <w:t xml:space="preserve"> from 1 July 2019 </w:t>
      </w:r>
      <w:r w:rsidRPr="00D4146E">
        <w:t>and</w:t>
      </w:r>
      <w:r>
        <w:t xml:space="preserve"> a lease liability at the lease commencement date. The right-of-use asset is initially measured at cost which comprises the initial amount of the lease liability adjusted for:</w:t>
      </w:r>
    </w:p>
    <w:p w14:paraId="58ABC77A" w14:textId="77777777" w:rsidR="003E5BF5" w:rsidRDefault="003E5BF5" w:rsidP="0079690B">
      <w:pPr>
        <w:pStyle w:val="aaabullet"/>
      </w:pPr>
      <w:r>
        <w:t xml:space="preserve">any lease payments made at or before the commencement date; plus </w:t>
      </w:r>
    </w:p>
    <w:p w14:paraId="5110795F" w14:textId="77777777" w:rsidR="003E5BF5" w:rsidRDefault="003E5BF5" w:rsidP="0079690B">
      <w:pPr>
        <w:pStyle w:val="aaabullet"/>
      </w:pPr>
      <w:r>
        <w:t xml:space="preserve">any initial direct costs incurred; and </w:t>
      </w:r>
    </w:p>
    <w:p w14:paraId="000D1A7E" w14:textId="77777777" w:rsidR="003E5BF5" w:rsidRDefault="003E5BF5" w:rsidP="0079690B">
      <w:pPr>
        <w:pStyle w:val="aaabullet"/>
      </w:pPr>
      <w:r>
        <w:t xml:space="preserve">an estimate of costs to dismantle and remove the underlying asset or to restore the underlying asset or the site on which it is located, less any lease incentive received. </w:t>
      </w:r>
    </w:p>
    <w:p w14:paraId="11BDF33F" w14:textId="77777777" w:rsidR="003E5BF5" w:rsidRDefault="003E5BF5" w:rsidP="0079690B">
      <w:pPr>
        <w:pStyle w:val="aaatyping"/>
      </w:pPr>
      <w:r>
        <w:lastRenderedPageBreak/>
        <w:t>The initial cost for non-financial physical assets under a finance lease (under AASB 117 until 30 June 2019) is measured at amounts equal to the fair value of the leased asset or, if lower, the present value of the minimum lease payments, each determined at the inception of the lease.</w:t>
      </w:r>
    </w:p>
    <w:p w14:paraId="3F297674" w14:textId="77777777" w:rsidR="003E5BF5" w:rsidRPr="008E2794" w:rsidRDefault="003E5BF5" w:rsidP="00EF5131">
      <w:pPr>
        <w:pStyle w:val="Heading5"/>
      </w:pPr>
      <w:r w:rsidRPr="008E2794">
        <w:t>Subsequent measurement</w:t>
      </w:r>
    </w:p>
    <w:p w14:paraId="34B21AF9" w14:textId="77777777" w:rsidR="003E5BF5" w:rsidRDefault="003E5BF5" w:rsidP="0079690B">
      <w:pPr>
        <w:pStyle w:val="aaatyping"/>
        <w:rPr>
          <w:lang w:eastAsia="en-AU"/>
        </w:rPr>
      </w:pPr>
      <w:r>
        <w:rPr>
          <w:lang w:eastAsia="en-AU"/>
        </w:rPr>
        <w:t xml:space="preserve">The department depreciates the </w:t>
      </w:r>
      <w:proofErr w:type="spellStart"/>
      <w:r>
        <w:rPr>
          <w:lang w:eastAsia="en-AU"/>
        </w:rPr>
        <w:t>RoU</w:t>
      </w:r>
      <w:proofErr w:type="spellEnd"/>
      <w:r>
        <w:rPr>
          <w:lang w:eastAsia="en-AU"/>
        </w:rPr>
        <w:t xml:space="preserve"> assets on a straight-line basis from the lease commencement date to the earlier of the end of the useful life of the </w:t>
      </w:r>
      <w:proofErr w:type="spellStart"/>
      <w:r>
        <w:rPr>
          <w:lang w:eastAsia="en-AU"/>
        </w:rPr>
        <w:t>RoU</w:t>
      </w:r>
      <w:proofErr w:type="spellEnd"/>
      <w:r>
        <w:rPr>
          <w:lang w:eastAsia="en-AU"/>
        </w:rPr>
        <w:t xml:space="preserve"> asset or the end of the lease term. </w:t>
      </w:r>
    </w:p>
    <w:p w14:paraId="2FC19A20" w14:textId="77777777" w:rsidR="003E5BF5" w:rsidRDefault="003E5BF5" w:rsidP="0079690B">
      <w:pPr>
        <w:pStyle w:val="aaatyping"/>
        <w:rPr>
          <w:lang w:eastAsia="en-AU"/>
        </w:rPr>
      </w:pPr>
      <w:r>
        <w:rPr>
          <w:lang w:eastAsia="en-AU"/>
        </w:rPr>
        <w:t xml:space="preserve">In addition, the </w:t>
      </w:r>
      <w:proofErr w:type="spellStart"/>
      <w:r>
        <w:rPr>
          <w:lang w:eastAsia="en-AU"/>
        </w:rPr>
        <w:t>RoU</w:t>
      </w:r>
      <w:proofErr w:type="spellEnd"/>
      <w:r>
        <w:rPr>
          <w:lang w:eastAsia="en-AU"/>
        </w:rPr>
        <w:t xml:space="preserve"> is periodically reduced by impairment losses, if any and adjusted for certain remeasurements of the lease liability.</w:t>
      </w:r>
    </w:p>
    <w:p w14:paraId="31428508" w14:textId="77777777" w:rsidR="003E5BF5" w:rsidRDefault="003E5BF5" w:rsidP="00DE1921">
      <w:pPr>
        <w:rPr>
          <w:lang w:eastAsia="en-AU"/>
        </w:rPr>
        <w:sectPr w:rsidR="003E5BF5" w:rsidSect="00DE1921">
          <w:type w:val="continuous"/>
          <w:pgSz w:w="11906" w:h="16838"/>
          <w:pgMar w:top="1701" w:right="1418" w:bottom="1418" w:left="1418" w:header="708" w:footer="708" w:gutter="0"/>
          <w:cols w:space="708"/>
          <w:docGrid w:linePitch="360"/>
        </w:sectPr>
      </w:pPr>
    </w:p>
    <w:p w14:paraId="5FF661B7" w14:textId="77777777" w:rsidR="003E5BF5" w:rsidRPr="00551ACA" w:rsidRDefault="003E5BF5" w:rsidP="00DE1921">
      <w:pPr>
        <w:rPr>
          <w:lang w:eastAsia="en-AU"/>
        </w:rPr>
      </w:pPr>
      <w:r>
        <w:rPr>
          <w:lang w:eastAsia="en-AU"/>
        </w:rPr>
        <w:br w:type="page"/>
      </w:r>
      <w:bookmarkStart w:id="296" w:name="RANGE!A15:D28"/>
      <w:bookmarkEnd w:id="296"/>
    </w:p>
    <w:p w14:paraId="0A0F9335" w14:textId="77777777" w:rsidR="003E5BF5" w:rsidRPr="00402546" w:rsidRDefault="003E5BF5" w:rsidP="006667CC">
      <w:pPr>
        <w:pStyle w:val="Heading3"/>
        <w:numPr>
          <w:ilvl w:val="2"/>
          <w:numId w:val="3"/>
        </w:numPr>
        <w:ind w:left="851" w:hanging="851"/>
      </w:pPr>
      <w:r>
        <w:lastRenderedPageBreak/>
        <w:t>Service</w:t>
      </w:r>
      <w:r w:rsidRPr="00252647">
        <w:t xml:space="preserve"> concession assets</w:t>
      </w:r>
      <w:bookmarkStart w:id="297" w:name="RANGE!A20:D34"/>
      <w:bookmarkStart w:id="298" w:name="RANGE!A3:F13"/>
      <w:bookmarkEnd w:id="297"/>
      <w:bookmarkEnd w:id="298"/>
    </w:p>
    <w:tbl>
      <w:tblPr>
        <w:tblStyle w:val="TableGrid"/>
        <w:tblW w:w="9923" w:type="dxa"/>
        <w:tblCellMar>
          <w:left w:w="28" w:type="dxa"/>
          <w:right w:w="28" w:type="dxa"/>
        </w:tblCellMar>
        <w:tblLook w:val="04A0" w:firstRow="1" w:lastRow="0" w:firstColumn="1" w:lastColumn="0" w:noHBand="0" w:noVBand="1"/>
      </w:tblPr>
      <w:tblGrid>
        <w:gridCol w:w="3081"/>
        <w:gridCol w:w="1302"/>
        <w:gridCol w:w="1163"/>
        <w:gridCol w:w="956"/>
        <w:gridCol w:w="956"/>
        <w:gridCol w:w="1302"/>
        <w:gridCol w:w="1163"/>
      </w:tblGrid>
      <w:tr w:rsidR="003E5BF5" w:rsidRPr="002F619C" w14:paraId="76DB472F" w14:textId="77777777" w:rsidTr="00E70ED8">
        <w:trPr>
          <w:trHeight w:val="340"/>
        </w:trPr>
        <w:tc>
          <w:tcPr>
            <w:tcW w:w="3081" w:type="dxa"/>
            <w:shd w:val="clear" w:color="auto" w:fill="auto"/>
            <w:noWrap/>
            <w:hideMark/>
          </w:tcPr>
          <w:p w14:paraId="128F170C" w14:textId="77777777" w:rsidR="003E5BF5" w:rsidRPr="002F619C" w:rsidRDefault="003E5BF5" w:rsidP="00DE1921">
            <w:pPr>
              <w:rPr>
                <w:rFonts w:ascii="Arial" w:hAnsi="Arial" w:cs="Arial"/>
                <w:sz w:val="24"/>
                <w:szCs w:val="24"/>
              </w:rPr>
            </w:pPr>
            <w:bookmarkStart w:id="299" w:name="_Hlk50381441"/>
          </w:p>
        </w:tc>
        <w:tc>
          <w:tcPr>
            <w:tcW w:w="6842" w:type="dxa"/>
            <w:gridSpan w:val="6"/>
            <w:shd w:val="clear" w:color="auto" w:fill="auto"/>
            <w:vAlign w:val="center"/>
            <w:hideMark/>
          </w:tcPr>
          <w:p w14:paraId="1673E315" w14:textId="77777777" w:rsidR="003E5BF5" w:rsidRPr="002F619C" w:rsidRDefault="003E5BF5" w:rsidP="00DE1921">
            <w:pPr>
              <w:jc w:val="center"/>
              <w:rPr>
                <w:rFonts w:ascii="Arial" w:hAnsi="Arial" w:cs="Arial"/>
                <w:b/>
                <w:sz w:val="24"/>
                <w:szCs w:val="24"/>
              </w:rPr>
            </w:pPr>
            <w:r w:rsidRPr="002F619C">
              <w:rPr>
                <w:rFonts w:ascii="Arial" w:hAnsi="Arial" w:cs="Arial"/>
                <w:b/>
                <w:sz w:val="24"/>
                <w:szCs w:val="24"/>
              </w:rPr>
              <w:t>($ thousand)</w:t>
            </w:r>
          </w:p>
        </w:tc>
      </w:tr>
      <w:tr w:rsidR="003E5BF5" w:rsidRPr="002F619C" w14:paraId="1E562857" w14:textId="77777777" w:rsidTr="00E70ED8">
        <w:trPr>
          <w:trHeight w:val="340"/>
        </w:trPr>
        <w:tc>
          <w:tcPr>
            <w:tcW w:w="3081" w:type="dxa"/>
            <w:shd w:val="clear" w:color="auto" w:fill="auto"/>
            <w:noWrap/>
            <w:hideMark/>
          </w:tcPr>
          <w:p w14:paraId="5546DCDF" w14:textId="77777777" w:rsidR="003E5BF5" w:rsidRPr="002F619C" w:rsidRDefault="003E5BF5" w:rsidP="00DE1921">
            <w:pPr>
              <w:rPr>
                <w:rFonts w:ascii="Arial" w:hAnsi="Arial" w:cs="Arial"/>
                <w:sz w:val="24"/>
                <w:szCs w:val="24"/>
              </w:rPr>
            </w:pPr>
          </w:p>
        </w:tc>
        <w:tc>
          <w:tcPr>
            <w:tcW w:w="2465" w:type="dxa"/>
            <w:gridSpan w:val="2"/>
            <w:shd w:val="clear" w:color="auto" w:fill="auto"/>
            <w:vAlign w:val="bottom"/>
            <w:hideMark/>
          </w:tcPr>
          <w:p w14:paraId="1A942829" w14:textId="77777777" w:rsidR="003E5BF5" w:rsidRPr="002F619C" w:rsidRDefault="003E5BF5" w:rsidP="00DE1921">
            <w:pPr>
              <w:jc w:val="center"/>
              <w:rPr>
                <w:rFonts w:ascii="Arial" w:hAnsi="Arial" w:cs="Arial"/>
                <w:b/>
                <w:sz w:val="24"/>
                <w:szCs w:val="24"/>
              </w:rPr>
            </w:pPr>
            <w:r w:rsidRPr="002F619C">
              <w:rPr>
                <w:rFonts w:ascii="Arial" w:hAnsi="Arial" w:cs="Arial"/>
                <w:b/>
                <w:sz w:val="24"/>
                <w:szCs w:val="24"/>
              </w:rPr>
              <w:t>Gross carrying amount</w:t>
            </w:r>
          </w:p>
        </w:tc>
        <w:tc>
          <w:tcPr>
            <w:tcW w:w="1912" w:type="dxa"/>
            <w:gridSpan w:val="2"/>
            <w:shd w:val="clear" w:color="auto" w:fill="auto"/>
            <w:vAlign w:val="bottom"/>
            <w:hideMark/>
          </w:tcPr>
          <w:p w14:paraId="40D57BDF" w14:textId="77777777" w:rsidR="003E5BF5" w:rsidRPr="002F619C" w:rsidRDefault="003E5BF5" w:rsidP="00DE1921">
            <w:pPr>
              <w:jc w:val="center"/>
              <w:rPr>
                <w:rFonts w:ascii="Arial" w:hAnsi="Arial" w:cs="Arial"/>
                <w:b/>
                <w:sz w:val="24"/>
                <w:szCs w:val="24"/>
              </w:rPr>
            </w:pPr>
            <w:r w:rsidRPr="002F619C">
              <w:rPr>
                <w:rFonts w:ascii="Arial" w:hAnsi="Arial" w:cs="Arial"/>
                <w:b/>
                <w:sz w:val="24"/>
                <w:szCs w:val="24"/>
              </w:rPr>
              <w:t>Accumulated depreciation</w:t>
            </w:r>
          </w:p>
        </w:tc>
        <w:tc>
          <w:tcPr>
            <w:tcW w:w="2465" w:type="dxa"/>
            <w:gridSpan w:val="2"/>
            <w:shd w:val="clear" w:color="auto" w:fill="auto"/>
            <w:vAlign w:val="bottom"/>
            <w:hideMark/>
          </w:tcPr>
          <w:p w14:paraId="58FDDEB8" w14:textId="77777777" w:rsidR="003E5BF5" w:rsidRPr="002F619C" w:rsidRDefault="003E5BF5" w:rsidP="00DE1921">
            <w:pPr>
              <w:jc w:val="center"/>
              <w:rPr>
                <w:rFonts w:ascii="Arial" w:hAnsi="Arial" w:cs="Arial"/>
                <w:b/>
                <w:sz w:val="24"/>
                <w:szCs w:val="24"/>
              </w:rPr>
            </w:pPr>
            <w:r w:rsidRPr="002F619C">
              <w:rPr>
                <w:rFonts w:ascii="Arial" w:hAnsi="Arial" w:cs="Arial"/>
                <w:b/>
                <w:sz w:val="24"/>
                <w:szCs w:val="24"/>
              </w:rPr>
              <w:t xml:space="preserve">Net carrying amount </w:t>
            </w:r>
            <w:r w:rsidRPr="002F619C">
              <w:rPr>
                <w:rFonts w:ascii="Arial" w:hAnsi="Arial" w:cs="Arial"/>
                <w:b/>
                <w:sz w:val="24"/>
                <w:szCs w:val="24"/>
                <w:vertAlign w:val="superscript"/>
              </w:rPr>
              <w:t>(</w:t>
            </w:r>
            <w:proofErr w:type="spellStart"/>
            <w:r w:rsidRPr="002F619C">
              <w:rPr>
                <w:rFonts w:ascii="Arial" w:hAnsi="Arial" w:cs="Arial"/>
                <w:b/>
                <w:sz w:val="24"/>
                <w:szCs w:val="24"/>
                <w:vertAlign w:val="superscript"/>
              </w:rPr>
              <w:t>i</w:t>
            </w:r>
            <w:proofErr w:type="spellEnd"/>
            <w:r w:rsidRPr="002F619C">
              <w:rPr>
                <w:rFonts w:ascii="Arial" w:hAnsi="Arial" w:cs="Arial"/>
                <w:b/>
                <w:sz w:val="24"/>
                <w:szCs w:val="24"/>
                <w:vertAlign w:val="superscript"/>
              </w:rPr>
              <w:t>)(ii)</w:t>
            </w:r>
          </w:p>
        </w:tc>
      </w:tr>
      <w:tr w:rsidR="003E5BF5" w:rsidRPr="002F619C" w14:paraId="52A6980E" w14:textId="77777777" w:rsidTr="00E70ED8">
        <w:trPr>
          <w:trHeight w:val="340"/>
        </w:trPr>
        <w:tc>
          <w:tcPr>
            <w:tcW w:w="3081" w:type="dxa"/>
            <w:shd w:val="clear" w:color="auto" w:fill="auto"/>
            <w:noWrap/>
            <w:hideMark/>
          </w:tcPr>
          <w:p w14:paraId="6A564FDE" w14:textId="77777777" w:rsidR="003E5BF5" w:rsidRPr="002F619C" w:rsidRDefault="003E5BF5" w:rsidP="00DE1921">
            <w:pPr>
              <w:rPr>
                <w:rFonts w:ascii="Arial" w:hAnsi="Arial" w:cs="Arial"/>
                <w:sz w:val="24"/>
                <w:szCs w:val="24"/>
              </w:rPr>
            </w:pPr>
            <w:r w:rsidRPr="002F619C">
              <w:rPr>
                <w:rFonts w:ascii="Arial" w:hAnsi="Arial" w:cs="Arial"/>
                <w:sz w:val="24"/>
                <w:szCs w:val="24"/>
              </w:rPr>
              <w:t> </w:t>
            </w:r>
          </w:p>
        </w:tc>
        <w:tc>
          <w:tcPr>
            <w:tcW w:w="1302" w:type="dxa"/>
            <w:shd w:val="clear" w:color="auto" w:fill="auto"/>
            <w:noWrap/>
            <w:vAlign w:val="center"/>
            <w:hideMark/>
          </w:tcPr>
          <w:p w14:paraId="0C42F5AE" w14:textId="77777777" w:rsidR="003E5BF5" w:rsidRPr="002F619C" w:rsidRDefault="003E5BF5" w:rsidP="00DE1921">
            <w:pPr>
              <w:jc w:val="right"/>
              <w:rPr>
                <w:rFonts w:ascii="Arial" w:hAnsi="Arial" w:cs="Arial"/>
                <w:b/>
                <w:sz w:val="24"/>
                <w:szCs w:val="24"/>
              </w:rPr>
            </w:pPr>
            <w:r w:rsidRPr="002F619C">
              <w:rPr>
                <w:rFonts w:ascii="Arial" w:hAnsi="Arial" w:cs="Arial"/>
                <w:b/>
                <w:sz w:val="24"/>
                <w:szCs w:val="24"/>
              </w:rPr>
              <w:t>2020</w:t>
            </w:r>
          </w:p>
        </w:tc>
        <w:tc>
          <w:tcPr>
            <w:tcW w:w="1163" w:type="dxa"/>
            <w:shd w:val="clear" w:color="auto" w:fill="auto"/>
            <w:noWrap/>
            <w:vAlign w:val="center"/>
            <w:hideMark/>
          </w:tcPr>
          <w:p w14:paraId="7FD7DB9D" w14:textId="77777777" w:rsidR="003E5BF5" w:rsidRPr="002F619C" w:rsidRDefault="003E5BF5" w:rsidP="00DE1921">
            <w:pPr>
              <w:jc w:val="right"/>
              <w:rPr>
                <w:rFonts w:ascii="Arial" w:hAnsi="Arial" w:cs="Arial"/>
                <w:b/>
                <w:sz w:val="24"/>
                <w:szCs w:val="24"/>
              </w:rPr>
            </w:pPr>
            <w:r w:rsidRPr="002F619C">
              <w:rPr>
                <w:rFonts w:ascii="Arial" w:hAnsi="Arial" w:cs="Arial"/>
                <w:b/>
                <w:sz w:val="24"/>
                <w:szCs w:val="24"/>
              </w:rPr>
              <w:t>2019</w:t>
            </w:r>
          </w:p>
        </w:tc>
        <w:tc>
          <w:tcPr>
            <w:tcW w:w="956" w:type="dxa"/>
            <w:shd w:val="clear" w:color="auto" w:fill="auto"/>
            <w:noWrap/>
            <w:vAlign w:val="center"/>
            <w:hideMark/>
          </w:tcPr>
          <w:p w14:paraId="17111A36" w14:textId="77777777" w:rsidR="003E5BF5" w:rsidRPr="002F619C" w:rsidRDefault="003E5BF5" w:rsidP="00DE1921">
            <w:pPr>
              <w:jc w:val="right"/>
              <w:rPr>
                <w:rFonts w:ascii="Arial" w:hAnsi="Arial" w:cs="Arial"/>
                <w:b/>
                <w:sz w:val="24"/>
                <w:szCs w:val="24"/>
              </w:rPr>
            </w:pPr>
            <w:r w:rsidRPr="002F619C">
              <w:rPr>
                <w:rFonts w:ascii="Arial" w:hAnsi="Arial" w:cs="Arial"/>
                <w:b/>
                <w:sz w:val="24"/>
                <w:szCs w:val="24"/>
              </w:rPr>
              <w:t>2020</w:t>
            </w:r>
          </w:p>
        </w:tc>
        <w:tc>
          <w:tcPr>
            <w:tcW w:w="956" w:type="dxa"/>
            <w:shd w:val="clear" w:color="auto" w:fill="auto"/>
            <w:noWrap/>
            <w:vAlign w:val="center"/>
            <w:hideMark/>
          </w:tcPr>
          <w:p w14:paraId="06274CFB" w14:textId="77777777" w:rsidR="003E5BF5" w:rsidRPr="002F619C" w:rsidRDefault="003E5BF5" w:rsidP="00DE1921">
            <w:pPr>
              <w:jc w:val="right"/>
              <w:rPr>
                <w:rFonts w:ascii="Arial" w:hAnsi="Arial" w:cs="Arial"/>
                <w:b/>
                <w:sz w:val="24"/>
                <w:szCs w:val="24"/>
              </w:rPr>
            </w:pPr>
            <w:r w:rsidRPr="002F619C">
              <w:rPr>
                <w:rFonts w:ascii="Arial" w:hAnsi="Arial" w:cs="Arial"/>
                <w:b/>
                <w:sz w:val="24"/>
                <w:szCs w:val="24"/>
              </w:rPr>
              <w:t>2019</w:t>
            </w:r>
          </w:p>
        </w:tc>
        <w:tc>
          <w:tcPr>
            <w:tcW w:w="1302" w:type="dxa"/>
            <w:shd w:val="clear" w:color="auto" w:fill="auto"/>
            <w:noWrap/>
            <w:vAlign w:val="center"/>
            <w:hideMark/>
          </w:tcPr>
          <w:p w14:paraId="2CC0F7FA" w14:textId="77777777" w:rsidR="003E5BF5" w:rsidRPr="002F619C" w:rsidRDefault="003E5BF5" w:rsidP="00DE1921">
            <w:pPr>
              <w:jc w:val="right"/>
              <w:rPr>
                <w:rFonts w:ascii="Arial" w:hAnsi="Arial" w:cs="Arial"/>
                <w:b/>
                <w:sz w:val="24"/>
                <w:szCs w:val="24"/>
              </w:rPr>
            </w:pPr>
            <w:r w:rsidRPr="002F619C">
              <w:rPr>
                <w:rFonts w:ascii="Arial" w:hAnsi="Arial" w:cs="Arial"/>
                <w:b/>
                <w:sz w:val="24"/>
                <w:szCs w:val="24"/>
              </w:rPr>
              <w:t>2020</w:t>
            </w:r>
          </w:p>
        </w:tc>
        <w:tc>
          <w:tcPr>
            <w:tcW w:w="1163" w:type="dxa"/>
            <w:shd w:val="clear" w:color="auto" w:fill="auto"/>
            <w:noWrap/>
            <w:vAlign w:val="center"/>
            <w:hideMark/>
          </w:tcPr>
          <w:p w14:paraId="01F5ED8B" w14:textId="77777777" w:rsidR="003E5BF5" w:rsidRPr="002F619C" w:rsidRDefault="003E5BF5" w:rsidP="00DE1921">
            <w:pPr>
              <w:jc w:val="right"/>
              <w:rPr>
                <w:rFonts w:ascii="Arial" w:hAnsi="Arial" w:cs="Arial"/>
                <w:b/>
                <w:sz w:val="24"/>
                <w:szCs w:val="24"/>
              </w:rPr>
            </w:pPr>
            <w:r w:rsidRPr="002F619C">
              <w:rPr>
                <w:rFonts w:ascii="Arial" w:hAnsi="Arial" w:cs="Arial"/>
                <w:b/>
                <w:sz w:val="24"/>
                <w:szCs w:val="24"/>
              </w:rPr>
              <w:t>2019</w:t>
            </w:r>
          </w:p>
        </w:tc>
      </w:tr>
      <w:tr w:rsidR="003E5BF5" w:rsidRPr="002F619C" w14:paraId="683906B3" w14:textId="77777777" w:rsidTr="00E70ED8">
        <w:trPr>
          <w:trHeight w:val="340"/>
        </w:trPr>
        <w:tc>
          <w:tcPr>
            <w:tcW w:w="3081" w:type="dxa"/>
            <w:shd w:val="clear" w:color="auto" w:fill="auto"/>
            <w:noWrap/>
            <w:vAlign w:val="center"/>
            <w:hideMark/>
          </w:tcPr>
          <w:p w14:paraId="5C243185" w14:textId="77777777" w:rsidR="003E5BF5" w:rsidRPr="002F619C" w:rsidRDefault="003E5BF5" w:rsidP="00DE1921">
            <w:pPr>
              <w:rPr>
                <w:rFonts w:ascii="Arial" w:hAnsi="Arial" w:cs="Arial"/>
                <w:sz w:val="24"/>
                <w:szCs w:val="24"/>
              </w:rPr>
            </w:pPr>
            <w:r w:rsidRPr="002F619C">
              <w:rPr>
                <w:rFonts w:ascii="Arial" w:hAnsi="Arial" w:cs="Arial"/>
                <w:sz w:val="24"/>
                <w:szCs w:val="24"/>
              </w:rPr>
              <w:t>Other land at fair value</w:t>
            </w:r>
          </w:p>
        </w:tc>
        <w:tc>
          <w:tcPr>
            <w:tcW w:w="1302" w:type="dxa"/>
            <w:shd w:val="clear" w:color="auto" w:fill="auto"/>
            <w:noWrap/>
            <w:vAlign w:val="center"/>
            <w:hideMark/>
          </w:tcPr>
          <w:p w14:paraId="738CA364"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2,080,460 </w:t>
            </w:r>
          </w:p>
        </w:tc>
        <w:tc>
          <w:tcPr>
            <w:tcW w:w="1163" w:type="dxa"/>
            <w:shd w:val="clear" w:color="auto" w:fill="auto"/>
            <w:noWrap/>
            <w:vAlign w:val="center"/>
            <w:hideMark/>
          </w:tcPr>
          <w:p w14:paraId="756518A1"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956" w:type="dxa"/>
            <w:shd w:val="clear" w:color="auto" w:fill="auto"/>
            <w:noWrap/>
            <w:vAlign w:val="center"/>
            <w:hideMark/>
          </w:tcPr>
          <w:p w14:paraId="426EC882"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956" w:type="dxa"/>
            <w:shd w:val="clear" w:color="auto" w:fill="auto"/>
            <w:noWrap/>
            <w:vAlign w:val="center"/>
            <w:hideMark/>
          </w:tcPr>
          <w:p w14:paraId="2F0EEBFC"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1302" w:type="dxa"/>
            <w:shd w:val="clear" w:color="auto" w:fill="auto"/>
            <w:noWrap/>
            <w:vAlign w:val="center"/>
            <w:hideMark/>
          </w:tcPr>
          <w:p w14:paraId="6A7FE455"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2,080,460 </w:t>
            </w:r>
          </w:p>
        </w:tc>
        <w:tc>
          <w:tcPr>
            <w:tcW w:w="1163" w:type="dxa"/>
            <w:shd w:val="clear" w:color="auto" w:fill="auto"/>
            <w:noWrap/>
            <w:vAlign w:val="center"/>
            <w:hideMark/>
          </w:tcPr>
          <w:p w14:paraId="47677D26"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r>
      <w:tr w:rsidR="003E5BF5" w:rsidRPr="002F619C" w14:paraId="10E5B349" w14:textId="77777777" w:rsidTr="00E70ED8">
        <w:trPr>
          <w:trHeight w:val="340"/>
        </w:trPr>
        <w:tc>
          <w:tcPr>
            <w:tcW w:w="3081" w:type="dxa"/>
            <w:shd w:val="clear" w:color="auto" w:fill="auto"/>
            <w:noWrap/>
            <w:vAlign w:val="center"/>
            <w:hideMark/>
          </w:tcPr>
          <w:p w14:paraId="6EC2F071" w14:textId="77777777" w:rsidR="003E5BF5" w:rsidRPr="002F619C" w:rsidRDefault="003E5BF5" w:rsidP="00DE1921">
            <w:pPr>
              <w:rPr>
                <w:rFonts w:ascii="Arial" w:hAnsi="Arial" w:cs="Arial"/>
                <w:sz w:val="24"/>
                <w:szCs w:val="24"/>
              </w:rPr>
            </w:pPr>
            <w:r w:rsidRPr="002F619C">
              <w:rPr>
                <w:rFonts w:ascii="Arial" w:hAnsi="Arial" w:cs="Arial"/>
                <w:sz w:val="24"/>
                <w:szCs w:val="24"/>
              </w:rPr>
              <w:t>Roads and bridges at fair value</w:t>
            </w:r>
          </w:p>
        </w:tc>
        <w:tc>
          <w:tcPr>
            <w:tcW w:w="1302" w:type="dxa"/>
            <w:shd w:val="clear" w:color="auto" w:fill="auto"/>
            <w:noWrap/>
            <w:vAlign w:val="center"/>
            <w:hideMark/>
          </w:tcPr>
          <w:p w14:paraId="478F2313"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4,819,148 </w:t>
            </w:r>
          </w:p>
        </w:tc>
        <w:tc>
          <w:tcPr>
            <w:tcW w:w="1163" w:type="dxa"/>
            <w:shd w:val="clear" w:color="auto" w:fill="auto"/>
            <w:noWrap/>
            <w:vAlign w:val="center"/>
            <w:hideMark/>
          </w:tcPr>
          <w:p w14:paraId="59416BD7"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956" w:type="dxa"/>
            <w:shd w:val="clear" w:color="auto" w:fill="auto"/>
            <w:noWrap/>
            <w:vAlign w:val="center"/>
            <w:hideMark/>
          </w:tcPr>
          <w:p w14:paraId="3DD2EC13"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956" w:type="dxa"/>
            <w:shd w:val="clear" w:color="auto" w:fill="auto"/>
            <w:noWrap/>
            <w:vAlign w:val="center"/>
            <w:hideMark/>
          </w:tcPr>
          <w:p w14:paraId="5FB76DFE"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1302" w:type="dxa"/>
            <w:shd w:val="clear" w:color="auto" w:fill="auto"/>
            <w:noWrap/>
            <w:vAlign w:val="center"/>
            <w:hideMark/>
          </w:tcPr>
          <w:p w14:paraId="1B0381FE"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4,819,148 </w:t>
            </w:r>
          </w:p>
        </w:tc>
        <w:tc>
          <w:tcPr>
            <w:tcW w:w="1163" w:type="dxa"/>
            <w:shd w:val="clear" w:color="auto" w:fill="auto"/>
            <w:noWrap/>
            <w:vAlign w:val="center"/>
            <w:hideMark/>
          </w:tcPr>
          <w:p w14:paraId="709EA325"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r>
      <w:tr w:rsidR="003E5BF5" w:rsidRPr="002F619C" w14:paraId="24DDC6FD" w14:textId="77777777" w:rsidTr="00E70ED8">
        <w:trPr>
          <w:trHeight w:val="340"/>
        </w:trPr>
        <w:tc>
          <w:tcPr>
            <w:tcW w:w="3081" w:type="dxa"/>
            <w:shd w:val="clear" w:color="auto" w:fill="auto"/>
            <w:noWrap/>
            <w:vAlign w:val="center"/>
            <w:hideMark/>
          </w:tcPr>
          <w:p w14:paraId="571BC046" w14:textId="77777777" w:rsidR="003E5BF5" w:rsidRPr="002F619C" w:rsidRDefault="003E5BF5" w:rsidP="00DE1921">
            <w:pPr>
              <w:rPr>
                <w:rFonts w:ascii="Arial" w:hAnsi="Arial" w:cs="Arial"/>
                <w:sz w:val="24"/>
                <w:szCs w:val="24"/>
              </w:rPr>
            </w:pPr>
            <w:r w:rsidRPr="002F619C">
              <w:rPr>
                <w:rFonts w:ascii="Arial" w:hAnsi="Arial" w:cs="Arial"/>
                <w:sz w:val="24"/>
                <w:szCs w:val="24"/>
              </w:rPr>
              <w:t>Earthworks at fair value</w:t>
            </w:r>
          </w:p>
        </w:tc>
        <w:tc>
          <w:tcPr>
            <w:tcW w:w="1302" w:type="dxa"/>
            <w:shd w:val="clear" w:color="auto" w:fill="auto"/>
            <w:noWrap/>
            <w:vAlign w:val="center"/>
            <w:hideMark/>
          </w:tcPr>
          <w:p w14:paraId="5EAC2594"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733,880 </w:t>
            </w:r>
          </w:p>
        </w:tc>
        <w:tc>
          <w:tcPr>
            <w:tcW w:w="1163" w:type="dxa"/>
            <w:shd w:val="clear" w:color="auto" w:fill="auto"/>
            <w:noWrap/>
            <w:vAlign w:val="center"/>
            <w:hideMark/>
          </w:tcPr>
          <w:p w14:paraId="0D2A8B0A"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956" w:type="dxa"/>
            <w:shd w:val="clear" w:color="auto" w:fill="auto"/>
            <w:noWrap/>
            <w:vAlign w:val="center"/>
            <w:hideMark/>
          </w:tcPr>
          <w:p w14:paraId="3424C42B"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956" w:type="dxa"/>
            <w:shd w:val="clear" w:color="auto" w:fill="auto"/>
            <w:noWrap/>
            <w:vAlign w:val="center"/>
            <w:hideMark/>
          </w:tcPr>
          <w:p w14:paraId="01866EAE"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1302" w:type="dxa"/>
            <w:shd w:val="clear" w:color="auto" w:fill="auto"/>
            <w:noWrap/>
            <w:vAlign w:val="center"/>
            <w:hideMark/>
          </w:tcPr>
          <w:p w14:paraId="1D50C083"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733,880 </w:t>
            </w:r>
          </w:p>
        </w:tc>
        <w:tc>
          <w:tcPr>
            <w:tcW w:w="1163" w:type="dxa"/>
            <w:shd w:val="clear" w:color="auto" w:fill="auto"/>
            <w:noWrap/>
            <w:vAlign w:val="center"/>
            <w:hideMark/>
          </w:tcPr>
          <w:p w14:paraId="3DF61704"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r>
      <w:tr w:rsidR="003E5BF5" w:rsidRPr="002F619C" w14:paraId="2C2E7091" w14:textId="77777777" w:rsidTr="00E70ED8">
        <w:trPr>
          <w:trHeight w:val="340"/>
        </w:trPr>
        <w:tc>
          <w:tcPr>
            <w:tcW w:w="3081" w:type="dxa"/>
            <w:shd w:val="clear" w:color="auto" w:fill="auto"/>
            <w:noWrap/>
            <w:vAlign w:val="center"/>
            <w:hideMark/>
          </w:tcPr>
          <w:p w14:paraId="6B27A17D" w14:textId="77777777" w:rsidR="003E5BF5" w:rsidRPr="002F619C" w:rsidRDefault="003E5BF5" w:rsidP="00DE1921">
            <w:pPr>
              <w:rPr>
                <w:rFonts w:ascii="Arial" w:hAnsi="Arial" w:cs="Arial"/>
                <w:sz w:val="24"/>
                <w:szCs w:val="24"/>
              </w:rPr>
            </w:pPr>
            <w:r w:rsidRPr="002F619C">
              <w:rPr>
                <w:rFonts w:ascii="Arial" w:hAnsi="Arial" w:cs="Arial"/>
                <w:sz w:val="24"/>
                <w:szCs w:val="24"/>
              </w:rPr>
              <w:t>Other infrastructure at fair value</w:t>
            </w:r>
          </w:p>
        </w:tc>
        <w:tc>
          <w:tcPr>
            <w:tcW w:w="1302" w:type="dxa"/>
            <w:shd w:val="clear" w:color="auto" w:fill="auto"/>
            <w:noWrap/>
            <w:vAlign w:val="center"/>
            <w:hideMark/>
          </w:tcPr>
          <w:p w14:paraId="6A6B207C"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1,508,290 </w:t>
            </w:r>
          </w:p>
        </w:tc>
        <w:tc>
          <w:tcPr>
            <w:tcW w:w="1163" w:type="dxa"/>
            <w:shd w:val="clear" w:color="auto" w:fill="auto"/>
            <w:noWrap/>
            <w:vAlign w:val="center"/>
            <w:hideMark/>
          </w:tcPr>
          <w:p w14:paraId="2ACA1A6D"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956" w:type="dxa"/>
            <w:shd w:val="clear" w:color="auto" w:fill="auto"/>
            <w:noWrap/>
            <w:vAlign w:val="center"/>
            <w:hideMark/>
          </w:tcPr>
          <w:p w14:paraId="26649839"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956" w:type="dxa"/>
            <w:shd w:val="clear" w:color="auto" w:fill="auto"/>
            <w:noWrap/>
            <w:vAlign w:val="center"/>
            <w:hideMark/>
          </w:tcPr>
          <w:p w14:paraId="7C308743"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1302" w:type="dxa"/>
            <w:shd w:val="clear" w:color="auto" w:fill="auto"/>
            <w:noWrap/>
            <w:vAlign w:val="center"/>
            <w:hideMark/>
          </w:tcPr>
          <w:p w14:paraId="6CC21D42"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1,508,290 </w:t>
            </w:r>
          </w:p>
        </w:tc>
        <w:tc>
          <w:tcPr>
            <w:tcW w:w="1163" w:type="dxa"/>
            <w:shd w:val="clear" w:color="auto" w:fill="auto"/>
            <w:noWrap/>
            <w:vAlign w:val="center"/>
            <w:hideMark/>
          </w:tcPr>
          <w:p w14:paraId="6DE959FF"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r>
      <w:tr w:rsidR="003E5BF5" w:rsidRPr="002F619C" w14:paraId="4B060D27" w14:textId="77777777" w:rsidTr="00E70ED8">
        <w:trPr>
          <w:trHeight w:val="340"/>
        </w:trPr>
        <w:tc>
          <w:tcPr>
            <w:tcW w:w="3081" w:type="dxa"/>
            <w:shd w:val="clear" w:color="auto" w:fill="auto"/>
            <w:noWrap/>
            <w:vAlign w:val="center"/>
            <w:hideMark/>
          </w:tcPr>
          <w:p w14:paraId="0CA137EE" w14:textId="77777777" w:rsidR="003E5BF5" w:rsidRPr="002F619C" w:rsidRDefault="003E5BF5" w:rsidP="00DE1921">
            <w:pPr>
              <w:rPr>
                <w:rFonts w:ascii="Arial" w:hAnsi="Arial" w:cs="Arial"/>
                <w:sz w:val="24"/>
                <w:szCs w:val="24"/>
              </w:rPr>
            </w:pPr>
            <w:r w:rsidRPr="002F619C">
              <w:rPr>
                <w:rFonts w:ascii="Arial" w:hAnsi="Arial" w:cs="Arial"/>
                <w:sz w:val="24"/>
                <w:szCs w:val="24"/>
              </w:rPr>
              <w:t>Buildings at fair value</w:t>
            </w:r>
          </w:p>
        </w:tc>
        <w:tc>
          <w:tcPr>
            <w:tcW w:w="1302" w:type="dxa"/>
            <w:shd w:val="clear" w:color="auto" w:fill="auto"/>
            <w:noWrap/>
            <w:vAlign w:val="center"/>
            <w:hideMark/>
          </w:tcPr>
          <w:p w14:paraId="1FEB635B"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488,847 </w:t>
            </w:r>
          </w:p>
        </w:tc>
        <w:tc>
          <w:tcPr>
            <w:tcW w:w="1163" w:type="dxa"/>
            <w:shd w:val="clear" w:color="auto" w:fill="auto"/>
            <w:noWrap/>
            <w:vAlign w:val="center"/>
            <w:hideMark/>
          </w:tcPr>
          <w:p w14:paraId="244F4EE3"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956" w:type="dxa"/>
            <w:shd w:val="clear" w:color="auto" w:fill="auto"/>
            <w:noWrap/>
            <w:vAlign w:val="center"/>
            <w:hideMark/>
          </w:tcPr>
          <w:p w14:paraId="1192101E"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956" w:type="dxa"/>
            <w:shd w:val="clear" w:color="auto" w:fill="auto"/>
            <w:noWrap/>
            <w:vAlign w:val="center"/>
            <w:hideMark/>
          </w:tcPr>
          <w:p w14:paraId="2B810479"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1302" w:type="dxa"/>
            <w:shd w:val="clear" w:color="auto" w:fill="auto"/>
            <w:noWrap/>
            <w:vAlign w:val="center"/>
            <w:hideMark/>
          </w:tcPr>
          <w:p w14:paraId="0F956AEE"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488,847 </w:t>
            </w:r>
          </w:p>
        </w:tc>
        <w:tc>
          <w:tcPr>
            <w:tcW w:w="1163" w:type="dxa"/>
            <w:shd w:val="clear" w:color="auto" w:fill="auto"/>
            <w:noWrap/>
            <w:vAlign w:val="center"/>
            <w:hideMark/>
          </w:tcPr>
          <w:p w14:paraId="7233DF2F"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r>
      <w:tr w:rsidR="003E5BF5" w:rsidRPr="002F619C" w14:paraId="5CDAFC52" w14:textId="77777777" w:rsidTr="00E70ED8">
        <w:trPr>
          <w:trHeight w:val="340"/>
        </w:trPr>
        <w:tc>
          <w:tcPr>
            <w:tcW w:w="3081" w:type="dxa"/>
            <w:shd w:val="clear" w:color="auto" w:fill="auto"/>
            <w:vAlign w:val="center"/>
            <w:hideMark/>
          </w:tcPr>
          <w:p w14:paraId="42336D68" w14:textId="77777777" w:rsidR="003E5BF5" w:rsidRPr="002F619C" w:rsidRDefault="003E5BF5" w:rsidP="00DE1921">
            <w:pPr>
              <w:rPr>
                <w:rFonts w:ascii="Arial" w:hAnsi="Arial" w:cs="Arial"/>
                <w:sz w:val="24"/>
                <w:szCs w:val="24"/>
              </w:rPr>
            </w:pPr>
            <w:r w:rsidRPr="002F619C">
              <w:rPr>
                <w:rFonts w:ascii="Arial" w:hAnsi="Arial" w:cs="Arial"/>
                <w:sz w:val="24"/>
                <w:szCs w:val="24"/>
              </w:rPr>
              <w:t>Plant, equipment and vehicles at fair value</w:t>
            </w:r>
          </w:p>
        </w:tc>
        <w:tc>
          <w:tcPr>
            <w:tcW w:w="1302" w:type="dxa"/>
            <w:shd w:val="clear" w:color="auto" w:fill="auto"/>
            <w:noWrap/>
            <w:hideMark/>
          </w:tcPr>
          <w:p w14:paraId="49F8F942"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115,960 </w:t>
            </w:r>
          </w:p>
        </w:tc>
        <w:tc>
          <w:tcPr>
            <w:tcW w:w="1163" w:type="dxa"/>
            <w:shd w:val="clear" w:color="auto" w:fill="auto"/>
            <w:noWrap/>
            <w:hideMark/>
          </w:tcPr>
          <w:p w14:paraId="6F7F47F1"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956" w:type="dxa"/>
            <w:shd w:val="clear" w:color="auto" w:fill="auto"/>
            <w:noWrap/>
            <w:hideMark/>
          </w:tcPr>
          <w:p w14:paraId="00F7E922"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956" w:type="dxa"/>
            <w:shd w:val="clear" w:color="auto" w:fill="auto"/>
            <w:noWrap/>
            <w:hideMark/>
          </w:tcPr>
          <w:p w14:paraId="41B76524"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1302" w:type="dxa"/>
            <w:shd w:val="clear" w:color="auto" w:fill="auto"/>
            <w:noWrap/>
            <w:hideMark/>
          </w:tcPr>
          <w:p w14:paraId="33AFDADD"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115,960 </w:t>
            </w:r>
          </w:p>
        </w:tc>
        <w:tc>
          <w:tcPr>
            <w:tcW w:w="1163" w:type="dxa"/>
            <w:shd w:val="clear" w:color="auto" w:fill="auto"/>
            <w:noWrap/>
            <w:hideMark/>
          </w:tcPr>
          <w:p w14:paraId="7C6C2BD8"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r>
      <w:tr w:rsidR="003E5BF5" w:rsidRPr="002F619C" w14:paraId="3320F229" w14:textId="77777777" w:rsidTr="00E70ED8">
        <w:trPr>
          <w:trHeight w:val="340"/>
        </w:trPr>
        <w:tc>
          <w:tcPr>
            <w:tcW w:w="3081" w:type="dxa"/>
            <w:tcBorders>
              <w:bottom w:val="single" w:sz="4" w:space="0" w:color="auto"/>
            </w:tcBorders>
            <w:shd w:val="clear" w:color="auto" w:fill="auto"/>
            <w:noWrap/>
            <w:vAlign w:val="center"/>
            <w:hideMark/>
          </w:tcPr>
          <w:p w14:paraId="580EC38F" w14:textId="77777777" w:rsidR="003E5BF5" w:rsidRPr="002F619C" w:rsidRDefault="003E5BF5" w:rsidP="00DE1921">
            <w:pPr>
              <w:rPr>
                <w:rFonts w:ascii="Arial" w:hAnsi="Arial" w:cs="Arial"/>
                <w:sz w:val="24"/>
                <w:szCs w:val="24"/>
              </w:rPr>
            </w:pPr>
            <w:r w:rsidRPr="002F619C">
              <w:rPr>
                <w:rFonts w:ascii="Arial" w:hAnsi="Arial" w:cs="Arial"/>
                <w:sz w:val="24"/>
                <w:szCs w:val="24"/>
              </w:rPr>
              <w:t xml:space="preserve">Assets under construction </w:t>
            </w:r>
            <w:r w:rsidRPr="002F619C">
              <w:rPr>
                <w:rFonts w:ascii="Arial" w:hAnsi="Arial" w:cs="Arial"/>
                <w:sz w:val="24"/>
                <w:szCs w:val="24"/>
                <w:vertAlign w:val="superscript"/>
              </w:rPr>
              <w:t>(iii)</w:t>
            </w:r>
          </w:p>
        </w:tc>
        <w:tc>
          <w:tcPr>
            <w:tcW w:w="1302" w:type="dxa"/>
            <w:tcBorders>
              <w:bottom w:val="single" w:sz="4" w:space="0" w:color="auto"/>
            </w:tcBorders>
            <w:shd w:val="clear" w:color="auto" w:fill="auto"/>
            <w:noWrap/>
            <w:vAlign w:val="center"/>
            <w:hideMark/>
          </w:tcPr>
          <w:p w14:paraId="497122C2"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8,250,606 </w:t>
            </w:r>
          </w:p>
        </w:tc>
        <w:tc>
          <w:tcPr>
            <w:tcW w:w="1163" w:type="dxa"/>
            <w:tcBorders>
              <w:bottom w:val="single" w:sz="4" w:space="0" w:color="auto"/>
            </w:tcBorders>
            <w:shd w:val="clear" w:color="auto" w:fill="auto"/>
            <w:noWrap/>
            <w:vAlign w:val="center"/>
            <w:hideMark/>
          </w:tcPr>
          <w:p w14:paraId="144F5634"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5,048,914 </w:t>
            </w:r>
          </w:p>
        </w:tc>
        <w:tc>
          <w:tcPr>
            <w:tcW w:w="956" w:type="dxa"/>
            <w:tcBorders>
              <w:bottom w:val="single" w:sz="4" w:space="0" w:color="auto"/>
            </w:tcBorders>
            <w:shd w:val="clear" w:color="auto" w:fill="auto"/>
            <w:noWrap/>
            <w:vAlign w:val="center"/>
            <w:hideMark/>
          </w:tcPr>
          <w:p w14:paraId="42AAC7AE"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956" w:type="dxa"/>
            <w:tcBorders>
              <w:bottom w:val="single" w:sz="4" w:space="0" w:color="auto"/>
            </w:tcBorders>
            <w:shd w:val="clear" w:color="auto" w:fill="auto"/>
            <w:noWrap/>
            <w:vAlign w:val="center"/>
            <w:hideMark/>
          </w:tcPr>
          <w:p w14:paraId="2CBB404B" w14:textId="77777777" w:rsidR="003E5BF5" w:rsidRPr="002F619C" w:rsidRDefault="003E5BF5" w:rsidP="00DE1921">
            <w:pPr>
              <w:jc w:val="right"/>
              <w:rPr>
                <w:rFonts w:ascii="Arial" w:hAnsi="Arial" w:cs="Arial"/>
                <w:sz w:val="24"/>
                <w:szCs w:val="24"/>
              </w:rPr>
            </w:pPr>
            <w:r w:rsidRPr="002F619C">
              <w:rPr>
                <w:rFonts w:ascii="Arial" w:hAnsi="Arial" w:cs="Arial"/>
                <w:b/>
                <w:sz w:val="24"/>
                <w:szCs w:val="24"/>
              </w:rPr>
              <w:t>-</w:t>
            </w:r>
          </w:p>
        </w:tc>
        <w:tc>
          <w:tcPr>
            <w:tcW w:w="1302" w:type="dxa"/>
            <w:tcBorders>
              <w:bottom w:val="single" w:sz="4" w:space="0" w:color="auto"/>
            </w:tcBorders>
            <w:shd w:val="clear" w:color="auto" w:fill="auto"/>
            <w:noWrap/>
            <w:vAlign w:val="center"/>
            <w:hideMark/>
          </w:tcPr>
          <w:p w14:paraId="269E4E2C"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8,250,606 </w:t>
            </w:r>
          </w:p>
        </w:tc>
        <w:tc>
          <w:tcPr>
            <w:tcW w:w="1163" w:type="dxa"/>
            <w:tcBorders>
              <w:bottom w:val="single" w:sz="4" w:space="0" w:color="auto"/>
            </w:tcBorders>
            <w:shd w:val="clear" w:color="auto" w:fill="auto"/>
            <w:noWrap/>
            <w:vAlign w:val="center"/>
            <w:hideMark/>
          </w:tcPr>
          <w:p w14:paraId="2229A80E" w14:textId="77777777" w:rsidR="003E5BF5" w:rsidRPr="002F619C" w:rsidRDefault="003E5BF5" w:rsidP="00DE1921">
            <w:pPr>
              <w:jc w:val="right"/>
              <w:rPr>
                <w:rFonts w:ascii="Arial" w:hAnsi="Arial" w:cs="Arial"/>
                <w:sz w:val="24"/>
                <w:szCs w:val="24"/>
              </w:rPr>
            </w:pPr>
            <w:r w:rsidRPr="002F619C">
              <w:rPr>
                <w:rFonts w:ascii="Arial" w:hAnsi="Arial" w:cs="Arial"/>
                <w:sz w:val="24"/>
                <w:szCs w:val="24"/>
              </w:rPr>
              <w:t xml:space="preserve">5,048,914 </w:t>
            </w:r>
          </w:p>
        </w:tc>
      </w:tr>
      <w:tr w:rsidR="003E5BF5" w:rsidRPr="002F619C" w14:paraId="36708534" w14:textId="77777777" w:rsidTr="00E70ED8">
        <w:trPr>
          <w:trHeight w:val="340"/>
        </w:trPr>
        <w:tc>
          <w:tcPr>
            <w:tcW w:w="3081" w:type="dxa"/>
            <w:tcBorders>
              <w:bottom w:val="single" w:sz="4" w:space="0" w:color="auto"/>
            </w:tcBorders>
            <w:shd w:val="clear" w:color="auto" w:fill="auto"/>
            <w:noWrap/>
            <w:vAlign w:val="center"/>
            <w:hideMark/>
          </w:tcPr>
          <w:p w14:paraId="11F6D6E7" w14:textId="77777777" w:rsidR="003E5BF5" w:rsidRPr="002F619C" w:rsidRDefault="003E5BF5" w:rsidP="00DE1921">
            <w:pPr>
              <w:rPr>
                <w:rFonts w:ascii="Arial" w:hAnsi="Arial" w:cs="Arial"/>
                <w:b/>
                <w:sz w:val="24"/>
                <w:szCs w:val="24"/>
              </w:rPr>
            </w:pPr>
            <w:r w:rsidRPr="002F619C">
              <w:rPr>
                <w:rFonts w:ascii="Arial" w:hAnsi="Arial" w:cs="Arial"/>
                <w:b/>
                <w:sz w:val="24"/>
                <w:szCs w:val="24"/>
              </w:rPr>
              <w:t>Net carrying amount</w:t>
            </w:r>
          </w:p>
        </w:tc>
        <w:tc>
          <w:tcPr>
            <w:tcW w:w="1302" w:type="dxa"/>
            <w:tcBorders>
              <w:bottom w:val="single" w:sz="4" w:space="0" w:color="auto"/>
            </w:tcBorders>
            <w:shd w:val="clear" w:color="auto" w:fill="auto"/>
            <w:noWrap/>
            <w:vAlign w:val="center"/>
            <w:hideMark/>
          </w:tcPr>
          <w:p w14:paraId="459F24C0" w14:textId="77777777" w:rsidR="003E5BF5" w:rsidRPr="002F619C" w:rsidRDefault="003E5BF5" w:rsidP="00DE1921">
            <w:pPr>
              <w:jc w:val="right"/>
              <w:rPr>
                <w:rFonts w:ascii="Arial" w:hAnsi="Arial" w:cs="Arial"/>
                <w:b/>
                <w:sz w:val="24"/>
                <w:szCs w:val="24"/>
              </w:rPr>
            </w:pPr>
            <w:r w:rsidRPr="002F619C">
              <w:rPr>
                <w:rFonts w:ascii="Arial" w:hAnsi="Arial" w:cs="Arial"/>
                <w:b/>
                <w:sz w:val="24"/>
                <w:szCs w:val="24"/>
              </w:rPr>
              <w:t xml:space="preserve">17,997,191 </w:t>
            </w:r>
          </w:p>
        </w:tc>
        <w:tc>
          <w:tcPr>
            <w:tcW w:w="1163" w:type="dxa"/>
            <w:tcBorders>
              <w:bottom w:val="single" w:sz="4" w:space="0" w:color="auto"/>
            </w:tcBorders>
            <w:shd w:val="clear" w:color="auto" w:fill="auto"/>
            <w:noWrap/>
            <w:vAlign w:val="center"/>
            <w:hideMark/>
          </w:tcPr>
          <w:p w14:paraId="0551A282" w14:textId="77777777" w:rsidR="003E5BF5" w:rsidRPr="002F619C" w:rsidRDefault="003E5BF5" w:rsidP="00DE1921">
            <w:pPr>
              <w:jc w:val="right"/>
              <w:rPr>
                <w:rFonts w:ascii="Arial" w:hAnsi="Arial" w:cs="Arial"/>
                <w:b/>
                <w:sz w:val="24"/>
                <w:szCs w:val="24"/>
              </w:rPr>
            </w:pPr>
            <w:r w:rsidRPr="002F619C">
              <w:rPr>
                <w:rFonts w:ascii="Arial" w:hAnsi="Arial" w:cs="Arial"/>
                <w:b/>
                <w:sz w:val="24"/>
                <w:szCs w:val="24"/>
              </w:rPr>
              <w:t xml:space="preserve">5,048,914 </w:t>
            </w:r>
          </w:p>
        </w:tc>
        <w:tc>
          <w:tcPr>
            <w:tcW w:w="956" w:type="dxa"/>
            <w:tcBorders>
              <w:bottom w:val="single" w:sz="4" w:space="0" w:color="auto"/>
            </w:tcBorders>
            <w:shd w:val="clear" w:color="auto" w:fill="auto"/>
            <w:noWrap/>
            <w:vAlign w:val="center"/>
            <w:hideMark/>
          </w:tcPr>
          <w:p w14:paraId="27D41704" w14:textId="77777777" w:rsidR="003E5BF5" w:rsidRPr="002F619C" w:rsidRDefault="003E5BF5" w:rsidP="00DE1921">
            <w:pPr>
              <w:jc w:val="right"/>
              <w:rPr>
                <w:rFonts w:ascii="Arial" w:hAnsi="Arial" w:cs="Arial"/>
                <w:b/>
                <w:sz w:val="24"/>
                <w:szCs w:val="24"/>
              </w:rPr>
            </w:pPr>
            <w:r w:rsidRPr="002F619C">
              <w:rPr>
                <w:rFonts w:ascii="Arial" w:hAnsi="Arial" w:cs="Arial"/>
                <w:b/>
                <w:sz w:val="24"/>
                <w:szCs w:val="24"/>
              </w:rPr>
              <w:t>-</w:t>
            </w:r>
          </w:p>
        </w:tc>
        <w:tc>
          <w:tcPr>
            <w:tcW w:w="956" w:type="dxa"/>
            <w:tcBorders>
              <w:bottom w:val="single" w:sz="4" w:space="0" w:color="auto"/>
            </w:tcBorders>
            <w:shd w:val="clear" w:color="auto" w:fill="auto"/>
            <w:noWrap/>
            <w:vAlign w:val="center"/>
            <w:hideMark/>
          </w:tcPr>
          <w:p w14:paraId="0E83BA5D" w14:textId="77777777" w:rsidR="003E5BF5" w:rsidRPr="002F619C" w:rsidRDefault="003E5BF5" w:rsidP="00DE1921">
            <w:pPr>
              <w:jc w:val="right"/>
              <w:rPr>
                <w:rFonts w:ascii="Arial" w:hAnsi="Arial" w:cs="Arial"/>
                <w:b/>
                <w:sz w:val="24"/>
                <w:szCs w:val="24"/>
              </w:rPr>
            </w:pPr>
            <w:r w:rsidRPr="002F619C">
              <w:rPr>
                <w:rFonts w:ascii="Arial" w:hAnsi="Arial" w:cs="Arial"/>
                <w:b/>
                <w:sz w:val="24"/>
                <w:szCs w:val="24"/>
              </w:rPr>
              <w:t>-</w:t>
            </w:r>
          </w:p>
        </w:tc>
        <w:tc>
          <w:tcPr>
            <w:tcW w:w="1302" w:type="dxa"/>
            <w:tcBorders>
              <w:bottom w:val="single" w:sz="4" w:space="0" w:color="auto"/>
            </w:tcBorders>
            <w:shd w:val="clear" w:color="auto" w:fill="auto"/>
            <w:noWrap/>
            <w:vAlign w:val="center"/>
            <w:hideMark/>
          </w:tcPr>
          <w:p w14:paraId="6E914751" w14:textId="77777777" w:rsidR="003E5BF5" w:rsidRPr="002F619C" w:rsidRDefault="003E5BF5" w:rsidP="00DE1921">
            <w:pPr>
              <w:jc w:val="right"/>
              <w:rPr>
                <w:rFonts w:ascii="Arial" w:hAnsi="Arial" w:cs="Arial"/>
                <w:b/>
                <w:sz w:val="24"/>
                <w:szCs w:val="24"/>
              </w:rPr>
            </w:pPr>
            <w:r w:rsidRPr="002F619C">
              <w:rPr>
                <w:rFonts w:ascii="Arial" w:hAnsi="Arial" w:cs="Arial"/>
                <w:b/>
                <w:sz w:val="24"/>
                <w:szCs w:val="24"/>
              </w:rPr>
              <w:t xml:space="preserve">17,997,191 </w:t>
            </w:r>
          </w:p>
        </w:tc>
        <w:tc>
          <w:tcPr>
            <w:tcW w:w="1163" w:type="dxa"/>
            <w:tcBorders>
              <w:bottom w:val="single" w:sz="4" w:space="0" w:color="auto"/>
            </w:tcBorders>
            <w:shd w:val="clear" w:color="auto" w:fill="auto"/>
            <w:noWrap/>
            <w:vAlign w:val="center"/>
            <w:hideMark/>
          </w:tcPr>
          <w:p w14:paraId="5669DDD8" w14:textId="77777777" w:rsidR="003E5BF5" w:rsidRPr="002F619C" w:rsidRDefault="003E5BF5" w:rsidP="00DE1921">
            <w:pPr>
              <w:jc w:val="right"/>
              <w:rPr>
                <w:rFonts w:ascii="Arial" w:hAnsi="Arial" w:cs="Arial"/>
                <w:b/>
                <w:sz w:val="24"/>
                <w:szCs w:val="24"/>
              </w:rPr>
            </w:pPr>
            <w:r w:rsidRPr="002F619C">
              <w:rPr>
                <w:rFonts w:ascii="Arial" w:hAnsi="Arial" w:cs="Arial"/>
                <w:b/>
                <w:sz w:val="24"/>
                <w:szCs w:val="24"/>
              </w:rPr>
              <w:t xml:space="preserve">5,048,914 </w:t>
            </w:r>
          </w:p>
        </w:tc>
      </w:tr>
      <w:bookmarkEnd w:id="299"/>
    </w:tbl>
    <w:p w14:paraId="0821E0FF" w14:textId="4FBBC859" w:rsidR="003E5BF5" w:rsidRDefault="003E5BF5" w:rsidP="00DE1921">
      <w:pPr>
        <w:spacing w:after="0"/>
      </w:pPr>
    </w:p>
    <w:p w14:paraId="28C60726" w14:textId="77777777" w:rsidR="00E70ED8" w:rsidRPr="002F619C" w:rsidRDefault="00E70ED8" w:rsidP="00E70ED8">
      <w:pPr>
        <w:pStyle w:val="Note"/>
        <w:rPr>
          <w:rFonts w:ascii="Arial" w:hAnsi="Arial" w:cs="Arial"/>
          <w:sz w:val="24"/>
          <w:szCs w:val="24"/>
        </w:rPr>
      </w:pPr>
      <w:r w:rsidRPr="002F619C">
        <w:rPr>
          <w:rFonts w:ascii="Arial" w:hAnsi="Arial" w:cs="Arial"/>
          <w:sz w:val="24"/>
          <w:szCs w:val="24"/>
        </w:rPr>
        <w:t>Notes:</w:t>
      </w:r>
    </w:p>
    <w:p w14:paraId="500D0FD3" w14:textId="77777777" w:rsidR="00E70ED8" w:rsidRPr="002F619C" w:rsidRDefault="00E70ED8" w:rsidP="00610F5F">
      <w:pPr>
        <w:pStyle w:val="aaaNotenumberiiiiii"/>
        <w:numPr>
          <w:ilvl w:val="0"/>
          <w:numId w:val="86"/>
        </w:numPr>
      </w:pPr>
      <w:r w:rsidRPr="002F619C">
        <w:t>These assets relate to the service concession arrangements, refer to Note 7.5.3 for further details.</w:t>
      </w:r>
    </w:p>
    <w:p w14:paraId="2024F562" w14:textId="77777777" w:rsidR="00E70ED8" w:rsidRPr="002F619C" w:rsidRDefault="00E70ED8" w:rsidP="00610F5F">
      <w:pPr>
        <w:pStyle w:val="aaaNotenumberiiiiii"/>
        <w:numPr>
          <w:ilvl w:val="0"/>
          <w:numId w:val="86"/>
        </w:numPr>
      </w:pPr>
      <w:r w:rsidRPr="002F619C">
        <w:t>Refer to Note 5.1.6.2 for the reconciliation of movements in carrying amount of service concession assets.</w:t>
      </w:r>
    </w:p>
    <w:p w14:paraId="44E68160" w14:textId="77777777" w:rsidR="00E70ED8" w:rsidRPr="002F619C" w:rsidRDefault="00E70ED8" w:rsidP="00610F5F">
      <w:pPr>
        <w:pStyle w:val="aaaNotenumberiiiiii"/>
        <w:numPr>
          <w:ilvl w:val="0"/>
          <w:numId w:val="86"/>
        </w:numPr>
      </w:pPr>
      <w:r w:rsidRPr="002F619C">
        <w:t>The 2019 comparatives figures have been restated to reflect the adoption of AASB 1059, refer to Note 9.6.5.2 and Note 5.1.6.2 for further details.</w:t>
      </w:r>
    </w:p>
    <w:p w14:paraId="310F7696" w14:textId="77777777" w:rsidR="00E70ED8" w:rsidRDefault="00E70ED8" w:rsidP="00DE1921">
      <w:pPr>
        <w:spacing w:after="0"/>
      </w:pPr>
    </w:p>
    <w:p w14:paraId="16C149E4" w14:textId="77777777" w:rsidR="003E5BF5" w:rsidRDefault="003E5BF5" w:rsidP="00DE1921">
      <w:pPr>
        <w:sectPr w:rsidR="003E5BF5" w:rsidSect="00DE1921">
          <w:type w:val="continuous"/>
          <w:pgSz w:w="11906" w:h="16838"/>
          <w:pgMar w:top="1701" w:right="1418" w:bottom="1418" w:left="1418" w:header="708" w:footer="708" w:gutter="0"/>
          <w:cols w:space="708"/>
          <w:docGrid w:linePitch="360"/>
        </w:sectPr>
      </w:pPr>
    </w:p>
    <w:p w14:paraId="103C6C99" w14:textId="77777777" w:rsidR="003E5BF5" w:rsidRDefault="003E5BF5" w:rsidP="00945803">
      <w:pPr>
        <w:pStyle w:val="aaatyping"/>
        <w:rPr>
          <w:lang w:eastAsia="en-AU"/>
        </w:rPr>
      </w:pPr>
      <w:r>
        <w:t>A Service</w:t>
      </w:r>
      <w:r>
        <w:rPr>
          <w:lang w:eastAsia="en-AU"/>
        </w:rPr>
        <w:t xml:space="preserve"> </w:t>
      </w:r>
      <w:r>
        <w:t>Concession Asset (SCA) u</w:t>
      </w:r>
      <w:r w:rsidRPr="006B2EA7">
        <w:t xml:space="preserve">nder AASB 1059 </w:t>
      </w:r>
      <w:r w:rsidRPr="006B2EA7">
        <w:rPr>
          <w:i/>
          <w:iCs/>
        </w:rPr>
        <w:t>Service Concession Assets: Grantors</w:t>
      </w:r>
      <w:r>
        <w:rPr>
          <w:i/>
          <w:iCs/>
        </w:rPr>
        <w:t xml:space="preserve"> </w:t>
      </w:r>
      <w:r w:rsidRPr="009F317B">
        <w:t>(AASB 1059)</w:t>
      </w:r>
      <w:r>
        <w:t xml:space="preserve"> is an asset other than goodwill, to which a private operator has right of access to provide public services on behalf of the department in a service concession arrangement that:</w:t>
      </w:r>
    </w:p>
    <w:p w14:paraId="791EE8F8" w14:textId="77777777" w:rsidR="003E5BF5" w:rsidRDefault="003E5BF5" w:rsidP="00945803">
      <w:pPr>
        <w:pStyle w:val="aaabullet"/>
      </w:pPr>
      <w:r>
        <w:t>the operator constructs, develops, upgrades or replaces major components, or acquires from a third party or is an existing asset of the operator, or</w:t>
      </w:r>
    </w:p>
    <w:p w14:paraId="31DC658F" w14:textId="77777777" w:rsidR="003E5BF5" w:rsidRDefault="003E5BF5" w:rsidP="00945803">
      <w:pPr>
        <w:pStyle w:val="aaabullet"/>
      </w:pPr>
      <w:r>
        <w:lastRenderedPageBreak/>
        <w:t>is an existing asset of the department, including a previously unrecognised identifiable intangible asset and land under roads, or an upgrade to or replacement of a major component of an existing asset of the grantor.</w:t>
      </w:r>
    </w:p>
    <w:p w14:paraId="6F30F557" w14:textId="77777777" w:rsidR="003E5BF5" w:rsidRPr="008E2794" w:rsidRDefault="003E5BF5" w:rsidP="00EF5131">
      <w:pPr>
        <w:pStyle w:val="Heading5"/>
      </w:pPr>
      <w:r w:rsidRPr="008E2794">
        <w:t>Initial recognition</w:t>
      </w:r>
    </w:p>
    <w:p w14:paraId="4440F501" w14:textId="77777777" w:rsidR="003E5BF5" w:rsidRDefault="003E5BF5" w:rsidP="00945803">
      <w:pPr>
        <w:pStyle w:val="aaatyping"/>
      </w:pPr>
      <w:r w:rsidRPr="001202BD">
        <w:t>The department initially recognises a SCA at the commencement of construction at ‘current replacement cost’ (CRC), calculated in accordance with the ‘cost approach’ to fair value measurement. The CRC reflects the amount that would be required currently to replace the service capacity of the asset. The assets recognised at the commencement of construction are reported as assets under construction until the project reaches commercial acceptance.</w:t>
      </w:r>
      <w:r>
        <w:t xml:space="preserve"> </w:t>
      </w:r>
    </w:p>
    <w:p w14:paraId="0B03FE82" w14:textId="77777777" w:rsidR="003E5BF5" w:rsidRDefault="003E5BF5" w:rsidP="00945803">
      <w:pPr>
        <w:pStyle w:val="aaatyping"/>
      </w:pPr>
      <w:r>
        <w:t xml:space="preserve">The CRC for the SCA includes the costs that are directly attributable to the design and construction of the SCA by the operator. AASB 116 </w:t>
      </w:r>
      <w:r w:rsidRPr="002160CD">
        <w:rPr>
          <w:i/>
          <w:iCs/>
        </w:rPr>
        <w:t>Property, Plant and Equipment</w:t>
      </w:r>
      <w:r>
        <w:t xml:space="preserve"> (AASB 116) is applied which provides guidance on the elements of costs including:</w:t>
      </w:r>
    </w:p>
    <w:p w14:paraId="33477E38" w14:textId="77777777" w:rsidR="003E5BF5" w:rsidRDefault="003E5BF5" w:rsidP="00945803">
      <w:pPr>
        <w:pStyle w:val="aaabullet"/>
      </w:pPr>
      <w:r>
        <w:t>the purchase price</w:t>
      </w:r>
    </w:p>
    <w:p w14:paraId="58C1FEA3" w14:textId="77777777" w:rsidR="003E5BF5" w:rsidRDefault="003E5BF5" w:rsidP="00945803">
      <w:pPr>
        <w:pStyle w:val="aaabullet"/>
      </w:pPr>
      <w:r>
        <w:t>costs directly attributable to bringing the asset to its location or condition necessary</w:t>
      </w:r>
    </w:p>
    <w:p w14:paraId="25529A51" w14:textId="77777777" w:rsidR="003E5BF5" w:rsidRDefault="003E5BF5" w:rsidP="00945803">
      <w:pPr>
        <w:pStyle w:val="aaabullet"/>
      </w:pPr>
      <w:r>
        <w:t>borrowing costs of the operator during construction as it forms part of the CRC of the SCA asset.</w:t>
      </w:r>
    </w:p>
    <w:p w14:paraId="6CF6ECDD" w14:textId="77777777" w:rsidR="003E5BF5" w:rsidRDefault="003E5BF5" w:rsidP="00945803">
      <w:pPr>
        <w:pStyle w:val="aaatyping"/>
      </w:pPr>
      <w:r>
        <w:t>This same principle applies to existing assets owned by the department and transferred to a SCA under a new or an existing service concession arrangement, with any difference between the fair value of the asset using current replacement cost and the carrying value of the asset being accounted for as if it were a revaluation (i.e. taken to the asset revaluation reserve).</w:t>
      </w:r>
    </w:p>
    <w:p w14:paraId="57E9D983" w14:textId="77777777" w:rsidR="003E5BF5" w:rsidRPr="008E2794" w:rsidRDefault="003E5BF5" w:rsidP="00EF5131">
      <w:pPr>
        <w:pStyle w:val="Heading5"/>
      </w:pPr>
      <w:r w:rsidRPr="008E2794">
        <w:lastRenderedPageBreak/>
        <w:t>Subsequent measurement</w:t>
      </w:r>
    </w:p>
    <w:p w14:paraId="414A60EA" w14:textId="77777777" w:rsidR="003E5BF5" w:rsidRDefault="003E5BF5" w:rsidP="00945803">
      <w:pPr>
        <w:pStyle w:val="aaatyping"/>
      </w:pPr>
      <w:r>
        <w:t>After initial recognition, the department depreciates the service concession asset over its useful life using the principles in AASB 116. SCAs</w:t>
      </w:r>
      <w:r w:rsidRPr="00D122FF">
        <w:t xml:space="preserve"> are subject to revaluation as required by Financial Reporting Direction 103H </w:t>
      </w:r>
      <w:r w:rsidRPr="00D122FF">
        <w:rPr>
          <w:i/>
          <w:iCs/>
        </w:rPr>
        <w:t>Non-Financial Physical Assets</w:t>
      </w:r>
      <w:r w:rsidRPr="00D122FF">
        <w:t xml:space="preserve"> (FRD 103H). </w:t>
      </w:r>
      <w:r>
        <w:t xml:space="preserve">Refer to </w:t>
      </w:r>
      <w:r w:rsidRPr="004C7C86">
        <w:t>Note 8.3.2 Fair value determinatio</w:t>
      </w:r>
      <w:r>
        <w:t>n</w:t>
      </w:r>
      <w:r w:rsidRPr="004C7C86">
        <w:t xml:space="preserve"> </w:t>
      </w:r>
      <w:r>
        <w:t xml:space="preserve">for a summary of revaluation details by asset category with further details provided on accounting for revaluation in Note 5.1.4 </w:t>
      </w:r>
      <w:r w:rsidRPr="00425B55">
        <w:t>Revaluations of Property Plant and Equipment</w:t>
      </w:r>
      <w:r>
        <w:t>.</w:t>
      </w:r>
    </w:p>
    <w:p w14:paraId="5D74C12E" w14:textId="77777777" w:rsidR="003E5BF5" w:rsidRPr="00F17257" w:rsidRDefault="003E5BF5" w:rsidP="00F17257">
      <w:pPr>
        <w:pStyle w:val="aaatyping"/>
        <w:rPr>
          <w:b/>
          <w:bCs/>
        </w:rPr>
      </w:pPr>
      <w:r w:rsidRPr="00F17257">
        <w:rPr>
          <w:b/>
          <w:bCs/>
        </w:rPr>
        <w:t>Fair value proxy for SCA construction in progress balances</w:t>
      </w:r>
    </w:p>
    <w:p w14:paraId="6323E92F" w14:textId="77777777" w:rsidR="003E5BF5" w:rsidRDefault="003E5BF5" w:rsidP="00945803">
      <w:pPr>
        <w:pStyle w:val="aaatyping"/>
      </w:pPr>
      <w:r w:rsidRPr="00055B92">
        <w:t>As part of the implementation</w:t>
      </w:r>
      <w:r>
        <w:t xml:space="preserve"> of AASB 1059, the department</w:t>
      </w:r>
      <w:r w:rsidRPr="00055B92">
        <w:t xml:space="preserve"> </w:t>
      </w:r>
      <w:r>
        <w:t>applies a fair value proxy approach for the SCAs that are under construction. The fair value proxy</w:t>
      </w:r>
      <w:r w:rsidRPr="00055B92">
        <w:t xml:space="preserve"> approach capture</w:t>
      </w:r>
      <w:r>
        <w:t>s the</w:t>
      </w:r>
      <w:r w:rsidRPr="00055B92">
        <w:t xml:space="preserve"> financing cost incurred during the construction of SCA </w:t>
      </w:r>
      <w:r>
        <w:t xml:space="preserve">by the private sector </w:t>
      </w:r>
      <w:r w:rsidRPr="00055B92">
        <w:t xml:space="preserve">with an aim of achieving faithful representation of </w:t>
      </w:r>
      <w:r>
        <w:t xml:space="preserve">the CRC of </w:t>
      </w:r>
      <w:r w:rsidRPr="00055B92">
        <w:t xml:space="preserve">SCA </w:t>
      </w:r>
      <w:r>
        <w:t>construction in progress</w:t>
      </w:r>
      <w:r w:rsidRPr="00055B92">
        <w:t xml:space="preserve"> balances.</w:t>
      </w:r>
      <w:r w:rsidRPr="008F735A">
        <w:t xml:space="preserve"> </w:t>
      </w:r>
    </w:p>
    <w:p w14:paraId="73B5AA5B" w14:textId="03AE4F07" w:rsidR="003E5BF5" w:rsidRDefault="003E5BF5" w:rsidP="00945803">
      <w:pPr>
        <w:pStyle w:val="aaatyping"/>
      </w:pPr>
      <w:r>
        <w:t>The</w:t>
      </w:r>
      <w:r w:rsidRPr="008F735A">
        <w:t xml:space="preserve"> financing cost</w:t>
      </w:r>
      <w:r>
        <w:t xml:space="preserve"> to the department</w:t>
      </w:r>
      <w:r w:rsidRPr="008F735A">
        <w:t xml:space="preserve"> implied in the </w:t>
      </w:r>
      <w:r>
        <w:t>service concession arrangement</w:t>
      </w:r>
      <w:r w:rsidRPr="008F735A">
        <w:t xml:space="preserve"> contract during the construction of SCA </w:t>
      </w:r>
      <w:r>
        <w:t xml:space="preserve">is </w:t>
      </w:r>
      <w:r w:rsidRPr="008F735A">
        <w:t xml:space="preserve">used as a proxy of the financing cost incurred by the </w:t>
      </w:r>
      <w:r>
        <w:t xml:space="preserve">private sector constructing the asset. This cost </w:t>
      </w:r>
      <w:r w:rsidRPr="008F735A">
        <w:t xml:space="preserve">is an indication of an increase in the fair value of the SCA </w:t>
      </w:r>
      <w:r>
        <w:t>construction in progress</w:t>
      </w:r>
      <w:r w:rsidRPr="008F735A">
        <w:t xml:space="preserve"> that is measured with the </w:t>
      </w:r>
      <w:r>
        <w:t>c</w:t>
      </w:r>
      <w:r w:rsidRPr="008F735A">
        <w:t xml:space="preserve">urrent </w:t>
      </w:r>
      <w:r>
        <w:t>r</w:t>
      </w:r>
      <w:r w:rsidRPr="008F735A">
        <w:t xml:space="preserve">eplacement </w:t>
      </w:r>
      <w:r>
        <w:t>c</w:t>
      </w:r>
      <w:r w:rsidRPr="008F735A">
        <w:t xml:space="preserve">ost method. The increment in </w:t>
      </w:r>
      <w:r>
        <w:t>the current replacement cost</w:t>
      </w:r>
      <w:r w:rsidRPr="008F735A">
        <w:t xml:space="preserve"> of the SCA </w:t>
      </w:r>
      <w:r>
        <w:t>construction in progress</w:t>
      </w:r>
      <w:r w:rsidRPr="008F735A">
        <w:t xml:space="preserve"> is recorded as an </w:t>
      </w:r>
      <w:r>
        <w:t>increase in the</w:t>
      </w:r>
      <w:r w:rsidRPr="008F735A">
        <w:t xml:space="preserve"> asset revaluation.</w:t>
      </w:r>
    </w:p>
    <w:p w14:paraId="7D102DED" w14:textId="1615F5D1" w:rsidR="00C61D60" w:rsidRDefault="003E5BF5" w:rsidP="002B630A">
      <w:pPr>
        <w:sectPr w:rsidR="00C61D60" w:rsidSect="00DE1921">
          <w:type w:val="continuous"/>
          <w:pgSz w:w="11906" w:h="16838"/>
          <w:pgMar w:top="1701" w:right="1418" w:bottom="1418" w:left="1418" w:header="708" w:footer="708" w:gutter="0"/>
          <w:cols w:space="708"/>
          <w:docGrid w:linePitch="360"/>
        </w:sectPr>
      </w:pPr>
      <w:r>
        <w:br w:type="page"/>
      </w:r>
    </w:p>
    <w:p w14:paraId="6899BD67" w14:textId="71DB170C" w:rsidR="003E5BF5" w:rsidRPr="00C840A7" w:rsidRDefault="003E5BF5" w:rsidP="006667CC">
      <w:pPr>
        <w:pStyle w:val="Heading3"/>
        <w:numPr>
          <w:ilvl w:val="2"/>
          <w:numId w:val="3"/>
        </w:numPr>
        <w:ind w:left="851" w:hanging="851"/>
      </w:pPr>
      <w:r>
        <w:lastRenderedPageBreak/>
        <w:t>Other non-financial physical assets</w:t>
      </w:r>
    </w:p>
    <w:tbl>
      <w:tblPr>
        <w:tblStyle w:val="TableGrid"/>
        <w:tblW w:w="9923" w:type="dxa"/>
        <w:tblCellMar>
          <w:left w:w="28" w:type="dxa"/>
          <w:right w:w="28" w:type="dxa"/>
        </w:tblCellMar>
        <w:tblLook w:val="04A0" w:firstRow="1" w:lastRow="0" w:firstColumn="1" w:lastColumn="0" w:noHBand="0" w:noVBand="1"/>
      </w:tblPr>
      <w:tblGrid>
        <w:gridCol w:w="2935"/>
        <w:gridCol w:w="1302"/>
        <w:gridCol w:w="1164"/>
        <w:gridCol w:w="1100"/>
        <w:gridCol w:w="955"/>
        <w:gridCol w:w="1303"/>
        <w:gridCol w:w="1164"/>
      </w:tblGrid>
      <w:tr w:rsidR="003E5BF5" w:rsidRPr="00655316" w14:paraId="0A4D724A" w14:textId="77777777" w:rsidTr="00E70ED8">
        <w:trPr>
          <w:trHeight w:val="340"/>
        </w:trPr>
        <w:tc>
          <w:tcPr>
            <w:tcW w:w="2935" w:type="dxa"/>
            <w:shd w:val="clear" w:color="auto" w:fill="auto"/>
            <w:noWrap/>
            <w:hideMark/>
          </w:tcPr>
          <w:p w14:paraId="6D03F554" w14:textId="77777777" w:rsidR="003E5BF5" w:rsidRPr="00655316" w:rsidRDefault="003E5BF5" w:rsidP="00DE1921">
            <w:pPr>
              <w:rPr>
                <w:rFonts w:ascii="Arial" w:hAnsi="Arial" w:cs="Arial"/>
                <w:sz w:val="24"/>
                <w:szCs w:val="24"/>
              </w:rPr>
            </w:pPr>
          </w:p>
        </w:tc>
        <w:tc>
          <w:tcPr>
            <w:tcW w:w="6988" w:type="dxa"/>
            <w:gridSpan w:val="6"/>
            <w:shd w:val="clear" w:color="auto" w:fill="auto"/>
            <w:vAlign w:val="center"/>
            <w:hideMark/>
          </w:tcPr>
          <w:p w14:paraId="4BE77A58"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 thousand)</w:t>
            </w:r>
          </w:p>
        </w:tc>
      </w:tr>
      <w:tr w:rsidR="003E5BF5" w:rsidRPr="00655316" w14:paraId="03EE5F94" w14:textId="77777777" w:rsidTr="00E70ED8">
        <w:trPr>
          <w:trHeight w:val="340"/>
        </w:trPr>
        <w:tc>
          <w:tcPr>
            <w:tcW w:w="2935" w:type="dxa"/>
            <w:shd w:val="clear" w:color="auto" w:fill="auto"/>
            <w:noWrap/>
            <w:vAlign w:val="center"/>
            <w:hideMark/>
          </w:tcPr>
          <w:p w14:paraId="58263F12" w14:textId="77777777" w:rsidR="003E5BF5" w:rsidRPr="00655316" w:rsidRDefault="003E5BF5" w:rsidP="00DE1921">
            <w:pPr>
              <w:rPr>
                <w:rFonts w:ascii="Arial" w:hAnsi="Arial" w:cs="Arial"/>
                <w:sz w:val="24"/>
                <w:szCs w:val="24"/>
              </w:rPr>
            </w:pPr>
          </w:p>
        </w:tc>
        <w:tc>
          <w:tcPr>
            <w:tcW w:w="2466" w:type="dxa"/>
            <w:gridSpan w:val="2"/>
            <w:shd w:val="clear" w:color="auto" w:fill="auto"/>
            <w:vAlign w:val="bottom"/>
            <w:hideMark/>
          </w:tcPr>
          <w:p w14:paraId="4E4E8C99"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Gross carrying amount</w:t>
            </w:r>
          </w:p>
        </w:tc>
        <w:tc>
          <w:tcPr>
            <w:tcW w:w="2055" w:type="dxa"/>
            <w:gridSpan w:val="2"/>
            <w:shd w:val="clear" w:color="auto" w:fill="auto"/>
            <w:vAlign w:val="bottom"/>
            <w:hideMark/>
          </w:tcPr>
          <w:p w14:paraId="3674BB79"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Accumulated depreciation</w:t>
            </w:r>
          </w:p>
        </w:tc>
        <w:tc>
          <w:tcPr>
            <w:tcW w:w="2467" w:type="dxa"/>
            <w:gridSpan w:val="2"/>
            <w:shd w:val="clear" w:color="auto" w:fill="auto"/>
            <w:vAlign w:val="bottom"/>
            <w:hideMark/>
          </w:tcPr>
          <w:p w14:paraId="3748EE65"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 xml:space="preserve">Net carrying amount </w:t>
            </w:r>
            <w:r w:rsidRPr="00655316">
              <w:rPr>
                <w:rFonts w:ascii="Arial" w:hAnsi="Arial" w:cs="Arial"/>
                <w:b/>
                <w:sz w:val="24"/>
                <w:szCs w:val="24"/>
                <w:vertAlign w:val="superscript"/>
              </w:rPr>
              <w:t>(</w:t>
            </w:r>
            <w:proofErr w:type="spellStart"/>
            <w:r w:rsidRPr="00655316">
              <w:rPr>
                <w:rFonts w:ascii="Arial" w:hAnsi="Arial" w:cs="Arial"/>
                <w:b/>
                <w:sz w:val="24"/>
                <w:szCs w:val="24"/>
                <w:vertAlign w:val="superscript"/>
              </w:rPr>
              <w:t>i</w:t>
            </w:r>
            <w:proofErr w:type="spellEnd"/>
            <w:r w:rsidRPr="00655316">
              <w:rPr>
                <w:rFonts w:ascii="Arial" w:hAnsi="Arial" w:cs="Arial"/>
                <w:b/>
                <w:sz w:val="24"/>
                <w:szCs w:val="24"/>
                <w:vertAlign w:val="superscript"/>
              </w:rPr>
              <w:t>)(ii)</w:t>
            </w:r>
          </w:p>
        </w:tc>
      </w:tr>
      <w:tr w:rsidR="003E5BF5" w:rsidRPr="00655316" w14:paraId="4D1C711B" w14:textId="77777777" w:rsidTr="00E70ED8">
        <w:trPr>
          <w:trHeight w:val="340"/>
        </w:trPr>
        <w:tc>
          <w:tcPr>
            <w:tcW w:w="2935" w:type="dxa"/>
            <w:shd w:val="clear" w:color="auto" w:fill="auto"/>
            <w:noWrap/>
            <w:vAlign w:val="center"/>
            <w:hideMark/>
          </w:tcPr>
          <w:p w14:paraId="6AD55DCC" w14:textId="77777777" w:rsidR="003E5BF5" w:rsidRPr="00655316" w:rsidRDefault="003E5BF5" w:rsidP="00DE1921">
            <w:pPr>
              <w:rPr>
                <w:rFonts w:ascii="Arial" w:hAnsi="Arial" w:cs="Arial"/>
                <w:sz w:val="24"/>
                <w:szCs w:val="24"/>
              </w:rPr>
            </w:pPr>
            <w:r w:rsidRPr="00655316">
              <w:rPr>
                <w:rFonts w:ascii="Arial" w:hAnsi="Arial" w:cs="Arial"/>
                <w:sz w:val="24"/>
                <w:szCs w:val="24"/>
              </w:rPr>
              <w:t> </w:t>
            </w:r>
          </w:p>
        </w:tc>
        <w:tc>
          <w:tcPr>
            <w:tcW w:w="1302" w:type="dxa"/>
            <w:shd w:val="clear" w:color="auto" w:fill="auto"/>
            <w:noWrap/>
            <w:vAlign w:val="center"/>
            <w:hideMark/>
          </w:tcPr>
          <w:p w14:paraId="167C3B52"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164" w:type="dxa"/>
            <w:shd w:val="clear" w:color="auto" w:fill="auto"/>
            <w:noWrap/>
            <w:vAlign w:val="center"/>
            <w:hideMark/>
          </w:tcPr>
          <w:p w14:paraId="36FC74F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100" w:type="dxa"/>
            <w:shd w:val="clear" w:color="auto" w:fill="auto"/>
            <w:noWrap/>
            <w:vAlign w:val="center"/>
            <w:hideMark/>
          </w:tcPr>
          <w:p w14:paraId="0E1FAF60"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955" w:type="dxa"/>
            <w:shd w:val="clear" w:color="auto" w:fill="auto"/>
            <w:noWrap/>
            <w:vAlign w:val="center"/>
            <w:hideMark/>
          </w:tcPr>
          <w:p w14:paraId="7097BD9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303" w:type="dxa"/>
            <w:shd w:val="clear" w:color="auto" w:fill="auto"/>
            <w:noWrap/>
            <w:vAlign w:val="center"/>
            <w:hideMark/>
          </w:tcPr>
          <w:p w14:paraId="0850D07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164" w:type="dxa"/>
            <w:shd w:val="clear" w:color="auto" w:fill="auto"/>
            <w:noWrap/>
            <w:vAlign w:val="center"/>
            <w:hideMark/>
          </w:tcPr>
          <w:p w14:paraId="1F59A50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r>
      <w:tr w:rsidR="003E5BF5" w:rsidRPr="00655316" w14:paraId="1AA59F06" w14:textId="77777777" w:rsidTr="00E70ED8">
        <w:trPr>
          <w:trHeight w:val="340"/>
        </w:trPr>
        <w:tc>
          <w:tcPr>
            <w:tcW w:w="2935" w:type="dxa"/>
            <w:shd w:val="clear" w:color="auto" w:fill="auto"/>
            <w:noWrap/>
            <w:vAlign w:val="center"/>
            <w:hideMark/>
          </w:tcPr>
          <w:p w14:paraId="572BECCD" w14:textId="77777777" w:rsidR="003E5BF5" w:rsidRPr="00655316" w:rsidRDefault="003E5BF5" w:rsidP="00DE1921">
            <w:pPr>
              <w:rPr>
                <w:rFonts w:ascii="Arial" w:hAnsi="Arial" w:cs="Arial"/>
                <w:sz w:val="24"/>
                <w:szCs w:val="24"/>
              </w:rPr>
            </w:pPr>
            <w:r w:rsidRPr="00655316">
              <w:rPr>
                <w:rFonts w:ascii="Arial" w:hAnsi="Arial" w:cs="Arial"/>
                <w:sz w:val="24"/>
                <w:szCs w:val="24"/>
              </w:rPr>
              <w:t>Land under roads at fair value</w:t>
            </w:r>
          </w:p>
        </w:tc>
        <w:tc>
          <w:tcPr>
            <w:tcW w:w="1302" w:type="dxa"/>
            <w:shd w:val="clear" w:color="auto" w:fill="auto"/>
            <w:noWrap/>
            <w:vAlign w:val="center"/>
            <w:hideMark/>
          </w:tcPr>
          <w:p w14:paraId="4B28661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34,398,450 </w:t>
            </w:r>
          </w:p>
        </w:tc>
        <w:tc>
          <w:tcPr>
            <w:tcW w:w="1164" w:type="dxa"/>
            <w:shd w:val="clear" w:color="auto" w:fill="auto"/>
            <w:noWrap/>
            <w:vAlign w:val="center"/>
            <w:hideMark/>
          </w:tcPr>
          <w:p w14:paraId="67E05BBC"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100" w:type="dxa"/>
            <w:shd w:val="clear" w:color="auto" w:fill="auto"/>
            <w:noWrap/>
            <w:vAlign w:val="center"/>
            <w:hideMark/>
          </w:tcPr>
          <w:p w14:paraId="252C3907"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55" w:type="dxa"/>
            <w:shd w:val="clear" w:color="auto" w:fill="auto"/>
            <w:noWrap/>
            <w:vAlign w:val="center"/>
            <w:hideMark/>
          </w:tcPr>
          <w:p w14:paraId="2C949371"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303" w:type="dxa"/>
            <w:shd w:val="clear" w:color="auto" w:fill="auto"/>
            <w:noWrap/>
            <w:vAlign w:val="center"/>
            <w:hideMark/>
          </w:tcPr>
          <w:p w14:paraId="5AE91DF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34,398,450 </w:t>
            </w:r>
          </w:p>
        </w:tc>
        <w:tc>
          <w:tcPr>
            <w:tcW w:w="1164" w:type="dxa"/>
            <w:shd w:val="clear" w:color="auto" w:fill="auto"/>
            <w:noWrap/>
            <w:vAlign w:val="center"/>
            <w:hideMark/>
          </w:tcPr>
          <w:p w14:paraId="3C300E69"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512D42E2" w14:textId="77777777" w:rsidTr="00E70ED8">
        <w:trPr>
          <w:trHeight w:val="340"/>
        </w:trPr>
        <w:tc>
          <w:tcPr>
            <w:tcW w:w="2935" w:type="dxa"/>
            <w:shd w:val="clear" w:color="auto" w:fill="auto"/>
            <w:noWrap/>
            <w:vAlign w:val="center"/>
            <w:hideMark/>
          </w:tcPr>
          <w:p w14:paraId="5ED26A97" w14:textId="77777777" w:rsidR="003E5BF5" w:rsidRPr="00655316" w:rsidRDefault="003E5BF5" w:rsidP="00DE1921">
            <w:pPr>
              <w:rPr>
                <w:rFonts w:ascii="Arial" w:hAnsi="Arial" w:cs="Arial"/>
                <w:sz w:val="24"/>
                <w:szCs w:val="24"/>
              </w:rPr>
            </w:pPr>
            <w:r w:rsidRPr="00655316">
              <w:rPr>
                <w:rFonts w:ascii="Arial" w:hAnsi="Arial" w:cs="Arial"/>
                <w:sz w:val="24"/>
                <w:szCs w:val="24"/>
              </w:rPr>
              <w:t>PARD land at fair value</w:t>
            </w:r>
          </w:p>
        </w:tc>
        <w:tc>
          <w:tcPr>
            <w:tcW w:w="1302" w:type="dxa"/>
            <w:shd w:val="clear" w:color="auto" w:fill="auto"/>
            <w:noWrap/>
            <w:vAlign w:val="center"/>
            <w:hideMark/>
          </w:tcPr>
          <w:p w14:paraId="495012A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1,707,687 </w:t>
            </w:r>
          </w:p>
        </w:tc>
        <w:tc>
          <w:tcPr>
            <w:tcW w:w="1164" w:type="dxa"/>
            <w:shd w:val="clear" w:color="auto" w:fill="auto"/>
            <w:noWrap/>
            <w:vAlign w:val="center"/>
            <w:hideMark/>
          </w:tcPr>
          <w:p w14:paraId="1FE84472"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100" w:type="dxa"/>
            <w:shd w:val="clear" w:color="auto" w:fill="auto"/>
            <w:noWrap/>
            <w:vAlign w:val="center"/>
            <w:hideMark/>
          </w:tcPr>
          <w:p w14:paraId="2C969099"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55" w:type="dxa"/>
            <w:shd w:val="clear" w:color="auto" w:fill="auto"/>
            <w:noWrap/>
            <w:vAlign w:val="center"/>
            <w:hideMark/>
          </w:tcPr>
          <w:p w14:paraId="2736067D"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303" w:type="dxa"/>
            <w:shd w:val="clear" w:color="auto" w:fill="auto"/>
            <w:noWrap/>
            <w:vAlign w:val="center"/>
            <w:hideMark/>
          </w:tcPr>
          <w:p w14:paraId="5EA3B92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1,707,687 </w:t>
            </w:r>
          </w:p>
        </w:tc>
        <w:tc>
          <w:tcPr>
            <w:tcW w:w="1164" w:type="dxa"/>
            <w:shd w:val="clear" w:color="auto" w:fill="auto"/>
            <w:noWrap/>
            <w:vAlign w:val="center"/>
            <w:hideMark/>
          </w:tcPr>
          <w:p w14:paraId="4A023161"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23CADC58" w14:textId="77777777" w:rsidTr="00E70ED8">
        <w:trPr>
          <w:trHeight w:val="340"/>
        </w:trPr>
        <w:tc>
          <w:tcPr>
            <w:tcW w:w="2935" w:type="dxa"/>
            <w:shd w:val="clear" w:color="auto" w:fill="auto"/>
            <w:noWrap/>
            <w:vAlign w:val="center"/>
            <w:hideMark/>
          </w:tcPr>
          <w:p w14:paraId="506BC07A" w14:textId="77777777" w:rsidR="003E5BF5" w:rsidRPr="00655316" w:rsidRDefault="003E5BF5" w:rsidP="00DE1921">
            <w:pPr>
              <w:rPr>
                <w:rFonts w:ascii="Arial" w:hAnsi="Arial" w:cs="Arial"/>
                <w:sz w:val="24"/>
                <w:szCs w:val="24"/>
              </w:rPr>
            </w:pPr>
            <w:r w:rsidRPr="00655316">
              <w:rPr>
                <w:rFonts w:ascii="Arial" w:hAnsi="Arial" w:cs="Arial"/>
                <w:sz w:val="24"/>
                <w:szCs w:val="24"/>
              </w:rPr>
              <w:t>Other land at fair value</w:t>
            </w:r>
          </w:p>
        </w:tc>
        <w:tc>
          <w:tcPr>
            <w:tcW w:w="1302" w:type="dxa"/>
            <w:shd w:val="clear" w:color="auto" w:fill="auto"/>
            <w:noWrap/>
            <w:vAlign w:val="center"/>
            <w:hideMark/>
          </w:tcPr>
          <w:p w14:paraId="50C3E32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1,009,389 </w:t>
            </w:r>
          </w:p>
        </w:tc>
        <w:tc>
          <w:tcPr>
            <w:tcW w:w="1164" w:type="dxa"/>
            <w:shd w:val="clear" w:color="auto" w:fill="auto"/>
            <w:noWrap/>
            <w:vAlign w:val="center"/>
            <w:hideMark/>
          </w:tcPr>
          <w:p w14:paraId="05ED6EE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309,859 </w:t>
            </w:r>
          </w:p>
        </w:tc>
        <w:tc>
          <w:tcPr>
            <w:tcW w:w="1100" w:type="dxa"/>
            <w:shd w:val="clear" w:color="auto" w:fill="auto"/>
            <w:noWrap/>
            <w:vAlign w:val="center"/>
            <w:hideMark/>
          </w:tcPr>
          <w:p w14:paraId="00C3C4A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 </w:t>
            </w:r>
          </w:p>
        </w:tc>
        <w:tc>
          <w:tcPr>
            <w:tcW w:w="955" w:type="dxa"/>
            <w:shd w:val="clear" w:color="auto" w:fill="auto"/>
            <w:noWrap/>
            <w:vAlign w:val="center"/>
            <w:hideMark/>
          </w:tcPr>
          <w:p w14:paraId="715BC109"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303" w:type="dxa"/>
            <w:shd w:val="clear" w:color="auto" w:fill="auto"/>
            <w:noWrap/>
            <w:vAlign w:val="center"/>
            <w:hideMark/>
          </w:tcPr>
          <w:p w14:paraId="680960F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1,009,389 </w:t>
            </w:r>
          </w:p>
        </w:tc>
        <w:tc>
          <w:tcPr>
            <w:tcW w:w="1164" w:type="dxa"/>
            <w:shd w:val="clear" w:color="auto" w:fill="auto"/>
            <w:noWrap/>
            <w:vAlign w:val="center"/>
            <w:hideMark/>
          </w:tcPr>
          <w:p w14:paraId="4AD9E24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309,859 </w:t>
            </w:r>
          </w:p>
        </w:tc>
      </w:tr>
      <w:tr w:rsidR="003E5BF5" w:rsidRPr="00655316" w14:paraId="7A79F5EA" w14:textId="77777777" w:rsidTr="00E70ED8">
        <w:trPr>
          <w:trHeight w:val="340"/>
        </w:trPr>
        <w:tc>
          <w:tcPr>
            <w:tcW w:w="2935" w:type="dxa"/>
            <w:shd w:val="clear" w:color="auto" w:fill="auto"/>
            <w:noWrap/>
            <w:vAlign w:val="center"/>
            <w:hideMark/>
          </w:tcPr>
          <w:p w14:paraId="3873DCEF" w14:textId="77777777" w:rsidR="003E5BF5" w:rsidRPr="00655316" w:rsidRDefault="003E5BF5" w:rsidP="00DE1921">
            <w:pPr>
              <w:rPr>
                <w:rFonts w:ascii="Arial" w:hAnsi="Arial" w:cs="Arial"/>
                <w:sz w:val="24"/>
                <w:szCs w:val="24"/>
              </w:rPr>
            </w:pPr>
            <w:r w:rsidRPr="00655316">
              <w:rPr>
                <w:rFonts w:ascii="Arial" w:hAnsi="Arial" w:cs="Arial"/>
                <w:sz w:val="24"/>
                <w:szCs w:val="24"/>
              </w:rPr>
              <w:t>Roads and bridges at fair value</w:t>
            </w:r>
          </w:p>
        </w:tc>
        <w:tc>
          <w:tcPr>
            <w:tcW w:w="1302" w:type="dxa"/>
            <w:shd w:val="clear" w:color="auto" w:fill="auto"/>
            <w:noWrap/>
            <w:vAlign w:val="center"/>
            <w:hideMark/>
          </w:tcPr>
          <w:p w14:paraId="4FEF82C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19,467,704 </w:t>
            </w:r>
          </w:p>
        </w:tc>
        <w:tc>
          <w:tcPr>
            <w:tcW w:w="1164" w:type="dxa"/>
            <w:shd w:val="clear" w:color="auto" w:fill="auto"/>
            <w:noWrap/>
            <w:vAlign w:val="center"/>
            <w:hideMark/>
          </w:tcPr>
          <w:p w14:paraId="327A0BB4"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100" w:type="dxa"/>
            <w:shd w:val="clear" w:color="auto" w:fill="auto"/>
            <w:noWrap/>
            <w:vAlign w:val="center"/>
            <w:hideMark/>
          </w:tcPr>
          <w:p w14:paraId="0F1FBD5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(32,235)</w:t>
            </w:r>
          </w:p>
        </w:tc>
        <w:tc>
          <w:tcPr>
            <w:tcW w:w="955" w:type="dxa"/>
            <w:shd w:val="clear" w:color="auto" w:fill="auto"/>
            <w:noWrap/>
            <w:vAlign w:val="center"/>
            <w:hideMark/>
          </w:tcPr>
          <w:p w14:paraId="4FAEF730"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303" w:type="dxa"/>
            <w:shd w:val="clear" w:color="auto" w:fill="auto"/>
            <w:noWrap/>
            <w:vAlign w:val="center"/>
            <w:hideMark/>
          </w:tcPr>
          <w:p w14:paraId="064DC4B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19,435,469 </w:t>
            </w:r>
          </w:p>
        </w:tc>
        <w:tc>
          <w:tcPr>
            <w:tcW w:w="1164" w:type="dxa"/>
            <w:shd w:val="clear" w:color="auto" w:fill="auto"/>
            <w:noWrap/>
            <w:vAlign w:val="center"/>
            <w:hideMark/>
          </w:tcPr>
          <w:p w14:paraId="7080062E"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04C575FD" w14:textId="77777777" w:rsidTr="00E70ED8">
        <w:trPr>
          <w:trHeight w:val="340"/>
        </w:trPr>
        <w:tc>
          <w:tcPr>
            <w:tcW w:w="2935" w:type="dxa"/>
            <w:shd w:val="clear" w:color="auto" w:fill="auto"/>
            <w:noWrap/>
            <w:vAlign w:val="center"/>
            <w:hideMark/>
          </w:tcPr>
          <w:p w14:paraId="33DBFEBB" w14:textId="77777777" w:rsidR="003E5BF5" w:rsidRPr="00655316" w:rsidRDefault="003E5BF5" w:rsidP="00DE1921">
            <w:pPr>
              <w:rPr>
                <w:rFonts w:ascii="Arial" w:hAnsi="Arial" w:cs="Arial"/>
                <w:sz w:val="24"/>
                <w:szCs w:val="24"/>
              </w:rPr>
            </w:pPr>
            <w:r w:rsidRPr="00655316">
              <w:rPr>
                <w:rFonts w:ascii="Arial" w:hAnsi="Arial" w:cs="Arial"/>
                <w:sz w:val="24"/>
                <w:szCs w:val="24"/>
              </w:rPr>
              <w:t>Earthworks at fair value</w:t>
            </w:r>
          </w:p>
        </w:tc>
        <w:tc>
          <w:tcPr>
            <w:tcW w:w="1302" w:type="dxa"/>
            <w:shd w:val="clear" w:color="auto" w:fill="auto"/>
            <w:noWrap/>
            <w:vAlign w:val="center"/>
            <w:hideMark/>
          </w:tcPr>
          <w:p w14:paraId="19C814F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9,188,440 </w:t>
            </w:r>
          </w:p>
        </w:tc>
        <w:tc>
          <w:tcPr>
            <w:tcW w:w="1164" w:type="dxa"/>
            <w:shd w:val="clear" w:color="auto" w:fill="auto"/>
            <w:noWrap/>
            <w:vAlign w:val="center"/>
            <w:hideMark/>
          </w:tcPr>
          <w:p w14:paraId="2BDA0B92"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100" w:type="dxa"/>
            <w:shd w:val="clear" w:color="auto" w:fill="auto"/>
            <w:noWrap/>
            <w:vAlign w:val="center"/>
            <w:hideMark/>
          </w:tcPr>
          <w:p w14:paraId="66FABBD3"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55" w:type="dxa"/>
            <w:shd w:val="clear" w:color="auto" w:fill="auto"/>
            <w:noWrap/>
            <w:vAlign w:val="center"/>
            <w:hideMark/>
          </w:tcPr>
          <w:p w14:paraId="3C047B0C"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303" w:type="dxa"/>
            <w:shd w:val="clear" w:color="auto" w:fill="auto"/>
            <w:noWrap/>
            <w:vAlign w:val="center"/>
            <w:hideMark/>
          </w:tcPr>
          <w:p w14:paraId="12F15CB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9,188,440 </w:t>
            </w:r>
          </w:p>
        </w:tc>
        <w:tc>
          <w:tcPr>
            <w:tcW w:w="1164" w:type="dxa"/>
            <w:shd w:val="clear" w:color="auto" w:fill="auto"/>
            <w:noWrap/>
            <w:vAlign w:val="center"/>
            <w:hideMark/>
          </w:tcPr>
          <w:p w14:paraId="507DCA44"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10D84A3E" w14:textId="77777777" w:rsidTr="00E70ED8">
        <w:trPr>
          <w:trHeight w:val="340"/>
        </w:trPr>
        <w:tc>
          <w:tcPr>
            <w:tcW w:w="2935" w:type="dxa"/>
            <w:shd w:val="clear" w:color="auto" w:fill="auto"/>
            <w:noWrap/>
            <w:vAlign w:val="center"/>
            <w:hideMark/>
          </w:tcPr>
          <w:p w14:paraId="264C11E0" w14:textId="77777777" w:rsidR="003E5BF5" w:rsidRPr="00655316" w:rsidRDefault="003E5BF5" w:rsidP="00DE1921">
            <w:pPr>
              <w:rPr>
                <w:rFonts w:ascii="Arial" w:hAnsi="Arial" w:cs="Arial"/>
                <w:sz w:val="24"/>
                <w:szCs w:val="24"/>
              </w:rPr>
            </w:pPr>
            <w:r w:rsidRPr="00655316">
              <w:rPr>
                <w:rFonts w:ascii="Arial" w:hAnsi="Arial" w:cs="Arial"/>
                <w:sz w:val="24"/>
                <w:szCs w:val="24"/>
              </w:rPr>
              <w:t>Other infrastructure at fair value</w:t>
            </w:r>
          </w:p>
        </w:tc>
        <w:tc>
          <w:tcPr>
            <w:tcW w:w="1302" w:type="dxa"/>
            <w:shd w:val="clear" w:color="auto" w:fill="auto"/>
            <w:noWrap/>
            <w:vAlign w:val="center"/>
            <w:hideMark/>
          </w:tcPr>
          <w:p w14:paraId="4F56833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1,042,889 </w:t>
            </w:r>
          </w:p>
        </w:tc>
        <w:tc>
          <w:tcPr>
            <w:tcW w:w="1164" w:type="dxa"/>
            <w:shd w:val="clear" w:color="auto" w:fill="auto"/>
            <w:noWrap/>
            <w:vAlign w:val="center"/>
            <w:hideMark/>
          </w:tcPr>
          <w:p w14:paraId="44F56BD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1,344,434 </w:t>
            </w:r>
          </w:p>
        </w:tc>
        <w:tc>
          <w:tcPr>
            <w:tcW w:w="1100" w:type="dxa"/>
            <w:shd w:val="clear" w:color="auto" w:fill="auto"/>
            <w:noWrap/>
            <w:vAlign w:val="center"/>
            <w:hideMark/>
          </w:tcPr>
          <w:p w14:paraId="1637D9A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(26,267)</w:t>
            </w:r>
          </w:p>
        </w:tc>
        <w:tc>
          <w:tcPr>
            <w:tcW w:w="955" w:type="dxa"/>
            <w:shd w:val="clear" w:color="auto" w:fill="auto"/>
            <w:noWrap/>
            <w:vAlign w:val="center"/>
            <w:hideMark/>
          </w:tcPr>
          <w:p w14:paraId="77A673E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(2,644)</w:t>
            </w:r>
          </w:p>
        </w:tc>
        <w:tc>
          <w:tcPr>
            <w:tcW w:w="1303" w:type="dxa"/>
            <w:shd w:val="clear" w:color="auto" w:fill="auto"/>
            <w:noWrap/>
            <w:vAlign w:val="center"/>
            <w:hideMark/>
          </w:tcPr>
          <w:p w14:paraId="47B9254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1,016,622 </w:t>
            </w:r>
          </w:p>
        </w:tc>
        <w:tc>
          <w:tcPr>
            <w:tcW w:w="1164" w:type="dxa"/>
            <w:shd w:val="clear" w:color="auto" w:fill="auto"/>
            <w:noWrap/>
            <w:vAlign w:val="center"/>
            <w:hideMark/>
          </w:tcPr>
          <w:p w14:paraId="24D8163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1,341,790 </w:t>
            </w:r>
          </w:p>
        </w:tc>
      </w:tr>
      <w:tr w:rsidR="003E5BF5" w:rsidRPr="00655316" w14:paraId="2309C4CC" w14:textId="77777777" w:rsidTr="00E70ED8">
        <w:trPr>
          <w:trHeight w:val="340"/>
        </w:trPr>
        <w:tc>
          <w:tcPr>
            <w:tcW w:w="2935" w:type="dxa"/>
            <w:shd w:val="clear" w:color="auto" w:fill="auto"/>
            <w:noWrap/>
            <w:vAlign w:val="center"/>
            <w:hideMark/>
          </w:tcPr>
          <w:p w14:paraId="54A4EA57" w14:textId="77777777" w:rsidR="003E5BF5" w:rsidRPr="00655316" w:rsidRDefault="003E5BF5" w:rsidP="00DE1921">
            <w:pPr>
              <w:rPr>
                <w:rFonts w:ascii="Arial" w:hAnsi="Arial" w:cs="Arial"/>
                <w:sz w:val="24"/>
                <w:szCs w:val="24"/>
              </w:rPr>
            </w:pPr>
            <w:r w:rsidRPr="00655316">
              <w:rPr>
                <w:rFonts w:ascii="Arial" w:hAnsi="Arial" w:cs="Arial"/>
                <w:sz w:val="24"/>
                <w:szCs w:val="24"/>
              </w:rPr>
              <w:t>Buildings at fair value</w:t>
            </w:r>
          </w:p>
        </w:tc>
        <w:tc>
          <w:tcPr>
            <w:tcW w:w="1302" w:type="dxa"/>
            <w:shd w:val="clear" w:color="auto" w:fill="auto"/>
            <w:noWrap/>
            <w:vAlign w:val="center"/>
            <w:hideMark/>
          </w:tcPr>
          <w:p w14:paraId="55BEDFD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75,610 </w:t>
            </w:r>
          </w:p>
        </w:tc>
        <w:tc>
          <w:tcPr>
            <w:tcW w:w="1164" w:type="dxa"/>
            <w:shd w:val="clear" w:color="auto" w:fill="auto"/>
            <w:noWrap/>
            <w:vAlign w:val="center"/>
            <w:hideMark/>
          </w:tcPr>
          <w:p w14:paraId="169D81C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4,936 </w:t>
            </w:r>
          </w:p>
        </w:tc>
        <w:tc>
          <w:tcPr>
            <w:tcW w:w="1100" w:type="dxa"/>
            <w:shd w:val="clear" w:color="auto" w:fill="auto"/>
            <w:noWrap/>
            <w:vAlign w:val="center"/>
            <w:hideMark/>
          </w:tcPr>
          <w:p w14:paraId="3388D79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(219)</w:t>
            </w:r>
          </w:p>
        </w:tc>
        <w:tc>
          <w:tcPr>
            <w:tcW w:w="955" w:type="dxa"/>
            <w:shd w:val="clear" w:color="auto" w:fill="auto"/>
            <w:noWrap/>
            <w:vAlign w:val="center"/>
            <w:hideMark/>
          </w:tcPr>
          <w:p w14:paraId="23C3479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(110)</w:t>
            </w:r>
          </w:p>
        </w:tc>
        <w:tc>
          <w:tcPr>
            <w:tcW w:w="1303" w:type="dxa"/>
            <w:shd w:val="clear" w:color="auto" w:fill="auto"/>
            <w:noWrap/>
            <w:vAlign w:val="center"/>
            <w:hideMark/>
          </w:tcPr>
          <w:p w14:paraId="159F661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75,391 </w:t>
            </w:r>
          </w:p>
        </w:tc>
        <w:tc>
          <w:tcPr>
            <w:tcW w:w="1164" w:type="dxa"/>
            <w:shd w:val="clear" w:color="auto" w:fill="auto"/>
            <w:noWrap/>
            <w:vAlign w:val="center"/>
            <w:hideMark/>
          </w:tcPr>
          <w:p w14:paraId="1F1C7D9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4,826 </w:t>
            </w:r>
          </w:p>
        </w:tc>
      </w:tr>
      <w:tr w:rsidR="003E5BF5" w:rsidRPr="00655316" w14:paraId="67B1795F" w14:textId="77777777" w:rsidTr="00E70ED8">
        <w:trPr>
          <w:trHeight w:val="340"/>
        </w:trPr>
        <w:tc>
          <w:tcPr>
            <w:tcW w:w="2935" w:type="dxa"/>
            <w:shd w:val="clear" w:color="auto" w:fill="auto"/>
            <w:noWrap/>
            <w:vAlign w:val="center"/>
            <w:hideMark/>
          </w:tcPr>
          <w:p w14:paraId="48CF8486" w14:textId="77777777" w:rsidR="003E5BF5" w:rsidRPr="00655316" w:rsidRDefault="003E5BF5" w:rsidP="00DE1921">
            <w:pPr>
              <w:rPr>
                <w:rFonts w:ascii="Arial" w:hAnsi="Arial" w:cs="Arial"/>
                <w:sz w:val="24"/>
                <w:szCs w:val="24"/>
              </w:rPr>
            </w:pPr>
            <w:r w:rsidRPr="00655316">
              <w:rPr>
                <w:rFonts w:ascii="Arial" w:hAnsi="Arial" w:cs="Arial"/>
                <w:sz w:val="24"/>
                <w:szCs w:val="24"/>
              </w:rPr>
              <w:t>Plant, equipment and vehicles at fair value</w:t>
            </w:r>
          </w:p>
        </w:tc>
        <w:tc>
          <w:tcPr>
            <w:tcW w:w="1302" w:type="dxa"/>
            <w:shd w:val="clear" w:color="auto" w:fill="auto"/>
            <w:noWrap/>
            <w:hideMark/>
          </w:tcPr>
          <w:p w14:paraId="5C1BEE4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131,545 </w:t>
            </w:r>
          </w:p>
        </w:tc>
        <w:tc>
          <w:tcPr>
            <w:tcW w:w="1164" w:type="dxa"/>
            <w:shd w:val="clear" w:color="auto" w:fill="auto"/>
            <w:noWrap/>
            <w:hideMark/>
          </w:tcPr>
          <w:p w14:paraId="369125A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5,556 </w:t>
            </w:r>
          </w:p>
        </w:tc>
        <w:tc>
          <w:tcPr>
            <w:tcW w:w="1100" w:type="dxa"/>
            <w:shd w:val="clear" w:color="auto" w:fill="auto"/>
            <w:noWrap/>
            <w:hideMark/>
          </w:tcPr>
          <w:p w14:paraId="795F892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(9,884)</w:t>
            </w:r>
          </w:p>
        </w:tc>
        <w:tc>
          <w:tcPr>
            <w:tcW w:w="955" w:type="dxa"/>
            <w:shd w:val="clear" w:color="auto" w:fill="auto"/>
            <w:noWrap/>
            <w:hideMark/>
          </w:tcPr>
          <w:p w14:paraId="611CC00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(2,003)</w:t>
            </w:r>
          </w:p>
        </w:tc>
        <w:tc>
          <w:tcPr>
            <w:tcW w:w="1303" w:type="dxa"/>
            <w:shd w:val="clear" w:color="auto" w:fill="auto"/>
            <w:noWrap/>
            <w:hideMark/>
          </w:tcPr>
          <w:p w14:paraId="26FFD54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121,661 </w:t>
            </w:r>
          </w:p>
        </w:tc>
        <w:tc>
          <w:tcPr>
            <w:tcW w:w="1164" w:type="dxa"/>
            <w:shd w:val="clear" w:color="auto" w:fill="auto"/>
            <w:noWrap/>
            <w:hideMark/>
          </w:tcPr>
          <w:p w14:paraId="3FA63E5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3,553 </w:t>
            </w:r>
          </w:p>
        </w:tc>
      </w:tr>
      <w:tr w:rsidR="003E5BF5" w:rsidRPr="00655316" w14:paraId="3A2D34E1" w14:textId="77777777" w:rsidTr="00E70ED8">
        <w:trPr>
          <w:trHeight w:val="340"/>
        </w:trPr>
        <w:tc>
          <w:tcPr>
            <w:tcW w:w="2935" w:type="dxa"/>
            <w:shd w:val="clear" w:color="auto" w:fill="auto"/>
            <w:noWrap/>
            <w:vAlign w:val="center"/>
            <w:hideMark/>
          </w:tcPr>
          <w:p w14:paraId="1E8A2A73" w14:textId="77777777" w:rsidR="003E5BF5" w:rsidRPr="00655316" w:rsidRDefault="003E5BF5" w:rsidP="00DE1921">
            <w:pPr>
              <w:rPr>
                <w:rFonts w:ascii="Arial" w:hAnsi="Arial" w:cs="Arial"/>
                <w:sz w:val="24"/>
                <w:szCs w:val="24"/>
              </w:rPr>
            </w:pPr>
            <w:r w:rsidRPr="00655316">
              <w:rPr>
                <w:rFonts w:ascii="Arial" w:hAnsi="Arial" w:cs="Arial"/>
                <w:sz w:val="24"/>
                <w:szCs w:val="24"/>
              </w:rPr>
              <w:t>Leasehold improvements</w:t>
            </w:r>
          </w:p>
        </w:tc>
        <w:tc>
          <w:tcPr>
            <w:tcW w:w="1302" w:type="dxa"/>
            <w:shd w:val="clear" w:color="auto" w:fill="auto"/>
            <w:noWrap/>
            <w:vAlign w:val="center"/>
            <w:hideMark/>
          </w:tcPr>
          <w:p w14:paraId="358B37B3"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164" w:type="dxa"/>
            <w:shd w:val="clear" w:color="auto" w:fill="auto"/>
            <w:noWrap/>
            <w:vAlign w:val="center"/>
            <w:hideMark/>
          </w:tcPr>
          <w:p w14:paraId="38E4912A"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100" w:type="dxa"/>
            <w:shd w:val="clear" w:color="auto" w:fill="auto"/>
            <w:noWrap/>
            <w:vAlign w:val="center"/>
            <w:hideMark/>
          </w:tcPr>
          <w:p w14:paraId="33A1C882"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55" w:type="dxa"/>
            <w:shd w:val="clear" w:color="auto" w:fill="auto"/>
            <w:noWrap/>
            <w:vAlign w:val="center"/>
            <w:hideMark/>
          </w:tcPr>
          <w:p w14:paraId="6095EB4E"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303" w:type="dxa"/>
            <w:shd w:val="clear" w:color="auto" w:fill="auto"/>
            <w:noWrap/>
            <w:vAlign w:val="center"/>
            <w:hideMark/>
          </w:tcPr>
          <w:p w14:paraId="7271057F"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164" w:type="dxa"/>
            <w:shd w:val="clear" w:color="auto" w:fill="auto"/>
            <w:noWrap/>
            <w:vAlign w:val="center"/>
            <w:hideMark/>
          </w:tcPr>
          <w:p w14:paraId="74ECC422"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5C46E4D5" w14:textId="77777777" w:rsidTr="00E70ED8">
        <w:trPr>
          <w:trHeight w:val="340"/>
        </w:trPr>
        <w:tc>
          <w:tcPr>
            <w:tcW w:w="2935" w:type="dxa"/>
            <w:shd w:val="clear" w:color="auto" w:fill="auto"/>
            <w:vAlign w:val="center"/>
            <w:hideMark/>
          </w:tcPr>
          <w:p w14:paraId="73525E32" w14:textId="77777777" w:rsidR="003E5BF5" w:rsidRPr="00655316" w:rsidRDefault="003E5BF5" w:rsidP="00DE1921">
            <w:pPr>
              <w:rPr>
                <w:rFonts w:ascii="Arial" w:hAnsi="Arial" w:cs="Arial"/>
                <w:sz w:val="24"/>
                <w:szCs w:val="24"/>
              </w:rPr>
            </w:pPr>
            <w:r w:rsidRPr="00655316">
              <w:rPr>
                <w:rFonts w:ascii="Arial" w:hAnsi="Arial" w:cs="Arial"/>
                <w:sz w:val="24"/>
                <w:szCs w:val="24"/>
              </w:rPr>
              <w:t>Cultural assets at fair value</w:t>
            </w:r>
          </w:p>
        </w:tc>
        <w:tc>
          <w:tcPr>
            <w:tcW w:w="1302" w:type="dxa"/>
            <w:shd w:val="clear" w:color="auto" w:fill="auto"/>
            <w:noWrap/>
            <w:vAlign w:val="center"/>
            <w:hideMark/>
          </w:tcPr>
          <w:p w14:paraId="39F4A8C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2,609 </w:t>
            </w:r>
          </w:p>
        </w:tc>
        <w:tc>
          <w:tcPr>
            <w:tcW w:w="1164" w:type="dxa"/>
            <w:shd w:val="clear" w:color="auto" w:fill="auto"/>
            <w:noWrap/>
            <w:vAlign w:val="center"/>
            <w:hideMark/>
          </w:tcPr>
          <w:p w14:paraId="79FC145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256 </w:t>
            </w:r>
          </w:p>
        </w:tc>
        <w:tc>
          <w:tcPr>
            <w:tcW w:w="1100" w:type="dxa"/>
            <w:shd w:val="clear" w:color="auto" w:fill="auto"/>
            <w:noWrap/>
            <w:vAlign w:val="center"/>
            <w:hideMark/>
          </w:tcPr>
          <w:p w14:paraId="56A527F8"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55" w:type="dxa"/>
            <w:shd w:val="clear" w:color="auto" w:fill="auto"/>
            <w:noWrap/>
            <w:vAlign w:val="center"/>
            <w:hideMark/>
          </w:tcPr>
          <w:p w14:paraId="18FB3155"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303" w:type="dxa"/>
            <w:shd w:val="clear" w:color="auto" w:fill="auto"/>
            <w:noWrap/>
            <w:vAlign w:val="center"/>
            <w:hideMark/>
          </w:tcPr>
          <w:p w14:paraId="77A0545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2,609 </w:t>
            </w:r>
          </w:p>
        </w:tc>
        <w:tc>
          <w:tcPr>
            <w:tcW w:w="1164" w:type="dxa"/>
            <w:shd w:val="clear" w:color="auto" w:fill="auto"/>
            <w:noWrap/>
            <w:vAlign w:val="center"/>
            <w:hideMark/>
          </w:tcPr>
          <w:p w14:paraId="5CD1160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256 </w:t>
            </w:r>
          </w:p>
        </w:tc>
      </w:tr>
      <w:tr w:rsidR="003E5BF5" w:rsidRPr="00655316" w14:paraId="20DEC90D" w14:textId="77777777" w:rsidTr="00E70ED8">
        <w:trPr>
          <w:trHeight w:val="340"/>
        </w:trPr>
        <w:tc>
          <w:tcPr>
            <w:tcW w:w="2935" w:type="dxa"/>
            <w:tcBorders>
              <w:bottom w:val="single" w:sz="4" w:space="0" w:color="auto"/>
            </w:tcBorders>
            <w:shd w:val="clear" w:color="auto" w:fill="auto"/>
            <w:noWrap/>
            <w:vAlign w:val="center"/>
            <w:hideMark/>
          </w:tcPr>
          <w:p w14:paraId="26C59480" w14:textId="77777777" w:rsidR="003E5BF5" w:rsidRPr="00655316" w:rsidRDefault="003E5BF5" w:rsidP="00DE1921">
            <w:pPr>
              <w:rPr>
                <w:rFonts w:ascii="Arial" w:hAnsi="Arial" w:cs="Arial"/>
                <w:sz w:val="24"/>
                <w:szCs w:val="24"/>
              </w:rPr>
            </w:pPr>
            <w:r w:rsidRPr="00655316">
              <w:rPr>
                <w:rFonts w:ascii="Arial" w:hAnsi="Arial" w:cs="Arial"/>
                <w:sz w:val="24"/>
                <w:szCs w:val="24"/>
              </w:rPr>
              <w:t>Assets under construction at cost</w:t>
            </w:r>
          </w:p>
        </w:tc>
        <w:tc>
          <w:tcPr>
            <w:tcW w:w="1302" w:type="dxa"/>
            <w:tcBorders>
              <w:bottom w:val="single" w:sz="4" w:space="0" w:color="auto"/>
            </w:tcBorders>
            <w:shd w:val="clear" w:color="auto" w:fill="auto"/>
            <w:noWrap/>
            <w:vAlign w:val="center"/>
            <w:hideMark/>
          </w:tcPr>
          <w:p w14:paraId="04DEB32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2,760,698 </w:t>
            </w:r>
          </w:p>
        </w:tc>
        <w:tc>
          <w:tcPr>
            <w:tcW w:w="1164" w:type="dxa"/>
            <w:tcBorders>
              <w:bottom w:val="single" w:sz="4" w:space="0" w:color="auto"/>
            </w:tcBorders>
            <w:shd w:val="clear" w:color="auto" w:fill="auto"/>
            <w:noWrap/>
            <w:vAlign w:val="center"/>
            <w:hideMark/>
          </w:tcPr>
          <w:p w14:paraId="6E8C22B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1,878,592 </w:t>
            </w:r>
          </w:p>
        </w:tc>
        <w:tc>
          <w:tcPr>
            <w:tcW w:w="1100" w:type="dxa"/>
            <w:tcBorders>
              <w:bottom w:val="single" w:sz="4" w:space="0" w:color="auto"/>
            </w:tcBorders>
            <w:shd w:val="clear" w:color="auto" w:fill="auto"/>
            <w:noWrap/>
            <w:vAlign w:val="center"/>
            <w:hideMark/>
          </w:tcPr>
          <w:p w14:paraId="111D3CEC"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55" w:type="dxa"/>
            <w:tcBorders>
              <w:bottom w:val="single" w:sz="4" w:space="0" w:color="auto"/>
            </w:tcBorders>
            <w:shd w:val="clear" w:color="auto" w:fill="auto"/>
            <w:noWrap/>
            <w:vAlign w:val="center"/>
            <w:hideMark/>
          </w:tcPr>
          <w:p w14:paraId="29B6ED3F"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303" w:type="dxa"/>
            <w:tcBorders>
              <w:bottom w:val="single" w:sz="4" w:space="0" w:color="auto"/>
            </w:tcBorders>
            <w:shd w:val="clear" w:color="auto" w:fill="auto"/>
            <w:noWrap/>
            <w:vAlign w:val="center"/>
            <w:hideMark/>
          </w:tcPr>
          <w:p w14:paraId="69B8569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2,760,698 </w:t>
            </w:r>
          </w:p>
        </w:tc>
        <w:tc>
          <w:tcPr>
            <w:tcW w:w="1164" w:type="dxa"/>
            <w:tcBorders>
              <w:bottom w:val="single" w:sz="4" w:space="0" w:color="auto"/>
            </w:tcBorders>
            <w:shd w:val="clear" w:color="auto" w:fill="auto"/>
            <w:noWrap/>
            <w:vAlign w:val="center"/>
            <w:hideMark/>
          </w:tcPr>
          <w:p w14:paraId="5FDF9ED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1,878,592 </w:t>
            </w:r>
          </w:p>
        </w:tc>
      </w:tr>
      <w:tr w:rsidR="003E5BF5" w:rsidRPr="00655316" w14:paraId="2043E80E" w14:textId="77777777" w:rsidTr="00E70ED8">
        <w:trPr>
          <w:trHeight w:val="340"/>
        </w:trPr>
        <w:tc>
          <w:tcPr>
            <w:tcW w:w="2935" w:type="dxa"/>
            <w:tcBorders>
              <w:bottom w:val="single" w:sz="4" w:space="0" w:color="auto"/>
            </w:tcBorders>
            <w:shd w:val="clear" w:color="auto" w:fill="auto"/>
            <w:noWrap/>
            <w:vAlign w:val="center"/>
            <w:hideMark/>
          </w:tcPr>
          <w:p w14:paraId="1DD3AAC0" w14:textId="77777777" w:rsidR="003E5BF5" w:rsidRPr="00655316" w:rsidRDefault="003E5BF5" w:rsidP="00DE1921">
            <w:pPr>
              <w:rPr>
                <w:rFonts w:ascii="Arial" w:hAnsi="Arial" w:cs="Arial"/>
                <w:b/>
                <w:sz w:val="24"/>
                <w:szCs w:val="24"/>
              </w:rPr>
            </w:pPr>
            <w:r w:rsidRPr="00655316">
              <w:rPr>
                <w:rFonts w:ascii="Arial" w:hAnsi="Arial" w:cs="Arial"/>
                <w:b/>
                <w:sz w:val="24"/>
                <w:szCs w:val="24"/>
              </w:rPr>
              <w:t>Net carrying amount</w:t>
            </w:r>
          </w:p>
        </w:tc>
        <w:tc>
          <w:tcPr>
            <w:tcW w:w="1302" w:type="dxa"/>
            <w:tcBorders>
              <w:bottom w:val="single" w:sz="4" w:space="0" w:color="auto"/>
            </w:tcBorders>
            <w:shd w:val="clear" w:color="auto" w:fill="auto"/>
            <w:noWrap/>
            <w:vAlign w:val="center"/>
            <w:hideMark/>
          </w:tcPr>
          <w:p w14:paraId="5C4A55F9"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69,785,021 </w:t>
            </w:r>
          </w:p>
        </w:tc>
        <w:tc>
          <w:tcPr>
            <w:tcW w:w="1164" w:type="dxa"/>
            <w:tcBorders>
              <w:bottom w:val="single" w:sz="4" w:space="0" w:color="auto"/>
            </w:tcBorders>
            <w:shd w:val="clear" w:color="auto" w:fill="auto"/>
            <w:noWrap/>
            <w:vAlign w:val="center"/>
            <w:hideMark/>
          </w:tcPr>
          <w:p w14:paraId="2AD1239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3,543,633 </w:t>
            </w:r>
          </w:p>
        </w:tc>
        <w:tc>
          <w:tcPr>
            <w:tcW w:w="1100" w:type="dxa"/>
            <w:tcBorders>
              <w:bottom w:val="single" w:sz="4" w:space="0" w:color="auto"/>
            </w:tcBorders>
            <w:shd w:val="clear" w:color="auto" w:fill="auto"/>
            <w:noWrap/>
            <w:vAlign w:val="center"/>
            <w:hideMark/>
          </w:tcPr>
          <w:p w14:paraId="344E8A6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(68,605)</w:t>
            </w:r>
          </w:p>
        </w:tc>
        <w:tc>
          <w:tcPr>
            <w:tcW w:w="955" w:type="dxa"/>
            <w:tcBorders>
              <w:bottom w:val="single" w:sz="4" w:space="0" w:color="auto"/>
            </w:tcBorders>
            <w:shd w:val="clear" w:color="auto" w:fill="auto"/>
            <w:noWrap/>
            <w:vAlign w:val="center"/>
            <w:hideMark/>
          </w:tcPr>
          <w:p w14:paraId="441F8C1F"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(4,757)</w:t>
            </w:r>
          </w:p>
        </w:tc>
        <w:tc>
          <w:tcPr>
            <w:tcW w:w="1303" w:type="dxa"/>
            <w:tcBorders>
              <w:bottom w:val="single" w:sz="4" w:space="0" w:color="auto"/>
            </w:tcBorders>
            <w:shd w:val="clear" w:color="auto" w:fill="auto"/>
            <w:noWrap/>
            <w:vAlign w:val="center"/>
            <w:hideMark/>
          </w:tcPr>
          <w:p w14:paraId="094F55C9"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69,716,416 </w:t>
            </w:r>
          </w:p>
        </w:tc>
        <w:tc>
          <w:tcPr>
            <w:tcW w:w="1164" w:type="dxa"/>
            <w:tcBorders>
              <w:bottom w:val="single" w:sz="4" w:space="0" w:color="auto"/>
            </w:tcBorders>
            <w:shd w:val="clear" w:color="auto" w:fill="auto"/>
            <w:noWrap/>
            <w:vAlign w:val="center"/>
            <w:hideMark/>
          </w:tcPr>
          <w:p w14:paraId="439AAF4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3,538,876 </w:t>
            </w:r>
          </w:p>
        </w:tc>
      </w:tr>
    </w:tbl>
    <w:p w14:paraId="24EB744E" w14:textId="77777777" w:rsidR="00E70ED8" w:rsidRPr="00655316" w:rsidRDefault="00E70ED8" w:rsidP="00E70ED8">
      <w:pPr>
        <w:pStyle w:val="Note"/>
        <w:rPr>
          <w:rFonts w:ascii="Arial" w:hAnsi="Arial" w:cs="Arial"/>
          <w:sz w:val="24"/>
          <w:szCs w:val="24"/>
        </w:rPr>
      </w:pPr>
      <w:r w:rsidRPr="00655316">
        <w:rPr>
          <w:rFonts w:ascii="Arial" w:hAnsi="Arial" w:cs="Arial"/>
          <w:sz w:val="24"/>
          <w:szCs w:val="24"/>
        </w:rPr>
        <w:t>Notes:</w:t>
      </w:r>
    </w:p>
    <w:p w14:paraId="77D98B68" w14:textId="77777777" w:rsidR="00E70ED8" w:rsidRPr="00655316" w:rsidRDefault="00E70ED8" w:rsidP="00610F5F">
      <w:pPr>
        <w:pStyle w:val="aaaNotenumberiiiiii"/>
        <w:numPr>
          <w:ilvl w:val="0"/>
          <w:numId w:val="87"/>
        </w:numPr>
      </w:pPr>
      <w:r w:rsidRPr="00655316">
        <w:t>These are the PPE assets that are not right-of-use or service concession arrangements.</w:t>
      </w:r>
    </w:p>
    <w:p w14:paraId="6FC60206" w14:textId="77777777" w:rsidR="00E70ED8" w:rsidRPr="00655316" w:rsidRDefault="00E70ED8" w:rsidP="00E70ED8">
      <w:pPr>
        <w:pStyle w:val="aaaNotenumberiiiiii"/>
      </w:pPr>
      <w:r w:rsidRPr="00655316">
        <w:t>Refer to Note 5.1.6.3 for the reconciliation of movements in carrying amount of other non-financial physical assets.</w:t>
      </w:r>
    </w:p>
    <w:p w14:paraId="43240843" w14:textId="77777777" w:rsidR="003E5BF5" w:rsidRDefault="003E5BF5" w:rsidP="00EF5131">
      <w:pPr>
        <w:pStyle w:val="Heading5"/>
      </w:pPr>
    </w:p>
    <w:p w14:paraId="4E174434" w14:textId="449FD7BB" w:rsidR="00E70ED8" w:rsidRPr="00E70ED8" w:rsidRDefault="00E70ED8" w:rsidP="00E70ED8">
      <w:pPr>
        <w:sectPr w:rsidR="00E70ED8" w:rsidRPr="00E70ED8" w:rsidSect="00DE1921">
          <w:type w:val="continuous"/>
          <w:pgSz w:w="11906" w:h="16838"/>
          <w:pgMar w:top="1701" w:right="1418" w:bottom="1418" w:left="1418" w:header="708" w:footer="708" w:gutter="0"/>
          <w:cols w:space="708"/>
          <w:docGrid w:linePitch="360"/>
        </w:sectPr>
      </w:pPr>
    </w:p>
    <w:p w14:paraId="6DA06A7D" w14:textId="77777777" w:rsidR="003E5BF5" w:rsidRPr="008E2794" w:rsidRDefault="003E5BF5" w:rsidP="00EF5131">
      <w:pPr>
        <w:pStyle w:val="Heading5"/>
      </w:pPr>
      <w:r w:rsidRPr="008E2794">
        <w:t>Initial recognition</w:t>
      </w:r>
    </w:p>
    <w:p w14:paraId="3E221F58" w14:textId="77777777" w:rsidR="003E5BF5" w:rsidRDefault="003E5BF5" w:rsidP="00945803">
      <w:pPr>
        <w:pStyle w:val="aaatyping"/>
      </w:pPr>
      <w:r>
        <w:t xml:space="preserve">Other non-financial physical assets are measured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 </w:t>
      </w:r>
    </w:p>
    <w:p w14:paraId="3E193608" w14:textId="77777777" w:rsidR="003E5BF5" w:rsidRDefault="003E5BF5" w:rsidP="00945803">
      <w:pPr>
        <w:pStyle w:val="aaatyping"/>
      </w:pPr>
      <w:r>
        <w:lastRenderedPageBreak/>
        <w:t xml:space="preserve">The cost of constructed non-financial physical assets includes the cost of all materials used in construction, direct labour on the project and an appropriate proportion of variable and fixed overheads. </w:t>
      </w:r>
    </w:p>
    <w:p w14:paraId="683A9A2F" w14:textId="77777777" w:rsidR="003E5BF5" w:rsidRDefault="003E5BF5" w:rsidP="00945803">
      <w:pPr>
        <w:pStyle w:val="aaatyping"/>
      </w:pPr>
      <w:r>
        <w:t>The cost of a leasehold improvement is capitalised and depreciated over the shorter of the remaining term of the lease or their estimated useful lives.</w:t>
      </w:r>
    </w:p>
    <w:p w14:paraId="2B39EFA4" w14:textId="2136F0A6" w:rsidR="003E5BF5" w:rsidRPr="008E2794" w:rsidRDefault="003E5BF5" w:rsidP="00EF5131">
      <w:pPr>
        <w:pStyle w:val="Heading5"/>
      </w:pPr>
      <w:r w:rsidRPr="008E2794">
        <w:t>Subsequent measurement</w:t>
      </w:r>
    </w:p>
    <w:p w14:paraId="68AB3600" w14:textId="7F877BA3" w:rsidR="003E5BF5" w:rsidRDefault="003E5BF5" w:rsidP="00945803">
      <w:pPr>
        <w:pStyle w:val="aaatyping"/>
      </w:pPr>
      <w:r>
        <w:t xml:space="preserve">Items of non-financial physical assets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in </w:t>
      </w:r>
      <w:r w:rsidRPr="004C7C86">
        <w:t>Note 8.3.2 Fair value determinatio</w:t>
      </w:r>
      <w:r>
        <w:t>n</w:t>
      </w:r>
      <w:r w:rsidRPr="004C7C86">
        <w:t xml:space="preserve"> </w:t>
      </w:r>
      <w:r>
        <w:t xml:space="preserve">by asset category with further details provided on accounting for revaluation in Note 5.1.4 </w:t>
      </w:r>
      <w:r w:rsidRPr="00425B55">
        <w:t>Revaluations of Property Plant and Equipment</w:t>
      </w:r>
      <w:r>
        <w:t xml:space="preserve">. </w:t>
      </w:r>
    </w:p>
    <w:p w14:paraId="3972A116" w14:textId="10398F85" w:rsidR="003E5BF5" w:rsidRDefault="003E5BF5">
      <w:pPr>
        <w:rPr>
          <w:rFonts w:eastAsiaTheme="majorEastAsia" w:cstheme="majorBidi"/>
          <w:color w:val="70AD47" w:themeColor="accent6"/>
          <w:sz w:val="24"/>
          <w:szCs w:val="24"/>
        </w:rPr>
      </w:pPr>
      <w:r>
        <w:br w:type="page"/>
      </w:r>
    </w:p>
    <w:p w14:paraId="7D9A8981" w14:textId="77777777" w:rsidR="003E5BF5" w:rsidRDefault="003E5BF5" w:rsidP="006667CC">
      <w:pPr>
        <w:pStyle w:val="Heading3"/>
        <w:numPr>
          <w:ilvl w:val="2"/>
          <w:numId w:val="3"/>
        </w:numPr>
        <w:ind w:left="851" w:hanging="851"/>
      </w:pPr>
      <w:r w:rsidRPr="0013355A">
        <w:lastRenderedPageBreak/>
        <w:t xml:space="preserve">Revaluations of Property Plant and Equipment </w:t>
      </w:r>
    </w:p>
    <w:p w14:paraId="2C9A02C4" w14:textId="77777777" w:rsidR="003E5BF5" w:rsidRDefault="003E5BF5" w:rsidP="00DE1921">
      <w:pPr>
        <w:sectPr w:rsidR="003E5BF5" w:rsidSect="00DE1921">
          <w:type w:val="continuous"/>
          <w:pgSz w:w="11906" w:h="16838"/>
          <w:pgMar w:top="1701" w:right="1418" w:bottom="1418" w:left="1418" w:header="708" w:footer="708" w:gutter="0"/>
          <w:cols w:space="708"/>
          <w:docGrid w:linePitch="360"/>
        </w:sectPr>
      </w:pPr>
    </w:p>
    <w:p w14:paraId="2B68D812" w14:textId="77777777" w:rsidR="003E5BF5" w:rsidRDefault="003E5BF5" w:rsidP="00945803">
      <w:pPr>
        <w:pStyle w:val="aaatyping"/>
      </w:pPr>
      <w:r>
        <w:t xml:space="preserve">Non-financial physical assets are revalued at fair value every five years in accordance with the Government purpose classifications defined in </w:t>
      </w:r>
      <w:r w:rsidRPr="00D122FF">
        <w:t xml:space="preserve">Financial Reporting Direction 103H </w:t>
      </w:r>
      <w:r w:rsidRPr="00D122FF">
        <w:rPr>
          <w:i/>
          <w:iCs/>
        </w:rPr>
        <w:t>Non-Financial Physical Assets</w:t>
      </w:r>
      <w:r w:rsidRPr="00D122FF">
        <w:t xml:space="preserve"> (FRD 103H).</w:t>
      </w:r>
    </w:p>
    <w:p w14:paraId="7035ED39" w14:textId="77777777" w:rsidR="003E5BF5" w:rsidRDefault="003E5BF5" w:rsidP="00945803">
      <w:pPr>
        <w:pStyle w:val="aaatyping"/>
      </w:pPr>
      <w:r>
        <w:t xml:space="preserve">The Valuer-General Victoria (VGV) is the Government’s independent valuation agency and is used by the department to conduct these scheduled revaluations. Certain infrastructure assets are revalued using specialised advisors under the direction of the VGV. </w:t>
      </w:r>
    </w:p>
    <w:p w14:paraId="5FDA96DF" w14:textId="77777777" w:rsidR="003E5BF5" w:rsidRDefault="003E5BF5" w:rsidP="00945803">
      <w:pPr>
        <w:pStyle w:val="aaatyping"/>
      </w:pPr>
      <w:r>
        <w:t>Revaluations may occur more frequently if fair value assessments indicate material changes in values. In such instances, interim managerial revaluations are undertaken in accordance with the requirements of FRD 103H.</w:t>
      </w:r>
    </w:p>
    <w:p w14:paraId="5FDAC9E4" w14:textId="77777777" w:rsidR="003E5BF5" w:rsidRDefault="003E5BF5" w:rsidP="00945803">
      <w:pPr>
        <w:pStyle w:val="aaatyping"/>
      </w:pPr>
      <w:r>
        <w:t xml:space="preserve">The department in conjunction with VGV, monitors changes in the fair value of each asset class through relevant data sources, in order to determine whether a revaluation is required. </w:t>
      </w:r>
    </w:p>
    <w:p w14:paraId="67802AB5" w14:textId="77777777" w:rsidR="003E5BF5" w:rsidRDefault="003E5BF5" w:rsidP="00945803">
      <w:pPr>
        <w:pStyle w:val="aaatyping"/>
      </w:pPr>
      <w:r>
        <w:t xml:space="preserve">The departments assets relating to land, buildings, infrastructure and cultural assets </w:t>
      </w:r>
      <w:r w:rsidRPr="00130C83">
        <w:t xml:space="preserve">were independently valued by the </w:t>
      </w:r>
      <w:r>
        <w:t>VGV</w:t>
      </w:r>
      <w:r w:rsidRPr="00130C83">
        <w:t xml:space="preserve"> as at 30 June 20</w:t>
      </w:r>
      <w:r>
        <w:t>20</w:t>
      </w:r>
      <w:r w:rsidRPr="00130C83">
        <w:t>.</w:t>
      </w:r>
      <w:r>
        <w:t xml:space="preserve"> </w:t>
      </w:r>
      <w:r w:rsidRPr="00D930E8">
        <w:t xml:space="preserve">The market that the assets are valued in is being impacted by the uncertainty that the </w:t>
      </w:r>
      <w:r>
        <w:rPr>
          <w:rFonts w:eastAsia="Times New Roman"/>
        </w:rPr>
        <w:t>coronavirus (COVID-19)</w:t>
      </w:r>
      <w:r w:rsidRPr="00D930E8">
        <w:t xml:space="preserve"> outbreak has caused. The valuer has advised that the current market environment, impacted by </w:t>
      </w:r>
      <w:r>
        <w:rPr>
          <w:rFonts w:eastAsia="Times New Roman"/>
        </w:rPr>
        <w:t>coronavirus (COVID-19)</w:t>
      </w:r>
      <w:r w:rsidRPr="00D930E8">
        <w:t>, creates significant valuation uncertainty. The value assessed at the valuation date may therefore change over a relatively short time period.</w:t>
      </w:r>
      <w:r>
        <w:t xml:space="preserve"> </w:t>
      </w:r>
    </w:p>
    <w:p w14:paraId="3AF35DC3" w14:textId="77777777" w:rsidR="003E5BF5" w:rsidRDefault="003E5BF5" w:rsidP="00945803">
      <w:pPr>
        <w:pStyle w:val="aaatyping"/>
      </w:pPr>
      <w:r w:rsidRPr="004C7C86">
        <w:t>Refer to Note 8.</w:t>
      </w:r>
      <w:r w:rsidRPr="004D3D68">
        <w:t>3.2 Fair value determination for further information on the revaluation methods used for the asset classes.</w:t>
      </w:r>
    </w:p>
    <w:p w14:paraId="2560CCEC" w14:textId="77777777" w:rsidR="003E5BF5" w:rsidRPr="0082122F" w:rsidRDefault="003E5BF5" w:rsidP="00EF5131">
      <w:pPr>
        <w:pStyle w:val="Heading5"/>
      </w:pPr>
      <w:r w:rsidRPr="0082122F">
        <w:lastRenderedPageBreak/>
        <w:t>Accounting for revaluation movements</w:t>
      </w:r>
    </w:p>
    <w:p w14:paraId="0DA22D5D" w14:textId="77777777" w:rsidR="003E5BF5" w:rsidRDefault="003E5BF5" w:rsidP="00945803">
      <w:pPr>
        <w:pStyle w:val="aaatyping"/>
      </w:pPr>
      <w:r>
        <w:t xml:space="preserve">Revaluation increases or decreases arise from differences between an asset’s carrying value and its fair value. </w:t>
      </w:r>
    </w:p>
    <w:p w14:paraId="21B30208" w14:textId="77777777" w:rsidR="003E5BF5" w:rsidRDefault="003E5BF5" w:rsidP="00945803">
      <w:pPr>
        <w:pStyle w:val="aaatyping"/>
      </w:pPr>
      <w:r>
        <w:t xml:space="preserve">Revaluation increases and decreases relating to individual assets in a class of PPE, are offset against other assets in that class but are not offset against assets in different classes. An asset revaluation surplus is not transferred to accumulated funds on the de-recognition of the related asset. </w:t>
      </w:r>
    </w:p>
    <w:p w14:paraId="6B61BE0D" w14:textId="77777777" w:rsidR="003E5BF5" w:rsidRDefault="003E5BF5" w:rsidP="00945803">
      <w:pPr>
        <w:pStyle w:val="aaatyping"/>
      </w:pPr>
      <w:r>
        <w:t xml:space="preserve">Revaluation increments are credited directly to the asset revaluation reserve, except to the extent that an increment reverses a revaluation decrement in respect of that class of asset previously recognised as an expense, in which case the increment is recognised immediately as revenue. </w:t>
      </w:r>
    </w:p>
    <w:p w14:paraId="1FC4EE10" w14:textId="77777777" w:rsidR="003E5BF5" w:rsidRDefault="003E5BF5" w:rsidP="00945803">
      <w:pPr>
        <w:pStyle w:val="aaatyping"/>
      </w:pPr>
      <w:r>
        <w:t>Revaluation decrements are recognised immediately as an expense, except to the extent that a credit balance exists in the asset revaluation reserve applicable to the same class of assets, in which case the decrement is debited directly to the asset revaluation reserve.</w:t>
      </w:r>
    </w:p>
    <w:p w14:paraId="60EDA0AB" w14:textId="77777777" w:rsidR="003E5BF5" w:rsidRDefault="003E5BF5" w:rsidP="00EF5131">
      <w:pPr>
        <w:pStyle w:val="Heading5"/>
      </w:pPr>
      <w:r w:rsidRPr="005E4A5E">
        <w:t>Impairment of property, plant and equipment</w:t>
      </w:r>
    </w:p>
    <w:p w14:paraId="1739BD8E" w14:textId="65C00D41" w:rsidR="003E5BF5" w:rsidRDefault="003E5BF5" w:rsidP="00945803">
      <w:pPr>
        <w:pStyle w:val="aaatyping"/>
      </w:pPr>
      <w:r w:rsidRPr="00163D2C">
        <w:t>The recoverable amount of primarily non-cash-generating assets of not-for-profit entities, which are typically specialised in nature and held for continuing use of their service capacity, is expected to be materially the same as fair value determined under AASB 13, with the consequence that AASB 136 does not apply to such assets that are regularly revalued.</w:t>
      </w:r>
    </w:p>
    <w:p w14:paraId="0B1692B4" w14:textId="77777777" w:rsidR="00CA2369" w:rsidRDefault="00CA2369" w:rsidP="00945803">
      <w:pPr>
        <w:pStyle w:val="aaatyping"/>
        <w:sectPr w:rsidR="00CA2369" w:rsidSect="002B630A">
          <w:type w:val="continuous"/>
          <w:pgSz w:w="11906" w:h="16838"/>
          <w:pgMar w:top="1701" w:right="1418" w:bottom="1418" w:left="1418" w:header="708" w:footer="708" w:gutter="0"/>
          <w:cols w:space="284"/>
          <w:docGrid w:linePitch="360"/>
        </w:sectPr>
      </w:pPr>
    </w:p>
    <w:p w14:paraId="13C97099" w14:textId="7A182E74" w:rsidR="00CA2369" w:rsidRDefault="00CA2369" w:rsidP="00945803">
      <w:pPr>
        <w:pStyle w:val="aaatyping"/>
      </w:pPr>
      <w:r>
        <w:br w:type="page"/>
      </w:r>
    </w:p>
    <w:p w14:paraId="56F03DB8" w14:textId="77777777" w:rsidR="003E5BF5" w:rsidRPr="00644DB4" w:rsidRDefault="003E5BF5" w:rsidP="006667CC">
      <w:pPr>
        <w:pStyle w:val="Heading3"/>
        <w:numPr>
          <w:ilvl w:val="2"/>
          <w:numId w:val="3"/>
        </w:numPr>
        <w:ind w:left="851" w:hanging="851"/>
      </w:pPr>
      <w:bookmarkStart w:id="300" w:name="_Depreciation_and_impairment"/>
      <w:bookmarkStart w:id="301" w:name="_Toc522000683"/>
      <w:bookmarkStart w:id="302" w:name="_Toc529196860"/>
      <w:bookmarkStart w:id="303" w:name="_Toc529197902"/>
      <w:bookmarkStart w:id="304" w:name="_Toc9344260"/>
      <w:bookmarkEnd w:id="300"/>
      <w:r w:rsidRPr="007444F0">
        <w:lastRenderedPageBreak/>
        <w:t xml:space="preserve">Depreciation </w:t>
      </w:r>
      <w:bookmarkEnd w:id="301"/>
      <w:bookmarkEnd w:id="302"/>
      <w:bookmarkEnd w:id="303"/>
      <w:bookmarkEnd w:id="304"/>
      <w:r>
        <w:t>and amortisation</w:t>
      </w:r>
    </w:p>
    <w:tbl>
      <w:tblPr>
        <w:tblStyle w:val="TableGrid"/>
        <w:tblW w:w="9376" w:type="dxa"/>
        <w:tblCellMar>
          <w:left w:w="28" w:type="dxa"/>
          <w:right w:w="28" w:type="dxa"/>
        </w:tblCellMar>
        <w:tblLook w:val="04A0" w:firstRow="1" w:lastRow="0" w:firstColumn="1" w:lastColumn="0" w:noHBand="0" w:noVBand="1"/>
      </w:tblPr>
      <w:tblGrid>
        <w:gridCol w:w="2268"/>
        <w:gridCol w:w="921"/>
        <w:gridCol w:w="922"/>
        <w:gridCol w:w="924"/>
        <w:gridCol w:w="851"/>
        <w:gridCol w:w="924"/>
        <w:gridCol w:w="851"/>
        <w:gridCol w:w="924"/>
        <w:gridCol w:w="791"/>
      </w:tblGrid>
      <w:tr w:rsidR="003E5BF5" w:rsidRPr="00655316" w14:paraId="21D97AA3" w14:textId="77777777" w:rsidTr="005E4B21">
        <w:trPr>
          <w:trHeight w:val="283"/>
        </w:trPr>
        <w:tc>
          <w:tcPr>
            <w:tcW w:w="2268" w:type="dxa"/>
            <w:shd w:val="clear" w:color="auto" w:fill="auto"/>
            <w:noWrap/>
            <w:hideMark/>
          </w:tcPr>
          <w:p w14:paraId="597C96CE" w14:textId="77777777" w:rsidR="003E5BF5" w:rsidRPr="00655316" w:rsidRDefault="003E5BF5" w:rsidP="00DE1921">
            <w:pPr>
              <w:rPr>
                <w:rFonts w:ascii="Arial" w:hAnsi="Arial" w:cs="Arial"/>
                <w:b/>
                <w:sz w:val="24"/>
                <w:szCs w:val="24"/>
              </w:rPr>
            </w:pPr>
            <w:r w:rsidRPr="00655316">
              <w:rPr>
                <w:rFonts w:ascii="Arial" w:hAnsi="Arial" w:cs="Arial"/>
                <w:b/>
                <w:sz w:val="24"/>
                <w:szCs w:val="24"/>
              </w:rPr>
              <w:t> </w:t>
            </w:r>
          </w:p>
        </w:tc>
        <w:tc>
          <w:tcPr>
            <w:tcW w:w="7108" w:type="dxa"/>
            <w:gridSpan w:val="8"/>
            <w:shd w:val="clear" w:color="auto" w:fill="auto"/>
            <w:vAlign w:val="center"/>
            <w:hideMark/>
          </w:tcPr>
          <w:p w14:paraId="1BB24A4F"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 thousand)</w:t>
            </w:r>
          </w:p>
        </w:tc>
      </w:tr>
      <w:tr w:rsidR="003E5BF5" w:rsidRPr="00655316" w14:paraId="7BF90672" w14:textId="77777777" w:rsidTr="005E4B21">
        <w:trPr>
          <w:trHeight w:val="283"/>
        </w:trPr>
        <w:tc>
          <w:tcPr>
            <w:tcW w:w="2268" w:type="dxa"/>
            <w:shd w:val="clear" w:color="auto" w:fill="auto"/>
            <w:noWrap/>
            <w:hideMark/>
          </w:tcPr>
          <w:p w14:paraId="2F429310" w14:textId="77777777" w:rsidR="003E5BF5" w:rsidRPr="00655316" w:rsidRDefault="003E5BF5" w:rsidP="00DE1921">
            <w:pPr>
              <w:rPr>
                <w:rFonts w:ascii="Arial" w:hAnsi="Arial" w:cs="Arial"/>
                <w:b/>
                <w:sz w:val="24"/>
                <w:szCs w:val="24"/>
              </w:rPr>
            </w:pPr>
            <w:bookmarkStart w:id="305" w:name="RANGE!A3:I13"/>
            <w:r w:rsidRPr="00655316">
              <w:rPr>
                <w:rFonts w:ascii="Arial" w:hAnsi="Arial" w:cs="Arial"/>
                <w:b/>
                <w:sz w:val="24"/>
                <w:szCs w:val="24"/>
              </w:rPr>
              <w:t> </w:t>
            </w:r>
            <w:bookmarkEnd w:id="305"/>
          </w:p>
        </w:tc>
        <w:tc>
          <w:tcPr>
            <w:tcW w:w="1843" w:type="dxa"/>
            <w:gridSpan w:val="2"/>
            <w:shd w:val="clear" w:color="auto" w:fill="auto"/>
            <w:noWrap/>
            <w:vAlign w:val="bottom"/>
            <w:hideMark/>
          </w:tcPr>
          <w:p w14:paraId="28108A1B"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Right-of-use assets</w:t>
            </w:r>
          </w:p>
        </w:tc>
        <w:tc>
          <w:tcPr>
            <w:tcW w:w="1775" w:type="dxa"/>
            <w:gridSpan w:val="2"/>
            <w:shd w:val="clear" w:color="auto" w:fill="auto"/>
            <w:noWrap/>
            <w:vAlign w:val="bottom"/>
            <w:hideMark/>
          </w:tcPr>
          <w:p w14:paraId="1D8EF79E"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Service concession assets</w:t>
            </w:r>
          </w:p>
        </w:tc>
        <w:tc>
          <w:tcPr>
            <w:tcW w:w="1775" w:type="dxa"/>
            <w:gridSpan w:val="2"/>
            <w:shd w:val="clear" w:color="auto" w:fill="auto"/>
            <w:noWrap/>
            <w:vAlign w:val="bottom"/>
            <w:hideMark/>
          </w:tcPr>
          <w:p w14:paraId="10BE18A8"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Other non-financial assets</w:t>
            </w:r>
          </w:p>
        </w:tc>
        <w:tc>
          <w:tcPr>
            <w:tcW w:w="1715" w:type="dxa"/>
            <w:gridSpan w:val="2"/>
            <w:shd w:val="clear" w:color="auto" w:fill="auto"/>
            <w:noWrap/>
            <w:vAlign w:val="bottom"/>
            <w:hideMark/>
          </w:tcPr>
          <w:p w14:paraId="67C4979B"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Total</w:t>
            </w:r>
          </w:p>
        </w:tc>
      </w:tr>
      <w:tr w:rsidR="003E5BF5" w:rsidRPr="00655316" w14:paraId="5596681F" w14:textId="77777777" w:rsidTr="005E4B21">
        <w:trPr>
          <w:trHeight w:val="283"/>
        </w:trPr>
        <w:tc>
          <w:tcPr>
            <w:tcW w:w="2268" w:type="dxa"/>
            <w:shd w:val="clear" w:color="auto" w:fill="auto"/>
            <w:noWrap/>
            <w:hideMark/>
          </w:tcPr>
          <w:p w14:paraId="1B794E42" w14:textId="77777777" w:rsidR="003E5BF5" w:rsidRPr="00655316" w:rsidRDefault="003E5BF5" w:rsidP="00604703">
            <w:pPr>
              <w:pStyle w:val="TableTextGreen"/>
            </w:pPr>
          </w:p>
        </w:tc>
        <w:tc>
          <w:tcPr>
            <w:tcW w:w="921" w:type="dxa"/>
            <w:shd w:val="clear" w:color="auto" w:fill="auto"/>
            <w:noWrap/>
            <w:vAlign w:val="center"/>
            <w:hideMark/>
          </w:tcPr>
          <w:p w14:paraId="17BC03C9"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922" w:type="dxa"/>
            <w:shd w:val="clear" w:color="auto" w:fill="auto"/>
            <w:noWrap/>
            <w:vAlign w:val="center"/>
            <w:hideMark/>
          </w:tcPr>
          <w:p w14:paraId="22E9E647"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924" w:type="dxa"/>
            <w:shd w:val="clear" w:color="auto" w:fill="auto"/>
            <w:noWrap/>
            <w:vAlign w:val="center"/>
            <w:hideMark/>
          </w:tcPr>
          <w:p w14:paraId="0233E460"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851" w:type="dxa"/>
            <w:shd w:val="clear" w:color="auto" w:fill="auto"/>
            <w:noWrap/>
            <w:vAlign w:val="center"/>
            <w:hideMark/>
          </w:tcPr>
          <w:p w14:paraId="1BCCDB4B"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924" w:type="dxa"/>
            <w:shd w:val="clear" w:color="auto" w:fill="auto"/>
            <w:noWrap/>
            <w:vAlign w:val="center"/>
            <w:hideMark/>
          </w:tcPr>
          <w:p w14:paraId="1D058A5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851" w:type="dxa"/>
            <w:shd w:val="clear" w:color="auto" w:fill="auto"/>
            <w:noWrap/>
            <w:vAlign w:val="center"/>
            <w:hideMark/>
          </w:tcPr>
          <w:p w14:paraId="7899F28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924" w:type="dxa"/>
            <w:shd w:val="clear" w:color="auto" w:fill="auto"/>
            <w:noWrap/>
            <w:vAlign w:val="center"/>
            <w:hideMark/>
          </w:tcPr>
          <w:p w14:paraId="44F99EE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791" w:type="dxa"/>
            <w:shd w:val="clear" w:color="auto" w:fill="auto"/>
            <w:noWrap/>
            <w:vAlign w:val="center"/>
            <w:hideMark/>
          </w:tcPr>
          <w:p w14:paraId="3751BB97"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r>
      <w:tr w:rsidR="003E5BF5" w:rsidRPr="00655316" w14:paraId="06280D89" w14:textId="77777777" w:rsidTr="005E4B21">
        <w:trPr>
          <w:trHeight w:val="283"/>
        </w:trPr>
        <w:tc>
          <w:tcPr>
            <w:tcW w:w="2268" w:type="dxa"/>
            <w:shd w:val="clear" w:color="auto" w:fill="auto"/>
            <w:noWrap/>
            <w:vAlign w:val="center"/>
          </w:tcPr>
          <w:p w14:paraId="0625460E" w14:textId="77777777" w:rsidR="003E5BF5" w:rsidRPr="00655316" w:rsidRDefault="003E5BF5" w:rsidP="00604703">
            <w:pPr>
              <w:pStyle w:val="TableTextGreen"/>
            </w:pPr>
            <w:r w:rsidRPr="00655316">
              <w:t>Charge for the period</w:t>
            </w:r>
            <w:r w:rsidRPr="00655316">
              <w:rPr>
                <w:vertAlign w:val="superscript"/>
              </w:rPr>
              <w:t xml:space="preserve"> (</w:t>
            </w:r>
            <w:proofErr w:type="spellStart"/>
            <w:r w:rsidRPr="00655316">
              <w:rPr>
                <w:vertAlign w:val="superscript"/>
              </w:rPr>
              <w:t>i</w:t>
            </w:r>
            <w:proofErr w:type="spellEnd"/>
            <w:r w:rsidRPr="00655316">
              <w:rPr>
                <w:vertAlign w:val="superscript"/>
              </w:rPr>
              <w:t>)</w:t>
            </w:r>
          </w:p>
        </w:tc>
        <w:tc>
          <w:tcPr>
            <w:tcW w:w="921" w:type="dxa"/>
            <w:shd w:val="clear" w:color="auto" w:fill="auto"/>
            <w:noWrap/>
            <w:vAlign w:val="center"/>
          </w:tcPr>
          <w:p w14:paraId="5EFD43ED" w14:textId="77777777" w:rsidR="003E5BF5" w:rsidRPr="00655316" w:rsidRDefault="003E5BF5" w:rsidP="00DE1921">
            <w:pPr>
              <w:jc w:val="right"/>
              <w:rPr>
                <w:rFonts w:ascii="Arial" w:hAnsi="Arial" w:cs="Arial"/>
                <w:b/>
                <w:sz w:val="24"/>
                <w:szCs w:val="24"/>
              </w:rPr>
            </w:pPr>
          </w:p>
        </w:tc>
        <w:tc>
          <w:tcPr>
            <w:tcW w:w="922" w:type="dxa"/>
            <w:shd w:val="clear" w:color="auto" w:fill="auto"/>
            <w:noWrap/>
            <w:vAlign w:val="center"/>
          </w:tcPr>
          <w:p w14:paraId="3523C7D2" w14:textId="77777777" w:rsidR="003E5BF5" w:rsidRPr="00655316" w:rsidRDefault="003E5BF5" w:rsidP="00DE1921">
            <w:pPr>
              <w:jc w:val="right"/>
              <w:rPr>
                <w:rFonts w:ascii="Arial" w:hAnsi="Arial" w:cs="Arial"/>
                <w:b/>
                <w:sz w:val="24"/>
                <w:szCs w:val="24"/>
              </w:rPr>
            </w:pPr>
          </w:p>
        </w:tc>
        <w:tc>
          <w:tcPr>
            <w:tcW w:w="924" w:type="dxa"/>
            <w:shd w:val="clear" w:color="auto" w:fill="auto"/>
            <w:noWrap/>
            <w:vAlign w:val="center"/>
          </w:tcPr>
          <w:p w14:paraId="38B58C45" w14:textId="77777777" w:rsidR="003E5BF5" w:rsidRPr="00655316" w:rsidRDefault="003E5BF5" w:rsidP="00DE1921">
            <w:pPr>
              <w:jc w:val="right"/>
              <w:rPr>
                <w:rFonts w:ascii="Arial" w:hAnsi="Arial" w:cs="Arial"/>
                <w:sz w:val="24"/>
                <w:szCs w:val="24"/>
              </w:rPr>
            </w:pPr>
          </w:p>
        </w:tc>
        <w:tc>
          <w:tcPr>
            <w:tcW w:w="851" w:type="dxa"/>
            <w:shd w:val="clear" w:color="auto" w:fill="auto"/>
            <w:noWrap/>
            <w:vAlign w:val="center"/>
          </w:tcPr>
          <w:p w14:paraId="27D309C3" w14:textId="77777777" w:rsidR="003E5BF5" w:rsidRPr="00655316" w:rsidRDefault="003E5BF5" w:rsidP="00DE1921">
            <w:pPr>
              <w:jc w:val="right"/>
              <w:rPr>
                <w:rFonts w:ascii="Arial" w:hAnsi="Arial" w:cs="Arial"/>
                <w:b/>
                <w:sz w:val="24"/>
                <w:szCs w:val="24"/>
              </w:rPr>
            </w:pPr>
          </w:p>
        </w:tc>
        <w:tc>
          <w:tcPr>
            <w:tcW w:w="924" w:type="dxa"/>
            <w:shd w:val="clear" w:color="auto" w:fill="auto"/>
            <w:noWrap/>
            <w:vAlign w:val="center"/>
          </w:tcPr>
          <w:p w14:paraId="662A3762" w14:textId="77777777" w:rsidR="003E5BF5" w:rsidRPr="00655316" w:rsidRDefault="003E5BF5" w:rsidP="00DE1921">
            <w:pPr>
              <w:jc w:val="right"/>
              <w:rPr>
                <w:rFonts w:ascii="Arial" w:hAnsi="Arial" w:cs="Arial"/>
                <w:sz w:val="24"/>
                <w:szCs w:val="24"/>
              </w:rPr>
            </w:pPr>
          </w:p>
        </w:tc>
        <w:tc>
          <w:tcPr>
            <w:tcW w:w="851" w:type="dxa"/>
            <w:shd w:val="clear" w:color="auto" w:fill="auto"/>
            <w:noWrap/>
            <w:vAlign w:val="center"/>
          </w:tcPr>
          <w:p w14:paraId="7C9B979E" w14:textId="77777777" w:rsidR="003E5BF5" w:rsidRPr="00655316" w:rsidRDefault="003E5BF5" w:rsidP="00DE1921">
            <w:pPr>
              <w:jc w:val="right"/>
              <w:rPr>
                <w:rFonts w:ascii="Arial" w:hAnsi="Arial" w:cs="Arial"/>
                <w:b/>
                <w:sz w:val="24"/>
                <w:szCs w:val="24"/>
              </w:rPr>
            </w:pPr>
          </w:p>
        </w:tc>
        <w:tc>
          <w:tcPr>
            <w:tcW w:w="924" w:type="dxa"/>
            <w:shd w:val="clear" w:color="auto" w:fill="auto"/>
            <w:noWrap/>
            <w:vAlign w:val="center"/>
          </w:tcPr>
          <w:p w14:paraId="7814939D" w14:textId="77777777" w:rsidR="003E5BF5" w:rsidRPr="00655316" w:rsidRDefault="003E5BF5" w:rsidP="00DE1921">
            <w:pPr>
              <w:jc w:val="right"/>
              <w:rPr>
                <w:rFonts w:ascii="Arial" w:hAnsi="Arial" w:cs="Arial"/>
                <w:sz w:val="24"/>
                <w:szCs w:val="24"/>
              </w:rPr>
            </w:pPr>
          </w:p>
        </w:tc>
        <w:tc>
          <w:tcPr>
            <w:tcW w:w="791" w:type="dxa"/>
            <w:shd w:val="clear" w:color="auto" w:fill="auto"/>
            <w:noWrap/>
            <w:vAlign w:val="center"/>
          </w:tcPr>
          <w:p w14:paraId="486FDAC2" w14:textId="77777777" w:rsidR="003E5BF5" w:rsidRPr="00655316" w:rsidRDefault="003E5BF5" w:rsidP="00DE1921">
            <w:pPr>
              <w:jc w:val="right"/>
              <w:rPr>
                <w:rFonts w:ascii="Arial" w:hAnsi="Arial" w:cs="Arial"/>
                <w:b/>
                <w:sz w:val="24"/>
                <w:szCs w:val="24"/>
              </w:rPr>
            </w:pPr>
          </w:p>
        </w:tc>
      </w:tr>
      <w:tr w:rsidR="003E5BF5" w:rsidRPr="00655316" w14:paraId="1208BBB0" w14:textId="77777777" w:rsidTr="005E4B21">
        <w:trPr>
          <w:trHeight w:val="283"/>
        </w:trPr>
        <w:tc>
          <w:tcPr>
            <w:tcW w:w="2268" w:type="dxa"/>
            <w:shd w:val="clear" w:color="auto" w:fill="auto"/>
            <w:noWrap/>
            <w:vAlign w:val="center"/>
            <w:hideMark/>
          </w:tcPr>
          <w:p w14:paraId="499BF811" w14:textId="77777777" w:rsidR="003E5BF5" w:rsidRPr="00655316" w:rsidRDefault="003E5BF5" w:rsidP="00DE1921">
            <w:pPr>
              <w:rPr>
                <w:rFonts w:ascii="Arial" w:hAnsi="Arial" w:cs="Arial"/>
                <w:sz w:val="24"/>
                <w:szCs w:val="24"/>
              </w:rPr>
            </w:pPr>
            <w:r w:rsidRPr="00655316">
              <w:rPr>
                <w:rFonts w:ascii="Arial" w:hAnsi="Arial" w:cs="Arial"/>
                <w:sz w:val="24"/>
                <w:szCs w:val="24"/>
              </w:rPr>
              <w:t>Roads and bridges</w:t>
            </w:r>
          </w:p>
        </w:tc>
        <w:tc>
          <w:tcPr>
            <w:tcW w:w="921" w:type="dxa"/>
            <w:shd w:val="clear" w:color="auto" w:fill="auto"/>
            <w:noWrap/>
            <w:vAlign w:val="center"/>
            <w:hideMark/>
          </w:tcPr>
          <w:p w14:paraId="7F887FF6"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22" w:type="dxa"/>
            <w:shd w:val="clear" w:color="auto" w:fill="auto"/>
            <w:noWrap/>
            <w:vAlign w:val="center"/>
            <w:hideMark/>
          </w:tcPr>
          <w:p w14:paraId="32A1EDC3"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24" w:type="dxa"/>
            <w:shd w:val="clear" w:color="auto" w:fill="auto"/>
            <w:noWrap/>
            <w:vAlign w:val="center"/>
            <w:hideMark/>
          </w:tcPr>
          <w:p w14:paraId="092B332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120,784 </w:t>
            </w:r>
          </w:p>
        </w:tc>
        <w:tc>
          <w:tcPr>
            <w:tcW w:w="851" w:type="dxa"/>
            <w:shd w:val="clear" w:color="auto" w:fill="auto"/>
            <w:noWrap/>
            <w:vAlign w:val="center"/>
            <w:hideMark/>
          </w:tcPr>
          <w:p w14:paraId="5956F6F3"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24" w:type="dxa"/>
            <w:shd w:val="clear" w:color="auto" w:fill="auto"/>
            <w:noWrap/>
            <w:vAlign w:val="center"/>
            <w:hideMark/>
          </w:tcPr>
          <w:p w14:paraId="784CAB8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636,135 </w:t>
            </w:r>
          </w:p>
        </w:tc>
        <w:tc>
          <w:tcPr>
            <w:tcW w:w="851" w:type="dxa"/>
            <w:shd w:val="clear" w:color="auto" w:fill="auto"/>
            <w:noWrap/>
            <w:vAlign w:val="center"/>
            <w:hideMark/>
          </w:tcPr>
          <w:p w14:paraId="305E5A47"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r w:rsidRPr="00655316">
              <w:rPr>
                <w:rFonts w:ascii="Arial" w:hAnsi="Arial" w:cs="Arial"/>
                <w:sz w:val="24"/>
                <w:szCs w:val="24"/>
              </w:rPr>
              <w:t xml:space="preserve"> </w:t>
            </w:r>
          </w:p>
        </w:tc>
        <w:tc>
          <w:tcPr>
            <w:tcW w:w="924" w:type="dxa"/>
            <w:shd w:val="clear" w:color="auto" w:fill="auto"/>
            <w:noWrap/>
            <w:vAlign w:val="center"/>
            <w:hideMark/>
          </w:tcPr>
          <w:p w14:paraId="2EBA1AA7" w14:textId="77777777" w:rsidR="003E5BF5" w:rsidRPr="00655316" w:rsidRDefault="003E5BF5" w:rsidP="00DE1921">
            <w:pPr>
              <w:jc w:val="right"/>
              <w:rPr>
                <w:rFonts w:ascii="Arial" w:hAnsi="Arial" w:cs="Arial"/>
                <w:b/>
                <w:sz w:val="24"/>
                <w:szCs w:val="24"/>
              </w:rPr>
            </w:pPr>
            <w:r w:rsidRPr="00655316">
              <w:rPr>
                <w:rFonts w:ascii="Arial" w:hAnsi="Arial" w:cs="Arial"/>
                <w:sz w:val="24"/>
                <w:szCs w:val="24"/>
              </w:rPr>
              <w:t xml:space="preserve">756,919 </w:t>
            </w:r>
          </w:p>
        </w:tc>
        <w:tc>
          <w:tcPr>
            <w:tcW w:w="791" w:type="dxa"/>
            <w:shd w:val="clear" w:color="auto" w:fill="auto"/>
            <w:noWrap/>
            <w:vAlign w:val="center"/>
            <w:hideMark/>
          </w:tcPr>
          <w:p w14:paraId="349D4FB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r>
      <w:tr w:rsidR="003E5BF5" w:rsidRPr="00655316" w14:paraId="69E35C36" w14:textId="77777777" w:rsidTr="005E4B21">
        <w:trPr>
          <w:trHeight w:val="283"/>
        </w:trPr>
        <w:tc>
          <w:tcPr>
            <w:tcW w:w="2268" w:type="dxa"/>
            <w:shd w:val="clear" w:color="auto" w:fill="auto"/>
            <w:noWrap/>
            <w:vAlign w:val="center"/>
            <w:hideMark/>
          </w:tcPr>
          <w:p w14:paraId="741500FD" w14:textId="77777777" w:rsidR="003E5BF5" w:rsidRPr="00655316" w:rsidRDefault="003E5BF5" w:rsidP="00DE1921">
            <w:pPr>
              <w:rPr>
                <w:rFonts w:ascii="Arial" w:hAnsi="Arial" w:cs="Arial"/>
                <w:sz w:val="24"/>
                <w:szCs w:val="24"/>
              </w:rPr>
            </w:pPr>
            <w:r w:rsidRPr="00655316">
              <w:rPr>
                <w:rFonts w:ascii="Arial" w:hAnsi="Arial" w:cs="Arial"/>
                <w:sz w:val="24"/>
                <w:szCs w:val="24"/>
              </w:rPr>
              <w:t>Other infrastructure</w:t>
            </w:r>
          </w:p>
        </w:tc>
        <w:tc>
          <w:tcPr>
            <w:tcW w:w="921" w:type="dxa"/>
            <w:shd w:val="clear" w:color="auto" w:fill="auto"/>
            <w:noWrap/>
            <w:vAlign w:val="center"/>
            <w:hideMark/>
          </w:tcPr>
          <w:p w14:paraId="64D3D0A3"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22" w:type="dxa"/>
            <w:shd w:val="clear" w:color="auto" w:fill="auto"/>
            <w:noWrap/>
            <w:vAlign w:val="center"/>
            <w:hideMark/>
          </w:tcPr>
          <w:p w14:paraId="2CF7D841"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24" w:type="dxa"/>
            <w:shd w:val="clear" w:color="auto" w:fill="auto"/>
            <w:noWrap/>
            <w:vAlign w:val="center"/>
            <w:hideMark/>
          </w:tcPr>
          <w:p w14:paraId="3B3003B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45,417 </w:t>
            </w:r>
          </w:p>
        </w:tc>
        <w:tc>
          <w:tcPr>
            <w:tcW w:w="851" w:type="dxa"/>
            <w:shd w:val="clear" w:color="auto" w:fill="auto"/>
            <w:noWrap/>
            <w:vAlign w:val="center"/>
            <w:hideMark/>
          </w:tcPr>
          <w:p w14:paraId="3C0A5B1E"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24" w:type="dxa"/>
            <w:shd w:val="clear" w:color="auto" w:fill="auto"/>
            <w:noWrap/>
            <w:vAlign w:val="center"/>
            <w:hideMark/>
          </w:tcPr>
          <w:p w14:paraId="7456621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107,753 </w:t>
            </w:r>
          </w:p>
        </w:tc>
        <w:tc>
          <w:tcPr>
            <w:tcW w:w="851" w:type="dxa"/>
            <w:shd w:val="clear" w:color="auto" w:fill="auto"/>
            <w:noWrap/>
            <w:vAlign w:val="center"/>
            <w:hideMark/>
          </w:tcPr>
          <w:p w14:paraId="30FEF90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1,074 </w:t>
            </w:r>
          </w:p>
        </w:tc>
        <w:tc>
          <w:tcPr>
            <w:tcW w:w="924" w:type="dxa"/>
            <w:shd w:val="clear" w:color="auto" w:fill="auto"/>
            <w:noWrap/>
            <w:vAlign w:val="center"/>
            <w:hideMark/>
          </w:tcPr>
          <w:p w14:paraId="40A4838B" w14:textId="77777777" w:rsidR="003E5BF5" w:rsidRPr="00655316" w:rsidRDefault="003E5BF5" w:rsidP="00DE1921">
            <w:pPr>
              <w:jc w:val="right"/>
              <w:rPr>
                <w:rFonts w:ascii="Arial" w:hAnsi="Arial" w:cs="Arial"/>
                <w:b/>
                <w:sz w:val="24"/>
                <w:szCs w:val="24"/>
              </w:rPr>
            </w:pPr>
            <w:r w:rsidRPr="00655316">
              <w:rPr>
                <w:rFonts w:ascii="Arial" w:hAnsi="Arial" w:cs="Arial"/>
                <w:sz w:val="24"/>
                <w:szCs w:val="24"/>
              </w:rPr>
              <w:t xml:space="preserve">153,170 </w:t>
            </w:r>
          </w:p>
        </w:tc>
        <w:tc>
          <w:tcPr>
            <w:tcW w:w="791" w:type="dxa"/>
            <w:shd w:val="clear" w:color="auto" w:fill="auto"/>
            <w:noWrap/>
            <w:vAlign w:val="center"/>
            <w:hideMark/>
          </w:tcPr>
          <w:p w14:paraId="02574AF5" w14:textId="77777777" w:rsidR="003E5BF5" w:rsidRPr="00655316" w:rsidRDefault="003E5BF5" w:rsidP="00DE1921">
            <w:pPr>
              <w:jc w:val="right"/>
              <w:rPr>
                <w:rFonts w:ascii="Arial" w:hAnsi="Arial" w:cs="Arial"/>
                <w:b/>
                <w:sz w:val="24"/>
                <w:szCs w:val="24"/>
              </w:rPr>
            </w:pPr>
            <w:r w:rsidRPr="00655316">
              <w:rPr>
                <w:rFonts w:ascii="Arial" w:hAnsi="Arial" w:cs="Arial"/>
                <w:sz w:val="24"/>
                <w:szCs w:val="24"/>
              </w:rPr>
              <w:t xml:space="preserve">1,074 </w:t>
            </w:r>
          </w:p>
        </w:tc>
      </w:tr>
      <w:tr w:rsidR="003E5BF5" w:rsidRPr="00655316" w14:paraId="79CFFCB2" w14:textId="77777777" w:rsidTr="005E4B21">
        <w:trPr>
          <w:trHeight w:val="283"/>
        </w:trPr>
        <w:tc>
          <w:tcPr>
            <w:tcW w:w="2268" w:type="dxa"/>
            <w:shd w:val="clear" w:color="auto" w:fill="auto"/>
            <w:noWrap/>
            <w:vAlign w:val="center"/>
            <w:hideMark/>
          </w:tcPr>
          <w:p w14:paraId="52558133" w14:textId="77777777" w:rsidR="003E5BF5" w:rsidRPr="00655316" w:rsidRDefault="003E5BF5" w:rsidP="00DE1921">
            <w:pPr>
              <w:rPr>
                <w:rFonts w:ascii="Arial" w:hAnsi="Arial" w:cs="Arial"/>
                <w:sz w:val="24"/>
                <w:szCs w:val="24"/>
              </w:rPr>
            </w:pPr>
            <w:r w:rsidRPr="00655316">
              <w:rPr>
                <w:rFonts w:ascii="Arial" w:hAnsi="Arial" w:cs="Arial"/>
                <w:sz w:val="24"/>
                <w:szCs w:val="24"/>
              </w:rPr>
              <w:t>Buildings</w:t>
            </w:r>
          </w:p>
        </w:tc>
        <w:tc>
          <w:tcPr>
            <w:tcW w:w="921" w:type="dxa"/>
            <w:shd w:val="clear" w:color="auto" w:fill="auto"/>
            <w:noWrap/>
            <w:vAlign w:val="center"/>
            <w:hideMark/>
          </w:tcPr>
          <w:p w14:paraId="354A5C7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20,375 </w:t>
            </w:r>
          </w:p>
        </w:tc>
        <w:tc>
          <w:tcPr>
            <w:tcW w:w="922" w:type="dxa"/>
            <w:shd w:val="clear" w:color="auto" w:fill="auto"/>
            <w:noWrap/>
            <w:vAlign w:val="center"/>
            <w:hideMark/>
          </w:tcPr>
          <w:p w14:paraId="00CB14E2"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24" w:type="dxa"/>
            <w:shd w:val="clear" w:color="auto" w:fill="auto"/>
            <w:noWrap/>
            <w:vAlign w:val="center"/>
            <w:hideMark/>
          </w:tcPr>
          <w:p w14:paraId="09ECE40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12,262 </w:t>
            </w:r>
          </w:p>
        </w:tc>
        <w:tc>
          <w:tcPr>
            <w:tcW w:w="851" w:type="dxa"/>
            <w:shd w:val="clear" w:color="auto" w:fill="auto"/>
            <w:noWrap/>
            <w:vAlign w:val="center"/>
            <w:hideMark/>
          </w:tcPr>
          <w:p w14:paraId="5FF5277A"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24" w:type="dxa"/>
            <w:shd w:val="clear" w:color="auto" w:fill="auto"/>
            <w:noWrap/>
            <w:vAlign w:val="center"/>
            <w:hideMark/>
          </w:tcPr>
          <w:p w14:paraId="5AF8627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2,273 </w:t>
            </w:r>
          </w:p>
        </w:tc>
        <w:tc>
          <w:tcPr>
            <w:tcW w:w="851" w:type="dxa"/>
            <w:shd w:val="clear" w:color="auto" w:fill="auto"/>
            <w:noWrap/>
            <w:vAlign w:val="center"/>
            <w:hideMark/>
          </w:tcPr>
          <w:p w14:paraId="05E6BAB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11,162 </w:t>
            </w:r>
          </w:p>
        </w:tc>
        <w:tc>
          <w:tcPr>
            <w:tcW w:w="924" w:type="dxa"/>
            <w:shd w:val="clear" w:color="auto" w:fill="auto"/>
            <w:noWrap/>
            <w:vAlign w:val="center"/>
            <w:hideMark/>
          </w:tcPr>
          <w:p w14:paraId="7F96A505" w14:textId="77777777" w:rsidR="003E5BF5" w:rsidRPr="00655316" w:rsidRDefault="003E5BF5" w:rsidP="00DE1921">
            <w:pPr>
              <w:jc w:val="right"/>
              <w:rPr>
                <w:rFonts w:ascii="Arial" w:hAnsi="Arial" w:cs="Arial"/>
                <w:b/>
                <w:sz w:val="24"/>
                <w:szCs w:val="24"/>
              </w:rPr>
            </w:pPr>
            <w:r w:rsidRPr="00655316">
              <w:rPr>
                <w:rFonts w:ascii="Arial" w:hAnsi="Arial" w:cs="Arial"/>
                <w:sz w:val="24"/>
                <w:szCs w:val="24"/>
              </w:rPr>
              <w:t xml:space="preserve">34,910 </w:t>
            </w:r>
          </w:p>
        </w:tc>
        <w:tc>
          <w:tcPr>
            <w:tcW w:w="791" w:type="dxa"/>
            <w:shd w:val="clear" w:color="auto" w:fill="auto"/>
            <w:noWrap/>
            <w:vAlign w:val="center"/>
            <w:hideMark/>
          </w:tcPr>
          <w:p w14:paraId="5145B224" w14:textId="77777777" w:rsidR="003E5BF5" w:rsidRPr="00655316" w:rsidRDefault="003E5BF5" w:rsidP="00DE1921">
            <w:pPr>
              <w:jc w:val="right"/>
              <w:rPr>
                <w:rFonts w:ascii="Arial" w:hAnsi="Arial" w:cs="Arial"/>
                <w:b/>
                <w:sz w:val="24"/>
                <w:szCs w:val="24"/>
              </w:rPr>
            </w:pPr>
            <w:r w:rsidRPr="00655316">
              <w:rPr>
                <w:rFonts w:ascii="Arial" w:hAnsi="Arial" w:cs="Arial"/>
                <w:sz w:val="24"/>
                <w:szCs w:val="24"/>
              </w:rPr>
              <w:t xml:space="preserve">11,162 </w:t>
            </w:r>
          </w:p>
        </w:tc>
      </w:tr>
      <w:tr w:rsidR="003E5BF5" w:rsidRPr="00655316" w14:paraId="1682C9B9" w14:textId="77777777" w:rsidTr="005E4B21">
        <w:trPr>
          <w:trHeight w:val="283"/>
        </w:trPr>
        <w:tc>
          <w:tcPr>
            <w:tcW w:w="2268" w:type="dxa"/>
            <w:shd w:val="clear" w:color="auto" w:fill="auto"/>
            <w:noWrap/>
            <w:vAlign w:val="center"/>
          </w:tcPr>
          <w:p w14:paraId="3B1E2EE7" w14:textId="77777777" w:rsidR="003E5BF5" w:rsidRPr="00655316" w:rsidRDefault="003E5BF5" w:rsidP="00DE1921">
            <w:pPr>
              <w:rPr>
                <w:rFonts w:ascii="Arial" w:hAnsi="Arial" w:cs="Arial"/>
                <w:sz w:val="24"/>
                <w:szCs w:val="24"/>
              </w:rPr>
            </w:pPr>
            <w:r w:rsidRPr="00655316">
              <w:rPr>
                <w:rFonts w:ascii="Arial" w:hAnsi="Arial" w:cs="Arial"/>
                <w:sz w:val="24"/>
                <w:szCs w:val="24"/>
              </w:rPr>
              <w:t>Plant, equipment and vehicles</w:t>
            </w:r>
          </w:p>
        </w:tc>
        <w:tc>
          <w:tcPr>
            <w:tcW w:w="921" w:type="dxa"/>
            <w:shd w:val="clear" w:color="auto" w:fill="auto"/>
            <w:noWrap/>
          </w:tcPr>
          <w:p w14:paraId="0FFA1FA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9,800 </w:t>
            </w:r>
          </w:p>
        </w:tc>
        <w:tc>
          <w:tcPr>
            <w:tcW w:w="922" w:type="dxa"/>
            <w:shd w:val="clear" w:color="auto" w:fill="auto"/>
            <w:noWrap/>
          </w:tcPr>
          <w:p w14:paraId="099DD577"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24" w:type="dxa"/>
            <w:shd w:val="clear" w:color="auto" w:fill="auto"/>
            <w:noWrap/>
          </w:tcPr>
          <w:p w14:paraId="0712F0C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16,522 </w:t>
            </w:r>
          </w:p>
        </w:tc>
        <w:tc>
          <w:tcPr>
            <w:tcW w:w="851" w:type="dxa"/>
            <w:shd w:val="clear" w:color="auto" w:fill="auto"/>
            <w:noWrap/>
          </w:tcPr>
          <w:p w14:paraId="7CAACA44"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24" w:type="dxa"/>
            <w:shd w:val="clear" w:color="auto" w:fill="auto"/>
            <w:noWrap/>
          </w:tcPr>
          <w:p w14:paraId="3F1E8EB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21,072 </w:t>
            </w:r>
          </w:p>
        </w:tc>
        <w:tc>
          <w:tcPr>
            <w:tcW w:w="851" w:type="dxa"/>
            <w:shd w:val="clear" w:color="auto" w:fill="auto"/>
            <w:noWrap/>
          </w:tcPr>
          <w:p w14:paraId="1255A74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5,712 </w:t>
            </w:r>
          </w:p>
        </w:tc>
        <w:tc>
          <w:tcPr>
            <w:tcW w:w="924" w:type="dxa"/>
            <w:shd w:val="clear" w:color="auto" w:fill="auto"/>
            <w:noWrap/>
          </w:tcPr>
          <w:p w14:paraId="7AFEE305" w14:textId="77777777" w:rsidR="003E5BF5" w:rsidRPr="00655316" w:rsidRDefault="003E5BF5" w:rsidP="00DE1921">
            <w:pPr>
              <w:jc w:val="right"/>
              <w:rPr>
                <w:rFonts w:ascii="Arial" w:hAnsi="Arial" w:cs="Arial"/>
                <w:b/>
                <w:sz w:val="24"/>
                <w:szCs w:val="24"/>
              </w:rPr>
            </w:pPr>
            <w:r w:rsidRPr="00655316">
              <w:rPr>
                <w:rFonts w:ascii="Arial" w:hAnsi="Arial" w:cs="Arial"/>
                <w:sz w:val="24"/>
                <w:szCs w:val="24"/>
              </w:rPr>
              <w:t xml:space="preserve">47,394 </w:t>
            </w:r>
          </w:p>
        </w:tc>
        <w:tc>
          <w:tcPr>
            <w:tcW w:w="791" w:type="dxa"/>
            <w:shd w:val="clear" w:color="auto" w:fill="auto"/>
            <w:noWrap/>
          </w:tcPr>
          <w:p w14:paraId="1F5838AB" w14:textId="77777777" w:rsidR="003E5BF5" w:rsidRPr="00655316" w:rsidRDefault="003E5BF5" w:rsidP="00DE1921">
            <w:pPr>
              <w:jc w:val="right"/>
              <w:rPr>
                <w:rFonts w:ascii="Arial" w:hAnsi="Arial" w:cs="Arial"/>
                <w:b/>
                <w:sz w:val="24"/>
                <w:szCs w:val="24"/>
              </w:rPr>
            </w:pPr>
            <w:r w:rsidRPr="00655316">
              <w:rPr>
                <w:rFonts w:ascii="Arial" w:hAnsi="Arial" w:cs="Arial"/>
                <w:sz w:val="24"/>
                <w:szCs w:val="24"/>
              </w:rPr>
              <w:t xml:space="preserve">5,712 </w:t>
            </w:r>
          </w:p>
        </w:tc>
      </w:tr>
      <w:tr w:rsidR="003E5BF5" w:rsidRPr="00655316" w14:paraId="7197AC0F" w14:textId="77777777" w:rsidTr="005E4B21">
        <w:trPr>
          <w:trHeight w:val="283"/>
        </w:trPr>
        <w:tc>
          <w:tcPr>
            <w:tcW w:w="2268" w:type="dxa"/>
            <w:shd w:val="clear" w:color="auto" w:fill="auto"/>
            <w:noWrap/>
            <w:vAlign w:val="center"/>
            <w:hideMark/>
          </w:tcPr>
          <w:p w14:paraId="32816A44" w14:textId="77777777" w:rsidR="003E5BF5" w:rsidRPr="00655316" w:rsidRDefault="003E5BF5" w:rsidP="00DE1921">
            <w:pPr>
              <w:rPr>
                <w:rFonts w:ascii="Arial" w:hAnsi="Arial" w:cs="Arial"/>
                <w:sz w:val="24"/>
                <w:szCs w:val="24"/>
              </w:rPr>
            </w:pPr>
            <w:r w:rsidRPr="00655316">
              <w:rPr>
                <w:rFonts w:ascii="Arial" w:hAnsi="Arial" w:cs="Arial"/>
                <w:sz w:val="24"/>
                <w:szCs w:val="24"/>
              </w:rPr>
              <w:t>Leasehold improvements</w:t>
            </w:r>
          </w:p>
        </w:tc>
        <w:tc>
          <w:tcPr>
            <w:tcW w:w="921" w:type="dxa"/>
            <w:shd w:val="clear" w:color="auto" w:fill="auto"/>
            <w:noWrap/>
            <w:hideMark/>
          </w:tcPr>
          <w:p w14:paraId="29D6850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1,187 </w:t>
            </w:r>
          </w:p>
        </w:tc>
        <w:tc>
          <w:tcPr>
            <w:tcW w:w="922" w:type="dxa"/>
            <w:shd w:val="clear" w:color="auto" w:fill="auto"/>
            <w:noWrap/>
            <w:hideMark/>
          </w:tcPr>
          <w:p w14:paraId="25BB0F1A"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24" w:type="dxa"/>
            <w:shd w:val="clear" w:color="auto" w:fill="auto"/>
            <w:noWrap/>
            <w:hideMark/>
          </w:tcPr>
          <w:p w14:paraId="143F27F2"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851" w:type="dxa"/>
            <w:shd w:val="clear" w:color="auto" w:fill="auto"/>
            <w:noWrap/>
            <w:hideMark/>
          </w:tcPr>
          <w:p w14:paraId="55EC3E0A"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24" w:type="dxa"/>
            <w:shd w:val="clear" w:color="auto" w:fill="auto"/>
            <w:noWrap/>
            <w:hideMark/>
          </w:tcPr>
          <w:p w14:paraId="6314D84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2,513 </w:t>
            </w:r>
          </w:p>
        </w:tc>
        <w:tc>
          <w:tcPr>
            <w:tcW w:w="851" w:type="dxa"/>
            <w:shd w:val="clear" w:color="auto" w:fill="auto"/>
            <w:noWrap/>
            <w:hideMark/>
          </w:tcPr>
          <w:p w14:paraId="31BA030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4,799 </w:t>
            </w:r>
          </w:p>
        </w:tc>
        <w:tc>
          <w:tcPr>
            <w:tcW w:w="924" w:type="dxa"/>
            <w:shd w:val="clear" w:color="auto" w:fill="auto"/>
            <w:noWrap/>
            <w:hideMark/>
          </w:tcPr>
          <w:p w14:paraId="4813A260" w14:textId="77777777" w:rsidR="003E5BF5" w:rsidRPr="00655316" w:rsidRDefault="003E5BF5" w:rsidP="00DE1921">
            <w:pPr>
              <w:jc w:val="right"/>
              <w:rPr>
                <w:rFonts w:ascii="Arial" w:hAnsi="Arial" w:cs="Arial"/>
                <w:b/>
                <w:sz w:val="24"/>
                <w:szCs w:val="24"/>
              </w:rPr>
            </w:pPr>
            <w:r w:rsidRPr="00655316">
              <w:rPr>
                <w:rFonts w:ascii="Arial" w:hAnsi="Arial" w:cs="Arial"/>
                <w:sz w:val="24"/>
                <w:szCs w:val="24"/>
              </w:rPr>
              <w:t xml:space="preserve">3,700 </w:t>
            </w:r>
          </w:p>
        </w:tc>
        <w:tc>
          <w:tcPr>
            <w:tcW w:w="791" w:type="dxa"/>
            <w:shd w:val="clear" w:color="auto" w:fill="auto"/>
            <w:noWrap/>
            <w:hideMark/>
          </w:tcPr>
          <w:p w14:paraId="34490D80" w14:textId="77777777" w:rsidR="003E5BF5" w:rsidRPr="00655316" w:rsidRDefault="003E5BF5" w:rsidP="00DE1921">
            <w:pPr>
              <w:jc w:val="right"/>
              <w:rPr>
                <w:rFonts w:ascii="Arial" w:hAnsi="Arial" w:cs="Arial"/>
                <w:b/>
                <w:sz w:val="24"/>
                <w:szCs w:val="24"/>
              </w:rPr>
            </w:pPr>
            <w:r w:rsidRPr="00655316">
              <w:rPr>
                <w:rFonts w:ascii="Arial" w:hAnsi="Arial" w:cs="Arial"/>
                <w:sz w:val="24"/>
                <w:szCs w:val="24"/>
              </w:rPr>
              <w:t xml:space="preserve">4,799 </w:t>
            </w:r>
          </w:p>
        </w:tc>
      </w:tr>
      <w:tr w:rsidR="003E5BF5" w:rsidRPr="00655316" w14:paraId="30D23A5F" w14:textId="77777777" w:rsidTr="005E4B21">
        <w:trPr>
          <w:trHeight w:val="283"/>
        </w:trPr>
        <w:tc>
          <w:tcPr>
            <w:tcW w:w="2268" w:type="dxa"/>
            <w:tcBorders>
              <w:bottom w:val="single" w:sz="4" w:space="0" w:color="auto"/>
            </w:tcBorders>
            <w:shd w:val="clear" w:color="auto" w:fill="auto"/>
            <w:noWrap/>
            <w:vAlign w:val="center"/>
            <w:hideMark/>
          </w:tcPr>
          <w:p w14:paraId="62B09D01" w14:textId="77777777" w:rsidR="003E5BF5" w:rsidRPr="00655316" w:rsidRDefault="003E5BF5" w:rsidP="00DE1921">
            <w:pPr>
              <w:rPr>
                <w:rFonts w:ascii="Arial" w:hAnsi="Arial" w:cs="Arial"/>
                <w:sz w:val="24"/>
                <w:szCs w:val="24"/>
              </w:rPr>
            </w:pPr>
            <w:r w:rsidRPr="00655316">
              <w:rPr>
                <w:rFonts w:ascii="Arial" w:hAnsi="Arial" w:cs="Arial"/>
                <w:sz w:val="24"/>
                <w:szCs w:val="24"/>
              </w:rPr>
              <w:t>Cultural assets</w:t>
            </w:r>
          </w:p>
        </w:tc>
        <w:tc>
          <w:tcPr>
            <w:tcW w:w="921" w:type="dxa"/>
            <w:tcBorders>
              <w:bottom w:val="single" w:sz="4" w:space="0" w:color="auto"/>
            </w:tcBorders>
            <w:shd w:val="clear" w:color="auto" w:fill="auto"/>
            <w:noWrap/>
            <w:vAlign w:val="center"/>
            <w:hideMark/>
          </w:tcPr>
          <w:p w14:paraId="2C841C63"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22" w:type="dxa"/>
            <w:tcBorders>
              <w:bottom w:val="single" w:sz="4" w:space="0" w:color="auto"/>
            </w:tcBorders>
            <w:shd w:val="clear" w:color="auto" w:fill="auto"/>
            <w:noWrap/>
            <w:vAlign w:val="center"/>
            <w:hideMark/>
          </w:tcPr>
          <w:p w14:paraId="6341C074"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24" w:type="dxa"/>
            <w:tcBorders>
              <w:bottom w:val="single" w:sz="4" w:space="0" w:color="auto"/>
            </w:tcBorders>
            <w:shd w:val="clear" w:color="auto" w:fill="auto"/>
            <w:noWrap/>
            <w:vAlign w:val="center"/>
            <w:hideMark/>
          </w:tcPr>
          <w:p w14:paraId="6C810EB6"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851" w:type="dxa"/>
            <w:tcBorders>
              <w:bottom w:val="single" w:sz="4" w:space="0" w:color="auto"/>
            </w:tcBorders>
            <w:shd w:val="clear" w:color="auto" w:fill="auto"/>
            <w:noWrap/>
            <w:vAlign w:val="center"/>
            <w:hideMark/>
          </w:tcPr>
          <w:p w14:paraId="2E1E3D86"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924" w:type="dxa"/>
            <w:tcBorders>
              <w:bottom w:val="single" w:sz="4" w:space="0" w:color="auto"/>
            </w:tcBorders>
            <w:shd w:val="clear" w:color="auto" w:fill="auto"/>
            <w:noWrap/>
            <w:vAlign w:val="center"/>
            <w:hideMark/>
          </w:tcPr>
          <w:p w14:paraId="592B1C9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24 </w:t>
            </w:r>
          </w:p>
        </w:tc>
        <w:tc>
          <w:tcPr>
            <w:tcW w:w="851" w:type="dxa"/>
            <w:tcBorders>
              <w:bottom w:val="single" w:sz="4" w:space="0" w:color="auto"/>
            </w:tcBorders>
            <w:shd w:val="clear" w:color="auto" w:fill="auto"/>
            <w:noWrap/>
            <w:vAlign w:val="center"/>
            <w:hideMark/>
          </w:tcPr>
          <w:p w14:paraId="65F5923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607 </w:t>
            </w:r>
          </w:p>
        </w:tc>
        <w:tc>
          <w:tcPr>
            <w:tcW w:w="924" w:type="dxa"/>
            <w:tcBorders>
              <w:bottom w:val="single" w:sz="4" w:space="0" w:color="auto"/>
            </w:tcBorders>
            <w:shd w:val="clear" w:color="auto" w:fill="auto"/>
            <w:noWrap/>
            <w:vAlign w:val="center"/>
            <w:hideMark/>
          </w:tcPr>
          <w:p w14:paraId="18F655DE" w14:textId="77777777" w:rsidR="003E5BF5" w:rsidRPr="00655316" w:rsidRDefault="003E5BF5" w:rsidP="00DE1921">
            <w:pPr>
              <w:jc w:val="right"/>
              <w:rPr>
                <w:rFonts w:ascii="Arial" w:hAnsi="Arial" w:cs="Arial"/>
                <w:b/>
                <w:sz w:val="24"/>
                <w:szCs w:val="24"/>
              </w:rPr>
            </w:pPr>
            <w:r w:rsidRPr="00655316">
              <w:rPr>
                <w:rFonts w:ascii="Arial" w:hAnsi="Arial" w:cs="Arial"/>
                <w:sz w:val="24"/>
                <w:szCs w:val="24"/>
              </w:rPr>
              <w:t xml:space="preserve">24 </w:t>
            </w:r>
          </w:p>
        </w:tc>
        <w:tc>
          <w:tcPr>
            <w:tcW w:w="791" w:type="dxa"/>
            <w:tcBorders>
              <w:bottom w:val="single" w:sz="4" w:space="0" w:color="auto"/>
            </w:tcBorders>
            <w:shd w:val="clear" w:color="auto" w:fill="auto"/>
            <w:noWrap/>
            <w:vAlign w:val="center"/>
            <w:hideMark/>
          </w:tcPr>
          <w:p w14:paraId="3D48E6FD" w14:textId="77777777" w:rsidR="003E5BF5" w:rsidRPr="00655316" w:rsidRDefault="003E5BF5" w:rsidP="00DE1921">
            <w:pPr>
              <w:jc w:val="right"/>
              <w:rPr>
                <w:rFonts w:ascii="Arial" w:hAnsi="Arial" w:cs="Arial"/>
                <w:b/>
                <w:sz w:val="24"/>
                <w:szCs w:val="24"/>
              </w:rPr>
            </w:pPr>
            <w:r w:rsidRPr="00655316">
              <w:rPr>
                <w:rFonts w:ascii="Arial" w:hAnsi="Arial" w:cs="Arial"/>
                <w:sz w:val="24"/>
                <w:szCs w:val="24"/>
              </w:rPr>
              <w:t xml:space="preserve">607 </w:t>
            </w:r>
          </w:p>
        </w:tc>
      </w:tr>
      <w:tr w:rsidR="003E5BF5" w:rsidRPr="00655316" w14:paraId="5251DB93" w14:textId="77777777" w:rsidTr="005E4B21">
        <w:trPr>
          <w:trHeight w:val="283"/>
        </w:trPr>
        <w:tc>
          <w:tcPr>
            <w:tcW w:w="2268" w:type="dxa"/>
            <w:tcBorders>
              <w:bottom w:val="single" w:sz="4" w:space="0" w:color="auto"/>
            </w:tcBorders>
            <w:shd w:val="clear" w:color="auto" w:fill="auto"/>
            <w:noWrap/>
            <w:vAlign w:val="center"/>
            <w:hideMark/>
          </w:tcPr>
          <w:p w14:paraId="0C162CC6" w14:textId="77777777" w:rsidR="003E5BF5" w:rsidRPr="00655316" w:rsidRDefault="003E5BF5" w:rsidP="00DE1921">
            <w:pPr>
              <w:rPr>
                <w:rFonts w:ascii="Arial" w:hAnsi="Arial" w:cs="Arial"/>
                <w:b/>
                <w:sz w:val="24"/>
                <w:szCs w:val="24"/>
              </w:rPr>
            </w:pPr>
            <w:r w:rsidRPr="00655316">
              <w:rPr>
                <w:rFonts w:ascii="Arial" w:hAnsi="Arial" w:cs="Arial"/>
                <w:b/>
                <w:sz w:val="24"/>
                <w:szCs w:val="24"/>
              </w:rPr>
              <w:t xml:space="preserve">Total depreciation </w:t>
            </w:r>
            <w:r w:rsidRPr="00655316">
              <w:rPr>
                <w:rFonts w:ascii="Arial" w:hAnsi="Arial" w:cs="Arial"/>
                <w:b/>
                <w:sz w:val="24"/>
                <w:szCs w:val="24"/>
                <w:vertAlign w:val="superscript"/>
              </w:rPr>
              <w:t>(ii)</w:t>
            </w:r>
          </w:p>
        </w:tc>
        <w:tc>
          <w:tcPr>
            <w:tcW w:w="921" w:type="dxa"/>
            <w:tcBorders>
              <w:bottom w:val="single" w:sz="4" w:space="0" w:color="auto"/>
            </w:tcBorders>
            <w:shd w:val="clear" w:color="auto" w:fill="auto"/>
            <w:noWrap/>
            <w:vAlign w:val="center"/>
            <w:hideMark/>
          </w:tcPr>
          <w:p w14:paraId="49C06EB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31,362 </w:t>
            </w:r>
          </w:p>
        </w:tc>
        <w:tc>
          <w:tcPr>
            <w:tcW w:w="922" w:type="dxa"/>
            <w:tcBorders>
              <w:bottom w:val="single" w:sz="4" w:space="0" w:color="auto"/>
            </w:tcBorders>
            <w:shd w:val="clear" w:color="auto" w:fill="auto"/>
            <w:noWrap/>
            <w:vAlign w:val="center"/>
            <w:hideMark/>
          </w:tcPr>
          <w:p w14:paraId="7665151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924" w:type="dxa"/>
            <w:tcBorders>
              <w:bottom w:val="single" w:sz="4" w:space="0" w:color="auto"/>
            </w:tcBorders>
            <w:shd w:val="clear" w:color="auto" w:fill="auto"/>
            <w:noWrap/>
            <w:vAlign w:val="center"/>
            <w:hideMark/>
          </w:tcPr>
          <w:p w14:paraId="1EE6D15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194,985 </w:t>
            </w:r>
          </w:p>
        </w:tc>
        <w:tc>
          <w:tcPr>
            <w:tcW w:w="851" w:type="dxa"/>
            <w:tcBorders>
              <w:bottom w:val="single" w:sz="4" w:space="0" w:color="auto"/>
            </w:tcBorders>
            <w:shd w:val="clear" w:color="auto" w:fill="auto"/>
            <w:noWrap/>
            <w:vAlign w:val="center"/>
            <w:hideMark/>
          </w:tcPr>
          <w:p w14:paraId="17F9190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924" w:type="dxa"/>
            <w:tcBorders>
              <w:bottom w:val="single" w:sz="4" w:space="0" w:color="auto"/>
            </w:tcBorders>
            <w:shd w:val="clear" w:color="auto" w:fill="auto"/>
            <w:noWrap/>
            <w:vAlign w:val="center"/>
            <w:hideMark/>
          </w:tcPr>
          <w:p w14:paraId="4A41B3A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769,770 </w:t>
            </w:r>
          </w:p>
        </w:tc>
        <w:tc>
          <w:tcPr>
            <w:tcW w:w="851" w:type="dxa"/>
            <w:tcBorders>
              <w:bottom w:val="single" w:sz="4" w:space="0" w:color="auto"/>
            </w:tcBorders>
            <w:shd w:val="clear" w:color="auto" w:fill="auto"/>
            <w:noWrap/>
            <w:vAlign w:val="center"/>
            <w:hideMark/>
          </w:tcPr>
          <w:p w14:paraId="5596CC0A"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23,354 </w:t>
            </w:r>
          </w:p>
        </w:tc>
        <w:tc>
          <w:tcPr>
            <w:tcW w:w="924" w:type="dxa"/>
            <w:tcBorders>
              <w:bottom w:val="single" w:sz="4" w:space="0" w:color="auto"/>
            </w:tcBorders>
            <w:shd w:val="clear" w:color="auto" w:fill="auto"/>
            <w:noWrap/>
            <w:vAlign w:val="center"/>
            <w:hideMark/>
          </w:tcPr>
          <w:p w14:paraId="151E6D7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996,117 </w:t>
            </w:r>
          </w:p>
        </w:tc>
        <w:tc>
          <w:tcPr>
            <w:tcW w:w="791" w:type="dxa"/>
            <w:tcBorders>
              <w:bottom w:val="single" w:sz="4" w:space="0" w:color="auto"/>
            </w:tcBorders>
            <w:shd w:val="clear" w:color="auto" w:fill="auto"/>
            <w:noWrap/>
            <w:vAlign w:val="center"/>
            <w:hideMark/>
          </w:tcPr>
          <w:p w14:paraId="4B59E277"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23,354 </w:t>
            </w:r>
          </w:p>
        </w:tc>
      </w:tr>
    </w:tbl>
    <w:p w14:paraId="44EC9039" w14:textId="77777777" w:rsidR="005E4B21" w:rsidRPr="00655316" w:rsidRDefault="005E4B21" w:rsidP="005E4B21">
      <w:pPr>
        <w:pStyle w:val="Note"/>
        <w:rPr>
          <w:rFonts w:ascii="Arial" w:hAnsi="Arial" w:cs="Arial"/>
          <w:sz w:val="24"/>
          <w:szCs w:val="24"/>
        </w:rPr>
      </w:pPr>
      <w:r w:rsidRPr="00655316">
        <w:rPr>
          <w:rFonts w:ascii="Arial" w:hAnsi="Arial" w:cs="Arial"/>
          <w:sz w:val="24"/>
          <w:szCs w:val="24"/>
        </w:rPr>
        <w:t>Notes:</w:t>
      </w:r>
    </w:p>
    <w:p w14:paraId="4265C1E2" w14:textId="77777777" w:rsidR="005E4B21" w:rsidRPr="00655316" w:rsidRDefault="005E4B21" w:rsidP="00610F5F">
      <w:pPr>
        <w:pStyle w:val="aaaNotenumberiiiiii"/>
        <w:numPr>
          <w:ilvl w:val="0"/>
          <w:numId w:val="88"/>
        </w:numPr>
      </w:pPr>
      <w:r w:rsidRPr="00655316">
        <w:t>The table incorporates depreciation of right-of-use assets as AASB 16 have been applied for the first time from 1 July 2019.</w:t>
      </w:r>
    </w:p>
    <w:p w14:paraId="54CBD983" w14:textId="77777777" w:rsidR="005E4B21" w:rsidRPr="00655316" w:rsidRDefault="005E4B21" w:rsidP="005E4B21">
      <w:pPr>
        <w:pStyle w:val="aaaNotenumberiiiiii"/>
      </w:pPr>
      <w:r w:rsidRPr="00655316">
        <w:t>Excludes amortisation of $18.8 million (2019: $1.6 million) relating to intangible produced assets disclosed in Note 5.2 Intangible assets.</w:t>
      </w:r>
    </w:p>
    <w:p w14:paraId="39A2E08F" w14:textId="2218F0E4" w:rsidR="003E5BF5" w:rsidRDefault="003E5BF5" w:rsidP="00945803">
      <w:pPr>
        <w:pStyle w:val="aaatyping"/>
      </w:pPr>
      <w:r>
        <w:t>All infrastructure assets (excl. earthworks) buildings, plant, equipment and vehicles and other non-financial physical assets that have finite useful lives, are depreciated. Assets held for sale, land, earthworks and assets under construction are not depreciated.</w:t>
      </w:r>
    </w:p>
    <w:p w14:paraId="388DB13B" w14:textId="77777777" w:rsidR="00B56C23" w:rsidRPr="00B56C23" w:rsidRDefault="003E5BF5" w:rsidP="00B56C23">
      <w:pPr>
        <w:pStyle w:val="aaatyping"/>
      </w:pPr>
      <w:r>
        <w:t>Depreciation is generally calculated on a straight-line basis, at rates that allocate the asset’s value, less any estimated residual value, over its estimated useful life. Typical estimated useful lives for the different asset classes for current and prior years are included in the table below:</w:t>
      </w:r>
      <w:bookmarkStart w:id="306" w:name="_Hlk49266937"/>
    </w:p>
    <w:p w14:paraId="43342D6C" w14:textId="3E7A4ED5" w:rsidR="00CA2369" w:rsidRDefault="00CA2369" w:rsidP="00945803">
      <w:pPr>
        <w:pStyle w:val="aaatyping"/>
      </w:pPr>
      <w:r>
        <w:br w:type="page"/>
      </w:r>
    </w:p>
    <w:tbl>
      <w:tblPr>
        <w:tblStyle w:val="TableGrid1"/>
        <w:tblW w:w="0" w:type="auto"/>
        <w:tblLayout w:type="fixed"/>
        <w:tblLook w:val="04A0" w:firstRow="1" w:lastRow="0" w:firstColumn="1" w:lastColumn="0" w:noHBand="0" w:noVBand="1"/>
      </w:tblPr>
      <w:tblGrid>
        <w:gridCol w:w="3823"/>
        <w:gridCol w:w="1275"/>
        <w:gridCol w:w="1134"/>
        <w:gridCol w:w="1418"/>
        <w:gridCol w:w="1410"/>
      </w:tblGrid>
      <w:tr w:rsidR="003E5BF5" w:rsidRPr="00655316" w14:paraId="7F14CC17" w14:textId="77777777" w:rsidTr="009C7A3D">
        <w:trPr>
          <w:trHeight w:val="283"/>
        </w:trPr>
        <w:tc>
          <w:tcPr>
            <w:tcW w:w="3823" w:type="dxa"/>
            <w:shd w:val="clear" w:color="auto" w:fill="auto"/>
          </w:tcPr>
          <w:p w14:paraId="2ED4F1C3" w14:textId="77777777" w:rsidR="003E5BF5" w:rsidRPr="00655316" w:rsidRDefault="003E5BF5" w:rsidP="00DE1921">
            <w:pPr>
              <w:pStyle w:val="TableTextLeft"/>
              <w:rPr>
                <w:rFonts w:ascii="Arial" w:hAnsi="Arial" w:cs="Arial"/>
                <w:b/>
                <w:color w:val="000000"/>
                <w:sz w:val="24"/>
                <w:szCs w:val="24"/>
                <w:lang w:eastAsia="zh-CN"/>
              </w:rPr>
            </w:pPr>
          </w:p>
        </w:tc>
        <w:tc>
          <w:tcPr>
            <w:tcW w:w="5237" w:type="dxa"/>
            <w:gridSpan w:val="4"/>
            <w:shd w:val="clear" w:color="auto" w:fill="auto"/>
            <w:vAlign w:val="center"/>
          </w:tcPr>
          <w:p w14:paraId="3A4B8AB3" w14:textId="77777777" w:rsidR="003E5BF5" w:rsidRPr="00655316" w:rsidRDefault="003E5BF5" w:rsidP="00DE1921">
            <w:pPr>
              <w:pStyle w:val="TableTextCentreBold"/>
              <w:rPr>
                <w:rFonts w:ascii="Arial" w:hAnsi="Arial" w:cs="Arial"/>
                <w:color w:val="000000"/>
                <w:sz w:val="24"/>
                <w:szCs w:val="24"/>
                <w:highlight w:val="yellow"/>
                <w:lang w:eastAsia="zh-CN"/>
              </w:rPr>
            </w:pPr>
            <w:r w:rsidRPr="00655316">
              <w:rPr>
                <w:rFonts w:ascii="Arial" w:hAnsi="Arial" w:cs="Arial"/>
                <w:color w:val="000000"/>
                <w:sz w:val="24"/>
                <w:szCs w:val="24"/>
                <w:lang w:eastAsia="zh-CN"/>
              </w:rPr>
              <w:t>(Years)</w:t>
            </w:r>
          </w:p>
        </w:tc>
      </w:tr>
      <w:tr w:rsidR="003E5BF5" w:rsidRPr="00655316" w14:paraId="5353CD2D" w14:textId="77777777" w:rsidTr="009C7A3D">
        <w:trPr>
          <w:trHeight w:val="283"/>
        </w:trPr>
        <w:tc>
          <w:tcPr>
            <w:tcW w:w="3823" w:type="dxa"/>
            <w:shd w:val="clear" w:color="auto" w:fill="auto"/>
          </w:tcPr>
          <w:p w14:paraId="5BE6911B" w14:textId="77777777" w:rsidR="003E5BF5" w:rsidRPr="00655316" w:rsidRDefault="003E5BF5" w:rsidP="00DE1921">
            <w:pPr>
              <w:pStyle w:val="TableTextLeft"/>
              <w:rPr>
                <w:rFonts w:ascii="Arial" w:hAnsi="Arial" w:cs="Arial"/>
                <w:color w:val="000000"/>
                <w:sz w:val="24"/>
                <w:szCs w:val="24"/>
                <w:highlight w:val="yellow"/>
                <w:lang w:eastAsia="zh-CN"/>
              </w:rPr>
            </w:pPr>
          </w:p>
        </w:tc>
        <w:tc>
          <w:tcPr>
            <w:tcW w:w="2409" w:type="dxa"/>
            <w:gridSpan w:val="2"/>
            <w:shd w:val="clear" w:color="auto" w:fill="auto"/>
            <w:vAlign w:val="bottom"/>
          </w:tcPr>
          <w:p w14:paraId="3759914D" w14:textId="77777777" w:rsidR="003E5BF5" w:rsidRPr="00655316" w:rsidRDefault="003E5BF5" w:rsidP="00DE1921">
            <w:pPr>
              <w:pStyle w:val="TableTextRightBold"/>
              <w:jc w:val="center"/>
              <w:rPr>
                <w:rFonts w:ascii="Arial" w:hAnsi="Arial" w:cs="Arial"/>
                <w:color w:val="000000"/>
                <w:sz w:val="24"/>
                <w:szCs w:val="24"/>
                <w:lang w:eastAsia="zh-CN"/>
              </w:rPr>
            </w:pPr>
            <w:r w:rsidRPr="00655316">
              <w:rPr>
                <w:rFonts w:ascii="Arial" w:hAnsi="Arial" w:cs="Arial"/>
                <w:sz w:val="24"/>
                <w:szCs w:val="24"/>
                <w:lang w:eastAsia="en-AU"/>
              </w:rPr>
              <w:t>Service concession assets</w:t>
            </w:r>
          </w:p>
        </w:tc>
        <w:tc>
          <w:tcPr>
            <w:tcW w:w="2828" w:type="dxa"/>
            <w:gridSpan w:val="2"/>
            <w:shd w:val="clear" w:color="auto" w:fill="auto"/>
            <w:vAlign w:val="bottom"/>
          </w:tcPr>
          <w:p w14:paraId="0227FE4F" w14:textId="77777777" w:rsidR="003E5BF5" w:rsidRPr="00655316" w:rsidRDefault="003E5BF5" w:rsidP="00DE1921">
            <w:pPr>
              <w:pStyle w:val="TableTextRightBold"/>
              <w:jc w:val="center"/>
              <w:rPr>
                <w:rFonts w:ascii="Arial" w:hAnsi="Arial" w:cs="Arial"/>
                <w:color w:val="000000"/>
                <w:sz w:val="24"/>
                <w:szCs w:val="24"/>
                <w:lang w:eastAsia="zh-CN"/>
              </w:rPr>
            </w:pPr>
            <w:r w:rsidRPr="00655316">
              <w:rPr>
                <w:rFonts w:ascii="Arial" w:hAnsi="Arial" w:cs="Arial"/>
                <w:sz w:val="24"/>
                <w:szCs w:val="24"/>
                <w:lang w:eastAsia="en-AU"/>
              </w:rPr>
              <w:t>Right-of-use and other non-financial assets</w:t>
            </w:r>
          </w:p>
        </w:tc>
      </w:tr>
      <w:tr w:rsidR="003E5BF5" w:rsidRPr="00655316" w14:paraId="232C2CBF" w14:textId="77777777" w:rsidTr="009C7A3D">
        <w:trPr>
          <w:trHeight w:val="283"/>
        </w:trPr>
        <w:tc>
          <w:tcPr>
            <w:tcW w:w="3823" w:type="dxa"/>
            <w:shd w:val="clear" w:color="auto" w:fill="auto"/>
            <w:vAlign w:val="center"/>
            <w:hideMark/>
          </w:tcPr>
          <w:p w14:paraId="50F32532" w14:textId="77777777" w:rsidR="003E5BF5" w:rsidRPr="00655316" w:rsidRDefault="003E5BF5" w:rsidP="00604703">
            <w:pPr>
              <w:pStyle w:val="TableTextGreen"/>
              <w:rPr>
                <w:lang w:eastAsia="zh-CN"/>
              </w:rPr>
            </w:pPr>
          </w:p>
        </w:tc>
        <w:tc>
          <w:tcPr>
            <w:tcW w:w="1275" w:type="dxa"/>
            <w:shd w:val="clear" w:color="auto" w:fill="auto"/>
            <w:vAlign w:val="center"/>
          </w:tcPr>
          <w:p w14:paraId="1AE6C496" w14:textId="77777777" w:rsidR="003E5BF5" w:rsidRPr="00655316" w:rsidRDefault="003E5BF5" w:rsidP="00DE1921">
            <w:pPr>
              <w:pStyle w:val="TableTextRightBold"/>
              <w:rPr>
                <w:rFonts w:ascii="Arial" w:hAnsi="Arial" w:cs="Arial"/>
                <w:color w:val="000000"/>
                <w:sz w:val="24"/>
                <w:szCs w:val="24"/>
                <w:highlight w:val="yellow"/>
                <w:lang w:eastAsia="zh-CN"/>
              </w:rPr>
            </w:pPr>
            <w:r w:rsidRPr="00655316">
              <w:rPr>
                <w:rFonts w:ascii="Arial" w:hAnsi="Arial" w:cs="Arial"/>
                <w:color w:val="000000"/>
                <w:sz w:val="24"/>
                <w:szCs w:val="24"/>
                <w:lang w:eastAsia="zh-CN"/>
              </w:rPr>
              <w:t>2020</w:t>
            </w:r>
          </w:p>
        </w:tc>
        <w:tc>
          <w:tcPr>
            <w:tcW w:w="1134" w:type="dxa"/>
            <w:shd w:val="clear" w:color="auto" w:fill="auto"/>
            <w:vAlign w:val="center"/>
          </w:tcPr>
          <w:p w14:paraId="221064AB" w14:textId="77777777" w:rsidR="003E5BF5" w:rsidRPr="00655316" w:rsidRDefault="003E5BF5" w:rsidP="00DE1921">
            <w:pPr>
              <w:pStyle w:val="TableTextRightBold"/>
              <w:rPr>
                <w:rFonts w:ascii="Arial" w:hAnsi="Arial" w:cs="Arial"/>
                <w:color w:val="000000"/>
                <w:sz w:val="24"/>
                <w:szCs w:val="24"/>
                <w:highlight w:val="yellow"/>
                <w:lang w:eastAsia="zh-CN"/>
              </w:rPr>
            </w:pPr>
            <w:r w:rsidRPr="00655316">
              <w:rPr>
                <w:rFonts w:ascii="Arial" w:hAnsi="Arial" w:cs="Arial"/>
                <w:color w:val="000000"/>
                <w:sz w:val="24"/>
                <w:szCs w:val="24"/>
                <w:lang w:eastAsia="zh-CN"/>
              </w:rPr>
              <w:t>2019</w:t>
            </w:r>
          </w:p>
        </w:tc>
        <w:tc>
          <w:tcPr>
            <w:tcW w:w="1418" w:type="dxa"/>
            <w:shd w:val="clear" w:color="auto" w:fill="auto"/>
            <w:vAlign w:val="center"/>
          </w:tcPr>
          <w:p w14:paraId="69F2B41C" w14:textId="77777777" w:rsidR="003E5BF5" w:rsidRPr="00655316" w:rsidRDefault="003E5BF5" w:rsidP="00DE1921">
            <w:pPr>
              <w:pStyle w:val="TableTextRightBold"/>
              <w:rPr>
                <w:rFonts w:ascii="Arial" w:hAnsi="Arial" w:cs="Arial"/>
                <w:color w:val="000000"/>
                <w:sz w:val="24"/>
                <w:szCs w:val="24"/>
                <w:highlight w:val="yellow"/>
                <w:lang w:eastAsia="zh-CN"/>
              </w:rPr>
            </w:pPr>
            <w:r w:rsidRPr="00655316">
              <w:rPr>
                <w:rFonts w:ascii="Arial" w:hAnsi="Arial" w:cs="Arial"/>
                <w:color w:val="000000"/>
                <w:sz w:val="24"/>
                <w:szCs w:val="24"/>
                <w:lang w:eastAsia="zh-CN"/>
              </w:rPr>
              <w:t>2020</w:t>
            </w:r>
          </w:p>
        </w:tc>
        <w:tc>
          <w:tcPr>
            <w:tcW w:w="1410" w:type="dxa"/>
            <w:shd w:val="clear" w:color="auto" w:fill="auto"/>
            <w:vAlign w:val="center"/>
          </w:tcPr>
          <w:p w14:paraId="1EF474A9" w14:textId="77777777" w:rsidR="003E5BF5" w:rsidRPr="00655316" w:rsidRDefault="003E5BF5" w:rsidP="00DE1921">
            <w:pPr>
              <w:pStyle w:val="TableTextRightBold"/>
              <w:rPr>
                <w:rFonts w:ascii="Arial" w:hAnsi="Arial" w:cs="Arial"/>
                <w:color w:val="000000"/>
                <w:sz w:val="24"/>
                <w:szCs w:val="24"/>
                <w:lang w:eastAsia="zh-CN"/>
              </w:rPr>
            </w:pPr>
            <w:r w:rsidRPr="00655316">
              <w:rPr>
                <w:rFonts w:ascii="Arial" w:hAnsi="Arial" w:cs="Arial"/>
                <w:color w:val="000000"/>
                <w:sz w:val="24"/>
                <w:szCs w:val="24"/>
                <w:lang w:eastAsia="zh-CN"/>
              </w:rPr>
              <w:t>2019</w:t>
            </w:r>
          </w:p>
        </w:tc>
      </w:tr>
      <w:tr w:rsidR="003E5BF5" w:rsidRPr="00655316" w14:paraId="0372CC5E" w14:textId="77777777" w:rsidTr="009C7A3D">
        <w:trPr>
          <w:trHeight w:val="283"/>
        </w:trPr>
        <w:tc>
          <w:tcPr>
            <w:tcW w:w="3823" w:type="dxa"/>
            <w:shd w:val="clear" w:color="auto" w:fill="auto"/>
            <w:vAlign w:val="center"/>
          </w:tcPr>
          <w:p w14:paraId="70BD5B73" w14:textId="77777777" w:rsidR="003E5BF5" w:rsidRPr="00655316" w:rsidRDefault="003E5BF5" w:rsidP="00604703">
            <w:pPr>
              <w:pStyle w:val="TableTextGreen"/>
            </w:pPr>
            <w:r w:rsidRPr="00655316">
              <w:t>Assets’ useful lives</w:t>
            </w:r>
          </w:p>
        </w:tc>
        <w:tc>
          <w:tcPr>
            <w:tcW w:w="1275" w:type="dxa"/>
            <w:shd w:val="clear" w:color="auto" w:fill="auto"/>
            <w:vAlign w:val="center"/>
          </w:tcPr>
          <w:p w14:paraId="2B6A303B" w14:textId="77777777" w:rsidR="003E5BF5" w:rsidRPr="00655316" w:rsidRDefault="003E5BF5" w:rsidP="00DE1921">
            <w:pPr>
              <w:pStyle w:val="TableTextRightBold"/>
              <w:rPr>
                <w:rFonts w:ascii="Arial" w:hAnsi="Arial" w:cs="Arial"/>
                <w:color w:val="000000"/>
                <w:sz w:val="24"/>
                <w:szCs w:val="24"/>
                <w:lang w:eastAsia="zh-CN"/>
              </w:rPr>
            </w:pPr>
          </w:p>
        </w:tc>
        <w:tc>
          <w:tcPr>
            <w:tcW w:w="1134" w:type="dxa"/>
            <w:shd w:val="clear" w:color="auto" w:fill="auto"/>
            <w:vAlign w:val="center"/>
          </w:tcPr>
          <w:p w14:paraId="23C91F2D" w14:textId="77777777" w:rsidR="003E5BF5" w:rsidRPr="00655316" w:rsidRDefault="003E5BF5" w:rsidP="00DE1921">
            <w:pPr>
              <w:pStyle w:val="TableTextRightBold"/>
              <w:rPr>
                <w:rFonts w:ascii="Arial" w:hAnsi="Arial" w:cs="Arial"/>
                <w:color w:val="000000"/>
                <w:sz w:val="24"/>
                <w:szCs w:val="24"/>
                <w:lang w:eastAsia="zh-CN"/>
              </w:rPr>
            </w:pPr>
          </w:p>
        </w:tc>
        <w:tc>
          <w:tcPr>
            <w:tcW w:w="1418" w:type="dxa"/>
            <w:shd w:val="clear" w:color="auto" w:fill="auto"/>
            <w:vAlign w:val="center"/>
          </w:tcPr>
          <w:p w14:paraId="75BDCFB8" w14:textId="77777777" w:rsidR="003E5BF5" w:rsidRPr="00655316" w:rsidRDefault="003E5BF5" w:rsidP="00DE1921">
            <w:pPr>
              <w:pStyle w:val="TableTextRightBold"/>
              <w:rPr>
                <w:rFonts w:ascii="Arial" w:hAnsi="Arial" w:cs="Arial"/>
                <w:color w:val="000000"/>
                <w:sz w:val="24"/>
                <w:szCs w:val="24"/>
                <w:lang w:eastAsia="zh-CN"/>
              </w:rPr>
            </w:pPr>
          </w:p>
        </w:tc>
        <w:tc>
          <w:tcPr>
            <w:tcW w:w="1410" w:type="dxa"/>
            <w:shd w:val="clear" w:color="auto" w:fill="auto"/>
            <w:vAlign w:val="center"/>
          </w:tcPr>
          <w:p w14:paraId="0DD6C5E6" w14:textId="77777777" w:rsidR="003E5BF5" w:rsidRPr="00655316" w:rsidRDefault="003E5BF5" w:rsidP="00DE1921">
            <w:pPr>
              <w:pStyle w:val="TableTextRightBold"/>
              <w:rPr>
                <w:rFonts w:ascii="Arial" w:hAnsi="Arial" w:cs="Arial"/>
                <w:color w:val="000000"/>
                <w:sz w:val="24"/>
                <w:szCs w:val="24"/>
                <w:lang w:eastAsia="zh-CN"/>
              </w:rPr>
            </w:pPr>
          </w:p>
        </w:tc>
      </w:tr>
      <w:tr w:rsidR="003E5BF5" w:rsidRPr="00655316" w14:paraId="1AA186B3" w14:textId="77777777" w:rsidTr="009C7A3D">
        <w:trPr>
          <w:trHeight w:val="283"/>
        </w:trPr>
        <w:tc>
          <w:tcPr>
            <w:tcW w:w="3823" w:type="dxa"/>
            <w:shd w:val="clear" w:color="auto" w:fill="auto"/>
            <w:vAlign w:val="center"/>
          </w:tcPr>
          <w:p w14:paraId="6616F462" w14:textId="77777777" w:rsidR="003E5BF5" w:rsidRPr="00655316" w:rsidRDefault="003E5BF5" w:rsidP="00604703">
            <w:pPr>
              <w:pStyle w:val="TableTextGreen"/>
              <w:rPr>
                <w:lang w:eastAsia="zh-CN"/>
              </w:rPr>
            </w:pPr>
            <w:r w:rsidRPr="00655316">
              <w:rPr>
                <w:lang w:eastAsia="zh-CN"/>
              </w:rPr>
              <w:t xml:space="preserve">Roads and bridges </w:t>
            </w:r>
          </w:p>
        </w:tc>
        <w:tc>
          <w:tcPr>
            <w:tcW w:w="1275" w:type="dxa"/>
            <w:shd w:val="clear" w:color="auto" w:fill="auto"/>
            <w:vAlign w:val="center"/>
          </w:tcPr>
          <w:p w14:paraId="19AA4353" w14:textId="77777777" w:rsidR="003E5BF5" w:rsidRPr="00655316" w:rsidRDefault="003E5BF5" w:rsidP="00DE1921">
            <w:pPr>
              <w:pStyle w:val="TableTextRightBold"/>
              <w:rPr>
                <w:rFonts w:ascii="Arial" w:hAnsi="Arial" w:cs="Arial"/>
                <w:b w:val="0"/>
                <w:color w:val="000000"/>
                <w:sz w:val="24"/>
                <w:szCs w:val="24"/>
                <w:lang w:eastAsia="zh-CN"/>
              </w:rPr>
            </w:pPr>
            <w:r w:rsidRPr="00655316">
              <w:rPr>
                <w:rFonts w:ascii="Arial" w:hAnsi="Arial" w:cs="Arial"/>
                <w:b w:val="0"/>
                <w:color w:val="000000"/>
                <w:sz w:val="24"/>
                <w:szCs w:val="24"/>
                <w:lang w:eastAsia="zh-CN"/>
              </w:rPr>
              <w:t>50 to 100</w:t>
            </w:r>
          </w:p>
        </w:tc>
        <w:tc>
          <w:tcPr>
            <w:tcW w:w="1134" w:type="dxa"/>
            <w:shd w:val="clear" w:color="auto" w:fill="auto"/>
            <w:vAlign w:val="center"/>
          </w:tcPr>
          <w:p w14:paraId="33E573F6" w14:textId="77777777" w:rsidR="003E5BF5" w:rsidRPr="00655316" w:rsidRDefault="003E5BF5" w:rsidP="00DE1921">
            <w:pPr>
              <w:pStyle w:val="TableTextRightBold"/>
              <w:rPr>
                <w:rFonts w:ascii="Arial" w:hAnsi="Arial" w:cs="Arial"/>
                <w:b w:val="0"/>
                <w:color w:val="000000"/>
                <w:sz w:val="24"/>
                <w:szCs w:val="24"/>
                <w:lang w:eastAsia="zh-CN"/>
              </w:rPr>
            </w:pPr>
            <w:r w:rsidRPr="00655316">
              <w:rPr>
                <w:rFonts w:ascii="Arial" w:hAnsi="Arial" w:cs="Arial"/>
                <w:sz w:val="24"/>
                <w:szCs w:val="24"/>
              </w:rPr>
              <w:t>-</w:t>
            </w:r>
          </w:p>
        </w:tc>
        <w:tc>
          <w:tcPr>
            <w:tcW w:w="1418" w:type="dxa"/>
            <w:shd w:val="clear" w:color="auto" w:fill="auto"/>
            <w:vAlign w:val="center"/>
          </w:tcPr>
          <w:p w14:paraId="049E6FAD" w14:textId="77777777" w:rsidR="003E5BF5" w:rsidRPr="00655316" w:rsidRDefault="003E5BF5" w:rsidP="00DE1921">
            <w:pPr>
              <w:pStyle w:val="TableTextRightBold"/>
              <w:rPr>
                <w:rFonts w:ascii="Arial" w:hAnsi="Arial" w:cs="Arial"/>
                <w:b w:val="0"/>
                <w:color w:val="000000"/>
                <w:sz w:val="24"/>
                <w:szCs w:val="24"/>
                <w:lang w:eastAsia="zh-CN"/>
              </w:rPr>
            </w:pPr>
            <w:r w:rsidRPr="00655316">
              <w:rPr>
                <w:rFonts w:ascii="Arial" w:hAnsi="Arial" w:cs="Arial"/>
                <w:b w:val="0"/>
                <w:color w:val="000000"/>
                <w:sz w:val="24"/>
                <w:szCs w:val="24"/>
                <w:lang w:eastAsia="zh-CN"/>
              </w:rPr>
              <w:t>60 to 90</w:t>
            </w:r>
          </w:p>
        </w:tc>
        <w:tc>
          <w:tcPr>
            <w:tcW w:w="1410" w:type="dxa"/>
            <w:shd w:val="clear" w:color="auto" w:fill="auto"/>
            <w:vAlign w:val="center"/>
          </w:tcPr>
          <w:p w14:paraId="4D2EE204" w14:textId="77777777" w:rsidR="003E5BF5" w:rsidRPr="00655316" w:rsidRDefault="003E5BF5" w:rsidP="00DE1921">
            <w:pPr>
              <w:pStyle w:val="TableTextRightBold"/>
              <w:rPr>
                <w:rFonts w:ascii="Arial" w:hAnsi="Arial" w:cs="Arial"/>
                <w:b w:val="0"/>
                <w:color w:val="000000"/>
                <w:sz w:val="24"/>
                <w:szCs w:val="24"/>
                <w:lang w:eastAsia="zh-CN"/>
              </w:rPr>
            </w:pPr>
            <w:r w:rsidRPr="00655316">
              <w:rPr>
                <w:rFonts w:ascii="Arial" w:hAnsi="Arial" w:cs="Arial"/>
                <w:sz w:val="24"/>
                <w:szCs w:val="24"/>
              </w:rPr>
              <w:t>-</w:t>
            </w:r>
          </w:p>
        </w:tc>
      </w:tr>
      <w:tr w:rsidR="003E5BF5" w:rsidRPr="00655316" w14:paraId="653BB720" w14:textId="77777777" w:rsidTr="009C7A3D">
        <w:trPr>
          <w:trHeight w:val="283"/>
        </w:trPr>
        <w:tc>
          <w:tcPr>
            <w:tcW w:w="3823" w:type="dxa"/>
            <w:shd w:val="clear" w:color="auto" w:fill="auto"/>
            <w:vAlign w:val="center"/>
          </w:tcPr>
          <w:p w14:paraId="41B9534D" w14:textId="77777777" w:rsidR="003E5BF5" w:rsidRPr="00655316" w:rsidRDefault="003E5BF5" w:rsidP="00604703">
            <w:pPr>
              <w:pStyle w:val="TableTextGreen"/>
              <w:rPr>
                <w:lang w:eastAsia="zh-CN"/>
              </w:rPr>
            </w:pPr>
            <w:r w:rsidRPr="00655316">
              <w:rPr>
                <w:lang w:eastAsia="zh-CN"/>
              </w:rPr>
              <w:t>Other infrastructure</w:t>
            </w:r>
          </w:p>
        </w:tc>
        <w:tc>
          <w:tcPr>
            <w:tcW w:w="1275" w:type="dxa"/>
            <w:shd w:val="clear" w:color="auto" w:fill="auto"/>
            <w:vAlign w:val="center"/>
          </w:tcPr>
          <w:p w14:paraId="7DBD7561" w14:textId="77777777" w:rsidR="003E5BF5" w:rsidRPr="00655316" w:rsidRDefault="003E5BF5" w:rsidP="00DE1921">
            <w:pPr>
              <w:pStyle w:val="TableTextRightBold"/>
              <w:rPr>
                <w:rFonts w:ascii="Arial" w:hAnsi="Arial" w:cs="Arial"/>
                <w:b w:val="0"/>
                <w:color w:val="000000"/>
                <w:sz w:val="24"/>
                <w:szCs w:val="24"/>
                <w:lang w:eastAsia="zh-CN"/>
              </w:rPr>
            </w:pPr>
            <w:r w:rsidRPr="00655316">
              <w:rPr>
                <w:rFonts w:ascii="Arial" w:hAnsi="Arial" w:cs="Arial"/>
                <w:b w:val="0"/>
                <w:color w:val="000000"/>
                <w:sz w:val="24"/>
                <w:szCs w:val="24"/>
                <w:lang w:eastAsia="zh-CN"/>
              </w:rPr>
              <w:t>5 to 100</w:t>
            </w:r>
          </w:p>
        </w:tc>
        <w:tc>
          <w:tcPr>
            <w:tcW w:w="1134" w:type="dxa"/>
            <w:shd w:val="clear" w:color="auto" w:fill="auto"/>
            <w:vAlign w:val="center"/>
          </w:tcPr>
          <w:p w14:paraId="684D0438" w14:textId="77777777" w:rsidR="003E5BF5" w:rsidRPr="00655316" w:rsidRDefault="003E5BF5" w:rsidP="00DE1921">
            <w:pPr>
              <w:pStyle w:val="TableTextRightBold"/>
              <w:rPr>
                <w:rFonts w:ascii="Arial" w:hAnsi="Arial" w:cs="Arial"/>
                <w:b w:val="0"/>
                <w:color w:val="000000"/>
                <w:sz w:val="24"/>
                <w:szCs w:val="24"/>
                <w:lang w:eastAsia="zh-CN"/>
              </w:rPr>
            </w:pPr>
            <w:r w:rsidRPr="00655316">
              <w:rPr>
                <w:rFonts w:ascii="Arial" w:hAnsi="Arial" w:cs="Arial"/>
                <w:sz w:val="24"/>
                <w:szCs w:val="24"/>
              </w:rPr>
              <w:t>-</w:t>
            </w:r>
          </w:p>
        </w:tc>
        <w:tc>
          <w:tcPr>
            <w:tcW w:w="1418" w:type="dxa"/>
            <w:shd w:val="clear" w:color="auto" w:fill="auto"/>
            <w:vAlign w:val="center"/>
          </w:tcPr>
          <w:p w14:paraId="6DA7CD74" w14:textId="77777777" w:rsidR="003E5BF5" w:rsidRPr="00655316" w:rsidRDefault="003E5BF5" w:rsidP="00DE1921">
            <w:pPr>
              <w:pStyle w:val="TableTextRightBold"/>
              <w:rPr>
                <w:rFonts w:ascii="Arial" w:hAnsi="Arial" w:cs="Arial"/>
                <w:b w:val="0"/>
                <w:color w:val="000000"/>
                <w:sz w:val="24"/>
                <w:szCs w:val="24"/>
                <w:lang w:eastAsia="zh-CN"/>
              </w:rPr>
            </w:pPr>
            <w:r w:rsidRPr="00655316">
              <w:rPr>
                <w:rFonts w:ascii="Arial" w:hAnsi="Arial" w:cs="Arial"/>
                <w:b w:val="0"/>
                <w:color w:val="000000"/>
                <w:sz w:val="24"/>
                <w:szCs w:val="24"/>
                <w:lang w:eastAsia="zh-CN"/>
              </w:rPr>
              <w:t>10 to 50</w:t>
            </w:r>
          </w:p>
        </w:tc>
        <w:tc>
          <w:tcPr>
            <w:tcW w:w="1410" w:type="dxa"/>
            <w:shd w:val="clear" w:color="auto" w:fill="auto"/>
            <w:vAlign w:val="center"/>
          </w:tcPr>
          <w:p w14:paraId="5981D7AC" w14:textId="77777777" w:rsidR="003E5BF5" w:rsidRPr="00655316" w:rsidRDefault="003E5BF5" w:rsidP="00DE1921">
            <w:pPr>
              <w:pStyle w:val="TableTextRightBold"/>
              <w:rPr>
                <w:rFonts w:ascii="Arial" w:hAnsi="Arial" w:cs="Arial"/>
                <w:b w:val="0"/>
                <w:color w:val="000000"/>
                <w:sz w:val="24"/>
                <w:szCs w:val="24"/>
                <w:lang w:eastAsia="zh-CN"/>
              </w:rPr>
            </w:pPr>
            <w:r w:rsidRPr="00655316">
              <w:rPr>
                <w:rFonts w:ascii="Arial" w:hAnsi="Arial" w:cs="Arial"/>
                <w:b w:val="0"/>
                <w:color w:val="000000"/>
                <w:sz w:val="24"/>
                <w:szCs w:val="24"/>
                <w:lang w:eastAsia="zh-CN"/>
              </w:rPr>
              <w:t>20 to 50</w:t>
            </w:r>
          </w:p>
        </w:tc>
      </w:tr>
      <w:tr w:rsidR="003E5BF5" w:rsidRPr="00655316" w14:paraId="2070BAB4" w14:textId="77777777" w:rsidTr="009C7A3D">
        <w:trPr>
          <w:trHeight w:val="283"/>
        </w:trPr>
        <w:tc>
          <w:tcPr>
            <w:tcW w:w="3823" w:type="dxa"/>
            <w:shd w:val="clear" w:color="auto" w:fill="auto"/>
            <w:vAlign w:val="center"/>
            <w:hideMark/>
          </w:tcPr>
          <w:p w14:paraId="3EED3811" w14:textId="77777777" w:rsidR="003E5BF5" w:rsidRPr="00655316" w:rsidRDefault="003E5BF5" w:rsidP="00DE1921">
            <w:pPr>
              <w:pStyle w:val="TableTextLeft"/>
              <w:rPr>
                <w:rFonts w:ascii="Arial" w:hAnsi="Arial" w:cs="Arial"/>
                <w:color w:val="000000"/>
                <w:sz w:val="24"/>
                <w:szCs w:val="24"/>
                <w:highlight w:val="yellow"/>
                <w:lang w:eastAsia="zh-CN"/>
              </w:rPr>
            </w:pPr>
            <w:r w:rsidRPr="00655316">
              <w:rPr>
                <w:rFonts w:ascii="Arial" w:hAnsi="Arial" w:cs="Arial"/>
                <w:color w:val="000000"/>
                <w:sz w:val="24"/>
                <w:szCs w:val="24"/>
                <w:lang w:eastAsia="zh-CN"/>
              </w:rPr>
              <w:t>Buildings</w:t>
            </w:r>
          </w:p>
        </w:tc>
        <w:tc>
          <w:tcPr>
            <w:tcW w:w="1275" w:type="dxa"/>
            <w:shd w:val="clear" w:color="auto" w:fill="auto"/>
            <w:vAlign w:val="center"/>
          </w:tcPr>
          <w:p w14:paraId="2D8CBE2B"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color w:val="000000"/>
                <w:sz w:val="24"/>
                <w:szCs w:val="24"/>
                <w:lang w:eastAsia="zh-CN"/>
              </w:rPr>
              <w:t>65</w:t>
            </w:r>
          </w:p>
        </w:tc>
        <w:tc>
          <w:tcPr>
            <w:tcW w:w="1134" w:type="dxa"/>
            <w:shd w:val="clear" w:color="auto" w:fill="auto"/>
            <w:vAlign w:val="center"/>
          </w:tcPr>
          <w:p w14:paraId="0B6830DF"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b/>
                <w:sz w:val="24"/>
                <w:szCs w:val="24"/>
              </w:rPr>
              <w:t>-</w:t>
            </w:r>
          </w:p>
        </w:tc>
        <w:tc>
          <w:tcPr>
            <w:tcW w:w="1418" w:type="dxa"/>
            <w:shd w:val="clear" w:color="auto" w:fill="auto"/>
            <w:vAlign w:val="center"/>
            <w:hideMark/>
          </w:tcPr>
          <w:p w14:paraId="372785CC" w14:textId="77777777" w:rsidR="003E5BF5" w:rsidRPr="00655316" w:rsidRDefault="003E5BF5" w:rsidP="00DE1921">
            <w:pPr>
              <w:pStyle w:val="TableTextRight"/>
              <w:rPr>
                <w:rFonts w:ascii="Arial" w:hAnsi="Arial" w:cs="Arial"/>
                <w:color w:val="000000"/>
                <w:sz w:val="24"/>
                <w:szCs w:val="24"/>
                <w:highlight w:val="yellow"/>
                <w:lang w:eastAsia="zh-CN"/>
              </w:rPr>
            </w:pPr>
            <w:r w:rsidRPr="00655316">
              <w:rPr>
                <w:rFonts w:ascii="Arial" w:hAnsi="Arial" w:cs="Arial"/>
                <w:color w:val="000000"/>
                <w:sz w:val="24"/>
                <w:szCs w:val="24"/>
                <w:lang w:eastAsia="zh-CN"/>
              </w:rPr>
              <w:t>3 to 75</w:t>
            </w:r>
          </w:p>
        </w:tc>
        <w:tc>
          <w:tcPr>
            <w:tcW w:w="1410" w:type="dxa"/>
            <w:shd w:val="clear" w:color="auto" w:fill="auto"/>
            <w:vAlign w:val="center"/>
            <w:hideMark/>
          </w:tcPr>
          <w:p w14:paraId="0244B216"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color w:val="000000"/>
                <w:sz w:val="24"/>
                <w:szCs w:val="24"/>
                <w:lang w:eastAsia="zh-CN"/>
              </w:rPr>
              <w:t>25 to 85</w:t>
            </w:r>
          </w:p>
        </w:tc>
      </w:tr>
      <w:tr w:rsidR="003E5BF5" w:rsidRPr="00655316" w14:paraId="1363FEC6" w14:textId="77777777" w:rsidTr="009C7A3D">
        <w:trPr>
          <w:trHeight w:val="283"/>
        </w:trPr>
        <w:tc>
          <w:tcPr>
            <w:tcW w:w="3823" w:type="dxa"/>
            <w:shd w:val="clear" w:color="auto" w:fill="auto"/>
            <w:vAlign w:val="center"/>
          </w:tcPr>
          <w:p w14:paraId="1FB75486" w14:textId="77777777" w:rsidR="003E5BF5" w:rsidRPr="00655316" w:rsidRDefault="003E5BF5" w:rsidP="00DE1921">
            <w:pPr>
              <w:pStyle w:val="TableTextLeft"/>
              <w:rPr>
                <w:rFonts w:ascii="Arial" w:hAnsi="Arial" w:cs="Arial"/>
                <w:color w:val="000000"/>
                <w:sz w:val="24"/>
                <w:szCs w:val="24"/>
                <w:lang w:eastAsia="zh-CN"/>
              </w:rPr>
            </w:pPr>
            <w:r w:rsidRPr="00655316">
              <w:rPr>
                <w:rFonts w:ascii="Arial" w:hAnsi="Arial" w:cs="Arial"/>
                <w:color w:val="000000"/>
                <w:sz w:val="24"/>
                <w:szCs w:val="24"/>
                <w:lang w:eastAsia="zh-CN"/>
              </w:rPr>
              <w:t>Plant, equipment and vehicles</w:t>
            </w:r>
          </w:p>
        </w:tc>
        <w:tc>
          <w:tcPr>
            <w:tcW w:w="1275" w:type="dxa"/>
            <w:shd w:val="clear" w:color="auto" w:fill="auto"/>
            <w:vAlign w:val="center"/>
          </w:tcPr>
          <w:p w14:paraId="57326DF2"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color w:val="000000"/>
                <w:sz w:val="24"/>
                <w:szCs w:val="24"/>
                <w:lang w:eastAsia="zh-CN"/>
              </w:rPr>
              <w:t>1 to 17</w:t>
            </w:r>
          </w:p>
        </w:tc>
        <w:tc>
          <w:tcPr>
            <w:tcW w:w="1134" w:type="dxa"/>
            <w:shd w:val="clear" w:color="auto" w:fill="auto"/>
            <w:vAlign w:val="center"/>
          </w:tcPr>
          <w:p w14:paraId="44B0D1E1"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b/>
                <w:sz w:val="24"/>
                <w:szCs w:val="24"/>
              </w:rPr>
              <w:t>-</w:t>
            </w:r>
          </w:p>
        </w:tc>
        <w:tc>
          <w:tcPr>
            <w:tcW w:w="1418" w:type="dxa"/>
            <w:shd w:val="clear" w:color="auto" w:fill="auto"/>
            <w:vAlign w:val="center"/>
          </w:tcPr>
          <w:p w14:paraId="4E706CF8"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color w:val="000000"/>
                <w:sz w:val="24"/>
                <w:szCs w:val="24"/>
                <w:lang w:eastAsia="zh-CN"/>
              </w:rPr>
              <w:t>1 to 50</w:t>
            </w:r>
          </w:p>
        </w:tc>
        <w:tc>
          <w:tcPr>
            <w:tcW w:w="1410" w:type="dxa"/>
            <w:shd w:val="clear" w:color="auto" w:fill="auto"/>
            <w:vAlign w:val="center"/>
          </w:tcPr>
          <w:p w14:paraId="4A1143D4"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color w:val="000000"/>
                <w:sz w:val="24"/>
                <w:szCs w:val="24"/>
                <w:lang w:eastAsia="zh-CN"/>
              </w:rPr>
              <w:t>1 to 50</w:t>
            </w:r>
          </w:p>
        </w:tc>
      </w:tr>
      <w:tr w:rsidR="003E5BF5" w:rsidRPr="00655316" w14:paraId="3DC44D17" w14:textId="77777777" w:rsidTr="009C7A3D">
        <w:trPr>
          <w:trHeight w:val="283"/>
        </w:trPr>
        <w:tc>
          <w:tcPr>
            <w:tcW w:w="3823" w:type="dxa"/>
            <w:shd w:val="clear" w:color="auto" w:fill="auto"/>
            <w:vAlign w:val="center"/>
            <w:hideMark/>
          </w:tcPr>
          <w:p w14:paraId="7E31B4D6" w14:textId="77777777" w:rsidR="003E5BF5" w:rsidRPr="00655316" w:rsidRDefault="003E5BF5" w:rsidP="00DE1921">
            <w:pPr>
              <w:pStyle w:val="TableTextLeft"/>
              <w:rPr>
                <w:rFonts w:ascii="Arial" w:hAnsi="Arial" w:cs="Arial"/>
                <w:color w:val="000000"/>
                <w:sz w:val="24"/>
                <w:szCs w:val="24"/>
                <w:lang w:eastAsia="zh-CN"/>
              </w:rPr>
            </w:pPr>
            <w:r w:rsidRPr="00655316">
              <w:rPr>
                <w:rFonts w:ascii="Arial" w:hAnsi="Arial" w:cs="Arial"/>
                <w:color w:val="000000"/>
                <w:sz w:val="24"/>
                <w:szCs w:val="24"/>
                <w:lang w:eastAsia="zh-CN"/>
              </w:rPr>
              <w:t>Leasehold improvements</w:t>
            </w:r>
          </w:p>
        </w:tc>
        <w:tc>
          <w:tcPr>
            <w:tcW w:w="1275" w:type="dxa"/>
            <w:shd w:val="clear" w:color="auto" w:fill="auto"/>
            <w:vAlign w:val="center"/>
          </w:tcPr>
          <w:p w14:paraId="53F37DD0"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color w:val="000000"/>
                <w:sz w:val="24"/>
                <w:szCs w:val="24"/>
                <w:lang w:eastAsia="zh-CN"/>
              </w:rPr>
              <w:t>N/A</w:t>
            </w:r>
          </w:p>
        </w:tc>
        <w:tc>
          <w:tcPr>
            <w:tcW w:w="1134" w:type="dxa"/>
            <w:shd w:val="clear" w:color="auto" w:fill="auto"/>
            <w:vAlign w:val="center"/>
          </w:tcPr>
          <w:p w14:paraId="3F2E6902"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b/>
                <w:sz w:val="24"/>
                <w:szCs w:val="24"/>
              </w:rPr>
              <w:t>-</w:t>
            </w:r>
          </w:p>
        </w:tc>
        <w:tc>
          <w:tcPr>
            <w:tcW w:w="1418" w:type="dxa"/>
            <w:shd w:val="clear" w:color="auto" w:fill="auto"/>
            <w:vAlign w:val="center"/>
            <w:hideMark/>
          </w:tcPr>
          <w:p w14:paraId="727F4066"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color w:val="000000"/>
                <w:sz w:val="24"/>
                <w:szCs w:val="24"/>
                <w:lang w:eastAsia="zh-CN"/>
              </w:rPr>
              <w:t xml:space="preserve">4 to 47 </w:t>
            </w:r>
          </w:p>
        </w:tc>
        <w:tc>
          <w:tcPr>
            <w:tcW w:w="1410" w:type="dxa"/>
            <w:shd w:val="clear" w:color="auto" w:fill="auto"/>
            <w:vAlign w:val="center"/>
            <w:hideMark/>
          </w:tcPr>
          <w:p w14:paraId="16D67E9F"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color w:val="000000"/>
                <w:sz w:val="24"/>
                <w:szCs w:val="24"/>
                <w:lang w:eastAsia="zh-CN"/>
              </w:rPr>
              <w:t>1 to 33</w:t>
            </w:r>
          </w:p>
        </w:tc>
      </w:tr>
      <w:tr w:rsidR="003E5BF5" w:rsidRPr="00655316" w14:paraId="7947A2E4" w14:textId="77777777" w:rsidTr="009C7A3D">
        <w:trPr>
          <w:trHeight w:val="283"/>
        </w:trPr>
        <w:tc>
          <w:tcPr>
            <w:tcW w:w="3823" w:type="dxa"/>
            <w:shd w:val="clear" w:color="auto" w:fill="auto"/>
            <w:vAlign w:val="center"/>
            <w:hideMark/>
          </w:tcPr>
          <w:p w14:paraId="2ECE2F18" w14:textId="77777777" w:rsidR="003E5BF5" w:rsidRPr="00655316" w:rsidRDefault="003E5BF5" w:rsidP="00DE1921">
            <w:pPr>
              <w:pStyle w:val="TableTextLeft"/>
              <w:rPr>
                <w:rFonts w:ascii="Arial" w:hAnsi="Arial" w:cs="Arial"/>
                <w:color w:val="000000"/>
                <w:sz w:val="24"/>
                <w:szCs w:val="24"/>
                <w:lang w:eastAsia="zh-CN"/>
              </w:rPr>
            </w:pPr>
            <w:r w:rsidRPr="00655316">
              <w:rPr>
                <w:rFonts w:ascii="Arial" w:hAnsi="Arial" w:cs="Arial"/>
                <w:color w:val="000000"/>
                <w:sz w:val="24"/>
                <w:szCs w:val="24"/>
                <w:lang w:eastAsia="zh-CN"/>
              </w:rPr>
              <w:t>Cultural assets</w:t>
            </w:r>
          </w:p>
        </w:tc>
        <w:tc>
          <w:tcPr>
            <w:tcW w:w="1275" w:type="dxa"/>
            <w:shd w:val="clear" w:color="auto" w:fill="auto"/>
            <w:vAlign w:val="center"/>
          </w:tcPr>
          <w:p w14:paraId="36F166FD"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color w:val="000000"/>
                <w:sz w:val="24"/>
                <w:szCs w:val="24"/>
                <w:lang w:eastAsia="zh-CN"/>
              </w:rPr>
              <w:t>N/A</w:t>
            </w:r>
          </w:p>
        </w:tc>
        <w:tc>
          <w:tcPr>
            <w:tcW w:w="1134" w:type="dxa"/>
            <w:shd w:val="clear" w:color="auto" w:fill="auto"/>
            <w:vAlign w:val="center"/>
          </w:tcPr>
          <w:p w14:paraId="6608C562"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b/>
                <w:sz w:val="24"/>
                <w:szCs w:val="24"/>
              </w:rPr>
              <w:t>-</w:t>
            </w:r>
          </w:p>
        </w:tc>
        <w:tc>
          <w:tcPr>
            <w:tcW w:w="1418" w:type="dxa"/>
            <w:shd w:val="clear" w:color="auto" w:fill="auto"/>
            <w:vAlign w:val="center"/>
            <w:hideMark/>
          </w:tcPr>
          <w:p w14:paraId="798939C2"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color w:val="000000"/>
                <w:sz w:val="24"/>
                <w:szCs w:val="24"/>
                <w:lang w:eastAsia="zh-CN"/>
              </w:rPr>
              <w:t>84 to 100</w:t>
            </w:r>
          </w:p>
        </w:tc>
        <w:tc>
          <w:tcPr>
            <w:tcW w:w="1410" w:type="dxa"/>
            <w:shd w:val="clear" w:color="auto" w:fill="auto"/>
            <w:vAlign w:val="center"/>
            <w:hideMark/>
          </w:tcPr>
          <w:p w14:paraId="2079BCAB"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color w:val="000000"/>
                <w:sz w:val="24"/>
                <w:szCs w:val="24"/>
                <w:lang w:eastAsia="zh-CN"/>
              </w:rPr>
              <w:t>100</w:t>
            </w:r>
          </w:p>
        </w:tc>
      </w:tr>
      <w:tr w:rsidR="003E5BF5" w:rsidRPr="00655316" w14:paraId="1D5D5760" w14:textId="77777777" w:rsidTr="009C7A3D">
        <w:trPr>
          <w:trHeight w:val="283"/>
        </w:trPr>
        <w:tc>
          <w:tcPr>
            <w:tcW w:w="3823" w:type="dxa"/>
            <w:shd w:val="clear" w:color="auto" w:fill="auto"/>
            <w:vAlign w:val="center"/>
            <w:hideMark/>
          </w:tcPr>
          <w:p w14:paraId="4C40FC90" w14:textId="77777777" w:rsidR="003E5BF5" w:rsidRPr="00655316" w:rsidRDefault="003E5BF5" w:rsidP="00DE1921">
            <w:pPr>
              <w:pStyle w:val="TableTextLeft"/>
              <w:rPr>
                <w:rFonts w:ascii="Arial" w:hAnsi="Arial" w:cs="Arial"/>
                <w:color w:val="000000"/>
                <w:sz w:val="24"/>
                <w:szCs w:val="24"/>
                <w:lang w:eastAsia="zh-CN"/>
              </w:rPr>
            </w:pPr>
            <w:r w:rsidRPr="00655316">
              <w:rPr>
                <w:rFonts w:ascii="Arial" w:hAnsi="Arial" w:cs="Arial"/>
                <w:color w:val="000000"/>
                <w:sz w:val="24"/>
                <w:szCs w:val="24"/>
                <w:lang w:eastAsia="zh-CN"/>
              </w:rPr>
              <w:t>Intangible assets (Refer to Note 5.2)</w:t>
            </w:r>
          </w:p>
        </w:tc>
        <w:tc>
          <w:tcPr>
            <w:tcW w:w="1275" w:type="dxa"/>
            <w:shd w:val="clear" w:color="auto" w:fill="auto"/>
            <w:vAlign w:val="center"/>
          </w:tcPr>
          <w:p w14:paraId="74260457"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color w:val="000000"/>
                <w:sz w:val="24"/>
                <w:szCs w:val="24"/>
                <w:lang w:eastAsia="zh-CN"/>
              </w:rPr>
              <w:t>N/A</w:t>
            </w:r>
          </w:p>
        </w:tc>
        <w:tc>
          <w:tcPr>
            <w:tcW w:w="1134" w:type="dxa"/>
            <w:shd w:val="clear" w:color="auto" w:fill="auto"/>
            <w:vAlign w:val="center"/>
          </w:tcPr>
          <w:p w14:paraId="71816A40"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b/>
                <w:sz w:val="24"/>
                <w:szCs w:val="24"/>
              </w:rPr>
              <w:t>-</w:t>
            </w:r>
          </w:p>
        </w:tc>
        <w:tc>
          <w:tcPr>
            <w:tcW w:w="1418" w:type="dxa"/>
            <w:shd w:val="clear" w:color="auto" w:fill="auto"/>
            <w:vAlign w:val="center"/>
            <w:hideMark/>
          </w:tcPr>
          <w:p w14:paraId="0CD601C7"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color w:val="000000"/>
                <w:sz w:val="24"/>
                <w:szCs w:val="24"/>
                <w:lang w:eastAsia="zh-CN"/>
              </w:rPr>
              <w:t>3 to 14</w:t>
            </w:r>
          </w:p>
        </w:tc>
        <w:tc>
          <w:tcPr>
            <w:tcW w:w="1410" w:type="dxa"/>
            <w:shd w:val="clear" w:color="auto" w:fill="auto"/>
            <w:vAlign w:val="center"/>
            <w:hideMark/>
          </w:tcPr>
          <w:p w14:paraId="090EF1C2" w14:textId="77777777" w:rsidR="003E5BF5" w:rsidRPr="00655316" w:rsidRDefault="003E5BF5" w:rsidP="00DE1921">
            <w:pPr>
              <w:pStyle w:val="TableTextRight"/>
              <w:rPr>
                <w:rFonts w:ascii="Arial" w:hAnsi="Arial" w:cs="Arial"/>
                <w:color w:val="000000"/>
                <w:sz w:val="24"/>
                <w:szCs w:val="24"/>
                <w:lang w:eastAsia="zh-CN"/>
              </w:rPr>
            </w:pPr>
            <w:r w:rsidRPr="00655316">
              <w:rPr>
                <w:rFonts w:ascii="Arial" w:hAnsi="Arial" w:cs="Arial"/>
                <w:color w:val="000000"/>
                <w:sz w:val="24"/>
                <w:szCs w:val="24"/>
                <w:lang w:eastAsia="zh-CN"/>
              </w:rPr>
              <w:t>4 to 7</w:t>
            </w:r>
          </w:p>
        </w:tc>
      </w:tr>
      <w:bookmarkEnd w:id="306"/>
    </w:tbl>
    <w:p w14:paraId="20EDC4AF" w14:textId="77777777" w:rsidR="003E5BF5" w:rsidRDefault="003E5BF5" w:rsidP="00DE1921">
      <w:pPr>
        <w:spacing w:after="0"/>
      </w:pPr>
    </w:p>
    <w:p w14:paraId="5C9F3A00" w14:textId="77777777" w:rsidR="003E5BF5" w:rsidRDefault="003E5BF5" w:rsidP="00945803">
      <w:pPr>
        <w:pStyle w:val="aaatyping"/>
      </w:pPr>
      <w:r w:rsidRPr="00B813A9">
        <w:t>The estimated useful lives, residual values and depreciation method are reviewed at the end of eac</w:t>
      </w:r>
      <w:r>
        <w:t xml:space="preserve">h annual reporting period, and adjustments made where appropriate. </w:t>
      </w:r>
    </w:p>
    <w:p w14:paraId="6380F654" w14:textId="77777777" w:rsidR="003E5BF5" w:rsidRDefault="003E5BF5" w:rsidP="00945803">
      <w:pPr>
        <w:pStyle w:val="aaatyping"/>
      </w:pPr>
      <w:proofErr w:type="spellStart"/>
      <w:r>
        <w:t>RoU</w:t>
      </w:r>
      <w:proofErr w:type="spellEnd"/>
      <w:r>
        <w:t xml:space="preserv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 its useful life. </w:t>
      </w:r>
    </w:p>
    <w:p w14:paraId="6576D6AB" w14:textId="77777777" w:rsidR="003E5BF5" w:rsidRDefault="003E5BF5" w:rsidP="00945803">
      <w:pPr>
        <w:pStyle w:val="aaatyping"/>
      </w:pPr>
      <w:r>
        <w:t>Leasehold improvements are depreciated over the shorter of the lease term and their useful lives.</w:t>
      </w:r>
    </w:p>
    <w:p w14:paraId="1B165C61" w14:textId="77777777" w:rsidR="003E5BF5" w:rsidRDefault="003E5BF5" w:rsidP="00945803">
      <w:pPr>
        <w:pStyle w:val="aaatyping"/>
      </w:pPr>
      <w:r w:rsidRPr="000836A3">
        <w:rPr>
          <w:b/>
          <w:bCs/>
        </w:rPr>
        <w:t>Indefinite life assets:</w:t>
      </w:r>
      <w:r>
        <w:t xml:space="preserve"> Land, earthworks and land under declared roads which are considered to have an indefinite life, are not depreciated. Depreciation is not recognised in respect of these assets because their service potential has not, in any material sense, been consumed during the reporting period.</w:t>
      </w:r>
    </w:p>
    <w:p w14:paraId="43E2AB30" w14:textId="77777777" w:rsidR="003E5BF5" w:rsidRPr="007444F0" w:rsidRDefault="003E5BF5" w:rsidP="00DE1921">
      <w:pPr>
        <w:sectPr w:rsidR="003E5BF5" w:rsidRPr="007444F0" w:rsidSect="00DE1921">
          <w:type w:val="continuous"/>
          <w:pgSz w:w="11906" w:h="16838"/>
          <w:pgMar w:top="1701" w:right="1418" w:bottom="1418" w:left="1418" w:header="708" w:footer="708" w:gutter="0"/>
          <w:cols w:space="708"/>
          <w:docGrid w:linePitch="360"/>
        </w:sectPr>
      </w:pPr>
    </w:p>
    <w:p w14:paraId="69CE21E2" w14:textId="77777777" w:rsidR="003E5BF5" w:rsidRPr="00274CCC" w:rsidRDefault="003E5BF5" w:rsidP="006667CC">
      <w:pPr>
        <w:pStyle w:val="Heading3"/>
        <w:numPr>
          <w:ilvl w:val="2"/>
          <w:numId w:val="3"/>
        </w:numPr>
        <w:ind w:left="851" w:hanging="851"/>
        <w:rPr>
          <w:rFonts w:asciiTheme="minorHAnsi" w:eastAsiaTheme="minorHAnsi" w:hAnsiTheme="minorHAnsi"/>
          <w:sz w:val="22"/>
          <w:lang w:eastAsia="en-AU"/>
        </w:rPr>
      </w:pPr>
      <w:bookmarkStart w:id="307" w:name="_Toc522000684"/>
      <w:bookmarkStart w:id="308" w:name="_Toc529196861"/>
      <w:bookmarkStart w:id="309" w:name="_Toc529197903"/>
      <w:bookmarkStart w:id="310" w:name="_Toc9344261"/>
      <w:r w:rsidRPr="007444F0">
        <w:lastRenderedPageBreak/>
        <w:t>Reconciliation of movements in carrying amount</w:t>
      </w:r>
      <w:bookmarkStart w:id="311" w:name="RANGE!A3:K19"/>
      <w:bookmarkStart w:id="312" w:name="RANGE!A3:I22"/>
      <w:bookmarkEnd w:id="307"/>
      <w:bookmarkEnd w:id="308"/>
      <w:bookmarkEnd w:id="309"/>
      <w:bookmarkEnd w:id="310"/>
      <w:bookmarkEnd w:id="311"/>
      <w:bookmarkEnd w:id="312"/>
      <w:r>
        <w:t xml:space="preserve"> of property, plant and equipment</w:t>
      </w:r>
    </w:p>
    <w:tbl>
      <w:tblPr>
        <w:tblStyle w:val="TableGrid"/>
        <w:tblW w:w="13709" w:type="dxa"/>
        <w:tblCellMar>
          <w:left w:w="28" w:type="dxa"/>
          <w:right w:w="28" w:type="dxa"/>
        </w:tblCellMar>
        <w:tblLook w:val="04A0" w:firstRow="1" w:lastRow="0" w:firstColumn="1" w:lastColumn="0" w:noHBand="0" w:noVBand="1"/>
      </w:tblPr>
      <w:tblGrid>
        <w:gridCol w:w="3985"/>
        <w:gridCol w:w="1258"/>
        <w:gridCol w:w="1201"/>
        <w:gridCol w:w="1201"/>
        <w:gridCol w:w="1202"/>
        <w:gridCol w:w="1201"/>
        <w:gridCol w:w="1201"/>
        <w:gridCol w:w="1258"/>
        <w:gridCol w:w="1202"/>
      </w:tblGrid>
      <w:tr w:rsidR="003E5BF5" w:rsidRPr="00655316" w14:paraId="335D7047" w14:textId="77777777" w:rsidTr="00CA2369">
        <w:trPr>
          <w:trHeight w:val="284"/>
          <w:tblHeader/>
        </w:trPr>
        <w:tc>
          <w:tcPr>
            <w:tcW w:w="3985" w:type="dxa"/>
            <w:shd w:val="clear" w:color="auto" w:fill="auto"/>
            <w:noWrap/>
            <w:hideMark/>
          </w:tcPr>
          <w:p w14:paraId="23F6C5F4" w14:textId="77777777" w:rsidR="003E5BF5" w:rsidRPr="00655316" w:rsidRDefault="003E5BF5" w:rsidP="00DE1921">
            <w:pPr>
              <w:rPr>
                <w:rFonts w:ascii="Arial" w:hAnsi="Arial" w:cs="Arial"/>
                <w:sz w:val="24"/>
                <w:szCs w:val="24"/>
              </w:rPr>
            </w:pPr>
          </w:p>
        </w:tc>
        <w:tc>
          <w:tcPr>
            <w:tcW w:w="9724" w:type="dxa"/>
            <w:gridSpan w:val="8"/>
            <w:shd w:val="clear" w:color="auto" w:fill="auto"/>
            <w:noWrap/>
            <w:vAlign w:val="center"/>
            <w:hideMark/>
          </w:tcPr>
          <w:p w14:paraId="4D14D5DD"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 thousand)</w:t>
            </w:r>
          </w:p>
        </w:tc>
      </w:tr>
      <w:tr w:rsidR="003E5BF5" w:rsidRPr="00655316" w14:paraId="6606AC19" w14:textId="77777777" w:rsidTr="00CA2369">
        <w:trPr>
          <w:trHeight w:val="284"/>
          <w:tblHeader/>
        </w:trPr>
        <w:tc>
          <w:tcPr>
            <w:tcW w:w="3985" w:type="dxa"/>
            <w:shd w:val="clear" w:color="auto" w:fill="auto"/>
            <w:noWrap/>
            <w:hideMark/>
          </w:tcPr>
          <w:p w14:paraId="22A92A56" w14:textId="77777777" w:rsidR="003E5BF5" w:rsidRPr="00655316" w:rsidRDefault="003E5BF5" w:rsidP="00DE1921">
            <w:pPr>
              <w:rPr>
                <w:rFonts w:ascii="Arial" w:hAnsi="Arial" w:cs="Arial"/>
                <w:b/>
                <w:sz w:val="24"/>
                <w:szCs w:val="24"/>
              </w:rPr>
            </w:pPr>
            <w:r w:rsidRPr="00655316">
              <w:rPr>
                <w:rFonts w:ascii="Arial" w:hAnsi="Arial" w:cs="Arial"/>
                <w:b/>
                <w:sz w:val="24"/>
                <w:szCs w:val="24"/>
              </w:rPr>
              <w:t> </w:t>
            </w:r>
          </w:p>
        </w:tc>
        <w:tc>
          <w:tcPr>
            <w:tcW w:w="2459" w:type="dxa"/>
            <w:gridSpan w:val="2"/>
            <w:shd w:val="clear" w:color="auto" w:fill="auto"/>
            <w:vAlign w:val="bottom"/>
            <w:hideMark/>
          </w:tcPr>
          <w:p w14:paraId="4EC9F737"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Land under declared roads at fair value</w:t>
            </w:r>
          </w:p>
        </w:tc>
        <w:tc>
          <w:tcPr>
            <w:tcW w:w="2403" w:type="dxa"/>
            <w:gridSpan w:val="2"/>
            <w:shd w:val="clear" w:color="auto" w:fill="auto"/>
            <w:vAlign w:val="bottom"/>
            <w:hideMark/>
          </w:tcPr>
          <w:p w14:paraId="351DC7E2"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PARD land at fair value</w:t>
            </w:r>
          </w:p>
        </w:tc>
        <w:tc>
          <w:tcPr>
            <w:tcW w:w="2402" w:type="dxa"/>
            <w:gridSpan w:val="2"/>
            <w:shd w:val="clear" w:color="auto" w:fill="auto"/>
            <w:vAlign w:val="bottom"/>
            <w:hideMark/>
          </w:tcPr>
          <w:p w14:paraId="5289E6D7"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Other land at fair value</w:t>
            </w:r>
          </w:p>
        </w:tc>
        <w:tc>
          <w:tcPr>
            <w:tcW w:w="2460" w:type="dxa"/>
            <w:gridSpan w:val="2"/>
            <w:shd w:val="clear" w:color="auto" w:fill="auto"/>
            <w:vAlign w:val="bottom"/>
            <w:hideMark/>
          </w:tcPr>
          <w:p w14:paraId="0F69B9B9"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Roads and bridges at fair value</w:t>
            </w:r>
          </w:p>
        </w:tc>
      </w:tr>
      <w:tr w:rsidR="003E5BF5" w:rsidRPr="00655316" w14:paraId="629E0C77" w14:textId="77777777" w:rsidTr="00CA2369">
        <w:trPr>
          <w:trHeight w:val="284"/>
          <w:tblHeader/>
        </w:trPr>
        <w:tc>
          <w:tcPr>
            <w:tcW w:w="3985" w:type="dxa"/>
            <w:shd w:val="clear" w:color="auto" w:fill="auto"/>
            <w:noWrap/>
            <w:hideMark/>
          </w:tcPr>
          <w:p w14:paraId="29051646" w14:textId="77777777" w:rsidR="003E5BF5" w:rsidRPr="00655316" w:rsidRDefault="003E5BF5" w:rsidP="00DE1921">
            <w:pPr>
              <w:rPr>
                <w:rFonts w:ascii="Arial" w:hAnsi="Arial" w:cs="Arial"/>
                <w:b/>
                <w:sz w:val="24"/>
                <w:szCs w:val="24"/>
              </w:rPr>
            </w:pPr>
          </w:p>
        </w:tc>
        <w:tc>
          <w:tcPr>
            <w:tcW w:w="1258" w:type="dxa"/>
            <w:shd w:val="clear" w:color="auto" w:fill="auto"/>
            <w:noWrap/>
            <w:vAlign w:val="center"/>
            <w:hideMark/>
          </w:tcPr>
          <w:p w14:paraId="4334311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01" w:type="dxa"/>
            <w:shd w:val="clear" w:color="auto" w:fill="auto"/>
            <w:noWrap/>
            <w:vAlign w:val="center"/>
            <w:hideMark/>
          </w:tcPr>
          <w:p w14:paraId="444BA83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201" w:type="dxa"/>
            <w:shd w:val="clear" w:color="auto" w:fill="auto"/>
            <w:noWrap/>
            <w:vAlign w:val="center"/>
            <w:hideMark/>
          </w:tcPr>
          <w:p w14:paraId="2580A7D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02" w:type="dxa"/>
            <w:shd w:val="clear" w:color="auto" w:fill="auto"/>
            <w:noWrap/>
            <w:vAlign w:val="center"/>
            <w:hideMark/>
          </w:tcPr>
          <w:p w14:paraId="53B47C0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201" w:type="dxa"/>
            <w:shd w:val="clear" w:color="auto" w:fill="auto"/>
            <w:noWrap/>
            <w:vAlign w:val="center"/>
            <w:hideMark/>
          </w:tcPr>
          <w:p w14:paraId="4E0657C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01" w:type="dxa"/>
            <w:shd w:val="clear" w:color="auto" w:fill="auto"/>
            <w:noWrap/>
            <w:vAlign w:val="center"/>
            <w:hideMark/>
          </w:tcPr>
          <w:p w14:paraId="64635612"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258" w:type="dxa"/>
            <w:shd w:val="clear" w:color="auto" w:fill="auto"/>
            <w:noWrap/>
            <w:vAlign w:val="center"/>
            <w:hideMark/>
          </w:tcPr>
          <w:p w14:paraId="51E9E16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02" w:type="dxa"/>
            <w:shd w:val="clear" w:color="auto" w:fill="auto"/>
            <w:noWrap/>
            <w:vAlign w:val="center"/>
            <w:hideMark/>
          </w:tcPr>
          <w:p w14:paraId="1478353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r>
      <w:tr w:rsidR="003E5BF5" w:rsidRPr="00655316" w14:paraId="75CA661D" w14:textId="77777777" w:rsidTr="00FD0A6D">
        <w:trPr>
          <w:trHeight w:val="284"/>
        </w:trPr>
        <w:tc>
          <w:tcPr>
            <w:tcW w:w="3985" w:type="dxa"/>
            <w:shd w:val="clear" w:color="auto" w:fill="auto"/>
            <w:noWrap/>
            <w:vAlign w:val="center"/>
            <w:hideMark/>
          </w:tcPr>
          <w:p w14:paraId="645125BE" w14:textId="77777777" w:rsidR="003E5BF5" w:rsidRPr="00655316" w:rsidRDefault="003E5BF5" w:rsidP="00DE1921">
            <w:pPr>
              <w:rPr>
                <w:rFonts w:ascii="Arial" w:hAnsi="Arial" w:cs="Arial"/>
                <w:b/>
                <w:sz w:val="24"/>
                <w:szCs w:val="24"/>
              </w:rPr>
            </w:pPr>
            <w:r w:rsidRPr="00655316">
              <w:rPr>
                <w:rFonts w:ascii="Arial" w:hAnsi="Arial" w:cs="Arial"/>
                <w:b/>
                <w:sz w:val="24"/>
                <w:szCs w:val="24"/>
              </w:rPr>
              <w:t xml:space="preserve">Opening balance </w:t>
            </w:r>
            <w:r w:rsidRPr="00655316">
              <w:rPr>
                <w:rFonts w:ascii="Arial" w:hAnsi="Arial" w:cs="Arial"/>
                <w:b/>
                <w:sz w:val="24"/>
                <w:szCs w:val="24"/>
                <w:vertAlign w:val="superscript"/>
              </w:rPr>
              <w:t>(</w:t>
            </w:r>
            <w:proofErr w:type="spellStart"/>
            <w:r w:rsidRPr="00655316">
              <w:rPr>
                <w:rFonts w:ascii="Arial" w:hAnsi="Arial" w:cs="Arial"/>
                <w:b/>
                <w:sz w:val="24"/>
                <w:szCs w:val="24"/>
                <w:vertAlign w:val="superscript"/>
              </w:rPr>
              <w:t>i</w:t>
            </w:r>
            <w:proofErr w:type="spellEnd"/>
            <w:r w:rsidRPr="00655316">
              <w:rPr>
                <w:rFonts w:ascii="Arial" w:hAnsi="Arial" w:cs="Arial"/>
                <w:b/>
                <w:sz w:val="24"/>
                <w:szCs w:val="24"/>
                <w:vertAlign w:val="superscript"/>
              </w:rPr>
              <w:t>)</w:t>
            </w:r>
          </w:p>
        </w:tc>
        <w:tc>
          <w:tcPr>
            <w:tcW w:w="1258" w:type="dxa"/>
            <w:shd w:val="clear" w:color="auto" w:fill="auto"/>
            <w:noWrap/>
            <w:vAlign w:val="center"/>
            <w:hideMark/>
          </w:tcPr>
          <w:p w14:paraId="1821D52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01" w:type="dxa"/>
            <w:shd w:val="clear" w:color="auto" w:fill="auto"/>
            <w:noWrap/>
            <w:vAlign w:val="center"/>
            <w:hideMark/>
          </w:tcPr>
          <w:p w14:paraId="64FBC91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01" w:type="dxa"/>
            <w:shd w:val="clear" w:color="auto" w:fill="auto"/>
            <w:noWrap/>
            <w:vAlign w:val="center"/>
            <w:hideMark/>
          </w:tcPr>
          <w:p w14:paraId="2A5E0B2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02" w:type="dxa"/>
            <w:shd w:val="clear" w:color="auto" w:fill="auto"/>
            <w:noWrap/>
            <w:vAlign w:val="center"/>
            <w:hideMark/>
          </w:tcPr>
          <w:p w14:paraId="74DE15C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01" w:type="dxa"/>
            <w:shd w:val="clear" w:color="auto" w:fill="auto"/>
            <w:noWrap/>
            <w:vAlign w:val="center"/>
            <w:hideMark/>
          </w:tcPr>
          <w:p w14:paraId="06F5775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309,859 </w:t>
            </w:r>
          </w:p>
        </w:tc>
        <w:tc>
          <w:tcPr>
            <w:tcW w:w="1201" w:type="dxa"/>
            <w:shd w:val="clear" w:color="auto" w:fill="auto"/>
            <w:noWrap/>
            <w:vAlign w:val="center"/>
            <w:hideMark/>
          </w:tcPr>
          <w:p w14:paraId="11F0F42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986,837 </w:t>
            </w:r>
          </w:p>
        </w:tc>
        <w:tc>
          <w:tcPr>
            <w:tcW w:w="1258" w:type="dxa"/>
            <w:shd w:val="clear" w:color="auto" w:fill="auto"/>
            <w:noWrap/>
            <w:vAlign w:val="center"/>
            <w:hideMark/>
          </w:tcPr>
          <w:p w14:paraId="63D2DC3F"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02" w:type="dxa"/>
            <w:shd w:val="clear" w:color="auto" w:fill="auto"/>
            <w:noWrap/>
            <w:vAlign w:val="center"/>
            <w:hideMark/>
          </w:tcPr>
          <w:p w14:paraId="2B584E8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r>
      <w:tr w:rsidR="003E5BF5" w:rsidRPr="00655316" w14:paraId="33D9FFD9" w14:textId="77777777" w:rsidTr="00FD0A6D">
        <w:trPr>
          <w:trHeight w:val="284"/>
        </w:trPr>
        <w:tc>
          <w:tcPr>
            <w:tcW w:w="3985" w:type="dxa"/>
            <w:shd w:val="clear" w:color="auto" w:fill="auto"/>
            <w:vAlign w:val="center"/>
            <w:hideMark/>
          </w:tcPr>
          <w:p w14:paraId="70BC6024" w14:textId="77777777" w:rsidR="003E5BF5" w:rsidRPr="00655316" w:rsidRDefault="003E5BF5" w:rsidP="00DE1921">
            <w:pPr>
              <w:rPr>
                <w:rFonts w:ascii="Arial" w:hAnsi="Arial" w:cs="Arial"/>
                <w:sz w:val="24"/>
                <w:szCs w:val="24"/>
              </w:rPr>
            </w:pPr>
            <w:r w:rsidRPr="00655316">
              <w:rPr>
                <w:rFonts w:ascii="Arial" w:hAnsi="Arial" w:cs="Arial"/>
                <w:sz w:val="24"/>
                <w:szCs w:val="24"/>
              </w:rPr>
              <w:t xml:space="preserve">Change in accounting policy effecting 1 July 2018 (due to AASB 1059) </w:t>
            </w:r>
            <w:r w:rsidRPr="00655316">
              <w:rPr>
                <w:rFonts w:ascii="Arial" w:hAnsi="Arial" w:cs="Arial"/>
                <w:sz w:val="24"/>
                <w:szCs w:val="24"/>
                <w:vertAlign w:val="superscript"/>
              </w:rPr>
              <w:t>(ii)</w:t>
            </w:r>
          </w:p>
        </w:tc>
        <w:tc>
          <w:tcPr>
            <w:tcW w:w="1258" w:type="dxa"/>
            <w:shd w:val="clear" w:color="auto" w:fill="auto"/>
            <w:noWrap/>
            <w:hideMark/>
          </w:tcPr>
          <w:p w14:paraId="05C13DCB"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hideMark/>
          </w:tcPr>
          <w:p w14:paraId="616C39D5"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hideMark/>
          </w:tcPr>
          <w:p w14:paraId="0FF39D36"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2" w:type="dxa"/>
            <w:shd w:val="clear" w:color="auto" w:fill="auto"/>
            <w:noWrap/>
            <w:hideMark/>
          </w:tcPr>
          <w:p w14:paraId="0FE2EBA0"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hideMark/>
          </w:tcPr>
          <w:p w14:paraId="0F7605C9"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hideMark/>
          </w:tcPr>
          <w:p w14:paraId="3DC8AD63"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58" w:type="dxa"/>
            <w:shd w:val="clear" w:color="auto" w:fill="auto"/>
            <w:noWrap/>
            <w:hideMark/>
          </w:tcPr>
          <w:p w14:paraId="56B07FBD"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2" w:type="dxa"/>
            <w:shd w:val="clear" w:color="auto" w:fill="auto"/>
            <w:noWrap/>
            <w:hideMark/>
          </w:tcPr>
          <w:p w14:paraId="4C214828"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r>
      <w:tr w:rsidR="003E5BF5" w:rsidRPr="00655316" w14:paraId="1E682FD6" w14:textId="77777777" w:rsidTr="00FD0A6D">
        <w:trPr>
          <w:trHeight w:val="284"/>
        </w:trPr>
        <w:tc>
          <w:tcPr>
            <w:tcW w:w="3985" w:type="dxa"/>
            <w:shd w:val="clear" w:color="auto" w:fill="auto"/>
            <w:vAlign w:val="center"/>
            <w:hideMark/>
          </w:tcPr>
          <w:p w14:paraId="4D38EF17" w14:textId="77777777" w:rsidR="003E5BF5" w:rsidRPr="00655316" w:rsidRDefault="003E5BF5" w:rsidP="00DE1921">
            <w:pPr>
              <w:rPr>
                <w:rFonts w:ascii="Arial" w:hAnsi="Arial" w:cs="Arial"/>
                <w:sz w:val="24"/>
                <w:szCs w:val="24"/>
              </w:rPr>
            </w:pPr>
            <w:r w:rsidRPr="00655316">
              <w:rPr>
                <w:rFonts w:ascii="Arial" w:hAnsi="Arial" w:cs="Arial"/>
                <w:sz w:val="24"/>
                <w:szCs w:val="24"/>
              </w:rPr>
              <w:t>Change in accounting policy effecting 30 June 2019 (due to AASB 1059)</w:t>
            </w:r>
            <w:r w:rsidRPr="00655316">
              <w:rPr>
                <w:rFonts w:ascii="Arial" w:hAnsi="Arial" w:cs="Arial"/>
                <w:sz w:val="24"/>
                <w:szCs w:val="24"/>
                <w:vertAlign w:val="superscript"/>
              </w:rPr>
              <w:t xml:space="preserve"> (iii)</w:t>
            </w:r>
          </w:p>
        </w:tc>
        <w:tc>
          <w:tcPr>
            <w:tcW w:w="1258" w:type="dxa"/>
            <w:shd w:val="clear" w:color="auto" w:fill="auto"/>
            <w:noWrap/>
            <w:hideMark/>
          </w:tcPr>
          <w:p w14:paraId="1C39153B"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hideMark/>
          </w:tcPr>
          <w:p w14:paraId="54F04409"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hideMark/>
          </w:tcPr>
          <w:p w14:paraId="206EF1AD"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2" w:type="dxa"/>
            <w:shd w:val="clear" w:color="auto" w:fill="auto"/>
            <w:noWrap/>
            <w:hideMark/>
          </w:tcPr>
          <w:p w14:paraId="5B3A3C9C"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hideMark/>
          </w:tcPr>
          <w:p w14:paraId="64340071"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hideMark/>
          </w:tcPr>
          <w:p w14:paraId="3A01CBBD"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58" w:type="dxa"/>
            <w:shd w:val="clear" w:color="auto" w:fill="auto"/>
            <w:noWrap/>
            <w:hideMark/>
          </w:tcPr>
          <w:p w14:paraId="71F1DF95"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2" w:type="dxa"/>
            <w:shd w:val="clear" w:color="auto" w:fill="auto"/>
            <w:noWrap/>
            <w:hideMark/>
          </w:tcPr>
          <w:p w14:paraId="671B53B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r>
      <w:tr w:rsidR="003E5BF5" w:rsidRPr="00655316" w14:paraId="0D368B6B" w14:textId="77777777" w:rsidTr="00FD0A6D">
        <w:trPr>
          <w:trHeight w:val="284"/>
        </w:trPr>
        <w:tc>
          <w:tcPr>
            <w:tcW w:w="3985" w:type="dxa"/>
            <w:shd w:val="clear" w:color="auto" w:fill="auto"/>
            <w:vAlign w:val="center"/>
            <w:hideMark/>
          </w:tcPr>
          <w:p w14:paraId="1DFFE4BC" w14:textId="77777777" w:rsidR="003E5BF5" w:rsidRPr="00655316" w:rsidRDefault="003E5BF5" w:rsidP="00DE1921">
            <w:pPr>
              <w:rPr>
                <w:rFonts w:ascii="Arial" w:hAnsi="Arial" w:cs="Arial"/>
                <w:sz w:val="24"/>
                <w:szCs w:val="24"/>
              </w:rPr>
            </w:pPr>
            <w:r w:rsidRPr="00655316">
              <w:rPr>
                <w:rFonts w:ascii="Arial" w:hAnsi="Arial" w:cs="Arial"/>
                <w:sz w:val="24"/>
                <w:szCs w:val="24"/>
              </w:rPr>
              <w:t xml:space="preserve">Recognition of right-of-use assets on initial application of AASB 16 effecting 1 July 2019 </w:t>
            </w:r>
            <w:r w:rsidRPr="00655316">
              <w:rPr>
                <w:rFonts w:ascii="Arial" w:hAnsi="Arial" w:cs="Arial"/>
                <w:sz w:val="24"/>
                <w:szCs w:val="24"/>
                <w:vertAlign w:val="superscript"/>
              </w:rPr>
              <w:t>(iv)</w:t>
            </w:r>
          </w:p>
        </w:tc>
        <w:tc>
          <w:tcPr>
            <w:tcW w:w="1258" w:type="dxa"/>
            <w:shd w:val="clear" w:color="auto" w:fill="auto"/>
            <w:noWrap/>
            <w:hideMark/>
          </w:tcPr>
          <w:p w14:paraId="7CF6B86A"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hideMark/>
          </w:tcPr>
          <w:p w14:paraId="200DBC96"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hideMark/>
          </w:tcPr>
          <w:p w14:paraId="4A08868E"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2" w:type="dxa"/>
            <w:shd w:val="clear" w:color="auto" w:fill="auto"/>
            <w:noWrap/>
            <w:hideMark/>
          </w:tcPr>
          <w:p w14:paraId="441EDB0A"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hideMark/>
          </w:tcPr>
          <w:p w14:paraId="6EC5E639"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hideMark/>
          </w:tcPr>
          <w:p w14:paraId="391DFF82"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58" w:type="dxa"/>
            <w:shd w:val="clear" w:color="auto" w:fill="auto"/>
            <w:noWrap/>
            <w:hideMark/>
          </w:tcPr>
          <w:p w14:paraId="4EE00028"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2" w:type="dxa"/>
            <w:shd w:val="clear" w:color="auto" w:fill="auto"/>
            <w:noWrap/>
            <w:hideMark/>
          </w:tcPr>
          <w:p w14:paraId="0272E7E2"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r>
      <w:tr w:rsidR="003E5BF5" w:rsidRPr="00655316" w14:paraId="1415B95D" w14:textId="77777777" w:rsidTr="00FD0A6D">
        <w:trPr>
          <w:trHeight w:val="284"/>
        </w:trPr>
        <w:tc>
          <w:tcPr>
            <w:tcW w:w="3985" w:type="dxa"/>
            <w:shd w:val="clear" w:color="auto" w:fill="auto"/>
            <w:noWrap/>
            <w:vAlign w:val="center"/>
            <w:hideMark/>
          </w:tcPr>
          <w:p w14:paraId="008F31D6" w14:textId="77777777" w:rsidR="003E5BF5" w:rsidRPr="00655316" w:rsidRDefault="003E5BF5" w:rsidP="00DE1921">
            <w:pPr>
              <w:rPr>
                <w:rFonts w:ascii="Arial" w:hAnsi="Arial" w:cs="Arial"/>
                <w:b/>
                <w:sz w:val="24"/>
                <w:szCs w:val="24"/>
              </w:rPr>
            </w:pPr>
            <w:r w:rsidRPr="00655316">
              <w:rPr>
                <w:rFonts w:ascii="Arial" w:hAnsi="Arial" w:cs="Arial"/>
                <w:b/>
                <w:sz w:val="24"/>
                <w:szCs w:val="24"/>
              </w:rPr>
              <w:t>Adjusted opening balance</w:t>
            </w:r>
          </w:p>
        </w:tc>
        <w:tc>
          <w:tcPr>
            <w:tcW w:w="1258" w:type="dxa"/>
            <w:shd w:val="clear" w:color="auto" w:fill="auto"/>
            <w:noWrap/>
            <w:vAlign w:val="center"/>
            <w:hideMark/>
          </w:tcPr>
          <w:p w14:paraId="10779E6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01" w:type="dxa"/>
            <w:shd w:val="clear" w:color="auto" w:fill="auto"/>
            <w:noWrap/>
            <w:vAlign w:val="center"/>
            <w:hideMark/>
          </w:tcPr>
          <w:p w14:paraId="58056EF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01" w:type="dxa"/>
            <w:shd w:val="clear" w:color="auto" w:fill="auto"/>
            <w:noWrap/>
            <w:vAlign w:val="center"/>
            <w:hideMark/>
          </w:tcPr>
          <w:p w14:paraId="637E5D4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02" w:type="dxa"/>
            <w:shd w:val="clear" w:color="auto" w:fill="auto"/>
            <w:noWrap/>
            <w:vAlign w:val="center"/>
            <w:hideMark/>
          </w:tcPr>
          <w:p w14:paraId="01CD3DDF"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01" w:type="dxa"/>
            <w:shd w:val="clear" w:color="auto" w:fill="auto"/>
            <w:noWrap/>
            <w:vAlign w:val="center"/>
            <w:hideMark/>
          </w:tcPr>
          <w:p w14:paraId="39CB35A8"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309,859 </w:t>
            </w:r>
          </w:p>
        </w:tc>
        <w:tc>
          <w:tcPr>
            <w:tcW w:w="1201" w:type="dxa"/>
            <w:shd w:val="clear" w:color="auto" w:fill="auto"/>
            <w:noWrap/>
            <w:vAlign w:val="center"/>
            <w:hideMark/>
          </w:tcPr>
          <w:p w14:paraId="43D636D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986,837 </w:t>
            </w:r>
          </w:p>
        </w:tc>
        <w:tc>
          <w:tcPr>
            <w:tcW w:w="1258" w:type="dxa"/>
            <w:shd w:val="clear" w:color="auto" w:fill="auto"/>
            <w:noWrap/>
            <w:vAlign w:val="center"/>
            <w:hideMark/>
          </w:tcPr>
          <w:p w14:paraId="0C039C0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02" w:type="dxa"/>
            <w:shd w:val="clear" w:color="auto" w:fill="auto"/>
            <w:noWrap/>
            <w:vAlign w:val="center"/>
            <w:hideMark/>
          </w:tcPr>
          <w:p w14:paraId="0186311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r>
      <w:tr w:rsidR="003E5BF5" w:rsidRPr="00655316" w14:paraId="47029188" w14:textId="77777777" w:rsidTr="00FD0A6D">
        <w:trPr>
          <w:trHeight w:val="284"/>
        </w:trPr>
        <w:tc>
          <w:tcPr>
            <w:tcW w:w="3985" w:type="dxa"/>
            <w:shd w:val="clear" w:color="auto" w:fill="auto"/>
            <w:noWrap/>
            <w:vAlign w:val="center"/>
            <w:hideMark/>
          </w:tcPr>
          <w:p w14:paraId="2074EA3F" w14:textId="77777777" w:rsidR="003E5BF5" w:rsidRPr="00655316" w:rsidRDefault="003E5BF5" w:rsidP="00DE1921">
            <w:pPr>
              <w:rPr>
                <w:rFonts w:ascii="Arial" w:hAnsi="Arial" w:cs="Arial"/>
                <w:sz w:val="24"/>
                <w:szCs w:val="24"/>
              </w:rPr>
            </w:pPr>
            <w:proofErr w:type="spellStart"/>
            <w:r w:rsidRPr="00655316">
              <w:rPr>
                <w:rFonts w:ascii="Arial" w:hAnsi="Arial" w:cs="Arial"/>
                <w:sz w:val="24"/>
                <w:szCs w:val="24"/>
              </w:rPr>
              <w:t>MoG</w:t>
            </w:r>
            <w:proofErr w:type="spellEnd"/>
            <w:r w:rsidRPr="00655316">
              <w:rPr>
                <w:rFonts w:ascii="Arial" w:hAnsi="Arial" w:cs="Arial"/>
                <w:sz w:val="24"/>
                <w:szCs w:val="24"/>
              </w:rPr>
              <w:t xml:space="preserve"> transfers in</w:t>
            </w:r>
          </w:p>
        </w:tc>
        <w:tc>
          <w:tcPr>
            <w:tcW w:w="1258" w:type="dxa"/>
            <w:shd w:val="clear" w:color="auto" w:fill="auto"/>
            <w:noWrap/>
            <w:vAlign w:val="center"/>
            <w:hideMark/>
          </w:tcPr>
          <w:p w14:paraId="404B407A" w14:textId="77777777" w:rsidR="003E5BF5" w:rsidRPr="00655316" w:rsidRDefault="003E5BF5" w:rsidP="00DE1921">
            <w:pPr>
              <w:jc w:val="right"/>
              <w:rPr>
                <w:rFonts w:ascii="Arial" w:hAnsi="Arial" w:cs="Arial"/>
                <w:sz w:val="24"/>
                <w:szCs w:val="24"/>
              </w:rPr>
            </w:pPr>
            <w:r w:rsidRPr="00655316" w:rsidDel="00BA60A5">
              <w:rPr>
                <w:rFonts w:ascii="Arial" w:hAnsi="Arial" w:cs="Arial"/>
                <w:sz w:val="24"/>
                <w:szCs w:val="24"/>
              </w:rPr>
              <w:t>24,</w:t>
            </w:r>
            <w:r w:rsidRPr="00655316">
              <w:rPr>
                <w:rFonts w:ascii="Arial" w:hAnsi="Arial" w:cs="Arial"/>
                <w:sz w:val="24"/>
                <w:szCs w:val="24"/>
              </w:rPr>
              <w:t xml:space="preserve">266,021 </w:t>
            </w:r>
          </w:p>
        </w:tc>
        <w:tc>
          <w:tcPr>
            <w:tcW w:w="1201" w:type="dxa"/>
            <w:shd w:val="clear" w:color="auto" w:fill="auto"/>
            <w:noWrap/>
            <w:vAlign w:val="center"/>
            <w:hideMark/>
          </w:tcPr>
          <w:p w14:paraId="21F5526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5B667BD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1,644,233 </w:t>
            </w:r>
          </w:p>
        </w:tc>
        <w:tc>
          <w:tcPr>
            <w:tcW w:w="1202" w:type="dxa"/>
            <w:shd w:val="clear" w:color="auto" w:fill="auto"/>
            <w:noWrap/>
            <w:vAlign w:val="center"/>
            <w:hideMark/>
          </w:tcPr>
          <w:p w14:paraId="05A94205"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vAlign w:val="center"/>
            <w:hideMark/>
          </w:tcPr>
          <w:p w14:paraId="495670A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1,951,</w:t>
            </w:r>
            <w:r w:rsidRPr="00655316" w:rsidDel="00A47A59">
              <w:rPr>
                <w:rFonts w:ascii="Arial" w:hAnsi="Arial" w:cs="Arial"/>
                <w:sz w:val="24"/>
                <w:szCs w:val="24"/>
              </w:rPr>
              <w:t>813</w:t>
            </w:r>
            <w:r w:rsidRPr="00655316">
              <w:rPr>
                <w:rFonts w:ascii="Arial" w:hAnsi="Arial" w:cs="Arial"/>
                <w:sz w:val="24"/>
                <w:szCs w:val="24"/>
              </w:rPr>
              <w:t xml:space="preserve"> </w:t>
            </w:r>
          </w:p>
        </w:tc>
        <w:tc>
          <w:tcPr>
            <w:tcW w:w="1201" w:type="dxa"/>
            <w:shd w:val="clear" w:color="auto" w:fill="auto"/>
            <w:noWrap/>
            <w:vAlign w:val="center"/>
            <w:hideMark/>
          </w:tcPr>
          <w:p w14:paraId="142D021A"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58" w:type="dxa"/>
            <w:shd w:val="clear" w:color="auto" w:fill="auto"/>
            <w:noWrap/>
            <w:vAlign w:val="center"/>
            <w:hideMark/>
          </w:tcPr>
          <w:p w14:paraId="1DB658D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22,856,649 </w:t>
            </w:r>
          </w:p>
        </w:tc>
        <w:tc>
          <w:tcPr>
            <w:tcW w:w="1202" w:type="dxa"/>
            <w:shd w:val="clear" w:color="auto" w:fill="auto"/>
            <w:noWrap/>
            <w:vAlign w:val="center"/>
            <w:hideMark/>
          </w:tcPr>
          <w:p w14:paraId="777B0F30"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76D375F0" w14:textId="77777777" w:rsidTr="00FD0A6D">
        <w:trPr>
          <w:trHeight w:val="284"/>
        </w:trPr>
        <w:tc>
          <w:tcPr>
            <w:tcW w:w="3985" w:type="dxa"/>
            <w:shd w:val="clear" w:color="auto" w:fill="auto"/>
            <w:noWrap/>
            <w:vAlign w:val="center"/>
            <w:hideMark/>
          </w:tcPr>
          <w:p w14:paraId="4895FA3A" w14:textId="77777777" w:rsidR="003E5BF5" w:rsidRPr="00655316" w:rsidRDefault="003E5BF5" w:rsidP="00DE1921">
            <w:pPr>
              <w:rPr>
                <w:rFonts w:ascii="Arial" w:hAnsi="Arial" w:cs="Arial"/>
                <w:sz w:val="24"/>
                <w:szCs w:val="24"/>
              </w:rPr>
            </w:pPr>
            <w:r w:rsidRPr="00655316">
              <w:rPr>
                <w:rFonts w:ascii="Arial" w:hAnsi="Arial" w:cs="Arial"/>
                <w:sz w:val="24"/>
                <w:szCs w:val="24"/>
              </w:rPr>
              <w:t>Assets received free of charge</w:t>
            </w:r>
          </w:p>
        </w:tc>
        <w:tc>
          <w:tcPr>
            <w:tcW w:w="1258" w:type="dxa"/>
            <w:shd w:val="clear" w:color="auto" w:fill="auto"/>
            <w:noWrap/>
            <w:vAlign w:val="center"/>
            <w:hideMark/>
          </w:tcPr>
          <w:p w14:paraId="3CAD6B8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6402AF1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56042D7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2" w:type="dxa"/>
            <w:shd w:val="clear" w:color="auto" w:fill="auto"/>
            <w:noWrap/>
            <w:vAlign w:val="center"/>
            <w:hideMark/>
          </w:tcPr>
          <w:p w14:paraId="79522BB0"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vAlign w:val="center"/>
            <w:hideMark/>
          </w:tcPr>
          <w:p w14:paraId="6062F4DF"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vAlign w:val="center"/>
            <w:hideMark/>
          </w:tcPr>
          <w:p w14:paraId="4F590B9E"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58" w:type="dxa"/>
            <w:shd w:val="clear" w:color="auto" w:fill="auto"/>
            <w:noWrap/>
            <w:vAlign w:val="center"/>
            <w:hideMark/>
          </w:tcPr>
          <w:p w14:paraId="261F88D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8,224 </w:t>
            </w:r>
          </w:p>
        </w:tc>
        <w:tc>
          <w:tcPr>
            <w:tcW w:w="1202" w:type="dxa"/>
            <w:shd w:val="clear" w:color="auto" w:fill="auto"/>
            <w:noWrap/>
            <w:vAlign w:val="center"/>
            <w:hideMark/>
          </w:tcPr>
          <w:p w14:paraId="22D23F4F"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09192007" w14:textId="77777777" w:rsidTr="00FD0A6D">
        <w:trPr>
          <w:trHeight w:val="284"/>
        </w:trPr>
        <w:tc>
          <w:tcPr>
            <w:tcW w:w="3985" w:type="dxa"/>
            <w:shd w:val="clear" w:color="auto" w:fill="auto"/>
            <w:noWrap/>
            <w:vAlign w:val="center"/>
            <w:hideMark/>
          </w:tcPr>
          <w:p w14:paraId="296079E4" w14:textId="77777777" w:rsidR="003E5BF5" w:rsidRPr="00655316" w:rsidRDefault="003E5BF5" w:rsidP="00DE1921">
            <w:pPr>
              <w:rPr>
                <w:rFonts w:ascii="Arial" w:hAnsi="Arial" w:cs="Arial"/>
                <w:sz w:val="24"/>
                <w:szCs w:val="24"/>
              </w:rPr>
            </w:pPr>
            <w:r w:rsidRPr="00655316">
              <w:rPr>
                <w:rFonts w:ascii="Arial" w:hAnsi="Arial" w:cs="Arial"/>
                <w:sz w:val="24"/>
                <w:szCs w:val="24"/>
              </w:rPr>
              <w:t>Assets provided free of charge</w:t>
            </w:r>
          </w:p>
        </w:tc>
        <w:tc>
          <w:tcPr>
            <w:tcW w:w="1258" w:type="dxa"/>
            <w:shd w:val="clear" w:color="auto" w:fill="auto"/>
            <w:noWrap/>
            <w:vAlign w:val="center"/>
            <w:hideMark/>
          </w:tcPr>
          <w:p w14:paraId="7530E37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6F940D1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1DC663A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2" w:type="dxa"/>
            <w:shd w:val="clear" w:color="auto" w:fill="auto"/>
            <w:noWrap/>
            <w:vAlign w:val="center"/>
            <w:hideMark/>
          </w:tcPr>
          <w:p w14:paraId="5EE9B7BC"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vAlign w:val="center"/>
            <w:hideMark/>
          </w:tcPr>
          <w:p w14:paraId="473A9EB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(2,613)</w:t>
            </w:r>
          </w:p>
        </w:tc>
        <w:tc>
          <w:tcPr>
            <w:tcW w:w="1201" w:type="dxa"/>
            <w:shd w:val="clear" w:color="auto" w:fill="auto"/>
            <w:noWrap/>
            <w:vAlign w:val="center"/>
            <w:hideMark/>
          </w:tcPr>
          <w:p w14:paraId="2EE85A4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(26,359)</w:t>
            </w:r>
          </w:p>
        </w:tc>
        <w:tc>
          <w:tcPr>
            <w:tcW w:w="1258" w:type="dxa"/>
            <w:shd w:val="clear" w:color="auto" w:fill="auto"/>
            <w:noWrap/>
            <w:vAlign w:val="center"/>
            <w:hideMark/>
          </w:tcPr>
          <w:p w14:paraId="22DD2B2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(7,328)</w:t>
            </w:r>
          </w:p>
        </w:tc>
        <w:tc>
          <w:tcPr>
            <w:tcW w:w="1202" w:type="dxa"/>
            <w:shd w:val="clear" w:color="auto" w:fill="auto"/>
            <w:noWrap/>
            <w:vAlign w:val="center"/>
            <w:hideMark/>
          </w:tcPr>
          <w:p w14:paraId="19CDD961"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78B3B787" w14:textId="77777777" w:rsidTr="00FD0A6D">
        <w:trPr>
          <w:trHeight w:val="284"/>
        </w:trPr>
        <w:tc>
          <w:tcPr>
            <w:tcW w:w="3985" w:type="dxa"/>
            <w:shd w:val="clear" w:color="auto" w:fill="auto"/>
            <w:noWrap/>
            <w:vAlign w:val="center"/>
            <w:hideMark/>
          </w:tcPr>
          <w:p w14:paraId="23EE7274" w14:textId="77777777" w:rsidR="003E5BF5" w:rsidRPr="00655316" w:rsidRDefault="003E5BF5" w:rsidP="00DE1921">
            <w:pPr>
              <w:rPr>
                <w:rFonts w:ascii="Arial" w:hAnsi="Arial" w:cs="Arial"/>
                <w:sz w:val="24"/>
                <w:szCs w:val="24"/>
              </w:rPr>
            </w:pPr>
            <w:r w:rsidRPr="00655316">
              <w:rPr>
                <w:rFonts w:ascii="Arial" w:hAnsi="Arial" w:cs="Arial"/>
                <w:sz w:val="24"/>
                <w:szCs w:val="24"/>
              </w:rPr>
              <w:t>Additions</w:t>
            </w:r>
          </w:p>
        </w:tc>
        <w:tc>
          <w:tcPr>
            <w:tcW w:w="1258" w:type="dxa"/>
            <w:shd w:val="clear" w:color="auto" w:fill="auto"/>
            <w:noWrap/>
            <w:vAlign w:val="center"/>
            <w:hideMark/>
          </w:tcPr>
          <w:p w14:paraId="0DA991A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3D4662E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504D159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28,930 </w:t>
            </w:r>
          </w:p>
        </w:tc>
        <w:tc>
          <w:tcPr>
            <w:tcW w:w="1202" w:type="dxa"/>
            <w:shd w:val="clear" w:color="auto" w:fill="auto"/>
            <w:noWrap/>
            <w:vAlign w:val="center"/>
            <w:hideMark/>
          </w:tcPr>
          <w:p w14:paraId="3841AA8E"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vAlign w:val="center"/>
            <w:hideMark/>
          </w:tcPr>
          <w:p w14:paraId="4A38D09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15,738 </w:t>
            </w:r>
          </w:p>
        </w:tc>
        <w:tc>
          <w:tcPr>
            <w:tcW w:w="1201" w:type="dxa"/>
            <w:shd w:val="clear" w:color="auto" w:fill="auto"/>
            <w:noWrap/>
            <w:vAlign w:val="center"/>
            <w:hideMark/>
          </w:tcPr>
          <w:p w14:paraId="00A81EB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11,691 </w:t>
            </w:r>
          </w:p>
        </w:tc>
        <w:tc>
          <w:tcPr>
            <w:tcW w:w="1258" w:type="dxa"/>
            <w:shd w:val="clear" w:color="auto" w:fill="auto"/>
            <w:noWrap/>
            <w:vAlign w:val="center"/>
            <w:hideMark/>
          </w:tcPr>
          <w:p w14:paraId="4CAFC3E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2" w:type="dxa"/>
            <w:shd w:val="clear" w:color="auto" w:fill="auto"/>
            <w:noWrap/>
            <w:vAlign w:val="center"/>
            <w:hideMark/>
          </w:tcPr>
          <w:p w14:paraId="0DFB31D7"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7084E110" w14:textId="77777777" w:rsidTr="00FD0A6D">
        <w:trPr>
          <w:trHeight w:val="284"/>
        </w:trPr>
        <w:tc>
          <w:tcPr>
            <w:tcW w:w="3985" w:type="dxa"/>
            <w:shd w:val="clear" w:color="auto" w:fill="auto"/>
            <w:noWrap/>
            <w:vAlign w:val="center"/>
            <w:hideMark/>
          </w:tcPr>
          <w:p w14:paraId="2194BF9D" w14:textId="77777777" w:rsidR="003E5BF5" w:rsidRPr="00655316" w:rsidRDefault="003E5BF5" w:rsidP="00DE1921">
            <w:pPr>
              <w:rPr>
                <w:rFonts w:ascii="Arial" w:hAnsi="Arial" w:cs="Arial"/>
                <w:sz w:val="24"/>
                <w:szCs w:val="24"/>
              </w:rPr>
            </w:pPr>
            <w:r w:rsidRPr="00655316">
              <w:rPr>
                <w:rFonts w:ascii="Arial" w:hAnsi="Arial" w:cs="Arial"/>
                <w:sz w:val="24"/>
                <w:szCs w:val="24"/>
              </w:rPr>
              <w:t>Disposals</w:t>
            </w:r>
          </w:p>
        </w:tc>
        <w:tc>
          <w:tcPr>
            <w:tcW w:w="1258" w:type="dxa"/>
            <w:shd w:val="clear" w:color="auto" w:fill="auto"/>
            <w:noWrap/>
            <w:vAlign w:val="center"/>
            <w:hideMark/>
          </w:tcPr>
          <w:p w14:paraId="6287B06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0A86DBA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72A62C2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(16,333)</w:t>
            </w:r>
          </w:p>
        </w:tc>
        <w:tc>
          <w:tcPr>
            <w:tcW w:w="1202" w:type="dxa"/>
            <w:shd w:val="clear" w:color="auto" w:fill="auto"/>
            <w:noWrap/>
            <w:vAlign w:val="center"/>
            <w:hideMark/>
          </w:tcPr>
          <w:p w14:paraId="6BF99A41"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vAlign w:val="center"/>
            <w:hideMark/>
          </w:tcPr>
          <w:p w14:paraId="619F9CA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(13,857)</w:t>
            </w:r>
          </w:p>
        </w:tc>
        <w:tc>
          <w:tcPr>
            <w:tcW w:w="1201" w:type="dxa"/>
            <w:shd w:val="clear" w:color="auto" w:fill="auto"/>
            <w:noWrap/>
            <w:vAlign w:val="center"/>
            <w:hideMark/>
          </w:tcPr>
          <w:p w14:paraId="4348D7C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w:t>
            </w:r>
          </w:p>
        </w:tc>
        <w:tc>
          <w:tcPr>
            <w:tcW w:w="1258" w:type="dxa"/>
            <w:shd w:val="clear" w:color="auto" w:fill="auto"/>
            <w:noWrap/>
            <w:vAlign w:val="center"/>
            <w:hideMark/>
          </w:tcPr>
          <w:p w14:paraId="5C8AE0D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(3,606)</w:t>
            </w:r>
          </w:p>
        </w:tc>
        <w:tc>
          <w:tcPr>
            <w:tcW w:w="1202" w:type="dxa"/>
            <w:shd w:val="clear" w:color="auto" w:fill="auto"/>
            <w:noWrap/>
            <w:vAlign w:val="center"/>
            <w:hideMark/>
          </w:tcPr>
          <w:p w14:paraId="56E028AA"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6FD33020" w14:textId="77777777" w:rsidTr="00FD0A6D">
        <w:trPr>
          <w:trHeight w:val="284"/>
        </w:trPr>
        <w:tc>
          <w:tcPr>
            <w:tcW w:w="3985" w:type="dxa"/>
            <w:shd w:val="clear" w:color="auto" w:fill="auto"/>
            <w:noWrap/>
            <w:vAlign w:val="center"/>
            <w:hideMark/>
          </w:tcPr>
          <w:p w14:paraId="34BB24D0" w14:textId="77777777" w:rsidR="003E5BF5" w:rsidRPr="00655316" w:rsidRDefault="003E5BF5" w:rsidP="00DE1921">
            <w:pPr>
              <w:rPr>
                <w:rFonts w:ascii="Arial" w:hAnsi="Arial" w:cs="Arial"/>
                <w:sz w:val="24"/>
                <w:szCs w:val="24"/>
              </w:rPr>
            </w:pPr>
            <w:r w:rsidRPr="00655316">
              <w:rPr>
                <w:rFonts w:ascii="Arial" w:hAnsi="Arial" w:cs="Arial"/>
                <w:sz w:val="24"/>
                <w:szCs w:val="24"/>
              </w:rPr>
              <w:t>Depreciation expense</w:t>
            </w:r>
          </w:p>
        </w:tc>
        <w:tc>
          <w:tcPr>
            <w:tcW w:w="1258" w:type="dxa"/>
            <w:shd w:val="clear" w:color="auto" w:fill="auto"/>
            <w:noWrap/>
            <w:vAlign w:val="center"/>
            <w:hideMark/>
          </w:tcPr>
          <w:p w14:paraId="0A801F1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7035CC4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5AE9F96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2" w:type="dxa"/>
            <w:shd w:val="clear" w:color="auto" w:fill="auto"/>
            <w:noWrap/>
            <w:vAlign w:val="center"/>
            <w:hideMark/>
          </w:tcPr>
          <w:p w14:paraId="5D130218"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vAlign w:val="center"/>
            <w:hideMark/>
          </w:tcPr>
          <w:p w14:paraId="3D444CB4"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vAlign w:val="center"/>
            <w:hideMark/>
          </w:tcPr>
          <w:p w14:paraId="003F6425"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58" w:type="dxa"/>
            <w:shd w:val="clear" w:color="auto" w:fill="auto"/>
            <w:noWrap/>
            <w:vAlign w:val="center"/>
            <w:hideMark/>
          </w:tcPr>
          <w:p w14:paraId="1AF18F4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(756,919)</w:t>
            </w:r>
          </w:p>
        </w:tc>
        <w:tc>
          <w:tcPr>
            <w:tcW w:w="1202" w:type="dxa"/>
            <w:shd w:val="clear" w:color="auto" w:fill="auto"/>
            <w:noWrap/>
            <w:vAlign w:val="center"/>
            <w:hideMark/>
          </w:tcPr>
          <w:p w14:paraId="40113962"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71B2A7CE" w14:textId="77777777" w:rsidTr="00FD0A6D">
        <w:trPr>
          <w:trHeight w:val="284"/>
        </w:trPr>
        <w:tc>
          <w:tcPr>
            <w:tcW w:w="3985" w:type="dxa"/>
            <w:shd w:val="clear" w:color="auto" w:fill="auto"/>
            <w:noWrap/>
            <w:vAlign w:val="center"/>
            <w:hideMark/>
          </w:tcPr>
          <w:p w14:paraId="13EA3F6D" w14:textId="77777777" w:rsidR="003E5BF5" w:rsidRPr="00655316" w:rsidRDefault="003E5BF5" w:rsidP="00DE1921">
            <w:pPr>
              <w:rPr>
                <w:rFonts w:ascii="Arial" w:hAnsi="Arial" w:cs="Arial"/>
                <w:sz w:val="24"/>
                <w:szCs w:val="24"/>
              </w:rPr>
            </w:pPr>
            <w:r w:rsidRPr="00655316">
              <w:rPr>
                <w:rFonts w:ascii="Arial" w:hAnsi="Arial" w:cs="Arial"/>
                <w:sz w:val="24"/>
                <w:szCs w:val="24"/>
              </w:rPr>
              <w:t>Assets provided as contributed capital</w:t>
            </w:r>
          </w:p>
        </w:tc>
        <w:tc>
          <w:tcPr>
            <w:tcW w:w="1258" w:type="dxa"/>
            <w:shd w:val="clear" w:color="auto" w:fill="auto"/>
            <w:noWrap/>
            <w:vAlign w:val="center"/>
            <w:hideMark/>
          </w:tcPr>
          <w:p w14:paraId="1C8FFF8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5B4BC4F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04CF7A5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(7,271)</w:t>
            </w:r>
          </w:p>
        </w:tc>
        <w:tc>
          <w:tcPr>
            <w:tcW w:w="1202" w:type="dxa"/>
            <w:shd w:val="clear" w:color="auto" w:fill="auto"/>
            <w:noWrap/>
            <w:vAlign w:val="center"/>
            <w:hideMark/>
          </w:tcPr>
          <w:p w14:paraId="269624B1"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vAlign w:val="center"/>
            <w:hideMark/>
          </w:tcPr>
          <w:p w14:paraId="690A6B2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(634)</w:t>
            </w:r>
          </w:p>
        </w:tc>
        <w:tc>
          <w:tcPr>
            <w:tcW w:w="1201" w:type="dxa"/>
            <w:shd w:val="clear" w:color="auto" w:fill="auto"/>
            <w:noWrap/>
            <w:vAlign w:val="center"/>
            <w:hideMark/>
          </w:tcPr>
          <w:p w14:paraId="4FBD6A4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(5,307)</w:t>
            </w:r>
          </w:p>
        </w:tc>
        <w:tc>
          <w:tcPr>
            <w:tcW w:w="1258" w:type="dxa"/>
            <w:shd w:val="clear" w:color="auto" w:fill="auto"/>
            <w:noWrap/>
            <w:vAlign w:val="center"/>
            <w:hideMark/>
          </w:tcPr>
          <w:p w14:paraId="30A2AE43"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2" w:type="dxa"/>
            <w:shd w:val="clear" w:color="auto" w:fill="auto"/>
            <w:noWrap/>
            <w:vAlign w:val="center"/>
            <w:hideMark/>
          </w:tcPr>
          <w:p w14:paraId="6C0407F8"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14C70D66" w14:textId="77777777" w:rsidTr="00FD0A6D">
        <w:trPr>
          <w:trHeight w:val="284"/>
        </w:trPr>
        <w:tc>
          <w:tcPr>
            <w:tcW w:w="3985" w:type="dxa"/>
            <w:shd w:val="clear" w:color="auto" w:fill="auto"/>
            <w:noWrap/>
            <w:vAlign w:val="center"/>
            <w:hideMark/>
          </w:tcPr>
          <w:p w14:paraId="6DDC8DA2" w14:textId="77777777" w:rsidR="003E5BF5" w:rsidRPr="00655316" w:rsidRDefault="003E5BF5" w:rsidP="00DE1921">
            <w:pPr>
              <w:rPr>
                <w:rFonts w:ascii="Arial" w:hAnsi="Arial" w:cs="Arial"/>
                <w:sz w:val="24"/>
                <w:szCs w:val="24"/>
              </w:rPr>
            </w:pPr>
            <w:r w:rsidRPr="00655316">
              <w:rPr>
                <w:rFonts w:ascii="Arial" w:hAnsi="Arial" w:cs="Arial"/>
                <w:sz w:val="24"/>
                <w:szCs w:val="24"/>
              </w:rPr>
              <w:t>Transfers to assets classified as held for sale</w:t>
            </w:r>
          </w:p>
        </w:tc>
        <w:tc>
          <w:tcPr>
            <w:tcW w:w="1258" w:type="dxa"/>
            <w:shd w:val="clear" w:color="auto" w:fill="auto"/>
            <w:noWrap/>
            <w:vAlign w:val="center"/>
            <w:hideMark/>
          </w:tcPr>
          <w:p w14:paraId="41326D2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46930B6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122A114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(3,364)</w:t>
            </w:r>
          </w:p>
        </w:tc>
        <w:tc>
          <w:tcPr>
            <w:tcW w:w="1202" w:type="dxa"/>
            <w:shd w:val="clear" w:color="auto" w:fill="auto"/>
            <w:noWrap/>
            <w:vAlign w:val="center"/>
            <w:hideMark/>
          </w:tcPr>
          <w:p w14:paraId="72E622AA"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vAlign w:val="center"/>
            <w:hideMark/>
          </w:tcPr>
          <w:p w14:paraId="01CCCB5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221 </w:t>
            </w:r>
          </w:p>
        </w:tc>
        <w:tc>
          <w:tcPr>
            <w:tcW w:w="1201" w:type="dxa"/>
            <w:shd w:val="clear" w:color="auto" w:fill="auto"/>
            <w:noWrap/>
            <w:vAlign w:val="center"/>
            <w:hideMark/>
          </w:tcPr>
          <w:p w14:paraId="28A1C4E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(25,151)</w:t>
            </w:r>
          </w:p>
        </w:tc>
        <w:tc>
          <w:tcPr>
            <w:tcW w:w="1258" w:type="dxa"/>
            <w:shd w:val="clear" w:color="auto" w:fill="auto"/>
            <w:noWrap/>
            <w:vAlign w:val="center"/>
            <w:hideMark/>
          </w:tcPr>
          <w:p w14:paraId="610C0599"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2" w:type="dxa"/>
            <w:shd w:val="clear" w:color="auto" w:fill="auto"/>
            <w:noWrap/>
            <w:vAlign w:val="center"/>
            <w:hideMark/>
          </w:tcPr>
          <w:p w14:paraId="253F9F17"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6C94A432" w14:textId="77777777" w:rsidTr="00FD0A6D">
        <w:trPr>
          <w:trHeight w:val="284"/>
        </w:trPr>
        <w:tc>
          <w:tcPr>
            <w:tcW w:w="3985" w:type="dxa"/>
            <w:shd w:val="clear" w:color="auto" w:fill="auto"/>
            <w:noWrap/>
            <w:vAlign w:val="center"/>
            <w:hideMark/>
          </w:tcPr>
          <w:p w14:paraId="3359C5F1" w14:textId="77777777" w:rsidR="003E5BF5" w:rsidRPr="00655316" w:rsidRDefault="003E5BF5" w:rsidP="00DE1921">
            <w:pPr>
              <w:rPr>
                <w:rFonts w:ascii="Arial" w:hAnsi="Arial" w:cs="Arial"/>
                <w:sz w:val="24"/>
                <w:szCs w:val="24"/>
              </w:rPr>
            </w:pPr>
            <w:r w:rsidRPr="00655316">
              <w:rPr>
                <w:rFonts w:ascii="Arial" w:hAnsi="Arial" w:cs="Arial"/>
                <w:sz w:val="24"/>
                <w:szCs w:val="24"/>
              </w:rPr>
              <w:t>Net transfers (to)/from government entities</w:t>
            </w:r>
          </w:p>
        </w:tc>
        <w:tc>
          <w:tcPr>
            <w:tcW w:w="1258" w:type="dxa"/>
            <w:shd w:val="clear" w:color="auto" w:fill="auto"/>
            <w:noWrap/>
            <w:vAlign w:val="center"/>
            <w:hideMark/>
          </w:tcPr>
          <w:p w14:paraId="160B77C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50FE12B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3E20A3AA"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2" w:type="dxa"/>
            <w:shd w:val="clear" w:color="auto" w:fill="auto"/>
            <w:noWrap/>
            <w:vAlign w:val="center"/>
            <w:hideMark/>
          </w:tcPr>
          <w:p w14:paraId="0533788B"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vAlign w:val="center"/>
            <w:hideMark/>
          </w:tcPr>
          <w:p w14:paraId="22A4206C"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vAlign w:val="center"/>
            <w:hideMark/>
          </w:tcPr>
          <w:p w14:paraId="0D7CA45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(631,544)</w:t>
            </w:r>
          </w:p>
        </w:tc>
        <w:tc>
          <w:tcPr>
            <w:tcW w:w="1258" w:type="dxa"/>
            <w:shd w:val="clear" w:color="auto" w:fill="auto"/>
            <w:noWrap/>
            <w:vAlign w:val="center"/>
            <w:hideMark/>
          </w:tcPr>
          <w:p w14:paraId="01B9F7BA"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2" w:type="dxa"/>
            <w:shd w:val="clear" w:color="auto" w:fill="auto"/>
            <w:noWrap/>
            <w:vAlign w:val="center"/>
            <w:hideMark/>
          </w:tcPr>
          <w:p w14:paraId="566144AE"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6C93460B" w14:textId="77777777" w:rsidTr="00FD0A6D">
        <w:trPr>
          <w:trHeight w:val="284"/>
        </w:trPr>
        <w:tc>
          <w:tcPr>
            <w:tcW w:w="3985" w:type="dxa"/>
            <w:shd w:val="clear" w:color="auto" w:fill="auto"/>
            <w:noWrap/>
            <w:vAlign w:val="center"/>
            <w:hideMark/>
          </w:tcPr>
          <w:p w14:paraId="1D6C12F8" w14:textId="77777777" w:rsidR="003E5BF5" w:rsidRPr="00655316" w:rsidRDefault="003E5BF5" w:rsidP="00DE1921">
            <w:pPr>
              <w:rPr>
                <w:rFonts w:ascii="Arial" w:hAnsi="Arial" w:cs="Arial"/>
                <w:sz w:val="24"/>
                <w:szCs w:val="24"/>
              </w:rPr>
            </w:pPr>
            <w:r w:rsidRPr="00655316">
              <w:rPr>
                <w:rFonts w:ascii="Arial" w:hAnsi="Arial" w:cs="Arial"/>
                <w:sz w:val="24"/>
                <w:szCs w:val="24"/>
              </w:rPr>
              <w:t>Net revaluation increments/decrements</w:t>
            </w:r>
          </w:p>
        </w:tc>
        <w:tc>
          <w:tcPr>
            <w:tcW w:w="1258" w:type="dxa"/>
            <w:shd w:val="clear" w:color="auto" w:fill="auto"/>
            <w:noWrap/>
            <w:vAlign w:val="center"/>
            <w:hideMark/>
          </w:tcPr>
          <w:p w14:paraId="562070D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10,132,429 </w:t>
            </w:r>
          </w:p>
        </w:tc>
        <w:tc>
          <w:tcPr>
            <w:tcW w:w="1201" w:type="dxa"/>
            <w:shd w:val="clear" w:color="auto" w:fill="auto"/>
            <w:noWrap/>
            <w:vAlign w:val="center"/>
            <w:hideMark/>
          </w:tcPr>
          <w:p w14:paraId="35968DA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6BC5F2F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61,492 </w:t>
            </w:r>
          </w:p>
        </w:tc>
        <w:tc>
          <w:tcPr>
            <w:tcW w:w="1202" w:type="dxa"/>
            <w:shd w:val="clear" w:color="auto" w:fill="auto"/>
            <w:noWrap/>
            <w:vAlign w:val="center"/>
            <w:hideMark/>
          </w:tcPr>
          <w:p w14:paraId="24062A99"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vAlign w:val="center"/>
            <w:hideMark/>
          </w:tcPr>
          <w:p w14:paraId="1B9CECA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829,322 </w:t>
            </w:r>
          </w:p>
        </w:tc>
        <w:tc>
          <w:tcPr>
            <w:tcW w:w="1201" w:type="dxa"/>
            <w:shd w:val="clear" w:color="auto" w:fill="auto"/>
            <w:noWrap/>
            <w:vAlign w:val="center"/>
            <w:hideMark/>
          </w:tcPr>
          <w:p w14:paraId="6E2F779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58" w:type="dxa"/>
            <w:shd w:val="clear" w:color="auto" w:fill="auto"/>
            <w:noWrap/>
            <w:vAlign w:val="center"/>
            <w:hideMark/>
          </w:tcPr>
          <w:p w14:paraId="2E0AD8A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(145,899)</w:t>
            </w:r>
          </w:p>
        </w:tc>
        <w:tc>
          <w:tcPr>
            <w:tcW w:w="1202" w:type="dxa"/>
            <w:shd w:val="clear" w:color="auto" w:fill="auto"/>
            <w:noWrap/>
            <w:vAlign w:val="center"/>
            <w:hideMark/>
          </w:tcPr>
          <w:p w14:paraId="71267CEB"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0874CA01" w14:textId="77777777" w:rsidTr="00FD0A6D">
        <w:trPr>
          <w:trHeight w:val="284"/>
        </w:trPr>
        <w:tc>
          <w:tcPr>
            <w:tcW w:w="3985" w:type="dxa"/>
            <w:shd w:val="clear" w:color="auto" w:fill="auto"/>
            <w:noWrap/>
            <w:vAlign w:val="center"/>
            <w:hideMark/>
          </w:tcPr>
          <w:p w14:paraId="68F30BCE" w14:textId="77777777" w:rsidR="003E5BF5" w:rsidRPr="00655316" w:rsidRDefault="003E5BF5" w:rsidP="00DE1921">
            <w:pPr>
              <w:rPr>
                <w:rFonts w:ascii="Arial" w:hAnsi="Arial" w:cs="Arial"/>
                <w:sz w:val="24"/>
                <w:szCs w:val="24"/>
              </w:rPr>
            </w:pPr>
            <w:r w:rsidRPr="00655316">
              <w:rPr>
                <w:rFonts w:ascii="Arial" w:hAnsi="Arial" w:cs="Arial"/>
                <w:sz w:val="24"/>
                <w:szCs w:val="24"/>
              </w:rPr>
              <w:t>Transfer between classes</w:t>
            </w:r>
          </w:p>
        </w:tc>
        <w:tc>
          <w:tcPr>
            <w:tcW w:w="1258" w:type="dxa"/>
            <w:shd w:val="clear" w:color="auto" w:fill="auto"/>
            <w:noWrap/>
            <w:vAlign w:val="center"/>
            <w:hideMark/>
          </w:tcPr>
          <w:p w14:paraId="4F18C8C2" w14:textId="77777777" w:rsidR="003E5BF5" w:rsidRPr="00655316" w:rsidRDefault="003E5BF5" w:rsidP="00DE1921">
            <w:pPr>
              <w:jc w:val="right"/>
              <w:rPr>
                <w:rFonts w:ascii="Arial" w:hAnsi="Arial" w:cs="Arial"/>
                <w:sz w:val="24"/>
                <w:szCs w:val="24"/>
              </w:rPr>
            </w:pPr>
          </w:p>
        </w:tc>
        <w:tc>
          <w:tcPr>
            <w:tcW w:w="1201" w:type="dxa"/>
            <w:shd w:val="clear" w:color="auto" w:fill="auto"/>
            <w:noWrap/>
            <w:vAlign w:val="center"/>
            <w:hideMark/>
          </w:tcPr>
          <w:p w14:paraId="04DA9C0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shd w:val="clear" w:color="auto" w:fill="auto"/>
            <w:noWrap/>
            <w:vAlign w:val="center"/>
            <w:hideMark/>
          </w:tcPr>
          <w:p w14:paraId="51A0CBC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2" w:type="dxa"/>
            <w:shd w:val="clear" w:color="auto" w:fill="auto"/>
            <w:noWrap/>
            <w:vAlign w:val="center"/>
            <w:hideMark/>
          </w:tcPr>
          <w:p w14:paraId="20B66836"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shd w:val="clear" w:color="auto" w:fill="auto"/>
            <w:noWrap/>
            <w:vAlign w:val="center"/>
            <w:hideMark/>
          </w:tcPr>
          <w:p w14:paraId="10C8AE12" w14:textId="77777777" w:rsidR="003E5BF5" w:rsidRPr="00655316" w:rsidRDefault="003E5BF5" w:rsidP="00DE1921">
            <w:pPr>
              <w:jc w:val="right"/>
              <w:rPr>
                <w:rFonts w:ascii="Arial" w:hAnsi="Arial" w:cs="Arial"/>
                <w:sz w:val="24"/>
                <w:szCs w:val="24"/>
              </w:rPr>
            </w:pPr>
          </w:p>
        </w:tc>
        <w:tc>
          <w:tcPr>
            <w:tcW w:w="1201" w:type="dxa"/>
            <w:shd w:val="clear" w:color="auto" w:fill="auto"/>
            <w:noWrap/>
            <w:vAlign w:val="center"/>
            <w:hideMark/>
          </w:tcPr>
          <w:p w14:paraId="7DCAA2D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(306)</w:t>
            </w:r>
          </w:p>
        </w:tc>
        <w:tc>
          <w:tcPr>
            <w:tcW w:w="1258" w:type="dxa"/>
            <w:shd w:val="clear" w:color="auto" w:fill="auto"/>
            <w:noWrap/>
            <w:vAlign w:val="center"/>
            <w:hideMark/>
          </w:tcPr>
          <w:p w14:paraId="61D5AB5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2,303,496 </w:t>
            </w:r>
          </w:p>
        </w:tc>
        <w:tc>
          <w:tcPr>
            <w:tcW w:w="1202" w:type="dxa"/>
            <w:shd w:val="clear" w:color="auto" w:fill="auto"/>
            <w:noWrap/>
            <w:vAlign w:val="center"/>
            <w:hideMark/>
          </w:tcPr>
          <w:p w14:paraId="5D1BA423"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100E126E" w14:textId="77777777" w:rsidTr="00FD0A6D">
        <w:trPr>
          <w:trHeight w:val="284"/>
        </w:trPr>
        <w:tc>
          <w:tcPr>
            <w:tcW w:w="3985" w:type="dxa"/>
            <w:tcBorders>
              <w:bottom w:val="single" w:sz="4" w:space="0" w:color="auto"/>
            </w:tcBorders>
            <w:shd w:val="clear" w:color="auto" w:fill="auto"/>
            <w:noWrap/>
            <w:vAlign w:val="center"/>
            <w:hideMark/>
          </w:tcPr>
          <w:p w14:paraId="03764270" w14:textId="77777777" w:rsidR="003E5BF5" w:rsidRPr="00655316" w:rsidRDefault="003E5BF5" w:rsidP="00DE1921">
            <w:pPr>
              <w:rPr>
                <w:rFonts w:ascii="Arial" w:hAnsi="Arial" w:cs="Arial"/>
                <w:sz w:val="24"/>
                <w:szCs w:val="24"/>
              </w:rPr>
            </w:pPr>
            <w:r w:rsidRPr="00655316">
              <w:rPr>
                <w:rFonts w:ascii="Arial" w:hAnsi="Arial" w:cs="Arial"/>
                <w:sz w:val="24"/>
                <w:szCs w:val="24"/>
              </w:rPr>
              <w:lastRenderedPageBreak/>
              <w:t>Recognition/(derecognition)</w:t>
            </w:r>
          </w:p>
        </w:tc>
        <w:tc>
          <w:tcPr>
            <w:tcW w:w="1258" w:type="dxa"/>
            <w:tcBorders>
              <w:bottom w:val="single" w:sz="4" w:space="0" w:color="auto"/>
            </w:tcBorders>
            <w:shd w:val="clear" w:color="auto" w:fill="auto"/>
            <w:noWrap/>
            <w:vAlign w:val="center"/>
            <w:hideMark/>
          </w:tcPr>
          <w:p w14:paraId="6ADF6D6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tcBorders>
              <w:bottom w:val="single" w:sz="4" w:space="0" w:color="auto"/>
            </w:tcBorders>
            <w:shd w:val="clear" w:color="auto" w:fill="auto"/>
            <w:noWrap/>
            <w:vAlign w:val="center"/>
            <w:hideMark/>
          </w:tcPr>
          <w:p w14:paraId="1874AA1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1" w:type="dxa"/>
            <w:tcBorders>
              <w:bottom w:val="single" w:sz="4" w:space="0" w:color="auto"/>
            </w:tcBorders>
            <w:shd w:val="clear" w:color="auto" w:fill="auto"/>
            <w:noWrap/>
            <w:vAlign w:val="center"/>
            <w:hideMark/>
          </w:tcPr>
          <w:p w14:paraId="4EACF0B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2" w:type="dxa"/>
            <w:tcBorders>
              <w:bottom w:val="single" w:sz="4" w:space="0" w:color="auto"/>
            </w:tcBorders>
            <w:shd w:val="clear" w:color="auto" w:fill="auto"/>
            <w:noWrap/>
            <w:vAlign w:val="center"/>
            <w:hideMark/>
          </w:tcPr>
          <w:p w14:paraId="5B9B9291"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tcBorders>
              <w:bottom w:val="single" w:sz="4" w:space="0" w:color="auto"/>
            </w:tcBorders>
            <w:shd w:val="clear" w:color="auto" w:fill="auto"/>
            <w:noWrap/>
            <w:vAlign w:val="center"/>
            <w:hideMark/>
          </w:tcPr>
          <w:p w14:paraId="7A52A8B4"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1" w:type="dxa"/>
            <w:tcBorders>
              <w:bottom w:val="single" w:sz="4" w:space="0" w:color="auto"/>
            </w:tcBorders>
            <w:shd w:val="clear" w:color="auto" w:fill="auto"/>
            <w:noWrap/>
            <w:vAlign w:val="center"/>
            <w:hideMark/>
          </w:tcPr>
          <w:p w14:paraId="501EEE09"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58" w:type="dxa"/>
            <w:tcBorders>
              <w:bottom w:val="single" w:sz="4" w:space="0" w:color="auto"/>
            </w:tcBorders>
            <w:shd w:val="clear" w:color="auto" w:fill="auto"/>
            <w:noWrap/>
            <w:vAlign w:val="center"/>
            <w:hideMark/>
          </w:tcPr>
          <w:p w14:paraId="4D9EB7CB"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02" w:type="dxa"/>
            <w:tcBorders>
              <w:bottom w:val="single" w:sz="4" w:space="0" w:color="auto"/>
            </w:tcBorders>
            <w:shd w:val="clear" w:color="auto" w:fill="auto"/>
            <w:noWrap/>
            <w:vAlign w:val="center"/>
            <w:hideMark/>
          </w:tcPr>
          <w:p w14:paraId="5CFDCF7F"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227E34F3" w14:textId="77777777" w:rsidTr="00FD0A6D">
        <w:trPr>
          <w:trHeight w:val="284"/>
        </w:trPr>
        <w:tc>
          <w:tcPr>
            <w:tcW w:w="3985" w:type="dxa"/>
            <w:tcBorders>
              <w:bottom w:val="single" w:sz="4" w:space="0" w:color="auto"/>
            </w:tcBorders>
            <w:shd w:val="clear" w:color="auto" w:fill="auto"/>
            <w:noWrap/>
            <w:vAlign w:val="center"/>
            <w:hideMark/>
          </w:tcPr>
          <w:p w14:paraId="06E5D0E5" w14:textId="77777777" w:rsidR="003E5BF5" w:rsidRPr="00655316" w:rsidRDefault="003E5BF5" w:rsidP="00DE1921">
            <w:pPr>
              <w:rPr>
                <w:rFonts w:ascii="Arial" w:hAnsi="Arial" w:cs="Arial"/>
                <w:b/>
                <w:sz w:val="24"/>
                <w:szCs w:val="24"/>
              </w:rPr>
            </w:pPr>
            <w:r w:rsidRPr="00655316">
              <w:rPr>
                <w:rFonts w:ascii="Arial" w:hAnsi="Arial" w:cs="Arial"/>
                <w:b/>
                <w:sz w:val="24"/>
                <w:szCs w:val="24"/>
              </w:rPr>
              <w:t>Closing balance</w:t>
            </w:r>
          </w:p>
        </w:tc>
        <w:tc>
          <w:tcPr>
            <w:tcW w:w="1258" w:type="dxa"/>
            <w:tcBorders>
              <w:bottom w:val="single" w:sz="4" w:space="0" w:color="auto"/>
            </w:tcBorders>
            <w:shd w:val="clear" w:color="auto" w:fill="auto"/>
            <w:noWrap/>
            <w:vAlign w:val="center"/>
            <w:hideMark/>
          </w:tcPr>
          <w:p w14:paraId="398B86E2"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34,398,450 </w:t>
            </w:r>
          </w:p>
        </w:tc>
        <w:tc>
          <w:tcPr>
            <w:tcW w:w="1201" w:type="dxa"/>
            <w:tcBorders>
              <w:bottom w:val="single" w:sz="4" w:space="0" w:color="auto"/>
            </w:tcBorders>
            <w:shd w:val="clear" w:color="auto" w:fill="auto"/>
            <w:noWrap/>
            <w:vAlign w:val="center"/>
            <w:hideMark/>
          </w:tcPr>
          <w:p w14:paraId="38C24D97"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1201" w:type="dxa"/>
            <w:tcBorders>
              <w:bottom w:val="single" w:sz="4" w:space="0" w:color="auto"/>
            </w:tcBorders>
            <w:shd w:val="clear" w:color="auto" w:fill="auto"/>
            <w:noWrap/>
            <w:vAlign w:val="center"/>
            <w:hideMark/>
          </w:tcPr>
          <w:p w14:paraId="11276A42"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1,707,687 </w:t>
            </w:r>
          </w:p>
        </w:tc>
        <w:tc>
          <w:tcPr>
            <w:tcW w:w="1202" w:type="dxa"/>
            <w:tcBorders>
              <w:bottom w:val="single" w:sz="4" w:space="0" w:color="auto"/>
            </w:tcBorders>
            <w:shd w:val="clear" w:color="auto" w:fill="auto"/>
            <w:noWrap/>
            <w:vAlign w:val="center"/>
            <w:hideMark/>
          </w:tcPr>
          <w:p w14:paraId="302415A2"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01" w:type="dxa"/>
            <w:tcBorders>
              <w:bottom w:val="single" w:sz="4" w:space="0" w:color="auto"/>
            </w:tcBorders>
            <w:shd w:val="clear" w:color="auto" w:fill="auto"/>
            <w:noWrap/>
            <w:vAlign w:val="center"/>
            <w:hideMark/>
          </w:tcPr>
          <w:p w14:paraId="735EAF68"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3,089,849 </w:t>
            </w:r>
          </w:p>
        </w:tc>
        <w:tc>
          <w:tcPr>
            <w:tcW w:w="1201" w:type="dxa"/>
            <w:tcBorders>
              <w:bottom w:val="single" w:sz="4" w:space="0" w:color="auto"/>
            </w:tcBorders>
            <w:shd w:val="clear" w:color="auto" w:fill="auto"/>
            <w:noWrap/>
            <w:vAlign w:val="center"/>
            <w:hideMark/>
          </w:tcPr>
          <w:p w14:paraId="127C1488"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309,859 </w:t>
            </w:r>
          </w:p>
        </w:tc>
        <w:tc>
          <w:tcPr>
            <w:tcW w:w="1258" w:type="dxa"/>
            <w:tcBorders>
              <w:bottom w:val="single" w:sz="4" w:space="0" w:color="auto"/>
            </w:tcBorders>
            <w:shd w:val="clear" w:color="auto" w:fill="auto"/>
            <w:noWrap/>
            <w:vAlign w:val="center"/>
            <w:hideMark/>
          </w:tcPr>
          <w:p w14:paraId="3D2C60A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24,254,617 </w:t>
            </w:r>
          </w:p>
        </w:tc>
        <w:tc>
          <w:tcPr>
            <w:tcW w:w="1202" w:type="dxa"/>
            <w:tcBorders>
              <w:bottom w:val="single" w:sz="4" w:space="0" w:color="auto"/>
            </w:tcBorders>
            <w:shd w:val="clear" w:color="auto" w:fill="auto"/>
            <w:noWrap/>
            <w:vAlign w:val="center"/>
            <w:hideMark/>
          </w:tcPr>
          <w:p w14:paraId="6A859A52"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r>
    </w:tbl>
    <w:p w14:paraId="140C93BC" w14:textId="77777777" w:rsidR="00FD0A6D" w:rsidRPr="00655316" w:rsidRDefault="00FD0A6D" w:rsidP="00FD0A6D">
      <w:pPr>
        <w:pStyle w:val="Note"/>
        <w:rPr>
          <w:rFonts w:ascii="Arial" w:hAnsi="Arial" w:cs="Arial"/>
          <w:sz w:val="24"/>
          <w:szCs w:val="24"/>
        </w:rPr>
      </w:pPr>
      <w:r w:rsidRPr="00655316">
        <w:rPr>
          <w:rFonts w:ascii="Arial" w:hAnsi="Arial" w:cs="Arial"/>
          <w:sz w:val="24"/>
          <w:szCs w:val="24"/>
        </w:rPr>
        <w:t>Notes:</w:t>
      </w:r>
    </w:p>
    <w:p w14:paraId="418C55E9" w14:textId="77777777" w:rsidR="00FD0A6D" w:rsidRPr="00655316" w:rsidRDefault="00FD0A6D" w:rsidP="00610F5F">
      <w:pPr>
        <w:pStyle w:val="aaaNotenumberiiiiii"/>
        <w:numPr>
          <w:ilvl w:val="0"/>
          <w:numId w:val="89"/>
        </w:numPr>
      </w:pPr>
      <w:r w:rsidRPr="00655316">
        <w:t>The opening balance includes amounts reclassified from existing assets to service concession assets (recognised under AASB 1059 at 1 July 2018). Refer to Note 7.5.3 for further details.</w:t>
      </w:r>
    </w:p>
    <w:p w14:paraId="3FC8917A" w14:textId="77777777" w:rsidR="00FD0A6D" w:rsidRPr="00655316" w:rsidRDefault="00FD0A6D" w:rsidP="00610F5F">
      <w:pPr>
        <w:pStyle w:val="aaaNotenumberiiiiii"/>
        <w:numPr>
          <w:ilvl w:val="0"/>
          <w:numId w:val="89"/>
        </w:numPr>
      </w:pPr>
      <w:r w:rsidRPr="00655316">
        <w:t>Where a service concession arrangement is in existence at 1 July 2018; the opening balance at 1 July 2018 is adjusted to reflect the adoption of AASB 1059. Refer to Note 9.6.5.2 and Note 7.5.3 for further details.</w:t>
      </w:r>
    </w:p>
    <w:p w14:paraId="0C81DA41" w14:textId="77777777" w:rsidR="00FD0A6D" w:rsidRPr="00655316" w:rsidRDefault="00FD0A6D" w:rsidP="00610F5F">
      <w:pPr>
        <w:pStyle w:val="aaaNotenumberiiiiii"/>
        <w:numPr>
          <w:ilvl w:val="0"/>
          <w:numId w:val="89"/>
        </w:numPr>
      </w:pPr>
      <w:r w:rsidRPr="00655316">
        <w:t>This balance represents the initial recognition of service concession assets (recognised under AASB 1059 retrospectively at 1 July 2019). Refer to Note 9.6.5.2 and Note 7.5.3</w:t>
      </w:r>
    </w:p>
    <w:p w14:paraId="48EFF90D" w14:textId="4F1CAA53" w:rsidR="005E4B21" w:rsidRPr="005E4B21" w:rsidRDefault="00FD0A6D" w:rsidP="00610F5F">
      <w:pPr>
        <w:pStyle w:val="aaaNotenumberiiiiii"/>
        <w:numPr>
          <w:ilvl w:val="0"/>
          <w:numId w:val="89"/>
        </w:numPr>
        <w:rPr>
          <w:lang w:eastAsia="en-AU"/>
        </w:rPr>
      </w:pPr>
      <w:r w:rsidRPr="00655316">
        <w:t>This balance represents the initial recognition of right-of-use assets recorded on the balance sheet on 1 July 2019 relating to operating leases. Refer to Note 9.6.5.3 for further details.</w:t>
      </w:r>
    </w:p>
    <w:p w14:paraId="400CFC78" w14:textId="038CDF1C" w:rsidR="003E5BF5" w:rsidRDefault="003E5BF5" w:rsidP="00610F5F">
      <w:pPr>
        <w:pStyle w:val="Heading3"/>
        <w:numPr>
          <w:ilvl w:val="2"/>
          <w:numId w:val="15"/>
        </w:numPr>
        <w:ind w:left="765" w:hanging="765"/>
        <w:rPr>
          <w:rFonts w:asciiTheme="minorHAnsi" w:eastAsiaTheme="minorHAnsi" w:hAnsiTheme="minorHAnsi"/>
          <w:sz w:val="22"/>
          <w:lang w:eastAsia="en-AU"/>
        </w:rPr>
      </w:pPr>
      <w:r>
        <w:rPr>
          <w:sz w:val="22"/>
          <w:szCs w:val="28"/>
        </w:rPr>
        <w:br w:type="page"/>
      </w:r>
      <w:r w:rsidRPr="004C6629">
        <w:lastRenderedPageBreak/>
        <w:t xml:space="preserve">Reconciliation of movements in carrying amount of property, plant and equipment - </w:t>
      </w:r>
      <w:r w:rsidRPr="004C6629">
        <w:rPr>
          <w:i/>
          <w:iCs/>
        </w:rPr>
        <w:t>continued</w:t>
      </w:r>
      <w:r w:rsidRPr="004C6629">
        <w:rPr>
          <w:sz w:val="20"/>
          <w:lang w:eastAsia="en-AU"/>
        </w:rPr>
        <w:t xml:space="preserve"> </w:t>
      </w:r>
    </w:p>
    <w:tbl>
      <w:tblPr>
        <w:tblStyle w:val="TableGrid"/>
        <w:tblW w:w="14175" w:type="dxa"/>
        <w:jc w:val="center"/>
        <w:tblCellMar>
          <w:left w:w="28" w:type="dxa"/>
          <w:right w:w="28" w:type="dxa"/>
        </w:tblCellMar>
        <w:tblLook w:val="04A0" w:firstRow="1" w:lastRow="0" w:firstColumn="1" w:lastColumn="0" w:noHBand="0" w:noVBand="1"/>
      </w:tblPr>
      <w:tblGrid>
        <w:gridCol w:w="4168"/>
        <w:gridCol w:w="1243"/>
        <w:gridCol w:w="1244"/>
        <w:gridCol w:w="1296"/>
        <w:gridCol w:w="1245"/>
        <w:gridCol w:w="1244"/>
        <w:gridCol w:w="1245"/>
        <w:gridCol w:w="1245"/>
        <w:gridCol w:w="1245"/>
      </w:tblGrid>
      <w:tr w:rsidR="003E5BF5" w:rsidRPr="00655316" w14:paraId="7DDE2537" w14:textId="77777777" w:rsidTr="00FD0A6D">
        <w:trPr>
          <w:trHeight w:val="284"/>
          <w:jc w:val="center"/>
        </w:trPr>
        <w:tc>
          <w:tcPr>
            <w:tcW w:w="4168" w:type="dxa"/>
            <w:shd w:val="clear" w:color="auto" w:fill="auto"/>
            <w:hideMark/>
          </w:tcPr>
          <w:p w14:paraId="4D3E6E52" w14:textId="77777777" w:rsidR="003E5BF5" w:rsidRPr="00655316" w:rsidRDefault="003E5BF5" w:rsidP="00DE1921">
            <w:pPr>
              <w:jc w:val="center"/>
              <w:rPr>
                <w:rFonts w:ascii="Arial" w:hAnsi="Arial" w:cs="Arial"/>
                <w:sz w:val="24"/>
                <w:szCs w:val="24"/>
              </w:rPr>
            </w:pPr>
          </w:p>
        </w:tc>
        <w:tc>
          <w:tcPr>
            <w:tcW w:w="10007" w:type="dxa"/>
            <w:gridSpan w:val="8"/>
            <w:shd w:val="clear" w:color="auto" w:fill="auto"/>
            <w:noWrap/>
            <w:vAlign w:val="center"/>
            <w:hideMark/>
          </w:tcPr>
          <w:p w14:paraId="6F1B1AC0"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 thousand)</w:t>
            </w:r>
          </w:p>
        </w:tc>
      </w:tr>
      <w:tr w:rsidR="003E5BF5" w:rsidRPr="00655316" w14:paraId="228432BD" w14:textId="77777777" w:rsidTr="00FD0A6D">
        <w:trPr>
          <w:trHeight w:val="284"/>
          <w:jc w:val="center"/>
        </w:trPr>
        <w:tc>
          <w:tcPr>
            <w:tcW w:w="4168" w:type="dxa"/>
            <w:shd w:val="clear" w:color="auto" w:fill="auto"/>
            <w:hideMark/>
          </w:tcPr>
          <w:p w14:paraId="4E46BDB8" w14:textId="77777777" w:rsidR="003E5BF5" w:rsidRPr="00655316" w:rsidRDefault="003E5BF5" w:rsidP="00DE1921">
            <w:pPr>
              <w:jc w:val="center"/>
              <w:rPr>
                <w:rFonts w:ascii="Arial" w:hAnsi="Arial" w:cs="Arial"/>
                <w:sz w:val="24"/>
                <w:szCs w:val="24"/>
              </w:rPr>
            </w:pPr>
          </w:p>
        </w:tc>
        <w:tc>
          <w:tcPr>
            <w:tcW w:w="2487" w:type="dxa"/>
            <w:gridSpan w:val="2"/>
            <w:shd w:val="clear" w:color="auto" w:fill="auto"/>
            <w:vAlign w:val="bottom"/>
            <w:hideMark/>
          </w:tcPr>
          <w:p w14:paraId="0AE916BC"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Earthworks at fair value</w:t>
            </w:r>
          </w:p>
        </w:tc>
        <w:tc>
          <w:tcPr>
            <w:tcW w:w="2541" w:type="dxa"/>
            <w:gridSpan w:val="2"/>
            <w:shd w:val="clear" w:color="auto" w:fill="auto"/>
            <w:vAlign w:val="bottom"/>
            <w:hideMark/>
          </w:tcPr>
          <w:p w14:paraId="2B19EA70"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Other infrastructure at fair value</w:t>
            </w:r>
          </w:p>
        </w:tc>
        <w:tc>
          <w:tcPr>
            <w:tcW w:w="2489" w:type="dxa"/>
            <w:gridSpan w:val="2"/>
            <w:shd w:val="clear" w:color="auto" w:fill="auto"/>
            <w:vAlign w:val="bottom"/>
            <w:hideMark/>
          </w:tcPr>
          <w:p w14:paraId="1C4390BF"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Buildings at fair value</w:t>
            </w:r>
          </w:p>
        </w:tc>
        <w:tc>
          <w:tcPr>
            <w:tcW w:w="2490" w:type="dxa"/>
            <w:gridSpan w:val="2"/>
            <w:shd w:val="clear" w:color="auto" w:fill="auto"/>
            <w:vAlign w:val="bottom"/>
            <w:hideMark/>
          </w:tcPr>
          <w:p w14:paraId="6714C2DB"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Plant, equipment and vehicles at fair value</w:t>
            </w:r>
          </w:p>
        </w:tc>
      </w:tr>
      <w:tr w:rsidR="003E5BF5" w:rsidRPr="00655316" w14:paraId="549A56C4" w14:textId="77777777" w:rsidTr="00FD0A6D">
        <w:trPr>
          <w:trHeight w:val="284"/>
          <w:jc w:val="center"/>
        </w:trPr>
        <w:tc>
          <w:tcPr>
            <w:tcW w:w="4168" w:type="dxa"/>
            <w:shd w:val="clear" w:color="auto" w:fill="auto"/>
            <w:hideMark/>
          </w:tcPr>
          <w:p w14:paraId="449B34B5" w14:textId="77777777" w:rsidR="003E5BF5" w:rsidRPr="00655316" w:rsidRDefault="003E5BF5" w:rsidP="00DE1921">
            <w:pPr>
              <w:jc w:val="center"/>
              <w:rPr>
                <w:rFonts w:ascii="Arial" w:hAnsi="Arial" w:cs="Arial"/>
                <w:b/>
                <w:sz w:val="24"/>
                <w:szCs w:val="24"/>
              </w:rPr>
            </w:pPr>
          </w:p>
        </w:tc>
        <w:tc>
          <w:tcPr>
            <w:tcW w:w="1243" w:type="dxa"/>
            <w:shd w:val="clear" w:color="auto" w:fill="auto"/>
            <w:noWrap/>
            <w:vAlign w:val="center"/>
            <w:hideMark/>
          </w:tcPr>
          <w:p w14:paraId="1141D880"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44" w:type="dxa"/>
            <w:shd w:val="clear" w:color="auto" w:fill="auto"/>
            <w:noWrap/>
            <w:vAlign w:val="center"/>
            <w:hideMark/>
          </w:tcPr>
          <w:p w14:paraId="261B6AB0"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296" w:type="dxa"/>
            <w:shd w:val="clear" w:color="auto" w:fill="auto"/>
            <w:noWrap/>
            <w:vAlign w:val="center"/>
            <w:hideMark/>
          </w:tcPr>
          <w:p w14:paraId="04D8A0A8"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45" w:type="dxa"/>
            <w:shd w:val="clear" w:color="auto" w:fill="auto"/>
            <w:noWrap/>
            <w:vAlign w:val="center"/>
            <w:hideMark/>
          </w:tcPr>
          <w:p w14:paraId="059801C9"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244" w:type="dxa"/>
            <w:shd w:val="clear" w:color="auto" w:fill="auto"/>
            <w:noWrap/>
            <w:vAlign w:val="center"/>
            <w:hideMark/>
          </w:tcPr>
          <w:p w14:paraId="33892AB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45" w:type="dxa"/>
            <w:shd w:val="clear" w:color="auto" w:fill="auto"/>
            <w:noWrap/>
            <w:vAlign w:val="center"/>
            <w:hideMark/>
          </w:tcPr>
          <w:p w14:paraId="3037F51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245" w:type="dxa"/>
            <w:shd w:val="clear" w:color="auto" w:fill="auto"/>
            <w:noWrap/>
            <w:vAlign w:val="center"/>
            <w:hideMark/>
          </w:tcPr>
          <w:p w14:paraId="6DC2219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45" w:type="dxa"/>
            <w:shd w:val="clear" w:color="auto" w:fill="auto"/>
            <w:noWrap/>
            <w:vAlign w:val="center"/>
            <w:hideMark/>
          </w:tcPr>
          <w:p w14:paraId="4B8F541A"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r>
      <w:tr w:rsidR="003E5BF5" w:rsidRPr="00655316" w14:paraId="7048743E" w14:textId="77777777" w:rsidTr="00FD0A6D">
        <w:trPr>
          <w:trHeight w:val="284"/>
          <w:jc w:val="center"/>
        </w:trPr>
        <w:tc>
          <w:tcPr>
            <w:tcW w:w="4168" w:type="dxa"/>
            <w:shd w:val="clear" w:color="auto" w:fill="auto"/>
            <w:vAlign w:val="center"/>
            <w:hideMark/>
          </w:tcPr>
          <w:p w14:paraId="3FFF7791" w14:textId="77777777" w:rsidR="003E5BF5" w:rsidRPr="00655316" w:rsidRDefault="003E5BF5" w:rsidP="00DE1921">
            <w:pPr>
              <w:rPr>
                <w:rFonts w:ascii="Arial" w:hAnsi="Arial" w:cs="Arial"/>
                <w:b/>
                <w:sz w:val="24"/>
                <w:szCs w:val="24"/>
              </w:rPr>
            </w:pPr>
            <w:r w:rsidRPr="00655316">
              <w:rPr>
                <w:rFonts w:ascii="Arial" w:hAnsi="Arial" w:cs="Arial"/>
                <w:b/>
                <w:sz w:val="24"/>
                <w:szCs w:val="24"/>
              </w:rPr>
              <w:t xml:space="preserve">Opening balance </w:t>
            </w:r>
            <w:r w:rsidRPr="00655316">
              <w:rPr>
                <w:rFonts w:ascii="Arial" w:hAnsi="Arial" w:cs="Arial"/>
                <w:b/>
                <w:sz w:val="24"/>
                <w:szCs w:val="24"/>
                <w:vertAlign w:val="superscript"/>
              </w:rPr>
              <w:t>(</w:t>
            </w:r>
            <w:proofErr w:type="spellStart"/>
            <w:r w:rsidRPr="00655316">
              <w:rPr>
                <w:rFonts w:ascii="Arial" w:hAnsi="Arial" w:cs="Arial"/>
                <w:b/>
                <w:sz w:val="24"/>
                <w:szCs w:val="24"/>
                <w:vertAlign w:val="superscript"/>
              </w:rPr>
              <w:t>i</w:t>
            </w:r>
            <w:proofErr w:type="spellEnd"/>
            <w:r w:rsidRPr="00655316">
              <w:rPr>
                <w:rFonts w:ascii="Arial" w:hAnsi="Arial" w:cs="Arial"/>
                <w:b/>
                <w:sz w:val="24"/>
                <w:szCs w:val="24"/>
                <w:vertAlign w:val="superscript"/>
              </w:rPr>
              <w:t>)</w:t>
            </w:r>
          </w:p>
        </w:tc>
        <w:tc>
          <w:tcPr>
            <w:tcW w:w="1243" w:type="dxa"/>
            <w:shd w:val="clear" w:color="auto" w:fill="auto"/>
            <w:noWrap/>
            <w:vAlign w:val="center"/>
            <w:hideMark/>
          </w:tcPr>
          <w:p w14:paraId="469AD1C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44" w:type="dxa"/>
            <w:shd w:val="clear" w:color="auto" w:fill="auto"/>
            <w:noWrap/>
            <w:vAlign w:val="center"/>
            <w:hideMark/>
          </w:tcPr>
          <w:p w14:paraId="3C6E08BF"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96" w:type="dxa"/>
            <w:shd w:val="clear" w:color="auto" w:fill="auto"/>
            <w:noWrap/>
            <w:vAlign w:val="center"/>
            <w:hideMark/>
          </w:tcPr>
          <w:p w14:paraId="6452583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1,341,790</w:t>
            </w:r>
          </w:p>
        </w:tc>
        <w:tc>
          <w:tcPr>
            <w:tcW w:w="1245" w:type="dxa"/>
            <w:shd w:val="clear" w:color="auto" w:fill="auto"/>
            <w:noWrap/>
            <w:vAlign w:val="center"/>
            <w:hideMark/>
          </w:tcPr>
          <w:p w14:paraId="460FCF4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51,149</w:t>
            </w:r>
          </w:p>
        </w:tc>
        <w:tc>
          <w:tcPr>
            <w:tcW w:w="1244" w:type="dxa"/>
            <w:shd w:val="clear" w:color="auto" w:fill="auto"/>
            <w:noWrap/>
            <w:vAlign w:val="center"/>
            <w:hideMark/>
          </w:tcPr>
          <w:p w14:paraId="678F1288"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4,826</w:t>
            </w:r>
          </w:p>
        </w:tc>
        <w:tc>
          <w:tcPr>
            <w:tcW w:w="1245" w:type="dxa"/>
            <w:shd w:val="clear" w:color="auto" w:fill="auto"/>
            <w:noWrap/>
            <w:vAlign w:val="center"/>
            <w:hideMark/>
          </w:tcPr>
          <w:p w14:paraId="76C6D96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464,650</w:t>
            </w:r>
          </w:p>
        </w:tc>
        <w:tc>
          <w:tcPr>
            <w:tcW w:w="1245" w:type="dxa"/>
            <w:shd w:val="clear" w:color="auto" w:fill="auto"/>
            <w:noWrap/>
            <w:vAlign w:val="center"/>
            <w:hideMark/>
          </w:tcPr>
          <w:p w14:paraId="458F10C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7,108</w:t>
            </w:r>
          </w:p>
        </w:tc>
        <w:tc>
          <w:tcPr>
            <w:tcW w:w="1245" w:type="dxa"/>
            <w:shd w:val="clear" w:color="auto" w:fill="auto"/>
            <w:noWrap/>
            <w:vAlign w:val="center"/>
            <w:hideMark/>
          </w:tcPr>
          <w:p w14:paraId="1C83330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46,793</w:t>
            </w:r>
          </w:p>
        </w:tc>
      </w:tr>
      <w:tr w:rsidR="003E5BF5" w:rsidRPr="00655316" w14:paraId="1039EA5C" w14:textId="77777777" w:rsidTr="00FD0A6D">
        <w:trPr>
          <w:trHeight w:val="284"/>
          <w:jc w:val="center"/>
        </w:trPr>
        <w:tc>
          <w:tcPr>
            <w:tcW w:w="4168" w:type="dxa"/>
            <w:shd w:val="clear" w:color="auto" w:fill="auto"/>
            <w:vAlign w:val="center"/>
            <w:hideMark/>
          </w:tcPr>
          <w:p w14:paraId="26A06849" w14:textId="77777777" w:rsidR="003E5BF5" w:rsidRPr="00655316" w:rsidRDefault="003E5BF5" w:rsidP="00DE1921">
            <w:pPr>
              <w:rPr>
                <w:rFonts w:ascii="Arial" w:hAnsi="Arial" w:cs="Arial"/>
                <w:sz w:val="24"/>
                <w:szCs w:val="24"/>
              </w:rPr>
            </w:pPr>
            <w:r w:rsidRPr="00655316">
              <w:rPr>
                <w:rFonts w:ascii="Arial" w:hAnsi="Arial" w:cs="Arial"/>
                <w:sz w:val="24"/>
                <w:szCs w:val="24"/>
              </w:rPr>
              <w:t xml:space="preserve">Change in accounting policy effecting 1 July 2018 (due to AASB 1059) </w:t>
            </w:r>
            <w:r w:rsidRPr="00655316">
              <w:rPr>
                <w:rFonts w:ascii="Arial" w:hAnsi="Arial" w:cs="Arial"/>
                <w:sz w:val="24"/>
                <w:szCs w:val="24"/>
                <w:vertAlign w:val="superscript"/>
              </w:rPr>
              <w:t>(ii)</w:t>
            </w:r>
          </w:p>
        </w:tc>
        <w:tc>
          <w:tcPr>
            <w:tcW w:w="1243" w:type="dxa"/>
            <w:shd w:val="clear" w:color="auto" w:fill="auto"/>
            <w:noWrap/>
            <w:hideMark/>
          </w:tcPr>
          <w:p w14:paraId="72CD7270"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hideMark/>
          </w:tcPr>
          <w:p w14:paraId="4EAC1C30"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96" w:type="dxa"/>
            <w:shd w:val="clear" w:color="auto" w:fill="auto"/>
            <w:noWrap/>
            <w:hideMark/>
          </w:tcPr>
          <w:p w14:paraId="3BC22DB0"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hideMark/>
          </w:tcPr>
          <w:p w14:paraId="235F8105"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hideMark/>
          </w:tcPr>
          <w:p w14:paraId="21E56C9E"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hideMark/>
          </w:tcPr>
          <w:p w14:paraId="7984AE08"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hideMark/>
          </w:tcPr>
          <w:p w14:paraId="7215516E"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hideMark/>
          </w:tcPr>
          <w:p w14:paraId="36E1D1C9"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287203CD" w14:textId="77777777" w:rsidTr="00FD0A6D">
        <w:trPr>
          <w:trHeight w:val="284"/>
          <w:jc w:val="center"/>
        </w:trPr>
        <w:tc>
          <w:tcPr>
            <w:tcW w:w="4168" w:type="dxa"/>
            <w:shd w:val="clear" w:color="auto" w:fill="auto"/>
            <w:vAlign w:val="center"/>
            <w:hideMark/>
          </w:tcPr>
          <w:p w14:paraId="18E072D6" w14:textId="77777777" w:rsidR="003E5BF5" w:rsidRPr="00655316" w:rsidRDefault="003E5BF5" w:rsidP="00DE1921">
            <w:pPr>
              <w:rPr>
                <w:rFonts w:ascii="Arial" w:hAnsi="Arial" w:cs="Arial"/>
                <w:sz w:val="24"/>
                <w:szCs w:val="24"/>
              </w:rPr>
            </w:pPr>
            <w:r w:rsidRPr="00655316">
              <w:rPr>
                <w:rFonts w:ascii="Arial" w:hAnsi="Arial" w:cs="Arial"/>
                <w:sz w:val="24"/>
                <w:szCs w:val="24"/>
              </w:rPr>
              <w:t>Change in accounting policy effecting 30 June 2019 (due to AASB 1059)</w:t>
            </w:r>
            <w:r w:rsidRPr="00655316">
              <w:rPr>
                <w:rFonts w:ascii="Arial" w:hAnsi="Arial" w:cs="Arial"/>
                <w:sz w:val="24"/>
                <w:szCs w:val="24"/>
                <w:vertAlign w:val="superscript"/>
              </w:rPr>
              <w:t xml:space="preserve"> (iii)</w:t>
            </w:r>
          </w:p>
        </w:tc>
        <w:tc>
          <w:tcPr>
            <w:tcW w:w="1243" w:type="dxa"/>
            <w:shd w:val="clear" w:color="auto" w:fill="auto"/>
            <w:noWrap/>
            <w:hideMark/>
          </w:tcPr>
          <w:p w14:paraId="75A2440C"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hideMark/>
          </w:tcPr>
          <w:p w14:paraId="6D196510"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96" w:type="dxa"/>
            <w:shd w:val="clear" w:color="auto" w:fill="auto"/>
            <w:noWrap/>
            <w:hideMark/>
          </w:tcPr>
          <w:p w14:paraId="0246F573"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hideMark/>
          </w:tcPr>
          <w:p w14:paraId="77430023"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hideMark/>
          </w:tcPr>
          <w:p w14:paraId="606923DE"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hideMark/>
          </w:tcPr>
          <w:p w14:paraId="3C91F4CF"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hideMark/>
          </w:tcPr>
          <w:p w14:paraId="46697806"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hideMark/>
          </w:tcPr>
          <w:p w14:paraId="572E5B51"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4BC49508" w14:textId="77777777" w:rsidTr="00FD0A6D">
        <w:trPr>
          <w:trHeight w:val="284"/>
          <w:jc w:val="center"/>
        </w:trPr>
        <w:tc>
          <w:tcPr>
            <w:tcW w:w="4168" w:type="dxa"/>
            <w:shd w:val="clear" w:color="auto" w:fill="auto"/>
            <w:vAlign w:val="center"/>
            <w:hideMark/>
          </w:tcPr>
          <w:p w14:paraId="39088CFD" w14:textId="77777777" w:rsidR="003E5BF5" w:rsidRPr="00655316" w:rsidRDefault="003E5BF5" w:rsidP="00DE1921">
            <w:pPr>
              <w:rPr>
                <w:rFonts w:ascii="Arial" w:hAnsi="Arial" w:cs="Arial"/>
                <w:sz w:val="24"/>
                <w:szCs w:val="24"/>
              </w:rPr>
            </w:pPr>
            <w:r w:rsidRPr="00655316">
              <w:rPr>
                <w:rFonts w:ascii="Arial" w:hAnsi="Arial" w:cs="Arial"/>
                <w:sz w:val="24"/>
                <w:szCs w:val="24"/>
              </w:rPr>
              <w:t xml:space="preserve">Recognition of right-of-use assets on initial application of AASB 16 effecting 1 July 2019 </w:t>
            </w:r>
            <w:r w:rsidRPr="00655316">
              <w:rPr>
                <w:rFonts w:ascii="Arial" w:hAnsi="Arial" w:cs="Arial"/>
                <w:sz w:val="24"/>
                <w:szCs w:val="24"/>
                <w:vertAlign w:val="superscript"/>
              </w:rPr>
              <w:t>(iv)</w:t>
            </w:r>
          </w:p>
        </w:tc>
        <w:tc>
          <w:tcPr>
            <w:tcW w:w="1243" w:type="dxa"/>
            <w:shd w:val="clear" w:color="auto" w:fill="auto"/>
            <w:noWrap/>
            <w:hideMark/>
          </w:tcPr>
          <w:p w14:paraId="1815A49F"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hideMark/>
          </w:tcPr>
          <w:p w14:paraId="11593205"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96" w:type="dxa"/>
            <w:shd w:val="clear" w:color="auto" w:fill="auto"/>
            <w:noWrap/>
            <w:hideMark/>
          </w:tcPr>
          <w:p w14:paraId="25E09D85"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hideMark/>
          </w:tcPr>
          <w:p w14:paraId="3507B788"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hideMark/>
          </w:tcPr>
          <w:p w14:paraId="0418A97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247,207</w:t>
            </w:r>
          </w:p>
        </w:tc>
        <w:tc>
          <w:tcPr>
            <w:tcW w:w="1245" w:type="dxa"/>
            <w:shd w:val="clear" w:color="auto" w:fill="auto"/>
            <w:noWrap/>
            <w:hideMark/>
          </w:tcPr>
          <w:p w14:paraId="4128D6AC"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hideMark/>
          </w:tcPr>
          <w:p w14:paraId="56C06C09"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hideMark/>
          </w:tcPr>
          <w:p w14:paraId="2EFD7029"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4697C93F" w14:textId="77777777" w:rsidTr="00FD0A6D">
        <w:trPr>
          <w:trHeight w:val="284"/>
          <w:jc w:val="center"/>
        </w:trPr>
        <w:tc>
          <w:tcPr>
            <w:tcW w:w="4168" w:type="dxa"/>
            <w:shd w:val="clear" w:color="auto" w:fill="auto"/>
            <w:vAlign w:val="center"/>
            <w:hideMark/>
          </w:tcPr>
          <w:p w14:paraId="4F964054" w14:textId="77777777" w:rsidR="003E5BF5" w:rsidRPr="00655316" w:rsidRDefault="003E5BF5" w:rsidP="00DE1921">
            <w:pPr>
              <w:rPr>
                <w:rFonts w:ascii="Arial" w:hAnsi="Arial" w:cs="Arial"/>
                <w:b/>
                <w:sz w:val="24"/>
                <w:szCs w:val="24"/>
              </w:rPr>
            </w:pPr>
            <w:r w:rsidRPr="00655316">
              <w:rPr>
                <w:rFonts w:ascii="Arial" w:hAnsi="Arial" w:cs="Arial"/>
                <w:b/>
                <w:sz w:val="24"/>
                <w:szCs w:val="24"/>
              </w:rPr>
              <w:t>Adjusted opening balance</w:t>
            </w:r>
          </w:p>
        </w:tc>
        <w:tc>
          <w:tcPr>
            <w:tcW w:w="1243" w:type="dxa"/>
            <w:shd w:val="clear" w:color="auto" w:fill="auto"/>
            <w:noWrap/>
            <w:vAlign w:val="center"/>
            <w:hideMark/>
          </w:tcPr>
          <w:p w14:paraId="522EA9F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44" w:type="dxa"/>
            <w:shd w:val="clear" w:color="auto" w:fill="auto"/>
            <w:noWrap/>
            <w:vAlign w:val="center"/>
            <w:hideMark/>
          </w:tcPr>
          <w:p w14:paraId="633C0FB9"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96" w:type="dxa"/>
            <w:shd w:val="clear" w:color="auto" w:fill="auto"/>
            <w:noWrap/>
            <w:vAlign w:val="center"/>
            <w:hideMark/>
          </w:tcPr>
          <w:p w14:paraId="12340A9F"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1,341,790</w:t>
            </w:r>
          </w:p>
        </w:tc>
        <w:tc>
          <w:tcPr>
            <w:tcW w:w="1245" w:type="dxa"/>
            <w:shd w:val="clear" w:color="auto" w:fill="auto"/>
            <w:noWrap/>
            <w:vAlign w:val="center"/>
            <w:hideMark/>
          </w:tcPr>
          <w:p w14:paraId="7188242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51,149</w:t>
            </w:r>
          </w:p>
        </w:tc>
        <w:tc>
          <w:tcPr>
            <w:tcW w:w="1244" w:type="dxa"/>
            <w:shd w:val="clear" w:color="auto" w:fill="auto"/>
            <w:noWrap/>
            <w:vAlign w:val="center"/>
            <w:hideMark/>
          </w:tcPr>
          <w:p w14:paraId="0EDF63A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252,033</w:t>
            </w:r>
          </w:p>
        </w:tc>
        <w:tc>
          <w:tcPr>
            <w:tcW w:w="1245" w:type="dxa"/>
            <w:shd w:val="clear" w:color="auto" w:fill="auto"/>
            <w:noWrap/>
            <w:vAlign w:val="center"/>
            <w:hideMark/>
          </w:tcPr>
          <w:p w14:paraId="2AFDD65B"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464,650</w:t>
            </w:r>
          </w:p>
        </w:tc>
        <w:tc>
          <w:tcPr>
            <w:tcW w:w="1245" w:type="dxa"/>
            <w:shd w:val="clear" w:color="auto" w:fill="auto"/>
            <w:noWrap/>
            <w:vAlign w:val="center"/>
            <w:hideMark/>
          </w:tcPr>
          <w:p w14:paraId="671523B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7,108</w:t>
            </w:r>
          </w:p>
        </w:tc>
        <w:tc>
          <w:tcPr>
            <w:tcW w:w="1245" w:type="dxa"/>
            <w:shd w:val="clear" w:color="auto" w:fill="auto"/>
            <w:noWrap/>
            <w:vAlign w:val="center"/>
            <w:hideMark/>
          </w:tcPr>
          <w:p w14:paraId="3109233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46,793</w:t>
            </w:r>
          </w:p>
        </w:tc>
      </w:tr>
      <w:tr w:rsidR="003E5BF5" w:rsidRPr="00655316" w14:paraId="371AB488" w14:textId="77777777" w:rsidTr="00FD0A6D">
        <w:trPr>
          <w:trHeight w:val="284"/>
          <w:jc w:val="center"/>
        </w:trPr>
        <w:tc>
          <w:tcPr>
            <w:tcW w:w="4168" w:type="dxa"/>
            <w:shd w:val="clear" w:color="auto" w:fill="auto"/>
            <w:vAlign w:val="center"/>
            <w:hideMark/>
          </w:tcPr>
          <w:p w14:paraId="48104370" w14:textId="77777777" w:rsidR="003E5BF5" w:rsidRPr="00655316" w:rsidRDefault="003E5BF5" w:rsidP="00DE1921">
            <w:pPr>
              <w:rPr>
                <w:rFonts w:ascii="Arial" w:hAnsi="Arial" w:cs="Arial"/>
                <w:sz w:val="24"/>
                <w:szCs w:val="24"/>
              </w:rPr>
            </w:pPr>
            <w:proofErr w:type="spellStart"/>
            <w:r w:rsidRPr="00655316">
              <w:rPr>
                <w:rFonts w:ascii="Arial" w:hAnsi="Arial" w:cs="Arial"/>
                <w:sz w:val="24"/>
                <w:szCs w:val="24"/>
              </w:rPr>
              <w:t>MoG</w:t>
            </w:r>
            <w:proofErr w:type="spellEnd"/>
            <w:r w:rsidRPr="00655316">
              <w:rPr>
                <w:rFonts w:ascii="Arial" w:hAnsi="Arial" w:cs="Arial"/>
                <w:sz w:val="24"/>
                <w:szCs w:val="24"/>
              </w:rPr>
              <w:t xml:space="preserve"> transfers in</w:t>
            </w:r>
          </w:p>
        </w:tc>
        <w:tc>
          <w:tcPr>
            <w:tcW w:w="1243" w:type="dxa"/>
            <w:shd w:val="clear" w:color="auto" w:fill="auto"/>
            <w:noWrap/>
            <w:vAlign w:val="center"/>
            <w:hideMark/>
          </w:tcPr>
          <w:p w14:paraId="32F7F97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9,619,526</w:t>
            </w:r>
          </w:p>
        </w:tc>
        <w:tc>
          <w:tcPr>
            <w:tcW w:w="1244" w:type="dxa"/>
            <w:shd w:val="clear" w:color="auto" w:fill="auto"/>
            <w:noWrap/>
            <w:vAlign w:val="center"/>
            <w:hideMark/>
          </w:tcPr>
          <w:p w14:paraId="6E29A1D7"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96" w:type="dxa"/>
            <w:shd w:val="clear" w:color="auto" w:fill="auto"/>
            <w:noWrap/>
            <w:vAlign w:val="center"/>
            <w:hideMark/>
          </w:tcPr>
          <w:p w14:paraId="4E32B8F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2,413,470</w:t>
            </w:r>
          </w:p>
        </w:tc>
        <w:tc>
          <w:tcPr>
            <w:tcW w:w="1245" w:type="dxa"/>
            <w:shd w:val="clear" w:color="auto" w:fill="auto"/>
            <w:noWrap/>
            <w:vAlign w:val="center"/>
            <w:hideMark/>
          </w:tcPr>
          <w:p w14:paraId="0AEF430A"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vAlign w:val="center"/>
            <w:hideMark/>
          </w:tcPr>
          <w:p w14:paraId="17EB7F8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630,238</w:t>
            </w:r>
          </w:p>
        </w:tc>
        <w:tc>
          <w:tcPr>
            <w:tcW w:w="1245" w:type="dxa"/>
            <w:shd w:val="clear" w:color="auto" w:fill="auto"/>
            <w:noWrap/>
            <w:vAlign w:val="center"/>
            <w:hideMark/>
          </w:tcPr>
          <w:p w14:paraId="4088D814"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5CD6564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238,729</w:t>
            </w:r>
          </w:p>
        </w:tc>
        <w:tc>
          <w:tcPr>
            <w:tcW w:w="1245" w:type="dxa"/>
            <w:shd w:val="clear" w:color="auto" w:fill="auto"/>
            <w:noWrap/>
            <w:vAlign w:val="center"/>
            <w:hideMark/>
          </w:tcPr>
          <w:p w14:paraId="25B8A18F"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62D34D5B" w14:textId="77777777" w:rsidTr="00FD0A6D">
        <w:trPr>
          <w:trHeight w:val="284"/>
          <w:jc w:val="center"/>
        </w:trPr>
        <w:tc>
          <w:tcPr>
            <w:tcW w:w="4168" w:type="dxa"/>
            <w:shd w:val="clear" w:color="auto" w:fill="auto"/>
            <w:vAlign w:val="center"/>
            <w:hideMark/>
          </w:tcPr>
          <w:p w14:paraId="168C871F" w14:textId="77777777" w:rsidR="003E5BF5" w:rsidRPr="00655316" w:rsidRDefault="003E5BF5" w:rsidP="00DE1921">
            <w:pPr>
              <w:rPr>
                <w:rFonts w:ascii="Arial" w:hAnsi="Arial" w:cs="Arial"/>
                <w:sz w:val="24"/>
                <w:szCs w:val="24"/>
              </w:rPr>
            </w:pPr>
            <w:r w:rsidRPr="00655316">
              <w:rPr>
                <w:rFonts w:ascii="Arial" w:hAnsi="Arial" w:cs="Arial"/>
                <w:sz w:val="24"/>
                <w:szCs w:val="24"/>
              </w:rPr>
              <w:t>Assets received free of charge</w:t>
            </w:r>
          </w:p>
        </w:tc>
        <w:tc>
          <w:tcPr>
            <w:tcW w:w="1243" w:type="dxa"/>
            <w:shd w:val="clear" w:color="auto" w:fill="auto"/>
            <w:noWrap/>
            <w:vAlign w:val="center"/>
            <w:hideMark/>
          </w:tcPr>
          <w:p w14:paraId="28286F3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1,715</w:t>
            </w:r>
          </w:p>
        </w:tc>
        <w:tc>
          <w:tcPr>
            <w:tcW w:w="1244" w:type="dxa"/>
            <w:shd w:val="clear" w:color="auto" w:fill="auto"/>
            <w:noWrap/>
            <w:vAlign w:val="center"/>
            <w:hideMark/>
          </w:tcPr>
          <w:p w14:paraId="323EE78C"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96" w:type="dxa"/>
            <w:shd w:val="clear" w:color="auto" w:fill="auto"/>
            <w:noWrap/>
            <w:vAlign w:val="center"/>
            <w:hideMark/>
          </w:tcPr>
          <w:p w14:paraId="3245AE8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1,017</w:t>
            </w:r>
          </w:p>
        </w:tc>
        <w:tc>
          <w:tcPr>
            <w:tcW w:w="1245" w:type="dxa"/>
            <w:shd w:val="clear" w:color="auto" w:fill="auto"/>
            <w:noWrap/>
            <w:vAlign w:val="center"/>
            <w:hideMark/>
          </w:tcPr>
          <w:p w14:paraId="3645C551"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vAlign w:val="center"/>
            <w:hideMark/>
          </w:tcPr>
          <w:p w14:paraId="2DAF7E75"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409313AA"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65662D55"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1BE60826"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2B5E1B54" w14:textId="77777777" w:rsidTr="00FD0A6D">
        <w:trPr>
          <w:trHeight w:val="284"/>
          <w:jc w:val="center"/>
        </w:trPr>
        <w:tc>
          <w:tcPr>
            <w:tcW w:w="4168" w:type="dxa"/>
            <w:shd w:val="clear" w:color="auto" w:fill="auto"/>
            <w:vAlign w:val="center"/>
            <w:hideMark/>
          </w:tcPr>
          <w:p w14:paraId="5F4B74B2" w14:textId="77777777" w:rsidR="003E5BF5" w:rsidRPr="00655316" w:rsidRDefault="003E5BF5" w:rsidP="00DE1921">
            <w:pPr>
              <w:rPr>
                <w:rFonts w:ascii="Arial" w:hAnsi="Arial" w:cs="Arial"/>
                <w:sz w:val="24"/>
                <w:szCs w:val="24"/>
              </w:rPr>
            </w:pPr>
            <w:r w:rsidRPr="00655316">
              <w:rPr>
                <w:rFonts w:ascii="Arial" w:hAnsi="Arial" w:cs="Arial"/>
                <w:sz w:val="24"/>
                <w:szCs w:val="24"/>
              </w:rPr>
              <w:t>Assets provided free of charge</w:t>
            </w:r>
          </w:p>
        </w:tc>
        <w:tc>
          <w:tcPr>
            <w:tcW w:w="1243" w:type="dxa"/>
            <w:shd w:val="clear" w:color="auto" w:fill="auto"/>
            <w:noWrap/>
            <w:vAlign w:val="center"/>
            <w:hideMark/>
          </w:tcPr>
          <w:p w14:paraId="6CC8CC4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(36)</w:t>
            </w:r>
          </w:p>
        </w:tc>
        <w:tc>
          <w:tcPr>
            <w:tcW w:w="1244" w:type="dxa"/>
            <w:shd w:val="clear" w:color="auto" w:fill="auto"/>
            <w:noWrap/>
            <w:vAlign w:val="center"/>
            <w:hideMark/>
          </w:tcPr>
          <w:p w14:paraId="6E524E35"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96" w:type="dxa"/>
            <w:shd w:val="clear" w:color="auto" w:fill="auto"/>
            <w:noWrap/>
            <w:vAlign w:val="center"/>
            <w:hideMark/>
          </w:tcPr>
          <w:p w14:paraId="668F35E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(224)</w:t>
            </w:r>
          </w:p>
        </w:tc>
        <w:tc>
          <w:tcPr>
            <w:tcW w:w="1245" w:type="dxa"/>
            <w:shd w:val="clear" w:color="auto" w:fill="auto"/>
            <w:noWrap/>
            <w:vAlign w:val="center"/>
            <w:hideMark/>
          </w:tcPr>
          <w:p w14:paraId="1F148384"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vAlign w:val="center"/>
            <w:hideMark/>
          </w:tcPr>
          <w:p w14:paraId="71061E31"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12C1235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(3,259)</w:t>
            </w:r>
          </w:p>
        </w:tc>
        <w:tc>
          <w:tcPr>
            <w:tcW w:w="1245" w:type="dxa"/>
            <w:shd w:val="clear" w:color="auto" w:fill="auto"/>
            <w:noWrap/>
            <w:vAlign w:val="center"/>
            <w:hideMark/>
          </w:tcPr>
          <w:p w14:paraId="16752C2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(174)</w:t>
            </w:r>
          </w:p>
        </w:tc>
        <w:tc>
          <w:tcPr>
            <w:tcW w:w="1245" w:type="dxa"/>
            <w:shd w:val="clear" w:color="auto" w:fill="auto"/>
            <w:noWrap/>
            <w:vAlign w:val="center"/>
            <w:hideMark/>
          </w:tcPr>
          <w:p w14:paraId="282B9775"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69B52324" w14:textId="77777777" w:rsidTr="00FD0A6D">
        <w:trPr>
          <w:trHeight w:val="284"/>
          <w:jc w:val="center"/>
        </w:trPr>
        <w:tc>
          <w:tcPr>
            <w:tcW w:w="4168" w:type="dxa"/>
            <w:shd w:val="clear" w:color="auto" w:fill="auto"/>
            <w:vAlign w:val="center"/>
            <w:hideMark/>
          </w:tcPr>
          <w:p w14:paraId="544B255B" w14:textId="77777777" w:rsidR="003E5BF5" w:rsidRPr="00655316" w:rsidRDefault="003E5BF5" w:rsidP="00DE1921">
            <w:pPr>
              <w:rPr>
                <w:rFonts w:ascii="Arial" w:hAnsi="Arial" w:cs="Arial"/>
                <w:sz w:val="24"/>
                <w:szCs w:val="24"/>
              </w:rPr>
            </w:pPr>
            <w:r w:rsidRPr="00655316">
              <w:rPr>
                <w:rFonts w:ascii="Arial" w:hAnsi="Arial" w:cs="Arial"/>
                <w:sz w:val="24"/>
                <w:szCs w:val="24"/>
              </w:rPr>
              <w:t>Additions</w:t>
            </w:r>
          </w:p>
        </w:tc>
        <w:tc>
          <w:tcPr>
            <w:tcW w:w="1243" w:type="dxa"/>
            <w:shd w:val="clear" w:color="auto" w:fill="auto"/>
            <w:noWrap/>
            <w:vAlign w:val="center"/>
            <w:hideMark/>
          </w:tcPr>
          <w:p w14:paraId="61E4E49B"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vAlign w:val="center"/>
            <w:hideMark/>
          </w:tcPr>
          <w:p w14:paraId="2522F244"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96" w:type="dxa"/>
            <w:shd w:val="clear" w:color="auto" w:fill="auto"/>
            <w:noWrap/>
            <w:vAlign w:val="center"/>
            <w:hideMark/>
          </w:tcPr>
          <w:p w14:paraId="48B4DA0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10,343</w:t>
            </w:r>
          </w:p>
        </w:tc>
        <w:tc>
          <w:tcPr>
            <w:tcW w:w="1245" w:type="dxa"/>
            <w:shd w:val="clear" w:color="auto" w:fill="auto"/>
            <w:noWrap/>
            <w:vAlign w:val="center"/>
            <w:hideMark/>
          </w:tcPr>
          <w:p w14:paraId="5D1CB7F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1,005</w:t>
            </w:r>
          </w:p>
        </w:tc>
        <w:tc>
          <w:tcPr>
            <w:tcW w:w="1244" w:type="dxa"/>
            <w:shd w:val="clear" w:color="auto" w:fill="auto"/>
            <w:noWrap/>
            <w:vAlign w:val="center"/>
            <w:hideMark/>
          </w:tcPr>
          <w:p w14:paraId="31C9BFB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70,630</w:t>
            </w:r>
          </w:p>
        </w:tc>
        <w:tc>
          <w:tcPr>
            <w:tcW w:w="1245" w:type="dxa"/>
            <w:shd w:val="clear" w:color="auto" w:fill="auto"/>
            <w:noWrap/>
            <w:vAlign w:val="center"/>
            <w:hideMark/>
          </w:tcPr>
          <w:p w14:paraId="23CCB28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3,116</w:t>
            </w:r>
          </w:p>
        </w:tc>
        <w:tc>
          <w:tcPr>
            <w:tcW w:w="1245" w:type="dxa"/>
            <w:shd w:val="clear" w:color="auto" w:fill="auto"/>
            <w:noWrap/>
            <w:vAlign w:val="center"/>
            <w:hideMark/>
          </w:tcPr>
          <w:p w14:paraId="7EEA108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64,705</w:t>
            </w:r>
          </w:p>
        </w:tc>
        <w:tc>
          <w:tcPr>
            <w:tcW w:w="1245" w:type="dxa"/>
            <w:shd w:val="clear" w:color="auto" w:fill="auto"/>
            <w:noWrap/>
            <w:vAlign w:val="center"/>
            <w:hideMark/>
          </w:tcPr>
          <w:p w14:paraId="7489E8C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275,309</w:t>
            </w:r>
          </w:p>
        </w:tc>
      </w:tr>
      <w:tr w:rsidR="003E5BF5" w:rsidRPr="00655316" w14:paraId="28714440" w14:textId="77777777" w:rsidTr="00FD0A6D">
        <w:trPr>
          <w:trHeight w:val="284"/>
          <w:jc w:val="center"/>
        </w:trPr>
        <w:tc>
          <w:tcPr>
            <w:tcW w:w="4168" w:type="dxa"/>
            <w:shd w:val="clear" w:color="auto" w:fill="auto"/>
            <w:vAlign w:val="center"/>
            <w:hideMark/>
          </w:tcPr>
          <w:p w14:paraId="6512031A" w14:textId="77777777" w:rsidR="003E5BF5" w:rsidRPr="00655316" w:rsidRDefault="003E5BF5" w:rsidP="00DE1921">
            <w:pPr>
              <w:rPr>
                <w:rFonts w:ascii="Arial" w:hAnsi="Arial" w:cs="Arial"/>
                <w:sz w:val="24"/>
                <w:szCs w:val="24"/>
              </w:rPr>
            </w:pPr>
            <w:r w:rsidRPr="00655316">
              <w:rPr>
                <w:rFonts w:ascii="Arial" w:hAnsi="Arial" w:cs="Arial"/>
                <w:sz w:val="24"/>
                <w:szCs w:val="24"/>
              </w:rPr>
              <w:t>Disposals</w:t>
            </w:r>
          </w:p>
        </w:tc>
        <w:tc>
          <w:tcPr>
            <w:tcW w:w="1243" w:type="dxa"/>
            <w:shd w:val="clear" w:color="auto" w:fill="auto"/>
            <w:noWrap/>
            <w:vAlign w:val="center"/>
            <w:hideMark/>
          </w:tcPr>
          <w:p w14:paraId="7F0DF347"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vAlign w:val="center"/>
            <w:hideMark/>
          </w:tcPr>
          <w:p w14:paraId="553AEE24"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96" w:type="dxa"/>
            <w:shd w:val="clear" w:color="auto" w:fill="auto"/>
            <w:noWrap/>
            <w:vAlign w:val="center"/>
            <w:hideMark/>
          </w:tcPr>
          <w:p w14:paraId="50CEC4F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(59)</w:t>
            </w:r>
          </w:p>
        </w:tc>
        <w:tc>
          <w:tcPr>
            <w:tcW w:w="1245" w:type="dxa"/>
            <w:shd w:val="clear" w:color="auto" w:fill="auto"/>
            <w:noWrap/>
            <w:vAlign w:val="center"/>
            <w:hideMark/>
          </w:tcPr>
          <w:p w14:paraId="2766915E"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vAlign w:val="center"/>
            <w:hideMark/>
          </w:tcPr>
          <w:p w14:paraId="24E39CFD"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4B0A679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(129)</w:t>
            </w:r>
          </w:p>
        </w:tc>
        <w:tc>
          <w:tcPr>
            <w:tcW w:w="1245" w:type="dxa"/>
            <w:shd w:val="clear" w:color="auto" w:fill="auto"/>
            <w:noWrap/>
            <w:vAlign w:val="center"/>
            <w:hideMark/>
          </w:tcPr>
          <w:p w14:paraId="6934988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(3,640)</w:t>
            </w:r>
          </w:p>
        </w:tc>
        <w:tc>
          <w:tcPr>
            <w:tcW w:w="1245" w:type="dxa"/>
            <w:shd w:val="clear" w:color="auto" w:fill="auto"/>
            <w:noWrap/>
            <w:vAlign w:val="center"/>
            <w:hideMark/>
          </w:tcPr>
          <w:p w14:paraId="21CBF48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(847)</w:t>
            </w:r>
          </w:p>
        </w:tc>
      </w:tr>
      <w:tr w:rsidR="003E5BF5" w:rsidRPr="00655316" w14:paraId="17A334D4" w14:textId="77777777" w:rsidTr="00FD0A6D">
        <w:trPr>
          <w:trHeight w:val="284"/>
          <w:jc w:val="center"/>
        </w:trPr>
        <w:tc>
          <w:tcPr>
            <w:tcW w:w="4168" w:type="dxa"/>
            <w:shd w:val="clear" w:color="auto" w:fill="auto"/>
            <w:vAlign w:val="center"/>
            <w:hideMark/>
          </w:tcPr>
          <w:p w14:paraId="1C54173B" w14:textId="77777777" w:rsidR="003E5BF5" w:rsidRPr="00655316" w:rsidRDefault="003E5BF5" w:rsidP="00DE1921">
            <w:pPr>
              <w:rPr>
                <w:rFonts w:ascii="Arial" w:hAnsi="Arial" w:cs="Arial"/>
                <w:sz w:val="24"/>
                <w:szCs w:val="24"/>
              </w:rPr>
            </w:pPr>
            <w:r w:rsidRPr="00655316">
              <w:rPr>
                <w:rFonts w:ascii="Arial" w:hAnsi="Arial" w:cs="Arial"/>
                <w:sz w:val="24"/>
                <w:szCs w:val="24"/>
              </w:rPr>
              <w:t>Depreciation expense</w:t>
            </w:r>
          </w:p>
        </w:tc>
        <w:tc>
          <w:tcPr>
            <w:tcW w:w="1243" w:type="dxa"/>
            <w:shd w:val="clear" w:color="auto" w:fill="auto"/>
            <w:noWrap/>
            <w:vAlign w:val="center"/>
            <w:hideMark/>
          </w:tcPr>
          <w:p w14:paraId="610BECF3"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vAlign w:val="center"/>
            <w:hideMark/>
          </w:tcPr>
          <w:p w14:paraId="218E2129"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96" w:type="dxa"/>
            <w:shd w:val="clear" w:color="auto" w:fill="auto"/>
            <w:noWrap/>
            <w:vAlign w:val="center"/>
            <w:hideMark/>
          </w:tcPr>
          <w:p w14:paraId="649AF78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(153,170)</w:t>
            </w:r>
          </w:p>
        </w:tc>
        <w:tc>
          <w:tcPr>
            <w:tcW w:w="1245" w:type="dxa"/>
            <w:shd w:val="clear" w:color="auto" w:fill="auto"/>
            <w:noWrap/>
            <w:vAlign w:val="center"/>
            <w:hideMark/>
          </w:tcPr>
          <w:p w14:paraId="2817343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(1,074)</w:t>
            </w:r>
          </w:p>
        </w:tc>
        <w:tc>
          <w:tcPr>
            <w:tcW w:w="1244" w:type="dxa"/>
            <w:shd w:val="clear" w:color="auto" w:fill="auto"/>
            <w:noWrap/>
            <w:vAlign w:val="center"/>
            <w:hideMark/>
          </w:tcPr>
          <w:p w14:paraId="1D3AD59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(34,910)</w:t>
            </w:r>
          </w:p>
        </w:tc>
        <w:tc>
          <w:tcPr>
            <w:tcW w:w="1245" w:type="dxa"/>
            <w:shd w:val="clear" w:color="auto" w:fill="auto"/>
            <w:noWrap/>
            <w:vAlign w:val="center"/>
            <w:hideMark/>
          </w:tcPr>
          <w:p w14:paraId="75217AE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(11,162)</w:t>
            </w:r>
          </w:p>
        </w:tc>
        <w:tc>
          <w:tcPr>
            <w:tcW w:w="1245" w:type="dxa"/>
            <w:shd w:val="clear" w:color="auto" w:fill="auto"/>
            <w:noWrap/>
            <w:vAlign w:val="center"/>
            <w:hideMark/>
          </w:tcPr>
          <w:p w14:paraId="20755A8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(47,394)</w:t>
            </w:r>
          </w:p>
        </w:tc>
        <w:tc>
          <w:tcPr>
            <w:tcW w:w="1245" w:type="dxa"/>
            <w:shd w:val="clear" w:color="auto" w:fill="auto"/>
            <w:noWrap/>
            <w:vAlign w:val="center"/>
            <w:hideMark/>
          </w:tcPr>
          <w:p w14:paraId="511E6F5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(5,712)</w:t>
            </w:r>
          </w:p>
        </w:tc>
      </w:tr>
      <w:tr w:rsidR="003E5BF5" w:rsidRPr="00655316" w14:paraId="0192D8EA" w14:textId="77777777" w:rsidTr="00FD0A6D">
        <w:trPr>
          <w:trHeight w:val="284"/>
          <w:jc w:val="center"/>
        </w:trPr>
        <w:tc>
          <w:tcPr>
            <w:tcW w:w="4168" w:type="dxa"/>
            <w:shd w:val="clear" w:color="auto" w:fill="auto"/>
            <w:vAlign w:val="center"/>
            <w:hideMark/>
          </w:tcPr>
          <w:p w14:paraId="6B2E6E06" w14:textId="77777777" w:rsidR="003E5BF5" w:rsidRPr="00655316" w:rsidRDefault="003E5BF5" w:rsidP="00DE1921">
            <w:pPr>
              <w:rPr>
                <w:rFonts w:ascii="Arial" w:hAnsi="Arial" w:cs="Arial"/>
                <w:sz w:val="24"/>
                <w:szCs w:val="24"/>
              </w:rPr>
            </w:pPr>
            <w:r w:rsidRPr="00655316">
              <w:rPr>
                <w:rFonts w:ascii="Arial" w:hAnsi="Arial" w:cs="Arial"/>
                <w:sz w:val="24"/>
                <w:szCs w:val="24"/>
              </w:rPr>
              <w:t>Assets provided as contributed capital</w:t>
            </w:r>
          </w:p>
        </w:tc>
        <w:tc>
          <w:tcPr>
            <w:tcW w:w="1243" w:type="dxa"/>
            <w:shd w:val="clear" w:color="auto" w:fill="auto"/>
            <w:noWrap/>
            <w:vAlign w:val="center"/>
            <w:hideMark/>
          </w:tcPr>
          <w:p w14:paraId="6F3FC12E"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vAlign w:val="center"/>
            <w:hideMark/>
          </w:tcPr>
          <w:p w14:paraId="7BE2FC37"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96" w:type="dxa"/>
            <w:shd w:val="clear" w:color="auto" w:fill="auto"/>
            <w:noWrap/>
            <w:vAlign w:val="center"/>
            <w:hideMark/>
          </w:tcPr>
          <w:p w14:paraId="4DF2C99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(223)</w:t>
            </w:r>
          </w:p>
        </w:tc>
        <w:tc>
          <w:tcPr>
            <w:tcW w:w="1245" w:type="dxa"/>
            <w:shd w:val="clear" w:color="auto" w:fill="auto"/>
            <w:noWrap/>
            <w:vAlign w:val="center"/>
            <w:hideMark/>
          </w:tcPr>
          <w:p w14:paraId="762C3FDA"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vAlign w:val="center"/>
            <w:hideMark/>
          </w:tcPr>
          <w:p w14:paraId="1A9A8F8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(350,395)</w:t>
            </w:r>
          </w:p>
        </w:tc>
        <w:tc>
          <w:tcPr>
            <w:tcW w:w="1245" w:type="dxa"/>
            <w:shd w:val="clear" w:color="auto" w:fill="auto"/>
            <w:noWrap/>
            <w:vAlign w:val="center"/>
            <w:hideMark/>
          </w:tcPr>
          <w:p w14:paraId="3680CEF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(21,708)</w:t>
            </w:r>
          </w:p>
        </w:tc>
        <w:tc>
          <w:tcPr>
            <w:tcW w:w="1245" w:type="dxa"/>
            <w:shd w:val="clear" w:color="auto" w:fill="auto"/>
            <w:noWrap/>
            <w:vAlign w:val="center"/>
            <w:hideMark/>
          </w:tcPr>
          <w:p w14:paraId="068F9D11"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4E893A6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(267,021)</w:t>
            </w:r>
          </w:p>
        </w:tc>
      </w:tr>
      <w:tr w:rsidR="003E5BF5" w:rsidRPr="00655316" w14:paraId="46A087E2" w14:textId="77777777" w:rsidTr="00FD0A6D">
        <w:trPr>
          <w:trHeight w:val="284"/>
          <w:jc w:val="center"/>
        </w:trPr>
        <w:tc>
          <w:tcPr>
            <w:tcW w:w="4168" w:type="dxa"/>
            <w:shd w:val="clear" w:color="auto" w:fill="auto"/>
            <w:noWrap/>
            <w:vAlign w:val="center"/>
            <w:hideMark/>
          </w:tcPr>
          <w:p w14:paraId="79984BC4" w14:textId="77777777" w:rsidR="003E5BF5" w:rsidRPr="00655316" w:rsidRDefault="003E5BF5" w:rsidP="00DE1921">
            <w:pPr>
              <w:rPr>
                <w:rFonts w:ascii="Arial" w:hAnsi="Arial" w:cs="Arial"/>
                <w:sz w:val="24"/>
                <w:szCs w:val="24"/>
              </w:rPr>
            </w:pPr>
            <w:r w:rsidRPr="00655316">
              <w:rPr>
                <w:rFonts w:ascii="Arial" w:hAnsi="Arial" w:cs="Arial"/>
                <w:sz w:val="24"/>
                <w:szCs w:val="24"/>
              </w:rPr>
              <w:t>Transfers to assets classified as held for sale</w:t>
            </w:r>
          </w:p>
        </w:tc>
        <w:tc>
          <w:tcPr>
            <w:tcW w:w="1243" w:type="dxa"/>
            <w:shd w:val="clear" w:color="auto" w:fill="auto"/>
            <w:noWrap/>
            <w:vAlign w:val="center"/>
            <w:hideMark/>
          </w:tcPr>
          <w:p w14:paraId="629F9856"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vAlign w:val="center"/>
            <w:hideMark/>
          </w:tcPr>
          <w:p w14:paraId="1FA40378"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96" w:type="dxa"/>
            <w:shd w:val="clear" w:color="auto" w:fill="auto"/>
            <w:noWrap/>
            <w:vAlign w:val="center"/>
            <w:hideMark/>
          </w:tcPr>
          <w:p w14:paraId="7225DF78"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31FAE65F"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vAlign w:val="center"/>
            <w:hideMark/>
          </w:tcPr>
          <w:p w14:paraId="0164940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(114)</w:t>
            </w:r>
          </w:p>
        </w:tc>
        <w:tc>
          <w:tcPr>
            <w:tcW w:w="1245" w:type="dxa"/>
            <w:shd w:val="clear" w:color="auto" w:fill="auto"/>
            <w:noWrap/>
            <w:vAlign w:val="center"/>
            <w:hideMark/>
          </w:tcPr>
          <w:p w14:paraId="0A8F3E9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(27)</w:t>
            </w:r>
          </w:p>
        </w:tc>
        <w:tc>
          <w:tcPr>
            <w:tcW w:w="1245" w:type="dxa"/>
            <w:shd w:val="clear" w:color="auto" w:fill="auto"/>
            <w:noWrap/>
            <w:vAlign w:val="center"/>
            <w:hideMark/>
          </w:tcPr>
          <w:p w14:paraId="345FDD60"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5CBC80A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(17)</w:t>
            </w:r>
          </w:p>
        </w:tc>
      </w:tr>
      <w:tr w:rsidR="003E5BF5" w:rsidRPr="00655316" w14:paraId="150B6120" w14:textId="77777777" w:rsidTr="00FD0A6D">
        <w:trPr>
          <w:trHeight w:val="284"/>
          <w:jc w:val="center"/>
        </w:trPr>
        <w:tc>
          <w:tcPr>
            <w:tcW w:w="4168" w:type="dxa"/>
            <w:shd w:val="clear" w:color="auto" w:fill="auto"/>
            <w:vAlign w:val="center"/>
            <w:hideMark/>
          </w:tcPr>
          <w:p w14:paraId="1789B8FA" w14:textId="77777777" w:rsidR="003E5BF5" w:rsidRPr="00655316" w:rsidRDefault="003E5BF5" w:rsidP="00DE1921">
            <w:pPr>
              <w:rPr>
                <w:rFonts w:ascii="Arial" w:hAnsi="Arial" w:cs="Arial"/>
                <w:sz w:val="24"/>
                <w:szCs w:val="24"/>
              </w:rPr>
            </w:pPr>
            <w:r w:rsidRPr="00655316">
              <w:rPr>
                <w:rFonts w:ascii="Arial" w:hAnsi="Arial" w:cs="Arial"/>
                <w:sz w:val="24"/>
                <w:szCs w:val="24"/>
              </w:rPr>
              <w:t>Net transfers (to)/from government entities</w:t>
            </w:r>
          </w:p>
        </w:tc>
        <w:tc>
          <w:tcPr>
            <w:tcW w:w="1243" w:type="dxa"/>
            <w:shd w:val="clear" w:color="auto" w:fill="auto"/>
            <w:noWrap/>
            <w:vAlign w:val="center"/>
            <w:hideMark/>
          </w:tcPr>
          <w:p w14:paraId="198A1A6D"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vAlign w:val="center"/>
            <w:hideMark/>
          </w:tcPr>
          <w:p w14:paraId="622485A3"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96" w:type="dxa"/>
            <w:shd w:val="clear" w:color="auto" w:fill="auto"/>
            <w:noWrap/>
            <w:vAlign w:val="center"/>
            <w:hideMark/>
          </w:tcPr>
          <w:p w14:paraId="2E27A757"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424B8860"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vAlign w:val="center"/>
            <w:hideMark/>
          </w:tcPr>
          <w:p w14:paraId="66BBA78F"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48180D3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(426,637)</w:t>
            </w:r>
          </w:p>
        </w:tc>
        <w:tc>
          <w:tcPr>
            <w:tcW w:w="1245" w:type="dxa"/>
            <w:shd w:val="clear" w:color="auto" w:fill="auto"/>
            <w:noWrap/>
            <w:vAlign w:val="center"/>
            <w:hideMark/>
          </w:tcPr>
          <w:p w14:paraId="5DC0B367"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44AF52E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(41,149)</w:t>
            </w:r>
          </w:p>
        </w:tc>
      </w:tr>
      <w:tr w:rsidR="003E5BF5" w:rsidRPr="00655316" w14:paraId="22CD43BB" w14:textId="77777777" w:rsidTr="00FD0A6D">
        <w:trPr>
          <w:trHeight w:val="284"/>
          <w:jc w:val="center"/>
        </w:trPr>
        <w:tc>
          <w:tcPr>
            <w:tcW w:w="4168" w:type="dxa"/>
            <w:shd w:val="clear" w:color="auto" w:fill="auto"/>
            <w:vAlign w:val="center"/>
            <w:hideMark/>
          </w:tcPr>
          <w:p w14:paraId="7099C4DD" w14:textId="77777777" w:rsidR="003E5BF5" w:rsidRPr="00655316" w:rsidRDefault="003E5BF5" w:rsidP="00DE1921">
            <w:pPr>
              <w:rPr>
                <w:rFonts w:ascii="Arial" w:hAnsi="Arial" w:cs="Arial"/>
                <w:sz w:val="24"/>
                <w:szCs w:val="24"/>
              </w:rPr>
            </w:pPr>
            <w:r w:rsidRPr="00655316">
              <w:rPr>
                <w:rFonts w:ascii="Arial" w:hAnsi="Arial" w:cs="Arial"/>
                <w:sz w:val="24"/>
                <w:szCs w:val="24"/>
              </w:rPr>
              <w:t>Net revaluation increments/decrements</w:t>
            </w:r>
          </w:p>
        </w:tc>
        <w:tc>
          <w:tcPr>
            <w:tcW w:w="1243" w:type="dxa"/>
            <w:shd w:val="clear" w:color="auto" w:fill="auto"/>
            <w:noWrap/>
            <w:vAlign w:val="center"/>
            <w:hideMark/>
          </w:tcPr>
          <w:p w14:paraId="562253F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4,973</w:t>
            </w:r>
          </w:p>
        </w:tc>
        <w:tc>
          <w:tcPr>
            <w:tcW w:w="1244" w:type="dxa"/>
            <w:shd w:val="clear" w:color="auto" w:fill="auto"/>
            <w:noWrap/>
            <w:vAlign w:val="center"/>
            <w:hideMark/>
          </w:tcPr>
          <w:p w14:paraId="7DFCD491"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96" w:type="dxa"/>
            <w:shd w:val="clear" w:color="auto" w:fill="auto"/>
            <w:noWrap/>
            <w:vAlign w:val="center"/>
            <w:hideMark/>
          </w:tcPr>
          <w:p w14:paraId="6773BFB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158,216</w:t>
            </w:r>
          </w:p>
        </w:tc>
        <w:tc>
          <w:tcPr>
            <w:tcW w:w="1245" w:type="dxa"/>
            <w:shd w:val="clear" w:color="auto" w:fill="auto"/>
            <w:noWrap/>
            <w:vAlign w:val="center"/>
            <w:hideMark/>
          </w:tcPr>
          <w:p w14:paraId="5E8E2E23"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vAlign w:val="center"/>
            <w:hideMark/>
          </w:tcPr>
          <w:p w14:paraId="0F8CD51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68,274</w:t>
            </w:r>
          </w:p>
        </w:tc>
        <w:tc>
          <w:tcPr>
            <w:tcW w:w="1245" w:type="dxa"/>
            <w:shd w:val="clear" w:color="auto" w:fill="auto"/>
            <w:noWrap/>
            <w:vAlign w:val="center"/>
            <w:hideMark/>
          </w:tcPr>
          <w:p w14:paraId="28D70402"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5BC18CD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(2,656)</w:t>
            </w:r>
          </w:p>
        </w:tc>
        <w:tc>
          <w:tcPr>
            <w:tcW w:w="1245" w:type="dxa"/>
            <w:shd w:val="clear" w:color="auto" w:fill="auto"/>
            <w:noWrap/>
            <w:vAlign w:val="center"/>
            <w:hideMark/>
          </w:tcPr>
          <w:p w14:paraId="2B45760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r>
      <w:tr w:rsidR="003E5BF5" w:rsidRPr="00655316" w14:paraId="313DE57D" w14:textId="77777777" w:rsidTr="00FD0A6D">
        <w:trPr>
          <w:trHeight w:val="284"/>
          <w:jc w:val="center"/>
        </w:trPr>
        <w:tc>
          <w:tcPr>
            <w:tcW w:w="4168" w:type="dxa"/>
            <w:shd w:val="clear" w:color="auto" w:fill="auto"/>
            <w:vAlign w:val="center"/>
            <w:hideMark/>
          </w:tcPr>
          <w:p w14:paraId="37AC3354" w14:textId="77777777" w:rsidR="003E5BF5" w:rsidRPr="00655316" w:rsidRDefault="003E5BF5" w:rsidP="00DE1921">
            <w:pPr>
              <w:rPr>
                <w:rFonts w:ascii="Arial" w:hAnsi="Arial" w:cs="Arial"/>
                <w:sz w:val="24"/>
                <w:szCs w:val="24"/>
              </w:rPr>
            </w:pPr>
            <w:r w:rsidRPr="00655316">
              <w:rPr>
                <w:rFonts w:ascii="Arial" w:hAnsi="Arial" w:cs="Arial"/>
                <w:sz w:val="24"/>
                <w:szCs w:val="24"/>
              </w:rPr>
              <w:t>Transfer between classes</w:t>
            </w:r>
          </w:p>
        </w:tc>
        <w:tc>
          <w:tcPr>
            <w:tcW w:w="1243" w:type="dxa"/>
            <w:shd w:val="clear" w:color="auto" w:fill="auto"/>
            <w:noWrap/>
            <w:vAlign w:val="center"/>
            <w:hideMark/>
          </w:tcPr>
          <w:p w14:paraId="6439E18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296,141</w:t>
            </w:r>
          </w:p>
        </w:tc>
        <w:tc>
          <w:tcPr>
            <w:tcW w:w="1244" w:type="dxa"/>
            <w:shd w:val="clear" w:color="auto" w:fill="auto"/>
            <w:noWrap/>
            <w:vAlign w:val="center"/>
            <w:hideMark/>
          </w:tcPr>
          <w:p w14:paraId="1B8EB55E"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96" w:type="dxa"/>
            <w:shd w:val="clear" w:color="auto" w:fill="auto"/>
            <w:noWrap/>
            <w:vAlign w:val="center"/>
            <w:hideMark/>
          </w:tcPr>
          <w:p w14:paraId="4CD0942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(1,246,249)</w:t>
            </w:r>
          </w:p>
        </w:tc>
        <w:tc>
          <w:tcPr>
            <w:tcW w:w="1245" w:type="dxa"/>
            <w:shd w:val="clear" w:color="auto" w:fill="auto"/>
            <w:noWrap/>
            <w:vAlign w:val="center"/>
            <w:hideMark/>
          </w:tcPr>
          <w:p w14:paraId="78CFFD5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1,291,716</w:t>
            </w:r>
          </w:p>
        </w:tc>
        <w:tc>
          <w:tcPr>
            <w:tcW w:w="1244" w:type="dxa"/>
            <w:shd w:val="clear" w:color="auto" w:fill="auto"/>
            <w:noWrap/>
            <w:vAlign w:val="center"/>
            <w:hideMark/>
          </w:tcPr>
          <w:p w14:paraId="5E380C9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(2,627)</w:t>
            </w:r>
          </w:p>
        </w:tc>
        <w:tc>
          <w:tcPr>
            <w:tcW w:w="1245" w:type="dxa"/>
            <w:shd w:val="clear" w:color="auto" w:fill="auto"/>
            <w:noWrap/>
            <w:vAlign w:val="center"/>
            <w:hideMark/>
          </w:tcPr>
          <w:p w14:paraId="2748BA7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(14)</w:t>
            </w:r>
          </w:p>
        </w:tc>
        <w:tc>
          <w:tcPr>
            <w:tcW w:w="1245" w:type="dxa"/>
            <w:shd w:val="clear" w:color="auto" w:fill="auto"/>
            <w:noWrap/>
            <w:vAlign w:val="center"/>
            <w:hideMark/>
          </w:tcPr>
          <w:p w14:paraId="2C26B330"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63B4FC3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(248)</w:t>
            </w:r>
          </w:p>
        </w:tc>
      </w:tr>
      <w:tr w:rsidR="003E5BF5" w:rsidRPr="00655316" w14:paraId="676740B4" w14:textId="77777777" w:rsidTr="00FD0A6D">
        <w:trPr>
          <w:trHeight w:val="284"/>
          <w:jc w:val="center"/>
        </w:trPr>
        <w:tc>
          <w:tcPr>
            <w:tcW w:w="4168" w:type="dxa"/>
            <w:shd w:val="clear" w:color="auto" w:fill="auto"/>
            <w:vAlign w:val="center"/>
            <w:hideMark/>
          </w:tcPr>
          <w:p w14:paraId="2E99B5C4" w14:textId="77777777" w:rsidR="003E5BF5" w:rsidRPr="00655316" w:rsidRDefault="003E5BF5" w:rsidP="00DE1921">
            <w:pPr>
              <w:rPr>
                <w:rFonts w:ascii="Arial" w:hAnsi="Arial" w:cs="Arial"/>
                <w:sz w:val="24"/>
                <w:szCs w:val="24"/>
              </w:rPr>
            </w:pPr>
            <w:r w:rsidRPr="00655316">
              <w:rPr>
                <w:rFonts w:ascii="Arial" w:hAnsi="Arial" w:cs="Arial"/>
                <w:sz w:val="24"/>
                <w:szCs w:val="24"/>
              </w:rPr>
              <w:t>Recognition/(derecognition)</w:t>
            </w:r>
          </w:p>
        </w:tc>
        <w:tc>
          <w:tcPr>
            <w:tcW w:w="1243" w:type="dxa"/>
            <w:shd w:val="clear" w:color="auto" w:fill="auto"/>
            <w:noWrap/>
            <w:vAlign w:val="center"/>
            <w:hideMark/>
          </w:tcPr>
          <w:p w14:paraId="59DEF35F"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4" w:type="dxa"/>
            <w:shd w:val="clear" w:color="auto" w:fill="auto"/>
            <w:noWrap/>
            <w:vAlign w:val="center"/>
            <w:hideMark/>
          </w:tcPr>
          <w:p w14:paraId="592B752D"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96" w:type="dxa"/>
            <w:shd w:val="clear" w:color="auto" w:fill="auto"/>
            <w:noWrap/>
            <w:vAlign w:val="center"/>
            <w:hideMark/>
          </w:tcPr>
          <w:p w14:paraId="733B2E3D"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4069D3C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(1,005)</w:t>
            </w:r>
          </w:p>
        </w:tc>
        <w:tc>
          <w:tcPr>
            <w:tcW w:w="1244" w:type="dxa"/>
            <w:shd w:val="clear" w:color="auto" w:fill="auto"/>
            <w:noWrap/>
            <w:vAlign w:val="center"/>
            <w:hideMark/>
          </w:tcPr>
          <w:p w14:paraId="36EDFEEA"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63592262"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6D88FF76"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c>
          <w:tcPr>
            <w:tcW w:w="1245" w:type="dxa"/>
            <w:shd w:val="clear" w:color="auto" w:fill="auto"/>
            <w:noWrap/>
            <w:vAlign w:val="center"/>
            <w:hideMark/>
          </w:tcPr>
          <w:p w14:paraId="3BBD475B" w14:textId="77777777" w:rsidR="003E5BF5" w:rsidRPr="00655316" w:rsidRDefault="003E5BF5" w:rsidP="00DE1921">
            <w:pPr>
              <w:jc w:val="right"/>
              <w:rPr>
                <w:rFonts w:ascii="Arial" w:hAnsi="Arial" w:cs="Arial"/>
                <w:sz w:val="24"/>
                <w:szCs w:val="24"/>
              </w:rPr>
            </w:pPr>
            <w:r w:rsidRPr="00655316">
              <w:rPr>
                <w:rFonts w:ascii="Arial" w:hAnsi="Arial" w:cs="Arial"/>
                <w:b/>
                <w:sz w:val="24"/>
                <w:szCs w:val="24"/>
              </w:rPr>
              <w:t>-</w:t>
            </w:r>
          </w:p>
        </w:tc>
      </w:tr>
      <w:tr w:rsidR="003E5BF5" w:rsidRPr="00655316" w14:paraId="083606EA" w14:textId="77777777" w:rsidTr="00FD0A6D">
        <w:trPr>
          <w:trHeight w:val="284"/>
          <w:jc w:val="center"/>
        </w:trPr>
        <w:tc>
          <w:tcPr>
            <w:tcW w:w="4168" w:type="dxa"/>
            <w:tcBorders>
              <w:bottom w:val="single" w:sz="4" w:space="0" w:color="auto"/>
            </w:tcBorders>
            <w:shd w:val="clear" w:color="auto" w:fill="auto"/>
            <w:vAlign w:val="center"/>
            <w:hideMark/>
          </w:tcPr>
          <w:p w14:paraId="7F2A20A3" w14:textId="77777777" w:rsidR="003E5BF5" w:rsidRPr="00655316" w:rsidRDefault="003E5BF5" w:rsidP="00DE1921">
            <w:pPr>
              <w:rPr>
                <w:rFonts w:ascii="Arial" w:hAnsi="Arial" w:cs="Arial"/>
                <w:b/>
                <w:sz w:val="24"/>
                <w:szCs w:val="24"/>
              </w:rPr>
            </w:pPr>
            <w:r w:rsidRPr="00655316">
              <w:rPr>
                <w:rFonts w:ascii="Arial" w:hAnsi="Arial" w:cs="Arial"/>
                <w:b/>
                <w:sz w:val="24"/>
                <w:szCs w:val="24"/>
              </w:rPr>
              <w:t>Closing balance</w:t>
            </w:r>
          </w:p>
        </w:tc>
        <w:tc>
          <w:tcPr>
            <w:tcW w:w="1243" w:type="dxa"/>
            <w:tcBorders>
              <w:bottom w:val="single" w:sz="4" w:space="0" w:color="auto"/>
            </w:tcBorders>
            <w:shd w:val="clear" w:color="auto" w:fill="auto"/>
            <w:noWrap/>
            <w:vAlign w:val="center"/>
            <w:hideMark/>
          </w:tcPr>
          <w:p w14:paraId="0E3318F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9,922,320</w:t>
            </w:r>
          </w:p>
        </w:tc>
        <w:tc>
          <w:tcPr>
            <w:tcW w:w="1244" w:type="dxa"/>
            <w:tcBorders>
              <w:bottom w:val="single" w:sz="4" w:space="0" w:color="auto"/>
            </w:tcBorders>
            <w:shd w:val="clear" w:color="auto" w:fill="auto"/>
            <w:noWrap/>
            <w:vAlign w:val="center"/>
            <w:hideMark/>
          </w:tcPr>
          <w:p w14:paraId="59513FB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96" w:type="dxa"/>
            <w:tcBorders>
              <w:bottom w:val="single" w:sz="4" w:space="0" w:color="auto"/>
            </w:tcBorders>
            <w:shd w:val="clear" w:color="auto" w:fill="auto"/>
            <w:noWrap/>
            <w:vAlign w:val="center"/>
            <w:hideMark/>
          </w:tcPr>
          <w:p w14:paraId="1D05A7E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2,524,912</w:t>
            </w:r>
          </w:p>
        </w:tc>
        <w:tc>
          <w:tcPr>
            <w:tcW w:w="1245" w:type="dxa"/>
            <w:tcBorders>
              <w:bottom w:val="single" w:sz="4" w:space="0" w:color="auto"/>
            </w:tcBorders>
            <w:shd w:val="clear" w:color="auto" w:fill="auto"/>
            <w:noWrap/>
            <w:vAlign w:val="center"/>
            <w:hideMark/>
          </w:tcPr>
          <w:p w14:paraId="7D07BFC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1,341,790</w:t>
            </w:r>
          </w:p>
        </w:tc>
        <w:tc>
          <w:tcPr>
            <w:tcW w:w="1244" w:type="dxa"/>
            <w:tcBorders>
              <w:bottom w:val="single" w:sz="4" w:space="0" w:color="auto"/>
            </w:tcBorders>
            <w:shd w:val="clear" w:color="auto" w:fill="auto"/>
            <w:noWrap/>
            <w:vAlign w:val="center"/>
            <w:hideMark/>
          </w:tcPr>
          <w:p w14:paraId="2D562F1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633,130</w:t>
            </w:r>
          </w:p>
        </w:tc>
        <w:tc>
          <w:tcPr>
            <w:tcW w:w="1245" w:type="dxa"/>
            <w:tcBorders>
              <w:bottom w:val="single" w:sz="4" w:space="0" w:color="auto"/>
            </w:tcBorders>
            <w:shd w:val="clear" w:color="auto" w:fill="auto"/>
            <w:noWrap/>
            <w:vAlign w:val="center"/>
            <w:hideMark/>
          </w:tcPr>
          <w:p w14:paraId="5E590C2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4,826</w:t>
            </w:r>
          </w:p>
        </w:tc>
        <w:tc>
          <w:tcPr>
            <w:tcW w:w="1245" w:type="dxa"/>
            <w:tcBorders>
              <w:bottom w:val="single" w:sz="4" w:space="0" w:color="auto"/>
            </w:tcBorders>
            <w:shd w:val="clear" w:color="auto" w:fill="auto"/>
            <w:noWrap/>
            <w:vAlign w:val="center"/>
            <w:hideMark/>
          </w:tcPr>
          <w:p w14:paraId="1934E222"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256,679</w:t>
            </w:r>
          </w:p>
        </w:tc>
        <w:tc>
          <w:tcPr>
            <w:tcW w:w="1245" w:type="dxa"/>
            <w:tcBorders>
              <w:bottom w:val="single" w:sz="4" w:space="0" w:color="auto"/>
            </w:tcBorders>
            <w:shd w:val="clear" w:color="auto" w:fill="auto"/>
            <w:noWrap/>
            <w:vAlign w:val="center"/>
            <w:hideMark/>
          </w:tcPr>
          <w:p w14:paraId="1CD3E648"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7,108</w:t>
            </w:r>
          </w:p>
        </w:tc>
      </w:tr>
    </w:tbl>
    <w:p w14:paraId="0C09BD75" w14:textId="77777777" w:rsidR="00FD0A6D" w:rsidRPr="00655316" w:rsidRDefault="00FD0A6D" w:rsidP="00FD0A6D">
      <w:pPr>
        <w:pStyle w:val="Note"/>
        <w:rPr>
          <w:rFonts w:ascii="Arial" w:hAnsi="Arial" w:cs="Arial"/>
          <w:sz w:val="24"/>
          <w:szCs w:val="24"/>
        </w:rPr>
      </w:pPr>
      <w:r w:rsidRPr="00655316">
        <w:rPr>
          <w:rFonts w:ascii="Arial" w:hAnsi="Arial" w:cs="Arial"/>
          <w:sz w:val="24"/>
          <w:szCs w:val="24"/>
        </w:rPr>
        <w:lastRenderedPageBreak/>
        <w:t>Notes:</w:t>
      </w:r>
    </w:p>
    <w:p w14:paraId="6CB5F6CF" w14:textId="77777777" w:rsidR="00FD0A6D" w:rsidRPr="00655316" w:rsidRDefault="00FD0A6D" w:rsidP="00610F5F">
      <w:pPr>
        <w:pStyle w:val="aaaNotenumberiiiiii"/>
        <w:numPr>
          <w:ilvl w:val="0"/>
          <w:numId w:val="90"/>
        </w:numPr>
      </w:pPr>
      <w:r w:rsidRPr="00655316">
        <w:t>The opening balance includes amounts reclassified from existing assets to service concession assets (recognised under AASB 1059 at 1 July 2018). Refer to Note 7.5.3 for further details.</w:t>
      </w:r>
    </w:p>
    <w:p w14:paraId="1BCA6414" w14:textId="77777777" w:rsidR="00FD0A6D" w:rsidRPr="00655316" w:rsidRDefault="00FD0A6D" w:rsidP="00610F5F">
      <w:pPr>
        <w:pStyle w:val="aaaNotenumberiiiiii"/>
        <w:numPr>
          <w:ilvl w:val="0"/>
          <w:numId w:val="90"/>
        </w:numPr>
      </w:pPr>
      <w:r w:rsidRPr="00655316">
        <w:t>Where a service concession arrangement is in existence at 1 July 2018; the opening balance at 1 July 2018 is adjusted to reflect the adoption of AASB 1059. Refer to Note 9.6.5.2 and Note 7.5.3 for further details.</w:t>
      </w:r>
    </w:p>
    <w:p w14:paraId="3E6E16ED" w14:textId="77777777" w:rsidR="00FD0A6D" w:rsidRPr="00655316" w:rsidRDefault="00FD0A6D" w:rsidP="00610F5F">
      <w:pPr>
        <w:pStyle w:val="aaaNotenumberiiiiii"/>
        <w:numPr>
          <w:ilvl w:val="0"/>
          <w:numId w:val="90"/>
        </w:numPr>
      </w:pPr>
      <w:r w:rsidRPr="00655316">
        <w:t>This balance represents the initial recognition of service concession assets (recognised under AASB 1059 retrospectively at 1 July 2019). Refer to Note 9.6.5.2 and Note 7.5.3.</w:t>
      </w:r>
    </w:p>
    <w:p w14:paraId="20725CC3" w14:textId="77777777" w:rsidR="00FD0A6D" w:rsidRPr="00655316" w:rsidRDefault="00FD0A6D" w:rsidP="00610F5F">
      <w:pPr>
        <w:pStyle w:val="aaaNotenumberiiiiii"/>
        <w:numPr>
          <w:ilvl w:val="0"/>
          <w:numId w:val="90"/>
        </w:numPr>
      </w:pPr>
      <w:r w:rsidRPr="00655316">
        <w:t>This balance represents the initial recognition of right-of-use assets recorded on the balance sheet on 1 July 2019 relating to operating leases. Refer to Note 9.6.5.3 for further details.</w:t>
      </w:r>
    </w:p>
    <w:p w14:paraId="3B2168E2" w14:textId="77777777" w:rsidR="00FD0A6D" w:rsidRDefault="00FD0A6D" w:rsidP="00DE1921">
      <w:pPr>
        <w:rPr>
          <w:color w:val="70AD47" w:themeColor="accent6"/>
          <w:sz w:val="24"/>
          <w:szCs w:val="32"/>
        </w:rPr>
      </w:pPr>
    </w:p>
    <w:p w14:paraId="3BD1D5B8" w14:textId="2088CCB1" w:rsidR="00FD0A6D" w:rsidRDefault="00FD0A6D" w:rsidP="00DE1921">
      <w:pPr>
        <w:rPr>
          <w:color w:val="70AD47" w:themeColor="accent6"/>
          <w:sz w:val="24"/>
          <w:szCs w:val="32"/>
        </w:rPr>
        <w:sectPr w:rsidR="00FD0A6D" w:rsidSect="00DE1921">
          <w:headerReference w:type="even" r:id="rId125"/>
          <w:headerReference w:type="default" r:id="rId126"/>
          <w:footerReference w:type="even" r:id="rId127"/>
          <w:pgSz w:w="16838" w:h="11906" w:orient="landscape"/>
          <w:pgMar w:top="1418" w:right="1701" w:bottom="1418" w:left="1418" w:header="709" w:footer="709" w:gutter="0"/>
          <w:cols w:space="708"/>
          <w:docGrid w:linePitch="360"/>
        </w:sectPr>
      </w:pPr>
    </w:p>
    <w:p w14:paraId="7C00BC25" w14:textId="77777777" w:rsidR="003E5BF5" w:rsidRDefault="003E5BF5" w:rsidP="00610F5F">
      <w:pPr>
        <w:pStyle w:val="Heading3"/>
        <w:numPr>
          <w:ilvl w:val="2"/>
          <w:numId w:val="16"/>
        </w:numPr>
        <w:ind w:left="765" w:hanging="765"/>
        <w:rPr>
          <w:rFonts w:asciiTheme="minorHAnsi" w:eastAsiaTheme="minorHAnsi" w:hAnsiTheme="minorHAnsi"/>
          <w:sz w:val="22"/>
          <w:lang w:eastAsia="en-AU"/>
        </w:rPr>
      </w:pPr>
      <w:r w:rsidRPr="007945B6">
        <w:lastRenderedPageBreak/>
        <w:t xml:space="preserve">Reconciliation of movements in carrying amount of property, plant and equipment - </w:t>
      </w:r>
      <w:r>
        <w:rPr>
          <w:i/>
          <w:iCs/>
        </w:rPr>
        <w:t>c</w:t>
      </w:r>
      <w:r w:rsidRPr="007945B6">
        <w:rPr>
          <w:i/>
          <w:iCs/>
        </w:rPr>
        <w:t>ontinued</w:t>
      </w:r>
    </w:p>
    <w:tbl>
      <w:tblPr>
        <w:tblStyle w:val="TableGrid"/>
        <w:tblW w:w="14197" w:type="dxa"/>
        <w:tblCellMar>
          <w:left w:w="28" w:type="dxa"/>
          <w:right w:w="28" w:type="dxa"/>
        </w:tblCellMar>
        <w:tblLook w:val="04A0" w:firstRow="1" w:lastRow="0" w:firstColumn="1" w:lastColumn="0" w:noHBand="0" w:noVBand="1"/>
      </w:tblPr>
      <w:tblGrid>
        <w:gridCol w:w="4130"/>
        <w:gridCol w:w="1232"/>
        <w:gridCol w:w="1233"/>
        <w:gridCol w:w="1233"/>
        <w:gridCol w:w="1233"/>
        <w:gridCol w:w="1284"/>
        <w:gridCol w:w="1284"/>
        <w:gridCol w:w="1284"/>
        <w:gridCol w:w="1284"/>
      </w:tblGrid>
      <w:tr w:rsidR="003E5BF5" w:rsidRPr="00655316" w14:paraId="1A5DA893" w14:textId="77777777" w:rsidTr="00FD0A6D">
        <w:trPr>
          <w:trHeight w:val="284"/>
        </w:trPr>
        <w:tc>
          <w:tcPr>
            <w:tcW w:w="4130" w:type="dxa"/>
            <w:shd w:val="clear" w:color="auto" w:fill="auto"/>
            <w:noWrap/>
            <w:hideMark/>
          </w:tcPr>
          <w:p w14:paraId="433EE282" w14:textId="77777777" w:rsidR="003E5BF5" w:rsidRPr="00655316" w:rsidRDefault="003E5BF5" w:rsidP="00DE1921">
            <w:pPr>
              <w:jc w:val="center"/>
              <w:rPr>
                <w:rFonts w:ascii="Arial" w:hAnsi="Arial" w:cs="Arial"/>
                <w:sz w:val="24"/>
                <w:szCs w:val="24"/>
              </w:rPr>
            </w:pPr>
          </w:p>
        </w:tc>
        <w:tc>
          <w:tcPr>
            <w:tcW w:w="10067" w:type="dxa"/>
            <w:gridSpan w:val="8"/>
            <w:shd w:val="clear" w:color="auto" w:fill="auto"/>
            <w:noWrap/>
            <w:vAlign w:val="center"/>
            <w:hideMark/>
          </w:tcPr>
          <w:p w14:paraId="5E8473DC"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 thousand)</w:t>
            </w:r>
          </w:p>
        </w:tc>
      </w:tr>
      <w:tr w:rsidR="003E5BF5" w:rsidRPr="00810FE7" w14:paraId="7E7EC3E0" w14:textId="77777777" w:rsidTr="00FD0A6D">
        <w:trPr>
          <w:trHeight w:val="284"/>
        </w:trPr>
        <w:tc>
          <w:tcPr>
            <w:tcW w:w="4130" w:type="dxa"/>
            <w:shd w:val="clear" w:color="auto" w:fill="auto"/>
            <w:noWrap/>
            <w:hideMark/>
          </w:tcPr>
          <w:p w14:paraId="1618C73A" w14:textId="77777777" w:rsidR="003E5BF5" w:rsidRPr="00810FE7" w:rsidRDefault="003E5BF5" w:rsidP="00DE1921">
            <w:pPr>
              <w:jc w:val="center"/>
              <w:rPr>
                <w:rFonts w:ascii="Arial" w:hAnsi="Arial" w:cs="Arial"/>
              </w:rPr>
            </w:pPr>
          </w:p>
        </w:tc>
        <w:tc>
          <w:tcPr>
            <w:tcW w:w="2465" w:type="dxa"/>
            <w:gridSpan w:val="2"/>
            <w:shd w:val="clear" w:color="auto" w:fill="auto"/>
            <w:vAlign w:val="bottom"/>
            <w:hideMark/>
          </w:tcPr>
          <w:p w14:paraId="4F9FBBE9" w14:textId="77777777" w:rsidR="003E5BF5" w:rsidRPr="00810FE7" w:rsidRDefault="003E5BF5" w:rsidP="00DE1921">
            <w:pPr>
              <w:jc w:val="center"/>
              <w:rPr>
                <w:rFonts w:ascii="Arial" w:hAnsi="Arial" w:cs="Arial"/>
                <w:b/>
              </w:rPr>
            </w:pPr>
            <w:r w:rsidRPr="00810FE7">
              <w:rPr>
                <w:rFonts w:ascii="Arial" w:hAnsi="Arial" w:cs="Arial"/>
                <w:b/>
              </w:rPr>
              <w:t>Leasehold improvement at fair value</w:t>
            </w:r>
          </w:p>
        </w:tc>
        <w:tc>
          <w:tcPr>
            <w:tcW w:w="2466" w:type="dxa"/>
            <w:gridSpan w:val="2"/>
            <w:shd w:val="clear" w:color="auto" w:fill="auto"/>
            <w:vAlign w:val="bottom"/>
            <w:hideMark/>
          </w:tcPr>
          <w:p w14:paraId="3DF8AA31" w14:textId="77777777" w:rsidR="003E5BF5" w:rsidRPr="00810FE7" w:rsidRDefault="003E5BF5" w:rsidP="00DE1921">
            <w:pPr>
              <w:jc w:val="center"/>
              <w:rPr>
                <w:rFonts w:ascii="Arial" w:hAnsi="Arial" w:cs="Arial"/>
                <w:b/>
              </w:rPr>
            </w:pPr>
            <w:r w:rsidRPr="00810FE7">
              <w:rPr>
                <w:rFonts w:ascii="Arial" w:hAnsi="Arial" w:cs="Arial"/>
                <w:b/>
              </w:rPr>
              <w:t>Cultural assets at fair value</w:t>
            </w:r>
          </w:p>
        </w:tc>
        <w:tc>
          <w:tcPr>
            <w:tcW w:w="2568" w:type="dxa"/>
            <w:gridSpan w:val="2"/>
            <w:shd w:val="clear" w:color="auto" w:fill="auto"/>
            <w:vAlign w:val="bottom"/>
            <w:hideMark/>
          </w:tcPr>
          <w:p w14:paraId="07A5FDC2" w14:textId="77777777" w:rsidR="003E5BF5" w:rsidRPr="00810FE7" w:rsidRDefault="003E5BF5" w:rsidP="00DE1921">
            <w:pPr>
              <w:jc w:val="center"/>
              <w:rPr>
                <w:rFonts w:ascii="Arial" w:hAnsi="Arial" w:cs="Arial"/>
                <w:b/>
              </w:rPr>
            </w:pPr>
            <w:r w:rsidRPr="00810FE7">
              <w:rPr>
                <w:rFonts w:ascii="Arial" w:hAnsi="Arial" w:cs="Arial"/>
                <w:b/>
              </w:rPr>
              <w:t>Assets under construction at fair value</w:t>
            </w:r>
          </w:p>
        </w:tc>
        <w:tc>
          <w:tcPr>
            <w:tcW w:w="2568" w:type="dxa"/>
            <w:gridSpan w:val="2"/>
            <w:shd w:val="clear" w:color="auto" w:fill="auto"/>
            <w:vAlign w:val="bottom"/>
            <w:hideMark/>
          </w:tcPr>
          <w:p w14:paraId="0604BACB" w14:textId="77777777" w:rsidR="003E5BF5" w:rsidRPr="00810FE7" w:rsidRDefault="003E5BF5" w:rsidP="00DE1921">
            <w:pPr>
              <w:jc w:val="center"/>
              <w:rPr>
                <w:rFonts w:ascii="Arial" w:hAnsi="Arial" w:cs="Arial"/>
                <w:b/>
              </w:rPr>
            </w:pPr>
            <w:r w:rsidRPr="00810FE7">
              <w:rPr>
                <w:rFonts w:ascii="Arial" w:hAnsi="Arial" w:cs="Arial"/>
                <w:b/>
              </w:rPr>
              <w:t>Total</w:t>
            </w:r>
          </w:p>
        </w:tc>
      </w:tr>
      <w:tr w:rsidR="003E5BF5" w:rsidRPr="00655316" w14:paraId="32F98E8B" w14:textId="77777777" w:rsidTr="00FD0A6D">
        <w:trPr>
          <w:trHeight w:val="284"/>
        </w:trPr>
        <w:tc>
          <w:tcPr>
            <w:tcW w:w="4130" w:type="dxa"/>
            <w:shd w:val="clear" w:color="auto" w:fill="auto"/>
            <w:noWrap/>
            <w:hideMark/>
          </w:tcPr>
          <w:p w14:paraId="602D692D" w14:textId="77777777" w:rsidR="003E5BF5" w:rsidRPr="00655316" w:rsidRDefault="003E5BF5" w:rsidP="00DE1921">
            <w:pPr>
              <w:jc w:val="center"/>
              <w:rPr>
                <w:rFonts w:ascii="Arial" w:hAnsi="Arial" w:cs="Arial"/>
                <w:b/>
                <w:sz w:val="24"/>
                <w:szCs w:val="24"/>
              </w:rPr>
            </w:pPr>
          </w:p>
        </w:tc>
        <w:tc>
          <w:tcPr>
            <w:tcW w:w="1232" w:type="dxa"/>
            <w:shd w:val="clear" w:color="auto" w:fill="auto"/>
            <w:noWrap/>
            <w:vAlign w:val="center"/>
            <w:hideMark/>
          </w:tcPr>
          <w:p w14:paraId="4928C67A"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33" w:type="dxa"/>
            <w:shd w:val="clear" w:color="auto" w:fill="auto"/>
            <w:noWrap/>
            <w:vAlign w:val="center"/>
            <w:hideMark/>
          </w:tcPr>
          <w:p w14:paraId="3C531C1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233" w:type="dxa"/>
            <w:shd w:val="clear" w:color="auto" w:fill="auto"/>
            <w:noWrap/>
            <w:vAlign w:val="center"/>
            <w:hideMark/>
          </w:tcPr>
          <w:p w14:paraId="5B68D20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33" w:type="dxa"/>
            <w:shd w:val="clear" w:color="auto" w:fill="auto"/>
            <w:noWrap/>
            <w:vAlign w:val="center"/>
            <w:hideMark/>
          </w:tcPr>
          <w:p w14:paraId="5F4D46A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284" w:type="dxa"/>
            <w:shd w:val="clear" w:color="auto" w:fill="auto"/>
            <w:noWrap/>
            <w:vAlign w:val="center"/>
            <w:hideMark/>
          </w:tcPr>
          <w:p w14:paraId="329D64A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84" w:type="dxa"/>
            <w:shd w:val="clear" w:color="auto" w:fill="auto"/>
            <w:noWrap/>
            <w:vAlign w:val="center"/>
            <w:hideMark/>
          </w:tcPr>
          <w:p w14:paraId="5B2AC2D7"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284" w:type="dxa"/>
            <w:shd w:val="clear" w:color="auto" w:fill="auto"/>
            <w:noWrap/>
            <w:vAlign w:val="center"/>
            <w:hideMark/>
          </w:tcPr>
          <w:p w14:paraId="12819517"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84" w:type="dxa"/>
            <w:shd w:val="clear" w:color="auto" w:fill="auto"/>
            <w:noWrap/>
            <w:vAlign w:val="center"/>
            <w:hideMark/>
          </w:tcPr>
          <w:p w14:paraId="104144D0"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r>
      <w:tr w:rsidR="003E5BF5" w:rsidRPr="00655316" w14:paraId="5948BE16" w14:textId="77777777" w:rsidTr="00FD0A6D">
        <w:trPr>
          <w:trHeight w:val="284"/>
        </w:trPr>
        <w:tc>
          <w:tcPr>
            <w:tcW w:w="4130" w:type="dxa"/>
            <w:shd w:val="clear" w:color="auto" w:fill="auto"/>
            <w:noWrap/>
            <w:vAlign w:val="center"/>
            <w:hideMark/>
          </w:tcPr>
          <w:p w14:paraId="2ADE4011" w14:textId="77777777" w:rsidR="003E5BF5" w:rsidRPr="00655316" w:rsidRDefault="003E5BF5" w:rsidP="00DE1921">
            <w:pPr>
              <w:rPr>
                <w:rFonts w:ascii="Arial" w:hAnsi="Arial" w:cs="Arial"/>
                <w:b/>
                <w:sz w:val="24"/>
                <w:szCs w:val="24"/>
              </w:rPr>
            </w:pPr>
            <w:r w:rsidRPr="00655316">
              <w:rPr>
                <w:rFonts w:ascii="Arial" w:hAnsi="Arial" w:cs="Arial"/>
                <w:b/>
                <w:sz w:val="24"/>
                <w:szCs w:val="24"/>
              </w:rPr>
              <w:t xml:space="preserve">Opening balance </w:t>
            </w:r>
            <w:r w:rsidRPr="00655316">
              <w:rPr>
                <w:rFonts w:ascii="Arial" w:hAnsi="Arial" w:cs="Arial"/>
                <w:b/>
                <w:sz w:val="24"/>
                <w:szCs w:val="24"/>
                <w:vertAlign w:val="superscript"/>
              </w:rPr>
              <w:t>(</w:t>
            </w:r>
            <w:proofErr w:type="spellStart"/>
            <w:r w:rsidRPr="00655316">
              <w:rPr>
                <w:rFonts w:ascii="Arial" w:hAnsi="Arial" w:cs="Arial"/>
                <w:b/>
                <w:sz w:val="24"/>
                <w:szCs w:val="24"/>
                <w:vertAlign w:val="superscript"/>
              </w:rPr>
              <w:t>i</w:t>
            </w:r>
            <w:proofErr w:type="spellEnd"/>
            <w:r w:rsidRPr="00655316">
              <w:rPr>
                <w:rFonts w:ascii="Arial" w:hAnsi="Arial" w:cs="Arial"/>
                <w:b/>
                <w:sz w:val="24"/>
                <w:szCs w:val="24"/>
                <w:vertAlign w:val="superscript"/>
              </w:rPr>
              <w:t>)</w:t>
            </w:r>
          </w:p>
        </w:tc>
        <w:tc>
          <w:tcPr>
            <w:tcW w:w="1232" w:type="dxa"/>
            <w:shd w:val="clear" w:color="auto" w:fill="auto"/>
            <w:noWrap/>
            <w:vAlign w:val="center"/>
            <w:hideMark/>
          </w:tcPr>
          <w:p w14:paraId="2B4C904A"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15,953</w:t>
            </w:r>
          </w:p>
        </w:tc>
        <w:tc>
          <w:tcPr>
            <w:tcW w:w="1233" w:type="dxa"/>
            <w:shd w:val="clear" w:color="auto" w:fill="auto"/>
            <w:noWrap/>
            <w:vAlign w:val="center"/>
            <w:hideMark/>
          </w:tcPr>
          <w:p w14:paraId="33481EA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36,374</w:t>
            </w:r>
          </w:p>
        </w:tc>
        <w:tc>
          <w:tcPr>
            <w:tcW w:w="1233" w:type="dxa"/>
            <w:shd w:val="clear" w:color="auto" w:fill="auto"/>
            <w:noWrap/>
            <w:vAlign w:val="center"/>
            <w:hideMark/>
          </w:tcPr>
          <w:p w14:paraId="70CBE5B8"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256</w:t>
            </w:r>
          </w:p>
        </w:tc>
        <w:tc>
          <w:tcPr>
            <w:tcW w:w="1233" w:type="dxa"/>
            <w:shd w:val="clear" w:color="auto" w:fill="auto"/>
            <w:noWrap/>
            <w:vAlign w:val="center"/>
            <w:hideMark/>
          </w:tcPr>
          <w:p w14:paraId="5938BEE0"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18,353</w:t>
            </w:r>
          </w:p>
        </w:tc>
        <w:tc>
          <w:tcPr>
            <w:tcW w:w="1284" w:type="dxa"/>
            <w:shd w:val="clear" w:color="auto" w:fill="auto"/>
            <w:noWrap/>
            <w:vAlign w:val="center"/>
            <w:hideMark/>
          </w:tcPr>
          <w:p w14:paraId="70FF7B1A"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6,946,290</w:t>
            </w:r>
          </w:p>
        </w:tc>
        <w:tc>
          <w:tcPr>
            <w:tcW w:w="1284" w:type="dxa"/>
            <w:shd w:val="clear" w:color="auto" w:fill="auto"/>
            <w:noWrap/>
            <w:vAlign w:val="center"/>
            <w:hideMark/>
          </w:tcPr>
          <w:p w14:paraId="14228B9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673,749</w:t>
            </w:r>
          </w:p>
        </w:tc>
        <w:tc>
          <w:tcPr>
            <w:tcW w:w="1284" w:type="dxa"/>
            <w:shd w:val="clear" w:color="auto" w:fill="auto"/>
            <w:noWrap/>
            <w:vAlign w:val="center"/>
            <w:hideMark/>
          </w:tcPr>
          <w:p w14:paraId="0C51A5C7"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8,626,082</w:t>
            </w:r>
          </w:p>
        </w:tc>
        <w:tc>
          <w:tcPr>
            <w:tcW w:w="1284" w:type="dxa"/>
            <w:shd w:val="clear" w:color="auto" w:fill="auto"/>
            <w:noWrap/>
            <w:vAlign w:val="center"/>
            <w:hideMark/>
          </w:tcPr>
          <w:p w14:paraId="3351842F" w14:textId="77777777" w:rsidR="003E5BF5" w:rsidRPr="00655316" w:rsidRDefault="003E5BF5" w:rsidP="00DE1921">
            <w:pPr>
              <w:jc w:val="right"/>
              <w:rPr>
                <w:rFonts w:ascii="Arial" w:hAnsi="Arial" w:cs="Arial"/>
                <w:b/>
                <w:sz w:val="24"/>
                <w:szCs w:val="24"/>
              </w:rPr>
            </w:pPr>
            <w:r w:rsidRPr="00655316" w:rsidDel="00082125">
              <w:rPr>
                <w:rFonts w:ascii="Arial" w:hAnsi="Arial" w:cs="Arial"/>
                <w:b/>
                <w:sz w:val="24"/>
                <w:szCs w:val="24"/>
              </w:rPr>
              <w:t>2,</w:t>
            </w:r>
            <w:r w:rsidRPr="00655316">
              <w:rPr>
                <w:rFonts w:ascii="Arial" w:hAnsi="Arial" w:cs="Arial"/>
                <w:b/>
                <w:sz w:val="24"/>
                <w:szCs w:val="24"/>
              </w:rPr>
              <w:t>277,905</w:t>
            </w:r>
          </w:p>
        </w:tc>
      </w:tr>
      <w:tr w:rsidR="003E5BF5" w:rsidRPr="00655316" w14:paraId="608BE89D" w14:textId="77777777" w:rsidTr="00FD0A6D">
        <w:trPr>
          <w:trHeight w:val="284"/>
        </w:trPr>
        <w:tc>
          <w:tcPr>
            <w:tcW w:w="4130" w:type="dxa"/>
            <w:shd w:val="clear" w:color="auto" w:fill="auto"/>
            <w:vAlign w:val="center"/>
            <w:hideMark/>
          </w:tcPr>
          <w:p w14:paraId="56B148FA" w14:textId="77777777" w:rsidR="003E5BF5" w:rsidRPr="00655316" w:rsidRDefault="003E5BF5" w:rsidP="00DE1921">
            <w:pPr>
              <w:rPr>
                <w:rFonts w:ascii="Arial" w:hAnsi="Arial" w:cs="Arial"/>
                <w:sz w:val="24"/>
                <w:szCs w:val="24"/>
              </w:rPr>
            </w:pPr>
            <w:r w:rsidRPr="00655316">
              <w:rPr>
                <w:rFonts w:ascii="Arial" w:hAnsi="Arial" w:cs="Arial"/>
                <w:sz w:val="24"/>
                <w:szCs w:val="24"/>
              </w:rPr>
              <w:t xml:space="preserve">Change in accounting policy effecting 1 July 2018 (due to AASB 1059) </w:t>
            </w:r>
            <w:r w:rsidRPr="00655316">
              <w:rPr>
                <w:rFonts w:ascii="Arial" w:hAnsi="Arial" w:cs="Arial"/>
                <w:sz w:val="24"/>
                <w:szCs w:val="24"/>
                <w:vertAlign w:val="superscript"/>
              </w:rPr>
              <w:t>(ii)</w:t>
            </w:r>
          </w:p>
        </w:tc>
        <w:tc>
          <w:tcPr>
            <w:tcW w:w="1232" w:type="dxa"/>
            <w:shd w:val="clear" w:color="auto" w:fill="auto"/>
            <w:noWrap/>
            <w:hideMark/>
          </w:tcPr>
          <w:p w14:paraId="6A4989B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hideMark/>
          </w:tcPr>
          <w:p w14:paraId="22361F9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hideMark/>
          </w:tcPr>
          <w:p w14:paraId="11665DA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hideMark/>
          </w:tcPr>
          <w:p w14:paraId="1F230D2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hideMark/>
          </w:tcPr>
          <w:p w14:paraId="1EBB9FC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hideMark/>
          </w:tcPr>
          <w:p w14:paraId="1EEE5C2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2,212,783</w:t>
            </w:r>
          </w:p>
        </w:tc>
        <w:tc>
          <w:tcPr>
            <w:tcW w:w="1284" w:type="dxa"/>
            <w:shd w:val="clear" w:color="auto" w:fill="auto"/>
            <w:noWrap/>
            <w:hideMark/>
          </w:tcPr>
          <w:p w14:paraId="395143F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hideMark/>
          </w:tcPr>
          <w:p w14:paraId="7DA93CB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2,212,783</w:t>
            </w:r>
          </w:p>
        </w:tc>
      </w:tr>
      <w:tr w:rsidR="003E5BF5" w:rsidRPr="00655316" w14:paraId="2263285C" w14:textId="77777777" w:rsidTr="00FD0A6D">
        <w:trPr>
          <w:trHeight w:val="284"/>
        </w:trPr>
        <w:tc>
          <w:tcPr>
            <w:tcW w:w="4130" w:type="dxa"/>
            <w:shd w:val="clear" w:color="auto" w:fill="auto"/>
            <w:vAlign w:val="center"/>
            <w:hideMark/>
          </w:tcPr>
          <w:p w14:paraId="7267B3A9" w14:textId="77777777" w:rsidR="003E5BF5" w:rsidRPr="00655316" w:rsidRDefault="003E5BF5" w:rsidP="00DE1921">
            <w:pPr>
              <w:rPr>
                <w:rFonts w:ascii="Arial" w:hAnsi="Arial" w:cs="Arial"/>
                <w:sz w:val="24"/>
                <w:szCs w:val="24"/>
              </w:rPr>
            </w:pPr>
            <w:r w:rsidRPr="00655316">
              <w:rPr>
                <w:rFonts w:ascii="Arial" w:hAnsi="Arial" w:cs="Arial"/>
                <w:sz w:val="24"/>
                <w:szCs w:val="24"/>
              </w:rPr>
              <w:t>Change in accounting policy effecting 30 June 2019 (due to AASB 1059)</w:t>
            </w:r>
            <w:r w:rsidRPr="00655316">
              <w:rPr>
                <w:rFonts w:ascii="Arial" w:hAnsi="Arial" w:cs="Arial"/>
                <w:sz w:val="24"/>
                <w:szCs w:val="24"/>
                <w:vertAlign w:val="superscript"/>
              </w:rPr>
              <w:t xml:space="preserve"> (iii)</w:t>
            </w:r>
          </w:p>
        </w:tc>
        <w:tc>
          <w:tcPr>
            <w:tcW w:w="1232" w:type="dxa"/>
            <w:shd w:val="clear" w:color="auto" w:fill="auto"/>
            <w:noWrap/>
            <w:hideMark/>
          </w:tcPr>
          <w:p w14:paraId="0F64586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hideMark/>
          </w:tcPr>
          <w:p w14:paraId="17A1152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hideMark/>
          </w:tcPr>
          <w:p w14:paraId="19B564E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hideMark/>
          </w:tcPr>
          <w:p w14:paraId="5EED467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hideMark/>
          </w:tcPr>
          <w:p w14:paraId="4FB60F5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hideMark/>
          </w:tcPr>
          <w:p w14:paraId="16764B1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2,629,087</w:t>
            </w:r>
          </w:p>
        </w:tc>
        <w:tc>
          <w:tcPr>
            <w:tcW w:w="1284" w:type="dxa"/>
            <w:shd w:val="clear" w:color="auto" w:fill="auto"/>
            <w:noWrap/>
            <w:hideMark/>
          </w:tcPr>
          <w:p w14:paraId="532BF28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hideMark/>
          </w:tcPr>
          <w:p w14:paraId="5803BC7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2,629,087</w:t>
            </w:r>
          </w:p>
        </w:tc>
      </w:tr>
      <w:tr w:rsidR="003E5BF5" w:rsidRPr="00655316" w14:paraId="1D6F2112" w14:textId="77777777" w:rsidTr="00FD0A6D">
        <w:trPr>
          <w:trHeight w:val="284"/>
        </w:trPr>
        <w:tc>
          <w:tcPr>
            <w:tcW w:w="4130" w:type="dxa"/>
            <w:shd w:val="clear" w:color="auto" w:fill="auto"/>
            <w:vAlign w:val="center"/>
            <w:hideMark/>
          </w:tcPr>
          <w:p w14:paraId="51100B31" w14:textId="77777777" w:rsidR="003E5BF5" w:rsidRPr="00655316" w:rsidRDefault="003E5BF5" w:rsidP="00DE1921">
            <w:pPr>
              <w:rPr>
                <w:rFonts w:ascii="Arial" w:hAnsi="Arial" w:cs="Arial"/>
                <w:sz w:val="24"/>
                <w:szCs w:val="24"/>
              </w:rPr>
            </w:pPr>
            <w:r w:rsidRPr="00655316">
              <w:rPr>
                <w:rFonts w:ascii="Arial" w:hAnsi="Arial" w:cs="Arial"/>
                <w:sz w:val="24"/>
                <w:szCs w:val="24"/>
              </w:rPr>
              <w:t xml:space="preserve">Recognition of right-of-use assets on initial application of AASB 16 effecting 1 July 2019 </w:t>
            </w:r>
            <w:r w:rsidRPr="00655316">
              <w:rPr>
                <w:rFonts w:ascii="Arial" w:hAnsi="Arial" w:cs="Arial"/>
                <w:sz w:val="24"/>
                <w:szCs w:val="24"/>
                <w:vertAlign w:val="superscript"/>
              </w:rPr>
              <w:t>(iv)</w:t>
            </w:r>
          </w:p>
        </w:tc>
        <w:tc>
          <w:tcPr>
            <w:tcW w:w="1232" w:type="dxa"/>
            <w:shd w:val="clear" w:color="auto" w:fill="auto"/>
            <w:noWrap/>
            <w:hideMark/>
          </w:tcPr>
          <w:p w14:paraId="6F8A325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hideMark/>
          </w:tcPr>
          <w:p w14:paraId="23BAF24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hideMark/>
          </w:tcPr>
          <w:p w14:paraId="55ED553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hideMark/>
          </w:tcPr>
          <w:p w14:paraId="0CEA635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hideMark/>
          </w:tcPr>
          <w:p w14:paraId="16F1C3F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hideMark/>
          </w:tcPr>
          <w:p w14:paraId="53F7BFE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hideMark/>
          </w:tcPr>
          <w:p w14:paraId="6289232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247,207</w:t>
            </w:r>
          </w:p>
        </w:tc>
        <w:tc>
          <w:tcPr>
            <w:tcW w:w="1284" w:type="dxa"/>
            <w:shd w:val="clear" w:color="auto" w:fill="auto"/>
            <w:noWrap/>
            <w:hideMark/>
          </w:tcPr>
          <w:p w14:paraId="421792F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r>
      <w:tr w:rsidR="003E5BF5" w:rsidRPr="00655316" w14:paraId="4D6D8D6A" w14:textId="77777777" w:rsidTr="00FD0A6D">
        <w:trPr>
          <w:trHeight w:val="284"/>
        </w:trPr>
        <w:tc>
          <w:tcPr>
            <w:tcW w:w="4130" w:type="dxa"/>
            <w:shd w:val="clear" w:color="auto" w:fill="auto"/>
            <w:noWrap/>
            <w:vAlign w:val="center"/>
            <w:hideMark/>
          </w:tcPr>
          <w:p w14:paraId="4B54809C" w14:textId="77777777" w:rsidR="003E5BF5" w:rsidRPr="00655316" w:rsidRDefault="003E5BF5" w:rsidP="00DE1921">
            <w:pPr>
              <w:rPr>
                <w:rFonts w:ascii="Arial" w:hAnsi="Arial" w:cs="Arial"/>
                <w:b/>
                <w:sz w:val="24"/>
                <w:szCs w:val="24"/>
              </w:rPr>
            </w:pPr>
            <w:r w:rsidRPr="00655316">
              <w:rPr>
                <w:rFonts w:ascii="Arial" w:hAnsi="Arial" w:cs="Arial"/>
                <w:b/>
                <w:sz w:val="24"/>
                <w:szCs w:val="24"/>
              </w:rPr>
              <w:t>Adjusted opening balance</w:t>
            </w:r>
          </w:p>
        </w:tc>
        <w:tc>
          <w:tcPr>
            <w:tcW w:w="1232" w:type="dxa"/>
            <w:shd w:val="clear" w:color="auto" w:fill="auto"/>
            <w:noWrap/>
            <w:vAlign w:val="center"/>
            <w:hideMark/>
          </w:tcPr>
          <w:p w14:paraId="03D6CF0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15,953</w:t>
            </w:r>
          </w:p>
        </w:tc>
        <w:tc>
          <w:tcPr>
            <w:tcW w:w="1233" w:type="dxa"/>
            <w:shd w:val="clear" w:color="auto" w:fill="auto"/>
            <w:noWrap/>
            <w:vAlign w:val="center"/>
            <w:hideMark/>
          </w:tcPr>
          <w:p w14:paraId="62D1A1D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36,374</w:t>
            </w:r>
          </w:p>
        </w:tc>
        <w:tc>
          <w:tcPr>
            <w:tcW w:w="1233" w:type="dxa"/>
            <w:shd w:val="clear" w:color="auto" w:fill="auto"/>
            <w:noWrap/>
            <w:vAlign w:val="center"/>
            <w:hideMark/>
          </w:tcPr>
          <w:p w14:paraId="1F3A0AC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256</w:t>
            </w:r>
          </w:p>
        </w:tc>
        <w:tc>
          <w:tcPr>
            <w:tcW w:w="1233" w:type="dxa"/>
            <w:shd w:val="clear" w:color="auto" w:fill="auto"/>
            <w:noWrap/>
            <w:vAlign w:val="center"/>
            <w:hideMark/>
          </w:tcPr>
          <w:p w14:paraId="10BC0FB8"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18,353</w:t>
            </w:r>
          </w:p>
        </w:tc>
        <w:tc>
          <w:tcPr>
            <w:tcW w:w="1284" w:type="dxa"/>
            <w:shd w:val="clear" w:color="auto" w:fill="auto"/>
            <w:noWrap/>
            <w:vAlign w:val="center"/>
            <w:hideMark/>
          </w:tcPr>
          <w:p w14:paraId="19B3CBC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6,946,290</w:t>
            </w:r>
          </w:p>
        </w:tc>
        <w:tc>
          <w:tcPr>
            <w:tcW w:w="1284" w:type="dxa"/>
            <w:shd w:val="clear" w:color="auto" w:fill="auto"/>
            <w:noWrap/>
            <w:vAlign w:val="center"/>
            <w:hideMark/>
          </w:tcPr>
          <w:p w14:paraId="219C70A6" w14:textId="77777777" w:rsidR="003E5BF5" w:rsidRPr="00655316" w:rsidRDefault="003E5BF5" w:rsidP="00DE1921">
            <w:pPr>
              <w:jc w:val="right"/>
              <w:rPr>
                <w:rFonts w:ascii="Arial" w:hAnsi="Arial" w:cs="Arial"/>
                <w:b/>
                <w:sz w:val="24"/>
                <w:szCs w:val="24"/>
              </w:rPr>
            </w:pPr>
            <w:r w:rsidRPr="00655316" w:rsidDel="00082125">
              <w:rPr>
                <w:rFonts w:ascii="Arial" w:hAnsi="Arial" w:cs="Arial"/>
                <w:b/>
                <w:sz w:val="24"/>
                <w:szCs w:val="24"/>
              </w:rPr>
              <w:t>5,</w:t>
            </w:r>
            <w:r w:rsidRPr="00655316">
              <w:rPr>
                <w:rFonts w:ascii="Arial" w:hAnsi="Arial" w:cs="Arial"/>
                <w:b/>
                <w:sz w:val="24"/>
                <w:szCs w:val="24"/>
              </w:rPr>
              <w:t>515,619</w:t>
            </w:r>
          </w:p>
        </w:tc>
        <w:tc>
          <w:tcPr>
            <w:tcW w:w="1284" w:type="dxa"/>
            <w:shd w:val="clear" w:color="auto" w:fill="auto"/>
            <w:noWrap/>
            <w:vAlign w:val="center"/>
            <w:hideMark/>
          </w:tcPr>
          <w:p w14:paraId="099A595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8,873,289</w:t>
            </w:r>
          </w:p>
        </w:tc>
        <w:tc>
          <w:tcPr>
            <w:tcW w:w="1284" w:type="dxa"/>
            <w:shd w:val="clear" w:color="auto" w:fill="auto"/>
            <w:noWrap/>
            <w:vAlign w:val="center"/>
            <w:hideMark/>
          </w:tcPr>
          <w:p w14:paraId="0162FC16" w14:textId="77777777" w:rsidR="003E5BF5" w:rsidRPr="00655316" w:rsidRDefault="003E5BF5" w:rsidP="00DE1921">
            <w:pPr>
              <w:jc w:val="right"/>
              <w:rPr>
                <w:rFonts w:ascii="Arial" w:hAnsi="Arial" w:cs="Arial"/>
                <w:b/>
                <w:sz w:val="24"/>
                <w:szCs w:val="24"/>
              </w:rPr>
            </w:pPr>
            <w:r w:rsidRPr="00655316" w:rsidDel="00082125">
              <w:rPr>
                <w:rFonts w:ascii="Arial" w:hAnsi="Arial" w:cs="Arial"/>
                <w:b/>
                <w:sz w:val="24"/>
                <w:szCs w:val="24"/>
              </w:rPr>
              <w:t>7,</w:t>
            </w:r>
            <w:r w:rsidRPr="00655316">
              <w:rPr>
                <w:rFonts w:ascii="Arial" w:hAnsi="Arial" w:cs="Arial"/>
                <w:b/>
                <w:sz w:val="24"/>
                <w:szCs w:val="24"/>
              </w:rPr>
              <w:t>119,775</w:t>
            </w:r>
          </w:p>
        </w:tc>
      </w:tr>
      <w:tr w:rsidR="003E5BF5" w:rsidRPr="00655316" w14:paraId="3BF0C849" w14:textId="77777777" w:rsidTr="00FD0A6D">
        <w:trPr>
          <w:trHeight w:val="284"/>
        </w:trPr>
        <w:tc>
          <w:tcPr>
            <w:tcW w:w="4130" w:type="dxa"/>
            <w:shd w:val="clear" w:color="auto" w:fill="auto"/>
            <w:noWrap/>
            <w:vAlign w:val="center"/>
            <w:hideMark/>
          </w:tcPr>
          <w:p w14:paraId="7ED708E7" w14:textId="77777777" w:rsidR="003E5BF5" w:rsidRPr="00655316" w:rsidRDefault="003E5BF5" w:rsidP="00DE1921">
            <w:pPr>
              <w:rPr>
                <w:rFonts w:ascii="Arial" w:hAnsi="Arial" w:cs="Arial"/>
                <w:sz w:val="24"/>
                <w:szCs w:val="24"/>
              </w:rPr>
            </w:pPr>
            <w:proofErr w:type="spellStart"/>
            <w:r w:rsidRPr="00655316">
              <w:rPr>
                <w:rFonts w:ascii="Arial" w:hAnsi="Arial" w:cs="Arial"/>
                <w:sz w:val="24"/>
                <w:szCs w:val="24"/>
              </w:rPr>
              <w:t>MoG</w:t>
            </w:r>
            <w:proofErr w:type="spellEnd"/>
            <w:r w:rsidRPr="00655316">
              <w:rPr>
                <w:rFonts w:ascii="Arial" w:hAnsi="Arial" w:cs="Arial"/>
                <w:sz w:val="24"/>
                <w:szCs w:val="24"/>
              </w:rPr>
              <w:t xml:space="preserve"> transfers in</w:t>
            </w:r>
          </w:p>
        </w:tc>
        <w:tc>
          <w:tcPr>
            <w:tcW w:w="1232" w:type="dxa"/>
            <w:shd w:val="clear" w:color="auto" w:fill="auto"/>
            <w:noWrap/>
            <w:vAlign w:val="center"/>
            <w:hideMark/>
          </w:tcPr>
          <w:p w14:paraId="1A7D72B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15,256</w:t>
            </w:r>
          </w:p>
        </w:tc>
        <w:tc>
          <w:tcPr>
            <w:tcW w:w="1233" w:type="dxa"/>
            <w:shd w:val="clear" w:color="auto" w:fill="auto"/>
            <w:noWrap/>
            <w:vAlign w:val="center"/>
            <w:hideMark/>
          </w:tcPr>
          <w:p w14:paraId="59A6A66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694B9C8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2,141</w:t>
            </w:r>
          </w:p>
        </w:tc>
        <w:tc>
          <w:tcPr>
            <w:tcW w:w="1233" w:type="dxa"/>
            <w:shd w:val="clear" w:color="auto" w:fill="auto"/>
            <w:noWrap/>
            <w:vAlign w:val="center"/>
            <w:hideMark/>
          </w:tcPr>
          <w:p w14:paraId="14C0EDB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486B627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1,036,388</w:t>
            </w:r>
          </w:p>
        </w:tc>
        <w:tc>
          <w:tcPr>
            <w:tcW w:w="1284" w:type="dxa"/>
            <w:shd w:val="clear" w:color="auto" w:fill="auto"/>
            <w:noWrap/>
            <w:vAlign w:val="center"/>
            <w:hideMark/>
          </w:tcPr>
          <w:p w14:paraId="5AAC32E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1B2AE94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64,674,464</w:t>
            </w:r>
          </w:p>
        </w:tc>
        <w:tc>
          <w:tcPr>
            <w:tcW w:w="1284" w:type="dxa"/>
            <w:shd w:val="clear" w:color="auto" w:fill="auto"/>
            <w:noWrap/>
            <w:vAlign w:val="center"/>
            <w:hideMark/>
          </w:tcPr>
          <w:p w14:paraId="5843CBD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r>
      <w:tr w:rsidR="003E5BF5" w:rsidRPr="00655316" w14:paraId="3DC184F5" w14:textId="77777777" w:rsidTr="00FD0A6D">
        <w:trPr>
          <w:trHeight w:val="284"/>
        </w:trPr>
        <w:tc>
          <w:tcPr>
            <w:tcW w:w="4130" w:type="dxa"/>
            <w:shd w:val="clear" w:color="auto" w:fill="auto"/>
            <w:noWrap/>
            <w:vAlign w:val="center"/>
            <w:hideMark/>
          </w:tcPr>
          <w:p w14:paraId="1F405AAF" w14:textId="77777777" w:rsidR="003E5BF5" w:rsidRPr="00655316" w:rsidRDefault="003E5BF5" w:rsidP="00DE1921">
            <w:pPr>
              <w:rPr>
                <w:rFonts w:ascii="Arial" w:hAnsi="Arial" w:cs="Arial"/>
                <w:sz w:val="24"/>
                <w:szCs w:val="24"/>
              </w:rPr>
            </w:pPr>
            <w:r w:rsidRPr="00655316">
              <w:rPr>
                <w:rFonts w:ascii="Arial" w:hAnsi="Arial" w:cs="Arial"/>
                <w:sz w:val="24"/>
                <w:szCs w:val="24"/>
              </w:rPr>
              <w:t>Assets received free of charge</w:t>
            </w:r>
          </w:p>
        </w:tc>
        <w:tc>
          <w:tcPr>
            <w:tcW w:w="1232" w:type="dxa"/>
            <w:shd w:val="clear" w:color="auto" w:fill="auto"/>
            <w:noWrap/>
            <w:vAlign w:val="center"/>
            <w:hideMark/>
          </w:tcPr>
          <w:p w14:paraId="02E3ADF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73958DA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4B68575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7CEAEE4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5BC425E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0EEF28E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0800BD7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10,956</w:t>
            </w:r>
          </w:p>
        </w:tc>
        <w:tc>
          <w:tcPr>
            <w:tcW w:w="1284" w:type="dxa"/>
            <w:shd w:val="clear" w:color="auto" w:fill="auto"/>
            <w:noWrap/>
            <w:vAlign w:val="center"/>
            <w:hideMark/>
          </w:tcPr>
          <w:p w14:paraId="1F70999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r>
      <w:tr w:rsidR="003E5BF5" w:rsidRPr="00655316" w14:paraId="1596395A" w14:textId="77777777" w:rsidTr="00FD0A6D">
        <w:trPr>
          <w:trHeight w:val="284"/>
        </w:trPr>
        <w:tc>
          <w:tcPr>
            <w:tcW w:w="4130" w:type="dxa"/>
            <w:shd w:val="clear" w:color="auto" w:fill="auto"/>
            <w:noWrap/>
            <w:vAlign w:val="center"/>
            <w:hideMark/>
          </w:tcPr>
          <w:p w14:paraId="441686F1" w14:textId="77777777" w:rsidR="003E5BF5" w:rsidRPr="00655316" w:rsidRDefault="003E5BF5" w:rsidP="00DE1921">
            <w:pPr>
              <w:rPr>
                <w:rFonts w:ascii="Arial" w:hAnsi="Arial" w:cs="Arial"/>
                <w:sz w:val="24"/>
                <w:szCs w:val="24"/>
              </w:rPr>
            </w:pPr>
            <w:r w:rsidRPr="00655316">
              <w:rPr>
                <w:rFonts w:ascii="Arial" w:hAnsi="Arial" w:cs="Arial"/>
                <w:sz w:val="24"/>
                <w:szCs w:val="24"/>
              </w:rPr>
              <w:t>Assets provided free of charge</w:t>
            </w:r>
          </w:p>
        </w:tc>
        <w:tc>
          <w:tcPr>
            <w:tcW w:w="1232" w:type="dxa"/>
            <w:shd w:val="clear" w:color="auto" w:fill="auto"/>
            <w:noWrap/>
            <w:vAlign w:val="center"/>
            <w:hideMark/>
          </w:tcPr>
          <w:p w14:paraId="2F43A08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5071E76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3CC7597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46C1396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7DC2E25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387285A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1C7EA50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(10,375)</w:t>
            </w:r>
          </w:p>
        </w:tc>
        <w:tc>
          <w:tcPr>
            <w:tcW w:w="1284" w:type="dxa"/>
            <w:shd w:val="clear" w:color="auto" w:fill="auto"/>
            <w:noWrap/>
            <w:vAlign w:val="center"/>
            <w:hideMark/>
          </w:tcPr>
          <w:p w14:paraId="418E927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(29,618)</w:t>
            </w:r>
          </w:p>
        </w:tc>
      </w:tr>
      <w:tr w:rsidR="003E5BF5" w:rsidRPr="00655316" w14:paraId="3DCB83BC" w14:textId="77777777" w:rsidTr="00FD0A6D">
        <w:trPr>
          <w:trHeight w:val="284"/>
        </w:trPr>
        <w:tc>
          <w:tcPr>
            <w:tcW w:w="4130" w:type="dxa"/>
            <w:shd w:val="clear" w:color="auto" w:fill="auto"/>
            <w:noWrap/>
            <w:vAlign w:val="center"/>
            <w:hideMark/>
          </w:tcPr>
          <w:p w14:paraId="3F22DBCE" w14:textId="77777777" w:rsidR="003E5BF5" w:rsidRPr="00655316" w:rsidRDefault="003E5BF5" w:rsidP="00DE1921">
            <w:pPr>
              <w:rPr>
                <w:rFonts w:ascii="Arial" w:hAnsi="Arial" w:cs="Arial"/>
                <w:sz w:val="24"/>
                <w:szCs w:val="24"/>
              </w:rPr>
            </w:pPr>
            <w:r w:rsidRPr="00655316">
              <w:rPr>
                <w:rFonts w:ascii="Arial" w:hAnsi="Arial" w:cs="Arial"/>
                <w:sz w:val="24"/>
                <w:szCs w:val="24"/>
              </w:rPr>
              <w:t>Additions</w:t>
            </w:r>
          </w:p>
        </w:tc>
        <w:tc>
          <w:tcPr>
            <w:tcW w:w="1232" w:type="dxa"/>
            <w:shd w:val="clear" w:color="auto" w:fill="auto"/>
            <w:noWrap/>
            <w:vAlign w:val="center"/>
            <w:hideMark/>
          </w:tcPr>
          <w:p w14:paraId="37574AD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16,230</w:t>
            </w:r>
          </w:p>
        </w:tc>
        <w:tc>
          <w:tcPr>
            <w:tcW w:w="1233" w:type="dxa"/>
            <w:shd w:val="clear" w:color="auto" w:fill="auto"/>
            <w:noWrap/>
            <w:vAlign w:val="center"/>
            <w:hideMark/>
          </w:tcPr>
          <w:p w14:paraId="2ADE441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958</w:t>
            </w:r>
          </w:p>
        </w:tc>
        <w:tc>
          <w:tcPr>
            <w:tcW w:w="1233" w:type="dxa"/>
            <w:shd w:val="clear" w:color="auto" w:fill="auto"/>
            <w:noWrap/>
            <w:vAlign w:val="center"/>
            <w:hideMark/>
          </w:tcPr>
          <w:p w14:paraId="2BE6EC1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54FCF27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06EFC37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8,341,815</w:t>
            </w:r>
          </w:p>
        </w:tc>
        <w:tc>
          <w:tcPr>
            <w:tcW w:w="1284" w:type="dxa"/>
            <w:shd w:val="clear" w:color="auto" w:fill="auto"/>
            <w:noWrap/>
            <w:vAlign w:val="center"/>
            <w:hideMark/>
          </w:tcPr>
          <w:p w14:paraId="3729563C" w14:textId="77777777" w:rsidR="003E5BF5" w:rsidRPr="00655316" w:rsidRDefault="003E5BF5" w:rsidP="00DE1921">
            <w:pPr>
              <w:jc w:val="right"/>
              <w:rPr>
                <w:rFonts w:ascii="Arial" w:hAnsi="Arial" w:cs="Arial"/>
                <w:sz w:val="24"/>
                <w:szCs w:val="24"/>
              </w:rPr>
            </w:pPr>
            <w:r w:rsidRPr="00655316" w:rsidDel="00082125">
              <w:rPr>
                <w:rFonts w:ascii="Arial" w:hAnsi="Arial" w:cs="Arial"/>
                <w:sz w:val="24"/>
                <w:szCs w:val="24"/>
              </w:rPr>
              <w:t>3,</w:t>
            </w:r>
            <w:r w:rsidRPr="00655316">
              <w:rPr>
                <w:rFonts w:ascii="Arial" w:hAnsi="Arial" w:cs="Arial"/>
                <w:sz w:val="24"/>
                <w:szCs w:val="24"/>
              </w:rPr>
              <w:t>907,394</w:t>
            </w:r>
          </w:p>
        </w:tc>
        <w:tc>
          <w:tcPr>
            <w:tcW w:w="1284" w:type="dxa"/>
            <w:shd w:val="clear" w:color="auto" w:fill="auto"/>
            <w:noWrap/>
            <w:vAlign w:val="center"/>
            <w:hideMark/>
          </w:tcPr>
          <w:p w14:paraId="47DE1EA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8,548,391</w:t>
            </w:r>
          </w:p>
        </w:tc>
        <w:tc>
          <w:tcPr>
            <w:tcW w:w="1284" w:type="dxa"/>
            <w:shd w:val="clear" w:color="auto" w:fill="auto"/>
            <w:noWrap/>
            <w:vAlign w:val="center"/>
            <w:hideMark/>
          </w:tcPr>
          <w:p w14:paraId="2F49D05E" w14:textId="77777777" w:rsidR="003E5BF5" w:rsidRPr="00655316" w:rsidRDefault="003E5BF5" w:rsidP="00DE1921">
            <w:pPr>
              <w:jc w:val="right"/>
              <w:rPr>
                <w:rFonts w:ascii="Arial" w:hAnsi="Arial" w:cs="Arial"/>
                <w:sz w:val="24"/>
                <w:szCs w:val="24"/>
              </w:rPr>
            </w:pPr>
            <w:r w:rsidRPr="00655316" w:rsidDel="00082125">
              <w:rPr>
                <w:rFonts w:ascii="Arial" w:hAnsi="Arial" w:cs="Arial"/>
                <w:sz w:val="24"/>
                <w:szCs w:val="24"/>
              </w:rPr>
              <w:t>4,</w:t>
            </w:r>
            <w:r w:rsidRPr="00655316">
              <w:rPr>
                <w:rFonts w:ascii="Arial" w:hAnsi="Arial" w:cs="Arial"/>
                <w:sz w:val="24"/>
                <w:szCs w:val="24"/>
              </w:rPr>
              <w:t>199,473</w:t>
            </w:r>
          </w:p>
        </w:tc>
      </w:tr>
      <w:tr w:rsidR="003E5BF5" w:rsidRPr="00655316" w14:paraId="60D752E9" w14:textId="77777777" w:rsidTr="00FD0A6D">
        <w:trPr>
          <w:trHeight w:val="284"/>
        </w:trPr>
        <w:tc>
          <w:tcPr>
            <w:tcW w:w="4130" w:type="dxa"/>
            <w:shd w:val="clear" w:color="auto" w:fill="auto"/>
            <w:noWrap/>
            <w:vAlign w:val="center"/>
            <w:hideMark/>
          </w:tcPr>
          <w:p w14:paraId="4389981E" w14:textId="77777777" w:rsidR="003E5BF5" w:rsidRPr="00655316" w:rsidRDefault="003E5BF5" w:rsidP="00DE1921">
            <w:pPr>
              <w:rPr>
                <w:rFonts w:ascii="Arial" w:hAnsi="Arial" w:cs="Arial"/>
                <w:sz w:val="24"/>
                <w:szCs w:val="24"/>
              </w:rPr>
            </w:pPr>
            <w:r w:rsidRPr="00655316">
              <w:rPr>
                <w:rFonts w:ascii="Arial" w:hAnsi="Arial" w:cs="Arial"/>
                <w:sz w:val="24"/>
                <w:szCs w:val="24"/>
              </w:rPr>
              <w:t>Disposals</w:t>
            </w:r>
          </w:p>
        </w:tc>
        <w:tc>
          <w:tcPr>
            <w:tcW w:w="1232" w:type="dxa"/>
            <w:shd w:val="clear" w:color="auto" w:fill="auto"/>
            <w:noWrap/>
            <w:vAlign w:val="center"/>
            <w:hideMark/>
          </w:tcPr>
          <w:p w14:paraId="109D820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(488)</w:t>
            </w:r>
          </w:p>
        </w:tc>
        <w:tc>
          <w:tcPr>
            <w:tcW w:w="1233" w:type="dxa"/>
            <w:shd w:val="clear" w:color="auto" w:fill="auto"/>
            <w:noWrap/>
            <w:vAlign w:val="center"/>
            <w:hideMark/>
          </w:tcPr>
          <w:p w14:paraId="05930DA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(398)</w:t>
            </w:r>
          </w:p>
        </w:tc>
        <w:tc>
          <w:tcPr>
            <w:tcW w:w="1233" w:type="dxa"/>
            <w:shd w:val="clear" w:color="auto" w:fill="auto"/>
            <w:noWrap/>
            <w:vAlign w:val="center"/>
            <w:hideMark/>
          </w:tcPr>
          <w:p w14:paraId="7580A7B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63AE4F8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312E9FA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(16,382)</w:t>
            </w:r>
          </w:p>
        </w:tc>
        <w:tc>
          <w:tcPr>
            <w:tcW w:w="1284" w:type="dxa"/>
            <w:shd w:val="clear" w:color="auto" w:fill="auto"/>
            <w:noWrap/>
            <w:vAlign w:val="center"/>
            <w:hideMark/>
          </w:tcPr>
          <w:p w14:paraId="64B0865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631D9C6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(54,365)</w:t>
            </w:r>
          </w:p>
        </w:tc>
        <w:tc>
          <w:tcPr>
            <w:tcW w:w="1284" w:type="dxa"/>
            <w:shd w:val="clear" w:color="auto" w:fill="auto"/>
            <w:noWrap/>
            <w:vAlign w:val="center"/>
            <w:hideMark/>
          </w:tcPr>
          <w:p w14:paraId="0206FAF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(1,376)</w:t>
            </w:r>
          </w:p>
        </w:tc>
      </w:tr>
      <w:tr w:rsidR="003E5BF5" w:rsidRPr="00655316" w14:paraId="02B2690C" w14:textId="77777777" w:rsidTr="00FD0A6D">
        <w:trPr>
          <w:trHeight w:val="284"/>
        </w:trPr>
        <w:tc>
          <w:tcPr>
            <w:tcW w:w="4130" w:type="dxa"/>
            <w:shd w:val="clear" w:color="auto" w:fill="auto"/>
            <w:noWrap/>
            <w:vAlign w:val="center"/>
            <w:hideMark/>
          </w:tcPr>
          <w:p w14:paraId="3F94ABC9" w14:textId="77777777" w:rsidR="003E5BF5" w:rsidRPr="00655316" w:rsidRDefault="003E5BF5" w:rsidP="00DE1921">
            <w:pPr>
              <w:rPr>
                <w:rFonts w:ascii="Arial" w:hAnsi="Arial" w:cs="Arial"/>
                <w:sz w:val="24"/>
                <w:szCs w:val="24"/>
              </w:rPr>
            </w:pPr>
            <w:r w:rsidRPr="00655316">
              <w:rPr>
                <w:rFonts w:ascii="Arial" w:hAnsi="Arial" w:cs="Arial"/>
                <w:sz w:val="24"/>
                <w:szCs w:val="24"/>
              </w:rPr>
              <w:t>Depreciation expense</w:t>
            </w:r>
          </w:p>
        </w:tc>
        <w:tc>
          <w:tcPr>
            <w:tcW w:w="1232" w:type="dxa"/>
            <w:shd w:val="clear" w:color="auto" w:fill="auto"/>
            <w:noWrap/>
            <w:vAlign w:val="center"/>
            <w:hideMark/>
          </w:tcPr>
          <w:p w14:paraId="458F012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(3,700)</w:t>
            </w:r>
          </w:p>
        </w:tc>
        <w:tc>
          <w:tcPr>
            <w:tcW w:w="1233" w:type="dxa"/>
            <w:shd w:val="clear" w:color="auto" w:fill="auto"/>
            <w:noWrap/>
            <w:vAlign w:val="center"/>
            <w:hideMark/>
          </w:tcPr>
          <w:p w14:paraId="1A2C2BC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(4,799)</w:t>
            </w:r>
          </w:p>
        </w:tc>
        <w:tc>
          <w:tcPr>
            <w:tcW w:w="1233" w:type="dxa"/>
            <w:shd w:val="clear" w:color="auto" w:fill="auto"/>
            <w:noWrap/>
            <w:vAlign w:val="center"/>
            <w:hideMark/>
          </w:tcPr>
          <w:p w14:paraId="2B985FB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(24)</w:t>
            </w:r>
          </w:p>
        </w:tc>
        <w:tc>
          <w:tcPr>
            <w:tcW w:w="1233" w:type="dxa"/>
            <w:shd w:val="clear" w:color="auto" w:fill="auto"/>
            <w:noWrap/>
            <w:vAlign w:val="center"/>
            <w:hideMark/>
          </w:tcPr>
          <w:p w14:paraId="0F9DA57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(607)</w:t>
            </w:r>
          </w:p>
        </w:tc>
        <w:tc>
          <w:tcPr>
            <w:tcW w:w="1284" w:type="dxa"/>
            <w:shd w:val="clear" w:color="auto" w:fill="auto"/>
            <w:noWrap/>
            <w:vAlign w:val="center"/>
            <w:hideMark/>
          </w:tcPr>
          <w:p w14:paraId="2DE1648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3AD96B0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41EBADE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(996,117)</w:t>
            </w:r>
          </w:p>
        </w:tc>
        <w:tc>
          <w:tcPr>
            <w:tcW w:w="1284" w:type="dxa"/>
            <w:shd w:val="clear" w:color="auto" w:fill="auto"/>
            <w:noWrap/>
            <w:vAlign w:val="center"/>
            <w:hideMark/>
          </w:tcPr>
          <w:p w14:paraId="097C5AC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(23,354)</w:t>
            </w:r>
          </w:p>
        </w:tc>
      </w:tr>
      <w:tr w:rsidR="003E5BF5" w:rsidRPr="00655316" w14:paraId="0F754917" w14:textId="77777777" w:rsidTr="00FD0A6D">
        <w:trPr>
          <w:trHeight w:val="284"/>
        </w:trPr>
        <w:tc>
          <w:tcPr>
            <w:tcW w:w="4130" w:type="dxa"/>
            <w:shd w:val="clear" w:color="auto" w:fill="auto"/>
            <w:noWrap/>
            <w:vAlign w:val="center"/>
            <w:hideMark/>
          </w:tcPr>
          <w:p w14:paraId="1174970D" w14:textId="77777777" w:rsidR="003E5BF5" w:rsidRPr="00655316" w:rsidRDefault="003E5BF5" w:rsidP="00DE1921">
            <w:pPr>
              <w:rPr>
                <w:rFonts w:ascii="Arial" w:hAnsi="Arial" w:cs="Arial"/>
                <w:sz w:val="24"/>
                <w:szCs w:val="24"/>
              </w:rPr>
            </w:pPr>
            <w:r w:rsidRPr="00655316">
              <w:rPr>
                <w:rFonts w:ascii="Arial" w:hAnsi="Arial" w:cs="Arial"/>
                <w:sz w:val="24"/>
                <w:szCs w:val="24"/>
              </w:rPr>
              <w:t>Assets provided as contributed capital</w:t>
            </w:r>
          </w:p>
        </w:tc>
        <w:tc>
          <w:tcPr>
            <w:tcW w:w="1232" w:type="dxa"/>
            <w:shd w:val="clear" w:color="auto" w:fill="auto"/>
            <w:noWrap/>
            <w:vAlign w:val="center"/>
            <w:hideMark/>
          </w:tcPr>
          <w:p w14:paraId="40D38F3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0F29F20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(264)</w:t>
            </w:r>
          </w:p>
        </w:tc>
        <w:tc>
          <w:tcPr>
            <w:tcW w:w="1233" w:type="dxa"/>
            <w:shd w:val="clear" w:color="auto" w:fill="auto"/>
            <w:noWrap/>
            <w:vAlign w:val="center"/>
            <w:hideMark/>
          </w:tcPr>
          <w:p w14:paraId="573676C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5F772BF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79DDCE9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(3,925,318)</w:t>
            </w:r>
          </w:p>
        </w:tc>
        <w:tc>
          <w:tcPr>
            <w:tcW w:w="1284" w:type="dxa"/>
            <w:shd w:val="clear" w:color="auto" w:fill="auto"/>
            <w:noWrap/>
            <w:vAlign w:val="center"/>
            <w:hideMark/>
          </w:tcPr>
          <w:p w14:paraId="4D4B2B0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(2,419,257)</w:t>
            </w:r>
          </w:p>
        </w:tc>
        <w:tc>
          <w:tcPr>
            <w:tcW w:w="1284" w:type="dxa"/>
            <w:shd w:val="clear" w:color="auto" w:fill="auto"/>
            <w:noWrap/>
            <w:vAlign w:val="center"/>
            <w:hideMark/>
          </w:tcPr>
          <w:p w14:paraId="57BDAF6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(4,283,841)</w:t>
            </w:r>
          </w:p>
        </w:tc>
        <w:tc>
          <w:tcPr>
            <w:tcW w:w="1284" w:type="dxa"/>
            <w:shd w:val="clear" w:color="auto" w:fill="auto"/>
            <w:noWrap/>
            <w:vAlign w:val="center"/>
            <w:hideMark/>
          </w:tcPr>
          <w:p w14:paraId="22FE43A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(2,713,557)</w:t>
            </w:r>
          </w:p>
        </w:tc>
      </w:tr>
      <w:tr w:rsidR="003E5BF5" w:rsidRPr="00655316" w14:paraId="0DC4239E" w14:textId="77777777" w:rsidTr="00FD0A6D">
        <w:trPr>
          <w:trHeight w:val="284"/>
        </w:trPr>
        <w:tc>
          <w:tcPr>
            <w:tcW w:w="4130" w:type="dxa"/>
            <w:shd w:val="clear" w:color="auto" w:fill="auto"/>
            <w:noWrap/>
            <w:vAlign w:val="center"/>
            <w:hideMark/>
          </w:tcPr>
          <w:p w14:paraId="2181A36A" w14:textId="77777777" w:rsidR="003E5BF5" w:rsidRPr="00655316" w:rsidRDefault="003E5BF5" w:rsidP="00DE1921">
            <w:pPr>
              <w:rPr>
                <w:rFonts w:ascii="Arial" w:hAnsi="Arial" w:cs="Arial"/>
                <w:sz w:val="24"/>
                <w:szCs w:val="24"/>
              </w:rPr>
            </w:pPr>
            <w:r w:rsidRPr="00655316">
              <w:rPr>
                <w:rFonts w:ascii="Arial" w:hAnsi="Arial" w:cs="Arial"/>
                <w:sz w:val="24"/>
                <w:szCs w:val="24"/>
              </w:rPr>
              <w:t>Transfers to assets classified as held for sale</w:t>
            </w:r>
          </w:p>
        </w:tc>
        <w:tc>
          <w:tcPr>
            <w:tcW w:w="1232" w:type="dxa"/>
            <w:shd w:val="clear" w:color="auto" w:fill="auto"/>
            <w:noWrap/>
            <w:vAlign w:val="center"/>
            <w:hideMark/>
          </w:tcPr>
          <w:p w14:paraId="0566EBD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5872FBE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4E37F5B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53D9301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4E15A87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2FEC77C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1DBB0C7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(3,257)</w:t>
            </w:r>
          </w:p>
        </w:tc>
        <w:tc>
          <w:tcPr>
            <w:tcW w:w="1284" w:type="dxa"/>
            <w:shd w:val="clear" w:color="auto" w:fill="auto"/>
            <w:noWrap/>
            <w:vAlign w:val="center"/>
            <w:hideMark/>
          </w:tcPr>
          <w:p w14:paraId="2BDB0E6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(25,195)</w:t>
            </w:r>
          </w:p>
        </w:tc>
      </w:tr>
      <w:tr w:rsidR="003E5BF5" w:rsidRPr="00655316" w14:paraId="2BEFC4B0" w14:textId="77777777" w:rsidTr="00FD0A6D">
        <w:trPr>
          <w:trHeight w:val="284"/>
        </w:trPr>
        <w:tc>
          <w:tcPr>
            <w:tcW w:w="4130" w:type="dxa"/>
            <w:shd w:val="clear" w:color="auto" w:fill="auto"/>
            <w:noWrap/>
            <w:vAlign w:val="center"/>
            <w:hideMark/>
          </w:tcPr>
          <w:p w14:paraId="38971F98" w14:textId="77777777" w:rsidR="003E5BF5" w:rsidRPr="00655316" w:rsidRDefault="003E5BF5" w:rsidP="00DE1921">
            <w:pPr>
              <w:rPr>
                <w:rFonts w:ascii="Arial" w:hAnsi="Arial" w:cs="Arial"/>
                <w:sz w:val="24"/>
                <w:szCs w:val="24"/>
              </w:rPr>
            </w:pPr>
            <w:r w:rsidRPr="00655316">
              <w:rPr>
                <w:rFonts w:ascii="Arial" w:hAnsi="Arial" w:cs="Arial"/>
                <w:sz w:val="24"/>
                <w:szCs w:val="24"/>
              </w:rPr>
              <w:t>Net transfers (to)/from government entities</w:t>
            </w:r>
          </w:p>
        </w:tc>
        <w:tc>
          <w:tcPr>
            <w:tcW w:w="1232" w:type="dxa"/>
            <w:shd w:val="clear" w:color="auto" w:fill="auto"/>
            <w:noWrap/>
            <w:vAlign w:val="center"/>
            <w:hideMark/>
          </w:tcPr>
          <w:p w14:paraId="18A3D0B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5F8B467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(20,989)</w:t>
            </w:r>
          </w:p>
        </w:tc>
        <w:tc>
          <w:tcPr>
            <w:tcW w:w="1233" w:type="dxa"/>
            <w:shd w:val="clear" w:color="auto" w:fill="auto"/>
            <w:noWrap/>
            <w:vAlign w:val="center"/>
            <w:hideMark/>
          </w:tcPr>
          <w:p w14:paraId="7D1BF7D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3500939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(17,711)</w:t>
            </w:r>
          </w:p>
        </w:tc>
        <w:tc>
          <w:tcPr>
            <w:tcW w:w="1284" w:type="dxa"/>
            <w:shd w:val="clear" w:color="auto" w:fill="auto"/>
            <w:noWrap/>
            <w:vAlign w:val="center"/>
            <w:hideMark/>
          </w:tcPr>
          <w:p w14:paraId="722A7AE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62B96CC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1,240,966</w:t>
            </w:r>
          </w:p>
        </w:tc>
        <w:tc>
          <w:tcPr>
            <w:tcW w:w="1284" w:type="dxa"/>
            <w:shd w:val="clear" w:color="auto" w:fill="auto"/>
            <w:noWrap/>
            <w:vAlign w:val="center"/>
            <w:hideMark/>
          </w:tcPr>
          <w:p w14:paraId="7E8EA9C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42149D9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102,936</w:t>
            </w:r>
          </w:p>
        </w:tc>
      </w:tr>
      <w:tr w:rsidR="003E5BF5" w:rsidRPr="00655316" w14:paraId="3ABB0B5C" w14:textId="77777777" w:rsidTr="00FD0A6D">
        <w:trPr>
          <w:trHeight w:val="284"/>
        </w:trPr>
        <w:tc>
          <w:tcPr>
            <w:tcW w:w="4130" w:type="dxa"/>
            <w:shd w:val="clear" w:color="auto" w:fill="auto"/>
            <w:noWrap/>
            <w:vAlign w:val="center"/>
            <w:hideMark/>
          </w:tcPr>
          <w:p w14:paraId="28596B4E" w14:textId="77777777" w:rsidR="003E5BF5" w:rsidRPr="00655316" w:rsidRDefault="003E5BF5" w:rsidP="00DE1921">
            <w:pPr>
              <w:rPr>
                <w:rFonts w:ascii="Arial" w:hAnsi="Arial" w:cs="Arial"/>
                <w:sz w:val="24"/>
                <w:szCs w:val="24"/>
              </w:rPr>
            </w:pPr>
            <w:r w:rsidRPr="00655316">
              <w:rPr>
                <w:rFonts w:ascii="Arial" w:hAnsi="Arial" w:cs="Arial"/>
                <w:sz w:val="24"/>
                <w:szCs w:val="24"/>
              </w:rPr>
              <w:t>Net revaluation increments/decrements</w:t>
            </w:r>
          </w:p>
        </w:tc>
        <w:tc>
          <w:tcPr>
            <w:tcW w:w="1232" w:type="dxa"/>
            <w:shd w:val="clear" w:color="auto" w:fill="auto"/>
            <w:noWrap/>
            <w:vAlign w:val="center"/>
            <w:hideMark/>
          </w:tcPr>
          <w:p w14:paraId="0976613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(2,033)</w:t>
            </w:r>
          </w:p>
        </w:tc>
        <w:tc>
          <w:tcPr>
            <w:tcW w:w="1233" w:type="dxa"/>
            <w:shd w:val="clear" w:color="auto" w:fill="auto"/>
            <w:noWrap/>
            <w:vAlign w:val="center"/>
            <w:hideMark/>
          </w:tcPr>
          <w:p w14:paraId="1D7D02B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5FDE81C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237</w:t>
            </w:r>
          </w:p>
        </w:tc>
        <w:tc>
          <w:tcPr>
            <w:tcW w:w="1233" w:type="dxa"/>
            <w:shd w:val="clear" w:color="auto" w:fill="auto"/>
            <w:noWrap/>
            <w:vAlign w:val="center"/>
            <w:hideMark/>
          </w:tcPr>
          <w:p w14:paraId="76263BF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33D81A5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0476ABA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57A42D2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11,104,357</w:t>
            </w:r>
          </w:p>
        </w:tc>
        <w:tc>
          <w:tcPr>
            <w:tcW w:w="1284" w:type="dxa"/>
            <w:shd w:val="clear" w:color="auto" w:fill="auto"/>
            <w:noWrap/>
            <w:vAlign w:val="center"/>
            <w:hideMark/>
          </w:tcPr>
          <w:p w14:paraId="5064812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r>
      <w:tr w:rsidR="003E5BF5" w:rsidRPr="00655316" w14:paraId="365C62C2" w14:textId="77777777" w:rsidTr="00FD0A6D">
        <w:trPr>
          <w:trHeight w:val="284"/>
        </w:trPr>
        <w:tc>
          <w:tcPr>
            <w:tcW w:w="4130" w:type="dxa"/>
            <w:shd w:val="clear" w:color="auto" w:fill="auto"/>
            <w:noWrap/>
            <w:vAlign w:val="center"/>
            <w:hideMark/>
          </w:tcPr>
          <w:p w14:paraId="34AF94A0" w14:textId="77777777" w:rsidR="003E5BF5" w:rsidRPr="00655316" w:rsidRDefault="003E5BF5" w:rsidP="00DE1921">
            <w:pPr>
              <w:rPr>
                <w:rFonts w:ascii="Arial" w:hAnsi="Arial" w:cs="Arial"/>
                <w:sz w:val="24"/>
                <w:szCs w:val="24"/>
              </w:rPr>
            </w:pPr>
            <w:r w:rsidRPr="00655316">
              <w:rPr>
                <w:rFonts w:ascii="Arial" w:hAnsi="Arial" w:cs="Arial"/>
                <w:sz w:val="24"/>
                <w:szCs w:val="24"/>
              </w:rPr>
              <w:t>Transfer between classes</w:t>
            </w:r>
          </w:p>
        </w:tc>
        <w:tc>
          <w:tcPr>
            <w:tcW w:w="1232" w:type="dxa"/>
            <w:shd w:val="clear" w:color="auto" w:fill="auto"/>
            <w:noWrap/>
            <w:vAlign w:val="center"/>
            <w:hideMark/>
          </w:tcPr>
          <w:p w14:paraId="4EE58D8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5774226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5,068</w:t>
            </w:r>
          </w:p>
        </w:tc>
        <w:tc>
          <w:tcPr>
            <w:tcW w:w="1233" w:type="dxa"/>
            <w:shd w:val="clear" w:color="auto" w:fill="auto"/>
            <w:noWrap/>
            <w:vAlign w:val="center"/>
            <w:hideMark/>
          </w:tcPr>
          <w:p w14:paraId="1D57BA0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shd w:val="clear" w:color="auto" w:fill="auto"/>
            <w:noWrap/>
            <w:vAlign w:val="center"/>
            <w:hideMark/>
          </w:tcPr>
          <w:p w14:paraId="49879F3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221</w:t>
            </w:r>
          </w:p>
        </w:tc>
        <w:tc>
          <w:tcPr>
            <w:tcW w:w="1284" w:type="dxa"/>
            <w:shd w:val="clear" w:color="auto" w:fill="auto"/>
            <w:noWrap/>
            <w:vAlign w:val="center"/>
            <w:hideMark/>
          </w:tcPr>
          <w:p w14:paraId="72F4D00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(1,350,761)</w:t>
            </w:r>
          </w:p>
        </w:tc>
        <w:tc>
          <w:tcPr>
            <w:tcW w:w="1284" w:type="dxa"/>
            <w:shd w:val="clear" w:color="auto" w:fill="auto"/>
            <w:noWrap/>
            <w:vAlign w:val="center"/>
            <w:hideMark/>
          </w:tcPr>
          <w:p w14:paraId="34DEB4A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(1,296,437)</w:t>
            </w:r>
          </w:p>
        </w:tc>
        <w:tc>
          <w:tcPr>
            <w:tcW w:w="1284" w:type="dxa"/>
            <w:shd w:val="clear" w:color="auto" w:fill="auto"/>
            <w:noWrap/>
            <w:vAlign w:val="center"/>
            <w:hideMark/>
          </w:tcPr>
          <w:p w14:paraId="5EC639F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shd w:val="clear" w:color="auto" w:fill="auto"/>
            <w:noWrap/>
            <w:vAlign w:val="center"/>
            <w:hideMark/>
          </w:tcPr>
          <w:p w14:paraId="75AAD93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r>
      <w:tr w:rsidR="003E5BF5" w:rsidRPr="00655316" w14:paraId="65D12C4B" w14:textId="77777777" w:rsidTr="00FD0A6D">
        <w:trPr>
          <w:trHeight w:val="284"/>
        </w:trPr>
        <w:tc>
          <w:tcPr>
            <w:tcW w:w="4130" w:type="dxa"/>
            <w:tcBorders>
              <w:bottom w:val="single" w:sz="4" w:space="0" w:color="auto"/>
            </w:tcBorders>
            <w:shd w:val="clear" w:color="auto" w:fill="auto"/>
            <w:noWrap/>
            <w:vAlign w:val="center"/>
            <w:hideMark/>
          </w:tcPr>
          <w:p w14:paraId="11457A7B" w14:textId="77777777" w:rsidR="003E5BF5" w:rsidRPr="00655316" w:rsidRDefault="003E5BF5" w:rsidP="00DE1921">
            <w:pPr>
              <w:rPr>
                <w:rFonts w:ascii="Arial" w:hAnsi="Arial" w:cs="Arial"/>
                <w:sz w:val="24"/>
                <w:szCs w:val="24"/>
              </w:rPr>
            </w:pPr>
            <w:r w:rsidRPr="00655316">
              <w:rPr>
                <w:rFonts w:ascii="Arial" w:hAnsi="Arial" w:cs="Arial"/>
                <w:sz w:val="24"/>
                <w:szCs w:val="24"/>
              </w:rPr>
              <w:t>Recognition/(derecognition)</w:t>
            </w:r>
          </w:p>
        </w:tc>
        <w:tc>
          <w:tcPr>
            <w:tcW w:w="1232" w:type="dxa"/>
            <w:tcBorders>
              <w:bottom w:val="single" w:sz="4" w:space="0" w:color="auto"/>
            </w:tcBorders>
            <w:shd w:val="clear" w:color="auto" w:fill="auto"/>
            <w:noWrap/>
            <w:vAlign w:val="center"/>
            <w:hideMark/>
          </w:tcPr>
          <w:p w14:paraId="3178778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tcBorders>
              <w:bottom w:val="single" w:sz="4" w:space="0" w:color="auto"/>
            </w:tcBorders>
            <w:shd w:val="clear" w:color="auto" w:fill="auto"/>
            <w:noWrap/>
            <w:vAlign w:val="center"/>
            <w:hideMark/>
          </w:tcPr>
          <w:p w14:paraId="758E74B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tcBorders>
              <w:bottom w:val="single" w:sz="4" w:space="0" w:color="auto"/>
            </w:tcBorders>
            <w:shd w:val="clear" w:color="auto" w:fill="auto"/>
            <w:noWrap/>
            <w:vAlign w:val="center"/>
            <w:hideMark/>
          </w:tcPr>
          <w:p w14:paraId="7521A32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33" w:type="dxa"/>
            <w:tcBorders>
              <w:bottom w:val="single" w:sz="4" w:space="0" w:color="auto"/>
            </w:tcBorders>
            <w:shd w:val="clear" w:color="auto" w:fill="auto"/>
            <w:noWrap/>
            <w:vAlign w:val="center"/>
            <w:hideMark/>
          </w:tcPr>
          <w:p w14:paraId="267CA1A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tcBorders>
              <w:bottom w:val="single" w:sz="4" w:space="0" w:color="auto"/>
            </w:tcBorders>
            <w:shd w:val="clear" w:color="auto" w:fill="auto"/>
            <w:noWrap/>
            <w:vAlign w:val="center"/>
            <w:hideMark/>
          </w:tcPr>
          <w:p w14:paraId="16533E9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tcBorders>
              <w:bottom w:val="single" w:sz="4" w:space="0" w:color="auto"/>
            </w:tcBorders>
            <w:shd w:val="clear" w:color="auto" w:fill="auto"/>
            <w:noWrap/>
            <w:vAlign w:val="center"/>
            <w:hideMark/>
          </w:tcPr>
          <w:p w14:paraId="1295116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(1,995)</w:t>
            </w:r>
          </w:p>
        </w:tc>
        <w:tc>
          <w:tcPr>
            <w:tcW w:w="1284" w:type="dxa"/>
            <w:tcBorders>
              <w:bottom w:val="single" w:sz="4" w:space="0" w:color="auto"/>
            </w:tcBorders>
            <w:shd w:val="clear" w:color="auto" w:fill="auto"/>
            <w:noWrap/>
            <w:vAlign w:val="center"/>
            <w:hideMark/>
          </w:tcPr>
          <w:p w14:paraId="7BC9817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84" w:type="dxa"/>
            <w:tcBorders>
              <w:bottom w:val="single" w:sz="4" w:space="0" w:color="auto"/>
            </w:tcBorders>
            <w:shd w:val="clear" w:color="auto" w:fill="auto"/>
            <w:noWrap/>
            <w:vAlign w:val="center"/>
            <w:hideMark/>
          </w:tcPr>
          <w:p w14:paraId="7C79C03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(3,000)</w:t>
            </w:r>
          </w:p>
        </w:tc>
      </w:tr>
      <w:tr w:rsidR="003E5BF5" w:rsidRPr="00655316" w14:paraId="0CFD383F" w14:textId="77777777" w:rsidTr="00FD0A6D">
        <w:trPr>
          <w:trHeight w:val="284"/>
        </w:trPr>
        <w:tc>
          <w:tcPr>
            <w:tcW w:w="4130" w:type="dxa"/>
            <w:tcBorders>
              <w:bottom w:val="single" w:sz="4" w:space="0" w:color="auto"/>
            </w:tcBorders>
            <w:shd w:val="clear" w:color="auto" w:fill="auto"/>
            <w:noWrap/>
            <w:vAlign w:val="center"/>
            <w:hideMark/>
          </w:tcPr>
          <w:p w14:paraId="249D1962" w14:textId="77777777" w:rsidR="003E5BF5" w:rsidRPr="00655316" w:rsidRDefault="003E5BF5" w:rsidP="00DE1921">
            <w:pPr>
              <w:rPr>
                <w:rFonts w:ascii="Arial" w:hAnsi="Arial" w:cs="Arial"/>
                <w:b/>
                <w:sz w:val="24"/>
                <w:szCs w:val="24"/>
              </w:rPr>
            </w:pPr>
            <w:r w:rsidRPr="00655316">
              <w:rPr>
                <w:rFonts w:ascii="Arial" w:hAnsi="Arial" w:cs="Arial"/>
                <w:b/>
                <w:sz w:val="24"/>
                <w:szCs w:val="24"/>
              </w:rPr>
              <w:t>Closing balance</w:t>
            </w:r>
          </w:p>
        </w:tc>
        <w:tc>
          <w:tcPr>
            <w:tcW w:w="1232" w:type="dxa"/>
            <w:tcBorders>
              <w:bottom w:val="single" w:sz="4" w:space="0" w:color="auto"/>
            </w:tcBorders>
            <w:shd w:val="clear" w:color="auto" w:fill="auto"/>
            <w:noWrap/>
            <w:vAlign w:val="center"/>
            <w:hideMark/>
          </w:tcPr>
          <w:p w14:paraId="39E379C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41,217</w:t>
            </w:r>
          </w:p>
        </w:tc>
        <w:tc>
          <w:tcPr>
            <w:tcW w:w="1233" w:type="dxa"/>
            <w:tcBorders>
              <w:bottom w:val="single" w:sz="4" w:space="0" w:color="auto"/>
            </w:tcBorders>
            <w:shd w:val="clear" w:color="auto" w:fill="auto"/>
            <w:noWrap/>
            <w:vAlign w:val="center"/>
            <w:hideMark/>
          </w:tcPr>
          <w:p w14:paraId="66C485F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15,953</w:t>
            </w:r>
          </w:p>
        </w:tc>
        <w:tc>
          <w:tcPr>
            <w:tcW w:w="1233" w:type="dxa"/>
            <w:tcBorders>
              <w:bottom w:val="single" w:sz="4" w:space="0" w:color="auto"/>
            </w:tcBorders>
            <w:shd w:val="clear" w:color="auto" w:fill="auto"/>
            <w:noWrap/>
            <w:vAlign w:val="center"/>
            <w:hideMark/>
          </w:tcPr>
          <w:p w14:paraId="1C541C1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2,609</w:t>
            </w:r>
          </w:p>
        </w:tc>
        <w:tc>
          <w:tcPr>
            <w:tcW w:w="1233" w:type="dxa"/>
            <w:tcBorders>
              <w:bottom w:val="single" w:sz="4" w:space="0" w:color="auto"/>
            </w:tcBorders>
            <w:shd w:val="clear" w:color="auto" w:fill="auto"/>
            <w:noWrap/>
            <w:vAlign w:val="center"/>
            <w:hideMark/>
          </w:tcPr>
          <w:p w14:paraId="61C568A7"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256</w:t>
            </w:r>
          </w:p>
        </w:tc>
        <w:tc>
          <w:tcPr>
            <w:tcW w:w="1284" w:type="dxa"/>
            <w:tcBorders>
              <w:bottom w:val="single" w:sz="4" w:space="0" w:color="auto"/>
            </w:tcBorders>
            <w:shd w:val="clear" w:color="auto" w:fill="auto"/>
            <w:noWrap/>
            <w:vAlign w:val="center"/>
            <w:hideMark/>
          </w:tcPr>
          <w:p w14:paraId="6D4CBC8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11,032,032</w:t>
            </w:r>
          </w:p>
        </w:tc>
        <w:tc>
          <w:tcPr>
            <w:tcW w:w="1284" w:type="dxa"/>
            <w:tcBorders>
              <w:bottom w:val="single" w:sz="4" w:space="0" w:color="auto"/>
            </w:tcBorders>
            <w:shd w:val="clear" w:color="auto" w:fill="auto"/>
            <w:noWrap/>
            <w:vAlign w:val="center"/>
            <w:hideMark/>
          </w:tcPr>
          <w:p w14:paraId="33E8D25F"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6,946,290</w:t>
            </w:r>
          </w:p>
        </w:tc>
        <w:tc>
          <w:tcPr>
            <w:tcW w:w="1284" w:type="dxa"/>
            <w:tcBorders>
              <w:bottom w:val="single" w:sz="4" w:space="0" w:color="auto"/>
            </w:tcBorders>
            <w:shd w:val="clear" w:color="auto" w:fill="auto"/>
            <w:noWrap/>
            <w:vAlign w:val="center"/>
            <w:hideMark/>
          </w:tcPr>
          <w:p w14:paraId="05DB45D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87,863,502</w:t>
            </w:r>
          </w:p>
        </w:tc>
        <w:tc>
          <w:tcPr>
            <w:tcW w:w="1284" w:type="dxa"/>
            <w:tcBorders>
              <w:bottom w:val="single" w:sz="4" w:space="0" w:color="auto"/>
            </w:tcBorders>
            <w:shd w:val="clear" w:color="auto" w:fill="auto"/>
            <w:noWrap/>
            <w:vAlign w:val="center"/>
            <w:hideMark/>
          </w:tcPr>
          <w:p w14:paraId="48129C2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8,626,082</w:t>
            </w:r>
          </w:p>
        </w:tc>
      </w:tr>
    </w:tbl>
    <w:p w14:paraId="3DB46EE1" w14:textId="77777777" w:rsidR="00FD0A6D" w:rsidRPr="00655316" w:rsidRDefault="00FD0A6D" w:rsidP="00FD0A6D">
      <w:pPr>
        <w:pStyle w:val="Note"/>
        <w:rPr>
          <w:rFonts w:ascii="Arial" w:hAnsi="Arial" w:cs="Arial"/>
          <w:sz w:val="24"/>
          <w:szCs w:val="24"/>
        </w:rPr>
      </w:pPr>
      <w:bookmarkStart w:id="313" w:name="_Toc522000685"/>
      <w:bookmarkStart w:id="314" w:name="_Toc529196862"/>
      <w:bookmarkStart w:id="315" w:name="_Toc529197904"/>
      <w:bookmarkStart w:id="316" w:name="_Toc9344262"/>
      <w:r w:rsidRPr="00655316">
        <w:rPr>
          <w:rFonts w:ascii="Arial" w:hAnsi="Arial" w:cs="Arial"/>
          <w:sz w:val="24"/>
          <w:szCs w:val="24"/>
        </w:rPr>
        <w:lastRenderedPageBreak/>
        <w:t>Notes:</w:t>
      </w:r>
    </w:p>
    <w:p w14:paraId="4E0E8A46" w14:textId="77777777" w:rsidR="00FD0A6D" w:rsidRPr="00655316" w:rsidRDefault="00FD0A6D" w:rsidP="00610F5F">
      <w:pPr>
        <w:pStyle w:val="aaaNotenumberiiiiii"/>
        <w:numPr>
          <w:ilvl w:val="0"/>
          <w:numId w:val="91"/>
        </w:numPr>
      </w:pPr>
      <w:r w:rsidRPr="00655316">
        <w:t>The opening balance includes amounts reclassified from existing assets to service concession assets (recognised under AASB 1059 at 1 July 2018). Refer to Note 7.5.3 for further details.</w:t>
      </w:r>
    </w:p>
    <w:p w14:paraId="1EDB85C9" w14:textId="77777777" w:rsidR="00FD0A6D" w:rsidRPr="00655316" w:rsidRDefault="00FD0A6D" w:rsidP="00610F5F">
      <w:pPr>
        <w:pStyle w:val="aaaNotenumberiiiiii"/>
        <w:numPr>
          <w:ilvl w:val="0"/>
          <w:numId w:val="91"/>
        </w:numPr>
      </w:pPr>
      <w:r w:rsidRPr="00655316">
        <w:t>Where a service concession arrangement is in existence at 1 July 2018; the opening balance at 1 July 2018 is adjusted to reflect the adoption of AASB 1059. Refer to Note 9.6.5.2 and Note 7.5.3 for further details.</w:t>
      </w:r>
    </w:p>
    <w:p w14:paraId="66A82824" w14:textId="77777777" w:rsidR="00FD0A6D" w:rsidRPr="00655316" w:rsidRDefault="00FD0A6D" w:rsidP="00610F5F">
      <w:pPr>
        <w:pStyle w:val="aaaNotenumberiiiiii"/>
        <w:numPr>
          <w:ilvl w:val="0"/>
          <w:numId w:val="91"/>
        </w:numPr>
      </w:pPr>
      <w:r w:rsidRPr="00655316">
        <w:t>This balance represents the initial recognition of service concession assets (recognised under AASB 1059 retrospectively at 1 July 2019). Refer to Note 9.6.5.2 and Note 7.5.3.</w:t>
      </w:r>
    </w:p>
    <w:p w14:paraId="5C18C8CA" w14:textId="77777777" w:rsidR="00FD0A6D" w:rsidRPr="00655316" w:rsidRDefault="00FD0A6D" w:rsidP="00610F5F">
      <w:pPr>
        <w:pStyle w:val="aaaNotenumberiiiiii"/>
        <w:numPr>
          <w:ilvl w:val="0"/>
          <w:numId w:val="91"/>
        </w:numPr>
      </w:pPr>
      <w:r w:rsidRPr="00655316">
        <w:t>This balance represents the initial recognition of right-of-use assets recorded on the balance sheet on 1 July 2019 relating to operating leases. Refer to Note 9.6.5.3 for further details.</w:t>
      </w:r>
    </w:p>
    <w:p w14:paraId="2CABF614" w14:textId="77777777" w:rsidR="00FD0A6D" w:rsidRDefault="00FD0A6D" w:rsidP="00FD0A6D"/>
    <w:p w14:paraId="7ACDBA83" w14:textId="7D4A765E" w:rsidR="00FD0A6D" w:rsidRPr="00FD0A6D" w:rsidRDefault="00FD0A6D" w:rsidP="00FD0A6D">
      <w:pPr>
        <w:sectPr w:rsidR="00FD0A6D" w:rsidRPr="00FD0A6D" w:rsidSect="00DE1921">
          <w:pgSz w:w="16838" w:h="11906" w:orient="landscape"/>
          <w:pgMar w:top="1418" w:right="1701" w:bottom="1418" w:left="1418" w:header="709" w:footer="709" w:gutter="0"/>
          <w:cols w:space="708"/>
          <w:docGrid w:linePitch="360"/>
        </w:sectPr>
      </w:pPr>
    </w:p>
    <w:p w14:paraId="26DF1054" w14:textId="211341BD" w:rsidR="003E5BF5" w:rsidRPr="00520D5D" w:rsidRDefault="003E5BF5" w:rsidP="00610F5F">
      <w:pPr>
        <w:pStyle w:val="Heading3"/>
        <w:numPr>
          <w:ilvl w:val="3"/>
          <w:numId w:val="16"/>
        </w:numPr>
      </w:pPr>
      <w:r w:rsidRPr="00AE71C9">
        <w:lastRenderedPageBreak/>
        <w:t xml:space="preserve">Reconciliation of movements </w:t>
      </w:r>
      <w:r w:rsidRPr="00FF7D38">
        <w:t>in carrying amount of right-of-use assets</w:t>
      </w:r>
      <w:bookmarkStart w:id="317" w:name="RANGE!A3:I17"/>
      <w:bookmarkEnd w:id="317"/>
    </w:p>
    <w:tbl>
      <w:tblPr>
        <w:tblStyle w:val="TableGrid"/>
        <w:tblW w:w="13608" w:type="dxa"/>
        <w:jc w:val="center"/>
        <w:tblCellMar>
          <w:left w:w="28" w:type="dxa"/>
          <w:right w:w="28" w:type="dxa"/>
        </w:tblCellMar>
        <w:tblLook w:val="04A0" w:firstRow="1" w:lastRow="0" w:firstColumn="1" w:lastColumn="0" w:noHBand="0" w:noVBand="1"/>
      </w:tblPr>
      <w:tblGrid>
        <w:gridCol w:w="3620"/>
        <w:gridCol w:w="1109"/>
        <w:gridCol w:w="972"/>
        <w:gridCol w:w="971"/>
        <w:gridCol w:w="971"/>
        <w:gridCol w:w="972"/>
        <w:gridCol w:w="971"/>
        <w:gridCol w:w="971"/>
        <w:gridCol w:w="971"/>
        <w:gridCol w:w="1108"/>
        <w:gridCol w:w="972"/>
      </w:tblGrid>
      <w:tr w:rsidR="003E5BF5" w:rsidRPr="00655316" w14:paraId="42E38490" w14:textId="77777777" w:rsidTr="00FD0A6D">
        <w:trPr>
          <w:trHeight w:val="340"/>
          <w:jc w:val="center"/>
        </w:trPr>
        <w:tc>
          <w:tcPr>
            <w:tcW w:w="3620" w:type="dxa"/>
            <w:shd w:val="clear" w:color="auto" w:fill="auto"/>
            <w:noWrap/>
            <w:hideMark/>
          </w:tcPr>
          <w:p w14:paraId="56822993" w14:textId="77777777" w:rsidR="003E5BF5" w:rsidRPr="00655316" w:rsidRDefault="003E5BF5" w:rsidP="00DE1921">
            <w:pPr>
              <w:rPr>
                <w:rFonts w:ascii="Arial" w:hAnsi="Arial" w:cs="Arial"/>
                <w:sz w:val="24"/>
                <w:szCs w:val="24"/>
                <w:lang w:eastAsia="en-AU"/>
              </w:rPr>
            </w:pPr>
          </w:p>
        </w:tc>
        <w:tc>
          <w:tcPr>
            <w:tcW w:w="9988" w:type="dxa"/>
            <w:gridSpan w:val="10"/>
            <w:shd w:val="clear" w:color="auto" w:fill="auto"/>
            <w:noWrap/>
            <w:vAlign w:val="center"/>
            <w:hideMark/>
          </w:tcPr>
          <w:p w14:paraId="5A81DC0B"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 thousand)</w:t>
            </w:r>
          </w:p>
        </w:tc>
      </w:tr>
      <w:tr w:rsidR="003E5BF5" w:rsidRPr="00655316" w14:paraId="665A6279" w14:textId="77777777" w:rsidTr="00FD0A6D">
        <w:trPr>
          <w:trHeight w:val="340"/>
          <w:jc w:val="center"/>
        </w:trPr>
        <w:tc>
          <w:tcPr>
            <w:tcW w:w="3620" w:type="dxa"/>
            <w:shd w:val="clear" w:color="auto" w:fill="auto"/>
            <w:noWrap/>
            <w:hideMark/>
          </w:tcPr>
          <w:p w14:paraId="2D6157BD"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 </w:t>
            </w:r>
          </w:p>
        </w:tc>
        <w:tc>
          <w:tcPr>
            <w:tcW w:w="2081" w:type="dxa"/>
            <w:gridSpan w:val="2"/>
            <w:shd w:val="clear" w:color="auto" w:fill="auto"/>
            <w:vAlign w:val="bottom"/>
            <w:hideMark/>
          </w:tcPr>
          <w:p w14:paraId="0A6FB5D2"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Buildings at fair value</w:t>
            </w:r>
          </w:p>
        </w:tc>
        <w:tc>
          <w:tcPr>
            <w:tcW w:w="1942" w:type="dxa"/>
            <w:gridSpan w:val="2"/>
            <w:shd w:val="clear" w:color="auto" w:fill="auto"/>
            <w:vAlign w:val="bottom"/>
            <w:hideMark/>
          </w:tcPr>
          <w:p w14:paraId="7A9EE9B1"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Plant, equipment and vehicles at fair value</w:t>
            </w:r>
          </w:p>
        </w:tc>
        <w:tc>
          <w:tcPr>
            <w:tcW w:w="1943" w:type="dxa"/>
            <w:gridSpan w:val="2"/>
            <w:shd w:val="clear" w:color="auto" w:fill="auto"/>
            <w:vAlign w:val="bottom"/>
            <w:hideMark/>
          </w:tcPr>
          <w:p w14:paraId="3D78122E"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Leasehold improvement at fair value</w:t>
            </w:r>
          </w:p>
        </w:tc>
        <w:tc>
          <w:tcPr>
            <w:tcW w:w="1942" w:type="dxa"/>
            <w:gridSpan w:val="2"/>
            <w:shd w:val="clear" w:color="auto" w:fill="auto"/>
            <w:vAlign w:val="bottom"/>
            <w:hideMark/>
          </w:tcPr>
          <w:p w14:paraId="425E3153"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Assets under construction</w:t>
            </w:r>
          </w:p>
        </w:tc>
        <w:tc>
          <w:tcPr>
            <w:tcW w:w="2080" w:type="dxa"/>
            <w:gridSpan w:val="2"/>
            <w:shd w:val="clear" w:color="auto" w:fill="auto"/>
            <w:vAlign w:val="bottom"/>
            <w:hideMark/>
          </w:tcPr>
          <w:p w14:paraId="329702FD"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Total</w:t>
            </w:r>
          </w:p>
        </w:tc>
      </w:tr>
      <w:tr w:rsidR="003E5BF5" w:rsidRPr="00655316" w14:paraId="62AD137A" w14:textId="77777777" w:rsidTr="00FD0A6D">
        <w:trPr>
          <w:trHeight w:val="340"/>
          <w:jc w:val="center"/>
        </w:trPr>
        <w:tc>
          <w:tcPr>
            <w:tcW w:w="3620" w:type="dxa"/>
            <w:shd w:val="clear" w:color="auto" w:fill="auto"/>
            <w:noWrap/>
            <w:hideMark/>
          </w:tcPr>
          <w:p w14:paraId="3480AF7F" w14:textId="77777777" w:rsidR="003E5BF5" w:rsidRPr="00655316" w:rsidRDefault="003E5BF5" w:rsidP="00DE1921">
            <w:pPr>
              <w:rPr>
                <w:rFonts w:ascii="Arial" w:hAnsi="Arial" w:cs="Arial"/>
                <w:b/>
                <w:sz w:val="24"/>
                <w:szCs w:val="24"/>
                <w:lang w:eastAsia="en-AU"/>
              </w:rPr>
            </w:pPr>
          </w:p>
        </w:tc>
        <w:tc>
          <w:tcPr>
            <w:tcW w:w="1109" w:type="dxa"/>
            <w:shd w:val="clear" w:color="auto" w:fill="auto"/>
            <w:noWrap/>
            <w:vAlign w:val="center"/>
            <w:hideMark/>
          </w:tcPr>
          <w:p w14:paraId="47D9786C"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972" w:type="dxa"/>
            <w:shd w:val="clear" w:color="auto" w:fill="auto"/>
            <w:noWrap/>
            <w:vAlign w:val="center"/>
            <w:hideMark/>
          </w:tcPr>
          <w:p w14:paraId="7CEDA68A"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2019</w:t>
            </w:r>
          </w:p>
        </w:tc>
        <w:tc>
          <w:tcPr>
            <w:tcW w:w="971" w:type="dxa"/>
            <w:shd w:val="clear" w:color="auto" w:fill="auto"/>
            <w:noWrap/>
            <w:vAlign w:val="center"/>
            <w:hideMark/>
          </w:tcPr>
          <w:p w14:paraId="441AFE22"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971" w:type="dxa"/>
            <w:shd w:val="clear" w:color="auto" w:fill="auto"/>
            <w:noWrap/>
            <w:vAlign w:val="center"/>
            <w:hideMark/>
          </w:tcPr>
          <w:p w14:paraId="5A943DE2"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2019</w:t>
            </w:r>
          </w:p>
        </w:tc>
        <w:tc>
          <w:tcPr>
            <w:tcW w:w="972" w:type="dxa"/>
            <w:shd w:val="clear" w:color="auto" w:fill="auto"/>
            <w:noWrap/>
            <w:vAlign w:val="center"/>
            <w:hideMark/>
          </w:tcPr>
          <w:p w14:paraId="0416F7A6"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971" w:type="dxa"/>
            <w:shd w:val="clear" w:color="auto" w:fill="auto"/>
            <w:noWrap/>
            <w:vAlign w:val="center"/>
            <w:hideMark/>
          </w:tcPr>
          <w:p w14:paraId="0027480B"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2019</w:t>
            </w:r>
          </w:p>
        </w:tc>
        <w:tc>
          <w:tcPr>
            <w:tcW w:w="971" w:type="dxa"/>
            <w:shd w:val="clear" w:color="auto" w:fill="auto"/>
            <w:noWrap/>
            <w:vAlign w:val="center"/>
            <w:hideMark/>
          </w:tcPr>
          <w:p w14:paraId="7E036BF7"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971" w:type="dxa"/>
            <w:shd w:val="clear" w:color="auto" w:fill="auto"/>
            <w:noWrap/>
            <w:vAlign w:val="center"/>
            <w:hideMark/>
          </w:tcPr>
          <w:p w14:paraId="6451D5BF"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2019</w:t>
            </w:r>
          </w:p>
        </w:tc>
        <w:tc>
          <w:tcPr>
            <w:tcW w:w="1108" w:type="dxa"/>
            <w:shd w:val="clear" w:color="auto" w:fill="auto"/>
            <w:noWrap/>
            <w:vAlign w:val="center"/>
            <w:hideMark/>
          </w:tcPr>
          <w:p w14:paraId="3281E1B8"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972" w:type="dxa"/>
            <w:shd w:val="clear" w:color="auto" w:fill="auto"/>
            <w:noWrap/>
            <w:vAlign w:val="center"/>
            <w:hideMark/>
          </w:tcPr>
          <w:p w14:paraId="3BBD27CF"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2019</w:t>
            </w:r>
          </w:p>
        </w:tc>
      </w:tr>
      <w:tr w:rsidR="003E5BF5" w:rsidRPr="00655316" w14:paraId="1FEA57AF" w14:textId="77777777" w:rsidTr="00FD0A6D">
        <w:trPr>
          <w:trHeight w:val="340"/>
          <w:jc w:val="center"/>
        </w:trPr>
        <w:tc>
          <w:tcPr>
            <w:tcW w:w="3620" w:type="dxa"/>
            <w:shd w:val="clear" w:color="auto" w:fill="auto"/>
            <w:noWrap/>
            <w:vAlign w:val="center"/>
            <w:hideMark/>
          </w:tcPr>
          <w:p w14:paraId="24D12303"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Opening balance</w:t>
            </w:r>
          </w:p>
        </w:tc>
        <w:tc>
          <w:tcPr>
            <w:tcW w:w="1109" w:type="dxa"/>
            <w:shd w:val="clear" w:color="auto" w:fill="auto"/>
            <w:noWrap/>
            <w:vAlign w:val="center"/>
            <w:hideMark/>
          </w:tcPr>
          <w:p w14:paraId="0638EEF4"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972" w:type="dxa"/>
            <w:shd w:val="clear" w:color="auto" w:fill="auto"/>
            <w:noWrap/>
            <w:vAlign w:val="center"/>
            <w:hideMark/>
          </w:tcPr>
          <w:p w14:paraId="5133B758"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480D875B"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3,555 </w:t>
            </w:r>
          </w:p>
        </w:tc>
        <w:tc>
          <w:tcPr>
            <w:tcW w:w="971" w:type="dxa"/>
            <w:shd w:val="clear" w:color="auto" w:fill="auto"/>
            <w:noWrap/>
            <w:vAlign w:val="center"/>
            <w:hideMark/>
          </w:tcPr>
          <w:p w14:paraId="4A0E8679"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3,555 </w:t>
            </w:r>
          </w:p>
        </w:tc>
        <w:tc>
          <w:tcPr>
            <w:tcW w:w="972" w:type="dxa"/>
            <w:shd w:val="clear" w:color="auto" w:fill="auto"/>
            <w:noWrap/>
            <w:vAlign w:val="center"/>
            <w:hideMark/>
          </w:tcPr>
          <w:p w14:paraId="2A49B6AF"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15,953 </w:t>
            </w:r>
          </w:p>
        </w:tc>
        <w:tc>
          <w:tcPr>
            <w:tcW w:w="971" w:type="dxa"/>
            <w:shd w:val="clear" w:color="auto" w:fill="auto"/>
            <w:noWrap/>
            <w:vAlign w:val="center"/>
            <w:hideMark/>
          </w:tcPr>
          <w:p w14:paraId="68F23289"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15,953 </w:t>
            </w:r>
          </w:p>
        </w:tc>
        <w:tc>
          <w:tcPr>
            <w:tcW w:w="971" w:type="dxa"/>
            <w:shd w:val="clear" w:color="auto" w:fill="auto"/>
            <w:noWrap/>
            <w:vAlign w:val="center"/>
            <w:hideMark/>
          </w:tcPr>
          <w:p w14:paraId="2E899F3E"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18,784 </w:t>
            </w:r>
          </w:p>
        </w:tc>
        <w:tc>
          <w:tcPr>
            <w:tcW w:w="971" w:type="dxa"/>
            <w:shd w:val="clear" w:color="auto" w:fill="auto"/>
            <w:noWrap/>
            <w:vAlign w:val="center"/>
            <w:hideMark/>
          </w:tcPr>
          <w:p w14:paraId="70AECF75"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18,784 </w:t>
            </w:r>
          </w:p>
        </w:tc>
        <w:tc>
          <w:tcPr>
            <w:tcW w:w="1108" w:type="dxa"/>
            <w:shd w:val="clear" w:color="auto" w:fill="auto"/>
            <w:noWrap/>
            <w:vAlign w:val="center"/>
            <w:hideMark/>
          </w:tcPr>
          <w:p w14:paraId="7D59B5B5"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38,292 </w:t>
            </w:r>
          </w:p>
        </w:tc>
        <w:tc>
          <w:tcPr>
            <w:tcW w:w="972" w:type="dxa"/>
            <w:shd w:val="clear" w:color="auto" w:fill="auto"/>
            <w:noWrap/>
            <w:vAlign w:val="center"/>
            <w:hideMark/>
          </w:tcPr>
          <w:p w14:paraId="759CEAD8"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38,292</w:t>
            </w:r>
          </w:p>
        </w:tc>
      </w:tr>
      <w:tr w:rsidR="003E5BF5" w:rsidRPr="00655316" w14:paraId="20C0B811" w14:textId="77777777" w:rsidTr="00FD0A6D">
        <w:trPr>
          <w:trHeight w:val="340"/>
          <w:jc w:val="center"/>
        </w:trPr>
        <w:tc>
          <w:tcPr>
            <w:tcW w:w="3620" w:type="dxa"/>
            <w:shd w:val="clear" w:color="auto" w:fill="auto"/>
            <w:vAlign w:val="center"/>
            <w:hideMark/>
          </w:tcPr>
          <w:p w14:paraId="7C3287BF"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 xml:space="preserve">Recognition of right-of-use assets on initial application of AASB 16 effecting 1 July 2019 </w:t>
            </w:r>
            <w:r w:rsidRPr="00655316">
              <w:rPr>
                <w:rFonts w:ascii="Arial" w:hAnsi="Arial" w:cs="Arial"/>
                <w:sz w:val="24"/>
                <w:szCs w:val="24"/>
                <w:vertAlign w:val="superscript"/>
                <w:lang w:eastAsia="en-AU"/>
              </w:rPr>
              <w:t>(</w:t>
            </w:r>
            <w:proofErr w:type="spellStart"/>
            <w:r w:rsidRPr="00655316">
              <w:rPr>
                <w:rFonts w:ascii="Arial" w:hAnsi="Arial" w:cs="Arial"/>
                <w:sz w:val="24"/>
                <w:szCs w:val="24"/>
                <w:vertAlign w:val="superscript"/>
                <w:lang w:eastAsia="en-AU"/>
              </w:rPr>
              <w:t>i</w:t>
            </w:r>
            <w:proofErr w:type="spellEnd"/>
            <w:r w:rsidRPr="00655316">
              <w:rPr>
                <w:rFonts w:ascii="Arial" w:hAnsi="Arial" w:cs="Arial"/>
                <w:sz w:val="24"/>
                <w:szCs w:val="24"/>
                <w:vertAlign w:val="superscript"/>
                <w:lang w:eastAsia="en-AU"/>
              </w:rPr>
              <w:t>)</w:t>
            </w:r>
          </w:p>
        </w:tc>
        <w:tc>
          <w:tcPr>
            <w:tcW w:w="1109" w:type="dxa"/>
            <w:shd w:val="clear" w:color="auto" w:fill="auto"/>
            <w:noWrap/>
            <w:hideMark/>
          </w:tcPr>
          <w:p w14:paraId="398EACE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247,207 </w:t>
            </w:r>
          </w:p>
        </w:tc>
        <w:tc>
          <w:tcPr>
            <w:tcW w:w="972" w:type="dxa"/>
            <w:shd w:val="clear" w:color="auto" w:fill="auto"/>
            <w:noWrap/>
            <w:hideMark/>
          </w:tcPr>
          <w:p w14:paraId="318C50AB"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hideMark/>
          </w:tcPr>
          <w:p w14:paraId="6EFF8AC8"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hideMark/>
          </w:tcPr>
          <w:p w14:paraId="5C7C129D"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2" w:type="dxa"/>
            <w:shd w:val="clear" w:color="auto" w:fill="auto"/>
            <w:noWrap/>
            <w:hideMark/>
          </w:tcPr>
          <w:p w14:paraId="1EE309E6"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hideMark/>
          </w:tcPr>
          <w:p w14:paraId="06FF6F82"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hideMark/>
          </w:tcPr>
          <w:p w14:paraId="1065957D"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hideMark/>
          </w:tcPr>
          <w:p w14:paraId="242485EC"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08" w:type="dxa"/>
            <w:shd w:val="clear" w:color="auto" w:fill="auto"/>
            <w:noWrap/>
            <w:hideMark/>
          </w:tcPr>
          <w:p w14:paraId="28327A57"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247,207 </w:t>
            </w:r>
          </w:p>
        </w:tc>
        <w:tc>
          <w:tcPr>
            <w:tcW w:w="972" w:type="dxa"/>
            <w:shd w:val="clear" w:color="auto" w:fill="auto"/>
            <w:noWrap/>
            <w:hideMark/>
          </w:tcPr>
          <w:p w14:paraId="338C19A6"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r>
      <w:tr w:rsidR="00BB4752" w:rsidRPr="00655316" w14:paraId="1514F23C" w14:textId="77777777" w:rsidTr="00FD0A6D">
        <w:trPr>
          <w:trHeight w:val="340"/>
          <w:jc w:val="center"/>
        </w:trPr>
        <w:tc>
          <w:tcPr>
            <w:tcW w:w="3620" w:type="dxa"/>
            <w:shd w:val="clear" w:color="auto" w:fill="auto"/>
            <w:noWrap/>
            <w:vAlign w:val="center"/>
            <w:hideMark/>
          </w:tcPr>
          <w:p w14:paraId="1C6237F3"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Adjusted opening balance</w:t>
            </w:r>
          </w:p>
        </w:tc>
        <w:tc>
          <w:tcPr>
            <w:tcW w:w="1109" w:type="dxa"/>
            <w:shd w:val="clear" w:color="auto" w:fill="auto"/>
            <w:noWrap/>
            <w:vAlign w:val="center"/>
            <w:hideMark/>
          </w:tcPr>
          <w:p w14:paraId="7F091B99"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247,207 </w:t>
            </w:r>
          </w:p>
        </w:tc>
        <w:tc>
          <w:tcPr>
            <w:tcW w:w="972" w:type="dxa"/>
            <w:shd w:val="clear" w:color="auto" w:fill="auto"/>
            <w:noWrap/>
            <w:vAlign w:val="center"/>
            <w:hideMark/>
          </w:tcPr>
          <w:p w14:paraId="1B74B0E0"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66B23141"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3,555 </w:t>
            </w:r>
          </w:p>
        </w:tc>
        <w:tc>
          <w:tcPr>
            <w:tcW w:w="971" w:type="dxa"/>
            <w:shd w:val="clear" w:color="auto" w:fill="auto"/>
            <w:noWrap/>
            <w:vAlign w:val="center"/>
            <w:hideMark/>
          </w:tcPr>
          <w:p w14:paraId="5D186713"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3,555 </w:t>
            </w:r>
          </w:p>
        </w:tc>
        <w:tc>
          <w:tcPr>
            <w:tcW w:w="972" w:type="dxa"/>
            <w:shd w:val="clear" w:color="auto" w:fill="auto"/>
            <w:noWrap/>
            <w:vAlign w:val="center"/>
            <w:hideMark/>
          </w:tcPr>
          <w:p w14:paraId="0C37234A"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15,953 </w:t>
            </w:r>
          </w:p>
        </w:tc>
        <w:tc>
          <w:tcPr>
            <w:tcW w:w="971" w:type="dxa"/>
            <w:shd w:val="clear" w:color="auto" w:fill="auto"/>
            <w:noWrap/>
            <w:vAlign w:val="center"/>
            <w:hideMark/>
          </w:tcPr>
          <w:p w14:paraId="3A518A20"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15,953 </w:t>
            </w:r>
          </w:p>
        </w:tc>
        <w:tc>
          <w:tcPr>
            <w:tcW w:w="971" w:type="dxa"/>
            <w:shd w:val="clear" w:color="auto" w:fill="auto"/>
            <w:noWrap/>
            <w:vAlign w:val="center"/>
            <w:hideMark/>
          </w:tcPr>
          <w:p w14:paraId="652CC8F6"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18,784 </w:t>
            </w:r>
          </w:p>
        </w:tc>
        <w:tc>
          <w:tcPr>
            <w:tcW w:w="971" w:type="dxa"/>
            <w:shd w:val="clear" w:color="auto" w:fill="auto"/>
            <w:noWrap/>
            <w:vAlign w:val="center"/>
            <w:hideMark/>
          </w:tcPr>
          <w:p w14:paraId="02266F52"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18,784 </w:t>
            </w:r>
          </w:p>
        </w:tc>
        <w:tc>
          <w:tcPr>
            <w:tcW w:w="1108" w:type="dxa"/>
            <w:shd w:val="clear" w:color="auto" w:fill="auto"/>
            <w:noWrap/>
            <w:vAlign w:val="center"/>
            <w:hideMark/>
          </w:tcPr>
          <w:p w14:paraId="17894A20"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285,499 </w:t>
            </w:r>
          </w:p>
        </w:tc>
        <w:tc>
          <w:tcPr>
            <w:tcW w:w="972" w:type="dxa"/>
            <w:shd w:val="clear" w:color="auto" w:fill="auto"/>
            <w:noWrap/>
            <w:vAlign w:val="center"/>
            <w:hideMark/>
          </w:tcPr>
          <w:p w14:paraId="08ED5CFC"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38.292 </w:t>
            </w:r>
          </w:p>
        </w:tc>
      </w:tr>
      <w:tr w:rsidR="00BB4752" w:rsidRPr="00655316" w14:paraId="64C4F6C3" w14:textId="77777777" w:rsidTr="00FD0A6D">
        <w:trPr>
          <w:trHeight w:val="340"/>
          <w:jc w:val="center"/>
        </w:trPr>
        <w:tc>
          <w:tcPr>
            <w:tcW w:w="3620" w:type="dxa"/>
            <w:shd w:val="clear" w:color="auto" w:fill="auto"/>
            <w:noWrap/>
            <w:vAlign w:val="center"/>
            <w:hideMark/>
          </w:tcPr>
          <w:p w14:paraId="5F9DB499" w14:textId="77777777" w:rsidR="003E5BF5" w:rsidRPr="00655316" w:rsidRDefault="003E5BF5" w:rsidP="00DE1921">
            <w:pPr>
              <w:rPr>
                <w:rFonts w:ascii="Arial" w:hAnsi="Arial" w:cs="Arial"/>
                <w:sz w:val="24"/>
                <w:szCs w:val="24"/>
                <w:lang w:eastAsia="en-AU"/>
              </w:rPr>
            </w:pPr>
            <w:proofErr w:type="spellStart"/>
            <w:r w:rsidRPr="00655316">
              <w:rPr>
                <w:rFonts w:ascii="Arial" w:hAnsi="Arial" w:cs="Arial"/>
                <w:sz w:val="24"/>
                <w:szCs w:val="24"/>
                <w:lang w:eastAsia="en-AU"/>
              </w:rPr>
              <w:t>MoG</w:t>
            </w:r>
            <w:proofErr w:type="spellEnd"/>
            <w:r w:rsidRPr="00655316">
              <w:rPr>
                <w:rFonts w:ascii="Arial" w:hAnsi="Arial" w:cs="Arial"/>
                <w:sz w:val="24"/>
                <w:szCs w:val="24"/>
                <w:lang w:eastAsia="en-AU"/>
              </w:rPr>
              <w:t xml:space="preserve"> transfers in</w:t>
            </w:r>
          </w:p>
        </w:tc>
        <w:tc>
          <w:tcPr>
            <w:tcW w:w="1109" w:type="dxa"/>
            <w:shd w:val="clear" w:color="auto" w:fill="auto"/>
            <w:noWrap/>
            <w:vAlign w:val="center"/>
            <w:hideMark/>
          </w:tcPr>
          <w:p w14:paraId="40263264"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125,036 </w:t>
            </w:r>
          </w:p>
        </w:tc>
        <w:tc>
          <w:tcPr>
            <w:tcW w:w="972" w:type="dxa"/>
            <w:shd w:val="clear" w:color="auto" w:fill="auto"/>
            <w:noWrap/>
            <w:vAlign w:val="center"/>
            <w:hideMark/>
          </w:tcPr>
          <w:p w14:paraId="1467F3E2"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7303D88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18,094 </w:t>
            </w:r>
          </w:p>
        </w:tc>
        <w:tc>
          <w:tcPr>
            <w:tcW w:w="971" w:type="dxa"/>
            <w:shd w:val="clear" w:color="auto" w:fill="auto"/>
            <w:noWrap/>
            <w:vAlign w:val="center"/>
            <w:hideMark/>
          </w:tcPr>
          <w:p w14:paraId="75959790"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2" w:type="dxa"/>
            <w:shd w:val="clear" w:color="auto" w:fill="auto"/>
            <w:noWrap/>
            <w:vAlign w:val="center"/>
            <w:hideMark/>
          </w:tcPr>
          <w:p w14:paraId="06E47344"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14,933 </w:t>
            </w:r>
          </w:p>
        </w:tc>
        <w:tc>
          <w:tcPr>
            <w:tcW w:w="971" w:type="dxa"/>
            <w:shd w:val="clear" w:color="auto" w:fill="auto"/>
            <w:noWrap/>
            <w:vAlign w:val="center"/>
            <w:hideMark/>
          </w:tcPr>
          <w:p w14:paraId="0526A63D"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36C41DEB"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5,500 </w:t>
            </w:r>
          </w:p>
        </w:tc>
        <w:tc>
          <w:tcPr>
            <w:tcW w:w="971" w:type="dxa"/>
            <w:shd w:val="clear" w:color="auto" w:fill="auto"/>
            <w:noWrap/>
            <w:vAlign w:val="center"/>
            <w:hideMark/>
          </w:tcPr>
          <w:p w14:paraId="1CBC9D36"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08" w:type="dxa"/>
            <w:shd w:val="clear" w:color="auto" w:fill="auto"/>
            <w:noWrap/>
            <w:vAlign w:val="center"/>
            <w:hideMark/>
          </w:tcPr>
          <w:p w14:paraId="0AE7D61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163,563 </w:t>
            </w:r>
          </w:p>
        </w:tc>
        <w:tc>
          <w:tcPr>
            <w:tcW w:w="972" w:type="dxa"/>
            <w:shd w:val="clear" w:color="auto" w:fill="auto"/>
            <w:noWrap/>
            <w:vAlign w:val="center"/>
            <w:hideMark/>
          </w:tcPr>
          <w:p w14:paraId="7B0E0AE5"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r>
      <w:tr w:rsidR="00BB4752" w:rsidRPr="00655316" w14:paraId="47EB078C" w14:textId="77777777" w:rsidTr="00FD0A6D">
        <w:trPr>
          <w:trHeight w:val="340"/>
          <w:jc w:val="center"/>
        </w:trPr>
        <w:tc>
          <w:tcPr>
            <w:tcW w:w="3620" w:type="dxa"/>
            <w:shd w:val="clear" w:color="auto" w:fill="auto"/>
            <w:noWrap/>
            <w:vAlign w:val="center"/>
            <w:hideMark/>
          </w:tcPr>
          <w:p w14:paraId="733B958A"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Assets provided free of charge</w:t>
            </w:r>
          </w:p>
        </w:tc>
        <w:tc>
          <w:tcPr>
            <w:tcW w:w="1109" w:type="dxa"/>
            <w:shd w:val="clear" w:color="auto" w:fill="auto"/>
            <w:noWrap/>
            <w:vAlign w:val="center"/>
            <w:hideMark/>
          </w:tcPr>
          <w:p w14:paraId="4FE4D541"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2" w:type="dxa"/>
            <w:shd w:val="clear" w:color="auto" w:fill="auto"/>
            <w:noWrap/>
            <w:vAlign w:val="center"/>
            <w:hideMark/>
          </w:tcPr>
          <w:p w14:paraId="18D5FDDA"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6478428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(26)</w:t>
            </w:r>
          </w:p>
        </w:tc>
        <w:tc>
          <w:tcPr>
            <w:tcW w:w="971" w:type="dxa"/>
            <w:shd w:val="clear" w:color="auto" w:fill="auto"/>
            <w:noWrap/>
            <w:vAlign w:val="center"/>
            <w:hideMark/>
          </w:tcPr>
          <w:p w14:paraId="749C0C14"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2" w:type="dxa"/>
            <w:shd w:val="clear" w:color="auto" w:fill="auto"/>
            <w:noWrap/>
            <w:vAlign w:val="center"/>
            <w:hideMark/>
          </w:tcPr>
          <w:p w14:paraId="21884478"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03B763F9"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2D82F9A9"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14B096B3"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08" w:type="dxa"/>
            <w:shd w:val="clear" w:color="auto" w:fill="auto"/>
            <w:noWrap/>
            <w:vAlign w:val="center"/>
            <w:hideMark/>
          </w:tcPr>
          <w:p w14:paraId="5591FD6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(26)</w:t>
            </w:r>
          </w:p>
        </w:tc>
        <w:tc>
          <w:tcPr>
            <w:tcW w:w="972" w:type="dxa"/>
            <w:shd w:val="clear" w:color="auto" w:fill="auto"/>
            <w:noWrap/>
            <w:vAlign w:val="center"/>
            <w:hideMark/>
          </w:tcPr>
          <w:p w14:paraId="5CB286D2"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r>
      <w:tr w:rsidR="00BB4752" w:rsidRPr="00655316" w14:paraId="205DC5C9" w14:textId="77777777" w:rsidTr="00FD0A6D">
        <w:trPr>
          <w:trHeight w:val="340"/>
          <w:jc w:val="center"/>
        </w:trPr>
        <w:tc>
          <w:tcPr>
            <w:tcW w:w="3620" w:type="dxa"/>
            <w:shd w:val="clear" w:color="auto" w:fill="auto"/>
            <w:noWrap/>
            <w:vAlign w:val="center"/>
            <w:hideMark/>
          </w:tcPr>
          <w:p w14:paraId="1E8D56DC"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Additions</w:t>
            </w:r>
          </w:p>
        </w:tc>
        <w:tc>
          <w:tcPr>
            <w:tcW w:w="1109" w:type="dxa"/>
            <w:shd w:val="clear" w:color="auto" w:fill="auto"/>
            <w:noWrap/>
            <w:vAlign w:val="center"/>
            <w:hideMark/>
          </w:tcPr>
          <w:p w14:paraId="2F49F6F6"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70,046 </w:t>
            </w:r>
          </w:p>
        </w:tc>
        <w:tc>
          <w:tcPr>
            <w:tcW w:w="972" w:type="dxa"/>
            <w:shd w:val="clear" w:color="auto" w:fill="auto"/>
            <w:noWrap/>
            <w:vAlign w:val="center"/>
            <w:hideMark/>
          </w:tcPr>
          <w:p w14:paraId="43940852"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210FFA2C"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8,163 </w:t>
            </w:r>
          </w:p>
        </w:tc>
        <w:tc>
          <w:tcPr>
            <w:tcW w:w="971" w:type="dxa"/>
            <w:shd w:val="clear" w:color="auto" w:fill="auto"/>
            <w:noWrap/>
            <w:vAlign w:val="center"/>
            <w:hideMark/>
          </w:tcPr>
          <w:p w14:paraId="7CFD2F4A"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2" w:type="dxa"/>
            <w:shd w:val="clear" w:color="auto" w:fill="auto"/>
            <w:noWrap/>
            <w:vAlign w:val="center"/>
            <w:hideMark/>
          </w:tcPr>
          <w:p w14:paraId="180C2AC3"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16,166 </w:t>
            </w:r>
          </w:p>
        </w:tc>
        <w:tc>
          <w:tcPr>
            <w:tcW w:w="971" w:type="dxa"/>
            <w:shd w:val="clear" w:color="auto" w:fill="auto"/>
            <w:noWrap/>
            <w:vAlign w:val="center"/>
            <w:hideMark/>
          </w:tcPr>
          <w:p w14:paraId="25D13E81"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67578F29"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2,104 </w:t>
            </w:r>
          </w:p>
        </w:tc>
        <w:tc>
          <w:tcPr>
            <w:tcW w:w="971" w:type="dxa"/>
            <w:shd w:val="clear" w:color="auto" w:fill="auto"/>
            <w:noWrap/>
            <w:vAlign w:val="center"/>
            <w:hideMark/>
          </w:tcPr>
          <w:p w14:paraId="251C0FDB"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08" w:type="dxa"/>
            <w:shd w:val="clear" w:color="auto" w:fill="auto"/>
            <w:noWrap/>
            <w:vAlign w:val="center"/>
            <w:hideMark/>
          </w:tcPr>
          <w:p w14:paraId="409916FB"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96,479 </w:t>
            </w:r>
          </w:p>
        </w:tc>
        <w:tc>
          <w:tcPr>
            <w:tcW w:w="972" w:type="dxa"/>
            <w:shd w:val="clear" w:color="auto" w:fill="auto"/>
            <w:noWrap/>
            <w:vAlign w:val="center"/>
            <w:hideMark/>
          </w:tcPr>
          <w:p w14:paraId="4C136D88"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r>
      <w:tr w:rsidR="00BB4752" w:rsidRPr="00655316" w14:paraId="718DE429" w14:textId="77777777" w:rsidTr="00FD0A6D">
        <w:trPr>
          <w:trHeight w:val="340"/>
          <w:jc w:val="center"/>
        </w:trPr>
        <w:tc>
          <w:tcPr>
            <w:tcW w:w="3620" w:type="dxa"/>
            <w:shd w:val="clear" w:color="auto" w:fill="auto"/>
            <w:noWrap/>
            <w:vAlign w:val="center"/>
            <w:hideMark/>
          </w:tcPr>
          <w:p w14:paraId="48797F85"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Disposals</w:t>
            </w:r>
          </w:p>
        </w:tc>
        <w:tc>
          <w:tcPr>
            <w:tcW w:w="1109" w:type="dxa"/>
            <w:shd w:val="clear" w:color="auto" w:fill="auto"/>
            <w:noWrap/>
            <w:vAlign w:val="center"/>
            <w:hideMark/>
          </w:tcPr>
          <w:p w14:paraId="781DE070"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2" w:type="dxa"/>
            <w:shd w:val="clear" w:color="auto" w:fill="auto"/>
            <w:noWrap/>
            <w:vAlign w:val="center"/>
            <w:hideMark/>
          </w:tcPr>
          <w:p w14:paraId="2D3821B3"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5D7190F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(928)</w:t>
            </w:r>
          </w:p>
        </w:tc>
        <w:tc>
          <w:tcPr>
            <w:tcW w:w="971" w:type="dxa"/>
            <w:shd w:val="clear" w:color="auto" w:fill="auto"/>
            <w:noWrap/>
            <w:vAlign w:val="center"/>
            <w:hideMark/>
          </w:tcPr>
          <w:p w14:paraId="68D42641"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2" w:type="dxa"/>
            <w:shd w:val="clear" w:color="auto" w:fill="auto"/>
            <w:noWrap/>
            <w:vAlign w:val="center"/>
            <w:hideMark/>
          </w:tcPr>
          <w:p w14:paraId="2DCC7E7B"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191CF99F"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07A10070"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469A7A97"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08" w:type="dxa"/>
            <w:shd w:val="clear" w:color="auto" w:fill="auto"/>
            <w:noWrap/>
            <w:vAlign w:val="center"/>
            <w:hideMark/>
          </w:tcPr>
          <w:p w14:paraId="2F5DCBA6"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(928)</w:t>
            </w:r>
          </w:p>
        </w:tc>
        <w:tc>
          <w:tcPr>
            <w:tcW w:w="972" w:type="dxa"/>
            <w:shd w:val="clear" w:color="auto" w:fill="auto"/>
            <w:noWrap/>
            <w:vAlign w:val="center"/>
            <w:hideMark/>
          </w:tcPr>
          <w:p w14:paraId="3C5A5C26"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r>
      <w:tr w:rsidR="00BB4752" w:rsidRPr="00655316" w14:paraId="7F9F3EFC" w14:textId="77777777" w:rsidTr="00FD0A6D">
        <w:trPr>
          <w:trHeight w:val="340"/>
          <w:jc w:val="center"/>
        </w:trPr>
        <w:tc>
          <w:tcPr>
            <w:tcW w:w="3620" w:type="dxa"/>
            <w:shd w:val="clear" w:color="auto" w:fill="auto"/>
            <w:noWrap/>
            <w:vAlign w:val="center"/>
            <w:hideMark/>
          </w:tcPr>
          <w:p w14:paraId="6B76E83C"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Depreciation expense</w:t>
            </w:r>
          </w:p>
        </w:tc>
        <w:tc>
          <w:tcPr>
            <w:tcW w:w="1109" w:type="dxa"/>
            <w:shd w:val="clear" w:color="auto" w:fill="auto"/>
            <w:noWrap/>
            <w:vAlign w:val="center"/>
            <w:hideMark/>
          </w:tcPr>
          <w:p w14:paraId="4BB8430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(20,375)</w:t>
            </w:r>
          </w:p>
        </w:tc>
        <w:tc>
          <w:tcPr>
            <w:tcW w:w="972" w:type="dxa"/>
            <w:shd w:val="clear" w:color="auto" w:fill="auto"/>
            <w:noWrap/>
            <w:vAlign w:val="center"/>
            <w:hideMark/>
          </w:tcPr>
          <w:p w14:paraId="76EF44EB"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5433D71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(9,800)</w:t>
            </w:r>
          </w:p>
        </w:tc>
        <w:tc>
          <w:tcPr>
            <w:tcW w:w="971" w:type="dxa"/>
            <w:shd w:val="clear" w:color="auto" w:fill="auto"/>
            <w:noWrap/>
            <w:vAlign w:val="center"/>
            <w:hideMark/>
          </w:tcPr>
          <w:p w14:paraId="63D07B87" w14:textId="77777777" w:rsidR="003E5BF5" w:rsidRPr="00655316" w:rsidRDefault="003E5BF5" w:rsidP="00DE1921">
            <w:pPr>
              <w:jc w:val="right"/>
              <w:rPr>
                <w:rFonts w:ascii="Arial" w:hAnsi="Arial" w:cs="Arial"/>
                <w:sz w:val="24"/>
                <w:szCs w:val="24"/>
                <w:lang w:eastAsia="en-AU"/>
              </w:rPr>
            </w:pPr>
          </w:p>
        </w:tc>
        <w:tc>
          <w:tcPr>
            <w:tcW w:w="972" w:type="dxa"/>
            <w:shd w:val="clear" w:color="auto" w:fill="auto"/>
            <w:noWrap/>
            <w:vAlign w:val="center"/>
            <w:hideMark/>
          </w:tcPr>
          <w:p w14:paraId="501FDDE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(1,187)</w:t>
            </w:r>
          </w:p>
        </w:tc>
        <w:tc>
          <w:tcPr>
            <w:tcW w:w="971" w:type="dxa"/>
            <w:shd w:val="clear" w:color="auto" w:fill="auto"/>
            <w:noWrap/>
            <w:vAlign w:val="center"/>
            <w:hideMark/>
          </w:tcPr>
          <w:p w14:paraId="718FF9E5" w14:textId="77777777" w:rsidR="003E5BF5" w:rsidRPr="00655316" w:rsidRDefault="003E5BF5" w:rsidP="00DE1921">
            <w:pPr>
              <w:jc w:val="right"/>
              <w:rPr>
                <w:rFonts w:ascii="Arial" w:hAnsi="Arial" w:cs="Arial"/>
                <w:sz w:val="24"/>
                <w:szCs w:val="24"/>
                <w:lang w:eastAsia="en-AU"/>
              </w:rPr>
            </w:pPr>
          </w:p>
        </w:tc>
        <w:tc>
          <w:tcPr>
            <w:tcW w:w="971" w:type="dxa"/>
            <w:shd w:val="clear" w:color="auto" w:fill="auto"/>
            <w:noWrap/>
            <w:vAlign w:val="center"/>
            <w:hideMark/>
          </w:tcPr>
          <w:p w14:paraId="3B72BB61"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3B8B5560"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08" w:type="dxa"/>
            <w:shd w:val="clear" w:color="auto" w:fill="auto"/>
            <w:noWrap/>
            <w:vAlign w:val="center"/>
            <w:hideMark/>
          </w:tcPr>
          <w:p w14:paraId="6B57153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(31,362)</w:t>
            </w:r>
          </w:p>
        </w:tc>
        <w:tc>
          <w:tcPr>
            <w:tcW w:w="972" w:type="dxa"/>
            <w:shd w:val="clear" w:color="auto" w:fill="auto"/>
            <w:noWrap/>
            <w:vAlign w:val="center"/>
            <w:hideMark/>
          </w:tcPr>
          <w:p w14:paraId="06D6F5C5" w14:textId="77777777" w:rsidR="003E5BF5" w:rsidRPr="00655316" w:rsidRDefault="003E5BF5" w:rsidP="00DE1921">
            <w:pPr>
              <w:jc w:val="right"/>
              <w:rPr>
                <w:rFonts w:ascii="Arial" w:hAnsi="Arial" w:cs="Arial"/>
                <w:sz w:val="24"/>
                <w:szCs w:val="24"/>
                <w:lang w:eastAsia="en-AU"/>
              </w:rPr>
            </w:pPr>
          </w:p>
        </w:tc>
      </w:tr>
      <w:tr w:rsidR="00BB4752" w:rsidRPr="00655316" w14:paraId="0BAA218B" w14:textId="77777777" w:rsidTr="00FD0A6D">
        <w:trPr>
          <w:trHeight w:val="340"/>
          <w:jc w:val="center"/>
        </w:trPr>
        <w:tc>
          <w:tcPr>
            <w:tcW w:w="3620" w:type="dxa"/>
            <w:shd w:val="clear" w:color="auto" w:fill="auto"/>
            <w:noWrap/>
            <w:vAlign w:val="center"/>
            <w:hideMark/>
          </w:tcPr>
          <w:p w14:paraId="1B404123"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Assets provided as contributed capital</w:t>
            </w:r>
            <w:r w:rsidRPr="00655316">
              <w:rPr>
                <w:rFonts w:ascii="Arial" w:hAnsi="Arial" w:cs="Arial"/>
                <w:sz w:val="24"/>
                <w:szCs w:val="24"/>
                <w:vertAlign w:val="superscript"/>
                <w:lang w:eastAsia="en-AU"/>
              </w:rPr>
              <w:t xml:space="preserve"> (ii)</w:t>
            </w:r>
          </w:p>
        </w:tc>
        <w:tc>
          <w:tcPr>
            <w:tcW w:w="1109" w:type="dxa"/>
            <w:shd w:val="clear" w:color="auto" w:fill="auto"/>
            <w:noWrap/>
            <w:vAlign w:val="center"/>
            <w:hideMark/>
          </w:tcPr>
          <w:p w14:paraId="0B0F8B4C"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(350,395)</w:t>
            </w:r>
          </w:p>
        </w:tc>
        <w:tc>
          <w:tcPr>
            <w:tcW w:w="972" w:type="dxa"/>
            <w:shd w:val="clear" w:color="auto" w:fill="auto"/>
            <w:noWrap/>
            <w:vAlign w:val="center"/>
            <w:hideMark/>
          </w:tcPr>
          <w:p w14:paraId="6E5FA332"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6604A508"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5B3C0516"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2" w:type="dxa"/>
            <w:shd w:val="clear" w:color="auto" w:fill="auto"/>
            <w:noWrap/>
            <w:vAlign w:val="center"/>
            <w:hideMark/>
          </w:tcPr>
          <w:p w14:paraId="289C0D63"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05BA5421"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583A1C33"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4858C2CB"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08" w:type="dxa"/>
            <w:shd w:val="clear" w:color="auto" w:fill="auto"/>
            <w:noWrap/>
            <w:vAlign w:val="center"/>
            <w:hideMark/>
          </w:tcPr>
          <w:p w14:paraId="1035BFA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(350,395)</w:t>
            </w:r>
          </w:p>
        </w:tc>
        <w:tc>
          <w:tcPr>
            <w:tcW w:w="972" w:type="dxa"/>
            <w:shd w:val="clear" w:color="auto" w:fill="auto"/>
            <w:noWrap/>
            <w:vAlign w:val="center"/>
            <w:hideMark/>
          </w:tcPr>
          <w:p w14:paraId="79068F08"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r>
      <w:tr w:rsidR="00BB4752" w:rsidRPr="00655316" w14:paraId="5C095697" w14:textId="77777777" w:rsidTr="00FD0A6D">
        <w:trPr>
          <w:trHeight w:val="340"/>
          <w:jc w:val="center"/>
        </w:trPr>
        <w:tc>
          <w:tcPr>
            <w:tcW w:w="3620" w:type="dxa"/>
            <w:shd w:val="clear" w:color="auto" w:fill="auto"/>
            <w:noWrap/>
            <w:vAlign w:val="center"/>
            <w:hideMark/>
          </w:tcPr>
          <w:p w14:paraId="18D579E3"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Net revaluation increments/decrements</w:t>
            </w:r>
          </w:p>
        </w:tc>
        <w:tc>
          <w:tcPr>
            <w:tcW w:w="1109" w:type="dxa"/>
            <w:shd w:val="clear" w:color="auto" w:fill="auto"/>
            <w:noWrap/>
            <w:vAlign w:val="center"/>
            <w:hideMark/>
          </w:tcPr>
          <w:p w14:paraId="50B1A945"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2" w:type="dxa"/>
            <w:shd w:val="clear" w:color="auto" w:fill="auto"/>
            <w:noWrap/>
            <w:vAlign w:val="center"/>
            <w:hideMark/>
          </w:tcPr>
          <w:p w14:paraId="4AB7918F"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7F57FE73"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6DC98A5F"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2" w:type="dxa"/>
            <w:shd w:val="clear" w:color="auto" w:fill="auto"/>
            <w:noWrap/>
            <w:vAlign w:val="center"/>
            <w:hideMark/>
          </w:tcPr>
          <w:p w14:paraId="67CE3D7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(2,032)</w:t>
            </w:r>
          </w:p>
        </w:tc>
        <w:tc>
          <w:tcPr>
            <w:tcW w:w="971" w:type="dxa"/>
            <w:shd w:val="clear" w:color="auto" w:fill="auto"/>
            <w:noWrap/>
            <w:vAlign w:val="center"/>
            <w:hideMark/>
          </w:tcPr>
          <w:p w14:paraId="6E181DA5"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2E363DFA"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shd w:val="clear" w:color="auto" w:fill="auto"/>
            <w:noWrap/>
            <w:vAlign w:val="center"/>
            <w:hideMark/>
          </w:tcPr>
          <w:p w14:paraId="71F45D2F"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08" w:type="dxa"/>
            <w:shd w:val="clear" w:color="auto" w:fill="auto"/>
            <w:noWrap/>
            <w:vAlign w:val="center"/>
            <w:hideMark/>
          </w:tcPr>
          <w:p w14:paraId="46A7CB36"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(2,032)</w:t>
            </w:r>
          </w:p>
        </w:tc>
        <w:tc>
          <w:tcPr>
            <w:tcW w:w="972" w:type="dxa"/>
            <w:shd w:val="clear" w:color="auto" w:fill="auto"/>
            <w:noWrap/>
            <w:vAlign w:val="center"/>
            <w:hideMark/>
          </w:tcPr>
          <w:p w14:paraId="2E2BA944"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r>
      <w:tr w:rsidR="00BB4752" w:rsidRPr="00655316" w14:paraId="6A47BD2D" w14:textId="77777777" w:rsidTr="00FD0A6D">
        <w:trPr>
          <w:trHeight w:val="340"/>
          <w:jc w:val="center"/>
        </w:trPr>
        <w:tc>
          <w:tcPr>
            <w:tcW w:w="3620" w:type="dxa"/>
            <w:tcBorders>
              <w:bottom w:val="single" w:sz="4" w:space="0" w:color="auto"/>
            </w:tcBorders>
            <w:shd w:val="clear" w:color="auto" w:fill="auto"/>
            <w:noWrap/>
            <w:vAlign w:val="center"/>
            <w:hideMark/>
          </w:tcPr>
          <w:p w14:paraId="6D4BC43B"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Transfer between classes</w:t>
            </w:r>
          </w:p>
        </w:tc>
        <w:tc>
          <w:tcPr>
            <w:tcW w:w="1109" w:type="dxa"/>
            <w:tcBorders>
              <w:bottom w:val="single" w:sz="4" w:space="0" w:color="auto"/>
            </w:tcBorders>
            <w:shd w:val="clear" w:color="auto" w:fill="auto"/>
            <w:noWrap/>
            <w:vAlign w:val="center"/>
            <w:hideMark/>
          </w:tcPr>
          <w:p w14:paraId="0EB4026C"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(2,627)</w:t>
            </w:r>
          </w:p>
        </w:tc>
        <w:tc>
          <w:tcPr>
            <w:tcW w:w="972" w:type="dxa"/>
            <w:tcBorders>
              <w:bottom w:val="single" w:sz="4" w:space="0" w:color="auto"/>
            </w:tcBorders>
            <w:shd w:val="clear" w:color="auto" w:fill="auto"/>
            <w:noWrap/>
            <w:vAlign w:val="center"/>
            <w:hideMark/>
          </w:tcPr>
          <w:p w14:paraId="2ACDADCC"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tcBorders>
              <w:bottom w:val="single" w:sz="4" w:space="0" w:color="auto"/>
            </w:tcBorders>
            <w:shd w:val="clear" w:color="auto" w:fill="auto"/>
            <w:noWrap/>
            <w:vAlign w:val="center"/>
            <w:hideMark/>
          </w:tcPr>
          <w:p w14:paraId="2F91264E"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tcBorders>
              <w:bottom w:val="single" w:sz="4" w:space="0" w:color="auto"/>
            </w:tcBorders>
            <w:shd w:val="clear" w:color="auto" w:fill="auto"/>
            <w:noWrap/>
            <w:vAlign w:val="center"/>
            <w:hideMark/>
          </w:tcPr>
          <w:p w14:paraId="6E7744D7"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2" w:type="dxa"/>
            <w:tcBorders>
              <w:bottom w:val="single" w:sz="4" w:space="0" w:color="auto"/>
            </w:tcBorders>
            <w:shd w:val="clear" w:color="auto" w:fill="auto"/>
            <w:noWrap/>
            <w:vAlign w:val="center"/>
            <w:hideMark/>
          </w:tcPr>
          <w:p w14:paraId="7098E96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(2,616)</w:t>
            </w:r>
          </w:p>
        </w:tc>
        <w:tc>
          <w:tcPr>
            <w:tcW w:w="971" w:type="dxa"/>
            <w:tcBorders>
              <w:bottom w:val="single" w:sz="4" w:space="0" w:color="auto"/>
            </w:tcBorders>
            <w:shd w:val="clear" w:color="auto" w:fill="auto"/>
            <w:noWrap/>
            <w:vAlign w:val="center"/>
            <w:hideMark/>
          </w:tcPr>
          <w:p w14:paraId="353E496A"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971" w:type="dxa"/>
            <w:tcBorders>
              <w:bottom w:val="single" w:sz="4" w:space="0" w:color="auto"/>
            </w:tcBorders>
            <w:shd w:val="clear" w:color="auto" w:fill="auto"/>
            <w:noWrap/>
            <w:vAlign w:val="center"/>
            <w:hideMark/>
          </w:tcPr>
          <w:p w14:paraId="3193483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(5,660)</w:t>
            </w:r>
          </w:p>
        </w:tc>
        <w:tc>
          <w:tcPr>
            <w:tcW w:w="971" w:type="dxa"/>
            <w:tcBorders>
              <w:bottom w:val="single" w:sz="4" w:space="0" w:color="auto"/>
            </w:tcBorders>
            <w:shd w:val="clear" w:color="auto" w:fill="auto"/>
            <w:noWrap/>
            <w:vAlign w:val="center"/>
            <w:hideMark/>
          </w:tcPr>
          <w:p w14:paraId="7A47391A"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08" w:type="dxa"/>
            <w:tcBorders>
              <w:bottom w:val="single" w:sz="4" w:space="0" w:color="auto"/>
            </w:tcBorders>
            <w:shd w:val="clear" w:color="auto" w:fill="auto"/>
            <w:noWrap/>
            <w:vAlign w:val="center"/>
            <w:hideMark/>
          </w:tcPr>
          <w:p w14:paraId="19669EB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(10,903)</w:t>
            </w:r>
          </w:p>
        </w:tc>
        <w:tc>
          <w:tcPr>
            <w:tcW w:w="972" w:type="dxa"/>
            <w:tcBorders>
              <w:bottom w:val="single" w:sz="4" w:space="0" w:color="auto"/>
            </w:tcBorders>
            <w:shd w:val="clear" w:color="auto" w:fill="auto"/>
            <w:noWrap/>
            <w:vAlign w:val="center"/>
            <w:hideMark/>
          </w:tcPr>
          <w:p w14:paraId="10E2DD12"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r>
      <w:tr w:rsidR="00BB4752" w:rsidRPr="00655316" w14:paraId="42AADE53" w14:textId="77777777" w:rsidTr="00FD0A6D">
        <w:trPr>
          <w:trHeight w:val="340"/>
          <w:jc w:val="center"/>
        </w:trPr>
        <w:tc>
          <w:tcPr>
            <w:tcW w:w="3620" w:type="dxa"/>
            <w:tcBorders>
              <w:bottom w:val="single" w:sz="4" w:space="0" w:color="auto"/>
            </w:tcBorders>
            <w:shd w:val="clear" w:color="auto" w:fill="auto"/>
            <w:noWrap/>
            <w:vAlign w:val="center"/>
            <w:hideMark/>
          </w:tcPr>
          <w:p w14:paraId="5D3145AE"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Closing balance</w:t>
            </w:r>
          </w:p>
        </w:tc>
        <w:tc>
          <w:tcPr>
            <w:tcW w:w="1109" w:type="dxa"/>
            <w:tcBorders>
              <w:bottom w:val="single" w:sz="4" w:space="0" w:color="auto"/>
            </w:tcBorders>
            <w:shd w:val="clear" w:color="auto" w:fill="auto"/>
            <w:noWrap/>
            <w:vAlign w:val="center"/>
            <w:hideMark/>
          </w:tcPr>
          <w:p w14:paraId="464B185A"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68,892 </w:t>
            </w:r>
          </w:p>
        </w:tc>
        <w:tc>
          <w:tcPr>
            <w:tcW w:w="972" w:type="dxa"/>
            <w:tcBorders>
              <w:bottom w:val="single" w:sz="4" w:space="0" w:color="auto"/>
            </w:tcBorders>
            <w:shd w:val="clear" w:color="auto" w:fill="auto"/>
            <w:noWrap/>
            <w:vAlign w:val="center"/>
            <w:hideMark/>
          </w:tcPr>
          <w:p w14:paraId="49F1FD00"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971" w:type="dxa"/>
            <w:tcBorders>
              <w:bottom w:val="single" w:sz="4" w:space="0" w:color="auto"/>
            </w:tcBorders>
            <w:shd w:val="clear" w:color="auto" w:fill="auto"/>
            <w:noWrap/>
            <w:vAlign w:val="center"/>
            <w:hideMark/>
          </w:tcPr>
          <w:p w14:paraId="6383CDB4"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19,058 </w:t>
            </w:r>
          </w:p>
        </w:tc>
        <w:tc>
          <w:tcPr>
            <w:tcW w:w="971" w:type="dxa"/>
            <w:tcBorders>
              <w:bottom w:val="single" w:sz="4" w:space="0" w:color="auto"/>
            </w:tcBorders>
            <w:shd w:val="clear" w:color="auto" w:fill="auto"/>
            <w:noWrap/>
            <w:vAlign w:val="center"/>
            <w:hideMark/>
          </w:tcPr>
          <w:p w14:paraId="52775106"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3,555 </w:t>
            </w:r>
          </w:p>
        </w:tc>
        <w:tc>
          <w:tcPr>
            <w:tcW w:w="972" w:type="dxa"/>
            <w:tcBorders>
              <w:bottom w:val="single" w:sz="4" w:space="0" w:color="auto"/>
            </w:tcBorders>
            <w:shd w:val="clear" w:color="auto" w:fill="auto"/>
            <w:noWrap/>
            <w:vAlign w:val="center"/>
            <w:hideMark/>
          </w:tcPr>
          <w:p w14:paraId="466C3CD4"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41,217 </w:t>
            </w:r>
          </w:p>
        </w:tc>
        <w:tc>
          <w:tcPr>
            <w:tcW w:w="971" w:type="dxa"/>
            <w:tcBorders>
              <w:bottom w:val="single" w:sz="4" w:space="0" w:color="auto"/>
            </w:tcBorders>
            <w:shd w:val="clear" w:color="auto" w:fill="auto"/>
            <w:noWrap/>
            <w:vAlign w:val="center"/>
            <w:hideMark/>
          </w:tcPr>
          <w:p w14:paraId="41666F33"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15,953 </w:t>
            </w:r>
          </w:p>
        </w:tc>
        <w:tc>
          <w:tcPr>
            <w:tcW w:w="971" w:type="dxa"/>
            <w:tcBorders>
              <w:bottom w:val="single" w:sz="4" w:space="0" w:color="auto"/>
            </w:tcBorders>
            <w:shd w:val="clear" w:color="auto" w:fill="auto"/>
            <w:noWrap/>
            <w:vAlign w:val="center"/>
            <w:hideMark/>
          </w:tcPr>
          <w:p w14:paraId="11C4DDBC"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20,728 </w:t>
            </w:r>
          </w:p>
        </w:tc>
        <w:tc>
          <w:tcPr>
            <w:tcW w:w="971" w:type="dxa"/>
            <w:tcBorders>
              <w:bottom w:val="single" w:sz="4" w:space="0" w:color="auto"/>
            </w:tcBorders>
            <w:shd w:val="clear" w:color="auto" w:fill="auto"/>
            <w:noWrap/>
            <w:vAlign w:val="center"/>
            <w:hideMark/>
          </w:tcPr>
          <w:p w14:paraId="487B1F7B"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18,784 </w:t>
            </w:r>
          </w:p>
        </w:tc>
        <w:tc>
          <w:tcPr>
            <w:tcW w:w="1108" w:type="dxa"/>
            <w:tcBorders>
              <w:bottom w:val="single" w:sz="4" w:space="0" w:color="auto"/>
            </w:tcBorders>
            <w:shd w:val="clear" w:color="auto" w:fill="auto"/>
            <w:noWrap/>
            <w:vAlign w:val="center"/>
            <w:hideMark/>
          </w:tcPr>
          <w:p w14:paraId="367395A4"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149,895 </w:t>
            </w:r>
          </w:p>
        </w:tc>
        <w:tc>
          <w:tcPr>
            <w:tcW w:w="972" w:type="dxa"/>
            <w:tcBorders>
              <w:bottom w:val="single" w:sz="4" w:space="0" w:color="auto"/>
            </w:tcBorders>
            <w:shd w:val="clear" w:color="auto" w:fill="auto"/>
            <w:noWrap/>
            <w:vAlign w:val="center"/>
            <w:hideMark/>
          </w:tcPr>
          <w:p w14:paraId="0B4073E5"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38,292 </w:t>
            </w:r>
          </w:p>
        </w:tc>
      </w:tr>
    </w:tbl>
    <w:p w14:paraId="4B1711EA" w14:textId="77777777" w:rsidR="00FD0A6D" w:rsidRPr="00655316" w:rsidRDefault="00FD0A6D" w:rsidP="00FD0A6D">
      <w:pPr>
        <w:pStyle w:val="Note"/>
        <w:rPr>
          <w:rFonts w:ascii="Arial" w:hAnsi="Arial" w:cs="Arial"/>
          <w:sz w:val="24"/>
          <w:szCs w:val="24"/>
        </w:rPr>
      </w:pPr>
      <w:r w:rsidRPr="00655316">
        <w:rPr>
          <w:rFonts w:ascii="Arial" w:hAnsi="Arial" w:cs="Arial"/>
          <w:sz w:val="24"/>
          <w:szCs w:val="24"/>
        </w:rPr>
        <w:t>Notes:</w:t>
      </w:r>
    </w:p>
    <w:p w14:paraId="4F17154C" w14:textId="77777777" w:rsidR="00FD0A6D" w:rsidRPr="00655316" w:rsidRDefault="00FD0A6D" w:rsidP="00610F5F">
      <w:pPr>
        <w:pStyle w:val="aaaNotenumberiiiiii"/>
        <w:numPr>
          <w:ilvl w:val="0"/>
          <w:numId w:val="92"/>
        </w:numPr>
      </w:pPr>
      <w:r w:rsidRPr="00655316">
        <w:t>This balance represents the initial recognition of right-of-use assets recorded on the balance sheet on 1 July 2019 relating to operating leases. Refer to Note 9.6.5.3 for further details.</w:t>
      </w:r>
    </w:p>
    <w:p w14:paraId="47BD2A04" w14:textId="4398F5E7" w:rsidR="003E5BF5" w:rsidRDefault="00FD0A6D" w:rsidP="00610F5F">
      <w:pPr>
        <w:pStyle w:val="aaaNotenumberiiiiii"/>
        <w:numPr>
          <w:ilvl w:val="0"/>
          <w:numId w:val="92"/>
        </w:numPr>
      </w:pPr>
      <w:r w:rsidRPr="00655316">
        <w:lastRenderedPageBreak/>
        <w:t>In October 2019, the department transferred some of the right-of-use asset to the DTF Shared Service Provider. Details of the transfer are included in Note 7.2 Leases.</w:t>
      </w:r>
    </w:p>
    <w:p w14:paraId="3F01C268" w14:textId="77777777" w:rsidR="003E5BF5" w:rsidRDefault="003E5BF5">
      <w:pPr>
        <w:rPr>
          <w:rFonts w:eastAsiaTheme="majorEastAsia" w:cstheme="majorBidi"/>
          <w:color w:val="70AD47" w:themeColor="accent6"/>
          <w:sz w:val="24"/>
          <w:szCs w:val="24"/>
        </w:rPr>
      </w:pPr>
      <w:r>
        <w:br w:type="page"/>
      </w:r>
    </w:p>
    <w:p w14:paraId="418BD949" w14:textId="77777777" w:rsidR="003E5BF5" w:rsidRPr="00FF7D38" w:rsidRDefault="003E5BF5" w:rsidP="00610F5F">
      <w:pPr>
        <w:pStyle w:val="Heading3"/>
        <w:numPr>
          <w:ilvl w:val="3"/>
          <w:numId w:val="16"/>
        </w:numPr>
        <w:rPr>
          <w:rFonts w:eastAsiaTheme="minorHAnsi"/>
          <w:lang w:eastAsia="en-AU"/>
        </w:rPr>
      </w:pPr>
      <w:r w:rsidRPr="00AE71C9">
        <w:lastRenderedPageBreak/>
        <w:t xml:space="preserve">Reconciliation of movements in carrying amount of </w:t>
      </w:r>
      <w:r w:rsidRPr="00FF7D38">
        <w:t>service concession assets</w:t>
      </w:r>
    </w:p>
    <w:tbl>
      <w:tblPr>
        <w:tblStyle w:val="TableGrid"/>
        <w:tblW w:w="13608" w:type="dxa"/>
        <w:jc w:val="center"/>
        <w:tblCellMar>
          <w:left w:w="28" w:type="dxa"/>
          <w:right w:w="28" w:type="dxa"/>
        </w:tblCellMar>
        <w:tblLook w:val="04A0" w:firstRow="1" w:lastRow="0" w:firstColumn="1" w:lastColumn="0" w:noHBand="0" w:noVBand="1"/>
      </w:tblPr>
      <w:tblGrid>
        <w:gridCol w:w="4249"/>
        <w:gridCol w:w="1171"/>
        <w:gridCol w:w="1169"/>
        <w:gridCol w:w="1172"/>
        <w:gridCol w:w="1169"/>
        <w:gridCol w:w="1169"/>
        <w:gridCol w:w="1168"/>
        <w:gridCol w:w="1172"/>
        <w:gridCol w:w="1169"/>
      </w:tblGrid>
      <w:tr w:rsidR="003E5BF5" w:rsidRPr="00655316" w14:paraId="1F7DB781" w14:textId="77777777" w:rsidTr="003728AB">
        <w:trPr>
          <w:trHeight w:val="340"/>
          <w:jc w:val="center"/>
        </w:trPr>
        <w:tc>
          <w:tcPr>
            <w:tcW w:w="4249" w:type="dxa"/>
            <w:shd w:val="clear" w:color="auto" w:fill="auto"/>
            <w:noWrap/>
            <w:hideMark/>
          </w:tcPr>
          <w:p w14:paraId="2D1BA6A1" w14:textId="77777777" w:rsidR="003E5BF5" w:rsidRPr="00655316" w:rsidRDefault="003E5BF5" w:rsidP="00DE1921">
            <w:pPr>
              <w:rPr>
                <w:rFonts w:ascii="Arial" w:hAnsi="Arial" w:cs="Arial"/>
                <w:sz w:val="24"/>
                <w:szCs w:val="24"/>
                <w:lang w:eastAsia="en-AU"/>
              </w:rPr>
            </w:pPr>
          </w:p>
        </w:tc>
        <w:tc>
          <w:tcPr>
            <w:tcW w:w="9359" w:type="dxa"/>
            <w:gridSpan w:val="8"/>
            <w:shd w:val="clear" w:color="auto" w:fill="auto"/>
            <w:noWrap/>
            <w:vAlign w:val="center"/>
            <w:hideMark/>
          </w:tcPr>
          <w:p w14:paraId="18D4318D"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 thousand)</w:t>
            </w:r>
          </w:p>
        </w:tc>
      </w:tr>
      <w:tr w:rsidR="003E5BF5" w:rsidRPr="00655316" w14:paraId="610EAFAC" w14:textId="77777777" w:rsidTr="003728AB">
        <w:trPr>
          <w:trHeight w:val="340"/>
          <w:jc w:val="center"/>
        </w:trPr>
        <w:tc>
          <w:tcPr>
            <w:tcW w:w="4249" w:type="dxa"/>
            <w:shd w:val="clear" w:color="auto" w:fill="auto"/>
            <w:noWrap/>
            <w:hideMark/>
          </w:tcPr>
          <w:p w14:paraId="34F59C11"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 </w:t>
            </w:r>
          </w:p>
        </w:tc>
        <w:tc>
          <w:tcPr>
            <w:tcW w:w="2340" w:type="dxa"/>
            <w:gridSpan w:val="2"/>
            <w:shd w:val="clear" w:color="auto" w:fill="auto"/>
            <w:vAlign w:val="bottom"/>
            <w:hideMark/>
          </w:tcPr>
          <w:p w14:paraId="4D710799"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Other land at fair value</w:t>
            </w:r>
          </w:p>
        </w:tc>
        <w:tc>
          <w:tcPr>
            <w:tcW w:w="2341" w:type="dxa"/>
            <w:gridSpan w:val="2"/>
            <w:shd w:val="clear" w:color="auto" w:fill="auto"/>
            <w:vAlign w:val="bottom"/>
            <w:hideMark/>
          </w:tcPr>
          <w:p w14:paraId="043D671B"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Roads and bridges at fair value</w:t>
            </w:r>
          </w:p>
        </w:tc>
        <w:tc>
          <w:tcPr>
            <w:tcW w:w="2337" w:type="dxa"/>
            <w:gridSpan w:val="2"/>
            <w:shd w:val="clear" w:color="auto" w:fill="auto"/>
            <w:vAlign w:val="bottom"/>
            <w:hideMark/>
          </w:tcPr>
          <w:p w14:paraId="42A92736"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Earthworks at fair value</w:t>
            </w:r>
          </w:p>
        </w:tc>
        <w:tc>
          <w:tcPr>
            <w:tcW w:w="2341" w:type="dxa"/>
            <w:gridSpan w:val="2"/>
            <w:shd w:val="clear" w:color="auto" w:fill="auto"/>
            <w:vAlign w:val="bottom"/>
            <w:hideMark/>
          </w:tcPr>
          <w:p w14:paraId="6E52297E"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Other infrastructure at fair value</w:t>
            </w:r>
          </w:p>
        </w:tc>
      </w:tr>
      <w:tr w:rsidR="003E5BF5" w:rsidRPr="00655316" w14:paraId="6DA11477" w14:textId="77777777" w:rsidTr="003728AB">
        <w:trPr>
          <w:trHeight w:val="340"/>
          <w:jc w:val="center"/>
        </w:trPr>
        <w:tc>
          <w:tcPr>
            <w:tcW w:w="4249" w:type="dxa"/>
            <w:shd w:val="clear" w:color="auto" w:fill="auto"/>
            <w:noWrap/>
            <w:hideMark/>
          </w:tcPr>
          <w:p w14:paraId="0B763EB7" w14:textId="77777777" w:rsidR="003E5BF5" w:rsidRPr="00655316" w:rsidRDefault="003E5BF5" w:rsidP="00DE1921">
            <w:pPr>
              <w:rPr>
                <w:rFonts w:ascii="Arial" w:hAnsi="Arial" w:cs="Arial"/>
                <w:b/>
                <w:sz w:val="24"/>
                <w:szCs w:val="24"/>
                <w:lang w:eastAsia="en-AU"/>
              </w:rPr>
            </w:pPr>
          </w:p>
        </w:tc>
        <w:tc>
          <w:tcPr>
            <w:tcW w:w="1171" w:type="dxa"/>
            <w:shd w:val="clear" w:color="auto" w:fill="auto"/>
            <w:noWrap/>
            <w:vAlign w:val="center"/>
            <w:hideMark/>
          </w:tcPr>
          <w:p w14:paraId="5250B52A"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1169" w:type="dxa"/>
            <w:shd w:val="clear" w:color="auto" w:fill="auto"/>
            <w:noWrap/>
            <w:vAlign w:val="center"/>
            <w:hideMark/>
          </w:tcPr>
          <w:p w14:paraId="7D42FF6B"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 xml:space="preserve">2019 </w:t>
            </w:r>
            <w:r w:rsidRPr="00655316">
              <w:rPr>
                <w:rFonts w:ascii="Arial" w:hAnsi="Arial" w:cs="Arial"/>
                <w:b/>
                <w:sz w:val="24"/>
                <w:szCs w:val="24"/>
                <w:vertAlign w:val="superscript"/>
                <w:lang w:eastAsia="en-AU"/>
              </w:rPr>
              <w:t>(iv)</w:t>
            </w:r>
          </w:p>
        </w:tc>
        <w:tc>
          <w:tcPr>
            <w:tcW w:w="1172" w:type="dxa"/>
            <w:shd w:val="clear" w:color="auto" w:fill="auto"/>
            <w:noWrap/>
            <w:vAlign w:val="center"/>
            <w:hideMark/>
          </w:tcPr>
          <w:p w14:paraId="0E4DB30C"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1169" w:type="dxa"/>
            <w:shd w:val="clear" w:color="auto" w:fill="auto"/>
            <w:noWrap/>
            <w:vAlign w:val="center"/>
            <w:hideMark/>
          </w:tcPr>
          <w:p w14:paraId="55DA7A8C"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 xml:space="preserve">2019 </w:t>
            </w:r>
            <w:r w:rsidRPr="00655316">
              <w:rPr>
                <w:rFonts w:ascii="Arial" w:hAnsi="Arial" w:cs="Arial"/>
                <w:b/>
                <w:sz w:val="24"/>
                <w:szCs w:val="24"/>
                <w:vertAlign w:val="superscript"/>
                <w:lang w:eastAsia="en-AU"/>
              </w:rPr>
              <w:t>(iv)</w:t>
            </w:r>
          </w:p>
        </w:tc>
        <w:tc>
          <w:tcPr>
            <w:tcW w:w="1169" w:type="dxa"/>
            <w:shd w:val="clear" w:color="auto" w:fill="auto"/>
            <w:noWrap/>
            <w:vAlign w:val="center"/>
            <w:hideMark/>
          </w:tcPr>
          <w:p w14:paraId="399C26A0"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1168" w:type="dxa"/>
            <w:shd w:val="clear" w:color="auto" w:fill="auto"/>
            <w:noWrap/>
            <w:vAlign w:val="center"/>
            <w:hideMark/>
          </w:tcPr>
          <w:p w14:paraId="368292D4"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 xml:space="preserve">2019 </w:t>
            </w:r>
            <w:r w:rsidRPr="00655316">
              <w:rPr>
                <w:rFonts w:ascii="Arial" w:hAnsi="Arial" w:cs="Arial"/>
                <w:b/>
                <w:sz w:val="24"/>
                <w:szCs w:val="24"/>
                <w:vertAlign w:val="superscript"/>
                <w:lang w:eastAsia="en-AU"/>
              </w:rPr>
              <w:t>(iv)</w:t>
            </w:r>
          </w:p>
        </w:tc>
        <w:tc>
          <w:tcPr>
            <w:tcW w:w="1172" w:type="dxa"/>
            <w:shd w:val="clear" w:color="auto" w:fill="auto"/>
            <w:noWrap/>
            <w:vAlign w:val="center"/>
            <w:hideMark/>
          </w:tcPr>
          <w:p w14:paraId="4A47AC87"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1169" w:type="dxa"/>
            <w:shd w:val="clear" w:color="auto" w:fill="auto"/>
            <w:noWrap/>
            <w:vAlign w:val="center"/>
            <w:hideMark/>
          </w:tcPr>
          <w:p w14:paraId="3AB284E5"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 xml:space="preserve">2019 </w:t>
            </w:r>
            <w:r w:rsidRPr="00655316">
              <w:rPr>
                <w:rFonts w:ascii="Arial" w:hAnsi="Arial" w:cs="Arial"/>
                <w:b/>
                <w:sz w:val="24"/>
                <w:szCs w:val="24"/>
                <w:vertAlign w:val="superscript"/>
                <w:lang w:eastAsia="en-AU"/>
              </w:rPr>
              <w:t>(iv)</w:t>
            </w:r>
          </w:p>
        </w:tc>
      </w:tr>
      <w:tr w:rsidR="003E5BF5" w:rsidRPr="00655316" w14:paraId="3901605D" w14:textId="77777777" w:rsidTr="003728AB">
        <w:trPr>
          <w:trHeight w:val="340"/>
          <w:jc w:val="center"/>
        </w:trPr>
        <w:tc>
          <w:tcPr>
            <w:tcW w:w="4249" w:type="dxa"/>
            <w:shd w:val="clear" w:color="auto" w:fill="auto"/>
            <w:noWrap/>
            <w:vAlign w:val="center"/>
            <w:hideMark/>
          </w:tcPr>
          <w:p w14:paraId="579AF9D0"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 xml:space="preserve">Opening balance </w:t>
            </w:r>
            <w:r w:rsidRPr="00655316">
              <w:rPr>
                <w:rFonts w:ascii="Arial" w:hAnsi="Arial" w:cs="Arial"/>
                <w:b/>
                <w:sz w:val="24"/>
                <w:szCs w:val="24"/>
                <w:vertAlign w:val="superscript"/>
                <w:lang w:eastAsia="en-AU"/>
              </w:rPr>
              <w:t>(</w:t>
            </w:r>
            <w:proofErr w:type="spellStart"/>
            <w:r w:rsidRPr="00655316">
              <w:rPr>
                <w:rFonts w:ascii="Arial" w:hAnsi="Arial" w:cs="Arial"/>
                <w:b/>
                <w:sz w:val="24"/>
                <w:szCs w:val="24"/>
                <w:vertAlign w:val="superscript"/>
                <w:lang w:eastAsia="en-AU"/>
              </w:rPr>
              <w:t>i</w:t>
            </w:r>
            <w:proofErr w:type="spellEnd"/>
            <w:r w:rsidRPr="00655316">
              <w:rPr>
                <w:rFonts w:ascii="Arial" w:hAnsi="Arial" w:cs="Arial"/>
                <w:b/>
                <w:sz w:val="24"/>
                <w:szCs w:val="24"/>
                <w:vertAlign w:val="superscript"/>
                <w:lang w:eastAsia="en-AU"/>
              </w:rPr>
              <w:t>)</w:t>
            </w:r>
          </w:p>
        </w:tc>
        <w:tc>
          <w:tcPr>
            <w:tcW w:w="1171" w:type="dxa"/>
            <w:shd w:val="clear" w:color="auto" w:fill="auto"/>
            <w:noWrap/>
            <w:vAlign w:val="center"/>
            <w:hideMark/>
          </w:tcPr>
          <w:p w14:paraId="6F6E7FA5"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7D23CA09"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72" w:type="dxa"/>
            <w:shd w:val="clear" w:color="auto" w:fill="auto"/>
            <w:noWrap/>
            <w:vAlign w:val="center"/>
            <w:hideMark/>
          </w:tcPr>
          <w:p w14:paraId="610AA717"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70B905E1"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0523717E"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68" w:type="dxa"/>
            <w:shd w:val="clear" w:color="auto" w:fill="auto"/>
            <w:noWrap/>
            <w:vAlign w:val="center"/>
            <w:hideMark/>
          </w:tcPr>
          <w:p w14:paraId="3BC59FDA"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72" w:type="dxa"/>
            <w:shd w:val="clear" w:color="auto" w:fill="auto"/>
            <w:noWrap/>
            <w:vAlign w:val="center"/>
            <w:hideMark/>
          </w:tcPr>
          <w:p w14:paraId="27924710"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31BCF4A0"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r>
      <w:tr w:rsidR="003E5BF5" w:rsidRPr="00655316" w14:paraId="32966F36" w14:textId="77777777" w:rsidTr="003728AB">
        <w:trPr>
          <w:trHeight w:val="340"/>
          <w:jc w:val="center"/>
        </w:trPr>
        <w:tc>
          <w:tcPr>
            <w:tcW w:w="4249" w:type="dxa"/>
            <w:shd w:val="clear" w:color="auto" w:fill="auto"/>
            <w:vAlign w:val="center"/>
            <w:hideMark/>
          </w:tcPr>
          <w:p w14:paraId="04DA9925"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 xml:space="preserve">Change in accounting policy effecting 1 July 2018 (due to AASB 1059) </w:t>
            </w:r>
            <w:r w:rsidRPr="00655316">
              <w:rPr>
                <w:rFonts w:ascii="Arial" w:hAnsi="Arial" w:cs="Arial"/>
                <w:sz w:val="24"/>
                <w:szCs w:val="24"/>
                <w:vertAlign w:val="superscript"/>
                <w:lang w:eastAsia="en-AU"/>
              </w:rPr>
              <w:t>(ii)</w:t>
            </w:r>
          </w:p>
        </w:tc>
        <w:tc>
          <w:tcPr>
            <w:tcW w:w="1171" w:type="dxa"/>
            <w:shd w:val="clear" w:color="auto" w:fill="auto"/>
            <w:noWrap/>
            <w:hideMark/>
          </w:tcPr>
          <w:p w14:paraId="5131CD3F"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hideMark/>
          </w:tcPr>
          <w:p w14:paraId="7E9BDB8D"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shd w:val="clear" w:color="auto" w:fill="auto"/>
            <w:noWrap/>
            <w:hideMark/>
          </w:tcPr>
          <w:p w14:paraId="3C429F1E"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hideMark/>
          </w:tcPr>
          <w:p w14:paraId="62DF1524"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hideMark/>
          </w:tcPr>
          <w:p w14:paraId="233AFEB7"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8" w:type="dxa"/>
            <w:shd w:val="clear" w:color="auto" w:fill="auto"/>
            <w:noWrap/>
            <w:hideMark/>
          </w:tcPr>
          <w:p w14:paraId="294A76E4"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shd w:val="clear" w:color="auto" w:fill="auto"/>
            <w:noWrap/>
            <w:hideMark/>
          </w:tcPr>
          <w:p w14:paraId="28BFDC73"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hideMark/>
          </w:tcPr>
          <w:p w14:paraId="6378F686"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r>
      <w:tr w:rsidR="003E5BF5" w:rsidRPr="00655316" w14:paraId="2EC0E63B" w14:textId="77777777" w:rsidTr="003728AB">
        <w:trPr>
          <w:trHeight w:val="340"/>
          <w:jc w:val="center"/>
        </w:trPr>
        <w:tc>
          <w:tcPr>
            <w:tcW w:w="4249" w:type="dxa"/>
            <w:shd w:val="clear" w:color="auto" w:fill="auto"/>
            <w:vAlign w:val="center"/>
            <w:hideMark/>
          </w:tcPr>
          <w:p w14:paraId="5035401C"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Change in accounting policy effecting 30 June 2019 (due to AASB 1059)</w:t>
            </w:r>
            <w:r w:rsidRPr="00655316">
              <w:rPr>
                <w:rFonts w:ascii="Arial" w:hAnsi="Arial" w:cs="Arial"/>
                <w:sz w:val="24"/>
                <w:szCs w:val="24"/>
                <w:vertAlign w:val="superscript"/>
                <w:lang w:eastAsia="en-AU"/>
              </w:rPr>
              <w:t xml:space="preserve"> (iii)</w:t>
            </w:r>
          </w:p>
        </w:tc>
        <w:tc>
          <w:tcPr>
            <w:tcW w:w="1171" w:type="dxa"/>
            <w:shd w:val="clear" w:color="auto" w:fill="auto"/>
            <w:noWrap/>
            <w:hideMark/>
          </w:tcPr>
          <w:p w14:paraId="25E955AE"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hideMark/>
          </w:tcPr>
          <w:p w14:paraId="0388B015"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shd w:val="clear" w:color="auto" w:fill="auto"/>
            <w:noWrap/>
            <w:hideMark/>
          </w:tcPr>
          <w:p w14:paraId="2DD7CE20"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hideMark/>
          </w:tcPr>
          <w:p w14:paraId="4B0B79D1"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hideMark/>
          </w:tcPr>
          <w:p w14:paraId="124D18C0"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8" w:type="dxa"/>
            <w:shd w:val="clear" w:color="auto" w:fill="auto"/>
            <w:noWrap/>
            <w:hideMark/>
          </w:tcPr>
          <w:p w14:paraId="32BB3EB7"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shd w:val="clear" w:color="auto" w:fill="auto"/>
            <w:noWrap/>
            <w:hideMark/>
          </w:tcPr>
          <w:p w14:paraId="5461B876"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hideMark/>
          </w:tcPr>
          <w:p w14:paraId="43EE79BB"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r>
      <w:tr w:rsidR="003E5BF5" w:rsidRPr="00655316" w14:paraId="279F5BD9" w14:textId="77777777" w:rsidTr="003728AB">
        <w:trPr>
          <w:trHeight w:val="340"/>
          <w:jc w:val="center"/>
        </w:trPr>
        <w:tc>
          <w:tcPr>
            <w:tcW w:w="4249" w:type="dxa"/>
            <w:shd w:val="clear" w:color="auto" w:fill="auto"/>
            <w:noWrap/>
            <w:vAlign w:val="center"/>
            <w:hideMark/>
          </w:tcPr>
          <w:p w14:paraId="394D4378"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 xml:space="preserve">Adjusted opening balance </w:t>
            </w:r>
          </w:p>
        </w:tc>
        <w:tc>
          <w:tcPr>
            <w:tcW w:w="1171" w:type="dxa"/>
            <w:shd w:val="clear" w:color="auto" w:fill="auto"/>
            <w:noWrap/>
            <w:vAlign w:val="center"/>
            <w:hideMark/>
          </w:tcPr>
          <w:p w14:paraId="64222ADB"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0DD312B7"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72" w:type="dxa"/>
            <w:shd w:val="clear" w:color="auto" w:fill="auto"/>
            <w:noWrap/>
            <w:vAlign w:val="center"/>
            <w:hideMark/>
          </w:tcPr>
          <w:p w14:paraId="7581B352"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0BC93D83"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424993A5"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68" w:type="dxa"/>
            <w:shd w:val="clear" w:color="auto" w:fill="auto"/>
            <w:noWrap/>
            <w:vAlign w:val="center"/>
            <w:hideMark/>
          </w:tcPr>
          <w:p w14:paraId="1BB1FE9B"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72" w:type="dxa"/>
            <w:shd w:val="clear" w:color="auto" w:fill="auto"/>
            <w:noWrap/>
            <w:vAlign w:val="center"/>
            <w:hideMark/>
          </w:tcPr>
          <w:p w14:paraId="168135BC"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75F73453"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r>
      <w:tr w:rsidR="003E5BF5" w:rsidRPr="00655316" w14:paraId="77A2AD9E" w14:textId="77777777" w:rsidTr="003728AB">
        <w:trPr>
          <w:trHeight w:val="340"/>
          <w:jc w:val="center"/>
        </w:trPr>
        <w:tc>
          <w:tcPr>
            <w:tcW w:w="4249" w:type="dxa"/>
            <w:shd w:val="clear" w:color="auto" w:fill="auto"/>
            <w:noWrap/>
            <w:vAlign w:val="center"/>
            <w:hideMark/>
          </w:tcPr>
          <w:p w14:paraId="27936BE0" w14:textId="77777777" w:rsidR="003E5BF5" w:rsidRPr="00655316" w:rsidRDefault="003E5BF5" w:rsidP="00DE1921">
            <w:pPr>
              <w:rPr>
                <w:rFonts w:ascii="Arial" w:hAnsi="Arial" w:cs="Arial"/>
                <w:sz w:val="24"/>
                <w:szCs w:val="24"/>
                <w:lang w:eastAsia="en-AU"/>
              </w:rPr>
            </w:pPr>
            <w:proofErr w:type="spellStart"/>
            <w:r w:rsidRPr="00655316">
              <w:rPr>
                <w:rFonts w:ascii="Arial" w:hAnsi="Arial" w:cs="Arial"/>
                <w:sz w:val="24"/>
                <w:szCs w:val="24"/>
                <w:lang w:eastAsia="en-AU"/>
              </w:rPr>
              <w:t>MoG</w:t>
            </w:r>
            <w:proofErr w:type="spellEnd"/>
            <w:r w:rsidRPr="00655316">
              <w:rPr>
                <w:rFonts w:ascii="Arial" w:hAnsi="Arial" w:cs="Arial"/>
                <w:sz w:val="24"/>
                <w:szCs w:val="24"/>
                <w:lang w:eastAsia="en-AU"/>
              </w:rPr>
              <w:t xml:space="preserve"> transfers in</w:t>
            </w:r>
          </w:p>
        </w:tc>
        <w:tc>
          <w:tcPr>
            <w:tcW w:w="1171" w:type="dxa"/>
            <w:shd w:val="clear" w:color="auto" w:fill="auto"/>
            <w:noWrap/>
            <w:vAlign w:val="center"/>
            <w:hideMark/>
          </w:tcPr>
          <w:p w14:paraId="5D9E3442" w14:textId="77777777" w:rsidR="003E5BF5" w:rsidRPr="00655316" w:rsidRDefault="003E5BF5" w:rsidP="00DE1921">
            <w:pPr>
              <w:jc w:val="right"/>
              <w:rPr>
                <w:rFonts w:ascii="Arial" w:hAnsi="Arial" w:cs="Arial"/>
                <w:sz w:val="24"/>
                <w:szCs w:val="24"/>
                <w:lang w:eastAsia="en-AU"/>
              </w:rPr>
            </w:pPr>
            <w:r w:rsidRPr="00655316" w:rsidDel="00610C6C">
              <w:rPr>
                <w:rFonts w:ascii="Arial" w:hAnsi="Arial" w:cs="Arial"/>
                <w:sz w:val="24"/>
                <w:szCs w:val="24"/>
              </w:rPr>
              <w:t>1,</w:t>
            </w:r>
            <w:r w:rsidRPr="00655316">
              <w:rPr>
                <w:rFonts w:ascii="Arial" w:hAnsi="Arial" w:cs="Arial"/>
                <w:sz w:val="24"/>
                <w:szCs w:val="24"/>
              </w:rPr>
              <w:t xml:space="preserve">315,138 </w:t>
            </w:r>
          </w:p>
        </w:tc>
        <w:tc>
          <w:tcPr>
            <w:tcW w:w="1169" w:type="dxa"/>
            <w:shd w:val="clear" w:color="auto" w:fill="auto"/>
            <w:noWrap/>
            <w:vAlign w:val="center"/>
            <w:hideMark/>
          </w:tcPr>
          <w:p w14:paraId="1947B78C"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shd w:val="clear" w:color="auto" w:fill="auto"/>
            <w:noWrap/>
            <w:vAlign w:val="center"/>
            <w:hideMark/>
          </w:tcPr>
          <w:p w14:paraId="6F593B17"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4,548,117</w:t>
            </w:r>
          </w:p>
        </w:tc>
        <w:tc>
          <w:tcPr>
            <w:tcW w:w="1169" w:type="dxa"/>
            <w:shd w:val="clear" w:color="auto" w:fill="auto"/>
            <w:noWrap/>
            <w:vAlign w:val="center"/>
            <w:hideMark/>
          </w:tcPr>
          <w:p w14:paraId="4D3CDB43"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32B4878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721,017</w:t>
            </w:r>
          </w:p>
        </w:tc>
        <w:tc>
          <w:tcPr>
            <w:tcW w:w="1168" w:type="dxa"/>
            <w:shd w:val="clear" w:color="auto" w:fill="auto"/>
            <w:noWrap/>
            <w:vAlign w:val="center"/>
            <w:hideMark/>
          </w:tcPr>
          <w:p w14:paraId="52C15A35"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shd w:val="clear" w:color="auto" w:fill="auto"/>
            <w:noWrap/>
            <w:vAlign w:val="center"/>
            <w:hideMark/>
          </w:tcPr>
          <w:p w14:paraId="5EAE744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1,396,547</w:t>
            </w:r>
          </w:p>
        </w:tc>
        <w:tc>
          <w:tcPr>
            <w:tcW w:w="1169" w:type="dxa"/>
            <w:shd w:val="clear" w:color="auto" w:fill="auto"/>
            <w:noWrap/>
            <w:vAlign w:val="center"/>
            <w:hideMark/>
          </w:tcPr>
          <w:p w14:paraId="65AEA2A6"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r>
      <w:tr w:rsidR="003E5BF5" w:rsidRPr="00655316" w14:paraId="20A51620" w14:textId="77777777" w:rsidTr="003728AB">
        <w:trPr>
          <w:trHeight w:val="340"/>
          <w:jc w:val="center"/>
        </w:trPr>
        <w:tc>
          <w:tcPr>
            <w:tcW w:w="4249" w:type="dxa"/>
            <w:shd w:val="clear" w:color="auto" w:fill="auto"/>
            <w:noWrap/>
            <w:vAlign w:val="center"/>
            <w:hideMark/>
          </w:tcPr>
          <w:p w14:paraId="36EB7525"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Additions</w:t>
            </w:r>
          </w:p>
        </w:tc>
        <w:tc>
          <w:tcPr>
            <w:tcW w:w="1171" w:type="dxa"/>
            <w:shd w:val="clear" w:color="auto" w:fill="auto"/>
            <w:noWrap/>
            <w:vAlign w:val="center"/>
            <w:hideMark/>
          </w:tcPr>
          <w:p w14:paraId="01F9D1E7"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69" w:type="dxa"/>
            <w:shd w:val="clear" w:color="auto" w:fill="auto"/>
            <w:noWrap/>
            <w:vAlign w:val="center"/>
            <w:hideMark/>
          </w:tcPr>
          <w:p w14:paraId="67F64D01"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shd w:val="clear" w:color="auto" w:fill="auto"/>
            <w:noWrap/>
            <w:vAlign w:val="center"/>
            <w:hideMark/>
          </w:tcPr>
          <w:p w14:paraId="6EF50125"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4839DADB"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6E8DEB7B"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8" w:type="dxa"/>
            <w:shd w:val="clear" w:color="auto" w:fill="auto"/>
            <w:noWrap/>
            <w:vAlign w:val="center"/>
            <w:hideMark/>
          </w:tcPr>
          <w:p w14:paraId="558FCB6A"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shd w:val="clear" w:color="auto" w:fill="auto"/>
            <w:noWrap/>
            <w:vAlign w:val="center"/>
            <w:hideMark/>
          </w:tcPr>
          <w:p w14:paraId="087B738F"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030CE475"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r>
      <w:tr w:rsidR="003E5BF5" w:rsidRPr="00655316" w14:paraId="77FE8D20" w14:textId="77777777" w:rsidTr="003728AB">
        <w:trPr>
          <w:trHeight w:val="340"/>
          <w:jc w:val="center"/>
        </w:trPr>
        <w:tc>
          <w:tcPr>
            <w:tcW w:w="4249" w:type="dxa"/>
            <w:shd w:val="clear" w:color="auto" w:fill="auto"/>
            <w:noWrap/>
            <w:vAlign w:val="center"/>
            <w:hideMark/>
          </w:tcPr>
          <w:p w14:paraId="784E9740"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Depreciation expense</w:t>
            </w:r>
          </w:p>
        </w:tc>
        <w:tc>
          <w:tcPr>
            <w:tcW w:w="1171" w:type="dxa"/>
            <w:shd w:val="clear" w:color="auto" w:fill="auto"/>
            <w:noWrap/>
            <w:vAlign w:val="center"/>
            <w:hideMark/>
          </w:tcPr>
          <w:p w14:paraId="7A0D69FB"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6FA7CC93"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shd w:val="clear" w:color="auto" w:fill="auto"/>
            <w:noWrap/>
            <w:vAlign w:val="center"/>
            <w:hideMark/>
          </w:tcPr>
          <w:p w14:paraId="1360102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(120,784)</w:t>
            </w:r>
          </w:p>
        </w:tc>
        <w:tc>
          <w:tcPr>
            <w:tcW w:w="1169" w:type="dxa"/>
            <w:shd w:val="clear" w:color="auto" w:fill="auto"/>
            <w:noWrap/>
            <w:vAlign w:val="center"/>
            <w:hideMark/>
          </w:tcPr>
          <w:p w14:paraId="675764AE"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1EBE44E0" w14:textId="77777777" w:rsidR="003E5BF5" w:rsidRPr="00655316" w:rsidRDefault="003E5BF5" w:rsidP="00DE1921">
            <w:pPr>
              <w:jc w:val="right"/>
              <w:rPr>
                <w:rFonts w:ascii="Arial" w:hAnsi="Arial" w:cs="Arial"/>
                <w:sz w:val="24"/>
                <w:szCs w:val="24"/>
                <w:highlight w:val="yellow"/>
                <w:lang w:eastAsia="en-AU"/>
              </w:rPr>
            </w:pPr>
            <w:r w:rsidRPr="00655316">
              <w:rPr>
                <w:rFonts w:ascii="Arial" w:hAnsi="Arial" w:cs="Arial"/>
                <w:sz w:val="24"/>
                <w:szCs w:val="24"/>
              </w:rPr>
              <w:t xml:space="preserve">  -</w:t>
            </w:r>
          </w:p>
        </w:tc>
        <w:tc>
          <w:tcPr>
            <w:tcW w:w="1168" w:type="dxa"/>
            <w:shd w:val="clear" w:color="auto" w:fill="auto"/>
            <w:noWrap/>
            <w:vAlign w:val="center"/>
            <w:hideMark/>
          </w:tcPr>
          <w:p w14:paraId="0464FACE"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shd w:val="clear" w:color="auto" w:fill="auto"/>
            <w:noWrap/>
            <w:vAlign w:val="center"/>
            <w:hideMark/>
          </w:tcPr>
          <w:p w14:paraId="30F6518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(45,417)</w:t>
            </w:r>
          </w:p>
        </w:tc>
        <w:tc>
          <w:tcPr>
            <w:tcW w:w="1169" w:type="dxa"/>
            <w:shd w:val="clear" w:color="auto" w:fill="auto"/>
            <w:noWrap/>
            <w:vAlign w:val="center"/>
            <w:hideMark/>
          </w:tcPr>
          <w:p w14:paraId="74A1A331"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r>
      <w:tr w:rsidR="003E5BF5" w:rsidRPr="00655316" w14:paraId="1A796634" w14:textId="77777777" w:rsidTr="003728AB">
        <w:trPr>
          <w:trHeight w:val="340"/>
          <w:jc w:val="center"/>
        </w:trPr>
        <w:tc>
          <w:tcPr>
            <w:tcW w:w="4249" w:type="dxa"/>
            <w:shd w:val="clear" w:color="auto" w:fill="auto"/>
            <w:noWrap/>
            <w:vAlign w:val="center"/>
            <w:hideMark/>
          </w:tcPr>
          <w:p w14:paraId="7B790E6A"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Assets provided as contributed capital</w:t>
            </w:r>
          </w:p>
        </w:tc>
        <w:tc>
          <w:tcPr>
            <w:tcW w:w="1171" w:type="dxa"/>
            <w:shd w:val="clear" w:color="auto" w:fill="auto"/>
            <w:noWrap/>
            <w:vAlign w:val="center"/>
            <w:hideMark/>
          </w:tcPr>
          <w:p w14:paraId="6E2AFA35"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01CDAD48"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shd w:val="clear" w:color="auto" w:fill="auto"/>
            <w:noWrap/>
            <w:vAlign w:val="center"/>
            <w:hideMark/>
          </w:tcPr>
          <w:p w14:paraId="4A7D5788"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4593D4F9"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535E39C2"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8" w:type="dxa"/>
            <w:shd w:val="clear" w:color="auto" w:fill="auto"/>
            <w:noWrap/>
            <w:vAlign w:val="center"/>
            <w:hideMark/>
          </w:tcPr>
          <w:p w14:paraId="60DAB77E"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shd w:val="clear" w:color="auto" w:fill="auto"/>
            <w:noWrap/>
            <w:vAlign w:val="center"/>
            <w:hideMark/>
          </w:tcPr>
          <w:p w14:paraId="41BE4BD1"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3C6F721C"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r>
      <w:tr w:rsidR="003E5BF5" w:rsidRPr="00655316" w14:paraId="05F7ADF5" w14:textId="77777777" w:rsidTr="003728AB">
        <w:trPr>
          <w:trHeight w:val="340"/>
          <w:jc w:val="center"/>
        </w:trPr>
        <w:tc>
          <w:tcPr>
            <w:tcW w:w="4249" w:type="dxa"/>
            <w:shd w:val="clear" w:color="auto" w:fill="auto"/>
            <w:noWrap/>
            <w:vAlign w:val="center"/>
            <w:hideMark/>
          </w:tcPr>
          <w:p w14:paraId="3E529E0D"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Net revaluation increments/decrements</w:t>
            </w:r>
          </w:p>
        </w:tc>
        <w:tc>
          <w:tcPr>
            <w:tcW w:w="1171" w:type="dxa"/>
            <w:shd w:val="clear" w:color="auto" w:fill="auto"/>
            <w:noWrap/>
            <w:vAlign w:val="center"/>
            <w:hideMark/>
          </w:tcPr>
          <w:p w14:paraId="0286254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765,322 </w:t>
            </w:r>
          </w:p>
        </w:tc>
        <w:tc>
          <w:tcPr>
            <w:tcW w:w="1169" w:type="dxa"/>
            <w:shd w:val="clear" w:color="auto" w:fill="auto"/>
            <w:noWrap/>
            <w:vAlign w:val="center"/>
            <w:hideMark/>
          </w:tcPr>
          <w:p w14:paraId="6F51C6DF"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shd w:val="clear" w:color="auto" w:fill="auto"/>
            <w:noWrap/>
            <w:vAlign w:val="center"/>
            <w:hideMark/>
          </w:tcPr>
          <w:p w14:paraId="2F47594B"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391,815</w:t>
            </w:r>
          </w:p>
        </w:tc>
        <w:tc>
          <w:tcPr>
            <w:tcW w:w="1169" w:type="dxa"/>
            <w:shd w:val="clear" w:color="auto" w:fill="auto"/>
            <w:noWrap/>
            <w:vAlign w:val="center"/>
            <w:hideMark/>
          </w:tcPr>
          <w:p w14:paraId="5F395B99"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shd w:val="clear" w:color="auto" w:fill="auto"/>
            <w:noWrap/>
            <w:vAlign w:val="center"/>
            <w:hideMark/>
          </w:tcPr>
          <w:p w14:paraId="367BF61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12,863</w:t>
            </w:r>
          </w:p>
        </w:tc>
        <w:tc>
          <w:tcPr>
            <w:tcW w:w="1168" w:type="dxa"/>
            <w:shd w:val="clear" w:color="auto" w:fill="auto"/>
            <w:noWrap/>
            <w:vAlign w:val="center"/>
            <w:hideMark/>
          </w:tcPr>
          <w:p w14:paraId="4C9DA833"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shd w:val="clear" w:color="auto" w:fill="auto"/>
            <w:noWrap/>
            <w:vAlign w:val="center"/>
            <w:hideMark/>
          </w:tcPr>
          <w:p w14:paraId="574A9B6C"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157,160</w:t>
            </w:r>
          </w:p>
        </w:tc>
        <w:tc>
          <w:tcPr>
            <w:tcW w:w="1169" w:type="dxa"/>
            <w:shd w:val="clear" w:color="auto" w:fill="auto"/>
            <w:noWrap/>
            <w:vAlign w:val="center"/>
            <w:hideMark/>
          </w:tcPr>
          <w:p w14:paraId="6439517A"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r>
      <w:tr w:rsidR="003E5BF5" w:rsidRPr="00655316" w14:paraId="05ED937C" w14:textId="77777777" w:rsidTr="003728AB">
        <w:trPr>
          <w:trHeight w:val="340"/>
          <w:jc w:val="center"/>
        </w:trPr>
        <w:tc>
          <w:tcPr>
            <w:tcW w:w="4249" w:type="dxa"/>
            <w:tcBorders>
              <w:bottom w:val="single" w:sz="4" w:space="0" w:color="auto"/>
            </w:tcBorders>
            <w:shd w:val="clear" w:color="auto" w:fill="auto"/>
            <w:noWrap/>
            <w:vAlign w:val="center"/>
            <w:hideMark/>
          </w:tcPr>
          <w:p w14:paraId="09D9546B"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Transfer between classes</w:t>
            </w:r>
          </w:p>
        </w:tc>
        <w:tc>
          <w:tcPr>
            <w:tcW w:w="1171" w:type="dxa"/>
            <w:tcBorders>
              <w:bottom w:val="single" w:sz="4" w:space="0" w:color="auto"/>
            </w:tcBorders>
            <w:shd w:val="clear" w:color="auto" w:fill="auto"/>
            <w:noWrap/>
            <w:vAlign w:val="center"/>
            <w:hideMark/>
          </w:tcPr>
          <w:p w14:paraId="71883A20" w14:textId="77777777" w:rsidR="003E5BF5" w:rsidRPr="00655316" w:rsidRDefault="003E5BF5" w:rsidP="00DE1921">
            <w:pPr>
              <w:jc w:val="right"/>
              <w:rPr>
                <w:rFonts w:ascii="Arial" w:hAnsi="Arial" w:cs="Arial"/>
                <w:sz w:val="24"/>
                <w:szCs w:val="24"/>
                <w:lang w:eastAsia="en-AU"/>
              </w:rPr>
            </w:pPr>
          </w:p>
        </w:tc>
        <w:tc>
          <w:tcPr>
            <w:tcW w:w="1169" w:type="dxa"/>
            <w:tcBorders>
              <w:bottom w:val="single" w:sz="4" w:space="0" w:color="auto"/>
            </w:tcBorders>
            <w:shd w:val="clear" w:color="auto" w:fill="auto"/>
            <w:noWrap/>
            <w:vAlign w:val="center"/>
            <w:hideMark/>
          </w:tcPr>
          <w:p w14:paraId="122AD2BE"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tcBorders>
              <w:bottom w:val="single" w:sz="4" w:space="0" w:color="auto"/>
            </w:tcBorders>
            <w:shd w:val="clear" w:color="auto" w:fill="auto"/>
            <w:noWrap/>
            <w:vAlign w:val="center"/>
            <w:hideMark/>
          </w:tcPr>
          <w:p w14:paraId="0FE372E8"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tcBorders>
              <w:bottom w:val="single" w:sz="4" w:space="0" w:color="auto"/>
            </w:tcBorders>
            <w:shd w:val="clear" w:color="auto" w:fill="auto"/>
            <w:noWrap/>
            <w:vAlign w:val="center"/>
            <w:hideMark/>
          </w:tcPr>
          <w:p w14:paraId="23BBE462"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tcBorders>
              <w:bottom w:val="single" w:sz="4" w:space="0" w:color="auto"/>
            </w:tcBorders>
            <w:shd w:val="clear" w:color="auto" w:fill="auto"/>
            <w:noWrap/>
            <w:vAlign w:val="center"/>
            <w:hideMark/>
          </w:tcPr>
          <w:p w14:paraId="7A353C9E"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8" w:type="dxa"/>
            <w:tcBorders>
              <w:bottom w:val="single" w:sz="4" w:space="0" w:color="auto"/>
            </w:tcBorders>
            <w:shd w:val="clear" w:color="auto" w:fill="auto"/>
            <w:noWrap/>
            <w:vAlign w:val="center"/>
            <w:hideMark/>
          </w:tcPr>
          <w:p w14:paraId="6763825E"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72" w:type="dxa"/>
            <w:tcBorders>
              <w:bottom w:val="single" w:sz="4" w:space="0" w:color="auto"/>
            </w:tcBorders>
            <w:shd w:val="clear" w:color="auto" w:fill="auto"/>
            <w:noWrap/>
            <w:vAlign w:val="center"/>
            <w:hideMark/>
          </w:tcPr>
          <w:p w14:paraId="6F8D2B7C"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c>
          <w:tcPr>
            <w:tcW w:w="1169" w:type="dxa"/>
            <w:tcBorders>
              <w:bottom w:val="single" w:sz="4" w:space="0" w:color="auto"/>
            </w:tcBorders>
            <w:shd w:val="clear" w:color="auto" w:fill="auto"/>
            <w:noWrap/>
            <w:vAlign w:val="center"/>
            <w:hideMark/>
          </w:tcPr>
          <w:p w14:paraId="15CA1E00" w14:textId="77777777" w:rsidR="003E5BF5" w:rsidRPr="00655316" w:rsidRDefault="003E5BF5" w:rsidP="00DE1921">
            <w:pPr>
              <w:jc w:val="right"/>
              <w:rPr>
                <w:rFonts w:ascii="Arial" w:hAnsi="Arial" w:cs="Arial"/>
                <w:sz w:val="24"/>
                <w:szCs w:val="24"/>
                <w:lang w:eastAsia="en-AU"/>
              </w:rPr>
            </w:pPr>
            <w:r w:rsidRPr="00655316">
              <w:rPr>
                <w:rFonts w:ascii="Arial" w:hAnsi="Arial" w:cs="Arial"/>
                <w:b/>
                <w:sz w:val="24"/>
                <w:szCs w:val="24"/>
              </w:rPr>
              <w:t>-</w:t>
            </w:r>
          </w:p>
        </w:tc>
      </w:tr>
      <w:tr w:rsidR="003E5BF5" w:rsidRPr="00655316" w14:paraId="28A0F790" w14:textId="77777777" w:rsidTr="003728AB">
        <w:trPr>
          <w:trHeight w:val="340"/>
          <w:jc w:val="center"/>
        </w:trPr>
        <w:tc>
          <w:tcPr>
            <w:tcW w:w="4249" w:type="dxa"/>
            <w:tcBorders>
              <w:bottom w:val="single" w:sz="4" w:space="0" w:color="auto"/>
            </w:tcBorders>
            <w:shd w:val="clear" w:color="auto" w:fill="auto"/>
            <w:noWrap/>
            <w:vAlign w:val="center"/>
            <w:hideMark/>
          </w:tcPr>
          <w:p w14:paraId="063FB958"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Closing balance</w:t>
            </w:r>
          </w:p>
        </w:tc>
        <w:tc>
          <w:tcPr>
            <w:tcW w:w="1171" w:type="dxa"/>
            <w:tcBorders>
              <w:bottom w:val="single" w:sz="4" w:space="0" w:color="auto"/>
            </w:tcBorders>
            <w:shd w:val="clear" w:color="auto" w:fill="auto"/>
            <w:noWrap/>
            <w:vAlign w:val="center"/>
            <w:hideMark/>
          </w:tcPr>
          <w:p w14:paraId="55B60869"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2,080,460 </w:t>
            </w:r>
          </w:p>
        </w:tc>
        <w:tc>
          <w:tcPr>
            <w:tcW w:w="1169" w:type="dxa"/>
            <w:tcBorders>
              <w:bottom w:val="single" w:sz="4" w:space="0" w:color="auto"/>
            </w:tcBorders>
            <w:shd w:val="clear" w:color="auto" w:fill="auto"/>
            <w:noWrap/>
            <w:vAlign w:val="center"/>
            <w:hideMark/>
          </w:tcPr>
          <w:p w14:paraId="436D7AC3"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72" w:type="dxa"/>
            <w:tcBorders>
              <w:bottom w:val="single" w:sz="4" w:space="0" w:color="auto"/>
            </w:tcBorders>
            <w:shd w:val="clear" w:color="auto" w:fill="auto"/>
            <w:noWrap/>
            <w:vAlign w:val="center"/>
            <w:hideMark/>
          </w:tcPr>
          <w:p w14:paraId="5A0B63C7"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4,819,148 </w:t>
            </w:r>
          </w:p>
        </w:tc>
        <w:tc>
          <w:tcPr>
            <w:tcW w:w="1169" w:type="dxa"/>
            <w:tcBorders>
              <w:bottom w:val="single" w:sz="4" w:space="0" w:color="auto"/>
            </w:tcBorders>
            <w:shd w:val="clear" w:color="auto" w:fill="auto"/>
            <w:noWrap/>
            <w:vAlign w:val="center"/>
            <w:hideMark/>
          </w:tcPr>
          <w:p w14:paraId="01FFBA70"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69" w:type="dxa"/>
            <w:tcBorders>
              <w:bottom w:val="single" w:sz="4" w:space="0" w:color="auto"/>
            </w:tcBorders>
            <w:shd w:val="clear" w:color="auto" w:fill="auto"/>
            <w:noWrap/>
            <w:vAlign w:val="center"/>
            <w:hideMark/>
          </w:tcPr>
          <w:p w14:paraId="4AA018CE"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733,880 </w:t>
            </w:r>
          </w:p>
        </w:tc>
        <w:tc>
          <w:tcPr>
            <w:tcW w:w="1168" w:type="dxa"/>
            <w:tcBorders>
              <w:bottom w:val="single" w:sz="4" w:space="0" w:color="auto"/>
            </w:tcBorders>
            <w:shd w:val="clear" w:color="auto" w:fill="auto"/>
            <w:noWrap/>
            <w:vAlign w:val="center"/>
            <w:hideMark/>
          </w:tcPr>
          <w:p w14:paraId="7AE46090"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c>
          <w:tcPr>
            <w:tcW w:w="1172" w:type="dxa"/>
            <w:tcBorders>
              <w:bottom w:val="single" w:sz="4" w:space="0" w:color="auto"/>
            </w:tcBorders>
            <w:shd w:val="clear" w:color="auto" w:fill="auto"/>
            <w:noWrap/>
            <w:vAlign w:val="center"/>
            <w:hideMark/>
          </w:tcPr>
          <w:p w14:paraId="26598154"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1,508,290 </w:t>
            </w:r>
          </w:p>
        </w:tc>
        <w:tc>
          <w:tcPr>
            <w:tcW w:w="1169" w:type="dxa"/>
            <w:tcBorders>
              <w:bottom w:val="single" w:sz="4" w:space="0" w:color="auto"/>
            </w:tcBorders>
            <w:shd w:val="clear" w:color="auto" w:fill="auto"/>
            <w:noWrap/>
            <w:vAlign w:val="center"/>
            <w:hideMark/>
          </w:tcPr>
          <w:p w14:paraId="52C347A9"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w:t>
            </w:r>
          </w:p>
        </w:tc>
      </w:tr>
    </w:tbl>
    <w:p w14:paraId="22C62C6E" w14:textId="77777777" w:rsidR="003728AB" w:rsidRPr="00655316" w:rsidRDefault="003728AB" w:rsidP="003728AB">
      <w:pPr>
        <w:pStyle w:val="Note"/>
        <w:rPr>
          <w:rFonts w:ascii="Arial" w:hAnsi="Arial" w:cs="Arial"/>
          <w:sz w:val="24"/>
          <w:szCs w:val="24"/>
        </w:rPr>
      </w:pPr>
      <w:r w:rsidRPr="00655316">
        <w:rPr>
          <w:rFonts w:ascii="Arial" w:hAnsi="Arial" w:cs="Arial"/>
          <w:sz w:val="24"/>
          <w:szCs w:val="24"/>
        </w:rPr>
        <w:t>Notes:</w:t>
      </w:r>
    </w:p>
    <w:p w14:paraId="27A347E9" w14:textId="77777777" w:rsidR="003728AB" w:rsidRPr="00655316" w:rsidRDefault="003728AB" w:rsidP="00610F5F">
      <w:pPr>
        <w:pStyle w:val="aaaNotenumberiiiiii"/>
        <w:numPr>
          <w:ilvl w:val="0"/>
          <w:numId w:val="93"/>
        </w:numPr>
      </w:pPr>
      <w:r w:rsidRPr="00655316">
        <w:t>The opening balance includes amounts reclassified from existing assets to service concession assets (recognised under AASB 1059 at 1 July 2018). Refer to Note 7.5.3 for further details.</w:t>
      </w:r>
    </w:p>
    <w:p w14:paraId="3E0A8837" w14:textId="77777777" w:rsidR="003728AB" w:rsidRPr="00655316" w:rsidRDefault="003728AB" w:rsidP="00610F5F">
      <w:pPr>
        <w:pStyle w:val="aaaNotenumberiiiiii"/>
        <w:numPr>
          <w:ilvl w:val="0"/>
          <w:numId w:val="93"/>
        </w:numPr>
      </w:pPr>
      <w:r w:rsidRPr="00655316">
        <w:t>Where a service concession arrangement is in existence at 1 July 2018; the opening balance at 1 July 2018 is adjusted to reflect the adoption of AASB 1059. Refer to Note 9.6.5.2 and Note 7.5.3 for further details.</w:t>
      </w:r>
    </w:p>
    <w:p w14:paraId="35188644" w14:textId="77777777" w:rsidR="003728AB" w:rsidRPr="00655316" w:rsidRDefault="003728AB" w:rsidP="00610F5F">
      <w:pPr>
        <w:pStyle w:val="aaaNotenumberiiiiii"/>
        <w:numPr>
          <w:ilvl w:val="0"/>
          <w:numId w:val="93"/>
        </w:numPr>
      </w:pPr>
      <w:r w:rsidRPr="00655316">
        <w:t>This balance represents the initial recognition of service concession assets (recognised under AASB 1059 retrospectively at 1 July 2019). Refer to Note 9.6.5.2 and Note 7.5.3.</w:t>
      </w:r>
    </w:p>
    <w:p w14:paraId="7231FA04" w14:textId="08E3A1D8" w:rsidR="003E5BF5" w:rsidRDefault="003728AB" w:rsidP="00610F5F">
      <w:pPr>
        <w:pStyle w:val="aaaNotenumberiiiiii"/>
        <w:numPr>
          <w:ilvl w:val="0"/>
          <w:numId w:val="93"/>
        </w:numPr>
      </w:pPr>
      <w:r w:rsidRPr="00655316">
        <w:lastRenderedPageBreak/>
        <w:t xml:space="preserve">VicRoads and PTV adopted AASB 1059 for the first time retrospectively based on their 2018-19 Financial Statements and then transferred balances as contributed capital to the department on 1 July 2019 as part of the </w:t>
      </w:r>
      <w:proofErr w:type="spellStart"/>
      <w:r w:rsidRPr="00655316">
        <w:t>MoG</w:t>
      </w:r>
      <w:proofErr w:type="spellEnd"/>
      <w:r w:rsidRPr="00655316">
        <w:t xml:space="preserve"> change. There are no comparatives relating to VicRoads and PTV within the department’s current year financial statements.</w:t>
      </w:r>
    </w:p>
    <w:p w14:paraId="08F4F9D9" w14:textId="77777777" w:rsidR="003E5BF5" w:rsidRDefault="003E5BF5">
      <w:r>
        <w:br w:type="page"/>
      </w:r>
    </w:p>
    <w:p w14:paraId="3921AE23" w14:textId="77777777" w:rsidR="003E5BF5" w:rsidRPr="00FF7D38" w:rsidRDefault="003E5BF5" w:rsidP="00610F5F">
      <w:pPr>
        <w:pStyle w:val="Heading3"/>
        <w:numPr>
          <w:ilvl w:val="3"/>
          <w:numId w:val="17"/>
        </w:numPr>
      </w:pPr>
      <w:r w:rsidRPr="00AE71C9">
        <w:lastRenderedPageBreak/>
        <w:t>R</w:t>
      </w:r>
      <w:r w:rsidRPr="00FF7D38">
        <w:t xml:space="preserve">econciliation of movements in carrying amount of service concession assets - </w:t>
      </w:r>
      <w:r w:rsidRPr="00FF7D38">
        <w:rPr>
          <w:i/>
        </w:rPr>
        <w:t>continued</w:t>
      </w:r>
    </w:p>
    <w:tbl>
      <w:tblPr>
        <w:tblStyle w:val="TableGrid"/>
        <w:tblW w:w="13684" w:type="dxa"/>
        <w:jc w:val="center"/>
        <w:tblCellMar>
          <w:left w:w="28" w:type="dxa"/>
          <w:right w:w="28" w:type="dxa"/>
        </w:tblCellMar>
        <w:tblLook w:val="04A0" w:firstRow="1" w:lastRow="0" w:firstColumn="1" w:lastColumn="0" w:noHBand="0" w:noVBand="1"/>
      </w:tblPr>
      <w:tblGrid>
        <w:gridCol w:w="4153"/>
        <w:gridCol w:w="1182"/>
        <w:gridCol w:w="1182"/>
        <w:gridCol w:w="1182"/>
        <w:gridCol w:w="1182"/>
        <w:gridCol w:w="1181"/>
        <w:gridCol w:w="1182"/>
        <w:gridCol w:w="1258"/>
        <w:gridCol w:w="1182"/>
      </w:tblGrid>
      <w:tr w:rsidR="003E5BF5" w:rsidRPr="00655316" w14:paraId="2446E39F" w14:textId="77777777" w:rsidTr="003728AB">
        <w:trPr>
          <w:trHeight w:val="340"/>
          <w:jc w:val="center"/>
        </w:trPr>
        <w:tc>
          <w:tcPr>
            <w:tcW w:w="4153" w:type="dxa"/>
            <w:shd w:val="clear" w:color="auto" w:fill="auto"/>
            <w:noWrap/>
            <w:hideMark/>
          </w:tcPr>
          <w:p w14:paraId="5C2236F1"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 </w:t>
            </w:r>
          </w:p>
        </w:tc>
        <w:tc>
          <w:tcPr>
            <w:tcW w:w="9531" w:type="dxa"/>
            <w:gridSpan w:val="8"/>
            <w:shd w:val="clear" w:color="auto" w:fill="auto"/>
            <w:noWrap/>
            <w:vAlign w:val="center"/>
            <w:hideMark/>
          </w:tcPr>
          <w:p w14:paraId="27A29BFC"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 thousand)</w:t>
            </w:r>
          </w:p>
        </w:tc>
      </w:tr>
      <w:tr w:rsidR="003E5BF5" w:rsidRPr="00655316" w14:paraId="49C97B95" w14:textId="77777777" w:rsidTr="003728AB">
        <w:trPr>
          <w:trHeight w:val="340"/>
          <w:jc w:val="center"/>
        </w:trPr>
        <w:tc>
          <w:tcPr>
            <w:tcW w:w="4153" w:type="dxa"/>
            <w:shd w:val="clear" w:color="auto" w:fill="auto"/>
            <w:noWrap/>
            <w:hideMark/>
          </w:tcPr>
          <w:p w14:paraId="4E9712C4" w14:textId="77777777" w:rsidR="003E5BF5" w:rsidRPr="00655316" w:rsidRDefault="003E5BF5" w:rsidP="00DE1921">
            <w:pPr>
              <w:rPr>
                <w:rFonts w:ascii="Arial" w:hAnsi="Arial" w:cs="Arial"/>
                <w:sz w:val="24"/>
                <w:szCs w:val="24"/>
                <w:lang w:eastAsia="en-AU"/>
              </w:rPr>
            </w:pPr>
          </w:p>
        </w:tc>
        <w:tc>
          <w:tcPr>
            <w:tcW w:w="2364" w:type="dxa"/>
            <w:gridSpan w:val="2"/>
            <w:shd w:val="clear" w:color="auto" w:fill="auto"/>
            <w:vAlign w:val="bottom"/>
            <w:hideMark/>
          </w:tcPr>
          <w:p w14:paraId="14B7D866"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Buildings at fair value</w:t>
            </w:r>
          </w:p>
        </w:tc>
        <w:tc>
          <w:tcPr>
            <w:tcW w:w="2364" w:type="dxa"/>
            <w:gridSpan w:val="2"/>
            <w:shd w:val="clear" w:color="auto" w:fill="auto"/>
            <w:vAlign w:val="bottom"/>
            <w:hideMark/>
          </w:tcPr>
          <w:p w14:paraId="6BF589CF"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Plant, equipment and vehicles at fair value</w:t>
            </w:r>
          </w:p>
        </w:tc>
        <w:tc>
          <w:tcPr>
            <w:tcW w:w="2363" w:type="dxa"/>
            <w:gridSpan w:val="2"/>
            <w:shd w:val="clear" w:color="auto" w:fill="auto"/>
            <w:vAlign w:val="bottom"/>
            <w:hideMark/>
          </w:tcPr>
          <w:p w14:paraId="45B4B259"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Assets under construction</w:t>
            </w:r>
          </w:p>
        </w:tc>
        <w:tc>
          <w:tcPr>
            <w:tcW w:w="2440" w:type="dxa"/>
            <w:gridSpan w:val="2"/>
            <w:shd w:val="clear" w:color="auto" w:fill="auto"/>
            <w:vAlign w:val="bottom"/>
            <w:hideMark/>
          </w:tcPr>
          <w:p w14:paraId="402AECC1"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Total</w:t>
            </w:r>
          </w:p>
        </w:tc>
      </w:tr>
      <w:tr w:rsidR="003E5BF5" w:rsidRPr="00655316" w14:paraId="7777A677" w14:textId="77777777" w:rsidTr="003728AB">
        <w:trPr>
          <w:trHeight w:val="340"/>
          <w:jc w:val="center"/>
        </w:trPr>
        <w:tc>
          <w:tcPr>
            <w:tcW w:w="4153" w:type="dxa"/>
            <w:shd w:val="clear" w:color="auto" w:fill="auto"/>
            <w:noWrap/>
            <w:hideMark/>
          </w:tcPr>
          <w:p w14:paraId="5196EA4E" w14:textId="77777777" w:rsidR="003E5BF5" w:rsidRPr="00655316" w:rsidRDefault="003E5BF5" w:rsidP="00DE1921">
            <w:pPr>
              <w:rPr>
                <w:rFonts w:ascii="Arial" w:hAnsi="Arial" w:cs="Arial"/>
                <w:b/>
                <w:sz w:val="24"/>
                <w:szCs w:val="24"/>
                <w:lang w:eastAsia="en-AU"/>
              </w:rPr>
            </w:pPr>
          </w:p>
        </w:tc>
        <w:tc>
          <w:tcPr>
            <w:tcW w:w="1182" w:type="dxa"/>
            <w:shd w:val="clear" w:color="auto" w:fill="auto"/>
            <w:noWrap/>
            <w:vAlign w:val="center"/>
            <w:hideMark/>
          </w:tcPr>
          <w:p w14:paraId="25A790BF"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1182" w:type="dxa"/>
            <w:shd w:val="clear" w:color="auto" w:fill="auto"/>
            <w:noWrap/>
            <w:vAlign w:val="center"/>
            <w:hideMark/>
          </w:tcPr>
          <w:p w14:paraId="2868C422"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 xml:space="preserve">2019 </w:t>
            </w:r>
            <w:r w:rsidRPr="00655316">
              <w:rPr>
                <w:rFonts w:ascii="Arial" w:hAnsi="Arial" w:cs="Arial"/>
                <w:b/>
                <w:sz w:val="24"/>
                <w:szCs w:val="24"/>
                <w:vertAlign w:val="superscript"/>
                <w:lang w:eastAsia="en-AU"/>
              </w:rPr>
              <w:t>(iv)</w:t>
            </w:r>
          </w:p>
        </w:tc>
        <w:tc>
          <w:tcPr>
            <w:tcW w:w="1182" w:type="dxa"/>
            <w:shd w:val="clear" w:color="auto" w:fill="auto"/>
            <w:noWrap/>
            <w:vAlign w:val="center"/>
            <w:hideMark/>
          </w:tcPr>
          <w:p w14:paraId="56391089"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1182" w:type="dxa"/>
            <w:shd w:val="clear" w:color="auto" w:fill="auto"/>
            <w:noWrap/>
            <w:vAlign w:val="center"/>
            <w:hideMark/>
          </w:tcPr>
          <w:p w14:paraId="663C3CD9"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 xml:space="preserve">2019 </w:t>
            </w:r>
            <w:r w:rsidRPr="00655316">
              <w:rPr>
                <w:rFonts w:ascii="Arial" w:hAnsi="Arial" w:cs="Arial"/>
                <w:b/>
                <w:sz w:val="24"/>
                <w:szCs w:val="24"/>
                <w:vertAlign w:val="superscript"/>
                <w:lang w:eastAsia="en-AU"/>
              </w:rPr>
              <w:t>(iv)</w:t>
            </w:r>
          </w:p>
        </w:tc>
        <w:tc>
          <w:tcPr>
            <w:tcW w:w="1181" w:type="dxa"/>
            <w:shd w:val="clear" w:color="auto" w:fill="auto"/>
            <w:noWrap/>
            <w:vAlign w:val="center"/>
            <w:hideMark/>
          </w:tcPr>
          <w:p w14:paraId="2FF72BF2"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1182" w:type="dxa"/>
            <w:shd w:val="clear" w:color="auto" w:fill="auto"/>
            <w:noWrap/>
            <w:vAlign w:val="center"/>
            <w:hideMark/>
          </w:tcPr>
          <w:p w14:paraId="385DB7F5"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 xml:space="preserve">2019 </w:t>
            </w:r>
            <w:r w:rsidRPr="00655316">
              <w:rPr>
                <w:rFonts w:ascii="Arial" w:hAnsi="Arial" w:cs="Arial"/>
                <w:b/>
                <w:sz w:val="24"/>
                <w:szCs w:val="24"/>
                <w:vertAlign w:val="superscript"/>
                <w:lang w:eastAsia="en-AU"/>
              </w:rPr>
              <w:t>(iv)</w:t>
            </w:r>
          </w:p>
        </w:tc>
        <w:tc>
          <w:tcPr>
            <w:tcW w:w="1258" w:type="dxa"/>
            <w:shd w:val="clear" w:color="auto" w:fill="auto"/>
            <w:noWrap/>
            <w:vAlign w:val="center"/>
            <w:hideMark/>
          </w:tcPr>
          <w:p w14:paraId="7E67120F"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1182" w:type="dxa"/>
            <w:shd w:val="clear" w:color="auto" w:fill="auto"/>
            <w:noWrap/>
            <w:vAlign w:val="center"/>
            <w:hideMark/>
          </w:tcPr>
          <w:p w14:paraId="532CC468"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 xml:space="preserve">2019 </w:t>
            </w:r>
            <w:r w:rsidRPr="00655316">
              <w:rPr>
                <w:rFonts w:ascii="Arial" w:hAnsi="Arial" w:cs="Arial"/>
                <w:b/>
                <w:sz w:val="24"/>
                <w:szCs w:val="24"/>
                <w:vertAlign w:val="superscript"/>
                <w:lang w:eastAsia="en-AU"/>
              </w:rPr>
              <w:t>(iv)</w:t>
            </w:r>
          </w:p>
        </w:tc>
      </w:tr>
      <w:tr w:rsidR="003E5BF5" w:rsidRPr="00655316" w14:paraId="5D16846E" w14:textId="77777777" w:rsidTr="003728AB">
        <w:trPr>
          <w:trHeight w:val="340"/>
          <w:jc w:val="center"/>
        </w:trPr>
        <w:tc>
          <w:tcPr>
            <w:tcW w:w="4153" w:type="dxa"/>
            <w:shd w:val="clear" w:color="auto" w:fill="auto"/>
            <w:noWrap/>
            <w:vAlign w:val="center"/>
            <w:hideMark/>
          </w:tcPr>
          <w:p w14:paraId="443A1785"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 xml:space="preserve">Opening balance </w:t>
            </w:r>
            <w:r w:rsidRPr="00655316">
              <w:rPr>
                <w:rFonts w:ascii="Arial" w:hAnsi="Arial" w:cs="Arial"/>
                <w:b/>
                <w:sz w:val="24"/>
                <w:szCs w:val="24"/>
                <w:vertAlign w:val="superscript"/>
                <w:lang w:eastAsia="en-AU"/>
              </w:rPr>
              <w:t>(</w:t>
            </w:r>
            <w:proofErr w:type="spellStart"/>
            <w:r w:rsidRPr="00655316">
              <w:rPr>
                <w:rFonts w:ascii="Arial" w:hAnsi="Arial" w:cs="Arial"/>
                <w:b/>
                <w:sz w:val="24"/>
                <w:szCs w:val="24"/>
                <w:vertAlign w:val="superscript"/>
                <w:lang w:eastAsia="en-AU"/>
              </w:rPr>
              <w:t>i</w:t>
            </w:r>
            <w:proofErr w:type="spellEnd"/>
            <w:r w:rsidRPr="00655316">
              <w:rPr>
                <w:rFonts w:ascii="Arial" w:hAnsi="Arial" w:cs="Arial"/>
                <w:b/>
                <w:sz w:val="24"/>
                <w:szCs w:val="24"/>
                <w:vertAlign w:val="superscript"/>
                <w:lang w:eastAsia="en-AU"/>
              </w:rPr>
              <w:t>)</w:t>
            </w:r>
          </w:p>
        </w:tc>
        <w:tc>
          <w:tcPr>
            <w:tcW w:w="1182" w:type="dxa"/>
            <w:shd w:val="clear" w:color="auto" w:fill="auto"/>
            <w:noWrap/>
            <w:vAlign w:val="center"/>
            <w:hideMark/>
          </w:tcPr>
          <w:p w14:paraId="03A51F90"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  -</w:t>
            </w:r>
          </w:p>
        </w:tc>
        <w:tc>
          <w:tcPr>
            <w:tcW w:w="1182" w:type="dxa"/>
            <w:shd w:val="clear" w:color="auto" w:fill="auto"/>
            <w:noWrap/>
            <w:vAlign w:val="center"/>
            <w:hideMark/>
          </w:tcPr>
          <w:p w14:paraId="70B88D68"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  -</w:t>
            </w:r>
          </w:p>
        </w:tc>
        <w:tc>
          <w:tcPr>
            <w:tcW w:w="1182" w:type="dxa"/>
            <w:shd w:val="clear" w:color="auto" w:fill="auto"/>
            <w:noWrap/>
            <w:vAlign w:val="center"/>
            <w:hideMark/>
          </w:tcPr>
          <w:p w14:paraId="7315D487"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  -</w:t>
            </w:r>
          </w:p>
        </w:tc>
        <w:tc>
          <w:tcPr>
            <w:tcW w:w="1182" w:type="dxa"/>
            <w:shd w:val="clear" w:color="auto" w:fill="auto"/>
            <w:noWrap/>
            <w:vAlign w:val="center"/>
            <w:hideMark/>
          </w:tcPr>
          <w:p w14:paraId="278721BA"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  -</w:t>
            </w:r>
          </w:p>
        </w:tc>
        <w:tc>
          <w:tcPr>
            <w:tcW w:w="1181" w:type="dxa"/>
            <w:shd w:val="clear" w:color="auto" w:fill="auto"/>
            <w:noWrap/>
            <w:vAlign w:val="center"/>
            <w:hideMark/>
          </w:tcPr>
          <w:p w14:paraId="06259897"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5,048,914 </w:t>
            </w:r>
          </w:p>
        </w:tc>
        <w:tc>
          <w:tcPr>
            <w:tcW w:w="1182" w:type="dxa"/>
            <w:shd w:val="clear" w:color="auto" w:fill="auto"/>
            <w:noWrap/>
            <w:vAlign w:val="center"/>
            <w:hideMark/>
          </w:tcPr>
          <w:p w14:paraId="6B5B9F49"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34,772 </w:t>
            </w:r>
          </w:p>
        </w:tc>
        <w:tc>
          <w:tcPr>
            <w:tcW w:w="1258" w:type="dxa"/>
            <w:shd w:val="clear" w:color="auto" w:fill="auto"/>
            <w:noWrap/>
            <w:vAlign w:val="center"/>
            <w:hideMark/>
          </w:tcPr>
          <w:p w14:paraId="34FAA9D5"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5,048,914 </w:t>
            </w:r>
          </w:p>
        </w:tc>
        <w:tc>
          <w:tcPr>
            <w:tcW w:w="1182" w:type="dxa"/>
            <w:shd w:val="clear" w:color="auto" w:fill="auto"/>
            <w:noWrap/>
            <w:vAlign w:val="center"/>
            <w:hideMark/>
          </w:tcPr>
          <w:p w14:paraId="0F522307"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34,772 </w:t>
            </w:r>
          </w:p>
        </w:tc>
      </w:tr>
      <w:tr w:rsidR="003E5BF5" w:rsidRPr="00655316" w14:paraId="57583322" w14:textId="77777777" w:rsidTr="003728AB">
        <w:trPr>
          <w:trHeight w:val="340"/>
          <w:jc w:val="center"/>
        </w:trPr>
        <w:tc>
          <w:tcPr>
            <w:tcW w:w="4153" w:type="dxa"/>
            <w:shd w:val="clear" w:color="auto" w:fill="auto"/>
            <w:vAlign w:val="center"/>
            <w:hideMark/>
          </w:tcPr>
          <w:p w14:paraId="43E35557"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 xml:space="preserve">Change in accounting policy effecting 1 July 2018 (due to AASB 1059) </w:t>
            </w:r>
            <w:r w:rsidRPr="00655316">
              <w:rPr>
                <w:rFonts w:ascii="Arial" w:hAnsi="Arial" w:cs="Arial"/>
                <w:sz w:val="24"/>
                <w:szCs w:val="24"/>
                <w:vertAlign w:val="superscript"/>
                <w:lang w:eastAsia="en-AU"/>
              </w:rPr>
              <w:t>(ii)</w:t>
            </w:r>
          </w:p>
        </w:tc>
        <w:tc>
          <w:tcPr>
            <w:tcW w:w="1182" w:type="dxa"/>
            <w:shd w:val="clear" w:color="auto" w:fill="auto"/>
            <w:noWrap/>
            <w:hideMark/>
          </w:tcPr>
          <w:p w14:paraId="034DBB3B"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hideMark/>
          </w:tcPr>
          <w:p w14:paraId="58148AF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hideMark/>
          </w:tcPr>
          <w:p w14:paraId="272513D6"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hideMark/>
          </w:tcPr>
          <w:p w14:paraId="5476AFE3"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1" w:type="dxa"/>
            <w:shd w:val="clear" w:color="auto" w:fill="auto"/>
            <w:noWrap/>
            <w:hideMark/>
          </w:tcPr>
          <w:p w14:paraId="68468BA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hideMark/>
          </w:tcPr>
          <w:p w14:paraId="7569617B"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2,212,783 </w:t>
            </w:r>
          </w:p>
        </w:tc>
        <w:tc>
          <w:tcPr>
            <w:tcW w:w="1258" w:type="dxa"/>
            <w:shd w:val="clear" w:color="auto" w:fill="auto"/>
            <w:noWrap/>
            <w:hideMark/>
          </w:tcPr>
          <w:p w14:paraId="66CDB2A1"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hideMark/>
          </w:tcPr>
          <w:p w14:paraId="7C4AA99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2,212,783 </w:t>
            </w:r>
          </w:p>
        </w:tc>
      </w:tr>
      <w:tr w:rsidR="003E5BF5" w:rsidRPr="00655316" w14:paraId="0B4EA58D" w14:textId="77777777" w:rsidTr="003728AB">
        <w:trPr>
          <w:trHeight w:val="340"/>
          <w:jc w:val="center"/>
        </w:trPr>
        <w:tc>
          <w:tcPr>
            <w:tcW w:w="4153" w:type="dxa"/>
            <w:shd w:val="clear" w:color="auto" w:fill="auto"/>
            <w:vAlign w:val="center"/>
            <w:hideMark/>
          </w:tcPr>
          <w:p w14:paraId="6DAE8B2C"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Change in accounting policy effecting 30 June 2019 (due to AASB 1059)</w:t>
            </w:r>
            <w:r w:rsidRPr="00655316">
              <w:rPr>
                <w:rFonts w:ascii="Arial" w:hAnsi="Arial" w:cs="Arial"/>
                <w:sz w:val="24"/>
                <w:szCs w:val="24"/>
                <w:vertAlign w:val="superscript"/>
                <w:lang w:eastAsia="en-AU"/>
              </w:rPr>
              <w:t xml:space="preserve"> (iii)</w:t>
            </w:r>
          </w:p>
        </w:tc>
        <w:tc>
          <w:tcPr>
            <w:tcW w:w="1182" w:type="dxa"/>
            <w:shd w:val="clear" w:color="auto" w:fill="auto"/>
            <w:noWrap/>
            <w:hideMark/>
          </w:tcPr>
          <w:p w14:paraId="5C1DFF6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hideMark/>
          </w:tcPr>
          <w:p w14:paraId="05DD274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hideMark/>
          </w:tcPr>
          <w:p w14:paraId="1037D1F7"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hideMark/>
          </w:tcPr>
          <w:p w14:paraId="487EB30B"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1" w:type="dxa"/>
            <w:shd w:val="clear" w:color="auto" w:fill="auto"/>
            <w:noWrap/>
            <w:hideMark/>
          </w:tcPr>
          <w:p w14:paraId="3FA77D5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hideMark/>
          </w:tcPr>
          <w:p w14:paraId="177F81D7"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2,629,087 </w:t>
            </w:r>
          </w:p>
        </w:tc>
        <w:tc>
          <w:tcPr>
            <w:tcW w:w="1258" w:type="dxa"/>
            <w:shd w:val="clear" w:color="auto" w:fill="auto"/>
            <w:noWrap/>
            <w:hideMark/>
          </w:tcPr>
          <w:p w14:paraId="11A4E0C9"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hideMark/>
          </w:tcPr>
          <w:p w14:paraId="7D504406"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2,629,087 </w:t>
            </w:r>
          </w:p>
        </w:tc>
      </w:tr>
      <w:tr w:rsidR="003E5BF5" w:rsidRPr="00655316" w14:paraId="63EF6D61" w14:textId="77777777" w:rsidTr="003728AB">
        <w:trPr>
          <w:trHeight w:val="340"/>
          <w:jc w:val="center"/>
        </w:trPr>
        <w:tc>
          <w:tcPr>
            <w:tcW w:w="4153" w:type="dxa"/>
            <w:shd w:val="clear" w:color="auto" w:fill="auto"/>
            <w:noWrap/>
            <w:vAlign w:val="center"/>
            <w:hideMark/>
          </w:tcPr>
          <w:p w14:paraId="6331C001"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 xml:space="preserve">Adjusted opening balance </w:t>
            </w:r>
          </w:p>
        </w:tc>
        <w:tc>
          <w:tcPr>
            <w:tcW w:w="1182" w:type="dxa"/>
            <w:shd w:val="clear" w:color="auto" w:fill="auto"/>
            <w:noWrap/>
            <w:vAlign w:val="center"/>
            <w:hideMark/>
          </w:tcPr>
          <w:p w14:paraId="069FBF88"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  -</w:t>
            </w:r>
          </w:p>
        </w:tc>
        <w:tc>
          <w:tcPr>
            <w:tcW w:w="1182" w:type="dxa"/>
            <w:shd w:val="clear" w:color="auto" w:fill="auto"/>
            <w:noWrap/>
            <w:vAlign w:val="center"/>
            <w:hideMark/>
          </w:tcPr>
          <w:p w14:paraId="39837DBA"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  -</w:t>
            </w:r>
          </w:p>
        </w:tc>
        <w:tc>
          <w:tcPr>
            <w:tcW w:w="1182" w:type="dxa"/>
            <w:shd w:val="clear" w:color="auto" w:fill="auto"/>
            <w:noWrap/>
            <w:vAlign w:val="center"/>
            <w:hideMark/>
          </w:tcPr>
          <w:p w14:paraId="047B20B1"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  -</w:t>
            </w:r>
          </w:p>
        </w:tc>
        <w:tc>
          <w:tcPr>
            <w:tcW w:w="1182" w:type="dxa"/>
            <w:shd w:val="clear" w:color="auto" w:fill="auto"/>
            <w:noWrap/>
            <w:vAlign w:val="center"/>
            <w:hideMark/>
          </w:tcPr>
          <w:p w14:paraId="02A1CACC"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  -</w:t>
            </w:r>
          </w:p>
        </w:tc>
        <w:tc>
          <w:tcPr>
            <w:tcW w:w="1181" w:type="dxa"/>
            <w:shd w:val="clear" w:color="auto" w:fill="auto"/>
            <w:noWrap/>
            <w:vAlign w:val="center"/>
            <w:hideMark/>
          </w:tcPr>
          <w:p w14:paraId="13ED92D5"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5,048,914 </w:t>
            </w:r>
          </w:p>
        </w:tc>
        <w:tc>
          <w:tcPr>
            <w:tcW w:w="1182" w:type="dxa"/>
            <w:shd w:val="clear" w:color="auto" w:fill="auto"/>
            <w:noWrap/>
            <w:vAlign w:val="center"/>
            <w:hideMark/>
          </w:tcPr>
          <w:p w14:paraId="1C26BAFE"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4,876,642 </w:t>
            </w:r>
          </w:p>
        </w:tc>
        <w:tc>
          <w:tcPr>
            <w:tcW w:w="1258" w:type="dxa"/>
            <w:shd w:val="clear" w:color="auto" w:fill="auto"/>
            <w:noWrap/>
            <w:vAlign w:val="center"/>
            <w:hideMark/>
          </w:tcPr>
          <w:p w14:paraId="14E062F1"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5,048,914 </w:t>
            </w:r>
          </w:p>
        </w:tc>
        <w:tc>
          <w:tcPr>
            <w:tcW w:w="1182" w:type="dxa"/>
            <w:shd w:val="clear" w:color="auto" w:fill="auto"/>
            <w:noWrap/>
            <w:vAlign w:val="center"/>
            <w:hideMark/>
          </w:tcPr>
          <w:p w14:paraId="7F4061A8"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4,876,642 </w:t>
            </w:r>
          </w:p>
        </w:tc>
      </w:tr>
      <w:tr w:rsidR="003E5BF5" w:rsidRPr="00655316" w14:paraId="13DE81F2" w14:textId="77777777" w:rsidTr="003728AB">
        <w:trPr>
          <w:trHeight w:val="340"/>
          <w:jc w:val="center"/>
        </w:trPr>
        <w:tc>
          <w:tcPr>
            <w:tcW w:w="4153" w:type="dxa"/>
            <w:shd w:val="clear" w:color="auto" w:fill="auto"/>
            <w:noWrap/>
            <w:vAlign w:val="center"/>
            <w:hideMark/>
          </w:tcPr>
          <w:p w14:paraId="73440C1C" w14:textId="77777777" w:rsidR="003E5BF5" w:rsidRPr="00655316" w:rsidRDefault="003E5BF5" w:rsidP="00DE1921">
            <w:pPr>
              <w:rPr>
                <w:rFonts w:ascii="Arial" w:hAnsi="Arial" w:cs="Arial"/>
                <w:sz w:val="24"/>
                <w:szCs w:val="24"/>
                <w:lang w:eastAsia="en-AU"/>
              </w:rPr>
            </w:pPr>
            <w:proofErr w:type="spellStart"/>
            <w:r w:rsidRPr="00655316">
              <w:rPr>
                <w:rFonts w:ascii="Arial" w:hAnsi="Arial" w:cs="Arial"/>
                <w:sz w:val="24"/>
                <w:szCs w:val="24"/>
                <w:lang w:eastAsia="en-AU"/>
              </w:rPr>
              <w:t>MoG</w:t>
            </w:r>
            <w:proofErr w:type="spellEnd"/>
            <w:r w:rsidRPr="00655316">
              <w:rPr>
                <w:rFonts w:ascii="Arial" w:hAnsi="Arial" w:cs="Arial"/>
                <w:sz w:val="24"/>
                <w:szCs w:val="24"/>
                <w:lang w:eastAsia="en-AU"/>
              </w:rPr>
              <w:t xml:space="preserve"> transfers in</w:t>
            </w:r>
          </w:p>
        </w:tc>
        <w:tc>
          <w:tcPr>
            <w:tcW w:w="1182" w:type="dxa"/>
            <w:shd w:val="clear" w:color="auto" w:fill="auto"/>
            <w:noWrap/>
            <w:vAlign w:val="center"/>
            <w:hideMark/>
          </w:tcPr>
          <w:p w14:paraId="14918144"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442,584 </w:t>
            </w:r>
          </w:p>
        </w:tc>
        <w:tc>
          <w:tcPr>
            <w:tcW w:w="1182" w:type="dxa"/>
            <w:shd w:val="clear" w:color="auto" w:fill="auto"/>
            <w:noWrap/>
            <w:vAlign w:val="center"/>
            <w:hideMark/>
          </w:tcPr>
          <w:p w14:paraId="2D18C12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vAlign w:val="center"/>
            <w:hideMark/>
          </w:tcPr>
          <w:p w14:paraId="29B7D36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113,457 </w:t>
            </w:r>
          </w:p>
        </w:tc>
        <w:tc>
          <w:tcPr>
            <w:tcW w:w="1182" w:type="dxa"/>
            <w:shd w:val="clear" w:color="auto" w:fill="auto"/>
            <w:noWrap/>
            <w:vAlign w:val="center"/>
            <w:hideMark/>
          </w:tcPr>
          <w:p w14:paraId="0C352FF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1" w:type="dxa"/>
            <w:shd w:val="clear" w:color="auto" w:fill="auto"/>
            <w:noWrap/>
            <w:vAlign w:val="center"/>
            <w:hideMark/>
          </w:tcPr>
          <w:p w14:paraId="6F7EF17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vAlign w:val="center"/>
            <w:hideMark/>
          </w:tcPr>
          <w:p w14:paraId="74038740" w14:textId="77777777" w:rsidR="003E5BF5" w:rsidRPr="00655316" w:rsidRDefault="003E5BF5" w:rsidP="00DE1921">
            <w:pPr>
              <w:jc w:val="right"/>
              <w:rPr>
                <w:rFonts w:ascii="Arial" w:hAnsi="Arial" w:cs="Arial"/>
                <w:sz w:val="24"/>
                <w:szCs w:val="24"/>
                <w:lang w:eastAsia="en-AU"/>
              </w:rPr>
            </w:pPr>
          </w:p>
        </w:tc>
        <w:tc>
          <w:tcPr>
            <w:tcW w:w="1258" w:type="dxa"/>
            <w:shd w:val="clear" w:color="auto" w:fill="auto"/>
            <w:noWrap/>
            <w:vAlign w:val="center"/>
            <w:hideMark/>
          </w:tcPr>
          <w:p w14:paraId="466894A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8,536,860</w:t>
            </w:r>
          </w:p>
        </w:tc>
        <w:tc>
          <w:tcPr>
            <w:tcW w:w="1182" w:type="dxa"/>
            <w:shd w:val="clear" w:color="auto" w:fill="auto"/>
            <w:noWrap/>
            <w:vAlign w:val="center"/>
            <w:hideMark/>
          </w:tcPr>
          <w:p w14:paraId="351C25A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r>
      <w:tr w:rsidR="003E5BF5" w:rsidRPr="00655316" w14:paraId="11E9BF1D" w14:textId="77777777" w:rsidTr="003728AB">
        <w:trPr>
          <w:trHeight w:val="340"/>
          <w:jc w:val="center"/>
        </w:trPr>
        <w:tc>
          <w:tcPr>
            <w:tcW w:w="4153" w:type="dxa"/>
            <w:shd w:val="clear" w:color="auto" w:fill="auto"/>
            <w:noWrap/>
            <w:vAlign w:val="center"/>
            <w:hideMark/>
          </w:tcPr>
          <w:p w14:paraId="5A2BCC72"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Additions</w:t>
            </w:r>
          </w:p>
        </w:tc>
        <w:tc>
          <w:tcPr>
            <w:tcW w:w="1182" w:type="dxa"/>
            <w:shd w:val="clear" w:color="auto" w:fill="auto"/>
            <w:noWrap/>
            <w:vAlign w:val="center"/>
            <w:hideMark/>
          </w:tcPr>
          <w:p w14:paraId="5D4F1FB5"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vAlign w:val="center"/>
            <w:hideMark/>
          </w:tcPr>
          <w:p w14:paraId="3F804AFB"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vAlign w:val="center"/>
            <w:hideMark/>
          </w:tcPr>
          <w:p w14:paraId="37C94C1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11,676 </w:t>
            </w:r>
          </w:p>
        </w:tc>
        <w:tc>
          <w:tcPr>
            <w:tcW w:w="1182" w:type="dxa"/>
            <w:shd w:val="clear" w:color="auto" w:fill="auto"/>
            <w:noWrap/>
            <w:vAlign w:val="center"/>
            <w:hideMark/>
          </w:tcPr>
          <w:p w14:paraId="4077C33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1" w:type="dxa"/>
            <w:shd w:val="clear" w:color="auto" w:fill="auto"/>
            <w:noWrap/>
            <w:vAlign w:val="center"/>
            <w:hideMark/>
          </w:tcPr>
          <w:p w14:paraId="4D89518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3,021,815 </w:t>
            </w:r>
          </w:p>
        </w:tc>
        <w:tc>
          <w:tcPr>
            <w:tcW w:w="1182" w:type="dxa"/>
            <w:shd w:val="clear" w:color="auto" w:fill="auto"/>
            <w:noWrap/>
            <w:vAlign w:val="center"/>
            <w:hideMark/>
          </w:tcPr>
          <w:p w14:paraId="280875A4"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172,272 </w:t>
            </w:r>
          </w:p>
        </w:tc>
        <w:tc>
          <w:tcPr>
            <w:tcW w:w="1258" w:type="dxa"/>
            <w:shd w:val="clear" w:color="auto" w:fill="auto"/>
            <w:noWrap/>
            <w:vAlign w:val="center"/>
            <w:hideMark/>
          </w:tcPr>
          <w:p w14:paraId="6795DBC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3,033,492</w:t>
            </w:r>
          </w:p>
        </w:tc>
        <w:tc>
          <w:tcPr>
            <w:tcW w:w="1182" w:type="dxa"/>
            <w:shd w:val="clear" w:color="auto" w:fill="auto"/>
            <w:noWrap/>
            <w:vAlign w:val="center"/>
            <w:hideMark/>
          </w:tcPr>
          <w:p w14:paraId="7B1C90B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172,272 </w:t>
            </w:r>
          </w:p>
        </w:tc>
      </w:tr>
      <w:tr w:rsidR="003E5BF5" w:rsidRPr="00655316" w14:paraId="6A7D9233" w14:textId="77777777" w:rsidTr="003728AB">
        <w:trPr>
          <w:trHeight w:val="340"/>
          <w:jc w:val="center"/>
        </w:trPr>
        <w:tc>
          <w:tcPr>
            <w:tcW w:w="4153" w:type="dxa"/>
            <w:shd w:val="clear" w:color="auto" w:fill="auto"/>
            <w:noWrap/>
            <w:vAlign w:val="center"/>
            <w:hideMark/>
          </w:tcPr>
          <w:p w14:paraId="4F557933"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Depreciation expense</w:t>
            </w:r>
          </w:p>
        </w:tc>
        <w:tc>
          <w:tcPr>
            <w:tcW w:w="1182" w:type="dxa"/>
            <w:shd w:val="clear" w:color="auto" w:fill="auto"/>
            <w:noWrap/>
            <w:vAlign w:val="center"/>
            <w:hideMark/>
          </w:tcPr>
          <w:p w14:paraId="1D17862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(12,262)</w:t>
            </w:r>
          </w:p>
        </w:tc>
        <w:tc>
          <w:tcPr>
            <w:tcW w:w="1182" w:type="dxa"/>
            <w:shd w:val="clear" w:color="auto" w:fill="auto"/>
            <w:noWrap/>
            <w:vAlign w:val="center"/>
            <w:hideMark/>
          </w:tcPr>
          <w:p w14:paraId="2A832E5C"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vAlign w:val="center"/>
            <w:hideMark/>
          </w:tcPr>
          <w:p w14:paraId="05965A3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(16,522)</w:t>
            </w:r>
          </w:p>
        </w:tc>
        <w:tc>
          <w:tcPr>
            <w:tcW w:w="1182" w:type="dxa"/>
            <w:shd w:val="clear" w:color="auto" w:fill="auto"/>
            <w:noWrap/>
            <w:vAlign w:val="center"/>
            <w:hideMark/>
          </w:tcPr>
          <w:p w14:paraId="74108F54"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1" w:type="dxa"/>
            <w:shd w:val="clear" w:color="auto" w:fill="auto"/>
            <w:noWrap/>
            <w:vAlign w:val="center"/>
            <w:hideMark/>
          </w:tcPr>
          <w:p w14:paraId="3A577A0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vAlign w:val="center"/>
            <w:hideMark/>
          </w:tcPr>
          <w:p w14:paraId="48F264B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258" w:type="dxa"/>
            <w:shd w:val="clear" w:color="auto" w:fill="auto"/>
            <w:noWrap/>
            <w:vAlign w:val="center"/>
            <w:hideMark/>
          </w:tcPr>
          <w:p w14:paraId="160DD2F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(194,985)</w:t>
            </w:r>
          </w:p>
        </w:tc>
        <w:tc>
          <w:tcPr>
            <w:tcW w:w="1182" w:type="dxa"/>
            <w:shd w:val="clear" w:color="auto" w:fill="auto"/>
            <w:noWrap/>
            <w:vAlign w:val="center"/>
            <w:hideMark/>
          </w:tcPr>
          <w:p w14:paraId="2B620599"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r>
      <w:tr w:rsidR="003E5BF5" w:rsidRPr="00655316" w14:paraId="44B53B5C" w14:textId="77777777" w:rsidTr="003728AB">
        <w:trPr>
          <w:trHeight w:val="340"/>
          <w:jc w:val="center"/>
        </w:trPr>
        <w:tc>
          <w:tcPr>
            <w:tcW w:w="4153" w:type="dxa"/>
            <w:shd w:val="clear" w:color="auto" w:fill="auto"/>
            <w:noWrap/>
            <w:vAlign w:val="center"/>
            <w:hideMark/>
          </w:tcPr>
          <w:p w14:paraId="6E5EA3A3"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Assets provided as contributed capital</w:t>
            </w:r>
          </w:p>
        </w:tc>
        <w:tc>
          <w:tcPr>
            <w:tcW w:w="1182" w:type="dxa"/>
            <w:shd w:val="clear" w:color="auto" w:fill="auto"/>
            <w:noWrap/>
            <w:vAlign w:val="center"/>
            <w:hideMark/>
          </w:tcPr>
          <w:p w14:paraId="3FB8A0B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vAlign w:val="center"/>
            <w:hideMark/>
          </w:tcPr>
          <w:p w14:paraId="28FB9508"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vAlign w:val="center"/>
            <w:hideMark/>
          </w:tcPr>
          <w:p w14:paraId="56911EFC"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vAlign w:val="center"/>
            <w:hideMark/>
          </w:tcPr>
          <w:p w14:paraId="185E838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1" w:type="dxa"/>
            <w:shd w:val="clear" w:color="auto" w:fill="auto"/>
            <w:noWrap/>
            <w:vAlign w:val="center"/>
            <w:hideMark/>
          </w:tcPr>
          <w:p w14:paraId="7CE8FE6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(1,234)</w:t>
            </w:r>
          </w:p>
        </w:tc>
        <w:tc>
          <w:tcPr>
            <w:tcW w:w="1182" w:type="dxa"/>
            <w:shd w:val="clear" w:color="auto" w:fill="auto"/>
            <w:noWrap/>
            <w:vAlign w:val="center"/>
            <w:hideMark/>
          </w:tcPr>
          <w:p w14:paraId="1173A064"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258" w:type="dxa"/>
            <w:shd w:val="clear" w:color="auto" w:fill="auto"/>
            <w:noWrap/>
            <w:vAlign w:val="center"/>
            <w:hideMark/>
          </w:tcPr>
          <w:p w14:paraId="1BDCC504"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(1,234)</w:t>
            </w:r>
          </w:p>
        </w:tc>
        <w:tc>
          <w:tcPr>
            <w:tcW w:w="1182" w:type="dxa"/>
            <w:shd w:val="clear" w:color="auto" w:fill="auto"/>
            <w:noWrap/>
            <w:vAlign w:val="center"/>
            <w:hideMark/>
          </w:tcPr>
          <w:p w14:paraId="7F7EF621"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r>
      <w:tr w:rsidR="003E5BF5" w:rsidRPr="00655316" w14:paraId="5C50D6B3" w14:textId="77777777" w:rsidTr="003728AB">
        <w:trPr>
          <w:trHeight w:val="340"/>
          <w:jc w:val="center"/>
        </w:trPr>
        <w:tc>
          <w:tcPr>
            <w:tcW w:w="4153" w:type="dxa"/>
            <w:shd w:val="clear" w:color="auto" w:fill="auto"/>
            <w:noWrap/>
            <w:vAlign w:val="center"/>
            <w:hideMark/>
          </w:tcPr>
          <w:p w14:paraId="77B31D7F"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Net revaluation increments/decrements</w:t>
            </w:r>
          </w:p>
        </w:tc>
        <w:tc>
          <w:tcPr>
            <w:tcW w:w="1182" w:type="dxa"/>
            <w:shd w:val="clear" w:color="auto" w:fill="auto"/>
            <w:noWrap/>
            <w:vAlign w:val="center"/>
            <w:hideMark/>
          </w:tcPr>
          <w:p w14:paraId="2D7F929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58,525 </w:t>
            </w:r>
          </w:p>
        </w:tc>
        <w:tc>
          <w:tcPr>
            <w:tcW w:w="1182" w:type="dxa"/>
            <w:shd w:val="clear" w:color="auto" w:fill="auto"/>
            <w:noWrap/>
            <w:vAlign w:val="center"/>
            <w:hideMark/>
          </w:tcPr>
          <w:p w14:paraId="12286615"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vAlign w:val="center"/>
            <w:hideMark/>
          </w:tcPr>
          <w:p w14:paraId="32E0ED53"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7,349 </w:t>
            </w:r>
          </w:p>
        </w:tc>
        <w:tc>
          <w:tcPr>
            <w:tcW w:w="1182" w:type="dxa"/>
            <w:shd w:val="clear" w:color="auto" w:fill="auto"/>
            <w:noWrap/>
            <w:vAlign w:val="center"/>
            <w:hideMark/>
          </w:tcPr>
          <w:p w14:paraId="79FD5DB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1" w:type="dxa"/>
            <w:shd w:val="clear" w:color="auto" w:fill="auto"/>
            <w:noWrap/>
            <w:vAlign w:val="center"/>
            <w:hideMark/>
          </w:tcPr>
          <w:p w14:paraId="0802450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shd w:val="clear" w:color="auto" w:fill="auto"/>
            <w:noWrap/>
            <w:vAlign w:val="center"/>
            <w:hideMark/>
          </w:tcPr>
          <w:p w14:paraId="5A1DD7F5"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258" w:type="dxa"/>
            <w:shd w:val="clear" w:color="auto" w:fill="auto"/>
            <w:noWrap/>
            <w:vAlign w:val="center"/>
            <w:hideMark/>
          </w:tcPr>
          <w:p w14:paraId="45F2AC5E" w14:textId="77777777" w:rsidR="003E5BF5" w:rsidRPr="00655316" w:rsidRDefault="003E5BF5" w:rsidP="00DE1921">
            <w:pPr>
              <w:jc w:val="right"/>
              <w:rPr>
                <w:rFonts w:ascii="Arial" w:hAnsi="Arial" w:cs="Arial"/>
                <w:sz w:val="24"/>
                <w:szCs w:val="24"/>
                <w:lang w:eastAsia="en-AU"/>
              </w:rPr>
            </w:pPr>
            <w:r w:rsidRPr="00655316" w:rsidDel="00794E11">
              <w:rPr>
                <w:rFonts w:ascii="Arial" w:hAnsi="Arial" w:cs="Arial"/>
                <w:sz w:val="24"/>
                <w:szCs w:val="24"/>
              </w:rPr>
              <w:t>1,</w:t>
            </w:r>
            <w:r w:rsidRPr="00655316">
              <w:rPr>
                <w:rFonts w:ascii="Arial" w:hAnsi="Arial" w:cs="Arial"/>
                <w:sz w:val="24"/>
                <w:szCs w:val="24"/>
              </w:rPr>
              <w:t xml:space="preserve">393,033 </w:t>
            </w:r>
          </w:p>
        </w:tc>
        <w:tc>
          <w:tcPr>
            <w:tcW w:w="1182" w:type="dxa"/>
            <w:shd w:val="clear" w:color="auto" w:fill="auto"/>
            <w:noWrap/>
            <w:vAlign w:val="center"/>
            <w:hideMark/>
          </w:tcPr>
          <w:p w14:paraId="09CB6E3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r>
      <w:tr w:rsidR="003E5BF5" w:rsidRPr="00655316" w14:paraId="18A744CF" w14:textId="77777777" w:rsidTr="003728AB">
        <w:trPr>
          <w:trHeight w:val="340"/>
          <w:jc w:val="center"/>
        </w:trPr>
        <w:tc>
          <w:tcPr>
            <w:tcW w:w="4153" w:type="dxa"/>
            <w:tcBorders>
              <w:bottom w:val="single" w:sz="4" w:space="0" w:color="auto"/>
            </w:tcBorders>
            <w:shd w:val="clear" w:color="auto" w:fill="auto"/>
            <w:noWrap/>
            <w:vAlign w:val="center"/>
            <w:hideMark/>
          </w:tcPr>
          <w:p w14:paraId="2449883E"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Transfer between classes</w:t>
            </w:r>
          </w:p>
        </w:tc>
        <w:tc>
          <w:tcPr>
            <w:tcW w:w="1182" w:type="dxa"/>
            <w:tcBorders>
              <w:bottom w:val="single" w:sz="4" w:space="0" w:color="auto"/>
            </w:tcBorders>
            <w:shd w:val="clear" w:color="auto" w:fill="auto"/>
            <w:noWrap/>
            <w:vAlign w:val="center"/>
            <w:hideMark/>
          </w:tcPr>
          <w:p w14:paraId="33FC65A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tcBorders>
              <w:bottom w:val="single" w:sz="4" w:space="0" w:color="auto"/>
            </w:tcBorders>
            <w:shd w:val="clear" w:color="auto" w:fill="auto"/>
            <w:noWrap/>
            <w:vAlign w:val="center"/>
            <w:hideMark/>
          </w:tcPr>
          <w:p w14:paraId="74D38051"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tcBorders>
              <w:bottom w:val="single" w:sz="4" w:space="0" w:color="auto"/>
            </w:tcBorders>
            <w:shd w:val="clear" w:color="auto" w:fill="auto"/>
            <w:noWrap/>
            <w:vAlign w:val="center"/>
            <w:hideMark/>
          </w:tcPr>
          <w:p w14:paraId="70EE916B"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2" w:type="dxa"/>
            <w:tcBorders>
              <w:bottom w:val="single" w:sz="4" w:space="0" w:color="auto"/>
            </w:tcBorders>
            <w:shd w:val="clear" w:color="auto" w:fill="auto"/>
            <w:noWrap/>
            <w:vAlign w:val="center"/>
            <w:hideMark/>
          </w:tcPr>
          <w:p w14:paraId="0B4DA897"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181" w:type="dxa"/>
            <w:tcBorders>
              <w:bottom w:val="single" w:sz="4" w:space="0" w:color="auto"/>
            </w:tcBorders>
            <w:shd w:val="clear" w:color="auto" w:fill="auto"/>
            <w:noWrap/>
            <w:vAlign w:val="center"/>
            <w:hideMark/>
          </w:tcPr>
          <w:p w14:paraId="3D495FE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181,111 </w:t>
            </w:r>
          </w:p>
        </w:tc>
        <w:tc>
          <w:tcPr>
            <w:tcW w:w="1182" w:type="dxa"/>
            <w:tcBorders>
              <w:bottom w:val="single" w:sz="4" w:space="0" w:color="auto"/>
            </w:tcBorders>
            <w:shd w:val="clear" w:color="auto" w:fill="auto"/>
            <w:noWrap/>
            <w:vAlign w:val="center"/>
            <w:hideMark/>
          </w:tcPr>
          <w:p w14:paraId="42F1F458"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258" w:type="dxa"/>
            <w:tcBorders>
              <w:bottom w:val="single" w:sz="4" w:space="0" w:color="auto"/>
            </w:tcBorders>
            <w:shd w:val="clear" w:color="auto" w:fill="auto"/>
            <w:noWrap/>
            <w:vAlign w:val="center"/>
            <w:hideMark/>
          </w:tcPr>
          <w:p w14:paraId="5737A75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181,111 </w:t>
            </w:r>
          </w:p>
        </w:tc>
        <w:tc>
          <w:tcPr>
            <w:tcW w:w="1182" w:type="dxa"/>
            <w:tcBorders>
              <w:bottom w:val="single" w:sz="4" w:space="0" w:color="auto"/>
            </w:tcBorders>
            <w:shd w:val="clear" w:color="auto" w:fill="auto"/>
            <w:noWrap/>
            <w:vAlign w:val="center"/>
            <w:hideMark/>
          </w:tcPr>
          <w:p w14:paraId="0D1C7AF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r>
      <w:tr w:rsidR="003E5BF5" w:rsidRPr="00655316" w14:paraId="66C6CE97" w14:textId="77777777" w:rsidTr="003728AB">
        <w:trPr>
          <w:trHeight w:val="340"/>
          <w:jc w:val="center"/>
        </w:trPr>
        <w:tc>
          <w:tcPr>
            <w:tcW w:w="4153" w:type="dxa"/>
            <w:tcBorders>
              <w:bottom w:val="single" w:sz="4" w:space="0" w:color="auto"/>
            </w:tcBorders>
            <w:shd w:val="clear" w:color="auto" w:fill="auto"/>
            <w:noWrap/>
            <w:vAlign w:val="center"/>
            <w:hideMark/>
          </w:tcPr>
          <w:p w14:paraId="64076734"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Closing balance</w:t>
            </w:r>
          </w:p>
        </w:tc>
        <w:tc>
          <w:tcPr>
            <w:tcW w:w="1182" w:type="dxa"/>
            <w:tcBorders>
              <w:bottom w:val="single" w:sz="4" w:space="0" w:color="auto"/>
            </w:tcBorders>
            <w:shd w:val="clear" w:color="auto" w:fill="auto"/>
            <w:noWrap/>
            <w:vAlign w:val="center"/>
            <w:hideMark/>
          </w:tcPr>
          <w:p w14:paraId="0B0F23F7"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488,847 </w:t>
            </w:r>
          </w:p>
        </w:tc>
        <w:tc>
          <w:tcPr>
            <w:tcW w:w="1182" w:type="dxa"/>
            <w:tcBorders>
              <w:bottom w:val="single" w:sz="4" w:space="0" w:color="auto"/>
            </w:tcBorders>
            <w:shd w:val="clear" w:color="auto" w:fill="auto"/>
            <w:noWrap/>
            <w:vAlign w:val="center"/>
            <w:hideMark/>
          </w:tcPr>
          <w:p w14:paraId="5EE367B0"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 -</w:t>
            </w:r>
          </w:p>
        </w:tc>
        <w:tc>
          <w:tcPr>
            <w:tcW w:w="1182" w:type="dxa"/>
            <w:tcBorders>
              <w:bottom w:val="single" w:sz="4" w:space="0" w:color="auto"/>
            </w:tcBorders>
            <w:shd w:val="clear" w:color="auto" w:fill="auto"/>
            <w:noWrap/>
            <w:vAlign w:val="center"/>
            <w:hideMark/>
          </w:tcPr>
          <w:p w14:paraId="550DA42D"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115,960 </w:t>
            </w:r>
          </w:p>
        </w:tc>
        <w:tc>
          <w:tcPr>
            <w:tcW w:w="1182" w:type="dxa"/>
            <w:tcBorders>
              <w:bottom w:val="single" w:sz="4" w:space="0" w:color="auto"/>
            </w:tcBorders>
            <w:shd w:val="clear" w:color="auto" w:fill="auto"/>
            <w:noWrap/>
            <w:vAlign w:val="center"/>
            <w:hideMark/>
          </w:tcPr>
          <w:p w14:paraId="07603901"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 -</w:t>
            </w:r>
          </w:p>
        </w:tc>
        <w:tc>
          <w:tcPr>
            <w:tcW w:w="1181" w:type="dxa"/>
            <w:tcBorders>
              <w:bottom w:val="single" w:sz="4" w:space="0" w:color="auto"/>
            </w:tcBorders>
            <w:shd w:val="clear" w:color="auto" w:fill="auto"/>
            <w:noWrap/>
            <w:vAlign w:val="center"/>
            <w:hideMark/>
          </w:tcPr>
          <w:p w14:paraId="117788FF"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8,250,606 </w:t>
            </w:r>
          </w:p>
        </w:tc>
        <w:tc>
          <w:tcPr>
            <w:tcW w:w="1182" w:type="dxa"/>
            <w:tcBorders>
              <w:bottom w:val="single" w:sz="4" w:space="0" w:color="auto"/>
            </w:tcBorders>
            <w:shd w:val="clear" w:color="auto" w:fill="auto"/>
            <w:noWrap/>
            <w:vAlign w:val="center"/>
            <w:hideMark/>
          </w:tcPr>
          <w:p w14:paraId="31CF69DE"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5,048,914 </w:t>
            </w:r>
          </w:p>
        </w:tc>
        <w:tc>
          <w:tcPr>
            <w:tcW w:w="1258" w:type="dxa"/>
            <w:tcBorders>
              <w:bottom w:val="single" w:sz="4" w:space="0" w:color="auto"/>
            </w:tcBorders>
            <w:shd w:val="clear" w:color="auto" w:fill="auto"/>
            <w:noWrap/>
            <w:vAlign w:val="center"/>
            <w:hideMark/>
          </w:tcPr>
          <w:p w14:paraId="7D1D2B35"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17,997,191 </w:t>
            </w:r>
          </w:p>
        </w:tc>
        <w:tc>
          <w:tcPr>
            <w:tcW w:w="1182" w:type="dxa"/>
            <w:tcBorders>
              <w:bottom w:val="single" w:sz="4" w:space="0" w:color="auto"/>
            </w:tcBorders>
            <w:shd w:val="clear" w:color="auto" w:fill="auto"/>
            <w:noWrap/>
            <w:vAlign w:val="center"/>
            <w:hideMark/>
          </w:tcPr>
          <w:p w14:paraId="630F8DFB"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5,048,914 </w:t>
            </w:r>
          </w:p>
        </w:tc>
      </w:tr>
    </w:tbl>
    <w:p w14:paraId="3E230D76" w14:textId="77777777" w:rsidR="003728AB" w:rsidRPr="00655316" w:rsidRDefault="003728AB" w:rsidP="003728AB">
      <w:pPr>
        <w:pStyle w:val="Note"/>
        <w:rPr>
          <w:rFonts w:ascii="Arial" w:hAnsi="Arial" w:cs="Arial"/>
          <w:sz w:val="24"/>
          <w:szCs w:val="24"/>
        </w:rPr>
      </w:pPr>
      <w:r w:rsidRPr="00655316">
        <w:rPr>
          <w:rFonts w:ascii="Arial" w:hAnsi="Arial" w:cs="Arial"/>
          <w:sz w:val="24"/>
          <w:szCs w:val="24"/>
        </w:rPr>
        <w:t>Notes:</w:t>
      </w:r>
    </w:p>
    <w:p w14:paraId="61C84860" w14:textId="77777777" w:rsidR="003728AB" w:rsidRPr="00655316" w:rsidRDefault="003728AB" w:rsidP="00610F5F">
      <w:pPr>
        <w:pStyle w:val="aaaNotenumberiiiiii"/>
        <w:numPr>
          <w:ilvl w:val="0"/>
          <w:numId w:val="94"/>
        </w:numPr>
      </w:pPr>
      <w:r w:rsidRPr="00655316">
        <w:t>The opening balance includes amounts reclassified from existing assets to service concession assets (recognised under AASB 1059 at 1 July 2018). Refer to Note 7.5.3 for further details.</w:t>
      </w:r>
    </w:p>
    <w:p w14:paraId="5B8D62EA" w14:textId="77777777" w:rsidR="003728AB" w:rsidRPr="00655316" w:rsidRDefault="003728AB" w:rsidP="00610F5F">
      <w:pPr>
        <w:pStyle w:val="aaaNotenumberiiiiii"/>
        <w:numPr>
          <w:ilvl w:val="0"/>
          <w:numId w:val="94"/>
        </w:numPr>
      </w:pPr>
      <w:r w:rsidRPr="00655316">
        <w:t>Where a service concession arrangement is in existence at 1 July 2018; the opening balance at 1 July 2018 is adjusted to reflect the adoption of AASB 1059. Refer to Note 9.6.5.2 and Note 7.5.3 for further details.</w:t>
      </w:r>
    </w:p>
    <w:p w14:paraId="5A189541" w14:textId="77777777" w:rsidR="003728AB" w:rsidRPr="00655316" w:rsidRDefault="003728AB" w:rsidP="00610F5F">
      <w:pPr>
        <w:pStyle w:val="aaaNotenumberiiiiii"/>
        <w:numPr>
          <w:ilvl w:val="0"/>
          <w:numId w:val="94"/>
        </w:numPr>
      </w:pPr>
      <w:r w:rsidRPr="00655316">
        <w:lastRenderedPageBreak/>
        <w:t>This balance represents the initial recognition of service concession assets (recognised under AASB 1059 retrospectively at 1 July 2019). Refer to Note 9.6.5.2 and Note 7.5.3.</w:t>
      </w:r>
    </w:p>
    <w:p w14:paraId="7C22CE2E" w14:textId="77777777" w:rsidR="003728AB" w:rsidRPr="00655316" w:rsidRDefault="003728AB" w:rsidP="00610F5F">
      <w:pPr>
        <w:pStyle w:val="aaaNotenumberiiiiii"/>
        <w:numPr>
          <w:ilvl w:val="0"/>
          <w:numId w:val="94"/>
        </w:numPr>
      </w:pPr>
      <w:r w:rsidRPr="00655316">
        <w:t xml:space="preserve">VicRoads and PTV adopted AASB 1059 for the first time retrospectively based on their 2018-19 Financial Statements and then transferred balances as contributed capital to the department on 1 July 2019 as part of the </w:t>
      </w:r>
      <w:proofErr w:type="spellStart"/>
      <w:r w:rsidRPr="00655316">
        <w:t>MoG</w:t>
      </w:r>
      <w:proofErr w:type="spellEnd"/>
      <w:r w:rsidRPr="00655316">
        <w:t xml:space="preserve"> change. There are no comparatives relating to VicRoads and PTV within the department’s current year financial statements.</w:t>
      </w:r>
    </w:p>
    <w:p w14:paraId="61CA79BA" w14:textId="77777777" w:rsidR="003E5BF5" w:rsidRDefault="003E5BF5">
      <w:pPr>
        <w:rPr>
          <w:rFonts w:eastAsiaTheme="majorEastAsia" w:cstheme="majorBidi"/>
          <w:color w:val="70AD47" w:themeColor="accent6"/>
          <w:sz w:val="24"/>
          <w:szCs w:val="24"/>
        </w:rPr>
      </w:pPr>
      <w:r>
        <w:br w:type="page"/>
      </w:r>
    </w:p>
    <w:p w14:paraId="2FACB6BA" w14:textId="77777777" w:rsidR="003E5BF5" w:rsidRPr="00FF7D38" w:rsidRDefault="003E5BF5" w:rsidP="00610F5F">
      <w:pPr>
        <w:pStyle w:val="Heading3"/>
        <w:numPr>
          <w:ilvl w:val="3"/>
          <w:numId w:val="17"/>
        </w:numPr>
        <w:rPr>
          <w:rFonts w:eastAsiaTheme="minorHAnsi"/>
          <w:lang w:eastAsia="en-AU"/>
        </w:rPr>
      </w:pPr>
      <w:r w:rsidRPr="00AE71C9">
        <w:lastRenderedPageBreak/>
        <w:t>Reconciliatio</w:t>
      </w:r>
      <w:r w:rsidRPr="00FF7D38">
        <w:t xml:space="preserve">n of movements in carrying amount of other non-financial physical assets </w:t>
      </w:r>
    </w:p>
    <w:tbl>
      <w:tblPr>
        <w:tblStyle w:val="TableGrid"/>
        <w:tblW w:w="13608" w:type="dxa"/>
        <w:jc w:val="center"/>
        <w:tblCellMar>
          <w:left w:w="28" w:type="dxa"/>
          <w:right w:w="28" w:type="dxa"/>
        </w:tblCellMar>
        <w:tblLook w:val="04A0" w:firstRow="1" w:lastRow="0" w:firstColumn="1" w:lastColumn="0" w:noHBand="0" w:noVBand="1"/>
      </w:tblPr>
      <w:tblGrid>
        <w:gridCol w:w="3960"/>
        <w:gridCol w:w="1257"/>
        <w:gridCol w:w="1206"/>
        <w:gridCol w:w="1205"/>
        <w:gridCol w:w="1206"/>
        <w:gridCol w:w="1206"/>
        <w:gridCol w:w="1205"/>
        <w:gridCol w:w="1258"/>
        <w:gridCol w:w="1206"/>
      </w:tblGrid>
      <w:tr w:rsidR="003E5BF5" w:rsidRPr="00655316" w14:paraId="47707228" w14:textId="77777777" w:rsidTr="002B0577">
        <w:trPr>
          <w:trHeight w:val="340"/>
          <w:jc w:val="center"/>
        </w:trPr>
        <w:tc>
          <w:tcPr>
            <w:tcW w:w="3962" w:type="dxa"/>
            <w:shd w:val="clear" w:color="auto" w:fill="auto"/>
            <w:noWrap/>
            <w:hideMark/>
          </w:tcPr>
          <w:p w14:paraId="0FEAD577" w14:textId="77777777" w:rsidR="003E5BF5" w:rsidRPr="00655316" w:rsidRDefault="003E5BF5" w:rsidP="00DE1921">
            <w:pPr>
              <w:jc w:val="center"/>
              <w:rPr>
                <w:rFonts w:ascii="Arial" w:hAnsi="Arial" w:cs="Arial"/>
                <w:sz w:val="24"/>
                <w:szCs w:val="24"/>
              </w:rPr>
            </w:pPr>
          </w:p>
        </w:tc>
        <w:tc>
          <w:tcPr>
            <w:tcW w:w="9646" w:type="dxa"/>
            <w:gridSpan w:val="8"/>
            <w:shd w:val="clear" w:color="auto" w:fill="auto"/>
            <w:noWrap/>
            <w:vAlign w:val="center"/>
            <w:hideMark/>
          </w:tcPr>
          <w:p w14:paraId="3F0BEC2E"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 thousand)</w:t>
            </w:r>
          </w:p>
        </w:tc>
      </w:tr>
      <w:tr w:rsidR="003E5BF5" w:rsidRPr="00655316" w14:paraId="378E7EB7" w14:textId="77777777" w:rsidTr="002B0577">
        <w:trPr>
          <w:trHeight w:val="340"/>
          <w:jc w:val="center"/>
        </w:trPr>
        <w:tc>
          <w:tcPr>
            <w:tcW w:w="3962" w:type="dxa"/>
            <w:shd w:val="clear" w:color="auto" w:fill="auto"/>
            <w:noWrap/>
            <w:hideMark/>
          </w:tcPr>
          <w:p w14:paraId="3FD85361" w14:textId="77777777" w:rsidR="003E5BF5" w:rsidRPr="00655316" w:rsidRDefault="003E5BF5" w:rsidP="00DE1921">
            <w:pPr>
              <w:rPr>
                <w:rFonts w:ascii="Arial" w:hAnsi="Arial" w:cs="Arial"/>
                <w:b/>
                <w:sz w:val="24"/>
                <w:szCs w:val="24"/>
              </w:rPr>
            </w:pPr>
            <w:r w:rsidRPr="00655316">
              <w:rPr>
                <w:rFonts w:ascii="Arial" w:hAnsi="Arial" w:cs="Arial"/>
                <w:b/>
                <w:sz w:val="24"/>
                <w:szCs w:val="24"/>
              </w:rPr>
              <w:t> </w:t>
            </w:r>
          </w:p>
        </w:tc>
        <w:tc>
          <w:tcPr>
            <w:tcW w:w="2412" w:type="dxa"/>
            <w:gridSpan w:val="2"/>
            <w:shd w:val="clear" w:color="auto" w:fill="auto"/>
            <w:vAlign w:val="bottom"/>
            <w:hideMark/>
          </w:tcPr>
          <w:p w14:paraId="69038AD3"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Land under declared roads at fair value</w:t>
            </w:r>
          </w:p>
        </w:tc>
        <w:tc>
          <w:tcPr>
            <w:tcW w:w="2411" w:type="dxa"/>
            <w:gridSpan w:val="2"/>
            <w:shd w:val="clear" w:color="auto" w:fill="auto"/>
            <w:vAlign w:val="bottom"/>
            <w:hideMark/>
          </w:tcPr>
          <w:p w14:paraId="47F1B1A5"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PARD land at fair value</w:t>
            </w:r>
          </w:p>
        </w:tc>
        <w:tc>
          <w:tcPr>
            <w:tcW w:w="2411" w:type="dxa"/>
            <w:gridSpan w:val="2"/>
            <w:shd w:val="clear" w:color="auto" w:fill="auto"/>
            <w:vAlign w:val="bottom"/>
            <w:hideMark/>
          </w:tcPr>
          <w:p w14:paraId="1E38DD7C"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Other land at fair value</w:t>
            </w:r>
          </w:p>
        </w:tc>
        <w:tc>
          <w:tcPr>
            <w:tcW w:w="2412" w:type="dxa"/>
            <w:gridSpan w:val="2"/>
            <w:shd w:val="clear" w:color="auto" w:fill="auto"/>
            <w:vAlign w:val="bottom"/>
            <w:hideMark/>
          </w:tcPr>
          <w:p w14:paraId="0695B006"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Roads and bridges at fair value</w:t>
            </w:r>
          </w:p>
        </w:tc>
      </w:tr>
      <w:tr w:rsidR="003E5BF5" w:rsidRPr="00655316" w14:paraId="364B22C5" w14:textId="77777777" w:rsidTr="002B0577">
        <w:trPr>
          <w:trHeight w:val="340"/>
          <w:jc w:val="center"/>
        </w:trPr>
        <w:tc>
          <w:tcPr>
            <w:tcW w:w="3962" w:type="dxa"/>
            <w:shd w:val="clear" w:color="auto" w:fill="auto"/>
            <w:noWrap/>
            <w:hideMark/>
          </w:tcPr>
          <w:p w14:paraId="70A01695" w14:textId="77777777" w:rsidR="003E5BF5" w:rsidRPr="00655316" w:rsidRDefault="003E5BF5" w:rsidP="00DE1921">
            <w:pPr>
              <w:rPr>
                <w:rFonts w:ascii="Arial" w:hAnsi="Arial" w:cs="Arial"/>
                <w:b/>
                <w:sz w:val="24"/>
                <w:szCs w:val="24"/>
              </w:rPr>
            </w:pPr>
          </w:p>
        </w:tc>
        <w:tc>
          <w:tcPr>
            <w:tcW w:w="1206" w:type="dxa"/>
            <w:shd w:val="clear" w:color="auto" w:fill="auto"/>
            <w:noWrap/>
            <w:vAlign w:val="center"/>
            <w:hideMark/>
          </w:tcPr>
          <w:p w14:paraId="488F45B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06" w:type="dxa"/>
            <w:shd w:val="clear" w:color="auto" w:fill="auto"/>
            <w:noWrap/>
            <w:vAlign w:val="center"/>
            <w:hideMark/>
          </w:tcPr>
          <w:p w14:paraId="3B736E5A"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205" w:type="dxa"/>
            <w:shd w:val="clear" w:color="auto" w:fill="auto"/>
            <w:noWrap/>
            <w:vAlign w:val="center"/>
            <w:hideMark/>
          </w:tcPr>
          <w:p w14:paraId="565D54DA"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06" w:type="dxa"/>
            <w:shd w:val="clear" w:color="auto" w:fill="auto"/>
            <w:noWrap/>
            <w:vAlign w:val="center"/>
            <w:hideMark/>
          </w:tcPr>
          <w:p w14:paraId="558D071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206" w:type="dxa"/>
            <w:shd w:val="clear" w:color="auto" w:fill="auto"/>
            <w:noWrap/>
            <w:vAlign w:val="center"/>
            <w:hideMark/>
          </w:tcPr>
          <w:p w14:paraId="1E55B34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05" w:type="dxa"/>
            <w:shd w:val="clear" w:color="auto" w:fill="auto"/>
            <w:noWrap/>
            <w:vAlign w:val="center"/>
            <w:hideMark/>
          </w:tcPr>
          <w:p w14:paraId="58CC88C8"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206" w:type="dxa"/>
            <w:shd w:val="clear" w:color="auto" w:fill="auto"/>
            <w:noWrap/>
            <w:vAlign w:val="center"/>
            <w:hideMark/>
          </w:tcPr>
          <w:p w14:paraId="39A84B8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06" w:type="dxa"/>
            <w:shd w:val="clear" w:color="auto" w:fill="auto"/>
            <w:noWrap/>
            <w:vAlign w:val="center"/>
            <w:hideMark/>
          </w:tcPr>
          <w:p w14:paraId="08656E7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r>
      <w:tr w:rsidR="003E5BF5" w:rsidRPr="00655316" w14:paraId="71CA7440" w14:textId="77777777" w:rsidTr="002B0577">
        <w:trPr>
          <w:trHeight w:val="340"/>
          <w:jc w:val="center"/>
        </w:trPr>
        <w:tc>
          <w:tcPr>
            <w:tcW w:w="3962" w:type="dxa"/>
            <w:shd w:val="clear" w:color="auto" w:fill="auto"/>
            <w:noWrap/>
            <w:vAlign w:val="center"/>
            <w:hideMark/>
          </w:tcPr>
          <w:p w14:paraId="7B81B61B" w14:textId="77777777" w:rsidR="003E5BF5" w:rsidRPr="00655316" w:rsidRDefault="003E5BF5" w:rsidP="00DE1921">
            <w:pPr>
              <w:rPr>
                <w:rFonts w:ascii="Arial" w:hAnsi="Arial" w:cs="Arial"/>
                <w:b/>
                <w:sz w:val="24"/>
                <w:szCs w:val="24"/>
              </w:rPr>
            </w:pPr>
            <w:r w:rsidRPr="00655316">
              <w:rPr>
                <w:rFonts w:ascii="Arial" w:hAnsi="Arial" w:cs="Arial"/>
                <w:b/>
                <w:sz w:val="24"/>
                <w:szCs w:val="24"/>
              </w:rPr>
              <w:t>Opening balance</w:t>
            </w:r>
          </w:p>
        </w:tc>
        <w:tc>
          <w:tcPr>
            <w:tcW w:w="1206" w:type="dxa"/>
            <w:shd w:val="clear" w:color="auto" w:fill="auto"/>
            <w:noWrap/>
            <w:vAlign w:val="center"/>
            <w:hideMark/>
          </w:tcPr>
          <w:p w14:paraId="3A34222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1206" w:type="dxa"/>
            <w:shd w:val="clear" w:color="auto" w:fill="auto"/>
            <w:noWrap/>
            <w:vAlign w:val="center"/>
            <w:hideMark/>
          </w:tcPr>
          <w:p w14:paraId="7D0EB47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1205" w:type="dxa"/>
            <w:shd w:val="clear" w:color="auto" w:fill="auto"/>
            <w:noWrap/>
            <w:vAlign w:val="center"/>
            <w:hideMark/>
          </w:tcPr>
          <w:p w14:paraId="382F117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1206" w:type="dxa"/>
            <w:shd w:val="clear" w:color="auto" w:fill="auto"/>
            <w:noWrap/>
            <w:vAlign w:val="center"/>
            <w:hideMark/>
          </w:tcPr>
          <w:p w14:paraId="00BD544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1206" w:type="dxa"/>
            <w:shd w:val="clear" w:color="auto" w:fill="auto"/>
            <w:noWrap/>
            <w:vAlign w:val="center"/>
            <w:hideMark/>
          </w:tcPr>
          <w:p w14:paraId="7A57DA8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309,859 </w:t>
            </w:r>
          </w:p>
        </w:tc>
        <w:tc>
          <w:tcPr>
            <w:tcW w:w="1205" w:type="dxa"/>
            <w:shd w:val="clear" w:color="auto" w:fill="auto"/>
            <w:noWrap/>
            <w:vAlign w:val="center"/>
            <w:hideMark/>
          </w:tcPr>
          <w:p w14:paraId="17681F2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986,837 </w:t>
            </w:r>
          </w:p>
        </w:tc>
        <w:tc>
          <w:tcPr>
            <w:tcW w:w="1206" w:type="dxa"/>
            <w:shd w:val="clear" w:color="auto" w:fill="auto"/>
            <w:noWrap/>
            <w:vAlign w:val="center"/>
            <w:hideMark/>
          </w:tcPr>
          <w:p w14:paraId="107EF428"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1206" w:type="dxa"/>
            <w:shd w:val="clear" w:color="auto" w:fill="auto"/>
            <w:noWrap/>
            <w:vAlign w:val="center"/>
            <w:hideMark/>
          </w:tcPr>
          <w:p w14:paraId="71695ABA"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r>
      <w:tr w:rsidR="003E5BF5" w:rsidRPr="00655316" w14:paraId="218A4132" w14:textId="77777777" w:rsidTr="002B0577">
        <w:trPr>
          <w:trHeight w:val="340"/>
          <w:jc w:val="center"/>
        </w:trPr>
        <w:tc>
          <w:tcPr>
            <w:tcW w:w="3962" w:type="dxa"/>
            <w:shd w:val="clear" w:color="auto" w:fill="auto"/>
            <w:noWrap/>
            <w:vAlign w:val="center"/>
            <w:hideMark/>
          </w:tcPr>
          <w:p w14:paraId="7EDA9DA1" w14:textId="77777777" w:rsidR="003E5BF5" w:rsidRPr="00655316" w:rsidRDefault="003E5BF5" w:rsidP="00DE1921">
            <w:pPr>
              <w:rPr>
                <w:rFonts w:ascii="Arial" w:hAnsi="Arial" w:cs="Arial"/>
                <w:sz w:val="24"/>
                <w:szCs w:val="24"/>
              </w:rPr>
            </w:pPr>
            <w:proofErr w:type="spellStart"/>
            <w:r w:rsidRPr="00655316">
              <w:rPr>
                <w:rFonts w:ascii="Arial" w:hAnsi="Arial" w:cs="Arial"/>
                <w:sz w:val="24"/>
                <w:szCs w:val="24"/>
              </w:rPr>
              <w:t>MoG</w:t>
            </w:r>
            <w:proofErr w:type="spellEnd"/>
            <w:r w:rsidRPr="00655316">
              <w:rPr>
                <w:rFonts w:ascii="Arial" w:hAnsi="Arial" w:cs="Arial"/>
                <w:sz w:val="24"/>
                <w:szCs w:val="24"/>
              </w:rPr>
              <w:t xml:space="preserve"> transfers in</w:t>
            </w:r>
          </w:p>
        </w:tc>
        <w:tc>
          <w:tcPr>
            <w:tcW w:w="1206" w:type="dxa"/>
            <w:shd w:val="clear" w:color="auto" w:fill="auto"/>
            <w:noWrap/>
            <w:vAlign w:val="center"/>
            <w:hideMark/>
          </w:tcPr>
          <w:p w14:paraId="23DE165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24,266,021 </w:t>
            </w:r>
          </w:p>
        </w:tc>
        <w:tc>
          <w:tcPr>
            <w:tcW w:w="1206" w:type="dxa"/>
            <w:shd w:val="clear" w:color="auto" w:fill="auto"/>
            <w:noWrap/>
            <w:vAlign w:val="center"/>
            <w:hideMark/>
          </w:tcPr>
          <w:p w14:paraId="1A0C9E6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71261DE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1,644,233 </w:t>
            </w:r>
          </w:p>
        </w:tc>
        <w:tc>
          <w:tcPr>
            <w:tcW w:w="1206" w:type="dxa"/>
            <w:shd w:val="clear" w:color="auto" w:fill="auto"/>
            <w:noWrap/>
            <w:vAlign w:val="center"/>
            <w:hideMark/>
          </w:tcPr>
          <w:p w14:paraId="5E56E9A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474DD24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636,675 </w:t>
            </w:r>
          </w:p>
        </w:tc>
        <w:tc>
          <w:tcPr>
            <w:tcW w:w="1205" w:type="dxa"/>
            <w:shd w:val="clear" w:color="auto" w:fill="auto"/>
            <w:noWrap/>
            <w:vAlign w:val="center"/>
            <w:hideMark/>
          </w:tcPr>
          <w:p w14:paraId="0F88D34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0F1CEF7B" w14:textId="77777777" w:rsidR="003E5BF5" w:rsidRPr="00655316" w:rsidRDefault="003E5BF5" w:rsidP="00DE1921">
            <w:pPr>
              <w:jc w:val="right"/>
              <w:rPr>
                <w:rFonts w:ascii="Arial" w:hAnsi="Arial" w:cs="Arial"/>
                <w:sz w:val="24"/>
                <w:szCs w:val="24"/>
              </w:rPr>
            </w:pPr>
            <w:r w:rsidRPr="00655316" w:rsidDel="00CC7B11">
              <w:rPr>
                <w:rFonts w:ascii="Arial" w:hAnsi="Arial" w:cs="Arial"/>
                <w:sz w:val="24"/>
                <w:szCs w:val="24"/>
              </w:rPr>
              <w:t>18,</w:t>
            </w:r>
            <w:r w:rsidRPr="00655316">
              <w:rPr>
                <w:rFonts w:ascii="Arial" w:hAnsi="Arial" w:cs="Arial"/>
                <w:sz w:val="24"/>
                <w:szCs w:val="24"/>
              </w:rPr>
              <w:t xml:space="preserve">308,531 </w:t>
            </w:r>
          </w:p>
        </w:tc>
        <w:tc>
          <w:tcPr>
            <w:tcW w:w="1206" w:type="dxa"/>
            <w:shd w:val="clear" w:color="auto" w:fill="auto"/>
            <w:noWrap/>
            <w:vAlign w:val="center"/>
            <w:hideMark/>
          </w:tcPr>
          <w:p w14:paraId="641C021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59A1F150" w14:textId="77777777" w:rsidTr="002B0577">
        <w:trPr>
          <w:trHeight w:val="340"/>
          <w:jc w:val="center"/>
        </w:trPr>
        <w:tc>
          <w:tcPr>
            <w:tcW w:w="3962" w:type="dxa"/>
            <w:shd w:val="clear" w:color="auto" w:fill="auto"/>
            <w:noWrap/>
            <w:vAlign w:val="center"/>
            <w:hideMark/>
          </w:tcPr>
          <w:p w14:paraId="4FF3DE26" w14:textId="77777777" w:rsidR="003E5BF5" w:rsidRPr="00655316" w:rsidRDefault="003E5BF5" w:rsidP="00DE1921">
            <w:pPr>
              <w:rPr>
                <w:rFonts w:ascii="Arial" w:hAnsi="Arial" w:cs="Arial"/>
                <w:sz w:val="24"/>
                <w:szCs w:val="24"/>
              </w:rPr>
            </w:pPr>
            <w:r w:rsidRPr="00655316">
              <w:rPr>
                <w:rFonts w:ascii="Arial" w:hAnsi="Arial" w:cs="Arial"/>
                <w:sz w:val="24"/>
                <w:szCs w:val="24"/>
              </w:rPr>
              <w:t>Assets received free of charge</w:t>
            </w:r>
          </w:p>
        </w:tc>
        <w:tc>
          <w:tcPr>
            <w:tcW w:w="1206" w:type="dxa"/>
            <w:shd w:val="clear" w:color="auto" w:fill="auto"/>
            <w:noWrap/>
            <w:vAlign w:val="center"/>
            <w:hideMark/>
          </w:tcPr>
          <w:p w14:paraId="599E407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271C7F0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0B413EC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611223F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0FFACC7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2382D63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6D618FF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8,224 </w:t>
            </w:r>
          </w:p>
        </w:tc>
        <w:tc>
          <w:tcPr>
            <w:tcW w:w="1206" w:type="dxa"/>
            <w:shd w:val="clear" w:color="auto" w:fill="auto"/>
            <w:noWrap/>
            <w:vAlign w:val="center"/>
            <w:hideMark/>
          </w:tcPr>
          <w:p w14:paraId="52DBE9B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692A55D4" w14:textId="77777777" w:rsidTr="002B0577">
        <w:trPr>
          <w:trHeight w:val="340"/>
          <w:jc w:val="center"/>
        </w:trPr>
        <w:tc>
          <w:tcPr>
            <w:tcW w:w="3962" w:type="dxa"/>
            <w:shd w:val="clear" w:color="auto" w:fill="auto"/>
            <w:noWrap/>
            <w:vAlign w:val="center"/>
            <w:hideMark/>
          </w:tcPr>
          <w:p w14:paraId="34B3701E" w14:textId="77777777" w:rsidR="003E5BF5" w:rsidRPr="00655316" w:rsidRDefault="003E5BF5" w:rsidP="00DE1921">
            <w:pPr>
              <w:rPr>
                <w:rFonts w:ascii="Arial" w:hAnsi="Arial" w:cs="Arial"/>
                <w:sz w:val="24"/>
                <w:szCs w:val="24"/>
              </w:rPr>
            </w:pPr>
            <w:r w:rsidRPr="00655316">
              <w:rPr>
                <w:rFonts w:ascii="Arial" w:hAnsi="Arial" w:cs="Arial"/>
                <w:sz w:val="24"/>
                <w:szCs w:val="24"/>
              </w:rPr>
              <w:t>Assets provided free of charge</w:t>
            </w:r>
          </w:p>
        </w:tc>
        <w:tc>
          <w:tcPr>
            <w:tcW w:w="1206" w:type="dxa"/>
            <w:shd w:val="clear" w:color="auto" w:fill="auto"/>
            <w:noWrap/>
            <w:vAlign w:val="center"/>
            <w:hideMark/>
          </w:tcPr>
          <w:p w14:paraId="62E0F18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6A9DF46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48B6B82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24C3F07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0BEBAF9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(2,613)</w:t>
            </w:r>
          </w:p>
        </w:tc>
        <w:tc>
          <w:tcPr>
            <w:tcW w:w="1205" w:type="dxa"/>
            <w:shd w:val="clear" w:color="auto" w:fill="auto"/>
            <w:noWrap/>
            <w:vAlign w:val="center"/>
            <w:hideMark/>
          </w:tcPr>
          <w:p w14:paraId="6BBCD2F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(26,359)</w:t>
            </w:r>
          </w:p>
        </w:tc>
        <w:tc>
          <w:tcPr>
            <w:tcW w:w="1206" w:type="dxa"/>
            <w:shd w:val="clear" w:color="auto" w:fill="auto"/>
            <w:noWrap/>
            <w:vAlign w:val="center"/>
            <w:hideMark/>
          </w:tcPr>
          <w:p w14:paraId="45F6C2D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(7,328)</w:t>
            </w:r>
          </w:p>
        </w:tc>
        <w:tc>
          <w:tcPr>
            <w:tcW w:w="1206" w:type="dxa"/>
            <w:shd w:val="clear" w:color="auto" w:fill="auto"/>
            <w:noWrap/>
            <w:vAlign w:val="center"/>
            <w:hideMark/>
          </w:tcPr>
          <w:p w14:paraId="269CD1D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1141DB50" w14:textId="77777777" w:rsidTr="002B0577">
        <w:trPr>
          <w:trHeight w:val="340"/>
          <w:jc w:val="center"/>
        </w:trPr>
        <w:tc>
          <w:tcPr>
            <w:tcW w:w="3962" w:type="dxa"/>
            <w:shd w:val="clear" w:color="auto" w:fill="auto"/>
            <w:noWrap/>
            <w:vAlign w:val="center"/>
            <w:hideMark/>
          </w:tcPr>
          <w:p w14:paraId="182B9F7A" w14:textId="77777777" w:rsidR="003E5BF5" w:rsidRPr="00655316" w:rsidRDefault="003E5BF5" w:rsidP="00DE1921">
            <w:pPr>
              <w:rPr>
                <w:rFonts w:ascii="Arial" w:hAnsi="Arial" w:cs="Arial"/>
                <w:sz w:val="24"/>
                <w:szCs w:val="24"/>
              </w:rPr>
            </w:pPr>
            <w:r w:rsidRPr="00655316">
              <w:rPr>
                <w:rFonts w:ascii="Arial" w:hAnsi="Arial" w:cs="Arial"/>
                <w:sz w:val="24"/>
                <w:szCs w:val="24"/>
              </w:rPr>
              <w:t>Additions</w:t>
            </w:r>
          </w:p>
        </w:tc>
        <w:tc>
          <w:tcPr>
            <w:tcW w:w="1206" w:type="dxa"/>
            <w:shd w:val="clear" w:color="auto" w:fill="auto"/>
            <w:noWrap/>
            <w:vAlign w:val="center"/>
            <w:hideMark/>
          </w:tcPr>
          <w:p w14:paraId="5C91CFA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60D82CA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6037087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28,930 </w:t>
            </w:r>
          </w:p>
        </w:tc>
        <w:tc>
          <w:tcPr>
            <w:tcW w:w="1206" w:type="dxa"/>
            <w:shd w:val="clear" w:color="auto" w:fill="auto"/>
            <w:noWrap/>
            <w:vAlign w:val="center"/>
            <w:hideMark/>
          </w:tcPr>
          <w:p w14:paraId="3A4BD33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09F2714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15,738 </w:t>
            </w:r>
          </w:p>
        </w:tc>
        <w:tc>
          <w:tcPr>
            <w:tcW w:w="1205" w:type="dxa"/>
            <w:shd w:val="clear" w:color="auto" w:fill="auto"/>
            <w:noWrap/>
            <w:vAlign w:val="center"/>
            <w:hideMark/>
          </w:tcPr>
          <w:p w14:paraId="34F035D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11,691 </w:t>
            </w:r>
          </w:p>
        </w:tc>
        <w:tc>
          <w:tcPr>
            <w:tcW w:w="1206" w:type="dxa"/>
            <w:shd w:val="clear" w:color="auto" w:fill="auto"/>
            <w:noWrap/>
            <w:vAlign w:val="center"/>
            <w:hideMark/>
          </w:tcPr>
          <w:p w14:paraId="7E4D4CE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768CC3D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13D9D132" w14:textId="77777777" w:rsidTr="002B0577">
        <w:trPr>
          <w:trHeight w:val="340"/>
          <w:jc w:val="center"/>
        </w:trPr>
        <w:tc>
          <w:tcPr>
            <w:tcW w:w="3962" w:type="dxa"/>
            <w:shd w:val="clear" w:color="auto" w:fill="auto"/>
            <w:noWrap/>
            <w:vAlign w:val="center"/>
            <w:hideMark/>
          </w:tcPr>
          <w:p w14:paraId="26873533" w14:textId="77777777" w:rsidR="003E5BF5" w:rsidRPr="00655316" w:rsidRDefault="003E5BF5" w:rsidP="00DE1921">
            <w:pPr>
              <w:rPr>
                <w:rFonts w:ascii="Arial" w:hAnsi="Arial" w:cs="Arial"/>
                <w:sz w:val="24"/>
                <w:szCs w:val="24"/>
              </w:rPr>
            </w:pPr>
            <w:r w:rsidRPr="00655316">
              <w:rPr>
                <w:rFonts w:ascii="Arial" w:hAnsi="Arial" w:cs="Arial"/>
                <w:sz w:val="24"/>
                <w:szCs w:val="24"/>
              </w:rPr>
              <w:t>Disposals</w:t>
            </w:r>
          </w:p>
        </w:tc>
        <w:tc>
          <w:tcPr>
            <w:tcW w:w="1206" w:type="dxa"/>
            <w:shd w:val="clear" w:color="auto" w:fill="auto"/>
            <w:noWrap/>
            <w:vAlign w:val="center"/>
            <w:hideMark/>
          </w:tcPr>
          <w:p w14:paraId="2C10B4A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17EF3D5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50100D5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(16,332)</w:t>
            </w:r>
          </w:p>
        </w:tc>
        <w:tc>
          <w:tcPr>
            <w:tcW w:w="1206" w:type="dxa"/>
            <w:shd w:val="clear" w:color="auto" w:fill="auto"/>
            <w:noWrap/>
            <w:vAlign w:val="center"/>
            <w:hideMark/>
          </w:tcPr>
          <w:p w14:paraId="12DB9B7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0DE70EA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(13,857)</w:t>
            </w:r>
          </w:p>
        </w:tc>
        <w:tc>
          <w:tcPr>
            <w:tcW w:w="1205" w:type="dxa"/>
            <w:shd w:val="clear" w:color="auto" w:fill="auto"/>
            <w:noWrap/>
            <w:vAlign w:val="center"/>
            <w:hideMark/>
          </w:tcPr>
          <w:p w14:paraId="742AC76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w:t>
            </w:r>
          </w:p>
        </w:tc>
        <w:tc>
          <w:tcPr>
            <w:tcW w:w="1206" w:type="dxa"/>
            <w:shd w:val="clear" w:color="auto" w:fill="auto"/>
            <w:noWrap/>
            <w:vAlign w:val="center"/>
            <w:hideMark/>
          </w:tcPr>
          <w:p w14:paraId="2830C25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(3,606)</w:t>
            </w:r>
          </w:p>
        </w:tc>
        <w:tc>
          <w:tcPr>
            <w:tcW w:w="1206" w:type="dxa"/>
            <w:shd w:val="clear" w:color="auto" w:fill="auto"/>
            <w:noWrap/>
            <w:vAlign w:val="center"/>
            <w:hideMark/>
          </w:tcPr>
          <w:p w14:paraId="719C4A4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1637C9EE" w14:textId="77777777" w:rsidTr="002B0577">
        <w:trPr>
          <w:trHeight w:val="340"/>
          <w:jc w:val="center"/>
        </w:trPr>
        <w:tc>
          <w:tcPr>
            <w:tcW w:w="3962" w:type="dxa"/>
            <w:shd w:val="clear" w:color="auto" w:fill="auto"/>
            <w:noWrap/>
            <w:vAlign w:val="center"/>
            <w:hideMark/>
          </w:tcPr>
          <w:p w14:paraId="263B3186" w14:textId="77777777" w:rsidR="003E5BF5" w:rsidRPr="00655316" w:rsidRDefault="003E5BF5" w:rsidP="00DE1921">
            <w:pPr>
              <w:rPr>
                <w:rFonts w:ascii="Arial" w:hAnsi="Arial" w:cs="Arial"/>
                <w:sz w:val="24"/>
                <w:szCs w:val="24"/>
              </w:rPr>
            </w:pPr>
            <w:r w:rsidRPr="00655316">
              <w:rPr>
                <w:rFonts w:ascii="Arial" w:hAnsi="Arial" w:cs="Arial"/>
                <w:sz w:val="24"/>
                <w:szCs w:val="24"/>
              </w:rPr>
              <w:t>Depreciation expense</w:t>
            </w:r>
          </w:p>
        </w:tc>
        <w:tc>
          <w:tcPr>
            <w:tcW w:w="1206" w:type="dxa"/>
            <w:shd w:val="clear" w:color="auto" w:fill="auto"/>
            <w:noWrap/>
            <w:vAlign w:val="center"/>
            <w:hideMark/>
          </w:tcPr>
          <w:p w14:paraId="47E7AAA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1D8AEC1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758FE7E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2CC04F9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68B99F5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34224D0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22F2EF6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(636,135)</w:t>
            </w:r>
          </w:p>
        </w:tc>
        <w:tc>
          <w:tcPr>
            <w:tcW w:w="1206" w:type="dxa"/>
            <w:shd w:val="clear" w:color="auto" w:fill="auto"/>
            <w:noWrap/>
            <w:vAlign w:val="center"/>
            <w:hideMark/>
          </w:tcPr>
          <w:p w14:paraId="5CD5EED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31BD7589" w14:textId="77777777" w:rsidTr="002B0577">
        <w:trPr>
          <w:trHeight w:val="340"/>
          <w:jc w:val="center"/>
        </w:trPr>
        <w:tc>
          <w:tcPr>
            <w:tcW w:w="3962" w:type="dxa"/>
            <w:shd w:val="clear" w:color="auto" w:fill="auto"/>
            <w:noWrap/>
            <w:vAlign w:val="center"/>
            <w:hideMark/>
          </w:tcPr>
          <w:p w14:paraId="754A688E" w14:textId="77777777" w:rsidR="003E5BF5" w:rsidRPr="00655316" w:rsidRDefault="003E5BF5" w:rsidP="00DE1921">
            <w:pPr>
              <w:rPr>
                <w:rFonts w:ascii="Arial" w:hAnsi="Arial" w:cs="Arial"/>
                <w:sz w:val="24"/>
                <w:szCs w:val="24"/>
              </w:rPr>
            </w:pPr>
            <w:r w:rsidRPr="00655316">
              <w:rPr>
                <w:rFonts w:ascii="Arial" w:hAnsi="Arial" w:cs="Arial"/>
                <w:sz w:val="24"/>
                <w:szCs w:val="24"/>
              </w:rPr>
              <w:t>Assets provided as contributed capital</w:t>
            </w:r>
          </w:p>
        </w:tc>
        <w:tc>
          <w:tcPr>
            <w:tcW w:w="1206" w:type="dxa"/>
            <w:shd w:val="clear" w:color="auto" w:fill="auto"/>
            <w:noWrap/>
            <w:vAlign w:val="center"/>
            <w:hideMark/>
          </w:tcPr>
          <w:p w14:paraId="4299F92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27F8713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011B095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(7,271)</w:t>
            </w:r>
          </w:p>
        </w:tc>
        <w:tc>
          <w:tcPr>
            <w:tcW w:w="1206" w:type="dxa"/>
            <w:shd w:val="clear" w:color="auto" w:fill="auto"/>
            <w:noWrap/>
            <w:vAlign w:val="center"/>
            <w:hideMark/>
          </w:tcPr>
          <w:p w14:paraId="0543273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7C43B76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(634)</w:t>
            </w:r>
          </w:p>
        </w:tc>
        <w:tc>
          <w:tcPr>
            <w:tcW w:w="1205" w:type="dxa"/>
            <w:shd w:val="clear" w:color="auto" w:fill="auto"/>
            <w:noWrap/>
            <w:vAlign w:val="center"/>
            <w:hideMark/>
          </w:tcPr>
          <w:p w14:paraId="4CDEE02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(5,307)</w:t>
            </w:r>
          </w:p>
        </w:tc>
        <w:tc>
          <w:tcPr>
            <w:tcW w:w="1206" w:type="dxa"/>
            <w:shd w:val="clear" w:color="auto" w:fill="auto"/>
            <w:noWrap/>
            <w:vAlign w:val="center"/>
            <w:hideMark/>
          </w:tcPr>
          <w:p w14:paraId="1D49557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21616DC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262AB400" w14:textId="77777777" w:rsidTr="002B0577">
        <w:trPr>
          <w:trHeight w:val="340"/>
          <w:jc w:val="center"/>
        </w:trPr>
        <w:tc>
          <w:tcPr>
            <w:tcW w:w="3962" w:type="dxa"/>
            <w:shd w:val="clear" w:color="auto" w:fill="auto"/>
            <w:noWrap/>
            <w:vAlign w:val="center"/>
            <w:hideMark/>
          </w:tcPr>
          <w:p w14:paraId="4C52E77A" w14:textId="77777777" w:rsidR="003E5BF5" w:rsidRPr="00655316" w:rsidRDefault="003E5BF5" w:rsidP="00DE1921">
            <w:pPr>
              <w:rPr>
                <w:rFonts w:ascii="Arial" w:hAnsi="Arial" w:cs="Arial"/>
                <w:sz w:val="24"/>
                <w:szCs w:val="24"/>
              </w:rPr>
            </w:pPr>
            <w:r w:rsidRPr="00655316">
              <w:rPr>
                <w:rFonts w:ascii="Arial" w:hAnsi="Arial" w:cs="Arial"/>
                <w:sz w:val="24"/>
                <w:szCs w:val="24"/>
              </w:rPr>
              <w:t>Transfers to assets classified as held for sale</w:t>
            </w:r>
          </w:p>
        </w:tc>
        <w:tc>
          <w:tcPr>
            <w:tcW w:w="1206" w:type="dxa"/>
            <w:shd w:val="clear" w:color="auto" w:fill="auto"/>
            <w:noWrap/>
            <w:vAlign w:val="center"/>
            <w:hideMark/>
          </w:tcPr>
          <w:p w14:paraId="238723F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127A884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01C9E5D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(3,364)</w:t>
            </w:r>
          </w:p>
        </w:tc>
        <w:tc>
          <w:tcPr>
            <w:tcW w:w="1206" w:type="dxa"/>
            <w:shd w:val="clear" w:color="auto" w:fill="auto"/>
            <w:noWrap/>
            <w:vAlign w:val="center"/>
            <w:hideMark/>
          </w:tcPr>
          <w:p w14:paraId="3982C30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68814C5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221 </w:t>
            </w:r>
          </w:p>
        </w:tc>
        <w:tc>
          <w:tcPr>
            <w:tcW w:w="1205" w:type="dxa"/>
            <w:shd w:val="clear" w:color="auto" w:fill="auto"/>
            <w:noWrap/>
            <w:vAlign w:val="center"/>
            <w:hideMark/>
          </w:tcPr>
          <w:p w14:paraId="435ACA8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(25,151)</w:t>
            </w:r>
          </w:p>
        </w:tc>
        <w:tc>
          <w:tcPr>
            <w:tcW w:w="1206" w:type="dxa"/>
            <w:shd w:val="clear" w:color="auto" w:fill="auto"/>
            <w:noWrap/>
            <w:vAlign w:val="center"/>
            <w:hideMark/>
          </w:tcPr>
          <w:p w14:paraId="0D18488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77A23DD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0A7C9AFD" w14:textId="77777777" w:rsidTr="002B0577">
        <w:trPr>
          <w:trHeight w:val="340"/>
          <w:jc w:val="center"/>
        </w:trPr>
        <w:tc>
          <w:tcPr>
            <w:tcW w:w="3962" w:type="dxa"/>
            <w:shd w:val="clear" w:color="auto" w:fill="auto"/>
            <w:noWrap/>
            <w:vAlign w:val="center"/>
            <w:hideMark/>
          </w:tcPr>
          <w:p w14:paraId="4F4830A7" w14:textId="77777777" w:rsidR="003E5BF5" w:rsidRPr="00655316" w:rsidRDefault="003E5BF5" w:rsidP="00DE1921">
            <w:pPr>
              <w:rPr>
                <w:rFonts w:ascii="Arial" w:hAnsi="Arial" w:cs="Arial"/>
                <w:sz w:val="24"/>
                <w:szCs w:val="24"/>
              </w:rPr>
            </w:pPr>
            <w:r w:rsidRPr="00655316">
              <w:rPr>
                <w:rFonts w:ascii="Arial" w:hAnsi="Arial" w:cs="Arial"/>
                <w:sz w:val="24"/>
                <w:szCs w:val="24"/>
              </w:rPr>
              <w:t>Net transfers (to)/from government entities</w:t>
            </w:r>
          </w:p>
        </w:tc>
        <w:tc>
          <w:tcPr>
            <w:tcW w:w="1206" w:type="dxa"/>
            <w:shd w:val="clear" w:color="auto" w:fill="auto"/>
            <w:noWrap/>
            <w:vAlign w:val="center"/>
            <w:hideMark/>
          </w:tcPr>
          <w:p w14:paraId="1F7F498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713508E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1AA4451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2AFC3B4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297B198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728EA70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(631,544)</w:t>
            </w:r>
          </w:p>
        </w:tc>
        <w:tc>
          <w:tcPr>
            <w:tcW w:w="1206" w:type="dxa"/>
            <w:shd w:val="clear" w:color="auto" w:fill="auto"/>
            <w:noWrap/>
            <w:vAlign w:val="center"/>
            <w:hideMark/>
          </w:tcPr>
          <w:p w14:paraId="65ABB69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0788143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6D936225" w14:textId="77777777" w:rsidTr="002B0577">
        <w:trPr>
          <w:trHeight w:val="340"/>
          <w:jc w:val="center"/>
        </w:trPr>
        <w:tc>
          <w:tcPr>
            <w:tcW w:w="3962" w:type="dxa"/>
            <w:shd w:val="clear" w:color="auto" w:fill="auto"/>
            <w:noWrap/>
            <w:vAlign w:val="center"/>
            <w:hideMark/>
          </w:tcPr>
          <w:p w14:paraId="69528BF0" w14:textId="77777777" w:rsidR="003E5BF5" w:rsidRPr="00655316" w:rsidRDefault="003E5BF5" w:rsidP="00DE1921">
            <w:pPr>
              <w:rPr>
                <w:rFonts w:ascii="Arial" w:hAnsi="Arial" w:cs="Arial"/>
                <w:sz w:val="24"/>
                <w:szCs w:val="24"/>
              </w:rPr>
            </w:pPr>
            <w:r w:rsidRPr="00655316">
              <w:rPr>
                <w:rFonts w:ascii="Arial" w:hAnsi="Arial" w:cs="Arial"/>
                <w:sz w:val="24"/>
                <w:szCs w:val="24"/>
              </w:rPr>
              <w:t>Net revaluation increments/decrements</w:t>
            </w:r>
          </w:p>
        </w:tc>
        <w:tc>
          <w:tcPr>
            <w:tcW w:w="1206" w:type="dxa"/>
            <w:shd w:val="clear" w:color="auto" w:fill="auto"/>
            <w:noWrap/>
            <w:vAlign w:val="center"/>
            <w:hideMark/>
          </w:tcPr>
          <w:p w14:paraId="1ECF609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10,132,429 </w:t>
            </w:r>
          </w:p>
        </w:tc>
        <w:tc>
          <w:tcPr>
            <w:tcW w:w="1206" w:type="dxa"/>
            <w:shd w:val="clear" w:color="auto" w:fill="auto"/>
            <w:noWrap/>
            <w:vAlign w:val="center"/>
            <w:hideMark/>
          </w:tcPr>
          <w:p w14:paraId="14B931A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1FB1F73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61,491 </w:t>
            </w:r>
          </w:p>
        </w:tc>
        <w:tc>
          <w:tcPr>
            <w:tcW w:w="1206" w:type="dxa"/>
            <w:shd w:val="clear" w:color="auto" w:fill="auto"/>
            <w:noWrap/>
            <w:vAlign w:val="center"/>
            <w:hideMark/>
          </w:tcPr>
          <w:p w14:paraId="0965808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160161F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64,000 </w:t>
            </w:r>
          </w:p>
        </w:tc>
        <w:tc>
          <w:tcPr>
            <w:tcW w:w="1205" w:type="dxa"/>
            <w:shd w:val="clear" w:color="auto" w:fill="auto"/>
            <w:noWrap/>
            <w:vAlign w:val="center"/>
            <w:hideMark/>
          </w:tcPr>
          <w:p w14:paraId="4E17F1C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07A46B1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(537,713)</w:t>
            </w:r>
          </w:p>
        </w:tc>
        <w:tc>
          <w:tcPr>
            <w:tcW w:w="1206" w:type="dxa"/>
            <w:shd w:val="clear" w:color="auto" w:fill="auto"/>
            <w:noWrap/>
            <w:vAlign w:val="center"/>
            <w:hideMark/>
          </w:tcPr>
          <w:p w14:paraId="49AC2EF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79461E5A" w14:textId="77777777" w:rsidTr="002B0577">
        <w:trPr>
          <w:trHeight w:val="340"/>
          <w:jc w:val="center"/>
        </w:trPr>
        <w:tc>
          <w:tcPr>
            <w:tcW w:w="3962" w:type="dxa"/>
            <w:shd w:val="clear" w:color="auto" w:fill="auto"/>
            <w:noWrap/>
            <w:vAlign w:val="center"/>
            <w:hideMark/>
          </w:tcPr>
          <w:p w14:paraId="4A291529" w14:textId="77777777" w:rsidR="003E5BF5" w:rsidRPr="00655316" w:rsidRDefault="003E5BF5" w:rsidP="00DE1921">
            <w:pPr>
              <w:rPr>
                <w:rFonts w:ascii="Arial" w:hAnsi="Arial" w:cs="Arial"/>
                <w:sz w:val="24"/>
                <w:szCs w:val="24"/>
              </w:rPr>
            </w:pPr>
            <w:r w:rsidRPr="00655316">
              <w:rPr>
                <w:rFonts w:ascii="Arial" w:hAnsi="Arial" w:cs="Arial"/>
                <w:sz w:val="24"/>
                <w:szCs w:val="24"/>
              </w:rPr>
              <w:t>Transfer between classes</w:t>
            </w:r>
          </w:p>
        </w:tc>
        <w:tc>
          <w:tcPr>
            <w:tcW w:w="1206" w:type="dxa"/>
            <w:shd w:val="clear" w:color="auto" w:fill="auto"/>
            <w:noWrap/>
            <w:vAlign w:val="center"/>
            <w:hideMark/>
          </w:tcPr>
          <w:p w14:paraId="251D9924" w14:textId="77777777" w:rsidR="003E5BF5" w:rsidRPr="00655316" w:rsidRDefault="003E5BF5" w:rsidP="00DE1921">
            <w:pPr>
              <w:jc w:val="right"/>
              <w:rPr>
                <w:rFonts w:ascii="Arial" w:hAnsi="Arial" w:cs="Arial"/>
                <w:sz w:val="24"/>
                <w:szCs w:val="24"/>
              </w:rPr>
            </w:pPr>
          </w:p>
        </w:tc>
        <w:tc>
          <w:tcPr>
            <w:tcW w:w="1206" w:type="dxa"/>
            <w:shd w:val="clear" w:color="auto" w:fill="auto"/>
            <w:noWrap/>
            <w:vAlign w:val="center"/>
            <w:hideMark/>
          </w:tcPr>
          <w:p w14:paraId="7B88CC5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4A145D1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0A44A88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0701329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53FE502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(306)</w:t>
            </w:r>
          </w:p>
        </w:tc>
        <w:tc>
          <w:tcPr>
            <w:tcW w:w="1206" w:type="dxa"/>
            <w:shd w:val="clear" w:color="auto" w:fill="auto"/>
            <w:noWrap/>
            <w:vAlign w:val="center"/>
            <w:hideMark/>
          </w:tcPr>
          <w:p w14:paraId="5E56A43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2,303,496 </w:t>
            </w:r>
          </w:p>
        </w:tc>
        <w:tc>
          <w:tcPr>
            <w:tcW w:w="1206" w:type="dxa"/>
            <w:shd w:val="clear" w:color="auto" w:fill="auto"/>
            <w:noWrap/>
            <w:vAlign w:val="center"/>
            <w:hideMark/>
          </w:tcPr>
          <w:p w14:paraId="3CE6B1F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7C2E9083" w14:textId="77777777" w:rsidTr="002B0577">
        <w:trPr>
          <w:trHeight w:val="340"/>
          <w:jc w:val="center"/>
        </w:trPr>
        <w:tc>
          <w:tcPr>
            <w:tcW w:w="3962" w:type="dxa"/>
            <w:shd w:val="clear" w:color="auto" w:fill="auto"/>
            <w:noWrap/>
            <w:vAlign w:val="center"/>
            <w:hideMark/>
          </w:tcPr>
          <w:p w14:paraId="120769CB" w14:textId="77777777" w:rsidR="003E5BF5" w:rsidRPr="00655316" w:rsidRDefault="003E5BF5" w:rsidP="00DE1921">
            <w:pPr>
              <w:rPr>
                <w:rFonts w:ascii="Arial" w:hAnsi="Arial" w:cs="Arial"/>
                <w:sz w:val="24"/>
                <w:szCs w:val="24"/>
              </w:rPr>
            </w:pPr>
            <w:r w:rsidRPr="00655316">
              <w:rPr>
                <w:rFonts w:ascii="Arial" w:hAnsi="Arial" w:cs="Arial"/>
                <w:sz w:val="24"/>
                <w:szCs w:val="24"/>
              </w:rPr>
              <w:t>Recognition/(derecognition)</w:t>
            </w:r>
          </w:p>
        </w:tc>
        <w:tc>
          <w:tcPr>
            <w:tcW w:w="1206" w:type="dxa"/>
            <w:shd w:val="clear" w:color="auto" w:fill="auto"/>
            <w:noWrap/>
            <w:vAlign w:val="center"/>
            <w:hideMark/>
          </w:tcPr>
          <w:p w14:paraId="4172576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5A8FEF4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5EDB16A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16004CA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24884EB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5" w:type="dxa"/>
            <w:shd w:val="clear" w:color="auto" w:fill="auto"/>
            <w:noWrap/>
            <w:vAlign w:val="center"/>
            <w:hideMark/>
          </w:tcPr>
          <w:p w14:paraId="1C3FE1D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59C7295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206" w:type="dxa"/>
            <w:shd w:val="clear" w:color="auto" w:fill="auto"/>
            <w:noWrap/>
            <w:vAlign w:val="center"/>
            <w:hideMark/>
          </w:tcPr>
          <w:p w14:paraId="488A496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3ECEAC39" w14:textId="77777777" w:rsidTr="002B0577">
        <w:trPr>
          <w:trHeight w:val="340"/>
          <w:jc w:val="center"/>
        </w:trPr>
        <w:tc>
          <w:tcPr>
            <w:tcW w:w="3962" w:type="dxa"/>
            <w:shd w:val="clear" w:color="auto" w:fill="auto"/>
            <w:noWrap/>
            <w:vAlign w:val="center"/>
            <w:hideMark/>
          </w:tcPr>
          <w:p w14:paraId="216AF637" w14:textId="77777777" w:rsidR="003E5BF5" w:rsidRPr="00655316" w:rsidRDefault="003E5BF5" w:rsidP="00DE1921">
            <w:pPr>
              <w:rPr>
                <w:rFonts w:ascii="Arial" w:hAnsi="Arial" w:cs="Arial"/>
                <w:b/>
                <w:sz w:val="24"/>
                <w:szCs w:val="24"/>
              </w:rPr>
            </w:pPr>
            <w:r w:rsidRPr="00655316">
              <w:rPr>
                <w:rFonts w:ascii="Arial" w:hAnsi="Arial" w:cs="Arial"/>
                <w:b/>
                <w:sz w:val="24"/>
                <w:szCs w:val="24"/>
              </w:rPr>
              <w:t>Closing balance</w:t>
            </w:r>
          </w:p>
        </w:tc>
        <w:tc>
          <w:tcPr>
            <w:tcW w:w="1206" w:type="dxa"/>
            <w:shd w:val="clear" w:color="auto" w:fill="auto"/>
            <w:noWrap/>
            <w:vAlign w:val="center"/>
            <w:hideMark/>
          </w:tcPr>
          <w:p w14:paraId="1F7462F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34,398,450 </w:t>
            </w:r>
          </w:p>
        </w:tc>
        <w:tc>
          <w:tcPr>
            <w:tcW w:w="1206" w:type="dxa"/>
            <w:shd w:val="clear" w:color="auto" w:fill="auto"/>
            <w:noWrap/>
            <w:vAlign w:val="center"/>
            <w:hideMark/>
          </w:tcPr>
          <w:p w14:paraId="4F046B8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1205" w:type="dxa"/>
            <w:shd w:val="clear" w:color="auto" w:fill="auto"/>
            <w:noWrap/>
            <w:vAlign w:val="center"/>
            <w:hideMark/>
          </w:tcPr>
          <w:p w14:paraId="779EDC4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1,707,687 </w:t>
            </w:r>
          </w:p>
        </w:tc>
        <w:tc>
          <w:tcPr>
            <w:tcW w:w="1206" w:type="dxa"/>
            <w:shd w:val="clear" w:color="auto" w:fill="auto"/>
            <w:noWrap/>
            <w:vAlign w:val="center"/>
            <w:hideMark/>
          </w:tcPr>
          <w:p w14:paraId="2476A59B"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1206" w:type="dxa"/>
            <w:shd w:val="clear" w:color="auto" w:fill="auto"/>
            <w:noWrap/>
            <w:vAlign w:val="center"/>
            <w:hideMark/>
          </w:tcPr>
          <w:p w14:paraId="76BBFC27"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1,009,389 </w:t>
            </w:r>
          </w:p>
        </w:tc>
        <w:tc>
          <w:tcPr>
            <w:tcW w:w="1205" w:type="dxa"/>
            <w:shd w:val="clear" w:color="auto" w:fill="auto"/>
            <w:noWrap/>
            <w:vAlign w:val="center"/>
            <w:hideMark/>
          </w:tcPr>
          <w:p w14:paraId="24C563FF"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309,859 </w:t>
            </w:r>
          </w:p>
        </w:tc>
        <w:tc>
          <w:tcPr>
            <w:tcW w:w="1206" w:type="dxa"/>
            <w:shd w:val="clear" w:color="auto" w:fill="auto"/>
            <w:noWrap/>
            <w:vAlign w:val="center"/>
            <w:hideMark/>
          </w:tcPr>
          <w:p w14:paraId="439A02FB"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19,435,469 </w:t>
            </w:r>
          </w:p>
        </w:tc>
        <w:tc>
          <w:tcPr>
            <w:tcW w:w="1206" w:type="dxa"/>
            <w:shd w:val="clear" w:color="auto" w:fill="auto"/>
            <w:noWrap/>
            <w:vAlign w:val="center"/>
            <w:hideMark/>
          </w:tcPr>
          <w:p w14:paraId="06712CC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r>
    </w:tbl>
    <w:p w14:paraId="2766CA91" w14:textId="77777777" w:rsidR="003E5BF5" w:rsidRDefault="003E5BF5">
      <w:pPr>
        <w:rPr>
          <w:color w:val="70AD47" w:themeColor="accent6"/>
          <w:szCs w:val="28"/>
        </w:rPr>
      </w:pPr>
      <w:r>
        <w:rPr>
          <w:color w:val="70AD47" w:themeColor="accent6"/>
          <w:szCs w:val="28"/>
        </w:rPr>
        <w:br w:type="page"/>
      </w:r>
    </w:p>
    <w:p w14:paraId="2D75D9E5" w14:textId="77777777" w:rsidR="003E5BF5" w:rsidRPr="00FF7D38" w:rsidRDefault="003E5BF5" w:rsidP="00610F5F">
      <w:pPr>
        <w:pStyle w:val="Heading3"/>
        <w:numPr>
          <w:ilvl w:val="3"/>
          <w:numId w:val="18"/>
        </w:numPr>
        <w:ind w:left="1418" w:hanging="1418"/>
      </w:pPr>
      <w:r w:rsidRPr="00AE71C9">
        <w:lastRenderedPageBreak/>
        <w:t>Recon</w:t>
      </w:r>
      <w:r w:rsidRPr="00FF7D38">
        <w:t xml:space="preserve">ciliation of movements in carrying amount of other non-financial physical assets - </w:t>
      </w:r>
      <w:r w:rsidRPr="00FF7D38">
        <w:rPr>
          <w:i/>
        </w:rPr>
        <w:t>continued</w:t>
      </w:r>
    </w:p>
    <w:tbl>
      <w:tblPr>
        <w:tblStyle w:val="TableGrid"/>
        <w:tblW w:w="13608" w:type="dxa"/>
        <w:jc w:val="center"/>
        <w:tblCellMar>
          <w:left w:w="28" w:type="dxa"/>
          <w:right w:w="28" w:type="dxa"/>
        </w:tblCellMar>
        <w:tblLook w:val="04A0" w:firstRow="1" w:lastRow="0" w:firstColumn="1" w:lastColumn="0" w:noHBand="0" w:noVBand="1"/>
      </w:tblPr>
      <w:tblGrid>
        <w:gridCol w:w="4119"/>
        <w:gridCol w:w="1187"/>
        <w:gridCol w:w="1186"/>
        <w:gridCol w:w="1284"/>
        <w:gridCol w:w="1186"/>
        <w:gridCol w:w="1186"/>
        <w:gridCol w:w="1186"/>
        <w:gridCol w:w="1186"/>
        <w:gridCol w:w="1186"/>
      </w:tblGrid>
      <w:tr w:rsidR="003E5BF5" w:rsidRPr="00655316" w14:paraId="54FE7EB8" w14:textId="77777777" w:rsidTr="002B0577">
        <w:trPr>
          <w:trHeight w:val="340"/>
          <w:jc w:val="center"/>
        </w:trPr>
        <w:tc>
          <w:tcPr>
            <w:tcW w:w="4119" w:type="dxa"/>
            <w:shd w:val="clear" w:color="auto" w:fill="auto"/>
            <w:noWrap/>
            <w:hideMark/>
          </w:tcPr>
          <w:p w14:paraId="1D34E908" w14:textId="77777777" w:rsidR="003E5BF5" w:rsidRPr="00655316" w:rsidRDefault="003E5BF5" w:rsidP="00DE1921">
            <w:pPr>
              <w:rPr>
                <w:rFonts w:ascii="Arial" w:hAnsi="Arial" w:cs="Arial"/>
                <w:sz w:val="24"/>
                <w:szCs w:val="24"/>
              </w:rPr>
            </w:pPr>
            <w:r w:rsidRPr="00655316">
              <w:rPr>
                <w:rFonts w:ascii="Arial" w:hAnsi="Arial" w:cs="Arial"/>
                <w:sz w:val="24"/>
                <w:szCs w:val="24"/>
              </w:rPr>
              <w:t> </w:t>
            </w:r>
          </w:p>
        </w:tc>
        <w:tc>
          <w:tcPr>
            <w:tcW w:w="9489" w:type="dxa"/>
            <w:gridSpan w:val="8"/>
            <w:shd w:val="clear" w:color="auto" w:fill="auto"/>
            <w:noWrap/>
            <w:vAlign w:val="center"/>
            <w:hideMark/>
          </w:tcPr>
          <w:p w14:paraId="11DC8C49"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 thousand)</w:t>
            </w:r>
          </w:p>
        </w:tc>
      </w:tr>
      <w:tr w:rsidR="003E5BF5" w:rsidRPr="00655316" w14:paraId="47C6F586" w14:textId="77777777" w:rsidTr="002B0577">
        <w:trPr>
          <w:trHeight w:val="340"/>
          <w:jc w:val="center"/>
        </w:trPr>
        <w:tc>
          <w:tcPr>
            <w:tcW w:w="4119" w:type="dxa"/>
            <w:shd w:val="clear" w:color="auto" w:fill="auto"/>
            <w:noWrap/>
            <w:hideMark/>
          </w:tcPr>
          <w:p w14:paraId="42504D82" w14:textId="77777777" w:rsidR="003E5BF5" w:rsidRPr="00655316" w:rsidRDefault="003E5BF5" w:rsidP="00DE1921">
            <w:pPr>
              <w:rPr>
                <w:rFonts w:ascii="Arial" w:hAnsi="Arial" w:cs="Arial"/>
                <w:sz w:val="24"/>
                <w:szCs w:val="24"/>
              </w:rPr>
            </w:pPr>
          </w:p>
        </w:tc>
        <w:tc>
          <w:tcPr>
            <w:tcW w:w="2373" w:type="dxa"/>
            <w:gridSpan w:val="2"/>
            <w:shd w:val="clear" w:color="auto" w:fill="auto"/>
            <w:vAlign w:val="bottom"/>
            <w:hideMark/>
          </w:tcPr>
          <w:p w14:paraId="1DBA46F3"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Earthworks at fair value</w:t>
            </w:r>
          </w:p>
        </w:tc>
        <w:tc>
          <w:tcPr>
            <w:tcW w:w="2372" w:type="dxa"/>
            <w:gridSpan w:val="2"/>
            <w:shd w:val="clear" w:color="auto" w:fill="auto"/>
            <w:vAlign w:val="bottom"/>
            <w:hideMark/>
          </w:tcPr>
          <w:p w14:paraId="0E40A023"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Other infrastructure at fair value</w:t>
            </w:r>
          </w:p>
        </w:tc>
        <w:tc>
          <w:tcPr>
            <w:tcW w:w="2372" w:type="dxa"/>
            <w:gridSpan w:val="2"/>
            <w:shd w:val="clear" w:color="auto" w:fill="auto"/>
            <w:vAlign w:val="bottom"/>
            <w:hideMark/>
          </w:tcPr>
          <w:p w14:paraId="604C199B"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Buildings at fair value</w:t>
            </w:r>
          </w:p>
        </w:tc>
        <w:tc>
          <w:tcPr>
            <w:tcW w:w="2372" w:type="dxa"/>
            <w:gridSpan w:val="2"/>
            <w:shd w:val="clear" w:color="auto" w:fill="auto"/>
            <w:vAlign w:val="bottom"/>
            <w:hideMark/>
          </w:tcPr>
          <w:p w14:paraId="627F46AB"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Plant, equipment and vehicles at fair value</w:t>
            </w:r>
          </w:p>
        </w:tc>
      </w:tr>
      <w:tr w:rsidR="003E5BF5" w:rsidRPr="00655316" w14:paraId="6D65B637" w14:textId="77777777" w:rsidTr="002B0577">
        <w:trPr>
          <w:trHeight w:val="340"/>
          <w:jc w:val="center"/>
        </w:trPr>
        <w:tc>
          <w:tcPr>
            <w:tcW w:w="4119" w:type="dxa"/>
            <w:shd w:val="clear" w:color="auto" w:fill="auto"/>
            <w:noWrap/>
            <w:hideMark/>
          </w:tcPr>
          <w:p w14:paraId="36C5E2A2" w14:textId="77777777" w:rsidR="003E5BF5" w:rsidRPr="00655316" w:rsidRDefault="003E5BF5" w:rsidP="00DE1921">
            <w:pPr>
              <w:rPr>
                <w:rFonts w:ascii="Arial" w:hAnsi="Arial" w:cs="Arial"/>
                <w:b/>
                <w:sz w:val="24"/>
                <w:szCs w:val="24"/>
              </w:rPr>
            </w:pPr>
          </w:p>
        </w:tc>
        <w:tc>
          <w:tcPr>
            <w:tcW w:w="1187" w:type="dxa"/>
            <w:shd w:val="clear" w:color="auto" w:fill="auto"/>
            <w:noWrap/>
            <w:vAlign w:val="center"/>
            <w:hideMark/>
          </w:tcPr>
          <w:p w14:paraId="6094293B"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186" w:type="dxa"/>
            <w:shd w:val="clear" w:color="auto" w:fill="auto"/>
            <w:noWrap/>
            <w:vAlign w:val="center"/>
            <w:hideMark/>
          </w:tcPr>
          <w:p w14:paraId="2EFEA81B"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186" w:type="dxa"/>
            <w:shd w:val="clear" w:color="auto" w:fill="auto"/>
            <w:noWrap/>
            <w:vAlign w:val="center"/>
            <w:hideMark/>
          </w:tcPr>
          <w:p w14:paraId="7A83EE52"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186" w:type="dxa"/>
            <w:shd w:val="clear" w:color="auto" w:fill="auto"/>
            <w:noWrap/>
            <w:vAlign w:val="center"/>
            <w:hideMark/>
          </w:tcPr>
          <w:p w14:paraId="325AA9D0"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186" w:type="dxa"/>
            <w:shd w:val="clear" w:color="auto" w:fill="auto"/>
            <w:noWrap/>
            <w:vAlign w:val="center"/>
            <w:hideMark/>
          </w:tcPr>
          <w:p w14:paraId="5B316B4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186" w:type="dxa"/>
            <w:shd w:val="clear" w:color="auto" w:fill="auto"/>
            <w:noWrap/>
            <w:vAlign w:val="center"/>
            <w:hideMark/>
          </w:tcPr>
          <w:p w14:paraId="11EE418B"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186" w:type="dxa"/>
            <w:shd w:val="clear" w:color="auto" w:fill="auto"/>
            <w:noWrap/>
            <w:vAlign w:val="center"/>
            <w:hideMark/>
          </w:tcPr>
          <w:p w14:paraId="7C55196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186" w:type="dxa"/>
            <w:shd w:val="clear" w:color="auto" w:fill="auto"/>
            <w:noWrap/>
            <w:vAlign w:val="center"/>
            <w:hideMark/>
          </w:tcPr>
          <w:p w14:paraId="67BD8A0B"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r>
      <w:tr w:rsidR="003E5BF5" w:rsidRPr="00655316" w14:paraId="7145FF5E" w14:textId="77777777" w:rsidTr="002B0577">
        <w:trPr>
          <w:trHeight w:val="340"/>
          <w:jc w:val="center"/>
        </w:trPr>
        <w:tc>
          <w:tcPr>
            <w:tcW w:w="4119" w:type="dxa"/>
            <w:shd w:val="clear" w:color="auto" w:fill="auto"/>
            <w:noWrap/>
            <w:vAlign w:val="center"/>
            <w:hideMark/>
          </w:tcPr>
          <w:p w14:paraId="720C3D3C" w14:textId="77777777" w:rsidR="003E5BF5" w:rsidRPr="00655316" w:rsidRDefault="003E5BF5" w:rsidP="00DE1921">
            <w:pPr>
              <w:rPr>
                <w:rFonts w:ascii="Arial" w:hAnsi="Arial" w:cs="Arial"/>
                <w:b/>
                <w:sz w:val="24"/>
                <w:szCs w:val="24"/>
              </w:rPr>
            </w:pPr>
            <w:r w:rsidRPr="00655316">
              <w:rPr>
                <w:rFonts w:ascii="Arial" w:hAnsi="Arial" w:cs="Arial"/>
                <w:b/>
                <w:sz w:val="24"/>
                <w:szCs w:val="24"/>
              </w:rPr>
              <w:t>Opening balance</w:t>
            </w:r>
          </w:p>
        </w:tc>
        <w:tc>
          <w:tcPr>
            <w:tcW w:w="1187" w:type="dxa"/>
            <w:shd w:val="clear" w:color="auto" w:fill="auto"/>
            <w:noWrap/>
            <w:vAlign w:val="center"/>
            <w:hideMark/>
          </w:tcPr>
          <w:p w14:paraId="5A961E4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1186" w:type="dxa"/>
            <w:shd w:val="clear" w:color="auto" w:fill="auto"/>
            <w:noWrap/>
            <w:vAlign w:val="center"/>
            <w:hideMark/>
          </w:tcPr>
          <w:p w14:paraId="4C158BC0"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1186" w:type="dxa"/>
            <w:shd w:val="clear" w:color="auto" w:fill="auto"/>
            <w:noWrap/>
            <w:vAlign w:val="center"/>
            <w:hideMark/>
          </w:tcPr>
          <w:p w14:paraId="719F106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1,341,790 </w:t>
            </w:r>
          </w:p>
        </w:tc>
        <w:tc>
          <w:tcPr>
            <w:tcW w:w="1186" w:type="dxa"/>
            <w:shd w:val="clear" w:color="auto" w:fill="auto"/>
            <w:noWrap/>
            <w:vAlign w:val="center"/>
            <w:hideMark/>
          </w:tcPr>
          <w:p w14:paraId="7E4610F7"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51,149 </w:t>
            </w:r>
          </w:p>
        </w:tc>
        <w:tc>
          <w:tcPr>
            <w:tcW w:w="1186" w:type="dxa"/>
            <w:shd w:val="clear" w:color="auto" w:fill="auto"/>
            <w:noWrap/>
            <w:vAlign w:val="center"/>
            <w:hideMark/>
          </w:tcPr>
          <w:p w14:paraId="6105DF2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4,826 </w:t>
            </w:r>
          </w:p>
        </w:tc>
        <w:tc>
          <w:tcPr>
            <w:tcW w:w="1186" w:type="dxa"/>
            <w:shd w:val="clear" w:color="auto" w:fill="auto"/>
            <w:noWrap/>
            <w:vAlign w:val="center"/>
            <w:hideMark/>
          </w:tcPr>
          <w:p w14:paraId="394F762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464,650 </w:t>
            </w:r>
          </w:p>
        </w:tc>
        <w:tc>
          <w:tcPr>
            <w:tcW w:w="1186" w:type="dxa"/>
            <w:shd w:val="clear" w:color="auto" w:fill="auto"/>
            <w:noWrap/>
            <w:vAlign w:val="center"/>
            <w:hideMark/>
          </w:tcPr>
          <w:p w14:paraId="387551FF"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3,553 </w:t>
            </w:r>
          </w:p>
        </w:tc>
        <w:tc>
          <w:tcPr>
            <w:tcW w:w="1186" w:type="dxa"/>
            <w:shd w:val="clear" w:color="auto" w:fill="auto"/>
            <w:noWrap/>
            <w:vAlign w:val="center"/>
            <w:hideMark/>
          </w:tcPr>
          <w:p w14:paraId="07D77F9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43,238 </w:t>
            </w:r>
          </w:p>
        </w:tc>
      </w:tr>
      <w:tr w:rsidR="003E5BF5" w:rsidRPr="00655316" w14:paraId="5438F9B0" w14:textId="77777777" w:rsidTr="002B0577">
        <w:trPr>
          <w:trHeight w:val="340"/>
          <w:jc w:val="center"/>
        </w:trPr>
        <w:tc>
          <w:tcPr>
            <w:tcW w:w="4119" w:type="dxa"/>
            <w:shd w:val="clear" w:color="auto" w:fill="auto"/>
            <w:noWrap/>
            <w:vAlign w:val="center"/>
            <w:hideMark/>
          </w:tcPr>
          <w:p w14:paraId="2562B89A" w14:textId="77777777" w:rsidR="003E5BF5" w:rsidRPr="00655316" w:rsidRDefault="003E5BF5" w:rsidP="00DE1921">
            <w:pPr>
              <w:rPr>
                <w:rFonts w:ascii="Arial" w:hAnsi="Arial" w:cs="Arial"/>
                <w:sz w:val="24"/>
                <w:szCs w:val="24"/>
              </w:rPr>
            </w:pPr>
            <w:proofErr w:type="spellStart"/>
            <w:r w:rsidRPr="00655316">
              <w:rPr>
                <w:rFonts w:ascii="Arial" w:hAnsi="Arial" w:cs="Arial"/>
                <w:sz w:val="24"/>
                <w:szCs w:val="24"/>
              </w:rPr>
              <w:t>MoG</w:t>
            </w:r>
            <w:proofErr w:type="spellEnd"/>
            <w:r w:rsidRPr="00655316">
              <w:rPr>
                <w:rFonts w:ascii="Arial" w:hAnsi="Arial" w:cs="Arial"/>
                <w:sz w:val="24"/>
                <w:szCs w:val="24"/>
              </w:rPr>
              <w:t xml:space="preserve"> transfers in</w:t>
            </w:r>
          </w:p>
        </w:tc>
        <w:tc>
          <w:tcPr>
            <w:tcW w:w="1187" w:type="dxa"/>
            <w:shd w:val="clear" w:color="auto" w:fill="auto"/>
            <w:noWrap/>
            <w:vAlign w:val="center"/>
            <w:hideMark/>
          </w:tcPr>
          <w:p w14:paraId="5750C4B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8,898,509 </w:t>
            </w:r>
          </w:p>
        </w:tc>
        <w:tc>
          <w:tcPr>
            <w:tcW w:w="1186" w:type="dxa"/>
            <w:shd w:val="clear" w:color="auto" w:fill="auto"/>
            <w:noWrap/>
            <w:vAlign w:val="center"/>
            <w:hideMark/>
          </w:tcPr>
          <w:p w14:paraId="5098438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7C627238" w14:textId="77777777" w:rsidR="003E5BF5" w:rsidRPr="00655316" w:rsidRDefault="003E5BF5" w:rsidP="00DE1921">
            <w:pPr>
              <w:jc w:val="right"/>
              <w:rPr>
                <w:rFonts w:ascii="Arial" w:hAnsi="Arial" w:cs="Arial"/>
                <w:sz w:val="24"/>
                <w:szCs w:val="24"/>
              </w:rPr>
            </w:pPr>
            <w:r w:rsidRPr="00655316" w:rsidDel="00996DCA">
              <w:rPr>
                <w:rFonts w:ascii="Arial" w:hAnsi="Arial" w:cs="Arial"/>
                <w:sz w:val="24"/>
                <w:szCs w:val="24"/>
              </w:rPr>
              <w:t>1,</w:t>
            </w:r>
            <w:r w:rsidRPr="00655316">
              <w:rPr>
                <w:rFonts w:ascii="Arial" w:hAnsi="Arial" w:cs="Arial"/>
                <w:sz w:val="24"/>
                <w:szCs w:val="24"/>
              </w:rPr>
              <w:t xml:space="preserve">016,922 </w:t>
            </w:r>
          </w:p>
        </w:tc>
        <w:tc>
          <w:tcPr>
            <w:tcW w:w="1186" w:type="dxa"/>
            <w:shd w:val="clear" w:color="auto" w:fill="auto"/>
            <w:noWrap/>
            <w:vAlign w:val="center"/>
            <w:hideMark/>
          </w:tcPr>
          <w:p w14:paraId="67C4BDA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01ADDFC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62,618 </w:t>
            </w:r>
          </w:p>
        </w:tc>
        <w:tc>
          <w:tcPr>
            <w:tcW w:w="1186" w:type="dxa"/>
            <w:shd w:val="clear" w:color="auto" w:fill="auto"/>
            <w:noWrap/>
            <w:vAlign w:val="center"/>
            <w:hideMark/>
          </w:tcPr>
          <w:p w14:paraId="066EC32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6240FA7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107,178 </w:t>
            </w:r>
          </w:p>
        </w:tc>
        <w:tc>
          <w:tcPr>
            <w:tcW w:w="1186" w:type="dxa"/>
            <w:shd w:val="clear" w:color="auto" w:fill="auto"/>
            <w:noWrap/>
            <w:vAlign w:val="center"/>
            <w:hideMark/>
          </w:tcPr>
          <w:p w14:paraId="71D6B05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0B502AAB" w14:textId="77777777" w:rsidTr="002B0577">
        <w:trPr>
          <w:trHeight w:val="340"/>
          <w:jc w:val="center"/>
        </w:trPr>
        <w:tc>
          <w:tcPr>
            <w:tcW w:w="4119" w:type="dxa"/>
            <w:shd w:val="clear" w:color="auto" w:fill="auto"/>
            <w:noWrap/>
            <w:vAlign w:val="center"/>
            <w:hideMark/>
          </w:tcPr>
          <w:p w14:paraId="28CFB260" w14:textId="77777777" w:rsidR="003E5BF5" w:rsidRPr="00655316" w:rsidRDefault="003E5BF5" w:rsidP="00DE1921">
            <w:pPr>
              <w:rPr>
                <w:rFonts w:ascii="Arial" w:hAnsi="Arial" w:cs="Arial"/>
                <w:sz w:val="24"/>
                <w:szCs w:val="24"/>
              </w:rPr>
            </w:pPr>
            <w:r w:rsidRPr="00655316">
              <w:rPr>
                <w:rFonts w:ascii="Arial" w:hAnsi="Arial" w:cs="Arial"/>
                <w:sz w:val="24"/>
                <w:szCs w:val="24"/>
              </w:rPr>
              <w:t>Assets received free of charge</w:t>
            </w:r>
          </w:p>
        </w:tc>
        <w:tc>
          <w:tcPr>
            <w:tcW w:w="1187" w:type="dxa"/>
            <w:shd w:val="clear" w:color="auto" w:fill="auto"/>
            <w:noWrap/>
            <w:vAlign w:val="center"/>
            <w:hideMark/>
          </w:tcPr>
          <w:p w14:paraId="42FAD3C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1,715 </w:t>
            </w:r>
          </w:p>
        </w:tc>
        <w:tc>
          <w:tcPr>
            <w:tcW w:w="1186" w:type="dxa"/>
            <w:shd w:val="clear" w:color="auto" w:fill="auto"/>
            <w:noWrap/>
            <w:vAlign w:val="center"/>
            <w:hideMark/>
          </w:tcPr>
          <w:p w14:paraId="2B9A8CE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631B273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1,017 </w:t>
            </w:r>
          </w:p>
        </w:tc>
        <w:tc>
          <w:tcPr>
            <w:tcW w:w="1186" w:type="dxa"/>
            <w:shd w:val="clear" w:color="auto" w:fill="auto"/>
            <w:noWrap/>
            <w:vAlign w:val="center"/>
            <w:hideMark/>
          </w:tcPr>
          <w:p w14:paraId="23BC71E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0F6972B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5B63D11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1F59590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41B9ADD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4B97AB0B" w14:textId="77777777" w:rsidTr="002B0577">
        <w:trPr>
          <w:trHeight w:val="340"/>
          <w:jc w:val="center"/>
        </w:trPr>
        <w:tc>
          <w:tcPr>
            <w:tcW w:w="4119" w:type="dxa"/>
            <w:shd w:val="clear" w:color="auto" w:fill="auto"/>
            <w:noWrap/>
            <w:vAlign w:val="center"/>
            <w:hideMark/>
          </w:tcPr>
          <w:p w14:paraId="1D818FC1" w14:textId="77777777" w:rsidR="003E5BF5" w:rsidRPr="00655316" w:rsidRDefault="003E5BF5" w:rsidP="00DE1921">
            <w:pPr>
              <w:rPr>
                <w:rFonts w:ascii="Arial" w:hAnsi="Arial" w:cs="Arial"/>
                <w:sz w:val="24"/>
                <w:szCs w:val="24"/>
              </w:rPr>
            </w:pPr>
            <w:r w:rsidRPr="00655316">
              <w:rPr>
                <w:rFonts w:ascii="Arial" w:hAnsi="Arial" w:cs="Arial"/>
                <w:sz w:val="24"/>
                <w:szCs w:val="24"/>
              </w:rPr>
              <w:t>Assets provided free of charge</w:t>
            </w:r>
          </w:p>
        </w:tc>
        <w:tc>
          <w:tcPr>
            <w:tcW w:w="1187" w:type="dxa"/>
            <w:shd w:val="clear" w:color="auto" w:fill="auto"/>
            <w:noWrap/>
            <w:vAlign w:val="center"/>
            <w:hideMark/>
          </w:tcPr>
          <w:p w14:paraId="0E74AA5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(36)</w:t>
            </w:r>
          </w:p>
        </w:tc>
        <w:tc>
          <w:tcPr>
            <w:tcW w:w="1186" w:type="dxa"/>
            <w:shd w:val="clear" w:color="auto" w:fill="auto"/>
            <w:noWrap/>
            <w:vAlign w:val="center"/>
            <w:hideMark/>
          </w:tcPr>
          <w:p w14:paraId="2CB7B38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1E6F3FC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(224)</w:t>
            </w:r>
          </w:p>
        </w:tc>
        <w:tc>
          <w:tcPr>
            <w:tcW w:w="1186" w:type="dxa"/>
            <w:shd w:val="clear" w:color="auto" w:fill="auto"/>
            <w:noWrap/>
            <w:vAlign w:val="center"/>
            <w:hideMark/>
          </w:tcPr>
          <w:p w14:paraId="2CEE60D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50056CF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7B31682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(3,259)</w:t>
            </w:r>
          </w:p>
        </w:tc>
        <w:tc>
          <w:tcPr>
            <w:tcW w:w="1186" w:type="dxa"/>
            <w:shd w:val="clear" w:color="auto" w:fill="auto"/>
            <w:noWrap/>
            <w:vAlign w:val="center"/>
            <w:hideMark/>
          </w:tcPr>
          <w:p w14:paraId="3174F9F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(148)</w:t>
            </w:r>
          </w:p>
        </w:tc>
        <w:tc>
          <w:tcPr>
            <w:tcW w:w="1186" w:type="dxa"/>
            <w:shd w:val="clear" w:color="auto" w:fill="auto"/>
            <w:noWrap/>
            <w:vAlign w:val="center"/>
            <w:hideMark/>
          </w:tcPr>
          <w:p w14:paraId="6FA5ED9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3787A487" w14:textId="77777777" w:rsidTr="002B0577">
        <w:trPr>
          <w:trHeight w:val="340"/>
          <w:jc w:val="center"/>
        </w:trPr>
        <w:tc>
          <w:tcPr>
            <w:tcW w:w="4119" w:type="dxa"/>
            <w:shd w:val="clear" w:color="auto" w:fill="auto"/>
            <w:noWrap/>
            <w:vAlign w:val="center"/>
            <w:hideMark/>
          </w:tcPr>
          <w:p w14:paraId="1489970C" w14:textId="77777777" w:rsidR="003E5BF5" w:rsidRPr="00655316" w:rsidRDefault="003E5BF5" w:rsidP="00DE1921">
            <w:pPr>
              <w:rPr>
                <w:rFonts w:ascii="Arial" w:hAnsi="Arial" w:cs="Arial"/>
                <w:sz w:val="24"/>
                <w:szCs w:val="24"/>
              </w:rPr>
            </w:pPr>
            <w:r w:rsidRPr="00655316">
              <w:rPr>
                <w:rFonts w:ascii="Arial" w:hAnsi="Arial" w:cs="Arial"/>
                <w:sz w:val="24"/>
                <w:szCs w:val="24"/>
              </w:rPr>
              <w:t>Additions</w:t>
            </w:r>
          </w:p>
        </w:tc>
        <w:tc>
          <w:tcPr>
            <w:tcW w:w="1187" w:type="dxa"/>
            <w:shd w:val="clear" w:color="auto" w:fill="auto"/>
            <w:noWrap/>
            <w:vAlign w:val="center"/>
            <w:hideMark/>
          </w:tcPr>
          <w:p w14:paraId="7D7456D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73353C4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5C55F0C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10,343 </w:t>
            </w:r>
          </w:p>
        </w:tc>
        <w:tc>
          <w:tcPr>
            <w:tcW w:w="1186" w:type="dxa"/>
            <w:shd w:val="clear" w:color="auto" w:fill="auto"/>
            <w:noWrap/>
            <w:vAlign w:val="center"/>
            <w:hideMark/>
          </w:tcPr>
          <w:p w14:paraId="680276F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1,005 </w:t>
            </w:r>
          </w:p>
        </w:tc>
        <w:tc>
          <w:tcPr>
            <w:tcW w:w="1186" w:type="dxa"/>
            <w:shd w:val="clear" w:color="auto" w:fill="auto"/>
            <w:noWrap/>
            <w:vAlign w:val="center"/>
            <w:hideMark/>
          </w:tcPr>
          <w:p w14:paraId="419B449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584 </w:t>
            </w:r>
          </w:p>
        </w:tc>
        <w:tc>
          <w:tcPr>
            <w:tcW w:w="1186" w:type="dxa"/>
            <w:shd w:val="clear" w:color="auto" w:fill="auto"/>
            <w:noWrap/>
            <w:vAlign w:val="center"/>
            <w:hideMark/>
          </w:tcPr>
          <w:p w14:paraId="7CA4152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3,116 </w:t>
            </w:r>
          </w:p>
        </w:tc>
        <w:tc>
          <w:tcPr>
            <w:tcW w:w="1186" w:type="dxa"/>
            <w:shd w:val="clear" w:color="auto" w:fill="auto"/>
            <w:noWrap/>
            <w:vAlign w:val="center"/>
            <w:hideMark/>
          </w:tcPr>
          <w:p w14:paraId="3DCD268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44,866 </w:t>
            </w:r>
          </w:p>
        </w:tc>
        <w:tc>
          <w:tcPr>
            <w:tcW w:w="1186" w:type="dxa"/>
            <w:shd w:val="clear" w:color="auto" w:fill="auto"/>
            <w:noWrap/>
            <w:vAlign w:val="center"/>
            <w:hideMark/>
          </w:tcPr>
          <w:p w14:paraId="024BF87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275,309 </w:t>
            </w:r>
          </w:p>
        </w:tc>
      </w:tr>
      <w:tr w:rsidR="003E5BF5" w:rsidRPr="00655316" w14:paraId="706255C3" w14:textId="77777777" w:rsidTr="002B0577">
        <w:trPr>
          <w:trHeight w:val="340"/>
          <w:jc w:val="center"/>
        </w:trPr>
        <w:tc>
          <w:tcPr>
            <w:tcW w:w="4119" w:type="dxa"/>
            <w:shd w:val="clear" w:color="auto" w:fill="auto"/>
            <w:noWrap/>
            <w:vAlign w:val="center"/>
            <w:hideMark/>
          </w:tcPr>
          <w:p w14:paraId="69BFAAD5" w14:textId="77777777" w:rsidR="003E5BF5" w:rsidRPr="00655316" w:rsidRDefault="003E5BF5" w:rsidP="00DE1921">
            <w:pPr>
              <w:rPr>
                <w:rFonts w:ascii="Arial" w:hAnsi="Arial" w:cs="Arial"/>
                <w:sz w:val="24"/>
                <w:szCs w:val="24"/>
              </w:rPr>
            </w:pPr>
            <w:r w:rsidRPr="00655316">
              <w:rPr>
                <w:rFonts w:ascii="Arial" w:hAnsi="Arial" w:cs="Arial"/>
                <w:sz w:val="24"/>
                <w:szCs w:val="24"/>
              </w:rPr>
              <w:t>Disposals</w:t>
            </w:r>
          </w:p>
        </w:tc>
        <w:tc>
          <w:tcPr>
            <w:tcW w:w="1187" w:type="dxa"/>
            <w:shd w:val="clear" w:color="auto" w:fill="auto"/>
            <w:noWrap/>
            <w:vAlign w:val="center"/>
            <w:hideMark/>
          </w:tcPr>
          <w:p w14:paraId="79098B6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7E3639C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015339E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(59)</w:t>
            </w:r>
          </w:p>
        </w:tc>
        <w:tc>
          <w:tcPr>
            <w:tcW w:w="1186" w:type="dxa"/>
            <w:shd w:val="clear" w:color="auto" w:fill="auto"/>
            <w:noWrap/>
            <w:vAlign w:val="center"/>
            <w:hideMark/>
          </w:tcPr>
          <w:p w14:paraId="70DFEAD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59420BB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55C8FC7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(129)</w:t>
            </w:r>
          </w:p>
        </w:tc>
        <w:tc>
          <w:tcPr>
            <w:tcW w:w="1186" w:type="dxa"/>
            <w:shd w:val="clear" w:color="auto" w:fill="auto"/>
            <w:noWrap/>
            <w:vAlign w:val="center"/>
            <w:hideMark/>
          </w:tcPr>
          <w:p w14:paraId="1A89706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(2,711)</w:t>
            </w:r>
          </w:p>
        </w:tc>
        <w:tc>
          <w:tcPr>
            <w:tcW w:w="1186" w:type="dxa"/>
            <w:shd w:val="clear" w:color="auto" w:fill="auto"/>
            <w:noWrap/>
            <w:vAlign w:val="center"/>
            <w:hideMark/>
          </w:tcPr>
          <w:p w14:paraId="25A9710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(847)</w:t>
            </w:r>
          </w:p>
        </w:tc>
      </w:tr>
      <w:tr w:rsidR="003E5BF5" w:rsidRPr="00655316" w14:paraId="0D7DA52C" w14:textId="77777777" w:rsidTr="002B0577">
        <w:trPr>
          <w:trHeight w:val="340"/>
          <w:jc w:val="center"/>
        </w:trPr>
        <w:tc>
          <w:tcPr>
            <w:tcW w:w="4119" w:type="dxa"/>
            <w:shd w:val="clear" w:color="auto" w:fill="auto"/>
            <w:noWrap/>
            <w:vAlign w:val="center"/>
            <w:hideMark/>
          </w:tcPr>
          <w:p w14:paraId="0780FE79" w14:textId="77777777" w:rsidR="003E5BF5" w:rsidRPr="00655316" w:rsidRDefault="003E5BF5" w:rsidP="00DE1921">
            <w:pPr>
              <w:rPr>
                <w:rFonts w:ascii="Arial" w:hAnsi="Arial" w:cs="Arial"/>
                <w:sz w:val="24"/>
                <w:szCs w:val="24"/>
              </w:rPr>
            </w:pPr>
            <w:r w:rsidRPr="00655316">
              <w:rPr>
                <w:rFonts w:ascii="Arial" w:hAnsi="Arial" w:cs="Arial"/>
                <w:sz w:val="24"/>
                <w:szCs w:val="24"/>
              </w:rPr>
              <w:t>Depreciation expense</w:t>
            </w:r>
          </w:p>
        </w:tc>
        <w:tc>
          <w:tcPr>
            <w:tcW w:w="1187" w:type="dxa"/>
            <w:shd w:val="clear" w:color="auto" w:fill="auto"/>
            <w:noWrap/>
            <w:vAlign w:val="center"/>
            <w:hideMark/>
          </w:tcPr>
          <w:p w14:paraId="7AAF195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2A6BC69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03AF753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(107,753)</w:t>
            </w:r>
          </w:p>
        </w:tc>
        <w:tc>
          <w:tcPr>
            <w:tcW w:w="1186" w:type="dxa"/>
            <w:shd w:val="clear" w:color="auto" w:fill="auto"/>
            <w:noWrap/>
            <w:vAlign w:val="center"/>
            <w:hideMark/>
          </w:tcPr>
          <w:p w14:paraId="7D3176D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(1,074)</w:t>
            </w:r>
          </w:p>
        </w:tc>
        <w:tc>
          <w:tcPr>
            <w:tcW w:w="1186" w:type="dxa"/>
            <w:shd w:val="clear" w:color="auto" w:fill="auto"/>
            <w:noWrap/>
            <w:vAlign w:val="center"/>
            <w:hideMark/>
          </w:tcPr>
          <w:p w14:paraId="6DA8A2C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(2,273)</w:t>
            </w:r>
          </w:p>
        </w:tc>
        <w:tc>
          <w:tcPr>
            <w:tcW w:w="1186" w:type="dxa"/>
            <w:shd w:val="clear" w:color="auto" w:fill="auto"/>
            <w:noWrap/>
            <w:vAlign w:val="center"/>
            <w:hideMark/>
          </w:tcPr>
          <w:p w14:paraId="79792DD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(11,162)</w:t>
            </w:r>
          </w:p>
        </w:tc>
        <w:tc>
          <w:tcPr>
            <w:tcW w:w="1186" w:type="dxa"/>
            <w:shd w:val="clear" w:color="auto" w:fill="auto"/>
            <w:noWrap/>
            <w:vAlign w:val="center"/>
            <w:hideMark/>
          </w:tcPr>
          <w:p w14:paraId="38E1707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(21,072)</w:t>
            </w:r>
          </w:p>
        </w:tc>
        <w:tc>
          <w:tcPr>
            <w:tcW w:w="1186" w:type="dxa"/>
            <w:shd w:val="clear" w:color="auto" w:fill="auto"/>
            <w:noWrap/>
            <w:vAlign w:val="center"/>
            <w:hideMark/>
          </w:tcPr>
          <w:p w14:paraId="3BA3945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(5,712)</w:t>
            </w:r>
          </w:p>
        </w:tc>
      </w:tr>
      <w:tr w:rsidR="003E5BF5" w:rsidRPr="00655316" w14:paraId="221A2451" w14:textId="77777777" w:rsidTr="002B0577">
        <w:trPr>
          <w:trHeight w:val="340"/>
          <w:jc w:val="center"/>
        </w:trPr>
        <w:tc>
          <w:tcPr>
            <w:tcW w:w="4119" w:type="dxa"/>
            <w:shd w:val="clear" w:color="auto" w:fill="auto"/>
            <w:noWrap/>
            <w:vAlign w:val="center"/>
            <w:hideMark/>
          </w:tcPr>
          <w:p w14:paraId="28362FE0" w14:textId="77777777" w:rsidR="003E5BF5" w:rsidRPr="00655316" w:rsidRDefault="003E5BF5" w:rsidP="00DE1921">
            <w:pPr>
              <w:rPr>
                <w:rFonts w:ascii="Arial" w:hAnsi="Arial" w:cs="Arial"/>
                <w:sz w:val="24"/>
                <w:szCs w:val="24"/>
              </w:rPr>
            </w:pPr>
            <w:r w:rsidRPr="00655316">
              <w:rPr>
                <w:rFonts w:ascii="Arial" w:hAnsi="Arial" w:cs="Arial"/>
                <w:sz w:val="24"/>
                <w:szCs w:val="24"/>
              </w:rPr>
              <w:t>Assets provided as contributed capital</w:t>
            </w:r>
          </w:p>
        </w:tc>
        <w:tc>
          <w:tcPr>
            <w:tcW w:w="1187" w:type="dxa"/>
            <w:shd w:val="clear" w:color="auto" w:fill="auto"/>
            <w:noWrap/>
            <w:vAlign w:val="center"/>
            <w:hideMark/>
          </w:tcPr>
          <w:p w14:paraId="41D7624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7EE1A5E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31A5F7D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(223)</w:t>
            </w:r>
          </w:p>
        </w:tc>
        <w:tc>
          <w:tcPr>
            <w:tcW w:w="1186" w:type="dxa"/>
            <w:shd w:val="clear" w:color="auto" w:fill="auto"/>
            <w:noWrap/>
            <w:vAlign w:val="center"/>
            <w:hideMark/>
          </w:tcPr>
          <w:p w14:paraId="4721CF0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7710ADF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55EEB5D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(21,708)</w:t>
            </w:r>
          </w:p>
        </w:tc>
        <w:tc>
          <w:tcPr>
            <w:tcW w:w="1186" w:type="dxa"/>
            <w:shd w:val="clear" w:color="auto" w:fill="auto"/>
            <w:noWrap/>
            <w:vAlign w:val="center"/>
            <w:hideMark/>
          </w:tcPr>
          <w:p w14:paraId="41C2121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4D3C6C7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(267,021)</w:t>
            </w:r>
          </w:p>
        </w:tc>
      </w:tr>
      <w:tr w:rsidR="003E5BF5" w:rsidRPr="00655316" w14:paraId="61546BE9" w14:textId="77777777" w:rsidTr="002B0577">
        <w:trPr>
          <w:trHeight w:val="340"/>
          <w:jc w:val="center"/>
        </w:trPr>
        <w:tc>
          <w:tcPr>
            <w:tcW w:w="4119" w:type="dxa"/>
            <w:shd w:val="clear" w:color="auto" w:fill="auto"/>
            <w:noWrap/>
            <w:vAlign w:val="center"/>
            <w:hideMark/>
          </w:tcPr>
          <w:p w14:paraId="5FF00068" w14:textId="77777777" w:rsidR="003E5BF5" w:rsidRPr="00655316" w:rsidRDefault="003E5BF5" w:rsidP="00DE1921">
            <w:pPr>
              <w:rPr>
                <w:rFonts w:ascii="Arial" w:hAnsi="Arial" w:cs="Arial"/>
                <w:sz w:val="24"/>
                <w:szCs w:val="24"/>
              </w:rPr>
            </w:pPr>
            <w:r w:rsidRPr="00655316">
              <w:rPr>
                <w:rFonts w:ascii="Arial" w:hAnsi="Arial" w:cs="Arial"/>
                <w:sz w:val="24"/>
                <w:szCs w:val="24"/>
              </w:rPr>
              <w:t>Transfers to assets classified as held for sale</w:t>
            </w:r>
          </w:p>
        </w:tc>
        <w:tc>
          <w:tcPr>
            <w:tcW w:w="1187" w:type="dxa"/>
            <w:shd w:val="clear" w:color="auto" w:fill="auto"/>
            <w:noWrap/>
            <w:vAlign w:val="center"/>
            <w:hideMark/>
          </w:tcPr>
          <w:p w14:paraId="154C6C7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2FEA3DD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4854344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6167793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59A1130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(114)</w:t>
            </w:r>
          </w:p>
        </w:tc>
        <w:tc>
          <w:tcPr>
            <w:tcW w:w="1186" w:type="dxa"/>
            <w:shd w:val="clear" w:color="auto" w:fill="auto"/>
            <w:noWrap/>
            <w:vAlign w:val="center"/>
            <w:hideMark/>
          </w:tcPr>
          <w:p w14:paraId="1363152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(27)</w:t>
            </w:r>
          </w:p>
        </w:tc>
        <w:tc>
          <w:tcPr>
            <w:tcW w:w="1186" w:type="dxa"/>
            <w:shd w:val="clear" w:color="auto" w:fill="auto"/>
            <w:noWrap/>
            <w:vAlign w:val="center"/>
            <w:hideMark/>
          </w:tcPr>
          <w:p w14:paraId="5B2E984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259507A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(17)</w:t>
            </w:r>
          </w:p>
        </w:tc>
      </w:tr>
      <w:tr w:rsidR="003E5BF5" w:rsidRPr="00655316" w14:paraId="0586391A" w14:textId="77777777" w:rsidTr="002B0577">
        <w:trPr>
          <w:trHeight w:val="340"/>
          <w:jc w:val="center"/>
        </w:trPr>
        <w:tc>
          <w:tcPr>
            <w:tcW w:w="4119" w:type="dxa"/>
            <w:shd w:val="clear" w:color="auto" w:fill="auto"/>
            <w:noWrap/>
            <w:vAlign w:val="center"/>
            <w:hideMark/>
          </w:tcPr>
          <w:p w14:paraId="7EBCB157" w14:textId="77777777" w:rsidR="003E5BF5" w:rsidRPr="00655316" w:rsidRDefault="003E5BF5" w:rsidP="00DE1921">
            <w:pPr>
              <w:rPr>
                <w:rFonts w:ascii="Arial" w:hAnsi="Arial" w:cs="Arial"/>
                <w:sz w:val="24"/>
                <w:szCs w:val="24"/>
              </w:rPr>
            </w:pPr>
            <w:r w:rsidRPr="00655316">
              <w:rPr>
                <w:rFonts w:ascii="Arial" w:hAnsi="Arial" w:cs="Arial"/>
                <w:sz w:val="24"/>
                <w:szCs w:val="24"/>
              </w:rPr>
              <w:t>Net transfers (to)/from government entities</w:t>
            </w:r>
          </w:p>
        </w:tc>
        <w:tc>
          <w:tcPr>
            <w:tcW w:w="1187" w:type="dxa"/>
            <w:shd w:val="clear" w:color="auto" w:fill="auto"/>
            <w:noWrap/>
            <w:vAlign w:val="center"/>
            <w:hideMark/>
          </w:tcPr>
          <w:p w14:paraId="27EC65C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3309FB1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20F2226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041EB81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298908B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091F734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(426,637)</w:t>
            </w:r>
          </w:p>
        </w:tc>
        <w:tc>
          <w:tcPr>
            <w:tcW w:w="1186" w:type="dxa"/>
            <w:shd w:val="clear" w:color="auto" w:fill="auto"/>
            <w:noWrap/>
            <w:vAlign w:val="center"/>
            <w:hideMark/>
          </w:tcPr>
          <w:p w14:paraId="1697144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3CF1062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(41,149)</w:t>
            </w:r>
          </w:p>
        </w:tc>
      </w:tr>
      <w:tr w:rsidR="003E5BF5" w:rsidRPr="00655316" w14:paraId="3B7B4D54" w14:textId="77777777" w:rsidTr="002B0577">
        <w:trPr>
          <w:trHeight w:val="340"/>
          <w:jc w:val="center"/>
        </w:trPr>
        <w:tc>
          <w:tcPr>
            <w:tcW w:w="4119" w:type="dxa"/>
            <w:shd w:val="clear" w:color="auto" w:fill="auto"/>
            <w:noWrap/>
            <w:vAlign w:val="center"/>
            <w:hideMark/>
          </w:tcPr>
          <w:p w14:paraId="094944A2" w14:textId="77777777" w:rsidR="003E5BF5" w:rsidRPr="00655316" w:rsidRDefault="003E5BF5" w:rsidP="00DE1921">
            <w:pPr>
              <w:rPr>
                <w:rFonts w:ascii="Arial" w:hAnsi="Arial" w:cs="Arial"/>
                <w:sz w:val="24"/>
                <w:szCs w:val="24"/>
              </w:rPr>
            </w:pPr>
            <w:r w:rsidRPr="00655316">
              <w:rPr>
                <w:rFonts w:ascii="Arial" w:hAnsi="Arial" w:cs="Arial"/>
                <w:sz w:val="24"/>
                <w:szCs w:val="24"/>
              </w:rPr>
              <w:t>Net revaluation increments/decrements</w:t>
            </w:r>
          </w:p>
        </w:tc>
        <w:tc>
          <w:tcPr>
            <w:tcW w:w="1187" w:type="dxa"/>
            <w:shd w:val="clear" w:color="auto" w:fill="auto"/>
            <w:noWrap/>
            <w:vAlign w:val="center"/>
            <w:hideMark/>
          </w:tcPr>
          <w:p w14:paraId="5ADAB87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(7,889)</w:t>
            </w:r>
          </w:p>
        </w:tc>
        <w:tc>
          <w:tcPr>
            <w:tcW w:w="1186" w:type="dxa"/>
            <w:shd w:val="clear" w:color="auto" w:fill="auto"/>
            <w:noWrap/>
            <w:vAlign w:val="center"/>
            <w:hideMark/>
          </w:tcPr>
          <w:p w14:paraId="13E2ACB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7A09481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1,058</w:t>
            </w:r>
          </w:p>
        </w:tc>
        <w:tc>
          <w:tcPr>
            <w:tcW w:w="1186" w:type="dxa"/>
            <w:shd w:val="clear" w:color="auto" w:fill="auto"/>
            <w:noWrap/>
            <w:vAlign w:val="center"/>
            <w:hideMark/>
          </w:tcPr>
          <w:p w14:paraId="511E8E9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1C52002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9,750 </w:t>
            </w:r>
          </w:p>
        </w:tc>
        <w:tc>
          <w:tcPr>
            <w:tcW w:w="1186" w:type="dxa"/>
            <w:shd w:val="clear" w:color="auto" w:fill="auto"/>
            <w:noWrap/>
            <w:vAlign w:val="center"/>
            <w:hideMark/>
          </w:tcPr>
          <w:p w14:paraId="10DD310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10AE0D3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(10,005)</w:t>
            </w:r>
          </w:p>
        </w:tc>
        <w:tc>
          <w:tcPr>
            <w:tcW w:w="1186" w:type="dxa"/>
            <w:shd w:val="clear" w:color="auto" w:fill="auto"/>
            <w:noWrap/>
            <w:vAlign w:val="center"/>
            <w:hideMark/>
          </w:tcPr>
          <w:p w14:paraId="003CE71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760F5453" w14:textId="77777777" w:rsidTr="002B0577">
        <w:trPr>
          <w:trHeight w:val="340"/>
          <w:jc w:val="center"/>
        </w:trPr>
        <w:tc>
          <w:tcPr>
            <w:tcW w:w="4119" w:type="dxa"/>
            <w:shd w:val="clear" w:color="auto" w:fill="auto"/>
            <w:noWrap/>
            <w:vAlign w:val="center"/>
            <w:hideMark/>
          </w:tcPr>
          <w:p w14:paraId="04526AC9" w14:textId="77777777" w:rsidR="003E5BF5" w:rsidRPr="00655316" w:rsidRDefault="003E5BF5" w:rsidP="00DE1921">
            <w:pPr>
              <w:rPr>
                <w:rFonts w:ascii="Arial" w:hAnsi="Arial" w:cs="Arial"/>
                <w:sz w:val="24"/>
                <w:szCs w:val="24"/>
              </w:rPr>
            </w:pPr>
            <w:r w:rsidRPr="00655316">
              <w:rPr>
                <w:rFonts w:ascii="Arial" w:hAnsi="Arial" w:cs="Arial"/>
                <w:sz w:val="24"/>
                <w:szCs w:val="24"/>
              </w:rPr>
              <w:t>Transfer between classes</w:t>
            </w:r>
          </w:p>
        </w:tc>
        <w:tc>
          <w:tcPr>
            <w:tcW w:w="1187" w:type="dxa"/>
            <w:shd w:val="clear" w:color="auto" w:fill="auto"/>
            <w:noWrap/>
            <w:vAlign w:val="center"/>
            <w:hideMark/>
          </w:tcPr>
          <w:p w14:paraId="68D745A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296,141 </w:t>
            </w:r>
          </w:p>
        </w:tc>
        <w:tc>
          <w:tcPr>
            <w:tcW w:w="1186" w:type="dxa"/>
            <w:shd w:val="clear" w:color="auto" w:fill="auto"/>
            <w:noWrap/>
            <w:vAlign w:val="center"/>
            <w:hideMark/>
          </w:tcPr>
          <w:p w14:paraId="2598376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5B92C13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(1,246,249)</w:t>
            </w:r>
          </w:p>
        </w:tc>
        <w:tc>
          <w:tcPr>
            <w:tcW w:w="1186" w:type="dxa"/>
            <w:shd w:val="clear" w:color="auto" w:fill="auto"/>
            <w:noWrap/>
            <w:vAlign w:val="center"/>
            <w:hideMark/>
          </w:tcPr>
          <w:p w14:paraId="280C11E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1,291,716 </w:t>
            </w:r>
          </w:p>
        </w:tc>
        <w:tc>
          <w:tcPr>
            <w:tcW w:w="1186" w:type="dxa"/>
            <w:shd w:val="clear" w:color="auto" w:fill="auto"/>
            <w:noWrap/>
            <w:vAlign w:val="center"/>
            <w:hideMark/>
          </w:tcPr>
          <w:p w14:paraId="7218D05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3CFCB31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(14)</w:t>
            </w:r>
          </w:p>
        </w:tc>
        <w:tc>
          <w:tcPr>
            <w:tcW w:w="1186" w:type="dxa"/>
            <w:shd w:val="clear" w:color="auto" w:fill="auto"/>
            <w:noWrap/>
            <w:vAlign w:val="center"/>
            <w:hideMark/>
          </w:tcPr>
          <w:p w14:paraId="456FDA1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6F0D8E0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(248)</w:t>
            </w:r>
          </w:p>
        </w:tc>
      </w:tr>
      <w:tr w:rsidR="003E5BF5" w:rsidRPr="00655316" w14:paraId="7D1E0B01" w14:textId="77777777" w:rsidTr="002B0577">
        <w:trPr>
          <w:trHeight w:val="340"/>
          <w:jc w:val="center"/>
        </w:trPr>
        <w:tc>
          <w:tcPr>
            <w:tcW w:w="4119" w:type="dxa"/>
            <w:shd w:val="clear" w:color="auto" w:fill="auto"/>
            <w:noWrap/>
            <w:vAlign w:val="center"/>
            <w:hideMark/>
          </w:tcPr>
          <w:p w14:paraId="4522D8A2" w14:textId="77777777" w:rsidR="003E5BF5" w:rsidRPr="00655316" w:rsidRDefault="003E5BF5" w:rsidP="00DE1921">
            <w:pPr>
              <w:rPr>
                <w:rFonts w:ascii="Arial" w:hAnsi="Arial" w:cs="Arial"/>
                <w:sz w:val="24"/>
                <w:szCs w:val="24"/>
              </w:rPr>
            </w:pPr>
            <w:r w:rsidRPr="00655316">
              <w:rPr>
                <w:rFonts w:ascii="Arial" w:hAnsi="Arial" w:cs="Arial"/>
                <w:sz w:val="24"/>
                <w:szCs w:val="24"/>
              </w:rPr>
              <w:t>Recognition/(derecognition)</w:t>
            </w:r>
          </w:p>
        </w:tc>
        <w:tc>
          <w:tcPr>
            <w:tcW w:w="1187" w:type="dxa"/>
            <w:shd w:val="clear" w:color="auto" w:fill="auto"/>
            <w:noWrap/>
            <w:vAlign w:val="center"/>
            <w:hideMark/>
          </w:tcPr>
          <w:p w14:paraId="64DD88A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21D06BA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53BE983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51E373A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(1,005)</w:t>
            </w:r>
          </w:p>
        </w:tc>
        <w:tc>
          <w:tcPr>
            <w:tcW w:w="1186" w:type="dxa"/>
            <w:shd w:val="clear" w:color="auto" w:fill="auto"/>
            <w:noWrap/>
            <w:vAlign w:val="center"/>
            <w:hideMark/>
          </w:tcPr>
          <w:p w14:paraId="1DD9253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2E765EE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0E23207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1186" w:type="dxa"/>
            <w:shd w:val="clear" w:color="auto" w:fill="auto"/>
            <w:noWrap/>
            <w:vAlign w:val="center"/>
            <w:hideMark/>
          </w:tcPr>
          <w:p w14:paraId="74A1C56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6C147931" w14:textId="77777777" w:rsidTr="002B0577">
        <w:trPr>
          <w:trHeight w:val="340"/>
          <w:jc w:val="center"/>
        </w:trPr>
        <w:tc>
          <w:tcPr>
            <w:tcW w:w="4119" w:type="dxa"/>
            <w:shd w:val="clear" w:color="auto" w:fill="auto"/>
            <w:noWrap/>
            <w:vAlign w:val="center"/>
            <w:hideMark/>
          </w:tcPr>
          <w:p w14:paraId="04990D71" w14:textId="77777777" w:rsidR="003E5BF5" w:rsidRPr="00655316" w:rsidRDefault="003E5BF5" w:rsidP="00DE1921">
            <w:pPr>
              <w:rPr>
                <w:rFonts w:ascii="Arial" w:hAnsi="Arial" w:cs="Arial"/>
                <w:b/>
                <w:sz w:val="24"/>
                <w:szCs w:val="24"/>
              </w:rPr>
            </w:pPr>
            <w:r w:rsidRPr="00655316">
              <w:rPr>
                <w:rFonts w:ascii="Arial" w:hAnsi="Arial" w:cs="Arial"/>
                <w:b/>
                <w:sz w:val="24"/>
                <w:szCs w:val="24"/>
              </w:rPr>
              <w:t>Closing balance</w:t>
            </w:r>
          </w:p>
        </w:tc>
        <w:tc>
          <w:tcPr>
            <w:tcW w:w="1187" w:type="dxa"/>
            <w:shd w:val="clear" w:color="auto" w:fill="auto"/>
            <w:noWrap/>
            <w:vAlign w:val="center"/>
            <w:hideMark/>
          </w:tcPr>
          <w:p w14:paraId="7EA56710"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9,188,440 </w:t>
            </w:r>
          </w:p>
        </w:tc>
        <w:tc>
          <w:tcPr>
            <w:tcW w:w="1186" w:type="dxa"/>
            <w:shd w:val="clear" w:color="auto" w:fill="auto"/>
            <w:noWrap/>
            <w:vAlign w:val="center"/>
            <w:hideMark/>
          </w:tcPr>
          <w:p w14:paraId="2A6FC7C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1186" w:type="dxa"/>
            <w:shd w:val="clear" w:color="auto" w:fill="auto"/>
            <w:noWrap/>
            <w:vAlign w:val="center"/>
            <w:hideMark/>
          </w:tcPr>
          <w:p w14:paraId="1D50C809"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1,016,622 </w:t>
            </w:r>
          </w:p>
        </w:tc>
        <w:tc>
          <w:tcPr>
            <w:tcW w:w="1186" w:type="dxa"/>
            <w:shd w:val="clear" w:color="auto" w:fill="auto"/>
            <w:noWrap/>
            <w:vAlign w:val="center"/>
            <w:hideMark/>
          </w:tcPr>
          <w:p w14:paraId="3F16BC77"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1,341,790 </w:t>
            </w:r>
          </w:p>
        </w:tc>
        <w:tc>
          <w:tcPr>
            <w:tcW w:w="1186" w:type="dxa"/>
            <w:shd w:val="clear" w:color="auto" w:fill="auto"/>
            <w:noWrap/>
            <w:vAlign w:val="center"/>
            <w:hideMark/>
          </w:tcPr>
          <w:p w14:paraId="6648E7B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75,391 </w:t>
            </w:r>
          </w:p>
        </w:tc>
        <w:tc>
          <w:tcPr>
            <w:tcW w:w="1186" w:type="dxa"/>
            <w:shd w:val="clear" w:color="auto" w:fill="auto"/>
            <w:noWrap/>
            <w:vAlign w:val="center"/>
            <w:hideMark/>
          </w:tcPr>
          <w:p w14:paraId="15EF149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4,826 </w:t>
            </w:r>
          </w:p>
        </w:tc>
        <w:tc>
          <w:tcPr>
            <w:tcW w:w="1186" w:type="dxa"/>
            <w:shd w:val="clear" w:color="auto" w:fill="auto"/>
            <w:noWrap/>
            <w:vAlign w:val="center"/>
            <w:hideMark/>
          </w:tcPr>
          <w:p w14:paraId="0FF54038"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121,661 </w:t>
            </w:r>
          </w:p>
        </w:tc>
        <w:tc>
          <w:tcPr>
            <w:tcW w:w="1186" w:type="dxa"/>
            <w:shd w:val="clear" w:color="auto" w:fill="auto"/>
            <w:noWrap/>
            <w:vAlign w:val="center"/>
            <w:hideMark/>
          </w:tcPr>
          <w:p w14:paraId="4EAD5EA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3,553 </w:t>
            </w:r>
          </w:p>
        </w:tc>
      </w:tr>
    </w:tbl>
    <w:p w14:paraId="32628528" w14:textId="77777777" w:rsidR="003E5BF5" w:rsidRDefault="003E5BF5">
      <w:pPr>
        <w:rPr>
          <w:lang w:eastAsia="en-AU"/>
        </w:rPr>
      </w:pPr>
      <w:r>
        <w:rPr>
          <w:lang w:eastAsia="en-AU"/>
        </w:rPr>
        <w:br w:type="page"/>
      </w:r>
    </w:p>
    <w:p w14:paraId="089B0DBA" w14:textId="77777777" w:rsidR="003E5BF5" w:rsidRPr="00AE71C9" w:rsidRDefault="003E5BF5" w:rsidP="00610F5F">
      <w:pPr>
        <w:pStyle w:val="Heading3"/>
        <w:numPr>
          <w:ilvl w:val="3"/>
          <w:numId w:val="19"/>
        </w:numPr>
        <w:ind w:left="1418" w:hanging="1418"/>
      </w:pPr>
      <w:r w:rsidRPr="00AE71C9">
        <w:lastRenderedPageBreak/>
        <w:t xml:space="preserve">Reconciliation of movements in carrying amount of other non-financial physical assets - </w:t>
      </w:r>
      <w:r w:rsidRPr="00FF7D38">
        <w:rPr>
          <w:i/>
        </w:rPr>
        <w:t>continued</w:t>
      </w:r>
    </w:p>
    <w:tbl>
      <w:tblPr>
        <w:tblStyle w:val="TableGrid"/>
        <w:tblW w:w="14175" w:type="dxa"/>
        <w:jc w:val="center"/>
        <w:tblCellMar>
          <w:left w:w="28" w:type="dxa"/>
          <w:right w:w="28" w:type="dxa"/>
        </w:tblCellMar>
        <w:tblLook w:val="04A0" w:firstRow="1" w:lastRow="0" w:firstColumn="1" w:lastColumn="0" w:noHBand="0" w:noVBand="1"/>
      </w:tblPr>
      <w:tblGrid>
        <w:gridCol w:w="4050"/>
        <w:gridCol w:w="1223"/>
        <w:gridCol w:w="1224"/>
        <w:gridCol w:w="1225"/>
        <w:gridCol w:w="1225"/>
        <w:gridCol w:w="1307"/>
        <w:gridCol w:w="1307"/>
        <w:gridCol w:w="1307"/>
        <w:gridCol w:w="1307"/>
      </w:tblGrid>
      <w:tr w:rsidR="003E5BF5" w:rsidRPr="00655316" w14:paraId="05D4A7A4" w14:textId="77777777" w:rsidTr="002B0577">
        <w:trPr>
          <w:trHeight w:val="340"/>
          <w:jc w:val="center"/>
        </w:trPr>
        <w:tc>
          <w:tcPr>
            <w:tcW w:w="3980" w:type="dxa"/>
            <w:shd w:val="clear" w:color="auto" w:fill="auto"/>
            <w:noWrap/>
            <w:hideMark/>
          </w:tcPr>
          <w:p w14:paraId="3F6A42E8" w14:textId="77777777" w:rsidR="003E5BF5" w:rsidRPr="00655316" w:rsidRDefault="003E5BF5" w:rsidP="00DE1921">
            <w:pPr>
              <w:rPr>
                <w:rFonts w:ascii="Arial" w:hAnsi="Arial" w:cs="Arial"/>
                <w:sz w:val="24"/>
                <w:szCs w:val="24"/>
              </w:rPr>
            </w:pPr>
            <w:r w:rsidRPr="00655316">
              <w:rPr>
                <w:rFonts w:ascii="Arial" w:hAnsi="Arial" w:cs="Arial"/>
                <w:sz w:val="24"/>
                <w:szCs w:val="24"/>
              </w:rPr>
              <w:t> </w:t>
            </w:r>
          </w:p>
        </w:tc>
        <w:tc>
          <w:tcPr>
            <w:tcW w:w="9628" w:type="dxa"/>
            <w:gridSpan w:val="8"/>
            <w:shd w:val="clear" w:color="auto" w:fill="auto"/>
            <w:noWrap/>
            <w:vAlign w:val="center"/>
            <w:hideMark/>
          </w:tcPr>
          <w:p w14:paraId="6A9589CF"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 thousand)</w:t>
            </w:r>
          </w:p>
        </w:tc>
      </w:tr>
      <w:tr w:rsidR="003E5BF5" w:rsidRPr="00655316" w14:paraId="47F534A3" w14:textId="77777777" w:rsidTr="002B0577">
        <w:trPr>
          <w:trHeight w:val="340"/>
          <w:jc w:val="center"/>
        </w:trPr>
        <w:tc>
          <w:tcPr>
            <w:tcW w:w="3980" w:type="dxa"/>
            <w:shd w:val="clear" w:color="auto" w:fill="auto"/>
            <w:noWrap/>
            <w:hideMark/>
          </w:tcPr>
          <w:p w14:paraId="4A2FDF19" w14:textId="77777777" w:rsidR="003E5BF5" w:rsidRPr="00655316" w:rsidRDefault="003E5BF5" w:rsidP="00DE1921">
            <w:pPr>
              <w:rPr>
                <w:rFonts w:ascii="Arial" w:hAnsi="Arial" w:cs="Arial"/>
                <w:sz w:val="24"/>
                <w:szCs w:val="24"/>
              </w:rPr>
            </w:pPr>
          </w:p>
        </w:tc>
        <w:tc>
          <w:tcPr>
            <w:tcW w:w="2405" w:type="dxa"/>
            <w:gridSpan w:val="2"/>
            <w:shd w:val="clear" w:color="auto" w:fill="auto"/>
            <w:vAlign w:val="bottom"/>
            <w:hideMark/>
          </w:tcPr>
          <w:p w14:paraId="298E957B"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Leasehold improvement at fair value</w:t>
            </w:r>
          </w:p>
        </w:tc>
        <w:tc>
          <w:tcPr>
            <w:tcW w:w="2408" w:type="dxa"/>
            <w:gridSpan w:val="2"/>
            <w:shd w:val="clear" w:color="auto" w:fill="auto"/>
            <w:vAlign w:val="bottom"/>
            <w:hideMark/>
          </w:tcPr>
          <w:p w14:paraId="5E094987"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Cultural assets at fair value</w:t>
            </w:r>
          </w:p>
        </w:tc>
        <w:tc>
          <w:tcPr>
            <w:tcW w:w="2407" w:type="dxa"/>
            <w:gridSpan w:val="2"/>
            <w:shd w:val="clear" w:color="auto" w:fill="auto"/>
            <w:vAlign w:val="bottom"/>
            <w:hideMark/>
          </w:tcPr>
          <w:p w14:paraId="2556A293"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Assets under construction at fair value</w:t>
            </w:r>
          </w:p>
        </w:tc>
        <w:tc>
          <w:tcPr>
            <w:tcW w:w="2408" w:type="dxa"/>
            <w:gridSpan w:val="2"/>
            <w:shd w:val="clear" w:color="auto" w:fill="auto"/>
            <w:vAlign w:val="bottom"/>
            <w:hideMark/>
          </w:tcPr>
          <w:p w14:paraId="07A7B5C6"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Total</w:t>
            </w:r>
          </w:p>
        </w:tc>
      </w:tr>
      <w:tr w:rsidR="003E5BF5" w:rsidRPr="00655316" w14:paraId="7BDB0D05" w14:textId="77777777" w:rsidTr="002B0577">
        <w:trPr>
          <w:trHeight w:val="340"/>
          <w:jc w:val="center"/>
        </w:trPr>
        <w:tc>
          <w:tcPr>
            <w:tcW w:w="3980" w:type="dxa"/>
            <w:shd w:val="clear" w:color="auto" w:fill="auto"/>
            <w:noWrap/>
            <w:hideMark/>
          </w:tcPr>
          <w:p w14:paraId="24F12489" w14:textId="77777777" w:rsidR="003E5BF5" w:rsidRPr="00655316" w:rsidRDefault="003E5BF5" w:rsidP="00DE1921">
            <w:pPr>
              <w:rPr>
                <w:rFonts w:ascii="Arial" w:hAnsi="Arial" w:cs="Arial"/>
                <w:b/>
                <w:sz w:val="24"/>
                <w:szCs w:val="24"/>
              </w:rPr>
            </w:pPr>
          </w:p>
        </w:tc>
        <w:tc>
          <w:tcPr>
            <w:tcW w:w="1202" w:type="dxa"/>
            <w:shd w:val="clear" w:color="auto" w:fill="auto"/>
            <w:noWrap/>
            <w:vAlign w:val="center"/>
            <w:hideMark/>
          </w:tcPr>
          <w:p w14:paraId="52137502"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03" w:type="dxa"/>
            <w:shd w:val="clear" w:color="auto" w:fill="auto"/>
            <w:noWrap/>
            <w:vAlign w:val="center"/>
            <w:hideMark/>
          </w:tcPr>
          <w:p w14:paraId="4F7CB46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204" w:type="dxa"/>
            <w:shd w:val="clear" w:color="auto" w:fill="auto"/>
            <w:noWrap/>
            <w:vAlign w:val="center"/>
            <w:hideMark/>
          </w:tcPr>
          <w:p w14:paraId="7E20C13B"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04" w:type="dxa"/>
            <w:shd w:val="clear" w:color="auto" w:fill="auto"/>
            <w:noWrap/>
            <w:vAlign w:val="center"/>
            <w:hideMark/>
          </w:tcPr>
          <w:p w14:paraId="49A1E60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203" w:type="dxa"/>
            <w:shd w:val="clear" w:color="auto" w:fill="auto"/>
            <w:noWrap/>
            <w:vAlign w:val="center"/>
            <w:hideMark/>
          </w:tcPr>
          <w:p w14:paraId="63025C1A"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04" w:type="dxa"/>
            <w:shd w:val="clear" w:color="auto" w:fill="auto"/>
            <w:noWrap/>
            <w:vAlign w:val="center"/>
            <w:hideMark/>
          </w:tcPr>
          <w:p w14:paraId="6C944F2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1204" w:type="dxa"/>
            <w:shd w:val="clear" w:color="auto" w:fill="auto"/>
            <w:noWrap/>
            <w:vAlign w:val="center"/>
            <w:hideMark/>
          </w:tcPr>
          <w:p w14:paraId="10AE433F"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1204" w:type="dxa"/>
            <w:shd w:val="clear" w:color="auto" w:fill="auto"/>
            <w:noWrap/>
            <w:vAlign w:val="center"/>
            <w:hideMark/>
          </w:tcPr>
          <w:p w14:paraId="08568FE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r>
      <w:tr w:rsidR="003E5BF5" w:rsidRPr="00655316" w14:paraId="09992D86" w14:textId="77777777" w:rsidTr="002B0577">
        <w:trPr>
          <w:trHeight w:val="340"/>
          <w:jc w:val="center"/>
        </w:trPr>
        <w:tc>
          <w:tcPr>
            <w:tcW w:w="3980" w:type="dxa"/>
            <w:shd w:val="clear" w:color="auto" w:fill="auto"/>
            <w:noWrap/>
            <w:vAlign w:val="center"/>
            <w:hideMark/>
          </w:tcPr>
          <w:p w14:paraId="1D8F67F0" w14:textId="77777777" w:rsidR="003E5BF5" w:rsidRPr="00655316" w:rsidRDefault="003E5BF5" w:rsidP="00DE1921">
            <w:pPr>
              <w:rPr>
                <w:rFonts w:ascii="Arial" w:hAnsi="Arial" w:cs="Arial"/>
                <w:b/>
                <w:sz w:val="24"/>
                <w:szCs w:val="24"/>
              </w:rPr>
            </w:pPr>
            <w:r w:rsidRPr="00655316">
              <w:rPr>
                <w:rFonts w:ascii="Arial" w:hAnsi="Arial" w:cs="Arial"/>
                <w:b/>
                <w:sz w:val="24"/>
                <w:szCs w:val="24"/>
              </w:rPr>
              <w:t>Opening balance</w:t>
            </w:r>
          </w:p>
        </w:tc>
        <w:tc>
          <w:tcPr>
            <w:tcW w:w="1202" w:type="dxa"/>
            <w:shd w:val="clear" w:color="auto" w:fill="auto"/>
            <w:noWrap/>
            <w:vAlign w:val="center"/>
            <w:hideMark/>
          </w:tcPr>
          <w:p w14:paraId="2193240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03" w:type="dxa"/>
            <w:shd w:val="clear" w:color="auto" w:fill="auto"/>
            <w:noWrap/>
            <w:vAlign w:val="center"/>
            <w:hideMark/>
          </w:tcPr>
          <w:p w14:paraId="24DAD39A"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20,422</w:t>
            </w:r>
          </w:p>
        </w:tc>
        <w:tc>
          <w:tcPr>
            <w:tcW w:w="1204" w:type="dxa"/>
            <w:shd w:val="clear" w:color="auto" w:fill="auto"/>
            <w:noWrap/>
            <w:vAlign w:val="center"/>
            <w:hideMark/>
          </w:tcPr>
          <w:p w14:paraId="79F47C5B"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256</w:t>
            </w:r>
          </w:p>
        </w:tc>
        <w:tc>
          <w:tcPr>
            <w:tcW w:w="1204" w:type="dxa"/>
            <w:shd w:val="clear" w:color="auto" w:fill="auto"/>
            <w:noWrap/>
            <w:vAlign w:val="center"/>
            <w:hideMark/>
          </w:tcPr>
          <w:p w14:paraId="33539EDA"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18,353</w:t>
            </w:r>
          </w:p>
        </w:tc>
        <w:tc>
          <w:tcPr>
            <w:tcW w:w="1203" w:type="dxa"/>
            <w:shd w:val="clear" w:color="auto" w:fill="auto"/>
            <w:noWrap/>
            <w:vAlign w:val="center"/>
            <w:hideMark/>
          </w:tcPr>
          <w:p w14:paraId="2A01EB5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1,878,592</w:t>
            </w:r>
          </w:p>
        </w:tc>
        <w:tc>
          <w:tcPr>
            <w:tcW w:w="1204" w:type="dxa"/>
            <w:shd w:val="clear" w:color="auto" w:fill="auto"/>
            <w:noWrap/>
            <w:vAlign w:val="center"/>
            <w:hideMark/>
          </w:tcPr>
          <w:p w14:paraId="26AE096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620,193</w:t>
            </w:r>
          </w:p>
        </w:tc>
        <w:tc>
          <w:tcPr>
            <w:tcW w:w="1204" w:type="dxa"/>
            <w:shd w:val="clear" w:color="auto" w:fill="auto"/>
            <w:noWrap/>
            <w:vAlign w:val="center"/>
            <w:hideMark/>
          </w:tcPr>
          <w:p w14:paraId="7DAC6380"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3,538,876</w:t>
            </w:r>
          </w:p>
        </w:tc>
        <w:tc>
          <w:tcPr>
            <w:tcW w:w="1204" w:type="dxa"/>
            <w:shd w:val="clear" w:color="auto" w:fill="auto"/>
            <w:noWrap/>
            <w:vAlign w:val="center"/>
            <w:hideMark/>
          </w:tcPr>
          <w:p w14:paraId="59721B9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2,204,841</w:t>
            </w:r>
          </w:p>
        </w:tc>
      </w:tr>
      <w:tr w:rsidR="003E5BF5" w:rsidRPr="00655316" w14:paraId="3D2DDCDC" w14:textId="77777777" w:rsidTr="002B0577">
        <w:trPr>
          <w:trHeight w:val="340"/>
          <w:jc w:val="center"/>
        </w:trPr>
        <w:tc>
          <w:tcPr>
            <w:tcW w:w="3980" w:type="dxa"/>
            <w:shd w:val="clear" w:color="auto" w:fill="auto"/>
            <w:noWrap/>
            <w:vAlign w:val="center"/>
            <w:hideMark/>
          </w:tcPr>
          <w:p w14:paraId="547433F6" w14:textId="77777777" w:rsidR="003E5BF5" w:rsidRPr="00655316" w:rsidRDefault="003E5BF5" w:rsidP="00DE1921">
            <w:pPr>
              <w:rPr>
                <w:rFonts w:ascii="Arial" w:hAnsi="Arial" w:cs="Arial"/>
                <w:sz w:val="24"/>
                <w:szCs w:val="24"/>
              </w:rPr>
            </w:pPr>
            <w:proofErr w:type="spellStart"/>
            <w:r w:rsidRPr="00655316">
              <w:rPr>
                <w:rFonts w:ascii="Arial" w:hAnsi="Arial" w:cs="Arial"/>
                <w:sz w:val="24"/>
                <w:szCs w:val="24"/>
              </w:rPr>
              <w:t>MoG</w:t>
            </w:r>
            <w:proofErr w:type="spellEnd"/>
            <w:r w:rsidRPr="00655316">
              <w:rPr>
                <w:rFonts w:ascii="Arial" w:hAnsi="Arial" w:cs="Arial"/>
                <w:sz w:val="24"/>
                <w:szCs w:val="24"/>
              </w:rPr>
              <w:t xml:space="preserve"> transfers in</w:t>
            </w:r>
          </w:p>
        </w:tc>
        <w:tc>
          <w:tcPr>
            <w:tcW w:w="1202" w:type="dxa"/>
            <w:shd w:val="clear" w:color="auto" w:fill="auto"/>
            <w:noWrap/>
            <w:vAlign w:val="center"/>
            <w:hideMark/>
          </w:tcPr>
          <w:p w14:paraId="08FA4CB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323</w:t>
            </w:r>
          </w:p>
        </w:tc>
        <w:tc>
          <w:tcPr>
            <w:tcW w:w="1203" w:type="dxa"/>
            <w:shd w:val="clear" w:color="auto" w:fill="auto"/>
            <w:noWrap/>
            <w:vAlign w:val="center"/>
            <w:hideMark/>
          </w:tcPr>
          <w:p w14:paraId="055EEFD7" w14:textId="77777777" w:rsidR="003E5BF5" w:rsidRPr="00655316" w:rsidRDefault="003E5BF5" w:rsidP="00DE1921">
            <w:pPr>
              <w:jc w:val="right"/>
              <w:rPr>
                <w:rFonts w:ascii="Arial" w:hAnsi="Arial" w:cs="Arial"/>
                <w:sz w:val="24"/>
                <w:szCs w:val="24"/>
              </w:rPr>
            </w:pPr>
          </w:p>
        </w:tc>
        <w:tc>
          <w:tcPr>
            <w:tcW w:w="1204" w:type="dxa"/>
            <w:shd w:val="clear" w:color="auto" w:fill="auto"/>
            <w:noWrap/>
            <w:vAlign w:val="center"/>
            <w:hideMark/>
          </w:tcPr>
          <w:p w14:paraId="2623C44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2,141</w:t>
            </w:r>
          </w:p>
        </w:tc>
        <w:tc>
          <w:tcPr>
            <w:tcW w:w="1204" w:type="dxa"/>
            <w:shd w:val="clear" w:color="auto" w:fill="auto"/>
            <w:noWrap/>
            <w:vAlign w:val="center"/>
            <w:hideMark/>
          </w:tcPr>
          <w:p w14:paraId="452DA1F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02ABA08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1,030,888</w:t>
            </w:r>
          </w:p>
        </w:tc>
        <w:tc>
          <w:tcPr>
            <w:tcW w:w="1204" w:type="dxa"/>
            <w:shd w:val="clear" w:color="auto" w:fill="auto"/>
            <w:noWrap/>
            <w:vAlign w:val="center"/>
            <w:hideMark/>
          </w:tcPr>
          <w:p w14:paraId="0D3B2BE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3210C96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55,974,039</w:t>
            </w:r>
          </w:p>
        </w:tc>
        <w:tc>
          <w:tcPr>
            <w:tcW w:w="1204" w:type="dxa"/>
            <w:shd w:val="clear" w:color="auto" w:fill="auto"/>
            <w:noWrap/>
            <w:vAlign w:val="center"/>
            <w:hideMark/>
          </w:tcPr>
          <w:p w14:paraId="490AC4D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r>
      <w:tr w:rsidR="003E5BF5" w:rsidRPr="00655316" w14:paraId="75D1785E" w14:textId="77777777" w:rsidTr="002B0577">
        <w:trPr>
          <w:trHeight w:val="340"/>
          <w:jc w:val="center"/>
        </w:trPr>
        <w:tc>
          <w:tcPr>
            <w:tcW w:w="3980" w:type="dxa"/>
            <w:shd w:val="clear" w:color="auto" w:fill="auto"/>
            <w:noWrap/>
            <w:vAlign w:val="center"/>
            <w:hideMark/>
          </w:tcPr>
          <w:p w14:paraId="237EAC01" w14:textId="77777777" w:rsidR="003E5BF5" w:rsidRPr="00655316" w:rsidRDefault="003E5BF5" w:rsidP="00DE1921">
            <w:pPr>
              <w:rPr>
                <w:rFonts w:ascii="Arial" w:hAnsi="Arial" w:cs="Arial"/>
                <w:sz w:val="24"/>
                <w:szCs w:val="24"/>
              </w:rPr>
            </w:pPr>
            <w:r w:rsidRPr="00655316">
              <w:rPr>
                <w:rFonts w:ascii="Arial" w:hAnsi="Arial" w:cs="Arial"/>
                <w:sz w:val="24"/>
                <w:szCs w:val="24"/>
              </w:rPr>
              <w:t>Assets received free of charge</w:t>
            </w:r>
          </w:p>
        </w:tc>
        <w:tc>
          <w:tcPr>
            <w:tcW w:w="1202" w:type="dxa"/>
            <w:shd w:val="clear" w:color="auto" w:fill="auto"/>
            <w:noWrap/>
            <w:vAlign w:val="center"/>
            <w:hideMark/>
          </w:tcPr>
          <w:p w14:paraId="4D99722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12BD79E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09FA085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581F4D7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43EAE5B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257B1BA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7EE1D49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10,956</w:t>
            </w:r>
          </w:p>
        </w:tc>
        <w:tc>
          <w:tcPr>
            <w:tcW w:w="1204" w:type="dxa"/>
            <w:shd w:val="clear" w:color="auto" w:fill="auto"/>
            <w:noWrap/>
            <w:vAlign w:val="center"/>
            <w:hideMark/>
          </w:tcPr>
          <w:p w14:paraId="38A6E5F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r>
      <w:tr w:rsidR="003E5BF5" w:rsidRPr="00655316" w14:paraId="75D47DDD" w14:textId="77777777" w:rsidTr="002B0577">
        <w:trPr>
          <w:trHeight w:val="340"/>
          <w:jc w:val="center"/>
        </w:trPr>
        <w:tc>
          <w:tcPr>
            <w:tcW w:w="3980" w:type="dxa"/>
            <w:shd w:val="clear" w:color="auto" w:fill="auto"/>
            <w:noWrap/>
            <w:vAlign w:val="center"/>
            <w:hideMark/>
          </w:tcPr>
          <w:p w14:paraId="0003921B" w14:textId="77777777" w:rsidR="003E5BF5" w:rsidRPr="00655316" w:rsidRDefault="003E5BF5" w:rsidP="00DE1921">
            <w:pPr>
              <w:rPr>
                <w:rFonts w:ascii="Arial" w:hAnsi="Arial" w:cs="Arial"/>
                <w:sz w:val="24"/>
                <w:szCs w:val="24"/>
              </w:rPr>
            </w:pPr>
            <w:r w:rsidRPr="00655316">
              <w:rPr>
                <w:rFonts w:ascii="Arial" w:hAnsi="Arial" w:cs="Arial"/>
                <w:sz w:val="24"/>
                <w:szCs w:val="24"/>
              </w:rPr>
              <w:t>Assets provided free of charge</w:t>
            </w:r>
          </w:p>
        </w:tc>
        <w:tc>
          <w:tcPr>
            <w:tcW w:w="1202" w:type="dxa"/>
            <w:shd w:val="clear" w:color="auto" w:fill="auto"/>
            <w:noWrap/>
            <w:vAlign w:val="center"/>
            <w:hideMark/>
          </w:tcPr>
          <w:p w14:paraId="2408D54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01EAB28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23CEB88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4C89AA9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5863052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69CA005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057CBD0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(10,349)</w:t>
            </w:r>
          </w:p>
        </w:tc>
        <w:tc>
          <w:tcPr>
            <w:tcW w:w="1204" w:type="dxa"/>
            <w:shd w:val="clear" w:color="auto" w:fill="auto"/>
            <w:noWrap/>
            <w:vAlign w:val="center"/>
            <w:hideMark/>
          </w:tcPr>
          <w:p w14:paraId="1D6CE68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(29,618)</w:t>
            </w:r>
          </w:p>
        </w:tc>
      </w:tr>
      <w:tr w:rsidR="003E5BF5" w:rsidRPr="00655316" w14:paraId="70019BC7" w14:textId="77777777" w:rsidTr="002B0577">
        <w:trPr>
          <w:trHeight w:val="340"/>
          <w:jc w:val="center"/>
        </w:trPr>
        <w:tc>
          <w:tcPr>
            <w:tcW w:w="3980" w:type="dxa"/>
            <w:shd w:val="clear" w:color="auto" w:fill="auto"/>
            <w:noWrap/>
            <w:vAlign w:val="center"/>
            <w:hideMark/>
          </w:tcPr>
          <w:p w14:paraId="73ED89A8" w14:textId="77777777" w:rsidR="003E5BF5" w:rsidRPr="00655316" w:rsidRDefault="003E5BF5" w:rsidP="00DE1921">
            <w:pPr>
              <w:rPr>
                <w:rFonts w:ascii="Arial" w:hAnsi="Arial" w:cs="Arial"/>
                <w:sz w:val="24"/>
                <w:szCs w:val="24"/>
              </w:rPr>
            </w:pPr>
            <w:r w:rsidRPr="00655316">
              <w:rPr>
                <w:rFonts w:ascii="Arial" w:hAnsi="Arial" w:cs="Arial"/>
                <w:sz w:val="24"/>
                <w:szCs w:val="24"/>
              </w:rPr>
              <w:t>Additions</w:t>
            </w:r>
          </w:p>
        </w:tc>
        <w:tc>
          <w:tcPr>
            <w:tcW w:w="1202" w:type="dxa"/>
            <w:shd w:val="clear" w:color="auto" w:fill="auto"/>
            <w:noWrap/>
            <w:vAlign w:val="center"/>
            <w:hideMark/>
          </w:tcPr>
          <w:p w14:paraId="7AC6F45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62</w:t>
            </w:r>
          </w:p>
        </w:tc>
        <w:tc>
          <w:tcPr>
            <w:tcW w:w="1203" w:type="dxa"/>
            <w:shd w:val="clear" w:color="auto" w:fill="auto"/>
            <w:noWrap/>
            <w:vAlign w:val="center"/>
            <w:hideMark/>
          </w:tcPr>
          <w:p w14:paraId="3D9835E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958</w:t>
            </w:r>
          </w:p>
        </w:tc>
        <w:tc>
          <w:tcPr>
            <w:tcW w:w="1204" w:type="dxa"/>
            <w:shd w:val="clear" w:color="auto" w:fill="auto"/>
            <w:noWrap/>
            <w:vAlign w:val="center"/>
            <w:hideMark/>
          </w:tcPr>
          <w:p w14:paraId="13597ED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6B64E63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18E07E1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5,317,898</w:t>
            </w:r>
          </w:p>
        </w:tc>
        <w:tc>
          <w:tcPr>
            <w:tcW w:w="1204" w:type="dxa"/>
            <w:shd w:val="clear" w:color="auto" w:fill="auto"/>
            <w:noWrap/>
            <w:vAlign w:val="center"/>
            <w:hideMark/>
          </w:tcPr>
          <w:p w14:paraId="7752BF9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3,735,122</w:t>
            </w:r>
          </w:p>
        </w:tc>
        <w:tc>
          <w:tcPr>
            <w:tcW w:w="1204" w:type="dxa"/>
            <w:shd w:val="clear" w:color="auto" w:fill="auto"/>
            <w:noWrap/>
            <w:vAlign w:val="center"/>
            <w:hideMark/>
          </w:tcPr>
          <w:p w14:paraId="3C8C6E9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5,418,421</w:t>
            </w:r>
          </w:p>
        </w:tc>
        <w:tc>
          <w:tcPr>
            <w:tcW w:w="1204" w:type="dxa"/>
            <w:shd w:val="clear" w:color="auto" w:fill="auto"/>
            <w:noWrap/>
            <w:vAlign w:val="center"/>
            <w:hideMark/>
          </w:tcPr>
          <w:p w14:paraId="727AE72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4,027,201</w:t>
            </w:r>
          </w:p>
        </w:tc>
      </w:tr>
      <w:tr w:rsidR="003E5BF5" w:rsidRPr="00655316" w14:paraId="03391777" w14:textId="77777777" w:rsidTr="002B0577">
        <w:trPr>
          <w:trHeight w:val="340"/>
          <w:jc w:val="center"/>
        </w:trPr>
        <w:tc>
          <w:tcPr>
            <w:tcW w:w="3980" w:type="dxa"/>
            <w:shd w:val="clear" w:color="auto" w:fill="auto"/>
            <w:noWrap/>
            <w:vAlign w:val="center"/>
            <w:hideMark/>
          </w:tcPr>
          <w:p w14:paraId="08C20387" w14:textId="77777777" w:rsidR="003E5BF5" w:rsidRPr="00655316" w:rsidRDefault="003E5BF5" w:rsidP="00DE1921">
            <w:pPr>
              <w:rPr>
                <w:rFonts w:ascii="Arial" w:hAnsi="Arial" w:cs="Arial"/>
                <w:sz w:val="24"/>
                <w:szCs w:val="24"/>
              </w:rPr>
            </w:pPr>
            <w:r w:rsidRPr="00655316">
              <w:rPr>
                <w:rFonts w:ascii="Arial" w:hAnsi="Arial" w:cs="Arial"/>
                <w:sz w:val="24"/>
                <w:szCs w:val="24"/>
              </w:rPr>
              <w:t>Disposals</w:t>
            </w:r>
          </w:p>
        </w:tc>
        <w:tc>
          <w:tcPr>
            <w:tcW w:w="1202" w:type="dxa"/>
            <w:shd w:val="clear" w:color="auto" w:fill="auto"/>
            <w:noWrap/>
            <w:vAlign w:val="center"/>
            <w:hideMark/>
          </w:tcPr>
          <w:p w14:paraId="160E0A9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(488)</w:t>
            </w:r>
          </w:p>
        </w:tc>
        <w:tc>
          <w:tcPr>
            <w:tcW w:w="1203" w:type="dxa"/>
            <w:shd w:val="clear" w:color="auto" w:fill="auto"/>
            <w:noWrap/>
            <w:vAlign w:val="center"/>
            <w:hideMark/>
          </w:tcPr>
          <w:p w14:paraId="33BA083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(398)</w:t>
            </w:r>
          </w:p>
        </w:tc>
        <w:tc>
          <w:tcPr>
            <w:tcW w:w="1204" w:type="dxa"/>
            <w:shd w:val="clear" w:color="auto" w:fill="auto"/>
            <w:noWrap/>
            <w:vAlign w:val="center"/>
            <w:hideMark/>
          </w:tcPr>
          <w:p w14:paraId="02D933D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61A78CF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73D8885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(16,384)</w:t>
            </w:r>
          </w:p>
        </w:tc>
        <w:tc>
          <w:tcPr>
            <w:tcW w:w="1204" w:type="dxa"/>
            <w:shd w:val="clear" w:color="auto" w:fill="auto"/>
            <w:noWrap/>
            <w:vAlign w:val="center"/>
            <w:hideMark/>
          </w:tcPr>
          <w:p w14:paraId="54F499C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46BC251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(53,437)</w:t>
            </w:r>
          </w:p>
        </w:tc>
        <w:tc>
          <w:tcPr>
            <w:tcW w:w="1204" w:type="dxa"/>
            <w:shd w:val="clear" w:color="auto" w:fill="auto"/>
            <w:noWrap/>
            <w:vAlign w:val="center"/>
            <w:hideMark/>
          </w:tcPr>
          <w:p w14:paraId="3AE8776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(1,376)</w:t>
            </w:r>
          </w:p>
        </w:tc>
      </w:tr>
      <w:tr w:rsidR="003E5BF5" w:rsidRPr="00655316" w14:paraId="2984BA62" w14:textId="77777777" w:rsidTr="002B0577">
        <w:trPr>
          <w:trHeight w:val="340"/>
          <w:jc w:val="center"/>
        </w:trPr>
        <w:tc>
          <w:tcPr>
            <w:tcW w:w="3980" w:type="dxa"/>
            <w:shd w:val="clear" w:color="auto" w:fill="auto"/>
            <w:noWrap/>
            <w:vAlign w:val="center"/>
            <w:hideMark/>
          </w:tcPr>
          <w:p w14:paraId="4045E56E" w14:textId="77777777" w:rsidR="003E5BF5" w:rsidRPr="00655316" w:rsidRDefault="003E5BF5" w:rsidP="00DE1921">
            <w:pPr>
              <w:rPr>
                <w:rFonts w:ascii="Arial" w:hAnsi="Arial" w:cs="Arial"/>
                <w:sz w:val="24"/>
                <w:szCs w:val="24"/>
              </w:rPr>
            </w:pPr>
            <w:r w:rsidRPr="00655316">
              <w:rPr>
                <w:rFonts w:ascii="Arial" w:hAnsi="Arial" w:cs="Arial"/>
                <w:sz w:val="24"/>
                <w:szCs w:val="24"/>
              </w:rPr>
              <w:t>Depreciation expense</w:t>
            </w:r>
          </w:p>
        </w:tc>
        <w:tc>
          <w:tcPr>
            <w:tcW w:w="1202" w:type="dxa"/>
            <w:shd w:val="clear" w:color="auto" w:fill="auto"/>
            <w:noWrap/>
            <w:vAlign w:val="center"/>
            <w:hideMark/>
          </w:tcPr>
          <w:p w14:paraId="547F857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(2,513)</w:t>
            </w:r>
          </w:p>
        </w:tc>
        <w:tc>
          <w:tcPr>
            <w:tcW w:w="1203" w:type="dxa"/>
            <w:shd w:val="clear" w:color="auto" w:fill="auto"/>
            <w:noWrap/>
            <w:vAlign w:val="center"/>
            <w:hideMark/>
          </w:tcPr>
          <w:p w14:paraId="3B2F917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(4,799)</w:t>
            </w:r>
          </w:p>
        </w:tc>
        <w:tc>
          <w:tcPr>
            <w:tcW w:w="1204" w:type="dxa"/>
            <w:shd w:val="clear" w:color="auto" w:fill="auto"/>
            <w:noWrap/>
            <w:vAlign w:val="center"/>
            <w:hideMark/>
          </w:tcPr>
          <w:p w14:paraId="2AECC31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(24)</w:t>
            </w:r>
          </w:p>
        </w:tc>
        <w:tc>
          <w:tcPr>
            <w:tcW w:w="1204" w:type="dxa"/>
            <w:shd w:val="clear" w:color="auto" w:fill="auto"/>
            <w:noWrap/>
            <w:vAlign w:val="center"/>
            <w:hideMark/>
          </w:tcPr>
          <w:p w14:paraId="58055E6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(607)</w:t>
            </w:r>
          </w:p>
        </w:tc>
        <w:tc>
          <w:tcPr>
            <w:tcW w:w="1203" w:type="dxa"/>
            <w:shd w:val="clear" w:color="auto" w:fill="auto"/>
            <w:noWrap/>
            <w:vAlign w:val="center"/>
            <w:hideMark/>
          </w:tcPr>
          <w:p w14:paraId="6102E0A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4671DEC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197B7BC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(769,770)</w:t>
            </w:r>
          </w:p>
        </w:tc>
        <w:tc>
          <w:tcPr>
            <w:tcW w:w="1204" w:type="dxa"/>
            <w:shd w:val="clear" w:color="auto" w:fill="auto"/>
            <w:noWrap/>
            <w:vAlign w:val="center"/>
            <w:hideMark/>
          </w:tcPr>
          <w:p w14:paraId="3147C60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(23,354)</w:t>
            </w:r>
          </w:p>
        </w:tc>
      </w:tr>
      <w:tr w:rsidR="003E5BF5" w:rsidRPr="00655316" w14:paraId="05E6684F" w14:textId="77777777" w:rsidTr="002B0577">
        <w:trPr>
          <w:trHeight w:val="340"/>
          <w:jc w:val="center"/>
        </w:trPr>
        <w:tc>
          <w:tcPr>
            <w:tcW w:w="3980" w:type="dxa"/>
            <w:shd w:val="clear" w:color="auto" w:fill="auto"/>
            <w:noWrap/>
            <w:vAlign w:val="center"/>
            <w:hideMark/>
          </w:tcPr>
          <w:p w14:paraId="63EF1226" w14:textId="77777777" w:rsidR="003E5BF5" w:rsidRPr="00655316" w:rsidRDefault="003E5BF5" w:rsidP="00DE1921">
            <w:pPr>
              <w:rPr>
                <w:rFonts w:ascii="Arial" w:hAnsi="Arial" w:cs="Arial"/>
                <w:sz w:val="24"/>
                <w:szCs w:val="24"/>
              </w:rPr>
            </w:pPr>
            <w:r w:rsidRPr="00655316">
              <w:rPr>
                <w:rFonts w:ascii="Arial" w:hAnsi="Arial" w:cs="Arial"/>
                <w:sz w:val="24"/>
                <w:szCs w:val="24"/>
              </w:rPr>
              <w:t>Assets provided as contributed capital</w:t>
            </w:r>
          </w:p>
        </w:tc>
        <w:tc>
          <w:tcPr>
            <w:tcW w:w="1202" w:type="dxa"/>
            <w:shd w:val="clear" w:color="auto" w:fill="auto"/>
            <w:noWrap/>
            <w:vAlign w:val="center"/>
            <w:hideMark/>
          </w:tcPr>
          <w:p w14:paraId="65981FC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18073B2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(264)</w:t>
            </w:r>
          </w:p>
        </w:tc>
        <w:tc>
          <w:tcPr>
            <w:tcW w:w="1204" w:type="dxa"/>
            <w:shd w:val="clear" w:color="auto" w:fill="auto"/>
            <w:noWrap/>
            <w:vAlign w:val="center"/>
            <w:hideMark/>
          </w:tcPr>
          <w:p w14:paraId="687533A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734BDB3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4024F03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(3,924,084)</w:t>
            </w:r>
          </w:p>
        </w:tc>
        <w:tc>
          <w:tcPr>
            <w:tcW w:w="1204" w:type="dxa"/>
            <w:shd w:val="clear" w:color="auto" w:fill="auto"/>
            <w:noWrap/>
            <w:vAlign w:val="center"/>
            <w:hideMark/>
          </w:tcPr>
          <w:p w14:paraId="6420734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(2,419,257)</w:t>
            </w:r>
          </w:p>
        </w:tc>
        <w:tc>
          <w:tcPr>
            <w:tcW w:w="1204" w:type="dxa"/>
            <w:shd w:val="clear" w:color="auto" w:fill="auto"/>
            <w:noWrap/>
            <w:vAlign w:val="center"/>
            <w:hideMark/>
          </w:tcPr>
          <w:p w14:paraId="4BF349F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(3,932,212)</w:t>
            </w:r>
          </w:p>
        </w:tc>
        <w:tc>
          <w:tcPr>
            <w:tcW w:w="1204" w:type="dxa"/>
            <w:shd w:val="clear" w:color="auto" w:fill="auto"/>
            <w:noWrap/>
            <w:vAlign w:val="center"/>
            <w:hideMark/>
          </w:tcPr>
          <w:p w14:paraId="4F68E35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(2,713,557)</w:t>
            </w:r>
          </w:p>
        </w:tc>
      </w:tr>
      <w:tr w:rsidR="003E5BF5" w:rsidRPr="00655316" w14:paraId="06F805E3" w14:textId="77777777" w:rsidTr="002B0577">
        <w:trPr>
          <w:trHeight w:val="340"/>
          <w:jc w:val="center"/>
        </w:trPr>
        <w:tc>
          <w:tcPr>
            <w:tcW w:w="3980" w:type="dxa"/>
            <w:shd w:val="clear" w:color="auto" w:fill="auto"/>
            <w:noWrap/>
            <w:vAlign w:val="center"/>
            <w:hideMark/>
          </w:tcPr>
          <w:p w14:paraId="733C6128" w14:textId="77777777" w:rsidR="003E5BF5" w:rsidRPr="00655316" w:rsidRDefault="003E5BF5" w:rsidP="00DE1921">
            <w:pPr>
              <w:rPr>
                <w:rFonts w:ascii="Arial" w:hAnsi="Arial" w:cs="Arial"/>
                <w:sz w:val="24"/>
                <w:szCs w:val="24"/>
              </w:rPr>
            </w:pPr>
            <w:r w:rsidRPr="00655316">
              <w:rPr>
                <w:rFonts w:ascii="Arial" w:hAnsi="Arial" w:cs="Arial"/>
                <w:sz w:val="24"/>
                <w:szCs w:val="24"/>
              </w:rPr>
              <w:t>Transfers to assets classified as held for sale</w:t>
            </w:r>
          </w:p>
        </w:tc>
        <w:tc>
          <w:tcPr>
            <w:tcW w:w="1202" w:type="dxa"/>
            <w:shd w:val="clear" w:color="auto" w:fill="auto"/>
            <w:noWrap/>
            <w:vAlign w:val="center"/>
            <w:hideMark/>
          </w:tcPr>
          <w:p w14:paraId="6E68402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3072057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214966D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17FB75E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24E6644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35A0BC7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726B43E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(3,257)</w:t>
            </w:r>
          </w:p>
        </w:tc>
        <w:tc>
          <w:tcPr>
            <w:tcW w:w="1204" w:type="dxa"/>
            <w:shd w:val="clear" w:color="auto" w:fill="auto"/>
            <w:noWrap/>
            <w:vAlign w:val="center"/>
            <w:hideMark/>
          </w:tcPr>
          <w:p w14:paraId="1818B58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(25,195)</w:t>
            </w:r>
          </w:p>
        </w:tc>
      </w:tr>
      <w:tr w:rsidR="003E5BF5" w:rsidRPr="00655316" w14:paraId="34CEC5A5" w14:textId="77777777" w:rsidTr="002B0577">
        <w:trPr>
          <w:trHeight w:val="340"/>
          <w:jc w:val="center"/>
        </w:trPr>
        <w:tc>
          <w:tcPr>
            <w:tcW w:w="3980" w:type="dxa"/>
            <w:shd w:val="clear" w:color="auto" w:fill="auto"/>
            <w:noWrap/>
            <w:vAlign w:val="center"/>
            <w:hideMark/>
          </w:tcPr>
          <w:p w14:paraId="740677C7" w14:textId="77777777" w:rsidR="003E5BF5" w:rsidRPr="00655316" w:rsidRDefault="003E5BF5" w:rsidP="00DE1921">
            <w:pPr>
              <w:rPr>
                <w:rFonts w:ascii="Arial" w:hAnsi="Arial" w:cs="Arial"/>
                <w:sz w:val="24"/>
                <w:szCs w:val="24"/>
              </w:rPr>
            </w:pPr>
            <w:r w:rsidRPr="00655316">
              <w:rPr>
                <w:rFonts w:ascii="Arial" w:hAnsi="Arial" w:cs="Arial"/>
                <w:sz w:val="24"/>
                <w:szCs w:val="24"/>
              </w:rPr>
              <w:t>Net transfers (to)/from government entities</w:t>
            </w:r>
          </w:p>
        </w:tc>
        <w:tc>
          <w:tcPr>
            <w:tcW w:w="1202" w:type="dxa"/>
            <w:shd w:val="clear" w:color="auto" w:fill="auto"/>
            <w:noWrap/>
            <w:vAlign w:val="center"/>
            <w:hideMark/>
          </w:tcPr>
          <w:p w14:paraId="372E14D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7DE2463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(20,989)</w:t>
            </w:r>
          </w:p>
        </w:tc>
        <w:tc>
          <w:tcPr>
            <w:tcW w:w="1204" w:type="dxa"/>
            <w:shd w:val="clear" w:color="auto" w:fill="auto"/>
            <w:noWrap/>
            <w:vAlign w:val="center"/>
            <w:hideMark/>
          </w:tcPr>
          <w:p w14:paraId="6CAC51B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29C8D4D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(17,711)</w:t>
            </w:r>
          </w:p>
        </w:tc>
        <w:tc>
          <w:tcPr>
            <w:tcW w:w="1203" w:type="dxa"/>
            <w:shd w:val="clear" w:color="auto" w:fill="auto"/>
            <w:noWrap/>
            <w:vAlign w:val="center"/>
            <w:hideMark/>
          </w:tcPr>
          <w:p w14:paraId="189A2ED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6E030BA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1,240,966</w:t>
            </w:r>
          </w:p>
        </w:tc>
        <w:tc>
          <w:tcPr>
            <w:tcW w:w="1204" w:type="dxa"/>
            <w:shd w:val="clear" w:color="auto" w:fill="auto"/>
            <w:noWrap/>
            <w:vAlign w:val="center"/>
            <w:hideMark/>
          </w:tcPr>
          <w:p w14:paraId="05E2C59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67C2BCB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102,936</w:t>
            </w:r>
          </w:p>
        </w:tc>
      </w:tr>
      <w:tr w:rsidR="003E5BF5" w:rsidRPr="00655316" w14:paraId="1375A79A" w14:textId="77777777" w:rsidTr="002B0577">
        <w:trPr>
          <w:trHeight w:val="340"/>
          <w:jc w:val="center"/>
        </w:trPr>
        <w:tc>
          <w:tcPr>
            <w:tcW w:w="3980" w:type="dxa"/>
            <w:shd w:val="clear" w:color="auto" w:fill="auto"/>
            <w:noWrap/>
            <w:vAlign w:val="center"/>
            <w:hideMark/>
          </w:tcPr>
          <w:p w14:paraId="7B812CDF" w14:textId="77777777" w:rsidR="003E5BF5" w:rsidRPr="00655316" w:rsidRDefault="003E5BF5" w:rsidP="00DE1921">
            <w:pPr>
              <w:rPr>
                <w:rFonts w:ascii="Arial" w:hAnsi="Arial" w:cs="Arial"/>
                <w:sz w:val="24"/>
                <w:szCs w:val="24"/>
              </w:rPr>
            </w:pPr>
            <w:r w:rsidRPr="00655316">
              <w:rPr>
                <w:rFonts w:ascii="Arial" w:hAnsi="Arial" w:cs="Arial"/>
                <w:sz w:val="24"/>
                <w:szCs w:val="24"/>
              </w:rPr>
              <w:t>Net revaluation increments/decrements</w:t>
            </w:r>
          </w:p>
        </w:tc>
        <w:tc>
          <w:tcPr>
            <w:tcW w:w="1202" w:type="dxa"/>
            <w:shd w:val="clear" w:color="auto" w:fill="auto"/>
            <w:noWrap/>
            <w:vAlign w:val="center"/>
            <w:hideMark/>
          </w:tcPr>
          <w:p w14:paraId="25A3505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054EC24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397EC92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236</w:t>
            </w:r>
          </w:p>
        </w:tc>
        <w:tc>
          <w:tcPr>
            <w:tcW w:w="1204" w:type="dxa"/>
            <w:shd w:val="clear" w:color="auto" w:fill="auto"/>
            <w:noWrap/>
            <w:vAlign w:val="center"/>
            <w:hideMark/>
          </w:tcPr>
          <w:p w14:paraId="4FF77D9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649ABC7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1F3CDF3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7D4B6351" w14:textId="77777777" w:rsidR="003E5BF5" w:rsidRPr="00655316" w:rsidRDefault="003E5BF5" w:rsidP="00DE1921">
            <w:pPr>
              <w:jc w:val="right"/>
              <w:rPr>
                <w:rFonts w:ascii="Arial" w:hAnsi="Arial" w:cs="Arial"/>
                <w:sz w:val="24"/>
                <w:szCs w:val="24"/>
              </w:rPr>
            </w:pPr>
            <w:r w:rsidRPr="00655316" w:rsidDel="00EA0FA9">
              <w:rPr>
                <w:rFonts w:ascii="Arial" w:hAnsi="Arial" w:cs="Arial"/>
                <w:sz w:val="24"/>
                <w:szCs w:val="24"/>
              </w:rPr>
              <w:t>9,</w:t>
            </w:r>
            <w:r w:rsidRPr="00655316">
              <w:rPr>
                <w:rFonts w:ascii="Arial" w:hAnsi="Arial" w:cs="Arial"/>
                <w:sz w:val="24"/>
                <w:szCs w:val="24"/>
              </w:rPr>
              <w:t>713,357</w:t>
            </w:r>
          </w:p>
        </w:tc>
        <w:tc>
          <w:tcPr>
            <w:tcW w:w="1204" w:type="dxa"/>
            <w:shd w:val="clear" w:color="auto" w:fill="auto"/>
            <w:noWrap/>
            <w:vAlign w:val="center"/>
            <w:hideMark/>
          </w:tcPr>
          <w:p w14:paraId="502E18A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r>
      <w:tr w:rsidR="003E5BF5" w:rsidRPr="00655316" w14:paraId="55BB62A7" w14:textId="77777777" w:rsidTr="002B0577">
        <w:trPr>
          <w:trHeight w:val="340"/>
          <w:jc w:val="center"/>
        </w:trPr>
        <w:tc>
          <w:tcPr>
            <w:tcW w:w="3980" w:type="dxa"/>
            <w:shd w:val="clear" w:color="auto" w:fill="auto"/>
            <w:noWrap/>
            <w:vAlign w:val="center"/>
            <w:hideMark/>
          </w:tcPr>
          <w:p w14:paraId="23AB7100" w14:textId="77777777" w:rsidR="003E5BF5" w:rsidRPr="00655316" w:rsidRDefault="003E5BF5" w:rsidP="00DE1921">
            <w:pPr>
              <w:rPr>
                <w:rFonts w:ascii="Arial" w:hAnsi="Arial" w:cs="Arial"/>
                <w:sz w:val="24"/>
                <w:szCs w:val="24"/>
              </w:rPr>
            </w:pPr>
            <w:r w:rsidRPr="00655316">
              <w:rPr>
                <w:rFonts w:ascii="Arial" w:hAnsi="Arial" w:cs="Arial"/>
                <w:sz w:val="24"/>
                <w:szCs w:val="24"/>
              </w:rPr>
              <w:t>Transfer between classes</w:t>
            </w:r>
          </w:p>
        </w:tc>
        <w:tc>
          <w:tcPr>
            <w:tcW w:w="1202" w:type="dxa"/>
            <w:shd w:val="clear" w:color="auto" w:fill="auto"/>
            <w:noWrap/>
            <w:vAlign w:val="center"/>
            <w:hideMark/>
          </w:tcPr>
          <w:p w14:paraId="031ACD5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2,616</w:t>
            </w:r>
          </w:p>
        </w:tc>
        <w:tc>
          <w:tcPr>
            <w:tcW w:w="1203" w:type="dxa"/>
            <w:shd w:val="clear" w:color="auto" w:fill="auto"/>
            <w:noWrap/>
            <w:vAlign w:val="center"/>
            <w:hideMark/>
          </w:tcPr>
          <w:p w14:paraId="364543C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5,068</w:t>
            </w:r>
          </w:p>
        </w:tc>
        <w:tc>
          <w:tcPr>
            <w:tcW w:w="1204" w:type="dxa"/>
            <w:shd w:val="clear" w:color="auto" w:fill="auto"/>
            <w:noWrap/>
            <w:vAlign w:val="center"/>
            <w:hideMark/>
          </w:tcPr>
          <w:p w14:paraId="1A44E3D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5FE647D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221</w:t>
            </w:r>
          </w:p>
        </w:tc>
        <w:tc>
          <w:tcPr>
            <w:tcW w:w="1203" w:type="dxa"/>
            <w:shd w:val="clear" w:color="auto" w:fill="auto"/>
            <w:noWrap/>
            <w:vAlign w:val="center"/>
            <w:hideMark/>
          </w:tcPr>
          <w:p w14:paraId="205FB41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(1,526,212)</w:t>
            </w:r>
          </w:p>
        </w:tc>
        <w:tc>
          <w:tcPr>
            <w:tcW w:w="1204" w:type="dxa"/>
            <w:shd w:val="clear" w:color="auto" w:fill="auto"/>
            <w:noWrap/>
            <w:vAlign w:val="center"/>
            <w:hideMark/>
          </w:tcPr>
          <w:p w14:paraId="128BAE4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(1,296,437)</w:t>
            </w:r>
          </w:p>
        </w:tc>
        <w:tc>
          <w:tcPr>
            <w:tcW w:w="1204" w:type="dxa"/>
            <w:shd w:val="clear" w:color="auto" w:fill="auto"/>
            <w:noWrap/>
            <w:vAlign w:val="center"/>
            <w:hideMark/>
          </w:tcPr>
          <w:p w14:paraId="13AA3CF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(170,208)</w:t>
            </w:r>
          </w:p>
        </w:tc>
        <w:tc>
          <w:tcPr>
            <w:tcW w:w="1204" w:type="dxa"/>
            <w:shd w:val="clear" w:color="auto" w:fill="auto"/>
            <w:noWrap/>
            <w:vAlign w:val="center"/>
            <w:hideMark/>
          </w:tcPr>
          <w:p w14:paraId="04F2127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r>
      <w:tr w:rsidR="003E5BF5" w:rsidRPr="00655316" w14:paraId="68E22984" w14:textId="77777777" w:rsidTr="002B0577">
        <w:trPr>
          <w:trHeight w:val="340"/>
          <w:jc w:val="center"/>
        </w:trPr>
        <w:tc>
          <w:tcPr>
            <w:tcW w:w="3980" w:type="dxa"/>
            <w:shd w:val="clear" w:color="auto" w:fill="auto"/>
            <w:noWrap/>
            <w:vAlign w:val="center"/>
            <w:hideMark/>
          </w:tcPr>
          <w:p w14:paraId="10C49170" w14:textId="77777777" w:rsidR="003E5BF5" w:rsidRPr="00655316" w:rsidRDefault="003E5BF5" w:rsidP="00DE1921">
            <w:pPr>
              <w:rPr>
                <w:rFonts w:ascii="Arial" w:hAnsi="Arial" w:cs="Arial"/>
                <w:sz w:val="24"/>
                <w:szCs w:val="24"/>
              </w:rPr>
            </w:pPr>
            <w:r w:rsidRPr="00655316">
              <w:rPr>
                <w:rFonts w:ascii="Arial" w:hAnsi="Arial" w:cs="Arial"/>
                <w:sz w:val="24"/>
                <w:szCs w:val="24"/>
              </w:rPr>
              <w:t>Recognition/(derecognition)</w:t>
            </w:r>
          </w:p>
        </w:tc>
        <w:tc>
          <w:tcPr>
            <w:tcW w:w="1202" w:type="dxa"/>
            <w:shd w:val="clear" w:color="auto" w:fill="auto"/>
            <w:noWrap/>
            <w:vAlign w:val="center"/>
            <w:hideMark/>
          </w:tcPr>
          <w:p w14:paraId="600C375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4FB3497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2C170E3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0B880FB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3" w:type="dxa"/>
            <w:shd w:val="clear" w:color="auto" w:fill="auto"/>
            <w:noWrap/>
            <w:vAlign w:val="center"/>
            <w:hideMark/>
          </w:tcPr>
          <w:p w14:paraId="7DD0D0B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4EE44E3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(1,995)</w:t>
            </w:r>
          </w:p>
        </w:tc>
        <w:tc>
          <w:tcPr>
            <w:tcW w:w="1204" w:type="dxa"/>
            <w:shd w:val="clear" w:color="auto" w:fill="auto"/>
            <w:noWrap/>
            <w:vAlign w:val="center"/>
            <w:hideMark/>
          </w:tcPr>
          <w:p w14:paraId="27990A9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w:t>
            </w:r>
          </w:p>
        </w:tc>
        <w:tc>
          <w:tcPr>
            <w:tcW w:w="1204" w:type="dxa"/>
            <w:shd w:val="clear" w:color="auto" w:fill="auto"/>
            <w:noWrap/>
            <w:vAlign w:val="center"/>
            <w:hideMark/>
          </w:tcPr>
          <w:p w14:paraId="35390E3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(3,000)</w:t>
            </w:r>
          </w:p>
        </w:tc>
      </w:tr>
      <w:tr w:rsidR="003E5BF5" w:rsidRPr="00655316" w14:paraId="62347481" w14:textId="77777777" w:rsidTr="002B0577">
        <w:trPr>
          <w:trHeight w:val="340"/>
          <w:jc w:val="center"/>
        </w:trPr>
        <w:tc>
          <w:tcPr>
            <w:tcW w:w="3980" w:type="dxa"/>
            <w:shd w:val="clear" w:color="auto" w:fill="auto"/>
            <w:noWrap/>
            <w:vAlign w:val="center"/>
            <w:hideMark/>
          </w:tcPr>
          <w:p w14:paraId="475FA43D" w14:textId="77777777" w:rsidR="003E5BF5" w:rsidRPr="00655316" w:rsidRDefault="003E5BF5" w:rsidP="00DE1921">
            <w:pPr>
              <w:rPr>
                <w:rFonts w:ascii="Arial" w:hAnsi="Arial" w:cs="Arial"/>
                <w:b/>
                <w:sz w:val="24"/>
                <w:szCs w:val="24"/>
              </w:rPr>
            </w:pPr>
            <w:r w:rsidRPr="00655316">
              <w:rPr>
                <w:rFonts w:ascii="Arial" w:hAnsi="Arial" w:cs="Arial"/>
                <w:b/>
                <w:sz w:val="24"/>
                <w:szCs w:val="24"/>
              </w:rPr>
              <w:t>Closing balance</w:t>
            </w:r>
          </w:p>
        </w:tc>
        <w:tc>
          <w:tcPr>
            <w:tcW w:w="1202" w:type="dxa"/>
            <w:shd w:val="clear" w:color="auto" w:fill="auto"/>
            <w:noWrap/>
            <w:vAlign w:val="center"/>
            <w:hideMark/>
          </w:tcPr>
          <w:p w14:paraId="3B2C9898"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03" w:type="dxa"/>
            <w:shd w:val="clear" w:color="auto" w:fill="auto"/>
            <w:noWrap/>
            <w:vAlign w:val="center"/>
            <w:hideMark/>
          </w:tcPr>
          <w:p w14:paraId="38E6D04B"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w:t>
            </w:r>
          </w:p>
        </w:tc>
        <w:tc>
          <w:tcPr>
            <w:tcW w:w="1204" w:type="dxa"/>
            <w:shd w:val="clear" w:color="auto" w:fill="auto"/>
            <w:noWrap/>
            <w:vAlign w:val="center"/>
            <w:hideMark/>
          </w:tcPr>
          <w:p w14:paraId="09D1954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2,609</w:t>
            </w:r>
          </w:p>
        </w:tc>
        <w:tc>
          <w:tcPr>
            <w:tcW w:w="1204" w:type="dxa"/>
            <w:shd w:val="clear" w:color="auto" w:fill="auto"/>
            <w:noWrap/>
            <w:vAlign w:val="center"/>
            <w:hideMark/>
          </w:tcPr>
          <w:p w14:paraId="4857A772"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256</w:t>
            </w:r>
          </w:p>
        </w:tc>
        <w:tc>
          <w:tcPr>
            <w:tcW w:w="1203" w:type="dxa"/>
            <w:shd w:val="clear" w:color="auto" w:fill="auto"/>
            <w:noWrap/>
            <w:vAlign w:val="center"/>
            <w:hideMark/>
          </w:tcPr>
          <w:p w14:paraId="65BF892B"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2,760,698</w:t>
            </w:r>
          </w:p>
        </w:tc>
        <w:tc>
          <w:tcPr>
            <w:tcW w:w="1204" w:type="dxa"/>
            <w:shd w:val="clear" w:color="auto" w:fill="auto"/>
            <w:noWrap/>
            <w:vAlign w:val="center"/>
            <w:hideMark/>
          </w:tcPr>
          <w:p w14:paraId="7FFE1EC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1,878,592</w:t>
            </w:r>
          </w:p>
        </w:tc>
        <w:tc>
          <w:tcPr>
            <w:tcW w:w="1204" w:type="dxa"/>
            <w:shd w:val="clear" w:color="auto" w:fill="auto"/>
            <w:noWrap/>
            <w:vAlign w:val="center"/>
            <w:hideMark/>
          </w:tcPr>
          <w:p w14:paraId="52EF57D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69,716,416</w:t>
            </w:r>
          </w:p>
        </w:tc>
        <w:tc>
          <w:tcPr>
            <w:tcW w:w="1204" w:type="dxa"/>
            <w:shd w:val="clear" w:color="auto" w:fill="auto"/>
            <w:noWrap/>
            <w:vAlign w:val="center"/>
            <w:hideMark/>
          </w:tcPr>
          <w:p w14:paraId="430998B7"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3,538,876</w:t>
            </w:r>
          </w:p>
        </w:tc>
      </w:tr>
    </w:tbl>
    <w:p w14:paraId="096CB8A5" w14:textId="77777777" w:rsidR="003E5BF5" w:rsidRDefault="003E5BF5">
      <w:r>
        <w:br w:type="page"/>
      </w:r>
    </w:p>
    <w:p w14:paraId="2AF4384E" w14:textId="77777777" w:rsidR="003E5BF5" w:rsidRPr="001A3C92" w:rsidRDefault="003E5BF5" w:rsidP="006667CC">
      <w:pPr>
        <w:pStyle w:val="Heading3"/>
        <w:numPr>
          <w:ilvl w:val="2"/>
          <w:numId w:val="3"/>
        </w:numPr>
        <w:ind w:left="851" w:hanging="851"/>
      </w:pPr>
      <w:r w:rsidRPr="007444F0">
        <w:lastRenderedPageBreak/>
        <w:t>Carrying amount by purpose groups</w:t>
      </w:r>
      <w:bookmarkStart w:id="318" w:name="RANGE!A5:G19"/>
      <w:bookmarkEnd w:id="313"/>
      <w:bookmarkEnd w:id="314"/>
      <w:bookmarkEnd w:id="315"/>
      <w:bookmarkEnd w:id="316"/>
      <w:bookmarkEnd w:id="318"/>
    </w:p>
    <w:tbl>
      <w:tblPr>
        <w:tblStyle w:val="TableGrid"/>
        <w:tblW w:w="13608" w:type="dxa"/>
        <w:jc w:val="center"/>
        <w:tblLayout w:type="fixed"/>
        <w:tblLook w:val="04A0" w:firstRow="1" w:lastRow="0" w:firstColumn="1" w:lastColumn="0" w:noHBand="0" w:noVBand="1"/>
      </w:tblPr>
      <w:tblGrid>
        <w:gridCol w:w="4262"/>
        <w:gridCol w:w="1846"/>
        <w:gridCol w:w="1471"/>
        <w:gridCol w:w="1593"/>
        <w:gridCol w:w="1423"/>
        <w:gridCol w:w="1593"/>
        <w:gridCol w:w="1420"/>
      </w:tblGrid>
      <w:tr w:rsidR="003E5BF5" w:rsidRPr="00655316" w14:paraId="7D345B5A" w14:textId="77777777" w:rsidTr="002B0577">
        <w:trPr>
          <w:trHeight w:val="340"/>
          <w:jc w:val="center"/>
        </w:trPr>
        <w:tc>
          <w:tcPr>
            <w:tcW w:w="4390" w:type="dxa"/>
            <w:shd w:val="clear" w:color="auto" w:fill="auto"/>
            <w:noWrap/>
            <w:hideMark/>
          </w:tcPr>
          <w:p w14:paraId="7620E22C" w14:textId="77777777" w:rsidR="003E5BF5" w:rsidRPr="00655316" w:rsidRDefault="003E5BF5" w:rsidP="00DE1921">
            <w:pPr>
              <w:rPr>
                <w:rFonts w:ascii="Arial" w:hAnsi="Arial" w:cs="Arial"/>
                <w:sz w:val="24"/>
                <w:szCs w:val="24"/>
                <w:lang w:eastAsia="en-AU"/>
              </w:rPr>
            </w:pPr>
          </w:p>
        </w:tc>
        <w:tc>
          <w:tcPr>
            <w:tcW w:w="9602" w:type="dxa"/>
            <w:gridSpan w:val="6"/>
            <w:shd w:val="clear" w:color="auto" w:fill="auto"/>
            <w:vAlign w:val="center"/>
            <w:hideMark/>
          </w:tcPr>
          <w:p w14:paraId="6691AA04"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 thousand)</w:t>
            </w:r>
          </w:p>
        </w:tc>
      </w:tr>
      <w:tr w:rsidR="003E5BF5" w:rsidRPr="00655316" w14:paraId="1353C452" w14:textId="77777777" w:rsidTr="002B0577">
        <w:trPr>
          <w:trHeight w:val="340"/>
          <w:jc w:val="center"/>
        </w:trPr>
        <w:tc>
          <w:tcPr>
            <w:tcW w:w="4390" w:type="dxa"/>
            <w:shd w:val="clear" w:color="auto" w:fill="auto"/>
            <w:noWrap/>
            <w:hideMark/>
          </w:tcPr>
          <w:p w14:paraId="5CA18E38" w14:textId="77777777" w:rsidR="003E5BF5" w:rsidRPr="00655316" w:rsidRDefault="003E5BF5" w:rsidP="00DE1921">
            <w:pPr>
              <w:rPr>
                <w:rFonts w:ascii="Arial" w:hAnsi="Arial" w:cs="Arial"/>
                <w:sz w:val="24"/>
                <w:szCs w:val="24"/>
                <w:lang w:eastAsia="en-AU"/>
              </w:rPr>
            </w:pPr>
          </w:p>
        </w:tc>
        <w:tc>
          <w:tcPr>
            <w:tcW w:w="3409" w:type="dxa"/>
            <w:gridSpan w:val="2"/>
            <w:shd w:val="clear" w:color="auto" w:fill="auto"/>
            <w:vAlign w:val="bottom"/>
            <w:hideMark/>
          </w:tcPr>
          <w:p w14:paraId="3CD9E45E"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Public administration</w:t>
            </w:r>
          </w:p>
        </w:tc>
        <w:tc>
          <w:tcPr>
            <w:tcW w:w="3098" w:type="dxa"/>
            <w:gridSpan w:val="2"/>
            <w:shd w:val="clear" w:color="auto" w:fill="auto"/>
            <w:vAlign w:val="bottom"/>
            <w:hideMark/>
          </w:tcPr>
          <w:p w14:paraId="0E1AC4D1"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Transportation</w:t>
            </w:r>
          </w:p>
        </w:tc>
        <w:tc>
          <w:tcPr>
            <w:tcW w:w="3095" w:type="dxa"/>
            <w:gridSpan w:val="2"/>
            <w:shd w:val="clear" w:color="auto" w:fill="auto"/>
            <w:vAlign w:val="bottom"/>
            <w:hideMark/>
          </w:tcPr>
          <w:p w14:paraId="33FD3129"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Total</w:t>
            </w:r>
          </w:p>
        </w:tc>
      </w:tr>
      <w:tr w:rsidR="003E5BF5" w:rsidRPr="00655316" w14:paraId="7613BEAC" w14:textId="77777777" w:rsidTr="002B0577">
        <w:trPr>
          <w:trHeight w:val="340"/>
          <w:jc w:val="center"/>
        </w:trPr>
        <w:tc>
          <w:tcPr>
            <w:tcW w:w="4390" w:type="dxa"/>
            <w:shd w:val="clear" w:color="auto" w:fill="auto"/>
            <w:noWrap/>
            <w:hideMark/>
          </w:tcPr>
          <w:p w14:paraId="0F9F29C6"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 </w:t>
            </w:r>
          </w:p>
        </w:tc>
        <w:tc>
          <w:tcPr>
            <w:tcW w:w="1898" w:type="dxa"/>
            <w:shd w:val="clear" w:color="auto" w:fill="auto"/>
            <w:noWrap/>
            <w:vAlign w:val="center"/>
            <w:hideMark/>
          </w:tcPr>
          <w:p w14:paraId="68125C4E"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1511" w:type="dxa"/>
            <w:shd w:val="clear" w:color="auto" w:fill="auto"/>
            <w:noWrap/>
            <w:vAlign w:val="center"/>
            <w:hideMark/>
          </w:tcPr>
          <w:p w14:paraId="236C1233"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2019</w:t>
            </w:r>
          </w:p>
        </w:tc>
        <w:tc>
          <w:tcPr>
            <w:tcW w:w="1637" w:type="dxa"/>
            <w:shd w:val="clear" w:color="auto" w:fill="auto"/>
            <w:noWrap/>
            <w:vAlign w:val="center"/>
            <w:hideMark/>
          </w:tcPr>
          <w:p w14:paraId="0402FDA8"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1461" w:type="dxa"/>
            <w:shd w:val="clear" w:color="auto" w:fill="auto"/>
            <w:noWrap/>
            <w:vAlign w:val="center"/>
            <w:hideMark/>
          </w:tcPr>
          <w:p w14:paraId="01C9C251"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2019</w:t>
            </w:r>
          </w:p>
        </w:tc>
        <w:tc>
          <w:tcPr>
            <w:tcW w:w="1637" w:type="dxa"/>
            <w:shd w:val="clear" w:color="auto" w:fill="auto"/>
            <w:noWrap/>
            <w:vAlign w:val="center"/>
            <w:hideMark/>
          </w:tcPr>
          <w:p w14:paraId="34305E51"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1458" w:type="dxa"/>
            <w:shd w:val="clear" w:color="auto" w:fill="auto"/>
            <w:noWrap/>
            <w:vAlign w:val="center"/>
            <w:hideMark/>
          </w:tcPr>
          <w:p w14:paraId="3E9F0871"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2019</w:t>
            </w:r>
          </w:p>
        </w:tc>
      </w:tr>
      <w:tr w:rsidR="003E5BF5" w:rsidRPr="00655316" w14:paraId="2BFE1E0C" w14:textId="77777777" w:rsidTr="002B0577">
        <w:trPr>
          <w:trHeight w:val="340"/>
          <w:jc w:val="center"/>
        </w:trPr>
        <w:tc>
          <w:tcPr>
            <w:tcW w:w="4390" w:type="dxa"/>
            <w:shd w:val="clear" w:color="auto" w:fill="auto"/>
            <w:noWrap/>
            <w:vAlign w:val="center"/>
            <w:hideMark/>
          </w:tcPr>
          <w:p w14:paraId="6E86D4B4"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Land under roads at fair value</w:t>
            </w:r>
          </w:p>
        </w:tc>
        <w:tc>
          <w:tcPr>
            <w:tcW w:w="1898" w:type="dxa"/>
            <w:shd w:val="clear" w:color="auto" w:fill="auto"/>
            <w:noWrap/>
            <w:vAlign w:val="center"/>
            <w:hideMark/>
          </w:tcPr>
          <w:p w14:paraId="459ADFEC"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511" w:type="dxa"/>
            <w:shd w:val="clear" w:color="auto" w:fill="auto"/>
            <w:noWrap/>
            <w:vAlign w:val="center"/>
            <w:hideMark/>
          </w:tcPr>
          <w:p w14:paraId="618D352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637" w:type="dxa"/>
            <w:shd w:val="clear" w:color="auto" w:fill="auto"/>
            <w:noWrap/>
            <w:vAlign w:val="center"/>
            <w:hideMark/>
          </w:tcPr>
          <w:p w14:paraId="013DF464"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34,398,450 </w:t>
            </w:r>
          </w:p>
        </w:tc>
        <w:tc>
          <w:tcPr>
            <w:tcW w:w="1461" w:type="dxa"/>
            <w:shd w:val="clear" w:color="auto" w:fill="auto"/>
            <w:noWrap/>
            <w:vAlign w:val="center"/>
            <w:hideMark/>
          </w:tcPr>
          <w:p w14:paraId="40D5492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637" w:type="dxa"/>
            <w:shd w:val="clear" w:color="auto" w:fill="auto"/>
            <w:noWrap/>
            <w:vAlign w:val="center"/>
            <w:hideMark/>
          </w:tcPr>
          <w:p w14:paraId="5164A9D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34,398,450 </w:t>
            </w:r>
          </w:p>
        </w:tc>
        <w:tc>
          <w:tcPr>
            <w:tcW w:w="1458" w:type="dxa"/>
            <w:shd w:val="clear" w:color="auto" w:fill="auto"/>
            <w:noWrap/>
            <w:vAlign w:val="center"/>
            <w:hideMark/>
          </w:tcPr>
          <w:p w14:paraId="1DD5BE9C"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r>
      <w:tr w:rsidR="003E5BF5" w:rsidRPr="00655316" w14:paraId="22FDF3D0" w14:textId="77777777" w:rsidTr="002B0577">
        <w:trPr>
          <w:trHeight w:val="340"/>
          <w:jc w:val="center"/>
        </w:trPr>
        <w:tc>
          <w:tcPr>
            <w:tcW w:w="4390" w:type="dxa"/>
            <w:shd w:val="clear" w:color="auto" w:fill="auto"/>
            <w:noWrap/>
            <w:vAlign w:val="center"/>
            <w:hideMark/>
          </w:tcPr>
          <w:p w14:paraId="4ED36EC0"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PARD land at fair value</w:t>
            </w:r>
          </w:p>
        </w:tc>
        <w:tc>
          <w:tcPr>
            <w:tcW w:w="1898" w:type="dxa"/>
            <w:shd w:val="clear" w:color="auto" w:fill="auto"/>
            <w:noWrap/>
            <w:vAlign w:val="center"/>
            <w:hideMark/>
          </w:tcPr>
          <w:p w14:paraId="204CA507"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511" w:type="dxa"/>
            <w:shd w:val="clear" w:color="auto" w:fill="auto"/>
            <w:noWrap/>
            <w:vAlign w:val="center"/>
            <w:hideMark/>
          </w:tcPr>
          <w:p w14:paraId="3763B8E3"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637" w:type="dxa"/>
            <w:shd w:val="clear" w:color="auto" w:fill="auto"/>
            <w:noWrap/>
            <w:vAlign w:val="center"/>
            <w:hideMark/>
          </w:tcPr>
          <w:p w14:paraId="07B8B0E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1,707,687 </w:t>
            </w:r>
          </w:p>
        </w:tc>
        <w:tc>
          <w:tcPr>
            <w:tcW w:w="1461" w:type="dxa"/>
            <w:shd w:val="clear" w:color="auto" w:fill="auto"/>
            <w:noWrap/>
            <w:vAlign w:val="center"/>
            <w:hideMark/>
          </w:tcPr>
          <w:p w14:paraId="5367A95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637" w:type="dxa"/>
            <w:shd w:val="clear" w:color="auto" w:fill="auto"/>
            <w:noWrap/>
            <w:vAlign w:val="center"/>
            <w:hideMark/>
          </w:tcPr>
          <w:p w14:paraId="4AD77DF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1,707,687 </w:t>
            </w:r>
          </w:p>
        </w:tc>
        <w:tc>
          <w:tcPr>
            <w:tcW w:w="1458" w:type="dxa"/>
            <w:shd w:val="clear" w:color="auto" w:fill="auto"/>
            <w:noWrap/>
            <w:vAlign w:val="center"/>
            <w:hideMark/>
          </w:tcPr>
          <w:p w14:paraId="48092C86"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r>
      <w:tr w:rsidR="003E5BF5" w:rsidRPr="00655316" w14:paraId="1DDAA8DF" w14:textId="77777777" w:rsidTr="002B0577">
        <w:trPr>
          <w:trHeight w:val="340"/>
          <w:jc w:val="center"/>
        </w:trPr>
        <w:tc>
          <w:tcPr>
            <w:tcW w:w="4390" w:type="dxa"/>
            <w:shd w:val="clear" w:color="auto" w:fill="auto"/>
            <w:noWrap/>
            <w:vAlign w:val="center"/>
            <w:hideMark/>
          </w:tcPr>
          <w:p w14:paraId="037F31F5"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Other land at fair value</w:t>
            </w:r>
          </w:p>
        </w:tc>
        <w:tc>
          <w:tcPr>
            <w:tcW w:w="1898" w:type="dxa"/>
            <w:shd w:val="clear" w:color="auto" w:fill="auto"/>
            <w:noWrap/>
            <w:vAlign w:val="center"/>
            <w:hideMark/>
          </w:tcPr>
          <w:p w14:paraId="41AC2AB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83,700 </w:t>
            </w:r>
          </w:p>
        </w:tc>
        <w:tc>
          <w:tcPr>
            <w:tcW w:w="1511" w:type="dxa"/>
            <w:shd w:val="clear" w:color="auto" w:fill="auto"/>
            <w:noWrap/>
            <w:vAlign w:val="center"/>
            <w:hideMark/>
          </w:tcPr>
          <w:p w14:paraId="04F09158"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83,700 </w:t>
            </w:r>
          </w:p>
        </w:tc>
        <w:tc>
          <w:tcPr>
            <w:tcW w:w="1637" w:type="dxa"/>
            <w:shd w:val="clear" w:color="auto" w:fill="auto"/>
            <w:noWrap/>
            <w:vAlign w:val="center"/>
            <w:hideMark/>
          </w:tcPr>
          <w:p w14:paraId="1C049A0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3,006,149 </w:t>
            </w:r>
          </w:p>
        </w:tc>
        <w:tc>
          <w:tcPr>
            <w:tcW w:w="1461" w:type="dxa"/>
            <w:shd w:val="clear" w:color="auto" w:fill="auto"/>
            <w:noWrap/>
            <w:vAlign w:val="center"/>
            <w:hideMark/>
          </w:tcPr>
          <w:p w14:paraId="77962687"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226,159 </w:t>
            </w:r>
          </w:p>
        </w:tc>
        <w:tc>
          <w:tcPr>
            <w:tcW w:w="1637" w:type="dxa"/>
            <w:shd w:val="clear" w:color="auto" w:fill="auto"/>
            <w:noWrap/>
            <w:vAlign w:val="center"/>
            <w:hideMark/>
          </w:tcPr>
          <w:p w14:paraId="56511263"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3,089,849 </w:t>
            </w:r>
          </w:p>
        </w:tc>
        <w:tc>
          <w:tcPr>
            <w:tcW w:w="1458" w:type="dxa"/>
            <w:shd w:val="clear" w:color="auto" w:fill="auto"/>
            <w:noWrap/>
            <w:vAlign w:val="center"/>
            <w:hideMark/>
          </w:tcPr>
          <w:p w14:paraId="7F3B37D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309,859 </w:t>
            </w:r>
          </w:p>
        </w:tc>
      </w:tr>
      <w:tr w:rsidR="003E5BF5" w:rsidRPr="00655316" w14:paraId="086319E8" w14:textId="77777777" w:rsidTr="002B0577">
        <w:trPr>
          <w:trHeight w:val="340"/>
          <w:jc w:val="center"/>
        </w:trPr>
        <w:tc>
          <w:tcPr>
            <w:tcW w:w="4390" w:type="dxa"/>
            <w:shd w:val="clear" w:color="auto" w:fill="auto"/>
            <w:noWrap/>
            <w:vAlign w:val="center"/>
            <w:hideMark/>
          </w:tcPr>
          <w:p w14:paraId="688D4475"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Roads and bridges at fair value</w:t>
            </w:r>
          </w:p>
        </w:tc>
        <w:tc>
          <w:tcPr>
            <w:tcW w:w="1898" w:type="dxa"/>
            <w:shd w:val="clear" w:color="auto" w:fill="auto"/>
            <w:noWrap/>
            <w:vAlign w:val="center"/>
            <w:hideMark/>
          </w:tcPr>
          <w:p w14:paraId="0E88275B"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511" w:type="dxa"/>
            <w:shd w:val="clear" w:color="auto" w:fill="auto"/>
            <w:noWrap/>
            <w:vAlign w:val="center"/>
            <w:hideMark/>
          </w:tcPr>
          <w:p w14:paraId="185A8249"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637" w:type="dxa"/>
            <w:shd w:val="clear" w:color="auto" w:fill="auto"/>
            <w:noWrap/>
            <w:vAlign w:val="center"/>
            <w:hideMark/>
          </w:tcPr>
          <w:p w14:paraId="6344F525"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24,254,617 </w:t>
            </w:r>
          </w:p>
        </w:tc>
        <w:tc>
          <w:tcPr>
            <w:tcW w:w="1461" w:type="dxa"/>
            <w:shd w:val="clear" w:color="auto" w:fill="auto"/>
            <w:noWrap/>
            <w:vAlign w:val="center"/>
            <w:hideMark/>
          </w:tcPr>
          <w:p w14:paraId="677D8958"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637" w:type="dxa"/>
            <w:shd w:val="clear" w:color="auto" w:fill="auto"/>
            <w:noWrap/>
            <w:vAlign w:val="center"/>
            <w:hideMark/>
          </w:tcPr>
          <w:p w14:paraId="560AED4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24,254,617 </w:t>
            </w:r>
          </w:p>
        </w:tc>
        <w:tc>
          <w:tcPr>
            <w:tcW w:w="1458" w:type="dxa"/>
            <w:shd w:val="clear" w:color="auto" w:fill="auto"/>
            <w:noWrap/>
            <w:vAlign w:val="center"/>
            <w:hideMark/>
          </w:tcPr>
          <w:p w14:paraId="7C3E983B"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r>
      <w:tr w:rsidR="003E5BF5" w:rsidRPr="00655316" w14:paraId="068BF39D" w14:textId="77777777" w:rsidTr="002B0577">
        <w:trPr>
          <w:trHeight w:val="340"/>
          <w:jc w:val="center"/>
        </w:trPr>
        <w:tc>
          <w:tcPr>
            <w:tcW w:w="4390" w:type="dxa"/>
            <w:shd w:val="clear" w:color="auto" w:fill="auto"/>
            <w:noWrap/>
            <w:vAlign w:val="center"/>
            <w:hideMark/>
          </w:tcPr>
          <w:p w14:paraId="5CE5802B"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Earthworks at fair value</w:t>
            </w:r>
          </w:p>
        </w:tc>
        <w:tc>
          <w:tcPr>
            <w:tcW w:w="1898" w:type="dxa"/>
            <w:shd w:val="clear" w:color="auto" w:fill="auto"/>
            <w:noWrap/>
            <w:vAlign w:val="center"/>
            <w:hideMark/>
          </w:tcPr>
          <w:p w14:paraId="6B72D5D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511" w:type="dxa"/>
            <w:shd w:val="clear" w:color="auto" w:fill="auto"/>
            <w:noWrap/>
            <w:vAlign w:val="center"/>
            <w:hideMark/>
          </w:tcPr>
          <w:p w14:paraId="2F83CD9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637" w:type="dxa"/>
            <w:shd w:val="clear" w:color="auto" w:fill="auto"/>
            <w:noWrap/>
            <w:vAlign w:val="center"/>
            <w:hideMark/>
          </w:tcPr>
          <w:p w14:paraId="6E71E966"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9,922,320 </w:t>
            </w:r>
          </w:p>
        </w:tc>
        <w:tc>
          <w:tcPr>
            <w:tcW w:w="1461" w:type="dxa"/>
            <w:shd w:val="clear" w:color="auto" w:fill="auto"/>
            <w:noWrap/>
            <w:vAlign w:val="center"/>
            <w:hideMark/>
          </w:tcPr>
          <w:p w14:paraId="2313D0F6"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637" w:type="dxa"/>
            <w:shd w:val="clear" w:color="auto" w:fill="auto"/>
            <w:noWrap/>
            <w:vAlign w:val="center"/>
            <w:hideMark/>
          </w:tcPr>
          <w:p w14:paraId="4A443E37"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9,922,320 </w:t>
            </w:r>
          </w:p>
        </w:tc>
        <w:tc>
          <w:tcPr>
            <w:tcW w:w="1458" w:type="dxa"/>
            <w:shd w:val="clear" w:color="auto" w:fill="auto"/>
            <w:noWrap/>
            <w:vAlign w:val="center"/>
            <w:hideMark/>
          </w:tcPr>
          <w:p w14:paraId="37139D7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r>
      <w:tr w:rsidR="003E5BF5" w:rsidRPr="00655316" w14:paraId="6CA4F5C8" w14:textId="77777777" w:rsidTr="002B0577">
        <w:trPr>
          <w:trHeight w:val="340"/>
          <w:jc w:val="center"/>
        </w:trPr>
        <w:tc>
          <w:tcPr>
            <w:tcW w:w="4390" w:type="dxa"/>
            <w:shd w:val="clear" w:color="auto" w:fill="auto"/>
            <w:noWrap/>
            <w:vAlign w:val="center"/>
            <w:hideMark/>
          </w:tcPr>
          <w:p w14:paraId="420D6F4E"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Other infrastructure at fair value</w:t>
            </w:r>
          </w:p>
        </w:tc>
        <w:tc>
          <w:tcPr>
            <w:tcW w:w="1898" w:type="dxa"/>
            <w:shd w:val="clear" w:color="auto" w:fill="auto"/>
            <w:noWrap/>
            <w:vAlign w:val="center"/>
            <w:hideMark/>
          </w:tcPr>
          <w:p w14:paraId="1873CFB1"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26,049 </w:t>
            </w:r>
          </w:p>
        </w:tc>
        <w:tc>
          <w:tcPr>
            <w:tcW w:w="1511" w:type="dxa"/>
            <w:shd w:val="clear" w:color="auto" w:fill="auto"/>
            <w:noWrap/>
            <w:vAlign w:val="center"/>
            <w:hideMark/>
          </w:tcPr>
          <w:p w14:paraId="2DF3704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26,590 </w:t>
            </w:r>
          </w:p>
        </w:tc>
        <w:tc>
          <w:tcPr>
            <w:tcW w:w="1637" w:type="dxa"/>
            <w:shd w:val="clear" w:color="auto" w:fill="auto"/>
            <w:noWrap/>
            <w:vAlign w:val="center"/>
            <w:hideMark/>
          </w:tcPr>
          <w:p w14:paraId="6F27F9E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2,498,863 </w:t>
            </w:r>
          </w:p>
        </w:tc>
        <w:tc>
          <w:tcPr>
            <w:tcW w:w="1461" w:type="dxa"/>
            <w:shd w:val="clear" w:color="auto" w:fill="auto"/>
            <w:noWrap/>
            <w:vAlign w:val="center"/>
            <w:hideMark/>
          </w:tcPr>
          <w:p w14:paraId="6BAA50FB"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1,315,200 </w:t>
            </w:r>
          </w:p>
        </w:tc>
        <w:tc>
          <w:tcPr>
            <w:tcW w:w="1637" w:type="dxa"/>
            <w:shd w:val="clear" w:color="auto" w:fill="auto"/>
            <w:noWrap/>
            <w:vAlign w:val="center"/>
            <w:hideMark/>
          </w:tcPr>
          <w:p w14:paraId="7FF18D03"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2,524,912 </w:t>
            </w:r>
          </w:p>
        </w:tc>
        <w:tc>
          <w:tcPr>
            <w:tcW w:w="1458" w:type="dxa"/>
            <w:shd w:val="clear" w:color="auto" w:fill="auto"/>
            <w:noWrap/>
            <w:vAlign w:val="center"/>
            <w:hideMark/>
          </w:tcPr>
          <w:p w14:paraId="70BBB894"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1,341,790 </w:t>
            </w:r>
          </w:p>
        </w:tc>
      </w:tr>
      <w:tr w:rsidR="003E5BF5" w:rsidRPr="00655316" w14:paraId="51D74E24" w14:textId="77777777" w:rsidTr="002B0577">
        <w:trPr>
          <w:trHeight w:val="340"/>
          <w:jc w:val="center"/>
        </w:trPr>
        <w:tc>
          <w:tcPr>
            <w:tcW w:w="4390" w:type="dxa"/>
            <w:shd w:val="clear" w:color="auto" w:fill="auto"/>
            <w:noWrap/>
            <w:vAlign w:val="center"/>
            <w:hideMark/>
          </w:tcPr>
          <w:p w14:paraId="0F75E8C7"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Buildings at fair value</w:t>
            </w:r>
          </w:p>
        </w:tc>
        <w:tc>
          <w:tcPr>
            <w:tcW w:w="1898" w:type="dxa"/>
            <w:shd w:val="clear" w:color="auto" w:fill="auto"/>
            <w:noWrap/>
            <w:vAlign w:val="center"/>
            <w:hideMark/>
          </w:tcPr>
          <w:p w14:paraId="396FDC28"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4,716 </w:t>
            </w:r>
          </w:p>
        </w:tc>
        <w:tc>
          <w:tcPr>
            <w:tcW w:w="1511" w:type="dxa"/>
            <w:shd w:val="clear" w:color="auto" w:fill="auto"/>
            <w:noWrap/>
            <w:vAlign w:val="center"/>
            <w:hideMark/>
          </w:tcPr>
          <w:p w14:paraId="135DB769"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4,826 </w:t>
            </w:r>
          </w:p>
        </w:tc>
        <w:tc>
          <w:tcPr>
            <w:tcW w:w="1637" w:type="dxa"/>
            <w:shd w:val="clear" w:color="auto" w:fill="auto"/>
            <w:noWrap/>
            <w:vAlign w:val="center"/>
            <w:hideMark/>
          </w:tcPr>
          <w:p w14:paraId="0D51F88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628,413 </w:t>
            </w:r>
          </w:p>
        </w:tc>
        <w:tc>
          <w:tcPr>
            <w:tcW w:w="1461" w:type="dxa"/>
            <w:shd w:val="clear" w:color="auto" w:fill="auto"/>
            <w:noWrap/>
            <w:vAlign w:val="center"/>
            <w:hideMark/>
          </w:tcPr>
          <w:p w14:paraId="1CB94F6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637" w:type="dxa"/>
            <w:shd w:val="clear" w:color="auto" w:fill="auto"/>
            <w:noWrap/>
            <w:vAlign w:val="center"/>
            <w:hideMark/>
          </w:tcPr>
          <w:p w14:paraId="0C271661"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633,130 </w:t>
            </w:r>
          </w:p>
        </w:tc>
        <w:tc>
          <w:tcPr>
            <w:tcW w:w="1458" w:type="dxa"/>
            <w:shd w:val="clear" w:color="auto" w:fill="auto"/>
            <w:noWrap/>
            <w:vAlign w:val="center"/>
            <w:hideMark/>
          </w:tcPr>
          <w:p w14:paraId="52924E6B"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4,826 </w:t>
            </w:r>
          </w:p>
        </w:tc>
      </w:tr>
      <w:tr w:rsidR="003E5BF5" w:rsidRPr="00655316" w14:paraId="774DB910" w14:textId="77777777" w:rsidTr="002B0577">
        <w:trPr>
          <w:trHeight w:val="340"/>
          <w:jc w:val="center"/>
        </w:trPr>
        <w:tc>
          <w:tcPr>
            <w:tcW w:w="4390" w:type="dxa"/>
            <w:shd w:val="clear" w:color="auto" w:fill="auto"/>
            <w:noWrap/>
            <w:vAlign w:val="center"/>
            <w:hideMark/>
          </w:tcPr>
          <w:p w14:paraId="4BDD8ACD"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Plant, equipment and vehicles at fair value</w:t>
            </w:r>
          </w:p>
        </w:tc>
        <w:tc>
          <w:tcPr>
            <w:tcW w:w="1898" w:type="dxa"/>
            <w:shd w:val="clear" w:color="auto" w:fill="auto"/>
            <w:noWrap/>
            <w:vAlign w:val="center"/>
            <w:hideMark/>
          </w:tcPr>
          <w:p w14:paraId="0D22BE81"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511" w:type="dxa"/>
            <w:shd w:val="clear" w:color="auto" w:fill="auto"/>
            <w:noWrap/>
            <w:vAlign w:val="center"/>
            <w:hideMark/>
          </w:tcPr>
          <w:p w14:paraId="08F32126"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637" w:type="dxa"/>
            <w:shd w:val="clear" w:color="auto" w:fill="auto"/>
            <w:noWrap/>
            <w:vAlign w:val="center"/>
            <w:hideMark/>
          </w:tcPr>
          <w:p w14:paraId="724B70D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256,679 </w:t>
            </w:r>
          </w:p>
        </w:tc>
        <w:tc>
          <w:tcPr>
            <w:tcW w:w="1461" w:type="dxa"/>
            <w:shd w:val="clear" w:color="auto" w:fill="auto"/>
            <w:noWrap/>
            <w:vAlign w:val="center"/>
            <w:hideMark/>
          </w:tcPr>
          <w:p w14:paraId="5333DCB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7,108 </w:t>
            </w:r>
          </w:p>
        </w:tc>
        <w:tc>
          <w:tcPr>
            <w:tcW w:w="1637" w:type="dxa"/>
            <w:shd w:val="clear" w:color="auto" w:fill="auto"/>
            <w:noWrap/>
            <w:vAlign w:val="center"/>
            <w:hideMark/>
          </w:tcPr>
          <w:p w14:paraId="07A81E33"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256,679 </w:t>
            </w:r>
          </w:p>
        </w:tc>
        <w:tc>
          <w:tcPr>
            <w:tcW w:w="1458" w:type="dxa"/>
            <w:shd w:val="clear" w:color="auto" w:fill="auto"/>
            <w:noWrap/>
            <w:vAlign w:val="center"/>
            <w:hideMark/>
          </w:tcPr>
          <w:p w14:paraId="579B2E58"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7,108 </w:t>
            </w:r>
          </w:p>
        </w:tc>
      </w:tr>
      <w:tr w:rsidR="003E5BF5" w:rsidRPr="00655316" w14:paraId="077B86B7" w14:textId="77777777" w:rsidTr="002B0577">
        <w:trPr>
          <w:trHeight w:val="340"/>
          <w:jc w:val="center"/>
        </w:trPr>
        <w:tc>
          <w:tcPr>
            <w:tcW w:w="4390" w:type="dxa"/>
            <w:shd w:val="clear" w:color="auto" w:fill="auto"/>
            <w:noWrap/>
            <w:vAlign w:val="center"/>
            <w:hideMark/>
          </w:tcPr>
          <w:p w14:paraId="7BC18582"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Leasehold improvements</w:t>
            </w:r>
          </w:p>
        </w:tc>
        <w:tc>
          <w:tcPr>
            <w:tcW w:w="1898" w:type="dxa"/>
            <w:shd w:val="clear" w:color="auto" w:fill="auto"/>
            <w:noWrap/>
            <w:vAlign w:val="center"/>
            <w:hideMark/>
          </w:tcPr>
          <w:p w14:paraId="4A2BBF3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511" w:type="dxa"/>
            <w:shd w:val="clear" w:color="auto" w:fill="auto"/>
            <w:noWrap/>
            <w:vAlign w:val="center"/>
            <w:hideMark/>
          </w:tcPr>
          <w:p w14:paraId="0B548079"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637" w:type="dxa"/>
            <w:shd w:val="clear" w:color="auto" w:fill="auto"/>
            <w:noWrap/>
            <w:vAlign w:val="center"/>
            <w:hideMark/>
          </w:tcPr>
          <w:p w14:paraId="43D1585B"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41,217 </w:t>
            </w:r>
          </w:p>
        </w:tc>
        <w:tc>
          <w:tcPr>
            <w:tcW w:w="1461" w:type="dxa"/>
            <w:shd w:val="clear" w:color="auto" w:fill="auto"/>
            <w:noWrap/>
            <w:vAlign w:val="center"/>
            <w:hideMark/>
          </w:tcPr>
          <w:p w14:paraId="51376FF4"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15,953 </w:t>
            </w:r>
          </w:p>
        </w:tc>
        <w:tc>
          <w:tcPr>
            <w:tcW w:w="1637" w:type="dxa"/>
            <w:shd w:val="clear" w:color="auto" w:fill="auto"/>
            <w:noWrap/>
            <w:vAlign w:val="center"/>
            <w:hideMark/>
          </w:tcPr>
          <w:p w14:paraId="56CEB5C3"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41,217 </w:t>
            </w:r>
          </w:p>
        </w:tc>
        <w:tc>
          <w:tcPr>
            <w:tcW w:w="1458" w:type="dxa"/>
            <w:shd w:val="clear" w:color="auto" w:fill="auto"/>
            <w:noWrap/>
            <w:vAlign w:val="center"/>
            <w:hideMark/>
          </w:tcPr>
          <w:p w14:paraId="531FD6A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15,953 </w:t>
            </w:r>
          </w:p>
        </w:tc>
      </w:tr>
      <w:tr w:rsidR="003E5BF5" w:rsidRPr="00655316" w14:paraId="6797323A" w14:textId="77777777" w:rsidTr="002B0577">
        <w:trPr>
          <w:trHeight w:val="340"/>
          <w:jc w:val="center"/>
        </w:trPr>
        <w:tc>
          <w:tcPr>
            <w:tcW w:w="4390" w:type="dxa"/>
            <w:shd w:val="clear" w:color="auto" w:fill="auto"/>
            <w:noWrap/>
            <w:vAlign w:val="center"/>
            <w:hideMark/>
          </w:tcPr>
          <w:p w14:paraId="28EBC21F"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Cultural assets at fair value</w:t>
            </w:r>
          </w:p>
        </w:tc>
        <w:tc>
          <w:tcPr>
            <w:tcW w:w="1898" w:type="dxa"/>
            <w:shd w:val="clear" w:color="auto" w:fill="auto"/>
            <w:noWrap/>
            <w:vAlign w:val="center"/>
            <w:hideMark/>
          </w:tcPr>
          <w:p w14:paraId="7782D61B"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511" w:type="dxa"/>
            <w:shd w:val="clear" w:color="auto" w:fill="auto"/>
            <w:noWrap/>
            <w:vAlign w:val="center"/>
            <w:hideMark/>
          </w:tcPr>
          <w:p w14:paraId="715CC88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637" w:type="dxa"/>
            <w:shd w:val="clear" w:color="auto" w:fill="auto"/>
            <w:noWrap/>
            <w:vAlign w:val="center"/>
            <w:hideMark/>
          </w:tcPr>
          <w:p w14:paraId="0F85296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2,609 </w:t>
            </w:r>
          </w:p>
        </w:tc>
        <w:tc>
          <w:tcPr>
            <w:tcW w:w="1461" w:type="dxa"/>
            <w:shd w:val="clear" w:color="auto" w:fill="auto"/>
            <w:noWrap/>
            <w:vAlign w:val="center"/>
            <w:hideMark/>
          </w:tcPr>
          <w:p w14:paraId="0292FA5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256 </w:t>
            </w:r>
          </w:p>
        </w:tc>
        <w:tc>
          <w:tcPr>
            <w:tcW w:w="1637" w:type="dxa"/>
            <w:shd w:val="clear" w:color="auto" w:fill="auto"/>
            <w:noWrap/>
            <w:vAlign w:val="center"/>
            <w:hideMark/>
          </w:tcPr>
          <w:p w14:paraId="5B9B8B5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2,609 </w:t>
            </w:r>
          </w:p>
        </w:tc>
        <w:tc>
          <w:tcPr>
            <w:tcW w:w="1458" w:type="dxa"/>
            <w:shd w:val="clear" w:color="auto" w:fill="auto"/>
            <w:noWrap/>
            <w:vAlign w:val="center"/>
            <w:hideMark/>
          </w:tcPr>
          <w:p w14:paraId="793E56DC"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256 </w:t>
            </w:r>
          </w:p>
        </w:tc>
      </w:tr>
      <w:tr w:rsidR="003E5BF5" w:rsidRPr="00655316" w14:paraId="331FCDFD" w14:textId="77777777" w:rsidTr="002B0577">
        <w:trPr>
          <w:trHeight w:val="340"/>
          <w:jc w:val="center"/>
        </w:trPr>
        <w:tc>
          <w:tcPr>
            <w:tcW w:w="4390" w:type="dxa"/>
            <w:shd w:val="clear" w:color="auto" w:fill="auto"/>
            <w:noWrap/>
            <w:vAlign w:val="center"/>
            <w:hideMark/>
          </w:tcPr>
          <w:p w14:paraId="2E6EC219"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Assets under construction</w:t>
            </w:r>
          </w:p>
        </w:tc>
        <w:tc>
          <w:tcPr>
            <w:tcW w:w="1898" w:type="dxa"/>
            <w:shd w:val="clear" w:color="auto" w:fill="auto"/>
            <w:noWrap/>
            <w:vAlign w:val="center"/>
            <w:hideMark/>
          </w:tcPr>
          <w:p w14:paraId="6A19098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511" w:type="dxa"/>
            <w:shd w:val="clear" w:color="auto" w:fill="auto"/>
            <w:noWrap/>
            <w:vAlign w:val="center"/>
            <w:hideMark/>
          </w:tcPr>
          <w:p w14:paraId="5D90699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w:t>
            </w:r>
          </w:p>
        </w:tc>
        <w:tc>
          <w:tcPr>
            <w:tcW w:w="1637" w:type="dxa"/>
            <w:shd w:val="clear" w:color="auto" w:fill="auto"/>
            <w:noWrap/>
            <w:vAlign w:val="center"/>
            <w:hideMark/>
          </w:tcPr>
          <w:p w14:paraId="082EEFD7"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11,032,032 </w:t>
            </w:r>
          </w:p>
        </w:tc>
        <w:tc>
          <w:tcPr>
            <w:tcW w:w="1461" w:type="dxa"/>
            <w:shd w:val="clear" w:color="auto" w:fill="auto"/>
            <w:noWrap/>
            <w:vAlign w:val="center"/>
            <w:hideMark/>
          </w:tcPr>
          <w:p w14:paraId="0BB3D0D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6,946,290 </w:t>
            </w:r>
          </w:p>
        </w:tc>
        <w:tc>
          <w:tcPr>
            <w:tcW w:w="1637" w:type="dxa"/>
            <w:shd w:val="clear" w:color="auto" w:fill="auto"/>
            <w:noWrap/>
            <w:vAlign w:val="center"/>
            <w:hideMark/>
          </w:tcPr>
          <w:p w14:paraId="0C608C4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11,032,032 </w:t>
            </w:r>
          </w:p>
        </w:tc>
        <w:tc>
          <w:tcPr>
            <w:tcW w:w="1458" w:type="dxa"/>
            <w:shd w:val="clear" w:color="auto" w:fill="auto"/>
            <w:noWrap/>
            <w:vAlign w:val="center"/>
            <w:hideMark/>
          </w:tcPr>
          <w:p w14:paraId="6EF11E2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6,946,290 </w:t>
            </w:r>
          </w:p>
        </w:tc>
      </w:tr>
      <w:tr w:rsidR="003E5BF5" w:rsidRPr="00655316" w14:paraId="1EC2E910" w14:textId="77777777" w:rsidTr="002B0577">
        <w:trPr>
          <w:trHeight w:val="340"/>
          <w:jc w:val="center"/>
        </w:trPr>
        <w:tc>
          <w:tcPr>
            <w:tcW w:w="4390" w:type="dxa"/>
            <w:shd w:val="clear" w:color="auto" w:fill="auto"/>
            <w:noWrap/>
            <w:vAlign w:val="center"/>
            <w:hideMark/>
          </w:tcPr>
          <w:p w14:paraId="662E1F60"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Net carrying amount</w:t>
            </w:r>
          </w:p>
        </w:tc>
        <w:tc>
          <w:tcPr>
            <w:tcW w:w="1898" w:type="dxa"/>
            <w:shd w:val="clear" w:color="auto" w:fill="auto"/>
            <w:noWrap/>
            <w:vAlign w:val="center"/>
            <w:hideMark/>
          </w:tcPr>
          <w:p w14:paraId="1276961F"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114,465 </w:t>
            </w:r>
          </w:p>
        </w:tc>
        <w:tc>
          <w:tcPr>
            <w:tcW w:w="1511" w:type="dxa"/>
            <w:shd w:val="clear" w:color="auto" w:fill="auto"/>
            <w:noWrap/>
            <w:vAlign w:val="center"/>
            <w:hideMark/>
          </w:tcPr>
          <w:p w14:paraId="6A69DA7B"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115,116 </w:t>
            </w:r>
          </w:p>
        </w:tc>
        <w:tc>
          <w:tcPr>
            <w:tcW w:w="1637" w:type="dxa"/>
            <w:shd w:val="clear" w:color="auto" w:fill="auto"/>
            <w:noWrap/>
            <w:vAlign w:val="center"/>
            <w:hideMark/>
          </w:tcPr>
          <w:p w14:paraId="79EF9BDD"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87,749,037 </w:t>
            </w:r>
          </w:p>
        </w:tc>
        <w:tc>
          <w:tcPr>
            <w:tcW w:w="1461" w:type="dxa"/>
            <w:shd w:val="clear" w:color="auto" w:fill="auto"/>
            <w:noWrap/>
            <w:vAlign w:val="center"/>
            <w:hideMark/>
          </w:tcPr>
          <w:p w14:paraId="783B5ECC"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8,510,966 </w:t>
            </w:r>
          </w:p>
        </w:tc>
        <w:tc>
          <w:tcPr>
            <w:tcW w:w="1637" w:type="dxa"/>
            <w:shd w:val="clear" w:color="auto" w:fill="auto"/>
            <w:noWrap/>
            <w:vAlign w:val="center"/>
            <w:hideMark/>
          </w:tcPr>
          <w:p w14:paraId="18B0BF82"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87,863,502 </w:t>
            </w:r>
          </w:p>
        </w:tc>
        <w:tc>
          <w:tcPr>
            <w:tcW w:w="1458" w:type="dxa"/>
            <w:shd w:val="clear" w:color="auto" w:fill="auto"/>
            <w:noWrap/>
            <w:vAlign w:val="center"/>
            <w:hideMark/>
          </w:tcPr>
          <w:p w14:paraId="4FAF9A65"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8,626,082 </w:t>
            </w:r>
          </w:p>
        </w:tc>
      </w:tr>
    </w:tbl>
    <w:p w14:paraId="3673D285" w14:textId="77777777" w:rsidR="003E5BF5" w:rsidRDefault="003E5BF5" w:rsidP="00DE1921">
      <w:pPr>
        <w:rPr>
          <w:lang w:eastAsia="en-AU"/>
        </w:rPr>
      </w:pPr>
    </w:p>
    <w:p w14:paraId="14600BA4" w14:textId="77777777" w:rsidR="003E5BF5" w:rsidRPr="007444F0" w:rsidRDefault="003E5BF5" w:rsidP="00DE1921">
      <w:pPr>
        <w:sectPr w:rsidR="003E5BF5" w:rsidRPr="007444F0" w:rsidSect="00DE1921">
          <w:pgSz w:w="16838" w:h="11906" w:orient="landscape"/>
          <w:pgMar w:top="1418" w:right="1701" w:bottom="1418" w:left="1418" w:header="709" w:footer="709" w:gutter="0"/>
          <w:cols w:space="708"/>
          <w:docGrid w:linePitch="360"/>
        </w:sectPr>
      </w:pPr>
    </w:p>
    <w:p w14:paraId="43AB4574" w14:textId="77777777" w:rsidR="003E5BF5" w:rsidRPr="002A64F7" w:rsidRDefault="003E5BF5" w:rsidP="00610F5F">
      <w:pPr>
        <w:pStyle w:val="Heading2"/>
        <w:numPr>
          <w:ilvl w:val="1"/>
          <w:numId w:val="19"/>
        </w:numPr>
      </w:pPr>
      <w:bookmarkStart w:id="319" w:name="_Intangible_assets"/>
      <w:bookmarkStart w:id="320" w:name="_Toc522000686"/>
      <w:bookmarkStart w:id="321" w:name="_Toc529196863"/>
      <w:bookmarkStart w:id="322" w:name="_Toc529197905"/>
      <w:bookmarkStart w:id="323" w:name="_Toc529197987"/>
      <w:bookmarkStart w:id="324" w:name="_Toc529198222"/>
      <w:bookmarkStart w:id="325" w:name="_Toc529198244"/>
      <w:bookmarkStart w:id="326" w:name="_Toc530386184"/>
      <w:bookmarkStart w:id="327" w:name="_Toc9344263"/>
      <w:bookmarkStart w:id="328" w:name="_Toc41469589"/>
      <w:bookmarkStart w:id="329" w:name="_Toc53420667"/>
      <w:bookmarkEnd w:id="319"/>
      <w:r w:rsidRPr="002A64F7">
        <w:lastRenderedPageBreak/>
        <w:t>Intangible assets</w:t>
      </w:r>
      <w:bookmarkStart w:id="330" w:name="RANGE!A3:I24"/>
      <w:bookmarkEnd w:id="320"/>
      <w:bookmarkEnd w:id="321"/>
      <w:bookmarkEnd w:id="322"/>
      <w:bookmarkEnd w:id="323"/>
      <w:bookmarkEnd w:id="324"/>
      <w:bookmarkEnd w:id="325"/>
      <w:bookmarkEnd w:id="326"/>
      <w:bookmarkEnd w:id="327"/>
      <w:bookmarkEnd w:id="328"/>
      <w:bookmarkEnd w:id="329"/>
      <w:bookmarkEnd w:id="330"/>
    </w:p>
    <w:tbl>
      <w:tblPr>
        <w:tblStyle w:val="TableGrid"/>
        <w:tblW w:w="9072" w:type="dxa"/>
        <w:tblCellMar>
          <w:left w:w="28" w:type="dxa"/>
          <w:right w:w="28" w:type="dxa"/>
        </w:tblCellMar>
        <w:tblLook w:val="04A0" w:firstRow="1" w:lastRow="0" w:firstColumn="1" w:lastColumn="0" w:noHBand="0" w:noVBand="1"/>
      </w:tblPr>
      <w:tblGrid>
        <w:gridCol w:w="2304"/>
        <w:gridCol w:w="950"/>
        <w:gridCol w:w="950"/>
        <w:gridCol w:w="846"/>
        <w:gridCol w:w="846"/>
        <w:gridCol w:w="846"/>
        <w:gridCol w:w="950"/>
        <w:gridCol w:w="950"/>
        <w:gridCol w:w="950"/>
      </w:tblGrid>
      <w:tr w:rsidR="003E5BF5" w:rsidRPr="00655316" w14:paraId="42680840" w14:textId="77777777" w:rsidTr="002B0577">
        <w:trPr>
          <w:trHeight w:val="340"/>
        </w:trPr>
        <w:tc>
          <w:tcPr>
            <w:tcW w:w="2304" w:type="dxa"/>
            <w:shd w:val="clear" w:color="auto" w:fill="auto"/>
            <w:noWrap/>
            <w:hideMark/>
          </w:tcPr>
          <w:p w14:paraId="1C9459CB" w14:textId="77777777" w:rsidR="003E5BF5" w:rsidRPr="00655316" w:rsidRDefault="003E5BF5" w:rsidP="00DE1921">
            <w:pPr>
              <w:rPr>
                <w:rFonts w:ascii="Arial" w:hAnsi="Arial" w:cs="Arial"/>
                <w:sz w:val="24"/>
                <w:szCs w:val="24"/>
              </w:rPr>
            </w:pPr>
          </w:p>
        </w:tc>
        <w:tc>
          <w:tcPr>
            <w:tcW w:w="6768" w:type="dxa"/>
            <w:gridSpan w:val="8"/>
            <w:shd w:val="clear" w:color="auto" w:fill="auto"/>
            <w:noWrap/>
            <w:vAlign w:val="center"/>
            <w:hideMark/>
          </w:tcPr>
          <w:p w14:paraId="024594BF"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 thousand)</w:t>
            </w:r>
          </w:p>
        </w:tc>
      </w:tr>
      <w:tr w:rsidR="003E5BF5" w:rsidRPr="00655316" w14:paraId="6975BC23" w14:textId="77777777" w:rsidTr="002B0577">
        <w:trPr>
          <w:trHeight w:val="340"/>
        </w:trPr>
        <w:tc>
          <w:tcPr>
            <w:tcW w:w="2304" w:type="dxa"/>
            <w:shd w:val="clear" w:color="auto" w:fill="auto"/>
            <w:noWrap/>
            <w:hideMark/>
          </w:tcPr>
          <w:p w14:paraId="2C11672E" w14:textId="77777777" w:rsidR="003E5BF5" w:rsidRPr="00655316" w:rsidRDefault="003E5BF5" w:rsidP="00DE1921">
            <w:pPr>
              <w:rPr>
                <w:rFonts w:ascii="Arial" w:hAnsi="Arial" w:cs="Arial"/>
                <w:sz w:val="24"/>
                <w:szCs w:val="24"/>
              </w:rPr>
            </w:pPr>
          </w:p>
        </w:tc>
        <w:tc>
          <w:tcPr>
            <w:tcW w:w="1692" w:type="dxa"/>
            <w:gridSpan w:val="2"/>
            <w:shd w:val="clear" w:color="auto" w:fill="auto"/>
            <w:noWrap/>
            <w:vAlign w:val="bottom"/>
            <w:hideMark/>
          </w:tcPr>
          <w:p w14:paraId="32B017B8"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Computer software</w:t>
            </w:r>
          </w:p>
        </w:tc>
        <w:tc>
          <w:tcPr>
            <w:tcW w:w="1692" w:type="dxa"/>
            <w:gridSpan w:val="2"/>
            <w:shd w:val="clear" w:color="auto" w:fill="auto"/>
            <w:noWrap/>
            <w:vAlign w:val="bottom"/>
            <w:hideMark/>
          </w:tcPr>
          <w:p w14:paraId="288AB6AD"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Work in progress</w:t>
            </w:r>
          </w:p>
        </w:tc>
        <w:tc>
          <w:tcPr>
            <w:tcW w:w="1692" w:type="dxa"/>
            <w:gridSpan w:val="2"/>
            <w:shd w:val="clear" w:color="auto" w:fill="auto"/>
            <w:noWrap/>
            <w:vAlign w:val="bottom"/>
            <w:hideMark/>
          </w:tcPr>
          <w:p w14:paraId="6C8ED39A"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Other</w:t>
            </w:r>
          </w:p>
        </w:tc>
        <w:tc>
          <w:tcPr>
            <w:tcW w:w="1692" w:type="dxa"/>
            <w:gridSpan w:val="2"/>
            <w:shd w:val="clear" w:color="auto" w:fill="auto"/>
            <w:noWrap/>
            <w:vAlign w:val="bottom"/>
            <w:hideMark/>
          </w:tcPr>
          <w:p w14:paraId="3E58A319" w14:textId="77777777" w:rsidR="003E5BF5" w:rsidRPr="00655316" w:rsidRDefault="003E5BF5" w:rsidP="00DE1921">
            <w:pPr>
              <w:jc w:val="center"/>
              <w:rPr>
                <w:rFonts w:ascii="Arial" w:hAnsi="Arial" w:cs="Arial"/>
                <w:b/>
                <w:sz w:val="24"/>
                <w:szCs w:val="24"/>
              </w:rPr>
            </w:pPr>
            <w:r w:rsidRPr="00655316">
              <w:rPr>
                <w:rFonts w:ascii="Arial" w:hAnsi="Arial" w:cs="Arial"/>
                <w:b/>
                <w:sz w:val="24"/>
                <w:szCs w:val="24"/>
              </w:rPr>
              <w:t>Total</w:t>
            </w:r>
          </w:p>
        </w:tc>
      </w:tr>
      <w:tr w:rsidR="003E5BF5" w:rsidRPr="00655316" w14:paraId="75E50FEA" w14:textId="77777777" w:rsidTr="002B0577">
        <w:trPr>
          <w:trHeight w:val="340"/>
        </w:trPr>
        <w:tc>
          <w:tcPr>
            <w:tcW w:w="2304" w:type="dxa"/>
            <w:shd w:val="clear" w:color="auto" w:fill="auto"/>
            <w:noWrap/>
            <w:hideMark/>
          </w:tcPr>
          <w:p w14:paraId="64BF848C" w14:textId="77777777" w:rsidR="003E5BF5" w:rsidRPr="00655316" w:rsidRDefault="003E5BF5" w:rsidP="00DE1921">
            <w:pPr>
              <w:rPr>
                <w:rFonts w:ascii="Arial" w:hAnsi="Arial" w:cs="Arial"/>
                <w:b/>
                <w:sz w:val="24"/>
                <w:szCs w:val="24"/>
              </w:rPr>
            </w:pPr>
          </w:p>
        </w:tc>
        <w:tc>
          <w:tcPr>
            <w:tcW w:w="846" w:type="dxa"/>
            <w:shd w:val="clear" w:color="auto" w:fill="auto"/>
            <w:noWrap/>
            <w:vAlign w:val="center"/>
            <w:hideMark/>
          </w:tcPr>
          <w:p w14:paraId="224CD60A"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846" w:type="dxa"/>
            <w:shd w:val="clear" w:color="auto" w:fill="auto"/>
            <w:noWrap/>
            <w:vAlign w:val="center"/>
            <w:hideMark/>
          </w:tcPr>
          <w:p w14:paraId="78BBF5A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846" w:type="dxa"/>
            <w:shd w:val="clear" w:color="auto" w:fill="auto"/>
            <w:noWrap/>
            <w:vAlign w:val="center"/>
            <w:hideMark/>
          </w:tcPr>
          <w:p w14:paraId="5DCCE8F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846" w:type="dxa"/>
            <w:shd w:val="clear" w:color="auto" w:fill="auto"/>
            <w:noWrap/>
            <w:vAlign w:val="center"/>
            <w:hideMark/>
          </w:tcPr>
          <w:p w14:paraId="1911C34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846" w:type="dxa"/>
            <w:shd w:val="clear" w:color="auto" w:fill="auto"/>
            <w:noWrap/>
            <w:vAlign w:val="center"/>
            <w:hideMark/>
          </w:tcPr>
          <w:p w14:paraId="597CCD6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846" w:type="dxa"/>
            <w:shd w:val="clear" w:color="auto" w:fill="auto"/>
            <w:noWrap/>
            <w:vAlign w:val="center"/>
            <w:hideMark/>
          </w:tcPr>
          <w:p w14:paraId="23E025F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c>
          <w:tcPr>
            <w:tcW w:w="846" w:type="dxa"/>
            <w:shd w:val="clear" w:color="auto" w:fill="auto"/>
            <w:noWrap/>
            <w:vAlign w:val="center"/>
            <w:hideMark/>
          </w:tcPr>
          <w:p w14:paraId="691CFD6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2020</w:t>
            </w:r>
          </w:p>
        </w:tc>
        <w:tc>
          <w:tcPr>
            <w:tcW w:w="846" w:type="dxa"/>
            <w:shd w:val="clear" w:color="auto" w:fill="auto"/>
            <w:noWrap/>
            <w:vAlign w:val="center"/>
            <w:hideMark/>
          </w:tcPr>
          <w:p w14:paraId="1832F4C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2019</w:t>
            </w:r>
          </w:p>
        </w:tc>
      </w:tr>
      <w:tr w:rsidR="003E5BF5" w:rsidRPr="00655316" w14:paraId="688DCB64" w14:textId="77777777" w:rsidTr="002B0577">
        <w:trPr>
          <w:trHeight w:val="340"/>
        </w:trPr>
        <w:tc>
          <w:tcPr>
            <w:tcW w:w="2304" w:type="dxa"/>
            <w:shd w:val="clear" w:color="auto" w:fill="auto"/>
            <w:noWrap/>
            <w:vAlign w:val="center"/>
            <w:hideMark/>
          </w:tcPr>
          <w:p w14:paraId="6FA088DA" w14:textId="77777777" w:rsidR="003E5BF5" w:rsidRPr="00655316" w:rsidRDefault="003E5BF5" w:rsidP="00604703">
            <w:pPr>
              <w:pStyle w:val="TableTextGreen"/>
            </w:pPr>
            <w:r w:rsidRPr="00655316">
              <w:t>Gross carrying amount</w:t>
            </w:r>
          </w:p>
        </w:tc>
        <w:tc>
          <w:tcPr>
            <w:tcW w:w="846" w:type="dxa"/>
            <w:shd w:val="clear" w:color="auto" w:fill="auto"/>
            <w:noWrap/>
            <w:vAlign w:val="center"/>
            <w:hideMark/>
          </w:tcPr>
          <w:p w14:paraId="7CAF1558" w14:textId="77777777" w:rsidR="003E5BF5" w:rsidRPr="00655316" w:rsidRDefault="003E5BF5" w:rsidP="00DE1921">
            <w:pPr>
              <w:jc w:val="right"/>
              <w:rPr>
                <w:rFonts w:ascii="Arial" w:hAnsi="Arial" w:cs="Arial"/>
                <w:b/>
                <w:sz w:val="24"/>
                <w:szCs w:val="24"/>
              </w:rPr>
            </w:pPr>
          </w:p>
        </w:tc>
        <w:tc>
          <w:tcPr>
            <w:tcW w:w="846" w:type="dxa"/>
            <w:shd w:val="clear" w:color="auto" w:fill="auto"/>
            <w:noWrap/>
            <w:vAlign w:val="center"/>
            <w:hideMark/>
          </w:tcPr>
          <w:p w14:paraId="63D2BE70" w14:textId="77777777" w:rsidR="003E5BF5" w:rsidRPr="00655316" w:rsidRDefault="003E5BF5" w:rsidP="00DE1921">
            <w:pPr>
              <w:jc w:val="right"/>
              <w:rPr>
                <w:rFonts w:ascii="Arial" w:hAnsi="Arial" w:cs="Arial"/>
                <w:sz w:val="24"/>
                <w:szCs w:val="24"/>
              </w:rPr>
            </w:pPr>
          </w:p>
        </w:tc>
        <w:tc>
          <w:tcPr>
            <w:tcW w:w="846" w:type="dxa"/>
            <w:shd w:val="clear" w:color="auto" w:fill="auto"/>
            <w:noWrap/>
            <w:vAlign w:val="center"/>
            <w:hideMark/>
          </w:tcPr>
          <w:p w14:paraId="26E0B711" w14:textId="77777777" w:rsidR="003E5BF5" w:rsidRPr="00655316" w:rsidRDefault="003E5BF5" w:rsidP="00DE1921">
            <w:pPr>
              <w:jc w:val="right"/>
              <w:rPr>
                <w:rFonts w:ascii="Arial" w:hAnsi="Arial" w:cs="Arial"/>
                <w:sz w:val="24"/>
                <w:szCs w:val="24"/>
              </w:rPr>
            </w:pPr>
          </w:p>
        </w:tc>
        <w:tc>
          <w:tcPr>
            <w:tcW w:w="846" w:type="dxa"/>
            <w:shd w:val="clear" w:color="auto" w:fill="auto"/>
            <w:noWrap/>
            <w:vAlign w:val="center"/>
            <w:hideMark/>
          </w:tcPr>
          <w:p w14:paraId="15DBBBA1" w14:textId="77777777" w:rsidR="003E5BF5" w:rsidRPr="00655316" w:rsidRDefault="003E5BF5" w:rsidP="00DE1921">
            <w:pPr>
              <w:jc w:val="right"/>
              <w:rPr>
                <w:rFonts w:ascii="Arial" w:hAnsi="Arial" w:cs="Arial"/>
                <w:sz w:val="24"/>
                <w:szCs w:val="24"/>
              </w:rPr>
            </w:pPr>
          </w:p>
        </w:tc>
        <w:tc>
          <w:tcPr>
            <w:tcW w:w="846" w:type="dxa"/>
            <w:shd w:val="clear" w:color="auto" w:fill="auto"/>
            <w:noWrap/>
            <w:vAlign w:val="center"/>
            <w:hideMark/>
          </w:tcPr>
          <w:p w14:paraId="29B9C8A9" w14:textId="77777777" w:rsidR="003E5BF5" w:rsidRPr="00655316" w:rsidRDefault="003E5BF5" w:rsidP="00DE1921">
            <w:pPr>
              <w:jc w:val="right"/>
              <w:rPr>
                <w:rFonts w:ascii="Arial" w:hAnsi="Arial" w:cs="Arial"/>
                <w:sz w:val="24"/>
                <w:szCs w:val="24"/>
              </w:rPr>
            </w:pPr>
          </w:p>
        </w:tc>
        <w:tc>
          <w:tcPr>
            <w:tcW w:w="846" w:type="dxa"/>
            <w:shd w:val="clear" w:color="auto" w:fill="auto"/>
            <w:noWrap/>
            <w:vAlign w:val="center"/>
            <w:hideMark/>
          </w:tcPr>
          <w:p w14:paraId="5753C593" w14:textId="77777777" w:rsidR="003E5BF5" w:rsidRPr="00655316" w:rsidRDefault="003E5BF5" w:rsidP="00DE1921">
            <w:pPr>
              <w:jc w:val="right"/>
              <w:rPr>
                <w:rFonts w:ascii="Arial" w:hAnsi="Arial" w:cs="Arial"/>
                <w:sz w:val="24"/>
                <w:szCs w:val="24"/>
              </w:rPr>
            </w:pPr>
          </w:p>
        </w:tc>
        <w:tc>
          <w:tcPr>
            <w:tcW w:w="846" w:type="dxa"/>
            <w:shd w:val="clear" w:color="auto" w:fill="auto"/>
            <w:noWrap/>
            <w:vAlign w:val="center"/>
            <w:hideMark/>
          </w:tcPr>
          <w:p w14:paraId="43CF6B7F" w14:textId="77777777" w:rsidR="003E5BF5" w:rsidRPr="00655316" w:rsidRDefault="003E5BF5" w:rsidP="00DE1921">
            <w:pPr>
              <w:jc w:val="right"/>
              <w:rPr>
                <w:rFonts w:ascii="Arial" w:hAnsi="Arial" w:cs="Arial"/>
                <w:sz w:val="24"/>
                <w:szCs w:val="24"/>
              </w:rPr>
            </w:pPr>
          </w:p>
        </w:tc>
        <w:tc>
          <w:tcPr>
            <w:tcW w:w="846" w:type="dxa"/>
            <w:shd w:val="clear" w:color="auto" w:fill="auto"/>
            <w:noWrap/>
            <w:vAlign w:val="center"/>
            <w:hideMark/>
          </w:tcPr>
          <w:p w14:paraId="075BD1D7" w14:textId="77777777" w:rsidR="003E5BF5" w:rsidRPr="00655316" w:rsidRDefault="003E5BF5" w:rsidP="00DE1921">
            <w:pPr>
              <w:jc w:val="right"/>
              <w:rPr>
                <w:rFonts w:ascii="Arial" w:hAnsi="Arial" w:cs="Arial"/>
                <w:sz w:val="24"/>
                <w:szCs w:val="24"/>
              </w:rPr>
            </w:pPr>
          </w:p>
        </w:tc>
      </w:tr>
      <w:tr w:rsidR="003E5BF5" w:rsidRPr="00655316" w14:paraId="53F7A0D9" w14:textId="77777777" w:rsidTr="002B0577">
        <w:trPr>
          <w:trHeight w:val="340"/>
        </w:trPr>
        <w:tc>
          <w:tcPr>
            <w:tcW w:w="2304" w:type="dxa"/>
            <w:shd w:val="clear" w:color="auto" w:fill="auto"/>
            <w:noWrap/>
            <w:vAlign w:val="center"/>
            <w:hideMark/>
          </w:tcPr>
          <w:p w14:paraId="22C0B490" w14:textId="77777777" w:rsidR="003E5BF5" w:rsidRPr="00655316" w:rsidRDefault="003E5BF5" w:rsidP="00DE1921">
            <w:pPr>
              <w:rPr>
                <w:rFonts w:ascii="Arial" w:hAnsi="Arial" w:cs="Arial"/>
                <w:b/>
                <w:sz w:val="24"/>
                <w:szCs w:val="24"/>
              </w:rPr>
            </w:pPr>
            <w:r w:rsidRPr="00655316">
              <w:rPr>
                <w:rFonts w:ascii="Arial" w:hAnsi="Arial" w:cs="Arial"/>
                <w:b/>
                <w:sz w:val="24"/>
                <w:szCs w:val="24"/>
              </w:rPr>
              <w:t>Opening balance</w:t>
            </w:r>
          </w:p>
        </w:tc>
        <w:tc>
          <w:tcPr>
            <w:tcW w:w="846" w:type="dxa"/>
            <w:shd w:val="clear" w:color="auto" w:fill="auto"/>
            <w:noWrap/>
            <w:vAlign w:val="center"/>
            <w:hideMark/>
          </w:tcPr>
          <w:p w14:paraId="55DBCE1B"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20,580 </w:t>
            </w:r>
          </w:p>
        </w:tc>
        <w:tc>
          <w:tcPr>
            <w:tcW w:w="846" w:type="dxa"/>
            <w:shd w:val="clear" w:color="auto" w:fill="auto"/>
            <w:noWrap/>
            <w:vAlign w:val="center"/>
            <w:hideMark/>
          </w:tcPr>
          <w:p w14:paraId="6C7EBAD2"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25,906 </w:t>
            </w:r>
          </w:p>
        </w:tc>
        <w:tc>
          <w:tcPr>
            <w:tcW w:w="846" w:type="dxa"/>
            <w:shd w:val="clear" w:color="auto" w:fill="auto"/>
            <w:noWrap/>
            <w:vAlign w:val="center"/>
            <w:hideMark/>
          </w:tcPr>
          <w:p w14:paraId="54D2026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846" w:type="dxa"/>
            <w:shd w:val="clear" w:color="auto" w:fill="auto"/>
            <w:noWrap/>
            <w:vAlign w:val="center"/>
            <w:hideMark/>
          </w:tcPr>
          <w:p w14:paraId="17B2E37D"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846" w:type="dxa"/>
            <w:shd w:val="clear" w:color="auto" w:fill="auto"/>
            <w:noWrap/>
            <w:vAlign w:val="center"/>
            <w:hideMark/>
          </w:tcPr>
          <w:p w14:paraId="44CE037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846" w:type="dxa"/>
            <w:shd w:val="clear" w:color="auto" w:fill="auto"/>
            <w:noWrap/>
            <w:vAlign w:val="center"/>
            <w:hideMark/>
          </w:tcPr>
          <w:p w14:paraId="2E68740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32,925 </w:t>
            </w:r>
          </w:p>
        </w:tc>
        <w:tc>
          <w:tcPr>
            <w:tcW w:w="846" w:type="dxa"/>
            <w:shd w:val="clear" w:color="auto" w:fill="auto"/>
            <w:noWrap/>
            <w:vAlign w:val="center"/>
            <w:hideMark/>
          </w:tcPr>
          <w:p w14:paraId="783905EA"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20,580 </w:t>
            </w:r>
          </w:p>
        </w:tc>
        <w:tc>
          <w:tcPr>
            <w:tcW w:w="846" w:type="dxa"/>
            <w:shd w:val="clear" w:color="auto" w:fill="auto"/>
            <w:noWrap/>
            <w:vAlign w:val="center"/>
            <w:hideMark/>
          </w:tcPr>
          <w:p w14:paraId="3EA4D120"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58,831 </w:t>
            </w:r>
          </w:p>
        </w:tc>
      </w:tr>
      <w:tr w:rsidR="003E5BF5" w:rsidRPr="00655316" w14:paraId="4BEE12C4" w14:textId="77777777" w:rsidTr="002B0577">
        <w:trPr>
          <w:trHeight w:val="340"/>
        </w:trPr>
        <w:tc>
          <w:tcPr>
            <w:tcW w:w="2304" w:type="dxa"/>
            <w:shd w:val="clear" w:color="auto" w:fill="auto"/>
            <w:noWrap/>
            <w:vAlign w:val="center"/>
            <w:hideMark/>
          </w:tcPr>
          <w:p w14:paraId="5DE29812" w14:textId="77777777" w:rsidR="003E5BF5" w:rsidRPr="00655316" w:rsidRDefault="003E5BF5" w:rsidP="00DE1921">
            <w:pPr>
              <w:rPr>
                <w:rFonts w:ascii="Arial" w:hAnsi="Arial" w:cs="Arial"/>
                <w:sz w:val="24"/>
                <w:szCs w:val="24"/>
              </w:rPr>
            </w:pPr>
            <w:r w:rsidRPr="00655316">
              <w:rPr>
                <w:rFonts w:ascii="Arial" w:hAnsi="Arial" w:cs="Arial"/>
                <w:sz w:val="24"/>
                <w:szCs w:val="24"/>
              </w:rPr>
              <w:t>Additions</w:t>
            </w:r>
          </w:p>
        </w:tc>
        <w:tc>
          <w:tcPr>
            <w:tcW w:w="846" w:type="dxa"/>
            <w:shd w:val="clear" w:color="auto" w:fill="auto"/>
            <w:noWrap/>
            <w:vAlign w:val="center"/>
            <w:hideMark/>
          </w:tcPr>
          <w:p w14:paraId="58F0D25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185 </w:t>
            </w:r>
          </w:p>
        </w:tc>
        <w:tc>
          <w:tcPr>
            <w:tcW w:w="846" w:type="dxa"/>
            <w:shd w:val="clear" w:color="auto" w:fill="auto"/>
            <w:noWrap/>
            <w:vAlign w:val="center"/>
            <w:hideMark/>
          </w:tcPr>
          <w:p w14:paraId="29C136D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664 </w:t>
            </w:r>
          </w:p>
        </w:tc>
        <w:tc>
          <w:tcPr>
            <w:tcW w:w="846" w:type="dxa"/>
            <w:shd w:val="clear" w:color="auto" w:fill="auto"/>
            <w:noWrap/>
            <w:vAlign w:val="center"/>
            <w:hideMark/>
          </w:tcPr>
          <w:p w14:paraId="746249B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14,621 </w:t>
            </w:r>
          </w:p>
        </w:tc>
        <w:tc>
          <w:tcPr>
            <w:tcW w:w="846" w:type="dxa"/>
            <w:shd w:val="clear" w:color="auto" w:fill="auto"/>
            <w:noWrap/>
            <w:vAlign w:val="center"/>
            <w:hideMark/>
          </w:tcPr>
          <w:p w14:paraId="79B21F3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416423A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39B95B3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16ED561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14,806 </w:t>
            </w:r>
          </w:p>
        </w:tc>
        <w:tc>
          <w:tcPr>
            <w:tcW w:w="846" w:type="dxa"/>
            <w:shd w:val="clear" w:color="auto" w:fill="auto"/>
            <w:noWrap/>
            <w:vAlign w:val="center"/>
            <w:hideMark/>
          </w:tcPr>
          <w:p w14:paraId="2A0CE65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664 </w:t>
            </w:r>
          </w:p>
        </w:tc>
      </w:tr>
      <w:tr w:rsidR="003E5BF5" w:rsidRPr="00655316" w14:paraId="64712847" w14:textId="77777777" w:rsidTr="002B0577">
        <w:trPr>
          <w:trHeight w:val="340"/>
        </w:trPr>
        <w:tc>
          <w:tcPr>
            <w:tcW w:w="2304" w:type="dxa"/>
            <w:shd w:val="clear" w:color="auto" w:fill="auto"/>
            <w:noWrap/>
            <w:vAlign w:val="center"/>
            <w:hideMark/>
          </w:tcPr>
          <w:p w14:paraId="0752BDA7" w14:textId="77777777" w:rsidR="003E5BF5" w:rsidRPr="00655316" w:rsidRDefault="003E5BF5" w:rsidP="00DE1921">
            <w:pPr>
              <w:rPr>
                <w:rFonts w:ascii="Arial" w:hAnsi="Arial" w:cs="Arial"/>
                <w:sz w:val="24"/>
                <w:szCs w:val="24"/>
              </w:rPr>
            </w:pPr>
            <w:r w:rsidRPr="00655316">
              <w:rPr>
                <w:rFonts w:ascii="Arial" w:hAnsi="Arial" w:cs="Arial"/>
                <w:sz w:val="24"/>
                <w:szCs w:val="24"/>
              </w:rPr>
              <w:t>Disposals/write-offs</w:t>
            </w:r>
          </w:p>
        </w:tc>
        <w:tc>
          <w:tcPr>
            <w:tcW w:w="846" w:type="dxa"/>
            <w:shd w:val="clear" w:color="auto" w:fill="auto"/>
            <w:noWrap/>
            <w:vAlign w:val="center"/>
            <w:hideMark/>
          </w:tcPr>
          <w:p w14:paraId="0C4257F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(545)</w:t>
            </w:r>
          </w:p>
        </w:tc>
        <w:tc>
          <w:tcPr>
            <w:tcW w:w="846" w:type="dxa"/>
            <w:shd w:val="clear" w:color="auto" w:fill="auto"/>
            <w:noWrap/>
            <w:vAlign w:val="center"/>
            <w:hideMark/>
          </w:tcPr>
          <w:p w14:paraId="68360761"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(67)</w:t>
            </w:r>
          </w:p>
        </w:tc>
        <w:tc>
          <w:tcPr>
            <w:tcW w:w="846" w:type="dxa"/>
            <w:shd w:val="clear" w:color="auto" w:fill="auto"/>
            <w:noWrap/>
            <w:vAlign w:val="center"/>
            <w:hideMark/>
          </w:tcPr>
          <w:p w14:paraId="7BC6143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7902651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6BEDC8F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1C44D92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184B39A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(545)</w:t>
            </w:r>
          </w:p>
        </w:tc>
        <w:tc>
          <w:tcPr>
            <w:tcW w:w="846" w:type="dxa"/>
            <w:shd w:val="clear" w:color="auto" w:fill="auto"/>
            <w:noWrap/>
            <w:vAlign w:val="center"/>
            <w:hideMark/>
          </w:tcPr>
          <w:p w14:paraId="18F0AED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(67)</w:t>
            </w:r>
          </w:p>
        </w:tc>
      </w:tr>
      <w:tr w:rsidR="003E5BF5" w:rsidRPr="00655316" w14:paraId="4F32777B" w14:textId="77777777" w:rsidTr="002B0577">
        <w:trPr>
          <w:trHeight w:val="340"/>
        </w:trPr>
        <w:tc>
          <w:tcPr>
            <w:tcW w:w="2304" w:type="dxa"/>
            <w:shd w:val="clear" w:color="auto" w:fill="auto"/>
            <w:noWrap/>
            <w:vAlign w:val="center"/>
            <w:hideMark/>
          </w:tcPr>
          <w:p w14:paraId="64231D62" w14:textId="77777777" w:rsidR="003E5BF5" w:rsidRPr="00655316" w:rsidRDefault="003E5BF5" w:rsidP="00DE1921">
            <w:pPr>
              <w:rPr>
                <w:rFonts w:ascii="Arial" w:hAnsi="Arial" w:cs="Arial"/>
                <w:sz w:val="24"/>
                <w:szCs w:val="24"/>
              </w:rPr>
            </w:pPr>
            <w:r w:rsidRPr="00655316">
              <w:rPr>
                <w:rFonts w:ascii="Arial" w:hAnsi="Arial" w:cs="Arial"/>
                <w:sz w:val="24"/>
                <w:szCs w:val="24"/>
              </w:rPr>
              <w:t xml:space="preserve">Net </w:t>
            </w:r>
            <w:proofErr w:type="spellStart"/>
            <w:r w:rsidRPr="00655316">
              <w:rPr>
                <w:rFonts w:ascii="Arial" w:hAnsi="Arial" w:cs="Arial"/>
                <w:sz w:val="24"/>
                <w:szCs w:val="24"/>
              </w:rPr>
              <w:t>MoG</w:t>
            </w:r>
            <w:proofErr w:type="spellEnd"/>
            <w:r w:rsidRPr="00655316">
              <w:rPr>
                <w:rFonts w:ascii="Arial" w:hAnsi="Arial" w:cs="Arial"/>
                <w:sz w:val="24"/>
                <w:szCs w:val="24"/>
              </w:rPr>
              <w:t xml:space="preserve"> transfers</w:t>
            </w:r>
          </w:p>
        </w:tc>
        <w:tc>
          <w:tcPr>
            <w:tcW w:w="846" w:type="dxa"/>
            <w:shd w:val="clear" w:color="auto" w:fill="auto"/>
            <w:noWrap/>
            <w:vAlign w:val="center"/>
            <w:hideMark/>
          </w:tcPr>
          <w:p w14:paraId="322B208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67,771 </w:t>
            </w:r>
          </w:p>
        </w:tc>
        <w:tc>
          <w:tcPr>
            <w:tcW w:w="846" w:type="dxa"/>
            <w:shd w:val="clear" w:color="auto" w:fill="auto"/>
            <w:noWrap/>
            <w:vAlign w:val="center"/>
            <w:hideMark/>
          </w:tcPr>
          <w:p w14:paraId="3B8BB26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(5,923)</w:t>
            </w:r>
          </w:p>
        </w:tc>
        <w:tc>
          <w:tcPr>
            <w:tcW w:w="846" w:type="dxa"/>
            <w:shd w:val="clear" w:color="auto" w:fill="auto"/>
            <w:noWrap/>
            <w:vAlign w:val="center"/>
            <w:hideMark/>
          </w:tcPr>
          <w:p w14:paraId="7948380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20,081 </w:t>
            </w:r>
          </w:p>
        </w:tc>
        <w:tc>
          <w:tcPr>
            <w:tcW w:w="846" w:type="dxa"/>
            <w:shd w:val="clear" w:color="auto" w:fill="auto"/>
            <w:noWrap/>
            <w:vAlign w:val="center"/>
            <w:hideMark/>
          </w:tcPr>
          <w:p w14:paraId="629AC5E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66A7FD5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931 </w:t>
            </w:r>
          </w:p>
        </w:tc>
        <w:tc>
          <w:tcPr>
            <w:tcW w:w="846" w:type="dxa"/>
            <w:shd w:val="clear" w:color="auto" w:fill="auto"/>
            <w:noWrap/>
            <w:vAlign w:val="center"/>
            <w:hideMark/>
          </w:tcPr>
          <w:p w14:paraId="55AE260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(32,925)</w:t>
            </w:r>
          </w:p>
        </w:tc>
        <w:tc>
          <w:tcPr>
            <w:tcW w:w="846" w:type="dxa"/>
            <w:shd w:val="clear" w:color="auto" w:fill="auto"/>
            <w:noWrap/>
            <w:vAlign w:val="center"/>
            <w:hideMark/>
          </w:tcPr>
          <w:p w14:paraId="14F5C252"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88,783 </w:t>
            </w:r>
          </w:p>
        </w:tc>
        <w:tc>
          <w:tcPr>
            <w:tcW w:w="846" w:type="dxa"/>
            <w:shd w:val="clear" w:color="auto" w:fill="auto"/>
            <w:noWrap/>
            <w:vAlign w:val="center"/>
            <w:hideMark/>
          </w:tcPr>
          <w:p w14:paraId="332C8D3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(38,848)</w:t>
            </w:r>
          </w:p>
        </w:tc>
      </w:tr>
      <w:tr w:rsidR="003E5BF5" w:rsidRPr="00655316" w14:paraId="392D2E24" w14:textId="77777777" w:rsidTr="002B0577">
        <w:trPr>
          <w:trHeight w:val="340"/>
        </w:trPr>
        <w:tc>
          <w:tcPr>
            <w:tcW w:w="2304" w:type="dxa"/>
            <w:shd w:val="clear" w:color="auto" w:fill="auto"/>
            <w:noWrap/>
            <w:vAlign w:val="center"/>
            <w:hideMark/>
          </w:tcPr>
          <w:p w14:paraId="5E1E973A" w14:textId="77777777" w:rsidR="003E5BF5" w:rsidRPr="00655316" w:rsidRDefault="003E5BF5" w:rsidP="00DE1921">
            <w:pPr>
              <w:rPr>
                <w:rFonts w:ascii="Arial" w:hAnsi="Arial" w:cs="Arial"/>
                <w:sz w:val="24"/>
                <w:szCs w:val="24"/>
              </w:rPr>
            </w:pPr>
            <w:r w:rsidRPr="00655316">
              <w:rPr>
                <w:rFonts w:ascii="Arial" w:hAnsi="Arial" w:cs="Arial"/>
                <w:sz w:val="24"/>
                <w:szCs w:val="24"/>
              </w:rPr>
              <w:t>Transfers between classes</w:t>
            </w:r>
          </w:p>
        </w:tc>
        <w:tc>
          <w:tcPr>
            <w:tcW w:w="846" w:type="dxa"/>
            <w:shd w:val="clear" w:color="auto" w:fill="auto"/>
            <w:noWrap/>
            <w:vAlign w:val="center"/>
            <w:hideMark/>
          </w:tcPr>
          <w:p w14:paraId="569C7B5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6,478 </w:t>
            </w:r>
          </w:p>
        </w:tc>
        <w:tc>
          <w:tcPr>
            <w:tcW w:w="846" w:type="dxa"/>
            <w:shd w:val="clear" w:color="auto" w:fill="auto"/>
            <w:noWrap/>
            <w:vAlign w:val="center"/>
            <w:hideMark/>
          </w:tcPr>
          <w:p w14:paraId="4C34885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165EE28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(6,478)</w:t>
            </w:r>
          </w:p>
        </w:tc>
        <w:tc>
          <w:tcPr>
            <w:tcW w:w="846" w:type="dxa"/>
            <w:shd w:val="clear" w:color="auto" w:fill="auto"/>
            <w:noWrap/>
            <w:vAlign w:val="center"/>
            <w:hideMark/>
          </w:tcPr>
          <w:p w14:paraId="5125DB2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3454DC7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369A28F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5321F82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593AA08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r>
      <w:tr w:rsidR="003E5BF5" w:rsidRPr="00655316" w14:paraId="658336FA" w14:textId="77777777" w:rsidTr="002B0577">
        <w:trPr>
          <w:trHeight w:val="340"/>
        </w:trPr>
        <w:tc>
          <w:tcPr>
            <w:tcW w:w="2304" w:type="dxa"/>
            <w:shd w:val="clear" w:color="auto" w:fill="auto"/>
            <w:noWrap/>
            <w:vAlign w:val="center"/>
            <w:hideMark/>
          </w:tcPr>
          <w:p w14:paraId="154FDF6A" w14:textId="77777777" w:rsidR="003E5BF5" w:rsidRPr="00655316" w:rsidRDefault="003E5BF5" w:rsidP="00DE1921">
            <w:pPr>
              <w:rPr>
                <w:rFonts w:ascii="Arial" w:hAnsi="Arial" w:cs="Arial"/>
                <w:b/>
                <w:sz w:val="24"/>
                <w:szCs w:val="24"/>
              </w:rPr>
            </w:pPr>
            <w:r w:rsidRPr="00655316">
              <w:rPr>
                <w:rFonts w:ascii="Arial" w:hAnsi="Arial" w:cs="Arial"/>
                <w:b/>
                <w:sz w:val="24"/>
                <w:szCs w:val="24"/>
              </w:rPr>
              <w:t>Closing balance</w:t>
            </w:r>
          </w:p>
        </w:tc>
        <w:tc>
          <w:tcPr>
            <w:tcW w:w="846" w:type="dxa"/>
            <w:shd w:val="clear" w:color="auto" w:fill="auto"/>
            <w:noWrap/>
            <w:vAlign w:val="center"/>
            <w:hideMark/>
          </w:tcPr>
          <w:p w14:paraId="343AB229"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94,469 </w:t>
            </w:r>
          </w:p>
        </w:tc>
        <w:tc>
          <w:tcPr>
            <w:tcW w:w="846" w:type="dxa"/>
            <w:shd w:val="clear" w:color="auto" w:fill="auto"/>
            <w:noWrap/>
            <w:vAlign w:val="center"/>
            <w:hideMark/>
          </w:tcPr>
          <w:p w14:paraId="4AD1A1C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20,580 </w:t>
            </w:r>
          </w:p>
        </w:tc>
        <w:tc>
          <w:tcPr>
            <w:tcW w:w="846" w:type="dxa"/>
            <w:shd w:val="clear" w:color="auto" w:fill="auto"/>
            <w:noWrap/>
            <w:vAlign w:val="center"/>
            <w:hideMark/>
          </w:tcPr>
          <w:p w14:paraId="6737B1F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28,224 </w:t>
            </w:r>
          </w:p>
        </w:tc>
        <w:tc>
          <w:tcPr>
            <w:tcW w:w="846" w:type="dxa"/>
            <w:shd w:val="clear" w:color="auto" w:fill="auto"/>
            <w:noWrap/>
            <w:vAlign w:val="center"/>
            <w:hideMark/>
          </w:tcPr>
          <w:p w14:paraId="5EB45CA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846" w:type="dxa"/>
            <w:shd w:val="clear" w:color="auto" w:fill="auto"/>
            <w:noWrap/>
            <w:vAlign w:val="center"/>
            <w:hideMark/>
          </w:tcPr>
          <w:p w14:paraId="4853446A"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931 </w:t>
            </w:r>
          </w:p>
        </w:tc>
        <w:tc>
          <w:tcPr>
            <w:tcW w:w="846" w:type="dxa"/>
            <w:shd w:val="clear" w:color="auto" w:fill="auto"/>
            <w:noWrap/>
            <w:vAlign w:val="center"/>
            <w:hideMark/>
          </w:tcPr>
          <w:p w14:paraId="3D7476D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846" w:type="dxa"/>
            <w:shd w:val="clear" w:color="auto" w:fill="auto"/>
            <w:noWrap/>
            <w:vAlign w:val="center"/>
            <w:hideMark/>
          </w:tcPr>
          <w:p w14:paraId="3800ECC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123,624 </w:t>
            </w:r>
          </w:p>
        </w:tc>
        <w:tc>
          <w:tcPr>
            <w:tcW w:w="846" w:type="dxa"/>
            <w:shd w:val="clear" w:color="auto" w:fill="auto"/>
            <w:noWrap/>
            <w:vAlign w:val="center"/>
            <w:hideMark/>
          </w:tcPr>
          <w:p w14:paraId="1687743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20,580 </w:t>
            </w:r>
          </w:p>
        </w:tc>
      </w:tr>
      <w:tr w:rsidR="003E5BF5" w:rsidRPr="00655316" w14:paraId="4231AD5F" w14:textId="77777777" w:rsidTr="002B0577">
        <w:trPr>
          <w:trHeight w:val="340"/>
        </w:trPr>
        <w:tc>
          <w:tcPr>
            <w:tcW w:w="2304" w:type="dxa"/>
            <w:shd w:val="clear" w:color="auto" w:fill="auto"/>
            <w:noWrap/>
            <w:vAlign w:val="center"/>
            <w:hideMark/>
          </w:tcPr>
          <w:p w14:paraId="75E10775" w14:textId="77777777" w:rsidR="003E5BF5" w:rsidRPr="00655316" w:rsidRDefault="003E5BF5" w:rsidP="00604703">
            <w:pPr>
              <w:pStyle w:val="TableTextGreen"/>
            </w:pPr>
            <w:r w:rsidRPr="00655316">
              <w:t>Accumulated amortisation</w:t>
            </w:r>
          </w:p>
        </w:tc>
        <w:tc>
          <w:tcPr>
            <w:tcW w:w="846" w:type="dxa"/>
            <w:shd w:val="clear" w:color="auto" w:fill="auto"/>
            <w:noWrap/>
            <w:vAlign w:val="center"/>
            <w:hideMark/>
          </w:tcPr>
          <w:p w14:paraId="54E81042" w14:textId="77777777" w:rsidR="003E5BF5" w:rsidRPr="00655316" w:rsidRDefault="003E5BF5" w:rsidP="00DE1921">
            <w:pPr>
              <w:jc w:val="right"/>
              <w:rPr>
                <w:rFonts w:ascii="Arial" w:hAnsi="Arial" w:cs="Arial"/>
                <w:b/>
                <w:sz w:val="24"/>
                <w:szCs w:val="24"/>
              </w:rPr>
            </w:pPr>
          </w:p>
        </w:tc>
        <w:tc>
          <w:tcPr>
            <w:tcW w:w="846" w:type="dxa"/>
            <w:shd w:val="clear" w:color="auto" w:fill="auto"/>
            <w:noWrap/>
            <w:vAlign w:val="center"/>
            <w:hideMark/>
          </w:tcPr>
          <w:p w14:paraId="65C49E73" w14:textId="77777777" w:rsidR="003E5BF5" w:rsidRPr="00655316" w:rsidRDefault="003E5BF5" w:rsidP="00DE1921">
            <w:pPr>
              <w:jc w:val="right"/>
              <w:rPr>
                <w:rFonts w:ascii="Arial" w:hAnsi="Arial" w:cs="Arial"/>
                <w:b/>
                <w:sz w:val="24"/>
                <w:szCs w:val="24"/>
              </w:rPr>
            </w:pPr>
          </w:p>
        </w:tc>
        <w:tc>
          <w:tcPr>
            <w:tcW w:w="846" w:type="dxa"/>
            <w:shd w:val="clear" w:color="auto" w:fill="auto"/>
            <w:noWrap/>
            <w:vAlign w:val="center"/>
            <w:hideMark/>
          </w:tcPr>
          <w:p w14:paraId="42FF7FE3" w14:textId="77777777" w:rsidR="003E5BF5" w:rsidRPr="00655316" w:rsidRDefault="003E5BF5" w:rsidP="00DE1921">
            <w:pPr>
              <w:jc w:val="right"/>
              <w:rPr>
                <w:rFonts w:ascii="Arial" w:hAnsi="Arial" w:cs="Arial"/>
                <w:b/>
                <w:sz w:val="24"/>
                <w:szCs w:val="24"/>
              </w:rPr>
            </w:pPr>
          </w:p>
        </w:tc>
        <w:tc>
          <w:tcPr>
            <w:tcW w:w="846" w:type="dxa"/>
            <w:shd w:val="clear" w:color="auto" w:fill="auto"/>
            <w:noWrap/>
            <w:vAlign w:val="center"/>
            <w:hideMark/>
          </w:tcPr>
          <w:p w14:paraId="5EDA06B2" w14:textId="77777777" w:rsidR="003E5BF5" w:rsidRPr="00655316" w:rsidRDefault="003E5BF5" w:rsidP="00DE1921">
            <w:pPr>
              <w:jc w:val="right"/>
              <w:rPr>
                <w:rFonts w:ascii="Arial" w:hAnsi="Arial" w:cs="Arial"/>
                <w:b/>
                <w:sz w:val="24"/>
                <w:szCs w:val="24"/>
              </w:rPr>
            </w:pPr>
          </w:p>
        </w:tc>
        <w:tc>
          <w:tcPr>
            <w:tcW w:w="846" w:type="dxa"/>
            <w:shd w:val="clear" w:color="auto" w:fill="auto"/>
            <w:noWrap/>
            <w:vAlign w:val="center"/>
            <w:hideMark/>
          </w:tcPr>
          <w:p w14:paraId="6D3FD5B2" w14:textId="77777777" w:rsidR="003E5BF5" w:rsidRPr="00655316" w:rsidRDefault="003E5BF5" w:rsidP="00DE1921">
            <w:pPr>
              <w:jc w:val="right"/>
              <w:rPr>
                <w:rFonts w:ascii="Arial" w:hAnsi="Arial" w:cs="Arial"/>
                <w:b/>
                <w:sz w:val="24"/>
                <w:szCs w:val="24"/>
              </w:rPr>
            </w:pPr>
          </w:p>
        </w:tc>
        <w:tc>
          <w:tcPr>
            <w:tcW w:w="846" w:type="dxa"/>
            <w:shd w:val="clear" w:color="auto" w:fill="auto"/>
            <w:noWrap/>
            <w:vAlign w:val="center"/>
            <w:hideMark/>
          </w:tcPr>
          <w:p w14:paraId="44F5F13E" w14:textId="77777777" w:rsidR="003E5BF5" w:rsidRPr="00655316" w:rsidRDefault="003E5BF5" w:rsidP="00DE1921">
            <w:pPr>
              <w:jc w:val="right"/>
              <w:rPr>
                <w:rFonts w:ascii="Arial" w:hAnsi="Arial" w:cs="Arial"/>
                <w:b/>
                <w:sz w:val="24"/>
                <w:szCs w:val="24"/>
              </w:rPr>
            </w:pPr>
          </w:p>
        </w:tc>
        <w:tc>
          <w:tcPr>
            <w:tcW w:w="846" w:type="dxa"/>
            <w:shd w:val="clear" w:color="auto" w:fill="auto"/>
            <w:noWrap/>
            <w:vAlign w:val="center"/>
            <w:hideMark/>
          </w:tcPr>
          <w:p w14:paraId="2A34C0CD" w14:textId="77777777" w:rsidR="003E5BF5" w:rsidRPr="00655316" w:rsidRDefault="003E5BF5" w:rsidP="00DE1921">
            <w:pPr>
              <w:jc w:val="right"/>
              <w:rPr>
                <w:rFonts w:ascii="Arial" w:hAnsi="Arial" w:cs="Arial"/>
                <w:b/>
                <w:sz w:val="24"/>
                <w:szCs w:val="24"/>
              </w:rPr>
            </w:pPr>
          </w:p>
        </w:tc>
        <w:tc>
          <w:tcPr>
            <w:tcW w:w="846" w:type="dxa"/>
            <w:shd w:val="clear" w:color="auto" w:fill="auto"/>
            <w:noWrap/>
            <w:vAlign w:val="center"/>
            <w:hideMark/>
          </w:tcPr>
          <w:p w14:paraId="44D533D1" w14:textId="77777777" w:rsidR="003E5BF5" w:rsidRPr="00655316" w:rsidRDefault="003E5BF5" w:rsidP="00DE1921">
            <w:pPr>
              <w:jc w:val="right"/>
              <w:rPr>
                <w:rFonts w:ascii="Arial" w:hAnsi="Arial" w:cs="Arial"/>
                <w:b/>
                <w:sz w:val="24"/>
                <w:szCs w:val="24"/>
              </w:rPr>
            </w:pPr>
          </w:p>
        </w:tc>
      </w:tr>
      <w:tr w:rsidR="003E5BF5" w:rsidRPr="00655316" w14:paraId="69A4A0C8" w14:textId="77777777" w:rsidTr="002B0577">
        <w:trPr>
          <w:trHeight w:val="340"/>
        </w:trPr>
        <w:tc>
          <w:tcPr>
            <w:tcW w:w="2304" w:type="dxa"/>
            <w:shd w:val="clear" w:color="auto" w:fill="auto"/>
            <w:noWrap/>
            <w:vAlign w:val="center"/>
            <w:hideMark/>
          </w:tcPr>
          <w:p w14:paraId="06D4E431" w14:textId="77777777" w:rsidR="003E5BF5" w:rsidRPr="00655316" w:rsidRDefault="003E5BF5" w:rsidP="00DE1921">
            <w:pPr>
              <w:rPr>
                <w:rFonts w:ascii="Arial" w:hAnsi="Arial" w:cs="Arial"/>
                <w:b/>
                <w:sz w:val="24"/>
                <w:szCs w:val="24"/>
              </w:rPr>
            </w:pPr>
            <w:r w:rsidRPr="00655316">
              <w:rPr>
                <w:rFonts w:ascii="Arial" w:hAnsi="Arial" w:cs="Arial"/>
                <w:b/>
                <w:sz w:val="24"/>
                <w:szCs w:val="24"/>
              </w:rPr>
              <w:t>Opening balance</w:t>
            </w:r>
          </w:p>
        </w:tc>
        <w:tc>
          <w:tcPr>
            <w:tcW w:w="846" w:type="dxa"/>
            <w:shd w:val="clear" w:color="auto" w:fill="auto"/>
            <w:noWrap/>
            <w:vAlign w:val="center"/>
            <w:hideMark/>
          </w:tcPr>
          <w:p w14:paraId="3042D4A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(19,119)</w:t>
            </w:r>
          </w:p>
        </w:tc>
        <w:tc>
          <w:tcPr>
            <w:tcW w:w="846" w:type="dxa"/>
            <w:shd w:val="clear" w:color="auto" w:fill="auto"/>
            <w:noWrap/>
            <w:vAlign w:val="center"/>
            <w:hideMark/>
          </w:tcPr>
          <w:p w14:paraId="0EE44AD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(20,935)</w:t>
            </w:r>
          </w:p>
        </w:tc>
        <w:tc>
          <w:tcPr>
            <w:tcW w:w="846" w:type="dxa"/>
            <w:shd w:val="clear" w:color="auto" w:fill="auto"/>
            <w:noWrap/>
            <w:vAlign w:val="center"/>
            <w:hideMark/>
          </w:tcPr>
          <w:p w14:paraId="67178A2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846" w:type="dxa"/>
            <w:shd w:val="clear" w:color="auto" w:fill="auto"/>
            <w:noWrap/>
            <w:vAlign w:val="center"/>
            <w:hideMark/>
          </w:tcPr>
          <w:p w14:paraId="0D1B933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846" w:type="dxa"/>
            <w:shd w:val="clear" w:color="auto" w:fill="auto"/>
            <w:noWrap/>
            <w:vAlign w:val="center"/>
            <w:hideMark/>
          </w:tcPr>
          <w:p w14:paraId="75EAB243"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846" w:type="dxa"/>
            <w:shd w:val="clear" w:color="auto" w:fill="auto"/>
            <w:noWrap/>
            <w:vAlign w:val="center"/>
            <w:hideMark/>
          </w:tcPr>
          <w:p w14:paraId="47C5B10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(614)</w:t>
            </w:r>
          </w:p>
        </w:tc>
        <w:tc>
          <w:tcPr>
            <w:tcW w:w="846" w:type="dxa"/>
            <w:shd w:val="clear" w:color="auto" w:fill="auto"/>
            <w:noWrap/>
            <w:vAlign w:val="center"/>
            <w:hideMark/>
          </w:tcPr>
          <w:p w14:paraId="0624F040"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(19,119)</w:t>
            </w:r>
          </w:p>
        </w:tc>
        <w:tc>
          <w:tcPr>
            <w:tcW w:w="846" w:type="dxa"/>
            <w:shd w:val="clear" w:color="auto" w:fill="auto"/>
            <w:noWrap/>
            <w:vAlign w:val="center"/>
            <w:hideMark/>
          </w:tcPr>
          <w:p w14:paraId="52217C26"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(21,549)</w:t>
            </w:r>
          </w:p>
        </w:tc>
      </w:tr>
      <w:tr w:rsidR="003E5BF5" w:rsidRPr="00655316" w14:paraId="5F7F7369" w14:textId="77777777" w:rsidTr="002B0577">
        <w:trPr>
          <w:trHeight w:val="340"/>
        </w:trPr>
        <w:tc>
          <w:tcPr>
            <w:tcW w:w="2304" w:type="dxa"/>
            <w:shd w:val="clear" w:color="auto" w:fill="auto"/>
            <w:noWrap/>
            <w:vAlign w:val="center"/>
            <w:hideMark/>
          </w:tcPr>
          <w:p w14:paraId="6BB916D5" w14:textId="77777777" w:rsidR="003E5BF5" w:rsidRPr="00655316" w:rsidRDefault="003E5BF5" w:rsidP="00DE1921">
            <w:pPr>
              <w:rPr>
                <w:rFonts w:ascii="Arial" w:hAnsi="Arial" w:cs="Arial"/>
                <w:sz w:val="24"/>
                <w:szCs w:val="24"/>
              </w:rPr>
            </w:pPr>
            <w:r w:rsidRPr="00655316">
              <w:rPr>
                <w:rFonts w:ascii="Arial" w:hAnsi="Arial" w:cs="Arial"/>
                <w:sz w:val="24"/>
                <w:szCs w:val="24"/>
              </w:rPr>
              <w:t>Amortisation</w:t>
            </w:r>
          </w:p>
        </w:tc>
        <w:tc>
          <w:tcPr>
            <w:tcW w:w="846" w:type="dxa"/>
            <w:shd w:val="clear" w:color="auto" w:fill="auto"/>
            <w:noWrap/>
            <w:vAlign w:val="center"/>
            <w:hideMark/>
          </w:tcPr>
          <w:p w14:paraId="36ADE51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(18,756)</w:t>
            </w:r>
          </w:p>
        </w:tc>
        <w:tc>
          <w:tcPr>
            <w:tcW w:w="846" w:type="dxa"/>
            <w:shd w:val="clear" w:color="auto" w:fill="auto"/>
            <w:noWrap/>
            <w:vAlign w:val="center"/>
            <w:hideMark/>
          </w:tcPr>
          <w:p w14:paraId="483A52A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(1,562)</w:t>
            </w:r>
          </w:p>
        </w:tc>
        <w:tc>
          <w:tcPr>
            <w:tcW w:w="846" w:type="dxa"/>
            <w:shd w:val="clear" w:color="auto" w:fill="auto"/>
            <w:noWrap/>
            <w:vAlign w:val="center"/>
            <w:hideMark/>
          </w:tcPr>
          <w:p w14:paraId="0081024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7041D13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2804CA69"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5AD5D47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(51)</w:t>
            </w:r>
          </w:p>
        </w:tc>
        <w:tc>
          <w:tcPr>
            <w:tcW w:w="846" w:type="dxa"/>
            <w:shd w:val="clear" w:color="auto" w:fill="auto"/>
            <w:noWrap/>
            <w:vAlign w:val="center"/>
            <w:hideMark/>
          </w:tcPr>
          <w:p w14:paraId="5844CD8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(18,756)</w:t>
            </w:r>
          </w:p>
        </w:tc>
        <w:tc>
          <w:tcPr>
            <w:tcW w:w="846" w:type="dxa"/>
            <w:shd w:val="clear" w:color="auto" w:fill="auto"/>
            <w:noWrap/>
            <w:vAlign w:val="center"/>
            <w:hideMark/>
          </w:tcPr>
          <w:p w14:paraId="628D3D8F" w14:textId="77777777" w:rsidR="003E5BF5" w:rsidRPr="00655316" w:rsidRDefault="003E5BF5" w:rsidP="00DE1921">
            <w:pPr>
              <w:jc w:val="right"/>
              <w:rPr>
                <w:rFonts w:ascii="Arial" w:hAnsi="Arial" w:cs="Arial"/>
                <w:b/>
                <w:sz w:val="24"/>
                <w:szCs w:val="24"/>
              </w:rPr>
            </w:pPr>
            <w:r w:rsidRPr="00655316">
              <w:rPr>
                <w:rFonts w:ascii="Arial" w:hAnsi="Arial" w:cs="Arial"/>
                <w:sz w:val="24"/>
                <w:szCs w:val="24"/>
              </w:rPr>
              <w:t>(1,613)</w:t>
            </w:r>
          </w:p>
        </w:tc>
      </w:tr>
      <w:tr w:rsidR="003E5BF5" w:rsidRPr="00655316" w14:paraId="2833E0CC" w14:textId="77777777" w:rsidTr="002B0577">
        <w:trPr>
          <w:trHeight w:val="340"/>
        </w:trPr>
        <w:tc>
          <w:tcPr>
            <w:tcW w:w="2304" w:type="dxa"/>
            <w:shd w:val="clear" w:color="auto" w:fill="auto"/>
            <w:noWrap/>
            <w:vAlign w:val="center"/>
            <w:hideMark/>
          </w:tcPr>
          <w:p w14:paraId="377B6287" w14:textId="77777777" w:rsidR="003E5BF5" w:rsidRPr="00655316" w:rsidRDefault="003E5BF5" w:rsidP="00DE1921">
            <w:pPr>
              <w:rPr>
                <w:rFonts w:ascii="Arial" w:hAnsi="Arial" w:cs="Arial"/>
                <w:sz w:val="24"/>
                <w:szCs w:val="24"/>
              </w:rPr>
            </w:pPr>
            <w:r w:rsidRPr="00655316">
              <w:rPr>
                <w:rFonts w:ascii="Arial" w:hAnsi="Arial" w:cs="Arial"/>
                <w:sz w:val="24"/>
                <w:szCs w:val="24"/>
              </w:rPr>
              <w:t>Disposals/write-offs</w:t>
            </w:r>
          </w:p>
        </w:tc>
        <w:tc>
          <w:tcPr>
            <w:tcW w:w="846" w:type="dxa"/>
            <w:shd w:val="clear" w:color="auto" w:fill="auto"/>
            <w:noWrap/>
            <w:vAlign w:val="center"/>
            <w:hideMark/>
          </w:tcPr>
          <w:p w14:paraId="137FB7A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535 </w:t>
            </w:r>
          </w:p>
        </w:tc>
        <w:tc>
          <w:tcPr>
            <w:tcW w:w="846" w:type="dxa"/>
            <w:shd w:val="clear" w:color="auto" w:fill="auto"/>
            <w:noWrap/>
            <w:vAlign w:val="center"/>
            <w:hideMark/>
          </w:tcPr>
          <w:p w14:paraId="25B536A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67 </w:t>
            </w:r>
          </w:p>
        </w:tc>
        <w:tc>
          <w:tcPr>
            <w:tcW w:w="846" w:type="dxa"/>
            <w:shd w:val="clear" w:color="auto" w:fill="auto"/>
            <w:noWrap/>
            <w:vAlign w:val="center"/>
            <w:hideMark/>
          </w:tcPr>
          <w:p w14:paraId="33FE1B8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3672DDB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6FB17160"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0557684A"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05488E77"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535 </w:t>
            </w:r>
          </w:p>
        </w:tc>
        <w:tc>
          <w:tcPr>
            <w:tcW w:w="846" w:type="dxa"/>
            <w:shd w:val="clear" w:color="auto" w:fill="auto"/>
            <w:noWrap/>
            <w:vAlign w:val="center"/>
            <w:hideMark/>
          </w:tcPr>
          <w:p w14:paraId="4B8E2BD1" w14:textId="77777777" w:rsidR="003E5BF5" w:rsidRPr="00655316" w:rsidRDefault="003E5BF5" w:rsidP="00DE1921">
            <w:pPr>
              <w:jc w:val="right"/>
              <w:rPr>
                <w:rFonts w:ascii="Arial" w:hAnsi="Arial" w:cs="Arial"/>
                <w:b/>
                <w:sz w:val="24"/>
                <w:szCs w:val="24"/>
              </w:rPr>
            </w:pPr>
            <w:r w:rsidRPr="00655316">
              <w:rPr>
                <w:rFonts w:ascii="Arial" w:hAnsi="Arial" w:cs="Arial"/>
                <w:sz w:val="24"/>
                <w:szCs w:val="24"/>
              </w:rPr>
              <w:t xml:space="preserve">67 </w:t>
            </w:r>
          </w:p>
        </w:tc>
      </w:tr>
      <w:tr w:rsidR="003E5BF5" w:rsidRPr="00655316" w14:paraId="01EDDFF8" w14:textId="77777777" w:rsidTr="002B0577">
        <w:trPr>
          <w:trHeight w:val="340"/>
        </w:trPr>
        <w:tc>
          <w:tcPr>
            <w:tcW w:w="2304" w:type="dxa"/>
            <w:shd w:val="clear" w:color="auto" w:fill="auto"/>
            <w:noWrap/>
            <w:vAlign w:val="center"/>
            <w:hideMark/>
          </w:tcPr>
          <w:p w14:paraId="6943ACDA" w14:textId="77777777" w:rsidR="003E5BF5" w:rsidRPr="00655316" w:rsidRDefault="003E5BF5" w:rsidP="00DE1921">
            <w:pPr>
              <w:rPr>
                <w:rFonts w:ascii="Arial" w:hAnsi="Arial" w:cs="Arial"/>
                <w:sz w:val="24"/>
                <w:szCs w:val="24"/>
              </w:rPr>
            </w:pPr>
            <w:r w:rsidRPr="00655316">
              <w:rPr>
                <w:rFonts w:ascii="Arial" w:hAnsi="Arial" w:cs="Arial"/>
                <w:sz w:val="24"/>
                <w:szCs w:val="24"/>
              </w:rPr>
              <w:t xml:space="preserve">Net </w:t>
            </w:r>
            <w:proofErr w:type="spellStart"/>
            <w:r w:rsidRPr="00655316">
              <w:rPr>
                <w:rFonts w:ascii="Arial" w:hAnsi="Arial" w:cs="Arial"/>
                <w:sz w:val="24"/>
                <w:szCs w:val="24"/>
              </w:rPr>
              <w:t>MoG</w:t>
            </w:r>
            <w:proofErr w:type="spellEnd"/>
            <w:r w:rsidRPr="00655316">
              <w:rPr>
                <w:rFonts w:ascii="Arial" w:hAnsi="Arial" w:cs="Arial"/>
                <w:sz w:val="24"/>
                <w:szCs w:val="24"/>
              </w:rPr>
              <w:t xml:space="preserve"> transfers</w:t>
            </w:r>
          </w:p>
        </w:tc>
        <w:tc>
          <w:tcPr>
            <w:tcW w:w="846" w:type="dxa"/>
            <w:shd w:val="clear" w:color="auto" w:fill="auto"/>
            <w:noWrap/>
            <w:vAlign w:val="center"/>
            <w:hideMark/>
          </w:tcPr>
          <w:p w14:paraId="644B109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2EC96D0B"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3,311 </w:t>
            </w:r>
          </w:p>
        </w:tc>
        <w:tc>
          <w:tcPr>
            <w:tcW w:w="846" w:type="dxa"/>
            <w:shd w:val="clear" w:color="auto" w:fill="auto"/>
            <w:noWrap/>
            <w:vAlign w:val="center"/>
            <w:hideMark/>
          </w:tcPr>
          <w:p w14:paraId="00690B3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58DF72F3"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0F49C2C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1BC2F144"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665 </w:t>
            </w:r>
          </w:p>
        </w:tc>
        <w:tc>
          <w:tcPr>
            <w:tcW w:w="846" w:type="dxa"/>
            <w:shd w:val="clear" w:color="auto" w:fill="auto"/>
            <w:noWrap/>
            <w:vAlign w:val="center"/>
            <w:hideMark/>
          </w:tcPr>
          <w:p w14:paraId="20AE796C"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6074F528" w14:textId="77777777" w:rsidR="003E5BF5" w:rsidRPr="00655316" w:rsidRDefault="003E5BF5" w:rsidP="00DE1921">
            <w:pPr>
              <w:jc w:val="right"/>
              <w:rPr>
                <w:rFonts w:ascii="Arial" w:hAnsi="Arial" w:cs="Arial"/>
                <w:b/>
                <w:sz w:val="24"/>
                <w:szCs w:val="24"/>
              </w:rPr>
            </w:pPr>
            <w:r w:rsidRPr="00655316">
              <w:rPr>
                <w:rFonts w:ascii="Arial" w:hAnsi="Arial" w:cs="Arial"/>
                <w:sz w:val="24"/>
                <w:szCs w:val="24"/>
              </w:rPr>
              <w:t xml:space="preserve">3,976 </w:t>
            </w:r>
          </w:p>
        </w:tc>
      </w:tr>
      <w:tr w:rsidR="003E5BF5" w:rsidRPr="00655316" w14:paraId="7E416D36" w14:textId="77777777" w:rsidTr="002B0577">
        <w:trPr>
          <w:trHeight w:val="340"/>
        </w:trPr>
        <w:tc>
          <w:tcPr>
            <w:tcW w:w="2304" w:type="dxa"/>
            <w:shd w:val="clear" w:color="auto" w:fill="auto"/>
            <w:noWrap/>
            <w:vAlign w:val="center"/>
            <w:hideMark/>
          </w:tcPr>
          <w:p w14:paraId="1DB5D7CE" w14:textId="77777777" w:rsidR="003E5BF5" w:rsidRPr="00655316" w:rsidRDefault="003E5BF5" w:rsidP="00DE1921">
            <w:pPr>
              <w:rPr>
                <w:rFonts w:ascii="Arial" w:hAnsi="Arial" w:cs="Arial"/>
                <w:sz w:val="24"/>
                <w:szCs w:val="24"/>
              </w:rPr>
            </w:pPr>
            <w:r w:rsidRPr="00655316">
              <w:rPr>
                <w:rFonts w:ascii="Arial" w:hAnsi="Arial" w:cs="Arial"/>
                <w:sz w:val="24"/>
                <w:szCs w:val="24"/>
              </w:rPr>
              <w:t>Transfers between classes</w:t>
            </w:r>
          </w:p>
        </w:tc>
        <w:tc>
          <w:tcPr>
            <w:tcW w:w="846" w:type="dxa"/>
            <w:shd w:val="clear" w:color="auto" w:fill="auto"/>
            <w:noWrap/>
            <w:vAlign w:val="center"/>
            <w:hideMark/>
          </w:tcPr>
          <w:p w14:paraId="6424C1D8"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712D5B4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74147F06"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5159F24E"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02B16E2F"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6BDCBE5D"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0E7FE5F5" w14:textId="77777777" w:rsidR="003E5BF5" w:rsidRPr="00655316" w:rsidRDefault="003E5BF5" w:rsidP="00DE1921">
            <w:pPr>
              <w:jc w:val="right"/>
              <w:rPr>
                <w:rFonts w:ascii="Arial" w:hAnsi="Arial" w:cs="Arial"/>
                <w:sz w:val="24"/>
                <w:szCs w:val="24"/>
              </w:rPr>
            </w:pPr>
            <w:r w:rsidRPr="00655316">
              <w:rPr>
                <w:rFonts w:ascii="Arial" w:hAnsi="Arial" w:cs="Arial"/>
                <w:sz w:val="24"/>
                <w:szCs w:val="24"/>
              </w:rPr>
              <w:t xml:space="preserve">  -</w:t>
            </w:r>
          </w:p>
        </w:tc>
        <w:tc>
          <w:tcPr>
            <w:tcW w:w="846" w:type="dxa"/>
            <w:shd w:val="clear" w:color="auto" w:fill="auto"/>
            <w:noWrap/>
            <w:vAlign w:val="center"/>
            <w:hideMark/>
          </w:tcPr>
          <w:p w14:paraId="5BA5AF42" w14:textId="77777777" w:rsidR="003E5BF5" w:rsidRPr="00655316" w:rsidRDefault="003E5BF5" w:rsidP="00DE1921">
            <w:pPr>
              <w:jc w:val="right"/>
              <w:rPr>
                <w:rFonts w:ascii="Arial" w:hAnsi="Arial" w:cs="Arial"/>
                <w:b/>
                <w:sz w:val="24"/>
                <w:szCs w:val="24"/>
              </w:rPr>
            </w:pPr>
            <w:r w:rsidRPr="00655316">
              <w:rPr>
                <w:rFonts w:ascii="Arial" w:hAnsi="Arial" w:cs="Arial"/>
                <w:sz w:val="24"/>
                <w:szCs w:val="24"/>
              </w:rPr>
              <w:t xml:space="preserve">  -</w:t>
            </w:r>
          </w:p>
        </w:tc>
      </w:tr>
      <w:tr w:rsidR="003E5BF5" w:rsidRPr="00655316" w14:paraId="299D7EB0" w14:textId="77777777" w:rsidTr="002B0577">
        <w:trPr>
          <w:trHeight w:val="340"/>
        </w:trPr>
        <w:tc>
          <w:tcPr>
            <w:tcW w:w="2304" w:type="dxa"/>
            <w:shd w:val="clear" w:color="auto" w:fill="auto"/>
            <w:noWrap/>
            <w:vAlign w:val="center"/>
            <w:hideMark/>
          </w:tcPr>
          <w:p w14:paraId="2F07A296" w14:textId="77777777" w:rsidR="003E5BF5" w:rsidRPr="00655316" w:rsidRDefault="003E5BF5" w:rsidP="00DE1921">
            <w:pPr>
              <w:rPr>
                <w:rFonts w:ascii="Arial" w:hAnsi="Arial" w:cs="Arial"/>
                <w:b/>
                <w:sz w:val="24"/>
                <w:szCs w:val="24"/>
              </w:rPr>
            </w:pPr>
            <w:r w:rsidRPr="00655316">
              <w:rPr>
                <w:rFonts w:ascii="Arial" w:hAnsi="Arial" w:cs="Arial"/>
                <w:b/>
                <w:sz w:val="24"/>
                <w:szCs w:val="24"/>
              </w:rPr>
              <w:t>Closing balance</w:t>
            </w:r>
          </w:p>
        </w:tc>
        <w:tc>
          <w:tcPr>
            <w:tcW w:w="846" w:type="dxa"/>
            <w:shd w:val="clear" w:color="auto" w:fill="auto"/>
            <w:noWrap/>
            <w:vAlign w:val="center"/>
            <w:hideMark/>
          </w:tcPr>
          <w:p w14:paraId="52F5129B"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(37,340)</w:t>
            </w:r>
          </w:p>
        </w:tc>
        <w:tc>
          <w:tcPr>
            <w:tcW w:w="846" w:type="dxa"/>
            <w:shd w:val="clear" w:color="auto" w:fill="auto"/>
            <w:noWrap/>
            <w:vAlign w:val="center"/>
            <w:hideMark/>
          </w:tcPr>
          <w:p w14:paraId="1ED7B467"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(19,119)</w:t>
            </w:r>
          </w:p>
        </w:tc>
        <w:tc>
          <w:tcPr>
            <w:tcW w:w="846" w:type="dxa"/>
            <w:shd w:val="clear" w:color="auto" w:fill="auto"/>
            <w:noWrap/>
            <w:vAlign w:val="center"/>
            <w:hideMark/>
          </w:tcPr>
          <w:p w14:paraId="5430A31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846" w:type="dxa"/>
            <w:shd w:val="clear" w:color="auto" w:fill="auto"/>
            <w:noWrap/>
            <w:vAlign w:val="center"/>
            <w:hideMark/>
          </w:tcPr>
          <w:p w14:paraId="68ECA03C"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846" w:type="dxa"/>
            <w:shd w:val="clear" w:color="auto" w:fill="auto"/>
            <w:noWrap/>
            <w:vAlign w:val="center"/>
            <w:hideMark/>
          </w:tcPr>
          <w:p w14:paraId="58CC0E90"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846" w:type="dxa"/>
            <w:shd w:val="clear" w:color="auto" w:fill="auto"/>
            <w:noWrap/>
            <w:vAlign w:val="center"/>
            <w:hideMark/>
          </w:tcPr>
          <w:p w14:paraId="27579251"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846" w:type="dxa"/>
            <w:shd w:val="clear" w:color="auto" w:fill="auto"/>
            <w:noWrap/>
            <w:vAlign w:val="center"/>
            <w:hideMark/>
          </w:tcPr>
          <w:p w14:paraId="6594E56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(37,340)</w:t>
            </w:r>
          </w:p>
        </w:tc>
        <w:tc>
          <w:tcPr>
            <w:tcW w:w="846" w:type="dxa"/>
            <w:shd w:val="clear" w:color="auto" w:fill="auto"/>
            <w:noWrap/>
            <w:vAlign w:val="center"/>
            <w:hideMark/>
          </w:tcPr>
          <w:p w14:paraId="1C3147D5"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(19,119)</w:t>
            </w:r>
          </w:p>
        </w:tc>
      </w:tr>
      <w:tr w:rsidR="003E5BF5" w:rsidRPr="00655316" w14:paraId="52793E5E" w14:textId="77777777" w:rsidTr="002B0577">
        <w:trPr>
          <w:trHeight w:val="340"/>
        </w:trPr>
        <w:tc>
          <w:tcPr>
            <w:tcW w:w="2304" w:type="dxa"/>
            <w:shd w:val="clear" w:color="auto" w:fill="auto"/>
            <w:vAlign w:val="center"/>
            <w:hideMark/>
          </w:tcPr>
          <w:p w14:paraId="1A11E448" w14:textId="77777777" w:rsidR="003E5BF5" w:rsidRPr="00655316" w:rsidRDefault="003E5BF5" w:rsidP="00DE1921">
            <w:pPr>
              <w:rPr>
                <w:rFonts w:ascii="Arial" w:hAnsi="Arial" w:cs="Arial"/>
                <w:b/>
                <w:sz w:val="24"/>
                <w:szCs w:val="24"/>
              </w:rPr>
            </w:pPr>
            <w:r w:rsidRPr="00655316">
              <w:rPr>
                <w:rFonts w:ascii="Arial" w:hAnsi="Arial" w:cs="Arial"/>
                <w:b/>
                <w:sz w:val="24"/>
                <w:szCs w:val="24"/>
              </w:rPr>
              <w:t xml:space="preserve">Net carrying amount </w:t>
            </w:r>
          </w:p>
        </w:tc>
        <w:tc>
          <w:tcPr>
            <w:tcW w:w="846" w:type="dxa"/>
            <w:shd w:val="clear" w:color="auto" w:fill="auto"/>
            <w:noWrap/>
            <w:vAlign w:val="center"/>
            <w:hideMark/>
          </w:tcPr>
          <w:p w14:paraId="3B6F566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57,129 </w:t>
            </w:r>
          </w:p>
        </w:tc>
        <w:tc>
          <w:tcPr>
            <w:tcW w:w="846" w:type="dxa"/>
            <w:shd w:val="clear" w:color="auto" w:fill="auto"/>
            <w:noWrap/>
            <w:vAlign w:val="center"/>
            <w:hideMark/>
          </w:tcPr>
          <w:p w14:paraId="39537D3F"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1,461 </w:t>
            </w:r>
          </w:p>
        </w:tc>
        <w:tc>
          <w:tcPr>
            <w:tcW w:w="846" w:type="dxa"/>
            <w:shd w:val="clear" w:color="auto" w:fill="auto"/>
            <w:noWrap/>
            <w:vAlign w:val="center"/>
            <w:hideMark/>
          </w:tcPr>
          <w:p w14:paraId="52F8B812"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28,224 </w:t>
            </w:r>
          </w:p>
        </w:tc>
        <w:tc>
          <w:tcPr>
            <w:tcW w:w="846" w:type="dxa"/>
            <w:shd w:val="clear" w:color="auto" w:fill="auto"/>
            <w:noWrap/>
            <w:vAlign w:val="center"/>
            <w:hideMark/>
          </w:tcPr>
          <w:p w14:paraId="2ABA70B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846" w:type="dxa"/>
            <w:shd w:val="clear" w:color="auto" w:fill="auto"/>
            <w:noWrap/>
            <w:vAlign w:val="center"/>
            <w:hideMark/>
          </w:tcPr>
          <w:p w14:paraId="4D83F992"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931 </w:t>
            </w:r>
          </w:p>
        </w:tc>
        <w:tc>
          <w:tcPr>
            <w:tcW w:w="846" w:type="dxa"/>
            <w:shd w:val="clear" w:color="auto" w:fill="auto"/>
            <w:noWrap/>
            <w:vAlign w:val="center"/>
            <w:hideMark/>
          </w:tcPr>
          <w:p w14:paraId="5B0A39FE"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  -</w:t>
            </w:r>
          </w:p>
        </w:tc>
        <w:tc>
          <w:tcPr>
            <w:tcW w:w="846" w:type="dxa"/>
            <w:shd w:val="clear" w:color="auto" w:fill="auto"/>
            <w:noWrap/>
            <w:vAlign w:val="center"/>
            <w:hideMark/>
          </w:tcPr>
          <w:p w14:paraId="325FAAF4"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86,284 </w:t>
            </w:r>
          </w:p>
        </w:tc>
        <w:tc>
          <w:tcPr>
            <w:tcW w:w="846" w:type="dxa"/>
            <w:shd w:val="clear" w:color="auto" w:fill="auto"/>
            <w:noWrap/>
            <w:vAlign w:val="center"/>
            <w:hideMark/>
          </w:tcPr>
          <w:p w14:paraId="1B2E18C7" w14:textId="77777777" w:rsidR="003E5BF5" w:rsidRPr="00655316" w:rsidRDefault="003E5BF5" w:rsidP="00DE1921">
            <w:pPr>
              <w:jc w:val="right"/>
              <w:rPr>
                <w:rFonts w:ascii="Arial" w:hAnsi="Arial" w:cs="Arial"/>
                <w:b/>
                <w:sz w:val="24"/>
                <w:szCs w:val="24"/>
              </w:rPr>
            </w:pPr>
            <w:r w:rsidRPr="00655316">
              <w:rPr>
                <w:rFonts w:ascii="Arial" w:hAnsi="Arial" w:cs="Arial"/>
                <w:b/>
                <w:sz w:val="24"/>
                <w:szCs w:val="24"/>
              </w:rPr>
              <w:t xml:space="preserve">1,461 </w:t>
            </w:r>
          </w:p>
        </w:tc>
      </w:tr>
    </w:tbl>
    <w:p w14:paraId="5FC06951" w14:textId="77777777" w:rsidR="003A7970" w:rsidRDefault="003A7970" w:rsidP="003A7970">
      <w:pPr>
        <w:pStyle w:val="Heading5"/>
        <w:spacing w:before="120"/>
      </w:pPr>
      <w:r>
        <w:br w:type="page"/>
      </w:r>
    </w:p>
    <w:p w14:paraId="624EA9F0" w14:textId="7CEB08E0" w:rsidR="003E5BF5" w:rsidRPr="007F1F0A" w:rsidRDefault="003E5BF5" w:rsidP="003A7970">
      <w:pPr>
        <w:pStyle w:val="Heading5"/>
        <w:spacing w:before="120"/>
        <w:sectPr w:rsidR="003E5BF5" w:rsidRPr="007F1F0A" w:rsidSect="00DE1921">
          <w:headerReference w:type="even" r:id="rId128"/>
          <w:headerReference w:type="default" r:id="rId129"/>
          <w:footerReference w:type="even" r:id="rId130"/>
          <w:headerReference w:type="first" r:id="rId131"/>
          <w:pgSz w:w="11906" w:h="16838"/>
          <w:pgMar w:top="1701" w:right="1418" w:bottom="1418" w:left="1418" w:header="708" w:footer="708" w:gutter="0"/>
          <w:cols w:space="708"/>
          <w:docGrid w:linePitch="360"/>
        </w:sectPr>
      </w:pPr>
      <w:r w:rsidRPr="007F1F0A">
        <w:lastRenderedPageBreak/>
        <w:t>Initial recognition</w:t>
      </w:r>
    </w:p>
    <w:p w14:paraId="7EDA5950" w14:textId="77777777" w:rsidR="003E5BF5" w:rsidRPr="007F1F0A" w:rsidRDefault="003E5BF5" w:rsidP="00945803">
      <w:pPr>
        <w:pStyle w:val="aaatyping"/>
      </w:pPr>
      <w:r w:rsidRPr="007F1F0A">
        <w:rPr>
          <w:b/>
        </w:rPr>
        <w:t>Purchased intangible assets</w:t>
      </w:r>
      <w:r w:rsidRPr="007F1F0A">
        <w:t xml:space="preserve"> are initially recognised at cost. When the recognition criteria </w:t>
      </w:r>
      <w:r w:rsidRPr="00A646F8">
        <w:t>in AASB 138</w:t>
      </w:r>
      <w:r w:rsidRPr="007F1F0A">
        <w:rPr>
          <w:i/>
        </w:rPr>
        <w:t xml:space="preserve"> Intangible Assets</w:t>
      </w:r>
      <w:r w:rsidRPr="007F1F0A">
        <w:t xml:space="preserve"> is met</w:t>
      </w:r>
      <w:r w:rsidRPr="00D06E8E">
        <w:t>, internally generated intangible assets</w:t>
      </w:r>
      <w:r w:rsidRPr="007F1F0A">
        <w:t xml:space="preserve"> are recognised at cost. </w:t>
      </w:r>
    </w:p>
    <w:p w14:paraId="19A15F4E" w14:textId="77777777" w:rsidR="003E5BF5" w:rsidRPr="007F1F0A" w:rsidRDefault="003E5BF5" w:rsidP="00945803">
      <w:pPr>
        <w:pStyle w:val="aaatyping"/>
      </w:pPr>
      <w:r w:rsidRPr="007F1F0A">
        <w:t>An internally generated intangible asset arising from development (or from the development phase of an internal project) is recognised if, and only if, all of the following are demonstrated:</w:t>
      </w:r>
    </w:p>
    <w:p w14:paraId="5ED1F5F2" w14:textId="77777777" w:rsidR="003E5BF5" w:rsidRPr="00560D65" w:rsidRDefault="003E5BF5" w:rsidP="00610F5F">
      <w:pPr>
        <w:pStyle w:val="ListParagraph"/>
        <w:numPr>
          <w:ilvl w:val="0"/>
          <w:numId w:val="13"/>
        </w:numPr>
        <w:spacing w:line="360" w:lineRule="auto"/>
        <w:ind w:left="709" w:hanging="425"/>
        <w:rPr>
          <w:rFonts w:ascii="VIC" w:hAnsi="VIC"/>
          <w:sz w:val="28"/>
          <w:szCs w:val="28"/>
        </w:rPr>
      </w:pPr>
      <w:r w:rsidRPr="00560D65">
        <w:rPr>
          <w:rFonts w:ascii="VIC" w:hAnsi="VIC"/>
          <w:sz w:val="28"/>
          <w:szCs w:val="28"/>
        </w:rPr>
        <w:t>the technical feasibility of completing the intangible asset so that it will be available for use or sale</w:t>
      </w:r>
    </w:p>
    <w:p w14:paraId="37D5311D" w14:textId="77777777" w:rsidR="003E5BF5" w:rsidRPr="00560D65" w:rsidRDefault="003E5BF5" w:rsidP="00610F5F">
      <w:pPr>
        <w:pStyle w:val="ListParagraph"/>
        <w:numPr>
          <w:ilvl w:val="0"/>
          <w:numId w:val="13"/>
        </w:numPr>
        <w:spacing w:line="360" w:lineRule="auto"/>
        <w:ind w:left="709" w:hanging="425"/>
        <w:rPr>
          <w:rFonts w:ascii="VIC" w:hAnsi="VIC"/>
          <w:sz w:val="28"/>
          <w:szCs w:val="28"/>
        </w:rPr>
      </w:pPr>
      <w:r w:rsidRPr="00560D65">
        <w:rPr>
          <w:rFonts w:ascii="VIC" w:hAnsi="VIC"/>
          <w:sz w:val="28"/>
          <w:szCs w:val="28"/>
        </w:rPr>
        <w:t>an intention to complete the intangible asset and use or sell it</w:t>
      </w:r>
    </w:p>
    <w:p w14:paraId="08C9E41B" w14:textId="77777777" w:rsidR="003E5BF5" w:rsidRPr="00560D65" w:rsidRDefault="003E5BF5" w:rsidP="00610F5F">
      <w:pPr>
        <w:pStyle w:val="ListParagraph"/>
        <w:numPr>
          <w:ilvl w:val="0"/>
          <w:numId w:val="13"/>
        </w:numPr>
        <w:spacing w:line="360" w:lineRule="auto"/>
        <w:ind w:left="709" w:hanging="425"/>
        <w:rPr>
          <w:rFonts w:ascii="VIC" w:hAnsi="VIC"/>
          <w:sz w:val="28"/>
          <w:szCs w:val="28"/>
        </w:rPr>
      </w:pPr>
      <w:r w:rsidRPr="00560D65">
        <w:rPr>
          <w:rFonts w:ascii="VIC" w:hAnsi="VIC"/>
          <w:sz w:val="28"/>
          <w:szCs w:val="28"/>
        </w:rPr>
        <w:t>the ability to use or sell the intangible asset</w:t>
      </w:r>
    </w:p>
    <w:p w14:paraId="4440869F" w14:textId="496459C1" w:rsidR="003E5BF5" w:rsidRPr="00560D65" w:rsidRDefault="003E5BF5" w:rsidP="00610F5F">
      <w:pPr>
        <w:pStyle w:val="ListParagraph"/>
        <w:numPr>
          <w:ilvl w:val="0"/>
          <w:numId w:val="13"/>
        </w:numPr>
        <w:spacing w:line="360" w:lineRule="auto"/>
        <w:ind w:left="709" w:hanging="425"/>
        <w:rPr>
          <w:rFonts w:ascii="VIC" w:hAnsi="VIC"/>
          <w:sz w:val="28"/>
          <w:szCs w:val="28"/>
        </w:rPr>
      </w:pPr>
      <w:r w:rsidRPr="00560D65">
        <w:rPr>
          <w:rFonts w:ascii="VIC" w:hAnsi="VIC"/>
          <w:sz w:val="28"/>
          <w:szCs w:val="28"/>
        </w:rPr>
        <w:t>the intangible asset will most likely generate future economic benefits</w:t>
      </w:r>
    </w:p>
    <w:p w14:paraId="7A795F0B" w14:textId="77777777" w:rsidR="003E5BF5" w:rsidRPr="00560D65" w:rsidRDefault="003E5BF5" w:rsidP="00610F5F">
      <w:pPr>
        <w:pStyle w:val="ListParagraph"/>
        <w:numPr>
          <w:ilvl w:val="0"/>
          <w:numId w:val="13"/>
        </w:numPr>
        <w:spacing w:line="360" w:lineRule="auto"/>
        <w:ind w:left="709" w:hanging="425"/>
        <w:rPr>
          <w:rFonts w:ascii="VIC" w:hAnsi="VIC"/>
          <w:sz w:val="28"/>
          <w:szCs w:val="28"/>
        </w:rPr>
      </w:pPr>
      <w:r w:rsidRPr="00560D65">
        <w:rPr>
          <w:rFonts w:ascii="VIC" w:hAnsi="VIC"/>
          <w:sz w:val="28"/>
          <w:szCs w:val="28"/>
        </w:rPr>
        <w:t>the availability of adequate technical, financial and other resources to complete the development and use</w:t>
      </w:r>
    </w:p>
    <w:p w14:paraId="1D402EAC" w14:textId="77777777" w:rsidR="003E5BF5" w:rsidRPr="00560D65" w:rsidRDefault="003E5BF5" w:rsidP="00610F5F">
      <w:pPr>
        <w:pStyle w:val="ListParagraph"/>
        <w:numPr>
          <w:ilvl w:val="0"/>
          <w:numId w:val="13"/>
        </w:numPr>
        <w:spacing w:line="360" w:lineRule="auto"/>
        <w:ind w:left="709" w:hanging="425"/>
        <w:rPr>
          <w:rFonts w:ascii="VIC" w:hAnsi="VIC"/>
          <w:sz w:val="28"/>
          <w:szCs w:val="28"/>
        </w:rPr>
      </w:pPr>
      <w:r w:rsidRPr="00560D65">
        <w:rPr>
          <w:rFonts w:ascii="VIC" w:hAnsi="VIC"/>
          <w:sz w:val="28"/>
          <w:szCs w:val="28"/>
        </w:rPr>
        <w:t>the ability to measure reliably the expenditure attributable to the intangible asset during its development.</w:t>
      </w:r>
    </w:p>
    <w:p w14:paraId="424B31C2" w14:textId="77777777" w:rsidR="003E5BF5" w:rsidRPr="007F1F0A" w:rsidRDefault="003E5BF5" w:rsidP="00EF5131">
      <w:pPr>
        <w:pStyle w:val="Heading5"/>
      </w:pPr>
      <w:r w:rsidRPr="007F1F0A">
        <w:t>Subsequent measurement</w:t>
      </w:r>
    </w:p>
    <w:p w14:paraId="59C0BEEF" w14:textId="77777777" w:rsidR="003E5BF5" w:rsidRPr="007F1F0A" w:rsidRDefault="003E5BF5" w:rsidP="003F1563">
      <w:pPr>
        <w:pStyle w:val="aaatyping"/>
      </w:pPr>
      <w:r w:rsidRPr="007F1F0A">
        <w:t>Post initial recognition, intangible produced and non-produced assets with finite useful lives are amortised on a straight</w:t>
      </w:r>
      <w:r>
        <w:t>-</w:t>
      </w:r>
      <w:r w:rsidRPr="007F1F0A">
        <w:t>line basis over their useful lives. Intangible produced assets with finite useful lives are amortised as an expense from transactions and intangible non-produced assets with finite useful lives are amortised as an 'other economic flow'.</w:t>
      </w:r>
    </w:p>
    <w:p w14:paraId="5269C066" w14:textId="77777777" w:rsidR="003E5BF5" w:rsidRPr="007F1F0A" w:rsidRDefault="003E5BF5" w:rsidP="003F1563">
      <w:pPr>
        <w:pStyle w:val="aaatyping"/>
      </w:pPr>
      <w:r w:rsidRPr="007F1F0A">
        <w:lastRenderedPageBreak/>
        <w:t>Amortisation begins when the asset is available for use, that is, when it is in the location and condition necessary for it to be capable of operating in the manner intended by management.</w:t>
      </w:r>
    </w:p>
    <w:p w14:paraId="3E06E046" w14:textId="77777777" w:rsidR="003E5BF5" w:rsidRPr="007F1F0A" w:rsidRDefault="003E5BF5" w:rsidP="00EF5131">
      <w:pPr>
        <w:pStyle w:val="Heading5"/>
      </w:pPr>
      <w:r w:rsidRPr="007F1F0A">
        <w:t>Impairment</w:t>
      </w:r>
    </w:p>
    <w:p w14:paraId="28D6A164" w14:textId="77777777" w:rsidR="003E5BF5" w:rsidRPr="007444F0" w:rsidRDefault="003E5BF5" w:rsidP="003F1563">
      <w:pPr>
        <w:pStyle w:val="aaatyping"/>
      </w:pPr>
      <w:r w:rsidRPr="007F1F0A">
        <w:t>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38E29AFA" w14:textId="77777777" w:rsidR="003E5BF5" w:rsidRDefault="003E5BF5" w:rsidP="00610F5F">
      <w:pPr>
        <w:pStyle w:val="Heading2"/>
        <w:numPr>
          <w:ilvl w:val="1"/>
          <w:numId w:val="19"/>
        </w:numPr>
      </w:pPr>
      <w:bookmarkStart w:id="331" w:name="_Toc41469590"/>
      <w:bookmarkStart w:id="332" w:name="_Toc53420668"/>
      <w:r>
        <w:t>Joint operations</w:t>
      </w:r>
      <w:bookmarkEnd w:id="331"/>
      <w:bookmarkEnd w:id="332"/>
    </w:p>
    <w:p w14:paraId="68603CBD" w14:textId="77777777" w:rsidR="003E5BF5" w:rsidRDefault="003E5BF5" w:rsidP="003F1563">
      <w:pPr>
        <w:pStyle w:val="aaatyping"/>
      </w:pPr>
      <w:r>
        <w:t>The department does not have any interests in joint operations in the current financial year.</w:t>
      </w:r>
    </w:p>
    <w:p w14:paraId="4F070948" w14:textId="77777777" w:rsidR="003E5BF5" w:rsidRDefault="003E5BF5" w:rsidP="003F1563">
      <w:pPr>
        <w:pStyle w:val="aaatyping"/>
      </w:pPr>
      <w:r>
        <w:t>The comparative figure for 2019 includes its 50% o</w:t>
      </w:r>
      <w:r w:rsidRPr="00811F82">
        <w:t>wnership interests</w:t>
      </w:r>
      <w:r>
        <w:t xml:space="preserve"> in Royal Melbourne Showgrounds and 75% interest in Biosciences Research Centre</w:t>
      </w:r>
      <w:r w:rsidRPr="00811F82">
        <w:t xml:space="preserve"> for the period between 1 July 2018 and 31 December 2018. All interests in </w:t>
      </w:r>
      <w:r>
        <w:t>joint operations</w:t>
      </w:r>
      <w:r w:rsidRPr="00811F82">
        <w:t xml:space="preserve"> </w:t>
      </w:r>
      <w:r>
        <w:t>were</w:t>
      </w:r>
      <w:r w:rsidRPr="00811F82">
        <w:t xml:space="preserve"> transferred to Department of Jobs, Precincts and Regions from 1 January 2019.</w:t>
      </w:r>
    </w:p>
    <w:p w14:paraId="5BFBFB34" w14:textId="77777777" w:rsidR="003E5BF5" w:rsidRDefault="003E5BF5" w:rsidP="003F1563">
      <w:pPr>
        <w:pStyle w:val="aaatyping"/>
      </w:pPr>
      <w:r w:rsidRPr="007444F0">
        <w:t xml:space="preserve">The </w:t>
      </w:r>
      <w:r>
        <w:t>d</w:t>
      </w:r>
      <w:r w:rsidRPr="007444F0">
        <w:t xml:space="preserve">epartment’s interest in assets, liabilities, income, and expenses in the above joint operations </w:t>
      </w:r>
      <w:r>
        <w:t>in 2018-19 financial statements are</w:t>
      </w:r>
      <w:r w:rsidRPr="007444F0">
        <w:t xml:space="preserve"> detailed below</w:t>
      </w:r>
      <w:r>
        <w:t>:</w:t>
      </w:r>
    </w:p>
    <w:p w14:paraId="6CE0D0E1" w14:textId="77777777" w:rsidR="003E5BF5" w:rsidRDefault="003E5BF5" w:rsidP="003F1563">
      <w:pPr>
        <w:pStyle w:val="aaabullet"/>
      </w:pPr>
      <w:r>
        <w:t>$0 assets, including its share of any assets held jointly;</w:t>
      </w:r>
    </w:p>
    <w:p w14:paraId="07BA4386" w14:textId="77777777" w:rsidR="003E5BF5" w:rsidRDefault="003E5BF5" w:rsidP="003F1563">
      <w:pPr>
        <w:pStyle w:val="aaabullet"/>
      </w:pPr>
      <w:r>
        <w:t xml:space="preserve">$0 liabilities, including its share of any liabilities that it had incurred; </w:t>
      </w:r>
    </w:p>
    <w:p w14:paraId="0FBD21DB" w14:textId="77777777" w:rsidR="003E5BF5" w:rsidRDefault="003E5BF5" w:rsidP="003F1563">
      <w:pPr>
        <w:pStyle w:val="aaabullet"/>
      </w:pPr>
      <w:r>
        <w:t xml:space="preserve">$19,334,000 revenue from the sale of its share of the output from the joint operation; and </w:t>
      </w:r>
    </w:p>
    <w:p w14:paraId="5A116F58" w14:textId="7613F638" w:rsidR="003E5BF5" w:rsidRPr="00732BD4" w:rsidRDefault="003E5BF5" w:rsidP="00DE1921">
      <w:pPr>
        <w:pStyle w:val="aaabullet"/>
      </w:pPr>
      <w:r w:rsidRPr="00732BD4">
        <w:t>$25,121,000 expenses, including its share of any expenses incurred jointly.</w:t>
      </w:r>
    </w:p>
    <w:bookmarkEnd w:id="287"/>
    <w:p w14:paraId="262649F1" w14:textId="77777777" w:rsidR="003E5BF5" w:rsidRPr="007444F0" w:rsidRDefault="003E5BF5" w:rsidP="00DE1921">
      <w:pPr>
        <w:sectPr w:rsidR="003E5BF5" w:rsidRPr="007444F0" w:rsidSect="00DE1921">
          <w:headerReference w:type="even" r:id="rId132"/>
          <w:headerReference w:type="default" r:id="rId133"/>
          <w:footerReference w:type="even" r:id="rId134"/>
          <w:type w:val="continuous"/>
          <w:pgSz w:w="11906" w:h="16838"/>
          <w:pgMar w:top="1701" w:right="1418" w:bottom="1418" w:left="1418" w:header="708" w:footer="708" w:gutter="0"/>
          <w:cols w:space="708"/>
          <w:docGrid w:linePitch="360"/>
        </w:sectPr>
      </w:pPr>
    </w:p>
    <w:p w14:paraId="47AB9E16" w14:textId="77777777" w:rsidR="003E5BF5" w:rsidRPr="007444F0" w:rsidRDefault="003E5BF5" w:rsidP="00610F5F">
      <w:pPr>
        <w:pStyle w:val="Heading1"/>
        <w:numPr>
          <w:ilvl w:val="0"/>
          <w:numId w:val="19"/>
        </w:numPr>
        <w:sectPr w:rsidR="003E5BF5" w:rsidRPr="007444F0" w:rsidSect="00DE1921">
          <w:headerReference w:type="even" r:id="rId135"/>
          <w:headerReference w:type="default" r:id="rId136"/>
          <w:headerReference w:type="first" r:id="rId137"/>
          <w:pgSz w:w="11906" w:h="16838"/>
          <w:pgMar w:top="1701" w:right="1418" w:bottom="1418" w:left="1418" w:header="708" w:footer="708" w:gutter="0"/>
          <w:cols w:space="708"/>
          <w:docGrid w:linePitch="360"/>
        </w:sectPr>
      </w:pPr>
      <w:bookmarkStart w:id="333" w:name="_Toc55130694"/>
      <w:r w:rsidRPr="007444F0">
        <w:lastRenderedPageBreak/>
        <w:t>OTHER ASSETS AND LIABILITIES</w:t>
      </w:r>
      <w:bookmarkEnd w:id="333"/>
    </w:p>
    <w:p w14:paraId="1DDC94FA" w14:textId="77777777" w:rsidR="003E5BF5" w:rsidRPr="006F6308" w:rsidRDefault="003E5BF5" w:rsidP="008A0170">
      <w:pPr>
        <w:pStyle w:val="Heading2"/>
      </w:pPr>
      <w:r w:rsidRPr="006F6308">
        <w:t>Introduction</w:t>
      </w:r>
    </w:p>
    <w:p w14:paraId="7BBDA79F" w14:textId="77777777" w:rsidR="00140A29" w:rsidRDefault="003E5BF5" w:rsidP="003F1563">
      <w:pPr>
        <w:pStyle w:val="aaatyping"/>
      </w:pPr>
      <w:r w:rsidRPr="007444F0">
        <w:t xml:space="preserve">This section sets out those assets and liabilities that arose from the </w:t>
      </w:r>
      <w:r>
        <w:t>d</w:t>
      </w:r>
      <w:r w:rsidRPr="007444F0">
        <w:t>epartment's operations.</w:t>
      </w:r>
    </w:p>
    <w:p w14:paraId="324BEC46" w14:textId="6A5A3127" w:rsidR="003E5BF5" w:rsidRPr="006F6308" w:rsidRDefault="003E5BF5" w:rsidP="00AE78DF">
      <w:pPr>
        <w:pStyle w:val="Heading2"/>
        <w:rPr>
          <w:color w:val="00B2A9"/>
          <w:sz w:val="32"/>
          <w:szCs w:val="28"/>
        </w:rPr>
      </w:pPr>
      <w:r w:rsidRPr="00AE78DF">
        <w:t>Structure</w:t>
      </w:r>
    </w:p>
    <w:p w14:paraId="25B40EC6" w14:textId="3B0A4E2E" w:rsidR="003E5BF5" w:rsidRPr="00F37562" w:rsidRDefault="003E5BF5" w:rsidP="00796906">
      <w:pPr>
        <w:pStyle w:val="TOC1"/>
        <w:rPr>
          <w:rStyle w:val="Hyperlink"/>
        </w:rPr>
      </w:pPr>
      <w:r w:rsidRPr="007444F0">
        <w:rPr>
          <w:sz w:val="28"/>
        </w:rPr>
        <w:fldChar w:fldCharType="begin"/>
      </w:r>
      <w:r w:rsidRPr="007444F0">
        <w:instrText xml:space="preserve"> TOC  \t "Heading 2,1"  \b SEC6  \h \* MERGEFORMAT </w:instrText>
      </w:r>
      <w:r w:rsidRPr="007444F0">
        <w:rPr>
          <w:sz w:val="28"/>
        </w:rPr>
        <w:fldChar w:fldCharType="separate"/>
      </w:r>
      <w:hyperlink w:anchor="_Toc41469602" w:history="1">
        <w:r w:rsidRPr="00E82072">
          <w:rPr>
            <w:rStyle w:val="Hyperlink"/>
          </w:rPr>
          <w:t>6.1Receivables</w:t>
        </w:r>
        <w:r w:rsidRPr="00F37562">
          <w:rPr>
            <w:rStyle w:val="Hyperlink"/>
          </w:rPr>
          <w:tab/>
        </w:r>
        <w:r w:rsidRPr="00F37562">
          <w:rPr>
            <w:rStyle w:val="Hyperlink"/>
          </w:rPr>
          <w:fldChar w:fldCharType="begin"/>
        </w:r>
        <w:r w:rsidRPr="00F37562">
          <w:rPr>
            <w:rStyle w:val="Hyperlink"/>
          </w:rPr>
          <w:instrText xml:space="preserve"> PAGEREF _Toc41469602 \h </w:instrText>
        </w:r>
        <w:r w:rsidRPr="00F37562">
          <w:rPr>
            <w:rStyle w:val="Hyperlink"/>
          </w:rPr>
        </w:r>
        <w:r w:rsidRPr="00F37562">
          <w:rPr>
            <w:rStyle w:val="Hyperlink"/>
          </w:rPr>
          <w:fldChar w:fldCharType="separate"/>
        </w:r>
        <w:r w:rsidR="00E72BF1">
          <w:rPr>
            <w:rStyle w:val="Hyperlink"/>
          </w:rPr>
          <w:t>167</w:t>
        </w:r>
        <w:r w:rsidRPr="00F37562">
          <w:rPr>
            <w:rStyle w:val="Hyperlink"/>
          </w:rPr>
          <w:fldChar w:fldCharType="end"/>
        </w:r>
      </w:hyperlink>
    </w:p>
    <w:p w14:paraId="07A79780" w14:textId="27F44196" w:rsidR="003E5BF5" w:rsidRPr="00F37562" w:rsidRDefault="009B2DDD" w:rsidP="00796906">
      <w:pPr>
        <w:pStyle w:val="TOC1"/>
        <w:rPr>
          <w:rStyle w:val="Hyperlink"/>
        </w:rPr>
      </w:pPr>
      <w:hyperlink w:anchor="_Toc41469603" w:history="1">
        <w:r w:rsidR="003E5BF5" w:rsidRPr="00E82072">
          <w:rPr>
            <w:rStyle w:val="Hyperlink"/>
          </w:rPr>
          <w:t>6.2Payables and contract liabilities</w:t>
        </w:r>
        <w:r w:rsidR="003E5BF5" w:rsidRPr="00F37562">
          <w:rPr>
            <w:rStyle w:val="Hyperlink"/>
          </w:rPr>
          <w:tab/>
        </w:r>
        <w:r w:rsidR="003E5BF5" w:rsidRPr="00F37562">
          <w:rPr>
            <w:rStyle w:val="Hyperlink"/>
          </w:rPr>
          <w:fldChar w:fldCharType="begin"/>
        </w:r>
        <w:r w:rsidR="003E5BF5" w:rsidRPr="00F37562">
          <w:rPr>
            <w:rStyle w:val="Hyperlink"/>
          </w:rPr>
          <w:instrText xml:space="preserve"> PAGEREF _Toc41469603 \h </w:instrText>
        </w:r>
        <w:r w:rsidR="003E5BF5" w:rsidRPr="00F37562">
          <w:rPr>
            <w:rStyle w:val="Hyperlink"/>
          </w:rPr>
        </w:r>
        <w:r w:rsidR="003E5BF5" w:rsidRPr="00F37562">
          <w:rPr>
            <w:rStyle w:val="Hyperlink"/>
          </w:rPr>
          <w:fldChar w:fldCharType="separate"/>
        </w:r>
        <w:r w:rsidR="00E72BF1">
          <w:rPr>
            <w:rStyle w:val="Hyperlink"/>
          </w:rPr>
          <w:t>169</w:t>
        </w:r>
        <w:r w:rsidR="003E5BF5" w:rsidRPr="00F37562">
          <w:rPr>
            <w:rStyle w:val="Hyperlink"/>
          </w:rPr>
          <w:fldChar w:fldCharType="end"/>
        </w:r>
      </w:hyperlink>
    </w:p>
    <w:p w14:paraId="436BCD9C" w14:textId="025B418E" w:rsidR="003E5BF5" w:rsidRPr="00F37562" w:rsidRDefault="009B2DDD" w:rsidP="00796906">
      <w:pPr>
        <w:pStyle w:val="TOC1"/>
        <w:rPr>
          <w:rStyle w:val="Hyperlink"/>
        </w:rPr>
      </w:pPr>
      <w:hyperlink w:anchor="_Toc41469604" w:history="1">
        <w:r w:rsidR="003E5BF5" w:rsidRPr="00E82072">
          <w:rPr>
            <w:rStyle w:val="Hyperlink"/>
          </w:rPr>
          <w:t>6.3Other non-financial assets</w:t>
        </w:r>
        <w:r w:rsidR="003E5BF5" w:rsidRPr="00F37562">
          <w:rPr>
            <w:rStyle w:val="Hyperlink"/>
          </w:rPr>
          <w:tab/>
        </w:r>
        <w:r w:rsidR="003E5BF5" w:rsidRPr="00F37562">
          <w:rPr>
            <w:rStyle w:val="Hyperlink"/>
          </w:rPr>
          <w:fldChar w:fldCharType="begin"/>
        </w:r>
        <w:r w:rsidR="003E5BF5" w:rsidRPr="00F37562">
          <w:rPr>
            <w:rStyle w:val="Hyperlink"/>
          </w:rPr>
          <w:instrText xml:space="preserve"> PAGEREF _Toc41469604 \h </w:instrText>
        </w:r>
        <w:r w:rsidR="003E5BF5" w:rsidRPr="00F37562">
          <w:rPr>
            <w:rStyle w:val="Hyperlink"/>
          </w:rPr>
        </w:r>
        <w:r w:rsidR="003E5BF5" w:rsidRPr="00F37562">
          <w:rPr>
            <w:rStyle w:val="Hyperlink"/>
          </w:rPr>
          <w:fldChar w:fldCharType="separate"/>
        </w:r>
        <w:r w:rsidR="00E72BF1">
          <w:rPr>
            <w:rStyle w:val="Hyperlink"/>
          </w:rPr>
          <w:t>175</w:t>
        </w:r>
        <w:r w:rsidR="003E5BF5" w:rsidRPr="00F37562">
          <w:rPr>
            <w:rStyle w:val="Hyperlink"/>
          </w:rPr>
          <w:fldChar w:fldCharType="end"/>
        </w:r>
      </w:hyperlink>
    </w:p>
    <w:p w14:paraId="19BBB7C9" w14:textId="53D33329" w:rsidR="003E5BF5" w:rsidRPr="00F37562" w:rsidRDefault="009B2DDD" w:rsidP="00796906">
      <w:pPr>
        <w:pStyle w:val="TOC1"/>
        <w:rPr>
          <w:rStyle w:val="Hyperlink"/>
        </w:rPr>
      </w:pPr>
      <w:hyperlink w:anchor="_Toc41469605" w:history="1">
        <w:r w:rsidR="003E5BF5" w:rsidRPr="00E82072">
          <w:rPr>
            <w:rStyle w:val="Hyperlink"/>
          </w:rPr>
          <w:t>6.4Other provisions</w:t>
        </w:r>
        <w:r w:rsidR="003E5BF5" w:rsidRPr="00F37562">
          <w:rPr>
            <w:rStyle w:val="Hyperlink"/>
          </w:rPr>
          <w:tab/>
        </w:r>
        <w:r w:rsidR="003E5BF5" w:rsidRPr="00F37562">
          <w:rPr>
            <w:rStyle w:val="Hyperlink"/>
          </w:rPr>
          <w:fldChar w:fldCharType="begin"/>
        </w:r>
        <w:r w:rsidR="003E5BF5" w:rsidRPr="00F37562">
          <w:rPr>
            <w:rStyle w:val="Hyperlink"/>
          </w:rPr>
          <w:instrText xml:space="preserve"> PAGEREF _Toc41469605 \h </w:instrText>
        </w:r>
        <w:r w:rsidR="003E5BF5" w:rsidRPr="00F37562">
          <w:rPr>
            <w:rStyle w:val="Hyperlink"/>
          </w:rPr>
        </w:r>
        <w:r w:rsidR="003E5BF5" w:rsidRPr="00F37562">
          <w:rPr>
            <w:rStyle w:val="Hyperlink"/>
          </w:rPr>
          <w:fldChar w:fldCharType="separate"/>
        </w:r>
        <w:r w:rsidR="00E72BF1">
          <w:rPr>
            <w:rStyle w:val="Hyperlink"/>
          </w:rPr>
          <w:t>176</w:t>
        </w:r>
        <w:r w:rsidR="003E5BF5" w:rsidRPr="00F37562">
          <w:rPr>
            <w:rStyle w:val="Hyperlink"/>
          </w:rPr>
          <w:fldChar w:fldCharType="end"/>
        </w:r>
      </w:hyperlink>
    </w:p>
    <w:p w14:paraId="518652E4" w14:textId="77777777" w:rsidR="003E5BF5" w:rsidRPr="007444F0" w:rsidRDefault="003E5BF5" w:rsidP="00DE1921">
      <w:pPr>
        <w:pStyle w:val="TOC2"/>
        <w:framePr w:wrap="around"/>
        <w:sectPr w:rsidR="003E5BF5" w:rsidRPr="007444F0" w:rsidSect="00EC4F81">
          <w:type w:val="continuous"/>
          <w:pgSz w:w="11906" w:h="16838"/>
          <w:pgMar w:top="1701" w:right="1418" w:bottom="1418" w:left="1418" w:header="708" w:footer="708" w:gutter="0"/>
          <w:cols w:space="284"/>
          <w:docGrid w:linePitch="360"/>
        </w:sectPr>
      </w:pPr>
      <w:r w:rsidRPr="007444F0">
        <w:fldChar w:fldCharType="end"/>
      </w:r>
    </w:p>
    <w:p w14:paraId="2926C980" w14:textId="77777777" w:rsidR="003E5BF5" w:rsidRPr="007444F0" w:rsidRDefault="003E5BF5" w:rsidP="00DE1921">
      <w:pPr>
        <w:sectPr w:rsidR="003E5BF5" w:rsidRPr="007444F0" w:rsidSect="00DE1921">
          <w:type w:val="continuous"/>
          <w:pgSz w:w="11906" w:h="16838"/>
          <w:pgMar w:top="1701" w:right="1418" w:bottom="1418" w:left="1418" w:header="708" w:footer="708" w:gutter="0"/>
          <w:cols w:space="708"/>
          <w:docGrid w:linePitch="360"/>
        </w:sectPr>
      </w:pPr>
    </w:p>
    <w:p w14:paraId="500CF0B7" w14:textId="77777777" w:rsidR="003E5BF5" w:rsidRPr="00D33F5D" w:rsidRDefault="003E5BF5" w:rsidP="00610F5F">
      <w:pPr>
        <w:pStyle w:val="Heading2"/>
        <w:numPr>
          <w:ilvl w:val="1"/>
          <w:numId w:val="19"/>
        </w:numPr>
      </w:pPr>
      <w:bookmarkStart w:id="334" w:name="_Receivables"/>
      <w:bookmarkStart w:id="335" w:name="_Toc521963801"/>
      <w:bookmarkStart w:id="336" w:name="_Toc529192042"/>
      <w:bookmarkStart w:id="337" w:name="_Toc529197907"/>
      <w:bookmarkStart w:id="338" w:name="_Toc529197989"/>
      <w:bookmarkStart w:id="339" w:name="_Toc529198190"/>
      <w:bookmarkStart w:id="340" w:name="_Toc530386186"/>
      <w:bookmarkStart w:id="341" w:name="_Toc9344310"/>
      <w:bookmarkStart w:id="342" w:name="_Toc41469602"/>
      <w:bookmarkStart w:id="343" w:name="_Toc53420672"/>
      <w:bookmarkStart w:id="344" w:name="SEC6"/>
      <w:bookmarkEnd w:id="334"/>
      <w:r w:rsidRPr="007444F0">
        <w:t>Receivables</w:t>
      </w:r>
      <w:bookmarkEnd w:id="335"/>
      <w:bookmarkEnd w:id="336"/>
      <w:bookmarkEnd w:id="337"/>
      <w:bookmarkEnd w:id="338"/>
      <w:bookmarkEnd w:id="339"/>
      <w:bookmarkEnd w:id="340"/>
      <w:bookmarkEnd w:id="341"/>
      <w:bookmarkEnd w:id="342"/>
      <w:bookmarkEnd w:id="343"/>
      <w:r>
        <w:t xml:space="preserve"> </w:t>
      </w:r>
      <w:bookmarkStart w:id="345" w:name="RANGE!A3:C20"/>
      <w:bookmarkEnd w:id="345"/>
    </w:p>
    <w:tbl>
      <w:tblPr>
        <w:tblStyle w:val="TableGrid"/>
        <w:tblW w:w="9372" w:type="dxa"/>
        <w:tblLook w:val="04A0" w:firstRow="1" w:lastRow="0" w:firstColumn="1" w:lastColumn="0" w:noHBand="0" w:noVBand="1"/>
      </w:tblPr>
      <w:tblGrid>
        <w:gridCol w:w="6804"/>
        <w:gridCol w:w="1284"/>
        <w:gridCol w:w="1284"/>
      </w:tblGrid>
      <w:tr w:rsidR="003E5BF5" w:rsidRPr="00655316" w14:paraId="3FAFC8D8" w14:textId="77777777" w:rsidTr="003728AB">
        <w:trPr>
          <w:trHeight w:val="340"/>
        </w:trPr>
        <w:tc>
          <w:tcPr>
            <w:tcW w:w="6804" w:type="dxa"/>
            <w:shd w:val="clear" w:color="auto" w:fill="auto"/>
            <w:noWrap/>
            <w:hideMark/>
          </w:tcPr>
          <w:p w14:paraId="1B7B85AF" w14:textId="77777777" w:rsidR="003E5BF5" w:rsidRPr="00655316" w:rsidRDefault="003E5BF5" w:rsidP="00DE1921">
            <w:pPr>
              <w:rPr>
                <w:rFonts w:ascii="Arial" w:hAnsi="Arial" w:cs="Arial"/>
                <w:sz w:val="24"/>
                <w:szCs w:val="24"/>
                <w:lang w:eastAsia="en-AU"/>
              </w:rPr>
            </w:pPr>
          </w:p>
        </w:tc>
        <w:tc>
          <w:tcPr>
            <w:tcW w:w="2568" w:type="dxa"/>
            <w:gridSpan w:val="2"/>
            <w:shd w:val="clear" w:color="auto" w:fill="auto"/>
            <w:noWrap/>
            <w:vAlign w:val="center"/>
            <w:hideMark/>
          </w:tcPr>
          <w:p w14:paraId="6CC43EF2"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 thousand)</w:t>
            </w:r>
          </w:p>
        </w:tc>
      </w:tr>
      <w:tr w:rsidR="003E5BF5" w:rsidRPr="00655316" w14:paraId="11D4B653" w14:textId="77777777" w:rsidTr="003728AB">
        <w:trPr>
          <w:trHeight w:val="340"/>
        </w:trPr>
        <w:tc>
          <w:tcPr>
            <w:tcW w:w="6804" w:type="dxa"/>
            <w:shd w:val="clear" w:color="auto" w:fill="auto"/>
            <w:noWrap/>
            <w:hideMark/>
          </w:tcPr>
          <w:p w14:paraId="55B8D4EB" w14:textId="77777777" w:rsidR="003E5BF5" w:rsidRPr="00655316" w:rsidRDefault="003E5BF5" w:rsidP="00DE1921">
            <w:pPr>
              <w:rPr>
                <w:rFonts w:ascii="Arial" w:hAnsi="Arial" w:cs="Arial"/>
                <w:b/>
                <w:sz w:val="24"/>
                <w:szCs w:val="24"/>
                <w:lang w:eastAsia="en-AU"/>
              </w:rPr>
            </w:pPr>
          </w:p>
        </w:tc>
        <w:tc>
          <w:tcPr>
            <w:tcW w:w="1284" w:type="dxa"/>
            <w:shd w:val="clear" w:color="auto" w:fill="auto"/>
            <w:noWrap/>
            <w:vAlign w:val="center"/>
            <w:hideMark/>
          </w:tcPr>
          <w:p w14:paraId="2ECD1C08"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1284" w:type="dxa"/>
            <w:shd w:val="clear" w:color="auto" w:fill="auto"/>
            <w:noWrap/>
            <w:vAlign w:val="center"/>
            <w:hideMark/>
          </w:tcPr>
          <w:p w14:paraId="0DB91E86"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2019</w:t>
            </w:r>
          </w:p>
        </w:tc>
      </w:tr>
      <w:tr w:rsidR="003E5BF5" w:rsidRPr="00655316" w14:paraId="2C844893" w14:textId="77777777" w:rsidTr="003728AB">
        <w:trPr>
          <w:trHeight w:val="340"/>
        </w:trPr>
        <w:tc>
          <w:tcPr>
            <w:tcW w:w="6804" w:type="dxa"/>
            <w:shd w:val="clear" w:color="auto" w:fill="auto"/>
            <w:noWrap/>
            <w:vAlign w:val="center"/>
          </w:tcPr>
          <w:p w14:paraId="2863581C" w14:textId="77777777" w:rsidR="003E5BF5" w:rsidRPr="00655316" w:rsidRDefault="003E5BF5" w:rsidP="00604703">
            <w:pPr>
              <w:pStyle w:val="TableTextGreen"/>
            </w:pPr>
            <w:r w:rsidRPr="00655316">
              <w:t>Current receivables</w:t>
            </w:r>
          </w:p>
        </w:tc>
        <w:tc>
          <w:tcPr>
            <w:tcW w:w="1284" w:type="dxa"/>
            <w:shd w:val="clear" w:color="auto" w:fill="auto"/>
            <w:noWrap/>
            <w:vAlign w:val="center"/>
          </w:tcPr>
          <w:p w14:paraId="0637E85E" w14:textId="77777777" w:rsidR="003E5BF5" w:rsidRPr="00655316" w:rsidRDefault="003E5BF5" w:rsidP="00DE1921">
            <w:pPr>
              <w:jc w:val="right"/>
              <w:rPr>
                <w:rFonts w:ascii="Arial" w:hAnsi="Arial" w:cs="Arial"/>
                <w:b/>
                <w:sz w:val="24"/>
                <w:szCs w:val="24"/>
                <w:lang w:eastAsia="en-AU"/>
              </w:rPr>
            </w:pPr>
          </w:p>
        </w:tc>
        <w:tc>
          <w:tcPr>
            <w:tcW w:w="1284" w:type="dxa"/>
            <w:shd w:val="clear" w:color="auto" w:fill="auto"/>
            <w:noWrap/>
            <w:vAlign w:val="center"/>
          </w:tcPr>
          <w:p w14:paraId="29DA087C" w14:textId="77777777" w:rsidR="003E5BF5" w:rsidRPr="00655316" w:rsidRDefault="003E5BF5" w:rsidP="00DE1921">
            <w:pPr>
              <w:jc w:val="right"/>
              <w:rPr>
                <w:rFonts w:ascii="Arial" w:hAnsi="Arial" w:cs="Arial"/>
                <w:b/>
                <w:sz w:val="24"/>
                <w:szCs w:val="24"/>
                <w:lang w:eastAsia="en-AU"/>
              </w:rPr>
            </w:pPr>
          </w:p>
        </w:tc>
      </w:tr>
      <w:tr w:rsidR="003E5BF5" w:rsidRPr="00655316" w14:paraId="5B33E39E" w14:textId="77777777" w:rsidTr="003728AB">
        <w:trPr>
          <w:trHeight w:val="340"/>
        </w:trPr>
        <w:tc>
          <w:tcPr>
            <w:tcW w:w="6804" w:type="dxa"/>
            <w:shd w:val="clear" w:color="auto" w:fill="auto"/>
            <w:noWrap/>
            <w:vAlign w:val="center"/>
            <w:hideMark/>
          </w:tcPr>
          <w:p w14:paraId="69E10CD6" w14:textId="77777777" w:rsidR="003E5BF5" w:rsidRPr="00655316" w:rsidRDefault="003E5BF5" w:rsidP="00604703">
            <w:pPr>
              <w:pStyle w:val="TableTextGreen"/>
            </w:pPr>
            <w:r w:rsidRPr="00655316">
              <w:t>Contractual</w:t>
            </w:r>
          </w:p>
        </w:tc>
        <w:tc>
          <w:tcPr>
            <w:tcW w:w="1284" w:type="dxa"/>
            <w:shd w:val="clear" w:color="auto" w:fill="auto"/>
            <w:noWrap/>
            <w:vAlign w:val="center"/>
            <w:hideMark/>
          </w:tcPr>
          <w:p w14:paraId="79B65AFC"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lang w:eastAsia="en-AU"/>
              </w:rPr>
              <w:t> </w:t>
            </w:r>
          </w:p>
        </w:tc>
        <w:tc>
          <w:tcPr>
            <w:tcW w:w="1284" w:type="dxa"/>
            <w:shd w:val="clear" w:color="auto" w:fill="auto"/>
            <w:noWrap/>
            <w:vAlign w:val="center"/>
            <w:hideMark/>
          </w:tcPr>
          <w:p w14:paraId="63CD6F4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lang w:eastAsia="en-AU"/>
              </w:rPr>
              <w:t> </w:t>
            </w:r>
          </w:p>
        </w:tc>
      </w:tr>
      <w:tr w:rsidR="003E5BF5" w:rsidRPr="00655316" w14:paraId="21D4350B" w14:textId="77777777" w:rsidTr="003728AB">
        <w:trPr>
          <w:trHeight w:val="340"/>
        </w:trPr>
        <w:tc>
          <w:tcPr>
            <w:tcW w:w="6804" w:type="dxa"/>
            <w:shd w:val="clear" w:color="auto" w:fill="auto"/>
            <w:noWrap/>
            <w:vAlign w:val="center"/>
            <w:hideMark/>
          </w:tcPr>
          <w:p w14:paraId="70B00DE5"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 xml:space="preserve">Receivables - government </w:t>
            </w:r>
          </w:p>
        </w:tc>
        <w:tc>
          <w:tcPr>
            <w:tcW w:w="1284" w:type="dxa"/>
            <w:shd w:val="clear" w:color="auto" w:fill="auto"/>
            <w:noWrap/>
            <w:vAlign w:val="center"/>
            <w:hideMark/>
          </w:tcPr>
          <w:p w14:paraId="2D1200C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136,031 </w:t>
            </w:r>
          </w:p>
        </w:tc>
        <w:tc>
          <w:tcPr>
            <w:tcW w:w="1284" w:type="dxa"/>
            <w:shd w:val="clear" w:color="auto" w:fill="auto"/>
            <w:noWrap/>
            <w:vAlign w:val="center"/>
            <w:hideMark/>
          </w:tcPr>
          <w:p w14:paraId="26B5A6F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5,269 </w:t>
            </w:r>
          </w:p>
        </w:tc>
      </w:tr>
      <w:tr w:rsidR="003E5BF5" w:rsidRPr="00655316" w14:paraId="5B874B3E" w14:textId="77777777" w:rsidTr="003728AB">
        <w:trPr>
          <w:trHeight w:val="340"/>
        </w:trPr>
        <w:tc>
          <w:tcPr>
            <w:tcW w:w="6804" w:type="dxa"/>
            <w:shd w:val="clear" w:color="auto" w:fill="auto"/>
            <w:noWrap/>
            <w:vAlign w:val="center"/>
            <w:hideMark/>
          </w:tcPr>
          <w:p w14:paraId="6503A782"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Receivables - non-government</w:t>
            </w:r>
          </w:p>
        </w:tc>
        <w:tc>
          <w:tcPr>
            <w:tcW w:w="1284" w:type="dxa"/>
            <w:shd w:val="clear" w:color="auto" w:fill="auto"/>
            <w:noWrap/>
            <w:vAlign w:val="center"/>
            <w:hideMark/>
          </w:tcPr>
          <w:p w14:paraId="583E0F2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97,492 </w:t>
            </w:r>
          </w:p>
        </w:tc>
        <w:tc>
          <w:tcPr>
            <w:tcW w:w="1284" w:type="dxa"/>
            <w:shd w:val="clear" w:color="auto" w:fill="auto"/>
            <w:noWrap/>
            <w:vAlign w:val="center"/>
            <w:hideMark/>
          </w:tcPr>
          <w:p w14:paraId="5FD723D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15,805 </w:t>
            </w:r>
          </w:p>
        </w:tc>
      </w:tr>
      <w:tr w:rsidR="003E5BF5" w:rsidRPr="00655316" w14:paraId="620EB906" w14:textId="77777777" w:rsidTr="003728AB">
        <w:trPr>
          <w:trHeight w:val="340"/>
        </w:trPr>
        <w:tc>
          <w:tcPr>
            <w:tcW w:w="6804" w:type="dxa"/>
            <w:shd w:val="clear" w:color="auto" w:fill="auto"/>
            <w:noWrap/>
            <w:vAlign w:val="center"/>
            <w:hideMark/>
          </w:tcPr>
          <w:p w14:paraId="705E7CB0" w14:textId="77777777" w:rsidR="003E5BF5" w:rsidRPr="00655316" w:rsidRDefault="003E5BF5" w:rsidP="00604703">
            <w:pPr>
              <w:pStyle w:val="TableTextGreen"/>
            </w:pPr>
            <w:r w:rsidRPr="00655316">
              <w:t>Statutory</w:t>
            </w:r>
          </w:p>
        </w:tc>
        <w:tc>
          <w:tcPr>
            <w:tcW w:w="1284" w:type="dxa"/>
            <w:shd w:val="clear" w:color="auto" w:fill="auto"/>
            <w:noWrap/>
            <w:vAlign w:val="center"/>
            <w:hideMark/>
          </w:tcPr>
          <w:p w14:paraId="73E24CBE" w14:textId="77777777" w:rsidR="003E5BF5" w:rsidRPr="00655316" w:rsidRDefault="003E5BF5" w:rsidP="00DE1921">
            <w:pPr>
              <w:jc w:val="right"/>
              <w:rPr>
                <w:rFonts w:ascii="Arial" w:hAnsi="Arial" w:cs="Arial"/>
                <w:b/>
                <w:sz w:val="24"/>
                <w:szCs w:val="24"/>
                <w:lang w:eastAsia="en-AU"/>
              </w:rPr>
            </w:pPr>
          </w:p>
        </w:tc>
        <w:tc>
          <w:tcPr>
            <w:tcW w:w="1284" w:type="dxa"/>
            <w:shd w:val="clear" w:color="auto" w:fill="auto"/>
            <w:noWrap/>
            <w:vAlign w:val="center"/>
            <w:hideMark/>
          </w:tcPr>
          <w:p w14:paraId="4BA708F0" w14:textId="77777777" w:rsidR="003E5BF5" w:rsidRPr="00655316" w:rsidRDefault="003E5BF5" w:rsidP="00DE1921">
            <w:pPr>
              <w:jc w:val="right"/>
              <w:rPr>
                <w:rFonts w:ascii="Arial" w:hAnsi="Arial" w:cs="Arial"/>
                <w:sz w:val="24"/>
                <w:szCs w:val="24"/>
                <w:lang w:eastAsia="en-AU"/>
              </w:rPr>
            </w:pPr>
          </w:p>
        </w:tc>
      </w:tr>
      <w:tr w:rsidR="003E5BF5" w:rsidRPr="00655316" w14:paraId="672B2E69" w14:textId="77777777" w:rsidTr="003728AB">
        <w:trPr>
          <w:trHeight w:val="340"/>
        </w:trPr>
        <w:tc>
          <w:tcPr>
            <w:tcW w:w="6804" w:type="dxa"/>
            <w:shd w:val="clear" w:color="auto" w:fill="auto"/>
            <w:noWrap/>
            <w:vAlign w:val="center"/>
            <w:hideMark/>
          </w:tcPr>
          <w:p w14:paraId="69DD1336"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 xml:space="preserve">Amounts owing from Victorian Government </w:t>
            </w:r>
            <w:r w:rsidRPr="00655316">
              <w:rPr>
                <w:rFonts w:ascii="Arial" w:hAnsi="Arial" w:cs="Arial"/>
                <w:sz w:val="24"/>
                <w:szCs w:val="24"/>
                <w:vertAlign w:val="superscript"/>
                <w:lang w:eastAsia="en-AU"/>
              </w:rPr>
              <w:t>(</w:t>
            </w:r>
            <w:proofErr w:type="spellStart"/>
            <w:r w:rsidRPr="00655316">
              <w:rPr>
                <w:rFonts w:ascii="Arial" w:hAnsi="Arial" w:cs="Arial"/>
                <w:sz w:val="24"/>
                <w:szCs w:val="24"/>
                <w:vertAlign w:val="superscript"/>
                <w:lang w:eastAsia="en-AU"/>
              </w:rPr>
              <w:t>i</w:t>
            </w:r>
            <w:proofErr w:type="spellEnd"/>
            <w:r w:rsidRPr="00655316">
              <w:rPr>
                <w:rFonts w:ascii="Arial" w:hAnsi="Arial" w:cs="Arial"/>
                <w:sz w:val="24"/>
                <w:szCs w:val="24"/>
                <w:vertAlign w:val="superscript"/>
                <w:lang w:eastAsia="en-AU"/>
              </w:rPr>
              <w:t>)</w:t>
            </w:r>
          </w:p>
        </w:tc>
        <w:tc>
          <w:tcPr>
            <w:tcW w:w="1284" w:type="dxa"/>
            <w:shd w:val="clear" w:color="auto" w:fill="auto"/>
            <w:noWrap/>
            <w:vAlign w:val="center"/>
            <w:hideMark/>
          </w:tcPr>
          <w:p w14:paraId="6136FE5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1,224,278 </w:t>
            </w:r>
          </w:p>
        </w:tc>
        <w:tc>
          <w:tcPr>
            <w:tcW w:w="1284" w:type="dxa"/>
            <w:shd w:val="clear" w:color="auto" w:fill="auto"/>
            <w:noWrap/>
            <w:vAlign w:val="center"/>
            <w:hideMark/>
          </w:tcPr>
          <w:p w14:paraId="15C950B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1,070,660 </w:t>
            </w:r>
          </w:p>
        </w:tc>
      </w:tr>
      <w:tr w:rsidR="003E5BF5" w:rsidRPr="00655316" w14:paraId="31DCE9B3" w14:textId="77777777" w:rsidTr="003728AB">
        <w:trPr>
          <w:trHeight w:val="340"/>
        </w:trPr>
        <w:tc>
          <w:tcPr>
            <w:tcW w:w="6804" w:type="dxa"/>
            <w:shd w:val="clear" w:color="auto" w:fill="auto"/>
            <w:noWrap/>
            <w:vAlign w:val="center"/>
            <w:hideMark/>
          </w:tcPr>
          <w:p w14:paraId="7EA0647B"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GST input tax credit recoverable from the ATO</w:t>
            </w:r>
          </w:p>
        </w:tc>
        <w:tc>
          <w:tcPr>
            <w:tcW w:w="1284" w:type="dxa"/>
            <w:shd w:val="clear" w:color="auto" w:fill="auto"/>
            <w:noWrap/>
            <w:vAlign w:val="center"/>
            <w:hideMark/>
          </w:tcPr>
          <w:p w14:paraId="6A3BC9E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134,838 </w:t>
            </w:r>
          </w:p>
        </w:tc>
        <w:tc>
          <w:tcPr>
            <w:tcW w:w="1284" w:type="dxa"/>
            <w:shd w:val="clear" w:color="auto" w:fill="auto"/>
            <w:noWrap/>
            <w:vAlign w:val="center"/>
            <w:hideMark/>
          </w:tcPr>
          <w:p w14:paraId="12BE840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40,047 </w:t>
            </w:r>
          </w:p>
        </w:tc>
      </w:tr>
      <w:tr w:rsidR="003E5BF5" w:rsidRPr="00655316" w14:paraId="37F568D8" w14:textId="77777777" w:rsidTr="003728AB">
        <w:trPr>
          <w:trHeight w:val="340"/>
        </w:trPr>
        <w:tc>
          <w:tcPr>
            <w:tcW w:w="6804" w:type="dxa"/>
            <w:shd w:val="clear" w:color="auto" w:fill="auto"/>
            <w:noWrap/>
            <w:vAlign w:val="center"/>
            <w:hideMark/>
          </w:tcPr>
          <w:p w14:paraId="02FE3EFD"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Total current receivables</w:t>
            </w:r>
          </w:p>
        </w:tc>
        <w:tc>
          <w:tcPr>
            <w:tcW w:w="1284" w:type="dxa"/>
            <w:shd w:val="clear" w:color="auto" w:fill="auto"/>
            <w:noWrap/>
            <w:vAlign w:val="center"/>
            <w:hideMark/>
          </w:tcPr>
          <w:p w14:paraId="6EC323E8"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1,592,639 </w:t>
            </w:r>
          </w:p>
        </w:tc>
        <w:tc>
          <w:tcPr>
            <w:tcW w:w="1284" w:type="dxa"/>
            <w:shd w:val="clear" w:color="auto" w:fill="auto"/>
            <w:noWrap/>
            <w:vAlign w:val="center"/>
            <w:hideMark/>
          </w:tcPr>
          <w:p w14:paraId="4F457DBC"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1,131,781 </w:t>
            </w:r>
          </w:p>
        </w:tc>
      </w:tr>
      <w:tr w:rsidR="003E5BF5" w:rsidRPr="00655316" w14:paraId="20847447" w14:textId="77777777" w:rsidTr="003728AB">
        <w:trPr>
          <w:trHeight w:val="340"/>
        </w:trPr>
        <w:tc>
          <w:tcPr>
            <w:tcW w:w="6804" w:type="dxa"/>
            <w:shd w:val="clear" w:color="auto" w:fill="auto"/>
            <w:noWrap/>
            <w:vAlign w:val="center"/>
            <w:hideMark/>
          </w:tcPr>
          <w:p w14:paraId="5CC3EE40" w14:textId="77777777" w:rsidR="003E5BF5" w:rsidRPr="00655316" w:rsidRDefault="003E5BF5" w:rsidP="00604703">
            <w:pPr>
              <w:pStyle w:val="TableTextGreen"/>
            </w:pPr>
            <w:r w:rsidRPr="00655316">
              <w:t>Non-current receivables</w:t>
            </w:r>
          </w:p>
        </w:tc>
        <w:tc>
          <w:tcPr>
            <w:tcW w:w="1284" w:type="dxa"/>
            <w:shd w:val="clear" w:color="auto" w:fill="auto"/>
            <w:noWrap/>
            <w:vAlign w:val="center"/>
            <w:hideMark/>
          </w:tcPr>
          <w:p w14:paraId="6397E789" w14:textId="77777777" w:rsidR="003E5BF5" w:rsidRPr="00655316" w:rsidRDefault="003E5BF5" w:rsidP="00DE1921">
            <w:pPr>
              <w:jc w:val="right"/>
              <w:rPr>
                <w:rFonts w:ascii="Arial" w:hAnsi="Arial" w:cs="Arial"/>
                <w:b/>
                <w:sz w:val="24"/>
                <w:szCs w:val="24"/>
                <w:lang w:eastAsia="en-AU"/>
              </w:rPr>
            </w:pPr>
          </w:p>
        </w:tc>
        <w:tc>
          <w:tcPr>
            <w:tcW w:w="1284" w:type="dxa"/>
            <w:shd w:val="clear" w:color="auto" w:fill="auto"/>
            <w:noWrap/>
            <w:vAlign w:val="center"/>
            <w:hideMark/>
          </w:tcPr>
          <w:p w14:paraId="559A6E40" w14:textId="77777777" w:rsidR="003E5BF5" w:rsidRPr="00655316" w:rsidRDefault="003E5BF5" w:rsidP="00DE1921">
            <w:pPr>
              <w:jc w:val="right"/>
              <w:rPr>
                <w:rFonts w:ascii="Arial" w:hAnsi="Arial" w:cs="Arial"/>
                <w:sz w:val="24"/>
                <w:szCs w:val="24"/>
                <w:lang w:eastAsia="en-AU"/>
              </w:rPr>
            </w:pPr>
          </w:p>
        </w:tc>
      </w:tr>
      <w:tr w:rsidR="003E5BF5" w:rsidRPr="00655316" w14:paraId="16DACA6C" w14:textId="77777777" w:rsidTr="003728AB">
        <w:trPr>
          <w:trHeight w:val="340"/>
        </w:trPr>
        <w:tc>
          <w:tcPr>
            <w:tcW w:w="6804" w:type="dxa"/>
            <w:shd w:val="clear" w:color="auto" w:fill="auto"/>
            <w:noWrap/>
            <w:vAlign w:val="center"/>
            <w:hideMark/>
          </w:tcPr>
          <w:p w14:paraId="146D9845" w14:textId="77777777" w:rsidR="003E5BF5" w:rsidRPr="00655316" w:rsidRDefault="003E5BF5" w:rsidP="00604703">
            <w:pPr>
              <w:pStyle w:val="TableTextGreen"/>
            </w:pPr>
            <w:r w:rsidRPr="00655316">
              <w:t>Contractual</w:t>
            </w:r>
          </w:p>
        </w:tc>
        <w:tc>
          <w:tcPr>
            <w:tcW w:w="1284" w:type="dxa"/>
            <w:shd w:val="clear" w:color="auto" w:fill="auto"/>
            <w:noWrap/>
            <w:vAlign w:val="center"/>
            <w:hideMark/>
          </w:tcPr>
          <w:p w14:paraId="4B7745B0" w14:textId="77777777" w:rsidR="003E5BF5" w:rsidRPr="00655316" w:rsidRDefault="003E5BF5" w:rsidP="00DE1921">
            <w:pPr>
              <w:jc w:val="right"/>
              <w:rPr>
                <w:rFonts w:ascii="Arial" w:hAnsi="Arial" w:cs="Arial"/>
                <w:b/>
                <w:sz w:val="24"/>
                <w:szCs w:val="24"/>
                <w:lang w:eastAsia="en-AU"/>
              </w:rPr>
            </w:pPr>
          </w:p>
        </w:tc>
        <w:tc>
          <w:tcPr>
            <w:tcW w:w="1284" w:type="dxa"/>
            <w:shd w:val="clear" w:color="auto" w:fill="auto"/>
            <w:noWrap/>
            <w:vAlign w:val="center"/>
            <w:hideMark/>
          </w:tcPr>
          <w:p w14:paraId="39B95ABD" w14:textId="77777777" w:rsidR="003E5BF5" w:rsidRPr="00655316" w:rsidRDefault="003E5BF5" w:rsidP="00DE1921">
            <w:pPr>
              <w:jc w:val="right"/>
              <w:rPr>
                <w:rFonts w:ascii="Arial" w:hAnsi="Arial" w:cs="Arial"/>
                <w:sz w:val="24"/>
                <w:szCs w:val="24"/>
                <w:lang w:eastAsia="en-AU"/>
              </w:rPr>
            </w:pPr>
          </w:p>
        </w:tc>
      </w:tr>
      <w:tr w:rsidR="003E5BF5" w:rsidRPr="00655316" w14:paraId="7827FE4E" w14:textId="77777777" w:rsidTr="003728AB">
        <w:trPr>
          <w:trHeight w:val="340"/>
        </w:trPr>
        <w:tc>
          <w:tcPr>
            <w:tcW w:w="6804" w:type="dxa"/>
            <w:shd w:val="clear" w:color="auto" w:fill="auto"/>
            <w:noWrap/>
            <w:vAlign w:val="center"/>
            <w:hideMark/>
          </w:tcPr>
          <w:p w14:paraId="629448D4"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 xml:space="preserve">Receivables - government </w:t>
            </w:r>
          </w:p>
        </w:tc>
        <w:tc>
          <w:tcPr>
            <w:tcW w:w="1284" w:type="dxa"/>
            <w:shd w:val="clear" w:color="auto" w:fill="auto"/>
            <w:noWrap/>
            <w:vAlign w:val="center"/>
            <w:hideMark/>
          </w:tcPr>
          <w:p w14:paraId="6DBAE4AC"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 </w:t>
            </w:r>
          </w:p>
        </w:tc>
        <w:tc>
          <w:tcPr>
            <w:tcW w:w="1284" w:type="dxa"/>
            <w:shd w:val="clear" w:color="auto" w:fill="auto"/>
            <w:noWrap/>
            <w:vAlign w:val="center"/>
            <w:hideMark/>
          </w:tcPr>
          <w:p w14:paraId="35E39DC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1,106 </w:t>
            </w:r>
          </w:p>
        </w:tc>
      </w:tr>
      <w:tr w:rsidR="003E5BF5" w:rsidRPr="00655316" w14:paraId="2F38F50A" w14:textId="77777777" w:rsidTr="003728AB">
        <w:trPr>
          <w:trHeight w:val="340"/>
        </w:trPr>
        <w:tc>
          <w:tcPr>
            <w:tcW w:w="6804" w:type="dxa"/>
            <w:shd w:val="clear" w:color="auto" w:fill="auto"/>
            <w:noWrap/>
            <w:vAlign w:val="center"/>
            <w:hideMark/>
          </w:tcPr>
          <w:p w14:paraId="3153E694"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Receivables - non-government</w:t>
            </w:r>
          </w:p>
        </w:tc>
        <w:tc>
          <w:tcPr>
            <w:tcW w:w="1284" w:type="dxa"/>
            <w:shd w:val="clear" w:color="auto" w:fill="auto"/>
            <w:noWrap/>
            <w:vAlign w:val="center"/>
            <w:hideMark/>
          </w:tcPr>
          <w:p w14:paraId="7AC1997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81,105 </w:t>
            </w:r>
          </w:p>
        </w:tc>
        <w:tc>
          <w:tcPr>
            <w:tcW w:w="1284" w:type="dxa"/>
            <w:shd w:val="clear" w:color="auto" w:fill="auto"/>
            <w:noWrap/>
            <w:vAlign w:val="center"/>
            <w:hideMark/>
          </w:tcPr>
          <w:p w14:paraId="702AA641"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3,016 </w:t>
            </w:r>
          </w:p>
        </w:tc>
      </w:tr>
      <w:tr w:rsidR="003E5BF5" w:rsidRPr="00655316" w14:paraId="40949B6E" w14:textId="77777777" w:rsidTr="003728AB">
        <w:trPr>
          <w:trHeight w:val="340"/>
        </w:trPr>
        <w:tc>
          <w:tcPr>
            <w:tcW w:w="6804" w:type="dxa"/>
            <w:shd w:val="clear" w:color="auto" w:fill="auto"/>
            <w:noWrap/>
            <w:vAlign w:val="center"/>
            <w:hideMark/>
          </w:tcPr>
          <w:p w14:paraId="371D49FD" w14:textId="77777777" w:rsidR="003E5BF5" w:rsidRPr="00655316" w:rsidRDefault="003E5BF5" w:rsidP="00604703">
            <w:pPr>
              <w:pStyle w:val="TableTextGreen"/>
            </w:pPr>
            <w:r w:rsidRPr="00655316">
              <w:t>Statutory</w:t>
            </w:r>
          </w:p>
        </w:tc>
        <w:tc>
          <w:tcPr>
            <w:tcW w:w="1284" w:type="dxa"/>
            <w:shd w:val="clear" w:color="auto" w:fill="auto"/>
            <w:noWrap/>
            <w:vAlign w:val="center"/>
            <w:hideMark/>
          </w:tcPr>
          <w:p w14:paraId="79AC4214" w14:textId="77777777" w:rsidR="003E5BF5" w:rsidRPr="00655316" w:rsidRDefault="003E5BF5" w:rsidP="00DE1921">
            <w:pPr>
              <w:jc w:val="right"/>
              <w:rPr>
                <w:rFonts w:ascii="Arial" w:hAnsi="Arial" w:cs="Arial"/>
                <w:b/>
                <w:sz w:val="24"/>
                <w:szCs w:val="24"/>
                <w:lang w:eastAsia="en-AU"/>
              </w:rPr>
            </w:pPr>
          </w:p>
        </w:tc>
        <w:tc>
          <w:tcPr>
            <w:tcW w:w="1284" w:type="dxa"/>
            <w:shd w:val="clear" w:color="auto" w:fill="auto"/>
            <w:noWrap/>
            <w:vAlign w:val="center"/>
            <w:hideMark/>
          </w:tcPr>
          <w:p w14:paraId="606FEAEE" w14:textId="77777777" w:rsidR="003E5BF5" w:rsidRPr="00655316" w:rsidRDefault="003E5BF5" w:rsidP="00DE1921">
            <w:pPr>
              <w:jc w:val="right"/>
              <w:rPr>
                <w:rFonts w:ascii="Arial" w:hAnsi="Arial" w:cs="Arial"/>
                <w:sz w:val="24"/>
                <w:szCs w:val="24"/>
                <w:lang w:eastAsia="en-AU"/>
              </w:rPr>
            </w:pPr>
          </w:p>
        </w:tc>
      </w:tr>
      <w:tr w:rsidR="003E5BF5" w:rsidRPr="00655316" w14:paraId="10EC2C9F" w14:textId="77777777" w:rsidTr="003728AB">
        <w:trPr>
          <w:trHeight w:val="340"/>
        </w:trPr>
        <w:tc>
          <w:tcPr>
            <w:tcW w:w="6804" w:type="dxa"/>
            <w:shd w:val="clear" w:color="auto" w:fill="auto"/>
            <w:noWrap/>
            <w:vAlign w:val="center"/>
            <w:hideMark/>
          </w:tcPr>
          <w:p w14:paraId="201BA52D"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 xml:space="preserve">Amounts owing from Victorian Government </w:t>
            </w:r>
            <w:r w:rsidRPr="00655316">
              <w:rPr>
                <w:rFonts w:ascii="Arial" w:hAnsi="Arial" w:cs="Arial"/>
                <w:sz w:val="24"/>
                <w:szCs w:val="24"/>
                <w:vertAlign w:val="superscript"/>
                <w:lang w:eastAsia="en-AU"/>
              </w:rPr>
              <w:t>(</w:t>
            </w:r>
            <w:proofErr w:type="spellStart"/>
            <w:r w:rsidRPr="00655316">
              <w:rPr>
                <w:rFonts w:ascii="Arial" w:hAnsi="Arial" w:cs="Arial"/>
                <w:sz w:val="24"/>
                <w:szCs w:val="24"/>
                <w:vertAlign w:val="superscript"/>
                <w:lang w:eastAsia="en-AU"/>
              </w:rPr>
              <w:t>i</w:t>
            </w:r>
            <w:proofErr w:type="spellEnd"/>
            <w:r w:rsidRPr="00655316">
              <w:rPr>
                <w:rFonts w:ascii="Arial" w:hAnsi="Arial" w:cs="Arial"/>
                <w:sz w:val="24"/>
                <w:szCs w:val="24"/>
                <w:vertAlign w:val="superscript"/>
                <w:lang w:eastAsia="en-AU"/>
              </w:rPr>
              <w:t>)</w:t>
            </w:r>
          </w:p>
        </w:tc>
        <w:tc>
          <w:tcPr>
            <w:tcW w:w="1284" w:type="dxa"/>
            <w:shd w:val="clear" w:color="auto" w:fill="auto"/>
            <w:noWrap/>
            <w:vAlign w:val="center"/>
            <w:hideMark/>
          </w:tcPr>
          <w:p w14:paraId="5F9C7D7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27,268 </w:t>
            </w:r>
          </w:p>
        </w:tc>
        <w:tc>
          <w:tcPr>
            <w:tcW w:w="1284" w:type="dxa"/>
            <w:shd w:val="clear" w:color="auto" w:fill="auto"/>
            <w:noWrap/>
            <w:vAlign w:val="center"/>
            <w:hideMark/>
          </w:tcPr>
          <w:p w14:paraId="11875C4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13,790 </w:t>
            </w:r>
          </w:p>
        </w:tc>
      </w:tr>
      <w:tr w:rsidR="003E5BF5" w:rsidRPr="00655316" w14:paraId="36DE55D7" w14:textId="77777777" w:rsidTr="003728AB">
        <w:trPr>
          <w:trHeight w:val="340"/>
        </w:trPr>
        <w:tc>
          <w:tcPr>
            <w:tcW w:w="6804" w:type="dxa"/>
            <w:tcBorders>
              <w:bottom w:val="single" w:sz="4" w:space="0" w:color="auto"/>
            </w:tcBorders>
            <w:shd w:val="clear" w:color="auto" w:fill="auto"/>
            <w:noWrap/>
            <w:vAlign w:val="center"/>
            <w:hideMark/>
          </w:tcPr>
          <w:p w14:paraId="4F7889E8"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Total non-current receivables</w:t>
            </w:r>
          </w:p>
        </w:tc>
        <w:tc>
          <w:tcPr>
            <w:tcW w:w="1284" w:type="dxa"/>
            <w:tcBorders>
              <w:bottom w:val="single" w:sz="4" w:space="0" w:color="auto"/>
            </w:tcBorders>
            <w:shd w:val="clear" w:color="auto" w:fill="auto"/>
            <w:noWrap/>
            <w:vAlign w:val="center"/>
            <w:hideMark/>
          </w:tcPr>
          <w:p w14:paraId="5E4F6152"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108,373 </w:t>
            </w:r>
          </w:p>
        </w:tc>
        <w:tc>
          <w:tcPr>
            <w:tcW w:w="1284" w:type="dxa"/>
            <w:tcBorders>
              <w:bottom w:val="single" w:sz="4" w:space="0" w:color="auto"/>
            </w:tcBorders>
            <w:shd w:val="clear" w:color="auto" w:fill="auto"/>
            <w:noWrap/>
            <w:vAlign w:val="center"/>
            <w:hideMark/>
          </w:tcPr>
          <w:p w14:paraId="2655710A"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17,912 </w:t>
            </w:r>
          </w:p>
        </w:tc>
      </w:tr>
      <w:tr w:rsidR="003E5BF5" w:rsidRPr="00655316" w14:paraId="0B45E292" w14:textId="77777777" w:rsidTr="003728AB">
        <w:trPr>
          <w:trHeight w:val="340"/>
        </w:trPr>
        <w:tc>
          <w:tcPr>
            <w:tcW w:w="6804" w:type="dxa"/>
            <w:tcBorders>
              <w:bottom w:val="single" w:sz="4" w:space="0" w:color="auto"/>
            </w:tcBorders>
            <w:shd w:val="clear" w:color="auto" w:fill="auto"/>
            <w:noWrap/>
            <w:vAlign w:val="center"/>
            <w:hideMark/>
          </w:tcPr>
          <w:p w14:paraId="0A8FDE58"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Total receivables</w:t>
            </w:r>
          </w:p>
        </w:tc>
        <w:tc>
          <w:tcPr>
            <w:tcW w:w="1284" w:type="dxa"/>
            <w:tcBorders>
              <w:bottom w:val="single" w:sz="4" w:space="0" w:color="auto"/>
            </w:tcBorders>
            <w:shd w:val="clear" w:color="auto" w:fill="auto"/>
            <w:noWrap/>
            <w:vAlign w:val="center"/>
            <w:hideMark/>
          </w:tcPr>
          <w:p w14:paraId="4C518326"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1,701,012 </w:t>
            </w:r>
          </w:p>
        </w:tc>
        <w:tc>
          <w:tcPr>
            <w:tcW w:w="1284" w:type="dxa"/>
            <w:tcBorders>
              <w:bottom w:val="single" w:sz="4" w:space="0" w:color="auto"/>
            </w:tcBorders>
            <w:shd w:val="clear" w:color="auto" w:fill="auto"/>
            <w:noWrap/>
            <w:vAlign w:val="center"/>
            <w:hideMark/>
          </w:tcPr>
          <w:p w14:paraId="6E2136F2"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1,149,693 </w:t>
            </w:r>
          </w:p>
        </w:tc>
      </w:tr>
    </w:tbl>
    <w:p w14:paraId="31A9782E" w14:textId="77777777" w:rsidR="003728AB" w:rsidRPr="00655316" w:rsidRDefault="003728AB" w:rsidP="003728AB">
      <w:pPr>
        <w:pStyle w:val="Note"/>
        <w:rPr>
          <w:rFonts w:ascii="Arial" w:hAnsi="Arial" w:cs="Arial"/>
          <w:sz w:val="24"/>
          <w:szCs w:val="24"/>
        </w:rPr>
      </w:pPr>
      <w:r w:rsidRPr="00655316">
        <w:rPr>
          <w:rFonts w:ascii="Arial" w:hAnsi="Arial" w:cs="Arial"/>
          <w:sz w:val="24"/>
          <w:szCs w:val="24"/>
        </w:rPr>
        <w:t>Note:</w:t>
      </w:r>
    </w:p>
    <w:p w14:paraId="4D744265" w14:textId="77777777" w:rsidR="003728AB" w:rsidRPr="00655316" w:rsidRDefault="003728AB" w:rsidP="00610F5F">
      <w:pPr>
        <w:pStyle w:val="aaaNotenumberiiiiii"/>
        <w:numPr>
          <w:ilvl w:val="0"/>
          <w:numId w:val="95"/>
        </w:numPr>
      </w:pPr>
      <w:r w:rsidRPr="00655316">
        <w:t xml:space="preserve">The amounts recognised from the Victorian Government represent funding for all commitments incurred through the appropriations and are drawn from the Consolidated Fund as the commitments fall due. </w:t>
      </w:r>
    </w:p>
    <w:p w14:paraId="402D579B" w14:textId="770E44B6" w:rsidR="003E5BF5" w:rsidRDefault="003E5BF5" w:rsidP="00DE1921">
      <w:pPr>
        <w:spacing w:after="0"/>
        <w:rPr>
          <w:lang w:eastAsia="en-AU"/>
        </w:rPr>
      </w:pPr>
    </w:p>
    <w:p w14:paraId="796EE3B0" w14:textId="77777777" w:rsidR="003728AB" w:rsidRDefault="003728AB" w:rsidP="00DE1921">
      <w:pPr>
        <w:spacing w:after="0"/>
        <w:rPr>
          <w:lang w:eastAsia="en-AU"/>
        </w:rPr>
      </w:pPr>
    </w:p>
    <w:p w14:paraId="260EECB7" w14:textId="77777777" w:rsidR="003E5BF5" w:rsidRDefault="003E5BF5" w:rsidP="00DE1921">
      <w:pPr>
        <w:spacing w:after="0"/>
        <w:rPr>
          <w:b/>
        </w:rPr>
        <w:sectPr w:rsidR="003E5BF5" w:rsidSect="00DE1921">
          <w:footerReference w:type="even" r:id="rId138"/>
          <w:type w:val="continuous"/>
          <w:pgSz w:w="11906" w:h="16838"/>
          <w:pgMar w:top="1701" w:right="1418" w:bottom="1418" w:left="1418" w:header="708" w:footer="708" w:gutter="0"/>
          <w:cols w:space="708"/>
          <w:docGrid w:linePitch="360"/>
        </w:sectPr>
      </w:pPr>
    </w:p>
    <w:p w14:paraId="259BEB78" w14:textId="1AB8D002" w:rsidR="003E5BF5" w:rsidRDefault="003E5BF5" w:rsidP="003F1563">
      <w:pPr>
        <w:pStyle w:val="aaatyping"/>
      </w:pPr>
      <w:r w:rsidRPr="007444F0">
        <w:rPr>
          <w:b/>
        </w:rPr>
        <w:t xml:space="preserve">Contractual receivables </w:t>
      </w:r>
      <w:r w:rsidRPr="007444F0">
        <w:t xml:space="preserve">are classified as financial instruments and categorised as financial assets at amortised costs. They are initially recognised at fair value plus any directly attributable transaction costs. The </w:t>
      </w:r>
      <w:r>
        <w:t>d</w:t>
      </w:r>
      <w:r w:rsidRPr="007444F0">
        <w:t>epartment holds the contractual receivables with the objective to collect the contractual cash flows and therefore subsequently measured at amortised cost using the</w:t>
      </w:r>
      <w:r>
        <w:t xml:space="preserve"> effective </w:t>
      </w:r>
      <w:r w:rsidRPr="007444F0">
        <w:t>interest method</w:t>
      </w:r>
      <w:r>
        <w:t xml:space="preserve"> less any impairment</w:t>
      </w:r>
      <w:r w:rsidRPr="007444F0">
        <w:t>.</w:t>
      </w:r>
      <w:r w:rsidR="00140A29">
        <w:t xml:space="preserve">  </w:t>
      </w:r>
    </w:p>
    <w:p w14:paraId="7E52C09A" w14:textId="30CF1AAA" w:rsidR="003E5BF5" w:rsidRDefault="003E5BF5" w:rsidP="003F1563">
      <w:pPr>
        <w:pStyle w:val="aaatyping"/>
      </w:pPr>
      <w:r w:rsidRPr="007444F0">
        <w:rPr>
          <w:b/>
        </w:rPr>
        <w:t>Statutory receivables</w:t>
      </w:r>
      <w:r w:rsidRPr="007444F0">
        <w:t xml:space="preserve"> do not arise from contracts and are recognised and measured similarly to contractual receivables (except for impairment), but are not classified as financial instruments. Amounts recognised from the Victorian Government represent funding for all commitments incurred and are drawn from the Consolidated Fund as the commitments fall due.</w:t>
      </w:r>
    </w:p>
    <w:p w14:paraId="47B3C95C" w14:textId="77777777" w:rsidR="003E5BF5" w:rsidRDefault="003E5BF5" w:rsidP="003F1563">
      <w:pPr>
        <w:pStyle w:val="aaatyping"/>
      </w:pPr>
      <w:r w:rsidRPr="007444F0">
        <w:t xml:space="preserve">Details about the </w:t>
      </w:r>
      <w:r>
        <w:t>d</w:t>
      </w:r>
      <w:r w:rsidRPr="007444F0">
        <w:t xml:space="preserve">epartment’s impairment policies, the </w:t>
      </w:r>
      <w:r>
        <w:t>d</w:t>
      </w:r>
      <w:r w:rsidRPr="007444F0">
        <w:t>epartment’s exposure to credit risk, and the calculation of the loss allowance are set out in note 8.1.3.</w:t>
      </w:r>
    </w:p>
    <w:p w14:paraId="39CE98C7" w14:textId="77777777" w:rsidR="008A7E6F" w:rsidRDefault="008A7E6F" w:rsidP="00610F5F">
      <w:pPr>
        <w:pStyle w:val="Heading2"/>
        <w:numPr>
          <w:ilvl w:val="2"/>
          <w:numId w:val="20"/>
        </w:numPr>
        <w:ind w:left="765" w:hanging="765"/>
        <w:sectPr w:rsidR="008A7E6F" w:rsidSect="00DE1921">
          <w:type w:val="continuous"/>
          <w:pgSz w:w="11906" w:h="16838"/>
          <w:pgMar w:top="1701" w:right="1418" w:bottom="1418" w:left="1418" w:header="708" w:footer="708" w:gutter="0"/>
          <w:cols w:space="708"/>
          <w:docGrid w:linePitch="360"/>
        </w:sectPr>
      </w:pPr>
      <w:bookmarkStart w:id="346" w:name="_Contract_assets"/>
      <w:bookmarkStart w:id="347" w:name="_Toc53420673"/>
      <w:bookmarkStart w:id="348" w:name="_Toc521963802"/>
      <w:bookmarkStart w:id="349" w:name="_Toc529192043"/>
      <w:bookmarkStart w:id="350" w:name="_Toc529197908"/>
      <w:bookmarkStart w:id="351" w:name="_Toc529197990"/>
      <w:bookmarkStart w:id="352" w:name="_Toc529198191"/>
      <w:bookmarkStart w:id="353" w:name="_Toc530386187"/>
      <w:bookmarkStart w:id="354" w:name="_Toc9344311"/>
      <w:bookmarkStart w:id="355" w:name="_Toc41469603"/>
      <w:bookmarkEnd w:id="346"/>
    </w:p>
    <w:p w14:paraId="64677C53" w14:textId="401D2985" w:rsidR="003E5BF5" w:rsidRPr="00E277A4" w:rsidRDefault="003E5BF5" w:rsidP="00610F5F">
      <w:pPr>
        <w:pStyle w:val="Heading2"/>
        <w:numPr>
          <w:ilvl w:val="2"/>
          <w:numId w:val="20"/>
        </w:numPr>
        <w:ind w:left="765" w:hanging="765"/>
      </w:pPr>
      <w:r>
        <w:lastRenderedPageBreak/>
        <w:t xml:space="preserve">Contract </w:t>
      </w:r>
      <w:r w:rsidRPr="00722E21">
        <w:t>assets</w:t>
      </w:r>
      <w:bookmarkEnd w:id="347"/>
    </w:p>
    <w:tbl>
      <w:tblPr>
        <w:tblStyle w:val="TableGrid"/>
        <w:tblW w:w="9072" w:type="dxa"/>
        <w:tblLayout w:type="fixed"/>
        <w:tblLook w:val="04A0" w:firstRow="1" w:lastRow="0" w:firstColumn="1" w:lastColumn="0" w:noHBand="0" w:noVBand="1"/>
      </w:tblPr>
      <w:tblGrid>
        <w:gridCol w:w="7088"/>
        <w:gridCol w:w="1984"/>
      </w:tblGrid>
      <w:tr w:rsidR="003E5BF5" w:rsidRPr="00655316" w14:paraId="73927906" w14:textId="77777777" w:rsidTr="002B0577">
        <w:trPr>
          <w:trHeight w:val="340"/>
        </w:trPr>
        <w:tc>
          <w:tcPr>
            <w:tcW w:w="7088" w:type="dxa"/>
            <w:shd w:val="clear" w:color="auto" w:fill="auto"/>
            <w:hideMark/>
          </w:tcPr>
          <w:p w14:paraId="71195D08" w14:textId="77777777" w:rsidR="003E5BF5" w:rsidRPr="00655316" w:rsidRDefault="003E5BF5" w:rsidP="00DE1921">
            <w:pPr>
              <w:rPr>
                <w:rFonts w:ascii="Arial" w:hAnsi="Arial" w:cs="Arial"/>
                <w:sz w:val="24"/>
                <w:szCs w:val="24"/>
                <w:lang w:eastAsia="en-AU"/>
              </w:rPr>
            </w:pPr>
          </w:p>
        </w:tc>
        <w:tc>
          <w:tcPr>
            <w:tcW w:w="1984" w:type="dxa"/>
            <w:shd w:val="clear" w:color="auto" w:fill="auto"/>
            <w:noWrap/>
            <w:vAlign w:val="center"/>
            <w:hideMark/>
          </w:tcPr>
          <w:p w14:paraId="7512F6C9"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 thousand)</w:t>
            </w:r>
          </w:p>
        </w:tc>
      </w:tr>
      <w:tr w:rsidR="003E5BF5" w:rsidRPr="00655316" w14:paraId="2170F41F" w14:textId="77777777" w:rsidTr="002B0577">
        <w:trPr>
          <w:trHeight w:val="340"/>
        </w:trPr>
        <w:tc>
          <w:tcPr>
            <w:tcW w:w="7088" w:type="dxa"/>
            <w:shd w:val="clear" w:color="auto" w:fill="auto"/>
            <w:hideMark/>
          </w:tcPr>
          <w:p w14:paraId="5539CCB2"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 </w:t>
            </w:r>
          </w:p>
        </w:tc>
        <w:tc>
          <w:tcPr>
            <w:tcW w:w="1984" w:type="dxa"/>
            <w:shd w:val="clear" w:color="auto" w:fill="auto"/>
            <w:noWrap/>
            <w:vAlign w:val="center"/>
            <w:hideMark/>
          </w:tcPr>
          <w:p w14:paraId="256EA9B3"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r>
      <w:tr w:rsidR="003E5BF5" w:rsidRPr="00655316" w14:paraId="57F9A470" w14:textId="77777777" w:rsidTr="002B0577">
        <w:trPr>
          <w:trHeight w:val="340"/>
        </w:trPr>
        <w:tc>
          <w:tcPr>
            <w:tcW w:w="7088" w:type="dxa"/>
            <w:shd w:val="clear" w:color="auto" w:fill="auto"/>
            <w:vAlign w:val="center"/>
            <w:hideMark/>
          </w:tcPr>
          <w:p w14:paraId="055216AB" w14:textId="77777777" w:rsidR="003E5BF5" w:rsidRPr="00655316" w:rsidRDefault="003E5BF5" w:rsidP="00604703">
            <w:pPr>
              <w:pStyle w:val="TableTextGreen"/>
            </w:pPr>
            <w:r w:rsidRPr="00655316">
              <w:t>Contract assets</w:t>
            </w:r>
          </w:p>
        </w:tc>
        <w:tc>
          <w:tcPr>
            <w:tcW w:w="1984" w:type="dxa"/>
            <w:shd w:val="clear" w:color="auto" w:fill="auto"/>
            <w:noWrap/>
            <w:vAlign w:val="center"/>
            <w:hideMark/>
          </w:tcPr>
          <w:p w14:paraId="393C4396" w14:textId="77777777" w:rsidR="003E5BF5" w:rsidRPr="00655316" w:rsidRDefault="003E5BF5" w:rsidP="00DE1921">
            <w:pPr>
              <w:jc w:val="right"/>
              <w:rPr>
                <w:rFonts w:ascii="Arial" w:hAnsi="Arial" w:cs="Arial"/>
                <w:b/>
                <w:sz w:val="24"/>
                <w:szCs w:val="24"/>
                <w:lang w:eastAsia="en-AU"/>
              </w:rPr>
            </w:pPr>
          </w:p>
        </w:tc>
      </w:tr>
      <w:tr w:rsidR="003E5BF5" w:rsidRPr="00655316" w14:paraId="1F8A299C" w14:textId="77777777" w:rsidTr="002B0577">
        <w:trPr>
          <w:trHeight w:val="340"/>
        </w:trPr>
        <w:tc>
          <w:tcPr>
            <w:tcW w:w="7088" w:type="dxa"/>
            <w:shd w:val="clear" w:color="auto" w:fill="auto"/>
            <w:vAlign w:val="center"/>
            <w:hideMark/>
          </w:tcPr>
          <w:p w14:paraId="1F263973"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Opening balance brought forward from 30 June 2019 adjusted for AASB 15</w:t>
            </w:r>
          </w:p>
        </w:tc>
        <w:tc>
          <w:tcPr>
            <w:tcW w:w="1984" w:type="dxa"/>
            <w:shd w:val="clear" w:color="auto" w:fill="auto"/>
            <w:noWrap/>
            <w:vAlign w:val="center"/>
            <w:hideMark/>
          </w:tcPr>
          <w:p w14:paraId="1876C5AD"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lang w:eastAsia="en-AU"/>
              </w:rPr>
              <w:t xml:space="preserve">  -</w:t>
            </w:r>
          </w:p>
        </w:tc>
      </w:tr>
      <w:tr w:rsidR="003E5BF5" w:rsidRPr="00655316" w14:paraId="221DC557" w14:textId="77777777" w:rsidTr="002B0577">
        <w:trPr>
          <w:trHeight w:val="340"/>
        </w:trPr>
        <w:tc>
          <w:tcPr>
            <w:tcW w:w="7088" w:type="dxa"/>
            <w:tcBorders>
              <w:bottom w:val="single" w:sz="4" w:space="0" w:color="auto"/>
            </w:tcBorders>
            <w:shd w:val="clear" w:color="auto" w:fill="auto"/>
            <w:vAlign w:val="center"/>
            <w:hideMark/>
          </w:tcPr>
          <w:p w14:paraId="126AFC26"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Add: Additional costs incurred that are recoverable from the customer</w:t>
            </w:r>
          </w:p>
        </w:tc>
        <w:tc>
          <w:tcPr>
            <w:tcW w:w="1984" w:type="dxa"/>
            <w:tcBorders>
              <w:bottom w:val="single" w:sz="4" w:space="0" w:color="auto"/>
            </w:tcBorders>
            <w:shd w:val="clear" w:color="auto" w:fill="auto"/>
            <w:noWrap/>
            <w:vAlign w:val="center"/>
            <w:hideMark/>
          </w:tcPr>
          <w:p w14:paraId="2D57F34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lang w:eastAsia="en-AU"/>
              </w:rPr>
              <w:t xml:space="preserve">12,322 </w:t>
            </w:r>
          </w:p>
        </w:tc>
      </w:tr>
      <w:tr w:rsidR="003E5BF5" w:rsidRPr="00655316" w14:paraId="472AF984" w14:textId="77777777" w:rsidTr="002B0577">
        <w:trPr>
          <w:trHeight w:val="340"/>
        </w:trPr>
        <w:tc>
          <w:tcPr>
            <w:tcW w:w="7088" w:type="dxa"/>
            <w:tcBorders>
              <w:bottom w:val="single" w:sz="4" w:space="0" w:color="auto"/>
            </w:tcBorders>
            <w:shd w:val="clear" w:color="auto" w:fill="auto"/>
            <w:vAlign w:val="center"/>
            <w:hideMark/>
          </w:tcPr>
          <w:p w14:paraId="6B285173"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Total contract assets</w:t>
            </w:r>
            <w:r w:rsidRPr="00655316">
              <w:rPr>
                <w:rFonts w:ascii="Arial" w:hAnsi="Arial" w:cs="Arial"/>
                <w:b/>
                <w:sz w:val="24"/>
                <w:szCs w:val="24"/>
                <w:vertAlign w:val="superscript"/>
                <w:lang w:eastAsia="en-AU"/>
              </w:rPr>
              <w:t xml:space="preserve"> (</w:t>
            </w:r>
            <w:proofErr w:type="spellStart"/>
            <w:r w:rsidRPr="00655316">
              <w:rPr>
                <w:rFonts w:ascii="Arial" w:hAnsi="Arial" w:cs="Arial"/>
                <w:b/>
                <w:sz w:val="24"/>
                <w:szCs w:val="24"/>
                <w:vertAlign w:val="superscript"/>
                <w:lang w:eastAsia="en-AU"/>
              </w:rPr>
              <w:t>i</w:t>
            </w:r>
            <w:proofErr w:type="spellEnd"/>
            <w:r w:rsidRPr="00655316">
              <w:rPr>
                <w:rFonts w:ascii="Arial" w:hAnsi="Arial" w:cs="Arial"/>
                <w:b/>
                <w:sz w:val="24"/>
                <w:szCs w:val="24"/>
                <w:vertAlign w:val="superscript"/>
                <w:lang w:eastAsia="en-AU"/>
              </w:rPr>
              <w:t>)</w:t>
            </w:r>
          </w:p>
        </w:tc>
        <w:tc>
          <w:tcPr>
            <w:tcW w:w="1984" w:type="dxa"/>
            <w:tcBorders>
              <w:bottom w:val="single" w:sz="4" w:space="0" w:color="auto"/>
            </w:tcBorders>
            <w:shd w:val="clear" w:color="auto" w:fill="auto"/>
            <w:noWrap/>
            <w:vAlign w:val="center"/>
            <w:hideMark/>
          </w:tcPr>
          <w:p w14:paraId="04C9A77C"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 xml:space="preserve">12,322 </w:t>
            </w:r>
          </w:p>
        </w:tc>
      </w:tr>
    </w:tbl>
    <w:p w14:paraId="3E98E17C" w14:textId="77777777" w:rsidR="00283862" w:rsidRPr="00655316" w:rsidRDefault="00283862" w:rsidP="00283862">
      <w:pPr>
        <w:pStyle w:val="Note"/>
        <w:rPr>
          <w:rFonts w:ascii="Arial" w:hAnsi="Arial" w:cs="Arial"/>
          <w:sz w:val="24"/>
          <w:szCs w:val="24"/>
        </w:rPr>
      </w:pPr>
      <w:r w:rsidRPr="00655316">
        <w:rPr>
          <w:rFonts w:ascii="Arial" w:hAnsi="Arial" w:cs="Arial"/>
          <w:sz w:val="24"/>
          <w:szCs w:val="24"/>
        </w:rPr>
        <w:t>Note:</w:t>
      </w:r>
    </w:p>
    <w:p w14:paraId="5863569D" w14:textId="0A0F31BC" w:rsidR="003E5BF5" w:rsidRDefault="00283862" w:rsidP="00610F5F">
      <w:pPr>
        <w:pStyle w:val="aaaNotenumberiiiiii"/>
        <w:numPr>
          <w:ilvl w:val="0"/>
          <w:numId w:val="96"/>
        </w:numPr>
      </w:pPr>
      <w:r w:rsidRPr="00655316">
        <w:t xml:space="preserve"> The above contract assets are classified as current.</w:t>
      </w:r>
    </w:p>
    <w:p w14:paraId="75FEB892" w14:textId="77777777" w:rsidR="003E5BF5" w:rsidRPr="000D03CA" w:rsidRDefault="003E5BF5" w:rsidP="003F1563">
      <w:pPr>
        <w:pStyle w:val="aaatyping"/>
      </w:pPr>
      <w:r>
        <w:t>Contract assets relate to the department’s right to consideration in exchange for services provided to customers for works completed, but not yet billed at the reporting date. The balance of the contract assets at 30 June 2020 was impacted by timing of the works completed by contractors and is new compared to last year as it is not billable at this stage. The works are expected to be completed and recovered next year.</w:t>
      </w:r>
    </w:p>
    <w:p w14:paraId="47FBBCB0" w14:textId="77777777" w:rsidR="003E5BF5" w:rsidRDefault="003E5BF5" w:rsidP="00DE1921">
      <w:pPr>
        <w:sectPr w:rsidR="003E5BF5" w:rsidSect="008A7E6F">
          <w:pgSz w:w="11906" w:h="16838"/>
          <w:pgMar w:top="1701" w:right="1418" w:bottom="1418" w:left="1418" w:header="708" w:footer="708" w:gutter="0"/>
          <w:cols w:space="708"/>
          <w:docGrid w:linePitch="360"/>
        </w:sectPr>
      </w:pPr>
      <w:bookmarkStart w:id="356" w:name="_Payables"/>
      <w:bookmarkEnd w:id="356"/>
    </w:p>
    <w:p w14:paraId="1F828B53" w14:textId="77777777" w:rsidR="003E5BF5" w:rsidRPr="003E3151" w:rsidRDefault="003E5BF5" w:rsidP="00610F5F">
      <w:pPr>
        <w:pStyle w:val="Heading2"/>
        <w:numPr>
          <w:ilvl w:val="1"/>
          <w:numId w:val="20"/>
        </w:numPr>
      </w:pPr>
      <w:bookmarkStart w:id="357" w:name="_Toc53420674"/>
      <w:r w:rsidRPr="007444F0">
        <w:lastRenderedPageBreak/>
        <w:t>Payables</w:t>
      </w:r>
      <w:bookmarkEnd w:id="348"/>
      <w:bookmarkEnd w:id="349"/>
      <w:bookmarkEnd w:id="350"/>
      <w:bookmarkEnd w:id="351"/>
      <w:bookmarkEnd w:id="352"/>
      <w:bookmarkEnd w:id="353"/>
      <w:bookmarkEnd w:id="354"/>
      <w:bookmarkEnd w:id="357"/>
      <w:r>
        <w:t xml:space="preserve"> </w:t>
      </w:r>
      <w:bookmarkStart w:id="358" w:name="RANGE!A3:C18"/>
      <w:bookmarkStart w:id="359" w:name="RANGE!A3:C21"/>
      <w:bookmarkEnd w:id="355"/>
      <w:bookmarkEnd w:id="358"/>
      <w:bookmarkEnd w:id="359"/>
    </w:p>
    <w:tbl>
      <w:tblPr>
        <w:tblStyle w:val="TableGrid"/>
        <w:tblW w:w="9072" w:type="dxa"/>
        <w:tblCellMar>
          <w:left w:w="28" w:type="dxa"/>
          <w:right w:w="28" w:type="dxa"/>
        </w:tblCellMar>
        <w:tblLook w:val="04A0" w:firstRow="1" w:lastRow="0" w:firstColumn="1" w:lastColumn="0" w:noHBand="0" w:noVBand="1"/>
      </w:tblPr>
      <w:tblGrid>
        <w:gridCol w:w="6804"/>
        <w:gridCol w:w="1134"/>
        <w:gridCol w:w="1134"/>
      </w:tblGrid>
      <w:tr w:rsidR="003E5BF5" w:rsidRPr="00655316" w14:paraId="77517F90" w14:textId="77777777" w:rsidTr="00283862">
        <w:trPr>
          <w:trHeight w:val="340"/>
        </w:trPr>
        <w:tc>
          <w:tcPr>
            <w:tcW w:w="6804" w:type="dxa"/>
            <w:shd w:val="clear" w:color="auto" w:fill="auto"/>
            <w:noWrap/>
            <w:vAlign w:val="center"/>
            <w:hideMark/>
          </w:tcPr>
          <w:p w14:paraId="6E27AB64" w14:textId="77777777" w:rsidR="003E5BF5" w:rsidRPr="00655316" w:rsidRDefault="003E5BF5" w:rsidP="00DE1921">
            <w:pPr>
              <w:rPr>
                <w:rFonts w:ascii="Arial" w:hAnsi="Arial" w:cs="Arial"/>
                <w:sz w:val="24"/>
                <w:szCs w:val="24"/>
                <w:lang w:eastAsia="en-AU"/>
              </w:rPr>
            </w:pPr>
          </w:p>
        </w:tc>
        <w:tc>
          <w:tcPr>
            <w:tcW w:w="2268" w:type="dxa"/>
            <w:gridSpan w:val="2"/>
            <w:shd w:val="clear" w:color="auto" w:fill="auto"/>
            <w:noWrap/>
            <w:vAlign w:val="center"/>
            <w:hideMark/>
          </w:tcPr>
          <w:p w14:paraId="02E71D08"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 thousand)</w:t>
            </w:r>
          </w:p>
        </w:tc>
      </w:tr>
      <w:tr w:rsidR="003E5BF5" w:rsidRPr="00655316" w14:paraId="5F4DC9BB" w14:textId="77777777" w:rsidTr="002B0577">
        <w:trPr>
          <w:trHeight w:val="340"/>
        </w:trPr>
        <w:tc>
          <w:tcPr>
            <w:tcW w:w="6804" w:type="dxa"/>
            <w:shd w:val="clear" w:color="auto" w:fill="auto"/>
            <w:noWrap/>
            <w:vAlign w:val="center"/>
            <w:hideMark/>
          </w:tcPr>
          <w:p w14:paraId="0C97B858"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 </w:t>
            </w:r>
          </w:p>
        </w:tc>
        <w:tc>
          <w:tcPr>
            <w:tcW w:w="1134" w:type="dxa"/>
            <w:shd w:val="clear" w:color="auto" w:fill="auto"/>
            <w:noWrap/>
            <w:vAlign w:val="center"/>
            <w:hideMark/>
          </w:tcPr>
          <w:p w14:paraId="3387CA48"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2020</w:t>
            </w:r>
          </w:p>
        </w:tc>
        <w:tc>
          <w:tcPr>
            <w:tcW w:w="1134" w:type="dxa"/>
            <w:shd w:val="clear" w:color="auto" w:fill="auto"/>
            <w:noWrap/>
            <w:vAlign w:val="center"/>
            <w:hideMark/>
          </w:tcPr>
          <w:p w14:paraId="7B67FC7A"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lang w:eastAsia="en-AU"/>
              </w:rPr>
              <w:t>2019</w:t>
            </w:r>
          </w:p>
        </w:tc>
      </w:tr>
      <w:tr w:rsidR="003E5BF5" w:rsidRPr="00655316" w14:paraId="6BF3E529" w14:textId="77777777" w:rsidTr="002B0577">
        <w:trPr>
          <w:trHeight w:val="340"/>
        </w:trPr>
        <w:tc>
          <w:tcPr>
            <w:tcW w:w="6804" w:type="dxa"/>
            <w:shd w:val="clear" w:color="auto" w:fill="auto"/>
            <w:noWrap/>
            <w:vAlign w:val="center"/>
            <w:hideMark/>
          </w:tcPr>
          <w:p w14:paraId="4640FD0D" w14:textId="77777777" w:rsidR="003E5BF5" w:rsidRPr="00655316" w:rsidRDefault="003E5BF5" w:rsidP="00604703">
            <w:pPr>
              <w:pStyle w:val="TableTextGreen"/>
              <w:rPr>
                <w:lang w:eastAsia="en-AU"/>
              </w:rPr>
            </w:pPr>
            <w:r w:rsidRPr="00655316">
              <w:t>Current payables</w:t>
            </w:r>
          </w:p>
        </w:tc>
        <w:tc>
          <w:tcPr>
            <w:tcW w:w="1134" w:type="dxa"/>
            <w:shd w:val="clear" w:color="auto" w:fill="auto"/>
            <w:noWrap/>
            <w:vAlign w:val="center"/>
            <w:hideMark/>
          </w:tcPr>
          <w:p w14:paraId="4638A7B3"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lang w:eastAsia="en-AU"/>
              </w:rPr>
              <w:t> </w:t>
            </w:r>
          </w:p>
        </w:tc>
        <w:tc>
          <w:tcPr>
            <w:tcW w:w="1134" w:type="dxa"/>
            <w:shd w:val="clear" w:color="auto" w:fill="auto"/>
            <w:noWrap/>
            <w:vAlign w:val="center"/>
            <w:hideMark/>
          </w:tcPr>
          <w:p w14:paraId="06865EE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lang w:eastAsia="en-AU"/>
              </w:rPr>
              <w:t> </w:t>
            </w:r>
          </w:p>
        </w:tc>
      </w:tr>
      <w:tr w:rsidR="003E5BF5" w:rsidRPr="00655316" w14:paraId="2AF950C7" w14:textId="77777777" w:rsidTr="002B0577">
        <w:trPr>
          <w:trHeight w:val="340"/>
        </w:trPr>
        <w:tc>
          <w:tcPr>
            <w:tcW w:w="6804" w:type="dxa"/>
            <w:shd w:val="clear" w:color="auto" w:fill="auto"/>
            <w:noWrap/>
            <w:vAlign w:val="center"/>
            <w:hideMark/>
          </w:tcPr>
          <w:p w14:paraId="06AB51E8" w14:textId="77777777" w:rsidR="003E5BF5" w:rsidRPr="00655316" w:rsidRDefault="003E5BF5" w:rsidP="00604703">
            <w:pPr>
              <w:pStyle w:val="TableTextGreen"/>
              <w:rPr>
                <w:lang w:eastAsia="en-AU"/>
              </w:rPr>
            </w:pPr>
            <w:r w:rsidRPr="00655316">
              <w:t>Co</w:t>
            </w:r>
            <w:r w:rsidRPr="00655316">
              <w:rPr>
                <w:lang w:eastAsia="en-AU"/>
              </w:rPr>
              <w:t>ntractual</w:t>
            </w:r>
          </w:p>
        </w:tc>
        <w:tc>
          <w:tcPr>
            <w:tcW w:w="1134" w:type="dxa"/>
            <w:shd w:val="clear" w:color="auto" w:fill="auto"/>
            <w:noWrap/>
            <w:vAlign w:val="center"/>
            <w:hideMark/>
          </w:tcPr>
          <w:p w14:paraId="7571D611" w14:textId="77777777" w:rsidR="003E5BF5" w:rsidRPr="00655316" w:rsidRDefault="003E5BF5" w:rsidP="00DE1921">
            <w:pPr>
              <w:jc w:val="right"/>
              <w:rPr>
                <w:rFonts w:ascii="Arial" w:hAnsi="Arial" w:cs="Arial"/>
                <w:b/>
                <w:sz w:val="24"/>
                <w:szCs w:val="24"/>
                <w:lang w:eastAsia="en-AU"/>
              </w:rPr>
            </w:pPr>
          </w:p>
        </w:tc>
        <w:tc>
          <w:tcPr>
            <w:tcW w:w="1134" w:type="dxa"/>
            <w:shd w:val="clear" w:color="auto" w:fill="auto"/>
            <w:noWrap/>
            <w:vAlign w:val="center"/>
            <w:hideMark/>
          </w:tcPr>
          <w:p w14:paraId="2B2E517F" w14:textId="77777777" w:rsidR="003E5BF5" w:rsidRPr="00655316" w:rsidRDefault="003E5BF5" w:rsidP="00DE1921">
            <w:pPr>
              <w:jc w:val="right"/>
              <w:rPr>
                <w:rFonts w:ascii="Arial" w:hAnsi="Arial" w:cs="Arial"/>
                <w:sz w:val="24"/>
                <w:szCs w:val="24"/>
                <w:lang w:eastAsia="en-AU"/>
              </w:rPr>
            </w:pPr>
          </w:p>
        </w:tc>
      </w:tr>
      <w:tr w:rsidR="003E5BF5" w:rsidRPr="00655316" w14:paraId="6FF88FA7" w14:textId="77777777" w:rsidTr="002B0577">
        <w:trPr>
          <w:trHeight w:val="340"/>
        </w:trPr>
        <w:tc>
          <w:tcPr>
            <w:tcW w:w="6804" w:type="dxa"/>
            <w:shd w:val="clear" w:color="auto" w:fill="auto"/>
            <w:noWrap/>
            <w:vAlign w:val="center"/>
            <w:hideMark/>
          </w:tcPr>
          <w:p w14:paraId="399C9B64"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 xml:space="preserve">Amounts payable to government agencies </w:t>
            </w:r>
          </w:p>
        </w:tc>
        <w:tc>
          <w:tcPr>
            <w:tcW w:w="1134" w:type="dxa"/>
            <w:shd w:val="clear" w:color="auto" w:fill="auto"/>
            <w:noWrap/>
            <w:vAlign w:val="center"/>
            <w:hideMark/>
          </w:tcPr>
          <w:p w14:paraId="48020E8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52,706 </w:t>
            </w:r>
          </w:p>
        </w:tc>
        <w:tc>
          <w:tcPr>
            <w:tcW w:w="1134" w:type="dxa"/>
            <w:shd w:val="clear" w:color="auto" w:fill="auto"/>
            <w:noWrap/>
            <w:vAlign w:val="center"/>
            <w:hideMark/>
          </w:tcPr>
          <w:p w14:paraId="11F49B5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921,304 </w:t>
            </w:r>
          </w:p>
        </w:tc>
      </w:tr>
      <w:tr w:rsidR="003E5BF5" w:rsidRPr="00655316" w14:paraId="2FA4BE95" w14:textId="77777777" w:rsidTr="002B0577">
        <w:trPr>
          <w:trHeight w:val="340"/>
        </w:trPr>
        <w:tc>
          <w:tcPr>
            <w:tcW w:w="6804" w:type="dxa"/>
            <w:shd w:val="clear" w:color="auto" w:fill="auto"/>
            <w:noWrap/>
            <w:vAlign w:val="center"/>
            <w:hideMark/>
          </w:tcPr>
          <w:p w14:paraId="2DABF035"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Unearned income</w:t>
            </w:r>
          </w:p>
        </w:tc>
        <w:tc>
          <w:tcPr>
            <w:tcW w:w="1134" w:type="dxa"/>
            <w:shd w:val="clear" w:color="auto" w:fill="auto"/>
            <w:noWrap/>
            <w:vAlign w:val="center"/>
            <w:hideMark/>
          </w:tcPr>
          <w:p w14:paraId="382AE284"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46,220 </w:t>
            </w:r>
          </w:p>
        </w:tc>
        <w:tc>
          <w:tcPr>
            <w:tcW w:w="1134" w:type="dxa"/>
            <w:shd w:val="clear" w:color="auto" w:fill="auto"/>
            <w:noWrap/>
            <w:vAlign w:val="center"/>
            <w:hideMark/>
          </w:tcPr>
          <w:p w14:paraId="6040C3C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18 </w:t>
            </w:r>
          </w:p>
        </w:tc>
      </w:tr>
      <w:tr w:rsidR="003E5BF5" w:rsidRPr="00655316" w14:paraId="74EADB13" w14:textId="77777777" w:rsidTr="002B0577">
        <w:trPr>
          <w:trHeight w:val="340"/>
        </w:trPr>
        <w:tc>
          <w:tcPr>
            <w:tcW w:w="6804" w:type="dxa"/>
            <w:shd w:val="clear" w:color="auto" w:fill="auto"/>
            <w:noWrap/>
            <w:vAlign w:val="center"/>
            <w:hideMark/>
          </w:tcPr>
          <w:p w14:paraId="5E30208F"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 xml:space="preserve">Grant of right to operate liability </w:t>
            </w:r>
            <w:r w:rsidRPr="00655316">
              <w:rPr>
                <w:rFonts w:ascii="Arial" w:hAnsi="Arial" w:cs="Arial"/>
                <w:sz w:val="24"/>
                <w:szCs w:val="24"/>
                <w:vertAlign w:val="superscript"/>
                <w:lang w:eastAsia="en-AU"/>
              </w:rPr>
              <w:t>(</w:t>
            </w:r>
            <w:proofErr w:type="spellStart"/>
            <w:r w:rsidRPr="00655316">
              <w:rPr>
                <w:rFonts w:ascii="Arial" w:hAnsi="Arial" w:cs="Arial"/>
                <w:sz w:val="24"/>
                <w:szCs w:val="24"/>
                <w:vertAlign w:val="superscript"/>
                <w:lang w:eastAsia="en-AU"/>
              </w:rPr>
              <w:t>i</w:t>
            </w:r>
            <w:proofErr w:type="spellEnd"/>
            <w:r w:rsidRPr="00655316">
              <w:rPr>
                <w:rFonts w:ascii="Arial" w:hAnsi="Arial" w:cs="Arial"/>
                <w:sz w:val="24"/>
                <w:szCs w:val="24"/>
                <w:vertAlign w:val="superscript"/>
                <w:lang w:eastAsia="en-AU"/>
              </w:rPr>
              <w:t>)</w:t>
            </w:r>
          </w:p>
        </w:tc>
        <w:tc>
          <w:tcPr>
            <w:tcW w:w="1134" w:type="dxa"/>
            <w:shd w:val="clear" w:color="auto" w:fill="auto"/>
            <w:noWrap/>
            <w:vAlign w:val="center"/>
            <w:hideMark/>
          </w:tcPr>
          <w:p w14:paraId="775E044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249,625 </w:t>
            </w:r>
          </w:p>
        </w:tc>
        <w:tc>
          <w:tcPr>
            <w:tcW w:w="1134" w:type="dxa"/>
            <w:shd w:val="clear" w:color="auto" w:fill="auto"/>
            <w:noWrap/>
            <w:vAlign w:val="center"/>
            <w:hideMark/>
          </w:tcPr>
          <w:p w14:paraId="6CD650E9"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 </w:t>
            </w:r>
          </w:p>
        </w:tc>
      </w:tr>
      <w:tr w:rsidR="003E5BF5" w:rsidRPr="00655316" w14:paraId="35E94E5E" w14:textId="77777777" w:rsidTr="002B0577">
        <w:trPr>
          <w:trHeight w:val="340"/>
        </w:trPr>
        <w:tc>
          <w:tcPr>
            <w:tcW w:w="6804" w:type="dxa"/>
            <w:shd w:val="clear" w:color="auto" w:fill="auto"/>
            <w:noWrap/>
            <w:vAlign w:val="center"/>
            <w:hideMark/>
          </w:tcPr>
          <w:p w14:paraId="70E35F69"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 xml:space="preserve">Other payables </w:t>
            </w:r>
          </w:p>
        </w:tc>
        <w:tc>
          <w:tcPr>
            <w:tcW w:w="1134" w:type="dxa"/>
            <w:shd w:val="clear" w:color="auto" w:fill="auto"/>
            <w:noWrap/>
            <w:vAlign w:val="center"/>
            <w:hideMark/>
          </w:tcPr>
          <w:p w14:paraId="5DD0348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1,534,945 </w:t>
            </w:r>
          </w:p>
        </w:tc>
        <w:tc>
          <w:tcPr>
            <w:tcW w:w="1134" w:type="dxa"/>
            <w:shd w:val="clear" w:color="auto" w:fill="auto"/>
            <w:noWrap/>
            <w:vAlign w:val="center"/>
            <w:hideMark/>
          </w:tcPr>
          <w:p w14:paraId="177D1DB4"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479,339 </w:t>
            </w:r>
          </w:p>
        </w:tc>
      </w:tr>
      <w:tr w:rsidR="003E5BF5" w:rsidRPr="00655316" w14:paraId="6A98B499" w14:textId="77777777" w:rsidTr="002B0577">
        <w:trPr>
          <w:trHeight w:val="340"/>
        </w:trPr>
        <w:tc>
          <w:tcPr>
            <w:tcW w:w="6804" w:type="dxa"/>
            <w:shd w:val="clear" w:color="auto" w:fill="auto"/>
            <w:noWrap/>
            <w:vAlign w:val="center"/>
            <w:hideMark/>
          </w:tcPr>
          <w:p w14:paraId="52704D08" w14:textId="77777777" w:rsidR="003E5BF5" w:rsidRPr="00655316" w:rsidRDefault="003E5BF5" w:rsidP="00604703">
            <w:pPr>
              <w:pStyle w:val="TableTextGreen"/>
              <w:rPr>
                <w:lang w:eastAsia="en-AU"/>
              </w:rPr>
            </w:pPr>
            <w:r w:rsidRPr="00655316">
              <w:t>Statutory</w:t>
            </w:r>
          </w:p>
        </w:tc>
        <w:tc>
          <w:tcPr>
            <w:tcW w:w="1134" w:type="dxa"/>
            <w:shd w:val="clear" w:color="auto" w:fill="auto"/>
            <w:noWrap/>
            <w:vAlign w:val="center"/>
            <w:hideMark/>
          </w:tcPr>
          <w:p w14:paraId="3948006D" w14:textId="77777777" w:rsidR="003E5BF5" w:rsidRPr="00655316" w:rsidRDefault="003E5BF5" w:rsidP="00DE1921">
            <w:pPr>
              <w:jc w:val="right"/>
              <w:rPr>
                <w:rFonts w:ascii="Arial" w:hAnsi="Arial" w:cs="Arial"/>
                <w:b/>
                <w:sz w:val="24"/>
                <w:szCs w:val="24"/>
                <w:lang w:eastAsia="en-AU"/>
              </w:rPr>
            </w:pPr>
          </w:p>
        </w:tc>
        <w:tc>
          <w:tcPr>
            <w:tcW w:w="1134" w:type="dxa"/>
            <w:shd w:val="clear" w:color="auto" w:fill="auto"/>
            <w:noWrap/>
            <w:vAlign w:val="center"/>
            <w:hideMark/>
          </w:tcPr>
          <w:p w14:paraId="1A452B3E" w14:textId="77777777" w:rsidR="003E5BF5" w:rsidRPr="00655316" w:rsidRDefault="003E5BF5" w:rsidP="00DE1921">
            <w:pPr>
              <w:jc w:val="right"/>
              <w:rPr>
                <w:rFonts w:ascii="Arial" w:hAnsi="Arial" w:cs="Arial"/>
                <w:sz w:val="24"/>
                <w:szCs w:val="24"/>
                <w:lang w:eastAsia="en-AU"/>
              </w:rPr>
            </w:pPr>
          </w:p>
        </w:tc>
      </w:tr>
      <w:tr w:rsidR="003E5BF5" w:rsidRPr="00655316" w14:paraId="56007CEE" w14:textId="77777777" w:rsidTr="002B0577">
        <w:trPr>
          <w:trHeight w:val="340"/>
        </w:trPr>
        <w:tc>
          <w:tcPr>
            <w:tcW w:w="6804" w:type="dxa"/>
            <w:shd w:val="clear" w:color="auto" w:fill="auto"/>
            <w:noWrap/>
            <w:vAlign w:val="center"/>
            <w:hideMark/>
          </w:tcPr>
          <w:p w14:paraId="7F5551EE"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Other payables</w:t>
            </w:r>
          </w:p>
        </w:tc>
        <w:tc>
          <w:tcPr>
            <w:tcW w:w="1134" w:type="dxa"/>
            <w:shd w:val="clear" w:color="auto" w:fill="auto"/>
            <w:noWrap/>
            <w:vAlign w:val="center"/>
            <w:hideMark/>
          </w:tcPr>
          <w:p w14:paraId="07351D70"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17,711 </w:t>
            </w:r>
          </w:p>
        </w:tc>
        <w:tc>
          <w:tcPr>
            <w:tcW w:w="1134" w:type="dxa"/>
            <w:shd w:val="clear" w:color="auto" w:fill="auto"/>
            <w:noWrap/>
            <w:vAlign w:val="center"/>
            <w:hideMark/>
          </w:tcPr>
          <w:p w14:paraId="1BB6FC79"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5,291 </w:t>
            </w:r>
          </w:p>
        </w:tc>
      </w:tr>
      <w:tr w:rsidR="003E5BF5" w:rsidRPr="00655316" w14:paraId="4BCC43BD" w14:textId="77777777" w:rsidTr="002B0577">
        <w:trPr>
          <w:trHeight w:val="340"/>
        </w:trPr>
        <w:tc>
          <w:tcPr>
            <w:tcW w:w="6804" w:type="dxa"/>
            <w:shd w:val="clear" w:color="auto" w:fill="auto"/>
            <w:noWrap/>
            <w:vAlign w:val="center"/>
            <w:hideMark/>
          </w:tcPr>
          <w:p w14:paraId="6BC5A188" w14:textId="77777777" w:rsidR="003E5BF5" w:rsidRPr="00655316" w:rsidRDefault="003E5BF5" w:rsidP="00DE1921">
            <w:pPr>
              <w:pStyle w:val="TableTextLeftBold"/>
              <w:rPr>
                <w:rFonts w:ascii="Arial" w:hAnsi="Arial" w:cs="Arial"/>
                <w:sz w:val="24"/>
                <w:szCs w:val="24"/>
                <w:lang w:eastAsia="en-AU"/>
              </w:rPr>
            </w:pPr>
            <w:r w:rsidRPr="00655316">
              <w:rPr>
                <w:rFonts w:ascii="Arial" w:hAnsi="Arial" w:cs="Arial"/>
                <w:sz w:val="24"/>
                <w:szCs w:val="24"/>
              </w:rPr>
              <w:t>Total current payable</w:t>
            </w:r>
            <w:r w:rsidRPr="00655316">
              <w:rPr>
                <w:rFonts w:ascii="Arial" w:hAnsi="Arial" w:cs="Arial"/>
                <w:sz w:val="24"/>
                <w:szCs w:val="24"/>
                <w:lang w:eastAsia="en-AU"/>
              </w:rPr>
              <w:t>s</w:t>
            </w:r>
          </w:p>
        </w:tc>
        <w:tc>
          <w:tcPr>
            <w:tcW w:w="1134" w:type="dxa"/>
            <w:shd w:val="clear" w:color="auto" w:fill="auto"/>
            <w:noWrap/>
            <w:vAlign w:val="center"/>
            <w:hideMark/>
          </w:tcPr>
          <w:p w14:paraId="17D2CDE7"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1,901,207 </w:t>
            </w:r>
          </w:p>
        </w:tc>
        <w:tc>
          <w:tcPr>
            <w:tcW w:w="1134" w:type="dxa"/>
            <w:shd w:val="clear" w:color="auto" w:fill="auto"/>
            <w:noWrap/>
            <w:vAlign w:val="center"/>
            <w:hideMark/>
          </w:tcPr>
          <w:p w14:paraId="0D31D530"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1,405,952 </w:t>
            </w:r>
          </w:p>
        </w:tc>
      </w:tr>
      <w:tr w:rsidR="003E5BF5" w:rsidRPr="00655316" w14:paraId="1442230A" w14:textId="77777777" w:rsidTr="002B0577">
        <w:trPr>
          <w:trHeight w:val="340"/>
        </w:trPr>
        <w:tc>
          <w:tcPr>
            <w:tcW w:w="6804" w:type="dxa"/>
            <w:shd w:val="clear" w:color="auto" w:fill="auto"/>
            <w:noWrap/>
            <w:vAlign w:val="center"/>
            <w:hideMark/>
          </w:tcPr>
          <w:p w14:paraId="764F976D" w14:textId="77777777" w:rsidR="003E5BF5" w:rsidRPr="00655316" w:rsidRDefault="003E5BF5" w:rsidP="00604703">
            <w:pPr>
              <w:pStyle w:val="TableTextGreen"/>
              <w:rPr>
                <w:lang w:eastAsia="en-AU"/>
              </w:rPr>
            </w:pPr>
            <w:r w:rsidRPr="00655316">
              <w:t>Non-current payables</w:t>
            </w:r>
          </w:p>
        </w:tc>
        <w:tc>
          <w:tcPr>
            <w:tcW w:w="1134" w:type="dxa"/>
            <w:shd w:val="clear" w:color="auto" w:fill="auto"/>
            <w:noWrap/>
            <w:vAlign w:val="center"/>
            <w:hideMark/>
          </w:tcPr>
          <w:p w14:paraId="667134C5" w14:textId="77777777" w:rsidR="003E5BF5" w:rsidRPr="00655316" w:rsidRDefault="003E5BF5" w:rsidP="00DE1921">
            <w:pPr>
              <w:jc w:val="right"/>
              <w:rPr>
                <w:rFonts w:ascii="Arial" w:hAnsi="Arial" w:cs="Arial"/>
                <w:b/>
                <w:sz w:val="24"/>
                <w:szCs w:val="24"/>
                <w:lang w:eastAsia="en-AU"/>
              </w:rPr>
            </w:pPr>
          </w:p>
        </w:tc>
        <w:tc>
          <w:tcPr>
            <w:tcW w:w="1134" w:type="dxa"/>
            <w:shd w:val="clear" w:color="auto" w:fill="auto"/>
            <w:noWrap/>
            <w:vAlign w:val="center"/>
            <w:hideMark/>
          </w:tcPr>
          <w:p w14:paraId="2002534B" w14:textId="77777777" w:rsidR="003E5BF5" w:rsidRPr="00655316" w:rsidRDefault="003E5BF5" w:rsidP="00DE1921">
            <w:pPr>
              <w:jc w:val="right"/>
              <w:rPr>
                <w:rFonts w:ascii="Arial" w:hAnsi="Arial" w:cs="Arial"/>
                <w:sz w:val="24"/>
                <w:szCs w:val="24"/>
                <w:lang w:eastAsia="en-AU"/>
              </w:rPr>
            </w:pPr>
          </w:p>
        </w:tc>
      </w:tr>
      <w:tr w:rsidR="003E5BF5" w:rsidRPr="00655316" w14:paraId="56542473" w14:textId="77777777" w:rsidTr="002B0577">
        <w:trPr>
          <w:trHeight w:val="340"/>
        </w:trPr>
        <w:tc>
          <w:tcPr>
            <w:tcW w:w="6804" w:type="dxa"/>
            <w:shd w:val="clear" w:color="auto" w:fill="auto"/>
            <w:noWrap/>
            <w:vAlign w:val="center"/>
            <w:hideMark/>
          </w:tcPr>
          <w:p w14:paraId="4846F25A" w14:textId="77777777" w:rsidR="003E5BF5" w:rsidRPr="00655316" w:rsidRDefault="003E5BF5" w:rsidP="00604703">
            <w:pPr>
              <w:pStyle w:val="TableTextGreen"/>
              <w:rPr>
                <w:lang w:eastAsia="en-AU"/>
              </w:rPr>
            </w:pPr>
            <w:r w:rsidRPr="00655316">
              <w:t>Contractual</w:t>
            </w:r>
          </w:p>
        </w:tc>
        <w:tc>
          <w:tcPr>
            <w:tcW w:w="1134" w:type="dxa"/>
            <w:shd w:val="clear" w:color="auto" w:fill="auto"/>
            <w:noWrap/>
            <w:vAlign w:val="center"/>
            <w:hideMark/>
          </w:tcPr>
          <w:p w14:paraId="64CC379E" w14:textId="77777777" w:rsidR="003E5BF5" w:rsidRPr="00655316" w:rsidRDefault="003E5BF5" w:rsidP="00DE1921">
            <w:pPr>
              <w:jc w:val="right"/>
              <w:rPr>
                <w:rFonts w:ascii="Arial" w:hAnsi="Arial" w:cs="Arial"/>
                <w:b/>
                <w:sz w:val="24"/>
                <w:szCs w:val="24"/>
                <w:lang w:eastAsia="en-AU"/>
              </w:rPr>
            </w:pPr>
          </w:p>
        </w:tc>
        <w:tc>
          <w:tcPr>
            <w:tcW w:w="1134" w:type="dxa"/>
            <w:shd w:val="clear" w:color="auto" w:fill="auto"/>
            <w:noWrap/>
            <w:vAlign w:val="center"/>
            <w:hideMark/>
          </w:tcPr>
          <w:p w14:paraId="097E88D6" w14:textId="77777777" w:rsidR="003E5BF5" w:rsidRPr="00655316" w:rsidRDefault="003E5BF5" w:rsidP="00DE1921">
            <w:pPr>
              <w:jc w:val="right"/>
              <w:rPr>
                <w:rFonts w:ascii="Arial" w:hAnsi="Arial" w:cs="Arial"/>
                <w:sz w:val="24"/>
                <w:szCs w:val="24"/>
                <w:lang w:eastAsia="en-AU"/>
              </w:rPr>
            </w:pPr>
          </w:p>
        </w:tc>
      </w:tr>
      <w:tr w:rsidR="003E5BF5" w:rsidRPr="00655316" w14:paraId="74BC533E" w14:textId="77777777" w:rsidTr="002B0577">
        <w:trPr>
          <w:trHeight w:val="340"/>
        </w:trPr>
        <w:tc>
          <w:tcPr>
            <w:tcW w:w="6804" w:type="dxa"/>
            <w:shd w:val="clear" w:color="auto" w:fill="auto"/>
            <w:noWrap/>
            <w:vAlign w:val="center"/>
            <w:hideMark/>
          </w:tcPr>
          <w:p w14:paraId="75073E25"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Unearned income</w:t>
            </w:r>
          </w:p>
        </w:tc>
        <w:tc>
          <w:tcPr>
            <w:tcW w:w="1134" w:type="dxa"/>
            <w:shd w:val="clear" w:color="auto" w:fill="auto"/>
            <w:noWrap/>
            <w:vAlign w:val="center"/>
            <w:hideMark/>
          </w:tcPr>
          <w:p w14:paraId="31E800A3"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15,149 </w:t>
            </w:r>
          </w:p>
        </w:tc>
        <w:tc>
          <w:tcPr>
            <w:tcW w:w="1134" w:type="dxa"/>
            <w:shd w:val="clear" w:color="auto" w:fill="auto"/>
            <w:noWrap/>
            <w:vAlign w:val="center"/>
            <w:hideMark/>
          </w:tcPr>
          <w:p w14:paraId="2C6D35F9"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 </w:t>
            </w:r>
          </w:p>
        </w:tc>
      </w:tr>
      <w:tr w:rsidR="003E5BF5" w:rsidRPr="00655316" w14:paraId="0B6EB810" w14:textId="77777777" w:rsidTr="002B0577">
        <w:trPr>
          <w:trHeight w:val="340"/>
        </w:trPr>
        <w:tc>
          <w:tcPr>
            <w:tcW w:w="6804" w:type="dxa"/>
            <w:shd w:val="clear" w:color="auto" w:fill="auto"/>
            <w:noWrap/>
            <w:vAlign w:val="center"/>
            <w:hideMark/>
          </w:tcPr>
          <w:p w14:paraId="77D25DCB"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 xml:space="preserve">Grant of right to operate liability </w:t>
            </w:r>
            <w:r w:rsidRPr="00655316">
              <w:rPr>
                <w:rFonts w:ascii="Arial" w:hAnsi="Arial" w:cs="Arial"/>
                <w:sz w:val="24"/>
                <w:szCs w:val="24"/>
                <w:vertAlign w:val="superscript"/>
                <w:lang w:eastAsia="en-AU"/>
              </w:rPr>
              <w:t>(</w:t>
            </w:r>
            <w:proofErr w:type="spellStart"/>
            <w:r w:rsidRPr="00655316">
              <w:rPr>
                <w:rFonts w:ascii="Arial" w:hAnsi="Arial" w:cs="Arial"/>
                <w:sz w:val="24"/>
                <w:szCs w:val="24"/>
                <w:vertAlign w:val="superscript"/>
                <w:lang w:eastAsia="en-AU"/>
              </w:rPr>
              <w:t>i</w:t>
            </w:r>
            <w:proofErr w:type="spellEnd"/>
            <w:r w:rsidRPr="00655316">
              <w:rPr>
                <w:rFonts w:ascii="Arial" w:hAnsi="Arial" w:cs="Arial"/>
                <w:sz w:val="24"/>
                <w:szCs w:val="24"/>
                <w:vertAlign w:val="superscript"/>
                <w:lang w:eastAsia="en-AU"/>
              </w:rPr>
              <w:t>)(ii)</w:t>
            </w:r>
          </w:p>
        </w:tc>
        <w:tc>
          <w:tcPr>
            <w:tcW w:w="1134" w:type="dxa"/>
            <w:shd w:val="clear" w:color="auto" w:fill="auto"/>
            <w:noWrap/>
            <w:vAlign w:val="center"/>
            <w:hideMark/>
          </w:tcPr>
          <w:p w14:paraId="5C6520B7"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6,410,224 </w:t>
            </w:r>
          </w:p>
        </w:tc>
        <w:tc>
          <w:tcPr>
            <w:tcW w:w="1134" w:type="dxa"/>
            <w:shd w:val="clear" w:color="auto" w:fill="auto"/>
            <w:noWrap/>
            <w:vAlign w:val="center"/>
            <w:hideMark/>
          </w:tcPr>
          <w:p w14:paraId="2EA502F2"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1,661,243 </w:t>
            </w:r>
          </w:p>
        </w:tc>
      </w:tr>
      <w:tr w:rsidR="003E5BF5" w:rsidRPr="00655316" w14:paraId="0B7D3D2F" w14:textId="77777777" w:rsidTr="002B0577">
        <w:trPr>
          <w:trHeight w:val="340"/>
        </w:trPr>
        <w:tc>
          <w:tcPr>
            <w:tcW w:w="6804" w:type="dxa"/>
            <w:shd w:val="clear" w:color="auto" w:fill="auto"/>
            <w:noWrap/>
            <w:vAlign w:val="center"/>
            <w:hideMark/>
          </w:tcPr>
          <w:p w14:paraId="3197EF7E"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Other payables</w:t>
            </w:r>
            <w:r w:rsidRPr="00655316">
              <w:rPr>
                <w:rFonts w:ascii="Arial" w:hAnsi="Arial" w:cs="Arial"/>
                <w:sz w:val="24"/>
                <w:szCs w:val="24"/>
                <w:vertAlign w:val="superscript"/>
                <w:lang w:eastAsia="en-AU"/>
              </w:rPr>
              <w:t xml:space="preserve"> (iii)</w:t>
            </w:r>
          </w:p>
        </w:tc>
        <w:tc>
          <w:tcPr>
            <w:tcW w:w="1134" w:type="dxa"/>
            <w:shd w:val="clear" w:color="auto" w:fill="auto"/>
            <w:noWrap/>
            <w:vAlign w:val="center"/>
            <w:hideMark/>
          </w:tcPr>
          <w:p w14:paraId="2CCB78A9"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36 </w:t>
            </w:r>
          </w:p>
        </w:tc>
        <w:tc>
          <w:tcPr>
            <w:tcW w:w="1134" w:type="dxa"/>
            <w:shd w:val="clear" w:color="auto" w:fill="auto"/>
            <w:noWrap/>
            <w:vAlign w:val="center"/>
            <w:hideMark/>
          </w:tcPr>
          <w:p w14:paraId="14E0B49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 </w:t>
            </w:r>
          </w:p>
        </w:tc>
      </w:tr>
      <w:tr w:rsidR="003E5BF5" w:rsidRPr="00655316" w14:paraId="44649852" w14:textId="77777777" w:rsidTr="002B0577">
        <w:trPr>
          <w:trHeight w:val="340"/>
        </w:trPr>
        <w:tc>
          <w:tcPr>
            <w:tcW w:w="6804" w:type="dxa"/>
            <w:tcBorders>
              <w:bottom w:val="single" w:sz="4" w:space="0" w:color="auto"/>
            </w:tcBorders>
            <w:shd w:val="clear" w:color="auto" w:fill="auto"/>
            <w:noWrap/>
            <w:vAlign w:val="center"/>
            <w:hideMark/>
          </w:tcPr>
          <w:p w14:paraId="5EA0E141" w14:textId="77777777" w:rsidR="003E5BF5" w:rsidRPr="00655316" w:rsidRDefault="003E5BF5" w:rsidP="00DE1921">
            <w:pPr>
              <w:pStyle w:val="TableTextLeftBold"/>
              <w:rPr>
                <w:rFonts w:ascii="Arial" w:hAnsi="Arial" w:cs="Arial"/>
                <w:sz w:val="24"/>
                <w:szCs w:val="24"/>
                <w:lang w:eastAsia="en-AU"/>
              </w:rPr>
            </w:pPr>
            <w:r w:rsidRPr="00655316">
              <w:rPr>
                <w:rFonts w:ascii="Arial" w:hAnsi="Arial" w:cs="Arial"/>
                <w:sz w:val="24"/>
                <w:szCs w:val="24"/>
              </w:rPr>
              <w:t xml:space="preserve">Total non-current </w:t>
            </w:r>
            <w:r w:rsidRPr="00655316">
              <w:rPr>
                <w:rFonts w:ascii="Arial" w:hAnsi="Arial" w:cs="Arial"/>
                <w:sz w:val="24"/>
                <w:szCs w:val="24"/>
                <w:lang w:eastAsia="en-AU"/>
              </w:rPr>
              <w:t>payables</w:t>
            </w:r>
          </w:p>
        </w:tc>
        <w:tc>
          <w:tcPr>
            <w:tcW w:w="1134" w:type="dxa"/>
            <w:tcBorders>
              <w:bottom w:val="single" w:sz="4" w:space="0" w:color="auto"/>
            </w:tcBorders>
            <w:shd w:val="clear" w:color="auto" w:fill="auto"/>
            <w:noWrap/>
            <w:vAlign w:val="center"/>
            <w:hideMark/>
          </w:tcPr>
          <w:p w14:paraId="5CEE68C2"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6,425,409 </w:t>
            </w:r>
          </w:p>
        </w:tc>
        <w:tc>
          <w:tcPr>
            <w:tcW w:w="1134" w:type="dxa"/>
            <w:tcBorders>
              <w:bottom w:val="single" w:sz="4" w:space="0" w:color="auto"/>
            </w:tcBorders>
            <w:shd w:val="clear" w:color="auto" w:fill="auto"/>
            <w:noWrap/>
            <w:vAlign w:val="center"/>
            <w:hideMark/>
          </w:tcPr>
          <w:p w14:paraId="4135B4C4"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1,661,243 </w:t>
            </w:r>
          </w:p>
        </w:tc>
      </w:tr>
      <w:tr w:rsidR="003E5BF5" w:rsidRPr="00655316" w14:paraId="7EF2F16E" w14:textId="77777777" w:rsidTr="002B0577">
        <w:trPr>
          <w:trHeight w:val="340"/>
        </w:trPr>
        <w:tc>
          <w:tcPr>
            <w:tcW w:w="6804" w:type="dxa"/>
            <w:tcBorders>
              <w:bottom w:val="single" w:sz="4" w:space="0" w:color="auto"/>
            </w:tcBorders>
            <w:shd w:val="clear" w:color="auto" w:fill="auto"/>
            <w:noWrap/>
            <w:vAlign w:val="center"/>
            <w:hideMark/>
          </w:tcPr>
          <w:p w14:paraId="623468D0" w14:textId="77777777" w:rsidR="003E5BF5" w:rsidRPr="00655316" w:rsidRDefault="003E5BF5" w:rsidP="00DE1921">
            <w:pPr>
              <w:pStyle w:val="TableTextLeftBold"/>
              <w:rPr>
                <w:rFonts w:ascii="Arial" w:hAnsi="Arial" w:cs="Arial"/>
                <w:sz w:val="24"/>
                <w:szCs w:val="24"/>
                <w:lang w:eastAsia="en-AU"/>
              </w:rPr>
            </w:pPr>
            <w:r w:rsidRPr="00655316">
              <w:rPr>
                <w:rFonts w:ascii="Arial" w:hAnsi="Arial" w:cs="Arial"/>
                <w:sz w:val="24"/>
                <w:szCs w:val="24"/>
              </w:rPr>
              <w:t xml:space="preserve">Total </w:t>
            </w:r>
            <w:r w:rsidRPr="00655316">
              <w:rPr>
                <w:rFonts w:ascii="Arial" w:hAnsi="Arial" w:cs="Arial"/>
                <w:sz w:val="24"/>
                <w:szCs w:val="24"/>
                <w:lang w:eastAsia="en-AU"/>
              </w:rPr>
              <w:t>payables</w:t>
            </w:r>
          </w:p>
        </w:tc>
        <w:tc>
          <w:tcPr>
            <w:tcW w:w="1134" w:type="dxa"/>
            <w:tcBorders>
              <w:bottom w:val="single" w:sz="4" w:space="0" w:color="auto"/>
            </w:tcBorders>
            <w:shd w:val="clear" w:color="auto" w:fill="auto"/>
            <w:noWrap/>
            <w:vAlign w:val="center"/>
            <w:hideMark/>
          </w:tcPr>
          <w:p w14:paraId="0FA5EA67"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8,326,616 </w:t>
            </w:r>
          </w:p>
        </w:tc>
        <w:tc>
          <w:tcPr>
            <w:tcW w:w="1134" w:type="dxa"/>
            <w:tcBorders>
              <w:bottom w:val="single" w:sz="4" w:space="0" w:color="auto"/>
            </w:tcBorders>
            <w:shd w:val="clear" w:color="auto" w:fill="auto"/>
            <w:noWrap/>
            <w:vAlign w:val="center"/>
            <w:hideMark/>
          </w:tcPr>
          <w:p w14:paraId="6B1E280A"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3,067,195 </w:t>
            </w:r>
          </w:p>
        </w:tc>
      </w:tr>
    </w:tbl>
    <w:p w14:paraId="15F12360" w14:textId="77777777" w:rsidR="00283862" w:rsidRPr="00655316" w:rsidRDefault="00283862" w:rsidP="00283862">
      <w:pPr>
        <w:pStyle w:val="Note"/>
        <w:rPr>
          <w:rFonts w:ascii="Arial" w:hAnsi="Arial" w:cs="Arial"/>
          <w:sz w:val="24"/>
          <w:szCs w:val="24"/>
        </w:rPr>
      </w:pPr>
      <w:r w:rsidRPr="00655316">
        <w:rPr>
          <w:rFonts w:ascii="Arial" w:hAnsi="Arial" w:cs="Arial"/>
          <w:sz w:val="24"/>
          <w:szCs w:val="24"/>
        </w:rPr>
        <w:t>Notes:</w:t>
      </w:r>
    </w:p>
    <w:p w14:paraId="5EE6D272" w14:textId="77777777" w:rsidR="00283862" w:rsidRPr="00655316" w:rsidRDefault="00283862" w:rsidP="00610F5F">
      <w:pPr>
        <w:pStyle w:val="aaaNotenumberiiiiii"/>
        <w:numPr>
          <w:ilvl w:val="0"/>
          <w:numId w:val="97"/>
        </w:numPr>
      </w:pPr>
      <w:r w:rsidRPr="00655316">
        <w:t xml:space="preserve">This liability relates to the service concession arrangements and is progressively reduced over the period of the arrangement, refer to the accounting policy information below under Service Concession Arrangement Liability section for details. Further information is also included in Note 2.4 Other income and Note 7.5.3. </w:t>
      </w:r>
    </w:p>
    <w:p w14:paraId="58243E92" w14:textId="77777777" w:rsidR="00283862" w:rsidRPr="00655316" w:rsidRDefault="00283862" w:rsidP="00610F5F">
      <w:pPr>
        <w:pStyle w:val="aaaNotenumberiiiiii"/>
        <w:numPr>
          <w:ilvl w:val="0"/>
          <w:numId w:val="97"/>
        </w:numPr>
      </w:pPr>
      <w:r w:rsidRPr="00655316">
        <w:t>The 2019 comparatives figures have been restated to reflect the adoption of AASB 1059, refer to Note 9.6.5.2 for further details.</w:t>
      </w:r>
    </w:p>
    <w:p w14:paraId="01815B1B" w14:textId="77777777" w:rsidR="00283862" w:rsidRPr="00655316" w:rsidRDefault="00283862" w:rsidP="00610F5F">
      <w:pPr>
        <w:pStyle w:val="aaaNotenumberiiiiii"/>
        <w:numPr>
          <w:ilvl w:val="0"/>
          <w:numId w:val="97"/>
        </w:numPr>
      </w:pPr>
      <w:r w:rsidRPr="00655316">
        <w:t>The 2019 comparative figure has been restated to reflect the re-classification of the non-SCA portion of the HCMT PPP from payables to borrowings note. Refer to Note 7.1 and Note 9.6.5.2 for further details.</w:t>
      </w:r>
    </w:p>
    <w:p w14:paraId="677F1554" w14:textId="6F3F7210" w:rsidR="008779BB" w:rsidRDefault="008779BB" w:rsidP="00DE1921">
      <w:pPr>
        <w:rPr>
          <w:lang w:eastAsia="en-AU"/>
        </w:rPr>
      </w:pPr>
      <w:r>
        <w:rPr>
          <w:lang w:eastAsia="en-AU"/>
        </w:rPr>
        <w:br w:type="page"/>
      </w:r>
    </w:p>
    <w:p w14:paraId="116226F0" w14:textId="77777777" w:rsidR="003E5BF5" w:rsidRDefault="003E5BF5" w:rsidP="00DE1921">
      <w:pPr>
        <w:sectPr w:rsidR="003E5BF5" w:rsidSect="00DE1921">
          <w:pgSz w:w="11906" w:h="16838"/>
          <w:pgMar w:top="1701" w:right="1418" w:bottom="1418" w:left="1418" w:header="708" w:footer="708" w:gutter="0"/>
          <w:cols w:space="708"/>
          <w:docGrid w:linePitch="360"/>
        </w:sectPr>
      </w:pPr>
    </w:p>
    <w:p w14:paraId="7D7C7C7B" w14:textId="77777777" w:rsidR="003E5BF5" w:rsidRPr="00DA548D" w:rsidRDefault="003E5BF5" w:rsidP="00B96195">
      <w:pPr>
        <w:pStyle w:val="aaatyping"/>
        <w:rPr>
          <w:sz w:val="16"/>
        </w:rPr>
      </w:pPr>
      <w:r w:rsidRPr="00E519E2">
        <w:lastRenderedPageBreak/>
        <w:t>Payables consist</w:t>
      </w:r>
      <w:r>
        <w:rPr>
          <w:bCs/>
        </w:rPr>
        <w:t xml:space="preserve"> of:</w:t>
      </w:r>
    </w:p>
    <w:p w14:paraId="2BC07CD6" w14:textId="77777777" w:rsidR="003E5BF5" w:rsidRPr="007444F0" w:rsidRDefault="003E5BF5" w:rsidP="00B96195">
      <w:pPr>
        <w:pStyle w:val="aaabullet"/>
      </w:pPr>
      <w:r w:rsidRPr="00F84F2B">
        <w:rPr>
          <w:b/>
        </w:rPr>
        <w:t>Contractual payables</w:t>
      </w:r>
      <w:r w:rsidRPr="007444F0">
        <w:t xml:space="preserve"> </w:t>
      </w:r>
      <w:r>
        <w:t xml:space="preserve">are </w:t>
      </w:r>
      <w:r w:rsidRPr="007444F0">
        <w:t>classified as financial instruments and measured at amortised cost. Accounts payable represents liabilities for goods and services provided to the department prior to the end of the financial year that are unpaid.</w:t>
      </w:r>
    </w:p>
    <w:p w14:paraId="1281E4DA" w14:textId="16006B4A" w:rsidR="003E5BF5" w:rsidRDefault="003E5BF5" w:rsidP="00B96195">
      <w:pPr>
        <w:pStyle w:val="aaabullet"/>
      </w:pPr>
      <w:r w:rsidRPr="0053683A">
        <w:rPr>
          <w:b/>
        </w:rPr>
        <w:t>Statutory payables</w:t>
      </w:r>
      <w:r w:rsidRPr="007444F0">
        <w:t xml:space="preserve"> are recognised and measured similarly to contractual payables, but are not classified as financial instruments and not included in the category of financial liabilities at amortised cost, because they do not arise from </w:t>
      </w:r>
      <w:r>
        <w:t>contracts</w:t>
      </w:r>
      <w:r w:rsidRPr="007444F0">
        <w:t>.</w:t>
      </w:r>
    </w:p>
    <w:p w14:paraId="1C354122" w14:textId="335A68AD" w:rsidR="003E5BF5" w:rsidRPr="00384D1D" w:rsidRDefault="003E5BF5" w:rsidP="00E96AC7">
      <w:pPr>
        <w:pStyle w:val="aaaboldheadingfinance"/>
      </w:pPr>
      <w:r w:rsidRPr="00384D1D">
        <w:t>Service Concession Arrangement Liability</w:t>
      </w:r>
    </w:p>
    <w:p w14:paraId="3F989625" w14:textId="57ADA86E" w:rsidR="008779BB" w:rsidRDefault="003E5BF5" w:rsidP="00B96195">
      <w:pPr>
        <w:pStyle w:val="aaatyping"/>
      </w:pPr>
      <w:r w:rsidRPr="00ED3020">
        <w:t>As outlined</w:t>
      </w:r>
      <w:r>
        <w:t xml:space="preserve"> in Note 5.1.2 Service Concession Assets, the accumulation of costs incurred during construction results in a progressive build-up of the Service Concession Arrangement (SCA) asset. A corresponding liability would be progressively recognised in line with the fair value of the SCA asset. The nature of the liability and the subsequent accounting depends on the consideration exchanged in reference to the contract arrangements between the grantor and the operator. An exception to this principle occurs when the grantor reclassifies an existing asset to a SCA.</w:t>
      </w:r>
    </w:p>
    <w:p w14:paraId="42108932" w14:textId="42AE9BB7" w:rsidR="008779BB" w:rsidRDefault="008779BB" w:rsidP="00B96195">
      <w:pPr>
        <w:pStyle w:val="aaatyping"/>
        <w:sectPr w:rsidR="008779BB" w:rsidSect="008A64CB">
          <w:type w:val="continuous"/>
          <w:pgSz w:w="11906" w:h="16838"/>
          <w:pgMar w:top="1701" w:right="1418" w:bottom="1418" w:left="1418" w:header="708" w:footer="708" w:gutter="0"/>
          <w:cols w:space="284"/>
          <w:docGrid w:linePitch="360"/>
        </w:sectPr>
      </w:pPr>
    </w:p>
    <w:p w14:paraId="0F6C26D2" w14:textId="77777777" w:rsidR="003E5BF5" w:rsidRPr="008E2794" w:rsidRDefault="003E5BF5" w:rsidP="00EF5131">
      <w:pPr>
        <w:pStyle w:val="Heading5"/>
      </w:pPr>
      <w:r w:rsidRPr="008E2794">
        <w:lastRenderedPageBreak/>
        <w:t>Initial recognition</w:t>
      </w:r>
    </w:p>
    <w:p w14:paraId="431A1018" w14:textId="77777777" w:rsidR="003E5BF5" w:rsidRDefault="003E5BF5" w:rsidP="00B96195">
      <w:pPr>
        <w:pStyle w:val="aaatyping"/>
      </w:pPr>
      <w:r>
        <w:t>The department in a service concession arrangement recognises a service concession liability (SCL) at the same amount as the SCA asset, adjusted by the amount of any other consideration from the grantor to the operator, or from the operator to the grantor. Therefore, any State contributions made prior to the recognition of the liability would reduce this amount.</w:t>
      </w:r>
    </w:p>
    <w:p w14:paraId="59E83F56" w14:textId="77777777" w:rsidR="003E5BF5" w:rsidRDefault="003E5BF5" w:rsidP="00B96195">
      <w:pPr>
        <w:pStyle w:val="aaatyping"/>
      </w:pPr>
      <w:r>
        <w:t>However, when the department reclassifies an existing asset as a SCA, no liability is recognised unless additional consideration is provided by the operator. Instead, the department will recognise a SCA asset and a corresponding SCL for the amounts spent on upgrade/expansion work.</w:t>
      </w:r>
    </w:p>
    <w:p w14:paraId="3DD29F2F" w14:textId="77777777" w:rsidR="003E5BF5" w:rsidRPr="008E2794" w:rsidRDefault="003E5BF5" w:rsidP="00EF5131">
      <w:pPr>
        <w:pStyle w:val="Heading5"/>
      </w:pPr>
      <w:r w:rsidRPr="008E2794">
        <w:t>Subsequent measurement</w:t>
      </w:r>
    </w:p>
    <w:p w14:paraId="543198DA" w14:textId="77777777" w:rsidR="003E5BF5" w:rsidRDefault="003E5BF5" w:rsidP="00B96195">
      <w:pPr>
        <w:pStyle w:val="aaatyping"/>
      </w:pPr>
      <w:r>
        <w:t>After initial recognition, the department will determine if the liability represents a:</w:t>
      </w:r>
    </w:p>
    <w:p w14:paraId="0DC1C7AD" w14:textId="376749E4" w:rsidR="008779BB" w:rsidRDefault="003E5BF5" w:rsidP="00B96195">
      <w:pPr>
        <w:pStyle w:val="aaabullet"/>
      </w:pPr>
      <w:r w:rsidRPr="00F22816">
        <w:rPr>
          <w:b/>
          <w:bCs/>
        </w:rPr>
        <w:t>Financial liability</w:t>
      </w:r>
      <w:r>
        <w:t xml:space="preserve">: Where the department has a contractual obligation to pay to the operator as compensation for providing the SCA. It is measured as a liability in accordance with AASB 9 </w:t>
      </w:r>
      <w:r w:rsidRPr="00AE515A">
        <w:rPr>
          <w:i/>
        </w:rPr>
        <w:t>Financial Instruments</w:t>
      </w:r>
      <w:r>
        <w:t>. Interest is charged on the liability of some SCAs, refer to Note 7.1.2 Interest expense. The liability will be increased by interest charges, based on the interest rate implicit in the arrangement. Where the interest rate is not specified in the arrangement, prevailing market rate of interest for a similar instrument with similar credit ratings should be used. Refer to Note 7.1 Borrowings for the amounts disclosed as financial liability.</w:t>
      </w:r>
      <w:r w:rsidR="008779BB">
        <w:br w:type="page"/>
      </w:r>
    </w:p>
    <w:p w14:paraId="5E160193" w14:textId="77777777" w:rsidR="003E5BF5" w:rsidRDefault="003E5BF5" w:rsidP="00B96195">
      <w:pPr>
        <w:pStyle w:val="aaabullet"/>
      </w:pPr>
      <w:r w:rsidRPr="00F22816">
        <w:rPr>
          <w:b/>
          <w:bCs/>
        </w:rPr>
        <w:lastRenderedPageBreak/>
        <w:t>Grant of a right to the operator (GORTO)</w:t>
      </w:r>
      <w:r>
        <w:t>: Where the department does not have a contractual obligation to pay cash or another financial asset but grants the right to the operator to earn revenue from the public from use of the asset. This liability relates to unearned revenue and the department reduces this liability by recognising revenue according to the substance of the service concession arrangement. Refer to Note 2.4 Other income. Refer to Note 6.2 Payables for the amounts disclosed as GORTO liability.</w:t>
      </w:r>
    </w:p>
    <w:p w14:paraId="0D475A6B" w14:textId="77777777" w:rsidR="003E5BF5" w:rsidRDefault="003E5BF5" w:rsidP="00B96195">
      <w:pPr>
        <w:pStyle w:val="aaatyping"/>
      </w:pPr>
      <w:r>
        <w:t>Subsequently, the liability will also be reduced by any payments made by the State to the operator if required by the contract.</w:t>
      </w:r>
    </w:p>
    <w:p w14:paraId="05647193" w14:textId="77777777" w:rsidR="003E5BF5" w:rsidRDefault="003E5BF5" w:rsidP="00DE1921">
      <w:pPr>
        <w:sectPr w:rsidR="003E5BF5" w:rsidSect="008A64CB">
          <w:pgSz w:w="11906" w:h="16838"/>
          <w:pgMar w:top="1701" w:right="1418" w:bottom="1418" w:left="1418" w:header="708" w:footer="708" w:gutter="0"/>
          <w:cols w:space="284"/>
          <w:docGrid w:linePitch="360"/>
        </w:sectPr>
      </w:pPr>
    </w:p>
    <w:p w14:paraId="4E61AF0D" w14:textId="77777777" w:rsidR="003E5BF5" w:rsidRPr="00684B83" w:rsidRDefault="003E5BF5" w:rsidP="00EF5131">
      <w:pPr>
        <w:pStyle w:val="Heading5"/>
      </w:pPr>
      <w:bookmarkStart w:id="360" w:name="_Contract_liabilities"/>
      <w:bookmarkEnd w:id="360"/>
      <w:r w:rsidRPr="00FA6785">
        <w:t xml:space="preserve">Maturity analysis of contractual payables </w:t>
      </w:r>
      <w:r w:rsidRPr="00FA6785">
        <w:rPr>
          <w:vertAlign w:val="superscript"/>
        </w:rPr>
        <w:t>(</w:t>
      </w:r>
      <w:proofErr w:type="spellStart"/>
      <w:r w:rsidRPr="00FA6785">
        <w:rPr>
          <w:vertAlign w:val="superscript"/>
        </w:rPr>
        <w:t>i</w:t>
      </w:r>
      <w:proofErr w:type="spellEnd"/>
      <w:r w:rsidRPr="00FA6785">
        <w:rPr>
          <w:vertAlign w:val="superscript"/>
        </w:rPr>
        <w:t>)</w:t>
      </w:r>
    </w:p>
    <w:tbl>
      <w:tblPr>
        <w:tblStyle w:val="TableGrid"/>
        <w:tblW w:w="0" w:type="auto"/>
        <w:tblCellMar>
          <w:left w:w="28" w:type="dxa"/>
          <w:right w:w="28" w:type="dxa"/>
        </w:tblCellMar>
        <w:tblLook w:val="04A0" w:firstRow="1" w:lastRow="0" w:firstColumn="1" w:lastColumn="0" w:noHBand="0" w:noVBand="1"/>
      </w:tblPr>
      <w:tblGrid>
        <w:gridCol w:w="2283"/>
        <w:gridCol w:w="1028"/>
        <w:gridCol w:w="101"/>
        <w:gridCol w:w="1124"/>
        <w:gridCol w:w="1135"/>
        <w:gridCol w:w="1130"/>
        <w:gridCol w:w="1129"/>
        <w:gridCol w:w="1130"/>
      </w:tblGrid>
      <w:tr w:rsidR="003E5BF5" w:rsidRPr="00655316" w14:paraId="5F0AB660" w14:textId="77777777" w:rsidTr="002B0577">
        <w:trPr>
          <w:trHeight w:val="340"/>
        </w:trPr>
        <w:tc>
          <w:tcPr>
            <w:tcW w:w="2283" w:type="dxa"/>
            <w:shd w:val="clear" w:color="auto" w:fill="auto"/>
            <w:noWrap/>
            <w:hideMark/>
          </w:tcPr>
          <w:p w14:paraId="1485640F" w14:textId="77777777" w:rsidR="003E5BF5" w:rsidRPr="00655316" w:rsidRDefault="003E5BF5" w:rsidP="00DE1921">
            <w:pPr>
              <w:rPr>
                <w:rFonts w:ascii="Arial" w:hAnsi="Arial" w:cs="Arial"/>
                <w:sz w:val="24"/>
                <w:szCs w:val="24"/>
                <w:lang w:eastAsia="en-AU"/>
              </w:rPr>
            </w:pPr>
          </w:p>
        </w:tc>
        <w:tc>
          <w:tcPr>
            <w:tcW w:w="6777" w:type="dxa"/>
            <w:gridSpan w:val="7"/>
            <w:shd w:val="clear" w:color="auto" w:fill="auto"/>
            <w:noWrap/>
            <w:vAlign w:val="center"/>
            <w:hideMark/>
          </w:tcPr>
          <w:p w14:paraId="5C5C6139" w14:textId="77777777" w:rsidR="003E5BF5" w:rsidRPr="00655316" w:rsidRDefault="003E5BF5" w:rsidP="00DE1921">
            <w:pPr>
              <w:jc w:val="center"/>
              <w:rPr>
                <w:rFonts w:ascii="Arial" w:hAnsi="Arial" w:cs="Arial"/>
                <w:b/>
                <w:sz w:val="24"/>
                <w:szCs w:val="24"/>
                <w:lang w:eastAsia="en-AU"/>
              </w:rPr>
            </w:pPr>
            <w:r w:rsidRPr="00655316">
              <w:rPr>
                <w:rFonts w:ascii="Arial" w:hAnsi="Arial" w:cs="Arial"/>
                <w:b/>
                <w:sz w:val="24"/>
                <w:szCs w:val="24"/>
                <w:lang w:eastAsia="en-AU"/>
              </w:rPr>
              <w:t>($ thousand)</w:t>
            </w:r>
          </w:p>
        </w:tc>
      </w:tr>
      <w:tr w:rsidR="003E5BF5" w:rsidRPr="00655316" w14:paraId="210AFB9B" w14:textId="77777777" w:rsidTr="002B0577">
        <w:trPr>
          <w:trHeight w:val="340"/>
        </w:trPr>
        <w:tc>
          <w:tcPr>
            <w:tcW w:w="2283" w:type="dxa"/>
            <w:shd w:val="clear" w:color="auto" w:fill="auto"/>
            <w:noWrap/>
            <w:hideMark/>
          </w:tcPr>
          <w:p w14:paraId="39036594" w14:textId="77777777" w:rsidR="003E5BF5" w:rsidRPr="00655316" w:rsidRDefault="003E5BF5" w:rsidP="00DE1921">
            <w:pPr>
              <w:rPr>
                <w:rFonts w:ascii="Arial" w:hAnsi="Arial" w:cs="Arial"/>
                <w:sz w:val="24"/>
                <w:szCs w:val="24"/>
                <w:lang w:eastAsia="en-AU"/>
              </w:rPr>
            </w:pPr>
          </w:p>
        </w:tc>
        <w:tc>
          <w:tcPr>
            <w:tcW w:w="1028" w:type="dxa"/>
            <w:shd w:val="clear" w:color="auto" w:fill="auto"/>
            <w:noWrap/>
            <w:hideMark/>
          </w:tcPr>
          <w:p w14:paraId="525CBD66" w14:textId="77777777" w:rsidR="003E5BF5" w:rsidRPr="00655316" w:rsidRDefault="003E5BF5" w:rsidP="00DE1921">
            <w:pPr>
              <w:rPr>
                <w:rFonts w:ascii="Arial" w:hAnsi="Arial" w:cs="Arial"/>
                <w:sz w:val="24"/>
                <w:szCs w:val="24"/>
                <w:lang w:eastAsia="en-AU"/>
              </w:rPr>
            </w:pPr>
          </w:p>
        </w:tc>
        <w:tc>
          <w:tcPr>
            <w:tcW w:w="1225" w:type="dxa"/>
            <w:gridSpan w:val="2"/>
            <w:shd w:val="clear" w:color="auto" w:fill="auto"/>
            <w:noWrap/>
            <w:hideMark/>
          </w:tcPr>
          <w:p w14:paraId="4ADADBB4" w14:textId="77777777" w:rsidR="003E5BF5" w:rsidRPr="00655316" w:rsidRDefault="003E5BF5" w:rsidP="00DE1921">
            <w:pPr>
              <w:rPr>
                <w:rFonts w:ascii="Arial" w:hAnsi="Arial" w:cs="Arial"/>
                <w:sz w:val="24"/>
                <w:szCs w:val="24"/>
                <w:lang w:eastAsia="en-AU"/>
              </w:rPr>
            </w:pPr>
          </w:p>
        </w:tc>
        <w:tc>
          <w:tcPr>
            <w:tcW w:w="4524" w:type="dxa"/>
            <w:gridSpan w:val="4"/>
            <w:shd w:val="clear" w:color="auto" w:fill="auto"/>
            <w:noWrap/>
            <w:vAlign w:val="center"/>
            <w:hideMark/>
          </w:tcPr>
          <w:p w14:paraId="492B6693" w14:textId="77777777" w:rsidR="003E5BF5" w:rsidRPr="00655316" w:rsidRDefault="003E5BF5" w:rsidP="00DE1921">
            <w:pPr>
              <w:pStyle w:val="TableTextCentreBold"/>
              <w:rPr>
                <w:rFonts w:ascii="Arial" w:hAnsi="Arial" w:cs="Arial"/>
                <w:sz w:val="24"/>
                <w:szCs w:val="24"/>
              </w:rPr>
            </w:pPr>
            <w:r w:rsidRPr="00655316">
              <w:rPr>
                <w:rFonts w:ascii="Arial" w:hAnsi="Arial" w:cs="Arial"/>
                <w:sz w:val="24"/>
                <w:szCs w:val="24"/>
              </w:rPr>
              <w:t>Maturity dates</w:t>
            </w:r>
          </w:p>
        </w:tc>
      </w:tr>
      <w:tr w:rsidR="003E5BF5" w:rsidRPr="00655316" w14:paraId="5235B572" w14:textId="77777777" w:rsidTr="002B0577">
        <w:trPr>
          <w:trHeight w:val="340"/>
        </w:trPr>
        <w:tc>
          <w:tcPr>
            <w:tcW w:w="2283" w:type="dxa"/>
            <w:shd w:val="clear" w:color="auto" w:fill="auto"/>
            <w:noWrap/>
            <w:vAlign w:val="center"/>
            <w:hideMark/>
          </w:tcPr>
          <w:p w14:paraId="3D6339DB"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 </w:t>
            </w:r>
          </w:p>
        </w:tc>
        <w:tc>
          <w:tcPr>
            <w:tcW w:w="1129" w:type="dxa"/>
            <w:gridSpan w:val="2"/>
            <w:shd w:val="clear" w:color="auto" w:fill="auto"/>
            <w:vAlign w:val="bottom"/>
            <w:hideMark/>
          </w:tcPr>
          <w:p w14:paraId="22AF6A84" w14:textId="77777777" w:rsidR="003E5BF5" w:rsidRPr="00655316" w:rsidRDefault="003E5BF5" w:rsidP="00DE1921">
            <w:pPr>
              <w:pStyle w:val="TableTextRightBold"/>
              <w:rPr>
                <w:rFonts w:ascii="Arial" w:hAnsi="Arial" w:cs="Arial"/>
                <w:sz w:val="24"/>
                <w:szCs w:val="24"/>
              </w:rPr>
            </w:pPr>
            <w:r w:rsidRPr="00655316">
              <w:rPr>
                <w:rFonts w:ascii="Arial" w:hAnsi="Arial" w:cs="Arial"/>
                <w:sz w:val="24"/>
                <w:szCs w:val="24"/>
              </w:rPr>
              <w:t xml:space="preserve">Carrying </w:t>
            </w:r>
            <w:r w:rsidRPr="00655316">
              <w:rPr>
                <w:rFonts w:ascii="Arial" w:hAnsi="Arial" w:cs="Arial"/>
                <w:sz w:val="24"/>
                <w:szCs w:val="24"/>
              </w:rPr>
              <w:br/>
              <w:t>amount</w:t>
            </w:r>
          </w:p>
        </w:tc>
        <w:tc>
          <w:tcPr>
            <w:tcW w:w="1124" w:type="dxa"/>
            <w:shd w:val="clear" w:color="auto" w:fill="auto"/>
            <w:vAlign w:val="bottom"/>
            <w:hideMark/>
          </w:tcPr>
          <w:p w14:paraId="3E960945" w14:textId="77777777" w:rsidR="003E5BF5" w:rsidRPr="00655316" w:rsidRDefault="003E5BF5" w:rsidP="00DE1921">
            <w:pPr>
              <w:pStyle w:val="TableTextRightBold"/>
              <w:rPr>
                <w:rFonts w:ascii="Arial" w:hAnsi="Arial" w:cs="Arial"/>
                <w:sz w:val="24"/>
                <w:szCs w:val="24"/>
              </w:rPr>
            </w:pPr>
            <w:r w:rsidRPr="00655316">
              <w:rPr>
                <w:rFonts w:ascii="Arial" w:hAnsi="Arial" w:cs="Arial"/>
                <w:sz w:val="24"/>
                <w:szCs w:val="24"/>
              </w:rPr>
              <w:t>Nominal</w:t>
            </w:r>
            <w:r w:rsidRPr="00655316">
              <w:rPr>
                <w:rFonts w:ascii="Arial" w:hAnsi="Arial" w:cs="Arial"/>
                <w:sz w:val="24"/>
                <w:szCs w:val="24"/>
              </w:rPr>
              <w:br/>
              <w:t>amount</w:t>
            </w:r>
          </w:p>
        </w:tc>
        <w:tc>
          <w:tcPr>
            <w:tcW w:w="1135" w:type="dxa"/>
            <w:shd w:val="clear" w:color="auto" w:fill="auto"/>
            <w:vAlign w:val="bottom"/>
            <w:hideMark/>
          </w:tcPr>
          <w:p w14:paraId="1CEE6234" w14:textId="77777777" w:rsidR="003E5BF5" w:rsidRPr="00655316" w:rsidRDefault="003E5BF5" w:rsidP="00DE1921">
            <w:pPr>
              <w:pStyle w:val="TableTextRightBold"/>
              <w:rPr>
                <w:rFonts w:ascii="Arial" w:hAnsi="Arial" w:cs="Arial"/>
                <w:sz w:val="24"/>
                <w:szCs w:val="24"/>
              </w:rPr>
            </w:pPr>
            <w:r w:rsidRPr="00655316">
              <w:rPr>
                <w:rFonts w:ascii="Arial" w:hAnsi="Arial" w:cs="Arial"/>
                <w:sz w:val="24"/>
                <w:szCs w:val="24"/>
              </w:rPr>
              <w:t>Less than 1 Month</w:t>
            </w:r>
          </w:p>
        </w:tc>
        <w:tc>
          <w:tcPr>
            <w:tcW w:w="1130" w:type="dxa"/>
            <w:shd w:val="clear" w:color="auto" w:fill="auto"/>
            <w:vAlign w:val="bottom"/>
            <w:hideMark/>
          </w:tcPr>
          <w:p w14:paraId="003A18F8" w14:textId="77777777" w:rsidR="003E5BF5" w:rsidRPr="00655316" w:rsidRDefault="003E5BF5" w:rsidP="00DE1921">
            <w:pPr>
              <w:pStyle w:val="TableTextRightBold"/>
              <w:rPr>
                <w:rFonts w:ascii="Arial" w:hAnsi="Arial" w:cs="Arial"/>
                <w:sz w:val="24"/>
                <w:szCs w:val="24"/>
              </w:rPr>
            </w:pPr>
            <w:r w:rsidRPr="00655316">
              <w:rPr>
                <w:rFonts w:ascii="Arial" w:hAnsi="Arial" w:cs="Arial"/>
                <w:sz w:val="24"/>
                <w:szCs w:val="24"/>
              </w:rPr>
              <w:t>1 - 3 Months</w:t>
            </w:r>
          </w:p>
        </w:tc>
        <w:tc>
          <w:tcPr>
            <w:tcW w:w="1129" w:type="dxa"/>
            <w:shd w:val="clear" w:color="auto" w:fill="auto"/>
            <w:vAlign w:val="bottom"/>
            <w:hideMark/>
          </w:tcPr>
          <w:p w14:paraId="4FDC9EC9" w14:textId="77777777" w:rsidR="003E5BF5" w:rsidRPr="00655316" w:rsidRDefault="003E5BF5" w:rsidP="00DE1921">
            <w:pPr>
              <w:pStyle w:val="TableTextRightBold"/>
              <w:rPr>
                <w:rFonts w:ascii="Arial" w:hAnsi="Arial" w:cs="Arial"/>
                <w:sz w:val="24"/>
                <w:szCs w:val="24"/>
              </w:rPr>
            </w:pPr>
            <w:r w:rsidRPr="00655316">
              <w:rPr>
                <w:rFonts w:ascii="Arial" w:hAnsi="Arial" w:cs="Arial"/>
                <w:sz w:val="24"/>
                <w:szCs w:val="24"/>
              </w:rPr>
              <w:t>3 - 12 Months</w:t>
            </w:r>
          </w:p>
        </w:tc>
        <w:tc>
          <w:tcPr>
            <w:tcW w:w="1130" w:type="dxa"/>
            <w:shd w:val="clear" w:color="auto" w:fill="auto"/>
            <w:vAlign w:val="bottom"/>
            <w:hideMark/>
          </w:tcPr>
          <w:p w14:paraId="5DC463CE" w14:textId="77777777" w:rsidR="003E5BF5" w:rsidRPr="00655316" w:rsidRDefault="003E5BF5" w:rsidP="00DE1921">
            <w:pPr>
              <w:pStyle w:val="TableTextRightBold"/>
              <w:rPr>
                <w:rFonts w:ascii="Arial" w:hAnsi="Arial" w:cs="Arial"/>
                <w:sz w:val="24"/>
                <w:szCs w:val="24"/>
              </w:rPr>
            </w:pPr>
            <w:r w:rsidRPr="00655316">
              <w:rPr>
                <w:rFonts w:ascii="Arial" w:hAnsi="Arial" w:cs="Arial"/>
                <w:sz w:val="24"/>
                <w:szCs w:val="24"/>
              </w:rPr>
              <w:t>1 - 5 years</w:t>
            </w:r>
          </w:p>
        </w:tc>
      </w:tr>
      <w:tr w:rsidR="003E5BF5" w:rsidRPr="00655316" w14:paraId="58EADC8B" w14:textId="77777777" w:rsidTr="002B0577">
        <w:trPr>
          <w:trHeight w:val="340"/>
        </w:trPr>
        <w:tc>
          <w:tcPr>
            <w:tcW w:w="2283" w:type="dxa"/>
            <w:shd w:val="clear" w:color="auto" w:fill="auto"/>
            <w:noWrap/>
            <w:vAlign w:val="center"/>
            <w:hideMark/>
          </w:tcPr>
          <w:p w14:paraId="717EA78F" w14:textId="77777777" w:rsidR="003E5BF5" w:rsidRPr="00655316" w:rsidRDefault="003E5BF5" w:rsidP="00604703">
            <w:pPr>
              <w:pStyle w:val="TableTextGreen"/>
            </w:pPr>
            <w:r w:rsidRPr="00655316">
              <w:t>2020</w:t>
            </w:r>
          </w:p>
        </w:tc>
        <w:tc>
          <w:tcPr>
            <w:tcW w:w="1129" w:type="dxa"/>
            <w:gridSpan w:val="2"/>
            <w:shd w:val="clear" w:color="auto" w:fill="auto"/>
            <w:noWrap/>
            <w:vAlign w:val="center"/>
            <w:hideMark/>
          </w:tcPr>
          <w:p w14:paraId="22EF0E4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lang w:eastAsia="en-AU"/>
              </w:rPr>
              <w:t> </w:t>
            </w:r>
          </w:p>
        </w:tc>
        <w:tc>
          <w:tcPr>
            <w:tcW w:w="1124" w:type="dxa"/>
            <w:shd w:val="clear" w:color="auto" w:fill="auto"/>
            <w:noWrap/>
            <w:vAlign w:val="center"/>
            <w:hideMark/>
          </w:tcPr>
          <w:p w14:paraId="4803F1BE"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lang w:eastAsia="en-AU"/>
              </w:rPr>
              <w:t> </w:t>
            </w:r>
          </w:p>
        </w:tc>
        <w:tc>
          <w:tcPr>
            <w:tcW w:w="1135" w:type="dxa"/>
            <w:shd w:val="clear" w:color="auto" w:fill="auto"/>
            <w:noWrap/>
            <w:vAlign w:val="center"/>
            <w:hideMark/>
          </w:tcPr>
          <w:p w14:paraId="5A5DDD17"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lang w:eastAsia="en-AU"/>
              </w:rPr>
              <w:t> </w:t>
            </w:r>
          </w:p>
        </w:tc>
        <w:tc>
          <w:tcPr>
            <w:tcW w:w="1130" w:type="dxa"/>
            <w:shd w:val="clear" w:color="auto" w:fill="auto"/>
            <w:noWrap/>
            <w:vAlign w:val="center"/>
            <w:hideMark/>
          </w:tcPr>
          <w:p w14:paraId="5DF797BE" w14:textId="77777777" w:rsidR="003E5BF5" w:rsidRPr="00655316" w:rsidRDefault="003E5BF5" w:rsidP="00DE1921">
            <w:pPr>
              <w:jc w:val="right"/>
              <w:rPr>
                <w:rFonts w:ascii="Arial" w:hAnsi="Arial" w:cs="Arial"/>
                <w:sz w:val="24"/>
                <w:szCs w:val="24"/>
                <w:lang w:eastAsia="en-AU"/>
              </w:rPr>
            </w:pPr>
          </w:p>
        </w:tc>
        <w:tc>
          <w:tcPr>
            <w:tcW w:w="1129" w:type="dxa"/>
            <w:shd w:val="clear" w:color="auto" w:fill="auto"/>
            <w:noWrap/>
            <w:vAlign w:val="center"/>
            <w:hideMark/>
          </w:tcPr>
          <w:p w14:paraId="7E852C6F" w14:textId="77777777" w:rsidR="003E5BF5" w:rsidRPr="00655316" w:rsidRDefault="003E5BF5" w:rsidP="00DE1921">
            <w:pPr>
              <w:jc w:val="right"/>
              <w:rPr>
                <w:rFonts w:ascii="Arial" w:hAnsi="Arial" w:cs="Arial"/>
                <w:sz w:val="24"/>
                <w:szCs w:val="24"/>
                <w:lang w:eastAsia="en-AU"/>
              </w:rPr>
            </w:pPr>
          </w:p>
        </w:tc>
        <w:tc>
          <w:tcPr>
            <w:tcW w:w="1130" w:type="dxa"/>
            <w:shd w:val="clear" w:color="auto" w:fill="auto"/>
            <w:noWrap/>
            <w:vAlign w:val="center"/>
            <w:hideMark/>
          </w:tcPr>
          <w:p w14:paraId="5606AB6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lang w:eastAsia="en-AU"/>
              </w:rPr>
              <w:t> </w:t>
            </w:r>
          </w:p>
        </w:tc>
      </w:tr>
      <w:tr w:rsidR="003E5BF5" w:rsidRPr="00655316" w14:paraId="11912C2A" w14:textId="77777777" w:rsidTr="002B0577">
        <w:trPr>
          <w:trHeight w:val="340"/>
        </w:trPr>
        <w:tc>
          <w:tcPr>
            <w:tcW w:w="2283" w:type="dxa"/>
            <w:shd w:val="clear" w:color="auto" w:fill="auto"/>
            <w:noWrap/>
            <w:vAlign w:val="center"/>
            <w:hideMark/>
          </w:tcPr>
          <w:p w14:paraId="451BB4EF"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Payables</w:t>
            </w:r>
          </w:p>
        </w:tc>
        <w:tc>
          <w:tcPr>
            <w:tcW w:w="1129" w:type="dxa"/>
            <w:gridSpan w:val="2"/>
            <w:shd w:val="clear" w:color="auto" w:fill="auto"/>
            <w:noWrap/>
            <w:vAlign w:val="center"/>
            <w:hideMark/>
          </w:tcPr>
          <w:p w14:paraId="52F91901"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1,587,687 </w:t>
            </w:r>
          </w:p>
        </w:tc>
        <w:tc>
          <w:tcPr>
            <w:tcW w:w="1124" w:type="dxa"/>
            <w:shd w:val="clear" w:color="auto" w:fill="auto"/>
            <w:noWrap/>
            <w:vAlign w:val="center"/>
            <w:hideMark/>
          </w:tcPr>
          <w:p w14:paraId="39410F95"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1,598,853 </w:t>
            </w:r>
          </w:p>
        </w:tc>
        <w:tc>
          <w:tcPr>
            <w:tcW w:w="1135" w:type="dxa"/>
            <w:shd w:val="clear" w:color="auto" w:fill="auto"/>
            <w:noWrap/>
            <w:vAlign w:val="center"/>
            <w:hideMark/>
          </w:tcPr>
          <w:p w14:paraId="0FFFA744"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1,526,470 </w:t>
            </w:r>
          </w:p>
        </w:tc>
        <w:tc>
          <w:tcPr>
            <w:tcW w:w="1130" w:type="dxa"/>
            <w:shd w:val="clear" w:color="auto" w:fill="auto"/>
            <w:noWrap/>
            <w:vAlign w:val="center"/>
            <w:hideMark/>
          </w:tcPr>
          <w:p w14:paraId="5DC090E7"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64,807 </w:t>
            </w:r>
          </w:p>
        </w:tc>
        <w:tc>
          <w:tcPr>
            <w:tcW w:w="1129" w:type="dxa"/>
            <w:shd w:val="clear" w:color="auto" w:fill="auto"/>
            <w:noWrap/>
            <w:vAlign w:val="center"/>
            <w:hideMark/>
          </w:tcPr>
          <w:p w14:paraId="3F83C669"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7,540 </w:t>
            </w:r>
          </w:p>
        </w:tc>
        <w:tc>
          <w:tcPr>
            <w:tcW w:w="1130" w:type="dxa"/>
            <w:shd w:val="clear" w:color="auto" w:fill="auto"/>
            <w:noWrap/>
            <w:vAlign w:val="center"/>
            <w:hideMark/>
          </w:tcPr>
          <w:p w14:paraId="3D5F717A"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36 </w:t>
            </w:r>
          </w:p>
        </w:tc>
      </w:tr>
      <w:tr w:rsidR="003E5BF5" w:rsidRPr="00655316" w14:paraId="07E11D4D" w14:textId="77777777" w:rsidTr="002B0577">
        <w:trPr>
          <w:trHeight w:val="340"/>
        </w:trPr>
        <w:tc>
          <w:tcPr>
            <w:tcW w:w="2283" w:type="dxa"/>
            <w:shd w:val="clear" w:color="auto" w:fill="auto"/>
            <w:noWrap/>
            <w:vAlign w:val="center"/>
            <w:hideMark/>
          </w:tcPr>
          <w:p w14:paraId="09580EBE"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Total</w:t>
            </w:r>
          </w:p>
        </w:tc>
        <w:tc>
          <w:tcPr>
            <w:tcW w:w="1129" w:type="dxa"/>
            <w:gridSpan w:val="2"/>
            <w:shd w:val="clear" w:color="auto" w:fill="auto"/>
            <w:noWrap/>
            <w:vAlign w:val="center"/>
            <w:hideMark/>
          </w:tcPr>
          <w:p w14:paraId="123A4D71"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1,587,687 </w:t>
            </w:r>
          </w:p>
        </w:tc>
        <w:tc>
          <w:tcPr>
            <w:tcW w:w="1124" w:type="dxa"/>
            <w:shd w:val="clear" w:color="auto" w:fill="auto"/>
            <w:noWrap/>
            <w:vAlign w:val="center"/>
            <w:hideMark/>
          </w:tcPr>
          <w:p w14:paraId="61B9A74A"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1,598,853 </w:t>
            </w:r>
          </w:p>
        </w:tc>
        <w:tc>
          <w:tcPr>
            <w:tcW w:w="1135" w:type="dxa"/>
            <w:shd w:val="clear" w:color="auto" w:fill="auto"/>
            <w:noWrap/>
            <w:vAlign w:val="center"/>
            <w:hideMark/>
          </w:tcPr>
          <w:p w14:paraId="2A53A76A"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1,526,470 </w:t>
            </w:r>
          </w:p>
        </w:tc>
        <w:tc>
          <w:tcPr>
            <w:tcW w:w="1130" w:type="dxa"/>
            <w:shd w:val="clear" w:color="auto" w:fill="auto"/>
            <w:noWrap/>
            <w:vAlign w:val="center"/>
            <w:hideMark/>
          </w:tcPr>
          <w:p w14:paraId="664A45B4"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64,807 </w:t>
            </w:r>
          </w:p>
        </w:tc>
        <w:tc>
          <w:tcPr>
            <w:tcW w:w="1129" w:type="dxa"/>
            <w:shd w:val="clear" w:color="auto" w:fill="auto"/>
            <w:noWrap/>
            <w:vAlign w:val="center"/>
            <w:hideMark/>
          </w:tcPr>
          <w:p w14:paraId="4A60ED12"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7,540 </w:t>
            </w:r>
          </w:p>
        </w:tc>
        <w:tc>
          <w:tcPr>
            <w:tcW w:w="1130" w:type="dxa"/>
            <w:shd w:val="clear" w:color="auto" w:fill="auto"/>
            <w:noWrap/>
            <w:vAlign w:val="center"/>
            <w:hideMark/>
          </w:tcPr>
          <w:p w14:paraId="0373ADD9"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36 </w:t>
            </w:r>
          </w:p>
        </w:tc>
      </w:tr>
      <w:tr w:rsidR="003E5BF5" w:rsidRPr="00655316" w14:paraId="7544C28A" w14:textId="77777777" w:rsidTr="002B0577">
        <w:trPr>
          <w:trHeight w:val="340"/>
        </w:trPr>
        <w:tc>
          <w:tcPr>
            <w:tcW w:w="2283" w:type="dxa"/>
            <w:shd w:val="clear" w:color="auto" w:fill="auto"/>
            <w:noWrap/>
            <w:vAlign w:val="center"/>
            <w:hideMark/>
          </w:tcPr>
          <w:p w14:paraId="622DC0AD" w14:textId="77777777" w:rsidR="003E5BF5" w:rsidRPr="00655316" w:rsidRDefault="003E5BF5" w:rsidP="00604703">
            <w:pPr>
              <w:pStyle w:val="TableTextGreen"/>
            </w:pPr>
            <w:r w:rsidRPr="00655316">
              <w:t>2019</w:t>
            </w:r>
          </w:p>
        </w:tc>
        <w:tc>
          <w:tcPr>
            <w:tcW w:w="1129" w:type="dxa"/>
            <w:gridSpan w:val="2"/>
            <w:shd w:val="clear" w:color="auto" w:fill="auto"/>
            <w:noWrap/>
            <w:vAlign w:val="center"/>
            <w:hideMark/>
          </w:tcPr>
          <w:p w14:paraId="1045A569" w14:textId="77777777" w:rsidR="003E5BF5" w:rsidRPr="00655316" w:rsidRDefault="003E5BF5" w:rsidP="00DE1921">
            <w:pPr>
              <w:jc w:val="right"/>
              <w:rPr>
                <w:rFonts w:ascii="Arial" w:hAnsi="Arial" w:cs="Arial"/>
                <w:b/>
                <w:sz w:val="24"/>
                <w:szCs w:val="24"/>
                <w:lang w:eastAsia="en-AU"/>
              </w:rPr>
            </w:pPr>
          </w:p>
        </w:tc>
        <w:tc>
          <w:tcPr>
            <w:tcW w:w="1124" w:type="dxa"/>
            <w:shd w:val="clear" w:color="auto" w:fill="auto"/>
            <w:noWrap/>
            <w:vAlign w:val="center"/>
            <w:hideMark/>
          </w:tcPr>
          <w:p w14:paraId="5AE76A96" w14:textId="77777777" w:rsidR="003E5BF5" w:rsidRPr="00655316" w:rsidRDefault="003E5BF5" w:rsidP="00DE1921">
            <w:pPr>
              <w:jc w:val="right"/>
              <w:rPr>
                <w:rFonts w:ascii="Arial" w:hAnsi="Arial" w:cs="Arial"/>
                <w:b/>
                <w:sz w:val="24"/>
                <w:szCs w:val="24"/>
                <w:lang w:eastAsia="en-AU"/>
              </w:rPr>
            </w:pPr>
          </w:p>
        </w:tc>
        <w:tc>
          <w:tcPr>
            <w:tcW w:w="1135" w:type="dxa"/>
            <w:shd w:val="clear" w:color="auto" w:fill="auto"/>
            <w:noWrap/>
            <w:vAlign w:val="center"/>
            <w:hideMark/>
          </w:tcPr>
          <w:p w14:paraId="7AF0D43B" w14:textId="77777777" w:rsidR="003E5BF5" w:rsidRPr="00655316" w:rsidRDefault="003E5BF5" w:rsidP="00DE1921">
            <w:pPr>
              <w:jc w:val="right"/>
              <w:rPr>
                <w:rFonts w:ascii="Arial" w:hAnsi="Arial" w:cs="Arial"/>
                <w:b/>
                <w:sz w:val="24"/>
                <w:szCs w:val="24"/>
                <w:lang w:eastAsia="en-AU"/>
              </w:rPr>
            </w:pPr>
          </w:p>
        </w:tc>
        <w:tc>
          <w:tcPr>
            <w:tcW w:w="1130" w:type="dxa"/>
            <w:shd w:val="clear" w:color="auto" w:fill="auto"/>
            <w:noWrap/>
            <w:vAlign w:val="center"/>
            <w:hideMark/>
          </w:tcPr>
          <w:p w14:paraId="040AD02D" w14:textId="77777777" w:rsidR="003E5BF5" w:rsidRPr="00655316" w:rsidRDefault="003E5BF5" w:rsidP="00DE1921">
            <w:pPr>
              <w:jc w:val="right"/>
              <w:rPr>
                <w:rFonts w:ascii="Arial" w:hAnsi="Arial" w:cs="Arial"/>
                <w:b/>
                <w:sz w:val="24"/>
                <w:szCs w:val="24"/>
                <w:lang w:eastAsia="en-AU"/>
              </w:rPr>
            </w:pPr>
          </w:p>
        </w:tc>
        <w:tc>
          <w:tcPr>
            <w:tcW w:w="1129" w:type="dxa"/>
            <w:shd w:val="clear" w:color="auto" w:fill="auto"/>
            <w:noWrap/>
            <w:vAlign w:val="center"/>
            <w:hideMark/>
          </w:tcPr>
          <w:p w14:paraId="2DE101D3" w14:textId="77777777" w:rsidR="003E5BF5" w:rsidRPr="00655316" w:rsidRDefault="003E5BF5" w:rsidP="00DE1921">
            <w:pPr>
              <w:jc w:val="right"/>
              <w:rPr>
                <w:rFonts w:ascii="Arial" w:hAnsi="Arial" w:cs="Arial"/>
                <w:b/>
                <w:sz w:val="24"/>
                <w:szCs w:val="24"/>
                <w:lang w:eastAsia="en-AU"/>
              </w:rPr>
            </w:pPr>
          </w:p>
        </w:tc>
        <w:tc>
          <w:tcPr>
            <w:tcW w:w="1130" w:type="dxa"/>
            <w:shd w:val="clear" w:color="auto" w:fill="auto"/>
            <w:noWrap/>
            <w:vAlign w:val="center"/>
            <w:hideMark/>
          </w:tcPr>
          <w:p w14:paraId="2C0FCD53" w14:textId="77777777" w:rsidR="003E5BF5" w:rsidRPr="00655316" w:rsidRDefault="003E5BF5" w:rsidP="00DE1921">
            <w:pPr>
              <w:jc w:val="right"/>
              <w:rPr>
                <w:rFonts w:ascii="Arial" w:hAnsi="Arial" w:cs="Arial"/>
                <w:b/>
                <w:sz w:val="24"/>
                <w:szCs w:val="24"/>
                <w:lang w:eastAsia="en-AU"/>
              </w:rPr>
            </w:pPr>
          </w:p>
        </w:tc>
      </w:tr>
      <w:tr w:rsidR="003E5BF5" w:rsidRPr="00655316" w14:paraId="2CF05362" w14:textId="77777777" w:rsidTr="002B0577">
        <w:trPr>
          <w:trHeight w:val="340"/>
        </w:trPr>
        <w:tc>
          <w:tcPr>
            <w:tcW w:w="2283" w:type="dxa"/>
            <w:tcBorders>
              <w:bottom w:val="single" w:sz="4" w:space="0" w:color="auto"/>
            </w:tcBorders>
            <w:shd w:val="clear" w:color="auto" w:fill="auto"/>
            <w:noWrap/>
            <w:vAlign w:val="center"/>
            <w:hideMark/>
          </w:tcPr>
          <w:p w14:paraId="69E81CB8" w14:textId="77777777" w:rsidR="003E5BF5" w:rsidRPr="00655316" w:rsidRDefault="003E5BF5" w:rsidP="00DE1921">
            <w:pPr>
              <w:rPr>
                <w:rFonts w:ascii="Arial" w:hAnsi="Arial" w:cs="Arial"/>
                <w:sz w:val="24"/>
                <w:szCs w:val="24"/>
                <w:lang w:eastAsia="en-AU"/>
              </w:rPr>
            </w:pPr>
            <w:r w:rsidRPr="00655316">
              <w:rPr>
                <w:rFonts w:ascii="Arial" w:hAnsi="Arial" w:cs="Arial"/>
                <w:sz w:val="24"/>
                <w:szCs w:val="24"/>
                <w:lang w:eastAsia="en-AU"/>
              </w:rPr>
              <w:t>Payables</w:t>
            </w:r>
          </w:p>
        </w:tc>
        <w:tc>
          <w:tcPr>
            <w:tcW w:w="1129" w:type="dxa"/>
            <w:gridSpan w:val="2"/>
            <w:tcBorders>
              <w:bottom w:val="single" w:sz="4" w:space="0" w:color="auto"/>
            </w:tcBorders>
            <w:shd w:val="clear" w:color="auto" w:fill="auto"/>
            <w:noWrap/>
            <w:vAlign w:val="center"/>
            <w:hideMark/>
          </w:tcPr>
          <w:p w14:paraId="08A2B0F7"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1,400,643 </w:t>
            </w:r>
          </w:p>
        </w:tc>
        <w:tc>
          <w:tcPr>
            <w:tcW w:w="1124" w:type="dxa"/>
            <w:tcBorders>
              <w:bottom w:val="single" w:sz="4" w:space="0" w:color="auto"/>
            </w:tcBorders>
            <w:shd w:val="clear" w:color="auto" w:fill="auto"/>
            <w:noWrap/>
            <w:vAlign w:val="center"/>
            <w:hideMark/>
          </w:tcPr>
          <w:p w14:paraId="646B9958"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1,400,643 </w:t>
            </w:r>
          </w:p>
        </w:tc>
        <w:tc>
          <w:tcPr>
            <w:tcW w:w="1135" w:type="dxa"/>
            <w:tcBorders>
              <w:bottom w:val="single" w:sz="4" w:space="0" w:color="auto"/>
            </w:tcBorders>
            <w:shd w:val="clear" w:color="auto" w:fill="auto"/>
            <w:noWrap/>
            <w:vAlign w:val="center"/>
            <w:hideMark/>
          </w:tcPr>
          <w:p w14:paraId="0EE6A5DB"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1,399,229 </w:t>
            </w:r>
          </w:p>
        </w:tc>
        <w:tc>
          <w:tcPr>
            <w:tcW w:w="1130" w:type="dxa"/>
            <w:tcBorders>
              <w:bottom w:val="single" w:sz="4" w:space="0" w:color="auto"/>
            </w:tcBorders>
            <w:shd w:val="clear" w:color="auto" w:fill="auto"/>
            <w:noWrap/>
            <w:vAlign w:val="center"/>
            <w:hideMark/>
          </w:tcPr>
          <w:p w14:paraId="417570B7"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754 </w:t>
            </w:r>
          </w:p>
        </w:tc>
        <w:tc>
          <w:tcPr>
            <w:tcW w:w="1129" w:type="dxa"/>
            <w:tcBorders>
              <w:bottom w:val="single" w:sz="4" w:space="0" w:color="auto"/>
            </w:tcBorders>
            <w:shd w:val="clear" w:color="auto" w:fill="auto"/>
            <w:noWrap/>
            <w:vAlign w:val="center"/>
            <w:hideMark/>
          </w:tcPr>
          <w:p w14:paraId="5171F21F"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660 </w:t>
            </w:r>
          </w:p>
        </w:tc>
        <w:tc>
          <w:tcPr>
            <w:tcW w:w="1130" w:type="dxa"/>
            <w:tcBorders>
              <w:bottom w:val="single" w:sz="4" w:space="0" w:color="auto"/>
            </w:tcBorders>
            <w:shd w:val="clear" w:color="auto" w:fill="auto"/>
            <w:noWrap/>
            <w:vAlign w:val="center"/>
            <w:hideMark/>
          </w:tcPr>
          <w:p w14:paraId="1B6280B5" w14:textId="77777777" w:rsidR="003E5BF5" w:rsidRPr="00655316" w:rsidRDefault="003E5BF5" w:rsidP="00DE1921">
            <w:pPr>
              <w:jc w:val="right"/>
              <w:rPr>
                <w:rFonts w:ascii="Arial" w:hAnsi="Arial" w:cs="Arial"/>
                <w:sz w:val="24"/>
                <w:szCs w:val="24"/>
                <w:lang w:eastAsia="en-AU"/>
              </w:rPr>
            </w:pPr>
            <w:r w:rsidRPr="00655316">
              <w:rPr>
                <w:rFonts w:ascii="Arial" w:hAnsi="Arial" w:cs="Arial"/>
                <w:sz w:val="24"/>
                <w:szCs w:val="24"/>
              </w:rPr>
              <w:t xml:space="preserve"> - </w:t>
            </w:r>
          </w:p>
        </w:tc>
      </w:tr>
      <w:tr w:rsidR="003E5BF5" w:rsidRPr="00655316" w14:paraId="3CA5B020" w14:textId="77777777" w:rsidTr="002B0577">
        <w:trPr>
          <w:trHeight w:val="340"/>
        </w:trPr>
        <w:tc>
          <w:tcPr>
            <w:tcW w:w="2283" w:type="dxa"/>
            <w:tcBorders>
              <w:bottom w:val="single" w:sz="4" w:space="0" w:color="auto"/>
            </w:tcBorders>
            <w:shd w:val="clear" w:color="auto" w:fill="auto"/>
            <w:noWrap/>
            <w:vAlign w:val="center"/>
            <w:hideMark/>
          </w:tcPr>
          <w:p w14:paraId="1ABB8FD9" w14:textId="77777777" w:rsidR="003E5BF5" w:rsidRPr="00655316" w:rsidRDefault="003E5BF5" w:rsidP="00DE1921">
            <w:pPr>
              <w:rPr>
                <w:rFonts w:ascii="Arial" w:hAnsi="Arial" w:cs="Arial"/>
                <w:b/>
                <w:sz w:val="24"/>
                <w:szCs w:val="24"/>
                <w:lang w:eastAsia="en-AU"/>
              </w:rPr>
            </w:pPr>
            <w:r w:rsidRPr="00655316">
              <w:rPr>
                <w:rFonts w:ascii="Arial" w:hAnsi="Arial" w:cs="Arial"/>
                <w:b/>
                <w:sz w:val="24"/>
                <w:szCs w:val="24"/>
                <w:lang w:eastAsia="en-AU"/>
              </w:rPr>
              <w:t>Total</w:t>
            </w:r>
          </w:p>
        </w:tc>
        <w:tc>
          <w:tcPr>
            <w:tcW w:w="1129" w:type="dxa"/>
            <w:gridSpan w:val="2"/>
            <w:tcBorders>
              <w:bottom w:val="single" w:sz="4" w:space="0" w:color="auto"/>
            </w:tcBorders>
            <w:shd w:val="clear" w:color="auto" w:fill="auto"/>
            <w:noWrap/>
            <w:vAlign w:val="center"/>
            <w:hideMark/>
          </w:tcPr>
          <w:p w14:paraId="288A48FB"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1,400,643 </w:t>
            </w:r>
          </w:p>
        </w:tc>
        <w:tc>
          <w:tcPr>
            <w:tcW w:w="1124" w:type="dxa"/>
            <w:tcBorders>
              <w:bottom w:val="single" w:sz="4" w:space="0" w:color="auto"/>
            </w:tcBorders>
            <w:shd w:val="clear" w:color="auto" w:fill="auto"/>
            <w:noWrap/>
            <w:vAlign w:val="center"/>
            <w:hideMark/>
          </w:tcPr>
          <w:p w14:paraId="5C1E9428"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1,400,643 </w:t>
            </w:r>
          </w:p>
        </w:tc>
        <w:tc>
          <w:tcPr>
            <w:tcW w:w="1135" w:type="dxa"/>
            <w:tcBorders>
              <w:bottom w:val="single" w:sz="4" w:space="0" w:color="auto"/>
            </w:tcBorders>
            <w:shd w:val="clear" w:color="auto" w:fill="auto"/>
            <w:noWrap/>
            <w:vAlign w:val="center"/>
            <w:hideMark/>
          </w:tcPr>
          <w:p w14:paraId="1C26AD9B"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1,399,229 </w:t>
            </w:r>
          </w:p>
        </w:tc>
        <w:tc>
          <w:tcPr>
            <w:tcW w:w="1130" w:type="dxa"/>
            <w:tcBorders>
              <w:bottom w:val="single" w:sz="4" w:space="0" w:color="auto"/>
            </w:tcBorders>
            <w:shd w:val="clear" w:color="auto" w:fill="auto"/>
            <w:noWrap/>
            <w:vAlign w:val="center"/>
            <w:hideMark/>
          </w:tcPr>
          <w:p w14:paraId="12DEDC71"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754 </w:t>
            </w:r>
          </w:p>
        </w:tc>
        <w:tc>
          <w:tcPr>
            <w:tcW w:w="1129" w:type="dxa"/>
            <w:tcBorders>
              <w:bottom w:val="single" w:sz="4" w:space="0" w:color="auto"/>
            </w:tcBorders>
            <w:shd w:val="clear" w:color="auto" w:fill="auto"/>
            <w:noWrap/>
            <w:vAlign w:val="center"/>
            <w:hideMark/>
          </w:tcPr>
          <w:p w14:paraId="0ABB9952"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660 </w:t>
            </w:r>
          </w:p>
        </w:tc>
        <w:tc>
          <w:tcPr>
            <w:tcW w:w="1130" w:type="dxa"/>
            <w:tcBorders>
              <w:bottom w:val="single" w:sz="4" w:space="0" w:color="auto"/>
            </w:tcBorders>
            <w:shd w:val="clear" w:color="auto" w:fill="auto"/>
            <w:noWrap/>
            <w:vAlign w:val="center"/>
            <w:hideMark/>
          </w:tcPr>
          <w:p w14:paraId="59F59017" w14:textId="77777777" w:rsidR="003E5BF5" w:rsidRPr="00655316" w:rsidRDefault="003E5BF5" w:rsidP="00DE1921">
            <w:pPr>
              <w:jc w:val="right"/>
              <w:rPr>
                <w:rFonts w:ascii="Arial" w:hAnsi="Arial" w:cs="Arial"/>
                <w:b/>
                <w:sz w:val="24"/>
                <w:szCs w:val="24"/>
                <w:lang w:eastAsia="en-AU"/>
              </w:rPr>
            </w:pPr>
            <w:r w:rsidRPr="00655316">
              <w:rPr>
                <w:rFonts w:ascii="Arial" w:hAnsi="Arial" w:cs="Arial"/>
                <w:b/>
                <w:sz w:val="24"/>
                <w:szCs w:val="24"/>
              </w:rPr>
              <w:t xml:space="preserve"> - </w:t>
            </w:r>
          </w:p>
        </w:tc>
      </w:tr>
    </w:tbl>
    <w:p w14:paraId="08F6786E" w14:textId="77777777" w:rsidR="00162526" w:rsidRPr="00655316" w:rsidRDefault="00162526" w:rsidP="00162526">
      <w:pPr>
        <w:pStyle w:val="Note"/>
        <w:rPr>
          <w:rFonts w:ascii="Arial" w:hAnsi="Arial" w:cs="Arial"/>
          <w:sz w:val="24"/>
          <w:szCs w:val="24"/>
        </w:rPr>
      </w:pPr>
      <w:r w:rsidRPr="00655316">
        <w:rPr>
          <w:rFonts w:ascii="Arial" w:hAnsi="Arial" w:cs="Arial"/>
          <w:sz w:val="24"/>
          <w:szCs w:val="24"/>
        </w:rPr>
        <w:t>Note:</w:t>
      </w:r>
    </w:p>
    <w:p w14:paraId="7276B873" w14:textId="77777777" w:rsidR="00162526" w:rsidRPr="00655316" w:rsidRDefault="00162526" w:rsidP="00610F5F">
      <w:pPr>
        <w:pStyle w:val="aaaNotenumberiiiiii"/>
        <w:numPr>
          <w:ilvl w:val="0"/>
          <w:numId w:val="98"/>
        </w:numPr>
      </w:pPr>
      <w:r w:rsidRPr="00655316">
        <w:t>Maturity analysis is presented using the contractual and discounted cash flow.</w:t>
      </w:r>
    </w:p>
    <w:p w14:paraId="379FCC68" w14:textId="77777777" w:rsidR="003E5BF5" w:rsidRDefault="003E5BF5" w:rsidP="00B96195">
      <w:pPr>
        <w:pStyle w:val="aaatyping"/>
      </w:pPr>
      <w:r w:rsidRPr="00937F53">
        <w:t>Pay</w:t>
      </w:r>
      <w:r w:rsidRPr="007444F0">
        <w:t xml:space="preserve">ables for supplies and services have an average credit period </w:t>
      </w:r>
      <w:r>
        <w:t>of</w:t>
      </w:r>
      <w:r w:rsidRPr="007444F0">
        <w:t xml:space="preserve"> 30 days. No interest is charged on late payments for ‘other payables’.</w:t>
      </w:r>
    </w:p>
    <w:p w14:paraId="08719238" w14:textId="77777777" w:rsidR="003E5BF5" w:rsidRDefault="003E5BF5">
      <w:pPr>
        <w:rPr>
          <w:rFonts w:eastAsiaTheme="majorEastAsia" w:cstheme="majorBidi"/>
          <w:color w:val="70AD47" w:themeColor="accent6"/>
          <w:sz w:val="24"/>
          <w:szCs w:val="24"/>
        </w:rPr>
      </w:pPr>
      <w:r>
        <w:br w:type="page"/>
      </w:r>
    </w:p>
    <w:p w14:paraId="0803190E" w14:textId="77777777" w:rsidR="003E5BF5" w:rsidRPr="00F22816" w:rsidRDefault="003E5BF5" w:rsidP="00610F5F">
      <w:pPr>
        <w:pStyle w:val="Heading2"/>
        <w:numPr>
          <w:ilvl w:val="2"/>
          <w:numId w:val="20"/>
        </w:numPr>
        <w:ind w:left="765" w:hanging="765"/>
      </w:pPr>
      <w:r>
        <w:lastRenderedPageBreak/>
        <w:t>Contract liabilities</w:t>
      </w:r>
    </w:p>
    <w:tbl>
      <w:tblPr>
        <w:tblStyle w:val="TableGrid"/>
        <w:tblW w:w="9072" w:type="dxa"/>
        <w:tblLayout w:type="fixed"/>
        <w:tblLook w:val="04A0" w:firstRow="1" w:lastRow="0" w:firstColumn="1" w:lastColumn="0" w:noHBand="0" w:noVBand="1"/>
      </w:tblPr>
      <w:tblGrid>
        <w:gridCol w:w="7371"/>
        <w:gridCol w:w="1701"/>
      </w:tblGrid>
      <w:tr w:rsidR="003E5BF5" w:rsidRPr="002A3AD2" w14:paraId="26DE4CFB" w14:textId="77777777" w:rsidTr="001D0223">
        <w:trPr>
          <w:trHeight w:val="340"/>
        </w:trPr>
        <w:tc>
          <w:tcPr>
            <w:tcW w:w="7371" w:type="dxa"/>
            <w:shd w:val="clear" w:color="auto" w:fill="auto"/>
            <w:vAlign w:val="center"/>
            <w:hideMark/>
          </w:tcPr>
          <w:p w14:paraId="79E4F617" w14:textId="77777777" w:rsidR="003E5BF5" w:rsidRPr="000B6B73" w:rsidRDefault="003E5BF5" w:rsidP="00DE1921">
            <w:pPr>
              <w:rPr>
                <w:rFonts w:ascii="Arial" w:hAnsi="Arial" w:cs="Arial"/>
                <w:sz w:val="24"/>
                <w:szCs w:val="24"/>
                <w:lang w:eastAsia="en-AU"/>
              </w:rPr>
            </w:pPr>
          </w:p>
        </w:tc>
        <w:tc>
          <w:tcPr>
            <w:tcW w:w="1701" w:type="dxa"/>
            <w:shd w:val="clear" w:color="auto" w:fill="auto"/>
            <w:noWrap/>
            <w:vAlign w:val="center"/>
            <w:hideMark/>
          </w:tcPr>
          <w:p w14:paraId="5FC1BF8C" w14:textId="77777777" w:rsidR="003E5BF5" w:rsidRPr="002A3AD2" w:rsidRDefault="003E5BF5" w:rsidP="00DE1921">
            <w:pPr>
              <w:jc w:val="center"/>
              <w:rPr>
                <w:rFonts w:ascii="Arial" w:hAnsi="Arial" w:cs="Arial"/>
                <w:b/>
                <w:sz w:val="24"/>
                <w:szCs w:val="24"/>
                <w:lang w:eastAsia="en-AU"/>
              </w:rPr>
            </w:pPr>
            <w:r w:rsidRPr="002A3AD2">
              <w:rPr>
                <w:rFonts w:ascii="Arial" w:hAnsi="Arial" w:cs="Arial"/>
                <w:b/>
                <w:sz w:val="24"/>
                <w:szCs w:val="24"/>
                <w:lang w:eastAsia="en-AU"/>
              </w:rPr>
              <w:t>($ thousand)</w:t>
            </w:r>
          </w:p>
        </w:tc>
      </w:tr>
      <w:tr w:rsidR="003E5BF5" w:rsidRPr="002A3AD2" w14:paraId="293A23AF" w14:textId="77777777" w:rsidTr="001D0223">
        <w:trPr>
          <w:trHeight w:val="340"/>
        </w:trPr>
        <w:tc>
          <w:tcPr>
            <w:tcW w:w="7371" w:type="dxa"/>
            <w:shd w:val="clear" w:color="auto" w:fill="auto"/>
            <w:vAlign w:val="center"/>
            <w:hideMark/>
          </w:tcPr>
          <w:p w14:paraId="393BFAF9" w14:textId="77777777" w:rsidR="003E5BF5" w:rsidRPr="000B6B73" w:rsidRDefault="003E5BF5" w:rsidP="00DE1921">
            <w:pPr>
              <w:rPr>
                <w:rFonts w:ascii="Arial" w:hAnsi="Arial" w:cs="Arial"/>
                <w:b/>
                <w:sz w:val="24"/>
                <w:szCs w:val="24"/>
                <w:lang w:eastAsia="en-AU"/>
              </w:rPr>
            </w:pPr>
            <w:r w:rsidRPr="000B6B73">
              <w:rPr>
                <w:rFonts w:ascii="Arial" w:hAnsi="Arial" w:cs="Arial"/>
                <w:b/>
                <w:sz w:val="24"/>
                <w:szCs w:val="24"/>
                <w:lang w:eastAsia="en-AU"/>
              </w:rPr>
              <w:t> </w:t>
            </w:r>
          </w:p>
        </w:tc>
        <w:tc>
          <w:tcPr>
            <w:tcW w:w="1701" w:type="dxa"/>
            <w:shd w:val="clear" w:color="auto" w:fill="auto"/>
            <w:noWrap/>
            <w:vAlign w:val="center"/>
            <w:hideMark/>
          </w:tcPr>
          <w:p w14:paraId="4D17E85D" w14:textId="77777777" w:rsidR="003E5BF5" w:rsidRPr="002A3AD2" w:rsidRDefault="003E5BF5" w:rsidP="00DE1921">
            <w:pPr>
              <w:jc w:val="right"/>
              <w:rPr>
                <w:rFonts w:ascii="Arial" w:hAnsi="Arial" w:cs="Arial"/>
                <w:b/>
                <w:sz w:val="24"/>
                <w:szCs w:val="24"/>
                <w:lang w:eastAsia="en-AU"/>
              </w:rPr>
            </w:pPr>
            <w:r w:rsidRPr="002A3AD2">
              <w:rPr>
                <w:rFonts w:ascii="Arial" w:hAnsi="Arial" w:cs="Arial"/>
                <w:b/>
                <w:sz w:val="24"/>
                <w:szCs w:val="24"/>
                <w:lang w:eastAsia="en-AU"/>
              </w:rPr>
              <w:t>2020</w:t>
            </w:r>
          </w:p>
        </w:tc>
      </w:tr>
      <w:tr w:rsidR="003E5BF5" w:rsidRPr="002A3AD2" w14:paraId="23CC1498" w14:textId="77777777" w:rsidTr="001D0223">
        <w:trPr>
          <w:trHeight w:val="340"/>
        </w:trPr>
        <w:tc>
          <w:tcPr>
            <w:tcW w:w="7371" w:type="dxa"/>
            <w:shd w:val="clear" w:color="auto" w:fill="auto"/>
            <w:vAlign w:val="center"/>
            <w:hideMark/>
          </w:tcPr>
          <w:p w14:paraId="3677B9A1" w14:textId="77777777" w:rsidR="003E5BF5" w:rsidRPr="000B6B73" w:rsidRDefault="003E5BF5" w:rsidP="00604703">
            <w:pPr>
              <w:pStyle w:val="TableTextGreen"/>
              <w:rPr>
                <w:lang w:eastAsia="en-AU"/>
              </w:rPr>
            </w:pPr>
            <w:r w:rsidRPr="000B6B73">
              <w:t>Contract liabilities</w:t>
            </w:r>
          </w:p>
        </w:tc>
        <w:tc>
          <w:tcPr>
            <w:tcW w:w="1701" w:type="dxa"/>
            <w:shd w:val="clear" w:color="auto" w:fill="auto"/>
            <w:noWrap/>
            <w:vAlign w:val="center"/>
            <w:hideMark/>
          </w:tcPr>
          <w:p w14:paraId="2A193326" w14:textId="77777777" w:rsidR="003E5BF5" w:rsidRPr="002A3AD2" w:rsidRDefault="003E5BF5" w:rsidP="00DE1921">
            <w:pPr>
              <w:jc w:val="right"/>
              <w:rPr>
                <w:rFonts w:ascii="Arial" w:hAnsi="Arial" w:cs="Arial"/>
                <w:b/>
                <w:sz w:val="24"/>
                <w:szCs w:val="24"/>
                <w:lang w:eastAsia="en-AU"/>
              </w:rPr>
            </w:pPr>
          </w:p>
        </w:tc>
      </w:tr>
      <w:tr w:rsidR="003E5BF5" w:rsidRPr="002A3AD2" w14:paraId="6779A618" w14:textId="77777777" w:rsidTr="001D0223">
        <w:trPr>
          <w:trHeight w:val="340"/>
        </w:trPr>
        <w:tc>
          <w:tcPr>
            <w:tcW w:w="7371" w:type="dxa"/>
            <w:shd w:val="clear" w:color="auto" w:fill="auto"/>
            <w:vAlign w:val="center"/>
            <w:hideMark/>
          </w:tcPr>
          <w:p w14:paraId="673ED240" w14:textId="77777777" w:rsidR="003E5BF5" w:rsidRPr="000B6B73" w:rsidRDefault="003E5BF5" w:rsidP="00DE1921">
            <w:pPr>
              <w:rPr>
                <w:rFonts w:ascii="Arial" w:hAnsi="Arial" w:cs="Arial"/>
                <w:sz w:val="24"/>
                <w:szCs w:val="24"/>
                <w:lang w:eastAsia="en-AU"/>
              </w:rPr>
            </w:pPr>
            <w:r w:rsidRPr="000B6B73">
              <w:rPr>
                <w:rFonts w:ascii="Arial" w:hAnsi="Arial" w:cs="Arial"/>
                <w:sz w:val="24"/>
                <w:szCs w:val="24"/>
                <w:lang w:eastAsia="en-AU"/>
              </w:rPr>
              <w:t xml:space="preserve">Opening balance brought forward from 30 June 2019 adjusted for AASB 15 </w:t>
            </w:r>
            <w:r w:rsidRPr="000B6B73">
              <w:rPr>
                <w:rFonts w:ascii="Arial" w:hAnsi="Arial" w:cs="Arial"/>
                <w:sz w:val="24"/>
                <w:szCs w:val="24"/>
                <w:vertAlign w:val="superscript"/>
                <w:lang w:eastAsia="en-AU"/>
              </w:rPr>
              <w:t>(</w:t>
            </w:r>
            <w:proofErr w:type="spellStart"/>
            <w:r w:rsidRPr="000B6B73">
              <w:rPr>
                <w:rFonts w:ascii="Arial" w:hAnsi="Arial" w:cs="Arial"/>
                <w:sz w:val="24"/>
                <w:szCs w:val="24"/>
                <w:vertAlign w:val="superscript"/>
                <w:lang w:eastAsia="en-AU"/>
              </w:rPr>
              <w:t>i</w:t>
            </w:r>
            <w:proofErr w:type="spellEnd"/>
            <w:r w:rsidRPr="000B6B73">
              <w:rPr>
                <w:rFonts w:ascii="Arial" w:hAnsi="Arial" w:cs="Arial"/>
                <w:sz w:val="24"/>
                <w:szCs w:val="24"/>
                <w:vertAlign w:val="superscript"/>
                <w:lang w:eastAsia="en-AU"/>
              </w:rPr>
              <w:t>)</w:t>
            </w:r>
          </w:p>
        </w:tc>
        <w:tc>
          <w:tcPr>
            <w:tcW w:w="1701" w:type="dxa"/>
            <w:shd w:val="clear" w:color="auto" w:fill="auto"/>
            <w:noWrap/>
            <w:vAlign w:val="center"/>
            <w:hideMark/>
          </w:tcPr>
          <w:p w14:paraId="7014C294" w14:textId="77777777" w:rsidR="003E5BF5" w:rsidRPr="002A3AD2" w:rsidRDefault="003E5BF5" w:rsidP="00DE1921">
            <w:pPr>
              <w:jc w:val="right"/>
              <w:rPr>
                <w:rFonts w:ascii="Arial" w:hAnsi="Arial" w:cs="Arial"/>
                <w:sz w:val="24"/>
                <w:szCs w:val="24"/>
                <w:lang w:eastAsia="en-AU"/>
              </w:rPr>
            </w:pPr>
            <w:r w:rsidRPr="002A3AD2">
              <w:rPr>
                <w:rFonts w:ascii="Arial" w:hAnsi="Arial" w:cs="Arial"/>
                <w:sz w:val="24"/>
                <w:szCs w:val="24"/>
                <w:lang w:eastAsia="en-AU"/>
              </w:rPr>
              <w:t xml:space="preserve">41,112 </w:t>
            </w:r>
          </w:p>
        </w:tc>
      </w:tr>
      <w:tr w:rsidR="003E5BF5" w:rsidRPr="002A3AD2" w14:paraId="02484229" w14:textId="77777777" w:rsidTr="001D0223">
        <w:trPr>
          <w:trHeight w:val="340"/>
        </w:trPr>
        <w:tc>
          <w:tcPr>
            <w:tcW w:w="7371" w:type="dxa"/>
            <w:shd w:val="clear" w:color="auto" w:fill="auto"/>
            <w:vAlign w:val="center"/>
            <w:hideMark/>
          </w:tcPr>
          <w:p w14:paraId="40E5CA26" w14:textId="77777777" w:rsidR="003E5BF5" w:rsidRPr="000B6B73" w:rsidRDefault="003E5BF5" w:rsidP="00DE1921">
            <w:pPr>
              <w:rPr>
                <w:rFonts w:ascii="Arial" w:hAnsi="Arial" w:cs="Arial"/>
                <w:sz w:val="24"/>
                <w:szCs w:val="24"/>
                <w:lang w:eastAsia="en-AU"/>
              </w:rPr>
            </w:pPr>
            <w:r w:rsidRPr="000B6B73">
              <w:rPr>
                <w:rFonts w:ascii="Arial" w:hAnsi="Arial" w:cs="Arial"/>
                <w:sz w:val="24"/>
                <w:szCs w:val="24"/>
                <w:lang w:eastAsia="en-AU"/>
              </w:rPr>
              <w:t xml:space="preserve">Add: </w:t>
            </w:r>
            <w:proofErr w:type="spellStart"/>
            <w:r w:rsidRPr="000B6B73">
              <w:rPr>
                <w:rFonts w:ascii="Arial" w:hAnsi="Arial" w:cs="Arial"/>
                <w:sz w:val="24"/>
                <w:szCs w:val="24"/>
                <w:lang w:eastAsia="en-AU"/>
              </w:rPr>
              <w:t>MoG</w:t>
            </w:r>
            <w:proofErr w:type="spellEnd"/>
            <w:r w:rsidRPr="000B6B73">
              <w:rPr>
                <w:rFonts w:ascii="Arial" w:hAnsi="Arial" w:cs="Arial"/>
                <w:sz w:val="24"/>
                <w:szCs w:val="24"/>
                <w:lang w:eastAsia="en-AU"/>
              </w:rPr>
              <w:t xml:space="preserve"> additions</w:t>
            </w:r>
          </w:p>
        </w:tc>
        <w:tc>
          <w:tcPr>
            <w:tcW w:w="1701" w:type="dxa"/>
            <w:shd w:val="clear" w:color="auto" w:fill="auto"/>
            <w:noWrap/>
            <w:vAlign w:val="center"/>
            <w:hideMark/>
          </w:tcPr>
          <w:p w14:paraId="4A88EF11" w14:textId="77777777" w:rsidR="003E5BF5" w:rsidRPr="002A3AD2" w:rsidRDefault="003E5BF5" w:rsidP="00DE1921">
            <w:pPr>
              <w:jc w:val="right"/>
              <w:rPr>
                <w:rFonts w:ascii="Arial" w:hAnsi="Arial" w:cs="Arial"/>
                <w:sz w:val="24"/>
                <w:szCs w:val="24"/>
                <w:lang w:eastAsia="en-AU"/>
              </w:rPr>
            </w:pPr>
            <w:r w:rsidRPr="002A3AD2">
              <w:rPr>
                <w:rFonts w:ascii="Arial" w:hAnsi="Arial" w:cs="Arial"/>
                <w:sz w:val="24"/>
                <w:szCs w:val="24"/>
                <w:lang w:eastAsia="en-AU"/>
              </w:rPr>
              <w:t xml:space="preserve">29,380 </w:t>
            </w:r>
          </w:p>
        </w:tc>
      </w:tr>
      <w:tr w:rsidR="003E5BF5" w:rsidRPr="002A3AD2" w14:paraId="0ECBC86C" w14:textId="77777777" w:rsidTr="001D0223">
        <w:trPr>
          <w:trHeight w:val="340"/>
        </w:trPr>
        <w:tc>
          <w:tcPr>
            <w:tcW w:w="7371" w:type="dxa"/>
            <w:shd w:val="clear" w:color="auto" w:fill="auto"/>
            <w:vAlign w:val="center"/>
            <w:hideMark/>
          </w:tcPr>
          <w:p w14:paraId="291ED059" w14:textId="77777777" w:rsidR="003E5BF5" w:rsidRPr="000B6B73" w:rsidRDefault="003E5BF5" w:rsidP="00DE1921">
            <w:pPr>
              <w:rPr>
                <w:rFonts w:ascii="Arial" w:hAnsi="Arial" w:cs="Arial"/>
                <w:sz w:val="24"/>
                <w:szCs w:val="24"/>
                <w:lang w:eastAsia="en-AU"/>
              </w:rPr>
            </w:pPr>
            <w:r w:rsidRPr="000B6B73">
              <w:rPr>
                <w:rFonts w:ascii="Arial" w:hAnsi="Arial" w:cs="Arial"/>
                <w:sz w:val="24"/>
                <w:szCs w:val="24"/>
                <w:lang w:eastAsia="en-AU"/>
              </w:rPr>
              <w:t>Add: Payments received for performance obligations yet to be completed during the period</w:t>
            </w:r>
          </w:p>
        </w:tc>
        <w:tc>
          <w:tcPr>
            <w:tcW w:w="1701" w:type="dxa"/>
            <w:shd w:val="clear" w:color="auto" w:fill="auto"/>
            <w:noWrap/>
            <w:vAlign w:val="center"/>
            <w:hideMark/>
          </w:tcPr>
          <w:p w14:paraId="1E2BBBAE" w14:textId="77777777" w:rsidR="003E5BF5" w:rsidRPr="002A3AD2" w:rsidRDefault="003E5BF5" w:rsidP="00DE1921">
            <w:pPr>
              <w:jc w:val="right"/>
              <w:rPr>
                <w:rFonts w:ascii="Arial" w:hAnsi="Arial" w:cs="Arial"/>
                <w:sz w:val="24"/>
                <w:szCs w:val="24"/>
                <w:lang w:eastAsia="en-AU"/>
              </w:rPr>
            </w:pPr>
            <w:r w:rsidRPr="002A3AD2">
              <w:rPr>
                <w:rFonts w:ascii="Arial" w:hAnsi="Arial" w:cs="Arial"/>
                <w:sz w:val="24"/>
                <w:szCs w:val="24"/>
                <w:lang w:eastAsia="en-AU"/>
              </w:rPr>
              <w:t xml:space="preserve">35,565 </w:t>
            </w:r>
          </w:p>
        </w:tc>
      </w:tr>
      <w:tr w:rsidR="003E5BF5" w:rsidRPr="002A3AD2" w14:paraId="7EAF9ABA" w14:textId="77777777" w:rsidTr="001D0223">
        <w:trPr>
          <w:trHeight w:val="340"/>
        </w:trPr>
        <w:tc>
          <w:tcPr>
            <w:tcW w:w="7371" w:type="dxa"/>
            <w:tcBorders>
              <w:bottom w:val="single" w:sz="4" w:space="0" w:color="auto"/>
            </w:tcBorders>
            <w:shd w:val="clear" w:color="auto" w:fill="auto"/>
            <w:vAlign w:val="center"/>
            <w:hideMark/>
          </w:tcPr>
          <w:p w14:paraId="3AD49247" w14:textId="77777777" w:rsidR="003E5BF5" w:rsidRPr="000B6B73" w:rsidRDefault="003E5BF5" w:rsidP="00DE1921">
            <w:pPr>
              <w:rPr>
                <w:rFonts w:ascii="Arial" w:hAnsi="Arial" w:cs="Arial"/>
                <w:sz w:val="24"/>
                <w:szCs w:val="24"/>
                <w:lang w:eastAsia="en-AU"/>
              </w:rPr>
            </w:pPr>
            <w:r w:rsidRPr="000B6B73">
              <w:rPr>
                <w:rFonts w:ascii="Arial" w:hAnsi="Arial" w:cs="Arial"/>
                <w:sz w:val="24"/>
                <w:szCs w:val="24"/>
                <w:lang w:eastAsia="en-AU"/>
              </w:rPr>
              <w:t>Less: Revenue recognised in the reporting period for the completion of a performance obligation</w:t>
            </w:r>
          </w:p>
        </w:tc>
        <w:tc>
          <w:tcPr>
            <w:tcW w:w="1701" w:type="dxa"/>
            <w:tcBorders>
              <w:bottom w:val="single" w:sz="4" w:space="0" w:color="auto"/>
            </w:tcBorders>
            <w:shd w:val="clear" w:color="auto" w:fill="auto"/>
            <w:noWrap/>
            <w:hideMark/>
          </w:tcPr>
          <w:p w14:paraId="07FC8CBB" w14:textId="77777777" w:rsidR="003E5BF5" w:rsidRPr="002A3AD2" w:rsidRDefault="003E5BF5" w:rsidP="00DE1921">
            <w:pPr>
              <w:jc w:val="right"/>
              <w:rPr>
                <w:rFonts w:ascii="Arial" w:hAnsi="Arial" w:cs="Arial"/>
                <w:sz w:val="24"/>
                <w:szCs w:val="24"/>
                <w:lang w:eastAsia="en-AU"/>
              </w:rPr>
            </w:pPr>
            <w:r w:rsidRPr="002A3AD2">
              <w:rPr>
                <w:rFonts w:ascii="Arial" w:hAnsi="Arial" w:cs="Arial"/>
                <w:sz w:val="24"/>
                <w:szCs w:val="24"/>
                <w:lang w:eastAsia="en-AU"/>
              </w:rPr>
              <w:t>(32,508)</w:t>
            </w:r>
          </w:p>
        </w:tc>
      </w:tr>
      <w:tr w:rsidR="003E5BF5" w:rsidRPr="002A3AD2" w14:paraId="780D4CEA" w14:textId="77777777" w:rsidTr="001D0223">
        <w:trPr>
          <w:trHeight w:val="340"/>
        </w:trPr>
        <w:tc>
          <w:tcPr>
            <w:tcW w:w="7371" w:type="dxa"/>
            <w:tcBorders>
              <w:bottom w:val="single" w:sz="4" w:space="0" w:color="auto"/>
            </w:tcBorders>
            <w:shd w:val="clear" w:color="auto" w:fill="auto"/>
            <w:vAlign w:val="center"/>
            <w:hideMark/>
          </w:tcPr>
          <w:p w14:paraId="31CFC5A3" w14:textId="77777777" w:rsidR="003E5BF5" w:rsidRPr="000B6B73" w:rsidRDefault="003E5BF5" w:rsidP="00DE1921">
            <w:pPr>
              <w:rPr>
                <w:rFonts w:ascii="Arial" w:hAnsi="Arial" w:cs="Arial"/>
                <w:b/>
                <w:sz w:val="24"/>
                <w:szCs w:val="24"/>
                <w:lang w:eastAsia="en-AU"/>
              </w:rPr>
            </w:pPr>
            <w:r w:rsidRPr="000B6B73">
              <w:rPr>
                <w:rFonts w:ascii="Arial" w:hAnsi="Arial" w:cs="Arial"/>
                <w:b/>
                <w:sz w:val="24"/>
                <w:szCs w:val="24"/>
                <w:lang w:eastAsia="en-AU"/>
              </w:rPr>
              <w:t xml:space="preserve">Total contract liabilities </w:t>
            </w:r>
            <w:r w:rsidRPr="000B6B73">
              <w:rPr>
                <w:rFonts w:ascii="Arial" w:hAnsi="Arial" w:cs="Arial"/>
                <w:b/>
                <w:sz w:val="24"/>
                <w:szCs w:val="24"/>
                <w:vertAlign w:val="superscript"/>
                <w:lang w:eastAsia="en-AU"/>
              </w:rPr>
              <w:t>(ii)</w:t>
            </w:r>
          </w:p>
        </w:tc>
        <w:tc>
          <w:tcPr>
            <w:tcW w:w="1701" w:type="dxa"/>
            <w:tcBorders>
              <w:bottom w:val="single" w:sz="4" w:space="0" w:color="auto"/>
            </w:tcBorders>
            <w:shd w:val="clear" w:color="auto" w:fill="auto"/>
            <w:noWrap/>
            <w:vAlign w:val="center"/>
            <w:hideMark/>
          </w:tcPr>
          <w:p w14:paraId="0ADDBFA1" w14:textId="77777777" w:rsidR="003E5BF5" w:rsidRPr="002A3AD2" w:rsidRDefault="003E5BF5" w:rsidP="00DE1921">
            <w:pPr>
              <w:jc w:val="right"/>
              <w:rPr>
                <w:rFonts w:ascii="Arial" w:hAnsi="Arial" w:cs="Arial"/>
                <w:b/>
                <w:sz w:val="24"/>
                <w:szCs w:val="24"/>
                <w:lang w:eastAsia="en-AU"/>
              </w:rPr>
            </w:pPr>
            <w:r w:rsidRPr="002A3AD2">
              <w:rPr>
                <w:rFonts w:ascii="Arial" w:hAnsi="Arial" w:cs="Arial"/>
                <w:b/>
                <w:sz w:val="24"/>
                <w:szCs w:val="24"/>
                <w:lang w:eastAsia="en-AU"/>
              </w:rPr>
              <w:t xml:space="preserve">73,549 </w:t>
            </w:r>
          </w:p>
        </w:tc>
      </w:tr>
    </w:tbl>
    <w:p w14:paraId="10EFE6D4" w14:textId="77777777" w:rsidR="00C6630F" w:rsidRPr="000B6B73" w:rsidRDefault="00C6630F" w:rsidP="00C6630F">
      <w:pPr>
        <w:pStyle w:val="Note"/>
        <w:rPr>
          <w:rFonts w:ascii="Arial" w:hAnsi="Arial" w:cs="Arial"/>
          <w:sz w:val="24"/>
          <w:szCs w:val="24"/>
        </w:rPr>
      </w:pPr>
      <w:r w:rsidRPr="000B6B73">
        <w:rPr>
          <w:rFonts w:ascii="Arial" w:hAnsi="Arial" w:cs="Arial"/>
          <w:sz w:val="24"/>
          <w:szCs w:val="24"/>
        </w:rPr>
        <w:t>Notes:</w:t>
      </w:r>
    </w:p>
    <w:p w14:paraId="5E771D7E" w14:textId="77777777" w:rsidR="00C6630F" w:rsidRPr="000B6B73" w:rsidRDefault="00C6630F" w:rsidP="00610F5F">
      <w:pPr>
        <w:pStyle w:val="aaaNotenumberiiiiii"/>
        <w:numPr>
          <w:ilvl w:val="0"/>
          <w:numId w:val="99"/>
        </w:numPr>
      </w:pPr>
      <w:r w:rsidRPr="000B6B73">
        <w:t>The opening balance brought forward from 30 June 2019 is adjusted for AASB 15, refer to Note 9.6.5.3 for further details.</w:t>
      </w:r>
    </w:p>
    <w:p w14:paraId="1AB359BF" w14:textId="77777777" w:rsidR="00C6630F" w:rsidRPr="000B6B73" w:rsidRDefault="00C6630F" w:rsidP="00610F5F">
      <w:pPr>
        <w:pStyle w:val="aaaNotenumberiiiiii"/>
        <w:numPr>
          <w:ilvl w:val="0"/>
          <w:numId w:val="99"/>
        </w:numPr>
      </w:pPr>
      <w:r w:rsidRPr="000B6B73">
        <w:t>The above contract liabilities are classified as current.</w:t>
      </w:r>
    </w:p>
    <w:p w14:paraId="6979DAFD" w14:textId="77777777" w:rsidR="003E5BF5" w:rsidRDefault="003E5BF5" w:rsidP="00B96195">
      <w:pPr>
        <w:pStyle w:val="aaatyping"/>
      </w:pPr>
      <w:r w:rsidRPr="00131752">
        <w:t>Contract liabilities relat</w:t>
      </w:r>
      <w:r>
        <w:t>ing</w:t>
      </w:r>
      <w:r w:rsidRPr="00131752">
        <w:t xml:space="preserve"> to grant consideration was also received from the department of Environment, Land, Water and Planning (DELWP) in support of a number of services provided to the public. Grant income is recognised when the relevant services are provided to the public as described in the agreement. All of this balance is expected to be recognised as revenue in future financial years when the services are rendered in accordance with contractual obligations</w:t>
      </w:r>
      <w:r w:rsidRPr="00A209E1">
        <w:t>. </w:t>
      </w:r>
    </w:p>
    <w:p w14:paraId="02D3160C" w14:textId="77777777" w:rsidR="003E5BF5" w:rsidRDefault="003E5BF5" w:rsidP="00DE1921">
      <w:r>
        <w:br w:type="page"/>
      </w:r>
    </w:p>
    <w:p w14:paraId="770180AE" w14:textId="77777777" w:rsidR="003E5BF5" w:rsidRPr="00684B83" w:rsidRDefault="003E5BF5" w:rsidP="00610F5F">
      <w:pPr>
        <w:pStyle w:val="Heading2"/>
        <w:numPr>
          <w:ilvl w:val="1"/>
          <w:numId w:val="20"/>
        </w:numPr>
      </w:pPr>
      <w:bookmarkStart w:id="361" w:name="_Other_non-financial_assets"/>
      <w:bookmarkStart w:id="362" w:name="_Toc521963803"/>
      <w:bookmarkStart w:id="363" w:name="_Toc529192044"/>
      <w:bookmarkStart w:id="364" w:name="_Toc529197909"/>
      <w:bookmarkStart w:id="365" w:name="_Toc529197991"/>
      <w:bookmarkStart w:id="366" w:name="_Toc529198192"/>
      <w:bookmarkStart w:id="367" w:name="_Toc530386188"/>
      <w:bookmarkStart w:id="368" w:name="_Toc9344312"/>
      <w:bookmarkStart w:id="369" w:name="_Toc41469604"/>
      <w:bookmarkStart w:id="370" w:name="_Toc53420675"/>
      <w:bookmarkEnd w:id="361"/>
      <w:r w:rsidRPr="007444F0">
        <w:lastRenderedPageBreak/>
        <w:t>Other non-financial assets</w:t>
      </w:r>
      <w:bookmarkStart w:id="371" w:name="RANGE!A3:G13"/>
      <w:bookmarkEnd w:id="362"/>
      <w:bookmarkEnd w:id="363"/>
      <w:bookmarkEnd w:id="364"/>
      <w:bookmarkEnd w:id="365"/>
      <w:bookmarkEnd w:id="366"/>
      <w:bookmarkEnd w:id="367"/>
      <w:bookmarkEnd w:id="368"/>
      <w:bookmarkEnd w:id="369"/>
      <w:bookmarkEnd w:id="370"/>
      <w:bookmarkEnd w:id="371"/>
    </w:p>
    <w:tbl>
      <w:tblPr>
        <w:tblStyle w:val="TableGrid"/>
        <w:tblW w:w="9072" w:type="dxa"/>
        <w:tblLayout w:type="fixed"/>
        <w:tblLook w:val="04A0" w:firstRow="1" w:lastRow="0" w:firstColumn="1" w:lastColumn="0" w:noHBand="0" w:noVBand="1"/>
      </w:tblPr>
      <w:tblGrid>
        <w:gridCol w:w="6804"/>
        <w:gridCol w:w="1134"/>
        <w:gridCol w:w="1134"/>
      </w:tblGrid>
      <w:tr w:rsidR="003E5BF5" w:rsidRPr="00145E37" w14:paraId="13AF20A8" w14:textId="77777777" w:rsidTr="00C6630F">
        <w:trPr>
          <w:trHeight w:val="340"/>
        </w:trPr>
        <w:tc>
          <w:tcPr>
            <w:tcW w:w="6804" w:type="dxa"/>
            <w:shd w:val="clear" w:color="auto" w:fill="auto"/>
            <w:noWrap/>
            <w:hideMark/>
          </w:tcPr>
          <w:p w14:paraId="0FB28781" w14:textId="77777777" w:rsidR="003E5BF5" w:rsidRPr="00145E37" w:rsidRDefault="003E5BF5" w:rsidP="00DE1921">
            <w:pPr>
              <w:rPr>
                <w:rFonts w:ascii="Arial" w:hAnsi="Arial" w:cs="Arial"/>
                <w:sz w:val="24"/>
                <w:szCs w:val="24"/>
                <w:lang w:eastAsia="en-AU"/>
              </w:rPr>
            </w:pPr>
          </w:p>
        </w:tc>
        <w:tc>
          <w:tcPr>
            <w:tcW w:w="2268" w:type="dxa"/>
            <w:gridSpan w:val="2"/>
            <w:shd w:val="clear" w:color="auto" w:fill="auto"/>
            <w:noWrap/>
            <w:vAlign w:val="center"/>
            <w:hideMark/>
          </w:tcPr>
          <w:p w14:paraId="4F0526D2"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 thousand)</w:t>
            </w:r>
          </w:p>
        </w:tc>
      </w:tr>
      <w:tr w:rsidR="003E5BF5" w:rsidRPr="00145E37" w14:paraId="0340B43A" w14:textId="77777777" w:rsidTr="001D0223">
        <w:trPr>
          <w:trHeight w:val="340"/>
        </w:trPr>
        <w:tc>
          <w:tcPr>
            <w:tcW w:w="6804" w:type="dxa"/>
            <w:shd w:val="clear" w:color="auto" w:fill="auto"/>
            <w:noWrap/>
            <w:hideMark/>
          </w:tcPr>
          <w:p w14:paraId="408482C1"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 </w:t>
            </w:r>
          </w:p>
        </w:tc>
        <w:tc>
          <w:tcPr>
            <w:tcW w:w="1134" w:type="dxa"/>
            <w:shd w:val="clear" w:color="auto" w:fill="auto"/>
            <w:noWrap/>
            <w:vAlign w:val="center"/>
            <w:hideMark/>
          </w:tcPr>
          <w:p w14:paraId="36990905"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2020</w:t>
            </w:r>
          </w:p>
        </w:tc>
        <w:tc>
          <w:tcPr>
            <w:tcW w:w="1134" w:type="dxa"/>
            <w:shd w:val="clear" w:color="auto" w:fill="auto"/>
            <w:noWrap/>
            <w:vAlign w:val="center"/>
            <w:hideMark/>
          </w:tcPr>
          <w:p w14:paraId="27FBD5AA"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2019</w:t>
            </w:r>
          </w:p>
        </w:tc>
      </w:tr>
      <w:tr w:rsidR="003E5BF5" w:rsidRPr="00145E37" w14:paraId="6ABF920F" w14:textId="77777777" w:rsidTr="001D0223">
        <w:trPr>
          <w:trHeight w:val="340"/>
        </w:trPr>
        <w:tc>
          <w:tcPr>
            <w:tcW w:w="6804" w:type="dxa"/>
            <w:shd w:val="clear" w:color="auto" w:fill="auto"/>
            <w:noWrap/>
            <w:vAlign w:val="center"/>
            <w:hideMark/>
          </w:tcPr>
          <w:p w14:paraId="644EC3E6" w14:textId="77777777" w:rsidR="003E5BF5" w:rsidRPr="00145E37" w:rsidRDefault="003E5BF5" w:rsidP="00604703">
            <w:pPr>
              <w:pStyle w:val="TableTextGreen"/>
            </w:pPr>
            <w:r w:rsidRPr="00145E37">
              <w:t>Current</w:t>
            </w:r>
          </w:p>
        </w:tc>
        <w:tc>
          <w:tcPr>
            <w:tcW w:w="1134" w:type="dxa"/>
            <w:shd w:val="clear" w:color="auto" w:fill="auto"/>
            <w:noWrap/>
            <w:vAlign w:val="center"/>
            <w:hideMark/>
          </w:tcPr>
          <w:p w14:paraId="3CBE3C8D"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w:t>
            </w:r>
          </w:p>
        </w:tc>
        <w:tc>
          <w:tcPr>
            <w:tcW w:w="1134" w:type="dxa"/>
            <w:shd w:val="clear" w:color="auto" w:fill="auto"/>
            <w:noWrap/>
            <w:vAlign w:val="center"/>
            <w:hideMark/>
          </w:tcPr>
          <w:p w14:paraId="6925D093"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w:t>
            </w:r>
          </w:p>
        </w:tc>
      </w:tr>
      <w:tr w:rsidR="003E5BF5" w:rsidRPr="00145E37" w14:paraId="3B202FF0" w14:textId="77777777" w:rsidTr="001D0223">
        <w:trPr>
          <w:trHeight w:val="340"/>
        </w:trPr>
        <w:tc>
          <w:tcPr>
            <w:tcW w:w="6804" w:type="dxa"/>
            <w:shd w:val="clear" w:color="auto" w:fill="auto"/>
            <w:noWrap/>
            <w:vAlign w:val="center"/>
            <w:hideMark/>
          </w:tcPr>
          <w:p w14:paraId="5253308D"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 xml:space="preserve">Prepayments </w:t>
            </w:r>
          </w:p>
        </w:tc>
        <w:tc>
          <w:tcPr>
            <w:tcW w:w="1134" w:type="dxa"/>
            <w:shd w:val="clear" w:color="auto" w:fill="auto"/>
            <w:noWrap/>
            <w:vAlign w:val="center"/>
            <w:hideMark/>
          </w:tcPr>
          <w:p w14:paraId="5C7A68A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293,562 </w:t>
            </w:r>
          </w:p>
        </w:tc>
        <w:tc>
          <w:tcPr>
            <w:tcW w:w="1134" w:type="dxa"/>
            <w:shd w:val="clear" w:color="auto" w:fill="auto"/>
            <w:noWrap/>
            <w:vAlign w:val="center"/>
            <w:hideMark/>
          </w:tcPr>
          <w:p w14:paraId="5F0E1A9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15,476 </w:t>
            </w:r>
          </w:p>
        </w:tc>
      </w:tr>
      <w:tr w:rsidR="003E5BF5" w:rsidRPr="00145E37" w14:paraId="277C7804" w14:textId="77777777" w:rsidTr="001D0223">
        <w:trPr>
          <w:trHeight w:val="340"/>
        </w:trPr>
        <w:tc>
          <w:tcPr>
            <w:tcW w:w="6804" w:type="dxa"/>
            <w:shd w:val="clear" w:color="auto" w:fill="auto"/>
            <w:noWrap/>
            <w:vAlign w:val="center"/>
            <w:hideMark/>
          </w:tcPr>
          <w:p w14:paraId="5CDBCC6C"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 xml:space="preserve">Inventories </w:t>
            </w:r>
          </w:p>
        </w:tc>
        <w:tc>
          <w:tcPr>
            <w:tcW w:w="1134" w:type="dxa"/>
            <w:shd w:val="clear" w:color="auto" w:fill="auto"/>
            <w:noWrap/>
            <w:vAlign w:val="center"/>
            <w:hideMark/>
          </w:tcPr>
          <w:p w14:paraId="773E3AF3"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7,886 </w:t>
            </w:r>
          </w:p>
        </w:tc>
        <w:tc>
          <w:tcPr>
            <w:tcW w:w="1134" w:type="dxa"/>
            <w:shd w:val="clear" w:color="auto" w:fill="auto"/>
            <w:noWrap/>
            <w:vAlign w:val="center"/>
            <w:hideMark/>
          </w:tcPr>
          <w:p w14:paraId="296875D0"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 - </w:t>
            </w:r>
          </w:p>
        </w:tc>
      </w:tr>
      <w:tr w:rsidR="003E5BF5" w:rsidRPr="00145E37" w14:paraId="26D2D2D0" w14:textId="77777777" w:rsidTr="001D0223">
        <w:trPr>
          <w:trHeight w:val="340"/>
        </w:trPr>
        <w:tc>
          <w:tcPr>
            <w:tcW w:w="6804" w:type="dxa"/>
            <w:shd w:val="clear" w:color="auto" w:fill="auto"/>
            <w:noWrap/>
            <w:vAlign w:val="center"/>
            <w:hideMark/>
          </w:tcPr>
          <w:p w14:paraId="6D1507EB"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Total current other non-financial assets</w:t>
            </w:r>
          </w:p>
        </w:tc>
        <w:tc>
          <w:tcPr>
            <w:tcW w:w="1134" w:type="dxa"/>
            <w:shd w:val="clear" w:color="auto" w:fill="auto"/>
            <w:noWrap/>
            <w:vAlign w:val="center"/>
            <w:hideMark/>
          </w:tcPr>
          <w:p w14:paraId="5ADDB3BC"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301,448 </w:t>
            </w:r>
          </w:p>
        </w:tc>
        <w:tc>
          <w:tcPr>
            <w:tcW w:w="1134" w:type="dxa"/>
            <w:shd w:val="clear" w:color="auto" w:fill="auto"/>
            <w:noWrap/>
            <w:vAlign w:val="center"/>
            <w:hideMark/>
          </w:tcPr>
          <w:p w14:paraId="06452CC2"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15,476 </w:t>
            </w:r>
          </w:p>
        </w:tc>
      </w:tr>
      <w:tr w:rsidR="003E5BF5" w:rsidRPr="00145E37" w14:paraId="0A4B2865" w14:textId="77777777" w:rsidTr="001D0223">
        <w:trPr>
          <w:trHeight w:val="340"/>
        </w:trPr>
        <w:tc>
          <w:tcPr>
            <w:tcW w:w="6804" w:type="dxa"/>
            <w:shd w:val="clear" w:color="auto" w:fill="auto"/>
            <w:noWrap/>
            <w:vAlign w:val="center"/>
            <w:hideMark/>
          </w:tcPr>
          <w:p w14:paraId="00EE4238" w14:textId="77777777" w:rsidR="003E5BF5" w:rsidRPr="00145E37" w:rsidRDefault="003E5BF5" w:rsidP="00604703">
            <w:pPr>
              <w:pStyle w:val="TableTextGreen"/>
            </w:pPr>
            <w:r w:rsidRPr="00145E37">
              <w:t>Non-Current</w:t>
            </w:r>
          </w:p>
        </w:tc>
        <w:tc>
          <w:tcPr>
            <w:tcW w:w="1134" w:type="dxa"/>
            <w:shd w:val="clear" w:color="auto" w:fill="auto"/>
            <w:noWrap/>
            <w:vAlign w:val="center"/>
            <w:hideMark/>
          </w:tcPr>
          <w:p w14:paraId="4F6F0AD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w:t>
            </w:r>
          </w:p>
        </w:tc>
        <w:tc>
          <w:tcPr>
            <w:tcW w:w="1134" w:type="dxa"/>
            <w:shd w:val="clear" w:color="auto" w:fill="auto"/>
            <w:noWrap/>
            <w:vAlign w:val="center"/>
            <w:hideMark/>
          </w:tcPr>
          <w:p w14:paraId="720022FD"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w:t>
            </w:r>
          </w:p>
        </w:tc>
      </w:tr>
      <w:tr w:rsidR="003E5BF5" w:rsidRPr="00145E37" w14:paraId="0923AD83" w14:textId="77777777" w:rsidTr="001D0223">
        <w:trPr>
          <w:trHeight w:val="340"/>
        </w:trPr>
        <w:tc>
          <w:tcPr>
            <w:tcW w:w="6804" w:type="dxa"/>
            <w:shd w:val="clear" w:color="auto" w:fill="auto"/>
            <w:noWrap/>
            <w:vAlign w:val="center"/>
            <w:hideMark/>
          </w:tcPr>
          <w:p w14:paraId="00594E23"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 xml:space="preserve">Prepayments </w:t>
            </w:r>
            <w:r w:rsidRPr="00145E37">
              <w:rPr>
                <w:rFonts w:ascii="Arial" w:hAnsi="Arial" w:cs="Arial"/>
                <w:sz w:val="24"/>
                <w:szCs w:val="24"/>
                <w:vertAlign w:val="superscript"/>
                <w:lang w:eastAsia="en-AU"/>
              </w:rPr>
              <w:t>(</w:t>
            </w:r>
            <w:proofErr w:type="spellStart"/>
            <w:r w:rsidRPr="00145E37">
              <w:rPr>
                <w:rFonts w:ascii="Arial" w:hAnsi="Arial" w:cs="Arial"/>
                <w:sz w:val="24"/>
                <w:szCs w:val="24"/>
                <w:vertAlign w:val="superscript"/>
                <w:lang w:eastAsia="en-AU"/>
              </w:rPr>
              <w:t>i</w:t>
            </w:r>
            <w:proofErr w:type="spellEnd"/>
            <w:r w:rsidRPr="00145E37">
              <w:rPr>
                <w:rFonts w:ascii="Arial" w:hAnsi="Arial" w:cs="Arial"/>
                <w:sz w:val="24"/>
                <w:szCs w:val="24"/>
                <w:vertAlign w:val="superscript"/>
                <w:lang w:eastAsia="en-AU"/>
              </w:rPr>
              <w:t>)</w:t>
            </w:r>
          </w:p>
        </w:tc>
        <w:tc>
          <w:tcPr>
            <w:tcW w:w="1134" w:type="dxa"/>
            <w:shd w:val="clear" w:color="auto" w:fill="auto"/>
            <w:noWrap/>
            <w:vAlign w:val="center"/>
            <w:hideMark/>
          </w:tcPr>
          <w:p w14:paraId="7D1744F7"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55,441 </w:t>
            </w:r>
          </w:p>
        </w:tc>
        <w:tc>
          <w:tcPr>
            <w:tcW w:w="1134" w:type="dxa"/>
            <w:shd w:val="clear" w:color="auto" w:fill="auto"/>
            <w:noWrap/>
            <w:vAlign w:val="center"/>
            <w:hideMark/>
          </w:tcPr>
          <w:p w14:paraId="00BDB70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45,950 </w:t>
            </w:r>
          </w:p>
        </w:tc>
      </w:tr>
      <w:tr w:rsidR="003E5BF5" w:rsidRPr="00145E37" w14:paraId="4D35EAC2" w14:textId="77777777" w:rsidTr="001D0223">
        <w:trPr>
          <w:trHeight w:val="340"/>
        </w:trPr>
        <w:tc>
          <w:tcPr>
            <w:tcW w:w="6804" w:type="dxa"/>
            <w:tcBorders>
              <w:bottom w:val="single" w:sz="4" w:space="0" w:color="auto"/>
            </w:tcBorders>
            <w:shd w:val="clear" w:color="auto" w:fill="auto"/>
            <w:noWrap/>
            <w:vAlign w:val="center"/>
            <w:hideMark/>
          </w:tcPr>
          <w:p w14:paraId="38C43AE1"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Total non-current other non-financial assets</w:t>
            </w:r>
          </w:p>
        </w:tc>
        <w:tc>
          <w:tcPr>
            <w:tcW w:w="1134" w:type="dxa"/>
            <w:tcBorders>
              <w:bottom w:val="single" w:sz="4" w:space="0" w:color="auto"/>
            </w:tcBorders>
            <w:shd w:val="clear" w:color="auto" w:fill="auto"/>
            <w:noWrap/>
            <w:vAlign w:val="center"/>
            <w:hideMark/>
          </w:tcPr>
          <w:p w14:paraId="5B13A93C"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55,441 </w:t>
            </w:r>
          </w:p>
        </w:tc>
        <w:tc>
          <w:tcPr>
            <w:tcW w:w="1134" w:type="dxa"/>
            <w:tcBorders>
              <w:bottom w:val="single" w:sz="4" w:space="0" w:color="auto"/>
            </w:tcBorders>
            <w:shd w:val="clear" w:color="auto" w:fill="auto"/>
            <w:noWrap/>
            <w:vAlign w:val="center"/>
            <w:hideMark/>
          </w:tcPr>
          <w:p w14:paraId="1C503CB7"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45,950 </w:t>
            </w:r>
          </w:p>
        </w:tc>
      </w:tr>
      <w:tr w:rsidR="003E5BF5" w:rsidRPr="00145E37" w14:paraId="625C0ED0" w14:textId="77777777" w:rsidTr="001D0223">
        <w:trPr>
          <w:trHeight w:val="340"/>
        </w:trPr>
        <w:tc>
          <w:tcPr>
            <w:tcW w:w="6804" w:type="dxa"/>
            <w:tcBorders>
              <w:bottom w:val="single" w:sz="4" w:space="0" w:color="auto"/>
            </w:tcBorders>
            <w:shd w:val="clear" w:color="auto" w:fill="auto"/>
            <w:noWrap/>
            <w:vAlign w:val="center"/>
            <w:hideMark/>
          </w:tcPr>
          <w:p w14:paraId="287BE9BF"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Total other non-financial assets</w:t>
            </w:r>
          </w:p>
        </w:tc>
        <w:tc>
          <w:tcPr>
            <w:tcW w:w="1134" w:type="dxa"/>
            <w:tcBorders>
              <w:bottom w:val="single" w:sz="4" w:space="0" w:color="auto"/>
            </w:tcBorders>
            <w:shd w:val="clear" w:color="auto" w:fill="auto"/>
            <w:noWrap/>
            <w:vAlign w:val="center"/>
            <w:hideMark/>
          </w:tcPr>
          <w:p w14:paraId="34C312FD"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356,889 </w:t>
            </w:r>
          </w:p>
        </w:tc>
        <w:tc>
          <w:tcPr>
            <w:tcW w:w="1134" w:type="dxa"/>
            <w:tcBorders>
              <w:bottom w:val="single" w:sz="4" w:space="0" w:color="auto"/>
            </w:tcBorders>
            <w:shd w:val="clear" w:color="auto" w:fill="auto"/>
            <w:noWrap/>
            <w:vAlign w:val="center"/>
            <w:hideMark/>
          </w:tcPr>
          <w:p w14:paraId="3ABC3C24"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61,426 </w:t>
            </w:r>
          </w:p>
        </w:tc>
      </w:tr>
    </w:tbl>
    <w:p w14:paraId="6B289B2D" w14:textId="77777777" w:rsidR="00C6630F" w:rsidRPr="00145E37" w:rsidRDefault="00C6630F" w:rsidP="00C6630F">
      <w:pPr>
        <w:pStyle w:val="Note"/>
        <w:rPr>
          <w:rFonts w:ascii="Arial" w:hAnsi="Arial" w:cs="Arial"/>
          <w:sz w:val="24"/>
          <w:szCs w:val="24"/>
        </w:rPr>
      </w:pPr>
      <w:r w:rsidRPr="00145E37">
        <w:rPr>
          <w:rFonts w:ascii="Arial" w:hAnsi="Arial" w:cs="Arial"/>
          <w:sz w:val="24"/>
          <w:szCs w:val="24"/>
        </w:rPr>
        <w:t>Note:</w:t>
      </w:r>
    </w:p>
    <w:p w14:paraId="0FD5F5BA" w14:textId="77777777" w:rsidR="00C6630F" w:rsidRPr="00145E37" w:rsidRDefault="00C6630F" w:rsidP="00610F5F">
      <w:pPr>
        <w:pStyle w:val="aaaNotenumberiiiiii"/>
        <w:numPr>
          <w:ilvl w:val="0"/>
          <w:numId w:val="100"/>
        </w:numPr>
      </w:pPr>
      <w:r w:rsidRPr="00145E37">
        <w:t>The 2019 comparatives figures have been restated to reflect the adoption of AASB 1059, refer to Note 7.5.3 and Note 9.6.5.2 for further details.</w:t>
      </w:r>
    </w:p>
    <w:p w14:paraId="51CF77E2" w14:textId="77777777" w:rsidR="003E5BF5" w:rsidRDefault="003E5BF5" w:rsidP="00B96195">
      <w:pPr>
        <w:pStyle w:val="aaatyping"/>
      </w:pPr>
      <w:r w:rsidRPr="007444F0">
        <w:t>Other non-financial assets include</w:t>
      </w:r>
      <w:r>
        <w:t>:</w:t>
      </w:r>
    </w:p>
    <w:p w14:paraId="1F36FF62" w14:textId="77777777" w:rsidR="003E5BF5" w:rsidRDefault="003E5BF5" w:rsidP="00B96195">
      <w:pPr>
        <w:pStyle w:val="aaabullet"/>
      </w:pPr>
      <w:r w:rsidRPr="00A96286">
        <w:rPr>
          <w:b/>
        </w:rPr>
        <w:t>prepayments</w:t>
      </w:r>
      <w:r w:rsidRPr="007444F0">
        <w:t xml:space="preserve"> which represent payments in advance of receipt of goods or services or that part of expenditure made in one accounting period covering a term extending beyond that period.</w:t>
      </w:r>
    </w:p>
    <w:p w14:paraId="1BF003C2" w14:textId="77777777" w:rsidR="003E5BF5" w:rsidRDefault="003E5BF5" w:rsidP="00B96195">
      <w:pPr>
        <w:pStyle w:val="aaabullet"/>
      </w:pPr>
      <w:r w:rsidRPr="00A96286">
        <w:rPr>
          <w:b/>
          <w:bCs/>
        </w:rPr>
        <w:t>inventories</w:t>
      </w:r>
      <w:r>
        <w:t xml:space="preserve"> are for consumption in the ordinary course of business operations. Inventories are measured at the lower of cost and net realisable value. Basis used in assessing loss of service potential for inventories held for distribution include depreciated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w:t>
      </w:r>
    </w:p>
    <w:p w14:paraId="61CCE2F2" w14:textId="77777777" w:rsidR="003E5BF5" w:rsidRDefault="003E5BF5" w:rsidP="006667CC">
      <w:pPr>
        <w:pStyle w:val="ListParagraph"/>
        <w:numPr>
          <w:ilvl w:val="0"/>
          <w:numId w:val="7"/>
        </w:numPr>
        <w:ind w:left="284" w:hanging="227"/>
      </w:pPr>
      <w:r>
        <w:br w:type="page"/>
      </w:r>
    </w:p>
    <w:p w14:paraId="0C2B43F8" w14:textId="77777777" w:rsidR="003E5BF5" w:rsidRPr="00937268" w:rsidRDefault="003E5BF5" w:rsidP="00610F5F">
      <w:pPr>
        <w:pStyle w:val="Heading2"/>
        <w:numPr>
          <w:ilvl w:val="1"/>
          <w:numId w:val="20"/>
        </w:numPr>
      </w:pPr>
      <w:bookmarkStart w:id="372" w:name="_Other_provisions"/>
      <w:bookmarkStart w:id="373" w:name="_Toc521963804"/>
      <w:bookmarkStart w:id="374" w:name="_Toc529192045"/>
      <w:bookmarkStart w:id="375" w:name="_Toc529197910"/>
      <w:bookmarkStart w:id="376" w:name="_Toc529197992"/>
      <w:bookmarkStart w:id="377" w:name="_Toc529198193"/>
      <w:bookmarkStart w:id="378" w:name="_Toc530386189"/>
      <w:bookmarkStart w:id="379" w:name="_Toc9344313"/>
      <w:bookmarkStart w:id="380" w:name="_Toc41469605"/>
      <w:bookmarkStart w:id="381" w:name="_Toc53420676"/>
      <w:bookmarkEnd w:id="372"/>
      <w:r w:rsidRPr="007444F0">
        <w:lastRenderedPageBreak/>
        <w:t>Other provisions</w:t>
      </w:r>
      <w:bookmarkStart w:id="382" w:name="RANGE!A3:G16"/>
      <w:bookmarkStart w:id="383" w:name="RANGE!A4:C17"/>
      <w:bookmarkEnd w:id="373"/>
      <w:bookmarkEnd w:id="374"/>
      <w:bookmarkEnd w:id="375"/>
      <w:bookmarkEnd w:id="376"/>
      <w:bookmarkEnd w:id="377"/>
      <w:bookmarkEnd w:id="378"/>
      <w:bookmarkEnd w:id="379"/>
      <w:bookmarkEnd w:id="380"/>
      <w:bookmarkEnd w:id="381"/>
      <w:bookmarkEnd w:id="382"/>
      <w:bookmarkEnd w:id="383"/>
    </w:p>
    <w:tbl>
      <w:tblPr>
        <w:tblStyle w:val="TableGrid"/>
        <w:tblW w:w="9072" w:type="dxa"/>
        <w:tblLayout w:type="fixed"/>
        <w:tblLook w:val="04A0" w:firstRow="1" w:lastRow="0" w:firstColumn="1" w:lastColumn="0" w:noHBand="0" w:noVBand="1"/>
      </w:tblPr>
      <w:tblGrid>
        <w:gridCol w:w="6804"/>
        <w:gridCol w:w="1134"/>
        <w:gridCol w:w="1134"/>
      </w:tblGrid>
      <w:tr w:rsidR="003E5BF5" w:rsidRPr="00145E37" w14:paraId="703E2B6B" w14:textId="77777777" w:rsidTr="001D0223">
        <w:trPr>
          <w:trHeight w:val="340"/>
        </w:trPr>
        <w:tc>
          <w:tcPr>
            <w:tcW w:w="6804" w:type="dxa"/>
            <w:shd w:val="clear" w:color="auto" w:fill="auto"/>
            <w:noWrap/>
            <w:vAlign w:val="center"/>
            <w:hideMark/>
          </w:tcPr>
          <w:p w14:paraId="72DB43B4" w14:textId="77777777" w:rsidR="003E5BF5" w:rsidRPr="00145E37" w:rsidRDefault="003E5BF5" w:rsidP="00DE1921">
            <w:pPr>
              <w:rPr>
                <w:rFonts w:ascii="Arial" w:hAnsi="Arial" w:cs="Arial"/>
                <w:sz w:val="24"/>
                <w:szCs w:val="24"/>
                <w:lang w:eastAsia="en-AU"/>
              </w:rPr>
            </w:pPr>
          </w:p>
        </w:tc>
        <w:tc>
          <w:tcPr>
            <w:tcW w:w="1134" w:type="dxa"/>
            <w:gridSpan w:val="2"/>
            <w:shd w:val="clear" w:color="auto" w:fill="auto"/>
            <w:noWrap/>
            <w:vAlign w:val="center"/>
            <w:hideMark/>
          </w:tcPr>
          <w:p w14:paraId="60C13C96"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 thousand)</w:t>
            </w:r>
          </w:p>
        </w:tc>
      </w:tr>
      <w:tr w:rsidR="003E5BF5" w:rsidRPr="00145E37" w14:paraId="20B83D7D" w14:textId="77777777" w:rsidTr="001D0223">
        <w:trPr>
          <w:trHeight w:val="340"/>
        </w:trPr>
        <w:tc>
          <w:tcPr>
            <w:tcW w:w="6804" w:type="dxa"/>
            <w:shd w:val="clear" w:color="auto" w:fill="auto"/>
            <w:noWrap/>
            <w:vAlign w:val="center"/>
            <w:hideMark/>
          </w:tcPr>
          <w:p w14:paraId="1C149B6A" w14:textId="77777777" w:rsidR="003E5BF5" w:rsidRPr="00145E37" w:rsidRDefault="003E5BF5" w:rsidP="00604703">
            <w:pPr>
              <w:pStyle w:val="TableTextGreen"/>
              <w:rPr>
                <w:lang w:eastAsia="en-AU"/>
              </w:rPr>
            </w:pPr>
            <w:r w:rsidRPr="00145E37">
              <w:t>Current</w:t>
            </w:r>
          </w:p>
        </w:tc>
        <w:tc>
          <w:tcPr>
            <w:tcW w:w="1134" w:type="dxa"/>
            <w:shd w:val="clear" w:color="auto" w:fill="auto"/>
            <w:noWrap/>
            <w:vAlign w:val="center"/>
            <w:hideMark/>
          </w:tcPr>
          <w:p w14:paraId="5D9AE894"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2020</w:t>
            </w:r>
          </w:p>
        </w:tc>
        <w:tc>
          <w:tcPr>
            <w:tcW w:w="1134" w:type="dxa"/>
            <w:shd w:val="clear" w:color="auto" w:fill="auto"/>
            <w:noWrap/>
            <w:vAlign w:val="center"/>
            <w:hideMark/>
          </w:tcPr>
          <w:p w14:paraId="1AD96303"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2019</w:t>
            </w:r>
          </w:p>
        </w:tc>
      </w:tr>
      <w:tr w:rsidR="003E5BF5" w:rsidRPr="00145E37" w14:paraId="04D02C46" w14:textId="77777777" w:rsidTr="001D0223">
        <w:trPr>
          <w:trHeight w:val="340"/>
        </w:trPr>
        <w:tc>
          <w:tcPr>
            <w:tcW w:w="6804" w:type="dxa"/>
            <w:shd w:val="clear" w:color="auto" w:fill="auto"/>
            <w:noWrap/>
            <w:vAlign w:val="center"/>
            <w:hideMark/>
          </w:tcPr>
          <w:p w14:paraId="571B9E41"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Acquisition of land and buildings</w:t>
            </w:r>
          </w:p>
        </w:tc>
        <w:tc>
          <w:tcPr>
            <w:tcW w:w="1134" w:type="dxa"/>
            <w:shd w:val="clear" w:color="auto" w:fill="auto"/>
            <w:noWrap/>
            <w:vAlign w:val="center"/>
            <w:hideMark/>
          </w:tcPr>
          <w:p w14:paraId="59930625"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23,359 </w:t>
            </w:r>
          </w:p>
        </w:tc>
        <w:tc>
          <w:tcPr>
            <w:tcW w:w="1134" w:type="dxa"/>
            <w:shd w:val="clear" w:color="auto" w:fill="auto"/>
            <w:noWrap/>
            <w:vAlign w:val="center"/>
            <w:hideMark/>
          </w:tcPr>
          <w:p w14:paraId="785F8DC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13,211 </w:t>
            </w:r>
          </w:p>
        </w:tc>
      </w:tr>
      <w:tr w:rsidR="003E5BF5" w:rsidRPr="00145E37" w14:paraId="3F136AB2" w14:textId="77777777" w:rsidTr="001D0223">
        <w:trPr>
          <w:trHeight w:val="340"/>
        </w:trPr>
        <w:tc>
          <w:tcPr>
            <w:tcW w:w="6804" w:type="dxa"/>
            <w:shd w:val="clear" w:color="auto" w:fill="auto"/>
            <w:noWrap/>
            <w:vAlign w:val="center"/>
            <w:hideMark/>
          </w:tcPr>
          <w:p w14:paraId="413F2676"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Compensation payable to property owners</w:t>
            </w:r>
          </w:p>
        </w:tc>
        <w:tc>
          <w:tcPr>
            <w:tcW w:w="1134" w:type="dxa"/>
            <w:shd w:val="clear" w:color="auto" w:fill="auto"/>
            <w:noWrap/>
            <w:vAlign w:val="center"/>
            <w:hideMark/>
          </w:tcPr>
          <w:p w14:paraId="2EB35D1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136,618 </w:t>
            </w:r>
          </w:p>
        </w:tc>
        <w:tc>
          <w:tcPr>
            <w:tcW w:w="1134" w:type="dxa"/>
            <w:shd w:val="clear" w:color="auto" w:fill="auto"/>
            <w:noWrap/>
            <w:vAlign w:val="center"/>
            <w:hideMark/>
          </w:tcPr>
          <w:p w14:paraId="3206846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 - </w:t>
            </w:r>
          </w:p>
        </w:tc>
      </w:tr>
      <w:tr w:rsidR="003E5BF5" w:rsidRPr="00145E37" w14:paraId="17B65D0E" w14:textId="77777777" w:rsidTr="001D0223">
        <w:trPr>
          <w:trHeight w:val="340"/>
        </w:trPr>
        <w:tc>
          <w:tcPr>
            <w:tcW w:w="6804" w:type="dxa"/>
            <w:shd w:val="clear" w:color="auto" w:fill="auto"/>
            <w:noWrap/>
            <w:vAlign w:val="center"/>
            <w:hideMark/>
          </w:tcPr>
          <w:p w14:paraId="66F0F65E"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Other provisions</w:t>
            </w:r>
          </w:p>
        </w:tc>
        <w:tc>
          <w:tcPr>
            <w:tcW w:w="1134" w:type="dxa"/>
            <w:shd w:val="clear" w:color="auto" w:fill="auto"/>
            <w:noWrap/>
            <w:vAlign w:val="center"/>
            <w:hideMark/>
          </w:tcPr>
          <w:p w14:paraId="45286DD5"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25,400 </w:t>
            </w:r>
          </w:p>
        </w:tc>
        <w:tc>
          <w:tcPr>
            <w:tcW w:w="1134" w:type="dxa"/>
            <w:shd w:val="clear" w:color="auto" w:fill="auto"/>
            <w:noWrap/>
            <w:vAlign w:val="center"/>
            <w:hideMark/>
          </w:tcPr>
          <w:p w14:paraId="3B0A5D9E"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 - </w:t>
            </w:r>
          </w:p>
        </w:tc>
      </w:tr>
      <w:tr w:rsidR="003E5BF5" w:rsidRPr="00145E37" w14:paraId="22043799" w14:textId="77777777" w:rsidTr="001D0223">
        <w:trPr>
          <w:trHeight w:val="340"/>
        </w:trPr>
        <w:tc>
          <w:tcPr>
            <w:tcW w:w="6804" w:type="dxa"/>
            <w:shd w:val="clear" w:color="auto" w:fill="auto"/>
            <w:noWrap/>
            <w:vAlign w:val="center"/>
            <w:hideMark/>
          </w:tcPr>
          <w:p w14:paraId="4A1C8FB8"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Total current provision</w:t>
            </w:r>
          </w:p>
        </w:tc>
        <w:tc>
          <w:tcPr>
            <w:tcW w:w="1134" w:type="dxa"/>
            <w:shd w:val="clear" w:color="auto" w:fill="auto"/>
            <w:noWrap/>
            <w:vAlign w:val="center"/>
            <w:hideMark/>
          </w:tcPr>
          <w:p w14:paraId="44C25112"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185,377 </w:t>
            </w:r>
          </w:p>
        </w:tc>
        <w:tc>
          <w:tcPr>
            <w:tcW w:w="1134" w:type="dxa"/>
            <w:shd w:val="clear" w:color="auto" w:fill="auto"/>
            <w:noWrap/>
            <w:vAlign w:val="center"/>
            <w:hideMark/>
          </w:tcPr>
          <w:p w14:paraId="6DAD0776"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13,211 </w:t>
            </w:r>
          </w:p>
        </w:tc>
      </w:tr>
      <w:tr w:rsidR="003E5BF5" w:rsidRPr="00145E37" w14:paraId="4041D29F" w14:textId="77777777" w:rsidTr="001D0223">
        <w:trPr>
          <w:trHeight w:val="340"/>
        </w:trPr>
        <w:tc>
          <w:tcPr>
            <w:tcW w:w="6804" w:type="dxa"/>
            <w:shd w:val="clear" w:color="auto" w:fill="auto"/>
            <w:noWrap/>
            <w:vAlign w:val="center"/>
            <w:hideMark/>
          </w:tcPr>
          <w:p w14:paraId="16D5BAA2" w14:textId="77777777" w:rsidR="003E5BF5" w:rsidRPr="00145E37" w:rsidRDefault="003E5BF5" w:rsidP="00604703">
            <w:pPr>
              <w:pStyle w:val="TableTextGreen"/>
              <w:rPr>
                <w:lang w:eastAsia="en-AU"/>
              </w:rPr>
            </w:pPr>
            <w:r w:rsidRPr="00145E37">
              <w:t>Non-Current</w:t>
            </w:r>
          </w:p>
        </w:tc>
        <w:tc>
          <w:tcPr>
            <w:tcW w:w="1134" w:type="dxa"/>
            <w:shd w:val="clear" w:color="auto" w:fill="auto"/>
            <w:noWrap/>
            <w:vAlign w:val="center"/>
            <w:hideMark/>
          </w:tcPr>
          <w:p w14:paraId="2065885C"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w:t>
            </w:r>
          </w:p>
        </w:tc>
        <w:tc>
          <w:tcPr>
            <w:tcW w:w="1134" w:type="dxa"/>
            <w:shd w:val="clear" w:color="auto" w:fill="auto"/>
            <w:noWrap/>
            <w:vAlign w:val="center"/>
            <w:hideMark/>
          </w:tcPr>
          <w:p w14:paraId="722CEB0A"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w:t>
            </w:r>
          </w:p>
        </w:tc>
      </w:tr>
      <w:tr w:rsidR="003E5BF5" w:rsidRPr="00145E37" w14:paraId="341A3443" w14:textId="77777777" w:rsidTr="001D0223">
        <w:trPr>
          <w:trHeight w:val="340"/>
        </w:trPr>
        <w:tc>
          <w:tcPr>
            <w:tcW w:w="6804" w:type="dxa"/>
            <w:shd w:val="clear" w:color="auto" w:fill="auto"/>
            <w:noWrap/>
            <w:vAlign w:val="center"/>
            <w:hideMark/>
          </w:tcPr>
          <w:p w14:paraId="3839FE7F"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Acquisition of land and buildings</w:t>
            </w:r>
          </w:p>
        </w:tc>
        <w:tc>
          <w:tcPr>
            <w:tcW w:w="1134" w:type="dxa"/>
            <w:shd w:val="clear" w:color="auto" w:fill="auto"/>
            <w:noWrap/>
            <w:vAlign w:val="center"/>
            <w:hideMark/>
          </w:tcPr>
          <w:p w14:paraId="23E514B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2,371 </w:t>
            </w:r>
          </w:p>
        </w:tc>
        <w:tc>
          <w:tcPr>
            <w:tcW w:w="1134" w:type="dxa"/>
            <w:shd w:val="clear" w:color="auto" w:fill="auto"/>
            <w:noWrap/>
            <w:vAlign w:val="center"/>
            <w:hideMark/>
          </w:tcPr>
          <w:p w14:paraId="2658B4BB"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 - </w:t>
            </w:r>
          </w:p>
        </w:tc>
      </w:tr>
      <w:tr w:rsidR="003E5BF5" w:rsidRPr="00145E37" w14:paraId="4AC1E7B5" w14:textId="77777777" w:rsidTr="001D0223">
        <w:trPr>
          <w:trHeight w:val="340"/>
        </w:trPr>
        <w:tc>
          <w:tcPr>
            <w:tcW w:w="6804" w:type="dxa"/>
            <w:shd w:val="clear" w:color="auto" w:fill="auto"/>
            <w:noWrap/>
            <w:vAlign w:val="center"/>
            <w:hideMark/>
          </w:tcPr>
          <w:p w14:paraId="6C53CF5F"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Compensation payable to property owners</w:t>
            </w:r>
          </w:p>
        </w:tc>
        <w:tc>
          <w:tcPr>
            <w:tcW w:w="1134" w:type="dxa"/>
            <w:shd w:val="clear" w:color="auto" w:fill="auto"/>
            <w:noWrap/>
            <w:vAlign w:val="center"/>
            <w:hideMark/>
          </w:tcPr>
          <w:p w14:paraId="664751F7"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146 </w:t>
            </w:r>
          </w:p>
        </w:tc>
        <w:tc>
          <w:tcPr>
            <w:tcW w:w="1134" w:type="dxa"/>
            <w:shd w:val="clear" w:color="auto" w:fill="auto"/>
            <w:noWrap/>
            <w:vAlign w:val="center"/>
            <w:hideMark/>
          </w:tcPr>
          <w:p w14:paraId="592064A5"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 - </w:t>
            </w:r>
          </w:p>
        </w:tc>
      </w:tr>
      <w:tr w:rsidR="003E5BF5" w:rsidRPr="00145E37" w14:paraId="4343299C" w14:textId="77777777" w:rsidTr="001D0223">
        <w:trPr>
          <w:trHeight w:val="340"/>
        </w:trPr>
        <w:tc>
          <w:tcPr>
            <w:tcW w:w="6804" w:type="dxa"/>
            <w:shd w:val="clear" w:color="auto" w:fill="auto"/>
            <w:noWrap/>
            <w:vAlign w:val="center"/>
            <w:hideMark/>
          </w:tcPr>
          <w:p w14:paraId="0BE2D576"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Provision for the employee entitlements of rail operators</w:t>
            </w:r>
          </w:p>
        </w:tc>
        <w:tc>
          <w:tcPr>
            <w:tcW w:w="1134" w:type="dxa"/>
            <w:shd w:val="clear" w:color="auto" w:fill="auto"/>
            <w:noWrap/>
            <w:vAlign w:val="center"/>
            <w:hideMark/>
          </w:tcPr>
          <w:p w14:paraId="1823C70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538,640 </w:t>
            </w:r>
          </w:p>
        </w:tc>
        <w:tc>
          <w:tcPr>
            <w:tcW w:w="1134" w:type="dxa"/>
            <w:shd w:val="clear" w:color="auto" w:fill="auto"/>
            <w:noWrap/>
            <w:vAlign w:val="center"/>
            <w:hideMark/>
          </w:tcPr>
          <w:p w14:paraId="2F96B24E"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 - </w:t>
            </w:r>
          </w:p>
        </w:tc>
      </w:tr>
      <w:tr w:rsidR="003E5BF5" w:rsidRPr="00145E37" w14:paraId="41B97A69" w14:textId="77777777" w:rsidTr="001D0223">
        <w:trPr>
          <w:trHeight w:val="340"/>
        </w:trPr>
        <w:tc>
          <w:tcPr>
            <w:tcW w:w="6804" w:type="dxa"/>
            <w:shd w:val="clear" w:color="auto" w:fill="auto"/>
            <w:noWrap/>
            <w:vAlign w:val="center"/>
            <w:hideMark/>
          </w:tcPr>
          <w:p w14:paraId="02A02642"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Other provisions</w:t>
            </w:r>
          </w:p>
        </w:tc>
        <w:tc>
          <w:tcPr>
            <w:tcW w:w="1134" w:type="dxa"/>
            <w:shd w:val="clear" w:color="auto" w:fill="auto"/>
            <w:noWrap/>
            <w:vAlign w:val="center"/>
            <w:hideMark/>
          </w:tcPr>
          <w:p w14:paraId="54E86A9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1,856 </w:t>
            </w:r>
          </w:p>
        </w:tc>
        <w:tc>
          <w:tcPr>
            <w:tcW w:w="1134" w:type="dxa"/>
            <w:shd w:val="clear" w:color="auto" w:fill="auto"/>
            <w:noWrap/>
            <w:vAlign w:val="center"/>
            <w:hideMark/>
          </w:tcPr>
          <w:p w14:paraId="734F3BE3"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 - </w:t>
            </w:r>
          </w:p>
        </w:tc>
      </w:tr>
      <w:tr w:rsidR="003E5BF5" w:rsidRPr="00145E37" w14:paraId="10FD91B8" w14:textId="77777777" w:rsidTr="001D0223">
        <w:trPr>
          <w:trHeight w:val="340"/>
        </w:trPr>
        <w:tc>
          <w:tcPr>
            <w:tcW w:w="6804" w:type="dxa"/>
            <w:shd w:val="clear" w:color="auto" w:fill="auto"/>
            <w:noWrap/>
            <w:vAlign w:val="center"/>
            <w:hideMark/>
          </w:tcPr>
          <w:p w14:paraId="0399ED3C"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Total non-current provision</w:t>
            </w:r>
          </w:p>
        </w:tc>
        <w:tc>
          <w:tcPr>
            <w:tcW w:w="1134" w:type="dxa"/>
            <w:shd w:val="clear" w:color="auto" w:fill="auto"/>
            <w:noWrap/>
            <w:vAlign w:val="center"/>
            <w:hideMark/>
          </w:tcPr>
          <w:p w14:paraId="432EB72B"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543,013 </w:t>
            </w:r>
          </w:p>
        </w:tc>
        <w:tc>
          <w:tcPr>
            <w:tcW w:w="1134" w:type="dxa"/>
            <w:shd w:val="clear" w:color="auto" w:fill="auto"/>
            <w:noWrap/>
            <w:vAlign w:val="center"/>
            <w:hideMark/>
          </w:tcPr>
          <w:p w14:paraId="7235B214"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 - </w:t>
            </w:r>
          </w:p>
        </w:tc>
      </w:tr>
      <w:tr w:rsidR="003E5BF5" w:rsidRPr="00145E37" w14:paraId="0B0EA1D8" w14:textId="77777777" w:rsidTr="001D0223">
        <w:trPr>
          <w:trHeight w:val="340"/>
        </w:trPr>
        <w:tc>
          <w:tcPr>
            <w:tcW w:w="6804" w:type="dxa"/>
            <w:shd w:val="clear" w:color="auto" w:fill="auto"/>
            <w:noWrap/>
            <w:vAlign w:val="center"/>
            <w:hideMark/>
          </w:tcPr>
          <w:p w14:paraId="6ACBFB69"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Total other provisions</w:t>
            </w:r>
          </w:p>
        </w:tc>
        <w:tc>
          <w:tcPr>
            <w:tcW w:w="1134" w:type="dxa"/>
            <w:shd w:val="clear" w:color="auto" w:fill="auto"/>
            <w:noWrap/>
            <w:vAlign w:val="center"/>
            <w:hideMark/>
          </w:tcPr>
          <w:p w14:paraId="2E78D47F"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728,390 </w:t>
            </w:r>
          </w:p>
        </w:tc>
        <w:tc>
          <w:tcPr>
            <w:tcW w:w="1134" w:type="dxa"/>
            <w:shd w:val="clear" w:color="auto" w:fill="auto"/>
            <w:noWrap/>
            <w:vAlign w:val="center"/>
            <w:hideMark/>
          </w:tcPr>
          <w:p w14:paraId="6C7CCE99"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13,211 </w:t>
            </w:r>
          </w:p>
        </w:tc>
      </w:tr>
    </w:tbl>
    <w:p w14:paraId="4B63A26D" w14:textId="77777777" w:rsidR="003E5BF5" w:rsidRDefault="003E5BF5" w:rsidP="00DE1921">
      <w:pPr>
        <w:spacing w:after="0"/>
        <w:rPr>
          <w:lang w:eastAsia="en-AU"/>
        </w:rPr>
      </w:pPr>
    </w:p>
    <w:p w14:paraId="485B09F6" w14:textId="77777777" w:rsidR="003E5BF5" w:rsidRDefault="003E5BF5" w:rsidP="00DE1921">
      <w:pPr>
        <w:rPr>
          <w:bCs/>
        </w:rPr>
        <w:sectPr w:rsidR="003E5BF5" w:rsidSect="00DE1921">
          <w:type w:val="continuous"/>
          <w:pgSz w:w="11906" w:h="16838"/>
          <w:pgMar w:top="1701" w:right="1418" w:bottom="1418" w:left="1418" w:header="708" w:footer="708" w:gutter="0"/>
          <w:cols w:space="708"/>
          <w:docGrid w:linePitch="360"/>
        </w:sectPr>
      </w:pPr>
    </w:p>
    <w:p w14:paraId="6799FE74" w14:textId="77777777" w:rsidR="003E5BF5" w:rsidRPr="00DC0B1A" w:rsidRDefault="003E5BF5" w:rsidP="00B96195">
      <w:pPr>
        <w:pStyle w:val="aaatyping"/>
      </w:pPr>
      <w:r w:rsidRPr="00937268">
        <w:rPr>
          <w:b/>
        </w:rPr>
        <w:t>Other provisions</w:t>
      </w:r>
      <w:r w:rsidRPr="00DC0B1A">
        <w:t xml:space="preserve"> are recognised when the </w:t>
      </w:r>
      <w:r>
        <w:t>d</w:t>
      </w:r>
      <w:r w:rsidRPr="00DC0B1A">
        <w:t>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19C38B0C" w14:textId="77777777" w:rsidR="003E5BF5" w:rsidRPr="001B7589" w:rsidRDefault="003E5BF5" w:rsidP="00B96195">
      <w:pPr>
        <w:pStyle w:val="aaatyping"/>
      </w:pPr>
      <w:r w:rsidRPr="00DC0B1A">
        <w:t>Where a provision is measured using the cash flows estimated to settle the present obligation, its carrying amount is the present value of those cash flows, using a discount rate that reflects the time, value of money and risks specific to the provision</w:t>
      </w:r>
      <w:r>
        <w:t>.</w:t>
      </w:r>
    </w:p>
    <w:p w14:paraId="7DBA1C34" w14:textId="4194FB80" w:rsidR="008779BB" w:rsidRDefault="003E5BF5" w:rsidP="00B96195">
      <w:pPr>
        <w:pStyle w:val="aaatyping"/>
      </w:pPr>
      <w:r w:rsidRPr="001B7589">
        <w:rPr>
          <w:b/>
        </w:rPr>
        <w:t>Property acquisition liabilities</w:t>
      </w:r>
      <w:r w:rsidRPr="001B7589">
        <w:t xml:space="preserve"> are recognised in circumstances where the </w:t>
      </w:r>
      <w:r>
        <w:t>d</w:t>
      </w:r>
      <w:r w:rsidRPr="001B7589">
        <w:t>epartment has issued a notice of compulsory acquisition or has taken possession of a property for the purpose of commencing construction projects, and final settlement has not been achieved at the reporting date, the acquisition is recognised as a liability.</w:t>
      </w:r>
      <w:r w:rsidR="008779BB">
        <w:br w:type="page"/>
      </w:r>
    </w:p>
    <w:p w14:paraId="67D8F6B7" w14:textId="77777777" w:rsidR="003E5BF5" w:rsidRDefault="003E5BF5" w:rsidP="00CB3DFC">
      <w:pPr>
        <w:pStyle w:val="aaaboldheadingfinance"/>
      </w:pPr>
      <w:r>
        <w:lastRenderedPageBreak/>
        <w:t>Compensation payable to property owners</w:t>
      </w:r>
    </w:p>
    <w:p w14:paraId="097DC631" w14:textId="77777777" w:rsidR="003E5BF5" w:rsidRDefault="003E5BF5" w:rsidP="00B96195">
      <w:pPr>
        <w:pStyle w:val="aaatyping"/>
      </w:pPr>
      <w:r>
        <w:t>In circumstances where the department has caused financial loss to property owners due to planning overlays, developments or other works, the department may compensate the property owner for any loss. Where agreement has not been reached at the reporting date, the compensation is recognised as a liability. Wherever practicable, this liability is based on an independent valuation.</w:t>
      </w:r>
    </w:p>
    <w:p w14:paraId="3928F502" w14:textId="77777777" w:rsidR="003E5BF5" w:rsidRPr="009D330F" w:rsidRDefault="003E5BF5" w:rsidP="00B96195">
      <w:pPr>
        <w:pStyle w:val="aaatyping"/>
      </w:pPr>
      <w:r>
        <w:rPr>
          <w:b/>
          <w:bCs/>
        </w:rPr>
        <w:t>Provision for employee entitlements of rail operators</w:t>
      </w:r>
      <w:r>
        <w:t xml:space="preserve"> are recognised as the department assumes liabilities for the employee entitlements of the metropolitan rail operators.</w:t>
      </w:r>
      <w:bookmarkStart w:id="384" w:name="RANGE!A4:C16"/>
      <w:bookmarkEnd w:id="384"/>
      <w:r>
        <w:t xml:space="preserve"> The current portion of the operator employee entitlements represents amount expected to be paid to the operators within the next 12 months. The remainder of the operator employee entitlements provisions is disclosed as a non-current liability, as the contracts with the public transport operators are not expected to be terminated within the next 12 months. The non-current liability is measured at present value.</w:t>
      </w:r>
    </w:p>
    <w:p w14:paraId="734C11D5" w14:textId="77777777" w:rsidR="003E5BF5" w:rsidRDefault="003E5BF5" w:rsidP="00DE1921">
      <w:pPr>
        <w:spacing w:after="0"/>
        <w:rPr>
          <w:sz w:val="4"/>
          <w:szCs w:val="4"/>
        </w:rPr>
        <w:sectPr w:rsidR="003E5BF5" w:rsidSect="008A64CB">
          <w:type w:val="continuous"/>
          <w:pgSz w:w="11906" w:h="16838"/>
          <w:pgMar w:top="1701" w:right="1418" w:bottom="1418" w:left="1418" w:header="708" w:footer="708" w:gutter="0"/>
          <w:cols w:space="284"/>
          <w:docGrid w:linePitch="360"/>
        </w:sectPr>
      </w:pPr>
    </w:p>
    <w:p w14:paraId="48551CDA" w14:textId="77777777" w:rsidR="003E5BF5" w:rsidRPr="001B7589" w:rsidRDefault="003E5BF5" w:rsidP="00DE1921">
      <w:pPr>
        <w:spacing w:after="0"/>
        <w:rPr>
          <w:sz w:val="4"/>
          <w:szCs w:val="4"/>
        </w:rPr>
      </w:pPr>
    </w:p>
    <w:p w14:paraId="41A36EA1" w14:textId="2E6E9595" w:rsidR="003E5BF5" w:rsidRDefault="003E5BF5" w:rsidP="00EF5131">
      <w:pPr>
        <w:pStyle w:val="Heading5"/>
        <w:rPr>
          <w:rFonts w:asciiTheme="minorHAnsi" w:eastAsiaTheme="minorHAnsi" w:hAnsiTheme="minorHAnsi"/>
          <w:lang w:eastAsia="en-AU"/>
        </w:rPr>
      </w:pPr>
      <w:r w:rsidRPr="00E6686B">
        <w:t>Reconciliation of movements in other provisions</w:t>
      </w:r>
      <w:bookmarkStart w:id="385" w:name="RANGE!A16:C22"/>
      <w:bookmarkStart w:id="386" w:name="RANGE!A19:G25"/>
      <w:bookmarkStart w:id="387" w:name="RANGE!A20:C26"/>
      <w:bookmarkEnd w:id="385"/>
      <w:bookmarkEnd w:id="386"/>
      <w:bookmarkEnd w:id="387"/>
    </w:p>
    <w:tbl>
      <w:tblPr>
        <w:tblStyle w:val="TableGrid"/>
        <w:tblW w:w="9072" w:type="dxa"/>
        <w:tblBorders>
          <w:top w:val="single" w:sz="4" w:space="0" w:color="70AD47" w:themeColor="accent6"/>
          <w:left w:val="none" w:sz="0" w:space="0" w:color="auto"/>
          <w:bottom w:val="single" w:sz="4" w:space="0" w:color="70AD47" w:themeColor="accent6"/>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1134"/>
        <w:gridCol w:w="1134"/>
      </w:tblGrid>
      <w:tr w:rsidR="003E5BF5" w:rsidRPr="00145E37" w14:paraId="7B3C089C" w14:textId="77777777" w:rsidTr="00BB4752">
        <w:trPr>
          <w:trHeight w:val="340"/>
        </w:trPr>
        <w:tc>
          <w:tcPr>
            <w:tcW w:w="6804" w:type="dxa"/>
            <w:tcBorders>
              <w:top w:val="nil"/>
              <w:bottom w:val="nil"/>
            </w:tcBorders>
            <w:shd w:val="clear" w:color="auto" w:fill="auto"/>
            <w:noWrap/>
            <w:vAlign w:val="center"/>
            <w:hideMark/>
          </w:tcPr>
          <w:p w14:paraId="35D7FA12" w14:textId="77777777" w:rsidR="003E5BF5" w:rsidRPr="00145E37" w:rsidRDefault="003E5BF5" w:rsidP="00DE1921">
            <w:pPr>
              <w:rPr>
                <w:rFonts w:ascii="Arial" w:hAnsi="Arial" w:cs="Arial"/>
                <w:sz w:val="24"/>
                <w:szCs w:val="24"/>
                <w:lang w:eastAsia="en-AU"/>
              </w:rPr>
            </w:pPr>
          </w:p>
        </w:tc>
        <w:tc>
          <w:tcPr>
            <w:tcW w:w="1134" w:type="dxa"/>
            <w:gridSpan w:val="2"/>
            <w:tcBorders>
              <w:top w:val="single" w:sz="4" w:space="0" w:color="70AD47" w:themeColor="accent6"/>
              <w:bottom w:val="single" w:sz="4" w:space="0" w:color="70AD47" w:themeColor="accent6"/>
            </w:tcBorders>
            <w:shd w:val="clear" w:color="auto" w:fill="auto"/>
            <w:noWrap/>
            <w:vAlign w:val="center"/>
            <w:hideMark/>
          </w:tcPr>
          <w:p w14:paraId="39A14760"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 thousand)</w:t>
            </w:r>
          </w:p>
        </w:tc>
      </w:tr>
      <w:tr w:rsidR="003E5BF5" w:rsidRPr="00145E37" w14:paraId="09E82850" w14:textId="77777777" w:rsidTr="00BB4752">
        <w:trPr>
          <w:trHeight w:val="340"/>
        </w:trPr>
        <w:tc>
          <w:tcPr>
            <w:tcW w:w="6804" w:type="dxa"/>
            <w:tcBorders>
              <w:top w:val="nil"/>
              <w:bottom w:val="single" w:sz="4" w:space="0" w:color="70AD47" w:themeColor="accent6"/>
            </w:tcBorders>
            <w:shd w:val="clear" w:color="auto" w:fill="auto"/>
            <w:noWrap/>
            <w:vAlign w:val="center"/>
            <w:hideMark/>
          </w:tcPr>
          <w:p w14:paraId="4923479A" w14:textId="77777777" w:rsidR="003E5BF5" w:rsidRPr="00145E37" w:rsidRDefault="003E5BF5" w:rsidP="00DE1921">
            <w:pPr>
              <w:rPr>
                <w:rFonts w:ascii="Arial" w:hAnsi="Arial" w:cs="Arial"/>
                <w:sz w:val="24"/>
                <w:szCs w:val="24"/>
                <w:lang w:eastAsia="en-AU"/>
              </w:rPr>
            </w:pPr>
          </w:p>
        </w:tc>
        <w:tc>
          <w:tcPr>
            <w:tcW w:w="1134" w:type="dxa"/>
            <w:tcBorders>
              <w:top w:val="single" w:sz="4" w:space="0" w:color="70AD47" w:themeColor="accent6"/>
              <w:bottom w:val="single" w:sz="4" w:space="0" w:color="70AD47" w:themeColor="accent6"/>
            </w:tcBorders>
            <w:shd w:val="clear" w:color="auto" w:fill="auto"/>
            <w:noWrap/>
            <w:vAlign w:val="center"/>
            <w:hideMark/>
          </w:tcPr>
          <w:p w14:paraId="697EAD65"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2020</w:t>
            </w:r>
          </w:p>
        </w:tc>
        <w:tc>
          <w:tcPr>
            <w:tcW w:w="1134" w:type="dxa"/>
            <w:tcBorders>
              <w:top w:val="single" w:sz="4" w:space="0" w:color="70AD47" w:themeColor="accent6"/>
              <w:bottom w:val="single" w:sz="4" w:space="0" w:color="70AD47" w:themeColor="accent6"/>
            </w:tcBorders>
            <w:shd w:val="clear" w:color="auto" w:fill="auto"/>
            <w:noWrap/>
            <w:vAlign w:val="center"/>
            <w:hideMark/>
          </w:tcPr>
          <w:p w14:paraId="3BCEDC59"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2019</w:t>
            </w:r>
          </w:p>
        </w:tc>
      </w:tr>
      <w:tr w:rsidR="003E5BF5" w:rsidRPr="00145E37" w14:paraId="07714C67" w14:textId="77777777" w:rsidTr="00BB4752">
        <w:trPr>
          <w:trHeight w:val="340"/>
        </w:trPr>
        <w:tc>
          <w:tcPr>
            <w:tcW w:w="6804" w:type="dxa"/>
            <w:tcBorders>
              <w:top w:val="single" w:sz="4" w:space="0" w:color="70AD47" w:themeColor="accent6"/>
              <w:bottom w:val="dashed" w:sz="4" w:space="0" w:color="00BAC0"/>
            </w:tcBorders>
            <w:shd w:val="clear" w:color="auto" w:fill="auto"/>
            <w:noWrap/>
            <w:vAlign w:val="center"/>
            <w:hideMark/>
          </w:tcPr>
          <w:p w14:paraId="2A5F40B5"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Opening balance</w:t>
            </w:r>
          </w:p>
        </w:tc>
        <w:tc>
          <w:tcPr>
            <w:tcW w:w="1134" w:type="dxa"/>
            <w:tcBorders>
              <w:top w:val="single" w:sz="4" w:space="0" w:color="70AD47" w:themeColor="accent6"/>
              <w:bottom w:val="dashed" w:sz="4" w:space="0" w:color="00BAC0"/>
            </w:tcBorders>
            <w:shd w:val="clear" w:color="auto" w:fill="auto"/>
            <w:noWrap/>
            <w:vAlign w:val="center"/>
            <w:hideMark/>
          </w:tcPr>
          <w:p w14:paraId="234229B6"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13,211 </w:t>
            </w:r>
          </w:p>
        </w:tc>
        <w:tc>
          <w:tcPr>
            <w:tcW w:w="1134" w:type="dxa"/>
            <w:tcBorders>
              <w:top w:val="single" w:sz="4" w:space="0" w:color="70AD47" w:themeColor="accent6"/>
              <w:bottom w:val="dashed" w:sz="4" w:space="0" w:color="00BAC0"/>
            </w:tcBorders>
            <w:shd w:val="clear" w:color="auto" w:fill="auto"/>
            <w:noWrap/>
            <w:vAlign w:val="center"/>
            <w:hideMark/>
          </w:tcPr>
          <w:p w14:paraId="3C46E94F"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19,817 </w:t>
            </w:r>
          </w:p>
        </w:tc>
      </w:tr>
      <w:tr w:rsidR="003E5BF5" w:rsidRPr="00145E37" w14:paraId="0ADF0759" w14:textId="77777777" w:rsidTr="00BB4752">
        <w:trPr>
          <w:trHeight w:val="340"/>
        </w:trPr>
        <w:tc>
          <w:tcPr>
            <w:tcW w:w="6804" w:type="dxa"/>
            <w:tcBorders>
              <w:top w:val="dashed" w:sz="4" w:space="0" w:color="00BAC0"/>
              <w:bottom w:val="dashed" w:sz="4" w:space="0" w:color="70AD47" w:themeColor="accent6"/>
            </w:tcBorders>
            <w:shd w:val="clear" w:color="auto" w:fill="auto"/>
            <w:noWrap/>
            <w:vAlign w:val="center"/>
            <w:hideMark/>
          </w:tcPr>
          <w:p w14:paraId="208CB096"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Additional provisions recognised</w:t>
            </w:r>
          </w:p>
        </w:tc>
        <w:tc>
          <w:tcPr>
            <w:tcW w:w="1134" w:type="dxa"/>
            <w:tcBorders>
              <w:top w:val="dashed" w:sz="4" w:space="0" w:color="00BAC0"/>
              <w:bottom w:val="dashed" w:sz="4" w:space="0" w:color="70AD47" w:themeColor="accent6"/>
            </w:tcBorders>
            <w:shd w:val="clear" w:color="auto" w:fill="auto"/>
            <w:noWrap/>
            <w:vAlign w:val="center"/>
            <w:hideMark/>
          </w:tcPr>
          <w:p w14:paraId="505F2190"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808,365 </w:t>
            </w:r>
          </w:p>
        </w:tc>
        <w:tc>
          <w:tcPr>
            <w:tcW w:w="1134" w:type="dxa"/>
            <w:tcBorders>
              <w:top w:val="dashed" w:sz="4" w:space="0" w:color="00BAC0"/>
              <w:bottom w:val="dashed" w:sz="4" w:space="0" w:color="70AD47" w:themeColor="accent6"/>
            </w:tcBorders>
            <w:shd w:val="clear" w:color="auto" w:fill="auto"/>
            <w:noWrap/>
            <w:vAlign w:val="center"/>
            <w:hideMark/>
          </w:tcPr>
          <w:p w14:paraId="6C977E8E"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6,122 </w:t>
            </w:r>
          </w:p>
        </w:tc>
      </w:tr>
      <w:tr w:rsidR="003E5BF5" w:rsidRPr="00145E37" w14:paraId="167ECD15" w14:textId="77777777" w:rsidTr="00BB4752">
        <w:trPr>
          <w:trHeight w:val="340"/>
        </w:trPr>
        <w:tc>
          <w:tcPr>
            <w:tcW w:w="6804" w:type="dxa"/>
            <w:tcBorders>
              <w:top w:val="dashed" w:sz="4" w:space="0" w:color="70AD47" w:themeColor="accent6"/>
              <w:bottom w:val="dashed" w:sz="4" w:space="0" w:color="70AD47" w:themeColor="accent6"/>
            </w:tcBorders>
            <w:shd w:val="clear" w:color="auto" w:fill="auto"/>
            <w:noWrap/>
            <w:vAlign w:val="center"/>
            <w:hideMark/>
          </w:tcPr>
          <w:p w14:paraId="29299B41"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Reductions arising from payments / other sacrifices of future economic benefits</w:t>
            </w:r>
          </w:p>
        </w:tc>
        <w:tc>
          <w:tcPr>
            <w:tcW w:w="1134" w:type="dxa"/>
            <w:tcBorders>
              <w:top w:val="dashed" w:sz="4" w:space="0" w:color="70AD47" w:themeColor="accent6"/>
              <w:bottom w:val="dashed" w:sz="4" w:space="0" w:color="70AD47" w:themeColor="accent6"/>
            </w:tcBorders>
            <w:shd w:val="clear" w:color="auto" w:fill="auto"/>
            <w:noWrap/>
            <w:vAlign w:val="center"/>
            <w:hideMark/>
          </w:tcPr>
          <w:p w14:paraId="3C35CFC0"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(92,958)</w:t>
            </w:r>
          </w:p>
        </w:tc>
        <w:tc>
          <w:tcPr>
            <w:tcW w:w="1134" w:type="dxa"/>
            <w:tcBorders>
              <w:top w:val="dashed" w:sz="4" w:space="0" w:color="70AD47" w:themeColor="accent6"/>
              <w:bottom w:val="dashed" w:sz="4" w:space="0" w:color="70AD47" w:themeColor="accent6"/>
            </w:tcBorders>
            <w:shd w:val="clear" w:color="auto" w:fill="auto"/>
            <w:noWrap/>
            <w:vAlign w:val="center"/>
            <w:hideMark/>
          </w:tcPr>
          <w:p w14:paraId="776FC8F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(12,728)</w:t>
            </w:r>
          </w:p>
        </w:tc>
      </w:tr>
      <w:tr w:rsidR="003E5BF5" w:rsidRPr="00145E37" w14:paraId="5BA1FB2D" w14:textId="77777777" w:rsidTr="00BB4752">
        <w:trPr>
          <w:trHeight w:val="340"/>
        </w:trPr>
        <w:tc>
          <w:tcPr>
            <w:tcW w:w="6804" w:type="dxa"/>
            <w:tcBorders>
              <w:top w:val="dashed" w:sz="4" w:space="0" w:color="70AD47" w:themeColor="accent6"/>
              <w:bottom w:val="single" w:sz="4" w:space="0" w:color="70AD47" w:themeColor="accent6"/>
            </w:tcBorders>
            <w:shd w:val="clear" w:color="auto" w:fill="auto"/>
            <w:noWrap/>
            <w:vAlign w:val="center"/>
            <w:hideMark/>
          </w:tcPr>
          <w:p w14:paraId="198E6E94"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Additions/(reductions) from re-measurement or settlement without cost</w:t>
            </w:r>
          </w:p>
        </w:tc>
        <w:tc>
          <w:tcPr>
            <w:tcW w:w="1134" w:type="dxa"/>
            <w:tcBorders>
              <w:top w:val="dashed" w:sz="4" w:space="0" w:color="70AD47" w:themeColor="accent6"/>
              <w:bottom w:val="single" w:sz="4" w:space="0" w:color="70AD47" w:themeColor="accent6"/>
            </w:tcBorders>
            <w:shd w:val="clear" w:color="auto" w:fill="auto"/>
            <w:noWrap/>
            <w:vAlign w:val="center"/>
            <w:hideMark/>
          </w:tcPr>
          <w:p w14:paraId="0834F657"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(228)</w:t>
            </w:r>
          </w:p>
        </w:tc>
        <w:tc>
          <w:tcPr>
            <w:tcW w:w="1134" w:type="dxa"/>
            <w:tcBorders>
              <w:top w:val="dashed" w:sz="4" w:space="0" w:color="70AD47" w:themeColor="accent6"/>
              <w:bottom w:val="single" w:sz="4" w:space="0" w:color="70AD47" w:themeColor="accent6"/>
            </w:tcBorders>
            <w:shd w:val="clear" w:color="auto" w:fill="auto"/>
            <w:noWrap/>
            <w:vAlign w:val="center"/>
            <w:hideMark/>
          </w:tcPr>
          <w:p w14:paraId="72DB2186"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 - </w:t>
            </w:r>
          </w:p>
        </w:tc>
      </w:tr>
      <w:tr w:rsidR="003E5BF5" w:rsidRPr="00145E37" w14:paraId="29BDAD25" w14:textId="77777777" w:rsidTr="00BB4752">
        <w:trPr>
          <w:trHeight w:val="340"/>
        </w:trPr>
        <w:tc>
          <w:tcPr>
            <w:tcW w:w="6804" w:type="dxa"/>
            <w:tcBorders>
              <w:top w:val="single" w:sz="4" w:space="0" w:color="70AD47" w:themeColor="accent6"/>
              <w:bottom w:val="single" w:sz="4" w:space="0" w:color="70AD47" w:themeColor="accent6"/>
            </w:tcBorders>
            <w:shd w:val="clear" w:color="auto" w:fill="auto"/>
            <w:noWrap/>
            <w:vAlign w:val="center"/>
            <w:hideMark/>
          </w:tcPr>
          <w:p w14:paraId="702DE3F5"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Closing balance</w:t>
            </w:r>
          </w:p>
        </w:tc>
        <w:tc>
          <w:tcPr>
            <w:tcW w:w="1134" w:type="dxa"/>
            <w:tcBorders>
              <w:top w:val="single" w:sz="4" w:space="0" w:color="70AD47" w:themeColor="accent6"/>
              <w:bottom w:val="single" w:sz="4" w:space="0" w:color="70AD47" w:themeColor="accent6"/>
            </w:tcBorders>
            <w:shd w:val="clear" w:color="auto" w:fill="auto"/>
            <w:noWrap/>
            <w:vAlign w:val="center"/>
            <w:hideMark/>
          </w:tcPr>
          <w:p w14:paraId="2B8F1C73"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728,390 </w:t>
            </w:r>
          </w:p>
        </w:tc>
        <w:tc>
          <w:tcPr>
            <w:tcW w:w="1134" w:type="dxa"/>
            <w:tcBorders>
              <w:top w:val="single" w:sz="4" w:space="0" w:color="70AD47" w:themeColor="accent6"/>
              <w:bottom w:val="single" w:sz="4" w:space="0" w:color="70AD47" w:themeColor="accent6"/>
            </w:tcBorders>
            <w:shd w:val="clear" w:color="auto" w:fill="auto"/>
            <w:noWrap/>
            <w:vAlign w:val="center"/>
            <w:hideMark/>
          </w:tcPr>
          <w:p w14:paraId="2C4337BA"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 xml:space="preserve">13,211 </w:t>
            </w:r>
          </w:p>
        </w:tc>
      </w:tr>
    </w:tbl>
    <w:p w14:paraId="6CA81E5C" w14:textId="77777777" w:rsidR="003E5BF5" w:rsidRDefault="003E5BF5" w:rsidP="008779BB">
      <w:pPr>
        <w:pStyle w:val="aaatyping"/>
        <w:spacing w:before="120"/>
      </w:pPr>
      <w:r w:rsidRPr="001B7589">
        <w:t xml:space="preserve">When some or all of the economic </w:t>
      </w:r>
      <w:r w:rsidRPr="00C6630F">
        <w:t>benefits</w:t>
      </w:r>
      <w:r w:rsidRPr="001B7589">
        <w:t xml:space="preserve"> required to wholly settle a provision are expected to be received from a third party, the receivable is recognised as an asset if it is virtually certain that recovery will be received and the amount of the receivable can be measured reliably.</w:t>
      </w:r>
    </w:p>
    <w:p w14:paraId="08A198ED" w14:textId="77777777" w:rsidR="003E5BF5" w:rsidRPr="00AB4F64" w:rsidRDefault="003E5BF5" w:rsidP="00DE1921">
      <w:pPr>
        <w:sectPr w:rsidR="003E5BF5" w:rsidRPr="00AB4F64" w:rsidSect="00DE1921">
          <w:type w:val="continuous"/>
          <w:pgSz w:w="11906" w:h="16838"/>
          <w:pgMar w:top="1701" w:right="1418" w:bottom="1418" w:left="1418" w:header="708" w:footer="708" w:gutter="0"/>
          <w:cols w:space="708"/>
          <w:docGrid w:linePitch="360"/>
        </w:sectPr>
      </w:pPr>
    </w:p>
    <w:p w14:paraId="0CD849D5" w14:textId="77777777" w:rsidR="003E5BF5" w:rsidRPr="007444F0" w:rsidRDefault="003E5BF5" w:rsidP="00610F5F">
      <w:pPr>
        <w:pStyle w:val="Heading1"/>
        <w:numPr>
          <w:ilvl w:val="0"/>
          <w:numId w:val="20"/>
        </w:numPr>
        <w:sectPr w:rsidR="003E5BF5" w:rsidRPr="007444F0" w:rsidSect="00DE1921">
          <w:headerReference w:type="even" r:id="rId139"/>
          <w:headerReference w:type="default" r:id="rId140"/>
          <w:headerReference w:type="first" r:id="rId141"/>
          <w:pgSz w:w="11906" w:h="16838"/>
          <w:pgMar w:top="1701" w:right="1418" w:bottom="1418" w:left="1418" w:header="708" w:footer="708" w:gutter="0"/>
          <w:cols w:space="708"/>
          <w:docGrid w:linePitch="360"/>
        </w:sectPr>
      </w:pPr>
      <w:bookmarkStart w:id="388" w:name="_Toc55130695"/>
      <w:bookmarkEnd w:id="344"/>
      <w:r>
        <w:lastRenderedPageBreak/>
        <w:t>FINANCING</w:t>
      </w:r>
      <w:r w:rsidRPr="007444F0">
        <w:t xml:space="preserve"> OUR OPERATIONS</w:t>
      </w:r>
      <w:bookmarkEnd w:id="388"/>
    </w:p>
    <w:p w14:paraId="60953B61" w14:textId="77777777" w:rsidR="003E5BF5" w:rsidRPr="008110FD" w:rsidRDefault="003E5BF5" w:rsidP="008A0170">
      <w:pPr>
        <w:pStyle w:val="Heading2"/>
      </w:pPr>
      <w:r w:rsidRPr="008110FD">
        <w:t>Introduction</w:t>
      </w:r>
    </w:p>
    <w:p w14:paraId="5813F19F" w14:textId="77777777" w:rsidR="003E5BF5" w:rsidRPr="007444F0" w:rsidRDefault="003E5BF5" w:rsidP="00B96195">
      <w:pPr>
        <w:pStyle w:val="aaatyping"/>
      </w:pPr>
      <w:r w:rsidRPr="007444F0">
        <w:t xml:space="preserve">This section provides information on the sources of finance utilised by the </w:t>
      </w:r>
      <w:r>
        <w:t>d</w:t>
      </w:r>
      <w:r w:rsidRPr="007444F0">
        <w:t xml:space="preserve">epartment during its operations, along with interest expenses (the cost of borrowings) and other information related to financing activities of </w:t>
      </w:r>
      <w:r>
        <w:t>the department</w:t>
      </w:r>
      <w:r w:rsidRPr="007444F0">
        <w:t>.</w:t>
      </w:r>
    </w:p>
    <w:p w14:paraId="1029447F" w14:textId="0CE8D92A" w:rsidR="003E5BF5" w:rsidRDefault="003E5BF5" w:rsidP="00B96195">
      <w:pPr>
        <w:pStyle w:val="aaatyping"/>
      </w:pPr>
      <w:r w:rsidRPr="007444F0">
        <w:t>This section includes disclosures of balances that are financial instruments (such as borrowings and cash balances). Notes 8.1 and 8.3 provide additional, specific financial instrument disclosures.</w:t>
      </w:r>
    </w:p>
    <w:p w14:paraId="1A35668C" w14:textId="2875A704" w:rsidR="003E5BF5" w:rsidRDefault="003E5BF5" w:rsidP="002A4164">
      <w:pPr>
        <w:pStyle w:val="Heading2"/>
        <w:rPr>
          <w:noProof/>
        </w:rPr>
      </w:pPr>
      <w:r w:rsidRPr="002A4164">
        <w:t>Structure</w:t>
      </w:r>
      <w:r w:rsidRPr="007444F0">
        <w:fldChar w:fldCharType="begin"/>
      </w:r>
      <w:r w:rsidRPr="007444F0">
        <w:instrText xml:space="preserve"> TOC \t "Heading 2,1"  \b SEC7 \h </w:instrText>
      </w:r>
      <w:r w:rsidRPr="007444F0">
        <w:fldChar w:fldCharType="separate"/>
      </w:r>
    </w:p>
    <w:p w14:paraId="0DABDB5C" w14:textId="6146E701" w:rsidR="003E5BF5" w:rsidRDefault="009B2DDD" w:rsidP="00796906">
      <w:pPr>
        <w:pStyle w:val="TOC1"/>
        <w:rPr>
          <w:rFonts w:asciiTheme="minorHAnsi" w:hAnsiTheme="minorHAnsi"/>
          <w:sz w:val="22"/>
          <w:lang w:eastAsia="en-AU"/>
        </w:rPr>
      </w:pPr>
      <w:hyperlink w:anchor="_Toc53420581" w:history="1">
        <w:r w:rsidR="003E5BF5" w:rsidRPr="00683DBF">
          <w:rPr>
            <w:rStyle w:val="Hyperlink"/>
          </w:rPr>
          <w:t>7.1Borrowings</w:t>
        </w:r>
        <w:r w:rsidR="003E5BF5">
          <w:tab/>
        </w:r>
        <w:r w:rsidR="003E5BF5">
          <w:fldChar w:fldCharType="begin"/>
        </w:r>
        <w:r w:rsidR="003E5BF5">
          <w:instrText xml:space="preserve"> PAGEREF _Toc53420581 \h </w:instrText>
        </w:r>
        <w:r w:rsidR="003E5BF5">
          <w:fldChar w:fldCharType="separate"/>
        </w:r>
        <w:r w:rsidR="000C328E">
          <w:t>179</w:t>
        </w:r>
        <w:r w:rsidR="003E5BF5">
          <w:fldChar w:fldCharType="end"/>
        </w:r>
      </w:hyperlink>
    </w:p>
    <w:p w14:paraId="150B0B60" w14:textId="725C56ED" w:rsidR="003E5BF5" w:rsidRDefault="009B2DDD" w:rsidP="00796906">
      <w:pPr>
        <w:pStyle w:val="TOC1"/>
        <w:rPr>
          <w:rFonts w:asciiTheme="minorHAnsi" w:hAnsiTheme="minorHAnsi"/>
          <w:sz w:val="22"/>
          <w:lang w:eastAsia="en-AU"/>
        </w:rPr>
      </w:pPr>
      <w:hyperlink w:anchor="_Toc53420582" w:history="1">
        <w:r w:rsidR="003E5BF5" w:rsidRPr="00683DBF">
          <w:rPr>
            <w:rStyle w:val="Hyperlink"/>
          </w:rPr>
          <w:t>7.2Leases</w:t>
        </w:r>
        <w:r w:rsidR="003E5BF5">
          <w:tab/>
        </w:r>
        <w:r w:rsidR="003E5BF5">
          <w:fldChar w:fldCharType="begin"/>
        </w:r>
        <w:r w:rsidR="003E5BF5">
          <w:instrText xml:space="preserve"> PAGEREF _Toc53420582 \h </w:instrText>
        </w:r>
        <w:r w:rsidR="003E5BF5">
          <w:fldChar w:fldCharType="separate"/>
        </w:r>
        <w:r w:rsidR="000C328E">
          <w:t>185</w:t>
        </w:r>
        <w:r w:rsidR="003E5BF5">
          <w:fldChar w:fldCharType="end"/>
        </w:r>
      </w:hyperlink>
    </w:p>
    <w:p w14:paraId="63C02921" w14:textId="27279305" w:rsidR="003E5BF5" w:rsidRDefault="009B2DDD" w:rsidP="00796906">
      <w:pPr>
        <w:pStyle w:val="TOC1"/>
        <w:rPr>
          <w:rFonts w:asciiTheme="minorHAnsi" w:hAnsiTheme="minorHAnsi"/>
          <w:sz w:val="22"/>
          <w:lang w:eastAsia="en-AU"/>
        </w:rPr>
      </w:pPr>
      <w:hyperlink w:anchor="_Toc53420583" w:history="1">
        <w:r w:rsidR="003E5BF5" w:rsidRPr="00683DBF">
          <w:rPr>
            <w:rStyle w:val="Hyperlink"/>
          </w:rPr>
          <w:t>7.3Cash flow information and balances</w:t>
        </w:r>
        <w:r w:rsidR="003E5BF5">
          <w:tab/>
        </w:r>
        <w:r w:rsidR="003E5BF5">
          <w:fldChar w:fldCharType="begin"/>
        </w:r>
        <w:r w:rsidR="003E5BF5">
          <w:instrText xml:space="preserve"> PAGEREF _Toc53420583 \h </w:instrText>
        </w:r>
        <w:r w:rsidR="003E5BF5">
          <w:fldChar w:fldCharType="separate"/>
        </w:r>
        <w:r w:rsidR="000C328E">
          <w:t>196</w:t>
        </w:r>
        <w:r w:rsidR="003E5BF5">
          <w:fldChar w:fldCharType="end"/>
        </w:r>
      </w:hyperlink>
    </w:p>
    <w:p w14:paraId="5DF6CD39" w14:textId="4AD82DCD" w:rsidR="003E5BF5" w:rsidRDefault="009B2DDD" w:rsidP="00796906">
      <w:pPr>
        <w:pStyle w:val="TOC1"/>
        <w:rPr>
          <w:rFonts w:asciiTheme="minorHAnsi" w:hAnsiTheme="minorHAnsi"/>
          <w:sz w:val="22"/>
          <w:lang w:eastAsia="en-AU"/>
        </w:rPr>
      </w:pPr>
      <w:hyperlink w:anchor="_Toc53420584" w:history="1">
        <w:r w:rsidR="003E5BF5" w:rsidRPr="00683DBF">
          <w:rPr>
            <w:rStyle w:val="Hyperlink"/>
          </w:rPr>
          <w:t>7.4Trust account balances</w:t>
        </w:r>
        <w:r w:rsidR="003E5BF5">
          <w:tab/>
        </w:r>
        <w:r w:rsidR="003E5BF5">
          <w:fldChar w:fldCharType="begin"/>
        </w:r>
        <w:r w:rsidR="003E5BF5">
          <w:instrText xml:space="preserve"> PAGEREF _Toc53420584 \h </w:instrText>
        </w:r>
        <w:r w:rsidR="003E5BF5">
          <w:fldChar w:fldCharType="separate"/>
        </w:r>
        <w:r w:rsidR="000C328E">
          <w:t>199</w:t>
        </w:r>
        <w:r w:rsidR="003E5BF5">
          <w:fldChar w:fldCharType="end"/>
        </w:r>
      </w:hyperlink>
    </w:p>
    <w:p w14:paraId="602BF5AC" w14:textId="6EA502CA" w:rsidR="003E5BF5" w:rsidRDefault="009B2DDD" w:rsidP="00796906">
      <w:pPr>
        <w:pStyle w:val="TOC1"/>
        <w:rPr>
          <w:rFonts w:asciiTheme="minorHAnsi" w:hAnsiTheme="minorHAnsi"/>
          <w:sz w:val="22"/>
          <w:lang w:eastAsia="en-AU"/>
        </w:rPr>
      </w:pPr>
      <w:hyperlink w:anchor="_Toc53420585" w:history="1">
        <w:r w:rsidR="003E5BF5" w:rsidRPr="00683DBF">
          <w:rPr>
            <w:rStyle w:val="Hyperlink"/>
          </w:rPr>
          <w:t>7.5Commitments for expenditure</w:t>
        </w:r>
        <w:r w:rsidR="003E5BF5">
          <w:tab/>
        </w:r>
        <w:r w:rsidR="003E5BF5">
          <w:fldChar w:fldCharType="begin"/>
        </w:r>
        <w:r w:rsidR="003E5BF5">
          <w:instrText xml:space="preserve"> PAGEREF _Toc53420585 \h </w:instrText>
        </w:r>
        <w:r w:rsidR="003E5BF5">
          <w:fldChar w:fldCharType="separate"/>
        </w:r>
        <w:r w:rsidR="000C328E">
          <w:t>208</w:t>
        </w:r>
        <w:r w:rsidR="003E5BF5">
          <w:fldChar w:fldCharType="end"/>
        </w:r>
      </w:hyperlink>
    </w:p>
    <w:p w14:paraId="56BECDE7" w14:textId="60408D5C" w:rsidR="0058788F" w:rsidRDefault="003E5BF5" w:rsidP="00DE1921">
      <w:r w:rsidRPr="007444F0">
        <w:fldChar w:fldCharType="end"/>
      </w:r>
      <w:r w:rsidR="0058788F">
        <w:br w:type="page"/>
      </w:r>
    </w:p>
    <w:p w14:paraId="76DB0C96" w14:textId="216A7171" w:rsidR="003E5BF5" w:rsidRDefault="003E5BF5" w:rsidP="00610F5F">
      <w:pPr>
        <w:pStyle w:val="Heading2"/>
        <w:numPr>
          <w:ilvl w:val="1"/>
          <w:numId w:val="20"/>
        </w:numPr>
      </w:pPr>
      <w:bookmarkStart w:id="389" w:name="_Borrowings"/>
      <w:bookmarkStart w:id="390" w:name="_Toc521965472"/>
      <w:bookmarkStart w:id="391" w:name="_Toc529196577"/>
      <w:bookmarkStart w:id="392" w:name="_Toc529197618"/>
      <w:bookmarkStart w:id="393" w:name="_Toc529197779"/>
      <w:bookmarkStart w:id="394" w:name="_Toc529197911"/>
      <w:bookmarkStart w:id="395" w:name="_Toc529197951"/>
      <w:bookmarkStart w:id="396" w:name="_Toc529197993"/>
      <w:bookmarkStart w:id="397" w:name="_Toc529198016"/>
      <w:bookmarkStart w:id="398" w:name="_Toc529198174"/>
      <w:bookmarkStart w:id="399" w:name="_Toc529198181"/>
      <w:bookmarkStart w:id="400" w:name="_Toc530386190"/>
      <w:bookmarkStart w:id="401" w:name="_Toc53420581"/>
      <w:bookmarkStart w:id="402" w:name="_Toc53420680"/>
      <w:bookmarkStart w:id="403" w:name="SEC7"/>
      <w:bookmarkEnd w:id="389"/>
      <w:r w:rsidRPr="007444F0">
        <w:lastRenderedPageBreak/>
        <w:t>Borrowings</w:t>
      </w:r>
      <w:bookmarkEnd w:id="390"/>
      <w:bookmarkEnd w:id="391"/>
      <w:bookmarkEnd w:id="392"/>
      <w:bookmarkEnd w:id="393"/>
      <w:bookmarkEnd w:id="394"/>
      <w:bookmarkEnd w:id="395"/>
      <w:bookmarkEnd w:id="396"/>
      <w:bookmarkEnd w:id="397"/>
      <w:bookmarkEnd w:id="398"/>
      <w:bookmarkEnd w:id="399"/>
      <w:bookmarkEnd w:id="400"/>
      <w:bookmarkEnd w:id="401"/>
      <w:bookmarkEnd w:id="402"/>
    </w:p>
    <w:tbl>
      <w:tblPr>
        <w:tblStyle w:val="TableGrid"/>
        <w:tblW w:w="9879" w:type="dxa"/>
        <w:tblLook w:val="04A0" w:firstRow="1" w:lastRow="0" w:firstColumn="1" w:lastColumn="0" w:noHBand="0" w:noVBand="1"/>
      </w:tblPr>
      <w:tblGrid>
        <w:gridCol w:w="4743"/>
        <w:gridCol w:w="1284"/>
        <w:gridCol w:w="1284"/>
        <w:gridCol w:w="1284"/>
        <w:gridCol w:w="1284"/>
      </w:tblGrid>
      <w:tr w:rsidR="003E5BF5" w:rsidRPr="00145E37" w14:paraId="4E78C73B" w14:textId="77777777" w:rsidTr="006F713E">
        <w:trPr>
          <w:trHeight w:val="318"/>
        </w:trPr>
        <w:tc>
          <w:tcPr>
            <w:tcW w:w="2401" w:type="pct"/>
            <w:shd w:val="clear" w:color="auto" w:fill="auto"/>
            <w:noWrap/>
            <w:hideMark/>
          </w:tcPr>
          <w:p w14:paraId="4C7ED0A0" w14:textId="77777777" w:rsidR="003E5BF5" w:rsidRPr="00145E37" w:rsidRDefault="003E5BF5" w:rsidP="00DE1921">
            <w:pPr>
              <w:rPr>
                <w:rFonts w:ascii="Arial" w:hAnsi="Arial" w:cs="Arial"/>
                <w:sz w:val="24"/>
                <w:szCs w:val="24"/>
                <w:lang w:eastAsia="en-AU"/>
              </w:rPr>
            </w:pPr>
            <w:bookmarkStart w:id="404" w:name="RANGE!A4:G18"/>
            <w:bookmarkStart w:id="405" w:name="RANGE!A3:I19"/>
            <w:bookmarkEnd w:id="404"/>
            <w:bookmarkEnd w:id="405"/>
          </w:p>
        </w:tc>
        <w:tc>
          <w:tcPr>
            <w:tcW w:w="2599" w:type="pct"/>
            <w:gridSpan w:val="4"/>
            <w:shd w:val="clear" w:color="auto" w:fill="auto"/>
            <w:noWrap/>
            <w:vAlign w:val="center"/>
            <w:hideMark/>
          </w:tcPr>
          <w:p w14:paraId="381666F6"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 thousand)</w:t>
            </w:r>
          </w:p>
        </w:tc>
      </w:tr>
      <w:tr w:rsidR="003E5BF5" w:rsidRPr="00145E37" w14:paraId="345C58EE" w14:textId="77777777" w:rsidTr="006F713E">
        <w:trPr>
          <w:trHeight w:val="318"/>
        </w:trPr>
        <w:tc>
          <w:tcPr>
            <w:tcW w:w="2401" w:type="pct"/>
            <w:shd w:val="clear" w:color="auto" w:fill="auto"/>
            <w:noWrap/>
            <w:hideMark/>
          </w:tcPr>
          <w:p w14:paraId="0A7FF070" w14:textId="77777777" w:rsidR="003E5BF5" w:rsidRPr="00145E37" w:rsidRDefault="003E5BF5" w:rsidP="00DE1921">
            <w:pPr>
              <w:rPr>
                <w:rFonts w:ascii="Arial" w:hAnsi="Arial" w:cs="Arial"/>
                <w:sz w:val="24"/>
                <w:szCs w:val="24"/>
                <w:lang w:eastAsia="en-AU"/>
              </w:rPr>
            </w:pPr>
          </w:p>
        </w:tc>
        <w:tc>
          <w:tcPr>
            <w:tcW w:w="1300" w:type="pct"/>
            <w:gridSpan w:val="2"/>
            <w:shd w:val="clear" w:color="auto" w:fill="auto"/>
            <w:noWrap/>
            <w:vAlign w:val="bottom"/>
            <w:hideMark/>
          </w:tcPr>
          <w:p w14:paraId="6937AF88"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 xml:space="preserve">Consolidated </w:t>
            </w:r>
            <w:r w:rsidRPr="00145E37">
              <w:rPr>
                <w:rFonts w:ascii="Arial" w:hAnsi="Arial" w:cs="Arial"/>
                <w:b/>
                <w:sz w:val="24"/>
                <w:szCs w:val="24"/>
                <w:vertAlign w:val="superscript"/>
                <w:lang w:eastAsia="en-AU"/>
              </w:rPr>
              <w:t>(vi)</w:t>
            </w:r>
          </w:p>
        </w:tc>
        <w:tc>
          <w:tcPr>
            <w:tcW w:w="1300" w:type="pct"/>
            <w:gridSpan w:val="2"/>
            <w:shd w:val="clear" w:color="auto" w:fill="auto"/>
            <w:noWrap/>
            <w:vAlign w:val="bottom"/>
            <w:hideMark/>
          </w:tcPr>
          <w:p w14:paraId="1855F31D"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 xml:space="preserve">Parent </w:t>
            </w:r>
            <w:r w:rsidRPr="00145E37">
              <w:rPr>
                <w:rFonts w:ascii="Arial" w:hAnsi="Arial" w:cs="Arial"/>
                <w:b/>
                <w:sz w:val="24"/>
                <w:szCs w:val="24"/>
                <w:vertAlign w:val="superscript"/>
                <w:lang w:eastAsia="en-AU"/>
              </w:rPr>
              <w:t>(vi)</w:t>
            </w:r>
          </w:p>
        </w:tc>
      </w:tr>
      <w:tr w:rsidR="003E5BF5" w:rsidRPr="00145E37" w14:paraId="4C3FDFBD" w14:textId="77777777" w:rsidTr="006F713E">
        <w:trPr>
          <w:trHeight w:val="318"/>
        </w:trPr>
        <w:tc>
          <w:tcPr>
            <w:tcW w:w="2401" w:type="pct"/>
            <w:shd w:val="clear" w:color="auto" w:fill="auto"/>
            <w:noWrap/>
            <w:vAlign w:val="center"/>
            <w:hideMark/>
          </w:tcPr>
          <w:p w14:paraId="55CC818B" w14:textId="77777777" w:rsidR="003E5BF5" w:rsidRPr="00145E37" w:rsidRDefault="003E5BF5" w:rsidP="00DE1921">
            <w:pPr>
              <w:rPr>
                <w:rFonts w:ascii="Arial" w:hAnsi="Arial" w:cs="Arial"/>
                <w:b/>
                <w:sz w:val="24"/>
                <w:szCs w:val="24"/>
                <w:lang w:eastAsia="en-AU"/>
              </w:rPr>
            </w:pPr>
          </w:p>
        </w:tc>
        <w:tc>
          <w:tcPr>
            <w:tcW w:w="650" w:type="pct"/>
            <w:shd w:val="clear" w:color="auto" w:fill="auto"/>
            <w:noWrap/>
            <w:vAlign w:val="center"/>
            <w:hideMark/>
          </w:tcPr>
          <w:p w14:paraId="21929E98"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2020</w:t>
            </w:r>
          </w:p>
        </w:tc>
        <w:tc>
          <w:tcPr>
            <w:tcW w:w="650" w:type="pct"/>
            <w:shd w:val="clear" w:color="auto" w:fill="auto"/>
            <w:noWrap/>
            <w:vAlign w:val="center"/>
            <w:hideMark/>
          </w:tcPr>
          <w:p w14:paraId="10DAF2AE"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2019</w:t>
            </w:r>
          </w:p>
        </w:tc>
        <w:tc>
          <w:tcPr>
            <w:tcW w:w="650" w:type="pct"/>
            <w:shd w:val="clear" w:color="auto" w:fill="auto"/>
            <w:noWrap/>
            <w:vAlign w:val="center"/>
            <w:hideMark/>
          </w:tcPr>
          <w:p w14:paraId="3A9CBF4C"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2020</w:t>
            </w:r>
          </w:p>
        </w:tc>
        <w:tc>
          <w:tcPr>
            <w:tcW w:w="650" w:type="pct"/>
            <w:shd w:val="clear" w:color="auto" w:fill="auto"/>
            <w:noWrap/>
            <w:vAlign w:val="center"/>
            <w:hideMark/>
          </w:tcPr>
          <w:p w14:paraId="2A63A864"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2019</w:t>
            </w:r>
          </w:p>
        </w:tc>
      </w:tr>
      <w:tr w:rsidR="003E5BF5" w:rsidRPr="00145E37" w14:paraId="39E3D795" w14:textId="77777777" w:rsidTr="006F713E">
        <w:trPr>
          <w:trHeight w:val="318"/>
        </w:trPr>
        <w:tc>
          <w:tcPr>
            <w:tcW w:w="2401" w:type="pct"/>
            <w:shd w:val="clear" w:color="auto" w:fill="auto"/>
            <w:noWrap/>
            <w:vAlign w:val="center"/>
          </w:tcPr>
          <w:p w14:paraId="49774694" w14:textId="77777777" w:rsidR="003E5BF5" w:rsidRPr="00145E37" w:rsidRDefault="003E5BF5" w:rsidP="00604703">
            <w:pPr>
              <w:pStyle w:val="TableTextGreen"/>
            </w:pPr>
            <w:r w:rsidRPr="00145E37">
              <w:t>Current borrowings</w:t>
            </w:r>
          </w:p>
        </w:tc>
        <w:tc>
          <w:tcPr>
            <w:tcW w:w="650" w:type="pct"/>
            <w:shd w:val="clear" w:color="auto" w:fill="auto"/>
            <w:noWrap/>
            <w:vAlign w:val="center"/>
          </w:tcPr>
          <w:p w14:paraId="7FDB6B56" w14:textId="77777777" w:rsidR="003E5BF5" w:rsidRPr="00145E37" w:rsidRDefault="003E5BF5" w:rsidP="00DE1921">
            <w:pPr>
              <w:jc w:val="right"/>
              <w:rPr>
                <w:rFonts w:ascii="Arial" w:hAnsi="Arial" w:cs="Arial"/>
                <w:b/>
                <w:sz w:val="24"/>
                <w:szCs w:val="24"/>
                <w:lang w:eastAsia="en-AU"/>
              </w:rPr>
            </w:pPr>
          </w:p>
        </w:tc>
        <w:tc>
          <w:tcPr>
            <w:tcW w:w="650" w:type="pct"/>
            <w:shd w:val="clear" w:color="auto" w:fill="auto"/>
            <w:noWrap/>
            <w:vAlign w:val="center"/>
          </w:tcPr>
          <w:p w14:paraId="1FB1BEB3" w14:textId="77777777" w:rsidR="003E5BF5" w:rsidRPr="00145E37" w:rsidRDefault="003E5BF5" w:rsidP="00DE1921">
            <w:pPr>
              <w:jc w:val="right"/>
              <w:rPr>
                <w:rFonts w:ascii="Arial" w:hAnsi="Arial" w:cs="Arial"/>
                <w:b/>
                <w:sz w:val="24"/>
                <w:szCs w:val="24"/>
                <w:lang w:eastAsia="en-AU"/>
              </w:rPr>
            </w:pPr>
          </w:p>
        </w:tc>
        <w:tc>
          <w:tcPr>
            <w:tcW w:w="650" w:type="pct"/>
            <w:shd w:val="clear" w:color="auto" w:fill="auto"/>
            <w:noWrap/>
            <w:vAlign w:val="center"/>
          </w:tcPr>
          <w:p w14:paraId="00EDA7A2" w14:textId="77777777" w:rsidR="003E5BF5" w:rsidRPr="00145E37" w:rsidRDefault="003E5BF5" w:rsidP="00DE1921">
            <w:pPr>
              <w:jc w:val="right"/>
              <w:rPr>
                <w:rFonts w:ascii="Arial" w:hAnsi="Arial" w:cs="Arial"/>
                <w:b/>
                <w:sz w:val="24"/>
                <w:szCs w:val="24"/>
                <w:lang w:eastAsia="en-AU"/>
              </w:rPr>
            </w:pPr>
          </w:p>
        </w:tc>
        <w:tc>
          <w:tcPr>
            <w:tcW w:w="650" w:type="pct"/>
            <w:shd w:val="clear" w:color="auto" w:fill="auto"/>
            <w:noWrap/>
            <w:vAlign w:val="center"/>
          </w:tcPr>
          <w:p w14:paraId="384493B8" w14:textId="77777777" w:rsidR="003E5BF5" w:rsidRPr="00145E37" w:rsidRDefault="003E5BF5" w:rsidP="00DE1921">
            <w:pPr>
              <w:jc w:val="right"/>
              <w:rPr>
                <w:rFonts w:ascii="Arial" w:hAnsi="Arial" w:cs="Arial"/>
                <w:b/>
                <w:sz w:val="24"/>
                <w:szCs w:val="24"/>
                <w:lang w:eastAsia="en-AU"/>
              </w:rPr>
            </w:pPr>
          </w:p>
        </w:tc>
      </w:tr>
      <w:tr w:rsidR="003E5BF5" w:rsidRPr="00145E37" w14:paraId="28E98976" w14:textId="77777777" w:rsidTr="006F713E">
        <w:trPr>
          <w:trHeight w:val="318"/>
        </w:trPr>
        <w:tc>
          <w:tcPr>
            <w:tcW w:w="2401" w:type="pct"/>
            <w:shd w:val="clear" w:color="auto" w:fill="auto"/>
            <w:noWrap/>
            <w:vAlign w:val="center"/>
            <w:hideMark/>
          </w:tcPr>
          <w:p w14:paraId="74D236FB"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 xml:space="preserve">Lease liabilities (2019: Finance Lease) </w:t>
            </w:r>
            <w:r w:rsidRPr="00145E37">
              <w:rPr>
                <w:rFonts w:ascii="Arial" w:hAnsi="Arial" w:cs="Arial"/>
                <w:sz w:val="24"/>
                <w:szCs w:val="24"/>
                <w:vertAlign w:val="superscript"/>
                <w:lang w:eastAsia="en-AU"/>
              </w:rPr>
              <w:t>(</w:t>
            </w:r>
            <w:proofErr w:type="spellStart"/>
            <w:r w:rsidRPr="00145E37">
              <w:rPr>
                <w:rFonts w:ascii="Arial" w:hAnsi="Arial" w:cs="Arial"/>
                <w:sz w:val="24"/>
                <w:szCs w:val="24"/>
                <w:vertAlign w:val="superscript"/>
                <w:lang w:eastAsia="en-AU"/>
              </w:rPr>
              <w:t>i</w:t>
            </w:r>
            <w:proofErr w:type="spellEnd"/>
            <w:r w:rsidRPr="00145E37">
              <w:rPr>
                <w:rFonts w:ascii="Arial" w:hAnsi="Arial" w:cs="Arial"/>
                <w:sz w:val="24"/>
                <w:szCs w:val="24"/>
                <w:vertAlign w:val="superscript"/>
                <w:lang w:eastAsia="en-AU"/>
              </w:rPr>
              <w:t>)(vi)</w:t>
            </w:r>
          </w:p>
        </w:tc>
        <w:tc>
          <w:tcPr>
            <w:tcW w:w="650" w:type="pct"/>
            <w:shd w:val="clear" w:color="auto" w:fill="auto"/>
            <w:noWrap/>
            <w:vAlign w:val="center"/>
            <w:hideMark/>
          </w:tcPr>
          <w:p w14:paraId="3F9442CE"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18,923 </w:t>
            </w:r>
          </w:p>
        </w:tc>
        <w:tc>
          <w:tcPr>
            <w:tcW w:w="650" w:type="pct"/>
            <w:shd w:val="clear" w:color="auto" w:fill="auto"/>
            <w:noWrap/>
            <w:vAlign w:val="center"/>
            <w:hideMark/>
          </w:tcPr>
          <w:p w14:paraId="35D3A9FC"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1,283 </w:t>
            </w:r>
          </w:p>
        </w:tc>
        <w:tc>
          <w:tcPr>
            <w:tcW w:w="650" w:type="pct"/>
            <w:shd w:val="clear" w:color="auto" w:fill="auto"/>
            <w:noWrap/>
            <w:vAlign w:val="center"/>
            <w:hideMark/>
          </w:tcPr>
          <w:p w14:paraId="142CF786"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27,762 </w:t>
            </w:r>
          </w:p>
        </w:tc>
        <w:tc>
          <w:tcPr>
            <w:tcW w:w="650" w:type="pct"/>
            <w:shd w:val="clear" w:color="auto" w:fill="auto"/>
            <w:noWrap/>
            <w:vAlign w:val="center"/>
            <w:hideMark/>
          </w:tcPr>
          <w:p w14:paraId="1C20946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1,283 </w:t>
            </w:r>
          </w:p>
        </w:tc>
      </w:tr>
      <w:tr w:rsidR="003E5BF5" w:rsidRPr="00145E37" w14:paraId="1D29A401" w14:textId="77777777" w:rsidTr="006F713E">
        <w:trPr>
          <w:trHeight w:val="318"/>
        </w:trPr>
        <w:tc>
          <w:tcPr>
            <w:tcW w:w="2401" w:type="pct"/>
            <w:shd w:val="clear" w:color="auto" w:fill="auto"/>
            <w:noWrap/>
            <w:vAlign w:val="center"/>
            <w:hideMark/>
          </w:tcPr>
          <w:p w14:paraId="224B3222"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Service concession financial liability</w:t>
            </w:r>
            <w:r w:rsidRPr="00145E37">
              <w:rPr>
                <w:rFonts w:ascii="Arial" w:hAnsi="Arial" w:cs="Arial"/>
                <w:sz w:val="24"/>
                <w:szCs w:val="24"/>
                <w:vertAlign w:val="superscript"/>
                <w:lang w:eastAsia="en-AU"/>
              </w:rPr>
              <w:t xml:space="preserve"> (iii)(iv)</w:t>
            </w:r>
          </w:p>
        </w:tc>
        <w:tc>
          <w:tcPr>
            <w:tcW w:w="650" w:type="pct"/>
            <w:shd w:val="clear" w:color="auto" w:fill="auto"/>
            <w:noWrap/>
            <w:vAlign w:val="center"/>
            <w:hideMark/>
          </w:tcPr>
          <w:p w14:paraId="39CF1A05"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51,903 </w:t>
            </w:r>
          </w:p>
        </w:tc>
        <w:tc>
          <w:tcPr>
            <w:tcW w:w="650" w:type="pct"/>
            <w:shd w:val="clear" w:color="auto" w:fill="auto"/>
            <w:noWrap/>
            <w:vAlign w:val="center"/>
            <w:hideMark/>
          </w:tcPr>
          <w:p w14:paraId="5925F93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30,867 </w:t>
            </w:r>
          </w:p>
        </w:tc>
        <w:tc>
          <w:tcPr>
            <w:tcW w:w="650" w:type="pct"/>
            <w:shd w:val="clear" w:color="auto" w:fill="auto"/>
            <w:noWrap/>
            <w:vAlign w:val="center"/>
            <w:hideMark/>
          </w:tcPr>
          <w:p w14:paraId="20D6DD85"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51,903 </w:t>
            </w:r>
          </w:p>
        </w:tc>
        <w:tc>
          <w:tcPr>
            <w:tcW w:w="650" w:type="pct"/>
            <w:shd w:val="clear" w:color="auto" w:fill="auto"/>
            <w:noWrap/>
            <w:vAlign w:val="center"/>
            <w:hideMark/>
          </w:tcPr>
          <w:p w14:paraId="6DFCFAAD"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30,867 </w:t>
            </w:r>
          </w:p>
        </w:tc>
      </w:tr>
      <w:tr w:rsidR="003E5BF5" w:rsidRPr="00145E37" w14:paraId="0E6BCE93" w14:textId="77777777" w:rsidTr="006F713E">
        <w:trPr>
          <w:trHeight w:val="318"/>
        </w:trPr>
        <w:tc>
          <w:tcPr>
            <w:tcW w:w="2401" w:type="pct"/>
            <w:shd w:val="clear" w:color="auto" w:fill="auto"/>
            <w:noWrap/>
            <w:vAlign w:val="center"/>
            <w:hideMark/>
          </w:tcPr>
          <w:p w14:paraId="6185763B"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Advances from government</w:t>
            </w:r>
            <w:r w:rsidRPr="00145E37">
              <w:rPr>
                <w:rFonts w:ascii="Arial" w:hAnsi="Arial" w:cs="Arial"/>
                <w:sz w:val="24"/>
                <w:szCs w:val="24"/>
                <w:vertAlign w:val="superscript"/>
                <w:lang w:eastAsia="en-AU"/>
              </w:rPr>
              <w:t xml:space="preserve"> (ii)</w:t>
            </w:r>
          </w:p>
        </w:tc>
        <w:tc>
          <w:tcPr>
            <w:tcW w:w="650" w:type="pct"/>
            <w:shd w:val="clear" w:color="auto" w:fill="auto"/>
            <w:noWrap/>
            <w:vAlign w:val="center"/>
            <w:hideMark/>
          </w:tcPr>
          <w:p w14:paraId="5815944B"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232,984 </w:t>
            </w:r>
          </w:p>
        </w:tc>
        <w:tc>
          <w:tcPr>
            <w:tcW w:w="650" w:type="pct"/>
            <w:shd w:val="clear" w:color="auto" w:fill="auto"/>
            <w:noWrap/>
            <w:vAlign w:val="center"/>
            <w:hideMark/>
          </w:tcPr>
          <w:p w14:paraId="4EE6D970"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35,883 </w:t>
            </w:r>
          </w:p>
        </w:tc>
        <w:tc>
          <w:tcPr>
            <w:tcW w:w="650" w:type="pct"/>
            <w:shd w:val="clear" w:color="auto" w:fill="auto"/>
            <w:noWrap/>
            <w:vAlign w:val="center"/>
            <w:hideMark/>
          </w:tcPr>
          <w:p w14:paraId="09306F83"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232,984 </w:t>
            </w:r>
          </w:p>
        </w:tc>
        <w:tc>
          <w:tcPr>
            <w:tcW w:w="650" w:type="pct"/>
            <w:shd w:val="clear" w:color="auto" w:fill="auto"/>
            <w:noWrap/>
            <w:vAlign w:val="center"/>
            <w:hideMark/>
          </w:tcPr>
          <w:p w14:paraId="2232B58E"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35,883 </w:t>
            </w:r>
          </w:p>
        </w:tc>
      </w:tr>
      <w:tr w:rsidR="003E5BF5" w:rsidRPr="00145E37" w14:paraId="527ACBF5" w14:textId="77777777" w:rsidTr="006F713E">
        <w:trPr>
          <w:trHeight w:val="318"/>
        </w:trPr>
        <w:tc>
          <w:tcPr>
            <w:tcW w:w="2401" w:type="pct"/>
            <w:shd w:val="clear" w:color="auto" w:fill="auto"/>
            <w:noWrap/>
            <w:vAlign w:val="center"/>
            <w:hideMark/>
          </w:tcPr>
          <w:p w14:paraId="58E0838A"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Advances from non-public sector</w:t>
            </w:r>
            <w:r w:rsidRPr="00145E37">
              <w:rPr>
                <w:rFonts w:ascii="Arial" w:hAnsi="Arial" w:cs="Arial"/>
                <w:sz w:val="24"/>
                <w:szCs w:val="24"/>
                <w:vertAlign w:val="superscript"/>
                <w:lang w:eastAsia="en-AU"/>
              </w:rPr>
              <w:t xml:space="preserve"> (iv)(vii)</w:t>
            </w:r>
          </w:p>
        </w:tc>
        <w:tc>
          <w:tcPr>
            <w:tcW w:w="650" w:type="pct"/>
            <w:shd w:val="clear" w:color="auto" w:fill="auto"/>
            <w:noWrap/>
            <w:vAlign w:val="center"/>
            <w:hideMark/>
          </w:tcPr>
          <w:p w14:paraId="3823306E"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8,839 </w:t>
            </w:r>
          </w:p>
        </w:tc>
        <w:tc>
          <w:tcPr>
            <w:tcW w:w="650" w:type="pct"/>
            <w:shd w:val="clear" w:color="auto" w:fill="auto"/>
            <w:noWrap/>
            <w:vAlign w:val="center"/>
            <w:hideMark/>
          </w:tcPr>
          <w:p w14:paraId="3905C9F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650" w:type="pct"/>
            <w:shd w:val="clear" w:color="auto" w:fill="auto"/>
            <w:noWrap/>
            <w:vAlign w:val="center"/>
            <w:hideMark/>
          </w:tcPr>
          <w:p w14:paraId="2E2313E7"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650" w:type="pct"/>
            <w:shd w:val="clear" w:color="auto" w:fill="auto"/>
            <w:noWrap/>
            <w:vAlign w:val="center"/>
            <w:hideMark/>
          </w:tcPr>
          <w:p w14:paraId="12BF5DB6"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r>
      <w:tr w:rsidR="003E5BF5" w:rsidRPr="00145E37" w14:paraId="4A055C79" w14:textId="77777777" w:rsidTr="006F713E">
        <w:trPr>
          <w:trHeight w:val="318"/>
        </w:trPr>
        <w:tc>
          <w:tcPr>
            <w:tcW w:w="2401" w:type="pct"/>
            <w:shd w:val="clear" w:color="auto" w:fill="auto"/>
            <w:noWrap/>
            <w:vAlign w:val="center"/>
            <w:hideMark/>
          </w:tcPr>
          <w:p w14:paraId="4BEF62B9"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Total current borrowings</w:t>
            </w:r>
          </w:p>
        </w:tc>
        <w:tc>
          <w:tcPr>
            <w:tcW w:w="650" w:type="pct"/>
            <w:shd w:val="clear" w:color="auto" w:fill="auto"/>
            <w:noWrap/>
            <w:vAlign w:val="center"/>
            <w:hideMark/>
          </w:tcPr>
          <w:p w14:paraId="39AB428D"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312,649 </w:t>
            </w:r>
          </w:p>
        </w:tc>
        <w:tc>
          <w:tcPr>
            <w:tcW w:w="650" w:type="pct"/>
            <w:shd w:val="clear" w:color="auto" w:fill="auto"/>
            <w:noWrap/>
            <w:vAlign w:val="center"/>
            <w:hideMark/>
          </w:tcPr>
          <w:p w14:paraId="7A24F1E9"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68,033 </w:t>
            </w:r>
          </w:p>
        </w:tc>
        <w:tc>
          <w:tcPr>
            <w:tcW w:w="650" w:type="pct"/>
            <w:shd w:val="clear" w:color="auto" w:fill="auto"/>
            <w:noWrap/>
            <w:vAlign w:val="center"/>
            <w:hideMark/>
          </w:tcPr>
          <w:p w14:paraId="76617DEA"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312,649 </w:t>
            </w:r>
          </w:p>
        </w:tc>
        <w:tc>
          <w:tcPr>
            <w:tcW w:w="650" w:type="pct"/>
            <w:shd w:val="clear" w:color="auto" w:fill="auto"/>
            <w:noWrap/>
            <w:vAlign w:val="center"/>
            <w:hideMark/>
          </w:tcPr>
          <w:p w14:paraId="15286708"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68,033 </w:t>
            </w:r>
          </w:p>
        </w:tc>
      </w:tr>
      <w:tr w:rsidR="003E5BF5" w:rsidRPr="00145E37" w14:paraId="4060B1AD" w14:textId="77777777" w:rsidTr="006F713E">
        <w:trPr>
          <w:trHeight w:val="318"/>
        </w:trPr>
        <w:tc>
          <w:tcPr>
            <w:tcW w:w="2401" w:type="pct"/>
            <w:shd w:val="clear" w:color="auto" w:fill="auto"/>
            <w:noWrap/>
            <w:vAlign w:val="center"/>
            <w:hideMark/>
          </w:tcPr>
          <w:p w14:paraId="4AB95B22" w14:textId="77777777" w:rsidR="003E5BF5" w:rsidRPr="00145E37" w:rsidRDefault="003E5BF5" w:rsidP="00604703">
            <w:pPr>
              <w:pStyle w:val="TableTextGreen"/>
            </w:pPr>
            <w:r w:rsidRPr="00145E37">
              <w:t>Non-current borrowings</w:t>
            </w:r>
          </w:p>
        </w:tc>
        <w:tc>
          <w:tcPr>
            <w:tcW w:w="650" w:type="pct"/>
            <w:shd w:val="clear" w:color="auto" w:fill="auto"/>
            <w:noWrap/>
            <w:vAlign w:val="center"/>
            <w:hideMark/>
          </w:tcPr>
          <w:p w14:paraId="43EA04A3" w14:textId="77777777" w:rsidR="003E5BF5" w:rsidRPr="00145E37" w:rsidRDefault="003E5BF5" w:rsidP="00DE1921">
            <w:pPr>
              <w:jc w:val="right"/>
              <w:rPr>
                <w:rFonts w:ascii="Arial" w:hAnsi="Arial" w:cs="Arial"/>
                <w:b/>
                <w:sz w:val="24"/>
                <w:szCs w:val="24"/>
                <w:lang w:eastAsia="en-AU"/>
              </w:rPr>
            </w:pPr>
          </w:p>
        </w:tc>
        <w:tc>
          <w:tcPr>
            <w:tcW w:w="650" w:type="pct"/>
            <w:shd w:val="clear" w:color="auto" w:fill="auto"/>
            <w:noWrap/>
            <w:vAlign w:val="center"/>
            <w:hideMark/>
          </w:tcPr>
          <w:p w14:paraId="03C0C087" w14:textId="77777777" w:rsidR="003E5BF5" w:rsidRPr="00145E37" w:rsidRDefault="003E5BF5" w:rsidP="00DE1921">
            <w:pPr>
              <w:jc w:val="right"/>
              <w:rPr>
                <w:rFonts w:ascii="Arial" w:hAnsi="Arial" w:cs="Arial"/>
                <w:b/>
                <w:sz w:val="24"/>
                <w:szCs w:val="24"/>
                <w:lang w:eastAsia="en-AU"/>
              </w:rPr>
            </w:pPr>
          </w:p>
        </w:tc>
        <w:tc>
          <w:tcPr>
            <w:tcW w:w="650" w:type="pct"/>
            <w:shd w:val="clear" w:color="auto" w:fill="auto"/>
            <w:noWrap/>
            <w:vAlign w:val="center"/>
            <w:hideMark/>
          </w:tcPr>
          <w:p w14:paraId="14A6B052" w14:textId="77777777" w:rsidR="003E5BF5" w:rsidRPr="00145E37" w:rsidRDefault="003E5BF5" w:rsidP="00DE1921">
            <w:pPr>
              <w:jc w:val="right"/>
              <w:rPr>
                <w:rFonts w:ascii="Arial" w:hAnsi="Arial" w:cs="Arial"/>
                <w:b/>
                <w:sz w:val="24"/>
                <w:szCs w:val="24"/>
                <w:lang w:eastAsia="en-AU"/>
              </w:rPr>
            </w:pPr>
          </w:p>
        </w:tc>
        <w:tc>
          <w:tcPr>
            <w:tcW w:w="650" w:type="pct"/>
            <w:shd w:val="clear" w:color="auto" w:fill="auto"/>
            <w:noWrap/>
            <w:vAlign w:val="center"/>
            <w:hideMark/>
          </w:tcPr>
          <w:p w14:paraId="59C6F2E2" w14:textId="77777777" w:rsidR="003E5BF5" w:rsidRPr="00145E37" w:rsidRDefault="003E5BF5" w:rsidP="00DE1921">
            <w:pPr>
              <w:jc w:val="right"/>
              <w:rPr>
                <w:rFonts w:ascii="Arial" w:hAnsi="Arial" w:cs="Arial"/>
                <w:b/>
                <w:sz w:val="24"/>
                <w:szCs w:val="24"/>
                <w:lang w:eastAsia="en-AU"/>
              </w:rPr>
            </w:pPr>
          </w:p>
        </w:tc>
      </w:tr>
      <w:tr w:rsidR="003E5BF5" w:rsidRPr="00145E37" w14:paraId="1E114938" w14:textId="77777777" w:rsidTr="006F713E">
        <w:trPr>
          <w:trHeight w:val="318"/>
        </w:trPr>
        <w:tc>
          <w:tcPr>
            <w:tcW w:w="2401" w:type="pct"/>
            <w:shd w:val="clear" w:color="auto" w:fill="auto"/>
            <w:noWrap/>
            <w:vAlign w:val="center"/>
            <w:hideMark/>
          </w:tcPr>
          <w:p w14:paraId="588D1110"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 xml:space="preserve">Lease liabilities (2019: Finance Lease) </w:t>
            </w:r>
            <w:r w:rsidRPr="00145E37">
              <w:rPr>
                <w:rFonts w:ascii="Arial" w:hAnsi="Arial" w:cs="Arial"/>
                <w:sz w:val="24"/>
                <w:szCs w:val="24"/>
                <w:vertAlign w:val="superscript"/>
                <w:lang w:eastAsia="en-AU"/>
              </w:rPr>
              <w:t>(</w:t>
            </w:r>
            <w:proofErr w:type="spellStart"/>
            <w:r w:rsidRPr="00145E37">
              <w:rPr>
                <w:rFonts w:ascii="Arial" w:hAnsi="Arial" w:cs="Arial"/>
                <w:sz w:val="24"/>
                <w:szCs w:val="24"/>
                <w:vertAlign w:val="superscript"/>
                <w:lang w:eastAsia="en-AU"/>
              </w:rPr>
              <w:t>i</w:t>
            </w:r>
            <w:proofErr w:type="spellEnd"/>
            <w:r w:rsidRPr="00145E37">
              <w:rPr>
                <w:rFonts w:ascii="Arial" w:hAnsi="Arial" w:cs="Arial"/>
                <w:sz w:val="24"/>
                <w:szCs w:val="24"/>
                <w:vertAlign w:val="superscript"/>
                <w:lang w:eastAsia="en-AU"/>
              </w:rPr>
              <w:t>)(vi)</w:t>
            </w:r>
          </w:p>
        </w:tc>
        <w:tc>
          <w:tcPr>
            <w:tcW w:w="650" w:type="pct"/>
            <w:shd w:val="clear" w:color="auto" w:fill="auto"/>
            <w:noWrap/>
            <w:vAlign w:val="center"/>
            <w:hideMark/>
          </w:tcPr>
          <w:p w14:paraId="36D47D23"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71,210 </w:t>
            </w:r>
          </w:p>
        </w:tc>
        <w:tc>
          <w:tcPr>
            <w:tcW w:w="650" w:type="pct"/>
            <w:shd w:val="clear" w:color="auto" w:fill="auto"/>
            <w:noWrap/>
            <w:vAlign w:val="center"/>
            <w:hideMark/>
          </w:tcPr>
          <w:p w14:paraId="10D177E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2,299 </w:t>
            </w:r>
          </w:p>
        </w:tc>
        <w:tc>
          <w:tcPr>
            <w:tcW w:w="650" w:type="pct"/>
            <w:shd w:val="clear" w:color="auto" w:fill="auto"/>
            <w:noWrap/>
            <w:vAlign w:val="center"/>
            <w:hideMark/>
          </w:tcPr>
          <w:p w14:paraId="4EF126F1"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202,282 </w:t>
            </w:r>
          </w:p>
        </w:tc>
        <w:tc>
          <w:tcPr>
            <w:tcW w:w="650" w:type="pct"/>
            <w:shd w:val="clear" w:color="auto" w:fill="auto"/>
            <w:noWrap/>
            <w:vAlign w:val="center"/>
            <w:hideMark/>
          </w:tcPr>
          <w:p w14:paraId="146FBF7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2,299 </w:t>
            </w:r>
          </w:p>
        </w:tc>
      </w:tr>
      <w:tr w:rsidR="003E5BF5" w:rsidRPr="00145E37" w14:paraId="1131BD8F" w14:textId="77777777" w:rsidTr="006F713E">
        <w:trPr>
          <w:trHeight w:val="318"/>
        </w:trPr>
        <w:tc>
          <w:tcPr>
            <w:tcW w:w="2401" w:type="pct"/>
            <w:shd w:val="clear" w:color="auto" w:fill="auto"/>
            <w:noWrap/>
            <w:vAlign w:val="center"/>
            <w:hideMark/>
          </w:tcPr>
          <w:p w14:paraId="1832AF08"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Service concession financial liability</w:t>
            </w:r>
            <w:r w:rsidRPr="00145E37">
              <w:rPr>
                <w:rFonts w:ascii="Arial" w:hAnsi="Arial" w:cs="Arial"/>
                <w:sz w:val="24"/>
                <w:szCs w:val="24"/>
                <w:vertAlign w:val="superscript"/>
                <w:lang w:eastAsia="en-AU"/>
              </w:rPr>
              <w:t xml:space="preserve"> (iii)(iv)</w:t>
            </w:r>
          </w:p>
        </w:tc>
        <w:tc>
          <w:tcPr>
            <w:tcW w:w="650" w:type="pct"/>
            <w:shd w:val="clear" w:color="auto" w:fill="auto"/>
            <w:noWrap/>
            <w:vAlign w:val="center"/>
            <w:hideMark/>
          </w:tcPr>
          <w:p w14:paraId="6B717688"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5,436,548 </w:t>
            </w:r>
          </w:p>
        </w:tc>
        <w:tc>
          <w:tcPr>
            <w:tcW w:w="650" w:type="pct"/>
            <w:shd w:val="clear" w:color="auto" w:fill="auto"/>
            <w:noWrap/>
            <w:vAlign w:val="center"/>
            <w:hideMark/>
          </w:tcPr>
          <w:p w14:paraId="7ADD3B2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3,105,234 </w:t>
            </w:r>
          </w:p>
        </w:tc>
        <w:tc>
          <w:tcPr>
            <w:tcW w:w="650" w:type="pct"/>
            <w:shd w:val="clear" w:color="auto" w:fill="auto"/>
            <w:noWrap/>
            <w:vAlign w:val="center"/>
            <w:hideMark/>
          </w:tcPr>
          <w:p w14:paraId="14347CF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5,436,548 </w:t>
            </w:r>
          </w:p>
        </w:tc>
        <w:tc>
          <w:tcPr>
            <w:tcW w:w="650" w:type="pct"/>
            <w:shd w:val="clear" w:color="auto" w:fill="auto"/>
            <w:noWrap/>
            <w:vAlign w:val="center"/>
            <w:hideMark/>
          </w:tcPr>
          <w:p w14:paraId="3CAB42E2"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3,105,234 </w:t>
            </w:r>
          </w:p>
        </w:tc>
      </w:tr>
      <w:tr w:rsidR="003E5BF5" w:rsidRPr="00145E37" w14:paraId="3E0C508A" w14:textId="77777777" w:rsidTr="006F713E">
        <w:trPr>
          <w:trHeight w:val="318"/>
        </w:trPr>
        <w:tc>
          <w:tcPr>
            <w:tcW w:w="2401" w:type="pct"/>
            <w:shd w:val="clear" w:color="auto" w:fill="auto"/>
            <w:noWrap/>
            <w:vAlign w:val="center"/>
            <w:hideMark/>
          </w:tcPr>
          <w:p w14:paraId="3C41C82D"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Advances from government</w:t>
            </w:r>
            <w:r w:rsidRPr="00145E37">
              <w:rPr>
                <w:rFonts w:ascii="Arial" w:hAnsi="Arial" w:cs="Arial"/>
                <w:sz w:val="24"/>
                <w:szCs w:val="24"/>
                <w:vertAlign w:val="superscript"/>
                <w:lang w:eastAsia="en-AU"/>
              </w:rPr>
              <w:t xml:space="preserve"> (ii)</w:t>
            </w:r>
          </w:p>
        </w:tc>
        <w:tc>
          <w:tcPr>
            <w:tcW w:w="650" w:type="pct"/>
            <w:shd w:val="clear" w:color="auto" w:fill="auto"/>
            <w:noWrap/>
            <w:vAlign w:val="center"/>
            <w:hideMark/>
          </w:tcPr>
          <w:p w14:paraId="42A94D26"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6,508 </w:t>
            </w:r>
          </w:p>
        </w:tc>
        <w:tc>
          <w:tcPr>
            <w:tcW w:w="650" w:type="pct"/>
            <w:shd w:val="clear" w:color="auto" w:fill="auto"/>
            <w:noWrap/>
            <w:vAlign w:val="center"/>
            <w:hideMark/>
          </w:tcPr>
          <w:p w14:paraId="74018CBC"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50,070 </w:t>
            </w:r>
          </w:p>
        </w:tc>
        <w:tc>
          <w:tcPr>
            <w:tcW w:w="650" w:type="pct"/>
            <w:shd w:val="clear" w:color="auto" w:fill="auto"/>
            <w:noWrap/>
            <w:vAlign w:val="center"/>
            <w:hideMark/>
          </w:tcPr>
          <w:p w14:paraId="7A80F1A5"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6,508 </w:t>
            </w:r>
          </w:p>
        </w:tc>
        <w:tc>
          <w:tcPr>
            <w:tcW w:w="650" w:type="pct"/>
            <w:shd w:val="clear" w:color="auto" w:fill="auto"/>
            <w:noWrap/>
            <w:vAlign w:val="center"/>
            <w:hideMark/>
          </w:tcPr>
          <w:p w14:paraId="3FC32FC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50,070 </w:t>
            </w:r>
          </w:p>
        </w:tc>
      </w:tr>
      <w:tr w:rsidR="003E5BF5" w:rsidRPr="00145E37" w14:paraId="48F628AE" w14:textId="77777777" w:rsidTr="006F713E">
        <w:trPr>
          <w:trHeight w:val="318"/>
        </w:trPr>
        <w:tc>
          <w:tcPr>
            <w:tcW w:w="2401" w:type="pct"/>
            <w:shd w:val="clear" w:color="auto" w:fill="auto"/>
            <w:noWrap/>
            <w:vAlign w:val="center"/>
            <w:hideMark/>
          </w:tcPr>
          <w:p w14:paraId="797A8BE8"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Advances from non-public sector</w:t>
            </w:r>
            <w:r w:rsidRPr="00145E37">
              <w:rPr>
                <w:rFonts w:ascii="Arial" w:hAnsi="Arial" w:cs="Arial"/>
                <w:sz w:val="24"/>
                <w:szCs w:val="24"/>
                <w:vertAlign w:val="superscript"/>
                <w:lang w:eastAsia="en-AU"/>
              </w:rPr>
              <w:t xml:space="preserve"> (v)(vi)</w:t>
            </w:r>
          </w:p>
        </w:tc>
        <w:tc>
          <w:tcPr>
            <w:tcW w:w="650" w:type="pct"/>
            <w:shd w:val="clear" w:color="auto" w:fill="auto"/>
            <w:noWrap/>
            <w:vAlign w:val="center"/>
            <w:hideMark/>
          </w:tcPr>
          <w:p w14:paraId="6D5631F3"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235,729 </w:t>
            </w:r>
          </w:p>
        </w:tc>
        <w:tc>
          <w:tcPr>
            <w:tcW w:w="650" w:type="pct"/>
            <w:shd w:val="clear" w:color="auto" w:fill="auto"/>
            <w:noWrap/>
            <w:vAlign w:val="center"/>
            <w:hideMark/>
          </w:tcPr>
          <w:p w14:paraId="1EC71C0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99,776 </w:t>
            </w:r>
          </w:p>
        </w:tc>
        <w:tc>
          <w:tcPr>
            <w:tcW w:w="650" w:type="pct"/>
            <w:shd w:val="clear" w:color="auto" w:fill="auto"/>
            <w:noWrap/>
            <w:vAlign w:val="center"/>
            <w:hideMark/>
          </w:tcPr>
          <w:p w14:paraId="578C2AC3"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104,657 </w:t>
            </w:r>
          </w:p>
        </w:tc>
        <w:tc>
          <w:tcPr>
            <w:tcW w:w="650" w:type="pct"/>
            <w:shd w:val="clear" w:color="auto" w:fill="auto"/>
            <w:noWrap/>
            <w:vAlign w:val="center"/>
            <w:hideMark/>
          </w:tcPr>
          <w:p w14:paraId="37516756"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99,776 </w:t>
            </w:r>
          </w:p>
        </w:tc>
      </w:tr>
      <w:tr w:rsidR="003E5BF5" w:rsidRPr="00145E37" w14:paraId="33FD03AF" w14:textId="77777777" w:rsidTr="006F713E">
        <w:trPr>
          <w:trHeight w:val="318"/>
        </w:trPr>
        <w:tc>
          <w:tcPr>
            <w:tcW w:w="2401" w:type="pct"/>
            <w:tcBorders>
              <w:bottom w:val="single" w:sz="4" w:space="0" w:color="auto"/>
            </w:tcBorders>
            <w:shd w:val="clear" w:color="auto" w:fill="auto"/>
            <w:noWrap/>
            <w:vAlign w:val="center"/>
            <w:hideMark/>
          </w:tcPr>
          <w:p w14:paraId="26837E45"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Total non-current borrowings</w:t>
            </w:r>
          </w:p>
        </w:tc>
        <w:tc>
          <w:tcPr>
            <w:tcW w:w="650" w:type="pct"/>
            <w:tcBorders>
              <w:bottom w:val="single" w:sz="4" w:space="0" w:color="auto"/>
            </w:tcBorders>
            <w:shd w:val="clear" w:color="auto" w:fill="auto"/>
            <w:noWrap/>
            <w:vAlign w:val="center"/>
            <w:hideMark/>
          </w:tcPr>
          <w:p w14:paraId="1D8FD57D"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5,749,995 </w:t>
            </w:r>
          </w:p>
        </w:tc>
        <w:tc>
          <w:tcPr>
            <w:tcW w:w="650" w:type="pct"/>
            <w:tcBorders>
              <w:bottom w:val="single" w:sz="4" w:space="0" w:color="auto"/>
            </w:tcBorders>
            <w:shd w:val="clear" w:color="auto" w:fill="auto"/>
            <w:noWrap/>
            <w:vAlign w:val="center"/>
            <w:hideMark/>
          </w:tcPr>
          <w:p w14:paraId="31FDEDA2"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3,257,379 </w:t>
            </w:r>
          </w:p>
        </w:tc>
        <w:tc>
          <w:tcPr>
            <w:tcW w:w="650" w:type="pct"/>
            <w:tcBorders>
              <w:bottom w:val="single" w:sz="4" w:space="0" w:color="auto"/>
            </w:tcBorders>
            <w:shd w:val="clear" w:color="auto" w:fill="auto"/>
            <w:noWrap/>
            <w:vAlign w:val="center"/>
            <w:hideMark/>
          </w:tcPr>
          <w:p w14:paraId="759235CB"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5,749,995 </w:t>
            </w:r>
          </w:p>
        </w:tc>
        <w:tc>
          <w:tcPr>
            <w:tcW w:w="650" w:type="pct"/>
            <w:tcBorders>
              <w:bottom w:val="single" w:sz="4" w:space="0" w:color="auto"/>
            </w:tcBorders>
            <w:shd w:val="clear" w:color="auto" w:fill="auto"/>
            <w:noWrap/>
            <w:vAlign w:val="center"/>
            <w:hideMark/>
          </w:tcPr>
          <w:p w14:paraId="052693B4"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3,257,379 </w:t>
            </w:r>
          </w:p>
        </w:tc>
      </w:tr>
      <w:tr w:rsidR="003E5BF5" w:rsidRPr="00145E37" w14:paraId="40823790" w14:textId="77777777" w:rsidTr="006F713E">
        <w:trPr>
          <w:trHeight w:val="318"/>
        </w:trPr>
        <w:tc>
          <w:tcPr>
            <w:tcW w:w="2401" w:type="pct"/>
            <w:tcBorders>
              <w:bottom w:val="single" w:sz="4" w:space="0" w:color="auto"/>
            </w:tcBorders>
            <w:shd w:val="clear" w:color="auto" w:fill="auto"/>
            <w:noWrap/>
            <w:vAlign w:val="center"/>
            <w:hideMark/>
          </w:tcPr>
          <w:p w14:paraId="0C831942"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Total borrowings</w:t>
            </w:r>
          </w:p>
        </w:tc>
        <w:tc>
          <w:tcPr>
            <w:tcW w:w="650" w:type="pct"/>
            <w:tcBorders>
              <w:bottom w:val="single" w:sz="4" w:space="0" w:color="auto"/>
            </w:tcBorders>
            <w:shd w:val="clear" w:color="auto" w:fill="auto"/>
            <w:noWrap/>
            <w:vAlign w:val="center"/>
            <w:hideMark/>
          </w:tcPr>
          <w:p w14:paraId="1C6CB3CC"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6,062,644 </w:t>
            </w:r>
          </w:p>
        </w:tc>
        <w:tc>
          <w:tcPr>
            <w:tcW w:w="650" w:type="pct"/>
            <w:tcBorders>
              <w:bottom w:val="single" w:sz="4" w:space="0" w:color="auto"/>
            </w:tcBorders>
            <w:shd w:val="clear" w:color="auto" w:fill="auto"/>
            <w:noWrap/>
            <w:vAlign w:val="center"/>
            <w:hideMark/>
          </w:tcPr>
          <w:p w14:paraId="113A6324"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3,325,412 </w:t>
            </w:r>
          </w:p>
        </w:tc>
        <w:tc>
          <w:tcPr>
            <w:tcW w:w="650" w:type="pct"/>
            <w:tcBorders>
              <w:bottom w:val="single" w:sz="4" w:space="0" w:color="auto"/>
            </w:tcBorders>
            <w:shd w:val="clear" w:color="auto" w:fill="auto"/>
            <w:noWrap/>
            <w:vAlign w:val="center"/>
            <w:hideMark/>
          </w:tcPr>
          <w:p w14:paraId="07FA213E"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6,062,644 </w:t>
            </w:r>
          </w:p>
        </w:tc>
        <w:tc>
          <w:tcPr>
            <w:tcW w:w="650" w:type="pct"/>
            <w:tcBorders>
              <w:bottom w:val="single" w:sz="4" w:space="0" w:color="auto"/>
            </w:tcBorders>
            <w:shd w:val="clear" w:color="auto" w:fill="auto"/>
            <w:noWrap/>
            <w:vAlign w:val="center"/>
            <w:hideMark/>
          </w:tcPr>
          <w:p w14:paraId="21D9EDBD"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3,325,412 </w:t>
            </w:r>
          </w:p>
        </w:tc>
      </w:tr>
    </w:tbl>
    <w:p w14:paraId="06BCD487" w14:textId="77777777" w:rsidR="006F713E" w:rsidRPr="00145E37" w:rsidRDefault="006F713E" w:rsidP="006F713E">
      <w:pPr>
        <w:pStyle w:val="Note"/>
        <w:rPr>
          <w:rFonts w:ascii="Arial" w:hAnsi="Arial" w:cs="Arial"/>
          <w:sz w:val="24"/>
          <w:szCs w:val="24"/>
        </w:rPr>
      </w:pPr>
      <w:r w:rsidRPr="00145E37">
        <w:rPr>
          <w:rFonts w:ascii="Arial" w:hAnsi="Arial" w:cs="Arial"/>
          <w:sz w:val="24"/>
          <w:szCs w:val="24"/>
        </w:rPr>
        <w:t>Notes:</w:t>
      </w:r>
    </w:p>
    <w:p w14:paraId="1531F4B2" w14:textId="77777777" w:rsidR="006F713E" w:rsidRPr="00145E37" w:rsidRDefault="006F713E" w:rsidP="00610F5F">
      <w:pPr>
        <w:pStyle w:val="aaaNotenumberiiiiii"/>
        <w:numPr>
          <w:ilvl w:val="0"/>
          <w:numId w:val="101"/>
        </w:numPr>
      </w:pPr>
      <w:r w:rsidRPr="00145E37">
        <w:t xml:space="preserve">Secured by the assets leased. Leases are effectively secured as the rights to the leased assets revert to the lessor in the event of default. </w:t>
      </w:r>
    </w:p>
    <w:p w14:paraId="3885149E" w14:textId="77777777" w:rsidR="006F713E" w:rsidRPr="00145E37" w:rsidRDefault="006F713E" w:rsidP="00610F5F">
      <w:pPr>
        <w:pStyle w:val="aaaNotenumberiiiiii"/>
        <w:numPr>
          <w:ilvl w:val="0"/>
          <w:numId w:val="101"/>
        </w:numPr>
      </w:pPr>
      <w:r w:rsidRPr="00145E37">
        <w:t>Advances from government are unsecured loans which bear no interest. The terms of the loans are generally agreed by the Minister at the time the advance is provided.</w:t>
      </w:r>
    </w:p>
    <w:p w14:paraId="6474B252" w14:textId="77777777" w:rsidR="006F713E" w:rsidRPr="00145E37" w:rsidRDefault="006F713E" w:rsidP="00610F5F">
      <w:pPr>
        <w:pStyle w:val="aaaNotenumberiiiiii"/>
        <w:numPr>
          <w:ilvl w:val="0"/>
          <w:numId w:val="101"/>
        </w:numPr>
      </w:pPr>
      <w:r w:rsidRPr="00145E37">
        <w:t xml:space="preserve">This relates to the service concession arrangements (SCAs) recognised applying AASB 1059. Interest is charged on the liability of SCAs and recognised in Note 7.1.2 Interest expense. The liability is reduced over the term of the arrangement through cash payments to the operator. Further information is included in Note 7.5.3 </w:t>
      </w:r>
      <w:r w:rsidRPr="00A659A7">
        <w:rPr>
          <w:i/>
        </w:rPr>
        <w:t>Service Concession Arrangements: Grantors.</w:t>
      </w:r>
      <w:r w:rsidRPr="00145E37">
        <w:t xml:space="preserve"> Refer to the accounting policy information under Service Concession Arrangement Liability section in Note 6.2 Payables.</w:t>
      </w:r>
    </w:p>
    <w:p w14:paraId="6BE9EFDE" w14:textId="77777777" w:rsidR="006F713E" w:rsidRPr="00145E37" w:rsidRDefault="006F713E" w:rsidP="00610F5F">
      <w:pPr>
        <w:pStyle w:val="aaaNotenumberiiiiii"/>
        <w:numPr>
          <w:ilvl w:val="0"/>
          <w:numId w:val="101"/>
        </w:numPr>
      </w:pPr>
      <w:r w:rsidRPr="00145E37">
        <w:t>The 2019 comparatives figures have been restated to reflect the adoption of AASB 1059, refer to Note 7.5.3 and Note 9.6.5.2 for further details.</w:t>
      </w:r>
    </w:p>
    <w:p w14:paraId="08A41010" w14:textId="77777777" w:rsidR="006F713E" w:rsidRPr="00145E37" w:rsidRDefault="006F713E" w:rsidP="00610F5F">
      <w:pPr>
        <w:pStyle w:val="aaaNotenumberiiiiii"/>
        <w:numPr>
          <w:ilvl w:val="0"/>
          <w:numId w:val="101"/>
        </w:numPr>
      </w:pPr>
      <w:r w:rsidRPr="00145E37">
        <w:t>The 2019 comparative figure has been restated to reflect the re-classification of the non-SCA portion of the HCMT PPP from payables to borrowings note. Refer to Note 6.2 and 9.6.5.2 for further details.</w:t>
      </w:r>
    </w:p>
    <w:p w14:paraId="1908E565" w14:textId="77777777" w:rsidR="006F713E" w:rsidRPr="00A659A7" w:rsidRDefault="006F713E" w:rsidP="00610F5F">
      <w:pPr>
        <w:pStyle w:val="aaaNotenumberiiiiii"/>
        <w:numPr>
          <w:ilvl w:val="0"/>
          <w:numId w:val="101"/>
        </w:numPr>
        <w:rPr>
          <w:i/>
        </w:rPr>
      </w:pPr>
      <w:r w:rsidRPr="00145E37">
        <w:lastRenderedPageBreak/>
        <w:t xml:space="preserve">On 1 January 2020, the Head, </w:t>
      </w:r>
      <w:proofErr w:type="spellStart"/>
      <w:r w:rsidRPr="00145E37">
        <w:t>TfV</w:t>
      </w:r>
      <w:proofErr w:type="spellEnd"/>
      <w:r w:rsidRPr="00145E37">
        <w:t xml:space="preserve"> became the successor party to Franchise Asset Holdings Pty Ltd (</w:t>
      </w:r>
      <w:proofErr w:type="spellStart"/>
      <w:r w:rsidRPr="00145E37">
        <w:t>AssetCo</w:t>
      </w:r>
      <w:proofErr w:type="spellEnd"/>
      <w:r w:rsidRPr="00145E37">
        <w:t xml:space="preserve">), an entity established as a result of the bus franchise arrangements with Transdev. As a controlled entity of the former PTV, </w:t>
      </w:r>
      <w:proofErr w:type="spellStart"/>
      <w:r w:rsidRPr="00145E37">
        <w:t>AssetCo’s</w:t>
      </w:r>
      <w:proofErr w:type="spellEnd"/>
      <w:r w:rsidRPr="00145E37">
        <w:t xml:space="preserve"> financial information has been consolidated within the financial statements of the department.</w:t>
      </w:r>
    </w:p>
    <w:p w14:paraId="1AD7BD78" w14:textId="77777777" w:rsidR="003E5BF5" w:rsidRDefault="003E5BF5" w:rsidP="00B96195">
      <w:pPr>
        <w:pStyle w:val="aaatyping"/>
      </w:pPr>
      <w:r w:rsidRPr="007444F0">
        <w:rPr>
          <w:b/>
        </w:rPr>
        <w:t>Borrowings</w:t>
      </w:r>
      <w:r w:rsidRPr="007444F0">
        <w:t xml:space="preserve"> refer to interest bearing liabilities mainly raised from lease</w:t>
      </w:r>
      <w:r>
        <w:t xml:space="preserve"> liabilities, service concession arrangement liabilities </w:t>
      </w:r>
      <w:r w:rsidRPr="007444F0">
        <w:t>and other interest bearing arrangements.</w:t>
      </w:r>
    </w:p>
    <w:p w14:paraId="618C6747" w14:textId="77777777" w:rsidR="003E5BF5" w:rsidRPr="007444F0" w:rsidRDefault="003E5BF5" w:rsidP="00B96195">
      <w:pPr>
        <w:pStyle w:val="aaatyping"/>
      </w:pPr>
      <w:r w:rsidRPr="007444F0">
        <w:t xml:space="preserve">Borrowings are classified as financial instruments. The measurement basis depends on whether </w:t>
      </w:r>
      <w:r>
        <w:t>the department</w:t>
      </w:r>
      <w:r w:rsidRPr="007444F0">
        <w:t xml:space="preserve"> has categorised its interest bearing liabilities as either financial liabilities designated at fair value through net result, or financial liabilities at amortised cost. The classification depends on the nature and purpose of the interest bearing liabilities. </w:t>
      </w:r>
      <w:r>
        <w:t>The department</w:t>
      </w:r>
      <w:r w:rsidRPr="007444F0">
        <w:t xml:space="preserve"> determines the classification of its interest bearing liabilities at initial recognition.</w:t>
      </w:r>
    </w:p>
    <w:p w14:paraId="626301F5" w14:textId="77777777" w:rsidR="003E5BF5" w:rsidRDefault="003E5BF5" w:rsidP="00B96195">
      <w:pPr>
        <w:pStyle w:val="aaatyping"/>
      </w:pPr>
      <w:r w:rsidRPr="00222543">
        <w:t xml:space="preserve">The </w:t>
      </w:r>
      <w:r>
        <w:t>d</w:t>
      </w:r>
      <w:r w:rsidRPr="00222543">
        <w:t xml:space="preserve">epartment </w:t>
      </w:r>
      <w:r>
        <w:t>may</w:t>
      </w:r>
      <w:r w:rsidRPr="00222543">
        <w:t xml:space="preserve"> designate certain financial liabilities at fair value through net result to eliminate or significantly reduce the accounting mismatch that would otherwise arise. All other interest bearing </w:t>
      </w:r>
      <w:r>
        <w:t>liabilities</w:t>
      </w:r>
      <w:r w:rsidRPr="00222543">
        <w:t xml:space="preserve"> are initially recognised at the fair value of the consideration received less directly attributable transaction costs and subsequently measured at amortised cost using the effective interest method. For financial liabilities designated at fair value through net result, all transaction costs are expensed as incurred. </w:t>
      </w:r>
      <w:r>
        <w:t>S</w:t>
      </w:r>
      <w:r w:rsidRPr="00222543">
        <w:t xml:space="preserve">ubsequently measured at fair value with changes in fair value relating to the </w:t>
      </w:r>
      <w:r>
        <w:t>d</w:t>
      </w:r>
      <w:r w:rsidRPr="00222543">
        <w:t>epartment’s own credit risk recognised in other comprehensive income and the remaining amount of changes in fair value recognised in net result. Amounts in other comprehensive income related to credit risk are not subject to recycling in profit loss but are transferred to retained earnings when realised</w:t>
      </w:r>
      <w:r>
        <w:t>.</w:t>
      </w:r>
    </w:p>
    <w:p w14:paraId="0B4EF4D1" w14:textId="77777777" w:rsidR="003E5BF5" w:rsidRPr="00C46C38" w:rsidRDefault="003E5BF5" w:rsidP="00B96195">
      <w:pPr>
        <w:pStyle w:val="aaatyping"/>
      </w:pPr>
      <w:r w:rsidRPr="006E6A07">
        <w:lastRenderedPageBreak/>
        <w:t>At balance date we have not determined any financial liabilities to be designated at fair value</w:t>
      </w:r>
      <w:r>
        <w:t>.</w:t>
      </w:r>
    </w:p>
    <w:p w14:paraId="6F129D1C" w14:textId="77777777" w:rsidR="003E5BF5" w:rsidRDefault="003E5BF5" w:rsidP="00B96195">
      <w:pPr>
        <w:pStyle w:val="aaatyping"/>
      </w:pPr>
      <w:r w:rsidRPr="007444F0">
        <w:t>During the current and prior year, there were no defaults and breaches of loan</w:t>
      </w:r>
      <w:r>
        <w:t>.</w:t>
      </w:r>
    </w:p>
    <w:p w14:paraId="38223B4D" w14:textId="77777777" w:rsidR="003E5BF5" w:rsidRDefault="003E5BF5" w:rsidP="00DE1921"/>
    <w:p w14:paraId="1449C3D4" w14:textId="77777777" w:rsidR="003E5BF5" w:rsidRDefault="003E5BF5" w:rsidP="00DE1921">
      <w:pPr>
        <w:sectPr w:rsidR="003E5BF5" w:rsidSect="00DE1921">
          <w:headerReference w:type="even" r:id="rId142"/>
          <w:headerReference w:type="default" r:id="rId143"/>
          <w:headerReference w:type="first" r:id="rId144"/>
          <w:type w:val="continuous"/>
          <w:pgSz w:w="11906" w:h="16838"/>
          <w:pgMar w:top="1701" w:right="1418" w:bottom="1418" w:left="1418" w:header="708" w:footer="708" w:gutter="0"/>
          <w:cols w:space="284"/>
          <w:docGrid w:linePitch="360"/>
        </w:sectPr>
      </w:pPr>
      <w:bookmarkStart w:id="406" w:name="_Toc521965473"/>
      <w:bookmarkStart w:id="407" w:name="_Toc529196578"/>
      <w:bookmarkStart w:id="408" w:name="_Toc529197619"/>
      <w:bookmarkStart w:id="409" w:name="_Toc529197780"/>
      <w:bookmarkStart w:id="410" w:name="_Toc529197912"/>
      <w:bookmarkStart w:id="411" w:name="_Toc529197952"/>
    </w:p>
    <w:p w14:paraId="6CEA6119" w14:textId="77777777" w:rsidR="003E5BF5" w:rsidRPr="003632B9" w:rsidRDefault="003E5BF5" w:rsidP="00610F5F">
      <w:pPr>
        <w:pStyle w:val="Heading2"/>
        <w:numPr>
          <w:ilvl w:val="2"/>
          <w:numId w:val="20"/>
        </w:numPr>
        <w:ind w:left="765" w:hanging="765"/>
        <w:rPr>
          <w:rFonts w:asciiTheme="minorHAnsi" w:eastAsiaTheme="minorHAnsi" w:hAnsiTheme="minorHAnsi"/>
          <w:sz w:val="22"/>
          <w:lang w:eastAsia="en-AU"/>
        </w:rPr>
      </w:pPr>
      <w:r w:rsidRPr="00F35839">
        <w:lastRenderedPageBreak/>
        <w:t>Maturity analysis of</w:t>
      </w:r>
      <w:r w:rsidRPr="007444F0">
        <w:t xml:space="preserve"> borrowings</w:t>
      </w:r>
      <w:bookmarkStart w:id="412" w:name="RANGE!A3:H35"/>
      <w:bookmarkStart w:id="413" w:name="RANGE!A3:H17"/>
      <w:bookmarkEnd w:id="406"/>
      <w:bookmarkEnd w:id="407"/>
      <w:bookmarkEnd w:id="408"/>
      <w:bookmarkEnd w:id="409"/>
      <w:bookmarkEnd w:id="410"/>
      <w:bookmarkEnd w:id="411"/>
      <w:bookmarkEnd w:id="412"/>
      <w:bookmarkEnd w:id="413"/>
    </w:p>
    <w:tbl>
      <w:tblPr>
        <w:tblStyle w:val="TableGrid"/>
        <w:tblW w:w="9072" w:type="dxa"/>
        <w:tblCellMar>
          <w:left w:w="28" w:type="dxa"/>
          <w:right w:w="28" w:type="dxa"/>
        </w:tblCellMar>
        <w:tblLook w:val="04A0" w:firstRow="1" w:lastRow="0" w:firstColumn="1" w:lastColumn="0" w:noHBand="0" w:noVBand="1"/>
      </w:tblPr>
      <w:tblGrid>
        <w:gridCol w:w="2121"/>
        <w:gridCol w:w="1124"/>
        <w:gridCol w:w="1124"/>
        <w:gridCol w:w="963"/>
        <w:gridCol w:w="964"/>
        <w:gridCol w:w="964"/>
        <w:gridCol w:w="1124"/>
        <w:gridCol w:w="1116"/>
        <w:gridCol w:w="8"/>
      </w:tblGrid>
      <w:tr w:rsidR="003E5BF5" w:rsidRPr="00145E37" w14:paraId="78C5B8A7" w14:textId="77777777" w:rsidTr="00C53428">
        <w:trPr>
          <w:trHeight w:val="340"/>
          <w:tblHeader/>
        </w:trPr>
        <w:tc>
          <w:tcPr>
            <w:tcW w:w="2121" w:type="dxa"/>
            <w:shd w:val="clear" w:color="auto" w:fill="auto"/>
            <w:noWrap/>
            <w:hideMark/>
          </w:tcPr>
          <w:p w14:paraId="769BE80D" w14:textId="77777777" w:rsidR="003E5BF5" w:rsidRPr="00145E37" w:rsidRDefault="003E5BF5" w:rsidP="00DE1921">
            <w:pPr>
              <w:rPr>
                <w:rFonts w:ascii="Arial" w:hAnsi="Arial" w:cs="Arial"/>
                <w:sz w:val="24"/>
                <w:szCs w:val="24"/>
                <w:lang w:eastAsia="en-AU"/>
              </w:rPr>
            </w:pPr>
          </w:p>
        </w:tc>
        <w:tc>
          <w:tcPr>
            <w:tcW w:w="6951" w:type="dxa"/>
            <w:gridSpan w:val="8"/>
            <w:shd w:val="clear" w:color="auto" w:fill="auto"/>
            <w:noWrap/>
            <w:vAlign w:val="center"/>
            <w:hideMark/>
          </w:tcPr>
          <w:p w14:paraId="5622312F"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 thousand)</w:t>
            </w:r>
          </w:p>
        </w:tc>
      </w:tr>
      <w:tr w:rsidR="003E5BF5" w:rsidRPr="00145E37" w14:paraId="3B1B6BF2" w14:textId="77777777" w:rsidTr="00C53428">
        <w:trPr>
          <w:trHeight w:val="340"/>
          <w:tblHeader/>
        </w:trPr>
        <w:tc>
          <w:tcPr>
            <w:tcW w:w="2121" w:type="dxa"/>
            <w:shd w:val="clear" w:color="auto" w:fill="auto"/>
            <w:noWrap/>
            <w:hideMark/>
          </w:tcPr>
          <w:p w14:paraId="5449E40A" w14:textId="77777777" w:rsidR="003E5BF5" w:rsidRPr="00145E37" w:rsidRDefault="003E5BF5" w:rsidP="00DE1921">
            <w:pPr>
              <w:rPr>
                <w:rFonts w:ascii="Arial" w:hAnsi="Arial" w:cs="Arial"/>
                <w:sz w:val="24"/>
                <w:szCs w:val="24"/>
                <w:lang w:eastAsia="en-AU"/>
              </w:rPr>
            </w:pPr>
          </w:p>
        </w:tc>
        <w:tc>
          <w:tcPr>
            <w:tcW w:w="2125" w:type="dxa"/>
            <w:gridSpan w:val="2"/>
            <w:shd w:val="clear" w:color="auto" w:fill="auto"/>
            <w:noWrap/>
            <w:hideMark/>
          </w:tcPr>
          <w:p w14:paraId="31BE39C3" w14:textId="77777777" w:rsidR="003E5BF5" w:rsidRPr="00145E37" w:rsidRDefault="003E5BF5" w:rsidP="00DE1921">
            <w:pPr>
              <w:jc w:val="center"/>
              <w:rPr>
                <w:rFonts w:ascii="Arial" w:hAnsi="Arial" w:cs="Arial"/>
                <w:sz w:val="24"/>
                <w:szCs w:val="24"/>
                <w:lang w:eastAsia="en-AU"/>
              </w:rPr>
            </w:pPr>
          </w:p>
        </w:tc>
        <w:tc>
          <w:tcPr>
            <w:tcW w:w="4826" w:type="dxa"/>
            <w:gridSpan w:val="6"/>
            <w:shd w:val="clear" w:color="auto" w:fill="auto"/>
            <w:noWrap/>
            <w:vAlign w:val="bottom"/>
            <w:hideMark/>
          </w:tcPr>
          <w:p w14:paraId="69BAB76B"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Maturity dates</w:t>
            </w:r>
          </w:p>
        </w:tc>
      </w:tr>
      <w:tr w:rsidR="003E5BF5" w:rsidRPr="00145E37" w14:paraId="3C92E8DF" w14:textId="77777777" w:rsidTr="00C53428">
        <w:trPr>
          <w:trHeight w:val="340"/>
          <w:tblHeader/>
        </w:trPr>
        <w:tc>
          <w:tcPr>
            <w:tcW w:w="2121" w:type="dxa"/>
            <w:shd w:val="clear" w:color="auto" w:fill="auto"/>
            <w:noWrap/>
            <w:vAlign w:val="center"/>
            <w:hideMark/>
          </w:tcPr>
          <w:p w14:paraId="26090838" w14:textId="77777777" w:rsidR="003E5BF5" w:rsidRPr="00145E37" w:rsidRDefault="003E5BF5" w:rsidP="00604703">
            <w:pPr>
              <w:pStyle w:val="TableTextGreen"/>
              <w:rPr>
                <w:lang w:eastAsia="en-AU"/>
              </w:rPr>
            </w:pPr>
          </w:p>
        </w:tc>
        <w:tc>
          <w:tcPr>
            <w:tcW w:w="1063" w:type="dxa"/>
            <w:shd w:val="clear" w:color="auto" w:fill="auto"/>
            <w:vAlign w:val="bottom"/>
            <w:hideMark/>
          </w:tcPr>
          <w:p w14:paraId="438D1600"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Carrying amount</w:t>
            </w:r>
          </w:p>
        </w:tc>
        <w:tc>
          <w:tcPr>
            <w:tcW w:w="1062" w:type="dxa"/>
            <w:shd w:val="clear" w:color="auto" w:fill="auto"/>
            <w:vAlign w:val="bottom"/>
            <w:hideMark/>
          </w:tcPr>
          <w:p w14:paraId="1691C6AF"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Nominal</w:t>
            </w:r>
            <w:r w:rsidRPr="00145E37">
              <w:rPr>
                <w:rFonts w:ascii="Arial" w:hAnsi="Arial" w:cs="Arial"/>
                <w:b/>
                <w:sz w:val="24"/>
                <w:szCs w:val="24"/>
                <w:lang w:eastAsia="en-AU"/>
              </w:rPr>
              <w:br/>
              <w:t>amount</w:t>
            </w:r>
          </w:p>
        </w:tc>
        <w:tc>
          <w:tcPr>
            <w:tcW w:w="963" w:type="dxa"/>
            <w:shd w:val="clear" w:color="auto" w:fill="auto"/>
            <w:vAlign w:val="bottom"/>
            <w:hideMark/>
          </w:tcPr>
          <w:p w14:paraId="717FE264"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Less than 1 Month</w:t>
            </w:r>
          </w:p>
        </w:tc>
        <w:tc>
          <w:tcPr>
            <w:tcW w:w="964" w:type="dxa"/>
            <w:shd w:val="clear" w:color="auto" w:fill="auto"/>
            <w:vAlign w:val="bottom"/>
            <w:hideMark/>
          </w:tcPr>
          <w:p w14:paraId="521D06B8"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1 - 3    Months</w:t>
            </w:r>
          </w:p>
        </w:tc>
        <w:tc>
          <w:tcPr>
            <w:tcW w:w="964" w:type="dxa"/>
            <w:shd w:val="clear" w:color="auto" w:fill="auto"/>
            <w:vAlign w:val="bottom"/>
            <w:hideMark/>
          </w:tcPr>
          <w:p w14:paraId="3E97AC5E"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 xml:space="preserve">3 - 12    </w:t>
            </w:r>
            <w:r w:rsidRPr="00145E37">
              <w:rPr>
                <w:rFonts w:ascii="Arial" w:hAnsi="Arial" w:cs="Arial"/>
                <w:b/>
                <w:sz w:val="24"/>
                <w:szCs w:val="24"/>
                <w:lang w:eastAsia="en-AU"/>
              </w:rPr>
              <w:br/>
              <w:t>Months</w:t>
            </w:r>
          </w:p>
        </w:tc>
        <w:tc>
          <w:tcPr>
            <w:tcW w:w="964" w:type="dxa"/>
            <w:shd w:val="clear" w:color="auto" w:fill="auto"/>
            <w:vAlign w:val="bottom"/>
            <w:hideMark/>
          </w:tcPr>
          <w:p w14:paraId="5BBC5EB9"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1 - 5</w:t>
            </w:r>
            <w:r w:rsidRPr="00145E37">
              <w:rPr>
                <w:rFonts w:ascii="Arial" w:hAnsi="Arial" w:cs="Arial"/>
                <w:b/>
                <w:sz w:val="24"/>
                <w:szCs w:val="24"/>
                <w:lang w:eastAsia="en-AU"/>
              </w:rPr>
              <w:br/>
              <w:t>years</w:t>
            </w:r>
          </w:p>
        </w:tc>
        <w:tc>
          <w:tcPr>
            <w:tcW w:w="971" w:type="dxa"/>
            <w:gridSpan w:val="2"/>
            <w:shd w:val="clear" w:color="auto" w:fill="auto"/>
            <w:vAlign w:val="bottom"/>
            <w:hideMark/>
          </w:tcPr>
          <w:p w14:paraId="648AD179"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Over 5 years</w:t>
            </w:r>
          </w:p>
        </w:tc>
      </w:tr>
      <w:tr w:rsidR="003E5BF5" w:rsidRPr="00145E37" w14:paraId="528919DE" w14:textId="77777777" w:rsidTr="001D0223">
        <w:trPr>
          <w:gridAfter w:val="1"/>
          <w:wAfter w:w="7" w:type="dxa"/>
          <w:trHeight w:val="340"/>
        </w:trPr>
        <w:tc>
          <w:tcPr>
            <w:tcW w:w="2121" w:type="dxa"/>
            <w:shd w:val="clear" w:color="auto" w:fill="auto"/>
            <w:noWrap/>
            <w:vAlign w:val="center"/>
          </w:tcPr>
          <w:p w14:paraId="6AFC8BA6" w14:textId="77777777" w:rsidR="003E5BF5" w:rsidRPr="00145E37" w:rsidRDefault="003E5BF5" w:rsidP="00604703">
            <w:pPr>
              <w:pStyle w:val="TableTextGreen"/>
            </w:pPr>
            <w:r w:rsidRPr="00145E37">
              <w:t>Consolidated</w:t>
            </w:r>
          </w:p>
        </w:tc>
        <w:tc>
          <w:tcPr>
            <w:tcW w:w="1063" w:type="dxa"/>
            <w:shd w:val="clear" w:color="auto" w:fill="auto"/>
            <w:noWrap/>
            <w:vAlign w:val="center"/>
          </w:tcPr>
          <w:p w14:paraId="75865AEF" w14:textId="77777777" w:rsidR="003E5BF5" w:rsidRPr="00145E37" w:rsidRDefault="003E5BF5" w:rsidP="00DE1921">
            <w:pPr>
              <w:jc w:val="right"/>
              <w:rPr>
                <w:rFonts w:ascii="Arial" w:hAnsi="Arial" w:cs="Arial"/>
                <w:sz w:val="24"/>
                <w:szCs w:val="24"/>
                <w:lang w:eastAsia="en-AU"/>
              </w:rPr>
            </w:pPr>
          </w:p>
        </w:tc>
        <w:tc>
          <w:tcPr>
            <w:tcW w:w="1062" w:type="dxa"/>
            <w:shd w:val="clear" w:color="auto" w:fill="auto"/>
            <w:noWrap/>
            <w:vAlign w:val="center"/>
          </w:tcPr>
          <w:p w14:paraId="3E5B77F0" w14:textId="77777777" w:rsidR="003E5BF5" w:rsidRPr="00145E37" w:rsidRDefault="003E5BF5" w:rsidP="00DE1921">
            <w:pPr>
              <w:jc w:val="right"/>
              <w:rPr>
                <w:rFonts w:ascii="Arial" w:hAnsi="Arial" w:cs="Arial"/>
                <w:sz w:val="24"/>
                <w:szCs w:val="24"/>
                <w:lang w:eastAsia="en-AU"/>
              </w:rPr>
            </w:pPr>
          </w:p>
        </w:tc>
        <w:tc>
          <w:tcPr>
            <w:tcW w:w="963" w:type="dxa"/>
            <w:shd w:val="clear" w:color="auto" w:fill="auto"/>
            <w:noWrap/>
            <w:vAlign w:val="center"/>
          </w:tcPr>
          <w:p w14:paraId="5615086E" w14:textId="77777777" w:rsidR="003E5BF5" w:rsidRPr="00145E37" w:rsidRDefault="003E5BF5" w:rsidP="00DE1921">
            <w:pPr>
              <w:jc w:val="right"/>
              <w:rPr>
                <w:rFonts w:ascii="Arial" w:hAnsi="Arial" w:cs="Arial"/>
                <w:sz w:val="24"/>
                <w:szCs w:val="24"/>
                <w:lang w:eastAsia="en-AU"/>
              </w:rPr>
            </w:pPr>
          </w:p>
        </w:tc>
        <w:tc>
          <w:tcPr>
            <w:tcW w:w="964" w:type="dxa"/>
            <w:shd w:val="clear" w:color="auto" w:fill="auto"/>
            <w:noWrap/>
            <w:vAlign w:val="center"/>
          </w:tcPr>
          <w:p w14:paraId="7FF1406B" w14:textId="77777777" w:rsidR="003E5BF5" w:rsidRPr="00145E37" w:rsidRDefault="003E5BF5" w:rsidP="00DE1921">
            <w:pPr>
              <w:jc w:val="right"/>
              <w:rPr>
                <w:rFonts w:ascii="Arial" w:hAnsi="Arial" w:cs="Arial"/>
                <w:sz w:val="24"/>
                <w:szCs w:val="24"/>
                <w:lang w:eastAsia="en-AU"/>
              </w:rPr>
            </w:pPr>
          </w:p>
        </w:tc>
        <w:tc>
          <w:tcPr>
            <w:tcW w:w="964" w:type="dxa"/>
            <w:shd w:val="clear" w:color="auto" w:fill="auto"/>
            <w:noWrap/>
            <w:vAlign w:val="center"/>
          </w:tcPr>
          <w:p w14:paraId="65414E9E" w14:textId="77777777" w:rsidR="003E5BF5" w:rsidRPr="00145E37" w:rsidRDefault="003E5BF5" w:rsidP="00DE1921">
            <w:pPr>
              <w:jc w:val="right"/>
              <w:rPr>
                <w:rFonts w:ascii="Arial" w:hAnsi="Arial" w:cs="Arial"/>
                <w:sz w:val="24"/>
                <w:szCs w:val="24"/>
                <w:lang w:eastAsia="en-AU"/>
              </w:rPr>
            </w:pPr>
          </w:p>
        </w:tc>
        <w:tc>
          <w:tcPr>
            <w:tcW w:w="964" w:type="dxa"/>
            <w:shd w:val="clear" w:color="auto" w:fill="auto"/>
            <w:noWrap/>
            <w:vAlign w:val="center"/>
          </w:tcPr>
          <w:p w14:paraId="1571E615" w14:textId="77777777" w:rsidR="003E5BF5" w:rsidRPr="00145E37" w:rsidRDefault="003E5BF5" w:rsidP="00DE1921">
            <w:pPr>
              <w:jc w:val="right"/>
              <w:rPr>
                <w:rFonts w:ascii="Arial" w:hAnsi="Arial" w:cs="Arial"/>
                <w:sz w:val="24"/>
                <w:szCs w:val="24"/>
                <w:lang w:eastAsia="en-AU"/>
              </w:rPr>
            </w:pPr>
          </w:p>
        </w:tc>
        <w:tc>
          <w:tcPr>
            <w:tcW w:w="964" w:type="dxa"/>
            <w:shd w:val="clear" w:color="auto" w:fill="auto"/>
            <w:noWrap/>
            <w:vAlign w:val="center"/>
          </w:tcPr>
          <w:p w14:paraId="4D946F92" w14:textId="77777777" w:rsidR="003E5BF5" w:rsidRPr="00145E37" w:rsidRDefault="003E5BF5" w:rsidP="00DE1921">
            <w:pPr>
              <w:jc w:val="right"/>
              <w:rPr>
                <w:rFonts w:ascii="Arial" w:hAnsi="Arial" w:cs="Arial"/>
                <w:sz w:val="24"/>
                <w:szCs w:val="24"/>
                <w:lang w:eastAsia="en-AU"/>
              </w:rPr>
            </w:pPr>
          </w:p>
        </w:tc>
      </w:tr>
      <w:tr w:rsidR="00BB4752" w:rsidRPr="00145E37" w14:paraId="22934269" w14:textId="77777777" w:rsidTr="001D0223">
        <w:trPr>
          <w:trHeight w:val="340"/>
        </w:trPr>
        <w:tc>
          <w:tcPr>
            <w:tcW w:w="2121" w:type="dxa"/>
            <w:shd w:val="clear" w:color="auto" w:fill="auto"/>
            <w:noWrap/>
            <w:vAlign w:val="center"/>
            <w:hideMark/>
          </w:tcPr>
          <w:p w14:paraId="70B22DB7" w14:textId="77777777" w:rsidR="003E5BF5" w:rsidRPr="00145E37" w:rsidRDefault="003E5BF5" w:rsidP="00604703">
            <w:pPr>
              <w:pStyle w:val="TableTextGreen"/>
            </w:pPr>
            <w:r w:rsidRPr="00145E37">
              <w:t>2020</w:t>
            </w:r>
          </w:p>
        </w:tc>
        <w:tc>
          <w:tcPr>
            <w:tcW w:w="1063" w:type="dxa"/>
            <w:shd w:val="clear" w:color="auto" w:fill="auto"/>
            <w:noWrap/>
            <w:vAlign w:val="center"/>
            <w:hideMark/>
          </w:tcPr>
          <w:p w14:paraId="7E90BE0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w:t>
            </w:r>
          </w:p>
        </w:tc>
        <w:tc>
          <w:tcPr>
            <w:tcW w:w="1062" w:type="dxa"/>
            <w:shd w:val="clear" w:color="auto" w:fill="auto"/>
            <w:noWrap/>
            <w:vAlign w:val="center"/>
            <w:hideMark/>
          </w:tcPr>
          <w:p w14:paraId="11D7698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w:t>
            </w:r>
          </w:p>
        </w:tc>
        <w:tc>
          <w:tcPr>
            <w:tcW w:w="963" w:type="dxa"/>
            <w:shd w:val="clear" w:color="auto" w:fill="auto"/>
            <w:noWrap/>
            <w:vAlign w:val="center"/>
            <w:hideMark/>
          </w:tcPr>
          <w:p w14:paraId="0FF7A561"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w:t>
            </w:r>
          </w:p>
        </w:tc>
        <w:tc>
          <w:tcPr>
            <w:tcW w:w="964" w:type="dxa"/>
            <w:shd w:val="clear" w:color="auto" w:fill="auto"/>
            <w:noWrap/>
            <w:vAlign w:val="center"/>
            <w:hideMark/>
          </w:tcPr>
          <w:p w14:paraId="2A902519" w14:textId="77777777" w:rsidR="003E5BF5" w:rsidRPr="00145E37" w:rsidRDefault="003E5BF5" w:rsidP="00DE1921">
            <w:pPr>
              <w:jc w:val="right"/>
              <w:rPr>
                <w:rFonts w:ascii="Arial" w:hAnsi="Arial" w:cs="Arial"/>
                <w:sz w:val="24"/>
                <w:szCs w:val="24"/>
                <w:lang w:eastAsia="en-AU"/>
              </w:rPr>
            </w:pPr>
          </w:p>
        </w:tc>
        <w:tc>
          <w:tcPr>
            <w:tcW w:w="964" w:type="dxa"/>
            <w:shd w:val="clear" w:color="auto" w:fill="auto"/>
            <w:noWrap/>
            <w:vAlign w:val="center"/>
            <w:hideMark/>
          </w:tcPr>
          <w:p w14:paraId="76EC0606" w14:textId="77777777" w:rsidR="003E5BF5" w:rsidRPr="00145E37" w:rsidRDefault="003E5BF5" w:rsidP="00DE1921">
            <w:pPr>
              <w:jc w:val="right"/>
              <w:rPr>
                <w:rFonts w:ascii="Arial" w:hAnsi="Arial" w:cs="Arial"/>
                <w:sz w:val="24"/>
                <w:szCs w:val="24"/>
                <w:lang w:eastAsia="en-AU"/>
              </w:rPr>
            </w:pPr>
          </w:p>
        </w:tc>
        <w:tc>
          <w:tcPr>
            <w:tcW w:w="964" w:type="dxa"/>
            <w:shd w:val="clear" w:color="auto" w:fill="auto"/>
            <w:noWrap/>
            <w:vAlign w:val="center"/>
            <w:hideMark/>
          </w:tcPr>
          <w:p w14:paraId="57AFFB21" w14:textId="77777777" w:rsidR="003E5BF5" w:rsidRPr="00145E37" w:rsidRDefault="003E5BF5" w:rsidP="00DE1921">
            <w:pPr>
              <w:jc w:val="right"/>
              <w:rPr>
                <w:rFonts w:ascii="Arial" w:hAnsi="Arial" w:cs="Arial"/>
                <w:sz w:val="24"/>
                <w:szCs w:val="24"/>
                <w:lang w:eastAsia="en-AU"/>
              </w:rPr>
            </w:pPr>
          </w:p>
        </w:tc>
        <w:tc>
          <w:tcPr>
            <w:tcW w:w="971" w:type="dxa"/>
            <w:gridSpan w:val="2"/>
            <w:shd w:val="clear" w:color="auto" w:fill="auto"/>
            <w:noWrap/>
            <w:vAlign w:val="center"/>
            <w:hideMark/>
          </w:tcPr>
          <w:p w14:paraId="15421102"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w:t>
            </w:r>
          </w:p>
        </w:tc>
      </w:tr>
      <w:tr w:rsidR="00BB4752" w:rsidRPr="00145E37" w14:paraId="0309519D" w14:textId="77777777" w:rsidTr="001D0223">
        <w:trPr>
          <w:trHeight w:val="340"/>
        </w:trPr>
        <w:tc>
          <w:tcPr>
            <w:tcW w:w="2121" w:type="dxa"/>
            <w:shd w:val="clear" w:color="auto" w:fill="auto"/>
            <w:vAlign w:val="center"/>
            <w:hideMark/>
          </w:tcPr>
          <w:p w14:paraId="066770F8"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Lease liabilities</w:t>
            </w:r>
          </w:p>
        </w:tc>
        <w:tc>
          <w:tcPr>
            <w:tcW w:w="1063" w:type="dxa"/>
            <w:shd w:val="clear" w:color="auto" w:fill="auto"/>
            <w:noWrap/>
            <w:vAlign w:val="center"/>
            <w:hideMark/>
          </w:tcPr>
          <w:p w14:paraId="49657DC2"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90,133 </w:t>
            </w:r>
          </w:p>
        </w:tc>
        <w:tc>
          <w:tcPr>
            <w:tcW w:w="1062" w:type="dxa"/>
            <w:shd w:val="clear" w:color="auto" w:fill="auto"/>
            <w:noWrap/>
            <w:vAlign w:val="center"/>
            <w:hideMark/>
          </w:tcPr>
          <w:p w14:paraId="559666F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103,587 </w:t>
            </w:r>
          </w:p>
        </w:tc>
        <w:tc>
          <w:tcPr>
            <w:tcW w:w="963" w:type="dxa"/>
            <w:shd w:val="clear" w:color="auto" w:fill="auto"/>
            <w:noWrap/>
            <w:vAlign w:val="center"/>
            <w:hideMark/>
          </w:tcPr>
          <w:p w14:paraId="05FA3795"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1,054 </w:t>
            </w:r>
          </w:p>
        </w:tc>
        <w:tc>
          <w:tcPr>
            <w:tcW w:w="964" w:type="dxa"/>
            <w:shd w:val="clear" w:color="auto" w:fill="auto"/>
            <w:noWrap/>
            <w:vAlign w:val="center"/>
            <w:hideMark/>
          </w:tcPr>
          <w:p w14:paraId="6B32F4A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3,229 </w:t>
            </w:r>
          </w:p>
        </w:tc>
        <w:tc>
          <w:tcPr>
            <w:tcW w:w="964" w:type="dxa"/>
            <w:shd w:val="clear" w:color="auto" w:fill="auto"/>
            <w:noWrap/>
            <w:vAlign w:val="center"/>
            <w:hideMark/>
          </w:tcPr>
          <w:p w14:paraId="1CE11E0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17,655 </w:t>
            </w:r>
          </w:p>
        </w:tc>
        <w:tc>
          <w:tcPr>
            <w:tcW w:w="964" w:type="dxa"/>
            <w:shd w:val="clear" w:color="auto" w:fill="auto"/>
            <w:noWrap/>
            <w:vAlign w:val="center"/>
            <w:hideMark/>
          </w:tcPr>
          <w:p w14:paraId="034A17E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48,246 </w:t>
            </w:r>
          </w:p>
        </w:tc>
        <w:tc>
          <w:tcPr>
            <w:tcW w:w="971" w:type="dxa"/>
            <w:gridSpan w:val="2"/>
            <w:shd w:val="clear" w:color="auto" w:fill="auto"/>
            <w:noWrap/>
            <w:vAlign w:val="center"/>
            <w:hideMark/>
          </w:tcPr>
          <w:p w14:paraId="4C841AE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33,403 </w:t>
            </w:r>
          </w:p>
        </w:tc>
      </w:tr>
      <w:tr w:rsidR="00BB4752" w:rsidRPr="00145E37" w14:paraId="7864B6AB" w14:textId="77777777" w:rsidTr="001D0223">
        <w:trPr>
          <w:trHeight w:val="340"/>
        </w:trPr>
        <w:tc>
          <w:tcPr>
            <w:tcW w:w="2121" w:type="dxa"/>
            <w:shd w:val="clear" w:color="auto" w:fill="auto"/>
            <w:vAlign w:val="center"/>
            <w:hideMark/>
          </w:tcPr>
          <w:p w14:paraId="178CACE9"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Service concession financial liability</w:t>
            </w:r>
          </w:p>
        </w:tc>
        <w:tc>
          <w:tcPr>
            <w:tcW w:w="1063" w:type="dxa"/>
            <w:shd w:val="clear" w:color="auto" w:fill="auto"/>
            <w:noWrap/>
            <w:hideMark/>
          </w:tcPr>
          <w:p w14:paraId="0AD214F5"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5,488,451 </w:t>
            </w:r>
          </w:p>
        </w:tc>
        <w:tc>
          <w:tcPr>
            <w:tcW w:w="1062" w:type="dxa"/>
            <w:shd w:val="clear" w:color="auto" w:fill="auto"/>
            <w:noWrap/>
            <w:hideMark/>
          </w:tcPr>
          <w:p w14:paraId="387AA8DC"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6,640,848 </w:t>
            </w:r>
          </w:p>
        </w:tc>
        <w:tc>
          <w:tcPr>
            <w:tcW w:w="963" w:type="dxa"/>
            <w:shd w:val="clear" w:color="auto" w:fill="auto"/>
            <w:noWrap/>
            <w:hideMark/>
          </w:tcPr>
          <w:p w14:paraId="54ACE00E"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1,926 </w:t>
            </w:r>
          </w:p>
        </w:tc>
        <w:tc>
          <w:tcPr>
            <w:tcW w:w="964" w:type="dxa"/>
            <w:shd w:val="clear" w:color="auto" w:fill="auto"/>
            <w:noWrap/>
            <w:hideMark/>
          </w:tcPr>
          <w:p w14:paraId="071C54A7"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13,219 </w:t>
            </w:r>
          </w:p>
        </w:tc>
        <w:tc>
          <w:tcPr>
            <w:tcW w:w="964" w:type="dxa"/>
            <w:shd w:val="clear" w:color="auto" w:fill="auto"/>
            <w:noWrap/>
            <w:hideMark/>
          </w:tcPr>
          <w:p w14:paraId="64E83CCB"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125,481 </w:t>
            </w:r>
          </w:p>
        </w:tc>
        <w:tc>
          <w:tcPr>
            <w:tcW w:w="964" w:type="dxa"/>
            <w:shd w:val="clear" w:color="auto" w:fill="auto"/>
            <w:noWrap/>
            <w:hideMark/>
          </w:tcPr>
          <w:p w14:paraId="3C712571"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1,708,725</w:t>
            </w:r>
          </w:p>
        </w:tc>
        <w:tc>
          <w:tcPr>
            <w:tcW w:w="971" w:type="dxa"/>
            <w:gridSpan w:val="2"/>
            <w:shd w:val="clear" w:color="auto" w:fill="auto"/>
            <w:noWrap/>
            <w:hideMark/>
          </w:tcPr>
          <w:p w14:paraId="5BB636E4" w14:textId="77777777" w:rsidR="003E5BF5" w:rsidRPr="00145E37" w:rsidRDefault="003E5BF5" w:rsidP="00DE1921">
            <w:pPr>
              <w:jc w:val="right"/>
              <w:rPr>
                <w:rFonts w:ascii="Arial" w:hAnsi="Arial" w:cs="Arial"/>
                <w:sz w:val="24"/>
                <w:szCs w:val="24"/>
                <w:lang w:eastAsia="en-AU"/>
              </w:rPr>
            </w:pPr>
            <w:r w:rsidRPr="00145E37" w:rsidDel="00CC3CFA">
              <w:rPr>
                <w:rFonts w:ascii="Arial" w:hAnsi="Arial" w:cs="Arial"/>
                <w:sz w:val="24"/>
                <w:szCs w:val="24"/>
              </w:rPr>
              <w:t>4,</w:t>
            </w:r>
            <w:r w:rsidRPr="00145E37">
              <w:rPr>
                <w:rFonts w:ascii="Arial" w:hAnsi="Arial" w:cs="Arial"/>
                <w:sz w:val="24"/>
                <w:szCs w:val="24"/>
              </w:rPr>
              <w:t>791,497</w:t>
            </w:r>
          </w:p>
        </w:tc>
      </w:tr>
      <w:tr w:rsidR="00BB4752" w:rsidRPr="00145E37" w14:paraId="0056DA70" w14:textId="77777777" w:rsidTr="001D0223">
        <w:trPr>
          <w:trHeight w:val="340"/>
        </w:trPr>
        <w:tc>
          <w:tcPr>
            <w:tcW w:w="2121" w:type="dxa"/>
            <w:shd w:val="clear" w:color="auto" w:fill="auto"/>
            <w:vAlign w:val="center"/>
            <w:hideMark/>
          </w:tcPr>
          <w:p w14:paraId="4AC0C943"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Advances from government</w:t>
            </w:r>
          </w:p>
        </w:tc>
        <w:tc>
          <w:tcPr>
            <w:tcW w:w="1063" w:type="dxa"/>
            <w:shd w:val="clear" w:color="auto" w:fill="auto"/>
            <w:noWrap/>
            <w:hideMark/>
          </w:tcPr>
          <w:p w14:paraId="60F5F50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239,492 </w:t>
            </w:r>
          </w:p>
        </w:tc>
        <w:tc>
          <w:tcPr>
            <w:tcW w:w="1062" w:type="dxa"/>
            <w:shd w:val="clear" w:color="auto" w:fill="auto"/>
            <w:noWrap/>
            <w:hideMark/>
          </w:tcPr>
          <w:p w14:paraId="56C586F3"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239,492 </w:t>
            </w:r>
          </w:p>
        </w:tc>
        <w:tc>
          <w:tcPr>
            <w:tcW w:w="963" w:type="dxa"/>
            <w:shd w:val="clear" w:color="auto" w:fill="auto"/>
            <w:noWrap/>
            <w:hideMark/>
          </w:tcPr>
          <w:p w14:paraId="72D6F2B7"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130,182 </w:t>
            </w:r>
          </w:p>
        </w:tc>
        <w:tc>
          <w:tcPr>
            <w:tcW w:w="964" w:type="dxa"/>
            <w:shd w:val="clear" w:color="auto" w:fill="auto"/>
            <w:noWrap/>
            <w:hideMark/>
          </w:tcPr>
          <w:p w14:paraId="3B2A398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5DEE1BB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104,910 </w:t>
            </w:r>
          </w:p>
        </w:tc>
        <w:tc>
          <w:tcPr>
            <w:tcW w:w="964" w:type="dxa"/>
            <w:shd w:val="clear" w:color="auto" w:fill="auto"/>
            <w:noWrap/>
            <w:hideMark/>
          </w:tcPr>
          <w:p w14:paraId="12A9A78D"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4,400 </w:t>
            </w:r>
          </w:p>
        </w:tc>
        <w:tc>
          <w:tcPr>
            <w:tcW w:w="971" w:type="dxa"/>
            <w:gridSpan w:val="2"/>
            <w:shd w:val="clear" w:color="auto" w:fill="auto"/>
            <w:noWrap/>
            <w:hideMark/>
          </w:tcPr>
          <w:p w14:paraId="118D99ED"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r>
      <w:tr w:rsidR="00BB4752" w:rsidRPr="00145E37" w14:paraId="0EEF6210" w14:textId="77777777" w:rsidTr="001D0223">
        <w:trPr>
          <w:trHeight w:val="340"/>
        </w:trPr>
        <w:tc>
          <w:tcPr>
            <w:tcW w:w="2121" w:type="dxa"/>
            <w:shd w:val="clear" w:color="auto" w:fill="auto"/>
            <w:vAlign w:val="center"/>
            <w:hideMark/>
          </w:tcPr>
          <w:p w14:paraId="1F06BD27"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 xml:space="preserve">Advances from </w:t>
            </w:r>
            <w:proofErr w:type="spellStart"/>
            <w:r w:rsidRPr="00145E37">
              <w:rPr>
                <w:rFonts w:ascii="Arial" w:hAnsi="Arial" w:cs="Arial"/>
                <w:sz w:val="24"/>
                <w:szCs w:val="24"/>
                <w:lang w:eastAsia="en-AU"/>
              </w:rPr>
              <w:t>non public</w:t>
            </w:r>
            <w:proofErr w:type="spellEnd"/>
            <w:r w:rsidRPr="00145E37">
              <w:rPr>
                <w:rFonts w:ascii="Arial" w:hAnsi="Arial" w:cs="Arial"/>
                <w:sz w:val="24"/>
                <w:szCs w:val="24"/>
                <w:lang w:eastAsia="en-AU"/>
              </w:rPr>
              <w:t xml:space="preserve"> sector</w:t>
            </w:r>
          </w:p>
        </w:tc>
        <w:tc>
          <w:tcPr>
            <w:tcW w:w="1063" w:type="dxa"/>
            <w:shd w:val="clear" w:color="auto" w:fill="auto"/>
            <w:noWrap/>
            <w:hideMark/>
          </w:tcPr>
          <w:p w14:paraId="60933910"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244,568 </w:t>
            </w:r>
          </w:p>
        </w:tc>
        <w:tc>
          <w:tcPr>
            <w:tcW w:w="1062" w:type="dxa"/>
            <w:shd w:val="clear" w:color="auto" w:fill="auto"/>
            <w:noWrap/>
            <w:hideMark/>
          </w:tcPr>
          <w:p w14:paraId="0B01165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261,959 </w:t>
            </w:r>
          </w:p>
        </w:tc>
        <w:tc>
          <w:tcPr>
            <w:tcW w:w="963" w:type="dxa"/>
            <w:shd w:val="clear" w:color="auto" w:fill="auto"/>
            <w:noWrap/>
            <w:hideMark/>
          </w:tcPr>
          <w:p w14:paraId="43C40225"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1,520 </w:t>
            </w:r>
          </w:p>
        </w:tc>
        <w:tc>
          <w:tcPr>
            <w:tcW w:w="964" w:type="dxa"/>
            <w:shd w:val="clear" w:color="auto" w:fill="auto"/>
            <w:noWrap/>
            <w:hideMark/>
          </w:tcPr>
          <w:p w14:paraId="519311CB"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2,891 </w:t>
            </w:r>
          </w:p>
        </w:tc>
        <w:tc>
          <w:tcPr>
            <w:tcW w:w="964" w:type="dxa"/>
            <w:shd w:val="clear" w:color="auto" w:fill="auto"/>
            <w:noWrap/>
            <w:hideMark/>
          </w:tcPr>
          <w:p w14:paraId="121E761C"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11,078 </w:t>
            </w:r>
          </w:p>
        </w:tc>
        <w:tc>
          <w:tcPr>
            <w:tcW w:w="964" w:type="dxa"/>
            <w:shd w:val="clear" w:color="auto" w:fill="auto"/>
            <w:noWrap/>
            <w:hideMark/>
          </w:tcPr>
          <w:p w14:paraId="35A5D016"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246,470 </w:t>
            </w:r>
          </w:p>
        </w:tc>
        <w:tc>
          <w:tcPr>
            <w:tcW w:w="971" w:type="dxa"/>
            <w:gridSpan w:val="2"/>
            <w:shd w:val="clear" w:color="auto" w:fill="auto"/>
            <w:noWrap/>
            <w:hideMark/>
          </w:tcPr>
          <w:p w14:paraId="352CB382"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r>
      <w:tr w:rsidR="00BB4752" w:rsidRPr="00145E37" w14:paraId="051C90C6" w14:textId="77777777" w:rsidTr="001D0223">
        <w:trPr>
          <w:trHeight w:val="340"/>
        </w:trPr>
        <w:tc>
          <w:tcPr>
            <w:tcW w:w="2121" w:type="dxa"/>
            <w:shd w:val="clear" w:color="auto" w:fill="auto"/>
            <w:noWrap/>
            <w:vAlign w:val="center"/>
            <w:hideMark/>
          </w:tcPr>
          <w:p w14:paraId="1091BF81"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Total</w:t>
            </w:r>
          </w:p>
        </w:tc>
        <w:tc>
          <w:tcPr>
            <w:tcW w:w="1063" w:type="dxa"/>
            <w:shd w:val="clear" w:color="auto" w:fill="auto"/>
            <w:noWrap/>
            <w:vAlign w:val="center"/>
            <w:hideMark/>
          </w:tcPr>
          <w:p w14:paraId="426C7A7A"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6,062,644 </w:t>
            </w:r>
          </w:p>
        </w:tc>
        <w:tc>
          <w:tcPr>
            <w:tcW w:w="1062" w:type="dxa"/>
            <w:shd w:val="clear" w:color="auto" w:fill="auto"/>
            <w:noWrap/>
            <w:vAlign w:val="center"/>
            <w:hideMark/>
          </w:tcPr>
          <w:p w14:paraId="56A36027"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7,245,886 </w:t>
            </w:r>
          </w:p>
        </w:tc>
        <w:tc>
          <w:tcPr>
            <w:tcW w:w="963" w:type="dxa"/>
            <w:shd w:val="clear" w:color="auto" w:fill="auto"/>
            <w:noWrap/>
            <w:vAlign w:val="center"/>
            <w:hideMark/>
          </w:tcPr>
          <w:p w14:paraId="54AC9D18"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134,682 </w:t>
            </w:r>
          </w:p>
        </w:tc>
        <w:tc>
          <w:tcPr>
            <w:tcW w:w="964" w:type="dxa"/>
            <w:shd w:val="clear" w:color="auto" w:fill="auto"/>
            <w:noWrap/>
            <w:vAlign w:val="center"/>
            <w:hideMark/>
          </w:tcPr>
          <w:p w14:paraId="7D139541"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19,339 </w:t>
            </w:r>
          </w:p>
        </w:tc>
        <w:tc>
          <w:tcPr>
            <w:tcW w:w="964" w:type="dxa"/>
            <w:shd w:val="clear" w:color="auto" w:fill="auto"/>
            <w:noWrap/>
            <w:vAlign w:val="center"/>
            <w:hideMark/>
          </w:tcPr>
          <w:p w14:paraId="7351E242"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259,124 </w:t>
            </w:r>
          </w:p>
        </w:tc>
        <w:tc>
          <w:tcPr>
            <w:tcW w:w="964" w:type="dxa"/>
            <w:shd w:val="clear" w:color="auto" w:fill="auto"/>
            <w:noWrap/>
            <w:vAlign w:val="center"/>
            <w:hideMark/>
          </w:tcPr>
          <w:p w14:paraId="276203BA"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2,007,841</w:t>
            </w:r>
          </w:p>
        </w:tc>
        <w:tc>
          <w:tcPr>
            <w:tcW w:w="971" w:type="dxa"/>
            <w:gridSpan w:val="2"/>
            <w:shd w:val="clear" w:color="auto" w:fill="auto"/>
            <w:noWrap/>
            <w:vAlign w:val="center"/>
            <w:hideMark/>
          </w:tcPr>
          <w:p w14:paraId="7635B2E2"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4,824,900</w:t>
            </w:r>
          </w:p>
        </w:tc>
      </w:tr>
      <w:tr w:rsidR="003E5BF5" w:rsidRPr="00145E37" w14:paraId="42674844" w14:textId="77777777" w:rsidTr="001D0223">
        <w:trPr>
          <w:trHeight w:val="340"/>
        </w:trPr>
        <w:tc>
          <w:tcPr>
            <w:tcW w:w="2121" w:type="dxa"/>
            <w:shd w:val="clear" w:color="auto" w:fill="auto"/>
            <w:noWrap/>
            <w:vAlign w:val="center"/>
            <w:hideMark/>
          </w:tcPr>
          <w:p w14:paraId="33EABB65" w14:textId="77777777" w:rsidR="003E5BF5" w:rsidRPr="00145E37" w:rsidRDefault="003E5BF5" w:rsidP="00604703">
            <w:pPr>
              <w:pStyle w:val="TableTextGreen"/>
            </w:pPr>
            <w:r w:rsidRPr="00145E37">
              <w:t>2019</w:t>
            </w:r>
          </w:p>
        </w:tc>
        <w:tc>
          <w:tcPr>
            <w:tcW w:w="1063" w:type="dxa"/>
            <w:shd w:val="clear" w:color="auto" w:fill="auto"/>
            <w:noWrap/>
            <w:vAlign w:val="center"/>
            <w:hideMark/>
          </w:tcPr>
          <w:p w14:paraId="4F23E5C3" w14:textId="77777777" w:rsidR="003E5BF5" w:rsidRPr="00145E37" w:rsidRDefault="003E5BF5" w:rsidP="00DE1921">
            <w:pPr>
              <w:jc w:val="right"/>
              <w:rPr>
                <w:rFonts w:ascii="Arial" w:hAnsi="Arial" w:cs="Arial"/>
                <w:sz w:val="24"/>
                <w:szCs w:val="24"/>
                <w:lang w:eastAsia="en-AU"/>
              </w:rPr>
            </w:pPr>
          </w:p>
        </w:tc>
        <w:tc>
          <w:tcPr>
            <w:tcW w:w="1062" w:type="dxa"/>
            <w:shd w:val="clear" w:color="auto" w:fill="auto"/>
            <w:noWrap/>
            <w:vAlign w:val="center"/>
            <w:hideMark/>
          </w:tcPr>
          <w:p w14:paraId="2F323C0A" w14:textId="77777777" w:rsidR="003E5BF5" w:rsidRPr="00145E37" w:rsidRDefault="003E5BF5" w:rsidP="00DE1921">
            <w:pPr>
              <w:jc w:val="right"/>
              <w:rPr>
                <w:rFonts w:ascii="Arial" w:hAnsi="Arial" w:cs="Arial"/>
                <w:sz w:val="24"/>
                <w:szCs w:val="24"/>
                <w:lang w:eastAsia="en-AU"/>
              </w:rPr>
            </w:pPr>
          </w:p>
        </w:tc>
        <w:tc>
          <w:tcPr>
            <w:tcW w:w="963" w:type="dxa"/>
            <w:shd w:val="clear" w:color="auto" w:fill="auto"/>
            <w:noWrap/>
            <w:vAlign w:val="center"/>
            <w:hideMark/>
          </w:tcPr>
          <w:p w14:paraId="35360913" w14:textId="77777777" w:rsidR="003E5BF5" w:rsidRPr="00145E37" w:rsidRDefault="003E5BF5" w:rsidP="00DE1921">
            <w:pPr>
              <w:jc w:val="right"/>
              <w:rPr>
                <w:rFonts w:ascii="Arial" w:hAnsi="Arial" w:cs="Arial"/>
                <w:sz w:val="24"/>
                <w:szCs w:val="24"/>
                <w:lang w:eastAsia="en-AU"/>
              </w:rPr>
            </w:pPr>
          </w:p>
        </w:tc>
        <w:tc>
          <w:tcPr>
            <w:tcW w:w="964" w:type="dxa"/>
            <w:shd w:val="clear" w:color="auto" w:fill="auto"/>
            <w:noWrap/>
            <w:vAlign w:val="center"/>
            <w:hideMark/>
          </w:tcPr>
          <w:p w14:paraId="7506F5A4" w14:textId="77777777" w:rsidR="003E5BF5" w:rsidRPr="00145E37" w:rsidRDefault="003E5BF5" w:rsidP="00DE1921">
            <w:pPr>
              <w:jc w:val="right"/>
              <w:rPr>
                <w:rFonts w:ascii="Arial" w:hAnsi="Arial" w:cs="Arial"/>
                <w:sz w:val="24"/>
                <w:szCs w:val="24"/>
                <w:lang w:eastAsia="en-AU"/>
              </w:rPr>
            </w:pPr>
          </w:p>
        </w:tc>
        <w:tc>
          <w:tcPr>
            <w:tcW w:w="964" w:type="dxa"/>
            <w:shd w:val="clear" w:color="auto" w:fill="auto"/>
            <w:noWrap/>
            <w:vAlign w:val="center"/>
            <w:hideMark/>
          </w:tcPr>
          <w:p w14:paraId="270A8951" w14:textId="77777777" w:rsidR="003E5BF5" w:rsidRPr="00145E37" w:rsidRDefault="003E5BF5" w:rsidP="00DE1921">
            <w:pPr>
              <w:jc w:val="right"/>
              <w:rPr>
                <w:rFonts w:ascii="Arial" w:hAnsi="Arial" w:cs="Arial"/>
                <w:sz w:val="24"/>
                <w:szCs w:val="24"/>
                <w:lang w:eastAsia="en-AU"/>
              </w:rPr>
            </w:pPr>
          </w:p>
        </w:tc>
        <w:tc>
          <w:tcPr>
            <w:tcW w:w="964" w:type="dxa"/>
            <w:shd w:val="clear" w:color="auto" w:fill="auto"/>
            <w:noWrap/>
            <w:vAlign w:val="center"/>
            <w:hideMark/>
          </w:tcPr>
          <w:p w14:paraId="5A42C243" w14:textId="77777777" w:rsidR="003E5BF5" w:rsidRPr="00145E37" w:rsidRDefault="003E5BF5" w:rsidP="00DE1921">
            <w:pPr>
              <w:jc w:val="right"/>
              <w:rPr>
                <w:rFonts w:ascii="Arial" w:hAnsi="Arial" w:cs="Arial"/>
                <w:sz w:val="24"/>
                <w:szCs w:val="24"/>
                <w:lang w:eastAsia="en-AU"/>
              </w:rPr>
            </w:pPr>
          </w:p>
        </w:tc>
        <w:tc>
          <w:tcPr>
            <w:tcW w:w="971" w:type="dxa"/>
            <w:gridSpan w:val="2"/>
            <w:shd w:val="clear" w:color="auto" w:fill="auto"/>
            <w:noWrap/>
            <w:vAlign w:val="center"/>
            <w:hideMark/>
          </w:tcPr>
          <w:p w14:paraId="4E237C60" w14:textId="77777777" w:rsidR="003E5BF5" w:rsidRPr="00145E37" w:rsidRDefault="003E5BF5" w:rsidP="00DE1921">
            <w:pPr>
              <w:jc w:val="right"/>
              <w:rPr>
                <w:rFonts w:ascii="Arial" w:hAnsi="Arial" w:cs="Arial"/>
                <w:sz w:val="24"/>
                <w:szCs w:val="24"/>
                <w:lang w:eastAsia="en-AU"/>
              </w:rPr>
            </w:pPr>
          </w:p>
        </w:tc>
      </w:tr>
      <w:tr w:rsidR="003E5BF5" w:rsidRPr="00145E37" w14:paraId="0F7C38FF" w14:textId="77777777" w:rsidTr="001D0223">
        <w:trPr>
          <w:trHeight w:val="340"/>
        </w:trPr>
        <w:tc>
          <w:tcPr>
            <w:tcW w:w="2121" w:type="dxa"/>
            <w:shd w:val="clear" w:color="auto" w:fill="auto"/>
            <w:vAlign w:val="center"/>
            <w:hideMark/>
          </w:tcPr>
          <w:p w14:paraId="0F4C26EE"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Lease liabilities</w:t>
            </w:r>
          </w:p>
        </w:tc>
        <w:tc>
          <w:tcPr>
            <w:tcW w:w="1063" w:type="dxa"/>
            <w:shd w:val="clear" w:color="auto" w:fill="auto"/>
            <w:noWrap/>
            <w:vAlign w:val="center"/>
            <w:hideMark/>
          </w:tcPr>
          <w:p w14:paraId="777E4436"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3,582 </w:t>
            </w:r>
          </w:p>
        </w:tc>
        <w:tc>
          <w:tcPr>
            <w:tcW w:w="1062" w:type="dxa"/>
            <w:shd w:val="clear" w:color="auto" w:fill="auto"/>
            <w:noWrap/>
            <w:vAlign w:val="center"/>
            <w:hideMark/>
          </w:tcPr>
          <w:p w14:paraId="420BBDF5"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3,751 </w:t>
            </w:r>
          </w:p>
        </w:tc>
        <w:tc>
          <w:tcPr>
            <w:tcW w:w="963" w:type="dxa"/>
            <w:shd w:val="clear" w:color="auto" w:fill="auto"/>
            <w:noWrap/>
            <w:vAlign w:val="center"/>
            <w:hideMark/>
          </w:tcPr>
          <w:p w14:paraId="5783410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115 </w:t>
            </w:r>
          </w:p>
        </w:tc>
        <w:tc>
          <w:tcPr>
            <w:tcW w:w="964" w:type="dxa"/>
            <w:shd w:val="clear" w:color="auto" w:fill="auto"/>
            <w:noWrap/>
            <w:vAlign w:val="center"/>
            <w:hideMark/>
          </w:tcPr>
          <w:p w14:paraId="6162D8B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229 </w:t>
            </w:r>
          </w:p>
        </w:tc>
        <w:tc>
          <w:tcPr>
            <w:tcW w:w="964" w:type="dxa"/>
            <w:shd w:val="clear" w:color="auto" w:fill="auto"/>
            <w:noWrap/>
            <w:vAlign w:val="center"/>
            <w:hideMark/>
          </w:tcPr>
          <w:p w14:paraId="282124F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1,031 </w:t>
            </w:r>
          </w:p>
        </w:tc>
        <w:tc>
          <w:tcPr>
            <w:tcW w:w="964" w:type="dxa"/>
            <w:shd w:val="clear" w:color="auto" w:fill="auto"/>
            <w:noWrap/>
            <w:vAlign w:val="center"/>
            <w:hideMark/>
          </w:tcPr>
          <w:p w14:paraId="1A94304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2,376 </w:t>
            </w:r>
          </w:p>
        </w:tc>
        <w:tc>
          <w:tcPr>
            <w:tcW w:w="971" w:type="dxa"/>
            <w:gridSpan w:val="2"/>
            <w:shd w:val="clear" w:color="auto" w:fill="auto"/>
            <w:noWrap/>
            <w:vAlign w:val="center"/>
            <w:hideMark/>
          </w:tcPr>
          <w:p w14:paraId="420D3377"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r>
      <w:tr w:rsidR="003E5BF5" w:rsidRPr="00145E37" w14:paraId="56A19201" w14:textId="77777777" w:rsidTr="001D0223">
        <w:trPr>
          <w:trHeight w:val="340"/>
        </w:trPr>
        <w:tc>
          <w:tcPr>
            <w:tcW w:w="2121" w:type="dxa"/>
            <w:shd w:val="clear" w:color="auto" w:fill="auto"/>
            <w:vAlign w:val="center"/>
            <w:hideMark/>
          </w:tcPr>
          <w:p w14:paraId="2BA33D2B"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Service concession financial liability</w:t>
            </w:r>
          </w:p>
        </w:tc>
        <w:tc>
          <w:tcPr>
            <w:tcW w:w="1063" w:type="dxa"/>
            <w:shd w:val="clear" w:color="auto" w:fill="auto"/>
            <w:noWrap/>
            <w:hideMark/>
          </w:tcPr>
          <w:p w14:paraId="306E6CBE"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3,136,101 </w:t>
            </w:r>
          </w:p>
        </w:tc>
        <w:tc>
          <w:tcPr>
            <w:tcW w:w="1062" w:type="dxa"/>
            <w:shd w:val="clear" w:color="auto" w:fill="auto"/>
            <w:noWrap/>
            <w:hideMark/>
          </w:tcPr>
          <w:p w14:paraId="174E91DD"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3,136,101 </w:t>
            </w:r>
          </w:p>
        </w:tc>
        <w:tc>
          <w:tcPr>
            <w:tcW w:w="963" w:type="dxa"/>
            <w:shd w:val="clear" w:color="auto" w:fill="auto"/>
            <w:noWrap/>
            <w:hideMark/>
          </w:tcPr>
          <w:p w14:paraId="3C3E80C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44DF6D05"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4A663607"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30,867 </w:t>
            </w:r>
          </w:p>
        </w:tc>
        <w:tc>
          <w:tcPr>
            <w:tcW w:w="964" w:type="dxa"/>
            <w:shd w:val="clear" w:color="auto" w:fill="auto"/>
            <w:noWrap/>
            <w:hideMark/>
          </w:tcPr>
          <w:p w14:paraId="4E3382E2"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736,967</w:t>
            </w:r>
          </w:p>
        </w:tc>
        <w:tc>
          <w:tcPr>
            <w:tcW w:w="971" w:type="dxa"/>
            <w:gridSpan w:val="2"/>
            <w:shd w:val="clear" w:color="auto" w:fill="auto"/>
            <w:noWrap/>
            <w:hideMark/>
          </w:tcPr>
          <w:p w14:paraId="2930F7DD" w14:textId="77777777" w:rsidR="003E5BF5" w:rsidRPr="00145E37" w:rsidRDefault="003E5BF5" w:rsidP="00DE1921">
            <w:pPr>
              <w:jc w:val="right"/>
              <w:rPr>
                <w:rFonts w:ascii="Arial" w:hAnsi="Arial" w:cs="Arial"/>
                <w:sz w:val="24"/>
                <w:szCs w:val="24"/>
                <w:lang w:eastAsia="en-AU"/>
              </w:rPr>
            </w:pPr>
            <w:r w:rsidRPr="00145E37" w:rsidDel="0026317A">
              <w:rPr>
                <w:rFonts w:ascii="Arial" w:hAnsi="Arial" w:cs="Arial"/>
                <w:sz w:val="24"/>
                <w:szCs w:val="24"/>
              </w:rPr>
              <w:t>2,</w:t>
            </w:r>
            <w:r w:rsidRPr="00145E37">
              <w:rPr>
                <w:rFonts w:ascii="Arial" w:hAnsi="Arial" w:cs="Arial"/>
                <w:sz w:val="24"/>
                <w:szCs w:val="24"/>
              </w:rPr>
              <w:t>368,267</w:t>
            </w:r>
          </w:p>
        </w:tc>
      </w:tr>
      <w:tr w:rsidR="003E5BF5" w:rsidRPr="00145E37" w14:paraId="3E4EC13F" w14:textId="77777777" w:rsidTr="001D0223">
        <w:trPr>
          <w:trHeight w:val="340"/>
        </w:trPr>
        <w:tc>
          <w:tcPr>
            <w:tcW w:w="2121" w:type="dxa"/>
            <w:shd w:val="clear" w:color="auto" w:fill="auto"/>
            <w:vAlign w:val="center"/>
            <w:hideMark/>
          </w:tcPr>
          <w:p w14:paraId="0F6B1D76"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Advances from government</w:t>
            </w:r>
          </w:p>
        </w:tc>
        <w:tc>
          <w:tcPr>
            <w:tcW w:w="1063" w:type="dxa"/>
            <w:shd w:val="clear" w:color="auto" w:fill="auto"/>
            <w:noWrap/>
            <w:hideMark/>
          </w:tcPr>
          <w:p w14:paraId="1B55FD5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85,953 </w:t>
            </w:r>
          </w:p>
        </w:tc>
        <w:tc>
          <w:tcPr>
            <w:tcW w:w="1062" w:type="dxa"/>
            <w:shd w:val="clear" w:color="auto" w:fill="auto"/>
            <w:noWrap/>
            <w:hideMark/>
          </w:tcPr>
          <w:p w14:paraId="4CE4419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85,953 </w:t>
            </w:r>
          </w:p>
        </w:tc>
        <w:tc>
          <w:tcPr>
            <w:tcW w:w="963" w:type="dxa"/>
            <w:shd w:val="clear" w:color="auto" w:fill="auto"/>
            <w:noWrap/>
            <w:hideMark/>
          </w:tcPr>
          <w:p w14:paraId="6BB592B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34,617 </w:t>
            </w:r>
          </w:p>
        </w:tc>
        <w:tc>
          <w:tcPr>
            <w:tcW w:w="964" w:type="dxa"/>
            <w:shd w:val="clear" w:color="auto" w:fill="auto"/>
            <w:noWrap/>
            <w:hideMark/>
          </w:tcPr>
          <w:p w14:paraId="2FCAC4FC"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10F3C21B"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1,266 </w:t>
            </w:r>
          </w:p>
        </w:tc>
        <w:tc>
          <w:tcPr>
            <w:tcW w:w="964" w:type="dxa"/>
            <w:shd w:val="clear" w:color="auto" w:fill="auto"/>
            <w:noWrap/>
            <w:hideMark/>
          </w:tcPr>
          <w:p w14:paraId="726A2F0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50,070 </w:t>
            </w:r>
          </w:p>
        </w:tc>
        <w:tc>
          <w:tcPr>
            <w:tcW w:w="971" w:type="dxa"/>
            <w:gridSpan w:val="2"/>
            <w:shd w:val="clear" w:color="auto" w:fill="auto"/>
            <w:noWrap/>
            <w:hideMark/>
          </w:tcPr>
          <w:p w14:paraId="6E9AA8E8"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r>
      <w:tr w:rsidR="003E5BF5" w:rsidRPr="00145E37" w14:paraId="25BA461A" w14:textId="77777777" w:rsidTr="001D0223">
        <w:trPr>
          <w:trHeight w:val="340"/>
        </w:trPr>
        <w:tc>
          <w:tcPr>
            <w:tcW w:w="2121" w:type="dxa"/>
            <w:shd w:val="clear" w:color="auto" w:fill="auto"/>
            <w:vAlign w:val="center"/>
            <w:hideMark/>
          </w:tcPr>
          <w:p w14:paraId="6E585631"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 xml:space="preserve">Advances from </w:t>
            </w:r>
            <w:proofErr w:type="spellStart"/>
            <w:r w:rsidRPr="00145E37">
              <w:rPr>
                <w:rFonts w:ascii="Arial" w:hAnsi="Arial" w:cs="Arial"/>
                <w:sz w:val="24"/>
                <w:szCs w:val="24"/>
                <w:lang w:eastAsia="en-AU"/>
              </w:rPr>
              <w:t>non public</w:t>
            </w:r>
            <w:proofErr w:type="spellEnd"/>
            <w:r w:rsidRPr="00145E37">
              <w:rPr>
                <w:rFonts w:ascii="Arial" w:hAnsi="Arial" w:cs="Arial"/>
                <w:sz w:val="24"/>
                <w:szCs w:val="24"/>
                <w:lang w:eastAsia="en-AU"/>
              </w:rPr>
              <w:t xml:space="preserve"> sector</w:t>
            </w:r>
          </w:p>
        </w:tc>
        <w:tc>
          <w:tcPr>
            <w:tcW w:w="1063" w:type="dxa"/>
            <w:shd w:val="clear" w:color="auto" w:fill="auto"/>
            <w:noWrap/>
            <w:hideMark/>
          </w:tcPr>
          <w:p w14:paraId="4DEF7A81"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99,776 </w:t>
            </w:r>
          </w:p>
        </w:tc>
        <w:tc>
          <w:tcPr>
            <w:tcW w:w="1062" w:type="dxa"/>
            <w:shd w:val="clear" w:color="auto" w:fill="auto"/>
            <w:noWrap/>
            <w:hideMark/>
          </w:tcPr>
          <w:p w14:paraId="773B857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99,776 </w:t>
            </w:r>
          </w:p>
        </w:tc>
        <w:tc>
          <w:tcPr>
            <w:tcW w:w="963" w:type="dxa"/>
            <w:shd w:val="clear" w:color="auto" w:fill="auto"/>
            <w:noWrap/>
            <w:hideMark/>
          </w:tcPr>
          <w:p w14:paraId="417D42C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7D77F75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7E592BD5"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3DF37933"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71" w:type="dxa"/>
            <w:gridSpan w:val="2"/>
            <w:shd w:val="clear" w:color="auto" w:fill="auto"/>
            <w:noWrap/>
            <w:hideMark/>
          </w:tcPr>
          <w:p w14:paraId="407D65E1"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99,776 </w:t>
            </w:r>
          </w:p>
        </w:tc>
      </w:tr>
      <w:tr w:rsidR="003E5BF5" w:rsidRPr="00145E37" w14:paraId="7AD36F88" w14:textId="77777777" w:rsidTr="001D0223">
        <w:trPr>
          <w:trHeight w:val="340"/>
        </w:trPr>
        <w:tc>
          <w:tcPr>
            <w:tcW w:w="2121" w:type="dxa"/>
            <w:shd w:val="clear" w:color="auto" w:fill="auto"/>
            <w:noWrap/>
            <w:vAlign w:val="center"/>
            <w:hideMark/>
          </w:tcPr>
          <w:p w14:paraId="7620135B"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Total</w:t>
            </w:r>
          </w:p>
        </w:tc>
        <w:tc>
          <w:tcPr>
            <w:tcW w:w="1063" w:type="dxa"/>
            <w:shd w:val="clear" w:color="auto" w:fill="auto"/>
            <w:noWrap/>
            <w:vAlign w:val="center"/>
            <w:hideMark/>
          </w:tcPr>
          <w:p w14:paraId="479387F0"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3,325,412 </w:t>
            </w:r>
          </w:p>
        </w:tc>
        <w:tc>
          <w:tcPr>
            <w:tcW w:w="1062" w:type="dxa"/>
            <w:shd w:val="clear" w:color="auto" w:fill="auto"/>
            <w:noWrap/>
            <w:vAlign w:val="center"/>
            <w:hideMark/>
          </w:tcPr>
          <w:p w14:paraId="01D2E206"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3,325,581 </w:t>
            </w:r>
          </w:p>
        </w:tc>
        <w:tc>
          <w:tcPr>
            <w:tcW w:w="963" w:type="dxa"/>
            <w:shd w:val="clear" w:color="auto" w:fill="auto"/>
            <w:noWrap/>
            <w:vAlign w:val="center"/>
            <w:hideMark/>
          </w:tcPr>
          <w:p w14:paraId="1235BFDF"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34,732 </w:t>
            </w:r>
          </w:p>
        </w:tc>
        <w:tc>
          <w:tcPr>
            <w:tcW w:w="964" w:type="dxa"/>
            <w:shd w:val="clear" w:color="auto" w:fill="auto"/>
            <w:noWrap/>
            <w:vAlign w:val="center"/>
            <w:hideMark/>
          </w:tcPr>
          <w:p w14:paraId="330E90A0"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229 </w:t>
            </w:r>
          </w:p>
        </w:tc>
        <w:tc>
          <w:tcPr>
            <w:tcW w:w="964" w:type="dxa"/>
            <w:shd w:val="clear" w:color="auto" w:fill="auto"/>
            <w:noWrap/>
            <w:vAlign w:val="center"/>
            <w:hideMark/>
          </w:tcPr>
          <w:p w14:paraId="50CF26F6"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33,164 </w:t>
            </w:r>
          </w:p>
        </w:tc>
        <w:tc>
          <w:tcPr>
            <w:tcW w:w="964" w:type="dxa"/>
            <w:shd w:val="clear" w:color="auto" w:fill="auto"/>
            <w:noWrap/>
            <w:vAlign w:val="center"/>
            <w:hideMark/>
          </w:tcPr>
          <w:p w14:paraId="3616873B"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789,413</w:t>
            </w:r>
          </w:p>
        </w:tc>
        <w:tc>
          <w:tcPr>
            <w:tcW w:w="971" w:type="dxa"/>
            <w:gridSpan w:val="2"/>
            <w:shd w:val="clear" w:color="auto" w:fill="auto"/>
            <w:noWrap/>
            <w:vAlign w:val="center"/>
            <w:hideMark/>
          </w:tcPr>
          <w:p w14:paraId="194EB070" w14:textId="77777777" w:rsidR="003E5BF5" w:rsidRPr="00145E37" w:rsidRDefault="003E5BF5" w:rsidP="00DE1921">
            <w:pPr>
              <w:jc w:val="right"/>
              <w:rPr>
                <w:rFonts w:ascii="Arial" w:hAnsi="Arial" w:cs="Arial"/>
                <w:b/>
                <w:sz w:val="24"/>
                <w:szCs w:val="24"/>
                <w:lang w:eastAsia="en-AU"/>
              </w:rPr>
            </w:pPr>
            <w:r w:rsidRPr="00145E37" w:rsidDel="00664AF3">
              <w:rPr>
                <w:rFonts w:ascii="Arial" w:hAnsi="Arial" w:cs="Arial"/>
                <w:b/>
                <w:sz w:val="24"/>
                <w:szCs w:val="24"/>
              </w:rPr>
              <w:t>2,</w:t>
            </w:r>
            <w:r w:rsidRPr="00145E37">
              <w:rPr>
                <w:rFonts w:ascii="Arial" w:hAnsi="Arial" w:cs="Arial"/>
                <w:b/>
                <w:sz w:val="24"/>
                <w:szCs w:val="24"/>
              </w:rPr>
              <w:t>468,043</w:t>
            </w:r>
          </w:p>
        </w:tc>
      </w:tr>
      <w:tr w:rsidR="003E5BF5" w:rsidRPr="00145E37" w14:paraId="6793B393" w14:textId="77777777" w:rsidTr="001D0223">
        <w:trPr>
          <w:trHeight w:val="340"/>
        </w:trPr>
        <w:tc>
          <w:tcPr>
            <w:tcW w:w="2121" w:type="dxa"/>
            <w:shd w:val="clear" w:color="auto" w:fill="auto"/>
            <w:noWrap/>
            <w:vAlign w:val="center"/>
            <w:hideMark/>
          </w:tcPr>
          <w:p w14:paraId="1C6AB31D" w14:textId="77777777" w:rsidR="003E5BF5" w:rsidRPr="00145E37" w:rsidRDefault="003E5BF5" w:rsidP="00604703">
            <w:pPr>
              <w:pStyle w:val="TableTextGreen"/>
            </w:pPr>
            <w:r w:rsidRPr="00145E37">
              <w:t>Parent</w:t>
            </w:r>
          </w:p>
        </w:tc>
        <w:tc>
          <w:tcPr>
            <w:tcW w:w="1063" w:type="dxa"/>
            <w:shd w:val="clear" w:color="auto" w:fill="auto"/>
            <w:noWrap/>
            <w:vAlign w:val="center"/>
            <w:hideMark/>
          </w:tcPr>
          <w:p w14:paraId="44661901" w14:textId="77777777" w:rsidR="003E5BF5" w:rsidRPr="00145E37" w:rsidRDefault="003E5BF5" w:rsidP="00DE1921">
            <w:pPr>
              <w:jc w:val="right"/>
              <w:rPr>
                <w:rFonts w:ascii="Arial" w:hAnsi="Arial" w:cs="Arial"/>
                <w:b/>
                <w:sz w:val="24"/>
                <w:szCs w:val="24"/>
                <w:lang w:eastAsia="en-AU"/>
              </w:rPr>
            </w:pPr>
          </w:p>
        </w:tc>
        <w:tc>
          <w:tcPr>
            <w:tcW w:w="1062" w:type="dxa"/>
            <w:shd w:val="clear" w:color="auto" w:fill="auto"/>
            <w:noWrap/>
            <w:vAlign w:val="center"/>
            <w:hideMark/>
          </w:tcPr>
          <w:p w14:paraId="1BDA216B" w14:textId="77777777" w:rsidR="003E5BF5" w:rsidRPr="00145E37" w:rsidRDefault="003E5BF5" w:rsidP="00DE1921">
            <w:pPr>
              <w:jc w:val="right"/>
              <w:rPr>
                <w:rFonts w:ascii="Arial" w:hAnsi="Arial" w:cs="Arial"/>
                <w:b/>
                <w:sz w:val="24"/>
                <w:szCs w:val="24"/>
                <w:lang w:eastAsia="en-AU"/>
              </w:rPr>
            </w:pPr>
          </w:p>
        </w:tc>
        <w:tc>
          <w:tcPr>
            <w:tcW w:w="963" w:type="dxa"/>
            <w:shd w:val="clear" w:color="auto" w:fill="auto"/>
            <w:noWrap/>
            <w:vAlign w:val="center"/>
            <w:hideMark/>
          </w:tcPr>
          <w:p w14:paraId="1A40C87C" w14:textId="77777777" w:rsidR="003E5BF5" w:rsidRPr="00145E37" w:rsidRDefault="003E5BF5" w:rsidP="00DE1921">
            <w:pPr>
              <w:jc w:val="right"/>
              <w:rPr>
                <w:rFonts w:ascii="Arial" w:hAnsi="Arial" w:cs="Arial"/>
                <w:b/>
                <w:sz w:val="24"/>
                <w:szCs w:val="24"/>
                <w:lang w:eastAsia="en-AU"/>
              </w:rPr>
            </w:pPr>
          </w:p>
        </w:tc>
        <w:tc>
          <w:tcPr>
            <w:tcW w:w="964" w:type="dxa"/>
            <w:shd w:val="clear" w:color="auto" w:fill="auto"/>
            <w:noWrap/>
            <w:vAlign w:val="center"/>
            <w:hideMark/>
          </w:tcPr>
          <w:p w14:paraId="425802E1" w14:textId="77777777" w:rsidR="003E5BF5" w:rsidRPr="00145E37" w:rsidRDefault="003E5BF5" w:rsidP="00DE1921">
            <w:pPr>
              <w:jc w:val="right"/>
              <w:rPr>
                <w:rFonts w:ascii="Arial" w:hAnsi="Arial" w:cs="Arial"/>
                <w:b/>
                <w:sz w:val="24"/>
                <w:szCs w:val="24"/>
                <w:lang w:eastAsia="en-AU"/>
              </w:rPr>
            </w:pPr>
          </w:p>
        </w:tc>
        <w:tc>
          <w:tcPr>
            <w:tcW w:w="964" w:type="dxa"/>
            <w:shd w:val="clear" w:color="auto" w:fill="auto"/>
            <w:noWrap/>
            <w:vAlign w:val="center"/>
            <w:hideMark/>
          </w:tcPr>
          <w:p w14:paraId="457356AB" w14:textId="77777777" w:rsidR="003E5BF5" w:rsidRPr="00145E37" w:rsidRDefault="003E5BF5" w:rsidP="00DE1921">
            <w:pPr>
              <w:jc w:val="right"/>
              <w:rPr>
                <w:rFonts w:ascii="Arial" w:hAnsi="Arial" w:cs="Arial"/>
                <w:b/>
                <w:sz w:val="24"/>
                <w:szCs w:val="24"/>
                <w:lang w:eastAsia="en-AU"/>
              </w:rPr>
            </w:pPr>
          </w:p>
        </w:tc>
        <w:tc>
          <w:tcPr>
            <w:tcW w:w="964" w:type="dxa"/>
            <w:shd w:val="clear" w:color="auto" w:fill="auto"/>
            <w:noWrap/>
            <w:vAlign w:val="center"/>
            <w:hideMark/>
          </w:tcPr>
          <w:p w14:paraId="74D0AB4B" w14:textId="77777777" w:rsidR="003E5BF5" w:rsidRPr="00145E37" w:rsidRDefault="003E5BF5" w:rsidP="00DE1921">
            <w:pPr>
              <w:jc w:val="right"/>
              <w:rPr>
                <w:rFonts w:ascii="Arial" w:hAnsi="Arial" w:cs="Arial"/>
                <w:b/>
                <w:sz w:val="24"/>
                <w:szCs w:val="24"/>
                <w:lang w:eastAsia="en-AU"/>
              </w:rPr>
            </w:pPr>
          </w:p>
        </w:tc>
        <w:tc>
          <w:tcPr>
            <w:tcW w:w="971" w:type="dxa"/>
            <w:gridSpan w:val="2"/>
            <w:shd w:val="clear" w:color="auto" w:fill="auto"/>
            <w:noWrap/>
            <w:vAlign w:val="center"/>
            <w:hideMark/>
          </w:tcPr>
          <w:p w14:paraId="04485FE6" w14:textId="77777777" w:rsidR="003E5BF5" w:rsidRPr="00145E37" w:rsidRDefault="003E5BF5" w:rsidP="00DE1921">
            <w:pPr>
              <w:jc w:val="right"/>
              <w:rPr>
                <w:rFonts w:ascii="Arial" w:hAnsi="Arial" w:cs="Arial"/>
                <w:b/>
                <w:sz w:val="24"/>
                <w:szCs w:val="24"/>
                <w:lang w:eastAsia="en-AU"/>
              </w:rPr>
            </w:pPr>
          </w:p>
        </w:tc>
      </w:tr>
      <w:tr w:rsidR="00BB4752" w:rsidRPr="00145E37" w14:paraId="761BDFDF" w14:textId="77777777" w:rsidTr="001D0223">
        <w:trPr>
          <w:trHeight w:val="340"/>
        </w:trPr>
        <w:tc>
          <w:tcPr>
            <w:tcW w:w="2121" w:type="dxa"/>
            <w:shd w:val="clear" w:color="auto" w:fill="auto"/>
            <w:noWrap/>
            <w:vAlign w:val="center"/>
            <w:hideMark/>
          </w:tcPr>
          <w:p w14:paraId="285CF102" w14:textId="77777777" w:rsidR="003E5BF5" w:rsidRPr="00145E37" w:rsidRDefault="003E5BF5" w:rsidP="00604703">
            <w:pPr>
              <w:pStyle w:val="TableTextGreen"/>
            </w:pPr>
            <w:r w:rsidRPr="00145E37">
              <w:t>2020</w:t>
            </w:r>
          </w:p>
        </w:tc>
        <w:tc>
          <w:tcPr>
            <w:tcW w:w="1063" w:type="dxa"/>
            <w:shd w:val="clear" w:color="auto" w:fill="auto"/>
            <w:noWrap/>
            <w:vAlign w:val="center"/>
            <w:hideMark/>
          </w:tcPr>
          <w:p w14:paraId="1096B511" w14:textId="77777777" w:rsidR="003E5BF5" w:rsidRPr="00145E37" w:rsidRDefault="003E5BF5" w:rsidP="00DE1921">
            <w:pPr>
              <w:jc w:val="right"/>
              <w:rPr>
                <w:rFonts w:ascii="Arial" w:hAnsi="Arial" w:cs="Arial"/>
                <w:sz w:val="24"/>
                <w:szCs w:val="24"/>
                <w:lang w:eastAsia="en-AU"/>
              </w:rPr>
            </w:pPr>
          </w:p>
        </w:tc>
        <w:tc>
          <w:tcPr>
            <w:tcW w:w="1062" w:type="dxa"/>
            <w:shd w:val="clear" w:color="auto" w:fill="auto"/>
            <w:noWrap/>
            <w:vAlign w:val="center"/>
            <w:hideMark/>
          </w:tcPr>
          <w:p w14:paraId="00AD10C4" w14:textId="77777777" w:rsidR="003E5BF5" w:rsidRPr="00145E37" w:rsidRDefault="003E5BF5" w:rsidP="00DE1921">
            <w:pPr>
              <w:jc w:val="right"/>
              <w:rPr>
                <w:rFonts w:ascii="Arial" w:hAnsi="Arial" w:cs="Arial"/>
                <w:sz w:val="24"/>
                <w:szCs w:val="24"/>
                <w:lang w:eastAsia="en-AU"/>
              </w:rPr>
            </w:pPr>
          </w:p>
        </w:tc>
        <w:tc>
          <w:tcPr>
            <w:tcW w:w="963" w:type="dxa"/>
            <w:shd w:val="clear" w:color="auto" w:fill="auto"/>
            <w:noWrap/>
            <w:vAlign w:val="center"/>
            <w:hideMark/>
          </w:tcPr>
          <w:p w14:paraId="0A68DC8A" w14:textId="77777777" w:rsidR="003E5BF5" w:rsidRPr="00145E37" w:rsidRDefault="003E5BF5" w:rsidP="00DE1921">
            <w:pPr>
              <w:jc w:val="right"/>
              <w:rPr>
                <w:rFonts w:ascii="Arial" w:hAnsi="Arial" w:cs="Arial"/>
                <w:sz w:val="24"/>
                <w:szCs w:val="24"/>
                <w:lang w:eastAsia="en-AU"/>
              </w:rPr>
            </w:pPr>
          </w:p>
        </w:tc>
        <w:tc>
          <w:tcPr>
            <w:tcW w:w="964" w:type="dxa"/>
            <w:shd w:val="clear" w:color="auto" w:fill="auto"/>
            <w:noWrap/>
            <w:vAlign w:val="center"/>
            <w:hideMark/>
          </w:tcPr>
          <w:p w14:paraId="73E1497C" w14:textId="77777777" w:rsidR="003E5BF5" w:rsidRPr="00145E37" w:rsidRDefault="003E5BF5" w:rsidP="00DE1921">
            <w:pPr>
              <w:jc w:val="right"/>
              <w:rPr>
                <w:rFonts w:ascii="Arial" w:hAnsi="Arial" w:cs="Arial"/>
                <w:sz w:val="24"/>
                <w:szCs w:val="24"/>
                <w:lang w:eastAsia="en-AU"/>
              </w:rPr>
            </w:pPr>
          </w:p>
        </w:tc>
        <w:tc>
          <w:tcPr>
            <w:tcW w:w="964" w:type="dxa"/>
            <w:shd w:val="clear" w:color="auto" w:fill="auto"/>
            <w:noWrap/>
            <w:vAlign w:val="center"/>
            <w:hideMark/>
          </w:tcPr>
          <w:p w14:paraId="24CD1DF6" w14:textId="77777777" w:rsidR="003E5BF5" w:rsidRPr="00145E37" w:rsidRDefault="003E5BF5" w:rsidP="00DE1921">
            <w:pPr>
              <w:jc w:val="right"/>
              <w:rPr>
                <w:rFonts w:ascii="Arial" w:hAnsi="Arial" w:cs="Arial"/>
                <w:sz w:val="24"/>
                <w:szCs w:val="24"/>
                <w:lang w:eastAsia="en-AU"/>
              </w:rPr>
            </w:pPr>
          </w:p>
        </w:tc>
        <w:tc>
          <w:tcPr>
            <w:tcW w:w="964" w:type="dxa"/>
            <w:shd w:val="clear" w:color="auto" w:fill="auto"/>
            <w:noWrap/>
            <w:vAlign w:val="center"/>
            <w:hideMark/>
          </w:tcPr>
          <w:p w14:paraId="6C0324A1" w14:textId="77777777" w:rsidR="003E5BF5" w:rsidRPr="00145E37" w:rsidRDefault="003E5BF5" w:rsidP="00DE1921">
            <w:pPr>
              <w:jc w:val="right"/>
              <w:rPr>
                <w:rFonts w:ascii="Arial" w:hAnsi="Arial" w:cs="Arial"/>
                <w:sz w:val="24"/>
                <w:szCs w:val="24"/>
                <w:lang w:eastAsia="en-AU"/>
              </w:rPr>
            </w:pPr>
          </w:p>
        </w:tc>
        <w:tc>
          <w:tcPr>
            <w:tcW w:w="971" w:type="dxa"/>
            <w:gridSpan w:val="2"/>
            <w:shd w:val="clear" w:color="auto" w:fill="auto"/>
            <w:noWrap/>
            <w:vAlign w:val="center"/>
            <w:hideMark/>
          </w:tcPr>
          <w:p w14:paraId="4FA13284" w14:textId="77777777" w:rsidR="003E5BF5" w:rsidRPr="00145E37" w:rsidRDefault="003E5BF5" w:rsidP="00DE1921">
            <w:pPr>
              <w:jc w:val="right"/>
              <w:rPr>
                <w:rFonts w:ascii="Arial" w:hAnsi="Arial" w:cs="Arial"/>
                <w:sz w:val="24"/>
                <w:szCs w:val="24"/>
                <w:lang w:eastAsia="en-AU"/>
              </w:rPr>
            </w:pPr>
          </w:p>
        </w:tc>
      </w:tr>
      <w:tr w:rsidR="00BB4752" w:rsidRPr="00145E37" w14:paraId="362A31F2" w14:textId="77777777" w:rsidTr="001D0223">
        <w:trPr>
          <w:trHeight w:val="340"/>
        </w:trPr>
        <w:tc>
          <w:tcPr>
            <w:tcW w:w="2121" w:type="dxa"/>
            <w:shd w:val="clear" w:color="auto" w:fill="auto"/>
            <w:vAlign w:val="center"/>
            <w:hideMark/>
          </w:tcPr>
          <w:p w14:paraId="266859C3"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Lease liabilities</w:t>
            </w:r>
          </w:p>
        </w:tc>
        <w:tc>
          <w:tcPr>
            <w:tcW w:w="1063" w:type="dxa"/>
            <w:shd w:val="clear" w:color="auto" w:fill="auto"/>
            <w:noWrap/>
            <w:vAlign w:val="center"/>
            <w:hideMark/>
          </w:tcPr>
          <w:p w14:paraId="0C48491D"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230,044 </w:t>
            </w:r>
          </w:p>
        </w:tc>
        <w:tc>
          <w:tcPr>
            <w:tcW w:w="1062" w:type="dxa"/>
            <w:shd w:val="clear" w:color="auto" w:fill="auto"/>
            <w:noWrap/>
            <w:vAlign w:val="center"/>
            <w:hideMark/>
          </w:tcPr>
          <w:p w14:paraId="4C2984A6"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260,891 </w:t>
            </w:r>
          </w:p>
        </w:tc>
        <w:tc>
          <w:tcPr>
            <w:tcW w:w="963" w:type="dxa"/>
            <w:shd w:val="clear" w:color="auto" w:fill="auto"/>
            <w:noWrap/>
            <w:vAlign w:val="center"/>
            <w:hideMark/>
          </w:tcPr>
          <w:p w14:paraId="6FD2A71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2,575 </w:t>
            </w:r>
          </w:p>
        </w:tc>
        <w:tc>
          <w:tcPr>
            <w:tcW w:w="964" w:type="dxa"/>
            <w:shd w:val="clear" w:color="auto" w:fill="auto"/>
            <w:noWrap/>
            <w:vAlign w:val="center"/>
            <w:hideMark/>
          </w:tcPr>
          <w:p w14:paraId="7F615F4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6,120 </w:t>
            </w:r>
          </w:p>
        </w:tc>
        <w:tc>
          <w:tcPr>
            <w:tcW w:w="964" w:type="dxa"/>
            <w:shd w:val="clear" w:color="auto" w:fill="auto"/>
            <w:noWrap/>
            <w:vAlign w:val="center"/>
            <w:hideMark/>
          </w:tcPr>
          <w:p w14:paraId="5590B73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28,733 </w:t>
            </w:r>
          </w:p>
        </w:tc>
        <w:tc>
          <w:tcPr>
            <w:tcW w:w="964" w:type="dxa"/>
            <w:shd w:val="clear" w:color="auto" w:fill="auto"/>
            <w:noWrap/>
            <w:vAlign w:val="center"/>
            <w:hideMark/>
          </w:tcPr>
          <w:p w14:paraId="2BD11757"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190,060 </w:t>
            </w:r>
          </w:p>
        </w:tc>
        <w:tc>
          <w:tcPr>
            <w:tcW w:w="971" w:type="dxa"/>
            <w:gridSpan w:val="2"/>
            <w:shd w:val="clear" w:color="auto" w:fill="auto"/>
            <w:noWrap/>
            <w:vAlign w:val="center"/>
            <w:hideMark/>
          </w:tcPr>
          <w:p w14:paraId="0F792918"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33,403 </w:t>
            </w:r>
          </w:p>
        </w:tc>
      </w:tr>
      <w:tr w:rsidR="00BB4752" w:rsidRPr="00145E37" w14:paraId="2014D774" w14:textId="77777777" w:rsidTr="001D0223">
        <w:trPr>
          <w:trHeight w:val="340"/>
        </w:trPr>
        <w:tc>
          <w:tcPr>
            <w:tcW w:w="2121" w:type="dxa"/>
            <w:shd w:val="clear" w:color="auto" w:fill="auto"/>
            <w:vAlign w:val="center"/>
            <w:hideMark/>
          </w:tcPr>
          <w:p w14:paraId="0BCADB8C"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Service concession financial liability</w:t>
            </w:r>
          </w:p>
        </w:tc>
        <w:tc>
          <w:tcPr>
            <w:tcW w:w="1063" w:type="dxa"/>
            <w:shd w:val="clear" w:color="auto" w:fill="auto"/>
            <w:noWrap/>
            <w:hideMark/>
          </w:tcPr>
          <w:p w14:paraId="00553A0B"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5,488,451 </w:t>
            </w:r>
          </w:p>
        </w:tc>
        <w:tc>
          <w:tcPr>
            <w:tcW w:w="1062" w:type="dxa"/>
            <w:shd w:val="clear" w:color="auto" w:fill="auto"/>
            <w:noWrap/>
            <w:hideMark/>
          </w:tcPr>
          <w:p w14:paraId="60A0639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6,640,848 </w:t>
            </w:r>
          </w:p>
        </w:tc>
        <w:tc>
          <w:tcPr>
            <w:tcW w:w="963" w:type="dxa"/>
            <w:shd w:val="clear" w:color="auto" w:fill="auto"/>
            <w:noWrap/>
            <w:hideMark/>
          </w:tcPr>
          <w:p w14:paraId="041A0037"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1,926 </w:t>
            </w:r>
          </w:p>
        </w:tc>
        <w:tc>
          <w:tcPr>
            <w:tcW w:w="964" w:type="dxa"/>
            <w:shd w:val="clear" w:color="auto" w:fill="auto"/>
            <w:noWrap/>
            <w:hideMark/>
          </w:tcPr>
          <w:p w14:paraId="7486E3BE"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13,219 </w:t>
            </w:r>
          </w:p>
        </w:tc>
        <w:tc>
          <w:tcPr>
            <w:tcW w:w="964" w:type="dxa"/>
            <w:shd w:val="clear" w:color="auto" w:fill="auto"/>
            <w:noWrap/>
            <w:hideMark/>
          </w:tcPr>
          <w:p w14:paraId="75DBDED7"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125,481 </w:t>
            </w:r>
          </w:p>
        </w:tc>
        <w:tc>
          <w:tcPr>
            <w:tcW w:w="964" w:type="dxa"/>
            <w:shd w:val="clear" w:color="auto" w:fill="auto"/>
            <w:noWrap/>
            <w:hideMark/>
          </w:tcPr>
          <w:p w14:paraId="0F00D0D3"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1,708,725</w:t>
            </w:r>
          </w:p>
        </w:tc>
        <w:tc>
          <w:tcPr>
            <w:tcW w:w="971" w:type="dxa"/>
            <w:gridSpan w:val="2"/>
            <w:shd w:val="clear" w:color="auto" w:fill="auto"/>
            <w:noWrap/>
            <w:hideMark/>
          </w:tcPr>
          <w:p w14:paraId="2D57E5B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4,791,497</w:t>
            </w:r>
          </w:p>
        </w:tc>
      </w:tr>
      <w:tr w:rsidR="00BB4752" w:rsidRPr="00145E37" w14:paraId="5DF35092" w14:textId="77777777" w:rsidTr="001D0223">
        <w:trPr>
          <w:trHeight w:val="340"/>
        </w:trPr>
        <w:tc>
          <w:tcPr>
            <w:tcW w:w="2121" w:type="dxa"/>
            <w:shd w:val="clear" w:color="auto" w:fill="auto"/>
            <w:vAlign w:val="center"/>
            <w:hideMark/>
          </w:tcPr>
          <w:p w14:paraId="5A9A5089"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Advances from government</w:t>
            </w:r>
          </w:p>
        </w:tc>
        <w:tc>
          <w:tcPr>
            <w:tcW w:w="1063" w:type="dxa"/>
            <w:shd w:val="clear" w:color="auto" w:fill="auto"/>
            <w:noWrap/>
            <w:hideMark/>
          </w:tcPr>
          <w:p w14:paraId="6D1077F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239,492 </w:t>
            </w:r>
          </w:p>
        </w:tc>
        <w:tc>
          <w:tcPr>
            <w:tcW w:w="1062" w:type="dxa"/>
            <w:shd w:val="clear" w:color="auto" w:fill="auto"/>
            <w:noWrap/>
            <w:hideMark/>
          </w:tcPr>
          <w:p w14:paraId="2BD7945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239,492 </w:t>
            </w:r>
          </w:p>
        </w:tc>
        <w:tc>
          <w:tcPr>
            <w:tcW w:w="963" w:type="dxa"/>
            <w:shd w:val="clear" w:color="auto" w:fill="auto"/>
            <w:noWrap/>
            <w:hideMark/>
          </w:tcPr>
          <w:p w14:paraId="08631525"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130,182 </w:t>
            </w:r>
          </w:p>
        </w:tc>
        <w:tc>
          <w:tcPr>
            <w:tcW w:w="964" w:type="dxa"/>
            <w:shd w:val="clear" w:color="auto" w:fill="auto"/>
            <w:noWrap/>
            <w:hideMark/>
          </w:tcPr>
          <w:p w14:paraId="5C2ED4C0"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0BA4BF51"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104,910 </w:t>
            </w:r>
          </w:p>
        </w:tc>
        <w:tc>
          <w:tcPr>
            <w:tcW w:w="964" w:type="dxa"/>
            <w:shd w:val="clear" w:color="auto" w:fill="auto"/>
            <w:noWrap/>
            <w:hideMark/>
          </w:tcPr>
          <w:p w14:paraId="4A4C39AD"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4,400 </w:t>
            </w:r>
          </w:p>
        </w:tc>
        <w:tc>
          <w:tcPr>
            <w:tcW w:w="971" w:type="dxa"/>
            <w:gridSpan w:val="2"/>
            <w:shd w:val="clear" w:color="auto" w:fill="auto"/>
            <w:noWrap/>
            <w:hideMark/>
          </w:tcPr>
          <w:p w14:paraId="694D84F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r>
      <w:tr w:rsidR="00BB4752" w:rsidRPr="00145E37" w14:paraId="573232C9" w14:textId="77777777" w:rsidTr="001D0223">
        <w:trPr>
          <w:trHeight w:val="340"/>
        </w:trPr>
        <w:tc>
          <w:tcPr>
            <w:tcW w:w="2121" w:type="dxa"/>
            <w:shd w:val="clear" w:color="auto" w:fill="auto"/>
            <w:vAlign w:val="center"/>
            <w:hideMark/>
          </w:tcPr>
          <w:p w14:paraId="5A66E481"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 xml:space="preserve">Advances from </w:t>
            </w:r>
            <w:proofErr w:type="spellStart"/>
            <w:r w:rsidRPr="00145E37">
              <w:rPr>
                <w:rFonts w:ascii="Arial" w:hAnsi="Arial" w:cs="Arial"/>
                <w:sz w:val="24"/>
                <w:szCs w:val="24"/>
                <w:lang w:eastAsia="en-AU"/>
              </w:rPr>
              <w:t>non public</w:t>
            </w:r>
            <w:proofErr w:type="spellEnd"/>
            <w:r w:rsidRPr="00145E37">
              <w:rPr>
                <w:rFonts w:ascii="Arial" w:hAnsi="Arial" w:cs="Arial"/>
                <w:sz w:val="24"/>
                <w:szCs w:val="24"/>
                <w:lang w:eastAsia="en-AU"/>
              </w:rPr>
              <w:t xml:space="preserve"> sector</w:t>
            </w:r>
          </w:p>
        </w:tc>
        <w:tc>
          <w:tcPr>
            <w:tcW w:w="1063" w:type="dxa"/>
            <w:shd w:val="clear" w:color="auto" w:fill="auto"/>
            <w:noWrap/>
            <w:hideMark/>
          </w:tcPr>
          <w:p w14:paraId="3858FF2E"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104,657 </w:t>
            </w:r>
          </w:p>
        </w:tc>
        <w:tc>
          <w:tcPr>
            <w:tcW w:w="1062" w:type="dxa"/>
            <w:shd w:val="clear" w:color="auto" w:fill="auto"/>
            <w:noWrap/>
            <w:hideMark/>
          </w:tcPr>
          <w:p w14:paraId="49426B2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104,657 </w:t>
            </w:r>
          </w:p>
        </w:tc>
        <w:tc>
          <w:tcPr>
            <w:tcW w:w="963" w:type="dxa"/>
            <w:shd w:val="clear" w:color="auto" w:fill="auto"/>
            <w:noWrap/>
            <w:hideMark/>
          </w:tcPr>
          <w:p w14:paraId="14151F58"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09602F97"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4A0E654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25515D0B"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104,657 </w:t>
            </w:r>
          </w:p>
        </w:tc>
        <w:tc>
          <w:tcPr>
            <w:tcW w:w="971" w:type="dxa"/>
            <w:gridSpan w:val="2"/>
            <w:shd w:val="clear" w:color="auto" w:fill="auto"/>
            <w:noWrap/>
            <w:hideMark/>
          </w:tcPr>
          <w:p w14:paraId="3D6B4491"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r>
      <w:tr w:rsidR="00BB4752" w:rsidRPr="00145E37" w14:paraId="626E3B00" w14:textId="77777777" w:rsidTr="001D0223">
        <w:trPr>
          <w:trHeight w:val="340"/>
        </w:trPr>
        <w:tc>
          <w:tcPr>
            <w:tcW w:w="2121" w:type="dxa"/>
            <w:shd w:val="clear" w:color="auto" w:fill="auto"/>
            <w:noWrap/>
            <w:vAlign w:val="center"/>
            <w:hideMark/>
          </w:tcPr>
          <w:p w14:paraId="3BD32721"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Total</w:t>
            </w:r>
          </w:p>
        </w:tc>
        <w:tc>
          <w:tcPr>
            <w:tcW w:w="1063" w:type="dxa"/>
            <w:shd w:val="clear" w:color="auto" w:fill="auto"/>
            <w:noWrap/>
            <w:vAlign w:val="center"/>
            <w:hideMark/>
          </w:tcPr>
          <w:p w14:paraId="2E90FC39"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6,062,644 </w:t>
            </w:r>
          </w:p>
        </w:tc>
        <w:tc>
          <w:tcPr>
            <w:tcW w:w="1062" w:type="dxa"/>
            <w:shd w:val="clear" w:color="auto" w:fill="auto"/>
            <w:noWrap/>
            <w:vAlign w:val="center"/>
            <w:hideMark/>
          </w:tcPr>
          <w:p w14:paraId="0B28EB61"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7,245,888 </w:t>
            </w:r>
          </w:p>
        </w:tc>
        <w:tc>
          <w:tcPr>
            <w:tcW w:w="963" w:type="dxa"/>
            <w:shd w:val="clear" w:color="auto" w:fill="auto"/>
            <w:noWrap/>
            <w:vAlign w:val="center"/>
            <w:hideMark/>
          </w:tcPr>
          <w:p w14:paraId="3BDAA575"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134,683 </w:t>
            </w:r>
          </w:p>
        </w:tc>
        <w:tc>
          <w:tcPr>
            <w:tcW w:w="964" w:type="dxa"/>
            <w:shd w:val="clear" w:color="auto" w:fill="auto"/>
            <w:noWrap/>
            <w:vAlign w:val="center"/>
            <w:hideMark/>
          </w:tcPr>
          <w:p w14:paraId="4E0A3C57"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19,339 </w:t>
            </w:r>
          </w:p>
        </w:tc>
        <w:tc>
          <w:tcPr>
            <w:tcW w:w="964" w:type="dxa"/>
            <w:shd w:val="clear" w:color="auto" w:fill="auto"/>
            <w:noWrap/>
            <w:vAlign w:val="center"/>
            <w:hideMark/>
          </w:tcPr>
          <w:p w14:paraId="79B9B057"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259,124 </w:t>
            </w:r>
          </w:p>
        </w:tc>
        <w:tc>
          <w:tcPr>
            <w:tcW w:w="964" w:type="dxa"/>
            <w:shd w:val="clear" w:color="auto" w:fill="auto"/>
            <w:noWrap/>
            <w:vAlign w:val="center"/>
            <w:hideMark/>
          </w:tcPr>
          <w:p w14:paraId="63AEF888"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2,007,841</w:t>
            </w:r>
          </w:p>
        </w:tc>
        <w:tc>
          <w:tcPr>
            <w:tcW w:w="971" w:type="dxa"/>
            <w:gridSpan w:val="2"/>
            <w:shd w:val="clear" w:color="auto" w:fill="auto"/>
            <w:noWrap/>
            <w:vAlign w:val="center"/>
            <w:hideMark/>
          </w:tcPr>
          <w:p w14:paraId="4A816E38"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4,824,900</w:t>
            </w:r>
          </w:p>
        </w:tc>
      </w:tr>
      <w:tr w:rsidR="003E5BF5" w:rsidRPr="00145E37" w14:paraId="445066E3" w14:textId="77777777" w:rsidTr="001D0223">
        <w:trPr>
          <w:trHeight w:val="340"/>
        </w:trPr>
        <w:tc>
          <w:tcPr>
            <w:tcW w:w="2121" w:type="dxa"/>
            <w:shd w:val="clear" w:color="auto" w:fill="auto"/>
            <w:noWrap/>
            <w:vAlign w:val="center"/>
            <w:hideMark/>
          </w:tcPr>
          <w:p w14:paraId="39DA54FA" w14:textId="77777777" w:rsidR="003E5BF5" w:rsidRPr="00145E37" w:rsidRDefault="003E5BF5" w:rsidP="00604703">
            <w:pPr>
              <w:pStyle w:val="TableTextGreen"/>
            </w:pPr>
            <w:r w:rsidRPr="00145E37">
              <w:t>2019</w:t>
            </w:r>
          </w:p>
        </w:tc>
        <w:tc>
          <w:tcPr>
            <w:tcW w:w="1063" w:type="dxa"/>
            <w:shd w:val="clear" w:color="auto" w:fill="auto"/>
            <w:noWrap/>
            <w:vAlign w:val="center"/>
            <w:hideMark/>
          </w:tcPr>
          <w:p w14:paraId="07FADCD5" w14:textId="77777777" w:rsidR="003E5BF5" w:rsidRPr="00145E37" w:rsidRDefault="003E5BF5" w:rsidP="00DE1921">
            <w:pPr>
              <w:jc w:val="right"/>
              <w:rPr>
                <w:rFonts w:ascii="Arial" w:hAnsi="Arial" w:cs="Arial"/>
                <w:b/>
                <w:sz w:val="24"/>
                <w:szCs w:val="24"/>
                <w:lang w:eastAsia="en-AU"/>
              </w:rPr>
            </w:pPr>
          </w:p>
        </w:tc>
        <w:tc>
          <w:tcPr>
            <w:tcW w:w="1062" w:type="dxa"/>
            <w:shd w:val="clear" w:color="auto" w:fill="auto"/>
            <w:noWrap/>
            <w:vAlign w:val="center"/>
            <w:hideMark/>
          </w:tcPr>
          <w:p w14:paraId="3DF67AF8" w14:textId="77777777" w:rsidR="003E5BF5" w:rsidRPr="00145E37" w:rsidRDefault="003E5BF5" w:rsidP="00DE1921">
            <w:pPr>
              <w:jc w:val="right"/>
              <w:rPr>
                <w:rFonts w:ascii="Arial" w:hAnsi="Arial" w:cs="Arial"/>
                <w:b/>
                <w:sz w:val="24"/>
                <w:szCs w:val="24"/>
                <w:lang w:eastAsia="en-AU"/>
              </w:rPr>
            </w:pPr>
          </w:p>
        </w:tc>
        <w:tc>
          <w:tcPr>
            <w:tcW w:w="963" w:type="dxa"/>
            <w:shd w:val="clear" w:color="auto" w:fill="auto"/>
            <w:noWrap/>
            <w:vAlign w:val="center"/>
            <w:hideMark/>
          </w:tcPr>
          <w:p w14:paraId="33D860A6" w14:textId="77777777" w:rsidR="003E5BF5" w:rsidRPr="00145E37" w:rsidRDefault="003E5BF5" w:rsidP="00DE1921">
            <w:pPr>
              <w:jc w:val="right"/>
              <w:rPr>
                <w:rFonts w:ascii="Arial" w:hAnsi="Arial" w:cs="Arial"/>
                <w:b/>
                <w:sz w:val="24"/>
                <w:szCs w:val="24"/>
                <w:lang w:eastAsia="en-AU"/>
              </w:rPr>
            </w:pPr>
          </w:p>
        </w:tc>
        <w:tc>
          <w:tcPr>
            <w:tcW w:w="964" w:type="dxa"/>
            <w:shd w:val="clear" w:color="auto" w:fill="auto"/>
            <w:noWrap/>
            <w:vAlign w:val="center"/>
            <w:hideMark/>
          </w:tcPr>
          <w:p w14:paraId="0F009101" w14:textId="77777777" w:rsidR="003E5BF5" w:rsidRPr="00145E37" w:rsidRDefault="003E5BF5" w:rsidP="00DE1921">
            <w:pPr>
              <w:jc w:val="right"/>
              <w:rPr>
                <w:rFonts w:ascii="Arial" w:hAnsi="Arial" w:cs="Arial"/>
                <w:b/>
                <w:sz w:val="24"/>
                <w:szCs w:val="24"/>
                <w:lang w:eastAsia="en-AU"/>
              </w:rPr>
            </w:pPr>
          </w:p>
        </w:tc>
        <w:tc>
          <w:tcPr>
            <w:tcW w:w="964" w:type="dxa"/>
            <w:shd w:val="clear" w:color="auto" w:fill="auto"/>
            <w:noWrap/>
            <w:vAlign w:val="center"/>
            <w:hideMark/>
          </w:tcPr>
          <w:p w14:paraId="23C79EE5" w14:textId="77777777" w:rsidR="003E5BF5" w:rsidRPr="00145E37" w:rsidRDefault="003E5BF5" w:rsidP="00DE1921">
            <w:pPr>
              <w:jc w:val="right"/>
              <w:rPr>
                <w:rFonts w:ascii="Arial" w:hAnsi="Arial" w:cs="Arial"/>
                <w:b/>
                <w:sz w:val="24"/>
                <w:szCs w:val="24"/>
                <w:lang w:eastAsia="en-AU"/>
              </w:rPr>
            </w:pPr>
          </w:p>
        </w:tc>
        <w:tc>
          <w:tcPr>
            <w:tcW w:w="964" w:type="dxa"/>
            <w:shd w:val="clear" w:color="auto" w:fill="auto"/>
            <w:noWrap/>
            <w:vAlign w:val="center"/>
            <w:hideMark/>
          </w:tcPr>
          <w:p w14:paraId="3C276E44" w14:textId="77777777" w:rsidR="003E5BF5" w:rsidRPr="00145E37" w:rsidRDefault="003E5BF5" w:rsidP="00DE1921">
            <w:pPr>
              <w:jc w:val="right"/>
              <w:rPr>
                <w:rFonts w:ascii="Arial" w:hAnsi="Arial" w:cs="Arial"/>
                <w:b/>
                <w:sz w:val="24"/>
                <w:szCs w:val="24"/>
                <w:lang w:eastAsia="en-AU"/>
              </w:rPr>
            </w:pPr>
          </w:p>
        </w:tc>
        <w:tc>
          <w:tcPr>
            <w:tcW w:w="971" w:type="dxa"/>
            <w:gridSpan w:val="2"/>
            <w:shd w:val="clear" w:color="auto" w:fill="auto"/>
            <w:noWrap/>
            <w:vAlign w:val="center"/>
            <w:hideMark/>
          </w:tcPr>
          <w:p w14:paraId="4FBDED96" w14:textId="77777777" w:rsidR="003E5BF5" w:rsidRPr="00145E37" w:rsidRDefault="003E5BF5" w:rsidP="00DE1921">
            <w:pPr>
              <w:jc w:val="right"/>
              <w:rPr>
                <w:rFonts w:ascii="Arial" w:hAnsi="Arial" w:cs="Arial"/>
                <w:b/>
                <w:sz w:val="24"/>
                <w:szCs w:val="24"/>
                <w:lang w:eastAsia="en-AU"/>
              </w:rPr>
            </w:pPr>
          </w:p>
        </w:tc>
      </w:tr>
      <w:tr w:rsidR="003E5BF5" w:rsidRPr="00145E37" w14:paraId="647F55A9" w14:textId="77777777" w:rsidTr="001D0223">
        <w:trPr>
          <w:trHeight w:val="340"/>
        </w:trPr>
        <w:tc>
          <w:tcPr>
            <w:tcW w:w="2121" w:type="dxa"/>
            <w:shd w:val="clear" w:color="auto" w:fill="auto"/>
            <w:vAlign w:val="center"/>
            <w:hideMark/>
          </w:tcPr>
          <w:p w14:paraId="5B87F2AC"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Lease liabilities</w:t>
            </w:r>
          </w:p>
        </w:tc>
        <w:tc>
          <w:tcPr>
            <w:tcW w:w="1063" w:type="dxa"/>
            <w:shd w:val="clear" w:color="auto" w:fill="auto"/>
            <w:noWrap/>
            <w:vAlign w:val="center"/>
            <w:hideMark/>
          </w:tcPr>
          <w:p w14:paraId="09759305"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3,582 </w:t>
            </w:r>
          </w:p>
        </w:tc>
        <w:tc>
          <w:tcPr>
            <w:tcW w:w="1062" w:type="dxa"/>
            <w:shd w:val="clear" w:color="auto" w:fill="auto"/>
            <w:noWrap/>
            <w:vAlign w:val="center"/>
            <w:hideMark/>
          </w:tcPr>
          <w:p w14:paraId="7E95D4D2"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3,751 </w:t>
            </w:r>
          </w:p>
        </w:tc>
        <w:tc>
          <w:tcPr>
            <w:tcW w:w="963" w:type="dxa"/>
            <w:shd w:val="clear" w:color="auto" w:fill="auto"/>
            <w:noWrap/>
            <w:vAlign w:val="center"/>
            <w:hideMark/>
          </w:tcPr>
          <w:p w14:paraId="55126A5C"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115 </w:t>
            </w:r>
          </w:p>
        </w:tc>
        <w:tc>
          <w:tcPr>
            <w:tcW w:w="964" w:type="dxa"/>
            <w:shd w:val="clear" w:color="auto" w:fill="auto"/>
            <w:noWrap/>
            <w:vAlign w:val="center"/>
            <w:hideMark/>
          </w:tcPr>
          <w:p w14:paraId="3E871ED1"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229 </w:t>
            </w:r>
          </w:p>
        </w:tc>
        <w:tc>
          <w:tcPr>
            <w:tcW w:w="964" w:type="dxa"/>
            <w:shd w:val="clear" w:color="auto" w:fill="auto"/>
            <w:noWrap/>
            <w:vAlign w:val="center"/>
            <w:hideMark/>
          </w:tcPr>
          <w:p w14:paraId="60B61822"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1,031 </w:t>
            </w:r>
          </w:p>
        </w:tc>
        <w:tc>
          <w:tcPr>
            <w:tcW w:w="964" w:type="dxa"/>
            <w:shd w:val="clear" w:color="auto" w:fill="auto"/>
            <w:noWrap/>
            <w:vAlign w:val="center"/>
            <w:hideMark/>
          </w:tcPr>
          <w:p w14:paraId="44C8B2E2"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2,376 </w:t>
            </w:r>
          </w:p>
        </w:tc>
        <w:tc>
          <w:tcPr>
            <w:tcW w:w="971" w:type="dxa"/>
            <w:gridSpan w:val="2"/>
            <w:shd w:val="clear" w:color="auto" w:fill="auto"/>
            <w:noWrap/>
            <w:vAlign w:val="center"/>
            <w:hideMark/>
          </w:tcPr>
          <w:p w14:paraId="62835C78"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r>
      <w:tr w:rsidR="003E5BF5" w:rsidRPr="00145E37" w14:paraId="4BBE698D" w14:textId="77777777" w:rsidTr="001D0223">
        <w:trPr>
          <w:trHeight w:val="340"/>
        </w:trPr>
        <w:tc>
          <w:tcPr>
            <w:tcW w:w="2121" w:type="dxa"/>
            <w:shd w:val="clear" w:color="auto" w:fill="auto"/>
            <w:vAlign w:val="center"/>
            <w:hideMark/>
          </w:tcPr>
          <w:p w14:paraId="04062E15"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Service concession financial liability</w:t>
            </w:r>
          </w:p>
        </w:tc>
        <w:tc>
          <w:tcPr>
            <w:tcW w:w="1063" w:type="dxa"/>
            <w:shd w:val="clear" w:color="auto" w:fill="auto"/>
            <w:noWrap/>
            <w:hideMark/>
          </w:tcPr>
          <w:p w14:paraId="7C228E80"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3,136,101 </w:t>
            </w:r>
          </w:p>
        </w:tc>
        <w:tc>
          <w:tcPr>
            <w:tcW w:w="1062" w:type="dxa"/>
            <w:shd w:val="clear" w:color="auto" w:fill="auto"/>
            <w:noWrap/>
            <w:hideMark/>
          </w:tcPr>
          <w:p w14:paraId="54C1D18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3,136,101 </w:t>
            </w:r>
          </w:p>
        </w:tc>
        <w:tc>
          <w:tcPr>
            <w:tcW w:w="963" w:type="dxa"/>
            <w:shd w:val="clear" w:color="auto" w:fill="auto"/>
            <w:noWrap/>
            <w:hideMark/>
          </w:tcPr>
          <w:p w14:paraId="2A8F891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5F8B5D3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00851993"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30,867 </w:t>
            </w:r>
          </w:p>
        </w:tc>
        <w:tc>
          <w:tcPr>
            <w:tcW w:w="964" w:type="dxa"/>
            <w:shd w:val="clear" w:color="auto" w:fill="auto"/>
            <w:noWrap/>
            <w:hideMark/>
          </w:tcPr>
          <w:p w14:paraId="0D32CE28"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736,967 </w:t>
            </w:r>
          </w:p>
        </w:tc>
        <w:tc>
          <w:tcPr>
            <w:tcW w:w="971" w:type="dxa"/>
            <w:gridSpan w:val="2"/>
            <w:shd w:val="clear" w:color="auto" w:fill="auto"/>
            <w:noWrap/>
            <w:hideMark/>
          </w:tcPr>
          <w:p w14:paraId="711B9F62" w14:textId="77777777" w:rsidR="003E5BF5" w:rsidRPr="00145E37" w:rsidRDefault="003E5BF5" w:rsidP="00DE1921">
            <w:pPr>
              <w:jc w:val="right"/>
              <w:rPr>
                <w:rFonts w:ascii="Arial" w:hAnsi="Arial" w:cs="Arial"/>
                <w:sz w:val="24"/>
                <w:szCs w:val="24"/>
                <w:lang w:eastAsia="en-AU"/>
              </w:rPr>
            </w:pPr>
            <w:r w:rsidRPr="00145E37" w:rsidDel="00664AF3">
              <w:rPr>
                <w:rFonts w:ascii="Arial" w:hAnsi="Arial" w:cs="Arial"/>
                <w:sz w:val="24"/>
                <w:szCs w:val="24"/>
              </w:rPr>
              <w:t>2,</w:t>
            </w:r>
            <w:r w:rsidRPr="00145E37">
              <w:rPr>
                <w:rFonts w:ascii="Arial" w:hAnsi="Arial" w:cs="Arial"/>
                <w:sz w:val="24"/>
                <w:szCs w:val="24"/>
              </w:rPr>
              <w:t>368,267</w:t>
            </w:r>
          </w:p>
        </w:tc>
      </w:tr>
      <w:tr w:rsidR="003E5BF5" w:rsidRPr="00145E37" w14:paraId="25460174" w14:textId="77777777" w:rsidTr="001D0223">
        <w:trPr>
          <w:trHeight w:val="340"/>
        </w:trPr>
        <w:tc>
          <w:tcPr>
            <w:tcW w:w="2121" w:type="dxa"/>
            <w:shd w:val="clear" w:color="auto" w:fill="auto"/>
            <w:vAlign w:val="center"/>
            <w:hideMark/>
          </w:tcPr>
          <w:p w14:paraId="62E41A84"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lastRenderedPageBreak/>
              <w:t>Advances from government</w:t>
            </w:r>
          </w:p>
        </w:tc>
        <w:tc>
          <w:tcPr>
            <w:tcW w:w="1063" w:type="dxa"/>
            <w:shd w:val="clear" w:color="auto" w:fill="auto"/>
            <w:noWrap/>
            <w:hideMark/>
          </w:tcPr>
          <w:p w14:paraId="63DA210D"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85,953 </w:t>
            </w:r>
          </w:p>
        </w:tc>
        <w:tc>
          <w:tcPr>
            <w:tcW w:w="1062" w:type="dxa"/>
            <w:shd w:val="clear" w:color="auto" w:fill="auto"/>
            <w:noWrap/>
            <w:hideMark/>
          </w:tcPr>
          <w:p w14:paraId="4232ED87"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85,953 </w:t>
            </w:r>
          </w:p>
        </w:tc>
        <w:tc>
          <w:tcPr>
            <w:tcW w:w="963" w:type="dxa"/>
            <w:shd w:val="clear" w:color="auto" w:fill="auto"/>
            <w:noWrap/>
            <w:hideMark/>
          </w:tcPr>
          <w:p w14:paraId="36CF2CE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34,617 </w:t>
            </w:r>
          </w:p>
        </w:tc>
        <w:tc>
          <w:tcPr>
            <w:tcW w:w="964" w:type="dxa"/>
            <w:shd w:val="clear" w:color="auto" w:fill="auto"/>
            <w:noWrap/>
            <w:hideMark/>
          </w:tcPr>
          <w:p w14:paraId="44FAAA7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5F6A0CBD"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1,266 </w:t>
            </w:r>
          </w:p>
        </w:tc>
        <w:tc>
          <w:tcPr>
            <w:tcW w:w="964" w:type="dxa"/>
            <w:shd w:val="clear" w:color="auto" w:fill="auto"/>
            <w:noWrap/>
            <w:hideMark/>
          </w:tcPr>
          <w:p w14:paraId="02779E62"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50,070 </w:t>
            </w:r>
          </w:p>
        </w:tc>
        <w:tc>
          <w:tcPr>
            <w:tcW w:w="971" w:type="dxa"/>
            <w:gridSpan w:val="2"/>
            <w:shd w:val="clear" w:color="auto" w:fill="auto"/>
            <w:noWrap/>
            <w:hideMark/>
          </w:tcPr>
          <w:p w14:paraId="4203C26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r>
      <w:tr w:rsidR="003E5BF5" w:rsidRPr="00145E37" w14:paraId="4E7C626D" w14:textId="77777777" w:rsidTr="001D0223">
        <w:trPr>
          <w:trHeight w:val="340"/>
        </w:trPr>
        <w:tc>
          <w:tcPr>
            <w:tcW w:w="2121" w:type="dxa"/>
            <w:shd w:val="clear" w:color="auto" w:fill="auto"/>
            <w:vAlign w:val="center"/>
            <w:hideMark/>
          </w:tcPr>
          <w:p w14:paraId="09B27851"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 xml:space="preserve">Advances from </w:t>
            </w:r>
            <w:proofErr w:type="spellStart"/>
            <w:r w:rsidRPr="00145E37">
              <w:rPr>
                <w:rFonts w:ascii="Arial" w:hAnsi="Arial" w:cs="Arial"/>
                <w:sz w:val="24"/>
                <w:szCs w:val="24"/>
                <w:lang w:eastAsia="en-AU"/>
              </w:rPr>
              <w:t>non public</w:t>
            </w:r>
            <w:proofErr w:type="spellEnd"/>
            <w:r w:rsidRPr="00145E37">
              <w:rPr>
                <w:rFonts w:ascii="Arial" w:hAnsi="Arial" w:cs="Arial"/>
                <w:sz w:val="24"/>
                <w:szCs w:val="24"/>
                <w:lang w:eastAsia="en-AU"/>
              </w:rPr>
              <w:t xml:space="preserve"> sector</w:t>
            </w:r>
          </w:p>
        </w:tc>
        <w:tc>
          <w:tcPr>
            <w:tcW w:w="1063" w:type="dxa"/>
            <w:shd w:val="clear" w:color="auto" w:fill="auto"/>
            <w:noWrap/>
            <w:hideMark/>
          </w:tcPr>
          <w:p w14:paraId="1EBE5F3E"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99,776 </w:t>
            </w:r>
          </w:p>
        </w:tc>
        <w:tc>
          <w:tcPr>
            <w:tcW w:w="1062" w:type="dxa"/>
            <w:shd w:val="clear" w:color="auto" w:fill="auto"/>
            <w:noWrap/>
            <w:hideMark/>
          </w:tcPr>
          <w:p w14:paraId="0858A09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99,776 </w:t>
            </w:r>
          </w:p>
        </w:tc>
        <w:tc>
          <w:tcPr>
            <w:tcW w:w="963" w:type="dxa"/>
            <w:shd w:val="clear" w:color="auto" w:fill="auto"/>
            <w:noWrap/>
            <w:hideMark/>
          </w:tcPr>
          <w:p w14:paraId="4B16B81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41A163BC"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677BF62A"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64" w:type="dxa"/>
            <w:shd w:val="clear" w:color="auto" w:fill="auto"/>
            <w:noWrap/>
            <w:hideMark/>
          </w:tcPr>
          <w:p w14:paraId="199FA56B"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 - </w:t>
            </w:r>
          </w:p>
        </w:tc>
        <w:tc>
          <w:tcPr>
            <w:tcW w:w="971" w:type="dxa"/>
            <w:gridSpan w:val="2"/>
            <w:shd w:val="clear" w:color="auto" w:fill="auto"/>
            <w:noWrap/>
            <w:hideMark/>
          </w:tcPr>
          <w:p w14:paraId="1C99AC86"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rPr>
              <w:t xml:space="preserve">99,776 </w:t>
            </w:r>
          </w:p>
        </w:tc>
      </w:tr>
      <w:tr w:rsidR="003E5BF5" w:rsidRPr="00145E37" w14:paraId="04812786" w14:textId="77777777" w:rsidTr="001D0223">
        <w:trPr>
          <w:trHeight w:val="340"/>
        </w:trPr>
        <w:tc>
          <w:tcPr>
            <w:tcW w:w="2121" w:type="dxa"/>
            <w:shd w:val="clear" w:color="auto" w:fill="auto"/>
            <w:noWrap/>
            <w:vAlign w:val="center"/>
            <w:hideMark/>
          </w:tcPr>
          <w:p w14:paraId="14D8CFF5"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Total</w:t>
            </w:r>
          </w:p>
        </w:tc>
        <w:tc>
          <w:tcPr>
            <w:tcW w:w="1063" w:type="dxa"/>
            <w:shd w:val="clear" w:color="auto" w:fill="auto"/>
            <w:noWrap/>
            <w:vAlign w:val="center"/>
            <w:hideMark/>
          </w:tcPr>
          <w:p w14:paraId="5CAEB41B"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3,325,412 </w:t>
            </w:r>
          </w:p>
        </w:tc>
        <w:tc>
          <w:tcPr>
            <w:tcW w:w="1062" w:type="dxa"/>
            <w:shd w:val="clear" w:color="auto" w:fill="auto"/>
            <w:noWrap/>
            <w:vAlign w:val="center"/>
            <w:hideMark/>
          </w:tcPr>
          <w:p w14:paraId="3540624D"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3,325,581 </w:t>
            </w:r>
          </w:p>
        </w:tc>
        <w:tc>
          <w:tcPr>
            <w:tcW w:w="963" w:type="dxa"/>
            <w:shd w:val="clear" w:color="auto" w:fill="auto"/>
            <w:noWrap/>
            <w:vAlign w:val="center"/>
            <w:hideMark/>
          </w:tcPr>
          <w:p w14:paraId="0207EC6F"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34,732 </w:t>
            </w:r>
          </w:p>
        </w:tc>
        <w:tc>
          <w:tcPr>
            <w:tcW w:w="964" w:type="dxa"/>
            <w:shd w:val="clear" w:color="auto" w:fill="auto"/>
            <w:noWrap/>
            <w:vAlign w:val="center"/>
            <w:hideMark/>
          </w:tcPr>
          <w:p w14:paraId="0506043E"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229 </w:t>
            </w:r>
          </w:p>
        </w:tc>
        <w:tc>
          <w:tcPr>
            <w:tcW w:w="964" w:type="dxa"/>
            <w:shd w:val="clear" w:color="auto" w:fill="auto"/>
            <w:noWrap/>
            <w:vAlign w:val="center"/>
            <w:hideMark/>
          </w:tcPr>
          <w:p w14:paraId="52DD6E8E"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 xml:space="preserve">33,164 </w:t>
            </w:r>
          </w:p>
        </w:tc>
        <w:tc>
          <w:tcPr>
            <w:tcW w:w="964" w:type="dxa"/>
            <w:shd w:val="clear" w:color="auto" w:fill="auto"/>
            <w:noWrap/>
            <w:vAlign w:val="center"/>
            <w:hideMark/>
          </w:tcPr>
          <w:p w14:paraId="13E7189E"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rPr>
              <w:t>789,413</w:t>
            </w:r>
          </w:p>
        </w:tc>
        <w:tc>
          <w:tcPr>
            <w:tcW w:w="971" w:type="dxa"/>
            <w:gridSpan w:val="2"/>
            <w:shd w:val="clear" w:color="auto" w:fill="auto"/>
            <w:noWrap/>
            <w:vAlign w:val="center"/>
            <w:hideMark/>
          </w:tcPr>
          <w:p w14:paraId="23A82431" w14:textId="77777777" w:rsidR="003E5BF5" w:rsidRPr="00145E37" w:rsidRDefault="003E5BF5" w:rsidP="00DE1921">
            <w:pPr>
              <w:jc w:val="right"/>
              <w:rPr>
                <w:rFonts w:ascii="Arial" w:hAnsi="Arial" w:cs="Arial"/>
                <w:b/>
                <w:sz w:val="24"/>
                <w:szCs w:val="24"/>
                <w:lang w:eastAsia="en-AU"/>
              </w:rPr>
            </w:pPr>
            <w:r w:rsidRPr="00145E37" w:rsidDel="00664AF3">
              <w:rPr>
                <w:rFonts w:ascii="Arial" w:hAnsi="Arial" w:cs="Arial"/>
                <w:b/>
                <w:sz w:val="24"/>
                <w:szCs w:val="24"/>
              </w:rPr>
              <w:t>2,</w:t>
            </w:r>
            <w:r w:rsidRPr="00145E37">
              <w:rPr>
                <w:rFonts w:ascii="Arial" w:hAnsi="Arial" w:cs="Arial"/>
                <w:b/>
                <w:sz w:val="24"/>
                <w:szCs w:val="24"/>
              </w:rPr>
              <w:t>468,043</w:t>
            </w:r>
          </w:p>
        </w:tc>
      </w:tr>
    </w:tbl>
    <w:p w14:paraId="69D5EA3D" w14:textId="77777777" w:rsidR="003E5BF5" w:rsidRDefault="003E5BF5" w:rsidP="008A0170">
      <w:pPr>
        <w:pStyle w:val="Heading3"/>
        <w:sectPr w:rsidR="003E5BF5" w:rsidSect="00DE1921">
          <w:pgSz w:w="11906" w:h="16838" w:code="9"/>
          <w:pgMar w:top="1701" w:right="1418" w:bottom="1418" w:left="1418" w:header="709" w:footer="709" w:gutter="0"/>
          <w:cols w:space="708"/>
          <w:docGrid w:linePitch="360"/>
        </w:sectPr>
      </w:pPr>
      <w:bookmarkStart w:id="414" w:name="_Interest_expense"/>
      <w:bookmarkEnd w:id="414"/>
    </w:p>
    <w:p w14:paraId="4E880698" w14:textId="77777777" w:rsidR="003E5BF5" w:rsidRPr="008E6735" w:rsidRDefault="003E5BF5" w:rsidP="00610F5F">
      <w:pPr>
        <w:pStyle w:val="Heading2"/>
        <w:numPr>
          <w:ilvl w:val="2"/>
          <w:numId w:val="20"/>
        </w:numPr>
        <w:ind w:left="765" w:hanging="765"/>
      </w:pPr>
      <w:r w:rsidRPr="007444F0">
        <w:lastRenderedPageBreak/>
        <w:t>Interest expense</w:t>
      </w:r>
      <w:bookmarkStart w:id="415" w:name="RANGE!A3:I9"/>
      <w:bookmarkEnd w:id="415"/>
    </w:p>
    <w:tbl>
      <w:tblPr>
        <w:tblStyle w:val="TableGrid"/>
        <w:tblW w:w="9073" w:type="dxa"/>
        <w:tblCellMar>
          <w:left w:w="28" w:type="dxa"/>
          <w:right w:w="28" w:type="dxa"/>
        </w:tblCellMar>
        <w:tblLook w:val="04A0" w:firstRow="1" w:lastRow="0" w:firstColumn="1" w:lastColumn="0" w:noHBand="0" w:noVBand="1"/>
      </w:tblPr>
      <w:tblGrid>
        <w:gridCol w:w="4514"/>
        <w:gridCol w:w="1139"/>
        <w:gridCol w:w="1140"/>
        <w:gridCol w:w="1139"/>
        <w:gridCol w:w="1141"/>
      </w:tblGrid>
      <w:tr w:rsidR="003E5BF5" w:rsidRPr="00145E37" w14:paraId="4110CD72" w14:textId="77777777" w:rsidTr="009A2A26">
        <w:trPr>
          <w:trHeight w:val="340"/>
        </w:trPr>
        <w:tc>
          <w:tcPr>
            <w:tcW w:w="4514" w:type="dxa"/>
            <w:shd w:val="clear" w:color="auto" w:fill="auto"/>
            <w:noWrap/>
            <w:vAlign w:val="center"/>
            <w:hideMark/>
          </w:tcPr>
          <w:p w14:paraId="5371C64A" w14:textId="77777777" w:rsidR="003E5BF5" w:rsidRPr="00145E37" w:rsidRDefault="003E5BF5" w:rsidP="00DE1921">
            <w:pPr>
              <w:rPr>
                <w:rFonts w:ascii="Arial" w:hAnsi="Arial" w:cs="Arial"/>
                <w:sz w:val="24"/>
                <w:szCs w:val="24"/>
                <w:lang w:eastAsia="en-AU"/>
              </w:rPr>
            </w:pPr>
          </w:p>
        </w:tc>
        <w:tc>
          <w:tcPr>
            <w:tcW w:w="4559" w:type="dxa"/>
            <w:gridSpan w:val="4"/>
            <w:shd w:val="clear" w:color="auto" w:fill="auto"/>
            <w:noWrap/>
            <w:vAlign w:val="center"/>
            <w:hideMark/>
          </w:tcPr>
          <w:p w14:paraId="4ED0F340"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 thousand)</w:t>
            </w:r>
          </w:p>
        </w:tc>
      </w:tr>
      <w:tr w:rsidR="003E5BF5" w:rsidRPr="00145E37" w14:paraId="107B9EA4" w14:textId="77777777" w:rsidTr="009A2A26">
        <w:trPr>
          <w:trHeight w:val="340"/>
        </w:trPr>
        <w:tc>
          <w:tcPr>
            <w:tcW w:w="4514" w:type="dxa"/>
            <w:shd w:val="clear" w:color="auto" w:fill="auto"/>
            <w:noWrap/>
            <w:vAlign w:val="center"/>
            <w:hideMark/>
          </w:tcPr>
          <w:p w14:paraId="3CA6572C" w14:textId="77777777" w:rsidR="003E5BF5" w:rsidRPr="00145E37" w:rsidRDefault="003E5BF5" w:rsidP="00DE1921">
            <w:pPr>
              <w:rPr>
                <w:rFonts w:ascii="Arial" w:hAnsi="Arial" w:cs="Arial"/>
                <w:sz w:val="24"/>
                <w:szCs w:val="24"/>
                <w:lang w:eastAsia="en-AU"/>
              </w:rPr>
            </w:pPr>
          </w:p>
        </w:tc>
        <w:tc>
          <w:tcPr>
            <w:tcW w:w="2279" w:type="dxa"/>
            <w:gridSpan w:val="2"/>
            <w:shd w:val="clear" w:color="auto" w:fill="auto"/>
            <w:noWrap/>
            <w:vAlign w:val="bottom"/>
            <w:hideMark/>
          </w:tcPr>
          <w:p w14:paraId="546AF4C5"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Consolidated</w:t>
            </w:r>
          </w:p>
        </w:tc>
        <w:tc>
          <w:tcPr>
            <w:tcW w:w="2280" w:type="dxa"/>
            <w:gridSpan w:val="2"/>
            <w:shd w:val="clear" w:color="auto" w:fill="auto"/>
            <w:noWrap/>
            <w:vAlign w:val="bottom"/>
            <w:hideMark/>
          </w:tcPr>
          <w:p w14:paraId="263D15D7" w14:textId="77777777" w:rsidR="003E5BF5" w:rsidRPr="00145E37" w:rsidRDefault="003E5BF5" w:rsidP="00DE1921">
            <w:pPr>
              <w:jc w:val="center"/>
              <w:rPr>
                <w:rFonts w:ascii="Arial" w:hAnsi="Arial" w:cs="Arial"/>
                <w:b/>
                <w:sz w:val="24"/>
                <w:szCs w:val="24"/>
                <w:lang w:eastAsia="en-AU"/>
              </w:rPr>
            </w:pPr>
            <w:r w:rsidRPr="00145E37">
              <w:rPr>
                <w:rFonts w:ascii="Arial" w:hAnsi="Arial" w:cs="Arial"/>
                <w:b/>
                <w:sz w:val="24"/>
                <w:szCs w:val="24"/>
                <w:lang w:eastAsia="en-AU"/>
              </w:rPr>
              <w:t>Parent</w:t>
            </w:r>
          </w:p>
        </w:tc>
      </w:tr>
      <w:tr w:rsidR="003E5BF5" w:rsidRPr="00145E37" w14:paraId="54A7586D" w14:textId="77777777" w:rsidTr="009A2A26">
        <w:trPr>
          <w:trHeight w:val="340"/>
        </w:trPr>
        <w:tc>
          <w:tcPr>
            <w:tcW w:w="4514" w:type="dxa"/>
            <w:shd w:val="clear" w:color="auto" w:fill="auto"/>
            <w:noWrap/>
            <w:vAlign w:val="center"/>
            <w:hideMark/>
          </w:tcPr>
          <w:p w14:paraId="7181C2A1" w14:textId="77777777" w:rsidR="003E5BF5" w:rsidRPr="00145E37" w:rsidRDefault="003E5BF5" w:rsidP="00DE1921">
            <w:pPr>
              <w:rPr>
                <w:rFonts w:ascii="Arial" w:hAnsi="Arial" w:cs="Arial"/>
                <w:b/>
                <w:sz w:val="24"/>
                <w:szCs w:val="24"/>
                <w:lang w:eastAsia="en-AU"/>
              </w:rPr>
            </w:pPr>
          </w:p>
        </w:tc>
        <w:tc>
          <w:tcPr>
            <w:tcW w:w="1139" w:type="dxa"/>
            <w:shd w:val="clear" w:color="auto" w:fill="auto"/>
            <w:noWrap/>
            <w:vAlign w:val="center"/>
            <w:hideMark/>
          </w:tcPr>
          <w:p w14:paraId="1A149E84"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2020</w:t>
            </w:r>
          </w:p>
        </w:tc>
        <w:tc>
          <w:tcPr>
            <w:tcW w:w="1140" w:type="dxa"/>
            <w:shd w:val="clear" w:color="auto" w:fill="auto"/>
            <w:noWrap/>
            <w:vAlign w:val="center"/>
            <w:hideMark/>
          </w:tcPr>
          <w:p w14:paraId="2411E387"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2019</w:t>
            </w:r>
          </w:p>
        </w:tc>
        <w:tc>
          <w:tcPr>
            <w:tcW w:w="1139" w:type="dxa"/>
            <w:shd w:val="clear" w:color="auto" w:fill="auto"/>
            <w:noWrap/>
            <w:vAlign w:val="center"/>
            <w:hideMark/>
          </w:tcPr>
          <w:p w14:paraId="5D528703"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2020</w:t>
            </w:r>
          </w:p>
        </w:tc>
        <w:tc>
          <w:tcPr>
            <w:tcW w:w="1141" w:type="dxa"/>
            <w:shd w:val="clear" w:color="auto" w:fill="auto"/>
            <w:noWrap/>
            <w:vAlign w:val="center"/>
            <w:hideMark/>
          </w:tcPr>
          <w:p w14:paraId="4212572E"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2019</w:t>
            </w:r>
          </w:p>
        </w:tc>
      </w:tr>
      <w:tr w:rsidR="003E5BF5" w:rsidRPr="00145E37" w14:paraId="03405E77" w14:textId="77777777" w:rsidTr="009A2A26">
        <w:trPr>
          <w:trHeight w:val="340"/>
        </w:trPr>
        <w:tc>
          <w:tcPr>
            <w:tcW w:w="4514" w:type="dxa"/>
            <w:shd w:val="clear" w:color="auto" w:fill="auto"/>
            <w:noWrap/>
            <w:vAlign w:val="center"/>
            <w:hideMark/>
          </w:tcPr>
          <w:p w14:paraId="32F829D6"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Interest on leases liabilities</w:t>
            </w:r>
            <w:r w:rsidRPr="00145E37">
              <w:rPr>
                <w:rFonts w:ascii="Arial" w:hAnsi="Arial" w:cs="Arial"/>
                <w:sz w:val="24"/>
                <w:szCs w:val="24"/>
                <w:vertAlign w:val="superscript"/>
                <w:lang w:eastAsia="en-AU"/>
              </w:rPr>
              <w:t xml:space="preserve"> (</w:t>
            </w:r>
            <w:proofErr w:type="spellStart"/>
            <w:r w:rsidRPr="00145E37">
              <w:rPr>
                <w:rFonts w:ascii="Arial" w:hAnsi="Arial" w:cs="Arial"/>
                <w:sz w:val="24"/>
                <w:szCs w:val="24"/>
                <w:vertAlign w:val="superscript"/>
                <w:lang w:eastAsia="en-AU"/>
              </w:rPr>
              <w:t>i</w:t>
            </w:r>
            <w:proofErr w:type="spellEnd"/>
            <w:r w:rsidRPr="00145E37">
              <w:rPr>
                <w:rFonts w:ascii="Arial" w:hAnsi="Arial" w:cs="Arial"/>
                <w:sz w:val="24"/>
                <w:szCs w:val="24"/>
                <w:vertAlign w:val="superscript"/>
                <w:lang w:eastAsia="en-AU"/>
              </w:rPr>
              <w:t>)</w:t>
            </w:r>
          </w:p>
        </w:tc>
        <w:tc>
          <w:tcPr>
            <w:tcW w:w="1139" w:type="dxa"/>
            <w:shd w:val="clear" w:color="auto" w:fill="auto"/>
            <w:noWrap/>
            <w:vAlign w:val="center"/>
            <w:hideMark/>
          </w:tcPr>
          <w:p w14:paraId="7569C138"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(8,514)</w:t>
            </w:r>
          </w:p>
        </w:tc>
        <w:tc>
          <w:tcPr>
            <w:tcW w:w="1140" w:type="dxa"/>
            <w:shd w:val="clear" w:color="auto" w:fill="auto"/>
            <w:noWrap/>
            <w:vAlign w:val="center"/>
            <w:hideMark/>
          </w:tcPr>
          <w:p w14:paraId="7526704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(37,697)</w:t>
            </w:r>
          </w:p>
        </w:tc>
        <w:tc>
          <w:tcPr>
            <w:tcW w:w="1139" w:type="dxa"/>
            <w:shd w:val="clear" w:color="auto" w:fill="auto"/>
            <w:noWrap/>
            <w:vAlign w:val="center"/>
            <w:hideMark/>
          </w:tcPr>
          <w:p w14:paraId="5EAF8759"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(16,884)</w:t>
            </w:r>
          </w:p>
        </w:tc>
        <w:tc>
          <w:tcPr>
            <w:tcW w:w="1141" w:type="dxa"/>
            <w:shd w:val="clear" w:color="auto" w:fill="auto"/>
            <w:noWrap/>
            <w:vAlign w:val="center"/>
            <w:hideMark/>
          </w:tcPr>
          <w:p w14:paraId="0EE85CE4"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(37,697)</w:t>
            </w:r>
          </w:p>
        </w:tc>
      </w:tr>
      <w:tr w:rsidR="003E5BF5" w:rsidRPr="00145E37" w14:paraId="4554A188" w14:textId="77777777" w:rsidTr="009A2A26">
        <w:trPr>
          <w:trHeight w:val="340"/>
        </w:trPr>
        <w:tc>
          <w:tcPr>
            <w:tcW w:w="4514" w:type="dxa"/>
            <w:shd w:val="clear" w:color="auto" w:fill="auto"/>
            <w:noWrap/>
            <w:vAlign w:val="center"/>
            <w:hideMark/>
          </w:tcPr>
          <w:p w14:paraId="5774A138"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 xml:space="preserve">Interest on service concession financial liability </w:t>
            </w:r>
            <w:r w:rsidRPr="00145E37">
              <w:rPr>
                <w:rFonts w:ascii="Arial" w:hAnsi="Arial" w:cs="Arial"/>
                <w:sz w:val="24"/>
                <w:szCs w:val="24"/>
                <w:vertAlign w:val="superscript"/>
                <w:lang w:eastAsia="en-AU"/>
              </w:rPr>
              <w:t>(ii)</w:t>
            </w:r>
          </w:p>
        </w:tc>
        <w:tc>
          <w:tcPr>
            <w:tcW w:w="1139" w:type="dxa"/>
            <w:shd w:val="clear" w:color="auto" w:fill="auto"/>
            <w:noWrap/>
            <w:vAlign w:val="center"/>
            <w:hideMark/>
          </w:tcPr>
          <w:p w14:paraId="3059BEB5"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(310,767)</w:t>
            </w:r>
          </w:p>
        </w:tc>
        <w:tc>
          <w:tcPr>
            <w:tcW w:w="1140" w:type="dxa"/>
            <w:shd w:val="clear" w:color="auto" w:fill="auto"/>
            <w:noWrap/>
            <w:vAlign w:val="center"/>
            <w:hideMark/>
          </w:tcPr>
          <w:p w14:paraId="7DF5FCAB"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(117,682)</w:t>
            </w:r>
          </w:p>
        </w:tc>
        <w:tc>
          <w:tcPr>
            <w:tcW w:w="1139" w:type="dxa"/>
            <w:shd w:val="clear" w:color="auto" w:fill="auto"/>
            <w:noWrap/>
            <w:vAlign w:val="center"/>
            <w:hideMark/>
          </w:tcPr>
          <w:p w14:paraId="60EB20E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(310,767)</w:t>
            </w:r>
          </w:p>
        </w:tc>
        <w:tc>
          <w:tcPr>
            <w:tcW w:w="1141" w:type="dxa"/>
            <w:shd w:val="clear" w:color="auto" w:fill="auto"/>
            <w:noWrap/>
            <w:vAlign w:val="center"/>
            <w:hideMark/>
          </w:tcPr>
          <w:p w14:paraId="375B518F"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(117,682)</w:t>
            </w:r>
          </w:p>
        </w:tc>
      </w:tr>
      <w:tr w:rsidR="003E5BF5" w:rsidRPr="00145E37" w14:paraId="0760522C" w14:textId="77777777" w:rsidTr="009A2A26">
        <w:trPr>
          <w:trHeight w:val="340"/>
        </w:trPr>
        <w:tc>
          <w:tcPr>
            <w:tcW w:w="4514" w:type="dxa"/>
            <w:tcBorders>
              <w:bottom w:val="single" w:sz="4" w:space="0" w:color="auto"/>
            </w:tcBorders>
            <w:shd w:val="clear" w:color="auto" w:fill="auto"/>
            <w:noWrap/>
            <w:vAlign w:val="center"/>
            <w:hideMark/>
          </w:tcPr>
          <w:p w14:paraId="5AC5BC4A" w14:textId="77777777" w:rsidR="003E5BF5" w:rsidRPr="00145E37" w:rsidRDefault="003E5BF5" w:rsidP="00DE1921">
            <w:pPr>
              <w:rPr>
                <w:rFonts w:ascii="Arial" w:hAnsi="Arial" w:cs="Arial"/>
                <w:sz w:val="24"/>
                <w:szCs w:val="24"/>
                <w:lang w:eastAsia="en-AU"/>
              </w:rPr>
            </w:pPr>
            <w:r w:rsidRPr="00145E37">
              <w:rPr>
                <w:rFonts w:ascii="Arial" w:hAnsi="Arial" w:cs="Arial"/>
                <w:sz w:val="24"/>
                <w:szCs w:val="24"/>
                <w:lang w:eastAsia="en-AU"/>
              </w:rPr>
              <w:t>Other interest expense</w:t>
            </w:r>
          </w:p>
        </w:tc>
        <w:tc>
          <w:tcPr>
            <w:tcW w:w="1139" w:type="dxa"/>
            <w:tcBorders>
              <w:bottom w:val="single" w:sz="4" w:space="0" w:color="auto"/>
            </w:tcBorders>
            <w:shd w:val="clear" w:color="auto" w:fill="auto"/>
            <w:noWrap/>
            <w:vAlign w:val="center"/>
            <w:hideMark/>
          </w:tcPr>
          <w:p w14:paraId="6ED55393"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(8,370)</w:t>
            </w:r>
          </w:p>
        </w:tc>
        <w:tc>
          <w:tcPr>
            <w:tcW w:w="1140" w:type="dxa"/>
            <w:tcBorders>
              <w:bottom w:val="single" w:sz="4" w:space="0" w:color="auto"/>
            </w:tcBorders>
            <w:shd w:val="clear" w:color="auto" w:fill="auto"/>
            <w:noWrap/>
            <w:vAlign w:val="center"/>
            <w:hideMark/>
          </w:tcPr>
          <w:p w14:paraId="08F40F70"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 - </w:t>
            </w:r>
          </w:p>
        </w:tc>
        <w:tc>
          <w:tcPr>
            <w:tcW w:w="1139" w:type="dxa"/>
            <w:tcBorders>
              <w:bottom w:val="single" w:sz="4" w:space="0" w:color="auto"/>
            </w:tcBorders>
            <w:shd w:val="clear" w:color="auto" w:fill="auto"/>
            <w:noWrap/>
            <w:vAlign w:val="center"/>
            <w:hideMark/>
          </w:tcPr>
          <w:p w14:paraId="1600F7DC"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 - </w:t>
            </w:r>
          </w:p>
        </w:tc>
        <w:tc>
          <w:tcPr>
            <w:tcW w:w="1141" w:type="dxa"/>
            <w:tcBorders>
              <w:bottom w:val="single" w:sz="4" w:space="0" w:color="auto"/>
            </w:tcBorders>
            <w:shd w:val="clear" w:color="auto" w:fill="auto"/>
            <w:noWrap/>
            <w:vAlign w:val="center"/>
            <w:hideMark/>
          </w:tcPr>
          <w:p w14:paraId="3E3160EE" w14:textId="77777777" w:rsidR="003E5BF5" w:rsidRPr="00145E37" w:rsidRDefault="003E5BF5" w:rsidP="00DE1921">
            <w:pPr>
              <w:jc w:val="right"/>
              <w:rPr>
                <w:rFonts w:ascii="Arial" w:hAnsi="Arial" w:cs="Arial"/>
                <w:sz w:val="24"/>
                <w:szCs w:val="24"/>
                <w:lang w:eastAsia="en-AU"/>
              </w:rPr>
            </w:pPr>
            <w:r w:rsidRPr="00145E37">
              <w:rPr>
                <w:rFonts w:ascii="Arial" w:hAnsi="Arial" w:cs="Arial"/>
                <w:sz w:val="24"/>
                <w:szCs w:val="24"/>
                <w:lang w:eastAsia="en-AU"/>
              </w:rPr>
              <w:t xml:space="preserve"> - </w:t>
            </w:r>
          </w:p>
        </w:tc>
      </w:tr>
      <w:tr w:rsidR="003E5BF5" w:rsidRPr="00145E37" w14:paraId="54219E42" w14:textId="77777777" w:rsidTr="009A2A26">
        <w:trPr>
          <w:trHeight w:val="340"/>
        </w:trPr>
        <w:tc>
          <w:tcPr>
            <w:tcW w:w="4514" w:type="dxa"/>
            <w:tcBorders>
              <w:bottom w:val="single" w:sz="4" w:space="0" w:color="auto"/>
            </w:tcBorders>
            <w:shd w:val="clear" w:color="auto" w:fill="auto"/>
            <w:noWrap/>
            <w:vAlign w:val="center"/>
            <w:hideMark/>
          </w:tcPr>
          <w:p w14:paraId="153D0EF2" w14:textId="77777777" w:rsidR="003E5BF5" w:rsidRPr="00145E37" w:rsidRDefault="003E5BF5" w:rsidP="00DE1921">
            <w:pPr>
              <w:rPr>
                <w:rFonts w:ascii="Arial" w:hAnsi="Arial" w:cs="Arial"/>
                <w:b/>
                <w:sz w:val="24"/>
                <w:szCs w:val="24"/>
                <w:lang w:eastAsia="en-AU"/>
              </w:rPr>
            </w:pPr>
            <w:r w:rsidRPr="00145E37">
              <w:rPr>
                <w:rFonts w:ascii="Arial" w:hAnsi="Arial" w:cs="Arial"/>
                <w:b/>
                <w:sz w:val="24"/>
                <w:szCs w:val="24"/>
                <w:lang w:eastAsia="en-AU"/>
              </w:rPr>
              <w:t>Total interest expense</w:t>
            </w:r>
          </w:p>
        </w:tc>
        <w:tc>
          <w:tcPr>
            <w:tcW w:w="1139" w:type="dxa"/>
            <w:tcBorders>
              <w:bottom w:val="single" w:sz="4" w:space="0" w:color="auto"/>
            </w:tcBorders>
            <w:shd w:val="clear" w:color="auto" w:fill="auto"/>
            <w:noWrap/>
            <w:vAlign w:val="center"/>
            <w:hideMark/>
          </w:tcPr>
          <w:p w14:paraId="62730CCA"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(327,651)</w:t>
            </w:r>
          </w:p>
        </w:tc>
        <w:tc>
          <w:tcPr>
            <w:tcW w:w="1140" w:type="dxa"/>
            <w:tcBorders>
              <w:bottom w:val="single" w:sz="4" w:space="0" w:color="auto"/>
            </w:tcBorders>
            <w:shd w:val="clear" w:color="auto" w:fill="auto"/>
            <w:noWrap/>
            <w:vAlign w:val="center"/>
            <w:hideMark/>
          </w:tcPr>
          <w:p w14:paraId="72BE8808"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(155,379)</w:t>
            </w:r>
          </w:p>
        </w:tc>
        <w:tc>
          <w:tcPr>
            <w:tcW w:w="1139" w:type="dxa"/>
            <w:tcBorders>
              <w:bottom w:val="single" w:sz="4" w:space="0" w:color="auto"/>
            </w:tcBorders>
            <w:shd w:val="clear" w:color="auto" w:fill="auto"/>
            <w:noWrap/>
            <w:vAlign w:val="center"/>
            <w:hideMark/>
          </w:tcPr>
          <w:p w14:paraId="12759544"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(327,651)</w:t>
            </w:r>
          </w:p>
        </w:tc>
        <w:tc>
          <w:tcPr>
            <w:tcW w:w="1141" w:type="dxa"/>
            <w:tcBorders>
              <w:bottom w:val="single" w:sz="4" w:space="0" w:color="auto"/>
            </w:tcBorders>
            <w:shd w:val="clear" w:color="auto" w:fill="auto"/>
            <w:noWrap/>
            <w:vAlign w:val="center"/>
            <w:hideMark/>
          </w:tcPr>
          <w:p w14:paraId="43EC1D02" w14:textId="77777777" w:rsidR="003E5BF5" w:rsidRPr="00145E37" w:rsidRDefault="003E5BF5" w:rsidP="00DE1921">
            <w:pPr>
              <w:jc w:val="right"/>
              <w:rPr>
                <w:rFonts w:ascii="Arial" w:hAnsi="Arial" w:cs="Arial"/>
                <w:b/>
                <w:sz w:val="24"/>
                <w:szCs w:val="24"/>
                <w:lang w:eastAsia="en-AU"/>
              </w:rPr>
            </w:pPr>
            <w:r w:rsidRPr="00145E37">
              <w:rPr>
                <w:rFonts w:ascii="Arial" w:hAnsi="Arial" w:cs="Arial"/>
                <w:b/>
                <w:sz w:val="24"/>
                <w:szCs w:val="24"/>
                <w:lang w:eastAsia="en-AU"/>
              </w:rPr>
              <w:t>(155,379)</w:t>
            </w:r>
          </w:p>
        </w:tc>
      </w:tr>
    </w:tbl>
    <w:p w14:paraId="0A0C2DEB" w14:textId="77777777" w:rsidR="009A2A26" w:rsidRPr="00145E37" w:rsidRDefault="009A2A26" w:rsidP="009A2A26">
      <w:pPr>
        <w:pStyle w:val="Note"/>
        <w:rPr>
          <w:rFonts w:ascii="Arial" w:hAnsi="Arial" w:cs="Arial"/>
          <w:sz w:val="24"/>
          <w:szCs w:val="24"/>
        </w:rPr>
      </w:pPr>
      <w:r w:rsidRPr="00145E37">
        <w:rPr>
          <w:rFonts w:ascii="Arial" w:hAnsi="Arial" w:cs="Arial"/>
          <w:sz w:val="24"/>
          <w:szCs w:val="24"/>
        </w:rPr>
        <w:t>Notes:</w:t>
      </w:r>
    </w:p>
    <w:p w14:paraId="104A48CC" w14:textId="77777777" w:rsidR="009A2A26" w:rsidRPr="00145E37" w:rsidRDefault="009A2A26" w:rsidP="00610F5F">
      <w:pPr>
        <w:pStyle w:val="aaaNotenumberiiiiii"/>
        <w:numPr>
          <w:ilvl w:val="0"/>
          <w:numId w:val="102"/>
        </w:numPr>
      </w:pPr>
      <w:r w:rsidRPr="00145E37">
        <w:t xml:space="preserve">The 2019 comparative figure has been restated to reflect the interest on the liability that the department holds while the assets are currently reported by </w:t>
      </w:r>
      <w:proofErr w:type="spellStart"/>
      <w:r w:rsidRPr="00145E37">
        <w:t>VicTrack</w:t>
      </w:r>
      <w:proofErr w:type="spellEnd"/>
      <w:r w:rsidRPr="00145E37">
        <w:t xml:space="preserve"> in relation to the HCMT PPP (non-SCA portion). Refer to Note 9.6.5.1 for further details.</w:t>
      </w:r>
    </w:p>
    <w:p w14:paraId="0CD764F9" w14:textId="77777777" w:rsidR="009A2A26" w:rsidRPr="00145E37" w:rsidRDefault="009A2A26" w:rsidP="00610F5F">
      <w:pPr>
        <w:pStyle w:val="aaaNotenumberiiiiii"/>
        <w:numPr>
          <w:ilvl w:val="0"/>
          <w:numId w:val="102"/>
        </w:numPr>
      </w:pPr>
      <w:r w:rsidRPr="00145E37">
        <w:t>This relates to the interests recognised to some SCAs by applying AASB 1059. The comparatives have been restated, refer to Note 9.6.5.1 and Note 7.5.3 for further details.</w:t>
      </w:r>
    </w:p>
    <w:p w14:paraId="4EC19ADB" w14:textId="2BD9DD86" w:rsidR="003E5BF5" w:rsidRDefault="003E5BF5" w:rsidP="00B96195">
      <w:pPr>
        <w:pStyle w:val="aaatyping"/>
      </w:pPr>
      <w:r w:rsidRPr="00C92F41">
        <w:t>Interest expense includes costs incurred in connection with the borrowing of funds and includes discounts or premiums relating to borrowings, interest component of lease repayments, service concession financial liabilities</w:t>
      </w:r>
      <w:r>
        <w:t>.</w:t>
      </w:r>
    </w:p>
    <w:p w14:paraId="745E99B9" w14:textId="77777777" w:rsidR="003E5BF5" w:rsidRPr="008F1905" w:rsidRDefault="003E5BF5" w:rsidP="00B96195">
      <w:pPr>
        <w:pStyle w:val="aaatyping"/>
      </w:pPr>
      <w:r w:rsidRPr="007444F0">
        <w:t>Interest expense is recognised as an expense in the period in which it is incurred.</w:t>
      </w:r>
      <w:bookmarkStart w:id="416" w:name="RANGE!A3:H20"/>
      <w:bookmarkStart w:id="417" w:name="_Toc521965475"/>
      <w:bookmarkStart w:id="418" w:name="_Toc529196580"/>
      <w:bookmarkStart w:id="419" w:name="_Toc529197621"/>
      <w:bookmarkStart w:id="420" w:name="_Toc529197782"/>
      <w:bookmarkStart w:id="421" w:name="_Toc529197914"/>
      <w:bookmarkStart w:id="422" w:name="_Toc529197954"/>
      <w:bookmarkStart w:id="423" w:name="_Toc529197994"/>
      <w:bookmarkStart w:id="424" w:name="_Toc529198017"/>
      <w:bookmarkStart w:id="425" w:name="_Toc529198175"/>
      <w:bookmarkStart w:id="426" w:name="_Toc529198182"/>
      <w:bookmarkStart w:id="427" w:name="_Toc530386191"/>
      <w:bookmarkEnd w:id="416"/>
    </w:p>
    <w:p w14:paraId="6C3C4A10" w14:textId="77777777" w:rsidR="003E5BF5" w:rsidRDefault="003E5BF5">
      <w:pPr>
        <w:rPr>
          <w:rFonts w:eastAsiaTheme="majorEastAsia" w:cstheme="majorBidi"/>
          <w:color w:val="70AD47" w:themeColor="accent6"/>
          <w:sz w:val="26"/>
          <w:szCs w:val="26"/>
        </w:rPr>
      </w:pPr>
      <w:r>
        <w:br w:type="page"/>
      </w:r>
    </w:p>
    <w:p w14:paraId="5FF22B64" w14:textId="77777777" w:rsidR="003E5BF5" w:rsidRPr="00D13BA7" w:rsidRDefault="003E5BF5" w:rsidP="00610F5F">
      <w:pPr>
        <w:pStyle w:val="Heading2"/>
        <w:numPr>
          <w:ilvl w:val="1"/>
          <w:numId w:val="20"/>
        </w:numPr>
      </w:pPr>
      <w:bookmarkStart w:id="428" w:name="_Toc53420582"/>
      <w:bookmarkStart w:id="429" w:name="_Toc53420681"/>
      <w:r w:rsidRPr="00D13BA7">
        <w:lastRenderedPageBreak/>
        <w:t>Leases</w:t>
      </w:r>
      <w:bookmarkEnd w:id="417"/>
      <w:bookmarkEnd w:id="418"/>
      <w:bookmarkEnd w:id="419"/>
      <w:bookmarkEnd w:id="420"/>
      <w:bookmarkEnd w:id="421"/>
      <w:bookmarkEnd w:id="422"/>
      <w:bookmarkEnd w:id="423"/>
      <w:bookmarkEnd w:id="424"/>
      <w:bookmarkEnd w:id="425"/>
      <w:bookmarkEnd w:id="426"/>
      <w:bookmarkEnd w:id="427"/>
      <w:bookmarkEnd w:id="428"/>
      <w:bookmarkEnd w:id="429"/>
    </w:p>
    <w:p w14:paraId="6877849A" w14:textId="77777777" w:rsidR="003E5BF5" w:rsidRDefault="003E5BF5" w:rsidP="00DE1921">
      <w:pPr>
        <w:sectPr w:rsidR="003E5BF5" w:rsidSect="00DE1921">
          <w:pgSz w:w="11906" w:h="16838"/>
          <w:pgMar w:top="1701" w:right="1418" w:bottom="1418" w:left="1418" w:header="708" w:footer="708" w:gutter="0"/>
          <w:cols w:space="708"/>
          <w:docGrid w:linePitch="360"/>
        </w:sectPr>
      </w:pPr>
    </w:p>
    <w:p w14:paraId="4C26E9A7" w14:textId="77777777" w:rsidR="003E5BF5" w:rsidRDefault="003E5BF5" w:rsidP="00B96195">
      <w:pPr>
        <w:pStyle w:val="aaatyping"/>
      </w:pPr>
      <w:r>
        <w:t>Information about leases for which the department is a lessee is presented below.</w:t>
      </w:r>
    </w:p>
    <w:p w14:paraId="0BDE801E" w14:textId="77777777" w:rsidR="003E5BF5" w:rsidRPr="00780AC4" w:rsidRDefault="003E5BF5" w:rsidP="008A0170">
      <w:pPr>
        <w:pStyle w:val="Heading3"/>
      </w:pPr>
      <w:r w:rsidRPr="00780AC4">
        <w:t xml:space="preserve">The </w:t>
      </w:r>
      <w:r>
        <w:t>d</w:t>
      </w:r>
      <w:r w:rsidRPr="00780AC4">
        <w:t>epartment</w:t>
      </w:r>
      <w:r>
        <w:t>’</w:t>
      </w:r>
      <w:r w:rsidRPr="00780AC4">
        <w:t>s leasing activities</w:t>
      </w:r>
    </w:p>
    <w:p w14:paraId="71E5A735" w14:textId="77777777" w:rsidR="003E5BF5" w:rsidRDefault="003E5BF5" w:rsidP="00B96195">
      <w:pPr>
        <w:pStyle w:val="aaatyping"/>
      </w:pPr>
      <w:r>
        <w:t xml:space="preserve">The department leases various properties, equipment and motor vehicles. The lease contracts are typically made for fixed </w:t>
      </w:r>
      <w:r w:rsidRPr="00C66740">
        <w:t>periods of 2-20 years with an option</w:t>
      </w:r>
      <w:r>
        <w:t xml:space="preserve"> to renew the lease after that date. </w:t>
      </w:r>
    </w:p>
    <w:p w14:paraId="124C91D2" w14:textId="77777777" w:rsidR="003E5BF5" w:rsidRDefault="003E5BF5" w:rsidP="00B96195">
      <w:pPr>
        <w:pStyle w:val="aaatyping"/>
      </w:pPr>
      <w:r w:rsidRPr="00F24DA1">
        <w:t xml:space="preserve">In October 2019, the </w:t>
      </w:r>
      <w:r>
        <w:t>d</w:t>
      </w:r>
      <w:r w:rsidRPr="00F24DA1">
        <w:t>epartment</w:t>
      </w:r>
      <w:r>
        <w:t xml:space="preserve"> </w:t>
      </w:r>
      <w:r w:rsidRPr="00F24DA1">
        <w:t xml:space="preserve">agreed to centralised accommodation management services with the </w:t>
      </w:r>
      <w:r>
        <w:t>DTF</w:t>
      </w:r>
      <w:r w:rsidRPr="00F24DA1">
        <w:t xml:space="preserve"> Shared Service Provider (SSP). Following this agreement, the right-of-use asset and lease liability recognised for the accommodation leases at that date were de-recognised and transferred to SSP as a transfer through equity, in accordance with the requirements of FRD 119A </w:t>
      </w:r>
      <w:r w:rsidRPr="00F24DA1">
        <w:rPr>
          <w:i/>
          <w:iCs/>
        </w:rPr>
        <w:t>Transfers through contributed capital</w:t>
      </w:r>
      <w:r w:rsidRPr="00F24DA1">
        <w:t>. From November 2019, accommodation has been recognised as an expense (Note 3.</w:t>
      </w:r>
      <w:r>
        <w:t>5</w:t>
      </w:r>
      <w:r w:rsidRPr="00F24DA1">
        <w:t xml:space="preserve"> Other operating expenses) and the commitment for the service payments recognised in Note 7.5</w:t>
      </w:r>
      <w:r>
        <w:t xml:space="preserve">.1. </w:t>
      </w:r>
    </w:p>
    <w:p w14:paraId="1E82D89E" w14:textId="77777777" w:rsidR="003E5BF5" w:rsidRDefault="003E5BF5" w:rsidP="00B96195">
      <w:pPr>
        <w:pStyle w:val="aaatyping"/>
      </w:pPr>
      <w:r>
        <w:t>The other leases entered into by the department relate to buses with a lease term of the same duration as the franchise term of seven years with an option to extend for a further three years; and motor vehicles with lease terms of three years or 60,000 kilometres, whichever occurs first.</w:t>
      </w:r>
    </w:p>
    <w:p w14:paraId="1CBCE923" w14:textId="77777777" w:rsidR="003E5BF5" w:rsidRDefault="003E5BF5" w:rsidP="00B96195">
      <w:pPr>
        <w:pStyle w:val="aaatyping"/>
      </w:pPr>
      <w:r w:rsidRPr="00DF1E2C">
        <w:rPr>
          <w:b/>
          <w:bCs/>
        </w:rPr>
        <w:t>Franchise Asset Holdings as lessor</w:t>
      </w:r>
      <w:r>
        <w:rPr>
          <w:b/>
          <w:bCs/>
        </w:rPr>
        <w:t xml:space="preserve">: </w:t>
      </w:r>
      <w:r w:rsidRPr="00DF1E2C">
        <w:t xml:space="preserve">Amount due from </w:t>
      </w:r>
      <w:r>
        <w:t>the department</w:t>
      </w:r>
      <w:r w:rsidRPr="00DF1E2C">
        <w:t xml:space="preserve"> as lessee under </w:t>
      </w:r>
      <w:r>
        <w:t xml:space="preserve">the </w:t>
      </w:r>
      <w:r w:rsidRPr="00DF1E2C">
        <w:t>lease</w:t>
      </w:r>
      <w:r>
        <w:t xml:space="preserve"> arrangement</w:t>
      </w:r>
      <w:r w:rsidRPr="00DF1E2C">
        <w:t xml:space="preserve"> is recorded as a receivable. </w:t>
      </w:r>
      <w:r>
        <w:t>This relates to the loan arrangement in relation to the bus franchise arrangement with Transdev.</w:t>
      </w:r>
      <w:r w:rsidRPr="00DF1E2C">
        <w:t xml:space="preserve"> The lease receivable is initially recorded </w:t>
      </w:r>
      <w:r w:rsidRPr="002F0BB1">
        <w:t xml:space="preserve">at an amount equal to the present value of the minimum lease payments receivable. </w:t>
      </w:r>
      <w:r>
        <w:t>L</w:t>
      </w:r>
      <w:r w:rsidRPr="002F0BB1">
        <w:t xml:space="preserve">ease receipts are apportioned between period interest </w:t>
      </w:r>
      <w:r w:rsidRPr="002F0BB1">
        <w:lastRenderedPageBreak/>
        <w:t>income and reduction of the lease receivable over the term of the lease in order to reflect a constant periodic rate of return on the net investment outstanding in respect of the lease.</w:t>
      </w:r>
      <w:r>
        <w:t xml:space="preserve"> </w:t>
      </w:r>
      <w:r w:rsidRPr="002F0BB1">
        <w:t xml:space="preserve">In preparation of the consolidated balance sheet, </w:t>
      </w:r>
      <w:r>
        <w:t>the</w:t>
      </w:r>
      <w:r w:rsidRPr="002F0BB1">
        <w:t xml:space="preserve"> lease receivable and payable between the consolidated entities are eliminated.</w:t>
      </w:r>
    </w:p>
    <w:p w14:paraId="4BF96744" w14:textId="16828B36" w:rsidR="009722D8" w:rsidRDefault="009722D8" w:rsidP="008A0170">
      <w:pPr>
        <w:pStyle w:val="Heading3"/>
        <w:sectPr w:rsidR="009722D8" w:rsidSect="009722D8">
          <w:type w:val="continuous"/>
          <w:pgSz w:w="11906" w:h="16838"/>
          <w:pgMar w:top="1701" w:right="1418" w:bottom="1418" w:left="1418" w:header="708" w:footer="708" w:gutter="0"/>
          <w:cols w:space="284"/>
          <w:docGrid w:linePitch="360"/>
        </w:sectPr>
      </w:pPr>
    </w:p>
    <w:p w14:paraId="16489EFC" w14:textId="7C75BDA5" w:rsidR="003E5BF5" w:rsidRPr="009A0155" w:rsidRDefault="003E5BF5" w:rsidP="008A0170">
      <w:pPr>
        <w:pStyle w:val="Heading3"/>
      </w:pPr>
      <w:r w:rsidRPr="009A0155">
        <w:lastRenderedPageBreak/>
        <w:t>Leases at significantly below-market terms and conditions</w:t>
      </w:r>
    </w:p>
    <w:p w14:paraId="7B07F705" w14:textId="77777777" w:rsidR="003E5BF5" w:rsidRPr="00471FAC" w:rsidRDefault="003E5BF5" w:rsidP="008869A9">
      <w:pPr>
        <w:pStyle w:val="Heading4"/>
      </w:pPr>
      <w:r>
        <w:t>Leases</w:t>
      </w:r>
      <w:r w:rsidRPr="00471FAC">
        <w:t xml:space="preserve"> with </w:t>
      </w:r>
      <w:proofErr w:type="spellStart"/>
      <w:r w:rsidRPr="00471FAC">
        <w:t>VicTrack</w:t>
      </w:r>
      <w:proofErr w:type="spellEnd"/>
    </w:p>
    <w:p w14:paraId="7B9C73F9" w14:textId="77777777" w:rsidR="003E5BF5" w:rsidRPr="00471FAC" w:rsidRDefault="003E5BF5" w:rsidP="00B96195">
      <w:pPr>
        <w:pStyle w:val="aaatyping"/>
      </w:pPr>
      <w:proofErr w:type="spellStart"/>
      <w:r w:rsidRPr="00471FAC">
        <w:t>VicTrack</w:t>
      </w:r>
      <w:proofErr w:type="spellEnd"/>
      <w:r w:rsidRPr="00471FAC">
        <w:t xml:space="preserve"> is the custodial owner of the State's transport-related land, infrastructure, rolling stock and associated assets, which the department is highly dependent on to further its objectives of providing Victorians with a transport system. The department leases metropolitan, regional and interstate train and tram assets from </w:t>
      </w:r>
      <w:proofErr w:type="spellStart"/>
      <w:r w:rsidRPr="00471FAC">
        <w:t>VicTrack</w:t>
      </w:r>
      <w:proofErr w:type="spellEnd"/>
      <w:r w:rsidRPr="00471FAC">
        <w:t xml:space="preserve"> in order to provide public transport services in Victoria via:</w:t>
      </w:r>
    </w:p>
    <w:p w14:paraId="3C1A0CB8" w14:textId="77777777" w:rsidR="003E5BF5" w:rsidRPr="00255F57" w:rsidRDefault="003E5BF5" w:rsidP="00B96195">
      <w:pPr>
        <w:pStyle w:val="aaabullet"/>
      </w:pPr>
      <w:r w:rsidRPr="00255F57">
        <w:t>the Metropolitan Infrastructure and Operational Control and Management Systems Head Leases effective</w:t>
      </w:r>
      <w:r>
        <w:t xml:space="preserve"> 30</w:t>
      </w:r>
      <w:r w:rsidRPr="00255F57">
        <w:t xml:space="preserve"> November 2017 at nominal cost, for the duration of the operators’ franchise agreements which is 7 years plus a day </w:t>
      </w:r>
      <w:r>
        <w:t>to 1 December 2024</w:t>
      </w:r>
      <w:r w:rsidRPr="00255F57">
        <w:t>, with a 3 year extension option</w:t>
      </w:r>
    </w:p>
    <w:p w14:paraId="4E66D306" w14:textId="77777777" w:rsidR="003E5BF5" w:rsidRPr="00EF401B" w:rsidRDefault="003E5BF5" w:rsidP="00B96195">
      <w:pPr>
        <w:pStyle w:val="aaabullet"/>
      </w:pPr>
      <w:r w:rsidRPr="00471FAC">
        <w:t xml:space="preserve">the State Rolling Stock Head Leases effective 27 November 2009 at nominal cost, for the shorter of 40 years or when the assets are </w:t>
      </w:r>
      <w:r w:rsidRPr="00EF401B">
        <w:t xml:space="preserve">handed back to </w:t>
      </w:r>
      <w:proofErr w:type="spellStart"/>
      <w:r w:rsidRPr="00EF401B">
        <w:t>VicTrack</w:t>
      </w:r>
      <w:proofErr w:type="spellEnd"/>
      <w:r w:rsidRPr="00EF401B">
        <w:t>.</w:t>
      </w:r>
    </w:p>
    <w:p w14:paraId="59BA6166" w14:textId="77777777" w:rsidR="003E5BF5" w:rsidRPr="00D66BD9" w:rsidRDefault="003E5BF5" w:rsidP="00B96195">
      <w:pPr>
        <w:pStyle w:val="aaabullet"/>
      </w:pPr>
      <w:proofErr w:type="spellStart"/>
      <w:r w:rsidRPr="00EF401B">
        <w:t>VLine</w:t>
      </w:r>
      <w:proofErr w:type="spellEnd"/>
      <w:r w:rsidRPr="00EF401B">
        <w:t xml:space="preserve"> Head Lease – regional infrastructure and a number of </w:t>
      </w:r>
      <w:r w:rsidRPr="00D66BD9">
        <w:t>velocity trains – is effective from 1 May 1999 at nominal cost, for 45 years to 1 May 2044</w:t>
      </w:r>
    </w:p>
    <w:p w14:paraId="5E376630" w14:textId="77777777" w:rsidR="003E5BF5" w:rsidRPr="00D66BD9" w:rsidRDefault="003E5BF5" w:rsidP="00B96195">
      <w:pPr>
        <w:pStyle w:val="aaabullet"/>
      </w:pPr>
      <w:r w:rsidRPr="00D66BD9">
        <w:t>Australian Rail Track Corporation (ARTC) Head Lease – infrastructure and rolling stock lease – is effective from 1 July 1999 at nominal cost, for 60 years to 1 July 2059.</w:t>
      </w:r>
    </w:p>
    <w:p w14:paraId="0E581B01" w14:textId="29235928" w:rsidR="003E5BF5" w:rsidRDefault="003E5BF5" w:rsidP="00B96195">
      <w:pPr>
        <w:pStyle w:val="aaatyping"/>
      </w:pPr>
      <w:r w:rsidRPr="00471FAC">
        <w:t xml:space="preserve">Through these Head Leases entered, </w:t>
      </w:r>
      <w:proofErr w:type="spellStart"/>
      <w:r w:rsidRPr="00471FAC">
        <w:t>VicTrack</w:t>
      </w:r>
      <w:proofErr w:type="spellEnd"/>
      <w:r w:rsidRPr="00471FAC">
        <w:t xml:space="preserve"> provides access to its leased assets at nominal cost to assist the department in furthering its objectives. The department has the right to direct the use of the assets as it directs the timetables, routes and fares without the influence of </w:t>
      </w:r>
      <w:proofErr w:type="spellStart"/>
      <w:r w:rsidRPr="00471FAC">
        <w:t>VicTrack</w:t>
      </w:r>
      <w:proofErr w:type="spellEnd"/>
      <w:r w:rsidRPr="00471FAC">
        <w:t xml:space="preserve">. Additionally, the department is deemed to obtain substantially all the economic benefits from the use of the leased assets from </w:t>
      </w:r>
      <w:proofErr w:type="spellStart"/>
      <w:r w:rsidRPr="00471FAC">
        <w:lastRenderedPageBreak/>
        <w:t>VicTrack</w:t>
      </w:r>
      <w:proofErr w:type="spellEnd"/>
      <w:r w:rsidRPr="00471FAC">
        <w:t xml:space="preserve"> as it </w:t>
      </w:r>
      <w:r>
        <w:t>directs the use of the assets to achieve its objectives.</w:t>
      </w:r>
      <w:r w:rsidRPr="00471FAC">
        <w:t xml:space="preserve"> The department </w:t>
      </w:r>
      <w:r>
        <w:t>provides these assets</w:t>
      </w:r>
      <w:r w:rsidRPr="00471FAC">
        <w:t xml:space="preserve"> to rail and tram operators and track access providers (i.e.</w:t>
      </w:r>
      <w:r>
        <w:t xml:space="preserve"> ARTC</w:t>
      </w:r>
      <w:r w:rsidRPr="00471FAC">
        <w:t>, Metro Trains Melbourne (MTM), V/Line and Yarra Trams) through various franchisee agreements</w:t>
      </w:r>
      <w:r>
        <w:t>.</w:t>
      </w:r>
    </w:p>
    <w:p w14:paraId="4AF6541B" w14:textId="77777777" w:rsidR="003E5BF5" w:rsidRPr="00332C7F" w:rsidRDefault="003E5BF5" w:rsidP="00B96195">
      <w:pPr>
        <w:pStyle w:val="aaatyping"/>
      </w:pPr>
      <w:r w:rsidRPr="00332C7F">
        <w:t xml:space="preserve">The department classified the Head Leases entered with </w:t>
      </w:r>
      <w:proofErr w:type="spellStart"/>
      <w:r w:rsidRPr="00332C7F">
        <w:t>VicTrack</w:t>
      </w:r>
      <w:proofErr w:type="spellEnd"/>
      <w:r w:rsidRPr="00332C7F">
        <w:t xml:space="preserve"> as leases that are significantly below market terms and conditions, and principally enable the department to further their objectives. The department discloses the following information in accordance with the transition requirements of AASB 1058 </w:t>
      </w:r>
      <w:r w:rsidRPr="00E97D71">
        <w:rPr>
          <w:i/>
        </w:rPr>
        <w:t>Income of Not-for-profit Entities</w:t>
      </w:r>
      <w:r w:rsidRPr="00332C7F">
        <w:t xml:space="preserve"> and AASB 16 </w:t>
      </w:r>
      <w:r w:rsidRPr="00E97D71">
        <w:rPr>
          <w:i/>
        </w:rPr>
        <w:t>Leases</w:t>
      </w:r>
      <w:r w:rsidRPr="00332C7F">
        <w:t>:</w:t>
      </w:r>
    </w:p>
    <w:p w14:paraId="670566A6" w14:textId="77777777" w:rsidR="003E5BF5" w:rsidRDefault="003E5BF5" w:rsidP="00B96195">
      <w:pPr>
        <w:pStyle w:val="aaabullet"/>
      </w:pPr>
      <w:r>
        <w:t>T</w:t>
      </w:r>
      <w:r w:rsidRPr="00332C7F">
        <w:t xml:space="preserve">he department elected to initially measure the recognition of the right-of-use asset arising from leases that are significantly below market terms and conditions at cost as per the temporary relief given to Not-For-Profit entities by AASB 2018-8 </w:t>
      </w:r>
      <w:r w:rsidRPr="00E97D71">
        <w:rPr>
          <w:i/>
        </w:rPr>
        <w:t>Amendments to Australian Accounting Standards – Right-of-Use Assets of Not-for-Profit Entities</w:t>
      </w:r>
      <w:r w:rsidRPr="00332C7F">
        <w:t xml:space="preserve">. Therefore, the right-of-use asset is </w:t>
      </w:r>
      <w:r>
        <w:t xml:space="preserve">not recognised in the department’s financial statements due to the significantly below market </w:t>
      </w:r>
      <w:r w:rsidRPr="00332C7F">
        <w:t xml:space="preserve">payments to </w:t>
      </w:r>
      <w:proofErr w:type="spellStart"/>
      <w:r w:rsidRPr="00332C7F">
        <w:t>VicTrack</w:t>
      </w:r>
      <w:proofErr w:type="spellEnd"/>
      <w:r w:rsidRPr="00332C7F">
        <w:t xml:space="preserve">. </w:t>
      </w:r>
    </w:p>
    <w:p w14:paraId="553FDC26" w14:textId="77777777" w:rsidR="003E5BF5" w:rsidRDefault="003E5BF5" w:rsidP="00B96195">
      <w:pPr>
        <w:pStyle w:val="aaabullet"/>
      </w:pPr>
      <w:r>
        <w:t>T</w:t>
      </w:r>
      <w:r w:rsidRPr="00332C7F">
        <w:t xml:space="preserve">he corresponding liability of the right-of-use arrangement is </w:t>
      </w:r>
      <w:r>
        <w:t xml:space="preserve">not </w:t>
      </w:r>
      <w:r w:rsidRPr="00332C7F">
        <w:t>recognised as per above.</w:t>
      </w:r>
    </w:p>
    <w:p w14:paraId="0DED8296" w14:textId="4CB655AC" w:rsidR="00DD6235" w:rsidRDefault="003E5BF5" w:rsidP="00B96195">
      <w:pPr>
        <w:pStyle w:val="aaabullet"/>
      </w:pPr>
      <w:r>
        <w:t>T</w:t>
      </w:r>
      <w:r w:rsidRPr="00332C7F">
        <w:t>here is no difference between the right-of-use asset and the lease liability, therefore an adjustment to the opening balance of the department’s accumulated surplus as at 1 July 2019 is not required.</w:t>
      </w:r>
      <w:r w:rsidR="00DD6235">
        <w:br w:type="page"/>
      </w:r>
    </w:p>
    <w:p w14:paraId="415B1801" w14:textId="728BBD52" w:rsidR="003E5BF5" w:rsidRPr="00492A6E" w:rsidRDefault="003E5BF5" w:rsidP="00610F5F">
      <w:pPr>
        <w:pStyle w:val="Heading2"/>
        <w:numPr>
          <w:ilvl w:val="2"/>
          <w:numId w:val="20"/>
        </w:numPr>
        <w:ind w:left="765" w:hanging="765"/>
      </w:pPr>
      <w:r>
        <w:lastRenderedPageBreak/>
        <w:t>Right-of-use Assets</w:t>
      </w:r>
    </w:p>
    <w:p w14:paraId="5EB4AF49" w14:textId="77777777" w:rsidR="003E5BF5" w:rsidRPr="00BE1A40" w:rsidRDefault="003E5BF5" w:rsidP="00B96195">
      <w:pPr>
        <w:pStyle w:val="aaatyping"/>
      </w:pPr>
      <w:r>
        <w:t>Right-of-use assets are presented in Note 5.1.1 Right-of-use assets.</w:t>
      </w:r>
    </w:p>
    <w:p w14:paraId="54B563F4" w14:textId="77777777" w:rsidR="003E5BF5" w:rsidRPr="00492A6E" w:rsidRDefault="003E5BF5" w:rsidP="00610F5F">
      <w:pPr>
        <w:pStyle w:val="Heading2"/>
        <w:numPr>
          <w:ilvl w:val="2"/>
          <w:numId w:val="20"/>
        </w:numPr>
        <w:ind w:left="765" w:hanging="765"/>
      </w:pPr>
      <w:r w:rsidRPr="00C17DCF">
        <w:t xml:space="preserve">Amounts recognised in the Comprehensive </w:t>
      </w:r>
      <w:r>
        <w:t>operating s</w:t>
      </w:r>
      <w:r w:rsidRPr="00C17DCF">
        <w:t>tatement</w:t>
      </w:r>
    </w:p>
    <w:p w14:paraId="4DC858B6" w14:textId="77777777" w:rsidR="003E5BF5" w:rsidRPr="005E2BA4" w:rsidRDefault="003E5BF5" w:rsidP="00B96195">
      <w:pPr>
        <w:pStyle w:val="aaatyping"/>
      </w:pPr>
      <w:r w:rsidRPr="00A82559">
        <w:t xml:space="preserve">The following amounts are recognised in the Comprehensive </w:t>
      </w:r>
      <w:r>
        <w:t>o</w:t>
      </w:r>
      <w:r w:rsidRPr="00A82559">
        <w:t xml:space="preserve">perating </w:t>
      </w:r>
      <w:r>
        <w:t>s</w:t>
      </w:r>
      <w:r w:rsidRPr="00A82559">
        <w:t>tatement relating to leases</w:t>
      </w:r>
      <w:r>
        <w:t>:</w:t>
      </w:r>
      <w:bookmarkStart w:id="430" w:name="RANGE!A3:B11"/>
      <w:bookmarkEnd w:id="430"/>
    </w:p>
    <w:tbl>
      <w:tblPr>
        <w:tblStyle w:val="TableGrid"/>
        <w:tblW w:w="9072" w:type="dxa"/>
        <w:tblLayout w:type="fixed"/>
        <w:tblLook w:val="04A0" w:firstRow="1" w:lastRow="0" w:firstColumn="1" w:lastColumn="0" w:noHBand="0" w:noVBand="1"/>
      </w:tblPr>
      <w:tblGrid>
        <w:gridCol w:w="7088"/>
        <w:gridCol w:w="1984"/>
      </w:tblGrid>
      <w:tr w:rsidR="003E5BF5" w:rsidRPr="00145E37" w14:paraId="01BF9348" w14:textId="77777777" w:rsidTr="001D0223">
        <w:trPr>
          <w:trHeight w:val="340"/>
        </w:trPr>
        <w:tc>
          <w:tcPr>
            <w:tcW w:w="7088" w:type="dxa"/>
            <w:shd w:val="clear" w:color="auto" w:fill="auto"/>
            <w:noWrap/>
            <w:vAlign w:val="center"/>
            <w:hideMark/>
          </w:tcPr>
          <w:p w14:paraId="1A002C7D" w14:textId="77777777" w:rsidR="003E5BF5" w:rsidRPr="00145E37" w:rsidRDefault="003E5BF5" w:rsidP="00DE1921">
            <w:pPr>
              <w:rPr>
                <w:rFonts w:ascii="Arial" w:hAnsi="Arial" w:cs="Arial"/>
                <w:sz w:val="24"/>
                <w:szCs w:val="24"/>
              </w:rPr>
            </w:pPr>
          </w:p>
        </w:tc>
        <w:tc>
          <w:tcPr>
            <w:tcW w:w="1984" w:type="dxa"/>
            <w:shd w:val="clear" w:color="auto" w:fill="auto"/>
            <w:noWrap/>
            <w:vAlign w:val="center"/>
            <w:hideMark/>
          </w:tcPr>
          <w:p w14:paraId="13B7803E" w14:textId="77777777" w:rsidR="003E5BF5" w:rsidRPr="00145E37" w:rsidRDefault="003E5BF5" w:rsidP="00DE1921">
            <w:pPr>
              <w:jc w:val="center"/>
              <w:rPr>
                <w:rFonts w:ascii="Arial" w:hAnsi="Arial" w:cs="Arial"/>
                <w:b/>
                <w:sz w:val="24"/>
                <w:szCs w:val="24"/>
              </w:rPr>
            </w:pPr>
            <w:r w:rsidRPr="00145E37">
              <w:rPr>
                <w:rFonts w:ascii="Arial" w:hAnsi="Arial" w:cs="Arial"/>
                <w:b/>
                <w:sz w:val="24"/>
                <w:szCs w:val="24"/>
              </w:rPr>
              <w:t>($ thousand)</w:t>
            </w:r>
          </w:p>
        </w:tc>
      </w:tr>
      <w:tr w:rsidR="003E5BF5" w:rsidRPr="00145E37" w14:paraId="7C03C22F" w14:textId="77777777" w:rsidTr="001D0223">
        <w:trPr>
          <w:trHeight w:val="340"/>
        </w:trPr>
        <w:tc>
          <w:tcPr>
            <w:tcW w:w="7088" w:type="dxa"/>
            <w:shd w:val="clear" w:color="auto" w:fill="auto"/>
            <w:noWrap/>
            <w:vAlign w:val="center"/>
            <w:hideMark/>
          </w:tcPr>
          <w:p w14:paraId="2D81F2F2" w14:textId="77777777" w:rsidR="003E5BF5" w:rsidRPr="00145E37" w:rsidRDefault="003E5BF5" w:rsidP="00DE1921">
            <w:pPr>
              <w:rPr>
                <w:rFonts w:ascii="Arial" w:hAnsi="Arial" w:cs="Arial"/>
                <w:sz w:val="24"/>
                <w:szCs w:val="24"/>
              </w:rPr>
            </w:pPr>
            <w:r w:rsidRPr="00145E37">
              <w:rPr>
                <w:rFonts w:ascii="Arial" w:hAnsi="Arial" w:cs="Arial"/>
                <w:sz w:val="24"/>
                <w:szCs w:val="24"/>
              </w:rPr>
              <w:t> </w:t>
            </w:r>
          </w:p>
        </w:tc>
        <w:tc>
          <w:tcPr>
            <w:tcW w:w="1984" w:type="dxa"/>
            <w:shd w:val="clear" w:color="auto" w:fill="auto"/>
            <w:noWrap/>
            <w:vAlign w:val="center"/>
            <w:hideMark/>
          </w:tcPr>
          <w:p w14:paraId="6D51F3D2" w14:textId="77777777" w:rsidR="003E5BF5" w:rsidRPr="00145E37" w:rsidRDefault="003E5BF5" w:rsidP="00DE1921">
            <w:pPr>
              <w:jc w:val="right"/>
              <w:rPr>
                <w:rFonts w:ascii="Arial" w:hAnsi="Arial" w:cs="Arial"/>
                <w:b/>
                <w:sz w:val="24"/>
                <w:szCs w:val="24"/>
              </w:rPr>
            </w:pPr>
            <w:r w:rsidRPr="00145E37">
              <w:rPr>
                <w:rFonts w:ascii="Arial" w:hAnsi="Arial" w:cs="Arial"/>
                <w:b/>
                <w:sz w:val="24"/>
                <w:szCs w:val="24"/>
              </w:rPr>
              <w:t>2020</w:t>
            </w:r>
          </w:p>
        </w:tc>
      </w:tr>
      <w:tr w:rsidR="003E5BF5" w:rsidRPr="00145E37" w14:paraId="51B8FA1F" w14:textId="77777777" w:rsidTr="001D0223">
        <w:trPr>
          <w:trHeight w:val="340"/>
        </w:trPr>
        <w:tc>
          <w:tcPr>
            <w:tcW w:w="7088" w:type="dxa"/>
            <w:shd w:val="clear" w:color="auto" w:fill="auto"/>
            <w:noWrap/>
            <w:vAlign w:val="center"/>
            <w:hideMark/>
          </w:tcPr>
          <w:p w14:paraId="373D91DE" w14:textId="77777777" w:rsidR="003E5BF5" w:rsidRPr="00145E37" w:rsidRDefault="003E5BF5" w:rsidP="00DE1921">
            <w:pPr>
              <w:rPr>
                <w:rFonts w:ascii="Arial" w:hAnsi="Arial" w:cs="Arial"/>
                <w:sz w:val="24"/>
                <w:szCs w:val="24"/>
              </w:rPr>
            </w:pPr>
            <w:r w:rsidRPr="00145E37">
              <w:rPr>
                <w:rFonts w:ascii="Arial" w:hAnsi="Arial" w:cs="Arial"/>
                <w:sz w:val="24"/>
                <w:szCs w:val="24"/>
              </w:rPr>
              <w:t>Interest expense on lease liabilities</w:t>
            </w:r>
          </w:p>
        </w:tc>
        <w:tc>
          <w:tcPr>
            <w:tcW w:w="1984" w:type="dxa"/>
            <w:shd w:val="clear" w:color="auto" w:fill="auto"/>
            <w:noWrap/>
            <w:vAlign w:val="center"/>
            <w:hideMark/>
          </w:tcPr>
          <w:p w14:paraId="5011B0D0" w14:textId="77777777" w:rsidR="003E5BF5" w:rsidRPr="00145E37" w:rsidRDefault="003E5BF5" w:rsidP="00DE1921">
            <w:pPr>
              <w:jc w:val="right"/>
              <w:rPr>
                <w:rFonts w:ascii="Arial" w:hAnsi="Arial" w:cs="Arial"/>
                <w:sz w:val="24"/>
                <w:szCs w:val="24"/>
              </w:rPr>
            </w:pPr>
            <w:r w:rsidRPr="00145E37">
              <w:rPr>
                <w:rFonts w:ascii="Arial" w:hAnsi="Arial" w:cs="Arial"/>
                <w:sz w:val="24"/>
                <w:szCs w:val="24"/>
              </w:rPr>
              <w:t>(8,514)</w:t>
            </w:r>
          </w:p>
        </w:tc>
      </w:tr>
      <w:tr w:rsidR="003E5BF5" w:rsidRPr="00145E37" w14:paraId="562F3B63" w14:textId="77777777" w:rsidTr="001D0223">
        <w:trPr>
          <w:trHeight w:val="340"/>
        </w:trPr>
        <w:tc>
          <w:tcPr>
            <w:tcW w:w="7088" w:type="dxa"/>
            <w:shd w:val="clear" w:color="auto" w:fill="auto"/>
            <w:noWrap/>
            <w:vAlign w:val="center"/>
            <w:hideMark/>
          </w:tcPr>
          <w:p w14:paraId="406059F1" w14:textId="77777777" w:rsidR="003E5BF5" w:rsidRPr="00145E37" w:rsidRDefault="003E5BF5" w:rsidP="00DE1921">
            <w:pPr>
              <w:rPr>
                <w:rFonts w:ascii="Arial" w:hAnsi="Arial" w:cs="Arial"/>
                <w:sz w:val="24"/>
                <w:szCs w:val="24"/>
              </w:rPr>
            </w:pPr>
            <w:r w:rsidRPr="00145E37">
              <w:rPr>
                <w:rFonts w:ascii="Arial" w:hAnsi="Arial" w:cs="Arial"/>
                <w:sz w:val="24"/>
                <w:szCs w:val="24"/>
              </w:rPr>
              <w:t>Expenses relating to short term leases</w:t>
            </w:r>
          </w:p>
        </w:tc>
        <w:tc>
          <w:tcPr>
            <w:tcW w:w="1984" w:type="dxa"/>
            <w:shd w:val="clear" w:color="auto" w:fill="auto"/>
            <w:noWrap/>
            <w:vAlign w:val="center"/>
            <w:hideMark/>
          </w:tcPr>
          <w:p w14:paraId="4B6754DB" w14:textId="77777777" w:rsidR="003E5BF5" w:rsidRPr="00145E37" w:rsidRDefault="003E5BF5" w:rsidP="00DE1921">
            <w:pPr>
              <w:jc w:val="right"/>
              <w:rPr>
                <w:rFonts w:ascii="Arial" w:hAnsi="Arial" w:cs="Arial"/>
                <w:sz w:val="24"/>
                <w:szCs w:val="24"/>
              </w:rPr>
            </w:pPr>
            <w:r w:rsidRPr="00145E37">
              <w:rPr>
                <w:rFonts w:ascii="Arial" w:hAnsi="Arial" w:cs="Arial"/>
                <w:sz w:val="24"/>
                <w:szCs w:val="24"/>
              </w:rPr>
              <w:t>(410)</w:t>
            </w:r>
          </w:p>
        </w:tc>
      </w:tr>
      <w:tr w:rsidR="003E5BF5" w:rsidRPr="00145E37" w14:paraId="4AE4F91C" w14:textId="77777777" w:rsidTr="001D0223">
        <w:trPr>
          <w:trHeight w:val="340"/>
        </w:trPr>
        <w:tc>
          <w:tcPr>
            <w:tcW w:w="7088" w:type="dxa"/>
            <w:shd w:val="clear" w:color="auto" w:fill="auto"/>
            <w:vAlign w:val="center"/>
            <w:hideMark/>
          </w:tcPr>
          <w:p w14:paraId="6D061908" w14:textId="77777777" w:rsidR="003E5BF5" w:rsidRPr="00145E37" w:rsidRDefault="003E5BF5" w:rsidP="00DE1921">
            <w:pPr>
              <w:rPr>
                <w:rFonts w:ascii="Arial" w:hAnsi="Arial" w:cs="Arial"/>
                <w:sz w:val="24"/>
                <w:szCs w:val="24"/>
              </w:rPr>
            </w:pPr>
            <w:r w:rsidRPr="00145E37">
              <w:rPr>
                <w:rFonts w:ascii="Arial" w:hAnsi="Arial" w:cs="Arial"/>
                <w:sz w:val="24"/>
                <w:szCs w:val="24"/>
              </w:rPr>
              <w:t>Expenses relating to leases of low-value assets</w:t>
            </w:r>
          </w:p>
        </w:tc>
        <w:tc>
          <w:tcPr>
            <w:tcW w:w="1984" w:type="dxa"/>
            <w:shd w:val="clear" w:color="auto" w:fill="auto"/>
            <w:noWrap/>
            <w:vAlign w:val="center"/>
            <w:hideMark/>
          </w:tcPr>
          <w:p w14:paraId="1DFB4078" w14:textId="77777777" w:rsidR="003E5BF5" w:rsidRPr="00145E37" w:rsidRDefault="003E5BF5" w:rsidP="00DE1921">
            <w:pPr>
              <w:jc w:val="right"/>
              <w:rPr>
                <w:rFonts w:ascii="Arial" w:hAnsi="Arial" w:cs="Arial"/>
                <w:sz w:val="24"/>
                <w:szCs w:val="24"/>
              </w:rPr>
            </w:pPr>
            <w:r w:rsidRPr="00145E37">
              <w:rPr>
                <w:rFonts w:ascii="Arial" w:hAnsi="Arial" w:cs="Arial"/>
                <w:sz w:val="24"/>
                <w:szCs w:val="24"/>
              </w:rPr>
              <w:t>(8,462)</w:t>
            </w:r>
          </w:p>
        </w:tc>
      </w:tr>
      <w:tr w:rsidR="003E5BF5" w:rsidRPr="00145E37" w14:paraId="4533F21F" w14:textId="77777777" w:rsidTr="001D0223">
        <w:trPr>
          <w:trHeight w:val="340"/>
        </w:trPr>
        <w:tc>
          <w:tcPr>
            <w:tcW w:w="7088" w:type="dxa"/>
            <w:shd w:val="clear" w:color="auto" w:fill="auto"/>
            <w:noWrap/>
            <w:vAlign w:val="center"/>
            <w:hideMark/>
          </w:tcPr>
          <w:p w14:paraId="4D3585E1" w14:textId="77777777" w:rsidR="003E5BF5" w:rsidRPr="00145E37" w:rsidRDefault="003E5BF5" w:rsidP="00DE1921">
            <w:pPr>
              <w:rPr>
                <w:rFonts w:ascii="Arial" w:hAnsi="Arial" w:cs="Arial"/>
                <w:b/>
                <w:sz w:val="24"/>
                <w:szCs w:val="24"/>
              </w:rPr>
            </w:pPr>
            <w:r w:rsidRPr="00145E37">
              <w:rPr>
                <w:rFonts w:ascii="Arial" w:hAnsi="Arial" w:cs="Arial"/>
                <w:b/>
                <w:sz w:val="24"/>
                <w:szCs w:val="24"/>
              </w:rPr>
              <w:t>Total amount recognised in the statement of comprehensive statement</w:t>
            </w:r>
          </w:p>
        </w:tc>
        <w:tc>
          <w:tcPr>
            <w:tcW w:w="1984" w:type="dxa"/>
            <w:shd w:val="clear" w:color="auto" w:fill="auto"/>
            <w:noWrap/>
            <w:vAlign w:val="center"/>
            <w:hideMark/>
          </w:tcPr>
          <w:p w14:paraId="195DF95C" w14:textId="77777777" w:rsidR="003E5BF5" w:rsidRPr="00145E37" w:rsidRDefault="003E5BF5" w:rsidP="00DE1921">
            <w:pPr>
              <w:jc w:val="right"/>
              <w:rPr>
                <w:rFonts w:ascii="Arial" w:hAnsi="Arial" w:cs="Arial"/>
                <w:b/>
                <w:sz w:val="24"/>
                <w:szCs w:val="24"/>
              </w:rPr>
            </w:pPr>
            <w:r w:rsidRPr="00145E37">
              <w:rPr>
                <w:rFonts w:ascii="Arial" w:hAnsi="Arial" w:cs="Arial"/>
                <w:b/>
                <w:sz w:val="24"/>
                <w:szCs w:val="24"/>
              </w:rPr>
              <w:t>(17,386)</w:t>
            </w:r>
          </w:p>
        </w:tc>
      </w:tr>
    </w:tbl>
    <w:p w14:paraId="681B2C08" w14:textId="77777777" w:rsidR="003E5BF5" w:rsidRDefault="003E5BF5" w:rsidP="00314D78">
      <w:pPr>
        <w:pStyle w:val="Heading2"/>
        <w:numPr>
          <w:ilvl w:val="2"/>
          <w:numId w:val="20"/>
        </w:numPr>
        <w:spacing w:before="120"/>
        <w:ind w:left="765" w:hanging="765"/>
      </w:pPr>
      <w:r w:rsidRPr="00947FFA">
        <w:t xml:space="preserve">Amounts recognised in the </w:t>
      </w:r>
      <w:r>
        <w:t>Cash flow s</w:t>
      </w:r>
      <w:r w:rsidRPr="00947FFA">
        <w:t>tatement</w:t>
      </w:r>
    </w:p>
    <w:p w14:paraId="3D9E97CE" w14:textId="77777777" w:rsidR="003E5BF5" w:rsidRDefault="003E5BF5" w:rsidP="001C6099">
      <w:pPr>
        <w:pStyle w:val="aaatyping"/>
      </w:pPr>
      <w:r w:rsidRPr="00E5496C">
        <w:t>The amount recognised in the Cash flow statement for the year ending 30 June 2020 relating to leases is</w:t>
      </w:r>
      <w:r>
        <w:t xml:space="preserve"> </w:t>
      </w:r>
      <w:r w:rsidRPr="00B478C7">
        <w:t>$25,078,000.</w:t>
      </w:r>
      <w:bookmarkStart w:id="431" w:name="RANGE!A17:B19"/>
      <w:bookmarkEnd w:id="431"/>
    </w:p>
    <w:p w14:paraId="083287EA" w14:textId="77777777" w:rsidR="003E5BF5" w:rsidRDefault="003E5BF5" w:rsidP="001C6099">
      <w:pPr>
        <w:pStyle w:val="aaatyping"/>
      </w:pPr>
      <w:r>
        <w:t xml:space="preserve">For any new contracts entered into on or after 1 July 2019,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 </w:t>
      </w:r>
    </w:p>
    <w:p w14:paraId="1594D9D4" w14:textId="77777777" w:rsidR="003E5BF5" w:rsidRDefault="003E5BF5" w:rsidP="001C6099">
      <w:pPr>
        <w:pStyle w:val="aaabullet"/>
      </w:pPr>
      <w:r>
        <w:t>w</w:t>
      </w:r>
      <w:r w:rsidRPr="005D1DBB">
        <w:t>hether</w:t>
      </w:r>
      <w:r>
        <w:t xml:space="preserve"> the contract contains an identified asset, which is either explicitly identified in the contract or implicitly specified by being identified at the time the asset is made available to the department and for which the supplier does not have substantive substitution rights </w:t>
      </w:r>
    </w:p>
    <w:p w14:paraId="0A7547E0" w14:textId="77777777" w:rsidR="003E5BF5" w:rsidRPr="005D1DBB" w:rsidRDefault="003E5BF5" w:rsidP="001C6099">
      <w:pPr>
        <w:pStyle w:val="aaabullet"/>
      </w:pPr>
      <w:r>
        <w:t>w</w:t>
      </w:r>
      <w:r w:rsidRPr="005D1DBB">
        <w:t xml:space="preserve">hether the department has the right to obtain substantially all of the economic benefits from use of the identified asset throughout the </w:t>
      </w:r>
      <w:r w:rsidRPr="005D1DBB">
        <w:lastRenderedPageBreak/>
        <w:t>period of use, considering its rights within the defined scope of the contract and the department has the right to direct the use of the identified asset throughout the period of use</w:t>
      </w:r>
    </w:p>
    <w:p w14:paraId="50531625" w14:textId="77777777" w:rsidR="003E5BF5" w:rsidRDefault="003E5BF5" w:rsidP="001C6099">
      <w:pPr>
        <w:pStyle w:val="aaabullet"/>
      </w:pPr>
      <w:r>
        <w:t>w</w:t>
      </w:r>
      <w:r w:rsidRPr="005D1DBB">
        <w:t>hether the department has the right to take decisions in respect of ‘how and for what</w:t>
      </w:r>
      <w:r>
        <w:t xml:space="preserve"> purpose’ the asset is used throughout the period of use.</w:t>
      </w:r>
    </w:p>
    <w:p w14:paraId="1E856502" w14:textId="4280CE07" w:rsidR="003E5BF5" w:rsidRDefault="003E5BF5" w:rsidP="001C6099">
      <w:pPr>
        <w:pStyle w:val="aaatyping"/>
      </w:pPr>
      <w:r>
        <w:t>This policy is applied to contracts entered into, or changed, on or after 1 July 2019.</w:t>
      </w:r>
    </w:p>
    <w:p w14:paraId="7E80AFDA" w14:textId="77777777" w:rsidR="003E5BF5" w:rsidRPr="00903182" w:rsidRDefault="003E5BF5" w:rsidP="00EF5131">
      <w:pPr>
        <w:pStyle w:val="Heading5"/>
      </w:pPr>
      <w:r w:rsidRPr="00903182">
        <w:t>Separation of lease and non-lease components</w:t>
      </w:r>
    </w:p>
    <w:p w14:paraId="29E72BE4" w14:textId="77777777" w:rsidR="003E5BF5" w:rsidRDefault="003E5BF5" w:rsidP="001C6099">
      <w:pPr>
        <w:pStyle w:val="aaatyping"/>
      </w:pPr>
      <w:r>
        <w:t xml:space="preserve">At inception or on reassessment of a contract that contains a lease component, the lessee is required to separate out and account separately for non-lease components within a lease contract and exclude these amounts when determining the lease liability and right-of-use asset amount. </w:t>
      </w:r>
    </w:p>
    <w:p w14:paraId="248BA0AC" w14:textId="77777777" w:rsidR="003E5BF5" w:rsidRPr="00CC69CE" w:rsidRDefault="003E5BF5" w:rsidP="00CC69CE">
      <w:pPr>
        <w:pStyle w:val="Heading5"/>
        <w:rPr>
          <w:rStyle w:val="IntenseEmphasis"/>
          <w:i w:val="0"/>
          <w:iCs w:val="0"/>
          <w:color w:val="0E787C"/>
        </w:rPr>
      </w:pPr>
      <w:r w:rsidRPr="00CC69CE">
        <w:rPr>
          <w:rStyle w:val="IntenseEmphasis"/>
          <w:i w:val="0"/>
          <w:iCs w:val="0"/>
          <w:color w:val="0E787C"/>
        </w:rPr>
        <w:t>Recognition and measurement of leases as a lessee (under AASB 16 from 1 July 2019)</w:t>
      </w:r>
    </w:p>
    <w:p w14:paraId="1B9FADF8" w14:textId="77777777" w:rsidR="003E5BF5" w:rsidRPr="001251AA" w:rsidRDefault="003E5BF5" w:rsidP="001C6099">
      <w:pPr>
        <w:pStyle w:val="aaatyping"/>
      </w:pPr>
      <w:r>
        <w:rPr>
          <w:b/>
        </w:rPr>
        <w:t>Initial</w:t>
      </w:r>
      <w:r w:rsidRPr="00317261">
        <w:rPr>
          <w:b/>
        </w:rPr>
        <w:t xml:space="preserve"> measurement</w:t>
      </w:r>
      <w:r>
        <w:rPr>
          <w:b/>
        </w:rPr>
        <w:t xml:space="preserve">: </w:t>
      </w:r>
      <w:r>
        <w:t xml:space="preserve">The lease liability is initially measured at the present value of the lease payments unpaid at the commencement date, discounted using the interest rate implicit in the lease if that rate is readily determinable or the department’s incremental borrowing rate. </w:t>
      </w:r>
    </w:p>
    <w:p w14:paraId="57E1C182" w14:textId="77777777" w:rsidR="003E5BF5" w:rsidRDefault="003E5BF5" w:rsidP="001C6099">
      <w:pPr>
        <w:pStyle w:val="aaatyping"/>
      </w:pPr>
      <w:r>
        <w:t>Lease payments included in the measurement of the lease liability comprise the following:</w:t>
      </w:r>
    </w:p>
    <w:p w14:paraId="0AC97DD5" w14:textId="77777777" w:rsidR="003E5BF5" w:rsidRPr="005D1DBB" w:rsidRDefault="003E5BF5" w:rsidP="001C6099">
      <w:pPr>
        <w:pStyle w:val="aaabullet"/>
      </w:pPr>
      <w:r w:rsidRPr="005D1DBB">
        <w:t>fixed payments (including in-substance fixed payments)</w:t>
      </w:r>
    </w:p>
    <w:p w14:paraId="6EED138A" w14:textId="77777777" w:rsidR="003E5BF5" w:rsidRPr="005D1DBB" w:rsidRDefault="003E5BF5" w:rsidP="001C6099">
      <w:pPr>
        <w:pStyle w:val="aaabullet"/>
      </w:pPr>
      <w:r w:rsidRPr="005D1DBB">
        <w:t>variable payments based on an index or rate, initially measured using the index or rate as at the commencement date</w:t>
      </w:r>
    </w:p>
    <w:p w14:paraId="18139A0F" w14:textId="77777777" w:rsidR="003E5BF5" w:rsidRPr="005D1DBB" w:rsidRDefault="003E5BF5" w:rsidP="001C6099">
      <w:pPr>
        <w:pStyle w:val="aaabullet"/>
      </w:pPr>
      <w:r w:rsidRPr="005D1DBB">
        <w:t>amounts expected to be payable under a residual value guarantee and</w:t>
      </w:r>
    </w:p>
    <w:p w14:paraId="4309EDEB" w14:textId="626CB4D0" w:rsidR="003E5BF5" w:rsidRDefault="003E5BF5" w:rsidP="001C6099">
      <w:pPr>
        <w:pStyle w:val="aaabullet"/>
      </w:pPr>
      <w:r w:rsidRPr="005D1DBB">
        <w:lastRenderedPageBreak/>
        <w:t>payments arising from purchase and termination options reasonably certain to be exercised.</w:t>
      </w:r>
    </w:p>
    <w:p w14:paraId="6570E6D5" w14:textId="77777777" w:rsidR="003E5BF5" w:rsidRDefault="003E5BF5" w:rsidP="001C6099">
      <w:pPr>
        <w:pStyle w:val="aaatyping"/>
      </w:pPr>
      <w:r>
        <w:rPr>
          <w:b/>
        </w:rPr>
        <w:t>S</w:t>
      </w:r>
      <w:r w:rsidRPr="00317261">
        <w:rPr>
          <w:b/>
        </w:rPr>
        <w:t>ubsequent measurement</w:t>
      </w:r>
      <w:r>
        <w:rPr>
          <w:b/>
        </w:rPr>
        <w:t xml:space="preserve">: </w:t>
      </w:r>
      <w:r>
        <w:t>Subsequent to initial measurement, the liability will be reduced for payments made and increased for interest. It is remeasured to reflect any reassessment or modification, or if there are changes in-substance fixed payments. When the lease liability is remeasured, the corresponding adjustment is reflected in the right-of-use asset, or profit and loss if the right of use asset is already reduced to zero.</w:t>
      </w:r>
    </w:p>
    <w:p w14:paraId="375474A3" w14:textId="77777777" w:rsidR="003E5BF5" w:rsidRPr="00F60F73" w:rsidRDefault="003E5BF5" w:rsidP="00EF5131">
      <w:pPr>
        <w:pStyle w:val="Heading5"/>
      </w:pPr>
      <w:r w:rsidRPr="00F60F73">
        <w:t>Short-term leases and leases of low value assets</w:t>
      </w:r>
    </w:p>
    <w:p w14:paraId="3E0B6356" w14:textId="77777777" w:rsidR="003E5BF5" w:rsidRDefault="003E5BF5" w:rsidP="001C6099">
      <w:pPr>
        <w:pStyle w:val="aaatyping"/>
      </w:pPr>
      <w:r>
        <w:t xml:space="preserve">The department has elected to account for short-term leases and leases of low value assets using the practical expedients. Instead of recognising a right of use asset and lease liability, the payments made are recognised as an expense in profit or loss on a straight-line basis over the lease term. </w:t>
      </w:r>
    </w:p>
    <w:p w14:paraId="55EEB714" w14:textId="77777777" w:rsidR="003E5BF5" w:rsidRPr="00F60F73" w:rsidRDefault="003E5BF5" w:rsidP="00EF5131">
      <w:pPr>
        <w:pStyle w:val="Heading5"/>
      </w:pPr>
      <w:r w:rsidRPr="00F60F73">
        <w:t>Presentation of right-of-use assets and lease liabilities</w:t>
      </w:r>
    </w:p>
    <w:p w14:paraId="41F25621" w14:textId="77777777" w:rsidR="003E5BF5" w:rsidRDefault="003E5BF5" w:rsidP="001C6099">
      <w:pPr>
        <w:pStyle w:val="aaatyping"/>
      </w:pPr>
      <w:r>
        <w:t xml:space="preserve">The department presents right-of-use assets as ‘property plant equipment’ unless they meet the definition of investment property, in which case they are disclosed as ‘investment property’ in the balance sheet. Lease liabilities are presented as ‘borrowings’ in the balance sheet. </w:t>
      </w:r>
    </w:p>
    <w:p w14:paraId="08DEFDFE" w14:textId="329323CD" w:rsidR="003E5BF5" w:rsidRPr="008F5ACF" w:rsidRDefault="003E5BF5" w:rsidP="008F5ACF">
      <w:pPr>
        <w:pStyle w:val="Heading4"/>
        <w:rPr>
          <w:rStyle w:val="IntenseEmphasis"/>
          <w:i w:val="0"/>
          <w:iCs w:val="0"/>
          <w:color w:val="0E787C"/>
        </w:rPr>
      </w:pPr>
      <w:r w:rsidRPr="008F5ACF">
        <w:rPr>
          <w:rStyle w:val="IntenseEmphasis"/>
          <w:i w:val="0"/>
          <w:iCs w:val="0"/>
          <w:color w:val="0E787C"/>
        </w:rPr>
        <w:t>Recognition and measurement of leases (under AASB 117 until 30 June 2019)</w:t>
      </w:r>
    </w:p>
    <w:p w14:paraId="6DC2B01E" w14:textId="77777777" w:rsidR="003E5BF5" w:rsidRDefault="003E5BF5" w:rsidP="00C94E31">
      <w:pPr>
        <w:pStyle w:val="aaatyping"/>
      </w:pPr>
      <w:r>
        <w:t xml:space="preserve">In the comparative period, leases of PPE were classified as either finance lease or operating leases. </w:t>
      </w:r>
    </w:p>
    <w:p w14:paraId="60EB6D9A" w14:textId="77777777" w:rsidR="003E5BF5" w:rsidRDefault="003E5BF5" w:rsidP="001C6099">
      <w:pPr>
        <w:pStyle w:val="aaatyping"/>
      </w:pPr>
      <w:r>
        <w:t xml:space="preserve">Leases of PPE where the department as a lessee had substantially all of the risks and rewards of ownership were classified as finance leases. </w:t>
      </w:r>
      <w:r>
        <w:lastRenderedPageBreak/>
        <w:t>Finance leases were initially recognised as assets and liabilities at amounts equal to the fair value of the leased property or, if lower, the present value of the minimum lease payment, each determined at the inception of the lease. The leased asset is accounted for as a non-financial physical asset and depreciated over the shorter of the estimated useful life of the asset or the term of the lease. Minimum finance lease payments were apportioned between the reduction of the outstanding lease liability and the periodic finance expense, which is calculated using the interest rate implicit in the lease and charged directly to the comprehensive operating statement.</w:t>
      </w:r>
    </w:p>
    <w:p w14:paraId="42D88CC7" w14:textId="77777777" w:rsidR="003E5BF5" w:rsidRDefault="003E5BF5" w:rsidP="001C6099">
      <w:pPr>
        <w:pStyle w:val="aaatyping"/>
      </w:pPr>
      <w:r>
        <w:t>Contingent rentals associated with finance leases were recognised as an expense. Assets held under other leases were classified as operating leases and were not recognised in the department’s balance sheet. Operating lease payments were recognised as an operating expense in the Comprehensive operating statement on a straight-line basis over the lease term.</w:t>
      </w:r>
    </w:p>
    <w:p w14:paraId="089D9459" w14:textId="77777777" w:rsidR="003E5BF5" w:rsidRDefault="003E5BF5" w:rsidP="00DE1921">
      <w:pPr>
        <w:sectPr w:rsidR="003E5BF5" w:rsidSect="002D7AF9">
          <w:pgSz w:w="11906" w:h="16838"/>
          <w:pgMar w:top="1701" w:right="1418" w:bottom="1418" w:left="1418" w:header="708" w:footer="708" w:gutter="0"/>
          <w:cols w:space="284"/>
          <w:docGrid w:linePitch="360"/>
        </w:sectPr>
      </w:pPr>
    </w:p>
    <w:p w14:paraId="2050DCF2" w14:textId="77777777" w:rsidR="003E5BF5" w:rsidRDefault="003E5BF5" w:rsidP="00DE1921"/>
    <w:p w14:paraId="5938F5BF" w14:textId="77777777" w:rsidR="003E5BF5" w:rsidRDefault="003E5BF5" w:rsidP="00DE1921">
      <w:pPr>
        <w:sectPr w:rsidR="003E5BF5" w:rsidSect="002D7AF9">
          <w:type w:val="continuous"/>
          <w:pgSz w:w="11906" w:h="16838"/>
          <w:pgMar w:top="1701" w:right="1418" w:bottom="1418" w:left="1418" w:header="708" w:footer="708" w:gutter="0"/>
          <w:cols w:space="284"/>
          <w:docGrid w:linePitch="360"/>
        </w:sectPr>
      </w:pPr>
    </w:p>
    <w:p w14:paraId="79388550" w14:textId="77777777" w:rsidR="003E5BF5" w:rsidRDefault="003E5BF5" w:rsidP="00610F5F">
      <w:pPr>
        <w:pStyle w:val="Heading2"/>
        <w:numPr>
          <w:ilvl w:val="2"/>
          <w:numId w:val="20"/>
        </w:numPr>
        <w:ind w:left="765" w:hanging="765"/>
      </w:pPr>
      <w:r>
        <w:lastRenderedPageBreak/>
        <w:t>Lease liabilities payable</w:t>
      </w:r>
    </w:p>
    <w:p w14:paraId="085F419B" w14:textId="77777777" w:rsidR="003E5BF5" w:rsidRPr="00D425A3" w:rsidRDefault="003E5BF5" w:rsidP="001C6099">
      <w:pPr>
        <w:pStyle w:val="aaatyping"/>
      </w:pPr>
      <w:r>
        <w:t>The department’s lease liabilities are predominantly motor vehicles and bus depots. The service concession related lease liabilities’ minimum future lease payments are presented below</w:t>
      </w:r>
      <w:r w:rsidRPr="00FA7B72">
        <w:t xml:space="preserve"> as well:</w:t>
      </w:r>
      <w:bookmarkStart w:id="432" w:name="RANGE!A3:F46"/>
      <w:bookmarkStart w:id="433" w:name="RANGE!A3:E46"/>
      <w:bookmarkStart w:id="434" w:name="_Toc11751455"/>
      <w:bookmarkStart w:id="435" w:name="_Cash_flow_information"/>
      <w:bookmarkStart w:id="436" w:name="_Toc521965478"/>
      <w:bookmarkStart w:id="437" w:name="_Toc529196583"/>
      <w:bookmarkStart w:id="438" w:name="_Toc529197624"/>
      <w:bookmarkStart w:id="439" w:name="_Toc529197785"/>
      <w:bookmarkStart w:id="440" w:name="_Toc529197917"/>
      <w:bookmarkStart w:id="441" w:name="_Toc529197957"/>
      <w:bookmarkStart w:id="442" w:name="_Toc529197995"/>
      <w:bookmarkStart w:id="443" w:name="_Toc529198018"/>
      <w:bookmarkStart w:id="444" w:name="_Toc529198176"/>
      <w:bookmarkStart w:id="445" w:name="_Toc529198183"/>
      <w:bookmarkStart w:id="446" w:name="_Toc530386192"/>
      <w:bookmarkEnd w:id="432"/>
      <w:bookmarkEnd w:id="433"/>
      <w:bookmarkEnd w:id="434"/>
      <w:bookmarkEnd w:id="435"/>
    </w:p>
    <w:tbl>
      <w:tblPr>
        <w:tblStyle w:val="TableGrid"/>
        <w:tblW w:w="9446" w:type="dxa"/>
        <w:tblCellMar>
          <w:left w:w="28" w:type="dxa"/>
          <w:right w:w="28" w:type="dxa"/>
        </w:tblCellMar>
        <w:tblLook w:val="04A0" w:firstRow="1" w:lastRow="0" w:firstColumn="1" w:lastColumn="0" w:noHBand="0" w:noVBand="1"/>
      </w:tblPr>
      <w:tblGrid>
        <w:gridCol w:w="5004"/>
        <w:gridCol w:w="1284"/>
        <w:gridCol w:w="1017"/>
        <w:gridCol w:w="1124"/>
        <w:gridCol w:w="1017"/>
      </w:tblGrid>
      <w:tr w:rsidR="003E5BF5" w:rsidRPr="00F413C5" w14:paraId="5666C471" w14:textId="77777777" w:rsidTr="00CC69CE">
        <w:trPr>
          <w:trHeight w:val="340"/>
        </w:trPr>
        <w:tc>
          <w:tcPr>
            <w:tcW w:w="5004" w:type="dxa"/>
            <w:shd w:val="clear" w:color="auto" w:fill="auto"/>
            <w:noWrap/>
            <w:hideMark/>
          </w:tcPr>
          <w:p w14:paraId="49648E61" w14:textId="77777777" w:rsidR="003E5BF5" w:rsidRPr="00F413C5" w:rsidRDefault="003E5BF5" w:rsidP="00DE1921">
            <w:pPr>
              <w:rPr>
                <w:rFonts w:ascii="Arial" w:hAnsi="Arial" w:cs="Arial"/>
                <w:sz w:val="24"/>
                <w:szCs w:val="24"/>
              </w:rPr>
            </w:pPr>
          </w:p>
        </w:tc>
        <w:tc>
          <w:tcPr>
            <w:tcW w:w="4442" w:type="dxa"/>
            <w:gridSpan w:val="4"/>
            <w:shd w:val="clear" w:color="auto" w:fill="auto"/>
            <w:noWrap/>
            <w:vAlign w:val="center"/>
            <w:hideMark/>
          </w:tcPr>
          <w:p w14:paraId="31B70C7C"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 thousand)</w:t>
            </w:r>
          </w:p>
        </w:tc>
      </w:tr>
      <w:tr w:rsidR="003E5BF5" w:rsidRPr="00F413C5" w14:paraId="61B8ED49" w14:textId="77777777" w:rsidTr="00CC69CE">
        <w:trPr>
          <w:trHeight w:val="340"/>
        </w:trPr>
        <w:tc>
          <w:tcPr>
            <w:tcW w:w="5004" w:type="dxa"/>
            <w:shd w:val="clear" w:color="auto" w:fill="auto"/>
            <w:noWrap/>
            <w:vAlign w:val="center"/>
            <w:hideMark/>
          </w:tcPr>
          <w:p w14:paraId="3F8B0342" w14:textId="77777777" w:rsidR="003E5BF5" w:rsidRPr="00F413C5" w:rsidRDefault="003E5BF5" w:rsidP="00DE1921">
            <w:pPr>
              <w:rPr>
                <w:rFonts w:ascii="Arial" w:hAnsi="Arial" w:cs="Arial"/>
                <w:sz w:val="24"/>
                <w:szCs w:val="24"/>
              </w:rPr>
            </w:pPr>
          </w:p>
        </w:tc>
        <w:tc>
          <w:tcPr>
            <w:tcW w:w="2301" w:type="dxa"/>
            <w:gridSpan w:val="2"/>
            <w:shd w:val="clear" w:color="auto" w:fill="auto"/>
            <w:vAlign w:val="bottom"/>
            <w:hideMark/>
          </w:tcPr>
          <w:p w14:paraId="5308DD82"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 xml:space="preserve">Minimum future lease payments </w:t>
            </w:r>
            <w:r w:rsidRPr="00F413C5">
              <w:rPr>
                <w:rFonts w:ascii="Arial" w:hAnsi="Arial" w:cs="Arial"/>
                <w:b/>
                <w:sz w:val="24"/>
                <w:szCs w:val="24"/>
                <w:vertAlign w:val="superscript"/>
              </w:rPr>
              <w:t>(</w:t>
            </w:r>
            <w:proofErr w:type="spellStart"/>
            <w:r w:rsidRPr="00F413C5">
              <w:rPr>
                <w:rFonts w:ascii="Arial" w:hAnsi="Arial" w:cs="Arial"/>
                <w:b/>
                <w:sz w:val="24"/>
                <w:szCs w:val="24"/>
                <w:vertAlign w:val="superscript"/>
              </w:rPr>
              <w:t>i</w:t>
            </w:r>
            <w:proofErr w:type="spellEnd"/>
            <w:r w:rsidRPr="00F413C5">
              <w:rPr>
                <w:rFonts w:ascii="Arial" w:hAnsi="Arial" w:cs="Arial"/>
                <w:b/>
                <w:sz w:val="24"/>
                <w:szCs w:val="24"/>
                <w:vertAlign w:val="superscript"/>
              </w:rPr>
              <w:t>)</w:t>
            </w:r>
          </w:p>
        </w:tc>
        <w:tc>
          <w:tcPr>
            <w:tcW w:w="2141" w:type="dxa"/>
            <w:gridSpan w:val="2"/>
            <w:shd w:val="clear" w:color="auto" w:fill="auto"/>
            <w:vAlign w:val="bottom"/>
            <w:hideMark/>
          </w:tcPr>
          <w:p w14:paraId="16269899"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Present value of minimum future lease payments</w:t>
            </w:r>
          </w:p>
        </w:tc>
      </w:tr>
      <w:tr w:rsidR="003E5BF5" w:rsidRPr="00F413C5" w14:paraId="6FEA1469" w14:textId="77777777" w:rsidTr="00CC69CE">
        <w:trPr>
          <w:trHeight w:val="340"/>
        </w:trPr>
        <w:tc>
          <w:tcPr>
            <w:tcW w:w="5004" w:type="dxa"/>
            <w:shd w:val="clear" w:color="auto" w:fill="auto"/>
            <w:noWrap/>
            <w:vAlign w:val="center"/>
            <w:hideMark/>
          </w:tcPr>
          <w:p w14:paraId="0E740335" w14:textId="77777777" w:rsidR="003E5BF5" w:rsidRPr="00F413C5" w:rsidRDefault="003E5BF5" w:rsidP="00DE1921">
            <w:pPr>
              <w:rPr>
                <w:rFonts w:ascii="Arial" w:hAnsi="Arial" w:cs="Arial"/>
                <w:sz w:val="24"/>
                <w:szCs w:val="24"/>
              </w:rPr>
            </w:pPr>
            <w:r w:rsidRPr="00F413C5">
              <w:rPr>
                <w:rFonts w:ascii="Arial" w:hAnsi="Arial" w:cs="Arial"/>
                <w:sz w:val="24"/>
                <w:szCs w:val="24"/>
              </w:rPr>
              <w:t> </w:t>
            </w:r>
          </w:p>
        </w:tc>
        <w:tc>
          <w:tcPr>
            <w:tcW w:w="1284" w:type="dxa"/>
            <w:shd w:val="clear" w:color="auto" w:fill="auto"/>
            <w:noWrap/>
            <w:vAlign w:val="center"/>
            <w:hideMark/>
          </w:tcPr>
          <w:p w14:paraId="13ABBB22"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2020 </w:t>
            </w:r>
          </w:p>
        </w:tc>
        <w:tc>
          <w:tcPr>
            <w:tcW w:w="1017" w:type="dxa"/>
            <w:shd w:val="clear" w:color="auto" w:fill="auto"/>
            <w:noWrap/>
            <w:vAlign w:val="center"/>
            <w:hideMark/>
          </w:tcPr>
          <w:p w14:paraId="3E36C7A4"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2019 </w:t>
            </w:r>
          </w:p>
        </w:tc>
        <w:tc>
          <w:tcPr>
            <w:tcW w:w="1124" w:type="dxa"/>
            <w:shd w:val="clear" w:color="auto" w:fill="auto"/>
            <w:noWrap/>
            <w:vAlign w:val="center"/>
            <w:hideMark/>
          </w:tcPr>
          <w:p w14:paraId="5695B292"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2020 </w:t>
            </w:r>
          </w:p>
        </w:tc>
        <w:tc>
          <w:tcPr>
            <w:tcW w:w="1017" w:type="dxa"/>
            <w:shd w:val="clear" w:color="auto" w:fill="auto"/>
            <w:noWrap/>
            <w:vAlign w:val="center"/>
            <w:hideMark/>
          </w:tcPr>
          <w:p w14:paraId="47F07CA1"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2019 </w:t>
            </w:r>
          </w:p>
        </w:tc>
      </w:tr>
      <w:tr w:rsidR="003E5BF5" w:rsidRPr="00F413C5" w14:paraId="2765AEA9" w14:textId="77777777" w:rsidTr="00CC69CE">
        <w:trPr>
          <w:trHeight w:val="340"/>
        </w:trPr>
        <w:tc>
          <w:tcPr>
            <w:tcW w:w="5004" w:type="dxa"/>
            <w:shd w:val="clear" w:color="auto" w:fill="auto"/>
            <w:noWrap/>
            <w:vAlign w:val="center"/>
            <w:hideMark/>
          </w:tcPr>
          <w:p w14:paraId="021DFDE1" w14:textId="77777777" w:rsidR="003E5BF5" w:rsidRPr="00F413C5" w:rsidRDefault="003E5BF5" w:rsidP="00604703">
            <w:pPr>
              <w:pStyle w:val="TableTextGreen"/>
            </w:pPr>
            <w:r w:rsidRPr="00F413C5">
              <w:t xml:space="preserve">Consolidated </w:t>
            </w:r>
            <w:r w:rsidRPr="00F413C5">
              <w:rPr>
                <w:vertAlign w:val="superscript"/>
              </w:rPr>
              <w:t>(ii)</w:t>
            </w:r>
          </w:p>
        </w:tc>
        <w:tc>
          <w:tcPr>
            <w:tcW w:w="1284" w:type="dxa"/>
            <w:shd w:val="clear" w:color="auto" w:fill="auto"/>
            <w:noWrap/>
            <w:vAlign w:val="center"/>
            <w:hideMark/>
          </w:tcPr>
          <w:p w14:paraId="53A14C6C"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w:t>
            </w:r>
          </w:p>
        </w:tc>
        <w:tc>
          <w:tcPr>
            <w:tcW w:w="1017" w:type="dxa"/>
            <w:shd w:val="clear" w:color="auto" w:fill="auto"/>
            <w:noWrap/>
            <w:vAlign w:val="center"/>
            <w:hideMark/>
          </w:tcPr>
          <w:p w14:paraId="6DFDA11A"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w:t>
            </w:r>
          </w:p>
        </w:tc>
        <w:tc>
          <w:tcPr>
            <w:tcW w:w="1124" w:type="dxa"/>
            <w:shd w:val="clear" w:color="auto" w:fill="auto"/>
            <w:noWrap/>
            <w:vAlign w:val="center"/>
            <w:hideMark/>
          </w:tcPr>
          <w:p w14:paraId="361A596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w:t>
            </w:r>
          </w:p>
        </w:tc>
        <w:tc>
          <w:tcPr>
            <w:tcW w:w="1017" w:type="dxa"/>
            <w:shd w:val="clear" w:color="auto" w:fill="auto"/>
            <w:noWrap/>
            <w:vAlign w:val="center"/>
            <w:hideMark/>
          </w:tcPr>
          <w:p w14:paraId="2BE5BBE3"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w:t>
            </w:r>
          </w:p>
        </w:tc>
      </w:tr>
      <w:tr w:rsidR="003E5BF5" w:rsidRPr="00F413C5" w14:paraId="27637220" w14:textId="77777777" w:rsidTr="00CC69CE">
        <w:trPr>
          <w:trHeight w:val="340"/>
        </w:trPr>
        <w:tc>
          <w:tcPr>
            <w:tcW w:w="5004" w:type="dxa"/>
            <w:shd w:val="clear" w:color="auto" w:fill="auto"/>
            <w:noWrap/>
            <w:vAlign w:val="center"/>
            <w:hideMark/>
          </w:tcPr>
          <w:p w14:paraId="02EA4FE8" w14:textId="77777777" w:rsidR="003E5BF5" w:rsidRPr="00F413C5" w:rsidRDefault="003E5BF5" w:rsidP="00604703">
            <w:pPr>
              <w:pStyle w:val="TableTextGreen"/>
            </w:pPr>
            <w:r w:rsidRPr="00F413C5">
              <w:t>Service concession (PPP) related lease liabilities payable</w:t>
            </w:r>
          </w:p>
        </w:tc>
        <w:tc>
          <w:tcPr>
            <w:tcW w:w="1284" w:type="dxa"/>
            <w:shd w:val="clear" w:color="auto" w:fill="auto"/>
            <w:noWrap/>
            <w:vAlign w:val="center"/>
            <w:hideMark/>
          </w:tcPr>
          <w:p w14:paraId="720827D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w:t>
            </w:r>
          </w:p>
        </w:tc>
        <w:tc>
          <w:tcPr>
            <w:tcW w:w="1017" w:type="dxa"/>
            <w:shd w:val="clear" w:color="auto" w:fill="auto"/>
            <w:noWrap/>
            <w:vAlign w:val="center"/>
            <w:hideMark/>
          </w:tcPr>
          <w:p w14:paraId="3DED0B32" w14:textId="77777777" w:rsidR="003E5BF5" w:rsidRPr="00F413C5" w:rsidRDefault="003E5BF5" w:rsidP="00DE1921">
            <w:pPr>
              <w:jc w:val="right"/>
              <w:rPr>
                <w:rFonts w:ascii="Arial" w:hAnsi="Arial" w:cs="Arial"/>
                <w:sz w:val="24"/>
                <w:szCs w:val="24"/>
              </w:rPr>
            </w:pPr>
          </w:p>
        </w:tc>
        <w:tc>
          <w:tcPr>
            <w:tcW w:w="1124" w:type="dxa"/>
            <w:shd w:val="clear" w:color="auto" w:fill="auto"/>
            <w:noWrap/>
            <w:vAlign w:val="center"/>
            <w:hideMark/>
          </w:tcPr>
          <w:p w14:paraId="49D34E7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w:t>
            </w:r>
          </w:p>
        </w:tc>
        <w:tc>
          <w:tcPr>
            <w:tcW w:w="1017" w:type="dxa"/>
            <w:shd w:val="clear" w:color="auto" w:fill="auto"/>
            <w:noWrap/>
            <w:vAlign w:val="center"/>
            <w:hideMark/>
          </w:tcPr>
          <w:p w14:paraId="4A75E1C7" w14:textId="77777777" w:rsidR="003E5BF5" w:rsidRPr="00F413C5" w:rsidRDefault="003E5BF5" w:rsidP="00DE1921">
            <w:pPr>
              <w:jc w:val="right"/>
              <w:rPr>
                <w:rFonts w:ascii="Arial" w:hAnsi="Arial" w:cs="Arial"/>
                <w:sz w:val="24"/>
                <w:szCs w:val="24"/>
              </w:rPr>
            </w:pPr>
          </w:p>
        </w:tc>
      </w:tr>
      <w:tr w:rsidR="003E5BF5" w:rsidRPr="00F413C5" w14:paraId="3257FF1A" w14:textId="77777777" w:rsidTr="00CC69CE">
        <w:trPr>
          <w:trHeight w:val="340"/>
        </w:trPr>
        <w:tc>
          <w:tcPr>
            <w:tcW w:w="5004" w:type="dxa"/>
            <w:shd w:val="clear" w:color="auto" w:fill="auto"/>
            <w:noWrap/>
            <w:vAlign w:val="center"/>
            <w:hideMark/>
          </w:tcPr>
          <w:p w14:paraId="2D1DFF81" w14:textId="77777777" w:rsidR="003E5BF5" w:rsidRPr="00F413C5" w:rsidRDefault="003E5BF5" w:rsidP="00DE1921">
            <w:pPr>
              <w:rPr>
                <w:rFonts w:ascii="Arial" w:hAnsi="Arial" w:cs="Arial"/>
                <w:sz w:val="24"/>
                <w:szCs w:val="24"/>
              </w:rPr>
            </w:pPr>
            <w:proofErr w:type="spellStart"/>
            <w:r w:rsidRPr="00F413C5">
              <w:rPr>
                <w:rFonts w:ascii="Arial" w:hAnsi="Arial" w:cs="Arial"/>
                <w:sz w:val="24"/>
                <w:szCs w:val="24"/>
              </w:rPr>
              <w:t>Not longer</w:t>
            </w:r>
            <w:proofErr w:type="spellEnd"/>
            <w:r w:rsidRPr="00F413C5">
              <w:rPr>
                <w:rFonts w:ascii="Arial" w:hAnsi="Arial" w:cs="Arial"/>
                <w:sz w:val="24"/>
                <w:szCs w:val="24"/>
              </w:rPr>
              <w:t xml:space="preserve"> than one year</w:t>
            </w:r>
          </w:p>
        </w:tc>
        <w:tc>
          <w:tcPr>
            <w:tcW w:w="1284" w:type="dxa"/>
            <w:shd w:val="clear" w:color="auto" w:fill="auto"/>
            <w:noWrap/>
            <w:vAlign w:val="center"/>
            <w:hideMark/>
          </w:tcPr>
          <w:p w14:paraId="72DFD572"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136,478 </w:t>
            </w:r>
          </w:p>
        </w:tc>
        <w:tc>
          <w:tcPr>
            <w:tcW w:w="1017" w:type="dxa"/>
            <w:shd w:val="clear" w:color="auto" w:fill="auto"/>
            <w:noWrap/>
            <w:vAlign w:val="center"/>
            <w:hideMark/>
          </w:tcPr>
          <w:p w14:paraId="100C719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124" w:type="dxa"/>
            <w:shd w:val="clear" w:color="auto" w:fill="auto"/>
            <w:noWrap/>
            <w:vAlign w:val="center"/>
            <w:hideMark/>
          </w:tcPr>
          <w:p w14:paraId="486EC5B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29,308 </w:t>
            </w:r>
          </w:p>
        </w:tc>
        <w:tc>
          <w:tcPr>
            <w:tcW w:w="1017" w:type="dxa"/>
            <w:shd w:val="clear" w:color="auto" w:fill="auto"/>
            <w:noWrap/>
            <w:vAlign w:val="center"/>
            <w:hideMark/>
          </w:tcPr>
          <w:p w14:paraId="5CA49E4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48B1DC40" w14:textId="77777777" w:rsidTr="00CC69CE">
        <w:trPr>
          <w:trHeight w:val="340"/>
        </w:trPr>
        <w:tc>
          <w:tcPr>
            <w:tcW w:w="5004" w:type="dxa"/>
            <w:shd w:val="clear" w:color="auto" w:fill="auto"/>
            <w:vAlign w:val="center"/>
            <w:hideMark/>
          </w:tcPr>
          <w:p w14:paraId="74E259F7" w14:textId="77777777" w:rsidR="003E5BF5" w:rsidRPr="00F413C5" w:rsidRDefault="003E5BF5" w:rsidP="00DE1921">
            <w:pPr>
              <w:rPr>
                <w:rFonts w:ascii="Arial" w:hAnsi="Arial" w:cs="Arial"/>
                <w:sz w:val="24"/>
                <w:szCs w:val="24"/>
              </w:rPr>
            </w:pPr>
            <w:r w:rsidRPr="00F413C5">
              <w:rPr>
                <w:rFonts w:ascii="Arial" w:hAnsi="Arial" w:cs="Arial"/>
                <w:sz w:val="24"/>
                <w:szCs w:val="24"/>
              </w:rPr>
              <w:t>Longer than one year and not longer than five years</w:t>
            </w:r>
          </w:p>
        </w:tc>
        <w:tc>
          <w:tcPr>
            <w:tcW w:w="1284" w:type="dxa"/>
            <w:shd w:val="clear" w:color="auto" w:fill="auto"/>
            <w:noWrap/>
            <w:vAlign w:val="center"/>
            <w:hideMark/>
          </w:tcPr>
          <w:p w14:paraId="2AA24A8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539,287 </w:t>
            </w:r>
          </w:p>
        </w:tc>
        <w:tc>
          <w:tcPr>
            <w:tcW w:w="1017" w:type="dxa"/>
            <w:shd w:val="clear" w:color="auto" w:fill="auto"/>
            <w:noWrap/>
            <w:vAlign w:val="center"/>
            <w:hideMark/>
          </w:tcPr>
          <w:p w14:paraId="2F12B36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124" w:type="dxa"/>
            <w:shd w:val="clear" w:color="auto" w:fill="auto"/>
            <w:noWrap/>
            <w:vAlign w:val="center"/>
            <w:hideMark/>
          </w:tcPr>
          <w:p w14:paraId="7B79486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145,941 </w:t>
            </w:r>
          </w:p>
        </w:tc>
        <w:tc>
          <w:tcPr>
            <w:tcW w:w="1017" w:type="dxa"/>
            <w:shd w:val="clear" w:color="auto" w:fill="auto"/>
            <w:noWrap/>
            <w:vAlign w:val="center"/>
            <w:hideMark/>
          </w:tcPr>
          <w:p w14:paraId="76DAF33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1B60B039" w14:textId="77777777" w:rsidTr="00CC69CE">
        <w:trPr>
          <w:trHeight w:val="340"/>
        </w:trPr>
        <w:tc>
          <w:tcPr>
            <w:tcW w:w="5004" w:type="dxa"/>
            <w:shd w:val="clear" w:color="auto" w:fill="auto"/>
            <w:noWrap/>
            <w:vAlign w:val="center"/>
            <w:hideMark/>
          </w:tcPr>
          <w:p w14:paraId="6A5B578B" w14:textId="77777777" w:rsidR="003E5BF5" w:rsidRPr="00F413C5" w:rsidRDefault="003E5BF5" w:rsidP="00DE1921">
            <w:pPr>
              <w:rPr>
                <w:rFonts w:ascii="Arial" w:hAnsi="Arial" w:cs="Arial"/>
                <w:sz w:val="24"/>
                <w:szCs w:val="24"/>
              </w:rPr>
            </w:pPr>
            <w:r w:rsidRPr="00F413C5">
              <w:rPr>
                <w:rFonts w:ascii="Arial" w:hAnsi="Arial" w:cs="Arial"/>
                <w:sz w:val="24"/>
                <w:szCs w:val="24"/>
              </w:rPr>
              <w:t>Longer than five years</w:t>
            </w:r>
          </w:p>
        </w:tc>
        <w:tc>
          <w:tcPr>
            <w:tcW w:w="1284" w:type="dxa"/>
            <w:shd w:val="clear" w:color="auto" w:fill="auto"/>
            <w:noWrap/>
            <w:vAlign w:val="center"/>
            <w:hideMark/>
          </w:tcPr>
          <w:p w14:paraId="4D3A569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1,486,098 </w:t>
            </w:r>
          </w:p>
        </w:tc>
        <w:tc>
          <w:tcPr>
            <w:tcW w:w="1017" w:type="dxa"/>
            <w:shd w:val="clear" w:color="auto" w:fill="auto"/>
            <w:noWrap/>
            <w:vAlign w:val="center"/>
            <w:hideMark/>
          </w:tcPr>
          <w:p w14:paraId="5219030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124" w:type="dxa"/>
            <w:shd w:val="clear" w:color="auto" w:fill="auto"/>
            <w:noWrap/>
            <w:vAlign w:val="center"/>
            <w:hideMark/>
          </w:tcPr>
          <w:p w14:paraId="2495D60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860,997 </w:t>
            </w:r>
          </w:p>
        </w:tc>
        <w:tc>
          <w:tcPr>
            <w:tcW w:w="1017" w:type="dxa"/>
            <w:shd w:val="clear" w:color="auto" w:fill="auto"/>
            <w:noWrap/>
            <w:vAlign w:val="center"/>
            <w:hideMark/>
          </w:tcPr>
          <w:p w14:paraId="23414E2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7CB8A232" w14:textId="77777777" w:rsidTr="00CC69CE">
        <w:trPr>
          <w:trHeight w:val="340"/>
        </w:trPr>
        <w:tc>
          <w:tcPr>
            <w:tcW w:w="5004" w:type="dxa"/>
            <w:shd w:val="clear" w:color="auto" w:fill="auto"/>
            <w:noWrap/>
            <w:vAlign w:val="center"/>
            <w:hideMark/>
          </w:tcPr>
          <w:p w14:paraId="6755440F" w14:textId="77777777" w:rsidR="003E5BF5" w:rsidRPr="00F413C5" w:rsidRDefault="003E5BF5" w:rsidP="00604703">
            <w:pPr>
              <w:pStyle w:val="TableTextGreen"/>
            </w:pPr>
            <w:r w:rsidRPr="00F413C5">
              <w:t>Service concession (non-PPP) related lease liabilities payable</w:t>
            </w:r>
          </w:p>
        </w:tc>
        <w:tc>
          <w:tcPr>
            <w:tcW w:w="1284" w:type="dxa"/>
            <w:shd w:val="clear" w:color="auto" w:fill="auto"/>
            <w:noWrap/>
            <w:vAlign w:val="center"/>
            <w:hideMark/>
          </w:tcPr>
          <w:p w14:paraId="4D20ECF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w:t>
            </w:r>
          </w:p>
        </w:tc>
        <w:tc>
          <w:tcPr>
            <w:tcW w:w="1017" w:type="dxa"/>
            <w:shd w:val="clear" w:color="auto" w:fill="auto"/>
            <w:noWrap/>
            <w:vAlign w:val="center"/>
            <w:hideMark/>
          </w:tcPr>
          <w:p w14:paraId="03304ADB" w14:textId="77777777" w:rsidR="003E5BF5" w:rsidRPr="00F413C5" w:rsidRDefault="003E5BF5" w:rsidP="00DE1921">
            <w:pPr>
              <w:jc w:val="right"/>
              <w:rPr>
                <w:rFonts w:ascii="Arial" w:hAnsi="Arial" w:cs="Arial"/>
                <w:sz w:val="24"/>
                <w:szCs w:val="24"/>
              </w:rPr>
            </w:pPr>
          </w:p>
        </w:tc>
        <w:tc>
          <w:tcPr>
            <w:tcW w:w="1124" w:type="dxa"/>
            <w:shd w:val="clear" w:color="auto" w:fill="auto"/>
            <w:noWrap/>
            <w:vAlign w:val="center"/>
            <w:hideMark/>
          </w:tcPr>
          <w:p w14:paraId="6EB455B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w:t>
            </w:r>
          </w:p>
        </w:tc>
        <w:tc>
          <w:tcPr>
            <w:tcW w:w="1017" w:type="dxa"/>
            <w:shd w:val="clear" w:color="auto" w:fill="auto"/>
            <w:noWrap/>
            <w:vAlign w:val="center"/>
            <w:hideMark/>
          </w:tcPr>
          <w:p w14:paraId="174993D2" w14:textId="77777777" w:rsidR="003E5BF5" w:rsidRPr="00F413C5" w:rsidRDefault="003E5BF5" w:rsidP="00DE1921">
            <w:pPr>
              <w:jc w:val="right"/>
              <w:rPr>
                <w:rFonts w:ascii="Arial" w:hAnsi="Arial" w:cs="Arial"/>
                <w:sz w:val="24"/>
                <w:szCs w:val="24"/>
              </w:rPr>
            </w:pPr>
          </w:p>
        </w:tc>
      </w:tr>
      <w:tr w:rsidR="003E5BF5" w:rsidRPr="00F413C5" w14:paraId="4B9F3D34" w14:textId="77777777" w:rsidTr="00CC69CE">
        <w:trPr>
          <w:trHeight w:val="340"/>
        </w:trPr>
        <w:tc>
          <w:tcPr>
            <w:tcW w:w="5004" w:type="dxa"/>
            <w:shd w:val="clear" w:color="auto" w:fill="auto"/>
            <w:noWrap/>
            <w:vAlign w:val="center"/>
            <w:hideMark/>
          </w:tcPr>
          <w:p w14:paraId="5233603C" w14:textId="77777777" w:rsidR="003E5BF5" w:rsidRPr="00F413C5" w:rsidRDefault="003E5BF5" w:rsidP="00DE1921">
            <w:pPr>
              <w:rPr>
                <w:rFonts w:ascii="Arial" w:hAnsi="Arial" w:cs="Arial"/>
                <w:sz w:val="24"/>
                <w:szCs w:val="24"/>
              </w:rPr>
            </w:pPr>
            <w:proofErr w:type="spellStart"/>
            <w:r w:rsidRPr="00F413C5">
              <w:rPr>
                <w:rFonts w:ascii="Arial" w:hAnsi="Arial" w:cs="Arial"/>
                <w:sz w:val="24"/>
                <w:szCs w:val="24"/>
              </w:rPr>
              <w:t>Not longer</w:t>
            </w:r>
            <w:proofErr w:type="spellEnd"/>
            <w:r w:rsidRPr="00F413C5">
              <w:rPr>
                <w:rFonts w:ascii="Arial" w:hAnsi="Arial" w:cs="Arial"/>
                <w:sz w:val="24"/>
                <w:szCs w:val="24"/>
              </w:rPr>
              <w:t xml:space="preserve"> than one year</w:t>
            </w:r>
          </w:p>
        </w:tc>
        <w:tc>
          <w:tcPr>
            <w:tcW w:w="1284" w:type="dxa"/>
            <w:shd w:val="clear" w:color="auto" w:fill="auto"/>
            <w:noWrap/>
            <w:vAlign w:val="center"/>
            <w:hideMark/>
          </w:tcPr>
          <w:p w14:paraId="17FFB23E"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23,112 </w:t>
            </w:r>
          </w:p>
        </w:tc>
        <w:tc>
          <w:tcPr>
            <w:tcW w:w="1017" w:type="dxa"/>
            <w:shd w:val="clear" w:color="auto" w:fill="auto"/>
            <w:noWrap/>
            <w:vAlign w:val="center"/>
            <w:hideMark/>
          </w:tcPr>
          <w:p w14:paraId="4765C33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124" w:type="dxa"/>
            <w:shd w:val="clear" w:color="auto" w:fill="auto"/>
            <w:noWrap/>
            <w:vAlign w:val="center"/>
            <w:hideMark/>
          </w:tcPr>
          <w:p w14:paraId="25FE4AB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17,051 </w:t>
            </w:r>
          </w:p>
        </w:tc>
        <w:tc>
          <w:tcPr>
            <w:tcW w:w="1017" w:type="dxa"/>
            <w:shd w:val="clear" w:color="auto" w:fill="auto"/>
            <w:noWrap/>
            <w:vAlign w:val="center"/>
            <w:hideMark/>
          </w:tcPr>
          <w:p w14:paraId="27859B3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772C4D3F" w14:textId="77777777" w:rsidTr="00CC69CE">
        <w:trPr>
          <w:trHeight w:val="340"/>
        </w:trPr>
        <w:tc>
          <w:tcPr>
            <w:tcW w:w="5004" w:type="dxa"/>
            <w:shd w:val="clear" w:color="auto" w:fill="auto"/>
            <w:vAlign w:val="center"/>
            <w:hideMark/>
          </w:tcPr>
          <w:p w14:paraId="36FBD9A5" w14:textId="77777777" w:rsidR="003E5BF5" w:rsidRPr="00F413C5" w:rsidRDefault="003E5BF5" w:rsidP="00DE1921">
            <w:pPr>
              <w:rPr>
                <w:rFonts w:ascii="Arial" w:hAnsi="Arial" w:cs="Arial"/>
                <w:sz w:val="24"/>
                <w:szCs w:val="24"/>
              </w:rPr>
            </w:pPr>
            <w:r w:rsidRPr="00F413C5">
              <w:rPr>
                <w:rFonts w:ascii="Arial" w:hAnsi="Arial" w:cs="Arial"/>
                <w:sz w:val="24"/>
                <w:szCs w:val="24"/>
              </w:rPr>
              <w:t>Longer than one year and not longer than five years</w:t>
            </w:r>
          </w:p>
        </w:tc>
        <w:tc>
          <w:tcPr>
            <w:tcW w:w="1284" w:type="dxa"/>
            <w:shd w:val="clear" w:color="auto" w:fill="auto"/>
            <w:noWrap/>
            <w:vAlign w:val="center"/>
            <w:hideMark/>
          </w:tcPr>
          <w:p w14:paraId="76D95C0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73,337 </w:t>
            </w:r>
          </w:p>
        </w:tc>
        <w:tc>
          <w:tcPr>
            <w:tcW w:w="1017" w:type="dxa"/>
            <w:shd w:val="clear" w:color="auto" w:fill="auto"/>
            <w:noWrap/>
            <w:vAlign w:val="center"/>
            <w:hideMark/>
          </w:tcPr>
          <w:p w14:paraId="0BACE85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124" w:type="dxa"/>
            <w:shd w:val="clear" w:color="auto" w:fill="auto"/>
            <w:noWrap/>
            <w:vAlign w:val="center"/>
            <w:hideMark/>
          </w:tcPr>
          <w:p w14:paraId="0359287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58,601 </w:t>
            </w:r>
          </w:p>
        </w:tc>
        <w:tc>
          <w:tcPr>
            <w:tcW w:w="1017" w:type="dxa"/>
            <w:shd w:val="clear" w:color="auto" w:fill="auto"/>
            <w:noWrap/>
            <w:vAlign w:val="center"/>
            <w:hideMark/>
          </w:tcPr>
          <w:p w14:paraId="0E73450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26603933" w14:textId="77777777" w:rsidTr="00CC69CE">
        <w:trPr>
          <w:trHeight w:val="340"/>
        </w:trPr>
        <w:tc>
          <w:tcPr>
            <w:tcW w:w="5004" w:type="dxa"/>
            <w:shd w:val="clear" w:color="auto" w:fill="auto"/>
            <w:noWrap/>
            <w:vAlign w:val="center"/>
            <w:hideMark/>
          </w:tcPr>
          <w:p w14:paraId="799C6810" w14:textId="77777777" w:rsidR="003E5BF5" w:rsidRPr="00F413C5" w:rsidRDefault="003E5BF5" w:rsidP="00DE1921">
            <w:pPr>
              <w:rPr>
                <w:rFonts w:ascii="Arial" w:hAnsi="Arial" w:cs="Arial"/>
                <w:sz w:val="24"/>
                <w:szCs w:val="24"/>
              </w:rPr>
            </w:pPr>
            <w:r w:rsidRPr="00F413C5">
              <w:rPr>
                <w:rFonts w:ascii="Arial" w:hAnsi="Arial" w:cs="Arial"/>
                <w:sz w:val="24"/>
                <w:szCs w:val="24"/>
              </w:rPr>
              <w:t>Longer than five years</w:t>
            </w:r>
          </w:p>
        </w:tc>
        <w:tc>
          <w:tcPr>
            <w:tcW w:w="1284" w:type="dxa"/>
            <w:shd w:val="clear" w:color="auto" w:fill="auto"/>
            <w:noWrap/>
            <w:vAlign w:val="center"/>
            <w:hideMark/>
          </w:tcPr>
          <w:p w14:paraId="0051298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55,726 </w:t>
            </w:r>
          </w:p>
        </w:tc>
        <w:tc>
          <w:tcPr>
            <w:tcW w:w="1017" w:type="dxa"/>
            <w:shd w:val="clear" w:color="auto" w:fill="auto"/>
            <w:noWrap/>
            <w:vAlign w:val="center"/>
            <w:hideMark/>
          </w:tcPr>
          <w:p w14:paraId="44B2A8F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124" w:type="dxa"/>
            <w:shd w:val="clear" w:color="auto" w:fill="auto"/>
            <w:noWrap/>
            <w:vAlign w:val="center"/>
            <w:hideMark/>
          </w:tcPr>
          <w:p w14:paraId="1508B07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49,743 </w:t>
            </w:r>
          </w:p>
        </w:tc>
        <w:tc>
          <w:tcPr>
            <w:tcW w:w="1017" w:type="dxa"/>
            <w:shd w:val="clear" w:color="auto" w:fill="auto"/>
            <w:noWrap/>
            <w:vAlign w:val="center"/>
            <w:hideMark/>
          </w:tcPr>
          <w:p w14:paraId="0965EDC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7A9197E4" w14:textId="77777777" w:rsidTr="00CC69CE">
        <w:trPr>
          <w:trHeight w:val="340"/>
        </w:trPr>
        <w:tc>
          <w:tcPr>
            <w:tcW w:w="5004" w:type="dxa"/>
            <w:shd w:val="clear" w:color="auto" w:fill="auto"/>
            <w:noWrap/>
            <w:vAlign w:val="center"/>
            <w:hideMark/>
          </w:tcPr>
          <w:p w14:paraId="547F12B2" w14:textId="77777777" w:rsidR="003E5BF5" w:rsidRPr="00F413C5" w:rsidRDefault="003E5BF5" w:rsidP="00604703">
            <w:pPr>
              <w:pStyle w:val="TableTextGreen"/>
            </w:pPr>
            <w:r w:rsidRPr="00F413C5">
              <w:t>Lease liabilities payable</w:t>
            </w:r>
          </w:p>
        </w:tc>
        <w:tc>
          <w:tcPr>
            <w:tcW w:w="1284" w:type="dxa"/>
            <w:shd w:val="clear" w:color="auto" w:fill="auto"/>
            <w:noWrap/>
            <w:vAlign w:val="center"/>
            <w:hideMark/>
          </w:tcPr>
          <w:p w14:paraId="29FD2735"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w:t>
            </w:r>
          </w:p>
        </w:tc>
        <w:tc>
          <w:tcPr>
            <w:tcW w:w="1017" w:type="dxa"/>
            <w:shd w:val="clear" w:color="auto" w:fill="auto"/>
            <w:noWrap/>
            <w:vAlign w:val="center"/>
            <w:hideMark/>
          </w:tcPr>
          <w:p w14:paraId="6FD5EF59" w14:textId="77777777" w:rsidR="003E5BF5" w:rsidRPr="00F413C5" w:rsidRDefault="003E5BF5" w:rsidP="00DE1921">
            <w:pPr>
              <w:jc w:val="right"/>
              <w:rPr>
                <w:rFonts w:ascii="Arial" w:hAnsi="Arial" w:cs="Arial"/>
                <w:b/>
                <w:sz w:val="24"/>
                <w:szCs w:val="24"/>
              </w:rPr>
            </w:pPr>
          </w:p>
        </w:tc>
        <w:tc>
          <w:tcPr>
            <w:tcW w:w="1124" w:type="dxa"/>
            <w:shd w:val="clear" w:color="auto" w:fill="auto"/>
            <w:noWrap/>
            <w:vAlign w:val="center"/>
            <w:hideMark/>
          </w:tcPr>
          <w:p w14:paraId="7D4C1407"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w:t>
            </w:r>
          </w:p>
        </w:tc>
        <w:tc>
          <w:tcPr>
            <w:tcW w:w="1017" w:type="dxa"/>
            <w:shd w:val="clear" w:color="auto" w:fill="auto"/>
            <w:noWrap/>
            <w:vAlign w:val="center"/>
            <w:hideMark/>
          </w:tcPr>
          <w:p w14:paraId="6AA9438E" w14:textId="77777777" w:rsidR="003E5BF5" w:rsidRPr="00F413C5" w:rsidRDefault="003E5BF5" w:rsidP="00DE1921">
            <w:pPr>
              <w:jc w:val="right"/>
              <w:rPr>
                <w:rFonts w:ascii="Arial" w:hAnsi="Arial" w:cs="Arial"/>
                <w:b/>
                <w:sz w:val="24"/>
                <w:szCs w:val="24"/>
              </w:rPr>
            </w:pPr>
          </w:p>
        </w:tc>
      </w:tr>
      <w:tr w:rsidR="003E5BF5" w:rsidRPr="00F413C5" w14:paraId="3DCE4A80" w14:textId="77777777" w:rsidTr="00CC69CE">
        <w:trPr>
          <w:trHeight w:val="340"/>
        </w:trPr>
        <w:tc>
          <w:tcPr>
            <w:tcW w:w="5004" w:type="dxa"/>
            <w:shd w:val="clear" w:color="auto" w:fill="auto"/>
            <w:noWrap/>
            <w:vAlign w:val="center"/>
            <w:hideMark/>
          </w:tcPr>
          <w:p w14:paraId="3E7D08F4" w14:textId="77777777" w:rsidR="003E5BF5" w:rsidRPr="00F413C5" w:rsidRDefault="003E5BF5" w:rsidP="00DE1921">
            <w:pPr>
              <w:rPr>
                <w:rFonts w:ascii="Arial" w:hAnsi="Arial" w:cs="Arial"/>
                <w:sz w:val="24"/>
                <w:szCs w:val="24"/>
              </w:rPr>
            </w:pPr>
            <w:proofErr w:type="spellStart"/>
            <w:r w:rsidRPr="00F413C5">
              <w:rPr>
                <w:rFonts w:ascii="Arial" w:hAnsi="Arial" w:cs="Arial"/>
                <w:sz w:val="24"/>
                <w:szCs w:val="24"/>
              </w:rPr>
              <w:t>Not longer</w:t>
            </w:r>
            <w:proofErr w:type="spellEnd"/>
            <w:r w:rsidRPr="00F413C5">
              <w:rPr>
                <w:rFonts w:ascii="Arial" w:hAnsi="Arial" w:cs="Arial"/>
                <w:sz w:val="24"/>
                <w:szCs w:val="24"/>
              </w:rPr>
              <w:t xml:space="preserve"> than one year</w:t>
            </w:r>
          </w:p>
        </w:tc>
        <w:tc>
          <w:tcPr>
            <w:tcW w:w="1284" w:type="dxa"/>
            <w:shd w:val="clear" w:color="auto" w:fill="auto"/>
            <w:noWrap/>
            <w:vAlign w:val="center"/>
            <w:hideMark/>
          </w:tcPr>
          <w:p w14:paraId="5DCD4DA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22,447 </w:t>
            </w:r>
          </w:p>
        </w:tc>
        <w:tc>
          <w:tcPr>
            <w:tcW w:w="1017" w:type="dxa"/>
            <w:shd w:val="clear" w:color="auto" w:fill="auto"/>
            <w:noWrap/>
            <w:vAlign w:val="center"/>
            <w:hideMark/>
          </w:tcPr>
          <w:p w14:paraId="282A12A2"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1,374 </w:t>
            </w:r>
          </w:p>
        </w:tc>
        <w:tc>
          <w:tcPr>
            <w:tcW w:w="1124" w:type="dxa"/>
            <w:shd w:val="clear" w:color="auto" w:fill="auto"/>
            <w:noWrap/>
            <w:vAlign w:val="center"/>
            <w:hideMark/>
          </w:tcPr>
          <w:p w14:paraId="7119A57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19,602 </w:t>
            </w:r>
          </w:p>
        </w:tc>
        <w:tc>
          <w:tcPr>
            <w:tcW w:w="1017" w:type="dxa"/>
            <w:shd w:val="clear" w:color="auto" w:fill="auto"/>
            <w:noWrap/>
            <w:vAlign w:val="center"/>
            <w:hideMark/>
          </w:tcPr>
          <w:p w14:paraId="7FECE30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1,283 </w:t>
            </w:r>
          </w:p>
        </w:tc>
      </w:tr>
      <w:tr w:rsidR="003E5BF5" w:rsidRPr="00F413C5" w14:paraId="1CBCF9CE" w14:textId="77777777" w:rsidTr="00CC69CE">
        <w:trPr>
          <w:trHeight w:val="340"/>
        </w:trPr>
        <w:tc>
          <w:tcPr>
            <w:tcW w:w="5004" w:type="dxa"/>
            <w:shd w:val="clear" w:color="auto" w:fill="auto"/>
            <w:vAlign w:val="center"/>
            <w:hideMark/>
          </w:tcPr>
          <w:p w14:paraId="2E0CEAF1" w14:textId="77777777" w:rsidR="003E5BF5" w:rsidRPr="00F413C5" w:rsidRDefault="003E5BF5" w:rsidP="00DE1921">
            <w:pPr>
              <w:rPr>
                <w:rFonts w:ascii="Arial" w:hAnsi="Arial" w:cs="Arial"/>
                <w:sz w:val="24"/>
                <w:szCs w:val="24"/>
              </w:rPr>
            </w:pPr>
            <w:r w:rsidRPr="00F413C5">
              <w:rPr>
                <w:rFonts w:ascii="Arial" w:hAnsi="Arial" w:cs="Arial"/>
                <w:sz w:val="24"/>
                <w:szCs w:val="24"/>
              </w:rPr>
              <w:t>Longer than one year and not longer than five years</w:t>
            </w:r>
          </w:p>
        </w:tc>
        <w:tc>
          <w:tcPr>
            <w:tcW w:w="1284" w:type="dxa"/>
            <w:shd w:val="clear" w:color="auto" w:fill="auto"/>
            <w:noWrap/>
            <w:vAlign w:val="center"/>
            <w:hideMark/>
          </w:tcPr>
          <w:p w14:paraId="409DDC3E"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47,740 </w:t>
            </w:r>
          </w:p>
        </w:tc>
        <w:tc>
          <w:tcPr>
            <w:tcW w:w="1017" w:type="dxa"/>
            <w:shd w:val="clear" w:color="auto" w:fill="auto"/>
            <w:noWrap/>
            <w:vAlign w:val="center"/>
            <w:hideMark/>
          </w:tcPr>
          <w:p w14:paraId="0317155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2,376 </w:t>
            </w:r>
          </w:p>
        </w:tc>
        <w:tc>
          <w:tcPr>
            <w:tcW w:w="1124" w:type="dxa"/>
            <w:shd w:val="clear" w:color="auto" w:fill="auto"/>
            <w:noWrap/>
            <w:vAlign w:val="center"/>
            <w:hideMark/>
          </w:tcPr>
          <w:p w14:paraId="279948E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40,204 </w:t>
            </w:r>
          </w:p>
        </w:tc>
        <w:tc>
          <w:tcPr>
            <w:tcW w:w="1017" w:type="dxa"/>
            <w:shd w:val="clear" w:color="auto" w:fill="auto"/>
            <w:noWrap/>
            <w:vAlign w:val="center"/>
            <w:hideMark/>
          </w:tcPr>
          <w:p w14:paraId="3E8F5BAE"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2,299 </w:t>
            </w:r>
          </w:p>
        </w:tc>
      </w:tr>
      <w:tr w:rsidR="003E5BF5" w:rsidRPr="00F413C5" w14:paraId="6964C7E2" w14:textId="77777777" w:rsidTr="00CC69CE">
        <w:trPr>
          <w:trHeight w:val="340"/>
        </w:trPr>
        <w:tc>
          <w:tcPr>
            <w:tcW w:w="5004" w:type="dxa"/>
            <w:shd w:val="clear" w:color="auto" w:fill="auto"/>
            <w:noWrap/>
            <w:vAlign w:val="center"/>
            <w:hideMark/>
          </w:tcPr>
          <w:p w14:paraId="18C81447" w14:textId="77777777" w:rsidR="003E5BF5" w:rsidRPr="00F413C5" w:rsidRDefault="003E5BF5" w:rsidP="00DE1921">
            <w:pPr>
              <w:rPr>
                <w:rFonts w:ascii="Arial" w:hAnsi="Arial" w:cs="Arial"/>
                <w:sz w:val="24"/>
                <w:szCs w:val="24"/>
              </w:rPr>
            </w:pPr>
            <w:r w:rsidRPr="00F413C5">
              <w:rPr>
                <w:rFonts w:ascii="Arial" w:hAnsi="Arial" w:cs="Arial"/>
                <w:sz w:val="24"/>
                <w:szCs w:val="24"/>
              </w:rPr>
              <w:t>Longer than five years</w:t>
            </w:r>
          </w:p>
        </w:tc>
        <w:tc>
          <w:tcPr>
            <w:tcW w:w="1284" w:type="dxa"/>
            <w:shd w:val="clear" w:color="auto" w:fill="auto"/>
            <w:noWrap/>
            <w:vAlign w:val="center"/>
            <w:hideMark/>
          </w:tcPr>
          <w:p w14:paraId="4EBEA35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33,403 </w:t>
            </w:r>
          </w:p>
        </w:tc>
        <w:tc>
          <w:tcPr>
            <w:tcW w:w="1017" w:type="dxa"/>
            <w:shd w:val="clear" w:color="auto" w:fill="auto"/>
            <w:noWrap/>
            <w:vAlign w:val="center"/>
            <w:hideMark/>
          </w:tcPr>
          <w:p w14:paraId="028DE9C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124" w:type="dxa"/>
            <w:shd w:val="clear" w:color="auto" w:fill="auto"/>
            <w:noWrap/>
            <w:vAlign w:val="center"/>
            <w:hideMark/>
          </w:tcPr>
          <w:p w14:paraId="194E133E"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30,328 </w:t>
            </w:r>
          </w:p>
        </w:tc>
        <w:tc>
          <w:tcPr>
            <w:tcW w:w="1017" w:type="dxa"/>
            <w:shd w:val="clear" w:color="auto" w:fill="auto"/>
            <w:noWrap/>
            <w:vAlign w:val="center"/>
            <w:hideMark/>
          </w:tcPr>
          <w:p w14:paraId="634501D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3DBD34F6" w14:textId="77777777" w:rsidTr="00CC69CE">
        <w:trPr>
          <w:trHeight w:val="340"/>
        </w:trPr>
        <w:tc>
          <w:tcPr>
            <w:tcW w:w="5004" w:type="dxa"/>
            <w:shd w:val="clear" w:color="auto" w:fill="auto"/>
            <w:noWrap/>
            <w:vAlign w:val="center"/>
            <w:hideMark/>
          </w:tcPr>
          <w:p w14:paraId="5A551213" w14:textId="77777777" w:rsidR="003E5BF5" w:rsidRPr="00F413C5" w:rsidRDefault="003E5BF5" w:rsidP="00DE1921">
            <w:pPr>
              <w:rPr>
                <w:rFonts w:ascii="Arial" w:hAnsi="Arial" w:cs="Arial"/>
                <w:b/>
                <w:sz w:val="24"/>
                <w:szCs w:val="24"/>
              </w:rPr>
            </w:pPr>
            <w:r w:rsidRPr="00F413C5">
              <w:rPr>
                <w:rFonts w:ascii="Arial" w:hAnsi="Arial" w:cs="Arial"/>
                <w:b/>
                <w:sz w:val="24"/>
                <w:szCs w:val="24"/>
              </w:rPr>
              <w:t>Minimum lease payments</w:t>
            </w:r>
          </w:p>
        </w:tc>
        <w:tc>
          <w:tcPr>
            <w:tcW w:w="1284" w:type="dxa"/>
            <w:shd w:val="clear" w:color="auto" w:fill="auto"/>
            <w:noWrap/>
            <w:vAlign w:val="center"/>
            <w:hideMark/>
          </w:tcPr>
          <w:p w14:paraId="0CA34F1A"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2,417,628 </w:t>
            </w:r>
          </w:p>
        </w:tc>
        <w:tc>
          <w:tcPr>
            <w:tcW w:w="1017" w:type="dxa"/>
            <w:shd w:val="clear" w:color="auto" w:fill="auto"/>
            <w:noWrap/>
            <w:vAlign w:val="center"/>
            <w:hideMark/>
          </w:tcPr>
          <w:p w14:paraId="701E5702"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3,750 </w:t>
            </w:r>
          </w:p>
        </w:tc>
        <w:tc>
          <w:tcPr>
            <w:tcW w:w="1124" w:type="dxa"/>
            <w:shd w:val="clear" w:color="auto" w:fill="auto"/>
            <w:noWrap/>
            <w:vAlign w:val="center"/>
            <w:hideMark/>
          </w:tcPr>
          <w:p w14:paraId="56FCDB44"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1,251,775 </w:t>
            </w:r>
          </w:p>
        </w:tc>
        <w:tc>
          <w:tcPr>
            <w:tcW w:w="1017" w:type="dxa"/>
            <w:shd w:val="clear" w:color="auto" w:fill="auto"/>
            <w:noWrap/>
            <w:vAlign w:val="center"/>
            <w:hideMark/>
          </w:tcPr>
          <w:p w14:paraId="3D749D24"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3,582 </w:t>
            </w:r>
          </w:p>
        </w:tc>
      </w:tr>
      <w:tr w:rsidR="003E5BF5" w:rsidRPr="00F413C5" w14:paraId="7B58D6DB" w14:textId="77777777" w:rsidTr="00CC69CE">
        <w:trPr>
          <w:trHeight w:val="340"/>
        </w:trPr>
        <w:tc>
          <w:tcPr>
            <w:tcW w:w="5004" w:type="dxa"/>
            <w:shd w:val="clear" w:color="auto" w:fill="auto"/>
            <w:noWrap/>
            <w:vAlign w:val="center"/>
            <w:hideMark/>
          </w:tcPr>
          <w:p w14:paraId="1EA594C4" w14:textId="77777777" w:rsidR="003E5BF5" w:rsidRPr="00F413C5" w:rsidRDefault="003E5BF5" w:rsidP="00DE1921">
            <w:pPr>
              <w:rPr>
                <w:rFonts w:ascii="Arial" w:hAnsi="Arial" w:cs="Arial"/>
                <w:sz w:val="24"/>
                <w:szCs w:val="24"/>
              </w:rPr>
            </w:pPr>
            <w:r w:rsidRPr="00F413C5">
              <w:rPr>
                <w:rFonts w:ascii="Arial" w:hAnsi="Arial" w:cs="Arial"/>
                <w:sz w:val="24"/>
                <w:szCs w:val="24"/>
              </w:rPr>
              <w:t>Less future finance charges</w:t>
            </w:r>
          </w:p>
        </w:tc>
        <w:tc>
          <w:tcPr>
            <w:tcW w:w="1284" w:type="dxa"/>
            <w:shd w:val="clear" w:color="auto" w:fill="auto"/>
            <w:noWrap/>
            <w:vAlign w:val="center"/>
            <w:hideMark/>
          </w:tcPr>
          <w:p w14:paraId="5148DD0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(1,165,853)</w:t>
            </w:r>
          </w:p>
        </w:tc>
        <w:tc>
          <w:tcPr>
            <w:tcW w:w="1017" w:type="dxa"/>
            <w:shd w:val="clear" w:color="auto" w:fill="auto"/>
            <w:noWrap/>
            <w:vAlign w:val="center"/>
            <w:hideMark/>
          </w:tcPr>
          <w:p w14:paraId="7354F7E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(168)</w:t>
            </w:r>
          </w:p>
        </w:tc>
        <w:tc>
          <w:tcPr>
            <w:tcW w:w="1124" w:type="dxa"/>
            <w:shd w:val="clear" w:color="auto" w:fill="auto"/>
            <w:noWrap/>
            <w:vAlign w:val="center"/>
            <w:hideMark/>
          </w:tcPr>
          <w:p w14:paraId="1DB6BA33"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 - </w:t>
            </w:r>
          </w:p>
        </w:tc>
        <w:tc>
          <w:tcPr>
            <w:tcW w:w="1017" w:type="dxa"/>
            <w:shd w:val="clear" w:color="auto" w:fill="auto"/>
            <w:noWrap/>
            <w:vAlign w:val="center"/>
            <w:hideMark/>
          </w:tcPr>
          <w:p w14:paraId="0611FE6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516740F1" w14:textId="77777777" w:rsidTr="00CC69CE">
        <w:trPr>
          <w:trHeight w:val="340"/>
        </w:trPr>
        <w:tc>
          <w:tcPr>
            <w:tcW w:w="5004" w:type="dxa"/>
            <w:shd w:val="clear" w:color="auto" w:fill="auto"/>
            <w:noWrap/>
            <w:vAlign w:val="center"/>
            <w:hideMark/>
          </w:tcPr>
          <w:p w14:paraId="1A3786EC" w14:textId="77777777" w:rsidR="003E5BF5" w:rsidRPr="00F413C5" w:rsidRDefault="003E5BF5" w:rsidP="00DE1921">
            <w:pPr>
              <w:rPr>
                <w:rFonts w:ascii="Arial" w:hAnsi="Arial" w:cs="Arial"/>
                <w:b/>
                <w:sz w:val="24"/>
                <w:szCs w:val="24"/>
              </w:rPr>
            </w:pPr>
            <w:r w:rsidRPr="00F413C5">
              <w:rPr>
                <w:rFonts w:ascii="Arial" w:hAnsi="Arial" w:cs="Arial"/>
                <w:b/>
                <w:sz w:val="24"/>
                <w:szCs w:val="24"/>
              </w:rPr>
              <w:t>Present value of minimum lease payments</w:t>
            </w:r>
          </w:p>
        </w:tc>
        <w:tc>
          <w:tcPr>
            <w:tcW w:w="1284" w:type="dxa"/>
            <w:shd w:val="clear" w:color="auto" w:fill="auto"/>
            <w:noWrap/>
            <w:vAlign w:val="center"/>
            <w:hideMark/>
          </w:tcPr>
          <w:p w14:paraId="5F3FCCD8"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1,251,775 </w:t>
            </w:r>
          </w:p>
        </w:tc>
        <w:tc>
          <w:tcPr>
            <w:tcW w:w="1017" w:type="dxa"/>
            <w:shd w:val="clear" w:color="auto" w:fill="auto"/>
            <w:noWrap/>
            <w:vAlign w:val="center"/>
            <w:hideMark/>
          </w:tcPr>
          <w:p w14:paraId="2DA274C1"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3,582 </w:t>
            </w:r>
          </w:p>
        </w:tc>
        <w:tc>
          <w:tcPr>
            <w:tcW w:w="1124" w:type="dxa"/>
            <w:shd w:val="clear" w:color="auto" w:fill="auto"/>
            <w:noWrap/>
            <w:vAlign w:val="center"/>
            <w:hideMark/>
          </w:tcPr>
          <w:p w14:paraId="4C65D45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1,251,775 </w:t>
            </w:r>
          </w:p>
        </w:tc>
        <w:tc>
          <w:tcPr>
            <w:tcW w:w="1017" w:type="dxa"/>
            <w:shd w:val="clear" w:color="auto" w:fill="auto"/>
            <w:noWrap/>
            <w:vAlign w:val="center"/>
            <w:hideMark/>
          </w:tcPr>
          <w:p w14:paraId="79912C8E"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3,582 </w:t>
            </w:r>
          </w:p>
        </w:tc>
      </w:tr>
      <w:tr w:rsidR="003E5BF5" w:rsidRPr="00F413C5" w14:paraId="5877924A" w14:textId="77777777" w:rsidTr="00CC69CE">
        <w:trPr>
          <w:trHeight w:val="340"/>
        </w:trPr>
        <w:tc>
          <w:tcPr>
            <w:tcW w:w="5004" w:type="dxa"/>
            <w:shd w:val="clear" w:color="auto" w:fill="auto"/>
            <w:noWrap/>
            <w:vAlign w:val="center"/>
            <w:hideMark/>
          </w:tcPr>
          <w:p w14:paraId="0133330C" w14:textId="77777777" w:rsidR="003E5BF5" w:rsidRPr="00F413C5" w:rsidRDefault="003E5BF5" w:rsidP="00604703">
            <w:pPr>
              <w:pStyle w:val="TableTextGreen"/>
            </w:pPr>
            <w:r w:rsidRPr="00F413C5">
              <w:t>Included in the financial statements as:</w:t>
            </w:r>
          </w:p>
        </w:tc>
        <w:tc>
          <w:tcPr>
            <w:tcW w:w="1284" w:type="dxa"/>
            <w:shd w:val="clear" w:color="auto" w:fill="auto"/>
            <w:noWrap/>
            <w:vAlign w:val="center"/>
            <w:hideMark/>
          </w:tcPr>
          <w:p w14:paraId="243A1081" w14:textId="77777777" w:rsidR="003E5BF5" w:rsidRPr="00F413C5" w:rsidRDefault="003E5BF5" w:rsidP="00DE1921">
            <w:pPr>
              <w:jc w:val="right"/>
              <w:rPr>
                <w:rFonts w:ascii="Arial" w:hAnsi="Arial" w:cs="Arial"/>
                <w:b/>
                <w:sz w:val="24"/>
                <w:szCs w:val="24"/>
              </w:rPr>
            </w:pPr>
          </w:p>
        </w:tc>
        <w:tc>
          <w:tcPr>
            <w:tcW w:w="1017" w:type="dxa"/>
            <w:shd w:val="clear" w:color="auto" w:fill="auto"/>
            <w:noWrap/>
            <w:vAlign w:val="center"/>
            <w:hideMark/>
          </w:tcPr>
          <w:p w14:paraId="6297E0BB" w14:textId="77777777" w:rsidR="003E5BF5" w:rsidRPr="00F413C5" w:rsidRDefault="003E5BF5" w:rsidP="00DE1921">
            <w:pPr>
              <w:jc w:val="right"/>
              <w:rPr>
                <w:rFonts w:ascii="Arial" w:hAnsi="Arial" w:cs="Arial"/>
                <w:sz w:val="24"/>
                <w:szCs w:val="24"/>
              </w:rPr>
            </w:pPr>
          </w:p>
        </w:tc>
        <w:tc>
          <w:tcPr>
            <w:tcW w:w="1124" w:type="dxa"/>
            <w:shd w:val="clear" w:color="auto" w:fill="auto"/>
            <w:noWrap/>
            <w:vAlign w:val="center"/>
            <w:hideMark/>
          </w:tcPr>
          <w:p w14:paraId="7795504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w:t>
            </w:r>
          </w:p>
        </w:tc>
        <w:tc>
          <w:tcPr>
            <w:tcW w:w="1017" w:type="dxa"/>
            <w:shd w:val="clear" w:color="auto" w:fill="auto"/>
            <w:noWrap/>
            <w:vAlign w:val="center"/>
            <w:hideMark/>
          </w:tcPr>
          <w:p w14:paraId="3636340C" w14:textId="77777777" w:rsidR="003E5BF5" w:rsidRPr="00F413C5" w:rsidRDefault="003E5BF5" w:rsidP="00DE1921">
            <w:pPr>
              <w:jc w:val="right"/>
              <w:rPr>
                <w:rFonts w:ascii="Arial" w:hAnsi="Arial" w:cs="Arial"/>
                <w:sz w:val="24"/>
                <w:szCs w:val="24"/>
              </w:rPr>
            </w:pPr>
          </w:p>
        </w:tc>
      </w:tr>
      <w:tr w:rsidR="003E5BF5" w:rsidRPr="00F413C5" w14:paraId="5055581C" w14:textId="77777777" w:rsidTr="00CC69CE">
        <w:trPr>
          <w:trHeight w:val="340"/>
        </w:trPr>
        <w:tc>
          <w:tcPr>
            <w:tcW w:w="5004" w:type="dxa"/>
            <w:shd w:val="clear" w:color="auto" w:fill="auto"/>
            <w:noWrap/>
            <w:vAlign w:val="center"/>
            <w:hideMark/>
          </w:tcPr>
          <w:p w14:paraId="7E340A3B" w14:textId="77777777" w:rsidR="003E5BF5" w:rsidRPr="00F413C5" w:rsidRDefault="003E5BF5" w:rsidP="00DE1921">
            <w:pPr>
              <w:rPr>
                <w:rFonts w:ascii="Arial" w:hAnsi="Arial" w:cs="Arial"/>
                <w:sz w:val="24"/>
                <w:szCs w:val="24"/>
              </w:rPr>
            </w:pPr>
            <w:r w:rsidRPr="00F413C5">
              <w:rPr>
                <w:rFonts w:ascii="Arial" w:hAnsi="Arial" w:cs="Arial"/>
                <w:sz w:val="24"/>
                <w:szCs w:val="24"/>
              </w:rPr>
              <w:t>Current borrowings lease liabilities</w:t>
            </w:r>
          </w:p>
        </w:tc>
        <w:tc>
          <w:tcPr>
            <w:tcW w:w="1284" w:type="dxa"/>
            <w:shd w:val="clear" w:color="auto" w:fill="auto"/>
            <w:noWrap/>
            <w:vAlign w:val="center"/>
            <w:hideMark/>
          </w:tcPr>
          <w:p w14:paraId="2D79621C" w14:textId="77777777" w:rsidR="003E5BF5" w:rsidRPr="00F413C5" w:rsidRDefault="003E5BF5" w:rsidP="00DE1921">
            <w:pPr>
              <w:jc w:val="right"/>
              <w:rPr>
                <w:rFonts w:ascii="Arial" w:hAnsi="Arial" w:cs="Arial"/>
                <w:sz w:val="24"/>
                <w:szCs w:val="24"/>
              </w:rPr>
            </w:pPr>
          </w:p>
        </w:tc>
        <w:tc>
          <w:tcPr>
            <w:tcW w:w="1017" w:type="dxa"/>
            <w:shd w:val="clear" w:color="auto" w:fill="auto"/>
            <w:noWrap/>
            <w:vAlign w:val="center"/>
            <w:hideMark/>
          </w:tcPr>
          <w:p w14:paraId="24B59C92" w14:textId="77777777" w:rsidR="003E5BF5" w:rsidRPr="00F413C5" w:rsidRDefault="003E5BF5" w:rsidP="00DE1921">
            <w:pPr>
              <w:jc w:val="right"/>
              <w:rPr>
                <w:rFonts w:ascii="Arial" w:hAnsi="Arial" w:cs="Arial"/>
                <w:sz w:val="24"/>
                <w:szCs w:val="24"/>
              </w:rPr>
            </w:pPr>
          </w:p>
        </w:tc>
        <w:tc>
          <w:tcPr>
            <w:tcW w:w="1124" w:type="dxa"/>
            <w:shd w:val="clear" w:color="auto" w:fill="auto"/>
            <w:noWrap/>
            <w:vAlign w:val="center"/>
            <w:hideMark/>
          </w:tcPr>
          <w:p w14:paraId="6644630E"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65,961 </w:t>
            </w:r>
          </w:p>
        </w:tc>
        <w:tc>
          <w:tcPr>
            <w:tcW w:w="1017" w:type="dxa"/>
            <w:shd w:val="clear" w:color="auto" w:fill="auto"/>
            <w:noWrap/>
            <w:vAlign w:val="center"/>
            <w:hideMark/>
          </w:tcPr>
          <w:p w14:paraId="6898FE0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1,283 </w:t>
            </w:r>
          </w:p>
        </w:tc>
      </w:tr>
      <w:tr w:rsidR="003E5BF5" w:rsidRPr="00F413C5" w14:paraId="1E948851" w14:textId="77777777" w:rsidTr="00CC69CE">
        <w:trPr>
          <w:trHeight w:val="340"/>
        </w:trPr>
        <w:tc>
          <w:tcPr>
            <w:tcW w:w="5004" w:type="dxa"/>
            <w:tcBorders>
              <w:bottom w:val="single" w:sz="4" w:space="0" w:color="auto"/>
            </w:tcBorders>
            <w:shd w:val="clear" w:color="auto" w:fill="auto"/>
            <w:noWrap/>
            <w:vAlign w:val="center"/>
            <w:hideMark/>
          </w:tcPr>
          <w:p w14:paraId="75220BA7" w14:textId="77777777" w:rsidR="003E5BF5" w:rsidRPr="00F413C5" w:rsidRDefault="003E5BF5" w:rsidP="00DE1921">
            <w:pPr>
              <w:rPr>
                <w:rFonts w:ascii="Arial" w:hAnsi="Arial" w:cs="Arial"/>
                <w:sz w:val="24"/>
                <w:szCs w:val="24"/>
              </w:rPr>
            </w:pPr>
            <w:r w:rsidRPr="00F413C5">
              <w:rPr>
                <w:rFonts w:ascii="Arial" w:hAnsi="Arial" w:cs="Arial"/>
                <w:sz w:val="24"/>
                <w:szCs w:val="24"/>
              </w:rPr>
              <w:t>Non-current borrowings lease liabilities</w:t>
            </w:r>
          </w:p>
        </w:tc>
        <w:tc>
          <w:tcPr>
            <w:tcW w:w="1284" w:type="dxa"/>
            <w:tcBorders>
              <w:bottom w:val="single" w:sz="4" w:space="0" w:color="auto"/>
            </w:tcBorders>
            <w:shd w:val="clear" w:color="auto" w:fill="auto"/>
            <w:noWrap/>
            <w:vAlign w:val="center"/>
            <w:hideMark/>
          </w:tcPr>
          <w:p w14:paraId="3625EB92"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w:t>
            </w:r>
          </w:p>
        </w:tc>
        <w:tc>
          <w:tcPr>
            <w:tcW w:w="1017" w:type="dxa"/>
            <w:tcBorders>
              <w:bottom w:val="single" w:sz="4" w:space="0" w:color="auto"/>
            </w:tcBorders>
            <w:shd w:val="clear" w:color="auto" w:fill="auto"/>
            <w:noWrap/>
            <w:vAlign w:val="center"/>
            <w:hideMark/>
          </w:tcPr>
          <w:p w14:paraId="67CB1B1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w:t>
            </w:r>
          </w:p>
        </w:tc>
        <w:tc>
          <w:tcPr>
            <w:tcW w:w="1124" w:type="dxa"/>
            <w:tcBorders>
              <w:bottom w:val="single" w:sz="4" w:space="0" w:color="auto"/>
            </w:tcBorders>
            <w:shd w:val="clear" w:color="auto" w:fill="auto"/>
            <w:noWrap/>
            <w:vAlign w:val="center"/>
            <w:hideMark/>
          </w:tcPr>
          <w:p w14:paraId="75DA9C5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1,185,814 </w:t>
            </w:r>
          </w:p>
        </w:tc>
        <w:tc>
          <w:tcPr>
            <w:tcW w:w="1017" w:type="dxa"/>
            <w:tcBorders>
              <w:bottom w:val="single" w:sz="4" w:space="0" w:color="auto"/>
            </w:tcBorders>
            <w:shd w:val="clear" w:color="auto" w:fill="auto"/>
            <w:noWrap/>
            <w:vAlign w:val="center"/>
            <w:hideMark/>
          </w:tcPr>
          <w:p w14:paraId="5EAC99C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2,299 </w:t>
            </w:r>
          </w:p>
        </w:tc>
      </w:tr>
      <w:tr w:rsidR="003E5BF5" w:rsidRPr="00F413C5" w14:paraId="4AE4174D" w14:textId="77777777" w:rsidTr="00CC69CE">
        <w:trPr>
          <w:trHeight w:val="340"/>
        </w:trPr>
        <w:tc>
          <w:tcPr>
            <w:tcW w:w="5004" w:type="dxa"/>
            <w:tcBorders>
              <w:bottom w:val="single" w:sz="4" w:space="0" w:color="auto"/>
            </w:tcBorders>
            <w:shd w:val="clear" w:color="auto" w:fill="auto"/>
            <w:noWrap/>
            <w:vAlign w:val="center"/>
            <w:hideMark/>
          </w:tcPr>
          <w:p w14:paraId="433E4C2A" w14:textId="77777777" w:rsidR="003E5BF5" w:rsidRPr="00F413C5" w:rsidRDefault="003E5BF5" w:rsidP="00DE1921">
            <w:pPr>
              <w:rPr>
                <w:rFonts w:ascii="Arial" w:hAnsi="Arial" w:cs="Arial"/>
                <w:b/>
                <w:sz w:val="24"/>
                <w:szCs w:val="24"/>
              </w:rPr>
            </w:pPr>
            <w:r w:rsidRPr="00F413C5">
              <w:rPr>
                <w:rFonts w:ascii="Arial" w:hAnsi="Arial" w:cs="Arial"/>
                <w:b/>
                <w:sz w:val="24"/>
                <w:szCs w:val="24"/>
              </w:rPr>
              <w:t>Total</w:t>
            </w:r>
          </w:p>
        </w:tc>
        <w:tc>
          <w:tcPr>
            <w:tcW w:w="1284" w:type="dxa"/>
            <w:tcBorders>
              <w:bottom w:val="single" w:sz="4" w:space="0" w:color="auto"/>
            </w:tcBorders>
            <w:shd w:val="clear" w:color="auto" w:fill="auto"/>
            <w:noWrap/>
            <w:vAlign w:val="center"/>
            <w:hideMark/>
          </w:tcPr>
          <w:p w14:paraId="47FCBEB3" w14:textId="77777777" w:rsidR="003E5BF5" w:rsidRPr="00F413C5" w:rsidRDefault="003E5BF5" w:rsidP="00DE1921">
            <w:pPr>
              <w:jc w:val="right"/>
              <w:rPr>
                <w:rFonts w:ascii="Arial" w:hAnsi="Arial" w:cs="Arial"/>
                <w:b/>
                <w:sz w:val="24"/>
                <w:szCs w:val="24"/>
              </w:rPr>
            </w:pPr>
          </w:p>
        </w:tc>
        <w:tc>
          <w:tcPr>
            <w:tcW w:w="1017" w:type="dxa"/>
            <w:tcBorders>
              <w:bottom w:val="single" w:sz="4" w:space="0" w:color="auto"/>
            </w:tcBorders>
            <w:shd w:val="clear" w:color="auto" w:fill="auto"/>
            <w:noWrap/>
            <w:vAlign w:val="center"/>
            <w:hideMark/>
          </w:tcPr>
          <w:p w14:paraId="462CB1E4" w14:textId="77777777" w:rsidR="003E5BF5" w:rsidRPr="00F413C5" w:rsidRDefault="003E5BF5" w:rsidP="00DE1921">
            <w:pPr>
              <w:jc w:val="right"/>
              <w:rPr>
                <w:rFonts w:ascii="Arial" w:hAnsi="Arial" w:cs="Arial"/>
                <w:sz w:val="24"/>
                <w:szCs w:val="24"/>
              </w:rPr>
            </w:pPr>
          </w:p>
        </w:tc>
        <w:tc>
          <w:tcPr>
            <w:tcW w:w="1124" w:type="dxa"/>
            <w:tcBorders>
              <w:bottom w:val="single" w:sz="4" w:space="0" w:color="auto"/>
            </w:tcBorders>
            <w:shd w:val="clear" w:color="auto" w:fill="auto"/>
            <w:noWrap/>
            <w:vAlign w:val="center"/>
            <w:hideMark/>
          </w:tcPr>
          <w:p w14:paraId="3BB16201"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1,251,775 </w:t>
            </w:r>
          </w:p>
        </w:tc>
        <w:tc>
          <w:tcPr>
            <w:tcW w:w="1017" w:type="dxa"/>
            <w:tcBorders>
              <w:bottom w:val="single" w:sz="4" w:space="0" w:color="auto"/>
            </w:tcBorders>
            <w:shd w:val="clear" w:color="auto" w:fill="auto"/>
            <w:noWrap/>
            <w:vAlign w:val="center"/>
            <w:hideMark/>
          </w:tcPr>
          <w:p w14:paraId="1F09829A"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3,582 </w:t>
            </w:r>
          </w:p>
        </w:tc>
      </w:tr>
    </w:tbl>
    <w:p w14:paraId="7AD609D1" w14:textId="77777777" w:rsidR="00CC69CE" w:rsidRPr="00F413C5" w:rsidRDefault="00CC69CE" w:rsidP="00CC69CE">
      <w:pPr>
        <w:pStyle w:val="Note"/>
        <w:rPr>
          <w:rFonts w:ascii="Arial" w:hAnsi="Arial" w:cs="Arial"/>
          <w:sz w:val="24"/>
          <w:szCs w:val="24"/>
        </w:rPr>
      </w:pPr>
      <w:r w:rsidRPr="00F413C5">
        <w:rPr>
          <w:rFonts w:ascii="Arial" w:hAnsi="Arial" w:cs="Arial"/>
          <w:sz w:val="24"/>
          <w:szCs w:val="24"/>
        </w:rPr>
        <w:t>Notes:</w:t>
      </w:r>
    </w:p>
    <w:p w14:paraId="004390FD" w14:textId="77777777" w:rsidR="00CC69CE" w:rsidRPr="00F413C5" w:rsidRDefault="00CC69CE" w:rsidP="00610F5F">
      <w:pPr>
        <w:pStyle w:val="aaaNotenumberiiiiii"/>
        <w:numPr>
          <w:ilvl w:val="0"/>
          <w:numId w:val="103"/>
        </w:numPr>
      </w:pPr>
      <w:r w:rsidRPr="00F413C5">
        <w:t>Minimum future lease payments include the aggregate of all base payments and any guaranteed residual.</w:t>
      </w:r>
    </w:p>
    <w:p w14:paraId="3B1DE957" w14:textId="77777777" w:rsidR="00CC69CE" w:rsidRPr="00F413C5" w:rsidRDefault="00CC69CE" w:rsidP="00610F5F">
      <w:pPr>
        <w:pStyle w:val="aaaNotenumberiiiiii"/>
        <w:numPr>
          <w:ilvl w:val="0"/>
          <w:numId w:val="103"/>
        </w:numPr>
      </w:pPr>
      <w:r w:rsidRPr="00F413C5">
        <w:lastRenderedPageBreak/>
        <w:t xml:space="preserve">As a controlled entity of the former PTV, </w:t>
      </w:r>
      <w:proofErr w:type="spellStart"/>
      <w:r w:rsidRPr="00F413C5">
        <w:t>AssetCo’s</w:t>
      </w:r>
      <w:proofErr w:type="spellEnd"/>
      <w:r w:rsidRPr="00F413C5">
        <w:t xml:space="preserve"> financial information has been consolidated within the financial statements of the department. Refer to Note 7.1 Borrowings for further details.</w:t>
      </w:r>
    </w:p>
    <w:p w14:paraId="7DDA3826" w14:textId="77777777" w:rsidR="00CC69CE" w:rsidRDefault="00CC69CE" w:rsidP="00DE1921">
      <w:pPr>
        <w:spacing w:after="0"/>
        <w:rPr>
          <w:sz w:val="16"/>
        </w:rPr>
      </w:pPr>
    </w:p>
    <w:p w14:paraId="68066219" w14:textId="77777777" w:rsidR="00CC69CE" w:rsidRDefault="00CC69CE" w:rsidP="00DE1921">
      <w:pPr>
        <w:spacing w:after="0"/>
        <w:rPr>
          <w:sz w:val="16"/>
        </w:rPr>
      </w:pPr>
    </w:p>
    <w:p w14:paraId="693C46B3" w14:textId="37A8F687" w:rsidR="00CC69CE" w:rsidRDefault="00CC69CE" w:rsidP="00DE1921">
      <w:pPr>
        <w:spacing w:after="0"/>
        <w:rPr>
          <w:sz w:val="16"/>
        </w:rPr>
        <w:sectPr w:rsidR="00CC69CE" w:rsidSect="00DE1921">
          <w:headerReference w:type="even" r:id="rId145"/>
          <w:pgSz w:w="11906" w:h="16838" w:code="9"/>
          <w:pgMar w:top="1701" w:right="1418" w:bottom="1418" w:left="1418" w:header="709" w:footer="709" w:gutter="0"/>
          <w:cols w:space="708"/>
          <w:docGrid w:linePitch="360"/>
        </w:sectPr>
      </w:pPr>
    </w:p>
    <w:p w14:paraId="48713697" w14:textId="77777777" w:rsidR="003E5BF5" w:rsidRPr="00443EA7" w:rsidRDefault="003E5BF5" w:rsidP="00610F5F">
      <w:pPr>
        <w:pStyle w:val="Heading3"/>
        <w:numPr>
          <w:ilvl w:val="2"/>
          <w:numId w:val="14"/>
        </w:numPr>
        <w:ind w:left="765" w:hanging="765"/>
      </w:pPr>
      <w:r w:rsidRPr="00443EA7">
        <w:lastRenderedPageBreak/>
        <w:t xml:space="preserve">Lease liabilities payable - </w:t>
      </w:r>
      <w:r w:rsidRPr="00443EA7">
        <w:rPr>
          <w:i/>
          <w:iCs/>
        </w:rPr>
        <w:t>continued</w:t>
      </w:r>
    </w:p>
    <w:p w14:paraId="3A481878" w14:textId="77777777" w:rsidR="003E5BF5" w:rsidRDefault="003E5BF5" w:rsidP="00DE1921">
      <w:pPr>
        <w:spacing w:after="0"/>
        <w:rPr>
          <w:lang w:eastAsia="en-AU"/>
        </w:rPr>
      </w:pPr>
    </w:p>
    <w:tbl>
      <w:tblPr>
        <w:tblStyle w:val="TableGrid"/>
        <w:tblW w:w="9446" w:type="dxa"/>
        <w:tblCellMar>
          <w:left w:w="28" w:type="dxa"/>
          <w:right w:w="28" w:type="dxa"/>
        </w:tblCellMar>
        <w:tblLook w:val="04A0" w:firstRow="1" w:lastRow="0" w:firstColumn="1" w:lastColumn="0" w:noHBand="0" w:noVBand="1"/>
      </w:tblPr>
      <w:tblGrid>
        <w:gridCol w:w="5004"/>
        <w:gridCol w:w="1284"/>
        <w:gridCol w:w="1017"/>
        <w:gridCol w:w="1124"/>
        <w:gridCol w:w="1017"/>
      </w:tblGrid>
      <w:tr w:rsidR="003E5BF5" w:rsidRPr="00F413C5" w14:paraId="75B1D69E" w14:textId="77777777" w:rsidTr="00994314">
        <w:trPr>
          <w:trHeight w:val="340"/>
        </w:trPr>
        <w:tc>
          <w:tcPr>
            <w:tcW w:w="5004" w:type="dxa"/>
            <w:shd w:val="clear" w:color="auto" w:fill="auto"/>
            <w:noWrap/>
            <w:hideMark/>
          </w:tcPr>
          <w:p w14:paraId="7ADF96B8" w14:textId="77777777" w:rsidR="003E5BF5" w:rsidRPr="00F413C5" w:rsidRDefault="003E5BF5" w:rsidP="00DE1921">
            <w:pPr>
              <w:rPr>
                <w:rFonts w:ascii="Arial" w:hAnsi="Arial" w:cs="Arial"/>
                <w:sz w:val="24"/>
                <w:szCs w:val="24"/>
              </w:rPr>
            </w:pPr>
          </w:p>
        </w:tc>
        <w:tc>
          <w:tcPr>
            <w:tcW w:w="4442" w:type="dxa"/>
            <w:gridSpan w:val="4"/>
            <w:shd w:val="clear" w:color="auto" w:fill="auto"/>
            <w:noWrap/>
            <w:vAlign w:val="center"/>
            <w:hideMark/>
          </w:tcPr>
          <w:p w14:paraId="6EA61CF5"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 thousand)</w:t>
            </w:r>
          </w:p>
        </w:tc>
      </w:tr>
      <w:tr w:rsidR="003E5BF5" w:rsidRPr="00F413C5" w14:paraId="5A1E8411" w14:textId="77777777" w:rsidTr="00994314">
        <w:trPr>
          <w:trHeight w:val="340"/>
        </w:trPr>
        <w:tc>
          <w:tcPr>
            <w:tcW w:w="5004" w:type="dxa"/>
            <w:shd w:val="clear" w:color="auto" w:fill="auto"/>
            <w:noWrap/>
            <w:vAlign w:val="center"/>
            <w:hideMark/>
          </w:tcPr>
          <w:p w14:paraId="42834FBA" w14:textId="77777777" w:rsidR="003E5BF5" w:rsidRPr="00F413C5" w:rsidRDefault="003E5BF5" w:rsidP="00DE1921">
            <w:pPr>
              <w:rPr>
                <w:rFonts w:ascii="Arial" w:hAnsi="Arial" w:cs="Arial"/>
                <w:sz w:val="24"/>
                <w:szCs w:val="24"/>
              </w:rPr>
            </w:pPr>
          </w:p>
        </w:tc>
        <w:tc>
          <w:tcPr>
            <w:tcW w:w="2301" w:type="dxa"/>
            <w:gridSpan w:val="2"/>
            <w:shd w:val="clear" w:color="auto" w:fill="auto"/>
            <w:vAlign w:val="bottom"/>
            <w:hideMark/>
          </w:tcPr>
          <w:p w14:paraId="429674CD"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 xml:space="preserve">Minimum future lease payments </w:t>
            </w:r>
            <w:r w:rsidRPr="00F413C5">
              <w:rPr>
                <w:rFonts w:ascii="Arial" w:hAnsi="Arial" w:cs="Arial"/>
                <w:b/>
                <w:sz w:val="24"/>
                <w:szCs w:val="24"/>
                <w:vertAlign w:val="superscript"/>
              </w:rPr>
              <w:t>(</w:t>
            </w:r>
            <w:proofErr w:type="spellStart"/>
            <w:r w:rsidRPr="00F413C5">
              <w:rPr>
                <w:rFonts w:ascii="Arial" w:hAnsi="Arial" w:cs="Arial"/>
                <w:b/>
                <w:sz w:val="24"/>
                <w:szCs w:val="24"/>
                <w:vertAlign w:val="superscript"/>
              </w:rPr>
              <w:t>i</w:t>
            </w:r>
            <w:proofErr w:type="spellEnd"/>
            <w:r w:rsidRPr="00F413C5">
              <w:rPr>
                <w:rFonts w:ascii="Arial" w:hAnsi="Arial" w:cs="Arial"/>
                <w:b/>
                <w:sz w:val="24"/>
                <w:szCs w:val="24"/>
                <w:vertAlign w:val="superscript"/>
              </w:rPr>
              <w:t>)</w:t>
            </w:r>
          </w:p>
        </w:tc>
        <w:tc>
          <w:tcPr>
            <w:tcW w:w="2141" w:type="dxa"/>
            <w:gridSpan w:val="2"/>
            <w:shd w:val="clear" w:color="auto" w:fill="auto"/>
            <w:vAlign w:val="bottom"/>
            <w:hideMark/>
          </w:tcPr>
          <w:p w14:paraId="210BBB56"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Present value of minimum future lease payments</w:t>
            </w:r>
          </w:p>
        </w:tc>
      </w:tr>
      <w:tr w:rsidR="003E5BF5" w:rsidRPr="00F413C5" w14:paraId="4DB58C1D" w14:textId="77777777" w:rsidTr="00994314">
        <w:trPr>
          <w:trHeight w:val="340"/>
        </w:trPr>
        <w:tc>
          <w:tcPr>
            <w:tcW w:w="5004" w:type="dxa"/>
            <w:shd w:val="clear" w:color="auto" w:fill="auto"/>
            <w:noWrap/>
            <w:vAlign w:val="center"/>
            <w:hideMark/>
          </w:tcPr>
          <w:p w14:paraId="5FBD785C" w14:textId="77777777" w:rsidR="003E5BF5" w:rsidRPr="00F413C5" w:rsidRDefault="003E5BF5" w:rsidP="00DE1921">
            <w:pPr>
              <w:rPr>
                <w:rFonts w:ascii="Arial" w:hAnsi="Arial" w:cs="Arial"/>
                <w:sz w:val="24"/>
                <w:szCs w:val="24"/>
              </w:rPr>
            </w:pPr>
            <w:r w:rsidRPr="00F413C5">
              <w:rPr>
                <w:rFonts w:ascii="Arial" w:hAnsi="Arial" w:cs="Arial"/>
                <w:sz w:val="24"/>
                <w:szCs w:val="24"/>
              </w:rPr>
              <w:t> </w:t>
            </w:r>
          </w:p>
        </w:tc>
        <w:tc>
          <w:tcPr>
            <w:tcW w:w="1284" w:type="dxa"/>
            <w:shd w:val="clear" w:color="auto" w:fill="auto"/>
            <w:noWrap/>
            <w:vAlign w:val="center"/>
            <w:hideMark/>
          </w:tcPr>
          <w:p w14:paraId="02BF48C1"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2020 </w:t>
            </w:r>
          </w:p>
        </w:tc>
        <w:tc>
          <w:tcPr>
            <w:tcW w:w="1017" w:type="dxa"/>
            <w:shd w:val="clear" w:color="auto" w:fill="auto"/>
            <w:noWrap/>
            <w:vAlign w:val="center"/>
            <w:hideMark/>
          </w:tcPr>
          <w:p w14:paraId="7F56B3BB"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2019 </w:t>
            </w:r>
          </w:p>
        </w:tc>
        <w:tc>
          <w:tcPr>
            <w:tcW w:w="1124" w:type="dxa"/>
            <w:shd w:val="clear" w:color="auto" w:fill="auto"/>
            <w:noWrap/>
            <w:vAlign w:val="center"/>
            <w:hideMark/>
          </w:tcPr>
          <w:p w14:paraId="3C39FFCD"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2020 </w:t>
            </w:r>
          </w:p>
        </w:tc>
        <w:tc>
          <w:tcPr>
            <w:tcW w:w="1017" w:type="dxa"/>
            <w:shd w:val="clear" w:color="auto" w:fill="auto"/>
            <w:noWrap/>
            <w:vAlign w:val="center"/>
            <w:hideMark/>
          </w:tcPr>
          <w:p w14:paraId="1817376A"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2019 </w:t>
            </w:r>
          </w:p>
        </w:tc>
      </w:tr>
      <w:tr w:rsidR="003E5BF5" w:rsidRPr="00F413C5" w14:paraId="194890B5" w14:textId="77777777" w:rsidTr="00994314">
        <w:trPr>
          <w:trHeight w:val="340"/>
        </w:trPr>
        <w:tc>
          <w:tcPr>
            <w:tcW w:w="5004" w:type="dxa"/>
            <w:shd w:val="clear" w:color="auto" w:fill="auto"/>
            <w:noWrap/>
            <w:vAlign w:val="center"/>
            <w:hideMark/>
          </w:tcPr>
          <w:p w14:paraId="48CD0DA0" w14:textId="77777777" w:rsidR="003E5BF5" w:rsidRPr="00F413C5" w:rsidRDefault="003E5BF5" w:rsidP="00604703">
            <w:pPr>
              <w:pStyle w:val="TableTextGreen"/>
            </w:pPr>
            <w:r w:rsidRPr="00F413C5">
              <w:t xml:space="preserve">Parent </w:t>
            </w:r>
            <w:r w:rsidRPr="00F413C5">
              <w:rPr>
                <w:vertAlign w:val="superscript"/>
              </w:rPr>
              <w:t>(ii)</w:t>
            </w:r>
          </w:p>
        </w:tc>
        <w:tc>
          <w:tcPr>
            <w:tcW w:w="1284" w:type="dxa"/>
            <w:shd w:val="clear" w:color="auto" w:fill="auto"/>
            <w:noWrap/>
            <w:vAlign w:val="center"/>
            <w:hideMark/>
          </w:tcPr>
          <w:p w14:paraId="7D908BD6"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w:t>
            </w:r>
          </w:p>
        </w:tc>
        <w:tc>
          <w:tcPr>
            <w:tcW w:w="1017" w:type="dxa"/>
            <w:shd w:val="clear" w:color="auto" w:fill="auto"/>
            <w:noWrap/>
            <w:vAlign w:val="center"/>
            <w:hideMark/>
          </w:tcPr>
          <w:p w14:paraId="2D519358"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w:t>
            </w:r>
          </w:p>
        </w:tc>
        <w:tc>
          <w:tcPr>
            <w:tcW w:w="1124" w:type="dxa"/>
            <w:shd w:val="clear" w:color="auto" w:fill="auto"/>
            <w:noWrap/>
            <w:vAlign w:val="center"/>
            <w:hideMark/>
          </w:tcPr>
          <w:p w14:paraId="2D8E6186"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w:t>
            </w:r>
          </w:p>
        </w:tc>
        <w:tc>
          <w:tcPr>
            <w:tcW w:w="1017" w:type="dxa"/>
            <w:shd w:val="clear" w:color="auto" w:fill="auto"/>
            <w:noWrap/>
            <w:vAlign w:val="center"/>
            <w:hideMark/>
          </w:tcPr>
          <w:p w14:paraId="4A402141"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w:t>
            </w:r>
          </w:p>
        </w:tc>
      </w:tr>
      <w:tr w:rsidR="003E5BF5" w:rsidRPr="00F413C5" w14:paraId="22BE3FDA" w14:textId="77777777" w:rsidTr="00994314">
        <w:trPr>
          <w:trHeight w:val="340"/>
        </w:trPr>
        <w:tc>
          <w:tcPr>
            <w:tcW w:w="5004" w:type="dxa"/>
            <w:shd w:val="clear" w:color="auto" w:fill="auto"/>
            <w:noWrap/>
            <w:vAlign w:val="center"/>
            <w:hideMark/>
          </w:tcPr>
          <w:p w14:paraId="0FE43E48" w14:textId="77777777" w:rsidR="003E5BF5" w:rsidRPr="00F413C5" w:rsidRDefault="003E5BF5" w:rsidP="00604703">
            <w:pPr>
              <w:pStyle w:val="TableTextGreen"/>
            </w:pPr>
            <w:r w:rsidRPr="00F413C5">
              <w:t>Service concession (PPP) related lease liabilities payable</w:t>
            </w:r>
          </w:p>
        </w:tc>
        <w:tc>
          <w:tcPr>
            <w:tcW w:w="1284" w:type="dxa"/>
            <w:shd w:val="clear" w:color="auto" w:fill="auto"/>
            <w:noWrap/>
            <w:vAlign w:val="center"/>
            <w:hideMark/>
          </w:tcPr>
          <w:p w14:paraId="4236116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w:t>
            </w:r>
          </w:p>
        </w:tc>
        <w:tc>
          <w:tcPr>
            <w:tcW w:w="1017" w:type="dxa"/>
            <w:shd w:val="clear" w:color="auto" w:fill="auto"/>
            <w:noWrap/>
            <w:vAlign w:val="center"/>
            <w:hideMark/>
          </w:tcPr>
          <w:p w14:paraId="2F4717BB" w14:textId="77777777" w:rsidR="003E5BF5" w:rsidRPr="00F413C5" w:rsidRDefault="003E5BF5" w:rsidP="00DE1921">
            <w:pPr>
              <w:jc w:val="right"/>
              <w:rPr>
                <w:rFonts w:ascii="Arial" w:hAnsi="Arial" w:cs="Arial"/>
                <w:sz w:val="24"/>
                <w:szCs w:val="24"/>
              </w:rPr>
            </w:pPr>
          </w:p>
        </w:tc>
        <w:tc>
          <w:tcPr>
            <w:tcW w:w="1124" w:type="dxa"/>
            <w:shd w:val="clear" w:color="auto" w:fill="auto"/>
            <w:noWrap/>
            <w:vAlign w:val="center"/>
            <w:hideMark/>
          </w:tcPr>
          <w:p w14:paraId="55661CF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w:t>
            </w:r>
          </w:p>
        </w:tc>
        <w:tc>
          <w:tcPr>
            <w:tcW w:w="1017" w:type="dxa"/>
            <w:shd w:val="clear" w:color="auto" w:fill="auto"/>
            <w:noWrap/>
            <w:vAlign w:val="center"/>
            <w:hideMark/>
          </w:tcPr>
          <w:p w14:paraId="49718313" w14:textId="77777777" w:rsidR="003E5BF5" w:rsidRPr="00F413C5" w:rsidRDefault="003E5BF5" w:rsidP="00DE1921">
            <w:pPr>
              <w:jc w:val="right"/>
              <w:rPr>
                <w:rFonts w:ascii="Arial" w:hAnsi="Arial" w:cs="Arial"/>
                <w:sz w:val="24"/>
                <w:szCs w:val="24"/>
              </w:rPr>
            </w:pPr>
          </w:p>
        </w:tc>
      </w:tr>
      <w:tr w:rsidR="003E5BF5" w:rsidRPr="00F413C5" w14:paraId="5EE84181" w14:textId="77777777" w:rsidTr="00994314">
        <w:trPr>
          <w:trHeight w:val="340"/>
        </w:trPr>
        <w:tc>
          <w:tcPr>
            <w:tcW w:w="5004" w:type="dxa"/>
            <w:shd w:val="clear" w:color="auto" w:fill="auto"/>
            <w:noWrap/>
            <w:vAlign w:val="center"/>
            <w:hideMark/>
          </w:tcPr>
          <w:p w14:paraId="77A460C3" w14:textId="77777777" w:rsidR="003E5BF5" w:rsidRPr="00F413C5" w:rsidRDefault="003E5BF5" w:rsidP="00DE1921">
            <w:pPr>
              <w:rPr>
                <w:rFonts w:ascii="Arial" w:hAnsi="Arial" w:cs="Arial"/>
                <w:sz w:val="24"/>
                <w:szCs w:val="24"/>
              </w:rPr>
            </w:pPr>
            <w:proofErr w:type="spellStart"/>
            <w:r w:rsidRPr="00F413C5">
              <w:rPr>
                <w:rFonts w:ascii="Arial" w:hAnsi="Arial" w:cs="Arial"/>
                <w:sz w:val="24"/>
                <w:szCs w:val="24"/>
              </w:rPr>
              <w:t>Not longer</w:t>
            </w:r>
            <w:proofErr w:type="spellEnd"/>
            <w:r w:rsidRPr="00F413C5">
              <w:rPr>
                <w:rFonts w:ascii="Arial" w:hAnsi="Arial" w:cs="Arial"/>
                <w:sz w:val="24"/>
                <w:szCs w:val="24"/>
              </w:rPr>
              <w:t xml:space="preserve"> than one year</w:t>
            </w:r>
          </w:p>
        </w:tc>
        <w:tc>
          <w:tcPr>
            <w:tcW w:w="1284" w:type="dxa"/>
            <w:shd w:val="clear" w:color="auto" w:fill="auto"/>
            <w:noWrap/>
            <w:vAlign w:val="center"/>
            <w:hideMark/>
          </w:tcPr>
          <w:p w14:paraId="78211F7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136,478 </w:t>
            </w:r>
          </w:p>
        </w:tc>
        <w:tc>
          <w:tcPr>
            <w:tcW w:w="1017" w:type="dxa"/>
            <w:shd w:val="clear" w:color="auto" w:fill="auto"/>
            <w:noWrap/>
            <w:vAlign w:val="center"/>
            <w:hideMark/>
          </w:tcPr>
          <w:p w14:paraId="29C1C19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124" w:type="dxa"/>
            <w:shd w:val="clear" w:color="auto" w:fill="auto"/>
            <w:noWrap/>
            <w:vAlign w:val="center"/>
            <w:hideMark/>
          </w:tcPr>
          <w:p w14:paraId="092DC80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29,308 </w:t>
            </w:r>
          </w:p>
        </w:tc>
        <w:tc>
          <w:tcPr>
            <w:tcW w:w="1017" w:type="dxa"/>
            <w:shd w:val="clear" w:color="auto" w:fill="auto"/>
            <w:noWrap/>
            <w:vAlign w:val="center"/>
            <w:hideMark/>
          </w:tcPr>
          <w:p w14:paraId="3C608C0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2FFC9A27" w14:textId="77777777" w:rsidTr="00994314">
        <w:trPr>
          <w:trHeight w:val="340"/>
        </w:trPr>
        <w:tc>
          <w:tcPr>
            <w:tcW w:w="5004" w:type="dxa"/>
            <w:shd w:val="clear" w:color="auto" w:fill="auto"/>
            <w:vAlign w:val="center"/>
            <w:hideMark/>
          </w:tcPr>
          <w:p w14:paraId="0F25D9B8" w14:textId="77777777" w:rsidR="003E5BF5" w:rsidRPr="00F413C5" w:rsidRDefault="003E5BF5" w:rsidP="00DE1921">
            <w:pPr>
              <w:rPr>
                <w:rFonts w:ascii="Arial" w:hAnsi="Arial" w:cs="Arial"/>
                <w:sz w:val="24"/>
                <w:szCs w:val="24"/>
              </w:rPr>
            </w:pPr>
            <w:r w:rsidRPr="00F413C5">
              <w:rPr>
                <w:rFonts w:ascii="Arial" w:hAnsi="Arial" w:cs="Arial"/>
                <w:sz w:val="24"/>
                <w:szCs w:val="24"/>
              </w:rPr>
              <w:t>Longer than one year and not longer than five years</w:t>
            </w:r>
          </w:p>
        </w:tc>
        <w:tc>
          <w:tcPr>
            <w:tcW w:w="1284" w:type="dxa"/>
            <w:shd w:val="clear" w:color="auto" w:fill="auto"/>
            <w:noWrap/>
            <w:vAlign w:val="center"/>
            <w:hideMark/>
          </w:tcPr>
          <w:p w14:paraId="3A1E11E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539,287 </w:t>
            </w:r>
          </w:p>
        </w:tc>
        <w:tc>
          <w:tcPr>
            <w:tcW w:w="1017" w:type="dxa"/>
            <w:shd w:val="clear" w:color="auto" w:fill="auto"/>
            <w:noWrap/>
            <w:vAlign w:val="center"/>
            <w:hideMark/>
          </w:tcPr>
          <w:p w14:paraId="2EA0BAC2"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124" w:type="dxa"/>
            <w:shd w:val="clear" w:color="auto" w:fill="auto"/>
            <w:noWrap/>
            <w:vAlign w:val="center"/>
            <w:hideMark/>
          </w:tcPr>
          <w:p w14:paraId="67296C0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145,941 </w:t>
            </w:r>
          </w:p>
        </w:tc>
        <w:tc>
          <w:tcPr>
            <w:tcW w:w="1017" w:type="dxa"/>
            <w:shd w:val="clear" w:color="auto" w:fill="auto"/>
            <w:noWrap/>
            <w:vAlign w:val="center"/>
            <w:hideMark/>
          </w:tcPr>
          <w:p w14:paraId="3B225AA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525586B2" w14:textId="77777777" w:rsidTr="00994314">
        <w:trPr>
          <w:trHeight w:val="340"/>
        </w:trPr>
        <w:tc>
          <w:tcPr>
            <w:tcW w:w="5004" w:type="dxa"/>
            <w:shd w:val="clear" w:color="auto" w:fill="auto"/>
            <w:noWrap/>
            <w:vAlign w:val="center"/>
            <w:hideMark/>
          </w:tcPr>
          <w:p w14:paraId="08B289B6" w14:textId="77777777" w:rsidR="003E5BF5" w:rsidRPr="00F413C5" w:rsidRDefault="003E5BF5" w:rsidP="00DE1921">
            <w:pPr>
              <w:rPr>
                <w:rFonts w:ascii="Arial" w:hAnsi="Arial" w:cs="Arial"/>
                <w:sz w:val="24"/>
                <w:szCs w:val="24"/>
              </w:rPr>
            </w:pPr>
            <w:r w:rsidRPr="00F413C5">
              <w:rPr>
                <w:rFonts w:ascii="Arial" w:hAnsi="Arial" w:cs="Arial"/>
                <w:sz w:val="24"/>
                <w:szCs w:val="24"/>
              </w:rPr>
              <w:t>Longer than five years</w:t>
            </w:r>
          </w:p>
        </w:tc>
        <w:tc>
          <w:tcPr>
            <w:tcW w:w="1284" w:type="dxa"/>
            <w:shd w:val="clear" w:color="auto" w:fill="auto"/>
            <w:noWrap/>
            <w:vAlign w:val="center"/>
            <w:hideMark/>
          </w:tcPr>
          <w:p w14:paraId="4459BFC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1,486,098 </w:t>
            </w:r>
          </w:p>
        </w:tc>
        <w:tc>
          <w:tcPr>
            <w:tcW w:w="1017" w:type="dxa"/>
            <w:shd w:val="clear" w:color="auto" w:fill="auto"/>
            <w:noWrap/>
            <w:vAlign w:val="center"/>
            <w:hideMark/>
          </w:tcPr>
          <w:p w14:paraId="421F9CD2"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124" w:type="dxa"/>
            <w:shd w:val="clear" w:color="auto" w:fill="auto"/>
            <w:noWrap/>
            <w:vAlign w:val="center"/>
            <w:hideMark/>
          </w:tcPr>
          <w:p w14:paraId="51D0087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860,997 </w:t>
            </w:r>
          </w:p>
        </w:tc>
        <w:tc>
          <w:tcPr>
            <w:tcW w:w="1017" w:type="dxa"/>
            <w:shd w:val="clear" w:color="auto" w:fill="auto"/>
            <w:noWrap/>
            <w:vAlign w:val="center"/>
            <w:hideMark/>
          </w:tcPr>
          <w:p w14:paraId="34E1B7D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5AD52F26" w14:textId="77777777" w:rsidTr="00994314">
        <w:trPr>
          <w:trHeight w:val="340"/>
        </w:trPr>
        <w:tc>
          <w:tcPr>
            <w:tcW w:w="5004" w:type="dxa"/>
            <w:shd w:val="clear" w:color="auto" w:fill="auto"/>
            <w:noWrap/>
            <w:vAlign w:val="center"/>
            <w:hideMark/>
          </w:tcPr>
          <w:p w14:paraId="361D363A" w14:textId="77777777" w:rsidR="003E5BF5" w:rsidRPr="00F413C5" w:rsidRDefault="003E5BF5" w:rsidP="00604703">
            <w:pPr>
              <w:pStyle w:val="TableTextGreen"/>
            </w:pPr>
            <w:r w:rsidRPr="00F413C5">
              <w:t>Service concession (non-PPP) related lease liabilities payable</w:t>
            </w:r>
          </w:p>
        </w:tc>
        <w:tc>
          <w:tcPr>
            <w:tcW w:w="1284" w:type="dxa"/>
            <w:shd w:val="clear" w:color="auto" w:fill="auto"/>
            <w:noWrap/>
            <w:vAlign w:val="center"/>
            <w:hideMark/>
          </w:tcPr>
          <w:p w14:paraId="19B6279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w:t>
            </w:r>
          </w:p>
        </w:tc>
        <w:tc>
          <w:tcPr>
            <w:tcW w:w="1017" w:type="dxa"/>
            <w:shd w:val="clear" w:color="auto" w:fill="auto"/>
            <w:noWrap/>
            <w:vAlign w:val="center"/>
            <w:hideMark/>
          </w:tcPr>
          <w:p w14:paraId="7C1886A4" w14:textId="77777777" w:rsidR="003E5BF5" w:rsidRPr="00F413C5" w:rsidRDefault="003E5BF5" w:rsidP="00DE1921">
            <w:pPr>
              <w:jc w:val="right"/>
              <w:rPr>
                <w:rFonts w:ascii="Arial" w:hAnsi="Arial" w:cs="Arial"/>
                <w:sz w:val="24"/>
                <w:szCs w:val="24"/>
              </w:rPr>
            </w:pPr>
          </w:p>
        </w:tc>
        <w:tc>
          <w:tcPr>
            <w:tcW w:w="1124" w:type="dxa"/>
            <w:shd w:val="clear" w:color="auto" w:fill="auto"/>
            <w:noWrap/>
            <w:vAlign w:val="center"/>
            <w:hideMark/>
          </w:tcPr>
          <w:p w14:paraId="53F23EC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w:t>
            </w:r>
          </w:p>
        </w:tc>
        <w:tc>
          <w:tcPr>
            <w:tcW w:w="1017" w:type="dxa"/>
            <w:shd w:val="clear" w:color="auto" w:fill="auto"/>
            <w:noWrap/>
            <w:vAlign w:val="center"/>
            <w:hideMark/>
          </w:tcPr>
          <w:p w14:paraId="0F5F6C94" w14:textId="77777777" w:rsidR="003E5BF5" w:rsidRPr="00F413C5" w:rsidRDefault="003E5BF5" w:rsidP="00DE1921">
            <w:pPr>
              <w:jc w:val="right"/>
              <w:rPr>
                <w:rFonts w:ascii="Arial" w:hAnsi="Arial" w:cs="Arial"/>
                <w:sz w:val="24"/>
                <w:szCs w:val="24"/>
              </w:rPr>
            </w:pPr>
          </w:p>
        </w:tc>
      </w:tr>
      <w:tr w:rsidR="003E5BF5" w:rsidRPr="00F413C5" w14:paraId="2241121C" w14:textId="77777777" w:rsidTr="00994314">
        <w:trPr>
          <w:trHeight w:val="340"/>
        </w:trPr>
        <w:tc>
          <w:tcPr>
            <w:tcW w:w="5004" w:type="dxa"/>
            <w:shd w:val="clear" w:color="auto" w:fill="auto"/>
            <w:noWrap/>
            <w:vAlign w:val="center"/>
            <w:hideMark/>
          </w:tcPr>
          <w:p w14:paraId="3F7EA649" w14:textId="77777777" w:rsidR="003E5BF5" w:rsidRPr="00F413C5" w:rsidRDefault="003E5BF5" w:rsidP="00DE1921">
            <w:pPr>
              <w:rPr>
                <w:rFonts w:ascii="Arial" w:hAnsi="Arial" w:cs="Arial"/>
                <w:sz w:val="24"/>
                <w:szCs w:val="24"/>
              </w:rPr>
            </w:pPr>
            <w:proofErr w:type="spellStart"/>
            <w:r w:rsidRPr="00F413C5">
              <w:rPr>
                <w:rFonts w:ascii="Arial" w:hAnsi="Arial" w:cs="Arial"/>
                <w:sz w:val="24"/>
                <w:szCs w:val="24"/>
              </w:rPr>
              <w:t>Not longer</w:t>
            </w:r>
            <w:proofErr w:type="spellEnd"/>
            <w:r w:rsidRPr="00F413C5">
              <w:rPr>
                <w:rFonts w:ascii="Arial" w:hAnsi="Arial" w:cs="Arial"/>
                <w:sz w:val="24"/>
                <w:szCs w:val="24"/>
              </w:rPr>
              <w:t xml:space="preserve"> than one year</w:t>
            </w:r>
          </w:p>
        </w:tc>
        <w:tc>
          <w:tcPr>
            <w:tcW w:w="1284" w:type="dxa"/>
            <w:shd w:val="clear" w:color="auto" w:fill="auto"/>
            <w:noWrap/>
            <w:vAlign w:val="center"/>
            <w:hideMark/>
          </w:tcPr>
          <w:p w14:paraId="78BE246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23,112 </w:t>
            </w:r>
          </w:p>
        </w:tc>
        <w:tc>
          <w:tcPr>
            <w:tcW w:w="1017" w:type="dxa"/>
            <w:shd w:val="clear" w:color="auto" w:fill="auto"/>
            <w:noWrap/>
            <w:vAlign w:val="center"/>
            <w:hideMark/>
          </w:tcPr>
          <w:p w14:paraId="31881E4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124" w:type="dxa"/>
            <w:shd w:val="clear" w:color="auto" w:fill="auto"/>
            <w:noWrap/>
            <w:vAlign w:val="center"/>
            <w:hideMark/>
          </w:tcPr>
          <w:p w14:paraId="4DFE319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17,051 </w:t>
            </w:r>
          </w:p>
        </w:tc>
        <w:tc>
          <w:tcPr>
            <w:tcW w:w="1017" w:type="dxa"/>
            <w:shd w:val="clear" w:color="auto" w:fill="auto"/>
            <w:noWrap/>
            <w:vAlign w:val="center"/>
            <w:hideMark/>
          </w:tcPr>
          <w:p w14:paraId="2BC0E5E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4E027C5B" w14:textId="77777777" w:rsidTr="00994314">
        <w:trPr>
          <w:trHeight w:val="340"/>
        </w:trPr>
        <w:tc>
          <w:tcPr>
            <w:tcW w:w="5004" w:type="dxa"/>
            <w:shd w:val="clear" w:color="auto" w:fill="auto"/>
            <w:vAlign w:val="center"/>
            <w:hideMark/>
          </w:tcPr>
          <w:p w14:paraId="35607651" w14:textId="77777777" w:rsidR="003E5BF5" w:rsidRPr="00F413C5" w:rsidRDefault="003E5BF5" w:rsidP="00DE1921">
            <w:pPr>
              <w:rPr>
                <w:rFonts w:ascii="Arial" w:hAnsi="Arial" w:cs="Arial"/>
                <w:sz w:val="24"/>
                <w:szCs w:val="24"/>
              </w:rPr>
            </w:pPr>
            <w:r w:rsidRPr="00F413C5">
              <w:rPr>
                <w:rFonts w:ascii="Arial" w:hAnsi="Arial" w:cs="Arial"/>
                <w:sz w:val="24"/>
                <w:szCs w:val="24"/>
              </w:rPr>
              <w:t>Longer than one year and not longer than five years</w:t>
            </w:r>
          </w:p>
        </w:tc>
        <w:tc>
          <w:tcPr>
            <w:tcW w:w="1284" w:type="dxa"/>
            <w:shd w:val="clear" w:color="auto" w:fill="auto"/>
            <w:noWrap/>
            <w:vAlign w:val="center"/>
            <w:hideMark/>
          </w:tcPr>
          <w:p w14:paraId="50A7D97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73,337 </w:t>
            </w:r>
          </w:p>
        </w:tc>
        <w:tc>
          <w:tcPr>
            <w:tcW w:w="1017" w:type="dxa"/>
            <w:shd w:val="clear" w:color="auto" w:fill="auto"/>
            <w:noWrap/>
            <w:vAlign w:val="center"/>
            <w:hideMark/>
          </w:tcPr>
          <w:p w14:paraId="524E947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124" w:type="dxa"/>
            <w:shd w:val="clear" w:color="auto" w:fill="auto"/>
            <w:noWrap/>
            <w:vAlign w:val="center"/>
            <w:hideMark/>
          </w:tcPr>
          <w:p w14:paraId="2BA2FBE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58,601 </w:t>
            </w:r>
          </w:p>
        </w:tc>
        <w:tc>
          <w:tcPr>
            <w:tcW w:w="1017" w:type="dxa"/>
            <w:shd w:val="clear" w:color="auto" w:fill="auto"/>
            <w:noWrap/>
            <w:vAlign w:val="center"/>
            <w:hideMark/>
          </w:tcPr>
          <w:p w14:paraId="26A61F1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662D6DBA" w14:textId="77777777" w:rsidTr="00994314">
        <w:trPr>
          <w:trHeight w:val="340"/>
        </w:trPr>
        <w:tc>
          <w:tcPr>
            <w:tcW w:w="5004" w:type="dxa"/>
            <w:shd w:val="clear" w:color="auto" w:fill="auto"/>
            <w:noWrap/>
            <w:vAlign w:val="center"/>
            <w:hideMark/>
          </w:tcPr>
          <w:p w14:paraId="50699D34" w14:textId="77777777" w:rsidR="003E5BF5" w:rsidRPr="00F413C5" w:rsidRDefault="003E5BF5" w:rsidP="00DE1921">
            <w:pPr>
              <w:rPr>
                <w:rFonts w:ascii="Arial" w:hAnsi="Arial" w:cs="Arial"/>
                <w:sz w:val="24"/>
                <w:szCs w:val="24"/>
              </w:rPr>
            </w:pPr>
            <w:r w:rsidRPr="00F413C5">
              <w:rPr>
                <w:rFonts w:ascii="Arial" w:hAnsi="Arial" w:cs="Arial"/>
                <w:sz w:val="24"/>
                <w:szCs w:val="24"/>
              </w:rPr>
              <w:t>Longer than five years</w:t>
            </w:r>
          </w:p>
        </w:tc>
        <w:tc>
          <w:tcPr>
            <w:tcW w:w="1284" w:type="dxa"/>
            <w:shd w:val="clear" w:color="auto" w:fill="auto"/>
            <w:noWrap/>
            <w:vAlign w:val="center"/>
            <w:hideMark/>
          </w:tcPr>
          <w:p w14:paraId="7EC0AE2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55,726 </w:t>
            </w:r>
          </w:p>
        </w:tc>
        <w:tc>
          <w:tcPr>
            <w:tcW w:w="1017" w:type="dxa"/>
            <w:shd w:val="clear" w:color="auto" w:fill="auto"/>
            <w:noWrap/>
            <w:vAlign w:val="center"/>
            <w:hideMark/>
          </w:tcPr>
          <w:p w14:paraId="40E6EFD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124" w:type="dxa"/>
            <w:shd w:val="clear" w:color="auto" w:fill="auto"/>
            <w:noWrap/>
            <w:vAlign w:val="center"/>
            <w:hideMark/>
          </w:tcPr>
          <w:p w14:paraId="768B7F0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49,743 </w:t>
            </w:r>
          </w:p>
        </w:tc>
        <w:tc>
          <w:tcPr>
            <w:tcW w:w="1017" w:type="dxa"/>
            <w:shd w:val="clear" w:color="auto" w:fill="auto"/>
            <w:noWrap/>
            <w:vAlign w:val="center"/>
            <w:hideMark/>
          </w:tcPr>
          <w:p w14:paraId="6095997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7744F415" w14:textId="77777777" w:rsidTr="00994314">
        <w:trPr>
          <w:trHeight w:val="340"/>
        </w:trPr>
        <w:tc>
          <w:tcPr>
            <w:tcW w:w="5004" w:type="dxa"/>
            <w:shd w:val="clear" w:color="auto" w:fill="auto"/>
            <w:noWrap/>
            <w:vAlign w:val="center"/>
            <w:hideMark/>
          </w:tcPr>
          <w:p w14:paraId="77D7704D" w14:textId="77777777" w:rsidR="003E5BF5" w:rsidRPr="00F413C5" w:rsidRDefault="003E5BF5" w:rsidP="00604703">
            <w:pPr>
              <w:pStyle w:val="TableTextGreen"/>
            </w:pPr>
            <w:r w:rsidRPr="00F413C5">
              <w:t>Lease liabilities payable</w:t>
            </w:r>
          </w:p>
        </w:tc>
        <w:tc>
          <w:tcPr>
            <w:tcW w:w="1284" w:type="dxa"/>
            <w:shd w:val="clear" w:color="auto" w:fill="auto"/>
            <w:noWrap/>
            <w:vAlign w:val="center"/>
            <w:hideMark/>
          </w:tcPr>
          <w:p w14:paraId="1EFC4438"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w:t>
            </w:r>
          </w:p>
        </w:tc>
        <w:tc>
          <w:tcPr>
            <w:tcW w:w="1017" w:type="dxa"/>
            <w:shd w:val="clear" w:color="auto" w:fill="auto"/>
            <w:noWrap/>
            <w:vAlign w:val="center"/>
            <w:hideMark/>
          </w:tcPr>
          <w:p w14:paraId="4ED1D0C4" w14:textId="77777777" w:rsidR="003E5BF5" w:rsidRPr="00F413C5" w:rsidRDefault="003E5BF5" w:rsidP="00DE1921">
            <w:pPr>
              <w:jc w:val="right"/>
              <w:rPr>
                <w:rFonts w:ascii="Arial" w:hAnsi="Arial" w:cs="Arial"/>
                <w:b/>
                <w:sz w:val="24"/>
                <w:szCs w:val="24"/>
              </w:rPr>
            </w:pPr>
          </w:p>
        </w:tc>
        <w:tc>
          <w:tcPr>
            <w:tcW w:w="1124" w:type="dxa"/>
            <w:shd w:val="clear" w:color="auto" w:fill="auto"/>
            <w:noWrap/>
            <w:vAlign w:val="center"/>
            <w:hideMark/>
          </w:tcPr>
          <w:p w14:paraId="6242C06C"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w:t>
            </w:r>
          </w:p>
        </w:tc>
        <w:tc>
          <w:tcPr>
            <w:tcW w:w="1017" w:type="dxa"/>
            <w:shd w:val="clear" w:color="auto" w:fill="auto"/>
            <w:noWrap/>
            <w:vAlign w:val="center"/>
            <w:hideMark/>
          </w:tcPr>
          <w:p w14:paraId="35DCEB8B" w14:textId="77777777" w:rsidR="003E5BF5" w:rsidRPr="00F413C5" w:rsidRDefault="003E5BF5" w:rsidP="00DE1921">
            <w:pPr>
              <w:jc w:val="right"/>
              <w:rPr>
                <w:rFonts w:ascii="Arial" w:hAnsi="Arial" w:cs="Arial"/>
                <w:b/>
                <w:sz w:val="24"/>
                <w:szCs w:val="24"/>
              </w:rPr>
            </w:pPr>
          </w:p>
        </w:tc>
      </w:tr>
      <w:tr w:rsidR="003E5BF5" w:rsidRPr="00F413C5" w14:paraId="626518F6" w14:textId="77777777" w:rsidTr="00994314">
        <w:trPr>
          <w:trHeight w:val="340"/>
        </w:trPr>
        <w:tc>
          <w:tcPr>
            <w:tcW w:w="5004" w:type="dxa"/>
            <w:shd w:val="clear" w:color="auto" w:fill="auto"/>
            <w:noWrap/>
            <w:vAlign w:val="center"/>
            <w:hideMark/>
          </w:tcPr>
          <w:p w14:paraId="2B54B980" w14:textId="77777777" w:rsidR="003E5BF5" w:rsidRPr="00F413C5" w:rsidRDefault="003E5BF5" w:rsidP="00DE1921">
            <w:pPr>
              <w:rPr>
                <w:rFonts w:ascii="Arial" w:hAnsi="Arial" w:cs="Arial"/>
                <w:sz w:val="24"/>
                <w:szCs w:val="24"/>
              </w:rPr>
            </w:pPr>
            <w:proofErr w:type="spellStart"/>
            <w:r w:rsidRPr="00F413C5">
              <w:rPr>
                <w:rFonts w:ascii="Arial" w:hAnsi="Arial" w:cs="Arial"/>
                <w:sz w:val="24"/>
                <w:szCs w:val="24"/>
              </w:rPr>
              <w:t>Not longer</w:t>
            </w:r>
            <w:proofErr w:type="spellEnd"/>
            <w:r w:rsidRPr="00F413C5">
              <w:rPr>
                <w:rFonts w:ascii="Arial" w:hAnsi="Arial" w:cs="Arial"/>
                <w:sz w:val="24"/>
                <w:szCs w:val="24"/>
              </w:rPr>
              <w:t xml:space="preserve"> than one year</w:t>
            </w:r>
          </w:p>
        </w:tc>
        <w:tc>
          <w:tcPr>
            <w:tcW w:w="1284" w:type="dxa"/>
            <w:shd w:val="clear" w:color="auto" w:fill="auto"/>
            <w:noWrap/>
            <w:vAlign w:val="center"/>
            <w:hideMark/>
          </w:tcPr>
          <w:p w14:paraId="6C5D1E5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37,935 </w:t>
            </w:r>
          </w:p>
        </w:tc>
        <w:tc>
          <w:tcPr>
            <w:tcW w:w="1017" w:type="dxa"/>
            <w:shd w:val="clear" w:color="auto" w:fill="auto"/>
            <w:noWrap/>
            <w:vAlign w:val="center"/>
            <w:hideMark/>
          </w:tcPr>
          <w:p w14:paraId="4B60F9D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1,374 </w:t>
            </w:r>
          </w:p>
        </w:tc>
        <w:tc>
          <w:tcPr>
            <w:tcW w:w="1124" w:type="dxa"/>
            <w:shd w:val="clear" w:color="auto" w:fill="auto"/>
            <w:noWrap/>
            <w:vAlign w:val="center"/>
            <w:hideMark/>
          </w:tcPr>
          <w:p w14:paraId="625CB272"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28,441 </w:t>
            </w:r>
          </w:p>
        </w:tc>
        <w:tc>
          <w:tcPr>
            <w:tcW w:w="1017" w:type="dxa"/>
            <w:shd w:val="clear" w:color="auto" w:fill="auto"/>
            <w:noWrap/>
            <w:vAlign w:val="center"/>
            <w:hideMark/>
          </w:tcPr>
          <w:p w14:paraId="1936B25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1,283 </w:t>
            </w:r>
          </w:p>
        </w:tc>
      </w:tr>
      <w:tr w:rsidR="003E5BF5" w:rsidRPr="00F413C5" w14:paraId="07B917FB" w14:textId="77777777" w:rsidTr="00994314">
        <w:trPr>
          <w:trHeight w:val="340"/>
        </w:trPr>
        <w:tc>
          <w:tcPr>
            <w:tcW w:w="5004" w:type="dxa"/>
            <w:shd w:val="clear" w:color="auto" w:fill="auto"/>
            <w:vAlign w:val="center"/>
            <w:hideMark/>
          </w:tcPr>
          <w:p w14:paraId="5B7B6F48" w14:textId="77777777" w:rsidR="003E5BF5" w:rsidRPr="00F413C5" w:rsidRDefault="003E5BF5" w:rsidP="00DE1921">
            <w:pPr>
              <w:rPr>
                <w:rFonts w:ascii="Arial" w:hAnsi="Arial" w:cs="Arial"/>
                <w:sz w:val="24"/>
                <w:szCs w:val="24"/>
              </w:rPr>
            </w:pPr>
            <w:r w:rsidRPr="00F413C5">
              <w:rPr>
                <w:rFonts w:ascii="Arial" w:hAnsi="Arial" w:cs="Arial"/>
                <w:sz w:val="24"/>
                <w:szCs w:val="24"/>
              </w:rPr>
              <w:t>Longer than one year and not longer than five years</w:t>
            </w:r>
          </w:p>
        </w:tc>
        <w:tc>
          <w:tcPr>
            <w:tcW w:w="1284" w:type="dxa"/>
            <w:shd w:val="clear" w:color="auto" w:fill="auto"/>
            <w:noWrap/>
            <w:vAlign w:val="center"/>
            <w:hideMark/>
          </w:tcPr>
          <w:p w14:paraId="2968F5C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189,554 </w:t>
            </w:r>
          </w:p>
        </w:tc>
        <w:tc>
          <w:tcPr>
            <w:tcW w:w="1017" w:type="dxa"/>
            <w:shd w:val="clear" w:color="auto" w:fill="auto"/>
            <w:noWrap/>
            <w:vAlign w:val="center"/>
            <w:hideMark/>
          </w:tcPr>
          <w:p w14:paraId="3AAA686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2,376 </w:t>
            </w:r>
          </w:p>
        </w:tc>
        <w:tc>
          <w:tcPr>
            <w:tcW w:w="1124" w:type="dxa"/>
            <w:shd w:val="clear" w:color="auto" w:fill="auto"/>
            <w:noWrap/>
            <w:vAlign w:val="center"/>
            <w:hideMark/>
          </w:tcPr>
          <w:p w14:paraId="36731FD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171,276 </w:t>
            </w:r>
          </w:p>
        </w:tc>
        <w:tc>
          <w:tcPr>
            <w:tcW w:w="1017" w:type="dxa"/>
            <w:shd w:val="clear" w:color="auto" w:fill="auto"/>
            <w:noWrap/>
            <w:vAlign w:val="center"/>
            <w:hideMark/>
          </w:tcPr>
          <w:p w14:paraId="7999435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2,299 </w:t>
            </w:r>
          </w:p>
        </w:tc>
      </w:tr>
      <w:tr w:rsidR="003E5BF5" w:rsidRPr="00F413C5" w14:paraId="40BD593C" w14:textId="77777777" w:rsidTr="00994314">
        <w:trPr>
          <w:trHeight w:val="340"/>
        </w:trPr>
        <w:tc>
          <w:tcPr>
            <w:tcW w:w="5004" w:type="dxa"/>
            <w:shd w:val="clear" w:color="auto" w:fill="auto"/>
            <w:noWrap/>
            <w:vAlign w:val="center"/>
            <w:hideMark/>
          </w:tcPr>
          <w:p w14:paraId="62D9B4A6" w14:textId="77777777" w:rsidR="003E5BF5" w:rsidRPr="00F413C5" w:rsidRDefault="003E5BF5" w:rsidP="00DE1921">
            <w:pPr>
              <w:rPr>
                <w:rFonts w:ascii="Arial" w:hAnsi="Arial" w:cs="Arial"/>
                <w:sz w:val="24"/>
                <w:szCs w:val="24"/>
              </w:rPr>
            </w:pPr>
            <w:r w:rsidRPr="00F413C5">
              <w:rPr>
                <w:rFonts w:ascii="Arial" w:hAnsi="Arial" w:cs="Arial"/>
                <w:sz w:val="24"/>
                <w:szCs w:val="24"/>
              </w:rPr>
              <w:t>Longer than five years</w:t>
            </w:r>
          </w:p>
        </w:tc>
        <w:tc>
          <w:tcPr>
            <w:tcW w:w="1284" w:type="dxa"/>
            <w:shd w:val="clear" w:color="auto" w:fill="auto"/>
            <w:noWrap/>
            <w:vAlign w:val="center"/>
            <w:hideMark/>
          </w:tcPr>
          <w:p w14:paraId="54F4348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33,403 </w:t>
            </w:r>
          </w:p>
        </w:tc>
        <w:tc>
          <w:tcPr>
            <w:tcW w:w="1017" w:type="dxa"/>
            <w:shd w:val="clear" w:color="auto" w:fill="auto"/>
            <w:noWrap/>
            <w:vAlign w:val="center"/>
            <w:hideMark/>
          </w:tcPr>
          <w:p w14:paraId="3790BC72"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124" w:type="dxa"/>
            <w:shd w:val="clear" w:color="auto" w:fill="auto"/>
            <w:noWrap/>
            <w:vAlign w:val="center"/>
            <w:hideMark/>
          </w:tcPr>
          <w:p w14:paraId="469A363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30,328 </w:t>
            </w:r>
          </w:p>
        </w:tc>
        <w:tc>
          <w:tcPr>
            <w:tcW w:w="1017" w:type="dxa"/>
            <w:shd w:val="clear" w:color="auto" w:fill="auto"/>
            <w:noWrap/>
            <w:vAlign w:val="center"/>
            <w:hideMark/>
          </w:tcPr>
          <w:p w14:paraId="251F66F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0F51BBDA" w14:textId="77777777" w:rsidTr="00994314">
        <w:trPr>
          <w:trHeight w:val="340"/>
        </w:trPr>
        <w:tc>
          <w:tcPr>
            <w:tcW w:w="5004" w:type="dxa"/>
            <w:shd w:val="clear" w:color="auto" w:fill="auto"/>
            <w:noWrap/>
            <w:vAlign w:val="center"/>
            <w:hideMark/>
          </w:tcPr>
          <w:p w14:paraId="3B152E49" w14:textId="77777777" w:rsidR="003E5BF5" w:rsidRPr="00F413C5" w:rsidRDefault="003E5BF5" w:rsidP="00DE1921">
            <w:pPr>
              <w:rPr>
                <w:rFonts w:ascii="Arial" w:hAnsi="Arial" w:cs="Arial"/>
                <w:b/>
                <w:sz w:val="24"/>
                <w:szCs w:val="24"/>
              </w:rPr>
            </w:pPr>
            <w:r w:rsidRPr="00F413C5">
              <w:rPr>
                <w:rFonts w:ascii="Arial" w:hAnsi="Arial" w:cs="Arial"/>
                <w:b/>
                <w:sz w:val="24"/>
                <w:szCs w:val="24"/>
              </w:rPr>
              <w:t>Minimum lease payments</w:t>
            </w:r>
          </w:p>
        </w:tc>
        <w:tc>
          <w:tcPr>
            <w:tcW w:w="1284" w:type="dxa"/>
            <w:shd w:val="clear" w:color="auto" w:fill="auto"/>
            <w:noWrap/>
            <w:vAlign w:val="center"/>
            <w:hideMark/>
          </w:tcPr>
          <w:p w14:paraId="369D780B"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2,574,930 </w:t>
            </w:r>
          </w:p>
        </w:tc>
        <w:tc>
          <w:tcPr>
            <w:tcW w:w="1017" w:type="dxa"/>
            <w:shd w:val="clear" w:color="auto" w:fill="auto"/>
            <w:noWrap/>
            <w:vAlign w:val="center"/>
            <w:hideMark/>
          </w:tcPr>
          <w:p w14:paraId="52130973"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3,750 </w:t>
            </w:r>
          </w:p>
        </w:tc>
        <w:tc>
          <w:tcPr>
            <w:tcW w:w="1124" w:type="dxa"/>
            <w:shd w:val="clear" w:color="auto" w:fill="auto"/>
            <w:noWrap/>
            <w:vAlign w:val="center"/>
            <w:hideMark/>
          </w:tcPr>
          <w:p w14:paraId="3F5E573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1,391,686 </w:t>
            </w:r>
          </w:p>
        </w:tc>
        <w:tc>
          <w:tcPr>
            <w:tcW w:w="1017" w:type="dxa"/>
            <w:shd w:val="clear" w:color="auto" w:fill="auto"/>
            <w:noWrap/>
            <w:vAlign w:val="center"/>
            <w:hideMark/>
          </w:tcPr>
          <w:p w14:paraId="2145D6E4"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3,582 </w:t>
            </w:r>
          </w:p>
        </w:tc>
      </w:tr>
      <w:tr w:rsidR="003E5BF5" w:rsidRPr="00F413C5" w14:paraId="3F70ACE4" w14:textId="77777777" w:rsidTr="00994314">
        <w:trPr>
          <w:trHeight w:val="340"/>
        </w:trPr>
        <w:tc>
          <w:tcPr>
            <w:tcW w:w="5004" w:type="dxa"/>
            <w:shd w:val="clear" w:color="auto" w:fill="auto"/>
            <w:noWrap/>
            <w:vAlign w:val="center"/>
            <w:hideMark/>
          </w:tcPr>
          <w:p w14:paraId="4DA05790" w14:textId="77777777" w:rsidR="003E5BF5" w:rsidRPr="00F413C5" w:rsidRDefault="003E5BF5" w:rsidP="00DE1921">
            <w:pPr>
              <w:rPr>
                <w:rFonts w:ascii="Arial" w:hAnsi="Arial" w:cs="Arial"/>
                <w:sz w:val="24"/>
                <w:szCs w:val="24"/>
              </w:rPr>
            </w:pPr>
            <w:r w:rsidRPr="00F413C5">
              <w:rPr>
                <w:rFonts w:ascii="Arial" w:hAnsi="Arial" w:cs="Arial"/>
                <w:sz w:val="24"/>
                <w:szCs w:val="24"/>
              </w:rPr>
              <w:t>Less future finance charges</w:t>
            </w:r>
          </w:p>
        </w:tc>
        <w:tc>
          <w:tcPr>
            <w:tcW w:w="1284" w:type="dxa"/>
            <w:shd w:val="clear" w:color="auto" w:fill="auto"/>
            <w:noWrap/>
            <w:vAlign w:val="center"/>
            <w:hideMark/>
          </w:tcPr>
          <w:p w14:paraId="1B4C001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(1,183,244)</w:t>
            </w:r>
          </w:p>
        </w:tc>
        <w:tc>
          <w:tcPr>
            <w:tcW w:w="1017" w:type="dxa"/>
            <w:shd w:val="clear" w:color="auto" w:fill="auto"/>
            <w:noWrap/>
            <w:vAlign w:val="center"/>
            <w:hideMark/>
          </w:tcPr>
          <w:p w14:paraId="4DAC1E7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(168)</w:t>
            </w:r>
          </w:p>
        </w:tc>
        <w:tc>
          <w:tcPr>
            <w:tcW w:w="1124" w:type="dxa"/>
            <w:shd w:val="clear" w:color="auto" w:fill="auto"/>
            <w:noWrap/>
            <w:vAlign w:val="center"/>
            <w:hideMark/>
          </w:tcPr>
          <w:p w14:paraId="5F1A7AB9"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 - </w:t>
            </w:r>
          </w:p>
        </w:tc>
        <w:tc>
          <w:tcPr>
            <w:tcW w:w="1017" w:type="dxa"/>
            <w:shd w:val="clear" w:color="auto" w:fill="auto"/>
            <w:noWrap/>
            <w:vAlign w:val="center"/>
            <w:hideMark/>
          </w:tcPr>
          <w:p w14:paraId="15E2F8D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0465FF18" w14:textId="77777777" w:rsidTr="00994314">
        <w:trPr>
          <w:trHeight w:val="340"/>
        </w:trPr>
        <w:tc>
          <w:tcPr>
            <w:tcW w:w="5004" w:type="dxa"/>
            <w:shd w:val="clear" w:color="auto" w:fill="auto"/>
            <w:noWrap/>
            <w:vAlign w:val="center"/>
            <w:hideMark/>
          </w:tcPr>
          <w:p w14:paraId="60A5726E" w14:textId="77777777" w:rsidR="003E5BF5" w:rsidRPr="00F413C5" w:rsidRDefault="003E5BF5" w:rsidP="00DE1921">
            <w:pPr>
              <w:rPr>
                <w:rFonts w:ascii="Arial" w:hAnsi="Arial" w:cs="Arial"/>
                <w:b/>
                <w:sz w:val="24"/>
                <w:szCs w:val="24"/>
              </w:rPr>
            </w:pPr>
            <w:r w:rsidRPr="00F413C5">
              <w:rPr>
                <w:rFonts w:ascii="Arial" w:hAnsi="Arial" w:cs="Arial"/>
                <w:b/>
                <w:sz w:val="24"/>
                <w:szCs w:val="24"/>
              </w:rPr>
              <w:t>Present value of minimum lease payments</w:t>
            </w:r>
          </w:p>
        </w:tc>
        <w:tc>
          <w:tcPr>
            <w:tcW w:w="1284" w:type="dxa"/>
            <w:shd w:val="clear" w:color="auto" w:fill="auto"/>
            <w:noWrap/>
            <w:vAlign w:val="center"/>
            <w:hideMark/>
          </w:tcPr>
          <w:p w14:paraId="4623CA5D"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1,391,686 </w:t>
            </w:r>
          </w:p>
        </w:tc>
        <w:tc>
          <w:tcPr>
            <w:tcW w:w="1017" w:type="dxa"/>
            <w:shd w:val="clear" w:color="auto" w:fill="auto"/>
            <w:noWrap/>
            <w:vAlign w:val="center"/>
            <w:hideMark/>
          </w:tcPr>
          <w:p w14:paraId="66173AE8"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3,582 </w:t>
            </w:r>
          </w:p>
        </w:tc>
        <w:tc>
          <w:tcPr>
            <w:tcW w:w="1124" w:type="dxa"/>
            <w:shd w:val="clear" w:color="auto" w:fill="auto"/>
            <w:noWrap/>
            <w:vAlign w:val="center"/>
            <w:hideMark/>
          </w:tcPr>
          <w:p w14:paraId="243BD06B"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1,391,686 </w:t>
            </w:r>
          </w:p>
        </w:tc>
        <w:tc>
          <w:tcPr>
            <w:tcW w:w="1017" w:type="dxa"/>
            <w:shd w:val="clear" w:color="auto" w:fill="auto"/>
            <w:noWrap/>
            <w:vAlign w:val="center"/>
            <w:hideMark/>
          </w:tcPr>
          <w:p w14:paraId="25B74F32"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3,582 </w:t>
            </w:r>
          </w:p>
        </w:tc>
      </w:tr>
      <w:tr w:rsidR="003E5BF5" w:rsidRPr="00F413C5" w14:paraId="145C92CA" w14:textId="77777777" w:rsidTr="00994314">
        <w:trPr>
          <w:trHeight w:val="340"/>
        </w:trPr>
        <w:tc>
          <w:tcPr>
            <w:tcW w:w="5004" w:type="dxa"/>
            <w:shd w:val="clear" w:color="auto" w:fill="auto"/>
            <w:noWrap/>
            <w:vAlign w:val="center"/>
            <w:hideMark/>
          </w:tcPr>
          <w:p w14:paraId="57F7EB99" w14:textId="77777777" w:rsidR="003E5BF5" w:rsidRPr="00F413C5" w:rsidRDefault="003E5BF5" w:rsidP="00604703">
            <w:pPr>
              <w:pStyle w:val="TableTextGreen"/>
            </w:pPr>
            <w:r w:rsidRPr="00F413C5">
              <w:t>Included in the financial statements as:</w:t>
            </w:r>
          </w:p>
        </w:tc>
        <w:tc>
          <w:tcPr>
            <w:tcW w:w="1284" w:type="dxa"/>
            <w:shd w:val="clear" w:color="auto" w:fill="auto"/>
            <w:noWrap/>
            <w:vAlign w:val="center"/>
            <w:hideMark/>
          </w:tcPr>
          <w:p w14:paraId="5D16290B" w14:textId="77777777" w:rsidR="003E5BF5" w:rsidRPr="00F413C5" w:rsidRDefault="003E5BF5" w:rsidP="00DE1921">
            <w:pPr>
              <w:jc w:val="right"/>
              <w:rPr>
                <w:rFonts w:ascii="Arial" w:hAnsi="Arial" w:cs="Arial"/>
                <w:b/>
                <w:sz w:val="24"/>
                <w:szCs w:val="24"/>
              </w:rPr>
            </w:pPr>
          </w:p>
        </w:tc>
        <w:tc>
          <w:tcPr>
            <w:tcW w:w="1017" w:type="dxa"/>
            <w:shd w:val="clear" w:color="auto" w:fill="auto"/>
            <w:noWrap/>
            <w:vAlign w:val="center"/>
            <w:hideMark/>
          </w:tcPr>
          <w:p w14:paraId="36316A61" w14:textId="77777777" w:rsidR="003E5BF5" w:rsidRPr="00F413C5" w:rsidRDefault="003E5BF5" w:rsidP="00DE1921">
            <w:pPr>
              <w:jc w:val="right"/>
              <w:rPr>
                <w:rFonts w:ascii="Arial" w:hAnsi="Arial" w:cs="Arial"/>
                <w:sz w:val="24"/>
                <w:szCs w:val="24"/>
              </w:rPr>
            </w:pPr>
          </w:p>
        </w:tc>
        <w:tc>
          <w:tcPr>
            <w:tcW w:w="1124" w:type="dxa"/>
            <w:shd w:val="clear" w:color="auto" w:fill="auto"/>
            <w:noWrap/>
            <w:vAlign w:val="center"/>
            <w:hideMark/>
          </w:tcPr>
          <w:p w14:paraId="20CAEDD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w:t>
            </w:r>
          </w:p>
        </w:tc>
        <w:tc>
          <w:tcPr>
            <w:tcW w:w="1017" w:type="dxa"/>
            <w:shd w:val="clear" w:color="auto" w:fill="auto"/>
            <w:noWrap/>
            <w:vAlign w:val="center"/>
            <w:hideMark/>
          </w:tcPr>
          <w:p w14:paraId="241352CF" w14:textId="77777777" w:rsidR="003E5BF5" w:rsidRPr="00F413C5" w:rsidRDefault="003E5BF5" w:rsidP="00DE1921">
            <w:pPr>
              <w:jc w:val="right"/>
              <w:rPr>
                <w:rFonts w:ascii="Arial" w:hAnsi="Arial" w:cs="Arial"/>
                <w:sz w:val="24"/>
                <w:szCs w:val="24"/>
              </w:rPr>
            </w:pPr>
          </w:p>
        </w:tc>
      </w:tr>
      <w:tr w:rsidR="003E5BF5" w:rsidRPr="00F413C5" w14:paraId="7156BC6C" w14:textId="77777777" w:rsidTr="00994314">
        <w:trPr>
          <w:trHeight w:val="340"/>
        </w:trPr>
        <w:tc>
          <w:tcPr>
            <w:tcW w:w="5004" w:type="dxa"/>
            <w:shd w:val="clear" w:color="auto" w:fill="auto"/>
            <w:noWrap/>
            <w:vAlign w:val="center"/>
            <w:hideMark/>
          </w:tcPr>
          <w:p w14:paraId="3E77FCB7" w14:textId="77777777" w:rsidR="003E5BF5" w:rsidRPr="00F413C5" w:rsidRDefault="003E5BF5" w:rsidP="00DE1921">
            <w:pPr>
              <w:rPr>
                <w:rFonts w:ascii="Arial" w:hAnsi="Arial" w:cs="Arial"/>
                <w:sz w:val="24"/>
                <w:szCs w:val="24"/>
              </w:rPr>
            </w:pPr>
            <w:r w:rsidRPr="00F413C5">
              <w:rPr>
                <w:rFonts w:ascii="Arial" w:hAnsi="Arial" w:cs="Arial"/>
                <w:sz w:val="24"/>
                <w:szCs w:val="24"/>
              </w:rPr>
              <w:t>Current borrowings lease liabilities</w:t>
            </w:r>
          </w:p>
        </w:tc>
        <w:tc>
          <w:tcPr>
            <w:tcW w:w="1284" w:type="dxa"/>
            <w:shd w:val="clear" w:color="auto" w:fill="auto"/>
            <w:noWrap/>
            <w:vAlign w:val="center"/>
            <w:hideMark/>
          </w:tcPr>
          <w:p w14:paraId="1C26CE33" w14:textId="77777777" w:rsidR="003E5BF5" w:rsidRPr="00F413C5" w:rsidRDefault="003E5BF5" w:rsidP="00DE1921">
            <w:pPr>
              <w:jc w:val="right"/>
              <w:rPr>
                <w:rFonts w:ascii="Arial" w:hAnsi="Arial" w:cs="Arial"/>
                <w:sz w:val="24"/>
                <w:szCs w:val="24"/>
              </w:rPr>
            </w:pPr>
          </w:p>
        </w:tc>
        <w:tc>
          <w:tcPr>
            <w:tcW w:w="1017" w:type="dxa"/>
            <w:shd w:val="clear" w:color="auto" w:fill="auto"/>
            <w:noWrap/>
            <w:vAlign w:val="center"/>
            <w:hideMark/>
          </w:tcPr>
          <w:p w14:paraId="17C14C94" w14:textId="77777777" w:rsidR="003E5BF5" w:rsidRPr="00F413C5" w:rsidRDefault="003E5BF5" w:rsidP="00DE1921">
            <w:pPr>
              <w:jc w:val="right"/>
              <w:rPr>
                <w:rFonts w:ascii="Arial" w:hAnsi="Arial" w:cs="Arial"/>
                <w:sz w:val="24"/>
                <w:szCs w:val="24"/>
              </w:rPr>
            </w:pPr>
          </w:p>
        </w:tc>
        <w:tc>
          <w:tcPr>
            <w:tcW w:w="1124" w:type="dxa"/>
            <w:shd w:val="clear" w:color="auto" w:fill="auto"/>
            <w:noWrap/>
            <w:vAlign w:val="center"/>
            <w:hideMark/>
          </w:tcPr>
          <w:p w14:paraId="6DA3794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74,800 </w:t>
            </w:r>
          </w:p>
        </w:tc>
        <w:tc>
          <w:tcPr>
            <w:tcW w:w="1017" w:type="dxa"/>
            <w:shd w:val="clear" w:color="auto" w:fill="auto"/>
            <w:noWrap/>
            <w:vAlign w:val="center"/>
            <w:hideMark/>
          </w:tcPr>
          <w:p w14:paraId="33702C0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1,283 </w:t>
            </w:r>
          </w:p>
        </w:tc>
      </w:tr>
      <w:tr w:rsidR="003E5BF5" w:rsidRPr="00F413C5" w14:paraId="4FF00549" w14:textId="77777777" w:rsidTr="00994314">
        <w:trPr>
          <w:trHeight w:val="340"/>
        </w:trPr>
        <w:tc>
          <w:tcPr>
            <w:tcW w:w="5004" w:type="dxa"/>
            <w:tcBorders>
              <w:bottom w:val="single" w:sz="4" w:space="0" w:color="auto"/>
            </w:tcBorders>
            <w:shd w:val="clear" w:color="auto" w:fill="auto"/>
            <w:noWrap/>
            <w:vAlign w:val="center"/>
            <w:hideMark/>
          </w:tcPr>
          <w:p w14:paraId="278762F0" w14:textId="77777777" w:rsidR="003E5BF5" w:rsidRPr="00F413C5" w:rsidRDefault="003E5BF5" w:rsidP="00DE1921">
            <w:pPr>
              <w:rPr>
                <w:rFonts w:ascii="Arial" w:hAnsi="Arial" w:cs="Arial"/>
                <w:sz w:val="24"/>
                <w:szCs w:val="24"/>
              </w:rPr>
            </w:pPr>
            <w:r w:rsidRPr="00F413C5">
              <w:rPr>
                <w:rFonts w:ascii="Arial" w:hAnsi="Arial" w:cs="Arial"/>
                <w:sz w:val="24"/>
                <w:szCs w:val="24"/>
              </w:rPr>
              <w:t>Non-current borrowings lease liabilities</w:t>
            </w:r>
          </w:p>
        </w:tc>
        <w:tc>
          <w:tcPr>
            <w:tcW w:w="1284" w:type="dxa"/>
            <w:tcBorders>
              <w:bottom w:val="single" w:sz="4" w:space="0" w:color="auto"/>
            </w:tcBorders>
            <w:shd w:val="clear" w:color="auto" w:fill="auto"/>
            <w:noWrap/>
            <w:vAlign w:val="center"/>
            <w:hideMark/>
          </w:tcPr>
          <w:p w14:paraId="0FEB53A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w:t>
            </w:r>
          </w:p>
        </w:tc>
        <w:tc>
          <w:tcPr>
            <w:tcW w:w="1017" w:type="dxa"/>
            <w:tcBorders>
              <w:bottom w:val="single" w:sz="4" w:space="0" w:color="auto"/>
            </w:tcBorders>
            <w:shd w:val="clear" w:color="auto" w:fill="auto"/>
            <w:noWrap/>
            <w:vAlign w:val="center"/>
            <w:hideMark/>
          </w:tcPr>
          <w:p w14:paraId="51F4E59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w:t>
            </w:r>
          </w:p>
        </w:tc>
        <w:tc>
          <w:tcPr>
            <w:tcW w:w="1124" w:type="dxa"/>
            <w:tcBorders>
              <w:bottom w:val="single" w:sz="4" w:space="0" w:color="auto"/>
            </w:tcBorders>
            <w:shd w:val="clear" w:color="auto" w:fill="auto"/>
            <w:noWrap/>
            <w:vAlign w:val="center"/>
            <w:hideMark/>
          </w:tcPr>
          <w:p w14:paraId="3B17B27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1,316,886 </w:t>
            </w:r>
          </w:p>
        </w:tc>
        <w:tc>
          <w:tcPr>
            <w:tcW w:w="1017" w:type="dxa"/>
            <w:tcBorders>
              <w:bottom w:val="single" w:sz="4" w:space="0" w:color="auto"/>
            </w:tcBorders>
            <w:shd w:val="clear" w:color="auto" w:fill="auto"/>
            <w:noWrap/>
            <w:vAlign w:val="center"/>
            <w:hideMark/>
          </w:tcPr>
          <w:p w14:paraId="17270B7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2,299 </w:t>
            </w:r>
          </w:p>
        </w:tc>
      </w:tr>
      <w:tr w:rsidR="003E5BF5" w:rsidRPr="00F413C5" w14:paraId="21603BBD" w14:textId="77777777" w:rsidTr="00994314">
        <w:trPr>
          <w:trHeight w:val="340"/>
        </w:trPr>
        <w:tc>
          <w:tcPr>
            <w:tcW w:w="5004" w:type="dxa"/>
            <w:tcBorders>
              <w:bottom w:val="single" w:sz="4" w:space="0" w:color="auto"/>
            </w:tcBorders>
            <w:shd w:val="clear" w:color="auto" w:fill="auto"/>
            <w:noWrap/>
            <w:vAlign w:val="center"/>
            <w:hideMark/>
          </w:tcPr>
          <w:p w14:paraId="4607A3AD" w14:textId="77777777" w:rsidR="003E5BF5" w:rsidRPr="00F413C5" w:rsidRDefault="003E5BF5" w:rsidP="00DE1921">
            <w:pPr>
              <w:rPr>
                <w:rFonts w:ascii="Arial" w:hAnsi="Arial" w:cs="Arial"/>
                <w:b/>
                <w:sz w:val="24"/>
                <w:szCs w:val="24"/>
              </w:rPr>
            </w:pPr>
            <w:r w:rsidRPr="00F413C5">
              <w:rPr>
                <w:rFonts w:ascii="Arial" w:hAnsi="Arial" w:cs="Arial"/>
                <w:b/>
                <w:sz w:val="24"/>
                <w:szCs w:val="24"/>
              </w:rPr>
              <w:t>Total</w:t>
            </w:r>
          </w:p>
        </w:tc>
        <w:tc>
          <w:tcPr>
            <w:tcW w:w="1284" w:type="dxa"/>
            <w:tcBorders>
              <w:bottom w:val="single" w:sz="4" w:space="0" w:color="auto"/>
            </w:tcBorders>
            <w:shd w:val="clear" w:color="auto" w:fill="auto"/>
            <w:noWrap/>
            <w:vAlign w:val="center"/>
            <w:hideMark/>
          </w:tcPr>
          <w:p w14:paraId="2E1EFBBD"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w:t>
            </w:r>
          </w:p>
        </w:tc>
        <w:tc>
          <w:tcPr>
            <w:tcW w:w="1017" w:type="dxa"/>
            <w:tcBorders>
              <w:bottom w:val="single" w:sz="4" w:space="0" w:color="auto"/>
            </w:tcBorders>
            <w:shd w:val="clear" w:color="auto" w:fill="auto"/>
            <w:noWrap/>
            <w:vAlign w:val="center"/>
            <w:hideMark/>
          </w:tcPr>
          <w:p w14:paraId="75AC5DF8" w14:textId="77777777" w:rsidR="003E5BF5" w:rsidRPr="00F413C5" w:rsidRDefault="003E5BF5" w:rsidP="00DE1921">
            <w:pPr>
              <w:jc w:val="right"/>
              <w:rPr>
                <w:rFonts w:ascii="Arial" w:hAnsi="Arial" w:cs="Arial"/>
                <w:sz w:val="24"/>
                <w:szCs w:val="24"/>
              </w:rPr>
            </w:pPr>
            <w:r w:rsidRPr="00F413C5">
              <w:rPr>
                <w:rFonts w:ascii="Arial" w:hAnsi="Arial" w:cs="Arial"/>
                <w:b/>
                <w:sz w:val="24"/>
                <w:szCs w:val="24"/>
              </w:rPr>
              <w:t> </w:t>
            </w:r>
          </w:p>
        </w:tc>
        <w:tc>
          <w:tcPr>
            <w:tcW w:w="1124" w:type="dxa"/>
            <w:tcBorders>
              <w:bottom w:val="single" w:sz="4" w:space="0" w:color="auto"/>
            </w:tcBorders>
            <w:shd w:val="clear" w:color="auto" w:fill="auto"/>
            <w:noWrap/>
            <w:vAlign w:val="center"/>
            <w:hideMark/>
          </w:tcPr>
          <w:p w14:paraId="709DEAE7"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1,391,686 </w:t>
            </w:r>
          </w:p>
        </w:tc>
        <w:tc>
          <w:tcPr>
            <w:tcW w:w="1017" w:type="dxa"/>
            <w:tcBorders>
              <w:bottom w:val="single" w:sz="4" w:space="0" w:color="auto"/>
            </w:tcBorders>
            <w:shd w:val="clear" w:color="auto" w:fill="auto"/>
            <w:noWrap/>
            <w:vAlign w:val="center"/>
            <w:hideMark/>
          </w:tcPr>
          <w:p w14:paraId="75498AD6"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3,582 </w:t>
            </w:r>
          </w:p>
        </w:tc>
      </w:tr>
    </w:tbl>
    <w:p w14:paraId="1A39C9AF" w14:textId="77777777" w:rsidR="003E5BF5" w:rsidRDefault="003E5BF5" w:rsidP="00DE1921">
      <w:pPr>
        <w:spacing w:after="0"/>
        <w:rPr>
          <w:lang w:eastAsia="en-AU"/>
        </w:rPr>
      </w:pPr>
    </w:p>
    <w:p w14:paraId="1517A4F3" w14:textId="77777777" w:rsidR="00994314" w:rsidRPr="00F413C5" w:rsidRDefault="00994314" w:rsidP="00994314">
      <w:pPr>
        <w:pStyle w:val="Note"/>
        <w:rPr>
          <w:rFonts w:ascii="Arial" w:hAnsi="Arial" w:cs="Arial"/>
          <w:sz w:val="24"/>
          <w:szCs w:val="24"/>
        </w:rPr>
      </w:pPr>
      <w:r w:rsidRPr="00F413C5">
        <w:rPr>
          <w:rFonts w:ascii="Arial" w:hAnsi="Arial" w:cs="Arial"/>
          <w:sz w:val="24"/>
          <w:szCs w:val="24"/>
        </w:rPr>
        <w:t>Notes:</w:t>
      </w:r>
    </w:p>
    <w:p w14:paraId="471FB5E0" w14:textId="77777777" w:rsidR="00994314" w:rsidRPr="00F413C5" w:rsidRDefault="00994314" w:rsidP="00610F5F">
      <w:pPr>
        <w:pStyle w:val="aaaNotenumberiiiiii"/>
        <w:numPr>
          <w:ilvl w:val="0"/>
          <w:numId w:val="104"/>
        </w:numPr>
      </w:pPr>
      <w:r w:rsidRPr="00F413C5">
        <w:t>Minimum future lease payments include the aggregate of all base payments and any guaranteed residual.</w:t>
      </w:r>
    </w:p>
    <w:p w14:paraId="269123AD" w14:textId="77777777" w:rsidR="00994314" w:rsidRPr="00F413C5" w:rsidRDefault="00994314" w:rsidP="00610F5F">
      <w:pPr>
        <w:pStyle w:val="aaaNotenumberiiiiii"/>
        <w:numPr>
          <w:ilvl w:val="0"/>
          <w:numId w:val="104"/>
        </w:numPr>
      </w:pPr>
      <w:r w:rsidRPr="00F413C5">
        <w:t xml:space="preserve">As a controlled entity of the former PTV, </w:t>
      </w:r>
      <w:proofErr w:type="spellStart"/>
      <w:r w:rsidRPr="00F413C5">
        <w:t>AssetCo’s</w:t>
      </w:r>
      <w:proofErr w:type="spellEnd"/>
      <w:r w:rsidRPr="00F413C5">
        <w:t xml:space="preserve"> financial information has been consolidated within the financial statements of the department. Refer to Note 7.1 Borrowings for further details.</w:t>
      </w:r>
    </w:p>
    <w:p w14:paraId="13951169" w14:textId="77777777" w:rsidR="003E5BF5" w:rsidRDefault="003E5BF5">
      <w:pPr>
        <w:rPr>
          <w:rFonts w:eastAsiaTheme="majorEastAsia" w:cstheme="majorBidi"/>
          <w:color w:val="70AD47" w:themeColor="accent6"/>
          <w:sz w:val="26"/>
          <w:szCs w:val="26"/>
        </w:rPr>
      </w:pPr>
      <w:r>
        <w:br w:type="page"/>
      </w:r>
    </w:p>
    <w:p w14:paraId="58C9A95B" w14:textId="77777777" w:rsidR="003E5BF5" w:rsidRDefault="003E5BF5" w:rsidP="00610F5F">
      <w:pPr>
        <w:pStyle w:val="Heading2"/>
        <w:numPr>
          <w:ilvl w:val="1"/>
          <w:numId w:val="14"/>
        </w:numPr>
        <w:sectPr w:rsidR="003E5BF5" w:rsidSect="00DE1921">
          <w:pgSz w:w="11906" w:h="16838" w:code="9"/>
          <w:pgMar w:top="1701" w:right="1418" w:bottom="1418" w:left="1418" w:header="709" w:footer="709" w:gutter="0"/>
          <w:cols w:space="708"/>
          <w:docGrid w:linePitch="360"/>
        </w:sectPr>
      </w:pPr>
      <w:bookmarkStart w:id="447" w:name="_Toc53420583"/>
      <w:bookmarkStart w:id="448" w:name="_Toc53420682"/>
      <w:bookmarkEnd w:id="436"/>
      <w:bookmarkEnd w:id="437"/>
      <w:bookmarkEnd w:id="438"/>
      <w:bookmarkEnd w:id="439"/>
      <w:bookmarkEnd w:id="440"/>
      <w:bookmarkEnd w:id="441"/>
      <w:bookmarkEnd w:id="442"/>
      <w:bookmarkEnd w:id="443"/>
      <w:bookmarkEnd w:id="444"/>
      <w:bookmarkEnd w:id="445"/>
      <w:bookmarkEnd w:id="446"/>
      <w:r w:rsidRPr="00416086">
        <w:lastRenderedPageBreak/>
        <w:t>Cash flow information and balances</w:t>
      </w:r>
      <w:bookmarkEnd w:id="447"/>
      <w:bookmarkEnd w:id="448"/>
    </w:p>
    <w:p w14:paraId="4B72FB73" w14:textId="77777777" w:rsidR="003E5BF5" w:rsidRPr="00416086" w:rsidRDefault="003E5BF5" w:rsidP="001C6099">
      <w:pPr>
        <w:pStyle w:val="aaatyping"/>
      </w:pPr>
      <w:r w:rsidRPr="00416086">
        <w:t>Cash and cash equivalents, comprise cash on hand and cash at bank, deposits at call and those highly liquid investments with an original maturity of three months or less, which are held for the purpose of meeting short term cash commitments rather than for investment purposes, and are readily convertible to known amounts of cash and are subject to an insignificant risk of changes in value.</w:t>
      </w:r>
    </w:p>
    <w:p w14:paraId="15253A21" w14:textId="77777777" w:rsidR="003E5BF5" w:rsidRPr="003A5A45" w:rsidRDefault="003E5BF5" w:rsidP="001C6099">
      <w:pPr>
        <w:pStyle w:val="aaatyping"/>
      </w:pPr>
      <w:r w:rsidRPr="00416086">
        <w:t>For the purpose of the</w:t>
      </w:r>
      <w:r w:rsidRPr="007444F0">
        <w:t xml:space="preserve"> </w:t>
      </w:r>
      <w:r>
        <w:t>C</w:t>
      </w:r>
      <w:r w:rsidRPr="007444F0">
        <w:t xml:space="preserve">ash flow statement, cash includes cash-on-hand and in bank (including funds held in trust), net of outstanding bank overdrafts. Cash at the end of the financial year as shown in the cash flow statement is reconciled to the related items in the </w:t>
      </w:r>
      <w:r>
        <w:t>B</w:t>
      </w:r>
      <w:r w:rsidRPr="007444F0">
        <w:t>alance sheet as follows:</w:t>
      </w:r>
    </w:p>
    <w:tbl>
      <w:tblPr>
        <w:tblStyle w:val="TableGrid"/>
        <w:tblW w:w="5000" w:type="pct"/>
        <w:tblLook w:val="04A0" w:firstRow="1" w:lastRow="0" w:firstColumn="1" w:lastColumn="0" w:noHBand="0" w:noVBand="1"/>
      </w:tblPr>
      <w:tblGrid>
        <w:gridCol w:w="6014"/>
        <w:gridCol w:w="1618"/>
        <w:gridCol w:w="1428"/>
      </w:tblGrid>
      <w:tr w:rsidR="003E5BF5" w:rsidRPr="00F413C5" w14:paraId="0601264D" w14:textId="77777777" w:rsidTr="007E5315">
        <w:trPr>
          <w:trHeight w:val="340"/>
        </w:trPr>
        <w:tc>
          <w:tcPr>
            <w:tcW w:w="3319" w:type="pct"/>
            <w:shd w:val="clear" w:color="auto" w:fill="auto"/>
            <w:noWrap/>
            <w:vAlign w:val="center"/>
            <w:hideMark/>
          </w:tcPr>
          <w:p w14:paraId="5033C52D" w14:textId="77777777" w:rsidR="003E5BF5" w:rsidRPr="00F413C5" w:rsidRDefault="003E5BF5" w:rsidP="00DE1921">
            <w:pPr>
              <w:rPr>
                <w:rFonts w:ascii="Arial" w:hAnsi="Arial" w:cs="Arial"/>
                <w:sz w:val="24"/>
                <w:szCs w:val="24"/>
                <w:lang w:eastAsia="en-AU"/>
              </w:rPr>
            </w:pPr>
          </w:p>
        </w:tc>
        <w:tc>
          <w:tcPr>
            <w:tcW w:w="1681" w:type="pct"/>
            <w:gridSpan w:val="2"/>
            <w:shd w:val="clear" w:color="auto" w:fill="auto"/>
            <w:noWrap/>
            <w:vAlign w:val="center"/>
            <w:hideMark/>
          </w:tcPr>
          <w:p w14:paraId="6D202A3C" w14:textId="77777777" w:rsidR="003E5BF5" w:rsidRPr="00F413C5" w:rsidRDefault="003E5BF5" w:rsidP="00DE1921">
            <w:pPr>
              <w:jc w:val="center"/>
              <w:rPr>
                <w:rFonts w:ascii="Arial" w:hAnsi="Arial" w:cs="Arial"/>
                <w:b/>
                <w:sz w:val="24"/>
                <w:szCs w:val="24"/>
                <w:lang w:eastAsia="en-AU"/>
              </w:rPr>
            </w:pPr>
            <w:r w:rsidRPr="00F413C5">
              <w:rPr>
                <w:rFonts w:ascii="Arial" w:hAnsi="Arial" w:cs="Arial"/>
                <w:b/>
                <w:sz w:val="24"/>
                <w:szCs w:val="24"/>
                <w:lang w:eastAsia="en-AU"/>
              </w:rPr>
              <w:t>($ thousand)</w:t>
            </w:r>
          </w:p>
        </w:tc>
      </w:tr>
      <w:tr w:rsidR="003E5BF5" w:rsidRPr="00F413C5" w14:paraId="269EBEF3" w14:textId="77777777" w:rsidTr="007E5315">
        <w:trPr>
          <w:trHeight w:val="340"/>
        </w:trPr>
        <w:tc>
          <w:tcPr>
            <w:tcW w:w="3319" w:type="pct"/>
            <w:shd w:val="clear" w:color="auto" w:fill="auto"/>
            <w:noWrap/>
            <w:vAlign w:val="center"/>
            <w:hideMark/>
          </w:tcPr>
          <w:p w14:paraId="75271E07" w14:textId="77777777" w:rsidR="003E5BF5" w:rsidRPr="00F413C5" w:rsidRDefault="003E5BF5" w:rsidP="00DE1921">
            <w:pPr>
              <w:rPr>
                <w:rFonts w:ascii="Arial" w:hAnsi="Arial" w:cs="Arial"/>
                <w:b/>
                <w:sz w:val="24"/>
                <w:szCs w:val="24"/>
                <w:lang w:eastAsia="en-AU"/>
              </w:rPr>
            </w:pPr>
          </w:p>
        </w:tc>
        <w:tc>
          <w:tcPr>
            <w:tcW w:w="893" w:type="pct"/>
            <w:shd w:val="clear" w:color="auto" w:fill="auto"/>
            <w:noWrap/>
            <w:vAlign w:val="center"/>
            <w:hideMark/>
          </w:tcPr>
          <w:p w14:paraId="78B7EC60"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lang w:eastAsia="en-AU"/>
              </w:rPr>
              <w:t>2020</w:t>
            </w:r>
          </w:p>
        </w:tc>
        <w:tc>
          <w:tcPr>
            <w:tcW w:w="788" w:type="pct"/>
            <w:shd w:val="clear" w:color="auto" w:fill="auto"/>
            <w:noWrap/>
            <w:vAlign w:val="center"/>
            <w:hideMark/>
          </w:tcPr>
          <w:p w14:paraId="42F40634"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lang w:eastAsia="en-AU"/>
              </w:rPr>
              <w:t>2019</w:t>
            </w:r>
          </w:p>
        </w:tc>
      </w:tr>
      <w:tr w:rsidR="003E5BF5" w:rsidRPr="00F413C5" w14:paraId="75C97CF3" w14:textId="77777777" w:rsidTr="007E5315">
        <w:trPr>
          <w:trHeight w:val="340"/>
        </w:trPr>
        <w:tc>
          <w:tcPr>
            <w:tcW w:w="3319" w:type="pct"/>
            <w:shd w:val="clear" w:color="auto" w:fill="auto"/>
            <w:noWrap/>
            <w:vAlign w:val="center"/>
            <w:hideMark/>
          </w:tcPr>
          <w:p w14:paraId="331043C0" w14:textId="77777777" w:rsidR="003E5BF5" w:rsidRPr="00F413C5" w:rsidRDefault="003E5BF5" w:rsidP="00DE1921">
            <w:pPr>
              <w:rPr>
                <w:rFonts w:ascii="Arial" w:hAnsi="Arial" w:cs="Arial"/>
                <w:sz w:val="24"/>
                <w:szCs w:val="24"/>
                <w:lang w:eastAsia="en-AU"/>
              </w:rPr>
            </w:pPr>
            <w:r w:rsidRPr="00F413C5">
              <w:rPr>
                <w:rFonts w:ascii="Arial" w:hAnsi="Arial" w:cs="Arial"/>
                <w:sz w:val="24"/>
                <w:szCs w:val="24"/>
                <w:lang w:eastAsia="en-AU"/>
              </w:rPr>
              <w:t xml:space="preserve">Cash and deposits </w:t>
            </w:r>
          </w:p>
        </w:tc>
        <w:tc>
          <w:tcPr>
            <w:tcW w:w="893" w:type="pct"/>
            <w:shd w:val="clear" w:color="auto" w:fill="auto"/>
            <w:noWrap/>
            <w:vAlign w:val="center"/>
            <w:hideMark/>
          </w:tcPr>
          <w:p w14:paraId="1203DD91"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lang w:eastAsia="en-AU"/>
              </w:rPr>
              <w:t xml:space="preserve">106,591 </w:t>
            </w:r>
          </w:p>
        </w:tc>
        <w:tc>
          <w:tcPr>
            <w:tcW w:w="788" w:type="pct"/>
            <w:shd w:val="clear" w:color="auto" w:fill="auto"/>
            <w:noWrap/>
            <w:vAlign w:val="center"/>
            <w:hideMark/>
          </w:tcPr>
          <w:p w14:paraId="3957BBB9"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lang w:eastAsia="en-AU"/>
              </w:rPr>
              <w:t xml:space="preserve">5,739 </w:t>
            </w:r>
          </w:p>
        </w:tc>
      </w:tr>
      <w:tr w:rsidR="003E5BF5" w:rsidRPr="00F413C5" w14:paraId="5E7DED2F" w14:textId="77777777" w:rsidTr="007E5315">
        <w:trPr>
          <w:trHeight w:val="340"/>
        </w:trPr>
        <w:tc>
          <w:tcPr>
            <w:tcW w:w="3319" w:type="pct"/>
            <w:shd w:val="clear" w:color="auto" w:fill="auto"/>
            <w:vAlign w:val="center"/>
            <w:hideMark/>
          </w:tcPr>
          <w:p w14:paraId="4DCB60D3" w14:textId="77777777" w:rsidR="003E5BF5" w:rsidRPr="00F413C5" w:rsidRDefault="003E5BF5" w:rsidP="00DE1921">
            <w:pPr>
              <w:rPr>
                <w:rFonts w:ascii="Arial" w:hAnsi="Arial" w:cs="Arial"/>
                <w:sz w:val="24"/>
                <w:szCs w:val="24"/>
                <w:lang w:eastAsia="en-AU"/>
              </w:rPr>
            </w:pPr>
            <w:r w:rsidRPr="00F413C5">
              <w:rPr>
                <w:rFonts w:ascii="Arial" w:hAnsi="Arial" w:cs="Arial"/>
                <w:sz w:val="24"/>
                <w:szCs w:val="24"/>
                <w:lang w:eastAsia="en-AU"/>
              </w:rPr>
              <w:t>Funds held in trust</w:t>
            </w:r>
          </w:p>
        </w:tc>
        <w:tc>
          <w:tcPr>
            <w:tcW w:w="893" w:type="pct"/>
            <w:shd w:val="clear" w:color="auto" w:fill="auto"/>
            <w:noWrap/>
            <w:vAlign w:val="center"/>
            <w:hideMark/>
          </w:tcPr>
          <w:p w14:paraId="0E4E63E2"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lang w:eastAsia="en-AU"/>
              </w:rPr>
              <w:t xml:space="preserve">555,666 </w:t>
            </w:r>
          </w:p>
        </w:tc>
        <w:tc>
          <w:tcPr>
            <w:tcW w:w="788" w:type="pct"/>
            <w:shd w:val="clear" w:color="auto" w:fill="auto"/>
            <w:noWrap/>
            <w:vAlign w:val="center"/>
            <w:hideMark/>
          </w:tcPr>
          <w:p w14:paraId="705A97C9"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lang w:eastAsia="en-AU"/>
              </w:rPr>
              <w:t xml:space="preserve">88,073 </w:t>
            </w:r>
          </w:p>
        </w:tc>
      </w:tr>
      <w:tr w:rsidR="003E5BF5" w:rsidRPr="00F413C5" w14:paraId="3274743B" w14:textId="77777777" w:rsidTr="007E5315">
        <w:trPr>
          <w:trHeight w:val="340"/>
        </w:trPr>
        <w:tc>
          <w:tcPr>
            <w:tcW w:w="3319" w:type="pct"/>
            <w:shd w:val="clear" w:color="auto" w:fill="auto"/>
            <w:noWrap/>
            <w:vAlign w:val="center"/>
            <w:hideMark/>
          </w:tcPr>
          <w:p w14:paraId="200104F5" w14:textId="77777777" w:rsidR="003E5BF5" w:rsidRPr="00F413C5" w:rsidRDefault="003E5BF5" w:rsidP="00DE1921">
            <w:pPr>
              <w:rPr>
                <w:rFonts w:ascii="Arial" w:hAnsi="Arial" w:cs="Arial"/>
                <w:b/>
                <w:sz w:val="24"/>
                <w:szCs w:val="24"/>
                <w:lang w:eastAsia="en-AU"/>
              </w:rPr>
            </w:pPr>
            <w:r w:rsidRPr="00F413C5">
              <w:rPr>
                <w:rFonts w:ascii="Arial" w:hAnsi="Arial" w:cs="Arial"/>
                <w:b/>
                <w:sz w:val="24"/>
                <w:szCs w:val="24"/>
                <w:lang w:eastAsia="en-AU"/>
              </w:rPr>
              <w:t>Balance as per cash flow statement</w:t>
            </w:r>
          </w:p>
        </w:tc>
        <w:tc>
          <w:tcPr>
            <w:tcW w:w="893" w:type="pct"/>
            <w:shd w:val="clear" w:color="auto" w:fill="auto"/>
            <w:noWrap/>
            <w:vAlign w:val="center"/>
            <w:hideMark/>
          </w:tcPr>
          <w:p w14:paraId="6227FF85"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lang w:eastAsia="en-AU"/>
              </w:rPr>
              <w:t xml:space="preserve">662,257 </w:t>
            </w:r>
          </w:p>
        </w:tc>
        <w:tc>
          <w:tcPr>
            <w:tcW w:w="788" w:type="pct"/>
            <w:shd w:val="clear" w:color="auto" w:fill="auto"/>
            <w:noWrap/>
            <w:vAlign w:val="center"/>
            <w:hideMark/>
          </w:tcPr>
          <w:p w14:paraId="33828D53"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lang w:eastAsia="en-AU"/>
              </w:rPr>
              <w:t xml:space="preserve">93,812 </w:t>
            </w:r>
          </w:p>
        </w:tc>
      </w:tr>
    </w:tbl>
    <w:p w14:paraId="389BD56C" w14:textId="77777777" w:rsidR="003E5BF5" w:rsidRDefault="003E5BF5" w:rsidP="00964784">
      <w:pPr>
        <w:pStyle w:val="aaatyping"/>
        <w:spacing w:before="120"/>
      </w:pPr>
      <w:r w:rsidRPr="007444F0">
        <w:t xml:space="preserve">Cash received by the </w:t>
      </w:r>
      <w:r>
        <w:t>d</w:t>
      </w:r>
      <w:r w:rsidRPr="007444F0">
        <w:t xml:space="preserve">epartment from the generation of income is generally paid into the State's bank account, known as the Public Account. Similarly, any departmental expenditure, including those in the form of cheques drawn by the department for the payment of goods and services to its suppliers and creditors are made via the Public Account. The process is such that, the Public Account would remit to the </w:t>
      </w:r>
      <w:r>
        <w:t>d</w:t>
      </w:r>
      <w:r w:rsidRPr="007444F0">
        <w:t>epartment the cash required for the amount drawn on the cheques. This remittance by the Public Account occurs upon the presentation of the cheques by the department's suppliers or creditors.</w:t>
      </w:r>
    </w:p>
    <w:p w14:paraId="4D576FD8" w14:textId="77777777" w:rsidR="003E5BF5" w:rsidRPr="007444F0" w:rsidRDefault="003E5BF5" w:rsidP="001C6099">
      <w:pPr>
        <w:pStyle w:val="aaatyping"/>
      </w:pPr>
      <w:r w:rsidRPr="007444F0">
        <w:lastRenderedPageBreak/>
        <w:t>The</w:t>
      </w:r>
      <w:r>
        <w:t xml:space="preserve">se </w:t>
      </w:r>
      <w:r w:rsidRPr="007444F0">
        <w:t>funding arrangements often result in the department having a notional shortfall in the cash at bank required for payment of unpresented cheques at the reporting period.</w:t>
      </w:r>
    </w:p>
    <w:p w14:paraId="2E6A829E" w14:textId="77777777" w:rsidR="003E5BF5" w:rsidRDefault="003E5BF5" w:rsidP="001C6099">
      <w:pPr>
        <w:pStyle w:val="aaatyping"/>
      </w:pPr>
      <w:r w:rsidRPr="007444F0">
        <w:t xml:space="preserve">At 30 June </w:t>
      </w:r>
      <w:r>
        <w:t>2020</w:t>
      </w:r>
      <w:r w:rsidRPr="007444F0">
        <w:t xml:space="preserve">, cash at bank included the amount of a notional shortfall for the payment of unpresented cheques </w:t>
      </w:r>
      <w:r w:rsidRPr="00705C5F">
        <w:t>of $242,</w:t>
      </w:r>
      <w:r>
        <w:t>982</w:t>
      </w:r>
      <w:r w:rsidRPr="00746270">
        <w:t xml:space="preserve"> (201</w:t>
      </w:r>
      <w:r>
        <w:t>9</w:t>
      </w:r>
      <w:r w:rsidRPr="00746270">
        <w:t xml:space="preserve">: </w:t>
      </w:r>
      <w:r>
        <w:t>$</w:t>
      </w:r>
      <w:r w:rsidRPr="00746270">
        <w:t>68,33</w:t>
      </w:r>
      <w:r>
        <w:t>9</w:t>
      </w:r>
      <w:r w:rsidRPr="00746270">
        <w:t>).</w:t>
      </w:r>
      <w:bookmarkStart w:id="449" w:name="_Toc521965480"/>
      <w:bookmarkStart w:id="450" w:name="_Toc529196585"/>
      <w:bookmarkStart w:id="451" w:name="_Toc529197626"/>
      <w:bookmarkStart w:id="452" w:name="_Toc529197787"/>
      <w:bookmarkStart w:id="453" w:name="_Toc529197919"/>
      <w:bookmarkStart w:id="454" w:name="_Toc529197959"/>
    </w:p>
    <w:p w14:paraId="735E4595" w14:textId="77777777" w:rsidR="003E5BF5" w:rsidRDefault="003E5BF5">
      <w:pPr>
        <w:rPr>
          <w:rFonts w:eastAsiaTheme="majorEastAsia" w:cstheme="majorBidi"/>
          <w:color w:val="70AD47" w:themeColor="accent6"/>
          <w:sz w:val="20"/>
          <w:szCs w:val="20"/>
        </w:rPr>
      </w:pPr>
      <w:r>
        <w:rPr>
          <w:sz w:val="20"/>
          <w:szCs w:val="20"/>
        </w:rPr>
        <w:br w:type="page"/>
      </w:r>
    </w:p>
    <w:p w14:paraId="02A054A0" w14:textId="77777777" w:rsidR="003E5BF5" w:rsidRPr="00173186" w:rsidRDefault="003E5BF5" w:rsidP="00610F5F">
      <w:pPr>
        <w:pStyle w:val="Heading3"/>
        <w:numPr>
          <w:ilvl w:val="2"/>
          <w:numId w:val="21"/>
        </w:numPr>
        <w:ind w:left="765" w:hanging="765"/>
      </w:pPr>
      <w:r w:rsidRPr="00173186">
        <w:lastRenderedPageBreak/>
        <w:t>Reconciliation of net result for the period to cash flow from operating activities</w:t>
      </w:r>
    </w:p>
    <w:tbl>
      <w:tblPr>
        <w:tblStyle w:val="TableGrid"/>
        <w:tblW w:w="9072" w:type="dxa"/>
        <w:tblCellMar>
          <w:left w:w="28" w:type="dxa"/>
          <w:right w:w="28" w:type="dxa"/>
        </w:tblCellMar>
        <w:tblLook w:val="04A0" w:firstRow="1" w:lastRow="0" w:firstColumn="1" w:lastColumn="0" w:noHBand="0" w:noVBand="1"/>
      </w:tblPr>
      <w:tblGrid>
        <w:gridCol w:w="6516"/>
        <w:gridCol w:w="1284"/>
        <w:gridCol w:w="1278"/>
      </w:tblGrid>
      <w:tr w:rsidR="003E5BF5" w:rsidRPr="00F413C5" w14:paraId="540ED80C" w14:textId="77777777" w:rsidTr="007E5315">
        <w:trPr>
          <w:trHeight w:val="340"/>
        </w:trPr>
        <w:tc>
          <w:tcPr>
            <w:tcW w:w="6516" w:type="dxa"/>
            <w:noWrap/>
            <w:hideMark/>
          </w:tcPr>
          <w:p w14:paraId="5BDB3C64" w14:textId="77777777" w:rsidR="003E5BF5" w:rsidRPr="00F413C5" w:rsidRDefault="003E5BF5" w:rsidP="00DE1921">
            <w:pPr>
              <w:rPr>
                <w:rFonts w:ascii="Arial" w:hAnsi="Arial" w:cs="Arial"/>
                <w:sz w:val="24"/>
                <w:szCs w:val="24"/>
              </w:rPr>
            </w:pPr>
          </w:p>
        </w:tc>
        <w:tc>
          <w:tcPr>
            <w:tcW w:w="2556" w:type="dxa"/>
            <w:gridSpan w:val="2"/>
            <w:noWrap/>
            <w:vAlign w:val="center"/>
            <w:hideMark/>
          </w:tcPr>
          <w:p w14:paraId="04A8A000"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 thousand)</w:t>
            </w:r>
          </w:p>
        </w:tc>
      </w:tr>
      <w:tr w:rsidR="003E5BF5" w:rsidRPr="00F413C5" w14:paraId="68185CCE" w14:textId="77777777" w:rsidTr="007E5315">
        <w:trPr>
          <w:trHeight w:val="340"/>
        </w:trPr>
        <w:tc>
          <w:tcPr>
            <w:tcW w:w="6516" w:type="dxa"/>
            <w:noWrap/>
            <w:hideMark/>
          </w:tcPr>
          <w:p w14:paraId="5883191A" w14:textId="77777777" w:rsidR="003E5BF5" w:rsidRPr="00F413C5" w:rsidRDefault="003E5BF5" w:rsidP="00DE1921">
            <w:pPr>
              <w:rPr>
                <w:rFonts w:ascii="Arial" w:hAnsi="Arial" w:cs="Arial"/>
                <w:b/>
                <w:sz w:val="24"/>
                <w:szCs w:val="24"/>
              </w:rPr>
            </w:pPr>
          </w:p>
        </w:tc>
        <w:tc>
          <w:tcPr>
            <w:tcW w:w="1278" w:type="dxa"/>
            <w:shd w:val="clear" w:color="auto" w:fill="auto"/>
            <w:noWrap/>
            <w:vAlign w:val="center"/>
            <w:hideMark/>
          </w:tcPr>
          <w:p w14:paraId="3866E4FE"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2020</w:t>
            </w:r>
          </w:p>
        </w:tc>
        <w:tc>
          <w:tcPr>
            <w:tcW w:w="1278" w:type="dxa"/>
            <w:noWrap/>
            <w:vAlign w:val="center"/>
            <w:hideMark/>
          </w:tcPr>
          <w:p w14:paraId="5E6BC95A"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2019</w:t>
            </w:r>
          </w:p>
        </w:tc>
      </w:tr>
      <w:tr w:rsidR="003E5BF5" w:rsidRPr="00F413C5" w14:paraId="675975D1" w14:textId="77777777" w:rsidTr="007E5315">
        <w:trPr>
          <w:trHeight w:val="340"/>
        </w:trPr>
        <w:tc>
          <w:tcPr>
            <w:tcW w:w="6516" w:type="dxa"/>
            <w:noWrap/>
            <w:vAlign w:val="center"/>
            <w:hideMark/>
          </w:tcPr>
          <w:p w14:paraId="09AD463F" w14:textId="77777777" w:rsidR="003E5BF5" w:rsidRPr="00F413C5" w:rsidRDefault="003E5BF5" w:rsidP="00DE1921">
            <w:pPr>
              <w:rPr>
                <w:rFonts w:ascii="Arial" w:hAnsi="Arial" w:cs="Arial"/>
                <w:b/>
                <w:sz w:val="24"/>
                <w:szCs w:val="24"/>
              </w:rPr>
            </w:pPr>
            <w:r w:rsidRPr="00F413C5">
              <w:rPr>
                <w:rFonts w:ascii="Arial" w:hAnsi="Arial" w:cs="Arial"/>
                <w:b/>
                <w:sz w:val="24"/>
                <w:szCs w:val="24"/>
              </w:rPr>
              <w:t>Net result for the period</w:t>
            </w:r>
          </w:p>
        </w:tc>
        <w:tc>
          <w:tcPr>
            <w:tcW w:w="1278" w:type="dxa"/>
            <w:shd w:val="clear" w:color="auto" w:fill="auto"/>
            <w:noWrap/>
            <w:vAlign w:val="center"/>
            <w:hideMark/>
          </w:tcPr>
          <w:p w14:paraId="576C9895"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(1,013,952)</w:t>
            </w:r>
          </w:p>
        </w:tc>
        <w:tc>
          <w:tcPr>
            <w:tcW w:w="1278" w:type="dxa"/>
            <w:noWrap/>
            <w:vAlign w:val="center"/>
            <w:hideMark/>
          </w:tcPr>
          <w:p w14:paraId="7C2660B8"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(381,802)</w:t>
            </w:r>
          </w:p>
        </w:tc>
      </w:tr>
      <w:tr w:rsidR="003E5BF5" w:rsidRPr="00F413C5" w14:paraId="7A69EFE3" w14:textId="77777777" w:rsidTr="007E5315">
        <w:trPr>
          <w:trHeight w:val="340"/>
        </w:trPr>
        <w:tc>
          <w:tcPr>
            <w:tcW w:w="6516" w:type="dxa"/>
            <w:noWrap/>
            <w:vAlign w:val="center"/>
            <w:hideMark/>
          </w:tcPr>
          <w:p w14:paraId="6E09C03E" w14:textId="77777777" w:rsidR="003E5BF5" w:rsidRPr="00F413C5" w:rsidRDefault="003E5BF5" w:rsidP="00604703">
            <w:pPr>
              <w:pStyle w:val="TableTextGreen"/>
            </w:pPr>
            <w:r w:rsidRPr="00F413C5">
              <w:t>Non-cash movements</w:t>
            </w:r>
          </w:p>
        </w:tc>
        <w:tc>
          <w:tcPr>
            <w:tcW w:w="1278" w:type="dxa"/>
            <w:shd w:val="clear" w:color="auto" w:fill="auto"/>
            <w:noWrap/>
            <w:vAlign w:val="center"/>
            <w:hideMark/>
          </w:tcPr>
          <w:p w14:paraId="07210B41" w14:textId="77777777" w:rsidR="003E5BF5" w:rsidRPr="00F413C5" w:rsidRDefault="003E5BF5" w:rsidP="00604703">
            <w:pPr>
              <w:pStyle w:val="TableTextGreen"/>
            </w:pPr>
          </w:p>
        </w:tc>
        <w:tc>
          <w:tcPr>
            <w:tcW w:w="1278" w:type="dxa"/>
            <w:noWrap/>
            <w:vAlign w:val="center"/>
            <w:hideMark/>
          </w:tcPr>
          <w:p w14:paraId="19B9727D" w14:textId="77777777" w:rsidR="003E5BF5" w:rsidRPr="00F413C5" w:rsidRDefault="003E5BF5" w:rsidP="00604703">
            <w:pPr>
              <w:pStyle w:val="TableTextGreen"/>
            </w:pPr>
          </w:p>
        </w:tc>
      </w:tr>
      <w:tr w:rsidR="003E5BF5" w:rsidRPr="00F413C5" w14:paraId="5E0A6531" w14:textId="77777777" w:rsidTr="007E5315">
        <w:trPr>
          <w:trHeight w:val="340"/>
        </w:trPr>
        <w:tc>
          <w:tcPr>
            <w:tcW w:w="6516" w:type="dxa"/>
            <w:noWrap/>
            <w:vAlign w:val="center"/>
            <w:hideMark/>
          </w:tcPr>
          <w:p w14:paraId="4D24C66F" w14:textId="77777777" w:rsidR="003E5BF5" w:rsidRPr="00F413C5" w:rsidRDefault="003E5BF5" w:rsidP="00DE1921">
            <w:pPr>
              <w:rPr>
                <w:rFonts w:ascii="Arial" w:hAnsi="Arial" w:cs="Arial"/>
                <w:sz w:val="24"/>
                <w:szCs w:val="24"/>
              </w:rPr>
            </w:pPr>
            <w:r w:rsidRPr="00F413C5">
              <w:rPr>
                <w:rFonts w:ascii="Arial" w:hAnsi="Arial" w:cs="Arial"/>
                <w:sz w:val="24"/>
                <w:szCs w:val="24"/>
              </w:rPr>
              <w:t>Loss on sale of disposal of non-current assets</w:t>
            </w:r>
          </w:p>
        </w:tc>
        <w:tc>
          <w:tcPr>
            <w:tcW w:w="1278" w:type="dxa"/>
            <w:shd w:val="clear" w:color="auto" w:fill="auto"/>
            <w:noWrap/>
            <w:vAlign w:val="center"/>
            <w:hideMark/>
          </w:tcPr>
          <w:p w14:paraId="16DD6A9E"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65,557 </w:t>
            </w:r>
          </w:p>
        </w:tc>
        <w:tc>
          <w:tcPr>
            <w:tcW w:w="1278" w:type="dxa"/>
            <w:noWrap/>
            <w:vAlign w:val="center"/>
            <w:hideMark/>
          </w:tcPr>
          <w:p w14:paraId="474FDE2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122 </w:t>
            </w:r>
          </w:p>
        </w:tc>
      </w:tr>
      <w:tr w:rsidR="003E5BF5" w:rsidRPr="00F413C5" w14:paraId="50030746" w14:textId="77777777" w:rsidTr="007E5315">
        <w:trPr>
          <w:trHeight w:val="340"/>
        </w:trPr>
        <w:tc>
          <w:tcPr>
            <w:tcW w:w="6516" w:type="dxa"/>
            <w:vAlign w:val="center"/>
            <w:hideMark/>
          </w:tcPr>
          <w:p w14:paraId="4FD8FFA3" w14:textId="77777777" w:rsidR="003E5BF5" w:rsidRPr="00F413C5" w:rsidRDefault="003E5BF5" w:rsidP="00DE1921">
            <w:pPr>
              <w:rPr>
                <w:rFonts w:ascii="Arial" w:hAnsi="Arial" w:cs="Arial"/>
                <w:sz w:val="24"/>
                <w:szCs w:val="24"/>
              </w:rPr>
            </w:pPr>
            <w:r w:rsidRPr="00F413C5">
              <w:rPr>
                <w:rFonts w:ascii="Arial" w:hAnsi="Arial" w:cs="Arial"/>
                <w:sz w:val="24"/>
                <w:szCs w:val="24"/>
              </w:rPr>
              <w:t>Depreciation and amortisation of non-financial assets and intangible assets</w:t>
            </w:r>
          </w:p>
        </w:tc>
        <w:tc>
          <w:tcPr>
            <w:tcW w:w="1278" w:type="dxa"/>
            <w:shd w:val="clear" w:color="auto" w:fill="auto"/>
            <w:noWrap/>
            <w:vAlign w:val="center"/>
            <w:hideMark/>
          </w:tcPr>
          <w:p w14:paraId="52D3ED3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1,014,872 </w:t>
            </w:r>
          </w:p>
        </w:tc>
        <w:tc>
          <w:tcPr>
            <w:tcW w:w="1278" w:type="dxa"/>
            <w:noWrap/>
            <w:vAlign w:val="center"/>
            <w:hideMark/>
          </w:tcPr>
          <w:p w14:paraId="273FA75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24,967 </w:t>
            </w:r>
          </w:p>
        </w:tc>
      </w:tr>
      <w:tr w:rsidR="003E5BF5" w:rsidRPr="00F413C5" w14:paraId="635DCA19" w14:textId="77777777" w:rsidTr="007E5315">
        <w:trPr>
          <w:trHeight w:val="340"/>
        </w:trPr>
        <w:tc>
          <w:tcPr>
            <w:tcW w:w="6516" w:type="dxa"/>
            <w:vAlign w:val="center"/>
            <w:hideMark/>
          </w:tcPr>
          <w:p w14:paraId="1F3AE664" w14:textId="77777777" w:rsidR="003E5BF5" w:rsidRPr="00F413C5" w:rsidRDefault="003E5BF5" w:rsidP="00DE1921">
            <w:pPr>
              <w:rPr>
                <w:rFonts w:ascii="Arial" w:hAnsi="Arial" w:cs="Arial"/>
                <w:sz w:val="24"/>
                <w:szCs w:val="24"/>
              </w:rPr>
            </w:pPr>
            <w:r w:rsidRPr="00F413C5">
              <w:rPr>
                <w:rFonts w:ascii="Arial" w:hAnsi="Arial" w:cs="Arial"/>
                <w:sz w:val="24"/>
                <w:szCs w:val="24"/>
              </w:rPr>
              <w:t>Derecognition of property, plant and equipment</w:t>
            </w:r>
          </w:p>
        </w:tc>
        <w:tc>
          <w:tcPr>
            <w:tcW w:w="1278" w:type="dxa"/>
            <w:shd w:val="clear" w:color="auto" w:fill="auto"/>
            <w:noWrap/>
            <w:vAlign w:val="center"/>
            <w:hideMark/>
          </w:tcPr>
          <w:p w14:paraId="31A55BA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278" w:type="dxa"/>
            <w:noWrap/>
            <w:vAlign w:val="center"/>
            <w:hideMark/>
          </w:tcPr>
          <w:p w14:paraId="2FB8E60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3,000 </w:t>
            </w:r>
          </w:p>
        </w:tc>
      </w:tr>
      <w:tr w:rsidR="003E5BF5" w:rsidRPr="00F413C5" w14:paraId="65762ED6" w14:textId="77777777" w:rsidTr="007E5315">
        <w:trPr>
          <w:trHeight w:val="340"/>
        </w:trPr>
        <w:tc>
          <w:tcPr>
            <w:tcW w:w="6516" w:type="dxa"/>
            <w:vAlign w:val="center"/>
            <w:hideMark/>
          </w:tcPr>
          <w:p w14:paraId="201F1154" w14:textId="77777777" w:rsidR="003E5BF5" w:rsidRPr="00F413C5" w:rsidRDefault="003E5BF5" w:rsidP="00DE1921">
            <w:pPr>
              <w:rPr>
                <w:rFonts w:ascii="Arial" w:hAnsi="Arial" w:cs="Arial"/>
                <w:sz w:val="24"/>
                <w:szCs w:val="24"/>
              </w:rPr>
            </w:pPr>
            <w:r w:rsidRPr="00F413C5">
              <w:rPr>
                <w:rFonts w:ascii="Arial" w:hAnsi="Arial" w:cs="Arial"/>
                <w:sz w:val="24"/>
                <w:szCs w:val="24"/>
              </w:rPr>
              <w:t>Resources provided free of charge or for nominal consideration</w:t>
            </w:r>
          </w:p>
        </w:tc>
        <w:tc>
          <w:tcPr>
            <w:tcW w:w="1278" w:type="dxa"/>
            <w:shd w:val="clear" w:color="auto" w:fill="auto"/>
            <w:noWrap/>
            <w:vAlign w:val="center"/>
            <w:hideMark/>
          </w:tcPr>
          <w:p w14:paraId="62E87AB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10,469 </w:t>
            </w:r>
          </w:p>
        </w:tc>
        <w:tc>
          <w:tcPr>
            <w:tcW w:w="1278" w:type="dxa"/>
            <w:noWrap/>
            <w:vAlign w:val="center"/>
            <w:hideMark/>
          </w:tcPr>
          <w:p w14:paraId="0BB9797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29,898 </w:t>
            </w:r>
          </w:p>
        </w:tc>
      </w:tr>
      <w:tr w:rsidR="003E5BF5" w:rsidRPr="00F413C5" w14:paraId="7938A5C6" w14:textId="77777777" w:rsidTr="007E5315">
        <w:trPr>
          <w:trHeight w:val="340"/>
        </w:trPr>
        <w:tc>
          <w:tcPr>
            <w:tcW w:w="6516" w:type="dxa"/>
            <w:vAlign w:val="center"/>
            <w:hideMark/>
          </w:tcPr>
          <w:p w14:paraId="01EFA8B4" w14:textId="77777777" w:rsidR="003E5BF5" w:rsidRPr="00F413C5" w:rsidRDefault="003E5BF5" w:rsidP="00DE1921">
            <w:pPr>
              <w:rPr>
                <w:rFonts w:ascii="Arial" w:hAnsi="Arial" w:cs="Arial"/>
                <w:sz w:val="24"/>
                <w:szCs w:val="24"/>
              </w:rPr>
            </w:pPr>
            <w:r w:rsidRPr="00F413C5">
              <w:rPr>
                <w:rFonts w:ascii="Arial" w:hAnsi="Arial" w:cs="Arial"/>
                <w:sz w:val="24"/>
                <w:szCs w:val="24"/>
              </w:rPr>
              <w:t>Resources received free of charge or for nominal consideration</w:t>
            </w:r>
          </w:p>
        </w:tc>
        <w:tc>
          <w:tcPr>
            <w:tcW w:w="1278" w:type="dxa"/>
            <w:shd w:val="clear" w:color="auto" w:fill="auto"/>
            <w:noWrap/>
            <w:vAlign w:val="center"/>
            <w:hideMark/>
          </w:tcPr>
          <w:p w14:paraId="6227B68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(11,075)</w:t>
            </w:r>
          </w:p>
        </w:tc>
        <w:tc>
          <w:tcPr>
            <w:tcW w:w="1278" w:type="dxa"/>
            <w:noWrap/>
            <w:vAlign w:val="center"/>
            <w:hideMark/>
          </w:tcPr>
          <w:p w14:paraId="2891B77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(26)</w:t>
            </w:r>
          </w:p>
        </w:tc>
      </w:tr>
      <w:tr w:rsidR="003E5BF5" w:rsidRPr="00F413C5" w14:paraId="58EF457F" w14:textId="77777777" w:rsidTr="007E5315">
        <w:trPr>
          <w:trHeight w:val="340"/>
        </w:trPr>
        <w:tc>
          <w:tcPr>
            <w:tcW w:w="6516" w:type="dxa"/>
            <w:noWrap/>
            <w:vAlign w:val="center"/>
            <w:hideMark/>
          </w:tcPr>
          <w:p w14:paraId="0D3C90B3" w14:textId="77777777" w:rsidR="003E5BF5" w:rsidRPr="00F413C5" w:rsidRDefault="003E5BF5" w:rsidP="00DE1921">
            <w:pPr>
              <w:rPr>
                <w:rFonts w:ascii="Arial" w:hAnsi="Arial" w:cs="Arial"/>
                <w:sz w:val="24"/>
                <w:szCs w:val="24"/>
              </w:rPr>
            </w:pPr>
            <w:r w:rsidRPr="00F413C5">
              <w:rPr>
                <w:rFonts w:ascii="Arial" w:hAnsi="Arial" w:cs="Arial"/>
                <w:sz w:val="24"/>
                <w:szCs w:val="24"/>
              </w:rPr>
              <w:t>Service Concession Liability interest accretion</w:t>
            </w:r>
          </w:p>
        </w:tc>
        <w:tc>
          <w:tcPr>
            <w:tcW w:w="1278" w:type="dxa"/>
            <w:shd w:val="clear" w:color="auto" w:fill="auto"/>
            <w:noWrap/>
            <w:vAlign w:val="center"/>
            <w:hideMark/>
          </w:tcPr>
          <w:p w14:paraId="6787C89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193,512 </w:t>
            </w:r>
          </w:p>
        </w:tc>
        <w:tc>
          <w:tcPr>
            <w:tcW w:w="1278" w:type="dxa"/>
            <w:noWrap/>
            <w:vAlign w:val="center"/>
            <w:hideMark/>
          </w:tcPr>
          <w:p w14:paraId="5F263C9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127,277 </w:t>
            </w:r>
          </w:p>
        </w:tc>
      </w:tr>
      <w:tr w:rsidR="003E5BF5" w:rsidRPr="00F413C5" w14:paraId="76540DFB" w14:textId="77777777" w:rsidTr="007E5315">
        <w:trPr>
          <w:trHeight w:val="340"/>
        </w:trPr>
        <w:tc>
          <w:tcPr>
            <w:tcW w:w="6516" w:type="dxa"/>
            <w:noWrap/>
            <w:vAlign w:val="center"/>
            <w:hideMark/>
          </w:tcPr>
          <w:p w14:paraId="6E49EE67" w14:textId="77777777" w:rsidR="003E5BF5" w:rsidRPr="00F413C5" w:rsidRDefault="003E5BF5" w:rsidP="00DE1921">
            <w:pPr>
              <w:rPr>
                <w:rFonts w:ascii="Arial" w:hAnsi="Arial" w:cs="Arial"/>
                <w:sz w:val="24"/>
                <w:szCs w:val="24"/>
              </w:rPr>
            </w:pPr>
            <w:r w:rsidRPr="00F413C5">
              <w:rPr>
                <w:rFonts w:ascii="Arial" w:hAnsi="Arial" w:cs="Arial"/>
                <w:sz w:val="24"/>
                <w:szCs w:val="24"/>
              </w:rPr>
              <w:t>Interest on Right of Use lease liability</w:t>
            </w:r>
          </w:p>
        </w:tc>
        <w:tc>
          <w:tcPr>
            <w:tcW w:w="1278" w:type="dxa"/>
            <w:shd w:val="clear" w:color="auto" w:fill="auto"/>
            <w:noWrap/>
            <w:vAlign w:val="center"/>
            <w:hideMark/>
          </w:tcPr>
          <w:p w14:paraId="254BDA62"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4,881 </w:t>
            </w:r>
          </w:p>
        </w:tc>
        <w:tc>
          <w:tcPr>
            <w:tcW w:w="1278" w:type="dxa"/>
            <w:noWrap/>
            <w:vAlign w:val="center"/>
            <w:hideMark/>
          </w:tcPr>
          <w:p w14:paraId="6A05A9E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12ECBA68" w14:textId="77777777" w:rsidTr="007E5315">
        <w:trPr>
          <w:trHeight w:val="340"/>
        </w:trPr>
        <w:tc>
          <w:tcPr>
            <w:tcW w:w="6516" w:type="dxa"/>
            <w:noWrap/>
            <w:vAlign w:val="center"/>
            <w:hideMark/>
          </w:tcPr>
          <w:p w14:paraId="11A95B2F" w14:textId="77777777" w:rsidR="003E5BF5" w:rsidRPr="00F413C5" w:rsidRDefault="003E5BF5" w:rsidP="00DE1921">
            <w:pPr>
              <w:rPr>
                <w:rFonts w:ascii="Arial" w:hAnsi="Arial" w:cs="Arial"/>
                <w:sz w:val="24"/>
                <w:szCs w:val="24"/>
              </w:rPr>
            </w:pPr>
            <w:r w:rsidRPr="00F413C5">
              <w:rPr>
                <w:rFonts w:ascii="Arial" w:hAnsi="Arial" w:cs="Arial"/>
                <w:sz w:val="24"/>
                <w:szCs w:val="24"/>
              </w:rPr>
              <w:t>Revenue recognised from unwinding of Grant of Right to Operate Liability</w:t>
            </w:r>
          </w:p>
        </w:tc>
        <w:tc>
          <w:tcPr>
            <w:tcW w:w="1278" w:type="dxa"/>
            <w:shd w:val="clear" w:color="auto" w:fill="auto"/>
            <w:noWrap/>
            <w:vAlign w:val="center"/>
            <w:hideMark/>
          </w:tcPr>
          <w:p w14:paraId="291BDD7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(249,817)</w:t>
            </w:r>
          </w:p>
        </w:tc>
        <w:tc>
          <w:tcPr>
            <w:tcW w:w="1278" w:type="dxa"/>
            <w:noWrap/>
            <w:vAlign w:val="center"/>
            <w:hideMark/>
          </w:tcPr>
          <w:p w14:paraId="2D0AD07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59FCCBC2" w14:textId="77777777" w:rsidTr="007E5315">
        <w:trPr>
          <w:trHeight w:val="340"/>
        </w:trPr>
        <w:tc>
          <w:tcPr>
            <w:tcW w:w="6516" w:type="dxa"/>
            <w:noWrap/>
            <w:vAlign w:val="center"/>
            <w:hideMark/>
          </w:tcPr>
          <w:p w14:paraId="1EB7D258" w14:textId="77777777" w:rsidR="003E5BF5" w:rsidRPr="00F413C5" w:rsidRDefault="003E5BF5" w:rsidP="00DE1921">
            <w:pPr>
              <w:rPr>
                <w:rFonts w:ascii="Arial" w:hAnsi="Arial" w:cs="Arial"/>
                <w:sz w:val="24"/>
                <w:szCs w:val="24"/>
              </w:rPr>
            </w:pPr>
            <w:r w:rsidRPr="00F413C5">
              <w:rPr>
                <w:rFonts w:ascii="Arial" w:hAnsi="Arial" w:cs="Arial"/>
                <w:sz w:val="24"/>
                <w:szCs w:val="24"/>
              </w:rPr>
              <w:t>Revaluation Write Down - Infrastructure Roads</w:t>
            </w:r>
          </w:p>
        </w:tc>
        <w:tc>
          <w:tcPr>
            <w:tcW w:w="1278" w:type="dxa"/>
            <w:shd w:val="clear" w:color="auto" w:fill="auto"/>
            <w:noWrap/>
            <w:vAlign w:val="center"/>
            <w:hideMark/>
          </w:tcPr>
          <w:p w14:paraId="0D0D340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521,401 </w:t>
            </w:r>
          </w:p>
        </w:tc>
        <w:tc>
          <w:tcPr>
            <w:tcW w:w="1278" w:type="dxa"/>
            <w:noWrap/>
            <w:vAlign w:val="center"/>
            <w:hideMark/>
          </w:tcPr>
          <w:p w14:paraId="4E9234B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6A65261E" w14:textId="77777777" w:rsidTr="007E5315">
        <w:trPr>
          <w:trHeight w:val="340"/>
        </w:trPr>
        <w:tc>
          <w:tcPr>
            <w:tcW w:w="6516" w:type="dxa"/>
            <w:noWrap/>
            <w:vAlign w:val="center"/>
            <w:hideMark/>
          </w:tcPr>
          <w:p w14:paraId="5221C0AB" w14:textId="77777777" w:rsidR="003E5BF5" w:rsidRPr="00F413C5" w:rsidRDefault="003E5BF5" w:rsidP="00DE1921">
            <w:pPr>
              <w:rPr>
                <w:rFonts w:ascii="Arial" w:hAnsi="Arial" w:cs="Arial"/>
                <w:sz w:val="24"/>
                <w:szCs w:val="24"/>
              </w:rPr>
            </w:pPr>
            <w:r w:rsidRPr="00F413C5">
              <w:rPr>
                <w:rFonts w:ascii="Arial" w:hAnsi="Arial" w:cs="Arial"/>
                <w:sz w:val="24"/>
                <w:szCs w:val="24"/>
              </w:rPr>
              <w:t>Revaluation of long service leave liability</w:t>
            </w:r>
          </w:p>
        </w:tc>
        <w:tc>
          <w:tcPr>
            <w:tcW w:w="1278" w:type="dxa"/>
            <w:shd w:val="clear" w:color="auto" w:fill="auto"/>
            <w:noWrap/>
            <w:vAlign w:val="center"/>
            <w:hideMark/>
          </w:tcPr>
          <w:p w14:paraId="73E94F3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43,319 </w:t>
            </w:r>
          </w:p>
        </w:tc>
        <w:tc>
          <w:tcPr>
            <w:tcW w:w="1278" w:type="dxa"/>
            <w:noWrap/>
            <w:vAlign w:val="center"/>
            <w:hideMark/>
          </w:tcPr>
          <w:p w14:paraId="5891BF4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857 </w:t>
            </w:r>
          </w:p>
        </w:tc>
      </w:tr>
      <w:tr w:rsidR="003E5BF5" w:rsidRPr="00F413C5" w14:paraId="39C66BE0" w14:textId="77777777" w:rsidTr="007E5315">
        <w:trPr>
          <w:trHeight w:val="340"/>
        </w:trPr>
        <w:tc>
          <w:tcPr>
            <w:tcW w:w="6516" w:type="dxa"/>
            <w:noWrap/>
            <w:vAlign w:val="center"/>
            <w:hideMark/>
          </w:tcPr>
          <w:p w14:paraId="457446BB" w14:textId="77777777" w:rsidR="003E5BF5" w:rsidRPr="00F413C5" w:rsidRDefault="003E5BF5" w:rsidP="00DE1921">
            <w:pPr>
              <w:rPr>
                <w:rFonts w:ascii="Arial" w:hAnsi="Arial" w:cs="Arial"/>
                <w:sz w:val="24"/>
                <w:szCs w:val="24"/>
              </w:rPr>
            </w:pPr>
            <w:r w:rsidRPr="00F413C5">
              <w:rPr>
                <w:rFonts w:ascii="Arial" w:hAnsi="Arial" w:cs="Arial"/>
                <w:sz w:val="24"/>
                <w:szCs w:val="24"/>
              </w:rPr>
              <w:t>Unwinding of other provision</w:t>
            </w:r>
          </w:p>
        </w:tc>
        <w:tc>
          <w:tcPr>
            <w:tcW w:w="1278" w:type="dxa"/>
            <w:shd w:val="clear" w:color="auto" w:fill="auto"/>
            <w:noWrap/>
            <w:vAlign w:val="center"/>
            <w:hideMark/>
          </w:tcPr>
          <w:p w14:paraId="18CA5B1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278" w:type="dxa"/>
            <w:noWrap/>
            <w:vAlign w:val="center"/>
            <w:hideMark/>
          </w:tcPr>
          <w:p w14:paraId="26161F9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2,138 </w:t>
            </w:r>
          </w:p>
        </w:tc>
      </w:tr>
      <w:tr w:rsidR="003E5BF5" w:rsidRPr="00F413C5" w14:paraId="3B111C13" w14:textId="77777777" w:rsidTr="007E5315">
        <w:trPr>
          <w:trHeight w:val="340"/>
        </w:trPr>
        <w:tc>
          <w:tcPr>
            <w:tcW w:w="6516" w:type="dxa"/>
            <w:noWrap/>
            <w:vAlign w:val="center"/>
            <w:hideMark/>
          </w:tcPr>
          <w:p w14:paraId="0C253490" w14:textId="77777777" w:rsidR="003E5BF5" w:rsidRPr="00F413C5" w:rsidRDefault="003E5BF5" w:rsidP="00604703">
            <w:pPr>
              <w:pStyle w:val="TableTextGreen"/>
            </w:pPr>
            <w:r w:rsidRPr="00F413C5">
              <w:t>Movements in assets and liabilities</w:t>
            </w:r>
          </w:p>
        </w:tc>
        <w:tc>
          <w:tcPr>
            <w:tcW w:w="1278" w:type="dxa"/>
            <w:shd w:val="clear" w:color="auto" w:fill="auto"/>
            <w:noWrap/>
            <w:vAlign w:val="center"/>
            <w:hideMark/>
          </w:tcPr>
          <w:p w14:paraId="0A5E3708" w14:textId="77777777" w:rsidR="003E5BF5" w:rsidRPr="00F413C5" w:rsidRDefault="003E5BF5" w:rsidP="00DE1921">
            <w:pPr>
              <w:jc w:val="right"/>
              <w:rPr>
                <w:rFonts w:ascii="Arial" w:hAnsi="Arial" w:cs="Arial"/>
                <w:b/>
                <w:sz w:val="24"/>
                <w:szCs w:val="24"/>
              </w:rPr>
            </w:pPr>
          </w:p>
        </w:tc>
        <w:tc>
          <w:tcPr>
            <w:tcW w:w="1278" w:type="dxa"/>
            <w:noWrap/>
            <w:vAlign w:val="center"/>
            <w:hideMark/>
          </w:tcPr>
          <w:p w14:paraId="5B71E2A8" w14:textId="77777777" w:rsidR="003E5BF5" w:rsidRPr="00F413C5" w:rsidRDefault="003E5BF5" w:rsidP="00DE1921">
            <w:pPr>
              <w:jc w:val="right"/>
              <w:rPr>
                <w:rFonts w:ascii="Arial" w:hAnsi="Arial" w:cs="Arial"/>
                <w:sz w:val="24"/>
                <w:szCs w:val="24"/>
              </w:rPr>
            </w:pPr>
          </w:p>
        </w:tc>
      </w:tr>
      <w:tr w:rsidR="003E5BF5" w:rsidRPr="00F413C5" w14:paraId="08B40625" w14:textId="77777777" w:rsidTr="007E5315">
        <w:trPr>
          <w:trHeight w:val="340"/>
        </w:trPr>
        <w:tc>
          <w:tcPr>
            <w:tcW w:w="6516" w:type="dxa"/>
            <w:noWrap/>
            <w:vAlign w:val="center"/>
            <w:hideMark/>
          </w:tcPr>
          <w:p w14:paraId="1A6EE4F7" w14:textId="77777777" w:rsidR="003E5BF5" w:rsidRPr="00F413C5" w:rsidRDefault="003E5BF5" w:rsidP="00DE1921">
            <w:pPr>
              <w:rPr>
                <w:rFonts w:ascii="Arial" w:hAnsi="Arial" w:cs="Arial"/>
                <w:sz w:val="24"/>
                <w:szCs w:val="24"/>
              </w:rPr>
            </w:pPr>
            <w:r w:rsidRPr="00F413C5">
              <w:rPr>
                <w:rFonts w:ascii="Arial" w:hAnsi="Arial" w:cs="Arial"/>
                <w:sz w:val="24"/>
                <w:szCs w:val="24"/>
              </w:rPr>
              <w:t>(Increase)/decrease in receivables</w:t>
            </w:r>
          </w:p>
        </w:tc>
        <w:tc>
          <w:tcPr>
            <w:tcW w:w="1278" w:type="dxa"/>
            <w:shd w:val="clear" w:color="auto" w:fill="auto"/>
            <w:noWrap/>
            <w:vAlign w:val="center"/>
            <w:hideMark/>
          </w:tcPr>
          <w:p w14:paraId="2B5285F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853,092 </w:t>
            </w:r>
          </w:p>
        </w:tc>
        <w:tc>
          <w:tcPr>
            <w:tcW w:w="1278" w:type="dxa"/>
            <w:noWrap/>
            <w:vAlign w:val="center"/>
            <w:hideMark/>
          </w:tcPr>
          <w:p w14:paraId="17EA0AF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(77,258)</w:t>
            </w:r>
          </w:p>
        </w:tc>
      </w:tr>
      <w:tr w:rsidR="003E5BF5" w:rsidRPr="00F413C5" w14:paraId="5EDD057A" w14:textId="77777777" w:rsidTr="007E5315">
        <w:trPr>
          <w:trHeight w:val="340"/>
        </w:trPr>
        <w:tc>
          <w:tcPr>
            <w:tcW w:w="6516" w:type="dxa"/>
            <w:noWrap/>
            <w:vAlign w:val="center"/>
            <w:hideMark/>
          </w:tcPr>
          <w:p w14:paraId="7D5C6D70" w14:textId="77777777" w:rsidR="003E5BF5" w:rsidRPr="00F413C5" w:rsidRDefault="003E5BF5" w:rsidP="00DE1921">
            <w:pPr>
              <w:rPr>
                <w:rFonts w:ascii="Arial" w:hAnsi="Arial" w:cs="Arial"/>
                <w:sz w:val="24"/>
                <w:szCs w:val="24"/>
              </w:rPr>
            </w:pPr>
            <w:r w:rsidRPr="00F413C5">
              <w:rPr>
                <w:rFonts w:ascii="Arial" w:hAnsi="Arial" w:cs="Arial"/>
                <w:sz w:val="24"/>
                <w:szCs w:val="24"/>
              </w:rPr>
              <w:t>(Increase)/decrease in prepayments</w:t>
            </w:r>
          </w:p>
        </w:tc>
        <w:tc>
          <w:tcPr>
            <w:tcW w:w="1278" w:type="dxa"/>
            <w:shd w:val="clear" w:color="auto" w:fill="auto"/>
            <w:noWrap/>
            <w:vAlign w:val="center"/>
            <w:hideMark/>
          </w:tcPr>
          <w:p w14:paraId="5DDF642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(280,191)</w:t>
            </w:r>
          </w:p>
        </w:tc>
        <w:tc>
          <w:tcPr>
            <w:tcW w:w="1278" w:type="dxa"/>
            <w:noWrap/>
            <w:vAlign w:val="center"/>
            <w:hideMark/>
          </w:tcPr>
          <w:p w14:paraId="5E1175B2"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(244,506)</w:t>
            </w:r>
          </w:p>
        </w:tc>
      </w:tr>
      <w:tr w:rsidR="003E5BF5" w:rsidRPr="00F413C5" w14:paraId="16759F21" w14:textId="77777777" w:rsidTr="007E5315">
        <w:trPr>
          <w:trHeight w:val="340"/>
        </w:trPr>
        <w:tc>
          <w:tcPr>
            <w:tcW w:w="6516" w:type="dxa"/>
            <w:noWrap/>
            <w:vAlign w:val="center"/>
            <w:hideMark/>
          </w:tcPr>
          <w:p w14:paraId="60281506" w14:textId="77777777" w:rsidR="003E5BF5" w:rsidRPr="00F413C5" w:rsidRDefault="003E5BF5" w:rsidP="00DE1921">
            <w:pPr>
              <w:rPr>
                <w:rFonts w:ascii="Arial" w:hAnsi="Arial" w:cs="Arial"/>
                <w:sz w:val="24"/>
                <w:szCs w:val="24"/>
              </w:rPr>
            </w:pPr>
            <w:r w:rsidRPr="00F413C5">
              <w:rPr>
                <w:rFonts w:ascii="Arial" w:hAnsi="Arial" w:cs="Arial"/>
                <w:sz w:val="24"/>
                <w:szCs w:val="24"/>
              </w:rPr>
              <w:t>Increase/(decrease) in payables</w:t>
            </w:r>
          </w:p>
        </w:tc>
        <w:tc>
          <w:tcPr>
            <w:tcW w:w="1278" w:type="dxa"/>
            <w:shd w:val="clear" w:color="auto" w:fill="auto"/>
            <w:noWrap/>
            <w:vAlign w:val="center"/>
            <w:hideMark/>
          </w:tcPr>
          <w:p w14:paraId="7CBB831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(613,679)</w:t>
            </w:r>
          </w:p>
        </w:tc>
        <w:tc>
          <w:tcPr>
            <w:tcW w:w="1278" w:type="dxa"/>
            <w:noWrap/>
            <w:vAlign w:val="center"/>
            <w:hideMark/>
          </w:tcPr>
          <w:p w14:paraId="40A1B3A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(102,568)</w:t>
            </w:r>
          </w:p>
        </w:tc>
      </w:tr>
      <w:tr w:rsidR="003E5BF5" w:rsidRPr="00F413C5" w14:paraId="450EEF61" w14:textId="77777777" w:rsidTr="007E5315">
        <w:trPr>
          <w:trHeight w:val="340"/>
        </w:trPr>
        <w:tc>
          <w:tcPr>
            <w:tcW w:w="6516" w:type="dxa"/>
            <w:noWrap/>
            <w:vAlign w:val="center"/>
          </w:tcPr>
          <w:p w14:paraId="396674D4" w14:textId="77777777" w:rsidR="003E5BF5" w:rsidRPr="00F413C5" w:rsidRDefault="003E5BF5" w:rsidP="00DE1921">
            <w:pPr>
              <w:rPr>
                <w:rFonts w:ascii="Arial" w:hAnsi="Arial" w:cs="Arial"/>
                <w:sz w:val="24"/>
                <w:szCs w:val="24"/>
              </w:rPr>
            </w:pPr>
            <w:r w:rsidRPr="00F413C5">
              <w:rPr>
                <w:rFonts w:ascii="Arial" w:hAnsi="Arial" w:cs="Arial"/>
                <w:sz w:val="24"/>
                <w:szCs w:val="24"/>
              </w:rPr>
              <w:t>Increase/(decrease) in provisions</w:t>
            </w:r>
          </w:p>
        </w:tc>
        <w:tc>
          <w:tcPr>
            <w:tcW w:w="1278" w:type="dxa"/>
            <w:shd w:val="clear" w:color="auto" w:fill="auto"/>
            <w:noWrap/>
            <w:vAlign w:val="center"/>
          </w:tcPr>
          <w:p w14:paraId="2A9CB99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56,108 </w:t>
            </w:r>
          </w:p>
        </w:tc>
        <w:tc>
          <w:tcPr>
            <w:tcW w:w="1278" w:type="dxa"/>
            <w:noWrap/>
            <w:vAlign w:val="center"/>
          </w:tcPr>
          <w:p w14:paraId="5987AD4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23,198 </w:t>
            </w:r>
          </w:p>
        </w:tc>
      </w:tr>
      <w:tr w:rsidR="003E5BF5" w:rsidRPr="00F413C5" w14:paraId="552DEC7B" w14:textId="77777777" w:rsidTr="007E5315">
        <w:trPr>
          <w:trHeight w:val="340"/>
        </w:trPr>
        <w:tc>
          <w:tcPr>
            <w:tcW w:w="6516" w:type="dxa"/>
            <w:noWrap/>
            <w:vAlign w:val="center"/>
          </w:tcPr>
          <w:p w14:paraId="690248BB" w14:textId="77777777" w:rsidR="003E5BF5" w:rsidRPr="00F413C5" w:rsidRDefault="003E5BF5" w:rsidP="00DE1921">
            <w:pPr>
              <w:rPr>
                <w:rFonts w:ascii="Arial" w:hAnsi="Arial" w:cs="Arial"/>
                <w:sz w:val="24"/>
                <w:szCs w:val="24"/>
              </w:rPr>
            </w:pPr>
            <w:r w:rsidRPr="00F413C5">
              <w:rPr>
                <w:rFonts w:ascii="Arial" w:hAnsi="Arial" w:cs="Arial"/>
                <w:sz w:val="24"/>
                <w:szCs w:val="24"/>
              </w:rPr>
              <w:t>(Increase)/decrease in contract assets</w:t>
            </w:r>
          </w:p>
        </w:tc>
        <w:tc>
          <w:tcPr>
            <w:tcW w:w="1278" w:type="dxa"/>
            <w:shd w:val="clear" w:color="auto" w:fill="auto"/>
            <w:noWrap/>
            <w:vAlign w:val="center"/>
          </w:tcPr>
          <w:p w14:paraId="17AD2EB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(12,322)</w:t>
            </w:r>
          </w:p>
        </w:tc>
        <w:tc>
          <w:tcPr>
            <w:tcW w:w="1278" w:type="dxa"/>
            <w:noWrap/>
            <w:vAlign w:val="center"/>
          </w:tcPr>
          <w:p w14:paraId="69E6C55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660DFB0C" w14:textId="77777777" w:rsidTr="007E5315">
        <w:trPr>
          <w:trHeight w:val="340"/>
        </w:trPr>
        <w:tc>
          <w:tcPr>
            <w:tcW w:w="6516" w:type="dxa"/>
            <w:noWrap/>
            <w:vAlign w:val="center"/>
          </w:tcPr>
          <w:p w14:paraId="5DD5FBE8" w14:textId="77777777" w:rsidR="003E5BF5" w:rsidRPr="00F413C5" w:rsidRDefault="003E5BF5" w:rsidP="00DE1921">
            <w:pPr>
              <w:rPr>
                <w:rFonts w:ascii="Arial" w:hAnsi="Arial" w:cs="Arial"/>
                <w:sz w:val="24"/>
                <w:szCs w:val="24"/>
              </w:rPr>
            </w:pPr>
            <w:r w:rsidRPr="00F413C5">
              <w:rPr>
                <w:rFonts w:ascii="Arial" w:hAnsi="Arial" w:cs="Arial"/>
                <w:sz w:val="24"/>
                <w:szCs w:val="24"/>
              </w:rPr>
              <w:t>Increase/(decrease) in contract liabilities</w:t>
            </w:r>
          </w:p>
        </w:tc>
        <w:tc>
          <w:tcPr>
            <w:tcW w:w="1278" w:type="dxa"/>
            <w:shd w:val="clear" w:color="auto" w:fill="auto"/>
            <w:noWrap/>
            <w:vAlign w:val="center"/>
          </w:tcPr>
          <w:p w14:paraId="752DC93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3,057</w:t>
            </w:r>
          </w:p>
        </w:tc>
        <w:tc>
          <w:tcPr>
            <w:tcW w:w="1278" w:type="dxa"/>
            <w:noWrap/>
            <w:vAlign w:val="center"/>
          </w:tcPr>
          <w:p w14:paraId="788D76A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2967372F" w14:textId="77777777" w:rsidTr="007E5315">
        <w:trPr>
          <w:trHeight w:val="340"/>
        </w:trPr>
        <w:tc>
          <w:tcPr>
            <w:tcW w:w="6516" w:type="dxa"/>
            <w:noWrap/>
            <w:vAlign w:val="center"/>
            <w:hideMark/>
          </w:tcPr>
          <w:p w14:paraId="4164EA7A" w14:textId="77777777" w:rsidR="003E5BF5" w:rsidRPr="00F413C5" w:rsidRDefault="003E5BF5" w:rsidP="00DE1921">
            <w:pPr>
              <w:rPr>
                <w:rFonts w:ascii="Arial" w:hAnsi="Arial" w:cs="Arial"/>
                <w:b/>
                <w:sz w:val="24"/>
                <w:szCs w:val="24"/>
              </w:rPr>
            </w:pPr>
            <w:r w:rsidRPr="00F413C5">
              <w:rPr>
                <w:rFonts w:ascii="Arial" w:hAnsi="Arial" w:cs="Arial"/>
                <w:sz w:val="24"/>
                <w:szCs w:val="24"/>
              </w:rPr>
              <w:t>Net cash flows from/(used) in operating activities</w:t>
            </w:r>
          </w:p>
        </w:tc>
        <w:tc>
          <w:tcPr>
            <w:tcW w:w="1278" w:type="dxa"/>
            <w:shd w:val="clear" w:color="auto" w:fill="auto"/>
            <w:noWrap/>
            <w:vAlign w:val="center"/>
            <w:hideMark/>
          </w:tcPr>
          <w:p w14:paraId="57843278"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585,232 </w:t>
            </w:r>
          </w:p>
        </w:tc>
        <w:tc>
          <w:tcPr>
            <w:tcW w:w="1278" w:type="dxa"/>
            <w:noWrap/>
            <w:vAlign w:val="center"/>
            <w:hideMark/>
          </w:tcPr>
          <w:p w14:paraId="059111DE"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(594,703)</w:t>
            </w:r>
          </w:p>
        </w:tc>
      </w:tr>
    </w:tbl>
    <w:p w14:paraId="77BCCF20" w14:textId="77777777" w:rsidR="003E5BF5" w:rsidRDefault="003E5BF5" w:rsidP="00DE1921">
      <w:pPr>
        <w:rPr>
          <w:sz w:val="20"/>
          <w:szCs w:val="20"/>
        </w:rPr>
        <w:sectPr w:rsidR="003E5BF5" w:rsidSect="00DE1921">
          <w:type w:val="continuous"/>
          <w:pgSz w:w="11906" w:h="16838" w:code="9"/>
          <w:pgMar w:top="1701" w:right="1418" w:bottom="1418" w:left="1418" w:header="709" w:footer="709" w:gutter="0"/>
          <w:cols w:space="708"/>
          <w:docGrid w:linePitch="360"/>
        </w:sectPr>
      </w:pPr>
    </w:p>
    <w:p w14:paraId="216302A7" w14:textId="77777777" w:rsidR="003E5BF5" w:rsidRPr="007444F0" w:rsidRDefault="003E5BF5" w:rsidP="00610F5F">
      <w:pPr>
        <w:pStyle w:val="Heading2"/>
        <w:numPr>
          <w:ilvl w:val="1"/>
          <w:numId w:val="21"/>
        </w:numPr>
      </w:pPr>
      <w:bookmarkStart w:id="455" w:name="_Reconciliation_of_net"/>
      <w:bookmarkStart w:id="456" w:name="_Toc53420584"/>
      <w:bookmarkStart w:id="457" w:name="_Toc53420683"/>
      <w:bookmarkStart w:id="458" w:name="_Toc521965482"/>
      <w:bookmarkStart w:id="459" w:name="_Toc529196587"/>
      <w:bookmarkStart w:id="460" w:name="_Toc529197628"/>
      <w:bookmarkStart w:id="461" w:name="_Toc529197789"/>
      <w:bookmarkStart w:id="462" w:name="_Toc529197921"/>
      <w:bookmarkStart w:id="463" w:name="_Toc529197961"/>
      <w:bookmarkEnd w:id="449"/>
      <w:bookmarkEnd w:id="450"/>
      <w:bookmarkEnd w:id="451"/>
      <w:bookmarkEnd w:id="452"/>
      <w:bookmarkEnd w:id="453"/>
      <w:bookmarkEnd w:id="454"/>
      <w:bookmarkEnd w:id="455"/>
      <w:r w:rsidRPr="007444F0">
        <w:lastRenderedPageBreak/>
        <w:t>Trust account balances</w:t>
      </w:r>
      <w:bookmarkEnd w:id="456"/>
      <w:bookmarkEnd w:id="457"/>
    </w:p>
    <w:p w14:paraId="4183F524" w14:textId="77777777" w:rsidR="003E5BF5" w:rsidRDefault="003E5BF5" w:rsidP="00610F5F">
      <w:pPr>
        <w:pStyle w:val="Heading3"/>
        <w:numPr>
          <w:ilvl w:val="2"/>
          <w:numId w:val="21"/>
        </w:numPr>
        <w:ind w:left="765" w:hanging="765"/>
        <w:sectPr w:rsidR="003E5BF5" w:rsidSect="00DE1921">
          <w:headerReference w:type="even" r:id="rId146"/>
          <w:headerReference w:type="default" r:id="rId147"/>
          <w:footerReference w:type="even" r:id="rId148"/>
          <w:headerReference w:type="first" r:id="rId149"/>
          <w:pgSz w:w="16838" w:h="11906" w:orient="landscape"/>
          <w:pgMar w:top="1418" w:right="1701" w:bottom="1418" w:left="1418" w:header="709" w:footer="709" w:gutter="0"/>
          <w:cols w:space="708"/>
          <w:docGrid w:linePitch="360"/>
        </w:sectPr>
      </w:pPr>
      <w:r w:rsidRPr="007444F0">
        <w:t xml:space="preserve">Trust account balances relating to trust accounts controlled by the </w:t>
      </w:r>
      <w:r>
        <w:t>d</w:t>
      </w:r>
      <w:r w:rsidRPr="007444F0">
        <w:t>epartmen</w:t>
      </w:r>
      <w:bookmarkEnd w:id="458"/>
      <w:bookmarkEnd w:id="459"/>
      <w:bookmarkEnd w:id="460"/>
      <w:bookmarkEnd w:id="461"/>
      <w:bookmarkEnd w:id="462"/>
      <w:bookmarkEnd w:id="463"/>
      <w:r>
        <w:t>t</w:t>
      </w:r>
    </w:p>
    <w:p w14:paraId="7E604948" w14:textId="77777777" w:rsidR="003E5BF5" w:rsidRPr="007444F0" w:rsidRDefault="003E5BF5" w:rsidP="001C6099">
      <w:pPr>
        <w:pStyle w:val="aaatyping"/>
      </w:pPr>
      <w:r w:rsidRPr="007444F0">
        <w:t xml:space="preserve">Due to the </w:t>
      </w:r>
      <w:proofErr w:type="spellStart"/>
      <w:r w:rsidRPr="007444F0">
        <w:t>MoG</w:t>
      </w:r>
      <w:proofErr w:type="spellEnd"/>
      <w:r w:rsidRPr="007444F0">
        <w:t xml:space="preserve"> change </w:t>
      </w:r>
      <w:r>
        <w:t>effective 1 July 2019</w:t>
      </w:r>
      <w:r w:rsidRPr="007444F0">
        <w:t xml:space="preserve">, the following trust funds have been </w:t>
      </w:r>
      <w:r>
        <w:t>opened by the d</w:t>
      </w:r>
      <w:r w:rsidRPr="007444F0">
        <w:t>epartment</w:t>
      </w:r>
      <w:r>
        <w:t xml:space="preserve"> under section 19 of the FMA during the year</w:t>
      </w:r>
      <w:r w:rsidRPr="007444F0">
        <w:t>.</w:t>
      </w:r>
      <w:r>
        <w:t xml:space="preserve"> There were no trust accounts closed by the department during 2019-20.</w:t>
      </w:r>
    </w:p>
    <w:p w14:paraId="4EE83BE0" w14:textId="77777777" w:rsidR="003E5BF5" w:rsidRPr="001C6099" w:rsidRDefault="003E5BF5" w:rsidP="001C6099">
      <w:pPr>
        <w:pStyle w:val="aaatyping"/>
        <w:rPr>
          <w:b/>
          <w:bCs/>
        </w:rPr>
      </w:pPr>
      <w:r w:rsidRPr="001C6099">
        <w:rPr>
          <w:b/>
          <w:bCs/>
        </w:rPr>
        <w:t>Controlled trusts</w:t>
      </w:r>
    </w:p>
    <w:p w14:paraId="3E4DEFCB" w14:textId="77777777" w:rsidR="003E5BF5" w:rsidRPr="001429C9" w:rsidRDefault="003E5BF5" w:rsidP="001C6099">
      <w:pPr>
        <w:pStyle w:val="aaabullet"/>
      </w:pPr>
      <w:r w:rsidRPr="001429C9">
        <w:t>Public Transport Fund</w:t>
      </w:r>
    </w:p>
    <w:p w14:paraId="4EF51C68" w14:textId="77777777" w:rsidR="003E5BF5" w:rsidRPr="001429C9" w:rsidRDefault="003E5BF5" w:rsidP="001C6099">
      <w:pPr>
        <w:pStyle w:val="aaabullet"/>
      </w:pPr>
      <w:r w:rsidRPr="001429C9">
        <w:t>Roads Safety Fund</w:t>
      </w:r>
    </w:p>
    <w:p w14:paraId="2C4F9D92" w14:textId="77777777" w:rsidR="003E5BF5" w:rsidRPr="001429C9" w:rsidRDefault="003E5BF5" w:rsidP="001C6099">
      <w:pPr>
        <w:pStyle w:val="aaabullet"/>
      </w:pPr>
      <w:r w:rsidRPr="001429C9">
        <w:t>Interim Transport Transition Fund</w:t>
      </w:r>
    </w:p>
    <w:p w14:paraId="055CB113" w14:textId="77777777" w:rsidR="003E5BF5" w:rsidRDefault="003E5BF5" w:rsidP="001C6099">
      <w:pPr>
        <w:pStyle w:val="aaatyping"/>
      </w:pPr>
      <w:r w:rsidRPr="0087029A">
        <w:t>The following list of controlled trust account balances on a cash basis:</w:t>
      </w:r>
      <w:bookmarkStart w:id="464" w:name="RANGE!A3:J19"/>
      <w:bookmarkStart w:id="465" w:name="RANGE!A3:J22"/>
      <w:bookmarkEnd w:id="464"/>
      <w:bookmarkEnd w:id="465"/>
    </w:p>
    <w:p w14:paraId="632BFC1C" w14:textId="700AAB17" w:rsidR="00964784" w:rsidRDefault="00964784" w:rsidP="001C6099">
      <w:pPr>
        <w:pStyle w:val="aaatyping"/>
      </w:pPr>
      <w:r>
        <w:br w:type="page"/>
      </w:r>
    </w:p>
    <w:tbl>
      <w:tblPr>
        <w:tblStyle w:val="TableGrid"/>
        <w:tblW w:w="147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237"/>
        <w:gridCol w:w="1159"/>
        <w:gridCol w:w="1159"/>
        <w:gridCol w:w="1324"/>
        <w:gridCol w:w="1117"/>
        <w:gridCol w:w="1088"/>
        <w:gridCol w:w="1159"/>
        <w:gridCol w:w="1324"/>
        <w:gridCol w:w="1087"/>
        <w:gridCol w:w="1088"/>
      </w:tblGrid>
      <w:tr w:rsidR="003E5BF5" w:rsidRPr="00F413C5" w14:paraId="2CA5341A" w14:textId="77777777" w:rsidTr="00964784">
        <w:trPr>
          <w:trHeight w:val="340"/>
          <w:tblHeader/>
          <w:jc w:val="center"/>
        </w:trPr>
        <w:tc>
          <w:tcPr>
            <w:tcW w:w="4237" w:type="dxa"/>
            <w:tcBorders>
              <w:top w:val="single" w:sz="4" w:space="0" w:color="auto"/>
              <w:left w:val="single" w:sz="4" w:space="0" w:color="auto"/>
              <w:bottom w:val="single" w:sz="4" w:space="0" w:color="auto"/>
              <w:right w:val="single" w:sz="4" w:space="0" w:color="auto"/>
            </w:tcBorders>
            <w:shd w:val="clear" w:color="auto" w:fill="auto"/>
            <w:noWrap/>
            <w:hideMark/>
          </w:tcPr>
          <w:p w14:paraId="5001E0DF" w14:textId="77777777" w:rsidR="003E5BF5" w:rsidRPr="00F413C5" w:rsidRDefault="003E5BF5" w:rsidP="00DE1921">
            <w:pPr>
              <w:rPr>
                <w:rFonts w:ascii="Arial" w:hAnsi="Arial" w:cs="Arial"/>
                <w:sz w:val="24"/>
                <w:szCs w:val="24"/>
              </w:rPr>
            </w:pPr>
          </w:p>
        </w:tc>
        <w:tc>
          <w:tcPr>
            <w:tcW w:w="1050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31CA2FA"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 thousand)</w:t>
            </w:r>
          </w:p>
        </w:tc>
      </w:tr>
      <w:tr w:rsidR="003E5BF5" w:rsidRPr="00F413C5" w14:paraId="41EEE7B4" w14:textId="77777777" w:rsidTr="00964784">
        <w:trPr>
          <w:trHeight w:val="340"/>
          <w:tblHeader/>
          <w:jc w:val="center"/>
        </w:trPr>
        <w:tc>
          <w:tcPr>
            <w:tcW w:w="4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C96D8" w14:textId="77777777" w:rsidR="003E5BF5" w:rsidRPr="00F413C5" w:rsidRDefault="003E5BF5" w:rsidP="00DE1921">
            <w:pPr>
              <w:jc w:val="right"/>
              <w:rPr>
                <w:rFonts w:ascii="Arial" w:hAnsi="Arial" w:cs="Arial"/>
                <w:b/>
                <w:sz w:val="24"/>
                <w:szCs w:val="24"/>
              </w:rPr>
            </w:pP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3CEA9"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2018</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DBFC57"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Total Receipts</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6C725E"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Total Payments</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6C550C" w14:textId="77777777" w:rsidR="003E5BF5" w:rsidRPr="00F413C5" w:rsidRDefault="003E5BF5" w:rsidP="00DE1921">
            <w:pPr>
              <w:jc w:val="right"/>
              <w:rPr>
                <w:rFonts w:ascii="Arial" w:hAnsi="Arial" w:cs="Arial"/>
                <w:b/>
                <w:sz w:val="24"/>
                <w:szCs w:val="24"/>
              </w:rPr>
            </w:pPr>
            <w:proofErr w:type="spellStart"/>
            <w:r w:rsidRPr="00F413C5">
              <w:rPr>
                <w:rFonts w:ascii="Arial" w:hAnsi="Arial" w:cs="Arial"/>
                <w:b/>
                <w:sz w:val="24"/>
                <w:szCs w:val="24"/>
              </w:rPr>
              <w:t>MoG</w:t>
            </w:r>
            <w:proofErr w:type="spellEnd"/>
            <w:r w:rsidRPr="00F413C5">
              <w:rPr>
                <w:rFonts w:ascii="Arial" w:hAnsi="Arial" w:cs="Arial"/>
                <w:b/>
                <w:sz w:val="24"/>
                <w:szCs w:val="24"/>
              </w:rPr>
              <w:t xml:space="preserve"> change</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7591D"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2019</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F2B0BC"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Total Receipts</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72F83B"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Total Payments</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A9EAC4" w14:textId="77777777" w:rsidR="003E5BF5" w:rsidRPr="00F413C5" w:rsidRDefault="003E5BF5" w:rsidP="00DE1921">
            <w:pPr>
              <w:jc w:val="right"/>
              <w:rPr>
                <w:rFonts w:ascii="Arial" w:hAnsi="Arial" w:cs="Arial"/>
                <w:b/>
                <w:sz w:val="24"/>
                <w:szCs w:val="24"/>
              </w:rPr>
            </w:pPr>
            <w:proofErr w:type="spellStart"/>
            <w:r w:rsidRPr="00F413C5">
              <w:rPr>
                <w:rFonts w:ascii="Arial" w:hAnsi="Arial" w:cs="Arial"/>
                <w:b/>
                <w:sz w:val="24"/>
                <w:szCs w:val="24"/>
              </w:rPr>
              <w:t>MoG</w:t>
            </w:r>
            <w:proofErr w:type="spellEnd"/>
            <w:r w:rsidRPr="00F413C5">
              <w:rPr>
                <w:rFonts w:ascii="Arial" w:hAnsi="Arial" w:cs="Arial"/>
                <w:b/>
                <w:sz w:val="24"/>
                <w:szCs w:val="24"/>
              </w:rPr>
              <w:t xml:space="preserve"> change</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03A71"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2020</w:t>
            </w:r>
          </w:p>
        </w:tc>
      </w:tr>
      <w:tr w:rsidR="0022382F" w:rsidRPr="00F413C5" w14:paraId="3482C571" w14:textId="77777777" w:rsidTr="00964784">
        <w:trPr>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BB88A" w14:textId="77777777" w:rsidR="003E5BF5" w:rsidRPr="00F413C5" w:rsidRDefault="003E5BF5" w:rsidP="00DE1921">
            <w:pPr>
              <w:rPr>
                <w:rFonts w:ascii="Arial" w:hAnsi="Arial" w:cs="Arial"/>
                <w:sz w:val="24"/>
                <w:szCs w:val="24"/>
              </w:rPr>
            </w:pPr>
            <w:r w:rsidRPr="00F413C5">
              <w:rPr>
                <w:rFonts w:ascii="Arial" w:hAnsi="Arial" w:cs="Arial"/>
                <w:b/>
                <w:sz w:val="24"/>
                <w:szCs w:val="24"/>
              </w:rPr>
              <w:t>Victorian Transport Fund</w:t>
            </w:r>
            <w:r w:rsidRPr="00F413C5">
              <w:rPr>
                <w:rFonts w:ascii="Arial" w:hAnsi="Arial" w:cs="Arial"/>
                <w:sz w:val="24"/>
                <w:szCs w:val="24"/>
              </w:rPr>
              <w:br/>
              <w:t xml:space="preserve">Established under the </w:t>
            </w:r>
            <w:r w:rsidRPr="00F413C5">
              <w:rPr>
                <w:rFonts w:ascii="Arial" w:hAnsi="Arial" w:cs="Arial"/>
                <w:i/>
                <w:sz w:val="24"/>
                <w:szCs w:val="24"/>
              </w:rPr>
              <w:t>Delivering Victorian Infrastructure (Port of Melbourne Lease Transaction) Act 2016</w:t>
            </w:r>
            <w:r w:rsidRPr="00F413C5">
              <w:rPr>
                <w:rFonts w:ascii="Arial" w:hAnsi="Arial" w:cs="Arial"/>
                <w:sz w:val="24"/>
                <w:szCs w:val="24"/>
              </w:rPr>
              <w:t xml:space="preserve"> into which the proceeds of Port of Melbourne lease transaction are paid; and from which amounts authorised by the Treasurer to fund the cost of all or any part of the development of the Level Crossing Removal Program; and infrastructure projects for or in relation to public transport, roads, rail, the movement of freight, ports or other infrastructure (including regional infrastructure) are paid.</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5F2338E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44,373</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654C088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2,023,580</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30EF3B5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(2,067,925)</w:t>
            </w:r>
          </w:p>
        </w:tc>
        <w:tc>
          <w:tcPr>
            <w:tcW w:w="1117" w:type="dxa"/>
            <w:tcBorders>
              <w:top w:val="single" w:sz="4" w:space="0" w:color="auto"/>
              <w:left w:val="single" w:sz="4" w:space="0" w:color="auto"/>
              <w:bottom w:val="single" w:sz="4" w:space="0" w:color="auto"/>
              <w:right w:val="single" w:sz="4" w:space="0" w:color="auto"/>
            </w:tcBorders>
            <w:shd w:val="clear" w:color="auto" w:fill="auto"/>
            <w:noWrap/>
            <w:hideMark/>
          </w:tcPr>
          <w:p w14:paraId="64C469D2"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5E1C88BC"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29</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07B6804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2,723,000</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7F63A71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(2,333,124)</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2D0DF6E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0BC58B6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389,905</w:t>
            </w:r>
          </w:p>
        </w:tc>
      </w:tr>
      <w:tr w:rsidR="0022382F" w:rsidRPr="00F413C5" w14:paraId="5F746E73" w14:textId="77777777" w:rsidTr="00964784">
        <w:trPr>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D48A9" w14:textId="77777777" w:rsidR="003E5BF5" w:rsidRPr="00F413C5" w:rsidRDefault="003E5BF5" w:rsidP="00DE1921">
            <w:pPr>
              <w:rPr>
                <w:rFonts w:ascii="Arial" w:hAnsi="Arial" w:cs="Arial"/>
                <w:sz w:val="24"/>
                <w:szCs w:val="24"/>
              </w:rPr>
            </w:pPr>
            <w:r w:rsidRPr="00F413C5">
              <w:rPr>
                <w:rFonts w:ascii="Arial" w:hAnsi="Arial" w:cs="Arial"/>
                <w:b/>
                <w:sz w:val="24"/>
                <w:szCs w:val="24"/>
              </w:rPr>
              <w:t xml:space="preserve">State Development Special Projects Trust Account </w:t>
            </w:r>
            <w:r w:rsidRPr="00F413C5">
              <w:rPr>
                <w:rFonts w:ascii="Arial" w:hAnsi="Arial" w:cs="Arial"/>
                <w:sz w:val="24"/>
                <w:szCs w:val="24"/>
              </w:rPr>
              <w:br/>
              <w:t>Established under section 19 of the</w:t>
            </w:r>
            <w:r w:rsidRPr="00F413C5">
              <w:rPr>
                <w:rFonts w:ascii="Arial" w:hAnsi="Arial" w:cs="Arial"/>
                <w:i/>
                <w:sz w:val="24"/>
                <w:szCs w:val="24"/>
              </w:rPr>
              <w:t xml:space="preserve"> Financial Management Act 1994</w:t>
            </w:r>
            <w:r w:rsidRPr="00F413C5">
              <w:rPr>
                <w:rFonts w:ascii="Arial" w:hAnsi="Arial" w:cs="Arial"/>
                <w:sz w:val="24"/>
                <w:szCs w:val="24"/>
              </w:rPr>
              <w:t xml:space="preserve"> (FMA), to assist in facilitating, encouraging, promoting and carrying out activities leading to a balanced economic development of the State of Victoria.</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1F392F3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129,065</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6FD6520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82,103</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0C160E6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(117,143)</w:t>
            </w:r>
          </w:p>
        </w:tc>
        <w:tc>
          <w:tcPr>
            <w:tcW w:w="1117" w:type="dxa"/>
            <w:tcBorders>
              <w:top w:val="single" w:sz="4" w:space="0" w:color="auto"/>
              <w:left w:val="single" w:sz="4" w:space="0" w:color="auto"/>
              <w:bottom w:val="single" w:sz="4" w:space="0" w:color="auto"/>
              <w:right w:val="single" w:sz="4" w:space="0" w:color="auto"/>
            </w:tcBorders>
            <w:shd w:val="clear" w:color="auto" w:fill="auto"/>
            <w:noWrap/>
            <w:hideMark/>
          </w:tcPr>
          <w:p w14:paraId="4533EF1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(46,354)</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74694057"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47,670</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04D63FC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55,377</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2A592D4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(26,122)</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3A2AC5E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15F7D35E"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76,925</w:t>
            </w:r>
          </w:p>
        </w:tc>
      </w:tr>
      <w:tr w:rsidR="0022382F" w:rsidRPr="00F413C5" w14:paraId="32CA6426" w14:textId="77777777" w:rsidTr="00964784">
        <w:trPr>
          <w:cantSplit/>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E1F8D" w14:textId="77777777" w:rsidR="003E5BF5" w:rsidRPr="00F413C5" w:rsidRDefault="003E5BF5" w:rsidP="00DE1921">
            <w:pPr>
              <w:rPr>
                <w:rFonts w:ascii="Arial" w:hAnsi="Arial" w:cs="Arial"/>
                <w:sz w:val="24"/>
                <w:szCs w:val="24"/>
              </w:rPr>
            </w:pPr>
            <w:r w:rsidRPr="00F413C5">
              <w:rPr>
                <w:rFonts w:ascii="Arial" w:hAnsi="Arial" w:cs="Arial"/>
                <w:b/>
                <w:sz w:val="24"/>
                <w:szCs w:val="24"/>
              </w:rPr>
              <w:lastRenderedPageBreak/>
              <w:t>Inter-departmental transfer fund</w:t>
            </w:r>
            <w:r w:rsidRPr="00F413C5">
              <w:rPr>
                <w:rFonts w:ascii="Arial" w:hAnsi="Arial" w:cs="Arial"/>
                <w:sz w:val="24"/>
                <w:szCs w:val="24"/>
              </w:rPr>
              <w:br/>
              <w:t xml:space="preserve">The trust was established under section 19 of the FMA by the Minister for Finance to record inter-departmental transfers when no other trust arrangement exists. </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68CD1BAB"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1,937</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1FAB58D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26,017</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0B7C3BA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(5,534)</w:t>
            </w:r>
          </w:p>
        </w:tc>
        <w:tc>
          <w:tcPr>
            <w:tcW w:w="1117" w:type="dxa"/>
            <w:tcBorders>
              <w:top w:val="single" w:sz="4" w:space="0" w:color="auto"/>
              <w:left w:val="single" w:sz="4" w:space="0" w:color="auto"/>
              <w:bottom w:val="single" w:sz="4" w:space="0" w:color="auto"/>
              <w:right w:val="single" w:sz="4" w:space="0" w:color="auto"/>
            </w:tcBorders>
            <w:shd w:val="clear" w:color="auto" w:fill="auto"/>
            <w:noWrap/>
            <w:hideMark/>
          </w:tcPr>
          <w:p w14:paraId="380824D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906</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2B7A4365"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23,325</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0C7833C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225,373</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7A6690E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(204,819)</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4BD2290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29,380</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587C475B"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73,259</w:t>
            </w:r>
          </w:p>
        </w:tc>
      </w:tr>
      <w:tr w:rsidR="003E5BF5" w:rsidRPr="00F413C5" w14:paraId="19C5EA35" w14:textId="77777777" w:rsidTr="00964784">
        <w:trPr>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0C379" w14:textId="77777777" w:rsidR="003E5BF5" w:rsidRPr="00F413C5" w:rsidRDefault="003E5BF5" w:rsidP="00DE1921">
            <w:pPr>
              <w:rPr>
                <w:rFonts w:ascii="Arial" w:hAnsi="Arial" w:cs="Arial"/>
                <w:sz w:val="24"/>
                <w:szCs w:val="24"/>
              </w:rPr>
            </w:pPr>
            <w:r w:rsidRPr="00F413C5">
              <w:rPr>
                <w:rFonts w:ascii="Arial" w:hAnsi="Arial" w:cs="Arial"/>
                <w:b/>
                <w:sz w:val="24"/>
                <w:szCs w:val="24"/>
              </w:rPr>
              <w:t>Recreational Fishing Licences Trust Account</w:t>
            </w:r>
            <w:r w:rsidRPr="00F413C5">
              <w:rPr>
                <w:rFonts w:ascii="Arial" w:hAnsi="Arial" w:cs="Arial"/>
                <w:sz w:val="24"/>
                <w:szCs w:val="24"/>
              </w:rPr>
              <w:br/>
              <w:t xml:space="preserve">Operates under section 151B of the </w:t>
            </w:r>
            <w:r w:rsidRPr="00F413C5">
              <w:rPr>
                <w:rFonts w:ascii="Arial" w:hAnsi="Arial" w:cs="Arial"/>
                <w:i/>
                <w:sz w:val="24"/>
                <w:szCs w:val="24"/>
              </w:rPr>
              <w:t>Fisheries Act 1995</w:t>
            </w:r>
            <w:r w:rsidRPr="00F413C5">
              <w:rPr>
                <w:rFonts w:ascii="Arial" w:hAnsi="Arial" w:cs="Arial"/>
                <w:sz w:val="24"/>
                <w:szCs w:val="24"/>
              </w:rPr>
              <w:t xml:space="preserve"> to disburse revenue derived from the sale of recreational fishing licenses to projects that will further improve recreational fishing opportunities in Victoria, and to fund costs incurred in the administration of recreational fishing licences and the account.</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1607BF3E"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5,520</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42406F8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8,750</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3D03B59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(3,751)</w:t>
            </w:r>
          </w:p>
        </w:tc>
        <w:tc>
          <w:tcPr>
            <w:tcW w:w="1117" w:type="dxa"/>
            <w:tcBorders>
              <w:top w:val="single" w:sz="4" w:space="0" w:color="auto"/>
              <w:left w:val="single" w:sz="4" w:space="0" w:color="auto"/>
              <w:bottom w:val="single" w:sz="4" w:space="0" w:color="auto"/>
              <w:right w:val="single" w:sz="4" w:space="0" w:color="auto"/>
            </w:tcBorders>
            <w:shd w:val="clear" w:color="auto" w:fill="auto"/>
            <w:noWrap/>
            <w:hideMark/>
          </w:tcPr>
          <w:p w14:paraId="5259F4A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600BE7E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10,519</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43CDB54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7,532</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45B075D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(11,232)</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1DA61F3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09082D7E"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6,819</w:t>
            </w:r>
          </w:p>
        </w:tc>
      </w:tr>
      <w:tr w:rsidR="003E5BF5" w:rsidRPr="00F413C5" w14:paraId="39648CAF" w14:textId="77777777" w:rsidTr="00964784">
        <w:trPr>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6A5E7" w14:textId="77777777" w:rsidR="003E5BF5" w:rsidRPr="00F413C5" w:rsidRDefault="003E5BF5" w:rsidP="00DE1921">
            <w:pPr>
              <w:rPr>
                <w:rFonts w:ascii="Arial" w:hAnsi="Arial" w:cs="Arial"/>
                <w:sz w:val="24"/>
                <w:szCs w:val="24"/>
              </w:rPr>
            </w:pPr>
            <w:r w:rsidRPr="00F413C5">
              <w:rPr>
                <w:rFonts w:ascii="Arial" w:hAnsi="Arial" w:cs="Arial"/>
                <w:b/>
                <w:sz w:val="24"/>
                <w:szCs w:val="24"/>
              </w:rPr>
              <w:t>Better Roads Victoria Trust Account</w:t>
            </w:r>
            <w:r w:rsidRPr="00F413C5">
              <w:rPr>
                <w:rFonts w:ascii="Arial" w:hAnsi="Arial" w:cs="Arial"/>
                <w:sz w:val="24"/>
                <w:szCs w:val="24"/>
              </w:rPr>
              <w:br/>
              <w:t>Established under the</w:t>
            </w:r>
            <w:r w:rsidRPr="00F413C5">
              <w:rPr>
                <w:rFonts w:ascii="Arial" w:hAnsi="Arial" w:cs="Arial"/>
                <w:i/>
                <w:sz w:val="24"/>
                <w:szCs w:val="24"/>
              </w:rPr>
              <w:t xml:space="preserve"> Business Franchise (Petroleum Products) Act 1979 </w:t>
            </w:r>
            <w:r w:rsidRPr="00F413C5">
              <w:rPr>
                <w:rFonts w:ascii="Arial" w:hAnsi="Arial" w:cs="Arial"/>
                <w:sz w:val="24"/>
                <w:szCs w:val="24"/>
              </w:rPr>
              <w:t>to provide funding for road improvements across Victoria.</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72078706"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715,454</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25D3F7E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356,130</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4FDA232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(1,071,309)</w:t>
            </w:r>
          </w:p>
        </w:tc>
        <w:tc>
          <w:tcPr>
            <w:tcW w:w="1117" w:type="dxa"/>
            <w:tcBorders>
              <w:top w:val="single" w:sz="4" w:space="0" w:color="auto"/>
              <w:left w:val="single" w:sz="4" w:space="0" w:color="auto"/>
              <w:bottom w:val="single" w:sz="4" w:space="0" w:color="auto"/>
              <w:right w:val="single" w:sz="4" w:space="0" w:color="auto"/>
            </w:tcBorders>
            <w:shd w:val="clear" w:color="auto" w:fill="auto"/>
            <w:noWrap/>
            <w:hideMark/>
          </w:tcPr>
          <w:p w14:paraId="7E84290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2F2797F0"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275</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1CFC9F4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410,574</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2277B03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(406,850)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64AF77F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3A99CD44"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3,999</w:t>
            </w:r>
          </w:p>
        </w:tc>
      </w:tr>
      <w:tr w:rsidR="003E5BF5" w:rsidRPr="00F413C5" w14:paraId="0DDE784E" w14:textId="77777777" w:rsidTr="00964784">
        <w:trPr>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5ED63" w14:textId="77777777" w:rsidR="003E5BF5" w:rsidRPr="00F413C5" w:rsidRDefault="003E5BF5" w:rsidP="00DE1921">
            <w:pPr>
              <w:rPr>
                <w:rFonts w:ascii="Arial" w:hAnsi="Arial" w:cs="Arial"/>
                <w:sz w:val="24"/>
                <w:szCs w:val="24"/>
              </w:rPr>
            </w:pPr>
            <w:r w:rsidRPr="00F413C5">
              <w:rPr>
                <w:rFonts w:ascii="Arial" w:hAnsi="Arial" w:cs="Arial"/>
                <w:b/>
                <w:sz w:val="24"/>
                <w:szCs w:val="24"/>
              </w:rPr>
              <w:t xml:space="preserve">Agriculture Projects Trust Account </w:t>
            </w:r>
            <w:r w:rsidRPr="00F413C5">
              <w:rPr>
                <w:rFonts w:ascii="Arial" w:hAnsi="Arial" w:cs="Arial"/>
                <w:sz w:val="24"/>
                <w:szCs w:val="24"/>
              </w:rPr>
              <w:br/>
              <w:t>Established under section 19 of the FMA, to assist in facilitating, encouraging, promoting and carrying out activities leading to a balanced economic development of the State of Victoria.</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0420EAAD"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29,896</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7DD79E0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5,651</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53D74332"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20,686</w:t>
            </w:r>
          </w:p>
        </w:tc>
        <w:tc>
          <w:tcPr>
            <w:tcW w:w="1117" w:type="dxa"/>
            <w:tcBorders>
              <w:top w:val="single" w:sz="4" w:space="0" w:color="auto"/>
              <w:left w:val="single" w:sz="4" w:space="0" w:color="auto"/>
              <w:bottom w:val="single" w:sz="4" w:space="0" w:color="auto"/>
              <w:right w:val="single" w:sz="4" w:space="0" w:color="auto"/>
            </w:tcBorders>
            <w:shd w:val="clear" w:color="auto" w:fill="auto"/>
            <w:noWrap/>
            <w:hideMark/>
          </w:tcPr>
          <w:p w14:paraId="0439B35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(52,468)</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34A24389"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3,765</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5005AF5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165</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05239A62"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(482)</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41E660E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3E20DD81"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3,448</w:t>
            </w:r>
          </w:p>
        </w:tc>
      </w:tr>
      <w:tr w:rsidR="0022382F" w:rsidRPr="00F413C5" w14:paraId="761DC6E7" w14:textId="77777777" w:rsidTr="00964784">
        <w:trPr>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A0508" w14:textId="77777777" w:rsidR="003E5BF5" w:rsidRPr="00F413C5" w:rsidRDefault="003E5BF5" w:rsidP="00DE1921">
            <w:pPr>
              <w:rPr>
                <w:rFonts w:ascii="Arial" w:hAnsi="Arial" w:cs="Arial"/>
                <w:sz w:val="24"/>
                <w:szCs w:val="24"/>
              </w:rPr>
            </w:pPr>
            <w:r w:rsidRPr="00F413C5">
              <w:rPr>
                <w:rFonts w:ascii="Arial" w:hAnsi="Arial" w:cs="Arial"/>
                <w:b/>
                <w:sz w:val="24"/>
                <w:szCs w:val="24"/>
              </w:rPr>
              <w:lastRenderedPageBreak/>
              <w:t>Public Transport Fund</w:t>
            </w:r>
            <w:r w:rsidRPr="00F413C5">
              <w:rPr>
                <w:rFonts w:ascii="Arial" w:hAnsi="Arial" w:cs="Arial"/>
                <w:sz w:val="24"/>
                <w:szCs w:val="24"/>
              </w:rPr>
              <w:br/>
              <w:t xml:space="preserve">Established under section 19 of the FMA, to facilitate transactions in relation to the income received and payments made for public transport functions of the Head, Transport for Victoria (Head, </w:t>
            </w:r>
            <w:proofErr w:type="spellStart"/>
            <w:r w:rsidRPr="00F413C5">
              <w:rPr>
                <w:rFonts w:ascii="Arial" w:hAnsi="Arial" w:cs="Arial"/>
                <w:sz w:val="24"/>
                <w:szCs w:val="24"/>
              </w:rPr>
              <w:t>TfV</w:t>
            </w:r>
            <w:proofErr w:type="spellEnd"/>
            <w:r w:rsidRPr="00F413C5">
              <w:rPr>
                <w:rFonts w:ascii="Arial" w:hAnsi="Arial" w:cs="Arial"/>
                <w:sz w:val="24"/>
                <w:szCs w:val="24"/>
              </w:rPr>
              <w:t xml:space="preserve">), as per section 39A of the </w:t>
            </w:r>
            <w:r w:rsidRPr="00F413C5">
              <w:rPr>
                <w:rFonts w:ascii="Arial" w:hAnsi="Arial" w:cs="Arial"/>
                <w:i/>
                <w:sz w:val="24"/>
                <w:szCs w:val="24"/>
              </w:rPr>
              <w:t>Transport Integration Act 2010</w:t>
            </w:r>
            <w:r w:rsidRPr="00F413C5">
              <w:rPr>
                <w:rFonts w:ascii="Arial" w:hAnsi="Arial" w:cs="Arial"/>
                <w:sz w:val="24"/>
                <w:szCs w:val="24"/>
              </w:rPr>
              <w:t>.</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3D5FBC54"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1CC8B3BE" w14:textId="77777777" w:rsidR="003E5BF5" w:rsidRPr="00F413C5" w:rsidRDefault="003E5BF5" w:rsidP="00DE1921">
            <w:pPr>
              <w:jc w:val="right"/>
              <w:rPr>
                <w:rFonts w:ascii="Arial" w:hAnsi="Arial" w:cs="Arial"/>
                <w:b/>
                <w:sz w:val="24"/>
                <w:szCs w:val="24"/>
              </w:rPr>
            </w:pPr>
            <w:r w:rsidRPr="00F413C5">
              <w:rPr>
                <w:rFonts w:ascii="Arial" w:hAnsi="Arial" w:cs="Arial"/>
                <w:sz w:val="24"/>
                <w:szCs w:val="24"/>
              </w:rPr>
              <w:t>-</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5AA42F9A" w14:textId="77777777" w:rsidR="003E5BF5" w:rsidRPr="00F413C5" w:rsidRDefault="003E5BF5" w:rsidP="00DE1921">
            <w:pPr>
              <w:jc w:val="right"/>
              <w:rPr>
                <w:rFonts w:ascii="Arial" w:hAnsi="Arial" w:cs="Arial"/>
                <w:b/>
                <w:sz w:val="24"/>
                <w:szCs w:val="24"/>
              </w:rPr>
            </w:pPr>
            <w:r w:rsidRPr="00F413C5">
              <w:rPr>
                <w:rFonts w:ascii="Arial" w:hAnsi="Arial" w:cs="Arial"/>
                <w:sz w:val="24"/>
                <w:szCs w:val="24"/>
              </w:rPr>
              <w:t>-</w:t>
            </w:r>
          </w:p>
        </w:tc>
        <w:tc>
          <w:tcPr>
            <w:tcW w:w="1117" w:type="dxa"/>
            <w:tcBorders>
              <w:top w:val="single" w:sz="4" w:space="0" w:color="auto"/>
              <w:left w:val="single" w:sz="4" w:space="0" w:color="auto"/>
              <w:bottom w:val="single" w:sz="4" w:space="0" w:color="auto"/>
              <w:right w:val="single" w:sz="4" w:space="0" w:color="auto"/>
            </w:tcBorders>
            <w:shd w:val="clear" w:color="auto" w:fill="auto"/>
            <w:noWrap/>
            <w:hideMark/>
          </w:tcPr>
          <w:p w14:paraId="67C30DE5" w14:textId="77777777" w:rsidR="003E5BF5" w:rsidRPr="00F413C5" w:rsidRDefault="003E5BF5" w:rsidP="00DE1921">
            <w:pPr>
              <w:jc w:val="right"/>
              <w:rPr>
                <w:rFonts w:ascii="Arial" w:hAnsi="Arial" w:cs="Arial"/>
                <w:b/>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40F8FA0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2A9DF28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268,504</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086F1B0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(269,241)</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296C0B5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1,254</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30FD07B7"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517</w:t>
            </w:r>
          </w:p>
        </w:tc>
      </w:tr>
      <w:tr w:rsidR="0022382F" w:rsidRPr="00F413C5" w14:paraId="3D3C824C" w14:textId="77777777" w:rsidTr="00964784">
        <w:trPr>
          <w:cantSplit/>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47A6F" w14:textId="77777777" w:rsidR="003E5BF5" w:rsidRPr="00F413C5" w:rsidRDefault="003E5BF5" w:rsidP="00DE1921">
            <w:pPr>
              <w:rPr>
                <w:rFonts w:ascii="Arial" w:hAnsi="Arial" w:cs="Arial"/>
                <w:sz w:val="24"/>
                <w:szCs w:val="24"/>
              </w:rPr>
            </w:pPr>
            <w:r w:rsidRPr="00F413C5">
              <w:rPr>
                <w:rFonts w:ascii="Arial" w:hAnsi="Arial" w:cs="Arial"/>
                <w:b/>
                <w:sz w:val="24"/>
                <w:szCs w:val="24"/>
              </w:rPr>
              <w:t>Plant, Equipment and Machinery Trust Accounts</w:t>
            </w:r>
            <w:r w:rsidRPr="00F413C5">
              <w:rPr>
                <w:rFonts w:ascii="Arial" w:hAnsi="Arial" w:cs="Arial"/>
                <w:sz w:val="24"/>
                <w:szCs w:val="24"/>
              </w:rPr>
              <w:br/>
              <w:t xml:space="preserve">Operate under section 23 of the </w:t>
            </w:r>
            <w:r w:rsidRPr="00F413C5">
              <w:rPr>
                <w:rFonts w:ascii="Arial" w:hAnsi="Arial" w:cs="Arial"/>
                <w:i/>
                <w:sz w:val="24"/>
                <w:szCs w:val="24"/>
              </w:rPr>
              <w:t xml:space="preserve">Conservation, Forests and Lands Act 1987 </w:t>
            </w:r>
            <w:r w:rsidRPr="00F413C5">
              <w:rPr>
                <w:rFonts w:ascii="Arial" w:hAnsi="Arial" w:cs="Arial"/>
                <w:sz w:val="24"/>
                <w:szCs w:val="24"/>
              </w:rPr>
              <w:t xml:space="preserve">and section 141 of the </w:t>
            </w:r>
            <w:r w:rsidRPr="00F413C5">
              <w:rPr>
                <w:rFonts w:ascii="Arial" w:hAnsi="Arial" w:cs="Arial"/>
                <w:i/>
                <w:sz w:val="24"/>
                <w:szCs w:val="24"/>
              </w:rPr>
              <w:t>Fisheries Act 1995</w:t>
            </w:r>
            <w:r w:rsidRPr="00F413C5">
              <w:rPr>
                <w:rFonts w:ascii="Arial" w:hAnsi="Arial" w:cs="Arial"/>
                <w:sz w:val="24"/>
                <w:szCs w:val="24"/>
              </w:rPr>
              <w:t xml:space="preserve"> to enable the purchase of plant, equipment or machinery required for the purposes of the Acts, and for the operation, maintenance and repair of that plant, equipment or machinery, and to enable the payment of any other expenses in relation thereto.</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7CB9F187"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3,433</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0473B5F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25</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66188A3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(7)</w:t>
            </w:r>
          </w:p>
        </w:tc>
        <w:tc>
          <w:tcPr>
            <w:tcW w:w="1117" w:type="dxa"/>
            <w:tcBorders>
              <w:top w:val="single" w:sz="4" w:space="0" w:color="auto"/>
              <w:left w:val="single" w:sz="4" w:space="0" w:color="auto"/>
              <w:bottom w:val="single" w:sz="4" w:space="0" w:color="auto"/>
              <w:right w:val="single" w:sz="4" w:space="0" w:color="auto"/>
            </w:tcBorders>
            <w:shd w:val="clear" w:color="auto" w:fill="auto"/>
            <w:noWrap/>
            <w:hideMark/>
          </w:tcPr>
          <w:p w14:paraId="567A3BE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(2,904)</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2A58553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548</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19CB2D4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2295AD8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(91)</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632EE39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18DEFA7E"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457</w:t>
            </w:r>
          </w:p>
        </w:tc>
      </w:tr>
      <w:tr w:rsidR="003E5BF5" w:rsidRPr="00F413C5" w14:paraId="5DEB6A26" w14:textId="77777777" w:rsidTr="00964784">
        <w:trPr>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F853C" w14:textId="77777777" w:rsidR="003E5BF5" w:rsidRPr="00F413C5" w:rsidRDefault="003E5BF5" w:rsidP="00DE1921">
            <w:pPr>
              <w:rPr>
                <w:rFonts w:ascii="Arial" w:hAnsi="Arial" w:cs="Arial"/>
                <w:sz w:val="24"/>
                <w:szCs w:val="24"/>
              </w:rPr>
            </w:pPr>
            <w:r w:rsidRPr="00F413C5">
              <w:rPr>
                <w:rFonts w:ascii="Arial" w:hAnsi="Arial" w:cs="Arial"/>
                <w:b/>
                <w:sz w:val="24"/>
                <w:szCs w:val="24"/>
              </w:rPr>
              <w:t>Roads Safety Fund</w:t>
            </w:r>
            <w:r w:rsidRPr="00F413C5">
              <w:rPr>
                <w:rFonts w:ascii="Arial" w:hAnsi="Arial" w:cs="Arial"/>
                <w:sz w:val="24"/>
                <w:szCs w:val="24"/>
              </w:rPr>
              <w:br/>
              <w:t xml:space="preserve">Established under section 19 of </w:t>
            </w:r>
            <w:r w:rsidRPr="00F413C5">
              <w:rPr>
                <w:rFonts w:ascii="Arial" w:hAnsi="Arial" w:cs="Arial"/>
                <w:i/>
                <w:sz w:val="24"/>
                <w:szCs w:val="24"/>
              </w:rPr>
              <w:t>the FMA,</w:t>
            </w:r>
            <w:r w:rsidRPr="00F413C5">
              <w:rPr>
                <w:rFonts w:ascii="Arial" w:hAnsi="Arial" w:cs="Arial"/>
                <w:sz w:val="24"/>
                <w:szCs w:val="24"/>
              </w:rPr>
              <w:t xml:space="preserve"> to facilitate transactions in relation to the income received and payments made for the road system and road functions of the Head, </w:t>
            </w:r>
            <w:proofErr w:type="spellStart"/>
            <w:r w:rsidRPr="00F413C5">
              <w:rPr>
                <w:rFonts w:ascii="Arial" w:hAnsi="Arial" w:cs="Arial"/>
                <w:sz w:val="24"/>
                <w:szCs w:val="24"/>
              </w:rPr>
              <w:t>TfV</w:t>
            </w:r>
            <w:proofErr w:type="spellEnd"/>
            <w:r w:rsidRPr="00F413C5">
              <w:rPr>
                <w:rFonts w:ascii="Arial" w:hAnsi="Arial" w:cs="Arial"/>
                <w:sz w:val="24"/>
                <w:szCs w:val="24"/>
              </w:rPr>
              <w:t xml:space="preserve"> and the Secretary of the department. Majority of the funds from the </w:t>
            </w:r>
            <w:r w:rsidRPr="00F413C5">
              <w:rPr>
                <w:rFonts w:ascii="Arial" w:hAnsi="Arial" w:cs="Arial"/>
                <w:sz w:val="24"/>
                <w:szCs w:val="24"/>
              </w:rPr>
              <w:lastRenderedPageBreak/>
              <w:t>Transport Accident Commission will be receipted here.</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4C8730A7"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lastRenderedPageBreak/>
              <w:t>-</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7962590C" w14:textId="77777777" w:rsidR="003E5BF5" w:rsidRPr="00F413C5" w:rsidRDefault="003E5BF5" w:rsidP="00DE1921">
            <w:pPr>
              <w:jc w:val="right"/>
              <w:rPr>
                <w:rFonts w:ascii="Arial" w:hAnsi="Arial" w:cs="Arial"/>
                <w:b/>
                <w:sz w:val="24"/>
                <w:szCs w:val="24"/>
              </w:rPr>
            </w:pPr>
            <w:r w:rsidRPr="00F413C5">
              <w:rPr>
                <w:rFonts w:ascii="Arial" w:hAnsi="Arial" w:cs="Arial"/>
                <w:sz w:val="24"/>
                <w:szCs w:val="24"/>
              </w:rPr>
              <w:t>-</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4CFF0E28" w14:textId="77777777" w:rsidR="003E5BF5" w:rsidRPr="00F413C5" w:rsidRDefault="003E5BF5" w:rsidP="00DE1921">
            <w:pPr>
              <w:jc w:val="right"/>
              <w:rPr>
                <w:rFonts w:ascii="Arial" w:hAnsi="Arial" w:cs="Arial"/>
                <w:b/>
                <w:sz w:val="24"/>
                <w:szCs w:val="24"/>
              </w:rPr>
            </w:pPr>
            <w:r w:rsidRPr="00F413C5">
              <w:rPr>
                <w:rFonts w:ascii="Arial" w:hAnsi="Arial" w:cs="Arial"/>
                <w:sz w:val="24"/>
                <w:szCs w:val="24"/>
              </w:rPr>
              <w:t>-</w:t>
            </w:r>
          </w:p>
        </w:tc>
        <w:tc>
          <w:tcPr>
            <w:tcW w:w="1117" w:type="dxa"/>
            <w:tcBorders>
              <w:top w:val="single" w:sz="4" w:space="0" w:color="auto"/>
              <w:left w:val="single" w:sz="4" w:space="0" w:color="auto"/>
              <w:bottom w:val="single" w:sz="4" w:space="0" w:color="auto"/>
              <w:right w:val="single" w:sz="4" w:space="0" w:color="auto"/>
            </w:tcBorders>
            <w:shd w:val="clear" w:color="auto" w:fill="auto"/>
            <w:noWrap/>
            <w:hideMark/>
          </w:tcPr>
          <w:p w14:paraId="6FCEE47A" w14:textId="77777777" w:rsidR="003E5BF5" w:rsidRPr="00F413C5" w:rsidRDefault="003E5BF5" w:rsidP="00DE1921">
            <w:pPr>
              <w:jc w:val="right"/>
              <w:rPr>
                <w:rFonts w:ascii="Arial" w:hAnsi="Arial" w:cs="Arial"/>
                <w:b/>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6F201541"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3CDC3F0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240,632</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686B808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(240,354)</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7F2DCA3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1AB2F19A"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278</w:t>
            </w:r>
          </w:p>
        </w:tc>
      </w:tr>
      <w:tr w:rsidR="003E5BF5" w:rsidRPr="00F413C5" w14:paraId="4932C056" w14:textId="77777777" w:rsidTr="00964784">
        <w:trPr>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41F67" w14:textId="77777777" w:rsidR="003E5BF5" w:rsidRPr="00F413C5" w:rsidRDefault="003E5BF5" w:rsidP="00DE1921">
            <w:pPr>
              <w:rPr>
                <w:rFonts w:ascii="Arial" w:hAnsi="Arial" w:cs="Arial"/>
                <w:sz w:val="24"/>
                <w:szCs w:val="24"/>
              </w:rPr>
            </w:pPr>
            <w:r w:rsidRPr="00F413C5">
              <w:rPr>
                <w:rFonts w:ascii="Arial" w:hAnsi="Arial" w:cs="Arial"/>
                <w:b/>
                <w:sz w:val="24"/>
                <w:szCs w:val="24"/>
              </w:rPr>
              <w:t>State Treasury Trust Fund</w:t>
            </w:r>
            <w:r w:rsidRPr="00F413C5">
              <w:rPr>
                <w:rFonts w:ascii="Arial" w:hAnsi="Arial" w:cs="Arial"/>
                <w:b/>
                <w:sz w:val="24"/>
                <w:szCs w:val="24"/>
              </w:rPr>
              <w:br/>
            </w:r>
            <w:r w:rsidRPr="00F413C5">
              <w:rPr>
                <w:rFonts w:ascii="Arial" w:hAnsi="Arial" w:cs="Arial"/>
                <w:sz w:val="24"/>
                <w:szCs w:val="24"/>
              </w:rPr>
              <w:t>Established under the FMA to record the receipt and disbursement of unclaimed monies and other funds held in trust.</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554585F6"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3,092</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67311C82"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1,331</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621FA7E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(3,680)</w:t>
            </w:r>
          </w:p>
        </w:tc>
        <w:tc>
          <w:tcPr>
            <w:tcW w:w="1117" w:type="dxa"/>
            <w:tcBorders>
              <w:top w:val="single" w:sz="4" w:space="0" w:color="auto"/>
              <w:left w:val="single" w:sz="4" w:space="0" w:color="auto"/>
              <w:bottom w:val="single" w:sz="4" w:space="0" w:color="auto"/>
              <w:right w:val="single" w:sz="4" w:space="0" w:color="auto"/>
            </w:tcBorders>
            <w:shd w:val="clear" w:color="auto" w:fill="auto"/>
            <w:noWrap/>
            <w:hideMark/>
          </w:tcPr>
          <w:p w14:paraId="737837D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1,199</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6603B395"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1,942</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370D520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224</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15112D9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(2,106)</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4F0EB92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02E2931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60</w:t>
            </w:r>
          </w:p>
        </w:tc>
      </w:tr>
      <w:tr w:rsidR="003E5BF5" w:rsidRPr="00F413C5" w14:paraId="6E77E651" w14:textId="77777777" w:rsidTr="00964784">
        <w:trPr>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9864D" w14:textId="77777777" w:rsidR="003E5BF5" w:rsidRPr="00F413C5" w:rsidRDefault="003E5BF5" w:rsidP="00DE1921">
            <w:pPr>
              <w:rPr>
                <w:rFonts w:ascii="Arial" w:hAnsi="Arial" w:cs="Arial"/>
                <w:sz w:val="24"/>
                <w:szCs w:val="24"/>
              </w:rPr>
            </w:pPr>
            <w:r w:rsidRPr="00F413C5">
              <w:rPr>
                <w:rFonts w:ascii="Arial" w:hAnsi="Arial" w:cs="Arial"/>
                <w:b/>
                <w:sz w:val="24"/>
                <w:szCs w:val="24"/>
              </w:rPr>
              <w:t>Interim Transport Transition Fund</w:t>
            </w:r>
            <w:r w:rsidRPr="00F413C5">
              <w:rPr>
                <w:rFonts w:ascii="Arial" w:hAnsi="Arial" w:cs="Arial"/>
                <w:sz w:val="24"/>
                <w:szCs w:val="24"/>
              </w:rPr>
              <w:br/>
              <w:t>Established under section 19 of the FMA for12 months to enable receipt and distribution of other revenue mainly related to property management activities that will be further evaluated for the most suitable ongoing arrangement within the Public Account during 2019-20.</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77720765"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6C929C35" w14:textId="77777777" w:rsidR="003E5BF5" w:rsidRPr="00F413C5" w:rsidRDefault="003E5BF5" w:rsidP="00DE1921">
            <w:pPr>
              <w:jc w:val="right"/>
              <w:rPr>
                <w:rFonts w:ascii="Arial" w:hAnsi="Arial" w:cs="Arial"/>
                <w:b/>
                <w:sz w:val="24"/>
                <w:szCs w:val="24"/>
              </w:rPr>
            </w:pPr>
            <w:r w:rsidRPr="00F413C5">
              <w:rPr>
                <w:rFonts w:ascii="Arial" w:hAnsi="Arial" w:cs="Arial"/>
                <w:sz w:val="24"/>
                <w:szCs w:val="24"/>
              </w:rPr>
              <w:t>-</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4F7F9A75" w14:textId="77777777" w:rsidR="003E5BF5" w:rsidRPr="00F413C5" w:rsidRDefault="003E5BF5" w:rsidP="00DE1921">
            <w:pPr>
              <w:jc w:val="right"/>
              <w:rPr>
                <w:rFonts w:ascii="Arial" w:hAnsi="Arial" w:cs="Arial"/>
                <w:b/>
                <w:sz w:val="24"/>
                <w:szCs w:val="24"/>
              </w:rPr>
            </w:pPr>
            <w:r w:rsidRPr="00F413C5">
              <w:rPr>
                <w:rFonts w:ascii="Arial" w:hAnsi="Arial" w:cs="Arial"/>
                <w:sz w:val="24"/>
                <w:szCs w:val="24"/>
              </w:rPr>
              <w:t>-</w:t>
            </w:r>
          </w:p>
        </w:tc>
        <w:tc>
          <w:tcPr>
            <w:tcW w:w="1117" w:type="dxa"/>
            <w:tcBorders>
              <w:top w:val="single" w:sz="4" w:space="0" w:color="auto"/>
              <w:left w:val="single" w:sz="4" w:space="0" w:color="auto"/>
              <w:bottom w:val="single" w:sz="4" w:space="0" w:color="auto"/>
              <w:right w:val="single" w:sz="4" w:space="0" w:color="auto"/>
            </w:tcBorders>
            <w:shd w:val="clear" w:color="auto" w:fill="auto"/>
            <w:noWrap/>
            <w:hideMark/>
          </w:tcPr>
          <w:p w14:paraId="6D55686C" w14:textId="77777777" w:rsidR="003E5BF5" w:rsidRPr="00F413C5" w:rsidRDefault="003E5BF5" w:rsidP="00DE1921">
            <w:pPr>
              <w:jc w:val="right"/>
              <w:rPr>
                <w:rFonts w:ascii="Arial" w:hAnsi="Arial" w:cs="Arial"/>
                <w:b/>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0093E2FC"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447798D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49,126</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3B2E576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(115,279)</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7BDBE8A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66,153</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3E7A2205"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w:t>
            </w:r>
          </w:p>
        </w:tc>
      </w:tr>
      <w:tr w:rsidR="0022382F" w:rsidRPr="00F413C5" w14:paraId="5F37F332" w14:textId="77777777" w:rsidTr="00964784">
        <w:trPr>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B9CBA" w14:textId="77777777" w:rsidR="003E5BF5" w:rsidRPr="00F413C5" w:rsidRDefault="003E5BF5" w:rsidP="00DE1921">
            <w:pPr>
              <w:rPr>
                <w:rFonts w:ascii="Arial" w:hAnsi="Arial" w:cs="Arial"/>
                <w:sz w:val="24"/>
                <w:szCs w:val="24"/>
              </w:rPr>
            </w:pPr>
            <w:proofErr w:type="spellStart"/>
            <w:r w:rsidRPr="00F413C5">
              <w:rPr>
                <w:rFonts w:ascii="Arial" w:hAnsi="Arial" w:cs="Arial"/>
                <w:b/>
                <w:sz w:val="24"/>
                <w:szCs w:val="24"/>
              </w:rPr>
              <w:t>VicFleet</w:t>
            </w:r>
            <w:proofErr w:type="spellEnd"/>
            <w:r w:rsidRPr="00F413C5">
              <w:rPr>
                <w:rFonts w:ascii="Arial" w:hAnsi="Arial" w:cs="Arial"/>
                <w:b/>
                <w:sz w:val="24"/>
                <w:szCs w:val="24"/>
              </w:rPr>
              <w:t xml:space="preserve"> Vehicle Lease Trust Account</w:t>
            </w:r>
            <w:r w:rsidRPr="00F413C5">
              <w:rPr>
                <w:rFonts w:ascii="Arial" w:hAnsi="Arial" w:cs="Arial"/>
                <w:sz w:val="24"/>
                <w:szCs w:val="24"/>
              </w:rPr>
              <w:br/>
              <w:t>Established under section 19(2) of the FMA</w:t>
            </w:r>
            <w:r w:rsidRPr="00F413C5">
              <w:rPr>
                <w:rFonts w:ascii="Arial" w:hAnsi="Arial" w:cs="Arial"/>
                <w:i/>
                <w:sz w:val="24"/>
                <w:szCs w:val="24"/>
              </w:rPr>
              <w:t xml:space="preserve"> </w:t>
            </w:r>
            <w:r w:rsidRPr="00F413C5">
              <w:rPr>
                <w:rFonts w:ascii="Arial" w:hAnsi="Arial" w:cs="Arial"/>
                <w:sz w:val="24"/>
                <w:szCs w:val="24"/>
              </w:rPr>
              <w:t>as a specific purpose operating account. It receives funding and makes payments in relation to the government motor vehicle pool.</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0648433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1D4879C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1,625</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0075132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(1,625)</w:t>
            </w:r>
          </w:p>
        </w:tc>
        <w:tc>
          <w:tcPr>
            <w:tcW w:w="1117" w:type="dxa"/>
            <w:tcBorders>
              <w:top w:val="single" w:sz="4" w:space="0" w:color="auto"/>
              <w:left w:val="single" w:sz="4" w:space="0" w:color="auto"/>
              <w:bottom w:val="single" w:sz="4" w:space="0" w:color="auto"/>
              <w:right w:val="single" w:sz="4" w:space="0" w:color="auto"/>
            </w:tcBorders>
            <w:shd w:val="clear" w:color="auto" w:fill="auto"/>
            <w:noWrap/>
            <w:hideMark/>
          </w:tcPr>
          <w:p w14:paraId="266D623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4D5CB829"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w:t>
            </w:r>
          </w:p>
        </w:tc>
        <w:tc>
          <w:tcPr>
            <w:tcW w:w="1159" w:type="dxa"/>
            <w:tcBorders>
              <w:top w:val="single" w:sz="4" w:space="0" w:color="auto"/>
              <w:left w:val="single" w:sz="4" w:space="0" w:color="auto"/>
              <w:bottom w:val="single" w:sz="4" w:space="0" w:color="auto"/>
              <w:right w:val="single" w:sz="4" w:space="0" w:color="auto"/>
            </w:tcBorders>
            <w:shd w:val="clear" w:color="auto" w:fill="auto"/>
            <w:noWrap/>
            <w:hideMark/>
          </w:tcPr>
          <w:p w14:paraId="7911D15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1,640</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3B9A352E"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(1,640)</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25F6EF5E"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0D49B1D5"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w:t>
            </w:r>
          </w:p>
        </w:tc>
      </w:tr>
      <w:tr w:rsidR="0022382F" w:rsidRPr="00F413C5" w14:paraId="1715C589" w14:textId="77777777" w:rsidTr="00964784">
        <w:trPr>
          <w:cantSplit/>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tcPr>
          <w:p w14:paraId="0079B590" w14:textId="77777777" w:rsidR="003E5BF5" w:rsidRPr="00F413C5" w:rsidRDefault="003E5BF5" w:rsidP="00DE1921">
            <w:pPr>
              <w:rPr>
                <w:rFonts w:ascii="Arial" w:hAnsi="Arial" w:cs="Arial"/>
                <w:b/>
                <w:sz w:val="24"/>
                <w:szCs w:val="24"/>
              </w:rPr>
            </w:pPr>
            <w:r w:rsidRPr="00F413C5">
              <w:rPr>
                <w:rFonts w:ascii="Arial" w:hAnsi="Arial" w:cs="Arial"/>
                <w:b/>
                <w:sz w:val="24"/>
                <w:szCs w:val="24"/>
              </w:rPr>
              <w:lastRenderedPageBreak/>
              <w:t>Regional Jobs and Infrastructure Fund</w:t>
            </w:r>
            <w:r w:rsidRPr="00F413C5">
              <w:rPr>
                <w:rFonts w:ascii="Arial" w:hAnsi="Arial" w:cs="Arial"/>
                <w:sz w:val="24"/>
                <w:szCs w:val="24"/>
              </w:rPr>
              <w:br/>
              <w:t xml:space="preserve">Established under the </w:t>
            </w:r>
            <w:r w:rsidRPr="00F413C5">
              <w:rPr>
                <w:rFonts w:ascii="Arial" w:hAnsi="Arial" w:cs="Arial"/>
                <w:i/>
                <w:sz w:val="24"/>
                <w:szCs w:val="24"/>
              </w:rPr>
              <w:t>Regional Growth Fund Act 2011</w:t>
            </w:r>
            <w:r w:rsidRPr="00F413C5">
              <w:rPr>
                <w:rFonts w:ascii="Arial" w:hAnsi="Arial" w:cs="Arial"/>
                <w:sz w:val="24"/>
                <w:szCs w:val="24"/>
              </w:rPr>
              <w:t xml:space="preserve"> to support regional cities and country communities in infrastructure, facilities, services, job creation, career opportunities and to increase investment.</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5836F41B"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227,657 </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4F3FA2C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69,756 </w:t>
            </w:r>
          </w:p>
        </w:tc>
        <w:tc>
          <w:tcPr>
            <w:tcW w:w="1324" w:type="dxa"/>
            <w:tcBorders>
              <w:top w:val="single" w:sz="4" w:space="0" w:color="auto"/>
              <w:left w:val="single" w:sz="4" w:space="0" w:color="auto"/>
              <w:bottom w:val="single" w:sz="4" w:space="0" w:color="auto"/>
              <w:right w:val="single" w:sz="4" w:space="0" w:color="auto"/>
            </w:tcBorders>
            <w:shd w:val="clear" w:color="auto" w:fill="auto"/>
            <w:noWrap/>
          </w:tcPr>
          <w:p w14:paraId="5753771E"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(65,974)</w:t>
            </w:r>
          </w:p>
        </w:tc>
        <w:tc>
          <w:tcPr>
            <w:tcW w:w="1117" w:type="dxa"/>
            <w:tcBorders>
              <w:top w:val="single" w:sz="4" w:space="0" w:color="auto"/>
              <w:left w:val="single" w:sz="4" w:space="0" w:color="auto"/>
              <w:bottom w:val="single" w:sz="4" w:space="0" w:color="auto"/>
              <w:right w:val="single" w:sz="4" w:space="0" w:color="auto"/>
            </w:tcBorders>
            <w:shd w:val="clear" w:color="auto" w:fill="auto"/>
            <w:noWrap/>
          </w:tcPr>
          <w:p w14:paraId="380D8BC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(231,439)</w:t>
            </w:r>
          </w:p>
        </w:tc>
        <w:tc>
          <w:tcPr>
            <w:tcW w:w="1088" w:type="dxa"/>
            <w:tcBorders>
              <w:top w:val="single" w:sz="4" w:space="0" w:color="auto"/>
              <w:left w:val="single" w:sz="4" w:space="0" w:color="auto"/>
              <w:bottom w:val="single" w:sz="4" w:space="0" w:color="auto"/>
              <w:right w:val="single" w:sz="4" w:space="0" w:color="auto"/>
            </w:tcBorders>
            <w:shd w:val="clear" w:color="auto" w:fill="auto"/>
            <w:noWrap/>
          </w:tcPr>
          <w:p w14:paraId="7AB8D90A"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 - </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206B3CD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324" w:type="dxa"/>
            <w:tcBorders>
              <w:top w:val="single" w:sz="4" w:space="0" w:color="auto"/>
              <w:left w:val="single" w:sz="4" w:space="0" w:color="auto"/>
              <w:bottom w:val="single" w:sz="4" w:space="0" w:color="auto"/>
              <w:right w:val="single" w:sz="4" w:space="0" w:color="auto"/>
            </w:tcBorders>
            <w:shd w:val="clear" w:color="auto" w:fill="auto"/>
            <w:noWrap/>
          </w:tcPr>
          <w:p w14:paraId="4D0A90D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auto"/>
            <w:noWrap/>
          </w:tcPr>
          <w:p w14:paraId="2964A9C2"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088" w:type="dxa"/>
            <w:tcBorders>
              <w:top w:val="single" w:sz="4" w:space="0" w:color="auto"/>
              <w:left w:val="single" w:sz="4" w:space="0" w:color="auto"/>
              <w:bottom w:val="single" w:sz="4" w:space="0" w:color="auto"/>
              <w:right w:val="single" w:sz="4" w:space="0" w:color="auto"/>
            </w:tcBorders>
            <w:shd w:val="clear" w:color="auto" w:fill="auto"/>
            <w:noWrap/>
          </w:tcPr>
          <w:p w14:paraId="15D13CCA"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(1)</w:t>
            </w:r>
          </w:p>
        </w:tc>
      </w:tr>
      <w:tr w:rsidR="003E5BF5" w:rsidRPr="00F413C5" w14:paraId="70F2A5BD" w14:textId="77777777" w:rsidTr="00964784">
        <w:trPr>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tcPr>
          <w:p w14:paraId="3947DC6E" w14:textId="77777777" w:rsidR="003E5BF5" w:rsidRPr="00F413C5" w:rsidRDefault="003E5BF5" w:rsidP="00DE1921">
            <w:pPr>
              <w:rPr>
                <w:rFonts w:ascii="Arial" w:hAnsi="Arial" w:cs="Arial"/>
                <w:b/>
                <w:sz w:val="24"/>
                <w:szCs w:val="24"/>
              </w:rPr>
            </w:pPr>
            <w:r w:rsidRPr="00F413C5">
              <w:rPr>
                <w:rFonts w:ascii="Arial" w:hAnsi="Arial" w:cs="Arial"/>
                <w:b/>
                <w:sz w:val="24"/>
                <w:szCs w:val="24"/>
              </w:rPr>
              <w:t>Disease Compensation Funds</w:t>
            </w:r>
            <w:r w:rsidRPr="00F413C5">
              <w:rPr>
                <w:rFonts w:ascii="Arial" w:hAnsi="Arial" w:cs="Arial"/>
                <w:sz w:val="24"/>
                <w:szCs w:val="24"/>
              </w:rPr>
              <w:br/>
              <w:t xml:space="preserve">Established under section 5 of the </w:t>
            </w:r>
            <w:r w:rsidRPr="00F413C5">
              <w:rPr>
                <w:rFonts w:ascii="Arial" w:hAnsi="Arial" w:cs="Arial"/>
                <w:i/>
                <w:sz w:val="24"/>
                <w:szCs w:val="24"/>
              </w:rPr>
              <w:t>Livestock Disease Control Act 1994</w:t>
            </w:r>
            <w:r w:rsidRPr="00F413C5">
              <w:rPr>
                <w:rFonts w:ascii="Arial" w:hAnsi="Arial" w:cs="Arial"/>
                <w:sz w:val="24"/>
                <w:szCs w:val="24"/>
              </w:rPr>
              <w:t xml:space="preserve"> to support the control and eradication of any outbreak and to provide compensation for livestock destroyed due to suffering or suspected of suffering from diseases.</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14E042A1"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28,612 </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7A68C5B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2,874 </w:t>
            </w:r>
          </w:p>
        </w:tc>
        <w:tc>
          <w:tcPr>
            <w:tcW w:w="1324" w:type="dxa"/>
            <w:tcBorders>
              <w:top w:val="single" w:sz="4" w:space="0" w:color="auto"/>
              <w:left w:val="single" w:sz="4" w:space="0" w:color="auto"/>
              <w:bottom w:val="single" w:sz="4" w:space="0" w:color="auto"/>
              <w:right w:val="single" w:sz="4" w:space="0" w:color="auto"/>
            </w:tcBorders>
            <w:shd w:val="clear" w:color="auto" w:fill="auto"/>
            <w:noWrap/>
          </w:tcPr>
          <w:p w14:paraId="20761CA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(1,700)</w:t>
            </w:r>
          </w:p>
        </w:tc>
        <w:tc>
          <w:tcPr>
            <w:tcW w:w="1117" w:type="dxa"/>
            <w:tcBorders>
              <w:top w:val="single" w:sz="4" w:space="0" w:color="auto"/>
              <w:left w:val="single" w:sz="4" w:space="0" w:color="auto"/>
              <w:bottom w:val="single" w:sz="4" w:space="0" w:color="auto"/>
              <w:right w:val="single" w:sz="4" w:space="0" w:color="auto"/>
            </w:tcBorders>
            <w:shd w:val="clear" w:color="auto" w:fill="auto"/>
            <w:noWrap/>
          </w:tcPr>
          <w:p w14:paraId="6E351ED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(29,786)</w:t>
            </w:r>
          </w:p>
        </w:tc>
        <w:tc>
          <w:tcPr>
            <w:tcW w:w="1088" w:type="dxa"/>
            <w:tcBorders>
              <w:top w:val="single" w:sz="4" w:space="0" w:color="auto"/>
              <w:left w:val="single" w:sz="4" w:space="0" w:color="auto"/>
              <w:bottom w:val="single" w:sz="4" w:space="0" w:color="auto"/>
              <w:right w:val="single" w:sz="4" w:space="0" w:color="auto"/>
            </w:tcBorders>
            <w:shd w:val="clear" w:color="auto" w:fill="auto"/>
            <w:noWrap/>
          </w:tcPr>
          <w:p w14:paraId="06ECC320"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 - </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44064BE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324" w:type="dxa"/>
            <w:tcBorders>
              <w:top w:val="single" w:sz="4" w:space="0" w:color="auto"/>
              <w:left w:val="single" w:sz="4" w:space="0" w:color="auto"/>
              <w:bottom w:val="single" w:sz="4" w:space="0" w:color="auto"/>
              <w:right w:val="single" w:sz="4" w:space="0" w:color="auto"/>
            </w:tcBorders>
            <w:shd w:val="clear" w:color="auto" w:fill="auto"/>
            <w:noWrap/>
          </w:tcPr>
          <w:p w14:paraId="409B06B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087" w:type="dxa"/>
            <w:tcBorders>
              <w:top w:val="single" w:sz="4" w:space="0" w:color="auto"/>
              <w:left w:val="single" w:sz="4" w:space="0" w:color="auto"/>
              <w:bottom w:val="single" w:sz="4" w:space="0" w:color="auto"/>
              <w:right w:val="single" w:sz="4" w:space="0" w:color="auto"/>
            </w:tcBorders>
            <w:shd w:val="clear" w:color="auto" w:fill="auto"/>
            <w:noWrap/>
          </w:tcPr>
          <w:p w14:paraId="165D182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088" w:type="dxa"/>
            <w:tcBorders>
              <w:top w:val="single" w:sz="4" w:space="0" w:color="auto"/>
              <w:left w:val="single" w:sz="4" w:space="0" w:color="auto"/>
              <w:bottom w:val="single" w:sz="4" w:space="0" w:color="auto"/>
              <w:right w:val="single" w:sz="4" w:space="0" w:color="auto"/>
            </w:tcBorders>
            <w:shd w:val="clear" w:color="auto" w:fill="auto"/>
            <w:noWrap/>
          </w:tcPr>
          <w:p w14:paraId="0C749E89"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 - </w:t>
            </w:r>
          </w:p>
        </w:tc>
      </w:tr>
      <w:tr w:rsidR="003E5BF5" w:rsidRPr="00F413C5" w14:paraId="6DE38671" w14:textId="77777777" w:rsidTr="00964784">
        <w:trPr>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tcPr>
          <w:p w14:paraId="27CD37CD" w14:textId="77777777" w:rsidR="003E5BF5" w:rsidRPr="00F413C5" w:rsidRDefault="003E5BF5" w:rsidP="00DE1921">
            <w:pPr>
              <w:rPr>
                <w:rFonts w:ascii="Arial" w:hAnsi="Arial" w:cs="Arial"/>
                <w:b/>
                <w:sz w:val="24"/>
                <w:szCs w:val="24"/>
              </w:rPr>
            </w:pPr>
            <w:r w:rsidRPr="00F413C5">
              <w:rPr>
                <w:rFonts w:ascii="Arial" w:hAnsi="Arial" w:cs="Arial"/>
                <w:b/>
                <w:sz w:val="24"/>
                <w:szCs w:val="24"/>
              </w:rPr>
              <w:t>Animals in Research and Teaching Welfare Fund</w:t>
            </w:r>
            <w:r w:rsidRPr="00F413C5">
              <w:rPr>
                <w:rFonts w:ascii="Arial" w:hAnsi="Arial" w:cs="Arial"/>
                <w:sz w:val="24"/>
                <w:szCs w:val="24"/>
              </w:rPr>
              <w:br/>
              <w:t xml:space="preserve">Established under the </w:t>
            </w:r>
            <w:r w:rsidRPr="00F413C5">
              <w:rPr>
                <w:rFonts w:ascii="Arial" w:hAnsi="Arial" w:cs="Arial"/>
                <w:i/>
                <w:sz w:val="24"/>
                <w:szCs w:val="24"/>
              </w:rPr>
              <w:t>Prevention of Cruelty to Animals Act 1986</w:t>
            </w:r>
            <w:r w:rsidRPr="00F413C5">
              <w:rPr>
                <w:rFonts w:ascii="Arial" w:hAnsi="Arial" w:cs="Arial"/>
                <w:sz w:val="24"/>
                <w:szCs w:val="24"/>
              </w:rPr>
              <w:t xml:space="preserve"> to record the receipt and disbursement of funds collected for monitoring and reporting on compliance by animal research and teaching establishments.</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06E27BE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33 </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39B925B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131 </w:t>
            </w:r>
          </w:p>
        </w:tc>
        <w:tc>
          <w:tcPr>
            <w:tcW w:w="1324" w:type="dxa"/>
            <w:tcBorders>
              <w:top w:val="single" w:sz="4" w:space="0" w:color="auto"/>
              <w:left w:val="single" w:sz="4" w:space="0" w:color="auto"/>
              <w:bottom w:val="single" w:sz="4" w:space="0" w:color="auto"/>
              <w:right w:val="single" w:sz="4" w:space="0" w:color="auto"/>
            </w:tcBorders>
            <w:shd w:val="clear" w:color="auto" w:fill="auto"/>
            <w:noWrap/>
          </w:tcPr>
          <w:p w14:paraId="0EE99A0E"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(10)</w:t>
            </w:r>
          </w:p>
        </w:tc>
        <w:tc>
          <w:tcPr>
            <w:tcW w:w="1117" w:type="dxa"/>
            <w:tcBorders>
              <w:top w:val="single" w:sz="4" w:space="0" w:color="auto"/>
              <w:left w:val="single" w:sz="4" w:space="0" w:color="auto"/>
              <w:bottom w:val="single" w:sz="4" w:space="0" w:color="auto"/>
              <w:right w:val="single" w:sz="4" w:space="0" w:color="auto"/>
            </w:tcBorders>
            <w:shd w:val="clear" w:color="auto" w:fill="auto"/>
            <w:noWrap/>
          </w:tcPr>
          <w:p w14:paraId="32C7CF1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(154)</w:t>
            </w:r>
          </w:p>
        </w:tc>
        <w:tc>
          <w:tcPr>
            <w:tcW w:w="1088" w:type="dxa"/>
            <w:tcBorders>
              <w:top w:val="single" w:sz="4" w:space="0" w:color="auto"/>
              <w:left w:val="single" w:sz="4" w:space="0" w:color="auto"/>
              <w:bottom w:val="single" w:sz="4" w:space="0" w:color="auto"/>
              <w:right w:val="single" w:sz="4" w:space="0" w:color="auto"/>
            </w:tcBorders>
            <w:shd w:val="clear" w:color="auto" w:fill="auto"/>
            <w:noWrap/>
          </w:tcPr>
          <w:p w14:paraId="3661AF67"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 - </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5C92E5C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324" w:type="dxa"/>
            <w:tcBorders>
              <w:top w:val="single" w:sz="4" w:space="0" w:color="auto"/>
              <w:left w:val="single" w:sz="4" w:space="0" w:color="auto"/>
              <w:bottom w:val="single" w:sz="4" w:space="0" w:color="auto"/>
              <w:right w:val="single" w:sz="4" w:space="0" w:color="auto"/>
            </w:tcBorders>
            <w:shd w:val="clear" w:color="auto" w:fill="auto"/>
            <w:noWrap/>
          </w:tcPr>
          <w:p w14:paraId="0A85B13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087" w:type="dxa"/>
            <w:tcBorders>
              <w:top w:val="single" w:sz="4" w:space="0" w:color="auto"/>
              <w:left w:val="single" w:sz="4" w:space="0" w:color="auto"/>
              <w:bottom w:val="single" w:sz="4" w:space="0" w:color="auto"/>
              <w:right w:val="single" w:sz="4" w:space="0" w:color="auto"/>
            </w:tcBorders>
            <w:shd w:val="clear" w:color="auto" w:fill="auto"/>
            <w:noWrap/>
          </w:tcPr>
          <w:p w14:paraId="45ECBEC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088" w:type="dxa"/>
            <w:tcBorders>
              <w:top w:val="single" w:sz="4" w:space="0" w:color="auto"/>
              <w:left w:val="single" w:sz="4" w:space="0" w:color="auto"/>
              <w:bottom w:val="single" w:sz="4" w:space="0" w:color="auto"/>
              <w:right w:val="single" w:sz="4" w:space="0" w:color="auto"/>
            </w:tcBorders>
            <w:shd w:val="clear" w:color="auto" w:fill="auto"/>
            <w:noWrap/>
          </w:tcPr>
          <w:p w14:paraId="2660E2A4"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 - </w:t>
            </w:r>
          </w:p>
        </w:tc>
      </w:tr>
      <w:tr w:rsidR="0022382F" w:rsidRPr="00F413C5" w14:paraId="42F5122B" w14:textId="77777777" w:rsidTr="00964784">
        <w:trPr>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vAlign w:val="center"/>
          </w:tcPr>
          <w:p w14:paraId="4CA98739" w14:textId="77777777" w:rsidR="003E5BF5" w:rsidRPr="00F413C5" w:rsidRDefault="003E5BF5" w:rsidP="00DE1921">
            <w:pPr>
              <w:rPr>
                <w:rFonts w:ascii="Arial" w:hAnsi="Arial" w:cs="Arial"/>
                <w:b/>
                <w:sz w:val="24"/>
                <w:szCs w:val="24"/>
              </w:rPr>
            </w:pPr>
            <w:r w:rsidRPr="00F413C5">
              <w:rPr>
                <w:rFonts w:ascii="Arial" w:hAnsi="Arial" w:cs="Arial"/>
                <w:b/>
                <w:sz w:val="24"/>
                <w:szCs w:val="24"/>
              </w:rPr>
              <w:t>Commonwealth Treasury Trust Fund</w:t>
            </w:r>
            <w:r w:rsidRPr="00F413C5">
              <w:rPr>
                <w:rFonts w:ascii="Arial" w:hAnsi="Arial" w:cs="Arial"/>
                <w:sz w:val="24"/>
                <w:szCs w:val="24"/>
              </w:rPr>
              <w:br/>
              <w:t xml:space="preserve">Established under section 19 of the </w:t>
            </w:r>
            <w:r w:rsidRPr="00F413C5">
              <w:rPr>
                <w:rFonts w:ascii="Arial" w:hAnsi="Arial" w:cs="Arial"/>
                <w:i/>
                <w:sz w:val="24"/>
                <w:szCs w:val="24"/>
              </w:rPr>
              <w:t>Financial Management Act 1994</w:t>
            </w:r>
            <w:r w:rsidRPr="00F413C5">
              <w:rPr>
                <w:rFonts w:ascii="Arial" w:hAnsi="Arial" w:cs="Arial"/>
                <w:sz w:val="24"/>
                <w:szCs w:val="24"/>
              </w:rPr>
              <w:t xml:space="preserve">, for </w:t>
            </w:r>
            <w:r w:rsidRPr="00F413C5">
              <w:rPr>
                <w:rFonts w:ascii="Arial" w:hAnsi="Arial" w:cs="Arial"/>
                <w:sz w:val="24"/>
                <w:szCs w:val="24"/>
              </w:rPr>
              <w:lastRenderedPageBreak/>
              <w:t>the purpose of holding funds from the Commonwealth Government.</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1EB57E62"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lastRenderedPageBreak/>
              <w:t xml:space="preserve">89,239 </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33BE45E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8,042 </w:t>
            </w:r>
          </w:p>
        </w:tc>
        <w:tc>
          <w:tcPr>
            <w:tcW w:w="1324" w:type="dxa"/>
            <w:tcBorders>
              <w:top w:val="single" w:sz="4" w:space="0" w:color="auto"/>
              <w:left w:val="single" w:sz="4" w:space="0" w:color="auto"/>
              <w:bottom w:val="single" w:sz="4" w:space="0" w:color="auto"/>
              <w:right w:val="single" w:sz="4" w:space="0" w:color="auto"/>
            </w:tcBorders>
            <w:shd w:val="clear" w:color="auto" w:fill="auto"/>
            <w:noWrap/>
          </w:tcPr>
          <w:p w14:paraId="258D642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(1,864)</w:t>
            </w:r>
          </w:p>
        </w:tc>
        <w:tc>
          <w:tcPr>
            <w:tcW w:w="1117" w:type="dxa"/>
            <w:tcBorders>
              <w:top w:val="single" w:sz="4" w:space="0" w:color="auto"/>
              <w:left w:val="single" w:sz="4" w:space="0" w:color="auto"/>
              <w:bottom w:val="single" w:sz="4" w:space="0" w:color="auto"/>
              <w:right w:val="single" w:sz="4" w:space="0" w:color="auto"/>
            </w:tcBorders>
            <w:shd w:val="clear" w:color="auto" w:fill="auto"/>
            <w:noWrap/>
          </w:tcPr>
          <w:p w14:paraId="3C47D17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(95,417)</w:t>
            </w:r>
          </w:p>
        </w:tc>
        <w:tc>
          <w:tcPr>
            <w:tcW w:w="1088" w:type="dxa"/>
            <w:tcBorders>
              <w:top w:val="single" w:sz="4" w:space="0" w:color="auto"/>
              <w:left w:val="single" w:sz="4" w:space="0" w:color="auto"/>
              <w:bottom w:val="single" w:sz="4" w:space="0" w:color="auto"/>
              <w:right w:val="single" w:sz="4" w:space="0" w:color="auto"/>
            </w:tcBorders>
            <w:shd w:val="clear" w:color="auto" w:fill="auto"/>
            <w:noWrap/>
          </w:tcPr>
          <w:p w14:paraId="2A3C470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 - </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657EC91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324" w:type="dxa"/>
            <w:tcBorders>
              <w:top w:val="single" w:sz="4" w:space="0" w:color="auto"/>
              <w:left w:val="single" w:sz="4" w:space="0" w:color="auto"/>
              <w:bottom w:val="single" w:sz="4" w:space="0" w:color="auto"/>
              <w:right w:val="single" w:sz="4" w:space="0" w:color="auto"/>
            </w:tcBorders>
            <w:shd w:val="clear" w:color="auto" w:fill="auto"/>
            <w:noWrap/>
          </w:tcPr>
          <w:p w14:paraId="4BF54B8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087" w:type="dxa"/>
            <w:tcBorders>
              <w:top w:val="single" w:sz="4" w:space="0" w:color="auto"/>
              <w:left w:val="single" w:sz="4" w:space="0" w:color="auto"/>
              <w:bottom w:val="single" w:sz="4" w:space="0" w:color="auto"/>
              <w:right w:val="single" w:sz="4" w:space="0" w:color="auto"/>
            </w:tcBorders>
            <w:shd w:val="clear" w:color="auto" w:fill="auto"/>
            <w:noWrap/>
          </w:tcPr>
          <w:p w14:paraId="1C5E46A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088" w:type="dxa"/>
            <w:tcBorders>
              <w:top w:val="single" w:sz="4" w:space="0" w:color="auto"/>
              <w:left w:val="single" w:sz="4" w:space="0" w:color="auto"/>
              <w:bottom w:val="single" w:sz="4" w:space="0" w:color="auto"/>
              <w:right w:val="single" w:sz="4" w:space="0" w:color="auto"/>
            </w:tcBorders>
            <w:shd w:val="clear" w:color="auto" w:fill="auto"/>
            <w:noWrap/>
          </w:tcPr>
          <w:p w14:paraId="67C9C770"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 - </w:t>
            </w:r>
          </w:p>
        </w:tc>
      </w:tr>
      <w:tr w:rsidR="003E5BF5" w:rsidRPr="00F413C5" w14:paraId="60C25101" w14:textId="77777777" w:rsidTr="00964784">
        <w:trPr>
          <w:trHeight w:val="340"/>
          <w:jc w:val="center"/>
        </w:trPr>
        <w:tc>
          <w:tcPr>
            <w:tcW w:w="4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6C679" w14:textId="77777777" w:rsidR="003E5BF5" w:rsidRPr="00F413C5" w:rsidRDefault="003E5BF5" w:rsidP="00DE1921">
            <w:pPr>
              <w:rPr>
                <w:rFonts w:ascii="Arial" w:hAnsi="Arial" w:cs="Arial"/>
                <w:b/>
                <w:sz w:val="24"/>
                <w:szCs w:val="24"/>
              </w:rPr>
            </w:pPr>
            <w:r w:rsidRPr="00F413C5">
              <w:rPr>
                <w:rFonts w:ascii="Arial" w:hAnsi="Arial" w:cs="Arial"/>
                <w:b/>
                <w:sz w:val="24"/>
                <w:szCs w:val="24"/>
              </w:rPr>
              <w:t>Total controlled State trusts</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8FB68"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1,278,311 </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18A63"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2,586,015 </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6EE5B"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(3,319,836)</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2CC3C"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(456,417)</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1F5F5"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88,073 </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5A1E1"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3,982,147 </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00177"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(3,611,341)</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50C12"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96,787 </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CE036"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555,666 </w:t>
            </w:r>
          </w:p>
        </w:tc>
      </w:tr>
    </w:tbl>
    <w:p w14:paraId="19AA87F4" w14:textId="77777777" w:rsidR="003E5BF5" w:rsidRDefault="003E5BF5" w:rsidP="00DE1921"/>
    <w:p w14:paraId="3E2E6765" w14:textId="77777777" w:rsidR="003E5BF5" w:rsidRPr="001E3B67" w:rsidRDefault="003E5BF5" w:rsidP="00DE1921">
      <w:pPr>
        <w:rPr>
          <w:sz w:val="16"/>
          <w:szCs w:val="16"/>
        </w:rPr>
      </w:pPr>
    </w:p>
    <w:p w14:paraId="231E9037" w14:textId="77777777" w:rsidR="003E5BF5" w:rsidRPr="007444F0" w:rsidRDefault="003E5BF5" w:rsidP="00DE1921">
      <w:pPr>
        <w:sectPr w:rsidR="003E5BF5" w:rsidRPr="007444F0" w:rsidSect="00DE1921">
          <w:headerReference w:type="default" r:id="rId150"/>
          <w:footerReference w:type="even" r:id="rId151"/>
          <w:headerReference w:type="first" r:id="rId152"/>
          <w:type w:val="continuous"/>
          <w:pgSz w:w="16838" w:h="11906" w:orient="landscape"/>
          <w:pgMar w:top="1418" w:right="1701" w:bottom="1418" w:left="1418" w:header="709" w:footer="709" w:gutter="0"/>
          <w:cols w:space="708"/>
          <w:docGrid w:linePitch="360"/>
        </w:sectPr>
      </w:pPr>
    </w:p>
    <w:p w14:paraId="668F5AB4" w14:textId="77777777" w:rsidR="003E5BF5" w:rsidRPr="007444F0" w:rsidRDefault="003E5BF5" w:rsidP="00610F5F">
      <w:pPr>
        <w:pStyle w:val="Heading3"/>
        <w:numPr>
          <w:ilvl w:val="2"/>
          <w:numId w:val="21"/>
        </w:numPr>
        <w:ind w:left="765" w:hanging="765"/>
      </w:pPr>
      <w:bookmarkStart w:id="466" w:name="_Toc521965483"/>
      <w:bookmarkStart w:id="467" w:name="_Toc529196588"/>
      <w:bookmarkStart w:id="468" w:name="_Toc529197629"/>
      <w:bookmarkStart w:id="469" w:name="_Toc529197790"/>
      <w:bookmarkStart w:id="470" w:name="_Toc529197922"/>
      <w:bookmarkStart w:id="471" w:name="_Toc529197962"/>
      <w:r w:rsidRPr="007444F0">
        <w:lastRenderedPageBreak/>
        <w:t xml:space="preserve">Trust account balances relating to trust accounts administered by the </w:t>
      </w:r>
      <w:r>
        <w:t>d</w:t>
      </w:r>
      <w:r w:rsidRPr="007444F0">
        <w:t>epartment</w:t>
      </w:r>
      <w:bookmarkEnd w:id="466"/>
      <w:bookmarkEnd w:id="467"/>
      <w:bookmarkEnd w:id="468"/>
      <w:bookmarkEnd w:id="469"/>
      <w:bookmarkEnd w:id="470"/>
      <w:bookmarkEnd w:id="471"/>
    </w:p>
    <w:p w14:paraId="2497AB98" w14:textId="77777777" w:rsidR="003E5BF5" w:rsidRPr="007444F0" w:rsidRDefault="003E5BF5" w:rsidP="001C6099">
      <w:pPr>
        <w:pStyle w:val="aaatyping"/>
      </w:pPr>
      <w:r w:rsidRPr="007444F0">
        <w:t xml:space="preserve">The </w:t>
      </w:r>
      <w:r>
        <w:t>d</w:t>
      </w:r>
      <w:r w:rsidRPr="007444F0">
        <w:t xml:space="preserve">epartment has responsibility for transactions and balances relating to trust funds held on behalf of third parties external to the </w:t>
      </w:r>
      <w:r>
        <w:t>d</w:t>
      </w:r>
      <w:r w:rsidRPr="007444F0">
        <w:t xml:space="preserve">epartment. Funds managed on behalf of third parties are not recognised in these financial statements as they are managed on a fiduciary and custodial basis, and are therefore not controlled by the </w:t>
      </w:r>
      <w:r>
        <w:t>d</w:t>
      </w:r>
      <w:r w:rsidRPr="007444F0">
        <w:t>epartment.</w:t>
      </w:r>
    </w:p>
    <w:p w14:paraId="699EB7E3" w14:textId="77777777" w:rsidR="003E5BF5" w:rsidRDefault="003E5BF5" w:rsidP="001C6099">
      <w:pPr>
        <w:pStyle w:val="aaatyping"/>
      </w:pPr>
      <w:r w:rsidRPr="007444F0">
        <w:t>The following list of administered trust account balances on a cash basis:</w:t>
      </w:r>
    </w:p>
    <w:p w14:paraId="197A5592" w14:textId="77777777" w:rsidR="003E5BF5" w:rsidRPr="004230F9" w:rsidRDefault="003E5BF5" w:rsidP="00604703">
      <w:pPr>
        <w:pStyle w:val="TableTextGreen"/>
      </w:pPr>
      <w:bookmarkStart w:id="472" w:name="RANGE!A3:H9"/>
      <w:bookmarkEnd w:id="472"/>
    </w:p>
    <w:tbl>
      <w:tblPr>
        <w:tblStyle w:val="TableGrid"/>
        <w:tblW w:w="13608" w:type="dxa"/>
        <w:jc w:val="center"/>
        <w:tblLayout w:type="fixed"/>
        <w:tblCellMar>
          <w:left w:w="28" w:type="dxa"/>
          <w:right w:w="28" w:type="dxa"/>
        </w:tblCellMar>
        <w:tblLook w:val="04A0" w:firstRow="1" w:lastRow="0" w:firstColumn="1" w:lastColumn="0" w:noHBand="0" w:noVBand="1"/>
      </w:tblPr>
      <w:tblGrid>
        <w:gridCol w:w="4135"/>
        <w:gridCol w:w="1052"/>
        <w:gridCol w:w="1053"/>
        <w:gridCol w:w="1052"/>
        <w:gridCol w:w="1053"/>
        <w:gridCol w:w="1052"/>
        <w:gridCol w:w="1053"/>
        <w:gridCol w:w="1052"/>
        <w:gridCol w:w="1053"/>
        <w:gridCol w:w="1053"/>
      </w:tblGrid>
      <w:tr w:rsidR="003E5BF5" w:rsidRPr="00F413C5" w14:paraId="40064A17" w14:textId="77777777" w:rsidTr="00ED7813">
        <w:trPr>
          <w:trHeight w:val="340"/>
          <w:tblHeader/>
          <w:jc w:val="center"/>
        </w:trPr>
        <w:tc>
          <w:tcPr>
            <w:tcW w:w="3964" w:type="dxa"/>
            <w:shd w:val="clear" w:color="auto" w:fill="auto"/>
            <w:noWrap/>
            <w:hideMark/>
          </w:tcPr>
          <w:p w14:paraId="05318DCC" w14:textId="77777777" w:rsidR="003E5BF5" w:rsidRPr="00F413C5" w:rsidRDefault="003E5BF5" w:rsidP="00DE1921">
            <w:pPr>
              <w:rPr>
                <w:rFonts w:ascii="Arial" w:hAnsi="Arial" w:cs="Arial"/>
                <w:sz w:val="24"/>
                <w:szCs w:val="24"/>
              </w:rPr>
            </w:pPr>
            <w:bookmarkStart w:id="473" w:name="RANGE!A3:J9"/>
            <w:bookmarkEnd w:id="473"/>
          </w:p>
        </w:tc>
        <w:tc>
          <w:tcPr>
            <w:tcW w:w="9077" w:type="dxa"/>
            <w:gridSpan w:val="9"/>
            <w:shd w:val="clear" w:color="auto" w:fill="auto"/>
            <w:vAlign w:val="center"/>
            <w:hideMark/>
          </w:tcPr>
          <w:p w14:paraId="591970B9"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 thousand)</w:t>
            </w:r>
          </w:p>
        </w:tc>
      </w:tr>
      <w:tr w:rsidR="003E5BF5" w:rsidRPr="00F413C5" w14:paraId="72EB8553" w14:textId="77777777" w:rsidTr="00ED7813">
        <w:trPr>
          <w:trHeight w:val="340"/>
          <w:tblHeader/>
          <w:jc w:val="center"/>
        </w:trPr>
        <w:tc>
          <w:tcPr>
            <w:tcW w:w="3964" w:type="dxa"/>
            <w:shd w:val="clear" w:color="auto" w:fill="auto"/>
            <w:noWrap/>
            <w:hideMark/>
          </w:tcPr>
          <w:p w14:paraId="4C5528E0" w14:textId="77777777" w:rsidR="003E5BF5" w:rsidRPr="00F413C5" w:rsidRDefault="003E5BF5" w:rsidP="00DE1921">
            <w:pPr>
              <w:rPr>
                <w:rFonts w:ascii="Arial" w:hAnsi="Arial" w:cs="Arial"/>
                <w:b/>
                <w:sz w:val="24"/>
                <w:szCs w:val="24"/>
              </w:rPr>
            </w:pPr>
          </w:p>
        </w:tc>
        <w:tc>
          <w:tcPr>
            <w:tcW w:w="1008" w:type="dxa"/>
            <w:shd w:val="clear" w:color="auto" w:fill="auto"/>
            <w:noWrap/>
            <w:vAlign w:val="bottom"/>
            <w:hideMark/>
          </w:tcPr>
          <w:p w14:paraId="7A0DEF04"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2018</w:t>
            </w:r>
          </w:p>
        </w:tc>
        <w:tc>
          <w:tcPr>
            <w:tcW w:w="1009" w:type="dxa"/>
            <w:shd w:val="clear" w:color="auto" w:fill="auto"/>
            <w:vAlign w:val="bottom"/>
            <w:hideMark/>
          </w:tcPr>
          <w:p w14:paraId="03975DE6"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Total Receipts</w:t>
            </w:r>
          </w:p>
        </w:tc>
        <w:tc>
          <w:tcPr>
            <w:tcW w:w="1008" w:type="dxa"/>
            <w:shd w:val="clear" w:color="auto" w:fill="auto"/>
            <w:vAlign w:val="bottom"/>
            <w:hideMark/>
          </w:tcPr>
          <w:p w14:paraId="60F9F454"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Total Payments</w:t>
            </w:r>
          </w:p>
        </w:tc>
        <w:tc>
          <w:tcPr>
            <w:tcW w:w="1009" w:type="dxa"/>
            <w:shd w:val="clear" w:color="auto" w:fill="auto"/>
            <w:vAlign w:val="bottom"/>
            <w:hideMark/>
          </w:tcPr>
          <w:p w14:paraId="701F280F" w14:textId="77777777" w:rsidR="003E5BF5" w:rsidRPr="00F413C5" w:rsidRDefault="003E5BF5" w:rsidP="00DE1921">
            <w:pPr>
              <w:jc w:val="right"/>
              <w:rPr>
                <w:rFonts w:ascii="Arial" w:hAnsi="Arial" w:cs="Arial"/>
                <w:b/>
                <w:sz w:val="24"/>
                <w:szCs w:val="24"/>
              </w:rPr>
            </w:pPr>
            <w:proofErr w:type="spellStart"/>
            <w:r w:rsidRPr="00F413C5">
              <w:rPr>
                <w:rFonts w:ascii="Arial" w:hAnsi="Arial" w:cs="Arial"/>
                <w:b/>
                <w:sz w:val="24"/>
                <w:szCs w:val="24"/>
              </w:rPr>
              <w:t>MoG</w:t>
            </w:r>
            <w:proofErr w:type="spellEnd"/>
            <w:r w:rsidRPr="00F413C5">
              <w:rPr>
                <w:rFonts w:ascii="Arial" w:hAnsi="Arial" w:cs="Arial"/>
                <w:b/>
                <w:sz w:val="24"/>
                <w:szCs w:val="24"/>
              </w:rPr>
              <w:t xml:space="preserve"> change</w:t>
            </w:r>
          </w:p>
        </w:tc>
        <w:tc>
          <w:tcPr>
            <w:tcW w:w="1008" w:type="dxa"/>
            <w:shd w:val="clear" w:color="auto" w:fill="auto"/>
            <w:noWrap/>
            <w:vAlign w:val="bottom"/>
            <w:hideMark/>
          </w:tcPr>
          <w:p w14:paraId="7650B6B7"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2019</w:t>
            </w:r>
          </w:p>
        </w:tc>
        <w:tc>
          <w:tcPr>
            <w:tcW w:w="1009" w:type="dxa"/>
            <w:shd w:val="clear" w:color="auto" w:fill="auto"/>
            <w:vAlign w:val="bottom"/>
            <w:hideMark/>
          </w:tcPr>
          <w:p w14:paraId="117E80A5"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Total Receipts</w:t>
            </w:r>
          </w:p>
        </w:tc>
        <w:tc>
          <w:tcPr>
            <w:tcW w:w="1008" w:type="dxa"/>
            <w:shd w:val="clear" w:color="auto" w:fill="auto"/>
            <w:vAlign w:val="bottom"/>
            <w:hideMark/>
          </w:tcPr>
          <w:p w14:paraId="3D19FEA7"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Total Payments</w:t>
            </w:r>
          </w:p>
        </w:tc>
        <w:tc>
          <w:tcPr>
            <w:tcW w:w="1009" w:type="dxa"/>
            <w:shd w:val="clear" w:color="auto" w:fill="auto"/>
            <w:vAlign w:val="bottom"/>
            <w:hideMark/>
          </w:tcPr>
          <w:p w14:paraId="294B15CD" w14:textId="77777777" w:rsidR="003E5BF5" w:rsidRPr="00F413C5" w:rsidRDefault="003E5BF5" w:rsidP="00DE1921">
            <w:pPr>
              <w:jc w:val="right"/>
              <w:rPr>
                <w:rFonts w:ascii="Arial" w:hAnsi="Arial" w:cs="Arial"/>
                <w:b/>
                <w:sz w:val="24"/>
                <w:szCs w:val="24"/>
              </w:rPr>
            </w:pPr>
            <w:proofErr w:type="spellStart"/>
            <w:r w:rsidRPr="00F413C5">
              <w:rPr>
                <w:rFonts w:ascii="Arial" w:hAnsi="Arial" w:cs="Arial"/>
                <w:b/>
                <w:sz w:val="24"/>
                <w:szCs w:val="24"/>
              </w:rPr>
              <w:t>MoG</w:t>
            </w:r>
            <w:proofErr w:type="spellEnd"/>
            <w:r w:rsidRPr="00F413C5">
              <w:rPr>
                <w:rFonts w:ascii="Arial" w:hAnsi="Arial" w:cs="Arial"/>
                <w:b/>
                <w:sz w:val="24"/>
                <w:szCs w:val="24"/>
              </w:rPr>
              <w:t xml:space="preserve"> change</w:t>
            </w:r>
          </w:p>
        </w:tc>
        <w:tc>
          <w:tcPr>
            <w:tcW w:w="1009" w:type="dxa"/>
            <w:shd w:val="clear" w:color="auto" w:fill="auto"/>
            <w:noWrap/>
            <w:vAlign w:val="bottom"/>
            <w:hideMark/>
          </w:tcPr>
          <w:p w14:paraId="409017BD"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2020</w:t>
            </w:r>
          </w:p>
        </w:tc>
      </w:tr>
      <w:tr w:rsidR="003E5BF5" w:rsidRPr="00F413C5" w14:paraId="2224A905" w14:textId="77777777" w:rsidTr="009E4DA8">
        <w:trPr>
          <w:trHeight w:val="340"/>
          <w:jc w:val="center"/>
        </w:trPr>
        <w:tc>
          <w:tcPr>
            <w:tcW w:w="3964" w:type="dxa"/>
            <w:shd w:val="clear" w:color="auto" w:fill="auto"/>
            <w:vAlign w:val="center"/>
            <w:hideMark/>
          </w:tcPr>
          <w:p w14:paraId="5066AEEC" w14:textId="77777777" w:rsidR="003E5BF5" w:rsidRPr="00F413C5" w:rsidRDefault="003E5BF5" w:rsidP="00DE1921">
            <w:pPr>
              <w:rPr>
                <w:rFonts w:ascii="Arial" w:hAnsi="Arial" w:cs="Arial"/>
                <w:sz w:val="24"/>
                <w:szCs w:val="24"/>
              </w:rPr>
            </w:pPr>
            <w:r w:rsidRPr="00F413C5">
              <w:rPr>
                <w:rFonts w:ascii="Arial" w:hAnsi="Arial" w:cs="Arial"/>
                <w:b/>
                <w:sz w:val="24"/>
                <w:szCs w:val="24"/>
              </w:rPr>
              <w:t xml:space="preserve">State Treasury Trust Fund </w:t>
            </w:r>
            <w:r w:rsidRPr="00F413C5">
              <w:rPr>
                <w:rFonts w:ascii="Arial" w:hAnsi="Arial" w:cs="Arial"/>
                <w:sz w:val="24"/>
                <w:szCs w:val="24"/>
              </w:rPr>
              <w:br/>
              <w:t xml:space="preserve">Established under the </w:t>
            </w:r>
            <w:r w:rsidRPr="00F413C5">
              <w:rPr>
                <w:rFonts w:ascii="Arial" w:hAnsi="Arial" w:cs="Arial"/>
                <w:i/>
                <w:sz w:val="24"/>
                <w:szCs w:val="24"/>
              </w:rPr>
              <w:t>Financial Management Act 1994</w:t>
            </w:r>
            <w:r w:rsidRPr="00F413C5">
              <w:rPr>
                <w:rFonts w:ascii="Arial" w:hAnsi="Arial" w:cs="Arial"/>
                <w:sz w:val="24"/>
                <w:szCs w:val="24"/>
              </w:rPr>
              <w:t xml:space="preserve"> to record the receipt and disbursement of unclaimed monies and other funds held in trust.</w:t>
            </w:r>
          </w:p>
        </w:tc>
        <w:tc>
          <w:tcPr>
            <w:tcW w:w="1008" w:type="dxa"/>
            <w:shd w:val="clear" w:color="auto" w:fill="auto"/>
            <w:noWrap/>
            <w:hideMark/>
          </w:tcPr>
          <w:p w14:paraId="0E51719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786</w:t>
            </w:r>
          </w:p>
        </w:tc>
        <w:tc>
          <w:tcPr>
            <w:tcW w:w="1009" w:type="dxa"/>
            <w:shd w:val="clear" w:color="auto" w:fill="auto"/>
            <w:noWrap/>
            <w:hideMark/>
          </w:tcPr>
          <w:p w14:paraId="6580AB1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3</w:t>
            </w:r>
          </w:p>
        </w:tc>
        <w:tc>
          <w:tcPr>
            <w:tcW w:w="1008" w:type="dxa"/>
            <w:shd w:val="clear" w:color="auto" w:fill="auto"/>
            <w:noWrap/>
            <w:hideMark/>
          </w:tcPr>
          <w:p w14:paraId="1430726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(306)</w:t>
            </w:r>
          </w:p>
        </w:tc>
        <w:tc>
          <w:tcPr>
            <w:tcW w:w="1009" w:type="dxa"/>
            <w:shd w:val="clear" w:color="auto" w:fill="auto"/>
            <w:noWrap/>
            <w:hideMark/>
          </w:tcPr>
          <w:p w14:paraId="21A1226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(164)</w:t>
            </w:r>
          </w:p>
        </w:tc>
        <w:tc>
          <w:tcPr>
            <w:tcW w:w="1008" w:type="dxa"/>
            <w:shd w:val="clear" w:color="auto" w:fill="auto"/>
            <w:noWrap/>
            <w:hideMark/>
          </w:tcPr>
          <w:p w14:paraId="3DB256A3"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319</w:t>
            </w:r>
          </w:p>
        </w:tc>
        <w:tc>
          <w:tcPr>
            <w:tcW w:w="1009" w:type="dxa"/>
            <w:shd w:val="clear" w:color="auto" w:fill="auto"/>
            <w:noWrap/>
            <w:hideMark/>
          </w:tcPr>
          <w:p w14:paraId="7DB2770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1,624</w:t>
            </w:r>
          </w:p>
        </w:tc>
        <w:tc>
          <w:tcPr>
            <w:tcW w:w="1008" w:type="dxa"/>
            <w:shd w:val="clear" w:color="auto" w:fill="auto"/>
            <w:noWrap/>
            <w:hideMark/>
          </w:tcPr>
          <w:p w14:paraId="428DB3F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(284)</w:t>
            </w:r>
          </w:p>
        </w:tc>
        <w:tc>
          <w:tcPr>
            <w:tcW w:w="1009" w:type="dxa"/>
            <w:shd w:val="clear" w:color="auto" w:fill="auto"/>
            <w:noWrap/>
            <w:hideMark/>
          </w:tcPr>
          <w:p w14:paraId="513D016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14,189</w:t>
            </w:r>
          </w:p>
        </w:tc>
        <w:tc>
          <w:tcPr>
            <w:tcW w:w="1009" w:type="dxa"/>
            <w:shd w:val="clear" w:color="auto" w:fill="auto"/>
            <w:noWrap/>
            <w:hideMark/>
          </w:tcPr>
          <w:p w14:paraId="2C6B0ED4"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15,848</w:t>
            </w:r>
          </w:p>
        </w:tc>
      </w:tr>
      <w:tr w:rsidR="003E5BF5" w:rsidRPr="00F413C5" w14:paraId="1CF43DFC" w14:textId="77777777" w:rsidTr="009E4DA8">
        <w:trPr>
          <w:trHeight w:val="340"/>
          <w:jc w:val="center"/>
        </w:trPr>
        <w:tc>
          <w:tcPr>
            <w:tcW w:w="3964" w:type="dxa"/>
            <w:shd w:val="clear" w:color="auto" w:fill="auto"/>
            <w:vAlign w:val="center"/>
            <w:hideMark/>
          </w:tcPr>
          <w:p w14:paraId="7374DBA9" w14:textId="77777777" w:rsidR="003E5BF5" w:rsidRPr="00F413C5" w:rsidRDefault="003E5BF5" w:rsidP="00DE1921">
            <w:pPr>
              <w:rPr>
                <w:rFonts w:ascii="Arial" w:hAnsi="Arial" w:cs="Arial"/>
                <w:sz w:val="24"/>
                <w:szCs w:val="24"/>
              </w:rPr>
            </w:pPr>
            <w:r w:rsidRPr="00F413C5">
              <w:rPr>
                <w:rFonts w:ascii="Arial" w:hAnsi="Arial" w:cs="Arial"/>
                <w:b/>
                <w:sz w:val="24"/>
                <w:szCs w:val="24"/>
              </w:rPr>
              <w:t xml:space="preserve">Lysterfield Reclamation Levy Trust Fund </w:t>
            </w:r>
            <w:r w:rsidRPr="00F413C5">
              <w:rPr>
                <w:rFonts w:ascii="Arial" w:hAnsi="Arial" w:cs="Arial"/>
                <w:sz w:val="24"/>
                <w:szCs w:val="24"/>
              </w:rPr>
              <w:br/>
              <w:t>Established under section 7 of the</w:t>
            </w:r>
            <w:r w:rsidRPr="00F413C5">
              <w:rPr>
                <w:rFonts w:ascii="Arial" w:hAnsi="Arial" w:cs="Arial"/>
                <w:i/>
                <w:sz w:val="24"/>
                <w:szCs w:val="24"/>
              </w:rPr>
              <w:t xml:space="preserve"> Extractive Industries (Lysterfield) Act 1986</w:t>
            </w:r>
            <w:r w:rsidRPr="00F413C5">
              <w:rPr>
                <w:rFonts w:ascii="Arial" w:hAnsi="Arial" w:cs="Arial"/>
                <w:sz w:val="24"/>
                <w:szCs w:val="24"/>
              </w:rPr>
              <w:t xml:space="preserve"> for the purposes of applying monies received in the trust to the reclamation of certain lands in accordance with the Act.</w:t>
            </w:r>
          </w:p>
        </w:tc>
        <w:tc>
          <w:tcPr>
            <w:tcW w:w="1008" w:type="dxa"/>
            <w:shd w:val="clear" w:color="auto" w:fill="auto"/>
            <w:noWrap/>
            <w:hideMark/>
          </w:tcPr>
          <w:p w14:paraId="651BE119"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5,328</w:t>
            </w:r>
          </w:p>
        </w:tc>
        <w:tc>
          <w:tcPr>
            <w:tcW w:w="1009" w:type="dxa"/>
            <w:shd w:val="clear" w:color="auto" w:fill="auto"/>
            <w:noWrap/>
            <w:hideMark/>
          </w:tcPr>
          <w:p w14:paraId="79975BE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185</w:t>
            </w:r>
          </w:p>
        </w:tc>
        <w:tc>
          <w:tcPr>
            <w:tcW w:w="1008" w:type="dxa"/>
            <w:shd w:val="clear" w:color="auto" w:fill="auto"/>
            <w:noWrap/>
            <w:hideMark/>
          </w:tcPr>
          <w:p w14:paraId="3EAE061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09" w:type="dxa"/>
            <w:shd w:val="clear" w:color="auto" w:fill="auto"/>
            <w:noWrap/>
            <w:hideMark/>
          </w:tcPr>
          <w:p w14:paraId="352B569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(5,513)</w:t>
            </w:r>
          </w:p>
        </w:tc>
        <w:tc>
          <w:tcPr>
            <w:tcW w:w="1008" w:type="dxa"/>
            <w:shd w:val="clear" w:color="auto" w:fill="auto"/>
            <w:noWrap/>
            <w:hideMark/>
          </w:tcPr>
          <w:p w14:paraId="5AA5192C"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w:t>
            </w:r>
          </w:p>
        </w:tc>
        <w:tc>
          <w:tcPr>
            <w:tcW w:w="1009" w:type="dxa"/>
            <w:shd w:val="clear" w:color="auto" w:fill="auto"/>
            <w:noWrap/>
            <w:hideMark/>
          </w:tcPr>
          <w:p w14:paraId="0AC389A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08" w:type="dxa"/>
            <w:shd w:val="clear" w:color="auto" w:fill="auto"/>
            <w:noWrap/>
            <w:hideMark/>
          </w:tcPr>
          <w:p w14:paraId="0A85596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09" w:type="dxa"/>
            <w:shd w:val="clear" w:color="auto" w:fill="auto"/>
            <w:noWrap/>
            <w:hideMark/>
          </w:tcPr>
          <w:p w14:paraId="38C3E76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09" w:type="dxa"/>
            <w:shd w:val="clear" w:color="auto" w:fill="auto"/>
            <w:noWrap/>
            <w:hideMark/>
          </w:tcPr>
          <w:p w14:paraId="4E909D6D"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w:t>
            </w:r>
          </w:p>
        </w:tc>
      </w:tr>
      <w:tr w:rsidR="003E5BF5" w:rsidRPr="00F413C5" w14:paraId="3C73ED0B" w14:textId="77777777" w:rsidTr="009E4DA8">
        <w:trPr>
          <w:trHeight w:val="340"/>
          <w:jc w:val="center"/>
        </w:trPr>
        <w:tc>
          <w:tcPr>
            <w:tcW w:w="3964" w:type="dxa"/>
            <w:shd w:val="clear" w:color="auto" w:fill="auto"/>
            <w:vAlign w:val="center"/>
            <w:hideMark/>
          </w:tcPr>
          <w:p w14:paraId="60FAA8CA" w14:textId="77777777" w:rsidR="003E5BF5" w:rsidRPr="00F413C5" w:rsidRDefault="003E5BF5" w:rsidP="00DE1921">
            <w:pPr>
              <w:rPr>
                <w:rFonts w:ascii="Arial" w:hAnsi="Arial" w:cs="Arial"/>
                <w:sz w:val="24"/>
                <w:szCs w:val="24"/>
              </w:rPr>
            </w:pPr>
            <w:r w:rsidRPr="00F413C5">
              <w:rPr>
                <w:rFonts w:ascii="Arial" w:hAnsi="Arial" w:cs="Arial"/>
                <w:b/>
                <w:sz w:val="24"/>
                <w:szCs w:val="24"/>
              </w:rPr>
              <w:lastRenderedPageBreak/>
              <w:t>Public Service Commuters Club</w:t>
            </w:r>
            <w:r w:rsidRPr="00F413C5">
              <w:rPr>
                <w:rFonts w:ascii="Arial" w:hAnsi="Arial" w:cs="Arial"/>
                <w:sz w:val="24"/>
                <w:szCs w:val="24"/>
              </w:rPr>
              <w:br/>
              <w:t>Established under the</w:t>
            </w:r>
            <w:r w:rsidRPr="00F413C5">
              <w:rPr>
                <w:rFonts w:ascii="Arial" w:hAnsi="Arial" w:cs="Arial"/>
                <w:i/>
                <w:sz w:val="24"/>
                <w:szCs w:val="24"/>
              </w:rPr>
              <w:t xml:space="preserve"> Financial Management Act 1994</w:t>
            </w:r>
            <w:r w:rsidRPr="00F413C5">
              <w:rPr>
                <w:rFonts w:ascii="Arial" w:hAnsi="Arial" w:cs="Arial"/>
                <w:sz w:val="24"/>
                <w:szCs w:val="24"/>
              </w:rPr>
              <w:t xml:space="preserve"> to record the receipt of amounts associated with the scheme and deductions from club members salaries as well as recording payment to the Public Transport Corporation.</w:t>
            </w:r>
          </w:p>
        </w:tc>
        <w:tc>
          <w:tcPr>
            <w:tcW w:w="1008" w:type="dxa"/>
            <w:shd w:val="clear" w:color="auto" w:fill="auto"/>
            <w:noWrap/>
            <w:hideMark/>
          </w:tcPr>
          <w:p w14:paraId="0B2A28B9"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(771)</w:t>
            </w:r>
          </w:p>
        </w:tc>
        <w:tc>
          <w:tcPr>
            <w:tcW w:w="1009" w:type="dxa"/>
            <w:shd w:val="clear" w:color="auto" w:fill="auto"/>
            <w:noWrap/>
            <w:hideMark/>
          </w:tcPr>
          <w:p w14:paraId="6B6904C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2,104</w:t>
            </w:r>
          </w:p>
        </w:tc>
        <w:tc>
          <w:tcPr>
            <w:tcW w:w="1008" w:type="dxa"/>
            <w:shd w:val="clear" w:color="auto" w:fill="auto"/>
            <w:noWrap/>
            <w:hideMark/>
          </w:tcPr>
          <w:p w14:paraId="36E9B37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(1,402)</w:t>
            </w:r>
          </w:p>
        </w:tc>
        <w:tc>
          <w:tcPr>
            <w:tcW w:w="1009" w:type="dxa"/>
            <w:shd w:val="clear" w:color="auto" w:fill="auto"/>
            <w:noWrap/>
            <w:hideMark/>
          </w:tcPr>
          <w:p w14:paraId="3E95CBD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08" w:type="dxa"/>
            <w:shd w:val="clear" w:color="auto" w:fill="auto"/>
            <w:noWrap/>
            <w:hideMark/>
          </w:tcPr>
          <w:p w14:paraId="13B9F67D"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(69)</w:t>
            </w:r>
          </w:p>
        </w:tc>
        <w:tc>
          <w:tcPr>
            <w:tcW w:w="1009" w:type="dxa"/>
            <w:shd w:val="clear" w:color="auto" w:fill="auto"/>
            <w:noWrap/>
            <w:hideMark/>
          </w:tcPr>
          <w:p w14:paraId="6031C4C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999</w:t>
            </w:r>
          </w:p>
        </w:tc>
        <w:tc>
          <w:tcPr>
            <w:tcW w:w="1008" w:type="dxa"/>
            <w:shd w:val="clear" w:color="auto" w:fill="auto"/>
            <w:noWrap/>
            <w:hideMark/>
          </w:tcPr>
          <w:p w14:paraId="7057801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(955)</w:t>
            </w:r>
          </w:p>
        </w:tc>
        <w:tc>
          <w:tcPr>
            <w:tcW w:w="1009" w:type="dxa"/>
            <w:shd w:val="clear" w:color="auto" w:fill="auto"/>
            <w:noWrap/>
            <w:hideMark/>
          </w:tcPr>
          <w:p w14:paraId="67DA55E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w:t>
            </w:r>
          </w:p>
        </w:tc>
        <w:tc>
          <w:tcPr>
            <w:tcW w:w="1009" w:type="dxa"/>
            <w:shd w:val="clear" w:color="auto" w:fill="auto"/>
            <w:noWrap/>
            <w:hideMark/>
          </w:tcPr>
          <w:p w14:paraId="3E1EBE36"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(25)</w:t>
            </w:r>
          </w:p>
        </w:tc>
      </w:tr>
      <w:tr w:rsidR="003E5BF5" w:rsidRPr="00F413C5" w14:paraId="243FBC16" w14:textId="77777777" w:rsidTr="009E4DA8">
        <w:trPr>
          <w:trHeight w:val="340"/>
          <w:jc w:val="center"/>
        </w:trPr>
        <w:tc>
          <w:tcPr>
            <w:tcW w:w="3964" w:type="dxa"/>
            <w:shd w:val="clear" w:color="auto" w:fill="auto"/>
            <w:noWrap/>
            <w:vAlign w:val="center"/>
            <w:hideMark/>
          </w:tcPr>
          <w:p w14:paraId="46598727" w14:textId="77777777" w:rsidR="003E5BF5" w:rsidRPr="00F413C5" w:rsidRDefault="003E5BF5" w:rsidP="00DE1921">
            <w:pPr>
              <w:rPr>
                <w:rFonts w:ascii="Arial" w:hAnsi="Arial" w:cs="Arial"/>
                <w:b/>
                <w:sz w:val="24"/>
                <w:szCs w:val="24"/>
              </w:rPr>
            </w:pPr>
            <w:r w:rsidRPr="00F413C5">
              <w:rPr>
                <w:rFonts w:ascii="Arial" w:hAnsi="Arial" w:cs="Arial"/>
                <w:b/>
                <w:sz w:val="24"/>
                <w:szCs w:val="24"/>
              </w:rPr>
              <w:t>Total administered State trusts</w:t>
            </w:r>
          </w:p>
        </w:tc>
        <w:tc>
          <w:tcPr>
            <w:tcW w:w="1008" w:type="dxa"/>
            <w:shd w:val="clear" w:color="auto" w:fill="auto"/>
            <w:noWrap/>
            <w:vAlign w:val="center"/>
            <w:hideMark/>
          </w:tcPr>
          <w:p w14:paraId="73A2B9E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5,343 </w:t>
            </w:r>
          </w:p>
        </w:tc>
        <w:tc>
          <w:tcPr>
            <w:tcW w:w="1009" w:type="dxa"/>
            <w:shd w:val="clear" w:color="auto" w:fill="auto"/>
            <w:noWrap/>
            <w:vAlign w:val="center"/>
            <w:hideMark/>
          </w:tcPr>
          <w:p w14:paraId="44C3ECB3"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2,292 </w:t>
            </w:r>
          </w:p>
        </w:tc>
        <w:tc>
          <w:tcPr>
            <w:tcW w:w="1008" w:type="dxa"/>
            <w:shd w:val="clear" w:color="auto" w:fill="auto"/>
            <w:noWrap/>
            <w:vAlign w:val="center"/>
            <w:hideMark/>
          </w:tcPr>
          <w:p w14:paraId="2B5C7801"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(1,708)</w:t>
            </w:r>
          </w:p>
        </w:tc>
        <w:tc>
          <w:tcPr>
            <w:tcW w:w="1009" w:type="dxa"/>
            <w:shd w:val="clear" w:color="auto" w:fill="auto"/>
            <w:noWrap/>
            <w:vAlign w:val="center"/>
            <w:hideMark/>
          </w:tcPr>
          <w:p w14:paraId="15748433"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(5,677)</w:t>
            </w:r>
          </w:p>
        </w:tc>
        <w:tc>
          <w:tcPr>
            <w:tcW w:w="1008" w:type="dxa"/>
            <w:shd w:val="clear" w:color="auto" w:fill="auto"/>
            <w:noWrap/>
            <w:vAlign w:val="center"/>
            <w:hideMark/>
          </w:tcPr>
          <w:p w14:paraId="32005718"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250 </w:t>
            </w:r>
          </w:p>
        </w:tc>
        <w:tc>
          <w:tcPr>
            <w:tcW w:w="1009" w:type="dxa"/>
            <w:shd w:val="clear" w:color="auto" w:fill="auto"/>
            <w:noWrap/>
            <w:vAlign w:val="center"/>
            <w:hideMark/>
          </w:tcPr>
          <w:p w14:paraId="521A00E5"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2,623 </w:t>
            </w:r>
          </w:p>
        </w:tc>
        <w:tc>
          <w:tcPr>
            <w:tcW w:w="1008" w:type="dxa"/>
            <w:shd w:val="clear" w:color="auto" w:fill="auto"/>
            <w:noWrap/>
            <w:vAlign w:val="center"/>
            <w:hideMark/>
          </w:tcPr>
          <w:p w14:paraId="4AA12E7A"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(1,239)</w:t>
            </w:r>
          </w:p>
        </w:tc>
        <w:tc>
          <w:tcPr>
            <w:tcW w:w="1009" w:type="dxa"/>
            <w:shd w:val="clear" w:color="auto" w:fill="auto"/>
            <w:noWrap/>
            <w:vAlign w:val="center"/>
            <w:hideMark/>
          </w:tcPr>
          <w:p w14:paraId="2480DDA2"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14,189 </w:t>
            </w:r>
          </w:p>
        </w:tc>
        <w:tc>
          <w:tcPr>
            <w:tcW w:w="1009" w:type="dxa"/>
            <w:shd w:val="clear" w:color="auto" w:fill="auto"/>
            <w:noWrap/>
            <w:vAlign w:val="center"/>
            <w:hideMark/>
          </w:tcPr>
          <w:p w14:paraId="7EC3451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15,823 </w:t>
            </w:r>
          </w:p>
        </w:tc>
      </w:tr>
    </w:tbl>
    <w:p w14:paraId="1A0070DA" w14:textId="77777777" w:rsidR="003E5BF5" w:rsidRDefault="003E5BF5" w:rsidP="00DE1921"/>
    <w:p w14:paraId="1DF616EA" w14:textId="77777777" w:rsidR="003E5BF5" w:rsidRPr="007444F0" w:rsidRDefault="003E5BF5" w:rsidP="00DE1921">
      <w:pPr>
        <w:sectPr w:rsidR="003E5BF5" w:rsidRPr="007444F0" w:rsidSect="00DE1921">
          <w:pgSz w:w="16838" w:h="11906" w:orient="landscape"/>
          <w:pgMar w:top="1701" w:right="1418" w:bottom="1418" w:left="1418" w:header="708" w:footer="708" w:gutter="0"/>
          <w:cols w:space="708"/>
          <w:docGrid w:linePitch="360"/>
        </w:sectPr>
      </w:pPr>
    </w:p>
    <w:p w14:paraId="04D9DFEF" w14:textId="77777777" w:rsidR="003E5BF5" w:rsidRPr="007444F0" w:rsidRDefault="003E5BF5" w:rsidP="00610F5F">
      <w:pPr>
        <w:pStyle w:val="Heading2"/>
        <w:numPr>
          <w:ilvl w:val="1"/>
          <w:numId w:val="21"/>
        </w:numPr>
      </w:pPr>
      <w:bookmarkStart w:id="474" w:name="_Commitments_for_expenditure"/>
      <w:bookmarkStart w:id="475" w:name="_Toc521965485"/>
      <w:bookmarkStart w:id="476" w:name="_Toc529196590"/>
      <w:bookmarkStart w:id="477" w:name="_Toc529197631"/>
      <w:bookmarkStart w:id="478" w:name="_Toc529197792"/>
      <w:bookmarkStart w:id="479" w:name="_Toc529197924"/>
      <w:bookmarkStart w:id="480" w:name="_Toc529197964"/>
      <w:bookmarkStart w:id="481" w:name="_Toc529197997"/>
      <w:bookmarkStart w:id="482" w:name="_Toc529198020"/>
      <w:bookmarkStart w:id="483" w:name="_Toc529198178"/>
      <w:bookmarkStart w:id="484" w:name="_Toc529198185"/>
      <w:bookmarkStart w:id="485" w:name="_Toc530386194"/>
      <w:bookmarkStart w:id="486" w:name="_Toc53420585"/>
      <w:bookmarkStart w:id="487" w:name="_Toc53420684"/>
      <w:bookmarkEnd w:id="474"/>
      <w:r w:rsidRPr="007444F0">
        <w:lastRenderedPageBreak/>
        <w:t>Commitments for expenditure</w:t>
      </w:r>
      <w:bookmarkEnd w:id="475"/>
      <w:bookmarkEnd w:id="476"/>
      <w:bookmarkEnd w:id="477"/>
      <w:bookmarkEnd w:id="478"/>
      <w:bookmarkEnd w:id="479"/>
      <w:bookmarkEnd w:id="480"/>
      <w:bookmarkEnd w:id="481"/>
      <w:bookmarkEnd w:id="482"/>
      <w:bookmarkEnd w:id="483"/>
      <w:bookmarkEnd w:id="484"/>
      <w:bookmarkEnd w:id="485"/>
      <w:bookmarkEnd w:id="486"/>
      <w:bookmarkEnd w:id="487"/>
    </w:p>
    <w:p w14:paraId="35708DE5" w14:textId="77777777" w:rsidR="003E5BF5" w:rsidRDefault="003E5BF5" w:rsidP="001C6099">
      <w:pPr>
        <w:pStyle w:val="aaatyping"/>
      </w:pPr>
      <w:r w:rsidRPr="007444F0">
        <w:t>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3A005B44" w14:textId="77777777" w:rsidR="003E5BF5" w:rsidRPr="007444F0" w:rsidRDefault="003E5BF5" w:rsidP="00610F5F">
      <w:pPr>
        <w:pStyle w:val="Heading3"/>
        <w:numPr>
          <w:ilvl w:val="2"/>
          <w:numId w:val="21"/>
        </w:numPr>
        <w:ind w:left="765" w:hanging="765"/>
      </w:pPr>
      <w:r>
        <w:t>Total</w:t>
      </w:r>
      <w:r w:rsidRPr="006279AB">
        <w:t xml:space="preserve"> commitments payable</w:t>
      </w:r>
    </w:p>
    <w:p w14:paraId="3ABA07B6" w14:textId="77777777" w:rsidR="003E5BF5" w:rsidRPr="00394BEA" w:rsidRDefault="003E5BF5" w:rsidP="00DE1921">
      <w:pPr>
        <w:spacing w:after="0"/>
        <w:rPr>
          <w:sz w:val="2"/>
          <w:szCs w:val="2"/>
        </w:rPr>
      </w:pPr>
      <w:bookmarkStart w:id="488" w:name="RANGE!A3:E19"/>
      <w:bookmarkStart w:id="489" w:name="RANGE!A3:E22"/>
      <w:bookmarkStart w:id="490" w:name="RANGE!A3:E21"/>
      <w:bookmarkEnd w:id="488"/>
      <w:bookmarkEnd w:id="489"/>
    </w:p>
    <w:tbl>
      <w:tblPr>
        <w:tblStyle w:val="TableGrid"/>
        <w:tblW w:w="9639" w:type="dxa"/>
        <w:tblCellMar>
          <w:left w:w="28" w:type="dxa"/>
          <w:right w:w="28" w:type="dxa"/>
        </w:tblCellMar>
        <w:tblLook w:val="04A0" w:firstRow="1" w:lastRow="0" w:firstColumn="1" w:lastColumn="0" w:noHBand="0" w:noVBand="1"/>
      </w:tblPr>
      <w:tblGrid>
        <w:gridCol w:w="4324"/>
        <w:gridCol w:w="1322"/>
        <w:gridCol w:w="1322"/>
        <w:gridCol w:w="1322"/>
        <w:gridCol w:w="1349"/>
      </w:tblGrid>
      <w:tr w:rsidR="003E5BF5" w:rsidRPr="00F413C5" w14:paraId="6062C30E" w14:textId="77777777" w:rsidTr="00994314">
        <w:trPr>
          <w:trHeight w:val="340"/>
        </w:trPr>
        <w:tc>
          <w:tcPr>
            <w:tcW w:w="4324" w:type="dxa"/>
            <w:shd w:val="clear" w:color="auto" w:fill="auto"/>
            <w:noWrap/>
            <w:hideMark/>
          </w:tcPr>
          <w:p w14:paraId="0DC699F3" w14:textId="77777777" w:rsidR="003E5BF5" w:rsidRPr="00F413C5" w:rsidRDefault="003E5BF5" w:rsidP="00DE1921">
            <w:pPr>
              <w:rPr>
                <w:rFonts w:ascii="Arial" w:hAnsi="Arial" w:cs="Arial"/>
                <w:sz w:val="24"/>
                <w:szCs w:val="24"/>
                <w:lang w:eastAsia="en-AU"/>
              </w:rPr>
            </w:pPr>
            <w:bookmarkStart w:id="491" w:name="RANGE!A3:E20"/>
            <w:bookmarkEnd w:id="490"/>
            <w:bookmarkEnd w:id="491"/>
          </w:p>
        </w:tc>
        <w:tc>
          <w:tcPr>
            <w:tcW w:w="5315" w:type="dxa"/>
            <w:gridSpan w:val="4"/>
            <w:shd w:val="clear" w:color="auto" w:fill="auto"/>
            <w:vAlign w:val="center"/>
            <w:hideMark/>
          </w:tcPr>
          <w:p w14:paraId="170CC809" w14:textId="77777777" w:rsidR="003E5BF5" w:rsidRPr="00F413C5" w:rsidRDefault="003E5BF5" w:rsidP="00DE1921">
            <w:pPr>
              <w:jc w:val="center"/>
              <w:rPr>
                <w:rFonts w:ascii="Arial" w:hAnsi="Arial" w:cs="Arial"/>
                <w:b/>
                <w:sz w:val="24"/>
                <w:szCs w:val="24"/>
                <w:lang w:eastAsia="en-AU"/>
              </w:rPr>
            </w:pPr>
            <w:r w:rsidRPr="00F413C5">
              <w:rPr>
                <w:rFonts w:ascii="Arial" w:hAnsi="Arial" w:cs="Arial"/>
                <w:b/>
                <w:sz w:val="24"/>
                <w:szCs w:val="24"/>
                <w:lang w:eastAsia="en-AU"/>
              </w:rPr>
              <w:t>($ thousand)</w:t>
            </w:r>
          </w:p>
        </w:tc>
      </w:tr>
      <w:tr w:rsidR="003E5BF5" w:rsidRPr="00F413C5" w14:paraId="38083C66" w14:textId="77777777" w:rsidTr="00994314">
        <w:trPr>
          <w:trHeight w:val="340"/>
        </w:trPr>
        <w:tc>
          <w:tcPr>
            <w:tcW w:w="4324" w:type="dxa"/>
            <w:shd w:val="clear" w:color="auto" w:fill="auto"/>
            <w:noWrap/>
            <w:vAlign w:val="center"/>
            <w:hideMark/>
          </w:tcPr>
          <w:p w14:paraId="47E1DC5B" w14:textId="77777777" w:rsidR="003E5BF5" w:rsidRPr="00F413C5" w:rsidRDefault="003E5BF5" w:rsidP="00604703">
            <w:pPr>
              <w:pStyle w:val="TableTextGreen"/>
            </w:pPr>
            <w:r w:rsidRPr="00F413C5">
              <w:t>Nominal Amounts: 2020</w:t>
            </w:r>
          </w:p>
        </w:tc>
        <w:tc>
          <w:tcPr>
            <w:tcW w:w="1322" w:type="dxa"/>
            <w:shd w:val="clear" w:color="auto" w:fill="auto"/>
            <w:vAlign w:val="bottom"/>
            <w:hideMark/>
          </w:tcPr>
          <w:p w14:paraId="3ECF7AF5"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lang w:eastAsia="en-AU"/>
              </w:rPr>
              <w:t>Less than 1 year</w:t>
            </w:r>
          </w:p>
        </w:tc>
        <w:tc>
          <w:tcPr>
            <w:tcW w:w="1322" w:type="dxa"/>
            <w:shd w:val="clear" w:color="auto" w:fill="auto"/>
            <w:vAlign w:val="bottom"/>
            <w:hideMark/>
          </w:tcPr>
          <w:p w14:paraId="38ACD20F"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lang w:eastAsia="en-AU"/>
              </w:rPr>
              <w:t>Between 1 and 5 years</w:t>
            </w:r>
          </w:p>
        </w:tc>
        <w:tc>
          <w:tcPr>
            <w:tcW w:w="1322" w:type="dxa"/>
            <w:shd w:val="clear" w:color="auto" w:fill="auto"/>
            <w:vAlign w:val="bottom"/>
            <w:hideMark/>
          </w:tcPr>
          <w:p w14:paraId="5903671C"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lang w:eastAsia="en-AU"/>
              </w:rPr>
              <w:t>Over 5 years</w:t>
            </w:r>
          </w:p>
        </w:tc>
        <w:tc>
          <w:tcPr>
            <w:tcW w:w="1349" w:type="dxa"/>
            <w:shd w:val="clear" w:color="auto" w:fill="auto"/>
            <w:vAlign w:val="bottom"/>
            <w:hideMark/>
          </w:tcPr>
          <w:p w14:paraId="729778F5"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lang w:eastAsia="en-AU"/>
              </w:rPr>
              <w:t>Total</w:t>
            </w:r>
          </w:p>
        </w:tc>
      </w:tr>
      <w:tr w:rsidR="003E5BF5" w:rsidRPr="00F413C5" w14:paraId="0877B76B" w14:textId="77777777" w:rsidTr="00994314">
        <w:trPr>
          <w:trHeight w:val="340"/>
        </w:trPr>
        <w:tc>
          <w:tcPr>
            <w:tcW w:w="4324" w:type="dxa"/>
            <w:shd w:val="clear" w:color="auto" w:fill="auto"/>
            <w:noWrap/>
            <w:vAlign w:val="center"/>
            <w:hideMark/>
          </w:tcPr>
          <w:p w14:paraId="2F01F663" w14:textId="77777777" w:rsidR="003E5BF5" w:rsidRPr="00F413C5" w:rsidRDefault="003E5BF5" w:rsidP="00DE1921">
            <w:pPr>
              <w:rPr>
                <w:rFonts w:ascii="Arial" w:hAnsi="Arial" w:cs="Arial"/>
                <w:sz w:val="24"/>
                <w:szCs w:val="24"/>
                <w:lang w:eastAsia="en-AU"/>
              </w:rPr>
            </w:pPr>
            <w:r w:rsidRPr="00F413C5">
              <w:rPr>
                <w:rFonts w:ascii="Arial" w:hAnsi="Arial" w:cs="Arial"/>
                <w:sz w:val="24"/>
                <w:szCs w:val="24"/>
                <w:lang w:eastAsia="en-AU"/>
              </w:rPr>
              <w:t>PPP commitments (Refer to Note 7.5.2)</w:t>
            </w:r>
          </w:p>
        </w:tc>
        <w:tc>
          <w:tcPr>
            <w:tcW w:w="1322" w:type="dxa"/>
            <w:shd w:val="clear" w:color="auto" w:fill="auto"/>
            <w:noWrap/>
            <w:vAlign w:val="center"/>
            <w:hideMark/>
          </w:tcPr>
          <w:p w14:paraId="79560BED" w14:textId="77777777" w:rsidR="003E5BF5" w:rsidRPr="00F413C5" w:rsidRDefault="003E5BF5" w:rsidP="00DE1921">
            <w:pPr>
              <w:jc w:val="right"/>
              <w:rPr>
                <w:rFonts w:ascii="Arial" w:hAnsi="Arial" w:cs="Arial"/>
                <w:sz w:val="24"/>
                <w:szCs w:val="24"/>
                <w:highlight w:val="yellow"/>
                <w:lang w:eastAsia="en-AU"/>
              </w:rPr>
            </w:pPr>
            <w:r w:rsidRPr="00F413C5">
              <w:rPr>
                <w:rFonts w:ascii="Arial" w:hAnsi="Arial" w:cs="Arial"/>
                <w:sz w:val="24"/>
                <w:szCs w:val="24"/>
              </w:rPr>
              <w:t xml:space="preserve">1,971,557 </w:t>
            </w:r>
          </w:p>
        </w:tc>
        <w:tc>
          <w:tcPr>
            <w:tcW w:w="1322" w:type="dxa"/>
            <w:shd w:val="clear" w:color="auto" w:fill="auto"/>
            <w:noWrap/>
            <w:vAlign w:val="center"/>
            <w:hideMark/>
          </w:tcPr>
          <w:p w14:paraId="75148CBD" w14:textId="77777777" w:rsidR="003E5BF5" w:rsidRPr="00F413C5" w:rsidRDefault="003E5BF5" w:rsidP="00DE1921">
            <w:pPr>
              <w:jc w:val="right"/>
              <w:rPr>
                <w:rFonts w:ascii="Arial" w:hAnsi="Arial" w:cs="Arial"/>
                <w:sz w:val="24"/>
                <w:szCs w:val="24"/>
                <w:highlight w:val="yellow"/>
                <w:lang w:eastAsia="en-AU"/>
              </w:rPr>
            </w:pPr>
            <w:r w:rsidRPr="00F413C5">
              <w:rPr>
                <w:rFonts w:ascii="Arial" w:hAnsi="Arial" w:cs="Arial"/>
                <w:sz w:val="24"/>
                <w:szCs w:val="24"/>
              </w:rPr>
              <w:t xml:space="preserve">5,262,700 </w:t>
            </w:r>
          </w:p>
        </w:tc>
        <w:tc>
          <w:tcPr>
            <w:tcW w:w="1322" w:type="dxa"/>
            <w:shd w:val="clear" w:color="auto" w:fill="auto"/>
            <w:noWrap/>
            <w:vAlign w:val="center"/>
            <w:hideMark/>
          </w:tcPr>
          <w:p w14:paraId="3068226D" w14:textId="77777777" w:rsidR="003E5BF5" w:rsidRPr="00F413C5" w:rsidRDefault="003E5BF5" w:rsidP="00DE1921">
            <w:pPr>
              <w:jc w:val="right"/>
              <w:rPr>
                <w:rFonts w:ascii="Arial" w:hAnsi="Arial" w:cs="Arial"/>
                <w:sz w:val="24"/>
                <w:szCs w:val="24"/>
                <w:highlight w:val="yellow"/>
                <w:lang w:eastAsia="en-AU"/>
              </w:rPr>
            </w:pPr>
            <w:r w:rsidRPr="00F413C5">
              <w:rPr>
                <w:rFonts w:ascii="Arial" w:hAnsi="Arial" w:cs="Arial"/>
                <w:sz w:val="24"/>
                <w:szCs w:val="24"/>
              </w:rPr>
              <w:t xml:space="preserve">13,471,098 </w:t>
            </w:r>
          </w:p>
        </w:tc>
        <w:tc>
          <w:tcPr>
            <w:tcW w:w="1349" w:type="dxa"/>
            <w:shd w:val="clear" w:color="auto" w:fill="auto"/>
            <w:noWrap/>
            <w:vAlign w:val="center"/>
            <w:hideMark/>
          </w:tcPr>
          <w:p w14:paraId="25FD7B80" w14:textId="77777777" w:rsidR="003E5BF5" w:rsidRPr="00F413C5" w:rsidRDefault="003E5BF5" w:rsidP="00DE1921">
            <w:pPr>
              <w:jc w:val="right"/>
              <w:rPr>
                <w:rFonts w:ascii="Arial" w:hAnsi="Arial" w:cs="Arial"/>
                <w:sz w:val="24"/>
                <w:szCs w:val="24"/>
                <w:highlight w:val="yellow"/>
                <w:lang w:eastAsia="en-AU"/>
              </w:rPr>
            </w:pPr>
            <w:r w:rsidRPr="00F413C5">
              <w:rPr>
                <w:rFonts w:ascii="Arial" w:hAnsi="Arial" w:cs="Arial"/>
                <w:sz w:val="24"/>
                <w:szCs w:val="24"/>
              </w:rPr>
              <w:t xml:space="preserve">20,705,355 </w:t>
            </w:r>
          </w:p>
        </w:tc>
      </w:tr>
      <w:tr w:rsidR="003E5BF5" w:rsidRPr="00F413C5" w14:paraId="5A5B0060" w14:textId="77777777" w:rsidTr="00994314">
        <w:trPr>
          <w:trHeight w:val="340"/>
        </w:trPr>
        <w:tc>
          <w:tcPr>
            <w:tcW w:w="4324" w:type="dxa"/>
            <w:shd w:val="clear" w:color="auto" w:fill="auto"/>
            <w:noWrap/>
            <w:vAlign w:val="center"/>
            <w:hideMark/>
          </w:tcPr>
          <w:p w14:paraId="73C43625" w14:textId="77777777" w:rsidR="003E5BF5" w:rsidRPr="00F413C5" w:rsidRDefault="003E5BF5" w:rsidP="00DE1921">
            <w:pPr>
              <w:rPr>
                <w:rFonts w:ascii="Arial" w:hAnsi="Arial" w:cs="Arial"/>
                <w:sz w:val="24"/>
                <w:szCs w:val="24"/>
                <w:lang w:eastAsia="en-AU"/>
              </w:rPr>
            </w:pPr>
            <w:r w:rsidRPr="00F413C5">
              <w:rPr>
                <w:rFonts w:ascii="Arial" w:hAnsi="Arial" w:cs="Arial"/>
                <w:sz w:val="24"/>
                <w:szCs w:val="24"/>
                <w:lang w:eastAsia="en-AU"/>
              </w:rPr>
              <w:t>Rail service commitments</w:t>
            </w:r>
          </w:p>
        </w:tc>
        <w:tc>
          <w:tcPr>
            <w:tcW w:w="1322" w:type="dxa"/>
            <w:shd w:val="clear" w:color="auto" w:fill="auto"/>
            <w:noWrap/>
            <w:vAlign w:val="center"/>
            <w:hideMark/>
          </w:tcPr>
          <w:p w14:paraId="495E2513"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2,309,531 </w:t>
            </w:r>
          </w:p>
        </w:tc>
        <w:tc>
          <w:tcPr>
            <w:tcW w:w="1322" w:type="dxa"/>
            <w:shd w:val="clear" w:color="auto" w:fill="auto"/>
            <w:noWrap/>
            <w:vAlign w:val="center"/>
            <w:hideMark/>
          </w:tcPr>
          <w:p w14:paraId="3BC118A7"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5,671,272 </w:t>
            </w:r>
          </w:p>
        </w:tc>
        <w:tc>
          <w:tcPr>
            <w:tcW w:w="1322" w:type="dxa"/>
            <w:shd w:val="clear" w:color="auto" w:fill="auto"/>
            <w:noWrap/>
            <w:vAlign w:val="center"/>
            <w:hideMark/>
          </w:tcPr>
          <w:p w14:paraId="79DB94D5"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99,719 </w:t>
            </w:r>
          </w:p>
        </w:tc>
        <w:tc>
          <w:tcPr>
            <w:tcW w:w="1349" w:type="dxa"/>
            <w:shd w:val="clear" w:color="auto" w:fill="auto"/>
            <w:noWrap/>
            <w:vAlign w:val="center"/>
            <w:hideMark/>
          </w:tcPr>
          <w:p w14:paraId="77E9AB3B"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8,080,522 </w:t>
            </w:r>
          </w:p>
        </w:tc>
      </w:tr>
      <w:tr w:rsidR="003E5BF5" w:rsidRPr="00F413C5" w14:paraId="36B86526" w14:textId="77777777" w:rsidTr="00994314">
        <w:trPr>
          <w:trHeight w:val="340"/>
        </w:trPr>
        <w:tc>
          <w:tcPr>
            <w:tcW w:w="4324" w:type="dxa"/>
            <w:shd w:val="clear" w:color="auto" w:fill="auto"/>
            <w:noWrap/>
            <w:vAlign w:val="center"/>
            <w:hideMark/>
          </w:tcPr>
          <w:p w14:paraId="702A4C26" w14:textId="77777777" w:rsidR="003E5BF5" w:rsidRPr="00F413C5" w:rsidRDefault="003E5BF5" w:rsidP="00DE1921">
            <w:pPr>
              <w:rPr>
                <w:rFonts w:ascii="Arial" w:hAnsi="Arial" w:cs="Arial"/>
                <w:sz w:val="24"/>
                <w:szCs w:val="24"/>
                <w:lang w:eastAsia="en-AU"/>
              </w:rPr>
            </w:pPr>
            <w:r w:rsidRPr="00F413C5">
              <w:rPr>
                <w:rFonts w:ascii="Arial" w:hAnsi="Arial" w:cs="Arial"/>
                <w:sz w:val="24"/>
                <w:szCs w:val="24"/>
                <w:lang w:eastAsia="en-AU"/>
              </w:rPr>
              <w:t>Bus service commitments</w:t>
            </w:r>
          </w:p>
        </w:tc>
        <w:tc>
          <w:tcPr>
            <w:tcW w:w="1322" w:type="dxa"/>
            <w:shd w:val="clear" w:color="auto" w:fill="auto"/>
            <w:noWrap/>
            <w:vAlign w:val="center"/>
            <w:hideMark/>
          </w:tcPr>
          <w:p w14:paraId="21B82F83"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1,138,290 </w:t>
            </w:r>
          </w:p>
        </w:tc>
        <w:tc>
          <w:tcPr>
            <w:tcW w:w="1322" w:type="dxa"/>
            <w:shd w:val="clear" w:color="auto" w:fill="auto"/>
            <w:noWrap/>
            <w:vAlign w:val="center"/>
            <w:hideMark/>
          </w:tcPr>
          <w:p w14:paraId="32038909"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3,501,710 </w:t>
            </w:r>
          </w:p>
        </w:tc>
        <w:tc>
          <w:tcPr>
            <w:tcW w:w="1322" w:type="dxa"/>
            <w:shd w:val="clear" w:color="auto" w:fill="auto"/>
            <w:noWrap/>
            <w:vAlign w:val="center"/>
            <w:hideMark/>
          </w:tcPr>
          <w:p w14:paraId="4CACECF2"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1,747,624 </w:t>
            </w:r>
          </w:p>
        </w:tc>
        <w:tc>
          <w:tcPr>
            <w:tcW w:w="1349" w:type="dxa"/>
            <w:shd w:val="clear" w:color="auto" w:fill="auto"/>
            <w:noWrap/>
            <w:vAlign w:val="center"/>
            <w:hideMark/>
          </w:tcPr>
          <w:p w14:paraId="210ACF1E"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6,387,624 </w:t>
            </w:r>
          </w:p>
        </w:tc>
      </w:tr>
      <w:tr w:rsidR="003E5BF5" w:rsidRPr="00F413C5" w14:paraId="0FD4AE29" w14:textId="77777777" w:rsidTr="00994314">
        <w:trPr>
          <w:trHeight w:val="340"/>
        </w:trPr>
        <w:tc>
          <w:tcPr>
            <w:tcW w:w="4324" w:type="dxa"/>
            <w:shd w:val="clear" w:color="auto" w:fill="auto"/>
            <w:noWrap/>
            <w:vAlign w:val="center"/>
            <w:hideMark/>
          </w:tcPr>
          <w:p w14:paraId="5B0D45EF" w14:textId="77777777" w:rsidR="003E5BF5" w:rsidRPr="00F413C5" w:rsidRDefault="003E5BF5" w:rsidP="00DE1921">
            <w:pPr>
              <w:rPr>
                <w:rFonts w:ascii="Arial" w:hAnsi="Arial" w:cs="Arial"/>
                <w:sz w:val="24"/>
                <w:szCs w:val="24"/>
                <w:lang w:eastAsia="en-AU"/>
              </w:rPr>
            </w:pPr>
            <w:r w:rsidRPr="00F413C5">
              <w:rPr>
                <w:rFonts w:ascii="Arial" w:hAnsi="Arial" w:cs="Arial"/>
                <w:sz w:val="24"/>
                <w:szCs w:val="24"/>
                <w:lang w:eastAsia="en-AU"/>
              </w:rPr>
              <w:t>Ticketing and call centre service commitments</w:t>
            </w:r>
          </w:p>
        </w:tc>
        <w:tc>
          <w:tcPr>
            <w:tcW w:w="1322" w:type="dxa"/>
            <w:shd w:val="clear" w:color="auto" w:fill="auto"/>
            <w:noWrap/>
            <w:vAlign w:val="center"/>
            <w:hideMark/>
          </w:tcPr>
          <w:p w14:paraId="2740C794"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113,826 </w:t>
            </w:r>
          </w:p>
        </w:tc>
        <w:tc>
          <w:tcPr>
            <w:tcW w:w="1322" w:type="dxa"/>
            <w:shd w:val="clear" w:color="auto" w:fill="auto"/>
            <w:noWrap/>
            <w:vAlign w:val="center"/>
            <w:hideMark/>
          </w:tcPr>
          <w:p w14:paraId="7B3545DD"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270,005 </w:t>
            </w:r>
          </w:p>
        </w:tc>
        <w:tc>
          <w:tcPr>
            <w:tcW w:w="1322" w:type="dxa"/>
            <w:shd w:val="clear" w:color="auto" w:fill="auto"/>
            <w:noWrap/>
            <w:vAlign w:val="center"/>
            <w:hideMark/>
          </w:tcPr>
          <w:p w14:paraId="45C62BF7"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 - </w:t>
            </w:r>
          </w:p>
        </w:tc>
        <w:tc>
          <w:tcPr>
            <w:tcW w:w="1349" w:type="dxa"/>
            <w:shd w:val="clear" w:color="auto" w:fill="auto"/>
            <w:noWrap/>
            <w:vAlign w:val="center"/>
            <w:hideMark/>
          </w:tcPr>
          <w:p w14:paraId="5E918629"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383,831 </w:t>
            </w:r>
          </w:p>
        </w:tc>
      </w:tr>
      <w:tr w:rsidR="003E5BF5" w:rsidRPr="00F413C5" w14:paraId="379961D6" w14:textId="77777777" w:rsidTr="00994314">
        <w:trPr>
          <w:trHeight w:val="340"/>
        </w:trPr>
        <w:tc>
          <w:tcPr>
            <w:tcW w:w="4324" w:type="dxa"/>
            <w:shd w:val="clear" w:color="auto" w:fill="auto"/>
            <w:noWrap/>
            <w:vAlign w:val="center"/>
            <w:hideMark/>
          </w:tcPr>
          <w:p w14:paraId="6D2A1782" w14:textId="77777777" w:rsidR="003E5BF5" w:rsidRPr="00F413C5" w:rsidRDefault="003E5BF5" w:rsidP="00DE1921">
            <w:pPr>
              <w:rPr>
                <w:rFonts w:ascii="Arial" w:hAnsi="Arial" w:cs="Arial"/>
                <w:sz w:val="24"/>
                <w:szCs w:val="24"/>
                <w:lang w:eastAsia="en-AU"/>
              </w:rPr>
            </w:pPr>
            <w:r w:rsidRPr="00F413C5">
              <w:rPr>
                <w:rFonts w:ascii="Arial" w:hAnsi="Arial" w:cs="Arial"/>
                <w:sz w:val="24"/>
                <w:szCs w:val="24"/>
                <w:lang w:eastAsia="en-AU"/>
              </w:rPr>
              <w:t>Capital expenditure commitments</w:t>
            </w:r>
          </w:p>
        </w:tc>
        <w:tc>
          <w:tcPr>
            <w:tcW w:w="1322" w:type="dxa"/>
            <w:shd w:val="clear" w:color="auto" w:fill="auto"/>
            <w:noWrap/>
            <w:vAlign w:val="center"/>
            <w:hideMark/>
          </w:tcPr>
          <w:p w14:paraId="02D4D469"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5,029,985 </w:t>
            </w:r>
          </w:p>
        </w:tc>
        <w:tc>
          <w:tcPr>
            <w:tcW w:w="1322" w:type="dxa"/>
            <w:shd w:val="clear" w:color="auto" w:fill="auto"/>
            <w:noWrap/>
            <w:vAlign w:val="center"/>
            <w:hideMark/>
          </w:tcPr>
          <w:p w14:paraId="39E56F20"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4,101,368 </w:t>
            </w:r>
          </w:p>
        </w:tc>
        <w:tc>
          <w:tcPr>
            <w:tcW w:w="1322" w:type="dxa"/>
            <w:shd w:val="clear" w:color="auto" w:fill="auto"/>
            <w:noWrap/>
            <w:vAlign w:val="center"/>
            <w:hideMark/>
          </w:tcPr>
          <w:p w14:paraId="31E4F432"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33,343 </w:t>
            </w:r>
          </w:p>
        </w:tc>
        <w:tc>
          <w:tcPr>
            <w:tcW w:w="1349" w:type="dxa"/>
            <w:shd w:val="clear" w:color="auto" w:fill="auto"/>
            <w:noWrap/>
            <w:vAlign w:val="center"/>
            <w:hideMark/>
          </w:tcPr>
          <w:p w14:paraId="3778FD47"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9,164,696 </w:t>
            </w:r>
          </w:p>
        </w:tc>
      </w:tr>
      <w:tr w:rsidR="003E5BF5" w:rsidRPr="00F413C5" w14:paraId="622BA42E" w14:textId="77777777" w:rsidTr="00994314">
        <w:trPr>
          <w:trHeight w:val="340"/>
        </w:trPr>
        <w:tc>
          <w:tcPr>
            <w:tcW w:w="4324" w:type="dxa"/>
            <w:shd w:val="clear" w:color="auto" w:fill="auto"/>
            <w:noWrap/>
            <w:vAlign w:val="center"/>
            <w:hideMark/>
          </w:tcPr>
          <w:p w14:paraId="124B2ECE" w14:textId="77777777" w:rsidR="003E5BF5" w:rsidRPr="00F413C5" w:rsidRDefault="003E5BF5" w:rsidP="00DE1921">
            <w:pPr>
              <w:rPr>
                <w:rFonts w:ascii="Arial" w:hAnsi="Arial" w:cs="Arial"/>
                <w:sz w:val="24"/>
                <w:szCs w:val="24"/>
                <w:lang w:eastAsia="en-AU"/>
              </w:rPr>
            </w:pPr>
            <w:r w:rsidRPr="00F413C5">
              <w:rPr>
                <w:rFonts w:ascii="Arial" w:hAnsi="Arial" w:cs="Arial"/>
                <w:sz w:val="24"/>
                <w:szCs w:val="24"/>
                <w:lang w:eastAsia="en-AU"/>
              </w:rPr>
              <w:t>Other commitments</w:t>
            </w:r>
            <w:r w:rsidRPr="00F413C5">
              <w:rPr>
                <w:rFonts w:ascii="Arial" w:hAnsi="Arial" w:cs="Arial"/>
                <w:sz w:val="24"/>
                <w:szCs w:val="24"/>
                <w:vertAlign w:val="superscript"/>
                <w:lang w:eastAsia="en-AU"/>
              </w:rPr>
              <w:t xml:space="preserve"> (</w:t>
            </w:r>
            <w:proofErr w:type="spellStart"/>
            <w:r w:rsidRPr="00F413C5">
              <w:rPr>
                <w:rFonts w:ascii="Arial" w:hAnsi="Arial" w:cs="Arial"/>
                <w:sz w:val="24"/>
                <w:szCs w:val="24"/>
                <w:vertAlign w:val="superscript"/>
                <w:lang w:eastAsia="en-AU"/>
              </w:rPr>
              <w:t>i</w:t>
            </w:r>
            <w:proofErr w:type="spellEnd"/>
            <w:r w:rsidRPr="00F413C5">
              <w:rPr>
                <w:rFonts w:ascii="Arial" w:hAnsi="Arial" w:cs="Arial"/>
                <w:sz w:val="24"/>
                <w:szCs w:val="24"/>
                <w:vertAlign w:val="superscript"/>
                <w:lang w:eastAsia="en-AU"/>
              </w:rPr>
              <w:t>)</w:t>
            </w:r>
          </w:p>
        </w:tc>
        <w:tc>
          <w:tcPr>
            <w:tcW w:w="1322" w:type="dxa"/>
            <w:shd w:val="clear" w:color="auto" w:fill="auto"/>
            <w:noWrap/>
            <w:vAlign w:val="center"/>
            <w:hideMark/>
          </w:tcPr>
          <w:p w14:paraId="694F4311"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393,730 </w:t>
            </w:r>
          </w:p>
        </w:tc>
        <w:tc>
          <w:tcPr>
            <w:tcW w:w="1322" w:type="dxa"/>
            <w:shd w:val="clear" w:color="auto" w:fill="auto"/>
            <w:noWrap/>
            <w:vAlign w:val="center"/>
            <w:hideMark/>
          </w:tcPr>
          <w:p w14:paraId="20CCBFCA"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170,993 </w:t>
            </w:r>
          </w:p>
        </w:tc>
        <w:tc>
          <w:tcPr>
            <w:tcW w:w="1322" w:type="dxa"/>
            <w:shd w:val="clear" w:color="auto" w:fill="auto"/>
            <w:noWrap/>
            <w:vAlign w:val="center"/>
            <w:hideMark/>
          </w:tcPr>
          <w:p w14:paraId="69E66F56"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17,777 </w:t>
            </w:r>
          </w:p>
        </w:tc>
        <w:tc>
          <w:tcPr>
            <w:tcW w:w="1349" w:type="dxa"/>
            <w:shd w:val="clear" w:color="auto" w:fill="auto"/>
            <w:noWrap/>
            <w:vAlign w:val="center"/>
            <w:hideMark/>
          </w:tcPr>
          <w:p w14:paraId="484A36F8"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582,500 </w:t>
            </w:r>
          </w:p>
        </w:tc>
      </w:tr>
      <w:tr w:rsidR="003E5BF5" w:rsidRPr="00F413C5" w14:paraId="37418D38" w14:textId="77777777" w:rsidTr="00994314">
        <w:trPr>
          <w:trHeight w:val="340"/>
        </w:trPr>
        <w:tc>
          <w:tcPr>
            <w:tcW w:w="4324" w:type="dxa"/>
            <w:shd w:val="clear" w:color="auto" w:fill="auto"/>
            <w:noWrap/>
            <w:vAlign w:val="center"/>
            <w:hideMark/>
          </w:tcPr>
          <w:p w14:paraId="3F465B9E" w14:textId="77777777" w:rsidR="003E5BF5" w:rsidRPr="00F413C5" w:rsidRDefault="003E5BF5" w:rsidP="00DE1921">
            <w:pPr>
              <w:rPr>
                <w:rFonts w:ascii="Arial" w:hAnsi="Arial" w:cs="Arial"/>
                <w:b/>
                <w:sz w:val="24"/>
                <w:szCs w:val="24"/>
                <w:lang w:eastAsia="en-AU"/>
              </w:rPr>
            </w:pPr>
            <w:r w:rsidRPr="00F413C5">
              <w:rPr>
                <w:rFonts w:ascii="Arial" w:hAnsi="Arial" w:cs="Arial"/>
                <w:b/>
                <w:sz w:val="24"/>
                <w:szCs w:val="24"/>
                <w:lang w:eastAsia="en-AU"/>
              </w:rPr>
              <w:t>Total commitment (inclusive of GST)</w:t>
            </w:r>
          </w:p>
        </w:tc>
        <w:tc>
          <w:tcPr>
            <w:tcW w:w="1322" w:type="dxa"/>
            <w:shd w:val="clear" w:color="auto" w:fill="auto"/>
            <w:noWrap/>
            <w:vAlign w:val="center"/>
            <w:hideMark/>
          </w:tcPr>
          <w:p w14:paraId="09358D40"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rPr>
              <w:t xml:space="preserve">10,956,919 </w:t>
            </w:r>
          </w:p>
        </w:tc>
        <w:tc>
          <w:tcPr>
            <w:tcW w:w="1322" w:type="dxa"/>
            <w:shd w:val="clear" w:color="auto" w:fill="auto"/>
            <w:noWrap/>
            <w:vAlign w:val="center"/>
            <w:hideMark/>
          </w:tcPr>
          <w:p w14:paraId="66788359"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rPr>
              <w:t xml:space="preserve">18,978,048 </w:t>
            </w:r>
          </w:p>
        </w:tc>
        <w:tc>
          <w:tcPr>
            <w:tcW w:w="1322" w:type="dxa"/>
            <w:shd w:val="clear" w:color="auto" w:fill="auto"/>
            <w:noWrap/>
            <w:vAlign w:val="center"/>
            <w:hideMark/>
          </w:tcPr>
          <w:p w14:paraId="3853E8E4"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rPr>
              <w:t xml:space="preserve">15,369,561 </w:t>
            </w:r>
          </w:p>
        </w:tc>
        <w:tc>
          <w:tcPr>
            <w:tcW w:w="1349" w:type="dxa"/>
            <w:shd w:val="clear" w:color="auto" w:fill="auto"/>
            <w:noWrap/>
            <w:vAlign w:val="center"/>
            <w:hideMark/>
          </w:tcPr>
          <w:p w14:paraId="061A3A77"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rPr>
              <w:t xml:space="preserve">45,304,528 </w:t>
            </w:r>
          </w:p>
        </w:tc>
      </w:tr>
      <w:tr w:rsidR="003E5BF5" w:rsidRPr="00F413C5" w14:paraId="7060181E" w14:textId="77777777" w:rsidTr="00994314">
        <w:trPr>
          <w:trHeight w:val="340"/>
        </w:trPr>
        <w:tc>
          <w:tcPr>
            <w:tcW w:w="4324" w:type="dxa"/>
            <w:shd w:val="clear" w:color="auto" w:fill="auto"/>
            <w:noWrap/>
            <w:vAlign w:val="center"/>
            <w:hideMark/>
          </w:tcPr>
          <w:p w14:paraId="68D37AB4" w14:textId="77777777" w:rsidR="003E5BF5" w:rsidRPr="00F413C5" w:rsidRDefault="003E5BF5" w:rsidP="00DE1921">
            <w:pPr>
              <w:rPr>
                <w:rFonts w:ascii="Arial" w:hAnsi="Arial" w:cs="Arial"/>
                <w:sz w:val="24"/>
                <w:szCs w:val="24"/>
                <w:lang w:eastAsia="en-AU"/>
              </w:rPr>
            </w:pPr>
            <w:r w:rsidRPr="00F413C5">
              <w:rPr>
                <w:rFonts w:ascii="Arial" w:hAnsi="Arial" w:cs="Arial"/>
                <w:sz w:val="24"/>
                <w:szCs w:val="24"/>
                <w:lang w:eastAsia="en-AU"/>
              </w:rPr>
              <w:t>Less GST recoverable</w:t>
            </w:r>
          </w:p>
        </w:tc>
        <w:tc>
          <w:tcPr>
            <w:tcW w:w="1322" w:type="dxa"/>
            <w:shd w:val="clear" w:color="auto" w:fill="auto"/>
            <w:noWrap/>
            <w:vAlign w:val="center"/>
            <w:hideMark/>
          </w:tcPr>
          <w:p w14:paraId="141731AC" w14:textId="77777777" w:rsidR="003E5BF5" w:rsidRPr="00F413C5" w:rsidRDefault="003E5BF5" w:rsidP="00DE1921">
            <w:pPr>
              <w:jc w:val="right"/>
              <w:rPr>
                <w:rFonts w:ascii="Arial" w:hAnsi="Arial" w:cs="Arial"/>
                <w:b/>
                <w:sz w:val="24"/>
                <w:szCs w:val="24"/>
                <w:lang w:eastAsia="en-AU"/>
              </w:rPr>
            </w:pPr>
          </w:p>
        </w:tc>
        <w:tc>
          <w:tcPr>
            <w:tcW w:w="1322" w:type="dxa"/>
            <w:shd w:val="clear" w:color="auto" w:fill="auto"/>
            <w:noWrap/>
            <w:vAlign w:val="center"/>
            <w:hideMark/>
          </w:tcPr>
          <w:p w14:paraId="58D944A3" w14:textId="77777777" w:rsidR="003E5BF5" w:rsidRPr="00F413C5" w:rsidRDefault="003E5BF5" w:rsidP="00DE1921">
            <w:pPr>
              <w:jc w:val="right"/>
              <w:rPr>
                <w:rFonts w:ascii="Arial" w:hAnsi="Arial" w:cs="Arial"/>
                <w:b/>
                <w:sz w:val="24"/>
                <w:szCs w:val="24"/>
                <w:lang w:eastAsia="en-AU"/>
              </w:rPr>
            </w:pPr>
          </w:p>
        </w:tc>
        <w:tc>
          <w:tcPr>
            <w:tcW w:w="1322" w:type="dxa"/>
            <w:shd w:val="clear" w:color="auto" w:fill="auto"/>
            <w:noWrap/>
            <w:vAlign w:val="center"/>
            <w:hideMark/>
          </w:tcPr>
          <w:p w14:paraId="222B010D" w14:textId="77777777" w:rsidR="003E5BF5" w:rsidRPr="00F413C5" w:rsidRDefault="003E5BF5" w:rsidP="00DE1921">
            <w:pPr>
              <w:jc w:val="right"/>
              <w:rPr>
                <w:rFonts w:ascii="Arial" w:hAnsi="Arial" w:cs="Arial"/>
                <w:b/>
                <w:sz w:val="24"/>
                <w:szCs w:val="24"/>
                <w:lang w:eastAsia="en-AU"/>
              </w:rPr>
            </w:pPr>
          </w:p>
        </w:tc>
        <w:tc>
          <w:tcPr>
            <w:tcW w:w="1349" w:type="dxa"/>
            <w:shd w:val="clear" w:color="auto" w:fill="auto"/>
            <w:noWrap/>
            <w:vAlign w:val="center"/>
            <w:hideMark/>
          </w:tcPr>
          <w:p w14:paraId="66D40F69" w14:textId="77777777" w:rsidR="003E5BF5" w:rsidRPr="00F413C5" w:rsidRDefault="003E5BF5" w:rsidP="00DE1921">
            <w:pPr>
              <w:jc w:val="right"/>
              <w:rPr>
                <w:rFonts w:ascii="Arial" w:hAnsi="Arial" w:cs="Arial"/>
                <w:b/>
                <w:sz w:val="24"/>
                <w:szCs w:val="24"/>
                <w:lang w:eastAsia="en-AU"/>
              </w:rPr>
            </w:pPr>
            <w:r w:rsidRPr="00F413C5">
              <w:rPr>
                <w:rFonts w:ascii="Arial" w:hAnsi="Arial" w:cs="Arial"/>
                <w:sz w:val="24"/>
                <w:szCs w:val="24"/>
              </w:rPr>
              <w:t>(4,118,593</w:t>
            </w:r>
            <w:r w:rsidRPr="00F413C5" w:rsidDel="008D525E">
              <w:rPr>
                <w:rFonts w:ascii="Arial" w:hAnsi="Arial" w:cs="Arial"/>
                <w:sz w:val="24"/>
                <w:szCs w:val="24"/>
              </w:rPr>
              <w:t>)</w:t>
            </w:r>
          </w:p>
        </w:tc>
      </w:tr>
      <w:tr w:rsidR="003E5BF5" w:rsidRPr="00F413C5" w14:paraId="45CC480E" w14:textId="77777777" w:rsidTr="00994314">
        <w:trPr>
          <w:trHeight w:val="340"/>
        </w:trPr>
        <w:tc>
          <w:tcPr>
            <w:tcW w:w="4324" w:type="dxa"/>
            <w:shd w:val="clear" w:color="auto" w:fill="auto"/>
            <w:noWrap/>
            <w:vAlign w:val="center"/>
            <w:hideMark/>
          </w:tcPr>
          <w:p w14:paraId="318A2319" w14:textId="77777777" w:rsidR="003E5BF5" w:rsidRPr="00F413C5" w:rsidRDefault="003E5BF5" w:rsidP="00DE1921">
            <w:pPr>
              <w:rPr>
                <w:rFonts w:ascii="Arial" w:hAnsi="Arial" w:cs="Arial"/>
                <w:b/>
                <w:sz w:val="24"/>
                <w:szCs w:val="24"/>
                <w:lang w:eastAsia="en-AU"/>
              </w:rPr>
            </w:pPr>
            <w:r w:rsidRPr="00F413C5">
              <w:rPr>
                <w:rFonts w:ascii="Arial" w:hAnsi="Arial" w:cs="Arial"/>
                <w:b/>
                <w:sz w:val="24"/>
                <w:szCs w:val="24"/>
                <w:lang w:eastAsia="en-AU"/>
              </w:rPr>
              <w:t>Total commitment (exclusive of GST)</w:t>
            </w:r>
          </w:p>
        </w:tc>
        <w:tc>
          <w:tcPr>
            <w:tcW w:w="1322" w:type="dxa"/>
            <w:shd w:val="clear" w:color="auto" w:fill="auto"/>
            <w:noWrap/>
            <w:vAlign w:val="center"/>
            <w:hideMark/>
          </w:tcPr>
          <w:p w14:paraId="1B7134A6" w14:textId="77777777" w:rsidR="003E5BF5" w:rsidRPr="00F413C5" w:rsidRDefault="003E5BF5" w:rsidP="00DE1921">
            <w:pPr>
              <w:jc w:val="right"/>
              <w:rPr>
                <w:rFonts w:ascii="Arial" w:hAnsi="Arial" w:cs="Arial"/>
                <w:b/>
                <w:sz w:val="24"/>
                <w:szCs w:val="24"/>
                <w:lang w:eastAsia="en-AU"/>
              </w:rPr>
            </w:pPr>
          </w:p>
        </w:tc>
        <w:tc>
          <w:tcPr>
            <w:tcW w:w="1322" w:type="dxa"/>
            <w:shd w:val="clear" w:color="auto" w:fill="auto"/>
            <w:noWrap/>
            <w:vAlign w:val="center"/>
            <w:hideMark/>
          </w:tcPr>
          <w:p w14:paraId="60FD917B" w14:textId="77777777" w:rsidR="003E5BF5" w:rsidRPr="00F413C5" w:rsidRDefault="003E5BF5" w:rsidP="00DE1921">
            <w:pPr>
              <w:jc w:val="right"/>
              <w:rPr>
                <w:rFonts w:ascii="Arial" w:hAnsi="Arial" w:cs="Arial"/>
                <w:b/>
                <w:sz w:val="24"/>
                <w:szCs w:val="24"/>
                <w:lang w:eastAsia="en-AU"/>
              </w:rPr>
            </w:pPr>
          </w:p>
        </w:tc>
        <w:tc>
          <w:tcPr>
            <w:tcW w:w="1322" w:type="dxa"/>
            <w:shd w:val="clear" w:color="auto" w:fill="auto"/>
            <w:noWrap/>
            <w:vAlign w:val="center"/>
            <w:hideMark/>
          </w:tcPr>
          <w:p w14:paraId="7AC2F8F7" w14:textId="77777777" w:rsidR="003E5BF5" w:rsidRPr="00F413C5" w:rsidRDefault="003E5BF5" w:rsidP="00DE1921">
            <w:pPr>
              <w:jc w:val="right"/>
              <w:rPr>
                <w:rFonts w:ascii="Arial" w:hAnsi="Arial" w:cs="Arial"/>
                <w:b/>
                <w:sz w:val="24"/>
                <w:szCs w:val="24"/>
                <w:lang w:eastAsia="en-AU"/>
              </w:rPr>
            </w:pPr>
          </w:p>
        </w:tc>
        <w:tc>
          <w:tcPr>
            <w:tcW w:w="1349" w:type="dxa"/>
            <w:shd w:val="clear" w:color="auto" w:fill="auto"/>
            <w:noWrap/>
            <w:vAlign w:val="center"/>
            <w:hideMark/>
          </w:tcPr>
          <w:p w14:paraId="24D62168"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rPr>
              <w:t>41,185,935</w:t>
            </w:r>
          </w:p>
        </w:tc>
      </w:tr>
      <w:tr w:rsidR="003E5BF5" w:rsidRPr="00F413C5" w14:paraId="18178867" w14:textId="77777777" w:rsidTr="00994314">
        <w:trPr>
          <w:trHeight w:val="340"/>
        </w:trPr>
        <w:tc>
          <w:tcPr>
            <w:tcW w:w="4324" w:type="dxa"/>
            <w:shd w:val="clear" w:color="auto" w:fill="auto"/>
            <w:noWrap/>
            <w:vAlign w:val="center"/>
            <w:hideMark/>
          </w:tcPr>
          <w:p w14:paraId="48F5208B" w14:textId="77777777" w:rsidR="003E5BF5" w:rsidRPr="00F413C5" w:rsidRDefault="003E5BF5" w:rsidP="00604703">
            <w:pPr>
              <w:pStyle w:val="TableTextGreen"/>
            </w:pPr>
            <w:r w:rsidRPr="00F413C5">
              <w:t>Nominal Amounts: 2019</w:t>
            </w:r>
          </w:p>
        </w:tc>
        <w:tc>
          <w:tcPr>
            <w:tcW w:w="1322" w:type="dxa"/>
            <w:shd w:val="clear" w:color="auto" w:fill="auto"/>
            <w:noWrap/>
            <w:vAlign w:val="center"/>
            <w:hideMark/>
          </w:tcPr>
          <w:p w14:paraId="7EEE5E11" w14:textId="77777777" w:rsidR="003E5BF5" w:rsidRPr="00F413C5" w:rsidRDefault="003E5BF5" w:rsidP="00DE1921">
            <w:pPr>
              <w:jc w:val="right"/>
              <w:rPr>
                <w:rFonts w:ascii="Arial" w:hAnsi="Arial" w:cs="Arial"/>
                <w:b/>
                <w:sz w:val="24"/>
                <w:szCs w:val="24"/>
                <w:lang w:eastAsia="en-AU"/>
              </w:rPr>
            </w:pPr>
          </w:p>
        </w:tc>
        <w:tc>
          <w:tcPr>
            <w:tcW w:w="1322" w:type="dxa"/>
            <w:shd w:val="clear" w:color="auto" w:fill="auto"/>
            <w:noWrap/>
            <w:vAlign w:val="center"/>
            <w:hideMark/>
          </w:tcPr>
          <w:p w14:paraId="199BAFC2" w14:textId="77777777" w:rsidR="003E5BF5" w:rsidRPr="00F413C5" w:rsidRDefault="003E5BF5" w:rsidP="00DE1921">
            <w:pPr>
              <w:jc w:val="right"/>
              <w:rPr>
                <w:rFonts w:ascii="Arial" w:hAnsi="Arial" w:cs="Arial"/>
                <w:sz w:val="24"/>
                <w:szCs w:val="24"/>
                <w:lang w:eastAsia="en-AU"/>
              </w:rPr>
            </w:pPr>
          </w:p>
        </w:tc>
        <w:tc>
          <w:tcPr>
            <w:tcW w:w="1322" w:type="dxa"/>
            <w:shd w:val="clear" w:color="auto" w:fill="auto"/>
            <w:noWrap/>
            <w:vAlign w:val="center"/>
            <w:hideMark/>
          </w:tcPr>
          <w:p w14:paraId="04B26971" w14:textId="77777777" w:rsidR="003E5BF5" w:rsidRPr="00F413C5" w:rsidRDefault="003E5BF5" w:rsidP="00DE1921">
            <w:pPr>
              <w:jc w:val="right"/>
              <w:rPr>
                <w:rFonts w:ascii="Arial" w:hAnsi="Arial" w:cs="Arial"/>
                <w:sz w:val="24"/>
                <w:szCs w:val="24"/>
                <w:lang w:eastAsia="en-AU"/>
              </w:rPr>
            </w:pPr>
          </w:p>
        </w:tc>
        <w:tc>
          <w:tcPr>
            <w:tcW w:w="1349" w:type="dxa"/>
            <w:shd w:val="clear" w:color="auto" w:fill="auto"/>
            <w:noWrap/>
            <w:vAlign w:val="center"/>
            <w:hideMark/>
          </w:tcPr>
          <w:p w14:paraId="4B83BDDC" w14:textId="77777777" w:rsidR="003E5BF5" w:rsidRPr="00F413C5" w:rsidRDefault="003E5BF5" w:rsidP="00DE1921">
            <w:pPr>
              <w:jc w:val="right"/>
              <w:rPr>
                <w:rFonts w:ascii="Arial" w:hAnsi="Arial" w:cs="Arial"/>
                <w:sz w:val="24"/>
                <w:szCs w:val="24"/>
                <w:lang w:eastAsia="en-AU"/>
              </w:rPr>
            </w:pPr>
          </w:p>
        </w:tc>
      </w:tr>
      <w:tr w:rsidR="003E5BF5" w:rsidRPr="00F413C5" w14:paraId="45EC1166" w14:textId="77777777" w:rsidTr="00994314">
        <w:trPr>
          <w:trHeight w:val="340"/>
        </w:trPr>
        <w:tc>
          <w:tcPr>
            <w:tcW w:w="4324" w:type="dxa"/>
            <w:shd w:val="clear" w:color="auto" w:fill="auto"/>
            <w:noWrap/>
            <w:vAlign w:val="center"/>
            <w:hideMark/>
          </w:tcPr>
          <w:p w14:paraId="59D884F9" w14:textId="77777777" w:rsidR="003E5BF5" w:rsidRPr="00F413C5" w:rsidRDefault="003E5BF5" w:rsidP="00DE1921">
            <w:pPr>
              <w:rPr>
                <w:rFonts w:ascii="Arial" w:hAnsi="Arial" w:cs="Arial"/>
                <w:sz w:val="24"/>
                <w:szCs w:val="24"/>
                <w:lang w:eastAsia="en-AU"/>
              </w:rPr>
            </w:pPr>
            <w:r w:rsidRPr="00F413C5">
              <w:rPr>
                <w:rFonts w:ascii="Arial" w:hAnsi="Arial" w:cs="Arial"/>
                <w:sz w:val="24"/>
                <w:szCs w:val="24"/>
                <w:lang w:eastAsia="en-AU"/>
              </w:rPr>
              <w:t xml:space="preserve">Public private partnership commitments </w:t>
            </w:r>
          </w:p>
        </w:tc>
        <w:tc>
          <w:tcPr>
            <w:tcW w:w="1322" w:type="dxa"/>
            <w:shd w:val="clear" w:color="auto" w:fill="auto"/>
            <w:noWrap/>
            <w:vAlign w:val="center"/>
            <w:hideMark/>
          </w:tcPr>
          <w:p w14:paraId="62722F14"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1,411,756 </w:t>
            </w:r>
          </w:p>
        </w:tc>
        <w:tc>
          <w:tcPr>
            <w:tcW w:w="1322" w:type="dxa"/>
            <w:shd w:val="clear" w:color="auto" w:fill="auto"/>
            <w:noWrap/>
            <w:vAlign w:val="center"/>
            <w:hideMark/>
          </w:tcPr>
          <w:p w14:paraId="5184FE50"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6,186,801 </w:t>
            </w:r>
          </w:p>
        </w:tc>
        <w:tc>
          <w:tcPr>
            <w:tcW w:w="1322" w:type="dxa"/>
            <w:shd w:val="clear" w:color="auto" w:fill="auto"/>
            <w:noWrap/>
            <w:vAlign w:val="center"/>
            <w:hideMark/>
          </w:tcPr>
          <w:p w14:paraId="761D1A0D"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13,020,439 </w:t>
            </w:r>
          </w:p>
        </w:tc>
        <w:tc>
          <w:tcPr>
            <w:tcW w:w="1349" w:type="dxa"/>
            <w:shd w:val="clear" w:color="auto" w:fill="auto"/>
            <w:noWrap/>
            <w:vAlign w:val="center"/>
            <w:hideMark/>
          </w:tcPr>
          <w:p w14:paraId="557D6081"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20,618,996 </w:t>
            </w:r>
          </w:p>
        </w:tc>
      </w:tr>
      <w:tr w:rsidR="003E5BF5" w:rsidRPr="00F413C5" w14:paraId="2FFAF989" w14:textId="77777777" w:rsidTr="00994314">
        <w:trPr>
          <w:trHeight w:val="340"/>
        </w:trPr>
        <w:tc>
          <w:tcPr>
            <w:tcW w:w="4324" w:type="dxa"/>
            <w:shd w:val="clear" w:color="auto" w:fill="auto"/>
            <w:noWrap/>
            <w:vAlign w:val="center"/>
            <w:hideMark/>
          </w:tcPr>
          <w:p w14:paraId="0C645C69" w14:textId="77777777" w:rsidR="003E5BF5" w:rsidRPr="00F413C5" w:rsidRDefault="003E5BF5" w:rsidP="00DE1921">
            <w:pPr>
              <w:rPr>
                <w:rFonts w:ascii="Arial" w:hAnsi="Arial" w:cs="Arial"/>
                <w:sz w:val="24"/>
                <w:szCs w:val="24"/>
                <w:lang w:eastAsia="en-AU"/>
              </w:rPr>
            </w:pPr>
            <w:r w:rsidRPr="00F413C5">
              <w:rPr>
                <w:rFonts w:ascii="Arial" w:hAnsi="Arial" w:cs="Arial"/>
                <w:sz w:val="24"/>
                <w:szCs w:val="24"/>
                <w:lang w:eastAsia="en-AU"/>
              </w:rPr>
              <w:t>Capital expenditure commitments</w:t>
            </w:r>
          </w:p>
        </w:tc>
        <w:tc>
          <w:tcPr>
            <w:tcW w:w="1322" w:type="dxa"/>
            <w:shd w:val="clear" w:color="auto" w:fill="auto"/>
            <w:noWrap/>
            <w:vAlign w:val="center"/>
            <w:hideMark/>
          </w:tcPr>
          <w:p w14:paraId="0139E045"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2,432,447 </w:t>
            </w:r>
          </w:p>
        </w:tc>
        <w:tc>
          <w:tcPr>
            <w:tcW w:w="1322" w:type="dxa"/>
            <w:shd w:val="clear" w:color="auto" w:fill="auto"/>
            <w:noWrap/>
            <w:vAlign w:val="center"/>
            <w:hideMark/>
          </w:tcPr>
          <w:p w14:paraId="245D6C6B"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2,505,162 </w:t>
            </w:r>
          </w:p>
        </w:tc>
        <w:tc>
          <w:tcPr>
            <w:tcW w:w="1322" w:type="dxa"/>
            <w:shd w:val="clear" w:color="auto" w:fill="auto"/>
            <w:noWrap/>
            <w:vAlign w:val="center"/>
            <w:hideMark/>
          </w:tcPr>
          <w:p w14:paraId="2F1504F0"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140,972 </w:t>
            </w:r>
          </w:p>
        </w:tc>
        <w:tc>
          <w:tcPr>
            <w:tcW w:w="1349" w:type="dxa"/>
            <w:shd w:val="clear" w:color="auto" w:fill="auto"/>
            <w:noWrap/>
            <w:vAlign w:val="center"/>
            <w:hideMark/>
          </w:tcPr>
          <w:p w14:paraId="546B35C7"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5,078,581 </w:t>
            </w:r>
          </w:p>
        </w:tc>
      </w:tr>
      <w:tr w:rsidR="003E5BF5" w:rsidRPr="00F413C5" w14:paraId="3CCA0B74" w14:textId="77777777" w:rsidTr="00994314">
        <w:trPr>
          <w:trHeight w:val="340"/>
        </w:trPr>
        <w:tc>
          <w:tcPr>
            <w:tcW w:w="4324" w:type="dxa"/>
            <w:shd w:val="clear" w:color="auto" w:fill="auto"/>
            <w:noWrap/>
            <w:vAlign w:val="center"/>
            <w:hideMark/>
          </w:tcPr>
          <w:p w14:paraId="4A43BDA8" w14:textId="77777777" w:rsidR="003E5BF5" w:rsidRPr="00F413C5" w:rsidRDefault="003E5BF5" w:rsidP="00DE1921">
            <w:pPr>
              <w:rPr>
                <w:rFonts w:ascii="Arial" w:hAnsi="Arial" w:cs="Arial"/>
                <w:sz w:val="24"/>
                <w:szCs w:val="24"/>
                <w:lang w:eastAsia="en-AU"/>
              </w:rPr>
            </w:pPr>
            <w:r w:rsidRPr="00F413C5">
              <w:rPr>
                <w:rFonts w:ascii="Arial" w:hAnsi="Arial" w:cs="Arial"/>
                <w:sz w:val="24"/>
                <w:szCs w:val="24"/>
                <w:lang w:eastAsia="en-AU"/>
              </w:rPr>
              <w:t>Other commitments</w:t>
            </w:r>
          </w:p>
        </w:tc>
        <w:tc>
          <w:tcPr>
            <w:tcW w:w="1322" w:type="dxa"/>
            <w:shd w:val="clear" w:color="auto" w:fill="auto"/>
            <w:noWrap/>
            <w:vAlign w:val="center"/>
            <w:hideMark/>
          </w:tcPr>
          <w:p w14:paraId="23CFBB69"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105,521 </w:t>
            </w:r>
          </w:p>
        </w:tc>
        <w:tc>
          <w:tcPr>
            <w:tcW w:w="1322" w:type="dxa"/>
            <w:shd w:val="clear" w:color="auto" w:fill="auto"/>
            <w:noWrap/>
            <w:vAlign w:val="center"/>
            <w:hideMark/>
          </w:tcPr>
          <w:p w14:paraId="73557BC4"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109,744 </w:t>
            </w:r>
          </w:p>
        </w:tc>
        <w:tc>
          <w:tcPr>
            <w:tcW w:w="1322" w:type="dxa"/>
            <w:shd w:val="clear" w:color="auto" w:fill="auto"/>
            <w:noWrap/>
            <w:vAlign w:val="center"/>
            <w:hideMark/>
          </w:tcPr>
          <w:p w14:paraId="3179F921"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20,131 </w:t>
            </w:r>
          </w:p>
        </w:tc>
        <w:tc>
          <w:tcPr>
            <w:tcW w:w="1349" w:type="dxa"/>
            <w:shd w:val="clear" w:color="auto" w:fill="auto"/>
            <w:noWrap/>
            <w:vAlign w:val="center"/>
            <w:hideMark/>
          </w:tcPr>
          <w:p w14:paraId="2F572242"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 xml:space="preserve">235,396 </w:t>
            </w:r>
          </w:p>
        </w:tc>
      </w:tr>
      <w:tr w:rsidR="003E5BF5" w:rsidRPr="00F413C5" w14:paraId="661E522B" w14:textId="77777777" w:rsidTr="00994314">
        <w:trPr>
          <w:trHeight w:val="340"/>
        </w:trPr>
        <w:tc>
          <w:tcPr>
            <w:tcW w:w="4324" w:type="dxa"/>
            <w:shd w:val="clear" w:color="auto" w:fill="auto"/>
            <w:noWrap/>
            <w:vAlign w:val="center"/>
            <w:hideMark/>
          </w:tcPr>
          <w:p w14:paraId="2E2633F0" w14:textId="77777777" w:rsidR="003E5BF5" w:rsidRPr="00F413C5" w:rsidRDefault="003E5BF5" w:rsidP="00DE1921">
            <w:pPr>
              <w:rPr>
                <w:rFonts w:ascii="Arial" w:hAnsi="Arial" w:cs="Arial"/>
                <w:b/>
                <w:sz w:val="24"/>
                <w:szCs w:val="24"/>
                <w:lang w:eastAsia="en-AU"/>
              </w:rPr>
            </w:pPr>
            <w:r w:rsidRPr="00F413C5">
              <w:rPr>
                <w:rFonts w:ascii="Arial" w:hAnsi="Arial" w:cs="Arial"/>
                <w:b/>
                <w:sz w:val="24"/>
                <w:szCs w:val="24"/>
                <w:lang w:eastAsia="en-AU"/>
              </w:rPr>
              <w:t>Total commitment (inclusive of GST)</w:t>
            </w:r>
          </w:p>
        </w:tc>
        <w:tc>
          <w:tcPr>
            <w:tcW w:w="1322" w:type="dxa"/>
            <w:shd w:val="clear" w:color="auto" w:fill="auto"/>
            <w:noWrap/>
            <w:vAlign w:val="center"/>
            <w:hideMark/>
          </w:tcPr>
          <w:p w14:paraId="0AA34D04"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rPr>
              <w:t xml:space="preserve">3,949,724 </w:t>
            </w:r>
          </w:p>
        </w:tc>
        <w:tc>
          <w:tcPr>
            <w:tcW w:w="1322" w:type="dxa"/>
            <w:shd w:val="clear" w:color="auto" w:fill="auto"/>
            <w:noWrap/>
            <w:vAlign w:val="center"/>
            <w:hideMark/>
          </w:tcPr>
          <w:p w14:paraId="35CE493A"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rPr>
              <w:t xml:space="preserve">8,801,707 </w:t>
            </w:r>
          </w:p>
        </w:tc>
        <w:tc>
          <w:tcPr>
            <w:tcW w:w="1322" w:type="dxa"/>
            <w:shd w:val="clear" w:color="auto" w:fill="auto"/>
            <w:noWrap/>
            <w:vAlign w:val="center"/>
            <w:hideMark/>
          </w:tcPr>
          <w:p w14:paraId="45DC0771"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rPr>
              <w:t xml:space="preserve">13,181,542 </w:t>
            </w:r>
          </w:p>
        </w:tc>
        <w:tc>
          <w:tcPr>
            <w:tcW w:w="1349" w:type="dxa"/>
            <w:shd w:val="clear" w:color="auto" w:fill="auto"/>
            <w:noWrap/>
            <w:vAlign w:val="center"/>
            <w:hideMark/>
          </w:tcPr>
          <w:p w14:paraId="25165DEF"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rPr>
              <w:t xml:space="preserve">25,932,973 </w:t>
            </w:r>
          </w:p>
        </w:tc>
      </w:tr>
      <w:tr w:rsidR="003E5BF5" w:rsidRPr="00F413C5" w14:paraId="08DCEECF" w14:textId="77777777" w:rsidTr="00994314">
        <w:trPr>
          <w:trHeight w:val="340"/>
        </w:trPr>
        <w:tc>
          <w:tcPr>
            <w:tcW w:w="4324" w:type="dxa"/>
            <w:tcBorders>
              <w:bottom w:val="single" w:sz="4" w:space="0" w:color="auto"/>
            </w:tcBorders>
            <w:shd w:val="clear" w:color="auto" w:fill="auto"/>
            <w:noWrap/>
            <w:vAlign w:val="center"/>
            <w:hideMark/>
          </w:tcPr>
          <w:p w14:paraId="34432C3D" w14:textId="77777777" w:rsidR="003E5BF5" w:rsidRPr="00F413C5" w:rsidRDefault="003E5BF5" w:rsidP="00DE1921">
            <w:pPr>
              <w:rPr>
                <w:rFonts w:ascii="Arial" w:hAnsi="Arial" w:cs="Arial"/>
                <w:b/>
                <w:sz w:val="24"/>
                <w:szCs w:val="24"/>
                <w:lang w:eastAsia="en-AU"/>
              </w:rPr>
            </w:pPr>
            <w:r w:rsidRPr="00F413C5">
              <w:rPr>
                <w:rFonts w:ascii="Arial" w:hAnsi="Arial" w:cs="Arial"/>
                <w:b/>
                <w:sz w:val="24"/>
                <w:szCs w:val="24"/>
                <w:lang w:eastAsia="en-AU"/>
              </w:rPr>
              <w:t>Less GST recoverable</w:t>
            </w:r>
          </w:p>
        </w:tc>
        <w:tc>
          <w:tcPr>
            <w:tcW w:w="1322" w:type="dxa"/>
            <w:tcBorders>
              <w:bottom w:val="single" w:sz="4" w:space="0" w:color="auto"/>
            </w:tcBorders>
            <w:shd w:val="clear" w:color="auto" w:fill="auto"/>
            <w:vAlign w:val="center"/>
            <w:hideMark/>
          </w:tcPr>
          <w:p w14:paraId="1004FA3A" w14:textId="77777777" w:rsidR="003E5BF5" w:rsidRPr="00F413C5" w:rsidRDefault="003E5BF5" w:rsidP="00DE1921">
            <w:pPr>
              <w:jc w:val="right"/>
              <w:rPr>
                <w:rFonts w:ascii="Arial" w:hAnsi="Arial" w:cs="Arial"/>
                <w:b/>
                <w:sz w:val="24"/>
                <w:szCs w:val="24"/>
                <w:lang w:eastAsia="en-AU"/>
              </w:rPr>
            </w:pPr>
          </w:p>
        </w:tc>
        <w:tc>
          <w:tcPr>
            <w:tcW w:w="1322" w:type="dxa"/>
            <w:tcBorders>
              <w:bottom w:val="single" w:sz="4" w:space="0" w:color="auto"/>
            </w:tcBorders>
            <w:shd w:val="clear" w:color="auto" w:fill="auto"/>
            <w:vAlign w:val="center"/>
            <w:hideMark/>
          </w:tcPr>
          <w:p w14:paraId="2A004349" w14:textId="77777777" w:rsidR="003E5BF5" w:rsidRPr="00F413C5" w:rsidRDefault="003E5BF5" w:rsidP="00DE1921">
            <w:pPr>
              <w:jc w:val="right"/>
              <w:rPr>
                <w:rFonts w:ascii="Arial" w:hAnsi="Arial" w:cs="Arial"/>
                <w:b/>
                <w:sz w:val="24"/>
                <w:szCs w:val="24"/>
                <w:lang w:eastAsia="en-AU"/>
              </w:rPr>
            </w:pPr>
          </w:p>
        </w:tc>
        <w:tc>
          <w:tcPr>
            <w:tcW w:w="1322" w:type="dxa"/>
            <w:tcBorders>
              <w:bottom w:val="single" w:sz="4" w:space="0" w:color="auto"/>
            </w:tcBorders>
            <w:shd w:val="clear" w:color="auto" w:fill="auto"/>
            <w:noWrap/>
            <w:vAlign w:val="center"/>
            <w:hideMark/>
          </w:tcPr>
          <w:p w14:paraId="6722148B" w14:textId="77777777" w:rsidR="003E5BF5" w:rsidRPr="00F413C5" w:rsidRDefault="003E5BF5" w:rsidP="00DE1921">
            <w:pPr>
              <w:jc w:val="right"/>
              <w:rPr>
                <w:rFonts w:ascii="Arial" w:hAnsi="Arial" w:cs="Arial"/>
                <w:b/>
                <w:sz w:val="24"/>
                <w:szCs w:val="24"/>
                <w:lang w:eastAsia="en-AU"/>
              </w:rPr>
            </w:pPr>
          </w:p>
        </w:tc>
        <w:tc>
          <w:tcPr>
            <w:tcW w:w="1349" w:type="dxa"/>
            <w:tcBorders>
              <w:bottom w:val="single" w:sz="4" w:space="0" w:color="auto"/>
            </w:tcBorders>
            <w:shd w:val="clear" w:color="auto" w:fill="auto"/>
            <w:noWrap/>
            <w:vAlign w:val="center"/>
            <w:hideMark/>
          </w:tcPr>
          <w:p w14:paraId="217B0E36" w14:textId="77777777" w:rsidR="003E5BF5" w:rsidRPr="00F413C5" w:rsidRDefault="003E5BF5" w:rsidP="00DE1921">
            <w:pPr>
              <w:jc w:val="right"/>
              <w:rPr>
                <w:rFonts w:ascii="Arial" w:hAnsi="Arial" w:cs="Arial"/>
                <w:sz w:val="24"/>
                <w:szCs w:val="24"/>
                <w:lang w:eastAsia="en-AU"/>
              </w:rPr>
            </w:pPr>
            <w:r w:rsidRPr="00F413C5">
              <w:rPr>
                <w:rFonts w:ascii="Arial" w:hAnsi="Arial" w:cs="Arial"/>
                <w:sz w:val="24"/>
                <w:szCs w:val="24"/>
              </w:rPr>
              <w:t>(2,357,543</w:t>
            </w:r>
            <w:r w:rsidRPr="00F413C5" w:rsidDel="00CA2121">
              <w:rPr>
                <w:rFonts w:ascii="Arial" w:hAnsi="Arial" w:cs="Arial"/>
                <w:sz w:val="24"/>
                <w:szCs w:val="24"/>
              </w:rPr>
              <w:t>)</w:t>
            </w:r>
          </w:p>
        </w:tc>
      </w:tr>
      <w:tr w:rsidR="003E5BF5" w:rsidRPr="00F413C5" w14:paraId="0D95DFDC" w14:textId="77777777" w:rsidTr="00994314">
        <w:trPr>
          <w:trHeight w:val="340"/>
        </w:trPr>
        <w:tc>
          <w:tcPr>
            <w:tcW w:w="4324" w:type="dxa"/>
            <w:tcBorders>
              <w:bottom w:val="single" w:sz="4" w:space="0" w:color="auto"/>
            </w:tcBorders>
            <w:shd w:val="clear" w:color="auto" w:fill="auto"/>
            <w:noWrap/>
            <w:vAlign w:val="center"/>
            <w:hideMark/>
          </w:tcPr>
          <w:p w14:paraId="1EC22FBA" w14:textId="77777777" w:rsidR="003E5BF5" w:rsidRPr="00F413C5" w:rsidRDefault="003E5BF5" w:rsidP="00DE1921">
            <w:pPr>
              <w:rPr>
                <w:rFonts w:ascii="Arial" w:hAnsi="Arial" w:cs="Arial"/>
                <w:b/>
                <w:sz w:val="24"/>
                <w:szCs w:val="24"/>
                <w:lang w:eastAsia="en-AU"/>
              </w:rPr>
            </w:pPr>
            <w:r w:rsidRPr="00F413C5">
              <w:rPr>
                <w:rFonts w:ascii="Arial" w:hAnsi="Arial" w:cs="Arial"/>
                <w:b/>
                <w:sz w:val="24"/>
                <w:szCs w:val="24"/>
                <w:lang w:eastAsia="en-AU"/>
              </w:rPr>
              <w:t>Total commitment (exclusive of GST)</w:t>
            </w:r>
          </w:p>
        </w:tc>
        <w:tc>
          <w:tcPr>
            <w:tcW w:w="1322" w:type="dxa"/>
            <w:tcBorders>
              <w:bottom w:val="single" w:sz="4" w:space="0" w:color="auto"/>
            </w:tcBorders>
            <w:shd w:val="clear" w:color="auto" w:fill="auto"/>
            <w:vAlign w:val="center"/>
            <w:hideMark/>
          </w:tcPr>
          <w:p w14:paraId="1AADB2B6" w14:textId="77777777" w:rsidR="003E5BF5" w:rsidRPr="00F413C5" w:rsidRDefault="003E5BF5" w:rsidP="00DE1921">
            <w:pPr>
              <w:jc w:val="right"/>
              <w:rPr>
                <w:rFonts w:ascii="Arial" w:hAnsi="Arial" w:cs="Arial"/>
                <w:b/>
                <w:sz w:val="24"/>
                <w:szCs w:val="24"/>
                <w:lang w:eastAsia="en-AU"/>
              </w:rPr>
            </w:pPr>
          </w:p>
        </w:tc>
        <w:tc>
          <w:tcPr>
            <w:tcW w:w="1322" w:type="dxa"/>
            <w:tcBorders>
              <w:bottom w:val="single" w:sz="4" w:space="0" w:color="auto"/>
            </w:tcBorders>
            <w:shd w:val="clear" w:color="auto" w:fill="auto"/>
            <w:vAlign w:val="center"/>
            <w:hideMark/>
          </w:tcPr>
          <w:p w14:paraId="14ADB62E" w14:textId="77777777" w:rsidR="003E5BF5" w:rsidRPr="00F413C5" w:rsidRDefault="003E5BF5" w:rsidP="00DE1921">
            <w:pPr>
              <w:jc w:val="right"/>
              <w:rPr>
                <w:rFonts w:ascii="Arial" w:hAnsi="Arial" w:cs="Arial"/>
                <w:b/>
                <w:sz w:val="24"/>
                <w:szCs w:val="24"/>
                <w:lang w:eastAsia="en-AU"/>
              </w:rPr>
            </w:pPr>
          </w:p>
        </w:tc>
        <w:tc>
          <w:tcPr>
            <w:tcW w:w="1322" w:type="dxa"/>
            <w:tcBorders>
              <w:bottom w:val="single" w:sz="4" w:space="0" w:color="auto"/>
            </w:tcBorders>
            <w:shd w:val="clear" w:color="auto" w:fill="auto"/>
            <w:noWrap/>
            <w:vAlign w:val="center"/>
            <w:hideMark/>
          </w:tcPr>
          <w:p w14:paraId="6732AFD1" w14:textId="77777777" w:rsidR="003E5BF5" w:rsidRPr="00F413C5" w:rsidRDefault="003E5BF5" w:rsidP="00DE1921">
            <w:pPr>
              <w:jc w:val="right"/>
              <w:rPr>
                <w:rFonts w:ascii="Arial" w:hAnsi="Arial" w:cs="Arial"/>
                <w:b/>
                <w:sz w:val="24"/>
                <w:szCs w:val="24"/>
                <w:lang w:eastAsia="en-AU"/>
              </w:rPr>
            </w:pPr>
          </w:p>
        </w:tc>
        <w:tc>
          <w:tcPr>
            <w:tcW w:w="1349" w:type="dxa"/>
            <w:tcBorders>
              <w:bottom w:val="single" w:sz="4" w:space="0" w:color="auto"/>
            </w:tcBorders>
            <w:shd w:val="clear" w:color="auto" w:fill="auto"/>
            <w:noWrap/>
            <w:vAlign w:val="center"/>
            <w:hideMark/>
          </w:tcPr>
          <w:p w14:paraId="1E8FCC1B" w14:textId="77777777" w:rsidR="003E5BF5" w:rsidRPr="00F413C5" w:rsidRDefault="003E5BF5" w:rsidP="00DE1921">
            <w:pPr>
              <w:jc w:val="right"/>
              <w:rPr>
                <w:rFonts w:ascii="Arial" w:hAnsi="Arial" w:cs="Arial"/>
                <w:b/>
                <w:sz w:val="24"/>
                <w:szCs w:val="24"/>
                <w:lang w:eastAsia="en-AU"/>
              </w:rPr>
            </w:pPr>
            <w:r w:rsidRPr="00F413C5">
              <w:rPr>
                <w:rFonts w:ascii="Arial" w:hAnsi="Arial" w:cs="Arial"/>
                <w:b/>
                <w:sz w:val="24"/>
                <w:szCs w:val="24"/>
              </w:rPr>
              <w:t>23,575,430</w:t>
            </w:r>
          </w:p>
        </w:tc>
      </w:tr>
    </w:tbl>
    <w:p w14:paraId="56C3A265" w14:textId="77777777" w:rsidR="00994314" w:rsidRPr="00F413C5" w:rsidRDefault="00994314" w:rsidP="00994314">
      <w:pPr>
        <w:pStyle w:val="Note"/>
        <w:rPr>
          <w:rFonts w:ascii="Arial" w:hAnsi="Arial" w:cs="Arial"/>
          <w:sz w:val="24"/>
          <w:szCs w:val="24"/>
        </w:rPr>
      </w:pPr>
      <w:r w:rsidRPr="00F413C5">
        <w:rPr>
          <w:rFonts w:ascii="Arial" w:hAnsi="Arial" w:cs="Arial"/>
          <w:sz w:val="24"/>
          <w:szCs w:val="24"/>
        </w:rPr>
        <w:t xml:space="preserve">Note: </w:t>
      </w:r>
    </w:p>
    <w:p w14:paraId="2A39E824" w14:textId="77777777" w:rsidR="00994314" w:rsidRPr="00F413C5" w:rsidRDefault="00994314" w:rsidP="00610F5F">
      <w:pPr>
        <w:pStyle w:val="aaaNotenumberiiiiii"/>
        <w:numPr>
          <w:ilvl w:val="0"/>
          <w:numId w:val="105"/>
        </w:numPr>
      </w:pPr>
      <w:r w:rsidRPr="00F413C5">
        <w:t xml:space="preserve">Out of this balance, $85.8 million relates the department's occupancy agreement, ending on 31 October 2021, with the DTF Shared Service Provider for office accommodation at various areas. A significant judgement was made that the occupancy agreement is a service contract (rather than a </w:t>
      </w:r>
      <w:r w:rsidRPr="00F413C5">
        <w:lastRenderedPageBreak/>
        <w:t xml:space="preserve">‘lease’ as defined in AASB 16 </w:t>
      </w:r>
      <w:r w:rsidRPr="00994314">
        <w:rPr>
          <w:i/>
        </w:rPr>
        <w:t>Leases</w:t>
      </w:r>
      <w:r w:rsidRPr="00F413C5">
        <w:t>). The cost for the accommodation is expensed (Note 3.5 Other operating expenses) based on agreed payments in the occupancy agreement.</w:t>
      </w:r>
    </w:p>
    <w:p w14:paraId="7CDA05E0" w14:textId="27AED8BB" w:rsidR="003E5BF5" w:rsidRPr="001C6099" w:rsidRDefault="003E5BF5" w:rsidP="001C6099">
      <w:pPr>
        <w:pStyle w:val="aaatyping"/>
        <w:rPr>
          <w:b/>
          <w:bCs/>
        </w:rPr>
      </w:pPr>
      <w:r w:rsidRPr="001C6099">
        <w:rPr>
          <w:b/>
          <w:bCs/>
        </w:rPr>
        <w:t>Rail and bus service commitments:</w:t>
      </w:r>
    </w:p>
    <w:p w14:paraId="532064C0" w14:textId="77777777" w:rsidR="003E5BF5" w:rsidRPr="001429C9" w:rsidRDefault="003E5BF5" w:rsidP="001C6099">
      <w:pPr>
        <w:pStyle w:val="aaabullet"/>
      </w:pPr>
      <w:r w:rsidRPr="001429C9">
        <w:rPr>
          <w:b/>
        </w:rPr>
        <w:t>Metropolitan rail and bus commitments:</w:t>
      </w:r>
      <w:r w:rsidRPr="001429C9">
        <w:t xml:space="preserve"> The</w:t>
      </w:r>
      <w:r w:rsidRPr="001429C9" w:rsidDel="009C7CD0">
        <w:t xml:space="preserve"> </w:t>
      </w:r>
      <w:r>
        <w:t>S</w:t>
      </w:r>
      <w:r w:rsidRPr="001429C9">
        <w:t>tate entered into a number of contracts with private operators to provide Victoria’s train, tram and bus services. The current contracts with Metro Trains Melbourne (MTM) and Yarra Trams commenced on 30 November 2017 and have an initial franchise period of seven years (with the possibility of up to three years extension at the option of the State). Under the terms of these franchise contracts, subsidies are provided for transport services and capital commitments. The commitments with MTM and Yarra Trams have been calculated up to the end of the franchise period with the exception of the rolling stock lease payments for which the state is legally committed beyond the initial franchise period. Bus services are covered by long term service contracts established with the bus service operators. Commitments of the bus service contracts are determined from the service fees payable during the term of the service contracts. The 2008 metropolitan bus services contracts (MBSCs) expired on 30 June 2018 and new 2018 MBSC contracts commenced from July 2018.</w:t>
      </w:r>
    </w:p>
    <w:p w14:paraId="1CC5F5B1" w14:textId="77777777" w:rsidR="003E5BF5" w:rsidRPr="001429C9" w:rsidRDefault="003E5BF5" w:rsidP="001C6099">
      <w:pPr>
        <w:pStyle w:val="aaabullet"/>
      </w:pPr>
      <w:r w:rsidRPr="001429C9">
        <w:rPr>
          <w:b/>
        </w:rPr>
        <w:t>V/Line rail services:</w:t>
      </w:r>
      <w:r w:rsidRPr="001429C9">
        <w:t xml:space="preserve"> A partnership agreement was signed between the State and V/Line to provide regional train and coach services, effective from 1 January 2018 to 1 January 2023. The</w:t>
      </w:r>
      <w:r w:rsidRPr="001429C9" w:rsidDel="007849ED">
        <w:t xml:space="preserve"> </w:t>
      </w:r>
      <w:r>
        <w:t>S</w:t>
      </w:r>
      <w:r w:rsidRPr="001429C9">
        <w:t>tate has the option to extend the agreement for two further 5-year periods.</w:t>
      </w:r>
    </w:p>
    <w:p w14:paraId="716F35E7" w14:textId="77777777" w:rsidR="003E5BF5" w:rsidRPr="001429C9" w:rsidRDefault="003E5BF5" w:rsidP="001C6099">
      <w:pPr>
        <w:pStyle w:val="aaatyping"/>
      </w:pPr>
      <w:r w:rsidRPr="001429C9">
        <w:rPr>
          <w:b/>
        </w:rPr>
        <w:t>Capital expenditure commitments</w:t>
      </w:r>
      <w:r w:rsidRPr="001429C9">
        <w:t xml:space="preserve"> include contracts mainly for capital projects relating to infrastructure and transport related projects separate and in addition to the commitments entered into through the partnership </w:t>
      </w:r>
      <w:r w:rsidRPr="001429C9">
        <w:lastRenderedPageBreak/>
        <w:t xml:space="preserve">agreements (which include rolling stock and branding projects). These non-cancellable contracts for commitments were signed prior to the balance date and have established a legal and binding obligation on the department to make future payments. </w:t>
      </w:r>
    </w:p>
    <w:p w14:paraId="5273DE5F" w14:textId="77777777" w:rsidR="003E5BF5" w:rsidRPr="001429C9" w:rsidRDefault="003E5BF5" w:rsidP="001C6099">
      <w:pPr>
        <w:pStyle w:val="aaatyping"/>
      </w:pPr>
      <w:r w:rsidRPr="001429C9">
        <w:rPr>
          <w:b/>
        </w:rPr>
        <w:t>Ticketing and call centre service commitments</w:t>
      </w:r>
      <w:r w:rsidRPr="001429C9">
        <w:t>: The current myki ticketing system services contract commenced on 1 January 2017. The contract will improve service delivery and meet customer demand by providing strong incentives to maximise the availability of the system for customer use, rapidly respond to system outages and focus on system presentation and throughput. In addition, the new contract will also allow for overall public transport growth and the flexibility to implement changes to the ticketing system.</w:t>
      </w:r>
    </w:p>
    <w:p w14:paraId="4226BB4D" w14:textId="77777777" w:rsidR="003E5BF5" w:rsidRPr="001429C9" w:rsidRDefault="003E5BF5" w:rsidP="001C6099">
      <w:pPr>
        <w:pStyle w:val="aaatyping"/>
      </w:pPr>
      <w:r w:rsidRPr="001429C9">
        <w:rPr>
          <w:b/>
        </w:rPr>
        <w:t>Other commitments</w:t>
      </w:r>
      <w:r w:rsidRPr="001429C9">
        <w:t xml:space="preserve"> include agreements entered into for provision of financial information technology, human resource services and other expenditure commitments. </w:t>
      </w:r>
    </w:p>
    <w:p w14:paraId="37EDBE67" w14:textId="77777777" w:rsidR="003E5BF5" w:rsidRDefault="003E5BF5" w:rsidP="00DE1921">
      <w:pPr>
        <w:rPr>
          <w:i/>
          <w:iCs/>
        </w:rPr>
        <w:sectPr w:rsidR="003E5BF5" w:rsidSect="00DE1921">
          <w:headerReference w:type="even" r:id="rId153"/>
          <w:headerReference w:type="default" r:id="rId154"/>
          <w:footerReference w:type="even" r:id="rId155"/>
          <w:headerReference w:type="first" r:id="rId156"/>
          <w:pgSz w:w="11906" w:h="16838"/>
          <w:pgMar w:top="1701" w:right="1418" w:bottom="1418" w:left="1418" w:header="708" w:footer="708" w:gutter="0"/>
          <w:cols w:space="708"/>
          <w:docGrid w:linePitch="360"/>
        </w:sectPr>
      </w:pPr>
    </w:p>
    <w:p w14:paraId="36AE43B8" w14:textId="77777777" w:rsidR="003E5BF5" w:rsidRPr="005D7D7B" w:rsidRDefault="003E5BF5" w:rsidP="00DE1921">
      <w:pPr>
        <w:rPr>
          <w:highlight w:val="yellow"/>
        </w:rPr>
        <w:sectPr w:rsidR="003E5BF5" w:rsidRPr="005D7D7B" w:rsidSect="00DE1921">
          <w:type w:val="continuous"/>
          <w:pgSz w:w="11906" w:h="16838"/>
          <w:pgMar w:top="1701" w:right="1418" w:bottom="1418" w:left="1418" w:header="708" w:footer="708" w:gutter="0"/>
          <w:cols w:space="708"/>
          <w:docGrid w:linePitch="360"/>
        </w:sectPr>
      </w:pPr>
    </w:p>
    <w:p w14:paraId="0A5F3B82" w14:textId="77777777" w:rsidR="003E5BF5" w:rsidRPr="005D7D7B" w:rsidRDefault="003E5BF5" w:rsidP="00610F5F">
      <w:pPr>
        <w:pStyle w:val="Heading3"/>
        <w:numPr>
          <w:ilvl w:val="2"/>
          <w:numId w:val="21"/>
        </w:numPr>
        <w:ind w:left="765" w:hanging="765"/>
        <w:sectPr w:rsidR="003E5BF5" w:rsidRPr="005D7D7B" w:rsidSect="00DE1921">
          <w:headerReference w:type="even" r:id="rId157"/>
          <w:headerReference w:type="default" r:id="rId158"/>
          <w:footerReference w:type="even" r:id="rId159"/>
          <w:headerReference w:type="first" r:id="rId160"/>
          <w:type w:val="continuous"/>
          <w:pgSz w:w="11906" w:h="16838"/>
          <w:pgMar w:top="1701" w:right="1418" w:bottom="1418" w:left="1418" w:header="709" w:footer="709" w:gutter="0"/>
          <w:cols w:space="708"/>
          <w:docGrid w:linePitch="360"/>
        </w:sectPr>
      </w:pPr>
      <w:bookmarkStart w:id="492" w:name="_Toc521965487"/>
      <w:bookmarkStart w:id="493" w:name="_Toc529196592"/>
      <w:bookmarkStart w:id="494" w:name="_Toc529197633"/>
      <w:bookmarkStart w:id="495" w:name="_Toc529197794"/>
      <w:bookmarkStart w:id="496" w:name="_Toc529197926"/>
      <w:bookmarkStart w:id="497" w:name="_Toc529197966"/>
      <w:r w:rsidRPr="005D7D7B">
        <w:t>Public Private Partnership (PPP) commitments</w:t>
      </w:r>
      <w:bookmarkEnd w:id="492"/>
      <w:bookmarkEnd w:id="493"/>
      <w:bookmarkEnd w:id="494"/>
      <w:bookmarkEnd w:id="495"/>
      <w:bookmarkEnd w:id="496"/>
      <w:bookmarkEnd w:id="497"/>
    </w:p>
    <w:p w14:paraId="027A965D" w14:textId="77777777" w:rsidR="003E5BF5" w:rsidRDefault="003E5BF5" w:rsidP="001C6099">
      <w:pPr>
        <w:pStyle w:val="aaatyping"/>
      </w:pPr>
      <w:r>
        <w:t>The department</w:t>
      </w:r>
      <w:r w:rsidRPr="007444F0">
        <w:t xml:space="preserve"> may enter into arrangements with private sector participants to design and construct or upgrade assets used to provide public services. These arrangements usually include the provision of operational and maintenance services for a specified period of time. These arrangements are often referred to as PPPs</w:t>
      </w:r>
      <w:r>
        <w:t>.</w:t>
      </w:r>
    </w:p>
    <w:p w14:paraId="33E720BD" w14:textId="77777777" w:rsidR="003E5BF5" w:rsidRDefault="003E5BF5" w:rsidP="001C6099">
      <w:pPr>
        <w:pStyle w:val="aaatyping"/>
      </w:pPr>
      <w:r w:rsidRPr="00A16EC2">
        <w:t xml:space="preserve">PPPs usually take one of two main forms. In the more common form, the </w:t>
      </w:r>
      <w:r>
        <w:t>d</w:t>
      </w:r>
      <w:r w:rsidRPr="00A16EC2">
        <w:t xml:space="preserve">epartment pays the operator over the arrangement period, subject to specified performance criteria being met. At the date of commitment to the principal provisions of the arrangement, these estimated periodic </w:t>
      </w:r>
      <w:r w:rsidRPr="00A16EC2">
        <w:lastRenderedPageBreak/>
        <w:t xml:space="preserve">payments are allocated between a component related to the design and construction or upgrading of the asset and components related to the ongoing operation and maintenance of the asset. The former component is accounted for as either a lease, a service concession arrangement or construction of an item of property, plant and equipment. The remaining components are accounted for as commitments for operating costs, which are expensed in the comprehensive operating statement as they are incurred. The other form of PPP is one in which the </w:t>
      </w:r>
      <w:r>
        <w:t>d</w:t>
      </w:r>
      <w:r w:rsidRPr="00A16EC2">
        <w:t xml:space="preserve">epartment grants to an operator, for a specified period of time, the right to collect fees from users of the PPP asset, in return for which the operator constructs the asset and has the obligation to supply agreed upon services, including maintenance of the asset for the period of the concession. These private sector entities typically lease land, and sometimes state works, from the </w:t>
      </w:r>
      <w:r>
        <w:t>d</w:t>
      </w:r>
      <w:r w:rsidRPr="00A16EC2">
        <w:t xml:space="preserve">epartment and construct infrastructure. At the end of the concession period, the land and state works, together with the constructed facilities, will be returned to the </w:t>
      </w:r>
      <w:r>
        <w:t>d</w:t>
      </w:r>
      <w:r w:rsidRPr="00A16EC2">
        <w:t>epartment.</w:t>
      </w:r>
    </w:p>
    <w:p w14:paraId="44DFB9EB" w14:textId="77777777" w:rsidR="003E5BF5" w:rsidRDefault="003E5BF5" w:rsidP="001C6099">
      <w:pPr>
        <w:pStyle w:val="aaatyping"/>
      </w:pPr>
      <w:r>
        <w:t xml:space="preserve">Prior to 1 July 2019, all PPPs for which the State had to make payment in exchange for the PPP asset were accounted for under AASB 117 </w:t>
      </w:r>
      <w:r w:rsidRPr="00B62C2C">
        <w:rPr>
          <w:i/>
          <w:iCs/>
        </w:rPr>
        <w:t>Leases</w:t>
      </w:r>
      <w:r>
        <w:t xml:space="preserve"> as finance leases</w:t>
      </w:r>
      <w:r w:rsidRPr="0096190C">
        <w:t>, where recognition criteria was met. Alternatively, where the State did not have an obligation to pay cash to the private sector but instead granted them the right to collect fees from users, the assets would only be recognised when they are returned to the State at the end of the concession period.</w:t>
      </w:r>
    </w:p>
    <w:p w14:paraId="55EC533F" w14:textId="77777777" w:rsidR="003E5BF5" w:rsidRDefault="003E5BF5" w:rsidP="001C6099">
      <w:pPr>
        <w:pStyle w:val="aaatyping"/>
      </w:pPr>
      <w:r>
        <w:t xml:space="preserve">After 1 July 2019, AASB 1059 </w:t>
      </w:r>
      <w:r w:rsidRPr="00B62C2C">
        <w:rPr>
          <w:i/>
          <w:iCs/>
        </w:rPr>
        <w:t>Service Concession Arrangements: Grantors</w:t>
      </w:r>
      <w:r>
        <w:t xml:space="preserve"> applies to arrangements where an operator provides public services, using a service concession asset, on behalf of the State and </w:t>
      </w:r>
      <w:r>
        <w:lastRenderedPageBreak/>
        <w:t xml:space="preserve">importantly, the operator manages at least some of the public service at its own discretion. The State must also control the asset for AASB 1059 to apply. This means that certain PPP arrangements will not be within the scope of AASB 1059 and will continue to be accounted for as either leases or assets being constructed by the State and conversely, certain arrangements that are not PPPs (such as certain external service arrangements) could be captured within the scope of AASB 1059. The department has determined which arrangements should be accounted for under AASB 1059 and details of these are included in Note 7.5.3.  </w:t>
      </w:r>
    </w:p>
    <w:p w14:paraId="664280C9" w14:textId="77777777" w:rsidR="003E5BF5" w:rsidRPr="007444F0" w:rsidRDefault="003E5BF5" w:rsidP="00DE1921">
      <w:pPr>
        <w:sectPr w:rsidR="003E5BF5" w:rsidRPr="007444F0" w:rsidSect="00DE1921">
          <w:type w:val="continuous"/>
          <w:pgSz w:w="11906" w:h="16838"/>
          <w:pgMar w:top="1701" w:right="1418" w:bottom="1418" w:left="1418" w:header="709" w:footer="709" w:gutter="0"/>
          <w:cols w:space="284"/>
          <w:docGrid w:linePitch="360"/>
        </w:sectPr>
      </w:pPr>
    </w:p>
    <w:tbl>
      <w:tblPr>
        <w:tblStyle w:val="TableGrid"/>
        <w:tblW w:w="14906" w:type="dxa"/>
        <w:tblCellMar>
          <w:left w:w="28" w:type="dxa"/>
          <w:right w:w="28" w:type="dxa"/>
        </w:tblCellMar>
        <w:tblLook w:val="04A0" w:firstRow="1" w:lastRow="0" w:firstColumn="1" w:lastColumn="0" w:noHBand="0" w:noVBand="1"/>
      </w:tblPr>
      <w:tblGrid>
        <w:gridCol w:w="2514"/>
        <w:gridCol w:w="1385"/>
        <w:gridCol w:w="1496"/>
        <w:gridCol w:w="1657"/>
        <w:gridCol w:w="1657"/>
        <w:gridCol w:w="1387"/>
        <w:gridCol w:w="1496"/>
        <w:gridCol w:w="1657"/>
        <w:gridCol w:w="1657"/>
      </w:tblGrid>
      <w:tr w:rsidR="003E5BF5" w:rsidRPr="00F413C5" w14:paraId="498BBCFD" w14:textId="77777777" w:rsidTr="00994314">
        <w:trPr>
          <w:trHeight w:val="340"/>
        </w:trPr>
        <w:tc>
          <w:tcPr>
            <w:tcW w:w="2514" w:type="dxa"/>
            <w:shd w:val="clear" w:color="auto" w:fill="auto"/>
            <w:hideMark/>
          </w:tcPr>
          <w:p w14:paraId="20538440" w14:textId="77777777" w:rsidR="003E5BF5" w:rsidRPr="00F413C5" w:rsidRDefault="003E5BF5" w:rsidP="00DE1921">
            <w:pPr>
              <w:rPr>
                <w:rFonts w:ascii="Arial" w:hAnsi="Arial" w:cs="Arial"/>
                <w:sz w:val="24"/>
                <w:szCs w:val="24"/>
              </w:rPr>
            </w:pPr>
            <w:bookmarkStart w:id="498" w:name="RANGE!A3:I32"/>
            <w:bookmarkStart w:id="499" w:name="RANGE!A3:I31"/>
            <w:bookmarkStart w:id="500" w:name="RANGE!A3:I21"/>
            <w:bookmarkStart w:id="501" w:name="RANGE!A3:I18"/>
            <w:bookmarkStart w:id="502" w:name="_Toc521965488"/>
            <w:bookmarkStart w:id="503" w:name="_Toc529196593"/>
            <w:bookmarkStart w:id="504" w:name="_Toc529197634"/>
            <w:bookmarkStart w:id="505" w:name="_Toc529197795"/>
            <w:bookmarkStart w:id="506" w:name="_Toc529197927"/>
            <w:bookmarkStart w:id="507" w:name="_Toc529197967"/>
            <w:bookmarkEnd w:id="498"/>
            <w:bookmarkEnd w:id="499"/>
            <w:bookmarkEnd w:id="500"/>
            <w:bookmarkEnd w:id="501"/>
          </w:p>
        </w:tc>
        <w:tc>
          <w:tcPr>
            <w:tcW w:w="12392" w:type="dxa"/>
            <w:gridSpan w:val="8"/>
            <w:shd w:val="clear" w:color="auto" w:fill="auto"/>
            <w:vAlign w:val="center"/>
            <w:hideMark/>
          </w:tcPr>
          <w:p w14:paraId="3F054DF0"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 thousand)</w:t>
            </w:r>
          </w:p>
        </w:tc>
      </w:tr>
      <w:tr w:rsidR="003E5BF5" w:rsidRPr="00F413C5" w14:paraId="54CAAD35" w14:textId="77777777" w:rsidTr="00994314">
        <w:trPr>
          <w:trHeight w:val="340"/>
        </w:trPr>
        <w:tc>
          <w:tcPr>
            <w:tcW w:w="2514" w:type="dxa"/>
            <w:shd w:val="clear" w:color="auto" w:fill="auto"/>
            <w:noWrap/>
            <w:hideMark/>
          </w:tcPr>
          <w:p w14:paraId="10DE16B9" w14:textId="77777777" w:rsidR="003E5BF5" w:rsidRPr="00F413C5" w:rsidRDefault="003E5BF5" w:rsidP="00DE1921">
            <w:pPr>
              <w:rPr>
                <w:rFonts w:ascii="Arial" w:hAnsi="Arial" w:cs="Arial"/>
                <w:sz w:val="24"/>
                <w:szCs w:val="24"/>
              </w:rPr>
            </w:pPr>
          </w:p>
        </w:tc>
        <w:tc>
          <w:tcPr>
            <w:tcW w:w="6195" w:type="dxa"/>
            <w:gridSpan w:val="4"/>
            <w:shd w:val="clear" w:color="auto" w:fill="auto"/>
            <w:noWrap/>
            <w:vAlign w:val="center"/>
            <w:hideMark/>
          </w:tcPr>
          <w:p w14:paraId="331A5E65"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2020</w:t>
            </w:r>
          </w:p>
        </w:tc>
        <w:tc>
          <w:tcPr>
            <w:tcW w:w="6197" w:type="dxa"/>
            <w:gridSpan w:val="4"/>
            <w:shd w:val="clear" w:color="auto" w:fill="auto"/>
            <w:noWrap/>
            <w:vAlign w:val="center"/>
            <w:hideMark/>
          </w:tcPr>
          <w:p w14:paraId="15A42275"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2019</w:t>
            </w:r>
          </w:p>
        </w:tc>
      </w:tr>
      <w:tr w:rsidR="003E5BF5" w:rsidRPr="00F413C5" w14:paraId="2D63445C" w14:textId="77777777" w:rsidTr="00994314">
        <w:trPr>
          <w:trHeight w:val="340"/>
        </w:trPr>
        <w:tc>
          <w:tcPr>
            <w:tcW w:w="2514" w:type="dxa"/>
            <w:shd w:val="clear" w:color="auto" w:fill="auto"/>
            <w:vAlign w:val="bottom"/>
            <w:hideMark/>
          </w:tcPr>
          <w:p w14:paraId="7E63A7C3" w14:textId="77777777" w:rsidR="003E5BF5" w:rsidRPr="00F413C5" w:rsidRDefault="003E5BF5" w:rsidP="00604703">
            <w:pPr>
              <w:pStyle w:val="TableTextGreen"/>
            </w:pPr>
            <w:r w:rsidRPr="00F413C5">
              <w:t xml:space="preserve">PPP commitments payable </w:t>
            </w:r>
            <w:r w:rsidRPr="00F413C5">
              <w:rPr>
                <w:vertAlign w:val="superscript"/>
              </w:rPr>
              <w:t>(</w:t>
            </w:r>
            <w:proofErr w:type="spellStart"/>
            <w:r w:rsidRPr="00F413C5">
              <w:rPr>
                <w:vertAlign w:val="superscript"/>
              </w:rPr>
              <w:t>i</w:t>
            </w:r>
            <w:proofErr w:type="spellEnd"/>
            <w:r w:rsidRPr="00F413C5">
              <w:rPr>
                <w:vertAlign w:val="superscript"/>
              </w:rPr>
              <w:t>)(ii)</w:t>
            </w:r>
          </w:p>
        </w:tc>
        <w:tc>
          <w:tcPr>
            <w:tcW w:w="1385" w:type="dxa"/>
            <w:shd w:val="clear" w:color="auto" w:fill="auto"/>
            <w:vAlign w:val="bottom"/>
            <w:hideMark/>
          </w:tcPr>
          <w:p w14:paraId="5027D80E"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Liability </w:t>
            </w:r>
            <w:r w:rsidRPr="00F413C5">
              <w:rPr>
                <w:rFonts w:ascii="Arial" w:hAnsi="Arial" w:cs="Arial"/>
                <w:b/>
                <w:sz w:val="24"/>
                <w:szCs w:val="24"/>
                <w:vertAlign w:val="superscript"/>
              </w:rPr>
              <w:t>(iii)</w:t>
            </w:r>
          </w:p>
        </w:tc>
        <w:tc>
          <w:tcPr>
            <w:tcW w:w="1496" w:type="dxa"/>
            <w:shd w:val="clear" w:color="auto" w:fill="auto"/>
            <w:vAlign w:val="bottom"/>
            <w:hideMark/>
          </w:tcPr>
          <w:p w14:paraId="23986070"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Capital Contribution</w:t>
            </w:r>
          </w:p>
        </w:tc>
        <w:tc>
          <w:tcPr>
            <w:tcW w:w="1657" w:type="dxa"/>
            <w:shd w:val="clear" w:color="auto" w:fill="auto"/>
            <w:vAlign w:val="bottom"/>
            <w:hideMark/>
          </w:tcPr>
          <w:p w14:paraId="27B869E0"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Other Commitments </w:t>
            </w:r>
            <w:r w:rsidRPr="00F413C5">
              <w:rPr>
                <w:rFonts w:ascii="Arial" w:hAnsi="Arial" w:cs="Arial"/>
                <w:b/>
                <w:sz w:val="24"/>
                <w:szCs w:val="24"/>
                <w:vertAlign w:val="superscript"/>
              </w:rPr>
              <w:t>(iv)</w:t>
            </w:r>
          </w:p>
        </w:tc>
        <w:tc>
          <w:tcPr>
            <w:tcW w:w="1657" w:type="dxa"/>
            <w:shd w:val="clear" w:color="auto" w:fill="auto"/>
            <w:vAlign w:val="bottom"/>
            <w:hideMark/>
          </w:tcPr>
          <w:p w14:paraId="68C29143" w14:textId="77777777" w:rsidR="003E5BF5" w:rsidRPr="00F413C5" w:rsidRDefault="003E5BF5" w:rsidP="00DE1921">
            <w:pPr>
              <w:jc w:val="right"/>
              <w:rPr>
                <w:rFonts w:ascii="Arial" w:hAnsi="Arial" w:cs="Arial"/>
                <w:sz w:val="24"/>
                <w:szCs w:val="24"/>
              </w:rPr>
            </w:pPr>
            <w:r w:rsidRPr="00F413C5">
              <w:rPr>
                <w:rFonts w:ascii="Arial" w:hAnsi="Arial" w:cs="Arial"/>
                <w:b/>
                <w:sz w:val="24"/>
                <w:szCs w:val="24"/>
              </w:rPr>
              <w:t>Commitments</w:t>
            </w:r>
            <w:r w:rsidRPr="00F413C5">
              <w:rPr>
                <w:rFonts w:ascii="Arial" w:hAnsi="Arial" w:cs="Arial"/>
                <w:sz w:val="24"/>
                <w:szCs w:val="24"/>
              </w:rPr>
              <w:t xml:space="preserve"> </w:t>
            </w:r>
            <w:r w:rsidRPr="00F413C5">
              <w:rPr>
                <w:rFonts w:ascii="Arial" w:hAnsi="Arial" w:cs="Arial"/>
                <w:b/>
                <w:sz w:val="24"/>
                <w:szCs w:val="24"/>
                <w:vertAlign w:val="superscript"/>
              </w:rPr>
              <w:t>(ix)</w:t>
            </w:r>
          </w:p>
        </w:tc>
        <w:tc>
          <w:tcPr>
            <w:tcW w:w="1387" w:type="dxa"/>
            <w:shd w:val="clear" w:color="auto" w:fill="auto"/>
            <w:vAlign w:val="bottom"/>
            <w:hideMark/>
          </w:tcPr>
          <w:p w14:paraId="0B4B9DD8"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Liability </w:t>
            </w:r>
            <w:r w:rsidRPr="00F413C5">
              <w:rPr>
                <w:rFonts w:ascii="Arial" w:hAnsi="Arial" w:cs="Arial"/>
                <w:b/>
                <w:sz w:val="24"/>
                <w:szCs w:val="24"/>
                <w:vertAlign w:val="superscript"/>
              </w:rPr>
              <w:t>(iii)</w:t>
            </w:r>
          </w:p>
        </w:tc>
        <w:tc>
          <w:tcPr>
            <w:tcW w:w="1496" w:type="dxa"/>
            <w:shd w:val="clear" w:color="auto" w:fill="auto"/>
            <w:vAlign w:val="bottom"/>
            <w:hideMark/>
          </w:tcPr>
          <w:p w14:paraId="6EF32D86"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Capital Contribution</w:t>
            </w:r>
          </w:p>
        </w:tc>
        <w:tc>
          <w:tcPr>
            <w:tcW w:w="1657" w:type="dxa"/>
            <w:shd w:val="clear" w:color="auto" w:fill="auto"/>
            <w:vAlign w:val="bottom"/>
            <w:hideMark/>
          </w:tcPr>
          <w:p w14:paraId="02266784"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Other Commitments </w:t>
            </w:r>
            <w:r w:rsidRPr="00F413C5">
              <w:rPr>
                <w:rFonts w:ascii="Arial" w:hAnsi="Arial" w:cs="Arial"/>
                <w:b/>
                <w:sz w:val="24"/>
                <w:szCs w:val="24"/>
                <w:vertAlign w:val="superscript"/>
              </w:rPr>
              <w:t>(iv)</w:t>
            </w:r>
          </w:p>
        </w:tc>
        <w:tc>
          <w:tcPr>
            <w:tcW w:w="1657" w:type="dxa"/>
            <w:shd w:val="clear" w:color="auto" w:fill="auto"/>
            <w:vAlign w:val="bottom"/>
            <w:hideMark/>
          </w:tcPr>
          <w:p w14:paraId="165DF3EB"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Commitments </w:t>
            </w:r>
            <w:r w:rsidRPr="00F413C5">
              <w:rPr>
                <w:rFonts w:ascii="Arial" w:hAnsi="Arial" w:cs="Arial"/>
                <w:b/>
                <w:sz w:val="24"/>
                <w:szCs w:val="24"/>
                <w:vertAlign w:val="superscript"/>
              </w:rPr>
              <w:t>(ix)</w:t>
            </w:r>
          </w:p>
        </w:tc>
      </w:tr>
      <w:tr w:rsidR="003E5BF5" w:rsidRPr="00F413C5" w14:paraId="6C0DCABD" w14:textId="77777777" w:rsidTr="00994314">
        <w:trPr>
          <w:trHeight w:val="340"/>
        </w:trPr>
        <w:tc>
          <w:tcPr>
            <w:tcW w:w="2514" w:type="dxa"/>
            <w:shd w:val="clear" w:color="auto" w:fill="auto"/>
            <w:noWrap/>
            <w:vAlign w:val="center"/>
            <w:hideMark/>
          </w:tcPr>
          <w:p w14:paraId="54423A90" w14:textId="77777777" w:rsidR="003E5BF5" w:rsidRPr="00F413C5" w:rsidRDefault="003E5BF5" w:rsidP="00DE1921">
            <w:pPr>
              <w:rPr>
                <w:rFonts w:ascii="Arial" w:hAnsi="Arial" w:cs="Arial"/>
                <w:b/>
                <w:sz w:val="24"/>
                <w:szCs w:val="24"/>
              </w:rPr>
            </w:pPr>
          </w:p>
        </w:tc>
        <w:tc>
          <w:tcPr>
            <w:tcW w:w="1385" w:type="dxa"/>
            <w:shd w:val="clear" w:color="auto" w:fill="auto"/>
            <w:vAlign w:val="bottom"/>
            <w:hideMark/>
          </w:tcPr>
          <w:p w14:paraId="0BCD888C"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Discounted Value</w:t>
            </w:r>
          </w:p>
        </w:tc>
        <w:tc>
          <w:tcPr>
            <w:tcW w:w="1496" w:type="dxa"/>
            <w:shd w:val="clear" w:color="auto" w:fill="auto"/>
            <w:vAlign w:val="bottom"/>
            <w:hideMark/>
          </w:tcPr>
          <w:p w14:paraId="66FC1B5A"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Nominal Value</w:t>
            </w:r>
          </w:p>
        </w:tc>
        <w:tc>
          <w:tcPr>
            <w:tcW w:w="1657" w:type="dxa"/>
            <w:shd w:val="clear" w:color="auto" w:fill="auto"/>
            <w:vAlign w:val="bottom"/>
            <w:hideMark/>
          </w:tcPr>
          <w:p w14:paraId="70B24A3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Present Value</w:t>
            </w:r>
          </w:p>
        </w:tc>
        <w:tc>
          <w:tcPr>
            <w:tcW w:w="1657" w:type="dxa"/>
            <w:shd w:val="clear" w:color="auto" w:fill="auto"/>
            <w:vAlign w:val="bottom"/>
            <w:hideMark/>
          </w:tcPr>
          <w:p w14:paraId="02D74B13"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Nominal Value</w:t>
            </w:r>
          </w:p>
        </w:tc>
        <w:tc>
          <w:tcPr>
            <w:tcW w:w="1387" w:type="dxa"/>
            <w:shd w:val="clear" w:color="auto" w:fill="auto"/>
            <w:vAlign w:val="bottom"/>
            <w:hideMark/>
          </w:tcPr>
          <w:p w14:paraId="1867D8DE"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Discounted Value</w:t>
            </w:r>
          </w:p>
        </w:tc>
        <w:tc>
          <w:tcPr>
            <w:tcW w:w="1496" w:type="dxa"/>
            <w:shd w:val="clear" w:color="auto" w:fill="auto"/>
            <w:vAlign w:val="bottom"/>
            <w:hideMark/>
          </w:tcPr>
          <w:p w14:paraId="62F782A2"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Nominal Value</w:t>
            </w:r>
          </w:p>
        </w:tc>
        <w:tc>
          <w:tcPr>
            <w:tcW w:w="1657" w:type="dxa"/>
            <w:shd w:val="clear" w:color="auto" w:fill="auto"/>
            <w:vAlign w:val="bottom"/>
            <w:hideMark/>
          </w:tcPr>
          <w:p w14:paraId="4C5B645B"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Present Value</w:t>
            </w:r>
          </w:p>
        </w:tc>
        <w:tc>
          <w:tcPr>
            <w:tcW w:w="1657" w:type="dxa"/>
            <w:shd w:val="clear" w:color="auto" w:fill="auto"/>
            <w:vAlign w:val="bottom"/>
            <w:hideMark/>
          </w:tcPr>
          <w:p w14:paraId="6925D94A"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Nominal Value</w:t>
            </w:r>
          </w:p>
        </w:tc>
      </w:tr>
      <w:tr w:rsidR="003E5BF5" w:rsidRPr="00F413C5" w14:paraId="4DDEDEAA" w14:textId="77777777" w:rsidTr="00994314">
        <w:trPr>
          <w:trHeight w:val="340"/>
        </w:trPr>
        <w:tc>
          <w:tcPr>
            <w:tcW w:w="2514" w:type="dxa"/>
            <w:shd w:val="clear" w:color="auto" w:fill="auto"/>
            <w:noWrap/>
            <w:vAlign w:val="center"/>
            <w:hideMark/>
          </w:tcPr>
          <w:p w14:paraId="6827B336" w14:textId="77777777" w:rsidR="003E5BF5" w:rsidRPr="00F413C5" w:rsidRDefault="003E5BF5" w:rsidP="00604703">
            <w:pPr>
              <w:pStyle w:val="TableTextGreen"/>
            </w:pPr>
            <w:r w:rsidRPr="00F413C5">
              <w:t xml:space="preserve">Commissioned </w:t>
            </w:r>
            <w:r w:rsidRPr="00F413C5">
              <w:rPr>
                <w:vertAlign w:val="superscript"/>
              </w:rPr>
              <w:t>(v)</w:t>
            </w:r>
          </w:p>
        </w:tc>
        <w:tc>
          <w:tcPr>
            <w:tcW w:w="1385" w:type="dxa"/>
            <w:shd w:val="clear" w:color="auto" w:fill="auto"/>
            <w:noWrap/>
            <w:vAlign w:val="center"/>
            <w:hideMark/>
          </w:tcPr>
          <w:p w14:paraId="561316E0" w14:textId="77777777" w:rsidR="003E5BF5" w:rsidRPr="00F413C5" w:rsidRDefault="003E5BF5" w:rsidP="00DE1921">
            <w:pPr>
              <w:jc w:val="right"/>
              <w:rPr>
                <w:rFonts w:ascii="Arial" w:hAnsi="Arial" w:cs="Arial"/>
                <w:b/>
                <w:sz w:val="24"/>
                <w:szCs w:val="24"/>
              </w:rPr>
            </w:pPr>
          </w:p>
        </w:tc>
        <w:tc>
          <w:tcPr>
            <w:tcW w:w="1496" w:type="dxa"/>
            <w:shd w:val="clear" w:color="auto" w:fill="auto"/>
            <w:noWrap/>
            <w:vAlign w:val="center"/>
            <w:hideMark/>
          </w:tcPr>
          <w:p w14:paraId="35617DAC" w14:textId="77777777" w:rsidR="003E5BF5" w:rsidRPr="00F413C5" w:rsidRDefault="003E5BF5" w:rsidP="00DE1921">
            <w:pPr>
              <w:jc w:val="right"/>
              <w:rPr>
                <w:rFonts w:ascii="Arial" w:hAnsi="Arial" w:cs="Arial"/>
                <w:sz w:val="24"/>
                <w:szCs w:val="24"/>
              </w:rPr>
            </w:pPr>
          </w:p>
        </w:tc>
        <w:tc>
          <w:tcPr>
            <w:tcW w:w="1657" w:type="dxa"/>
            <w:shd w:val="clear" w:color="auto" w:fill="auto"/>
            <w:noWrap/>
            <w:vAlign w:val="center"/>
            <w:hideMark/>
          </w:tcPr>
          <w:p w14:paraId="781EF158" w14:textId="77777777" w:rsidR="003E5BF5" w:rsidRPr="00F413C5" w:rsidRDefault="003E5BF5" w:rsidP="00DE1921">
            <w:pPr>
              <w:jc w:val="right"/>
              <w:rPr>
                <w:rFonts w:ascii="Arial" w:hAnsi="Arial" w:cs="Arial"/>
                <w:sz w:val="24"/>
                <w:szCs w:val="24"/>
              </w:rPr>
            </w:pPr>
          </w:p>
        </w:tc>
        <w:tc>
          <w:tcPr>
            <w:tcW w:w="1657" w:type="dxa"/>
            <w:shd w:val="clear" w:color="auto" w:fill="auto"/>
            <w:noWrap/>
            <w:vAlign w:val="center"/>
            <w:hideMark/>
          </w:tcPr>
          <w:p w14:paraId="561DB035" w14:textId="77777777" w:rsidR="003E5BF5" w:rsidRPr="00F413C5" w:rsidRDefault="003E5BF5" w:rsidP="00DE1921">
            <w:pPr>
              <w:jc w:val="right"/>
              <w:rPr>
                <w:rFonts w:ascii="Arial" w:hAnsi="Arial" w:cs="Arial"/>
                <w:sz w:val="24"/>
                <w:szCs w:val="24"/>
              </w:rPr>
            </w:pPr>
          </w:p>
        </w:tc>
        <w:tc>
          <w:tcPr>
            <w:tcW w:w="1387" w:type="dxa"/>
            <w:shd w:val="clear" w:color="auto" w:fill="auto"/>
            <w:noWrap/>
            <w:vAlign w:val="center"/>
            <w:hideMark/>
          </w:tcPr>
          <w:p w14:paraId="4BFDC92E" w14:textId="77777777" w:rsidR="003E5BF5" w:rsidRPr="00F413C5" w:rsidRDefault="003E5BF5" w:rsidP="00DE1921">
            <w:pPr>
              <w:jc w:val="right"/>
              <w:rPr>
                <w:rFonts w:ascii="Arial" w:hAnsi="Arial" w:cs="Arial"/>
                <w:sz w:val="24"/>
                <w:szCs w:val="24"/>
              </w:rPr>
            </w:pPr>
          </w:p>
        </w:tc>
        <w:tc>
          <w:tcPr>
            <w:tcW w:w="1496" w:type="dxa"/>
            <w:shd w:val="clear" w:color="auto" w:fill="auto"/>
            <w:noWrap/>
            <w:vAlign w:val="center"/>
            <w:hideMark/>
          </w:tcPr>
          <w:p w14:paraId="621BC113" w14:textId="77777777" w:rsidR="003E5BF5" w:rsidRPr="00F413C5" w:rsidRDefault="003E5BF5" w:rsidP="00DE1921">
            <w:pPr>
              <w:jc w:val="right"/>
              <w:rPr>
                <w:rFonts w:ascii="Arial" w:hAnsi="Arial" w:cs="Arial"/>
                <w:sz w:val="24"/>
                <w:szCs w:val="24"/>
              </w:rPr>
            </w:pPr>
          </w:p>
        </w:tc>
        <w:tc>
          <w:tcPr>
            <w:tcW w:w="1657" w:type="dxa"/>
            <w:shd w:val="clear" w:color="auto" w:fill="auto"/>
            <w:noWrap/>
            <w:vAlign w:val="center"/>
            <w:hideMark/>
          </w:tcPr>
          <w:p w14:paraId="5DCAEE29" w14:textId="77777777" w:rsidR="003E5BF5" w:rsidRPr="00F413C5" w:rsidRDefault="003E5BF5" w:rsidP="00DE1921">
            <w:pPr>
              <w:jc w:val="right"/>
              <w:rPr>
                <w:rFonts w:ascii="Arial" w:hAnsi="Arial" w:cs="Arial"/>
                <w:sz w:val="24"/>
                <w:szCs w:val="24"/>
              </w:rPr>
            </w:pPr>
          </w:p>
        </w:tc>
        <w:tc>
          <w:tcPr>
            <w:tcW w:w="1657" w:type="dxa"/>
            <w:shd w:val="clear" w:color="auto" w:fill="auto"/>
            <w:noWrap/>
            <w:vAlign w:val="center"/>
            <w:hideMark/>
          </w:tcPr>
          <w:p w14:paraId="4D1F8930" w14:textId="77777777" w:rsidR="003E5BF5" w:rsidRPr="00F413C5" w:rsidRDefault="003E5BF5" w:rsidP="00DE1921">
            <w:pPr>
              <w:jc w:val="right"/>
              <w:rPr>
                <w:rFonts w:ascii="Arial" w:hAnsi="Arial" w:cs="Arial"/>
                <w:sz w:val="24"/>
                <w:szCs w:val="24"/>
              </w:rPr>
            </w:pPr>
          </w:p>
        </w:tc>
      </w:tr>
      <w:tr w:rsidR="003E5BF5" w:rsidRPr="00F413C5" w14:paraId="64894B36" w14:textId="77777777" w:rsidTr="00994314">
        <w:trPr>
          <w:trHeight w:val="340"/>
        </w:trPr>
        <w:tc>
          <w:tcPr>
            <w:tcW w:w="2514" w:type="dxa"/>
            <w:shd w:val="clear" w:color="auto" w:fill="auto"/>
            <w:vAlign w:val="center"/>
            <w:hideMark/>
          </w:tcPr>
          <w:p w14:paraId="7A10ECA2" w14:textId="77777777" w:rsidR="003E5BF5" w:rsidRPr="00F413C5" w:rsidRDefault="003E5BF5" w:rsidP="00DE1921">
            <w:pPr>
              <w:rPr>
                <w:rFonts w:ascii="Arial" w:hAnsi="Arial" w:cs="Arial"/>
                <w:sz w:val="24"/>
                <w:szCs w:val="24"/>
              </w:rPr>
            </w:pPr>
            <w:r w:rsidRPr="00F413C5">
              <w:rPr>
                <w:rFonts w:ascii="Arial" w:hAnsi="Arial" w:cs="Arial"/>
                <w:sz w:val="24"/>
                <w:szCs w:val="24"/>
              </w:rPr>
              <w:t>Peninsula Link</w:t>
            </w:r>
          </w:p>
        </w:tc>
        <w:tc>
          <w:tcPr>
            <w:tcW w:w="1385" w:type="dxa"/>
            <w:shd w:val="clear" w:color="auto" w:fill="auto"/>
            <w:noWrap/>
            <w:vAlign w:val="center"/>
            <w:hideMark/>
          </w:tcPr>
          <w:p w14:paraId="7652EAA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496" w:type="dxa"/>
            <w:shd w:val="clear" w:color="auto" w:fill="auto"/>
            <w:noWrap/>
            <w:vAlign w:val="center"/>
            <w:hideMark/>
          </w:tcPr>
          <w:p w14:paraId="65FFEBFE"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657" w:type="dxa"/>
            <w:shd w:val="clear" w:color="auto" w:fill="auto"/>
            <w:noWrap/>
            <w:vAlign w:val="center"/>
            <w:hideMark/>
          </w:tcPr>
          <w:p w14:paraId="260D507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217,827 </w:t>
            </w:r>
          </w:p>
        </w:tc>
        <w:tc>
          <w:tcPr>
            <w:tcW w:w="1657" w:type="dxa"/>
            <w:shd w:val="clear" w:color="auto" w:fill="auto"/>
            <w:noWrap/>
            <w:vAlign w:val="center"/>
            <w:hideMark/>
          </w:tcPr>
          <w:p w14:paraId="67D4628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409,838 </w:t>
            </w:r>
          </w:p>
        </w:tc>
        <w:tc>
          <w:tcPr>
            <w:tcW w:w="1387" w:type="dxa"/>
            <w:shd w:val="clear" w:color="auto" w:fill="auto"/>
            <w:noWrap/>
            <w:vAlign w:val="center"/>
            <w:hideMark/>
          </w:tcPr>
          <w:p w14:paraId="59D4E6E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496" w:type="dxa"/>
            <w:shd w:val="clear" w:color="auto" w:fill="auto"/>
            <w:noWrap/>
            <w:vAlign w:val="center"/>
            <w:hideMark/>
          </w:tcPr>
          <w:p w14:paraId="57AC050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657" w:type="dxa"/>
            <w:shd w:val="clear" w:color="auto" w:fill="auto"/>
            <w:noWrap/>
            <w:vAlign w:val="center"/>
            <w:hideMark/>
          </w:tcPr>
          <w:p w14:paraId="7D4A1C8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657" w:type="dxa"/>
            <w:shd w:val="clear" w:color="auto" w:fill="auto"/>
            <w:noWrap/>
            <w:vAlign w:val="center"/>
            <w:hideMark/>
          </w:tcPr>
          <w:p w14:paraId="1F358DB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38191FA2" w14:textId="77777777" w:rsidTr="00994314">
        <w:trPr>
          <w:trHeight w:val="340"/>
        </w:trPr>
        <w:tc>
          <w:tcPr>
            <w:tcW w:w="2514" w:type="dxa"/>
            <w:shd w:val="clear" w:color="auto" w:fill="auto"/>
            <w:vAlign w:val="center"/>
            <w:hideMark/>
          </w:tcPr>
          <w:p w14:paraId="02175241" w14:textId="77777777" w:rsidR="003E5BF5" w:rsidRPr="00F413C5" w:rsidRDefault="003E5BF5" w:rsidP="00DE1921">
            <w:pPr>
              <w:rPr>
                <w:rFonts w:ascii="Arial" w:hAnsi="Arial" w:cs="Arial"/>
                <w:sz w:val="24"/>
                <w:szCs w:val="24"/>
              </w:rPr>
            </w:pPr>
            <w:r w:rsidRPr="00F413C5">
              <w:rPr>
                <w:rFonts w:ascii="Arial" w:hAnsi="Arial" w:cs="Arial"/>
                <w:sz w:val="24"/>
                <w:szCs w:val="24"/>
              </w:rPr>
              <w:t>Southern Cross Station</w:t>
            </w:r>
          </w:p>
        </w:tc>
        <w:tc>
          <w:tcPr>
            <w:tcW w:w="1385" w:type="dxa"/>
            <w:shd w:val="clear" w:color="auto" w:fill="auto"/>
            <w:noWrap/>
            <w:vAlign w:val="center"/>
            <w:hideMark/>
          </w:tcPr>
          <w:p w14:paraId="53BB2FD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496" w:type="dxa"/>
            <w:shd w:val="clear" w:color="auto" w:fill="auto"/>
            <w:noWrap/>
            <w:vAlign w:val="center"/>
            <w:hideMark/>
          </w:tcPr>
          <w:p w14:paraId="4F27866E"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657" w:type="dxa"/>
            <w:shd w:val="clear" w:color="auto" w:fill="auto"/>
            <w:noWrap/>
            <w:vAlign w:val="center"/>
            <w:hideMark/>
          </w:tcPr>
          <w:p w14:paraId="3A5CF85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256,963 </w:t>
            </w:r>
          </w:p>
        </w:tc>
        <w:tc>
          <w:tcPr>
            <w:tcW w:w="1657" w:type="dxa"/>
            <w:shd w:val="clear" w:color="auto" w:fill="auto"/>
            <w:noWrap/>
            <w:vAlign w:val="center"/>
            <w:hideMark/>
          </w:tcPr>
          <w:p w14:paraId="1BAFD4E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499,030 </w:t>
            </w:r>
          </w:p>
        </w:tc>
        <w:tc>
          <w:tcPr>
            <w:tcW w:w="1387" w:type="dxa"/>
            <w:shd w:val="clear" w:color="auto" w:fill="auto"/>
            <w:noWrap/>
            <w:vAlign w:val="center"/>
            <w:hideMark/>
          </w:tcPr>
          <w:p w14:paraId="4388988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496" w:type="dxa"/>
            <w:shd w:val="clear" w:color="auto" w:fill="auto"/>
            <w:noWrap/>
            <w:vAlign w:val="center"/>
            <w:hideMark/>
          </w:tcPr>
          <w:p w14:paraId="6A51879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657" w:type="dxa"/>
            <w:shd w:val="clear" w:color="auto" w:fill="auto"/>
            <w:noWrap/>
            <w:vAlign w:val="center"/>
            <w:hideMark/>
          </w:tcPr>
          <w:p w14:paraId="54CB2C9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657" w:type="dxa"/>
            <w:shd w:val="clear" w:color="auto" w:fill="auto"/>
            <w:noWrap/>
            <w:vAlign w:val="center"/>
            <w:hideMark/>
          </w:tcPr>
          <w:p w14:paraId="117B091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r w:rsidR="003E5BF5" w:rsidRPr="00F413C5" w14:paraId="43261664" w14:textId="77777777" w:rsidTr="00994314">
        <w:trPr>
          <w:trHeight w:val="340"/>
        </w:trPr>
        <w:tc>
          <w:tcPr>
            <w:tcW w:w="2514" w:type="dxa"/>
            <w:shd w:val="clear" w:color="auto" w:fill="auto"/>
            <w:noWrap/>
            <w:vAlign w:val="center"/>
            <w:hideMark/>
          </w:tcPr>
          <w:p w14:paraId="36DF66FD" w14:textId="77777777" w:rsidR="003E5BF5" w:rsidRPr="00F413C5" w:rsidRDefault="003E5BF5" w:rsidP="00DE1921">
            <w:pPr>
              <w:rPr>
                <w:rFonts w:ascii="Arial" w:hAnsi="Arial" w:cs="Arial"/>
                <w:b/>
                <w:sz w:val="24"/>
                <w:szCs w:val="24"/>
              </w:rPr>
            </w:pPr>
            <w:r w:rsidRPr="00F413C5">
              <w:rPr>
                <w:rFonts w:ascii="Arial" w:hAnsi="Arial" w:cs="Arial"/>
                <w:b/>
                <w:sz w:val="24"/>
                <w:szCs w:val="24"/>
              </w:rPr>
              <w:t>Sub-total</w:t>
            </w:r>
          </w:p>
        </w:tc>
        <w:tc>
          <w:tcPr>
            <w:tcW w:w="1385" w:type="dxa"/>
            <w:shd w:val="clear" w:color="auto" w:fill="auto"/>
            <w:noWrap/>
            <w:vAlign w:val="center"/>
            <w:hideMark/>
          </w:tcPr>
          <w:p w14:paraId="337EC949"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 - </w:t>
            </w:r>
          </w:p>
        </w:tc>
        <w:tc>
          <w:tcPr>
            <w:tcW w:w="1496" w:type="dxa"/>
            <w:shd w:val="clear" w:color="auto" w:fill="auto"/>
            <w:noWrap/>
            <w:vAlign w:val="center"/>
            <w:hideMark/>
          </w:tcPr>
          <w:p w14:paraId="21FCB30A"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 - </w:t>
            </w:r>
          </w:p>
        </w:tc>
        <w:tc>
          <w:tcPr>
            <w:tcW w:w="1657" w:type="dxa"/>
            <w:shd w:val="clear" w:color="auto" w:fill="auto"/>
            <w:noWrap/>
            <w:vAlign w:val="center"/>
            <w:hideMark/>
          </w:tcPr>
          <w:p w14:paraId="766D3EFA"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474,790 </w:t>
            </w:r>
          </w:p>
        </w:tc>
        <w:tc>
          <w:tcPr>
            <w:tcW w:w="1657" w:type="dxa"/>
            <w:shd w:val="clear" w:color="auto" w:fill="auto"/>
            <w:noWrap/>
            <w:vAlign w:val="center"/>
            <w:hideMark/>
          </w:tcPr>
          <w:p w14:paraId="5815ED70"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908,868 </w:t>
            </w:r>
          </w:p>
        </w:tc>
        <w:tc>
          <w:tcPr>
            <w:tcW w:w="1387" w:type="dxa"/>
            <w:shd w:val="clear" w:color="auto" w:fill="auto"/>
            <w:noWrap/>
            <w:vAlign w:val="center"/>
            <w:hideMark/>
          </w:tcPr>
          <w:p w14:paraId="5C42BBD3"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 - </w:t>
            </w:r>
          </w:p>
        </w:tc>
        <w:tc>
          <w:tcPr>
            <w:tcW w:w="1496" w:type="dxa"/>
            <w:shd w:val="clear" w:color="auto" w:fill="auto"/>
            <w:noWrap/>
            <w:vAlign w:val="center"/>
            <w:hideMark/>
          </w:tcPr>
          <w:p w14:paraId="072C7B34"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 - </w:t>
            </w:r>
          </w:p>
        </w:tc>
        <w:tc>
          <w:tcPr>
            <w:tcW w:w="1657" w:type="dxa"/>
            <w:shd w:val="clear" w:color="auto" w:fill="auto"/>
            <w:noWrap/>
            <w:vAlign w:val="center"/>
            <w:hideMark/>
          </w:tcPr>
          <w:p w14:paraId="507F1C6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 - </w:t>
            </w:r>
          </w:p>
        </w:tc>
        <w:tc>
          <w:tcPr>
            <w:tcW w:w="1657" w:type="dxa"/>
            <w:shd w:val="clear" w:color="auto" w:fill="auto"/>
            <w:noWrap/>
            <w:vAlign w:val="center"/>
            <w:hideMark/>
          </w:tcPr>
          <w:p w14:paraId="37729E0C"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 - </w:t>
            </w:r>
          </w:p>
        </w:tc>
      </w:tr>
      <w:tr w:rsidR="003E5BF5" w:rsidRPr="00F413C5" w14:paraId="0ED475E4" w14:textId="77777777" w:rsidTr="00994314">
        <w:trPr>
          <w:trHeight w:val="340"/>
        </w:trPr>
        <w:tc>
          <w:tcPr>
            <w:tcW w:w="2514" w:type="dxa"/>
            <w:shd w:val="clear" w:color="auto" w:fill="auto"/>
            <w:noWrap/>
            <w:vAlign w:val="center"/>
            <w:hideMark/>
          </w:tcPr>
          <w:p w14:paraId="2735C09D" w14:textId="77777777" w:rsidR="003E5BF5" w:rsidRPr="00F413C5" w:rsidRDefault="003E5BF5" w:rsidP="00604703">
            <w:pPr>
              <w:pStyle w:val="TableTextGreen"/>
            </w:pPr>
            <w:r w:rsidRPr="00F413C5">
              <w:t xml:space="preserve">Uncommissioned </w:t>
            </w:r>
            <w:r w:rsidRPr="00F413C5">
              <w:rPr>
                <w:vertAlign w:val="superscript"/>
              </w:rPr>
              <w:t>(vi)(vii)</w:t>
            </w:r>
          </w:p>
        </w:tc>
        <w:tc>
          <w:tcPr>
            <w:tcW w:w="1385" w:type="dxa"/>
            <w:shd w:val="clear" w:color="auto" w:fill="auto"/>
            <w:noWrap/>
            <w:vAlign w:val="center"/>
            <w:hideMark/>
          </w:tcPr>
          <w:p w14:paraId="542B090C" w14:textId="77777777" w:rsidR="003E5BF5" w:rsidRPr="00F413C5" w:rsidRDefault="003E5BF5" w:rsidP="00DE1921">
            <w:pPr>
              <w:jc w:val="right"/>
              <w:rPr>
                <w:rFonts w:ascii="Arial" w:hAnsi="Arial" w:cs="Arial"/>
                <w:b/>
                <w:sz w:val="24"/>
                <w:szCs w:val="24"/>
              </w:rPr>
            </w:pPr>
          </w:p>
        </w:tc>
        <w:tc>
          <w:tcPr>
            <w:tcW w:w="1496" w:type="dxa"/>
            <w:shd w:val="clear" w:color="auto" w:fill="auto"/>
            <w:noWrap/>
            <w:vAlign w:val="center"/>
            <w:hideMark/>
          </w:tcPr>
          <w:p w14:paraId="1206EC2D" w14:textId="77777777" w:rsidR="003E5BF5" w:rsidRPr="00F413C5" w:rsidRDefault="003E5BF5" w:rsidP="00DE1921">
            <w:pPr>
              <w:jc w:val="right"/>
              <w:rPr>
                <w:rFonts w:ascii="Arial" w:hAnsi="Arial" w:cs="Arial"/>
                <w:sz w:val="24"/>
                <w:szCs w:val="24"/>
              </w:rPr>
            </w:pPr>
          </w:p>
        </w:tc>
        <w:tc>
          <w:tcPr>
            <w:tcW w:w="1657" w:type="dxa"/>
            <w:shd w:val="clear" w:color="auto" w:fill="auto"/>
            <w:noWrap/>
            <w:vAlign w:val="center"/>
            <w:hideMark/>
          </w:tcPr>
          <w:p w14:paraId="2E9F3385" w14:textId="77777777" w:rsidR="003E5BF5" w:rsidRPr="00F413C5" w:rsidRDefault="003E5BF5" w:rsidP="00DE1921">
            <w:pPr>
              <w:jc w:val="right"/>
              <w:rPr>
                <w:rFonts w:ascii="Arial" w:hAnsi="Arial" w:cs="Arial"/>
                <w:sz w:val="24"/>
                <w:szCs w:val="24"/>
              </w:rPr>
            </w:pPr>
          </w:p>
        </w:tc>
        <w:tc>
          <w:tcPr>
            <w:tcW w:w="1657" w:type="dxa"/>
            <w:shd w:val="clear" w:color="auto" w:fill="auto"/>
            <w:noWrap/>
            <w:vAlign w:val="center"/>
            <w:hideMark/>
          </w:tcPr>
          <w:p w14:paraId="2C883F7F" w14:textId="77777777" w:rsidR="003E5BF5" w:rsidRPr="00F413C5" w:rsidRDefault="003E5BF5" w:rsidP="00DE1921">
            <w:pPr>
              <w:jc w:val="right"/>
              <w:rPr>
                <w:rFonts w:ascii="Arial" w:hAnsi="Arial" w:cs="Arial"/>
                <w:sz w:val="24"/>
                <w:szCs w:val="24"/>
              </w:rPr>
            </w:pPr>
          </w:p>
        </w:tc>
        <w:tc>
          <w:tcPr>
            <w:tcW w:w="1387" w:type="dxa"/>
            <w:shd w:val="clear" w:color="auto" w:fill="auto"/>
            <w:noWrap/>
            <w:vAlign w:val="center"/>
            <w:hideMark/>
          </w:tcPr>
          <w:p w14:paraId="01F8BE3C" w14:textId="77777777" w:rsidR="003E5BF5" w:rsidRPr="00F413C5" w:rsidRDefault="003E5BF5" w:rsidP="00DE1921">
            <w:pPr>
              <w:jc w:val="right"/>
              <w:rPr>
                <w:rFonts w:ascii="Arial" w:hAnsi="Arial" w:cs="Arial"/>
                <w:sz w:val="24"/>
                <w:szCs w:val="24"/>
              </w:rPr>
            </w:pPr>
          </w:p>
        </w:tc>
        <w:tc>
          <w:tcPr>
            <w:tcW w:w="1496" w:type="dxa"/>
            <w:shd w:val="clear" w:color="auto" w:fill="auto"/>
            <w:noWrap/>
            <w:vAlign w:val="center"/>
            <w:hideMark/>
          </w:tcPr>
          <w:p w14:paraId="3EA6C822" w14:textId="77777777" w:rsidR="003E5BF5" w:rsidRPr="00F413C5" w:rsidRDefault="003E5BF5" w:rsidP="00DE1921">
            <w:pPr>
              <w:jc w:val="right"/>
              <w:rPr>
                <w:rFonts w:ascii="Arial" w:hAnsi="Arial" w:cs="Arial"/>
                <w:sz w:val="24"/>
                <w:szCs w:val="24"/>
              </w:rPr>
            </w:pPr>
          </w:p>
        </w:tc>
        <w:tc>
          <w:tcPr>
            <w:tcW w:w="1657" w:type="dxa"/>
            <w:shd w:val="clear" w:color="auto" w:fill="auto"/>
            <w:noWrap/>
            <w:vAlign w:val="center"/>
            <w:hideMark/>
          </w:tcPr>
          <w:p w14:paraId="1F588D02" w14:textId="77777777" w:rsidR="003E5BF5" w:rsidRPr="00F413C5" w:rsidRDefault="003E5BF5" w:rsidP="00DE1921">
            <w:pPr>
              <w:jc w:val="right"/>
              <w:rPr>
                <w:rFonts w:ascii="Arial" w:hAnsi="Arial" w:cs="Arial"/>
                <w:sz w:val="24"/>
                <w:szCs w:val="24"/>
              </w:rPr>
            </w:pPr>
          </w:p>
        </w:tc>
        <w:tc>
          <w:tcPr>
            <w:tcW w:w="1657" w:type="dxa"/>
            <w:shd w:val="clear" w:color="auto" w:fill="auto"/>
            <w:noWrap/>
            <w:vAlign w:val="center"/>
            <w:hideMark/>
          </w:tcPr>
          <w:p w14:paraId="2326493D" w14:textId="77777777" w:rsidR="003E5BF5" w:rsidRPr="00F413C5" w:rsidRDefault="003E5BF5" w:rsidP="00DE1921">
            <w:pPr>
              <w:jc w:val="right"/>
              <w:rPr>
                <w:rFonts w:ascii="Arial" w:hAnsi="Arial" w:cs="Arial"/>
                <w:sz w:val="24"/>
                <w:szCs w:val="24"/>
              </w:rPr>
            </w:pPr>
          </w:p>
        </w:tc>
      </w:tr>
      <w:tr w:rsidR="003E5BF5" w:rsidRPr="00F413C5" w14:paraId="260C2DD7" w14:textId="77777777" w:rsidTr="00994314">
        <w:trPr>
          <w:trHeight w:val="340"/>
        </w:trPr>
        <w:tc>
          <w:tcPr>
            <w:tcW w:w="2514" w:type="dxa"/>
            <w:shd w:val="clear" w:color="auto" w:fill="auto"/>
            <w:vAlign w:val="center"/>
            <w:hideMark/>
          </w:tcPr>
          <w:p w14:paraId="07BB5F4F" w14:textId="77777777" w:rsidR="003E5BF5" w:rsidRPr="00F413C5" w:rsidRDefault="003E5BF5" w:rsidP="00DE1921">
            <w:pPr>
              <w:rPr>
                <w:rFonts w:ascii="Arial" w:hAnsi="Arial" w:cs="Arial"/>
                <w:sz w:val="24"/>
                <w:szCs w:val="24"/>
              </w:rPr>
            </w:pPr>
            <w:r w:rsidRPr="00F413C5">
              <w:rPr>
                <w:rFonts w:ascii="Arial" w:hAnsi="Arial" w:cs="Arial"/>
                <w:sz w:val="24"/>
                <w:szCs w:val="24"/>
              </w:rPr>
              <w:t xml:space="preserve">High Capacity Metro Trains Project </w:t>
            </w:r>
            <w:r w:rsidRPr="00F413C5">
              <w:rPr>
                <w:rFonts w:ascii="Arial" w:hAnsi="Arial" w:cs="Arial"/>
                <w:sz w:val="24"/>
                <w:szCs w:val="24"/>
                <w:vertAlign w:val="superscript"/>
              </w:rPr>
              <w:t>(viii)</w:t>
            </w:r>
          </w:p>
        </w:tc>
        <w:tc>
          <w:tcPr>
            <w:tcW w:w="1385" w:type="dxa"/>
            <w:shd w:val="clear" w:color="auto" w:fill="auto"/>
            <w:noWrap/>
            <w:hideMark/>
          </w:tcPr>
          <w:p w14:paraId="3A440502"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724,752</w:t>
            </w:r>
          </w:p>
        </w:tc>
        <w:tc>
          <w:tcPr>
            <w:tcW w:w="1496" w:type="dxa"/>
            <w:shd w:val="clear" w:color="auto" w:fill="auto"/>
            <w:noWrap/>
            <w:hideMark/>
          </w:tcPr>
          <w:p w14:paraId="5E80F71D"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340,898</w:t>
            </w:r>
          </w:p>
        </w:tc>
        <w:tc>
          <w:tcPr>
            <w:tcW w:w="1657" w:type="dxa"/>
            <w:shd w:val="clear" w:color="auto" w:fill="auto"/>
            <w:noWrap/>
            <w:hideMark/>
          </w:tcPr>
          <w:p w14:paraId="14950820"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1,074,269</w:t>
            </w:r>
          </w:p>
        </w:tc>
        <w:tc>
          <w:tcPr>
            <w:tcW w:w="1657" w:type="dxa"/>
            <w:shd w:val="clear" w:color="auto" w:fill="auto"/>
            <w:noWrap/>
            <w:hideMark/>
          </w:tcPr>
          <w:p w14:paraId="34657F61"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6,132,306</w:t>
            </w:r>
          </w:p>
        </w:tc>
        <w:tc>
          <w:tcPr>
            <w:tcW w:w="1387" w:type="dxa"/>
            <w:shd w:val="clear" w:color="auto" w:fill="auto"/>
            <w:noWrap/>
            <w:hideMark/>
          </w:tcPr>
          <w:p w14:paraId="34D47837"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915,621</w:t>
            </w:r>
          </w:p>
        </w:tc>
        <w:tc>
          <w:tcPr>
            <w:tcW w:w="1496" w:type="dxa"/>
            <w:shd w:val="clear" w:color="auto" w:fill="auto"/>
            <w:noWrap/>
            <w:hideMark/>
          </w:tcPr>
          <w:p w14:paraId="5614B6DD"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340,898</w:t>
            </w:r>
          </w:p>
        </w:tc>
        <w:tc>
          <w:tcPr>
            <w:tcW w:w="1657" w:type="dxa"/>
            <w:shd w:val="clear" w:color="auto" w:fill="auto"/>
            <w:noWrap/>
            <w:hideMark/>
          </w:tcPr>
          <w:p w14:paraId="73B810CD"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1,024,577</w:t>
            </w:r>
          </w:p>
        </w:tc>
        <w:tc>
          <w:tcPr>
            <w:tcW w:w="1657" w:type="dxa"/>
            <w:shd w:val="clear" w:color="auto" w:fill="auto"/>
            <w:noWrap/>
            <w:hideMark/>
          </w:tcPr>
          <w:p w14:paraId="7769847A"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6,132,306</w:t>
            </w:r>
          </w:p>
        </w:tc>
      </w:tr>
      <w:tr w:rsidR="003E5BF5" w:rsidRPr="00F413C5" w14:paraId="75DAAE4E" w14:textId="77777777" w:rsidTr="00994314">
        <w:trPr>
          <w:trHeight w:val="340"/>
        </w:trPr>
        <w:tc>
          <w:tcPr>
            <w:tcW w:w="2514" w:type="dxa"/>
            <w:shd w:val="clear" w:color="auto" w:fill="auto"/>
            <w:vAlign w:val="center"/>
            <w:hideMark/>
          </w:tcPr>
          <w:p w14:paraId="3C474BC6" w14:textId="77777777" w:rsidR="003E5BF5" w:rsidRPr="00F413C5" w:rsidRDefault="003E5BF5" w:rsidP="00DE1921">
            <w:pPr>
              <w:rPr>
                <w:rFonts w:ascii="Arial" w:hAnsi="Arial" w:cs="Arial"/>
                <w:sz w:val="24"/>
                <w:szCs w:val="24"/>
              </w:rPr>
            </w:pPr>
            <w:r w:rsidRPr="00F413C5">
              <w:rPr>
                <w:rFonts w:ascii="Arial" w:hAnsi="Arial" w:cs="Arial"/>
                <w:sz w:val="24"/>
                <w:szCs w:val="24"/>
              </w:rPr>
              <w:t>West Gate Tunnel Project</w:t>
            </w:r>
          </w:p>
        </w:tc>
        <w:tc>
          <w:tcPr>
            <w:tcW w:w="1385" w:type="dxa"/>
            <w:shd w:val="clear" w:color="auto" w:fill="auto"/>
            <w:noWrap/>
            <w:vAlign w:val="center"/>
            <w:hideMark/>
          </w:tcPr>
          <w:p w14:paraId="1632CD6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496" w:type="dxa"/>
            <w:shd w:val="clear" w:color="auto" w:fill="auto"/>
            <w:noWrap/>
            <w:vAlign w:val="center"/>
            <w:hideMark/>
          </w:tcPr>
          <w:p w14:paraId="35FE1C5E"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1,294,902 </w:t>
            </w:r>
          </w:p>
        </w:tc>
        <w:tc>
          <w:tcPr>
            <w:tcW w:w="1657" w:type="dxa"/>
            <w:shd w:val="clear" w:color="auto" w:fill="auto"/>
            <w:noWrap/>
            <w:vAlign w:val="center"/>
            <w:hideMark/>
          </w:tcPr>
          <w:p w14:paraId="70930DF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657" w:type="dxa"/>
            <w:shd w:val="clear" w:color="auto" w:fill="auto"/>
            <w:noWrap/>
            <w:vAlign w:val="center"/>
            <w:hideMark/>
          </w:tcPr>
          <w:p w14:paraId="548C02C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1,294,902 </w:t>
            </w:r>
          </w:p>
        </w:tc>
        <w:tc>
          <w:tcPr>
            <w:tcW w:w="1387" w:type="dxa"/>
            <w:shd w:val="clear" w:color="auto" w:fill="auto"/>
            <w:noWrap/>
            <w:vAlign w:val="center"/>
            <w:hideMark/>
          </w:tcPr>
          <w:p w14:paraId="1A52F60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496" w:type="dxa"/>
            <w:shd w:val="clear" w:color="auto" w:fill="auto"/>
            <w:noWrap/>
            <w:vAlign w:val="center"/>
            <w:hideMark/>
          </w:tcPr>
          <w:p w14:paraId="7BB5B97E"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1,710,485 </w:t>
            </w:r>
          </w:p>
        </w:tc>
        <w:tc>
          <w:tcPr>
            <w:tcW w:w="1657" w:type="dxa"/>
            <w:shd w:val="clear" w:color="auto" w:fill="auto"/>
            <w:noWrap/>
            <w:vAlign w:val="center"/>
            <w:hideMark/>
          </w:tcPr>
          <w:p w14:paraId="059A0B2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657" w:type="dxa"/>
            <w:shd w:val="clear" w:color="auto" w:fill="auto"/>
            <w:noWrap/>
            <w:vAlign w:val="center"/>
            <w:hideMark/>
          </w:tcPr>
          <w:p w14:paraId="01AA1B0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1,710,485 </w:t>
            </w:r>
          </w:p>
        </w:tc>
      </w:tr>
      <w:tr w:rsidR="003E5BF5" w:rsidRPr="00F413C5" w14:paraId="20222422" w14:textId="77777777" w:rsidTr="00994314">
        <w:trPr>
          <w:trHeight w:val="340"/>
        </w:trPr>
        <w:tc>
          <w:tcPr>
            <w:tcW w:w="2514" w:type="dxa"/>
            <w:shd w:val="clear" w:color="auto" w:fill="auto"/>
            <w:vAlign w:val="center"/>
            <w:hideMark/>
          </w:tcPr>
          <w:p w14:paraId="615DE856" w14:textId="77777777" w:rsidR="003E5BF5" w:rsidRPr="00F413C5" w:rsidRDefault="003E5BF5" w:rsidP="00DE1921">
            <w:pPr>
              <w:rPr>
                <w:rFonts w:ascii="Arial" w:hAnsi="Arial" w:cs="Arial"/>
                <w:sz w:val="24"/>
                <w:szCs w:val="24"/>
              </w:rPr>
            </w:pPr>
            <w:r w:rsidRPr="00F413C5">
              <w:rPr>
                <w:rFonts w:ascii="Arial" w:hAnsi="Arial" w:cs="Arial"/>
                <w:sz w:val="24"/>
                <w:szCs w:val="24"/>
              </w:rPr>
              <w:t>Metro Tunnel Project – Tunnel and Stations</w:t>
            </w:r>
            <w:r w:rsidRPr="00F413C5">
              <w:rPr>
                <w:rFonts w:ascii="Arial" w:hAnsi="Arial" w:cs="Arial"/>
                <w:sz w:val="24"/>
                <w:szCs w:val="24"/>
                <w:vertAlign w:val="superscript"/>
              </w:rPr>
              <w:t xml:space="preserve"> </w:t>
            </w:r>
            <w:r w:rsidRPr="00F413C5" w:rsidDel="0007623D">
              <w:rPr>
                <w:rFonts w:ascii="Arial" w:hAnsi="Arial" w:cs="Arial"/>
                <w:sz w:val="24"/>
                <w:szCs w:val="24"/>
                <w:vertAlign w:val="superscript"/>
              </w:rPr>
              <w:t>(viii)</w:t>
            </w:r>
          </w:p>
        </w:tc>
        <w:tc>
          <w:tcPr>
            <w:tcW w:w="1385" w:type="dxa"/>
            <w:shd w:val="clear" w:color="auto" w:fill="auto"/>
            <w:noWrap/>
            <w:hideMark/>
          </w:tcPr>
          <w:p w14:paraId="6AA71650"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3,230,687</w:t>
            </w:r>
          </w:p>
        </w:tc>
        <w:tc>
          <w:tcPr>
            <w:tcW w:w="1496" w:type="dxa"/>
            <w:shd w:val="clear" w:color="auto" w:fill="auto"/>
            <w:noWrap/>
            <w:hideMark/>
          </w:tcPr>
          <w:p w14:paraId="270FEA8F"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4,032,052</w:t>
            </w:r>
          </w:p>
        </w:tc>
        <w:tc>
          <w:tcPr>
            <w:tcW w:w="1657" w:type="dxa"/>
            <w:shd w:val="clear" w:color="auto" w:fill="auto"/>
            <w:noWrap/>
            <w:hideMark/>
          </w:tcPr>
          <w:p w14:paraId="28A62E37"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604,489</w:t>
            </w:r>
          </w:p>
        </w:tc>
        <w:tc>
          <w:tcPr>
            <w:tcW w:w="1657" w:type="dxa"/>
            <w:shd w:val="clear" w:color="auto" w:fill="auto"/>
            <w:noWrap/>
            <w:hideMark/>
          </w:tcPr>
          <w:p w14:paraId="0A47CBA6"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10,088,642</w:t>
            </w:r>
          </w:p>
        </w:tc>
        <w:tc>
          <w:tcPr>
            <w:tcW w:w="1387" w:type="dxa"/>
            <w:shd w:val="clear" w:color="auto" w:fill="auto"/>
            <w:noWrap/>
            <w:hideMark/>
          </w:tcPr>
          <w:p w14:paraId="7F5C66B5"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4,121,484</w:t>
            </w:r>
          </w:p>
        </w:tc>
        <w:tc>
          <w:tcPr>
            <w:tcW w:w="1496" w:type="dxa"/>
            <w:shd w:val="clear" w:color="auto" w:fill="auto"/>
            <w:noWrap/>
            <w:hideMark/>
          </w:tcPr>
          <w:p w14:paraId="16DD31EE"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 xml:space="preserve">4,407,834 </w:t>
            </w:r>
          </w:p>
        </w:tc>
        <w:tc>
          <w:tcPr>
            <w:tcW w:w="1657" w:type="dxa"/>
            <w:shd w:val="clear" w:color="auto" w:fill="auto"/>
            <w:noWrap/>
            <w:hideMark/>
          </w:tcPr>
          <w:p w14:paraId="3ED13AD2"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572,804</w:t>
            </w:r>
          </w:p>
        </w:tc>
        <w:tc>
          <w:tcPr>
            <w:tcW w:w="1657" w:type="dxa"/>
            <w:shd w:val="clear" w:color="auto" w:fill="auto"/>
            <w:noWrap/>
            <w:hideMark/>
          </w:tcPr>
          <w:p w14:paraId="7BCA6F70"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 xml:space="preserve">10,464,645 </w:t>
            </w:r>
          </w:p>
        </w:tc>
      </w:tr>
      <w:tr w:rsidR="003E5BF5" w:rsidRPr="00F413C5" w14:paraId="72663293" w14:textId="77777777" w:rsidTr="00994314">
        <w:trPr>
          <w:trHeight w:val="340"/>
        </w:trPr>
        <w:tc>
          <w:tcPr>
            <w:tcW w:w="2514" w:type="dxa"/>
            <w:shd w:val="clear" w:color="auto" w:fill="auto"/>
            <w:vAlign w:val="center"/>
            <w:hideMark/>
          </w:tcPr>
          <w:p w14:paraId="58D0FD59" w14:textId="77777777" w:rsidR="003E5BF5" w:rsidRPr="00F413C5" w:rsidRDefault="003E5BF5" w:rsidP="00DE1921">
            <w:pPr>
              <w:rPr>
                <w:rFonts w:ascii="Arial" w:hAnsi="Arial" w:cs="Arial"/>
                <w:sz w:val="24"/>
                <w:szCs w:val="24"/>
              </w:rPr>
            </w:pPr>
            <w:r w:rsidRPr="00F413C5">
              <w:rPr>
                <w:rFonts w:ascii="Arial" w:hAnsi="Arial" w:cs="Arial"/>
                <w:sz w:val="24"/>
                <w:szCs w:val="24"/>
              </w:rPr>
              <w:t xml:space="preserve">Western Roads Upgrade </w:t>
            </w:r>
            <w:r w:rsidRPr="00F413C5">
              <w:rPr>
                <w:rFonts w:ascii="Arial" w:hAnsi="Arial" w:cs="Arial"/>
                <w:sz w:val="24"/>
                <w:szCs w:val="24"/>
                <w:vertAlign w:val="superscript"/>
              </w:rPr>
              <w:t>(viii)</w:t>
            </w:r>
          </w:p>
        </w:tc>
        <w:tc>
          <w:tcPr>
            <w:tcW w:w="1385" w:type="dxa"/>
            <w:shd w:val="clear" w:color="auto" w:fill="auto"/>
            <w:noWrap/>
            <w:vAlign w:val="center"/>
            <w:hideMark/>
          </w:tcPr>
          <w:p w14:paraId="649426BB"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 xml:space="preserve">178,382 </w:t>
            </w:r>
          </w:p>
        </w:tc>
        <w:tc>
          <w:tcPr>
            <w:tcW w:w="1496" w:type="dxa"/>
            <w:shd w:val="clear" w:color="auto" w:fill="auto"/>
            <w:noWrap/>
            <w:vAlign w:val="center"/>
            <w:hideMark/>
          </w:tcPr>
          <w:p w14:paraId="229EC740"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 xml:space="preserve"> - </w:t>
            </w:r>
          </w:p>
        </w:tc>
        <w:tc>
          <w:tcPr>
            <w:tcW w:w="1657" w:type="dxa"/>
            <w:shd w:val="clear" w:color="auto" w:fill="auto"/>
            <w:noWrap/>
            <w:vAlign w:val="center"/>
            <w:hideMark/>
          </w:tcPr>
          <w:p w14:paraId="404EAAA2"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 xml:space="preserve">704,749 </w:t>
            </w:r>
          </w:p>
        </w:tc>
        <w:tc>
          <w:tcPr>
            <w:tcW w:w="1657" w:type="dxa"/>
            <w:shd w:val="clear" w:color="auto" w:fill="auto"/>
            <w:noWrap/>
            <w:vAlign w:val="center"/>
            <w:hideMark/>
          </w:tcPr>
          <w:p w14:paraId="24F4CE2A"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 xml:space="preserve">2,280,637 </w:t>
            </w:r>
          </w:p>
        </w:tc>
        <w:tc>
          <w:tcPr>
            <w:tcW w:w="1387" w:type="dxa"/>
            <w:shd w:val="clear" w:color="auto" w:fill="auto"/>
            <w:noWrap/>
            <w:vAlign w:val="center"/>
            <w:hideMark/>
          </w:tcPr>
          <w:p w14:paraId="5E95D568"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547,558</w:t>
            </w:r>
          </w:p>
        </w:tc>
        <w:tc>
          <w:tcPr>
            <w:tcW w:w="1496" w:type="dxa"/>
            <w:shd w:val="clear" w:color="auto" w:fill="auto"/>
            <w:noWrap/>
            <w:vAlign w:val="center"/>
            <w:hideMark/>
          </w:tcPr>
          <w:p w14:paraId="3528E0CE"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 xml:space="preserve"> - </w:t>
            </w:r>
          </w:p>
        </w:tc>
        <w:tc>
          <w:tcPr>
            <w:tcW w:w="1657" w:type="dxa"/>
            <w:shd w:val="clear" w:color="auto" w:fill="auto"/>
            <w:noWrap/>
            <w:vAlign w:val="center"/>
            <w:hideMark/>
          </w:tcPr>
          <w:p w14:paraId="7C45197F"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 xml:space="preserve">721,300 </w:t>
            </w:r>
          </w:p>
        </w:tc>
        <w:tc>
          <w:tcPr>
            <w:tcW w:w="1657" w:type="dxa"/>
            <w:shd w:val="clear" w:color="auto" w:fill="auto"/>
            <w:noWrap/>
            <w:vAlign w:val="center"/>
            <w:hideMark/>
          </w:tcPr>
          <w:p w14:paraId="01F0151A" w14:textId="77777777" w:rsidR="003E5BF5" w:rsidRPr="00F413C5" w:rsidRDefault="003E5BF5" w:rsidP="00DE1921">
            <w:pPr>
              <w:jc w:val="right"/>
              <w:rPr>
                <w:rFonts w:ascii="Arial" w:hAnsi="Arial" w:cs="Arial"/>
                <w:sz w:val="24"/>
                <w:szCs w:val="24"/>
                <w:highlight w:val="yellow"/>
              </w:rPr>
            </w:pPr>
            <w:r w:rsidRPr="00F413C5">
              <w:rPr>
                <w:rFonts w:ascii="Arial" w:hAnsi="Arial" w:cs="Arial"/>
                <w:sz w:val="24"/>
                <w:szCs w:val="24"/>
              </w:rPr>
              <w:t xml:space="preserve">2,311,560 </w:t>
            </w:r>
          </w:p>
        </w:tc>
      </w:tr>
      <w:tr w:rsidR="003E5BF5" w:rsidRPr="00F413C5" w14:paraId="002EBAAC" w14:textId="77777777" w:rsidTr="00994314">
        <w:trPr>
          <w:trHeight w:val="340"/>
        </w:trPr>
        <w:tc>
          <w:tcPr>
            <w:tcW w:w="2514" w:type="dxa"/>
            <w:tcBorders>
              <w:bottom w:val="single" w:sz="4" w:space="0" w:color="auto"/>
            </w:tcBorders>
            <w:shd w:val="clear" w:color="auto" w:fill="auto"/>
            <w:noWrap/>
            <w:vAlign w:val="center"/>
            <w:hideMark/>
          </w:tcPr>
          <w:p w14:paraId="55AF3115" w14:textId="77777777" w:rsidR="003E5BF5" w:rsidRPr="00F413C5" w:rsidRDefault="003E5BF5" w:rsidP="00DE1921">
            <w:pPr>
              <w:rPr>
                <w:rFonts w:ascii="Arial" w:hAnsi="Arial" w:cs="Arial"/>
                <w:b/>
                <w:sz w:val="24"/>
                <w:szCs w:val="24"/>
              </w:rPr>
            </w:pPr>
            <w:r w:rsidRPr="00F413C5">
              <w:rPr>
                <w:rFonts w:ascii="Arial" w:hAnsi="Arial" w:cs="Arial"/>
                <w:b/>
                <w:sz w:val="24"/>
                <w:szCs w:val="24"/>
              </w:rPr>
              <w:t>Sub-total</w:t>
            </w:r>
          </w:p>
        </w:tc>
        <w:tc>
          <w:tcPr>
            <w:tcW w:w="1385" w:type="dxa"/>
            <w:tcBorders>
              <w:bottom w:val="single" w:sz="4" w:space="0" w:color="auto"/>
            </w:tcBorders>
            <w:shd w:val="clear" w:color="auto" w:fill="auto"/>
            <w:noWrap/>
            <w:vAlign w:val="center"/>
            <w:hideMark/>
          </w:tcPr>
          <w:p w14:paraId="3CFAD0F7"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4,133,821</w:t>
            </w:r>
          </w:p>
        </w:tc>
        <w:tc>
          <w:tcPr>
            <w:tcW w:w="1496" w:type="dxa"/>
            <w:tcBorders>
              <w:bottom w:val="single" w:sz="4" w:space="0" w:color="auto"/>
            </w:tcBorders>
            <w:shd w:val="clear" w:color="auto" w:fill="auto"/>
            <w:noWrap/>
            <w:vAlign w:val="center"/>
            <w:hideMark/>
          </w:tcPr>
          <w:p w14:paraId="7D2F6181"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5,667,852</w:t>
            </w:r>
          </w:p>
        </w:tc>
        <w:tc>
          <w:tcPr>
            <w:tcW w:w="1657" w:type="dxa"/>
            <w:tcBorders>
              <w:bottom w:val="single" w:sz="4" w:space="0" w:color="auto"/>
            </w:tcBorders>
            <w:shd w:val="clear" w:color="auto" w:fill="auto"/>
            <w:noWrap/>
            <w:vAlign w:val="center"/>
            <w:hideMark/>
          </w:tcPr>
          <w:p w14:paraId="1DBC8089"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2,383,507</w:t>
            </w:r>
          </w:p>
        </w:tc>
        <w:tc>
          <w:tcPr>
            <w:tcW w:w="1657" w:type="dxa"/>
            <w:tcBorders>
              <w:bottom w:val="single" w:sz="4" w:space="0" w:color="auto"/>
            </w:tcBorders>
            <w:shd w:val="clear" w:color="auto" w:fill="auto"/>
            <w:noWrap/>
            <w:vAlign w:val="center"/>
            <w:hideMark/>
          </w:tcPr>
          <w:p w14:paraId="639BC62F"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19,796,487</w:t>
            </w:r>
          </w:p>
        </w:tc>
        <w:tc>
          <w:tcPr>
            <w:tcW w:w="1387" w:type="dxa"/>
            <w:tcBorders>
              <w:bottom w:val="single" w:sz="4" w:space="0" w:color="auto"/>
            </w:tcBorders>
            <w:shd w:val="clear" w:color="auto" w:fill="auto"/>
            <w:noWrap/>
            <w:vAlign w:val="center"/>
            <w:hideMark/>
          </w:tcPr>
          <w:p w14:paraId="6A0EDEAD"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5,584,663</w:t>
            </w:r>
          </w:p>
        </w:tc>
        <w:tc>
          <w:tcPr>
            <w:tcW w:w="1496" w:type="dxa"/>
            <w:tcBorders>
              <w:bottom w:val="single" w:sz="4" w:space="0" w:color="auto"/>
            </w:tcBorders>
            <w:shd w:val="clear" w:color="auto" w:fill="auto"/>
            <w:noWrap/>
            <w:vAlign w:val="center"/>
            <w:hideMark/>
          </w:tcPr>
          <w:p w14:paraId="57817860"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6,459,217</w:t>
            </w:r>
          </w:p>
        </w:tc>
        <w:tc>
          <w:tcPr>
            <w:tcW w:w="1657" w:type="dxa"/>
            <w:tcBorders>
              <w:bottom w:val="single" w:sz="4" w:space="0" w:color="auto"/>
            </w:tcBorders>
            <w:shd w:val="clear" w:color="auto" w:fill="auto"/>
            <w:noWrap/>
            <w:vAlign w:val="center"/>
            <w:hideMark/>
          </w:tcPr>
          <w:p w14:paraId="1CF3D970"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2,318,681</w:t>
            </w:r>
          </w:p>
        </w:tc>
        <w:tc>
          <w:tcPr>
            <w:tcW w:w="1657" w:type="dxa"/>
            <w:tcBorders>
              <w:bottom w:val="single" w:sz="4" w:space="0" w:color="auto"/>
            </w:tcBorders>
            <w:shd w:val="clear" w:color="auto" w:fill="auto"/>
            <w:noWrap/>
            <w:vAlign w:val="center"/>
            <w:hideMark/>
          </w:tcPr>
          <w:p w14:paraId="51E95A01"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20,618,996</w:t>
            </w:r>
          </w:p>
        </w:tc>
      </w:tr>
      <w:tr w:rsidR="003E5BF5" w:rsidRPr="00F413C5" w14:paraId="458422FC" w14:textId="77777777" w:rsidTr="00994314">
        <w:trPr>
          <w:trHeight w:val="340"/>
        </w:trPr>
        <w:tc>
          <w:tcPr>
            <w:tcW w:w="2514" w:type="dxa"/>
            <w:tcBorders>
              <w:bottom w:val="single" w:sz="4" w:space="0" w:color="auto"/>
            </w:tcBorders>
            <w:shd w:val="clear" w:color="auto" w:fill="auto"/>
            <w:vAlign w:val="center"/>
            <w:hideMark/>
          </w:tcPr>
          <w:p w14:paraId="1BBC17F4" w14:textId="77777777" w:rsidR="003E5BF5" w:rsidRPr="00F413C5" w:rsidRDefault="003E5BF5" w:rsidP="00DE1921">
            <w:pPr>
              <w:rPr>
                <w:rFonts w:ascii="Arial" w:hAnsi="Arial" w:cs="Arial"/>
                <w:b/>
                <w:sz w:val="24"/>
                <w:szCs w:val="24"/>
              </w:rPr>
            </w:pPr>
            <w:r w:rsidRPr="00F413C5">
              <w:rPr>
                <w:rFonts w:ascii="Arial" w:hAnsi="Arial" w:cs="Arial"/>
                <w:b/>
                <w:sz w:val="24"/>
                <w:szCs w:val="24"/>
              </w:rPr>
              <w:t>Total PPP commitments</w:t>
            </w:r>
          </w:p>
        </w:tc>
        <w:tc>
          <w:tcPr>
            <w:tcW w:w="1385" w:type="dxa"/>
            <w:tcBorders>
              <w:bottom w:val="single" w:sz="4" w:space="0" w:color="auto"/>
            </w:tcBorders>
            <w:shd w:val="clear" w:color="auto" w:fill="auto"/>
            <w:noWrap/>
            <w:vAlign w:val="center"/>
            <w:hideMark/>
          </w:tcPr>
          <w:p w14:paraId="19EF995A"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4,133,821</w:t>
            </w:r>
          </w:p>
        </w:tc>
        <w:tc>
          <w:tcPr>
            <w:tcW w:w="1496" w:type="dxa"/>
            <w:tcBorders>
              <w:bottom w:val="single" w:sz="4" w:space="0" w:color="auto"/>
            </w:tcBorders>
            <w:shd w:val="clear" w:color="auto" w:fill="auto"/>
            <w:noWrap/>
            <w:vAlign w:val="center"/>
            <w:hideMark/>
          </w:tcPr>
          <w:p w14:paraId="17DACBEB"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5,667,852</w:t>
            </w:r>
          </w:p>
        </w:tc>
        <w:tc>
          <w:tcPr>
            <w:tcW w:w="1657" w:type="dxa"/>
            <w:tcBorders>
              <w:bottom w:val="single" w:sz="4" w:space="0" w:color="auto"/>
            </w:tcBorders>
            <w:shd w:val="clear" w:color="auto" w:fill="auto"/>
            <w:noWrap/>
            <w:vAlign w:val="center"/>
            <w:hideMark/>
          </w:tcPr>
          <w:p w14:paraId="3FCDAF04" w14:textId="77777777" w:rsidR="003E5BF5" w:rsidRPr="00F413C5" w:rsidRDefault="003E5BF5" w:rsidP="00DE1921">
            <w:pPr>
              <w:jc w:val="right"/>
              <w:rPr>
                <w:rFonts w:ascii="Arial" w:hAnsi="Arial" w:cs="Arial"/>
                <w:b/>
                <w:sz w:val="24"/>
                <w:szCs w:val="24"/>
              </w:rPr>
            </w:pPr>
            <w:r w:rsidRPr="00F413C5" w:rsidDel="00130ADB">
              <w:rPr>
                <w:rFonts w:ascii="Arial" w:hAnsi="Arial" w:cs="Arial"/>
                <w:b/>
                <w:sz w:val="24"/>
                <w:szCs w:val="24"/>
              </w:rPr>
              <w:t>2,</w:t>
            </w:r>
            <w:r w:rsidRPr="00F413C5">
              <w:rPr>
                <w:rFonts w:ascii="Arial" w:hAnsi="Arial" w:cs="Arial"/>
                <w:b/>
                <w:sz w:val="24"/>
                <w:szCs w:val="24"/>
              </w:rPr>
              <w:t>858,297</w:t>
            </w:r>
          </w:p>
        </w:tc>
        <w:tc>
          <w:tcPr>
            <w:tcW w:w="1657" w:type="dxa"/>
            <w:tcBorders>
              <w:bottom w:val="single" w:sz="4" w:space="0" w:color="auto"/>
            </w:tcBorders>
            <w:shd w:val="clear" w:color="auto" w:fill="auto"/>
            <w:noWrap/>
            <w:vAlign w:val="center"/>
            <w:hideMark/>
          </w:tcPr>
          <w:p w14:paraId="50C01294"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20,705,355</w:t>
            </w:r>
          </w:p>
        </w:tc>
        <w:tc>
          <w:tcPr>
            <w:tcW w:w="1387" w:type="dxa"/>
            <w:tcBorders>
              <w:bottom w:val="single" w:sz="4" w:space="0" w:color="auto"/>
            </w:tcBorders>
            <w:shd w:val="clear" w:color="auto" w:fill="auto"/>
            <w:noWrap/>
            <w:vAlign w:val="center"/>
            <w:hideMark/>
          </w:tcPr>
          <w:p w14:paraId="7395A7B5"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5,584,663</w:t>
            </w:r>
          </w:p>
        </w:tc>
        <w:tc>
          <w:tcPr>
            <w:tcW w:w="1496" w:type="dxa"/>
            <w:tcBorders>
              <w:bottom w:val="single" w:sz="4" w:space="0" w:color="auto"/>
            </w:tcBorders>
            <w:shd w:val="clear" w:color="auto" w:fill="auto"/>
            <w:noWrap/>
            <w:vAlign w:val="center"/>
            <w:hideMark/>
          </w:tcPr>
          <w:p w14:paraId="4F4FB2D4"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6,459,217</w:t>
            </w:r>
          </w:p>
        </w:tc>
        <w:tc>
          <w:tcPr>
            <w:tcW w:w="1657" w:type="dxa"/>
            <w:tcBorders>
              <w:bottom w:val="single" w:sz="4" w:space="0" w:color="auto"/>
            </w:tcBorders>
            <w:shd w:val="clear" w:color="auto" w:fill="auto"/>
            <w:noWrap/>
            <w:vAlign w:val="center"/>
            <w:hideMark/>
          </w:tcPr>
          <w:p w14:paraId="3F8C5465"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2,318,681</w:t>
            </w:r>
          </w:p>
        </w:tc>
        <w:tc>
          <w:tcPr>
            <w:tcW w:w="1657" w:type="dxa"/>
            <w:tcBorders>
              <w:bottom w:val="single" w:sz="4" w:space="0" w:color="auto"/>
            </w:tcBorders>
            <w:shd w:val="clear" w:color="auto" w:fill="auto"/>
            <w:noWrap/>
            <w:vAlign w:val="center"/>
            <w:hideMark/>
          </w:tcPr>
          <w:p w14:paraId="058E7751"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20,618,996</w:t>
            </w:r>
          </w:p>
        </w:tc>
      </w:tr>
    </w:tbl>
    <w:p w14:paraId="78B07D32" w14:textId="77777777" w:rsidR="00994314" w:rsidRPr="00F413C5" w:rsidRDefault="00994314" w:rsidP="00994314">
      <w:pPr>
        <w:pStyle w:val="Note"/>
        <w:rPr>
          <w:rFonts w:ascii="Arial" w:hAnsi="Arial" w:cs="Arial"/>
          <w:sz w:val="24"/>
          <w:szCs w:val="24"/>
        </w:rPr>
      </w:pPr>
      <w:r w:rsidRPr="00F413C5">
        <w:rPr>
          <w:rFonts w:ascii="Arial" w:hAnsi="Arial" w:cs="Arial"/>
          <w:sz w:val="24"/>
          <w:szCs w:val="24"/>
        </w:rPr>
        <w:br w:type="page"/>
      </w:r>
      <w:r w:rsidRPr="00F413C5">
        <w:rPr>
          <w:rFonts w:ascii="Arial" w:hAnsi="Arial" w:cs="Arial"/>
          <w:sz w:val="24"/>
          <w:szCs w:val="24"/>
        </w:rPr>
        <w:lastRenderedPageBreak/>
        <w:t>Notes:</w:t>
      </w:r>
    </w:p>
    <w:p w14:paraId="25BFEAD1" w14:textId="77777777" w:rsidR="00994314" w:rsidRPr="00F413C5" w:rsidRDefault="00994314" w:rsidP="00610F5F">
      <w:pPr>
        <w:pStyle w:val="aaaNotenumberiiiiii"/>
        <w:numPr>
          <w:ilvl w:val="0"/>
          <w:numId w:val="106"/>
        </w:numPr>
      </w:pPr>
      <w:r w:rsidRPr="00F413C5">
        <w:t>The present values of the liability for commissioned PPPs are recognised on the balance sheet (not disclosed as commitments).</w:t>
      </w:r>
    </w:p>
    <w:p w14:paraId="4EA00CF2" w14:textId="77777777" w:rsidR="00994314" w:rsidRPr="00F413C5" w:rsidRDefault="00994314" w:rsidP="00610F5F">
      <w:pPr>
        <w:pStyle w:val="aaaNotenumberiiiiii"/>
        <w:numPr>
          <w:ilvl w:val="0"/>
          <w:numId w:val="106"/>
        </w:numPr>
      </w:pPr>
      <w:r w:rsidRPr="00F413C5">
        <w:t>The discounted values of the lease liability for uncommissioned PPPs have been discounted to the expected dates of commissioning and the present values of other commitments have been discounted to 30 June of the respective financial years. After adjusting for GST, the discounted values of lease liability reflect the expected impact on the balance sheet when the PPPs are commissioned.</w:t>
      </w:r>
    </w:p>
    <w:p w14:paraId="6D1D8284" w14:textId="77777777" w:rsidR="00994314" w:rsidRPr="00F413C5" w:rsidRDefault="00994314" w:rsidP="00610F5F">
      <w:pPr>
        <w:pStyle w:val="aaaNotenumberiiiiii"/>
        <w:numPr>
          <w:ilvl w:val="0"/>
          <w:numId w:val="106"/>
        </w:numPr>
      </w:pPr>
      <w:r w:rsidRPr="00F413C5">
        <w:t>Depending on the arrangement, this liability can relate to a lease, service concession arrangement or the construction of an item of PPE.</w:t>
      </w:r>
    </w:p>
    <w:p w14:paraId="202503A8" w14:textId="77777777" w:rsidR="00994314" w:rsidRPr="00F413C5" w:rsidRDefault="00994314" w:rsidP="00610F5F">
      <w:pPr>
        <w:pStyle w:val="aaaNotenumberiiiiii"/>
        <w:numPr>
          <w:ilvl w:val="0"/>
          <w:numId w:val="106"/>
        </w:numPr>
      </w:pPr>
      <w:r w:rsidRPr="00F413C5">
        <w:t>Other commitments relate to operating and maintenance and lifecycle costs.</w:t>
      </w:r>
    </w:p>
    <w:p w14:paraId="470A07B1" w14:textId="77777777" w:rsidR="00994314" w:rsidRPr="00F413C5" w:rsidRDefault="00994314" w:rsidP="00610F5F">
      <w:pPr>
        <w:pStyle w:val="aaaNotenumberiiiiii"/>
        <w:numPr>
          <w:ilvl w:val="0"/>
          <w:numId w:val="106"/>
        </w:numPr>
      </w:pPr>
      <w:r w:rsidRPr="00F413C5">
        <w:t xml:space="preserve">All commissioned PPPs were transferred to the department as a result of the </w:t>
      </w:r>
      <w:proofErr w:type="spellStart"/>
      <w:r w:rsidRPr="00F413C5">
        <w:t>MoG</w:t>
      </w:r>
      <w:proofErr w:type="spellEnd"/>
      <w:r w:rsidRPr="00F413C5">
        <w:t xml:space="preserve"> effective 1 July 2019 from VicRoads and PTV.</w:t>
      </w:r>
    </w:p>
    <w:p w14:paraId="66D5EBF6" w14:textId="77777777" w:rsidR="00994314" w:rsidRPr="00F413C5" w:rsidRDefault="00994314" w:rsidP="00610F5F">
      <w:pPr>
        <w:pStyle w:val="aaaNotenumberiiiiii"/>
        <w:numPr>
          <w:ilvl w:val="0"/>
          <w:numId w:val="106"/>
        </w:numPr>
      </w:pPr>
      <w:r w:rsidRPr="00F413C5">
        <w:t>The discounted values of the liabilities have not been totalled for the uncommissioned PPPs due to individual PPPs having different expected dates of commissioning.</w:t>
      </w:r>
    </w:p>
    <w:p w14:paraId="37CA3454" w14:textId="77777777" w:rsidR="00994314" w:rsidRPr="00F413C5" w:rsidRDefault="00994314" w:rsidP="00610F5F">
      <w:pPr>
        <w:pStyle w:val="aaaNotenumberiiiiii"/>
        <w:numPr>
          <w:ilvl w:val="0"/>
          <w:numId w:val="106"/>
        </w:numPr>
      </w:pPr>
      <w:r w:rsidRPr="00F413C5">
        <w:t>These relate to liabilities that have not yet been recognised on the balance sheet. For uncommissioned PPP’s relating to service concessions, the asset and liability are recognised progressively during the construction term and therefore not recognised in the table above.</w:t>
      </w:r>
    </w:p>
    <w:p w14:paraId="1B026589" w14:textId="77777777" w:rsidR="00994314" w:rsidRPr="00F413C5" w:rsidRDefault="00994314" w:rsidP="00610F5F">
      <w:pPr>
        <w:pStyle w:val="aaaNotenumberiiiiii"/>
        <w:numPr>
          <w:ilvl w:val="0"/>
          <w:numId w:val="106"/>
        </w:numPr>
      </w:pPr>
      <w:r w:rsidRPr="00F413C5">
        <w:t>The 2019 comparatives figures have been restated to reflect the adoption of AASB 1059.</w:t>
      </w:r>
    </w:p>
    <w:p w14:paraId="45FE0426" w14:textId="77777777" w:rsidR="00994314" w:rsidRPr="00F413C5" w:rsidRDefault="00994314" w:rsidP="00610F5F">
      <w:pPr>
        <w:pStyle w:val="aaaNotenumberiiiiii"/>
        <w:numPr>
          <w:ilvl w:val="0"/>
          <w:numId w:val="106"/>
        </w:numPr>
      </w:pPr>
      <w:r w:rsidRPr="00F413C5">
        <w:t>Commitments nominal value includes the capital portion of the service concession liability that has been reported on the balance sheet (Refer to note 7.1).</w:t>
      </w:r>
    </w:p>
    <w:p w14:paraId="131985AF" w14:textId="58ACB72B" w:rsidR="003E5BF5" w:rsidRDefault="003E5BF5" w:rsidP="00DE1921">
      <w:pPr>
        <w:sectPr w:rsidR="003E5BF5" w:rsidSect="00DE1921">
          <w:headerReference w:type="default" r:id="rId161"/>
          <w:pgSz w:w="16838" w:h="11906" w:orient="landscape"/>
          <w:pgMar w:top="1418" w:right="1701" w:bottom="1418" w:left="1418" w:header="709" w:footer="709" w:gutter="0"/>
          <w:cols w:space="708"/>
          <w:docGrid w:linePitch="360"/>
        </w:sectPr>
      </w:pPr>
      <w:r>
        <w:br w:type="page"/>
      </w:r>
    </w:p>
    <w:p w14:paraId="552A4C83" w14:textId="77777777" w:rsidR="003E5BF5" w:rsidRDefault="003E5BF5" w:rsidP="00610F5F">
      <w:pPr>
        <w:pStyle w:val="Heading3"/>
        <w:numPr>
          <w:ilvl w:val="2"/>
          <w:numId w:val="21"/>
        </w:numPr>
        <w:ind w:left="765" w:hanging="765"/>
      </w:pPr>
      <w:bookmarkStart w:id="508" w:name="RANGE!A5:E25"/>
      <w:bookmarkEnd w:id="403"/>
      <w:bookmarkEnd w:id="502"/>
      <w:bookmarkEnd w:id="503"/>
      <w:bookmarkEnd w:id="504"/>
      <w:bookmarkEnd w:id="505"/>
      <w:bookmarkEnd w:id="506"/>
      <w:bookmarkEnd w:id="507"/>
      <w:bookmarkEnd w:id="508"/>
      <w:r w:rsidRPr="007705C2">
        <w:lastRenderedPageBreak/>
        <w:t xml:space="preserve">AASB 1059 </w:t>
      </w:r>
      <w:r w:rsidRPr="003D4CAB">
        <w:t>Service Concession Arrangements: Grantors</w:t>
      </w:r>
      <w:r w:rsidRPr="007705C2">
        <w:t xml:space="preserve">  </w:t>
      </w:r>
    </w:p>
    <w:p w14:paraId="52C6116F" w14:textId="77777777" w:rsidR="003E5BF5" w:rsidRDefault="003E5BF5" w:rsidP="001C6099">
      <w:pPr>
        <w:pStyle w:val="aaatyping"/>
      </w:pPr>
      <w:r>
        <w:t xml:space="preserve">In line with the State of Victoria’s direction prescribed in FRD 124 </w:t>
      </w:r>
      <w:r w:rsidRPr="002556C2">
        <w:rPr>
          <w:i/>
          <w:iCs/>
        </w:rPr>
        <w:t>Transitional requirements on the application of AASB 1059 Service Concession Arrangements: Grantors</w:t>
      </w:r>
      <w:r>
        <w:t xml:space="preserve">, the department has early adopted AASB 1059 from 1 July 2019. Further transitional disclosures are included in Note 9.7. </w:t>
      </w:r>
    </w:p>
    <w:p w14:paraId="1397B2FB" w14:textId="77777777" w:rsidR="003E5BF5" w:rsidRDefault="003E5BF5" w:rsidP="001C6099">
      <w:pPr>
        <w:pStyle w:val="aaatyping"/>
      </w:pPr>
      <w:r>
        <w:t xml:space="preserve">The Standard addresses the accounting for a service concession arrangement by a grantor that is a public sector entity by prescribing the accounting for the arrangement from a grantor’s perspective.  </w:t>
      </w:r>
    </w:p>
    <w:p w14:paraId="3DBA10FD" w14:textId="77777777" w:rsidR="003E5BF5" w:rsidRDefault="003E5BF5" w:rsidP="001C6099">
      <w:pPr>
        <w:pStyle w:val="aaatyping"/>
      </w:pPr>
      <w:r w:rsidRPr="00924D18">
        <w:t xml:space="preserve">The AASB issued the new standard to address the lack of specific accounting guidance and based the content thereof broadly on its international equivalent: </w:t>
      </w:r>
      <w:r w:rsidRPr="00924D18">
        <w:rPr>
          <w:i/>
          <w:iCs/>
        </w:rPr>
        <w:t>International Public Sector Accounting Standard 32 Service Concession Arrangements: Grantor</w:t>
      </w:r>
      <w:r w:rsidRPr="00924D18">
        <w:t>.</w:t>
      </w:r>
    </w:p>
    <w:p w14:paraId="262A9087" w14:textId="77777777" w:rsidR="003E5BF5" w:rsidRDefault="003E5BF5" w:rsidP="001C6099">
      <w:pPr>
        <w:pStyle w:val="aaatyping"/>
      </w:pPr>
      <w:r>
        <w:t xml:space="preserve">For arrangements within the scope of AASB 1059, on transition and at initial recognition a public sector grantor is required to record the asset(s) used in the service concession arrangement at current replacement cost in accordance with the cost approach to Fair Value under AASB 13 </w:t>
      </w:r>
      <w:r w:rsidRPr="00FC2EA5">
        <w:rPr>
          <w:i/>
          <w:iCs/>
        </w:rPr>
        <w:t>Fair Value Measurement</w:t>
      </w:r>
      <w:r>
        <w:t xml:space="preserve">, with a related liability, which could be a financial liability, an accrued revenue liability (referred to as the “Grant Of A Right To The Operator” or GORTO liability) or a combination of both. </w:t>
      </w:r>
    </w:p>
    <w:p w14:paraId="49F763FC" w14:textId="77777777" w:rsidR="003E5BF5" w:rsidRDefault="003E5BF5" w:rsidP="001C6099">
      <w:pPr>
        <w:pStyle w:val="aaatyping"/>
      </w:pPr>
      <w:r>
        <w:t xml:space="preserve">The department has applied the transitional provisions of AASB 1059 and elected a full retrospective approach to prior reporting periods. The effect of this is as if the standard has always been applied. Retrospective application requires the derecognition or adjustment of any service concession assets and liabilities recognised under previous accounting policies and the initial recognition of service concession assets and </w:t>
      </w:r>
      <w:r>
        <w:lastRenderedPageBreak/>
        <w:t>liabilities under AASB 1059. As well as below, note 9.6 summarises the impact of applying the standard.</w:t>
      </w:r>
    </w:p>
    <w:p w14:paraId="32C38554" w14:textId="77777777" w:rsidR="003E5BF5" w:rsidRDefault="003E5BF5" w:rsidP="001C6099">
      <w:pPr>
        <w:pStyle w:val="aaatyping"/>
      </w:pPr>
      <w:r>
        <w:t xml:space="preserve">In line with the transitional requirements of the Standard, any net cumulative adjustment between the recognition of service concession assets and financial liabilities and/or GORTO liabilities have been recognised in accumulated surplus as at 1 July 2018. </w:t>
      </w:r>
    </w:p>
    <w:p w14:paraId="11DEA5A2" w14:textId="77777777" w:rsidR="003E5BF5" w:rsidRDefault="003E5BF5" w:rsidP="001C6099">
      <w:pPr>
        <w:pStyle w:val="aaatyping"/>
      </w:pPr>
      <w:r>
        <w:t xml:space="preserve">After initial recognition, service concession assets are measured applying the department’s property, plant and equipment (Note 5.1) subsequent measurement accounting policies.   </w:t>
      </w:r>
    </w:p>
    <w:p w14:paraId="25850195" w14:textId="77777777" w:rsidR="003E5BF5" w:rsidRDefault="003E5BF5" w:rsidP="001C6099">
      <w:pPr>
        <w:pStyle w:val="aaatyping"/>
      </w:pPr>
      <w:r>
        <w:t>The department has reviewed all of its arrangements, including those disclosed in Note 7.5.2 and arrangements which the department has with another entity that includes a service concession asset to assess whether AASB 1059 applies. The following arrangements were identified:</w:t>
      </w:r>
    </w:p>
    <w:p w14:paraId="7A9A80C6" w14:textId="77777777" w:rsidR="003E5BF5" w:rsidRDefault="003E5BF5" w:rsidP="00E03338">
      <w:pPr>
        <w:pStyle w:val="aaatyping"/>
      </w:pPr>
      <w:r>
        <w:t>7.5.3.1</w:t>
      </w:r>
      <w:r>
        <w:tab/>
      </w:r>
      <w:proofErr w:type="spellStart"/>
      <w:r>
        <w:t>CityLink</w:t>
      </w:r>
      <w:proofErr w:type="spellEnd"/>
      <w:r>
        <w:t xml:space="preserve"> - GORTO model</w:t>
      </w:r>
    </w:p>
    <w:p w14:paraId="144B2F5B" w14:textId="77777777" w:rsidR="003E5BF5" w:rsidRDefault="003E5BF5" w:rsidP="00E03338">
      <w:pPr>
        <w:pStyle w:val="aaatyping"/>
      </w:pPr>
      <w:r>
        <w:t>7.5.3.2</w:t>
      </w:r>
      <w:r>
        <w:tab/>
        <w:t>Southern Cross Station – Financial liability model</w:t>
      </w:r>
    </w:p>
    <w:p w14:paraId="2364809D" w14:textId="77777777" w:rsidR="003E5BF5" w:rsidRDefault="003E5BF5" w:rsidP="00E03338">
      <w:pPr>
        <w:pStyle w:val="aaatyping"/>
      </w:pPr>
      <w:r>
        <w:t>7.5.3.3</w:t>
      </w:r>
      <w:r>
        <w:tab/>
      </w:r>
      <w:proofErr w:type="spellStart"/>
      <w:r>
        <w:t>EastLink</w:t>
      </w:r>
      <w:proofErr w:type="spellEnd"/>
      <w:r>
        <w:t xml:space="preserve"> - GORTO model</w:t>
      </w:r>
    </w:p>
    <w:p w14:paraId="61A6D69B" w14:textId="77777777" w:rsidR="003E5BF5" w:rsidRDefault="003E5BF5" w:rsidP="00E03338">
      <w:pPr>
        <w:pStyle w:val="aaatyping"/>
      </w:pPr>
      <w:r>
        <w:t>7.5.3.4</w:t>
      </w:r>
      <w:r>
        <w:tab/>
        <w:t>Peninsula Link – Financial liability model</w:t>
      </w:r>
    </w:p>
    <w:p w14:paraId="5883F4C3" w14:textId="77777777" w:rsidR="003E5BF5" w:rsidRDefault="003E5BF5" w:rsidP="00E03338">
      <w:pPr>
        <w:pStyle w:val="aaatyping"/>
      </w:pPr>
      <w:r>
        <w:t>7.5.3.5</w:t>
      </w:r>
      <w:r>
        <w:tab/>
        <w:t>Metropolitan bus contracts – Financial liability model</w:t>
      </w:r>
    </w:p>
    <w:p w14:paraId="5951D1BA" w14:textId="77777777" w:rsidR="003E5BF5" w:rsidRDefault="003E5BF5" w:rsidP="00E03338">
      <w:pPr>
        <w:pStyle w:val="aaatyping"/>
      </w:pPr>
      <w:r>
        <w:t>7.5.3.6</w:t>
      </w:r>
      <w:r>
        <w:tab/>
        <w:t>High Capacity Metro Trains Project – Financial liability model</w:t>
      </w:r>
    </w:p>
    <w:p w14:paraId="32E7B432" w14:textId="77777777" w:rsidR="003E5BF5" w:rsidRDefault="003E5BF5" w:rsidP="00E03338">
      <w:pPr>
        <w:pStyle w:val="aaatyping"/>
      </w:pPr>
      <w:r>
        <w:t>7.5.3.7</w:t>
      </w:r>
      <w:r>
        <w:tab/>
        <w:t>West Gate Tunnel Project – Hybrid model (GORTO and Financial liability models)</w:t>
      </w:r>
    </w:p>
    <w:p w14:paraId="7DF8C404" w14:textId="77777777" w:rsidR="003E5BF5" w:rsidRDefault="003E5BF5" w:rsidP="00E03338">
      <w:pPr>
        <w:pStyle w:val="aaatyping"/>
      </w:pPr>
      <w:r>
        <w:t>7.5.3.8</w:t>
      </w:r>
      <w:r>
        <w:tab/>
        <w:t>Metro Tunnel Project - Tunnel and Stations – Financial liability model</w:t>
      </w:r>
    </w:p>
    <w:p w14:paraId="4B84D632" w14:textId="77777777" w:rsidR="003E5BF5" w:rsidRDefault="003E5BF5" w:rsidP="00E03338">
      <w:pPr>
        <w:pStyle w:val="aaatyping"/>
      </w:pPr>
      <w:r>
        <w:lastRenderedPageBreak/>
        <w:t>7.5.3.9</w:t>
      </w:r>
      <w:r>
        <w:tab/>
        <w:t>Western Roads Upgrade – Financial liability model</w:t>
      </w:r>
    </w:p>
    <w:p w14:paraId="74B443DC" w14:textId="77777777" w:rsidR="003E5BF5" w:rsidRDefault="003E5BF5" w:rsidP="00DE1921">
      <w:pPr>
        <w:sectPr w:rsidR="003E5BF5" w:rsidSect="00DE1921">
          <w:headerReference w:type="even" r:id="rId162"/>
          <w:headerReference w:type="default" r:id="rId163"/>
          <w:footerReference w:type="even" r:id="rId164"/>
          <w:pgSz w:w="11906" w:h="16838"/>
          <w:pgMar w:top="1701" w:right="1418" w:bottom="1418" w:left="1418" w:header="708" w:footer="708" w:gutter="0"/>
          <w:cols w:space="708"/>
          <w:docGrid w:linePitch="360"/>
        </w:sectPr>
      </w:pPr>
    </w:p>
    <w:p w14:paraId="429C33C7" w14:textId="77777777" w:rsidR="003E5BF5" w:rsidRPr="00081911" w:rsidRDefault="003E5BF5" w:rsidP="00610F5F">
      <w:pPr>
        <w:pStyle w:val="Heading5"/>
        <w:numPr>
          <w:ilvl w:val="3"/>
          <w:numId w:val="21"/>
        </w:numPr>
      </w:pPr>
      <w:proofErr w:type="spellStart"/>
      <w:r w:rsidRPr="00081911">
        <w:lastRenderedPageBreak/>
        <w:t>CityLink</w:t>
      </w:r>
      <w:proofErr w:type="spellEnd"/>
      <w:r w:rsidRPr="00081911">
        <w:t xml:space="preserve"> - GORTO model</w:t>
      </w:r>
    </w:p>
    <w:p w14:paraId="7D7B1FA6" w14:textId="77777777" w:rsidR="003E5BF5" w:rsidRDefault="003E5BF5" w:rsidP="00A85601">
      <w:pPr>
        <w:pStyle w:val="aaatyping"/>
      </w:pPr>
      <w:r>
        <w:t xml:space="preserve">The department manages the statutory functions and powers of the State of Victoria under the </w:t>
      </w:r>
      <w:r w:rsidRPr="007E58E5">
        <w:rPr>
          <w:i/>
          <w:iCs/>
        </w:rPr>
        <w:t>Melbourne City Link Act 1995</w:t>
      </w:r>
      <w:r>
        <w:t xml:space="preserve">. These functions and powers include the administration of the contractual arrangements, revenue and assets of the </w:t>
      </w:r>
      <w:proofErr w:type="spellStart"/>
      <w:r>
        <w:t>CityLink</w:t>
      </w:r>
      <w:proofErr w:type="spellEnd"/>
      <w:r>
        <w:t xml:space="preserve"> Project.</w:t>
      </w:r>
    </w:p>
    <w:p w14:paraId="777A12A5" w14:textId="77777777" w:rsidR="003E5BF5" w:rsidRDefault="003E5BF5" w:rsidP="00A85601">
      <w:pPr>
        <w:pStyle w:val="aaatyping"/>
      </w:pPr>
      <w:r>
        <w:t xml:space="preserve">The State of Victoria and </w:t>
      </w:r>
      <w:proofErr w:type="spellStart"/>
      <w:r>
        <w:t>CityLink</w:t>
      </w:r>
      <w:proofErr w:type="spellEnd"/>
      <w:r>
        <w:t xml:space="preserve"> Melbourne Limited (CML) amongst others, entered into the Melbourne City Link Concession Deed on 30 October 1995. Under the terms of the Concession Deed, CML is responsible for the construction, financing and operation of the City Link road network during the concession period. As part of the Concession Deed, the State of Victoria granted to the operator, for a specified period of time (referred to as a concession period), the right to collect fees from users of the assets. Under the new accounting standards, this is referred to as the grant of a right to operate (GORTO) model.</w:t>
      </w:r>
    </w:p>
    <w:p w14:paraId="212A4126" w14:textId="77777777" w:rsidR="003E5BF5" w:rsidRDefault="003E5BF5" w:rsidP="00A85601">
      <w:pPr>
        <w:pStyle w:val="aaatyping"/>
      </w:pPr>
      <w:r>
        <w:t>The Concession Deed requires CML to pay to the State of Victoria, specified concession fees at specified intervals during the concession period. In accordance with the Concession Deed, CML has exercised an option to meet its obligations to pay concession fees by way of issuing concession notes. These notes are non-interest-bearing promissory notes payable by CML at the end of the concession period or earlier in the event of CML achieving certain financial profitability levels and cash flows.</w:t>
      </w:r>
    </w:p>
    <w:p w14:paraId="6D12165C" w14:textId="77777777" w:rsidR="003E5BF5" w:rsidRDefault="003E5BF5" w:rsidP="00A85601">
      <w:pPr>
        <w:pStyle w:val="aaatyping"/>
      </w:pPr>
      <w:r>
        <w:t xml:space="preserve">The State of Victoria, CML and Transurban Infrastructure Management Limited (TIML) entered into the M1 Corridor Deed of Assignment (Deed of Assignment) on 25 July 2006. Under the terms of the Deed of </w:t>
      </w:r>
      <w:r>
        <w:lastRenderedPageBreak/>
        <w:t>Assignment, all concession notes held by, and due to be issued to the State of Victoria in accordance with the Concession Deed, were assigned to TIML for a defined payment stream over a four-year period ending 30 June 2010.</w:t>
      </w:r>
    </w:p>
    <w:p w14:paraId="69F0B32B" w14:textId="77777777" w:rsidR="003E5BF5" w:rsidRDefault="003E5BF5" w:rsidP="00A85601">
      <w:pPr>
        <w:pStyle w:val="aaatyping"/>
      </w:pPr>
      <w:r>
        <w:t xml:space="preserve">In 2015, the State of Victoria, CML and TIML entered into further agreements </w:t>
      </w:r>
      <w:r w:rsidRPr="005C0474">
        <w:t xml:space="preserve">(as part of the </w:t>
      </w:r>
      <w:proofErr w:type="spellStart"/>
      <w:r w:rsidRPr="005C0474">
        <w:t>CityLink</w:t>
      </w:r>
      <w:proofErr w:type="spellEnd"/>
      <w:r w:rsidRPr="005C0474">
        <w:t xml:space="preserve"> </w:t>
      </w:r>
      <w:proofErr w:type="spellStart"/>
      <w:r w:rsidRPr="005C0474">
        <w:t>Tulla</w:t>
      </w:r>
      <w:proofErr w:type="spellEnd"/>
      <w:r w:rsidRPr="005C0474">
        <w:t xml:space="preserve"> Widening project)</w:t>
      </w:r>
      <w:r>
        <w:t xml:space="preserve"> whereby TIML has undertaken works on City Link and other road networks, and made further payments to the State, in exchange for variations to the Concession Deed.</w:t>
      </w:r>
    </w:p>
    <w:p w14:paraId="52165A40" w14:textId="77777777" w:rsidR="003E5BF5" w:rsidRDefault="003E5BF5" w:rsidP="00A85601">
      <w:pPr>
        <w:pStyle w:val="aaatyping"/>
      </w:pPr>
      <w:r>
        <w:t xml:space="preserve">The value of concession notes due to be received by the State of Victoria in accordance with the Concession Deed has been disclosed at the present value of concession notes to be issued in future periods by CML. The present value of the concession notes has been calculated based on an interest rate implied in the estimated concession note redemption profile included in the Deed of Assignment. The present value of the concession notes is disclosed as GORTO liability. </w:t>
      </w:r>
    </w:p>
    <w:p w14:paraId="3E913D17" w14:textId="77777777" w:rsidR="003E5BF5" w:rsidRDefault="003E5BF5" w:rsidP="00A85601">
      <w:pPr>
        <w:pStyle w:val="aaatyping"/>
      </w:pPr>
      <w:r>
        <w:t xml:space="preserve">CML is responsible for the operation and the delivery of maintenance to the </w:t>
      </w:r>
      <w:proofErr w:type="spellStart"/>
      <w:r>
        <w:t>CityLink</w:t>
      </w:r>
      <w:proofErr w:type="spellEnd"/>
      <w:r>
        <w:t xml:space="preserve"> road network at their own discretion based on terms and conditions specified in the agreement, which are critical to the provision of the public service.</w:t>
      </w:r>
    </w:p>
    <w:p w14:paraId="64E16E26" w14:textId="77777777" w:rsidR="003E5BF5" w:rsidRDefault="003E5BF5" w:rsidP="00A85601">
      <w:pPr>
        <w:pStyle w:val="aaatyping"/>
      </w:pPr>
      <w:r>
        <w:t xml:space="preserve">The concession period to operate the </w:t>
      </w:r>
      <w:proofErr w:type="spellStart"/>
      <w:r>
        <w:t>CityLink</w:t>
      </w:r>
      <w:proofErr w:type="spellEnd"/>
      <w:r>
        <w:t xml:space="preserve"> road network has been extended as a result of the partial funding of the West Gate Tunnel Project and under the contractual arrangements existing as at 30 June 2020, is now expected to expire on the 13 January 2045.</w:t>
      </w:r>
    </w:p>
    <w:p w14:paraId="374B9CFE" w14:textId="77777777" w:rsidR="003E5BF5" w:rsidRDefault="003E5BF5" w:rsidP="004E61F7">
      <w:pPr>
        <w:pStyle w:val="aaatyping"/>
        <w:spacing w:after="0"/>
      </w:pPr>
      <w:r>
        <w:lastRenderedPageBreak/>
        <w:t xml:space="preserve">The </w:t>
      </w:r>
      <w:proofErr w:type="spellStart"/>
      <w:r>
        <w:t>CityLink</w:t>
      </w:r>
      <w:proofErr w:type="spellEnd"/>
      <w:r>
        <w:t xml:space="preserve"> PPP arrangement transferred from VicRoads to the department as part of the </w:t>
      </w:r>
      <w:proofErr w:type="spellStart"/>
      <w:r>
        <w:t>MoG</w:t>
      </w:r>
      <w:proofErr w:type="spellEnd"/>
      <w:r>
        <w:t xml:space="preserve"> change that integrated the VicRoads and PTV into the department. VicRoads adopted the standard for the first time retrospectively based on its 2018-19 Financial Statements and then transferred balances as contributed capital to the department on 1 July 2019. There are no comparatives relating to VicRoads within the department’s current year financial statements, however in order to provide a better illustration to the users that compares the pre and post adoption of AASB 1059, the department included a table of how the arrangement would had been disclosed had VicRoads prepared its own financial statements in 2019-20. A summary of the arrangement is included below:</w:t>
      </w:r>
    </w:p>
    <w:tbl>
      <w:tblPr>
        <w:tblStyle w:val="TableGrid"/>
        <w:tblW w:w="13608" w:type="dxa"/>
        <w:jc w:val="center"/>
        <w:tblCellMar>
          <w:left w:w="28" w:type="dxa"/>
          <w:right w:w="28" w:type="dxa"/>
        </w:tblCellMar>
        <w:tblLook w:val="04A0" w:firstRow="1" w:lastRow="0" w:firstColumn="1" w:lastColumn="0" w:noHBand="0" w:noVBand="1"/>
      </w:tblPr>
      <w:tblGrid>
        <w:gridCol w:w="2225"/>
        <w:gridCol w:w="2507"/>
        <w:gridCol w:w="1052"/>
        <w:gridCol w:w="1052"/>
        <w:gridCol w:w="4446"/>
        <w:gridCol w:w="1163"/>
        <w:gridCol w:w="1163"/>
      </w:tblGrid>
      <w:tr w:rsidR="003E5BF5" w:rsidRPr="004E61F7" w14:paraId="189B5AD5" w14:textId="77777777" w:rsidTr="000F285B">
        <w:trPr>
          <w:trHeight w:val="340"/>
          <w:jc w:val="center"/>
        </w:trPr>
        <w:tc>
          <w:tcPr>
            <w:tcW w:w="2225" w:type="dxa"/>
            <w:shd w:val="clear" w:color="auto" w:fill="auto"/>
            <w:hideMark/>
          </w:tcPr>
          <w:p w14:paraId="2C542285" w14:textId="77777777" w:rsidR="003E5BF5" w:rsidRPr="004E61F7" w:rsidRDefault="003E5BF5" w:rsidP="00DE1921">
            <w:pPr>
              <w:rPr>
                <w:rFonts w:ascii="Arial" w:hAnsi="Arial" w:cs="Arial"/>
              </w:rPr>
            </w:pPr>
            <w:bookmarkStart w:id="509" w:name="RANGE!A6:G16"/>
            <w:bookmarkEnd w:id="509"/>
          </w:p>
        </w:tc>
        <w:tc>
          <w:tcPr>
            <w:tcW w:w="11383" w:type="dxa"/>
            <w:gridSpan w:val="6"/>
            <w:shd w:val="clear" w:color="auto" w:fill="auto"/>
            <w:vAlign w:val="center"/>
            <w:hideMark/>
          </w:tcPr>
          <w:p w14:paraId="32BD05FC" w14:textId="77777777" w:rsidR="003E5BF5" w:rsidRPr="004E61F7" w:rsidRDefault="003E5BF5" w:rsidP="00DE1921">
            <w:pPr>
              <w:jc w:val="center"/>
              <w:rPr>
                <w:rFonts w:ascii="Arial" w:hAnsi="Arial" w:cs="Arial"/>
                <w:b/>
              </w:rPr>
            </w:pPr>
            <w:r w:rsidRPr="004E61F7">
              <w:rPr>
                <w:rFonts w:ascii="Arial" w:hAnsi="Arial" w:cs="Arial"/>
                <w:b/>
              </w:rPr>
              <w:t>($ thousand)</w:t>
            </w:r>
          </w:p>
        </w:tc>
      </w:tr>
      <w:tr w:rsidR="003E5BF5" w:rsidRPr="004E61F7" w14:paraId="023EF69E" w14:textId="77777777" w:rsidTr="000F285B">
        <w:trPr>
          <w:trHeight w:val="340"/>
          <w:jc w:val="center"/>
        </w:trPr>
        <w:tc>
          <w:tcPr>
            <w:tcW w:w="2225" w:type="dxa"/>
            <w:shd w:val="clear" w:color="auto" w:fill="auto"/>
            <w:hideMark/>
          </w:tcPr>
          <w:p w14:paraId="1AF85F65" w14:textId="77777777" w:rsidR="003E5BF5" w:rsidRPr="004E61F7" w:rsidRDefault="003E5BF5" w:rsidP="00DE1921">
            <w:pPr>
              <w:rPr>
                <w:rFonts w:ascii="Arial" w:hAnsi="Arial" w:cs="Arial"/>
              </w:rPr>
            </w:pPr>
          </w:p>
        </w:tc>
        <w:tc>
          <w:tcPr>
            <w:tcW w:w="11383" w:type="dxa"/>
            <w:gridSpan w:val="6"/>
            <w:shd w:val="clear" w:color="auto" w:fill="auto"/>
            <w:vAlign w:val="bottom"/>
            <w:hideMark/>
          </w:tcPr>
          <w:p w14:paraId="45705A24" w14:textId="77777777" w:rsidR="003E5BF5" w:rsidRPr="004E61F7" w:rsidRDefault="003E5BF5" w:rsidP="00DE1921">
            <w:pPr>
              <w:jc w:val="center"/>
              <w:rPr>
                <w:rFonts w:ascii="Arial" w:hAnsi="Arial" w:cs="Arial"/>
                <w:b/>
              </w:rPr>
            </w:pPr>
            <w:proofErr w:type="spellStart"/>
            <w:r w:rsidRPr="004E61F7">
              <w:rPr>
                <w:rFonts w:ascii="Arial" w:hAnsi="Arial" w:cs="Arial"/>
                <w:b/>
              </w:rPr>
              <w:t>CityLink</w:t>
            </w:r>
            <w:proofErr w:type="spellEnd"/>
          </w:p>
        </w:tc>
      </w:tr>
      <w:tr w:rsidR="003E5BF5" w:rsidRPr="004E61F7" w14:paraId="5EB7F3E4" w14:textId="77777777" w:rsidTr="000F285B">
        <w:trPr>
          <w:trHeight w:val="340"/>
          <w:jc w:val="center"/>
        </w:trPr>
        <w:tc>
          <w:tcPr>
            <w:tcW w:w="2225" w:type="dxa"/>
            <w:shd w:val="clear" w:color="auto" w:fill="auto"/>
            <w:hideMark/>
          </w:tcPr>
          <w:p w14:paraId="4487AF37" w14:textId="77777777" w:rsidR="003E5BF5" w:rsidRPr="004E61F7" w:rsidRDefault="003E5BF5" w:rsidP="00DE1921">
            <w:pPr>
              <w:rPr>
                <w:rFonts w:ascii="Arial" w:hAnsi="Arial" w:cs="Arial"/>
                <w:b/>
              </w:rPr>
            </w:pPr>
          </w:p>
        </w:tc>
        <w:tc>
          <w:tcPr>
            <w:tcW w:w="4611" w:type="dxa"/>
            <w:gridSpan w:val="3"/>
            <w:shd w:val="clear" w:color="auto" w:fill="auto"/>
            <w:noWrap/>
            <w:vAlign w:val="bottom"/>
            <w:hideMark/>
          </w:tcPr>
          <w:p w14:paraId="2459A415" w14:textId="77777777" w:rsidR="003E5BF5" w:rsidRPr="004E61F7" w:rsidRDefault="003E5BF5" w:rsidP="00DE1921">
            <w:pPr>
              <w:jc w:val="center"/>
              <w:rPr>
                <w:rFonts w:ascii="Arial" w:hAnsi="Arial" w:cs="Arial"/>
                <w:b/>
              </w:rPr>
            </w:pPr>
            <w:r w:rsidRPr="004E61F7">
              <w:rPr>
                <w:rFonts w:ascii="Arial" w:hAnsi="Arial" w:cs="Arial"/>
                <w:b/>
              </w:rPr>
              <w:t>Pre-AASB 1059 accounting</w:t>
            </w:r>
          </w:p>
        </w:tc>
        <w:tc>
          <w:tcPr>
            <w:tcW w:w="6772" w:type="dxa"/>
            <w:gridSpan w:val="3"/>
            <w:shd w:val="clear" w:color="auto" w:fill="auto"/>
            <w:noWrap/>
            <w:vAlign w:val="bottom"/>
            <w:hideMark/>
          </w:tcPr>
          <w:p w14:paraId="1DF86E9B" w14:textId="77777777" w:rsidR="003E5BF5" w:rsidRPr="004E61F7" w:rsidRDefault="003E5BF5" w:rsidP="00DE1921">
            <w:pPr>
              <w:jc w:val="center"/>
              <w:rPr>
                <w:rFonts w:ascii="Arial" w:hAnsi="Arial" w:cs="Arial"/>
                <w:b/>
              </w:rPr>
            </w:pPr>
            <w:r w:rsidRPr="004E61F7">
              <w:rPr>
                <w:rFonts w:ascii="Arial" w:hAnsi="Arial" w:cs="Arial"/>
                <w:b/>
              </w:rPr>
              <w:t>Application of AASB 1059</w:t>
            </w:r>
          </w:p>
        </w:tc>
      </w:tr>
      <w:tr w:rsidR="003E5BF5" w:rsidRPr="004E61F7" w14:paraId="2C6973BD" w14:textId="77777777" w:rsidTr="000F285B">
        <w:trPr>
          <w:trHeight w:val="340"/>
          <w:jc w:val="center"/>
        </w:trPr>
        <w:tc>
          <w:tcPr>
            <w:tcW w:w="2225" w:type="dxa"/>
            <w:shd w:val="clear" w:color="auto" w:fill="auto"/>
            <w:vAlign w:val="center"/>
            <w:hideMark/>
          </w:tcPr>
          <w:p w14:paraId="52146BE3" w14:textId="77777777" w:rsidR="003E5BF5" w:rsidRPr="004E61F7" w:rsidRDefault="003E5BF5" w:rsidP="00DE1921">
            <w:pPr>
              <w:rPr>
                <w:rFonts w:ascii="Arial" w:hAnsi="Arial" w:cs="Arial"/>
                <w:b/>
              </w:rPr>
            </w:pPr>
            <w:r w:rsidRPr="004E61F7">
              <w:rPr>
                <w:rFonts w:ascii="Arial" w:hAnsi="Arial" w:cs="Arial"/>
                <w:b/>
              </w:rPr>
              <w:t>Note</w:t>
            </w:r>
          </w:p>
        </w:tc>
        <w:tc>
          <w:tcPr>
            <w:tcW w:w="2507" w:type="dxa"/>
            <w:shd w:val="clear" w:color="auto" w:fill="auto"/>
            <w:vAlign w:val="center"/>
            <w:hideMark/>
          </w:tcPr>
          <w:p w14:paraId="747BB92E" w14:textId="77777777" w:rsidR="003E5BF5" w:rsidRPr="004E61F7" w:rsidRDefault="003E5BF5" w:rsidP="00DE1921">
            <w:pPr>
              <w:rPr>
                <w:rFonts w:ascii="Arial" w:hAnsi="Arial" w:cs="Arial"/>
                <w:b/>
              </w:rPr>
            </w:pPr>
            <w:r w:rsidRPr="004E61F7">
              <w:rPr>
                <w:rFonts w:ascii="Arial" w:hAnsi="Arial" w:cs="Arial"/>
                <w:b/>
              </w:rPr>
              <w:t>Line item</w:t>
            </w:r>
          </w:p>
        </w:tc>
        <w:tc>
          <w:tcPr>
            <w:tcW w:w="1052" w:type="dxa"/>
            <w:shd w:val="clear" w:color="auto" w:fill="auto"/>
            <w:vAlign w:val="center"/>
            <w:hideMark/>
          </w:tcPr>
          <w:p w14:paraId="497C121F" w14:textId="77777777" w:rsidR="003E5BF5" w:rsidRPr="004E61F7" w:rsidRDefault="003E5BF5" w:rsidP="00DE1921">
            <w:pPr>
              <w:jc w:val="right"/>
              <w:rPr>
                <w:rFonts w:ascii="Arial" w:hAnsi="Arial" w:cs="Arial"/>
                <w:b/>
              </w:rPr>
            </w:pPr>
            <w:r w:rsidRPr="004E61F7">
              <w:rPr>
                <w:rFonts w:ascii="Arial" w:hAnsi="Arial" w:cs="Arial"/>
                <w:b/>
              </w:rPr>
              <w:t>2020</w:t>
            </w:r>
          </w:p>
        </w:tc>
        <w:tc>
          <w:tcPr>
            <w:tcW w:w="1052" w:type="dxa"/>
            <w:shd w:val="clear" w:color="auto" w:fill="auto"/>
            <w:vAlign w:val="center"/>
            <w:hideMark/>
          </w:tcPr>
          <w:p w14:paraId="37D00535" w14:textId="77777777" w:rsidR="003E5BF5" w:rsidRPr="004E61F7" w:rsidRDefault="003E5BF5" w:rsidP="00DE1921">
            <w:pPr>
              <w:jc w:val="right"/>
              <w:rPr>
                <w:rFonts w:ascii="Arial" w:hAnsi="Arial" w:cs="Arial"/>
                <w:b/>
              </w:rPr>
            </w:pPr>
            <w:r w:rsidRPr="004E61F7">
              <w:rPr>
                <w:rFonts w:ascii="Arial" w:hAnsi="Arial" w:cs="Arial"/>
                <w:b/>
              </w:rPr>
              <w:t xml:space="preserve">2019 </w:t>
            </w:r>
            <w:r w:rsidRPr="004E61F7">
              <w:rPr>
                <w:rFonts w:ascii="Arial" w:hAnsi="Arial" w:cs="Arial"/>
                <w:b/>
                <w:vertAlign w:val="superscript"/>
              </w:rPr>
              <w:t>(</w:t>
            </w:r>
            <w:proofErr w:type="spellStart"/>
            <w:r w:rsidRPr="004E61F7">
              <w:rPr>
                <w:rFonts w:ascii="Arial" w:hAnsi="Arial" w:cs="Arial"/>
                <w:b/>
                <w:vertAlign w:val="superscript"/>
              </w:rPr>
              <w:t>i</w:t>
            </w:r>
            <w:proofErr w:type="spellEnd"/>
            <w:r w:rsidRPr="004E61F7">
              <w:rPr>
                <w:rFonts w:ascii="Arial" w:hAnsi="Arial" w:cs="Arial"/>
                <w:b/>
                <w:vertAlign w:val="superscript"/>
              </w:rPr>
              <w:t>)</w:t>
            </w:r>
          </w:p>
        </w:tc>
        <w:tc>
          <w:tcPr>
            <w:tcW w:w="4446" w:type="dxa"/>
            <w:shd w:val="clear" w:color="auto" w:fill="auto"/>
            <w:vAlign w:val="center"/>
            <w:hideMark/>
          </w:tcPr>
          <w:p w14:paraId="426482D8" w14:textId="77777777" w:rsidR="003E5BF5" w:rsidRPr="004E61F7" w:rsidRDefault="003E5BF5" w:rsidP="00DE1921">
            <w:pPr>
              <w:rPr>
                <w:rFonts w:ascii="Arial" w:hAnsi="Arial" w:cs="Arial"/>
                <w:b/>
              </w:rPr>
            </w:pPr>
            <w:r w:rsidRPr="004E61F7">
              <w:rPr>
                <w:rFonts w:ascii="Arial" w:hAnsi="Arial" w:cs="Arial"/>
                <w:b/>
              </w:rPr>
              <w:t>Line item</w:t>
            </w:r>
          </w:p>
        </w:tc>
        <w:tc>
          <w:tcPr>
            <w:tcW w:w="1163" w:type="dxa"/>
            <w:shd w:val="clear" w:color="auto" w:fill="auto"/>
            <w:vAlign w:val="center"/>
            <w:hideMark/>
          </w:tcPr>
          <w:p w14:paraId="24FC61FA" w14:textId="77777777" w:rsidR="003E5BF5" w:rsidRPr="004E61F7" w:rsidRDefault="003E5BF5" w:rsidP="00DE1921">
            <w:pPr>
              <w:jc w:val="right"/>
              <w:rPr>
                <w:rFonts w:ascii="Arial" w:hAnsi="Arial" w:cs="Arial"/>
                <w:b/>
              </w:rPr>
            </w:pPr>
            <w:r w:rsidRPr="004E61F7">
              <w:rPr>
                <w:rFonts w:ascii="Arial" w:hAnsi="Arial" w:cs="Arial"/>
                <w:b/>
              </w:rPr>
              <w:t>2020</w:t>
            </w:r>
          </w:p>
        </w:tc>
        <w:tc>
          <w:tcPr>
            <w:tcW w:w="1163" w:type="dxa"/>
            <w:shd w:val="clear" w:color="auto" w:fill="auto"/>
            <w:vAlign w:val="center"/>
            <w:hideMark/>
          </w:tcPr>
          <w:p w14:paraId="01476E91" w14:textId="77777777" w:rsidR="003E5BF5" w:rsidRPr="004E61F7" w:rsidRDefault="003E5BF5" w:rsidP="00DE1921">
            <w:pPr>
              <w:jc w:val="right"/>
              <w:rPr>
                <w:rFonts w:ascii="Arial" w:hAnsi="Arial" w:cs="Arial"/>
                <w:b/>
              </w:rPr>
            </w:pPr>
            <w:r w:rsidRPr="004E61F7">
              <w:rPr>
                <w:rFonts w:ascii="Arial" w:hAnsi="Arial" w:cs="Arial"/>
                <w:b/>
              </w:rPr>
              <w:t xml:space="preserve">2019 </w:t>
            </w:r>
            <w:r w:rsidRPr="004E61F7">
              <w:rPr>
                <w:rFonts w:ascii="Arial" w:hAnsi="Arial" w:cs="Arial"/>
                <w:b/>
                <w:vertAlign w:val="superscript"/>
              </w:rPr>
              <w:t>(</w:t>
            </w:r>
            <w:proofErr w:type="spellStart"/>
            <w:r w:rsidRPr="004E61F7">
              <w:rPr>
                <w:rFonts w:ascii="Arial" w:hAnsi="Arial" w:cs="Arial"/>
                <w:b/>
                <w:vertAlign w:val="superscript"/>
              </w:rPr>
              <w:t>i</w:t>
            </w:r>
            <w:proofErr w:type="spellEnd"/>
            <w:r w:rsidRPr="004E61F7">
              <w:rPr>
                <w:rFonts w:ascii="Arial" w:hAnsi="Arial" w:cs="Arial"/>
                <w:b/>
                <w:vertAlign w:val="superscript"/>
              </w:rPr>
              <w:t>)</w:t>
            </w:r>
          </w:p>
        </w:tc>
      </w:tr>
      <w:tr w:rsidR="003E5BF5" w:rsidRPr="004E61F7" w14:paraId="1001B811" w14:textId="77777777" w:rsidTr="000F285B">
        <w:trPr>
          <w:trHeight w:val="340"/>
          <w:jc w:val="center"/>
        </w:trPr>
        <w:tc>
          <w:tcPr>
            <w:tcW w:w="2225" w:type="dxa"/>
            <w:shd w:val="clear" w:color="auto" w:fill="auto"/>
            <w:vAlign w:val="center"/>
            <w:hideMark/>
          </w:tcPr>
          <w:p w14:paraId="6489E2F0" w14:textId="77777777" w:rsidR="003E5BF5" w:rsidRPr="004E61F7" w:rsidRDefault="003E5BF5" w:rsidP="00DE1921">
            <w:pPr>
              <w:rPr>
                <w:rFonts w:ascii="Arial" w:hAnsi="Arial" w:cs="Arial"/>
              </w:rPr>
            </w:pPr>
            <w:r w:rsidRPr="004E61F7">
              <w:rPr>
                <w:rFonts w:ascii="Arial" w:hAnsi="Arial" w:cs="Arial"/>
              </w:rPr>
              <w:t>Note 6.2 Payables</w:t>
            </w:r>
          </w:p>
        </w:tc>
        <w:tc>
          <w:tcPr>
            <w:tcW w:w="2507" w:type="dxa"/>
            <w:shd w:val="clear" w:color="auto" w:fill="auto"/>
            <w:vAlign w:val="center"/>
            <w:hideMark/>
          </w:tcPr>
          <w:p w14:paraId="18D40F42" w14:textId="77777777" w:rsidR="003E5BF5" w:rsidRPr="004E61F7" w:rsidRDefault="003E5BF5" w:rsidP="00DE1921">
            <w:pPr>
              <w:rPr>
                <w:rFonts w:ascii="Arial" w:hAnsi="Arial" w:cs="Arial"/>
              </w:rPr>
            </w:pPr>
            <w:r w:rsidRPr="004E61F7">
              <w:rPr>
                <w:rFonts w:ascii="Arial" w:hAnsi="Arial" w:cs="Arial"/>
              </w:rPr>
              <w:t>Unearned revenue</w:t>
            </w:r>
          </w:p>
        </w:tc>
        <w:tc>
          <w:tcPr>
            <w:tcW w:w="1052" w:type="dxa"/>
            <w:shd w:val="clear" w:color="auto" w:fill="auto"/>
            <w:noWrap/>
            <w:vAlign w:val="center"/>
            <w:hideMark/>
          </w:tcPr>
          <w:p w14:paraId="1A5A0EBA" w14:textId="77777777" w:rsidR="003E5BF5" w:rsidRPr="004E61F7" w:rsidRDefault="003E5BF5" w:rsidP="00DE1921">
            <w:pPr>
              <w:jc w:val="right"/>
              <w:rPr>
                <w:rFonts w:ascii="Arial" w:hAnsi="Arial" w:cs="Arial"/>
              </w:rPr>
            </w:pPr>
            <w:r w:rsidRPr="004E61F7">
              <w:rPr>
                <w:rFonts w:ascii="Arial" w:hAnsi="Arial" w:cs="Arial"/>
              </w:rPr>
              <w:t xml:space="preserve">700,248 </w:t>
            </w:r>
          </w:p>
        </w:tc>
        <w:tc>
          <w:tcPr>
            <w:tcW w:w="1052" w:type="dxa"/>
            <w:shd w:val="clear" w:color="auto" w:fill="auto"/>
            <w:noWrap/>
            <w:vAlign w:val="center"/>
            <w:hideMark/>
          </w:tcPr>
          <w:p w14:paraId="0BF3AE72" w14:textId="77777777" w:rsidR="003E5BF5" w:rsidRPr="004E61F7" w:rsidRDefault="003E5BF5" w:rsidP="00DE1921">
            <w:pPr>
              <w:jc w:val="right"/>
              <w:rPr>
                <w:rFonts w:ascii="Arial" w:hAnsi="Arial" w:cs="Arial"/>
              </w:rPr>
            </w:pPr>
            <w:r w:rsidRPr="004E61F7">
              <w:rPr>
                <w:rFonts w:ascii="Arial" w:hAnsi="Arial" w:cs="Arial"/>
              </w:rPr>
              <w:t xml:space="preserve">739,419 </w:t>
            </w:r>
          </w:p>
        </w:tc>
        <w:tc>
          <w:tcPr>
            <w:tcW w:w="4446" w:type="dxa"/>
            <w:shd w:val="clear" w:color="auto" w:fill="auto"/>
            <w:vAlign w:val="center"/>
            <w:hideMark/>
          </w:tcPr>
          <w:p w14:paraId="1E77F9B9" w14:textId="77777777" w:rsidR="003E5BF5" w:rsidRPr="004E61F7" w:rsidRDefault="003E5BF5" w:rsidP="00DE1921">
            <w:pPr>
              <w:rPr>
                <w:rFonts w:ascii="Arial" w:hAnsi="Arial" w:cs="Arial"/>
              </w:rPr>
            </w:pPr>
            <w:r w:rsidRPr="004E61F7">
              <w:rPr>
                <w:rFonts w:ascii="Arial" w:hAnsi="Arial" w:cs="Arial"/>
              </w:rPr>
              <w:t>Grant of right to operate liability</w:t>
            </w:r>
          </w:p>
        </w:tc>
        <w:tc>
          <w:tcPr>
            <w:tcW w:w="1163" w:type="dxa"/>
            <w:shd w:val="clear" w:color="auto" w:fill="auto"/>
            <w:noWrap/>
            <w:vAlign w:val="center"/>
            <w:hideMark/>
          </w:tcPr>
          <w:p w14:paraId="7BB3EB6C" w14:textId="77777777" w:rsidR="003E5BF5" w:rsidRPr="004E61F7" w:rsidRDefault="003E5BF5" w:rsidP="00DE1921">
            <w:pPr>
              <w:jc w:val="right"/>
              <w:rPr>
                <w:rFonts w:ascii="Arial" w:hAnsi="Arial" w:cs="Arial"/>
              </w:rPr>
            </w:pPr>
            <w:r w:rsidRPr="004E61F7">
              <w:rPr>
                <w:rFonts w:ascii="Arial" w:hAnsi="Arial" w:cs="Arial"/>
              </w:rPr>
              <w:t xml:space="preserve">2,101,102 </w:t>
            </w:r>
          </w:p>
        </w:tc>
        <w:tc>
          <w:tcPr>
            <w:tcW w:w="1163" w:type="dxa"/>
            <w:shd w:val="clear" w:color="auto" w:fill="auto"/>
            <w:noWrap/>
            <w:vAlign w:val="center"/>
            <w:hideMark/>
          </w:tcPr>
          <w:p w14:paraId="405B776F" w14:textId="77777777" w:rsidR="003E5BF5" w:rsidRPr="004E61F7" w:rsidRDefault="003E5BF5" w:rsidP="00DE1921">
            <w:pPr>
              <w:jc w:val="right"/>
              <w:rPr>
                <w:rFonts w:ascii="Arial" w:hAnsi="Arial" w:cs="Arial"/>
              </w:rPr>
            </w:pPr>
            <w:r w:rsidRPr="004E61F7">
              <w:rPr>
                <w:rFonts w:ascii="Arial" w:hAnsi="Arial" w:cs="Arial"/>
              </w:rPr>
              <w:t xml:space="preserve">2,230,790 </w:t>
            </w:r>
          </w:p>
        </w:tc>
      </w:tr>
      <w:tr w:rsidR="003E5BF5" w:rsidRPr="004E61F7" w14:paraId="59A20B48" w14:textId="77777777" w:rsidTr="000F285B">
        <w:trPr>
          <w:trHeight w:val="340"/>
          <w:jc w:val="center"/>
        </w:trPr>
        <w:tc>
          <w:tcPr>
            <w:tcW w:w="2225" w:type="dxa"/>
            <w:shd w:val="clear" w:color="auto" w:fill="auto"/>
            <w:hideMark/>
          </w:tcPr>
          <w:p w14:paraId="2CFF1661" w14:textId="77777777" w:rsidR="003E5BF5" w:rsidRPr="004E61F7" w:rsidRDefault="003E5BF5" w:rsidP="00DE1921">
            <w:pPr>
              <w:rPr>
                <w:rFonts w:ascii="Arial" w:hAnsi="Arial" w:cs="Arial"/>
              </w:rPr>
            </w:pPr>
            <w:r w:rsidRPr="004E61F7">
              <w:rPr>
                <w:rFonts w:ascii="Arial" w:hAnsi="Arial" w:cs="Arial"/>
              </w:rPr>
              <w:t>Note 5.1 Property, plant and equipment</w:t>
            </w:r>
          </w:p>
        </w:tc>
        <w:tc>
          <w:tcPr>
            <w:tcW w:w="2507" w:type="dxa"/>
            <w:shd w:val="clear" w:color="auto" w:fill="auto"/>
            <w:hideMark/>
          </w:tcPr>
          <w:p w14:paraId="510A558A" w14:textId="77777777" w:rsidR="003E5BF5" w:rsidRPr="004E61F7" w:rsidRDefault="003E5BF5" w:rsidP="00DE1921">
            <w:pPr>
              <w:rPr>
                <w:rFonts w:ascii="Arial" w:hAnsi="Arial" w:cs="Arial"/>
              </w:rPr>
            </w:pPr>
            <w:r w:rsidRPr="004E61F7">
              <w:rPr>
                <w:rFonts w:ascii="Arial" w:hAnsi="Arial" w:cs="Arial"/>
              </w:rPr>
              <w:t>—</w:t>
            </w:r>
          </w:p>
        </w:tc>
        <w:tc>
          <w:tcPr>
            <w:tcW w:w="1052" w:type="dxa"/>
            <w:shd w:val="clear" w:color="auto" w:fill="auto"/>
            <w:noWrap/>
            <w:hideMark/>
          </w:tcPr>
          <w:p w14:paraId="148061DB" w14:textId="77777777" w:rsidR="003E5BF5" w:rsidRPr="004E61F7" w:rsidRDefault="003E5BF5" w:rsidP="00DE1921">
            <w:pPr>
              <w:jc w:val="right"/>
              <w:rPr>
                <w:rFonts w:ascii="Arial" w:hAnsi="Arial" w:cs="Arial"/>
              </w:rPr>
            </w:pPr>
            <w:r w:rsidRPr="004E61F7">
              <w:rPr>
                <w:rFonts w:ascii="Arial" w:hAnsi="Arial" w:cs="Arial"/>
              </w:rPr>
              <w:t xml:space="preserve"> - </w:t>
            </w:r>
          </w:p>
        </w:tc>
        <w:tc>
          <w:tcPr>
            <w:tcW w:w="1052" w:type="dxa"/>
            <w:shd w:val="clear" w:color="auto" w:fill="auto"/>
            <w:noWrap/>
            <w:hideMark/>
          </w:tcPr>
          <w:p w14:paraId="1C36D66B" w14:textId="77777777" w:rsidR="003E5BF5" w:rsidRPr="004E61F7" w:rsidRDefault="003E5BF5" w:rsidP="00DE1921">
            <w:pPr>
              <w:jc w:val="right"/>
              <w:rPr>
                <w:rFonts w:ascii="Arial" w:hAnsi="Arial" w:cs="Arial"/>
              </w:rPr>
            </w:pPr>
            <w:r w:rsidRPr="004E61F7">
              <w:rPr>
                <w:rFonts w:ascii="Arial" w:hAnsi="Arial" w:cs="Arial"/>
              </w:rPr>
              <w:t xml:space="preserve"> - </w:t>
            </w:r>
          </w:p>
        </w:tc>
        <w:tc>
          <w:tcPr>
            <w:tcW w:w="4446" w:type="dxa"/>
            <w:shd w:val="clear" w:color="auto" w:fill="auto"/>
            <w:hideMark/>
          </w:tcPr>
          <w:p w14:paraId="7ECC81C3" w14:textId="77777777" w:rsidR="003E5BF5" w:rsidRPr="004E61F7" w:rsidRDefault="003E5BF5" w:rsidP="00DE1921">
            <w:pPr>
              <w:rPr>
                <w:rFonts w:ascii="Arial" w:hAnsi="Arial" w:cs="Arial"/>
              </w:rPr>
            </w:pPr>
            <w:r w:rsidRPr="004E61F7">
              <w:rPr>
                <w:rFonts w:ascii="Arial" w:hAnsi="Arial" w:cs="Arial"/>
              </w:rPr>
              <w:t>Service concession asset</w:t>
            </w:r>
          </w:p>
        </w:tc>
        <w:tc>
          <w:tcPr>
            <w:tcW w:w="1163" w:type="dxa"/>
            <w:shd w:val="clear" w:color="auto" w:fill="auto"/>
            <w:noWrap/>
            <w:hideMark/>
          </w:tcPr>
          <w:p w14:paraId="069B0D34" w14:textId="77777777" w:rsidR="003E5BF5" w:rsidRPr="004E61F7" w:rsidRDefault="003E5BF5" w:rsidP="00DE1921">
            <w:pPr>
              <w:jc w:val="right"/>
              <w:rPr>
                <w:rFonts w:ascii="Arial" w:hAnsi="Arial" w:cs="Arial"/>
              </w:rPr>
            </w:pPr>
            <w:r w:rsidRPr="004E61F7">
              <w:rPr>
                <w:rFonts w:ascii="Arial" w:hAnsi="Arial" w:cs="Arial"/>
              </w:rPr>
              <w:t xml:space="preserve">4,660,819 </w:t>
            </w:r>
          </w:p>
        </w:tc>
        <w:tc>
          <w:tcPr>
            <w:tcW w:w="1163" w:type="dxa"/>
            <w:shd w:val="clear" w:color="auto" w:fill="auto"/>
            <w:noWrap/>
            <w:hideMark/>
          </w:tcPr>
          <w:p w14:paraId="05564502" w14:textId="77777777" w:rsidR="003E5BF5" w:rsidRPr="004E61F7" w:rsidRDefault="003E5BF5" w:rsidP="00DE1921">
            <w:pPr>
              <w:jc w:val="right"/>
              <w:rPr>
                <w:rFonts w:ascii="Arial" w:hAnsi="Arial" w:cs="Arial"/>
              </w:rPr>
            </w:pPr>
            <w:r w:rsidRPr="004E61F7">
              <w:rPr>
                <w:rFonts w:ascii="Arial" w:hAnsi="Arial" w:cs="Arial"/>
              </w:rPr>
              <w:t xml:space="preserve">3,798,114 </w:t>
            </w:r>
          </w:p>
        </w:tc>
      </w:tr>
      <w:tr w:rsidR="003E5BF5" w:rsidRPr="004E61F7" w14:paraId="4DEA4BEA" w14:textId="77777777" w:rsidTr="000F285B">
        <w:trPr>
          <w:trHeight w:val="340"/>
          <w:jc w:val="center"/>
        </w:trPr>
        <w:tc>
          <w:tcPr>
            <w:tcW w:w="2225" w:type="dxa"/>
            <w:shd w:val="clear" w:color="auto" w:fill="auto"/>
            <w:hideMark/>
          </w:tcPr>
          <w:p w14:paraId="3897B3C8" w14:textId="77777777" w:rsidR="003E5BF5" w:rsidRPr="004E61F7" w:rsidRDefault="003E5BF5" w:rsidP="00DE1921">
            <w:pPr>
              <w:rPr>
                <w:rFonts w:ascii="Arial" w:hAnsi="Arial" w:cs="Arial"/>
              </w:rPr>
            </w:pPr>
            <w:r w:rsidRPr="004E61F7">
              <w:rPr>
                <w:rFonts w:ascii="Arial" w:hAnsi="Arial" w:cs="Arial"/>
              </w:rPr>
              <w:t>Note 3.5 Other operating expenses</w:t>
            </w:r>
          </w:p>
        </w:tc>
        <w:tc>
          <w:tcPr>
            <w:tcW w:w="2507" w:type="dxa"/>
            <w:shd w:val="clear" w:color="auto" w:fill="auto"/>
            <w:hideMark/>
          </w:tcPr>
          <w:p w14:paraId="2ED8C557" w14:textId="77777777" w:rsidR="003E5BF5" w:rsidRPr="004E61F7" w:rsidRDefault="003E5BF5" w:rsidP="00DE1921">
            <w:pPr>
              <w:rPr>
                <w:rFonts w:ascii="Arial" w:hAnsi="Arial" w:cs="Arial"/>
              </w:rPr>
            </w:pPr>
            <w:r w:rsidRPr="004E61F7">
              <w:rPr>
                <w:rFonts w:ascii="Arial" w:hAnsi="Arial" w:cs="Arial"/>
              </w:rPr>
              <w:t>Other operating expenses</w:t>
            </w:r>
          </w:p>
        </w:tc>
        <w:tc>
          <w:tcPr>
            <w:tcW w:w="1052" w:type="dxa"/>
            <w:shd w:val="clear" w:color="auto" w:fill="auto"/>
            <w:noWrap/>
            <w:hideMark/>
          </w:tcPr>
          <w:p w14:paraId="4D177199" w14:textId="77777777" w:rsidR="003E5BF5" w:rsidRPr="004E61F7" w:rsidRDefault="003E5BF5" w:rsidP="00DE1921">
            <w:pPr>
              <w:jc w:val="right"/>
              <w:rPr>
                <w:rFonts w:ascii="Arial" w:hAnsi="Arial" w:cs="Arial"/>
              </w:rPr>
            </w:pPr>
            <w:r w:rsidRPr="004E61F7">
              <w:rPr>
                <w:rFonts w:ascii="Arial" w:hAnsi="Arial" w:cs="Arial"/>
              </w:rPr>
              <w:t>(30,229)</w:t>
            </w:r>
          </w:p>
        </w:tc>
        <w:tc>
          <w:tcPr>
            <w:tcW w:w="1052" w:type="dxa"/>
            <w:shd w:val="clear" w:color="auto" w:fill="auto"/>
            <w:noWrap/>
            <w:hideMark/>
          </w:tcPr>
          <w:p w14:paraId="176DD001" w14:textId="77777777" w:rsidR="003E5BF5" w:rsidRPr="004E61F7" w:rsidRDefault="003E5BF5" w:rsidP="00DE1921">
            <w:pPr>
              <w:jc w:val="right"/>
              <w:rPr>
                <w:rFonts w:ascii="Arial" w:hAnsi="Arial" w:cs="Arial"/>
              </w:rPr>
            </w:pPr>
            <w:r w:rsidRPr="004E61F7">
              <w:rPr>
                <w:rFonts w:ascii="Arial" w:hAnsi="Arial" w:cs="Arial"/>
              </w:rPr>
              <w:t>(30,291)</w:t>
            </w:r>
          </w:p>
        </w:tc>
        <w:tc>
          <w:tcPr>
            <w:tcW w:w="4446" w:type="dxa"/>
            <w:shd w:val="clear" w:color="auto" w:fill="auto"/>
            <w:hideMark/>
          </w:tcPr>
          <w:p w14:paraId="6AD16C89" w14:textId="77777777" w:rsidR="003E5BF5" w:rsidRPr="004E61F7" w:rsidRDefault="003E5BF5" w:rsidP="00DE1921">
            <w:pPr>
              <w:rPr>
                <w:rFonts w:ascii="Arial" w:hAnsi="Arial" w:cs="Arial"/>
              </w:rPr>
            </w:pPr>
            <w:r w:rsidRPr="004E61F7">
              <w:rPr>
                <w:rFonts w:ascii="Arial" w:hAnsi="Arial" w:cs="Arial"/>
              </w:rPr>
              <w:t>Other operating expenses</w:t>
            </w:r>
          </w:p>
        </w:tc>
        <w:tc>
          <w:tcPr>
            <w:tcW w:w="1163" w:type="dxa"/>
            <w:shd w:val="clear" w:color="auto" w:fill="auto"/>
            <w:noWrap/>
            <w:hideMark/>
          </w:tcPr>
          <w:p w14:paraId="7F3DAA1E" w14:textId="77777777" w:rsidR="003E5BF5" w:rsidRPr="004E61F7" w:rsidRDefault="003E5BF5" w:rsidP="00DE1921">
            <w:pPr>
              <w:jc w:val="right"/>
              <w:rPr>
                <w:rFonts w:ascii="Arial" w:hAnsi="Arial" w:cs="Arial"/>
              </w:rPr>
            </w:pPr>
            <w:r w:rsidRPr="004E61F7">
              <w:rPr>
                <w:rFonts w:ascii="Arial" w:hAnsi="Arial" w:cs="Arial"/>
              </w:rPr>
              <w:t>(30,229)</w:t>
            </w:r>
          </w:p>
        </w:tc>
        <w:tc>
          <w:tcPr>
            <w:tcW w:w="1163" w:type="dxa"/>
            <w:shd w:val="clear" w:color="auto" w:fill="auto"/>
            <w:noWrap/>
            <w:hideMark/>
          </w:tcPr>
          <w:p w14:paraId="7BB445E5" w14:textId="77777777" w:rsidR="003E5BF5" w:rsidRPr="004E61F7" w:rsidRDefault="003E5BF5" w:rsidP="00DE1921">
            <w:pPr>
              <w:jc w:val="right"/>
              <w:rPr>
                <w:rFonts w:ascii="Arial" w:hAnsi="Arial" w:cs="Arial"/>
              </w:rPr>
            </w:pPr>
            <w:r w:rsidRPr="004E61F7">
              <w:rPr>
                <w:rFonts w:ascii="Arial" w:hAnsi="Arial" w:cs="Arial"/>
              </w:rPr>
              <w:t>(30,291)</w:t>
            </w:r>
          </w:p>
        </w:tc>
      </w:tr>
      <w:tr w:rsidR="003E5BF5" w:rsidRPr="004E61F7" w14:paraId="5FC73F84" w14:textId="77777777" w:rsidTr="000F285B">
        <w:trPr>
          <w:trHeight w:val="340"/>
          <w:jc w:val="center"/>
        </w:trPr>
        <w:tc>
          <w:tcPr>
            <w:tcW w:w="2225" w:type="dxa"/>
            <w:shd w:val="clear" w:color="auto" w:fill="auto"/>
            <w:vAlign w:val="center"/>
            <w:hideMark/>
          </w:tcPr>
          <w:p w14:paraId="306F353D" w14:textId="77777777" w:rsidR="003E5BF5" w:rsidRPr="004E61F7" w:rsidRDefault="003E5BF5" w:rsidP="00DE1921">
            <w:pPr>
              <w:rPr>
                <w:rFonts w:ascii="Arial" w:hAnsi="Arial" w:cs="Arial"/>
              </w:rPr>
            </w:pPr>
            <w:r w:rsidRPr="004E61F7">
              <w:rPr>
                <w:rFonts w:ascii="Arial" w:hAnsi="Arial" w:cs="Arial"/>
              </w:rPr>
              <w:t>Note 5.1.5 Depreciation</w:t>
            </w:r>
          </w:p>
        </w:tc>
        <w:tc>
          <w:tcPr>
            <w:tcW w:w="2507" w:type="dxa"/>
            <w:shd w:val="clear" w:color="auto" w:fill="auto"/>
            <w:vAlign w:val="center"/>
            <w:hideMark/>
          </w:tcPr>
          <w:p w14:paraId="355A27D9" w14:textId="77777777" w:rsidR="003E5BF5" w:rsidRPr="004E61F7" w:rsidRDefault="003E5BF5" w:rsidP="00DE1921">
            <w:pPr>
              <w:rPr>
                <w:rFonts w:ascii="Arial" w:hAnsi="Arial" w:cs="Arial"/>
              </w:rPr>
            </w:pPr>
            <w:r w:rsidRPr="004E61F7">
              <w:rPr>
                <w:rFonts w:ascii="Arial" w:hAnsi="Arial" w:cs="Arial"/>
              </w:rPr>
              <w:t>—</w:t>
            </w:r>
          </w:p>
        </w:tc>
        <w:tc>
          <w:tcPr>
            <w:tcW w:w="1052" w:type="dxa"/>
            <w:shd w:val="clear" w:color="auto" w:fill="auto"/>
            <w:noWrap/>
            <w:vAlign w:val="center"/>
            <w:hideMark/>
          </w:tcPr>
          <w:p w14:paraId="5EB77CA2" w14:textId="77777777" w:rsidR="003E5BF5" w:rsidRPr="004E61F7" w:rsidRDefault="003E5BF5" w:rsidP="00DE1921">
            <w:pPr>
              <w:jc w:val="right"/>
              <w:rPr>
                <w:rFonts w:ascii="Arial" w:hAnsi="Arial" w:cs="Arial"/>
              </w:rPr>
            </w:pPr>
            <w:r w:rsidRPr="004E61F7">
              <w:rPr>
                <w:rFonts w:ascii="Arial" w:hAnsi="Arial" w:cs="Arial"/>
              </w:rPr>
              <w:t xml:space="preserve"> - </w:t>
            </w:r>
          </w:p>
        </w:tc>
        <w:tc>
          <w:tcPr>
            <w:tcW w:w="1052" w:type="dxa"/>
            <w:shd w:val="clear" w:color="auto" w:fill="auto"/>
            <w:noWrap/>
            <w:vAlign w:val="center"/>
            <w:hideMark/>
          </w:tcPr>
          <w:p w14:paraId="403533A9" w14:textId="77777777" w:rsidR="003E5BF5" w:rsidRPr="004E61F7" w:rsidRDefault="003E5BF5" w:rsidP="00DE1921">
            <w:pPr>
              <w:jc w:val="right"/>
              <w:rPr>
                <w:rFonts w:ascii="Arial" w:hAnsi="Arial" w:cs="Arial"/>
              </w:rPr>
            </w:pPr>
            <w:r w:rsidRPr="004E61F7">
              <w:rPr>
                <w:rFonts w:ascii="Arial" w:hAnsi="Arial" w:cs="Arial"/>
              </w:rPr>
              <w:t xml:space="preserve"> - </w:t>
            </w:r>
          </w:p>
        </w:tc>
        <w:tc>
          <w:tcPr>
            <w:tcW w:w="4446" w:type="dxa"/>
            <w:shd w:val="clear" w:color="auto" w:fill="auto"/>
            <w:vAlign w:val="center"/>
            <w:hideMark/>
          </w:tcPr>
          <w:p w14:paraId="540BA7F2" w14:textId="77777777" w:rsidR="003E5BF5" w:rsidRPr="004E61F7" w:rsidRDefault="003E5BF5" w:rsidP="00DE1921">
            <w:pPr>
              <w:rPr>
                <w:rFonts w:ascii="Arial" w:hAnsi="Arial" w:cs="Arial"/>
              </w:rPr>
            </w:pPr>
            <w:r w:rsidRPr="004E61F7">
              <w:rPr>
                <w:rFonts w:ascii="Arial" w:hAnsi="Arial" w:cs="Arial"/>
              </w:rPr>
              <w:t>Service concession asset depreciation</w:t>
            </w:r>
          </w:p>
        </w:tc>
        <w:tc>
          <w:tcPr>
            <w:tcW w:w="1163" w:type="dxa"/>
            <w:shd w:val="clear" w:color="auto" w:fill="auto"/>
            <w:noWrap/>
            <w:vAlign w:val="center"/>
            <w:hideMark/>
          </w:tcPr>
          <w:p w14:paraId="5E36C8AD" w14:textId="77777777" w:rsidR="003E5BF5" w:rsidRPr="004E61F7" w:rsidRDefault="003E5BF5" w:rsidP="00DE1921">
            <w:pPr>
              <w:jc w:val="right"/>
              <w:rPr>
                <w:rFonts w:ascii="Arial" w:hAnsi="Arial" w:cs="Arial"/>
              </w:rPr>
            </w:pPr>
            <w:r w:rsidRPr="004E61F7">
              <w:rPr>
                <w:rFonts w:ascii="Arial" w:hAnsi="Arial" w:cs="Arial"/>
              </w:rPr>
              <w:t>(68,212)</w:t>
            </w:r>
          </w:p>
        </w:tc>
        <w:tc>
          <w:tcPr>
            <w:tcW w:w="1163" w:type="dxa"/>
            <w:shd w:val="clear" w:color="auto" w:fill="auto"/>
            <w:noWrap/>
            <w:vAlign w:val="center"/>
            <w:hideMark/>
          </w:tcPr>
          <w:p w14:paraId="76BD85E9" w14:textId="77777777" w:rsidR="003E5BF5" w:rsidRPr="004E61F7" w:rsidRDefault="003E5BF5" w:rsidP="00DE1921">
            <w:pPr>
              <w:jc w:val="right"/>
              <w:rPr>
                <w:rFonts w:ascii="Arial" w:hAnsi="Arial" w:cs="Arial"/>
              </w:rPr>
            </w:pPr>
            <w:r w:rsidRPr="004E61F7">
              <w:rPr>
                <w:rFonts w:ascii="Arial" w:hAnsi="Arial" w:cs="Arial"/>
              </w:rPr>
              <w:t>(80,053)</w:t>
            </w:r>
          </w:p>
        </w:tc>
      </w:tr>
      <w:tr w:rsidR="003E5BF5" w:rsidRPr="004E61F7" w14:paraId="09BB0C1B" w14:textId="77777777" w:rsidTr="000F285B">
        <w:trPr>
          <w:trHeight w:val="340"/>
          <w:jc w:val="center"/>
        </w:trPr>
        <w:tc>
          <w:tcPr>
            <w:tcW w:w="2225" w:type="dxa"/>
            <w:tcBorders>
              <w:bottom w:val="single" w:sz="4" w:space="0" w:color="auto"/>
            </w:tcBorders>
            <w:shd w:val="clear" w:color="auto" w:fill="auto"/>
            <w:vAlign w:val="center"/>
            <w:hideMark/>
          </w:tcPr>
          <w:p w14:paraId="79DC9F2A" w14:textId="77777777" w:rsidR="003E5BF5" w:rsidRPr="004E61F7" w:rsidRDefault="003E5BF5" w:rsidP="00DE1921">
            <w:pPr>
              <w:rPr>
                <w:rFonts w:ascii="Arial" w:hAnsi="Arial" w:cs="Arial"/>
              </w:rPr>
            </w:pPr>
            <w:r w:rsidRPr="004E61F7">
              <w:rPr>
                <w:rFonts w:ascii="Arial" w:hAnsi="Arial" w:cs="Arial"/>
              </w:rPr>
              <w:t>Note 2.4 Other income</w:t>
            </w:r>
          </w:p>
        </w:tc>
        <w:tc>
          <w:tcPr>
            <w:tcW w:w="2507" w:type="dxa"/>
            <w:tcBorders>
              <w:bottom w:val="single" w:sz="4" w:space="0" w:color="auto"/>
            </w:tcBorders>
            <w:shd w:val="clear" w:color="auto" w:fill="auto"/>
            <w:vAlign w:val="center"/>
            <w:hideMark/>
          </w:tcPr>
          <w:p w14:paraId="1FD303E6" w14:textId="77777777" w:rsidR="003E5BF5" w:rsidRPr="004E61F7" w:rsidRDefault="003E5BF5" w:rsidP="00DE1921">
            <w:pPr>
              <w:rPr>
                <w:rFonts w:ascii="Arial" w:hAnsi="Arial" w:cs="Arial"/>
              </w:rPr>
            </w:pPr>
            <w:r w:rsidRPr="004E61F7">
              <w:rPr>
                <w:rFonts w:ascii="Arial" w:hAnsi="Arial" w:cs="Arial"/>
              </w:rPr>
              <w:t>Other income</w:t>
            </w:r>
          </w:p>
        </w:tc>
        <w:tc>
          <w:tcPr>
            <w:tcW w:w="1052" w:type="dxa"/>
            <w:tcBorders>
              <w:bottom w:val="single" w:sz="4" w:space="0" w:color="auto"/>
            </w:tcBorders>
            <w:shd w:val="clear" w:color="auto" w:fill="auto"/>
            <w:noWrap/>
            <w:vAlign w:val="center"/>
            <w:hideMark/>
          </w:tcPr>
          <w:p w14:paraId="7D4948EC" w14:textId="77777777" w:rsidR="003E5BF5" w:rsidRPr="004E61F7" w:rsidRDefault="003E5BF5" w:rsidP="00DE1921">
            <w:pPr>
              <w:jc w:val="right"/>
              <w:rPr>
                <w:rFonts w:ascii="Arial" w:hAnsi="Arial" w:cs="Arial"/>
              </w:rPr>
            </w:pPr>
            <w:r w:rsidRPr="004E61F7">
              <w:rPr>
                <w:rFonts w:ascii="Arial" w:hAnsi="Arial" w:cs="Arial"/>
              </w:rPr>
              <w:t xml:space="preserve">69,401 </w:t>
            </w:r>
          </w:p>
        </w:tc>
        <w:tc>
          <w:tcPr>
            <w:tcW w:w="1052" w:type="dxa"/>
            <w:tcBorders>
              <w:bottom w:val="single" w:sz="4" w:space="0" w:color="auto"/>
            </w:tcBorders>
            <w:shd w:val="clear" w:color="auto" w:fill="auto"/>
            <w:noWrap/>
            <w:vAlign w:val="center"/>
            <w:hideMark/>
          </w:tcPr>
          <w:p w14:paraId="7F7F72AD" w14:textId="77777777" w:rsidR="003E5BF5" w:rsidRPr="004E61F7" w:rsidRDefault="003E5BF5" w:rsidP="00DE1921">
            <w:pPr>
              <w:jc w:val="right"/>
              <w:rPr>
                <w:rFonts w:ascii="Arial" w:hAnsi="Arial" w:cs="Arial"/>
              </w:rPr>
            </w:pPr>
            <w:r w:rsidRPr="004E61F7">
              <w:rPr>
                <w:rFonts w:ascii="Arial" w:hAnsi="Arial" w:cs="Arial"/>
              </w:rPr>
              <w:t xml:space="preserve">67,568 </w:t>
            </w:r>
          </w:p>
        </w:tc>
        <w:tc>
          <w:tcPr>
            <w:tcW w:w="4446" w:type="dxa"/>
            <w:tcBorders>
              <w:bottom w:val="single" w:sz="4" w:space="0" w:color="auto"/>
            </w:tcBorders>
            <w:shd w:val="clear" w:color="auto" w:fill="auto"/>
            <w:vAlign w:val="center"/>
            <w:hideMark/>
          </w:tcPr>
          <w:p w14:paraId="575F5B3F" w14:textId="77777777" w:rsidR="003E5BF5" w:rsidRPr="004E61F7" w:rsidRDefault="003E5BF5" w:rsidP="00DE1921">
            <w:pPr>
              <w:rPr>
                <w:rFonts w:ascii="Arial" w:hAnsi="Arial" w:cs="Arial"/>
              </w:rPr>
            </w:pPr>
            <w:r w:rsidRPr="004E61F7">
              <w:rPr>
                <w:rFonts w:ascii="Arial" w:hAnsi="Arial" w:cs="Arial"/>
              </w:rPr>
              <w:t>Revenue related to service concession arrangement</w:t>
            </w:r>
          </w:p>
        </w:tc>
        <w:tc>
          <w:tcPr>
            <w:tcW w:w="1163" w:type="dxa"/>
            <w:tcBorders>
              <w:bottom w:val="single" w:sz="4" w:space="0" w:color="auto"/>
            </w:tcBorders>
            <w:shd w:val="clear" w:color="auto" w:fill="auto"/>
            <w:noWrap/>
            <w:vAlign w:val="center"/>
            <w:hideMark/>
          </w:tcPr>
          <w:p w14:paraId="003C583B" w14:textId="77777777" w:rsidR="003E5BF5" w:rsidRPr="004E61F7" w:rsidRDefault="003E5BF5" w:rsidP="00DE1921">
            <w:pPr>
              <w:jc w:val="right"/>
              <w:rPr>
                <w:rFonts w:ascii="Arial" w:hAnsi="Arial" w:cs="Arial"/>
              </w:rPr>
            </w:pPr>
            <w:r w:rsidRPr="004E61F7">
              <w:rPr>
                <w:rFonts w:ascii="Arial" w:hAnsi="Arial" w:cs="Arial"/>
              </w:rPr>
              <w:t xml:space="preserve">159,917 </w:t>
            </w:r>
          </w:p>
        </w:tc>
        <w:tc>
          <w:tcPr>
            <w:tcW w:w="1163" w:type="dxa"/>
            <w:tcBorders>
              <w:bottom w:val="single" w:sz="4" w:space="0" w:color="auto"/>
            </w:tcBorders>
            <w:shd w:val="clear" w:color="auto" w:fill="auto"/>
            <w:noWrap/>
            <w:vAlign w:val="center"/>
            <w:hideMark/>
          </w:tcPr>
          <w:p w14:paraId="261188D5" w14:textId="77777777" w:rsidR="003E5BF5" w:rsidRPr="004E61F7" w:rsidRDefault="003E5BF5" w:rsidP="00DE1921">
            <w:pPr>
              <w:jc w:val="right"/>
              <w:rPr>
                <w:rFonts w:ascii="Arial" w:hAnsi="Arial" w:cs="Arial"/>
              </w:rPr>
            </w:pPr>
            <w:r w:rsidRPr="004E61F7">
              <w:rPr>
                <w:rFonts w:ascii="Arial" w:hAnsi="Arial" w:cs="Arial"/>
              </w:rPr>
              <w:t xml:space="preserve">158,084 </w:t>
            </w:r>
          </w:p>
        </w:tc>
      </w:tr>
      <w:tr w:rsidR="003E5BF5" w:rsidRPr="004E61F7" w14:paraId="36BE633D" w14:textId="77777777" w:rsidTr="000F285B">
        <w:trPr>
          <w:trHeight w:val="340"/>
          <w:jc w:val="center"/>
        </w:trPr>
        <w:tc>
          <w:tcPr>
            <w:tcW w:w="2225" w:type="dxa"/>
            <w:tcBorders>
              <w:bottom w:val="single" w:sz="4" w:space="0" w:color="auto"/>
            </w:tcBorders>
            <w:shd w:val="clear" w:color="auto" w:fill="auto"/>
            <w:vAlign w:val="center"/>
            <w:hideMark/>
          </w:tcPr>
          <w:p w14:paraId="67CC1690" w14:textId="77777777" w:rsidR="003E5BF5" w:rsidRPr="004E61F7" w:rsidRDefault="003E5BF5" w:rsidP="00DE1921">
            <w:pPr>
              <w:rPr>
                <w:rFonts w:ascii="Arial" w:hAnsi="Arial" w:cs="Arial"/>
              </w:rPr>
            </w:pPr>
            <w:r w:rsidRPr="004E61F7">
              <w:rPr>
                <w:rFonts w:ascii="Arial" w:hAnsi="Arial" w:cs="Arial"/>
              </w:rPr>
              <w:t>Note 9.4 Equity</w:t>
            </w:r>
          </w:p>
        </w:tc>
        <w:tc>
          <w:tcPr>
            <w:tcW w:w="2507" w:type="dxa"/>
            <w:tcBorders>
              <w:bottom w:val="single" w:sz="4" w:space="0" w:color="auto"/>
            </w:tcBorders>
            <w:shd w:val="clear" w:color="auto" w:fill="auto"/>
            <w:vAlign w:val="center"/>
            <w:hideMark/>
          </w:tcPr>
          <w:p w14:paraId="1B8A7957" w14:textId="77777777" w:rsidR="003E5BF5" w:rsidRPr="004E61F7" w:rsidRDefault="003E5BF5" w:rsidP="00DE1921">
            <w:pPr>
              <w:rPr>
                <w:rFonts w:ascii="Arial" w:hAnsi="Arial" w:cs="Arial"/>
              </w:rPr>
            </w:pPr>
            <w:r w:rsidRPr="004E61F7">
              <w:rPr>
                <w:rFonts w:ascii="Arial" w:hAnsi="Arial" w:cs="Arial"/>
              </w:rPr>
              <w:t>—</w:t>
            </w:r>
          </w:p>
        </w:tc>
        <w:tc>
          <w:tcPr>
            <w:tcW w:w="1052" w:type="dxa"/>
            <w:tcBorders>
              <w:bottom w:val="single" w:sz="4" w:space="0" w:color="auto"/>
            </w:tcBorders>
            <w:shd w:val="clear" w:color="auto" w:fill="auto"/>
            <w:noWrap/>
            <w:vAlign w:val="center"/>
            <w:hideMark/>
          </w:tcPr>
          <w:p w14:paraId="2A5DCF15" w14:textId="77777777" w:rsidR="003E5BF5" w:rsidRPr="004E61F7" w:rsidRDefault="003E5BF5" w:rsidP="00DE1921">
            <w:pPr>
              <w:jc w:val="right"/>
              <w:rPr>
                <w:rFonts w:ascii="Arial" w:hAnsi="Arial" w:cs="Arial"/>
              </w:rPr>
            </w:pPr>
            <w:r w:rsidRPr="004E61F7">
              <w:rPr>
                <w:rFonts w:ascii="Arial" w:hAnsi="Arial" w:cs="Arial"/>
              </w:rPr>
              <w:t xml:space="preserve"> - </w:t>
            </w:r>
          </w:p>
        </w:tc>
        <w:tc>
          <w:tcPr>
            <w:tcW w:w="1052" w:type="dxa"/>
            <w:tcBorders>
              <w:bottom w:val="single" w:sz="4" w:space="0" w:color="auto"/>
            </w:tcBorders>
            <w:shd w:val="clear" w:color="auto" w:fill="auto"/>
            <w:noWrap/>
            <w:vAlign w:val="center"/>
            <w:hideMark/>
          </w:tcPr>
          <w:p w14:paraId="6BDE0F40" w14:textId="77777777" w:rsidR="003E5BF5" w:rsidRPr="004E61F7" w:rsidRDefault="003E5BF5" w:rsidP="00DE1921">
            <w:pPr>
              <w:jc w:val="right"/>
              <w:rPr>
                <w:rFonts w:ascii="Arial" w:hAnsi="Arial" w:cs="Arial"/>
              </w:rPr>
            </w:pPr>
            <w:r w:rsidRPr="004E61F7">
              <w:rPr>
                <w:rFonts w:ascii="Arial" w:hAnsi="Arial" w:cs="Arial"/>
              </w:rPr>
              <w:t xml:space="preserve"> - </w:t>
            </w:r>
          </w:p>
        </w:tc>
        <w:tc>
          <w:tcPr>
            <w:tcW w:w="4446" w:type="dxa"/>
            <w:tcBorders>
              <w:bottom w:val="single" w:sz="4" w:space="0" w:color="auto"/>
            </w:tcBorders>
            <w:shd w:val="clear" w:color="auto" w:fill="auto"/>
            <w:vAlign w:val="center"/>
            <w:hideMark/>
          </w:tcPr>
          <w:p w14:paraId="40FBF40D" w14:textId="77777777" w:rsidR="003E5BF5" w:rsidRPr="004E61F7" w:rsidRDefault="003E5BF5" w:rsidP="00DE1921">
            <w:pPr>
              <w:rPr>
                <w:rFonts w:ascii="Arial" w:hAnsi="Arial" w:cs="Arial"/>
              </w:rPr>
            </w:pPr>
            <w:r w:rsidRPr="004E61F7">
              <w:rPr>
                <w:rFonts w:ascii="Arial" w:hAnsi="Arial" w:cs="Arial"/>
              </w:rPr>
              <w:t>Physical asset revaluation surplus</w:t>
            </w:r>
          </w:p>
        </w:tc>
        <w:tc>
          <w:tcPr>
            <w:tcW w:w="1163" w:type="dxa"/>
            <w:tcBorders>
              <w:bottom w:val="single" w:sz="4" w:space="0" w:color="auto"/>
            </w:tcBorders>
            <w:shd w:val="clear" w:color="auto" w:fill="auto"/>
            <w:noWrap/>
            <w:vAlign w:val="center"/>
            <w:hideMark/>
          </w:tcPr>
          <w:p w14:paraId="1CCE5C7C" w14:textId="77777777" w:rsidR="003E5BF5" w:rsidRPr="004E61F7" w:rsidRDefault="003E5BF5" w:rsidP="00DE1921">
            <w:pPr>
              <w:jc w:val="right"/>
              <w:rPr>
                <w:rFonts w:ascii="Arial" w:hAnsi="Arial" w:cs="Arial"/>
              </w:rPr>
            </w:pPr>
            <w:r w:rsidRPr="004E61F7">
              <w:rPr>
                <w:rFonts w:ascii="Arial" w:hAnsi="Arial" w:cs="Arial"/>
              </w:rPr>
              <w:t xml:space="preserve">930,917 </w:t>
            </w:r>
          </w:p>
        </w:tc>
        <w:tc>
          <w:tcPr>
            <w:tcW w:w="1163" w:type="dxa"/>
            <w:tcBorders>
              <w:bottom w:val="single" w:sz="4" w:space="0" w:color="auto"/>
            </w:tcBorders>
            <w:shd w:val="clear" w:color="auto" w:fill="auto"/>
            <w:noWrap/>
            <w:vAlign w:val="center"/>
            <w:hideMark/>
          </w:tcPr>
          <w:p w14:paraId="33BEB8A5" w14:textId="77777777" w:rsidR="003E5BF5" w:rsidRPr="004E61F7" w:rsidRDefault="003E5BF5" w:rsidP="00DE1921">
            <w:pPr>
              <w:jc w:val="right"/>
              <w:rPr>
                <w:rFonts w:ascii="Arial" w:hAnsi="Arial" w:cs="Arial"/>
              </w:rPr>
            </w:pPr>
            <w:r w:rsidRPr="004E61F7">
              <w:rPr>
                <w:rFonts w:ascii="Arial" w:hAnsi="Arial" w:cs="Arial"/>
              </w:rPr>
              <w:t xml:space="preserve"> - </w:t>
            </w:r>
          </w:p>
        </w:tc>
      </w:tr>
    </w:tbl>
    <w:p w14:paraId="3162E44F" w14:textId="77777777" w:rsidR="000F285B" w:rsidRPr="00F413C5" w:rsidRDefault="000F285B" w:rsidP="004E61F7">
      <w:pPr>
        <w:pStyle w:val="Note"/>
        <w:spacing w:after="0"/>
        <w:rPr>
          <w:rFonts w:ascii="Arial" w:hAnsi="Arial" w:cs="Arial"/>
          <w:sz w:val="24"/>
          <w:szCs w:val="24"/>
        </w:rPr>
      </w:pPr>
      <w:r w:rsidRPr="00F413C5">
        <w:rPr>
          <w:rFonts w:ascii="Arial" w:hAnsi="Arial" w:cs="Arial"/>
          <w:sz w:val="24"/>
          <w:szCs w:val="24"/>
        </w:rPr>
        <w:t>Note:</w:t>
      </w:r>
    </w:p>
    <w:p w14:paraId="39DD7F5E" w14:textId="77777777" w:rsidR="000F285B" w:rsidRPr="00F413C5" w:rsidRDefault="000F285B" w:rsidP="004E61F7">
      <w:pPr>
        <w:pStyle w:val="aaaNotenumberiiiiii"/>
        <w:numPr>
          <w:ilvl w:val="0"/>
          <w:numId w:val="107"/>
        </w:numPr>
        <w:spacing w:after="0" w:line="240" w:lineRule="auto"/>
        <w:ind w:left="714" w:hanging="357"/>
      </w:pPr>
      <w:r w:rsidRPr="00F413C5">
        <w:t xml:space="preserve">The comparative figures are for illustration purposes only and do not represent information of the department’s 2018-19 Financial Statements or comparatives disclosed in its 2019-20 Financial Statements. </w:t>
      </w:r>
    </w:p>
    <w:p w14:paraId="1887DCEB" w14:textId="5F673D13" w:rsidR="003E5BF5" w:rsidRDefault="003E5BF5" w:rsidP="00152B78">
      <w:pPr>
        <w:pStyle w:val="aaatyping"/>
        <w:spacing w:after="120"/>
      </w:pPr>
      <w:r>
        <w:lastRenderedPageBreak/>
        <w:t xml:space="preserve">The Concession Deed provides for CML to lease certain land and road infrastructure from the State of Victoria during the concession period. At the end of this period, these assets along with the constructed </w:t>
      </w:r>
      <w:proofErr w:type="spellStart"/>
      <w:r>
        <w:t>CityLink</w:t>
      </w:r>
      <w:proofErr w:type="spellEnd"/>
      <w:r>
        <w:t xml:space="preserve"> service concession assets, rights and obligations will be returned to the State as the State retains the residual interest in the road infrastructure at the end of the project term. </w:t>
      </w:r>
    </w:p>
    <w:p w14:paraId="2F32D1D4" w14:textId="77777777" w:rsidR="003E5BF5" w:rsidRDefault="003E5BF5" w:rsidP="00152B78">
      <w:pPr>
        <w:pStyle w:val="aaatyping"/>
        <w:spacing w:after="120"/>
      </w:pPr>
      <w:r>
        <w:t>The State’s role is to monitor that Transurban meets its contractual obligations, and to intervene in the operation of the road only in extreme circumstances. The State has an interest in monitoring City Link both from a safety perspective and also as a representative of the broader public interest.</w:t>
      </w:r>
    </w:p>
    <w:p w14:paraId="4BA87D2B" w14:textId="77777777" w:rsidR="003E5BF5" w:rsidRDefault="003E5BF5" w:rsidP="00152B78">
      <w:pPr>
        <w:pStyle w:val="aaatyping"/>
        <w:spacing w:after="120"/>
      </w:pPr>
      <w:r>
        <w:t xml:space="preserve">Under the terms of the Concession Deed, there are certain provisions under which the State could be entitled to share in the financial success of the </w:t>
      </w:r>
      <w:proofErr w:type="spellStart"/>
      <w:r>
        <w:t>CityLink</w:t>
      </w:r>
      <w:proofErr w:type="spellEnd"/>
      <w:r>
        <w:t xml:space="preserve"> project as follows:</w:t>
      </w:r>
    </w:p>
    <w:p w14:paraId="19D6BB95" w14:textId="77777777" w:rsidR="003E5BF5" w:rsidRPr="001429C9" w:rsidRDefault="003E5BF5" w:rsidP="00152B78">
      <w:pPr>
        <w:pStyle w:val="aaabullet"/>
      </w:pPr>
      <w:r w:rsidRPr="001429C9">
        <w:t>Additional concession fees where the CML revenue and equity return exceed the benchmarks set out in the original Base Case Financial Model;</w:t>
      </w:r>
    </w:p>
    <w:p w14:paraId="5DE6F840" w14:textId="77777777" w:rsidR="003E5BF5" w:rsidRPr="001429C9" w:rsidRDefault="003E5BF5" w:rsidP="00152B78">
      <w:pPr>
        <w:pStyle w:val="aaabullet"/>
      </w:pPr>
      <w:r w:rsidRPr="001429C9">
        <w:t>Variable Lease Rental expected to commence in 2035;</w:t>
      </w:r>
    </w:p>
    <w:p w14:paraId="00CEA724" w14:textId="77777777" w:rsidR="003E5BF5" w:rsidRPr="001429C9" w:rsidRDefault="003E5BF5" w:rsidP="00152B78">
      <w:pPr>
        <w:pStyle w:val="aaabullet"/>
      </w:pPr>
      <w:r w:rsidRPr="001429C9">
        <w:t>Early end to concession period if specified equity return threshold is reached; and</w:t>
      </w:r>
    </w:p>
    <w:p w14:paraId="12EEB52C" w14:textId="77777777" w:rsidR="003E5BF5" w:rsidRPr="001429C9" w:rsidRDefault="003E5BF5" w:rsidP="00152B78">
      <w:pPr>
        <w:pStyle w:val="aaabullet"/>
      </w:pPr>
      <w:r w:rsidRPr="001429C9">
        <w:t xml:space="preserve">Share of revenue based on compensable enhancements events which result in additional revenue for </w:t>
      </w:r>
      <w:proofErr w:type="spellStart"/>
      <w:r w:rsidRPr="001429C9">
        <w:t>CityLink</w:t>
      </w:r>
      <w:proofErr w:type="spellEnd"/>
      <w:r w:rsidRPr="001429C9">
        <w:t>.</w:t>
      </w:r>
    </w:p>
    <w:p w14:paraId="6AA90916" w14:textId="77777777" w:rsidR="003E5BF5" w:rsidRDefault="003E5BF5" w:rsidP="00152B78">
      <w:pPr>
        <w:pStyle w:val="aaatyping"/>
        <w:spacing w:after="120"/>
      </w:pPr>
      <w:r>
        <w:t>To-date, none of the above events have occurred.</w:t>
      </w:r>
    </w:p>
    <w:p w14:paraId="71CE8DDC" w14:textId="77777777" w:rsidR="003E5BF5" w:rsidRDefault="003E5BF5" w:rsidP="00152B78">
      <w:pPr>
        <w:pStyle w:val="aaatyping"/>
        <w:spacing w:after="120"/>
      </w:pPr>
      <w:r>
        <w:t>There were no changes to the arrangements during the reporting period.</w:t>
      </w:r>
    </w:p>
    <w:p w14:paraId="1C2512A2" w14:textId="77777777" w:rsidR="003E5BF5" w:rsidRPr="00081911" w:rsidRDefault="003E5BF5" w:rsidP="00610F5F">
      <w:pPr>
        <w:pStyle w:val="Heading5"/>
        <w:numPr>
          <w:ilvl w:val="3"/>
          <w:numId w:val="21"/>
        </w:numPr>
      </w:pPr>
      <w:r w:rsidRPr="00081911">
        <w:lastRenderedPageBreak/>
        <w:t>Southern Cross Station – Financial liability model</w:t>
      </w:r>
    </w:p>
    <w:p w14:paraId="55487EEE" w14:textId="77777777" w:rsidR="003E5BF5" w:rsidRDefault="003E5BF5" w:rsidP="00A85601">
      <w:pPr>
        <w:pStyle w:val="aaatyping"/>
      </w:pPr>
      <w:r>
        <w:t>In July 2002, the State entered into a Service and Development Agreement (SDA) with Civic Nexus Pty Ltd (CNPL) for the redevelopment of Southern Cross Station (Station) under a PPP financial liability model. CNPL is responsible for the design, construction, operation and maintenance of the Station for a period of 30 years ending in June 2036, at which time these service concession assets, rights and obligations will transfer back to the State. Construction commenced in September 2002 and completed in August 2006.</w:t>
      </w:r>
    </w:p>
    <w:p w14:paraId="593A657F" w14:textId="77777777" w:rsidR="003E5BF5" w:rsidRDefault="003E5BF5" w:rsidP="00A85601">
      <w:pPr>
        <w:pStyle w:val="aaatyping"/>
      </w:pPr>
      <w:r>
        <w:t>The State compensates CNPL through quarterly service payments (QSPs) for delivery of operating and maintenance services that are subject to abatement in accordance with the terms and conditions of the SDA. These payments comprise a capital component associated with the design, construction and financing of the Station redevelopment, and components relating to the ongoing operation and maintenance costs.</w:t>
      </w:r>
    </w:p>
    <w:p w14:paraId="3054AEB3" w14:textId="77777777" w:rsidR="003E5BF5" w:rsidRDefault="003E5BF5" w:rsidP="00A85601">
      <w:pPr>
        <w:pStyle w:val="aaatyping"/>
      </w:pPr>
      <w:r>
        <w:t>The State has control over what services are provided with the project assets, and as a result, CNPL is required to operate and maintain the project asset with the objective of making the asset available for public use, at their own discretion based on terms and conditions specified in the agreement. These functions are critical to the provision of public services as the assets would not be capable of operating, from an operational and safety perspective, without these maintenance services which bring the assets to a specified operating standard.</w:t>
      </w:r>
    </w:p>
    <w:p w14:paraId="3BBEE2A4" w14:textId="77777777" w:rsidR="003E5BF5" w:rsidRPr="008F7905" w:rsidRDefault="003E5BF5" w:rsidP="00A85601">
      <w:pPr>
        <w:pStyle w:val="aaatyping"/>
      </w:pPr>
      <w:r w:rsidRPr="00BB70C5">
        <w:lastRenderedPageBreak/>
        <w:t xml:space="preserve">The Southern Cross Station PPP arrangement transferred from PTV to the </w:t>
      </w:r>
      <w:r>
        <w:t>d</w:t>
      </w:r>
      <w:r w:rsidRPr="00BB70C5">
        <w:t xml:space="preserve">epartment as part of the </w:t>
      </w:r>
      <w:proofErr w:type="spellStart"/>
      <w:r>
        <w:t>MoG</w:t>
      </w:r>
      <w:proofErr w:type="spellEnd"/>
      <w:r w:rsidRPr="00BB70C5">
        <w:t xml:space="preserve"> change that integrated VicRoads and PTV into </w:t>
      </w:r>
      <w:r>
        <w:t>the department</w:t>
      </w:r>
      <w:r w:rsidRPr="00BB70C5">
        <w:t xml:space="preserve">. PTV adopted the standard for the first time retrospectively based on its 2018-19 Financial Statements and then transferred balances as contributed capital to the </w:t>
      </w:r>
      <w:r>
        <w:t>d</w:t>
      </w:r>
      <w:r w:rsidRPr="00BB70C5">
        <w:t xml:space="preserve">epartment on 1 July 2019. There are no comparatives relating to PTV within the department’s current year financial statements, however in order to provide a better illustration to the users that compares the pre and post adoption of AASB 1059, the department included a table of how the arrangement would had been disclosed had PTV prepared its own financial statements in 2019-20. A summary of the arrangement is included </w:t>
      </w:r>
      <w:r>
        <w:t>below:</w:t>
      </w:r>
    </w:p>
    <w:p w14:paraId="15C076EB" w14:textId="77777777" w:rsidR="003E5BF5" w:rsidRDefault="003E5BF5" w:rsidP="00DE1921">
      <w:pPr>
        <w:sectPr w:rsidR="003E5BF5" w:rsidSect="00DE1921">
          <w:headerReference w:type="even" r:id="rId165"/>
          <w:headerReference w:type="default" r:id="rId166"/>
          <w:footerReference w:type="even" r:id="rId167"/>
          <w:pgSz w:w="16838" w:h="11906" w:orient="landscape"/>
          <w:pgMar w:top="1418" w:right="1701" w:bottom="1418" w:left="1418" w:header="709" w:footer="709" w:gutter="0"/>
          <w:cols w:space="708"/>
          <w:docGrid w:linePitch="360"/>
        </w:sectPr>
      </w:pPr>
    </w:p>
    <w:tbl>
      <w:tblPr>
        <w:tblStyle w:val="TableGrid"/>
        <w:tblW w:w="13608" w:type="dxa"/>
        <w:jc w:val="center"/>
        <w:tblLayout w:type="fixed"/>
        <w:tblLook w:val="04A0" w:firstRow="1" w:lastRow="0" w:firstColumn="1" w:lastColumn="0" w:noHBand="0" w:noVBand="1"/>
      </w:tblPr>
      <w:tblGrid>
        <w:gridCol w:w="2247"/>
        <w:gridCol w:w="3227"/>
        <w:gridCol w:w="1131"/>
        <w:gridCol w:w="1131"/>
        <w:gridCol w:w="3646"/>
        <w:gridCol w:w="1113"/>
        <w:gridCol w:w="1113"/>
      </w:tblGrid>
      <w:tr w:rsidR="003E5BF5" w:rsidRPr="00F413C5" w14:paraId="428EB3EA" w14:textId="77777777" w:rsidTr="000F285B">
        <w:trPr>
          <w:trHeight w:val="340"/>
          <w:jc w:val="center"/>
        </w:trPr>
        <w:tc>
          <w:tcPr>
            <w:tcW w:w="2247" w:type="dxa"/>
            <w:shd w:val="clear" w:color="auto" w:fill="auto"/>
            <w:hideMark/>
          </w:tcPr>
          <w:p w14:paraId="4EA891B3" w14:textId="77777777" w:rsidR="003E5BF5" w:rsidRPr="00F413C5" w:rsidRDefault="003E5BF5" w:rsidP="00DE1921">
            <w:pPr>
              <w:rPr>
                <w:rFonts w:ascii="Arial" w:hAnsi="Arial" w:cs="Arial"/>
                <w:sz w:val="24"/>
                <w:szCs w:val="24"/>
              </w:rPr>
            </w:pPr>
          </w:p>
        </w:tc>
        <w:tc>
          <w:tcPr>
            <w:tcW w:w="11361" w:type="dxa"/>
            <w:gridSpan w:val="6"/>
            <w:shd w:val="clear" w:color="auto" w:fill="auto"/>
            <w:vAlign w:val="center"/>
            <w:hideMark/>
          </w:tcPr>
          <w:p w14:paraId="33EA676E"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 thousand)</w:t>
            </w:r>
          </w:p>
        </w:tc>
      </w:tr>
      <w:tr w:rsidR="003E5BF5" w:rsidRPr="00F413C5" w14:paraId="774844CD" w14:textId="77777777" w:rsidTr="000F285B">
        <w:trPr>
          <w:trHeight w:val="340"/>
          <w:jc w:val="center"/>
        </w:trPr>
        <w:tc>
          <w:tcPr>
            <w:tcW w:w="2247" w:type="dxa"/>
            <w:shd w:val="clear" w:color="auto" w:fill="auto"/>
            <w:hideMark/>
          </w:tcPr>
          <w:p w14:paraId="7798E063" w14:textId="77777777" w:rsidR="003E5BF5" w:rsidRPr="00F413C5" w:rsidRDefault="003E5BF5" w:rsidP="00DE1921">
            <w:pPr>
              <w:rPr>
                <w:rFonts w:ascii="Arial" w:hAnsi="Arial" w:cs="Arial"/>
                <w:sz w:val="24"/>
                <w:szCs w:val="24"/>
              </w:rPr>
            </w:pPr>
          </w:p>
        </w:tc>
        <w:tc>
          <w:tcPr>
            <w:tcW w:w="11361" w:type="dxa"/>
            <w:gridSpan w:val="6"/>
            <w:shd w:val="clear" w:color="auto" w:fill="auto"/>
            <w:vAlign w:val="center"/>
            <w:hideMark/>
          </w:tcPr>
          <w:p w14:paraId="3EE521A3"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Southern Cross Station</w:t>
            </w:r>
          </w:p>
        </w:tc>
      </w:tr>
      <w:tr w:rsidR="003E5BF5" w:rsidRPr="00F413C5" w14:paraId="30BDE9D2" w14:textId="77777777" w:rsidTr="000F285B">
        <w:trPr>
          <w:trHeight w:val="340"/>
          <w:jc w:val="center"/>
        </w:trPr>
        <w:tc>
          <w:tcPr>
            <w:tcW w:w="2247" w:type="dxa"/>
            <w:shd w:val="clear" w:color="auto" w:fill="auto"/>
            <w:hideMark/>
          </w:tcPr>
          <w:p w14:paraId="2A845D77" w14:textId="77777777" w:rsidR="003E5BF5" w:rsidRPr="00F413C5" w:rsidRDefault="003E5BF5" w:rsidP="00DE1921">
            <w:pPr>
              <w:rPr>
                <w:rFonts w:ascii="Arial" w:hAnsi="Arial" w:cs="Arial"/>
                <w:b/>
                <w:sz w:val="24"/>
                <w:szCs w:val="24"/>
              </w:rPr>
            </w:pPr>
          </w:p>
        </w:tc>
        <w:tc>
          <w:tcPr>
            <w:tcW w:w="5489" w:type="dxa"/>
            <w:gridSpan w:val="3"/>
            <w:shd w:val="clear" w:color="auto" w:fill="auto"/>
            <w:noWrap/>
            <w:vAlign w:val="center"/>
            <w:hideMark/>
          </w:tcPr>
          <w:p w14:paraId="330274C6"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Pre-AASB 1059 accounting</w:t>
            </w:r>
          </w:p>
        </w:tc>
        <w:tc>
          <w:tcPr>
            <w:tcW w:w="5872" w:type="dxa"/>
            <w:gridSpan w:val="3"/>
            <w:shd w:val="clear" w:color="auto" w:fill="auto"/>
            <w:noWrap/>
            <w:vAlign w:val="center"/>
            <w:hideMark/>
          </w:tcPr>
          <w:p w14:paraId="0046A1E8"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 xml:space="preserve">Application of AASB 1059 </w:t>
            </w:r>
            <w:r w:rsidRPr="00F413C5">
              <w:rPr>
                <w:rFonts w:ascii="Arial" w:hAnsi="Arial" w:cs="Arial"/>
                <w:b/>
                <w:sz w:val="24"/>
                <w:szCs w:val="24"/>
                <w:vertAlign w:val="superscript"/>
              </w:rPr>
              <w:t>(ii)</w:t>
            </w:r>
          </w:p>
        </w:tc>
      </w:tr>
      <w:tr w:rsidR="003E5BF5" w:rsidRPr="00F413C5" w14:paraId="407392F4" w14:textId="77777777" w:rsidTr="000F285B">
        <w:trPr>
          <w:trHeight w:val="340"/>
          <w:jc w:val="center"/>
        </w:trPr>
        <w:tc>
          <w:tcPr>
            <w:tcW w:w="2247" w:type="dxa"/>
            <w:shd w:val="clear" w:color="auto" w:fill="auto"/>
            <w:vAlign w:val="center"/>
            <w:hideMark/>
          </w:tcPr>
          <w:p w14:paraId="00BFDB09" w14:textId="77777777" w:rsidR="003E5BF5" w:rsidRPr="00F413C5" w:rsidRDefault="003E5BF5" w:rsidP="00DE1921">
            <w:pPr>
              <w:rPr>
                <w:rFonts w:ascii="Arial" w:hAnsi="Arial" w:cs="Arial"/>
                <w:b/>
                <w:sz w:val="24"/>
                <w:szCs w:val="24"/>
              </w:rPr>
            </w:pPr>
            <w:r w:rsidRPr="00F413C5">
              <w:rPr>
                <w:rFonts w:ascii="Arial" w:hAnsi="Arial" w:cs="Arial"/>
                <w:b/>
                <w:sz w:val="24"/>
                <w:szCs w:val="24"/>
              </w:rPr>
              <w:t>Note</w:t>
            </w:r>
          </w:p>
        </w:tc>
        <w:tc>
          <w:tcPr>
            <w:tcW w:w="3227" w:type="dxa"/>
            <w:shd w:val="clear" w:color="auto" w:fill="auto"/>
            <w:vAlign w:val="center"/>
            <w:hideMark/>
          </w:tcPr>
          <w:p w14:paraId="5B429D8B" w14:textId="77777777" w:rsidR="003E5BF5" w:rsidRPr="00F413C5" w:rsidRDefault="003E5BF5" w:rsidP="00DE1921">
            <w:pPr>
              <w:rPr>
                <w:rFonts w:ascii="Arial" w:hAnsi="Arial" w:cs="Arial"/>
                <w:b/>
                <w:sz w:val="24"/>
                <w:szCs w:val="24"/>
              </w:rPr>
            </w:pPr>
            <w:r w:rsidRPr="00F413C5">
              <w:rPr>
                <w:rFonts w:ascii="Arial" w:hAnsi="Arial" w:cs="Arial"/>
                <w:b/>
                <w:sz w:val="24"/>
                <w:szCs w:val="24"/>
              </w:rPr>
              <w:t>Line item</w:t>
            </w:r>
          </w:p>
        </w:tc>
        <w:tc>
          <w:tcPr>
            <w:tcW w:w="1131" w:type="dxa"/>
            <w:shd w:val="clear" w:color="auto" w:fill="auto"/>
            <w:vAlign w:val="center"/>
            <w:hideMark/>
          </w:tcPr>
          <w:p w14:paraId="25A2BCF5"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2020</w:t>
            </w:r>
          </w:p>
        </w:tc>
        <w:tc>
          <w:tcPr>
            <w:tcW w:w="1131" w:type="dxa"/>
            <w:shd w:val="clear" w:color="auto" w:fill="auto"/>
            <w:vAlign w:val="center"/>
            <w:hideMark/>
          </w:tcPr>
          <w:p w14:paraId="6F37D1AD"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2019</w:t>
            </w:r>
            <w:r w:rsidRPr="00F413C5">
              <w:rPr>
                <w:rFonts w:ascii="Arial" w:hAnsi="Arial" w:cs="Arial"/>
                <w:sz w:val="24"/>
                <w:szCs w:val="24"/>
              </w:rPr>
              <w:t xml:space="preserve"> </w:t>
            </w:r>
            <w:r w:rsidRPr="00F413C5">
              <w:rPr>
                <w:rFonts w:ascii="Arial" w:hAnsi="Arial" w:cs="Arial"/>
                <w:b/>
                <w:sz w:val="24"/>
                <w:szCs w:val="24"/>
                <w:vertAlign w:val="superscript"/>
              </w:rPr>
              <w:t>(</w:t>
            </w:r>
            <w:proofErr w:type="spellStart"/>
            <w:r w:rsidRPr="00F413C5">
              <w:rPr>
                <w:rFonts w:ascii="Arial" w:hAnsi="Arial" w:cs="Arial"/>
                <w:b/>
                <w:sz w:val="24"/>
                <w:szCs w:val="24"/>
                <w:vertAlign w:val="superscript"/>
              </w:rPr>
              <w:t>i</w:t>
            </w:r>
            <w:proofErr w:type="spellEnd"/>
            <w:r w:rsidRPr="00F413C5">
              <w:rPr>
                <w:rFonts w:ascii="Arial" w:hAnsi="Arial" w:cs="Arial"/>
                <w:b/>
                <w:sz w:val="24"/>
                <w:szCs w:val="24"/>
                <w:vertAlign w:val="superscript"/>
              </w:rPr>
              <w:t>)</w:t>
            </w:r>
          </w:p>
        </w:tc>
        <w:tc>
          <w:tcPr>
            <w:tcW w:w="3646" w:type="dxa"/>
            <w:shd w:val="clear" w:color="auto" w:fill="auto"/>
            <w:vAlign w:val="center"/>
            <w:hideMark/>
          </w:tcPr>
          <w:p w14:paraId="4B73CF69" w14:textId="77777777" w:rsidR="003E5BF5" w:rsidRPr="00F413C5" w:rsidRDefault="003E5BF5" w:rsidP="00DE1921">
            <w:pPr>
              <w:rPr>
                <w:rFonts w:ascii="Arial" w:hAnsi="Arial" w:cs="Arial"/>
                <w:b/>
                <w:sz w:val="24"/>
                <w:szCs w:val="24"/>
              </w:rPr>
            </w:pPr>
            <w:r w:rsidRPr="00F413C5">
              <w:rPr>
                <w:rFonts w:ascii="Arial" w:hAnsi="Arial" w:cs="Arial"/>
                <w:b/>
                <w:sz w:val="24"/>
                <w:szCs w:val="24"/>
              </w:rPr>
              <w:t>Line item</w:t>
            </w:r>
          </w:p>
        </w:tc>
        <w:tc>
          <w:tcPr>
            <w:tcW w:w="1113" w:type="dxa"/>
            <w:shd w:val="clear" w:color="auto" w:fill="auto"/>
            <w:vAlign w:val="center"/>
            <w:hideMark/>
          </w:tcPr>
          <w:p w14:paraId="34E8C8D6"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2020</w:t>
            </w:r>
          </w:p>
        </w:tc>
        <w:tc>
          <w:tcPr>
            <w:tcW w:w="1113" w:type="dxa"/>
            <w:shd w:val="clear" w:color="auto" w:fill="auto"/>
            <w:vAlign w:val="center"/>
            <w:hideMark/>
          </w:tcPr>
          <w:p w14:paraId="616D7D7A"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2019 </w:t>
            </w:r>
            <w:r w:rsidRPr="00F413C5">
              <w:rPr>
                <w:rFonts w:ascii="Arial" w:hAnsi="Arial" w:cs="Arial"/>
                <w:b/>
                <w:sz w:val="24"/>
                <w:szCs w:val="24"/>
                <w:vertAlign w:val="superscript"/>
              </w:rPr>
              <w:t>(</w:t>
            </w:r>
            <w:proofErr w:type="spellStart"/>
            <w:r w:rsidRPr="00F413C5">
              <w:rPr>
                <w:rFonts w:ascii="Arial" w:hAnsi="Arial" w:cs="Arial"/>
                <w:b/>
                <w:sz w:val="24"/>
                <w:szCs w:val="24"/>
                <w:vertAlign w:val="superscript"/>
              </w:rPr>
              <w:t>i</w:t>
            </w:r>
            <w:proofErr w:type="spellEnd"/>
            <w:r w:rsidRPr="00F413C5">
              <w:rPr>
                <w:rFonts w:ascii="Arial" w:hAnsi="Arial" w:cs="Arial"/>
                <w:b/>
                <w:sz w:val="24"/>
                <w:szCs w:val="24"/>
                <w:vertAlign w:val="superscript"/>
              </w:rPr>
              <w:t>)</w:t>
            </w:r>
          </w:p>
        </w:tc>
      </w:tr>
      <w:tr w:rsidR="003E5BF5" w:rsidRPr="00F413C5" w14:paraId="321E3C2F" w14:textId="77777777" w:rsidTr="000F285B">
        <w:trPr>
          <w:trHeight w:val="340"/>
          <w:jc w:val="center"/>
        </w:trPr>
        <w:tc>
          <w:tcPr>
            <w:tcW w:w="2247" w:type="dxa"/>
            <w:shd w:val="clear" w:color="auto" w:fill="auto"/>
            <w:vAlign w:val="center"/>
            <w:hideMark/>
          </w:tcPr>
          <w:p w14:paraId="2CD9681E" w14:textId="77777777" w:rsidR="003E5BF5" w:rsidRPr="00F413C5" w:rsidRDefault="003E5BF5" w:rsidP="00DE1921">
            <w:pPr>
              <w:rPr>
                <w:rFonts w:ascii="Arial" w:hAnsi="Arial" w:cs="Arial"/>
                <w:sz w:val="24"/>
                <w:szCs w:val="24"/>
              </w:rPr>
            </w:pPr>
            <w:r w:rsidRPr="00F413C5">
              <w:rPr>
                <w:rFonts w:ascii="Arial" w:hAnsi="Arial" w:cs="Arial"/>
                <w:sz w:val="24"/>
                <w:szCs w:val="24"/>
              </w:rPr>
              <w:t>Note 5.1 Property, plant and equipment</w:t>
            </w:r>
          </w:p>
        </w:tc>
        <w:tc>
          <w:tcPr>
            <w:tcW w:w="3227" w:type="dxa"/>
            <w:shd w:val="clear" w:color="auto" w:fill="auto"/>
            <w:hideMark/>
          </w:tcPr>
          <w:p w14:paraId="2B7C19B2" w14:textId="77777777" w:rsidR="003E5BF5" w:rsidRPr="00F413C5" w:rsidRDefault="003E5BF5" w:rsidP="00DE1921">
            <w:pPr>
              <w:rPr>
                <w:rFonts w:ascii="Arial" w:hAnsi="Arial" w:cs="Arial"/>
                <w:sz w:val="24"/>
                <w:szCs w:val="24"/>
              </w:rPr>
            </w:pPr>
            <w:r w:rsidRPr="00F413C5">
              <w:rPr>
                <w:rFonts w:ascii="Arial" w:hAnsi="Arial" w:cs="Arial"/>
                <w:sz w:val="24"/>
                <w:szCs w:val="24"/>
              </w:rPr>
              <w:t>Assets</w:t>
            </w:r>
          </w:p>
        </w:tc>
        <w:tc>
          <w:tcPr>
            <w:tcW w:w="1131" w:type="dxa"/>
            <w:shd w:val="clear" w:color="auto" w:fill="auto"/>
            <w:noWrap/>
            <w:hideMark/>
          </w:tcPr>
          <w:p w14:paraId="52F2907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488,847 </w:t>
            </w:r>
          </w:p>
        </w:tc>
        <w:tc>
          <w:tcPr>
            <w:tcW w:w="1131" w:type="dxa"/>
            <w:shd w:val="clear" w:color="auto" w:fill="auto"/>
            <w:noWrap/>
            <w:hideMark/>
          </w:tcPr>
          <w:p w14:paraId="3E9DE88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491,616 </w:t>
            </w:r>
          </w:p>
        </w:tc>
        <w:tc>
          <w:tcPr>
            <w:tcW w:w="3646" w:type="dxa"/>
            <w:shd w:val="clear" w:color="auto" w:fill="auto"/>
            <w:hideMark/>
          </w:tcPr>
          <w:p w14:paraId="4AEF143B" w14:textId="77777777" w:rsidR="003E5BF5" w:rsidRPr="00F413C5" w:rsidRDefault="003E5BF5" w:rsidP="00DE1921">
            <w:pPr>
              <w:rPr>
                <w:rFonts w:ascii="Arial" w:hAnsi="Arial" w:cs="Arial"/>
                <w:sz w:val="24"/>
                <w:szCs w:val="24"/>
              </w:rPr>
            </w:pPr>
            <w:r w:rsidRPr="00F413C5">
              <w:rPr>
                <w:rFonts w:ascii="Arial" w:hAnsi="Arial" w:cs="Arial"/>
                <w:sz w:val="24"/>
                <w:szCs w:val="24"/>
              </w:rPr>
              <w:t>Service concession asset</w:t>
            </w:r>
          </w:p>
        </w:tc>
        <w:tc>
          <w:tcPr>
            <w:tcW w:w="1113" w:type="dxa"/>
            <w:shd w:val="clear" w:color="auto" w:fill="auto"/>
            <w:noWrap/>
            <w:hideMark/>
          </w:tcPr>
          <w:p w14:paraId="50E7FF5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488,847 </w:t>
            </w:r>
          </w:p>
        </w:tc>
        <w:tc>
          <w:tcPr>
            <w:tcW w:w="1113" w:type="dxa"/>
            <w:shd w:val="clear" w:color="auto" w:fill="auto"/>
            <w:noWrap/>
            <w:hideMark/>
          </w:tcPr>
          <w:p w14:paraId="6F3A7EC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491,616 </w:t>
            </w:r>
          </w:p>
        </w:tc>
      </w:tr>
      <w:tr w:rsidR="003E5BF5" w:rsidRPr="00F413C5" w14:paraId="35189A4B" w14:textId="77777777" w:rsidTr="000F285B">
        <w:trPr>
          <w:trHeight w:val="340"/>
          <w:jc w:val="center"/>
        </w:trPr>
        <w:tc>
          <w:tcPr>
            <w:tcW w:w="2247" w:type="dxa"/>
            <w:shd w:val="clear" w:color="auto" w:fill="auto"/>
            <w:vAlign w:val="center"/>
            <w:hideMark/>
          </w:tcPr>
          <w:p w14:paraId="4CF7B136" w14:textId="77777777" w:rsidR="003E5BF5" w:rsidRPr="00F413C5" w:rsidRDefault="003E5BF5" w:rsidP="00DE1921">
            <w:pPr>
              <w:rPr>
                <w:rFonts w:ascii="Arial" w:hAnsi="Arial" w:cs="Arial"/>
                <w:sz w:val="24"/>
                <w:szCs w:val="24"/>
              </w:rPr>
            </w:pPr>
            <w:r w:rsidRPr="00F413C5">
              <w:rPr>
                <w:rFonts w:ascii="Arial" w:hAnsi="Arial" w:cs="Arial"/>
                <w:sz w:val="24"/>
                <w:szCs w:val="24"/>
              </w:rPr>
              <w:t>Note 7.1 Borrowings</w:t>
            </w:r>
          </w:p>
        </w:tc>
        <w:tc>
          <w:tcPr>
            <w:tcW w:w="3227" w:type="dxa"/>
            <w:shd w:val="clear" w:color="auto" w:fill="auto"/>
            <w:vAlign w:val="center"/>
            <w:hideMark/>
          </w:tcPr>
          <w:p w14:paraId="55565229" w14:textId="77777777" w:rsidR="003E5BF5" w:rsidRPr="00F413C5" w:rsidRDefault="003E5BF5" w:rsidP="00DE1921">
            <w:pPr>
              <w:rPr>
                <w:rFonts w:ascii="Arial" w:hAnsi="Arial" w:cs="Arial"/>
                <w:sz w:val="24"/>
                <w:szCs w:val="24"/>
              </w:rPr>
            </w:pPr>
            <w:r w:rsidRPr="00F413C5">
              <w:rPr>
                <w:rFonts w:ascii="Arial" w:hAnsi="Arial" w:cs="Arial"/>
                <w:sz w:val="24"/>
                <w:szCs w:val="24"/>
              </w:rPr>
              <w:t>Lease liabilities</w:t>
            </w:r>
          </w:p>
        </w:tc>
        <w:tc>
          <w:tcPr>
            <w:tcW w:w="1131" w:type="dxa"/>
            <w:shd w:val="clear" w:color="auto" w:fill="auto"/>
            <w:noWrap/>
            <w:vAlign w:val="center"/>
            <w:hideMark/>
          </w:tcPr>
          <w:p w14:paraId="6B9ADE2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363,422 </w:t>
            </w:r>
          </w:p>
        </w:tc>
        <w:tc>
          <w:tcPr>
            <w:tcW w:w="1131" w:type="dxa"/>
            <w:shd w:val="clear" w:color="auto" w:fill="auto"/>
            <w:noWrap/>
            <w:vAlign w:val="center"/>
            <w:hideMark/>
          </w:tcPr>
          <w:p w14:paraId="2F49C0F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368,591 </w:t>
            </w:r>
          </w:p>
        </w:tc>
        <w:tc>
          <w:tcPr>
            <w:tcW w:w="3646" w:type="dxa"/>
            <w:shd w:val="clear" w:color="auto" w:fill="auto"/>
            <w:vAlign w:val="center"/>
            <w:hideMark/>
          </w:tcPr>
          <w:p w14:paraId="3B7D4137" w14:textId="77777777" w:rsidR="003E5BF5" w:rsidRPr="00F413C5" w:rsidRDefault="003E5BF5" w:rsidP="00DE1921">
            <w:pPr>
              <w:rPr>
                <w:rFonts w:ascii="Arial" w:hAnsi="Arial" w:cs="Arial"/>
                <w:sz w:val="24"/>
                <w:szCs w:val="24"/>
              </w:rPr>
            </w:pPr>
            <w:r w:rsidRPr="00F413C5">
              <w:rPr>
                <w:rFonts w:ascii="Arial" w:hAnsi="Arial" w:cs="Arial"/>
                <w:sz w:val="24"/>
                <w:szCs w:val="24"/>
              </w:rPr>
              <w:t>Service concession financial liability</w:t>
            </w:r>
          </w:p>
        </w:tc>
        <w:tc>
          <w:tcPr>
            <w:tcW w:w="1113" w:type="dxa"/>
            <w:shd w:val="clear" w:color="auto" w:fill="auto"/>
            <w:noWrap/>
            <w:vAlign w:val="center"/>
            <w:hideMark/>
          </w:tcPr>
          <w:p w14:paraId="4F3BA14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363,422 </w:t>
            </w:r>
          </w:p>
        </w:tc>
        <w:tc>
          <w:tcPr>
            <w:tcW w:w="1113" w:type="dxa"/>
            <w:shd w:val="clear" w:color="auto" w:fill="auto"/>
            <w:noWrap/>
            <w:vAlign w:val="center"/>
            <w:hideMark/>
          </w:tcPr>
          <w:p w14:paraId="3DA66FB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368,591 </w:t>
            </w:r>
          </w:p>
        </w:tc>
      </w:tr>
      <w:tr w:rsidR="003E5BF5" w:rsidRPr="00F413C5" w14:paraId="0C1A0C5F" w14:textId="77777777" w:rsidTr="000F285B">
        <w:trPr>
          <w:trHeight w:val="340"/>
          <w:jc w:val="center"/>
        </w:trPr>
        <w:tc>
          <w:tcPr>
            <w:tcW w:w="2247" w:type="dxa"/>
            <w:shd w:val="clear" w:color="auto" w:fill="auto"/>
            <w:vAlign w:val="center"/>
            <w:hideMark/>
          </w:tcPr>
          <w:p w14:paraId="0BE40EC8" w14:textId="77777777" w:rsidR="003E5BF5" w:rsidRPr="00F413C5" w:rsidRDefault="003E5BF5" w:rsidP="00DE1921">
            <w:pPr>
              <w:rPr>
                <w:rFonts w:ascii="Arial" w:hAnsi="Arial" w:cs="Arial"/>
                <w:sz w:val="24"/>
                <w:szCs w:val="24"/>
              </w:rPr>
            </w:pPr>
            <w:r w:rsidRPr="00F413C5">
              <w:rPr>
                <w:rFonts w:ascii="Arial" w:hAnsi="Arial" w:cs="Arial"/>
                <w:sz w:val="24"/>
                <w:szCs w:val="24"/>
              </w:rPr>
              <w:t>Note 5.1.5 Depreciation</w:t>
            </w:r>
          </w:p>
        </w:tc>
        <w:tc>
          <w:tcPr>
            <w:tcW w:w="3227" w:type="dxa"/>
            <w:shd w:val="clear" w:color="auto" w:fill="auto"/>
            <w:vAlign w:val="center"/>
            <w:hideMark/>
          </w:tcPr>
          <w:p w14:paraId="4717D8D6" w14:textId="77777777" w:rsidR="003E5BF5" w:rsidRPr="00F413C5" w:rsidRDefault="003E5BF5" w:rsidP="00DE1921">
            <w:pPr>
              <w:rPr>
                <w:rFonts w:ascii="Arial" w:hAnsi="Arial" w:cs="Arial"/>
                <w:sz w:val="24"/>
                <w:szCs w:val="24"/>
              </w:rPr>
            </w:pPr>
            <w:r w:rsidRPr="00F413C5">
              <w:rPr>
                <w:rFonts w:ascii="Arial" w:hAnsi="Arial" w:cs="Arial"/>
                <w:sz w:val="24"/>
                <w:szCs w:val="24"/>
              </w:rPr>
              <w:t>Depreciation</w:t>
            </w:r>
          </w:p>
        </w:tc>
        <w:tc>
          <w:tcPr>
            <w:tcW w:w="1131" w:type="dxa"/>
            <w:shd w:val="clear" w:color="auto" w:fill="auto"/>
            <w:noWrap/>
            <w:vAlign w:val="center"/>
            <w:hideMark/>
          </w:tcPr>
          <w:p w14:paraId="78E65CD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(12,262)</w:t>
            </w:r>
          </w:p>
        </w:tc>
        <w:tc>
          <w:tcPr>
            <w:tcW w:w="1131" w:type="dxa"/>
            <w:shd w:val="clear" w:color="auto" w:fill="auto"/>
            <w:noWrap/>
            <w:vAlign w:val="center"/>
            <w:hideMark/>
          </w:tcPr>
          <w:p w14:paraId="3884687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(12,262)</w:t>
            </w:r>
          </w:p>
        </w:tc>
        <w:tc>
          <w:tcPr>
            <w:tcW w:w="3646" w:type="dxa"/>
            <w:shd w:val="clear" w:color="auto" w:fill="auto"/>
            <w:vAlign w:val="center"/>
            <w:hideMark/>
          </w:tcPr>
          <w:p w14:paraId="4AA783B4" w14:textId="77777777" w:rsidR="003E5BF5" w:rsidRPr="00F413C5" w:rsidRDefault="003E5BF5" w:rsidP="00DE1921">
            <w:pPr>
              <w:rPr>
                <w:rFonts w:ascii="Arial" w:hAnsi="Arial" w:cs="Arial"/>
                <w:sz w:val="24"/>
                <w:szCs w:val="24"/>
              </w:rPr>
            </w:pPr>
            <w:r w:rsidRPr="00F413C5">
              <w:rPr>
                <w:rFonts w:ascii="Arial" w:hAnsi="Arial" w:cs="Arial"/>
                <w:sz w:val="24"/>
                <w:szCs w:val="24"/>
              </w:rPr>
              <w:t>Service concession asset depreciation</w:t>
            </w:r>
          </w:p>
        </w:tc>
        <w:tc>
          <w:tcPr>
            <w:tcW w:w="1113" w:type="dxa"/>
            <w:shd w:val="clear" w:color="auto" w:fill="auto"/>
            <w:noWrap/>
            <w:vAlign w:val="center"/>
            <w:hideMark/>
          </w:tcPr>
          <w:p w14:paraId="1774634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(12,262)</w:t>
            </w:r>
          </w:p>
        </w:tc>
        <w:tc>
          <w:tcPr>
            <w:tcW w:w="1113" w:type="dxa"/>
            <w:shd w:val="clear" w:color="auto" w:fill="auto"/>
            <w:noWrap/>
            <w:vAlign w:val="center"/>
            <w:hideMark/>
          </w:tcPr>
          <w:p w14:paraId="6710D72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(12,262)</w:t>
            </w:r>
          </w:p>
        </w:tc>
      </w:tr>
      <w:tr w:rsidR="003E5BF5" w:rsidRPr="00F413C5" w14:paraId="7E9F4834" w14:textId="77777777" w:rsidTr="000F285B">
        <w:trPr>
          <w:trHeight w:val="340"/>
          <w:jc w:val="center"/>
        </w:trPr>
        <w:tc>
          <w:tcPr>
            <w:tcW w:w="2247" w:type="dxa"/>
            <w:shd w:val="clear" w:color="auto" w:fill="auto"/>
            <w:hideMark/>
          </w:tcPr>
          <w:p w14:paraId="5E5943E5" w14:textId="77777777" w:rsidR="003E5BF5" w:rsidRPr="00F413C5" w:rsidRDefault="003E5BF5" w:rsidP="00DE1921">
            <w:pPr>
              <w:rPr>
                <w:rFonts w:ascii="Arial" w:hAnsi="Arial" w:cs="Arial"/>
                <w:sz w:val="24"/>
                <w:szCs w:val="24"/>
              </w:rPr>
            </w:pPr>
            <w:r w:rsidRPr="00F413C5">
              <w:rPr>
                <w:rFonts w:ascii="Arial" w:hAnsi="Arial" w:cs="Arial"/>
                <w:sz w:val="24"/>
                <w:szCs w:val="24"/>
              </w:rPr>
              <w:t>Note 7.1 Borrowings: Interest expense</w:t>
            </w:r>
          </w:p>
        </w:tc>
        <w:tc>
          <w:tcPr>
            <w:tcW w:w="3227" w:type="dxa"/>
            <w:shd w:val="clear" w:color="auto" w:fill="auto"/>
            <w:hideMark/>
          </w:tcPr>
          <w:p w14:paraId="218E888D" w14:textId="77777777" w:rsidR="003E5BF5" w:rsidRPr="00F413C5" w:rsidRDefault="003E5BF5" w:rsidP="00DE1921">
            <w:pPr>
              <w:rPr>
                <w:rFonts w:ascii="Arial" w:hAnsi="Arial" w:cs="Arial"/>
                <w:sz w:val="24"/>
                <w:szCs w:val="24"/>
              </w:rPr>
            </w:pPr>
            <w:r w:rsidRPr="00F413C5">
              <w:rPr>
                <w:rFonts w:ascii="Arial" w:hAnsi="Arial" w:cs="Arial"/>
                <w:sz w:val="24"/>
                <w:szCs w:val="24"/>
              </w:rPr>
              <w:t>Other interest expense</w:t>
            </w:r>
          </w:p>
        </w:tc>
        <w:tc>
          <w:tcPr>
            <w:tcW w:w="1131" w:type="dxa"/>
            <w:shd w:val="clear" w:color="auto" w:fill="auto"/>
            <w:noWrap/>
            <w:hideMark/>
          </w:tcPr>
          <w:p w14:paraId="7419535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(31,725)</w:t>
            </w:r>
          </w:p>
        </w:tc>
        <w:tc>
          <w:tcPr>
            <w:tcW w:w="1131" w:type="dxa"/>
            <w:shd w:val="clear" w:color="auto" w:fill="auto"/>
            <w:noWrap/>
            <w:hideMark/>
          </w:tcPr>
          <w:p w14:paraId="0A9E89A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(32,102)</w:t>
            </w:r>
          </w:p>
        </w:tc>
        <w:tc>
          <w:tcPr>
            <w:tcW w:w="3646" w:type="dxa"/>
            <w:shd w:val="clear" w:color="auto" w:fill="auto"/>
            <w:vAlign w:val="center"/>
            <w:hideMark/>
          </w:tcPr>
          <w:p w14:paraId="7F134765" w14:textId="77777777" w:rsidR="003E5BF5" w:rsidRPr="00F413C5" w:rsidRDefault="003E5BF5" w:rsidP="00DE1921">
            <w:pPr>
              <w:rPr>
                <w:rFonts w:ascii="Arial" w:hAnsi="Arial" w:cs="Arial"/>
                <w:sz w:val="24"/>
                <w:szCs w:val="24"/>
              </w:rPr>
            </w:pPr>
            <w:r w:rsidRPr="00F413C5">
              <w:rPr>
                <w:rFonts w:ascii="Arial" w:hAnsi="Arial" w:cs="Arial"/>
                <w:sz w:val="24"/>
                <w:szCs w:val="24"/>
              </w:rPr>
              <w:t>Interest on service concession arrangements</w:t>
            </w:r>
          </w:p>
        </w:tc>
        <w:tc>
          <w:tcPr>
            <w:tcW w:w="1113" w:type="dxa"/>
            <w:shd w:val="clear" w:color="auto" w:fill="auto"/>
            <w:noWrap/>
            <w:hideMark/>
          </w:tcPr>
          <w:p w14:paraId="21A6E05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(31,725)</w:t>
            </w:r>
          </w:p>
        </w:tc>
        <w:tc>
          <w:tcPr>
            <w:tcW w:w="1113" w:type="dxa"/>
            <w:shd w:val="clear" w:color="auto" w:fill="auto"/>
            <w:noWrap/>
            <w:hideMark/>
          </w:tcPr>
          <w:p w14:paraId="19F8F36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(32,102)</w:t>
            </w:r>
          </w:p>
        </w:tc>
      </w:tr>
      <w:tr w:rsidR="003E5BF5" w:rsidRPr="00F413C5" w14:paraId="1C61A7C2" w14:textId="77777777" w:rsidTr="000F285B">
        <w:trPr>
          <w:trHeight w:val="340"/>
          <w:jc w:val="center"/>
        </w:trPr>
        <w:tc>
          <w:tcPr>
            <w:tcW w:w="2247" w:type="dxa"/>
            <w:shd w:val="clear" w:color="auto" w:fill="auto"/>
            <w:hideMark/>
          </w:tcPr>
          <w:p w14:paraId="3FA1E827" w14:textId="77777777" w:rsidR="003E5BF5" w:rsidRPr="00F413C5" w:rsidRDefault="003E5BF5" w:rsidP="00DE1921">
            <w:pPr>
              <w:rPr>
                <w:rFonts w:ascii="Arial" w:hAnsi="Arial" w:cs="Arial"/>
                <w:sz w:val="24"/>
                <w:szCs w:val="24"/>
              </w:rPr>
            </w:pPr>
            <w:r w:rsidRPr="00F413C5">
              <w:rPr>
                <w:rFonts w:ascii="Arial" w:hAnsi="Arial" w:cs="Arial"/>
                <w:sz w:val="24"/>
                <w:szCs w:val="24"/>
              </w:rPr>
              <w:t>Note 3.5 Other operating expenses</w:t>
            </w:r>
          </w:p>
        </w:tc>
        <w:tc>
          <w:tcPr>
            <w:tcW w:w="3227" w:type="dxa"/>
            <w:shd w:val="clear" w:color="auto" w:fill="auto"/>
            <w:hideMark/>
          </w:tcPr>
          <w:p w14:paraId="41540459" w14:textId="77777777" w:rsidR="003E5BF5" w:rsidRPr="00F413C5" w:rsidRDefault="003E5BF5" w:rsidP="00DE1921">
            <w:pPr>
              <w:rPr>
                <w:rFonts w:ascii="Arial" w:hAnsi="Arial" w:cs="Arial"/>
                <w:sz w:val="24"/>
                <w:szCs w:val="24"/>
              </w:rPr>
            </w:pPr>
            <w:r w:rsidRPr="00F413C5">
              <w:rPr>
                <w:rFonts w:ascii="Arial" w:hAnsi="Arial" w:cs="Arial"/>
                <w:sz w:val="24"/>
                <w:szCs w:val="24"/>
              </w:rPr>
              <w:t>Other operating expenses</w:t>
            </w:r>
          </w:p>
        </w:tc>
        <w:tc>
          <w:tcPr>
            <w:tcW w:w="1131" w:type="dxa"/>
            <w:shd w:val="clear" w:color="auto" w:fill="auto"/>
            <w:noWrap/>
            <w:hideMark/>
          </w:tcPr>
          <w:p w14:paraId="4F379E8D"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(23,662)</w:t>
            </w:r>
          </w:p>
        </w:tc>
        <w:tc>
          <w:tcPr>
            <w:tcW w:w="1131" w:type="dxa"/>
            <w:shd w:val="clear" w:color="auto" w:fill="auto"/>
            <w:noWrap/>
            <w:hideMark/>
          </w:tcPr>
          <w:p w14:paraId="23CA675C"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(18,906)</w:t>
            </w:r>
          </w:p>
        </w:tc>
        <w:tc>
          <w:tcPr>
            <w:tcW w:w="3646" w:type="dxa"/>
            <w:shd w:val="clear" w:color="auto" w:fill="auto"/>
            <w:hideMark/>
          </w:tcPr>
          <w:p w14:paraId="26EBE99F" w14:textId="77777777" w:rsidR="003E5BF5" w:rsidRPr="00F413C5" w:rsidRDefault="003E5BF5" w:rsidP="00DE1921">
            <w:pPr>
              <w:rPr>
                <w:rFonts w:ascii="Arial" w:hAnsi="Arial" w:cs="Arial"/>
                <w:sz w:val="24"/>
                <w:szCs w:val="24"/>
              </w:rPr>
            </w:pPr>
            <w:r w:rsidRPr="00F413C5">
              <w:rPr>
                <w:rFonts w:ascii="Arial" w:hAnsi="Arial" w:cs="Arial"/>
                <w:sz w:val="24"/>
                <w:szCs w:val="24"/>
              </w:rPr>
              <w:t>Supplies and services</w:t>
            </w:r>
          </w:p>
        </w:tc>
        <w:tc>
          <w:tcPr>
            <w:tcW w:w="1113" w:type="dxa"/>
            <w:shd w:val="clear" w:color="auto" w:fill="auto"/>
            <w:noWrap/>
            <w:hideMark/>
          </w:tcPr>
          <w:p w14:paraId="436E514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(23,662)</w:t>
            </w:r>
          </w:p>
        </w:tc>
        <w:tc>
          <w:tcPr>
            <w:tcW w:w="1113" w:type="dxa"/>
            <w:shd w:val="clear" w:color="auto" w:fill="auto"/>
            <w:noWrap/>
            <w:hideMark/>
          </w:tcPr>
          <w:p w14:paraId="7A2FF1F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(18,906)</w:t>
            </w:r>
          </w:p>
        </w:tc>
      </w:tr>
      <w:tr w:rsidR="003E5BF5" w:rsidRPr="00F413C5" w14:paraId="682EC4D0" w14:textId="77777777" w:rsidTr="000F285B">
        <w:trPr>
          <w:trHeight w:val="340"/>
          <w:jc w:val="center"/>
        </w:trPr>
        <w:tc>
          <w:tcPr>
            <w:tcW w:w="2247" w:type="dxa"/>
            <w:shd w:val="clear" w:color="auto" w:fill="auto"/>
            <w:vAlign w:val="center"/>
            <w:hideMark/>
          </w:tcPr>
          <w:p w14:paraId="696D8508" w14:textId="77777777" w:rsidR="003E5BF5" w:rsidRPr="00F413C5" w:rsidRDefault="003E5BF5" w:rsidP="00DE1921">
            <w:pPr>
              <w:rPr>
                <w:rFonts w:ascii="Arial" w:hAnsi="Arial" w:cs="Arial"/>
                <w:sz w:val="24"/>
                <w:szCs w:val="24"/>
              </w:rPr>
            </w:pPr>
            <w:r w:rsidRPr="00F413C5">
              <w:rPr>
                <w:rFonts w:ascii="Arial" w:hAnsi="Arial" w:cs="Arial"/>
                <w:sz w:val="24"/>
                <w:szCs w:val="24"/>
              </w:rPr>
              <w:t>Note 9.4 Equity</w:t>
            </w:r>
          </w:p>
        </w:tc>
        <w:tc>
          <w:tcPr>
            <w:tcW w:w="3227" w:type="dxa"/>
            <w:shd w:val="clear" w:color="auto" w:fill="auto"/>
            <w:vAlign w:val="center"/>
            <w:hideMark/>
          </w:tcPr>
          <w:p w14:paraId="29956FA8" w14:textId="77777777" w:rsidR="003E5BF5" w:rsidRPr="00F413C5" w:rsidRDefault="003E5BF5" w:rsidP="00DE1921">
            <w:pPr>
              <w:rPr>
                <w:rFonts w:ascii="Arial" w:hAnsi="Arial" w:cs="Arial"/>
                <w:sz w:val="24"/>
                <w:szCs w:val="24"/>
              </w:rPr>
            </w:pPr>
            <w:r w:rsidRPr="00F413C5">
              <w:rPr>
                <w:rFonts w:ascii="Arial" w:hAnsi="Arial" w:cs="Arial"/>
                <w:sz w:val="24"/>
                <w:szCs w:val="24"/>
              </w:rPr>
              <w:t>Physical asset revaluation surplus</w:t>
            </w:r>
          </w:p>
        </w:tc>
        <w:tc>
          <w:tcPr>
            <w:tcW w:w="1131" w:type="dxa"/>
            <w:shd w:val="clear" w:color="auto" w:fill="auto"/>
            <w:noWrap/>
            <w:vAlign w:val="center"/>
            <w:hideMark/>
          </w:tcPr>
          <w:p w14:paraId="64E93B2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58,525 </w:t>
            </w:r>
          </w:p>
        </w:tc>
        <w:tc>
          <w:tcPr>
            <w:tcW w:w="1131" w:type="dxa"/>
            <w:shd w:val="clear" w:color="auto" w:fill="auto"/>
            <w:noWrap/>
            <w:vAlign w:val="center"/>
            <w:hideMark/>
          </w:tcPr>
          <w:p w14:paraId="628F06B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3646" w:type="dxa"/>
            <w:shd w:val="clear" w:color="auto" w:fill="auto"/>
            <w:vAlign w:val="center"/>
            <w:hideMark/>
          </w:tcPr>
          <w:p w14:paraId="240128CB" w14:textId="77777777" w:rsidR="003E5BF5" w:rsidRPr="00F413C5" w:rsidRDefault="003E5BF5" w:rsidP="00DE1921">
            <w:pPr>
              <w:rPr>
                <w:rFonts w:ascii="Arial" w:hAnsi="Arial" w:cs="Arial"/>
                <w:sz w:val="24"/>
                <w:szCs w:val="24"/>
              </w:rPr>
            </w:pPr>
            <w:r w:rsidRPr="00F413C5">
              <w:rPr>
                <w:rFonts w:ascii="Arial" w:hAnsi="Arial" w:cs="Arial"/>
                <w:sz w:val="24"/>
                <w:szCs w:val="24"/>
              </w:rPr>
              <w:t>Physical asset revaluation surplus</w:t>
            </w:r>
          </w:p>
        </w:tc>
        <w:tc>
          <w:tcPr>
            <w:tcW w:w="1113" w:type="dxa"/>
            <w:shd w:val="clear" w:color="auto" w:fill="auto"/>
            <w:noWrap/>
            <w:vAlign w:val="center"/>
            <w:hideMark/>
          </w:tcPr>
          <w:p w14:paraId="5B86C1D2"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58,525 </w:t>
            </w:r>
          </w:p>
        </w:tc>
        <w:tc>
          <w:tcPr>
            <w:tcW w:w="1113" w:type="dxa"/>
            <w:shd w:val="clear" w:color="auto" w:fill="auto"/>
            <w:noWrap/>
            <w:vAlign w:val="center"/>
            <w:hideMark/>
          </w:tcPr>
          <w:p w14:paraId="5BC6797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bl>
    <w:p w14:paraId="39BBBD13" w14:textId="77777777" w:rsidR="000F285B" w:rsidRPr="00347886" w:rsidRDefault="000F285B" w:rsidP="000F285B">
      <w:pPr>
        <w:pStyle w:val="Note"/>
        <w:rPr>
          <w:rFonts w:ascii="Arial" w:hAnsi="Arial" w:cs="Arial"/>
          <w:sz w:val="24"/>
          <w:szCs w:val="24"/>
        </w:rPr>
      </w:pPr>
      <w:r w:rsidRPr="00347886">
        <w:rPr>
          <w:rFonts w:ascii="Arial" w:hAnsi="Arial" w:cs="Arial"/>
          <w:sz w:val="24"/>
          <w:szCs w:val="24"/>
        </w:rPr>
        <w:t>Note:</w:t>
      </w:r>
    </w:p>
    <w:p w14:paraId="72514902" w14:textId="77777777" w:rsidR="000F285B" w:rsidRPr="00347886" w:rsidRDefault="000F285B" w:rsidP="00610F5F">
      <w:pPr>
        <w:pStyle w:val="aaaNotenumberiiiiii"/>
        <w:numPr>
          <w:ilvl w:val="0"/>
          <w:numId w:val="108"/>
        </w:numPr>
      </w:pPr>
      <w:r w:rsidRPr="00347886">
        <w:t xml:space="preserve">The comparative figures are for illustration purposes only and do not represent information of the department’s 2018-19 Financial Statements or comparatives disclosed in its 2019-20 Financial Statements. </w:t>
      </w:r>
    </w:p>
    <w:p w14:paraId="336ABA07" w14:textId="65D2C19B" w:rsidR="00D223AF" w:rsidRDefault="000F285B" w:rsidP="00610F5F">
      <w:pPr>
        <w:pStyle w:val="aaaNotenumberiiiiii"/>
        <w:numPr>
          <w:ilvl w:val="0"/>
          <w:numId w:val="108"/>
        </w:numPr>
      </w:pPr>
      <w:r w:rsidRPr="00347886">
        <w:t>The commitments relating to this SCA arrangement is disclosed in Note 7.5.2 Public Private Partnership (PPP) commitments.</w:t>
      </w:r>
      <w:r w:rsidR="00D223AF">
        <w:br w:type="page"/>
      </w:r>
    </w:p>
    <w:p w14:paraId="6D75B193" w14:textId="77777777" w:rsidR="003E5BF5" w:rsidRDefault="003E5BF5" w:rsidP="00A85601">
      <w:pPr>
        <w:pStyle w:val="aaatyping"/>
      </w:pPr>
      <w:r w:rsidRPr="002766D6">
        <w:lastRenderedPageBreak/>
        <w:t xml:space="preserve">The State will have </w:t>
      </w:r>
      <w:r>
        <w:t>access to the assets</w:t>
      </w:r>
      <w:r w:rsidRPr="002766D6">
        <w:t xml:space="preserve"> over their entire useful life. The residual interest in the project assets will rest with the State as the underlying Station is currently recognised on the State’s balance sheet. At the end of this period, the project’s service concession assets, rights and obligations will be returned to the State.</w:t>
      </w:r>
    </w:p>
    <w:p w14:paraId="572A4026" w14:textId="77777777" w:rsidR="003E5BF5" w:rsidRPr="00A536BE" w:rsidRDefault="003E5BF5" w:rsidP="00A85601">
      <w:pPr>
        <w:pStyle w:val="aaatyping"/>
      </w:pPr>
      <w:r w:rsidRPr="00FC4F92">
        <w:t>There were no changes to the arrangements during the reporting period.</w:t>
      </w:r>
    </w:p>
    <w:p w14:paraId="0AEBD371" w14:textId="77777777" w:rsidR="003E5BF5" w:rsidRDefault="003E5BF5" w:rsidP="00DE1921">
      <w:pPr>
        <w:sectPr w:rsidR="003E5BF5" w:rsidSect="00DE1921">
          <w:pgSz w:w="16838" w:h="11906" w:orient="landscape"/>
          <w:pgMar w:top="1418" w:right="1701" w:bottom="1418" w:left="1418" w:header="709" w:footer="709" w:gutter="0"/>
          <w:cols w:space="708"/>
          <w:docGrid w:linePitch="360"/>
        </w:sectPr>
      </w:pPr>
    </w:p>
    <w:p w14:paraId="141B3D2B" w14:textId="77777777" w:rsidR="003E5BF5" w:rsidRPr="00081911" w:rsidRDefault="003E5BF5" w:rsidP="00610F5F">
      <w:pPr>
        <w:pStyle w:val="Heading5"/>
        <w:numPr>
          <w:ilvl w:val="3"/>
          <w:numId w:val="21"/>
        </w:numPr>
      </w:pPr>
      <w:proofErr w:type="spellStart"/>
      <w:r w:rsidRPr="00081911">
        <w:lastRenderedPageBreak/>
        <w:t>EastLink</w:t>
      </w:r>
      <w:proofErr w:type="spellEnd"/>
      <w:r w:rsidRPr="00081911">
        <w:t xml:space="preserve"> - GORTO model</w:t>
      </w:r>
    </w:p>
    <w:p w14:paraId="7406470D" w14:textId="77777777" w:rsidR="003E5BF5" w:rsidRDefault="003E5BF5" w:rsidP="00A85601">
      <w:pPr>
        <w:pStyle w:val="aaatyping"/>
      </w:pPr>
      <w:r>
        <w:t xml:space="preserve">The department manages the statutory functions and powers of the State of Victoria under the </w:t>
      </w:r>
      <w:proofErr w:type="spellStart"/>
      <w:r w:rsidRPr="005C0474">
        <w:rPr>
          <w:i/>
          <w:iCs/>
        </w:rPr>
        <w:t>EastLink</w:t>
      </w:r>
      <w:proofErr w:type="spellEnd"/>
      <w:r w:rsidRPr="005C0474">
        <w:rPr>
          <w:i/>
          <w:iCs/>
        </w:rPr>
        <w:t xml:space="preserve"> Project Act 2004</w:t>
      </w:r>
      <w:r>
        <w:t xml:space="preserve">. These functions and powers include the management of agreements concerning the development, delivery and operation of the </w:t>
      </w:r>
      <w:proofErr w:type="spellStart"/>
      <w:r>
        <w:t>EastLink</w:t>
      </w:r>
      <w:proofErr w:type="spellEnd"/>
      <w:r>
        <w:t xml:space="preserve"> Project.</w:t>
      </w:r>
    </w:p>
    <w:p w14:paraId="2FE0B2E9" w14:textId="77777777" w:rsidR="003E5BF5" w:rsidRDefault="003E5BF5" w:rsidP="00A85601">
      <w:pPr>
        <w:pStyle w:val="aaatyping"/>
      </w:pPr>
      <w:r>
        <w:t xml:space="preserve">The State of Victoria and </w:t>
      </w:r>
      <w:proofErr w:type="spellStart"/>
      <w:r>
        <w:t>ConnectEast</w:t>
      </w:r>
      <w:proofErr w:type="spellEnd"/>
      <w:r>
        <w:t xml:space="preserve"> Pty Ltd (</w:t>
      </w:r>
      <w:proofErr w:type="spellStart"/>
      <w:r>
        <w:t>ConnectEast</w:t>
      </w:r>
      <w:proofErr w:type="spellEnd"/>
      <w:r>
        <w:t xml:space="preserve">), amongst others, entered into the </w:t>
      </w:r>
      <w:proofErr w:type="spellStart"/>
      <w:r>
        <w:t>EastLink</w:t>
      </w:r>
      <w:proofErr w:type="spellEnd"/>
      <w:r>
        <w:t xml:space="preserve"> Concession Deed on 14 October 2004. Under the terms of the Concession Deed, </w:t>
      </w:r>
      <w:proofErr w:type="spellStart"/>
      <w:r>
        <w:t>ConnectEast</w:t>
      </w:r>
      <w:proofErr w:type="spellEnd"/>
      <w:r>
        <w:t xml:space="preserve"> is responsible for the construction, financing and operation of the </w:t>
      </w:r>
      <w:proofErr w:type="spellStart"/>
      <w:r>
        <w:t>EastLink</w:t>
      </w:r>
      <w:proofErr w:type="spellEnd"/>
      <w:r>
        <w:t xml:space="preserve"> Project. As part of the Concession Deed, the State of Victoria granted to the operator, for a specified period of time (referred to as a concession period), the right to collect fees from users of the assets. Under the new accounting standards, this is referred to as the grant of a right to operate (GORTO) model. </w:t>
      </w:r>
    </w:p>
    <w:p w14:paraId="5A3C71C7" w14:textId="77777777" w:rsidR="003E5BF5" w:rsidRDefault="003E5BF5" w:rsidP="00A85601">
      <w:pPr>
        <w:pStyle w:val="aaatyping"/>
      </w:pPr>
      <w:proofErr w:type="spellStart"/>
      <w:r>
        <w:t>ConnectEast</w:t>
      </w:r>
      <w:proofErr w:type="spellEnd"/>
      <w:r>
        <w:t xml:space="preserve"> has a right to operate the </w:t>
      </w:r>
      <w:proofErr w:type="spellStart"/>
      <w:r>
        <w:t>EastLink</w:t>
      </w:r>
      <w:proofErr w:type="spellEnd"/>
      <w:r>
        <w:t xml:space="preserve"> road network for the duration of the concession period which is due to expire on 30 November 2043. </w:t>
      </w:r>
      <w:proofErr w:type="spellStart"/>
      <w:r>
        <w:t>EastLink</w:t>
      </w:r>
      <w:proofErr w:type="spellEnd"/>
      <w:r>
        <w:t xml:space="preserve"> opened to traffic in June 2008.</w:t>
      </w:r>
    </w:p>
    <w:p w14:paraId="5BE5D707" w14:textId="77777777" w:rsidR="003E5BF5" w:rsidRDefault="003E5BF5" w:rsidP="00A85601">
      <w:pPr>
        <w:pStyle w:val="aaatyping"/>
      </w:pPr>
      <w:proofErr w:type="spellStart"/>
      <w:r>
        <w:t>ConnectEast</w:t>
      </w:r>
      <w:proofErr w:type="spellEnd"/>
      <w:r>
        <w:t xml:space="preserve"> is responsible for the operation and the delivery of maintenance of the road infrastructure with the objective of making the road available for public use; at their own discretion based on terms and conditions specified in the agreement.</w:t>
      </w:r>
    </w:p>
    <w:p w14:paraId="1B770B6D" w14:textId="77777777" w:rsidR="003E5BF5" w:rsidRPr="001A6A43" w:rsidRDefault="003E5BF5" w:rsidP="00A85601">
      <w:pPr>
        <w:pStyle w:val="aaatyping"/>
      </w:pPr>
      <w:r>
        <w:t xml:space="preserve">The </w:t>
      </w:r>
      <w:proofErr w:type="spellStart"/>
      <w:r>
        <w:t>EastLink</w:t>
      </w:r>
      <w:proofErr w:type="spellEnd"/>
      <w:r>
        <w:t xml:space="preserve"> PPP arrangement transferred from VicRoads to the department as part of the Machinery of Government change that integrated VicRoads and PTV into the department. VicRoads adopted the standard </w:t>
      </w:r>
      <w:r>
        <w:lastRenderedPageBreak/>
        <w:t>for the first time retrospectively based on its 2018-19 Financial Statements and then transferred balances as contributed capital to the department on 1 July 2019. There are no comparatives relating to VicRoads within the department’s current year financial statements, however in order to provide a better illustration to the users that compares the pre and post adoption of AASB 1059, the department included a table of how the arrangement would had been disclosed had VicRoads prepared its own financial statements in 2019-20. A summary of the arrangement is included below:</w:t>
      </w:r>
    </w:p>
    <w:p w14:paraId="40FE0CF2" w14:textId="77777777" w:rsidR="003E5BF5" w:rsidRDefault="003E5BF5" w:rsidP="00DE1921">
      <w:pPr>
        <w:sectPr w:rsidR="003E5BF5" w:rsidSect="00DE1921">
          <w:pgSz w:w="16838" w:h="11906" w:orient="landscape"/>
          <w:pgMar w:top="1418" w:right="1701" w:bottom="1418" w:left="1418" w:header="709" w:footer="709" w:gutter="0"/>
          <w:cols w:space="708"/>
          <w:docGrid w:linePitch="360"/>
        </w:sectPr>
      </w:pPr>
    </w:p>
    <w:tbl>
      <w:tblPr>
        <w:tblStyle w:val="TableGrid"/>
        <w:tblW w:w="13608" w:type="dxa"/>
        <w:jc w:val="center"/>
        <w:tblLayout w:type="fixed"/>
        <w:tblLook w:val="04A0" w:firstRow="1" w:lastRow="0" w:firstColumn="1" w:lastColumn="0" w:noHBand="0" w:noVBand="1"/>
      </w:tblPr>
      <w:tblGrid>
        <w:gridCol w:w="2591"/>
        <w:gridCol w:w="2211"/>
        <w:gridCol w:w="1333"/>
        <w:gridCol w:w="1333"/>
        <w:gridCol w:w="3197"/>
        <w:gridCol w:w="1471"/>
        <w:gridCol w:w="1472"/>
      </w:tblGrid>
      <w:tr w:rsidR="003E5BF5" w:rsidRPr="00F413C5" w14:paraId="67B4F9EF" w14:textId="77777777" w:rsidTr="000F285B">
        <w:trPr>
          <w:trHeight w:val="340"/>
          <w:jc w:val="center"/>
        </w:trPr>
        <w:tc>
          <w:tcPr>
            <w:tcW w:w="2591" w:type="dxa"/>
            <w:shd w:val="clear" w:color="auto" w:fill="auto"/>
            <w:hideMark/>
          </w:tcPr>
          <w:p w14:paraId="4E4CCDAF" w14:textId="77777777" w:rsidR="003E5BF5" w:rsidRPr="00F413C5" w:rsidRDefault="003E5BF5" w:rsidP="00DE1921">
            <w:pPr>
              <w:rPr>
                <w:rFonts w:ascii="Arial" w:hAnsi="Arial" w:cs="Arial"/>
                <w:sz w:val="24"/>
                <w:szCs w:val="24"/>
              </w:rPr>
            </w:pPr>
          </w:p>
        </w:tc>
        <w:tc>
          <w:tcPr>
            <w:tcW w:w="11017" w:type="dxa"/>
            <w:gridSpan w:val="6"/>
            <w:shd w:val="clear" w:color="auto" w:fill="auto"/>
            <w:vAlign w:val="center"/>
            <w:hideMark/>
          </w:tcPr>
          <w:p w14:paraId="737B994C"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 thousand)</w:t>
            </w:r>
          </w:p>
        </w:tc>
      </w:tr>
      <w:tr w:rsidR="003E5BF5" w:rsidRPr="00F413C5" w14:paraId="208E1E7D" w14:textId="77777777" w:rsidTr="000F285B">
        <w:trPr>
          <w:trHeight w:val="340"/>
          <w:jc w:val="center"/>
        </w:trPr>
        <w:tc>
          <w:tcPr>
            <w:tcW w:w="2591" w:type="dxa"/>
            <w:shd w:val="clear" w:color="auto" w:fill="auto"/>
            <w:hideMark/>
          </w:tcPr>
          <w:p w14:paraId="24E53372" w14:textId="77777777" w:rsidR="003E5BF5" w:rsidRPr="00F413C5" w:rsidRDefault="003E5BF5" w:rsidP="00DE1921">
            <w:pPr>
              <w:rPr>
                <w:rFonts w:ascii="Arial" w:hAnsi="Arial" w:cs="Arial"/>
                <w:sz w:val="24"/>
                <w:szCs w:val="24"/>
              </w:rPr>
            </w:pPr>
          </w:p>
        </w:tc>
        <w:tc>
          <w:tcPr>
            <w:tcW w:w="11017" w:type="dxa"/>
            <w:gridSpan w:val="6"/>
            <w:shd w:val="clear" w:color="auto" w:fill="auto"/>
            <w:vAlign w:val="bottom"/>
            <w:hideMark/>
          </w:tcPr>
          <w:p w14:paraId="07F36C4B" w14:textId="77777777" w:rsidR="003E5BF5" w:rsidRPr="00F413C5" w:rsidRDefault="003E5BF5" w:rsidP="00DE1921">
            <w:pPr>
              <w:jc w:val="center"/>
              <w:rPr>
                <w:rFonts w:ascii="Arial" w:hAnsi="Arial" w:cs="Arial"/>
                <w:b/>
                <w:sz w:val="24"/>
                <w:szCs w:val="24"/>
              </w:rPr>
            </w:pPr>
            <w:proofErr w:type="spellStart"/>
            <w:r w:rsidRPr="00F413C5">
              <w:rPr>
                <w:rFonts w:ascii="Arial" w:hAnsi="Arial" w:cs="Arial"/>
                <w:b/>
                <w:sz w:val="24"/>
                <w:szCs w:val="24"/>
              </w:rPr>
              <w:t>EastLink</w:t>
            </w:r>
            <w:proofErr w:type="spellEnd"/>
          </w:p>
        </w:tc>
      </w:tr>
      <w:tr w:rsidR="003E5BF5" w:rsidRPr="00F413C5" w14:paraId="48A568C6" w14:textId="77777777" w:rsidTr="000F285B">
        <w:trPr>
          <w:trHeight w:val="340"/>
          <w:jc w:val="center"/>
        </w:trPr>
        <w:tc>
          <w:tcPr>
            <w:tcW w:w="2591" w:type="dxa"/>
            <w:shd w:val="clear" w:color="auto" w:fill="auto"/>
            <w:hideMark/>
          </w:tcPr>
          <w:p w14:paraId="07345F74" w14:textId="77777777" w:rsidR="003E5BF5" w:rsidRPr="00F413C5" w:rsidRDefault="003E5BF5" w:rsidP="00DE1921">
            <w:pPr>
              <w:rPr>
                <w:rFonts w:ascii="Arial" w:hAnsi="Arial" w:cs="Arial"/>
                <w:b/>
                <w:sz w:val="24"/>
                <w:szCs w:val="24"/>
              </w:rPr>
            </w:pPr>
          </w:p>
        </w:tc>
        <w:tc>
          <w:tcPr>
            <w:tcW w:w="4877" w:type="dxa"/>
            <w:gridSpan w:val="3"/>
            <w:shd w:val="clear" w:color="auto" w:fill="auto"/>
            <w:noWrap/>
            <w:vAlign w:val="bottom"/>
            <w:hideMark/>
          </w:tcPr>
          <w:p w14:paraId="7F3EA7E6"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Pre-AASB 1059 accounting</w:t>
            </w:r>
          </w:p>
        </w:tc>
        <w:tc>
          <w:tcPr>
            <w:tcW w:w="6140" w:type="dxa"/>
            <w:gridSpan w:val="3"/>
            <w:shd w:val="clear" w:color="auto" w:fill="auto"/>
            <w:noWrap/>
            <w:vAlign w:val="bottom"/>
            <w:hideMark/>
          </w:tcPr>
          <w:p w14:paraId="21BC1CB1" w14:textId="77777777" w:rsidR="003E5BF5" w:rsidRPr="00F413C5" w:rsidRDefault="003E5BF5" w:rsidP="00DE1921">
            <w:pPr>
              <w:jc w:val="center"/>
              <w:rPr>
                <w:rFonts w:ascii="Arial" w:hAnsi="Arial" w:cs="Arial"/>
                <w:b/>
                <w:sz w:val="24"/>
                <w:szCs w:val="24"/>
              </w:rPr>
            </w:pPr>
            <w:r w:rsidRPr="00F413C5">
              <w:rPr>
                <w:rFonts w:ascii="Arial" w:hAnsi="Arial" w:cs="Arial"/>
                <w:b/>
                <w:sz w:val="24"/>
                <w:szCs w:val="24"/>
              </w:rPr>
              <w:t>Application of AASB 1059</w:t>
            </w:r>
          </w:p>
        </w:tc>
      </w:tr>
      <w:tr w:rsidR="003E5BF5" w:rsidRPr="00F413C5" w14:paraId="75A2967D" w14:textId="77777777" w:rsidTr="000F285B">
        <w:trPr>
          <w:trHeight w:val="340"/>
          <w:jc w:val="center"/>
        </w:trPr>
        <w:tc>
          <w:tcPr>
            <w:tcW w:w="2591" w:type="dxa"/>
            <w:shd w:val="clear" w:color="auto" w:fill="auto"/>
            <w:vAlign w:val="center"/>
            <w:hideMark/>
          </w:tcPr>
          <w:p w14:paraId="0CB14FCC" w14:textId="77777777" w:rsidR="003E5BF5" w:rsidRPr="00F413C5" w:rsidRDefault="003E5BF5" w:rsidP="00DE1921">
            <w:pPr>
              <w:rPr>
                <w:rFonts w:ascii="Arial" w:hAnsi="Arial" w:cs="Arial"/>
                <w:b/>
                <w:sz w:val="24"/>
                <w:szCs w:val="24"/>
              </w:rPr>
            </w:pPr>
            <w:r w:rsidRPr="00F413C5">
              <w:rPr>
                <w:rFonts w:ascii="Arial" w:hAnsi="Arial" w:cs="Arial"/>
                <w:b/>
                <w:sz w:val="24"/>
                <w:szCs w:val="24"/>
              </w:rPr>
              <w:t>Note</w:t>
            </w:r>
          </w:p>
        </w:tc>
        <w:tc>
          <w:tcPr>
            <w:tcW w:w="2211" w:type="dxa"/>
            <w:shd w:val="clear" w:color="auto" w:fill="auto"/>
            <w:vAlign w:val="center"/>
            <w:hideMark/>
          </w:tcPr>
          <w:p w14:paraId="094EECC0" w14:textId="77777777" w:rsidR="003E5BF5" w:rsidRPr="00F413C5" w:rsidRDefault="003E5BF5" w:rsidP="00DE1921">
            <w:pPr>
              <w:rPr>
                <w:rFonts w:ascii="Arial" w:hAnsi="Arial" w:cs="Arial"/>
                <w:b/>
                <w:sz w:val="24"/>
                <w:szCs w:val="24"/>
              </w:rPr>
            </w:pPr>
            <w:r w:rsidRPr="00F413C5">
              <w:rPr>
                <w:rFonts w:ascii="Arial" w:hAnsi="Arial" w:cs="Arial"/>
                <w:b/>
                <w:sz w:val="24"/>
                <w:szCs w:val="24"/>
              </w:rPr>
              <w:t>Line item</w:t>
            </w:r>
          </w:p>
        </w:tc>
        <w:tc>
          <w:tcPr>
            <w:tcW w:w="1333" w:type="dxa"/>
            <w:shd w:val="clear" w:color="auto" w:fill="auto"/>
            <w:vAlign w:val="center"/>
            <w:hideMark/>
          </w:tcPr>
          <w:p w14:paraId="33DD3899"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2020</w:t>
            </w:r>
          </w:p>
        </w:tc>
        <w:tc>
          <w:tcPr>
            <w:tcW w:w="1333" w:type="dxa"/>
            <w:shd w:val="clear" w:color="auto" w:fill="auto"/>
            <w:vAlign w:val="center"/>
            <w:hideMark/>
          </w:tcPr>
          <w:p w14:paraId="48D11DEC"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2019 </w:t>
            </w:r>
            <w:r w:rsidRPr="00F413C5">
              <w:rPr>
                <w:rFonts w:ascii="Arial" w:hAnsi="Arial" w:cs="Arial"/>
                <w:b/>
                <w:sz w:val="24"/>
                <w:szCs w:val="24"/>
                <w:vertAlign w:val="superscript"/>
              </w:rPr>
              <w:t>(</w:t>
            </w:r>
            <w:proofErr w:type="spellStart"/>
            <w:r w:rsidRPr="00F413C5">
              <w:rPr>
                <w:rFonts w:ascii="Arial" w:hAnsi="Arial" w:cs="Arial"/>
                <w:b/>
                <w:sz w:val="24"/>
                <w:szCs w:val="24"/>
                <w:vertAlign w:val="superscript"/>
              </w:rPr>
              <w:t>i</w:t>
            </w:r>
            <w:proofErr w:type="spellEnd"/>
            <w:r w:rsidRPr="00F413C5">
              <w:rPr>
                <w:rFonts w:ascii="Arial" w:hAnsi="Arial" w:cs="Arial"/>
                <w:b/>
                <w:sz w:val="24"/>
                <w:szCs w:val="24"/>
                <w:vertAlign w:val="superscript"/>
              </w:rPr>
              <w:t>)</w:t>
            </w:r>
          </w:p>
        </w:tc>
        <w:tc>
          <w:tcPr>
            <w:tcW w:w="3197" w:type="dxa"/>
            <w:shd w:val="clear" w:color="auto" w:fill="auto"/>
            <w:vAlign w:val="center"/>
            <w:hideMark/>
          </w:tcPr>
          <w:p w14:paraId="1975C67F" w14:textId="77777777" w:rsidR="003E5BF5" w:rsidRPr="00F413C5" w:rsidRDefault="003E5BF5" w:rsidP="00DE1921">
            <w:pPr>
              <w:rPr>
                <w:rFonts w:ascii="Arial" w:hAnsi="Arial" w:cs="Arial"/>
                <w:b/>
                <w:sz w:val="24"/>
                <w:szCs w:val="24"/>
              </w:rPr>
            </w:pPr>
            <w:r w:rsidRPr="00F413C5">
              <w:rPr>
                <w:rFonts w:ascii="Arial" w:hAnsi="Arial" w:cs="Arial"/>
                <w:b/>
                <w:sz w:val="24"/>
                <w:szCs w:val="24"/>
              </w:rPr>
              <w:t>Line item</w:t>
            </w:r>
          </w:p>
        </w:tc>
        <w:tc>
          <w:tcPr>
            <w:tcW w:w="1471" w:type="dxa"/>
            <w:shd w:val="clear" w:color="auto" w:fill="auto"/>
            <w:vAlign w:val="center"/>
            <w:hideMark/>
          </w:tcPr>
          <w:p w14:paraId="564CAEDB"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2020</w:t>
            </w:r>
          </w:p>
        </w:tc>
        <w:tc>
          <w:tcPr>
            <w:tcW w:w="1472" w:type="dxa"/>
            <w:shd w:val="clear" w:color="auto" w:fill="auto"/>
            <w:vAlign w:val="center"/>
            <w:hideMark/>
          </w:tcPr>
          <w:p w14:paraId="56DCF4A7" w14:textId="77777777" w:rsidR="003E5BF5" w:rsidRPr="00F413C5" w:rsidRDefault="003E5BF5" w:rsidP="00DE1921">
            <w:pPr>
              <w:jc w:val="right"/>
              <w:rPr>
                <w:rFonts w:ascii="Arial" w:hAnsi="Arial" w:cs="Arial"/>
                <w:b/>
                <w:sz w:val="24"/>
                <w:szCs w:val="24"/>
              </w:rPr>
            </w:pPr>
            <w:r w:rsidRPr="00F413C5">
              <w:rPr>
                <w:rFonts w:ascii="Arial" w:hAnsi="Arial" w:cs="Arial"/>
                <w:b/>
                <w:sz w:val="24"/>
                <w:szCs w:val="24"/>
              </w:rPr>
              <w:t xml:space="preserve">2019 </w:t>
            </w:r>
            <w:r w:rsidRPr="00F413C5">
              <w:rPr>
                <w:rFonts w:ascii="Arial" w:hAnsi="Arial" w:cs="Arial"/>
                <w:b/>
                <w:sz w:val="24"/>
                <w:szCs w:val="24"/>
                <w:vertAlign w:val="superscript"/>
              </w:rPr>
              <w:t>(</w:t>
            </w:r>
            <w:proofErr w:type="spellStart"/>
            <w:r w:rsidRPr="00F413C5">
              <w:rPr>
                <w:rFonts w:ascii="Arial" w:hAnsi="Arial" w:cs="Arial"/>
                <w:b/>
                <w:sz w:val="24"/>
                <w:szCs w:val="24"/>
                <w:vertAlign w:val="superscript"/>
              </w:rPr>
              <w:t>i</w:t>
            </w:r>
            <w:proofErr w:type="spellEnd"/>
            <w:r w:rsidRPr="00F413C5">
              <w:rPr>
                <w:rFonts w:ascii="Arial" w:hAnsi="Arial" w:cs="Arial"/>
                <w:b/>
                <w:sz w:val="24"/>
                <w:szCs w:val="24"/>
                <w:vertAlign w:val="superscript"/>
              </w:rPr>
              <w:t>)</w:t>
            </w:r>
          </w:p>
        </w:tc>
      </w:tr>
      <w:tr w:rsidR="003E5BF5" w:rsidRPr="00F413C5" w14:paraId="13C05277" w14:textId="77777777" w:rsidTr="000F285B">
        <w:trPr>
          <w:trHeight w:val="340"/>
          <w:jc w:val="center"/>
        </w:trPr>
        <w:tc>
          <w:tcPr>
            <w:tcW w:w="2591" w:type="dxa"/>
            <w:shd w:val="clear" w:color="auto" w:fill="auto"/>
            <w:vAlign w:val="center"/>
            <w:hideMark/>
          </w:tcPr>
          <w:p w14:paraId="797421DB" w14:textId="77777777" w:rsidR="003E5BF5" w:rsidRPr="00F413C5" w:rsidRDefault="003E5BF5" w:rsidP="00DE1921">
            <w:pPr>
              <w:rPr>
                <w:rFonts w:ascii="Arial" w:hAnsi="Arial" w:cs="Arial"/>
                <w:sz w:val="24"/>
                <w:szCs w:val="24"/>
              </w:rPr>
            </w:pPr>
            <w:r w:rsidRPr="00F413C5">
              <w:rPr>
                <w:rFonts w:ascii="Arial" w:hAnsi="Arial" w:cs="Arial"/>
                <w:sz w:val="24"/>
                <w:szCs w:val="24"/>
              </w:rPr>
              <w:t>Note 6.2 Payables</w:t>
            </w:r>
          </w:p>
        </w:tc>
        <w:tc>
          <w:tcPr>
            <w:tcW w:w="2211" w:type="dxa"/>
            <w:shd w:val="clear" w:color="auto" w:fill="auto"/>
            <w:vAlign w:val="center"/>
            <w:hideMark/>
          </w:tcPr>
          <w:p w14:paraId="7743D6DA" w14:textId="77777777" w:rsidR="003E5BF5" w:rsidRPr="00F413C5" w:rsidRDefault="003E5BF5" w:rsidP="00DE1921">
            <w:pPr>
              <w:rPr>
                <w:rFonts w:ascii="Arial" w:hAnsi="Arial" w:cs="Arial"/>
                <w:sz w:val="24"/>
                <w:szCs w:val="24"/>
              </w:rPr>
            </w:pPr>
            <w:r w:rsidRPr="00F413C5">
              <w:rPr>
                <w:rFonts w:ascii="Arial" w:hAnsi="Arial" w:cs="Arial"/>
                <w:sz w:val="24"/>
                <w:szCs w:val="24"/>
              </w:rPr>
              <w:t>—</w:t>
            </w:r>
          </w:p>
        </w:tc>
        <w:tc>
          <w:tcPr>
            <w:tcW w:w="1333" w:type="dxa"/>
            <w:shd w:val="clear" w:color="auto" w:fill="auto"/>
            <w:noWrap/>
            <w:vAlign w:val="center"/>
            <w:hideMark/>
          </w:tcPr>
          <w:p w14:paraId="009652A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333" w:type="dxa"/>
            <w:shd w:val="clear" w:color="auto" w:fill="auto"/>
            <w:noWrap/>
            <w:vAlign w:val="center"/>
            <w:hideMark/>
          </w:tcPr>
          <w:p w14:paraId="21EC671E"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3197" w:type="dxa"/>
            <w:shd w:val="clear" w:color="auto" w:fill="auto"/>
            <w:vAlign w:val="center"/>
            <w:hideMark/>
          </w:tcPr>
          <w:p w14:paraId="053CBD13" w14:textId="77777777" w:rsidR="003E5BF5" w:rsidRPr="00F413C5" w:rsidRDefault="003E5BF5" w:rsidP="00DE1921">
            <w:pPr>
              <w:rPr>
                <w:rFonts w:ascii="Arial" w:hAnsi="Arial" w:cs="Arial"/>
                <w:sz w:val="24"/>
                <w:szCs w:val="24"/>
              </w:rPr>
            </w:pPr>
            <w:r w:rsidRPr="00F413C5">
              <w:rPr>
                <w:rFonts w:ascii="Arial" w:hAnsi="Arial" w:cs="Arial"/>
                <w:sz w:val="24"/>
                <w:szCs w:val="24"/>
              </w:rPr>
              <w:t>Grant of right to operate liability</w:t>
            </w:r>
          </w:p>
        </w:tc>
        <w:tc>
          <w:tcPr>
            <w:tcW w:w="1471" w:type="dxa"/>
            <w:shd w:val="clear" w:color="auto" w:fill="auto"/>
            <w:noWrap/>
            <w:vAlign w:val="center"/>
            <w:hideMark/>
          </w:tcPr>
          <w:p w14:paraId="062E325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2,247,491 </w:t>
            </w:r>
          </w:p>
        </w:tc>
        <w:tc>
          <w:tcPr>
            <w:tcW w:w="1472" w:type="dxa"/>
            <w:shd w:val="clear" w:color="auto" w:fill="auto"/>
            <w:noWrap/>
            <w:vAlign w:val="center"/>
            <w:hideMark/>
          </w:tcPr>
          <w:p w14:paraId="354E312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2,337,391 </w:t>
            </w:r>
          </w:p>
        </w:tc>
      </w:tr>
      <w:tr w:rsidR="003E5BF5" w:rsidRPr="00F413C5" w14:paraId="3EBFDF46" w14:textId="77777777" w:rsidTr="000F285B">
        <w:trPr>
          <w:trHeight w:val="340"/>
          <w:jc w:val="center"/>
        </w:trPr>
        <w:tc>
          <w:tcPr>
            <w:tcW w:w="2591" w:type="dxa"/>
            <w:shd w:val="clear" w:color="auto" w:fill="auto"/>
            <w:vAlign w:val="center"/>
            <w:hideMark/>
          </w:tcPr>
          <w:p w14:paraId="54285E48" w14:textId="77777777" w:rsidR="003E5BF5" w:rsidRPr="00F413C5" w:rsidRDefault="003E5BF5" w:rsidP="00DE1921">
            <w:pPr>
              <w:rPr>
                <w:rFonts w:ascii="Arial" w:hAnsi="Arial" w:cs="Arial"/>
                <w:sz w:val="24"/>
                <w:szCs w:val="24"/>
              </w:rPr>
            </w:pPr>
            <w:r w:rsidRPr="00F413C5">
              <w:rPr>
                <w:rFonts w:ascii="Arial" w:hAnsi="Arial" w:cs="Arial"/>
                <w:sz w:val="24"/>
                <w:szCs w:val="24"/>
              </w:rPr>
              <w:t>Note 5.1 Property, plant and equipment</w:t>
            </w:r>
          </w:p>
        </w:tc>
        <w:tc>
          <w:tcPr>
            <w:tcW w:w="2211" w:type="dxa"/>
            <w:shd w:val="clear" w:color="auto" w:fill="auto"/>
            <w:hideMark/>
          </w:tcPr>
          <w:p w14:paraId="2BB5D772" w14:textId="77777777" w:rsidR="003E5BF5" w:rsidRPr="00F413C5" w:rsidRDefault="003E5BF5" w:rsidP="00DE1921">
            <w:pPr>
              <w:rPr>
                <w:rFonts w:ascii="Arial" w:hAnsi="Arial" w:cs="Arial"/>
                <w:sz w:val="24"/>
                <w:szCs w:val="24"/>
              </w:rPr>
            </w:pPr>
            <w:r w:rsidRPr="00F413C5">
              <w:rPr>
                <w:rFonts w:ascii="Arial" w:hAnsi="Arial" w:cs="Arial"/>
                <w:sz w:val="24"/>
                <w:szCs w:val="24"/>
              </w:rPr>
              <w:t>—</w:t>
            </w:r>
          </w:p>
        </w:tc>
        <w:tc>
          <w:tcPr>
            <w:tcW w:w="1333" w:type="dxa"/>
            <w:shd w:val="clear" w:color="auto" w:fill="auto"/>
            <w:noWrap/>
            <w:hideMark/>
          </w:tcPr>
          <w:p w14:paraId="7A17062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333" w:type="dxa"/>
            <w:shd w:val="clear" w:color="auto" w:fill="auto"/>
            <w:noWrap/>
            <w:hideMark/>
          </w:tcPr>
          <w:p w14:paraId="6053186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3197" w:type="dxa"/>
            <w:shd w:val="clear" w:color="auto" w:fill="auto"/>
            <w:hideMark/>
          </w:tcPr>
          <w:p w14:paraId="6EDBD6FF" w14:textId="77777777" w:rsidR="003E5BF5" w:rsidRPr="00F413C5" w:rsidRDefault="003E5BF5" w:rsidP="00DE1921">
            <w:pPr>
              <w:rPr>
                <w:rFonts w:ascii="Arial" w:hAnsi="Arial" w:cs="Arial"/>
                <w:sz w:val="24"/>
                <w:szCs w:val="24"/>
              </w:rPr>
            </w:pPr>
            <w:r w:rsidRPr="00F413C5">
              <w:rPr>
                <w:rFonts w:ascii="Arial" w:hAnsi="Arial" w:cs="Arial"/>
                <w:sz w:val="24"/>
                <w:szCs w:val="24"/>
              </w:rPr>
              <w:t>Service concession asset</w:t>
            </w:r>
          </w:p>
        </w:tc>
        <w:tc>
          <w:tcPr>
            <w:tcW w:w="1471" w:type="dxa"/>
            <w:shd w:val="clear" w:color="auto" w:fill="auto"/>
            <w:noWrap/>
            <w:hideMark/>
          </w:tcPr>
          <w:p w14:paraId="02D3DB98"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3,662,541 </w:t>
            </w:r>
          </w:p>
        </w:tc>
        <w:tc>
          <w:tcPr>
            <w:tcW w:w="1472" w:type="dxa"/>
            <w:shd w:val="clear" w:color="auto" w:fill="auto"/>
            <w:noWrap/>
            <w:hideMark/>
          </w:tcPr>
          <w:p w14:paraId="149BF983"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3,505,305 </w:t>
            </w:r>
          </w:p>
        </w:tc>
      </w:tr>
      <w:tr w:rsidR="003E5BF5" w:rsidRPr="00F413C5" w14:paraId="78917929" w14:textId="77777777" w:rsidTr="000F285B">
        <w:trPr>
          <w:trHeight w:val="340"/>
          <w:jc w:val="center"/>
        </w:trPr>
        <w:tc>
          <w:tcPr>
            <w:tcW w:w="2591" w:type="dxa"/>
            <w:shd w:val="clear" w:color="auto" w:fill="auto"/>
            <w:vAlign w:val="center"/>
            <w:hideMark/>
          </w:tcPr>
          <w:p w14:paraId="61E55240" w14:textId="77777777" w:rsidR="003E5BF5" w:rsidRPr="00F413C5" w:rsidRDefault="003E5BF5" w:rsidP="00DE1921">
            <w:pPr>
              <w:rPr>
                <w:rFonts w:ascii="Arial" w:hAnsi="Arial" w:cs="Arial"/>
                <w:sz w:val="24"/>
                <w:szCs w:val="24"/>
              </w:rPr>
            </w:pPr>
            <w:r w:rsidRPr="00F413C5">
              <w:rPr>
                <w:rFonts w:ascii="Arial" w:hAnsi="Arial" w:cs="Arial"/>
                <w:sz w:val="24"/>
                <w:szCs w:val="24"/>
              </w:rPr>
              <w:t>Note 5.1.5 Depreciation</w:t>
            </w:r>
          </w:p>
        </w:tc>
        <w:tc>
          <w:tcPr>
            <w:tcW w:w="2211" w:type="dxa"/>
            <w:shd w:val="clear" w:color="auto" w:fill="auto"/>
            <w:vAlign w:val="center"/>
            <w:hideMark/>
          </w:tcPr>
          <w:p w14:paraId="35914894" w14:textId="77777777" w:rsidR="003E5BF5" w:rsidRPr="00F413C5" w:rsidRDefault="003E5BF5" w:rsidP="00DE1921">
            <w:pPr>
              <w:rPr>
                <w:rFonts w:ascii="Arial" w:hAnsi="Arial" w:cs="Arial"/>
                <w:sz w:val="24"/>
                <w:szCs w:val="24"/>
              </w:rPr>
            </w:pPr>
            <w:r w:rsidRPr="00F413C5">
              <w:rPr>
                <w:rFonts w:ascii="Arial" w:hAnsi="Arial" w:cs="Arial"/>
                <w:sz w:val="24"/>
                <w:szCs w:val="24"/>
              </w:rPr>
              <w:t>—</w:t>
            </w:r>
          </w:p>
        </w:tc>
        <w:tc>
          <w:tcPr>
            <w:tcW w:w="1333" w:type="dxa"/>
            <w:shd w:val="clear" w:color="auto" w:fill="auto"/>
            <w:noWrap/>
            <w:vAlign w:val="center"/>
            <w:hideMark/>
          </w:tcPr>
          <w:p w14:paraId="219A1BC0"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333" w:type="dxa"/>
            <w:shd w:val="clear" w:color="auto" w:fill="auto"/>
            <w:noWrap/>
            <w:vAlign w:val="center"/>
            <w:hideMark/>
          </w:tcPr>
          <w:p w14:paraId="3027614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3197" w:type="dxa"/>
            <w:shd w:val="clear" w:color="auto" w:fill="auto"/>
            <w:vAlign w:val="center"/>
            <w:hideMark/>
          </w:tcPr>
          <w:p w14:paraId="71CABF8B" w14:textId="77777777" w:rsidR="003E5BF5" w:rsidRPr="00F413C5" w:rsidRDefault="003E5BF5" w:rsidP="00DE1921">
            <w:pPr>
              <w:rPr>
                <w:rFonts w:ascii="Arial" w:hAnsi="Arial" w:cs="Arial"/>
                <w:sz w:val="24"/>
                <w:szCs w:val="24"/>
              </w:rPr>
            </w:pPr>
            <w:r w:rsidRPr="00F413C5">
              <w:rPr>
                <w:rFonts w:ascii="Arial" w:hAnsi="Arial" w:cs="Arial"/>
                <w:sz w:val="24"/>
                <w:szCs w:val="24"/>
              </w:rPr>
              <w:t>Service concession asset depreciation</w:t>
            </w:r>
          </w:p>
        </w:tc>
        <w:tc>
          <w:tcPr>
            <w:tcW w:w="1471" w:type="dxa"/>
            <w:shd w:val="clear" w:color="auto" w:fill="auto"/>
            <w:noWrap/>
            <w:hideMark/>
          </w:tcPr>
          <w:p w14:paraId="0A233BE6"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(87,670)</w:t>
            </w:r>
          </w:p>
        </w:tc>
        <w:tc>
          <w:tcPr>
            <w:tcW w:w="1472" w:type="dxa"/>
            <w:shd w:val="clear" w:color="auto" w:fill="auto"/>
            <w:noWrap/>
            <w:hideMark/>
          </w:tcPr>
          <w:p w14:paraId="04BD9889"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(89,595)</w:t>
            </w:r>
          </w:p>
        </w:tc>
      </w:tr>
      <w:tr w:rsidR="003E5BF5" w:rsidRPr="00F413C5" w14:paraId="6314BE06" w14:textId="77777777" w:rsidTr="000F285B">
        <w:trPr>
          <w:trHeight w:val="340"/>
          <w:jc w:val="center"/>
        </w:trPr>
        <w:tc>
          <w:tcPr>
            <w:tcW w:w="2591" w:type="dxa"/>
            <w:tcBorders>
              <w:bottom w:val="single" w:sz="4" w:space="0" w:color="auto"/>
            </w:tcBorders>
            <w:shd w:val="clear" w:color="auto" w:fill="auto"/>
            <w:vAlign w:val="center"/>
            <w:hideMark/>
          </w:tcPr>
          <w:p w14:paraId="7FE21F57" w14:textId="77777777" w:rsidR="003E5BF5" w:rsidRPr="00F413C5" w:rsidRDefault="003E5BF5" w:rsidP="00DE1921">
            <w:pPr>
              <w:rPr>
                <w:rFonts w:ascii="Arial" w:hAnsi="Arial" w:cs="Arial"/>
                <w:sz w:val="24"/>
                <w:szCs w:val="24"/>
              </w:rPr>
            </w:pPr>
            <w:r w:rsidRPr="00F413C5">
              <w:rPr>
                <w:rFonts w:ascii="Arial" w:hAnsi="Arial" w:cs="Arial"/>
                <w:sz w:val="24"/>
                <w:szCs w:val="24"/>
              </w:rPr>
              <w:t>Note 2.4 Other income</w:t>
            </w:r>
          </w:p>
        </w:tc>
        <w:tc>
          <w:tcPr>
            <w:tcW w:w="2211" w:type="dxa"/>
            <w:tcBorders>
              <w:bottom w:val="single" w:sz="4" w:space="0" w:color="auto"/>
            </w:tcBorders>
            <w:shd w:val="clear" w:color="auto" w:fill="auto"/>
            <w:vAlign w:val="center"/>
            <w:hideMark/>
          </w:tcPr>
          <w:p w14:paraId="20D939C7" w14:textId="77777777" w:rsidR="003E5BF5" w:rsidRPr="00F413C5" w:rsidRDefault="003E5BF5" w:rsidP="00DE1921">
            <w:pPr>
              <w:rPr>
                <w:rFonts w:ascii="Arial" w:hAnsi="Arial" w:cs="Arial"/>
                <w:sz w:val="24"/>
                <w:szCs w:val="24"/>
              </w:rPr>
            </w:pPr>
            <w:r w:rsidRPr="00F413C5">
              <w:rPr>
                <w:rFonts w:ascii="Arial" w:hAnsi="Arial" w:cs="Arial"/>
                <w:sz w:val="24"/>
                <w:szCs w:val="24"/>
              </w:rPr>
              <w:t>—</w:t>
            </w:r>
          </w:p>
        </w:tc>
        <w:tc>
          <w:tcPr>
            <w:tcW w:w="1333" w:type="dxa"/>
            <w:tcBorders>
              <w:bottom w:val="single" w:sz="4" w:space="0" w:color="auto"/>
            </w:tcBorders>
            <w:shd w:val="clear" w:color="auto" w:fill="auto"/>
            <w:noWrap/>
            <w:vAlign w:val="center"/>
            <w:hideMark/>
          </w:tcPr>
          <w:p w14:paraId="488A53CB"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333" w:type="dxa"/>
            <w:tcBorders>
              <w:bottom w:val="single" w:sz="4" w:space="0" w:color="auto"/>
            </w:tcBorders>
            <w:shd w:val="clear" w:color="auto" w:fill="auto"/>
            <w:noWrap/>
            <w:vAlign w:val="center"/>
            <w:hideMark/>
          </w:tcPr>
          <w:p w14:paraId="7DBD7E0A"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3197" w:type="dxa"/>
            <w:tcBorders>
              <w:bottom w:val="single" w:sz="4" w:space="0" w:color="auto"/>
            </w:tcBorders>
            <w:shd w:val="clear" w:color="auto" w:fill="auto"/>
            <w:vAlign w:val="center"/>
            <w:hideMark/>
          </w:tcPr>
          <w:p w14:paraId="69994A07" w14:textId="77777777" w:rsidR="003E5BF5" w:rsidRPr="00F413C5" w:rsidRDefault="003E5BF5" w:rsidP="00DE1921">
            <w:pPr>
              <w:rPr>
                <w:rFonts w:ascii="Arial" w:hAnsi="Arial" w:cs="Arial"/>
                <w:sz w:val="24"/>
                <w:szCs w:val="24"/>
              </w:rPr>
            </w:pPr>
            <w:r w:rsidRPr="00F413C5">
              <w:rPr>
                <w:rFonts w:ascii="Arial" w:hAnsi="Arial" w:cs="Arial"/>
                <w:sz w:val="24"/>
                <w:szCs w:val="24"/>
              </w:rPr>
              <w:t>Revenue related to service concession arrangement</w:t>
            </w:r>
          </w:p>
        </w:tc>
        <w:tc>
          <w:tcPr>
            <w:tcW w:w="1471" w:type="dxa"/>
            <w:tcBorders>
              <w:bottom w:val="single" w:sz="4" w:space="0" w:color="auto"/>
            </w:tcBorders>
            <w:shd w:val="clear" w:color="auto" w:fill="auto"/>
            <w:noWrap/>
            <w:hideMark/>
          </w:tcPr>
          <w:p w14:paraId="38B9ED3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89,900 </w:t>
            </w:r>
          </w:p>
        </w:tc>
        <w:tc>
          <w:tcPr>
            <w:tcW w:w="1472" w:type="dxa"/>
            <w:tcBorders>
              <w:bottom w:val="single" w:sz="4" w:space="0" w:color="auto"/>
            </w:tcBorders>
            <w:shd w:val="clear" w:color="auto" w:fill="auto"/>
            <w:noWrap/>
            <w:hideMark/>
          </w:tcPr>
          <w:p w14:paraId="4FCF69A5"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89,900 </w:t>
            </w:r>
          </w:p>
        </w:tc>
      </w:tr>
      <w:tr w:rsidR="003E5BF5" w:rsidRPr="00F413C5" w14:paraId="58ED6FEC" w14:textId="77777777" w:rsidTr="000F285B">
        <w:trPr>
          <w:trHeight w:val="340"/>
          <w:jc w:val="center"/>
        </w:trPr>
        <w:tc>
          <w:tcPr>
            <w:tcW w:w="2591" w:type="dxa"/>
            <w:tcBorders>
              <w:bottom w:val="single" w:sz="4" w:space="0" w:color="auto"/>
            </w:tcBorders>
            <w:shd w:val="clear" w:color="auto" w:fill="auto"/>
            <w:vAlign w:val="center"/>
            <w:hideMark/>
          </w:tcPr>
          <w:p w14:paraId="2DCAD947" w14:textId="77777777" w:rsidR="003E5BF5" w:rsidRPr="00F413C5" w:rsidRDefault="003E5BF5" w:rsidP="00DE1921">
            <w:pPr>
              <w:rPr>
                <w:rFonts w:ascii="Arial" w:hAnsi="Arial" w:cs="Arial"/>
                <w:sz w:val="24"/>
                <w:szCs w:val="24"/>
              </w:rPr>
            </w:pPr>
            <w:r w:rsidRPr="00F413C5">
              <w:rPr>
                <w:rFonts w:ascii="Arial" w:hAnsi="Arial" w:cs="Arial"/>
                <w:sz w:val="24"/>
                <w:szCs w:val="24"/>
              </w:rPr>
              <w:t>Note 9.4 Equity</w:t>
            </w:r>
          </w:p>
        </w:tc>
        <w:tc>
          <w:tcPr>
            <w:tcW w:w="2211" w:type="dxa"/>
            <w:tcBorders>
              <w:bottom w:val="single" w:sz="4" w:space="0" w:color="auto"/>
            </w:tcBorders>
            <w:shd w:val="clear" w:color="auto" w:fill="auto"/>
            <w:vAlign w:val="center"/>
            <w:hideMark/>
          </w:tcPr>
          <w:p w14:paraId="59FE3E40" w14:textId="77777777" w:rsidR="003E5BF5" w:rsidRPr="00F413C5" w:rsidRDefault="003E5BF5" w:rsidP="00DE1921">
            <w:pPr>
              <w:rPr>
                <w:rFonts w:ascii="Arial" w:hAnsi="Arial" w:cs="Arial"/>
                <w:sz w:val="24"/>
                <w:szCs w:val="24"/>
              </w:rPr>
            </w:pPr>
            <w:r w:rsidRPr="00F413C5">
              <w:rPr>
                <w:rFonts w:ascii="Arial" w:hAnsi="Arial" w:cs="Arial"/>
                <w:sz w:val="24"/>
                <w:szCs w:val="24"/>
              </w:rPr>
              <w:t>—</w:t>
            </w:r>
          </w:p>
        </w:tc>
        <w:tc>
          <w:tcPr>
            <w:tcW w:w="1333" w:type="dxa"/>
            <w:tcBorders>
              <w:bottom w:val="single" w:sz="4" w:space="0" w:color="auto"/>
            </w:tcBorders>
            <w:shd w:val="clear" w:color="auto" w:fill="auto"/>
            <w:noWrap/>
            <w:vAlign w:val="center"/>
            <w:hideMark/>
          </w:tcPr>
          <w:p w14:paraId="09A705B4"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1333" w:type="dxa"/>
            <w:tcBorders>
              <w:bottom w:val="single" w:sz="4" w:space="0" w:color="auto"/>
            </w:tcBorders>
            <w:shd w:val="clear" w:color="auto" w:fill="auto"/>
            <w:noWrap/>
            <w:vAlign w:val="center"/>
            <w:hideMark/>
          </w:tcPr>
          <w:p w14:paraId="679285CF"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c>
          <w:tcPr>
            <w:tcW w:w="3197" w:type="dxa"/>
            <w:tcBorders>
              <w:bottom w:val="single" w:sz="4" w:space="0" w:color="auto"/>
            </w:tcBorders>
            <w:shd w:val="clear" w:color="auto" w:fill="auto"/>
            <w:vAlign w:val="center"/>
            <w:hideMark/>
          </w:tcPr>
          <w:p w14:paraId="7B24319C" w14:textId="77777777" w:rsidR="003E5BF5" w:rsidRPr="00F413C5" w:rsidRDefault="003E5BF5" w:rsidP="00DE1921">
            <w:pPr>
              <w:rPr>
                <w:rFonts w:ascii="Arial" w:hAnsi="Arial" w:cs="Arial"/>
                <w:sz w:val="24"/>
                <w:szCs w:val="24"/>
              </w:rPr>
            </w:pPr>
            <w:r w:rsidRPr="00F413C5">
              <w:rPr>
                <w:rFonts w:ascii="Arial" w:hAnsi="Arial" w:cs="Arial"/>
                <w:sz w:val="24"/>
                <w:szCs w:val="24"/>
              </w:rPr>
              <w:t>Physical asset revaluation surplus</w:t>
            </w:r>
          </w:p>
        </w:tc>
        <w:tc>
          <w:tcPr>
            <w:tcW w:w="1471" w:type="dxa"/>
            <w:tcBorders>
              <w:bottom w:val="single" w:sz="4" w:space="0" w:color="auto"/>
            </w:tcBorders>
            <w:shd w:val="clear" w:color="auto" w:fill="auto"/>
            <w:noWrap/>
            <w:vAlign w:val="center"/>
            <w:hideMark/>
          </w:tcPr>
          <w:p w14:paraId="36901E97"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244,906 </w:t>
            </w:r>
          </w:p>
        </w:tc>
        <w:tc>
          <w:tcPr>
            <w:tcW w:w="1472" w:type="dxa"/>
            <w:tcBorders>
              <w:bottom w:val="single" w:sz="4" w:space="0" w:color="auto"/>
            </w:tcBorders>
            <w:shd w:val="clear" w:color="auto" w:fill="auto"/>
            <w:noWrap/>
            <w:vAlign w:val="center"/>
            <w:hideMark/>
          </w:tcPr>
          <w:p w14:paraId="51F25681" w14:textId="77777777" w:rsidR="003E5BF5" w:rsidRPr="00F413C5" w:rsidRDefault="003E5BF5" w:rsidP="00DE1921">
            <w:pPr>
              <w:jc w:val="right"/>
              <w:rPr>
                <w:rFonts w:ascii="Arial" w:hAnsi="Arial" w:cs="Arial"/>
                <w:sz w:val="24"/>
                <w:szCs w:val="24"/>
              </w:rPr>
            </w:pPr>
            <w:r w:rsidRPr="00F413C5">
              <w:rPr>
                <w:rFonts w:ascii="Arial" w:hAnsi="Arial" w:cs="Arial"/>
                <w:sz w:val="24"/>
                <w:szCs w:val="24"/>
              </w:rPr>
              <w:t xml:space="preserve"> - </w:t>
            </w:r>
          </w:p>
        </w:tc>
      </w:tr>
    </w:tbl>
    <w:p w14:paraId="170D185E" w14:textId="77777777" w:rsidR="000F285B" w:rsidRPr="00F413C5" w:rsidRDefault="000F285B" w:rsidP="000F285B">
      <w:pPr>
        <w:pStyle w:val="Note"/>
        <w:rPr>
          <w:rFonts w:ascii="Arial" w:hAnsi="Arial" w:cs="Arial"/>
          <w:sz w:val="24"/>
          <w:szCs w:val="24"/>
        </w:rPr>
      </w:pPr>
      <w:r w:rsidRPr="00F413C5">
        <w:rPr>
          <w:rFonts w:ascii="Arial" w:hAnsi="Arial" w:cs="Arial"/>
          <w:sz w:val="24"/>
          <w:szCs w:val="24"/>
        </w:rPr>
        <w:t>Note:</w:t>
      </w:r>
    </w:p>
    <w:p w14:paraId="6C6C890A" w14:textId="77777777" w:rsidR="000F285B" w:rsidRPr="00F413C5" w:rsidRDefault="000F285B" w:rsidP="00610F5F">
      <w:pPr>
        <w:pStyle w:val="aaaNotenumberiiiiii"/>
        <w:numPr>
          <w:ilvl w:val="0"/>
          <w:numId w:val="109"/>
        </w:numPr>
      </w:pPr>
      <w:r w:rsidRPr="00F413C5">
        <w:t xml:space="preserve">The comparative figures are for illustration purposes only and do not represent information of the department’s 2018-19 Financial Statements or comparatives disclosed in its 2019-20 Financial Statements. </w:t>
      </w:r>
    </w:p>
    <w:p w14:paraId="4C83049F" w14:textId="77777777" w:rsidR="003E5BF5" w:rsidRDefault="003E5BF5" w:rsidP="00A85601">
      <w:pPr>
        <w:pStyle w:val="aaatyping"/>
      </w:pPr>
      <w:r>
        <w:t xml:space="preserve">The Concession Deed provides for </w:t>
      </w:r>
      <w:proofErr w:type="spellStart"/>
      <w:r>
        <w:t>ConnectEast</w:t>
      </w:r>
      <w:proofErr w:type="spellEnd"/>
      <w:r>
        <w:t xml:space="preserve"> to lease certain land and road infrastructure from the State of Victoria during the concession period. At the end of this period, these assets along with the constructed Eastlink service concession assets, rights and obligations will be returned to the State as the State retains the residual interest in the road infrastructure at the end of the project term. </w:t>
      </w:r>
    </w:p>
    <w:p w14:paraId="59552C77" w14:textId="77777777" w:rsidR="003E5BF5" w:rsidRDefault="003E5BF5" w:rsidP="00A85601">
      <w:pPr>
        <w:pStyle w:val="aaatyping"/>
      </w:pPr>
      <w:proofErr w:type="spellStart"/>
      <w:r>
        <w:t>ConnectEast</w:t>
      </w:r>
      <w:proofErr w:type="spellEnd"/>
      <w:r>
        <w:t xml:space="preserve"> has committed to a regime of key performance indicators that ensures a level of service delivery for the users. </w:t>
      </w:r>
    </w:p>
    <w:p w14:paraId="3397AFDE" w14:textId="77777777" w:rsidR="003E5BF5" w:rsidRDefault="003E5BF5" w:rsidP="00A85601">
      <w:pPr>
        <w:pStyle w:val="aaatyping"/>
      </w:pPr>
      <w:r>
        <w:lastRenderedPageBreak/>
        <w:t xml:space="preserve">The </w:t>
      </w:r>
      <w:proofErr w:type="spellStart"/>
      <w:r>
        <w:t>EastLink</w:t>
      </w:r>
      <w:proofErr w:type="spellEnd"/>
      <w:r>
        <w:t xml:space="preserve"> Concession Deed contains compensable enhancement provisions that enable the State of Victoria to claim 50% of any additional revenue derived by </w:t>
      </w:r>
      <w:proofErr w:type="spellStart"/>
      <w:r>
        <w:t>ConnectEast</w:t>
      </w:r>
      <w:proofErr w:type="spellEnd"/>
      <w:r>
        <w:t xml:space="preserve"> Pty Ltd as a result of certain events that particularly benefit </w:t>
      </w:r>
      <w:proofErr w:type="spellStart"/>
      <w:r>
        <w:t>EastLink</w:t>
      </w:r>
      <w:proofErr w:type="spellEnd"/>
      <w:r>
        <w:t>, including changes to the adjoining road network.</w:t>
      </w:r>
    </w:p>
    <w:p w14:paraId="5D429AEF" w14:textId="77777777" w:rsidR="003E5BF5" w:rsidRDefault="003E5BF5" w:rsidP="00A85601">
      <w:pPr>
        <w:pStyle w:val="aaatyping"/>
      </w:pPr>
      <w:r>
        <w:t>On 2 January 2014, the State of Victoria lodged a compensable enhancement claim arising as a result of opening the Peninsula Link road network. This claim remains outstanding.</w:t>
      </w:r>
    </w:p>
    <w:p w14:paraId="5F3EA102" w14:textId="77777777" w:rsidR="003E5BF5" w:rsidRDefault="003E5BF5" w:rsidP="00A85601">
      <w:pPr>
        <w:pStyle w:val="aaatyping"/>
        <w:sectPr w:rsidR="003E5BF5" w:rsidSect="00DE1921">
          <w:pgSz w:w="16838" w:h="11906" w:orient="landscape"/>
          <w:pgMar w:top="1418" w:right="1701" w:bottom="1418" w:left="1418" w:header="709" w:footer="709" w:gutter="0"/>
          <w:cols w:space="708"/>
          <w:docGrid w:linePitch="360"/>
        </w:sectPr>
      </w:pPr>
      <w:r>
        <w:t>There were no changes to the arrangements during the reporting period</w:t>
      </w:r>
      <w:r w:rsidRPr="000705DD">
        <w:t>.</w:t>
      </w:r>
    </w:p>
    <w:p w14:paraId="00B3AFEF" w14:textId="77777777" w:rsidR="003E5BF5" w:rsidRPr="00081911" w:rsidRDefault="003E5BF5" w:rsidP="00610F5F">
      <w:pPr>
        <w:pStyle w:val="Heading5"/>
        <w:numPr>
          <w:ilvl w:val="3"/>
          <w:numId w:val="21"/>
        </w:numPr>
      </w:pPr>
      <w:r w:rsidRPr="00081911">
        <w:lastRenderedPageBreak/>
        <w:t>Peninsula Link – Financial liability model</w:t>
      </w:r>
    </w:p>
    <w:p w14:paraId="08710E03" w14:textId="77777777" w:rsidR="003E5BF5" w:rsidRDefault="003E5BF5" w:rsidP="00A85601">
      <w:pPr>
        <w:pStyle w:val="aaatyping"/>
      </w:pPr>
      <w:r>
        <w:t>The State of Victoria entered into a Peninsula Link Project Deed with Southern Way Pty Ltd on 20 January 2010 under a PPP financial liability model for the construction, financing and operation of the Peninsula Link road infrastructure for a period of 25 years ending on 13 January 2038. Peninsula Link opened to traffic in January 2013.</w:t>
      </w:r>
    </w:p>
    <w:p w14:paraId="743346AE" w14:textId="77777777" w:rsidR="003E5BF5" w:rsidRDefault="003E5BF5" w:rsidP="00A85601">
      <w:pPr>
        <w:pStyle w:val="aaatyping"/>
      </w:pPr>
      <w:r>
        <w:t>The State compensates Southern Way through quarterly service payments (QSPs) for delivery of ongoing services based on key performance indicators. These payments comprise a capital component associated with the design, construction and financing of Peninsula Link, and components relating to the ongoing operation, maintenance and pavement intervention costs.</w:t>
      </w:r>
    </w:p>
    <w:p w14:paraId="6E2B7263" w14:textId="77777777" w:rsidR="003E5BF5" w:rsidRDefault="003E5BF5" w:rsidP="00A85601">
      <w:pPr>
        <w:pStyle w:val="aaatyping"/>
      </w:pPr>
      <w:r>
        <w:t xml:space="preserve">Southern Way has committed to a regime of key performance indicators that ensures a level of service delivery for the users. </w:t>
      </w:r>
    </w:p>
    <w:p w14:paraId="13D03B3A" w14:textId="77777777" w:rsidR="003E5BF5" w:rsidRDefault="003E5BF5" w:rsidP="00A85601">
      <w:pPr>
        <w:pStyle w:val="aaatyping"/>
      </w:pPr>
      <w:r>
        <w:t xml:space="preserve">The Peninsula Link PPP arrangement transferred from VicRoads to the department as part of the </w:t>
      </w:r>
      <w:proofErr w:type="spellStart"/>
      <w:r>
        <w:t>MoG</w:t>
      </w:r>
      <w:proofErr w:type="spellEnd"/>
      <w:r>
        <w:t xml:space="preserve"> change that integrated VicRoads and PTV into the department. The capital component of the contract with Southern Way Pty Ltd relating to the design and construction of Peninsula Link was previously accounted for as a finance lease with the State of Victoria being the lessee. This treatment was in accordance with the then Victorian Government accounting policy for availability based PPP projects.</w:t>
      </w:r>
    </w:p>
    <w:p w14:paraId="367CCBE7" w14:textId="77777777" w:rsidR="003E5BF5" w:rsidRDefault="003E5BF5" w:rsidP="00A85601">
      <w:pPr>
        <w:pStyle w:val="aaatyping"/>
      </w:pPr>
      <w:r>
        <w:lastRenderedPageBreak/>
        <w:t>With the introduction of AASB 1059, the assets and liabilities previously disclosed by VicRoads as Finance Leases and Leasehold Assets have been reclassified as service concession financial liabilities and service concession assets.</w:t>
      </w:r>
    </w:p>
    <w:p w14:paraId="6CA740B8" w14:textId="77777777" w:rsidR="003E5BF5" w:rsidRDefault="003E5BF5" w:rsidP="00A85601">
      <w:pPr>
        <w:pStyle w:val="aaatyping"/>
        <w:sectPr w:rsidR="003E5BF5" w:rsidSect="00DE1921">
          <w:pgSz w:w="16838" w:h="11906" w:orient="landscape"/>
          <w:pgMar w:top="1418" w:right="1701" w:bottom="1418" w:left="1418" w:header="709" w:footer="709" w:gutter="0"/>
          <w:cols w:space="708"/>
          <w:docGrid w:linePitch="360"/>
        </w:sectPr>
      </w:pPr>
      <w:r>
        <w:t>VicRoads adopted the standard for the first time retrospectively based on its 2018-19 Financial Statements and then transferred balances as contributed capital to the department on 1 July 2019. There are no comparatives relating to VicRoads within the department’s current year financial statements, however in order to provide a better illustration to the users that compares the pre and post adoption of AASB 1059, the department included a table of how the arrangement would had been disclosed had VicRoads prepared its own financial statements in 2019-20. A summary of the arrangement is included below:</w:t>
      </w:r>
    </w:p>
    <w:p w14:paraId="676AD0F2" w14:textId="77777777" w:rsidR="003E5BF5" w:rsidRPr="00E95BF1" w:rsidRDefault="003E5BF5" w:rsidP="00DE1921"/>
    <w:tbl>
      <w:tblPr>
        <w:tblStyle w:val="TableGrid"/>
        <w:tblW w:w="13608" w:type="dxa"/>
        <w:jc w:val="center"/>
        <w:tblCellMar>
          <w:left w:w="28" w:type="dxa"/>
          <w:right w:w="28" w:type="dxa"/>
        </w:tblCellMar>
        <w:tblLook w:val="04A0" w:firstRow="1" w:lastRow="0" w:firstColumn="1" w:lastColumn="0" w:noHBand="0" w:noVBand="1"/>
      </w:tblPr>
      <w:tblGrid>
        <w:gridCol w:w="2652"/>
        <w:gridCol w:w="3098"/>
        <w:gridCol w:w="1032"/>
        <w:gridCol w:w="1032"/>
        <w:gridCol w:w="3816"/>
        <w:gridCol w:w="989"/>
        <w:gridCol w:w="989"/>
      </w:tblGrid>
      <w:tr w:rsidR="003E5BF5" w:rsidRPr="00F413C5" w14:paraId="64F65F0C" w14:textId="77777777" w:rsidTr="000F285B">
        <w:trPr>
          <w:trHeight w:val="340"/>
          <w:jc w:val="center"/>
        </w:trPr>
        <w:tc>
          <w:tcPr>
            <w:tcW w:w="2652" w:type="dxa"/>
            <w:shd w:val="clear" w:color="auto" w:fill="auto"/>
            <w:hideMark/>
          </w:tcPr>
          <w:p w14:paraId="07DEC8BB" w14:textId="77777777" w:rsidR="003E5BF5" w:rsidRPr="00F413C5" w:rsidRDefault="003E5BF5" w:rsidP="00DE1921">
            <w:pPr>
              <w:spacing w:line="259" w:lineRule="auto"/>
              <w:rPr>
                <w:rFonts w:ascii="Arial" w:hAnsi="Arial" w:cs="Arial"/>
                <w:sz w:val="24"/>
                <w:szCs w:val="24"/>
              </w:rPr>
            </w:pPr>
          </w:p>
        </w:tc>
        <w:tc>
          <w:tcPr>
            <w:tcW w:w="10956" w:type="dxa"/>
            <w:gridSpan w:val="6"/>
            <w:shd w:val="clear" w:color="auto" w:fill="auto"/>
            <w:vAlign w:val="center"/>
            <w:hideMark/>
          </w:tcPr>
          <w:p w14:paraId="08C7683B" w14:textId="77777777" w:rsidR="003E5BF5" w:rsidRPr="00F413C5" w:rsidRDefault="003E5BF5" w:rsidP="00DE1921">
            <w:pPr>
              <w:spacing w:line="259" w:lineRule="auto"/>
              <w:jc w:val="center"/>
              <w:rPr>
                <w:rFonts w:ascii="Arial" w:hAnsi="Arial" w:cs="Arial"/>
                <w:b/>
                <w:sz w:val="24"/>
                <w:szCs w:val="24"/>
              </w:rPr>
            </w:pPr>
            <w:r w:rsidRPr="00F413C5">
              <w:rPr>
                <w:rFonts w:ascii="Arial" w:hAnsi="Arial" w:cs="Arial"/>
                <w:b/>
                <w:sz w:val="24"/>
                <w:szCs w:val="24"/>
              </w:rPr>
              <w:t>($ thousand)</w:t>
            </w:r>
          </w:p>
        </w:tc>
      </w:tr>
      <w:tr w:rsidR="003E5BF5" w:rsidRPr="00F413C5" w14:paraId="1818A300" w14:textId="77777777" w:rsidTr="000F285B">
        <w:trPr>
          <w:trHeight w:val="340"/>
          <w:jc w:val="center"/>
        </w:trPr>
        <w:tc>
          <w:tcPr>
            <w:tcW w:w="2652" w:type="dxa"/>
            <w:shd w:val="clear" w:color="auto" w:fill="auto"/>
            <w:hideMark/>
          </w:tcPr>
          <w:p w14:paraId="5AA9315D" w14:textId="77777777" w:rsidR="003E5BF5" w:rsidRPr="00F413C5" w:rsidRDefault="003E5BF5" w:rsidP="00DE1921">
            <w:pPr>
              <w:spacing w:line="259" w:lineRule="auto"/>
              <w:rPr>
                <w:rFonts w:ascii="Arial" w:hAnsi="Arial" w:cs="Arial"/>
                <w:sz w:val="24"/>
                <w:szCs w:val="24"/>
              </w:rPr>
            </w:pPr>
          </w:p>
        </w:tc>
        <w:tc>
          <w:tcPr>
            <w:tcW w:w="10956" w:type="dxa"/>
            <w:gridSpan w:val="6"/>
            <w:shd w:val="clear" w:color="auto" w:fill="auto"/>
            <w:vAlign w:val="bottom"/>
            <w:hideMark/>
          </w:tcPr>
          <w:p w14:paraId="27D7AD1B" w14:textId="77777777" w:rsidR="003E5BF5" w:rsidRPr="00F413C5" w:rsidRDefault="003E5BF5" w:rsidP="00DE1921">
            <w:pPr>
              <w:spacing w:line="259" w:lineRule="auto"/>
              <w:jc w:val="center"/>
              <w:rPr>
                <w:rFonts w:ascii="Arial" w:hAnsi="Arial" w:cs="Arial"/>
                <w:b/>
                <w:sz w:val="24"/>
                <w:szCs w:val="24"/>
              </w:rPr>
            </w:pPr>
            <w:r w:rsidRPr="00F413C5">
              <w:rPr>
                <w:rFonts w:ascii="Arial" w:hAnsi="Arial" w:cs="Arial"/>
                <w:b/>
                <w:sz w:val="24"/>
                <w:szCs w:val="24"/>
              </w:rPr>
              <w:t>Peninsula Link</w:t>
            </w:r>
          </w:p>
        </w:tc>
      </w:tr>
      <w:tr w:rsidR="003E5BF5" w:rsidRPr="00F413C5" w14:paraId="6B264F0F" w14:textId="77777777" w:rsidTr="000F285B">
        <w:trPr>
          <w:trHeight w:val="340"/>
          <w:jc w:val="center"/>
        </w:trPr>
        <w:tc>
          <w:tcPr>
            <w:tcW w:w="2652" w:type="dxa"/>
            <w:shd w:val="clear" w:color="auto" w:fill="auto"/>
            <w:hideMark/>
          </w:tcPr>
          <w:p w14:paraId="043207B4" w14:textId="77777777" w:rsidR="003E5BF5" w:rsidRPr="00F413C5" w:rsidRDefault="003E5BF5" w:rsidP="00DE1921">
            <w:pPr>
              <w:spacing w:line="259" w:lineRule="auto"/>
              <w:rPr>
                <w:rFonts w:ascii="Arial" w:hAnsi="Arial" w:cs="Arial"/>
                <w:b/>
                <w:sz w:val="24"/>
                <w:szCs w:val="24"/>
              </w:rPr>
            </w:pPr>
          </w:p>
        </w:tc>
        <w:tc>
          <w:tcPr>
            <w:tcW w:w="5162" w:type="dxa"/>
            <w:gridSpan w:val="3"/>
            <w:shd w:val="clear" w:color="auto" w:fill="auto"/>
            <w:noWrap/>
            <w:vAlign w:val="bottom"/>
            <w:hideMark/>
          </w:tcPr>
          <w:p w14:paraId="0E5E298F" w14:textId="77777777" w:rsidR="003E5BF5" w:rsidRPr="00F413C5" w:rsidRDefault="003E5BF5" w:rsidP="00DE1921">
            <w:pPr>
              <w:spacing w:line="259" w:lineRule="auto"/>
              <w:jc w:val="center"/>
              <w:rPr>
                <w:rFonts w:ascii="Arial" w:hAnsi="Arial" w:cs="Arial"/>
                <w:b/>
                <w:sz w:val="24"/>
                <w:szCs w:val="24"/>
              </w:rPr>
            </w:pPr>
            <w:r w:rsidRPr="00F413C5">
              <w:rPr>
                <w:rFonts w:ascii="Arial" w:hAnsi="Arial" w:cs="Arial"/>
                <w:b/>
                <w:sz w:val="24"/>
                <w:szCs w:val="24"/>
              </w:rPr>
              <w:t>Pre-AASB 1059 accounting</w:t>
            </w:r>
          </w:p>
        </w:tc>
        <w:tc>
          <w:tcPr>
            <w:tcW w:w="5794" w:type="dxa"/>
            <w:gridSpan w:val="3"/>
            <w:shd w:val="clear" w:color="auto" w:fill="auto"/>
            <w:noWrap/>
            <w:vAlign w:val="bottom"/>
            <w:hideMark/>
          </w:tcPr>
          <w:p w14:paraId="4D6D0A05" w14:textId="77777777" w:rsidR="003E5BF5" w:rsidRPr="00F413C5" w:rsidRDefault="003E5BF5" w:rsidP="00DE1921">
            <w:pPr>
              <w:spacing w:line="259" w:lineRule="auto"/>
              <w:jc w:val="center"/>
              <w:rPr>
                <w:rFonts w:ascii="Arial" w:hAnsi="Arial" w:cs="Arial"/>
                <w:b/>
                <w:sz w:val="24"/>
                <w:szCs w:val="24"/>
              </w:rPr>
            </w:pPr>
            <w:r w:rsidRPr="00F413C5">
              <w:rPr>
                <w:rFonts w:ascii="Arial" w:hAnsi="Arial" w:cs="Arial"/>
                <w:b/>
                <w:sz w:val="24"/>
                <w:szCs w:val="24"/>
              </w:rPr>
              <w:t xml:space="preserve">Application of AASB 1059 </w:t>
            </w:r>
            <w:r w:rsidRPr="00F413C5">
              <w:rPr>
                <w:rFonts w:ascii="Arial" w:hAnsi="Arial" w:cs="Arial"/>
                <w:b/>
                <w:sz w:val="24"/>
                <w:szCs w:val="24"/>
                <w:vertAlign w:val="superscript"/>
              </w:rPr>
              <w:t>(ii)</w:t>
            </w:r>
          </w:p>
        </w:tc>
      </w:tr>
      <w:tr w:rsidR="003E5BF5" w:rsidRPr="00F413C5" w14:paraId="49E546DF" w14:textId="77777777" w:rsidTr="000F285B">
        <w:trPr>
          <w:trHeight w:val="340"/>
          <w:jc w:val="center"/>
        </w:trPr>
        <w:tc>
          <w:tcPr>
            <w:tcW w:w="2652" w:type="dxa"/>
            <w:shd w:val="clear" w:color="auto" w:fill="auto"/>
            <w:vAlign w:val="center"/>
            <w:hideMark/>
          </w:tcPr>
          <w:p w14:paraId="37B3EC35" w14:textId="77777777" w:rsidR="003E5BF5" w:rsidRPr="00F413C5" w:rsidRDefault="003E5BF5" w:rsidP="00DE1921">
            <w:pPr>
              <w:spacing w:line="259" w:lineRule="auto"/>
              <w:rPr>
                <w:rFonts w:ascii="Arial" w:hAnsi="Arial" w:cs="Arial"/>
                <w:b/>
                <w:sz w:val="24"/>
                <w:szCs w:val="24"/>
              </w:rPr>
            </w:pPr>
            <w:r w:rsidRPr="00F413C5">
              <w:rPr>
                <w:rFonts w:ascii="Arial" w:hAnsi="Arial" w:cs="Arial"/>
                <w:b/>
                <w:sz w:val="24"/>
                <w:szCs w:val="24"/>
              </w:rPr>
              <w:t>Note</w:t>
            </w:r>
          </w:p>
        </w:tc>
        <w:tc>
          <w:tcPr>
            <w:tcW w:w="3098" w:type="dxa"/>
            <w:shd w:val="clear" w:color="auto" w:fill="auto"/>
            <w:vAlign w:val="center"/>
            <w:hideMark/>
          </w:tcPr>
          <w:p w14:paraId="0C798D8A" w14:textId="77777777" w:rsidR="003E5BF5" w:rsidRPr="00F413C5" w:rsidRDefault="003E5BF5" w:rsidP="00DE1921">
            <w:pPr>
              <w:spacing w:line="259" w:lineRule="auto"/>
              <w:rPr>
                <w:rFonts w:ascii="Arial" w:hAnsi="Arial" w:cs="Arial"/>
                <w:b/>
                <w:sz w:val="24"/>
                <w:szCs w:val="24"/>
              </w:rPr>
            </w:pPr>
            <w:r w:rsidRPr="00F413C5">
              <w:rPr>
                <w:rFonts w:ascii="Arial" w:hAnsi="Arial" w:cs="Arial"/>
                <w:b/>
                <w:sz w:val="24"/>
                <w:szCs w:val="24"/>
              </w:rPr>
              <w:t>Line item</w:t>
            </w:r>
          </w:p>
        </w:tc>
        <w:tc>
          <w:tcPr>
            <w:tcW w:w="1032" w:type="dxa"/>
            <w:shd w:val="clear" w:color="auto" w:fill="auto"/>
            <w:vAlign w:val="center"/>
            <w:hideMark/>
          </w:tcPr>
          <w:p w14:paraId="2E37AA45" w14:textId="77777777" w:rsidR="003E5BF5" w:rsidRPr="00F413C5" w:rsidRDefault="003E5BF5" w:rsidP="00DE1921">
            <w:pPr>
              <w:spacing w:line="259" w:lineRule="auto"/>
              <w:jc w:val="right"/>
              <w:rPr>
                <w:rFonts w:ascii="Arial" w:hAnsi="Arial" w:cs="Arial"/>
                <w:b/>
                <w:sz w:val="24"/>
                <w:szCs w:val="24"/>
              </w:rPr>
            </w:pPr>
            <w:r w:rsidRPr="00F413C5">
              <w:rPr>
                <w:rFonts w:ascii="Arial" w:hAnsi="Arial" w:cs="Arial"/>
                <w:b/>
                <w:sz w:val="24"/>
                <w:szCs w:val="24"/>
              </w:rPr>
              <w:t>2020</w:t>
            </w:r>
          </w:p>
        </w:tc>
        <w:tc>
          <w:tcPr>
            <w:tcW w:w="1032" w:type="dxa"/>
            <w:shd w:val="clear" w:color="auto" w:fill="auto"/>
            <w:vAlign w:val="center"/>
            <w:hideMark/>
          </w:tcPr>
          <w:p w14:paraId="288BE951" w14:textId="77777777" w:rsidR="003E5BF5" w:rsidRPr="00F413C5" w:rsidRDefault="003E5BF5" w:rsidP="00DE1921">
            <w:pPr>
              <w:spacing w:line="259" w:lineRule="auto"/>
              <w:jc w:val="right"/>
              <w:rPr>
                <w:rFonts w:ascii="Arial" w:hAnsi="Arial" w:cs="Arial"/>
                <w:b/>
                <w:sz w:val="24"/>
                <w:szCs w:val="24"/>
              </w:rPr>
            </w:pPr>
            <w:r w:rsidRPr="00F413C5">
              <w:rPr>
                <w:rFonts w:ascii="Arial" w:hAnsi="Arial" w:cs="Arial"/>
                <w:b/>
                <w:sz w:val="24"/>
                <w:szCs w:val="24"/>
              </w:rPr>
              <w:t xml:space="preserve">2019 </w:t>
            </w:r>
            <w:r w:rsidRPr="00F413C5">
              <w:rPr>
                <w:rFonts w:ascii="Arial" w:hAnsi="Arial" w:cs="Arial"/>
                <w:b/>
                <w:sz w:val="24"/>
                <w:szCs w:val="24"/>
                <w:vertAlign w:val="superscript"/>
              </w:rPr>
              <w:t>(</w:t>
            </w:r>
            <w:proofErr w:type="spellStart"/>
            <w:r w:rsidRPr="00F413C5">
              <w:rPr>
                <w:rFonts w:ascii="Arial" w:hAnsi="Arial" w:cs="Arial"/>
                <w:b/>
                <w:sz w:val="24"/>
                <w:szCs w:val="24"/>
                <w:vertAlign w:val="superscript"/>
              </w:rPr>
              <w:t>i</w:t>
            </w:r>
            <w:proofErr w:type="spellEnd"/>
            <w:r w:rsidRPr="00F413C5">
              <w:rPr>
                <w:rFonts w:ascii="Arial" w:hAnsi="Arial" w:cs="Arial"/>
                <w:b/>
                <w:sz w:val="24"/>
                <w:szCs w:val="24"/>
                <w:vertAlign w:val="superscript"/>
              </w:rPr>
              <w:t>)</w:t>
            </w:r>
          </w:p>
        </w:tc>
        <w:tc>
          <w:tcPr>
            <w:tcW w:w="3816" w:type="dxa"/>
            <w:shd w:val="clear" w:color="auto" w:fill="auto"/>
            <w:vAlign w:val="center"/>
            <w:hideMark/>
          </w:tcPr>
          <w:p w14:paraId="1A829082" w14:textId="77777777" w:rsidR="003E5BF5" w:rsidRPr="00F413C5" w:rsidRDefault="003E5BF5" w:rsidP="00DE1921">
            <w:pPr>
              <w:spacing w:line="259" w:lineRule="auto"/>
              <w:rPr>
                <w:rFonts w:ascii="Arial" w:hAnsi="Arial" w:cs="Arial"/>
                <w:b/>
                <w:sz w:val="24"/>
                <w:szCs w:val="24"/>
              </w:rPr>
            </w:pPr>
            <w:r w:rsidRPr="00F413C5">
              <w:rPr>
                <w:rFonts w:ascii="Arial" w:hAnsi="Arial" w:cs="Arial"/>
                <w:b/>
                <w:sz w:val="24"/>
                <w:szCs w:val="24"/>
              </w:rPr>
              <w:t>Line item</w:t>
            </w:r>
          </w:p>
        </w:tc>
        <w:tc>
          <w:tcPr>
            <w:tcW w:w="989" w:type="dxa"/>
            <w:shd w:val="clear" w:color="auto" w:fill="auto"/>
            <w:vAlign w:val="center"/>
            <w:hideMark/>
          </w:tcPr>
          <w:p w14:paraId="1DEE9B07" w14:textId="77777777" w:rsidR="003E5BF5" w:rsidRPr="00F413C5" w:rsidRDefault="003E5BF5" w:rsidP="00DE1921">
            <w:pPr>
              <w:spacing w:line="259" w:lineRule="auto"/>
              <w:jc w:val="right"/>
              <w:rPr>
                <w:rFonts w:ascii="Arial" w:hAnsi="Arial" w:cs="Arial"/>
                <w:b/>
                <w:sz w:val="24"/>
                <w:szCs w:val="24"/>
              </w:rPr>
            </w:pPr>
            <w:r w:rsidRPr="00F413C5">
              <w:rPr>
                <w:rFonts w:ascii="Arial" w:hAnsi="Arial" w:cs="Arial"/>
                <w:b/>
                <w:sz w:val="24"/>
                <w:szCs w:val="24"/>
              </w:rPr>
              <w:t>2020</w:t>
            </w:r>
          </w:p>
        </w:tc>
        <w:tc>
          <w:tcPr>
            <w:tcW w:w="989" w:type="dxa"/>
            <w:shd w:val="clear" w:color="auto" w:fill="auto"/>
            <w:vAlign w:val="center"/>
            <w:hideMark/>
          </w:tcPr>
          <w:p w14:paraId="65BE202D" w14:textId="77777777" w:rsidR="003E5BF5" w:rsidRPr="00F413C5" w:rsidRDefault="003E5BF5" w:rsidP="00DE1921">
            <w:pPr>
              <w:spacing w:line="259" w:lineRule="auto"/>
              <w:jc w:val="right"/>
              <w:rPr>
                <w:rFonts w:ascii="Arial" w:hAnsi="Arial" w:cs="Arial"/>
                <w:b/>
                <w:sz w:val="24"/>
                <w:szCs w:val="24"/>
              </w:rPr>
            </w:pPr>
            <w:r w:rsidRPr="00F413C5">
              <w:rPr>
                <w:rFonts w:ascii="Arial" w:hAnsi="Arial" w:cs="Arial"/>
                <w:b/>
                <w:sz w:val="24"/>
                <w:szCs w:val="24"/>
              </w:rPr>
              <w:t xml:space="preserve">2019 </w:t>
            </w:r>
            <w:r w:rsidRPr="00F413C5">
              <w:rPr>
                <w:rFonts w:ascii="Arial" w:hAnsi="Arial" w:cs="Arial"/>
                <w:b/>
                <w:sz w:val="24"/>
                <w:szCs w:val="24"/>
                <w:vertAlign w:val="superscript"/>
              </w:rPr>
              <w:t>(</w:t>
            </w:r>
            <w:proofErr w:type="spellStart"/>
            <w:r w:rsidRPr="00F413C5">
              <w:rPr>
                <w:rFonts w:ascii="Arial" w:hAnsi="Arial" w:cs="Arial"/>
                <w:b/>
                <w:sz w:val="24"/>
                <w:szCs w:val="24"/>
                <w:vertAlign w:val="superscript"/>
              </w:rPr>
              <w:t>i</w:t>
            </w:r>
            <w:proofErr w:type="spellEnd"/>
            <w:r w:rsidRPr="00F413C5">
              <w:rPr>
                <w:rFonts w:ascii="Arial" w:hAnsi="Arial" w:cs="Arial"/>
                <w:b/>
                <w:sz w:val="24"/>
                <w:szCs w:val="24"/>
                <w:vertAlign w:val="superscript"/>
              </w:rPr>
              <w:t>)</w:t>
            </w:r>
          </w:p>
        </w:tc>
      </w:tr>
      <w:tr w:rsidR="003E5BF5" w:rsidRPr="00F413C5" w14:paraId="16D1CDE5" w14:textId="77777777" w:rsidTr="000F285B">
        <w:trPr>
          <w:trHeight w:val="340"/>
          <w:jc w:val="center"/>
        </w:trPr>
        <w:tc>
          <w:tcPr>
            <w:tcW w:w="2652" w:type="dxa"/>
            <w:shd w:val="clear" w:color="auto" w:fill="auto"/>
            <w:vAlign w:val="center"/>
            <w:hideMark/>
          </w:tcPr>
          <w:p w14:paraId="7BDCC1C2" w14:textId="77777777" w:rsidR="003E5BF5" w:rsidRPr="00F413C5" w:rsidRDefault="003E5BF5" w:rsidP="00DE1921">
            <w:pPr>
              <w:spacing w:line="259" w:lineRule="auto"/>
              <w:rPr>
                <w:rFonts w:ascii="Arial" w:hAnsi="Arial" w:cs="Arial"/>
                <w:sz w:val="24"/>
                <w:szCs w:val="24"/>
              </w:rPr>
            </w:pPr>
            <w:r w:rsidRPr="00F413C5">
              <w:rPr>
                <w:rFonts w:ascii="Arial" w:hAnsi="Arial" w:cs="Arial"/>
                <w:sz w:val="24"/>
                <w:szCs w:val="24"/>
              </w:rPr>
              <w:t>Note 5.1 Property, plant and equipment</w:t>
            </w:r>
          </w:p>
        </w:tc>
        <w:tc>
          <w:tcPr>
            <w:tcW w:w="3098" w:type="dxa"/>
            <w:shd w:val="clear" w:color="auto" w:fill="auto"/>
            <w:hideMark/>
          </w:tcPr>
          <w:p w14:paraId="5F022D21" w14:textId="77777777" w:rsidR="003E5BF5" w:rsidRPr="00F413C5" w:rsidRDefault="003E5BF5" w:rsidP="00DE1921">
            <w:pPr>
              <w:spacing w:line="259" w:lineRule="auto"/>
              <w:rPr>
                <w:rFonts w:ascii="Arial" w:hAnsi="Arial" w:cs="Arial"/>
                <w:sz w:val="24"/>
                <w:szCs w:val="24"/>
              </w:rPr>
            </w:pPr>
            <w:r w:rsidRPr="00F413C5">
              <w:rPr>
                <w:rFonts w:ascii="Arial" w:hAnsi="Arial" w:cs="Arial"/>
                <w:sz w:val="24"/>
                <w:szCs w:val="24"/>
              </w:rPr>
              <w:t>Asset</w:t>
            </w:r>
          </w:p>
        </w:tc>
        <w:tc>
          <w:tcPr>
            <w:tcW w:w="1032" w:type="dxa"/>
            <w:shd w:val="clear" w:color="auto" w:fill="auto"/>
            <w:noWrap/>
            <w:hideMark/>
          </w:tcPr>
          <w:p w14:paraId="718A3C5A"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 xml:space="preserve">818,418 </w:t>
            </w:r>
          </w:p>
        </w:tc>
        <w:tc>
          <w:tcPr>
            <w:tcW w:w="1032" w:type="dxa"/>
            <w:shd w:val="clear" w:color="auto" w:fill="auto"/>
            <w:noWrap/>
            <w:hideMark/>
          </w:tcPr>
          <w:p w14:paraId="5F3A4214"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 xml:space="preserve">677,396 </w:t>
            </w:r>
          </w:p>
        </w:tc>
        <w:tc>
          <w:tcPr>
            <w:tcW w:w="3816" w:type="dxa"/>
            <w:shd w:val="clear" w:color="auto" w:fill="auto"/>
            <w:hideMark/>
          </w:tcPr>
          <w:p w14:paraId="5905DCFE" w14:textId="77777777" w:rsidR="003E5BF5" w:rsidRPr="00F413C5" w:rsidRDefault="003E5BF5" w:rsidP="00DE1921">
            <w:pPr>
              <w:spacing w:line="259" w:lineRule="auto"/>
              <w:rPr>
                <w:rFonts w:ascii="Arial" w:hAnsi="Arial" w:cs="Arial"/>
                <w:sz w:val="24"/>
                <w:szCs w:val="24"/>
              </w:rPr>
            </w:pPr>
            <w:r w:rsidRPr="00F413C5">
              <w:rPr>
                <w:rFonts w:ascii="Arial" w:hAnsi="Arial" w:cs="Arial"/>
                <w:sz w:val="24"/>
                <w:szCs w:val="24"/>
              </w:rPr>
              <w:t>Service concession asset</w:t>
            </w:r>
          </w:p>
        </w:tc>
        <w:tc>
          <w:tcPr>
            <w:tcW w:w="989" w:type="dxa"/>
            <w:shd w:val="clear" w:color="auto" w:fill="auto"/>
            <w:noWrap/>
            <w:hideMark/>
          </w:tcPr>
          <w:p w14:paraId="50FBF369"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 xml:space="preserve">818,418 </w:t>
            </w:r>
          </w:p>
        </w:tc>
        <w:tc>
          <w:tcPr>
            <w:tcW w:w="989" w:type="dxa"/>
            <w:shd w:val="clear" w:color="auto" w:fill="auto"/>
            <w:noWrap/>
            <w:hideMark/>
          </w:tcPr>
          <w:p w14:paraId="6CB5D5A3"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 xml:space="preserve">677,396 </w:t>
            </w:r>
          </w:p>
        </w:tc>
      </w:tr>
      <w:tr w:rsidR="003E5BF5" w:rsidRPr="00F413C5" w14:paraId="5BD09522" w14:textId="77777777" w:rsidTr="000F285B">
        <w:trPr>
          <w:trHeight w:val="340"/>
          <w:jc w:val="center"/>
        </w:trPr>
        <w:tc>
          <w:tcPr>
            <w:tcW w:w="2652" w:type="dxa"/>
            <w:shd w:val="clear" w:color="auto" w:fill="auto"/>
            <w:vAlign w:val="center"/>
            <w:hideMark/>
          </w:tcPr>
          <w:p w14:paraId="09D49174" w14:textId="77777777" w:rsidR="003E5BF5" w:rsidRPr="00F413C5" w:rsidRDefault="003E5BF5" w:rsidP="00DE1921">
            <w:pPr>
              <w:spacing w:line="259" w:lineRule="auto"/>
              <w:rPr>
                <w:rFonts w:ascii="Arial" w:hAnsi="Arial" w:cs="Arial"/>
                <w:sz w:val="24"/>
                <w:szCs w:val="24"/>
              </w:rPr>
            </w:pPr>
            <w:r w:rsidRPr="00F413C5">
              <w:rPr>
                <w:rFonts w:ascii="Arial" w:hAnsi="Arial" w:cs="Arial"/>
                <w:sz w:val="24"/>
                <w:szCs w:val="24"/>
              </w:rPr>
              <w:t>Note 7.1 Borrowings</w:t>
            </w:r>
          </w:p>
        </w:tc>
        <w:tc>
          <w:tcPr>
            <w:tcW w:w="3098" w:type="dxa"/>
            <w:shd w:val="clear" w:color="auto" w:fill="auto"/>
            <w:vAlign w:val="center"/>
            <w:hideMark/>
          </w:tcPr>
          <w:p w14:paraId="3ADCB8A7" w14:textId="77777777" w:rsidR="003E5BF5" w:rsidRPr="00F413C5" w:rsidRDefault="003E5BF5" w:rsidP="00DE1921">
            <w:pPr>
              <w:spacing w:line="259" w:lineRule="auto"/>
              <w:rPr>
                <w:rFonts w:ascii="Arial" w:hAnsi="Arial" w:cs="Arial"/>
                <w:sz w:val="24"/>
                <w:szCs w:val="24"/>
              </w:rPr>
            </w:pPr>
            <w:r w:rsidRPr="00F413C5">
              <w:rPr>
                <w:rFonts w:ascii="Arial" w:hAnsi="Arial" w:cs="Arial"/>
                <w:sz w:val="24"/>
                <w:szCs w:val="24"/>
              </w:rPr>
              <w:t>Lease liabilities</w:t>
            </w:r>
          </w:p>
        </w:tc>
        <w:tc>
          <w:tcPr>
            <w:tcW w:w="1032" w:type="dxa"/>
            <w:shd w:val="clear" w:color="auto" w:fill="auto"/>
            <w:noWrap/>
            <w:vAlign w:val="center"/>
            <w:hideMark/>
          </w:tcPr>
          <w:p w14:paraId="40A4AA45"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 xml:space="preserve">672,824 </w:t>
            </w:r>
          </w:p>
        </w:tc>
        <w:tc>
          <w:tcPr>
            <w:tcW w:w="1032" w:type="dxa"/>
            <w:shd w:val="clear" w:color="auto" w:fill="auto"/>
            <w:noWrap/>
            <w:vAlign w:val="center"/>
            <w:hideMark/>
          </w:tcPr>
          <w:p w14:paraId="0824FD79"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 xml:space="preserve">691,905 </w:t>
            </w:r>
          </w:p>
        </w:tc>
        <w:tc>
          <w:tcPr>
            <w:tcW w:w="3816" w:type="dxa"/>
            <w:shd w:val="clear" w:color="auto" w:fill="auto"/>
            <w:vAlign w:val="center"/>
            <w:hideMark/>
          </w:tcPr>
          <w:p w14:paraId="0E1CCDB9" w14:textId="77777777" w:rsidR="003E5BF5" w:rsidRPr="00F413C5" w:rsidRDefault="003E5BF5" w:rsidP="00DE1921">
            <w:pPr>
              <w:spacing w:line="259" w:lineRule="auto"/>
              <w:rPr>
                <w:rFonts w:ascii="Arial" w:hAnsi="Arial" w:cs="Arial"/>
                <w:sz w:val="24"/>
                <w:szCs w:val="24"/>
              </w:rPr>
            </w:pPr>
            <w:r w:rsidRPr="00F413C5">
              <w:rPr>
                <w:rFonts w:ascii="Arial" w:hAnsi="Arial" w:cs="Arial"/>
                <w:sz w:val="24"/>
                <w:szCs w:val="24"/>
              </w:rPr>
              <w:t>Service concession financial liability</w:t>
            </w:r>
          </w:p>
        </w:tc>
        <w:tc>
          <w:tcPr>
            <w:tcW w:w="989" w:type="dxa"/>
            <w:shd w:val="clear" w:color="auto" w:fill="auto"/>
            <w:noWrap/>
            <w:vAlign w:val="center"/>
            <w:hideMark/>
          </w:tcPr>
          <w:p w14:paraId="020CDF9E"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 xml:space="preserve">672,824 </w:t>
            </w:r>
          </w:p>
        </w:tc>
        <w:tc>
          <w:tcPr>
            <w:tcW w:w="989" w:type="dxa"/>
            <w:shd w:val="clear" w:color="auto" w:fill="auto"/>
            <w:noWrap/>
            <w:vAlign w:val="center"/>
            <w:hideMark/>
          </w:tcPr>
          <w:p w14:paraId="42EB66B9"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 xml:space="preserve">691,905 </w:t>
            </w:r>
          </w:p>
        </w:tc>
      </w:tr>
      <w:tr w:rsidR="003E5BF5" w:rsidRPr="00F413C5" w14:paraId="4FD3D528" w14:textId="77777777" w:rsidTr="000F285B">
        <w:trPr>
          <w:trHeight w:val="340"/>
          <w:jc w:val="center"/>
        </w:trPr>
        <w:tc>
          <w:tcPr>
            <w:tcW w:w="2652" w:type="dxa"/>
            <w:shd w:val="clear" w:color="auto" w:fill="auto"/>
            <w:vAlign w:val="center"/>
            <w:hideMark/>
          </w:tcPr>
          <w:p w14:paraId="6BF62698" w14:textId="77777777" w:rsidR="003E5BF5" w:rsidRPr="00F413C5" w:rsidRDefault="003E5BF5" w:rsidP="00DE1921">
            <w:pPr>
              <w:spacing w:line="259" w:lineRule="auto"/>
              <w:rPr>
                <w:rFonts w:ascii="Arial" w:hAnsi="Arial" w:cs="Arial"/>
                <w:sz w:val="24"/>
                <w:szCs w:val="24"/>
              </w:rPr>
            </w:pPr>
            <w:r w:rsidRPr="00F413C5">
              <w:rPr>
                <w:rFonts w:ascii="Arial" w:hAnsi="Arial" w:cs="Arial"/>
                <w:sz w:val="24"/>
                <w:szCs w:val="24"/>
              </w:rPr>
              <w:t>Note 5.1.5 Depreciation</w:t>
            </w:r>
          </w:p>
        </w:tc>
        <w:tc>
          <w:tcPr>
            <w:tcW w:w="3098" w:type="dxa"/>
            <w:shd w:val="clear" w:color="auto" w:fill="auto"/>
            <w:vAlign w:val="center"/>
            <w:hideMark/>
          </w:tcPr>
          <w:p w14:paraId="5D338EFA" w14:textId="77777777" w:rsidR="003E5BF5" w:rsidRPr="00F413C5" w:rsidRDefault="003E5BF5" w:rsidP="00DE1921">
            <w:pPr>
              <w:spacing w:line="259" w:lineRule="auto"/>
              <w:rPr>
                <w:rFonts w:ascii="Arial" w:hAnsi="Arial" w:cs="Arial"/>
                <w:sz w:val="24"/>
                <w:szCs w:val="24"/>
              </w:rPr>
            </w:pPr>
            <w:r w:rsidRPr="00F413C5">
              <w:rPr>
                <w:rFonts w:ascii="Arial" w:hAnsi="Arial" w:cs="Arial"/>
                <w:sz w:val="24"/>
                <w:szCs w:val="24"/>
              </w:rPr>
              <w:t>Asset depreciation</w:t>
            </w:r>
          </w:p>
        </w:tc>
        <w:tc>
          <w:tcPr>
            <w:tcW w:w="1032" w:type="dxa"/>
            <w:shd w:val="clear" w:color="auto" w:fill="auto"/>
            <w:noWrap/>
            <w:vAlign w:val="center"/>
            <w:hideMark/>
          </w:tcPr>
          <w:p w14:paraId="1E00ED1B"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(10,318)</w:t>
            </w:r>
          </w:p>
        </w:tc>
        <w:tc>
          <w:tcPr>
            <w:tcW w:w="1032" w:type="dxa"/>
            <w:shd w:val="clear" w:color="auto" w:fill="auto"/>
            <w:noWrap/>
            <w:vAlign w:val="center"/>
            <w:hideMark/>
          </w:tcPr>
          <w:p w14:paraId="2494E7F2"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(9,434)</w:t>
            </w:r>
          </w:p>
        </w:tc>
        <w:tc>
          <w:tcPr>
            <w:tcW w:w="3816" w:type="dxa"/>
            <w:shd w:val="clear" w:color="auto" w:fill="auto"/>
            <w:vAlign w:val="center"/>
            <w:hideMark/>
          </w:tcPr>
          <w:p w14:paraId="7F92FF29" w14:textId="77777777" w:rsidR="003E5BF5" w:rsidRPr="00F413C5" w:rsidRDefault="003E5BF5" w:rsidP="00DE1921">
            <w:pPr>
              <w:spacing w:line="259" w:lineRule="auto"/>
              <w:rPr>
                <w:rFonts w:ascii="Arial" w:hAnsi="Arial" w:cs="Arial"/>
                <w:sz w:val="24"/>
                <w:szCs w:val="24"/>
              </w:rPr>
            </w:pPr>
            <w:r w:rsidRPr="00F413C5">
              <w:rPr>
                <w:rFonts w:ascii="Arial" w:hAnsi="Arial" w:cs="Arial"/>
                <w:sz w:val="24"/>
                <w:szCs w:val="24"/>
              </w:rPr>
              <w:t>Service concession asset depreciation</w:t>
            </w:r>
          </w:p>
        </w:tc>
        <w:tc>
          <w:tcPr>
            <w:tcW w:w="989" w:type="dxa"/>
            <w:shd w:val="clear" w:color="auto" w:fill="auto"/>
            <w:noWrap/>
            <w:vAlign w:val="center"/>
            <w:hideMark/>
          </w:tcPr>
          <w:p w14:paraId="4553B657"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(10,318)</w:t>
            </w:r>
          </w:p>
        </w:tc>
        <w:tc>
          <w:tcPr>
            <w:tcW w:w="989" w:type="dxa"/>
            <w:shd w:val="clear" w:color="auto" w:fill="auto"/>
            <w:noWrap/>
            <w:vAlign w:val="center"/>
            <w:hideMark/>
          </w:tcPr>
          <w:p w14:paraId="3786F78E"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(9,434)</w:t>
            </w:r>
          </w:p>
        </w:tc>
      </w:tr>
      <w:tr w:rsidR="003E5BF5" w:rsidRPr="00F413C5" w14:paraId="0801634B" w14:textId="77777777" w:rsidTr="000F285B">
        <w:trPr>
          <w:trHeight w:val="340"/>
          <w:jc w:val="center"/>
        </w:trPr>
        <w:tc>
          <w:tcPr>
            <w:tcW w:w="2652" w:type="dxa"/>
            <w:shd w:val="clear" w:color="auto" w:fill="auto"/>
            <w:vAlign w:val="center"/>
            <w:hideMark/>
          </w:tcPr>
          <w:p w14:paraId="0CA53FD1" w14:textId="77777777" w:rsidR="003E5BF5" w:rsidRPr="00F413C5" w:rsidRDefault="003E5BF5" w:rsidP="00DE1921">
            <w:pPr>
              <w:spacing w:line="259" w:lineRule="auto"/>
              <w:rPr>
                <w:rFonts w:ascii="Arial" w:hAnsi="Arial" w:cs="Arial"/>
                <w:sz w:val="24"/>
                <w:szCs w:val="24"/>
              </w:rPr>
            </w:pPr>
            <w:r w:rsidRPr="00F413C5">
              <w:rPr>
                <w:rFonts w:ascii="Arial" w:hAnsi="Arial" w:cs="Arial"/>
                <w:sz w:val="24"/>
                <w:szCs w:val="24"/>
              </w:rPr>
              <w:t>Note 7.1 Borrowings: Interest expense</w:t>
            </w:r>
          </w:p>
        </w:tc>
        <w:tc>
          <w:tcPr>
            <w:tcW w:w="3098" w:type="dxa"/>
            <w:shd w:val="clear" w:color="auto" w:fill="auto"/>
            <w:hideMark/>
          </w:tcPr>
          <w:p w14:paraId="3A8DF810" w14:textId="77777777" w:rsidR="003E5BF5" w:rsidRPr="00F413C5" w:rsidRDefault="003E5BF5" w:rsidP="00DE1921">
            <w:pPr>
              <w:spacing w:line="259" w:lineRule="auto"/>
              <w:rPr>
                <w:rFonts w:ascii="Arial" w:hAnsi="Arial" w:cs="Arial"/>
                <w:sz w:val="24"/>
                <w:szCs w:val="24"/>
              </w:rPr>
            </w:pPr>
            <w:r w:rsidRPr="00F413C5">
              <w:rPr>
                <w:rFonts w:ascii="Arial" w:hAnsi="Arial" w:cs="Arial"/>
                <w:sz w:val="24"/>
                <w:szCs w:val="24"/>
              </w:rPr>
              <w:t>Other interest expense</w:t>
            </w:r>
          </w:p>
        </w:tc>
        <w:tc>
          <w:tcPr>
            <w:tcW w:w="1032" w:type="dxa"/>
            <w:shd w:val="clear" w:color="auto" w:fill="auto"/>
            <w:noWrap/>
            <w:hideMark/>
          </w:tcPr>
          <w:p w14:paraId="73724E0F"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(78,505)</w:t>
            </w:r>
          </w:p>
        </w:tc>
        <w:tc>
          <w:tcPr>
            <w:tcW w:w="1032" w:type="dxa"/>
            <w:shd w:val="clear" w:color="auto" w:fill="auto"/>
            <w:noWrap/>
            <w:hideMark/>
          </w:tcPr>
          <w:p w14:paraId="032983E6"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(80,695)</w:t>
            </w:r>
          </w:p>
        </w:tc>
        <w:tc>
          <w:tcPr>
            <w:tcW w:w="3816" w:type="dxa"/>
            <w:shd w:val="clear" w:color="auto" w:fill="auto"/>
            <w:hideMark/>
          </w:tcPr>
          <w:p w14:paraId="6AB5B823" w14:textId="77777777" w:rsidR="003E5BF5" w:rsidRPr="00F413C5" w:rsidRDefault="003E5BF5" w:rsidP="00DE1921">
            <w:pPr>
              <w:spacing w:line="259" w:lineRule="auto"/>
              <w:rPr>
                <w:rFonts w:ascii="Arial" w:hAnsi="Arial" w:cs="Arial"/>
                <w:sz w:val="24"/>
                <w:szCs w:val="24"/>
              </w:rPr>
            </w:pPr>
            <w:r w:rsidRPr="00F413C5">
              <w:rPr>
                <w:rFonts w:ascii="Arial" w:hAnsi="Arial" w:cs="Arial"/>
                <w:sz w:val="24"/>
                <w:szCs w:val="24"/>
              </w:rPr>
              <w:t>Interest on service concession arrangements</w:t>
            </w:r>
          </w:p>
        </w:tc>
        <w:tc>
          <w:tcPr>
            <w:tcW w:w="989" w:type="dxa"/>
            <w:shd w:val="clear" w:color="auto" w:fill="auto"/>
            <w:noWrap/>
            <w:hideMark/>
          </w:tcPr>
          <w:p w14:paraId="58660FA6"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(78,505)</w:t>
            </w:r>
          </w:p>
        </w:tc>
        <w:tc>
          <w:tcPr>
            <w:tcW w:w="989" w:type="dxa"/>
            <w:shd w:val="clear" w:color="auto" w:fill="auto"/>
            <w:noWrap/>
            <w:hideMark/>
          </w:tcPr>
          <w:p w14:paraId="5E734A97"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(80,695)</w:t>
            </w:r>
          </w:p>
        </w:tc>
      </w:tr>
      <w:tr w:rsidR="003E5BF5" w:rsidRPr="00F413C5" w14:paraId="48398EC8" w14:textId="77777777" w:rsidTr="000F285B">
        <w:trPr>
          <w:trHeight w:val="340"/>
          <w:jc w:val="center"/>
        </w:trPr>
        <w:tc>
          <w:tcPr>
            <w:tcW w:w="2652" w:type="dxa"/>
            <w:shd w:val="clear" w:color="auto" w:fill="auto"/>
            <w:vAlign w:val="center"/>
            <w:hideMark/>
          </w:tcPr>
          <w:p w14:paraId="384ADEF5" w14:textId="77777777" w:rsidR="003E5BF5" w:rsidRPr="00F413C5" w:rsidRDefault="003E5BF5" w:rsidP="00DE1921">
            <w:pPr>
              <w:spacing w:line="259" w:lineRule="auto"/>
              <w:rPr>
                <w:rFonts w:ascii="Arial" w:hAnsi="Arial" w:cs="Arial"/>
                <w:sz w:val="24"/>
                <w:szCs w:val="24"/>
              </w:rPr>
            </w:pPr>
            <w:r w:rsidRPr="00F413C5">
              <w:rPr>
                <w:rFonts w:ascii="Arial" w:hAnsi="Arial" w:cs="Arial"/>
                <w:sz w:val="24"/>
                <w:szCs w:val="24"/>
              </w:rPr>
              <w:t>Note 9.4 Equity</w:t>
            </w:r>
          </w:p>
        </w:tc>
        <w:tc>
          <w:tcPr>
            <w:tcW w:w="3098" w:type="dxa"/>
            <w:shd w:val="clear" w:color="auto" w:fill="auto"/>
            <w:vAlign w:val="center"/>
            <w:hideMark/>
          </w:tcPr>
          <w:p w14:paraId="2B582503" w14:textId="77777777" w:rsidR="003E5BF5" w:rsidRPr="00F413C5" w:rsidRDefault="003E5BF5" w:rsidP="00DE1921">
            <w:pPr>
              <w:spacing w:line="259" w:lineRule="auto"/>
              <w:rPr>
                <w:rFonts w:ascii="Arial" w:hAnsi="Arial" w:cs="Arial"/>
                <w:sz w:val="24"/>
                <w:szCs w:val="24"/>
              </w:rPr>
            </w:pPr>
            <w:r w:rsidRPr="00F413C5">
              <w:rPr>
                <w:rFonts w:ascii="Arial" w:hAnsi="Arial" w:cs="Arial"/>
                <w:sz w:val="24"/>
                <w:szCs w:val="24"/>
              </w:rPr>
              <w:t>Physical asset revaluation surplus</w:t>
            </w:r>
          </w:p>
        </w:tc>
        <w:tc>
          <w:tcPr>
            <w:tcW w:w="1032" w:type="dxa"/>
            <w:shd w:val="clear" w:color="auto" w:fill="auto"/>
            <w:noWrap/>
            <w:vAlign w:val="center"/>
            <w:hideMark/>
          </w:tcPr>
          <w:p w14:paraId="6F90ACEB"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151,295 </w:t>
            </w:r>
          </w:p>
        </w:tc>
        <w:tc>
          <w:tcPr>
            <w:tcW w:w="1032" w:type="dxa"/>
            <w:shd w:val="clear" w:color="auto" w:fill="auto"/>
            <w:noWrap/>
            <w:vAlign w:val="center"/>
            <w:hideMark/>
          </w:tcPr>
          <w:p w14:paraId="1C46A27E"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 </w:t>
            </w:r>
          </w:p>
        </w:tc>
        <w:tc>
          <w:tcPr>
            <w:tcW w:w="3816" w:type="dxa"/>
            <w:shd w:val="clear" w:color="auto" w:fill="auto"/>
            <w:vAlign w:val="center"/>
            <w:hideMark/>
          </w:tcPr>
          <w:p w14:paraId="5CD47DA2" w14:textId="77777777" w:rsidR="003E5BF5" w:rsidRPr="00F413C5" w:rsidRDefault="003E5BF5" w:rsidP="00DE1921">
            <w:pPr>
              <w:spacing w:line="259" w:lineRule="auto"/>
              <w:rPr>
                <w:rFonts w:ascii="Arial" w:hAnsi="Arial" w:cs="Arial"/>
                <w:sz w:val="24"/>
                <w:szCs w:val="24"/>
              </w:rPr>
            </w:pPr>
            <w:r w:rsidRPr="00F413C5">
              <w:rPr>
                <w:rFonts w:ascii="Arial" w:hAnsi="Arial" w:cs="Arial"/>
                <w:sz w:val="24"/>
                <w:szCs w:val="24"/>
              </w:rPr>
              <w:t>Physical asset revaluation surplus</w:t>
            </w:r>
          </w:p>
        </w:tc>
        <w:tc>
          <w:tcPr>
            <w:tcW w:w="989" w:type="dxa"/>
            <w:shd w:val="clear" w:color="auto" w:fill="auto"/>
            <w:noWrap/>
            <w:vAlign w:val="center"/>
            <w:hideMark/>
          </w:tcPr>
          <w:p w14:paraId="5EE4A317"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 xml:space="preserve">151,295 </w:t>
            </w:r>
          </w:p>
        </w:tc>
        <w:tc>
          <w:tcPr>
            <w:tcW w:w="989" w:type="dxa"/>
            <w:shd w:val="clear" w:color="auto" w:fill="auto"/>
            <w:noWrap/>
            <w:vAlign w:val="center"/>
            <w:hideMark/>
          </w:tcPr>
          <w:p w14:paraId="04519123" w14:textId="77777777" w:rsidR="003E5BF5" w:rsidRPr="00F413C5" w:rsidRDefault="003E5BF5" w:rsidP="00DE1921">
            <w:pPr>
              <w:spacing w:line="259" w:lineRule="auto"/>
              <w:jc w:val="right"/>
              <w:rPr>
                <w:rFonts w:ascii="Arial" w:hAnsi="Arial" w:cs="Arial"/>
                <w:sz w:val="24"/>
                <w:szCs w:val="24"/>
              </w:rPr>
            </w:pPr>
            <w:r w:rsidRPr="00F413C5">
              <w:rPr>
                <w:rFonts w:ascii="Arial" w:hAnsi="Arial" w:cs="Arial"/>
                <w:sz w:val="24"/>
                <w:szCs w:val="24"/>
              </w:rPr>
              <w:t xml:space="preserve"> - </w:t>
            </w:r>
          </w:p>
        </w:tc>
      </w:tr>
    </w:tbl>
    <w:p w14:paraId="2E46FEA6" w14:textId="77777777" w:rsidR="000F285B" w:rsidRPr="00532167" w:rsidRDefault="000F285B" w:rsidP="000F285B">
      <w:pPr>
        <w:pStyle w:val="Note"/>
        <w:rPr>
          <w:rFonts w:ascii="Arial" w:hAnsi="Arial" w:cs="Arial"/>
          <w:sz w:val="24"/>
          <w:szCs w:val="24"/>
        </w:rPr>
      </w:pPr>
      <w:r w:rsidRPr="00532167">
        <w:rPr>
          <w:rFonts w:ascii="Arial" w:hAnsi="Arial" w:cs="Arial"/>
          <w:sz w:val="24"/>
          <w:szCs w:val="24"/>
        </w:rPr>
        <w:t>Notes:</w:t>
      </w:r>
    </w:p>
    <w:p w14:paraId="74A40250" w14:textId="77777777" w:rsidR="000F285B" w:rsidRPr="00532167" w:rsidRDefault="000F285B" w:rsidP="00610F5F">
      <w:pPr>
        <w:pStyle w:val="aaaNotenumberiiiiii"/>
        <w:numPr>
          <w:ilvl w:val="0"/>
          <w:numId w:val="110"/>
        </w:numPr>
      </w:pPr>
      <w:r w:rsidRPr="00532167">
        <w:t xml:space="preserve">The comparative figures are for illustration purposes only and do not represent information of the department’s 2018-19 Financial Statements or comparatives disclosed in its 2019-20 Financial Statements. </w:t>
      </w:r>
    </w:p>
    <w:p w14:paraId="52F9B95D" w14:textId="77777777" w:rsidR="000F285B" w:rsidRPr="00532167" w:rsidRDefault="000F285B" w:rsidP="00610F5F">
      <w:pPr>
        <w:pStyle w:val="aaaNotenumberiiiiii"/>
        <w:numPr>
          <w:ilvl w:val="0"/>
          <w:numId w:val="110"/>
        </w:numPr>
      </w:pPr>
      <w:r w:rsidRPr="00532167">
        <w:t>The commitments relating to this SCA arrangement is disclosed in Note 7.5.2 Public Private Partnership (PPP) commitments.</w:t>
      </w:r>
    </w:p>
    <w:p w14:paraId="6EC94BF7" w14:textId="77777777" w:rsidR="003E5BF5" w:rsidRDefault="003E5BF5" w:rsidP="00A85601">
      <w:pPr>
        <w:pStyle w:val="aaatyping"/>
      </w:pPr>
      <w:r>
        <w:t>At the end of this period, the Peninsula Link service concession assets, rights and obligations will be returned to the State as the State retains residual interest in the road infrastructure at the end of the project term.</w:t>
      </w:r>
    </w:p>
    <w:p w14:paraId="3B74275C" w14:textId="77777777" w:rsidR="003E5BF5" w:rsidRDefault="003E5BF5" w:rsidP="00A85601">
      <w:pPr>
        <w:pStyle w:val="aaatyping"/>
      </w:pPr>
      <w:r>
        <w:lastRenderedPageBreak/>
        <w:t>The contract does not include any options to extend or renew the services. The contract may be terminated in certain circumstances.</w:t>
      </w:r>
    </w:p>
    <w:p w14:paraId="7216CC29" w14:textId="77777777" w:rsidR="003E5BF5" w:rsidRDefault="003E5BF5" w:rsidP="00A85601">
      <w:pPr>
        <w:pStyle w:val="aaatyping"/>
      </w:pPr>
      <w:r>
        <w:t xml:space="preserve">Southern Way must comply with the annual works plan which details scheduled servicing, maintenance, refurbishment and replacement of assets during the concession period which must be consistent with the asset replacement and refurbishment program in terms of nature, scope and scale. </w:t>
      </w:r>
    </w:p>
    <w:p w14:paraId="6FA335A1" w14:textId="77777777" w:rsidR="003E5BF5" w:rsidRDefault="003E5BF5" w:rsidP="00A85601">
      <w:pPr>
        <w:pStyle w:val="aaatyping"/>
      </w:pPr>
      <w:r>
        <w:t>Southern Way will be provided with appropriate access to the asset in order to fulfil its obligations.</w:t>
      </w:r>
    </w:p>
    <w:p w14:paraId="634D61B0" w14:textId="77777777" w:rsidR="003E5BF5" w:rsidRDefault="003E5BF5" w:rsidP="00A85601">
      <w:pPr>
        <w:pStyle w:val="aaatyping"/>
        <w:sectPr w:rsidR="003E5BF5" w:rsidSect="00DE1921">
          <w:pgSz w:w="16838" w:h="11906" w:orient="landscape"/>
          <w:pgMar w:top="1418" w:right="1701" w:bottom="1418" w:left="1418" w:header="709" w:footer="709" w:gutter="0"/>
          <w:cols w:space="708"/>
          <w:docGrid w:linePitch="360"/>
        </w:sectPr>
      </w:pPr>
      <w:r w:rsidRPr="008B5F77">
        <w:t>There were no changes to the arrangements during the reporting period.</w:t>
      </w:r>
    </w:p>
    <w:p w14:paraId="2AA9950D" w14:textId="77777777" w:rsidR="003E5BF5" w:rsidRPr="00081911" w:rsidRDefault="003E5BF5" w:rsidP="00610F5F">
      <w:pPr>
        <w:pStyle w:val="Heading5"/>
        <w:numPr>
          <w:ilvl w:val="3"/>
          <w:numId w:val="21"/>
        </w:numPr>
      </w:pPr>
      <w:r w:rsidRPr="00081911">
        <w:lastRenderedPageBreak/>
        <w:t>Metropolitan bus contracts – Financial liability model</w:t>
      </w:r>
    </w:p>
    <w:p w14:paraId="46C7CDB8" w14:textId="77777777" w:rsidR="003E5BF5" w:rsidRDefault="003E5BF5" w:rsidP="00A85601">
      <w:pPr>
        <w:pStyle w:val="aaatyping"/>
      </w:pPr>
      <w:r>
        <w:t xml:space="preserve">In June and July 2018, new Metropolitan Bus Service Contracts were signed with the operators of the metropolitan buses. Contracts were signed with </w:t>
      </w:r>
      <w:proofErr w:type="spellStart"/>
      <w:r>
        <w:t>Donric</w:t>
      </w:r>
      <w:proofErr w:type="spellEnd"/>
      <w:r>
        <w:t xml:space="preserve"> Group, Sita </w:t>
      </w:r>
      <w:proofErr w:type="spellStart"/>
      <w:r>
        <w:t>Buslines</w:t>
      </w:r>
      <w:proofErr w:type="spellEnd"/>
      <w:r>
        <w:t>, Cranbourne Transit, and Ventura Bus Lines.</w:t>
      </w:r>
    </w:p>
    <w:p w14:paraId="7A2BD5F2" w14:textId="77777777" w:rsidR="003E5BF5" w:rsidRDefault="003E5BF5" w:rsidP="00A85601">
      <w:pPr>
        <w:pStyle w:val="aaatyping"/>
      </w:pPr>
      <w:r>
        <w:t>The State compensates the operators with a service fee that covers the cost of fleet, fuel, labour and overhead. The operators do not receive a share of the ticketing revenue. The contract period is 8 years, with an automatic extension for a further 2 years if the operator satisfies the extension criteria based on Flexible Performance Measures.</w:t>
      </w:r>
    </w:p>
    <w:p w14:paraId="7EBB9767" w14:textId="77777777" w:rsidR="003E5BF5" w:rsidRDefault="003E5BF5" w:rsidP="00A85601">
      <w:pPr>
        <w:pStyle w:val="aaatyping"/>
      </w:pPr>
      <w:r>
        <w:t>The State determines that the service to be provided is public transportation.</w:t>
      </w:r>
    </w:p>
    <w:p w14:paraId="7DAC393C" w14:textId="77777777" w:rsidR="003E5BF5" w:rsidRPr="008945DC" w:rsidRDefault="003E5BF5" w:rsidP="00A85601">
      <w:pPr>
        <w:pStyle w:val="aaatyping"/>
      </w:pPr>
      <w:r>
        <w:t xml:space="preserve">The Metropolitan Bus Service Contracts transferred from PTV to the department as part of the </w:t>
      </w:r>
      <w:proofErr w:type="spellStart"/>
      <w:r>
        <w:t>MoG</w:t>
      </w:r>
      <w:proofErr w:type="spellEnd"/>
      <w:r>
        <w:t xml:space="preserve"> change that integrated VicRoads and PTV into the department. PTV adopted the standard for the first time retrospectively based on its 2018-19 Financial Statements and then transferred balances as contributed capital to the department on 1 July 2019. There are no comparatives relating to PTV within the department’s current year financial statements, however in order to provide a better illustration to the users that compares the pre and post adoption of AASB 1059, the department included a table of how the arrangement would had been disclosed had PTV prepared its own financial statements in 2019-20. A summary of the arrangement is included below:</w:t>
      </w:r>
    </w:p>
    <w:p w14:paraId="531CA583" w14:textId="77777777" w:rsidR="003E5BF5" w:rsidRDefault="003E5BF5" w:rsidP="00DE1921">
      <w:pPr>
        <w:sectPr w:rsidR="003E5BF5" w:rsidSect="00DE1921">
          <w:pgSz w:w="16838" w:h="11906" w:orient="landscape"/>
          <w:pgMar w:top="1418" w:right="1701" w:bottom="1418" w:left="1418" w:header="709" w:footer="709" w:gutter="0"/>
          <w:cols w:space="708"/>
          <w:docGrid w:linePitch="360"/>
        </w:sectPr>
      </w:pPr>
    </w:p>
    <w:p w14:paraId="0D067007" w14:textId="77777777" w:rsidR="003E5BF5" w:rsidRPr="008945DC" w:rsidRDefault="003E5BF5" w:rsidP="00DE1921"/>
    <w:tbl>
      <w:tblPr>
        <w:tblStyle w:val="TableGrid"/>
        <w:tblW w:w="13608" w:type="dxa"/>
        <w:jc w:val="right"/>
        <w:tblLayout w:type="fixed"/>
        <w:tblLook w:val="04A0" w:firstRow="1" w:lastRow="0" w:firstColumn="1" w:lastColumn="0" w:noHBand="0" w:noVBand="1"/>
      </w:tblPr>
      <w:tblGrid>
        <w:gridCol w:w="3102"/>
        <w:gridCol w:w="2663"/>
        <w:gridCol w:w="961"/>
        <w:gridCol w:w="961"/>
        <w:gridCol w:w="3403"/>
        <w:gridCol w:w="1259"/>
        <w:gridCol w:w="1259"/>
      </w:tblGrid>
      <w:tr w:rsidR="003E5BF5" w:rsidRPr="00D63A80" w14:paraId="40FC537B" w14:textId="77777777" w:rsidTr="007E5315">
        <w:trPr>
          <w:trHeight w:val="340"/>
          <w:jc w:val="right"/>
        </w:trPr>
        <w:tc>
          <w:tcPr>
            <w:tcW w:w="3102" w:type="dxa"/>
            <w:shd w:val="clear" w:color="auto" w:fill="auto"/>
            <w:hideMark/>
          </w:tcPr>
          <w:p w14:paraId="4B04836D" w14:textId="77777777" w:rsidR="003E5BF5" w:rsidRPr="00D63A80" w:rsidRDefault="003E5BF5" w:rsidP="00DE1921">
            <w:pPr>
              <w:jc w:val="center"/>
              <w:rPr>
                <w:rFonts w:ascii="Arial" w:hAnsi="Arial" w:cs="Arial"/>
                <w:sz w:val="24"/>
                <w:szCs w:val="24"/>
              </w:rPr>
            </w:pPr>
          </w:p>
        </w:tc>
        <w:tc>
          <w:tcPr>
            <w:tcW w:w="10506" w:type="dxa"/>
            <w:gridSpan w:val="6"/>
            <w:shd w:val="clear" w:color="auto" w:fill="auto"/>
            <w:vAlign w:val="center"/>
            <w:hideMark/>
          </w:tcPr>
          <w:p w14:paraId="0732BFFF"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 thousand)</w:t>
            </w:r>
          </w:p>
        </w:tc>
      </w:tr>
      <w:tr w:rsidR="003E5BF5" w:rsidRPr="00D63A80" w14:paraId="3A970667" w14:textId="77777777" w:rsidTr="007E5315">
        <w:trPr>
          <w:trHeight w:val="340"/>
          <w:jc w:val="right"/>
        </w:trPr>
        <w:tc>
          <w:tcPr>
            <w:tcW w:w="3102" w:type="dxa"/>
            <w:shd w:val="clear" w:color="auto" w:fill="auto"/>
            <w:hideMark/>
          </w:tcPr>
          <w:p w14:paraId="2B1B7837" w14:textId="77777777" w:rsidR="003E5BF5" w:rsidRPr="00D63A80" w:rsidRDefault="003E5BF5" w:rsidP="00DE1921">
            <w:pPr>
              <w:jc w:val="center"/>
              <w:rPr>
                <w:rFonts w:ascii="Arial" w:hAnsi="Arial" w:cs="Arial"/>
                <w:sz w:val="24"/>
                <w:szCs w:val="24"/>
              </w:rPr>
            </w:pPr>
          </w:p>
        </w:tc>
        <w:tc>
          <w:tcPr>
            <w:tcW w:w="10506" w:type="dxa"/>
            <w:gridSpan w:val="6"/>
            <w:shd w:val="clear" w:color="auto" w:fill="auto"/>
            <w:vAlign w:val="bottom"/>
            <w:hideMark/>
          </w:tcPr>
          <w:p w14:paraId="57DFAA59"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Metropolitan bus contracts</w:t>
            </w:r>
          </w:p>
        </w:tc>
      </w:tr>
      <w:tr w:rsidR="003E5BF5" w:rsidRPr="00D63A80" w14:paraId="2A22DE40" w14:textId="77777777" w:rsidTr="007E5315">
        <w:trPr>
          <w:trHeight w:val="340"/>
          <w:jc w:val="right"/>
        </w:trPr>
        <w:tc>
          <w:tcPr>
            <w:tcW w:w="3102" w:type="dxa"/>
            <w:shd w:val="clear" w:color="auto" w:fill="auto"/>
            <w:hideMark/>
          </w:tcPr>
          <w:p w14:paraId="4EDD70BD" w14:textId="77777777" w:rsidR="003E5BF5" w:rsidRPr="00D63A80" w:rsidRDefault="003E5BF5" w:rsidP="00DE1921">
            <w:pPr>
              <w:jc w:val="center"/>
              <w:rPr>
                <w:rFonts w:ascii="Arial" w:hAnsi="Arial" w:cs="Arial"/>
                <w:b/>
                <w:sz w:val="24"/>
                <w:szCs w:val="24"/>
              </w:rPr>
            </w:pPr>
          </w:p>
        </w:tc>
        <w:tc>
          <w:tcPr>
            <w:tcW w:w="4585" w:type="dxa"/>
            <w:gridSpan w:val="3"/>
            <w:shd w:val="clear" w:color="auto" w:fill="auto"/>
            <w:noWrap/>
            <w:vAlign w:val="bottom"/>
            <w:hideMark/>
          </w:tcPr>
          <w:p w14:paraId="203ADBE7"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Pre-AASB 1059 accounting</w:t>
            </w:r>
          </w:p>
        </w:tc>
        <w:tc>
          <w:tcPr>
            <w:tcW w:w="5921" w:type="dxa"/>
            <w:gridSpan w:val="3"/>
            <w:shd w:val="clear" w:color="auto" w:fill="auto"/>
            <w:noWrap/>
            <w:vAlign w:val="bottom"/>
            <w:hideMark/>
          </w:tcPr>
          <w:p w14:paraId="0D12ED36"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Application of AASB 1059</w:t>
            </w:r>
          </w:p>
        </w:tc>
      </w:tr>
      <w:tr w:rsidR="003E5BF5" w:rsidRPr="00D63A80" w14:paraId="267A734A" w14:textId="77777777" w:rsidTr="007E5315">
        <w:trPr>
          <w:trHeight w:val="340"/>
          <w:jc w:val="right"/>
        </w:trPr>
        <w:tc>
          <w:tcPr>
            <w:tcW w:w="3102" w:type="dxa"/>
            <w:shd w:val="clear" w:color="auto" w:fill="auto"/>
            <w:vAlign w:val="center"/>
            <w:hideMark/>
          </w:tcPr>
          <w:p w14:paraId="16B5087B" w14:textId="77777777" w:rsidR="003E5BF5" w:rsidRPr="00D63A80" w:rsidRDefault="003E5BF5" w:rsidP="00DE1921">
            <w:pPr>
              <w:rPr>
                <w:rFonts w:ascii="Arial" w:hAnsi="Arial" w:cs="Arial"/>
                <w:b/>
                <w:sz w:val="24"/>
                <w:szCs w:val="24"/>
              </w:rPr>
            </w:pPr>
            <w:r w:rsidRPr="00D63A80">
              <w:rPr>
                <w:rFonts w:ascii="Arial" w:hAnsi="Arial" w:cs="Arial"/>
                <w:b/>
                <w:sz w:val="24"/>
                <w:szCs w:val="24"/>
              </w:rPr>
              <w:t>Note</w:t>
            </w:r>
          </w:p>
        </w:tc>
        <w:tc>
          <w:tcPr>
            <w:tcW w:w="2663" w:type="dxa"/>
            <w:shd w:val="clear" w:color="auto" w:fill="auto"/>
            <w:vAlign w:val="center"/>
            <w:hideMark/>
          </w:tcPr>
          <w:p w14:paraId="3A13183F" w14:textId="77777777" w:rsidR="003E5BF5" w:rsidRPr="00D63A80" w:rsidRDefault="003E5BF5" w:rsidP="00DE1921">
            <w:pPr>
              <w:rPr>
                <w:rFonts w:ascii="Arial" w:hAnsi="Arial" w:cs="Arial"/>
                <w:b/>
                <w:sz w:val="24"/>
                <w:szCs w:val="24"/>
              </w:rPr>
            </w:pPr>
            <w:r w:rsidRPr="00D63A80">
              <w:rPr>
                <w:rFonts w:ascii="Arial" w:hAnsi="Arial" w:cs="Arial"/>
                <w:b/>
                <w:sz w:val="24"/>
                <w:szCs w:val="24"/>
              </w:rPr>
              <w:t>Line item</w:t>
            </w:r>
          </w:p>
        </w:tc>
        <w:tc>
          <w:tcPr>
            <w:tcW w:w="961" w:type="dxa"/>
            <w:shd w:val="clear" w:color="auto" w:fill="auto"/>
            <w:vAlign w:val="center"/>
            <w:hideMark/>
          </w:tcPr>
          <w:p w14:paraId="09960042"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 xml:space="preserve">2020 </w:t>
            </w:r>
            <w:r w:rsidRPr="00D63A80">
              <w:rPr>
                <w:rFonts w:ascii="Arial" w:hAnsi="Arial" w:cs="Arial"/>
                <w:b/>
                <w:sz w:val="24"/>
                <w:szCs w:val="24"/>
                <w:vertAlign w:val="superscript"/>
              </w:rPr>
              <w:t>(</w:t>
            </w:r>
            <w:proofErr w:type="spellStart"/>
            <w:r w:rsidRPr="00D63A80">
              <w:rPr>
                <w:rFonts w:ascii="Arial" w:hAnsi="Arial" w:cs="Arial"/>
                <w:b/>
                <w:sz w:val="24"/>
                <w:szCs w:val="24"/>
                <w:vertAlign w:val="superscript"/>
              </w:rPr>
              <w:t>i</w:t>
            </w:r>
            <w:proofErr w:type="spellEnd"/>
            <w:r w:rsidRPr="00D63A80">
              <w:rPr>
                <w:rFonts w:ascii="Arial" w:hAnsi="Arial" w:cs="Arial"/>
                <w:b/>
                <w:sz w:val="24"/>
                <w:szCs w:val="24"/>
                <w:vertAlign w:val="superscript"/>
              </w:rPr>
              <w:t>)</w:t>
            </w:r>
          </w:p>
        </w:tc>
        <w:tc>
          <w:tcPr>
            <w:tcW w:w="961" w:type="dxa"/>
            <w:shd w:val="clear" w:color="auto" w:fill="auto"/>
            <w:vAlign w:val="center"/>
            <w:hideMark/>
          </w:tcPr>
          <w:p w14:paraId="5A948F82"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 xml:space="preserve">2019 </w:t>
            </w:r>
            <w:r w:rsidRPr="00D63A80">
              <w:rPr>
                <w:rFonts w:ascii="Arial" w:hAnsi="Arial" w:cs="Arial"/>
                <w:b/>
                <w:sz w:val="24"/>
                <w:szCs w:val="24"/>
                <w:vertAlign w:val="superscript"/>
              </w:rPr>
              <w:t>(</w:t>
            </w:r>
            <w:proofErr w:type="spellStart"/>
            <w:r w:rsidRPr="00D63A80">
              <w:rPr>
                <w:rFonts w:ascii="Arial" w:hAnsi="Arial" w:cs="Arial"/>
                <w:b/>
                <w:sz w:val="24"/>
                <w:szCs w:val="24"/>
                <w:vertAlign w:val="superscript"/>
              </w:rPr>
              <w:t>i</w:t>
            </w:r>
            <w:proofErr w:type="spellEnd"/>
            <w:r w:rsidRPr="00D63A80">
              <w:rPr>
                <w:rFonts w:ascii="Arial" w:hAnsi="Arial" w:cs="Arial"/>
                <w:b/>
                <w:sz w:val="24"/>
                <w:szCs w:val="24"/>
                <w:vertAlign w:val="superscript"/>
              </w:rPr>
              <w:t>)</w:t>
            </w:r>
          </w:p>
        </w:tc>
        <w:tc>
          <w:tcPr>
            <w:tcW w:w="3403" w:type="dxa"/>
            <w:shd w:val="clear" w:color="auto" w:fill="auto"/>
            <w:vAlign w:val="center"/>
            <w:hideMark/>
          </w:tcPr>
          <w:p w14:paraId="10525C86" w14:textId="77777777" w:rsidR="003E5BF5" w:rsidRPr="00D63A80" w:rsidRDefault="003E5BF5" w:rsidP="00DE1921">
            <w:pPr>
              <w:rPr>
                <w:rFonts w:ascii="Arial" w:hAnsi="Arial" w:cs="Arial"/>
                <w:b/>
                <w:sz w:val="24"/>
                <w:szCs w:val="24"/>
              </w:rPr>
            </w:pPr>
            <w:r w:rsidRPr="00D63A80">
              <w:rPr>
                <w:rFonts w:ascii="Arial" w:hAnsi="Arial" w:cs="Arial"/>
                <w:b/>
                <w:sz w:val="24"/>
                <w:szCs w:val="24"/>
              </w:rPr>
              <w:t>Line item</w:t>
            </w:r>
          </w:p>
        </w:tc>
        <w:tc>
          <w:tcPr>
            <w:tcW w:w="1259" w:type="dxa"/>
            <w:shd w:val="clear" w:color="auto" w:fill="auto"/>
            <w:vAlign w:val="center"/>
            <w:hideMark/>
          </w:tcPr>
          <w:p w14:paraId="42B4428B"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2020</w:t>
            </w:r>
          </w:p>
        </w:tc>
        <w:tc>
          <w:tcPr>
            <w:tcW w:w="1259" w:type="dxa"/>
            <w:shd w:val="clear" w:color="auto" w:fill="auto"/>
            <w:vAlign w:val="center"/>
            <w:hideMark/>
          </w:tcPr>
          <w:p w14:paraId="18699B60"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 xml:space="preserve">2019 </w:t>
            </w:r>
            <w:r w:rsidRPr="00D63A80">
              <w:rPr>
                <w:rFonts w:ascii="Arial" w:hAnsi="Arial" w:cs="Arial"/>
                <w:b/>
                <w:sz w:val="24"/>
                <w:szCs w:val="24"/>
                <w:vertAlign w:val="superscript"/>
              </w:rPr>
              <w:t>(</w:t>
            </w:r>
            <w:proofErr w:type="spellStart"/>
            <w:r w:rsidRPr="00D63A80">
              <w:rPr>
                <w:rFonts w:ascii="Arial" w:hAnsi="Arial" w:cs="Arial"/>
                <w:b/>
                <w:sz w:val="24"/>
                <w:szCs w:val="24"/>
                <w:vertAlign w:val="superscript"/>
              </w:rPr>
              <w:t>i</w:t>
            </w:r>
            <w:proofErr w:type="spellEnd"/>
            <w:r w:rsidRPr="00D63A80">
              <w:rPr>
                <w:rFonts w:ascii="Arial" w:hAnsi="Arial" w:cs="Arial"/>
                <w:b/>
                <w:sz w:val="24"/>
                <w:szCs w:val="24"/>
                <w:vertAlign w:val="superscript"/>
              </w:rPr>
              <w:t>)</w:t>
            </w:r>
          </w:p>
        </w:tc>
      </w:tr>
      <w:tr w:rsidR="003E5BF5" w:rsidRPr="00D63A80" w14:paraId="3C51686C" w14:textId="77777777" w:rsidTr="007E5315">
        <w:trPr>
          <w:trHeight w:val="340"/>
          <w:jc w:val="right"/>
        </w:trPr>
        <w:tc>
          <w:tcPr>
            <w:tcW w:w="3102" w:type="dxa"/>
            <w:shd w:val="clear" w:color="auto" w:fill="auto"/>
            <w:vAlign w:val="center"/>
            <w:hideMark/>
          </w:tcPr>
          <w:p w14:paraId="42A5A750" w14:textId="77777777" w:rsidR="003E5BF5" w:rsidRPr="00D63A80" w:rsidRDefault="003E5BF5" w:rsidP="00DE1921">
            <w:pPr>
              <w:rPr>
                <w:rFonts w:ascii="Arial" w:hAnsi="Arial" w:cs="Arial"/>
                <w:sz w:val="24"/>
                <w:szCs w:val="24"/>
              </w:rPr>
            </w:pPr>
            <w:r w:rsidRPr="00D63A80">
              <w:rPr>
                <w:rFonts w:ascii="Arial" w:hAnsi="Arial" w:cs="Arial"/>
                <w:sz w:val="24"/>
                <w:szCs w:val="24"/>
              </w:rPr>
              <w:t>Note 5.1 Property, plant and equipment</w:t>
            </w:r>
          </w:p>
        </w:tc>
        <w:tc>
          <w:tcPr>
            <w:tcW w:w="2663" w:type="dxa"/>
            <w:shd w:val="clear" w:color="auto" w:fill="auto"/>
            <w:hideMark/>
          </w:tcPr>
          <w:p w14:paraId="68108233"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961" w:type="dxa"/>
            <w:shd w:val="clear" w:color="auto" w:fill="auto"/>
            <w:noWrap/>
            <w:hideMark/>
          </w:tcPr>
          <w:p w14:paraId="5C5FCC12"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w:t>
            </w:r>
          </w:p>
        </w:tc>
        <w:tc>
          <w:tcPr>
            <w:tcW w:w="961" w:type="dxa"/>
            <w:shd w:val="clear" w:color="auto" w:fill="auto"/>
            <w:noWrap/>
            <w:hideMark/>
          </w:tcPr>
          <w:p w14:paraId="6224BDCE"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w:t>
            </w:r>
          </w:p>
        </w:tc>
        <w:tc>
          <w:tcPr>
            <w:tcW w:w="3403" w:type="dxa"/>
            <w:shd w:val="clear" w:color="auto" w:fill="auto"/>
            <w:hideMark/>
          </w:tcPr>
          <w:p w14:paraId="36927DEC" w14:textId="77777777" w:rsidR="003E5BF5" w:rsidRPr="00D63A80" w:rsidRDefault="003E5BF5" w:rsidP="00DE1921">
            <w:pPr>
              <w:rPr>
                <w:rFonts w:ascii="Arial" w:hAnsi="Arial" w:cs="Arial"/>
                <w:sz w:val="24"/>
                <w:szCs w:val="24"/>
              </w:rPr>
            </w:pPr>
            <w:r w:rsidRPr="00D63A80">
              <w:rPr>
                <w:rFonts w:ascii="Arial" w:hAnsi="Arial" w:cs="Arial"/>
                <w:sz w:val="24"/>
                <w:szCs w:val="24"/>
              </w:rPr>
              <w:t>Service concession asset</w:t>
            </w:r>
          </w:p>
        </w:tc>
        <w:tc>
          <w:tcPr>
            <w:tcW w:w="1259" w:type="dxa"/>
            <w:shd w:val="clear" w:color="auto" w:fill="auto"/>
            <w:noWrap/>
            <w:hideMark/>
          </w:tcPr>
          <w:p w14:paraId="2CF5AAC4"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115,960</w:t>
            </w:r>
          </w:p>
        </w:tc>
        <w:tc>
          <w:tcPr>
            <w:tcW w:w="1259" w:type="dxa"/>
            <w:shd w:val="clear" w:color="auto" w:fill="auto"/>
            <w:noWrap/>
            <w:hideMark/>
          </w:tcPr>
          <w:p w14:paraId="67A4E77C"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129,970 </w:t>
            </w:r>
          </w:p>
        </w:tc>
      </w:tr>
      <w:tr w:rsidR="003E5BF5" w:rsidRPr="00D63A80" w14:paraId="345CF8F7" w14:textId="77777777" w:rsidTr="007E5315">
        <w:trPr>
          <w:trHeight w:val="340"/>
          <w:jc w:val="right"/>
        </w:trPr>
        <w:tc>
          <w:tcPr>
            <w:tcW w:w="3102" w:type="dxa"/>
            <w:shd w:val="clear" w:color="auto" w:fill="auto"/>
            <w:vAlign w:val="center"/>
            <w:hideMark/>
          </w:tcPr>
          <w:p w14:paraId="1A1FD20D" w14:textId="77777777" w:rsidR="003E5BF5" w:rsidRPr="00D63A80" w:rsidRDefault="003E5BF5" w:rsidP="00DE1921">
            <w:pPr>
              <w:rPr>
                <w:rFonts w:ascii="Arial" w:hAnsi="Arial" w:cs="Arial"/>
                <w:sz w:val="24"/>
                <w:szCs w:val="24"/>
              </w:rPr>
            </w:pPr>
            <w:r w:rsidRPr="00D63A80">
              <w:rPr>
                <w:rFonts w:ascii="Arial" w:hAnsi="Arial" w:cs="Arial"/>
                <w:sz w:val="24"/>
                <w:szCs w:val="24"/>
              </w:rPr>
              <w:t>Note 7.1 Borrowings</w:t>
            </w:r>
          </w:p>
        </w:tc>
        <w:tc>
          <w:tcPr>
            <w:tcW w:w="2663" w:type="dxa"/>
            <w:shd w:val="clear" w:color="auto" w:fill="auto"/>
            <w:vAlign w:val="center"/>
            <w:hideMark/>
          </w:tcPr>
          <w:p w14:paraId="51C9F5E4"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961" w:type="dxa"/>
            <w:shd w:val="clear" w:color="auto" w:fill="auto"/>
            <w:noWrap/>
            <w:vAlign w:val="center"/>
            <w:hideMark/>
          </w:tcPr>
          <w:p w14:paraId="4BEB1C5F"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w:t>
            </w:r>
          </w:p>
        </w:tc>
        <w:tc>
          <w:tcPr>
            <w:tcW w:w="961" w:type="dxa"/>
            <w:shd w:val="clear" w:color="auto" w:fill="auto"/>
            <w:noWrap/>
            <w:vAlign w:val="center"/>
            <w:hideMark/>
          </w:tcPr>
          <w:p w14:paraId="15AC3B9C"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w:t>
            </w:r>
          </w:p>
        </w:tc>
        <w:tc>
          <w:tcPr>
            <w:tcW w:w="3403" w:type="dxa"/>
            <w:shd w:val="clear" w:color="auto" w:fill="auto"/>
            <w:vAlign w:val="center"/>
            <w:hideMark/>
          </w:tcPr>
          <w:p w14:paraId="0B779403" w14:textId="77777777" w:rsidR="003E5BF5" w:rsidRPr="00D63A80" w:rsidRDefault="003E5BF5" w:rsidP="00DE1921">
            <w:pPr>
              <w:rPr>
                <w:rFonts w:ascii="Arial" w:hAnsi="Arial" w:cs="Arial"/>
                <w:sz w:val="24"/>
                <w:szCs w:val="24"/>
              </w:rPr>
            </w:pPr>
            <w:r w:rsidRPr="00D63A80">
              <w:rPr>
                <w:rFonts w:ascii="Arial" w:hAnsi="Arial" w:cs="Arial"/>
                <w:sz w:val="24"/>
                <w:szCs w:val="24"/>
              </w:rPr>
              <w:t>Service concession financial liability</w:t>
            </w:r>
          </w:p>
        </w:tc>
        <w:tc>
          <w:tcPr>
            <w:tcW w:w="1259" w:type="dxa"/>
            <w:shd w:val="clear" w:color="auto" w:fill="auto"/>
            <w:noWrap/>
            <w:vAlign w:val="center"/>
            <w:hideMark/>
          </w:tcPr>
          <w:p w14:paraId="0575DD62"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125,396</w:t>
            </w:r>
          </w:p>
        </w:tc>
        <w:tc>
          <w:tcPr>
            <w:tcW w:w="1259" w:type="dxa"/>
            <w:shd w:val="clear" w:color="auto" w:fill="auto"/>
            <w:noWrap/>
            <w:hideMark/>
          </w:tcPr>
          <w:p w14:paraId="15BAA51D"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131,002 </w:t>
            </w:r>
          </w:p>
        </w:tc>
      </w:tr>
      <w:tr w:rsidR="003E5BF5" w:rsidRPr="00D63A80" w14:paraId="5071D58A" w14:textId="77777777" w:rsidTr="007E5315">
        <w:trPr>
          <w:trHeight w:val="340"/>
          <w:jc w:val="right"/>
        </w:trPr>
        <w:tc>
          <w:tcPr>
            <w:tcW w:w="3102" w:type="dxa"/>
            <w:shd w:val="clear" w:color="auto" w:fill="auto"/>
            <w:vAlign w:val="center"/>
            <w:hideMark/>
          </w:tcPr>
          <w:p w14:paraId="6DC7F4BE" w14:textId="77777777" w:rsidR="003E5BF5" w:rsidRPr="00D63A80" w:rsidRDefault="003E5BF5" w:rsidP="00DE1921">
            <w:pPr>
              <w:rPr>
                <w:rFonts w:ascii="Arial" w:hAnsi="Arial" w:cs="Arial"/>
                <w:sz w:val="24"/>
                <w:szCs w:val="24"/>
              </w:rPr>
            </w:pPr>
            <w:r w:rsidRPr="00D63A80">
              <w:rPr>
                <w:rFonts w:ascii="Arial" w:hAnsi="Arial" w:cs="Arial"/>
                <w:sz w:val="24"/>
                <w:szCs w:val="24"/>
              </w:rPr>
              <w:t>Note 5.1.5 Depreciation</w:t>
            </w:r>
          </w:p>
        </w:tc>
        <w:tc>
          <w:tcPr>
            <w:tcW w:w="2663" w:type="dxa"/>
            <w:shd w:val="clear" w:color="auto" w:fill="auto"/>
            <w:vAlign w:val="center"/>
            <w:hideMark/>
          </w:tcPr>
          <w:p w14:paraId="2B051523"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961" w:type="dxa"/>
            <w:shd w:val="clear" w:color="auto" w:fill="auto"/>
            <w:noWrap/>
            <w:vAlign w:val="center"/>
            <w:hideMark/>
          </w:tcPr>
          <w:p w14:paraId="7D0899C8"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w:t>
            </w:r>
          </w:p>
        </w:tc>
        <w:tc>
          <w:tcPr>
            <w:tcW w:w="961" w:type="dxa"/>
            <w:shd w:val="clear" w:color="auto" w:fill="auto"/>
            <w:noWrap/>
            <w:vAlign w:val="center"/>
            <w:hideMark/>
          </w:tcPr>
          <w:p w14:paraId="4E008517"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w:t>
            </w:r>
          </w:p>
        </w:tc>
        <w:tc>
          <w:tcPr>
            <w:tcW w:w="3403" w:type="dxa"/>
            <w:shd w:val="clear" w:color="auto" w:fill="auto"/>
            <w:vAlign w:val="center"/>
            <w:hideMark/>
          </w:tcPr>
          <w:p w14:paraId="04FEB1E1" w14:textId="77777777" w:rsidR="003E5BF5" w:rsidRPr="00D63A80" w:rsidRDefault="003E5BF5" w:rsidP="00DE1921">
            <w:pPr>
              <w:rPr>
                <w:rFonts w:ascii="Arial" w:hAnsi="Arial" w:cs="Arial"/>
                <w:sz w:val="24"/>
                <w:szCs w:val="24"/>
              </w:rPr>
            </w:pPr>
            <w:r w:rsidRPr="00D63A80">
              <w:rPr>
                <w:rFonts w:ascii="Arial" w:hAnsi="Arial" w:cs="Arial"/>
                <w:sz w:val="24"/>
                <w:szCs w:val="24"/>
              </w:rPr>
              <w:t>Service concession asset depreciation</w:t>
            </w:r>
          </w:p>
        </w:tc>
        <w:tc>
          <w:tcPr>
            <w:tcW w:w="1259" w:type="dxa"/>
            <w:shd w:val="clear" w:color="auto" w:fill="auto"/>
            <w:noWrap/>
            <w:vAlign w:val="center"/>
            <w:hideMark/>
          </w:tcPr>
          <w:p w14:paraId="39FAB525"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(16,522)</w:t>
            </w:r>
          </w:p>
        </w:tc>
        <w:tc>
          <w:tcPr>
            <w:tcW w:w="1259" w:type="dxa"/>
            <w:shd w:val="clear" w:color="auto" w:fill="auto"/>
            <w:noWrap/>
            <w:hideMark/>
          </w:tcPr>
          <w:p w14:paraId="62040CF4"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(16,514)</w:t>
            </w:r>
          </w:p>
        </w:tc>
      </w:tr>
      <w:tr w:rsidR="003E5BF5" w:rsidRPr="00D63A80" w14:paraId="0BC3CD26" w14:textId="77777777" w:rsidTr="007E5315">
        <w:trPr>
          <w:trHeight w:val="340"/>
          <w:jc w:val="right"/>
        </w:trPr>
        <w:tc>
          <w:tcPr>
            <w:tcW w:w="3102" w:type="dxa"/>
            <w:shd w:val="clear" w:color="auto" w:fill="auto"/>
            <w:hideMark/>
          </w:tcPr>
          <w:p w14:paraId="3A19F45D" w14:textId="77777777" w:rsidR="003E5BF5" w:rsidRPr="00D63A80" w:rsidRDefault="003E5BF5" w:rsidP="00DE1921">
            <w:pPr>
              <w:rPr>
                <w:rFonts w:ascii="Arial" w:hAnsi="Arial" w:cs="Arial"/>
                <w:sz w:val="24"/>
                <w:szCs w:val="24"/>
              </w:rPr>
            </w:pPr>
            <w:r w:rsidRPr="00D63A80">
              <w:rPr>
                <w:rFonts w:ascii="Arial" w:hAnsi="Arial" w:cs="Arial"/>
                <w:sz w:val="24"/>
                <w:szCs w:val="24"/>
              </w:rPr>
              <w:t>Note 7.1 Borrowings: Interest expense</w:t>
            </w:r>
          </w:p>
        </w:tc>
        <w:tc>
          <w:tcPr>
            <w:tcW w:w="2663" w:type="dxa"/>
            <w:shd w:val="clear" w:color="auto" w:fill="auto"/>
            <w:hideMark/>
          </w:tcPr>
          <w:p w14:paraId="10C05679"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961" w:type="dxa"/>
            <w:shd w:val="clear" w:color="auto" w:fill="auto"/>
            <w:noWrap/>
            <w:hideMark/>
          </w:tcPr>
          <w:p w14:paraId="3DC22CC2"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w:t>
            </w:r>
          </w:p>
        </w:tc>
        <w:tc>
          <w:tcPr>
            <w:tcW w:w="961" w:type="dxa"/>
            <w:shd w:val="clear" w:color="auto" w:fill="auto"/>
            <w:noWrap/>
            <w:hideMark/>
          </w:tcPr>
          <w:p w14:paraId="5D3BEF48"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w:t>
            </w:r>
          </w:p>
        </w:tc>
        <w:tc>
          <w:tcPr>
            <w:tcW w:w="3403" w:type="dxa"/>
            <w:shd w:val="clear" w:color="auto" w:fill="auto"/>
            <w:vAlign w:val="center"/>
            <w:hideMark/>
          </w:tcPr>
          <w:p w14:paraId="5F579112" w14:textId="77777777" w:rsidR="003E5BF5" w:rsidRPr="00D63A80" w:rsidRDefault="003E5BF5" w:rsidP="00DE1921">
            <w:pPr>
              <w:rPr>
                <w:rFonts w:ascii="Arial" w:hAnsi="Arial" w:cs="Arial"/>
                <w:sz w:val="24"/>
                <w:szCs w:val="24"/>
              </w:rPr>
            </w:pPr>
            <w:r w:rsidRPr="00D63A80">
              <w:rPr>
                <w:rFonts w:ascii="Arial" w:hAnsi="Arial" w:cs="Arial"/>
                <w:sz w:val="24"/>
                <w:szCs w:val="24"/>
              </w:rPr>
              <w:t>Interest on service concession arrangements</w:t>
            </w:r>
          </w:p>
        </w:tc>
        <w:tc>
          <w:tcPr>
            <w:tcW w:w="1259" w:type="dxa"/>
            <w:shd w:val="clear" w:color="auto" w:fill="auto"/>
            <w:noWrap/>
            <w:hideMark/>
          </w:tcPr>
          <w:p w14:paraId="3D65394E"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(7,026)</w:t>
            </w:r>
          </w:p>
        </w:tc>
        <w:tc>
          <w:tcPr>
            <w:tcW w:w="1259" w:type="dxa"/>
            <w:shd w:val="clear" w:color="auto" w:fill="auto"/>
            <w:noWrap/>
            <w:hideMark/>
          </w:tcPr>
          <w:p w14:paraId="6F543009"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w:t>
            </w:r>
          </w:p>
        </w:tc>
      </w:tr>
      <w:tr w:rsidR="003E5BF5" w:rsidRPr="00D63A80" w14:paraId="72D0136D" w14:textId="77777777" w:rsidTr="007E5315">
        <w:trPr>
          <w:trHeight w:val="340"/>
          <w:jc w:val="right"/>
        </w:trPr>
        <w:tc>
          <w:tcPr>
            <w:tcW w:w="3102" w:type="dxa"/>
            <w:tcBorders>
              <w:bottom w:val="single" w:sz="4" w:space="0" w:color="auto"/>
            </w:tcBorders>
            <w:shd w:val="clear" w:color="auto" w:fill="auto"/>
            <w:vAlign w:val="center"/>
            <w:hideMark/>
          </w:tcPr>
          <w:p w14:paraId="71A1D24A" w14:textId="77777777" w:rsidR="003E5BF5" w:rsidRPr="00D63A80" w:rsidRDefault="003E5BF5" w:rsidP="00DE1921">
            <w:pPr>
              <w:rPr>
                <w:rFonts w:ascii="Arial" w:hAnsi="Arial" w:cs="Arial"/>
                <w:sz w:val="24"/>
                <w:szCs w:val="24"/>
              </w:rPr>
            </w:pPr>
            <w:r w:rsidRPr="00D63A80">
              <w:rPr>
                <w:rFonts w:ascii="Arial" w:hAnsi="Arial" w:cs="Arial"/>
                <w:sz w:val="24"/>
                <w:szCs w:val="24"/>
              </w:rPr>
              <w:t>Note 9.4 Equity</w:t>
            </w:r>
          </w:p>
        </w:tc>
        <w:tc>
          <w:tcPr>
            <w:tcW w:w="2663" w:type="dxa"/>
            <w:tcBorders>
              <w:bottom w:val="single" w:sz="4" w:space="0" w:color="auto"/>
            </w:tcBorders>
            <w:shd w:val="clear" w:color="auto" w:fill="auto"/>
            <w:vAlign w:val="center"/>
            <w:hideMark/>
          </w:tcPr>
          <w:p w14:paraId="680D5685"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961" w:type="dxa"/>
            <w:tcBorders>
              <w:bottom w:val="single" w:sz="4" w:space="0" w:color="auto"/>
            </w:tcBorders>
            <w:shd w:val="clear" w:color="auto" w:fill="auto"/>
            <w:noWrap/>
            <w:vAlign w:val="center"/>
            <w:hideMark/>
          </w:tcPr>
          <w:p w14:paraId="62BD0D0C"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w:t>
            </w:r>
          </w:p>
        </w:tc>
        <w:tc>
          <w:tcPr>
            <w:tcW w:w="961" w:type="dxa"/>
            <w:tcBorders>
              <w:bottom w:val="single" w:sz="4" w:space="0" w:color="auto"/>
            </w:tcBorders>
            <w:shd w:val="clear" w:color="auto" w:fill="auto"/>
            <w:noWrap/>
            <w:vAlign w:val="center"/>
            <w:hideMark/>
          </w:tcPr>
          <w:p w14:paraId="09AA724F"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w:t>
            </w:r>
          </w:p>
        </w:tc>
        <w:tc>
          <w:tcPr>
            <w:tcW w:w="3403" w:type="dxa"/>
            <w:tcBorders>
              <w:bottom w:val="single" w:sz="4" w:space="0" w:color="auto"/>
            </w:tcBorders>
            <w:shd w:val="clear" w:color="auto" w:fill="auto"/>
            <w:vAlign w:val="center"/>
            <w:hideMark/>
          </w:tcPr>
          <w:p w14:paraId="6AEFF838" w14:textId="77777777" w:rsidR="003E5BF5" w:rsidRPr="00D63A80" w:rsidRDefault="003E5BF5" w:rsidP="00DE1921">
            <w:pPr>
              <w:rPr>
                <w:rFonts w:ascii="Arial" w:hAnsi="Arial" w:cs="Arial"/>
                <w:sz w:val="24"/>
                <w:szCs w:val="24"/>
              </w:rPr>
            </w:pPr>
            <w:r w:rsidRPr="00D63A80">
              <w:rPr>
                <w:rFonts w:ascii="Arial" w:hAnsi="Arial" w:cs="Arial"/>
                <w:sz w:val="24"/>
                <w:szCs w:val="24"/>
              </w:rPr>
              <w:t>Physical asset revaluation surplus</w:t>
            </w:r>
          </w:p>
        </w:tc>
        <w:tc>
          <w:tcPr>
            <w:tcW w:w="1259" w:type="dxa"/>
            <w:tcBorders>
              <w:bottom w:val="single" w:sz="4" w:space="0" w:color="auto"/>
            </w:tcBorders>
            <w:shd w:val="clear" w:color="auto" w:fill="auto"/>
            <w:noWrap/>
            <w:vAlign w:val="center"/>
            <w:hideMark/>
          </w:tcPr>
          <w:p w14:paraId="13126D0A"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7,349</w:t>
            </w:r>
          </w:p>
        </w:tc>
        <w:tc>
          <w:tcPr>
            <w:tcW w:w="1259" w:type="dxa"/>
            <w:tcBorders>
              <w:bottom w:val="single" w:sz="4" w:space="0" w:color="auto"/>
            </w:tcBorders>
            <w:shd w:val="clear" w:color="auto" w:fill="auto"/>
            <w:noWrap/>
            <w:vAlign w:val="center"/>
            <w:hideMark/>
          </w:tcPr>
          <w:p w14:paraId="44EDD34D"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w:t>
            </w:r>
          </w:p>
        </w:tc>
      </w:tr>
      <w:tr w:rsidR="003E5BF5" w:rsidRPr="00D63A80" w14:paraId="0B210C25" w14:textId="77777777" w:rsidTr="007E5315">
        <w:trPr>
          <w:trHeight w:val="340"/>
          <w:jc w:val="right"/>
        </w:trPr>
        <w:tc>
          <w:tcPr>
            <w:tcW w:w="3102" w:type="dxa"/>
            <w:tcBorders>
              <w:bottom w:val="single" w:sz="4" w:space="0" w:color="auto"/>
            </w:tcBorders>
            <w:shd w:val="clear" w:color="auto" w:fill="auto"/>
            <w:vAlign w:val="center"/>
            <w:hideMark/>
          </w:tcPr>
          <w:p w14:paraId="3386305D" w14:textId="77777777" w:rsidR="003E5BF5" w:rsidRPr="00D63A80" w:rsidRDefault="003E5BF5" w:rsidP="00DE1921">
            <w:pPr>
              <w:rPr>
                <w:rFonts w:ascii="Arial" w:hAnsi="Arial" w:cs="Arial"/>
                <w:sz w:val="24"/>
                <w:szCs w:val="24"/>
              </w:rPr>
            </w:pPr>
            <w:r w:rsidRPr="00D63A80">
              <w:rPr>
                <w:rFonts w:ascii="Arial" w:hAnsi="Arial" w:cs="Arial"/>
                <w:sz w:val="24"/>
                <w:szCs w:val="24"/>
              </w:rPr>
              <w:t>Note 9.4 Equity</w:t>
            </w:r>
          </w:p>
        </w:tc>
        <w:tc>
          <w:tcPr>
            <w:tcW w:w="2663" w:type="dxa"/>
            <w:tcBorders>
              <w:bottom w:val="single" w:sz="4" w:space="0" w:color="auto"/>
            </w:tcBorders>
            <w:shd w:val="clear" w:color="auto" w:fill="auto"/>
            <w:vAlign w:val="center"/>
            <w:hideMark/>
          </w:tcPr>
          <w:p w14:paraId="3DFA2BB0"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961" w:type="dxa"/>
            <w:tcBorders>
              <w:bottom w:val="single" w:sz="4" w:space="0" w:color="auto"/>
            </w:tcBorders>
            <w:shd w:val="clear" w:color="auto" w:fill="auto"/>
            <w:noWrap/>
            <w:vAlign w:val="center"/>
            <w:hideMark/>
          </w:tcPr>
          <w:p w14:paraId="416AD8DA"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w:t>
            </w:r>
          </w:p>
        </w:tc>
        <w:tc>
          <w:tcPr>
            <w:tcW w:w="961" w:type="dxa"/>
            <w:tcBorders>
              <w:bottom w:val="single" w:sz="4" w:space="0" w:color="auto"/>
            </w:tcBorders>
            <w:shd w:val="clear" w:color="auto" w:fill="auto"/>
            <w:noWrap/>
            <w:vAlign w:val="center"/>
            <w:hideMark/>
          </w:tcPr>
          <w:p w14:paraId="3B0DFBD6"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w:t>
            </w:r>
          </w:p>
        </w:tc>
        <w:tc>
          <w:tcPr>
            <w:tcW w:w="3403" w:type="dxa"/>
            <w:tcBorders>
              <w:bottom w:val="single" w:sz="4" w:space="0" w:color="auto"/>
            </w:tcBorders>
            <w:shd w:val="clear" w:color="auto" w:fill="auto"/>
            <w:vAlign w:val="center"/>
            <w:hideMark/>
          </w:tcPr>
          <w:p w14:paraId="22831603" w14:textId="77777777" w:rsidR="003E5BF5" w:rsidRPr="00D63A80" w:rsidRDefault="003E5BF5" w:rsidP="00DE1921">
            <w:pPr>
              <w:rPr>
                <w:rFonts w:ascii="Arial" w:hAnsi="Arial" w:cs="Arial"/>
                <w:sz w:val="24"/>
                <w:szCs w:val="24"/>
              </w:rPr>
            </w:pPr>
            <w:r w:rsidRPr="00D63A80">
              <w:rPr>
                <w:rFonts w:ascii="Arial" w:hAnsi="Arial" w:cs="Arial"/>
                <w:sz w:val="24"/>
                <w:szCs w:val="24"/>
              </w:rPr>
              <w:t>Accumulated surplus/(deficit)</w:t>
            </w:r>
          </w:p>
        </w:tc>
        <w:tc>
          <w:tcPr>
            <w:tcW w:w="1259" w:type="dxa"/>
            <w:tcBorders>
              <w:bottom w:val="single" w:sz="4" w:space="0" w:color="auto"/>
            </w:tcBorders>
            <w:shd w:val="clear" w:color="auto" w:fill="auto"/>
            <w:noWrap/>
            <w:vAlign w:val="center"/>
            <w:hideMark/>
          </w:tcPr>
          <w:p w14:paraId="19F03FB1"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w:t>
            </w:r>
          </w:p>
        </w:tc>
        <w:tc>
          <w:tcPr>
            <w:tcW w:w="1259" w:type="dxa"/>
            <w:tcBorders>
              <w:bottom w:val="single" w:sz="4" w:space="0" w:color="auto"/>
            </w:tcBorders>
            <w:shd w:val="clear" w:color="auto" w:fill="auto"/>
            <w:noWrap/>
            <w:vAlign w:val="center"/>
            <w:hideMark/>
          </w:tcPr>
          <w:p w14:paraId="30C83188"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(17,546)</w:t>
            </w:r>
          </w:p>
        </w:tc>
      </w:tr>
    </w:tbl>
    <w:p w14:paraId="67E2A7F4" w14:textId="77777777" w:rsidR="000F285B" w:rsidRPr="00D63A80" w:rsidRDefault="000F285B" w:rsidP="000F285B">
      <w:pPr>
        <w:pStyle w:val="Note"/>
        <w:rPr>
          <w:rFonts w:ascii="Arial" w:hAnsi="Arial" w:cs="Arial"/>
          <w:sz w:val="24"/>
          <w:szCs w:val="24"/>
        </w:rPr>
      </w:pPr>
      <w:r w:rsidRPr="00D63A80">
        <w:rPr>
          <w:rFonts w:ascii="Arial" w:hAnsi="Arial" w:cs="Arial"/>
          <w:sz w:val="24"/>
          <w:szCs w:val="24"/>
        </w:rPr>
        <w:t>Note:</w:t>
      </w:r>
    </w:p>
    <w:p w14:paraId="7D522F40" w14:textId="77777777" w:rsidR="000F285B" w:rsidRPr="00D63A80" w:rsidRDefault="000F285B" w:rsidP="00610F5F">
      <w:pPr>
        <w:pStyle w:val="aaaNotenumberiiiiii"/>
        <w:numPr>
          <w:ilvl w:val="0"/>
          <w:numId w:val="111"/>
        </w:numPr>
      </w:pPr>
      <w:r w:rsidRPr="00D63A80">
        <w:t xml:space="preserve">The comparative figures are for illustration purposes only and do not represent information of the department’s 2018-19 Financial Statements or comparatives disclosed in its 2019-20 Financial Statements. </w:t>
      </w:r>
    </w:p>
    <w:p w14:paraId="68A92251" w14:textId="51AB5CF8" w:rsidR="003E5BF5" w:rsidRDefault="003E5BF5" w:rsidP="00A85601">
      <w:pPr>
        <w:pStyle w:val="aaatyping"/>
      </w:pPr>
      <w:r>
        <w:t>The State has the unconditional right to acquire the assets at market value at the end of the contract term.</w:t>
      </w:r>
    </w:p>
    <w:p w14:paraId="3B967277" w14:textId="77777777" w:rsidR="003E5BF5" w:rsidRDefault="003E5BF5" w:rsidP="00A85601">
      <w:pPr>
        <w:pStyle w:val="aaatyping"/>
      </w:pPr>
      <w:r>
        <w:t xml:space="preserve">The operator will be entitled to an extension of 2 years if the State determines at the review date that the operator has satisfied the Flexible Performance Measures, not committed a Non-Compliance Event, and there are no material concerns regarding the operator’s safety record. Where a contract default occurs, the state </w:t>
      </w:r>
      <w:r>
        <w:lastRenderedPageBreak/>
        <w:t>may terminate the contract on written notice given to the operator effective on the date specified in the termination notice.</w:t>
      </w:r>
    </w:p>
    <w:p w14:paraId="15B20E6F" w14:textId="77777777" w:rsidR="003E5BF5" w:rsidRDefault="003E5BF5" w:rsidP="00A85601">
      <w:pPr>
        <w:pStyle w:val="aaatyping"/>
      </w:pPr>
      <w:r>
        <w:t xml:space="preserve">Persons authorised </w:t>
      </w:r>
      <w:r w:rsidRPr="0066795D">
        <w:t>by the State ha</w:t>
      </w:r>
      <w:r>
        <w:t>ve</w:t>
      </w:r>
      <w:r w:rsidRPr="0066795D">
        <w:t xml:space="preserve"> access to the service concession asset for the purpose of valuation, </w:t>
      </w:r>
      <w:r>
        <w:t xml:space="preserve">operation </w:t>
      </w:r>
      <w:r w:rsidRPr="0066795D">
        <w:t xml:space="preserve">and </w:t>
      </w:r>
      <w:r>
        <w:t xml:space="preserve">compliance </w:t>
      </w:r>
      <w:r w:rsidRPr="0066795D">
        <w:t xml:space="preserve">audit. All reasonable steps will be taken to ensure that the inspection is carried out in the manner </w:t>
      </w:r>
      <w:r>
        <w:t xml:space="preserve">that does </w:t>
      </w:r>
      <w:r w:rsidRPr="0066795D">
        <w:t>not cause any unreasonable disruption to the provision of bus operation services</w:t>
      </w:r>
      <w:r>
        <w:t>.</w:t>
      </w:r>
    </w:p>
    <w:p w14:paraId="6AE06B93" w14:textId="77777777" w:rsidR="003E5BF5" w:rsidRDefault="003E5BF5" w:rsidP="00A85601">
      <w:pPr>
        <w:pStyle w:val="aaatyping"/>
        <w:sectPr w:rsidR="003E5BF5" w:rsidSect="00DE1921">
          <w:pgSz w:w="16838" w:h="11906" w:orient="landscape"/>
          <w:pgMar w:top="1418" w:right="1701" w:bottom="1418" w:left="1418" w:header="709" w:footer="709" w:gutter="0"/>
          <w:cols w:space="708"/>
          <w:docGrid w:linePitch="360"/>
        </w:sectPr>
      </w:pPr>
      <w:r w:rsidRPr="001C7632">
        <w:t>There were no changes to the arrangements during the reporting period.</w:t>
      </w:r>
      <w:bookmarkStart w:id="510" w:name="RANGE!A5:L19"/>
      <w:bookmarkEnd w:id="510"/>
    </w:p>
    <w:p w14:paraId="3E8BC988" w14:textId="77777777" w:rsidR="003E5BF5" w:rsidRPr="00081911" w:rsidRDefault="003E5BF5" w:rsidP="00610F5F">
      <w:pPr>
        <w:pStyle w:val="Heading5"/>
        <w:numPr>
          <w:ilvl w:val="3"/>
          <w:numId w:val="21"/>
        </w:numPr>
        <w:rPr>
          <w:sz w:val="20"/>
          <w:szCs w:val="24"/>
        </w:rPr>
      </w:pPr>
      <w:r w:rsidRPr="00081911">
        <w:lastRenderedPageBreak/>
        <w:t>High Capacity Metro Trains Project – Financial liability model</w:t>
      </w:r>
      <w:r w:rsidRPr="00081911">
        <w:rPr>
          <w:sz w:val="20"/>
          <w:szCs w:val="24"/>
        </w:rPr>
        <w:t xml:space="preserve"> </w:t>
      </w:r>
    </w:p>
    <w:p w14:paraId="13BF4C3D" w14:textId="77777777" w:rsidR="003E5BF5" w:rsidRDefault="003E5BF5" w:rsidP="00A85601">
      <w:pPr>
        <w:pStyle w:val="aaatyping"/>
      </w:pPr>
      <w:r>
        <w:t>In November 2016, the State entered into a project agreement with Evolution Rail Consortium comprising of Downer Rail, CRRC and Plenary to deliver the High Capacity Metro Trains (HCMT) Project under a PPP financial liability model. Under the contract, the Evolution Rail consortium will design, build, commission and finance a fleet of 65 high capacity trains, a depot at Pakenham East (including a train maintenance facility (TMF) and a stabling yard), a light service facility (LSF) at Calder Park and two simulators. Evolution Rail will also be responsible for the maintenance of the fleet, and the maintenance and operation of the TMF, the LSF and the simulators, over the maintenance phase of the contract for a period of 30 years, until 2053.</w:t>
      </w:r>
    </w:p>
    <w:p w14:paraId="2CDC6DDE" w14:textId="77777777" w:rsidR="003E5BF5" w:rsidRDefault="003E5BF5" w:rsidP="00A85601">
      <w:pPr>
        <w:pStyle w:val="aaatyping"/>
      </w:pPr>
      <w:r>
        <w:t xml:space="preserve">The State will pay for the construction costs over the contract term through partial service payments (PSPs), State Contributions (SCs) and full quarterly service payments (QSPs): </w:t>
      </w:r>
    </w:p>
    <w:p w14:paraId="1F6FAFD9" w14:textId="77777777" w:rsidR="003E5BF5" w:rsidRPr="001429C9" w:rsidRDefault="003E5BF5" w:rsidP="00A85601">
      <w:pPr>
        <w:pStyle w:val="aaabullet"/>
      </w:pPr>
      <w:r w:rsidRPr="001429C9">
        <w:t xml:space="preserve">The PSPs are in relation to HCMTs only and represents pro-rata payments to Project Co during the phased delivery of the HCMTs, as and when a train comes into service. The payment commences from the 5th HCMT to enter service and is applicable until commencement of the QSP at the date of provisional acceptance of all 65 HCMT sets. </w:t>
      </w:r>
    </w:p>
    <w:p w14:paraId="1AB9D547" w14:textId="77777777" w:rsidR="003E5BF5" w:rsidRPr="001429C9" w:rsidRDefault="003E5BF5" w:rsidP="00A85601">
      <w:pPr>
        <w:pStyle w:val="aaabullet"/>
      </w:pPr>
      <w:r w:rsidRPr="001429C9">
        <w:t>The SCs are made on the achievement of the relevant milestones; SC initial fleet (37th HCMT), SC provisional acceptance of the project (65th HCMT), SC final acceptance of the final fleet (approx. 6 months after the provisional acceptance of the project).</w:t>
      </w:r>
    </w:p>
    <w:p w14:paraId="6637B62B" w14:textId="77777777" w:rsidR="003E5BF5" w:rsidRPr="001429C9" w:rsidRDefault="003E5BF5" w:rsidP="00A85601">
      <w:pPr>
        <w:pStyle w:val="aaabullet"/>
      </w:pPr>
      <w:r w:rsidRPr="001429C9">
        <w:lastRenderedPageBreak/>
        <w:t>The QSPs are sized in a manner so as to compensate the consortium’s fixed debt and equity repayments over the term of the project, maintenance costs and other associated operating costs. QSPs are payable when all assets subject to the arrangement are available for use up until contract expiry.</w:t>
      </w:r>
    </w:p>
    <w:p w14:paraId="0254845D" w14:textId="77777777" w:rsidR="003E5BF5" w:rsidRDefault="003E5BF5" w:rsidP="00A85601">
      <w:pPr>
        <w:pStyle w:val="aaatyping"/>
      </w:pPr>
      <w:r>
        <w:t xml:space="preserve">The State has control over what services will be provided with the project assets during the operational phase of the arrangement, and as a result, the consortium will be responsible for the maintenance of the HCMTs, maintenance and operation of the TMF and LSF. These functions are critical to the provision of public services as the asset performance and safety is directly dependent on the maintenance. Furthermore, the consortium is responsible for the scheduling of the maintenance of HCMTs in order to meet the required availability and best maintenance practices at its own discretion. </w:t>
      </w:r>
    </w:p>
    <w:p w14:paraId="7F66971C" w14:textId="77777777" w:rsidR="003E5BF5" w:rsidRDefault="003E5BF5" w:rsidP="00A85601">
      <w:pPr>
        <w:pStyle w:val="aaatyping"/>
      </w:pPr>
      <w:r>
        <w:t xml:space="preserve">The arrangement was not recognised under previous accounting standards and therefore the department’s 2018-19 Financial Statements did not include these amounts. However, in compliance with the standard, the comparatives adjusted under the full retrospective approach. </w:t>
      </w:r>
    </w:p>
    <w:p w14:paraId="1DBFF746" w14:textId="77777777" w:rsidR="003E5BF5" w:rsidRDefault="003E5BF5">
      <w:r>
        <w:br w:type="page"/>
      </w:r>
    </w:p>
    <w:p w14:paraId="687E0AC6" w14:textId="77777777" w:rsidR="003E5BF5" w:rsidRPr="008945DC" w:rsidRDefault="003E5BF5" w:rsidP="00B953B2">
      <w:pPr>
        <w:pStyle w:val="aaatyping"/>
      </w:pPr>
      <w:r>
        <w:lastRenderedPageBreak/>
        <w:t>A summary of the arrangement is included below:</w:t>
      </w:r>
      <w:bookmarkStart w:id="511" w:name="RANGE!A6:I14"/>
      <w:bookmarkEnd w:id="511"/>
    </w:p>
    <w:tbl>
      <w:tblPr>
        <w:tblStyle w:val="TableGrid"/>
        <w:tblW w:w="13608" w:type="dxa"/>
        <w:jc w:val="center"/>
        <w:tblCellMar>
          <w:left w:w="28" w:type="dxa"/>
          <w:right w:w="28" w:type="dxa"/>
        </w:tblCellMar>
        <w:tblLook w:val="04A0" w:firstRow="1" w:lastRow="0" w:firstColumn="1" w:lastColumn="0" w:noHBand="0" w:noVBand="1"/>
      </w:tblPr>
      <w:tblGrid>
        <w:gridCol w:w="2805"/>
        <w:gridCol w:w="1677"/>
        <w:gridCol w:w="1035"/>
        <w:gridCol w:w="1035"/>
        <w:gridCol w:w="1035"/>
        <w:gridCol w:w="3086"/>
        <w:gridCol w:w="978"/>
        <w:gridCol w:w="978"/>
        <w:gridCol w:w="979"/>
      </w:tblGrid>
      <w:tr w:rsidR="003E5BF5" w:rsidRPr="00D63A80" w14:paraId="5FF92AAB" w14:textId="77777777" w:rsidTr="007E5315">
        <w:trPr>
          <w:trHeight w:val="340"/>
          <w:jc w:val="center"/>
        </w:trPr>
        <w:tc>
          <w:tcPr>
            <w:tcW w:w="2805" w:type="dxa"/>
            <w:shd w:val="clear" w:color="auto" w:fill="auto"/>
            <w:hideMark/>
          </w:tcPr>
          <w:p w14:paraId="46703FAC" w14:textId="77777777" w:rsidR="003E5BF5" w:rsidRPr="00D63A80" w:rsidRDefault="003E5BF5" w:rsidP="00DE1921">
            <w:pPr>
              <w:rPr>
                <w:rFonts w:ascii="Arial" w:hAnsi="Arial" w:cs="Arial"/>
                <w:sz w:val="24"/>
                <w:szCs w:val="24"/>
              </w:rPr>
            </w:pPr>
          </w:p>
        </w:tc>
        <w:tc>
          <w:tcPr>
            <w:tcW w:w="10803" w:type="dxa"/>
            <w:gridSpan w:val="8"/>
            <w:shd w:val="clear" w:color="auto" w:fill="auto"/>
            <w:vAlign w:val="center"/>
            <w:hideMark/>
          </w:tcPr>
          <w:p w14:paraId="5B4778FB"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 thousand)</w:t>
            </w:r>
          </w:p>
        </w:tc>
      </w:tr>
      <w:tr w:rsidR="003E5BF5" w:rsidRPr="00D63A80" w14:paraId="34B8D1B0" w14:textId="77777777" w:rsidTr="007E5315">
        <w:trPr>
          <w:trHeight w:val="340"/>
          <w:jc w:val="center"/>
        </w:trPr>
        <w:tc>
          <w:tcPr>
            <w:tcW w:w="2805" w:type="dxa"/>
            <w:shd w:val="clear" w:color="auto" w:fill="auto"/>
            <w:hideMark/>
          </w:tcPr>
          <w:p w14:paraId="74E6DB21" w14:textId="77777777" w:rsidR="003E5BF5" w:rsidRPr="00D63A80" w:rsidRDefault="003E5BF5" w:rsidP="00DE1921">
            <w:pPr>
              <w:rPr>
                <w:rFonts w:ascii="Arial" w:hAnsi="Arial" w:cs="Arial"/>
                <w:sz w:val="24"/>
                <w:szCs w:val="24"/>
              </w:rPr>
            </w:pPr>
          </w:p>
        </w:tc>
        <w:tc>
          <w:tcPr>
            <w:tcW w:w="10803" w:type="dxa"/>
            <w:gridSpan w:val="8"/>
            <w:shd w:val="clear" w:color="auto" w:fill="auto"/>
            <w:vAlign w:val="center"/>
            <w:hideMark/>
          </w:tcPr>
          <w:p w14:paraId="5771683D"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High Capacity Metro Trains Project</w:t>
            </w:r>
          </w:p>
        </w:tc>
      </w:tr>
      <w:tr w:rsidR="003E5BF5" w:rsidRPr="00D63A80" w14:paraId="4CDB3243" w14:textId="77777777" w:rsidTr="007E5315">
        <w:trPr>
          <w:trHeight w:val="340"/>
          <w:jc w:val="center"/>
        </w:trPr>
        <w:tc>
          <w:tcPr>
            <w:tcW w:w="2805" w:type="dxa"/>
            <w:shd w:val="clear" w:color="auto" w:fill="auto"/>
            <w:hideMark/>
          </w:tcPr>
          <w:p w14:paraId="31512B80" w14:textId="77777777" w:rsidR="003E5BF5" w:rsidRPr="00D63A80" w:rsidRDefault="003E5BF5" w:rsidP="00DE1921">
            <w:pPr>
              <w:rPr>
                <w:rFonts w:ascii="Arial" w:hAnsi="Arial" w:cs="Arial"/>
                <w:b/>
                <w:sz w:val="24"/>
                <w:szCs w:val="24"/>
              </w:rPr>
            </w:pPr>
          </w:p>
        </w:tc>
        <w:tc>
          <w:tcPr>
            <w:tcW w:w="4782" w:type="dxa"/>
            <w:gridSpan w:val="4"/>
            <w:shd w:val="clear" w:color="auto" w:fill="auto"/>
            <w:noWrap/>
            <w:vAlign w:val="center"/>
            <w:hideMark/>
          </w:tcPr>
          <w:p w14:paraId="11FE89D2"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Pre-AASB 1059 accounting</w:t>
            </w:r>
          </w:p>
        </w:tc>
        <w:tc>
          <w:tcPr>
            <w:tcW w:w="6021" w:type="dxa"/>
            <w:gridSpan w:val="4"/>
            <w:shd w:val="clear" w:color="auto" w:fill="auto"/>
            <w:noWrap/>
            <w:vAlign w:val="center"/>
            <w:hideMark/>
          </w:tcPr>
          <w:p w14:paraId="6CF9F93B"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Application of AASB 1059</w:t>
            </w:r>
            <w:r w:rsidRPr="00D63A80">
              <w:rPr>
                <w:rFonts w:ascii="Arial" w:hAnsi="Arial" w:cs="Arial"/>
                <w:b/>
                <w:sz w:val="24"/>
                <w:szCs w:val="24"/>
                <w:vertAlign w:val="superscript"/>
              </w:rPr>
              <w:t xml:space="preserve"> (</w:t>
            </w:r>
            <w:proofErr w:type="spellStart"/>
            <w:r w:rsidRPr="00D63A80">
              <w:rPr>
                <w:rFonts w:ascii="Arial" w:hAnsi="Arial" w:cs="Arial"/>
                <w:b/>
                <w:sz w:val="24"/>
                <w:szCs w:val="24"/>
                <w:vertAlign w:val="superscript"/>
              </w:rPr>
              <w:t>i</w:t>
            </w:r>
            <w:proofErr w:type="spellEnd"/>
            <w:r w:rsidRPr="00D63A80">
              <w:rPr>
                <w:rFonts w:ascii="Arial" w:hAnsi="Arial" w:cs="Arial"/>
                <w:b/>
                <w:sz w:val="24"/>
                <w:szCs w:val="24"/>
                <w:vertAlign w:val="superscript"/>
              </w:rPr>
              <w:t>)</w:t>
            </w:r>
          </w:p>
        </w:tc>
      </w:tr>
      <w:tr w:rsidR="003E5BF5" w:rsidRPr="00D63A80" w14:paraId="4F5DDD14" w14:textId="77777777" w:rsidTr="007E5315">
        <w:trPr>
          <w:trHeight w:val="340"/>
          <w:jc w:val="center"/>
        </w:trPr>
        <w:tc>
          <w:tcPr>
            <w:tcW w:w="2805" w:type="dxa"/>
            <w:shd w:val="clear" w:color="auto" w:fill="auto"/>
            <w:vAlign w:val="center"/>
            <w:hideMark/>
          </w:tcPr>
          <w:p w14:paraId="1024087D" w14:textId="77777777" w:rsidR="003E5BF5" w:rsidRPr="00D63A80" w:rsidRDefault="003E5BF5" w:rsidP="00DE1921">
            <w:pPr>
              <w:rPr>
                <w:rFonts w:ascii="Arial" w:hAnsi="Arial" w:cs="Arial"/>
                <w:b/>
                <w:sz w:val="24"/>
                <w:szCs w:val="24"/>
              </w:rPr>
            </w:pPr>
            <w:r w:rsidRPr="00D63A80">
              <w:rPr>
                <w:rFonts w:ascii="Arial" w:hAnsi="Arial" w:cs="Arial"/>
                <w:b/>
                <w:sz w:val="24"/>
                <w:szCs w:val="24"/>
              </w:rPr>
              <w:t>Note</w:t>
            </w:r>
          </w:p>
        </w:tc>
        <w:tc>
          <w:tcPr>
            <w:tcW w:w="1677" w:type="dxa"/>
            <w:shd w:val="clear" w:color="auto" w:fill="auto"/>
            <w:vAlign w:val="center"/>
            <w:hideMark/>
          </w:tcPr>
          <w:p w14:paraId="51665636" w14:textId="77777777" w:rsidR="003E5BF5" w:rsidRPr="00D63A80" w:rsidRDefault="003E5BF5" w:rsidP="00DE1921">
            <w:pPr>
              <w:rPr>
                <w:rFonts w:ascii="Arial" w:hAnsi="Arial" w:cs="Arial"/>
                <w:b/>
                <w:sz w:val="24"/>
                <w:szCs w:val="24"/>
              </w:rPr>
            </w:pPr>
            <w:r w:rsidRPr="00D63A80">
              <w:rPr>
                <w:rFonts w:ascii="Arial" w:hAnsi="Arial" w:cs="Arial"/>
                <w:b/>
                <w:sz w:val="24"/>
                <w:szCs w:val="24"/>
              </w:rPr>
              <w:t>Line item</w:t>
            </w:r>
          </w:p>
        </w:tc>
        <w:tc>
          <w:tcPr>
            <w:tcW w:w="1035" w:type="dxa"/>
            <w:shd w:val="clear" w:color="auto" w:fill="auto"/>
            <w:vAlign w:val="center"/>
            <w:hideMark/>
          </w:tcPr>
          <w:p w14:paraId="5E06354D"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2020</w:t>
            </w:r>
          </w:p>
        </w:tc>
        <w:tc>
          <w:tcPr>
            <w:tcW w:w="1035" w:type="dxa"/>
            <w:shd w:val="clear" w:color="auto" w:fill="auto"/>
            <w:vAlign w:val="center"/>
            <w:hideMark/>
          </w:tcPr>
          <w:p w14:paraId="2F37A317"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2019</w:t>
            </w:r>
          </w:p>
        </w:tc>
        <w:tc>
          <w:tcPr>
            <w:tcW w:w="1035" w:type="dxa"/>
            <w:shd w:val="clear" w:color="auto" w:fill="auto"/>
            <w:vAlign w:val="center"/>
            <w:hideMark/>
          </w:tcPr>
          <w:p w14:paraId="04787436"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 xml:space="preserve">2018 </w:t>
            </w:r>
          </w:p>
        </w:tc>
        <w:tc>
          <w:tcPr>
            <w:tcW w:w="3086" w:type="dxa"/>
            <w:shd w:val="clear" w:color="auto" w:fill="auto"/>
            <w:hideMark/>
          </w:tcPr>
          <w:p w14:paraId="1C0F00B4" w14:textId="77777777" w:rsidR="003E5BF5" w:rsidRPr="00D63A80" w:rsidRDefault="003E5BF5" w:rsidP="00DE1921">
            <w:pPr>
              <w:rPr>
                <w:rFonts w:ascii="Arial" w:hAnsi="Arial" w:cs="Arial"/>
                <w:b/>
                <w:sz w:val="24"/>
                <w:szCs w:val="24"/>
              </w:rPr>
            </w:pPr>
            <w:r w:rsidRPr="00D63A80">
              <w:rPr>
                <w:rFonts w:ascii="Arial" w:hAnsi="Arial" w:cs="Arial"/>
                <w:b/>
                <w:sz w:val="24"/>
                <w:szCs w:val="24"/>
              </w:rPr>
              <w:t>Line item</w:t>
            </w:r>
          </w:p>
        </w:tc>
        <w:tc>
          <w:tcPr>
            <w:tcW w:w="978" w:type="dxa"/>
            <w:shd w:val="clear" w:color="auto" w:fill="auto"/>
            <w:vAlign w:val="center"/>
            <w:hideMark/>
          </w:tcPr>
          <w:p w14:paraId="069ABF01"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2020</w:t>
            </w:r>
          </w:p>
        </w:tc>
        <w:tc>
          <w:tcPr>
            <w:tcW w:w="978" w:type="dxa"/>
            <w:shd w:val="clear" w:color="auto" w:fill="auto"/>
            <w:vAlign w:val="center"/>
            <w:hideMark/>
          </w:tcPr>
          <w:p w14:paraId="799E3305"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2019</w:t>
            </w:r>
          </w:p>
        </w:tc>
        <w:tc>
          <w:tcPr>
            <w:tcW w:w="979" w:type="dxa"/>
            <w:shd w:val="clear" w:color="auto" w:fill="auto"/>
            <w:vAlign w:val="center"/>
            <w:hideMark/>
          </w:tcPr>
          <w:p w14:paraId="451846B8"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 xml:space="preserve">2018 </w:t>
            </w:r>
          </w:p>
        </w:tc>
      </w:tr>
      <w:tr w:rsidR="003E5BF5" w:rsidRPr="00D63A80" w14:paraId="580939CF" w14:textId="77777777" w:rsidTr="007E5315">
        <w:trPr>
          <w:trHeight w:val="340"/>
          <w:jc w:val="center"/>
        </w:trPr>
        <w:tc>
          <w:tcPr>
            <w:tcW w:w="2805" w:type="dxa"/>
            <w:shd w:val="clear" w:color="auto" w:fill="auto"/>
            <w:vAlign w:val="center"/>
            <w:hideMark/>
          </w:tcPr>
          <w:p w14:paraId="5EF7391B" w14:textId="77777777" w:rsidR="003E5BF5" w:rsidRPr="00D63A80" w:rsidRDefault="003E5BF5" w:rsidP="00DE1921">
            <w:pPr>
              <w:rPr>
                <w:rFonts w:ascii="Arial" w:hAnsi="Arial" w:cs="Arial"/>
                <w:sz w:val="24"/>
                <w:szCs w:val="24"/>
              </w:rPr>
            </w:pPr>
            <w:r w:rsidRPr="00D63A80">
              <w:rPr>
                <w:rFonts w:ascii="Arial" w:hAnsi="Arial" w:cs="Arial"/>
                <w:sz w:val="24"/>
                <w:szCs w:val="24"/>
              </w:rPr>
              <w:t>Note 5.1 Property, plant and equipment</w:t>
            </w:r>
          </w:p>
        </w:tc>
        <w:tc>
          <w:tcPr>
            <w:tcW w:w="1677" w:type="dxa"/>
            <w:shd w:val="clear" w:color="auto" w:fill="auto"/>
            <w:hideMark/>
          </w:tcPr>
          <w:p w14:paraId="4D56AFC7"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1035" w:type="dxa"/>
            <w:shd w:val="clear" w:color="auto" w:fill="auto"/>
            <w:noWrap/>
            <w:hideMark/>
          </w:tcPr>
          <w:p w14:paraId="11A23F83"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1035" w:type="dxa"/>
            <w:shd w:val="clear" w:color="auto" w:fill="auto"/>
            <w:noWrap/>
            <w:hideMark/>
          </w:tcPr>
          <w:p w14:paraId="186B2C61"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1035" w:type="dxa"/>
            <w:shd w:val="clear" w:color="auto" w:fill="auto"/>
            <w:noWrap/>
            <w:hideMark/>
          </w:tcPr>
          <w:p w14:paraId="62924A05"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3086" w:type="dxa"/>
            <w:shd w:val="clear" w:color="auto" w:fill="auto"/>
            <w:hideMark/>
          </w:tcPr>
          <w:p w14:paraId="212E9848" w14:textId="77777777" w:rsidR="003E5BF5" w:rsidRPr="00D63A80" w:rsidRDefault="003E5BF5" w:rsidP="00DE1921">
            <w:pPr>
              <w:rPr>
                <w:rFonts w:ascii="Arial" w:hAnsi="Arial" w:cs="Arial"/>
                <w:sz w:val="24"/>
                <w:szCs w:val="24"/>
              </w:rPr>
            </w:pPr>
            <w:r w:rsidRPr="00D63A80">
              <w:rPr>
                <w:rFonts w:ascii="Arial" w:hAnsi="Arial" w:cs="Arial"/>
                <w:sz w:val="24"/>
                <w:szCs w:val="24"/>
              </w:rPr>
              <w:t>Service concession asset</w:t>
            </w:r>
          </w:p>
        </w:tc>
        <w:tc>
          <w:tcPr>
            <w:tcW w:w="978" w:type="dxa"/>
            <w:shd w:val="clear" w:color="auto" w:fill="auto"/>
            <w:noWrap/>
            <w:hideMark/>
          </w:tcPr>
          <w:p w14:paraId="1394BC4E"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514,791 </w:t>
            </w:r>
          </w:p>
        </w:tc>
        <w:tc>
          <w:tcPr>
            <w:tcW w:w="978" w:type="dxa"/>
            <w:shd w:val="clear" w:color="auto" w:fill="auto"/>
            <w:noWrap/>
            <w:hideMark/>
          </w:tcPr>
          <w:p w14:paraId="4C08AE03"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286,890 </w:t>
            </w:r>
          </w:p>
        </w:tc>
        <w:tc>
          <w:tcPr>
            <w:tcW w:w="979" w:type="dxa"/>
            <w:shd w:val="clear" w:color="auto" w:fill="auto"/>
            <w:noWrap/>
            <w:hideMark/>
          </w:tcPr>
          <w:p w14:paraId="04089358"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379,399 </w:t>
            </w:r>
          </w:p>
        </w:tc>
      </w:tr>
      <w:tr w:rsidR="003E5BF5" w:rsidRPr="00D63A80" w14:paraId="436A474F" w14:textId="77777777" w:rsidTr="007E5315">
        <w:trPr>
          <w:trHeight w:val="340"/>
          <w:jc w:val="center"/>
        </w:trPr>
        <w:tc>
          <w:tcPr>
            <w:tcW w:w="2805" w:type="dxa"/>
            <w:shd w:val="clear" w:color="auto" w:fill="auto"/>
            <w:hideMark/>
          </w:tcPr>
          <w:p w14:paraId="74FBA5CB" w14:textId="77777777" w:rsidR="003E5BF5" w:rsidRPr="00D63A80" w:rsidRDefault="003E5BF5" w:rsidP="00DE1921">
            <w:pPr>
              <w:rPr>
                <w:rFonts w:ascii="Arial" w:hAnsi="Arial" w:cs="Arial"/>
                <w:sz w:val="24"/>
                <w:szCs w:val="24"/>
              </w:rPr>
            </w:pPr>
            <w:r w:rsidRPr="00D63A80">
              <w:rPr>
                <w:rFonts w:ascii="Arial" w:hAnsi="Arial" w:cs="Arial"/>
                <w:sz w:val="24"/>
                <w:szCs w:val="24"/>
              </w:rPr>
              <w:t>Note 7.1 Borrowings</w:t>
            </w:r>
          </w:p>
        </w:tc>
        <w:tc>
          <w:tcPr>
            <w:tcW w:w="1677" w:type="dxa"/>
            <w:shd w:val="clear" w:color="auto" w:fill="auto"/>
            <w:hideMark/>
          </w:tcPr>
          <w:p w14:paraId="751456A7" w14:textId="77777777" w:rsidR="003E5BF5" w:rsidRPr="00D63A80" w:rsidRDefault="003E5BF5" w:rsidP="00DE1921">
            <w:pPr>
              <w:rPr>
                <w:rFonts w:ascii="Arial" w:hAnsi="Arial" w:cs="Arial"/>
                <w:sz w:val="24"/>
                <w:szCs w:val="24"/>
              </w:rPr>
            </w:pPr>
            <w:r w:rsidRPr="00D63A80">
              <w:rPr>
                <w:rFonts w:ascii="Arial" w:hAnsi="Arial" w:cs="Arial"/>
                <w:sz w:val="24"/>
                <w:szCs w:val="24"/>
              </w:rPr>
              <w:t>Lease liabilities</w:t>
            </w:r>
          </w:p>
        </w:tc>
        <w:tc>
          <w:tcPr>
            <w:tcW w:w="1035" w:type="dxa"/>
            <w:shd w:val="clear" w:color="auto" w:fill="auto"/>
            <w:noWrap/>
            <w:hideMark/>
          </w:tcPr>
          <w:p w14:paraId="284D32E4"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1035" w:type="dxa"/>
            <w:shd w:val="clear" w:color="auto" w:fill="auto"/>
            <w:noWrap/>
            <w:hideMark/>
          </w:tcPr>
          <w:p w14:paraId="34A60FCC"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275,199 </w:t>
            </w:r>
          </w:p>
        </w:tc>
        <w:tc>
          <w:tcPr>
            <w:tcW w:w="1035" w:type="dxa"/>
            <w:shd w:val="clear" w:color="auto" w:fill="auto"/>
            <w:noWrap/>
            <w:hideMark/>
          </w:tcPr>
          <w:p w14:paraId="61B8DD13"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3086" w:type="dxa"/>
            <w:shd w:val="clear" w:color="auto" w:fill="auto"/>
            <w:vAlign w:val="center"/>
            <w:hideMark/>
          </w:tcPr>
          <w:p w14:paraId="0C060530" w14:textId="77777777" w:rsidR="003E5BF5" w:rsidRPr="00D63A80" w:rsidRDefault="003E5BF5" w:rsidP="00DE1921">
            <w:pPr>
              <w:rPr>
                <w:rFonts w:ascii="Arial" w:hAnsi="Arial" w:cs="Arial"/>
                <w:sz w:val="24"/>
                <w:szCs w:val="24"/>
              </w:rPr>
            </w:pPr>
            <w:r w:rsidRPr="00D63A80">
              <w:rPr>
                <w:rFonts w:ascii="Arial" w:hAnsi="Arial" w:cs="Arial"/>
                <w:sz w:val="24"/>
                <w:szCs w:val="24"/>
              </w:rPr>
              <w:t>Service concession financial liability</w:t>
            </w:r>
          </w:p>
        </w:tc>
        <w:tc>
          <w:tcPr>
            <w:tcW w:w="978" w:type="dxa"/>
            <w:shd w:val="clear" w:color="auto" w:fill="auto"/>
            <w:noWrap/>
            <w:hideMark/>
          </w:tcPr>
          <w:p w14:paraId="5E01A966"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745,201 </w:t>
            </w:r>
          </w:p>
        </w:tc>
        <w:tc>
          <w:tcPr>
            <w:tcW w:w="978" w:type="dxa"/>
            <w:shd w:val="clear" w:color="auto" w:fill="auto"/>
            <w:noWrap/>
            <w:hideMark/>
          </w:tcPr>
          <w:p w14:paraId="00CC9948"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571,683 </w:t>
            </w:r>
          </w:p>
        </w:tc>
        <w:tc>
          <w:tcPr>
            <w:tcW w:w="979" w:type="dxa"/>
            <w:shd w:val="clear" w:color="auto" w:fill="auto"/>
            <w:noWrap/>
            <w:hideMark/>
          </w:tcPr>
          <w:p w14:paraId="44210FDC"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379,399 </w:t>
            </w:r>
          </w:p>
        </w:tc>
      </w:tr>
      <w:tr w:rsidR="003E5BF5" w:rsidRPr="00D63A80" w14:paraId="398A5EEB" w14:textId="77777777" w:rsidTr="007E5315">
        <w:trPr>
          <w:trHeight w:val="340"/>
          <w:jc w:val="center"/>
        </w:trPr>
        <w:tc>
          <w:tcPr>
            <w:tcW w:w="2805" w:type="dxa"/>
            <w:shd w:val="clear" w:color="auto" w:fill="auto"/>
            <w:vAlign w:val="center"/>
            <w:hideMark/>
          </w:tcPr>
          <w:p w14:paraId="5F3E8594" w14:textId="77777777" w:rsidR="003E5BF5" w:rsidRPr="00D63A80" w:rsidRDefault="003E5BF5" w:rsidP="00DE1921">
            <w:pPr>
              <w:rPr>
                <w:rFonts w:ascii="Arial" w:hAnsi="Arial" w:cs="Arial"/>
                <w:sz w:val="24"/>
                <w:szCs w:val="24"/>
              </w:rPr>
            </w:pPr>
            <w:r w:rsidRPr="00D63A80">
              <w:rPr>
                <w:rFonts w:ascii="Arial" w:hAnsi="Arial" w:cs="Arial"/>
                <w:sz w:val="24"/>
                <w:szCs w:val="24"/>
              </w:rPr>
              <w:t>Note 7.1 Borrowings: Interest expense</w:t>
            </w:r>
          </w:p>
        </w:tc>
        <w:tc>
          <w:tcPr>
            <w:tcW w:w="1677" w:type="dxa"/>
            <w:shd w:val="clear" w:color="auto" w:fill="auto"/>
            <w:hideMark/>
          </w:tcPr>
          <w:p w14:paraId="7C975D79"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1035" w:type="dxa"/>
            <w:shd w:val="clear" w:color="auto" w:fill="auto"/>
            <w:noWrap/>
            <w:hideMark/>
          </w:tcPr>
          <w:p w14:paraId="55E9DB93"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1035" w:type="dxa"/>
            <w:shd w:val="clear" w:color="auto" w:fill="auto"/>
            <w:noWrap/>
            <w:hideMark/>
          </w:tcPr>
          <w:p w14:paraId="0799708B"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1035" w:type="dxa"/>
            <w:shd w:val="clear" w:color="auto" w:fill="auto"/>
            <w:noWrap/>
            <w:hideMark/>
          </w:tcPr>
          <w:p w14:paraId="247F4BAE"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3086" w:type="dxa"/>
            <w:shd w:val="clear" w:color="auto" w:fill="auto"/>
            <w:vAlign w:val="center"/>
            <w:hideMark/>
          </w:tcPr>
          <w:p w14:paraId="42871B1E" w14:textId="77777777" w:rsidR="003E5BF5" w:rsidRPr="00D63A80" w:rsidRDefault="003E5BF5" w:rsidP="00DE1921">
            <w:pPr>
              <w:rPr>
                <w:rFonts w:ascii="Arial" w:hAnsi="Arial" w:cs="Arial"/>
                <w:sz w:val="24"/>
                <w:szCs w:val="24"/>
              </w:rPr>
            </w:pPr>
            <w:r w:rsidRPr="00D63A80">
              <w:rPr>
                <w:rFonts w:ascii="Arial" w:hAnsi="Arial" w:cs="Arial"/>
                <w:sz w:val="24"/>
                <w:szCs w:val="24"/>
              </w:rPr>
              <w:t>Interest on service concession arrangements</w:t>
            </w:r>
          </w:p>
        </w:tc>
        <w:tc>
          <w:tcPr>
            <w:tcW w:w="978" w:type="dxa"/>
            <w:shd w:val="clear" w:color="auto" w:fill="auto"/>
            <w:noWrap/>
            <w:hideMark/>
          </w:tcPr>
          <w:p w14:paraId="54281D9F"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(20,209)</w:t>
            </w:r>
          </w:p>
        </w:tc>
        <w:tc>
          <w:tcPr>
            <w:tcW w:w="978" w:type="dxa"/>
            <w:shd w:val="clear" w:color="auto" w:fill="auto"/>
            <w:noWrap/>
            <w:hideMark/>
          </w:tcPr>
          <w:p w14:paraId="220540CB"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(24,264)</w:t>
            </w:r>
          </w:p>
        </w:tc>
        <w:tc>
          <w:tcPr>
            <w:tcW w:w="979" w:type="dxa"/>
            <w:shd w:val="clear" w:color="auto" w:fill="auto"/>
            <w:noWrap/>
            <w:hideMark/>
          </w:tcPr>
          <w:p w14:paraId="3E937207"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r>
      <w:tr w:rsidR="003E5BF5" w:rsidRPr="00D63A80" w14:paraId="3DC4BC39" w14:textId="77777777" w:rsidTr="007E5315">
        <w:trPr>
          <w:trHeight w:val="340"/>
          <w:jc w:val="center"/>
        </w:trPr>
        <w:tc>
          <w:tcPr>
            <w:tcW w:w="2805" w:type="dxa"/>
            <w:tcBorders>
              <w:bottom w:val="single" w:sz="4" w:space="0" w:color="auto"/>
            </w:tcBorders>
            <w:shd w:val="clear" w:color="auto" w:fill="auto"/>
            <w:vAlign w:val="center"/>
            <w:hideMark/>
          </w:tcPr>
          <w:p w14:paraId="0C683830" w14:textId="77777777" w:rsidR="003E5BF5" w:rsidRPr="00D63A80" w:rsidRDefault="003E5BF5" w:rsidP="00DE1921">
            <w:pPr>
              <w:rPr>
                <w:rFonts w:ascii="Arial" w:hAnsi="Arial" w:cs="Arial"/>
                <w:sz w:val="24"/>
                <w:szCs w:val="24"/>
              </w:rPr>
            </w:pPr>
            <w:r w:rsidRPr="00D63A80">
              <w:rPr>
                <w:rFonts w:ascii="Arial" w:hAnsi="Arial" w:cs="Arial"/>
                <w:sz w:val="24"/>
                <w:szCs w:val="24"/>
              </w:rPr>
              <w:t>Note 9.4 Equity</w:t>
            </w:r>
          </w:p>
        </w:tc>
        <w:tc>
          <w:tcPr>
            <w:tcW w:w="1677" w:type="dxa"/>
            <w:tcBorders>
              <w:bottom w:val="single" w:sz="4" w:space="0" w:color="auto"/>
            </w:tcBorders>
            <w:shd w:val="clear" w:color="auto" w:fill="auto"/>
            <w:vAlign w:val="center"/>
            <w:hideMark/>
          </w:tcPr>
          <w:p w14:paraId="1540429C"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1035" w:type="dxa"/>
            <w:tcBorders>
              <w:bottom w:val="single" w:sz="4" w:space="0" w:color="auto"/>
            </w:tcBorders>
            <w:shd w:val="clear" w:color="auto" w:fill="auto"/>
            <w:noWrap/>
            <w:vAlign w:val="center"/>
            <w:hideMark/>
          </w:tcPr>
          <w:p w14:paraId="5D4824D9"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1035" w:type="dxa"/>
            <w:tcBorders>
              <w:bottom w:val="single" w:sz="4" w:space="0" w:color="auto"/>
            </w:tcBorders>
            <w:shd w:val="clear" w:color="auto" w:fill="auto"/>
            <w:noWrap/>
            <w:vAlign w:val="center"/>
            <w:hideMark/>
          </w:tcPr>
          <w:p w14:paraId="33BA924B"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1035" w:type="dxa"/>
            <w:tcBorders>
              <w:bottom w:val="single" w:sz="4" w:space="0" w:color="auto"/>
            </w:tcBorders>
            <w:shd w:val="clear" w:color="auto" w:fill="auto"/>
            <w:noWrap/>
            <w:vAlign w:val="center"/>
            <w:hideMark/>
          </w:tcPr>
          <w:p w14:paraId="178B0B95"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3086" w:type="dxa"/>
            <w:tcBorders>
              <w:bottom w:val="single" w:sz="4" w:space="0" w:color="auto"/>
            </w:tcBorders>
            <w:shd w:val="clear" w:color="auto" w:fill="auto"/>
            <w:vAlign w:val="center"/>
            <w:hideMark/>
          </w:tcPr>
          <w:p w14:paraId="4C481FC8" w14:textId="77777777" w:rsidR="003E5BF5" w:rsidRPr="00D63A80" w:rsidRDefault="003E5BF5" w:rsidP="00DE1921">
            <w:pPr>
              <w:rPr>
                <w:rFonts w:ascii="Arial" w:hAnsi="Arial" w:cs="Arial"/>
                <w:sz w:val="24"/>
                <w:szCs w:val="24"/>
              </w:rPr>
            </w:pPr>
            <w:r w:rsidRPr="00D63A80">
              <w:rPr>
                <w:rFonts w:ascii="Arial" w:hAnsi="Arial" w:cs="Arial"/>
                <w:sz w:val="24"/>
                <w:szCs w:val="24"/>
              </w:rPr>
              <w:t>Physical asset revaluation surplus</w:t>
            </w:r>
          </w:p>
        </w:tc>
        <w:tc>
          <w:tcPr>
            <w:tcW w:w="978" w:type="dxa"/>
            <w:tcBorders>
              <w:bottom w:val="single" w:sz="4" w:space="0" w:color="auto"/>
            </w:tcBorders>
            <w:shd w:val="clear" w:color="auto" w:fill="auto"/>
            <w:noWrap/>
            <w:vAlign w:val="center"/>
            <w:hideMark/>
          </w:tcPr>
          <w:p w14:paraId="05F80E88"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44,474 </w:t>
            </w:r>
          </w:p>
        </w:tc>
        <w:tc>
          <w:tcPr>
            <w:tcW w:w="978" w:type="dxa"/>
            <w:tcBorders>
              <w:bottom w:val="single" w:sz="4" w:space="0" w:color="auto"/>
            </w:tcBorders>
            <w:shd w:val="clear" w:color="auto" w:fill="auto"/>
            <w:noWrap/>
            <w:vAlign w:val="center"/>
            <w:hideMark/>
          </w:tcPr>
          <w:p w14:paraId="185226D7"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24,264 </w:t>
            </w:r>
          </w:p>
        </w:tc>
        <w:tc>
          <w:tcPr>
            <w:tcW w:w="979" w:type="dxa"/>
            <w:tcBorders>
              <w:bottom w:val="single" w:sz="4" w:space="0" w:color="auto"/>
            </w:tcBorders>
            <w:shd w:val="clear" w:color="auto" w:fill="auto"/>
            <w:noWrap/>
            <w:vAlign w:val="center"/>
            <w:hideMark/>
          </w:tcPr>
          <w:p w14:paraId="22A8B8C2"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r>
      <w:tr w:rsidR="003E5BF5" w:rsidRPr="00D63A80" w14:paraId="4DBDE785" w14:textId="77777777" w:rsidTr="007E5315">
        <w:trPr>
          <w:trHeight w:val="340"/>
          <w:jc w:val="center"/>
        </w:trPr>
        <w:tc>
          <w:tcPr>
            <w:tcW w:w="2805" w:type="dxa"/>
            <w:tcBorders>
              <w:bottom w:val="single" w:sz="4" w:space="0" w:color="auto"/>
            </w:tcBorders>
            <w:shd w:val="clear" w:color="auto" w:fill="auto"/>
            <w:vAlign w:val="center"/>
            <w:hideMark/>
          </w:tcPr>
          <w:p w14:paraId="3F75B711" w14:textId="77777777" w:rsidR="003E5BF5" w:rsidRPr="00D63A80" w:rsidRDefault="003E5BF5" w:rsidP="00DE1921">
            <w:pPr>
              <w:rPr>
                <w:rFonts w:ascii="Arial" w:hAnsi="Arial" w:cs="Arial"/>
                <w:sz w:val="24"/>
                <w:szCs w:val="24"/>
              </w:rPr>
            </w:pPr>
            <w:r w:rsidRPr="00D63A80">
              <w:rPr>
                <w:rFonts w:ascii="Arial" w:hAnsi="Arial" w:cs="Arial"/>
                <w:sz w:val="24"/>
                <w:szCs w:val="24"/>
              </w:rPr>
              <w:t>Note 9.4 Equity</w:t>
            </w:r>
          </w:p>
        </w:tc>
        <w:tc>
          <w:tcPr>
            <w:tcW w:w="1677" w:type="dxa"/>
            <w:tcBorders>
              <w:bottom w:val="single" w:sz="4" w:space="0" w:color="auto"/>
            </w:tcBorders>
            <w:shd w:val="clear" w:color="auto" w:fill="auto"/>
            <w:vAlign w:val="center"/>
            <w:hideMark/>
          </w:tcPr>
          <w:p w14:paraId="21FCD148"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1035" w:type="dxa"/>
            <w:tcBorders>
              <w:bottom w:val="single" w:sz="4" w:space="0" w:color="auto"/>
            </w:tcBorders>
            <w:shd w:val="clear" w:color="auto" w:fill="auto"/>
            <w:noWrap/>
            <w:vAlign w:val="center"/>
            <w:hideMark/>
          </w:tcPr>
          <w:p w14:paraId="7AF58348"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1035" w:type="dxa"/>
            <w:tcBorders>
              <w:bottom w:val="single" w:sz="4" w:space="0" w:color="auto"/>
            </w:tcBorders>
            <w:shd w:val="clear" w:color="auto" w:fill="auto"/>
            <w:noWrap/>
            <w:vAlign w:val="center"/>
            <w:hideMark/>
          </w:tcPr>
          <w:p w14:paraId="37BA4FFA"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1035" w:type="dxa"/>
            <w:tcBorders>
              <w:bottom w:val="single" w:sz="4" w:space="0" w:color="auto"/>
            </w:tcBorders>
            <w:shd w:val="clear" w:color="auto" w:fill="auto"/>
            <w:noWrap/>
            <w:vAlign w:val="center"/>
            <w:hideMark/>
          </w:tcPr>
          <w:p w14:paraId="019AF62D"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3086" w:type="dxa"/>
            <w:tcBorders>
              <w:bottom w:val="single" w:sz="4" w:space="0" w:color="auto"/>
            </w:tcBorders>
            <w:shd w:val="clear" w:color="auto" w:fill="auto"/>
            <w:vAlign w:val="center"/>
            <w:hideMark/>
          </w:tcPr>
          <w:p w14:paraId="30E2D359" w14:textId="77777777" w:rsidR="003E5BF5" w:rsidRPr="00D63A80" w:rsidRDefault="003E5BF5" w:rsidP="00DE1921">
            <w:pPr>
              <w:rPr>
                <w:rFonts w:ascii="Arial" w:hAnsi="Arial" w:cs="Arial"/>
                <w:sz w:val="24"/>
                <w:szCs w:val="24"/>
              </w:rPr>
            </w:pPr>
            <w:r w:rsidRPr="00D63A80">
              <w:rPr>
                <w:rFonts w:ascii="Arial" w:hAnsi="Arial" w:cs="Arial"/>
                <w:sz w:val="24"/>
                <w:szCs w:val="24"/>
              </w:rPr>
              <w:t>Accumulated surplus/(deficit)</w:t>
            </w:r>
          </w:p>
        </w:tc>
        <w:tc>
          <w:tcPr>
            <w:tcW w:w="978" w:type="dxa"/>
            <w:tcBorders>
              <w:bottom w:val="single" w:sz="4" w:space="0" w:color="auto"/>
            </w:tcBorders>
            <w:shd w:val="clear" w:color="auto" w:fill="auto"/>
            <w:noWrap/>
            <w:vAlign w:val="center"/>
            <w:hideMark/>
          </w:tcPr>
          <w:p w14:paraId="08D2BD40"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(24,264)</w:t>
            </w:r>
          </w:p>
        </w:tc>
        <w:tc>
          <w:tcPr>
            <w:tcW w:w="978" w:type="dxa"/>
            <w:tcBorders>
              <w:bottom w:val="single" w:sz="4" w:space="0" w:color="auto"/>
            </w:tcBorders>
            <w:shd w:val="clear" w:color="auto" w:fill="auto"/>
            <w:noWrap/>
            <w:vAlign w:val="center"/>
            <w:hideMark/>
          </w:tcPr>
          <w:p w14:paraId="17B2FCE8"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979" w:type="dxa"/>
            <w:tcBorders>
              <w:bottom w:val="single" w:sz="4" w:space="0" w:color="auto"/>
            </w:tcBorders>
            <w:shd w:val="clear" w:color="auto" w:fill="auto"/>
            <w:noWrap/>
            <w:vAlign w:val="center"/>
            <w:hideMark/>
          </w:tcPr>
          <w:p w14:paraId="489D1866"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r>
    </w:tbl>
    <w:p w14:paraId="4F7997EC" w14:textId="77777777" w:rsidR="000F285B" w:rsidRPr="00D63A80" w:rsidRDefault="000F285B" w:rsidP="000F285B">
      <w:pPr>
        <w:pStyle w:val="Note"/>
        <w:rPr>
          <w:rFonts w:ascii="Arial" w:hAnsi="Arial" w:cs="Arial"/>
          <w:sz w:val="24"/>
          <w:szCs w:val="24"/>
        </w:rPr>
      </w:pPr>
      <w:r w:rsidRPr="00D63A80">
        <w:rPr>
          <w:rFonts w:ascii="Arial" w:hAnsi="Arial" w:cs="Arial"/>
          <w:sz w:val="24"/>
          <w:szCs w:val="24"/>
        </w:rPr>
        <w:t>Note:</w:t>
      </w:r>
    </w:p>
    <w:p w14:paraId="06C61520" w14:textId="77777777" w:rsidR="000F285B" w:rsidRPr="00D63A80" w:rsidRDefault="000F285B" w:rsidP="00610F5F">
      <w:pPr>
        <w:pStyle w:val="aaaNotenumberiiiiii"/>
        <w:numPr>
          <w:ilvl w:val="0"/>
          <w:numId w:val="112"/>
        </w:numPr>
      </w:pPr>
      <w:r w:rsidRPr="00D63A80">
        <w:t xml:space="preserve"> The commitments relating to this SCA arrangement is disclosed in Note 7.5.2 Public Private Partnership (PPP) commitments.</w:t>
      </w:r>
    </w:p>
    <w:p w14:paraId="5384650F" w14:textId="77777777" w:rsidR="003E5BF5" w:rsidRDefault="003E5BF5" w:rsidP="00A85601">
      <w:pPr>
        <w:pStyle w:val="aaatyping"/>
      </w:pPr>
      <w:r>
        <w:t>Once the stabling yard has been constructed by the consortium, it will be returned to the State with no ongoing maintenance obligations for the consortium upon achievement of provisional acceptance of the depot. The arrangement between the State and consortium covering the returned rail assets is not considered a service concession arrangement. The maintained rail assets (HCMTs, the TMF and the LSF) will be handed back to the State at the end of the concession period as the State retains residual interest in the infrastructure assets at the end of the project term.</w:t>
      </w:r>
      <w:r w:rsidRPr="00050F3F">
        <w:t xml:space="preserve"> </w:t>
      </w:r>
    </w:p>
    <w:p w14:paraId="1925D12F" w14:textId="77777777" w:rsidR="003E5BF5" w:rsidRDefault="003E5BF5" w:rsidP="00A85601">
      <w:pPr>
        <w:pStyle w:val="aaatyping"/>
      </w:pPr>
      <w:r>
        <w:lastRenderedPageBreak/>
        <w:t>The contract does not include any options to extend or renew the services. The contract may be terminated in certain circumstances.</w:t>
      </w:r>
    </w:p>
    <w:p w14:paraId="5AD6BEA8" w14:textId="77777777" w:rsidR="003E5BF5" w:rsidRDefault="003E5BF5" w:rsidP="00A85601">
      <w:pPr>
        <w:pStyle w:val="aaatyping"/>
      </w:pPr>
      <w:r>
        <w:t xml:space="preserve">Evolution Rail must comply with the annual works plan which details scheduled servicing, maintenance, refurbishment and replacement of assets during the concession period which must be consistent with the asset replacement and refurbishment program in terms of nature, scope and scale. </w:t>
      </w:r>
    </w:p>
    <w:p w14:paraId="7B5D10EA" w14:textId="77777777" w:rsidR="003E5BF5" w:rsidRDefault="003E5BF5" w:rsidP="00A85601">
      <w:pPr>
        <w:pStyle w:val="aaatyping"/>
      </w:pPr>
      <w:r>
        <w:t>Evolution Rail will be provided with appropriate access to the asset in order to fulfil its obligations.</w:t>
      </w:r>
    </w:p>
    <w:p w14:paraId="3C5ED1B3" w14:textId="77777777" w:rsidR="003E5BF5" w:rsidRDefault="003E5BF5" w:rsidP="00A85601">
      <w:pPr>
        <w:pStyle w:val="aaatyping"/>
      </w:pPr>
      <w:r>
        <w:t>There were no changes to the arrangements during the reporting period.</w:t>
      </w:r>
    </w:p>
    <w:p w14:paraId="1C9FA110" w14:textId="77777777" w:rsidR="003E5BF5" w:rsidRDefault="003E5BF5">
      <w:r>
        <w:br w:type="page"/>
      </w:r>
    </w:p>
    <w:p w14:paraId="32F29EE8" w14:textId="77777777" w:rsidR="003E5BF5" w:rsidRPr="00081911" w:rsidRDefault="003E5BF5" w:rsidP="00610F5F">
      <w:pPr>
        <w:pStyle w:val="Heading5"/>
        <w:numPr>
          <w:ilvl w:val="3"/>
          <w:numId w:val="21"/>
        </w:numPr>
      </w:pPr>
      <w:r w:rsidRPr="00081911">
        <w:lastRenderedPageBreak/>
        <w:t>West Gate Tunnel Project – Hybrid model (GORTO and Financial liability models)</w:t>
      </w:r>
    </w:p>
    <w:p w14:paraId="20C6F7AF" w14:textId="77777777" w:rsidR="003E5BF5" w:rsidRDefault="003E5BF5" w:rsidP="00E24CFF">
      <w:pPr>
        <w:pStyle w:val="aaatyping"/>
      </w:pPr>
      <w:r>
        <w:t>On 11 December 2017, the State entered into a PPP contract with Transurban (Project Co) to deliver the West Gate Tunnel Project under a hybrid arrangement (a combination of grant of a right to the operator and State Contribution). Transurban are responsible for the design, construction, financing, operation and maintenance of the West Gate Tunnel Project over a 28 year period to January 2045.</w:t>
      </w:r>
    </w:p>
    <w:p w14:paraId="0C18C068" w14:textId="77777777" w:rsidR="003E5BF5" w:rsidRDefault="003E5BF5" w:rsidP="00E24CFF">
      <w:pPr>
        <w:pStyle w:val="aaatyping"/>
      </w:pPr>
      <w:r>
        <w:t xml:space="preserve">The project will be funded through a combination of State Contribution, tolls imposed on users of the West Gate Tunnel (until 2045), adjustments to various </w:t>
      </w:r>
      <w:proofErr w:type="spellStart"/>
      <w:r>
        <w:t>CityLink</w:t>
      </w:r>
      <w:proofErr w:type="spellEnd"/>
      <w:r>
        <w:t xml:space="preserve"> tolls during the remaining term of Transurban’s existing </w:t>
      </w:r>
      <w:proofErr w:type="spellStart"/>
      <w:r>
        <w:t>CityLink</w:t>
      </w:r>
      <w:proofErr w:type="spellEnd"/>
      <w:r>
        <w:t xml:space="preserve"> Concession (to 2035), and a 10-year extension of the </w:t>
      </w:r>
      <w:proofErr w:type="spellStart"/>
      <w:r>
        <w:t>CityLink</w:t>
      </w:r>
      <w:proofErr w:type="spellEnd"/>
      <w:r>
        <w:t xml:space="preserve"> Concession (from 2035 to 2045).</w:t>
      </w:r>
    </w:p>
    <w:p w14:paraId="2C9A025D" w14:textId="77777777" w:rsidR="003E5BF5" w:rsidRDefault="003E5BF5" w:rsidP="00E24CFF">
      <w:pPr>
        <w:pStyle w:val="aaatyping"/>
      </w:pPr>
      <w:r>
        <w:t>The State has contract for Project Co to design, construct, operate, toll and maintain the West Gate Tunnel assets for public use.</w:t>
      </w:r>
    </w:p>
    <w:p w14:paraId="2B59868C" w14:textId="4E732052" w:rsidR="003E5BF5" w:rsidRDefault="003E5BF5" w:rsidP="00E24CFF">
      <w:pPr>
        <w:pStyle w:val="aaatyping"/>
      </w:pPr>
      <w:r>
        <w:t>The arrangement was not recognised under previous accounting standards and therefore the department’s 2018-19 Financial Statements did not include these amounts. However, in compliance with the standard, the comparatives have been adjusted under the full retrospective approach this year. A summary of the arrangement is included below:</w:t>
      </w:r>
      <w:bookmarkStart w:id="512" w:name="RANGE!A19:G29"/>
      <w:bookmarkStart w:id="513" w:name="RANGE!A17:I25"/>
      <w:bookmarkEnd w:id="512"/>
      <w:bookmarkEnd w:id="513"/>
    </w:p>
    <w:p w14:paraId="31ABBFE2" w14:textId="2F908B25" w:rsidR="00EC2350" w:rsidRDefault="00EC2350" w:rsidP="00E24CFF">
      <w:pPr>
        <w:pStyle w:val="aaatyping"/>
      </w:pPr>
      <w:r>
        <w:br w:type="page"/>
      </w:r>
    </w:p>
    <w:tbl>
      <w:tblPr>
        <w:tblStyle w:val="TableGrid"/>
        <w:tblW w:w="13608" w:type="dxa"/>
        <w:tblCellMar>
          <w:left w:w="28" w:type="dxa"/>
          <w:right w:w="28" w:type="dxa"/>
        </w:tblCellMar>
        <w:tblLook w:val="04A0" w:firstRow="1" w:lastRow="0" w:firstColumn="1" w:lastColumn="0" w:noHBand="0" w:noVBand="1"/>
      </w:tblPr>
      <w:tblGrid>
        <w:gridCol w:w="1815"/>
        <w:gridCol w:w="2316"/>
        <w:gridCol w:w="924"/>
        <w:gridCol w:w="924"/>
        <w:gridCol w:w="924"/>
        <w:gridCol w:w="3469"/>
        <w:gridCol w:w="1124"/>
        <w:gridCol w:w="1124"/>
        <w:gridCol w:w="988"/>
      </w:tblGrid>
      <w:tr w:rsidR="003E5BF5" w:rsidRPr="00D63A80" w14:paraId="1B4205A3" w14:textId="77777777" w:rsidTr="000F285B">
        <w:trPr>
          <w:trHeight w:val="340"/>
        </w:trPr>
        <w:tc>
          <w:tcPr>
            <w:tcW w:w="1815" w:type="dxa"/>
            <w:shd w:val="clear" w:color="auto" w:fill="auto"/>
            <w:hideMark/>
          </w:tcPr>
          <w:p w14:paraId="248B7DC1" w14:textId="77777777" w:rsidR="003E5BF5" w:rsidRPr="00D63A80" w:rsidRDefault="003E5BF5" w:rsidP="00DE1921">
            <w:pPr>
              <w:rPr>
                <w:rFonts w:ascii="Arial" w:hAnsi="Arial" w:cs="Arial"/>
                <w:sz w:val="24"/>
                <w:szCs w:val="24"/>
              </w:rPr>
            </w:pPr>
          </w:p>
        </w:tc>
        <w:tc>
          <w:tcPr>
            <w:tcW w:w="11793" w:type="dxa"/>
            <w:gridSpan w:val="8"/>
            <w:shd w:val="clear" w:color="auto" w:fill="auto"/>
            <w:vAlign w:val="center"/>
            <w:hideMark/>
          </w:tcPr>
          <w:p w14:paraId="1664273D"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 thousand)</w:t>
            </w:r>
          </w:p>
        </w:tc>
      </w:tr>
      <w:tr w:rsidR="003E5BF5" w:rsidRPr="00D63A80" w14:paraId="44CC28E5" w14:textId="77777777" w:rsidTr="000F285B">
        <w:trPr>
          <w:trHeight w:val="340"/>
        </w:trPr>
        <w:tc>
          <w:tcPr>
            <w:tcW w:w="1815" w:type="dxa"/>
            <w:shd w:val="clear" w:color="auto" w:fill="auto"/>
            <w:hideMark/>
          </w:tcPr>
          <w:p w14:paraId="4EDEF3B7" w14:textId="77777777" w:rsidR="003E5BF5" w:rsidRPr="00D63A80" w:rsidRDefault="003E5BF5" w:rsidP="00DE1921">
            <w:pPr>
              <w:rPr>
                <w:rFonts w:ascii="Arial" w:hAnsi="Arial" w:cs="Arial"/>
                <w:sz w:val="24"/>
                <w:szCs w:val="24"/>
              </w:rPr>
            </w:pPr>
          </w:p>
        </w:tc>
        <w:tc>
          <w:tcPr>
            <w:tcW w:w="11793" w:type="dxa"/>
            <w:gridSpan w:val="8"/>
            <w:shd w:val="clear" w:color="auto" w:fill="auto"/>
            <w:vAlign w:val="center"/>
            <w:hideMark/>
          </w:tcPr>
          <w:p w14:paraId="5A38817B"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West Gate Tunnel Project</w:t>
            </w:r>
          </w:p>
        </w:tc>
      </w:tr>
      <w:tr w:rsidR="003E5BF5" w:rsidRPr="00D63A80" w14:paraId="1C1DB6B4" w14:textId="77777777" w:rsidTr="000F285B">
        <w:trPr>
          <w:trHeight w:val="340"/>
        </w:trPr>
        <w:tc>
          <w:tcPr>
            <w:tcW w:w="1815" w:type="dxa"/>
            <w:shd w:val="clear" w:color="auto" w:fill="auto"/>
            <w:hideMark/>
          </w:tcPr>
          <w:p w14:paraId="6749B188" w14:textId="77777777" w:rsidR="003E5BF5" w:rsidRPr="00D63A80" w:rsidRDefault="003E5BF5" w:rsidP="00DE1921">
            <w:pPr>
              <w:rPr>
                <w:rFonts w:ascii="Arial" w:hAnsi="Arial" w:cs="Arial"/>
                <w:b/>
                <w:sz w:val="24"/>
                <w:szCs w:val="24"/>
              </w:rPr>
            </w:pPr>
          </w:p>
        </w:tc>
        <w:tc>
          <w:tcPr>
            <w:tcW w:w="5088" w:type="dxa"/>
            <w:gridSpan w:val="4"/>
            <w:shd w:val="clear" w:color="auto" w:fill="auto"/>
            <w:noWrap/>
            <w:vAlign w:val="center"/>
            <w:hideMark/>
          </w:tcPr>
          <w:p w14:paraId="112C8E2B"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Pre-AASB 1059 accounting</w:t>
            </w:r>
          </w:p>
        </w:tc>
        <w:tc>
          <w:tcPr>
            <w:tcW w:w="6705" w:type="dxa"/>
            <w:gridSpan w:val="4"/>
            <w:shd w:val="clear" w:color="auto" w:fill="auto"/>
            <w:noWrap/>
            <w:vAlign w:val="center"/>
            <w:hideMark/>
          </w:tcPr>
          <w:p w14:paraId="7556C057"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Application of AASB 1059</w:t>
            </w:r>
            <w:r w:rsidRPr="00D63A80">
              <w:rPr>
                <w:rFonts w:ascii="Arial" w:hAnsi="Arial" w:cs="Arial"/>
                <w:b/>
                <w:sz w:val="24"/>
                <w:szCs w:val="24"/>
                <w:vertAlign w:val="superscript"/>
              </w:rPr>
              <w:t xml:space="preserve"> (</w:t>
            </w:r>
            <w:proofErr w:type="spellStart"/>
            <w:r w:rsidRPr="00D63A80">
              <w:rPr>
                <w:rFonts w:ascii="Arial" w:hAnsi="Arial" w:cs="Arial"/>
                <w:b/>
                <w:sz w:val="24"/>
                <w:szCs w:val="24"/>
                <w:vertAlign w:val="superscript"/>
              </w:rPr>
              <w:t>i</w:t>
            </w:r>
            <w:proofErr w:type="spellEnd"/>
            <w:r w:rsidRPr="00D63A80">
              <w:rPr>
                <w:rFonts w:ascii="Arial" w:hAnsi="Arial" w:cs="Arial"/>
                <w:b/>
                <w:sz w:val="24"/>
                <w:szCs w:val="24"/>
                <w:vertAlign w:val="superscript"/>
              </w:rPr>
              <w:t>)</w:t>
            </w:r>
          </w:p>
        </w:tc>
      </w:tr>
      <w:tr w:rsidR="003E5BF5" w:rsidRPr="00D63A80" w14:paraId="4D52DAAF" w14:textId="77777777" w:rsidTr="000F285B">
        <w:trPr>
          <w:trHeight w:val="340"/>
        </w:trPr>
        <w:tc>
          <w:tcPr>
            <w:tcW w:w="1815" w:type="dxa"/>
            <w:shd w:val="clear" w:color="auto" w:fill="auto"/>
            <w:vAlign w:val="center"/>
            <w:hideMark/>
          </w:tcPr>
          <w:p w14:paraId="3AF6DCDA" w14:textId="77777777" w:rsidR="003E5BF5" w:rsidRPr="00D63A80" w:rsidRDefault="003E5BF5" w:rsidP="00DE1921">
            <w:pPr>
              <w:rPr>
                <w:rFonts w:ascii="Arial" w:hAnsi="Arial" w:cs="Arial"/>
                <w:b/>
                <w:sz w:val="24"/>
                <w:szCs w:val="24"/>
              </w:rPr>
            </w:pPr>
            <w:r w:rsidRPr="00D63A80">
              <w:rPr>
                <w:rFonts w:ascii="Arial" w:hAnsi="Arial" w:cs="Arial"/>
                <w:b/>
                <w:sz w:val="24"/>
                <w:szCs w:val="24"/>
              </w:rPr>
              <w:t>Note</w:t>
            </w:r>
          </w:p>
        </w:tc>
        <w:tc>
          <w:tcPr>
            <w:tcW w:w="2316" w:type="dxa"/>
            <w:shd w:val="clear" w:color="auto" w:fill="auto"/>
            <w:vAlign w:val="center"/>
            <w:hideMark/>
          </w:tcPr>
          <w:p w14:paraId="2B835949" w14:textId="77777777" w:rsidR="003E5BF5" w:rsidRPr="00D63A80" w:rsidRDefault="003E5BF5" w:rsidP="00DE1921">
            <w:pPr>
              <w:rPr>
                <w:rFonts w:ascii="Arial" w:hAnsi="Arial" w:cs="Arial"/>
                <w:b/>
                <w:sz w:val="24"/>
                <w:szCs w:val="24"/>
              </w:rPr>
            </w:pPr>
            <w:r w:rsidRPr="00D63A80">
              <w:rPr>
                <w:rFonts w:ascii="Arial" w:hAnsi="Arial" w:cs="Arial"/>
                <w:b/>
                <w:sz w:val="24"/>
                <w:szCs w:val="24"/>
              </w:rPr>
              <w:t>Line item</w:t>
            </w:r>
          </w:p>
        </w:tc>
        <w:tc>
          <w:tcPr>
            <w:tcW w:w="924" w:type="dxa"/>
            <w:shd w:val="clear" w:color="auto" w:fill="auto"/>
            <w:vAlign w:val="center"/>
            <w:hideMark/>
          </w:tcPr>
          <w:p w14:paraId="690500EF"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2020</w:t>
            </w:r>
          </w:p>
        </w:tc>
        <w:tc>
          <w:tcPr>
            <w:tcW w:w="924" w:type="dxa"/>
            <w:shd w:val="clear" w:color="auto" w:fill="auto"/>
            <w:vAlign w:val="center"/>
            <w:hideMark/>
          </w:tcPr>
          <w:p w14:paraId="0001D29B"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2019</w:t>
            </w:r>
          </w:p>
        </w:tc>
        <w:tc>
          <w:tcPr>
            <w:tcW w:w="924" w:type="dxa"/>
            <w:shd w:val="clear" w:color="auto" w:fill="auto"/>
            <w:vAlign w:val="center"/>
            <w:hideMark/>
          </w:tcPr>
          <w:p w14:paraId="60F9287F"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2018</w:t>
            </w:r>
          </w:p>
        </w:tc>
        <w:tc>
          <w:tcPr>
            <w:tcW w:w="3469" w:type="dxa"/>
            <w:shd w:val="clear" w:color="auto" w:fill="auto"/>
            <w:vAlign w:val="center"/>
            <w:hideMark/>
          </w:tcPr>
          <w:p w14:paraId="51938613" w14:textId="77777777" w:rsidR="003E5BF5" w:rsidRPr="00D63A80" w:rsidRDefault="003E5BF5" w:rsidP="00DE1921">
            <w:pPr>
              <w:rPr>
                <w:rFonts w:ascii="Arial" w:hAnsi="Arial" w:cs="Arial"/>
                <w:b/>
                <w:sz w:val="24"/>
                <w:szCs w:val="24"/>
              </w:rPr>
            </w:pPr>
            <w:r w:rsidRPr="00D63A80">
              <w:rPr>
                <w:rFonts w:ascii="Arial" w:hAnsi="Arial" w:cs="Arial"/>
                <w:b/>
                <w:sz w:val="24"/>
                <w:szCs w:val="24"/>
              </w:rPr>
              <w:t>Line item</w:t>
            </w:r>
          </w:p>
        </w:tc>
        <w:tc>
          <w:tcPr>
            <w:tcW w:w="1124" w:type="dxa"/>
            <w:shd w:val="clear" w:color="auto" w:fill="auto"/>
            <w:vAlign w:val="center"/>
            <w:hideMark/>
          </w:tcPr>
          <w:p w14:paraId="238B6ADC"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2020</w:t>
            </w:r>
          </w:p>
        </w:tc>
        <w:tc>
          <w:tcPr>
            <w:tcW w:w="1124" w:type="dxa"/>
            <w:shd w:val="clear" w:color="auto" w:fill="auto"/>
            <w:vAlign w:val="center"/>
            <w:hideMark/>
          </w:tcPr>
          <w:p w14:paraId="368F393D"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2019</w:t>
            </w:r>
          </w:p>
        </w:tc>
        <w:tc>
          <w:tcPr>
            <w:tcW w:w="988" w:type="dxa"/>
            <w:shd w:val="clear" w:color="auto" w:fill="auto"/>
            <w:vAlign w:val="center"/>
            <w:hideMark/>
          </w:tcPr>
          <w:p w14:paraId="2F939F4B"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2018</w:t>
            </w:r>
          </w:p>
        </w:tc>
      </w:tr>
      <w:tr w:rsidR="003E5BF5" w:rsidRPr="00D63A80" w14:paraId="745C14E7" w14:textId="77777777" w:rsidTr="000F285B">
        <w:trPr>
          <w:trHeight w:val="340"/>
        </w:trPr>
        <w:tc>
          <w:tcPr>
            <w:tcW w:w="1815" w:type="dxa"/>
            <w:shd w:val="clear" w:color="auto" w:fill="auto"/>
            <w:vAlign w:val="center"/>
            <w:hideMark/>
          </w:tcPr>
          <w:p w14:paraId="7E9C4EA0" w14:textId="77777777" w:rsidR="003E5BF5" w:rsidRPr="00D63A80" w:rsidRDefault="003E5BF5" w:rsidP="00DE1921">
            <w:pPr>
              <w:rPr>
                <w:rFonts w:ascii="Arial" w:hAnsi="Arial" w:cs="Arial"/>
                <w:sz w:val="24"/>
                <w:szCs w:val="24"/>
              </w:rPr>
            </w:pPr>
            <w:r w:rsidRPr="00D63A80">
              <w:rPr>
                <w:rFonts w:ascii="Arial" w:hAnsi="Arial" w:cs="Arial"/>
                <w:sz w:val="24"/>
                <w:szCs w:val="24"/>
              </w:rPr>
              <w:t>Note 5.1 Property, plant and equipment</w:t>
            </w:r>
          </w:p>
        </w:tc>
        <w:tc>
          <w:tcPr>
            <w:tcW w:w="2316" w:type="dxa"/>
            <w:shd w:val="clear" w:color="auto" w:fill="auto"/>
            <w:hideMark/>
          </w:tcPr>
          <w:p w14:paraId="4D815546"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924" w:type="dxa"/>
            <w:shd w:val="clear" w:color="auto" w:fill="auto"/>
            <w:noWrap/>
            <w:hideMark/>
          </w:tcPr>
          <w:p w14:paraId="75B12FB9"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924" w:type="dxa"/>
            <w:shd w:val="clear" w:color="auto" w:fill="auto"/>
            <w:noWrap/>
            <w:hideMark/>
          </w:tcPr>
          <w:p w14:paraId="2980CF7C"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924" w:type="dxa"/>
            <w:shd w:val="clear" w:color="auto" w:fill="auto"/>
            <w:noWrap/>
            <w:hideMark/>
          </w:tcPr>
          <w:p w14:paraId="4DA48483"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3469" w:type="dxa"/>
            <w:vMerge w:val="restart"/>
            <w:shd w:val="clear" w:color="auto" w:fill="auto"/>
            <w:vAlign w:val="center"/>
            <w:hideMark/>
          </w:tcPr>
          <w:p w14:paraId="3B7C85D5" w14:textId="77777777" w:rsidR="003E5BF5" w:rsidRPr="00D63A80" w:rsidRDefault="003E5BF5" w:rsidP="00DE1921">
            <w:pPr>
              <w:rPr>
                <w:rFonts w:ascii="Arial" w:hAnsi="Arial" w:cs="Arial"/>
                <w:sz w:val="24"/>
                <w:szCs w:val="24"/>
              </w:rPr>
            </w:pPr>
            <w:r w:rsidRPr="00D63A80">
              <w:rPr>
                <w:rFonts w:ascii="Arial" w:hAnsi="Arial" w:cs="Arial"/>
                <w:sz w:val="24"/>
                <w:szCs w:val="24"/>
              </w:rPr>
              <w:t>Note 5.1 Property, plant and equipment - Service concession asset</w:t>
            </w:r>
          </w:p>
        </w:tc>
        <w:tc>
          <w:tcPr>
            <w:tcW w:w="1124" w:type="dxa"/>
            <w:vMerge w:val="restart"/>
            <w:shd w:val="clear" w:color="auto" w:fill="auto"/>
            <w:noWrap/>
            <w:vAlign w:val="center"/>
            <w:hideMark/>
          </w:tcPr>
          <w:p w14:paraId="332719F7"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3,225,894 </w:t>
            </w:r>
          </w:p>
        </w:tc>
        <w:tc>
          <w:tcPr>
            <w:tcW w:w="1124" w:type="dxa"/>
            <w:vMerge w:val="restart"/>
            <w:shd w:val="clear" w:color="auto" w:fill="auto"/>
            <w:noWrap/>
            <w:vAlign w:val="center"/>
            <w:hideMark/>
          </w:tcPr>
          <w:p w14:paraId="7E1BED8C"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1,916,082 </w:t>
            </w:r>
          </w:p>
        </w:tc>
        <w:tc>
          <w:tcPr>
            <w:tcW w:w="988" w:type="dxa"/>
            <w:vMerge w:val="restart"/>
            <w:shd w:val="clear" w:color="auto" w:fill="auto"/>
            <w:noWrap/>
            <w:vAlign w:val="center"/>
            <w:hideMark/>
          </w:tcPr>
          <w:p w14:paraId="10750561"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755,474 </w:t>
            </w:r>
          </w:p>
        </w:tc>
      </w:tr>
      <w:tr w:rsidR="003E5BF5" w:rsidRPr="00D63A80" w14:paraId="2D999FDD" w14:textId="77777777" w:rsidTr="000F285B">
        <w:trPr>
          <w:trHeight w:val="340"/>
        </w:trPr>
        <w:tc>
          <w:tcPr>
            <w:tcW w:w="1815" w:type="dxa"/>
            <w:shd w:val="clear" w:color="auto" w:fill="auto"/>
            <w:vAlign w:val="center"/>
            <w:hideMark/>
          </w:tcPr>
          <w:p w14:paraId="0B9AEABE" w14:textId="77777777" w:rsidR="003E5BF5" w:rsidRPr="00D63A80" w:rsidRDefault="003E5BF5" w:rsidP="00DE1921">
            <w:pPr>
              <w:rPr>
                <w:rFonts w:ascii="Arial" w:hAnsi="Arial" w:cs="Arial"/>
                <w:sz w:val="24"/>
                <w:szCs w:val="24"/>
              </w:rPr>
            </w:pPr>
            <w:r w:rsidRPr="00D63A80">
              <w:rPr>
                <w:rFonts w:ascii="Arial" w:hAnsi="Arial" w:cs="Arial"/>
                <w:sz w:val="24"/>
                <w:szCs w:val="24"/>
              </w:rPr>
              <w:t>Note 6.3 Other non-financial assets</w:t>
            </w:r>
          </w:p>
        </w:tc>
        <w:tc>
          <w:tcPr>
            <w:tcW w:w="2316" w:type="dxa"/>
            <w:shd w:val="clear" w:color="auto" w:fill="auto"/>
            <w:hideMark/>
          </w:tcPr>
          <w:p w14:paraId="512C2236" w14:textId="77777777" w:rsidR="003E5BF5" w:rsidRPr="00D63A80" w:rsidRDefault="003E5BF5" w:rsidP="00DE1921">
            <w:pPr>
              <w:rPr>
                <w:rFonts w:ascii="Arial" w:hAnsi="Arial" w:cs="Arial"/>
                <w:sz w:val="24"/>
                <w:szCs w:val="24"/>
              </w:rPr>
            </w:pPr>
            <w:r w:rsidRPr="00D63A80">
              <w:rPr>
                <w:rFonts w:ascii="Arial" w:hAnsi="Arial" w:cs="Arial"/>
                <w:sz w:val="24"/>
                <w:szCs w:val="24"/>
              </w:rPr>
              <w:t>Prepayments</w:t>
            </w:r>
          </w:p>
        </w:tc>
        <w:tc>
          <w:tcPr>
            <w:tcW w:w="924" w:type="dxa"/>
            <w:shd w:val="clear" w:color="auto" w:fill="auto"/>
            <w:noWrap/>
            <w:hideMark/>
          </w:tcPr>
          <w:p w14:paraId="25294B62"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642,076 </w:t>
            </w:r>
          </w:p>
        </w:tc>
        <w:tc>
          <w:tcPr>
            <w:tcW w:w="924" w:type="dxa"/>
            <w:shd w:val="clear" w:color="auto" w:fill="auto"/>
            <w:noWrap/>
            <w:hideMark/>
          </w:tcPr>
          <w:p w14:paraId="3C3DB94E"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254,839 </w:t>
            </w:r>
          </w:p>
        </w:tc>
        <w:tc>
          <w:tcPr>
            <w:tcW w:w="924" w:type="dxa"/>
            <w:shd w:val="clear" w:color="auto" w:fill="auto"/>
            <w:noWrap/>
            <w:hideMark/>
          </w:tcPr>
          <w:p w14:paraId="26FAC2D9"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73,883 </w:t>
            </w:r>
          </w:p>
        </w:tc>
        <w:tc>
          <w:tcPr>
            <w:tcW w:w="3469" w:type="dxa"/>
            <w:vMerge/>
            <w:shd w:val="clear" w:color="auto" w:fill="auto"/>
            <w:vAlign w:val="center"/>
            <w:hideMark/>
          </w:tcPr>
          <w:p w14:paraId="7D11CCAE" w14:textId="77777777" w:rsidR="003E5BF5" w:rsidRPr="00D63A80" w:rsidRDefault="003E5BF5" w:rsidP="00DE1921">
            <w:pPr>
              <w:rPr>
                <w:rFonts w:ascii="Arial" w:hAnsi="Arial" w:cs="Arial"/>
                <w:sz w:val="24"/>
                <w:szCs w:val="24"/>
              </w:rPr>
            </w:pPr>
          </w:p>
        </w:tc>
        <w:tc>
          <w:tcPr>
            <w:tcW w:w="1124" w:type="dxa"/>
            <w:vMerge/>
            <w:shd w:val="clear" w:color="auto" w:fill="auto"/>
            <w:vAlign w:val="center"/>
            <w:hideMark/>
          </w:tcPr>
          <w:p w14:paraId="2EE624DA" w14:textId="77777777" w:rsidR="003E5BF5" w:rsidRPr="00D63A80" w:rsidRDefault="003E5BF5" w:rsidP="00DE1921">
            <w:pPr>
              <w:jc w:val="right"/>
              <w:rPr>
                <w:rFonts w:ascii="Arial" w:hAnsi="Arial" w:cs="Arial"/>
                <w:sz w:val="24"/>
                <w:szCs w:val="24"/>
              </w:rPr>
            </w:pPr>
          </w:p>
        </w:tc>
        <w:tc>
          <w:tcPr>
            <w:tcW w:w="1124" w:type="dxa"/>
            <w:vMerge/>
            <w:shd w:val="clear" w:color="auto" w:fill="auto"/>
            <w:vAlign w:val="center"/>
            <w:hideMark/>
          </w:tcPr>
          <w:p w14:paraId="4E207990" w14:textId="77777777" w:rsidR="003E5BF5" w:rsidRPr="00D63A80" w:rsidRDefault="003E5BF5" w:rsidP="00DE1921">
            <w:pPr>
              <w:jc w:val="right"/>
              <w:rPr>
                <w:rFonts w:ascii="Arial" w:hAnsi="Arial" w:cs="Arial"/>
                <w:sz w:val="24"/>
                <w:szCs w:val="24"/>
              </w:rPr>
            </w:pPr>
          </w:p>
        </w:tc>
        <w:tc>
          <w:tcPr>
            <w:tcW w:w="988" w:type="dxa"/>
            <w:vMerge/>
            <w:shd w:val="clear" w:color="auto" w:fill="auto"/>
            <w:vAlign w:val="center"/>
            <w:hideMark/>
          </w:tcPr>
          <w:p w14:paraId="4EE47642" w14:textId="77777777" w:rsidR="003E5BF5" w:rsidRPr="00D63A80" w:rsidRDefault="003E5BF5" w:rsidP="00DE1921">
            <w:pPr>
              <w:jc w:val="right"/>
              <w:rPr>
                <w:rFonts w:ascii="Arial" w:hAnsi="Arial" w:cs="Arial"/>
                <w:sz w:val="24"/>
                <w:szCs w:val="24"/>
              </w:rPr>
            </w:pPr>
          </w:p>
        </w:tc>
      </w:tr>
      <w:tr w:rsidR="003E5BF5" w:rsidRPr="00D63A80" w14:paraId="5A8809D0" w14:textId="77777777" w:rsidTr="000F285B">
        <w:trPr>
          <w:trHeight w:val="340"/>
        </w:trPr>
        <w:tc>
          <w:tcPr>
            <w:tcW w:w="1815" w:type="dxa"/>
            <w:shd w:val="clear" w:color="auto" w:fill="auto"/>
            <w:hideMark/>
          </w:tcPr>
          <w:p w14:paraId="7996AB9C" w14:textId="77777777" w:rsidR="003E5BF5" w:rsidRPr="00D63A80" w:rsidRDefault="003E5BF5" w:rsidP="00DE1921">
            <w:pPr>
              <w:rPr>
                <w:rFonts w:ascii="Arial" w:hAnsi="Arial" w:cs="Arial"/>
                <w:sz w:val="24"/>
                <w:szCs w:val="24"/>
              </w:rPr>
            </w:pPr>
            <w:r w:rsidRPr="00D63A80">
              <w:rPr>
                <w:rFonts w:ascii="Arial" w:hAnsi="Arial" w:cs="Arial"/>
                <w:sz w:val="24"/>
                <w:szCs w:val="24"/>
              </w:rPr>
              <w:t>Note 6.2 Payables</w:t>
            </w:r>
          </w:p>
        </w:tc>
        <w:tc>
          <w:tcPr>
            <w:tcW w:w="2316" w:type="dxa"/>
            <w:shd w:val="clear" w:color="auto" w:fill="auto"/>
            <w:vAlign w:val="center"/>
            <w:hideMark/>
          </w:tcPr>
          <w:p w14:paraId="24428712" w14:textId="77777777" w:rsidR="003E5BF5" w:rsidRPr="00D63A80" w:rsidRDefault="003E5BF5" w:rsidP="00DE1921">
            <w:pPr>
              <w:rPr>
                <w:rFonts w:ascii="Arial" w:hAnsi="Arial" w:cs="Arial"/>
                <w:sz w:val="24"/>
                <w:szCs w:val="24"/>
              </w:rPr>
            </w:pPr>
            <w:r w:rsidRPr="00D63A80">
              <w:rPr>
                <w:rFonts w:ascii="Arial" w:hAnsi="Arial" w:cs="Arial"/>
                <w:sz w:val="24"/>
                <w:szCs w:val="24"/>
              </w:rPr>
              <w:t>Advances from non-public sector</w:t>
            </w:r>
          </w:p>
        </w:tc>
        <w:tc>
          <w:tcPr>
            <w:tcW w:w="924" w:type="dxa"/>
            <w:shd w:val="clear" w:color="auto" w:fill="auto"/>
            <w:noWrap/>
            <w:hideMark/>
          </w:tcPr>
          <w:p w14:paraId="274479B5"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924" w:type="dxa"/>
            <w:shd w:val="clear" w:color="auto" w:fill="auto"/>
            <w:noWrap/>
            <w:hideMark/>
          </w:tcPr>
          <w:p w14:paraId="08FDE920"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30,867 </w:t>
            </w:r>
          </w:p>
        </w:tc>
        <w:tc>
          <w:tcPr>
            <w:tcW w:w="924" w:type="dxa"/>
            <w:shd w:val="clear" w:color="auto" w:fill="auto"/>
            <w:noWrap/>
            <w:hideMark/>
          </w:tcPr>
          <w:p w14:paraId="0FE53856"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245,652 </w:t>
            </w:r>
          </w:p>
        </w:tc>
        <w:tc>
          <w:tcPr>
            <w:tcW w:w="3469" w:type="dxa"/>
            <w:shd w:val="clear" w:color="auto" w:fill="auto"/>
            <w:vAlign w:val="center"/>
            <w:hideMark/>
          </w:tcPr>
          <w:p w14:paraId="67AEE832" w14:textId="77777777" w:rsidR="003E5BF5" w:rsidRPr="00D63A80" w:rsidRDefault="003E5BF5" w:rsidP="00DE1921">
            <w:pPr>
              <w:rPr>
                <w:rFonts w:ascii="Arial" w:hAnsi="Arial" w:cs="Arial"/>
                <w:sz w:val="24"/>
                <w:szCs w:val="24"/>
              </w:rPr>
            </w:pPr>
            <w:r w:rsidRPr="00D63A80">
              <w:rPr>
                <w:rFonts w:ascii="Arial" w:hAnsi="Arial" w:cs="Arial"/>
                <w:sz w:val="24"/>
                <w:szCs w:val="24"/>
              </w:rPr>
              <w:t>Note 7.1 Borrowings - Service concession financial liability</w:t>
            </w:r>
          </w:p>
        </w:tc>
        <w:tc>
          <w:tcPr>
            <w:tcW w:w="1124" w:type="dxa"/>
            <w:shd w:val="clear" w:color="auto" w:fill="auto"/>
            <w:noWrap/>
            <w:hideMark/>
          </w:tcPr>
          <w:p w14:paraId="3C0EC5C4"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1124" w:type="dxa"/>
            <w:shd w:val="clear" w:color="auto" w:fill="auto"/>
            <w:noWrap/>
            <w:hideMark/>
          </w:tcPr>
          <w:p w14:paraId="1DC5D6DB"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30,867 </w:t>
            </w:r>
          </w:p>
        </w:tc>
        <w:tc>
          <w:tcPr>
            <w:tcW w:w="988" w:type="dxa"/>
            <w:shd w:val="clear" w:color="auto" w:fill="auto"/>
            <w:noWrap/>
            <w:hideMark/>
          </w:tcPr>
          <w:p w14:paraId="49D0638E"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245,652 </w:t>
            </w:r>
          </w:p>
        </w:tc>
      </w:tr>
      <w:tr w:rsidR="003E5BF5" w:rsidRPr="00D63A80" w14:paraId="3D3FFA59" w14:textId="77777777" w:rsidTr="000F285B">
        <w:trPr>
          <w:trHeight w:val="340"/>
        </w:trPr>
        <w:tc>
          <w:tcPr>
            <w:tcW w:w="1815" w:type="dxa"/>
            <w:tcBorders>
              <w:bottom w:val="single" w:sz="4" w:space="0" w:color="auto"/>
            </w:tcBorders>
            <w:shd w:val="clear" w:color="auto" w:fill="auto"/>
            <w:vAlign w:val="center"/>
            <w:hideMark/>
          </w:tcPr>
          <w:p w14:paraId="2FED587D" w14:textId="77777777" w:rsidR="003E5BF5" w:rsidRPr="00D63A80" w:rsidRDefault="003E5BF5" w:rsidP="00DE1921">
            <w:pPr>
              <w:rPr>
                <w:rFonts w:ascii="Arial" w:hAnsi="Arial" w:cs="Arial"/>
                <w:sz w:val="24"/>
                <w:szCs w:val="24"/>
              </w:rPr>
            </w:pPr>
            <w:r w:rsidRPr="00D63A80">
              <w:rPr>
                <w:rFonts w:ascii="Arial" w:hAnsi="Arial" w:cs="Arial"/>
                <w:sz w:val="24"/>
                <w:szCs w:val="24"/>
              </w:rPr>
              <w:t>Note 6.2 Payables</w:t>
            </w:r>
          </w:p>
        </w:tc>
        <w:tc>
          <w:tcPr>
            <w:tcW w:w="2316" w:type="dxa"/>
            <w:tcBorders>
              <w:bottom w:val="single" w:sz="4" w:space="0" w:color="auto"/>
            </w:tcBorders>
            <w:shd w:val="clear" w:color="auto" w:fill="auto"/>
            <w:vAlign w:val="center"/>
            <w:hideMark/>
          </w:tcPr>
          <w:p w14:paraId="3F688AC7"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924" w:type="dxa"/>
            <w:tcBorders>
              <w:bottom w:val="single" w:sz="4" w:space="0" w:color="auto"/>
            </w:tcBorders>
            <w:shd w:val="clear" w:color="auto" w:fill="auto"/>
            <w:noWrap/>
            <w:vAlign w:val="center"/>
            <w:hideMark/>
          </w:tcPr>
          <w:p w14:paraId="28A0C631"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924" w:type="dxa"/>
            <w:tcBorders>
              <w:bottom w:val="single" w:sz="4" w:space="0" w:color="auto"/>
            </w:tcBorders>
            <w:shd w:val="clear" w:color="auto" w:fill="auto"/>
            <w:noWrap/>
            <w:vAlign w:val="center"/>
            <w:hideMark/>
          </w:tcPr>
          <w:p w14:paraId="3AE00DBC"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924" w:type="dxa"/>
            <w:tcBorders>
              <w:bottom w:val="single" w:sz="4" w:space="0" w:color="auto"/>
            </w:tcBorders>
            <w:shd w:val="clear" w:color="auto" w:fill="auto"/>
            <w:noWrap/>
            <w:vAlign w:val="center"/>
            <w:hideMark/>
          </w:tcPr>
          <w:p w14:paraId="407BA729"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3469" w:type="dxa"/>
            <w:tcBorders>
              <w:bottom w:val="single" w:sz="4" w:space="0" w:color="auto"/>
            </w:tcBorders>
            <w:shd w:val="clear" w:color="auto" w:fill="auto"/>
            <w:vAlign w:val="center"/>
            <w:hideMark/>
          </w:tcPr>
          <w:p w14:paraId="62C89CC5" w14:textId="77777777" w:rsidR="003E5BF5" w:rsidRPr="00D63A80" w:rsidRDefault="003E5BF5" w:rsidP="00DE1921">
            <w:pPr>
              <w:rPr>
                <w:rFonts w:ascii="Arial" w:hAnsi="Arial" w:cs="Arial"/>
                <w:sz w:val="24"/>
                <w:szCs w:val="24"/>
              </w:rPr>
            </w:pPr>
            <w:r w:rsidRPr="00D63A80">
              <w:rPr>
                <w:rFonts w:ascii="Arial" w:hAnsi="Arial" w:cs="Arial"/>
                <w:sz w:val="24"/>
                <w:szCs w:val="24"/>
              </w:rPr>
              <w:t>Grant of right to operate liability</w:t>
            </w:r>
          </w:p>
        </w:tc>
        <w:tc>
          <w:tcPr>
            <w:tcW w:w="1124" w:type="dxa"/>
            <w:tcBorders>
              <w:bottom w:val="single" w:sz="4" w:space="0" w:color="auto"/>
            </w:tcBorders>
            <w:shd w:val="clear" w:color="auto" w:fill="auto"/>
            <w:noWrap/>
            <w:vAlign w:val="center"/>
            <w:hideMark/>
          </w:tcPr>
          <w:p w14:paraId="45331958"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2,311,255 </w:t>
            </w:r>
          </w:p>
        </w:tc>
        <w:tc>
          <w:tcPr>
            <w:tcW w:w="1124" w:type="dxa"/>
            <w:tcBorders>
              <w:bottom w:val="single" w:sz="4" w:space="0" w:color="auto"/>
            </w:tcBorders>
            <w:shd w:val="clear" w:color="auto" w:fill="auto"/>
            <w:noWrap/>
            <w:vAlign w:val="center"/>
            <w:hideMark/>
          </w:tcPr>
          <w:p w14:paraId="54600E66"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1,661,242 </w:t>
            </w:r>
          </w:p>
        </w:tc>
        <w:tc>
          <w:tcPr>
            <w:tcW w:w="988" w:type="dxa"/>
            <w:tcBorders>
              <w:bottom w:val="single" w:sz="4" w:space="0" w:color="auto"/>
            </w:tcBorders>
            <w:shd w:val="clear" w:color="auto" w:fill="auto"/>
            <w:noWrap/>
            <w:vAlign w:val="center"/>
            <w:hideMark/>
          </w:tcPr>
          <w:p w14:paraId="04153933"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681,591 </w:t>
            </w:r>
          </w:p>
        </w:tc>
      </w:tr>
      <w:tr w:rsidR="003E5BF5" w:rsidRPr="00D63A80" w14:paraId="16E700CC" w14:textId="77777777" w:rsidTr="000F285B">
        <w:trPr>
          <w:trHeight w:val="340"/>
        </w:trPr>
        <w:tc>
          <w:tcPr>
            <w:tcW w:w="1815" w:type="dxa"/>
            <w:tcBorders>
              <w:bottom w:val="single" w:sz="4" w:space="0" w:color="auto"/>
            </w:tcBorders>
            <w:shd w:val="clear" w:color="auto" w:fill="auto"/>
            <w:vAlign w:val="center"/>
            <w:hideMark/>
          </w:tcPr>
          <w:p w14:paraId="5A73F13C" w14:textId="77777777" w:rsidR="003E5BF5" w:rsidRPr="00D63A80" w:rsidRDefault="003E5BF5" w:rsidP="00DE1921">
            <w:pPr>
              <w:rPr>
                <w:rFonts w:ascii="Arial" w:hAnsi="Arial" w:cs="Arial"/>
                <w:sz w:val="24"/>
                <w:szCs w:val="24"/>
              </w:rPr>
            </w:pPr>
            <w:r w:rsidRPr="00D63A80">
              <w:rPr>
                <w:rFonts w:ascii="Arial" w:hAnsi="Arial" w:cs="Arial"/>
                <w:sz w:val="24"/>
                <w:szCs w:val="24"/>
              </w:rPr>
              <w:t>Note 9.4 Equity</w:t>
            </w:r>
          </w:p>
        </w:tc>
        <w:tc>
          <w:tcPr>
            <w:tcW w:w="2316" w:type="dxa"/>
            <w:tcBorders>
              <w:bottom w:val="single" w:sz="4" w:space="0" w:color="auto"/>
            </w:tcBorders>
            <w:shd w:val="clear" w:color="auto" w:fill="auto"/>
            <w:vAlign w:val="center"/>
            <w:hideMark/>
          </w:tcPr>
          <w:p w14:paraId="2CFA80E3"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924" w:type="dxa"/>
            <w:tcBorders>
              <w:bottom w:val="single" w:sz="4" w:space="0" w:color="auto"/>
            </w:tcBorders>
            <w:shd w:val="clear" w:color="auto" w:fill="auto"/>
            <w:noWrap/>
            <w:vAlign w:val="center"/>
            <w:hideMark/>
          </w:tcPr>
          <w:p w14:paraId="212F4222"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924" w:type="dxa"/>
            <w:tcBorders>
              <w:bottom w:val="single" w:sz="4" w:space="0" w:color="auto"/>
            </w:tcBorders>
            <w:shd w:val="clear" w:color="auto" w:fill="auto"/>
            <w:noWrap/>
            <w:vAlign w:val="center"/>
            <w:hideMark/>
          </w:tcPr>
          <w:p w14:paraId="2D08D8A3"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924" w:type="dxa"/>
            <w:tcBorders>
              <w:bottom w:val="single" w:sz="4" w:space="0" w:color="auto"/>
            </w:tcBorders>
            <w:shd w:val="clear" w:color="auto" w:fill="auto"/>
            <w:noWrap/>
            <w:vAlign w:val="center"/>
            <w:hideMark/>
          </w:tcPr>
          <w:p w14:paraId="476BA73A"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3469" w:type="dxa"/>
            <w:tcBorders>
              <w:bottom w:val="single" w:sz="4" w:space="0" w:color="auto"/>
            </w:tcBorders>
            <w:shd w:val="clear" w:color="auto" w:fill="auto"/>
            <w:vAlign w:val="center"/>
            <w:hideMark/>
          </w:tcPr>
          <w:p w14:paraId="07FB36E3" w14:textId="77777777" w:rsidR="003E5BF5" w:rsidRPr="00D63A80" w:rsidRDefault="003E5BF5" w:rsidP="00DE1921">
            <w:pPr>
              <w:rPr>
                <w:rFonts w:ascii="Arial" w:hAnsi="Arial" w:cs="Arial"/>
                <w:sz w:val="24"/>
                <w:szCs w:val="24"/>
              </w:rPr>
            </w:pPr>
            <w:r w:rsidRPr="00D63A80">
              <w:rPr>
                <w:rFonts w:ascii="Arial" w:hAnsi="Arial" w:cs="Arial"/>
                <w:sz w:val="24"/>
                <w:szCs w:val="24"/>
              </w:rPr>
              <w:t>Physical asset revaluation surplus</w:t>
            </w:r>
          </w:p>
        </w:tc>
        <w:tc>
          <w:tcPr>
            <w:tcW w:w="1124" w:type="dxa"/>
            <w:tcBorders>
              <w:bottom w:val="single" w:sz="4" w:space="0" w:color="auto"/>
            </w:tcBorders>
            <w:shd w:val="clear" w:color="auto" w:fill="auto"/>
            <w:noWrap/>
            <w:vAlign w:val="center"/>
            <w:hideMark/>
          </w:tcPr>
          <w:p w14:paraId="4B755BA2"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272,563 </w:t>
            </w:r>
          </w:p>
        </w:tc>
        <w:tc>
          <w:tcPr>
            <w:tcW w:w="1124" w:type="dxa"/>
            <w:tcBorders>
              <w:bottom w:val="single" w:sz="4" w:space="0" w:color="auto"/>
            </w:tcBorders>
            <w:shd w:val="clear" w:color="auto" w:fill="auto"/>
            <w:noWrap/>
            <w:vAlign w:val="center"/>
            <w:hideMark/>
          </w:tcPr>
          <w:p w14:paraId="70494664"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988" w:type="dxa"/>
            <w:tcBorders>
              <w:bottom w:val="single" w:sz="4" w:space="0" w:color="auto"/>
            </w:tcBorders>
            <w:shd w:val="clear" w:color="auto" w:fill="auto"/>
            <w:noWrap/>
            <w:vAlign w:val="center"/>
            <w:hideMark/>
          </w:tcPr>
          <w:p w14:paraId="461E63C9"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r>
    </w:tbl>
    <w:p w14:paraId="2096E058" w14:textId="77777777" w:rsidR="000F285B" w:rsidRPr="00D63A80" w:rsidRDefault="000F285B" w:rsidP="000F285B">
      <w:pPr>
        <w:pStyle w:val="Note"/>
        <w:rPr>
          <w:rFonts w:ascii="Arial" w:hAnsi="Arial" w:cs="Arial"/>
          <w:sz w:val="24"/>
          <w:szCs w:val="24"/>
        </w:rPr>
      </w:pPr>
      <w:r w:rsidRPr="00D63A80">
        <w:rPr>
          <w:rFonts w:ascii="Arial" w:hAnsi="Arial" w:cs="Arial"/>
          <w:sz w:val="24"/>
          <w:szCs w:val="24"/>
        </w:rPr>
        <w:t>Note:</w:t>
      </w:r>
    </w:p>
    <w:p w14:paraId="572963F6" w14:textId="77777777" w:rsidR="000F285B" w:rsidRPr="00D63A80" w:rsidRDefault="000F285B" w:rsidP="00610F5F">
      <w:pPr>
        <w:pStyle w:val="aaaNotenumberiiiiii"/>
        <w:numPr>
          <w:ilvl w:val="0"/>
          <w:numId w:val="113"/>
        </w:numPr>
      </w:pPr>
      <w:r w:rsidRPr="00D63A80">
        <w:t>The commitments relating to this SCA arrangement is disclosed in Note 7.5.2 Public Private Partnership (PPP) commitments.</w:t>
      </w:r>
    </w:p>
    <w:p w14:paraId="20DDC6DA" w14:textId="08ECA35B" w:rsidR="003E5BF5" w:rsidRDefault="003E5BF5" w:rsidP="00E24CFF">
      <w:pPr>
        <w:pStyle w:val="aaatyping"/>
      </w:pPr>
      <w:r>
        <w:t>At the end of the concession term, Project Co will hand back the West Gate Tunnel Project assets to the State. As a result, the State controls any significant residual interest in these assets at the end of the arrangement.</w:t>
      </w:r>
    </w:p>
    <w:p w14:paraId="77226445" w14:textId="77777777" w:rsidR="003E5BF5" w:rsidRDefault="003E5BF5" w:rsidP="00E24CFF">
      <w:pPr>
        <w:pStyle w:val="aaatyping"/>
      </w:pPr>
      <w:r>
        <w:t>The contract does not include any options to extend or renew the services. The contract may be terminated in certain circumstances.</w:t>
      </w:r>
    </w:p>
    <w:p w14:paraId="7D6DAB6A" w14:textId="77777777" w:rsidR="003E5BF5" w:rsidRDefault="003E5BF5" w:rsidP="00E24CFF">
      <w:pPr>
        <w:pStyle w:val="aaatyping"/>
      </w:pPr>
      <w:r>
        <w:lastRenderedPageBreak/>
        <w:t xml:space="preserve">Project Co must comply with the annual works plan which details scheduled servicing, maintenance, refurbishment and replacement of assets during the concession period which must be consistent with the asset replacement and refurbishment program in terms of nature, scope and scale. </w:t>
      </w:r>
    </w:p>
    <w:p w14:paraId="7356078D" w14:textId="77777777" w:rsidR="003E5BF5" w:rsidRDefault="003E5BF5" w:rsidP="00E24CFF">
      <w:pPr>
        <w:pStyle w:val="aaatyping"/>
      </w:pPr>
      <w:r>
        <w:t>Project Co will be provided with appropriate access to the asset in order to fulfil its obligations.</w:t>
      </w:r>
    </w:p>
    <w:p w14:paraId="466CAAC7" w14:textId="77777777" w:rsidR="003E5BF5" w:rsidRDefault="003E5BF5" w:rsidP="00E24CFF">
      <w:pPr>
        <w:pStyle w:val="aaatyping"/>
        <w:sectPr w:rsidR="003E5BF5" w:rsidSect="00DE1921">
          <w:pgSz w:w="16838" w:h="11906" w:orient="landscape"/>
          <w:pgMar w:top="1418" w:right="1701" w:bottom="1418" w:left="1418" w:header="709" w:footer="709" w:gutter="0"/>
          <w:cols w:space="708"/>
          <w:docGrid w:linePitch="360"/>
        </w:sectPr>
      </w:pPr>
      <w:r>
        <w:t>There were no other changes to the arrangements during the reporting period.</w:t>
      </w:r>
    </w:p>
    <w:p w14:paraId="51E06630" w14:textId="77777777" w:rsidR="003E5BF5" w:rsidRPr="00081911" w:rsidRDefault="003E5BF5" w:rsidP="00610F5F">
      <w:pPr>
        <w:pStyle w:val="Heading5"/>
        <w:numPr>
          <w:ilvl w:val="3"/>
          <w:numId w:val="21"/>
        </w:numPr>
      </w:pPr>
      <w:r w:rsidRPr="00081911">
        <w:lastRenderedPageBreak/>
        <w:t>Metro Tunnel Project - Tunnel and Stations – Financial liability model</w:t>
      </w:r>
    </w:p>
    <w:p w14:paraId="28BD2DBC" w14:textId="77777777" w:rsidR="003E5BF5" w:rsidRDefault="003E5BF5" w:rsidP="00E24CFF">
      <w:pPr>
        <w:pStyle w:val="aaatyping"/>
      </w:pPr>
      <w:r>
        <w:t>In December 2017, the State entered into an agreement with Cross Yarra Partnership (Project Co) – a consortium comprising Lendlease Engineering, John Holland, Bouygues Construction and Capella Capital – to deliver the Metro Tunnel – Tunnel and Stations package under a PPP financial liability model. Project Co is responsible for the design, construction and financing the twin nine-kilometre tunnels under the Central Business District, five underground stations, station fit-out, mechanical and electrical systems and certain commercial opportunities at the new Stations. Project Co will also be responsible for specific maintenance and other services to support the use of the infrastructure delivered by the package for 25 years, until 2048.</w:t>
      </w:r>
    </w:p>
    <w:p w14:paraId="7C904728" w14:textId="77777777" w:rsidR="003E5BF5" w:rsidRDefault="003E5BF5" w:rsidP="00E24CFF">
      <w:pPr>
        <w:pStyle w:val="aaatyping"/>
      </w:pPr>
      <w:r>
        <w:t>The State will compensate Project Co through State Contributions during the construction phase, and quarterly service payments (QSPs) that commence after Provisional Acceptance and continue for the duration of the concession period. These QSPs are sized in a manner to compensate Project Co for the costs incurred during the construction and maintenance phases.</w:t>
      </w:r>
    </w:p>
    <w:p w14:paraId="4606BCC5" w14:textId="77777777" w:rsidR="003E5BF5" w:rsidRDefault="003E5BF5" w:rsidP="00E24CFF">
      <w:pPr>
        <w:pStyle w:val="aaatyping"/>
      </w:pPr>
      <w:r>
        <w:t>The State has control over what services will be provided with the project assets during the operational phase of the arrangement and Project Co will be responsible for providing maintenance, cleaning and other similar facilities management services over the project assets. These functions are critical to the provision of public services as the asset performance and safety is directly dependent on the maintenance. Furthermore, Project Co has the managerial discretion as to how and when the maintenance activities, such as scheduling of staff and resources, are completed by submitting a plan to the State.</w:t>
      </w:r>
    </w:p>
    <w:p w14:paraId="0B84B97F" w14:textId="77777777" w:rsidR="003E5BF5" w:rsidRPr="000C1185" w:rsidRDefault="003E5BF5" w:rsidP="00E24CFF">
      <w:pPr>
        <w:pStyle w:val="aaatyping"/>
      </w:pPr>
      <w:r>
        <w:lastRenderedPageBreak/>
        <w:t>The arrangement was not recognised under previous accounting standards and therefore the department’s 2018-19 Financial Statements did not include these amounts. However, in compliance with the standard, the comparatives have been adjusted under the full retrospective approach this year. A summary of the arrangement is included below</w:t>
      </w:r>
      <w:bookmarkStart w:id="514" w:name="RANGE!A32:G42"/>
      <w:bookmarkStart w:id="515" w:name="RANGE!A32:I41"/>
      <w:bookmarkEnd w:id="514"/>
      <w:bookmarkEnd w:id="515"/>
      <w:r>
        <w:t>:</w:t>
      </w:r>
      <w:bookmarkStart w:id="516" w:name="RANGE!A28:I37"/>
      <w:bookmarkEnd w:id="516"/>
    </w:p>
    <w:tbl>
      <w:tblPr>
        <w:tblStyle w:val="TableGrid"/>
        <w:tblW w:w="13608" w:type="dxa"/>
        <w:jc w:val="center"/>
        <w:tblCellMar>
          <w:left w:w="28" w:type="dxa"/>
          <w:right w:w="28" w:type="dxa"/>
        </w:tblCellMar>
        <w:tblLook w:val="04A0" w:firstRow="1" w:lastRow="0" w:firstColumn="1" w:lastColumn="0" w:noHBand="0" w:noVBand="1"/>
      </w:tblPr>
      <w:tblGrid>
        <w:gridCol w:w="1889"/>
        <w:gridCol w:w="1719"/>
        <w:gridCol w:w="1134"/>
        <w:gridCol w:w="1134"/>
        <w:gridCol w:w="992"/>
        <w:gridCol w:w="3358"/>
        <w:gridCol w:w="1134"/>
        <w:gridCol w:w="1124"/>
        <w:gridCol w:w="1124"/>
      </w:tblGrid>
      <w:tr w:rsidR="003E5BF5" w:rsidRPr="00D63A80" w14:paraId="4870BAD4" w14:textId="77777777" w:rsidTr="000F285B">
        <w:trPr>
          <w:trHeight w:val="340"/>
          <w:jc w:val="center"/>
        </w:trPr>
        <w:tc>
          <w:tcPr>
            <w:tcW w:w="1889" w:type="dxa"/>
            <w:shd w:val="clear" w:color="auto" w:fill="auto"/>
            <w:hideMark/>
          </w:tcPr>
          <w:p w14:paraId="7DCCEE23" w14:textId="77777777" w:rsidR="003E5BF5" w:rsidRPr="00D63A80" w:rsidRDefault="003E5BF5" w:rsidP="00DE1921">
            <w:pPr>
              <w:rPr>
                <w:rFonts w:ascii="Arial" w:hAnsi="Arial" w:cs="Arial"/>
                <w:sz w:val="24"/>
                <w:szCs w:val="24"/>
              </w:rPr>
            </w:pPr>
          </w:p>
        </w:tc>
        <w:tc>
          <w:tcPr>
            <w:tcW w:w="11719" w:type="dxa"/>
            <w:gridSpan w:val="8"/>
            <w:shd w:val="clear" w:color="auto" w:fill="auto"/>
            <w:vAlign w:val="center"/>
            <w:hideMark/>
          </w:tcPr>
          <w:p w14:paraId="39D8ACFA"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 thousand)</w:t>
            </w:r>
          </w:p>
        </w:tc>
      </w:tr>
      <w:tr w:rsidR="003E5BF5" w:rsidRPr="00D63A80" w14:paraId="6A9DB2A4" w14:textId="77777777" w:rsidTr="000F285B">
        <w:trPr>
          <w:trHeight w:val="340"/>
          <w:jc w:val="center"/>
        </w:trPr>
        <w:tc>
          <w:tcPr>
            <w:tcW w:w="1889" w:type="dxa"/>
            <w:shd w:val="clear" w:color="auto" w:fill="auto"/>
            <w:hideMark/>
          </w:tcPr>
          <w:p w14:paraId="27BC1FD9" w14:textId="77777777" w:rsidR="003E5BF5" w:rsidRPr="00D63A80" w:rsidRDefault="003E5BF5" w:rsidP="00DE1921">
            <w:pPr>
              <w:rPr>
                <w:rFonts w:ascii="Arial" w:hAnsi="Arial" w:cs="Arial"/>
                <w:sz w:val="24"/>
                <w:szCs w:val="24"/>
              </w:rPr>
            </w:pPr>
          </w:p>
        </w:tc>
        <w:tc>
          <w:tcPr>
            <w:tcW w:w="11719" w:type="dxa"/>
            <w:gridSpan w:val="8"/>
            <w:shd w:val="clear" w:color="auto" w:fill="auto"/>
            <w:vAlign w:val="bottom"/>
            <w:hideMark/>
          </w:tcPr>
          <w:p w14:paraId="771E9096"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Metro Tunnel Project - Tunnel and Stations</w:t>
            </w:r>
          </w:p>
        </w:tc>
      </w:tr>
      <w:tr w:rsidR="003E5BF5" w:rsidRPr="00D63A80" w14:paraId="3DDEFB0D" w14:textId="77777777" w:rsidTr="000F285B">
        <w:trPr>
          <w:trHeight w:val="340"/>
          <w:jc w:val="center"/>
        </w:trPr>
        <w:tc>
          <w:tcPr>
            <w:tcW w:w="1889" w:type="dxa"/>
            <w:shd w:val="clear" w:color="auto" w:fill="auto"/>
            <w:hideMark/>
          </w:tcPr>
          <w:p w14:paraId="3EDB2A00" w14:textId="77777777" w:rsidR="003E5BF5" w:rsidRPr="00D63A80" w:rsidRDefault="003E5BF5" w:rsidP="00DE1921">
            <w:pPr>
              <w:rPr>
                <w:rFonts w:ascii="Arial" w:hAnsi="Arial" w:cs="Arial"/>
                <w:b/>
                <w:sz w:val="24"/>
                <w:szCs w:val="24"/>
              </w:rPr>
            </w:pPr>
          </w:p>
        </w:tc>
        <w:tc>
          <w:tcPr>
            <w:tcW w:w="4979" w:type="dxa"/>
            <w:gridSpan w:val="4"/>
            <w:shd w:val="clear" w:color="auto" w:fill="auto"/>
            <w:noWrap/>
            <w:vAlign w:val="bottom"/>
            <w:hideMark/>
          </w:tcPr>
          <w:p w14:paraId="78E71578"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Pre-AASB 1059 accounting</w:t>
            </w:r>
          </w:p>
        </w:tc>
        <w:tc>
          <w:tcPr>
            <w:tcW w:w="6740" w:type="dxa"/>
            <w:gridSpan w:val="4"/>
            <w:shd w:val="clear" w:color="auto" w:fill="auto"/>
            <w:noWrap/>
            <w:vAlign w:val="bottom"/>
            <w:hideMark/>
          </w:tcPr>
          <w:p w14:paraId="542F83C5" w14:textId="77777777" w:rsidR="003E5BF5" w:rsidRPr="00D63A80" w:rsidRDefault="003E5BF5" w:rsidP="00DE1921">
            <w:pPr>
              <w:jc w:val="center"/>
              <w:rPr>
                <w:rFonts w:ascii="Arial" w:hAnsi="Arial" w:cs="Arial"/>
                <w:b/>
                <w:sz w:val="24"/>
                <w:szCs w:val="24"/>
              </w:rPr>
            </w:pPr>
            <w:r w:rsidRPr="00D63A80">
              <w:rPr>
                <w:rFonts w:ascii="Arial" w:hAnsi="Arial" w:cs="Arial"/>
                <w:b/>
                <w:sz w:val="24"/>
                <w:szCs w:val="24"/>
              </w:rPr>
              <w:t xml:space="preserve">Application of AASB 1059 </w:t>
            </w:r>
            <w:r w:rsidRPr="00D63A80">
              <w:rPr>
                <w:rFonts w:ascii="Arial" w:hAnsi="Arial" w:cs="Arial"/>
                <w:b/>
                <w:sz w:val="24"/>
                <w:szCs w:val="24"/>
                <w:vertAlign w:val="superscript"/>
              </w:rPr>
              <w:t>(</w:t>
            </w:r>
            <w:proofErr w:type="spellStart"/>
            <w:r w:rsidRPr="00D63A80">
              <w:rPr>
                <w:rFonts w:ascii="Arial" w:hAnsi="Arial" w:cs="Arial"/>
                <w:b/>
                <w:sz w:val="24"/>
                <w:szCs w:val="24"/>
                <w:vertAlign w:val="superscript"/>
              </w:rPr>
              <w:t>i</w:t>
            </w:r>
            <w:proofErr w:type="spellEnd"/>
            <w:r w:rsidRPr="00D63A80">
              <w:rPr>
                <w:rFonts w:ascii="Arial" w:hAnsi="Arial" w:cs="Arial"/>
                <w:b/>
                <w:sz w:val="24"/>
                <w:szCs w:val="24"/>
                <w:vertAlign w:val="superscript"/>
              </w:rPr>
              <w:t>)</w:t>
            </w:r>
          </w:p>
        </w:tc>
      </w:tr>
      <w:tr w:rsidR="003E5BF5" w:rsidRPr="00D63A80" w14:paraId="7DCC28B8" w14:textId="77777777" w:rsidTr="000F285B">
        <w:trPr>
          <w:trHeight w:val="340"/>
          <w:jc w:val="center"/>
        </w:trPr>
        <w:tc>
          <w:tcPr>
            <w:tcW w:w="1889" w:type="dxa"/>
            <w:shd w:val="clear" w:color="auto" w:fill="auto"/>
            <w:hideMark/>
          </w:tcPr>
          <w:p w14:paraId="2E51FD70" w14:textId="77777777" w:rsidR="003E5BF5" w:rsidRPr="00D63A80" w:rsidRDefault="003E5BF5" w:rsidP="00DE1921">
            <w:pPr>
              <w:rPr>
                <w:rFonts w:ascii="Arial" w:hAnsi="Arial" w:cs="Arial"/>
                <w:b/>
                <w:sz w:val="24"/>
                <w:szCs w:val="24"/>
              </w:rPr>
            </w:pPr>
            <w:r w:rsidRPr="00D63A80">
              <w:rPr>
                <w:rFonts w:ascii="Arial" w:hAnsi="Arial" w:cs="Arial"/>
                <w:b/>
                <w:sz w:val="24"/>
                <w:szCs w:val="24"/>
              </w:rPr>
              <w:t>Note</w:t>
            </w:r>
          </w:p>
        </w:tc>
        <w:tc>
          <w:tcPr>
            <w:tcW w:w="1719" w:type="dxa"/>
            <w:shd w:val="clear" w:color="auto" w:fill="auto"/>
            <w:hideMark/>
          </w:tcPr>
          <w:p w14:paraId="1A7471C1" w14:textId="77777777" w:rsidR="003E5BF5" w:rsidRPr="00D63A80" w:rsidRDefault="003E5BF5" w:rsidP="00DE1921">
            <w:pPr>
              <w:rPr>
                <w:rFonts w:ascii="Arial" w:hAnsi="Arial" w:cs="Arial"/>
                <w:b/>
                <w:sz w:val="24"/>
                <w:szCs w:val="24"/>
              </w:rPr>
            </w:pPr>
            <w:r w:rsidRPr="00D63A80">
              <w:rPr>
                <w:rFonts w:ascii="Arial" w:hAnsi="Arial" w:cs="Arial"/>
                <w:b/>
                <w:sz w:val="24"/>
                <w:szCs w:val="24"/>
              </w:rPr>
              <w:t>Line item</w:t>
            </w:r>
          </w:p>
        </w:tc>
        <w:tc>
          <w:tcPr>
            <w:tcW w:w="1134" w:type="dxa"/>
            <w:shd w:val="clear" w:color="auto" w:fill="auto"/>
            <w:vAlign w:val="center"/>
            <w:hideMark/>
          </w:tcPr>
          <w:p w14:paraId="003CB835"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2020</w:t>
            </w:r>
          </w:p>
        </w:tc>
        <w:tc>
          <w:tcPr>
            <w:tcW w:w="1134" w:type="dxa"/>
            <w:shd w:val="clear" w:color="auto" w:fill="auto"/>
            <w:vAlign w:val="center"/>
            <w:hideMark/>
          </w:tcPr>
          <w:p w14:paraId="34737A7C"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2019</w:t>
            </w:r>
          </w:p>
        </w:tc>
        <w:tc>
          <w:tcPr>
            <w:tcW w:w="992" w:type="dxa"/>
            <w:shd w:val="clear" w:color="auto" w:fill="auto"/>
            <w:vAlign w:val="center"/>
            <w:hideMark/>
          </w:tcPr>
          <w:p w14:paraId="4D2EA77C"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 xml:space="preserve">2018 </w:t>
            </w:r>
          </w:p>
        </w:tc>
        <w:tc>
          <w:tcPr>
            <w:tcW w:w="3358" w:type="dxa"/>
            <w:shd w:val="clear" w:color="auto" w:fill="auto"/>
            <w:hideMark/>
          </w:tcPr>
          <w:p w14:paraId="11DC305E" w14:textId="77777777" w:rsidR="003E5BF5" w:rsidRPr="00D63A80" w:rsidRDefault="003E5BF5" w:rsidP="00DE1921">
            <w:pPr>
              <w:rPr>
                <w:rFonts w:ascii="Arial" w:hAnsi="Arial" w:cs="Arial"/>
                <w:b/>
                <w:sz w:val="24"/>
                <w:szCs w:val="24"/>
              </w:rPr>
            </w:pPr>
            <w:r w:rsidRPr="00D63A80">
              <w:rPr>
                <w:rFonts w:ascii="Arial" w:hAnsi="Arial" w:cs="Arial"/>
                <w:b/>
                <w:sz w:val="24"/>
                <w:szCs w:val="24"/>
              </w:rPr>
              <w:t>Line item</w:t>
            </w:r>
          </w:p>
        </w:tc>
        <w:tc>
          <w:tcPr>
            <w:tcW w:w="1134" w:type="dxa"/>
            <w:shd w:val="clear" w:color="auto" w:fill="auto"/>
            <w:vAlign w:val="center"/>
            <w:hideMark/>
          </w:tcPr>
          <w:p w14:paraId="47384457"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2020</w:t>
            </w:r>
          </w:p>
        </w:tc>
        <w:tc>
          <w:tcPr>
            <w:tcW w:w="1124" w:type="dxa"/>
            <w:shd w:val="clear" w:color="auto" w:fill="auto"/>
            <w:vAlign w:val="center"/>
            <w:hideMark/>
          </w:tcPr>
          <w:p w14:paraId="54A28E4D"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2019</w:t>
            </w:r>
          </w:p>
        </w:tc>
        <w:tc>
          <w:tcPr>
            <w:tcW w:w="1124" w:type="dxa"/>
            <w:shd w:val="clear" w:color="auto" w:fill="auto"/>
            <w:vAlign w:val="center"/>
            <w:hideMark/>
          </w:tcPr>
          <w:p w14:paraId="7B3A11DC" w14:textId="77777777" w:rsidR="003E5BF5" w:rsidRPr="00D63A80" w:rsidRDefault="003E5BF5" w:rsidP="00DE1921">
            <w:pPr>
              <w:jc w:val="right"/>
              <w:rPr>
                <w:rFonts w:ascii="Arial" w:hAnsi="Arial" w:cs="Arial"/>
                <w:b/>
                <w:sz w:val="24"/>
                <w:szCs w:val="24"/>
              </w:rPr>
            </w:pPr>
            <w:r w:rsidRPr="00D63A80">
              <w:rPr>
                <w:rFonts w:ascii="Arial" w:hAnsi="Arial" w:cs="Arial"/>
                <w:b/>
                <w:sz w:val="24"/>
                <w:szCs w:val="24"/>
              </w:rPr>
              <w:t xml:space="preserve">2018 </w:t>
            </w:r>
          </w:p>
        </w:tc>
      </w:tr>
      <w:tr w:rsidR="003E5BF5" w:rsidRPr="00D63A80" w14:paraId="7421F479" w14:textId="77777777" w:rsidTr="000F285B">
        <w:trPr>
          <w:trHeight w:val="340"/>
          <w:jc w:val="center"/>
        </w:trPr>
        <w:tc>
          <w:tcPr>
            <w:tcW w:w="1889" w:type="dxa"/>
            <w:shd w:val="clear" w:color="auto" w:fill="auto"/>
            <w:vAlign w:val="center"/>
            <w:hideMark/>
          </w:tcPr>
          <w:p w14:paraId="1C43082B" w14:textId="77777777" w:rsidR="003E5BF5" w:rsidRPr="00D63A80" w:rsidRDefault="003E5BF5" w:rsidP="00DE1921">
            <w:pPr>
              <w:rPr>
                <w:rFonts w:ascii="Arial" w:hAnsi="Arial" w:cs="Arial"/>
                <w:sz w:val="24"/>
                <w:szCs w:val="24"/>
              </w:rPr>
            </w:pPr>
            <w:r w:rsidRPr="00D63A80">
              <w:rPr>
                <w:rFonts w:ascii="Arial" w:hAnsi="Arial" w:cs="Arial"/>
                <w:sz w:val="24"/>
                <w:szCs w:val="24"/>
              </w:rPr>
              <w:t>Note 5.1 Property, plant and equipment</w:t>
            </w:r>
          </w:p>
        </w:tc>
        <w:tc>
          <w:tcPr>
            <w:tcW w:w="1719" w:type="dxa"/>
            <w:shd w:val="clear" w:color="auto" w:fill="auto"/>
            <w:vAlign w:val="center"/>
            <w:hideMark/>
          </w:tcPr>
          <w:p w14:paraId="529D0DB2" w14:textId="77777777" w:rsidR="003E5BF5" w:rsidRPr="00D63A80" w:rsidRDefault="003E5BF5" w:rsidP="00DE1921">
            <w:pPr>
              <w:rPr>
                <w:rFonts w:ascii="Arial" w:hAnsi="Arial" w:cs="Arial"/>
                <w:sz w:val="24"/>
                <w:szCs w:val="24"/>
              </w:rPr>
            </w:pPr>
            <w:r w:rsidRPr="00D63A80">
              <w:rPr>
                <w:rFonts w:ascii="Arial" w:hAnsi="Arial" w:cs="Arial"/>
                <w:sz w:val="24"/>
                <w:szCs w:val="24"/>
              </w:rPr>
              <w:t>Construction in progress</w:t>
            </w:r>
          </w:p>
        </w:tc>
        <w:tc>
          <w:tcPr>
            <w:tcW w:w="1134" w:type="dxa"/>
            <w:shd w:val="clear" w:color="auto" w:fill="auto"/>
            <w:noWrap/>
            <w:hideMark/>
          </w:tcPr>
          <w:p w14:paraId="6E2348B7"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146,497 </w:t>
            </w:r>
          </w:p>
        </w:tc>
        <w:tc>
          <w:tcPr>
            <w:tcW w:w="1134" w:type="dxa"/>
            <w:shd w:val="clear" w:color="auto" w:fill="auto"/>
            <w:noWrap/>
            <w:hideMark/>
          </w:tcPr>
          <w:p w14:paraId="5AA999A0"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77,493 </w:t>
            </w:r>
          </w:p>
        </w:tc>
        <w:tc>
          <w:tcPr>
            <w:tcW w:w="992" w:type="dxa"/>
            <w:shd w:val="clear" w:color="auto" w:fill="auto"/>
            <w:noWrap/>
            <w:hideMark/>
          </w:tcPr>
          <w:p w14:paraId="377786C9"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34,772 </w:t>
            </w:r>
          </w:p>
        </w:tc>
        <w:tc>
          <w:tcPr>
            <w:tcW w:w="3358" w:type="dxa"/>
            <w:vMerge w:val="restart"/>
            <w:shd w:val="clear" w:color="auto" w:fill="auto"/>
            <w:vAlign w:val="center"/>
            <w:hideMark/>
          </w:tcPr>
          <w:p w14:paraId="7F7AA9ED" w14:textId="77777777" w:rsidR="003E5BF5" w:rsidRPr="00D63A80" w:rsidRDefault="003E5BF5" w:rsidP="00DE1921">
            <w:pPr>
              <w:rPr>
                <w:rFonts w:ascii="Arial" w:hAnsi="Arial" w:cs="Arial"/>
                <w:sz w:val="24"/>
                <w:szCs w:val="24"/>
              </w:rPr>
            </w:pPr>
            <w:r w:rsidRPr="00D63A80">
              <w:rPr>
                <w:rFonts w:ascii="Arial" w:hAnsi="Arial" w:cs="Arial"/>
                <w:sz w:val="24"/>
                <w:szCs w:val="24"/>
              </w:rPr>
              <w:t>Note 5.1 Property, plant and equipment - Service concession asset</w:t>
            </w:r>
          </w:p>
        </w:tc>
        <w:tc>
          <w:tcPr>
            <w:tcW w:w="1134" w:type="dxa"/>
            <w:vMerge w:val="restart"/>
            <w:shd w:val="clear" w:color="auto" w:fill="auto"/>
            <w:noWrap/>
            <w:vAlign w:val="center"/>
            <w:hideMark/>
          </w:tcPr>
          <w:p w14:paraId="1FD5F24B"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3,590,110 </w:t>
            </w:r>
          </w:p>
        </w:tc>
        <w:tc>
          <w:tcPr>
            <w:tcW w:w="1124" w:type="dxa"/>
            <w:vMerge w:val="restart"/>
            <w:shd w:val="clear" w:color="auto" w:fill="auto"/>
            <w:noWrap/>
            <w:vAlign w:val="center"/>
            <w:hideMark/>
          </w:tcPr>
          <w:p w14:paraId="6DBCF133"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2,452,201 </w:t>
            </w:r>
          </w:p>
        </w:tc>
        <w:tc>
          <w:tcPr>
            <w:tcW w:w="1124" w:type="dxa"/>
            <w:vMerge w:val="restart"/>
            <w:shd w:val="clear" w:color="auto" w:fill="auto"/>
            <w:noWrap/>
            <w:vAlign w:val="center"/>
            <w:hideMark/>
          </w:tcPr>
          <w:p w14:paraId="047E1616"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1,055,524 </w:t>
            </w:r>
          </w:p>
        </w:tc>
      </w:tr>
      <w:tr w:rsidR="003E5BF5" w:rsidRPr="00D63A80" w14:paraId="5A153BEA" w14:textId="77777777" w:rsidTr="000F285B">
        <w:trPr>
          <w:trHeight w:val="340"/>
          <w:jc w:val="center"/>
        </w:trPr>
        <w:tc>
          <w:tcPr>
            <w:tcW w:w="1889" w:type="dxa"/>
            <w:shd w:val="clear" w:color="auto" w:fill="auto"/>
            <w:vAlign w:val="center"/>
            <w:hideMark/>
          </w:tcPr>
          <w:p w14:paraId="55ACC5C9" w14:textId="77777777" w:rsidR="003E5BF5" w:rsidRPr="00D63A80" w:rsidRDefault="003E5BF5" w:rsidP="00DE1921">
            <w:pPr>
              <w:rPr>
                <w:rFonts w:ascii="Arial" w:hAnsi="Arial" w:cs="Arial"/>
                <w:sz w:val="24"/>
                <w:szCs w:val="24"/>
              </w:rPr>
            </w:pPr>
            <w:r w:rsidRPr="00D63A80">
              <w:rPr>
                <w:rFonts w:ascii="Arial" w:hAnsi="Arial" w:cs="Arial"/>
                <w:sz w:val="24"/>
                <w:szCs w:val="24"/>
              </w:rPr>
              <w:t>Note 6.3 Other non-financial assets</w:t>
            </w:r>
          </w:p>
        </w:tc>
        <w:tc>
          <w:tcPr>
            <w:tcW w:w="1719" w:type="dxa"/>
            <w:shd w:val="clear" w:color="auto" w:fill="auto"/>
            <w:hideMark/>
          </w:tcPr>
          <w:p w14:paraId="602C855C" w14:textId="77777777" w:rsidR="003E5BF5" w:rsidRPr="00D63A80" w:rsidRDefault="003E5BF5" w:rsidP="00DE1921">
            <w:pPr>
              <w:rPr>
                <w:rFonts w:ascii="Arial" w:hAnsi="Arial" w:cs="Arial"/>
                <w:sz w:val="24"/>
                <w:szCs w:val="24"/>
              </w:rPr>
            </w:pPr>
            <w:r w:rsidRPr="00D63A80">
              <w:rPr>
                <w:rFonts w:ascii="Arial" w:hAnsi="Arial" w:cs="Arial"/>
                <w:sz w:val="24"/>
                <w:szCs w:val="24"/>
              </w:rPr>
              <w:t>Prepayments</w:t>
            </w:r>
          </w:p>
        </w:tc>
        <w:tc>
          <w:tcPr>
            <w:tcW w:w="1134" w:type="dxa"/>
            <w:shd w:val="clear" w:color="auto" w:fill="auto"/>
            <w:noWrap/>
            <w:hideMark/>
          </w:tcPr>
          <w:p w14:paraId="2705165B"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459,739 </w:t>
            </w:r>
          </w:p>
        </w:tc>
        <w:tc>
          <w:tcPr>
            <w:tcW w:w="1134" w:type="dxa"/>
            <w:shd w:val="clear" w:color="auto" w:fill="auto"/>
            <w:noWrap/>
            <w:hideMark/>
          </w:tcPr>
          <w:p w14:paraId="0937652C"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105,347 </w:t>
            </w:r>
          </w:p>
        </w:tc>
        <w:tc>
          <w:tcPr>
            <w:tcW w:w="992" w:type="dxa"/>
            <w:shd w:val="clear" w:color="auto" w:fill="auto"/>
            <w:noWrap/>
            <w:hideMark/>
          </w:tcPr>
          <w:p w14:paraId="2D3100BC"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68,112 </w:t>
            </w:r>
          </w:p>
        </w:tc>
        <w:tc>
          <w:tcPr>
            <w:tcW w:w="3358" w:type="dxa"/>
            <w:vMerge/>
            <w:shd w:val="clear" w:color="auto" w:fill="auto"/>
            <w:vAlign w:val="center"/>
            <w:hideMark/>
          </w:tcPr>
          <w:p w14:paraId="4BF5E52B" w14:textId="77777777" w:rsidR="003E5BF5" w:rsidRPr="00D63A80" w:rsidRDefault="003E5BF5" w:rsidP="00DE1921">
            <w:pPr>
              <w:rPr>
                <w:rFonts w:ascii="Arial" w:hAnsi="Arial" w:cs="Arial"/>
                <w:sz w:val="24"/>
                <w:szCs w:val="24"/>
              </w:rPr>
            </w:pPr>
          </w:p>
        </w:tc>
        <w:tc>
          <w:tcPr>
            <w:tcW w:w="1134" w:type="dxa"/>
            <w:vMerge/>
            <w:shd w:val="clear" w:color="auto" w:fill="auto"/>
            <w:vAlign w:val="center"/>
            <w:hideMark/>
          </w:tcPr>
          <w:p w14:paraId="3365774B" w14:textId="77777777" w:rsidR="003E5BF5" w:rsidRPr="00D63A80" w:rsidRDefault="003E5BF5" w:rsidP="00DE1921">
            <w:pPr>
              <w:jc w:val="right"/>
              <w:rPr>
                <w:rFonts w:ascii="Arial" w:hAnsi="Arial" w:cs="Arial"/>
                <w:sz w:val="24"/>
                <w:szCs w:val="24"/>
              </w:rPr>
            </w:pPr>
          </w:p>
        </w:tc>
        <w:tc>
          <w:tcPr>
            <w:tcW w:w="1124" w:type="dxa"/>
            <w:vMerge/>
            <w:shd w:val="clear" w:color="auto" w:fill="auto"/>
            <w:vAlign w:val="center"/>
            <w:hideMark/>
          </w:tcPr>
          <w:p w14:paraId="569E3576" w14:textId="77777777" w:rsidR="003E5BF5" w:rsidRPr="00D63A80" w:rsidRDefault="003E5BF5" w:rsidP="00DE1921">
            <w:pPr>
              <w:jc w:val="right"/>
              <w:rPr>
                <w:rFonts w:ascii="Arial" w:hAnsi="Arial" w:cs="Arial"/>
                <w:sz w:val="24"/>
                <w:szCs w:val="24"/>
              </w:rPr>
            </w:pPr>
          </w:p>
        </w:tc>
        <w:tc>
          <w:tcPr>
            <w:tcW w:w="1124" w:type="dxa"/>
            <w:vMerge/>
            <w:shd w:val="clear" w:color="auto" w:fill="auto"/>
            <w:vAlign w:val="center"/>
            <w:hideMark/>
          </w:tcPr>
          <w:p w14:paraId="0E75D912" w14:textId="77777777" w:rsidR="003E5BF5" w:rsidRPr="00D63A80" w:rsidRDefault="003E5BF5" w:rsidP="00DE1921">
            <w:pPr>
              <w:jc w:val="right"/>
              <w:rPr>
                <w:rFonts w:ascii="Arial" w:hAnsi="Arial" w:cs="Arial"/>
                <w:sz w:val="24"/>
                <w:szCs w:val="24"/>
              </w:rPr>
            </w:pPr>
          </w:p>
        </w:tc>
      </w:tr>
      <w:tr w:rsidR="003E5BF5" w:rsidRPr="00D63A80" w14:paraId="7E35248C" w14:textId="77777777" w:rsidTr="000F285B">
        <w:trPr>
          <w:trHeight w:val="340"/>
          <w:jc w:val="center"/>
        </w:trPr>
        <w:tc>
          <w:tcPr>
            <w:tcW w:w="1889" w:type="dxa"/>
            <w:shd w:val="clear" w:color="auto" w:fill="auto"/>
            <w:vAlign w:val="center"/>
            <w:hideMark/>
          </w:tcPr>
          <w:p w14:paraId="7BA85892" w14:textId="77777777" w:rsidR="003E5BF5" w:rsidRPr="00D63A80" w:rsidRDefault="003E5BF5" w:rsidP="00DE1921">
            <w:pPr>
              <w:rPr>
                <w:rFonts w:ascii="Arial" w:hAnsi="Arial" w:cs="Arial"/>
                <w:sz w:val="24"/>
                <w:szCs w:val="24"/>
              </w:rPr>
            </w:pPr>
            <w:r w:rsidRPr="00D63A80">
              <w:rPr>
                <w:rFonts w:ascii="Arial" w:hAnsi="Arial" w:cs="Arial"/>
                <w:sz w:val="24"/>
                <w:szCs w:val="24"/>
              </w:rPr>
              <w:t>Note 7.1 Borrowings</w:t>
            </w:r>
          </w:p>
        </w:tc>
        <w:tc>
          <w:tcPr>
            <w:tcW w:w="1719" w:type="dxa"/>
            <w:shd w:val="clear" w:color="auto" w:fill="auto"/>
            <w:vAlign w:val="center"/>
            <w:hideMark/>
          </w:tcPr>
          <w:p w14:paraId="045ACDB5"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1134" w:type="dxa"/>
            <w:shd w:val="clear" w:color="auto" w:fill="auto"/>
            <w:noWrap/>
            <w:vAlign w:val="center"/>
            <w:hideMark/>
          </w:tcPr>
          <w:p w14:paraId="2A924530"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1134" w:type="dxa"/>
            <w:shd w:val="clear" w:color="auto" w:fill="auto"/>
            <w:noWrap/>
            <w:vAlign w:val="center"/>
            <w:hideMark/>
          </w:tcPr>
          <w:p w14:paraId="48751143"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992" w:type="dxa"/>
            <w:shd w:val="clear" w:color="auto" w:fill="auto"/>
            <w:noWrap/>
            <w:vAlign w:val="center"/>
            <w:hideMark/>
          </w:tcPr>
          <w:p w14:paraId="4E24147A"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3358" w:type="dxa"/>
            <w:shd w:val="clear" w:color="auto" w:fill="auto"/>
            <w:vAlign w:val="center"/>
            <w:hideMark/>
          </w:tcPr>
          <w:p w14:paraId="59325DB1" w14:textId="77777777" w:rsidR="003E5BF5" w:rsidRPr="00D63A80" w:rsidRDefault="003E5BF5" w:rsidP="00DE1921">
            <w:pPr>
              <w:rPr>
                <w:rFonts w:ascii="Arial" w:hAnsi="Arial" w:cs="Arial"/>
                <w:sz w:val="24"/>
                <w:szCs w:val="24"/>
              </w:rPr>
            </w:pPr>
            <w:r w:rsidRPr="00D63A80">
              <w:rPr>
                <w:rFonts w:ascii="Arial" w:hAnsi="Arial" w:cs="Arial"/>
                <w:sz w:val="24"/>
                <w:szCs w:val="24"/>
              </w:rPr>
              <w:t>Service concession financial liability</w:t>
            </w:r>
          </w:p>
        </w:tc>
        <w:tc>
          <w:tcPr>
            <w:tcW w:w="1134" w:type="dxa"/>
            <w:shd w:val="clear" w:color="auto" w:fill="auto"/>
            <w:noWrap/>
            <w:vAlign w:val="center"/>
            <w:hideMark/>
          </w:tcPr>
          <w:p w14:paraId="7C41332D"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2,983,874 </w:t>
            </w:r>
          </w:p>
        </w:tc>
        <w:tc>
          <w:tcPr>
            <w:tcW w:w="1124" w:type="dxa"/>
            <w:shd w:val="clear" w:color="auto" w:fill="auto"/>
            <w:noWrap/>
            <w:vAlign w:val="center"/>
            <w:hideMark/>
          </w:tcPr>
          <w:p w14:paraId="6C554A6B"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2,269,361 </w:t>
            </w:r>
          </w:p>
        </w:tc>
        <w:tc>
          <w:tcPr>
            <w:tcW w:w="1124" w:type="dxa"/>
            <w:shd w:val="clear" w:color="auto" w:fill="auto"/>
            <w:noWrap/>
            <w:vAlign w:val="center"/>
            <w:hideMark/>
          </w:tcPr>
          <w:p w14:paraId="1F14DB7E"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952,640 </w:t>
            </w:r>
          </w:p>
        </w:tc>
      </w:tr>
      <w:tr w:rsidR="003E5BF5" w:rsidRPr="00D63A80" w14:paraId="01EBEC7E" w14:textId="77777777" w:rsidTr="000F285B">
        <w:trPr>
          <w:trHeight w:val="340"/>
          <w:jc w:val="center"/>
        </w:trPr>
        <w:tc>
          <w:tcPr>
            <w:tcW w:w="1889" w:type="dxa"/>
            <w:shd w:val="clear" w:color="auto" w:fill="auto"/>
            <w:vAlign w:val="center"/>
            <w:hideMark/>
          </w:tcPr>
          <w:p w14:paraId="57C7FC67" w14:textId="77777777" w:rsidR="003E5BF5" w:rsidRPr="00D63A80" w:rsidRDefault="003E5BF5" w:rsidP="00DE1921">
            <w:pPr>
              <w:rPr>
                <w:rFonts w:ascii="Arial" w:hAnsi="Arial" w:cs="Arial"/>
                <w:sz w:val="24"/>
                <w:szCs w:val="24"/>
              </w:rPr>
            </w:pPr>
            <w:r w:rsidRPr="00D63A80">
              <w:rPr>
                <w:rFonts w:ascii="Arial" w:hAnsi="Arial" w:cs="Arial"/>
                <w:sz w:val="24"/>
                <w:szCs w:val="24"/>
              </w:rPr>
              <w:t>Note 7.1 Borrowings: Interest expense</w:t>
            </w:r>
          </w:p>
        </w:tc>
        <w:tc>
          <w:tcPr>
            <w:tcW w:w="1719" w:type="dxa"/>
            <w:shd w:val="clear" w:color="auto" w:fill="auto"/>
            <w:hideMark/>
          </w:tcPr>
          <w:p w14:paraId="2E2AEAD6"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1134" w:type="dxa"/>
            <w:shd w:val="clear" w:color="auto" w:fill="auto"/>
            <w:noWrap/>
            <w:hideMark/>
          </w:tcPr>
          <w:p w14:paraId="3F7FF167"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1134" w:type="dxa"/>
            <w:shd w:val="clear" w:color="auto" w:fill="auto"/>
            <w:noWrap/>
            <w:hideMark/>
          </w:tcPr>
          <w:p w14:paraId="2A5CD835"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992" w:type="dxa"/>
            <w:shd w:val="clear" w:color="auto" w:fill="auto"/>
            <w:noWrap/>
            <w:hideMark/>
          </w:tcPr>
          <w:p w14:paraId="46DF3049"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3358" w:type="dxa"/>
            <w:shd w:val="clear" w:color="auto" w:fill="auto"/>
            <w:vAlign w:val="center"/>
            <w:hideMark/>
          </w:tcPr>
          <w:p w14:paraId="7B4C41D9" w14:textId="77777777" w:rsidR="003E5BF5" w:rsidRPr="00D63A80" w:rsidRDefault="003E5BF5" w:rsidP="00DE1921">
            <w:pPr>
              <w:rPr>
                <w:rFonts w:ascii="Arial" w:hAnsi="Arial" w:cs="Arial"/>
                <w:sz w:val="24"/>
                <w:szCs w:val="24"/>
              </w:rPr>
            </w:pPr>
            <w:r w:rsidRPr="00D63A80">
              <w:rPr>
                <w:rFonts w:ascii="Arial" w:hAnsi="Arial" w:cs="Arial"/>
                <w:sz w:val="24"/>
                <w:szCs w:val="24"/>
              </w:rPr>
              <w:t>Interest on service concession arrangements</w:t>
            </w:r>
          </w:p>
        </w:tc>
        <w:tc>
          <w:tcPr>
            <w:tcW w:w="1134" w:type="dxa"/>
            <w:shd w:val="clear" w:color="auto" w:fill="auto"/>
            <w:noWrap/>
            <w:hideMark/>
          </w:tcPr>
          <w:p w14:paraId="37872029"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(148,122)</w:t>
            </w:r>
          </w:p>
        </w:tc>
        <w:tc>
          <w:tcPr>
            <w:tcW w:w="1124" w:type="dxa"/>
            <w:shd w:val="clear" w:color="auto" w:fill="auto"/>
            <w:noWrap/>
            <w:hideMark/>
          </w:tcPr>
          <w:p w14:paraId="55E9A853"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(83,175)</w:t>
            </w:r>
          </w:p>
        </w:tc>
        <w:tc>
          <w:tcPr>
            <w:tcW w:w="1124" w:type="dxa"/>
            <w:shd w:val="clear" w:color="auto" w:fill="auto"/>
            <w:noWrap/>
            <w:hideMark/>
          </w:tcPr>
          <w:p w14:paraId="7FEB5369"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(15,530)</w:t>
            </w:r>
          </w:p>
        </w:tc>
      </w:tr>
      <w:tr w:rsidR="003E5BF5" w:rsidRPr="00D63A80" w14:paraId="5DB94F9C" w14:textId="77777777" w:rsidTr="000F285B">
        <w:trPr>
          <w:trHeight w:val="340"/>
          <w:jc w:val="center"/>
        </w:trPr>
        <w:tc>
          <w:tcPr>
            <w:tcW w:w="1889" w:type="dxa"/>
            <w:tcBorders>
              <w:bottom w:val="single" w:sz="4" w:space="0" w:color="auto"/>
            </w:tcBorders>
            <w:shd w:val="clear" w:color="auto" w:fill="auto"/>
            <w:vAlign w:val="center"/>
            <w:hideMark/>
          </w:tcPr>
          <w:p w14:paraId="52DC4F4D" w14:textId="77777777" w:rsidR="003E5BF5" w:rsidRPr="00D63A80" w:rsidRDefault="003E5BF5" w:rsidP="00DE1921">
            <w:pPr>
              <w:rPr>
                <w:rFonts w:ascii="Arial" w:hAnsi="Arial" w:cs="Arial"/>
                <w:sz w:val="24"/>
                <w:szCs w:val="24"/>
              </w:rPr>
            </w:pPr>
            <w:r w:rsidRPr="00D63A80">
              <w:rPr>
                <w:rFonts w:ascii="Arial" w:hAnsi="Arial" w:cs="Arial"/>
                <w:sz w:val="24"/>
                <w:szCs w:val="24"/>
              </w:rPr>
              <w:t>Note 9.4 Equity</w:t>
            </w:r>
          </w:p>
        </w:tc>
        <w:tc>
          <w:tcPr>
            <w:tcW w:w="1719" w:type="dxa"/>
            <w:tcBorders>
              <w:bottom w:val="single" w:sz="4" w:space="0" w:color="auto"/>
            </w:tcBorders>
            <w:shd w:val="clear" w:color="auto" w:fill="auto"/>
            <w:vAlign w:val="center"/>
            <w:hideMark/>
          </w:tcPr>
          <w:p w14:paraId="68DB1949"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1134" w:type="dxa"/>
            <w:tcBorders>
              <w:bottom w:val="single" w:sz="4" w:space="0" w:color="auto"/>
            </w:tcBorders>
            <w:shd w:val="clear" w:color="auto" w:fill="auto"/>
            <w:noWrap/>
            <w:vAlign w:val="center"/>
            <w:hideMark/>
          </w:tcPr>
          <w:p w14:paraId="3865EDF8"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1134" w:type="dxa"/>
            <w:tcBorders>
              <w:bottom w:val="single" w:sz="4" w:space="0" w:color="auto"/>
            </w:tcBorders>
            <w:shd w:val="clear" w:color="auto" w:fill="auto"/>
            <w:noWrap/>
            <w:vAlign w:val="center"/>
            <w:hideMark/>
          </w:tcPr>
          <w:p w14:paraId="396724E0"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992" w:type="dxa"/>
            <w:tcBorders>
              <w:bottom w:val="single" w:sz="4" w:space="0" w:color="auto"/>
            </w:tcBorders>
            <w:shd w:val="clear" w:color="auto" w:fill="auto"/>
            <w:noWrap/>
            <w:vAlign w:val="center"/>
            <w:hideMark/>
          </w:tcPr>
          <w:p w14:paraId="44FE80CA"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3358" w:type="dxa"/>
            <w:tcBorders>
              <w:bottom w:val="single" w:sz="4" w:space="0" w:color="auto"/>
            </w:tcBorders>
            <w:shd w:val="clear" w:color="auto" w:fill="auto"/>
            <w:vAlign w:val="center"/>
            <w:hideMark/>
          </w:tcPr>
          <w:p w14:paraId="729F8FEF" w14:textId="77777777" w:rsidR="003E5BF5" w:rsidRPr="00D63A80" w:rsidRDefault="003E5BF5" w:rsidP="00DE1921">
            <w:pPr>
              <w:rPr>
                <w:rFonts w:ascii="Arial" w:hAnsi="Arial" w:cs="Arial"/>
                <w:sz w:val="24"/>
                <w:szCs w:val="24"/>
              </w:rPr>
            </w:pPr>
            <w:r w:rsidRPr="00D63A80">
              <w:rPr>
                <w:rFonts w:ascii="Arial" w:hAnsi="Arial" w:cs="Arial"/>
                <w:sz w:val="24"/>
                <w:szCs w:val="24"/>
              </w:rPr>
              <w:t>Physical asset revaluation surplus</w:t>
            </w:r>
          </w:p>
        </w:tc>
        <w:tc>
          <w:tcPr>
            <w:tcW w:w="1134" w:type="dxa"/>
            <w:tcBorders>
              <w:bottom w:val="single" w:sz="4" w:space="0" w:color="auto"/>
            </w:tcBorders>
            <w:shd w:val="clear" w:color="auto" w:fill="auto"/>
            <w:noWrap/>
            <w:vAlign w:val="center"/>
            <w:hideMark/>
          </w:tcPr>
          <w:p w14:paraId="6E61B9C2"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246,827 </w:t>
            </w:r>
          </w:p>
        </w:tc>
        <w:tc>
          <w:tcPr>
            <w:tcW w:w="1124" w:type="dxa"/>
            <w:tcBorders>
              <w:bottom w:val="single" w:sz="4" w:space="0" w:color="auto"/>
            </w:tcBorders>
            <w:shd w:val="clear" w:color="auto" w:fill="auto"/>
            <w:noWrap/>
            <w:vAlign w:val="center"/>
            <w:hideMark/>
          </w:tcPr>
          <w:p w14:paraId="36204415"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98,705 </w:t>
            </w:r>
          </w:p>
        </w:tc>
        <w:tc>
          <w:tcPr>
            <w:tcW w:w="1124" w:type="dxa"/>
            <w:tcBorders>
              <w:bottom w:val="single" w:sz="4" w:space="0" w:color="auto"/>
            </w:tcBorders>
            <w:shd w:val="clear" w:color="auto" w:fill="auto"/>
            <w:noWrap/>
            <w:vAlign w:val="center"/>
            <w:hideMark/>
          </w:tcPr>
          <w:p w14:paraId="0EE0B62B"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15,530 </w:t>
            </w:r>
          </w:p>
        </w:tc>
      </w:tr>
      <w:tr w:rsidR="003E5BF5" w:rsidRPr="00D63A80" w14:paraId="5EEE0528" w14:textId="77777777" w:rsidTr="000F285B">
        <w:trPr>
          <w:trHeight w:val="340"/>
          <w:jc w:val="center"/>
        </w:trPr>
        <w:tc>
          <w:tcPr>
            <w:tcW w:w="1889" w:type="dxa"/>
            <w:tcBorders>
              <w:bottom w:val="single" w:sz="4" w:space="0" w:color="auto"/>
            </w:tcBorders>
            <w:shd w:val="clear" w:color="auto" w:fill="auto"/>
            <w:vAlign w:val="center"/>
            <w:hideMark/>
          </w:tcPr>
          <w:p w14:paraId="292FF228" w14:textId="77777777" w:rsidR="003E5BF5" w:rsidRPr="00D63A80" w:rsidRDefault="003E5BF5" w:rsidP="00DE1921">
            <w:pPr>
              <w:rPr>
                <w:rFonts w:ascii="Arial" w:hAnsi="Arial" w:cs="Arial"/>
                <w:sz w:val="24"/>
                <w:szCs w:val="24"/>
              </w:rPr>
            </w:pPr>
            <w:r w:rsidRPr="00D63A80">
              <w:rPr>
                <w:rFonts w:ascii="Arial" w:hAnsi="Arial" w:cs="Arial"/>
                <w:sz w:val="24"/>
                <w:szCs w:val="24"/>
              </w:rPr>
              <w:t>Note 9.4 Equity</w:t>
            </w:r>
          </w:p>
        </w:tc>
        <w:tc>
          <w:tcPr>
            <w:tcW w:w="1719" w:type="dxa"/>
            <w:tcBorders>
              <w:bottom w:val="single" w:sz="4" w:space="0" w:color="auto"/>
            </w:tcBorders>
            <w:shd w:val="clear" w:color="auto" w:fill="auto"/>
            <w:vAlign w:val="center"/>
            <w:hideMark/>
          </w:tcPr>
          <w:p w14:paraId="2F69C43F" w14:textId="77777777" w:rsidR="003E5BF5" w:rsidRPr="00D63A80" w:rsidRDefault="003E5BF5" w:rsidP="00DE1921">
            <w:pPr>
              <w:rPr>
                <w:rFonts w:ascii="Arial" w:hAnsi="Arial" w:cs="Arial"/>
                <w:sz w:val="24"/>
                <w:szCs w:val="24"/>
              </w:rPr>
            </w:pPr>
            <w:r w:rsidRPr="00D63A80">
              <w:rPr>
                <w:rFonts w:ascii="Arial" w:hAnsi="Arial" w:cs="Arial"/>
                <w:sz w:val="24"/>
                <w:szCs w:val="24"/>
              </w:rPr>
              <w:t>—</w:t>
            </w:r>
          </w:p>
        </w:tc>
        <w:tc>
          <w:tcPr>
            <w:tcW w:w="1134" w:type="dxa"/>
            <w:tcBorders>
              <w:bottom w:val="single" w:sz="4" w:space="0" w:color="auto"/>
            </w:tcBorders>
            <w:shd w:val="clear" w:color="auto" w:fill="auto"/>
            <w:noWrap/>
            <w:vAlign w:val="center"/>
            <w:hideMark/>
          </w:tcPr>
          <w:p w14:paraId="079A64F4"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1134" w:type="dxa"/>
            <w:tcBorders>
              <w:bottom w:val="single" w:sz="4" w:space="0" w:color="auto"/>
            </w:tcBorders>
            <w:shd w:val="clear" w:color="auto" w:fill="auto"/>
            <w:noWrap/>
            <w:vAlign w:val="center"/>
            <w:hideMark/>
          </w:tcPr>
          <w:p w14:paraId="491FA3BB"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992" w:type="dxa"/>
            <w:tcBorders>
              <w:bottom w:val="single" w:sz="4" w:space="0" w:color="auto"/>
            </w:tcBorders>
            <w:shd w:val="clear" w:color="auto" w:fill="auto"/>
            <w:noWrap/>
            <w:vAlign w:val="center"/>
            <w:hideMark/>
          </w:tcPr>
          <w:p w14:paraId="5DD91486"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c>
          <w:tcPr>
            <w:tcW w:w="3358" w:type="dxa"/>
            <w:tcBorders>
              <w:bottom w:val="single" w:sz="4" w:space="0" w:color="auto"/>
            </w:tcBorders>
            <w:shd w:val="clear" w:color="auto" w:fill="auto"/>
            <w:vAlign w:val="center"/>
            <w:hideMark/>
          </w:tcPr>
          <w:p w14:paraId="6BF53F7B" w14:textId="77777777" w:rsidR="003E5BF5" w:rsidRPr="00D63A80" w:rsidRDefault="003E5BF5" w:rsidP="00DE1921">
            <w:pPr>
              <w:rPr>
                <w:rFonts w:ascii="Arial" w:hAnsi="Arial" w:cs="Arial"/>
                <w:sz w:val="24"/>
                <w:szCs w:val="24"/>
              </w:rPr>
            </w:pPr>
            <w:r w:rsidRPr="00D63A80">
              <w:rPr>
                <w:rFonts w:ascii="Arial" w:hAnsi="Arial" w:cs="Arial"/>
                <w:sz w:val="24"/>
                <w:szCs w:val="24"/>
              </w:rPr>
              <w:t>Accumulated surplus/(deficit)</w:t>
            </w:r>
          </w:p>
        </w:tc>
        <w:tc>
          <w:tcPr>
            <w:tcW w:w="1134" w:type="dxa"/>
            <w:tcBorders>
              <w:bottom w:val="single" w:sz="4" w:space="0" w:color="auto"/>
            </w:tcBorders>
            <w:shd w:val="clear" w:color="auto" w:fill="auto"/>
            <w:noWrap/>
            <w:vAlign w:val="center"/>
            <w:hideMark/>
          </w:tcPr>
          <w:p w14:paraId="3A91339E"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(98,705)</w:t>
            </w:r>
          </w:p>
        </w:tc>
        <w:tc>
          <w:tcPr>
            <w:tcW w:w="1124" w:type="dxa"/>
            <w:tcBorders>
              <w:bottom w:val="single" w:sz="4" w:space="0" w:color="auto"/>
            </w:tcBorders>
            <w:shd w:val="clear" w:color="auto" w:fill="auto"/>
            <w:noWrap/>
            <w:vAlign w:val="center"/>
            <w:hideMark/>
          </w:tcPr>
          <w:p w14:paraId="6F75F775"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(15,530)</w:t>
            </w:r>
          </w:p>
        </w:tc>
        <w:tc>
          <w:tcPr>
            <w:tcW w:w="1124" w:type="dxa"/>
            <w:tcBorders>
              <w:bottom w:val="single" w:sz="4" w:space="0" w:color="auto"/>
            </w:tcBorders>
            <w:shd w:val="clear" w:color="auto" w:fill="auto"/>
            <w:noWrap/>
            <w:vAlign w:val="center"/>
            <w:hideMark/>
          </w:tcPr>
          <w:p w14:paraId="1BA33326" w14:textId="77777777" w:rsidR="003E5BF5" w:rsidRPr="00D63A80" w:rsidRDefault="003E5BF5" w:rsidP="00DE1921">
            <w:pPr>
              <w:jc w:val="right"/>
              <w:rPr>
                <w:rFonts w:ascii="Arial" w:hAnsi="Arial" w:cs="Arial"/>
                <w:sz w:val="24"/>
                <w:szCs w:val="24"/>
              </w:rPr>
            </w:pPr>
            <w:r w:rsidRPr="00D63A80">
              <w:rPr>
                <w:rFonts w:ascii="Arial" w:hAnsi="Arial" w:cs="Arial"/>
                <w:sz w:val="24"/>
                <w:szCs w:val="24"/>
              </w:rPr>
              <w:t xml:space="preserve"> - </w:t>
            </w:r>
          </w:p>
        </w:tc>
      </w:tr>
    </w:tbl>
    <w:p w14:paraId="5D6F8DA1" w14:textId="77777777" w:rsidR="000F285B" w:rsidRPr="00D63A80" w:rsidRDefault="000F285B" w:rsidP="000F285B">
      <w:pPr>
        <w:pStyle w:val="Note"/>
        <w:rPr>
          <w:rFonts w:ascii="Arial" w:hAnsi="Arial" w:cs="Arial"/>
          <w:sz w:val="24"/>
          <w:szCs w:val="24"/>
        </w:rPr>
      </w:pPr>
      <w:r w:rsidRPr="00D63A80">
        <w:rPr>
          <w:rFonts w:ascii="Arial" w:hAnsi="Arial" w:cs="Arial"/>
          <w:sz w:val="24"/>
          <w:szCs w:val="24"/>
        </w:rPr>
        <w:t>Note:</w:t>
      </w:r>
    </w:p>
    <w:p w14:paraId="1B994B15" w14:textId="77777777" w:rsidR="000F285B" w:rsidRPr="00D63A80" w:rsidRDefault="000F285B" w:rsidP="00610F5F">
      <w:pPr>
        <w:pStyle w:val="aaaNotenumberiiiiii"/>
        <w:numPr>
          <w:ilvl w:val="0"/>
          <w:numId w:val="114"/>
        </w:numPr>
      </w:pPr>
      <w:r w:rsidRPr="00D63A80">
        <w:t>The commitments relating to this SCA arrangement is disclosed in Note 7.5.2 Public Private Partnership (PPP) commitments.</w:t>
      </w:r>
    </w:p>
    <w:p w14:paraId="603D5BDB" w14:textId="6BCC685E" w:rsidR="003E5BF5" w:rsidRDefault="003E5BF5" w:rsidP="00E24CFF">
      <w:pPr>
        <w:pStyle w:val="aaatyping"/>
      </w:pPr>
      <w:r>
        <w:lastRenderedPageBreak/>
        <w:t>At the end of the concession period, the tunnels and stations service concession assets, rights and obligations will be returned to the State as the State retains residual interest in the infrastructure at the end of the project term.</w:t>
      </w:r>
    </w:p>
    <w:p w14:paraId="2CF9C27E" w14:textId="77777777" w:rsidR="003E5BF5" w:rsidRDefault="003E5BF5" w:rsidP="00E24CFF">
      <w:pPr>
        <w:pStyle w:val="aaatyping"/>
      </w:pPr>
      <w:r>
        <w:t>The contract does not include any options to extend or renew the services. The contract may be terminated in certain circumstances.</w:t>
      </w:r>
    </w:p>
    <w:p w14:paraId="04A71EC3" w14:textId="77777777" w:rsidR="003E5BF5" w:rsidRDefault="003E5BF5" w:rsidP="00E24CFF">
      <w:pPr>
        <w:pStyle w:val="aaatyping"/>
      </w:pPr>
      <w:r>
        <w:t xml:space="preserve">Project Co must comply with the annual works plan which details scheduled servicing, maintenance, refurbishment and replacement of assets during the concession period which must be consistent with the asset replacement and refurbishment program in terms of nature, scope and scale. </w:t>
      </w:r>
    </w:p>
    <w:p w14:paraId="1A53E127" w14:textId="77777777" w:rsidR="003E5BF5" w:rsidRDefault="003E5BF5" w:rsidP="00E24CFF">
      <w:pPr>
        <w:pStyle w:val="aaatyping"/>
      </w:pPr>
      <w:r>
        <w:t>Project Co will be provided with appropriate access to the asset in order to fulfil its obligations, Project Co will also be provided with a lease to operate some commercial tenancies within the constructed asset through the concession period.</w:t>
      </w:r>
    </w:p>
    <w:p w14:paraId="1EF1657E" w14:textId="77777777" w:rsidR="003E5BF5" w:rsidRDefault="003E5BF5" w:rsidP="00E24CFF">
      <w:pPr>
        <w:pStyle w:val="aaatyping"/>
        <w:sectPr w:rsidR="003E5BF5" w:rsidSect="00DE1921">
          <w:pgSz w:w="16838" w:h="11906" w:orient="landscape"/>
          <w:pgMar w:top="1418" w:right="1701" w:bottom="1418" w:left="1418" w:header="709" w:footer="709" w:gutter="0"/>
          <w:cols w:space="708"/>
          <w:docGrid w:linePitch="360"/>
        </w:sectPr>
      </w:pPr>
      <w:r w:rsidRPr="00060EEB">
        <w:t>To facilitate delivery of the Metro Tunnel Project, the State and the Cross Yarra Partnership (CYP) reached financial close on 18 December 2017 for delivery of the Tunnel and Stations Public-Private Partnership (T&amp;S PPP). On 30 June 2020 a Commercial Principles deed was signed between the parties to record a set of nonbinding principles to resolve project issues</w:t>
      </w:r>
      <w:r>
        <w:t xml:space="preserve"> that have arisen during delivery. Refer to </w:t>
      </w:r>
      <w:r w:rsidRPr="00BE79A2">
        <w:t>Note</w:t>
      </w:r>
      <w:r>
        <w:t xml:space="preserve"> 8.2 for further details.</w:t>
      </w:r>
    </w:p>
    <w:p w14:paraId="2DCF61D3" w14:textId="77777777" w:rsidR="003E5BF5" w:rsidRPr="00081911" w:rsidRDefault="003E5BF5" w:rsidP="00610F5F">
      <w:pPr>
        <w:pStyle w:val="Heading5"/>
        <w:numPr>
          <w:ilvl w:val="3"/>
          <w:numId w:val="21"/>
        </w:numPr>
      </w:pPr>
      <w:r w:rsidRPr="00081911">
        <w:lastRenderedPageBreak/>
        <w:t>Western Roads Upgrade – Financial liability model</w:t>
      </w:r>
    </w:p>
    <w:p w14:paraId="07E8A755" w14:textId="77777777" w:rsidR="003E5BF5" w:rsidRDefault="003E5BF5" w:rsidP="00E24CFF">
      <w:pPr>
        <w:pStyle w:val="aaatyping"/>
      </w:pPr>
      <w:r>
        <w:t xml:space="preserve">In December 2017, the State signed the Western Roads Upgrade contract under an PPP financial liability model with </w:t>
      </w:r>
      <w:proofErr w:type="spellStart"/>
      <w:r>
        <w:t>Netflow</w:t>
      </w:r>
      <w:proofErr w:type="spellEnd"/>
      <w:r>
        <w:t xml:space="preserve"> OSARS (Western) Partnership (the Consortium) – comprising Plenary, Cintra, WBHO and </w:t>
      </w:r>
      <w:proofErr w:type="spellStart"/>
      <w:r>
        <w:t>Amey-Broadspectrum</w:t>
      </w:r>
      <w:proofErr w:type="spellEnd"/>
      <w:r>
        <w:t xml:space="preserve"> – for roads upgrades (8 road projects and 37 road rehabilitation projects) and maintenance. These works are expected to be completed progressively in 2020 calendar year, following which the Consortium will be required to maintain the relevant area of the road network for 20 years. The roads upgrade package involves primarily brownfield upgrades (refurbishment, duplications, widenings, interchange upgrades) of significant arterials roads and interchanges with limited greenfield (new builds / extension) works and the ongoing provision of periodic, routine maintenance and rehabilitation of pavements, structures, drainage and roadside assets.</w:t>
      </w:r>
    </w:p>
    <w:p w14:paraId="03682CE4" w14:textId="77777777" w:rsidR="003E5BF5" w:rsidRDefault="003E5BF5" w:rsidP="00E24CFF">
      <w:pPr>
        <w:pStyle w:val="aaatyping"/>
      </w:pPr>
      <w:r>
        <w:t>The State will pay for the construction and/or maintenance costs over the contract term through Quarterly Service Payments (QSPs) and an option to make a state contribution (as per the Project Deed):</w:t>
      </w:r>
    </w:p>
    <w:p w14:paraId="4E8EE578" w14:textId="77777777" w:rsidR="003E5BF5" w:rsidRPr="001429C9" w:rsidRDefault="003E5BF5" w:rsidP="00E24CFF">
      <w:pPr>
        <w:pStyle w:val="aaabullet"/>
      </w:pPr>
      <w:r w:rsidRPr="001429C9">
        <w:t>The State will compensate the Consortium on a periodic basis during the construction phase for the repairs and maintenance services provided on existing brownfield arterial roads through the QSPs during the maintenance phase.</w:t>
      </w:r>
    </w:p>
    <w:p w14:paraId="5B0600BD" w14:textId="77777777" w:rsidR="003E5BF5" w:rsidRPr="001429C9" w:rsidRDefault="003E5BF5" w:rsidP="00E24CFF">
      <w:pPr>
        <w:pStyle w:val="aaabullet"/>
      </w:pPr>
      <w:r w:rsidRPr="001429C9">
        <w:t xml:space="preserve">During construction phase, the Consortium will undertake construction of new assets in both brownfield sites and greenfield sites as well as “initial rehabilitation” on existing brownfield arterial roads in order to bring the assets to a specified operating standard. Payments for these works will form part of the QSPs to the </w:t>
      </w:r>
      <w:r w:rsidRPr="001429C9">
        <w:lastRenderedPageBreak/>
        <w:t>Consortium. In addition, the QSPs to the Operator will cover the payments for repairs, maintenance and replacement over the maintenance phase.</w:t>
      </w:r>
    </w:p>
    <w:p w14:paraId="10572BD4" w14:textId="77777777" w:rsidR="003E5BF5" w:rsidRPr="001429C9" w:rsidRDefault="003E5BF5" w:rsidP="00E24CFF">
      <w:pPr>
        <w:pStyle w:val="aaabullet"/>
      </w:pPr>
      <w:r w:rsidRPr="001429C9">
        <w:t xml:space="preserve">The state has an option to make a contribution to the Consortium two years post commercial acceptance and to the extent that the State does not exercise this option, the Consortium has the option to call on the State to make the contribution. </w:t>
      </w:r>
    </w:p>
    <w:p w14:paraId="7B391D55" w14:textId="77777777" w:rsidR="003E5BF5" w:rsidRPr="001429C9" w:rsidRDefault="003E5BF5" w:rsidP="00E24CFF">
      <w:pPr>
        <w:pStyle w:val="aaabullet"/>
      </w:pPr>
      <w:r w:rsidRPr="001429C9">
        <w:t>The capital QSPs to the consortium will only commence following commercial acceptance.</w:t>
      </w:r>
    </w:p>
    <w:p w14:paraId="5927445B" w14:textId="77777777" w:rsidR="003E5BF5" w:rsidRDefault="003E5BF5" w:rsidP="00E24CFF">
      <w:pPr>
        <w:pStyle w:val="aaatyping"/>
      </w:pPr>
      <w:r>
        <w:t>The State has control over what services will be provided with the project assets during the maintenance phase of the arrangement, and as a result, the consortium will be responsible for the delivery of maintenance and lifecycle services (routine and periodic) within the Maintenance Network during the maintenance phase. These functions are critical to the provision of public services as the assets would not be capable of operating, from an operational and safety perspective, without these maintenance services which bring the assets to a specified operating standard. Furthermore, the consortium has discretion over the development of asset management and maintenance plans. It proactively manages the asset (invest lifecycle/asset replacement) over the long-term in accordance with the contract.</w:t>
      </w:r>
    </w:p>
    <w:p w14:paraId="52764846" w14:textId="77777777" w:rsidR="003E5BF5" w:rsidRDefault="003E5BF5" w:rsidP="00E24CFF">
      <w:pPr>
        <w:pStyle w:val="aaatyping"/>
      </w:pPr>
      <w:r>
        <w:t xml:space="preserve">The arrangement was not recognised under previous accounting standards and therefore the department’s 2018-19 Financial Statements did not include these amounts. However, in compliance with the standard, the comparatives adjusted under the full retrospective approach. </w:t>
      </w:r>
    </w:p>
    <w:p w14:paraId="1EBF90E1" w14:textId="77777777" w:rsidR="003E5BF5" w:rsidRDefault="003E5BF5" w:rsidP="00DE1921"/>
    <w:p w14:paraId="71E0DEE5" w14:textId="77777777" w:rsidR="003E5BF5" w:rsidRPr="008945DC" w:rsidRDefault="003E5BF5" w:rsidP="00E24CFF">
      <w:pPr>
        <w:pStyle w:val="aaatyping"/>
      </w:pPr>
      <w:r>
        <w:lastRenderedPageBreak/>
        <w:t>A summary of the arrangement is included below:</w:t>
      </w:r>
      <w:bookmarkStart w:id="517" w:name="RANGE!A45:G55"/>
      <w:bookmarkStart w:id="518" w:name="RANGE!A44:I53"/>
      <w:bookmarkStart w:id="519" w:name="RANGE!A40:I48"/>
      <w:bookmarkEnd w:id="517"/>
      <w:bookmarkEnd w:id="518"/>
      <w:bookmarkEnd w:id="519"/>
    </w:p>
    <w:tbl>
      <w:tblPr>
        <w:tblStyle w:val="TableGrid"/>
        <w:tblW w:w="13608" w:type="dxa"/>
        <w:tblCellMar>
          <w:left w:w="28" w:type="dxa"/>
          <w:right w:w="28" w:type="dxa"/>
        </w:tblCellMar>
        <w:tblLook w:val="04A0" w:firstRow="1" w:lastRow="0" w:firstColumn="1" w:lastColumn="0" w:noHBand="0" w:noVBand="1"/>
      </w:tblPr>
      <w:tblGrid>
        <w:gridCol w:w="2324"/>
        <w:gridCol w:w="2383"/>
        <w:gridCol w:w="924"/>
        <w:gridCol w:w="924"/>
        <w:gridCol w:w="987"/>
        <w:gridCol w:w="3264"/>
        <w:gridCol w:w="992"/>
        <w:gridCol w:w="993"/>
        <w:gridCol w:w="817"/>
      </w:tblGrid>
      <w:tr w:rsidR="003E5BF5" w:rsidRPr="00293D7B" w14:paraId="4F1FF94F" w14:textId="77777777" w:rsidTr="000F285B">
        <w:trPr>
          <w:trHeight w:val="283"/>
        </w:trPr>
        <w:tc>
          <w:tcPr>
            <w:tcW w:w="2324" w:type="dxa"/>
            <w:shd w:val="clear" w:color="auto" w:fill="auto"/>
            <w:hideMark/>
          </w:tcPr>
          <w:p w14:paraId="5AD3EA48" w14:textId="77777777" w:rsidR="003E5BF5" w:rsidRPr="00293D7B" w:rsidRDefault="003E5BF5" w:rsidP="00DE1921">
            <w:pPr>
              <w:rPr>
                <w:rFonts w:ascii="Arial" w:hAnsi="Arial" w:cs="Arial"/>
                <w:sz w:val="24"/>
                <w:szCs w:val="24"/>
              </w:rPr>
            </w:pPr>
          </w:p>
        </w:tc>
        <w:tc>
          <w:tcPr>
            <w:tcW w:w="11284" w:type="dxa"/>
            <w:gridSpan w:val="8"/>
            <w:shd w:val="clear" w:color="auto" w:fill="auto"/>
            <w:vAlign w:val="center"/>
            <w:hideMark/>
          </w:tcPr>
          <w:p w14:paraId="0ECFA600" w14:textId="77777777" w:rsidR="003E5BF5" w:rsidRPr="00293D7B" w:rsidRDefault="003E5BF5" w:rsidP="00DE1921">
            <w:pPr>
              <w:jc w:val="center"/>
              <w:rPr>
                <w:rFonts w:ascii="Arial" w:hAnsi="Arial" w:cs="Arial"/>
                <w:b/>
                <w:sz w:val="24"/>
                <w:szCs w:val="24"/>
              </w:rPr>
            </w:pPr>
            <w:r w:rsidRPr="00293D7B">
              <w:rPr>
                <w:rFonts w:ascii="Arial" w:hAnsi="Arial" w:cs="Arial"/>
                <w:b/>
                <w:sz w:val="24"/>
                <w:szCs w:val="24"/>
              </w:rPr>
              <w:t>($ thousand)</w:t>
            </w:r>
          </w:p>
        </w:tc>
      </w:tr>
      <w:tr w:rsidR="003E5BF5" w:rsidRPr="00293D7B" w14:paraId="6B046CE1" w14:textId="77777777" w:rsidTr="000F285B">
        <w:trPr>
          <w:trHeight w:val="283"/>
        </w:trPr>
        <w:tc>
          <w:tcPr>
            <w:tcW w:w="2324" w:type="dxa"/>
            <w:shd w:val="clear" w:color="auto" w:fill="auto"/>
            <w:hideMark/>
          </w:tcPr>
          <w:p w14:paraId="18AC2517" w14:textId="77777777" w:rsidR="003E5BF5" w:rsidRPr="00293D7B" w:rsidRDefault="003E5BF5" w:rsidP="00DE1921">
            <w:pPr>
              <w:rPr>
                <w:rFonts w:ascii="Arial" w:hAnsi="Arial" w:cs="Arial"/>
                <w:sz w:val="24"/>
                <w:szCs w:val="24"/>
              </w:rPr>
            </w:pPr>
          </w:p>
        </w:tc>
        <w:tc>
          <w:tcPr>
            <w:tcW w:w="11284" w:type="dxa"/>
            <w:gridSpan w:val="8"/>
            <w:shd w:val="clear" w:color="auto" w:fill="auto"/>
            <w:vAlign w:val="bottom"/>
            <w:hideMark/>
          </w:tcPr>
          <w:p w14:paraId="1F17B195" w14:textId="77777777" w:rsidR="003E5BF5" w:rsidRPr="00293D7B" w:rsidRDefault="003E5BF5" w:rsidP="00DE1921">
            <w:pPr>
              <w:jc w:val="center"/>
              <w:rPr>
                <w:rFonts w:ascii="Arial" w:hAnsi="Arial" w:cs="Arial"/>
                <w:b/>
                <w:sz w:val="24"/>
                <w:szCs w:val="24"/>
              </w:rPr>
            </w:pPr>
            <w:r w:rsidRPr="00293D7B">
              <w:rPr>
                <w:rFonts w:ascii="Arial" w:hAnsi="Arial" w:cs="Arial"/>
                <w:b/>
                <w:sz w:val="24"/>
                <w:szCs w:val="24"/>
              </w:rPr>
              <w:t>Western Roads Upgrade</w:t>
            </w:r>
          </w:p>
        </w:tc>
      </w:tr>
      <w:tr w:rsidR="003E5BF5" w:rsidRPr="00293D7B" w14:paraId="65E52593" w14:textId="77777777" w:rsidTr="000F285B">
        <w:trPr>
          <w:trHeight w:val="283"/>
        </w:trPr>
        <w:tc>
          <w:tcPr>
            <w:tcW w:w="2324" w:type="dxa"/>
            <w:shd w:val="clear" w:color="auto" w:fill="auto"/>
            <w:hideMark/>
          </w:tcPr>
          <w:p w14:paraId="23D1E615" w14:textId="77777777" w:rsidR="003E5BF5" w:rsidRPr="00293D7B" w:rsidRDefault="003E5BF5" w:rsidP="00DE1921">
            <w:pPr>
              <w:rPr>
                <w:rFonts w:ascii="Arial" w:hAnsi="Arial" w:cs="Arial"/>
                <w:b/>
                <w:sz w:val="24"/>
                <w:szCs w:val="24"/>
              </w:rPr>
            </w:pPr>
          </w:p>
        </w:tc>
        <w:tc>
          <w:tcPr>
            <w:tcW w:w="5218" w:type="dxa"/>
            <w:gridSpan w:val="4"/>
            <w:shd w:val="clear" w:color="auto" w:fill="auto"/>
            <w:noWrap/>
            <w:vAlign w:val="bottom"/>
            <w:hideMark/>
          </w:tcPr>
          <w:p w14:paraId="46746E4C" w14:textId="77777777" w:rsidR="003E5BF5" w:rsidRPr="00293D7B" w:rsidRDefault="003E5BF5" w:rsidP="00DE1921">
            <w:pPr>
              <w:jc w:val="center"/>
              <w:rPr>
                <w:rFonts w:ascii="Arial" w:hAnsi="Arial" w:cs="Arial"/>
                <w:b/>
                <w:sz w:val="24"/>
                <w:szCs w:val="24"/>
              </w:rPr>
            </w:pPr>
            <w:r w:rsidRPr="00293D7B">
              <w:rPr>
                <w:rFonts w:ascii="Arial" w:hAnsi="Arial" w:cs="Arial"/>
                <w:b/>
                <w:sz w:val="24"/>
                <w:szCs w:val="24"/>
              </w:rPr>
              <w:t>Pre-AASB 1059 accounting</w:t>
            </w:r>
          </w:p>
        </w:tc>
        <w:tc>
          <w:tcPr>
            <w:tcW w:w="6066" w:type="dxa"/>
            <w:gridSpan w:val="4"/>
            <w:shd w:val="clear" w:color="auto" w:fill="auto"/>
            <w:noWrap/>
            <w:vAlign w:val="bottom"/>
            <w:hideMark/>
          </w:tcPr>
          <w:p w14:paraId="7BB83C10" w14:textId="77777777" w:rsidR="003E5BF5" w:rsidRPr="00293D7B" w:rsidRDefault="003E5BF5" w:rsidP="00DE1921">
            <w:pPr>
              <w:jc w:val="center"/>
              <w:rPr>
                <w:rFonts w:ascii="Arial" w:hAnsi="Arial" w:cs="Arial"/>
                <w:b/>
                <w:sz w:val="24"/>
                <w:szCs w:val="24"/>
              </w:rPr>
            </w:pPr>
            <w:r w:rsidRPr="00293D7B">
              <w:rPr>
                <w:rFonts w:ascii="Arial" w:hAnsi="Arial" w:cs="Arial"/>
                <w:b/>
                <w:sz w:val="24"/>
                <w:szCs w:val="24"/>
              </w:rPr>
              <w:t xml:space="preserve">Application of AASB 1059 </w:t>
            </w:r>
            <w:r w:rsidRPr="00293D7B">
              <w:rPr>
                <w:rFonts w:ascii="Arial" w:hAnsi="Arial" w:cs="Arial"/>
                <w:b/>
                <w:sz w:val="24"/>
                <w:szCs w:val="24"/>
                <w:vertAlign w:val="superscript"/>
              </w:rPr>
              <w:t>(</w:t>
            </w:r>
            <w:proofErr w:type="spellStart"/>
            <w:r w:rsidRPr="00293D7B">
              <w:rPr>
                <w:rFonts w:ascii="Arial" w:hAnsi="Arial" w:cs="Arial"/>
                <w:b/>
                <w:sz w:val="24"/>
                <w:szCs w:val="24"/>
                <w:vertAlign w:val="superscript"/>
              </w:rPr>
              <w:t>i</w:t>
            </w:r>
            <w:proofErr w:type="spellEnd"/>
            <w:r w:rsidRPr="00293D7B">
              <w:rPr>
                <w:rFonts w:ascii="Arial" w:hAnsi="Arial" w:cs="Arial"/>
                <w:b/>
                <w:sz w:val="24"/>
                <w:szCs w:val="24"/>
                <w:vertAlign w:val="superscript"/>
              </w:rPr>
              <w:t>)</w:t>
            </w:r>
          </w:p>
        </w:tc>
      </w:tr>
      <w:tr w:rsidR="003E5BF5" w:rsidRPr="00293D7B" w14:paraId="78237016" w14:textId="77777777" w:rsidTr="000F285B">
        <w:trPr>
          <w:trHeight w:val="283"/>
        </w:trPr>
        <w:tc>
          <w:tcPr>
            <w:tcW w:w="2324" w:type="dxa"/>
            <w:shd w:val="clear" w:color="auto" w:fill="auto"/>
            <w:vAlign w:val="center"/>
            <w:hideMark/>
          </w:tcPr>
          <w:p w14:paraId="22DF6AAC" w14:textId="77777777" w:rsidR="003E5BF5" w:rsidRPr="00293D7B" w:rsidRDefault="003E5BF5" w:rsidP="00DE1921">
            <w:pPr>
              <w:rPr>
                <w:rFonts w:ascii="Arial" w:hAnsi="Arial" w:cs="Arial"/>
                <w:b/>
                <w:sz w:val="24"/>
                <w:szCs w:val="24"/>
              </w:rPr>
            </w:pPr>
            <w:r w:rsidRPr="00293D7B">
              <w:rPr>
                <w:rFonts w:ascii="Arial" w:hAnsi="Arial" w:cs="Arial"/>
                <w:b/>
                <w:sz w:val="24"/>
                <w:szCs w:val="24"/>
              </w:rPr>
              <w:t>Note</w:t>
            </w:r>
          </w:p>
        </w:tc>
        <w:tc>
          <w:tcPr>
            <w:tcW w:w="2383" w:type="dxa"/>
            <w:shd w:val="clear" w:color="auto" w:fill="auto"/>
            <w:vAlign w:val="center"/>
            <w:hideMark/>
          </w:tcPr>
          <w:p w14:paraId="700BFC08" w14:textId="77777777" w:rsidR="003E5BF5" w:rsidRPr="00293D7B" w:rsidRDefault="003E5BF5" w:rsidP="00DE1921">
            <w:pPr>
              <w:rPr>
                <w:rFonts w:ascii="Arial" w:hAnsi="Arial" w:cs="Arial"/>
                <w:b/>
                <w:sz w:val="24"/>
                <w:szCs w:val="24"/>
              </w:rPr>
            </w:pPr>
            <w:r w:rsidRPr="00293D7B">
              <w:rPr>
                <w:rFonts w:ascii="Arial" w:hAnsi="Arial" w:cs="Arial"/>
                <w:b/>
                <w:sz w:val="24"/>
                <w:szCs w:val="24"/>
              </w:rPr>
              <w:t>Line item</w:t>
            </w:r>
          </w:p>
        </w:tc>
        <w:tc>
          <w:tcPr>
            <w:tcW w:w="924" w:type="dxa"/>
            <w:shd w:val="clear" w:color="auto" w:fill="auto"/>
            <w:vAlign w:val="center"/>
            <w:hideMark/>
          </w:tcPr>
          <w:p w14:paraId="16D0BDEA"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2020</w:t>
            </w:r>
          </w:p>
        </w:tc>
        <w:tc>
          <w:tcPr>
            <w:tcW w:w="924" w:type="dxa"/>
            <w:shd w:val="clear" w:color="auto" w:fill="auto"/>
            <w:vAlign w:val="center"/>
            <w:hideMark/>
          </w:tcPr>
          <w:p w14:paraId="611268FC"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2019</w:t>
            </w:r>
          </w:p>
        </w:tc>
        <w:tc>
          <w:tcPr>
            <w:tcW w:w="987" w:type="dxa"/>
            <w:shd w:val="clear" w:color="auto" w:fill="auto"/>
            <w:vAlign w:val="center"/>
            <w:hideMark/>
          </w:tcPr>
          <w:p w14:paraId="1A52877B"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2018 </w:t>
            </w:r>
          </w:p>
        </w:tc>
        <w:tc>
          <w:tcPr>
            <w:tcW w:w="3264" w:type="dxa"/>
            <w:shd w:val="clear" w:color="auto" w:fill="auto"/>
            <w:vAlign w:val="center"/>
            <w:hideMark/>
          </w:tcPr>
          <w:p w14:paraId="6B243DCB" w14:textId="77777777" w:rsidR="003E5BF5" w:rsidRPr="00293D7B" w:rsidRDefault="003E5BF5" w:rsidP="00DE1921">
            <w:pPr>
              <w:rPr>
                <w:rFonts w:ascii="Arial" w:hAnsi="Arial" w:cs="Arial"/>
                <w:b/>
                <w:sz w:val="24"/>
                <w:szCs w:val="24"/>
              </w:rPr>
            </w:pPr>
            <w:r w:rsidRPr="00293D7B">
              <w:rPr>
                <w:rFonts w:ascii="Arial" w:hAnsi="Arial" w:cs="Arial"/>
                <w:b/>
                <w:sz w:val="24"/>
                <w:szCs w:val="24"/>
              </w:rPr>
              <w:t>Line item</w:t>
            </w:r>
          </w:p>
        </w:tc>
        <w:tc>
          <w:tcPr>
            <w:tcW w:w="992" w:type="dxa"/>
            <w:shd w:val="clear" w:color="auto" w:fill="auto"/>
            <w:vAlign w:val="center"/>
            <w:hideMark/>
          </w:tcPr>
          <w:p w14:paraId="686372DB"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2020</w:t>
            </w:r>
          </w:p>
        </w:tc>
        <w:tc>
          <w:tcPr>
            <w:tcW w:w="993" w:type="dxa"/>
            <w:shd w:val="clear" w:color="auto" w:fill="auto"/>
            <w:vAlign w:val="center"/>
            <w:hideMark/>
          </w:tcPr>
          <w:p w14:paraId="4A3A1ACB"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2019</w:t>
            </w:r>
          </w:p>
        </w:tc>
        <w:tc>
          <w:tcPr>
            <w:tcW w:w="817" w:type="dxa"/>
            <w:shd w:val="clear" w:color="auto" w:fill="auto"/>
            <w:vAlign w:val="center"/>
            <w:hideMark/>
          </w:tcPr>
          <w:p w14:paraId="3222B26B"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2018 </w:t>
            </w:r>
          </w:p>
        </w:tc>
      </w:tr>
      <w:tr w:rsidR="003E5BF5" w:rsidRPr="00293D7B" w14:paraId="24D59EB5" w14:textId="77777777" w:rsidTr="000F285B">
        <w:trPr>
          <w:trHeight w:val="283"/>
        </w:trPr>
        <w:tc>
          <w:tcPr>
            <w:tcW w:w="2324" w:type="dxa"/>
            <w:shd w:val="clear" w:color="auto" w:fill="auto"/>
            <w:vAlign w:val="center"/>
            <w:hideMark/>
          </w:tcPr>
          <w:p w14:paraId="028FE532" w14:textId="77777777" w:rsidR="003E5BF5" w:rsidRPr="00293D7B" w:rsidRDefault="003E5BF5" w:rsidP="00DE1921">
            <w:pPr>
              <w:rPr>
                <w:rFonts w:ascii="Arial" w:hAnsi="Arial" w:cs="Arial"/>
                <w:sz w:val="24"/>
                <w:szCs w:val="24"/>
              </w:rPr>
            </w:pPr>
            <w:r w:rsidRPr="00293D7B">
              <w:rPr>
                <w:rFonts w:ascii="Arial" w:hAnsi="Arial" w:cs="Arial"/>
                <w:sz w:val="24"/>
                <w:szCs w:val="24"/>
              </w:rPr>
              <w:t>Note 5.1 Property, plant and equipment</w:t>
            </w:r>
          </w:p>
        </w:tc>
        <w:tc>
          <w:tcPr>
            <w:tcW w:w="2383" w:type="dxa"/>
            <w:shd w:val="clear" w:color="auto" w:fill="auto"/>
            <w:hideMark/>
          </w:tcPr>
          <w:p w14:paraId="65586389" w14:textId="77777777" w:rsidR="003E5BF5" w:rsidRPr="00293D7B" w:rsidRDefault="003E5BF5" w:rsidP="00DE1921">
            <w:pPr>
              <w:rPr>
                <w:rFonts w:ascii="Arial" w:hAnsi="Arial" w:cs="Arial"/>
                <w:sz w:val="24"/>
                <w:szCs w:val="24"/>
              </w:rPr>
            </w:pPr>
            <w:r w:rsidRPr="00293D7B">
              <w:rPr>
                <w:rFonts w:ascii="Arial" w:hAnsi="Arial" w:cs="Arial"/>
                <w:sz w:val="24"/>
                <w:szCs w:val="24"/>
              </w:rPr>
              <w:t>Construction in progress</w:t>
            </w:r>
          </w:p>
        </w:tc>
        <w:tc>
          <w:tcPr>
            <w:tcW w:w="924" w:type="dxa"/>
            <w:shd w:val="clear" w:color="auto" w:fill="auto"/>
            <w:noWrap/>
            <w:hideMark/>
          </w:tcPr>
          <w:p w14:paraId="0AEF7DB4"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142,776 </w:t>
            </w:r>
          </w:p>
        </w:tc>
        <w:tc>
          <w:tcPr>
            <w:tcW w:w="924" w:type="dxa"/>
            <w:shd w:val="clear" w:color="auto" w:fill="auto"/>
            <w:noWrap/>
            <w:hideMark/>
          </w:tcPr>
          <w:p w14:paraId="20B62155"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129,551 </w:t>
            </w:r>
          </w:p>
        </w:tc>
        <w:tc>
          <w:tcPr>
            <w:tcW w:w="987" w:type="dxa"/>
            <w:shd w:val="clear" w:color="auto" w:fill="auto"/>
            <w:noWrap/>
            <w:hideMark/>
          </w:tcPr>
          <w:p w14:paraId="0629838A"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3264" w:type="dxa"/>
            <w:shd w:val="clear" w:color="auto" w:fill="auto"/>
            <w:hideMark/>
          </w:tcPr>
          <w:p w14:paraId="01A7E774" w14:textId="77777777" w:rsidR="003E5BF5" w:rsidRPr="00293D7B" w:rsidRDefault="003E5BF5" w:rsidP="00DE1921">
            <w:pPr>
              <w:rPr>
                <w:rFonts w:ascii="Arial" w:hAnsi="Arial" w:cs="Arial"/>
                <w:sz w:val="24"/>
                <w:szCs w:val="24"/>
              </w:rPr>
            </w:pPr>
            <w:r w:rsidRPr="00293D7B">
              <w:rPr>
                <w:rFonts w:ascii="Arial" w:hAnsi="Arial" w:cs="Arial"/>
                <w:sz w:val="24"/>
                <w:szCs w:val="24"/>
              </w:rPr>
              <w:t>Service concession asset</w:t>
            </w:r>
          </w:p>
        </w:tc>
        <w:tc>
          <w:tcPr>
            <w:tcW w:w="992" w:type="dxa"/>
            <w:shd w:val="clear" w:color="auto" w:fill="auto"/>
            <w:noWrap/>
            <w:hideMark/>
          </w:tcPr>
          <w:p w14:paraId="216707F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919,811 </w:t>
            </w:r>
          </w:p>
        </w:tc>
        <w:tc>
          <w:tcPr>
            <w:tcW w:w="993" w:type="dxa"/>
            <w:shd w:val="clear" w:color="auto" w:fill="auto"/>
            <w:noWrap/>
            <w:hideMark/>
          </w:tcPr>
          <w:p w14:paraId="08A9326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393,742 </w:t>
            </w:r>
          </w:p>
        </w:tc>
        <w:tc>
          <w:tcPr>
            <w:tcW w:w="817" w:type="dxa"/>
            <w:shd w:val="clear" w:color="auto" w:fill="auto"/>
            <w:noWrap/>
            <w:hideMark/>
          </w:tcPr>
          <w:p w14:paraId="5DFF43B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56,603 </w:t>
            </w:r>
          </w:p>
        </w:tc>
      </w:tr>
      <w:tr w:rsidR="003E5BF5" w:rsidRPr="00293D7B" w14:paraId="468DAFD8" w14:textId="77777777" w:rsidTr="000F285B">
        <w:trPr>
          <w:trHeight w:val="283"/>
        </w:trPr>
        <w:tc>
          <w:tcPr>
            <w:tcW w:w="2324" w:type="dxa"/>
            <w:shd w:val="clear" w:color="auto" w:fill="auto"/>
            <w:vAlign w:val="center"/>
            <w:hideMark/>
          </w:tcPr>
          <w:p w14:paraId="32365208" w14:textId="77777777" w:rsidR="003E5BF5" w:rsidRPr="00293D7B" w:rsidRDefault="003E5BF5" w:rsidP="00DE1921">
            <w:pPr>
              <w:rPr>
                <w:rFonts w:ascii="Arial" w:hAnsi="Arial" w:cs="Arial"/>
                <w:sz w:val="24"/>
                <w:szCs w:val="24"/>
              </w:rPr>
            </w:pPr>
            <w:r w:rsidRPr="00293D7B">
              <w:rPr>
                <w:rFonts w:ascii="Arial" w:hAnsi="Arial" w:cs="Arial"/>
                <w:sz w:val="24"/>
                <w:szCs w:val="24"/>
              </w:rPr>
              <w:t>Note 7.1 Borrowings</w:t>
            </w:r>
          </w:p>
        </w:tc>
        <w:tc>
          <w:tcPr>
            <w:tcW w:w="2383" w:type="dxa"/>
            <w:shd w:val="clear" w:color="auto" w:fill="auto"/>
            <w:vAlign w:val="center"/>
            <w:hideMark/>
          </w:tcPr>
          <w:p w14:paraId="68F5D34C" w14:textId="77777777" w:rsidR="003E5BF5" w:rsidRPr="00293D7B" w:rsidRDefault="003E5BF5" w:rsidP="00DE1921">
            <w:pPr>
              <w:rPr>
                <w:rFonts w:ascii="Arial" w:hAnsi="Arial" w:cs="Arial"/>
                <w:sz w:val="24"/>
                <w:szCs w:val="24"/>
              </w:rPr>
            </w:pPr>
            <w:r w:rsidRPr="00293D7B">
              <w:rPr>
                <w:rFonts w:ascii="Arial" w:hAnsi="Arial" w:cs="Arial"/>
                <w:sz w:val="24"/>
                <w:szCs w:val="24"/>
              </w:rPr>
              <w:t>—</w:t>
            </w:r>
          </w:p>
        </w:tc>
        <w:tc>
          <w:tcPr>
            <w:tcW w:w="924" w:type="dxa"/>
            <w:shd w:val="clear" w:color="auto" w:fill="auto"/>
            <w:noWrap/>
            <w:vAlign w:val="center"/>
            <w:hideMark/>
          </w:tcPr>
          <w:p w14:paraId="39B7F502"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924" w:type="dxa"/>
            <w:shd w:val="clear" w:color="auto" w:fill="auto"/>
            <w:noWrap/>
            <w:vAlign w:val="center"/>
            <w:hideMark/>
          </w:tcPr>
          <w:p w14:paraId="613F24DE"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987" w:type="dxa"/>
            <w:shd w:val="clear" w:color="auto" w:fill="auto"/>
            <w:noWrap/>
            <w:vAlign w:val="center"/>
            <w:hideMark/>
          </w:tcPr>
          <w:p w14:paraId="4E763C01"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3264" w:type="dxa"/>
            <w:shd w:val="clear" w:color="auto" w:fill="auto"/>
            <w:vAlign w:val="center"/>
            <w:hideMark/>
          </w:tcPr>
          <w:p w14:paraId="28E8C6A9" w14:textId="77777777" w:rsidR="003E5BF5" w:rsidRPr="00293D7B" w:rsidRDefault="003E5BF5" w:rsidP="00DE1921">
            <w:pPr>
              <w:rPr>
                <w:rFonts w:ascii="Arial" w:hAnsi="Arial" w:cs="Arial"/>
                <w:sz w:val="24"/>
                <w:szCs w:val="24"/>
              </w:rPr>
            </w:pPr>
            <w:r w:rsidRPr="00293D7B">
              <w:rPr>
                <w:rFonts w:ascii="Arial" w:hAnsi="Arial" w:cs="Arial"/>
                <w:sz w:val="24"/>
                <w:szCs w:val="24"/>
              </w:rPr>
              <w:t>Service concession financial liability</w:t>
            </w:r>
          </w:p>
        </w:tc>
        <w:tc>
          <w:tcPr>
            <w:tcW w:w="992" w:type="dxa"/>
            <w:shd w:val="clear" w:color="auto" w:fill="auto"/>
            <w:noWrap/>
            <w:vAlign w:val="center"/>
            <w:hideMark/>
          </w:tcPr>
          <w:p w14:paraId="051A0223"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597,735 </w:t>
            </w:r>
          </w:p>
        </w:tc>
        <w:tc>
          <w:tcPr>
            <w:tcW w:w="993" w:type="dxa"/>
            <w:shd w:val="clear" w:color="auto" w:fill="auto"/>
            <w:noWrap/>
            <w:vAlign w:val="center"/>
            <w:hideMark/>
          </w:tcPr>
          <w:p w14:paraId="51D0A9CB"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264,191 </w:t>
            </w:r>
          </w:p>
        </w:tc>
        <w:tc>
          <w:tcPr>
            <w:tcW w:w="817" w:type="dxa"/>
            <w:shd w:val="clear" w:color="auto" w:fill="auto"/>
            <w:noWrap/>
            <w:vAlign w:val="center"/>
            <w:hideMark/>
          </w:tcPr>
          <w:p w14:paraId="4D0EA99C"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56,603 </w:t>
            </w:r>
          </w:p>
        </w:tc>
      </w:tr>
      <w:tr w:rsidR="003E5BF5" w:rsidRPr="00293D7B" w14:paraId="77A7BBC6" w14:textId="77777777" w:rsidTr="000F285B">
        <w:trPr>
          <w:trHeight w:val="283"/>
        </w:trPr>
        <w:tc>
          <w:tcPr>
            <w:tcW w:w="2324" w:type="dxa"/>
            <w:shd w:val="clear" w:color="auto" w:fill="auto"/>
            <w:vAlign w:val="center"/>
            <w:hideMark/>
          </w:tcPr>
          <w:p w14:paraId="449FDA12" w14:textId="77777777" w:rsidR="003E5BF5" w:rsidRPr="00293D7B" w:rsidRDefault="003E5BF5" w:rsidP="00DE1921">
            <w:pPr>
              <w:rPr>
                <w:rFonts w:ascii="Arial" w:hAnsi="Arial" w:cs="Arial"/>
                <w:sz w:val="24"/>
                <w:szCs w:val="24"/>
              </w:rPr>
            </w:pPr>
            <w:r w:rsidRPr="00293D7B">
              <w:rPr>
                <w:rFonts w:ascii="Arial" w:hAnsi="Arial" w:cs="Arial"/>
                <w:sz w:val="24"/>
                <w:szCs w:val="24"/>
              </w:rPr>
              <w:t>Note 7.1 Borrowings: Interest expense</w:t>
            </w:r>
          </w:p>
        </w:tc>
        <w:tc>
          <w:tcPr>
            <w:tcW w:w="2383" w:type="dxa"/>
            <w:shd w:val="clear" w:color="auto" w:fill="auto"/>
            <w:hideMark/>
          </w:tcPr>
          <w:p w14:paraId="437DADE5" w14:textId="77777777" w:rsidR="003E5BF5" w:rsidRPr="00293D7B" w:rsidRDefault="003E5BF5" w:rsidP="00DE1921">
            <w:pPr>
              <w:rPr>
                <w:rFonts w:ascii="Arial" w:hAnsi="Arial" w:cs="Arial"/>
                <w:sz w:val="24"/>
                <w:szCs w:val="24"/>
              </w:rPr>
            </w:pPr>
            <w:r w:rsidRPr="00293D7B">
              <w:rPr>
                <w:rFonts w:ascii="Arial" w:hAnsi="Arial" w:cs="Arial"/>
                <w:sz w:val="24"/>
                <w:szCs w:val="24"/>
              </w:rPr>
              <w:t>—</w:t>
            </w:r>
          </w:p>
        </w:tc>
        <w:tc>
          <w:tcPr>
            <w:tcW w:w="924" w:type="dxa"/>
            <w:shd w:val="clear" w:color="auto" w:fill="auto"/>
            <w:noWrap/>
            <w:hideMark/>
          </w:tcPr>
          <w:p w14:paraId="4784FD5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924" w:type="dxa"/>
            <w:shd w:val="clear" w:color="auto" w:fill="auto"/>
            <w:noWrap/>
            <w:hideMark/>
          </w:tcPr>
          <w:p w14:paraId="53F8A41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987" w:type="dxa"/>
            <w:shd w:val="clear" w:color="auto" w:fill="auto"/>
            <w:noWrap/>
            <w:hideMark/>
          </w:tcPr>
          <w:p w14:paraId="04BBCEE4"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3264" w:type="dxa"/>
            <w:shd w:val="clear" w:color="auto" w:fill="auto"/>
            <w:vAlign w:val="center"/>
            <w:hideMark/>
          </w:tcPr>
          <w:p w14:paraId="33FCADB6" w14:textId="77777777" w:rsidR="003E5BF5" w:rsidRPr="00293D7B" w:rsidRDefault="003E5BF5" w:rsidP="00DE1921">
            <w:pPr>
              <w:rPr>
                <w:rFonts w:ascii="Arial" w:hAnsi="Arial" w:cs="Arial"/>
                <w:sz w:val="24"/>
                <w:szCs w:val="24"/>
              </w:rPr>
            </w:pPr>
            <w:r w:rsidRPr="00293D7B">
              <w:rPr>
                <w:rFonts w:ascii="Arial" w:hAnsi="Arial" w:cs="Arial"/>
                <w:sz w:val="24"/>
                <w:szCs w:val="24"/>
              </w:rPr>
              <w:t>Interest on service concession arrangements</w:t>
            </w:r>
          </w:p>
        </w:tc>
        <w:tc>
          <w:tcPr>
            <w:tcW w:w="992" w:type="dxa"/>
            <w:shd w:val="clear" w:color="auto" w:fill="auto"/>
            <w:noWrap/>
            <w:hideMark/>
          </w:tcPr>
          <w:p w14:paraId="7FA0F163"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(25,181)</w:t>
            </w:r>
          </w:p>
        </w:tc>
        <w:tc>
          <w:tcPr>
            <w:tcW w:w="993" w:type="dxa"/>
            <w:shd w:val="clear" w:color="auto" w:fill="auto"/>
            <w:noWrap/>
            <w:hideMark/>
          </w:tcPr>
          <w:p w14:paraId="5C594DBC"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(10,242)</w:t>
            </w:r>
          </w:p>
        </w:tc>
        <w:tc>
          <w:tcPr>
            <w:tcW w:w="817" w:type="dxa"/>
            <w:shd w:val="clear" w:color="auto" w:fill="auto"/>
            <w:noWrap/>
            <w:hideMark/>
          </w:tcPr>
          <w:p w14:paraId="69081F5A"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(1,563)</w:t>
            </w:r>
          </w:p>
        </w:tc>
      </w:tr>
      <w:tr w:rsidR="003E5BF5" w:rsidRPr="00293D7B" w14:paraId="0E594B5F" w14:textId="77777777" w:rsidTr="000F285B">
        <w:trPr>
          <w:trHeight w:val="283"/>
        </w:trPr>
        <w:tc>
          <w:tcPr>
            <w:tcW w:w="2324" w:type="dxa"/>
            <w:tcBorders>
              <w:bottom w:val="single" w:sz="4" w:space="0" w:color="auto"/>
            </w:tcBorders>
            <w:shd w:val="clear" w:color="auto" w:fill="auto"/>
            <w:vAlign w:val="center"/>
            <w:hideMark/>
          </w:tcPr>
          <w:p w14:paraId="78DB9356" w14:textId="77777777" w:rsidR="003E5BF5" w:rsidRPr="00293D7B" w:rsidRDefault="003E5BF5" w:rsidP="00DE1921">
            <w:pPr>
              <w:rPr>
                <w:rFonts w:ascii="Arial" w:hAnsi="Arial" w:cs="Arial"/>
                <w:sz w:val="24"/>
                <w:szCs w:val="24"/>
              </w:rPr>
            </w:pPr>
            <w:r w:rsidRPr="00293D7B">
              <w:rPr>
                <w:rFonts w:ascii="Arial" w:hAnsi="Arial" w:cs="Arial"/>
                <w:sz w:val="24"/>
                <w:szCs w:val="24"/>
              </w:rPr>
              <w:t>Note 9.4 Equity</w:t>
            </w:r>
          </w:p>
        </w:tc>
        <w:tc>
          <w:tcPr>
            <w:tcW w:w="2383" w:type="dxa"/>
            <w:tcBorders>
              <w:bottom w:val="single" w:sz="4" w:space="0" w:color="auto"/>
            </w:tcBorders>
            <w:shd w:val="clear" w:color="auto" w:fill="auto"/>
            <w:vAlign w:val="center"/>
            <w:hideMark/>
          </w:tcPr>
          <w:p w14:paraId="1AB0468D" w14:textId="77777777" w:rsidR="003E5BF5" w:rsidRPr="00293D7B" w:rsidRDefault="003E5BF5" w:rsidP="00DE1921">
            <w:pPr>
              <w:rPr>
                <w:rFonts w:ascii="Arial" w:hAnsi="Arial" w:cs="Arial"/>
                <w:sz w:val="24"/>
                <w:szCs w:val="24"/>
              </w:rPr>
            </w:pPr>
            <w:r w:rsidRPr="00293D7B">
              <w:rPr>
                <w:rFonts w:ascii="Arial" w:hAnsi="Arial" w:cs="Arial"/>
                <w:sz w:val="24"/>
                <w:szCs w:val="24"/>
              </w:rPr>
              <w:t>—</w:t>
            </w:r>
          </w:p>
        </w:tc>
        <w:tc>
          <w:tcPr>
            <w:tcW w:w="924" w:type="dxa"/>
            <w:tcBorders>
              <w:bottom w:val="single" w:sz="4" w:space="0" w:color="auto"/>
            </w:tcBorders>
            <w:shd w:val="clear" w:color="auto" w:fill="auto"/>
            <w:noWrap/>
            <w:vAlign w:val="center"/>
            <w:hideMark/>
          </w:tcPr>
          <w:p w14:paraId="778F4FE2"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924" w:type="dxa"/>
            <w:tcBorders>
              <w:bottom w:val="single" w:sz="4" w:space="0" w:color="auto"/>
            </w:tcBorders>
            <w:shd w:val="clear" w:color="auto" w:fill="auto"/>
            <w:noWrap/>
            <w:vAlign w:val="center"/>
            <w:hideMark/>
          </w:tcPr>
          <w:p w14:paraId="4FF887F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987" w:type="dxa"/>
            <w:tcBorders>
              <w:bottom w:val="single" w:sz="4" w:space="0" w:color="auto"/>
            </w:tcBorders>
            <w:shd w:val="clear" w:color="auto" w:fill="auto"/>
            <w:noWrap/>
            <w:vAlign w:val="center"/>
            <w:hideMark/>
          </w:tcPr>
          <w:p w14:paraId="0C83DF54"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3264" w:type="dxa"/>
            <w:tcBorders>
              <w:bottom w:val="single" w:sz="4" w:space="0" w:color="auto"/>
            </w:tcBorders>
            <w:shd w:val="clear" w:color="auto" w:fill="auto"/>
            <w:vAlign w:val="center"/>
            <w:hideMark/>
          </w:tcPr>
          <w:p w14:paraId="3A1B4486" w14:textId="77777777" w:rsidR="003E5BF5" w:rsidRPr="00293D7B" w:rsidRDefault="003E5BF5" w:rsidP="00DE1921">
            <w:pPr>
              <w:rPr>
                <w:rFonts w:ascii="Arial" w:hAnsi="Arial" w:cs="Arial"/>
                <w:sz w:val="24"/>
                <w:szCs w:val="24"/>
              </w:rPr>
            </w:pPr>
            <w:r w:rsidRPr="00293D7B">
              <w:rPr>
                <w:rFonts w:ascii="Arial" w:hAnsi="Arial" w:cs="Arial"/>
                <w:sz w:val="24"/>
                <w:szCs w:val="24"/>
              </w:rPr>
              <w:t>Physical asset revaluation surplus</w:t>
            </w:r>
          </w:p>
        </w:tc>
        <w:tc>
          <w:tcPr>
            <w:tcW w:w="992" w:type="dxa"/>
            <w:tcBorders>
              <w:bottom w:val="single" w:sz="4" w:space="0" w:color="auto"/>
            </w:tcBorders>
            <w:shd w:val="clear" w:color="auto" w:fill="auto"/>
            <w:noWrap/>
            <w:vAlign w:val="center"/>
            <w:hideMark/>
          </w:tcPr>
          <w:p w14:paraId="4320AC8F"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36,986 </w:t>
            </w:r>
          </w:p>
        </w:tc>
        <w:tc>
          <w:tcPr>
            <w:tcW w:w="993" w:type="dxa"/>
            <w:tcBorders>
              <w:bottom w:val="single" w:sz="4" w:space="0" w:color="auto"/>
            </w:tcBorders>
            <w:shd w:val="clear" w:color="auto" w:fill="auto"/>
            <w:noWrap/>
            <w:vAlign w:val="center"/>
            <w:hideMark/>
          </w:tcPr>
          <w:p w14:paraId="5788C8A8"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11,805 </w:t>
            </w:r>
          </w:p>
        </w:tc>
        <w:tc>
          <w:tcPr>
            <w:tcW w:w="817" w:type="dxa"/>
            <w:tcBorders>
              <w:bottom w:val="single" w:sz="4" w:space="0" w:color="auto"/>
            </w:tcBorders>
            <w:shd w:val="clear" w:color="auto" w:fill="auto"/>
            <w:noWrap/>
            <w:vAlign w:val="center"/>
            <w:hideMark/>
          </w:tcPr>
          <w:p w14:paraId="3586C5A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1,563 </w:t>
            </w:r>
          </w:p>
        </w:tc>
      </w:tr>
      <w:tr w:rsidR="003E5BF5" w:rsidRPr="00293D7B" w14:paraId="082F06C7" w14:textId="77777777" w:rsidTr="000F285B">
        <w:trPr>
          <w:trHeight w:val="283"/>
        </w:trPr>
        <w:tc>
          <w:tcPr>
            <w:tcW w:w="2324" w:type="dxa"/>
            <w:tcBorders>
              <w:bottom w:val="single" w:sz="4" w:space="0" w:color="auto"/>
            </w:tcBorders>
            <w:shd w:val="clear" w:color="auto" w:fill="auto"/>
            <w:vAlign w:val="center"/>
            <w:hideMark/>
          </w:tcPr>
          <w:p w14:paraId="12AD3BBA" w14:textId="77777777" w:rsidR="003E5BF5" w:rsidRPr="00293D7B" w:rsidRDefault="003E5BF5" w:rsidP="00DE1921">
            <w:pPr>
              <w:rPr>
                <w:rFonts w:ascii="Arial" w:hAnsi="Arial" w:cs="Arial"/>
                <w:sz w:val="24"/>
                <w:szCs w:val="24"/>
              </w:rPr>
            </w:pPr>
            <w:r w:rsidRPr="00293D7B">
              <w:rPr>
                <w:rFonts w:ascii="Arial" w:hAnsi="Arial" w:cs="Arial"/>
                <w:sz w:val="24"/>
                <w:szCs w:val="24"/>
              </w:rPr>
              <w:t>Note 9.4 Equity</w:t>
            </w:r>
          </w:p>
        </w:tc>
        <w:tc>
          <w:tcPr>
            <w:tcW w:w="2383" w:type="dxa"/>
            <w:tcBorders>
              <w:bottom w:val="single" w:sz="4" w:space="0" w:color="auto"/>
            </w:tcBorders>
            <w:shd w:val="clear" w:color="auto" w:fill="auto"/>
            <w:vAlign w:val="center"/>
            <w:hideMark/>
          </w:tcPr>
          <w:p w14:paraId="1AD91B99" w14:textId="77777777" w:rsidR="003E5BF5" w:rsidRPr="00293D7B" w:rsidRDefault="003E5BF5" w:rsidP="00DE1921">
            <w:pPr>
              <w:rPr>
                <w:rFonts w:ascii="Arial" w:hAnsi="Arial" w:cs="Arial"/>
                <w:sz w:val="24"/>
                <w:szCs w:val="24"/>
              </w:rPr>
            </w:pPr>
            <w:r w:rsidRPr="00293D7B">
              <w:rPr>
                <w:rFonts w:ascii="Arial" w:hAnsi="Arial" w:cs="Arial"/>
                <w:sz w:val="24"/>
                <w:szCs w:val="24"/>
              </w:rPr>
              <w:t>—</w:t>
            </w:r>
          </w:p>
        </w:tc>
        <w:tc>
          <w:tcPr>
            <w:tcW w:w="924" w:type="dxa"/>
            <w:tcBorders>
              <w:bottom w:val="single" w:sz="4" w:space="0" w:color="auto"/>
            </w:tcBorders>
            <w:shd w:val="clear" w:color="auto" w:fill="auto"/>
            <w:noWrap/>
            <w:vAlign w:val="center"/>
            <w:hideMark/>
          </w:tcPr>
          <w:p w14:paraId="16048BEF"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924" w:type="dxa"/>
            <w:tcBorders>
              <w:bottom w:val="single" w:sz="4" w:space="0" w:color="auto"/>
            </w:tcBorders>
            <w:shd w:val="clear" w:color="auto" w:fill="auto"/>
            <w:noWrap/>
            <w:vAlign w:val="center"/>
            <w:hideMark/>
          </w:tcPr>
          <w:p w14:paraId="47791103"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987" w:type="dxa"/>
            <w:tcBorders>
              <w:bottom w:val="single" w:sz="4" w:space="0" w:color="auto"/>
            </w:tcBorders>
            <w:shd w:val="clear" w:color="auto" w:fill="auto"/>
            <w:noWrap/>
            <w:vAlign w:val="center"/>
            <w:hideMark/>
          </w:tcPr>
          <w:p w14:paraId="0A8E7AFB"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3264" w:type="dxa"/>
            <w:tcBorders>
              <w:bottom w:val="single" w:sz="4" w:space="0" w:color="auto"/>
            </w:tcBorders>
            <w:shd w:val="clear" w:color="auto" w:fill="auto"/>
            <w:vAlign w:val="center"/>
            <w:hideMark/>
          </w:tcPr>
          <w:p w14:paraId="1710AF53" w14:textId="77777777" w:rsidR="003E5BF5" w:rsidRPr="00293D7B" w:rsidRDefault="003E5BF5" w:rsidP="00DE1921">
            <w:pPr>
              <w:rPr>
                <w:rFonts w:ascii="Arial" w:hAnsi="Arial" w:cs="Arial"/>
                <w:sz w:val="24"/>
                <w:szCs w:val="24"/>
              </w:rPr>
            </w:pPr>
            <w:r w:rsidRPr="00293D7B">
              <w:rPr>
                <w:rFonts w:ascii="Arial" w:hAnsi="Arial" w:cs="Arial"/>
                <w:sz w:val="24"/>
                <w:szCs w:val="24"/>
              </w:rPr>
              <w:t>Accumulated surplus/(deficit)</w:t>
            </w:r>
          </w:p>
        </w:tc>
        <w:tc>
          <w:tcPr>
            <w:tcW w:w="992" w:type="dxa"/>
            <w:tcBorders>
              <w:bottom w:val="single" w:sz="4" w:space="0" w:color="auto"/>
            </w:tcBorders>
            <w:shd w:val="clear" w:color="auto" w:fill="auto"/>
            <w:noWrap/>
            <w:vAlign w:val="center"/>
            <w:hideMark/>
          </w:tcPr>
          <w:p w14:paraId="7622C935"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(11,805)</w:t>
            </w:r>
          </w:p>
        </w:tc>
        <w:tc>
          <w:tcPr>
            <w:tcW w:w="993" w:type="dxa"/>
            <w:tcBorders>
              <w:bottom w:val="single" w:sz="4" w:space="0" w:color="auto"/>
            </w:tcBorders>
            <w:shd w:val="clear" w:color="auto" w:fill="auto"/>
            <w:noWrap/>
            <w:vAlign w:val="center"/>
            <w:hideMark/>
          </w:tcPr>
          <w:p w14:paraId="2F8DF01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(1,563)</w:t>
            </w:r>
          </w:p>
        </w:tc>
        <w:tc>
          <w:tcPr>
            <w:tcW w:w="817" w:type="dxa"/>
            <w:tcBorders>
              <w:bottom w:val="single" w:sz="4" w:space="0" w:color="auto"/>
            </w:tcBorders>
            <w:shd w:val="clear" w:color="auto" w:fill="auto"/>
            <w:noWrap/>
            <w:vAlign w:val="center"/>
            <w:hideMark/>
          </w:tcPr>
          <w:p w14:paraId="73406351"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r>
    </w:tbl>
    <w:p w14:paraId="12D43338" w14:textId="77777777" w:rsidR="000F285B" w:rsidRPr="00293D7B" w:rsidRDefault="000F285B" w:rsidP="000F285B">
      <w:pPr>
        <w:pStyle w:val="Note"/>
        <w:rPr>
          <w:rFonts w:ascii="Arial" w:hAnsi="Arial" w:cs="Arial"/>
          <w:sz w:val="24"/>
          <w:szCs w:val="24"/>
        </w:rPr>
      </w:pPr>
      <w:r w:rsidRPr="00293D7B">
        <w:rPr>
          <w:rFonts w:ascii="Arial" w:hAnsi="Arial" w:cs="Arial"/>
          <w:sz w:val="24"/>
          <w:szCs w:val="24"/>
        </w:rPr>
        <w:t>Note:</w:t>
      </w:r>
    </w:p>
    <w:p w14:paraId="71BDAC01" w14:textId="77777777" w:rsidR="000F285B" w:rsidRPr="00293D7B" w:rsidRDefault="000F285B" w:rsidP="00610F5F">
      <w:pPr>
        <w:pStyle w:val="aaaNotenumberiiiiii"/>
        <w:numPr>
          <w:ilvl w:val="0"/>
          <w:numId w:val="115"/>
        </w:numPr>
      </w:pPr>
      <w:r w:rsidRPr="00293D7B">
        <w:t>The commitments relating to this SCA arrangement is disclosed in Note 7.5.2 Public Private Partnership (PPP) commitments.</w:t>
      </w:r>
    </w:p>
    <w:p w14:paraId="1E5A4497" w14:textId="77777777" w:rsidR="003E5BF5" w:rsidRDefault="003E5BF5" w:rsidP="00E24CFF">
      <w:pPr>
        <w:pStyle w:val="aaatyping"/>
      </w:pPr>
      <w:r>
        <w:t>The State will have access to the assets over their entire useful life. The residual interest in the greenfield assets will rest with the State. Brownfield assets are currently recognised on the State’s balance sheet.</w:t>
      </w:r>
    </w:p>
    <w:p w14:paraId="08060EDB" w14:textId="77777777" w:rsidR="003E5BF5" w:rsidRDefault="003E5BF5" w:rsidP="00E24CFF">
      <w:pPr>
        <w:pStyle w:val="aaatyping"/>
      </w:pPr>
      <w:r>
        <w:t>The contract does not include any options to extend or renew the services. The contract may be terminated in certain circumstances.</w:t>
      </w:r>
    </w:p>
    <w:p w14:paraId="6B748B4C" w14:textId="77777777" w:rsidR="003E5BF5" w:rsidRDefault="003E5BF5" w:rsidP="00E24CFF">
      <w:pPr>
        <w:pStyle w:val="aaatyping"/>
      </w:pPr>
      <w:r>
        <w:lastRenderedPageBreak/>
        <w:t xml:space="preserve">The Consortium must comply with the annual works plan which details scheduled servicing, maintenance, refurbishment and replacement of assets during the concession period which must be consistent with the asset replacement and refurbishment program in terms of nature, scope and scale. </w:t>
      </w:r>
    </w:p>
    <w:p w14:paraId="7110D519" w14:textId="77777777" w:rsidR="003E5BF5" w:rsidRDefault="003E5BF5" w:rsidP="00E24CFF">
      <w:pPr>
        <w:pStyle w:val="aaatyping"/>
      </w:pPr>
      <w:r>
        <w:t>The Consortium will be provided with appropriate access to the asset in order to fulfil its obligations.</w:t>
      </w:r>
    </w:p>
    <w:p w14:paraId="2505B955" w14:textId="77777777" w:rsidR="003E5BF5" w:rsidRPr="00E24CFF" w:rsidRDefault="003E5BF5" w:rsidP="00E24CFF">
      <w:pPr>
        <w:pStyle w:val="aaatyping"/>
        <w:rPr>
          <w:rStyle w:val="Heading5Char"/>
          <w:rFonts w:eastAsiaTheme="minorHAnsi"/>
          <w:color w:val="auto"/>
        </w:rPr>
      </w:pPr>
      <w:r w:rsidRPr="00E24CFF">
        <w:rPr>
          <w:rStyle w:val="Heading5Char"/>
          <w:rFonts w:eastAsiaTheme="minorHAnsi"/>
          <w:color w:val="auto"/>
        </w:rPr>
        <w:t>There were no changes to the arrangements during the reporting period.</w:t>
      </w:r>
    </w:p>
    <w:p w14:paraId="6A57E03D" w14:textId="77777777" w:rsidR="00E24CFF" w:rsidRDefault="00E24CFF" w:rsidP="00E24CFF">
      <w:pPr>
        <w:pStyle w:val="aaatyping"/>
        <w:rPr>
          <w:rStyle w:val="Heading5Char"/>
          <w:rFonts w:eastAsiaTheme="minorEastAsia"/>
        </w:rPr>
      </w:pPr>
    </w:p>
    <w:p w14:paraId="778DAD47" w14:textId="1C39A411" w:rsidR="00E24CFF" w:rsidRDefault="00E24CFF" w:rsidP="00E24CFF">
      <w:pPr>
        <w:pStyle w:val="aaatyping"/>
        <w:rPr>
          <w:rStyle w:val="Heading5Char"/>
          <w:rFonts w:eastAsiaTheme="minorEastAsia"/>
        </w:rPr>
        <w:sectPr w:rsidR="00E24CFF" w:rsidSect="00DE1921">
          <w:headerReference w:type="even" r:id="rId168"/>
          <w:headerReference w:type="default" r:id="rId169"/>
          <w:footerReference w:type="even" r:id="rId170"/>
          <w:pgSz w:w="16838" w:h="11906" w:orient="landscape"/>
          <w:pgMar w:top="1418" w:right="1701" w:bottom="1418" w:left="1418" w:header="709" w:footer="709" w:gutter="0"/>
          <w:cols w:space="708"/>
          <w:docGrid w:linePitch="360"/>
        </w:sectPr>
      </w:pPr>
    </w:p>
    <w:p w14:paraId="13CEA5FE" w14:textId="77777777" w:rsidR="003E5BF5" w:rsidRPr="007A2BFF" w:rsidRDefault="003E5BF5" w:rsidP="00DE1921">
      <w:pPr>
        <w:sectPr w:rsidR="003E5BF5" w:rsidRPr="007A2BFF" w:rsidSect="00DE1921">
          <w:headerReference w:type="even" r:id="rId171"/>
          <w:headerReference w:type="default" r:id="rId172"/>
          <w:footerReference w:type="even" r:id="rId173"/>
          <w:pgSz w:w="11906" w:h="16838"/>
          <w:pgMar w:top="1701" w:right="1418" w:bottom="1418" w:left="1418" w:header="708" w:footer="708" w:gutter="0"/>
          <w:cols w:num="2" w:space="708"/>
          <w:docGrid w:linePitch="360"/>
        </w:sectPr>
      </w:pPr>
      <w:bookmarkStart w:id="520" w:name="p251"/>
      <w:bookmarkEnd w:id="520"/>
    </w:p>
    <w:p w14:paraId="79C2B725" w14:textId="77777777" w:rsidR="003E5BF5" w:rsidRDefault="003E5BF5" w:rsidP="00610F5F">
      <w:pPr>
        <w:pStyle w:val="Heading1"/>
        <w:numPr>
          <w:ilvl w:val="0"/>
          <w:numId w:val="21"/>
        </w:numPr>
      </w:pPr>
      <w:bookmarkStart w:id="521" w:name="_Toc55130696"/>
      <w:r w:rsidRPr="007444F0">
        <w:t>RISKS, CONTINGENCIES AND VALUATION JUDGEMENTS</w:t>
      </w:r>
      <w:bookmarkEnd w:id="521"/>
    </w:p>
    <w:p w14:paraId="3DF8F749" w14:textId="77777777" w:rsidR="003E5BF5" w:rsidRDefault="003E5BF5" w:rsidP="00DE1921">
      <w:pPr>
        <w:sectPr w:rsidR="003E5BF5" w:rsidSect="00DE1921">
          <w:type w:val="continuous"/>
          <w:pgSz w:w="11906" w:h="16838"/>
          <w:pgMar w:top="1701" w:right="1418" w:bottom="1418" w:left="1418" w:header="708" w:footer="708" w:gutter="0"/>
          <w:cols w:space="708"/>
          <w:docGrid w:linePitch="360"/>
        </w:sectPr>
      </w:pPr>
    </w:p>
    <w:p w14:paraId="13337447" w14:textId="77777777" w:rsidR="003E5BF5" w:rsidRPr="00F37E08" w:rsidRDefault="003E5BF5" w:rsidP="008A0170">
      <w:pPr>
        <w:pStyle w:val="Heading2"/>
      </w:pPr>
      <w:r w:rsidRPr="00F37E08">
        <w:t>Introduction</w:t>
      </w:r>
    </w:p>
    <w:p w14:paraId="78DB1162" w14:textId="77777777" w:rsidR="006251CD" w:rsidRDefault="003E5BF5" w:rsidP="00E24CFF">
      <w:pPr>
        <w:pStyle w:val="aaatyping"/>
      </w:pPr>
      <w:r>
        <w:t>The department</w:t>
      </w:r>
      <w:r w:rsidRPr="007444F0">
        <w:t xml:space="preserv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w:t>
      </w:r>
      <w:r>
        <w:t>the department</w:t>
      </w:r>
      <w:r w:rsidRPr="007444F0">
        <w:t xml:space="preserve"> relate mainly to fair value determination.</w:t>
      </w:r>
    </w:p>
    <w:p w14:paraId="38008995" w14:textId="6FEDD72C" w:rsidR="003E5BF5" w:rsidRPr="0018443D" w:rsidRDefault="003E5BF5" w:rsidP="006A1233">
      <w:pPr>
        <w:pStyle w:val="Heading3"/>
        <w:rPr>
          <w:rStyle w:val="Heading2Char"/>
        </w:rPr>
      </w:pPr>
      <w:r w:rsidRPr="006A1233">
        <w:rPr>
          <w:rStyle w:val="Heading2Char"/>
          <w:rFonts w:ascii="Arial" w:hAnsi="Arial" w:cs="Arial"/>
          <w:sz w:val="32"/>
          <w:szCs w:val="32"/>
        </w:rPr>
        <w:t>Structure</w:t>
      </w:r>
    </w:p>
    <w:p w14:paraId="07AADF0A" w14:textId="4BFC5817" w:rsidR="003E5BF5" w:rsidRDefault="003E5BF5" w:rsidP="00796906">
      <w:pPr>
        <w:pStyle w:val="TOC1"/>
        <w:rPr>
          <w:rFonts w:asciiTheme="minorHAnsi" w:hAnsiTheme="minorHAnsi"/>
          <w:sz w:val="22"/>
          <w:lang w:eastAsia="en-AU"/>
        </w:rPr>
      </w:pPr>
      <w:r w:rsidRPr="007444F0">
        <w:rPr>
          <w:sz w:val="28"/>
        </w:rPr>
        <w:fldChar w:fldCharType="begin"/>
      </w:r>
      <w:r w:rsidRPr="007444F0">
        <w:instrText xml:space="preserve"> TOC \t "Heading 2,1" \b SEC8 \h \* MERGEFORMAT </w:instrText>
      </w:r>
      <w:r w:rsidRPr="007444F0">
        <w:rPr>
          <w:sz w:val="28"/>
        </w:rPr>
        <w:fldChar w:fldCharType="separate"/>
      </w:r>
      <w:hyperlink w:anchor="_Toc41469635" w:history="1">
        <w:r w:rsidRPr="00382166">
          <w:rPr>
            <w:rStyle w:val="Hyperlink"/>
          </w:rPr>
          <w:t>8.1Financial instruments specific disclosures</w:t>
        </w:r>
        <w:r>
          <w:tab/>
        </w:r>
        <w:r>
          <w:fldChar w:fldCharType="begin"/>
        </w:r>
        <w:r>
          <w:instrText xml:space="preserve"> PAGEREF _Toc41469635 \h </w:instrText>
        </w:r>
        <w:r>
          <w:fldChar w:fldCharType="separate"/>
        </w:r>
        <w:r w:rsidR="000C328E">
          <w:t>251</w:t>
        </w:r>
        <w:r>
          <w:fldChar w:fldCharType="end"/>
        </w:r>
      </w:hyperlink>
    </w:p>
    <w:p w14:paraId="413B482B" w14:textId="7AB9F450" w:rsidR="003E5BF5" w:rsidRDefault="009B2DDD" w:rsidP="00796906">
      <w:pPr>
        <w:pStyle w:val="TOC1"/>
        <w:rPr>
          <w:rFonts w:asciiTheme="minorHAnsi" w:hAnsiTheme="minorHAnsi"/>
          <w:sz w:val="22"/>
          <w:lang w:eastAsia="en-AU"/>
        </w:rPr>
      </w:pPr>
      <w:hyperlink w:anchor="_Toc41469636" w:history="1">
        <w:r w:rsidR="003E5BF5" w:rsidRPr="00382166">
          <w:rPr>
            <w:rStyle w:val="Hyperlink"/>
          </w:rPr>
          <w:t>8.2Contingent assets and contingent liabilities</w:t>
        </w:r>
        <w:r w:rsidR="003E5BF5">
          <w:tab/>
        </w:r>
        <w:r w:rsidR="003E5BF5">
          <w:fldChar w:fldCharType="begin"/>
        </w:r>
        <w:r w:rsidR="003E5BF5">
          <w:instrText xml:space="preserve"> PAGEREF _Toc41469636 \h </w:instrText>
        </w:r>
        <w:r w:rsidR="003E5BF5">
          <w:fldChar w:fldCharType="separate"/>
        </w:r>
        <w:r w:rsidR="000C328E">
          <w:t>268</w:t>
        </w:r>
        <w:r w:rsidR="003E5BF5">
          <w:fldChar w:fldCharType="end"/>
        </w:r>
      </w:hyperlink>
    </w:p>
    <w:p w14:paraId="1A4C62AE" w14:textId="5A6D38FB" w:rsidR="003E5BF5" w:rsidRDefault="009B2DDD" w:rsidP="00796906">
      <w:pPr>
        <w:pStyle w:val="TOC1"/>
        <w:rPr>
          <w:rFonts w:asciiTheme="minorHAnsi" w:hAnsiTheme="minorHAnsi"/>
          <w:sz w:val="22"/>
          <w:lang w:eastAsia="en-AU"/>
        </w:rPr>
      </w:pPr>
      <w:hyperlink w:anchor="_Toc41469637" w:history="1">
        <w:r w:rsidR="003E5BF5" w:rsidRPr="00382166">
          <w:rPr>
            <w:rStyle w:val="Hyperlink"/>
          </w:rPr>
          <w:t>8.3Fair value determination</w:t>
        </w:r>
        <w:r w:rsidR="003E5BF5">
          <w:tab/>
        </w:r>
        <w:r w:rsidR="003E5BF5">
          <w:fldChar w:fldCharType="begin"/>
        </w:r>
        <w:r w:rsidR="003E5BF5">
          <w:instrText xml:space="preserve"> PAGEREF _Toc41469637 \h </w:instrText>
        </w:r>
        <w:r w:rsidR="003E5BF5">
          <w:fldChar w:fldCharType="separate"/>
        </w:r>
        <w:r w:rsidR="000C328E">
          <w:t>273</w:t>
        </w:r>
        <w:r w:rsidR="003E5BF5">
          <w:fldChar w:fldCharType="end"/>
        </w:r>
      </w:hyperlink>
    </w:p>
    <w:p w14:paraId="7F726481" w14:textId="77777777" w:rsidR="003E5BF5" w:rsidRPr="007444F0" w:rsidRDefault="003E5BF5" w:rsidP="00DE1921">
      <w:pPr>
        <w:pStyle w:val="TOC2"/>
        <w:framePr w:wrap="around"/>
      </w:pPr>
      <w:r w:rsidRPr="007444F0">
        <w:fldChar w:fldCharType="end"/>
      </w:r>
    </w:p>
    <w:p w14:paraId="6286AB03" w14:textId="77777777" w:rsidR="003E5BF5" w:rsidRPr="007444F0" w:rsidRDefault="003E5BF5" w:rsidP="00DE1921">
      <w:pPr>
        <w:pStyle w:val="TOC2"/>
        <w:framePr w:wrap="around"/>
        <w:sectPr w:rsidR="003E5BF5" w:rsidRPr="007444F0" w:rsidSect="006F7899">
          <w:type w:val="continuous"/>
          <w:pgSz w:w="11906" w:h="16838"/>
          <w:pgMar w:top="1701" w:right="1418" w:bottom="1418" w:left="1418" w:header="708" w:footer="708" w:gutter="0"/>
          <w:cols w:space="708"/>
          <w:docGrid w:linePitch="360"/>
        </w:sectPr>
      </w:pPr>
    </w:p>
    <w:p w14:paraId="635B7F8F" w14:textId="77777777" w:rsidR="003E5BF5" w:rsidRPr="007444F0" w:rsidRDefault="003E5BF5" w:rsidP="00DE1921">
      <w:pPr>
        <w:spacing w:after="0"/>
        <w:sectPr w:rsidR="003E5BF5" w:rsidRPr="007444F0" w:rsidSect="006F7899">
          <w:type w:val="continuous"/>
          <w:pgSz w:w="11906" w:h="16838"/>
          <w:pgMar w:top="1701" w:right="1418" w:bottom="1418" w:left="1418" w:header="708" w:footer="708" w:gutter="0"/>
          <w:cols w:space="708"/>
          <w:docGrid w:linePitch="360"/>
        </w:sectPr>
      </w:pPr>
    </w:p>
    <w:p w14:paraId="40D066F6" w14:textId="77777777" w:rsidR="006F7899" w:rsidRDefault="006F7899" w:rsidP="00610F5F">
      <w:pPr>
        <w:pStyle w:val="Heading2"/>
        <w:numPr>
          <w:ilvl w:val="1"/>
          <w:numId w:val="22"/>
        </w:numPr>
        <w:sectPr w:rsidR="006F7899" w:rsidSect="00DE1921">
          <w:headerReference w:type="even" r:id="rId174"/>
          <w:headerReference w:type="default" r:id="rId175"/>
          <w:headerReference w:type="first" r:id="rId176"/>
          <w:type w:val="continuous"/>
          <w:pgSz w:w="11906" w:h="16838"/>
          <w:pgMar w:top="1701" w:right="1418" w:bottom="1418" w:left="1418" w:header="708" w:footer="708" w:gutter="0"/>
          <w:cols w:space="708"/>
          <w:docGrid w:linePitch="360"/>
        </w:sectPr>
      </w:pPr>
      <w:bookmarkStart w:id="522" w:name="_Toc522177983"/>
      <w:bookmarkStart w:id="523" w:name="_Toc529197928"/>
      <w:bookmarkStart w:id="524" w:name="_Toc529197998"/>
      <w:bookmarkStart w:id="525" w:name="_Toc530386195"/>
      <w:bookmarkStart w:id="526" w:name="_Toc9344344"/>
      <w:bookmarkStart w:id="527" w:name="_Toc41469635"/>
      <w:bookmarkStart w:id="528" w:name="_Toc53420686"/>
      <w:bookmarkStart w:id="529" w:name="SEC8"/>
    </w:p>
    <w:p w14:paraId="48397940" w14:textId="5D632D5E" w:rsidR="003E5BF5" w:rsidRPr="007444F0" w:rsidRDefault="003E5BF5" w:rsidP="00610F5F">
      <w:pPr>
        <w:pStyle w:val="Heading2"/>
        <w:numPr>
          <w:ilvl w:val="1"/>
          <w:numId w:val="22"/>
        </w:numPr>
      </w:pPr>
      <w:r w:rsidRPr="007444F0">
        <w:t>Financial instruments specific disclosures</w:t>
      </w:r>
      <w:bookmarkEnd w:id="522"/>
      <w:bookmarkEnd w:id="523"/>
      <w:bookmarkEnd w:id="524"/>
      <w:bookmarkEnd w:id="525"/>
      <w:bookmarkEnd w:id="526"/>
      <w:bookmarkEnd w:id="527"/>
      <w:bookmarkEnd w:id="528"/>
    </w:p>
    <w:p w14:paraId="5FED6018" w14:textId="77777777" w:rsidR="003E5BF5" w:rsidRPr="00D6254A" w:rsidRDefault="003E5BF5" w:rsidP="00EF5131">
      <w:pPr>
        <w:pStyle w:val="Heading5"/>
      </w:pPr>
      <w:r w:rsidRPr="00D6254A">
        <w:t>Introduction</w:t>
      </w:r>
    </w:p>
    <w:p w14:paraId="308C5C60" w14:textId="77777777" w:rsidR="003E5BF5" w:rsidRPr="007444F0" w:rsidRDefault="003E5BF5" w:rsidP="00E24CFF">
      <w:pPr>
        <w:pStyle w:val="aaatyping"/>
      </w:pPr>
      <w:r w:rsidRPr="007444F0">
        <w:t xml:space="preserve">Financial instruments arise out of contractual agreements that give rise to a financial asset of one entity and a financial liability or equity instrument of another entity. Due to the nature of the </w:t>
      </w:r>
      <w:r>
        <w:t>department</w:t>
      </w:r>
      <w:r w:rsidRPr="007444F0">
        <w:t xml:space="preserve">’s activities, certain financial assets and financial liabilities arise under statute rather than a contract (for example taxes, fines and penalties). Such assets and liabilities do not meet the definition of financial instruments in AASB 132 </w:t>
      </w:r>
      <w:r w:rsidRPr="007444F0">
        <w:rPr>
          <w:i/>
        </w:rPr>
        <w:t>Financial Instruments: Presentation</w:t>
      </w:r>
      <w:r w:rsidRPr="007444F0">
        <w:t>.</w:t>
      </w:r>
    </w:p>
    <w:p w14:paraId="13C098AF" w14:textId="77777777" w:rsidR="003E5BF5" w:rsidRPr="00D6254A" w:rsidRDefault="003E5BF5" w:rsidP="00EF5131">
      <w:pPr>
        <w:pStyle w:val="Heading5"/>
      </w:pPr>
      <w:r w:rsidRPr="00D6254A">
        <w:lastRenderedPageBreak/>
        <w:t xml:space="preserve">Categories of financial assets </w:t>
      </w:r>
    </w:p>
    <w:p w14:paraId="5EAE21D4" w14:textId="77777777" w:rsidR="003E5BF5" w:rsidRPr="00993819" w:rsidRDefault="003E5BF5" w:rsidP="00E55C5F">
      <w:pPr>
        <w:pStyle w:val="aaaboldheadingfinance"/>
      </w:pPr>
      <w:r w:rsidRPr="00993819">
        <w:t>Financial assets at amortised cost</w:t>
      </w:r>
    </w:p>
    <w:p w14:paraId="59549AF4" w14:textId="77777777" w:rsidR="003E5BF5" w:rsidRPr="007444F0" w:rsidRDefault="003E5BF5" w:rsidP="00E24CFF">
      <w:pPr>
        <w:pStyle w:val="aaatyping"/>
      </w:pPr>
      <w:r w:rsidRPr="007444F0">
        <w:t>Financial assets are measured at amortised costs if both of the following criteria are met and the assets are not designated as fair value through net result:</w:t>
      </w:r>
    </w:p>
    <w:p w14:paraId="1DC973C9" w14:textId="77777777" w:rsidR="003E5BF5" w:rsidRPr="001429C9" w:rsidRDefault="003E5BF5" w:rsidP="00E24CFF">
      <w:pPr>
        <w:pStyle w:val="aaabullet"/>
      </w:pPr>
      <w:r w:rsidRPr="001429C9">
        <w:t>The assets are held by the department to collect the contractual cash flows.</w:t>
      </w:r>
    </w:p>
    <w:p w14:paraId="546BA422" w14:textId="77777777" w:rsidR="003E5BF5" w:rsidRPr="007444F0" w:rsidRDefault="003E5BF5" w:rsidP="00E24CFF">
      <w:pPr>
        <w:pStyle w:val="aaabullet"/>
      </w:pPr>
      <w:r w:rsidRPr="001429C9">
        <w:t>The assets’ contractual terms</w:t>
      </w:r>
      <w:r w:rsidRPr="007444F0">
        <w:t xml:space="preserve"> give rise to cash flows </w:t>
      </w:r>
      <w:r>
        <w:t>that are</w:t>
      </w:r>
      <w:r w:rsidRPr="007444F0">
        <w:t xml:space="preserve"> principal and interest</w:t>
      </w:r>
      <w:r>
        <w:t xml:space="preserve"> payments</w:t>
      </w:r>
      <w:r w:rsidRPr="007444F0">
        <w:t>.</w:t>
      </w:r>
    </w:p>
    <w:p w14:paraId="40849C72" w14:textId="77777777" w:rsidR="003E5BF5" w:rsidRPr="007444F0" w:rsidRDefault="003E5BF5" w:rsidP="00E24CFF">
      <w:pPr>
        <w:pStyle w:val="aaatyping"/>
      </w:pPr>
      <w:r w:rsidRPr="007444F0">
        <w:t xml:space="preserve">These assets are initially recognised at fair value plus any directly attributable transaction costs and subsequently measured at amortised cost using the effective interest method less any impairment. </w:t>
      </w:r>
    </w:p>
    <w:p w14:paraId="3A729110" w14:textId="77777777" w:rsidR="003E5BF5" w:rsidRPr="007444F0" w:rsidRDefault="003E5BF5" w:rsidP="00E24CFF">
      <w:pPr>
        <w:pStyle w:val="aaatyping"/>
      </w:pPr>
      <w:r w:rsidRPr="007444F0">
        <w:t xml:space="preserve">The </w:t>
      </w:r>
      <w:r>
        <w:t>d</w:t>
      </w:r>
      <w:r w:rsidRPr="007444F0">
        <w:t>epartment recognises the following assets in this category:</w:t>
      </w:r>
    </w:p>
    <w:p w14:paraId="5833EFDF" w14:textId="77777777" w:rsidR="003E5BF5" w:rsidRPr="00B53D60" w:rsidRDefault="003E5BF5" w:rsidP="00E24CFF">
      <w:pPr>
        <w:pStyle w:val="aaabullet"/>
      </w:pPr>
      <w:r w:rsidRPr="00B53D60">
        <w:t>cash and cash equivalent</w:t>
      </w:r>
    </w:p>
    <w:p w14:paraId="5B862EC7" w14:textId="77777777" w:rsidR="003E5BF5" w:rsidRPr="007444F0" w:rsidRDefault="003E5BF5" w:rsidP="00E24CFF">
      <w:pPr>
        <w:pStyle w:val="aaabullet"/>
      </w:pPr>
      <w:r w:rsidRPr="00B53D60">
        <w:t>rec</w:t>
      </w:r>
      <w:r w:rsidRPr="007444F0">
        <w:t>eivables (excluding statutory receivables)</w:t>
      </w:r>
      <w:r>
        <w:t>.</w:t>
      </w:r>
    </w:p>
    <w:p w14:paraId="45BD704B" w14:textId="77777777" w:rsidR="003E5BF5" w:rsidRPr="00BC025B" w:rsidRDefault="003E5BF5" w:rsidP="00EF5131">
      <w:pPr>
        <w:pStyle w:val="Heading5"/>
      </w:pPr>
      <w:r w:rsidRPr="00BC025B">
        <w:t xml:space="preserve">Categories of financial liabilities </w:t>
      </w:r>
    </w:p>
    <w:p w14:paraId="0F89CB96" w14:textId="77777777" w:rsidR="003E5BF5" w:rsidRPr="00927330" w:rsidRDefault="003E5BF5" w:rsidP="00E24CFF">
      <w:pPr>
        <w:pStyle w:val="aaatyping"/>
      </w:pPr>
      <w:r w:rsidRPr="00927330">
        <w:rPr>
          <w:b/>
        </w:rPr>
        <w:t>Financial liabilities at amortised cost</w:t>
      </w:r>
      <w:r w:rsidRPr="00927330">
        <w:t xml:space="preserve"> Financial instrument liabilities are initially recognised on the date they are originated. They are initially recognised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weighted average interest rate method.</w:t>
      </w:r>
    </w:p>
    <w:p w14:paraId="3453E0E8" w14:textId="77777777" w:rsidR="003E5BF5" w:rsidRPr="00927330" w:rsidRDefault="003E5BF5" w:rsidP="00E24CFF">
      <w:pPr>
        <w:pStyle w:val="aaatyping"/>
      </w:pPr>
      <w:r w:rsidRPr="00927330">
        <w:t>Financial instrument liabilities measured at amortised cost include borrowings (including lease liabilities) and contractual payables.</w:t>
      </w:r>
    </w:p>
    <w:p w14:paraId="0A176522" w14:textId="77777777" w:rsidR="003E5BF5" w:rsidRDefault="003E5BF5" w:rsidP="00DE1921">
      <w:pPr>
        <w:sectPr w:rsidR="003E5BF5" w:rsidSect="00DE1921">
          <w:type w:val="continuous"/>
          <w:pgSz w:w="11906" w:h="16838"/>
          <w:pgMar w:top="1701" w:right="1418" w:bottom="1418" w:left="1418" w:header="708" w:footer="708" w:gutter="0"/>
          <w:cols w:space="708"/>
          <w:docGrid w:linePitch="360"/>
        </w:sectPr>
      </w:pPr>
    </w:p>
    <w:p w14:paraId="3E8F86F1" w14:textId="77777777" w:rsidR="003E5BF5" w:rsidRPr="00D6254A" w:rsidRDefault="003E5BF5" w:rsidP="00EF5131">
      <w:pPr>
        <w:pStyle w:val="Heading5"/>
      </w:pPr>
      <w:r w:rsidRPr="00D6254A">
        <w:lastRenderedPageBreak/>
        <w:t>Derecognition of financial assets</w:t>
      </w:r>
    </w:p>
    <w:p w14:paraId="2338B13B" w14:textId="77777777" w:rsidR="003E5BF5" w:rsidRPr="007444F0" w:rsidRDefault="003E5BF5" w:rsidP="00E24CFF">
      <w:pPr>
        <w:pStyle w:val="aaatyping"/>
      </w:pPr>
      <w:r w:rsidRPr="007444F0">
        <w:t>A financial asset (or, where applicable, a part of a financial asset or part of a group of similar financial assets) is derecognised when:</w:t>
      </w:r>
    </w:p>
    <w:p w14:paraId="50F3EA91" w14:textId="77777777" w:rsidR="003E5BF5" w:rsidRPr="003D062C" w:rsidRDefault="003E5BF5" w:rsidP="00E24CFF">
      <w:pPr>
        <w:pStyle w:val="aaabullet"/>
      </w:pPr>
      <w:r w:rsidRPr="003D062C">
        <w:t>the rights to receive cash flows from the asset have expired; or</w:t>
      </w:r>
    </w:p>
    <w:p w14:paraId="387A971D" w14:textId="77777777" w:rsidR="003E5BF5" w:rsidRPr="003D062C" w:rsidRDefault="003E5BF5" w:rsidP="00E24CFF">
      <w:pPr>
        <w:pStyle w:val="aaabullet"/>
      </w:pPr>
      <w:r>
        <w:t>the department</w:t>
      </w:r>
      <w:r w:rsidRPr="003D062C">
        <w:t xml:space="preserve"> retains the right to receive cash flows from the asset, but has assumed an obligation to pay them in full without material delay to a third party under a ‘pass through’ arrangement; or</w:t>
      </w:r>
    </w:p>
    <w:p w14:paraId="52041697" w14:textId="77777777" w:rsidR="003E5BF5" w:rsidRPr="003D062C" w:rsidRDefault="003E5BF5" w:rsidP="00E24CFF">
      <w:pPr>
        <w:pStyle w:val="aaabullet"/>
      </w:pPr>
      <w:r>
        <w:t>the department</w:t>
      </w:r>
      <w:r w:rsidRPr="003D062C">
        <w:t xml:space="preserve"> has transferred its rights to receive cash flows from the asset and either:</w:t>
      </w:r>
    </w:p>
    <w:p w14:paraId="01E37DA5" w14:textId="77777777" w:rsidR="003E5BF5" w:rsidRPr="00E24CFF" w:rsidRDefault="003E5BF5" w:rsidP="00A3753C">
      <w:pPr>
        <w:pStyle w:val="aahollow"/>
      </w:pPr>
      <w:r w:rsidRPr="00E24CFF">
        <w:t>has transferred substantially all the risks and rewards of the asset; or</w:t>
      </w:r>
    </w:p>
    <w:p w14:paraId="0F57CDCE" w14:textId="77777777" w:rsidR="003E5BF5" w:rsidRPr="00E24CFF" w:rsidRDefault="003E5BF5" w:rsidP="00A3753C">
      <w:pPr>
        <w:pStyle w:val="aahollow"/>
      </w:pPr>
      <w:r w:rsidRPr="00E24CFF">
        <w:t>has neither transferred nor retained substantially all the risks and rewards of the asset, but has transferred control of the asset.</w:t>
      </w:r>
    </w:p>
    <w:p w14:paraId="367F076B" w14:textId="77777777" w:rsidR="003E5BF5" w:rsidRPr="007444F0" w:rsidRDefault="003E5BF5" w:rsidP="003C2191">
      <w:pPr>
        <w:pStyle w:val="aaatyping"/>
      </w:pPr>
      <w:r w:rsidRPr="007444F0">
        <w:t xml:space="preserve">Where </w:t>
      </w:r>
      <w:r>
        <w:t>the department</w:t>
      </w:r>
      <w:r w:rsidRPr="007444F0">
        <w:t xml:space="preserve"> has neither transferred nor retained substantially all the risks and rewards or transferred control, the asset is recognised to the extent of </w:t>
      </w:r>
      <w:r>
        <w:t>the department</w:t>
      </w:r>
      <w:r w:rsidRPr="007444F0">
        <w:t>’s continuing involvement in the asset.</w:t>
      </w:r>
    </w:p>
    <w:p w14:paraId="424C6B76" w14:textId="77777777" w:rsidR="003E5BF5" w:rsidRPr="00D6254A" w:rsidRDefault="003E5BF5" w:rsidP="00EF5131">
      <w:pPr>
        <w:pStyle w:val="Heading5"/>
      </w:pPr>
      <w:r w:rsidRPr="00D6254A">
        <w:t>Derecognition of financial liabilities</w:t>
      </w:r>
    </w:p>
    <w:p w14:paraId="08C374AC" w14:textId="77777777" w:rsidR="003E5BF5" w:rsidRPr="007444F0" w:rsidRDefault="003E5BF5" w:rsidP="003C2191">
      <w:pPr>
        <w:pStyle w:val="aaatyping"/>
      </w:pPr>
      <w:r w:rsidRPr="007444F0">
        <w:t>A financial liability is derecognised when the obligation under the liability is discharged, cancelled or expires.</w:t>
      </w:r>
    </w:p>
    <w:p w14:paraId="4D5FA60D" w14:textId="77777777" w:rsidR="003E5BF5" w:rsidRDefault="003E5BF5" w:rsidP="003C2191">
      <w:pPr>
        <w:pStyle w:val="aaatyping"/>
        <w:rPr>
          <w:i/>
        </w:rPr>
      </w:pPr>
      <w:r w:rsidRPr="007444F0">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w:t>
      </w:r>
      <w:r>
        <w:t>‘</w:t>
      </w:r>
      <w:r w:rsidRPr="007444F0">
        <w:t>other economic flow</w:t>
      </w:r>
      <w:r>
        <w:t>’</w:t>
      </w:r>
      <w:r w:rsidRPr="007444F0">
        <w:t xml:space="preserve"> in the estimated consolidated comprehensive operating statement</w:t>
      </w:r>
      <w:r>
        <w:rPr>
          <w:i/>
        </w:rPr>
        <w:t>.</w:t>
      </w:r>
    </w:p>
    <w:p w14:paraId="69722A12" w14:textId="77777777" w:rsidR="003E5BF5" w:rsidRPr="00AF6240" w:rsidRDefault="003E5BF5" w:rsidP="00EF5131">
      <w:pPr>
        <w:pStyle w:val="Heading5"/>
      </w:pPr>
      <w:r w:rsidRPr="00AF6240">
        <w:lastRenderedPageBreak/>
        <w:t>Reclassification of financial instruments</w:t>
      </w:r>
    </w:p>
    <w:p w14:paraId="5BC4DD36" w14:textId="77777777" w:rsidR="003E5BF5" w:rsidRPr="007444F0" w:rsidRDefault="003E5BF5" w:rsidP="003C2191">
      <w:pPr>
        <w:pStyle w:val="aaatyping"/>
      </w:pPr>
      <w:r w:rsidRPr="007444F0">
        <w:t xml:space="preserve">Subsequent to initial recognition reclassification of financial liabilities is not permitted. Financial assets are required to </w:t>
      </w:r>
      <w:r>
        <w:t>be</w:t>
      </w:r>
      <w:r w:rsidRPr="007444F0">
        <w:t xml:space="preserve"> reclassified between fair value through net result, fair value through other comprehensive income and amortised cost when and only when the </w:t>
      </w:r>
      <w:r>
        <w:t>d</w:t>
      </w:r>
      <w:r w:rsidRPr="007444F0">
        <w:t>epartment’</w:t>
      </w:r>
      <w:r>
        <w:t>s</w:t>
      </w:r>
      <w:r w:rsidRPr="007444F0">
        <w:t xml:space="preserve"> business model for managing its financial assets has changes such that its previous model would no longer apply. </w:t>
      </w:r>
    </w:p>
    <w:p w14:paraId="2A67574E" w14:textId="77777777" w:rsidR="003E5BF5" w:rsidRPr="007444F0" w:rsidRDefault="003E5BF5" w:rsidP="003C2191">
      <w:pPr>
        <w:pStyle w:val="aaatyping"/>
      </w:pPr>
      <w:r w:rsidRPr="007444F0">
        <w:t xml:space="preserve">However, the </w:t>
      </w:r>
      <w:r>
        <w:t>department</w:t>
      </w:r>
      <w:r w:rsidRPr="007444F0">
        <w:t xml:space="preserve"> is generally unable to change its business model because it is determined by the Performance Management Framework (PMF) and all Victorian government departments are required to apply the PMF under the </w:t>
      </w:r>
      <w:r w:rsidRPr="00002772">
        <w:t>Standing Directions of t</w:t>
      </w:r>
      <w:r w:rsidRPr="00E20898">
        <w:t>he Assistant Treasurer 2018</w:t>
      </w:r>
      <w:r w:rsidRPr="00E26833">
        <w:t>.</w:t>
      </w:r>
      <w:r w:rsidRPr="007444F0">
        <w:t xml:space="preserve"> </w:t>
      </w:r>
    </w:p>
    <w:p w14:paraId="598D1A62" w14:textId="77777777" w:rsidR="003E5BF5" w:rsidRPr="007444F0" w:rsidRDefault="003E5BF5" w:rsidP="003C2191">
      <w:pPr>
        <w:pStyle w:val="aaatyping"/>
      </w:pPr>
      <w:r w:rsidRPr="007444F0">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w:t>
      </w:r>
    </w:p>
    <w:p w14:paraId="0A282F31" w14:textId="77777777" w:rsidR="003E5BF5" w:rsidRPr="007444F0" w:rsidRDefault="003E5BF5" w:rsidP="00DE1921">
      <w:pPr>
        <w:sectPr w:rsidR="003E5BF5" w:rsidRPr="007444F0" w:rsidSect="00DE1921">
          <w:headerReference w:type="even" r:id="rId177"/>
          <w:headerReference w:type="default" r:id="rId178"/>
          <w:footerReference w:type="even" r:id="rId179"/>
          <w:pgSz w:w="11906" w:h="16838"/>
          <w:pgMar w:top="1701" w:right="1418" w:bottom="1418" w:left="1418" w:header="708" w:footer="708" w:gutter="0"/>
          <w:cols w:space="708"/>
          <w:docGrid w:linePitch="360"/>
        </w:sectPr>
      </w:pPr>
    </w:p>
    <w:p w14:paraId="42A73069" w14:textId="77777777" w:rsidR="003E5BF5" w:rsidRPr="00614BAB" w:rsidRDefault="003E5BF5" w:rsidP="00610F5F">
      <w:pPr>
        <w:pStyle w:val="Heading3"/>
        <w:numPr>
          <w:ilvl w:val="2"/>
          <w:numId w:val="22"/>
        </w:numPr>
        <w:ind w:left="765" w:hanging="765"/>
        <w:rPr>
          <w:rFonts w:eastAsiaTheme="minorHAnsi"/>
          <w:lang w:eastAsia="en-AU"/>
        </w:rPr>
      </w:pPr>
      <w:bookmarkStart w:id="530" w:name="_Financial_instruments:_Categorisati"/>
      <w:bookmarkStart w:id="531" w:name="_Toc522177984"/>
      <w:bookmarkStart w:id="532" w:name="_Toc529197929"/>
      <w:bookmarkStart w:id="533" w:name="_Toc9344345"/>
      <w:bookmarkEnd w:id="530"/>
      <w:r w:rsidRPr="00614BAB">
        <w:lastRenderedPageBreak/>
        <w:t>Financial instruments: Categorisation</w:t>
      </w:r>
      <w:bookmarkStart w:id="534" w:name="RANGE!A3:F27"/>
      <w:bookmarkStart w:id="535" w:name="_1659080833"/>
      <w:bookmarkStart w:id="536" w:name="RANGE!A3:E33"/>
      <w:bookmarkEnd w:id="531"/>
      <w:bookmarkEnd w:id="532"/>
      <w:bookmarkEnd w:id="533"/>
      <w:bookmarkEnd w:id="534"/>
      <w:bookmarkEnd w:id="535"/>
      <w:bookmarkEnd w:id="536"/>
    </w:p>
    <w:tbl>
      <w:tblPr>
        <w:tblStyle w:val="TableGrid"/>
        <w:tblW w:w="13608" w:type="dxa"/>
        <w:tblLayout w:type="fixed"/>
        <w:tblLook w:val="04A0" w:firstRow="1" w:lastRow="0" w:firstColumn="1" w:lastColumn="0" w:noHBand="0" w:noVBand="1"/>
      </w:tblPr>
      <w:tblGrid>
        <w:gridCol w:w="4513"/>
        <w:gridCol w:w="2273"/>
        <w:gridCol w:w="2274"/>
        <w:gridCol w:w="2274"/>
        <w:gridCol w:w="2274"/>
      </w:tblGrid>
      <w:tr w:rsidR="003E5BF5" w:rsidRPr="00293D7B" w14:paraId="4A68374D" w14:textId="77777777" w:rsidTr="00BA467D">
        <w:trPr>
          <w:trHeight w:val="340"/>
        </w:trPr>
        <w:tc>
          <w:tcPr>
            <w:tcW w:w="4513" w:type="dxa"/>
            <w:shd w:val="clear" w:color="auto" w:fill="auto"/>
            <w:noWrap/>
            <w:vAlign w:val="center"/>
            <w:hideMark/>
          </w:tcPr>
          <w:p w14:paraId="22F9132A" w14:textId="77777777" w:rsidR="003E5BF5" w:rsidRPr="00293D7B" w:rsidRDefault="003E5BF5" w:rsidP="00DE1921">
            <w:pPr>
              <w:rPr>
                <w:rFonts w:ascii="Arial" w:hAnsi="Arial" w:cs="Arial"/>
                <w:sz w:val="24"/>
                <w:szCs w:val="24"/>
                <w:lang w:eastAsia="en-AU"/>
              </w:rPr>
            </w:pPr>
            <w:bookmarkStart w:id="537" w:name="_1659080858"/>
            <w:bookmarkEnd w:id="537"/>
          </w:p>
        </w:tc>
        <w:tc>
          <w:tcPr>
            <w:tcW w:w="9095" w:type="dxa"/>
            <w:gridSpan w:val="4"/>
            <w:shd w:val="clear" w:color="auto" w:fill="auto"/>
            <w:noWrap/>
            <w:vAlign w:val="center"/>
            <w:hideMark/>
          </w:tcPr>
          <w:p w14:paraId="4860F372"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 thousand)</w:t>
            </w:r>
          </w:p>
        </w:tc>
      </w:tr>
      <w:tr w:rsidR="003E5BF5" w:rsidRPr="00293D7B" w14:paraId="2F897A8A" w14:textId="77777777" w:rsidTr="00BA467D">
        <w:trPr>
          <w:trHeight w:val="340"/>
        </w:trPr>
        <w:tc>
          <w:tcPr>
            <w:tcW w:w="4513" w:type="dxa"/>
            <w:shd w:val="clear" w:color="auto" w:fill="auto"/>
            <w:noWrap/>
            <w:vAlign w:val="center"/>
            <w:hideMark/>
          </w:tcPr>
          <w:p w14:paraId="1B1E6B7A" w14:textId="77777777" w:rsidR="003E5BF5" w:rsidRPr="00293D7B" w:rsidRDefault="003E5BF5" w:rsidP="00DE1921">
            <w:pPr>
              <w:rPr>
                <w:rFonts w:ascii="Arial" w:hAnsi="Arial" w:cs="Arial"/>
                <w:sz w:val="24"/>
                <w:szCs w:val="24"/>
                <w:lang w:eastAsia="en-AU"/>
              </w:rPr>
            </w:pPr>
          </w:p>
        </w:tc>
        <w:tc>
          <w:tcPr>
            <w:tcW w:w="2273" w:type="dxa"/>
            <w:shd w:val="clear" w:color="auto" w:fill="auto"/>
            <w:vAlign w:val="bottom"/>
            <w:hideMark/>
          </w:tcPr>
          <w:p w14:paraId="790DED60"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Cash and cash equivalents</w:t>
            </w:r>
          </w:p>
        </w:tc>
        <w:tc>
          <w:tcPr>
            <w:tcW w:w="2274" w:type="dxa"/>
            <w:shd w:val="clear" w:color="auto" w:fill="auto"/>
            <w:vAlign w:val="bottom"/>
            <w:hideMark/>
          </w:tcPr>
          <w:p w14:paraId="265875B6"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Financial assets at amortised cost (AC)</w:t>
            </w:r>
          </w:p>
        </w:tc>
        <w:tc>
          <w:tcPr>
            <w:tcW w:w="2274" w:type="dxa"/>
            <w:shd w:val="clear" w:color="auto" w:fill="auto"/>
            <w:vAlign w:val="bottom"/>
            <w:hideMark/>
          </w:tcPr>
          <w:p w14:paraId="2AA88815"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Financial liabilities at amortised cost (AC)</w:t>
            </w:r>
          </w:p>
        </w:tc>
        <w:tc>
          <w:tcPr>
            <w:tcW w:w="2274" w:type="dxa"/>
            <w:shd w:val="clear" w:color="auto" w:fill="auto"/>
            <w:vAlign w:val="bottom"/>
            <w:hideMark/>
          </w:tcPr>
          <w:p w14:paraId="1E79539D"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Total</w:t>
            </w:r>
          </w:p>
        </w:tc>
      </w:tr>
      <w:tr w:rsidR="003E5BF5" w:rsidRPr="00293D7B" w14:paraId="1199B1A1" w14:textId="77777777" w:rsidTr="00BA467D">
        <w:trPr>
          <w:trHeight w:val="340"/>
        </w:trPr>
        <w:tc>
          <w:tcPr>
            <w:tcW w:w="4513" w:type="dxa"/>
            <w:shd w:val="clear" w:color="auto" w:fill="auto"/>
            <w:noWrap/>
            <w:vAlign w:val="center"/>
            <w:hideMark/>
          </w:tcPr>
          <w:p w14:paraId="482EC511" w14:textId="77777777" w:rsidR="003E5BF5" w:rsidRPr="00293D7B" w:rsidRDefault="003E5BF5" w:rsidP="00604703">
            <w:pPr>
              <w:pStyle w:val="TableTextGreen"/>
            </w:pPr>
            <w:r w:rsidRPr="00293D7B">
              <w:t>2020</w:t>
            </w:r>
          </w:p>
        </w:tc>
        <w:tc>
          <w:tcPr>
            <w:tcW w:w="2273" w:type="dxa"/>
            <w:shd w:val="clear" w:color="auto" w:fill="auto"/>
            <w:vAlign w:val="center"/>
            <w:hideMark/>
          </w:tcPr>
          <w:p w14:paraId="454AFB36" w14:textId="77777777" w:rsidR="003E5BF5" w:rsidRPr="00293D7B" w:rsidRDefault="003E5BF5" w:rsidP="00DE1921">
            <w:pPr>
              <w:jc w:val="right"/>
              <w:rPr>
                <w:rFonts w:ascii="Arial" w:hAnsi="Arial" w:cs="Arial"/>
                <w:b/>
                <w:sz w:val="24"/>
                <w:szCs w:val="24"/>
                <w:lang w:eastAsia="en-AU"/>
              </w:rPr>
            </w:pPr>
          </w:p>
        </w:tc>
        <w:tc>
          <w:tcPr>
            <w:tcW w:w="2274" w:type="dxa"/>
            <w:shd w:val="clear" w:color="auto" w:fill="auto"/>
            <w:vAlign w:val="center"/>
            <w:hideMark/>
          </w:tcPr>
          <w:p w14:paraId="68941EE1" w14:textId="77777777" w:rsidR="003E5BF5" w:rsidRPr="00293D7B" w:rsidRDefault="003E5BF5" w:rsidP="00DE1921">
            <w:pPr>
              <w:jc w:val="right"/>
              <w:rPr>
                <w:rFonts w:ascii="Arial" w:hAnsi="Arial" w:cs="Arial"/>
                <w:sz w:val="24"/>
                <w:szCs w:val="24"/>
                <w:lang w:eastAsia="en-AU"/>
              </w:rPr>
            </w:pPr>
          </w:p>
        </w:tc>
        <w:tc>
          <w:tcPr>
            <w:tcW w:w="2274" w:type="dxa"/>
            <w:shd w:val="clear" w:color="auto" w:fill="auto"/>
            <w:vAlign w:val="center"/>
            <w:hideMark/>
          </w:tcPr>
          <w:p w14:paraId="15719CE5" w14:textId="77777777" w:rsidR="003E5BF5" w:rsidRPr="00293D7B" w:rsidRDefault="003E5BF5" w:rsidP="00DE1921">
            <w:pPr>
              <w:jc w:val="right"/>
              <w:rPr>
                <w:rFonts w:ascii="Arial" w:hAnsi="Arial" w:cs="Arial"/>
                <w:sz w:val="24"/>
                <w:szCs w:val="24"/>
                <w:lang w:eastAsia="en-AU"/>
              </w:rPr>
            </w:pPr>
          </w:p>
        </w:tc>
        <w:tc>
          <w:tcPr>
            <w:tcW w:w="2274" w:type="dxa"/>
            <w:shd w:val="clear" w:color="auto" w:fill="auto"/>
            <w:vAlign w:val="center"/>
            <w:hideMark/>
          </w:tcPr>
          <w:p w14:paraId="429CBA09" w14:textId="77777777" w:rsidR="003E5BF5" w:rsidRPr="00293D7B" w:rsidRDefault="003E5BF5" w:rsidP="00DE1921">
            <w:pPr>
              <w:jc w:val="right"/>
              <w:rPr>
                <w:rFonts w:ascii="Arial" w:hAnsi="Arial" w:cs="Arial"/>
                <w:sz w:val="24"/>
                <w:szCs w:val="24"/>
                <w:lang w:eastAsia="en-AU"/>
              </w:rPr>
            </w:pPr>
          </w:p>
        </w:tc>
      </w:tr>
      <w:tr w:rsidR="003E5BF5" w:rsidRPr="00293D7B" w14:paraId="0A76DFF9" w14:textId="77777777" w:rsidTr="00BA467D">
        <w:trPr>
          <w:trHeight w:val="340"/>
        </w:trPr>
        <w:tc>
          <w:tcPr>
            <w:tcW w:w="4513" w:type="dxa"/>
            <w:shd w:val="clear" w:color="auto" w:fill="auto"/>
            <w:noWrap/>
            <w:vAlign w:val="center"/>
            <w:hideMark/>
          </w:tcPr>
          <w:p w14:paraId="50403678" w14:textId="77777777" w:rsidR="003E5BF5" w:rsidRPr="00293D7B" w:rsidRDefault="003E5BF5" w:rsidP="00604703">
            <w:pPr>
              <w:pStyle w:val="TableTextGreen"/>
            </w:pPr>
            <w:r w:rsidRPr="00293D7B">
              <w:t>Contractual financial assets</w:t>
            </w:r>
          </w:p>
        </w:tc>
        <w:tc>
          <w:tcPr>
            <w:tcW w:w="2273" w:type="dxa"/>
            <w:shd w:val="clear" w:color="auto" w:fill="auto"/>
            <w:vAlign w:val="center"/>
            <w:hideMark/>
          </w:tcPr>
          <w:p w14:paraId="4A767049" w14:textId="77777777" w:rsidR="003E5BF5" w:rsidRPr="00293D7B" w:rsidRDefault="003E5BF5" w:rsidP="00DE1921">
            <w:pPr>
              <w:jc w:val="right"/>
              <w:rPr>
                <w:rFonts w:ascii="Arial" w:hAnsi="Arial" w:cs="Arial"/>
                <w:b/>
                <w:sz w:val="24"/>
                <w:szCs w:val="24"/>
                <w:lang w:eastAsia="en-AU"/>
              </w:rPr>
            </w:pPr>
          </w:p>
        </w:tc>
        <w:tc>
          <w:tcPr>
            <w:tcW w:w="2274" w:type="dxa"/>
            <w:shd w:val="clear" w:color="auto" w:fill="auto"/>
            <w:vAlign w:val="center"/>
            <w:hideMark/>
          </w:tcPr>
          <w:p w14:paraId="3CBE806E" w14:textId="77777777" w:rsidR="003E5BF5" w:rsidRPr="00293D7B" w:rsidRDefault="003E5BF5" w:rsidP="00DE1921">
            <w:pPr>
              <w:jc w:val="right"/>
              <w:rPr>
                <w:rFonts w:ascii="Arial" w:hAnsi="Arial" w:cs="Arial"/>
                <w:sz w:val="24"/>
                <w:szCs w:val="24"/>
                <w:lang w:eastAsia="en-AU"/>
              </w:rPr>
            </w:pPr>
          </w:p>
        </w:tc>
        <w:tc>
          <w:tcPr>
            <w:tcW w:w="2274" w:type="dxa"/>
            <w:shd w:val="clear" w:color="auto" w:fill="auto"/>
            <w:vAlign w:val="center"/>
            <w:hideMark/>
          </w:tcPr>
          <w:p w14:paraId="7351C29E" w14:textId="77777777" w:rsidR="003E5BF5" w:rsidRPr="00293D7B" w:rsidRDefault="003E5BF5" w:rsidP="00DE1921">
            <w:pPr>
              <w:jc w:val="right"/>
              <w:rPr>
                <w:rFonts w:ascii="Arial" w:hAnsi="Arial" w:cs="Arial"/>
                <w:sz w:val="24"/>
                <w:szCs w:val="24"/>
                <w:lang w:eastAsia="en-AU"/>
              </w:rPr>
            </w:pPr>
          </w:p>
        </w:tc>
        <w:tc>
          <w:tcPr>
            <w:tcW w:w="2274" w:type="dxa"/>
            <w:shd w:val="clear" w:color="auto" w:fill="auto"/>
            <w:vAlign w:val="center"/>
            <w:hideMark/>
          </w:tcPr>
          <w:p w14:paraId="22A40C41" w14:textId="77777777" w:rsidR="003E5BF5" w:rsidRPr="00293D7B" w:rsidRDefault="003E5BF5" w:rsidP="00DE1921">
            <w:pPr>
              <w:jc w:val="right"/>
              <w:rPr>
                <w:rFonts w:ascii="Arial" w:hAnsi="Arial" w:cs="Arial"/>
                <w:sz w:val="24"/>
                <w:szCs w:val="24"/>
                <w:lang w:eastAsia="en-AU"/>
              </w:rPr>
            </w:pPr>
          </w:p>
        </w:tc>
      </w:tr>
      <w:tr w:rsidR="003E5BF5" w:rsidRPr="00293D7B" w14:paraId="416FE66A" w14:textId="77777777" w:rsidTr="00BA467D">
        <w:trPr>
          <w:trHeight w:val="340"/>
        </w:trPr>
        <w:tc>
          <w:tcPr>
            <w:tcW w:w="4513" w:type="dxa"/>
            <w:shd w:val="clear" w:color="auto" w:fill="auto"/>
            <w:noWrap/>
            <w:vAlign w:val="center"/>
            <w:hideMark/>
          </w:tcPr>
          <w:p w14:paraId="0D7B1C71"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Cash and cash equivalents</w:t>
            </w:r>
          </w:p>
        </w:tc>
        <w:tc>
          <w:tcPr>
            <w:tcW w:w="2273" w:type="dxa"/>
            <w:shd w:val="clear" w:color="auto" w:fill="auto"/>
            <w:noWrap/>
            <w:vAlign w:val="center"/>
            <w:hideMark/>
          </w:tcPr>
          <w:p w14:paraId="46FECB6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662,257 </w:t>
            </w:r>
          </w:p>
        </w:tc>
        <w:tc>
          <w:tcPr>
            <w:tcW w:w="2274" w:type="dxa"/>
            <w:shd w:val="clear" w:color="auto" w:fill="auto"/>
            <w:noWrap/>
            <w:vAlign w:val="center"/>
            <w:hideMark/>
          </w:tcPr>
          <w:p w14:paraId="37CD282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shd w:val="clear" w:color="auto" w:fill="auto"/>
            <w:noWrap/>
            <w:vAlign w:val="center"/>
            <w:hideMark/>
          </w:tcPr>
          <w:p w14:paraId="548A007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shd w:val="clear" w:color="auto" w:fill="auto"/>
            <w:noWrap/>
            <w:vAlign w:val="center"/>
            <w:hideMark/>
          </w:tcPr>
          <w:p w14:paraId="4D4093B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662,257 </w:t>
            </w:r>
          </w:p>
        </w:tc>
      </w:tr>
      <w:tr w:rsidR="003E5BF5" w:rsidRPr="00293D7B" w14:paraId="0F37DB28" w14:textId="77777777" w:rsidTr="00BA467D">
        <w:trPr>
          <w:trHeight w:val="340"/>
        </w:trPr>
        <w:tc>
          <w:tcPr>
            <w:tcW w:w="4513" w:type="dxa"/>
            <w:shd w:val="clear" w:color="auto" w:fill="auto"/>
            <w:noWrap/>
            <w:vAlign w:val="center"/>
            <w:hideMark/>
          </w:tcPr>
          <w:p w14:paraId="7CE751E9"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xml:space="preserve">Receivables </w:t>
            </w:r>
            <w:r w:rsidRPr="00293D7B">
              <w:rPr>
                <w:rFonts w:ascii="Arial" w:hAnsi="Arial" w:cs="Arial"/>
                <w:sz w:val="24"/>
                <w:szCs w:val="24"/>
                <w:vertAlign w:val="superscript"/>
                <w:lang w:eastAsia="en-AU"/>
              </w:rPr>
              <w:t>(</w:t>
            </w:r>
            <w:proofErr w:type="spellStart"/>
            <w:r w:rsidRPr="00293D7B">
              <w:rPr>
                <w:rFonts w:ascii="Arial" w:hAnsi="Arial" w:cs="Arial"/>
                <w:sz w:val="24"/>
                <w:szCs w:val="24"/>
                <w:vertAlign w:val="superscript"/>
                <w:lang w:eastAsia="en-AU"/>
              </w:rPr>
              <w:t>i</w:t>
            </w:r>
            <w:proofErr w:type="spellEnd"/>
            <w:r w:rsidRPr="00293D7B">
              <w:rPr>
                <w:rFonts w:ascii="Arial" w:hAnsi="Arial" w:cs="Arial"/>
                <w:sz w:val="24"/>
                <w:szCs w:val="24"/>
                <w:vertAlign w:val="superscript"/>
                <w:lang w:eastAsia="en-AU"/>
              </w:rPr>
              <w:t>)</w:t>
            </w:r>
          </w:p>
        </w:tc>
        <w:tc>
          <w:tcPr>
            <w:tcW w:w="2273" w:type="dxa"/>
            <w:shd w:val="clear" w:color="auto" w:fill="auto"/>
            <w:noWrap/>
            <w:vAlign w:val="center"/>
            <w:hideMark/>
          </w:tcPr>
          <w:p w14:paraId="513E5CF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shd w:val="clear" w:color="auto" w:fill="auto"/>
            <w:noWrap/>
            <w:vAlign w:val="center"/>
            <w:hideMark/>
          </w:tcPr>
          <w:p w14:paraId="608068C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314,628 </w:t>
            </w:r>
          </w:p>
        </w:tc>
        <w:tc>
          <w:tcPr>
            <w:tcW w:w="2274" w:type="dxa"/>
            <w:shd w:val="clear" w:color="auto" w:fill="auto"/>
            <w:noWrap/>
            <w:vAlign w:val="center"/>
            <w:hideMark/>
          </w:tcPr>
          <w:p w14:paraId="3940BBB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shd w:val="clear" w:color="auto" w:fill="auto"/>
            <w:noWrap/>
            <w:vAlign w:val="center"/>
            <w:hideMark/>
          </w:tcPr>
          <w:p w14:paraId="036D328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314,628 </w:t>
            </w:r>
          </w:p>
        </w:tc>
      </w:tr>
      <w:tr w:rsidR="003E5BF5" w:rsidRPr="00293D7B" w14:paraId="38885F24" w14:textId="77777777" w:rsidTr="00BA467D">
        <w:trPr>
          <w:trHeight w:val="340"/>
        </w:trPr>
        <w:tc>
          <w:tcPr>
            <w:tcW w:w="4513" w:type="dxa"/>
            <w:shd w:val="clear" w:color="auto" w:fill="auto"/>
            <w:noWrap/>
            <w:vAlign w:val="center"/>
            <w:hideMark/>
          </w:tcPr>
          <w:p w14:paraId="6CDF41E7"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contractual financial assets</w:t>
            </w:r>
          </w:p>
        </w:tc>
        <w:tc>
          <w:tcPr>
            <w:tcW w:w="2273" w:type="dxa"/>
            <w:shd w:val="clear" w:color="auto" w:fill="auto"/>
            <w:noWrap/>
            <w:vAlign w:val="center"/>
            <w:hideMark/>
          </w:tcPr>
          <w:p w14:paraId="4BF039D9"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662,257 </w:t>
            </w:r>
          </w:p>
        </w:tc>
        <w:tc>
          <w:tcPr>
            <w:tcW w:w="2274" w:type="dxa"/>
            <w:shd w:val="clear" w:color="auto" w:fill="auto"/>
            <w:noWrap/>
            <w:vAlign w:val="center"/>
            <w:hideMark/>
          </w:tcPr>
          <w:p w14:paraId="59E80848"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314,628 </w:t>
            </w:r>
          </w:p>
        </w:tc>
        <w:tc>
          <w:tcPr>
            <w:tcW w:w="2274" w:type="dxa"/>
            <w:shd w:val="clear" w:color="auto" w:fill="auto"/>
            <w:noWrap/>
            <w:vAlign w:val="center"/>
            <w:hideMark/>
          </w:tcPr>
          <w:p w14:paraId="359292D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 - </w:t>
            </w:r>
          </w:p>
        </w:tc>
        <w:tc>
          <w:tcPr>
            <w:tcW w:w="2274" w:type="dxa"/>
            <w:shd w:val="clear" w:color="auto" w:fill="auto"/>
            <w:noWrap/>
            <w:vAlign w:val="center"/>
            <w:hideMark/>
          </w:tcPr>
          <w:p w14:paraId="53171B8A"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976,885 </w:t>
            </w:r>
          </w:p>
        </w:tc>
      </w:tr>
      <w:tr w:rsidR="003E5BF5" w:rsidRPr="00293D7B" w14:paraId="7B00A765" w14:textId="77777777" w:rsidTr="00BA467D">
        <w:trPr>
          <w:trHeight w:val="340"/>
        </w:trPr>
        <w:tc>
          <w:tcPr>
            <w:tcW w:w="4513" w:type="dxa"/>
            <w:shd w:val="clear" w:color="auto" w:fill="auto"/>
            <w:noWrap/>
            <w:vAlign w:val="center"/>
            <w:hideMark/>
          </w:tcPr>
          <w:p w14:paraId="62B6B208" w14:textId="77777777" w:rsidR="003E5BF5" w:rsidRPr="00293D7B" w:rsidRDefault="003E5BF5" w:rsidP="00604703">
            <w:pPr>
              <w:pStyle w:val="TableTextGreen"/>
            </w:pPr>
            <w:r w:rsidRPr="00293D7B">
              <w:t>Contractual financial liabilities</w:t>
            </w:r>
          </w:p>
        </w:tc>
        <w:tc>
          <w:tcPr>
            <w:tcW w:w="2273" w:type="dxa"/>
            <w:shd w:val="clear" w:color="auto" w:fill="auto"/>
            <w:vAlign w:val="center"/>
            <w:hideMark/>
          </w:tcPr>
          <w:p w14:paraId="15D8C177" w14:textId="77777777" w:rsidR="003E5BF5" w:rsidRPr="00293D7B" w:rsidRDefault="003E5BF5" w:rsidP="00DE1921">
            <w:pPr>
              <w:jc w:val="right"/>
              <w:rPr>
                <w:rFonts w:ascii="Arial" w:hAnsi="Arial" w:cs="Arial"/>
                <w:b/>
                <w:sz w:val="24"/>
                <w:szCs w:val="24"/>
                <w:lang w:eastAsia="en-AU"/>
              </w:rPr>
            </w:pPr>
          </w:p>
        </w:tc>
        <w:tc>
          <w:tcPr>
            <w:tcW w:w="2274" w:type="dxa"/>
            <w:shd w:val="clear" w:color="auto" w:fill="auto"/>
            <w:vAlign w:val="center"/>
            <w:hideMark/>
          </w:tcPr>
          <w:p w14:paraId="37829C91" w14:textId="77777777" w:rsidR="003E5BF5" w:rsidRPr="00293D7B" w:rsidRDefault="003E5BF5" w:rsidP="00DE1921">
            <w:pPr>
              <w:jc w:val="right"/>
              <w:rPr>
                <w:rFonts w:ascii="Arial" w:hAnsi="Arial" w:cs="Arial"/>
                <w:sz w:val="24"/>
                <w:szCs w:val="24"/>
                <w:lang w:eastAsia="en-AU"/>
              </w:rPr>
            </w:pPr>
          </w:p>
        </w:tc>
        <w:tc>
          <w:tcPr>
            <w:tcW w:w="2274" w:type="dxa"/>
            <w:shd w:val="clear" w:color="auto" w:fill="auto"/>
            <w:vAlign w:val="center"/>
            <w:hideMark/>
          </w:tcPr>
          <w:p w14:paraId="28BD3235" w14:textId="77777777" w:rsidR="003E5BF5" w:rsidRPr="00293D7B" w:rsidRDefault="003E5BF5" w:rsidP="00DE1921">
            <w:pPr>
              <w:jc w:val="right"/>
              <w:rPr>
                <w:rFonts w:ascii="Arial" w:hAnsi="Arial" w:cs="Arial"/>
                <w:sz w:val="24"/>
                <w:szCs w:val="24"/>
                <w:lang w:eastAsia="en-AU"/>
              </w:rPr>
            </w:pPr>
          </w:p>
        </w:tc>
        <w:tc>
          <w:tcPr>
            <w:tcW w:w="2274" w:type="dxa"/>
            <w:shd w:val="clear" w:color="auto" w:fill="auto"/>
            <w:vAlign w:val="center"/>
            <w:hideMark/>
          </w:tcPr>
          <w:p w14:paraId="7D3BD253" w14:textId="77777777" w:rsidR="003E5BF5" w:rsidRPr="00293D7B" w:rsidRDefault="003E5BF5" w:rsidP="00DE1921">
            <w:pPr>
              <w:jc w:val="right"/>
              <w:rPr>
                <w:rFonts w:ascii="Arial" w:hAnsi="Arial" w:cs="Arial"/>
                <w:sz w:val="24"/>
                <w:szCs w:val="24"/>
                <w:lang w:eastAsia="en-AU"/>
              </w:rPr>
            </w:pPr>
          </w:p>
        </w:tc>
      </w:tr>
      <w:tr w:rsidR="003E5BF5" w:rsidRPr="00293D7B" w14:paraId="0F81A13D" w14:textId="77777777" w:rsidTr="00BA467D">
        <w:trPr>
          <w:trHeight w:val="340"/>
        </w:trPr>
        <w:tc>
          <w:tcPr>
            <w:tcW w:w="4513" w:type="dxa"/>
            <w:shd w:val="clear" w:color="auto" w:fill="auto"/>
            <w:noWrap/>
            <w:vAlign w:val="center"/>
            <w:hideMark/>
          </w:tcPr>
          <w:p w14:paraId="6322C799"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xml:space="preserve">Payables </w:t>
            </w:r>
            <w:r w:rsidRPr="00293D7B">
              <w:rPr>
                <w:rFonts w:ascii="Arial" w:hAnsi="Arial" w:cs="Arial"/>
                <w:sz w:val="24"/>
                <w:szCs w:val="24"/>
                <w:vertAlign w:val="superscript"/>
                <w:lang w:eastAsia="en-AU"/>
              </w:rPr>
              <w:t>(</w:t>
            </w:r>
            <w:proofErr w:type="spellStart"/>
            <w:r w:rsidRPr="00293D7B">
              <w:rPr>
                <w:rFonts w:ascii="Arial" w:hAnsi="Arial" w:cs="Arial"/>
                <w:sz w:val="24"/>
                <w:szCs w:val="24"/>
                <w:vertAlign w:val="superscript"/>
                <w:lang w:eastAsia="en-AU"/>
              </w:rPr>
              <w:t>i</w:t>
            </w:r>
            <w:proofErr w:type="spellEnd"/>
            <w:r w:rsidRPr="00293D7B">
              <w:rPr>
                <w:rFonts w:ascii="Arial" w:hAnsi="Arial" w:cs="Arial"/>
                <w:sz w:val="24"/>
                <w:szCs w:val="24"/>
                <w:vertAlign w:val="superscript"/>
                <w:lang w:eastAsia="en-AU"/>
              </w:rPr>
              <w:t>)</w:t>
            </w:r>
          </w:p>
        </w:tc>
        <w:tc>
          <w:tcPr>
            <w:tcW w:w="2273" w:type="dxa"/>
            <w:shd w:val="clear" w:color="auto" w:fill="auto"/>
            <w:noWrap/>
            <w:vAlign w:val="center"/>
            <w:hideMark/>
          </w:tcPr>
          <w:p w14:paraId="485026CD" w14:textId="77777777" w:rsidR="003E5BF5" w:rsidRPr="00293D7B" w:rsidRDefault="003E5BF5" w:rsidP="00DE1921">
            <w:pPr>
              <w:jc w:val="right"/>
              <w:rPr>
                <w:rFonts w:ascii="Arial" w:hAnsi="Arial" w:cs="Arial"/>
                <w:sz w:val="24"/>
                <w:szCs w:val="24"/>
                <w:lang w:eastAsia="en-AU"/>
              </w:rPr>
            </w:pPr>
          </w:p>
        </w:tc>
        <w:tc>
          <w:tcPr>
            <w:tcW w:w="2274" w:type="dxa"/>
            <w:shd w:val="clear" w:color="auto" w:fill="auto"/>
            <w:noWrap/>
            <w:vAlign w:val="center"/>
            <w:hideMark/>
          </w:tcPr>
          <w:p w14:paraId="45ED67BB" w14:textId="77777777" w:rsidR="003E5BF5" w:rsidRPr="00293D7B" w:rsidRDefault="003E5BF5" w:rsidP="00DE1921">
            <w:pPr>
              <w:jc w:val="right"/>
              <w:rPr>
                <w:rFonts w:ascii="Arial" w:hAnsi="Arial" w:cs="Arial"/>
                <w:sz w:val="24"/>
                <w:szCs w:val="24"/>
                <w:lang w:eastAsia="en-AU"/>
              </w:rPr>
            </w:pPr>
          </w:p>
        </w:tc>
        <w:tc>
          <w:tcPr>
            <w:tcW w:w="2274" w:type="dxa"/>
            <w:shd w:val="clear" w:color="auto" w:fill="auto"/>
            <w:noWrap/>
            <w:vAlign w:val="center"/>
            <w:hideMark/>
          </w:tcPr>
          <w:p w14:paraId="3FB141EE" w14:textId="77777777" w:rsidR="003E5BF5" w:rsidRPr="00293D7B" w:rsidRDefault="003E5BF5" w:rsidP="00DE1921">
            <w:pPr>
              <w:jc w:val="right"/>
              <w:rPr>
                <w:rFonts w:ascii="Arial" w:hAnsi="Arial" w:cs="Arial"/>
                <w:sz w:val="24"/>
                <w:szCs w:val="24"/>
                <w:lang w:eastAsia="en-AU"/>
              </w:rPr>
            </w:pPr>
          </w:p>
        </w:tc>
        <w:tc>
          <w:tcPr>
            <w:tcW w:w="2274" w:type="dxa"/>
            <w:shd w:val="clear" w:color="auto" w:fill="auto"/>
            <w:noWrap/>
            <w:vAlign w:val="center"/>
            <w:hideMark/>
          </w:tcPr>
          <w:p w14:paraId="0E3B2EDE" w14:textId="77777777" w:rsidR="003E5BF5" w:rsidRPr="00293D7B" w:rsidRDefault="003E5BF5" w:rsidP="00DE1921">
            <w:pPr>
              <w:jc w:val="right"/>
              <w:rPr>
                <w:rFonts w:ascii="Arial" w:hAnsi="Arial" w:cs="Arial"/>
                <w:sz w:val="24"/>
                <w:szCs w:val="24"/>
                <w:lang w:eastAsia="en-AU"/>
              </w:rPr>
            </w:pPr>
          </w:p>
        </w:tc>
      </w:tr>
      <w:tr w:rsidR="003E5BF5" w:rsidRPr="00293D7B" w14:paraId="54F23F01" w14:textId="77777777" w:rsidTr="00BA467D">
        <w:trPr>
          <w:trHeight w:val="340"/>
        </w:trPr>
        <w:tc>
          <w:tcPr>
            <w:tcW w:w="4513" w:type="dxa"/>
            <w:shd w:val="clear" w:color="auto" w:fill="auto"/>
            <w:noWrap/>
            <w:vAlign w:val="center"/>
            <w:hideMark/>
          </w:tcPr>
          <w:p w14:paraId="7B13698A"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Supplies and services</w:t>
            </w:r>
          </w:p>
        </w:tc>
        <w:tc>
          <w:tcPr>
            <w:tcW w:w="2273" w:type="dxa"/>
            <w:shd w:val="clear" w:color="auto" w:fill="auto"/>
            <w:noWrap/>
            <w:vAlign w:val="center"/>
            <w:hideMark/>
          </w:tcPr>
          <w:p w14:paraId="32C4BEC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shd w:val="clear" w:color="auto" w:fill="auto"/>
            <w:noWrap/>
            <w:vAlign w:val="center"/>
            <w:hideMark/>
          </w:tcPr>
          <w:p w14:paraId="40D8BF6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shd w:val="clear" w:color="auto" w:fill="auto"/>
            <w:noWrap/>
            <w:vAlign w:val="center"/>
            <w:hideMark/>
          </w:tcPr>
          <w:p w14:paraId="5634833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1,587,687 </w:t>
            </w:r>
          </w:p>
        </w:tc>
        <w:tc>
          <w:tcPr>
            <w:tcW w:w="2274" w:type="dxa"/>
            <w:shd w:val="clear" w:color="auto" w:fill="auto"/>
            <w:noWrap/>
            <w:vAlign w:val="center"/>
            <w:hideMark/>
          </w:tcPr>
          <w:p w14:paraId="379B1E9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1,587,687 </w:t>
            </w:r>
          </w:p>
        </w:tc>
      </w:tr>
      <w:tr w:rsidR="003E5BF5" w:rsidRPr="00293D7B" w14:paraId="16358DCC" w14:textId="77777777" w:rsidTr="00BA467D">
        <w:trPr>
          <w:trHeight w:val="340"/>
        </w:trPr>
        <w:tc>
          <w:tcPr>
            <w:tcW w:w="4513" w:type="dxa"/>
            <w:shd w:val="clear" w:color="auto" w:fill="auto"/>
            <w:noWrap/>
            <w:vAlign w:val="center"/>
            <w:hideMark/>
          </w:tcPr>
          <w:p w14:paraId="6C67FEA0"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Borrowings</w:t>
            </w:r>
          </w:p>
        </w:tc>
        <w:tc>
          <w:tcPr>
            <w:tcW w:w="2273" w:type="dxa"/>
            <w:shd w:val="clear" w:color="auto" w:fill="auto"/>
            <w:noWrap/>
            <w:vAlign w:val="center"/>
            <w:hideMark/>
          </w:tcPr>
          <w:p w14:paraId="6CA0243A" w14:textId="77777777" w:rsidR="003E5BF5" w:rsidRPr="00293D7B" w:rsidRDefault="003E5BF5" w:rsidP="00DE1921">
            <w:pPr>
              <w:jc w:val="right"/>
              <w:rPr>
                <w:rFonts w:ascii="Arial" w:hAnsi="Arial" w:cs="Arial"/>
                <w:sz w:val="24"/>
                <w:szCs w:val="24"/>
                <w:lang w:eastAsia="en-AU"/>
              </w:rPr>
            </w:pPr>
          </w:p>
        </w:tc>
        <w:tc>
          <w:tcPr>
            <w:tcW w:w="2274" w:type="dxa"/>
            <w:shd w:val="clear" w:color="auto" w:fill="auto"/>
            <w:noWrap/>
            <w:vAlign w:val="center"/>
            <w:hideMark/>
          </w:tcPr>
          <w:p w14:paraId="569AB8AF" w14:textId="77777777" w:rsidR="003E5BF5" w:rsidRPr="00293D7B" w:rsidRDefault="003E5BF5" w:rsidP="00DE1921">
            <w:pPr>
              <w:jc w:val="right"/>
              <w:rPr>
                <w:rFonts w:ascii="Arial" w:hAnsi="Arial" w:cs="Arial"/>
                <w:sz w:val="24"/>
                <w:szCs w:val="24"/>
                <w:lang w:eastAsia="en-AU"/>
              </w:rPr>
            </w:pPr>
          </w:p>
        </w:tc>
        <w:tc>
          <w:tcPr>
            <w:tcW w:w="2274" w:type="dxa"/>
            <w:shd w:val="clear" w:color="auto" w:fill="auto"/>
            <w:noWrap/>
            <w:vAlign w:val="center"/>
            <w:hideMark/>
          </w:tcPr>
          <w:p w14:paraId="08ABF5E8" w14:textId="77777777" w:rsidR="003E5BF5" w:rsidRPr="00293D7B" w:rsidRDefault="003E5BF5" w:rsidP="00DE1921">
            <w:pPr>
              <w:jc w:val="right"/>
              <w:rPr>
                <w:rFonts w:ascii="Arial" w:hAnsi="Arial" w:cs="Arial"/>
                <w:sz w:val="24"/>
                <w:szCs w:val="24"/>
                <w:lang w:eastAsia="en-AU"/>
              </w:rPr>
            </w:pPr>
          </w:p>
        </w:tc>
        <w:tc>
          <w:tcPr>
            <w:tcW w:w="2274" w:type="dxa"/>
            <w:shd w:val="clear" w:color="auto" w:fill="auto"/>
            <w:noWrap/>
            <w:vAlign w:val="center"/>
            <w:hideMark/>
          </w:tcPr>
          <w:p w14:paraId="48058113" w14:textId="77777777" w:rsidR="003E5BF5" w:rsidRPr="00293D7B" w:rsidRDefault="003E5BF5" w:rsidP="00DE1921">
            <w:pPr>
              <w:jc w:val="right"/>
              <w:rPr>
                <w:rFonts w:ascii="Arial" w:hAnsi="Arial" w:cs="Arial"/>
                <w:sz w:val="24"/>
                <w:szCs w:val="24"/>
                <w:lang w:eastAsia="en-AU"/>
              </w:rPr>
            </w:pPr>
          </w:p>
        </w:tc>
      </w:tr>
      <w:tr w:rsidR="003E5BF5" w:rsidRPr="00293D7B" w14:paraId="7172EDC8" w14:textId="77777777" w:rsidTr="00BA467D">
        <w:trPr>
          <w:trHeight w:val="340"/>
        </w:trPr>
        <w:tc>
          <w:tcPr>
            <w:tcW w:w="4513" w:type="dxa"/>
            <w:shd w:val="clear" w:color="auto" w:fill="auto"/>
            <w:noWrap/>
            <w:vAlign w:val="center"/>
            <w:hideMark/>
          </w:tcPr>
          <w:p w14:paraId="1F8D810F"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Lease liabilities</w:t>
            </w:r>
          </w:p>
        </w:tc>
        <w:tc>
          <w:tcPr>
            <w:tcW w:w="2273" w:type="dxa"/>
            <w:shd w:val="clear" w:color="auto" w:fill="auto"/>
            <w:noWrap/>
            <w:vAlign w:val="center"/>
            <w:hideMark/>
          </w:tcPr>
          <w:p w14:paraId="129CEDE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shd w:val="clear" w:color="auto" w:fill="auto"/>
            <w:noWrap/>
            <w:vAlign w:val="center"/>
            <w:hideMark/>
          </w:tcPr>
          <w:p w14:paraId="295F550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shd w:val="clear" w:color="auto" w:fill="auto"/>
            <w:noWrap/>
            <w:vAlign w:val="center"/>
            <w:hideMark/>
          </w:tcPr>
          <w:p w14:paraId="494E3B3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90,133 </w:t>
            </w:r>
          </w:p>
        </w:tc>
        <w:tc>
          <w:tcPr>
            <w:tcW w:w="2274" w:type="dxa"/>
            <w:shd w:val="clear" w:color="auto" w:fill="auto"/>
            <w:noWrap/>
            <w:vAlign w:val="center"/>
            <w:hideMark/>
          </w:tcPr>
          <w:p w14:paraId="5942C45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90,133 </w:t>
            </w:r>
          </w:p>
        </w:tc>
      </w:tr>
      <w:tr w:rsidR="003E5BF5" w:rsidRPr="00293D7B" w14:paraId="058A2B1D" w14:textId="77777777" w:rsidTr="00BA467D">
        <w:trPr>
          <w:trHeight w:val="340"/>
        </w:trPr>
        <w:tc>
          <w:tcPr>
            <w:tcW w:w="4513" w:type="dxa"/>
            <w:shd w:val="clear" w:color="auto" w:fill="auto"/>
            <w:noWrap/>
            <w:vAlign w:val="center"/>
            <w:hideMark/>
          </w:tcPr>
          <w:p w14:paraId="611909FD"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Service concession financial liability</w:t>
            </w:r>
          </w:p>
        </w:tc>
        <w:tc>
          <w:tcPr>
            <w:tcW w:w="2273" w:type="dxa"/>
            <w:shd w:val="clear" w:color="auto" w:fill="auto"/>
            <w:noWrap/>
            <w:vAlign w:val="center"/>
            <w:hideMark/>
          </w:tcPr>
          <w:p w14:paraId="18A1245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shd w:val="clear" w:color="auto" w:fill="auto"/>
            <w:noWrap/>
            <w:vAlign w:val="center"/>
            <w:hideMark/>
          </w:tcPr>
          <w:p w14:paraId="78FB4FD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shd w:val="clear" w:color="auto" w:fill="auto"/>
            <w:noWrap/>
            <w:vAlign w:val="center"/>
            <w:hideMark/>
          </w:tcPr>
          <w:p w14:paraId="5C32636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5,488,451 </w:t>
            </w:r>
          </w:p>
        </w:tc>
        <w:tc>
          <w:tcPr>
            <w:tcW w:w="2274" w:type="dxa"/>
            <w:shd w:val="clear" w:color="auto" w:fill="auto"/>
            <w:noWrap/>
            <w:vAlign w:val="center"/>
            <w:hideMark/>
          </w:tcPr>
          <w:p w14:paraId="141BB20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5,488,451 </w:t>
            </w:r>
          </w:p>
        </w:tc>
      </w:tr>
      <w:tr w:rsidR="003E5BF5" w:rsidRPr="00293D7B" w14:paraId="68DDC0C5" w14:textId="77777777" w:rsidTr="00BA467D">
        <w:trPr>
          <w:trHeight w:val="340"/>
        </w:trPr>
        <w:tc>
          <w:tcPr>
            <w:tcW w:w="4513" w:type="dxa"/>
            <w:shd w:val="clear" w:color="auto" w:fill="auto"/>
            <w:noWrap/>
            <w:vAlign w:val="center"/>
            <w:hideMark/>
          </w:tcPr>
          <w:p w14:paraId="20A4A638"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Advances from government</w:t>
            </w:r>
          </w:p>
        </w:tc>
        <w:tc>
          <w:tcPr>
            <w:tcW w:w="2273" w:type="dxa"/>
            <w:shd w:val="clear" w:color="auto" w:fill="auto"/>
            <w:noWrap/>
            <w:vAlign w:val="center"/>
            <w:hideMark/>
          </w:tcPr>
          <w:p w14:paraId="67896C0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shd w:val="clear" w:color="auto" w:fill="auto"/>
            <w:noWrap/>
            <w:vAlign w:val="center"/>
            <w:hideMark/>
          </w:tcPr>
          <w:p w14:paraId="1E02903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shd w:val="clear" w:color="auto" w:fill="auto"/>
            <w:noWrap/>
            <w:vAlign w:val="center"/>
            <w:hideMark/>
          </w:tcPr>
          <w:p w14:paraId="6363DDA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239,492 </w:t>
            </w:r>
          </w:p>
        </w:tc>
        <w:tc>
          <w:tcPr>
            <w:tcW w:w="2274" w:type="dxa"/>
            <w:shd w:val="clear" w:color="auto" w:fill="auto"/>
            <w:noWrap/>
            <w:vAlign w:val="center"/>
            <w:hideMark/>
          </w:tcPr>
          <w:p w14:paraId="093C498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239,492 </w:t>
            </w:r>
          </w:p>
        </w:tc>
      </w:tr>
      <w:tr w:rsidR="003E5BF5" w:rsidRPr="00293D7B" w14:paraId="07FA3F7C" w14:textId="77777777" w:rsidTr="00BA467D">
        <w:trPr>
          <w:trHeight w:val="340"/>
        </w:trPr>
        <w:tc>
          <w:tcPr>
            <w:tcW w:w="4513" w:type="dxa"/>
            <w:shd w:val="clear" w:color="auto" w:fill="auto"/>
            <w:noWrap/>
            <w:vAlign w:val="center"/>
            <w:hideMark/>
          </w:tcPr>
          <w:p w14:paraId="1E3921A8"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Advances from non-public sector</w:t>
            </w:r>
          </w:p>
        </w:tc>
        <w:tc>
          <w:tcPr>
            <w:tcW w:w="2273" w:type="dxa"/>
            <w:shd w:val="clear" w:color="auto" w:fill="auto"/>
            <w:noWrap/>
            <w:vAlign w:val="center"/>
            <w:hideMark/>
          </w:tcPr>
          <w:p w14:paraId="10CCE69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shd w:val="clear" w:color="auto" w:fill="auto"/>
            <w:noWrap/>
            <w:vAlign w:val="center"/>
            <w:hideMark/>
          </w:tcPr>
          <w:p w14:paraId="1FB6664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shd w:val="clear" w:color="auto" w:fill="auto"/>
            <w:noWrap/>
            <w:vAlign w:val="center"/>
            <w:hideMark/>
          </w:tcPr>
          <w:p w14:paraId="337D7EB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244,568 </w:t>
            </w:r>
          </w:p>
        </w:tc>
        <w:tc>
          <w:tcPr>
            <w:tcW w:w="2274" w:type="dxa"/>
            <w:shd w:val="clear" w:color="auto" w:fill="auto"/>
            <w:noWrap/>
            <w:vAlign w:val="center"/>
            <w:hideMark/>
          </w:tcPr>
          <w:p w14:paraId="707307A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244,568 </w:t>
            </w:r>
          </w:p>
        </w:tc>
      </w:tr>
      <w:tr w:rsidR="003E5BF5" w:rsidRPr="00293D7B" w14:paraId="3161A867" w14:textId="77777777" w:rsidTr="00BA467D">
        <w:trPr>
          <w:trHeight w:val="340"/>
        </w:trPr>
        <w:tc>
          <w:tcPr>
            <w:tcW w:w="4513" w:type="dxa"/>
            <w:shd w:val="clear" w:color="auto" w:fill="auto"/>
            <w:noWrap/>
            <w:vAlign w:val="center"/>
            <w:hideMark/>
          </w:tcPr>
          <w:p w14:paraId="26621E0A"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contractual financial liabilities</w:t>
            </w:r>
          </w:p>
        </w:tc>
        <w:tc>
          <w:tcPr>
            <w:tcW w:w="2273" w:type="dxa"/>
            <w:shd w:val="clear" w:color="auto" w:fill="auto"/>
            <w:noWrap/>
            <w:vAlign w:val="center"/>
            <w:hideMark/>
          </w:tcPr>
          <w:p w14:paraId="1D271CA2"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 - </w:t>
            </w:r>
          </w:p>
        </w:tc>
        <w:tc>
          <w:tcPr>
            <w:tcW w:w="2274" w:type="dxa"/>
            <w:shd w:val="clear" w:color="auto" w:fill="auto"/>
            <w:noWrap/>
            <w:vAlign w:val="center"/>
            <w:hideMark/>
          </w:tcPr>
          <w:p w14:paraId="008232C5"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 - </w:t>
            </w:r>
          </w:p>
        </w:tc>
        <w:tc>
          <w:tcPr>
            <w:tcW w:w="2274" w:type="dxa"/>
            <w:shd w:val="clear" w:color="auto" w:fill="auto"/>
            <w:noWrap/>
            <w:vAlign w:val="center"/>
            <w:hideMark/>
          </w:tcPr>
          <w:p w14:paraId="1DE260B9"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7,650,331 </w:t>
            </w:r>
          </w:p>
        </w:tc>
        <w:tc>
          <w:tcPr>
            <w:tcW w:w="2274" w:type="dxa"/>
            <w:shd w:val="clear" w:color="auto" w:fill="auto"/>
            <w:noWrap/>
            <w:vAlign w:val="center"/>
            <w:hideMark/>
          </w:tcPr>
          <w:p w14:paraId="10A552AE"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7,650,331 </w:t>
            </w:r>
          </w:p>
        </w:tc>
      </w:tr>
    </w:tbl>
    <w:p w14:paraId="09315BA0" w14:textId="77777777" w:rsidR="00BA467D" w:rsidRPr="00293D7B" w:rsidRDefault="00BA467D" w:rsidP="00BA467D">
      <w:pPr>
        <w:pStyle w:val="Note"/>
        <w:rPr>
          <w:rFonts w:ascii="Arial" w:hAnsi="Arial" w:cs="Arial"/>
          <w:sz w:val="24"/>
          <w:szCs w:val="24"/>
        </w:rPr>
      </w:pPr>
      <w:r w:rsidRPr="00293D7B">
        <w:rPr>
          <w:rFonts w:ascii="Arial" w:hAnsi="Arial" w:cs="Arial"/>
          <w:sz w:val="24"/>
          <w:szCs w:val="24"/>
        </w:rPr>
        <w:t>Note:</w:t>
      </w:r>
    </w:p>
    <w:p w14:paraId="4594C90A" w14:textId="77777777" w:rsidR="00BA467D" w:rsidRPr="00BA467D" w:rsidRDefault="00BA467D" w:rsidP="00610F5F">
      <w:pPr>
        <w:pStyle w:val="aaaNotenumberiiiiii"/>
        <w:numPr>
          <w:ilvl w:val="0"/>
          <w:numId w:val="116"/>
        </w:numPr>
        <w:rPr>
          <w:b/>
        </w:rPr>
      </w:pPr>
      <w:r w:rsidRPr="00293D7B">
        <w:t>Receivables and payables disclosed above exclude statutory receivables (i.e. GST recoverable) and statutory payables (i.e. taxes payable).</w:t>
      </w:r>
    </w:p>
    <w:p w14:paraId="11A3EF44" w14:textId="77777777" w:rsidR="003E5BF5" w:rsidRDefault="003E5BF5">
      <w:pPr>
        <w:rPr>
          <w:color w:val="70AD47" w:themeColor="accent6"/>
          <w:sz w:val="24"/>
          <w:szCs w:val="32"/>
        </w:rPr>
      </w:pPr>
      <w:r>
        <w:rPr>
          <w:color w:val="70AD47" w:themeColor="accent6"/>
          <w:sz w:val="24"/>
          <w:szCs w:val="32"/>
        </w:rPr>
        <w:br w:type="page"/>
      </w:r>
    </w:p>
    <w:p w14:paraId="591ECE1B" w14:textId="77777777" w:rsidR="003E5BF5" w:rsidRPr="00D8311D" w:rsidRDefault="003E5BF5">
      <w:pPr>
        <w:rPr>
          <w:rFonts w:ascii="Arial" w:hAnsi="Arial" w:cs="Arial"/>
          <w:i/>
          <w:iCs/>
          <w:color w:val="0E787C"/>
          <w:sz w:val="32"/>
          <w:szCs w:val="32"/>
        </w:rPr>
      </w:pPr>
      <w:r w:rsidRPr="00D8311D">
        <w:rPr>
          <w:rFonts w:ascii="Arial" w:hAnsi="Arial" w:cs="Arial"/>
          <w:color w:val="0E787C"/>
          <w:sz w:val="32"/>
          <w:szCs w:val="32"/>
        </w:rPr>
        <w:lastRenderedPageBreak/>
        <w:t>8.1.1</w:t>
      </w:r>
      <w:r w:rsidRPr="00D8311D">
        <w:rPr>
          <w:rFonts w:ascii="Arial" w:hAnsi="Arial" w:cs="Arial"/>
          <w:color w:val="0E787C"/>
          <w:sz w:val="32"/>
          <w:szCs w:val="32"/>
        </w:rPr>
        <w:tab/>
        <w:t>Financial instruments: Categorisation –</w:t>
      </w:r>
      <w:r w:rsidRPr="00D8311D">
        <w:rPr>
          <w:rFonts w:ascii="Arial" w:hAnsi="Arial" w:cs="Arial"/>
          <w:i/>
          <w:iCs/>
          <w:color w:val="0E787C"/>
          <w:sz w:val="32"/>
          <w:szCs w:val="32"/>
        </w:rPr>
        <w:t xml:space="preserve"> continued</w:t>
      </w:r>
    </w:p>
    <w:tbl>
      <w:tblPr>
        <w:tblStyle w:val="TableGrid"/>
        <w:tblW w:w="13608" w:type="dxa"/>
        <w:tblLayout w:type="fixed"/>
        <w:tblLook w:val="04A0" w:firstRow="1" w:lastRow="0" w:firstColumn="1" w:lastColumn="0" w:noHBand="0" w:noVBand="1"/>
      </w:tblPr>
      <w:tblGrid>
        <w:gridCol w:w="4513"/>
        <w:gridCol w:w="2273"/>
        <w:gridCol w:w="2274"/>
        <w:gridCol w:w="2274"/>
        <w:gridCol w:w="2274"/>
      </w:tblGrid>
      <w:tr w:rsidR="003E5BF5" w:rsidRPr="00293D7B" w14:paraId="27049D8C" w14:textId="77777777" w:rsidTr="00BA467D">
        <w:trPr>
          <w:trHeight w:val="340"/>
        </w:trPr>
        <w:tc>
          <w:tcPr>
            <w:tcW w:w="4513" w:type="dxa"/>
            <w:noWrap/>
            <w:vAlign w:val="center"/>
            <w:hideMark/>
          </w:tcPr>
          <w:p w14:paraId="0DD5C9D0" w14:textId="77777777" w:rsidR="003E5BF5" w:rsidRPr="00293D7B" w:rsidRDefault="003E5BF5" w:rsidP="00DE1921">
            <w:pPr>
              <w:rPr>
                <w:rFonts w:ascii="Arial" w:hAnsi="Arial" w:cs="Arial"/>
                <w:sz w:val="24"/>
                <w:szCs w:val="24"/>
                <w:lang w:eastAsia="en-AU"/>
              </w:rPr>
            </w:pPr>
          </w:p>
        </w:tc>
        <w:tc>
          <w:tcPr>
            <w:tcW w:w="9095" w:type="dxa"/>
            <w:gridSpan w:val="4"/>
            <w:noWrap/>
            <w:vAlign w:val="center"/>
            <w:hideMark/>
          </w:tcPr>
          <w:p w14:paraId="5DABE888"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 thousand)</w:t>
            </w:r>
          </w:p>
        </w:tc>
      </w:tr>
      <w:tr w:rsidR="003E5BF5" w:rsidRPr="00293D7B" w14:paraId="4B157F9D" w14:textId="77777777" w:rsidTr="00BA467D">
        <w:trPr>
          <w:trHeight w:val="340"/>
        </w:trPr>
        <w:tc>
          <w:tcPr>
            <w:tcW w:w="4513" w:type="dxa"/>
            <w:noWrap/>
            <w:vAlign w:val="center"/>
            <w:hideMark/>
          </w:tcPr>
          <w:p w14:paraId="771CCC2A" w14:textId="77777777" w:rsidR="003E5BF5" w:rsidRPr="00293D7B" w:rsidRDefault="003E5BF5" w:rsidP="00DE1921">
            <w:pPr>
              <w:rPr>
                <w:rFonts w:ascii="Arial" w:hAnsi="Arial" w:cs="Arial"/>
                <w:sz w:val="24"/>
                <w:szCs w:val="24"/>
                <w:lang w:eastAsia="en-AU"/>
              </w:rPr>
            </w:pPr>
          </w:p>
        </w:tc>
        <w:tc>
          <w:tcPr>
            <w:tcW w:w="2273" w:type="dxa"/>
            <w:vAlign w:val="bottom"/>
            <w:hideMark/>
          </w:tcPr>
          <w:p w14:paraId="26D14BF7"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Cash and cash equivalents</w:t>
            </w:r>
          </w:p>
        </w:tc>
        <w:tc>
          <w:tcPr>
            <w:tcW w:w="2274" w:type="dxa"/>
            <w:vAlign w:val="bottom"/>
            <w:hideMark/>
          </w:tcPr>
          <w:p w14:paraId="465BFB00"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Financial assets at amortised cost (AC)</w:t>
            </w:r>
          </w:p>
        </w:tc>
        <w:tc>
          <w:tcPr>
            <w:tcW w:w="2274" w:type="dxa"/>
            <w:vAlign w:val="bottom"/>
            <w:hideMark/>
          </w:tcPr>
          <w:p w14:paraId="51B918A6"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Financial liabilities at amortised cost (AC)</w:t>
            </w:r>
          </w:p>
        </w:tc>
        <w:tc>
          <w:tcPr>
            <w:tcW w:w="2274" w:type="dxa"/>
            <w:vAlign w:val="bottom"/>
            <w:hideMark/>
          </w:tcPr>
          <w:p w14:paraId="44F3767D"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Total</w:t>
            </w:r>
          </w:p>
        </w:tc>
      </w:tr>
      <w:tr w:rsidR="003E5BF5" w:rsidRPr="00293D7B" w14:paraId="11758CE0" w14:textId="77777777" w:rsidTr="00BA467D">
        <w:trPr>
          <w:trHeight w:val="340"/>
        </w:trPr>
        <w:tc>
          <w:tcPr>
            <w:tcW w:w="4513" w:type="dxa"/>
            <w:noWrap/>
            <w:vAlign w:val="center"/>
            <w:hideMark/>
          </w:tcPr>
          <w:p w14:paraId="12CD7A96" w14:textId="77777777" w:rsidR="003E5BF5" w:rsidRPr="00293D7B" w:rsidRDefault="003E5BF5" w:rsidP="00604703">
            <w:pPr>
              <w:pStyle w:val="TableTextGreen"/>
            </w:pPr>
            <w:r w:rsidRPr="00293D7B">
              <w:t>2019</w:t>
            </w:r>
          </w:p>
        </w:tc>
        <w:tc>
          <w:tcPr>
            <w:tcW w:w="2273" w:type="dxa"/>
            <w:vAlign w:val="center"/>
            <w:hideMark/>
          </w:tcPr>
          <w:p w14:paraId="6FE48A15" w14:textId="77777777" w:rsidR="003E5BF5" w:rsidRPr="00293D7B" w:rsidRDefault="003E5BF5" w:rsidP="00DE1921">
            <w:pPr>
              <w:jc w:val="right"/>
              <w:rPr>
                <w:rFonts w:ascii="Arial" w:hAnsi="Arial" w:cs="Arial"/>
                <w:b/>
                <w:sz w:val="24"/>
                <w:szCs w:val="24"/>
                <w:lang w:eastAsia="en-AU"/>
              </w:rPr>
            </w:pPr>
          </w:p>
        </w:tc>
        <w:tc>
          <w:tcPr>
            <w:tcW w:w="2274" w:type="dxa"/>
            <w:vAlign w:val="center"/>
            <w:hideMark/>
          </w:tcPr>
          <w:p w14:paraId="2D922D4F" w14:textId="77777777" w:rsidR="003E5BF5" w:rsidRPr="00293D7B" w:rsidRDefault="003E5BF5" w:rsidP="00DE1921">
            <w:pPr>
              <w:jc w:val="right"/>
              <w:rPr>
                <w:rFonts w:ascii="Arial" w:hAnsi="Arial" w:cs="Arial"/>
                <w:sz w:val="24"/>
                <w:szCs w:val="24"/>
                <w:lang w:eastAsia="en-AU"/>
              </w:rPr>
            </w:pPr>
          </w:p>
        </w:tc>
        <w:tc>
          <w:tcPr>
            <w:tcW w:w="2274" w:type="dxa"/>
            <w:vAlign w:val="center"/>
            <w:hideMark/>
          </w:tcPr>
          <w:p w14:paraId="5BE0F5E8" w14:textId="77777777" w:rsidR="003E5BF5" w:rsidRPr="00293D7B" w:rsidRDefault="003E5BF5" w:rsidP="00DE1921">
            <w:pPr>
              <w:jc w:val="right"/>
              <w:rPr>
                <w:rFonts w:ascii="Arial" w:hAnsi="Arial" w:cs="Arial"/>
                <w:sz w:val="24"/>
                <w:szCs w:val="24"/>
                <w:lang w:eastAsia="en-AU"/>
              </w:rPr>
            </w:pPr>
          </w:p>
        </w:tc>
        <w:tc>
          <w:tcPr>
            <w:tcW w:w="2274" w:type="dxa"/>
            <w:vAlign w:val="center"/>
            <w:hideMark/>
          </w:tcPr>
          <w:p w14:paraId="6046A6B0" w14:textId="77777777" w:rsidR="003E5BF5" w:rsidRPr="00293D7B" w:rsidRDefault="003E5BF5" w:rsidP="00DE1921">
            <w:pPr>
              <w:jc w:val="right"/>
              <w:rPr>
                <w:rFonts w:ascii="Arial" w:hAnsi="Arial" w:cs="Arial"/>
                <w:sz w:val="24"/>
                <w:szCs w:val="24"/>
                <w:lang w:eastAsia="en-AU"/>
              </w:rPr>
            </w:pPr>
          </w:p>
        </w:tc>
      </w:tr>
      <w:tr w:rsidR="003E5BF5" w:rsidRPr="00293D7B" w14:paraId="2E850555" w14:textId="77777777" w:rsidTr="00BA467D">
        <w:trPr>
          <w:trHeight w:val="340"/>
        </w:trPr>
        <w:tc>
          <w:tcPr>
            <w:tcW w:w="4513" w:type="dxa"/>
            <w:noWrap/>
            <w:vAlign w:val="center"/>
            <w:hideMark/>
          </w:tcPr>
          <w:p w14:paraId="65AA262B" w14:textId="77777777" w:rsidR="003E5BF5" w:rsidRPr="00293D7B" w:rsidRDefault="003E5BF5" w:rsidP="00604703">
            <w:pPr>
              <w:pStyle w:val="TableTextGreen"/>
            </w:pPr>
            <w:r w:rsidRPr="00293D7B">
              <w:t>Contractual financial assets</w:t>
            </w:r>
          </w:p>
        </w:tc>
        <w:tc>
          <w:tcPr>
            <w:tcW w:w="2273" w:type="dxa"/>
            <w:vAlign w:val="center"/>
            <w:hideMark/>
          </w:tcPr>
          <w:p w14:paraId="4B8733AF" w14:textId="77777777" w:rsidR="003E5BF5" w:rsidRPr="00293D7B" w:rsidRDefault="003E5BF5" w:rsidP="00DE1921">
            <w:pPr>
              <w:jc w:val="right"/>
              <w:rPr>
                <w:rFonts w:ascii="Arial" w:hAnsi="Arial" w:cs="Arial"/>
                <w:b/>
                <w:sz w:val="24"/>
                <w:szCs w:val="24"/>
                <w:lang w:eastAsia="en-AU"/>
              </w:rPr>
            </w:pPr>
          </w:p>
        </w:tc>
        <w:tc>
          <w:tcPr>
            <w:tcW w:w="2274" w:type="dxa"/>
            <w:vAlign w:val="center"/>
            <w:hideMark/>
          </w:tcPr>
          <w:p w14:paraId="1CD6A847" w14:textId="77777777" w:rsidR="003E5BF5" w:rsidRPr="00293D7B" w:rsidRDefault="003E5BF5" w:rsidP="00DE1921">
            <w:pPr>
              <w:jc w:val="right"/>
              <w:rPr>
                <w:rFonts w:ascii="Arial" w:hAnsi="Arial" w:cs="Arial"/>
                <w:sz w:val="24"/>
                <w:szCs w:val="24"/>
                <w:lang w:eastAsia="en-AU"/>
              </w:rPr>
            </w:pPr>
          </w:p>
        </w:tc>
        <w:tc>
          <w:tcPr>
            <w:tcW w:w="2274" w:type="dxa"/>
            <w:vAlign w:val="center"/>
            <w:hideMark/>
          </w:tcPr>
          <w:p w14:paraId="72026E40" w14:textId="77777777" w:rsidR="003E5BF5" w:rsidRPr="00293D7B" w:rsidRDefault="003E5BF5" w:rsidP="00DE1921">
            <w:pPr>
              <w:jc w:val="right"/>
              <w:rPr>
                <w:rFonts w:ascii="Arial" w:hAnsi="Arial" w:cs="Arial"/>
                <w:sz w:val="24"/>
                <w:szCs w:val="24"/>
                <w:lang w:eastAsia="en-AU"/>
              </w:rPr>
            </w:pPr>
          </w:p>
        </w:tc>
        <w:tc>
          <w:tcPr>
            <w:tcW w:w="2274" w:type="dxa"/>
            <w:vAlign w:val="center"/>
            <w:hideMark/>
          </w:tcPr>
          <w:p w14:paraId="624C91DF" w14:textId="77777777" w:rsidR="003E5BF5" w:rsidRPr="00293D7B" w:rsidRDefault="003E5BF5" w:rsidP="00DE1921">
            <w:pPr>
              <w:jc w:val="right"/>
              <w:rPr>
                <w:rFonts w:ascii="Arial" w:hAnsi="Arial" w:cs="Arial"/>
                <w:sz w:val="24"/>
                <w:szCs w:val="24"/>
                <w:lang w:eastAsia="en-AU"/>
              </w:rPr>
            </w:pPr>
          </w:p>
        </w:tc>
      </w:tr>
      <w:tr w:rsidR="003E5BF5" w:rsidRPr="00293D7B" w14:paraId="1AA4EED9" w14:textId="77777777" w:rsidTr="00BA467D">
        <w:trPr>
          <w:trHeight w:val="340"/>
        </w:trPr>
        <w:tc>
          <w:tcPr>
            <w:tcW w:w="4513" w:type="dxa"/>
            <w:noWrap/>
            <w:vAlign w:val="center"/>
            <w:hideMark/>
          </w:tcPr>
          <w:p w14:paraId="402A683E"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Cash and cash equivalents</w:t>
            </w:r>
          </w:p>
        </w:tc>
        <w:tc>
          <w:tcPr>
            <w:tcW w:w="2273" w:type="dxa"/>
            <w:noWrap/>
            <w:vAlign w:val="center"/>
            <w:hideMark/>
          </w:tcPr>
          <w:p w14:paraId="35EDEE9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93,812 </w:t>
            </w:r>
          </w:p>
        </w:tc>
        <w:tc>
          <w:tcPr>
            <w:tcW w:w="2274" w:type="dxa"/>
            <w:noWrap/>
            <w:vAlign w:val="center"/>
            <w:hideMark/>
          </w:tcPr>
          <w:p w14:paraId="03E7B99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noWrap/>
            <w:vAlign w:val="center"/>
            <w:hideMark/>
          </w:tcPr>
          <w:p w14:paraId="6BC7339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noWrap/>
            <w:vAlign w:val="center"/>
            <w:hideMark/>
          </w:tcPr>
          <w:p w14:paraId="5413E78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93,812 </w:t>
            </w:r>
          </w:p>
        </w:tc>
      </w:tr>
      <w:tr w:rsidR="003E5BF5" w:rsidRPr="00293D7B" w14:paraId="32FB72A0" w14:textId="77777777" w:rsidTr="00BA467D">
        <w:trPr>
          <w:trHeight w:val="340"/>
        </w:trPr>
        <w:tc>
          <w:tcPr>
            <w:tcW w:w="4513" w:type="dxa"/>
            <w:noWrap/>
            <w:vAlign w:val="center"/>
            <w:hideMark/>
          </w:tcPr>
          <w:p w14:paraId="446BAA09"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xml:space="preserve">Receivables </w:t>
            </w:r>
            <w:r w:rsidRPr="00293D7B">
              <w:rPr>
                <w:rFonts w:ascii="Arial" w:hAnsi="Arial" w:cs="Arial"/>
                <w:sz w:val="24"/>
                <w:szCs w:val="24"/>
                <w:vertAlign w:val="superscript"/>
                <w:lang w:eastAsia="en-AU"/>
              </w:rPr>
              <w:t>(</w:t>
            </w:r>
            <w:proofErr w:type="spellStart"/>
            <w:r w:rsidRPr="00293D7B">
              <w:rPr>
                <w:rFonts w:ascii="Arial" w:hAnsi="Arial" w:cs="Arial"/>
                <w:sz w:val="24"/>
                <w:szCs w:val="24"/>
                <w:vertAlign w:val="superscript"/>
                <w:lang w:eastAsia="en-AU"/>
              </w:rPr>
              <w:t>i</w:t>
            </w:r>
            <w:proofErr w:type="spellEnd"/>
            <w:r w:rsidRPr="00293D7B">
              <w:rPr>
                <w:rFonts w:ascii="Arial" w:hAnsi="Arial" w:cs="Arial"/>
                <w:sz w:val="24"/>
                <w:szCs w:val="24"/>
                <w:vertAlign w:val="superscript"/>
                <w:lang w:eastAsia="en-AU"/>
              </w:rPr>
              <w:t>)</w:t>
            </w:r>
          </w:p>
        </w:tc>
        <w:tc>
          <w:tcPr>
            <w:tcW w:w="2273" w:type="dxa"/>
            <w:noWrap/>
            <w:vAlign w:val="center"/>
            <w:hideMark/>
          </w:tcPr>
          <w:p w14:paraId="716705B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noWrap/>
            <w:vAlign w:val="center"/>
            <w:hideMark/>
          </w:tcPr>
          <w:p w14:paraId="1854282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25,196 </w:t>
            </w:r>
          </w:p>
        </w:tc>
        <w:tc>
          <w:tcPr>
            <w:tcW w:w="2274" w:type="dxa"/>
            <w:noWrap/>
            <w:vAlign w:val="center"/>
            <w:hideMark/>
          </w:tcPr>
          <w:p w14:paraId="6F947F9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noWrap/>
            <w:vAlign w:val="center"/>
            <w:hideMark/>
          </w:tcPr>
          <w:p w14:paraId="2EEF722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25,196 </w:t>
            </w:r>
          </w:p>
        </w:tc>
      </w:tr>
      <w:tr w:rsidR="003E5BF5" w:rsidRPr="00293D7B" w14:paraId="1F246733" w14:textId="77777777" w:rsidTr="00BA467D">
        <w:trPr>
          <w:trHeight w:val="340"/>
        </w:trPr>
        <w:tc>
          <w:tcPr>
            <w:tcW w:w="4513" w:type="dxa"/>
            <w:noWrap/>
            <w:vAlign w:val="center"/>
            <w:hideMark/>
          </w:tcPr>
          <w:p w14:paraId="736934E5"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contractual financial assets</w:t>
            </w:r>
          </w:p>
        </w:tc>
        <w:tc>
          <w:tcPr>
            <w:tcW w:w="2273" w:type="dxa"/>
            <w:noWrap/>
            <w:vAlign w:val="center"/>
            <w:hideMark/>
          </w:tcPr>
          <w:p w14:paraId="261F2E0D"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93,812 </w:t>
            </w:r>
          </w:p>
        </w:tc>
        <w:tc>
          <w:tcPr>
            <w:tcW w:w="2274" w:type="dxa"/>
            <w:noWrap/>
            <w:vAlign w:val="center"/>
            <w:hideMark/>
          </w:tcPr>
          <w:p w14:paraId="1536821D"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25,196 </w:t>
            </w:r>
          </w:p>
        </w:tc>
        <w:tc>
          <w:tcPr>
            <w:tcW w:w="2274" w:type="dxa"/>
            <w:noWrap/>
            <w:vAlign w:val="center"/>
            <w:hideMark/>
          </w:tcPr>
          <w:p w14:paraId="672A60C2"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 - </w:t>
            </w:r>
          </w:p>
        </w:tc>
        <w:tc>
          <w:tcPr>
            <w:tcW w:w="2274" w:type="dxa"/>
            <w:noWrap/>
            <w:vAlign w:val="center"/>
            <w:hideMark/>
          </w:tcPr>
          <w:p w14:paraId="5FCEE497"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119,008 </w:t>
            </w:r>
          </w:p>
        </w:tc>
      </w:tr>
      <w:tr w:rsidR="003E5BF5" w:rsidRPr="00293D7B" w14:paraId="284ACA36" w14:textId="77777777" w:rsidTr="00BA467D">
        <w:trPr>
          <w:trHeight w:val="340"/>
        </w:trPr>
        <w:tc>
          <w:tcPr>
            <w:tcW w:w="4513" w:type="dxa"/>
            <w:noWrap/>
            <w:vAlign w:val="center"/>
            <w:hideMark/>
          </w:tcPr>
          <w:p w14:paraId="5297CA0C" w14:textId="77777777" w:rsidR="003E5BF5" w:rsidRPr="00293D7B" w:rsidRDefault="003E5BF5" w:rsidP="00604703">
            <w:pPr>
              <w:pStyle w:val="TableTextGreen"/>
            </w:pPr>
            <w:r w:rsidRPr="00293D7B">
              <w:t>Contractual financial liabilities</w:t>
            </w:r>
          </w:p>
        </w:tc>
        <w:tc>
          <w:tcPr>
            <w:tcW w:w="2273" w:type="dxa"/>
            <w:vAlign w:val="center"/>
            <w:hideMark/>
          </w:tcPr>
          <w:p w14:paraId="242F02E1" w14:textId="77777777" w:rsidR="003E5BF5" w:rsidRPr="00293D7B" w:rsidRDefault="003E5BF5" w:rsidP="00DE1921">
            <w:pPr>
              <w:jc w:val="right"/>
              <w:rPr>
                <w:rFonts w:ascii="Arial" w:hAnsi="Arial" w:cs="Arial"/>
                <w:b/>
                <w:sz w:val="24"/>
                <w:szCs w:val="24"/>
                <w:lang w:eastAsia="en-AU"/>
              </w:rPr>
            </w:pPr>
          </w:p>
        </w:tc>
        <w:tc>
          <w:tcPr>
            <w:tcW w:w="2274" w:type="dxa"/>
            <w:vAlign w:val="center"/>
            <w:hideMark/>
          </w:tcPr>
          <w:p w14:paraId="3A8E4762" w14:textId="77777777" w:rsidR="003E5BF5" w:rsidRPr="00293D7B" w:rsidRDefault="003E5BF5" w:rsidP="00DE1921">
            <w:pPr>
              <w:jc w:val="right"/>
              <w:rPr>
                <w:rFonts w:ascii="Arial" w:hAnsi="Arial" w:cs="Arial"/>
                <w:sz w:val="24"/>
                <w:szCs w:val="24"/>
                <w:lang w:eastAsia="en-AU"/>
              </w:rPr>
            </w:pPr>
          </w:p>
        </w:tc>
        <w:tc>
          <w:tcPr>
            <w:tcW w:w="2274" w:type="dxa"/>
            <w:vAlign w:val="center"/>
            <w:hideMark/>
          </w:tcPr>
          <w:p w14:paraId="7F5545AD" w14:textId="77777777" w:rsidR="003E5BF5" w:rsidRPr="00293D7B" w:rsidRDefault="003E5BF5" w:rsidP="00DE1921">
            <w:pPr>
              <w:jc w:val="right"/>
              <w:rPr>
                <w:rFonts w:ascii="Arial" w:hAnsi="Arial" w:cs="Arial"/>
                <w:sz w:val="24"/>
                <w:szCs w:val="24"/>
                <w:lang w:eastAsia="en-AU"/>
              </w:rPr>
            </w:pPr>
          </w:p>
        </w:tc>
        <w:tc>
          <w:tcPr>
            <w:tcW w:w="2274" w:type="dxa"/>
            <w:vAlign w:val="center"/>
            <w:hideMark/>
          </w:tcPr>
          <w:p w14:paraId="055EFE34" w14:textId="77777777" w:rsidR="003E5BF5" w:rsidRPr="00293D7B" w:rsidRDefault="003E5BF5" w:rsidP="00DE1921">
            <w:pPr>
              <w:jc w:val="right"/>
              <w:rPr>
                <w:rFonts w:ascii="Arial" w:hAnsi="Arial" w:cs="Arial"/>
                <w:sz w:val="24"/>
                <w:szCs w:val="24"/>
                <w:lang w:eastAsia="en-AU"/>
              </w:rPr>
            </w:pPr>
          </w:p>
        </w:tc>
      </w:tr>
      <w:tr w:rsidR="003E5BF5" w:rsidRPr="00293D7B" w14:paraId="47D52179" w14:textId="77777777" w:rsidTr="00BA467D">
        <w:trPr>
          <w:trHeight w:val="340"/>
        </w:trPr>
        <w:tc>
          <w:tcPr>
            <w:tcW w:w="4513" w:type="dxa"/>
            <w:noWrap/>
            <w:vAlign w:val="center"/>
            <w:hideMark/>
          </w:tcPr>
          <w:p w14:paraId="583C51BB"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xml:space="preserve">Payables </w:t>
            </w:r>
            <w:r w:rsidRPr="00293D7B">
              <w:rPr>
                <w:rFonts w:ascii="Arial" w:hAnsi="Arial" w:cs="Arial"/>
                <w:sz w:val="24"/>
                <w:szCs w:val="24"/>
                <w:vertAlign w:val="superscript"/>
                <w:lang w:eastAsia="en-AU"/>
              </w:rPr>
              <w:t>(</w:t>
            </w:r>
            <w:proofErr w:type="spellStart"/>
            <w:r w:rsidRPr="00293D7B">
              <w:rPr>
                <w:rFonts w:ascii="Arial" w:hAnsi="Arial" w:cs="Arial"/>
                <w:sz w:val="24"/>
                <w:szCs w:val="24"/>
                <w:vertAlign w:val="superscript"/>
                <w:lang w:eastAsia="en-AU"/>
              </w:rPr>
              <w:t>i</w:t>
            </w:r>
            <w:proofErr w:type="spellEnd"/>
            <w:r w:rsidRPr="00293D7B">
              <w:rPr>
                <w:rFonts w:ascii="Arial" w:hAnsi="Arial" w:cs="Arial"/>
                <w:sz w:val="24"/>
                <w:szCs w:val="24"/>
                <w:vertAlign w:val="superscript"/>
                <w:lang w:eastAsia="en-AU"/>
              </w:rPr>
              <w:t>)</w:t>
            </w:r>
          </w:p>
        </w:tc>
        <w:tc>
          <w:tcPr>
            <w:tcW w:w="2273" w:type="dxa"/>
            <w:noWrap/>
            <w:vAlign w:val="center"/>
            <w:hideMark/>
          </w:tcPr>
          <w:p w14:paraId="1D186427" w14:textId="77777777" w:rsidR="003E5BF5" w:rsidRPr="00293D7B" w:rsidRDefault="003E5BF5" w:rsidP="00DE1921">
            <w:pPr>
              <w:jc w:val="right"/>
              <w:rPr>
                <w:rFonts w:ascii="Arial" w:hAnsi="Arial" w:cs="Arial"/>
                <w:sz w:val="24"/>
                <w:szCs w:val="24"/>
                <w:lang w:eastAsia="en-AU"/>
              </w:rPr>
            </w:pPr>
          </w:p>
        </w:tc>
        <w:tc>
          <w:tcPr>
            <w:tcW w:w="2274" w:type="dxa"/>
            <w:noWrap/>
            <w:vAlign w:val="center"/>
            <w:hideMark/>
          </w:tcPr>
          <w:p w14:paraId="4BC6F140" w14:textId="77777777" w:rsidR="003E5BF5" w:rsidRPr="00293D7B" w:rsidRDefault="003E5BF5" w:rsidP="00DE1921">
            <w:pPr>
              <w:jc w:val="right"/>
              <w:rPr>
                <w:rFonts w:ascii="Arial" w:hAnsi="Arial" w:cs="Arial"/>
                <w:sz w:val="24"/>
                <w:szCs w:val="24"/>
                <w:lang w:eastAsia="en-AU"/>
              </w:rPr>
            </w:pPr>
          </w:p>
        </w:tc>
        <w:tc>
          <w:tcPr>
            <w:tcW w:w="2274" w:type="dxa"/>
            <w:noWrap/>
            <w:vAlign w:val="center"/>
            <w:hideMark/>
          </w:tcPr>
          <w:p w14:paraId="2A221039" w14:textId="77777777" w:rsidR="003E5BF5" w:rsidRPr="00293D7B" w:rsidRDefault="003E5BF5" w:rsidP="00DE1921">
            <w:pPr>
              <w:jc w:val="right"/>
              <w:rPr>
                <w:rFonts w:ascii="Arial" w:hAnsi="Arial" w:cs="Arial"/>
                <w:sz w:val="24"/>
                <w:szCs w:val="24"/>
                <w:lang w:eastAsia="en-AU"/>
              </w:rPr>
            </w:pPr>
          </w:p>
        </w:tc>
        <w:tc>
          <w:tcPr>
            <w:tcW w:w="2274" w:type="dxa"/>
            <w:noWrap/>
            <w:vAlign w:val="center"/>
            <w:hideMark/>
          </w:tcPr>
          <w:p w14:paraId="77D52ABA" w14:textId="77777777" w:rsidR="003E5BF5" w:rsidRPr="00293D7B" w:rsidRDefault="003E5BF5" w:rsidP="00DE1921">
            <w:pPr>
              <w:jc w:val="right"/>
              <w:rPr>
                <w:rFonts w:ascii="Arial" w:hAnsi="Arial" w:cs="Arial"/>
                <w:sz w:val="24"/>
                <w:szCs w:val="24"/>
                <w:lang w:eastAsia="en-AU"/>
              </w:rPr>
            </w:pPr>
          </w:p>
        </w:tc>
      </w:tr>
      <w:tr w:rsidR="003E5BF5" w:rsidRPr="00293D7B" w14:paraId="794BE0C2" w14:textId="77777777" w:rsidTr="00BA467D">
        <w:trPr>
          <w:trHeight w:val="340"/>
        </w:trPr>
        <w:tc>
          <w:tcPr>
            <w:tcW w:w="4513" w:type="dxa"/>
            <w:noWrap/>
            <w:vAlign w:val="center"/>
            <w:hideMark/>
          </w:tcPr>
          <w:p w14:paraId="5671FB31"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Supplies and services</w:t>
            </w:r>
          </w:p>
        </w:tc>
        <w:tc>
          <w:tcPr>
            <w:tcW w:w="2273" w:type="dxa"/>
            <w:noWrap/>
            <w:vAlign w:val="center"/>
            <w:hideMark/>
          </w:tcPr>
          <w:p w14:paraId="6DBE77A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noWrap/>
            <w:vAlign w:val="center"/>
            <w:hideMark/>
          </w:tcPr>
          <w:p w14:paraId="3F00BD8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noWrap/>
            <w:vAlign w:val="center"/>
            <w:hideMark/>
          </w:tcPr>
          <w:p w14:paraId="1A747E2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1,400,643 </w:t>
            </w:r>
          </w:p>
        </w:tc>
        <w:tc>
          <w:tcPr>
            <w:tcW w:w="2274" w:type="dxa"/>
            <w:noWrap/>
            <w:vAlign w:val="center"/>
            <w:hideMark/>
          </w:tcPr>
          <w:p w14:paraId="02184CE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1,400,643 </w:t>
            </w:r>
          </w:p>
        </w:tc>
      </w:tr>
      <w:tr w:rsidR="003E5BF5" w:rsidRPr="00293D7B" w14:paraId="4A94B847" w14:textId="77777777" w:rsidTr="00BA467D">
        <w:trPr>
          <w:trHeight w:val="340"/>
        </w:trPr>
        <w:tc>
          <w:tcPr>
            <w:tcW w:w="4513" w:type="dxa"/>
            <w:noWrap/>
            <w:vAlign w:val="center"/>
            <w:hideMark/>
          </w:tcPr>
          <w:p w14:paraId="6EFA6950"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Borrowings</w:t>
            </w:r>
          </w:p>
        </w:tc>
        <w:tc>
          <w:tcPr>
            <w:tcW w:w="2273" w:type="dxa"/>
            <w:noWrap/>
            <w:vAlign w:val="center"/>
            <w:hideMark/>
          </w:tcPr>
          <w:p w14:paraId="17A71621" w14:textId="77777777" w:rsidR="003E5BF5" w:rsidRPr="00293D7B" w:rsidRDefault="003E5BF5" w:rsidP="00DE1921">
            <w:pPr>
              <w:jc w:val="right"/>
              <w:rPr>
                <w:rFonts w:ascii="Arial" w:hAnsi="Arial" w:cs="Arial"/>
                <w:sz w:val="24"/>
                <w:szCs w:val="24"/>
                <w:lang w:eastAsia="en-AU"/>
              </w:rPr>
            </w:pPr>
          </w:p>
        </w:tc>
        <w:tc>
          <w:tcPr>
            <w:tcW w:w="2274" w:type="dxa"/>
            <w:noWrap/>
            <w:vAlign w:val="center"/>
            <w:hideMark/>
          </w:tcPr>
          <w:p w14:paraId="0008B168" w14:textId="77777777" w:rsidR="003E5BF5" w:rsidRPr="00293D7B" w:rsidRDefault="003E5BF5" w:rsidP="00DE1921">
            <w:pPr>
              <w:jc w:val="right"/>
              <w:rPr>
                <w:rFonts w:ascii="Arial" w:hAnsi="Arial" w:cs="Arial"/>
                <w:sz w:val="24"/>
                <w:szCs w:val="24"/>
                <w:lang w:eastAsia="en-AU"/>
              </w:rPr>
            </w:pPr>
          </w:p>
        </w:tc>
        <w:tc>
          <w:tcPr>
            <w:tcW w:w="2274" w:type="dxa"/>
            <w:noWrap/>
            <w:vAlign w:val="center"/>
            <w:hideMark/>
          </w:tcPr>
          <w:p w14:paraId="688A85D8" w14:textId="77777777" w:rsidR="003E5BF5" w:rsidRPr="00293D7B" w:rsidRDefault="003E5BF5" w:rsidP="00DE1921">
            <w:pPr>
              <w:jc w:val="right"/>
              <w:rPr>
                <w:rFonts w:ascii="Arial" w:hAnsi="Arial" w:cs="Arial"/>
                <w:sz w:val="24"/>
                <w:szCs w:val="24"/>
                <w:lang w:eastAsia="en-AU"/>
              </w:rPr>
            </w:pPr>
          </w:p>
        </w:tc>
        <w:tc>
          <w:tcPr>
            <w:tcW w:w="2274" w:type="dxa"/>
            <w:noWrap/>
            <w:vAlign w:val="center"/>
            <w:hideMark/>
          </w:tcPr>
          <w:p w14:paraId="253DAFF9" w14:textId="77777777" w:rsidR="003E5BF5" w:rsidRPr="00293D7B" w:rsidRDefault="003E5BF5" w:rsidP="00DE1921">
            <w:pPr>
              <w:jc w:val="right"/>
              <w:rPr>
                <w:rFonts w:ascii="Arial" w:hAnsi="Arial" w:cs="Arial"/>
                <w:sz w:val="24"/>
                <w:szCs w:val="24"/>
                <w:lang w:eastAsia="en-AU"/>
              </w:rPr>
            </w:pPr>
          </w:p>
        </w:tc>
      </w:tr>
      <w:tr w:rsidR="003E5BF5" w:rsidRPr="00293D7B" w14:paraId="0034FA53" w14:textId="77777777" w:rsidTr="00BA467D">
        <w:trPr>
          <w:trHeight w:val="340"/>
        </w:trPr>
        <w:tc>
          <w:tcPr>
            <w:tcW w:w="4513" w:type="dxa"/>
            <w:noWrap/>
            <w:vAlign w:val="center"/>
            <w:hideMark/>
          </w:tcPr>
          <w:p w14:paraId="466E46F2"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Lease liabilities</w:t>
            </w:r>
          </w:p>
        </w:tc>
        <w:tc>
          <w:tcPr>
            <w:tcW w:w="2273" w:type="dxa"/>
            <w:noWrap/>
            <w:vAlign w:val="center"/>
            <w:hideMark/>
          </w:tcPr>
          <w:p w14:paraId="0FA492E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noWrap/>
            <w:vAlign w:val="center"/>
            <w:hideMark/>
          </w:tcPr>
          <w:p w14:paraId="37A3508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noWrap/>
            <w:vAlign w:val="center"/>
            <w:hideMark/>
          </w:tcPr>
          <w:p w14:paraId="0F54100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3,582 </w:t>
            </w:r>
          </w:p>
        </w:tc>
        <w:tc>
          <w:tcPr>
            <w:tcW w:w="2274" w:type="dxa"/>
            <w:noWrap/>
            <w:vAlign w:val="center"/>
            <w:hideMark/>
          </w:tcPr>
          <w:p w14:paraId="26F781A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3,582 </w:t>
            </w:r>
          </w:p>
        </w:tc>
      </w:tr>
      <w:tr w:rsidR="003E5BF5" w:rsidRPr="00293D7B" w14:paraId="632D76AA" w14:textId="77777777" w:rsidTr="00BA467D">
        <w:trPr>
          <w:trHeight w:val="340"/>
        </w:trPr>
        <w:tc>
          <w:tcPr>
            <w:tcW w:w="4513" w:type="dxa"/>
            <w:noWrap/>
            <w:vAlign w:val="center"/>
            <w:hideMark/>
          </w:tcPr>
          <w:p w14:paraId="0B73E6CC"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Service concession financial liability</w:t>
            </w:r>
          </w:p>
        </w:tc>
        <w:tc>
          <w:tcPr>
            <w:tcW w:w="2273" w:type="dxa"/>
            <w:noWrap/>
            <w:vAlign w:val="center"/>
            <w:hideMark/>
          </w:tcPr>
          <w:p w14:paraId="7869CCC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noWrap/>
            <w:vAlign w:val="center"/>
            <w:hideMark/>
          </w:tcPr>
          <w:p w14:paraId="0DE16D5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noWrap/>
            <w:vAlign w:val="center"/>
            <w:hideMark/>
          </w:tcPr>
          <w:p w14:paraId="1C2B52D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3,136,101 </w:t>
            </w:r>
          </w:p>
        </w:tc>
        <w:tc>
          <w:tcPr>
            <w:tcW w:w="2274" w:type="dxa"/>
            <w:noWrap/>
            <w:vAlign w:val="center"/>
            <w:hideMark/>
          </w:tcPr>
          <w:p w14:paraId="451574C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3,136,101 </w:t>
            </w:r>
          </w:p>
        </w:tc>
      </w:tr>
      <w:tr w:rsidR="003E5BF5" w:rsidRPr="00293D7B" w14:paraId="3F49C325" w14:textId="77777777" w:rsidTr="00BA467D">
        <w:trPr>
          <w:trHeight w:val="340"/>
        </w:trPr>
        <w:tc>
          <w:tcPr>
            <w:tcW w:w="4513" w:type="dxa"/>
            <w:noWrap/>
            <w:vAlign w:val="center"/>
            <w:hideMark/>
          </w:tcPr>
          <w:p w14:paraId="622E5470"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Advances from government</w:t>
            </w:r>
          </w:p>
        </w:tc>
        <w:tc>
          <w:tcPr>
            <w:tcW w:w="2273" w:type="dxa"/>
            <w:noWrap/>
            <w:vAlign w:val="center"/>
            <w:hideMark/>
          </w:tcPr>
          <w:p w14:paraId="266A301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noWrap/>
            <w:vAlign w:val="center"/>
            <w:hideMark/>
          </w:tcPr>
          <w:p w14:paraId="52C4CA2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noWrap/>
            <w:vAlign w:val="center"/>
            <w:hideMark/>
          </w:tcPr>
          <w:p w14:paraId="628C69D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85,953 </w:t>
            </w:r>
          </w:p>
        </w:tc>
        <w:tc>
          <w:tcPr>
            <w:tcW w:w="2274" w:type="dxa"/>
            <w:noWrap/>
            <w:vAlign w:val="center"/>
            <w:hideMark/>
          </w:tcPr>
          <w:p w14:paraId="3FC68E3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85,953 </w:t>
            </w:r>
          </w:p>
        </w:tc>
      </w:tr>
      <w:tr w:rsidR="003E5BF5" w:rsidRPr="00293D7B" w14:paraId="5B93BDFE" w14:textId="77777777" w:rsidTr="00BA467D">
        <w:trPr>
          <w:trHeight w:val="340"/>
        </w:trPr>
        <w:tc>
          <w:tcPr>
            <w:tcW w:w="4513" w:type="dxa"/>
            <w:noWrap/>
            <w:vAlign w:val="center"/>
            <w:hideMark/>
          </w:tcPr>
          <w:p w14:paraId="0BD03803"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Advances from non-public sector</w:t>
            </w:r>
          </w:p>
        </w:tc>
        <w:tc>
          <w:tcPr>
            <w:tcW w:w="2273" w:type="dxa"/>
            <w:noWrap/>
            <w:vAlign w:val="center"/>
            <w:hideMark/>
          </w:tcPr>
          <w:p w14:paraId="4E018F3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noWrap/>
            <w:vAlign w:val="center"/>
            <w:hideMark/>
          </w:tcPr>
          <w:p w14:paraId="2CDF75A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2274" w:type="dxa"/>
            <w:noWrap/>
            <w:vAlign w:val="center"/>
            <w:hideMark/>
          </w:tcPr>
          <w:p w14:paraId="13B0CD7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99,776 </w:t>
            </w:r>
          </w:p>
        </w:tc>
        <w:tc>
          <w:tcPr>
            <w:tcW w:w="2274" w:type="dxa"/>
            <w:noWrap/>
            <w:vAlign w:val="center"/>
            <w:hideMark/>
          </w:tcPr>
          <w:p w14:paraId="00C6897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99,776 </w:t>
            </w:r>
          </w:p>
        </w:tc>
      </w:tr>
      <w:tr w:rsidR="003E5BF5" w:rsidRPr="00293D7B" w14:paraId="0823BE22" w14:textId="77777777" w:rsidTr="00BA467D">
        <w:trPr>
          <w:trHeight w:val="340"/>
        </w:trPr>
        <w:tc>
          <w:tcPr>
            <w:tcW w:w="4513" w:type="dxa"/>
            <w:tcBorders>
              <w:bottom w:val="nil"/>
            </w:tcBorders>
            <w:noWrap/>
            <w:vAlign w:val="center"/>
            <w:hideMark/>
          </w:tcPr>
          <w:p w14:paraId="4DECA279"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contractual financial liabilities</w:t>
            </w:r>
          </w:p>
        </w:tc>
        <w:tc>
          <w:tcPr>
            <w:tcW w:w="2273" w:type="dxa"/>
            <w:tcBorders>
              <w:bottom w:val="nil"/>
            </w:tcBorders>
            <w:noWrap/>
            <w:vAlign w:val="center"/>
            <w:hideMark/>
          </w:tcPr>
          <w:p w14:paraId="0A21E22A"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 - </w:t>
            </w:r>
          </w:p>
        </w:tc>
        <w:tc>
          <w:tcPr>
            <w:tcW w:w="2274" w:type="dxa"/>
            <w:tcBorders>
              <w:bottom w:val="nil"/>
            </w:tcBorders>
            <w:noWrap/>
            <w:vAlign w:val="center"/>
            <w:hideMark/>
          </w:tcPr>
          <w:p w14:paraId="50EE0F7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 - </w:t>
            </w:r>
          </w:p>
        </w:tc>
        <w:tc>
          <w:tcPr>
            <w:tcW w:w="2274" w:type="dxa"/>
            <w:tcBorders>
              <w:bottom w:val="nil"/>
            </w:tcBorders>
            <w:noWrap/>
            <w:vAlign w:val="center"/>
            <w:hideMark/>
          </w:tcPr>
          <w:p w14:paraId="57D3460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4,726,055 </w:t>
            </w:r>
          </w:p>
        </w:tc>
        <w:tc>
          <w:tcPr>
            <w:tcW w:w="2274" w:type="dxa"/>
            <w:tcBorders>
              <w:bottom w:val="nil"/>
            </w:tcBorders>
            <w:noWrap/>
            <w:vAlign w:val="center"/>
            <w:hideMark/>
          </w:tcPr>
          <w:p w14:paraId="5F317A0A"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4,726,055 </w:t>
            </w:r>
          </w:p>
        </w:tc>
      </w:tr>
    </w:tbl>
    <w:p w14:paraId="1534F67C" w14:textId="77777777" w:rsidR="00BA467D" w:rsidRPr="00293D7B" w:rsidRDefault="00BA467D" w:rsidP="00BA467D">
      <w:pPr>
        <w:pStyle w:val="Note"/>
        <w:rPr>
          <w:rFonts w:ascii="Arial" w:hAnsi="Arial" w:cs="Arial"/>
          <w:sz w:val="24"/>
          <w:szCs w:val="24"/>
        </w:rPr>
      </w:pPr>
      <w:r w:rsidRPr="00293D7B">
        <w:rPr>
          <w:rFonts w:ascii="Arial" w:hAnsi="Arial" w:cs="Arial"/>
          <w:sz w:val="24"/>
          <w:szCs w:val="24"/>
        </w:rPr>
        <w:t>Note:</w:t>
      </w:r>
    </w:p>
    <w:p w14:paraId="2BE0BAE8" w14:textId="77777777" w:rsidR="00BA467D" w:rsidRPr="00BA467D" w:rsidRDefault="00BA467D" w:rsidP="00610F5F">
      <w:pPr>
        <w:pStyle w:val="aaaNotenumberiiiiii"/>
        <w:numPr>
          <w:ilvl w:val="0"/>
          <w:numId w:val="117"/>
        </w:numPr>
        <w:rPr>
          <w:b/>
        </w:rPr>
      </w:pPr>
      <w:r w:rsidRPr="00293D7B">
        <w:t>Receivables and payables disclosed above exclude statutory receivables (i.e. GST recoverable) and statutory payables (i.e. taxes payable).</w:t>
      </w:r>
    </w:p>
    <w:p w14:paraId="1582765E" w14:textId="0765177E" w:rsidR="003E5BF5" w:rsidRDefault="003E5BF5">
      <w:pPr>
        <w:rPr>
          <w:highlight w:val="yellow"/>
        </w:rPr>
      </w:pPr>
      <w:r>
        <w:rPr>
          <w:highlight w:val="yellow"/>
        </w:rPr>
        <w:br w:type="page"/>
      </w:r>
    </w:p>
    <w:p w14:paraId="402D3ADF" w14:textId="77777777" w:rsidR="003E5BF5" w:rsidRPr="00B603EE" w:rsidRDefault="003E5BF5" w:rsidP="00DE1921">
      <w:pPr>
        <w:rPr>
          <w:highlight w:val="yellow"/>
        </w:rPr>
        <w:sectPr w:rsidR="003E5BF5" w:rsidRPr="00B603EE" w:rsidSect="00DE1921">
          <w:headerReference w:type="even" r:id="rId180"/>
          <w:headerReference w:type="default" r:id="rId181"/>
          <w:footerReference w:type="even" r:id="rId182"/>
          <w:pgSz w:w="16838" w:h="11906" w:orient="landscape"/>
          <w:pgMar w:top="1418" w:right="1701" w:bottom="1418" w:left="1418" w:header="709" w:footer="709" w:gutter="0"/>
          <w:cols w:space="708"/>
          <w:docGrid w:linePitch="360"/>
        </w:sectPr>
      </w:pPr>
    </w:p>
    <w:p w14:paraId="22384385" w14:textId="77777777" w:rsidR="003E5BF5" w:rsidRDefault="003E5BF5" w:rsidP="00610F5F">
      <w:pPr>
        <w:pStyle w:val="Heading3"/>
        <w:numPr>
          <w:ilvl w:val="2"/>
          <w:numId w:val="22"/>
        </w:numPr>
        <w:ind w:left="765" w:hanging="765"/>
      </w:pPr>
      <w:bookmarkStart w:id="538" w:name="_Toc522177985"/>
      <w:bookmarkStart w:id="539" w:name="_Toc529197930"/>
      <w:bookmarkStart w:id="540" w:name="_Toc9344346"/>
      <w:r w:rsidRPr="007444F0">
        <w:lastRenderedPageBreak/>
        <w:t>Financial instruments: Net holding gain/(loss) on financial instruments by category</w:t>
      </w:r>
      <w:bookmarkEnd w:id="538"/>
      <w:bookmarkEnd w:id="539"/>
      <w:bookmarkEnd w:id="540"/>
    </w:p>
    <w:tbl>
      <w:tblPr>
        <w:tblStyle w:val="TableGrid"/>
        <w:tblW w:w="9072" w:type="dxa"/>
        <w:tblCellMar>
          <w:left w:w="28" w:type="dxa"/>
          <w:right w:w="28" w:type="dxa"/>
        </w:tblCellMar>
        <w:tblLook w:val="04A0" w:firstRow="1" w:lastRow="0" w:firstColumn="1" w:lastColumn="0" w:noHBand="0" w:noVBand="1"/>
      </w:tblPr>
      <w:tblGrid>
        <w:gridCol w:w="4011"/>
        <w:gridCol w:w="1687"/>
        <w:gridCol w:w="1687"/>
        <w:gridCol w:w="1687"/>
      </w:tblGrid>
      <w:tr w:rsidR="003E5BF5" w:rsidRPr="00293D7B" w14:paraId="456BDF79" w14:textId="77777777" w:rsidTr="0024769A">
        <w:trPr>
          <w:trHeight w:val="340"/>
        </w:trPr>
        <w:tc>
          <w:tcPr>
            <w:tcW w:w="4011" w:type="dxa"/>
            <w:shd w:val="clear" w:color="auto" w:fill="auto"/>
            <w:noWrap/>
            <w:hideMark/>
          </w:tcPr>
          <w:p w14:paraId="37DEF83F" w14:textId="77777777" w:rsidR="003E5BF5" w:rsidRPr="00293D7B" w:rsidRDefault="003E5BF5" w:rsidP="00DE1921">
            <w:pPr>
              <w:rPr>
                <w:rFonts w:ascii="Arial" w:hAnsi="Arial" w:cs="Arial"/>
                <w:sz w:val="24"/>
                <w:szCs w:val="24"/>
                <w:lang w:eastAsia="en-AU"/>
              </w:rPr>
            </w:pPr>
            <w:bookmarkStart w:id="541" w:name="RANGE!A3:D18"/>
            <w:bookmarkStart w:id="542" w:name="RANGE!A3:D21"/>
            <w:bookmarkStart w:id="543" w:name="_1659080881"/>
            <w:bookmarkEnd w:id="541"/>
            <w:bookmarkEnd w:id="542"/>
            <w:bookmarkEnd w:id="543"/>
          </w:p>
        </w:tc>
        <w:tc>
          <w:tcPr>
            <w:tcW w:w="5061" w:type="dxa"/>
            <w:gridSpan w:val="3"/>
            <w:shd w:val="clear" w:color="auto" w:fill="auto"/>
            <w:noWrap/>
            <w:vAlign w:val="center"/>
            <w:hideMark/>
          </w:tcPr>
          <w:p w14:paraId="7FE6698A"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 thousand)</w:t>
            </w:r>
          </w:p>
        </w:tc>
      </w:tr>
      <w:tr w:rsidR="003E5BF5" w:rsidRPr="00293D7B" w14:paraId="232CF1D6" w14:textId="77777777" w:rsidTr="0024769A">
        <w:trPr>
          <w:trHeight w:val="340"/>
        </w:trPr>
        <w:tc>
          <w:tcPr>
            <w:tcW w:w="4011" w:type="dxa"/>
            <w:shd w:val="clear" w:color="auto" w:fill="auto"/>
            <w:noWrap/>
            <w:vAlign w:val="center"/>
            <w:hideMark/>
          </w:tcPr>
          <w:p w14:paraId="5669070A" w14:textId="77777777" w:rsidR="003E5BF5" w:rsidRPr="00293D7B" w:rsidRDefault="003E5BF5" w:rsidP="00DE1921">
            <w:pPr>
              <w:rPr>
                <w:rFonts w:ascii="Arial" w:hAnsi="Arial" w:cs="Arial"/>
                <w:sz w:val="24"/>
                <w:szCs w:val="24"/>
                <w:lang w:eastAsia="en-AU"/>
              </w:rPr>
            </w:pPr>
          </w:p>
        </w:tc>
        <w:tc>
          <w:tcPr>
            <w:tcW w:w="1687" w:type="dxa"/>
            <w:shd w:val="clear" w:color="auto" w:fill="auto"/>
            <w:vAlign w:val="bottom"/>
            <w:hideMark/>
          </w:tcPr>
          <w:p w14:paraId="163FDB8F"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Interest income/</w:t>
            </w:r>
            <w:r w:rsidRPr="00293D7B">
              <w:rPr>
                <w:rFonts w:ascii="Arial" w:hAnsi="Arial" w:cs="Arial"/>
                <w:b/>
                <w:sz w:val="24"/>
                <w:szCs w:val="24"/>
                <w:lang w:eastAsia="en-AU"/>
              </w:rPr>
              <w:br/>
              <w:t>(expense)</w:t>
            </w:r>
          </w:p>
        </w:tc>
        <w:tc>
          <w:tcPr>
            <w:tcW w:w="1687" w:type="dxa"/>
            <w:shd w:val="clear" w:color="auto" w:fill="auto"/>
            <w:vAlign w:val="bottom"/>
            <w:hideMark/>
          </w:tcPr>
          <w:p w14:paraId="2AD6B705"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Impairment loss</w:t>
            </w:r>
          </w:p>
        </w:tc>
        <w:tc>
          <w:tcPr>
            <w:tcW w:w="1687" w:type="dxa"/>
            <w:shd w:val="clear" w:color="auto" w:fill="auto"/>
            <w:noWrap/>
            <w:vAlign w:val="bottom"/>
            <w:hideMark/>
          </w:tcPr>
          <w:p w14:paraId="0A380BE4"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Total</w:t>
            </w:r>
          </w:p>
        </w:tc>
      </w:tr>
      <w:tr w:rsidR="003E5BF5" w:rsidRPr="00293D7B" w14:paraId="16E1BA95" w14:textId="77777777" w:rsidTr="0024769A">
        <w:trPr>
          <w:trHeight w:val="340"/>
        </w:trPr>
        <w:tc>
          <w:tcPr>
            <w:tcW w:w="4011" w:type="dxa"/>
            <w:shd w:val="clear" w:color="auto" w:fill="auto"/>
            <w:noWrap/>
            <w:vAlign w:val="center"/>
            <w:hideMark/>
          </w:tcPr>
          <w:p w14:paraId="0E466793" w14:textId="77777777" w:rsidR="003E5BF5" w:rsidRPr="00293D7B" w:rsidRDefault="003E5BF5" w:rsidP="00604703">
            <w:pPr>
              <w:pStyle w:val="TableTextGreen"/>
              <w:rPr>
                <w:lang w:eastAsia="en-AU"/>
              </w:rPr>
            </w:pPr>
            <w:r w:rsidRPr="00293D7B">
              <w:t>2</w:t>
            </w:r>
            <w:r w:rsidRPr="00293D7B">
              <w:rPr>
                <w:lang w:eastAsia="en-AU"/>
              </w:rPr>
              <w:t>020</w:t>
            </w:r>
          </w:p>
        </w:tc>
        <w:tc>
          <w:tcPr>
            <w:tcW w:w="1687" w:type="dxa"/>
            <w:shd w:val="clear" w:color="auto" w:fill="auto"/>
            <w:vAlign w:val="center"/>
            <w:hideMark/>
          </w:tcPr>
          <w:p w14:paraId="3E003B28" w14:textId="77777777" w:rsidR="003E5BF5" w:rsidRPr="00293D7B" w:rsidRDefault="003E5BF5" w:rsidP="00DE1921">
            <w:pPr>
              <w:jc w:val="right"/>
              <w:rPr>
                <w:rFonts w:ascii="Arial" w:hAnsi="Arial" w:cs="Arial"/>
                <w:b/>
                <w:sz w:val="24"/>
                <w:szCs w:val="24"/>
                <w:lang w:eastAsia="en-AU"/>
              </w:rPr>
            </w:pPr>
          </w:p>
        </w:tc>
        <w:tc>
          <w:tcPr>
            <w:tcW w:w="1687" w:type="dxa"/>
            <w:shd w:val="clear" w:color="auto" w:fill="auto"/>
            <w:vAlign w:val="center"/>
            <w:hideMark/>
          </w:tcPr>
          <w:p w14:paraId="29EA55AF" w14:textId="77777777" w:rsidR="003E5BF5" w:rsidRPr="00293D7B" w:rsidRDefault="003E5BF5" w:rsidP="00DE1921">
            <w:pPr>
              <w:jc w:val="right"/>
              <w:rPr>
                <w:rFonts w:ascii="Arial" w:hAnsi="Arial" w:cs="Arial"/>
                <w:sz w:val="24"/>
                <w:szCs w:val="24"/>
                <w:lang w:eastAsia="en-AU"/>
              </w:rPr>
            </w:pPr>
          </w:p>
        </w:tc>
        <w:tc>
          <w:tcPr>
            <w:tcW w:w="1687" w:type="dxa"/>
            <w:shd w:val="clear" w:color="auto" w:fill="auto"/>
            <w:noWrap/>
            <w:vAlign w:val="center"/>
            <w:hideMark/>
          </w:tcPr>
          <w:p w14:paraId="1DE5E07C" w14:textId="77777777" w:rsidR="003E5BF5" w:rsidRPr="00293D7B" w:rsidRDefault="003E5BF5" w:rsidP="00DE1921">
            <w:pPr>
              <w:jc w:val="right"/>
              <w:rPr>
                <w:rFonts w:ascii="Arial" w:hAnsi="Arial" w:cs="Arial"/>
                <w:sz w:val="24"/>
                <w:szCs w:val="24"/>
                <w:lang w:eastAsia="en-AU"/>
              </w:rPr>
            </w:pPr>
          </w:p>
        </w:tc>
      </w:tr>
      <w:tr w:rsidR="003E5BF5" w:rsidRPr="00293D7B" w14:paraId="59ED314B" w14:textId="77777777" w:rsidTr="0024769A">
        <w:trPr>
          <w:trHeight w:val="340"/>
        </w:trPr>
        <w:tc>
          <w:tcPr>
            <w:tcW w:w="4011" w:type="dxa"/>
            <w:shd w:val="clear" w:color="auto" w:fill="auto"/>
            <w:noWrap/>
            <w:vAlign w:val="center"/>
            <w:hideMark/>
          </w:tcPr>
          <w:p w14:paraId="6CBFAF2E" w14:textId="77777777" w:rsidR="003E5BF5" w:rsidRPr="00293D7B" w:rsidRDefault="003E5BF5" w:rsidP="00604703">
            <w:pPr>
              <w:pStyle w:val="TableTextGreen"/>
              <w:rPr>
                <w:lang w:eastAsia="en-AU"/>
              </w:rPr>
            </w:pPr>
            <w:r w:rsidRPr="00293D7B">
              <w:t xml:space="preserve">Contractual </w:t>
            </w:r>
            <w:r w:rsidRPr="00293D7B">
              <w:rPr>
                <w:lang w:eastAsia="en-AU"/>
              </w:rPr>
              <w:t>financial assets</w:t>
            </w:r>
          </w:p>
        </w:tc>
        <w:tc>
          <w:tcPr>
            <w:tcW w:w="1687" w:type="dxa"/>
            <w:shd w:val="clear" w:color="auto" w:fill="auto"/>
            <w:noWrap/>
            <w:vAlign w:val="center"/>
            <w:hideMark/>
          </w:tcPr>
          <w:p w14:paraId="10B07BBD" w14:textId="77777777" w:rsidR="003E5BF5" w:rsidRPr="00293D7B" w:rsidRDefault="003E5BF5" w:rsidP="00DE1921">
            <w:pPr>
              <w:jc w:val="right"/>
              <w:rPr>
                <w:rFonts w:ascii="Arial" w:hAnsi="Arial" w:cs="Arial"/>
                <w:b/>
                <w:sz w:val="24"/>
                <w:szCs w:val="24"/>
                <w:lang w:eastAsia="en-AU"/>
              </w:rPr>
            </w:pPr>
          </w:p>
        </w:tc>
        <w:tc>
          <w:tcPr>
            <w:tcW w:w="1687" w:type="dxa"/>
            <w:shd w:val="clear" w:color="auto" w:fill="auto"/>
            <w:noWrap/>
            <w:vAlign w:val="center"/>
            <w:hideMark/>
          </w:tcPr>
          <w:p w14:paraId="5D87B73B" w14:textId="77777777" w:rsidR="003E5BF5" w:rsidRPr="00293D7B" w:rsidRDefault="003E5BF5" w:rsidP="00DE1921">
            <w:pPr>
              <w:jc w:val="right"/>
              <w:rPr>
                <w:rFonts w:ascii="Arial" w:hAnsi="Arial" w:cs="Arial"/>
                <w:sz w:val="24"/>
                <w:szCs w:val="24"/>
                <w:lang w:eastAsia="en-AU"/>
              </w:rPr>
            </w:pPr>
          </w:p>
        </w:tc>
        <w:tc>
          <w:tcPr>
            <w:tcW w:w="1687" w:type="dxa"/>
            <w:shd w:val="clear" w:color="auto" w:fill="auto"/>
            <w:noWrap/>
            <w:vAlign w:val="center"/>
            <w:hideMark/>
          </w:tcPr>
          <w:p w14:paraId="3A8D4DC4" w14:textId="77777777" w:rsidR="003E5BF5" w:rsidRPr="00293D7B" w:rsidRDefault="003E5BF5" w:rsidP="00DE1921">
            <w:pPr>
              <w:jc w:val="right"/>
              <w:rPr>
                <w:rFonts w:ascii="Arial" w:hAnsi="Arial" w:cs="Arial"/>
                <w:sz w:val="24"/>
                <w:szCs w:val="24"/>
                <w:lang w:eastAsia="en-AU"/>
              </w:rPr>
            </w:pPr>
          </w:p>
        </w:tc>
      </w:tr>
      <w:tr w:rsidR="003E5BF5" w:rsidRPr="00293D7B" w14:paraId="37752A04" w14:textId="77777777" w:rsidTr="0024769A">
        <w:trPr>
          <w:trHeight w:val="340"/>
        </w:trPr>
        <w:tc>
          <w:tcPr>
            <w:tcW w:w="4011" w:type="dxa"/>
            <w:shd w:val="clear" w:color="auto" w:fill="auto"/>
            <w:noWrap/>
            <w:vAlign w:val="center"/>
            <w:hideMark/>
          </w:tcPr>
          <w:p w14:paraId="7B88E2F5"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Financial assets at amortised cost</w:t>
            </w:r>
          </w:p>
        </w:tc>
        <w:tc>
          <w:tcPr>
            <w:tcW w:w="1687" w:type="dxa"/>
            <w:shd w:val="clear" w:color="auto" w:fill="auto"/>
            <w:noWrap/>
            <w:vAlign w:val="center"/>
            <w:hideMark/>
          </w:tcPr>
          <w:p w14:paraId="4D77D39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2,710 </w:t>
            </w:r>
          </w:p>
        </w:tc>
        <w:tc>
          <w:tcPr>
            <w:tcW w:w="1687" w:type="dxa"/>
            <w:shd w:val="clear" w:color="auto" w:fill="auto"/>
            <w:noWrap/>
            <w:vAlign w:val="center"/>
            <w:hideMark/>
          </w:tcPr>
          <w:p w14:paraId="08FDABD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(1,789)</w:t>
            </w:r>
          </w:p>
        </w:tc>
        <w:tc>
          <w:tcPr>
            <w:tcW w:w="1687" w:type="dxa"/>
            <w:shd w:val="clear" w:color="auto" w:fill="auto"/>
            <w:noWrap/>
            <w:vAlign w:val="center"/>
            <w:hideMark/>
          </w:tcPr>
          <w:p w14:paraId="06B70CD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921 </w:t>
            </w:r>
          </w:p>
        </w:tc>
      </w:tr>
      <w:tr w:rsidR="003E5BF5" w:rsidRPr="00293D7B" w14:paraId="3C037536" w14:textId="77777777" w:rsidTr="0024769A">
        <w:trPr>
          <w:trHeight w:val="340"/>
        </w:trPr>
        <w:tc>
          <w:tcPr>
            <w:tcW w:w="4011" w:type="dxa"/>
            <w:shd w:val="clear" w:color="auto" w:fill="auto"/>
            <w:noWrap/>
            <w:vAlign w:val="center"/>
            <w:hideMark/>
          </w:tcPr>
          <w:p w14:paraId="24D9A9FB"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contractual financial assets</w:t>
            </w:r>
          </w:p>
        </w:tc>
        <w:tc>
          <w:tcPr>
            <w:tcW w:w="1687" w:type="dxa"/>
            <w:shd w:val="clear" w:color="auto" w:fill="auto"/>
            <w:noWrap/>
            <w:vAlign w:val="center"/>
            <w:hideMark/>
          </w:tcPr>
          <w:p w14:paraId="4D5AC372"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2,710 </w:t>
            </w:r>
          </w:p>
        </w:tc>
        <w:tc>
          <w:tcPr>
            <w:tcW w:w="1687" w:type="dxa"/>
            <w:shd w:val="clear" w:color="auto" w:fill="auto"/>
            <w:noWrap/>
            <w:vAlign w:val="center"/>
            <w:hideMark/>
          </w:tcPr>
          <w:p w14:paraId="2E08CE46"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(1,789)</w:t>
            </w:r>
          </w:p>
        </w:tc>
        <w:tc>
          <w:tcPr>
            <w:tcW w:w="1687" w:type="dxa"/>
            <w:shd w:val="clear" w:color="auto" w:fill="auto"/>
            <w:noWrap/>
            <w:vAlign w:val="center"/>
            <w:hideMark/>
          </w:tcPr>
          <w:p w14:paraId="22DE0F73"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921 </w:t>
            </w:r>
          </w:p>
        </w:tc>
      </w:tr>
      <w:tr w:rsidR="003E5BF5" w:rsidRPr="00293D7B" w14:paraId="1B70B15F" w14:textId="77777777" w:rsidTr="0024769A">
        <w:trPr>
          <w:trHeight w:val="340"/>
        </w:trPr>
        <w:tc>
          <w:tcPr>
            <w:tcW w:w="4011" w:type="dxa"/>
            <w:shd w:val="clear" w:color="auto" w:fill="auto"/>
            <w:noWrap/>
            <w:vAlign w:val="center"/>
            <w:hideMark/>
          </w:tcPr>
          <w:p w14:paraId="6BB46890" w14:textId="77777777" w:rsidR="003E5BF5" w:rsidRPr="00293D7B" w:rsidRDefault="003E5BF5" w:rsidP="00604703">
            <w:pPr>
              <w:pStyle w:val="TableTextGreen"/>
              <w:rPr>
                <w:lang w:eastAsia="en-AU"/>
              </w:rPr>
            </w:pPr>
            <w:r w:rsidRPr="00293D7B">
              <w:t>Contractual financial liabilities</w:t>
            </w:r>
          </w:p>
        </w:tc>
        <w:tc>
          <w:tcPr>
            <w:tcW w:w="1687" w:type="dxa"/>
            <w:shd w:val="clear" w:color="auto" w:fill="auto"/>
            <w:noWrap/>
            <w:vAlign w:val="center"/>
            <w:hideMark/>
          </w:tcPr>
          <w:p w14:paraId="031C5540" w14:textId="77777777" w:rsidR="003E5BF5" w:rsidRPr="00293D7B" w:rsidRDefault="003E5BF5" w:rsidP="00DE1921">
            <w:pPr>
              <w:jc w:val="right"/>
              <w:rPr>
                <w:rFonts w:ascii="Arial" w:hAnsi="Arial" w:cs="Arial"/>
                <w:b/>
                <w:sz w:val="24"/>
                <w:szCs w:val="24"/>
                <w:lang w:eastAsia="en-AU"/>
              </w:rPr>
            </w:pPr>
          </w:p>
        </w:tc>
        <w:tc>
          <w:tcPr>
            <w:tcW w:w="1687" w:type="dxa"/>
            <w:shd w:val="clear" w:color="auto" w:fill="auto"/>
            <w:noWrap/>
            <w:vAlign w:val="center"/>
            <w:hideMark/>
          </w:tcPr>
          <w:p w14:paraId="70FF3251" w14:textId="77777777" w:rsidR="003E5BF5" w:rsidRPr="00293D7B" w:rsidRDefault="003E5BF5" w:rsidP="00DE1921">
            <w:pPr>
              <w:jc w:val="right"/>
              <w:rPr>
                <w:rFonts w:ascii="Arial" w:hAnsi="Arial" w:cs="Arial"/>
                <w:sz w:val="24"/>
                <w:szCs w:val="24"/>
                <w:lang w:eastAsia="en-AU"/>
              </w:rPr>
            </w:pPr>
          </w:p>
        </w:tc>
        <w:tc>
          <w:tcPr>
            <w:tcW w:w="1687" w:type="dxa"/>
            <w:shd w:val="clear" w:color="auto" w:fill="auto"/>
            <w:noWrap/>
            <w:vAlign w:val="center"/>
            <w:hideMark/>
          </w:tcPr>
          <w:p w14:paraId="093A44DE" w14:textId="77777777" w:rsidR="003E5BF5" w:rsidRPr="00293D7B" w:rsidRDefault="003E5BF5" w:rsidP="00DE1921">
            <w:pPr>
              <w:jc w:val="right"/>
              <w:rPr>
                <w:rFonts w:ascii="Arial" w:hAnsi="Arial" w:cs="Arial"/>
                <w:sz w:val="24"/>
                <w:szCs w:val="24"/>
                <w:lang w:eastAsia="en-AU"/>
              </w:rPr>
            </w:pPr>
          </w:p>
        </w:tc>
      </w:tr>
      <w:tr w:rsidR="003E5BF5" w:rsidRPr="00293D7B" w14:paraId="6CC91A14" w14:textId="77777777" w:rsidTr="0024769A">
        <w:trPr>
          <w:trHeight w:val="340"/>
        </w:trPr>
        <w:tc>
          <w:tcPr>
            <w:tcW w:w="4011" w:type="dxa"/>
            <w:shd w:val="clear" w:color="auto" w:fill="auto"/>
            <w:noWrap/>
            <w:vAlign w:val="center"/>
            <w:hideMark/>
          </w:tcPr>
          <w:p w14:paraId="4D51503E"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Financial liabilities at amortised cost</w:t>
            </w:r>
          </w:p>
        </w:tc>
        <w:tc>
          <w:tcPr>
            <w:tcW w:w="1687" w:type="dxa"/>
            <w:shd w:val="clear" w:color="auto" w:fill="auto"/>
            <w:noWrap/>
            <w:vAlign w:val="center"/>
            <w:hideMark/>
          </w:tcPr>
          <w:p w14:paraId="4380465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(327,651)</w:t>
            </w:r>
          </w:p>
        </w:tc>
        <w:tc>
          <w:tcPr>
            <w:tcW w:w="1687" w:type="dxa"/>
            <w:shd w:val="clear" w:color="auto" w:fill="auto"/>
            <w:noWrap/>
            <w:vAlign w:val="center"/>
            <w:hideMark/>
          </w:tcPr>
          <w:p w14:paraId="2B17866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687" w:type="dxa"/>
            <w:shd w:val="clear" w:color="auto" w:fill="auto"/>
            <w:noWrap/>
            <w:vAlign w:val="center"/>
            <w:hideMark/>
          </w:tcPr>
          <w:p w14:paraId="408C98A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(327,651)</w:t>
            </w:r>
          </w:p>
        </w:tc>
      </w:tr>
      <w:tr w:rsidR="003E5BF5" w:rsidRPr="00293D7B" w14:paraId="4DD9547C" w14:textId="77777777" w:rsidTr="0024769A">
        <w:trPr>
          <w:trHeight w:val="340"/>
        </w:trPr>
        <w:tc>
          <w:tcPr>
            <w:tcW w:w="4011" w:type="dxa"/>
            <w:shd w:val="clear" w:color="auto" w:fill="auto"/>
            <w:noWrap/>
            <w:vAlign w:val="center"/>
            <w:hideMark/>
          </w:tcPr>
          <w:p w14:paraId="79FA622E"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contractual financial liabilities</w:t>
            </w:r>
          </w:p>
        </w:tc>
        <w:tc>
          <w:tcPr>
            <w:tcW w:w="1687" w:type="dxa"/>
            <w:shd w:val="clear" w:color="auto" w:fill="auto"/>
            <w:noWrap/>
            <w:vAlign w:val="center"/>
            <w:hideMark/>
          </w:tcPr>
          <w:p w14:paraId="159574BA"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(327,651)</w:t>
            </w:r>
          </w:p>
        </w:tc>
        <w:tc>
          <w:tcPr>
            <w:tcW w:w="1687" w:type="dxa"/>
            <w:shd w:val="clear" w:color="auto" w:fill="auto"/>
            <w:noWrap/>
            <w:vAlign w:val="center"/>
            <w:hideMark/>
          </w:tcPr>
          <w:p w14:paraId="21ABBA58"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 - </w:t>
            </w:r>
          </w:p>
        </w:tc>
        <w:tc>
          <w:tcPr>
            <w:tcW w:w="1687" w:type="dxa"/>
            <w:shd w:val="clear" w:color="auto" w:fill="auto"/>
            <w:noWrap/>
            <w:vAlign w:val="center"/>
            <w:hideMark/>
          </w:tcPr>
          <w:p w14:paraId="54189357"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(327,651)</w:t>
            </w:r>
          </w:p>
        </w:tc>
      </w:tr>
      <w:tr w:rsidR="003E5BF5" w:rsidRPr="00293D7B" w14:paraId="73349E01" w14:textId="77777777" w:rsidTr="0024769A">
        <w:trPr>
          <w:trHeight w:val="340"/>
        </w:trPr>
        <w:tc>
          <w:tcPr>
            <w:tcW w:w="4011" w:type="dxa"/>
            <w:shd w:val="clear" w:color="auto" w:fill="auto"/>
            <w:noWrap/>
            <w:vAlign w:val="center"/>
            <w:hideMark/>
          </w:tcPr>
          <w:p w14:paraId="258AF7C2" w14:textId="77777777" w:rsidR="003E5BF5" w:rsidRPr="00293D7B" w:rsidRDefault="003E5BF5" w:rsidP="00604703">
            <w:pPr>
              <w:pStyle w:val="TableTextGreen"/>
              <w:rPr>
                <w:lang w:eastAsia="en-AU"/>
              </w:rPr>
            </w:pPr>
            <w:r w:rsidRPr="00293D7B">
              <w:t>2019</w:t>
            </w:r>
          </w:p>
        </w:tc>
        <w:tc>
          <w:tcPr>
            <w:tcW w:w="1687" w:type="dxa"/>
            <w:shd w:val="clear" w:color="auto" w:fill="auto"/>
            <w:vAlign w:val="center"/>
            <w:hideMark/>
          </w:tcPr>
          <w:p w14:paraId="5F4F97BB" w14:textId="77777777" w:rsidR="003E5BF5" w:rsidRPr="00293D7B" w:rsidRDefault="003E5BF5" w:rsidP="00DE1921">
            <w:pPr>
              <w:jc w:val="right"/>
              <w:rPr>
                <w:rFonts w:ascii="Arial" w:hAnsi="Arial" w:cs="Arial"/>
                <w:b/>
                <w:sz w:val="24"/>
                <w:szCs w:val="24"/>
                <w:lang w:eastAsia="en-AU"/>
              </w:rPr>
            </w:pPr>
          </w:p>
        </w:tc>
        <w:tc>
          <w:tcPr>
            <w:tcW w:w="1687" w:type="dxa"/>
            <w:shd w:val="clear" w:color="auto" w:fill="auto"/>
            <w:vAlign w:val="center"/>
            <w:hideMark/>
          </w:tcPr>
          <w:p w14:paraId="0B7CBB00" w14:textId="77777777" w:rsidR="003E5BF5" w:rsidRPr="00293D7B" w:rsidRDefault="003E5BF5" w:rsidP="00DE1921">
            <w:pPr>
              <w:jc w:val="right"/>
              <w:rPr>
                <w:rFonts w:ascii="Arial" w:hAnsi="Arial" w:cs="Arial"/>
                <w:sz w:val="24"/>
                <w:szCs w:val="24"/>
                <w:lang w:eastAsia="en-AU"/>
              </w:rPr>
            </w:pPr>
          </w:p>
        </w:tc>
        <w:tc>
          <w:tcPr>
            <w:tcW w:w="1687" w:type="dxa"/>
            <w:shd w:val="clear" w:color="auto" w:fill="auto"/>
            <w:noWrap/>
            <w:vAlign w:val="center"/>
            <w:hideMark/>
          </w:tcPr>
          <w:p w14:paraId="4B1EAF37" w14:textId="77777777" w:rsidR="003E5BF5" w:rsidRPr="00293D7B" w:rsidRDefault="003E5BF5" w:rsidP="00DE1921">
            <w:pPr>
              <w:jc w:val="right"/>
              <w:rPr>
                <w:rFonts w:ascii="Arial" w:hAnsi="Arial" w:cs="Arial"/>
                <w:sz w:val="24"/>
                <w:szCs w:val="24"/>
                <w:lang w:eastAsia="en-AU"/>
              </w:rPr>
            </w:pPr>
          </w:p>
        </w:tc>
      </w:tr>
      <w:tr w:rsidR="003E5BF5" w:rsidRPr="00293D7B" w14:paraId="4649F09F" w14:textId="77777777" w:rsidTr="0024769A">
        <w:trPr>
          <w:trHeight w:val="340"/>
        </w:trPr>
        <w:tc>
          <w:tcPr>
            <w:tcW w:w="4011" w:type="dxa"/>
            <w:shd w:val="clear" w:color="auto" w:fill="auto"/>
            <w:noWrap/>
            <w:vAlign w:val="center"/>
            <w:hideMark/>
          </w:tcPr>
          <w:p w14:paraId="449E8213" w14:textId="77777777" w:rsidR="003E5BF5" w:rsidRPr="00293D7B" w:rsidRDefault="003E5BF5" w:rsidP="00604703">
            <w:pPr>
              <w:pStyle w:val="TableTextGreen"/>
              <w:rPr>
                <w:lang w:eastAsia="en-AU"/>
              </w:rPr>
            </w:pPr>
            <w:r w:rsidRPr="00293D7B">
              <w:t>Contractual financial</w:t>
            </w:r>
            <w:r w:rsidRPr="00293D7B">
              <w:rPr>
                <w:lang w:eastAsia="en-AU"/>
              </w:rPr>
              <w:t xml:space="preserve"> assets</w:t>
            </w:r>
          </w:p>
        </w:tc>
        <w:tc>
          <w:tcPr>
            <w:tcW w:w="1687" w:type="dxa"/>
            <w:shd w:val="clear" w:color="auto" w:fill="auto"/>
            <w:noWrap/>
            <w:vAlign w:val="center"/>
            <w:hideMark/>
          </w:tcPr>
          <w:p w14:paraId="0FF0FA88" w14:textId="77777777" w:rsidR="003E5BF5" w:rsidRPr="00293D7B" w:rsidRDefault="003E5BF5" w:rsidP="00DE1921">
            <w:pPr>
              <w:jc w:val="right"/>
              <w:rPr>
                <w:rFonts w:ascii="Arial" w:hAnsi="Arial" w:cs="Arial"/>
                <w:b/>
                <w:sz w:val="24"/>
                <w:szCs w:val="24"/>
                <w:lang w:eastAsia="en-AU"/>
              </w:rPr>
            </w:pPr>
          </w:p>
        </w:tc>
        <w:tc>
          <w:tcPr>
            <w:tcW w:w="1687" w:type="dxa"/>
            <w:shd w:val="clear" w:color="auto" w:fill="auto"/>
            <w:noWrap/>
            <w:vAlign w:val="center"/>
            <w:hideMark/>
          </w:tcPr>
          <w:p w14:paraId="2AC7EEE7" w14:textId="77777777" w:rsidR="003E5BF5" w:rsidRPr="00293D7B" w:rsidRDefault="003E5BF5" w:rsidP="00DE1921">
            <w:pPr>
              <w:jc w:val="right"/>
              <w:rPr>
                <w:rFonts w:ascii="Arial" w:hAnsi="Arial" w:cs="Arial"/>
                <w:sz w:val="24"/>
                <w:szCs w:val="24"/>
                <w:lang w:eastAsia="en-AU"/>
              </w:rPr>
            </w:pPr>
          </w:p>
        </w:tc>
        <w:tc>
          <w:tcPr>
            <w:tcW w:w="1687" w:type="dxa"/>
            <w:shd w:val="clear" w:color="auto" w:fill="auto"/>
            <w:noWrap/>
            <w:vAlign w:val="center"/>
            <w:hideMark/>
          </w:tcPr>
          <w:p w14:paraId="5324CFEF" w14:textId="77777777" w:rsidR="003E5BF5" w:rsidRPr="00293D7B" w:rsidRDefault="003E5BF5" w:rsidP="00DE1921">
            <w:pPr>
              <w:jc w:val="right"/>
              <w:rPr>
                <w:rFonts w:ascii="Arial" w:hAnsi="Arial" w:cs="Arial"/>
                <w:sz w:val="24"/>
                <w:szCs w:val="24"/>
                <w:lang w:eastAsia="en-AU"/>
              </w:rPr>
            </w:pPr>
          </w:p>
        </w:tc>
      </w:tr>
      <w:tr w:rsidR="003E5BF5" w:rsidRPr="00293D7B" w14:paraId="0F2322B8" w14:textId="77777777" w:rsidTr="0024769A">
        <w:trPr>
          <w:trHeight w:val="340"/>
        </w:trPr>
        <w:tc>
          <w:tcPr>
            <w:tcW w:w="4011" w:type="dxa"/>
            <w:shd w:val="clear" w:color="auto" w:fill="auto"/>
            <w:noWrap/>
            <w:vAlign w:val="center"/>
            <w:hideMark/>
          </w:tcPr>
          <w:p w14:paraId="1DA0D3B6"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Financial assets at amortised cost</w:t>
            </w:r>
          </w:p>
        </w:tc>
        <w:tc>
          <w:tcPr>
            <w:tcW w:w="1687" w:type="dxa"/>
            <w:shd w:val="clear" w:color="auto" w:fill="auto"/>
            <w:noWrap/>
            <w:vAlign w:val="center"/>
            <w:hideMark/>
          </w:tcPr>
          <w:p w14:paraId="3DE6BFB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2,255 </w:t>
            </w:r>
          </w:p>
        </w:tc>
        <w:tc>
          <w:tcPr>
            <w:tcW w:w="1687" w:type="dxa"/>
            <w:shd w:val="clear" w:color="auto" w:fill="auto"/>
            <w:noWrap/>
            <w:vAlign w:val="center"/>
            <w:hideMark/>
          </w:tcPr>
          <w:p w14:paraId="5854A33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687" w:type="dxa"/>
            <w:shd w:val="clear" w:color="auto" w:fill="auto"/>
            <w:noWrap/>
            <w:vAlign w:val="center"/>
            <w:hideMark/>
          </w:tcPr>
          <w:p w14:paraId="420684D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2,255 </w:t>
            </w:r>
          </w:p>
        </w:tc>
      </w:tr>
      <w:tr w:rsidR="003E5BF5" w:rsidRPr="00293D7B" w14:paraId="2F068A1E" w14:textId="77777777" w:rsidTr="0024769A">
        <w:trPr>
          <w:trHeight w:val="340"/>
        </w:trPr>
        <w:tc>
          <w:tcPr>
            <w:tcW w:w="4011" w:type="dxa"/>
            <w:shd w:val="clear" w:color="auto" w:fill="auto"/>
            <w:noWrap/>
            <w:vAlign w:val="center"/>
            <w:hideMark/>
          </w:tcPr>
          <w:p w14:paraId="51F7B4ED"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contractual financial assets</w:t>
            </w:r>
          </w:p>
        </w:tc>
        <w:tc>
          <w:tcPr>
            <w:tcW w:w="1687" w:type="dxa"/>
            <w:shd w:val="clear" w:color="auto" w:fill="auto"/>
            <w:noWrap/>
            <w:vAlign w:val="center"/>
            <w:hideMark/>
          </w:tcPr>
          <w:p w14:paraId="26E4B7E6"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2,255 </w:t>
            </w:r>
          </w:p>
        </w:tc>
        <w:tc>
          <w:tcPr>
            <w:tcW w:w="1687" w:type="dxa"/>
            <w:shd w:val="clear" w:color="auto" w:fill="auto"/>
            <w:noWrap/>
            <w:vAlign w:val="center"/>
            <w:hideMark/>
          </w:tcPr>
          <w:p w14:paraId="2F6FB73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 - </w:t>
            </w:r>
          </w:p>
        </w:tc>
        <w:tc>
          <w:tcPr>
            <w:tcW w:w="1687" w:type="dxa"/>
            <w:shd w:val="clear" w:color="auto" w:fill="auto"/>
            <w:noWrap/>
            <w:vAlign w:val="center"/>
            <w:hideMark/>
          </w:tcPr>
          <w:p w14:paraId="6BD394F6"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2,255 </w:t>
            </w:r>
          </w:p>
        </w:tc>
      </w:tr>
      <w:tr w:rsidR="003E5BF5" w:rsidRPr="00293D7B" w14:paraId="309CA231" w14:textId="77777777" w:rsidTr="0024769A">
        <w:trPr>
          <w:trHeight w:val="340"/>
        </w:trPr>
        <w:tc>
          <w:tcPr>
            <w:tcW w:w="4011" w:type="dxa"/>
            <w:shd w:val="clear" w:color="auto" w:fill="auto"/>
            <w:noWrap/>
            <w:vAlign w:val="center"/>
            <w:hideMark/>
          </w:tcPr>
          <w:p w14:paraId="28ED7857" w14:textId="77777777" w:rsidR="003E5BF5" w:rsidRPr="00293D7B" w:rsidRDefault="003E5BF5" w:rsidP="00604703">
            <w:pPr>
              <w:pStyle w:val="TableTextGreen"/>
              <w:rPr>
                <w:lang w:eastAsia="en-AU"/>
              </w:rPr>
            </w:pPr>
            <w:r w:rsidRPr="00293D7B">
              <w:t>C</w:t>
            </w:r>
            <w:r w:rsidRPr="00293D7B">
              <w:rPr>
                <w:lang w:eastAsia="en-AU"/>
              </w:rPr>
              <w:t>ontractual financial liabilities</w:t>
            </w:r>
          </w:p>
        </w:tc>
        <w:tc>
          <w:tcPr>
            <w:tcW w:w="1687" w:type="dxa"/>
            <w:shd w:val="clear" w:color="auto" w:fill="auto"/>
            <w:noWrap/>
            <w:vAlign w:val="center"/>
            <w:hideMark/>
          </w:tcPr>
          <w:p w14:paraId="392E7A79" w14:textId="77777777" w:rsidR="003E5BF5" w:rsidRPr="00293D7B" w:rsidRDefault="003E5BF5" w:rsidP="00DE1921">
            <w:pPr>
              <w:jc w:val="right"/>
              <w:rPr>
                <w:rFonts w:ascii="Arial" w:hAnsi="Arial" w:cs="Arial"/>
                <w:b/>
                <w:sz w:val="24"/>
                <w:szCs w:val="24"/>
                <w:lang w:eastAsia="en-AU"/>
              </w:rPr>
            </w:pPr>
          </w:p>
        </w:tc>
        <w:tc>
          <w:tcPr>
            <w:tcW w:w="1687" w:type="dxa"/>
            <w:shd w:val="clear" w:color="auto" w:fill="auto"/>
            <w:noWrap/>
            <w:vAlign w:val="center"/>
            <w:hideMark/>
          </w:tcPr>
          <w:p w14:paraId="471D37C4" w14:textId="77777777" w:rsidR="003E5BF5" w:rsidRPr="00293D7B" w:rsidRDefault="003E5BF5" w:rsidP="00DE1921">
            <w:pPr>
              <w:jc w:val="right"/>
              <w:rPr>
                <w:rFonts w:ascii="Arial" w:hAnsi="Arial" w:cs="Arial"/>
                <w:sz w:val="24"/>
                <w:szCs w:val="24"/>
                <w:lang w:eastAsia="en-AU"/>
              </w:rPr>
            </w:pPr>
          </w:p>
        </w:tc>
        <w:tc>
          <w:tcPr>
            <w:tcW w:w="1687" w:type="dxa"/>
            <w:shd w:val="clear" w:color="auto" w:fill="auto"/>
            <w:noWrap/>
            <w:vAlign w:val="center"/>
            <w:hideMark/>
          </w:tcPr>
          <w:p w14:paraId="46F142CE" w14:textId="77777777" w:rsidR="003E5BF5" w:rsidRPr="00293D7B" w:rsidRDefault="003E5BF5" w:rsidP="00DE1921">
            <w:pPr>
              <w:jc w:val="right"/>
              <w:rPr>
                <w:rFonts w:ascii="Arial" w:hAnsi="Arial" w:cs="Arial"/>
                <w:sz w:val="24"/>
                <w:szCs w:val="24"/>
                <w:lang w:eastAsia="en-AU"/>
              </w:rPr>
            </w:pPr>
          </w:p>
        </w:tc>
      </w:tr>
      <w:tr w:rsidR="003E5BF5" w:rsidRPr="00293D7B" w14:paraId="1858EBC0" w14:textId="77777777" w:rsidTr="0024769A">
        <w:trPr>
          <w:trHeight w:val="340"/>
        </w:trPr>
        <w:tc>
          <w:tcPr>
            <w:tcW w:w="4011" w:type="dxa"/>
            <w:shd w:val="clear" w:color="auto" w:fill="auto"/>
            <w:noWrap/>
            <w:vAlign w:val="center"/>
            <w:hideMark/>
          </w:tcPr>
          <w:p w14:paraId="040704FA"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Financial liabilities at amortised cost</w:t>
            </w:r>
          </w:p>
        </w:tc>
        <w:tc>
          <w:tcPr>
            <w:tcW w:w="1687" w:type="dxa"/>
            <w:shd w:val="clear" w:color="auto" w:fill="auto"/>
            <w:noWrap/>
            <w:vAlign w:val="center"/>
            <w:hideMark/>
          </w:tcPr>
          <w:p w14:paraId="1C568FC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(155,379)</w:t>
            </w:r>
          </w:p>
        </w:tc>
        <w:tc>
          <w:tcPr>
            <w:tcW w:w="1687" w:type="dxa"/>
            <w:shd w:val="clear" w:color="auto" w:fill="auto"/>
            <w:noWrap/>
            <w:vAlign w:val="center"/>
            <w:hideMark/>
          </w:tcPr>
          <w:p w14:paraId="3FD5F45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687" w:type="dxa"/>
            <w:shd w:val="clear" w:color="auto" w:fill="auto"/>
            <w:noWrap/>
            <w:vAlign w:val="center"/>
            <w:hideMark/>
          </w:tcPr>
          <w:p w14:paraId="0E0CB3C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(155,379)</w:t>
            </w:r>
          </w:p>
        </w:tc>
      </w:tr>
      <w:tr w:rsidR="003E5BF5" w:rsidRPr="00293D7B" w14:paraId="1C1A4D72" w14:textId="77777777" w:rsidTr="0024769A">
        <w:trPr>
          <w:trHeight w:val="340"/>
        </w:trPr>
        <w:tc>
          <w:tcPr>
            <w:tcW w:w="4011" w:type="dxa"/>
            <w:shd w:val="clear" w:color="auto" w:fill="auto"/>
            <w:noWrap/>
            <w:vAlign w:val="center"/>
            <w:hideMark/>
          </w:tcPr>
          <w:p w14:paraId="2658E929"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contractual financial liabilities</w:t>
            </w:r>
          </w:p>
        </w:tc>
        <w:tc>
          <w:tcPr>
            <w:tcW w:w="1687" w:type="dxa"/>
            <w:shd w:val="clear" w:color="auto" w:fill="auto"/>
            <w:noWrap/>
            <w:vAlign w:val="center"/>
            <w:hideMark/>
          </w:tcPr>
          <w:p w14:paraId="3BF59D84"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(155,379)</w:t>
            </w:r>
          </w:p>
        </w:tc>
        <w:tc>
          <w:tcPr>
            <w:tcW w:w="1687" w:type="dxa"/>
            <w:shd w:val="clear" w:color="auto" w:fill="auto"/>
            <w:noWrap/>
            <w:vAlign w:val="center"/>
            <w:hideMark/>
          </w:tcPr>
          <w:p w14:paraId="58A89FB4"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 - </w:t>
            </w:r>
          </w:p>
        </w:tc>
        <w:tc>
          <w:tcPr>
            <w:tcW w:w="1687" w:type="dxa"/>
            <w:shd w:val="clear" w:color="auto" w:fill="auto"/>
            <w:noWrap/>
            <w:vAlign w:val="center"/>
            <w:hideMark/>
          </w:tcPr>
          <w:p w14:paraId="5803928F"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(155,379)</w:t>
            </w:r>
          </w:p>
        </w:tc>
      </w:tr>
    </w:tbl>
    <w:p w14:paraId="3819CB8E" w14:textId="77777777" w:rsidR="003E5BF5" w:rsidRPr="007444F0" w:rsidRDefault="003E5BF5" w:rsidP="003C2191">
      <w:pPr>
        <w:pStyle w:val="aaatyping"/>
      </w:pPr>
      <w:r>
        <w:t>T</w:t>
      </w:r>
      <w:r w:rsidRPr="007444F0">
        <w:t>he net holding gains or losses disclosed above are determined as follows:</w:t>
      </w:r>
    </w:p>
    <w:p w14:paraId="50A2E8D1" w14:textId="77777777" w:rsidR="003E5BF5" w:rsidRPr="007444F0" w:rsidRDefault="003E5BF5" w:rsidP="003C2191">
      <w:pPr>
        <w:pStyle w:val="aaabullet"/>
      </w:pPr>
      <w:r w:rsidRPr="007444F0">
        <w:t>For cash and cash equivalents and financial assets at amortised cost, the net gain or loss is calculated by taking the movement in the fair value of the asset, the interest income, plus or minus foreign exchange gains or losses arising from revaluation of the financial assets, and minus any impairment recognised in the net result.</w:t>
      </w:r>
    </w:p>
    <w:p w14:paraId="14CA78CA" w14:textId="5A027205" w:rsidR="00FF6B93" w:rsidRDefault="003E5BF5" w:rsidP="003C2191">
      <w:pPr>
        <w:pStyle w:val="aaabullet"/>
      </w:pPr>
      <w:r w:rsidRPr="007444F0">
        <w:t>For financial liabilities measured at amortised cost, the net gain or loss is calculated by taking the interest expense, and plus or minus foreign exchange gains or losses arising from the revaluation of financial liabilities measured at amortised cost.</w:t>
      </w:r>
      <w:r w:rsidR="00FF6B93">
        <w:br w:type="page"/>
      </w:r>
    </w:p>
    <w:p w14:paraId="5CA7BF61" w14:textId="77777777" w:rsidR="003E5BF5" w:rsidRDefault="003E5BF5" w:rsidP="00610F5F">
      <w:pPr>
        <w:pStyle w:val="Heading3"/>
        <w:numPr>
          <w:ilvl w:val="2"/>
          <w:numId w:val="22"/>
        </w:numPr>
        <w:ind w:left="765" w:hanging="765"/>
        <w:sectPr w:rsidR="003E5BF5" w:rsidSect="00DE1921">
          <w:headerReference w:type="even" r:id="rId183"/>
          <w:headerReference w:type="default" r:id="rId184"/>
          <w:footerReference w:type="even" r:id="rId185"/>
          <w:pgSz w:w="11906" w:h="16838"/>
          <w:pgMar w:top="1701" w:right="1418" w:bottom="1418" w:left="1418" w:header="708" w:footer="708" w:gutter="0"/>
          <w:cols w:space="708"/>
          <w:docGrid w:linePitch="360"/>
        </w:sectPr>
      </w:pPr>
      <w:bookmarkStart w:id="544" w:name="_Toc522177986"/>
      <w:bookmarkStart w:id="545" w:name="_Toc529197931"/>
      <w:bookmarkStart w:id="546" w:name="_Toc9344347"/>
      <w:r w:rsidRPr="007444F0">
        <w:lastRenderedPageBreak/>
        <w:t>Financial risk management objectives and policie</w:t>
      </w:r>
      <w:bookmarkEnd w:id="544"/>
      <w:bookmarkEnd w:id="545"/>
      <w:bookmarkEnd w:id="546"/>
      <w:r>
        <w:t>s</w:t>
      </w:r>
    </w:p>
    <w:p w14:paraId="2A65DD62" w14:textId="77777777" w:rsidR="003E5BF5" w:rsidRPr="007444F0" w:rsidRDefault="003E5BF5" w:rsidP="00D74D26">
      <w:pPr>
        <w:pStyle w:val="aaatyping"/>
      </w:pPr>
      <w:r>
        <w:t>The department</w:t>
      </w:r>
      <w:r w:rsidRPr="007444F0">
        <w:t xml:space="preserve"> does not enter into derivative financial instruments to manage its exposure to interest rate.</w:t>
      </w:r>
    </w:p>
    <w:p w14:paraId="20EAB6B8" w14:textId="77777777" w:rsidR="003E5BF5" w:rsidRPr="007444F0" w:rsidRDefault="003E5BF5" w:rsidP="00D74D26">
      <w:pPr>
        <w:pStyle w:val="aaatyping"/>
      </w:pPr>
      <w:r>
        <w:t>The department</w:t>
      </w:r>
      <w:r w:rsidRPr="007444F0">
        <w:t xml:space="preserve"> does not enter into or trade financial instruments, including derivative financial instruments, for speculative purposes.</w:t>
      </w:r>
    </w:p>
    <w:p w14:paraId="67707A92" w14:textId="77777777" w:rsidR="003E5BF5" w:rsidRPr="007444F0" w:rsidRDefault="003E5BF5" w:rsidP="00D74D26">
      <w:pPr>
        <w:pStyle w:val="aaatyping"/>
      </w:pPr>
      <w:r>
        <w:t>The department’s</w:t>
      </w:r>
      <w:r w:rsidRPr="007444F0">
        <w:t xml:space="preserve"> principal financial instruments comprise:</w:t>
      </w:r>
    </w:p>
    <w:p w14:paraId="611B290D" w14:textId="77777777" w:rsidR="003E5BF5" w:rsidRPr="007444F0" w:rsidRDefault="003E5BF5" w:rsidP="00D74D26">
      <w:pPr>
        <w:pStyle w:val="aaabullet"/>
      </w:pPr>
      <w:r w:rsidRPr="007444F0">
        <w:t>cash assets</w:t>
      </w:r>
    </w:p>
    <w:p w14:paraId="6A02B4C8" w14:textId="77777777" w:rsidR="003E5BF5" w:rsidRPr="007444F0" w:rsidRDefault="003E5BF5" w:rsidP="00D74D26">
      <w:pPr>
        <w:pStyle w:val="aaabullet"/>
      </w:pPr>
      <w:r w:rsidRPr="007444F0">
        <w:t>receivables (excluding statutory receivables)</w:t>
      </w:r>
    </w:p>
    <w:p w14:paraId="04DE4D6D" w14:textId="77777777" w:rsidR="003E5BF5" w:rsidRPr="007444F0" w:rsidRDefault="003E5BF5" w:rsidP="00D74D26">
      <w:pPr>
        <w:pStyle w:val="aaabullet"/>
      </w:pPr>
      <w:r w:rsidRPr="007444F0">
        <w:t>payables (excluding statutory payables)</w:t>
      </w:r>
    </w:p>
    <w:p w14:paraId="5F4D103C" w14:textId="77777777" w:rsidR="003E5BF5" w:rsidRPr="007444F0" w:rsidRDefault="003E5BF5" w:rsidP="00D74D26">
      <w:pPr>
        <w:pStyle w:val="aaabullet"/>
      </w:pPr>
      <w:r w:rsidRPr="007444F0">
        <w:t>borrowings</w:t>
      </w:r>
      <w:r>
        <w:t xml:space="preserve"> (including lease</w:t>
      </w:r>
      <w:r w:rsidRPr="007444F0">
        <w:t xml:space="preserve"> liabilities</w:t>
      </w:r>
      <w:r>
        <w:t>).</w:t>
      </w:r>
    </w:p>
    <w:p w14:paraId="2A74AC22" w14:textId="77777777" w:rsidR="003E5BF5" w:rsidRPr="007444F0" w:rsidRDefault="003E5BF5" w:rsidP="00D74D26">
      <w:pPr>
        <w:pStyle w:val="aaatyping"/>
      </w:pPr>
      <w:r w:rsidRPr="007444F0">
        <w:t xml:space="preserve">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w:t>
      </w:r>
      <w:r>
        <w:t>Note 8.3 Fair value determination.</w:t>
      </w:r>
    </w:p>
    <w:p w14:paraId="58FC6220" w14:textId="77777777" w:rsidR="003E5BF5" w:rsidRDefault="003E5BF5" w:rsidP="00D74D26">
      <w:pPr>
        <w:pStyle w:val="aaatyping"/>
      </w:pPr>
      <w:r w:rsidRPr="007444F0">
        <w:t xml:space="preserve">The main purpose in holding financial instruments is to prudentially manage </w:t>
      </w:r>
      <w:r>
        <w:t>the department</w:t>
      </w:r>
      <w:r w:rsidRPr="007444F0">
        <w:t>’s financial risks within the government policy parameters.</w:t>
      </w:r>
      <w:r>
        <w:t xml:space="preserve"> The department</w:t>
      </w:r>
      <w:r w:rsidRPr="007444F0">
        <w:t xml:space="preserve"> uses different methods to measure and manage the different risks to which it is exposed.</w:t>
      </w:r>
      <w:r>
        <w:t xml:space="preserve"> </w:t>
      </w:r>
    </w:p>
    <w:p w14:paraId="654D544B" w14:textId="77777777" w:rsidR="003E5BF5" w:rsidRDefault="003E5BF5" w:rsidP="00D74D26">
      <w:pPr>
        <w:pStyle w:val="aaatyping"/>
      </w:pPr>
      <w:r w:rsidRPr="007444F0">
        <w:t xml:space="preserve">The carrying amounts of </w:t>
      </w:r>
      <w:r>
        <w:t>the department</w:t>
      </w:r>
      <w:r w:rsidRPr="007444F0">
        <w:t>'s contractual financial assets and financial liabilities by category are disclosed in</w:t>
      </w:r>
      <w:r w:rsidRPr="005C2D5A">
        <w:t xml:space="preserve"> Note 8.1.1 Financial instruments: Categorisation.</w:t>
      </w:r>
    </w:p>
    <w:p w14:paraId="62A7A5F3" w14:textId="77777777" w:rsidR="003E5BF5" w:rsidRPr="00E60103" w:rsidRDefault="003E5BF5" w:rsidP="008869A9">
      <w:pPr>
        <w:pStyle w:val="Heading4"/>
      </w:pPr>
      <w:r w:rsidRPr="00E60103">
        <w:t>Financial instruments: Credit risk</w:t>
      </w:r>
    </w:p>
    <w:p w14:paraId="549639E9" w14:textId="77777777" w:rsidR="003E5BF5" w:rsidRPr="007444F0" w:rsidRDefault="003E5BF5" w:rsidP="00D74D26">
      <w:pPr>
        <w:pStyle w:val="aaatyping"/>
      </w:pPr>
      <w:r w:rsidRPr="007444F0">
        <w:t xml:space="preserve">Credit risk arises from the contractual financial assets of </w:t>
      </w:r>
      <w:r>
        <w:t>the department</w:t>
      </w:r>
      <w:r w:rsidRPr="007444F0">
        <w:t xml:space="preserve">, which comprise cash </w:t>
      </w:r>
      <w:r w:rsidRPr="00A32BCA">
        <w:t>and cash equivalents</w:t>
      </w:r>
      <w:r w:rsidRPr="007444F0">
        <w:t xml:space="preserve">, non-statutory receivables </w:t>
      </w:r>
      <w:r w:rsidRPr="007444F0">
        <w:lastRenderedPageBreak/>
        <w:t xml:space="preserve">and available-for-sale contractual financial assets. </w:t>
      </w:r>
      <w:r>
        <w:t>The department</w:t>
      </w:r>
      <w:r w:rsidRPr="007444F0">
        <w:t xml:space="preserve">'s exposure to credit risk arises from the potential default of the counter party on their contractual obligations resulting in financial loss to </w:t>
      </w:r>
      <w:r>
        <w:t>the department</w:t>
      </w:r>
      <w:r w:rsidRPr="007444F0">
        <w:t>. Credit risk is measured at fair value and is monitored on a regular basis.</w:t>
      </w:r>
    </w:p>
    <w:p w14:paraId="2238894C" w14:textId="77777777" w:rsidR="003E5BF5" w:rsidRPr="007444F0" w:rsidRDefault="003E5BF5" w:rsidP="00D74D26">
      <w:pPr>
        <w:pStyle w:val="aaatyping"/>
      </w:pPr>
      <w:r w:rsidRPr="007444F0">
        <w:t xml:space="preserve">Credit risk associated with </w:t>
      </w:r>
      <w:r>
        <w:t>the department</w:t>
      </w:r>
      <w:r w:rsidRPr="007444F0">
        <w:t xml:space="preserve">'s financial assets is minimal because its main debtor is the Victorian Government. For debtors other than government, it is </w:t>
      </w:r>
      <w:r>
        <w:t>the department</w:t>
      </w:r>
      <w:r w:rsidRPr="007444F0">
        <w:t>'s policy to obtain sufficient collateral or credit enhancements where appropriate.</w:t>
      </w:r>
    </w:p>
    <w:p w14:paraId="6DF7E06E" w14:textId="77777777" w:rsidR="003E5BF5" w:rsidRPr="007444F0" w:rsidRDefault="003E5BF5" w:rsidP="00D74D26">
      <w:pPr>
        <w:pStyle w:val="aaatyping"/>
      </w:pPr>
      <w:r>
        <w:t>The department</w:t>
      </w:r>
      <w:r w:rsidRPr="007444F0">
        <w:t xml:space="preserve"> mainly holds financial assets that are </w:t>
      </w:r>
      <w:r>
        <w:t>non-interest bearing</w:t>
      </w:r>
      <w:r w:rsidRPr="007444F0">
        <w:t xml:space="preserve"> except for cash assets which are mainly cash at bank. As with the policy for debtors, </w:t>
      </w:r>
      <w:r>
        <w:t>the department</w:t>
      </w:r>
      <w:r w:rsidRPr="007444F0">
        <w:t>'s policy is to only deal with domestic banks with high credit ratings.</w:t>
      </w:r>
    </w:p>
    <w:p w14:paraId="5969C229" w14:textId="77777777" w:rsidR="003E5BF5" w:rsidRPr="007444F0" w:rsidRDefault="003E5BF5" w:rsidP="00D74D26">
      <w:pPr>
        <w:pStyle w:val="aaatyping"/>
      </w:pPr>
      <w:r w:rsidRPr="007444F0">
        <w:t xml:space="preserve">Except as otherwise detailed in the following table, the carrying amount of financial assets recorded in the financial statements, net of any allowances for losses, represents </w:t>
      </w:r>
      <w:r>
        <w:t>the department</w:t>
      </w:r>
      <w:r w:rsidRPr="007444F0">
        <w:t>'s maximum exposure to credit risk without taking account of the value of any collateral obtained.</w:t>
      </w:r>
    </w:p>
    <w:p w14:paraId="494A95CE" w14:textId="77777777" w:rsidR="00534D24" w:rsidRPr="00534D24" w:rsidRDefault="003E5BF5" w:rsidP="00534D24">
      <w:pPr>
        <w:pStyle w:val="aaatyping"/>
      </w:pPr>
      <w:r w:rsidRPr="007444F0">
        <w:t xml:space="preserve">There has been no material change to the </w:t>
      </w:r>
      <w:r>
        <w:t>d</w:t>
      </w:r>
      <w:r w:rsidRPr="007444F0">
        <w:t xml:space="preserve">epartment's credit risk profile in </w:t>
      </w:r>
      <w:r>
        <w:t>2019-20.</w:t>
      </w:r>
    </w:p>
    <w:p w14:paraId="4F3A0EA2" w14:textId="7C3A54C4" w:rsidR="00FF6B93" w:rsidRDefault="00FF6B93" w:rsidP="00D74D26">
      <w:pPr>
        <w:pStyle w:val="aaatyping"/>
      </w:pPr>
      <w:r>
        <w:br w:type="page"/>
      </w:r>
    </w:p>
    <w:p w14:paraId="4D61E3CA" w14:textId="77777777" w:rsidR="003E5BF5" w:rsidRPr="00D8311D" w:rsidRDefault="003E5BF5" w:rsidP="00E55C5F">
      <w:pPr>
        <w:pStyle w:val="aaaboldheadingfinance"/>
        <w:rPr>
          <w:sz w:val="16"/>
        </w:rPr>
      </w:pPr>
      <w:r w:rsidRPr="00D8311D">
        <w:lastRenderedPageBreak/>
        <w:t>Credit quality of contractual financial assets that are neither past due nor impaired</w:t>
      </w:r>
      <w:bookmarkStart w:id="547" w:name="_1659080905"/>
      <w:bookmarkEnd w:id="547"/>
    </w:p>
    <w:tbl>
      <w:tblPr>
        <w:tblStyle w:val="TableGrid"/>
        <w:tblW w:w="0" w:type="auto"/>
        <w:tblCellMar>
          <w:left w:w="28" w:type="dxa"/>
          <w:right w:w="28" w:type="dxa"/>
        </w:tblCellMar>
        <w:tblLook w:val="04A0" w:firstRow="1" w:lastRow="0" w:firstColumn="1" w:lastColumn="0" w:noHBand="0" w:noVBand="1"/>
      </w:tblPr>
      <w:tblGrid>
        <w:gridCol w:w="4070"/>
        <w:gridCol w:w="1469"/>
        <w:gridCol w:w="1402"/>
        <w:gridCol w:w="966"/>
        <w:gridCol w:w="1153"/>
      </w:tblGrid>
      <w:tr w:rsidR="003E5BF5" w:rsidRPr="00293D7B" w14:paraId="0DFAEF5B" w14:textId="77777777" w:rsidTr="00C26798">
        <w:trPr>
          <w:trHeight w:val="340"/>
        </w:trPr>
        <w:tc>
          <w:tcPr>
            <w:tcW w:w="4070" w:type="dxa"/>
            <w:shd w:val="clear" w:color="auto" w:fill="auto"/>
            <w:vAlign w:val="center"/>
            <w:hideMark/>
          </w:tcPr>
          <w:p w14:paraId="3F6CA210" w14:textId="77777777" w:rsidR="003E5BF5" w:rsidRPr="00293D7B" w:rsidRDefault="003E5BF5" w:rsidP="00DE1921">
            <w:pPr>
              <w:rPr>
                <w:rFonts w:ascii="Arial" w:hAnsi="Arial" w:cs="Arial"/>
                <w:sz w:val="24"/>
                <w:szCs w:val="24"/>
              </w:rPr>
            </w:pPr>
          </w:p>
        </w:tc>
        <w:tc>
          <w:tcPr>
            <w:tcW w:w="4990" w:type="dxa"/>
            <w:gridSpan w:val="4"/>
            <w:shd w:val="clear" w:color="auto" w:fill="auto"/>
            <w:noWrap/>
            <w:vAlign w:val="center"/>
            <w:hideMark/>
          </w:tcPr>
          <w:p w14:paraId="459205F2" w14:textId="77777777" w:rsidR="003E5BF5" w:rsidRPr="00293D7B" w:rsidRDefault="003E5BF5" w:rsidP="00DE1921">
            <w:pPr>
              <w:jc w:val="center"/>
              <w:rPr>
                <w:rFonts w:ascii="Arial" w:hAnsi="Arial" w:cs="Arial"/>
                <w:b/>
                <w:sz w:val="24"/>
                <w:szCs w:val="24"/>
              </w:rPr>
            </w:pPr>
            <w:r w:rsidRPr="00293D7B">
              <w:rPr>
                <w:rFonts w:ascii="Arial" w:hAnsi="Arial" w:cs="Arial"/>
                <w:b/>
                <w:sz w:val="24"/>
                <w:szCs w:val="24"/>
              </w:rPr>
              <w:t>($ thousand)</w:t>
            </w:r>
          </w:p>
        </w:tc>
      </w:tr>
      <w:tr w:rsidR="003E5BF5" w:rsidRPr="00293D7B" w14:paraId="0BCEE46D" w14:textId="77777777" w:rsidTr="00C26798">
        <w:trPr>
          <w:trHeight w:val="340"/>
        </w:trPr>
        <w:tc>
          <w:tcPr>
            <w:tcW w:w="4070" w:type="dxa"/>
            <w:shd w:val="clear" w:color="auto" w:fill="auto"/>
            <w:noWrap/>
            <w:vAlign w:val="center"/>
            <w:hideMark/>
          </w:tcPr>
          <w:p w14:paraId="6EBD32BF" w14:textId="77777777" w:rsidR="003E5BF5" w:rsidRPr="00C26798" w:rsidRDefault="003E5BF5" w:rsidP="00DE1921">
            <w:pPr>
              <w:rPr>
                <w:rFonts w:ascii="Arial" w:hAnsi="Arial" w:cs="Arial"/>
              </w:rPr>
            </w:pPr>
          </w:p>
        </w:tc>
        <w:tc>
          <w:tcPr>
            <w:tcW w:w="1469" w:type="dxa"/>
            <w:shd w:val="clear" w:color="auto" w:fill="auto"/>
            <w:vAlign w:val="bottom"/>
            <w:hideMark/>
          </w:tcPr>
          <w:p w14:paraId="6B50CE88" w14:textId="77777777" w:rsidR="003E5BF5" w:rsidRPr="00C26798" w:rsidRDefault="003E5BF5" w:rsidP="00DE1921">
            <w:pPr>
              <w:jc w:val="right"/>
              <w:rPr>
                <w:rFonts w:ascii="Arial" w:hAnsi="Arial" w:cs="Arial"/>
                <w:b/>
              </w:rPr>
            </w:pPr>
            <w:r w:rsidRPr="00C26798">
              <w:rPr>
                <w:rFonts w:ascii="Arial" w:hAnsi="Arial" w:cs="Arial"/>
                <w:b/>
              </w:rPr>
              <w:t xml:space="preserve">Government agencies </w:t>
            </w:r>
            <w:r w:rsidRPr="00C26798">
              <w:rPr>
                <w:rFonts w:ascii="Arial" w:hAnsi="Arial" w:cs="Arial"/>
                <w:b/>
              </w:rPr>
              <w:br/>
              <w:t>(AAA credit rating)</w:t>
            </w:r>
          </w:p>
        </w:tc>
        <w:tc>
          <w:tcPr>
            <w:tcW w:w="1402" w:type="dxa"/>
            <w:shd w:val="clear" w:color="auto" w:fill="auto"/>
            <w:vAlign w:val="bottom"/>
            <w:hideMark/>
          </w:tcPr>
          <w:p w14:paraId="16102F12" w14:textId="77777777" w:rsidR="003E5BF5" w:rsidRPr="00C26798" w:rsidRDefault="003E5BF5" w:rsidP="00DE1921">
            <w:pPr>
              <w:jc w:val="right"/>
              <w:rPr>
                <w:rFonts w:ascii="Arial" w:hAnsi="Arial" w:cs="Arial"/>
                <w:b/>
              </w:rPr>
            </w:pPr>
            <w:r w:rsidRPr="00C26798">
              <w:rPr>
                <w:rFonts w:ascii="Arial" w:hAnsi="Arial" w:cs="Arial"/>
                <w:b/>
              </w:rPr>
              <w:t xml:space="preserve">Financial institutions (minimum </w:t>
            </w:r>
            <w:r w:rsidRPr="00C26798">
              <w:rPr>
                <w:rFonts w:ascii="Arial" w:hAnsi="Arial" w:cs="Arial"/>
                <w:b/>
              </w:rPr>
              <w:br/>
              <w:t>BBB credit rating)</w:t>
            </w:r>
          </w:p>
        </w:tc>
        <w:tc>
          <w:tcPr>
            <w:tcW w:w="966" w:type="dxa"/>
            <w:shd w:val="clear" w:color="auto" w:fill="auto"/>
            <w:vAlign w:val="bottom"/>
            <w:hideMark/>
          </w:tcPr>
          <w:p w14:paraId="05EA7C2A" w14:textId="77777777" w:rsidR="003E5BF5" w:rsidRPr="00C26798" w:rsidRDefault="003E5BF5" w:rsidP="00DE1921">
            <w:pPr>
              <w:jc w:val="right"/>
              <w:rPr>
                <w:rFonts w:ascii="Arial" w:hAnsi="Arial" w:cs="Arial"/>
                <w:b/>
              </w:rPr>
            </w:pPr>
            <w:r w:rsidRPr="00C26798">
              <w:rPr>
                <w:rFonts w:ascii="Arial" w:hAnsi="Arial" w:cs="Arial"/>
                <w:b/>
              </w:rPr>
              <w:t>Other</w:t>
            </w:r>
          </w:p>
        </w:tc>
        <w:tc>
          <w:tcPr>
            <w:tcW w:w="1153" w:type="dxa"/>
            <w:shd w:val="clear" w:color="auto" w:fill="auto"/>
            <w:vAlign w:val="bottom"/>
            <w:hideMark/>
          </w:tcPr>
          <w:p w14:paraId="0FAA1AB2" w14:textId="77777777" w:rsidR="003E5BF5" w:rsidRPr="00C26798" w:rsidRDefault="003E5BF5" w:rsidP="00DE1921">
            <w:pPr>
              <w:jc w:val="right"/>
              <w:rPr>
                <w:rFonts w:ascii="Arial" w:hAnsi="Arial" w:cs="Arial"/>
                <w:b/>
              </w:rPr>
            </w:pPr>
            <w:r w:rsidRPr="00C26798">
              <w:rPr>
                <w:rFonts w:ascii="Arial" w:hAnsi="Arial" w:cs="Arial"/>
                <w:b/>
              </w:rPr>
              <w:t>Total</w:t>
            </w:r>
          </w:p>
        </w:tc>
      </w:tr>
      <w:tr w:rsidR="003E5BF5" w:rsidRPr="00293D7B" w14:paraId="0A3DF374" w14:textId="77777777" w:rsidTr="00C26798">
        <w:trPr>
          <w:trHeight w:val="340"/>
        </w:trPr>
        <w:tc>
          <w:tcPr>
            <w:tcW w:w="4070" w:type="dxa"/>
            <w:shd w:val="clear" w:color="auto" w:fill="auto"/>
            <w:noWrap/>
            <w:vAlign w:val="center"/>
            <w:hideMark/>
          </w:tcPr>
          <w:p w14:paraId="1B1DE132" w14:textId="77777777" w:rsidR="003E5BF5" w:rsidRPr="00293D7B" w:rsidRDefault="003E5BF5" w:rsidP="00604703">
            <w:pPr>
              <w:pStyle w:val="TableTextGreen"/>
            </w:pPr>
            <w:r w:rsidRPr="00293D7B">
              <w:t>2020</w:t>
            </w:r>
          </w:p>
        </w:tc>
        <w:tc>
          <w:tcPr>
            <w:tcW w:w="1469" w:type="dxa"/>
            <w:shd w:val="clear" w:color="auto" w:fill="auto"/>
            <w:noWrap/>
            <w:vAlign w:val="center"/>
            <w:hideMark/>
          </w:tcPr>
          <w:p w14:paraId="64550C76" w14:textId="77777777" w:rsidR="003E5BF5" w:rsidRPr="00293D7B" w:rsidRDefault="003E5BF5" w:rsidP="00DE1921">
            <w:pPr>
              <w:jc w:val="right"/>
              <w:rPr>
                <w:rFonts w:ascii="Arial" w:hAnsi="Arial" w:cs="Arial"/>
                <w:b/>
                <w:sz w:val="24"/>
                <w:szCs w:val="24"/>
              </w:rPr>
            </w:pPr>
          </w:p>
        </w:tc>
        <w:tc>
          <w:tcPr>
            <w:tcW w:w="1402" w:type="dxa"/>
            <w:shd w:val="clear" w:color="auto" w:fill="auto"/>
            <w:noWrap/>
            <w:vAlign w:val="center"/>
            <w:hideMark/>
          </w:tcPr>
          <w:p w14:paraId="2DCBE7C8" w14:textId="77777777" w:rsidR="003E5BF5" w:rsidRPr="00293D7B" w:rsidRDefault="003E5BF5" w:rsidP="00DE1921">
            <w:pPr>
              <w:jc w:val="right"/>
              <w:rPr>
                <w:rFonts w:ascii="Arial" w:hAnsi="Arial" w:cs="Arial"/>
                <w:sz w:val="24"/>
                <w:szCs w:val="24"/>
              </w:rPr>
            </w:pPr>
          </w:p>
        </w:tc>
        <w:tc>
          <w:tcPr>
            <w:tcW w:w="966" w:type="dxa"/>
            <w:shd w:val="clear" w:color="auto" w:fill="auto"/>
            <w:noWrap/>
            <w:vAlign w:val="center"/>
            <w:hideMark/>
          </w:tcPr>
          <w:p w14:paraId="0287A021" w14:textId="77777777" w:rsidR="003E5BF5" w:rsidRPr="00293D7B" w:rsidRDefault="003E5BF5" w:rsidP="00DE1921">
            <w:pPr>
              <w:jc w:val="right"/>
              <w:rPr>
                <w:rFonts w:ascii="Arial" w:hAnsi="Arial" w:cs="Arial"/>
                <w:sz w:val="24"/>
                <w:szCs w:val="24"/>
              </w:rPr>
            </w:pPr>
          </w:p>
        </w:tc>
        <w:tc>
          <w:tcPr>
            <w:tcW w:w="1153" w:type="dxa"/>
            <w:shd w:val="clear" w:color="auto" w:fill="auto"/>
            <w:noWrap/>
            <w:vAlign w:val="center"/>
            <w:hideMark/>
          </w:tcPr>
          <w:p w14:paraId="2816B582" w14:textId="77777777" w:rsidR="003E5BF5" w:rsidRPr="00293D7B" w:rsidRDefault="003E5BF5" w:rsidP="00DE1921">
            <w:pPr>
              <w:jc w:val="right"/>
              <w:rPr>
                <w:rFonts w:ascii="Arial" w:hAnsi="Arial" w:cs="Arial"/>
                <w:sz w:val="24"/>
                <w:szCs w:val="24"/>
              </w:rPr>
            </w:pPr>
          </w:p>
        </w:tc>
      </w:tr>
      <w:tr w:rsidR="003E5BF5" w:rsidRPr="00293D7B" w14:paraId="5747ED1F" w14:textId="77777777" w:rsidTr="00C26798">
        <w:trPr>
          <w:trHeight w:val="340"/>
        </w:trPr>
        <w:tc>
          <w:tcPr>
            <w:tcW w:w="4070" w:type="dxa"/>
            <w:shd w:val="clear" w:color="auto" w:fill="auto"/>
            <w:noWrap/>
            <w:vAlign w:val="center"/>
          </w:tcPr>
          <w:p w14:paraId="05B16E9A" w14:textId="77777777" w:rsidR="003E5BF5" w:rsidRPr="00293D7B" w:rsidRDefault="003E5BF5" w:rsidP="00DE1921">
            <w:pPr>
              <w:pStyle w:val="TableTextLeftBold"/>
              <w:rPr>
                <w:rFonts w:ascii="Arial" w:hAnsi="Arial" w:cs="Arial"/>
                <w:b w:val="0"/>
                <w:sz w:val="24"/>
                <w:szCs w:val="24"/>
              </w:rPr>
            </w:pPr>
            <w:r w:rsidRPr="00293D7B">
              <w:rPr>
                <w:rFonts w:ascii="Arial" w:hAnsi="Arial" w:cs="Arial"/>
                <w:sz w:val="24"/>
                <w:szCs w:val="24"/>
              </w:rPr>
              <w:t>Financial assets with loss allowance measured at 12-month expected credit loss</w:t>
            </w:r>
          </w:p>
        </w:tc>
        <w:tc>
          <w:tcPr>
            <w:tcW w:w="1469" w:type="dxa"/>
            <w:shd w:val="clear" w:color="auto" w:fill="auto"/>
            <w:noWrap/>
            <w:vAlign w:val="center"/>
          </w:tcPr>
          <w:p w14:paraId="02ECCC09" w14:textId="77777777" w:rsidR="003E5BF5" w:rsidRPr="00293D7B" w:rsidRDefault="003E5BF5" w:rsidP="00DE1921">
            <w:pPr>
              <w:jc w:val="right"/>
              <w:rPr>
                <w:rFonts w:ascii="Arial" w:hAnsi="Arial" w:cs="Arial"/>
                <w:b/>
                <w:sz w:val="24"/>
                <w:szCs w:val="24"/>
              </w:rPr>
            </w:pPr>
          </w:p>
        </w:tc>
        <w:tc>
          <w:tcPr>
            <w:tcW w:w="1402" w:type="dxa"/>
            <w:shd w:val="clear" w:color="auto" w:fill="auto"/>
            <w:noWrap/>
            <w:vAlign w:val="center"/>
          </w:tcPr>
          <w:p w14:paraId="515C30B0" w14:textId="77777777" w:rsidR="003E5BF5" w:rsidRPr="00293D7B" w:rsidRDefault="003E5BF5" w:rsidP="00DE1921">
            <w:pPr>
              <w:jc w:val="right"/>
              <w:rPr>
                <w:rFonts w:ascii="Arial" w:hAnsi="Arial" w:cs="Arial"/>
                <w:sz w:val="24"/>
                <w:szCs w:val="24"/>
              </w:rPr>
            </w:pPr>
          </w:p>
        </w:tc>
        <w:tc>
          <w:tcPr>
            <w:tcW w:w="966" w:type="dxa"/>
            <w:shd w:val="clear" w:color="auto" w:fill="auto"/>
            <w:noWrap/>
            <w:vAlign w:val="center"/>
          </w:tcPr>
          <w:p w14:paraId="58C4AB5A" w14:textId="77777777" w:rsidR="003E5BF5" w:rsidRPr="00293D7B" w:rsidRDefault="003E5BF5" w:rsidP="00DE1921">
            <w:pPr>
              <w:jc w:val="right"/>
              <w:rPr>
                <w:rFonts w:ascii="Arial" w:hAnsi="Arial" w:cs="Arial"/>
                <w:sz w:val="24"/>
                <w:szCs w:val="24"/>
              </w:rPr>
            </w:pPr>
          </w:p>
        </w:tc>
        <w:tc>
          <w:tcPr>
            <w:tcW w:w="1153" w:type="dxa"/>
            <w:shd w:val="clear" w:color="auto" w:fill="auto"/>
            <w:noWrap/>
            <w:vAlign w:val="center"/>
          </w:tcPr>
          <w:p w14:paraId="0BEE7D41" w14:textId="77777777" w:rsidR="003E5BF5" w:rsidRPr="00293D7B" w:rsidRDefault="003E5BF5" w:rsidP="00DE1921">
            <w:pPr>
              <w:jc w:val="right"/>
              <w:rPr>
                <w:rFonts w:ascii="Arial" w:hAnsi="Arial" w:cs="Arial"/>
                <w:sz w:val="24"/>
                <w:szCs w:val="24"/>
              </w:rPr>
            </w:pPr>
          </w:p>
        </w:tc>
      </w:tr>
      <w:tr w:rsidR="003E5BF5" w:rsidRPr="00293D7B" w14:paraId="452665D1" w14:textId="77777777" w:rsidTr="00C26798">
        <w:trPr>
          <w:trHeight w:val="340"/>
        </w:trPr>
        <w:tc>
          <w:tcPr>
            <w:tcW w:w="4070" w:type="dxa"/>
            <w:shd w:val="clear" w:color="auto" w:fill="auto"/>
            <w:noWrap/>
            <w:vAlign w:val="center"/>
            <w:hideMark/>
          </w:tcPr>
          <w:p w14:paraId="7D60952D" w14:textId="77777777" w:rsidR="003E5BF5" w:rsidRPr="00293D7B" w:rsidRDefault="003E5BF5" w:rsidP="00DE1921">
            <w:pPr>
              <w:rPr>
                <w:rFonts w:ascii="Arial" w:hAnsi="Arial" w:cs="Arial"/>
                <w:sz w:val="24"/>
                <w:szCs w:val="24"/>
              </w:rPr>
            </w:pPr>
            <w:r w:rsidRPr="00293D7B">
              <w:rPr>
                <w:rFonts w:ascii="Arial" w:hAnsi="Arial" w:cs="Arial"/>
                <w:sz w:val="24"/>
                <w:szCs w:val="24"/>
              </w:rPr>
              <w:t>Cash and cash equivalents</w:t>
            </w:r>
          </w:p>
        </w:tc>
        <w:tc>
          <w:tcPr>
            <w:tcW w:w="1469" w:type="dxa"/>
            <w:shd w:val="clear" w:color="auto" w:fill="auto"/>
            <w:noWrap/>
            <w:vAlign w:val="center"/>
            <w:hideMark/>
          </w:tcPr>
          <w:p w14:paraId="7D47D428"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553,258 </w:t>
            </w:r>
          </w:p>
        </w:tc>
        <w:tc>
          <w:tcPr>
            <w:tcW w:w="1402" w:type="dxa"/>
            <w:shd w:val="clear" w:color="auto" w:fill="auto"/>
            <w:noWrap/>
            <w:vAlign w:val="center"/>
            <w:hideMark/>
          </w:tcPr>
          <w:p w14:paraId="47A309A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108,889 </w:t>
            </w:r>
          </w:p>
        </w:tc>
        <w:tc>
          <w:tcPr>
            <w:tcW w:w="966" w:type="dxa"/>
            <w:shd w:val="clear" w:color="auto" w:fill="auto"/>
            <w:noWrap/>
            <w:vAlign w:val="center"/>
            <w:hideMark/>
          </w:tcPr>
          <w:p w14:paraId="54B52C25"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110 </w:t>
            </w:r>
          </w:p>
        </w:tc>
        <w:tc>
          <w:tcPr>
            <w:tcW w:w="1153" w:type="dxa"/>
            <w:shd w:val="clear" w:color="auto" w:fill="auto"/>
            <w:noWrap/>
            <w:vAlign w:val="center"/>
            <w:hideMark/>
          </w:tcPr>
          <w:p w14:paraId="456B6C4B"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662,257 </w:t>
            </w:r>
          </w:p>
        </w:tc>
      </w:tr>
      <w:tr w:rsidR="003E5BF5" w:rsidRPr="00293D7B" w14:paraId="7810FC48" w14:textId="77777777" w:rsidTr="00C26798">
        <w:trPr>
          <w:trHeight w:val="340"/>
        </w:trPr>
        <w:tc>
          <w:tcPr>
            <w:tcW w:w="4070" w:type="dxa"/>
            <w:shd w:val="clear" w:color="auto" w:fill="auto"/>
            <w:vAlign w:val="center"/>
            <w:hideMark/>
          </w:tcPr>
          <w:p w14:paraId="6D1CE455" w14:textId="77777777" w:rsidR="003E5BF5" w:rsidRPr="00293D7B" w:rsidRDefault="003E5BF5" w:rsidP="00DE1921">
            <w:pPr>
              <w:pStyle w:val="TableTextLeftBold"/>
              <w:rPr>
                <w:rFonts w:ascii="Arial" w:hAnsi="Arial" w:cs="Arial"/>
                <w:b w:val="0"/>
                <w:sz w:val="24"/>
                <w:szCs w:val="24"/>
              </w:rPr>
            </w:pPr>
            <w:r w:rsidRPr="00293D7B">
              <w:rPr>
                <w:rFonts w:ascii="Arial" w:hAnsi="Arial" w:cs="Arial"/>
                <w:b w:val="0"/>
                <w:sz w:val="24"/>
                <w:szCs w:val="24"/>
              </w:rPr>
              <w:t>Financial assets with loss allowance measured at lifetime expected credit loss</w:t>
            </w:r>
          </w:p>
        </w:tc>
        <w:tc>
          <w:tcPr>
            <w:tcW w:w="1469" w:type="dxa"/>
            <w:shd w:val="clear" w:color="auto" w:fill="auto"/>
            <w:noWrap/>
            <w:vAlign w:val="center"/>
            <w:hideMark/>
          </w:tcPr>
          <w:p w14:paraId="08706FD1" w14:textId="77777777" w:rsidR="003E5BF5" w:rsidRPr="00293D7B" w:rsidRDefault="003E5BF5" w:rsidP="00DE1921">
            <w:pPr>
              <w:jc w:val="right"/>
              <w:rPr>
                <w:rFonts w:ascii="Arial" w:hAnsi="Arial" w:cs="Arial"/>
                <w:b/>
                <w:sz w:val="24"/>
                <w:szCs w:val="24"/>
              </w:rPr>
            </w:pPr>
          </w:p>
        </w:tc>
        <w:tc>
          <w:tcPr>
            <w:tcW w:w="1402" w:type="dxa"/>
            <w:shd w:val="clear" w:color="auto" w:fill="auto"/>
            <w:noWrap/>
            <w:vAlign w:val="center"/>
            <w:hideMark/>
          </w:tcPr>
          <w:p w14:paraId="5C7E5DCC" w14:textId="77777777" w:rsidR="003E5BF5" w:rsidRPr="00293D7B" w:rsidRDefault="003E5BF5" w:rsidP="00DE1921">
            <w:pPr>
              <w:jc w:val="right"/>
              <w:rPr>
                <w:rFonts w:ascii="Arial" w:hAnsi="Arial" w:cs="Arial"/>
                <w:sz w:val="24"/>
                <w:szCs w:val="24"/>
              </w:rPr>
            </w:pPr>
          </w:p>
        </w:tc>
        <w:tc>
          <w:tcPr>
            <w:tcW w:w="966" w:type="dxa"/>
            <w:shd w:val="clear" w:color="auto" w:fill="auto"/>
            <w:noWrap/>
            <w:vAlign w:val="center"/>
            <w:hideMark/>
          </w:tcPr>
          <w:p w14:paraId="76E12FC6" w14:textId="77777777" w:rsidR="003E5BF5" w:rsidRPr="00293D7B" w:rsidRDefault="003E5BF5" w:rsidP="00DE1921">
            <w:pPr>
              <w:jc w:val="right"/>
              <w:rPr>
                <w:rFonts w:ascii="Arial" w:hAnsi="Arial" w:cs="Arial"/>
                <w:sz w:val="24"/>
                <w:szCs w:val="24"/>
              </w:rPr>
            </w:pPr>
          </w:p>
        </w:tc>
        <w:tc>
          <w:tcPr>
            <w:tcW w:w="1153" w:type="dxa"/>
            <w:shd w:val="clear" w:color="auto" w:fill="auto"/>
            <w:noWrap/>
            <w:vAlign w:val="center"/>
            <w:hideMark/>
          </w:tcPr>
          <w:p w14:paraId="37F2C8E0" w14:textId="77777777" w:rsidR="003E5BF5" w:rsidRPr="00293D7B" w:rsidRDefault="003E5BF5" w:rsidP="00DE1921">
            <w:pPr>
              <w:jc w:val="right"/>
              <w:rPr>
                <w:rFonts w:ascii="Arial" w:hAnsi="Arial" w:cs="Arial"/>
                <w:sz w:val="24"/>
                <w:szCs w:val="24"/>
              </w:rPr>
            </w:pPr>
          </w:p>
        </w:tc>
      </w:tr>
      <w:tr w:rsidR="003E5BF5" w:rsidRPr="00293D7B" w14:paraId="75E2C938" w14:textId="77777777" w:rsidTr="00C26798">
        <w:trPr>
          <w:trHeight w:val="340"/>
        </w:trPr>
        <w:tc>
          <w:tcPr>
            <w:tcW w:w="4070" w:type="dxa"/>
            <w:shd w:val="clear" w:color="auto" w:fill="auto"/>
            <w:vAlign w:val="center"/>
            <w:hideMark/>
          </w:tcPr>
          <w:p w14:paraId="3EAB5E3A" w14:textId="77777777" w:rsidR="003E5BF5" w:rsidRPr="00293D7B" w:rsidRDefault="003E5BF5" w:rsidP="00DE1921">
            <w:pPr>
              <w:rPr>
                <w:rFonts w:ascii="Arial" w:hAnsi="Arial" w:cs="Arial"/>
                <w:sz w:val="24"/>
                <w:szCs w:val="24"/>
              </w:rPr>
            </w:pPr>
            <w:r w:rsidRPr="00293D7B">
              <w:rPr>
                <w:rFonts w:ascii="Arial" w:hAnsi="Arial" w:cs="Arial"/>
                <w:sz w:val="24"/>
                <w:szCs w:val="24"/>
              </w:rPr>
              <w:t xml:space="preserve">Contractual receivables applying the simplified approach for impairment </w:t>
            </w:r>
            <w:r w:rsidRPr="00293D7B">
              <w:rPr>
                <w:rFonts w:ascii="Arial" w:hAnsi="Arial" w:cs="Arial"/>
                <w:sz w:val="24"/>
                <w:szCs w:val="24"/>
                <w:vertAlign w:val="superscript"/>
              </w:rPr>
              <w:t>(</w:t>
            </w:r>
            <w:proofErr w:type="spellStart"/>
            <w:r w:rsidRPr="00293D7B">
              <w:rPr>
                <w:rFonts w:ascii="Arial" w:hAnsi="Arial" w:cs="Arial"/>
                <w:sz w:val="24"/>
                <w:szCs w:val="24"/>
                <w:vertAlign w:val="superscript"/>
              </w:rPr>
              <w:t>i</w:t>
            </w:r>
            <w:proofErr w:type="spellEnd"/>
            <w:r w:rsidRPr="00293D7B">
              <w:rPr>
                <w:rFonts w:ascii="Arial" w:hAnsi="Arial" w:cs="Arial"/>
                <w:sz w:val="24"/>
                <w:szCs w:val="24"/>
                <w:vertAlign w:val="superscript"/>
              </w:rPr>
              <w:t>)</w:t>
            </w:r>
          </w:p>
        </w:tc>
        <w:tc>
          <w:tcPr>
            <w:tcW w:w="1469" w:type="dxa"/>
            <w:shd w:val="clear" w:color="auto" w:fill="auto"/>
            <w:noWrap/>
            <w:hideMark/>
          </w:tcPr>
          <w:p w14:paraId="4F4AAB84"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136,031</w:t>
            </w:r>
          </w:p>
        </w:tc>
        <w:tc>
          <w:tcPr>
            <w:tcW w:w="1402" w:type="dxa"/>
            <w:shd w:val="clear" w:color="auto" w:fill="auto"/>
            <w:noWrap/>
            <w:hideMark/>
          </w:tcPr>
          <w:p w14:paraId="7EA2B5A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w:t>
            </w:r>
          </w:p>
        </w:tc>
        <w:tc>
          <w:tcPr>
            <w:tcW w:w="966" w:type="dxa"/>
            <w:shd w:val="clear" w:color="auto" w:fill="auto"/>
            <w:noWrap/>
            <w:hideMark/>
          </w:tcPr>
          <w:p w14:paraId="431EB0B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178,597</w:t>
            </w:r>
          </w:p>
        </w:tc>
        <w:tc>
          <w:tcPr>
            <w:tcW w:w="1153" w:type="dxa"/>
            <w:shd w:val="clear" w:color="auto" w:fill="auto"/>
            <w:noWrap/>
            <w:hideMark/>
          </w:tcPr>
          <w:p w14:paraId="0B6D29A1"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314,628</w:t>
            </w:r>
          </w:p>
        </w:tc>
      </w:tr>
      <w:tr w:rsidR="003E5BF5" w:rsidRPr="00293D7B" w14:paraId="2CCA8141" w14:textId="77777777" w:rsidTr="00C26798">
        <w:trPr>
          <w:trHeight w:val="340"/>
        </w:trPr>
        <w:tc>
          <w:tcPr>
            <w:tcW w:w="4070" w:type="dxa"/>
            <w:shd w:val="clear" w:color="auto" w:fill="auto"/>
            <w:noWrap/>
            <w:vAlign w:val="center"/>
            <w:hideMark/>
          </w:tcPr>
          <w:p w14:paraId="184E7157" w14:textId="77777777" w:rsidR="003E5BF5" w:rsidRPr="00293D7B" w:rsidRDefault="003E5BF5" w:rsidP="00DE1921">
            <w:pPr>
              <w:rPr>
                <w:rFonts w:ascii="Arial" w:hAnsi="Arial" w:cs="Arial"/>
                <w:b/>
                <w:sz w:val="24"/>
                <w:szCs w:val="24"/>
              </w:rPr>
            </w:pPr>
            <w:r w:rsidRPr="00293D7B">
              <w:rPr>
                <w:rFonts w:ascii="Arial" w:hAnsi="Arial" w:cs="Arial"/>
                <w:b/>
                <w:sz w:val="24"/>
                <w:szCs w:val="24"/>
              </w:rPr>
              <w:t>Total contractual financial assets</w:t>
            </w:r>
          </w:p>
        </w:tc>
        <w:tc>
          <w:tcPr>
            <w:tcW w:w="1469" w:type="dxa"/>
            <w:shd w:val="clear" w:color="auto" w:fill="auto"/>
            <w:noWrap/>
            <w:vAlign w:val="center"/>
            <w:hideMark/>
          </w:tcPr>
          <w:p w14:paraId="145EE429"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689,289 </w:t>
            </w:r>
          </w:p>
        </w:tc>
        <w:tc>
          <w:tcPr>
            <w:tcW w:w="1402" w:type="dxa"/>
            <w:shd w:val="clear" w:color="auto" w:fill="auto"/>
            <w:noWrap/>
            <w:vAlign w:val="center"/>
            <w:hideMark/>
          </w:tcPr>
          <w:p w14:paraId="1763AC4C"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108,889 </w:t>
            </w:r>
          </w:p>
        </w:tc>
        <w:tc>
          <w:tcPr>
            <w:tcW w:w="966" w:type="dxa"/>
            <w:shd w:val="clear" w:color="auto" w:fill="auto"/>
            <w:noWrap/>
            <w:vAlign w:val="center"/>
            <w:hideMark/>
          </w:tcPr>
          <w:p w14:paraId="65D5AA50"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178,707 </w:t>
            </w:r>
          </w:p>
        </w:tc>
        <w:tc>
          <w:tcPr>
            <w:tcW w:w="1153" w:type="dxa"/>
            <w:shd w:val="clear" w:color="auto" w:fill="auto"/>
            <w:noWrap/>
            <w:vAlign w:val="center"/>
            <w:hideMark/>
          </w:tcPr>
          <w:p w14:paraId="50F39C93"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976,885 </w:t>
            </w:r>
          </w:p>
        </w:tc>
      </w:tr>
      <w:tr w:rsidR="003E5BF5" w:rsidRPr="00293D7B" w14:paraId="7DE76AC9" w14:textId="77777777" w:rsidTr="00C26798">
        <w:trPr>
          <w:trHeight w:val="340"/>
        </w:trPr>
        <w:tc>
          <w:tcPr>
            <w:tcW w:w="4070" w:type="dxa"/>
            <w:shd w:val="clear" w:color="auto" w:fill="auto"/>
            <w:noWrap/>
            <w:vAlign w:val="center"/>
            <w:hideMark/>
          </w:tcPr>
          <w:p w14:paraId="6FCD69E3" w14:textId="77777777" w:rsidR="003E5BF5" w:rsidRPr="00293D7B" w:rsidRDefault="003E5BF5" w:rsidP="00604703">
            <w:pPr>
              <w:pStyle w:val="TableTextGreen"/>
            </w:pPr>
            <w:r w:rsidRPr="00293D7B">
              <w:t>2019</w:t>
            </w:r>
          </w:p>
        </w:tc>
        <w:tc>
          <w:tcPr>
            <w:tcW w:w="1469" w:type="dxa"/>
            <w:shd w:val="clear" w:color="auto" w:fill="auto"/>
            <w:noWrap/>
            <w:vAlign w:val="center"/>
            <w:hideMark/>
          </w:tcPr>
          <w:p w14:paraId="36640A0C" w14:textId="77777777" w:rsidR="003E5BF5" w:rsidRPr="00293D7B" w:rsidRDefault="003E5BF5" w:rsidP="00DE1921">
            <w:pPr>
              <w:jc w:val="right"/>
              <w:rPr>
                <w:rFonts w:ascii="Arial" w:hAnsi="Arial" w:cs="Arial"/>
                <w:b/>
                <w:sz w:val="24"/>
                <w:szCs w:val="24"/>
              </w:rPr>
            </w:pPr>
          </w:p>
        </w:tc>
        <w:tc>
          <w:tcPr>
            <w:tcW w:w="1402" w:type="dxa"/>
            <w:shd w:val="clear" w:color="auto" w:fill="auto"/>
            <w:noWrap/>
            <w:vAlign w:val="center"/>
            <w:hideMark/>
          </w:tcPr>
          <w:p w14:paraId="36E24D72" w14:textId="77777777" w:rsidR="003E5BF5" w:rsidRPr="00293D7B" w:rsidRDefault="003E5BF5" w:rsidP="00DE1921">
            <w:pPr>
              <w:jc w:val="right"/>
              <w:rPr>
                <w:rFonts w:ascii="Arial" w:hAnsi="Arial" w:cs="Arial"/>
                <w:sz w:val="24"/>
                <w:szCs w:val="24"/>
              </w:rPr>
            </w:pPr>
          </w:p>
        </w:tc>
        <w:tc>
          <w:tcPr>
            <w:tcW w:w="966" w:type="dxa"/>
            <w:shd w:val="clear" w:color="auto" w:fill="auto"/>
            <w:noWrap/>
            <w:vAlign w:val="center"/>
            <w:hideMark/>
          </w:tcPr>
          <w:p w14:paraId="22C1D526" w14:textId="77777777" w:rsidR="003E5BF5" w:rsidRPr="00293D7B" w:rsidRDefault="003E5BF5" w:rsidP="00DE1921">
            <w:pPr>
              <w:jc w:val="right"/>
              <w:rPr>
                <w:rFonts w:ascii="Arial" w:hAnsi="Arial" w:cs="Arial"/>
                <w:sz w:val="24"/>
                <w:szCs w:val="24"/>
              </w:rPr>
            </w:pPr>
          </w:p>
        </w:tc>
        <w:tc>
          <w:tcPr>
            <w:tcW w:w="1153" w:type="dxa"/>
            <w:shd w:val="clear" w:color="auto" w:fill="auto"/>
            <w:noWrap/>
            <w:vAlign w:val="center"/>
            <w:hideMark/>
          </w:tcPr>
          <w:p w14:paraId="011AD844" w14:textId="77777777" w:rsidR="003E5BF5" w:rsidRPr="00293D7B" w:rsidRDefault="003E5BF5" w:rsidP="00DE1921">
            <w:pPr>
              <w:jc w:val="right"/>
              <w:rPr>
                <w:rFonts w:ascii="Arial" w:hAnsi="Arial" w:cs="Arial"/>
                <w:sz w:val="24"/>
                <w:szCs w:val="24"/>
              </w:rPr>
            </w:pPr>
          </w:p>
        </w:tc>
      </w:tr>
      <w:tr w:rsidR="003E5BF5" w:rsidRPr="00293D7B" w14:paraId="42672D0D" w14:textId="77777777" w:rsidTr="00C26798">
        <w:trPr>
          <w:trHeight w:val="340"/>
        </w:trPr>
        <w:tc>
          <w:tcPr>
            <w:tcW w:w="4070" w:type="dxa"/>
            <w:shd w:val="clear" w:color="auto" w:fill="auto"/>
            <w:noWrap/>
            <w:vAlign w:val="center"/>
          </w:tcPr>
          <w:p w14:paraId="31F8A92B" w14:textId="77777777" w:rsidR="003E5BF5" w:rsidRPr="00293D7B" w:rsidRDefault="003E5BF5" w:rsidP="00DE1921">
            <w:pPr>
              <w:pStyle w:val="TableTextLeftBold"/>
              <w:rPr>
                <w:rFonts w:ascii="Arial" w:hAnsi="Arial" w:cs="Arial"/>
                <w:b w:val="0"/>
                <w:sz w:val="24"/>
                <w:szCs w:val="24"/>
              </w:rPr>
            </w:pPr>
            <w:r w:rsidRPr="00293D7B">
              <w:rPr>
                <w:rFonts w:ascii="Arial" w:hAnsi="Arial" w:cs="Arial"/>
                <w:sz w:val="24"/>
                <w:szCs w:val="24"/>
              </w:rPr>
              <w:t>Financial assets with loss allowance measured at 12-month expected credit loss</w:t>
            </w:r>
          </w:p>
        </w:tc>
        <w:tc>
          <w:tcPr>
            <w:tcW w:w="1469" w:type="dxa"/>
            <w:shd w:val="clear" w:color="auto" w:fill="auto"/>
            <w:noWrap/>
            <w:vAlign w:val="center"/>
          </w:tcPr>
          <w:p w14:paraId="2B7E9749" w14:textId="77777777" w:rsidR="003E5BF5" w:rsidRPr="00293D7B" w:rsidRDefault="003E5BF5" w:rsidP="00DE1921">
            <w:pPr>
              <w:jc w:val="right"/>
              <w:rPr>
                <w:rFonts w:ascii="Arial" w:hAnsi="Arial" w:cs="Arial"/>
                <w:b/>
                <w:sz w:val="24"/>
                <w:szCs w:val="24"/>
              </w:rPr>
            </w:pPr>
          </w:p>
        </w:tc>
        <w:tc>
          <w:tcPr>
            <w:tcW w:w="1402" w:type="dxa"/>
            <w:shd w:val="clear" w:color="auto" w:fill="auto"/>
            <w:noWrap/>
            <w:vAlign w:val="center"/>
          </w:tcPr>
          <w:p w14:paraId="327E9BFE" w14:textId="77777777" w:rsidR="003E5BF5" w:rsidRPr="00293D7B" w:rsidRDefault="003E5BF5" w:rsidP="00DE1921">
            <w:pPr>
              <w:jc w:val="right"/>
              <w:rPr>
                <w:rFonts w:ascii="Arial" w:hAnsi="Arial" w:cs="Arial"/>
                <w:sz w:val="24"/>
                <w:szCs w:val="24"/>
              </w:rPr>
            </w:pPr>
          </w:p>
        </w:tc>
        <w:tc>
          <w:tcPr>
            <w:tcW w:w="966" w:type="dxa"/>
            <w:shd w:val="clear" w:color="auto" w:fill="auto"/>
            <w:noWrap/>
            <w:vAlign w:val="center"/>
          </w:tcPr>
          <w:p w14:paraId="3E333C43" w14:textId="77777777" w:rsidR="003E5BF5" w:rsidRPr="00293D7B" w:rsidRDefault="003E5BF5" w:rsidP="00DE1921">
            <w:pPr>
              <w:jc w:val="right"/>
              <w:rPr>
                <w:rFonts w:ascii="Arial" w:hAnsi="Arial" w:cs="Arial"/>
                <w:sz w:val="24"/>
                <w:szCs w:val="24"/>
              </w:rPr>
            </w:pPr>
          </w:p>
        </w:tc>
        <w:tc>
          <w:tcPr>
            <w:tcW w:w="1153" w:type="dxa"/>
            <w:shd w:val="clear" w:color="auto" w:fill="auto"/>
            <w:noWrap/>
            <w:vAlign w:val="center"/>
          </w:tcPr>
          <w:p w14:paraId="4E9B99C6" w14:textId="77777777" w:rsidR="003E5BF5" w:rsidRPr="00293D7B" w:rsidRDefault="003E5BF5" w:rsidP="00DE1921">
            <w:pPr>
              <w:jc w:val="right"/>
              <w:rPr>
                <w:rFonts w:ascii="Arial" w:hAnsi="Arial" w:cs="Arial"/>
                <w:sz w:val="24"/>
                <w:szCs w:val="24"/>
              </w:rPr>
            </w:pPr>
          </w:p>
        </w:tc>
      </w:tr>
      <w:tr w:rsidR="003E5BF5" w:rsidRPr="00293D7B" w14:paraId="21C4DB2C" w14:textId="77777777" w:rsidTr="00C26798">
        <w:trPr>
          <w:trHeight w:val="340"/>
        </w:trPr>
        <w:tc>
          <w:tcPr>
            <w:tcW w:w="4070" w:type="dxa"/>
            <w:shd w:val="clear" w:color="auto" w:fill="auto"/>
            <w:noWrap/>
            <w:vAlign w:val="center"/>
            <w:hideMark/>
          </w:tcPr>
          <w:p w14:paraId="0B3829B0" w14:textId="77777777" w:rsidR="003E5BF5" w:rsidRPr="00293D7B" w:rsidRDefault="003E5BF5" w:rsidP="00DE1921">
            <w:pPr>
              <w:rPr>
                <w:rFonts w:ascii="Arial" w:hAnsi="Arial" w:cs="Arial"/>
                <w:sz w:val="24"/>
                <w:szCs w:val="24"/>
              </w:rPr>
            </w:pPr>
            <w:r w:rsidRPr="00293D7B">
              <w:rPr>
                <w:rFonts w:ascii="Arial" w:hAnsi="Arial" w:cs="Arial"/>
                <w:sz w:val="24"/>
                <w:szCs w:val="24"/>
              </w:rPr>
              <w:t>Cash and cash equivalents</w:t>
            </w:r>
          </w:p>
        </w:tc>
        <w:tc>
          <w:tcPr>
            <w:tcW w:w="1469" w:type="dxa"/>
            <w:shd w:val="clear" w:color="auto" w:fill="auto"/>
            <w:noWrap/>
            <w:vAlign w:val="center"/>
            <w:hideMark/>
          </w:tcPr>
          <w:p w14:paraId="04A3EFE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86,092 </w:t>
            </w:r>
          </w:p>
        </w:tc>
        <w:tc>
          <w:tcPr>
            <w:tcW w:w="1402" w:type="dxa"/>
            <w:shd w:val="clear" w:color="auto" w:fill="auto"/>
            <w:noWrap/>
            <w:vAlign w:val="center"/>
            <w:hideMark/>
          </w:tcPr>
          <w:p w14:paraId="20361AE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7,719 </w:t>
            </w:r>
          </w:p>
        </w:tc>
        <w:tc>
          <w:tcPr>
            <w:tcW w:w="966" w:type="dxa"/>
            <w:shd w:val="clear" w:color="auto" w:fill="auto"/>
            <w:noWrap/>
            <w:vAlign w:val="center"/>
            <w:hideMark/>
          </w:tcPr>
          <w:p w14:paraId="56B3B29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 </w:t>
            </w:r>
          </w:p>
        </w:tc>
        <w:tc>
          <w:tcPr>
            <w:tcW w:w="1153" w:type="dxa"/>
            <w:shd w:val="clear" w:color="auto" w:fill="auto"/>
            <w:noWrap/>
            <w:vAlign w:val="center"/>
            <w:hideMark/>
          </w:tcPr>
          <w:p w14:paraId="46D62E8E"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93,812 </w:t>
            </w:r>
          </w:p>
        </w:tc>
      </w:tr>
      <w:tr w:rsidR="003E5BF5" w:rsidRPr="00293D7B" w14:paraId="38C3299D" w14:textId="77777777" w:rsidTr="00C26798">
        <w:trPr>
          <w:trHeight w:val="340"/>
        </w:trPr>
        <w:tc>
          <w:tcPr>
            <w:tcW w:w="4070" w:type="dxa"/>
            <w:shd w:val="clear" w:color="auto" w:fill="auto"/>
            <w:vAlign w:val="center"/>
            <w:hideMark/>
          </w:tcPr>
          <w:p w14:paraId="1818FBCE" w14:textId="77777777" w:rsidR="003E5BF5" w:rsidRPr="00293D7B" w:rsidRDefault="003E5BF5" w:rsidP="00DE1921">
            <w:pPr>
              <w:pStyle w:val="TableTextLeftBold"/>
              <w:rPr>
                <w:rFonts w:ascii="Arial" w:hAnsi="Arial" w:cs="Arial"/>
                <w:b w:val="0"/>
                <w:sz w:val="24"/>
                <w:szCs w:val="24"/>
              </w:rPr>
            </w:pPr>
            <w:r w:rsidRPr="00293D7B">
              <w:rPr>
                <w:rFonts w:ascii="Arial" w:hAnsi="Arial" w:cs="Arial"/>
                <w:b w:val="0"/>
                <w:sz w:val="24"/>
                <w:szCs w:val="24"/>
              </w:rPr>
              <w:t>Financial assets with loss allowance measured at lifetime expected credit loss</w:t>
            </w:r>
          </w:p>
        </w:tc>
        <w:tc>
          <w:tcPr>
            <w:tcW w:w="1469" w:type="dxa"/>
            <w:shd w:val="clear" w:color="auto" w:fill="auto"/>
            <w:noWrap/>
            <w:vAlign w:val="center"/>
            <w:hideMark/>
          </w:tcPr>
          <w:p w14:paraId="1180D8FE" w14:textId="77777777" w:rsidR="003E5BF5" w:rsidRPr="00293D7B" w:rsidRDefault="003E5BF5" w:rsidP="00DE1921">
            <w:pPr>
              <w:jc w:val="right"/>
              <w:rPr>
                <w:rFonts w:ascii="Arial" w:hAnsi="Arial" w:cs="Arial"/>
                <w:b/>
                <w:sz w:val="24"/>
                <w:szCs w:val="24"/>
              </w:rPr>
            </w:pPr>
          </w:p>
        </w:tc>
        <w:tc>
          <w:tcPr>
            <w:tcW w:w="1402" w:type="dxa"/>
            <w:shd w:val="clear" w:color="auto" w:fill="auto"/>
            <w:noWrap/>
            <w:vAlign w:val="center"/>
            <w:hideMark/>
          </w:tcPr>
          <w:p w14:paraId="171142DF" w14:textId="77777777" w:rsidR="003E5BF5" w:rsidRPr="00293D7B" w:rsidRDefault="003E5BF5" w:rsidP="00DE1921">
            <w:pPr>
              <w:jc w:val="right"/>
              <w:rPr>
                <w:rFonts w:ascii="Arial" w:hAnsi="Arial" w:cs="Arial"/>
                <w:sz w:val="24"/>
                <w:szCs w:val="24"/>
              </w:rPr>
            </w:pPr>
          </w:p>
        </w:tc>
        <w:tc>
          <w:tcPr>
            <w:tcW w:w="966" w:type="dxa"/>
            <w:shd w:val="clear" w:color="auto" w:fill="auto"/>
            <w:noWrap/>
            <w:vAlign w:val="center"/>
            <w:hideMark/>
          </w:tcPr>
          <w:p w14:paraId="0C3F1A24" w14:textId="77777777" w:rsidR="003E5BF5" w:rsidRPr="00293D7B" w:rsidRDefault="003E5BF5" w:rsidP="00DE1921">
            <w:pPr>
              <w:jc w:val="right"/>
              <w:rPr>
                <w:rFonts w:ascii="Arial" w:hAnsi="Arial" w:cs="Arial"/>
                <w:sz w:val="24"/>
                <w:szCs w:val="24"/>
              </w:rPr>
            </w:pPr>
          </w:p>
        </w:tc>
        <w:tc>
          <w:tcPr>
            <w:tcW w:w="1153" w:type="dxa"/>
            <w:shd w:val="clear" w:color="auto" w:fill="auto"/>
            <w:noWrap/>
            <w:vAlign w:val="center"/>
            <w:hideMark/>
          </w:tcPr>
          <w:p w14:paraId="6BDA823C" w14:textId="77777777" w:rsidR="003E5BF5" w:rsidRPr="00293D7B" w:rsidRDefault="003E5BF5" w:rsidP="00DE1921">
            <w:pPr>
              <w:jc w:val="right"/>
              <w:rPr>
                <w:rFonts w:ascii="Arial" w:hAnsi="Arial" w:cs="Arial"/>
                <w:sz w:val="24"/>
                <w:szCs w:val="24"/>
              </w:rPr>
            </w:pPr>
          </w:p>
        </w:tc>
      </w:tr>
      <w:tr w:rsidR="003E5BF5" w:rsidRPr="00293D7B" w14:paraId="6539A57F" w14:textId="77777777" w:rsidTr="00C26798">
        <w:trPr>
          <w:trHeight w:val="340"/>
        </w:trPr>
        <w:tc>
          <w:tcPr>
            <w:tcW w:w="4070" w:type="dxa"/>
            <w:shd w:val="clear" w:color="auto" w:fill="auto"/>
            <w:vAlign w:val="center"/>
            <w:hideMark/>
          </w:tcPr>
          <w:p w14:paraId="32204294" w14:textId="77777777" w:rsidR="003E5BF5" w:rsidRPr="00293D7B" w:rsidRDefault="003E5BF5" w:rsidP="00DE1921">
            <w:pPr>
              <w:rPr>
                <w:rFonts w:ascii="Arial" w:hAnsi="Arial" w:cs="Arial"/>
                <w:sz w:val="24"/>
                <w:szCs w:val="24"/>
              </w:rPr>
            </w:pPr>
            <w:r w:rsidRPr="00293D7B">
              <w:rPr>
                <w:rFonts w:ascii="Arial" w:hAnsi="Arial" w:cs="Arial"/>
                <w:sz w:val="24"/>
                <w:szCs w:val="24"/>
              </w:rPr>
              <w:t xml:space="preserve">Contractual receivables applying the simplified approach for impairment </w:t>
            </w:r>
            <w:r w:rsidRPr="00293D7B">
              <w:rPr>
                <w:rFonts w:ascii="Arial" w:hAnsi="Arial" w:cs="Arial"/>
                <w:sz w:val="24"/>
                <w:szCs w:val="24"/>
                <w:vertAlign w:val="superscript"/>
              </w:rPr>
              <w:t>(</w:t>
            </w:r>
            <w:proofErr w:type="spellStart"/>
            <w:r w:rsidRPr="00293D7B">
              <w:rPr>
                <w:rFonts w:ascii="Arial" w:hAnsi="Arial" w:cs="Arial"/>
                <w:sz w:val="24"/>
                <w:szCs w:val="24"/>
                <w:vertAlign w:val="superscript"/>
              </w:rPr>
              <w:t>i</w:t>
            </w:r>
            <w:proofErr w:type="spellEnd"/>
            <w:r w:rsidRPr="00293D7B">
              <w:rPr>
                <w:rFonts w:ascii="Arial" w:hAnsi="Arial" w:cs="Arial"/>
                <w:sz w:val="24"/>
                <w:szCs w:val="24"/>
                <w:vertAlign w:val="superscript"/>
              </w:rPr>
              <w:t>)</w:t>
            </w:r>
          </w:p>
        </w:tc>
        <w:tc>
          <w:tcPr>
            <w:tcW w:w="1469" w:type="dxa"/>
            <w:shd w:val="clear" w:color="auto" w:fill="auto"/>
            <w:noWrap/>
            <w:hideMark/>
          </w:tcPr>
          <w:p w14:paraId="1AA6F9B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6,375</w:t>
            </w:r>
          </w:p>
        </w:tc>
        <w:tc>
          <w:tcPr>
            <w:tcW w:w="1402" w:type="dxa"/>
            <w:shd w:val="clear" w:color="auto" w:fill="auto"/>
            <w:noWrap/>
            <w:hideMark/>
          </w:tcPr>
          <w:p w14:paraId="12C7969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w:t>
            </w:r>
          </w:p>
        </w:tc>
        <w:tc>
          <w:tcPr>
            <w:tcW w:w="966" w:type="dxa"/>
            <w:shd w:val="clear" w:color="auto" w:fill="auto"/>
            <w:noWrap/>
            <w:hideMark/>
          </w:tcPr>
          <w:p w14:paraId="0DE7D00F"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18,821</w:t>
            </w:r>
          </w:p>
        </w:tc>
        <w:tc>
          <w:tcPr>
            <w:tcW w:w="1153" w:type="dxa"/>
            <w:shd w:val="clear" w:color="auto" w:fill="auto"/>
            <w:noWrap/>
            <w:hideMark/>
          </w:tcPr>
          <w:p w14:paraId="1125765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25,197</w:t>
            </w:r>
          </w:p>
        </w:tc>
      </w:tr>
      <w:tr w:rsidR="003E5BF5" w:rsidRPr="00293D7B" w14:paraId="7EA192D6" w14:textId="77777777" w:rsidTr="00C40AA7">
        <w:trPr>
          <w:trHeight w:val="340"/>
        </w:trPr>
        <w:tc>
          <w:tcPr>
            <w:tcW w:w="4070" w:type="dxa"/>
            <w:tcBorders>
              <w:bottom w:val="nil"/>
            </w:tcBorders>
            <w:shd w:val="clear" w:color="auto" w:fill="auto"/>
            <w:noWrap/>
            <w:vAlign w:val="center"/>
            <w:hideMark/>
          </w:tcPr>
          <w:p w14:paraId="6F8ED452" w14:textId="77777777" w:rsidR="003E5BF5" w:rsidRPr="00293D7B" w:rsidRDefault="003E5BF5" w:rsidP="00DE1921">
            <w:pPr>
              <w:rPr>
                <w:rFonts w:ascii="Arial" w:hAnsi="Arial" w:cs="Arial"/>
                <w:b/>
                <w:sz w:val="24"/>
                <w:szCs w:val="24"/>
              </w:rPr>
            </w:pPr>
            <w:r w:rsidRPr="00293D7B">
              <w:rPr>
                <w:rFonts w:ascii="Arial" w:hAnsi="Arial" w:cs="Arial"/>
                <w:b/>
                <w:sz w:val="24"/>
                <w:szCs w:val="24"/>
              </w:rPr>
              <w:t>Total contractual financial assets</w:t>
            </w:r>
          </w:p>
        </w:tc>
        <w:tc>
          <w:tcPr>
            <w:tcW w:w="1469" w:type="dxa"/>
            <w:tcBorders>
              <w:bottom w:val="nil"/>
            </w:tcBorders>
            <w:shd w:val="clear" w:color="auto" w:fill="auto"/>
            <w:noWrap/>
            <w:vAlign w:val="center"/>
            <w:hideMark/>
          </w:tcPr>
          <w:p w14:paraId="5574502A"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92,467 </w:t>
            </w:r>
          </w:p>
        </w:tc>
        <w:tc>
          <w:tcPr>
            <w:tcW w:w="1402" w:type="dxa"/>
            <w:tcBorders>
              <w:bottom w:val="nil"/>
            </w:tcBorders>
            <w:shd w:val="clear" w:color="auto" w:fill="auto"/>
            <w:noWrap/>
            <w:vAlign w:val="center"/>
            <w:hideMark/>
          </w:tcPr>
          <w:p w14:paraId="6A343731"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7,719 </w:t>
            </w:r>
          </w:p>
        </w:tc>
        <w:tc>
          <w:tcPr>
            <w:tcW w:w="966" w:type="dxa"/>
            <w:tcBorders>
              <w:bottom w:val="nil"/>
            </w:tcBorders>
            <w:shd w:val="clear" w:color="auto" w:fill="auto"/>
            <w:noWrap/>
            <w:vAlign w:val="center"/>
            <w:hideMark/>
          </w:tcPr>
          <w:p w14:paraId="70364E21"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18,822 </w:t>
            </w:r>
          </w:p>
        </w:tc>
        <w:tc>
          <w:tcPr>
            <w:tcW w:w="1153" w:type="dxa"/>
            <w:tcBorders>
              <w:bottom w:val="nil"/>
            </w:tcBorders>
            <w:shd w:val="clear" w:color="auto" w:fill="auto"/>
            <w:noWrap/>
            <w:vAlign w:val="center"/>
            <w:hideMark/>
          </w:tcPr>
          <w:p w14:paraId="6E604770"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119,009 </w:t>
            </w:r>
          </w:p>
        </w:tc>
      </w:tr>
    </w:tbl>
    <w:p w14:paraId="79743D0F" w14:textId="77777777" w:rsidR="00BA467D" w:rsidRPr="00293D7B" w:rsidRDefault="00BA467D" w:rsidP="00BA467D">
      <w:pPr>
        <w:pStyle w:val="Note"/>
        <w:rPr>
          <w:rFonts w:ascii="Arial" w:hAnsi="Arial" w:cs="Arial"/>
          <w:sz w:val="24"/>
          <w:szCs w:val="24"/>
        </w:rPr>
      </w:pPr>
      <w:r w:rsidRPr="00293D7B">
        <w:rPr>
          <w:rFonts w:ascii="Arial" w:hAnsi="Arial" w:cs="Arial"/>
          <w:sz w:val="24"/>
          <w:szCs w:val="24"/>
        </w:rPr>
        <w:t>Note:</w:t>
      </w:r>
    </w:p>
    <w:p w14:paraId="7B577071" w14:textId="77777777" w:rsidR="00BA467D" w:rsidRPr="00293D7B" w:rsidRDefault="00BA467D" w:rsidP="00610F5F">
      <w:pPr>
        <w:pStyle w:val="aaaNotenumberiiiiii"/>
        <w:numPr>
          <w:ilvl w:val="0"/>
          <w:numId w:val="118"/>
        </w:numPr>
      </w:pPr>
      <w:r w:rsidRPr="00293D7B">
        <w:t>Receivables and payables disclosed above exclude statutory receivables (i.e. GST recoverable) and statutory payables (i.e. taxes payable).</w:t>
      </w:r>
    </w:p>
    <w:p w14:paraId="3EDACDF7" w14:textId="77777777" w:rsidR="003E5BF5" w:rsidRDefault="003E5BF5" w:rsidP="008869A9">
      <w:pPr>
        <w:pStyle w:val="Heading4"/>
      </w:pPr>
      <w:r>
        <w:t>Impairment of financial assets</w:t>
      </w:r>
    </w:p>
    <w:p w14:paraId="6B1C519F" w14:textId="77777777" w:rsidR="003E5BF5" w:rsidRDefault="003E5BF5" w:rsidP="00D74D26">
      <w:pPr>
        <w:pStyle w:val="aaatyping"/>
      </w:pPr>
      <w:r>
        <w:t>The department records the allowance for expected credit loss for the relevant financial instruments applying AASB 9’s Expected Credit Loss approach. Subject to AASB 9 impairment assessment include the department’s contractual receivables, statutory receivables and its investment in debt instruments.</w:t>
      </w:r>
    </w:p>
    <w:p w14:paraId="3874393F" w14:textId="77777777" w:rsidR="003E5BF5" w:rsidRDefault="003E5BF5" w:rsidP="00D74D26">
      <w:pPr>
        <w:pStyle w:val="aaatyping"/>
      </w:pPr>
      <w:r>
        <w:lastRenderedPageBreak/>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5DC502B9" w14:textId="77777777" w:rsidR="003E5BF5" w:rsidRDefault="003E5BF5" w:rsidP="00D74D26">
      <w:pPr>
        <w:pStyle w:val="aaatyping"/>
      </w:pPr>
      <w:r>
        <w:t>Although not a financial asset, contract assets recognised applying AASB 15 (refer to Note 6.1) are also subject to impairment however it is immaterial.</w:t>
      </w:r>
    </w:p>
    <w:p w14:paraId="6A064F11" w14:textId="77777777" w:rsidR="003E5BF5" w:rsidRPr="00E60103" w:rsidRDefault="003E5BF5" w:rsidP="008869A9">
      <w:pPr>
        <w:pStyle w:val="Heading4"/>
      </w:pPr>
      <w:r w:rsidRPr="00E60103">
        <w:t>Contractual receivables at amortised cost</w:t>
      </w:r>
    </w:p>
    <w:p w14:paraId="0F14338B" w14:textId="77777777" w:rsidR="003E5BF5" w:rsidRDefault="003E5BF5" w:rsidP="00D74D26">
      <w:pPr>
        <w:pStyle w:val="aaatyping"/>
      </w:pPr>
      <w:r w:rsidRPr="007444F0">
        <w:t xml:space="preserve">The </w:t>
      </w:r>
      <w:r>
        <w:t>department</w:t>
      </w:r>
      <w:r w:rsidRPr="007444F0">
        <w:t xml:space="preserve"> applies AASB 9 simplified approach for all contractual receivables to measure expected credit losses using a lifetime expected loss allowance based on the assumptions about risk of default and expected loss rates. The </w:t>
      </w:r>
      <w:r>
        <w:t>department</w:t>
      </w:r>
      <w:r w:rsidRPr="007444F0">
        <w:t xml:space="preserve"> has grouped contractual receivables on shared credit</w:t>
      </w:r>
      <w:r>
        <w:t xml:space="preserve"> </w:t>
      </w:r>
      <w:r w:rsidRPr="007444F0">
        <w:t xml:space="preserve">risk characteristics and days past due and select the expected credit loss rate based on the </w:t>
      </w:r>
      <w:r>
        <w:t>department’s</w:t>
      </w:r>
      <w:r w:rsidRPr="007444F0">
        <w:t xml:space="preserve"> past history, existing market conditions as well as forward looking estimates at the end of the financial year.</w:t>
      </w:r>
    </w:p>
    <w:p w14:paraId="150A1259" w14:textId="77777777" w:rsidR="00A433BF" w:rsidRPr="00A433BF" w:rsidRDefault="003E5BF5" w:rsidP="00A433BF">
      <w:pPr>
        <w:pStyle w:val="aaatyping"/>
        <w:rPr>
          <w:szCs w:val="20"/>
        </w:rPr>
      </w:pPr>
      <w:r w:rsidRPr="002B3F78">
        <w:t>The department did not record any opening loss allowance for expected credit loss in 2019. The department has a monthly recoverability assessment</w:t>
      </w:r>
      <w:r w:rsidRPr="00E66B39">
        <w:t xml:space="preserve"> procedure.</w:t>
      </w:r>
      <w:r w:rsidRPr="00E66B39">
        <w:rPr>
          <w:szCs w:val="20"/>
        </w:rPr>
        <w:t xml:space="preserve"> </w:t>
      </w:r>
      <w:r>
        <w:rPr>
          <w:szCs w:val="20"/>
        </w:rPr>
        <w:t>The loss allowance as at 30 June 2020 has been identified as below:</w:t>
      </w:r>
      <w:bookmarkStart w:id="548" w:name="_1659080930"/>
      <w:bookmarkStart w:id="549" w:name="RANGE!A3:G10"/>
      <w:bookmarkEnd w:id="548"/>
      <w:bookmarkEnd w:id="549"/>
    </w:p>
    <w:p w14:paraId="7C30507F" w14:textId="3F20FED6" w:rsidR="00FF6B93" w:rsidRDefault="00FF6B93" w:rsidP="00D74D26">
      <w:pPr>
        <w:pStyle w:val="aaatyping"/>
        <w:rPr>
          <w:szCs w:val="20"/>
        </w:rPr>
      </w:pPr>
      <w:r>
        <w:rPr>
          <w:szCs w:val="20"/>
        </w:rPr>
        <w:br w:type="page"/>
      </w:r>
    </w:p>
    <w:tbl>
      <w:tblPr>
        <w:tblStyle w:val="TableGrid"/>
        <w:tblW w:w="9072" w:type="dxa"/>
        <w:tblCellMar>
          <w:left w:w="28" w:type="dxa"/>
          <w:right w:w="28" w:type="dxa"/>
        </w:tblCellMar>
        <w:tblLook w:val="04A0" w:firstRow="1" w:lastRow="0" w:firstColumn="1" w:lastColumn="0" w:noHBand="0" w:noVBand="1"/>
      </w:tblPr>
      <w:tblGrid>
        <w:gridCol w:w="3397"/>
        <w:gridCol w:w="945"/>
        <w:gridCol w:w="946"/>
        <w:gridCol w:w="946"/>
        <w:gridCol w:w="946"/>
        <w:gridCol w:w="946"/>
        <w:gridCol w:w="946"/>
      </w:tblGrid>
      <w:tr w:rsidR="003E5BF5" w:rsidRPr="00293D7B" w14:paraId="32B72797" w14:textId="77777777" w:rsidTr="00C6045D">
        <w:trPr>
          <w:trHeight w:val="340"/>
        </w:trPr>
        <w:tc>
          <w:tcPr>
            <w:tcW w:w="3397" w:type="dxa"/>
            <w:shd w:val="clear" w:color="auto" w:fill="auto"/>
            <w:noWrap/>
            <w:hideMark/>
          </w:tcPr>
          <w:p w14:paraId="3E6E924F" w14:textId="77777777" w:rsidR="003E5BF5" w:rsidRPr="00293D7B" w:rsidRDefault="003E5BF5" w:rsidP="00DE1921">
            <w:pPr>
              <w:rPr>
                <w:rFonts w:ascii="Arial" w:hAnsi="Arial" w:cs="Arial"/>
                <w:sz w:val="24"/>
                <w:szCs w:val="24"/>
                <w:lang w:eastAsia="en-AU"/>
              </w:rPr>
            </w:pPr>
          </w:p>
        </w:tc>
        <w:tc>
          <w:tcPr>
            <w:tcW w:w="5675" w:type="dxa"/>
            <w:gridSpan w:val="6"/>
            <w:shd w:val="clear" w:color="auto" w:fill="auto"/>
            <w:noWrap/>
            <w:vAlign w:val="center"/>
            <w:hideMark/>
          </w:tcPr>
          <w:p w14:paraId="32EFC075"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 thousand)</w:t>
            </w:r>
          </w:p>
        </w:tc>
      </w:tr>
      <w:tr w:rsidR="003E5BF5" w:rsidRPr="00293D7B" w14:paraId="1A30739E" w14:textId="77777777" w:rsidTr="00C6045D">
        <w:trPr>
          <w:trHeight w:val="340"/>
        </w:trPr>
        <w:tc>
          <w:tcPr>
            <w:tcW w:w="3397" w:type="dxa"/>
            <w:shd w:val="clear" w:color="auto" w:fill="auto"/>
            <w:noWrap/>
            <w:vAlign w:val="bottom"/>
            <w:hideMark/>
          </w:tcPr>
          <w:p w14:paraId="37769297"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2020</w:t>
            </w:r>
          </w:p>
        </w:tc>
        <w:tc>
          <w:tcPr>
            <w:tcW w:w="945" w:type="dxa"/>
            <w:shd w:val="clear" w:color="auto" w:fill="auto"/>
            <w:vAlign w:val="bottom"/>
            <w:hideMark/>
          </w:tcPr>
          <w:p w14:paraId="5AE27050"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Current</w:t>
            </w:r>
          </w:p>
        </w:tc>
        <w:tc>
          <w:tcPr>
            <w:tcW w:w="946" w:type="dxa"/>
            <w:shd w:val="clear" w:color="auto" w:fill="auto"/>
            <w:vAlign w:val="bottom"/>
            <w:hideMark/>
          </w:tcPr>
          <w:p w14:paraId="3BFB9583"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Less than 1 month</w:t>
            </w:r>
          </w:p>
        </w:tc>
        <w:tc>
          <w:tcPr>
            <w:tcW w:w="946" w:type="dxa"/>
            <w:shd w:val="clear" w:color="auto" w:fill="auto"/>
            <w:vAlign w:val="bottom"/>
            <w:hideMark/>
          </w:tcPr>
          <w:p w14:paraId="3DA3A45F"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1-3 months</w:t>
            </w:r>
          </w:p>
        </w:tc>
        <w:tc>
          <w:tcPr>
            <w:tcW w:w="946" w:type="dxa"/>
            <w:shd w:val="clear" w:color="auto" w:fill="auto"/>
            <w:vAlign w:val="bottom"/>
            <w:hideMark/>
          </w:tcPr>
          <w:p w14:paraId="49E5ABED"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3 months - 1 year</w:t>
            </w:r>
          </w:p>
        </w:tc>
        <w:tc>
          <w:tcPr>
            <w:tcW w:w="946" w:type="dxa"/>
            <w:shd w:val="clear" w:color="auto" w:fill="auto"/>
            <w:vAlign w:val="bottom"/>
            <w:hideMark/>
          </w:tcPr>
          <w:p w14:paraId="0B016DA8"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1 - 5 years</w:t>
            </w:r>
          </w:p>
        </w:tc>
        <w:tc>
          <w:tcPr>
            <w:tcW w:w="946" w:type="dxa"/>
            <w:shd w:val="clear" w:color="auto" w:fill="auto"/>
            <w:vAlign w:val="bottom"/>
            <w:hideMark/>
          </w:tcPr>
          <w:p w14:paraId="50D86F3E"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Total</w:t>
            </w:r>
          </w:p>
        </w:tc>
      </w:tr>
      <w:tr w:rsidR="003E5BF5" w:rsidRPr="00293D7B" w14:paraId="4B6C6C05" w14:textId="77777777" w:rsidTr="00C6045D">
        <w:trPr>
          <w:trHeight w:val="340"/>
        </w:trPr>
        <w:tc>
          <w:tcPr>
            <w:tcW w:w="3397" w:type="dxa"/>
            <w:shd w:val="clear" w:color="auto" w:fill="auto"/>
            <w:noWrap/>
            <w:vAlign w:val="center"/>
            <w:hideMark/>
          </w:tcPr>
          <w:p w14:paraId="4FD042EC"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 xml:space="preserve">Expected loss rate </w:t>
            </w:r>
          </w:p>
        </w:tc>
        <w:tc>
          <w:tcPr>
            <w:tcW w:w="945" w:type="dxa"/>
            <w:shd w:val="clear" w:color="auto" w:fill="auto"/>
            <w:noWrap/>
            <w:vAlign w:val="center"/>
            <w:hideMark/>
          </w:tcPr>
          <w:p w14:paraId="03A43F5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0%</w:t>
            </w:r>
          </w:p>
        </w:tc>
        <w:tc>
          <w:tcPr>
            <w:tcW w:w="946" w:type="dxa"/>
            <w:shd w:val="clear" w:color="auto" w:fill="auto"/>
            <w:noWrap/>
            <w:vAlign w:val="center"/>
            <w:hideMark/>
          </w:tcPr>
          <w:p w14:paraId="4F1F8E4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0%</w:t>
            </w:r>
          </w:p>
        </w:tc>
        <w:tc>
          <w:tcPr>
            <w:tcW w:w="946" w:type="dxa"/>
            <w:shd w:val="clear" w:color="auto" w:fill="auto"/>
            <w:noWrap/>
            <w:vAlign w:val="center"/>
            <w:hideMark/>
          </w:tcPr>
          <w:p w14:paraId="08A21C2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33%</w:t>
            </w:r>
          </w:p>
        </w:tc>
        <w:tc>
          <w:tcPr>
            <w:tcW w:w="946" w:type="dxa"/>
            <w:shd w:val="clear" w:color="auto" w:fill="auto"/>
            <w:noWrap/>
            <w:vAlign w:val="center"/>
            <w:hideMark/>
          </w:tcPr>
          <w:p w14:paraId="4E1FB0C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1%</w:t>
            </w:r>
          </w:p>
        </w:tc>
        <w:tc>
          <w:tcPr>
            <w:tcW w:w="946" w:type="dxa"/>
            <w:shd w:val="clear" w:color="auto" w:fill="auto"/>
            <w:noWrap/>
            <w:vAlign w:val="center"/>
            <w:hideMark/>
          </w:tcPr>
          <w:p w14:paraId="30CDB89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0%</w:t>
            </w:r>
          </w:p>
        </w:tc>
        <w:tc>
          <w:tcPr>
            <w:tcW w:w="946" w:type="dxa"/>
            <w:shd w:val="clear" w:color="auto" w:fill="auto"/>
            <w:noWrap/>
            <w:vAlign w:val="center"/>
            <w:hideMark/>
          </w:tcPr>
          <w:p w14:paraId="5F2FE4E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w:t>
            </w:r>
          </w:p>
        </w:tc>
      </w:tr>
      <w:tr w:rsidR="003E5BF5" w:rsidRPr="00293D7B" w14:paraId="3E94B91E" w14:textId="77777777" w:rsidTr="00C6045D">
        <w:trPr>
          <w:trHeight w:val="340"/>
        </w:trPr>
        <w:tc>
          <w:tcPr>
            <w:tcW w:w="3397" w:type="dxa"/>
            <w:shd w:val="clear" w:color="auto" w:fill="auto"/>
            <w:vAlign w:val="center"/>
            <w:hideMark/>
          </w:tcPr>
          <w:p w14:paraId="1978E551"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Gross carrying amount of contractual receivables from other entities</w:t>
            </w:r>
          </w:p>
        </w:tc>
        <w:tc>
          <w:tcPr>
            <w:tcW w:w="945" w:type="dxa"/>
            <w:shd w:val="clear" w:color="auto" w:fill="auto"/>
            <w:noWrap/>
            <w:hideMark/>
          </w:tcPr>
          <w:p w14:paraId="4E0224A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124,586</w:t>
            </w:r>
          </w:p>
        </w:tc>
        <w:tc>
          <w:tcPr>
            <w:tcW w:w="946" w:type="dxa"/>
            <w:shd w:val="clear" w:color="auto" w:fill="auto"/>
            <w:noWrap/>
            <w:hideMark/>
          </w:tcPr>
          <w:p w14:paraId="4345C8E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6,261</w:t>
            </w:r>
          </w:p>
        </w:tc>
        <w:tc>
          <w:tcPr>
            <w:tcW w:w="946" w:type="dxa"/>
            <w:shd w:val="clear" w:color="auto" w:fill="auto"/>
            <w:noWrap/>
            <w:hideMark/>
          </w:tcPr>
          <w:p w14:paraId="673A224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6,132</w:t>
            </w:r>
          </w:p>
        </w:tc>
        <w:tc>
          <w:tcPr>
            <w:tcW w:w="946" w:type="dxa"/>
            <w:shd w:val="clear" w:color="auto" w:fill="auto"/>
            <w:noWrap/>
            <w:hideMark/>
          </w:tcPr>
          <w:p w14:paraId="3C4128F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5,216</w:t>
            </w:r>
          </w:p>
        </w:tc>
        <w:tc>
          <w:tcPr>
            <w:tcW w:w="946" w:type="dxa"/>
            <w:shd w:val="clear" w:color="auto" w:fill="auto"/>
            <w:noWrap/>
            <w:hideMark/>
          </w:tcPr>
          <w:p w14:paraId="2ACDC0F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160,044</w:t>
            </w:r>
          </w:p>
        </w:tc>
        <w:tc>
          <w:tcPr>
            <w:tcW w:w="946" w:type="dxa"/>
            <w:shd w:val="clear" w:color="auto" w:fill="auto"/>
            <w:noWrap/>
            <w:hideMark/>
          </w:tcPr>
          <w:p w14:paraId="327145E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302,239</w:t>
            </w:r>
          </w:p>
        </w:tc>
      </w:tr>
      <w:tr w:rsidR="003E5BF5" w:rsidRPr="00293D7B" w14:paraId="703DB426" w14:textId="77777777" w:rsidTr="00C6045D">
        <w:trPr>
          <w:trHeight w:val="340"/>
        </w:trPr>
        <w:tc>
          <w:tcPr>
            <w:tcW w:w="3397" w:type="dxa"/>
            <w:shd w:val="clear" w:color="auto" w:fill="auto"/>
            <w:noWrap/>
            <w:vAlign w:val="center"/>
            <w:hideMark/>
          </w:tcPr>
          <w:p w14:paraId="6A8E7ED3"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 xml:space="preserve">Total Loss allowance </w:t>
            </w:r>
          </w:p>
        </w:tc>
        <w:tc>
          <w:tcPr>
            <w:tcW w:w="945" w:type="dxa"/>
            <w:shd w:val="clear" w:color="auto" w:fill="auto"/>
            <w:noWrap/>
            <w:vAlign w:val="center"/>
            <w:hideMark/>
          </w:tcPr>
          <w:p w14:paraId="77A4571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 - </w:t>
            </w:r>
          </w:p>
        </w:tc>
        <w:tc>
          <w:tcPr>
            <w:tcW w:w="946" w:type="dxa"/>
            <w:shd w:val="clear" w:color="auto" w:fill="auto"/>
            <w:noWrap/>
            <w:vAlign w:val="center"/>
            <w:hideMark/>
          </w:tcPr>
          <w:p w14:paraId="76AD0F06"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 - </w:t>
            </w:r>
          </w:p>
        </w:tc>
        <w:tc>
          <w:tcPr>
            <w:tcW w:w="946" w:type="dxa"/>
            <w:shd w:val="clear" w:color="auto" w:fill="auto"/>
            <w:noWrap/>
            <w:vAlign w:val="center"/>
            <w:hideMark/>
          </w:tcPr>
          <w:p w14:paraId="68265017"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2,032 </w:t>
            </w:r>
          </w:p>
        </w:tc>
        <w:tc>
          <w:tcPr>
            <w:tcW w:w="946" w:type="dxa"/>
            <w:shd w:val="clear" w:color="auto" w:fill="auto"/>
            <w:noWrap/>
            <w:vAlign w:val="center"/>
            <w:hideMark/>
          </w:tcPr>
          <w:p w14:paraId="20DB6663"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29 </w:t>
            </w:r>
          </w:p>
        </w:tc>
        <w:tc>
          <w:tcPr>
            <w:tcW w:w="946" w:type="dxa"/>
            <w:shd w:val="clear" w:color="auto" w:fill="auto"/>
            <w:noWrap/>
            <w:vAlign w:val="center"/>
            <w:hideMark/>
          </w:tcPr>
          <w:p w14:paraId="1BF3AA40"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546 </w:t>
            </w:r>
          </w:p>
        </w:tc>
        <w:tc>
          <w:tcPr>
            <w:tcW w:w="946" w:type="dxa"/>
            <w:shd w:val="clear" w:color="auto" w:fill="auto"/>
            <w:noWrap/>
            <w:vAlign w:val="center"/>
            <w:hideMark/>
          </w:tcPr>
          <w:p w14:paraId="6DD71B42"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2,608 </w:t>
            </w:r>
          </w:p>
        </w:tc>
      </w:tr>
    </w:tbl>
    <w:p w14:paraId="0A351BB5" w14:textId="77777777" w:rsidR="003E5BF5" w:rsidRPr="00293D7B" w:rsidRDefault="003E5BF5" w:rsidP="00DE1921">
      <w:pPr>
        <w:spacing w:before="120"/>
        <w:rPr>
          <w:rFonts w:ascii="Arial" w:hAnsi="Arial" w:cs="Arial"/>
          <w:sz w:val="24"/>
          <w:szCs w:val="24"/>
        </w:rPr>
      </w:pPr>
      <w:r w:rsidRPr="00293D7B">
        <w:rPr>
          <w:rFonts w:ascii="Arial" w:hAnsi="Arial" w:cs="Arial"/>
          <w:sz w:val="24"/>
          <w:szCs w:val="24"/>
        </w:rPr>
        <w:t>Reconciliation of the movement in the loss allowance for contractual receivables is shown as follows:</w:t>
      </w:r>
      <w:bookmarkStart w:id="550" w:name="_1659080954"/>
      <w:bookmarkEnd w:id="550"/>
    </w:p>
    <w:tbl>
      <w:tblPr>
        <w:tblStyle w:val="TableGrid"/>
        <w:tblW w:w="9072" w:type="dxa"/>
        <w:tblLayout w:type="fixed"/>
        <w:tblLook w:val="04A0" w:firstRow="1" w:lastRow="0" w:firstColumn="1" w:lastColumn="0" w:noHBand="0" w:noVBand="1"/>
      </w:tblPr>
      <w:tblGrid>
        <w:gridCol w:w="6939"/>
        <w:gridCol w:w="1251"/>
        <w:gridCol w:w="882"/>
      </w:tblGrid>
      <w:tr w:rsidR="003E5BF5" w:rsidRPr="00293D7B" w14:paraId="26FC72F1" w14:textId="77777777" w:rsidTr="00C6045D">
        <w:trPr>
          <w:trHeight w:val="340"/>
        </w:trPr>
        <w:tc>
          <w:tcPr>
            <w:tcW w:w="6930" w:type="dxa"/>
            <w:shd w:val="clear" w:color="auto" w:fill="auto"/>
            <w:noWrap/>
            <w:vAlign w:val="center"/>
            <w:hideMark/>
          </w:tcPr>
          <w:p w14:paraId="327492A5" w14:textId="77777777" w:rsidR="003E5BF5" w:rsidRPr="00293D7B" w:rsidRDefault="003E5BF5" w:rsidP="00DE1921">
            <w:pPr>
              <w:rPr>
                <w:rFonts w:ascii="Arial" w:hAnsi="Arial" w:cs="Arial"/>
                <w:sz w:val="24"/>
                <w:szCs w:val="24"/>
              </w:rPr>
            </w:pPr>
          </w:p>
        </w:tc>
        <w:tc>
          <w:tcPr>
            <w:tcW w:w="2130" w:type="dxa"/>
            <w:gridSpan w:val="2"/>
            <w:shd w:val="clear" w:color="auto" w:fill="auto"/>
            <w:noWrap/>
            <w:vAlign w:val="center"/>
            <w:hideMark/>
          </w:tcPr>
          <w:p w14:paraId="3D2A9E01" w14:textId="77777777" w:rsidR="003E5BF5" w:rsidRPr="00293D7B" w:rsidRDefault="003E5BF5" w:rsidP="00DE1921">
            <w:pPr>
              <w:jc w:val="center"/>
              <w:rPr>
                <w:rFonts w:ascii="Arial" w:hAnsi="Arial" w:cs="Arial"/>
                <w:b/>
                <w:sz w:val="24"/>
                <w:szCs w:val="24"/>
              </w:rPr>
            </w:pPr>
            <w:r w:rsidRPr="00293D7B">
              <w:rPr>
                <w:rFonts w:ascii="Arial" w:hAnsi="Arial" w:cs="Arial"/>
                <w:b/>
                <w:sz w:val="24"/>
                <w:szCs w:val="24"/>
              </w:rPr>
              <w:t>($ thousand)</w:t>
            </w:r>
          </w:p>
        </w:tc>
      </w:tr>
      <w:tr w:rsidR="003E5BF5" w:rsidRPr="00293D7B" w14:paraId="28D1AFE2" w14:textId="77777777" w:rsidTr="00C6045D">
        <w:trPr>
          <w:trHeight w:val="340"/>
        </w:trPr>
        <w:tc>
          <w:tcPr>
            <w:tcW w:w="6930" w:type="dxa"/>
            <w:shd w:val="clear" w:color="auto" w:fill="auto"/>
            <w:noWrap/>
            <w:vAlign w:val="center"/>
            <w:hideMark/>
          </w:tcPr>
          <w:p w14:paraId="3DD25494" w14:textId="77777777" w:rsidR="003E5BF5" w:rsidRPr="00293D7B" w:rsidRDefault="003E5BF5" w:rsidP="00DE1921">
            <w:pPr>
              <w:rPr>
                <w:rFonts w:ascii="Arial" w:hAnsi="Arial" w:cs="Arial"/>
                <w:sz w:val="24"/>
                <w:szCs w:val="24"/>
              </w:rPr>
            </w:pPr>
            <w:r w:rsidRPr="00293D7B">
              <w:rPr>
                <w:rFonts w:ascii="Arial" w:hAnsi="Arial" w:cs="Arial"/>
                <w:sz w:val="24"/>
                <w:szCs w:val="24"/>
              </w:rPr>
              <w:t> </w:t>
            </w:r>
          </w:p>
        </w:tc>
        <w:tc>
          <w:tcPr>
            <w:tcW w:w="1249" w:type="dxa"/>
            <w:shd w:val="clear" w:color="auto" w:fill="auto"/>
            <w:noWrap/>
            <w:vAlign w:val="center"/>
            <w:hideMark/>
          </w:tcPr>
          <w:p w14:paraId="4903811D"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2020</w:t>
            </w:r>
          </w:p>
        </w:tc>
        <w:tc>
          <w:tcPr>
            <w:tcW w:w="881" w:type="dxa"/>
            <w:shd w:val="clear" w:color="auto" w:fill="auto"/>
            <w:noWrap/>
            <w:vAlign w:val="center"/>
            <w:hideMark/>
          </w:tcPr>
          <w:p w14:paraId="267D1D17"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2019</w:t>
            </w:r>
          </w:p>
        </w:tc>
      </w:tr>
      <w:tr w:rsidR="003E5BF5" w:rsidRPr="00293D7B" w14:paraId="6AC784C2" w14:textId="77777777" w:rsidTr="00C6045D">
        <w:trPr>
          <w:trHeight w:val="340"/>
        </w:trPr>
        <w:tc>
          <w:tcPr>
            <w:tcW w:w="6930" w:type="dxa"/>
            <w:shd w:val="clear" w:color="auto" w:fill="auto"/>
            <w:noWrap/>
            <w:vAlign w:val="center"/>
            <w:hideMark/>
          </w:tcPr>
          <w:p w14:paraId="0F55313E" w14:textId="77777777" w:rsidR="003E5BF5" w:rsidRPr="00293D7B" w:rsidRDefault="003E5BF5" w:rsidP="00DE1921">
            <w:pPr>
              <w:rPr>
                <w:rFonts w:ascii="Arial" w:hAnsi="Arial" w:cs="Arial"/>
                <w:b/>
                <w:sz w:val="24"/>
                <w:szCs w:val="24"/>
              </w:rPr>
            </w:pPr>
            <w:r w:rsidRPr="00293D7B">
              <w:rPr>
                <w:rFonts w:ascii="Arial" w:hAnsi="Arial" w:cs="Arial"/>
                <w:b/>
                <w:sz w:val="24"/>
                <w:szCs w:val="24"/>
              </w:rPr>
              <w:t>Balance at beginning of the year</w:t>
            </w:r>
          </w:p>
        </w:tc>
        <w:tc>
          <w:tcPr>
            <w:tcW w:w="1249" w:type="dxa"/>
            <w:shd w:val="clear" w:color="auto" w:fill="auto"/>
            <w:noWrap/>
            <w:vAlign w:val="center"/>
            <w:hideMark/>
          </w:tcPr>
          <w:p w14:paraId="524EDD95"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 - </w:t>
            </w:r>
          </w:p>
        </w:tc>
        <w:tc>
          <w:tcPr>
            <w:tcW w:w="881" w:type="dxa"/>
            <w:shd w:val="clear" w:color="auto" w:fill="auto"/>
            <w:noWrap/>
            <w:vAlign w:val="center"/>
            <w:hideMark/>
          </w:tcPr>
          <w:p w14:paraId="3697709A"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180 </w:t>
            </w:r>
          </w:p>
        </w:tc>
      </w:tr>
      <w:tr w:rsidR="003E5BF5" w:rsidRPr="00293D7B" w14:paraId="6D8F188D" w14:textId="77777777" w:rsidTr="00C6045D">
        <w:trPr>
          <w:trHeight w:val="340"/>
        </w:trPr>
        <w:tc>
          <w:tcPr>
            <w:tcW w:w="6930" w:type="dxa"/>
            <w:shd w:val="clear" w:color="auto" w:fill="auto"/>
            <w:noWrap/>
            <w:vAlign w:val="center"/>
            <w:hideMark/>
          </w:tcPr>
          <w:p w14:paraId="033CE4E4" w14:textId="77777777" w:rsidR="003E5BF5" w:rsidRPr="00293D7B" w:rsidRDefault="003E5BF5" w:rsidP="00DE1921">
            <w:pPr>
              <w:rPr>
                <w:rFonts w:ascii="Arial" w:hAnsi="Arial" w:cs="Arial"/>
                <w:b/>
                <w:sz w:val="24"/>
                <w:szCs w:val="24"/>
              </w:rPr>
            </w:pPr>
            <w:r w:rsidRPr="00293D7B">
              <w:rPr>
                <w:rFonts w:ascii="Arial" w:hAnsi="Arial" w:cs="Arial"/>
                <w:b/>
                <w:sz w:val="24"/>
                <w:szCs w:val="24"/>
              </w:rPr>
              <w:t xml:space="preserve">Opening loss allowance </w:t>
            </w:r>
          </w:p>
        </w:tc>
        <w:tc>
          <w:tcPr>
            <w:tcW w:w="1249" w:type="dxa"/>
            <w:shd w:val="clear" w:color="auto" w:fill="auto"/>
            <w:noWrap/>
            <w:vAlign w:val="center"/>
            <w:hideMark/>
          </w:tcPr>
          <w:p w14:paraId="5225AD35"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 - </w:t>
            </w:r>
          </w:p>
        </w:tc>
        <w:tc>
          <w:tcPr>
            <w:tcW w:w="881" w:type="dxa"/>
            <w:shd w:val="clear" w:color="auto" w:fill="auto"/>
            <w:noWrap/>
            <w:vAlign w:val="center"/>
            <w:hideMark/>
          </w:tcPr>
          <w:p w14:paraId="0A72B4CF"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180 </w:t>
            </w:r>
          </w:p>
        </w:tc>
      </w:tr>
      <w:tr w:rsidR="003E5BF5" w:rsidRPr="00293D7B" w14:paraId="4C8C7788" w14:textId="77777777" w:rsidTr="00C6045D">
        <w:trPr>
          <w:trHeight w:val="340"/>
        </w:trPr>
        <w:tc>
          <w:tcPr>
            <w:tcW w:w="6930" w:type="dxa"/>
            <w:shd w:val="clear" w:color="auto" w:fill="auto"/>
            <w:noWrap/>
            <w:vAlign w:val="center"/>
            <w:hideMark/>
          </w:tcPr>
          <w:p w14:paraId="25ADD1A2" w14:textId="77777777" w:rsidR="003E5BF5" w:rsidRPr="00293D7B" w:rsidRDefault="003E5BF5" w:rsidP="00DE1921">
            <w:pPr>
              <w:rPr>
                <w:rFonts w:ascii="Arial" w:hAnsi="Arial" w:cs="Arial"/>
                <w:sz w:val="24"/>
                <w:szCs w:val="24"/>
              </w:rPr>
            </w:pPr>
            <w:r w:rsidRPr="00293D7B">
              <w:rPr>
                <w:rFonts w:ascii="Arial" w:hAnsi="Arial" w:cs="Arial"/>
                <w:sz w:val="24"/>
                <w:szCs w:val="24"/>
              </w:rPr>
              <w:t>Reversal of provision of receivables written off during this year as collectable</w:t>
            </w:r>
          </w:p>
        </w:tc>
        <w:tc>
          <w:tcPr>
            <w:tcW w:w="1249" w:type="dxa"/>
            <w:shd w:val="clear" w:color="auto" w:fill="auto"/>
            <w:noWrap/>
            <w:vAlign w:val="center"/>
            <w:hideMark/>
          </w:tcPr>
          <w:p w14:paraId="185009CC"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70 </w:t>
            </w:r>
          </w:p>
        </w:tc>
        <w:tc>
          <w:tcPr>
            <w:tcW w:w="881" w:type="dxa"/>
            <w:shd w:val="clear" w:color="auto" w:fill="auto"/>
            <w:noWrap/>
            <w:vAlign w:val="center"/>
            <w:hideMark/>
          </w:tcPr>
          <w:p w14:paraId="519497B2"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 - </w:t>
            </w:r>
          </w:p>
        </w:tc>
      </w:tr>
      <w:tr w:rsidR="003E5BF5" w:rsidRPr="00293D7B" w14:paraId="3F8226A6" w14:textId="77777777" w:rsidTr="00C6045D">
        <w:trPr>
          <w:trHeight w:val="340"/>
        </w:trPr>
        <w:tc>
          <w:tcPr>
            <w:tcW w:w="6930" w:type="dxa"/>
            <w:shd w:val="clear" w:color="auto" w:fill="auto"/>
            <w:noWrap/>
            <w:vAlign w:val="center"/>
            <w:hideMark/>
          </w:tcPr>
          <w:p w14:paraId="43D27D83" w14:textId="77777777" w:rsidR="003E5BF5" w:rsidRPr="00293D7B" w:rsidRDefault="003E5BF5" w:rsidP="00DE1921">
            <w:pPr>
              <w:rPr>
                <w:rFonts w:ascii="Arial" w:hAnsi="Arial" w:cs="Arial"/>
                <w:sz w:val="24"/>
                <w:szCs w:val="24"/>
              </w:rPr>
            </w:pPr>
            <w:r w:rsidRPr="00293D7B">
              <w:rPr>
                <w:rFonts w:ascii="Arial" w:hAnsi="Arial" w:cs="Arial"/>
                <w:sz w:val="24"/>
                <w:szCs w:val="24"/>
              </w:rPr>
              <w:t>Increase in provision included in the net result</w:t>
            </w:r>
          </w:p>
        </w:tc>
        <w:tc>
          <w:tcPr>
            <w:tcW w:w="1249" w:type="dxa"/>
            <w:shd w:val="clear" w:color="auto" w:fill="auto"/>
            <w:noWrap/>
            <w:vAlign w:val="center"/>
            <w:hideMark/>
          </w:tcPr>
          <w:p w14:paraId="7D25F403"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(1,712)</w:t>
            </w:r>
          </w:p>
        </w:tc>
        <w:tc>
          <w:tcPr>
            <w:tcW w:w="881" w:type="dxa"/>
            <w:shd w:val="clear" w:color="auto" w:fill="auto"/>
            <w:noWrap/>
            <w:vAlign w:val="center"/>
            <w:hideMark/>
          </w:tcPr>
          <w:p w14:paraId="340F06BC"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 - </w:t>
            </w:r>
          </w:p>
        </w:tc>
      </w:tr>
      <w:tr w:rsidR="003E5BF5" w:rsidRPr="00293D7B" w14:paraId="116665BA" w14:textId="77777777" w:rsidTr="00C6045D">
        <w:trPr>
          <w:trHeight w:val="340"/>
        </w:trPr>
        <w:tc>
          <w:tcPr>
            <w:tcW w:w="6930" w:type="dxa"/>
            <w:shd w:val="clear" w:color="auto" w:fill="auto"/>
            <w:noWrap/>
            <w:vAlign w:val="center"/>
            <w:hideMark/>
          </w:tcPr>
          <w:p w14:paraId="7F118BA9" w14:textId="77777777" w:rsidR="003E5BF5" w:rsidRPr="00293D7B" w:rsidRDefault="003E5BF5" w:rsidP="00DE1921">
            <w:pPr>
              <w:rPr>
                <w:rFonts w:ascii="Arial" w:hAnsi="Arial" w:cs="Arial"/>
                <w:sz w:val="24"/>
                <w:szCs w:val="24"/>
              </w:rPr>
            </w:pPr>
            <w:r w:rsidRPr="00293D7B">
              <w:rPr>
                <w:rFonts w:ascii="Arial" w:hAnsi="Arial" w:cs="Arial"/>
                <w:sz w:val="24"/>
                <w:szCs w:val="24"/>
              </w:rPr>
              <w:t xml:space="preserve">Administrative arrangement change transfer in </w:t>
            </w:r>
          </w:p>
        </w:tc>
        <w:tc>
          <w:tcPr>
            <w:tcW w:w="1249" w:type="dxa"/>
            <w:shd w:val="clear" w:color="auto" w:fill="auto"/>
            <w:noWrap/>
            <w:vAlign w:val="center"/>
            <w:hideMark/>
          </w:tcPr>
          <w:p w14:paraId="5F27DF09"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(966)</w:t>
            </w:r>
          </w:p>
        </w:tc>
        <w:tc>
          <w:tcPr>
            <w:tcW w:w="881" w:type="dxa"/>
            <w:shd w:val="clear" w:color="auto" w:fill="auto"/>
            <w:noWrap/>
            <w:vAlign w:val="center"/>
            <w:hideMark/>
          </w:tcPr>
          <w:p w14:paraId="17A433DD"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 - </w:t>
            </w:r>
          </w:p>
        </w:tc>
      </w:tr>
      <w:tr w:rsidR="003E5BF5" w:rsidRPr="00293D7B" w14:paraId="3F2AC5BC" w14:textId="77777777" w:rsidTr="00C6045D">
        <w:trPr>
          <w:trHeight w:val="340"/>
        </w:trPr>
        <w:tc>
          <w:tcPr>
            <w:tcW w:w="6930" w:type="dxa"/>
            <w:shd w:val="clear" w:color="auto" w:fill="auto"/>
            <w:noWrap/>
            <w:vAlign w:val="center"/>
            <w:hideMark/>
          </w:tcPr>
          <w:p w14:paraId="20594C24" w14:textId="77777777" w:rsidR="003E5BF5" w:rsidRPr="00293D7B" w:rsidRDefault="003E5BF5" w:rsidP="00DE1921">
            <w:pPr>
              <w:rPr>
                <w:rFonts w:ascii="Arial" w:hAnsi="Arial" w:cs="Arial"/>
                <w:sz w:val="24"/>
                <w:szCs w:val="24"/>
              </w:rPr>
            </w:pPr>
            <w:r w:rsidRPr="00293D7B">
              <w:rPr>
                <w:rFonts w:ascii="Arial" w:hAnsi="Arial" w:cs="Arial"/>
                <w:sz w:val="24"/>
                <w:szCs w:val="24"/>
              </w:rPr>
              <w:t xml:space="preserve">Administrative arrangement change transfer out </w:t>
            </w:r>
          </w:p>
        </w:tc>
        <w:tc>
          <w:tcPr>
            <w:tcW w:w="1249" w:type="dxa"/>
            <w:shd w:val="clear" w:color="auto" w:fill="auto"/>
            <w:noWrap/>
            <w:vAlign w:val="center"/>
            <w:hideMark/>
          </w:tcPr>
          <w:p w14:paraId="1CCAC411"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881" w:type="dxa"/>
            <w:shd w:val="clear" w:color="auto" w:fill="auto"/>
            <w:noWrap/>
            <w:vAlign w:val="center"/>
            <w:hideMark/>
          </w:tcPr>
          <w:p w14:paraId="29D0827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(180)</w:t>
            </w:r>
          </w:p>
        </w:tc>
      </w:tr>
      <w:tr w:rsidR="003E5BF5" w:rsidRPr="00293D7B" w14:paraId="29DF6A16" w14:textId="77777777" w:rsidTr="00C6045D">
        <w:trPr>
          <w:trHeight w:val="340"/>
        </w:trPr>
        <w:tc>
          <w:tcPr>
            <w:tcW w:w="6930" w:type="dxa"/>
            <w:shd w:val="clear" w:color="auto" w:fill="auto"/>
            <w:noWrap/>
            <w:vAlign w:val="center"/>
            <w:hideMark/>
          </w:tcPr>
          <w:p w14:paraId="66F08C58" w14:textId="77777777" w:rsidR="003E5BF5" w:rsidRPr="00293D7B" w:rsidRDefault="003E5BF5" w:rsidP="00DE1921">
            <w:pPr>
              <w:rPr>
                <w:rFonts w:ascii="Arial" w:hAnsi="Arial" w:cs="Arial"/>
                <w:b/>
                <w:sz w:val="24"/>
                <w:szCs w:val="24"/>
              </w:rPr>
            </w:pPr>
            <w:r w:rsidRPr="00293D7B">
              <w:rPr>
                <w:rFonts w:ascii="Arial" w:hAnsi="Arial" w:cs="Arial"/>
                <w:b/>
                <w:sz w:val="24"/>
                <w:szCs w:val="24"/>
              </w:rPr>
              <w:t>Balance at end of the year</w:t>
            </w:r>
          </w:p>
        </w:tc>
        <w:tc>
          <w:tcPr>
            <w:tcW w:w="1249" w:type="dxa"/>
            <w:shd w:val="clear" w:color="auto" w:fill="auto"/>
            <w:noWrap/>
            <w:vAlign w:val="center"/>
            <w:hideMark/>
          </w:tcPr>
          <w:p w14:paraId="3544FE03"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(2,608)</w:t>
            </w:r>
          </w:p>
        </w:tc>
        <w:tc>
          <w:tcPr>
            <w:tcW w:w="881" w:type="dxa"/>
            <w:shd w:val="clear" w:color="auto" w:fill="auto"/>
            <w:noWrap/>
            <w:vAlign w:val="center"/>
            <w:hideMark/>
          </w:tcPr>
          <w:p w14:paraId="32D17E1A"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 - </w:t>
            </w:r>
          </w:p>
        </w:tc>
      </w:tr>
    </w:tbl>
    <w:p w14:paraId="7AF5A222" w14:textId="77777777" w:rsidR="003E5BF5" w:rsidRPr="007444F0" w:rsidRDefault="003E5BF5" w:rsidP="00D74D26">
      <w:pPr>
        <w:pStyle w:val="aaatyping"/>
      </w:pPr>
      <w:r w:rsidRPr="00A733DE">
        <w:t>Credit loss allowance is classified as other economic flows in the net result. Contractual receivables</w:t>
      </w:r>
      <w:r>
        <w:t xml:space="preserve"> </w:t>
      </w:r>
      <w:r w:rsidRPr="00A733DE">
        <w:t>writ</w:t>
      </w:r>
      <w:r w:rsidRPr="007444F0">
        <w:t>ten off when there is no reasonable expectation of recovery and impairment losses are classified as a transaction expense. Subsequent recoveries of amounts previously written off are credited against the same line item.</w:t>
      </w:r>
    </w:p>
    <w:p w14:paraId="3C59F1E1" w14:textId="386D8047" w:rsidR="003E5BF5" w:rsidRDefault="003E5BF5" w:rsidP="00D74D26">
      <w:pPr>
        <w:pStyle w:val="aaatyping"/>
      </w:pPr>
      <w:r w:rsidRPr="007444F0">
        <w:t>In prior years, a provision for doubtful debts is recognised when there is objective evidence that the debts may not be collected, and bad debts are written off when identified. A provision is made for estimated irrecoverable amounts from the sale of goods when there is objective evidence that an individual receivable is impaired. Bad debts considered as written off by mutual consent</w:t>
      </w:r>
      <w:r w:rsidR="00134017">
        <w:t>.</w:t>
      </w:r>
    </w:p>
    <w:p w14:paraId="61A12492" w14:textId="77777777" w:rsidR="003E5BF5" w:rsidRPr="007444F0" w:rsidRDefault="003E5BF5" w:rsidP="00DE1921">
      <w:pPr>
        <w:sectPr w:rsidR="003E5BF5" w:rsidRPr="007444F0" w:rsidSect="00DE1921">
          <w:type w:val="continuous"/>
          <w:pgSz w:w="11906" w:h="16838"/>
          <w:pgMar w:top="1701" w:right="1418" w:bottom="1418" w:left="1418" w:header="708" w:footer="708" w:gutter="0"/>
          <w:cols w:space="709"/>
          <w:docGrid w:linePitch="360"/>
        </w:sectPr>
      </w:pPr>
    </w:p>
    <w:p w14:paraId="7E04DB17" w14:textId="77777777" w:rsidR="003E5BF5" w:rsidRPr="007444F0" w:rsidRDefault="003E5BF5" w:rsidP="008869A9">
      <w:pPr>
        <w:pStyle w:val="Heading4"/>
      </w:pPr>
      <w:r w:rsidRPr="007444F0">
        <w:lastRenderedPageBreak/>
        <w:t>Financial instruments: Liquidity risk</w:t>
      </w:r>
    </w:p>
    <w:p w14:paraId="1B55EA55" w14:textId="77777777" w:rsidR="003E5BF5" w:rsidRPr="007444F0" w:rsidRDefault="003E5BF5" w:rsidP="00D74D26">
      <w:pPr>
        <w:pStyle w:val="aaatyping"/>
      </w:pPr>
      <w:r w:rsidRPr="007444F0">
        <w:t xml:space="preserve">Liquidity risk is the risk that </w:t>
      </w:r>
      <w:r>
        <w:t>the department</w:t>
      </w:r>
      <w:r w:rsidRPr="007444F0">
        <w:t xml:space="preserve"> would be unable to meet its financial obligations as and when they fall due. </w:t>
      </w:r>
      <w:r>
        <w:t>The department</w:t>
      </w:r>
      <w:r w:rsidRPr="007444F0">
        <w:t xml:space="preserve"> operates under the government fair payments policy of settling financial obligations within 30 days and in the event of a dispute, making payments within 30 days from the date of resolution.</w:t>
      </w:r>
    </w:p>
    <w:p w14:paraId="4A0B84C9" w14:textId="77777777" w:rsidR="003E5BF5" w:rsidRPr="007444F0" w:rsidRDefault="003E5BF5" w:rsidP="00D74D26">
      <w:pPr>
        <w:pStyle w:val="aaatyping"/>
      </w:pPr>
      <w:r>
        <w:t>The department</w:t>
      </w:r>
      <w:r w:rsidRPr="007444F0">
        <w:t xml:space="preserve">'s maximum exposure to liquidity risk is the carrying amounts of financial liabilities as disclosed in the balance sheet. </w:t>
      </w:r>
      <w:r>
        <w:t>The department</w:t>
      </w:r>
      <w:r w:rsidRPr="007444F0">
        <w:t xml:space="preserve"> manages its liquidity risk by:</w:t>
      </w:r>
    </w:p>
    <w:p w14:paraId="36F1FEEB" w14:textId="77777777" w:rsidR="003E5BF5" w:rsidRPr="007444F0" w:rsidRDefault="003E5BF5" w:rsidP="00D74D26">
      <w:pPr>
        <w:pStyle w:val="aaabullet"/>
      </w:pPr>
      <w:r w:rsidRPr="007444F0">
        <w:t>maintaining an adequate level of uncommitted funds that can be drawn at short notice to meet its short-term obligations</w:t>
      </w:r>
    </w:p>
    <w:p w14:paraId="7CCD466C" w14:textId="77777777" w:rsidR="003E5BF5" w:rsidRPr="007444F0" w:rsidRDefault="003E5BF5" w:rsidP="00D74D26">
      <w:pPr>
        <w:pStyle w:val="aaabullet"/>
      </w:pPr>
      <w:r w:rsidRPr="007444F0">
        <w:t>careful maturity planning of its financial obligations based on forecasts of future cash flows</w:t>
      </w:r>
    </w:p>
    <w:p w14:paraId="6A13A141" w14:textId="77777777" w:rsidR="003E5BF5" w:rsidRPr="007444F0" w:rsidRDefault="003E5BF5" w:rsidP="00D74D26">
      <w:pPr>
        <w:pStyle w:val="aaabullet"/>
      </w:pPr>
      <w:r w:rsidRPr="007444F0">
        <w:t>a high credit rating for the State of Victoria (Moody's Investor Services &amp; Standard &amp; Poor's triple-A), which assists in accessing debt market at a lower interest rate.</w:t>
      </w:r>
    </w:p>
    <w:p w14:paraId="0E1E3CEB" w14:textId="65B59B2B" w:rsidR="00FF6B93" w:rsidRDefault="003E5BF5" w:rsidP="00D74D26">
      <w:pPr>
        <w:pStyle w:val="aaatyping"/>
      </w:pPr>
      <w:r w:rsidRPr="007444F0">
        <w:t>T</w:t>
      </w:r>
      <w:r>
        <w:t>he department</w:t>
      </w:r>
      <w:r w:rsidRPr="007444F0">
        <w:t>'s exposure to liquidity risk is deemed insignificant based on prior period's data and current assessment of risk. Maximum exposure to liquidity risk is the carrying amounts of financial liabilities as disclosed in the balance sheet.</w:t>
      </w:r>
      <w:r w:rsidR="00FF6B93">
        <w:br w:type="page"/>
      </w:r>
    </w:p>
    <w:p w14:paraId="3913B1FA" w14:textId="77777777" w:rsidR="003E5BF5" w:rsidRPr="00E97B37" w:rsidRDefault="003E5BF5" w:rsidP="008869A9">
      <w:pPr>
        <w:pStyle w:val="Heading4"/>
      </w:pPr>
      <w:r w:rsidRPr="00E97B37">
        <w:lastRenderedPageBreak/>
        <w:t>Financial instruments: Market risk</w:t>
      </w:r>
    </w:p>
    <w:p w14:paraId="439F9CE9" w14:textId="77777777" w:rsidR="003E5BF5" w:rsidRPr="007444F0" w:rsidRDefault="003E5BF5" w:rsidP="00D74D26">
      <w:pPr>
        <w:pStyle w:val="aaatyping"/>
      </w:pPr>
      <w:r>
        <w:t>The department</w:t>
      </w:r>
      <w:r w:rsidRPr="007444F0">
        <w:t>'s exposures to market risk are primarily through interest rate risk with only insignificant exposure to foreign currency and other price risks. Objectives, policies and processes used to manage each of these risks are disclosed in the paragraphs below:</w:t>
      </w:r>
    </w:p>
    <w:p w14:paraId="5D536F5C" w14:textId="77777777" w:rsidR="003E5BF5" w:rsidRPr="007412BB" w:rsidRDefault="003E5BF5" w:rsidP="00E55C5F">
      <w:pPr>
        <w:pStyle w:val="aaaboldheadingfinance"/>
      </w:pPr>
      <w:r w:rsidRPr="007412BB">
        <w:t>Foreign currency risk</w:t>
      </w:r>
    </w:p>
    <w:p w14:paraId="64E3F8A8" w14:textId="77777777" w:rsidR="003E5BF5" w:rsidRPr="007444F0" w:rsidRDefault="003E5BF5" w:rsidP="00D74D26">
      <w:pPr>
        <w:pStyle w:val="aaatyping"/>
      </w:pPr>
      <w:r>
        <w:t>The department</w:t>
      </w:r>
      <w:r w:rsidRPr="007444F0">
        <w:t xml:space="preserve"> is exposed to minimal foreign currency risk through its payables relating to purchases of supplies and consumables from overseas. This is because of a limited amount of purchases denominated in foreign currencies and a short timeframe between commitment and settlement.</w:t>
      </w:r>
    </w:p>
    <w:p w14:paraId="18C735E0" w14:textId="77777777" w:rsidR="003E5BF5" w:rsidRPr="007444F0" w:rsidRDefault="003E5BF5" w:rsidP="00D74D26">
      <w:pPr>
        <w:pStyle w:val="aaatyping"/>
      </w:pPr>
      <w:r>
        <w:t>The department</w:t>
      </w:r>
      <w:r w:rsidRPr="007444F0">
        <w:t xml:space="preserve"> manages its risk through continuous monitoring of movements in exchange rates and ensures availability of funds through rigorous cash flow planning and monitoring.</w:t>
      </w:r>
    </w:p>
    <w:p w14:paraId="2D6A9AFB" w14:textId="77777777" w:rsidR="003E5BF5" w:rsidRPr="00CB0712" w:rsidRDefault="003E5BF5" w:rsidP="00E55C5F">
      <w:pPr>
        <w:pStyle w:val="aaaboldheadingfinance"/>
      </w:pPr>
      <w:r w:rsidRPr="00CB0712">
        <w:t>Interest rate risk</w:t>
      </w:r>
    </w:p>
    <w:p w14:paraId="6DC86965" w14:textId="77777777" w:rsidR="003E5BF5" w:rsidRPr="007444F0" w:rsidRDefault="003E5BF5" w:rsidP="00D74D26">
      <w:pPr>
        <w:pStyle w:val="aaatyping"/>
      </w:pPr>
      <w:r w:rsidRPr="007444F0">
        <w:t xml:space="preserve">Exposure to interest rate risk is insignificant and might arise primarily through </w:t>
      </w:r>
      <w:r>
        <w:t>the department’s</w:t>
      </w:r>
      <w:r w:rsidRPr="007444F0">
        <w:t xml:space="preserve"> interest bearing liabilities. The only interest bearing liabilities are the lease liabilities. </w:t>
      </w:r>
    </w:p>
    <w:p w14:paraId="6D852792" w14:textId="77777777" w:rsidR="003E5BF5" w:rsidRPr="00E60103" w:rsidRDefault="003E5BF5" w:rsidP="008869A9">
      <w:pPr>
        <w:pStyle w:val="Heading4"/>
      </w:pPr>
      <w:r w:rsidRPr="00E60103">
        <w:t>Sensitivity analysis disclosure</w:t>
      </w:r>
    </w:p>
    <w:p w14:paraId="284BF278" w14:textId="77777777" w:rsidR="003E5BF5" w:rsidRPr="007444F0" w:rsidRDefault="003E5BF5" w:rsidP="00D74D26">
      <w:pPr>
        <w:pStyle w:val="aaatyping"/>
      </w:pPr>
      <w:r>
        <w:t>The department’s</w:t>
      </w:r>
      <w:r w:rsidRPr="007444F0">
        <w:t xml:space="preserve"> sensitivity to market risk is determined based on the observed range of actual historical data for the preceding five year period, with all variables other than the primary risk variable held constant. </w:t>
      </w:r>
      <w:r>
        <w:t>The department’s</w:t>
      </w:r>
      <w:r w:rsidRPr="007444F0">
        <w:t xml:space="preserve"> fund managers cannot be expected to predict movements in market rates and prices; sensitivity analyses are shown for illustrative purposes only. The following movements are "reasonably possible" over the next 12 months.</w:t>
      </w:r>
    </w:p>
    <w:p w14:paraId="04A1A4C3" w14:textId="77777777" w:rsidR="003E5BF5" w:rsidRPr="007444F0" w:rsidRDefault="003E5BF5" w:rsidP="00D74D26">
      <w:pPr>
        <w:pStyle w:val="aaatyping"/>
      </w:pPr>
      <w:r w:rsidRPr="007444F0">
        <w:lastRenderedPageBreak/>
        <w:t>A shift of +100 basis points (1%) per cent and -100 basis points (1%) per cent in market interest rates (AUD) from year-end rates.</w:t>
      </w:r>
    </w:p>
    <w:p w14:paraId="483A8509" w14:textId="77777777" w:rsidR="003E5BF5" w:rsidRDefault="003E5BF5" w:rsidP="00D74D26">
      <w:pPr>
        <w:pStyle w:val="aaatyping"/>
      </w:pPr>
      <w:r w:rsidRPr="007444F0">
        <w:t xml:space="preserve">The table below discloses the impact on </w:t>
      </w:r>
      <w:r>
        <w:t>the department’s</w:t>
      </w:r>
      <w:r w:rsidRPr="007444F0">
        <w:t xml:space="preserve"> net result and equity for each category of financial instrument held by </w:t>
      </w:r>
      <w:r>
        <w:t>the department</w:t>
      </w:r>
      <w:r w:rsidRPr="007444F0">
        <w:t xml:space="preserve"> at the end of the reporting period as presented to key management personnel if the above movements were to occur.</w:t>
      </w:r>
      <w:bookmarkStart w:id="551" w:name="_1659080978"/>
      <w:bookmarkStart w:id="552" w:name="RANGE!A36:D64"/>
      <w:bookmarkEnd w:id="551"/>
      <w:bookmarkEnd w:id="552"/>
    </w:p>
    <w:p w14:paraId="31422896" w14:textId="77777777" w:rsidR="003E5BF5" w:rsidRPr="00264A77" w:rsidRDefault="003E5BF5" w:rsidP="00E55C5F">
      <w:pPr>
        <w:pStyle w:val="aaaboldheadingfinance"/>
      </w:pPr>
      <w:r w:rsidRPr="00D17058">
        <w:t>Interest rate risk sensitivity</w:t>
      </w:r>
    </w:p>
    <w:tbl>
      <w:tblPr>
        <w:tblStyle w:val="TableGrid"/>
        <w:tblW w:w="9072" w:type="dxa"/>
        <w:tblLayout w:type="fixed"/>
        <w:tblLook w:val="04A0" w:firstRow="1" w:lastRow="0" w:firstColumn="1" w:lastColumn="0" w:noHBand="0" w:noVBand="1"/>
      </w:tblPr>
      <w:tblGrid>
        <w:gridCol w:w="3397"/>
        <w:gridCol w:w="1891"/>
        <w:gridCol w:w="946"/>
        <w:gridCol w:w="946"/>
        <w:gridCol w:w="1892"/>
      </w:tblGrid>
      <w:tr w:rsidR="003E5BF5" w:rsidRPr="00293D7B" w14:paraId="4AF8B319" w14:textId="77777777" w:rsidTr="00C6045D">
        <w:trPr>
          <w:trHeight w:val="340"/>
        </w:trPr>
        <w:tc>
          <w:tcPr>
            <w:tcW w:w="3397" w:type="dxa"/>
            <w:shd w:val="clear" w:color="auto" w:fill="auto"/>
            <w:noWrap/>
            <w:vAlign w:val="center"/>
            <w:hideMark/>
          </w:tcPr>
          <w:p w14:paraId="521BC1F5" w14:textId="77777777" w:rsidR="003E5BF5" w:rsidRPr="00293D7B" w:rsidRDefault="003E5BF5" w:rsidP="00DE1921">
            <w:pPr>
              <w:rPr>
                <w:rFonts w:ascii="Arial" w:hAnsi="Arial" w:cs="Arial"/>
                <w:sz w:val="24"/>
                <w:szCs w:val="24"/>
                <w:lang w:eastAsia="en-AU"/>
              </w:rPr>
            </w:pPr>
          </w:p>
        </w:tc>
        <w:tc>
          <w:tcPr>
            <w:tcW w:w="5675" w:type="dxa"/>
            <w:gridSpan w:val="4"/>
            <w:shd w:val="clear" w:color="auto" w:fill="auto"/>
            <w:noWrap/>
            <w:vAlign w:val="center"/>
            <w:hideMark/>
          </w:tcPr>
          <w:p w14:paraId="0DECA814"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 thousand)</w:t>
            </w:r>
          </w:p>
        </w:tc>
      </w:tr>
      <w:tr w:rsidR="003E5BF5" w:rsidRPr="00293D7B" w14:paraId="4B316654" w14:textId="77777777" w:rsidTr="00C6045D">
        <w:trPr>
          <w:trHeight w:val="340"/>
        </w:trPr>
        <w:tc>
          <w:tcPr>
            <w:tcW w:w="3397" w:type="dxa"/>
            <w:shd w:val="clear" w:color="auto" w:fill="auto"/>
            <w:noWrap/>
            <w:vAlign w:val="center"/>
            <w:hideMark/>
          </w:tcPr>
          <w:p w14:paraId="41FBA9E3" w14:textId="77777777" w:rsidR="003E5BF5" w:rsidRPr="00293D7B" w:rsidRDefault="003E5BF5" w:rsidP="00DE1921">
            <w:pPr>
              <w:rPr>
                <w:rFonts w:ascii="Arial" w:hAnsi="Arial" w:cs="Arial"/>
                <w:sz w:val="24"/>
                <w:szCs w:val="24"/>
                <w:lang w:eastAsia="en-AU"/>
              </w:rPr>
            </w:pPr>
          </w:p>
        </w:tc>
        <w:tc>
          <w:tcPr>
            <w:tcW w:w="2837" w:type="dxa"/>
            <w:gridSpan w:val="2"/>
            <w:shd w:val="clear" w:color="auto" w:fill="auto"/>
            <w:hideMark/>
          </w:tcPr>
          <w:p w14:paraId="6EB14134"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 </w:t>
            </w:r>
          </w:p>
        </w:tc>
        <w:tc>
          <w:tcPr>
            <w:tcW w:w="2838" w:type="dxa"/>
            <w:gridSpan w:val="2"/>
            <w:shd w:val="clear" w:color="auto" w:fill="auto"/>
            <w:vAlign w:val="bottom"/>
            <w:hideMark/>
          </w:tcPr>
          <w:p w14:paraId="211F5CA2" w14:textId="77777777" w:rsidR="003E5BF5" w:rsidRPr="00293D7B" w:rsidRDefault="003E5BF5" w:rsidP="00DE1921">
            <w:pPr>
              <w:ind w:left="397"/>
              <w:rPr>
                <w:rFonts w:ascii="Arial" w:hAnsi="Arial" w:cs="Arial"/>
                <w:b/>
                <w:sz w:val="24"/>
                <w:szCs w:val="24"/>
                <w:lang w:eastAsia="en-AU"/>
              </w:rPr>
            </w:pPr>
            <w:r w:rsidRPr="00293D7B">
              <w:rPr>
                <w:rFonts w:ascii="Arial" w:hAnsi="Arial" w:cs="Arial"/>
                <w:b/>
                <w:sz w:val="24"/>
                <w:szCs w:val="24"/>
                <w:lang w:eastAsia="en-AU"/>
              </w:rPr>
              <w:t>Interest rate</w:t>
            </w:r>
          </w:p>
        </w:tc>
      </w:tr>
      <w:tr w:rsidR="003E5BF5" w:rsidRPr="00293D7B" w14:paraId="225560C6" w14:textId="77777777" w:rsidTr="00C6045D">
        <w:trPr>
          <w:trHeight w:val="340"/>
        </w:trPr>
        <w:tc>
          <w:tcPr>
            <w:tcW w:w="3397" w:type="dxa"/>
            <w:shd w:val="clear" w:color="auto" w:fill="auto"/>
            <w:noWrap/>
            <w:vAlign w:val="center"/>
            <w:hideMark/>
          </w:tcPr>
          <w:p w14:paraId="412F7630" w14:textId="77777777" w:rsidR="003E5BF5" w:rsidRPr="00293D7B" w:rsidRDefault="003E5BF5" w:rsidP="00DE1921">
            <w:pPr>
              <w:rPr>
                <w:rFonts w:ascii="Arial" w:hAnsi="Arial" w:cs="Arial"/>
                <w:b/>
                <w:sz w:val="24"/>
                <w:szCs w:val="24"/>
                <w:lang w:eastAsia="en-AU"/>
              </w:rPr>
            </w:pPr>
          </w:p>
        </w:tc>
        <w:tc>
          <w:tcPr>
            <w:tcW w:w="1891" w:type="dxa"/>
            <w:shd w:val="clear" w:color="auto" w:fill="auto"/>
            <w:vAlign w:val="bottom"/>
            <w:hideMark/>
          </w:tcPr>
          <w:p w14:paraId="54D5E8D3" w14:textId="77777777" w:rsidR="003E5BF5" w:rsidRPr="00293D7B" w:rsidRDefault="003E5BF5" w:rsidP="00DE1921">
            <w:pPr>
              <w:jc w:val="center"/>
              <w:rPr>
                <w:rFonts w:ascii="Arial" w:hAnsi="Arial" w:cs="Arial"/>
                <w:b/>
                <w:sz w:val="24"/>
                <w:szCs w:val="24"/>
                <w:lang w:eastAsia="en-AU"/>
              </w:rPr>
            </w:pPr>
          </w:p>
        </w:tc>
        <w:tc>
          <w:tcPr>
            <w:tcW w:w="1892" w:type="dxa"/>
            <w:gridSpan w:val="2"/>
            <w:shd w:val="clear" w:color="auto" w:fill="auto"/>
            <w:vAlign w:val="bottom"/>
            <w:hideMark/>
          </w:tcPr>
          <w:p w14:paraId="2D51DB3E"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-100 basis points</w:t>
            </w:r>
          </w:p>
        </w:tc>
        <w:tc>
          <w:tcPr>
            <w:tcW w:w="1892" w:type="dxa"/>
            <w:shd w:val="clear" w:color="auto" w:fill="auto"/>
            <w:vAlign w:val="bottom"/>
            <w:hideMark/>
          </w:tcPr>
          <w:p w14:paraId="3854A547"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+100 basis points</w:t>
            </w:r>
          </w:p>
        </w:tc>
      </w:tr>
      <w:tr w:rsidR="003E5BF5" w:rsidRPr="00293D7B" w14:paraId="65E7FF4A" w14:textId="77777777" w:rsidTr="00C6045D">
        <w:trPr>
          <w:trHeight w:val="340"/>
        </w:trPr>
        <w:tc>
          <w:tcPr>
            <w:tcW w:w="3397" w:type="dxa"/>
            <w:shd w:val="clear" w:color="auto" w:fill="auto"/>
            <w:noWrap/>
            <w:vAlign w:val="center"/>
            <w:hideMark/>
          </w:tcPr>
          <w:p w14:paraId="406E4673" w14:textId="77777777" w:rsidR="003E5BF5" w:rsidRPr="00293D7B" w:rsidRDefault="003E5BF5" w:rsidP="00604703">
            <w:pPr>
              <w:pStyle w:val="TableTextGreen"/>
            </w:pPr>
          </w:p>
        </w:tc>
        <w:tc>
          <w:tcPr>
            <w:tcW w:w="1891" w:type="dxa"/>
            <w:shd w:val="clear" w:color="auto" w:fill="auto"/>
            <w:vAlign w:val="bottom"/>
            <w:hideMark/>
          </w:tcPr>
          <w:p w14:paraId="61917E4B"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Carrying amount</w:t>
            </w:r>
          </w:p>
        </w:tc>
        <w:tc>
          <w:tcPr>
            <w:tcW w:w="1892" w:type="dxa"/>
            <w:gridSpan w:val="2"/>
            <w:shd w:val="clear" w:color="auto" w:fill="auto"/>
            <w:vAlign w:val="bottom"/>
            <w:hideMark/>
          </w:tcPr>
          <w:p w14:paraId="25A6FF41"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Net result</w:t>
            </w:r>
          </w:p>
        </w:tc>
        <w:tc>
          <w:tcPr>
            <w:tcW w:w="1892" w:type="dxa"/>
            <w:shd w:val="clear" w:color="auto" w:fill="auto"/>
            <w:vAlign w:val="bottom"/>
            <w:hideMark/>
          </w:tcPr>
          <w:p w14:paraId="129B2BB2"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Net result</w:t>
            </w:r>
          </w:p>
        </w:tc>
      </w:tr>
      <w:tr w:rsidR="003E5BF5" w:rsidRPr="00293D7B" w14:paraId="33C61F26" w14:textId="77777777" w:rsidTr="00C6045D">
        <w:trPr>
          <w:trHeight w:val="340"/>
        </w:trPr>
        <w:tc>
          <w:tcPr>
            <w:tcW w:w="3397" w:type="dxa"/>
            <w:shd w:val="clear" w:color="auto" w:fill="auto"/>
            <w:noWrap/>
            <w:vAlign w:val="center"/>
            <w:hideMark/>
          </w:tcPr>
          <w:p w14:paraId="1039997F"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2020</w:t>
            </w:r>
          </w:p>
        </w:tc>
        <w:tc>
          <w:tcPr>
            <w:tcW w:w="1891" w:type="dxa"/>
            <w:shd w:val="clear" w:color="auto" w:fill="auto"/>
            <w:noWrap/>
            <w:vAlign w:val="center"/>
            <w:hideMark/>
          </w:tcPr>
          <w:p w14:paraId="0CC247ED"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c>
          <w:tcPr>
            <w:tcW w:w="1892" w:type="dxa"/>
            <w:gridSpan w:val="2"/>
            <w:shd w:val="clear" w:color="auto" w:fill="auto"/>
            <w:noWrap/>
            <w:vAlign w:val="center"/>
            <w:hideMark/>
          </w:tcPr>
          <w:p w14:paraId="144DF7B6"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c>
          <w:tcPr>
            <w:tcW w:w="1892" w:type="dxa"/>
            <w:shd w:val="clear" w:color="auto" w:fill="auto"/>
            <w:noWrap/>
            <w:vAlign w:val="center"/>
            <w:hideMark/>
          </w:tcPr>
          <w:p w14:paraId="0E24C5D4"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r>
      <w:tr w:rsidR="003E5BF5" w:rsidRPr="00293D7B" w14:paraId="67C0CE9D" w14:textId="77777777" w:rsidTr="00C6045D">
        <w:trPr>
          <w:trHeight w:val="340"/>
        </w:trPr>
        <w:tc>
          <w:tcPr>
            <w:tcW w:w="3397" w:type="dxa"/>
            <w:shd w:val="clear" w:color="auto" w:fill="auto"/>
            <w:vAlign w:val="center"/>
            <w:hideMark/>
          </w:tcPr>
          <w:p w14:paraId="52A5B312" w14:textId="77777777" w:rsidR="003E5BF5" w:rsidRPr="00293D7B" w:rsidRDefault="003E5BF5" w:rsidP="00604703">
            <w:pPr>
              <w:pStyle w:val="TableTextGreen"/>
              <w:rPr>
                <w:lang w:eastAsia="en-AU"/>
              </w:rPr>
            </w:pPr>
            <w:r w:rsidRPr="00293D7B">
              <w:t>Contractual financial assets</w:t>
            </w:r>
          </w:p>
        </w:tc>
        <w:tc>
          <w:tcPr>
            <w:tcW w:w="1891" w:type="dxa"/>
            <w:shd w:val="clear" w:color="auto" w:fill="auto"/>
            <w:noWrap/>
            <w:vAlign w:val="center"/>
            <w:hideMark/>
          </w:tcPr>
          <w:p w14:paraId="39D3913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892" w:type="dxa"/>
            <w:gridSpan w:val="2"/>
            <w:shd w:val="clear" w:color="auto" w:fill="auto"/>
            <w:noWrap/>
            <w:vAlign w:val="center"/>
            <w:hideMark/>
          </w:tcPr>
          <w:p w14:paraId="047665A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892" w:type="dxa"/>
            <w:shd w:val="clear" w:color="auto" w:fill="auto"/>
            <w:noWrap/>
            <w:vAlign w:val="center"/>
            <w:hideMark/>
          </w:tcPr>
          <w:p w14:paraId="4D26E23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r>
      <w:tr w:rsidR="003E5BF5" w:rsidRPr="00293D7B" w14:paraId="09A7444B" w14:textId="77777777" w:rsidTr="00C6045D">
        <w:trPr>
          <w:trHeight w:val="340"/>
        </w:trPr>
        <w:tc>
          <w:tcPr>
            <w:tcW w:w="3397" w:type="dxa"/>
            <w:shd w:val="clear" w:color="auto" w:fill="auto"/>
            <w:noWrap/>
            <w:vAlign w:val="center"/>
            <w:hideMark/>
          </w:tcPr>
          <w:p w14:paraId="6AC34230"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Cash and cash equivalents</w:t>
            </w:r>
          </w:p>
        </w:tc>
        <w:tc>
          <w:tcPr>
            <w:tcW w:w="1891" w:type="dxa"/>
            <w:shd w:val="clear" w:color="auto" w:fill="auto"/>
            <w:noWrap/>
            <w:vAlign w:val="center"/>
            <w:hideMark/>
          </w:tcPr>
          <w:p w14:paraId="5FCF0D8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662,257 </w:t>
            </w:r>
          </w:p>
        </w:tc>
        <w:tc>
          <w:tcPr>
            <w:tcW w:w="1892" w:type="dxa"/>
            <w:gridSpan w:val="2"/>
            <w:shd w:val="clear" w:color="auto" w:fill="auto"/>
            <w:noWrap/>
            <w:vAlign w:val="center"/>
            <w:hideMark/>
          </w:tcPr>
          <w:p w14:paraId="2546783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(1,091)</w:t>
            </w:r>
          </w:p>
        </w:tc>
        <w:tc>
          <w:tcPr>
            <w:tcW w:w="1892" w:type="dxa"/>
            <w:shd w:val="clear" w:color="auto" w:fill="auto"/>
            <w:noWrap/>
            <w:vAlign w:val="center"/>
            <w:hideMark/>
          </w:tcPr>
          <w:p w14:paraId="1B7F9C9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1,091 </w:t>
            </w:r>
          </w:p>
        </w:tc>
      </w:tr>
      <w:tr w:rsidR="003E5BF5" w:rsidRPr="00293D7B" w14:paraId="424ABBFD" w14:textId="77777777" w:rsidTr="00C6045D">
        <w:trPr>
          <w:trHeight w:val="340"/>
        </w:trPr>
        <w:tc>
          <w:tcPr>
            <w:tcW w:w="3397" w:type="dxa"/>
            <w:shd w:val="clear" w:color="auto" w:fill="auto"/>
            <w:noWrap/>
            <w:vAlign w:val="center"/>
            <w:hideMark/>
          </w:tcPr>
          <w:p w14:paraId="70F3B940"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xml:space="preserve">Receivables </w:t>
            </w:r>
            <w:r w:rsidRPr="00293D7B">
              <w:rPr>
                <w:rFonts w:ascii="Arial" w:hAnsi="Arial" w:cs="Arial"/>
                <w:sz w:val="24"/>
                <w:szCs w:val="24"/>
                <w:vertAlign w:val="superscript"/>
                <w:lang w:eastAsia="en-AU"/>
              </w:rPr>
              <w:t>(</w:t>
            </w:r>
            <w:proofErr w:type="spellStart"/>
            <w:r w:rsidRPr="00293D7B">
              <w:rPr>
                <w:rFonts w:ascii="Arial" w:hAnsi="Arial" w:cs="Arial"/>
                <w:sz w:val="24"/>
                <w:szCs w:val="24"/>
                <w:vertAlign w:val="superscript"/>
                <w:lang w:eastAsia="en-AU"/>
              </w:rPr>
              <w:t>i</w:t>
            </w:r>
            <w:proofErr w:type="spellEnd"/>
            <w:r w:rsidRPr="00293D7B">
              <w:rPr>
                <w:rFonts w:ascii="Arial" w:hAnsi="Arial" w:cs="Arial"/>
                <w:sz w:val="24"/>
                <w:szCs w:val="24"/>
                <w:vertAlign w:val="superscript"/>
                <w:lang w:eastAsia="en-AU"/>
              </w:rPr>
              <w:t>)</w:t>
            </w:r>
          </w:p>
        </w:tc>
        <w:tc>
          <w:tcPr>
            <w:tcW w:w="1891" w:type="dxa"/>
            <w:shd w:val="clear" w:color="auto" w:fill="auto"/>
            <w:noWrap/>
            <w:vAlign w:val="center"/>
            <w:hideMark/>
          </w:tcPr>
          <w:p w14:paraId="5116BB7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314,628 </w:t>
            </w:r>
          </w:p>
        </w:tc>
        <w:tc>
          <w:tcPr>
            <w:tcW w:w="1892" w:type="dxa"/>
            <w:gridSpan w:val="2"/>
            <w:shd w:val="clear" w:color="auto" w:fill="auto"/>
            <w:noWrap/>
            <w:vAlign w:val="center"/>
            <w:hideMark/>
          </w:tcPr>
          <w:p w14:paraId="7021CD2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w:t>
            </w:r>
          </w:p>
        </w:tc>
        <w:tc>
          <w:tcPr>
            <w:tcW w:w="1892" w:type="dxa"/>
            <w:shd w:val="clear" w:color="auto" w:fill="auto"/>
            <w:noWrap/>
            <w:vAlign w:val="center"/>
            <w:hideMark/>
          </w:tcPr>
          <w:p w14:paraId="5BC8D2C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w:t>
            </w:r>
          </w:p>
        </w:tc>
      </w:tr>
      <w:tr w:rsidR="003E5BF5" w:rsidRPr="00293D7B" w14:paraId="40A3FB15" w14:textId="77777777" w:rsidTr="00C6045D">
        <w:trPr>
          <w:trHeight w:val="340"/>
        </w:trPr>
        <w:tc>
          <w:tcPr>
            <w:tcW w:w="3397" w:type="dxa"/>
            <w:shd w:val="clear" w:color="auto" w:fill="auto"/>
            <w:noWrap/>
            <w:vAlign w:val="center"/>
            <w:hideMark/>
          </w:tcPr>
          <w:p w14:paraId="481AAC61"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impact</w:t>
            </w:r>
          </w:p>
        </w:tc>
        <w:tc>
          <w:tcPr>
            <w:tcW w:w="1891" w:type="dxa"/>
            <w:shd w:val="clear" w:color="auto" w:fill="auto"/>
            <w:noWrap/>
            <w:vAlign w:val="center"/>
            <w:hideMark/>
          </w:tcPr>
          <w:p w14:paraId="4253EC6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892" w:type="dxa"/>
            <w:gridSpan w:val="2"/>
            <w:shd w:val="clear" w:color="auto" w:fill="auto"/>
            <w:noWrap/>
            <w:vAlign w:val="center"/>
            <w:hideMark/>
          </w:tcPr>
          <w:p w14:paraId="28A17CEB"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(1,091)</w:t>
            </w:r>
          </w:p>
        </w:tc>
        <w:tc>
          <w:tcPr>
            <w:tcW w:w="1892" w:type="dxa"/>
            <w:shd w:val="clear" w:color="auto" w:fill="auto"/>
            <w:noWrap/>
            <w:vAlign w:val="center"/>
            <w:hideMark/>
          </w:tcPr>
          <w:p w14:paraId="5642181D"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1,091 </w:t>
            </w:r>
          </w:p>
        </w:tc>
      </w:tr>
      <w:tr w:rsidR="003E5BF5" w:rsidRPr="00293D7B" w14:paraId="538EB804" w14:textId="77777777" w:rsidTr="00C6045D">
        <w:trPr>
          <w:trHeight w:val="340"/>
        </w:trPr>
        <w:tc>
          <w:tcPr>
            <w:tcW w:w="3397" w:type="dxa"/>
            <w:shd w:val="clear" w:color="auto" w:fill="auto"/>
            <w:vAlign w:val="center"/>
            <w:hideMark/>
          </w:tcPr>
          <w:p w14:paraId="6DE439B4" w14:textId="77777777" w:rsidR="003E5BF5" w:rsidRPr="00293D7B" w:rsidRDefault="003E5BF5" w:rsidP="00604703">
            <w:pPr>
              <w:pStyle w:val="TableTextGreen"/>
              <w:rPr>
                <w:lang w:eastAsia="en-AU"/>
              </w:rPr>
            </w:pPr>
            <w:r w:rsidRPr="00293D7B">
              <w:t>C</w:t>
            </w:r>
            <w:r w:rsidRPr="00293D7B">
              <w:rPr>
                <w:lang w:eastAsia="en-AU"/>
              </w:rPr>
              <w:t>ontractual financial liabilities</w:t>
            </w:r>
          </w:p>
        </w:tc>
        <w:tc>
          <w:tcPr>
            <w:tcW w:w="1891" w:type="dxa"/>
            <w:shd w:val="clear" w:color="auto" w:fill="auto"/>
            <w:noWrap/>
            <w:vAlign w:val="center"/>
            <w:hideMark/>
          </w:tcPr>
          <w:p w14:paraId="6786AFD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892" w:type="dxa"/>
            <w:gridSpan w:val="2"/>
            <w:shd w:val="clear" w:color="auto" w:fill="auto"/>
            <w:noWrap/>
            <w:vAlign w:val="center"/>
            <w:hideMark/>
          </w:tcPr>
          <w:p w14:paraId="3515ACB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892" w:type="dxa"/>
            <w:shd w:val="clear" w:color="auto" w:fill="auto"/>
            <w:noWrap/>
            <w:vAlign w:val="center"/>
            <w:hideMark/>
          </w:tcPr>
          <w:p w14:paraId="1B8EE25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r>
      <w:tr w:rsidR="003E5BF5" w:rsidRPr="00293D7B" w14:paraId="66121494" w14:textId="77777777" w:rsidTr="00C6045D">
        <w:trPr>
          <w:trHeight w:val="340"/>
        </w:trPr>
        <w:tc>
          <w:tcPr>
            <w:tcW w:w="3397" w:type="dxa"/>
            <w:shd w:val="clear" w:color="auto" w:fill="auto"/>
            <w:noWrap/>
            <w:vAlign w:val="center"/>
            <w:hideMark/>
          </w:tcPr>
          <w:p w14:paraId="25364E11"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Payables</w:t>
            </w:r>
          </w:p>
        </w:tc>
        <w:tc>
          <w:tcPr>
            <w:tcW w:w="1891" w:type="dxa"/>
            <w:shd w:val="clear" w:color="auto" w:fill="auto"/>
            <w:noWrap/>
            <w:vAlign w:val="center"/>
            <w:hideMark/>
          </w:tcPr>
          <w:p w14:paraId="2F5DA92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1,587,687 </w:t>
            </w:r>
          </w:p>
        </w:tc>
        <w:tc>
          <w:tcPr>
            <w:tcW w:w="1892" w:type="dxa"/>
            <w:gridSpan w:val="2"/>
            <w:shd w:val="clear" w:color="auto" w:fill="auto"/>
            <w:noWrap/>
            <w:vAlign w:val="center"/>
            <w:hideMark/>
          </w:tcPr>
          <w:p w14:paraId="372E57B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w:t>
            </w:r>
          </w:p>
        </w:tc>
        <w:tc>
          <w:tcPr>
            <w:tcW w:w="1892" w:type="dxa"/>
            <w:shd w:val="clear" w:color="auto" w:fill="auto"/>
            <w:noWrap/>
            <w:vAlign w:val="center"/>
            <w:hideMark/>
          </w:tcPr>
          <w:p w14:paraId="07E7E39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w:t>
            </w:r>
          </w:p>
        </w:tc>
      </w:tr>
      <w:tr w:rsidR="003E5BF5" w:rsidRPr="00293D7B" w14:paraId="2C932DE3" w14:textId="77777777" w:rsidTr="00C6045D">
        <w:trPr>
          <w:trHeight w:val="340"/>
        </w:trPr>
        <w:tc>
          <w:tcPr>
            <w:tcW w:w="3397" w:type="dxa"/>
            <w:shd w:val="clear" w:color="auto" w:fill="auto"/>
            <w:noWrap/>
            <w:vAlign w:val="center"/>
            <w:hideMark/>
          </w:tcPr>
          <w:p w14:paraId="5EAC68FA"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Lease liabilities</w:t>
            </w:r>
          </w:p>
        </w:tc>
        <w:tc>
          <w:tcPr>
            <w:tcW w:w="1891" w:type="dxa"/>
            <w:shd w:val="clear" w:color="auto" w:fill="auto"/>
            <w:noWrap/>
            <w:vAlign w:val="center"/>
            <w:hideMark/>
          </w:tcPr>
          <w:p w14:paraId="1744184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90,133 </w:t>
            </w:r>
          </w:p>
        </w:tc>
        <w:tc>
          <w:tcPr>
            <w:tcW w:w="1892" w:type="dxa"/>
            <w:gridSpan w:val="2"/>
            <w:shd w:val="clear" w:color="auto" w:fill="auto"/>
            <w:noWrap/>
            <w:vAlign w:val="center"/>
            <w:hideMark/>
          </w:tcPr>
          <w:p w14:paraId="2A647DB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901 </w:t>
            </w:r>
          </w:p>
        </w:tc>
        <w:tc>
          <w:tcPr>
            <w:tcW w:w="1892" w:type="dxa"/>
            <w:shd w:val="clear" w:color="auto" w:fill="auto"/>
            <w:noWrap/>
            <w:vAlign w:val="center"/>
            <w:hideMark/>
          </w:tcPr>
          <w:p w14:paraId="6C379D1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(901)</w:t>
            </w:r>
          </w:p>
        </w:tc>
      </w:tr>
      <w:tr w:rsidR="003E5BF5" w:rsidRPr="00293D7B" w14:paraId="1B3E3918" w14:textId="77777777" w:rsidTr="00C6045D">
        <w:trPr>
          <w:trHeight w:val="340"/>
        </w:trPr>
        <w:tc>
          <w:tcPr>
            <w:tcW w:w="3397" w:type="dxa"/>
            <w:shd w:val="clear" w:color="auto" w:fill="auto"/>
            <w:noWrap/>
            <w:vAlign w:val="center"/>
            <w:hideMark/>
          </w:tcPr>
          <w:p w14:paraId="25543AE7"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Service concession financial liability</w:t>
            </w:r>
          </w:p>
        </w:tc>
        <w:tc>
          <w:tcPr>
            <w:tcW w:w="1891" w:type="dxa"/>
            <w:shd w:val="clear" w:color="auto" w:fill="auto"/>
            <w:noWrap/>
            <w:vAlign w:val="center"/>
            <w:hideMark/>
          </w:tcPr>
          <w:p w14:paraId="2B6476C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5,488,451 </w:t>
            </w:r>
          </w:p>
        </w:tc>
        <w:tc>
          <w:tcPr>
            <w:tcW w:w="1892" w:type="dxa"/>
            <w:gridSpan w:val="2"/>
            <w:shd w:val="clear" w:color="auto" w:fill="auto"/>
            <w:noWrap/>
            <w:vAlign w:val="center"/>
            <w:hideMark/>
          </w:tcPr>
          <w:p w14:paraId="482E69D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54,885 </w:t>
            </w:r>
          </w:p>
        </w:tc>
        <w:tc>
          <w:tcPr>
            <w:tcW w:w="1892" w:type="dxa"/>
            <w:shd w:val="clear" w:color="auto" w:fill="auto"/>
            <w:noWrap/>
            <w:vAlign w:val="center"/>
            <w:hideMark/>
          </w:tcPr>
          <w:p w14:paraId="37A049D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(54,885)</w:t>
            </w:r>
          </w:p>
        </w:tc>
      </w:tr>
      <w:tr w:rsidR="003E5BF5" w:rsidRPr="00293D7B" w14:paraId="5B23FC95" w14:textId="77777777" w:rsidTr="00C6045D">
        <w:trPr>
          <w:trHeight w:val="340"/>
        </w:trPr>
        <w:tc>
          <w:tcPr>
            <w:tcW w:w="3397" w:type="dxa"/>
            <w:shd w:val="clear" w:color="auto" w:fill="auto"/>
            <w:noWrap/>
            <w:vAlign w:val="center"/>
            <w:hideMark/>
          </w:tcPr>
          <w:p w14:paraId="3D20FBBA"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Advances from government</w:t>
            </w:r>
          </w:p>
        </w:tc>
        <w:tc>
          <w:tcPr>
            <w:tcW w:w="1891" w:type="dxa"/>
            <w:shd w:val="clear" w:color="auto" w:fill="auto"/>
            <w:noWrap/>
            <w:vAlign w:val="center"/>
            <w:hideMark/>
          </w:tcPr>
          <w:p w14:paraId="3565D64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239,492 </w:t>
            </w:r>
          </w:p>
        </w:tc>
        <w:tc>
          <w:tcPr>
            <w:tcW w:w="1892" w:type="dxa"/>
            <w:gridSpan w:val="2"/>
            <w:shd w:val="clear" w:color="auto" w:fill="auto"/>
            <w:noWrap/>
            <w:vAlign w:val="center"/>
            <w:hideMark/>
          </w:tcPr>
          <w:p w14:paraId="1EDA351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w:t>
            </w:r>
          </w:p>
        </w:tc>
        <w:tc>
          <w:tcPr>
            <w:tcW w:w="1892" w:type="dxa"/>
            <w:shd w:val="clear" w:color="auto" w:fill="auto"/>
            <w:noWrap/>
            <w:vAlign w:val="center"/>
            <w:hideMark/>
          </w:tcPr>
          <w:p w14:paraId="343472C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w:t>
            </w:r>
          </w:p>
        </w:tc>
      </w:tr>
      <w:tr w:rsidR="003E5BF5" w:rsidRPr="00293D7B" w14:paraId="7AEA4B62" w14:textId="77777777" w:rsidTr="00C6045D">
        <w:trPr>
          <w:trHeight w:val="340"/>
        </w:trPr>
        <w:tc>
          <w:tcPr>
            <w:tcW w:w="3397" w:type="dxa"/>
            <w:shd w:val="clear" w:color="auto" w:fill="auto"/>
            <w:noWrap/>
            <w:vAlign w:val="center"/>
            <w:hideMark/>
          </w:tcPr>
          <w:p w14:paraId="0E9DB420"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xml:space="preserve">Advances from </w:t>
            </w:r>
            <w:proofErr w:type="spellStart"/>
            <w:r w:rsidRPr="00293D7B">
              <w:rPr>
                <w:rFonts w:ascii="Arial" w:hAnsi="Arial" w:cs="Arial"/>
                <w:sz w:val="24"/>
                <w:szCs w:val="24"/>
                <w:lang w:eastAsia="en-AU"/>
              </w:rPr>
              <w:t>non public</w:t>
            </w:r>
            <w:proofErr w:type="spellEnd"/>
            <w:r w:rsidRPr="00293D7B">
              <w:rPr>
                <w:rFonts w:ascii="Arial" w:hAnsi="Arial" w:cs="Arial"/>
                <w:sz w:val="24"/>
                <w:szCs w:val="24"/>
                <w:lang w:eastAsia="en-AU"/>
              </w:rPr>
              <w:t xml:space="preserve"> sector</w:t>
            </w:r>
          </w:p>
        </w:tc>
        <w:tc>
          <w:tcPr>
            <w:tcW w:w="1891" w:type="dxa"/>
            <w:shd w:val="clear" w:color="auto" w:fill="auto"/>
            <w:noWrap/>
            <w:vAlign w:val="center"/>
            <w:hideMark/>
          </w:tcPr>
          <w:p w14:paraId="5313FAD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244,568 </w:t>
            </w:r>
          </w:p>
        </w:tc>
        <w:tc>
          <w:tcPr>
            <w:tcW w:w="1892" w:type="dxa"/>
            <w:gridSpan w:val="2"/>
            <w:shd w:val="clear" w:color="auto" w:fill="auto"/>
            <w:noWrap/>
            <w:vAlign w:val="center"/>
            <w:hideMark/>
          </w:tcPr>
          <w:p w14:paraId="408B651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2,446 </w:t>
            </w:r>
          </w:p>
        </w:tc>
        <w:tc>
          <w:tcPr>
            <w:tcW w:w="1892" w:type="dxa"/>
            <w:shd w:val="clear" w:color="auto" w:fill="auto"/>
            <w:noWrap/>
            <w:vAlign w:val="center"/>
            <w:hideMark/>
          </w:tcPr>
          <w:p w14:paraId="3EB32DA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(2,446)</w:t>
            </w:r>
          </w:p>
        </w:tc>
      </w:tr>
      <w:tr w:rsidR="003E5BF5" w:rsidRPr="00293D7B" w14:paraId="3A42D56E" w14:textId="77777777" w:rsidTr="00303F51">
        <w:trPr>
          <w:trHeight w:val="340"/>
        </w:trPr>
        <w:tc>
          <w:tcPr>
            <w:tcW w:w="3397" w:type="dxa"/>
            <w:tcBorders>
              <w:bottom w:val="nil"/>
            </w:tcBorders>
            <w:shd w:val="clear" w:color="auto" w:fill="auto"/>
            <w:noWrap/>
            <w:vAlign w:val="center"/>
            <w:hideMark/>
          </w:tcPr>
          <w:p w14:paraId="095ADCE6"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impact</w:t>
            </w:r>
          </w:p>
        </w:tc>
        <w:tc>
          <w:tcPr>
            <w:tcW w:w="1891" w:type="dxa"/>
            <w:tcBorders>
              <w:bottom w:val="nil"/>
            </w:tcBorders>
            <w:shd w:val="clear" w:color="auto" w:fill="auto"/>
            <w:noWrap/>
            <w:vAlign w:val="center"/>
            <w:hideMark/>
          </w:tcPr>
          <w:p w14:paraId="7DD9256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892" w:type="dxa"/>
            <w:gridSpan w:val="2"/>
            <w:tcBorders>
              <w:bottom w:val="nil"/>
            </w:tcBorders>
            <w:shd w:val="clear" w:color="auto" w:fill="auto"/>
            <w:noWrap/>
            <w:vAlign w:val="center"/>
            <w:hideMark/>
          </w:tcPr>
          <w:p w14:paraId="0E7D46C0"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58,232 </w:t>
            </w:r>
          </w:p>
        </w:tc>
        <w:tc>
          <w:tcPr>
            <w:tcW w:w="1892" w:type="dxa"/>
            <w:tcBorders>
              <w:bottom w:val="nil"/>
            </w:tcBorders>
            <w:shd w:val="clear" w:color="auto" w:fill="auto"/>
            <w:noWrap/>
            <w:vAlign w:val="center"/>
            <w:hideMark/>
          </w:tcPr>
          <w:p w14:paraId="770FF54F"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(58,232)</w:t>
            </w:r>
          </w:p>
        </w:tc>
      </w:tr>
    </w:tbl>
    <w:p w14:paraId="12B4489A" w14:textId="77777777" w:rsidR="00BA467D" w:rsidRPr="00293D7B" w:rsidRDefault="00BA467D" w:rsidP="00BA467D">
      <w:pPr>
        <w:pStyle w:val="Note"/>
        <w:rPr>
          <w:rFonts w:ascii="Arial" w:hAnsi="Arial" w:cs="Arial"/>
          <w:sz w:val="24"/>
          <w:szCs w:val="24"/>
        </w:rPr>
      </w:pPr>
      <w:r w:rsidRPr="00293D7B">
        <w:rPr>
          <w:rFonts w:ascii="Arial" w:hAnsi="Arial" w:cs="Arial"/>
          <w:sz w:val="24"/>
          <w:szCs w:val="24"/>
        </w:rPr>
        <w:t>Note:</w:t>
      </w:r>
    </w:p>
    <w:p w14:paraId="2951F93D" w14:textId="77777777" w:rsidR="00BA467D" w:rsidRPr="00293D7B" w:rsidRDefault="00BA467D" w:rsidP="00610F5F">
      <w:pPr>
        <w:pStyle w:val="aaaNotenumberiiiiii"/>
        <w:numPr>
          <w:ilvl w:val="0"/>
          <w:numId w:val="119"/>
        </w:numPr>
      </w:pPr>
      <w:r w:rsidRPr="00293D7B">
        <w:t>Receivables and payables disclosed above exclude statutory receivables (i.e. GST recoverable) and statutory payables (i.e. taxes payable).</w:t>
      </w:r>
    </w:p>
    <w:p w14:paraId="01E088B1" w14:textId="77777777" w:rsidR="003E5BF5" w:rsidRDefault="003E5BF5">
      <w:pPr>
        <w:rPr>
          <w:b/>
        </w:rPr>
      </w:pPr>
      <w:r>
        <w:rPr>
          <w:b/>
        </w:rPr>
        <w:br w:type="page"/>
      </w:r>
    </w:p>
    <w:p w14:paraId="1DE88E86" w14:textId="77777777" w:rsidR="003E5BF5" w:rsidRDefault="003E5BF5" w:rsidP="00E55C5F">
      <w:pPr>
        <w:pStyle w:val="aaaboldheadingfinance"/>
      </w:pPr>
      <w:r w:rsidRPr="00D17058">
        <w:lastRenderedPageBreak/>
        <w:t>Interest rate risk sensitivity</w:t>
      </w:r>
      <w:r>
        <w:t xml:space="preserve"> - </w:t>
      </w:r>
      <w:r w:rsidRPr="00BF1C26">
        <w:rPr>
          <w:i/>
          <w:iCs/>
        </w:rPr>
        <w:t>continued</w:t>
      </w:r>
    </w:p>
    <w:tbl>
      <w:tblPr>
        <w:tblStyle w:val="TableGrid"/>
        <w:tblW w:w="9072" w:type="dxa"/>
        <w:tblLayout w:type="fixed"/>
        <w:tblLook w:val="04A0" w:firstRow="1" w:lastRow="0" w:firstColumn="1" w:lastColumn="0" w:noHBand="0" w:noVBand="1"/>
      </w:tblPr>
      <w:tblGrid>
        <w:gridCol w:w="3397"/>
        <w:gridCol w:w="1891"/>
        <w:gridCol w:w="946"/>
        <w:gridCol w:w="946"/>
        <w:gridCol w:w="1892"/>
      </w:tblGrid>
      <w:tr w:rsidR="003E5BF5" w:rsidRPr="00293D7B" w14:paraId="08F6D0C0" w14:textId="77777777" w:rsidTr="00161B34">
        <w:trPr>
          <w:trHeight w:val="340"/>
        </w:trPr>
        <w:tc>
          <w:tcPr>
            <w:tcW w:w="3397" w:type="dxa"/>
            <w:noWrap/>
            <w:vAlign w:val="center"/>
            <w:hideMark/>
          </w:tcPr>
          <w:p w14:paraId="7DB06233" w14:textId="77777777" w:rsidR="003E5BF5" w:rsidRPr="00293D7B" w:rsidRDefault="003E5BF5" w:rsidP="00DE1921">
            <w:pPr>
              <w:rPr>
                <w:rFonts w:ascii="Arial" w:hAnsi="Arial" w:cs="Arial"/>
                <w:sz w:val="24"/>
                <w:szCs w:val="24"/>
                <w:lang w:eastAsia="en-AU"/>
              </w:rPr>
            </w:pPr>
          </w:p>
        </w:tc>
        <w:tc>
          <w:tcPr>
            <w:tcW w:w="5675" w:type="dxa"/>
            <w:gridSpan w:val="4"/>
            <w:noWrap/>
            <w:vAlign w:val="center"/>
            <w:hideMark/>
          </w:tcPr>
          <w:p w14:paraId="72B44638"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 thousand)</w:t>
            </w:r>
          </w:p>
        </w:tc>
      </w:tr>
      <w:tr w:rsidR="003E5BF5" w:rsidRPr="00293D7B" w14:paraId="5C4A6615" w14:textId="77777777" w:rsidTr="00161B34">
        <w:trPr>
          <w:trHeight w:val="340"/>
        </w:trPr>
        <w:tc>
          <w:tcPr>
            <w:tcW w:w="3397" w:type="dxa"/>
            <w:noWrap/>
            <w:vAlign w:val="center"/>
            <w:hideMark/>
          </w:tcPr>
          <w:p w14:paraId="7FB319B5" w14:textId="77777777" w:rsidR="003E5BF5" w:rsidRPr="00293D7B" w:rsidRDefault="003E5BF5" w:rsidP="00DE1921">
            <w:pPr>
              <w:rPr>
                <w:rFonts w:ascii="Arial" w:hAnsi="Arial" w:cs="Arial"/>
                <w:sz w:val="24"/>
                <w:szCs w:val="24"/>
                <w:lang w:eastAsia="en-AU"/>
              </w:rPr>
            </w:pPr>
          </w:p>
        </w:tc>
        <w:tc>
          <w:tcPr>
            <w:tcW w:w="2837" w:type="dxa"/>
            <w:gridSpan w:val="2"/>
            <w:hideMark/>
          </w:tcPr>
          <w:p w14:paraId="14EE2B4B"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 </w:t>
            </w:r>
          </w:p>
        </w:tc>
        <w:tc>
          <w:tcPr>
            <w:tcW w:w="2838" w:type="dxa"/>
            <w:gridSpan w:val="2"/>
            <w:vAlign w:val="bottom"/>
            <w:hideMark/>
          </w:tcPr>
          <w:p w14:paraId="0FFF9D83"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Interest rate</w:t>
            </w:r>
          </w:p>
        </w:tc>
      </w:tr>
      <w:tr w:rsidR="003E5BF5" w:rsidRPr="00293D7B" w14:paraId="6E957DE1" w14:textId="77777777" w:rsidTr="00161B34">
        <w:trPr>
          <w:trHeight w:val="340"/>
        </w:trPr>
        <w:tc>
          <w:tcPr>
            <w:tcW w:w="3397" w:type="dxa"/>
            <w:noWrap/>
            <w:vAlign w:val="center"/>
            <w:hideMark/>
          </w:tcPr>
          <w:p w14:paraId="2D3B1603" w14:textId="77777777" w:rsidR="003E5BF5" w:rsidRPr="00293D7B" w:rsidRDefault="003E5BF5" w:rsidP="00DE1921">
            <w:pPr>
              <w:rPr>
                <w:rFonts w:ascii="Arial" w:hAnsi="Arial" w:cs="Arial"/>
                <w:b/>
                <w:sz w:val="24"/>
                <w:szCs w:val="24"/>
                <w:lang w:eastAsia="en-AU"/>
              </w:rPr>
            </w:pPr>
          </w:p>
        </w:tc>
        <w:tc>
          <w:tcPr>
            <w:tcW w:w="1891" w:type="dxa"/>
            <w:vAlign w:val="bottom"/>
            <w:hideMark/>
          </w:tcPr>
          <w:p w14:paraId="4EC83786" w14:textId="77777777" w:rsidR="003E5BF5" w:rsidRPr="00293D7B" w:rsidRDefault="003E5BF5" w:rsidP="00DE1921">
            <w:pPr>
              <w:jc w:val="center"/>
              <w:rPr>
                <w:rFonts w:ascii="Arial" w:hAnsi="Arial" w:cs="Arial"/>
                <w:b/>
                <w:sz w:val="24"/>
                <w:szCs w:val="24"/>
                <w:lang w:eastAsia="en-AU"/>
              </w:rPr>
            </w:pPr>
          </w:p>
        </w:tc>
        <w:tc>
          <w:tcPr>
            <w:tcW w:w="1892" w:type="dxa"/>
            <w:gridSpan w:val="2"/>
            <w:vAlign w:val="bottom"/>
            <w:hideMark/>
          </w:tcPr>
          <w:p w14:paraId="7206DFA0"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-100 basis points</w:t>
            </w:r>
          </w:p>
        </w:tc>
        <w:tc>
          <w:tcPr>
            <w:tcW w:w="1892" w:type="dxa"/>
            <w:vAlign w:val="bottom"/>
            <w:hideMark/>
          </w:tcPr>
          <w:p w14:paraId="0CBDF610"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+100 basis points</w:t>
            </w:r>
          </w:p>
        </w:tc>
      </w:tr>
      <w:tr w:rsidR="003E5BF5" w:rsidRPr="00293D7B" w14:paraId="37A7C694" w14:textId="77777777" w:rsidTr="00161B34">
        <w:trPr>
          <w:trHeight w:val="340"/>
        </w:trPr>
        <w:tc>
          <w:tcPr>
            <w:tcW w:w="3397" w:type="dxa"/>
            <w:noWrap/>
            <w:vAlign w:val="center"/>
          </w:tcPr>
          <w:p w14:paraId="780B182C" w14:textId="77777777" w:rsidR="003E5BF5" w:rsidRPr="00293D7B" w:rsidRDefault="003E5BF5" w:rsidP="00604703">
            <w:pPr>
              <w:pStyle w:val="TableTextGreen"/>
            </w:pPr>
          </w:p>
        </w:tc>
        <w:tc>
          <w:tcPr>
            <w:tcW w:w="1891" w:type="dxa"/>
            <w:vAlign w:val="bottom"/>
            <w:hideMark/>
          </w:tcPr>
          <w:p w14:paraId="5CAB3E8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Carrying amount</w:t>
            </w:r>
          </w:p>
        </w:tc>
        <w:tc>
          <w:tcPr>
            <w:tcW w:w="1892" w:type="dxa"/>
            <w:gridSpan w:val="2"/>
            <w:vAlign w:val="bottom"/>
            <w:hideMark/>
          </w:tcPr>
          <w:p w14:paraId="3089B1B5"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Net result</w:t>
            </w:r>
          </w:p>
        </w:tc>
        <w:tc>
          <w:tcPr>
            <w:tcW w:w="1892" w:type="dxa"/>
            <w:vAlign w:val="bottom"/>
            <w:hideMark/>
          </w:tcPr>
          <w:p w14:paraId="2D73343D"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Net result</w:t>
            </w:r>
          </w:p>
        </w:tc>
      </w:tr>
      <w:tr w:rsidR="003E5BF5" w:rsidRPr="00293D7B" w14:paraId="479246FD" w14:textId="77777777" w:rsidTr="00161B34">
        <w:trPr>
          <w:trHeight w:val="340"/>
        </w:trPr>
        <w:tc>
          <w:tcPr>
            <w:tcW w:w="3397" w:type="dxa"/>
            <w:noWrap/>
            <w:vAlign w:val="center"/>
            <w:hideMark/>
          </w:tcPr>
          <w:p w14:paraId="3A79DB01"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2019</w:t>
            </w:r>
          </w:p>
        </w:tc>
        <w:tc>
          <w:tcPr>
            <w:tcW w:w="1891" w:type="dxa"/>
            <w:shd w:val="clear" w:color="auto" w:fill="FFFFFF" w:themeFill="background1"/>
            <w:noWrap/>
            <w:vAlign w:val="center"/>
            <w:hideMark/>
          </w:tcPr>
          <w:p w14:paraId="6FD39AE3"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c>
          <w:tcPr>
            <w:tcW w:w="1892" w:type="dxa"/>
            <w:gridSpan w:val="2"/>
            <w:shd w:val="clear" w:color="auto" w:fill="FFFFFF" w:themeFill="background1"/>
            <w:noWrap/>
            <w:vAlign w:val="center"/>
            <w:hideMark/>
          </w:tcPr>
          <w:p w14:paraId="23E9FB64"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c>
          <w:tcPr>
            <w:tcW w:w="1892" w:type="dxa"/>
            <w:shd w:val="clear" w:color="auto" w:fill="FFFFFF" w:themeFill="background1"/>
            <w:noWrap/>
            <w:vAlign w:val="center"/>
            <w:hideMark/>
          </w:tcPr>
          <w:p w14:paraId="625DE7CB"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r>
      <w:tr w:rsidR="003E5BF5" w:rsidRPr="00293D7B" w14:paraId="26C81CC5" w14:textId="77777777" w:rsidTr="00161B34">
        <w:trPr>
          <w:trHeight w:val="340"/>
        </w:trPr>
        <w:tc>
          <w:tcPr>
            <w:tcW w:w="3397" w:type="dxa"/>
            <w:vAlign w:val="center"/>
            <w:hideMark/>
          </w:tcPr>
          <w:p w14:paraId="51BA357F" w14:textId="77777777" w:rsidR="003E5BF5" w:rsidRPr="00293D7B" w:rsidRDefault="003E5BF5" w:rsidP="00604703">
            <w:pPr>
              <w:pStyle w:val="TableTextGreen"/>
              <w:rPr>
                <w:lang w:eastAsia="en-AU"/>
              </w:rPr>
            </w:pPr>
            <w:r w:rsidRPr="00293D7B">
              <w:t>Contractual financial assets</w:t>
            </w:r>
          </w:p>
        </w:tc>
        <w:tc>
          <w:tcPr>
            <w:tcW w:w="1891" w:type="dxa"/>
            <w:shd w:val="clear" w:color="auto" w:fill="FFFFFF" w:themeFill="background1"/>
            <w:noWrap/>
            <w:vAlign w:val="center"/>
            <w:hideMark/>
          </w:tcPr>
          <w:p w14:paraId="6FA31DF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892" w:type="dxa"/>
            <w:gridSpan w:val="2"/>
            <w:shd w:val="clear" w:color="auto" w:fill="FFFFFF" w:themeFill="background1"/>
            <w:noWrap/>
            <w:vAlign w:val="center"/>
            <w:hideMark/>
          </w:tcPr>
          <w:p w14:paraId="5FC10B2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892" w:type="dxa"/>
            <w:shd w:val="clear" w:color="auto" w:fill="FFFFFF" w:themeFill="background1"/>
            <w:noWrap/>
            <w:vAlign w:val="center"/>
            <w:hideMark/>
          </w:tcPr>
          <w:p w14:paraId="0BD5DE9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r>
      <w:tr w:rsidR="003E5BF5" w:rsidRPr="00293D7B" w14:paraId="52D54F5A" w14:textId="77777777" w:rsidTr="00161B34">
        <w:trPr>
          <w:trHeight w:val="340"/>
        </w:trPr>
        <w:tc>
          <w:tcPr>
            <w:tcW w:w="3397" w:type="dxa"/>
            <w:noWrap/>
            <w:vAlign w:val="center"/>
            <w:hideMark/>
          </w:tcPr>
          <w:p w14:paraId="66047EF7"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Cash and cash equivalents</w:t>
            </w:r>
          </w:p>
        </w:tc>
        <w:tc>
          <w:tcPr>
            <w:tcW w:w="1891" w:type="dxa"/>
            <w:shd w:val="clear" w:color="auto" w:fill="FFFFFF" w:themeFill="background1"/>
            <w:noWrap/>
            <w:vAlign w:val="center"/>
            <w:hideMark/>
          </w:tcPr>
          <w:p w14:paraId="5587BBE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93,812 </w:t>
            </w:r>
          </w:p>
        </w:tc>
        <w:tc>
          <w:tcPr>
            <w:tcW w:w="1892" w:type="dxa"/>
            <w:gridSpan w:val="2"/>
            <w:shd w:val="clear" w:color="auto" w:fill="FFFFFF" w:themeFill="background1"/>
            <w:noWrap/>
            <w:vAlign w:val="center"/>
            <w:hideMark/>
          </w:tcPr>
          <w:p w14:paraId="53411FA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(76)</w:t>
            </w:r>
          </w:p>
        </w:tc>
        <w:tc>
          <w:tcPr>
            <w:tcW w:w="1892" w:type="dxa"/>
            <w:shd w:val="clear" w:color="auto" w:fill="FFFFFF" w:themeFill="background1"/>
            <w:noWrap/>
            <w:vAlign w:val="center"/>
            <w:hideMark/>
          </w:tcPr>
          <w:p w14:paraId="046932F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76 </w:t>
            </w:r>
          </w:p>
        </w:tc>
      </w:tr>
      <w:tr w:rsidR="003E5BF5" w:rsidRPr="00293D7B" w14:paraId="240D8F8A" w14:textId="77777777" w:rsidTr="00161B34">
        <w:trPr>
          <w:trHeight w:val="340"/>
        </w:trPr>
        <w:tc>
          <w:tcPr>
            <w:tcW w:w="3397" w:type="dxa"/>
            <w:noWrap/>
            <w:vAlign w:val="center"/>
            <w:hideMark/>
          </w:tcPr>
          <w:p w14:paraId="5C5201D1"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xml:space="preserve">Receivables </w:t>
            </w:r>
            <w:r w:rsidRPr="00293D7B">
              <w:rPr>
                <w:rFonts w:ascii="Arial" w:hAnsi="Arial" w:cs="Arial"/>
                <w:sz w:val="24"/>
                <w:szCs w:val="24"/>
                <w:vertAlign w:val="superscript"/>
                <w:lang w:eastAsia="en-AU"/>
              </w:rPr>
              <w:t>(</w:t>
            </w:r>
            <w:proofErr w:type="spellStart"/>
            <w:r w:rsidRPr="00293D7B">
              <w:rPr>
                <w:rFonts w:ascii="Arial" w:hAnsi="Arial" w:cs="Arial"/>
                <w:sz w:val="24"/>
                <w:szCs w:val="24"/>
                <w:vertAlign w:val="superscript"/>
                <w:lang w:eastAsia="en-AU"/>
              </w:rPr>
              <w:t>i</w:t>
            </w:r>
            <w:proofErr w:type="spellEnd"/>
            <w:r w:rsidRPr="00293D7B">
              <w:rPr>
                <w:rFonts w:ascii="Arial" w:hAnsi="Arial" w:cs="Arial"/>
                <w:sz w:val="24"/>
                <w:szCs w:val="24"/>
                <w:vertAlign w:val="superscript"/>
                <w:lang w:eastAsia="en-AU"/>
              </w:rPr>
              <w:t>)</w:t>
            </w:r>
          </w:p>
        </w:tc>
        <w:tc>
          <w:tcPr>
            <w:tcW w:w="1891" w:type="dxa"/>
            <w:shd w:val="clear" w:color="auto" w:fill="FFFFFF" w:themeFill="background1"/>
            <w:noWrap/>
            <w:vAlign w:val="center"/>
            <w:hideMark/>
          </w:tcPr>
          <w:p w14:paraId="511C8BC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25,196 </w:t>
            </w:r>
          </w:p>
        </w:tc>
        <w:tc>
          <w:tcPr>
            <w:tcW w:w="1892" w:type="dxa"/>
            <w:gridSpan w:val="2"/>
            <w:shd w:val="clear" w:color="auto" w:fill="FFFFFF" w:themeFill="background1"/>
            <w:noWrap/>
            <w:vAlign w:val="center"/>
            <w:hideMark/>
          </w:tcPr>
          <w:p w14:paraId="4F2A93B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w:t>
            </w:r>
          </w:p>
        </w:tc>
        <w:tc>
          <w:tcPr>
            <w:tcW w:w="1892" w:type="dxa"/>
            <w:shd w:val="clear" w:color="auto" w:fill="FFFFFF" w:themeFill="background1"/>
            <w:noWrap/>
            <w:vAlign w:val="center"/>
            <w:hideMark/>
          </w:tcPr>
          <w:p w14:paraId="2F712E6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w:t>
            </w:r>
          </w:p>
        </w:tc>
      </w:tr>
      <w:tr w:rsidR="003E5BF5" w:rsidRPr="00293D7B" w14:paraId="1B0CEF7A" w14:textId="77777777" w:rsidTr="00161B34">
        <w:trPr>
          <w:trHeight w:val="340"/>
        </w:trPr>
        <w:tc>
          <w:tcPr>
            <w:tcW w:w="3397" w:type="dxa"/>
            <w:noWrap/>
            <w:vAlign w:val="center"/>
            <w:hideMark/>
          </w:tcPr>
          <w:p w14:paraId="37487979"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impact</w:t>
            </w:r>
          </w:p>
        </w:tc>
        <w:tc>
          <w:tcPr>
            <w:tcW w:w="1891" w:type="dxa"/>
            <w:shd w:val="clear" w:color="auto" w:fill="FFFFFF" w:themeFill="background1"/>
            <w:noWrap/>
            <w:vAlign w:val="center"/>
            <w:hideMark/>
          </w:tcPr>
          <w:p w14:paraId="7268F6B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892" w:type="dxa"/>
            <w:gridSpan w:val="2"/>
            <w:shd w:val="clear" w:color="auto" w:fill="FFFFFF" w:themeFill="background1"/>
            <w:noWrap/>
            <w:vAlign w:val="center"/>
            <w:hideMark/>
          </w:tcPr>
          <w:p w14:paraId="3FCDA99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(76)</w:t>
            </w:r>
          </w:p>
        </w:tc>
        <w:tc>
          <w:tcPr>
            <w:tcW w:w="1892" w:type="dxa"/>
            <w:shd w:val="clear" w:color="auto" w:fill="FFFFFF" w:themeFill="background1"/>
            <w:noWrap/>
            <w:vAlign w:val="center"/>
            <w:hideMark/>
          </w:tcPr>
          <w:p w14:paraId="4FEEE67B"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76 </w:t>
            </w:r>
          </w:p>
        </w:tc>
      </w:tr>
      <w:tr w:rsidR="003E5BF5" w:rsidRPr="00293D7B" w14:paraId="57E1FEE7" w14:textId="77777777" w:rsidTr="00161B34">
        <w:trPr>
          <w:trHeight w:val="340"/>
        </w:trPr>
        <w:tc>
          <w:tcPr>
            <w:tcW w:w="3397" w:type="dxa"/>
            <w:vAlign w:val="center"/>
            <w:hideMark/>
          </w:tcPr>
          <w:p w14:paraId="5A4BD949" w14:textId="77777777" w:rsidR="003E5BF5" w:rsidRPr="00293D7B" w:rsidRDefault="003E5BF5" w:rsidP="00604703">
            <w:pPr>
              <w:pStyle w:val="TableTextGreen"/>
              <w:rPr>
                <w:lang w:eastAsia="en-AU"/>
              </w:rPr>
            </w:pPr>
            <w:r w:rsidRPr="00293D7B">
              <w:t>C</w:t>
            </w:r>
            <w:r w:rsidRPr="00293D7B">
              <w:rPr>
                <w:lang w:eastAsia="en-AU"/>
              </w:rPr>
              <w:t>ontractual financial liabilities</w:t>
            </w:r>
          </w:p>
        </w:tc>
        <w:tc>
          <w:tcPr>
            <w:tcW w:w="1891" w:type="dxa"/>
            <w:shd w:val="clear" w:color="auto" w:fill="FFFFFF" w:themeFill="background1"/>
            <w:noWrap/>
            <w:vAlign w:val="center"/>
            <w:hideMark/>
          </w:tcPr>
          <w:p w14:paraId="2ADBA7A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892" w:type="dxa"/>
            <w:gridSpan w:val="2"/>
            <w:shd w:val="clear" w:color="auto" w:fill="FFFFFF" w:themeFill="background1"/>
            <w:noWrap/>
            <w:vAlign w:val="center"/>
            <w:hideMark/>
          </w:tcPr>
          <w:p w14:paraId="47BC6FB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892" w:type="dxa"/>
            <w:shd w:val="clear" w:color="auto" w:fill="FFFFFF" w:themeFill="background1"/>
            <w:noWrap/>
            <w:vAlign w:val="center"/>
            <w:hideMark/>
          </w:tcPr>
          <w:p w14:paraId="231781F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r>
      <w:tr w:rsidR="003E5BF5" w:rsidRPr="00293D7B" w14:paraId="4BE340D8" w14:textId="77777777" w:rsidTr="00161B34">
        <w:trPr>
          <w:trHeight w:val="340"/>
        </w:trPr>
        <w:tc>
          <w:tcPr>
            <w:tcW w:w="3397" w:type="dxa"/>
            <w:noWrap/>
            <w:vAlign w:val="center"/>
            <w:hideMark/>
          </w:tcPr>
          <w:p w14:paraId="13FCCEC5"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Payables</w:t>
            </w:r>
          </w:p>
        </w:tc>
        <w:tc>
          <w:tcPr>
            <w:tcW w:w="1891" w:type="dxa"/>
            <w:shd w:val="clear" w:color="auto" w:fill="FFFFFF" w:themeFill="background1"/>
            <w:noWrap/>
            <w:vAlign w:val="center"/>
            <w:hideMark/>
          </w:tcPr>
          <w:p w14:paraId="64950FC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1,400,643 </w:t>
            </w:r>
          </w:p>
        </w:tc>
        <w:tc>
          <w:tcPr>
            <w:tcW w:w="1892" w:type="dxa"/>
            <w:gridSpan w:val="2"/>
            <w:shd w:val="clear" w:color="auto" w:fill="FFFFFF" w:themeFill="background1"/>
            <w:noWrap/>
            <w:vAlign w:val="center"/>
            <w:hideMark/>
          </w:tcPr>
          <w:p w14:paraId="458BA96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w:t>
            </w:r>
          </w:p>
        </w:tc>
        <w:tc>
          <w:tcPr>
            <w:tcW w:w="1892" w:type="dxa"/>
            <w:shd w:val="clear" w:color="auto" w:fill="FFFFFF" w:themeFill="background1"/>
            <w:noWrap/>
            <w:vAlign w:val="center"/>
            <w:hideMark/>
          </w:tcPr>
          <w:p w14:paraId="19ED9E6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w:t>
            </w:r>
          </w:p>
        </w:tc>
      </w:tr>
      <w:tr w:rsidR="003E5BF5" w:rsidRPr="00293D7B" w14:paraId="77EE7C78" w14:textId="77777777" w:rsidTr="00161B34">
        <w:trPr>
          <w:trHeight w:val="340"/>
        </w:trPr>
        <w:tc>
          <w:tcPr>
            <w:tcW w:w="3397" w:type="dxa"/>
            <w:noWrap/>
            <w:vAlign w:val="center"/>
            <w:hideMark/>
          </w:tcPr>
          <w:p w14:paraId="683B6D5E"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Lease liabilities</w:t>
            </w:r>
          </w:p>
        </w:tc>
        <w:tc>
          <w:tcPr>
            <w:tcW w:w="1891" w:type="dxa"/>
            <w:shd w:val="clear" w:color="auto" w:fill="FFFFFF" w:themeFill="background1"/>
            <w:noWrap/>
            <w:vAlign w:val="center"/>
            <w:hideMark/>
          </w:tcPr>
          <w:p w14:paraId="4ADF934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3,582 </w:t>
            </w:r>
          </w:p>
        </w:tc>
        <w:tc>
          <w:tcPr>
            <w:tcW w:w="1892" w:type="dxa"/>
            <w:gridSpan w:val="2"/>
            <w:shd w:val="clear" w:color="auto" w:fill="FFFFFF" w:themeFill="background1"/>
            <w:noWrap/>
            <w:vAlign w:val="center"/>
            <w:hideMark/>
          </w:tcPr>
          <w:p w14:paraId="7E20F1D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36 </w:t>
            </w:r>
          </w:p>
        </w:tc>
        <w:tc>
          <w:tcPr>
            <w:tcW w:w="1892" w:type="dxa"/>
            <w:shd w:val="clear" w:color="auto" w:fill="FFFFFF" w:themeFill="background1"/>
            <w:noWrap/>
            <w:vAlign w:val="center"/>
            <w:hideMark/>
          </w:tcPr>
          <w:p w14:paraId="50EB8F8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(36)</w:t>
            </w:r>
          </w:p>
        </w:tc>
      </w:tr>
      <w:tr w:rsidR="003E5BF5" w:rsidRPr="00293D7B" w14:paraId="04468410" w14:textId="77777777" w:rsidTr="00161B34">
        <w:trPr>
          <w:trHeight w:val="340"/>
        </w:trPr>
        <w:tc>
          <w:tcPr>
            <w:tcW w:w="3397" w:type="dxa"/>
            <w:noWrap/>
            <w:vAlign w:val="center"/>
            <w:hideMark/>
          </w:tcPr>
          <w:p w14:paraId="1329F18C"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Service concession financial liability</w:t>
            </w:r>
          </w:p>
        </w:tc>
        <w:tc>
          <w:tcPr>
            <w:tcW w:w="1891" w:type="dxa"/>
            <w:shd w:val="clear" w:color="auto" w:fill="FFFFFF" w:themeFill="background1"/>
            <w:noWrap/>
            <w:vAlign w:val="center"/>
            <w:hideMark/>
          </w:tcPr>
          <w:p w14:paraId="4B24355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3,136,101 </w:t>
            </w:r>
          </w:p>
        </w:tc>
        <w:tc>
          <w:tcPr>
            <w:tcW w:w="1892" w:type="dxa"/>
            <w:gridSpan w:val="2"/>
            <w:shd w:val="clear" w:color="auto" w:fill="FFFFFF" w:themeFill="background1"/>
            <w:noWrap/>
            <w:vAlign w:val="center"/>
            <w:hideMark/>
          </w:tcPr>
          <w:p w14:paraId="471F2E4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31,052 </w:t>
            </w:r>
          </w:p>
        </w:tc>
        <w:tc>
          <w:tcPr>
            <w:tcW w:w="1892" w:type="dxa"/>
            <w:shd w:val="clear" w:color="auto" w:fill="FFFFFF" w:themeFill="background1"/>
            <w:noWrap/>
            <w:vAlign w:val="center"/>
            <w:hideMark/>
          </w:tcPr>
          <w:p w14:paraId="123E8A2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(31,052)</w:t>
            </w:r>
          </w:p>
        </w:tc>
      </w:tr>
      <w:tr w:rsidR="003E5BF5" w:rsidRPr="00293D7B" w14:paraId="2FC2D5AF" w14:textId="77777777" w:rsidTr="00161B34">
        <w:trPr>
          <w:trHeight w:val="340"/>
        </w:trPr>
        <w:tc>
          <w:tcPr>
            <w:tcW w:w="3397" w:type="dxa"/>
            <w:noWrap/>
            <w:vAlign w:val="center"/>
            <w:hideMark/>
          </w:tcPr>
          <w:p w14:paraId="20450C64"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Advances from government</w:t>
            </w:r>
          </w:p>
        </w:tc>
        <w:tc>
          <w:tcPr>
            <w:tcW w:w="1891" w:type="dxa"/>
            <w:shd w:val="clear" w:color="auto" w:fill="FFFFFF" w:themeFill="background1"/>
            <w:noWrap/>
            <w:vAlign w:val="center"/>
            <w:hideMark/>
          </w:tcPr>
          <w:p w14:paraId="13F9231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85,953 </w:t>
            </w:r>
          </w:p>
        </w:tc>
        <w:tc>
          <w:tcPr>
            <w:tcW w:w="1892" w:type="dxa"/>
            <w:gridSpan w:val="2"/>
            <w:shd w:val="clear" w:color="auto" w:fill="FFFFFF" w:themeFill="background1"/>
            <w:noWrap/>
            <w:vAlign w:val="center"/>
            <w:hideMark/>
          </w:tcPr>
          <w:p w14:paraId="57C4A74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w:t>
            </w:r>
          </w:p>
        </w:tc>
        <w:tc>
          <w:tcPr>
            <w:tcW w:w="1892" w:type="dxa"/>
            <w:shd w:val="clear" w:color="auto" w:fill="FFFFFF" w:themeFill="background1"/>
            <w:noWrap/>
            <w:vAlign w:val="center"/>
            <w:hideMark/>
          </w:tcPr>
          <w:p w14:paraId="2E528B9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w:t>
            </w:r>
          </w:p>
        </w:tc>
      </w:tr>
      <w:tr w:rsidR="003E5BF5" w:rsidRPr="00293D7B" w14:paraId="451A2C1B" w14:textId="77777777" w:rsidTr="00161B34">
        <w:trPr>
          <w:trHeight w:val="340"/>
        </w:trPr>
        <w:tc>
          <w:tcPr>
            <w:tcW w:w="3397" w:type="dxa"/>
            <w:noWrap/>
            <w:vAlign w:val="center"/>
            <w:hideMark/>
          </w:tcPr>
          <w:p w14:paraId="608C77A2"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xml:space="preserve">Advances from </w:t>
            </w:r>
            <w:proofErr w:type="spellStart"/>
            <w:r w:rsidRPr="00293D7B">
              <w:rPr>
                <w:rFonts w:ascii="Arial" w:hAnsi="Arial" w:cs="Arial"/>
                <w:sz w:val="24"/>
                <w:szCs w:val="24"/>
                <w:lang w:eastAsia="en-AU"/>
              </w:rPr>
              <w:t>non public</w:t>
            </w:r>
            <w:proofErr w:type="spellEnd"/>
            <w:r w:rsidRPr="00293D7B">
              <w:rPr>
                <w:rFonts w:ascii="Arial" w:hAnsi="Arial" w:cs="Arial"/>
                <w:sz w:val="24"/>
                <w:szCs w:val="24"/>
                <w:lang w:eastAsia="en-AU"/>
              </w:rPr>
              <w:t xml:space="preserve"> sector</w:t>
            </w:r>
          </w:p>
        </w:tc>
        <w:tc>
          <w:tcPr>
            <w:tcW w:w="1891" w:type="dxa"/>
            <w:shd w:val="clear" w:color="auto" w:fill="FFFFFF" w:themeFill="background1"/>
            <w:noWrap/>
            <w:vAlign w:val="center"/>
            <w:hideMark/>
          </w:tcPr>
          <w:p w14:paraId="07D6729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99,776 </w:t>
            </w:r>
          </w:p>
        </w:tc>
        <w:tc>
          <w:tcPr>
            <w:tcW w:w="1892" w:type="dxa"/>
            <w:gridSpan w:val="2"/>
            <w:shd w:val="clear" w:color="auto" w:fill="FFFFFF" w:themeFill="background1"/>
            <w:noWrap/>
            <w:vAlign w:val="center"/>
            <w:hideMark/>
          </w:tcPr>
          <w:p w14:paraId="48F7FF6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998 </w:t>
            </w:r>
          </w:p>
        </w:tc>
        <w:tc>
          <w:tcPr>
            <w:tcW w:w="1892" w:type="dxa"/>
            <w:shd w:val="clear" w:color="auto" w:fill="FFFFFF" w:themeFill="background1"/>
            <w:noWrap/>
            <w:vAlign w:val="center"/>
            <w:hideMark/>
          </w:tcPr>
          <w:p w14:paraId="6D0DCA6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(998)</w:t>
            </w:r>
          </w:p>
        </w:tc>
      </w:tr>
      <w:tr w:rsidR="003E5BF5" w:rsidRPr="00293D7B" w14:paraId="350D239E" w14:textId="77777777" w:rsidTr="00303F51">
        <w:trPr>
          <w:trHeight w:val="340"/>
        </w:trPr>
        <w:tc>
          <w:tcPr>
            <w:tcW w:w="3397" w:type="dxa"/>
            <w:tcBorders>
              <w:bottom w:val="nil"/>
            </w:tcBorders>
            <w:noWrap/>
            <w:vAlign w:val="center"/>
            <w:hideMark/>
          </w:tcPr>
          <w:p w14:paraId="181AD044"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impact</w:t>
            </w:r>
          </w:p>
        </w:tc>
        <w:tc>
          <w:tcPr>
            <w:tcW w:w="1891" w:type="dxa"/>
            <w:tcBorders>
              <w:bottom w:val="nil"/>
            </w:tcBorders>
            <w:shd w:val="clear" w:color="auto" w:fill="FFFFFF" w:themeFill="background1"/>
            <w:noWrap/>
            <w:vAlign w:val="center"/>
            <w:hideMark/>
          </w:tcPr>
          <w:p w14:paraId="57B48CF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892" w:type="dxa"/>
            <w:gridSpan w:val="2"/>
            <w:tcBorders>
              <w:bottom w:val="nil"/>
            </w:tcBorders>
            <w:shd w:val="clear" w:color="auto" w:fill="FFFFFF" w:themeFill="background1"/>
            <w:noWrap/>
            <w:vAlign w:val="center"/>
            <w:hideMark/>
          </w:tcPr>
          <w:p w14:paraId="44914F93"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32,086 </w:t>
            </w:r>
          </w:p>
        </w:tc>
        <w:tc>
          <w:tcPr>
            <w:tcW w:w="1892" w:type="dxa"/>
            <w:tcBorders>
              <w:bottom w:val="nil"/>
            </w:tcBorders>
            <w:shd w:val="clear" w:color="auto" w:fill="FFFFFF" w:themeFill="background1"/>
            <w:noWrap/>
            <w:vAlign w:val="center"/>
            <w:hideMark/>
          </w:tcPr>
          <w:p w14:paraId="15A6A4CE"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(32,086)</w:t>
            </w:r>
          </w:p>
        </w:tc>
      </w:tr>
    </w:tbl>
    <w:p w14:paraId="4186FEC2" w14:textId="77777777" w:rsidR="00BA467D" w:rsidRPr="00293D7B" w:rsidRDefault="00BA467D" w:rsidP="00BA467D">
      <w:pPr>
        <w:pStyle w:val="Note"/>
        <w:rPr>
          <w:rFonts w:ascii="Arial" w:hAnsi="Arial" w:cs="Arial"/>
          <w:sz w:val="24"/>
          <w:szCs w:val="24"/>
        </w:rPr>
      </w:pPr>
      <w:r w:rsidRPr="00293D7B">
        <w:rPr>
          <w:rFonts w:ascii="Arial" w:hAnsi="Arial" w:cs="Arial"/>
          <w:sz w:val="24"/>
          <w:szCs w:val="24"/>
        </w:rPr>
        <w:t>Note:</w:t>
      </w:r>
    </w:p>
    <w:p w14:paraId="72E839CE" w14:textId="77777777" w:rsidR="00BA467D" w:rsidRPr="00293D7B" w:rsidRDefault="00BA467D" w:rsidP="00610F5F">
      <w:pPr>
        <w:pStyle w:val="aaaNotenumberiiiiii"/>
        <w:numPr>
          <w:ilvl w:val="0"/>
          <w:numId w:val="120"/>
        </w:numPr>
      </w:pPr>
      <w:r w:rsidRPr="00293D7B">
        <w:t>Receivables and payables disclosed above exclude statutory receivables (i.e. GST recoverable) and statutory payables (i.e. taxes payable).</w:t>
      </w:r>
    </w:p>
    <w:p w14:paraId="3DDC7CBA" w14:textId="3444F25F" w:rsidR="003E5BF5" w:rsidRDefault="003E5BF5" w:rsidP="00DE1921">
      <w:r>
        <w:br w:type="page"/>
      </w:r>
    </w:p>
    <w:p w14:paraId="4EA9C470" w14:textId="77777777" w:rsidR="003E5BF5" w:rsidRPr="00264A77" w:rsidRDefault="003E5BF5" w:rsidP="00E55C5F">
      <w:pPr>
        <w:pStyle w:val="aaaboldheadingfinance"/>
      </w:pPr>
      <w:bookmarkStart w:id="553" w:name="RANGE!A36:D62"/>
      <w:bookmarkEnd w:id="553"/>
      <w:r w:rsidRPr="00D6110F">
        <w:lastRenderedPageBreak/>
        <w:t>Interest rate exposure of financial instruments</w:t>
      </w:r>
      <w:r>
        <w:t xml:space="preserve"> </w:t>
      </w:r>
      <w:bookmarkStart w:id="554" w:name="_1659081025"/>
      <w:bookmarkStart w:id="555" w:name="RANGE!A4:F31"/>
      <w:bookmarkEnd w:id="554"/>
      <w:bookmarkEnd w:id="555"/>
    </w:p>
    <w:tbl>
      <w:tblPr>
        <w:tblStyle w:val="TableGrid"/>
        <w:tblW w:w="9073" w:type="dxa"/>
        <w:tblCellMar>
          <w:left w:w="28" w:type="dxa"/>
          <w:right w:w="28" w:type="dxa"/>
        </w:tblCellMar>
        <w:tblLook w:val="04A0" w:firstRow="1" w:lastRow="0" w:firstColumn="1" w:lastColumn="0" w:noHBand="0" w:noVBand="1"/>
      </w:tblPr>
      <w:tblGrid>
        <w:gridCol w:w="3372"/>
        <w:gridCol w:w="1205"/>
        <w:gridCol w:w="1124"/>
        <w:gridCol w:w="1124"/>
        <w:gridCol w:w="1124"/>
        <w:gridCol w:w="1124"/>
      </w:tblGrid>
      <w:tr w:rsidR="003E5BF5" w:rsidRPr="00293D7B" w14:paraId="7F54F6DF" w14:textId="77777777" w:rsidTr="00BA467D">
        <w:trPr>
          <w:trHeight w:val="340"/>
        </w:trPr>
        <w:tc>
          <w:tcPr>
            <w:tcW w:w="3372" w:type="dxa"/>
            <w:shd w:val="clear" w:color="auto" w:fill="auto"/>
            <w:noWrap/>
            <w:hideMark/>
          </w:tcPr>
          <w:p w14:paraId="61E1D780" w14:textId="77777777" w:rsidR="003E5BF5" w:rsidRPr="00293D7B" w:rsidRDefault="003E5BF5" w:rsidP="00DE1921">
            <w:pPr>
              <w:rPr>
                <w:rFonts w:ascii="Arial" w:hAnsi="Arial" w:cs="Arial"/>
                <w:sz w:val="24"/>
                <w:szCs w:val="24"/>
                <w:lang w:eastAsia="en-AU"/>
              </w:rPr>
            </w:pPr>
          </w:p>
        </w:tc>
        <w:tc>
          <w:tcPr>
            <w:tcW w:w="1205" w:type="dxa"/>
            <w:shd w:val="clear" w:color="auto" w:fill="auto"/>
            <w:noWrap/>
            <w:hideMark/>
          </w:tcPr>
          <w:p w14:paraId="30152909" w14:textId="77777777" w:rsidR="003E5BF5" w:rsidRPr="00293D7B" w:rsidRDefault="003E5BF5" w:rsidP="00DE1921">
            <w:pPr>
              <w:rPr>
                <w:rFonts w:ascii="Arial" w:hAnsi="Arial" w:cs="Arial"/>
                <w:sz w:val="24"/>
                <w:szCs w:val="24"/>
                <w:lang w:eastAsia="en-AU"/>
              </w:rPr>
            </w:pPr>
          </w:p>
        </w:tc>
        <w:tc>
          <w:tcPr>
            <w:tcW w:w="4496" w:type="dxa"/>
            <w:gridSpan w:val="4"/>
            <w:shd w:val="clear" w:color="auto" w:fill="auto"/>
            <w:noWrap/>
            <w:vAlign w:val="center"/>
            <w:hideMark/>
          </w:tcPr>
          <w:p w14:paraId="36D40873"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 thousand)</w:t>
            </w:r>
          </w:p>
        </w:tc>
      </w:tr>
      <w:tr w:rsidR="003E5BF5" w:rsidRPr="00293D7B" w14:paraId="44F9175A" w14:textId="77777777" w:rsidTr="00BA467D">
        <w:trPr>
          <w:trHeight w:val="340"/>
        </w:trPr>
        <w:tc>
          <w:tcPr>
            <w:tcW w:w="3372" w:type="dxa"/>
            <w:shd w:val="clear" w:color="auto" w:fill="auto"/>
            <w:noWrap/>
            <w:hideMark/>
          </w:tcPr>
          <w:p w14:paraId="798FB3B5" w14:textId="77777777" w:rsidR="003E5BF5" w:rsidRPr="00293D7B" w:rsidRDefault="003E5BF5" w:rsidP="00DE1921">
            <w:pPr>
              <w:rPr>
                <w:rFonts w:ascii="Arial" w:hAnsi="Arial" w:cs="Arial"/>
                <w:sz w:val="24"/>
                <w:szCs w:val="24"/>
                <w:lang w:eastAsia="en-AU"/>
              </w:rPr>
            </w:pPr>
          </w:p>
        </w:tc>
        <w:tc>
          <w:tcPr>
            <w:tcW w:w="1205" w:type="dxa"/>
            <w:vMerge w:val="restart"/>
            <w:shd w:val="clear" w:color="auto" w:fill="auto"/>
            <w:vAlign w:val="bottom"/>
            <w:hideMark/>
          </w:tcPr>
          <w:p w14:paraId="18EE19C6"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Weighted average interest rate</w:t>
            </w:r>
          </w:p>
        </w:tc>
        <w:tc>
          <w:tcPr>
            <w:tcW w:w="4496" w:type="dxa"/>
            <w:gridSpan w:val="4"/>
            <w:shd w:val="clear" w:color="auto" w:fill="auto"/>
            <w:noWrap/>
            <w:vAlign w:val="bottom"/>
            <w:hideMark/>
          </w:tcPr>
          <w:p w14:paraId="015F6D84"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Interest rate exposure</w:t>
            </w:r>
          </w:p>
        </w:tc>
      </w:tr>
      <w:tr w:rsidR="003E5BF5" w:rsidRPr="00293D7B" w14:paraId="692E2130" w14:textId="77777777" w:rsidTr="00BA467D">
        <w:trPr>
          <w:trHeight w:val="340"/>
        </w:trPr>
        <w:tc>
          <w:tcPr>
            <w:tcW w:w="3372" w:type="dxa"/>
            <w:shd w:val="clear" w:color="auto" w:fill="auto"/>
            <w:noWrap/>
            <w:vAlign w:val="center"/>
            <w:hideMark/>
          </w:tcPr>
          <w:p w14:paraId="2301AC98" w14:textId="77777777" w:rsidR="003E5BF5" w:rsidRPr="00293D7B" w:rsidRDefault="003E5BF5" w:rsidP="00DE1921">
            <w:pPr>
              <w:rPr>
                <w:rFonts w:ascii="Arial" w:hAnsi="Arial" w:cs="Arial"/>
                <w:b/>
                <w:sz w:val="24"/>
                <w:szCs w:val="24"/>
                <w:lang w:eastAsia="en-AU"/>
              </w:rPr>
            </w:pPr>
          </w:p>
        </w:tc>
        <w:tc>
          <w:tcPr>
            <w:tcW w:w="1205" w:type="dxa"/>
            <w:vMerge/>
            <w:shd w:val="clear" w:color="auto" w:fill="auto"/>
            <w:vAlign w:val="bottom"/>
            <w:hideMark/>
          </w:tcPr>
          <w:p w14:paraId="1246FA72" w14:textId="77777777" w:rsidR="003E5BF5" w:rsidRPr="00293D7B" w:rsidRDefault="003E5BF5" w:rsidP="00DE1921">
            <w:pPr>
              <w:jc w:val="center"/>
              <w:rPr>
                <w:rFonts w:ascii="Arial" w:hAnsi="Arial" w:cs="Arial"/>
                <w:b/>
                <w:sz w:val="24"/>
                <w:szCs w:val="24"/>
                <w:lang w:eastAsia="en-AU"/>
              </w:rPr>
            </w:pPr>
          </w:p>
        </w:tc>
        <w:tc>
          <w:tcPr>
            <w:tcW w:w="1124" w:type="dxa"/>
            <w:shd w:val="clear" w:color="auto" w:fill="auto"/>
            <w:vAlign w:val="bottom"/>
            <w:hideMark/>
          </w:tcPr>
          <w:p w14:paraId="480295DF"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Carrying amount</w:t>
            </w:r>
          </w:p>
        </w:tc>
        <w:tc>
          <w:tcPr>
            <w:tcW w:w="1124" w:type="dxa"/>
            <w:shd w:val="clear" w:color="auto" w:fill="auto"/>
            <w:vAlign w:val="bottom"/>
            <w:hideMark/>
          </w:tcPr>
          <w:p w14:paraId="263C572B"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Fixed interest rate</w:t>
            </w:r>
          </w:p>
        </w:tc>
        <w:tc>
          <w:tcPr>
            <w:tcW w:w="1124" w:type="dxa"/>
            <w:shd w:val="clear" w:color="auto" w:fill="auto"/>
            <w:vAlign w:val="bottom"/>
            <w:hideMark/>
          </w:tcPr>
          <w:p w14:paraId="73E8C736"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Variable interest rate</w:t>
            </w:r>
          </w:p>
        </w:tc>
        <w:tc>
          <w:tcPr>
            <w:tcW w:w="1124" w:type="dxa"/>
            <w:shd w:val="clear" w:color="auto" w:fill="auto"/>
            <w:vAlign w:val="bottom"/>
            <w:hideMark/>
          </w:tcPr>
          <w:p w14:paraId="442F6478"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Non-interest bearing</w:t>
            </w:r>
          </w:p>
        </w:tc>
      </w:tr>
      <w:tr w:rsidR="003E5BF5" w:rsidRPr="00293D7B" w14:paraId="774686F8" w14:textId="77777777" w:rsidTr="00BA467D">
        <w:trPr>
          <w:trHeight w:val="340"/>
        </w:trPr>
        <w:tc>
          <w:tcPr>
            <w:tcW w:w="3372" w:type="dxa"/>
            <w:shd w:val="clear" w:color="auto" w:fill="auto"/>
            <w:noWrap/>
            <w:vAlign w:val="center"/>
            <w:hideMark/>
          </w:tcPr>
          <w:p w14:paraId="29BC2739" w14:textId="77777777" w:rsidR="003E5BF5" w:rsidRPr="00293D7B" w:rsidRDefault="003E5BF5" w:rsidP="00DE1921">
            <w:pPr>
              <w:pStyle w:val="TableTextLeftBold"/>
              <w:rPr>
                <w:rFonts w:ascii="Arial" w:hAnsi="Arial" w:cs="Arial"/>
                <w:sz w:val="24"/>
                <w:szCs w:val="24"/>
              </w:rPr>
            </w:pPr>
            <w:r w:rsidRPr="00293D7B">
              <w:rPr>
                <w:rFonts w:ascii="Arial" w:hAnsi="Arial" w:cs="Arial"/>
                <w:sz w:val="24"/>
                <w:szCs w:val="24"/>
              </w:rPr>
              <w:t>2020</w:t>
            </w:r>
          </w:p>
        </w:tc>
        <w:tc>
          <w:tcPr>
            <w:tcW w:w="1205" w:type="dxa"/>
            <w:shd w:val="clear" w:color="auto" w:fill="auto"/>
            <w:noWrap/>
            <w:vAlign w:val="center"/>
            <w:hideMark/>
          </w:tcPr>
          <w:p w14:paraId="3239880E"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c>
          <w:tcPr>
            <w:tcW w:w="1124" w:type="dxa"/>
            <w:shd w:val="clear" w:color="auto" w:fill="auto"/>
            <w:noWrap/>
            <w:vAlign w:val="center"/>
            <w:hideMark/>
          </w:tcPr>
          <w:p w14:paraId="64254C76"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c>
          <w:tcPr>
            <w:tcW w:w="1124" w:type="dxa"/>
            <w:shd w:val="clear" w:color="auto" w:fill="auto"/>
            <w:noWrap/>
            <w:vAlign w:val="center"/>
            <w:hideMark/>
          </w:tcPr>
          <w:p w14:paraId="05F340BC"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c>
          <w:tcPr>
            <w:tcW w:w="1124" w:type="dxa"/>
            <w:shd w:val="clear" w:color="auto" w:fill="auto"/>
            <w:noWrap/>
            <w:vAlign w:val="center"/>
            <w:hideMark/>
          </w:tcPr>
          <w:p w14:paraId="6007150E"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c>
          <w:tcPr>
            <w:tcW w:w="1124" w:type="dxa"/>
            <w:shd w:val="clear" w:color="auto" w:fill="auto"/>
            <w:noWrap/>
            <w:vAlign w:val="center"/>
            <w:hideMark/>
          </w:tcPr>
          <w:p w14:paraId="0ABFB319"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r>
      <w:tr w:rsidR="003E5BF5" w:rsidRPr="00293D7B" w14:paraId="435DDD2B" w14:textId="77777777" w:rsidTr="00BA467D">
        <w:trPr>
          <w:trHeight w:val="340"/>
        </w:trPr>
        <w:tc>
          <w:tcPr>
            <w:tcW w:w="3372" w:type="dxa"/>
            <w:shd w:val="clear" w:color="auto" w:fill="auto"/>
            <w:noWrap/>
            <w:vAlign w:val="center"/>
            <w:hideMark/>
          </w:tcPr>
          <w:p w14:paraId="67B4BD78" w14:textId="77777777" w:rsidR="003E5BF5" w:rsidRPr="00293D7B" w:rsidRDefault="003E5BF5" w:rsidP="00604703">
            <w:pPr>
              <w:pStyle w:val="TableTextGreen"/>
            </w:pPr>
            <w:r w:rsidRPr="00293D7B">
              <w:t>Financial assets</w:t>
            </w:r>
          </w:p>
        </w:tc>
        <w:tc>
          <w:tcPr>
            <w:tcW w:w="1205" w:type="dxa"/>
            <w:shd w:val="clear" w:color="auto" w:fill="auto"/>
            <w:noWrap/>
            <w:vAlign w:val="center"/>
            <w:hideMark/>
          </w:tcPr>
          <w:p w14:paraId="1BD59BA8"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c>
          <w:tcPr>
            <w:tcW w:w="1124" w:type="dxa"/>
            <w:shd w:val="clear" w:color="auto" w:fill="auto"/>
            <w:noWrap/>
            <w:vAlign w:val="center"/>
            <w:hideMark/>
          </w:tcPr>
          <w:p w14:paraId="6CC1478E"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c>
          <w:tcPr>
            <w:tcW w:w="1124" w:type="dxa"/>
            <w:shd w:val="clear" w:color="auto" w:fill="auto"/>
            <w:noWrap/>
            <w:vAlign w:val="center"/>
            <w:hideMark/>
          </w:tcPr>
          <w:p w14:paraId="4DE31662" w14:textId="77777777" w:rsidR="003E5BF5" w:rsidRPr="00293D7B" w:rsidRDefault="003E5BF5" w:rsidP="00DE1921">
            <w:pPr>
              <w:jc w:val="right"/>
              <w:rPr>
                <w:rFonts w:ascii="Arial" w:hAnsi="Arial" w:cs="Arial"/>
                <w:b/>
                <w:sz w:val="24"/>
                <w:szCs w:val="24"/>
                <w:lang w:eastAsia="en-AU"/>
              </w:rPr>
            </w:pPr>
          </w:p>
        </w:tc>
        <w:tc>
          <w:tcPr>
            <w:tcW w:w="1124" w:type="dxa"/>
            <w:shd w:val="clear" w:color="auto" w:fill="auto"/>
            <w:noWrap/>
            <w:vAlign w:val="center"/>
            <w:hideMark/>
          </w:tcPr>
          <w:p w14:paraId="1BDE9AED" w14:textId="77777777" w:rsidR="003E5BF5" w:rsidRPr="00293D7B" w:rsidRDefault="003E5BF5" w:rsidP="00DE1921">
            <w:pPr>
              <w:jc w:val="right"/>
              <w:rPr>
                <w:rFonts w:ascii="Arial" w:hAnsi="Arial" w:cs="Arial"/>
                <w:sz w:val="24"/>
                <w:szCs w:val="24"/>
                <w:lang w:eastAsia="en-AU"/>
              </w:rPr>
            </w:pPr>
          </w:p>
        </w:tc>
        <w:tc>
          <w:tcPr>
            <w:tcW w:w="1124" w:type="dxa"/>
            <w:shd w:val="clear" w:color="auto" w:fill="auto"/>
            <w:noWrap/>
            <w:vAlign w:val="center"/>
            <w:hideMark/>
          </w:tcPr>
          <w:p w14:paraId="45EA2A19"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r>
      <w:tr w:rsidR="003E5BF5" w:rsidRPr="00293D7B" w14:paraId="598C68B5" w14:textId="77777777" w:rsidTr="00BA467D">
        <w:trPr>
          <w:trHeight w:val="340"/>
        </w:trPr>
        <w:tc>
          <w:tcPr>
            <w:tcW w:w="3372" w:type="dxa"/>
            <w:shd w:val="clear" w:color="auto" w:fill="auto"/>
            <w:noWrap/>
            <w:vAlign w:val="center"/>
            <w:hideMark/>
          </w:tcPr>
          <w:p w14:paraId="02FA9D88"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Cash and cash equivalents</w:t>
            </w:r>
          </w:p>
        </w:tc>
        <w:tc>
          <w:tcPr>
            <w:tcW w:w="1205" w:type="dxa"/>
            <w:shd w:val="clear" w:color="auto" w:fill="auto"/>
            <w:noWrap/>
            <w:vAlign w:val="center"/>
            <w:hideMark/>
          </w:tcPr>
          <w:p w14:paraId="637A14E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1.43%</w:t>
            </w:r>
          </w:p>
        </w:tc>
        <w:tc>
          <w:tcPr>
            <w:tcW w:w="1124" w:type="dxa"/>
            <w:shd w:val="clear" w:color="auto" w:fill="auto"/>
            <w:noWrap/>
            <w:vAlign w:val="center"/>
            <w:hideMark/>
          </w:tcPr>
          <w:p w14:paraId="5D80484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662,257 </w:t>
            </w:r>
          </w:p>
        </w:tc>
        <w:tc>
          <w:tcPr>
            <w:tcW w:w="1124" w:type="dxa"/>
            <w:shd w:val="clear" w:color="auto" w:fill="auto"/>
            <w:noWrap/>
            <w:vAlign w:val="center"/>
            <w:hideMark/>
          </w:tcPr>
          <w:p w14:paraId="1D62517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5FDB40F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109,125 </w:t>
            </w:r>
          </w:p>
        </w:tc>
        <w:tc>
          <w:tcPr>
            <w:tcW w:w="1124" w:type="dxa"/>
            <w:shd w:val="clear" w:color="auto" w:fill="auto"/>
            <w:noWrap/>
            <w:vAlign w:val="center"/>
            <w:hideMark/>
          </w:tcPr>
          <w:p w14:paraId="7958AA5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553,132 </w:t>
            </w:r>
          </w:p>
        </w:tc>
      </w:tr>
      <w:tr w:rsidR="003E5BF5" w:rsidRPr="00293D7B" w14:paraId="5D6C0B76" w14:textId="77777777" w:rsidTr="00BA467D">
        <w:trPr>
          <w:trHeight w:val="340"/>
        </w:trPr>
        <w:tc>
          <w:tcPr>
            <w:tcW w:w="3372" w:type="dxa"/>
            <w:shd w:val="clear" w:color="auto" w:fill="auto"/>
            <w:noWrap/>
            <w:vAlign w:val="center"/>
            <w:hideMark/>
          </w:tcPr>
          <w:p w14:paraId="7A99C722"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xml:space="preserve">Receivables </w:t>
            </w:r>
            <w:r w:rsidRPr="00293D7B">
              <w:rPr>
                <w:rFonts w:ascii="Arial" w:hAnsi="Arial" w:cs="Arial"/>
                <w:sz w:val="24"/>
                <w:szCs w:val="24"/>
                <w:vertAlign w:val="superscript"/>
                <w:lang w:eastAsia="en-AU"/>
              </w:rPr>
              <w:t>(</w:t>
            </w:r>
            <w:proofErr w:type="spellStart"/>
            <w:r w:rsidRPr="00293D7B">
              <w:rPr>
                <w:rFonts w:ascii="Arial" w:hAnsi="Arial" w:cs="Arial"/>
                <w:sz w:val="24"/>
                <w:szCs w:val="24"/>
                <w:vertAlign w:val="superscript"/>
                <w:lang w:eastAsia="en-AU"/>
              </w:rPr>
              <w:t>i</w:t>
            </w:r>
            <w:proofErr w:type="spellEnd"/>
            <w:r w:rsidRPr="00293D7B">
              <w:rPr>
                <w:rFonts w:ascii="Arial" w:hAnsi="Arial" w:cs="Arial"/>
                <w:sz w:val="24"/>
                <w:szCs w:val="24"/>
                <w:vertAlign w:val="superscript"/>
                <w:lang w:eastAsia="en-AU"/>
              </w:rPr>
              <w:t>)</w:t>
            </w:r>
          </w:p>
        </w:tc>
        <w:tc>
          <w:tcPr>
            <w:tcW w:w="1205" w:type="dxa"/>
            <w:shd w:val="clear" w:color="auto" w:fill="auto"/>
            <w:noWrap/>
            <w:vAlign w:val="center"/>
            <w:hideMark/>
          </w:tcPr>
          <w:p w14:paraId="78796C5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1124" w:type="dxa"/>
            <w:shd w:val="clear" w:color="auto" w:fill="auto"/>
            <w:noWrap/>
            <w:vAlign w:val="center"/>
            <w:hideMark/>
          </w:tcPr>
          <w:p w14:paraId="653D612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314,628 </w:t>
            </w:r>
          </w:p>
        </w:tc>
        <w:tc>
          <w:tcPr>
            <w:tcW w:w="1124" w:type="dxa"/>
            <w:shd w:val="clear" w:color="auto" w:fill="auto"/>
            <w:noWrap/>
            <w:vAlign w:val="center"/>
            <w:hideMark/>
          </w:tcPr>
          <w:p w14:paraId="7EC3F2A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3E40A4F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51058FD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314,628 </w:t>
            </w:r>
          </w:p>
        </w:tc>
      </w:tr>
      <w:tr w:rsidR="003E5BF5" w:rsidRPr="00293D7B" w14:paraId="16A70792" w14:textId="77777777" w:rsidTr="00BA467D">
        <w:trPr>
          <w:trHeight w:val="340"/>
        </w:trPr>
        <w:tc>
          <w:tcPr>
            <w:tcW w:w="3372" w:type="dxa"/>
            <w:shd w:val="clear" w:color="auto" w:fill="auto"/>
            <w:noWrap/>
            <w:vAlign w:val="center"/>
            <w:hideMark/>
          </w:tcPr>
          <w:p w14:paraId="15009E56"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financial assets</w:t>
            </w:r>
          </w:p>
        </w:tc>
        <w:tc>
          <w:tcPr>
            <w:tcW w:w="1205" w:type="dxa"/>
            <w:shd w:val="clear" w:color="auto" w:fill="auto"/>
            <w:noWrap/>
            <w:vAlign w:val="center"/>
            <w:hideMark/>
          </w:tcPr>
          <w:p w14:paraId="53C7155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124" w:type="dxa"/>
            <w:shd w:val="clear" w:color="auto" w:fill="auto"/>
            <w:noWrap/>
            <w:vAlign w:val="center"/>
            <w:hideMark/>
          </w:tcPr>
          <w:p w14:paraId="178BA5F8"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976,885 </w:t>
            </w:r>
          </w:p>
        </w:tc>
        <w:tc>
          <w:tcPr>
            <w:tcW w:w="1124" w:type="dxa"/>
            <w:shd w:val="clear" w:color="auto" w:fill="auto"/>
            <w:noWrap/>
            <w:vAlign w:val="center"/>
            <w:hideMark/>
          </w:tcPr>
          <w:p w14:paraId="636AE75E"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 - </w:t>
            </w:r>
          </w:p>
        </w:tc>
        <w:tc>
          <w:tcPr>
            <w:tcW w:w="1124" w:type="dxa"/>
            <w:shd w:val="clear" w:color="auto" w:fill="auto"/>
            <w:noWrap/>
            <w:vAlign w:val="center"/>
            <w:hideMark/>
          </w:tcPr>
          <w:p w14:paraId="173AFDE8"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109,125 </w:t>
            </w:r>
          </w:p>
        </w:tc>
        <w:tc>
          <w:tcPr>
            <w:tcW w:w="1124" w:type="dxa"/>
            <w:shd w:val="clear" w:color="auto" w:fill="auto"/>
            <w:noWrap/>
            <w:vAlign w:val="center"/>
            <w:hideMark/>
          </w:tcPr>
          <w:p w14:paraId="4D2B715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867,760 </w:t>
            </w:r>
          </w:p>
        </w:tc>
      </w:tr>
      <w:tr w:rsidR="003E5BF5" w:rsidRPr="00293D7B" w14:paraId="27E119A5" w14:textId="77777777" w:rsidTr="00BA467D">
        <w:trPr>
          <w:trHeight w:val="340"/>
        </w:trPr>
        <w:tc>
          <w:tcPr>
            <w:tcW w:w="3372" w:type="dxa"/>
            <w:shd w:val="clear" w:color="auto" w:fill="auto"/>
            <w:noWrap/>
            <w:vAlign w:val="center"/>
            <w:hideMark/>
          </w:tcPr>
          <w:p w14:paraId="20DA2908" w14:textId="77777777" w:rsidR="003E5BF5" w:rsidRPr="00293D7B" w:rsidRDefault="003E5BF5" w:rsidP="00604703">
            <w:pPr>
              <w:pStyle w:val="TableTextGreen"/>
            </w:pPr>
            <w:r w:rsidRPr="00293D7B">
              <w:t>Financial liabilities</w:t>
            </w:r>
          </w:p>
        </w:tc>
        <w:tc>
          <w:tcPr>
            <w:tcW w:w="1205" w:type="dxa"/>
            <w:shd w:val="clear" w:color="auto" w:fill="auto"/>
            <w:noWrap/>
            <w:vAlign w:val="center"/>
            <w:hideMark/>
          </w:tcPr>
          <w:p w14:paraId="6C64EC3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124" w:type="dxa"/>
            <w:shd w:val="clear" w:color="auto" w:fill="auto"/>
            <w:noWrap/>
            <w:vAlign w:val="center"/>
            <w:hideMark/>
          </w:tcPr>
          <w:p w14:paraId="76C647A0" w14:textId="77777777" w:rsidR="003E5BF5" w:rsidRPr="00293D7B" w:rsidRDefault="003E5BF5" w:rsidP="00DE1921">
            <w:pPr>
              <w:jc w:val="right"/>
              <w:rPr>
                <w:rFonts w:ascii="Arial" w:hAnsi="Arial" w:cs="Arial"/>
                <w:sz w:val="24"/>
                <w:szCs w:val="24"/>
                <w:lang w:eastAsia="en-AU"/>
              </w:rPr>
            </w:pPr>
          </w:p>
        </w:tc>
        <w:tc>
          <w:tcPr>
            <w:tcW w:w="1124" w:type="dxa"/>
            <w:shd w:val="clear" w:color="auto" w:fill="auto"/>
            <w:noWrap/>
            <w:vAlign w:val="center"/>
            <w:hideMark/>
          </w:tcPr>
          <w:p w14:paraId="2FB6C2EE" w14:textId="77777777" w:rsidR="003E5BF5" w:rsidRPr="00293D7B" w:rsidRDefault="003E5BF5" w:rsidP="00DE1921">
            <w:pPr>
              <w:jc w:val="right"/>
              <w:rPr>
                <w:rFonts w:ascii="Arial" w:hAnsi="Arial" w:cs="Arial"/>
                <w:sz w:val="24"/>
                <w:szCs w:val="24"/>
                <w:lang w:eastAsia="en-AU"/>
              </w:rPr>
            </w:pPr>
          </w:p>
        </w:tc>
        <w:tc>
          <w:tcPr>
            <w:tcW w:w="1124" w:type="dxa"/>
            <w:shd w:val="clear" w:color="auto" w:fill="auto"/>
            <w:noWrap/>
            <w:vAlign w:val="center"/>
            <w:hideMark/>
          </w:tcPr>
          <w:p w14:paraId="1160FD67" w14:textId="77777777" w:rsidR="003E5BF5" w:rsidRPr="00293D7B" w:rsidRDefault="003E5BF5" w:rsidP="00DE1921">
            <w:pPr>
              <w:jc w:val="right"/>
              <w:rPr>
                <w:rFonts w:ascii="Arial" w:hAnsi="Arial" w:cs="Arial"/>
                <w:sz w:val="24"/>
                <w:szCs w:val="24"/>
                <w:lang w:eastAsia="en-AU"/>
              </w:rPr>
            </w:pPr>
          </w:p>
        </w:tc>
        <w:tc>
          <w:tcPr>
            <w:tcW w:w="1124" w:type="dxa"/>
            <w:shd w:val="clear" w:color="auto" w:fill="auto"/>
            <w:noWrap/>
            <w:vAlign w:val="center"/>
            <w:hideMark/>
          </w:tcPr>
          <w:p w14:paraId="50E62332" w14:textId="77777777" w:rsidR="003E5BF5" w:rsidRPr="00293D7B" w:rsidRDefault="003E5BF5" w:rsidP="00DE1921">
            <w:pPr>
              <w:jc w:val="right"/>
              <w:rPr>
                <w:rFonts w:ascii="Arial" w:hAnsi="Arial" w:cs="Arial"/>
                <w:sz w:val="24"/>
                <w:szCs w:val="24"/>
                <w:lang w:eastAsia="en-AU"/>
              </w:rPr>
            </w:pPr>
          </w:p>
        </w:tc>
      </w:tr>
      <w:tr w:rsidR="003E5BF5" w:rsidRPr="00293D7B" w14:paraId="197A49C3" w14:textId="77777777" w:rsidTr="00BA467D">
        <w:trPr>
          <w:trHeight w:val="340"/>
        </w:trPr>
        <w:tc>
          <w:tcPr>
            <w:tcW w:w="3372" w:type="dxa"/>
            <w:shd w:val="clear" w:color="auto" w:fill="auto"/>
            <w:noWrap/>
            <w:vAlign w:val="center"/>
            <w:hideMark/>
          </w:tcPr>
          <w:p w14:paraId="01A198AD"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xml:space="preserve">Payables </w:t>
            </w:r>
            <w:r w:rsidRPr="00293D7B">
              <w:rPr>
                <w:rFonts w:ascii="Arial" w:hAnsi="Arial" w:cs="Arial"/>
                <w:sz w:val="24"/>
                <w:szCs w:val="24"/>
                <w:vertAlign w:val="superscript"/>
                <w:lang w:eastAsia="en-AU"/>
              </w:rPr>
              <w:t>(</w:t>
            </w:r>
            <w:proofErr w:type="spellStart"/>
            <w:r w:rsidRPr="00293D7B">
              <w:rPr>
                <w:rFonts w:ascii="Arial" w:hAnsi="Arial" w:cs="Arial"/>
                <w:sz w:val="24"/>
                <w:szCs w:val="24"/>
                <w:vertAlign w:val="superscript"/>
                <w:lang w:eastAsia="en-AU"/>
              </w:rPr>
              <w:t>i</w:t>
            </w:r>
            <w:proofErr w:type="spellEnd"/>
            <w:r w:rsidRPr="00293D7B">
              <w:rPr>
                <w:rFonts w:ascii="Arial" w:hAnsi="Arial" w:cs="Arial"/>
                <w:sz w:val="24"/>
                <w:szCs w:val="24"/>
                <w:vertAlign w:val="superscript"/>
                <w:lang w:eastAsia="en-AU"/>
              </w:rPr>
              <w:t>)</w:t>
            </w:r>
          </w:p>
        </w:tc>
        <w:tc>
          <w:tcPr>
            <w:tcW w:w="1205" w:type="dxa"/>
            <w:shd w:val="clear" w:color="auto" w:fill="auto"/>
            <w:noWrap/>
            <w:vAlign w:val="center"/>
            <w:hideMark/>
          </w:tcPr>
          <w:p w14:paraId="2F6ACE2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1124" w:type="dxa"/>
            <w:shd w:val="clear" w:color="auto" w:fill="auto"/>
            <w:noWrap/>
            <w:vAlign w:val="center"/>
            <w:hideMark/>
          </w:tcPr>
          <w:p w14:paraId="2F72CB6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1,587,687 </w:t>
            </w:r>
          </w:p>
        </w:tc>
        <w:tc>
          <w:tcPr>
            <w:tcW w:w="1124" w:type="dxa"/>
            <w:shd w:val="clear" w:color="auto" w:fill="auto"/>
            <w:noWrap/>
            <w:vAlign w:val="center"/>
            <w:hideMark/>
          </w:tcPr>
          <w:p w14:paraId="61F2776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2DDBEDC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693E637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1,587,687 </w:t>
            </w:r>
          </w:p>
        </w:tc>
      </w:tr>
      <w:tr w:rsidR="003E5BF5" w:rsidRPr="00293D7B" w14:paraId="7B86F5D4" w14:textId="77777777" w:rsidTr="00BA467D">
        <w:trPr>
          <w:trHeight w:val="340"/>
        </w:trPr>
        <w:tc>
          <w:tcPr>
            <w:tcW w:w="3372" w:type="dxa"/>
            <w:shd w:val="clear" w:color="auto" w:fill="auto"/>
            <w:noWrap/>
            <w:vAlign w:val="center"/>
            <w:hideMark/>
          </w:tcPr>
          <w:p w14:paraId="036C718B"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Lease liabilities</w:t>
            </w:r>
          </w:p>
        </w:tc>
        <w:tc>
          <w:tcPr>
            <w:tcW w:w="1205" w:type="dxa"/>
            <w:shd w:val="clear" w:color="auto" w:fill="auto"/>
            <w:noWrap/>
            <w:vAlign w:val="center"/>
            <w:hideMark/>
          </w:tcPr>
          <w:p w14:paraId="724CA1B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3.44%</w:t>
            </w:r>
          </w:p>
        </w:tc>
        <w:tc>
          <w:tcPr>
            <w:tcW w:w="1124" w:type="dxa"/>
            <w:shd w:val="clear" w:color="auto" w:fill="auto"/>
            <w:noWrap/>
            <w:vAlign w:val="center"/>
            <w:hideMark/>
          </w:tcPr>
          <w:p w14:paraId="00E4902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90,133 </w:t>
            </w:r>
          </w:p>
        </w:tc>
        <w:tc>
          <w:tcPr>
            <w:tcW w:w="1124" w:type="dxa"/>
            <w:shd w:val="clear" w:color="auto" w:fill="auto"/>
            <w:noWrap/>
            <w:vAlign w:val="center"/>
            <w:hideMark/>
          </w:tcPr>
          <w:p w14:paraId="5B7AAAC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90,133 </w:t>
            </w:r>
          </w:p>
        </w:tc>
        <w:tc>
          <w:tcPr>
            <w:tcW w:w="1124" w:type="dxa"/>
            <w:shd w:val="clear" w:color="auto" w:fill="auto"/>
            <w:noWrap/>
            <w:vAlign w:val="center"/>
            <w:hideMark/>
          </w:tcPr>
          <w:p w14:paraId="0BF6EEF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1B392D2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r>
      <w:tr w:rsidR="003E5BF5" w:rsidRPr="00293D7B" w14:paraId="19AE2006" w14:textId="77777777" w:rsidTr="00BA467D">
        <w:trPr>
          <w:trHeight w:val="340"/>
        </w:trPr>
        <w:tc>
          <w:tcPr>
            <w:tcW w:w="3372" w:type="dxa"/>
            <w:shd w:val="clear" w:color="auto" w:fill="auto"/>
            <w:noWrap/>
            <w:vAlign w:val="center"/>
            <w:hideMark/>
          </w:tcPr>
          <w:p w14:paraId="0391C818"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Service concession financial liability</w:t>
            </w:r>
          </w:p>
        </w:tc>
        <w:tc>
          <w:tcPr>
            <w:tcW w:w="1205" w:type="dxa"/>
            <w:shd w:val="clear" w:color="auto" w:fill="auto"/>
            <w:noWrap/>
            <w:vAlign w:val="center"/>
            <w:hideMark/>
          </w:tcPr>
          <w:p w14:paraId="0AB600C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6.20%</w:t>
            </w:r>
          </w:p>
        </w:tc>
        <w:tc>
          <w:tcPr>
            <w:tcW w:w="1124" w:type="dxa"/>
            <w:shd w:val="clear" w:color="auto" w:fill="auto"/>
            <w:noWrap/>
            <w:vAlign w:val="center"/>
            <w:hideMark/>
          </w:tcPr>
          <w:p w14:paraId="0348DE1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5,488,451 </w:t>
            </w:r>
          </w:p>
        </w:tc>
        <w:tc>
          <w:tcPr>
            <w:tcW w:w="1124" w:type="dxa"/>
            <w:shd w:val="clear" w:color="auto" w:fill="auto"/>
            <w:noWrap/>
            <w:vAlign w:val="center"/>
            <w:hideMark/>
          </w:tcPr>
          <w:p w14:paraId="1D7DAFC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5,488,451 </w:t>
            </w:r>
          </w:p>
        </w:tc>
        <w:tc>
          <w:tcPr>
            <w:tcW w:w="1124" w:type="dxa"/>
            <w:shd w:val="clear" w:color="auto" w:fill="auto"/>
            <w:noWrap/>
            <w:vAlign w:val="center"/>
            <w:hideMark/>
          </w:tcPr>
          <w:p w14:paraId="79CCB2A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3CEE368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r>
      <w:tr w:rsidR="003E5BF5" w:rsidRPr="00293D7B" w14:paraId="5174A6A9" w14:textId="77777777" w:rsidTr="00BA467D">
        <w:trPr>
          <w:trHeight w:val="340"/>
        </w:trPr>
        <w:tc>
          <w:tcPr>
            <w:tcW w:w="3372" w:type="dxa"/>
            <w:shd w:val="clear" w:color="auto" w:fill="auto"/>
            <w:noWrap/>
            <w:vAlign w:val="center"/>
            <w:hideMark/>
          </w:tcPr>
          <w:p w14:paraId="480F5740"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Advances from Government</w:t>
            </w:r>
          </w:p>
        </w:tc>
        <w:tc>
          <w:tcPr>
            <w:tcW w:w="1205" w:type="dxa"/>
            <w:shd w:val="clear" w:color="auto" w:fill="auto"/>
            <w:noWrap/>
            <w:vAlign w:val="center"/>
            <w:hideMark/>
          </w:tcPr>
          <w:p w14:paraId="0F93209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1124" w:type="dxa"/>
            <w:shd w:val="clear" w:color="auto" w:fill="auto"/>
            <w:noWrap/>
            <w:vAlign w:val="center"/>
            <w:hideMark/>
          </w:tcPr>
          <w:p w14:paraId="1A573C9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239,492 </w:t>
            </w:r>
          </w:p>
        </w:tc>
        <w:tc>
          <w:tcPr>
            <w:tcW w:w="1124" w:type="dxa"/>
            <w:shd w:val="clear" w:color="auto" w:fill="auto"/>
            <w:noWrap/>
            <w:vAlign w:val="center"/>
            <w:hideMark/>
          </w:tcPr>
          <w:p w14:paraId="1FBC5BF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1821479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4FC4F19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239,492 </w:t>
            </w:r>
          </w:p>
        </w:tc>
      </w:tr>
      <w:tr w:rsidR="003E5BF5" w:rsidRPr="00293D7B" w14:paraId="41222BEA" w14:textId="77777777" w:rsidTr="00BA467D">
        <w:trPr>
          <w:trHeight w:val="340"/>
        </w:trPr>
        <w:tc>
          <w:tcPr>
            <w:tcW w:w="3372" w:type="dxa"/>
            <w:shd w:val="clear" w:color="auto" w:fill="auto"/>
            <w:noWrap/>
            <w:vAlign w:val="center"/>
            <w:hideMark/>
          </w:tcPr>
          <w:p w14:paraId="032A90D1"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xml:space="preserve">Advances from </w:t>
            </w:r>
            <w:proofErr w:type="spellStart"/>
            <w:r w:rsidRPr="00293D7B">
              <w:rPr>
                <w:rFonts w:ascii="Arial" w:hAnsi="Arial" w:cs="Arial"/>
                <w:sz w:val="24"/>
                <w:szCs w:val="24"/>
                <w:lang w:eastAsia="en-AU"/>
              </w:rPr>
              <w:t>non public</w:t>
            </w:r>
            <w:proofErr w:type="spellEnd"/>
            <w:r w:rsidRPr="00293D7B">
              <w:rPr>
                <w:rFonts w:ascii="Arial" w:hAnsi="Arial" w:cs="Arial"/>
                <w:sz w:val="24"/>
                <w:szCs w:val="24"/>
                <w:lang w:eastAsia="en-AU"/>
              </w:rPr>
              <w:t xml:space="preserve"> sector</w:t>
            </w:r>
          </w:p>
        </w:tc>
        <w:tc>
          <w:tcPr>
            <w:tcW w:w="1205" w:type="dxa"/>
            <w:shd w:val="clear" w:color="auto" w:fill="auto"/>
            <w:noWrap/>
            <w:vAlign w:val="center"/>
            <w:hideMark/>
          </w:tcPr>
          <w:p w14:paraId="1302593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5.29%</w:t>
            </w:r>
          </w:p>
        </w:tc>
        <w:tc>
          <w:tcPr>
            <w:tcW w:w="1124" w:type="dxa"/>
            <w:shd w:val="clear" w:color="auto" w:fill="auto"/>
            <w:noWrap/>
            <w:vAlign w:val="center"/>
            <w:hideMark/>
          </w:tcPr>
          <w:p w14:paraId="5C25BB7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244,568 </w:t>
            </w:r>
          </w:p>
        </w:tc>
        <w:tc>
          <w:tcPr>
            <w:tcW w:w="1124" w:type="dxa"/>
            <w:shd w:val="clear" w:color="auto" w:fill="auto"/>
            <w:noWrap/>
            <w:vAlign w:val="center"/>
            <w:hideMark/>
          </w:tcPr>
          <w:p w14:paraId="2E96D52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244,568 </w:t>
            </w:r>
          </w:p>
        </w:tc>
        <w:tc>
          <w:tcPr>
            <w:tcW w:w="1124" w:type="dxa"/>
            <w:shd w:val="clear" w:color="auto" w:fill="auto"/>
            <w:noWrap/>
            <w:vAlign w:val="center"/>
            <w:hideMark/>
          </w:tcPr>
          <w:p w14:paraId="6B7CD13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2E745D0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r>
      <w:tr w:rsidR="003E5BF5" w:rsidRPr="00293D7B" w14:paraId="37DDDE89" w14:textId="77777777" w:rsidTr="00BA467D">
        <w:trPr>
          <w:trHeight w:val="340"/>
        </w:trPr>
        <w:tc>
          <w:tcPr>
            <w:tcW w:w="3372" w:type="dxa"/>
            <w:shd w:val="clear" w:color="auto" w:fill="auto"/>
            <w:noWrap/>
            <w:vAlign w:val="center"/>
            <w:hideMark/>
          </w:tcPr>
          <w:p w14:paraId="56FB7D55"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financial liabilities</w:t>
            </w:r>
          </w:p>
        </w:tc>
        <w:tc>
          <w:tcPr>
            <w:tcW w:w="1205" w:type="dxa"/>
            <w:shd w:val="clear" w:color="auto" w:fill="auto"/>
            <w:noWrap/>
            <w:vAlign w:val="center"/>
            <w:hideMark/>
          </w:tcPr>
          <w:p w14:paraId="0904111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124" w:type="dxa"/>
            <w:shd w:val="clear" w:color="auto" w:fill="auto"/>
            <w:noWrap/>
            <w:vAlign w:val="center"/>
            <w:hideMark/>
          </w:tcPr>
          <w:p w14:paraId="7C10E982"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7,650,331 </w:t>
            </w:r>
          </w:p>
        </w:tc>
        <w:tc>
          <w:tcPr>
            <w:tcW w:w="1124" w:type="dxa"/>
            <w:shd w:val="clear" w:color="auto" w:fill="auto"/>
            <w:noWrap/>
            <w:vAlign w:val="center"/>
            <w:hideMark/>
          </w:tcPr>
          <w:p w14:paraId="2FDB22FA"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5,823,152 </w:t>
            </w:r>
          </w:p>
        </w:tc>
        <w:tc>
          <w:tcPr>
            <w:tcW w:w="1124" w:type="dxa"/>
            <w:shd w:val="clear" w:color="auto" w:fill="auto"/>
            <w:noWrap/>
            <w:vAlign w:val="center"/>
            <w:hideMark/>
          </w:tcPr>
          <w:p w14:paraId="04D9A95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 - </w:t>
            </w:r>
          </w:p>
        </w:tc>
        <w:tc>
          <w:tcPr>
            <w:tcW w:w="1124" w:type="dxa"/>
            <w:shd w:val="clear" w:color="auto" w:fill="auto"/>
            <w:noWrap/>
            <w:vAlign w:val="center"/>
            <w:hideMark/>
          </w:tcPr>
          <w:p w14:paraId="2D412965"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1,827,179 </w:t>
            </w:r>
          </w:p>
        </w:tc>
      </w:tr>
      <w:tr w:rsidR="003E5BF5" w:rsidRPr="00293D7B" w14:paraId="3949A0A4" w14:textId="77777777" w:rsidTr="00BA467D">
        <w:trPr>
          <w:trHeight w:val="340"/>
        </w:trPr>
        <w:tc>
          <w:tcPr>
            <w:tcW w:w="3372" w:type="dxa"/>
            <w:shd w:val="clear" w:color="auto" w:fill="auto"/>
            <w:noWrap/>
            <w:vAlign w:val="center"/>
            <w:hideMark/>
          </w:tcPr>
          <w:p w14:paraId="55AEF540" w14:textId="77777777" w:rsidR="003E5BF5" w:rsidRPr="00293D7B" w:rsidRDefault="003E5BF5" w:rsidP="00DE1921">
            <w:pPr>
              <w:pStyle w:val="TableTextLeftBold"/>
              <w:rPr>
                <w:rFonts w:ascii="Arial" w:hAnsi="Arial" w:cs="Arial"/>
                <w:sz w:val="24"/>
                <w:szCs w:val="24"/>
              </w:rPr>
            </w:pPr>
            <w:r w:rsidRPr="00293D7B">
              <w:rPr>
                <w:rFonts w:ascii="Arial" w:hAnsi="Arial" w:cs="Arial"/>
                <w:sz w:val="24"/>
                <w:szCs w:val="24"/>
              </w:rPr>
              <w:t>2019</w:t>
            </w:r>
          </w:p>
        </w:tc>
        <w:tc>
          <w:tcPr>
            <w:tcW w:w="1205" w:type="dxa"/>
            <w:shd w:val="clear" w:color="auto" w:fill="auto"/>
            <w:noWrap/>
            <w:vAlign w:val="center"/>
            <w:hideMark/>
          </w:tcPr>
          <w:p w14:paraId="34037D08"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c>
          <w:tcPr>
            <w:tcW w:w="1124" w:type="dxa"/>
            <w:shd w:val="clear" w:color="auto" w:fill="auto"/>
            <w:noWrap/>
            <w:vAlign w:val="center"/>
            <w:hideMark/>
          </w:tcPr>
          <w:p w14:paraId="04E05B26" w14:textId="77777777" w:rsidR="003E5BF5" w:rsidRPr="00293D7B" w:rsidRDefault="003E5BF5" w:rsidP="00DE1921">
            <w:pPr>
              <w:jc w:val="right"/>
              <w:rPr>
                <w:rFonts w:ascii="Arial" w:hAnsi="Arial" w:cs="Arial"/>
                <w:b/>
                <w:sz w:val="24"/>
                <w:szCs w:val="24"/>
                <w:lang w:eastAsia="en-AU"/>
              </w:rPr>
            </w:pPr>
          </w:p>
        </w:tc>
        <w:tc>
          <w:tcPr>
            <w:tcW w:w="1124" w:type="dxa"/>
            <w:shd w:val="clear" w:color="auto" w:fill="auto"/>
            <w:noWrap/>
            <w:vAlign w:val="center"/>
            <w:hideMark/>
          </w:tcPr>
          <w:p w14:paraId="2E157FF8" w14:textId="77777777" w:rsidR="003E5BF5" w:rsidRPr="00293D7B" w:rsidRDefault="003E5BF5" w:rsidP="00DE1921">
            <w:pPr>
              <w:jc w:val="right"/>
              <w:rPr>
                <w:rFonts w:ascii="Arial" w:hAnsi="Arial" w:cs="Arial"/>
                <w:b/>
                <w:sz w:val="24"/>
                <w:szCs w:val="24"/>
                <w:lang w:eastAsia="en-AU"/>
              </w:rPr>
            </w:pPr>
          </w:p>
        </w:tc>
        <w:tc>
          <w:tcPr>
            <w:tcW w:w="1124" w:type="dxa"/>
            <w:shd w:val="clear" w:color="auto" w:fill="auto"/>
            <w:noWrap/>
            <w:vAlign w:val="center"/>
            <w:hideMark/>
          </w:tcPr>
          <w:p w14:paraId="09DB2BA8" w14:textId="77777777" w:rsidR="003E5BF5" w:rsidRPr="00293D7B" w:rsidRDefault="003E5BF5" w:rsidP="00DE1921">
            <w:pPr>
              <w:jc w:val="right"/>
              <w:rPr>
                <w:rFonts w:ascii="Arial" w:hAnsi="Arial" w:cs="Arial"/>
                <w:b/>
                <w:sz w:val="24"/>
                <w:szCs w:val="24"/>
                <w:lang w:eastAsia="en-AU"/>
              </w:rPr>
            </w:pPr>
          </w:p>
        </w:tc>
        <w:tc>
          <w:tcPr>
            <w:tcW w:w="1124" w:type="dxa"/>
            <w:shd w:val="clear" w:color="auto" w:fill="auto"/>
            <w:noWrap/>
            <w:vAlign w:val="center"/>
            <w:hideMark/>
          </w:tcPr>
          <w:p w14:paraId="38268859" w14:textId="77777777" w:rsidR="003E5BF5" w:rsidRPr="00293D7B" w:rsidRDefault="003E5BF5" w:rsidP="00DE1921">
            <w:pPr>
              <w:jc w:val="right"/>
              <w:rPr>
                <w:rFonts w:ascii="Arial" w:hAnsi="Arial" w:cs="Arial"/>
                <w:b/>
                <w:sz w:val="24"/>
                <w:szCs w:val="24"/>
                <w:lang w:eastAsia="en-AU"/>
              </w:rPr>
            </w:pPr>
          </w:p>
        </w:tc>
      </w:tr>
      <w:tr w:rsidR="003E5BF5" w:rsidRPr="00293D7B" w14:paraId="06DA9155" w14:textId="77777777" w:rsidTr="00BA467D">
        <w:trPr>
          <w:trHeight w:val="340"/>
        </w:trPr>
        <w:tc>
          <w:tcPr>
            <w:tcW w:w="3372" w:type="dxa"/>
            <w:shd w:val="clear" w:color="auto" w:fill="auto"/>
            <w:noWrap/>
            <w:vAlign w:val="center"/>
            <w:hideMark/>
          </w:tcPr>
          <w:p w14:paraId="58A4730B" w14:textId="77777777" w:rsidR="003E5BF5" w:rsidRPr="00293D7B" w:rsidRDefault="003E5BF5" w:rsidP="00604703">
            <w:pPr>
              <w:pStyle w:val="TableTextGreen"/>
            </w:pPr>
            <w:r w:rsidRPr="00293D7B">
              <w:t>Financial assets</w:t>
            </w:r>
          </w:p>
        </w:tc>
        <w:tc>
          <w:tcPr>
            <w:tcW w:w="1205" w:type="dxa"/>
            <w:shd w:val="clear" w:color="auto" w:fill="auto"/>
            <w:noWrap/>
            <w:vAlign w:val="center"/>
            <w:hideMark/>
          </w:tcPr>
          <w:p w14:paraId="37DE411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w:t>
            </w:r>
          </w:p>
        </w:tc>
        <w:tc>
          <w:tcPr>
            <w:tcW w:w="1124" w:type="dxa"/>
            <w:shd w:val="clear" w:color="auto" w:fill="auto"/>
            <w:noWrap/>
            <w:vAlign w:val="center"/>
            <w:hideMark/>
          </w:tcPr>
          <w:p w14:paraId="6472FB5F" w14:textId="77777777" w:rsidR="003E5BF5" w:rsidRPr="00293D7B" w:rsidRDefault="003E5BF5" w:rsidP="00DE1921">
            <w:pPr>
              <w:jc w:val="right"/>
              <w:rPr>
                <w:rFonts w:ascii="Arial" w:hAnsi="Arial" w:cs="Arial"/>
                <w:b/>
                <w:sz w:val="24"/>
                <w:szCs w:val="24"/>
                <w:lang w:eastAsia="en-AU"/>
              </w:rPr>
            </w:pPr>
          </w:p>
        </w:tc>
        <w:tc>
          <w:tcPr>
            <w:tcW w:w="1124" w:type="dxa"/>
            <w:shd w:val="clear" w:color="auto" w:fill="auto"/>
            <w:noWrap/>
            <w:vAlign w:val="center"/>
            <w:hideMark/>
          </w:tcPr>
          <w:p w14:paraId="2A224F51" w14:textId="77777777" w:rsidR="003E5BF5" w:rsidRPr="00293D7B" w:rsidRDefault="003E5BF5" w:rsidP="00DE1921">
            <w:pPr>
              <w:jc w:val="right"/>
              <w:rPr>
                <w:rFonts w:ascii="Arial" w:hAnsi="Arial" w:cs="Arial"/>
                <w:b/>
                <w:sz w:val="24"/>
                <w:szCs w:val="24"/>
                <w:lang w:eastAsia="en-AU"/>
              </w:rPr>
            </w:pPr>
          </w:p>
        </w:tc>
        <w:tc>
          <w:tcPr>
            <w:tcW w:w="1124" w:type="dxa"/>
            <w:shd w:val="clear" w:color="auto" w:fill="auto"/>
            <w:noWrap/>
            <w:vAlign w:val="center"/>
            <w:hideMark/>
          </w:tcPr>
          <w:p w14:paraId="0149AE2C" w14:textId="77777777" w:rsidR="003E5BF5" w:rsidRPr="00293D7B" w:rsidRDefault="003E5BF5" w:rsidP="00DE1921">
            <w:pPr>
              <w:jc w:val="right"/>
              <w:rPr>
                <w:rFonts w:ascii="Arial" w:hAnsi="Arial" w:cs="Arial"/>
                <w:sz w:val="24"/>
                <w:szCs w:val="24"/>
                <w:lang w:eastAsia="en-AU"/>
              </w:rPr>
            </w:pPr>
          </w:p>
        </w:tc>
        <w:tc>
          <w:tcPr>
            <w:tcW w:w="1124" w:type="dxa"/>
            <w:shd w:val="clear" w:color="auto" w:fill="auto"/>
            <w:noWrap/>
            <w:vAlign w:val="center"/>
            <w:hideMark/>
          </w:tcPr>
          <w:p w14:paraId="02AB7600" w14:textId="77777777" w:rsidR="003E5BF5" w:rsidRPr="00293D7B" w:rsidRDefault="003E5BF5" w:rsidP="00DE1921">
            <w:pPr>
              <w:jc w:val="right"/>
              <w:rPr>
                <w:rFonts w:ascii="Arial" w:hAnsi="Arial" w:cs="Arial"/>
                <w:b/>
                <w:sz w:val="24"/>
                <w:szCs w:val="24"/>
                <w:lang w:eastAsia="en-AU"/>
              </w:rPr>
            </w:pPr>
          </w:p>
        </w:tc>
      </w:tr>
      <w:tr w:rsidR="003E5BF5" w:rsidRPr="00293D7B" w14:paraId="05FF582E" w14:textId="77777777" w:rsidTr="00BA467D">
        <w:trPr>
          <w:trHeight w:val="340"/>
        </w:trPr>
        <w:tc>
          <w:tcPr>
            <w:tcW w:w="3372" w:type="dxa"/>
            <w:shd w:val="clear" w:color="auto" w:fill="auto"/>
            <w:noWrap/>
            <w:vAlign w:val="center"/>
            <w:hideMark/>
          </w:tcPr>
          <w:p w14:paraId="0A0612C1"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Cash and deposits</w:t>
            </w:r>
          </w:p>
        </w:tc>
        <w:tc>
          <w:tcPr>
            <w:tcW w:w="1205" w:type="dxa"/>
            <w:shd w:val="clear" w:color="auto" w:fill="auto"/>
            <w:noWrap/>
            <w:vAlign w:val="center"/>
            <w:hideMark/>
          </w:tcPr>
          <w:p w14:paraId="260A290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1.57%</w:t>
            </w:r>
          </w:p>
        </w:tc>
        <w:tc>
          <w:tcPr>
            <w:tcW w:w="1124" w:type="dxa"/>
            <w:shd w:val="clear" w:color="auto" w:fill="auto"/>
            <w:noWrap/>
            <w:vAlign w:val="center"/>
            <w:hideMark/>
          </w:tcPr>
          <w:p w14:paraId="6ED5247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93,812 </w:t>
            </w:r>
          </w:p>
        </w:tc>
        <w:tc>
          <w:tcPr>
            <w:tcW w:w="1124" w:type="dxa"/>
            <w:shd w:val="clear" w:color="auto" w:fill="auto"/>
            <w:noWrap/>
            <w:vAlign w:val="center"/>
            <w:hideMark/>
          </w:tcPr>
          <w:p w14:paraId="01E5627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57FFD82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7,552 </w:t>
            </w:r>
          </w:p>
        </w:tc>
        <w:tc>
          <w:tcPr>
            <w:tcW w:w="1124" w:type="dxa"/>
            <w:shd w:val="clear" w:color="auto" w:fill="auto"/>
            <w:noWrap/>
            <w:vAlign w:val="center"/>
            <w:hideMark/>
          </w:tcPr>
          <w:p w14:paraId="0D15523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86,260 </w:t>
            </w:r>
          </w:p>
        </w:tc>
      </w:tr>
      <w:tr w:rsidR="003E5BF5" w:rsidRPr="00293D7B" w14:paraId="3A21A5E4" w14:textId="77777777" w:rsidTr="00BA467D">
        <w:trPr>
          <w:trHeight w:val="340"/>
        </w:trPr>
        <w:tc>
          <w:tcPr>
            <w:tcW w:w="3372" w:type="dxa"/>
            <w:shd w:val="clear" w:color="auto" w:fill="auto"/>
            <w:noWrap/>
            <w:vAlign w:val="center"/>
            <w:hideMark/>
          </w:tcPr>
          <w:p w14:paraId="2FE69489"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xml:space="preserve">Receivables </w:t>
            </w:r>
            <w:r w:rsidRPr="00293D7B">
              <w:rPr>
                <w:rFonts w:ascii="Arial" w:hAnsi="Arial" w:cs="Arial"/>
                <w:sz w:val="24"/>
                <w:szCs w:val="24"/>
                <w:vertAlign w:val="superscript"/>
                <w:lang w:eastAsia="en-AU"/>
              </w:rPr>
              <w:t>(</w:t>
            </w:r>
            <w:proofErr w:type="spellStart"/>
            <w:r w:rsidRPr="00293D7B">
              <w:rPr>
                <w:rFonts w:ascii="Arial" w:hAnsi="Arial" w:cs="Arial"/>
                <w:sz w:val="24"/>
                <w:szCs w:val="24"/>
                <w:vertAlign w:val="superscript"/>
                <w:lang w:eastAsia="en-AU"/>
              </w:rPr>
              <w:t>i</w:t>
            </w:r>
            <w:proofErr w:type="spellEnd"/>
            <w:r w:rsidRPr="00293D7B">
              <w:rPr>
                <w:rFonts w:ascii="Arial" w:hAnsi="Arial" w:cs="Arial"/>
                <w:sz w:val="24"/>
                <w:szCs w:val="24"/>
                <w:vertAlign w:val="superscript"/>
                <w:lang w:eastAsia="en-AU"/>
              </w:rPr>
              <w:t>)</w:t>
            </w:r>
          </w:p>
        </w:tc>
        <w:tc>
          <w:tcPr>
            <w:tcW w:w="1205" w:type="dxa"/>
            <w:shd w:val="clear" w:color="auto" w:fill="auto"/>
            <w:noWrap/>
            <w:vAlign w:val="center"/>
            <w:hideMark/>
          </w:tcPr>
          <w:p w14:paraId="3BDD0B9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1124" w:type="dxa"/>
            <w:shd w:val="clear" w:color="auto" w:fill="auto"/>
            <w:noWrap/>
            <w:vAlign w:val="center"/>
            <w:hideMark/>
          </w:tcPr>
          <w:p w14:paraId="2A13303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25,196 </w:t>
            </w:r>
          </w:p>
        </w:tc>
        <w:tc>
          <w:tcPr>
            <w:tcW w:w="1124" w:type="dxa"/>
            <w:shd w:val="clear" w:color="auto" w:fill="auto"/>
            <w:noWrap/>
            <w:vAlign w:val="center"/>
            <w:hideMark/>
          </w:tcPr>
          <w:p w14:paraId="3D2DB84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1E04214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1F7DDA0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25,196 </w:t>
            </w:r>
          </w:p>
        </w:tc>
      </w:tr>
      <w:tr w:rsidR="003E5BF5" w:rsidRPr="00293D7B" w14:paraId="01B248F2" w14:textId="77777777" w:rsidTr="00BA467D">
        <w:trPr>
          <w:trHeight w:val="340"/>
        </w:trPr>
        <w:tc>
          <w:tcPr>
            <w:tcW w:w="3372" w:type="dxa"/>
            <w:shd w:val="clear" w:color="auto" w:fill="auto"/>
            <w:noWrap/>
            <w:vAlign w:val="center"/>
            <w:hideMark/>
          </w:tcPr>
          <w:p w14:paraId="37E5FEE2"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financial assets</w:t>
            </w:r>
          </w:p>
        </w:tc>
        <w:tc>
          <w:tcPr>
            <w:tcW w:w="1205" w:type="dxa"/>
            <w:shd w:val="clear" w:color="auto" w:fill="auto"/>
            <w:noWrap/>
            <w:vAlign w:val="center"/>
            <w:hideMark/>
          </w:tcPr>
          <w:p w14:paraId="0D7002E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124" w:type="dxa"/>
            <w:shd w:val="clear" w:color="auto" w:fill="auto"/>
            <w:noWrap/>
            <w:vAlign w:val="center"/>
            <w:hideMark/>
          </w:tcPr>
          <w:p w14:paraId="1D2B8FB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119,008 </w:t>
            </w:r>
          </w:p>
        </w:tc>
        <w:tc>
          <w:tcPr>
            <w:tcW w:w="1124" w:type="dxa"/>
            <w:shd w:val="clear" w:color="auto" w:fill="auto"/>
            <w:noWrap/>
            <w:vAlign w:val="center"/>
            <w:hideMark/>
          </w:tcPr>
          <w:p w14:paraId="2B3428E2"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 - </w:t>
            </w:r>
          </w:p>
        </w:tc>
        <w:tc>
          <w:tcPr>
            <w:tcW w:w="1124" w:type="dxa"/>
            <w:shd w:val="clear" w:color="auto" w:fill="auto"/>
            <w:noWrap/>
            <w:vAlign w:val="center"/>
            <w:hideMark/>
          </w:tcPr>
          <w:p w14:paraId="0B1126B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7,552 </w:t>
            </w:r>
          </w:p>
        </w:tc>
        <w:tc>
          <w:tcPr>
            <w:tcW w:w="1124" w:type="dxa"/>
            <w:shd w:val="clear" w:color="auto" w:fill="auto"/>
            <w:noWrap/>
            <w:vAlign w:val="center"/>
            <w:hideMark/>
          </w:tcPr>
          <w:p w14:paraId="2C061DCF"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111,456 </w:t>
            </w:r>
          </w:p>
        </w:tc>
      </w:tr>
      <w:tr w:rsidR="003E5BF5" w:rsidRPr="00293D7B" w14:paraId="6F26BF6B" w14:textId="77777777" w:rsidTr="00BA467D">
        <w:trPr>
          <w:trHeight w:val="340"/>
        </w:trPr>
        <w:tc>
          <w:tcPr>
            <w:tcW w:w="3372" w:type="dxa"/>
            <w:shd w:val="clear" w:color="auto" w:fill="auto"/>
            <w:noWrap/>
            <w:vAlign w:val="center"/>
            <w:hideMark/>
          </w:tcPr>
          <w:p w14:paraId="2FA52EFA" w14:textId="77777777" w:rsidR="003E5BF5" w:rsidRPr="00293D7B" w:rsidRDefault="003E5BF5" w:rsidP="00604703">
            <w:pPr>
              <w:pStyle w:val="TableTextGreen"/>
            </w:pPr>
            <w:r w:rsidRPr="00293D7B">
              <w:t>Financial liabilities</w:t>
            </w:r>
          </w:p>
        </w:tc>
        <w:tc>
          <w:tcPr>
            <w:tcW w:w="1205" w:type="dxa"/>
            <w:shd w:val="clear" w:color="auto" w:fill="auto"/>
            <w:noWrap/>
            <w:vAlign w:val="center"/>
            <w:hideMark/>
          </w:tcPr>
          <w:p w14:paraId="6F07F61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124" w:type="dxa"/>
            <w:shd w:val="clear" w:color="auto" w:fill="auto"/>
            <w:noWrap/>
            <w:vAlign w:val="center"/>
            <w:hideMark/>
          </w:tcPr>
          <w:p w14:paraId="1F7926A7" w14:textId="77777777" w:rsidR="003E5BF5" w:rsidRPr="00293D7B" w:rsidRDefault="003E5BF5" w:rsidP="00DE1921">
            <w:pPr>
              <w:jc w:val="right"/>
              <w:rPr>
                <w:rFonts w:ascii="Arial" w:hAnsi="Arial" w:cs="Arial"/>
                <w:b/>
                <w:sz w:val="24"/>
                <w:szCs w:val="24"/>
                <w:lang w:eastAsia="en-AU"/>
              </w:rPr>
            </w:pPr>
          </w:p>
        </w:tc>
        <w:tc>
          <w:tcPr>
            <w:tcW w:w="1124" w:type="dxa"/>
            <w:shd w:val="clear" w:color="auto" w:fill="auto"/>
            <w:noWrap/>
            <w:vAlign w:val="center"/>
            <w:hideMark/>
          </w:tcPr>
          <w:p w14:paraId="05CC9B08" w14:textId="77777777" w:rsidR="003E5BF5" w:rsidRPr="00293D7B" w:rsidRDefault="003E5BF5" w:rsidP="00DE1921">
            <w:pPr>
              <w:jc w:val="right"/>
              <w:rPr>
                <w:rFonts w:ascii="Arial" w:hAnsi="Arial" w:cs="Arial"/>
                <w:b/>
                <w:sz w:val="24"/>
                <w:szCs w:val="24"/>
                <w:lang w:eastAsia="en-AU"/>
              </w:rPr>
            </w:pPr>
          </w:p>
        </w:tc>
        <w:tc>
          <w:tcPr>
            <w:tcW w:w="1124" w:type="dxa"/>
            <w:shd w:val="clear" w:color="auto" w:fill="auto"/>
            <w:noWrap/>
            <w:vAlign w:val="center"/>
            <w:hideMark/>
          </w:tcPr>
          <w:p w14:paraId="15642487" w14:textId="77777777" w:rsidR="003E5BF5" w:rsidRPr="00293D7B" w:rsidRDefault="003E5BF5" w:rsidP="00DE1921">
            <w:pPr>
              <w:jc w:val="right"/>
              <w:rPr>
                <w:rFonts w:ascii="Arial" w:hAnsi="Arial" w:cs="Arial"/>
                <w:b/>
                <w:sz w:val="24"/>
                <w:szCs w:val="24"/>
                <w:lang w:eastAsia="en-AU"/>
              </w:rPr>
            </w:pPr>
          </w:p>
        </w:tc>
        <w:tc>
          <w:tcPr>
            <w:tcW w:w="1124" w:type="dxa"/>
            <w:shd w:val="clear" w:color="auto" w:fill="auto"/>
            <w:noWrap/>
            <w:vAlign w:val="center"/>
            <w:hideMark/>
          </w:tcPr>
          <w:p w14:paraId="3DD9FF5F" w14:textId="77777777" w:rsidR="003E5BF5" w:rsidRPr="00293D7B" w:rsidRDefault="003E5BF5" w:rsidP="00DE1921">
            <w:pPr>
              <w:jc w:val="right"/>
              <w:rPr>
                <w:rFonts w:ascii="Arial" w:hAnsi="Arial" w:cs="Arial"/>
                <w:b/>
                <w:sz w:val="24"/>
                <w:szCs w:val="24"/>
                <w:lang w:eastAsia="en-AU"/>
              </w:rPr>
            </w:pPr>
          </w:p>
        </w:tc>
      </w:tr>
      <w:tr w:rsidR="003E5BF5" w:rsidRPr="00293D7B" w14:paraId="0AAC218C" w14:textId="77777777" w:rsidTr="00BA467D">
        <w:trPr>
          <w:trHeight w:val="340"/>
        </w:trPr>
        <w:tc>
          <w:tcPr>
            <w:tcW w:w="3372" w:type="dxa"/>
            <w:shd w:val="clear" w:color="auto" w:fill="auto"/>
            <w:noWrap/>
            <w:vAlign w:val="center"/>
            <w:hideMark/>
          </w:tcPr>
          <w:p w14:paraId="3C8A58E4"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Payables</w:t>
            </w:r>
            <w:r w:rsidRPr="00293D7B">
              <w:rPr>
                <w:rFonts w:ascii="Arial" w:hAnsi="Arial" w:cs="Arial"/>
                <w:sz w:val="24"/>
                <w:szCs w:val="24"/>
                <w:vertAlign w:val="superscript"/>
                <w:lang w:eastAsia="en-AU"/>
              </w:rPr>
              <w:t>(</w:t>
            </w:r>
            <w:proofErr w:type="spellStart"/>
            <w:r w:rsidRPr="00293D7B">
              <w:rPr>
                <w:rFonts w:ascii="Arial" w:hAnsi="Arial" w:cs="Arial"/>
                <w:sz w:val="24"/>
                <w:szCs w:val="24"/>
                <w:vertAlign w:val="superscript"/>
                <w:lang w:eastAsia="en-AU"/>
              </w:rPr>
              <w:t>i</w:t>
            </w:r>
            <w:proofErr w:type="spellEnd"/>
            <w:r w:rsidRPr="00293D7B">
              <w:rPr>
                <w:rFonts w:ascii="Arial" w:hAnsi="Arial" w:cs="Arial"/>
                <w:sz w:val="24"/>
                <w:szCs w:val="24"/>
                <w:vertAlign w:val="superscript"/>
                <w:lang w:eastAsia="en-AU"/>
              </w:rPr>
              <w:t>)</w:t>
            </w:r>
          </w:p>
        </w:tc>
        <w:tc>
          <w:tcPr>
            <w:tcW w:w="1205" w:type="dxa"/>
            <w:shd w:val="clear" w:color="auto" w:fill="auto"/>
            <w:noWrap/>
            <w:vAlign w:val="center"/>
            <w:hideMark/>
          </w:tcPr>
          <w:p w14:paraId="228107C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1124" w:type="dxa"/>
            <w:shd w:val="clear" w:color="auto" w:fill="auto"/>
            <w:noWrap/>
            <w:vAlign w:val="center"/>
            <w:hideMark/>
          </w:tcPr>
          <w:p w14:paraId="4B136AA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1,400,643 </w:t>
            </w:r>
          </w:p>
        </w:tc>
        <w:tc>
          <w:tcPr>
            <w:tcW w:w="1124" w:type="dxa"/>
            <w:shd w:val="clear" w:color="auto" w:fill="auto"/>
            <w:noWrap/>
            <w:vAlign w:val="center"/>
            <w:hideMark/>
          </w:tcPr>
          <w:p w14:paraId="42EF65F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752720F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7927E5E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1,400,643 </w:t>
            </w:r>
          </w:p>
        </w:tc>
      </w:tr>
      <w:tr w:rsidR="003E5BF5" w:rsidRPr="00293D7B" w14:paraId="47E28384" w14:textId="77777777" w:rsidTr="00BA467D">
        <w:trPr>
          <w:trHeight w:val="340"/>
        </w:trPr>
        <w:tc>
          <w:tcPr>
            <w:tcW w:w="3372" w:type="dxa"/>
            <w:shd w:val="clear" w:color="auto" w:fill="auto"/>
            <w:noWrap/>
            <w:vAlign w:val="center"/>
            <w:hideMark/>
          </w:tcPr>
          <w:p w14:paraId="088F9BC1"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Lease liabilities</w:t>
            </w:r>
          </w:p>
        </w:tc>
        <w:tc>
          <w:tcPr>
            <w:tcW w:w="1205" w:type="dxa"/>
            <w:shd w:val="clear" w:color="auto" w:fill="auto"/>
            <w:noWrap/>
            <w:vAlign w:val="center"/>
            <w:hideMark/>
          </w:tcPr>
          <w:p w14:paraId="0856EED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3.20%</w:t>
            </w:r>
          </w:p>
        </w:tc>
        <w:tc>
          <w:tcPr>
            <w:tcW w:w="1124" w:type="dxa"/>
            <w:shd w:val="clear" w:color="auto" w:fill="auto"/>
            <w:noWrap/>
            <w:vAlign w:val="center"/>
            <w:hideMark/>
          </w:tcPr>
          <w:p w14:paraId="0A14882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3,582 </w:t>
            </w:r>
          </w:p>
        </w:tc>
        <w:tc>
          <w:tcPr>
            <w:tcW w:w="1124" w:type="dxa"/>
            <w:shd w:val="clear" w:color="auto" w:fill="auto"/>
            <w:noWrap/>
            <w:vAlign w:val="center"/>
            <w:hideMark/>
          </w:tcPr>
          <w:p w14:paraId="50B79A1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3,582 </w:t>
            </w:r>
          </w:p>
        </w:tc>
        <w:tc>
          <w:tcPr>
            <w:tcW w:w="1124" w:type="dxa"/>
            <w:shd w:val="clear" w:color="auto" w:fill="auto"/>
            <w:noWrap/>
            <w:vAlign w:val="center"/>
            <w:hideMark/>
          </w:tcPr>
          <w:p w14:paraId="2E9FCD2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438E5F1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r>
      <w:tr w:rsidR="003E5BF5" w:rsidRPr="00293D7B" w14:paraId="34A35E2D" w14:textId="77777777" w:rsidTr="00BA467D">
        <w:trPr>
          <w:trHeight w:val="340"/>
        </w:trPr>
        <w:tc>
          <w:tcPr>
            <w:tcW w:w="3372" w:type="dxa"/>
            <w:shd w:val="clear" w:color="auto" w:fill="auto"/>
            <w:noWrap/>
            <w:vAlign w:val="center"/>
            <w:hideMark/>
          </w:tcPr>
          <w:p w14:paraId="57DC4574"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Service concession financial liability</w:t>
            </w:r>
          </w:p>
        </w:tc>
        <w:tc>
          <w:tcPr>
            <w:tcW w:w="1205" w:type="dxa"/>
            <w:shd w:val="clear" w:color="auto" w:fill="auto"/>
            <w:noWrap/>
            <w:vAlign w:val="center"/>
            <w:hideMark/>
          </w:tcPr>
          <w:p w14:paraId="38615F9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5.21%</w:t>
            </w:r>
          </w:p>
        </w:tc>
        <w:tc>
          <w:tcPr>
            <w:tcW w:w="1124" w:type="dxa"/>
            <w:shd w:val="clear" w:color="auto" w:fill="auto"/>
            <w:noWrap/>
            <w:vAlign w:val="center"/>
            <w:hideMark/>
          </w:tcPr>
          <w:p w14:paraId="0A9BEAC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3,136,101 </w:t>
            </w:r>
          </w:p>
        </w:tc>
        <w:tc>
          <w:tcPr>
            <w:tcW w:w="1124" w:type="dxa"/>
            <w:shd w:val="clear" w:color="auto" w:fill="auto"/>
            <w:noWrap/>
            <w:vAlign w:val="center"/>
            <w:hideMark/>
          </w:tcPr>
          <w:p w14:paraId="1A8AE1D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3,105,234 </w:t>
            </w:r>
          </w:p>
        </w:tc>
        <w:tc>
          <w:tcPr>
            <w:tcW w:w="1124" w:type="dxa"/>
            <w:shd w:val="clear" w:color="auto" w:fill="auto"/>
            <w:noWrap/>
            <w:vAlign w:val="center"/>
            <w:hideMark/>
          </w:tcPr>
          <w:p w14:paraId="5D0686C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5E6DC82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30,867 </w:t>
            </w:r>
          </w:p>
        </w:tc>
      </w:tr>
      <w:tr w:rsidR="003E5BF5" w:rsidRPr="00293D7B" w14:paraId="3D64E305" w14:textId="77777777" w:rsidTr="00BA467D">
        <w:trPr>
          <w:trHeight w:val="340"/>
        </w:trPr>
        <w:tc>
          <w:tcPr>
            <w:tcW w:w="3372" w:type="dxa"/>
            <w:shd w:val="clear" w:color="auto" w:fill="auto"/>
            <w:noWrap/>
            <w:vAlign w:val="center"/>
            <w:hideMark/>
          </w:tcPr>
          <w:p w14:paraId="7A60A30F"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Advances from Government</w:t>
            </w:r>
          </w:p>
        </w:tc>
        <w:tc>
          <w:tcPr>
            <w:tcW w:w="1205" w:type="dxa"/>
            <w:shd w:val="clear" w:color="auto" w:fill="auto"/>
            <w:noWrap/>
            <w:vAlign w:val="center"/>
            <w:hideMark/>
          </w:tcPr>
          <w:p w14:paraId="685C77E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1124" w:type="dxa"/>
            <w:shd w:val="clear" w:color="auto" w:fill="auto"/>
            <w:noWrap/>
            <w:vAlign w:val="center"/>
            <w:hideMark/>
          </w:tcPr>
          <w:p w14:paraId="3E71942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85,953 </w:t>
            </w:r>
          </w:p>
        </w:tc>
        <w:tc>
          <w:tcPr>
            <w:tcW w:w="1124" w:type="dxa"/>
            <w:shd w:val="clear" w:color="auto" w:fill="auto"/>
            <w:noWrap/>
            <w:vAlign w:val="center"/>
            <w:hideMark/>
          </w:tcPr>
          <w:p w14:paraId="264D092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7464584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489CAB4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85,953 </w:t>
            </w:r>
          </w:p>
        </w:tc>
      </w:tr>
      <w:tr w:rsidR="003E5BF5" w:rsidRPr="00293D7B" w14:paraId="3964E7FD" w14:textId="77777777" w:rsidTr="00BA467D">
        <w:trPr>
          <w:trHeight w:val="340"/>
        </w:trPr>
        <w:tc>
          <w:tcPr>
            <w:tcW w:w="3372" w:type="dxa"/>
            <w:shd w:val="clear" w:color="auto" w:fill="auto"/>
            <w:noWrap/>
            <w:vAlign w:val="center"/>
            <w:hideMark/>
          </w:tcPr>
          <w:p w14:paraId="6266112E"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xml:space="preserve">Advances from </w:t>
            </w:r>
            <w:proofErr w:type="spellStart"/>
            <w:r w:rsidRPr="00293D7B">
              <w:rPr>
                <w:rFonts w:ascii="Arial" w:hAnsi="Arial" w:cs="Arial"/>
                <w:sz w:val="24"/>
                <w:szCs w:val="24"/>
                <w:lang w:eastAsia="en-AU"/>
              </w:rPr>
              <w:t>non public</w:t>
            </w:r>
            <w:proofErr w:type="spellEnd"/>
            <w:r w:rsidRPr="00293D7B">
              <w:rPr>
                <w:rFonts w:ascii="Arial" w:hAnsi="Arial" w:cs="Arial"/>
                <w:sz w:val="24"/>
                <w:szCs w:val="24"/>
                <w:lang w:eastAsia="en-AU"/>
              </w:rPr>
              <w:t xml:space="preserve"> sector</w:t>
            </w:r>
          </w:p>
        </w:tc>
        <w:tc>
          <w:tcPr>
            <w:tcW w:w="1205" w:type="dxa"/>
            <w:shd w:val="clear" w:color="auto" w:fill="auto"/>
            <w:noWrap/>
            <w:vAlign w:val="center"/>
            <w:hideMark/>
          </w:tcPr>
          <w:p w14:paraId="00ADEDC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4.90%</w:t>
            </w:r>
          </w:p>
        </w:tc>
        <w:tc>
          <w:tcPr>
            <w:tcW w:w="1124" w:type="dxa"/>
            <w:shd w:val="clear" w:color="auto" w:fill="auto"/>
            <w:noWrap/>
            <w:vAlign w:val="center"/>
            <w:hideMark/>
          </w:tcPr>
          <w:p w14:paraId="2B888E0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99,776 </w:t>
            </w:r>
          </w:p>
        </w:tc>
        <w:tc>
          <w:tcPr>
            <w:tcW w:w="1124" w:type="dxa"/>
            <w:shd w:val="clear" w:color="auto" w:fill="auto"/>
            <w:noWrap/>
            <w:vAlign w:val="center"/>
            <w:hideMark/>
          </w:tcPr>
          <w:p w14:paraId="30BD004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99,776 </w:t>
            </w:r>
          </w:p>
        </w:tc>
        <w:tc>
          <w:tcPr>
            <w:tcW w:w="1124" w:type="dxa"/>
            <w:shd w:val="clear" w:color="auto" w:fill="auto"/>
            <w:noWrap/>
            <w:vAlign w:val="center"/>
            <w:hideMark/>
          </w:tcPr>
          <w:p w14:paraId="5DC16EF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c>
          <w:tcPr>
            <w:tcW w:w="1124" w:type="dxa"/>
            <w:shd w:val="clear" w:color="auto" w:fill="auto"/>
            <w:noWrap/>
            <w:vAlign w:val="center"/>
            <w:hideMark/>
          </w:tcPr>
          <w:p w14:paraId="60C9D10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 </w:t>
            </w:r>
          </w:p>
        </w:tc>
      </w:tr>
      <w:tr w:rsidR="003E5BF5" w:rsidRPr="00293D7B" w14:paraId="3499943E" w14:textId="77777777" w:rsidTr="00BA467D">
        <w:trPr>
          <w:trHeight w:val="340"/>
        </w:trPr>
        <w:tc>
          <w:tcPr>
            <w:tcW w:w="3372" w:type="dxa"/>
            <w:tcBorders>
              <w:bottom w:val="nil"/>
            </w:tcBorders>
            <w:shd w:val="clear" w:color="auto" w:fill="auto"/>
            <w:noWrap/>
            <w:vAlign w:val="center"/>
            <w:hideMark/>
          </w:tcPr>
          <w:p w14:paraId="6F24A4B5"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financial liabilities</w:t>
            </w:r>
          </w:p>
        </w:tc>
        <w:tc>
          <w:tcPr>
            <w:tcW w:w="1205" w:type="dxa"/>
            <w:tcBorders>
              <w:bottom w:val="nil"/>
            </w:tcBorders>
            <w:shd w:val="clear" w:color="auto" w:fill="auto"/>
            <w:noWrap/>
            <w:vAlign w:val="center"/>
            <w:hideMark/>
          </w:tcPr>
          <w:p w14:paraId="6BCF9EC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124" w:type="dxa"/>
            <w:tcBorders>
              <w:bottom w:val="nil"/>
            </w:tcBorders>
            <w:shd w:val="clear" w:color="auto" w:fill="auto"/>
            <w:noWrap/>
            <w:vAlign w:val="center"/>
            <w:hideMark/>
          </w:tcPr>
          <w:p w14:paraId="170A1447"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4,726,055 </w:t>
            </w:r>
          </w:p>
        </w:tc>
        <w:tc>
          <w:tcPr>
            <w:tcW w:w="1124" w:type="dxa"/>
            <w:tcBorders>
              <w:bottom w:val="nil"/>
            </w:tcBorders>
            <w:shd w:val="clear" w:color="auto" w:fill="auto"/>
            <w:noWrap/>
            <w:vAlign w:val="center"/>
            <w:hideMark/>
          </w:tcPr>
          <w:p w14:paraId="78B8AA40"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3,208,592 </w:t>
            </w:r>
          </w:p>
        </w:tc>
        <w:tc>
          <w:tcPr>
            <w:tcW w:w="1124" w:type="dxa"/>
            <w:tcBorders>
              <w:bottom w:val="nil"/>
            </w:tcBorders>
            <w:shd w:val="clear" w:color="auto" w:fill="auto"/>
            <w:noWrap/>
            <w:vAlign w:val="center"/>
            <w:hideMark/>
          </w:tcPr>
          <w:p w14:paraId="5F685DDF"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 - </w:t>
            </w:r>
          </w:p>
        </w:tc>
        <w:tc>
          <w:tcPr>
            <w:tcW w:w="1124" w:type="dxa"/>
            <w:tcBorders>
              <w:bottom w:val="nil"/>
            </w:tcBorders>
            <w:shd w:val="clear" w:color="auto" w:fill="auto"/>
            <w:noWrap/>
            <w:vAlign w:val="center"/>
            <w:hideMark/>
          </w:tcPr>
          <w:p w14:paraId="41E62155"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1,517,463 </w:t>
            </w:r>
          </w:p>
        </w:tc>
      </w:tr>
    </w:tbl>
    <w:p w14:paraId="1740F202" w14:textId="77777777" w:rsidR="00BA467D" w:rsidRPr="00293D7B" w:rsidRDefault="00BA467D" w:rsidP="00BA467D">
      <w:pPr>
        <w:pStyle w:val="Note"/>
        <w:rPr>
          <w:rFonts w:ascii="Arial" w:hAnsi="Arial" w:cs="Arial"/>
          <w:sz w:val="24"/>
          <w:szCs w:val="24"/>
        </w:rPr>
      </w:pPr>
      <w:r w:rsidRPr="00293D7B">
        <w:rPr>
          <w:rFonts w:ascii="Arial" w:hAnsi="Arial" w:cs="Arial"/>
          <w:sz w:val="24"/>
          <w:szCs w:val="24"/>
        </w:rPr>
        <w:t xml:space="preserve">Note: </w:t>
      </w:r>
    </w:p>
    <w:p w14:paraId="3190F538" w14:textId="77777777" w:rsidR="00BA467D" w:rsidRPr="00293D7B" w:rsidRDefault="00BA467D" w:rsidP="00610F5F">
      <w:pPr>
        <w:pStyle w:val="aaaNotenumberiiiiii"/>
        <w:numPr>
          <w:ilvl w:val="0"/>
          <w:numId w:val="121"/>
        </w:numPr>
      </w:pPr>
      <w:r w:rsidRPr="00293D7B">
        <w:t>The carrying amounts disclosed include statutory and contractual payables (e.g. GST payable).</w:t>
      </w:r>
    </w:p>
    <w:p w14:paraId="755322FD" w14:textId="77777777" w:rsidR="003E5BF5" w:rsidRDefault="003E5BF5" w:rsidP="00DE1921">
      <w:pPr>
        <w:rPr>
          <w:b/>
          <w:bCs/>
        </w:rPr>
      </w:pPr>
      <w:r>
        <w:rPr>
          <w:b/>
          <w:bCs/>
        </w:rPr>
        <w:br w:type="page"/>
      </w:r>
    </w:p>
    <w:p w14:paraId="73FC5E26" w14:textId="77777777" w:rsidR="003E5BF5" w:rsidRDefault="003E5BF5" w:rsidP="00610F5F">
      <w:pPr>
        <w:pStyle w:val="Heading2"/>
        <w:numPr>
          <w:ilvl w:val="1"/>
          <w:numId w:val="22"/>
        </w:numPr>
        <w:sectPr w:rsidR="003E5BF5" w:rsidSect="00DE1921">
          <w:headerReference w:type="even" r:id="rId186"/>
          <w:headerReference w:type="default" r:id="rId187"/>
          <w:headerReference w:type="first" r:id="rId188"/>
          <w:pgSz w:w="11906" w:h="16838"/>
          <w:pgMar w:top="1701" w:right="1418" w:bottom="1418" w:left="1418" w:header="708" w:footer="708" w:gutter="0"/>
          <w:cols w:space="708"/>
          <w:docGrid w:linePitch="360"/>
        </w:sectPr>
      </w:pPr>
      <w:bookmarkStart w:id="556" w:name="_Toc522177987"/>
      <w:bookmarkStart w:id="557" w:name="_Toc529197932"/>
      <w:bookmarkStart w:id="558" w:name="_Toc529197999"/>
      <w:bookmarkStart w:id="559" w:name="_Toc530386196"/>
      <w:bookmarkStart w:id="560" w:name="_Toc9344348"/>
      <w:bookmarkStart w:id="561" w:name="_Toc41469636"/>
      <w:bookmarkStart w:id="562" w:name="_Toc53420687"/>
      <w:r w:rsidRPr="007444F0">
        <w:lastRenderedPageBreak/>
        <w:t>Contingent assets and contingent liabilities</w:t>
      </w:r>
      <w:bookmarkEnd w:id="556"/>
      <w:bookmarkEnd w:id="557"/>
      <w:bookmarkEnd w:id="558"/>
      <w:bookmarkEnd w:id="559"/>
      <w:bookmarkEnd w:id="560"/>
      <w:bookmarkEnd w:id="561"/>
      <w:bookmarkEnd w:id="562"/>
    </w:p>
    <w:p w14:paraId="33B4C0C8" w14:textId="77777777" w:rsidR="003E5BF5" w:rsidRDefault="003E5BF5" w:rsidP="00D74D26">
      <w:pPr>
        <w:pStyle w:val="aaatyping"/>
        <w:sectPr w:rsidR="003E5BF5" w:rsidSect="00DE1921">
          <w:type w:val="continuous"/>
          <w:pgSz w:w="11906" w:h="16838"/>
          <w:pgMar w:top="1701" w:right="1418" w:bottom="1418" w:left="1418" w:header="708" w:footer="708" w:gutter="0"/>
          <w:cols w:space="284"/>
          <w:docGrid w:linePitch="360"/>
        </w:sectPr>
      </w:pPr>
      <w:r w:rsidRPr="007444F0">
        <w:t>Contingent assets and contingent liabilities are not recognised in the balance sheet, but are disclosed by way of a note and, if quantifiable, are measured at nominal value. Contingent assets and liabilities are presented inclusive of GST receivable or payable respectively.</w:t>
      </w:r>
    </w:p>
    <w:p w14:paraId="38548A1B" w14:textId="77777777" w:rsidR="003E5BF5" w:rsidRPr="007444F0" w:rsidRDefault="003E5BF5" w:rsidP="008A0170">
      <w:pPr>
        <w:pStyle w:val="Heading3"/>
      </w:pPr>
      <w:r w:rsidRPr="007444F0">
        <w:t>Contingent assets</w:t>
      </w:r>
    </w:p>
    <w:p w14:paraId="1E42F24C" w14:textId="77777777" w:rsidR="003E5BF5" w:rsidRDefault="003E5BF5" w:rsidP="00D74D26">
      <w:pPr>
        <w:pStyle w:val="aaatyping"/>
      </w:pPr>
      <w:r w:rsidRPr="007444F0">
        <w:t xml:space="preserve">Contingent assets are possible assets that arise from past events, whose existence will be confirmed only by the occurrence or non-occurrence of one or more uncertain future events not wholly within the control of the </w:t>
      </w:r>
      <w:r>
        <w:t>department</w:t>
      </w:r>
      <w:r w:rsidRPr="007444F0">
        <w:t>.</w:t>
      </w:r>
    </w:p>
    <w:p w14:paraId="095601D7" w14:textId="77777777" w:rsidR="003E5BF5" w:rsidRDefault="003E5BF5" w:rsidP="00EF5131">
      <w:pPr>
        <w:pStyle w:val="Heading5"/>
        <w:rPr>
          <w:sz w:val="16"/>
        </w:rPr>
      </w:pPr>
      <w:r>
        <w:t>Q</w:t>
      </w:r>
      <w:r w:rsidRPr="007444F0">
        <w:t xml:space="preserve">uantifiable contingent </w:t>
      </w:r>
      <w:r>
        <w:t>assets</w:t>
      </w:r>
    </w:p>
    <w:tbl>
      <w:tblPr>
        <w:tblStyle w:val="TableGrid"/>
        <w:tblW w:w="0" w:type="auto"/>
        <w:tblLayout w:type="fixed"/>
        <w:tblLook w:val="04A0" w:firstRow="1" w:lastRow="0" w:firstColumn="1" w:lastColumn="0" w:noHBand="0" w:noVBand="1"/>
      </w:tblPr>
      <w:tblGrid>
        <w:gridCol w:w="5715"/>
        <w:gridCol w:w="1672"/>
        <w:gridCol w:w="1673"/>
      </w:tblGrid>
      <w:tr w:rsidR="003E5BF5" w:rsidRPr="00293D7B" w14:paraId="43D1930F" w14:textId="77777777" w:rsidTr="002C6B54">
        <w:trPr>
          <w:trHeight w:val="340"/>
        </w:trPr>
        <w:tc>
          <w:tcPr>
            <w:tcW w:w="5715" w:type="dxa"/>
            <w:shd w:val="clear" w:color="auto" w:fill="auto"/>
            <w:noWrap/>
            <w:vAlign w:val="center"/>
            <w:hideMark/>
          </w:tcPr>
          <w:p w14:paraId="4391395F" w14:textId="77777777" w:rsidR="003E5BF5" w:rsidRPr="00293D7B" w:rsidRDefault="003E5BF5" w:rsidP="00DE1921">
            <w:pPr>
              <w:rPr>
                <w:rFonts w:ascii="Arial" w:hAnsi="Arial" w:cs="Arial"/>
                <w:sz w:val="24"/>
                <w:szCs w:val="24"/>
              </w:rPr>
            </w:pPr>
          </w:p>
        </w:tc>
        <w:tc>
          <w:tcPr>
            <w:tcW w:w="3345" w:type="dxa"/>
            <w:gridSpan w:val="2"/>
            <w:shd w:val="clear" w:color="auto" w:fill="auto"/>
            <w:noWrap/>
            <w:vAlign w:val="center"/>
            <w:hideMark/>
          </w:tcPr>
          <w:p w14:paraId="3552C80E" w14:textId="77777777" w:rsidR="003E5BF5" w:rsidRPr="00293D7B" w:rsidRDefault="003E5BF5" w:rsidP="00DE1921">
            <w:pPr>
              <w:jc w:val="center"/>
              <w:rPr>
                <w:rFonts w:ascii="Arial" w:hAnsi="Arial" w:cs="Arial"/>
                <w:b/>
                <w:sz w:val="24"/>
                <w:szCs w:val="24"/>
              </w:rPr>
            </w:pPr>
            <w:r w:rsidRPr="00293D7B">
              <w:rPr>
                <w:rFonts w:ascii="Arial" w:hAnsi="Arial" w:cs="Arial"/>
                <w:b/>
                <w:sz w:val="24"/>
                <w:szCs w:val="24"/>
              </w:rPr>
              <w:t>($ thousand)</w:t>
            </w:r>
          </w:p>
        </w:tc>
      </w:tr>
      <w:tr w:rsidR="003E5BF5" w:rsidRPr="00293D7B" w14:paraId="27F0CF71" w14:textId="77777777" w:rsidTr="002C6B54">
        <w:trPr>
          <w:trHeight w:val="340"/>
        </w:trPr>
        <w:tc>
          <w:tcPr>
            <w:tcW w:w="5715" w:type="dxa"/>
            <w:shd w:val="clear" w:color="auto" w:fill="auto"/>
            <w:noWrap/>
            <w:vAlign w:val="center"/>
            <w:hideMark/>
          </w:tcPr>
          <w:p w14:paraId="5A037559" w14:textId="77777777" w:rsidR="003E5BF5" w:rsidRPr="00293D7B" w:rsidRDefault="003E5BF5" w:rsidP="00DE1921">
            <w:pPr>
              <w:rPr>
                <w:rFonts w:ascii="Arial" w:hAnsi="Arial" w:cs="Arial"/>
                <w:sz w:val="24"/>
                <w:szCs w:val="24"/>
              </w:rPr>
            </w:pPr>
          </w:p>
        </w:tc>
        <w:tc>
          <w:tcPr>
            <w:tcW w:w="1672" w:type="dxa"/>
            <w:shd w:val="clear" w:color="auto" w:fill="auto"/>
            <w:noWrap/>
            <w:vAlign w:val="center"/>
            <w:hideMark/>
          </w:tcPr>
          <w:p w14:paraId="51B9BB6F"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2020</w:t>
            </w:r>
          </w:p>
        </w:tc>
        <w:tc>
          <w:tcPr>
            <w:tcW w:w="1673" w:type="dxa"/>
            <w:shd w:val="clear" w:color="auto" w:fill="auto"/>
            <w:noWrap/>
            <w:vAlign w:val="center"/>
            <w:hideMark/>
          </w:tcPr>
          <w:p w14:paraId="5D5884F0"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2019</w:t>
            </w:r>
          </w:p>
        </w:tc>
      </w:tr>
      <w:tr w:rsidR="003E5BF5" w:rsidRPr="00293D7B" w14:paraId="00DFEAC8" w14:textId="77777777" w:rsidTr="002C6B54">
        <w:trPr>
          <w:trHeight w:val="340"/>
        </w:trPr>
        <w:tc>
          <w:tcPr>
            <w:tcW w:w="5715" w:type="dxa"/>
            <w:shd w:val="clear" w:color="auto" w:fill="auto"/>
            <w:noWrap/>
            <w:vAlign w:val="center"/>
            <w:hideMark/>
          </w:tcPr>
          <w:p w14:paraId="5C52FD3D" w14:textId="77777777" w:rsidR="003E5BF5" w:rsidRPr="00293D7B" w:rsidRDefault="003E5BF5" w:rsidP="00DE1921">
            <w:pPr>
              <w:rPr>
                <w:rFonts w:ascii="Arial" w:hAnsi="Arial" w:cs="Arial"/>
                <w:sz w:val="24"/>
                <w:szCs w:val="24"/>
              </w:rPr>
            </w:pPr>
            <w:r w:rsidRPr="00293D7B">
              <w:rPr>
                <w:rFonts w:ascii="Arial" w:hAnsi="Arial" w:cs="Arial"/>
                <w:sz w:val="24"/>
                <w:szCs w:val="24"/>
              </w:rPr>
              <w:t>Insurance claims</w:t>
            </w:r>
          </w:p>
        </w:tc>
        <w:tc>
          <w:tcPr>
            <w:tcW w:w="1672" w:type="dxa"/>
            <w:shd w:val="clear" w:color="auto" w:fill="auto"/>
            <w:noWrap/>
            <w:vAlign w:val="center"/>
            <w:hideMark/>
          </w:tcPr>
          <w:p w14:paraId="76C9E92B"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24,515 </w:t>
            </w:r>
          </w:p>
        </w:tc>
        <w:tc>
          <w:tcPr>
            <w:tcW w:w="1673" w:type="dxa"/>
            <w:shd w:val="clear" w:color="auto" w:fill="auto"/>
            <w:noWrap/>
            <w:vAlign w:val="center"/>
            <w:hideMark/>
          </w:tcPr>
          <w:p w14:paraId="3B0318EC"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r>
      <w:tr w:rsidR="003E5BF5" w:rsidRPr="00293D7B" w14:paraId="4DEE6F34" w14:textId="77777777" w:rsidTr="002C6B54">
        <w:trPr>
          <w:trHeight w:val="340"/>
        </w:trPr>
        <w:tc>
          <w:tcPr>
            <w:tcW w:w="5715" w:type="dxa"/>
            <w:shd w:val="clear" w:color="auto" w:fill="auto"/>
            <w:noWrap/>
            <w:vAlign w:val="center"/>
            <w:hideMark/>
          </w:tcPr>
          <w:p w14:paraId="293EB45A" w14:textId="77777777" w:rsidR="003E5BF5" w:rsidRPr="00293D7B" w:rsidRDefault="003E5BF5" w:rsidP="00DE1921">
            <w:pPr>
              <w:rPr>
                <w:rFonts w:ascii="Arial" w:hAnsi="Arial" w:cs="Arial"/>
                <w:sz w:val="24"/>
                <w:szCs w:val="24"/>
              </w:rPr>
            </w:pPr>
            <w:r w:rsidRPr="00293D7B">
              <w:rPr>
                <w:rFonts w:ascii="Arial" w:hAnsi="Arial" w:cs="Arial"/>
                <w:sz w:val="24"/>
                <w:szCs w:val="24"/>
              </w:rPr>
              <w:t>Legal claims</w:t>
            </w:r>
          </w:p>
        </w:tc>
        <w:tc>
          <w:tcPr>
            <w:tcW w:w="1672" w:type="dxa"/>
            <w:shd w:val="clear" w:color="auto" w:fill="auto"/>
            <w:noWrap/>
            <w:vAlign w:val="center"/>
            <w:hideMark/>
          </w:tcPr>
          <w:p w14:paraId="6599B54A"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3,500 </w:t>
            </w:r>
          </w:p>
        </w:tc>
        <w:tc>
          <w:tcPr>
            <w:tcW w:w="1673" w:type="dxa"/>
            <w:shd w:val="clear" w:color="auto" w:fill="auto"/>
            <w:noWrap/>
            <w:vAlign w:val="center"/>
            <w:hideMark/>
          </w:tcPr>
          <w:p w14:paraId="54CCBFFF"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r>
      <w:tr w:rsidR="003E5BF5" w:rsidRPr="00293D7B" w14:paraId="52E6B744" w14:textId="77777777" w:rsidTr="002C6B54">
        <w:trPr>
          <w:trHeight w:val="340"/>
        </w:trPr>
        <w:tc>
          <w:tcPr>
            <w:tcW w:w="5715" w:type="dxa"/>
            <w:shd w:val="clear" w:color="auto" w:fill="auto"/>
            <w:noWrap/>
            <w:vAlign w:val="center"/>
            <w:hideMark/>
          </w:tcPr>
          <w:p w14:paraId="4F2D085D" w14:textId="77777777" w:rsidR="003E5BF5" w:rsidRPr="00293D7B" w:rsidRDefault="003E5BF5" w:rsidP="00DE1921">
            <w:pPr>
              <w:rPr>
                <w:rFonts w:ascii="Arial" w:hAnsi="Arial" w:cs="Arial"/>
                <w:b/>
                <w:sz w:val="24"/>
                <w:szCs w:val="24"/>
              </w:rPr>
            </w:pPr>
            <w:r w:rsidRPr="00293D7B">
              <w:rPr>
                <w:rFonts w:ascii="Arial" w:hAnsi="Arial" w:cs="Arial"/>
                <w:b/>
                <w:sz w:val="24"/>
                <w:szCs w:val="24"/>
              </w:rPr>
              <w:t>Total contingent assets</w:t>
            </w:r>
          </w:p>
        </w:tc>
        <w:tc>
          <w:tcPr>
            <w:tcW w:w="1672" w:type="dxa"/>
            <w:shd w:val="clear" w:color="auto" w:fill="auto"/>
            <w:noWrap/>
            <w:vAlign w:val="center"/>
            <w:hideMark/>
          </w:tcPr>
          <w:p w14:paraId="0DA6B5E6"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28,015 </w:t>
            </w:r>
          </w:p>
        </w:tc>
        <w:tc>
          <w:tcPr>
            <w:tcW w:w="1673" w:type="dxa"/>
            <w:shd w:val="clear" w:color="auto" w:fill="auto"/>
            <w:noWrap/>
            <w:vAlign w:val="center"/>
            <w:hideMark/>
          </w:tcPr>
          <w:p w14:paraId="4F9CF16D"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 - </w:t>
            </w:r>
          </w:p>
        </w:tc>
      </w:tr>
    </w:tbl>
    <w:p w14:paraId="78118F48" w14:textId="77777777" w:rsidR="003E5BF5" w:rsidRPr="005F443F" w:rsidRDefault="003E5BF5" w:rsidP="00DE1921"/>
    <w:p w14:paraId="54B2A65B" w14:textId="77777777" w:rsidR="003E5BF5" w:rsidRPr="007444F0" w:rsidRDefault="003E5BF5" w:rsidP="008A0170">
      <w:pPr>
        <w:pStyle w:val="Heading3"/>
      </w:pPr>
      <w:r w:rsidRPr="007444F0">
        <w:t>Contingent liabilities</w:t>
      </w:r>
    </w:p>
    <w:p w14:paraId="64A4CBCB" w14:textId="77777777" w:rsidR="003E5BF5" w:rsidRPr="007444F0" w:rsidRDefault="003E5BF5" w:rsidP="00D74D26">
      <w:pPr>
        <w:pStyle w:val="aaatyping"/>
      </w:pPr>
      <w:r w:rsidRPr="007444F0">
        <w:t>Contingent liabilities are:</w:t>
      </w:r>
    </w:p>
    <w:p w14:paraId="212B29AD" w14:textId="77777777" w:rsidR="003E5BF5" w:rsidRPr="007444F0" w:rsidRDefault="003E5BF5" w:rsidP="00D74D26">
      <w:pPr>
        <w:pStyle w:val="aaabullet"/>
      </w:pPr>
      <w:r w:rsidRPr="007444F0">
        <w:t>possible obligations that arise from past events, whose existence will be confirmed only by the occurrence or non-occurrence of one or more uncertain future events not wholly within the control of the entity, or</w:t>
      </w:r>
    </w:p>
    <w:p w14:paraId="0FEAA027" w14:textId="77777777" w:rsidR="003E5BF5" w:rsidRPr="007444F0" w:rsidRDefault="003E5BF5" w:rsidP="00D74D26">
      <w:pPr>
        <w:pStyle w:val="aaabullet"/>
      </w:pPr>
      <w:r w:rsidRPr="007444F0">
        <w:t>present obligations that arise from past events but are not recognised because:</w:t>
      </w:r>
    </w:p>
    <w:p w14:paraId="370EA487" w14:textId="77777777" w:rsidR="003E5BF5" w:rsidRPr="007444F0" w:rsidRDefault="003E5BF5" w:rsidP="00D74D26">
      <w:pPr>
        <w:pStyle w:val="aahollow"/>
      </w:pPr>
      <w:r w:rsidRPr="007444F0">
        <w:t>it is not probable that an outflow of resources embodying economic benefits will be required to settle the obligations, or</w:t>
      </w:r>
    </w:p>
    <w:p w14:paraId="47CA96E6" w14:textId="77777777" w:rsidR="003E5BF5" w:rsidRPr="007444F0" w:rsidRDefault="003E5BF5" w:rsidP="00D74D26">
      <w:pPr>
        <w:pStyle w:val="aahollow"/>
      </w:pPr>
      <w:r w:rsidRPr="007444F0">
        <w:t>the amount of the obligations cannot be measured with sufficient reliability.</w:t>
      </w:r>
    </w:p>
    <w:p w14:paraId="420BD6D0" w14:textId="77777777" w:rsidR="003E5BF5" w:rsidRDefault="003E5BF5" w:rsidP="00D74D26">
      <w:pPr>
        <w:pStyle w:val="aaatyping"/>
      </w:pPr>
      <w:r w:rsidRPr="007444F0">
        <w:lastRenderedPageBreak/>
        <w:t>Contingent liabilities are also classified as either quantifiable or non-quantifiable</w:t>
      </w:r>
      <w:r>
        <w:t>.</w:t>
      </w:r>
    </w:p>
    <w:p w14:paraId="5B3CBA8F" w14:textId="77777777" w:rsidR="003E5BF5" w:rsidRDefault="003E5BF5" w:rsidP="00EF5131">
      <w:pPr>
        <w:pStyle w:val="Heading5"/>
      </w:pPr>
      <w:r>
        <w:t>Q</w:t>
      </w:r>
      <w:r w:rsidRPr="007444F0">
        <w:t>uantifiable contingent liabilities</w:t>
      </w:r>
      <w:bookmarkStart w:id="563" w:name="RANGE!A8:C12"/>
    </w:p>
    <w:tbl>
      <w:tblPr>
        <w:tblStyle w:val="TableGrid"/>
        <w:tblW w:w="9072" w:type="dxa"/>
        <w:tblLayout w:type="fixed"/>
        <w:tblLook w:val="04A0" w:firstRow="1" w:lastRow="0" w:firstColumn="1" w:lastColumn="0" w:noHBand="0" w:noVBand="1"/>
      </w:tblPr>
      <w:tblGrid>
        <w:gridCol w:w="5820"/>
        <w:gridCol w:w="1626"/>
        <w:gridCol w:w="1626"/>
      </w:tblGrid>
      <w:tr w:rsidR="003E5BF5" w:rsidRPr="00293D7B" w14:paraId="73BD8CAF" w14:textId="77777777" w:rsidTr="00A51E30">
        <w:trPr>
          <w:trHeight w:val="340"/>
        </w:trPr>
        <w:tc>
          <w:tcPr>
            <w:tcW w:w="5812" w:type="dxa"/>
            <w:shd w:val="clear" w:color="auto" w:fill="auto"/>
            <w:noWrap/>
            <w:vAlign w:val="center"/>
            <w:hideMark/>
          </w:tcPr>
          <w:p w14:paraId="43CDE75A" w14:textId="77777777" w:rsidR="003E5BF5" w:rsidRPr="00293D7B" w:rsidRDefault="003E5BF5" w:rsidP="00DE1921">
            <w:pPr>
              <w:rPr>
                <w:rFonts w:ascii="Arial" w:hAnsi="Arial" w:cs="Arial"/>
                <w:sz w:val="24"/>
                <w:szCs w:val="24"/>
              </w:rPr>
            </w:pPr>
            <w:bookmarkStart w:id="564" w:name="RANGE!A11:C16"/>
            <w:bookmarkEnd w:id="563"/>
            <w:bookmarkEnd w:id="564"/>
          </w:p>
        </w:tc>
        <w:tc>
          <w:tcPr>
            <w:tcW w:w="3248" w:type="dxa"/>
            <w:gridSpan w:val="2"/>
            <w:shd w:val="clear" w:color="auto" w:fill="auto"/>
            <w:noWrap/>
            <w:vAlign w:val="center"/>
            <w:hideMark/>
          </w:tcPr>
          <w:p w14:paraId="4D3134A5" w14:textId="77777777" w:rsidR="003E5BF5" w:rsidRPr="00293D7B" w:rsidRDefault="003E5BF5" w:rsidP="00DE1921">
            <w:pPr>
              <w:jc w:val="center"/>
              <w:rPr>
                <w:rFonts w:ascii="Arial" w:hAnsi="Arial" w:cs="Arial"/>
                <w:b/>
                <w:sz w:val="24"/>
                <w:szCs w:val="24"/>
              </w:rPr>
            </w:pPr>
            <w:r w:rsidRPr="00293D7B">
              <w:rPr>
                <w:rFonts w:ascii="Arial" w:hAnsi="Arial" w:cs="Arial"/>
                <w:b/>
                <w:sz w:val="24"/>
                <w:szCs w:val="24"/>
              </w:rPr>
              <w:t>($ thousand)</w:t>
            </w:r>
          </w:p>
        </w:tc>
      </w:tr>
      <w:tr w:rsidR="003E5BF5" w:rsidRPr="00293D7B" w14:paraId="1DC5B2D2" w14:textId="77777777" w:rsidTr="00A51E30">
        <w:trPr>
          <w:trHeight w:val="340"/>
        </w:trPr>
        <w:tc>
          <w:tcPr>
            <w:tcW w:w="5812" w:type="dxa"/>
            <w:shd w:val="clear" w:color="auto" w:fill="auto"/>
            <w:noWrap/>
            <w:vAlign w:val="center"/>
            <w:hideMark/>
          </w:tcPr>
          <w:p w14:paraId="49CB013F" w14:textId="77777777" w:rsidR="003E5BF5" w:rsidRPr="00293D7B" w:rsidRDefault="003E5BF5" w:rsidP="00DE1921">
            <w:pPr>
              <w:rPr>
                <w:rFonts w:ascii="Arial" w:hAnsi="Arial" w:cs="Arial"/>
                <w:sz w:val="24"/>
                <w:szCs w:val="24"/>
              </w:rPr>
            </w:pPr>
          </w:p>
        </w:tc>
        <w:tc>
          <w:tcPr>
            <w:tcW w:w="1624" w:type="dxa"/>
            <w:shd w:val="clear" w:color="auto" w:fill="auto"/>
            <w:noWrap/>
            <w:vAlign w:val="center"/>
            <w:hideMark/>
          </w:tcPr>
          <w:p w14:paraId="0BFBA87B"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2020</w:t>
            </w:r>
          </w:p>
        </w:tc>
        <w:tc>
          <w:tcPr>
            <w:tcW w:w="1624" w:type="dxa"/>
            <w:shd w:val="clear" w:color="auto" w:fill="auto"/>
            <w:noWrap/>
            <w:vAlign w:val="center"/>
            <w:hideMark/>
          </w:tcPr>
          <w:p w14:paraId="507B1AF3"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2019</w:t>
            </w:r>
          </w:p>
        </w:tc>
      </w:tr>
      <w:tr w:rsidR="003E5BF5" w:rsidRPr="00293D7B" w14:paraId="7A1F0AF3" w14:textId="77777777" w:rsidTr="00A51E30">
        <w:trPr>
          <w:trHeight w:val="340"/>
        </w:trPr>
        <w:tc>
          <w:tcPr>
            <w:tcW w:w="5812" w:type="dxa"/>
            <w:shd w:val="clear" w:color="auto" w:fill="auto"/>
            <w:noWrap/>
            <w:vAlign w:val="center"/>
            <w:hideMark/>
          </w:tcPr>
          <w:p w14:paraId="4469F443" w14:textId="77777777" w:rsidR="003E5BF5" w:rsidRPr="00293D7B" w:rsidRDefault="003E5BF5" w:rsidP="00DE1921">
            <w:pPr>
              <w:rPr>
                <w:rFonts w:ascii="Arial" w:hAnsi="Arial" w:cs="Arial"/>
                <w:sz w:val="24"/>
                <w:szCs w:val="24"/>
              </w:rPr>
            </w:pPr>
            <w:r w:rsidRPr="00293D7B">
              <w:rPr>
                <w:rFonts w:ascii="Arial" w:hAnsi="Arial" w:cs="Arial"/>
                <w:sz w:val="24"/>
                <w:szCs w:val="24"/>
              </w:rPr>
              <w:t>Legal disputes</w:t>
            </w:r>
          </w:p>
        </w:tc>
        <w:tc>
          <w:tcPr>
            <w:tcW w:w="1624" w:type="dxa"/>
            <w:shd w:val="clear" w:color="auto" w:fill="auto"/>
            <w:noWrap/>
            <w:vAlign w:val="center"/>
            <w:hideMark/>
          </w:tcPr>
          <w:p w14:paraId="2FCC7D3E"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4,099 </w:t>
            </w:r>
          </w:p>
        </w:tc>
        <w:tc>
          <w:tcPr>
            <w:tcW w:w="1624" w:type="dxa"/>
            <w:shd w:val="clear" w:color="auto" w:fill="auto"/>
            <w:noWrap/>
            <w:vAlign w:val="center"/>
            <w:hideMark/>
          </w:tcPr>
          <w:p w14:paraId="52ED7143"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r>
      <w:tr w:rsidR="003E5BF5" w:rsidRPr="00293D7B" w14:paraId="180EF1F9" w14:textId="77777777" w:rsidTr="00A51E30">
        <w:trPr>
          <w:trHeight w:val="340"/>
        </w:trPr>
        <w:tc>
          <w:tcPr>
            <w:tcW w:w="5812" w:type="dxa"/>
            <w:shd w:val="clear" w:color="auto" w:fill="auto"/>
            <w:noWrap/>
            <w:vAlign w:val="center"/>
            <w:hideMark/>
          </w:tcPr>
          <w:p w14:paraId="13F416E6" w14:textId="77777777" w:rsidR="003E5BF5" w:rsidRPr="00293D7B" w:rsidRDefault="003E5BF5" w:rsidP="00DE1921">
            <w:pPr>
              <w:rPr>
                <w:rFonts w:ascii="Arial" w:hAnsi="Arial" w:cs="Arial"/>
                <w:sz w:val="24"/>
                <w:szCs w:val="24"/>
              </w:rPr>
            </w:pPr>
            <w:r w:rsidRPr="00293D7B">
              <w:rPr>
                <w:rFonts w:ascii="Arial" w:hAnsi="Arial" w:cs="Arial"/>
                <w:sz w:val="24"/>
                <w:szCs w:val="24"/>
              </w:rPr>
              <w:t>Insurance claims</w:t>
            </w:r>
          </w:p>
        </w:tc>
        <w:tc>
          <w:tcPr>
            <w:tcW w:w="1624" w:type="dxa"/>
            <w:shd w:val="clear" w:color="auto" w:fill="auto"/>
            <w:noWrap/>
            <w:vAlign w:val="center"/>
            <w:hideMark/>
          </w:tcPr>
          <w:p w14:paraId="161F2A88"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551 </w:t>
            </w:r>
          </w:p>
        </w:tc>
        <w:tc>
          <w:tcPr>
            <w:tcW w:w="1624" w:type="dxa"/>
            <w:shd w:val="clear" w:color="auto" w:fill="auto"/>
            <w:noWrap/>
            <w:vAlign w:val="center"/>
            <w:hideMark/>
          </w:tcPr>
          <w:p w14:paraId="44AF66FE"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368 </w:t>
            </w:r>
          </w:p>
        </w:tc>
      </w:tr>
      <w:tr w:rsidR="003E5BF5" w:rsidRPr="00293D7B" w14:paraId="74FB8D1D" w14:textId="77777777" w:rsidTr="00A51E30">
        <w:trPr>
          <w:trHeight w:val="340"/>
        </w:trPr>
        <w:tc>
          <w:tcPr>
            <w:tcW w:w="5812" w:type="dxa"/>
            <w:shd w:val="clear" w:color="auto" w:fill="auto"/>
            <w:noWrap/>
            <w:vAlign w:val="center"/>
            <w:hideMark/>
          </w:tcPr>
          <w:p w14:paraId="10658CD1" w14:textId="77777777" w:rsidR="003E5BF5" w:rsidRPr="00293D7B" w:rsidRDefault="003E5BF5" w:rsidP="00DE1921">
            <w:pPr>
              <w:rPr>
                <w:rFonts w:ascii="Arial" w:hAnsi="Arial" w:cs="Arial"/>
                <w:sz w:val="24"/>
                <w:szCs w:val="24"/>
              </w:rPr>
            </w:pPr>
            <w:r w:rsidRPr="00293D7B">
              <w:rPr>
                <w:rFonts w:ascii="Arial" w:hAnsi="Arial" w:cs="Arial"/>
                <w:sz w:val="24"/>
                <w:szCs w:val="24"/>
              </w:rPr>
              <w:t>Contract claims for variations to contracts</w:t>
            </w:r>
          </w:p>
        </w:tc>
        <w:tc>
          <w:tcPr>
            <w:tcW w:w="1624" w:type="dxa"/>
            <w:shd w:val="clear" w:color="auto" w:fill="auto"/>
            <w:noWrap/>
            <w:vAlign w:val="center"/>
            <w:hideMark/>
          </w:tcPr>
          <w:p w14:paraId="22D7D99C"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40,061 </w:t>
            </w:r>
          </w:p>
        </w:tc>
        <w:tc>
          <w:tcPr>
            <w:tcW w:w="1624" w:type="dxa"/>
            <w:shd w:val="clear" w:color="auto" w:fill="auto"/>
            <w:noWrap/>
            <w:vAlign w:val="center"/>
            <w:hideMark/>
          </w:tcPr>
          <w:p w14:paraId="4DC40B8A"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r>
      <w:tr w:rsidR="003E5BF5" w:rsidRPr="00293D7B" w14:paraId="28238B1D" w14:textId="77777777" w:rsidTr="00A51E30">
        <w:trPr>
          <w:trHeight w:val="340"/>
        </w:trPr>
        <w:tc>
          <w:tcPr>
            <w:tcW w:w="5812" w:type="dxa"/>
            <w:shd w:val="clear" w:color="auto" w:fill="auto"/>
            <w:noWrap/>
            <w:vAlign w:val="center"/>
            <w:hideMark/>
          </w:tcPr>
          <w:p w14:paraId="71618585" w14:textId="77777777" w:rsidR="003E5BF5" w:rsidRPr="00293D7B" w:rsidRDefault="003E5BF5" w:rsidP="00DE1921">
            <w:pPr>
              <w:rPr>
                <w:rFonts w:ascii="Arial" w:hAnsi="Arial" w:cs="Arial"/>
                <w:b/>
                <w:sz w:val="24"/>
                <w:szCs w:val="24"/>
              </w:rPr>
            </w:pPr>
            <w:r w:rsidRPr="00293D7B">
              <w:rPr>
                <w:rFonts w:ascii="Arial" w:hAnsi="Arial" w:cs="Arial"/>
                <w:b/>
                <w:sz w:val="24"/>
                <w:szCs w:val="24"/>
              </w:rPr>
              <w:t>Total contingent liabilities</w:t>
            </w:r>
          </w:p>
        </w:tc>
        <w:tc>
          <w:tcPr>
            <w:tcW w:w="1624" w:type="dxa"/>
            <w:shd w:val="clear" w:color="auto" w:fill="auto"/>
            <w:noWrap/>
            <w:vAlign w:val="center"/>
            <w:hideMark/>
          </w:tcPr>
          <w:p w14:paraId="454C466A"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44,711 </w:t>
            </w:r>
          </w:p>
        </w:tc>
        <w:tc>
          <w:tcPr>
            <w:tcW w:w="1624" w:type="dxa"/>
            <w:shd w:val="clear" w:color="auto" w:fill="auto"/>
            <w:noWrap/>
            <w:vAlign w:val="center"/>
            <w:hideMark/>
          </w:tcPr>
          <w:p w14:paraId="1A36172B"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368 </w:t>
            </w:r>
          </w:p>
        </w:tc>
      </w:tr>
    </w:tbl>
    <w:p w14:paraId="769C9DBD" w14:textId="77777777" w:rsidR="003E5BF5" w:rsidRDefault="003E5BF5" w:rsidP="00DE1921"/>
    <w:p w14:paraId="68ECA2CD" w14:textId="77777777" w:rsidR="003E5BF5" w:rsidRDefault="003E5BF5" w:rsidP="00EF5131">
      <w:pPr>
        <w:pStyle w:val="Heading5"/>
        <w:sectPr w:rsidR="003E5BF5" w:rsidSect="00DE1921">
          <w:headerReference w:type="even" r:id="rId189"/>
          <w:headerReference w:type="default" r:id="rId190"/>
          <w:headerReference w:type="first" r:id="rId191"/>
          <w:type w:val="continuous"/>
          <w:pgSz w:w="11906" w:h="16838"/>
          <w:pgMar w:top="1701" w:right="1418" w:bottom="1418" w:left="1418" w:header="708" w:footer="708" w:gutter="0"/>
          <w:cols w:space="708"/>
          <w:docGrid w:linePitch="360"/>
        </w:sectPr>
      </w:pPr>
    </w:p>
    <w:p w14:paraId="592E8C9B" w14:textId="77777777" w:rsidR="003E5BF5" w:rsidRPr="007444F0" w:rsidRDefault="003E5BF5" w:rsidP="00EF5131">
      <w:pPr>
        <w:pStyle w:val="Heading5"/>
      </w:pPr>
      <w:r w:rsidRPr="007444F0">
        <w:t>Non-quantifiable contingent liabilities</w:t>
      </w:r>
    </w:p>
    <w:p w14:paraId="69D4F2FE" w14:textId="77777777" w:rsidR="003E5BF5" w:rsidRPr="007444F0" w:rsidRDefault="003E5BF5" w:rsidP="00D74D26">
      <w:pPr>
        <w:pStyle w:val="aaatyping"/>
      </w:pPr>
      <w:r w:rsidRPr="007444F0">
        <w:t>From time to time the department enters into arrangements with other parties to compensate them for losses they might incur as a result of transactions they enter into. The arrangements are evaluated to establish whether they represent onerous contracts, contingent liabilities or whether they are executory in nature.</w:t>
      </w:r>
    </w:p>
    <w:p w14:paraId="297AEE90" w14:textId="77777777" w:rsidR="003E5BF5" w:rsidRPr="007444F0" w:rsidRDefault="003E5BF5" w:rsidP="00D74D26">
      <w:pPr>
        <w:pStyle w:val="aaatyping"/>
      </w:pPr>
      <w:r w:rsidRPr="007444F0">
        <w:t>There are a number of litigations underway at balance date, the details of which are not disclosed in order not to prejudice the cases.</w:t>
      </w:r>
    </w:p>
    <w:p w14:paraId="6C1EE08D" w14:textId="77777777" w:rsidR="003E5BF5" w:rsidRDefault="003E5BF5" w:rsidP="00D74D26">
      <w:pPr>
        <w:pStyle w:val="aaatyping"/>
        <w:sectPr w:rsidR="003E5BF5" w:rsidSect="00DE1921">
          <w:type w:val="continuous"/>
          <w:pgSz w:w="11906" w:h="16838"/>
          <w:pgMar w:top="1701" w:right="1418" w:bottom="1418" w:left="1418" w:header="708" w:footer="708" w:gutter="0"/>
          <w:cols w:space="708"/>
          <w:docGrid w:linePitch="360"/>
        </w:sectPr>
      </w:pPr>
    </w:p>
    <w:p w14:paraId="7799840B" w14:textId="77777777" w:rsidR="003E5BF5" w:rsidRDefault="003E5BF5" w:rsidP="00D74D26">
      <w:pPr>
        <w:pStyle w:val="aaatyping"/>
      </w:pPr>
      <w:r w:rsidRPr="007444F0">
        <w:t>Contingent liabilities are not secured over any of the assets of the department.</w:t>
      </w:r>
    </w:p>
    <w:p w14:paraId="576B9FE4" w14:textId="77777777" w:rsidR="003E5BF5" w:rsidRDefault="003E5BF5" w:rsidP="008869A9">
      <w:pPr>
        <w:pStyle w:val="Heading4"/>
        <w:sectPr w:rsidR="003E5BF5" w:rsidSect="00DE1921">
          <w:type w:val="continuous"/>
          <w:pgSz w:w="11906" w:h="16838"/>
          <w:pgMar w:top="1701" w:right="1418" w:bottom="1418" w:left="1418" w:header="708" w:footer="708" w:gutter="0"/>
          <w:cols w:space="708"/>
          <w:docGrid w:linePitch="360"/>
        </w:sectPr>
      </w:pPr>
    </w:p>
    <w:p w14:paraId="56E1DE72" w14:textId="77777777" w:rsidR="003E5BF5" w:rsidRDefault="003E5BF5" w:rsidP="008869A9">
      <w:pPr>
        <w:pStyle w:val="Heading4"/>
      </w:pPr>
      <w:r>
        <w:t>Target Capacity threshold</w:t>
      </w:r>
    </w:p>
    <w:p w14:paraId="321F957B" w14:textId="77777777" w:rsidR="003E5BF5" w:rsidRPr="007444F0" w:rsidRDefault="003E5BF5" w:rsidP="00D74D26">
      <w:pPr>
        <w:pStyle w:val="aaatyping"/>
      </w:pPr>
      <w:r w:rsidRPr="005E1A3A">
        <w:t>The department has a possible liability relating to a claim from the contractor responsible for operating and maintaining Southern Cross Station. The claim relates to patronage levels at the station and the contract provides a process to assess whether modifications to the station, compensation to the contractor or changes to service standards are required. The claim is being considered and the financial effect is yet to be determined.</w:t>
      </w:r>
    </w:p>
    <w:p w14:paraId="00B64FE7" w14:textId="77777777" w:rsidR="003E5BF5" w:rsidRPr="007444F0" w:rsidRDefault="003E5BF5" w:rsidP="008869A9">
      <w:pPr>
        <w:pStyle w:val="Heading4"/>
      </w:pPr>
      <w:r w:rsidRPr="007444F0">
        <w:lastRenderedPageBreak/>
        <w:t>Voluntary purchase scheme</w:t>
      </w:r>
    </w:p>
    <w:p w14:paraId="6D23F794" w14:textId="77777777" w:rsidR="003E5BF5" w:rsidRPr="007444F0" w:rsidRDefault="003E5BF5" w:rsidP="00D74D26">
      <w:pPr>
        <w:pStyle w:val="aaatyping"/>
      </w:pPr>
      <w:r w:rsidRPr="007444F0">
        <w:t xml:space="preserve">The State has compulsorily acquired a number of properties (residential and commercial) through the </w:t>
      </w:r>
      <w:r w:rsidRPr="007B6B6E">
        <w:rPr>
          <w:i/>
          <w:iCs/>
        </w:rPr>
        <w:t>Land Acquisition and Compensation Act 1986</w:t>
      </w:r>
      <w:r w:rsidRPr="007444F0">
        <w:t xml:space="preserve"> to facilitate delivery of various transport projects. Possible future claims for compensation arising from the compulsory acquisition of these properties cannot be quantified at this stage.</w:t>
      </w:r>
    </w:p>
    <w:p w14:paraId="17DDDE7B" w14:textId="77777777" w:rsidR="003E5BF5" w:rsidRPr="007444F0" w:rsidRDefault="003E5BF5" w:rsidP="008869A9">
      <w:pPr>
        <w:pStyle w:val="Heading4"/>
      </w:pPr>
      <w:r w:rsidRPr="007444F0">
        <w:t>Public acquisition overlays for the future development of rail and road infrastructure</w:t>
      </w:r>
    </w:p>
    <w:p w14:paraId="35ACE17C" w14:textId="77777777" w:rsidR="003E5BF5" w:rsidRPr="007444F0" w:rsidRDefault="003E5BF5" w:rsidP="00D74D26">
      <w:pPr>
        <w:pStyle w:val="aaatyping"/>
      </w:pPr>
      <w:r w:rsidRPr="007444F0">
        <w:t xml:space="preserve">Public acquisition overlays are in place in order to reserve certain areas of land for future development of rail and road infrastructure. Under section 98 of the </w:t>
      </w:r>
      <w:r w:rsidRPr="00EA6F1F">
        <w:rPr>
          <w:i/>
          <w:iCs/>
        </w:rPr>
        <w:t>Planning and Environment Act 1987</w:t>
      </w:r>
      <w:r w:rsidRPr="007444F0">
        <w:t>, the State has a legislative responsibility to compensate eligible land and property owners who face either:</w:t>
      </w:r>
    </w:p>
    <w:p w14:paraId="445332DB" w14:textId="77777777" w:rsidR="003E5BF5" w:rsidRPr="007444F0" w:rsidRDefault="003E5BF5" w:rsidP="00D74D26">
      <w:pPr>
        <w:pStyle w:val="aaabullet"/>
      </w:pPr>
      <w:r w:rsidRPr="007444F0">
        <w:t>loss on sale – an eligible landowner is entitled to compensation for the incremental loss on sale when a property affected by a public acquisition overlay is sold for less than its market value, or</w:t>
      </w:r>
    </w:p>
    <w:p w14:paraId="46D2C91C" w14:textId="77777777" w:rsidR="003E5BF5" w:rsidRPr="007444F0" w:rsidRDefault="003E5BF5" w:rsidP="00D74D26">
      <w:pPr>
        <w:pStyle w:val="aaabullet"/>
      </w:pPr>
      <w:r w:rsidRPr="007444F0">
        <w:t>financial loss – the entitlement to financial loss compensation is triggered when a development permit is refused because the property is required for a public purpose.</w:t>
      </w:r>
    </w:p>
    <w:p w14:paraId="1F7A10F0" w14:textId="77777777" w:rsidR="003E5BF5" w:rsidRDefault="003E5BF5" w:rsidP="00D74D26">
      <w:pPr>
        <w:pStyle w:val="aaatyping"/>
      </w:pPr>
      <w:r w:rsidRPr="007444F0">
        <w:t>Compensation and purchase claims occur as a result of claims by landowners. The future liability depends on factors including the number of claims received and the prevailing value of land at the time the claim is made, which cannot be reliably quantified.</w:t>
      </w:r>
    </w:p>
    <w:p w14:paraId="28E891E5" w14:textId="77777777" w:rsidR="003E5BF5" w:rsidRPr="00E37937" w:rsidRDefault="003E5BF5" w:rsidP="008869A9">
      <w:pPr>
        <w:pStyle w:val="Heading4"/>
        <w:rPr>
          <w:lang w:val="en-GB"/>
        </w:rPr>
      </w:pPr>
      <w:r w:rsidRPr="00E37937">
        <w:rPr>
          <w:lang w:val="en-GB"/>
        </w:rPr>
        <w:t>Public transport rail partnership agreements</w:t>
      </w:r>
    </w:p>
    <w:p w14:paraId="7D31B556" w14:textId="77777777" w:rsidR="003E5BF5" w:rsidRPr="00E37937" w:rsidRDefault="003E5BF5" w:rsidP="00D74D26">
      <w:pPr>
        <w:pStyle w:val="aaatyping"/>
        <w:rPr>
          <w:lang w:val="en-GB"/>
        </w:rPr>
      </w:pPr>
      <w:r>
        <w:rPr>
          <w:lang w:val="en-GB"/>
        </w:rPr>
        <w:t>The department</w:t>
      </w:r>
      <w:r w:rsidRPr="00E37937">
        <w:rPr>
          <w:lang w:val="en-GB"/>
        </w:rPr>
        <w:t xml:space="preserve"> is party to partnership contractual arrangements with franchisees to operate metropolitan rail transport services in the State, operative from 30 November 2017 until 30 November 2024. The </w:t>
      </w:r>
      <w:r w:rsidRPr="00E37937">
        <w:rPr>
          <w:lang w:val="en-GB"/>
        </w:rPr>
        <w:lastRenderedPageBreak/>
        <w:t xml:space="preserve">following summarises the major contingent liabilities arising from the contractual arrangements in the event of early termination or expiry of the partnership contractual agreement, which are: </w:t>
      </w:r>
    </w:p>
    <w:p w14:paraId="77069874" w14:textId="77777777" w:rsidR="003E5BF5" w:rsidRPr="00420E08" w:rsidRDefault="003E5BF5" w:rsidP="00D74D26">
      <w:pPr>
        <w:pStyle w:val="aaabullet"/>
        <w:rPr>
          <w:lang w:val="en-GB"/>
        </w:rPr>
      </w:pPr>
      <w:r w:rsidRPr="00420E08">
        <w:rPr>
          <w:b/>
          <w:bCs/>
          <w:lang w:val="en-GB"/>
        </w:rPr>
        <w:t xml:space="preserve">Partnership assets: </w:t>
      </w:r>
      <w:r w:rsidRPr="00420E08">
        <w:rPr>
          <w:lang w:val="en-GB"/>
        </w:rPr>
        <w:t xml:space="preserve">To maintain continuity of services, at early termination or expiry of the franchise contract, assets will revert to the </w:t>
      </w:r>
      <w:r>
        <w:rPr>
          <w:lang w:val="en-GB"/>
        </w:rPr>
        <w:t>d</w:t>
      </w:r>
      <w:r w:rsidRPr="00420E08">
        <w:rPr>
          <w:lang w:val="en-GB"/>
        </w:rPr>
        <w:t>epartment or a successor. In the case of some assets, a reversion back to the Department would entail those assets being purchased.</w:t>
      </w:r>
    </w:p>
    <w:p w14:paraId="53138FDA" w14:textId="77777777" w:rsidR="003E5BF5" w:rsidRPr="00AE3CF6" w:rsidRDefault="003E5BF5" w:rsidP="00D74D26">
      <w:pPr>
        <w:pStyle w:val="aaabullet"/>
      </w:pPr>
      <w:r w:rsidRPr="00420E08">
        <w:rPr>
          <w:b/>
          <w:bCs/>
          <w:lang w:val="en-GB"/>
        </w:rPr>
        <w:t xml:space="preserve">Unfunded Superannuation: </w:t>
      </w:r>
      <w:r w:rsidRPr="00420E08">
        <w:rPr>
          <w:lang w:val="en-GB"/>
        </w:rPr>
        <w:t xml:space="preserve">At the early termination or expiry of the contract, the </w:t>
      </w:r>
      <w:r>
        <w:rPr>
          <w:lang w:val="en-GB"/>
        </w:rPr>
        <w:t>d</w:t>
      </w:r>
      <w:r w:rsidRPr="00420E08">
        <w:rPr>
          <w:lang w:val="en-GB"/>
        </w:rPr>
        <w:t>epartment will assume any unfunded superannuation amounts (apart from contributions the operator is required to pay over the contract term) to the extent that the State becomes the successor operator</w:t>
      </w:r>
      <w:r>
        <w:rPr>
          <w:lang w:val="en-GB"/>
        </w:rPr>
        <w:t>.</w:t>
      </w:r>
    </w:p>
    <w:p w14:paraId="308285D3" w14:textId="77777777" w:rsidR="003E5BF5" w:rsidRDefault="003E5BF5" w:rsidP="008869A9">
      <w:pPr>
        <w:pStyle w:val="Heading4"/>
      </w:pPr>
      <w:r>
        <w:t>Coronavirus (COVID-19) related claim notifications</w:t>
      </w:r>
    </w:p>
    <w:p w14:paraId="1A54AB26" w14:textId="77777777" w:rsidR="003E5BF5" w:rsidRPr="007444F0" w:rsidRDefault="003E5BF5" w:rsidP="00D74D26">
      <w:pPr>
        <w:pStyle w:val="aaatyping"/>
      </w:pPr>
      <w:r w:rsidRPr="0002303D">
        <w:t xml:space="preserve">The department received notifications under the contractual agreements by the contractors in relation to the possible impact of </w:t>
      </w:r>
      <w:r>
        <w:rPr>
          <w:rFonts w:eastAsia="Times New Roman"/>
        </w:rPr>
        <w:t>coronavirus (COVID-19)</w:t>
      </w:r>
      <w:r w:rsidRPr="0002303D">
        <w:t xml:space="preserve"> on a number of projects. Possible future claims cannot be reliably estimated at this stage as quantifiable claims have not yet been provided under the contract. Until detailed claims have been submitted and substantiated by the contractors, it is not possible to estimate the financial effect of the claims</w:t>
      </w:r>
      <w:r>
        <w:t>.</w:t>
      </w:r>
    </w:p>
    <w:p w14:paraId="3D368CD3" w14:textId="77777777" w:rsidR="003E5BF5" w:rsidRDefault="003E5BF5" w:rsidP="008869A9">
      <w:pPr>
        <w:pStyle w:val="Heading4"/>
      </w:pPr>
      <w:bookmarkStart w:id="565" w:name="_Toc9344349"/>
      <w:bookmarkStart w:id="566" w:name="_Toc11755830"/>
      <w:bookmarkStart w:id="567" w:name="_Toc11767092"/>
      <w:bookmarkStart w:id="568" w:name="_Toc9344350"/>
      <w:bookmarkStart w:id="569" w:name="_Toc11755831"/>
      <w:bookmarkStart w:id="570" w:name="_Toc11767093"/>
      <w:bookmarkStart w:id="571" w:name="_Toc9344351"/>
      <w:bookmarkStart w:id="572" w:name="_Toc11755832"/>
      <w:bookmarkStart w:id="573" w:name="_Toc11767094"/>
      <w:bookmarkStart w:id="574" w:name="_Toc9344352"/>
      <w:bookmarkStart w:id="575" w:name="_Toc11755833"/>
      <w:bookmarkStart w:id="576" w:name="_Toc11767095"/>
      <w:bookmarkStart w:id="577" w:name="_Toc9344353"/>
      <w:bookmarkStart w:id="578" w:name="_Toc11755834"/>
      <w:bookmarkStart w:id="579" w:name="_Toc11767096"/>
      <w:bookmarkStart w:id="580" w:name="_Toc9344354"/>
      <w:bookmarkStart w:id="581" w:name="_Toc11755835"/>
      <w:bookmarkStart w:id="582" w:name="_Toc11767097"/>
      <w:bookmarkStart w:id="583" w:name="_Fair_value_determination"/>
      <w:bookmarkStart w:id="584" w:name="_Toc522177988"/>
      <w:bookmarkStart w:id="585" w:name="_Toc529197933"/>
      <w:bookmarkStart w:id="586" w:name="_Toc529198000"/>
      <w:bookmarkStart w:id="587" w:name="_Toc530386197"/>
      <w:bookmarkStart w:id="588" w:name="_Toc9344355"/>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t>Metro Tunnel Project</w:t>
      </w:r>
    </w:p>
    <w:p w14:paraId="70C54115" w14:textId="77777777" w:rsidR="003E5BF5" w:rsidRPr="00254DAE" w:rsidRDefault="003E5BF5" w:rsidP="00D74D26">
      <w:pPr>
        <w:pStyle w:val="aaatyping"/>
        <w:rPr>
          <w:rFonts w:ascii="Calibri" w:hAnsi="Calibri"/>
        </w:rPr>
      </w:pPr>
      <w:r w:rsidRPr="00254DAE">
        <w:t>To facilitate delivery of the Metro Tunnel Project, the State and the Cross Yarra Partnership (CYP) reached financial close on 18 December 2017 for delivery of the Tunnel and Stations Public-Private Partnership (T&amp;S PPP).</w:t>
      </w:r>
      <w:r w:rsidRPr="00254DAE">
        <w:rPr>
          <w:rFonts w:ascii="Cambria" w:hAnsi="Cambria" w:cs="Cambria"/>
        </w:rPr>
        <w:t> </w:t>
      </w:r>
      <w:r w:rsidRPr="00254DAE">
        <w:t xml:space="preserve"> This PPP has been reported as a service concession arrangement and all current commitments disclosed in Note 7.5.2 and Note 7.5.3.8. </w:t>
      </w:r>
    </w:p>
    <w:p w14:paraId="5A5EB8F0" w14:textId="77777777" w:rsidR="003E5BF5" w:rsidRPr="00254DAE" w:rsidRDefault="003E5BF5" w:rsidP="00D74D26">
      <w:pPr>
        <w:pStyle w:val="aaatyping"/>
      </w:pPr>
      <w:r w:rsidRPr="00254DAE">
        <w:lastRenderedPageBreak/>
        <w:t>On 30 June 2020, a Commercial Principles deed was signed between the parties to record a set of agreed non-binding principles to resolve project issues that have arisen during delivery. Agreed commercial outcomes are expected to be formalised in amending deed(s) that have not been signed at the date of this report.</w:t>
      </w:r>
      <w:r w:rsidRPr="00254DAE">
        <w:rPr>
          <w:rFonts w:ascii="Cambria" w:hAnsi="Cambria" w:cs="Cambria"/>
        </w:rPr>
        <w:t> </w:t>
      </w:r>
      <w:r w:rsidRPr="00254DAE">
        <w:t xml:space="preserve"> It is expected that the cost to complete the project will exceed the planned cost as agreed in December 2017. The State may incur additional liabilities to those disclosed in Note 7.5.2 to meet some of these additional costs and may receive additional value from the project in return. </w:t>
      </w:r>
      <w:r w:rsidRPr="00254DAE">
        <w:rPr>
          <w:rFonts w:ascii="Cambria" w:hAnsi="Cambria" w:cs="Cambria"/>
        </w:rPr>
        <w:t> </w:t>
      </w:r>
      <w:r w:rsidRPr="00254DAE">
        <w:t xml:space="preserve">Details of the non-binding principles and the estimated financial impacts are not disclosed in order to not prejudice the State’s interests or any other interested party in these ongoing negotiations. </w:t>
      </w:r>
    </w:p>
    <w:p w14:paraId="7EE9C831" w14:textId="77777777" w:rsidR="003E5BF5" w:rsidRDefault="003E5BF5">
      <w:pPr>
        <w:sectPr w:rsidR="003E5BF5" w:rsidSect="00DE1921">
          <w:type w:val="continuous"/>
          <w:pgSz w:w="11906" w:h="16838"/>
          <w:pgMar w:top="1701" w:right="1418" w:bottom="1418" w:left="1418" w:header="708" w:footer="708" w:gutter="0"/>
          <w:cols w:space="708"/>
          <w:docGrid w:linePitch="360"/>
        </w:sectPr>
      </w:pPr>
    </w:p>
    <w:p w14:paraId="69B20D6A" w14:textId="77777777" w:rsidR="003E5BF5" w:rsidRPr="006A2D36" w:rsidRDefault="003E5BF5" w:rsidP="00610F5F">
      <w:pPr>
        <w:pStyle w:val="Heading2"/>
        <w:numPr>
          <w:ilvl w:val="1"/>
          <w:numId w:val="22"/>
        </w:numPr>
      </w:pPr>
      <w:bookmarkStart w:id="589" w:name="_Toc41469637"/>
      <w:bookmarkStart w:id="590" w:name="_Toc53420688"/>
      <w:r w:rsidRPr="006A2D36">
        <w:lastRenderedPageBreak/>
        <w:t>Fair value determination</w:t>
      </w:r>
      <w:bookmarkEnd w:id="584"/>
      <w:bookmarkEnd w:id="585"/>
      <w:bookmarkEnd w:id="586"/>
      <w:bookmarkEnd w:id="587"/>
      <w:bookmarkEnd w:id="588"/>
      <w:bookmarkEnd w:id="589"/>
      <w:bookmarkEnd w:id="590"/>
    </w:p>
    <w:p w14:paraId="6EB98108" w14:textId="77777777" w:rsidR="003E5BF5" w:rsidRPr="007444F0" w:rsidRDefault="003E5BF5" w:rsidP="00D74D26">
      <w:pPr>
        <w:pStyle w:val="aaatyping"/>
      </w:pPr>
      <w:r w:rsidRPr="007444F0">
        <w:t xml:space="preserve">This section sets out information on how </w:t>
      </w:r>
      <w:r>
        <w:t>the department</w:t>
      </w:r>
      <w:r w:rsidRPr="007444F0">
        <w:t xml:space="preserve"> determined fair value for financial reporting purposes. Fair value is the price that would be received to sell an asset or paid to transfer a liability in an orderly transaction between market participants at the measurement date.</w:t>
      </w:r>
    </w:p>
    <w:p w14:paraId="5D9814D4" w14:textId="77777777" w:rsidR="003E5BF5" w:rsidRPr="007444F0" w:rsidRDefault="003E5BF5" w:rsidP="00D74D26">
      <w:pPr>
        <w:pStyle w:val="aaatyping"/>
      </w:pPr>
      <w:r w:rsidRPr="007444F0">
        <w:t>The following assets and liabilities are carried at fair value:</w:t>
      </w:r>
    </w:p>
    <w:p w14:paraId="2E63EBD9" w14:textId="77777777" w:rsidR="003E5BF5" w:rsidRPr="007444F0" w:rsidRDefault="003E5BF5" w:rsidP="00D74D26">
      <w:pPr>
        <w:pStyle w:val="aaabullet"/>
      </w:pPr>
      <w:r w:rsidRPr="007444F0">
        <w:t>financial assets and liabilities at fair value through operating result</w:t>
      </w:r>
      <w:r>
        <w:t>; and</w:t>
      </w:r>
    </w:p>
    <w:p w14:paraId="4A5BADB6" w14:textId="77777777" w:rsidR="003E5BF5" w:rsidRDefault="003E5BF5" w:rsidP="00D74D26">
      <w:pPr>
        <w:pStyle w:val="aaabullet"/>
      </w:pPr>
      <w:r>
        <w:t xml:space="preserve">land, buildings, infrastructure and </w:t>
      </w:r>
      <w:r w:rsidRPr="007444F0">
        <w:t>plant</w:t>
      </w:r>
      <w:r>
        <w:t xml:space="preserve">, </w:t>
      </w:r>
      <w:r w:rsidRPr="007444F0">
        <w:t>equipment</w:t>
      </w:r>
      <w:r>
        <w:t xml:space="preserve"> and vehicles</w:t>
      </w:r>
      <w:r w:rsidRPr="007444F0">
        <w:t>.</w:t>
      </w:r>
    </w:p>
    <w:p w14:paraId="3A23FCB4" w14:textId="77777777" w:rsidR="003E5BF5" w:rsidRPr="00E37937" w:rsidRDefault="003E5BF5" w:rsidP="00D74D26">
      <w:pPr>
        <w:pStyle w:val="aaatyping"/>
        <w:rPr>
          <w:lang w:val="en-GB"/>
        </w:rPr>
      </w:pPr>
      <w:r w:rsidRPr="00E37937">
        <w:rPr>
          <w:lang w:val="en-GB"/>
        </w:rPr>
        <w:t xml:space="preserve">In addition, the fair values of other assets and liabilities that are carried at amortised cost, also need to be determined for disclosure purposes. </w:t>
      </w:r>
    </w:p>
    <w:p w14:paraId="11A25A36" w14:textId="77777777" w:rsidR="003E5BF5" w:rsidRPr="00E37937" w:rsidRDefault="003E5BF5" w:rsidP="00D74D26">
      <w:pPr>
        <w:pStyle w:val="aaatyping"/>
        <w:rPr>
          <w:b/>
          <w:lang w:val="en-GB"/>
        </w:rPr>
      </w:pPr>
      <w:r>
        <w:rPr>
          <w:lang w:val="en-GB"/>
        </w:rPr>
        <w:t>The department</w:t>
      </w:r>
      <w:r w:rsidRPr="00E37937">
        <w:rPr>
          <w:lang w:val="en-GB"/>
        </w:rPr>
        <w:t xml:space="preserve"> determines the policies and procedures for determining fair values for both financial and non-financial assets and liabilities as required.</w:t>
      </w:r>
    </w:p>
    <w:p w14:paraId="30F3EFE5" w14:textId="77777777" w:rsidR="003E5BF5" w:rsidRDefault="003E5BF5" w:rsidP="00DE1921">
      <w:pPr>
        <w:sectPr w:rsidR="003E5BF5" w:rsidSect="00DE1921">
          <w:headerReference w:type="default" r:id="rId192"/>
          <w:pgSz w:w="11906" w:h="16838"/>
          <w:pgMar w:top="1701" w:right="1418" w:bottom="1418" w:left="1418" w:header="708" w:footer="708" w:gutter="0"/>
          <w:cols w:space="708"/>
          <w:docGrid w:linePitch="360"/>
        </w:sectPr>
      </w:pPr>
    </w:p>
    <w:p w14:paraId="1946FAA9" w14:textId="77777777" w:rsidR="003E5BF5" w:rsidRPr="006A2D36" w:rsidRDefault="003E5BF5" w:rsidP="008A0170">
      <w:pPr>
        <w:pStyle w:val="Heading3"/>
      </w:pPr>
      <w:r w:rsidRPr="006A2D36">
        <w:t>Fair value hierarchy</w:t>
      </w:r>
    </w:p>
    <w:p w14:paraId="530AF066" w14:textId="77777777" w:rsidR="003E5BF5" w:rsidRPr="007444F0" w:rsidRDefault="003E5BF5" w:rsidP="00D74D26">
      <w:pPr>
        <w:pStyle w:val="aaatyping"/>
      </w:pPr>
      <w:r w:rsidRPr="007444F0">
        <w:t>In determining fair values, a number of inputs are used. To increase consistency and comparability in the financial statements, these inputs are categorised into three levels, also known as the fair value hierarchy. The levels are as follows:</w:t>
      </w:r>
    </w:p>
    <w:p w14:paraId="65B54C13" w14:textId="77777777" w:rsidR="003E5BF5" w:rsidRPr="007444F0" w:rsidRDefault="003E5BF5" w:rsidP="00D74D26">
      <w:pPr>
        <w:pStyle w:val="aaabullet"/>
      </w:pPr>
      <w:r w:rsidRPr="007444F0">
        <w:t>Level 1 – quoted (unadjusted) market prices in active markets for identical assets or liabilities;</w:t>
      </w:r>
    </w:p>
    <w:p w14:paraId="773458A1" w14:textId="77777777" w:rsidR="003E5BF5" w:rsidRPr="007444F0" w:rsidRDefault="003E5BF5" w:rsidP="00D74D26">
      <w:pPr>
        <w:pStyle w:val="aaabullet"/>
      </w:pPr>
      <w:r w:rsidRPr="007444F0">
        <w:t xml:space="preserve">Level 2 – valuation techniques for which the lowest level input that is significant to the fair value measurement is directly or indirectly observable; and </w:t>
      </w:r>
    </w:p>
    <w:p w14:paraId="2E390FA0" w14:textId="77777777" w:rsidR="003E5BF5" w:rsidRPr="007444F0" w:rsidRDefault="003E5BF5" w:rsidP="00D74D26">
      <w:pPr>
        <w:pStyle w:val="aaabullet"/>
      </w:pPr>
      <w:r w:rsidRPr="007444F0">
        <w:t>Level 3 – valuation techniques for which the lowest level input that is significant to the fair value measurement is unobservable.</w:t>
      </w:r>
    </w:p>
    <w:p w14:paraId="5E193FC5" w14:textId="77777777" w:rsidR="003E5BF5" w:rsidRPr="007444F0" w:rsidRDefault="003E5BF5" w:rsidP="00D74D26">
      <w:pPr>
        <w:pStyle w:val="aaatyping"/>
      </w:pPr>
      <w:r>
        <w:lastRenderedPageBreak/>
        <w:t>The department</w:t>
      </w:r>
      <w:r w:rsidRPr="007444F0">
        <w:t xml:space="preserve"> determines whether transfers have occurred between levels in the hierarchy by reassessing categorisation (based on the lowest level input that is significant to the fair value measurement as a whole) at the end of each reporting period.</w:t>
      </w:r>
    </w:p>
    <w:p w14:paraId="09B04FD2" w14:textId="28EF1652" w:rsidR="003E5BF5" w:rsidRDefault="003E5BF5" w:rsidP="00D74D26">
      <w:pPr>
        <w:pStyle w:val="aaatyping"/>
      </w:pPr>
      <w:r w:rsidRPr="007444F0">
        <w:t>The Valuer</w:t>
      </w:r>
      <w:r>
        <w:t>-</w:t>
      </w:r>
      <w:r w:rsidRPr="007444F0">
        <w:t xml:space="preserve">General Victoria (VGV) is </w:t>
      </w:r>
      <w:r>
        <w:t>the department’s</w:t>
      </w:r>
      <w:r w:rsidRPr="007444F0">
        <w:t xml:space="preserve"> independent valuation agency and the </w:t>
      </w:r>
      <w:r>
        <w:t>d</w:t>
      </w:r>
      <w:r w:rsidRPr="007444F0">
        <w:t>epartment will engage them to monitor changes in the fair value of each asset and liability through relevant data sources to determine revaluations when it is required.</w:t>
      </w:r>
    </w:p>
    <w:p w14:paraId="4BF2EA4E" w14:textId="3E5C9B02" w:rsidR="003E5BF5" w:rsidRPr="00A578BF" w:rsidRDefault="003E5BF5" w:rsidP="008A0170">
      <w:pPr>
        <w:pStyle w:val="Heading3"/>
      </w:pPr>
      <w:r w:rsidRPr="00A578BF">
        <w:t>How this section is structured</w:t>
      </w:r>
    </w:p>
    <w:p w14:paraId="411382F6" w14:textId="77777777" w:rsidR="003E5BF5" w:rsidRPr="007444F0" w:rsidRDefault="003E5BF5" w:rsidP="00D74D26">
      <w:pPr>
        <w:pStyle w:val="aaatyping"/>
      </w:pPr>
      <w:r w:rsidRPr="007444F0">
        <w:t>For those assets and liabilities for which fair values are determined, the following disclosures are provided:</w:t>
      </w:r>
    </w:p>
    <w:p w14:paraId="2493DBEE" w14:textId="77777777" w:rsidR="003E5BF5" w:rsidRPr="007444F0" w:rsidRDefault="003E5BF5" w:rsidP="00D74D26">
      <w:pPr>
        <w:pStyle w:val="aaabullet"/>
      </w:pPr>
      <w:r w:rsidRPr="007444F0">
        <w:t>carrying amount and the fair value (which would be the same for those assets measured at fair value)</w:t>
      </w:r>
    </w:p>
    <w:p w14:paraId="5768F4A7" w14:textId="77777777" w:rsidR="003E5BF5" w:rsidRPr="007444F0" w:rsidRDefault="003E5BF5" w:rsidP="00D74D26">
      <w:pPr>
        <w:pStyle w:val="aaabullet"/>
      </w:pPr>
      <w:r w:rsidRPr="007444F0">
        <w:t>which level of the fair value hierarchy was used to determine the fair value</w:t>
      </w:r>
    </w:p>
    <w:p w14:paraId="707E9789" w14:textId="77777777" w:rsidR="003E5BF5" w:rsidRPr="007444F0" w:rsidRDefault="003E5BF5" w:rsidP="00D74D26">
      <w:pPr>
        <w:pStyle w:val="aaabullet"/>
      </w:pPr>
      <w:r w:rsidRPr="007444F0">
        <w:t>in respect of those assets and liabilities subject to fair value determination using Level 3 inputs</w:t>
      </w:r>
      <w:r>
        <w:t>:</w:t>
      </w:r>
    </w:p>
    <w:p w14:paraId="4388600D" w14:textId="77777777" w:rsidR="003E5BF5" w:rsidRPr="007444F0" w:rsidRDefault="003E5BF5" w:rsidP="00D74D26">
      <w:pPr>
        <w:pStyle w:val="aahollow"/>
      </w:pPr>
      <w:r w:rsidRPr="007444F0">
        <w:t>a reconciliation of the movements in fair values from the beginning of the year to the end</w:t>
      </w:r>
    </w:p>
    <w:p w14:paraId="61D9A12C" w14:textId="77777777" w:rsidR="003E5BF5" w:rsidRPr="007444F0" w:rsidRDefault="003E5BF5" w:rsidP="00D74D26">
      <w:pPr>
        <w:pStyle w:val="aahollow"/>
      </w:pPr>
      <w:r w:rsidRPr="007444F0">
        <w:t>details of significant unobservable inputs used in the fair value determination.</w:t>
      </w:r>
    </w:p>
    <w:p w14:paraId="7508F5A4" w14:textId="77777777" w:rsidR="003E5BF5" w:rsidRPr="007444F0" w:rsidRDefault="003E5BF5" w:rsidP="00D74D26">
      <w:pPr>
        <w:pStyle w:val="aaatyping"/>
      </w:pPr>
      <w:r w:rsidRPr="007444F0">
        <w:t xml:space="preserve">This section is divided between disclosures in connection with fair value determination for financial instruments (refer </w:t>
      </w:r>
      <w:r w:rsidRPr="00271E34">
        <w:t>to Note 8.3.1 Fair value determination of financial assets and liabilities) and non-financial physical assets (refer to Note 8.3.2 Fair value determination: Non-financial physical assets</w:t>
      </w:r>
      <w:r w:rsidRPr="007444F0">
        <w:t>).</w:t>
      </w:r>
    </w:p>
    <w:p w14:paraId="73C47A8D" w14:textId="77777777" w:rsidR="003E5BF5" w:rsidRDefault="003E5BF5" w:rsidP="00610F5F">
      <w:pPr>
        <w:pStyle w:val="Heading3"/>
        <w:numPr>
          <w:ilvl w:val="2"/>
          <w:numId w:val="22"/>
        </w:numPr>
        <w:sectPr w:rsidR="003E5BF5" w:rsidSect="00273802">
          <w:type w:val="continuous"/>
          <w:pgSz w:w="11906" w:h="16838"/>
          <w:pgMar w:top="1701" w:right="1418" w:bottom="1418" w:left="1418" w:header="708" w:footer="708" w:gutter="0"/>
          <w:cols w:space="284"/>
          <w:docGrid w:linePitch="360"/>
        </w:sectPr>
      </w:pPr>
      <w:bookmarkStart w:id="591" w:name="_Toc522177989"/>
      <w:bookmarkStart w:id="592" w:name="_Toc529197934"/>
      <w:bookmarkStart w:id="593" w:name="_Toc9344356"/>
    </w:p>
    <w:p w14:paraId="3032D3AB" w14:textId="77777777" w:rsidR="00273802" w:rsidRDefault="00273802" w:rsidP="00610F5F">
      <w:pPr>
        <w:pStyle w:val="Heading3"/>
        <w:numPr>
          <w:ilvl w:val="2"/>
          <w:numId w:val="22"/>
        </w:numPr>
        <w:sectPr w:rsidR="00273802" w:rsidSect="00DE1921">
          <w:headerReference w:type="even" r:id="rId193"/>
          <w:headerReference w:type="default" r:id="rId194"/>
          <w:footerReference w:type="even" r:id="rId195"/>
          <w:pgSz w:w="11906" w:h="16838"/>
          <w:pgMar w:top="1701" w:right="1418" w:bottom="1418" w:left="1418" w:header="708" w:footer="708" w:gutter="0"/>
          <w:cols w:space="708"/>
          <w:docGrid w:linePitch="360"/>
        </w:sectPr>
      </w:pPr>
    </w:p>
    <w:p w14:paraId="539E7BAB" w14:textId="4CF00D16" w:rsidR="003E5BF5" w:rsidRPr="007444F0" w:rsidRDefault="003E5BF5" w:rsidP="00610F5F">
      <w:pPr>
        <w:pStyle w:val="Heading3"/>
        <w:numPr>
          <w:ilvl w:val="2"/>
          <w:numId w:val="22"/>
        </w:numPr>
        <w:ind w:left="765" w:hanging="765"/>
      </w:pPr>
      <w:r w:rsidRPr="007444F0">
        <w:t>Fair value determination of financial assets and liabilities</w:t>
      </w:r>
      <w:bookmarkEnd w:id="591"/>
      <w:bookmarkEnd w:id="592"/>
      <w:bookmarkEnd w:id="593"/>
    </w:p>
    <w:p w14:paraId="01FB201F" w14:textId="77777777" w:rsidR="003E5BF5" w:rsidRDefault="003E5BF5" w:rsidP="00D74D26">
      <w:pPr>
        <w:pStyle w:val="aaatyping"/>
      </w:pPr>
      <w:r>
        <w:t>The department</w:t>
      </w:r>
      <w:r w:rsidRPr="007444F0">
        <w:t xml:space="preserve"> currently holds a range of financial instruments that are recorded in the financial statements where the carrying amounts are a reasonable approximation of fair value, either due to their short-term nature or with the expectation that they will be paid in full by the end of the </w:t>
      </w:r>
      <w:r>
        <w:t>2019-20</w:t>
      </w:r>
      <w:r w:rsidRPr="007444F0">
        <w:t xml:space="preserve"> reporting period.</w:t>
      </w:r>
    </w:p>
    <w:p w14:paraId="1A0C064D" w14:textId="77777777" w:rsidR="003E5BF5" w:rsidRDefault="003E5BF5" w:rsidP="00122779">
      <w:pPr>
        <w:pStyle w:val="aaatyping"/>
      </w:pPr>
      <w:r>
        <w:t>These financial instruments include:</w:t>
      </w:r>
    </w:p>
    <w:tbl>
      <w:tblPr>
        <w:tblStyle w:val="TableGrid"/>
        <w:tblW w:w="9072" w:type="dxa"/>
        <w:tblLook w:val="04A0" w:firstRow="1" w:lastRow="0" w:firstColumn="1" w:lastColumn="0" w:noHBand="0" w:noVBand="1"/>
      </w:tblPr>
      <w:tblGrid>
        <w:gridCol w:w="9072"/>
      </w:tblGrid>
      <w:tr w:rsidR="003E5BF5" w:rsidRPr="00293D7B" w14:paraId="5DAA577B" w14:textId="77777777" w:rsidTr="00A51E30">
        <w:trPr>
          <w:trHeight w:val="340"/>
        </w:trPr>
        <w:tc>
          <w:tcPr>
            <w:tcW w:w="9072" w:type="dxa"/>
            <w:vAlign w:val="center"/>
          </w:tcPr>
          <w:p w14:paraId="5A5A84ED" w14:textId="77777777" w:rsidR="003E5BF5" w:rsidRPr="00293D7B" w:rsidRDefault="003E5BF5" w:rsidP="00604703">
            <w:pPr>
              <w:pStyle w:val="TableTextGreen"/>
            </w:pPr>
            <w:r w:rsidRPr="00293D7B">
              <w:t>Financial assets</w:t>
            </w:r>
          </w:p>
        </w:tc>
      </w:tr>
      <w:tr w:rsidR="003E5BF5" w:rsidRPr="00293D7B" w14:paraId="5177AE38" w14:textId="77777777" w:rsidTr="00A51E30">
        <w:trPr>
          <w:trHeight w:val="340"/>
        </w:trPr>
        <w:tc>
          <w:tcPr>
            <w:tcW w:w="9072" w:type="dxa"/>
            <w:vAlign w:val="center"/>
          </w:tcPr>
          <w:p w14:paraId="6AEAEC49"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Cash and cash equivalents</w:t>
            </w:r>
          </w:p>
        </w:tc>
      </w:tr>
      <w:tr w:rsidR="003E5BF5" w:rsidRPr="00293D7B" w14:paraId="3FD9E4D0" w14:textId="77777777" w:rsidTr="00A51E30">
        <w:trPr>
          <w:trHeight w:val="340"/>
        </w:trPr>
        <w:tc>
          <w:tcPr>
            <w:tcW w:w="9072" w:type="dxa"/>
            <w:vAlign w:val="center"/>
          </w:tcPr>
          <w:p w14:paraId="7763845D"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Receivables</w:t>
            </w:r>
          </w:p>
        </w:tc>
      </w:tr>
      <w:tr w:rsidR="003E5BF5" w:rsidRPr="00293D7B" w14:paraId="1D09A40F" w14:textId="77777777" w:rsidTr="00A51E30">
        <w:trPr>
          <w:trHeight w:val="340"/>
        </w:trPr>
        <w:tc>
          <w:tcPr>
            <w:tcW w:w="9072" w:type="dxa"/>
            <w:vAlign w:val="center"/>
          </w:tcPr>
          <w:p w14:paraId="252BD150" w14:textId="77777777" w:rsidR="003E5BF5" w:rsidRPr="00293D7B" w:rsidRDefault="003E5BF5" w:rsidP="006667CC">
            <w:pPr>
              <w:pStyle w:val="ListParagraph"/>
              <w:numPr>
                <w:ilvl w:val="0"/>
                <w:numId w:val="7"/>
              </w:numPr>
              <w:spacing w:after="0"/>
              <w:ind w:left="284" w:hanging="227"/>
              <w:rPr>
                <w:rFonts w:ascii="Arial" w:hAnsi="Arial" w:cs="Arial"/>
                <w:sz w:val="24"/>
                <w:szCs w:val="24"/>
              </w:rPr>
            </w:pPr>
            <w:r w:rsidRPr="00293D7B">
              <w:rPr>
                <w:rFonts w:ascii="Arial" w:hAnsi="Arial" w:cs="Arial"/>
                <w:sz w:val="24"/>
                <w:szCs w:val="24"/>
              </w:rPr>
              <w:t>Amounts receivable from government agencies</w:t>
            </w:r>
          </w:p>
        </w:tc>
      </w:tr>
      <w:tr w:rsidR="003E5BF5" w:rsidRPr="00293D7B" w14:paraId="71941CB6" w14:textId="77777777" w:rsidTr="00A51E30">
        <w:trPr>
          <w:trHeight w:val="340"/>
        </w:trPr>
        <w:tc>
          <w:tcPr>
            <w:tcW w:w="9072" w:type="dxa"/>
            <w:vAlign w:val="center"/>
          </w:tcPr>
          <w:p w14:paraId="15E79D8E" w14:textId="77777777" w:rsidR="003E5BF5" w:rsidRPr="00293D7B" w:rsidRDefault="003E5BF5" w:rsidP="006667CC">
            <w:pPr>
              <w:pStyle w:val="ListParagraph"/>
              <w:numPr>
                <w:ilvl w:val="0"/>
                <w:numId w:val="7"/>
              </w:numPr>
              <w:spacing w:after="0"/>
              <w:ind w:left="284" w:hanging="227"/>
              <w:rPr>
                <w:rFonts w:ascii="Arial" w:hAnsi="Arial" w:cs="Arial"/>
                <w:sz w:val="24"/>
                <w:szCs w:val="24"/>
              </w:rPr>
            </w:pPr>
            <w:r w:rsidRPr="00293D7B">
              <w:rPr>
                <w:rFonts w:ascii="Arial" w:hAnsi="Arial" w:cs="Arial"/>
                <w:sz w:val="24"/>
                <w:szCs w:val="24"/>
              </w:rPr>
              <w:t>Amounts receivable from non-government agencies</w:t>
            </w:r>
          </w:p>
        </w:tc>
      </w:tr>
      <w:tr w:rsidR="003E5BF5" w:rsidRPr="00293D7B" w14:paraId="5A79A38A" w14:textId="77777777" w:rsidTr="00A51E30">
        <w:trPr>
          <w:trHeight w:val="340"/>
        </w:trPr>
        <w:tc>
          <w:tcPr>
            <w:tcW w:w="9072" w:type="dxa"/>
            <w:vAlign w:val="center"/>
          </w:tcPr>
          <w:p w14:paraId="5A1E60EF" w14:textId="77777777" w:rsidR="003E5BF5" w:rsidRPr="00293D7B" w:rsidRDefault="003E5BF5" w:rsidP="00604703">
            <w:pPr>
              <w:pStyle w:val="TableTextGreen"/>
            </w:pPr>
            <w:r w:rsidRPr="00293D7B">
              <w:t>Financial liabilities</w:t>
            </w:r>
          </w:p>
        </w:tc>
      </w:tr>
      <w:tr w:rsidR="003E5BF5" w:rsidRPr="00293D7B" w14:paraId="64C9420C" w14:textId="77777777" w:rsidTr="00A51E30">
        <w:trPr>
          <w:trHeight w:val="340"/>
        </w:trPr>
        <w:tc>
          <w:tcPr>
            <w:tcW w:w="9072" w:type="dxa"/>
            <w:vAlign w:val="center"/>
          </w:tcPr>
          <w:p w14:paraId="0783C27F"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Payables</w:t>
            </w:r>
          </w:p>
        </w:tc>
      </w:tr>
      <w:tr w:rsidR="003E5BF5" w:rsidRPr="00293D7B" w14:paraId="173037FF" w14:textId="77777777" w:rsidTr="00A51E30">
        <w:trPr>
          <w:trHeight w:val="340"/>
        </w:trPr>
        <w:tc>
          <w:tcPr>
            <w:tcW w:w="9072" w:type="dxa"/>
            <w:vAlign w:val="center"/>
          </w:tcPr>
          <w:p w14:paraId="17F7C43E" w14:textId="77777777" w:rsidR="003E5BF5" w:rsidRPr="00293D7B" w:rsidRDefault="003E5BF5" w:rsidP="006667CC">
            <w:pPr>
              <w:pStyle w:val="ListParagraph"/>
              <w:numPr>
                <w:ilvl w:val="0"/>
                <w:numId w:val="7"/>
              </w:numPr>
              <w:spacing w:after="0"/>
              <w:ind w:left="284" w:hanging="227"/>
              <w:rPr>
                <w:rFonts w:ascii="Arial" w:hAnsi="Arial" w:cs="Arial"/>
                <w:sz w:val="24"/>
                <w:szCs w:val="24"/>
              </w:rPr>
            </w:pPr>
            <w:r w:rsidRPr="00293D7B">
              <w:rPr>
                <w:rFonts w:ascii="Arial" w:hAnsi="Arial" w:cs="Arial"/>
                <w:sz w:val="24"/>
                <w:szCs w:val="24"/>
              </w:rPr>
              <w:t>Amounts payable to government agencies</w:t>
            </w:r>
          </w:p>
        </w:tc>
      </w:tr>
      <w:tr w:rsidR="003E5BF5" w:rsidRPr="00293D7B" w14:paraId="6396E620" w14:textId="77777777" w:rsidTr="00A51E30">
        <w:trPr>
          <w:trHeight w:val="340"/>
        </w:trPr>
        <w:tc>
          <w:tcPr>
            <w:tcW w:w="9072" w:type="dxa"/>
            <w:vAlign w:val="center"/>
          </w:tcPr>
          <w:p w14:paraId="2FE0F154" w14:textId="77777777" w:rsidR="003E5BF5" w:rsidRPr="00293D7B" w:rsidRDefault="003E5BF5" w:rsidP="006667CC">
            <w:pPr>
              <w:pStyle w:val="ListParagraph"/>
              <w:numPr>
                <w:ilvl w:val="0"/>
                <w:numId w:val="7"/>
              </w:numPr>
              <w:spacing w:after="0"/>
              <w:ind w:left="284" w:hanging="227"/>
              <w:rPr>
                <w:rFonts w:ascii="Arial" w:hAnsi="Arial" w:cs="Arial"/>
                <w:sz w:val="24"/>
                <w:szCs w:val="24"/>
              </w:rPr>
            </w:pPr>
            <w:r w:rsidRPr="00293D7B">
              <w:rPr>
                <w:rFonts w:ascii="Arial" w:hAnsi="Arial" w:cs="Arial"/>
                <w:sz w:val="24"/>
                <w:szCs w:val="24"/>
              </w:rPr>
              <w:t>Amounts payable to non-government agencies</w:t>
            </w:r>
          </w:p>
        </w:tc>
      </w:tr>
      <w:tr w:rsidR="003E5BF5" w:rsidRPr="00293D7B" w14:paraId="450E6E38" w14:textId="77777777" w:rsidTr="00A51E30">
        <w:trPr>
          <w:trHeight w:val="340"/>
        </w:trPr>
        <w:tc>
          <w:tcPr>
            <w:tcW w:w="9072" w:type="dxa"/>
            <w:vAlign w:val="center"/>
          </w:tcPr>
          <w:p w14:paraId="2F0745D3" w14:textId="77777777" w:rsidR="003E5BF5" w:rsidRPr="00293D7B" w:rsidRDefault="003E5BF5" w:rsidP="006667CC">
            <w:pPr>
              <w:pStyle w:val="ListParagraph"/>
              <w:numPr>
                <w:ilvl w:val="0"/>
                <w:numId w:val="7"/>
              </w:numPr>
              <w:spacing w:after="0"/>
              <w:ind w:left="284" w:hanging="227"/>
              <w:rPr>
                <w:rFonts w:ascii="Arial" w:hAnsi="Arial" w:cs="Arial"/>
                <w:sz w:val="24"/>
                <w:szCs w:val="24"/>
              </w:rPr>
            </w:pPr>
            <w:r w:rsidRPr="00293D7B">
              <w:rPr>
                <w:rFonts w:ascii="Arial" w:hAnsi="Arial" w:cs="Arial"/>
                <w:sz w:val="24"/>
                <w:szCs w:val="24"/>
              </w:rPr>
              <w:t>Unearned income</w:t>
            </w:r>
          </w:p>
        </w:tc>
      </w:tr>
      <w:tr w:rsidR="003E5BF5" w:rsidRPr="00293D7B" w14:paraId="08A3F69B" w14:textId="77777777" w:rsidTr="00A51E30">
        <w:trPr>
          <w:trHeight w:val="340"/>
        </w:trPr>
        <w:tc>
          <w:tcPr>
            <w:tcW w:w="9072" w:type="dxa"/>
            <w:vAlign w:val="center"/>
          </w:tcPr>
          <w:p w14:paraId="55A72785" w14:textId="77777777" w:rsidR="003E5BF5" w:rsidRPr="00293D7B" w:rsidRDefault="003E5BF5" w:rsidP="006667CC">
            <w:pPr>
              <w:pStyle w:val="ListParagraph"/>
              <w:numPr>
                <w:ilvl w:val="0"/>
                <w:numId w:val="7"/>
              </w:numPr>
              <w:spacing w:after="0"/>
              <w:ind w:left="284" w:hanging="227"/>
              <w:rPr>
                <w:rFonts w:ascii="Arial" w:hAnsi="Arial" w:cs="Arial"/>
                <w:sz w:val="24"/>
                <w:szCs w:val="24"/>
              </w:rPr>
            </w:pPr>
            <w:r w:rsidRPr="00293D7B">
              <w:rPr>
                <w:rFonts w:ascii="Arial" w:hAnsi="Arial" w:cs="Arial"/>
                <w:sz w:val="24"/>
                <w:szCs w:val="24"/>
              </w:rPr>
              <w:t>Other payables</w:t>
            </w:r>
          </w:p>
        </w:tc>
      </w:tr>
      <w:tr w:rsidR="003E5BF5" w:rsidRPr="00293D7B" w14:paraId="2C920641" w14:textId="77777777" w:rsidTr="00A51E30">
        <w:trPr>
          <w:trHeight w:val="340"/>
        </w:trPr>
        <w:tc>
          <w:tcPr>
            <w:tcW w:w="9072" w:type="dxa"/>
            <w:vAlign w:val="center"/>
          </w:tcPr>
          <w:p w14:paraId="15385142"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Borrowings</w:t>
            </w:r>
          </w:p>
        </w:tc>
      </w:tr>
      <w:tr w:rsidR="003E5BF5" w:rsidRPr="00293D7B" w14:paraId="0EE99D55" w14:textId="77777777" w:rsidTr="00A51E30">
        <w:trPr>
          <w:trHeight w:val="340"/>
        </w:trPr>
        <w:tc>
          <w:tcPr>
            <w:tcW w:w="9072" w:type="dxa"/>
            <w:vAlign w:val="center"/>
          </w:tcPr>
          <w:p w14:paraId="7906A4B5" w14:textId="77777777" w:rsidR="003E5BF5" w:rsidRPr="00293D7B" w:rsidRDefault="003E5BF5" w:rsidP="006667CC">
            <w:pPr>
              <w:pStyle w:val="ListParagraph"/>
              <w:numPr>
                <w:ilvl w:val="0"/>
                <w:numId w:val="7"/>
              </w:numPr>
              <w:spacing w:after="0"/>
              <w:ind w:left="284" w:hanging="227"/>
              <w:rPr>
                <w:rFonts w:ascii="Arial" w:hAnsi="Arial" w:cs="Arial"/>
                <w:sz w:val="24"/>
                <w:szCs w:val="24"/>
              </w:rPr>
            </w:pPr>
            <w:r w:rsidRPr="00293D7B">
              <w:rPr>
                <w:rFonts w:ascii="Arial" w:hAnsi="Arial" w:cs="Arial"/>
                <w:sz w:val="24"/>
                <w:szCs w:val="24"/>
              </w:rPr>
              <w:t>Service concession financial liabilities</w:t>
            </w:r>
          </w:p>
        </w:tc>
      </w:tr>
      <w:tr w:rsidR="003E5BF5" w:rsidRPr="00293D7B" w14:paraId="0AEBAE22" w14:textId="77777777" w:rsidTr="00A51E30">
        <w:trPr>
          <w:trHeight w:val="340"/>
        </w:trPr>
        <w:tc>
          <w:tcPr>
            <w:tcW w:w="9072" w:type="dxa"/>
            <w:vAlign w:val="center"/>
          </w:tcPr>
          <w:p w14:paraId="334576CF" w14:textId="77777777" w:rsidR="003E5BF5" w:rsidRPr="00293D7B" w:rsidRDefault="003E5BF5" w:rsidP="006667CC">
            <w:pPr>
              <w:pStyle w:val="ListParagraph"/>
              <w:numPr>
                <w:ilvl w:val="0"/>
                <w:numId w:val="7"/>
              </w:numPr>
              <w:spacing w:after="0"/>
              <w:ind w:left="284" w:hanging="227"/>
              <w:rPr>
                <w:rFonts w:ascii="Arial" w:hAnsi="Arial" w:cs="Arial"/>
                <w:sz w:val="24"/>
                <w:szCs w:val="24"/>
              </w:rPr>
            </w:pPr>
            <w:r w:rsidRPr="00293D7B">
              <w:rPr>
                <w:rFonts w:ascii="Arial" w:hAnsi="Arial" w:cs="Arial"/>
                <w:sz w:val="24"/>
                <w:szCs w:val="24"/>
              </w:rPr>
              <w:t>Lease liabilities</w:t>
            </w:r>
          </w:p>
        </w:tc>
      </w:tr>
      <w:tr w:rsidR="003E5BF5" w:rsidRPr="00293D7B" w14:paraId="77360B7B" w14:textId="77777777" w:rsidTr="00A51E30">
        <w:trPr>
          <w:trHeight w:val="340"/>
        </w:trPr>
        <w:tc>
          <w:tcPr>
            <w:tcW w:w="9072" w:type="dxa"/>
            <w:vAlign w:val="center"/>
          </w:tcPr>
          <w:p w14:paraId="0E83F40B" w14:textId="77777777" w:rsidR="003E5BF5" w:rsidRPr="00293D7B" w:rsidRDefault="003E5BF5" w:rsidP="006667CC">
            <w:pPr>
              <w:pStyle w:val="ListParagraph"/>
              <w:numPr>
                <w:ilvl w:val="0"/>
                <w:numId w:val="7"/>
              </w:numPr>
              <w:spacing w:after="0"/>
              <w:ind w:left="284" w:hanging="227"/>
              <w:rPr>
                <w:rFonts w:ascii="Arial" w:hAnsi="Arial" w:cs="Arial"/>
                <w:sz w:val="24"/>
                <w:szCs w:val="24"/>
              </w:rPr>
            </w:pPr>
            <w:r w:rsidRPr="00293D7B">
              <w:rPr>
                <w:rFonts w:ascii="Arial" w:hAnsi="Arial" w:cs="Arial"/>
                <w:sz w:val="24"/>
                <w:szCs w:val="24"/>
              </w:rPr>
              <w:t>Advances</w:t>
            </w:r>
          </w:p>
        </w:tc>
      </w:tr>
    </w:tbl>
    <w:p w14:paraId="6F636471" w14:textId="77777777" w:rsidR="003E5BF5" w:rsidRDefault="003E5BF5" w:rsidP="00DE1921"/>
    <w:p w14:paraId="53113F81" w14:textId="77777777" w:rsidR="003E5BF5" w:rsidRDefault="003E5BF5" w:rsidP="00E55C5F">
      <w:pPr>
        <w:pStyle w:val="aaaboldheadingfinance"/>
      </w:pPr>
      <w:r w:rsidRPr="007444F0">
        <w:t xml:space="preserve">Fair value of financial </w:t>
      </w:r>
      <w:r>
        <w:t>assets and liabilities</w:t>
      </w:r>
    </w:p>
    <w:p w14:paraId="57BE2CD3" w14:textId="77777777" w:rsidR="003E5BF5" w:rsidRDefault="003E5BF5" w:rsidP="00D74D26">
      <w:pPr>
        <w:pStyle w:val="aaatyping"/>
      </w:pPr>
      <w:r w:rsidRPr="00D53272">
        <w:t xml:space="preserve">The department considers that the carrying amount of financial assets and financial liabilities recorded in the financial statements approximates their fair values. </w:t>
      </w:r>
    </w:p>
    <w:p w14:paraId="35CA893F" w14:textId="77777777" w:rsidR="003E5BF5" w:rsidRPr="00D53272" w:rsidRDefault="003E5BF5" w:rsidP="00DE1921"/>
    <w:p w14:paraId="6274B971" w14:textId="77777777" w:rsidR="003E5BF5" w:rsidRPr="007444F0" w:rsidRDefault="003E5BF5" w:rsidP="00DE1921">
      <w:pPr>
        <w:sectPr w:rsidR="003E5BF5" w:rsidRPr="007444F0" w:rsidSect="00273802">
          <w:type w:val="continuous"/>
          <w:pgSz w:w="11906" w:h="16838"/>
          <w:pgMar w:top="1701" w:right="1418" w:bottom="1418" w:left="1418" w:header="708" w:footer="708" w:gutter="0"/>
          <w:cols w:space="708"/>
          <w:docGrid w:linePitch="360"/>
        </w:sectPr>
      </w:pPr>
    </w:p>
    <w:p w14:paraId="32FAFDAB" w14:textId="77777777" w:rsidR="003E5BF5" w:rsidRDefault="003E5BF5" w:rsidP="00610F5F">
      <w:pPr>
        <w:pStyle w:val="Heading3"/>
        <w:numPr>
          <w:ilvl w:val="2"/>
          <w:numId w:val="22"/>
        </w:numPr>
        <w:ind w:left="765" w:hanging="765"/>
      </w:pPr>
      <w:bookmarkStart w:id="594" w:name="_Toc522177990"/>
      <w:bookmarkStart w:id="595" w:name="_Toc529197935"/>
      <w:bookmarkStart w:id="596" w:name="_Toc9344357"/>
      <w:r w:rsidRPr="007444F0">
        <w:lastRenderedPageBreak/>
        <w:t>Fair value determination: Non-financial physical assets</w:t>
      </w:r>
      <w:bookmarkStart w:id="597" w:name="RANGE!A4:I34"/>
      <w:bookmarkEnd w:id="594"/>
      <w:bookmarkEnd w:id="595"/>
      <w:bookmarkEnd w:id="596"/>
      <w:bookmarkEnd w:id="597"/>
    </w:p>
    <w:tbl>
      <w:tblPr>
        <w:tblStyle w:val="TableGrid"/>
        <w:tblW w:w="13608" w:type="dxa"/>
        <w:tblLayout w:type="fixed"/>
        <w:tblLook w:val="04A0" w:firstRow="1" w:lastRow="0" w:firstColumn="1" w:lastColumn="0" w:noHBand="0" w:noVBand="1"/>
      </w:tblPr>
      <w:tblGrid>
        <w:gridCol w:w="4523"/>
        <w:gridCol w:w="1514"/>
        <w:gridCol w:w="1514"/>
        <w:gridCol w:w="1514"/>
        <w:gridCol w:w="1514"/>
        <w:gridCol w:w="1514"/>
        <w:gridCol w:w="1515"/>
      </w:tblGrid>
      <w:tr w:rsidR="003E5BF5" w:rsidRPr="00293D7B" w14:paraId="3601CBBB" w14:textId="77777777" w:rsidTr="00486E73">
        <w:trPr>
          <w:trHeight w:val="340"/>
        </w:trPr>
        <w:tc>
          <w:tcPr>
            <w:tcW w:w="4523" w:type="dxa"/>
            <w:shd w:val="clear" w:color="auto" w:fill="auto"/>
            <w:noWrap/>
            <w:hideMark/>
          </w:tcPr>
          <w:p w14:paraId="409FFB38" w14:textId="77777777" w:rsidR="003E5BF5" w:rsidRPr="00293D7B" w:rsidRDefault="003E5BF5" w:rsidP="00DE1921">
            <w:pPr>
              <w:rPr>
                <w:rFonts w:ascii="Arial" w:hAnsi="Arial" w:cs="Arial"/>
                <w:sz w:val="24"/>
                <w:szCs w:val="24"/>
              </w:rPr>
            </w:pPr>
            <w:bookmarkStart w:id="598" w:name="RANGE!A4:I29"/>
            <w:bookmarkEnd w:id="598"/>
          </w:p>
        </w:tc>
        <w:tc>
          <w:tcPr>
            <w:tcW w:w="9085" w:type="dxa"/>
            <w:gridSpan w:val="6"/>
            <w:shd w:val="clear" w:color="auto" w:fill="auto"/>
            <w:vAlign w:val="center"/>
            <w:hideMark/>
          </w:tcPr>
          <w:p w14:paraId="54756072" w14:textId="77777777" w:rsidR="003E5BF5" w:rsidRPr="00293D7B" w:rsidRDefault="003E5BF5" w:rsidP="00DE1921">
            <w:pPr>
              <w:jc w:val="center"/>
              <w:rPr>
                <w:rFonts w:ascii="Arial" w:hAnsi="Arial" w:cs="Arial"/>
                <w:b/>
                <w:sz w:val="24"/>
                <w:szCs w:val="24"/>
              </w:rPr>
            </w:pPr>
            <w:r w:rsidRPr="00293D7B">
              <w:rPr>
                <w:rFonts w:ascii="Arial" w:hAnsi="Arial" w:cs="Arial"/>
                <w:b/>
                <w:sz w:val="24"/>
                <w:szCs w:val="24"/>
              </w:rPr>
              <w:t>($ thousand)</w:t>
            </w:r>
          </w:p>
        </w:tc>
      </w:tr>
      <w:tr w:rsidR="003E5BF5" w:rsidRPr="00293D7B" w14:paraId="22311B5C" w14:textId="77777777" w:rsidTr="00486E73">
        <w:trPr>
          <w:trHeight w:val="340"/>
        </w:trPr>
        <w:tc>
          <w:tcPr>
            <w:tcW w:w="4523" w:type="dxa"/>
            <w:shd w:val="clear" w:color="auto" w:fill="auto"/>
            <w:noWrap/>
            <w:vAlign w:val="center"/>
            <w:hideMark/>
          </w:tcPr>
          <w:p w14:paraId="7DF1A85C" w14:textId="77777777" w:rsidR="003E5BF5" w:rsidRPr="00293D7B" w:rsidRDefault="003E5BF5" w:rsidP="00DE1921">
            <w:pPr>
              <w:rPr>
                <w:rFonts w:ascii="Arial" w:hAnsi="Arial" w:cs="Arial"/>
                <w:sz w:val="24"/>
                <w:szCs w:val="24"/>
              </w:rPr>
            </w:pPr>
          </w:p>
        </w:tc>
        <w:tc>
          <w:tcPr>
            <w:tcW w:w="3028" w:type="dxa"/>
            <w:gridSpan w:val="2"/>
            <w:shd w:val="clear" w:color="auto" w:fill="auto"/>
            <w:vAlign w:val="bottom"/>
            <w:hideMark/>
          </w:tcPr>
          <w:p w14:paraId="3AD4D30C" w14:textId="77777777" w:rsidR="003E5BF5" w:rsidRPr="00293D7B" w:rsidRDefault="003E5BF5" w:rsidP="00DE1921">
            <w:pPr>
              <w:jc w:val="center"/>
              <w:rPr>
                <w:rFonts w:ascii="Arial" w:hAnsi="Arial" w:cs="Arial"/>
                <w:b/>
                <w:sz w:val="24"/>
                <w:szCs w:val="24"/>
              </w:rPr>
            </w:pPr>
            <w:r w:rsidRPr="00293D7B">
              <w:rPr>
                <w:rFonts w:ascii="Arial" w:hAnsi="Arial" w:cs="Arial"/>
                <w:b/>
                <w:sz w:val="24"/>
                <w:szCs w:val="24"/>
              </w:rPr>
              <w:t>Carrying amount</w:t>
            </w:r>
          </w:p>
        </w:tc>
        <w:tc>
          <w:tcPr>
            <w:tcW w:w="3028" w:type="dxa"/>
            <w:gridSpan w:val="2"/>
            <w:shd w:val="clear" w:color="auto" w:fill="auto"/>
            <w:vAlign w:val="bottom"/>
            <w:hideMark/>
          </w:tcPr>
          <w:p w14:paraId="11B1567E" w14:textId="77777777" w:rsidR="003E5BF5" w:rsidRPr="00293D7B" w:rsidRDefault="003E5BF5" w:rsidP="00DE1921">
            <w:pPr>
              <w:jc w:val="center"/>
              <w:rPr>
                <w:rFonts w:ascii="Arial" w:hAnsi="Arial" w:cs="Arial"/>
                <w:b/>
                <w:sz w:val="24"/>
                <w:szCs w:val="24"/>
              </w:rPr>
            </w:pPr>
            <w:r w:rsidRPr="00293D7B">
              <w:rPr>
                <w:rFonts w:ascii="Arial" w:hAnsi="Arial" w:cs="Arial"/>
                <w:b/>
                <w:sz w:val="24"/>
                <w:szCs w:val="24"/>
              </w:rPr>
              <w:t>Fair value measurement at end of reporting period using Level 2</w:t>
            </w:r>
          </w:p>
        </w:tc>
        <w:tc>
          <w:tcPr>
            <w:tcW w:w="3029" w:type="dxa"/>
            <w:gridSpan w:val="2"/>
            <w:shd w:val="clear" w:color="auto" w:fill="auto"/>
            <w:vAlign w:val="bottom"/>
            <w:hideMark/>
          </w:tcPr>
          <w:p w14:paraId="5B4FDF29" w14:textId="77777777" w:rsidR="003E5BF5" w:rsidRPr="00293D7B" w:rsidRDefault="003E5BF5" w:rsidP="00DE1921">
            <w:pPr>
              <w:jc w:val="center"/>
              <w:rPr>
                <w:rFonts w:ascii="Arial" w:hAnsi="Arial" w:cs="Arial"/>
                <w:b/>
                <w:sz w:val="24"/>
                <w:szCs w:val="24"/>
              </w:rPr>
            </w:pPr>
            <w:r w:rsidRPr="00293D7B">
              <w:rPr>
                <w:rFonts w:ascii="Arial" w:hAnsi="Arial" w:cs="Arial"/>
                <w:b/>
                <w:sz w:val="24"/>
                <w:szCs w:val="24"/>
              </w:rPr>
              <w:t>Fair value measurement at end of reporting period using Level 3</w:t>
            </w:r>
          </w:p>
        </w:tc>
      </w:tr>
      <w:tr w:rsidR="003E5BF5" w:rsidRPr="00293D7B" w14:paraId="3616CACB" w14:textId="77777777" w:rsidTr="00486E73">
        <w:trPr>
          <w:trHeight w:val="340"/>
        </w:trPr>
        <w:tc>
          <w:tcPr>
            <w:tcW w:w="4523" w:type="dxa"/>
            <w:shd w:val="clear" w:color="auto" w:fill="auto"/>
            <w:noWrap/>
            <w:vAlign w:val="center"/>
            <w:hideMark/>
          </w:tcPr>
          <w:p w14:paraId="50F36EBD" w14:textId="77777777" w:rsidR="003E5BF5" w:rsidRPr="00293D7B" w:rsidRDefault="003E5BF5" w:rsidP="00DE1921">
            <w:pPr>
              <w:rPr>
                <w:rFonts w:ascii="Arial" w:hAnsi="Arial" w:cs="Arial"/>
                <w:b/>
                <w:sz w:val="24"/>
                <w:szCs w:val="24"/>
              </w:rPr>
            </w:pPr>
            <w:r w:rsidRPr="00293D7B">
              <w:rPr>
                <w:rFonts w:ascii="Arial" w:hAnsi="Arial" w:cs="Arial"/>
                <w:b/>
                <w:sz w:val="24"/>
                <w:szCs w:val="24"/>
              </w:rPr>
              <w:t> </w:t>
            </w:r>
          </w:p>
        </w:tc>
        <w:tc>
          <w:tcPr>
            <w:tcW w:w="1514" w:type="dxa"/>
            <w:shd w:val="clear" w:color="auto" w:fill="auto"/>
            <w:noWrap/>
            <w:vAlign w:val="center"/>
            <w:hideMark/>
          </w:tcPr>
          <w:p w14:paraId="25EC2C18"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2020</w:t>
            </w:r>
          </w:p>
        </w:tc>
        <w:tc>
          <w:tcPr>
            <w:tcW w:w="1514" w:type="dxa"/>
            <w:shd w:val="clear" w:color="auto" w:fill="auto"/>
            <w:noWrap/>
            <w:vAlign w:val="center"/>
            <w:hideMark/>
          </w:tcPr>
          <w:p w14:paraId="7064499E"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2019</w:t>
            </w:r>
          </w:p>
        </w:tc>
        <w:tc>
          <w:tcPr>
            <w:tcW w:w="1514" w:type="dxa"/>
            <w:shd w:val="clear" w:color="auto" w:fill="auto"/>
            <w:noWrap/>
            <w:vAlign w:val="center"/>
            <w:hideMark/>
          </w:tcPr>
          <w:p w14:paraId="52691561"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2020</w:t>
            </w:r>
          </w:p>
        </w:tc>
        <w:tc>
          <w:tcPr>
            <w:tcW w:w="1514" w:type="dxa"/>
            <w:shd w:val="clear" w:color="auto" w:fill="auto"/>
            <w:noWrap/>
            <w:vAlign w:val="center"/>
            <w:hideMark/>
          </w:tcPr>
          <w:p w14:paraId="24660222"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2019</w:t>
            </w:r>
          </w:p>
        </w:tc>
        <w:tc>
          <w:tcPr>
            <w:tcW w:w="1514" w:type="dxa"/>
            <w:shd w:val="clear" w:color="auto" w:fill="auto"/>
            <w:noWrap/>
            <w:vAlign w:val="center"/>
            <w:hideMark/>
          </w:tcPr>
          <w:p w14:paraId="786C884C"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2020</w:t>
            </w:r>
          </w:p>
        </w:tc>
        <w:tc>
          <w:tcPr>
            <w:tcW w:w="1515" w:type="dxa"/>
            <w:shd w:val="clear" w:color="auto" w:fill="auto"/>
            <w:noWrap/>
            <w:vAlign w:val="center"/>
            <w:hideMark/>
          </w:tcPr>
          <w:p w14:paraId="76B5C36B"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2019</w:t>
            </w:r>
          </w:p>
        </w:tc>
      </w:tr>
      <w:tr w:rsidR="003E5BF5" w:rsidRPr="00293D7B" w14:paraId="255FE09B" w14:textId="77777777" w:rsidTr="00486E73">
        <w:trPr>
          <w:trHeight w:val="340"/>
        </w:trPr>
        <w:tc>
          <w:tcPr>
            <w:tcW w:w="4523" w:type="dxa"/>
            <w:shd w:val="clear" w:color="auto" w:fill="auto"/>
            <w:noWrap/>
            <w:vAlign w:val="center"/>
            <w:hideMark/>
          </w:tcPr>
          <w:p w14:paraId="236EAF61" w14:textId="77777777" w:rsidR="003E5BF5" w:rsidRPr="00293D7B" w:rsidRDefault="003E5BF5" w:rsidP="00DE1921">
            <w:pPr>
              <w:rPr>
                <w:rFonts w:ascii="Arial" w:hAnsi="Arial" w:cs="Arial"/>
                <w:sz w:val="24"/>
                <w:szCs w:val="24"/>
              </w:rPr>
            </w:pPr>
            <w:r w:rsidRPr="00293D7B">
              <w:rPr>
                <w:rFonts w:ascii="Arial" w:hAnsi="Arial" w:cs="Arial"/>
                <w:sz w:val="24"/>
                <w:szCs w:val="24"/>
              </w:rPr>
              <w:t>Land under roads at fair value</w:t>
            </w:r>
          </w:p>
        </w:tc>
        <w:tc>
          <w:tcPr>
            <w:tcW w:w="1514" w:type="dxa"/>
            <w:shd w:val="clear" w:color="auto" w:fill="auto"/>
            <w:noWrap/>
            <w:vAlign w:val="center"/>
            <w:hideMark/>
          </w:tcPr>
          <w:p w14:paraId="684AE9B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34,398,450 </w:t>
            </w:r>
          </w:p>
        </w:tc>
        <w:tc>
          <w:tcPr>
            <w:tcW w:w="1514" w:type="dxa"/>
            <w:shd w:val="clear" w:color="auto" w:fill="auto"/>
            <w:noWrap/>
            <w:vAlign w:val="center"/>
            <w:hideMark/>
          </w:tcPr>
          <w:p w14:paraId="1CF4E44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79E6469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122FF88A"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555E713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34,398,450 </w:t>
            </w:r>
          </w:p>
        </w:tc>
        <w:tc>
          <w:tcPr>
            <w:tcW w:w="1515" w:type="dxa"/>
            <w:shd w:val="clear" w:color="auto" w:fill="auto"/>
            <w:noWrap/>
            <w:vAlign w:val="center"/>
            <w:hideMark/>
          </w:tcPr>
          <w:p w14:paraId="232A35D5"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r>
      <w:tr w:rsidR="003E5BF5" w:rsidRPr="00293D7B" w14:paraId="1FFE2F02" w14:textId="77777777" w:rsidTr="00486E73">
        <w:trPr>
          <w:trHeight w:val="340"/>
        </w:trPr>
        <w:tc>
          <w:tcPr>
            <w:tcW w:w="4523" w:type="dxa"/>
            <w:shd w:val="clear" w:color="auto" w:fill="auto"/>
            <w:noWrap/>
            <w:vAlign w:val="center"/>
            <w:hideMark/>
          </w:tcPr>
          <w:p w14:paraId="6A3864EF" w14:textId="77777777" w:rsidR="003E5BF5" w:rsidRPr="00293D7B" w:rsidRDefault="003E5BF5" w:rsidP="00DE1921">
            <w:pPr>
              <w:rPr>
                <w:rFonts w:ascii="Arial" w:hAnsi="Arial" w:cs="Arial"/>
                <w:sz w:val="24"/>
                <w:szCs w:val="24"/>
              </w:rPr>
            </w:pPr>
            <w:r w:rsidRPr="00293D7B">
              <w:rPr>
                <w:rFonts w:ascii="Arial" w:hAnsi="Arial" w:cs="Arial"/>
                <w:sz w:val="24"/>
                <w:szCs w:val="24"/>
              </w:rPr>
              <w:t>PARD land at fair value</w:t>
            </w:r>
          </w:p>
        </w:tc>
        <w:tc>
          <w:tcPr>
            <w:tcW w:w="1514" w:type="dxa"/>
            <w:shd w:val="clear" w:color="auto" w:fill="auto"/>
            <w:noWrap/>
            <w:vAlign w:val="center"/>
            <w:hideMark/>
          </w:tcPr>
          <w:p w14:paraId="108521BC"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1,707,687 </w:t>
            </w:r>
          </w:p>
        </w:tc>
        <w:tc>
          <w:tcPr>
            <w:tcW w:w="1514" w:type="dxa"/>
            <w:shd w:val="clear" w:color="auto" w:fill="auto"/>
            <w:noWrap/>
            <w:vAlign w:val="center"/>
            <w:hideMark/>
          </w:tcPr>
          <w:p w14:paraId="5E6BD4E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69D3972E"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755BA3D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57A8562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1,707,687 </w:t>
            </w:r>
          </w:p>
        </w:tc>
        <w:tc>
          <w:tcPr>
            <w:tcW w:w="1515" w:type="dxa"/>
            <w:shd w:val="clear" w:color="auto" w:fill="auto"/>
            <w:noWrap/>
            <w:vAlign w:val="center"/>
            <w:hideMark/>
          </w:tcPr>
          <w:p w14:paraId="6FFEE0A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r>
      <w:tr w:rsidR="003E5BF5" w:rsidRPr="00293D7B" w14:paraId="7E81BCBB" w14:textId="77777777" w:rsidTr="00486E73">
        <w:trPr>
          <w:trHeight w:val="340"/>
        </w:trPr>
        <w:tc>
          <w:tcPr>
            <w:tcW w:w="4523" w:type="dxa"/>
            <w:shd w:val="clear" w:color="auto" w:fill="auto"/>
            <w:noWrap/>
            <w:vAlign w:val="center"/>
            <w:hideMark/>
          </w:tcPr>
          <w:p w14:paraId="755E1167" w14:textId="77777777" w:rsidR="003E5BF5" w:rsidRPr="00293D7B" w:rsidRDefault="003E5BF5" w:rsidP="00DE1921">
            <w:pPr>
              <w:rPr>
                <w:rFonts w:ascii="Arial" w:hAnsi="Arial" w:cs="Arial"/>
                <w:sz w:val="24"/>
                <w:szCs w:val="24"/>
              </w:rPr>
            </w:pPr>
            <w:r w:rsidRPr="00293D7B">
              <w:rPr>
                <w:rFonts w:ascii="Arial" w:hAnsi="Arial" w:cs="Arial"/>
                <w:sz w:val="24"/>
                <w:szCs w:val="24"/>
              </w:rPr>
              <w:t>Other land at fair value</w:t>
            </w:r>
          </w:p>
        </w:tc>
        <w:tc>
          <w:tcPr>
            <w:tcW w:w="1514" w:type="dxa"/>
            <w:shd w:val="clear" w:color="auto" w:fill="auto"/>
            <w:noWrap/>
            <w:vAlign w:val="center"/>
            <w:hideMark/>
          </w:tcPr>
          <w:p w14:paraId="34CE86AB"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3,089,849 </w:t>
            </w:r>
          </w:p>
        </w:tc>
        <w:tc>
          <w:tcPr>
            <w:tcW w:w="1514" w:type="dxa"/>
            <w:shd w:val="clear" w:color="auto" w:fill="auto"/>
            <w:noWrap/>
            <w:vAlign w:val="center"/>
            <w:hideMark/>
          </w:tcPr>
          <w:p w14:paraId="72111779"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309,859 </w:t>
            </w:r>
          </w:p>
        </w:tc>
        <w:tc>
          <w:tcPr>
            <w:tcW w:w="1514" w:type="dxa"/>
            <w:shd w:val="clear" w:color="auto" w:fill="auto"/>
            <w:noWrap/>
            <w:vAlign w:val="center"/>
            <w:hideMark/>
          </w:tcPr>
          <w:p w14:paraId="14BE767E"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269,550 </w:t>
            </w:r>
          </w:p>
        </w:tc>
        <w:tc>
          <w:tcPr>
            <w:tcW w:w="1514" w:type="dxa"/>
            <w:shd w:val="clear" w:color="auto" w:fill="auto"/>
            <w:noWrap/>
            <w:vAlign w:val="center"/>
            <w:hideMark/>
          </w:tcPr>
          <w:p w14:paraId="69D48B39"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19EE068A"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2,820,298 </w:t>
            </w:r>
          </w:p>
        </w:tc>
        <w:tc>
          <w:tcPr>
            <w:tcW w:w="1515" w:type="dxa"/>
            <w:shd w:val="clear" w:color="auto" w:fill="auto"/>
            <w:noWrap/>
            <w:vAlign w:val="center"/>
            <w:hideMark/>
          </w:tcPr>
          <w:p w14:paraId="5B7DA722"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309,859 </w:t>
            </w:r>
          </w:p>
        </w:tc>
      </w:tr>
      <w:tr w:rsidR="003E5BF5" w:rsidRPr="00293D7B" w14:paraId="08555006" w14:textId="77777777" w:rsidTr="00486E73">
        <w:trPr>
          <w:trHeight w:val="340"/>
        </w:trPr>
        <w:tc>
          <w:tcPr>
            <w:tcW w:w="4523" w:type="dxa"/>
            <w:shd w:val="clear" w:color="auto" w:fill="auto"/>
            <w:noWrap/>
            <w:vAlign w:val="center"/>
            <w:hideMark/>
          </w:tcPr>
          <w:p w14:paraId="52325C07" w14:textId="77777777" w:rsidR="003E5BF5" w:rsidRPr="00293D7B" w:rsidRDefault="003E5BF5" w:rsidP="00DE1921">
            <w:pPr>
              <w:rPr>
                <w:rFonts w:ascii="Arial" w:hAnsi="Arial" w:cs="Arial"/>
                <w:sz w:val="24"/>
                <w:szCs w:val="24"/>
              </w:rPr>
            </w:pPr>
            <w:r w:rsidRPr="00293D7B">
              <w:rPr>
                <w:rFonts w:ascii="Arial" w:hAnsi="Arial" w:cs="Arial"/>
                <w:sz w:val="24"/>
                <w:szCs w:val="24"/>
              </w:rPr>
              <w:t>Roads and bridges at fair value</w:t>
            </w:r>
          </w:p>
        </w:tc>
        <w:tc>
          <w:tcPr>
            <w:tcW w:w="1514" w:type="dxa"/>
            <w:shd w:val="clear" w:color="auto" w:fill="auto"/>
            <w:noWrap/>
            <w:vAlign w:val="center"/>
            <w:hideMark/>
          </w:tcPr>
          <w:p w14:paraId="71014963"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24,254,617 </w:t>
            </w:r>
          </w:p>
        </w:tc>
        <w:tc>
          <w:tcPr>
            <w:tcW w:w="1514" w:type="dxa"/>
            <w:shd w:val="clear" w:color="auto" w:fill="auto"/>
            <w:noWrap/>
            <w:vAlign w:val="center"/>
            <w:hideMark/>
          </w:tcPr>
          <w:p w14:paraId="59695ACB"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39CCF31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06968EE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58F5DE35"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24,254,617 </w:t>
            </w:r>
          </w:p>
        </w:tc>
        <w:tc>
          <w:tcPr>
            <w:tcW w:w="1515" w:type="dxa"/>
            <w:shd w:val="clear" w:color="auto" w:fill="auto"/>
            <w:noWrap/>
            <w:vAlign w:val="center"/>
            <w:hideMark/>
          </w:tcPr>
          <w:p w14:paraId="6B5A755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r>
      <w:tr w:rsidR="003E5BF5" w:rsidRPr="00293D7B" w14:paraId="197BC13C" w14:textId="77777777" w:rsidTr="00486E73">
        <w:trPr>
          <w:trHeight w:val="340"/>
        </w:trPr>
        <w:tc>
          <w:tcPr>
            <w:tcW w:w="4523" w:type="dxa"/>
            <w:shd w:val="clear" w:color="auto" w:fill="auto"/>
            <w:noWrap/>
            <w:vAlign w:val="center"/>
            <w:hideMark/>
          </w:tcPr>
          <w:p w14:paraId="4BEBA48F" w14:textId="77777777" w:rsidR="003E5BF5" w:rsidRPr="00293D7B" w:rsidRDefault="003E5BF5" w:rsidP="00DE1921">
            <w:pPr>
              <w:rPr>
                <w:rFonts w:ascii="Arial" w:hAnsi="Arial" w:cs="Arial"/>
                <w:sz w:val="24"/>
                <w:szCs w:val="24"/>
              </w:rPr>
            </w:pPr>
            <w:r w:rsidRPr="00293D7B">
              <w:rPr>
                <w:rFonts w:ascii="Arial" w:hAnsi="Arial" w:cs="Arial"/>
                <w:sz w:val="24"/>
                <w:szCs w:val="24"/>
              </w:rPr>
              <w:t>Earthworks at fair value</w:t>
            </w:r>
          </w:p>
        </w:tc>
        <w:tc>
          <w:tcPr>
            <w:tcW w:w="1514" w:type="dxa"/>
            <w:shd w:val="clear" w:color="auto" w:fill="auto"/>
            <w:noWrap/>
            <w:vAlign w:val="center"/>
            <w:hideMark/>
          </w:tcPr>
          <w:p w14:paraId="2A14EC8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9,922,320 </w:t>
            </w:r>
          </w:p>
        </w:tc>
        <w:tc>
          <w:tcPr>
            <w:tcW w:w="1514" w:type="dxa"/>
            <w:shd w:val="clear" w:color="auto" w:fill="auto"/>
            <w:noWrap/>
            <w:vAlign w:val="center"/>
            <w:hideMark/>
          </w:tcPr>
          <w:p w14:paraId="7FC1A93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43857E18"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734333C2"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74259FE5"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9,922,320 </w:t>
            </w:r>
          </w:p>
        </w:tc>
        <w:tc>
          <w:tcPr>
            <w:tcW w:w="1515" w:type="dxa"/>
            <w:shd w:val="clear" w:color="auto" w:fill="auto"/>
            <w:noWrap/>
            <w:vAlign w:val="center"/>
            <w:hideMark/>
          </w:tcPr>
          <w:p w14:paraId="62740F4C"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r>
      <w:tr w:rsidR="003E5BF5" w:rsidRPr="00293D7B" w14:paraId="67F9D776" w14:textId="77777777" w:rsidTr="00486E73">
        <w:trPr>
          <w:trHeight w:val="340"/>
        </w:trPr>
        <w:tc>
          <w:tcPr>
            <w:tcW w:w="4523" w:type="dxa"/>
            <w:shd w:val="clear" w:color="auto" w:fill="auto"/>
            <w:noWrap/>
            <w:vAlign w:val="center"/>
            <w:hideMark/>
          </w:tcPr>
          <w:p w14:paraId="3BB0E07B" w14:textId="77777777" w:rsidR="003E5BF5" w:rsidRPr="00293D7B" w:rsidRDefault="003E5BF5" w:rsidP="00DE1921">
            <w:pPr>
              <w:rPr>
                <w:rFonts w:ascii="Arial" w:hAnsi="Arial" w:cs="Arial"/>
                <w:sz w:val="24"/>
                <w:szCs w:val="24"/>
              </w:rPr>
            </w:pPr>
            <w:r w:rsidRPr="00293D7B">
              <w:rPr>
                <w:rFonts w:ascii="Arial" w:hAnsi="Arial" w:cs="Arial"/>
                <w:sz w:val="24"/>
                <w:szCs w:val="24"/>
              </w:rPr>
              <w:t>Other infrastructure at fair value</w:t>
            </w:r>
          </w:p>
        </w:tc>
        <w:tc>
          <w:tcPr>
            <w:tcW w:w="1514" w:type="dxa"/>
            <w:shd w:val="clear" w:color="auto" w:fill="auto"/>
            <w:noWrap/>
            <w:vAlign w:val="center"/>
            <w:hideMark/>
          </w:tcPr>
          <w:p w14:paraId="0BA0A5AE"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2,524,912 </w:t>
            </w:r>
          </w:p>
        </w:tc>
        <w:tc>
          <w:tcPr>
            <w:tcW w:w="1514" w:type="dxa"/>
            <w:shd w:val="clear" w:color="auto" w:fill="auto"/>
            <w:noWrap/>
            <w:vAlign w:val="center"/>
            <w:hideMark/>
          </w:tcPr>
          <w:p w14:paraId="2D00B344"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1,341,790 </w:t>
            </w:r>
          </w:p>
        </w:tc>
        <w:tc>
          <w:tcPr>
            <w:tcW w:w="1514" w:type="dxa"/>
            <w:shd w:val="clear" w:color="auto" w:fill="auto"/>
            <w:noWrap/>
            <w:vAlign w:val="center"/>
            <w:hideMark/>
          </w:tcPr>
          <w:p w14:paraId="0EEA143E"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45174E83"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2A2BD613"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2,524,912 </w:t>
            </w:r>
          </w:p>
        </w:tc>
        <w:tc>
          <w:tcPr>
            <w:tcW w:w="1515" w:type="dxa"/>
            <w:shd w:val="clear" w:color="auto" w:fill="auto"/>
            <w:noWrap/>
            <w:vAlign w:val="center"/>
            <w:hideMark/>
          </w:tcPr>
          <w:p w14:paraId="6EC0729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1,341,790 </w:t>
            </w:r>
          </w:p>
        </w:tc>
      </w:tr>
      <w:tr w:rsidR="003E5BF5" w:rsidRPr="00293D7B" w14:paraId="1CA43371" w14:textId="77777777" w:rsidTr="00486E73">
        <w:trPr>
          <w:trHeight w:val="340"/>
        </w:trPr>
        <w:tc>
          <w:tcPr>
            <w:tcW w:w="4523" w:type="dxa"/>
            <w:shd w:val="clear" w:color="auto" w:fill="auto"/>
            <w:noWrap/>
            <w:vAlign w:val="center"/>
            <w:hideMark/>
          </w:tcPr>
          <w:p w14:paraId="76CBAF64" w14:textId="77777777" w:rsidR="003E5BF5" w:rsidRPr="00293D7B" w:rsidRDefault="003E5BF5" w:rsidP="00DE1921">
            <w:pPr>
              <w:rPr>
                <w:rFonts w:ascii="Arial" w:hAnsi="Arial" w:cs="Arial"/>
                <w:sz w:val="24"/>
                <w:szCs w:val="24"/>
              </w:rPr>
            </w:pPr>
            <w:r w:rsidRPr="00293D7B">
              <w:rPr>
                <w:rFonts w:ascii="Arial" w:hAnsi="Arial" w:cs="Arial"/>
                <w:sz w:val="24"/>
                <w:szCs w:val="24"/>
              </w:rPr>
              <w:t>Buildings at fair value</w:t>
            </w:r>
          </w:p>
        </w:tc>
        <w:tc>
          <w:tcPr>
            <w:tcW w:w="1514" w:type="dxa"/>
            <w:shd w:val="clear" w:color="auto" w:fill="auto"/>
            <w:noWrap/>
            <w:vAlign w:val="center"/>
            <w:hideMark/>
          </w:tcPr>
          <w:p w14:paraId="7F14943F"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633,130 </w:t>
            </w:r>
          </w:p>
        </w:tc>
        <w:tc>
          <w:tcPr>
            <w:tcW w:w="1514" w:type="dxa"/>
            <w:shd w:val="clear" w:color="auto" w:fill="auto"/>
            <w:noWrap/>
            <w:vAlign w:val="center"/>
            <w:hideMark/>
          </w:tcPr>
          <w:p w14:paraId="53883E14"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4,826 </w:t>
            </w:r>
          </w:p>
        </w:tc>
        <w:tc>
          <w:tcPr>
            <w:tcW w:w="1514" w:type="dxa"/>
            <w:shd w:val="clear" w:color="auto" w:fill="auto"/>
            <w:noWrap/>
            <w:vAlign w:val="center"/>
            <w:hideMark/>
          </w:tcPr>
          <w:p w14:paraId="2CC2759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40,040 </w:t>
            </w:r>
          </w:p>
        </w:tc>
        <w:tc>
          <w:tcPr>
            <w:tcW w:w="1514" w:type="dxa"/>
            <w:shd w:val="clear" w:color="auto" w:fill="auto"/>
            <w:noWrap/>
            <w:vAlign w:val="center"/>
            <w:hideMark/>
          </w:tcPr>
          <w:p w14:paraId="3B25B9AF"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31513F4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593,090 </w:t>
            </w:r>
          </w:p>
        </w:tc>
        <w:tc>
          <w:tcPr>
            <w:tcW w:w="1515" w:type="dxa"/>
            <w:shd w:val="clear" w:color="auto" w:fill="auto"/>
            <w:noWrap/>
            <w:vAlign w:val="center"/>
            <w:hideMark/>
          </w:tcPr>
          <w:p w14:paraId="14F52BF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4,826 </w:t>
            </w:r>
          </w:p>
        </w:tc>
      </w:tr>
      <w:tr w:rsidR="003E5BF5" w:rsidRPr="00293D7B" w14:paraId="31BB057F" w14:textId="77777777" w:rsidTr="00486E73">
        <w:trPr>
          <w:trHeight w:val="340"/>
        </w:trPr>
        <w:tc>
          <w:tcPr>
            <w:tcW w:w="4523" w:type="dxa"/>
            <w:shd w:val="clear" w:color="auto" w:fill="auto"/>
            <w:noWrap/>
            <w:vAlign w:val="center"/>
            <w:hideMark/>
          </w:tcPr>
          <w:p w14:paraId="62563CEE" w14:textId="77777777" w:rsidR="003E5BF5" w:rsidRPr="00293D7B" w:rsidRDefault="003E5BF5" w:rsidP="00DE1921">
            <w:pPr>
              <w:rPr>
                <w:rFonts w:ascii="Arial" w:hAnsi="Arial" w:cs="Arial"/>
                <w:sz w:val="24"/>
                <w:szCs w:val="24"/>
              </w:rPr>
            </w:pPr>
            <w:r w:rsidRPr="00293D7B">
              <w:rPr>
                <w:rFonts w:ascii="Arial" w:hAnsi="Arial" w:cs="Arial"/>
                <w:sz w:val="24"/>
                <w:szCs w:val="24"/>
              </w:rPr>
              <w:t>Plant, equipment and vehicles at fair value</w:t>
            </w:r>
          </w:p>
        </w:tc>
        <w:tc>
          <w:tcPr>
            <w:tcW w:w="1514" w:type="dxa"/>
            <w:shd w:val="clear" w:color="auto" w:fill="auto"/>
            <w:noWrap/>
            <w:vAlign w:val="center"/>
            <w:hideMark/>
          </w:tcPr>
          <w:p w14:paraId="216C7039"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256,679 </w:t>
            </w:r>
          </w:p>
        </w:tc>
        <w:tc>
          <w:tcPr>
            <w:tcW w:w="1514" w:type="dxa"/>
            <w:shd w:val="clear" w:color="auto" w:fill="auto"/>
            <w:noWrap/>
            <w:vAlign w:val="center"/>
            <w:hideMark/>
          </w:tcPr>
          <w:p w14:paraId="5819F48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7,108 </w:t>
            </w:r>
          </w:p>
        </w:tc>
        <w:tc>
          <w:tcPr>
            <w:tcW w:w="1514" w:type="dxa"/>
            <w:shd w:val="clear" w:color="auto" w:fill="auto"/>
            <w:noWrap/>
            <w:vAlign w:val="center"/>
            <w:hideMark/>
          </w:tcPr>
          <w:p w14:paraId="76C7A7C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647B6B7B"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6DD73BE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256,679 </w:t>
            </w:r>
          </w:p>
        </w:tc>
        <w:tc>
          <w:tcPr>
            <w:tcW w:w="1515" w:type="dxa"/>
            <w:shd w:val="clear" w:color="auto" w:fill="auto"/>
            <w:noWrap/>
            <w:vAlign w:val="center"/>
            <w:hideMark/>
          </w:tcPr>
          <w:p w14:paraId="7521EE2C"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7,108 </w:t>
            </w:r>
          </w:p>
        </w:tc>
      </w:tr>
      <w:tr w:rsidR="003E5BF5" w:rsidRPr="00293D7B" w14:paraId="191B42CD" w14:textId="77777777" w:rsidTr="00486E73">
        <w:trPr>
          <w:trHeight w:val="340"/>
        </w:trPr>
        <w:tc>
          <w:tcPr>
            <w:tcW w:w="4523" w:type="dxa"/>
            <w:shd w:val="clear" w:color="auto" w:fill="auto"/>
            <w:noWrap/>
            <w:vAlign w:val="center"/>
            <w:hideMark/>
          </w:tcPr>
          <w:p w14:paraId="6ECEA82F" w14:textId="77777777" w:rsidR="003E5BF5" w:rsidRPr="00293D7B" w:rsidRDefault="003E5BF5" w:rsidP="00DE1921">
            <w:pPr>
              <w:rPr>
                <w:rFonts w:ascii="Arial" w:hAnsi="Arial" w:cs="Arial"/>
                <w:sz w:val="24"/>
                <w:szCs w:val="24"/>
              </w:rPr>
            </w:pPr>
            <w:r w:rsidRPr="00293D7B">
              <w:rPr>
                <w:rFonts w:ascii="Arial" w:hAnsi="Arial" w:cs="Arial"/>
                <w:sz w:val="24"/>
                <w:szCs w:val="24"/>
              </w:rPr>
              <w:t>Leasehold improvements</w:t>
            </w:r>
          </w:p>
        </w:tc>
        <w:tc>
          <w:tcPr>
            <w:tcW w:w="1514" w:type="dxa"/>
            <w:shd w:val="clear" w:color="auto" w:fill="auto"/>
            <w:noWrap/>
            <w:vAlign w:val="center"/>
            <w:hideMark/>
          </w:tcPr>
          <w:p w14:paraId="0917051E"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41,217 </w:t>
            </w:r>
          </w:p>
        </w:tc>
        <w:tc>
          <w:tcPr>
            <w:tcW w:w="1514" w:type="dxa"/>
            <w:shd w:val="clear" w:color="auto" w:fill="auto"/>
            <w:noWrap/>
            <w:vAlign w:val="center"/>
            <w:hideMark/>
          </w:tcPr>
          <w:p w14:paraId="532C150E"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15,953 </w:t>
            </w:r>
          </w:p>
        </w:tc>
        <w:tc>
          <w:tcPr>
            <w:tcW w:w="1514" w:type="dxa"/>
            <w:shd w:val="clear" w:color="auto" w:fill="auto"/>
            <w:noWrap/>
            <w:vAlign w:val="center"/>
            <w:hideMark/>
          </w:tcPr>
          <w:p w14:paraId="5D30AD0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12,528 </w:t>
            </w:r>
          </w:p>
        </w:tc>
        <w:tc>
          <w:tcPr>
            <w:tcW w:w="1514" w:type="dxa"/>
            <w:shd w:val="clear" w:color="auto" w:fill="auto"/>
            <w:noWrap/>
            <w:vAlign w:val="center"/>
            <w:hideMark/>
          </w:tcPr>
          <w:p w14:paraId="2F6AB172"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2B263C54"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28,689 </w:t>
            </w:r>
          </w:p>
        </w:tc>
        <w:tc>
          <w:tcPr>
            <w:tcW w:w="1515" w:type="dxa"/>
            <w:shd w:val="clear" w:color="auto" w:fill="auto"/>
            <w:noWrap/>
            <w:vAlign w:val="center"/>
            <w:hideMark/>
          </w:tcPr>
          <w:p w14:paraId="74E53B2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15,953 </w:t>
            </w:r>
          </w:p>
        </w:tc>
      </w:tr>
      <w:tr w:rsidR="003E5BF5" w:rsidRPr="00293D7B" w14:paraId="556E6759" w14:textId="77777777" w:rsidTr="00486E73">
        <w:trPr>
          <w:trHeight w:val="340"/>
        </w:trPr>
        <w:tc>
          <w:tcPr>
            <w:tcW w:w="4523" w:type="dxa"/>
            <w:shd w:val="clear" w:color="auto" w:fill="auto"/>
            <w:noWrap/>
            <w:vAlign w:val="center"/>
            <w:hideMark/>
          </w:tcPr>
          <w:p w14:paraId="45DE8139" w14:textId="77777777" w:rsidR="003E5BF5" w:rsidRPr="00293D7B" w:rsidRDefault="003E5BF5" w:rsidP="00DE1921">
            <w:pPr>
              <w:rPr>
                <w:rFonts w:ascii="Arial" w:hAnsi="Arial" w:cs="Arial"/>
                <w:sz w:val="24"/>
                <w:szCs w:val="24"/>
              </w:rPr>
            </w:pPr>
            <w:r w:rsidRPr="00293D7B">
              <w:rPr>
                <w:rFonts w:ascii="Arial" w:hAnsi="Arial" w:cs="Arial"/>
                <w:sz w:val="24"/>
                <w:szCs w:val="24"/>
              </w:rPr>
              <w:t>Cultural assets at fair value</w:t>
            </w:r>
          </w:p>
        </w:tc>
        <w:tc>
          <w:tcPr>
            <w:tcW w:w="1514" w:type="dxa"/>
            <w:shd w:val="clear" w:color="auto" w:fill="auto"/>
            <w:noWrap/>
            <w:vAlign w:val="center"/>
            <w:hideMark/>
          </w:tcPr>
          <w:p w14:paraId="04103DE1"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2,609 </w:t>
            </w:r>
          </w:p>
        </w:tc>
        <w:tc>
          <w:tcPr>
            <w:tcW w:w="1514" w:type="dxa"/>
            <w:shd w:val="clear" w:color="auto" w:fill="auto"/>
            <w:noWrap/>
            <w:vAlign w:val="center"/>
            <w:hideMark/>
          </w:tcPr>
          <w:p w14:paraId="7E228FD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256 </w:t>
            </w:r>
          </w:p>
        </w:tc>
        <w:tc>
          <w:tcPr>
            <w:tcW w:w="1514" w:type="dxa"/>
            <w:shd w:val="clear" w:color="auto" w:fill="auto"/>
            <w:noWrap/>
            <w:vAlign w:val="center"/>
            <w:hideMark/>
          </w:tcPr>
          <w:p w14:paraId="0EF61B28"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127C896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 </w:t>
            </w:r>
          </w:p>
        </w:tc>
        <w:tc>
          <w:tcPr>
            <w:tcW w:w="1514" w:type="dxa"/>
            <w:shd w:val="clear" w:color="auto" w:fill="auto"/>
            <w:noWrap/>
            <w:vAlign w:val="center"/>
            <w:hideMark/>
          </w:tcPr>
          <w:p w14:paraId="4EAFECEA"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2,609 </w:t>
            </w:r>
          </w:p>
        </w:tc>
        <w:tc>
          <w:tcPr>
            <w:tcW w:w="1515" w:type="dxa"/>
            <w:shd w:val="clear" w:color="auto" w:fill="auto"/>
            <w:noWrap/>
            <w:vAlign w:val="center"/>
            <w:hideMark/>
          </w:tcPr>
          <w:p w14:paraId="4E20A533"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256 </w:t>
            </w:r>
          </w:p>
        </w:tc>
      </w:tr>
      <w:tr w:rsidR="003E5BF5" w:rsidRPr="00293D7B" w14:paraId="2F967C11" w14:textId="77777777" w:rsidTr="00486E73">
        <w:trPr>
          <w:trHeight w:val="340"/>
        </w:trPr>
        <w:tc>
          <w:tcPr>
            <w:tcW w:w="4523" w:type="dxa"/>
            <w:shd w:val="clear" w:color="auto" w:fill="auto"/>
            <w:noWrap/>
            <w:vAlign w:val="center"/>
            <w:hideMark/>
          </w:tcPr>
          <w:p w14:paraId="077FA8A9" w14:textId="77777777" w:rsidR="003E5BF5" w:rsidRPr="00293D7B" w:rsidRDefault="003E5BF5" w:rsidP="00DE1921">
            <w:pPr>
              <w:rPr>
                <w:rFonts w:ascii="Arial" w:hAnsi="Arial" w:cs="Arial"/>
                <w:b/>
                <w:sz w:val="24"/>
                <w:szCs w:val="24"/>
              </w:rPr>
            </w:pPr>
            <w:r w:rsidRPr="00293D7B">
              <w:rPr>
                <w:rFonts w:ascii="Arial" w:hAnsi="Arial" w:cs="Arial"/>
                <w:b/>
                <w:sz w:val="24"/>
                <w:szCs w:val="24"/>
              </w:rPr>
              <w:t>Net carrying amount</w:t>
            </w:r>
          </w:p>
        </w:tc>
        <w:tc>
          <w:tcPr>
            <w:tcW w:w="1514" w:type="dxa"/>
            <w:shd w:val="clear" w:color="auto" w:fill="auto"/>
            <w:noWrap/>
            <w:vAlign w:val="center"/>
            <w:hideMark/>
          </w:tcPr>
          <w:p w14:paraId="47762161"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76,831,470 </w:t>
            </w:r>
          </w:p>
        </w:tc>
        <w:tc>
          <w:tcPr>
            <w:tcW w:w="1514" w:type="dxa"/>
            <w:shd w:val="clear" w:color="auto" w:fill="auto"/>
            <w:noWrap/>
            <w:vAlign w:val="center"/>
            <w:hideMark/>
          </w:tcPr>
          <w:p w14:paraId="19EB52BE"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1,679,792 </w:t>
            </w:r>
          </w:p>
        </w:tc>
        <w:tc>
          <w:tcPr>
            <w:tcW w:w="1514" w:type="dxa"/>
            <w:shd w:val="clear" w:color="auto" w:fill="auto"/>
            <w:noWrap/>
            <w:vAlign w:val="center"/>
            <w:hideMark/>
          </w:tcPr>
          <w:p w14:paraId="73D207F4"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322,118 </w:t>
            </w:r>
          </w:p>
        </w:tc>
        <w:tc>
          <w:tcPr>
            <w:tcW w:w="1514" w:type="dxa"/>
            <w:shd w:val="clear" w:color="auto" w:fill="auto"/>
            <w:noWrap/>
            <w:vAlign w:val="center"/>
            <w:hideMark/>
          </w:tcPr>
          <w:p w14:paraId="5B88200A"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  -</w:t>
            </w:r>
          </w:p>
        </w:tc>
        <w:tc>
          <w:tcPr>
            <w:tcW w:w="1514" w:type="dxa"/>
            <w:shd w:val="clear" w:color="auto" w:fill="auto"/>
            <w:noWrap/>
            <w:vAlign w:val="center"/>
            <w:hideMark/>
          </w:tcPr>
          <w:p w14:paraId="1041F7FA"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76,509,352 </w:t>
            </w:r>
          </w:p>
        </w:tc>
        <w:tc>
          <w:tcPr>
            <w:tcW w:w="1515" w:type="dxa"/>
            <w:shd w:val="clear" w:color="auto" w:fill="auto"/>
            <w:noWrap/>
            <w:vAlign w:val="center"/>
            <w:hideMark/>
          </w:tcPr>
          <w:p w14:paraId="4DD2EB37"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1,679,792 </w:t>
            </w:r>
          </w:p>
        </w:tc>
      </w:tr>
    </w:tbl>
    <w:p w14:paraId="3B225EE9" w14:textId="77777777" w:rsidR="003E5BF5" w:rsidRDefault="003E5BF5" w:rsidP="00DE1921"/>
    <w:p w14:paraId="309FD61B" w14:textId="77777777" w:rsidR="003E5BF5" w:rsidRDefault="003E5BF5" w:rsidP="00D74D26">
      <w:pPr>
        <w:pStyle w:val="aaatyping"/>
      </w:pPr>
      <w:r w:rsidRPr="00564DE2">
        <w:t>There have been no transfers between levels during the period</w:t>
      </w:r>
      <w:r>
        <w:t>.</w:t>
      </w:r>
    </w:p>
    <w:p w14:paraId="270E592E" w14:textId="77777777" w:rsidR="003E5BF5" w:rsidRPr="00135AB1" w:rsidRDefault="003E5BF5" w:rsidP="00DE1921">
      <w:pPr>
        <w:sectPr w:rsidR="003E5BF5" w:rsidRPr="00135AB1" w:rsidSect="00DE1921">
          <w:headerReference w:type="even" r:id="rId196"/>
          <w:headerReference w:type="default" r:id="rId197"/>
          <w:footerReference w:type="even" r:id="rId198"/>
          <w:pgSz w:w="16838" w:h="11906" w:orient="landscape"/>
          <w:pgMar w:top="1418" w:right="1701" w:bottom="1418" w:left="1418" w:header="709" w:footer="709" w:gutter="0"/>
          <w:cols w:space="708"/>
          <w:docGrid w:linePitch="360"/>
        </w:sectPr>
      </w:pPr>
    </w:p>
    <w:p w14:paraId="6C8005C3" w14:textId="77777777" w:rsidR="003E5BF5" w:rsidRPr="002845EB" w:rsidRDefault="003E5BF5" w:rsidP="008A0170">
      <w:pPr>
        <w:pStyle w:val="Heading3"/>
      </w:pPr>
      <w:r w:rsidRPr="002845EB">
        <w:lastRenderedPageBreak/>
        <w:t>Land and buildings</w:t>
      </w:r>
    </w:p>
    <w:p w14:paraId="0669F1B2" w14:textId="77777777" w:rsidR="003E5BF5" w:rsidRPr="002845EB" w:rsidRDefault="003E5BF5" w:rsidP="00D74D26">
      <w:pPr>
        <w:pStyle w:val="aaatyping"/>
      </w:pPr>
      <w:r w:rsidRPr="002845EB">
        <w:t>All of the department’s land and building assets are specialised. The market approach is used for specialised land, although it is adjusted for the community service obligation (CSO) to reflect the specialised nature of the land being valued.</w:t>
      </w:r>
    </w:p>
    <w:p w14:paraId="2969E3DA" w14:textId="77777777" w:rsidR="003E5BF5" w:rsidRPr="002845EB" w:rsidRDefault="003E5BF5" w:rsidP="00D74D26">
      <w:pPr>
        <w:pStyle w:val="aaatyping"/>
      </w:pPr>
      <w:r w:rsidRPr="002845EB">
        <w:t>The CSO adjustment is a reflection of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would be classified as level 3 assets.</w:t>
      </w:r>
    </w:p>
    <w:p w14:paraId="5E56DFC9" w14:textId="77777777" w:rsidR="003E5BF5" w:rsidRPr="002845EB" w:rsidRDefault="003E5BF5" w:rsidP="00D74D26">
      <w:pPr>
        <w:pStyle w:val="aaatyping"/>
      </w:pPr>
      <w:r w:rsidRPr="002845EB">
        <w:t>Land under declared roads is measured based on average rateable values for each municipal area and applied to the land area under the arterial road network including related road reservations. The average values are discounted to reflect the value prior to subdivision and also community service obligations. The discount factors range from 40% for rural land under freeways to 80% for metropolitan residential land under arterial roads.</w:t>
      </w:r>
    </w:p>
    <w:p w14:paraId="45D407B2" w14:textId="77777777" w:rsidR="003E5BF5" w:rsidRPr="002845EB" w:rsidRDefault="003E5BF5" w:rsidP="00D74D26">
      <w:pPr>
        <w:pStyle w:val="aaatyping"/>
      </w:pPr>
      <w:r w:rsidRPr="002845EB">
        <w:t>For the Public Administration sector</w:t>
      </w:r>
      <w:r>
        <w:t xml:space="preserve"> assets</w:t>
      </w:r>
      <w:r w:rsidRPr="002845EB">
        <w:t xml:space="preserve">, the majority of specialised buildings are valued using the current replacement cost method. As the depreciation adjustments are considered as significant, unobservable inputs in nature, specialised buildings are classified as level 3 fair value measurements. An independent valuation of public administration sector's heritage assets and infrastructure was performed by VGV. The effective date of the valuation was 30 June 2017. </w:t>
      </w:r>
    </w:p>
    <w:p w14:paraId="72382428" w14:textId="77777777" w:rsidR="003E5BF5" w:rsidRPr="002845EB" w:rsidRDefault="003E5BF5" w:rsidP="00D74D26">
      <w:pPr>
        <w:pStyle w:val="aaatyping"/>
      </w:pPr>
      <w:r w:rsidRPr="002845EB">
        <w:lastRenderedPageBreak/>
        <w:t xml:space="preserve">For the assets grouped under the transport sector, the majority of specialised buildings are valued using the </w:t>
      </w:r>
      <w:r>
        <w:t>current replacement cost</w:t>
      </w:r>
      <w:r w:rsidRPr="002845EB">
        <w:t xml:space="preserve"> approach, adjusted for the associated depreciation and allowance for the restricted use</w:t>
      </w:r>
      <w:r>
        <w:t xml:space="preserve"> of the buildings</w:t>
      </w:r>
      <w:r w:rsidRPr="002845EB">
        <w:t xml:space="preserve">. As restricted use adjustments are considered as significant, unobservable inputs in nature, specialised buildings are classified as Level 3 fair value measurements. An independent valuation of the department’s specialised land and specialised buildings was performed by VGV. The valuation was performed using the </w:t>
      </w:r>
      <w:r>
        <w:t>current replacement cost</w:t>
      </w:r>
      <w:r w:rsidRPr="002845EB">
        <w:t xml:space="preserve"> approach adjusted for CSO. The effective date of the valuation is 30 June 2020.</w:t>
      </w:r>
    </w:p>
    <w:p w14:paraId="6ED01355" w14:textId="77777777" w:rsidR="003E5BF5" w:rsidRPr="002845EB" w:rsidRDefault="003E5BF5" w:rsidP="008A0170">
      <w:pPr>
        <w:pStyle w:val="Heading3"/>
      </w:pPr>
      <w:r w:rsidRPr="002845EB">
        <w:t>Infrastructure assets</w:t>
      </w:r>
    </w:p>
    <w:p w14:paraId="3F828702" w14:textId="77777777" w:rsidR="003E5BF5" w:rsidRPr="002845EB" w:rsidRDefault="003E5BF5" w:rsidP="00D74D26">
      <w:pPr>
        <w:pStyle w:val="aaatyping"/>
      </w:pPr>
      <w:r w:rsidRPr="002845EB">
        <w:t xml:space="preserve">The roads, bridges, earthworks and other infrastructure assets are valued using the current replacement cost method. This cost represents the replacement cost of the asset after applying depreciation rates on a useful life basis. Replacement costs relate to costs to replace the current service capacity of the asset. </w:t>
      </w:r>
    </w:p>
    <w:p w14:paraId="0D823D8F" w14:textId="77777777" w:rsidR="003E5BF5" w:rsidRPr="002845EB" w:rsidRDefault="003E5BF5" w:rsidP="00D74D26">
      <w:pPr>
        <w:pStyle w:val="aaatyping"/>
      </w:pPr>
      <w:r w:rsidRPr="002845EB">
        <w:t xml:space="preserve">An independent valuation of public administration sector's infrastructure assets was performed by VGV. The valuation was performed based on the current replacement cost method of the assets. The effective date of the valuation was 30 June 2017. </w:t>
      </w:r>
    </w:p>
    <w:p w14:paraId="588044A8" w14:textId="77777777" w:rsidR="003E5BF5" w:rsidRPr="002845EB" w:rsidRDefault="003E5BF5" w:rsidP="00D74D26">
      <w:pPr>
        <w:pStyle w:val="aaatyping"/>
      </w:pPr>
      <w:r w:rsidRPr="002845EB">
        <w:t>An independent valuation of transport sector's infrastructure was performed by VGV. The valuation was performed based on the current replacement cost method of the assets. The effective date of the valuation was 30 June 2020.</w:t>
      </w:r>
    </w:p>
    <w:p w14:paraId="4BD6B33A" w14:textId="77777777" w:rsidR="003E5BF5" w:rsidRPr="002845EB" w:rsidRDefault="003E5BF5" w:rsidP="008A0170">
      <w:pPr>
        <w:pStyle w:val="Heading3"/>
      </w:pPr>
      <w:r>
        <w:lastRenderedPageBreak/>
        <w:t>Leasehold improvements and p</w:t>
      </w:r>
      <w:r w:rsidRPr="002845EB">
        <w:t>lant, equipment and vehicles</w:t>
      </w:r>
    </w:p>
    <w:p w14:paraId="06A69BE1" w14:textId="77777777" w:rsidR="003E5BF5" w:rsidRPr="002845EB" w:rsidRDefault="003E5BF5" w:rsidP="00D74D26">
      <w:pPr>
        <w:pStyle w:val="aaatyping"/>
      </w:pPr>
      <w:r>
        <w:t>Leasehold improvements and p</w:t>
      </w:r>
      <w:r w:rsidRPr="002845EB">
        <w:t>lant and equipment are held at fair value. When plant and equipment is specialised in use, such that it is rarely sold other than as part of a going concern, fair value is determined using the current replacement cost method. There were no changes in valuation techniques throughout the period to 30 June 2020. For all assets measured at fair value, the current use is considered the highest and best use.</w:t>
      </w:r>
    </w:p>
    <w:p w14:paraId="40B6B81E" w14:textId="77777777" w:rsidR="003E5BF5" w:rsidRPr="002845EB" w:rsidRDefault="003E5BF5" w:rsidP="00D74D26">
      <w:pPr>
        <w:pStyle w:val="aaatyping"/>
      </w:pPr>
      <w:r w:rsidRPr="002845EB">
        <w:t xml:space="preserve">Vehicles are valued using the current </w:t>
      </w:r>
      <w:r>
        <w:t xml:space="preserve">replacement </w:t>
      </w:r>
      <w:r w:rsidRPr="002845EB">
        <w:t>cost method. The department acquires new vehicles and at times disposes of them before the end of their economic life. The process of acquisition, use and disposal in the market is managed by experienced fleet managers who set relevant depreciation rates during use to reflect the utilisation of the vehicles.</w:t>
      </w:r>
    </w:p>
    <w:p w14:paraId="3CC22546" w14:textId="77777777" w:rsidR="003E5BF5" w:rsidRPr="002845EB" w:rsidRDefault="003E5BF5" w:rsidP="008A0170">
      <w:pPr>
        <w:pStyle w:val="Heading3"/>
      </w:pPr>
      <w:r w:rsidRPr="002845EB">
        <w:t>Cultural assets</w:t>
      </w:r>
    </w:p>
    <w:p w14:paraId="7F1CC81E" w14:textId="77777777" w:rsidR="003E5BF5" w:rsidRPr="002845EB" w:rsidRDefault="003E5BF5" w:rsidP="00D74D26">
      <w:pPr>
        <w:pStyle w:val="aaatyping"/>
      </w:pPr>
      <w:r w:rsidRPr="002845EB">
        <w:t xml:space="preserve">Cultural assets are valued using the </w:t>
      </w:r>
      <w:r>
        <w:t>current</w:t>
      </w:r>
      <w:r w:rsidRPr="002845EB">
        <w:t xml:space="preserve"> replacement </w:t>
      </w:r>
      <w:r>
        <w:t xml:space="preserve">cost </w:t>
      </w:r>
      <w:r w:rsidRPr="002845EB">
        <w:t xml:space="preserve">method where research of similar examples in existence in Australia was conducted and an estimated cost for replacement was established. Depreciation from this value was then attributed to the asset. </w:t>
      </w:r>
    </w:p>
    <w:p w14:paraId="0E361100" w14:textId="77777777" w:rsidR="003E5BF5" w:rsidRPr="002845EB" w:rsidRDefault="003E5BF5" w:rsidP="00D74D26">
      <w:pPr>
        <w:pStyle w:val="aaatyping"/>
      </w:pPr>
      <w:r w:rsidRPr="002845EB">
        <w:t xml:space="preserve">An independent valuation of transport sector's artwork and historic assets was performed by the VGV. The valuation was performed based on the current replacement cost method of the assets. The effective date of the valuation was 30 June 2020.  </w:t>
      </w:r>
    </w:p>
    <w:p w14:paraId="4B36E845" w14:textId="77777777" w:rsidR="003E5BF5" w:rsidRPr="002845EB" w:rsidRDefault="003E5BF5" w:rsidP="00E55C5F">
      <w:pPr>
        <w:pStyle w:val="aaaboldheadingfinance"/>
      </w:pPr>
      <w:r w:rsidRPr="002845EB">
        <w:t>Asset valuation impact</w:t>
      </w:r>
    </w:p>
    <w:p w14:paraId="393B71B1" w14:textId="77777777" w:rsidR="003E5BF5" w:rsidRPr="007444F0" w:rsidRDefault="003E5BF5" w:rsidP="00D74D26">
      <w:pPr>
        <w:pStyle w:val="aaatyping"/>
        <w:sectPr w:rsidR="003E5BF5" w:rsidRPr="007444F0" w:rsidSect="00DE1921">
          <w:headerReference w:type="even" r:id="rId199"/>
          <w:headerReference w:type="default" r:id="rId200"/>
          <w:footerReference w:type="even" r:id="rId201"/>
          <w:pgSz w:w="11906" w:h="16838"/>
          <w:pgMar w:top="1701" w:right="1418" w:bottom="1418" w:left="1418" w:header="708" w:footer="708" w:gutter="0"/>
          <w:cols w:space="284"/>
          <w:docGrid w:linePitch="360"/>
        </w:sectPr>
      </w:pPr>
      <w:r w:rsidRPr="002845EB">
        <w:t xml:space="preserve">The market that the assets are valued in as at 30 June 2020 is being impacted by the uncertainty that the </w:t>
      </w:r>
      <w:r>
        <w:t>coronavirus (</w:t>
      </w:r>
      <w:r>
        <w:rPr>
          <w:rFonts w:eastAsia="Times New Roman"/>
        </w:rPr>
        <w:t>COVID-19)</w:t>
      </w:r>
      <w:r w:rsidRPr="002845EB">
        <w:t xml:space="preserve"> outbreak </w:t>
      </w:r>
      <w:r w:rsidRPr="002845EB">
        <w:lastRenderedPageBreak/>
        <w:t xml:space="preserve">has caused.  The valuer has advised that the current market environment, impacted by </w:t>
      </w:r>
      <w:r>
        <w:t>coronavirus (</w:t>
      </w:r>
      <w:r>
        <w:rPr>
          <w:rFonts w:eastAsia="Times New Roman"/>
        </w:rPr>
        <w:t>COVID-19)</w:t>
      </w:r>
      <w:r w:rsidRPr="002845EB">
        <w:t>, creates significant valuation uncertainty.  The value assessed at the valuation date may therefore change over a relatively short time period.</w:t>
      </w:r>
    </w:p>
    <w:p w14:paraId="7EA356C8" w14:textId="77777777" w:rsidR="003E5BF5" w:rsidRDefault="003E5BF5" w:rsidP="00DE1921">
      <w:pPr>
        <w:spacing w:after="0"/>
        <w:rPr>
          <w:b/>
          <w:sz w:val="20"/>
        </w:rPr>
        <w:sectPr w:rsidR="003E5BF5" w:rsidSect="00DE1921">
          <w:headerReference w:type="even" r:id="rId202"/>
          <w:headerReference w:type="default" r:id="rId203"/>
          <w:footerReference w:type="even" r:id="rId204"/>
          <w:pgSz w:w="16838" w:h="11906" w:orient="landscape"/>
          <w:pgMar w:top="1418" w:right="1701" w:bottom="1418" w:left="1418" w:header="709" w:footer="709" w:gutter="0"/>
          <w:cols w:space="708"/>
          <w:docGrid w:linePitch="360"/>
        </w:sectPr>
      </w:pPr>
    </w:p>
    <w:p w14:paraId="5B452EEA" w14:textId="77777777" w:rsidR="003E5BF5" w:rsidRPr="002D5874" w:rsidRDefault="003E5BF5" w:rsidP="00486E73">
      <w:pPr>
        <w:pStyle w:val="aaaboldheadingfinance"/>
        <w:rPr>
          <w:sz w:val="20"/>
        </w:rPr>
      </w:pPr>
      <w:r w:rsidRPr="00C667BC">
        <w:t xml:space="preserve">Reconciliation of </w:t>
      </w:r>
      <w:r w:rsidRPr="00486E73">
        <w:t>Level</w:t>
      </w:r>
      <w:r w:rsidRPr="00C667BC">
        <w:t xml:space="preserve"> 3 </w:t>
      </w:r>
      <w:r w:rsidRPr="00486E73">
        <w:t>fair value movements</w:t>
      </w:r>
      <w:r>
        <w:rPr>
          <w:sz w:val="20"/>
        </w:rPr>
        <w:t xml:space="preserve"> </w:t>
      </w:r>
      <w:bookmarkStart w:id="599" w:name="RANGE!A67:H84"/>
      <w:bookmarkStart w:id="600" w:name="RANGE!A57:H74"/>
      <w:bookmarkStart w:id="601" w:name="RANGE!A62:H79"/>
      <w:bookmarkEnd w:id="599"/>
      <w:bookmarkEnd w:id="600"/>
      <w:bookmarkEnd w:id="601"/>
    </w:p>
    <w:tbl>
      <w:tblPr>
        <w:tblStyle w:val="TableGrid"/>
        <w:tblW w:w="13608" w:type="dxa"/>
        <w:tblLayout w:type="fixed"/>
        <w:tblLook w:val="04A0" w:firstRow="1" w:lastRow="0" w:firstColumn="1" w:lastColumn="0" w:noHBand="0" w:noVBand="1"/>
      </w:tblPr>
      <w:tblGrid>
        <w:gridCol w:w="5079"/>
        <w:gridCol w:w="1705"/>
        <w:gridCol w:w="1706"/>
        <w:gridCol w:w="1706"/>
        <w:gridCol w:w="1706"/>
        <w:gridCol w:w="1706"/>
      </w:tblGrid>
      <w:tr w:rsidR="003E5BF5" w:rsidRPr="00293D7B" w14:paraId="4964624B" w14:textId="77777777" w:rsidTr="00AB5C47">
        <w:trPr>
          <w:trHeight w:val="340"/>
        </w:trPr>
        <w:tc>
          <w:tcPr>
            <w:tcW w:w="5079" w:type="dxa"/>
            <w:shd w:val="clear" w:color="auto" w:fill="auto"/>
            <w:noWrap/>
            <w:hideMark/>
          </w:tcPr>
          <w:p w14:paraId="0825B562"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 </w:t>
            </w:r>
          </w:p>
        </w:tc>
        <w:tc>
          <w:tcPr>
            <w:tcW w:w="8529" w:type="dxa"/>
            <w:gridSpan w:val="5"/>
            <w:shd w:val="clear" w:color="auto" w:fill="auto"/>
            <w:noWrap/>
            <w:vAlign w:val="center"/>
            <w:hideMark/>
          </w:tcPr>
          <w:p w14:paraId="29AC1312"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 thousand)</w:t>
            </w:r>
          </w:p>
        </w:tc>
      </w:tr>
      <w:tr w:rsidR="003E5BF5" w:rsidRPr="00293D7B" w14:paraId="2C98FACA" w14:textId="77777777" w:rsidTr="00AB5C47">
        <w:trPr>
          <w:trHeight w:val="340"/>
        </w:trPr>
        <w:tc>
          <w:tcPr>
            <w:tcW w:w="5079" w:type="dxa"/>
            <w:shd w:val="clear" w:color="auto" w:fill="auto"/>
            <w:noWrap/>
            <w:vAlign w:val="center"/>
            <w:hideMark/>
          </w:tcPr>
          <w:p w14:paraId="2B1BBF66"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 </w:t>
            </w:r>
          </w:p>
        </w:tc>
        <w:tc>
          <w:tcPr>
            <w:tcW w:w="1705" w:type="dxa"/>
            <w:shd w:val="clear" w:color="auto" w:fill="auto"/>
            <w:vAlign w:val="bottom"/>
            <w:hideMark/>
          </w:tcPr>
          <w:p w14:paraId="628A71F6"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Land under declared roads at fair value</w:t>
            </w:r>
          </w:p>
        </w:tc>
        <w:tc>
          <w:tcPr>
            <w:tcW w:w="1706" w:type="dxa"/>
            <w:shd w:val="clear" w:color="auto" w:fill="auto"/>
            <w:vAlign w:val="bottom"/>
            <w:hideMark/>
          </w:tcPr>
          <w:p w14:paraId="7442D643"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PARD land at fair value</w:t>
            </w:r>
          </w:p>
        </w:tc>
        <w:tc>
          <w:tcPr>
            <w:tcW w:w="1706" w:type="dxa"/>
            <w:shd w:val="clear" w:color="auto" w:fill="auto"/>
            <w:vAlign w:val="bottom"/>
            <w:hideMark/>
          </w:tcPr>
          <w:p w14:paraId="4322B7C2"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Other land at fair value</w:t>
            </w:r>
          </w:p>
        </w:tc>
        <w:tc>
          <w:tcPr>
            <w:tcW w:w="1706" w:type="dxa"/>
            <w:shd w:val="clear" w:color="auto" w:fill="auto"/>
            <w:vAlign w:val="bottom"/>
            <w:hideMark/>
          </w:tcPr>
          <w:p w14:paraId="25F06B37"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Roads and bridges at fair value</w:t>
            </w:r>
          </w:p>
        </w:tc>
        <w:tc>
          <w:tcPr>
            <w:tcW w:w="1706" w:type="dxa"/>
            <w:shd w:val="clear" w:color="auto" w:fill="auto"/>
            <w:vAlign w:val="bottom"/>
            <w:hideMark/>
          </w:tcPr>
          <w:p w14:paraId="134DD960"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Earthworks at fair value</w:t>
            </w:r>
          </w:p>
        </w:tc>
      </w:tr>
      <w:tr w:rsidR="003E5BF5" w:rsidRPr="00293D7B" w14:paraId="30B967F3" w14:textId="77777777" w:rsidTr="00AB5C47">
        <w:trPr>
          <w:trHeight w:val="340"/>
        </w:trPr>
        <w:tc>
          <w:tcPr>
            <w:tcW w:w="5079" w:type="dxa"/>
            <w:shd w:val="clear" w:color="auto" w:fill="auto"/>
            <w:noWrap/>
            <w:vAlign w:val="center"/>
            <w:hideMark/>
          </w:tcPr>
          <w:p w14:paraId="03D9D2BB" w14:textId="77777777" w:rsidR="003E5BF5" w:rsidRPr="00293D7B" w:rsidRDefault="003E5BF5" w:rsidP="00DE1921">
            <w:pPr>
              <w:pStyle w:val="TableTextLeftBold"/>
              <w:rPr>
                <w:rFonts w:ascii="Arial" w:hAnsi="Arial" w:cs="Arial"/>
                <w:sz w:val="24"/>
                <w:szCs w:val="24"/>
              </w:rPr>
            </w:pPr>
            <w:r w:rsidRPr="00293D7B">
              <w:rPr>
                <w:rFonts w:ascii="Arial" w:hAnsi="Arial" w:cs="Arial"/>
                <w:sz w:val="24"/>
                <w:szCs w:val="24"/>
              </w:rPr>
              <w:t>2020</w:t>
            </w:r>
          </w:p>
        </w:tc>
        <w:tc>
          <w:tcPr>
            <w:tcW w:w="1705" w:type="dxa"/>
            <w:shd w:val="clear" w:color="auto" w:fill="auto"/>
            <w:noWrap/>
            <w:vAlign w:val="center"/>
            <w:hideMark/>
          </w:tcPr>
          <w:p w14:paraId="5675FE03"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2020</w:t>
            </w:r>
          </w:p>
        </w:tc>
        <w:tc>
          <w:tcPr>
            <w:tcW w:w="1706" w:type="dxa"/>
            <w:shd w:val="clear" w:color="auto" w:fill="auto"/>
            <w:noWrap/>
            <w:vAlign w:val="center"/>
            <w:hideMark/>
          </w:tcPr>
          <w:p w14:paraId="079EAE22"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2020</w:t>
            </w:r>
          </w:p>
        </w:tc>
        <w:tc>
          <w:tcPr>
            <w:tcW w:w="1706" w:type="dxa"/>
            <w:shd w:val="clear" w:color="auto" w:fill="auto"/>
            <w:noWrap/>
            <w:vAlign w:val="center"/>
            <w:hideMark/>
          </w:tcPr>
          <w:p w14:paraId="6D8AF72F"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2020</w:t>
            </w:r>
          </w:p>
        </w:tc>
        <w:tc>
          <w:tcPr>
            <w:tcW w:w="1706" w:type="dxa"/>
            <w:shd w:val="clear" w:color="auto" w:fill="auto"/>
            <w:noWrap/>
            <w:vAlign w:val="center"/>
            <w:hideMark/>
          </w:tcPr>
          <w:p w14:paraId="0739C60E"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2020</w:t>
            </w:r>
          </w:p>
        </w:tc>
        <w:tc>
          <w:tcPr>
            <w:tcW w:w="1706" w:type="dxa"/>
            <w:shd w:val="clear" w:color="auto" w:fill="auto"/>
            <w:noWrap/>
            <w:vAlign w:val="center"/>
            <w:hideMark/>
          </w:tcPr>
          <w:p w14:paraId="4E6FC3DA"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2020</w:t>
            </w:r>
          </w:p>
        </w:tc>
      </w:tr>
      <w:tr w:rsidR="003E5BF5" w:rsidRPr="00293D7B" w14:paraId="7D579B91" w14:textId="77777777" w:rsidTr="00AB5C47">
        <w:trPr>
          <w:trHeight w:val="340"/>
        </w:trPr>
        <w:tc>
          <w:tcPr>
            <w:tcW w:w="5079" w:type="dxa"/>
            <w:shd w:val="clear" w:color="auto" w:fill="auto"/>
            <w:noWrap/>
            <w:vAlign w:val="center"/>
            <w:hideMark/>
          </w:tcPr>
          <w:p w14:paraId="53D5A261" w14:textId="77777777" w:rsidR="003E5BF5" w:rsidRPr="00293D7B" w:rsidRDefault="003E5BF5" w:rsidP="00604703">
            <w:pPr>
              <w:pStyle w:val="TableTextGreen"/>
            </w:pPr>
            <w:r w:rsidRPr="00293D7B">
              <w:t>Opening balance</w:t>
            </w:r>
          </w:p>
        </w:tc>
        <w:tc>
          <w:tcPr>
            <w:tcW w:w="1705" w:type="dxa"/>
            <w:shd w:val="clear" w:color="auto" w:fill="auto"/>
            <w:noWrap/>
            <w:vAlign w:val="center"/>
            <w:hideMark/>
          </w:tcPr>
          <w:p w14:paraId="45C3398E"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  -</w:t>
            </w:r>
          </w:p>
        </w:tc>
        <w:tc>
          <w:tcPr>
            <w:tcW w:w="1706" w:type="dxa"/>
            <w:shd w:val="clear" w:color="auto" w:fill="auto"/>
            <w:noWrap/>
            <w:vAlign w:val="center"/>
            <w:hideMark/>
          </w:tcPr>
          <w:p w14:paraId="6D83E003"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  -</w:t>
            </w:r>
          </w:p>
        </w:tc>
        <w:tc>
          <w:tcPr>
            <w:tcW w:w="1706" w:type="dxa"/>
            <w:shd w:val="clear" w:color="auto" w:fill="auto"/>
            <w:noWrap/>
            <w:vAlign w:val="center"/>
            <w:hideMark/>
          </w:tcPr>
          <w:p w14:paraId="7735D4B6"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309,859 </w:t>
            </w:r>
          </w:p>
        </w:tc>
        <w:tc>
          <w:tcPr>
            <w:tcW w:w="1706" w:type="dxa"/>
            <w:shd w:val="clear" w:color="auto" w:fill="auto"/>
            <w:noWrap/>
            <w:vAlign w:val="center"/>
            <w:hideMark/>
          </w:tcPr>
          <w:p w14:paraId="672E539C"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  -</w:t>
            </w:r>
          </w:p>
        </w:tc>
        <w:tc>
          <w:tcPr>
            <w:tcW w:w="1706" w:type="dxa"/>
            <w:shd w:val="clear" w:color="auto" w:fill="auto"/>
            <w:noWrap/>
            <w:vAlign w:val="center"/>
            <w:hideMark/>
          </w:tcPr>
          <w:p w14:paraId="774A6D7F"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  -</w:t>
            </w:r>
          </w:p>
        </w:tc>
      </w:tr>
      <w:tr w:rsidR="003E5BF5" w:rsidRPr="00293D7B" w14:paraId="724302AD" w14:textId="77777777" w:rsidTr="00AB5C47">
        <w:trPr>
          <w:trHeight w:val="340"/>
        </w:trPr>
        <w:tc>
          <w:tcPr>
            <w:tcW w:w="5079" w:type="dxa"/>
            <w:shd w:val="clear" w:color="auto" w:fill="auto"/>
            <w:vAlign w:val="center"/>
            <w:hideMark/>
          </w:tcPr>
          <w:p w14:paraId="24F80263"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xml:space="preserve">Recognition of right-of-use assets on initial application of AASB 16 effecting 1 July 2019 </w:t>
            </w:r>
            <w:r w:rsidRPr="00293D7B">
              <w:rPr>
                <w:rFonts w:ascii="Arial" w:hAnsi="Arial" w:cs="Arial"/>
                <w:sz w:val="24"/>
                <w:szCs w:val="24"/>
                <w:vertAlign w:val="superscript"/>
                <w:lang w:eastAsia="en-AU"/>
              </w:rPr>
              <w:t>(</w:t>
            </w:r>
            <w:proofErr w:type="spellStart"/>
            <w:r w:rsidRPr="00293D7B">
              <w:rPr>
                <w:rFonts w:ascii="Arial" w:hAnsi="Arial" w:cs="Arial"/>
                <w:sz w:val="24"/>
                <w:szCs w:val="24"/>
                <w:vertAlign w:val="superscript"/>
                <w:lang w:eastAsia="en-AU"/>
              </w:rPr>
              <w:t>i</w:t>
            </w:r>
            <w:proofErr w:type="spellEnd"/>
            <w:r w:rsidRPr="00293D7B">
              <w:rPr>
                <w:rFonts w:ascii="Arial" w:hAnsi="Arial" w:cs="Arial"/>
                <w:sz w:val="24"/>
                <w:szCs w:val="24"/>
                <w:vertAlign w:val="superscript"/>
                <w:lang w:eastAsia="en-AU"/>
              </w:rPr>
              <w:t>)</w:t>
            </w:r>
          </w:p>
        </w:tc>
        <w:tc>
          <w:tcPr>
            <w:tcW w:w="1705" w:type="dxa"/>
            <w:shd w:val="clear" w:color="auto" w:fill="auto"/>
            <w:noWrap/>
            <w:vAlign w:val="center"/>
            <w:hideMark/>
          </w:tcPr>
          <w:p w14:paraId="59805B6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2C3FEE5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2BA74A9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4BE615B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54DB0B0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r>
      <w:tr w:rsidR="003E5BF5" w:rsidRPr="00293D7B" w14:paraId="2E935C07" w14:textId="77777777" w:rsidTr="00AB5C47">
        <w:trPr>
          <w:trHeight w:val="340"/>
        </w:trPr>
        <w:tc>
          <w:tcPr>
            <w:tcW w:w="5079" w:type="dxa"/>
            <w:shd w:val="clear" w:color="auto" w:fill="auto"/>
            <w:noWrap/>
            <w:vAlign w:val="center"/>
            <w:hideMark/>
          </w:tcPr>
          <w:p w14:paraId="0FCA9FB6"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Adjusted opening balance</w:t>
            </w:r>
          </w:p>
        </w:tc>
        <w:tc>
          <w:tcPr>
            <w:tcW w:w="1705" w:type="dxa"/>
            <w:shd w:val="clear" w:color="auto" w:fill="auto"/>
            <w:noWrap/>
            <w:vAlign w:val="center"/>
            <w:hideMark/>
          </w:tcPr>
          <w:p w14:paraId="6B5DBC24"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  -</w:t>
            </w:r>
          </w:p>
        </w:tc>
        <w:tc>
          <w:tcPr>
            <w:tcW w:w="1706" w:type="dxa"/>
            <w:shd w:val="clear" w:color="auto" w:fill="auto"/>
            <w:noWrap/>
            <w:vAlign w:val="center"/>
            <w:hideMark/>
          </w:tcPr>
          <w:p w14:paraId="0607A5AC"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  -</w:t>
            </w:r>
          </w:p>
        </w:tc>
        <w:tc>
          <w:tcPr>
            <w:tcW w:w="1706" w:type="dxa"/>
            <w:shd w:val="clear" w:color="auto" w:fill="auto"/>
            <w:noWrap/>
            <w:vAlign w:val="center"/>
            <w:hideMark/>
          </w:tcPr>
          <w:p w14:paraId="6E6B5CDF"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309,859 </w:t>
            </w:r>
          </w:p>
        </w:tc>
        <w:tc>
          <w:tcPr>
            <w:tcW w:w="1706" w:type="dxa"/>
            <w:shd w:val="clear" w:color="auto" w:fill="auto"/>
            <w:noWrap/>
            <w:vAlign w:val="center"/>
            <w:hideMark/>
          </w:tcPr>
          <w:p w14:paraId="27D6C95B"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  -</w:t>
            </w:r>
          </w:p>
        </w:tc>
        <w:tc>
          <w:tcPr>
            <w:tcW w:w="1706" w:type="dxa"/>
            <w:shd w:val="clear" w:color="auto" w:fill="auto"/>
            <w:noWrap/>
            <w:vAlign w:val="center"/>
            <w:hideMark/>
          </w:tcPr>
          <w:p w14:paraId="75F762B9"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  -</w:t>
            </w:r>
          </w:p>
        </w:tc>
      </w:tr>
      <w:tr w:rsidR="003E5BF5" w:rsidRPr="00293D7B" w14:paraId="59C3EAB0" w14:textId="77777777" w:rsidTr="00AB5C47">
        <w:trPr>
          <w:trHeight w:val="340"/>
        </w:trPr>
        <w:tc>
          <w:tcPr>
            <w:tcW w:w="5079" w:type="dxa"/>
            <w:shd w:val="clear" w:color="auto" w:fill="auto"/>
            <w:noWrap/>
            <w:vAlign w:val="center"/>
            <w:hideMark/>
          </w:tcPr>
          <w:p w14:paraId="663E4617" w14:textId="77777777" w:rsidR="003E5BF5" w:rsidRPr="00293D7B" w:rsidRDefault="003E5BF5" w:rsidP="00DE1921">
            <w:pPr>
              <w:rPr>
                <w:rFonts w:ascii="Arial" w:hAnsi="Arial" w:cs="Arial"/>
                <w:sz w:val="24"/>
                <w:szCs w:val="24"/>
                <w:lang w:eastAsia="en-AU"/>
              </w:rPr>
            </w:pPr>
            <w:proofErr w:type="spellStart"/>
            <w:r w:rsidRPr="00293D7B">
              <w:rPr>
                <w:rFonts w:ascii="Arial" w:hAnsi="Arial" w:cs="Arial"/>
                <w:sz w:val="24"/>
                <w:szCs w:val="24"/>
                <w:lang w:eastAsia="en-AU"/>
              </w:rPr>
              <w:t>MoG</w:t>
            </w:r>
            <w:proofErr w:type="spellEnd"/>
            <w:r w:rsidRPr="00293D7B">
              <w:rPr>
                <w:rFonts w:ascii="Arial" w:hAnsi="Arial" w:cs="Arial"/>
                <w:sz w:val="24"/>
                <w:szCs w:val="24"/>
                <w:lang w:eastAsia="en-AU"/>
              </w:rPr>
              <w:t xml:space="preserve"> transfers in</w:t>
            </w:r>
          </w:p>
        </w:tc>
        <w:tc>
          <w:tcPr>
            <w:tcW w:w="1705" w:type="dxa"/>
            <w:shd w:val="clear" w:color="auto" w:fill="auto"/>
            <w:noWrap/>
            <w:vAlign w:val="center"/>
            <w:hideMark/>
          </w:tcPr>
          <w:p w14:paraId="7E13E07B" w14:textId="77777777" w:rsidR="003E5BF5" w:rsidRPr="00293D7B" w:rsidRDefault="003E5BF5" w:rsidP="00DE1921">
            <w:pPr>
              <w:jc w:val="right"/>
              <w:rPr>
                <w:rFonts w:ascii="Arial" w:hAnsi="Arial" w:cs="Arial"/>
                <w:sz w:val="24"/>
                <w:szCs w:val="24"/>
                <w:lang w:eastAsia="en-AU"/>
              </w:rPr>
            </w:pPr>
            <w:r w:rsidRPr="00293D7B" w:rsidDel="00C70C54">
              <w:rPr>
                <w:rFonts w:ascii="Arial" w:hAnsi="Arial" w:cs="Arial"/>
                <w:sz w:val="24"/>
                <w:szCs w:val="24"/>
              </w:rPr>
              <w:t>24,</w:t>
            </w:r>
            <w:r w:rsidRPr="00293D7B">
              <w:rPr>
                <w:rFonts w:ascii="Arial" w:hAnsi="Arial" w:cs="Arial"/>
                <w:sz w:val="24"/>
                <w:szCs w:val="24"/>
              </w:rPr>
              <w:t xml:space="preserve">266.021 </w:t>
            </w:r>
          </w:p>
        </w:tc>
        <w:tc>
          <w:tcPr>
            <w:tcW w:w="1706" w:type="dxa"/>
            <w:shd w:val="clear" w:color="auto" w:fill="auto"/>
            <w:noWrap/>
            <w:vAlign w:val="center"/>
            <w:hideMark/>
          </w:tcPr>
          <w:p w14:paraId="5B97BFC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1,644,233 </w:t>
            </w:r>
          </w:p>
        </w:tc>
        <w:tc>
          <w:tcPr>
            <w:tcW w:w="1706" w:type="dxa"/>
            <w:shd w:val="clear" w:color="auto" w:fill="auto"/>
            <w:noWrap/>
            <w:vAlign w:val="center"/>
            <w:hideMark/>
          </w:tcPr>
          <w:p w14:paraId="67A40655" w14:textId="77777777" w:rsidR="003E5BF5" w:rsidRPr="00293D7B" w:rsidRDefault="003E5BF5" w:rsidP="00DE1921">
            <w:pPr>
              <w:jc w:val="right"/>
              <w:rPr>
                <w:rFonts w:ascii="Arial" w:hAnsi="Arial" w:cs="Arial"/>
                <w:sz w:val="24"/>
                <w:szCs w:val="24"/>
                <w:lang w:eastAsia="en-AU"/>
              </w:rPr>
            </w:pPr>
            <w:r w:rsidRPr="00293D7B" w:rsidDel="00EE403B">
              <w:rPr>
                <w:rFonts w:ascii="Arial" w:hAnsi="Arial" w:cs="Arial"/>
                <w:sz w:val="24"/>
                <w:szCs w:val="24"/>
              </w:rPr>
              <w:t>1,</w:t>
            </w:r>
            <w:r w:rsidRPr="00293D7B">
              <w:rPr>
                <w:rFonts w:ascii="Arial" w:hAnsi="Arial" w:cs="Arial"/>
                <w:sz w:val="24"/>
                <w:szCs w:val="24"/>
              </w:rPr>
              <w:t xml:space="preserve">857,004 </w:t>
            </w:r>
          </w:p>
        </w:tc>
        <w:tc>
          <w:tcPr>
            <w:tcW w:w="1706" w:type="dxa"/>
            <w:shd w:val="clear" w:color="auto" w:fill="auto"/>
            <w:noWrap/>
            <w:vAlign w:val="center"/>
            <w:hideMark/>
          </w:tcPr>
          <w:p w14:paraId="1A93E61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22,856,649 </w:t>
            </w:r>
          </w:p>
        </w:tc>
        <w:tc>
          <w:tcPr>
            <w:tcW w:w="1706" w:type="dxa"/>
            <w:shd w:val="clear" w:color="auto" w:fill="auto"/>
            <w:noWrap/>
            <w:vAlign w:val="center"/>
            <w:hideMark/>
          </w:tcPr>
          <w:p w14:paraId="36EDBEF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9,619,526 </w:t>
            </w:r>
          </w:p>
        </w:tc>
      </w:tr>
      <w:tr w:rsidR="003E5BF5" w:rsidRPr="00293D7B" w14:paraId="3359625B" w14:textId="77777777" w:rsidTr="00AB5C47">
        <w:trPr>
          <w:trHeight w:val="340"/>
        </w:trPr>
        <w:tc>
          <w:tcPr>
            <w:tcW w:w="5079" w:type="dxa"/>
            <w:shd w:val="clear" w:color="auto" w:fill="auto"/>
            <w:noWrap/>
            <w:vAlign w:val="center"/>
            <w:hideMark/>
          </w:tcPr>
          <w:p w14:paraId="4C0F3D6D"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Assets received free of charge</w:t>
            </w:r>
          </w:p>
        </w:tc>
        <w:tc>
          <w:tcPr>
            <w:tcW w:w="1705" w:type="dxa"/>
            <w:shd w:val="clear" w:color="auto" w:fill="auto"/>
            <w:noWrap/>
            <w:vAlign w:val="center"/>
            <w:hideMark/>
          </w:tcPr>
          <w:p w14:paraId="7FB4501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437280B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1AC0C30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70068F2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8,224 </w:t>
            </w:r>
          </w:p>
        </w:tc>
        <w:tc>
          <w:tcPr>
            <w:tcW w:w="1706" w:type="dxa"/>
            <w:shd w:val="clear" w:color="auto" w:fill="auto"/>
            <w:noWrap/>
            <w:vAlign w:val="center"/>
            <w:hideMark/>
          </w:tcPr>
          <w:p w14:paraId="46AE9A1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1,715 </w:t>
            </w:r>
          </w:p>
        </w:tc>
      </w:tr>
      <w:tr w:rsidR="003E5BF5" w:rsidRPr="00293D7B" w14:paraId="3EE0D91F" w14:textId="77777777" w:rsidTr="00AB5C47">
        <w:trPr>
          <w:trHeight w:val="340"/>
        </w:trPr>
        <w:tc>
          <w:tcPr>
            <w:tcW w:w="5079" w:type="dxa"/>
            <w:shd w:val="clear" w:color="auto" w:fill="auto"/>
            <w:noWrap/>
            <w:vAlign w:val="center"/>
            <w:hideMark/>
          </w:tcPr>
          <w:p w14:paraId="071F1148"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Assets provided free of charge</w:t>
            </w:r>
          </w:p>
        </w:tc>
        <w:tc>
          <w:tcPr>
            <w:tcW w:w="1705" w:type="dxa"/>
            <w:shd w:val="clear" w:color="auto" w:fill="auto"/>
            <w:noWrap/>
            <w:vAlign w:val="center"/>
            <w:hideMark/>
          </w:tcPr>
          <w:p w14:paraId="4DE6B0E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261E4FA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73E2DEE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(2,613)</w:t>
            </w:r>
          </w:p>
        </w:tc>
        <w:tc>
          <w:tcPr>
            <w:tcW w:w="1706" w:type="dxa"/>
            <w:shd w:val="clear" w:color="auto" w:fill="auto"/>
            <w:noWrap/>
            <w:vAlign w:val="center"/>
            <w:hideMark/>
          </w:tcPr>
          <w:p w14:paraId="618D71C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(7,328)</w:t>
            </w:r>
          </w:p>
        </w:tc>
        <w:tc>
          <w:tcPr>
            <w:tcW w:w="1706" w:type="dxa"/>
            <w:shd w:val="clear" w:color="auto" w:fill="auto"/>
            <w:noWrap/>
            <w:vAlign w:val="center"/>
            <w:hideMark/>
          </w:tcPr>
          <w:p w14:paraId="0A5375F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(36)</w:t>
            </w:r>
          </w:p>
        </w:tc>
      </w:tr>
      <w:tr w:rsidR="003E5BF5" w:rsidRPr="00293D7B" w14:paraId="621AC91D" w14:textId="77777777" w:rsidTr="00AB5C47">
        <w:trPr>
          <w:trHeight w:val="340"/>
        </w:trPr>
        <w:tc>
          <w:tcPr>
            <w:tcW w:w="5079" w:type="dxa"/>
            <w:shd w:val="clear" w:color="auto" w:fill="auto"/>
            <w:noWrap/>
            <w:vAlign w:val="center"/>
            <w:hideMark/>
          </w:tcPr>
          <w:p w14:paraId="52F65F0A"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Additions</w:t>
            </w:r>
          </w:p>
        </w:tc>
        <w:tc>
          <w:tcPr>
            <w:tcW w:w="1705" w:type="dxa"/>
            <w:shd w:val="clear" w:color="auto" w:fill="auto"/>
            <w:noWrap/>
            <w:vAlign w:val="center"/>
            <w:hideMark/>
          </w:tcPr>
          <w:p w14:paraId="50A8E83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7AE22B5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28,930 </w:t>
            </w:r>
          </w:p>
        </w:tc>
        <w:tc>
          <w:tcPr>
            <w:tcW w:w="1706" w:type="dxa"/>
            <w:shd w:val="clear" w:color="auto" w:fill="auto"/>
            <w:noWrap/>
            <w:vAlign w:val="center"/>
            <w:hideMark/>
          </w:tcPr>
          <w:p w14:paraId="51A4EDB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6 </w:t>
            </w:r>
          </w:p>
        </w:tc>
        <w:tc>
          <w:tcPr>
            <w:tcW w:w="1706" w:type="dxa"/>
            <w:shd w:val="clear" w:color="auto" w:fill="auto"/>
            <w:noWrap/>
            <w:vAlign w:val="center"/>
            <w:hideMark/>
          </w:tcPr>
          <w:p w14:paraId="3F4041F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1F2ED12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r>
      <w:tr w:rsidR="003E5BF5" w:rsidRPr="00293D7B" w14:paraId="26E0DF3F" w14:textId="77777777" w:rsidTr="00AB5C47">
        <w:trPr>
          <w:trHeight w:val="340"/>
        </w:trPr>
        <w:tc>
          <w:tcPr>
            <w:tcW w:w="5079" w:type="dxa"/>
            <w:shd w:val="clear" w:color="auto" w:fill="auto"/>
            <w:noWrap/>
            <w:vAlign w:val="center"/>
            <w:hideMark/>
          </w:tcPr>
          <w:p w14:paraId="38A258B8"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Disposals</w:t>
            </w:r>
          </w:p>
        </w:tc>
        <w:tc>
          <w:tcPr>
            <w:tcW w:w="1705" w:type="dxa"/>
            <w:shd w:val="clear" w:color="auto" w:fill="auto"/>
            <w:noWrap/>
            <w:vAlign w:val="center"/>
            <w:hideMark/>
          </w:tcPr>
          <w:p w14:paraId="473255F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7119F89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(23,603)</w:t>
            </w:r>
          </w:p>
        </w:tc>
        <w:tc>
          <w:tcPr>
            <w:tcW w:w="1706" w:type="dxa"/>
            <w:shd w:val="clear" w:color="auto" w:fill="auto"/>
            <w:noWrap/>
            <w:vAlign w:val="center"/>
            <w:hideMark/>
          </w:tcPr>
          <w:p w14:paraId="0C62BAB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(13,857)</w:t>
            </w:r>
          </w:p>
        </w:tc>
        <w:tc>
          <w:tcPr>
            <w:tcW w:w="1706" w:type="dxa"/>
            <w:shd w:val="clear" w:color="auto" w:fill="auto"/>
            <w:noWrap/>
            <w:vAlign w:val="center"/>
            <w:hideMark/>
          </w:tcPr>
          <w:p w14:paraId="42A1835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(3,606)</w:t>
            </w:r>
          </w:p>
        </w:tc>
        <w:tc>
          <w:tcPr>
            <w:tcW w:w="1706" w:type="dxa"/>
            <w:shd w:val="clear" w:color="auto" w:fill="auto"/>
            <w:noWrap/>
            <w:vAlign w:val="center"/>
            <w:hideMark/>
          </w:tcPr>
          <w:p w14:paraId="4938E61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r>
      <w:tr w:rsidR="003E5BF5" w:rsidRPr="00293D7B" w14:paraId="42F7E199" w14:textId="77777777" w:rsidTr="00AB5C47">
        <w:trPr>
          <w:trHeight w:val="340"/>
        </w:trPr>
        <w:tc>
          <w:tcPr>
            <w:tcW w:w="5079" w:type="dxa"/>
            <w:shd w:val="clear" w:color="auto" w:fill="auto"/>
            <w:noWrap/>
            <w:vAlign w:val="center"/>
            <w:hideMark/>
          </w:tcPr>
          <w:p w14:paraId="1BE13F44"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Depreciation expense</w:t>
            </w:r>
          </w:p>
        </w:tc>
        <w:tc>
          <w:tcPr>
            <w:tcW w:w="1705" w:type="dxa"/>
            <w:shd w:val="clear" w:color="auto" w:fill="auto"/>
            <w:noWrap/>
            <w:vAlign w:val="center"/>
            <w:hideMark/>
          </w:tcPr>
          <w:p w14:paraId="2B44E33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0CCD110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3212991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0E883B5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(756,919)</w:t>
            </w:r>
          </w:p>
        </w:tc>
        <w:tc>
          <w:tcPr>
            <w:tcW w:w="1706" w:type="dxa"/>
            <w:shd w:val="clear" w:color="auto" w:fill="auto"/>
            <w:noWrap/>
            <w:vAlign w:val="center"/>
            <w:hideMark/>
          </w:tcPr>
          <w:p w14:paraId="1B59114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r>
      <w:tr w:rsidR="003E5BF5" w:rsidRPr="00293D7B" w14:paraId="2AB4DA03" w14:textId="77777777" w:rsidTr="00AB5C47">
        <w:trPr>
          <w:trHeight w:val="340"/>
        </w:trPr>
        <w:tc>
          <w:tcPr>
            <w:tcW w:w="5079" w:type="dxa"/>
            <w:shd w:val="clear" w:color="auto" w:fill="auto"/>
            <w:noWrap/>
            <w:vAlign w:val="center"/>
            <w:hideMark/>
          </w:tcPr>
          <w:p w14:paraId="3A969581"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Assets provided as contributed capital</w:t>
            </w:r>
          </w:p>
        </w:tc>
        <w:tc>
          <w:tcPr>
            <w:tcW w:w="1705" w:type="dxa"/>
            <w:shd w:val="clear" w:color="auto" w:fill="auto"/>
            <w:noWrap/>
            <w:vAlign w:val="center"/>
            <w:hideMark/>
          </w:tcPr>
          <w:p w14:paraId="3DF2576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151090B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378D9FF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(634)</w:t>
            </w:r>
          </w:p>
        </w:tc>
        <w:tc>
          <w:tcPr>
            <w:tcW w:w="1706" w:type="dxa"/>
            <w:shd w:val="clear" w:color="auto" w:fill="auto"/>
            <w:noWrap/>
            <w:vAlign w:val="center"/>
            <w:hideMark/>
          </w:tcPr>
          <w:p w14:paraId="4F3DAF0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0C6F73A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r>
      <w:tr w:rsidR="003E5BF5" w:rsidRPr="00293D7B" w14:paraId="53593DB0" w14:textId="77777777" w:rsidTr="00AB5C47">
        <w:trPr>
          <w:trHeight w:val="340"/>
        </w:trPr>
        <w:tc>
          <w:tcPr>
            <w:tcW w:w="5079" w:type="dxa"/>
            <w:shd w:val="clear" w:color="auto" w:fill="auto"/>
            <w:noWrap/>
            <w:vAlign w:val="center"/>
            <w:hideMark/>
          </w:tcPr>
          <w:p w14:paraId="771C60BB"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Transfers to assets classified as held for sale</w:t>
            </w:r>
          </w:p>
        </w:tc>
        <w:tc>
          <w:tcPr>
            <w:tcW w:w="1705" w:type="dxa"/>
            <w:shd w:val="clear" w:color="auto" w:fill="auto"/>
            <w:noWrap/>
            <w:vAlign w:val="center"/>
            <w:hideMark/>
          </w:tcPr>
          <w:p w14:paraId="16B7D64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25A339E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(3,364)</w:t>
            </w:r>
          </w:p>
        </w:tc>
        <w:tc>
          <w:tcPr>
            <w:tcW w:w="1706" w:type="dxa"/>
            <w:shd w:val="clear" w:color="auto" w:fill="auto"/>
            <w:noWrap/>
            <w:vAlign w:val="center"/>
            <w:hideMark/>
          </w:tcPr>
          <w:p w14:paraId="01F0446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(117,130)</w:t>
            </w:r>
          </w:p>
        </w:tc>
        <w:tc>
          <w:tcPr>
            <w:tcW w:w="1706" w:type="dxa"/>
            <w:shd w:val="clear" w:color="auto" w:fill="auto"/>
            <w:noWrap/>
            <w:vAlign w:val="center"/>
            <w:hideMark/>
          </w:tcPr>
          <w:p w14:paraId="797D112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4E093C4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r>
      <w:tr w:rsidR="003E5BF5" w:rsidRPr="00293D7B" w14:paraId="4D19B0AD" w14:textId="77777777" w:rsidTr="00AB5C47">
        <w:trPr>
          <w:trHeight w:val="340"/>
        </w:trPr>
        <w:tc>
          <w:tcPr>
            <w:tcW w:w="5079" w:type="dxa"/>
            <w:shd w:val="clear" w:color="auto" w:fill="auto"/>
            <w:noWrap/>
            <w:vAlign w:val="center"/>
            <w:hideMark/>
          </w:tcPr>
          <w:p w14:paraId="21A06BFF"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Net transfers (to)/from government entities</w:t>
            </w:r>
          </w:p>
        </w:tc>
        <w:tc>
          <w:tcPr>
            <w:tcW w:w="1705" w:type="dxa"/>
            <w:shd w:val="clear" w:color="auto" w:fill="auto"/>
            <w:noWrap/>
            <w:vAlign w:val="center"/>
            <w:hideMark/>
          </w:tcPr>
          <w:p w14:paraId="225BCE0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36FCE6A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1F2A2A6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2FAA7E8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3AC5B0B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r>
      <w:tr w:rsidR="003E5BF5" w:rsidRPr="00293D7B" w14:paraId="1C04AE4D" w14:textId="77777777" w:rsidTr="00AB5C47">
        <w:trPr>
          <w:trHeight w:val="340"/>
        </w:trPr>
        <w:tc>
          <w:tcPr>
            <w:tcW w:w="5079" w:type="dxa"/>
            <w:shd w:val="clear" w:color="auto" w:fill="auto"/>
            <w:noWrap/>
            <w:vAlign w:val="center"/>
            <w:hideMark/>
          </w:tcPr>
          <w:p w14:paraId="6D9BC645"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Net revaluation increments/decrements</w:t>
            </w:r>
          </w:p>
        </w:tc>
        <w:tc>
          <w:tcPr>
            <w:tcW w:w="1705" w:type="dxa"/>
            <w:shd w:val="clear" w:color="auto" w:fill="auto"/>
            <w:noWrap/>
            <w:vAlign w:val="center"/>
            <w:hideMark/>
          </w:tcPr>
          <w:p w14:paraId="0C1234B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10,132,429 </w:t>
            </w:r>
          </w:p>
        </w:tc>
        <w:tc>
          <w:tcPr>
            <w:tcW w:w="1706" w:type="dxa"/>
            <w:shd w:val="clear" w:color="auto" w:fill="auto"/>
            <w:noWrap/>
            <w:vAlign w:val="center"/>
            <w:hideMark/>
          </w:tcPr>
          <w:p w14:paraId="317CF67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61,491 </w:t>
            </w:r>
          </w:p>
        </w:tc>
        <w:tc>
          <w:tcPr>
            <w:tcW w:w="1706" w:type="dxa"/>
            <w:shd w:val="clear" w:color="auto" w:fill="auto"/>
            <w:noWrap/>
            <w:vAlign w:val="center"/>
            <w:hideMark/>
          </w:tcPr>
          <w:p w14:paraId="220836F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787,663 </w:t>
            </w:r>
          </w:p>
        </w:tc>
        <w:tc>
          <w:tcPr>
            <w:tcW w:w="1706" w:type="dxa"/>
            <w:shd w:val="clear" w:color="auto" w:fill="auto"/>
            <w:noWrap/>
            <w:vAlign w:val="center"/>
            <w:hideMark/>
          </w:tcPr>
          <w:p w14:paraId="303114E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(145,899)</w:t>
            </w:r>
          </w:p>
        </w:tc>
        <w:tc>
          <w:tcPr>
            <w:tcW w:w="1706" w:type="dxa"/>
            <w:shd w:val="clear" w:color="auto" w:fill="auto"/>
            <w:noWrap/>
            <w:vAlign w:val="center"/>
            <w:hideMark/>
          </w:tcPr>
          <w:p w14:paraId="65FC52E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4,974 </w:t>
            </w:r>
          </w:p>
        </w:tc>
      </w:tr>
      <w:tr w:rsidR="003E5BF5" w:rsidRPr="00293D7B" w14:paraId="36CBCEF8" w14:textId="77777777" w:rsidTr="00AB5C47">
        <w:trPr>
          <w:trHeight w:val="340"/>
        </w:trPr>
        <w:tc>
          <w:tcPr>
            <w:tcW w:w="5079" w:type="dxa"/>
            <w:shd w:val="clear" w:color="auto" w:fill="auto"/>
            <w:noWrap/>
            <w:vAlign w:val="center"/>
            <w:hideMark/>
          </w:tcPr>
          <w:p w14:paraId="7A9F7FA9"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Transfer between classes</w:t>
            </w:r>
          </w:p>
        </w:tc>
        <w:tc>
          <w:tcPr>
            <w:tcW w:w="1705" w:type="dxa"/>
            <w:shd w:val="clear" w:color="auto" w:fill="auto"/>
            <w:noWrap/>
            <w:vAlign w:val="center"/>
            <w:hideMark/>
          </w:tcPr>
          <w:p w14:paraId="53F15F5E" w14:textId="77777777" w:rsidR="003E5BF5" w:rsidRPr="00293D7B" w:rsidRDefault="003E5BF5" w:rsidP="00DE1921">
            <w:pPr>
              <w:jc w:val="right"/>
              <w:rPr>
                <w:rFonts w:ascii="Arial" w:hAnsi="Arial" w:cs="Arial"/>
                <w:sz w:val="24"/>
                <w:szCs w:val="24"/>
                <w:lang w:eastAsia="en-AU"/>
              </w:rPr>
            </w:pPr>
          </w:p>
        </w:tc>
        <w:tc>
          <w:tcPr>
            <w:tcW w:w="1706" w:type="dxa"/>
            <w:shd w:val="clear" w:color="auto" w:fill="auto"/>
            <w:noWrap/>
            <w:vAlign w:val="center"/>
            <w:hideMark/>
          </w:tcPr>
          <w:p w14:paraId="6DE4856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72DF45C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706" w:type="dxa"/>
            <w:shd w:val="clear" w:color="auto" w:fill="auto"/>
            <w:noWrap/>
            <w:vAlign w:val="center"/>
            <w:hideMark/>
          </w:tcPr>
          <w:p w14:paraId="7A845F9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2,303,496 </w:t>
            </w:r>
          </w:p>
        </w:tc>
        <w:tc>
          <w:tcPr>
            <w:tcW w:w="1706" w:type="dxa"/>
            <w:shd w:val="clear" w:color="auto" w:fill="auto"/>
            <w:noWrap/>
            <w:vAlign w:val="center"/>
            <w:hideMark/>
          </w:tcPr>
          <w:p w14:paraId="4355347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296,141 </w:t>
            </w:r>
          </w:p>
        </w:tc>
      </w:tr>
      <w:tr w:rsidR="003E5BF5" w:rsidRPr="00293D7B" w14:paraId="71189FAF" w14:textId="77777777" w:rsidTr="00AB5C47">
        <w:trPr>
          <w:trHeight w:val="340"/>
        </w:trPr>
        <w:tc>
          <w:tcPr>
            <w:tcW w:w="5079" w:type="dxa"/>
            <w:tcBorders>
              <w:bottom w:val="nil"/>
            </w:tcBorders>
            <w:shd w:val="clear" w:color="auto" w:fill="auto"/>
            <w:noWrap/>
            <w:vAlign w:val="center"/>
            <w:hideMark/>
          </w:tcPr>
          <w:p w14:paraId="43CFC9F9"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Closing balance</w:t>
            </w:r>
          </w:p>
        </w:tc>
        <w:tc>
          <w:tcPr>
            <w:tcW w:w="1705" w:type="dxa"/>
            <w:tcBorders>
              <w:bottom w:val="nil"/>
            </w:tcBorders>
            <w:shd w:val="clear" w:color="auto" w:fill="auto"/>
            <w:noWrap/>
            <w:vAlign w:val="center"/>
            <w:hideMark/>
          </w:tcPr>
          <w:p w14:paraId="1584330C"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34,398,450 </w:t>
            </w:r>
          </w:p>
        </w:tc>
        <w:tc>
          <w:tcPr>
            <w:tcW w:w="1706" w:type="dxa"/>
            <w:tcBorders>
              <w:bottom w:val="nil"/>
            </w:tcBorders>
            <w:shd w:val="clear" w:color="auto" w:fill="auto"/>
            <w:noWrap/>
            <w:vAlign w:val="center"/>
            <w:hideMark/>
          </w:tcPr>
          <w:p w14:paraId="0BA701D2"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1,707,687 </w:t>
            </w:r>
          </w:p>
        </w:tc>
        <w:tc>
          <w:tcPr>
            <w:tcW w:w="1706" w:type="dxa"/>
            <w:tcBorders>
              <w:bottom w:val="nil"/>
            </w:tcBorders>
            <w:shd w:val="clear" w:color="auto" w:fill="auto"/>
            <w:noWrap/>
            <w:vAlign w:val="center"/>
            <w:hideMark/>
          </w:tcPr>
          <w:p w14:paraId="20FD7A15"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2,820,298 </w:t>
            </w:r>
          </w:p>
        </w:tc>
        <w:tc>
          <w:tcPr>
            <w:tcW w:w="1706" w:type="dxa"/>
            <w:tcBorders>
              <w:bottom w:val="nil"/>
            </w:tcBorders>
            <w:shd w:val="clear" w:color="auto" w:fill="auto"/>
            <w:noWrap/>
            <w:vAlign w:val="center"/>
            <w:hideMark/>
          </w:tcPr>
          <w:p w14:paraId="37413239"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24,254,617 </w:t>
            </w:r>
          </w:p>
        </w:tc>
        <w:tc>
          <w:tcPr>
            <w:tcW w:w="1706" w:type="dxa"/>
            <w:tcBorders>
              <w:bottom w:val="nil"/>
            </w:tcBorders>
            <w:shd w:val="clear" w:color="auto" w:fill="auto"/>
            <w:noWrap/>
            <w:vAlign w:val="center"/>
            <w:hideMark/>
          </w:tcPr>
          <w:p w14:paraId="5B30903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9,922,320 </w:t>
            </w:r>
          </w:p>
        </w:tc>
      </w:tr>
    </w:tbl>
    <w:p w14:paraId="43626DC1" w14:textId="77777777" w:rsidR="00AB5C47" w:rsidRPr="00293D7B" w:rsidRDefault="00AB5C47" w:rsidP="00AB5C47">
      <w:pPr>
        <w:pStyle w:val="Note"/>
        <w:rPr>
          <w:rFonts w:ascii="Arial" w:hAnsi="Arial" w:cs="Arial"/>
          <w:sz w:val="24"/>
          <w:szCs w:val="24"/>
        </w:rPr>
      </w:pPr>
      <w:r w:rsidRPr="00293D7B">
        <w:rPr>
          <w:rFonts w:ascii="Arial" w:hAnsi="Arial" w:cs="Arial"/>
          <w:sz w:val="24"/>
          <w:szCs w:val="24"/>
        </w:rPr>
        <w:t>Note:</w:t>
      </w:r>
    </w:p>
    <w:p w14:paraId="32196C11" w14:textId="77777777" w:rsidR="00AB5C47" w:rsidRPr="00293D7B" w:rsidRDefault="00AB5C47" w:rsidP="00610F5F">
      <w:pPr>
        <w:pStyle w:val="aaaNotenumberiiiiii"/>
        <w:numPr>
          <w:ilvl w:val="0"/>
          <w:numId w:val="122"/>
        </w:numPr>
      </w:pPr>
      <w:r w:rsidRPr="00293D7B">
        <w:lastRenderedPageBreak/>
        <w:t>This balance represents the initial recognition of right-of-use assets recorded on the balance sheet on 1 July 2019 relating to operating leases. Refer to Note 9.6.5.3 for further details.</w:t>
      </w:r>
    </w:p>
    <w:p w14:paraId="3D338785" w14:textId="77777777" w:rsidR="003E5BF5" w:rsidRDefault="003E5BF5">
      <w:pPr>
        <w:rPr>
          <w:lang w:eastAsia="en-AU"/>
        </w:rPr>
      </w:pPr>
      <w:r>
        <w:rPr>
          <w:lang w:eastAsia="en-AU"/>
        </w:rPr>
        <w:br w:type="page"/>
      </w:r>
    </w:p>
    <w:p w14:paraId="7CE2C690" w14:textId="77777777" w:rsidR="003E5BF5" w:rsidRPr="002D5874" w:rsidRDefault="003E5BF5" w:rsidP="00E55C5F">
      <w:pPr>
        <w:pStyle w:val="aaaboldheadingfinance"/>
        <w:rPr>
          <w:sz w:val="20"/>
        </w:rPr>
      </w:pPr>
      <w:r w:rsidRPr="00C667BC">
        <w:lastRenderedPageBreak/>
        <w:t>Reconciliation of Level 3 fair value movements</w:t>
      </w:r>
      <w:r>
        <w:rPr>
          <w:sz w:val="20"/>
        </w:rPr>
        <w:t xml:space="preserve"> - </w:t>
      </w:r>
      <w:r>
        <w:rPr>
          <w:i/>
          <w:sz w:val="20"/>
        </w:rPr>
        <w:t>c</w:t>
      </w:r>
      <w:r w:rsidRPr="000C13E4">
        <w:rPr>
          <w:i/>
          <w:sz w:val="20"/>
        </w:rPr>
        <w:t>ontinued</w:t>
      </w:r>
    </w:p>
    <w:tbl>
      <w:tblPr>
        <w:tblStyle w:val="TableGrid"/>
        <w:tblW w:w="13608" w:type="dxa"/>
        <w:tblLayout w:type="fixed"/>
        <w:tblLook w:val="04A0" w:firstRow="1" w:lastRow="0" w:firstColumn="1" w:lastColumn="0" w:noHBand="0" w:noVBand="1"/>
      </w:tblPr>
      <w:tblGrid>
        <w:gridCol w:w="3972"/>
        <w:gridCol w:w="1606"/>
        <w:gridCol w:w="1606"/>
        <w:gridCol w:w="1606"/>
        <w:gridCol w:w="1606"/>
        <w:gridCol w:w="1606"/>
        <w:gridCol w:w="1606"/>
      </w:tblGrid>
      <w:tr w:rsidR="003E5BF5" w:rsidRPr="00293D7B" w14:paraId="3B7BB90F" w14:textId="77777777" w:rsidTr="003E7506">
        <w:trPr>
          <w:trHeight w:val="340"/>
          <w:tblHeader/>
        </w:trPr>
        <w:tc>
          <w:tcPr>
            <w:tcW w:w="3972" w:type="dxa"/>
            <w:shd w:val="clear" w:color="auto" w:fill="auto"/>
            <w:noWrap/>
            <w:vAlign w:val="center"/>
            <w:hideMark/>
          </w:tcPr>
          <w:p w14:paraId="22E88CEF" w14:textId="77777777" w:rsidR="003E5BF5" w:rsidRPr="00293D7B" w:rsidRDefault="003E5BF5" w:rsidP="00DE1921">
            <w:pPr>
              <w:rPr>
                <w:rFonts w:ascii="Arial" w:hAnsi="Arial" w:cs="Arial"/>
                <w:sz w:val="24"/>
                <w:szCs w:val="24"/>
              </w:rPr>
            </w:pPr>
            <w:r w:rsidRPr="00293D7B">
              <w:rPr>
                <w:rFonts w:ascii="Arial" w:hAnsi="Arial" w:cs="Arial"/>
                <w:sz w:val="24"/>
                <w:szCs w:val="24"/>
              </w:rPr>
              <w:t> </w:t>
            </w:r>
          </w:p>
        </w:tc>
        <w:tc>
          <w:tcPr>
            <w:tcW w:w="9636" w:type="dxa"/>
            <w:gridSpan w:val="6"/>
            <w:shd w:val="clear" w:color="auto" w:fill="auto"/>
            <w:noWrap/>
            <w:vAlign w:val="center"/>
            <w:hideMark/>
          </w:tcPr>
          <w:p w14:paraId="4E7361CC" w14:textId="77777777" w:rsidR="003E5BF5" w:rsidRPr="00293D7B" w:rsidRDefault="003E5BF5" w:rsidP="00DE1921">
            <w:pPr>
              <w:jc w:val="center"/>
              <w:rPr>
                <w:rFonts w:ascii="Arial" w:hAnsi="Arial" w:cs="Arial"/>
                <w:b/>
                <w:sz w:val="24"/>
                <w:szCs w:val="24"/>
              </w:rPr>
            </w:pPr>
            <w:r w:rsidRPr="00293D7B">
              <w:rPr>
                <w:rFonts w:ascii="Arial" w:hAnsi="Arial" w:cs="Arial"/>
                <w:b/>
                <w:sz w:val="24"/>
                <w:szCs w:val="24"/>
              </w:rPr>
              <w:t>($ thousand)</w:t>
            </w:r>
          </w:p>
        </w:tc>
      </w:tr>
      <w:tr w:rsidR="003E5BF5" w:rsidRPr="00293D7B" w14:paraId="4CDD0BC8" w14:textId="77777777" w:rsidTr="003E7506">
        <w:trPr>
          <w:trHeight w:val="340"/>
          <w:tblHeader/>
        </w:trPr>
        <w:tc>
          <w:tcPr>
            <w:tcW w:w="3972" w:type="dxa"/>
            <w:shd w:val="clear" w:color="auto" w:fill="auto"/>
            <w:noWrap/>
            <w:vAlign w:val="center"/>
            <w:hideMark/>
          </w:tcPr>
          <w:p w14:paraId="14774826" w14:textId="77777777" w:rsidR="003E5BF5" w:rsidRPr="00293D7B" w:rsidRDefault="003E5BF5" w:rsidP="00DE1921">
            <w:pPr>
              <w:rPr>
                <w:rFonts w:ascii="Arial" w:hAnsi="Arial" w:cs="Arial"/>
                <w:sz w:val="24"/>
                <w:szCs w:val="24"/>
              </w:rPr>
            </w:pPr>
            <w:r w:rsidRPr="00293D7B">
              <w:rPr>
                <w:rFonts w:ascii="Arial" w:hAnsi="Arial" w:cs="Arial"/>
                <w:sz w:val="24"/>
                <w:szCs w:val="24"/>
              </w:rPr>
              <w:t> </w:t>
            </w:r>
          </w:p>
        </w:tc>
        <w:tc>
          <w:tcPr>
            <w:tcW w:w="1606" w:type="dxa"/>
            <w:shd w:val="clear" w:color="auto" w:fill="auto"/>
            <w:vAlign w:val="bottom"/>
            <w:hideMark/>
          </w:tcPr>
          <w:p w14:paraId="3F178929"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Other infrastructure at fair value</w:t>
            </w:r>
          </w:p>
        </w:tc>
        <w:tc>
          <w:tcPr>
            <w:tcW w:w="1606" w:type="dxa"/>
            <w:shd w:val="clear" w:color="auto" w:fill="auto"/>
            <w:vAlign w:val="bottom"/>
            <w:hideMark/>
          </w:tcPr>
          <w:p w14:paraId="04F5BBF2"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Buildings at fair value</w:t>
            </w:r>
          </w:p>
        </w:tc>
        <w:tc>
          <w:tcPr>
            <w:tcW w:w="1606" w:type="dxa"/>
            <w:shd w:val="clear" w:color="auto" w:fill="auto"/>
            <w:vAlign w:val="bottom"/>
            <w:hideMark/>
          </w:tcPr>
          <w:p w14:paraId="6237E26B"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Plant, equipment and vehicles at fair value</w:t>
            </w:r>
          </w:p>
        </w:tc>
        <w:tc>
          <w:tcPr>
            <w:tcW w:w="1606" w:type="dxa"/>
            <w:shd w:val="clear" w:color="auto" w:fill="auto"/>
            <w:vAlign w:val="bottom"/>
            <w:hideMark/>
          </w:tcPr>
          <w:p w14:paraId="14F602DB"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Leasehold</w:t>
            </w:r>
            <w:r w:rsidRPr="00293D7B">
              <w:rPr>
                <w:rFonts w:ascii="Arial" w:hAnsi="Arial" w:cs="Arial"/>
                <w:b/>
                <w:sz w:val="24"/>
                <w:szCs w:val="24"/>
              </w:rPr>
              <w:br/>
              <w:t>improvement at fair value</w:t>
            </w:r>
          </w:p>
        </w:tc>
        <w:tc>
          <w:tcPr>
            <w:tcW w:w="1606" w:type="dxa"/>
            <w:shd w:val="clear" w:color="auto" w:fill="auto"/>
            <w:vAlign w:val="bottom"/>
            <w:hideMark/>
          </w:tcPr>
          <w:p w14:paraId="3CD8592F"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Cultural </w:t>
            </w:r>
            <w:r w:rsidRPr="00293D7B">
              <w:rPr>
                <w:rFonts w:ascii="Arial" w:hAnsi="Arial" w:cs="Arial"/>
                <w:b/>
                <w:sz w:val="24"/>
                <w:szCs w:val="24"/>
              </w:rPr>
              <w:br/>
              <w:t>assets at fair value</w:t>
            </w:r>
          </w:p>
        </w:tc>
        <w:tc>
          <w:tcPr>
            <w:tcW w:w="1606" w:type="dxa"/>
            <w:shd w:val="clear" w:color="auto" w:fill="auto"/>
            <w:vAlign w:val="bottom"/>
            <w:hideMark/>
          </w:tcPr>
          <w:p w14:paraId="52E240CE"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Total</w:t>
            </w:r>
          </w:p>
        </w:tc>
      </w:tr>
      <w:tr w:rsidR="003E5BF5" w:rsidRPr="00293D7B" w14:paraId="628307AB" w14:textId="77777777" w:rsidTr="003E7506">
        <w:trPr>
          <w:trHeight w:val="340"/>
          <w:tblHeader/>
        </w:trPr>
        <w:tc>
          <w:tcPr>
            <w:tcW w:w="3972" w:type="dxa"/>
            <w:shd w:val="clear" w:color="auto" w:fill="auto"/>
            <w:noWrap/>
            <w:vAlign w:val="center"/>
            <w:hideMark/>
          </w:tcPr>
          <w:p w14:paraId="5719D58A" w14:textId="77777777" w:rsidR="003E5BF5" w:rsidRPr="00293D7B" w:rsidRDefault="003E5BF5" w:rsidP="00604703">
            <w:pPr>
              <w:pStyle w:val="TableTextGreen"/>
            </w:pPr>
            <w:r w:rsidRPr="00293D7B">
              <w:t>2020</w:t>
            </w:r>
          </w:p>
        </w:tc>
        <w:tc>
          <w:tcPr>
            <w:tcW w:w="1606" w:type="dxa"/>
            <w:shd w:val="clear" w:color="auto" w:fill="auto"/>
            <w:noWrap/>
            <w:vAlign w:val="center"/>
            <w:hideMark/>
          </w:tcPr>
          <w:p w14:paraId="1521FFD4"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2020</w:t>
            </w:r>
          </w:p>
        </w:tc>
        <w:tc>
          <w:tcPr>
            <w:tcW w:w="1606" w:type="dxa"/>
            <w:shd w:val="clear" w:color="auto" w:fill="auto"/>
            <w:noWrap/>
            <w:vAlign w:val="center"/>
            <w:hideMark/>
          </w:tcPr>
          <w:p w14:paraId="546022AF"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2020</w:t>
            </w:r>
          </w:p>
        </w:tc>
        <w:tc>
          <w:tcPr>
            <w:tcW w:w="1606" w:type="dxa"/>
            <w:shd w:val="clear" w:color="auto" w:fill="auto"/>
            <w:noWrap/>
            <w:vAlign w:val="center"/>
            <w:hideMark/>
          </w:tcPr>
          <w:p w14:paraId="071F7609"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2020</w:t>
            </w:r>
          </w:p>
        </w:tc>
        <w:tc>
          <w:tcPr>
            <w:tcW w:w="1606" w:type="dxa"/>
            <w:shd w:val="clear" w:color="auto" w:fill="auto"/>
            <w:noWrap/>
            <w:vAlign w:val="center"/>
            <w:hideMark/>
          </w:tcPr>
          <w:p w14:paraId="5CFFDE4E"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2020</w:t>
            </w:r>
          </w:p>
        </w:tc>
        <w:tc>
          <w:tcPr>
            <w:tcW w:w="1606" w:type="dxa"/>
            <w:shd w:val="clear" w:color="auto" w:fill="auto"/>
            <w:noWrap/>
            <w:vAlign w:val="center"/>
            <w:hideMark/>
          </w:tcPr>
          <w:p w14:paraId="5F004886"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2020</w:t>
            </w:r>
          </w:p>
        </w:tc>
        <w:tc>
          <w:tcPr>
            <w:tcW w:w="1606" w:type="dxa"/>
            <w:shd w:val="clear" w:color="auto" w:fill="auto"/>
            <w:noWrap/>
            <w:vAlign w:val="center"/>
            <w:hideMark/>
          </w:tcPr>
          <w:p w14:paraId="28EB35FE"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2020</w:t>
            </w:r>
          </w:p>
        </w:tc>
      </w:tr>
      <w:tr w:rsidR="003E5BF5" w:rsidRPr="00293D7B" w14:paraId="7CBF0F6E" w14:textId="77777777" w:rsidTr="0012408F">
        <w:trPr>
          <w:trHeight w:val="340"/>
        </w:trPr>
        <w:tc>
          <w:tcPr>
            <w:tcW w:w="3972" w:type="dxa"/>
            <w:shd w:val="clear" w:color="auto" w:fill="auto"/>
            <w:noWrap/>
            <w:vAlign w:val="center"/>
            <w:hideMark/>
          </w:tcPr>
          <w:p w14:paraId="57CA2661" w14:textId="77777777" w:rsidR="003E5BF5" w:rsidRPr="00293D7B" w:rsidRDefault="003E5BF5" w:rsidP="00DE1921">
            <w:pPr>
              <w:rPr>
                <w:rFonts w:ascii="Arial" w:hAnsi="Arial" w:cs="Arial"/>
                <w:b/>
                <w:sz w:val="24"/>
                <w:szCs w:val="24"/>
              </w:rPr>
            </w:pPr>
            <w:r w:rsidRPr="00293D7B">
              <w:rPr>
                <w:rFonts w:ascii="Arial" w:hAnsi="Arial" w:cs="Arial"/>
                <w:b/>
                <w:sz w:val="24"/>
                <w:szCs w:val="24"/>
              </w:rPr>
              <w:t>Opening balance</w:t>
            </w:r>
          </w:p>
        </w:tc>
        <w:tc>
          <w:tcPr>
            <w:tcW w:w="1606" w:type="dxa"/>
            <w:shd w:val="clear" w:color="auto" w:fill="auto"/>
            <w:noWrap/>
            <w:vAlign w:val="center"/>
            <w:hideMark/>
          </w:tcPr>
          <w:p w14:paraId="012F295D"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1,341,790 </w:t>
            </w:r>
          </w:p>
        </w:tc>
        <w:tc>
          <w:tcPr>
            <w:tcW w:w="1606" w:type="dxa"/>
            <w:shd w:val="clear" w:color="auto" w:fill="auto"/>
            <w:noWrap/>
            <w:vAlign w:val="center"/>
            <w:hideMark/>
          </w:tcPr>
          <w:p w14:paraId="09528B43"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4,826 </w:t>
            </w:r>
          </w:p>
        </w:tc>
        <w:tc>
          <w:tcPr>
            <w:tcW w:w="1606" w:type="dxa"/>
            <w:shd w:val="clear" w:color="auto" w:fill="auto"/>
            <w:noWrap/>
            <w:vAlign w:val="center"/>
            <w:hideMark/>
          </w:tcPr>
          <w:p w14:paraId="3EB53ED7"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7,108 </w:t>
            </w:r>
          </w:p>
        </w:tc>
        <w:tc>
          <w:tcPr>
            <w:tcW w:w="1606" w:type="dxa"/>
            <w:shd w:val="clear" w:color="auto" w:fill="auto"/>
            <w:noWrap/>
            <w:vAlign w:val="center"/>
            <w:hideMark/>
          </w:tcPr>
          <w:p w14:paraId="4A38979B"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15,953 </w:t>
            </w:r>
          </w:p>
        </w:tc>
        <w:tc>
          <w:tcPr>
            <w:tcW w:w="1606" w:type="dxa"/>
            <w:shd w:val="clear" w:color="auto" w:fill="auto"/>
            <w:noWrap/>
            <w:vAlign w:val="center"/>
            <w:hideMark/>
          </w:tcPr>
          <w:p w14:paraId="781D0134"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256 </w:t>
            </w:r>
          </w:p>
        </w:tc>
        <w:tc>
          <w:tcPr>
            <w:tcW w:w="1606" w:type="dxa"/>
            <w:shd w:val="clear" w:color="auto" w:fill="auto"/>
            <w:noWrap/>
            <w:vAlign w:val="center"/>
            <w:hideMark/>
          </w:tcPr>
          <w:p w14:paraId="0BC41750"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1,679,792 </w:t>
            </w:r>
          </w:p>
        </w:tc>
      </w:tr>
      <w:tr w:rsidR="003E5BF5" w:rsidRPr="00293D7B" w14:paraId="35EFA403" w14:textId="77777777" w:rsidTr="0012408F">
        <w:trPr>
          <w:trHeight w:val="340"/>
        </w:trPr>
        <w:tc>
          <w:tcPr>
            <w:tcW w:w="3972" w:type="dxa"/>
            <w:shd w:val="clear" w:color="auto" w:fill="auto"/>
            <w:vAlign w:val="center"/>
            <w:hideMark/>
          </w:tcPr>
          <w:p w14:paraId="48BFF814" w14:textId="77777777" w:rsidR="003E5BF5" w:rsidRPr="00293D7B" w:rsidRDefault="003E5BF5" w:rsidP="00DE1921">
            <w:pPr>
              <w:rPr>
                <w:rFonts w:ascii="Arial" w:hAnsi="Arial" w:cs="Arial"/>
                <w:sz w:val="24"/>
                <w:szCs w:val="24"/>
              </w:rPr>
            </w:pPr>
            <w:r w:rsidRPr="00293D7B">
              <w:rPr>
                <w:rFonts w:ascii="Arial" w:hAnsi="Arial" w:cs="Arial"/>
                <w:sz w:val="24"/>
                <w:szCs w:val="24"/>
              </w:rPr>
              <w:t xml:space="preserve">Recognition of right-of-use assets on initial application of AASB 16 effecting 1 July 2019 </w:t>
            </w:r>
            <w:r w:rsidRPr="00293D7B">
              <w:rPr>
                <w:rFonts w:ascii="Arial" w:hAnsi="Arial" w:cs="Arial"/>
                <w:sz w:val="24"/>
                <w:szCs w:val="24"/>
                <w:vertAlign w:val="superscript"/>
              </w:rPr>
              <w:t>(</w:t>
            </w:r>
            <w:proofErr w:type="spellStart"/>
            <w:r w:rsidRPr="00293D7B">
              <w:rPr>
                <w:rFonts w:ascii="Arial" w:hAnsi="Arial" w:cs="Arial"/>
                <w:sz w:val="24"/>
                <w:szCs w:val="24"/>
                <w:vertAlign w:val="superscript"/>
              </w:rPr>
              <w:t>i</w:t>
            </w:r>
            <w:proofErr w:type="spellEnd"/>
            <w:r w:rsidRPr="00293D7B">
              <w:rPr>
                <w:rFonts w:ascii="Arial" w:hAnsi="Arial" w:cs="Arial"/>
                <w:sz w:val="24"/>
                <w:szCs w:val="24"/>
                <w:vertAlign w:val="superscript"/>
              </w:rPr>
              <w:t>)</w:t>
            </w:r>
          </w:p>
        </w:tc>
        <w:tc>
          <w:tcPr>
            <w:tcW w:w="1606" w:type="dxa"/>
            <w:shd w:val="clear" w:color="auto" w:fill="auto"/>
            <w:noWrap/>
            <w:vAlign w:val="center"/>
            <w:hideMark/>
          </w:tcPr>
          <w:p w14:paraId="079D00B2"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2D304F95"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247,207 </w:t>
            </w:r>
          </w:p>
        </w:tc>
        <w:tc>
          <w:tcPr>
            <w:tcW w:w="1606" w:type="dxa"/>
            <w:shd w:val="clear" w:color="auto" w:fill="auto"/>
            <w:noWrap/>
            <w:vAlign w:val="center"/>
            <w:hideMark/>
          </w:tcPr>
          <w:p w14:paraId="3169D355"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43DD334E"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1805FF7F"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39275B8B"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247,207 </w:t>
            </w:r>
          </w:p>
        </w:tc>
      </w:tr>
      <w:tr w:rsidR="003E5BF5" w:rsidRPr="00293D7B" w14:paraId="371C500C" w14:textId="77777777" w:rsidTr="0012408F">
        <w:trPr>
          <w:trHeight w:val="340"/>
        </w:trPr>
        <w:tc>
          <w:tcPr>
            <w:tcW w:w="3972" w:type="dxa"/>
            <w:shd w:val="clear" w:color="auto" w:fill="auto"/>
            <w:noWrap/>
            <w:vAlign w:val="center"/>
            <w:hideMark/>
          </w:tcPr>
          <w:p w14:paraId="4573C9A0" w14:textId="77777777" w:rsidR="003E5BF5" w:rsidRPr="00293D7B" w:rsidRDefault="003E5BF5" w:rsidP="00DE1921">
            <w:pPr>
              <w:rPr>
                <w:rFonts w:ascii="Arial" w:hAnsi="Arial" w:cs="Arial"/>
                <w:b/>
                <w:sz w:val="24"/>
                <w:szCs w:val="24"/>
              </w:rPr>
            </w:pPr>
            <w:r w:rsidRPr="00293D7B">
              <w:rPr>
                <w:rFonts w:ascii="Arial" w:hAnsi="Arial" w:cs="Arial"/>
                <w:b/>
                <w:sz w:val="24"/>
                <w:szCs w:val="24"/>
              </w:rPr>
              <w:t>Adjusted opening balance</w:t>
            </w:r>
          </w:p>
        </w:tc>
        <w:tc>
          <w:tcPr>
            <w:tcW w:w="1606" w:type="dxa"/>
            <w:shd w:val="clear" w:color="auto" w:fill="auto"/>
            <w:noWrap/>
            <w:vAlign w:val="center"/>
            <w:hideMark/>
          </w:tcPr>
          <w:p w14:paraId="060AE45B"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1,341,790 </w:t>
            </w:r>
          </w:p>
        </w:tc>
        <w:tc>
          <w:tcPr>
            <w:tcW w:w="1606" w:type="dxa"/>
            <w:shd w:val="clear" w:color="auto" w:fill="auto"/>
            <w:noWrap/>
            <w:vAlign w:val="center"/>
            <w:hideMark/>
          </w:tcPr>
          <w:p w14:paraId="6AE739BE"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252,033 </w:t>
            </w:r>
          </w:p>
        </w:tc>
        <w:tc>
          <w:tcPr>
            <w:tcW w:w="1606" w:type="dxa"/>
            <w:shd w:val="clear" w:color="auto" w:fill="auto"/>
            <w:noWrap/>
            <w:vAlign w:val="center"/>
            <w:hideMark/>
          </w:tcPr>
          <w:p w14:paraId="439F2130"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7,108 </w:t>
            </w:r>
          </w:p>
        </w:tc>
        <w:tc>
          <w:tcPr>
            <w:tcW w:w="1606" w:type="dxa"/>
            <w:shd w:val="clear" w:color="auto" w:fill="auto"/>
            <w:noWrap/>
            <w:vAlign w:val="center"/>
            <w:hideMark/>
          </w:tcPr>
          <w:p w14:paraId="4AC90F52"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15,953 </w:t>
            </w:r>
          </w:p>
        </w:tc>
        <w:tc>
          <w:tcPr>
            <w:tcW w:w="1606" w:type="dxa"/>
            <w:shd w:val="clear" w:color="auto" w:fill="auto"/>
            <w:noWrap/>
            <w:vAlign w:val="center"/>
            <w:hideMark/>
          </w:tcPr>
          <w:p w14:paraId="1E5D9150"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256 </w:t>
            </w:r>
          </w:p>
        </w:tc>
        <w:tc>
          <w:tcPr>
            <w:tcW w:w="1606" w:type="dxa"/>
            <w:shd w:val="clear" w:color="auto" w:fill="auto"/>
            <w:noWrap/>
            <w:vAlign w:val="center"/>
            <w:hideMark/>
          </w:tcPr>
          <w:p w14:paraId="069C5959"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1,926,999 </w:t>
            </w:r>
          </w:p>
        </w:tc>
      </w:tr>
      <w:tr w:rsidR="003E5BF5" w:rsidRPr="00293D7B" w14:paraId="54FC194E" w14:textId="77777777" w:rsidTr="0012408F">
        <w:trPr>
          <w:trHeight w:val="340"/>
        </w:trPr>
        <w:tc>
          <w:tcPr>
            <w:tcW w:w="3972" w:type="dxa"/>
            <w:shd w:val="clear" w:color="auto" w:fill="auto"/>
            <w:noWrap/>
            <w:vAlign w:val="center"/>
            <w:hideMark/>
          </w:tcPr>
          <w:p w14:paraId="5437B659" w14:textId="77777777" w:rsidR="003E5BF5" w:rsidRPr="00293D7B" w:rsidRDefault="003E5BF5" w:rsidP="00DE1921">
            <w:pPr>
              <w:rPr>
                <w:rFonts w:ascii="Arial" w:hAnsi="Arial" w:cs="Arial"/>
                <w:sz w:val="24"/>
                <w:szCs w:val="24"/>
              </w:rPr>
            </w:pPr>
            <w:proofErr w:type="spellStart"/>
            <w:r w:rsidRPr="00293D7B">
              <w:rPr>
                <w:rFonts w:ascii="Arial" w:hAnsi="Arial" w:cs="Arial"/>
                <w:sz w:val="24"/>
                <w:szCs w:val="24"/>
              </w:rPr>
              <w:t>MoG</w:t>
            </w:r>
            <w:proofErr w:type="spellEnd"/>
            <w:r w:rsidRPr="00293D7B">
              <w:rPr>
                <w:rFonts w:ascii="Arial" w:hAnsi="Arial" w:cs="Arial"/>
                <w:sz w:val="24"/>
                <w:szCs w:val="24"/>
              </w:rPr>
              <w:t xml:space="preserve"> transfers in</w:t>
            </w:r>
          </w:p>
        </w:tc>
        <w:tc>
          <w:tcPr>
            <w:tcW w:w="1606" w:type="dxa"/>
            <w:shd w:val="clear" w:color="auto" w:fill="auto"/>
            <w:noWrap/>
            <w:vAlign w:val="center"/>
            <w:hideMark/>
          </w:tcPr>
          <w:p w14:paraId="785B53F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2,413,470 </w:t>
            </w:r>
          </w:p>
        </w:tc>
        <w:tc>
          <w:tcPr>
            <w:tcW w:w="1606" w:type="dxa"/>
            <w:shd w:val="clear" w:color="auto" w:fill="auto"/>
            <w:noWrap/>
            <w:vAlign w:val="center"/>
            <w:hideMark/>
          </w:tcPr>
          <w:p w14:paraId="62B015B2"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590,277 </w:t>
            </w:r>
          </w:p>
        </w:tc>
        <w:tc>
          <w:tcPr>
            <w:tcW w:w="1606" w:type="dxa"/>
            <w:shd w:val="clear" w:color="auto" w:fill="auto"/>
            <w:noWrap/>
            <w:vAlign w:val="center"/>
            <w:hideMark/>
          </w:tcPr>
          <w:p w14:paraId="183D4314"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221,512 </w:t>
            </w:r>
          </w:p>
        </w:tc>
        <w:tc>
          <w:tcPr>
            <w:tcW w:w="1606" w:type="dxa"/>
            <w:shd w:val="clear" w:color="auto" w:fill="auto"/>
            <w:noWrap/>
            <w:vAlign w:val="center"/>
            <w:hideMark/>
          </w:tcPr>
          <w:p w14:paraId="014321F3"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323 </w:t>
            </w:r>
          </w:p>
        </w:tc>
        <w:tc>
          <w:tcPr>
            <w:tcW w:w="1606" w:type="dxa"/>
            <w:shd w:val="clear" w:color="auto" w:fill="auto"/>
            <w:noWrap/>
            <w:vAlign w:val="center"/>
            <w:hideMark/>
          </w:tcPr>
          <w:p w14:paraId="077A05E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2,141 </w:t>
            </w:r>
          </w:p>
        </w:tc>
        <w:tc>
          <w:tcPr>
            <w:tcW w:w="1606" w:type="dxa"/>
            <w:shd w:val="clear" w:color="auto" w:fill="auto"/>
            <w:noWrap/>
            <w:vAlign w:val="center"/>
            <w:hideMark/>
          </w:tcPr>
          <w:p w14:paraId="6F4213BC"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63,471,156 </w:t>
            </w:r>
          </w:p>
        </w:tc>
      </w:tr>
      <w:tr w:rsidR="003E5BF5" w:rsidRPr="00293D7B" w14:paraId="693E1CA3" w14:textId="77777777" w:rsidTr="0012408F">
        <w:trPr>
          <w:trHeight w:val="340"/>
        </w:trPr>
        <w:tc>
          <w:tcPr>
            <w:tcW w:w="3972" w:type="dxa"/>
            <w:shd w:val="clear" w:color="auto" w:fill="auto"/>
            <w:noWrap/>
            <w:vAlign w:val="center"/>
            <w:hideMark/>
          </w:tcPr>
          <w:p w14:paraId="6663AD42" w14:textId="77777777" w:rsidR="003E5BF5" w:rsidRPr="00293D7B" w:rsidRDefault="003E5BF5" w:rsidP="00DE1921">
            <w:pPr>
              <w:rPr>
                <w:rFonts w:ascii="Arial" w:hAnsi="Arial" w:cs="Arial"/>
                <w:sz w:val="24"/>
                <w:szCs w:val="24"/>
              </w:rPr>
            </w:pPr>
            <w:r w:rsidRPr="00293D7B">
              <w:rPr>
                <w:rFonts w:ascii="Arial" w:hAnsi="Arial" w:cs="Arial"/>
                <w:sz w:val="24"/>
                <w:szCs w:val="24"/>
              </w:rPr>
              <w:t>Assets received free of charge</w:t>
            </w:r>
          </w:p>
        </w:tc>
        <w:tc>
          <w:tcPr>
            <w:tcW w:w="1606" w:type="dxa"/>
            <w:shd w:val="clear" w:color="auto" w:fill="auto"/>
            <w:noWrap/>
            <w:vAlign w:val="center"/>
            <w:hideMark/>
          </w:tcPr>
          <w:p w14:paraId="18FABAB5"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1,017 </w:t>
            </w:r>
          </w:p>
        </w:tc>
        <w:tc>
          <w:tcPr>
            <w:tcW w:w="1606" w:type="dxa"/>
            <w:shd w:val="clear" w:color="auto" w:fill="auto"/>
            <w:noWrap/>
            <w:vAlign w:val="center"/>
            <w:hideMark/>
          </w:tcPr>
          <w:p w14:paraId="65D983A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649C6599"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5EF286CE"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192A8014"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0E8040AE"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10,956 </w:t>
            </w:r>
          </w:p>
        </w:tc>
      </w:tr>
      <w:tr w:rsidR="003E5BF5" w:rsidRPr="00293D7B" w14:paraId="793A3BB0" w14:textId="77777777" w:rsidTr="0012408F">
        <w:trPr>
          <w:trHeight w:val="340"/>
        </w:trPr>
        <w:tc>
          <w:tcPr>
            <w:tcW w:w="3972" w:type="dxa"/>
            <w:shd w:val="clear" w:color="auto" w:fill="auto"/>
            <w:noWrap/>
            <w:vAlign w:val="center"/>
            <w:hideMark/>
          </w:tcPr>
          <w:p w14:paraId="0EDD99B8" w14:textId="77777777" w:rsidR="003E5BF5" w:rsidRPr="00293D7B" w:rsidRDefault="003E5BF5" w:rsidP="00DE1921">
            <w:pPr>
              <w:rPr>
                <w:rFonts w:ascii="Arial" w:hAnsi="Arial" w:cs="Arial"/>
                <w:sz w:val="24"/>
                <w:szCs w:val="24"/>
              </w:rPr>
            </w:pPr>
            <w:r w:rsidRPr="00293D7B">
              <w:rPr>
                <w:rFonts w:ascii="Arial" w:hAnsi="Arial" w:cs="Arial"/>
                <w:sz w:val="24"/>
                <w:szCs w:val="24"/>
              </w:rPr>
              <w:t>Assets provided free of charge</w:t>
            </w:r>
          </w:p>
        </w:tc>
        <w:tc>
          <w:tcPr>
            <w:tcW w:w="1606" w:type="dxa"/>
            <w:shd w:val="clear" w:color="auto" w:fill="auto"/>
            <w:noWrap/>
            <w:vAlign w:val="center"/>
            <w:hideMark/>
          </w:tcPr>
          <w:p w14:paraId="665EEF0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(224)</w:t>
            </w:r>
          </w:p>
        </w:tc>
        <w:tc>
          <w:tcPr>
            <w:tcW w:w="1606" w:type="dxa"/>
            <w:shd w:val="clear" w:color="auto" w:fill="auto"/>
            <w:noWrap/>
            <w:vAlign w:val="center"/>
            <w:hideMark/>
          </w:tcPr>
          <w:p w14:paraId="6304A872"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44BF138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(174)</w:t>
            </w:r>
          </w:p>
        </w:tc>
        <w:tc>
          <w:tcPr>
            <w:tcW w:w="1606" w:type="dxa"/>
            <w:shd w:val="clear" w:color="auto" w:fill="auto"/>
            <w:noWrap/>
            <w:vAlign w:val="center"/>
            <w:hideMark/>
          </w:tcPr>
          <w:p w14:paraId="715BF98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70809CB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1107F47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(10,375)</w:t>
            </w:r>
          </w:p>
        </w:tc>
      </w:tr>
      <w:tr w:rsidR="003E5BF5" w:rsidRPr="00293D7B" w14:paraId="18CE3A6C" w14:textId="77777777" w:rsidTr="0012408F">
        <w:trPr>
          <w:trHeight w:val="340"/>
        </w:trPr>
        <w:tc>
          <w:tcPr>
            <w:tcW w:w="3972" w:type="dxa"/>
            <w:shd w:val="clear" w:color="auto" w:fill="auto"/>
            <w:noWrap/>
            <w:vAlign w:val="center"/>
            <w:hideMark/>
          </w:tcPr>
          <w:p w14:paraId="4A10D38F" w14:textId="77777777" w:rsidR="003E5BF5" w:rsidRPr="00293D7B" w:rsidRDefault="003E5BF5" w:rsidP="00DE1921">
            <w:pPr>
              <w:rPr>
                <w:rFonts w:ascii="Arial" w:hAnsi="Arial" w:cs="Arial"/>
                <w:sz w:val="24"/>
                <w:szCs w:val="24"/>
              </w:rPr>
            </w:pPr>
            <w:r w:rsidRPr="00293D7B">
              <w:rPr>
                <w:rFonts w:ascii="Arial" w:hAnsi="Arial" w:cs="Arial"/>
                <w:sz w:val="24"/>
                <w:szCs w:val="24"/>
              </w:rPr>
              <w:t>Additions</w:t>
            </w:r>
          </w:p>
        </w:tc>
        <w:tc>
          <w:tcPr>
            <w:tcW w:w="1606" w:type="dxa"/>
            <w:shd w:val="clear" w:color="auto" w:fill="auto"/>
            <w:noWrap/>
            <w:vAlign w:val="center"/>
            <w:hideMark/>
          </w:tcPr>
          <w:p w14:paraId="0291024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10,343 </w:t>
            </w:r>
          </w:p>
        </w:tc>
        <w:tc>
          <w:tcPr>
            <w:tcW w:w="1606" w:type="dxa"/>
            <w:shd w:val="clear" w:color="auto" w:fill="auto"/>
            <w:noWrap/>
            <w:vAlign w:val="center"/>
            <w:hideMark/>
          </w:tcPr>
          <w:p w14:paraId="1010EB6F"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70,046 </w:t>
            </w:r>
          </w:p>
        </w:tc>
        <w:tc>
          <w:tcPr>
            <w:tcW w:w="1606" w:type="dxa"/>
            <w:shd w:val="clear" w:color="auto" w:fill="auto"/>
            <w:noWrap/>
            <w:vAlign w:val="center"/>
            <w:hideMark/>
          </w:tcPr>
          <w:p w14:paraId="7424B70C"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79,127 </w:t>
            </w:r>
          </w:p>
        </w:tc>
        <w:tc>
          <w:tcPr>
            <w:tcW w:w="1606" w:type="dxa"/>
            <w:shd w:val="clear" w:color="auto" w:fill="auto"/>
            <w:noWrap/>
            <w:vAlign w:val="center"/>
            <w:hideMark/>
          </w:tcPr>
          <w:p w14:paraId="3F8F4145"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16,230 </w:t>
            </w:r>
          </w:p>
        </w:tc>
        <w:tc>
          <w:tcPr>
            <w:tcW w:w="1606" w:type="dxa"/>
            <w:shd w:val="clear" w:color="auto" w:fill="auto"/>
            <w:noWrap/>
            <w:vAlign w:val="center"/>
            <w:hideMark/>
          </w:tcPr>
          <w:p w14:paraId="75C7BBEB"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0A812DFF"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204,682 </w:t>
            </w:r>
          </w:p>
        </w:tc>
      </w:tr>
      <w:tr w:rsidR="003E5BF5" w:rsidRPr="00293D7B" w14:paraId="5E6330FC" w14:textId="77777777" w:rsidTr="0012408F">
        <w:trPr>
          <w:trHeight w:val="340"/>
        </w:trPr>
        <w:tc>
          <w:tcPr>
            <w:tcW w:w="3972" w:type="dxa"/>
            <w:shd w:val="clear" w:color="auto" w:fill="auto"/>
            <w:noWrap/>
            <w:vAlign w:val="center"/>
            <w:hideMark/>
          </w:tcPr>
          <w:p w14:paraId="3AA41036" w14:textId="77777777" w:rsidR="003E5BF5" w:rsidRPr="00293D7B" w:rsidRDefault="003E5BF5" w:rsidP="00DE1921">
            <w:pPr>
              <w:rPr>
                <w:rFonts w:ascii="Arial" w:hAnsi="Arial" w:cs="Arial"/>
                <w:sz w:val="24"/>
                <w:szCs w:val="24"/>
              </w:rPr>
            </w:pPr>
            <w:r w:rsidRPr="00293D7B">
              <w:rPr>
                <w:rFonts w:ascii="Arial" w:hAnsi="Arial" w:cs="Arial"/>
                <w:sz w:val="24"/>
                <w:szCs w:val="24"/>
              </w:rPr>
              <w:t>Disposals</w:t>
            </w:r>
          </w:p>
        </w:tc>
        <w:tc>
          <w:tcPr>
            <w:tcW w:w="1606" w:type="dxa"/>
            <w:shd w:val="clear" w:color="auto" w:fill="auto"/>
            <w:noWrap/>
            <w:vAlign w:val="center"/>
            <w:hideMark/>
          </w:tcPr>
          <w:p w14:paraId="430EAC54"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(59)</w:t>
            </w:r>
          </w:p>
        </w:tc>
        <w:tc>
          <w:tcPr>
            <w:tcW w:w="1606" w:type="dxa"/>
            <w:shd w:val="clear" w:color="auto" w:fill="auto"/>
            <w:noWrap/>
            <w:vAlign w:val="center"/>
            <w:hideMark/>
          </w:tcPr>
          <w:p w14:paraId="24F5DBA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06F82D93"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(3,639)</w:t>
            </w:r>
          </w:p>
        </w:tc>
        <w:tc>
          <w:tcPr>
            <w:tcW w:w="1606" w:type="dxa"/>
            <w:shd w:val="clear" w:color="auto" w:fill="auto"/>
            <w:noWrap/>
            <w:vAlign w:val="center"/>
            <w:hideMark/>
          </w:tcPr>
          <w:p w14:paraId="79F911B4"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(488)</w:t>
            </w:r>
          </w:p>
        </w:tc>
        <w:tc>
          <w:tcPr>
            <w:tcW w:w="1606" w:type="dxa"/>
            <w:shd w:val="clear" w:color="auto" w:fill="auto"/>
            <w:noWrap/>
            <w:vAlign w:val="center"/>
            <w:hideMark/>
          </w:tcPr>
          <w:p w14:paraId="63291429"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39F746C8"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(45,252)</w:t>
            </w:r>
          </w:p>
        </w:tc>
      </w:tr>
      <w:tr w:rsidR="003E5BF5" w:rsidRPr="00293D7B" w14:paraId="1131160A" w14:textId="77777777" w:rsidTr="0012408F">
        <w:trPr>
          <w:trHeight w:val="340"/>
        </w:trPr>
        <w:tc>
          <w:tcPr>
            <w:tcW w:w="3972" w:type="dxa"/>
            <w:shd w:val="clear" w:color="auto" w:fill="auto"/>
            <w:noWrap/>
            <w:vAlign w:val="center"/>
            <w:hideMark/>
          </w:tcPr>
          <w:p w14:paraId="1E5B1495" w14:textId="77777777" w:rsidR="003E5BF5" w:rsidRPr="00293D7B" w:rsidRDefault="003E5BF5" w:rsidP="00DE1921">
            <w:pPr>
              <w:rPr>
                <w:rFonts w:ascii="Arial" w:hAnsi="Arial" w:cs="Arial"/>
                <w:sz w:val="24"/>
                <w:szCs w:val="24"/>
              </w:rPr>
            </w:pPr>
            <w:r w:rsidRPr="00293D7B">
              <w:rPr>
                <w:rFonts w:ascii="Arial" w:hAnsi="Arial" w:cs="Arial"/>
                <w:sz w:val="24"/>
                <w:szCs w:val="24"/>
              </w:rPr>
              <w:t>Depreciation</w:t>
            </w:r>
            <w:r w:rsidRPr="00293D7B">
              <w:rPr>
                <w:rFonts w:ascii="Arial" w:hAnsi="Arial" w:cs="Arial"/>
                <w:sz w:val="24"/>
                <w:szCs w:val="24"/>
                <w:lang w:eastAsia="en-AU"/>
              </w:rPr>
              <w:t xml:space="preserve"> expense</w:t>
            </w:r>
          </w:p>
        </w:tc>
        <w:tc>
          <w:tcPr>
            <w:tcW w:w="1606" w:type="dxa"/>
            <w:shd w:val="clear" w:color="auto" w:fill="auto"/>
            <w:noWrap/>
            <w:vAlign w:val="center"/>
            <w:hideMark/>
          </w:tcPr>
          <w:p w14:paraId="27315439"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(153,170)</w:t>
            </w:r>
          </w:p>
        </w:tc>
        <w:tc>
          <w:tcPr>
            <w:tcW w:w="1606" w:type="dxa"/>
            <w:shd w:val="clear" w:color="auto" w:fill="auto"/>
            <w:noWrap/>
            <w:vAlign w:val="center"/>
            <w:hideMark/>
          </w:tcPr>
          <w:p w14:paraId="2A78DC1C"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(33,902)</w:t>
            </w:r>
          </w:p>
        </w:tc>
        <w:tc>
          <w:tcPr>
            <w:tcW w:w="1606" w:type="dxa"/>
            <w:shd w:val="clear" w:color="auto" w:fill="auto"/>
            <w:noWrap/>
            <w:vAlign w:val="center"/>
            <w:hideMark/>
          </w:tcPr>
          <w:p w14:paraId="79A0E9FF"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(47,394)</w:t>
            </w:r>
          </w:p>
        </w:tc>
        <w:tc>
          <w:tcPr>
            <w:tcW w:w="1606" w:type="dxa"/>
            <w:shd w:val="clear" w:color="auto" w:fill="auto"/>
            <w:noWrap/>
            <w:vAlign w:val="center"/>
            <w:hideMark/>
          </w:tcPr>
          <w:p w14:paraId="2D3DD4F2"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(3,327)</w:t>
            </w:r>
          </w:p>
        </w:tc>
        <w:tc>
          <w:tcPr>
            <w:tcW w:w="1606" w:type="dxa"/>
            <w:shd w:val="clear" w:color="auto" w:fill="auto"/>
            <w:noWrap/>
            <w:vAlign w:val="center"/>
            <w:hideMark/>
          </w:tcPr>
          <w:p w14:paraId="381F24C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(24)</w:t>
            </w:r>
          </w:p>
        </w:tc>
        <w:tc>
          <w:tcPr>
            <w:tcW w:w="1606" w:type="dxa"/>
            <w:shd w:val="clear" w:color="auto" w:fill="auto"/>
            <w:noWrap/>
            <w:vAlign w:val="center"/>
            <w:hideMark/>
          </w:tcPr>
          <w:p w14:paraId="1DD1B59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(994,736)</w:t>
            </w:r>
          </w:p>
        </w:tc>
      </w:tr>
      <w:tr w:rsidR="003E5BF5" w:rsidRPr="00293D7B" w14:paraId="16CF06BF" w14:textId="77777777" w:rsidTr="0012408F">
        <w:trPr>
          <w:trHeight w:val="340"/>
        </w:trPr>
        <w:tc>
          <w:tcPr>
            <w:tcW w:w="3972" w:type="dxa"/>
            <w:shd w:val="clear" w:color="auto" w:fill="auto"/>
            <w:noWrap/>
            <w:vAlign w:val="center"/>
            <w:hideMark/>
          </w:tcPr>
          <w:p w14:paraId="2327347B" w14:textId="77777777" w:rsidR="003E5BF5" w:rsidRPr="00293D7B" w:rsidRDefault="003E5BF5" w:rsidP="00DE1921">
            <w:pPr>
              <w:rPr>
                <w:rFonts w:ascii="Arial" w:hAnsi="Arial" w:cs="Arial"/>
                <w:sz w:val="24"/>
                <w:szCs w:val="24"/>
              </w:rPr>
            </w:pPr>
            <w:r w:rsidRPr="00293D7B">
              <w:rPr>
                <w:rFonts w:ascii="Arial" w:hAnsi="Arial" w:cs="Arial"/>
                <w:sz w:val="24"/>
                <w:szCs w:val="24"/>
              </w:rPr>
              <w:t>Assets provided as contributed capital</w:t>
            </w:r>
          </w:p>
        </w:tc>
        <w:tc>
          <w:tcPr>
            <w:tcW w:w="1606" w:type="dxa"/>
            <w:shd w:val="clear" w:color="auto" w:fill="auto"/>
            <w:noWrap/>
            <w:vAlign w:val="center"/>
            <w:hideMark/>
          </w:tcPr>
          <w:p w14:paraId="32152B0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(223)</w:t>
            </w:r>
          </w:p>
        </w:tc>
        <w:tc>
          <w:tcPr>
            <w:tcW w:w="1606" w:type="dxa"/>
            <w:shd w:val="clear" w:color="auto" w:fill="auto"/>
            <w:noWrap/>
            <w:vAlign w:val="center"/>
            <w:hideMark/>
          </w:tcPr>
          <w:p w14:paraId="712064EF"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(350,395)</w:t>
            </w:r>
          </w:p>
        </w:tc>
        <w:tc>
          <w:tcPr>
            <w:tcW w:w="1606" w:type="dxa"/>
            <w:shd w:val="clear" w:color="auto" w:fill="auto"/>
            <w:noWrap/>
            <w:vAlign w:val="center"/>
            <w:hideMark/>
          </w:tcPr>
          <w:p w14:paraId="02CD2A4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13DB863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67B99E9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5705DBD3"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(351,252)</w:t>
            </w:r>
          </w:p>
        </w:tc>
      </w:tr>
      <w:tr w:rsidR="003E5BF5" w:rsidRPr="00293D7B" w14:paraId="610A20E4" w14:textId="77777777" w:rsidTr="0012408F">
        <w:trPr>
          <w:trHeight w:val="340"/>
        </w:trPr>
        <w:tc>
          <w:tcPr>
            <w:tcW w:w="3972" w:type="dxa"/>
            <w:shd w:val="clear" w:color="auto" w:fill="auto"/>
            <w:noWrap/>
            <w:vAlign w:val="center"/>
            <w:hideMark/>
          </w:tcPr>
          <w:p w14:paraId="1F427FBE" w14:textId="77777777" w:rsidR="003E5BF5" w:rsidRPr="00293D7B" w:rsidRDefault="003E5BF5" w:rsidP="00DE1921">
            <w:pPr>
              <w:rPr>
                <w:rFonts w:ascii="Arial" w:hAnsi="Arial" w:cs="Arial"/>
                <w:sz w:val="24"/>
                <w:szCs w:val="24"/>
              </w:rPr>
            </w:pPr>
            <w:r w:rsidRPr="00293D7B">
              <w:rPr>
                <w:rFonts w:ascii="Arial" w:hAnsi="Arial" w:cs="Arial"/>
                <w:sz w:val="24"/>
                <w:szCs w:val="24"/>
                <w:lang w:eastAsia="en-AU"/>
              </w:rPr>
              <w:t>Transfers to assets classified as held for sale</w:t>
            </w:r>
          </w:p>
        </w:tc>
        <w:tc>
          <w:tcPr>
            <w:tcW w:w="1606" w:type="dxa"/>
            <w:shd w:val="clear" w:color="auto" w:fill="auto"/>
            <w:noWrap/>
            <w:vAlign w:val="center"/>
            <w:hideMark/>
          </w:tcPr>
          <w:p w14:paraId="552B51E5"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79F1AF08"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47D4B4E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462BCFAA"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19CA81E1"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08E55568"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(120,494)</w:t>
            </w:r>
          </w:p>
        </w:tc>
      </w:tr>
      <w:tr w:rsidR="003E5BF5" w:rsidRPr="00293D7B" w14:paraId="4E95126E" w14:textId="77777777" w:rsidTr="0012408F">
        <w:trPr>
          <w:trHeight w:val="340"/>
        </w:trPr>
        <w:tc>
          <w:tcPr>
            <w:tcW w:w="3972" w:type="dxa"/>
            <w:shd w:val="clear" w:color="auto" w:fill="auto"/>
            <w:noWrap/>
            <w:vAlign w:val="center"/>
            <w:hideMark/>
          </w:tcPr>
          <w:p w14:paraId="5C9CA7D0" w14:textId="77777777" w:rsidR="003E5BF5" w:rsidRPr="00293D7B" w:rsidRDefault="003E5BF5" w:rsidP="00DE1921">
            <w:pPr>
              <w:rPr>
                <w:rFonts w:ascii="Arial" w:hAnsi="Arial" w:cs="Arial"/>
                <w:sz w:val="24"/>
                <w:szCs w:val="24"/>
              </w:rPr>
            </w:pPr>
            <w:r w:rsidRPr="00293D7B">
              <w:rPr>
                <w:rFonts w:ascii="Arial" w:hAnsi="Arial" w:cs="Arial"/>
                <w:sz w:val="24"/>
                <w:szCs w:val="24"/>
              </w:rPr>
              <w:t>Net transfers (to)/from government entities</w:t>
            </w:r>
          </w:p>
        </w:tc>
        <w:tc>
          <w:tcPr>
            <w:tcW w:w="1606" w:type="dxa"/>
            <w:shd w:val="clear" w:color="auto" w:fill="auto"/>
            <w:noWrap/>
            <w:vAlign w:val="center"/>
            <w:hideMark/>
          </w:tcPr>
          <w:p w14:paraId="00DEC05E"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7C86758A"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4D583375"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2,794 </w:t>
            </w:r>
          </w:p>
        </w:tc>
        <w:tc>
          <w:tcPr>
            <w:tcW w:w="1606" w:type="dxa"/>
            <w:shd w:val="clear" w:color="auto" w:fill="auto"/>
            <w:noWrap/>
            <w:vAlign w:val="center"/>
            <w:hideMark/>
          </w:tcPr>
          <w:p w14:paraId="4BBAEC5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5D09A177"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55844698"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2,794 </w:t>
            </w:r>
          </w:p>
        </w:tc>
      </w:tr>
      <w:tr w:rsidR="003E5BF5" w:rsidRPr="00293D7B" w14:paraId="7AAA2120" w14:textId="77777777" w:rsidTr="0012408F">
        <w:trPr>
          <w:trHeight w:val="340"/>
        </w:trPr>
        <w:tc>
          <w:tcPr>
            <w:tcW w:w="3972" w:type="dxa"/>
            <w:shd w:val="clear" w:color="auto" w:fill="auto"/>
            <w:noWrap/>
            <w:vAlign w:val="center"/>
            <w:hideMark/>
          </w:tcPr>
          <w:p w14:paraId="47F0DE4D" w14:textId="77777777" w:rsidR="003E5BF5" w:rsidRPr="00293D7B" w:rsidRDefault="003E5BF5" w:rsidP="00DE1921">
            <w:pPr>
              <w:rPr>
                <w:rFonts w:ascii="Arial" w:hAnsi="Arial" w:cs="Arial"/>
                <w:sz w:val="24"/>
                <w:szCs w:val="24"/>
              </w:rPr>
            </w:pPr>
            <w:r w:rsidRPr="00293D7B">
              <w:rPr>
                <w:rFonts w:ascii="Arial" w:hAnsi="Arial" w:cs="Arial"/>
                <w:sz w:val="24"/>
                <w:szCs w:val="24"/>
              </w:rPr>
              <w:t>Net revaluation increments/decrements</w:t>
            </w:r>
          </w:p>
        </w:tc>
        <w:tc>
          <w:tcPr>
            <w:tcW w:w="1606" w:type="dxa"/>
            <w:shd w:val="clear" w:color="auto" w:fill="auto"/>
            <w:noWrap/>
            <w:vAlign w:val="center"/>
            <w:hideMark/>
          </w:tcPr>
          <w:p w14:paraId="7E8D0FBA"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158,217 </w:t>
            </w:r>
          </w:p>
        </w:tc>
        <w:tc>
          <w:tcPr>
            <w:tcW w:w="1606" w:type="dxa"/>
            <w:shd w:val="clear" w:color="auto" w:fill="auto"/>
            <w:noWrap/>
            <w:vAlign w:val="center"/>
            <w:hideMark/>
          </w:tcPr>
          <w:p w14:paraId="04A15806"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67,659 </w:t>
            </w:r>
          </w:p>
        </w:tc>
        <w:tc>
          <w:tcPr>
            <w:tcW w:w="1606" w:type="dxa"/>
            <w:shd w:val="clear" w:color="auto" w:fill="auto"/>
            <w:noWrap/>
            <w:vAlign w:val="center"/>
            <w:hideMark/>
          </w:tcPr>
          <w:p w14:paraId="3CBA7EA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(2,656)</w:t>
            </w:r>
          </w:p>
        </w:tc>
        <w:tc>
          <w:tcPr>
            <w:tcW w:w="1606" w:type="dxa"/>
            <w:shd w:val="clear" w:color="auto" w:fill="auto"/>
            <w:noWrap/>
            <w:vAlign w:val="center"/>
            <w:hideMark/>
          </w:tcPr>
          <w:p w14:paraId="59988C8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4C54E18D"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236 </w:t>
            </w:r>
          </w:p>
        </w:tc>
        <w:tc>
          <w:tcPr>
            <w:tcW w:w="1606" w:type="dxa"/>
            <w:shd w:val="clear" w:color="auto" w:fill="auto"/>
            <w:noWrap/>
            <w:vAlign w:val="center"/>
            <w:hideMark/>
          </w:tcPr>
          <w:p w14:paraId="6F5DC060"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11,064,114 </w:t>
            </w:r>
          </w:p>
        </w:tc>
      </w:tr>
      <w:tr w:rsidR="003E5BF5" w:rsidRPr="00293D7B" w14:paraId="53B30D3E" w14:textId="77777777" w:rsidTr="0012408F">
        <w:trPr>
          <w:trHeight w:val="340"/>
        </w:trPr>
        <w:tc>
          <w:tcPr>
            <w:tcW w:w="3972" w:type="dxa"/>
            <w:shd w:val="clear" w:color="auto" w:fill="auto"/>
            <w:noWrap/>
            <w:vAlign w:val="center"/>
            <w:hideMark/>
          </w:tcPr>
          <w:p w14:paraId="6BC5CB5F" w14:textId="77777777" w:rsidR="003E5BF5" w:rsidRPr="00293D7B" w:rsidRDefault="003E5BF5" w:rsidP="00DE1921">
            <w:pPr>
              <w:rPr>
                <w:rFonts w:ascii="Arial" w:hAnsi="Arial" w:cs="Arial"/>
                <w:sz w:val="24"/>
                <w:szCs w:val="24"/>
              </w:rPr>
            </w:pPr>
            <w:r w:rsidRPr="00293D7B">
              <w:rPr>
                <w:rFonts w:ascii="Arial" w:hAnsi="Arial" w:cs="Arial"/>
                <w:sz w:val="24"/>
                <w:szCs w:val="24"/>
              </w:rPr>
              <w:lastRenderedPageBreak/>
              <w:t>Transfer between classes</w:t>
            </w:r>
          </w:p>
        </w:tc>
        <w:tc>
          <w:tcPr>
            <w:tcW w:w="1606" w:type="dxa"/>
            <w:shd w:val="clear" w:color="auto" w:fill="auto"/>
            <w:noWrap/>
            <w:vAlign w:val="center"/>
            <w:hideMark/>
          </w:tcPr>
          <w:p w14:paraId="1E17FA5E"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(1,246,249)</w:t>
            </w:r>
          </w:p>
        </w:tc>
        <w:tc>
          <w:tcPr>
            <w:tcW w:w="1606" w:type="dxa"/>
            <w:shd w:val="clear" w:color="auto" w:fill="auto"/>
            <w:noWrap/>
            <w:vAlign w:val="center"/>
            <w:hideMark/>
          </w:tcPr>
          <w:p w14:paraId="18ECAF8F"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(2,627)</w:t>
            </w:r>
          </w:p>
        </w:tc>
        <w:tc>
          <w:tcPr>
            <w:tcW w:w="1606" w:type="dxa"/>
            <w:shd w:val="clear" w:color="auto" w:fill="auto"/>
            <w:noWrap/>
            <w:vAlign w:val="center"/>
            <w:hideMark/>
          </w:tcPr>
          <w:p w14:paraId="4B17B865"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6809E46A"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5E8C9BA9"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  -</w:t>
            </w:r>
          </w:p>
        </w:tc>
        <w:tc>
          <w:tcPr>
            <w:tcW w:w="1606" w:type="dxa"/>
            <w:shd w:val="clear" w:color="auto" w:fill="auto"/>
            <w:noWrap/>
            <w:vAlign w:val="center"/>
            <w:hideMark/>
          </w:tcPr>
          <w:p w14:paraId="533C847A" w14:textId="77777777" w:rsidR="003E5BF5" w:rsidRPr="00293D7B" w:rsidRDefault="003E5BF5" w:rsidP="00DE1921">
            <w:pPr>
              <w:jc w:val="right"/>
              <w:rPr>
                <w:rFonts w:ascii="Arial" w:hAnsi="Arial" w:cs="Arial"/>
                <w:sz w:val="24"/>
                <w:szCs w:val="24"/>
              </w:rPr>
            </w:pPr>
            <w:r w:rsidRPr="00293D7B">
              <w:rPr>
                <w:rFonts w:ascii="Arial" w:hAnsi="Arial" w:cs="Arial"/>
                <w:sz w:val="24"/>
                <w:szCs w:val="24"/>
              </w:rPr>
              <w:t xml:space="preserve">1,350,761 </w:t>
            </w:r>
          </w:p>
        </w:tc>
      </w:tr>
      <w:tr w:rsidR="003E5BF5" w:rsidRPr="00293D7B" w14:paraId="04707A46" w14:textId="77777777" w:rsidTr="00CA3D9C">
        <w:trPr>
          <w:trHeight w:val="340"/>
        </w:trPr>
        <w:tc>
          <w:tcPr>
            <w:tcW w:w="3972" w:type="dxa"/>
            <w:tcBorders>
              <w:bottom w:val="nil"/>
            </w:tcBorders>
            <w:shd w:val="clear" w:color="auto" w:fill="auto"/>
            <w:noWrap/>
            <w:vAlign w:val="center"/>
            <w:hideMark/>
          </w:tcPr>
          <w:p w14:paraId="170FE3F5" w14:textId="77777777" w:rsidR="003E5BF5" w:rsidRPr="00293D7B" w:rsidRDefault="003E5BF5" w:rsidP="00DE1921">
            <w:pPr>
              <w:rPr>
                <w:rFonts w:ascii="Arial" w:hAnsi="Arial" w:cs="Arial"/>
                <w:b/>
                <w:sz w:val="24"/>
                <w:szCs w:val="24"/>
              </w:rPr>
            </w:pPr>
            <w:r w:rsidRPr="00293D7B">
              <w:rPr>
                <w:rFonts w:ascii="Arial" w:hAnsi="Arial" w:cs="Arial"/>
                <w:b/>
                <w:sz w:val="24"/>
                <w:szCs w:val="24"/>
              </w:rPr>
              <w:t>Closing balance</w:t>
            </w:r>
          </w:p>
        </w:tc>
        <w:tc>
          <w:tcPr>
            <w:tcW w:w="1606" w:type="dxa"/>
            <w:tcBorders>
              <w:bottom w:val="nil"/>
            </w:tcBorders>
            <w:shd w:val="clear" w:color="auto" w:fill="auto"/>
            <w:noWrap/>
            <w:vAlign w:val="center"/>
            <w:hideMark/>
          </w:tcPr>
          <w:p w14:paraId="57A8FF13"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2,524,912 </w:t>
            </w:r>
          </w:p>
        </w:tc>
        <w:tc>
          <w:tcPr>
            <w:tcW w:w="1606" w:type="dxa"/>
            <w:tcBorders>
              <w:bottom w:val="nil"/>
            </w:tcBorders>
            <w:shd w:val="clear" w:color="auto" w:fill="auto"/>
            <w:noWrap/>
            <w:vAlign w:val="center"/>
            <w:hideMark/>
          </w:tcPr>
          <w:p w14:paraId="094E6A46"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593,091 </w:t>
            </w:r>
          </w:p>
        </w:tc>
        <w:tc>
          <w:tcPr>
            <w:tcW w:w="1606" w:type="dxa"/>
            <w:tcBorders>
              <w:bottom w:val="nil"/>
            </w:tcBorders>
            <w:shd w:val="clear" w:color="auto" w:fill="auto"/>
            <w:noWrap/>
            <w:vAlign w:val="center"/>
            <w:hideMark/>
          </w:tcPr>
          <w:p w14:paraId="204FC843"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256,679 </w:t>
            </w:r>
          </w:p>
        </w:tc>
        <w:tc>
          <w:tcPr>
            <w:tcW w:w="1606" w:type="dxa"/>
            <w:tcBorders>
              <w:bottom w:val="nil"/>
            </w:tcBorders>
            <w:shd w:val="clear" w:color="auto" w:fill="auto"/>
            <w:noWrap/>
            <w:vAlign w:val="center"/>
            <w:hideMark/>
          </w:tcPr>
          <w:p w14:paraId="2FC27B19"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28,689 </w:t>
            </w:r>
          </w:p>
        </w:tc>
        <w:tc>
          <w:tcPr>
            <w:tcW w:w="1606" w:type="dxa"/>
            <w:tcBorders>
              <w:bottom w:val="nil"/>
            </w:tcBorders>
            <w:shd w:val="clear" w:color="auto" w:fill="auto"/>
            <w:noWrap/>
            <w:vAlign w:val="center"/>
            <w:hideMark/>
          </w:tcPr>
          <w:p w14:paraId="52F92FDE"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2,609 </w:t>
            </w:r>
          </w:p>
        </w:tc>
        <w:tc>
          <w:tcPr>
            <w:tcW w:w="1606" w:type="dxa"/>
            <w:tcBorders>
              <w:bottom w:val="nil"/>
            </w:tcBorders>
            <w:shd w:val="clear" w:color="auto" w:fill="auto"/>
            <w:noWrap/>
            <w:vAlign w:val="center"/>
            <w:hideMark/>
          </w:tcPr>
          <w:p w14:paraId="3CAE43EC" w14:textId="77777777" w:rsidR="003E5BF5" w:rsidRPr="00293D7B" w:rsidRDefault="003E5BF5" w:rsidP="00DE1921">
            <w:pPr>
              <w:jc w:val="right"/>
              <w:rPr>
                <w:rFonts w:ascii="Arial" w:hAnsi="Arial" w:cs="Arial"/>
                <w:b/>
                <w:sz w:val="24"/>
                <w:szCs w:val="24"/>
              </w:rPr>
            </w:pPr>
            <w:r w:rsidRPr="00293D7B">
              <w:rPr>
                <w:rFonts w:ascii="Arial" w:hAnsi="Arial" w:cs="Arial"/>
                <w:b/>
                <w:sz w:val="24"/>
                <w:szCs w:val="24"/>
              </w:rPr>
              <w:t xml:space="preserve">76,509,352 </w:t>
            </w:r>
          </w:p>
        </w:tc>
      </w:tr>
    </w:tbl>
    <w:p w14:paraId="53AC181B" w14:textId="77777777" w:rsidR="00AB5C47" w:rsidRPr="00293D7B" w:rsidRDefault="00AB5C47" w:rsidP="00AB5C47">
      <w:pPr>
        <w:pStyle w:val="Note"/>
        <w:rPr>
          <w:rFonts w:ascii="Arial" w:hAnsi="Arial" w:cs="Arial"/>
          <w:sz w:val="24"/>
          <w:szCs w:val="24"/>
        </w:rPr>
      </w:pPr>
      <w:r w:rsidRPr="00293D7B">
        <w:rPr>
          <w:rFonts w:ascii="Arial" w:hAnsi="Arial" w:cs="Arial"/>
          <w:sz w:val="24"/>
          <w:szCs w:val="24"/>
        </w:rPr>
        <w:t>Note:</w:t>
      </w:r>
    </w:p>
    <w:p w14:paraId="0C259B1B" w14:textId="77777777" w:rsidR="00AB5C47" w:rsidRPr="00293D7B" w:rsidRDefault="00AB5C47" w:rsidP="00610F5F">
      <w:pPr>
        <w:pStyle w:val="aaaNotenumberiiiiii"/>
        <w:numPr>
          <w:ilvl w:val="0"/>
          <w:numId w:val="123"/>
        </w:numPr>
      </w:pPr>
      <w:r w:rsidRPr="00293D7B">
        <w:t>This balance represents the initial recognition of right-of-use assets recorded on the balance sheet on 1 July 2019 relating to operating leases. Refer to Note 9.6.5.3 for further details.</w:t>
      </w:r>
    </w:p>
    <w:p w14:paraId="38EFF352" w14:textId="77777777" w:rsidR="003E5BF5" w:rsidRDefault="003E5BF5">
      <w:r>
        <w:br w:type="page"/>
      </w:r>
    </w:p>
    <w:p w14:paraId="685664A2" w14:textId="77777777" w:rsidR="003E5BF5" w:rsidRPr="002D5874" w:rsidRDefault="003E5BF5" w:rsidP="00E55C5F">
      <w:pPr>
        <w:pStyle w:val="aaaboldheadingfinance"/>
      </w:pPr>
      <w:r w:rsidRPr="00C667BC">
        <w:lastRenderedPageBreak/>
        <w:t>Reconciliation of Level 3 fair value movements</w:t>
      </w:r>
      <w:r>
        <w:rPr>
          <w:sz w:val="20"/>
        </w:rPr>
        <w:t xml:space="preserve"> - </w:t>
      </w:r>
      <w:r>
        <w:rPr>
          <w:i/>
          <w:sz w:val="20"/>
        </w:rPr>
        <w:t>c</w:t>
      </w:r>
      <w:r w:rsidRPr="000C13E4">
        <w:rPr>
          <w:i/>
          <w:sz w:val="20"/>
        </w:rPr>
        <w:t>ontinued</w:t>
      </w:r>
    </w:p>
    <w:tbl>
      <w:tblPr>
        <w:tblStyle w:val="TableGrid"/>
        <w:tblW w:w="13608" w:type="dxa"/>
        <w:tblLayout w:type="fixed"/>
        <w:tblLook w:val="04A0" w:firstRow="1" w:lastRow="0" w:firstColumn="1" w:lastColumn="0" w:noHBand="0" w:noVBand="1"/>
      </w:tblPr>
      <w:tblGrid>
        <w:gridCol w:w="3862"/>
        <w:gridCol w:w="1392"/>
        <w:gridCol w:w="1392"/>
        <w:gridCol w:w="1392"/>
        <w:gridCol w:w="1393"/>
        <w:gridCol w:w="1392"/>
        <w:gridCol w:w="1392"/>
        <w:gridCol w:w="1393"/>
      </w:tblGrid>
      <w:tr w:rsidR="003E5BF5" w:rsidRPr="00293D7B" w14:paraId="4A050886" w14:textId="77777777" w:rsidTr="0012408F">
        <w:trPr>
          <w:trHeight w:val="340"/>
        </w:trPr>
        <w:tc>
          <w:tcPr>
            <w:tcW w:w="3862" w:type="dxa"/>
            <w:noWrap/>
            <w:hideMark/>
          </w:tcPr>
          <w:p w14:paraId="555F7E81"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 </w:t>
            </w:r>
          </w:p>
        </w:tc>
        <w:tc>
          <w:tcPr>
            <w:tcW w:w="9746" w:type="dxa"/>
            <w:gridSpan w:val="7"/>
            <w:noWrap/>
            <w:vAlign w:val="center"/>
            <w:hideMark/>
          </w:tcPr>
          <w:p w14:paraId="4B850B08"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 thousand)</w:t>
            </w:r>
          </w:p>
        </w:tc>
      </w:tr>
      <w:tr w:rsidR="003E5BF5" w:rsidRPr="00293D7B" w14:paraId="2318207F" w14:textId="77777777" w:rsidTr="0012408F">
        <w:trPr>
          <w:trHeight w:val="340"/>
        </w:trPr>
        <w:tc>
          <w:tcPr>
            <w:tcW w:w="3862" w:type="dxa"/>
            <w:noWrap/>
            <w:hideMark/>
          </w:tcPr>
          <w:p w14:paraId="3E24D59F"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 </w:t>
            </w:r>
          </w:p>
        </w:tc>
        <w:tc>
          <w:tcPr>
            <w:tcW w:w="1392" w:type="dxa"/>
            <w:vAlign w:val="bottom"/>
            <w:hideMark/>
          </w:tcPr>
          <w:p w14:paraId="2623FF8B"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Other land at fair value</w:t>
            </w:r>
          </w:p>
        </w:tc>
        <w:tc>
          <w:tcPr>
            <w:tcW w:w="1392" w:type="dxa"/>
            <w:vAlign w:val="bottom"/>
            <w:hideMark/>
          </w:tcPr>
          <w:p w14:paraId="4E0F359C"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Other infrastructure at fair value</w:t>
            </w:r>
          </w:p>
        </w:tc>
        <w:tc>
          <w:tcPr>
            <w:tcW w:w="1392" w:type="dxa"/>
            <w:vAlign w:val="bottom"/>
            <w:hideMark/>
          </w:tcPr>
          <w:p w14:paraId="388891C4"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Buildings at fair value</w:t>
            </w:r>
          </w:p>
        </w:tc>
        <w:tc>
          <w:tcPr>
            <w:tcW w:w="1393" w:type="dxa"/>
            <w:vAlign w:val="bottom"/>
            <w:hideMark/>
          </w:tcPr>
          <w:p w14:paraId="6A4CDBDA"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Plant, equipment and vehicles at fair value</w:t>
            </w:r>
          </w:p>
        </w:tc>
        <w:tc>
          <w:tcPr>
            <w:tcW w:w="1392" w:type="dxa"/>
            <w:vAlign w:val="bottom"/>
            <w:hideMark/>
          </w:tcPr>
          <w:p w14:paraId="219B1742"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Leasehold</w:t>
            </w:r>
            <w:r w:rsidRPr="00293D7B">
              <w:rPr>
                <w:rFonts w:ascii="Arial" w:hAnsi="Arial" w:cs="Arial"/>
                <w:b/>
                <w:sz w:val="24"/>
                <w:szCs w:val="24"/>
                <w:lang w:eastAsia="en-AU"/>
              </w:rPr>
              <w:br/>
              <w:t>improvement at fair value</w:t>
            </w:r>
          </w:p>
        </w:tc>
        <w:tc>
          <w:tcPr>
            <w:tcW w:w="1392" w:type="dxa"/>
            <w:vAlign w:val="bottom"/>
            <w:hideMark/>
          </w:tcPr>
          <w:p w14:paraId="55D8096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 xml:space="preserve">Cultural </w:t>
            </w:r>
            <w:r w:rsidRPr="00293D7B">
              <w:rPr>
                <w:rFonts w:ascii="Arial" w:hAnsi="Arial" w:cs="Arial"/>
                <w:b/>
                <w:sz w:val="24"/>
                <w:szCs w:val="24"/>
                <w:lang w:eastAsia="en-AU"/>
              </w:rPr>
              <w:br/>
              <w:t>assets at fair value</w:t>
            </w:r>
          </w:p>
        </w:tc>
        <w:tc>
          <w:tcPr>
            <w:tcW w:w="1393" w:type="dxa"/>
            <w:vAlign w:val="bottom"/>
            <w:hideMark/>
          </w:tcPr>
          <w:p w14:paraId="5BECB63D"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Total</w:t>
            </w:r>
          </w:p>
        </w:tc>
      </w:tr>
      <w:tr w:rsidR="003E5BF5" w:rsidRPr="00293D7B" w14:paraId="6EC95A26" w14:textId="77777777" w:rsidTr="0012408F">
        <w:trPr>
          <w:trHeight w:val="340"/>
        </w:trPr>
        <w:tc>
          <w:tcPr>
            <w:tcW w:w="3862" w:type="dxa"/>
            <w:noWrap/>
            <w:vAlign w:val="center"/>
            <w:hideMark/>
          </w:tcPr>
          <w:p w14:paraId="6FA375E9"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2019</w:t>
            </w:r>
          </w:p>
        </w:tc>
        <w:tc>
          <w:tcPr>
            <w:tcW w:w="1392" w:type="dxa"/>
            <w:noWrap/>
            <w:vAlign w:val="center"/>
            <w:hideMark/>
          </w:tcPr>
          <w:p w14:paraId="6CEF5A50"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2019</w:t>
            </w:r>
          </w:p>
        </w:tc>
        <w:tc>
          <w:tcPr>
            <w:tcW w:w="1392" w:type="dxa"/>
            <w:noWrap/>
            <w:vAlign w:val="center"/>
            <w:hideMark/>
          </w:tcPr>
          <w:p w14:paraId="356893D8"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2019</w:t>
            </w:r>
          </w:p>
        </w:tc>
        <w:tc>
          <w:tcPr>
            <w:tcW w:w="1392" w:type="dxa"/>
            <w:noWrap/>
            <w:vAlign w:val="center"/>
            <w:hideMark/>
          </w:tcPr>
          <w:p w14:paraId="07FC84C9"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2019</w:t>
            </w:r>
          </w:p>
        </w:tc>
        <w:tc>
          <w:tcPr>
            <w:tcW w:w="1393" w:type="dxa"/>
            <w:noWrap/>
            <w:vAlign w:val="center"/>
            <w:hideMark/>
          </w:tcPr>
          <w:p w14:paraId="7D7ED926"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2019</w:t>
            </w:r>
          </w:p>
        </w:tc>
        <w:tc>
          <w:tcPr>
            <w:tcW w:w="1392" w:type="dxa"/>
            <w:noWrap/>
            <w:vAlign w:val="center"/>
            <w:hideMark/>
          </w:tcPr>
          <w:p w14:paraId="065D879C"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2019</w:t>
            </w:r>
          </w:p>
        </w:tc>
        <w:tc>
          <w:tcPr>
            <w:tcW w:w="1392" w:type="dxa"/>
            <w:noWrap/>
            <w:vAlign w:val="center"/>
            <w:hideMark/>
          </w:tcPr>
          <w:p w14:paraId="4D282870"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2019</w:t>
            </w:r>
          </w:p>
        </w:tc>
        <w:tc>
          <w:tcPr>
            <w:tcW w:w="1393" w:type="dxa"/>
            <w:noWrap/>
            <w:vAlign w:val="center"/>
            <w:hideMark/>
          </w:tcPr>
          <w:p w14:paraId="18A4367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2019</w:t>
            </w:r>
          </w:p>
        </w:tc>
      </w:tr>
      <w:tr w:rsidR="003E5BF5" w:rsidRPr="00293D7B" w14:paraId="5F04B008" w14:textId="77777777" w:rsidTr="0012408F">
        <w:trPr>
          <w:trHeight w:val="340"/>
        </w:trPr>
        <w:tc>
          <w:tcPr>
            <w:tcW w:w="3862" w:type="dxa"/>
            <w:noWrap/>
            <w:vAlign w:val="center"/>
            <w:hideMark/>
          </w:tcPr>
          <w:p w14:paraId="3D94607C"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Opening balance</w:t>
            </w:r>
          </w:p>
        </w:tc>
        <w:tc>
          <w:tcPr>
            <w:tcW w:w="1392" w:type="dxa"/>
            <w:noWrap/>
            <w:vAlign w:val="center"/>
            <w:hideMark/>
          </w:tcPr>
          <w:p w14:paraId="0046587B"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648,724 </w:t>
            </w:r>
          </w:p>
        </w:tc>
        <w:tc>
          <w:tcPr>
            <w:tcW w:w="1392" w:type="dxa"/>
            <w:noWrap/>
            <w:vAlign w:val="center"/>
            <w:hideMark/>
          </w:tcPr>
          <w:p w14:paraId="25BD1B96"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51,149 </w:t>
            </w:r>
          </w:p>
        </w:tc>
        <w:tc>
          <w:tcPr>
            <w:tcW w:w="1392" w:type="dxa"/>
            <w:noWrap/>
            <w:vAlign w:val="center"/>
            <w:hideMark/>
          </w:tcPr>
          <w:p w14:paraId="62D8061C"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428,893 </w:t>
            </w:r>
          </w:p>
        </w:tc>
        <w:tc>
          <w:tcPr>
            <w:tcW w:w="1393" w:type="dxa"/>
            <w:noWrap/>
            <w:vAlign w:val="center"/>
            <w:hideMark/>
          </w:tcPr>
          <w:p w14:paraId="146F466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46,704 </w:t>
            </w:r>
          </w:p>
        </w:tc>
        <w:tc>
          <w:tcPr>
            <w:tcW w:w="1392" w:type="dxa"/>
            <w:noWrap/>
            <w:vAlign w:val="center"/>
            <w:hideMark/>
          </w:tcPr>
          <w:p w14:paraId="0BEBA16D"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21,233 </w:t>
            </w:r>
          </w:p>
        </w:tc>
        <w:tc>
          <w:tcPr>
            <w:tcW w:w="1392" w:type="dxa"/>
            <w:noWrap/>
            <w:vAlign w:val="center"/>
            <w:hideMark/>
          </w:tcPr>
          <w:p w14:paraId="699C9030"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18,329 </w:t>
            </w:r>
          </w:p>
        </w:tc>
        <w:tc>
          <w:tcPr>
            <w:tcW w:w="1393" w:type="dxa"/>
            <w:noWrap/>
            <w:vAlign w:val="center"/>
            <w:hideMark/>
          </w:tcPr>
          <w:p w14:paraId="3654671E"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1,215,032 </w:t>
            </w:r>
          </w:p>
        </w:tc>
      </w:tr>
      <w:tr w:rsidR="003E5BF5" w:rsidRPr="00293D7B" w14:paraId="3946E2B6" w14:textId="77777777" w:rsidTr="0012408F">
        <w:trPr>
          <w:trHeight w:val="340"/>
        </w:trPr>
        <w:tc>
          <w:tcPr>
            <w:tcW w:w="3862" w:type="dxa"/>
            <w:noWrap/>
            <w:vAlign w:val="center"/>
            <w:hideMark/>
          </w:tcPr>
          <w:p w14:paraId="51E1FD58"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Assets provided free of charge</w:t>
            </w:r>
          </w:p>
        </w:tc>
        <w:tc>
          <w:tcPr>
            <w:tcW w:w="1392" w:type="dxa"/>
            <w:noWrap/>
            <w:vAlign w:val="center"/>
            <w:hideMark/>
          </w:tcPr>
          <w:p w14:paraId="65C0FC0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(26,359)</w:t>
            </w:r>
          </w:p>
        </w:tc>
        <w:tc>
          <w:tcPr>
            <w:tcW w:w="1392" w:type="dxa"/>
            <w:noWrap/>
            <w:vAlign w:val="center"/>
            <w:hideMark/>
          </w:tcPr>
          <w:p w14:paraId="379150F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2" w:type="dxa"/>
            <w:noWrap/>
            <w:vAlign w:val="center"/>
            <w:hideMark/>
          </w:tcPr>
          <w:p w14:paraId="5CDBE4F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(3,259)</w:t>
            </w:r>
          </w:p>
        </w:tc>
        <w:tc>
          <w:tcPr>
            <w:tcW w:w="1393" w:type="dxa"/>
            <w:noWrap/>
            <w:vAlign w:val="center"/>
            <w:hideMark/>
          </w:tcPr>
          <w:p w14:paraId="7AEB3A9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2" w:type="dxa"/>
            <w:noWrap/>
            <w:vAlign w:val="center"/>
            <w:hideMark/>
          </w:tcPr>
          <w:p w14:paraId="2D334D1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2" w:type="dxa"/>
            <w:noWrap/>
            <w:vAlign w:val="center"/>
            <w:hideMark/>
          </w:tcPr>
          <w:p w14:paraId="2420E84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3" w:type="dxa"/>
            <w:noWrap/>
            <w:vAlign w:val="center"/>
            <w:hideMark/>
          </w:tcPr>
          <w:p w14:paraId="1D7C0134" w14:textId="77777777" w:rsidR="003E5BF5" w:rsidRPr="00293D7B" w:rsidRDefault="003E5BF5" w:rsidP="00DE1921">
            <w:pPr>
              <w:jc w:val="right"/>
              <w:rPr>
                <w:rFonts w:ascii="Arial" w:hAnsi="Arial" w:cs="Arial"/>
                <w:b/>
                <w:sz w:val="24"/>
                <w:szCs w:val="24"/>
                <w:lang w:eastAsia="en-AU"/>
              </w:rPr>
            </w:pPr>
            <w:r w:rsidRPr="00293D7B">
              <w:rPr>
                <w:rFonts w:ascii="Arial" w:hAnsi="Arial" w:cs="Arial"/>
                <w:sz w:val="24"/>
                <w:szCs w:val="24"/>
              </w:rPr>
              <w:t>(29,618)</w:t>
            </w:r>
          </w:p>
        </w:tc>
      </w:tr>
      <w:tr w:rsidR="003E5BF5" w:rsidRPr="00293D7B" w14:paraId="4EBA4852" w14:textId="77777777" w:rsidTr="0012408F">
        <w:trPr>
          <w:trHeight w:val="340"/>
        </w:trPr>
        <w:tc>
          <w:tcPr>
            <w:tcW w:w="3862" w:type="dxa"/>
            <w:noWrap/>
            <w:vAlign w:val="center"/>
            <w:hideMark/>
          </w:tcPr>
          <w:p w14:paraId="6F742A25"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Additions</w:t>
            </w:r>
          </w:p>
        </w:tc>
        <w:tc>
          <w:tcPr>
            <w:tcW w:w="1392" w:type="dxa"/>
            <w:noWrap/>
            <w:vAlign w:val="center"/>
            <w:hideMark/>
          </w:tcPr>
          <w:p w14:paraId="5681B8F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11,692 </w:t>
            </w:r>
          </w:p>
        </w:tc>
        <w:tc>
          <w:tcPr>
            <w:tcW w:w="1392" w:type="dxa"/>
            <w:noWrap/>
            <w:vAlign w:val="center"/>
            <w:hideMark/>
          </w:tcPr>
          <w:p w14:paraId="49A1A86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2" w:type="dxa"/>
            <w:noWrap/>
            <w:vAlign w:val="center"/>
            <w:hideMark/>
          </w:tcPr>
          <w:p w14:paraId="59C58A7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3,116 </w:t>
            </w:r>
          </w:p>
        </w:tc>
        <w:tc>
          <w:tcPr>
            <w:tcW w:w="1393" w:type="dxa"/>
            <w:noWrap/>
            <w:vAlign w:val="center"/>
            <w:hideMark/>
          </w:tcPr>
          <w:p w14:paraId="0A5E19C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275,308 </w:t>
            </w:r>
          </w:p>
        </w:tc>
        <w:tc>
          <w:tcPr>
            <w:tcW w:w="1392" w:type="dxa"/>
            <w:noWrap/>
            <w:vAlign w:val="center"/>
            <w:hideMark/>
          </w:tcPr>
          <w:p w14:paraId="570EB3C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959 </w:t>
            </w:r>
          </w:p>
        </w:tc>
        <w:tc>
          <w:tcPr>
            <w:tcW w:w="1392" w:type="dxa"/>
            <w:noWrap/>
            <w:vAlign w:val="center"/>
            <w:hideMark/>
          </w:tcPr>
          <w:p w14:paraId="6A1337F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3" w:type="dxa"/>
            <w:noWrap/>
            <w:vAlign w:val="center"/>
            <w:hideMark/>
          </w:tcPr>
          <w:p w14:paraId="7E5645A2" w14:textId="77777777" w:rsidR="003E5BF5" w:rsidRPr="00293D7B" w:rsidRDefault="003E5BF5" w:rsidP="00DE1921">
            <w:pPr>
              <w:jc w:val="right"/>
              <w:rPr>
                <w:rFonts w:ascii="Arial" w:hAnsi="Arial" w:cs="Arial"/>
                <w:b/>
                <w:sz w:val="24"/>
                <w:szCs w:val="24"/>
                <w:lang w:eastAsia="en-AU"/>
              </w:rPr>
            </w:pPr>
            <w:r w:rsidRPr="00293D7B">
              <w:rPr>
                <w:rFonts w:ascii="Arial" w:hAnsi="Arial" w:cs="Arial"/>
                <w:sz w:val="24"/>
                <w:szCs w:val="24"/>
              </w:rPr>
              <w:t xml:space="preserve">291,075 </w:t>
            </w:r>
          </w:p>
        </w:tc>
      </w:tr>
      <w:tr w:rsidR="003E5BF5" w:rsidRPr="00293D7B" w14:paraId="628FAD6B" w14:textId="77777777" w:rsidTr="0012408F">
        <w:trPr>
          <w:trHeight w:val="340"/>
        </w:trPr>
        <w:tc>
          <w:tcPr>
            <w:tcW w:w="3862" w:type="dxa"/>
            <w:noWrap/>
            <w:vAlign w:val="center"/>
            <w:hideMark/>
          </w:tcPr>
          <w:p w14:paraId="5B753DFD"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Disposals</w:t>
            </w:r>
          </w:p>
        </w:tc>
        <w:tc>
          <w:tcPr>
            <w:tcW w:w="1392" w:type="dxa"/>
            <w:noWrap/>
            <w:vAlign w:val="center"/>
            <w:hideMark/>
          </w:tcPr>
          <w:p w14:paraId="3BD808B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(2)</w:t>
            </w:r>
          </w:p>
        </w:tc>
        <w:tc>
          <w:tcPr>
            <w:tcW w:w="1392" w:type="dxa"/>
            <w:noWrap/>
            <w:vAlign w:val="center"/>
            <w:hideMark/>
          </w:tcPr>
          <w:p w14:paraId="69D2832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2" w:type="dxa"/>
            <w:noWrap/>
            <w:vAlign w:val="center"/>
            <w:hideMark/>
          </w:tcPr>
          <w:p w14:paraId="4BFF78D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(129)</w:t>
            </w:r>
          </w:p>
        </w:tc>
        <w:tc>
          <w:tcPr>
            <w:tcW w:w="1393" w:type="dxa"/>
            <w:noWrap/>
            <w:vAlign w:val="center"/>
            <w:hideMark/>
          </w:tcPr>
          <w:p w14:paraId="22CBB6F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(847)</w:t>
            </w:r>
          </w:p>
        </w:tc>
        <w:tc>
          <w:tcPr>
            <w:tcW w:w="1392" w:type="dxa"/>
            <w:noWrap/>
            <w:vAlign w:val="center"/>
            <w:hideMark/>
          </w:tcPr>
          <w:p w14:paraId="7C37A414"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(397)</w:t>
            </w:r>
          </w:p>
        </w:tc>
        <w:tc>
          <w:tcPr>
            <w:tcW w:w="1392" w:type="dxa"/>
            <w:noWrap/>
            <w:vAlign w:val="center"/>
            <w:hideMark/>
          </w:tcPr>
          <w:p w14:paraId="7D9E9ED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3" w:type="dxa"/>
            <w:noWrap/>
            <w:vAlign w:val="center"/>
            <w:hideMark/>
          </w:tcPr>
          <w:p w14:paraId="494120AF" w14:textId="77777777" w:rsidR="003E5BF5" w:rsidRPr="00293D7B" w:rsidRDefault="003E5BF5" w:rsidP="00DE1921">
            <w:pPr>
              <w:jc w:val="right"/>
              <w:rPr>
                <w:rFonts w:ascii="Arial" w:hAnsi="Arial" w:cs="Arial"/>
                <w:b/>
                <w:sz w:val="24"/>
                <w:szCs w:val="24"/>
                <w:lang w:eastAsia="en-AU"/>
              </w:rPr>
            </w:pPr>
            <w:r w:rsidRPr="00293D7B">
              <w:rPr>
                <w:rFonts w:ascii="Arial" w:hAnsi="Arial" w:cs="Arial"/>
                <w:sz w:val="24"/>
                <w:szCs w:val="24"/>
              </w:rPr>
              <w:t>(1,375)</w:t>
            </w:r>
          </w:p>
        </w:tc>
      </w:tr>
      <w:tr w:rsidR="003E5BF5" w:rsidRPr="00293D7B" w14:paraId="4B2DF967" w14:textId="77777777" w:rsidTr="0012408F">
        <w:trPr>
          <w:trHeight w:val="340"/>
        </w:trPr>
        <w:tc>
          <w:tcPr>
            <w:tcW w:w="3862" w:type="dxa"/>
            <w:noWrap/>
            <w:vAlign w:val="center"/>
            <w:hideMark/>
          </w:tcPr>
          <w:p w14:paraId="3CFCC587"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Depreciation expense</w:t>
            </w:r>
          </w:p>
        </w:tc>
        <w:tc>
          <w:tcPr>
            <w:tcW w:w="1392" w:type="dxa"/>
            <w:noWrap/>
            <w:vAlign w:val="center"/>
            <w:hideMark/>
          </w:tcPr>
          <w:p w14:paraId="483295D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2" w:type="dxa"/>
            <w:noWrap/>
            <w:vAlign w:val="center"/>
            <w:hideMark/>
          </w:tcPr>
          <w:p w14:paraId="57AB7C7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(1,074)</w:t>
            </w:r>
          </w:p>
        </w:tc>
        <w:tc>
          <w:tcPr>
            <w:tcW w:w="1392" w:type="dxa"/>
            <w:noWrap/>
            <w:vAlign w:val="center"/>
            <w:hideMark/>
          </w:tcPr>
          <w:p w14:paraId="68D220B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(11,162)</w:t>
            </w:r>
          </w:p>
        </w:tc>
        <w:tc>
          <w:tcPr>
            <w:tcW w:w="1393" w:type="dxa"/>
            <w:noWrap/>
            <w:vAlign w:val="center"/>
            <w:hideMark/>
          </w:tcPr>
          <w:p w14:paraId="603DFD9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(5,712)</w:t>
            </w:r>
          </w:p>
        </w:tc>
        <w:tc>
          <w:tcPr>
            <w:tcW w:w="1392" w:type="dxa"/>
            <w:noWrap/>
            <w:vAlign w:val="center"/>
            <w:hideMark/>
          </w:tcPr>
          <w:p w14:paraId="4537A13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(4,799)</w:t>
            </w:r>
          </w:p>
        </w:tc>
        <w:tc>
          <w:tcPr>
            <w:tcW w:w="1392" w:type="dxa"/>
            <w:noWrap/>
            <w:vAlign w:val="center"/>
            <w:hideMark/>
          </w:tcPr>
          <w:p w14:paraId="0231914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(607)</w:t>
            </w:r>
          </w:p>
        </w:tc>
        <w:tc>
          <w:tcPr>
            <w:tcW w:w="1393" w:type="dxa"/>
            <w:noWrap/>
            <w:vAlign w:val="center"/>
            <w:hideMark/>
          </w:tcPr>
          <w:p w14:paraId="429E3A43" w14:textId="77777777" w:rsidR="003E5BF5" w:rsidRPr="00293D7B" w:rsidRDefault="003E5BF5" w:rsidP="00DE1921">
            <w:pPr>
              <w:jc w:val="right"/>
              <w:rPr>
                <w:rFonts w:ascii="Arial" w:hAnsi="Arial" w:cs="Arial"/>
                <w:b/>
                <w:sz w:val="24"/>
                <w:szCs w:val="24"/>
                <w:lang w:eastAsia="en-AU"/>
              </w:rPr>
            </w:pPr>
            <w:r w:rsidRPr="00293D7B">
              <w:rPr>
                <w:rFonts w:ascii="Arial" w:hAnsi="Arial" w:cs="Arial"/>
                <w:sz w:val="24"/>
                <w:szCs w:val="24"/>
              </w:rPr>
              <w:t>(23,354)</w:t>
            </w:r>
          </w:p>
        </w:tc>
      </w:tr>
      <w:tr w:rsidR="003E5BF5" w:rsidRPr="00293D7B" w14:paraId="5F87C583" w14:textId="77777777" w:rsidTr="0012408F">
        <w:trPr>
          <w:trHeight w:val="340"/>
        </w:trPr>
        <w:tc>
          <w:tcPr>
            <w:tcW w:w="3862" w:type="dxa"/>
            <w:noWrap/>
            <w:vAlign w:val="center"/>
            <w:hideMark/>
          </w:tcPr>
          <w:p w14:paraId="3DC5C5D3"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Assets provided as contributed capital</w:t>
            </w:r>
          </w:p>
        </w:tc>
        <w:tc>
          <w:tcPr>
            <w:tcW w:w="1392" w:type="dxa"/>
            <w:noWrap/>
            <w:vAlign w:val="center"/>
            <w:hideMark/>
          </w:tcPr>
          <w:p w14:paraId="67430E96"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(5,307)</w:t>
            </w:r>
          </w:p>
        </w:tc>
        <w:tc>
          <w:tcPr>
            <w:tcW w:w="1392" w:type="dxa"/>
            <w:noWrap/>
            <w:vAlign w:val="center"/>
            <w:hideMark/>
          </w:tcPr>
          <w:p w14:paraId="12936FA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2" w:type="dxa"/>
            <w:noWrap/>
            <w:vAlign w:val="center"/>
            <w:hideMark/>
          </w:tcPr>
          <w:p w14:paraId="3D2F275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(21,708)</w:t>
            </w:r>
          </w:p>
        </w:tc>
        <w:tc>
          <w:tcPr>
            <w:tcW w:w="1393" w:type="dxa"/>
            <w:noWrap/>
            <w:vAlign w:val="center"/>
            <w:hideMark/>
          </w:tcPr>
          <w:p w14:paraId="550628D9"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(267,021)</w:t>
            </w:r>
          </w:p>
        </w:tc>
        <w:tc>
          <w:tcPr>
            <w:tcW w:w="1392" w:type="dxa"/>
            <w:noWrap/>
            <w:vAlign w:val="center"/>
            <w:hideMark/>
          </w:tcPr>
          <w:p w14:paraId="6859F5A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(264)</w:t>
            </w:r>
          </w:p>
        </w:tc>
        <w:tc>
          <w:tcPr>
            <w:tcW w:w="1392" w:type="dxa"/>
            <w:noWrap/>
            <w:vAlign w:val="center"/>
            <w:hideMark/>
          </w:tcPr>
          <w:p w14:paraId="5E320C4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3" w:type="dxa"/>
            <w:noWrap/>
            <w:vAlign w:val="center"/>
            <w:hideMark/>
          </w:tcPr>
          <w:p w14:paraId="410E600E" w14:textId="77777777" w:rsidR="003E5BF5" w:rsidRPr="00293D7B" w:rsidRDefault="003E5BF5" w:rsidP="00DE1921">
            <w:pPr>
              <w:jc w:val="right"/>
              <w:rPr>
                <w:rFonts w:ascii="Arial" w:hAnsi="Arial" w:cs="Arial"/>
                <w:b/>
                <w:sz w:val="24"/>
                <w:szCs w:val="24"/>
                <w:lang w:eastAsia="en-AU"/>
              </w:rPr>
            </w:pPr>
            <w:r w:rsidRPr="00293D7B">
              <w:rPr>
                <w:rFonts w:ascii="Arial" w:hAnsi="Arial" w:cs="Arial"/>
                <w:sz w:val="24"/>
                <w:szCs w:val="24"/>
              </w:rPr>
              <w:t>(294,300)</w:t>
            </w:r>
          </w:p>
        </w:tc>
      </w:tr>
      <w:tr w:rsidR="003E5BF5" w:rsidRPr="00293D7B" w14:paraId="5C98AF42" w14:textId="77777777" w:rsidTr="0012408F">
        <w:trPr>
          <w:trHeight w:val="340"/>
        </w:trPr>
        <w:tc>
          <w:tcPr>
            <w:tcW w:w="3862" w:type="dxa"/>
            <w:noWrap/>
            <w:vAlign w:val="center"/>
            <w:hideMark/>
          </w:tcPr>
          <w:p w14:paraId="76B116EA"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Transfers to assets classified as held for sale</w:t>
            </w:r>
          </w:p>
        </w:tc>
        <w:tc>
          <w:tcPr>
            <w:tcW w:w="1392" w:type="dxa"/>
            <w:noWrap/>
            <w:vAlign w:val="center"/>
            <w:hideMark/>
          </w:tcPr>
          <w:p w14:paraId="02C9178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(25,151)</w:t>
            </w:r>
          </w:p>
        </w:tc>
        <w:tc>
          <w:tcPr>
            <w:tcW w:w="1392" w:type="dxa"/>
            <w:noWrap/>
            <w:vAlign w:val="center"/>
            <w:hideMark/>
          </w:tcPr>
          <w:p w14:paraId="77986E1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2" w:type="dxa"/>
            <w:noWrap/>
            <w:vAlign w:val="center"/>
            <w:hideMark/>
          </w:tcPr>
          <w:p w14:paraId="2DC405E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(27)</w:t>
            </w:r>
          </w:p>
        </w:tc>
        <w:tc>
          <w:tcPr>
            <w:tcW w:w="1393" w:type="dxa"/>
            <w:noWrap/>
            <w:vAlign w:val="center"/>
            <w:hideMark/>
          </w:tcPr>
          <w:p w14:paraId="54226905"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(17)</w:t>
            </w:r>
          </w:p>
        </w:tc>
        <w:tc>
          <w:tcPr>
            <w:tcW w:w="1392" w:type="dxa"/>
            <w:noWrap/>
            <w:vAlign w:val="center"/>
            <w:hideMark/>
          </w:tcPr>
          <w:p w14:paraId="4723CE5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2" w:type="dxa"/>
            <w:noWrap/>
            <w:vAlign w:val="center"/>
            <w:hideMark/>
          </w:tcPr>
          <w:p w14:paraId="43AEC9A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3" w:type="dxa"/>
            <w:noWrap/>
            <w:vAlign w:val="center"/>
            <w:hideMark/>
          </w:tcPr>
          <w:p w14:paraId="237BB9EE" w14:textId="77777777" w:rsidR="003E5BF5" w:rsidRPr="00293D7B" w:rsidRDefault="003E5BF5" w:rsidP="00DE1921">
            <w:pPr>
              <w:jc w:val="right"/>
              <w:rPr>
                <w:rFonts w:ascii="Arial" w:hAnsi="Arial" w:cs="Arial"/>
                <w:b/>
                <w:sz w:val="24"/>
                <w:szCs w:val="24"/>
                <w:lang w:eastAsia="en-AU"/>
              </w:rPr>
            </w:pPr>
            <w:r w:rsidRPr="00293D7B">
              <w:rPr>
                <w:rFonts w:ascii="Arial" w:hAnsi="Arial" w:cs="Arial"/>
                <w:sz w:val="24"/>
                <w:szCs w:val="24"/>
              </w:rPr>
              <w:t>(25,195)</w:t>
            </w:r>
          </w:p>
        </w:tc>
      </w:tr>
      <w:tr w:rsidR="003E5BF5" w:rsidRPr="00293D7B" w14:paraId="62B88B08" w14:textId="77777777" w:rsidTr="0012408F">
        <w:trPr>
          <w:trHeight w:val="340"/>
        </w:trPr>
        <w:tc>
          <w:tcPr>
            <w:tcW w:w="3862" w:type="dxa"/>
            <w:noWrap/>
            <w:vAlign w:val="center"/>
            <w:hideMark/>
          </w:tcPr>
          <w:p w14:paraId="688861F9"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Net transfers (to)/from government entities</w:t>
            </w:r>
          </w:p>
        </w:tc>
        <w:tc>
          <w:tcPr>
            <w:tcW w:w="1392" w:type="dxa"/>
            <w:noWrap/>
            <w:vAlign w:val="center"/>
            <w:hideMark/>
          </w:tcPr>
          <w:p w14:paraId="532375F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(293,738)</w:t>
            </w:r>
          </w:p>
        </w:tc>
        <w:tc>
          <w:tcPr>
            <w:tcW w:w="1392" w:type="dxa"/>
            <w:noWrap/>
            <w:vAlign w:val="center"/>
            <w:hideMark/>
          </w:tcPr>
          <w:p w14:paraId="127206F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2" w:type="dxa"/>
            <w:noWrap/>
            <w:vAlign w:val="center"/>
            <w:hideMark/>
          </w:tcPr>
          <w:p w14:paraId="3B80D61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(390,883)</w:t>
            </w:r>
          </w:p>
        </w:tc>
        <w:tc>
          <w:tcPr>
            <w:tcW w:w="1393" w:type="dxa"/>
            <w:noWrap/>
            <w:vAlign w:val="center"/>
            <w:hideMark/>
          </w:tcPr>
          <w:p w14:paraId="58A307D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(41,058)</w:t>
            </w:r>
          </w:p>
        </w:tc>
        <w:tc>
          <w:tcPr>
            <w:tcW w:w="1392" w:type="dxa"/>
            <w:noWrap/>
            <w:vAlign w:val="center"/>
            <w:hideMark/>
          </w:tcPr>
          <w:p w14:paraId="01701C1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(5,847)</w:t>
            </w:r>
          </w:p>
        </w:tc>
        <w:tc>
          <w:tcPr>
            <w:tcW w:w="1392" w:type="dxa"/>
            <w:noWrap/>
            <w:vAlign w:val="center"/>
            <w:hideMark/>
          </w:tcPr>
          <w:p w14:paraId="44F1A00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(17,687)</w:t>
            </w:r>
          </w:p>
        </w:tc>
        <w:tc>
          <w:tcPr>
            <w:tcW w:w="1393" w:type="dxa"/>
            <w:noWrap/>
            <w:vAlign w:val="center"/>
            <w:hideMark/>
          </w:tcPr>
          <w:p w14:paraId="0494FCF2" w14:textId="77777777" w:rsidR="003E5BF5" w:rsidRPr="00293D7B" w:rsidRDefault="003E5BF5" w:rsidP="00DE1921">
            <w:pPr>
              <w:jc w:val="right"/>
              <w:rPr>
                <w:rFonts w:ascii="Arial" w:hAnsi="Arial" w:cs="Arial"/>
                <w:b/>
                <w:sz w:val="24"/>
                <w:szCs w:val="24"/>
                <w:lang w:eastAsia="en-AU"/>
              </w:rPr>
            </w:pPr>
            <w:r w:rsidRPr="00293D7B">
              <w:rPr>
                <w:rFonts w:ascii="Arial" w:hAnsi="Arial" w:cs="Arial"/>
                <w:sz w:val="24"/>
                <w:szCs w:val="24"/>
              </w:rPr>
              <w:t>(749,213)</w:t>
            </w:r>
          </w:p>
        </w:tc>
      </w:tr>
      <w:tr w:rsidR="003E5BF5" w:rsidRPr="00293D7B" w14:paraId="3EE5DACF" w14:textId="77777777" w:rsidTr="0012408F">
        <w:trPr>
          <w:trHeight w:val="340"/>
        </w:trPr>
        <w:tc>
          <w:tcPr>
            <w:tcW w:w="3862" w:type="dxa"/>
            <w:noWrap/>
            <w:vAlign w:val="center"/>
            <w:hideMark/>
          </w:tcPr>
          <w:p w14:paraId="5CBA97CF"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Transfer between classes</w:t>
            </w:r>
          </w:p>
        </w:tc>
        <w:tc>
          <w:tcPr>
            <w:tcW w:w="1392" w:type="dxa"/>
            <w:noWrap/>
            <w:vAlign w:val="center"/>
            <w:hideMark/>
          </w:tcPr>
          <w:p w14:paraId="7D5EBB3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  -</w:t>
            </w:r>
          </w:p>
        </w:tc>
        <w:tc>
          <w:tcPr>
            <w:tcW w:w="1392" w:type="dxa"/>
            <w:noWrap/>
            <w:vAlign w:val="center"/>
            <w:hideMark/>
          </w:tcPr>
          <w:p w14:paraId="3641E13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1,291,716 </w:t>
            </w:r>
          </w:p>
        </w:tc>
        <w:tc>
          <w:tcPr>
            <w:tcW w:w="1392" w:type="dxa"/>
            <w:noWrap/>
            <w:vAlign w:val="center"/>
            <w:hideMark/>
          </w:tcPr>
          <w:p w14:paraId="186A9F2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(14)</w:t>
            </w:r>
          </w:p>
        </w:tc>
        <w:tc>
          <w:tcPr>
            <w:tcW w:w="1393" w:type="dxa"/>
            <w:noWrap/>
            <w:vAlign w:val="center"/>
            <w:hideMark/>
          </w:tcPr>
          <w:p w14:paraId="4D6770C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(248)</w:t>
            </w:r>
          </w:p>
        </w:tc>
        <w:tc>
          <w:tcPr>
            <w:tcW w:w="1392" w:type="dxa"/>
            <w:noWrap/>
            <w:vAlign w:val="center"/>
            <w:hideMark/>
          </w:tcPr>
          <w:p w14:paraId="145E808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5,068 </w:t>
            </w:r>
          </w:p>
        </w:tc>
        <w:tc>
          <w:tcPr>
            <w:tcW w:w="1392" w:type="dxa"/>
            <w:noWrap/>
            <w:vAlign w:val="center"/>
            <w:hideMark/>
          </w:tcPr>
          <w:p w14:paraId="0876572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rPr>
              <w:t xml:space="preserve">221 </w:t>
            </w:r>
          </w:p>
        </w:tc>
        <w:tc>
          <w:tcPr>
            <w:tcW w:w="1393" w:type="dxa"/>
            <w:noWrap/>
            <w:vAlign w:val="center"/>
            <w:hideMark/>
          </w:tcPr>
          <w:p w14:paraId="3EFB046F" w14:textId="77777777" w:rsidR="003E5BF5" w:rsidRPr="00293D7B" w:rsidRDefault="003E5BF5" w:rsidP="00DE1921">
            <w:pPr>
              <w:jc w:val="right"/>
              <w:rPr>
                <w:rFonts w:ascii="Arial" w:hAnsi="Arial" w:cs="Arial"/>
                <w:b/>
                <w:sz w:val="24"/>
                <w:szCs w:val="24"/>
                <w:lang w:eastAsia="en-AU"/>
              </w:rPr>
            </w:pPr>
            <w:r w:rsidRPr="00293D7B">
              <w:rPr>
                <w:rFonts w:ascii="Arial" w:hAnsi="Arial" w:cs="Arial"/>
                <w:sz w:val="24"/>
                <w:szCs w:val="24"/>
              </w:rPr>
              <w:t xml:space="preserve">1,296,743 </w:t>
            </w:r>
          </w:p>
        </w:tc>
      </w:tr>
      <w:tr w:rsidR="003E5BF5" w:rsidRPr="00293D7B" w14:paraId="57DA946E" w14:textId="77777777" w:rsidTr="0012408F">
        <w:trPr>
          <w:trHeight w:val="340"/>
        </w:trPr>
        <w:tc>
          <w:tcPr>
            <w:tcW w:w="3862" w:type="dxa"/>
            <w:noWrap/>
            <w:vAlign w:val="center"/>
            <w:hideMark/>
          </w:tcPr>
          <w:p w14:paraId="130811CA"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Closing balance</w:t>
            </w:r>
          </w:p>
        </w:tc>
        <w:tc>
          <w:tcPr>
            <w:tcW w:w="1392" w:type="dxa"/>
            <w:noWrap/>
            <w:vAlign w:val="center"/>
            <w:hideMark/>
          </w:tcPr>
          <w:p w14:paraId="379F3D03"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309,859 </w:t>
            </w:r>
          </w:p>
        </w:tc>
        <w:tc>
          <w:tcPr>
            <w:tcW w:w="1392" w:type="dxa"/>
            <w:noWrap/>
            <w:vAlign w:val="center"/>
            <w:hideMark/>
          </w:tcPr>
          <w:p w14:paraId="72F472A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1,341,790 </w:t>
            </w:r>
          </w:p>
        </w:tc>
        <w:tc>
          <w:tcPr>
            <w:tcW w:w="1392" w:type="dxa"/>
            <w:noWrap/>
            <w:vAlign w:val="center"/>
            <w:hideMark/>
          </w:tcPr>
          <w:p w14:paraId="26DE82D3"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4,826 </w:t>
            </w:r>
          </w:p>
        </w:tc>
        <w:tc>
          <w:tcPr>
            <w:tcW w:w="1393" w:type="dxa"/>
            <w:noWrap/>
            <w:vAlign w:val="center"/>
            <w:hideMark/>
          </w:tcPr>
          <w:p w14:paraId="414DA7B4"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7,108 </w:t>
            </w:r>
          </w:p>
        </w:tc>
        <w:tc>
          <w:tcPr>
            <w:tcW w:w="1392" w:type="dxa"/>
            <w:noWrap/>
            <w:vAlign w:val="center"/>
            <w:hideMark/>
          </w:tcPr>
          <w:p w14:paraId="5B27701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15,953 </w:t>
            </w:r>
          </w:p>
        </w:tc>
        <w:tc>
          <w:tcPr>
            <w:tcW w:w="1392" w:type="dxa"/>
            <w:noWrap/>
            <w:vAlign w:val="center"/>
            <w:hideMark/>
          </w:tcPr>
          <w:p w14:paraId="1303278D"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256 </w:t>
            </w:r>
          </w:p>
        </w:tc>
        <w:tc>
          <w:tcPr>
            <w:tcW w:w="1393" w:type="dxa"/>
            <w:noWrap/>
            <w:vAlign w:val="center"/>
            <w:hideMark/>
          </w:tcPr>
          <w:p w14:paraId="7B110ADC"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rPr>
              <w:t xml:space="preserve">1,679,792 </w:t>
            </w:r>
          </w:p>
        </w:tc>
      </w:tr>
    </w:tbl>
    <w:p w14:paraId="51D9D8DB" w14:textId="77777777" w:rsidR="003E5BF5" w:rsidRDefault="003E5BF5" w:rsidP="00DE1921">
      <w:pPr>
        <w:rPr>
          <w:highlight w:val="yellow"/>
        </w:rPr>
        <w:sectPr w:rsidR="003E5BF5" w:rsidSect="00DE1921">
          <w:type w:val="continuous"/>
          <w:pgSz w:w="16838" w:h="11906" w:orient="landscape"/>
          <w:pgMar w:top="1701" w:right="1418" w:bottom="1418" w:left="1418" w:header="708" w:footer="708" w:gutter="0"/>
          <w:cols w:space="708"/>
          <w:docGrid w:linePitch="360"/>
        </w:sectPr>
      </w:pPr>
      <w:r w:rsidRPr="007444F0">
        <w:rPr>
          <w:highlight w:val="yellow"/>
        </w:rPr>
        <w:br w:type="page"/>
      </w:r>
    </w:p>
    <w:p w14:paraId="2D6122BA" w14:textId="77777777" w:rsidR="003E5BF5" w:rsidRPr="003E7506" w:rsidRDefault="003E5BF5" w:rsidP="00E55C5F">
      <w:pPr>
        <w:pStyle w:val="aaaboldheadingfinance"/>
        <w:rPr>
          <w:highlight w:val="yellow"/>
        </w:rPr>
      </w:pPr>
      <w:r w:rsidRPr="001C0A11">
        <w:lastRenderedPageBreak/>
        <w:t xml:space="preserve">Description of significant unobservable inputs </w:t>
      </w:r>
      <w:r w:rsidRPr="003E7506">
        <w:t>to Level 3 valuations for 2020 and 2019</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1"/>
        <w:gridCol w:w="3478"/>
        <w:gridCol w:w="4993"/>
      </w:tblGrid>
      <w:tr w:rsidR="003E5BF5" w:rsidRPr="00293D7B" w14:paraId="35F8C3A7" w14:textId="77777777" w:rsidTr="0012408F">
        <w:trPr>
          <w:trHeight w:val="340"/>
        </w:trPr>
        <w:tc>
          <w:tcPr>
            <w:tcW w:w="2217" w:type="pct"/>
            <w:shd w:val="clear" w:color="auto" w:fill="auto"/>
            <w:vAlign w:val="center"/>
            <w:hideMark/>
          </w:tcPr>
          <w:p w14:paraId="027DF2E5" w14:textId="77777777" w:rsidR="003E5BF5" w:rsidRPr="00293D7B" w:rsidRDefault="003E5BF5" w:rsidP="00604703">
            <w:pPr>
              <w:pStyle w:val="TableTextGreen"/>
            </w:pPr>
            <w:r w:rsidRPr="00293D7B">
              <w:t>2020 and 2019 Asset class</w:t>
            </w:r>
          </w:p>
        </w:tc>
        <w:tc>
          <w:tcPr>
            <w:tcW w:w="1299" w:type="pct"/>
            <w:shd w:val="clear" w:color="auto" w:fill="auto"/>
            <w:noWrap/>
            <w:vAlign w:val="center"/>
            <w:hideMark/>
          </w:tcPr>
          <w:p w14:paraId="34DBECF2" w14:textId="77777777" w:rsidR="003E5BF5" w:rsidRPr="00293D7B" w:rsidRDefault="003E5BF5" w:rsidP="00604703">
            <w:pPr>
              <w:pStyle w:val="TableTextGreen"/>
            </w:pPr>
            <w:r w:rsidRPr="00293D7B">
              <w:t>Valuation technique</w:t>
            </w:r>
            <w:r w:rsidRPr="00293D7B">
              <w:rPr>
                <w:vertAlign w:val="superscript"/>
              </w:rPr>
              <w:t xml:space="preserve"> (</w:t>
            </w:r>
            <w:proofErr w:type="spellStart"/>
            <w:r w:rsidRPr="00293D7B">
              <w:rPr>
                <w:vertAlign w:val="superscript"/>
              </w:rPr>
              <w:t>i</w:t>
            </w:r>
            <w:proofErr w:type="spellEnd"/>
            <w:r w:rsidRPr="00293D7B">
              <w:rPr>
                <w:vertAlign w:val="superscript"/>
              </w:rPr>
              <w:t>)</w:t>
            </w:r>
          </w:p>
        </w:tc>
        <w:tc>
          <w:tcPr>
            <w:tcW w:w="1484" w:type="pct"/>
            <w:shd w:val="clear" w:color="auto" w:fill="auto"/>
            <w:noWrap/>
            <w:vAlign w:val="center"/>
            <w:hideMark/>
          </w:tcPr>
          <w:p w14:paraId="741DCAC4" w14:textId="77777777" w:rsidR="003E5BF5" w:rsidRPr="00293D7B" w:rsidRDefault="003E5BF5" w:rsidP="00604703">
            <w:pPr>
              <w:pStyle w:val="TableTextGreen"/>
            </w:pPr>
            <w:r w:rsidRPr="00293D7B">
              <w:t xml:space="preserve">Significant unobservable inputs </w:t>
            </w:r>
            <w:r w:rsidRPr="00293D7B">
              <w:rPr>
                <w:vertAlign w:val="superscript"/>
              </w:rPr>
              <w:t>(</w:t>
            </w:r>
            <w:proofErr w:type="spellStart"/>
            <w:r w:rsidRPr="00293D7B">
              <w:rPr>
                <w:vertAlign w:val="superscript"/>
              </w:rPr>
              <w:t>i</w:t>
            </w:r>
            <w:proofErr w:type="spellEnd"/>
            <w:r w:rsidRPr="00293D7B">
              <w:rPr>
                <w:vertAlign w:val="superscript"/>
              </w:rPr>
              <w:t>)</w:t>
            </w:r>
          </w:p>
        </w:tc>
      </w:tr>
      <w:tr w:rsidR="003E5BF5" w:rsidRPr="00293D7B" w14:paraId="316099E1" w14:textId="77777777" w:rsidTr="0012408F">
        <w:trPr>
          <w:trHeight w:val="340"/>
        </w:trPr>
        <w:tc>
          <w:tcPr>
            <w:tcW w:w="2217" w:type="pct"/>
            <w:shd w:val="clear" w:color="auto" w:fill="auto"/>
            <w:noWrap/>
            <w:vAlign w:val="center"/>
            <w:hideMark/>
          </w:tcPr>
          <w:p w14:paraId="2376C0A6"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Land under declared roads, PARD land and other land</w:t>
            </w:r>
          </w:p>
        </w:tc>
        <w:tc>
          <w:tcPr>
            <w:tcW w:w="1299" w:type="pct"/>
            <w:shd w:val="clear" w:color="auto" w:fill="auto"/>
            <w:noWrap/>
            <w:vAlign w:val="center"/>
            <w:hideMark/>
          </w:tcPr>
          <w:p w14:paraId="1DC97820"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Market approach</w:t>
            </w:r>
          </w:p>
        </w:tc>
        <w:tc>
          <w:tcPr>
            <w:tcW w:w="1484" w:type="pct"/>
            <w:shd w:val="clear" w:color="auto" w:fill="auto"/>
            <w:noWrap/>
            <w:vAlign w:val="center"/>
            <w:hideMark/>
          </w:tcPr>
          <w:p w14:paraId="5512129B"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Community Service Obligation (CSO) adjustment</w:t>
            </w:r>
          </w:p>
        </w:tc>
      </w:tr>
      <w:tr w:rsidR="003E5BF5" w:rsidRPr="00293D7B" w14:paraId="3DC6C1B0" w14:textId="77777777" w:rsidTr="0012408F">
        <w:trPr>
          <w:trHeight w:val="340"/>
        </w:trPr>
        <w:tc>
          <w:tcPr>
            <w:tcW w:w="2217" w:type="pct"/>
            <w:shd w:val="clear" w:color="auto" w:fill="auto"/>
            <w:noWrap/>
            <w:vAlign w:val="center"/>
          </w:tcPr>
          <w:p w14:paraId="61FC10D9"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Roads, bridges, earthworks and other infrastructure</w:t>
            </w:r>
          </w:p>
        </w:tc>
        <w:tc>
          <w:tcPr>
            <w:tcW w:w="1299" w:type="pct"/>
            <w:shd w:val="clear" w:color="auto" w:fill="auto"/>
            <w:noWrap/>
            <w:vAlign w:val="center"/>
          </w:tcPr>
          <w:p w14:paraId="1E1F32F2"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Current replacement cost method</w:t>
            </w:r>
          </w:p>
        </w:tc>
        <w:tc>
          <w:tcPr>
            <w:tcW w:w="1484" w:type="pct"/>
            <w:shd w:val="clear" w:color="auto" w:fill="auto"/>
            <w:noWrap/>
            <w:vAlign w:val="center"/>
          </w:tcPr>
          <w:p w14:paraId="2DF226C9"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Cost per unit</w:t>
            </w:r>
          </w:p>
        </w:tc>
      </w:tr>
      <w:tr w:rsidR="003E5BF5" w:rsidRPr="00293D7B" w14:paraId="29C51FD9" w14:textId="77777777" w:rsidTr="0012408F">
        <w:trPr>
          <w:trHeight w:val="340"/>
        </w:trPr>
        <w:tc>
          <w:tcPr>
            <w:tcW w:w="2217" w:type="pct"/>
            <w:shd w:val="clear" w:color="auto" w:fill="auto"/>
            <w:noWrap/>
            <w:vAlign w:val="center"/>
          </w:tcPr>
          <w:p w14:paraId="0D016085"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 </w:t>
            </w:r>
          </w:p>
        </w:tc>
        <w:tc>
          <w:tcPr>
            <w:tcW w:w="1299" w:type="pct"/>
            <w:shd w:val="clear" w:color="auto" w:fill="auto"/>
            <w:noWrap/>
            <w:vAlign w:val="center"/>
          </w:tcPr>
          <w:p w14:paraId="08E09128"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 </w:t>
            </w:r>
          </w:p>
        </w:tc>
        <w:tc>
          <w:tcPr>
            <w:tcW w:w="1484" w:type="pct"/>
            <w:shd w:val="clear" w:color="auto" w:fill="auto"/>
            <w:noWrap/>
            <w:vAlign w:val="center"/>
          </w:tcPr>
          <w:p w14:paraId="2A2D5FE8"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Useful life of infrastructure</w:t>
            </w:r>
          </w:p>
        </w:tc>
      </w:tr>
      <w:tr w:rsidR="003E5BF5" w:rsidRPr="00293D7B" w14:paraId="354984BC" w14:textId="77777777" w:rsidTr="0012408F">
        <w:trPr>
          <w:trHeight w:val="340"/>
        </w:trPr>
        <w:tc>
          <w:tcPr>
            <w:tcW w:w="2217" w:type="pct"/>
            <w:shd w:val="clear" w:color="auto" w:fill="auto"/>
            <w:noWrap/>
            <w:vAlign w:val="center"/>
          </w:tcPr>
          <w:p w14:paraId="0A639623"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Buildings</w:t>
            </w:r>
          </w:p>
        </w:tc>
        <w:tc>
          <w:tcPr>
            <w:tcW w:w="1299" w:type="pct"/>
            <w:shd w:val="clear" w:color="auto" w:fill="auto"/>
            <w:noWrap/>
            <w:vAlign w:val="center"/>
          </w:tcPr>
          <w:p w14:paraId="29836913"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Current replacement cost method</w:t>
            </w:r>
          </w:p>
        </w:tc>
        <w:tc>
          <w:tcPr>
            <w:tcW w:w="1484" w:type="pct"/>
            <w:shd w:val="clear" w:color="auto" w:fill="auto"/>
            <w:noWrap/>
            <w:vAlign w:val="center"/>
          </w:tcPr>
          <w:p w14:paraId="3162C5C3"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Direct cost per square metre</w:t>
            </w:r>
          </w:p>
        </w:tc>
      </w:tr>
      <w:tr w:rsidR="003E5BF5" w:rsidRPr="00293D7B" w14:paraId="2D927E5C" w14:textId="77777777" w:rsidTr="0012408F">
        <w:trPr>
          <w:trHeight w:val="340"/>
        </w:trPr>
        <w:tc>
          <w:tcPr>
            <w:tcW w:w="2217" w:type="pct"/>
            <w:shd w:val="clear" w:color="auto" w:fill="auto"/>
            <w:noWrap/>
            <w:vAlign w:val="center"/>
            <w:hideMark/>
          </w:tcPr>
          <w:p w14:paraId="6075F14B"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 </w:t>
            </w:r>
          </w:p>
        </w:tc>
        <w:tc>
          <w:tcPr>
            <w:tcW w:w="1299" w:type="pct"/>
            <w:shd w:val="clear" w:color="auto" w:fill="auto"/>
            <w:noWrap/>
            <w:vAlign w:val="center"/>
            <w:hideMark/>
          </w:tcPr>
          <w:p w14:paraId="27B6B1A6"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 </w:t>
            </w:r>
          </w:p>
        </w:tc>
        <w:tc>
          <w:tcPr>
            <w:tcW w:w="1484" w:type="pct"/>
            <w:shd w:val="clear" w:color="auto" w:fill="auto"/>
            <w:noWrap/>
            <w:vAlign w:val="center"/>
            <w:hideMark/>
          </w:tcPr>
          <w:p w14:paraId="26C9FA42"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Useful life of specialised buildings</w:t>
            </w:r>
          </w:p>
        </w:tc>
      </w:tr>
      <w:tr w:rsidR="003E5BF5" w:rsidRPr="00293D7B" w14:paraId="3F14CA5A" w14:textId="77777777" w:rsidTr="0012408F">
        <w:trPr>
          <w:trHeight w:val="340"/>
        </w:trPr>
        <w:tc>
          <w:tcPr>
            <w:tcW w:w="2217" w:type="pct"/>
            <w:shd w:val="clear" w:color="auto" w:fill="auto"/>
            <w:noWrap/>
            <w:vAlign w:val="center"/>
            <w:hideMark/>
          </w:tcPr>
          <w:p w14:paraId="680654BA"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Plant, equipment and vehicles</w:t>
            </w:r>
          </w:p>
        </w:tc>
        <w:tc>
          <w:tcPr>
            <w:tcW w:w="1299" w:type="pct"/>
            <w:shd w:val="clear" w:color="auto" w:fill="auto"/>
            <w:noWrap/>
            <w:vAlign w:val="center"/>
            <w:hideMark/>
          </w:tcPr>
          <w:p w14:paraId="55ED6472"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Current replacement cost method</w:t>
            </w:r>
          </w:p>
        </w:tc>
        <w:tc>
          <w:tcPr>
            <w:tcW w:w="1484" w:type="pct"/>
            <w:shd w:val="clear" w:color="auto" w:fill="auto"/>
            <w:noWrap/>
            <w:vAlign w:val="center"/>
            <w:hideMark/>
          </w:tcPr>
          <w:p w14:paraId="0F335371"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Cost per unit</w:t>
            </w:r>
          </w:p>
        </w:tc>
      </w:tr>
      <w:tr w:rsidR="003E5BF5" w:rsidRPr="00293D7B" w14:paraId="62AB680B" w14:textId="77777777" w:rsidTr="0012408F">
        <w:trPr>
          <w:trHeight w:val="340"/>
        </w:trPr>
        <w:tc>
          <w:tcPr>
            <w:tcW w:w="2217" w:type="pct"/>
            <w:shd w:val="clear" w:color="auto" w:fill="auto"/>
            <w:noWrap/>
            <w:vAlign w:val="center"/>
            <w:hideMark/>
          </w:tcPr>
          <w:p w14:paraId="1BA3B04B"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 </w:t>
            </w:r>
          </w:p>
        </w:tc>
        <w:tc>
          <w:tcPr>
            <w:tcW w:w="1299" w:type="pct"/>
            <w:shd w:val="clear" w:color="auto" w:fill="auto"/>
            <w:noWrap/>
            <w:vAlign w:val="center"/>
            <w:hideMark/>
          </w:tcPr>
          <w:p w14:paraId="71AEFFAA"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 </w:t>
            </w:r>
          </w:p>
        </w:tc>
        <w:tc>
          <w:tcPr>
            <w:tcW w:w="1484" w:type="pct"/>
            <w:shd w:val="clear" w:color="auto" w:fill="auto"/>
            <w:noWrap/>
            <w:vAlign w:val="center"/>
            <w:hideMark/>
          </w:tcPr>
          <w:p w14:paraId="61931577"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Useful life of plant, equipment and vehicle</w:t>
            </w:r>
          </w:p>
        </w:tc>
      </w:tr>
      <w:tr w:rsidR="003E5BF5" w:rsidRPr="00293D7B" w14:paraId="1FB52179" w14:textId="77777777" w:rsidTr="0012408F">
        <w:trPr>
          <w:trHeight w:val="340"/>
        </w:trPr>
        <w:tc>
          <w:tcPr>
            <w:tcW w:w="2217" w:type="pct"/>
            <w:shd w:val="clear" w:color="auto" w:fill="auto"/>
            <w:noWrap/>
            <w:vAlign w:val="center"/>
          </w:tcPr>
          <w:p w14:paraId="64C36AD3"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Leasehold Improvements</w:t>
            </w:r>
          </w:p>
        </w:tc>
        <w:tc>
          <w:tcPr>
            <w:tcW w:w="1299" w:type="pct"/>
            <w:shd w:val="clear" w:color="auto" w:fill="auto"/>
            <w:noWrap/>
            <w:vAlign w:val="center"/>
          </w:tcPr>
          <w:p w14:paraId="37E61205"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Current replacement cost method</w:t>
            </w:r>
          </w:p>
        </w:tc>
        <w:tc>
          <w:tcPr>
            <w:tcW w:w="1484" w:type="pct"/>
            <w:shd w:val="clear" w:color="auto" w:fill="auto"/>
            <w:noWrap/>
            <w:vAlign w:val="center"/>
          </w:tcPr>
          <w:p w14:paraId="104E1CD7"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Cost per unit</w:t>
            </w:r>
          </w:p>
        </w:tc>
      </w:tr>
      <w:tr w:rsidR="003E5BF5" w:rsidRPr="00293D7B" w14:paraId="7FB8A60D" w14:textId="77777777" w:rsidTr="0012408F">
        <w:trPr>
          <w:trHeight w:val="340"/>
        </w:trPr>
        <w:tc>
          <w:tcPr>
            <w:tcW w:w="2217" w:type="pct"/>
            <w:shd w:val="clear" w:color="auto" w:fill="auto"/>
            <w:noWrap/>
            <w:vAlign w:val="center"/>
          </w:tcPr>
          <w:p w14:paraId="02D1EFBC"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 </w:t>
            </w:r>
          </w:p>
        </w:tc>
        <w:tc>
          <w:tcPr>
            <w:tcW w:w="1299" w:type="pct"/>
            <w:shd w:val="clear" w:color="auto" w:fill="auto"/>
            <w:noWrap/>
            <w:vAlign w:val="center"/>
          </w:tcPr>
          <w:p w14:paraId="4AE6AB6E"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 </w:t>
            </w:r>
          </w:p>
        </w:tc>
        <w:tc>
          <w:tcPr>
            <w:tcW w:w="1484" w:type="pct"/>
            <w:shd w:val="clear" w:color="auto" w:fill="auto"/>
            <w:noWrap/>
            <w:vAlign w:val="center"/>
          </w:tcPr>
          <w:p w14:paraId="0E4B7448"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Useful life of leasehold improvements</w:t>
            </w:r>
          </w:p>
        </w:tc>
      </w:tr>
      <w:tr w:rsidR="003E5BF5" w:rsidRPr="00293D7B" w14:paraId="59B07E9E" w14:textId="77777777" w:rsidTr="0012408F">
        <w:trPr>
          <w:trHeight w:val="340"/>
        </w:trPr>
        <w:tc>
          <w:tcPr>
            <w:tcW w:w="2217" w:type="pct"/>
            <w:shd w:val="clear" w:color="auto" w:fill="auto"/>
            <w:noWrap/>
            <w:vAlign w:val="center"/>
            <w:hideMark/>
          </w:tcPr>
          <w:p w14:paraId="69C72DE4"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Cultural assets</w:t>
            </w:r>
          </w:p>
        </w:tc>
        <w:tc>
          <w:tcPr>
            <w:tcW w:w="1299" w:type="pct"/>
            <w:shd w:val="clear" w:color="auto" w:fill="auto"/>
            <w:noWrap/>
            <w:vAlign w:val="center"/>
            <w:hideMark/>
          </w:tcPr>
          <w:p w14:paraId="193876B2"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Current replacement cost method</w:t>
            </w:r>
          </w:p>
        </w:tc>
        <w:tc>
          <w:tcPr>
            <w:tcW w:w="1484" w:type="pct"/>
            <w:shd w:val="clear" w:color="auto" w:fill="auto"/>
            <w:noWrap/>
            <w:vAlign w:val="center"/>
            <w:hideMark/>
          </w:tcPr>
          <w:p w14:paraId="262E4F9A"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Cost per unit</w:t>
            </w:r>
          </w:p>
        </w:tc>
      </w:tr>
      <w:tr w:rsidR="003E5BF5" w:rsidRPr="00293D7B" w14:paraId="7158D188" w14:textId="77777777" w:rsidTr="0012408F">
        <w:trPr>
          <w:trHeight w:val="340"/>
        </w:trPr>
        <w:tc>
          <w:tcPr>
            <w:tcW w:w="2217" w:type="pct"/>
            <w:shd w:val="clear" w:color="auto" w:fill="auto"/>
            <w:noWrap/>
            <w:vAlign w:val="center"/>
            <w:hideMark/>
          </w:tcPr>
          <w:p w14:paraId="62F64BAA"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 </w:t>
            </w:r>
          </w:p>
        </w:tc>
        <w:tc>
          <w:tcPr>
            <w:tcW w:w="1299" w:type="pct"/>
            <w:shd w:val="clear" w:color="auto" w:fill="auto"/>
            <w:noWrap/>
            <w:vAlign w:val="center"/>
            <w:hideMark/>
          </w:tcPr>
          <w:p w14:paraId="1DC1918D"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 </w:t>
            </w:r>
          </w:p>
        </w:tc>
        <w:tc>
          <w:tcPr>
            <w:tcW w:w="1484" w:type="pct"/>
            <w:shd w:val="clear" w:color="auto" w:fill="auto"/>
            <w:noWrap/>
            <w:vAlign w:val="center"/>
            <w:hideMark/>
          </w:tcPr>
          <w:p w14:paraId="25F98B11"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Useful life of cultural assets</w:t>
            </w:r>
          </w:p>
        </w:tc>
      </w:tr>
    </w:tbl>
    <w:p w14:paraId="776B3DBF" w14:textId="77777777" w:rsidR="003E5BF5" w:rsidRPr="00293D7B" w:rsidRDefault="003E5BF5" w:rsidP="00DE1921">
      <w:pPr>
        <w:pStyle w:val="Note"/>
        <w:rPr>
          <w:rFonts w:ascii="Arial" w:hAnsi="Arial" w:cs="Arial"/>
          <w:sz w:val="24"/>
          <w:szCs w:val="24"/>
        </w:rPr>
      </w:pPr>
      <w:r w:rsidRPr="00293D7B">
        <w:rPr>
          <w:rFonts w:ascii="Arial" w:hAnsi="Arial" w:cs="Arial"/>
          <w:sz w:val="24"/>
          <w:szCs w:val="24"/>
        </w:rPr>
        <w:t>Note:</w:t>
      </w:r>
    </w:p>
    <w:p w14:paraId="682CC597" w14:textId="77777777" w:rsidR="003E5BF5" w:rsidRPr="00293D7B" w:rsidRDefault="003E5BF5" w:rsidP="00610F5F">
      <w:pPr>
        <w:pStyle w:val="aaaNotenumberiiiiii"/>
        <w:numPr>
          <w:ilvl w:val="0"/>
          <w:numId w:val="124"/>
        </w:numPr>
      </w:pPr>
      <w:r w:rsidRPr="00293D7B">
        <w:t>Illustrations on the valuation techniques, significant unobservable inputs and related quantitative range of those inputs are indicative and should not be directly used without consultation with the department’s independent Valuer.</w:t>
      </w:r>
    </w:p>
    <w:p w14:paraId="18A51FC7" w14:textId="77777777" w:rsidR="003E5BF5" w:rsidRDefault="003E5BF5" w:rsidP="00DE1921">
      <w:pPr>
        <w:rPr>
          <w:highlight w:val="yellow"/>
        </w:rPr>
      </w:pPr>
    </w:p>
    <w:p w14:paraId="4FD7E130" w14:textId="77777777" w:rsidR="003E5BF5" w:rsidRPr="007444F0" w:rsidRDefault="003E5BF5" w:rsidP="00DE1921">
      <w:pPr>
        <w:sectPr w:rsidR="003E5BF5" w:rsidRPr="007444F0" w:rsidSect="00DE1921">
          <w:headerReference w:type="default" r:id="rId205"/>
          <w:pgSz w:w="16838" w:h="11906" w:orient="landscape"/>
          <w:pgMar w:top="1701" w:right="1418" w:bottom="1418" w:left="1418" w:header="708" w:footer="708" w:gutter="0"/>
          <w:cols w:space="708"/>
          <w:docGrid w:linePitch="360"/>
        </w:sectPr>
      </w:pPr>
    </w:p>
    <w:p w14:paraId="0518FBAD" w14:textId="77777777" w:rsidR="003E5BF5" w:rsidRPr="007444F0" w:rsidRDefault="003E5BF5" w:rsidP="00610F5F">
      <w:pPr>
        <w:pStyle w:val="Heading1"/>
        <w:numPr>
          <w:ilvl w:val="0"/>
          <w:numId w:val="22"/>
        </w:numPr>
        <w:sectPr w:rsidR="003E5BF5" w:rsidRPr="007444F0" w:rsidSect="00DE1921">
          <w:headerReference w:type="even" r:id="rId206"/>
          <w:headerReference w:type="default" r:id="rId207"/>
          <w:footerReference w:type="even" r:id="rId208"/>
          <w:headerReference w:type="first" r:id="rId209"/>
          <w:pgSz w:w="11906" w:h="16838"/>
          <w:pgMar w:top="1701" w:right="1418" w:bottom="1418" w:left="1418" w:header="708" w:footer="708" w:gutter="0"/>
          <w:cols w:space="708"/>
          <w:docGrid w:linePitch="360"/>
        </w:sectPr>
      </w:pPr>
      <w:bookmarkStart w:id="602" w:name="_Toc55130697"/>
      <w:bookmarkEnd w:id="529"/>
      <w:r w:rsidRPr="007444F0">
        <w:lastRenderedPageBreak/>
        <w:t>OTHER DISCLOSURES</w:t>
      </w:r>
      <w:bookmarkEnd w:id="602"/>
    </w:p>
    <w:p w14:paraId="2A7BC356" w14:textId="77777777" w:rsidR="003E5BF5" w:rsidRPr="00533761" w:rsidRDefault="003E5BF5" w:rsidP="004A7839">
      <w:pPr>
        <w:pStyle w:val="Heading3"/>
        <w:rPr>
          <w:color w:val="00B2A9"/>
        </w:rPr>
      </w:pPr>
      <w:r w:rsidRPr="00533761">
        <w:t>Introduction</w:t>
      </w:r>
    </w:p>
    <w:p w14:paraId="66C34CE1" w14:textId="77777777" w:rsidR="00947B11" w:rsidRDefault="003E5BF5" w:rsidP="004A7839">
      <w:pPr>
        <w:pStyle w:val="aaatyping"/>
      </w:pPr>
      <w:r w:rsidRPr="007444F0">
        <w:t>This section includes additional material disclosures required by accounting standards or otherwise, for the understanding of this financial report.</w:t>
      </w:r>
    </w:p>
    <w:p w14:paraId="69018984" w14:textId="4EC7F064" w:rsidR="003E5BF5" w:rsidRPr="00533761" w:rsidRDefault="003E5BF5" w:rsidP="004A7839">
      <w:pPr>
        <w:pStyle w:val="Heading3"/>
        <w:rPr>
          <w:color w:val="00B2A9"/>
        </w:rPr>
      </w:pPr>
      <w:r w:rsidRPr="004A7839">
        <w:t>Structure</w:t>
      </w:r>
    </w:p>
    <w:p w14:paraId="7B056D88" w14:textId="30790E13" w:rsidR="003E5BF5" w:rsidRPr="0048158E" w:rsidRDefault="003E5BF5" w:rsidP="005D3CFC">
      <w:pPr>
        <w:pStyle w:val="TOC1"/>
        <w:tabs>
          <w:tab w:val="left" w:leader="dot" w:pos="720"/>
          <w:tab w:val="right" w:pos="1134"/>
        </w:tabs>
        <w:rPr>
          <w:sz w:val="22"/>
          <w:lang w:eastAsia="en-AU"/>
        </w:rPr>
      </w:pPr>
      <w:r w:rsidRPr="007444F0">
        <w:rPr>
          <w:sz w:val="28"/>
        </w:rPr>
        <w:fldChar w:fldCharType="begin"/>
      </w:r>
      <w:r w:rsidRPr="007444F0">
        <w:instrText xml:space="preserve"> TOC \t "Heading 2,1" \b SEC9 \h \* MERGEFORMAT </w:instrText>
      </w:r>
      <w:r w:rsidRPr="007444F0">
        <w:rPr>
          <w:sz w:val="28"/>
        </w:rPr>
        <w:fldChar w:fldCharType="separate"/>
      </w:r>
      <w:hyperlink w:anchor="_Toc53420970" w:history="1">
        <w:r w:rsidRPr="0048158E">
          <w:rPr>
            <w:rStyle w:val="Hyperlink"/>
            <w:rFonts w:ascii="Arial" w:hAnsi="Arial"/>
          </w:rPr>
          <w:t>9.1Ex-gratia expenses</w:t>
        </w:r>
        <w:r w:rsidRPr="0048158E">
          <w:tab/>
        </w:r>
        <w:r w:rsidRPr="0048158E">
          <w:fldChar w:fldCharType="begin"/>
        </w:r>
        <w:r w:rsidRPr="0048158E">
          <w:instrText xml:space="preserve"> PAGEREF _Toc53420970 \h </w:instrText>
        </w:r>
        <w:r w:rsidRPr="0048158E">
          <w:fldChar w:fldCharType="separate"/>
        </w:r>
        <w:r w:rsidR="005D3CFC">
          <w:t>287</w:t>
        </w:r>
        <w:r w:rsidRPr="0048158E">
          <w:fldChar w:fldCharType="end"/>
        </w:r>
      </w:hyperlink>
    </w:p>
    <w:p w14:paraId="1A47FFC8" w14:textId="239CBEDB" w:rsidR="003E5BF5" w:rsidRPr="0048158E" w:rsidRDefault="009B2DDD" w:rsidP="005D3CFC">
      <w:pPr>
        <w:pStyle w:val="TOC1"/>
        <w:tabs>
          <w:tab w:val="left" w:leader="dot" w:pos="720"/>
        </w:tabs>
        <w:rPr>
          <w:sz w:val="22"/>
          <w:lang w:eastAsia="en-AU"/>
        </w:rPr>
      </w:pPr>
      <w:hyperlink w:anchor="_Toc53420971" w:history="1">
        <w:r w:rsidR="003E5BF5" w:rsidRPr="0048158E">
          <w:rPr>
            <w:rStyle w:val="Hyperlink"/>
            <w:rFonts w:ascii="Arial" w:hAnsi="Arial"/>
          </w:rPr>
          <w:t>9.2Other economic flows included in net result</w:t>
        </w:r>
        <w:r w:rsidR="003E5BF5" w:rsidRPr="0048158E">
          <w:tab/>
        </w:r>
        <w:r w:rsidR="003E5BF5" w:rsidRPr="0048158E">
          <w:fldChar w:fldCharType="begin"/>
        </w:r>
        <w:r w:rsidR="003E5BF5" w:rsidRPr="0048158E">
          <w:instrText xml:space="preserve"> PAGEREF _Toc53420971 \h </w:instrText>
        </w:r>
        <w:r w:rsidR="003E5BF5" w:rsidRPr="0048158E">
          <w:fldChar w:fldCharType="separate"/>
        </w:r>
        <w:r w:rsidR="005D3CFC">
          <w:t>288</w:t>
        </w:r>
        <w:r w:rsidR="003E5BF5" w:rsidRPr="0048158E">
          <w:fldChar w:fldCharType="end"/>
        </w:r>
      </w:hyperlink>
    </w:p>
    <w:p w14:paraId="572C5B6B" w14:textId="2D2B2441" w:rsidR="003E5BF5" w:rsidRPr="0048158E" w:rsidRDefault="009B2DDD" w:rsidP="005D3CFC">
      <w:pPr>
        <w:pStyle w:val="TOC1"/>
        <w:tabs>
          <w:tab w:val="left" w:leader="dot" w:pos="720"/>
        </w:tabs>
        <w:rPr>
          <w:sz w:val="22"/>
          <w:lang w:eastAsia="en-AU"/>
        </w:rPr>
      </w:pPr>
      <w:hyperlink w:anchor="_Toc53420972" w:history="1">
        <w:r w:rsidR="003E5BF5" w:rsidRPr="0048158E">
          <w:rPr>
            <w:rStyle w:val="Hyperlink"/>
            <w:rFonts w:ascii="Arial" w:hAnsi="Arial"/>
          </w:rPr>
          <w:t>9.3Non-financial assets held for sale</w:t>
        </w:r>
        <w:r w:rsidR="003E5BF5" w:rsidRPr="0048158E">
          <w:tab/>
        </w:r>
        <w:r w:rsidR="003E5BF5" w:rsidRPr="0048158E">
          <w:fldChar w:fldCharType="begin"/>
        </w:r>
        <w:r w:rsidR="003E5BF5" w:rsidRPr="0048158E">
          <w:instrText xml:space="preserve"> PAGEREF _Toc53420972 \h </w:instrText>
        </w:r>
        <w:r w:rsidR="003E5BF5" w:rsidRPr="0048158E">
          <w:fldChar w:fldCharType="separate"/>
        </w:r>
        <w:r w:rsidR="005D3CFC">
          <w:t>290</w:t>
        </w:r>
        <w:r w:rsidR="003E5BF5" w:rsidRPr="0048158E">
          <w:fldChar w:fldCharType="end"/>
        </w:r>
      </w:hyperlink>
    </w:p>
    <w:p w14:paraId="5BBC07D0" w14:textId="74F1C3B2" w:rsidR="003E5BF5" w:rsidRPr="0048158E" w:rsidRDefault="009B2DDD" w:rsidP="005D3CFC">
      <w:pPr>
        <w:pStyle w:val="TOC1"/>
        <w:tabs>
          <w:tab w:val="left" w:leader="dot" w:pos="720"/>
        </w:tabs>
        <w:rPr>
          <w:sz w:val="22"/>
          <w:lang w:eastAsia="en-AU"/>
        </w:rPr>
      </w:pPr>
      <w:hyperlink w:anchor="_Toc53420973" w:history="1">
        <w:r w:rsidR="003E5BF5" w:rsidRPr="0048158E">
          <w:rPr>
            <w:rStyle w:val="Hyperlink"/>
            <w:rFonts w:ascii="Arial" w:hAnsi="Arial"/>
          </w:rPr>
          <w:t>9.4Equity disclosure</w:t>
        </w:r>
        <w:r w:rsidR="003E5BF5" w:rsidRPr="0048158E">
          <w:tab/>
        </w:r>
        <w:r w:rsidR="003E5BF5" w:rsidRPr="0048158E">
          <w:fldChar w:fldCharType="begin"/>
        </w:r>
        <w:r w:rsidR="003E5BF5" w:rsidRPr="0048158E">
          <w:instrText xml:space="preserve"> PAGEREF _Toc53420973 \h </w:instrText>
        </w:r>
        <w:r w:rsidR="003E5BF5" w:rsidRPr="0048158E">
          <w:fldChar w:fldCharType="separate"/>
        </w:r>
        <w:r w:rsidR="005D3CFC">
          <w:t>291</w:t>
        </w:r>
        <w:r w:rsidR="003E5BF5" w:rsidRPr="0048158E">
          <w:fldChar w:fldCharType="end"/>
        </w:r>
      </w:hyperlink>
    </w:p>
    <w:p w14:paraId="57849EA3" w14:textId="2592C84C" w:rsidR="003E5BF5" w:rsidRPr="0048158E" w:rsidRDefault="009B2DDD" w:rsidP="005D3CFC">
      <w:pPr>
        <w:pStyle w:val="TOC1"/>
        <w:tabs>
          <w:tab w:val="left" w:leader="dot" w:pos="720"/>
        </w:tabs>
        <w:rPr>
          <w:sz w:val="22"/>
          <w:lang w:eastAsia="en-AU"/>
        </w:rPr>
      </w:pPr>
      <w:hyperlink w:anchor="_Toc53420974" w:history="1">
        <w:r w:rsidR="003E5BF5" w:rsidRPr="0048158E">
          <w:rPr>
            <w:rStyle w:val="Hyperlink"/>
            <w:rFonts w:ascii="Arial" w:hAnsi="Arial"/>
          </w:rPr>
          <w:t>9.5Entities consolidated pursuant to section 53(1)(b) of the FMA</w:t>
        </w:r>
        <w:r w:rsidR="003E5BF5" w:rsidRPr="0048158E">
          <w:tab/>
        </w:r>
        <w:r w:rsidR="003E5BF5" w:rsidRPr="0048158E">
          <w:fldChar w:fldCharType="begin"/>
        </w:r>
        <w:r w:rsidR="003E5BF5" w:rsidRPr="0048158E">
          <w:instrText xml:space="preserve"> PAGEREF _Toc53420974 \h </w:instrText>
        </w:r>
        <w:r w:rsidR="003E5BF5" w:rsidRPr="0048158E">
          <w:fldChar w:fldCharType="separate"/>
        </w:r>
        <w:r w:rsidR="005D3CFC">
          <w:t>294</w:t>
        </w:r>
        <w:r w:rsidR="003E5BF5" w:rsidRPr="0048158E">
          <w:fldChar w:fldCharType="end"/>
        </w:r>
      </w:hyperlink>
    </w:p>
    <w:p w14:paraId="15C6B885" w14:textId="1F185E86" w:rsidR="003E5BF5" w:rsidRPr="0048158E" w:rsidRDefault="009B2DDD" w:rsidP="005D3CFC">
      <w:pPr>
        <w:pStyle w:val="TOC1"/>
        <w:tabs>
          <w:tab w:val="left" w:leader="dot" w:pos="720"/>
        </w:tabs>
        <w:rPr>
          <w:sz w:val="22"/>
          <w:lang w:eastAsia="en-AU"/>
        </w:rPr>
      </w:pPr>
      <w:hyperlink w:anchor="_Toc53420975" w:history="1">
        <w:r w:rsidR="003E5BF5" w:rsidRPr="0048158E">
          <w:rPr>
            <w:rStyle w:val="Hyperlink"/>
            <w:rFonts w:ascii="Arial" w:hAnsi="Arial"/>
          </w:rPr>
          <w:t>9.6Change in accounting policies</w:t>
        </w:r>
        <w:r w:rsidR="003E5BF5" w:rsidRPr="0048158E">
          <w:tab/>
        </w:r>
        <w:r w:rsidR="003E5BF5" w:rsidRPr="0048158E">
          <w:fldChar w:fldCharType="begin"/>
        </w:r>
        <w:r w:rsidR="003E5BF5" w:rsidRPr="0048158E">
          <w:instrText xml:space="preserve"> PAGEREF _Toc53420975 \h </w:instrText>
        </w:r>
        <w:r w:rsidR="003E5BF5" w:rsidRPr="0048158E">
          <w:fldChar w:fldCharType="separate"/>
        </w:r>
        <w:r w:rsidR="005D3CFC">
          <w:t>295</w:t>
        </w:r>
        <w:r w:rsidR="003E5BF5" w:rsidRPr="0048158E">
          <w:fldChar w:fldCharType="end"/>
        </w:r>
      </w:hyperlink>
    </w:p>
    <w:p w14:paraId="03A18FFA" w14:textId="60D0DC8F" w:rsidR="003E5BF5" w:rsidRPr="0048158E" w:rsidRDefault="009B2DDD" w:rsidP="005D3CFC">
      <w:pPr>
        <w:pStyle w:val="TOC1"/>
        <w:tabs>
          <w:tab w:val="left" w:leader="dot" w:pos="720"/>
        </w:tabs>
        <w:rPr>
          <w:sz w:val="22"/>
          <w:lang w:eastAsia="en-AU"/>
        </w:rPr>
      </w:pPr>
      <w:hyperlink w:anchor="_Toc53420976" w:history="1">
        <w:r w:rsidR="003E5BF5" w:rsidRPr="0048158E">
          <w:rPr>
            <w:rStyle w:val="Hyperlink"/>
            <w:rFonts w:ascii="Arial" w:hAnsi="Arial"/>
          </w:rPr>
          <w:t>9.7Responsible persons</w:t>
        </w:r>
        <w:r w:rsidR="003E5BF5" w:rsidRPr="0048158E">
          <w:tab/>
        </w:r>
        <w:r w:rsidR="003E5BF5" w:rsidRPr="0048158E">
          <w:fldChar w:fldCharType="begin"/>
        </w:r>
        <w:r w:rsidR="003E5BF5" w:rsidRPr="0048158E">
          <w:instrText xml:space="preserve"> PAGEREF _Toc53420976 \h </w:instrText>
        </w:r>
        <w:r w:rsidR="003E5BF5" w:rsidRPr="0048158E">
          <w:fldChar w:fldCharType="separate"/>
        </w:r>
        <w:r w:rsidR="005D3CFC">
          <w:t>306</w:t>
        </w:r>
        <w:r w:rsidR="003E5BF5" w:rsidRPr="0048158E">
          <w:fldChar w:fldCharType="end"/>
        </w:r>
      </w:hyperlink>
    </w:p>
    <w:p w14:paraId="681D0C23" w14:textId="69DC03AC" w:rsidR="003E5BF5" w:rsidRPr="0048158E" w:rsidRDefault="009B2DDD" w:rsidP="005D3CFC">
      <w:pPr>
        <w:pStyle w:val="TOC1"/>
        <w:tabs>
          <w:tab w:val="left" w:leader="dot" w:pos="720"/>
        </w:tabs>
        <w:rPr>
          <w:sz w:val="22"/>
          <w:lang w:eastAsia="en-AU"/>
        </w:rPr>
      </w:pPr>
      <w:hyperlink w:anchor="_Toc53420977" w:history="1">
        <w:r w:rsidR="003E5BF5" w:rsidRPr="0048158E">
          <w:rPr>
            <w:rStyle w:val="Hyperlink"/>
            <w:rFonts w:ascii="Arial" w:hAnsi="Arial"/>
          </w:rPr>
          <w:t>9.8Remuneration of executives</w:t>
        </w:r>
        <w:r w:rsidR="003E5BF5" w:rsidRPr="0048158E">
          <w:tab/>
        </w:r>
        <w:r w:rsidR="003E5BF5" w:rsidRPr="0048158E">
          <w:fldChar w:fldCharType="begin"/>
        </w:r>
        <w:r w:rsidR="003E5BF5" w:rsidRPr="0048158E">
          <w:instrText xml:space="preserve"> PAGEREF _Toc53420977 \h </w:instrText>
        </w:r>
        <w:r w:rsidR="003E5BF5" w:rsidRPr="0048158E">
          <w:fldChar w:fldCharType="separate"/>
        </w:r>
        <w:r w:rsidR="005D3CFC">
          <w:t>308</w:t>
        </w:r>
        <w:r w:rsidR="003E5BF5" w:rsidRPr="0048158E">
          <w:fldChar w:fldCharType="end"/>
        </w:r>
      </w:hyperlink>
    </w:p>
    <w:p w14:paraId="3D677BE6" w14:textId="7D43F7E8" w:rsidR="003E5BF5" w:rsidRPr="0048158E" w:rsidRDefault="009B2DDD" w:rsidP="005D3CFC">
      <w:pPr>
        <w:pStyle w:val="TOC1"/>
        <w:tabs>
          <w:tab w:val="left" w:leader="dot" w:pos="720"/>
        </w:tabs>
        <w:rPr>
          <w:sz w:val="22"/>
          <w:lang w:eastAsia="en-AU"/>
        </w:rPr>
      </w:pPr>
      <w:hyperlink w:anchor="_Toc53420978" w:history="1">
        <w:r w:rsidR="003E5BF5" w:rsidRPr="0048158E">
          <w:rPr>
            <w:rStyle w:val="Hyperlink"/>
            <w:rFonts w:ascii="Arial" w:hAnsi="Arial"/>
          </w:rPr>
          <w:t>9.9Related parties</w:t>
        </w:r>
        <w:r w:rsidR="003E5BF5" w:rsidRPr="0048158E">
          <w:tab/>
        </w:r>
        <w:r w:rsidR="003E5BF5" w:rsidRPr="0048158E">
          <w:fldChar w:fldCharType="begin"/>
        </w:r>
        <w:r w:rsidR="003E5BF5" w:rsidRPr="0048158E">
          <w:instrText xml:space="preserve"> PAGEREF _Toc53420978 \h </w:instrText>
        </w:r>
        <w:r w:rsidR="003E5BF5" w:rsidRPr="0048158E">
          <w:fldChar w:fldCharType="separate"/>
        </w:r>
        <w:r w:rsidR="005D3CFC">
          <w:t>310</w:t>
        </w:r>
        <w:r w:rsidR="003E5BF5" w:rsidRPr="0048158E">
          <w:fldChar w:fldCharType="end"/>
        </w:r>
      </w:hyperlink>
    </w:p>
    <w:p w14:paraId="4608F095" w14:textId="62BF9000" w:rsidR="003E5BF5" w:rsidRPr="0048158E" w:rsidRDefault="009B2DDD" w:rsidP="005D3CFC">
      <w:pPr>
        <w:pStyle w:val="TOC1"/>
        <w:tabs>
          <w:tab w:val="left" w:leader="dot" w:pos="720"/>
        </w:tabs>
        <w:rPr>
          <w:sz w:val="22"/>
          <w:lang w:eastAsia="en-AU"/>
        </w:rPr>
      </w:pPr>
      <w:hyperlink w:anchor="_Toc53420979" w:history="1">
        <w:r w:rsidR="003E5BF5" w:rsidRPr="0048158E">
          <w:rPr>
            <w:rStyle w:val="Hyperlink"/>
            <w:rFonts w:ascii="Arial" w:hAnsi="Arial"/>
          </w:rPr>
          <w:t>9.10Remuneration of auditors</w:t>
        </w:r>
        <w:r w:rsidR="003E5BF5" w:rsidRPr="0048158E">
          <w:tab/>
        </w:r>
        <w:r w:rsidR="003E5BF5" w:rsidRPr="0048158E">
          <w:fldChar w:fldCharType="begin"/>
        </w:r>
        <w:r w:rsidR="003E5BF5" w:rsidRPr="0048158E">
          <w:instrText xml:space="preserve"> PAGEREF _Toc53420979 \h </w:instrText>
        </w:r>
        <w:r w:rsidR="003E5BF5" w:rsidRPr="0048158E">
          <w:fldChar w:fldCharType="separate"/>
        </w:r>
        <w:r w:rsidR="005D3CFC">
          <w:t>315</w:t>
        </w:r>
        <w:r w:rsidR="003E5BF5" w:rsidRPr="0048158E">
          <w:fldChar w:fldCharType="end"/>
        </w:r>
      </w:hyperlink>
    </w:p>
    <w:p w14:paraId="60026FA6" w14:textId="3EA5F92E" w:rsidR="003E5BF5" w:rsidRPr="0048158E" w:rsidRDefault="009B2DDD" w:rsidP="005D3CFC">
      <w:pPr>
        <w:pStyle w:val="TOC1"/>
        <w:tabs>
          <w:tab w:val="left" w:leader="dot" w:pos="720"/>
        </w:tabs>
        <w:rPr>
          <w:sz w:val="22"/>
          <w:lang w:eastAsia="en-AU"/>
        </w:rPr>
      </w:pPr>
      <w:hyperlink w:anchor="_Toc53420980" w:history="1">
        <w:r w:rsidR="003E5BF5" w:rsidRPr="0048158E">
          <w:rPr>
            <w:rStyle w:val="Hyperlink"/>
            <w:rFonts w:ascii="Arial" w:hAnsi="Arial"/>
          </w:rPr>
          <w:t>9.11Subsequent events</w:t>
        </w:r>
        <w:r w:rsidR="003E5BF5" w:rsidRPr="0048158E">
          <w:tab/>
        </w:r>
        <w:r w:rsidR="003E5BF5" w:rsidRPr="0048158E">
          <w:fldChar w:fldCharType="begin"/>
        </w:r>
        <w:r w:rsidR="003E5BF5" w:rsidRPr="0048158E">
          <w:instrText xml:space="preserve"> PAGEREF _Toc53420980 \h </w:instrText>
        </w:r>
        <w:r w:rsidR="003E5BF5" w:rsidRPr="0048158E">
          <w:fldChar w:fldCharType="separate"/>
        </w:r>
        <w:r w:rsidR="005D3CFC">
          <w:t>315</w:t>
        </w:r>
        <w:r w:rsidR="003E5BF5" w:rsidRPr="0048158E">
          <w:fldChar w:fldCharType="end"/>
        </w:r>
      </w:hyperlink>
    </w:p>
    <w:p w14:paraId="5882263E" w14:textId="5FEF56A9" w:rsidR="003E5BF5" w:rsidRPr="0048158E" w:rsidRDefault="009B2DDD" w:rsidP="005D3CFC">
      <w:pPr>
        <w:pStyle w:val="TOC1"/>
        <w:tabs>
          <w:tab w:val="left" w:leader="dot" w:pos="720"/>
        </w:tabs>
        <w:rPr>
          <w:sz w:val="22"/>
          <w:lang w:eastAsia="en-AU"/>
        </w:rPr>
      </w:pPr>
      <w:hyperlink w:anchor="_Toc53420981" w:history="1">
        <w:r w:rsidR="003E5BF5" w:rsidRPr="0048158E">
          <w:rPr>
            <w:rStyle w:val="Hyperlink"/>
            <w:rFonts w:ascii="Arial" w:hAnsi="Arial"/>
          </w:rPr>
          <w:t>9.12Other accounting policies</w:t>
        </w:r>
        <w:r w:rsidR="003E5BF5" w:rsidRPr="0048158E">
          <w:tab/>
        </w:r>
        <w:r w:rsidR="003E5BF5" w:rsidRPr="0048158E">
          <w:fldChar w:fldCharType="begin"/>
        </w:r>
        <w:r w:rsidR="003E5BF5" w:rsidRPr="0048158E">
          <w:instrText xml:space="preserve"> PAGEREF _Toc53420981 \h </w:instrText>
        </w:r>
        <w:r w:rsidR="003E5BF5" w:rsidRPr="0048158E">
          <w:fldChar w:fldCharType="separate"/>
        </w:r>
        <w:r w:rsidR="005D3CFC">
          <w:t>316</w:t>
        </w:r>
        <w:r w:rsidR="003E5BF5" w:rsidRPr="0048158E">
          <w:fldChar w:fldCharType="end"/>
        </w:r>
      </w:hyperlink>
    </w:p>
    <w:p w14:paraId="14020ACB" w14:textId="53C848CF" w:rsidR="003E5BF5" w:rsidRPr="0048158E" w:rsidRDefault="009B2DDD" w:rsidP="005D3CFC">
      <w:pPr>
        <w:pStyle w:val="TOC1"/>
        <w:tabs>
          <w:tab w:val="left" w:leader="dot" w:pos="720"/>
        </w:tabs>
        <w:rPr>
          <w:sz w:val="22"/>
          <w:lang w:eastAsia="en-AU"/>
        </w:rPr>
      </w:pPr>
      <w:hyperlink w:anchor="_Toc53420982" w:history="1">
        <w:r w:rsidR="003E5BF5" w:rsidRPr="0048158E">
          <w:rPr>
            <w:rStyle w:val="Hyperlink"/>
            <w:rFonts w:ascii="Arial" w:hAnsi="Arial"/>
          </w:rPr>
          <w:t>9.13Australian Accounting Standards (AAS) issued that are not yet effective</w:t>
        </w:r>
        <w:r w:rsidR="003E5BF5" w:rsidRPr="0048158E">
          <w:tab/>
        </w:r>
        <w:r w:rsidR="003E5BF5" w:rsidRPr="0048158E">
          <w:fldChar w:fldCharType="begin"/>
        </w:r>
        <w:r w:rsidR="003E5BF5" w:rsidRPr="0048158E">
          <w:instrText xml:space="preserve"> PAGEREF _Toc53420982 \h </w:instrText>
        </w:r>
        <w:r w:rsidR="003E5BF5" w:rsidRPr="0048158E">
          <w:fldChar w:fldCharType="separate"/>
        </w:r>
        <w:r w:rsidR="005D3CFC">
          <w:t>318</w:t>
        </w:r>
        <w:r w:rsidR="003E5BF5" w:rsidRPr="0048158E">
          <w:fldChar w:fldCharType="end"/>
        </w:r>
      </w:hyperlink>
    </w:p>
    <w:p w14:paraId="2D64C14C" w14:textId="5BBD0E14" w:rsidR="003E5BF5" w:rsidRPr="0048158E" w:rsidRDefault="009B2DDD" w:rsidP="005D3CFC">
      <w:pPr>
        <w:pStyle w:val="TOC1"/>
        <w:tabs>
          <w:tab w:val="left" w:leader="dot" w:pos="720"/>
        </w:tabs>
        <w:rPr>
          <w:sz w:val="22"/>
          <w:lang w:eastAsia="en-AU"/>
        </w:rPr>
      </w:pPr>
      <w:hyperlink w:anchor="_Toc53420983" w:history="1">
        <w:r w:rsidR="003E5BF5" w:rsidRPr="0048158E">
          <w:rPr>
            <w:rStyle w:val="Hyperlink"/>
            <w:rFonts w:ascii="Arial" w:hAnsi="Arial"/>
          </w:rPr>
          <w:t>9.14Departmental output objectives and descriptions</w:t>
        </w:r>
        <w:r w:rsidR="003E5BF5" w:rsidRPr="0048158E">
          <w:tab/>
        </w:r>
        <w:r w:rsidR="003E5BF5" w:rsidRPr="0048158E">
          <w:fldChar w:fldCharType="begin"/>
        </w:r>
        <w:r w:rsidR="003E5BF5" w:rsidRPr="0048158E">
          <w:instrText xml:space="preserve"> PAGEREF _Toc53420983 \h </w:instrText>
        </w:r>
        <w:r w:rsidR="003E5BF5" w:rsidRPr="0048158E">
          <w:fldChar w:fldCharType="separate"/>
        </w:r>
        <w:r w:rsidR="005D3CFC">
          <w:t>321</w:t>
        </w:r>
        <w:r w:rsidR="003E5BF5" w:rsidRPr="0048158E">
          <w:fldChar w:fldCharType="end"/>
        </w:r>
      </w:hyperlink>
    </w:p>
    <w:p w14:paraId="0D585941" w14:textId="57CBA519" w:rsidR="003E5BF5" w:rsidRPr="0048158E" w:rsidRDefault="009B2DDD" w:rsidP="005D3CFC">
      <w:pPr>
        <w:pStyle w:val="TOC1"/>
        <w:tabs>
          <w:tab w:val="left" w:leader="dot" w:pos="720"/>
        </w:tabs>
        <w:rPr>
          <w:sz w:val="22"/>
          <w:lang w:eastAsia="en-AU"/>
        </w:rPr>
      </w:pPr>
      <w:hyperlink w:anchor="_Toc53420984" w:history="1">
        <w:r w:rsidR="003E5BF5" w:rsidRPr="0048158E">
          <w:rPr>
            <w:rStyle w:val="Hyperlink"/>
            <w:rFonts w:ascii="Arial" w:hAnsi="Arial"/>
          </w:rPr>
          <w:t>9.15Glossary of technical terms</w:t>
        </w:r>
        <w:r w:rsidR="003E5BF5" w:rsidRPr="0048158E">
          <w:tab/>
        </w:r>
        <w:r w:rsidR="003E5BF5" w:rsidRPr="0048158E">
          <w:fldChar w:fldCharType="begin"/>
        </w:r>
        <w:r w:rsidR="003E5BF5" w:rsidRPr="0048158E">
          <w:instrText xml:space="preserve"> PAGEREF _Toc53420984 \h </w:instrText>
        </w:r>
        <w:r w:rsidR="003E5BF5" w:rsidRPr="0048158E">
          <w:fldChar w:fldCharType="separate"/>
        </w:r>
        <w:r w:rsidR="005D3CFC">
          <w:t>326</w:t>
        </w:r>
        <w:r w:rsidR="003E5BF5" w:rsidRPr="0048158E">
          <w:fldChar w:fldCharType="end"/>
        </w:r>
      </w:hyperlink>
    </w:p>
    <w:p w14:paraId="1164C186" w14:textId="4C9650B6" w:rsidR="003E5BF5" w:rsidRPr="0048158E" w:rsidRDefault="009B2DDD" w:rsidP="005D3CFC">
      <w:pPr>
        <w:pStyle w:val="TOC1"/>
        <w:tabs>
          <w:tab w:val="left" w:leader="dot" w:pos="720"/>
        </w:tabs>
      </w:pPr>
      <w:hyperlink w:anchor="_Toc53420985" w:history="1">
        <w:r w:rsidR="003E5BF5" w:rsidRPr="0048158E">
          <w:rPr>
            <w:rStyle w:val="Hyperlink"/>
            <w:rFonts w:ascii="Arial" w:hAnsi="Arial"/>
          </w:rPr>
          <w:t>9.16Style conventions</w:t>
        </w:r>
        <w:r w:rsidR="003E5BF5" w:rsidRPr="0048158E">
          <w:tab/>
        </w:r>
        <w:r w:rsidR="003E5BF5" w:rsidRPr="0048158E">
          <w:fldChar w:fldCharType="begin"/>
        </w:r>
        <w:r w:rsidR="003E5BF5" w:rsidRPr="0048158E">
          <w:instrText xml:space="preserve"> PAGEREF _Toc53420985 \h </w:instrText>
        </w:r>
        <w:r w:rsidR="003E5BF5" w:rsidRPr="0048158E">
          <w:fldChar w:fldCharType="separate"/>
        </w:r>
        <w:r w:rsidR="005D3CFC">
          <w:t>334</w:t>
        </w:r>
        <w:r w:rsidR="003E5BF5" w:rsidRPr="0048158E">
          <w:fldChar w:fldCharType="end"/>
        </w:r>
      </w:hyperlink>
    </w:p>
    <w:p w14:paraId="1E6FD47E" w14:textId="4337B1D3" w:rsidR="00211AE5" w:rsidRDefault="00211AE5" w:rsidP="00211AE5">
      <w:pPr>
        <w:rPr>
          <w:noProof/>
          <w:lang w:eastAsia="zh-CN"/>
        </w:rPr>
      </w:pPr>
    </w:p>
    <w:p w14:paraId="41FDD844" w14:textId="77777777" w:rsidR="00947B11" w:rsidRDefault="003E5BF5" w:rsidP="00DE1921">
      <w:pPr>
        <w:pStyle w:val="TOC2"/>
        <w:framePr w:hSpace="0" w:wrap="auto" w:vAnchor="margin" w:xAlign="left" w:yAlign="inline" w:anchorLock="1"/>
        <w:suppressOverlap w:val="0"/>
      </w:pPr>
      <w:r w:rsidRPr="007444F0">
        <w:fldChar w:fldCharType="end"/>
      </w:r>
    </w:p>
    <w:p w14:paraId="708F81FC" w14:textId="77777777" w:rsidR="00211AE5" w:rsidRDefault="00211AE5" w:rsidP="00947B11">
      <w:pPr>
        <w:rPr>
          <w:lang w:eastAsia="zh-CN"/>
        </w:rPr>
        <w:sectPr w:rsidR="00211AE5" w:rsidSect="00947B11">
          <w:type w:val="continuous"/>
          <w:pgSz w:w="11906" w:h="16838"/>
          <w:pgMar w:top="1701" w:right="1418" w:bottom="1418" w:left="1418" w:header="708" w:footer="708" w:gutter="0"/>
          <w:cols w:space="708"/>
          <w:docGrid w:linePitch="360"/>
        </w:sectPr>
      </w:pPr>
    </w:p>
    <w:p w14:paraId="4159F6F7" w14:textId="4C7A9CED" w:rsidR="003E5BF5" w:rsidRPr="007444F0" w:rsidRDefault="003E5BF5" w:rsidP="00610F5F">
      <w:pPr>
        <w:pStyle w:val="Heading2"/>
        <w:numPr>
          <w:ilvl w:val="1"/>
          <w:numId w:val="22"/>
        </w:numPr>
      </w:pPr>
      <w:bookmarkStart w:id="603" w:name="_Toc522177851"/>
      <w:bookmarkStart w:id="604" w:name="_Toc529197936"/>
      <w:bookmarkStart w:id="605" w:name="_Toc529198001"/>
      <w:bookmarkStart w:id="606" w:name="_Toc530386198"/>
      <w:bookmarkStart w:id="607" w:name="_Toc9344370"/>
      <w:bookmarkStart w:id="608" w:name="_Toc53420692"/>
      <w:bookmarkStart w:id="609" w:name="_Toc53420970"/>
      <w:bookmarkStart w:id="610" w:name="SEC9"/>
      <w:r w:rsidRPr="007444F0">
        <w:t>Ex-gratia expenses</w:t>
      </w:r>
      <w:bookmarkEnd w:id="603"/>
      <w:bookmarkEnd w:id="604"/>
      <w:bookmarkEnd w:id="605"/>
      <w:bookmarkEnd w:id="606"/>
      <w:bookmarkEnd w:id="607"/>
      <w:bookmarkEnd w:id="608"/>
      <w:bookmarkEnd w:id="609"/>
    </w:p>
    <w:p w14:paraId="33644B28" w14:textId="77777777" w:rsidR="003E5BF5" w:rsidRDefault="003E5BF5" w:rsidP="00DE1921">
      <w:pPr>
        <w:spacing w:after="0"/>
        <w:rPr>
          <w:sz w:val="16"/>
        </w:rPr>
      </w:pPr>
    </w:p>
    <w:tbl>
      <w:tblPr>
        <w:tblStyle w:val="TableGrid"/>
        <w:tblW w:w="9072" w:type="dxa"/>
        <w:tblLayout w:type="fixed"/>
        <w:tblLook w:val="04A0" w:firstRow="1" w:lastRow="0" w:firstColumn="1" w:lastColumn="0" w:noHBand="0" w:noVBand="1"/>
      </w:tblPr>
      <w:tblGrid>
        <w:gridCol w:w="6804"/>
        <w:gridCol w:w="1134"/>
        <w:gridCol w:w="1134"/>
      </w:tblGrid>
      <w:tr w:rsidR="003E5BF5" w:rsidRPr="00293D7B" w14:paraId="45039FA1" w14:textId="77777777" w:rsidTr="0012408F">
        <w:trPr>
          <w:trHeight w:val="340"/>
        </w:trPr>
        <w:tc>
          <w:tcPr>
            <w:tcW w:w="6804" w:type="dxa"/>
            <w:shd w:val="clear" w:color="auto" w:fill="auto"/>
            <w:noWrap/>
            <w:vAlign w:val="center"/>
            <w:hideMark/>
          </w:tcPr>
          <w:p w14:paraId="29A406D0" w14:textId="77777777" w:rsidR="003E5BF5" w:rsidRPr="00293D7B" w:rsidRDefault="003E5BF5" w:rsidP="00DE1921">
            <w:pPr>
              <w:pStyle w:val="TableTextLeft"/>
              <w:rPr>
                <w:rFonts w:ascii="Arial" w:hAnsi="Arial" w:cs="Arial"/>
                <w:sz w:val="24"/>
                <w:szCs w:val="24"/>
              </w:rPr>
            </w:pPr>
          </w:p>
        </w:tc>
        <w:tc>
          <w:tcPr>
            <w:tcW w:w="2268" w:type="dxa"/>
            <w:gridSpan w:val="2"/>
            <w:shd w:val="clear" w:color="auto" w:fill="auto"/>
            <w:noWrap/>
            <w:vAlign w:val="center"/>
            <w:hideMark/>
          </w:tcPr>
          <w:p w14:paraId="14A625C4" w14:textId="77777777" w:rsidR="003E5BF5" w:rsidRPr="00293D7B" w:rsidRDefault="003E5BF5" w:rsidP="00DE1921">
            <w:pPr>
              <w:pStyle w:val="TableTextCentreBold"/>
              <w:rPr>
                <w:rFonts w:ascii="Arial" w:hAnsi="Arial" w:cs="Arial"/>
                <w:sz w:val="24"/>
                <w:szCs w:val="24"/>
              </w:rPr>
            </w:pPr>
            <w:r w:rsidRPr="00293D7B">
              <w:rPr>
                <w:rFonts w:ascii="Arial" w:hAnsi="Arial" w:cs="Arial"/>
                <w:sz w:val="24"/>
                <w:szCs w:val="24"/>
              </w:rPr>
              <w:t>($ thousand)</w:t>
            </w:r>
          </w:p>
        </w:tc>
      </w:tr>
      <w:tr w:rsidR="003E5BF5" w:rsidRPr="00293D7B" w14:paraId="27479E77" w14:textId="77777777" w:rsidTr="0012408F">
        <w:trPr>
          <w:trHeight w:val="340"/>
        </w:trPr>
        <w:tc>
          <w:tcPr>
            <w:tcW w:w="6804" w:type="dxa"/>
            <w:shd w:val="clear" w:color="auto" w:fill="auto"/>
            <w:noWrap/>
            <w:vAlign w:val="center"/>
            <w:hideMark/>
          </w:tcPr>
          <w:p w14:paraId="370FABA5" w14:textId="77777777" w:rsidR="003E5BF5" w:rsidRPr="00293D7B" w:rsidRDefault="003E5BF5" w:rsidP="00DE1921">
            <w:pPr>
              <w:pStyle w:val="TableTextLeft"/>
              <w:rPr>
                <w:rFonts w:ascii="Arial" w:hAnsi="Arial" w:cs="Arial"/>
                <w:sz w:val="24"/>
                <w:szCs w:val="24"/>
              </w:rPr>
            </w:pPr>
          </w:p>
        </w:tc>
        <w:tc>
          <w:tcPr>
            <w:tcW w:w="1134" w:type="dxa"/>
            <w:shd w:val="clear" w:color="auto" w:fill="auto"/>
            <w:noWrap/>
            <w:vAlign w:val="center"/>
            <w:hideMark/>
          </w:tcPr>
          <w:p w14:paraId="6F38AFB5"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sz w:val="24"/>
                <w:szCs w:val="24"/>
              </w:rPr>
              <w:t>2020</w:t>
            </w:r>
          </w:p>
        </w:tc>
        <w:tc>
          <w:tcPr>
            <w:tcW w:w="1134" w:type="dxa"/>
            <w:shd w:val="clear" w:color="auto" w:fill="auto"/>
            <w:noWrap/>
            <w:vAlign w:val="center"/>
            <w:hideMark/>
          </w:tcPr>
          <w:p w14:paraId="6CB999A1" w14:textId="77777777" w:rsidR="003E5BF5" w:rsidRPr="00293D7B" w:rsidRDefault="003E5BF5" w:rsidP="00DE1921">
            <w:pPr>
              <w:pStyle w:val="TableTextRightBold"/>
              <w:rPr>
                <w:rFonts w:ascii="Arial" w:hAnsi="Arial" w:cs="Arial"/>
                <w:sz w:val="24"/>
                <w:szCs w:val="24"/>
              </w:rPr>
            </w:pPr>
            <w:r w:rsidRPr="00293D7B">
              <w:rPr>
                <w:rFonts w:ascii="Arial" w:hAnsi="Arial" w:cs="Arial"/>
                <w:sz w:val="24"/>
                <w:szCs w:val="24"/>
              </w:rPr>
              <w:t>2019</w:t>
            </w:r>
          </w:p>
        </w:tc>
      </w:tr>
      <w:tr w:rsidR="003E5BF5" w:rsidRPr="00293D7B" w14:paraId="2F216A85" w14:textId="77777777" w:rsidTr="0012408F">
        <w:trPr>
          <w:trHeight w:val="340"/>
        </w:trPr>
        <w:tc>
          <w:tcPr>
            <w:tcW w:w="6804" w:type="dxa"/>
            <w:shd w:val="clear" w:color="auto" w:fill="auto"/>
            <w:noWrap/>
            <w:vAlign w:val="center"/>
            <w:hideMark/>
          </w:tcPr>
          <w:p w14:paraId="01970125"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Employee hardship payments</w:t>
            </w:r>
          </w:p>
        </w:tc>
        <w:tc>
          <w:tcPr>
            <w:tcW w:w="1134" w:type="dxa"/>
            <w:shd w:val="clear" w:color="auto" w:fill="auto"/>
            <w:noWrap/>
            <w:vAlign w:val="center"/>
            <w:hideMark/>
          </w:tcPr>
          <w:p w14:paraId="1913879D"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 - </w:t>
            </w:r>
          </w:p>
        </w:tc>
        <w:tc>
          <w:tcPr>
            <w:tcW w:w="1134" w:type="dxa"/>
            <w:shd w:val="clear" w:color="auto" w:fill="auto"/>
            <w:noWrap/>
            <w:vAlign w:val="center"/>
            <w:hideMark/>
          </w:tcPr>
          <w:p w14:paraId="1D465B18"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 xml:space="preserve">10 </w:t>
            </w:r>
          </w:p>
        </w:tc>
      </w:tr>
      <w:tr w:rsidR="003E5BF5" w:rsidRPr="00293D7B" w14:paraId="00FCEB7B" w14:textId="77777777" w:rsidTr="0012408F">
        <w:trPr>
          <w:trHeight w:val="340"/>
        </w:trPr>
        <w:tc>
          <w:tcPr>
            <w:tcW w:w="6804" w:type="dxa"/>
            <w:shd w:val="clear" w:color="auto" w:fill="auto"/>
            <w:noWrap/>
            <w:vAlign w:val="center"/>
            <w:hideMark/>
          </w:tcPr>
          <w:p w14:paraId="30003464" w14:textId="77777777" w:rsidR="003E5BF5" w:rsidRPr="00293D7B" w:rsidRDefault="003E5BF5" w:rsidP="00DE1921">
            <w:pPr>
              <w:pStyle w:val="TableTextLeftBold"/>
              <w:rPr>
                <w:rFonts w:ascii="Arial" w:hAnsi="Arial" w:cs="Arial"/>
                <w:b w:val="0"/>
                <w:sz w:val="24"/>
                <w:szCs w:val="24"/>
              </w:rPr>
            </w:pPr>
            <w:r w:rsidRPr="00293D7B">
              <w:rPr>
                <w:rFonts w:ascii="Arial" w:hAnsi="Arial" w:cs="Arial"/>
                <w:sz w:val="24"/>
                <w:szCs w:val="24"/>
              </w:rPr>
              <w:t>Total ex-gratia expenses</w:t>
            </w:r>
          </w:p>
        </w:tc>
        <w:tc>
          <w:tcPr>
            <w:tcW w:w="1134" w:type="dxa"/>
            <w:shd w:val="clear" w:color="auto" w:fill="auto"/>
            <w:noWrap/>
            <w:vAlign w:val="center"/>
            <w:hideMark/>
          </w:tcPr>
          <w:p w14:paraId="12E6A7C6" w14:textId="77777777" w:rsidR="003E5BF5" w:rsidRPr="00293D7B" w:rsidRDefault="003E5BF5" w:rsidP="00DE1921">
            <w:pPr>
              <w:pStyle w:val="TableTextRightBold"/>
              <w:rPr>
                <w:rFonts w:ascii="Arial" w:hAnsi="Arial" w:cs="Arial"/>
                <w:sz w:val="24"/>
                <w:szCs w:val="24"/>
              </w:rPr>
            </w:pPr>
            <w:r w:rsidRPr="00293D7B">
              <w:rPr>
                <w:rFonts w:ascii="Arial" w:hAnsi="Arial" w:cs="Arial"/>
                <w:sz w:val="24"/>
                <w:szCs w:val="24"/>
              </w:rPr>
              <w:t xml:space="preserve"> - </w:t>
            </w:r>
          </w:p>
        </w:tc>
        <w:tc>
          <w:tcPr>
            <w:tcW w:w="1134" w:type="dxa"/>
            <w:shd w:val="clear" w:color="auto" w:fill="auto"/>
            <w:noWrap/>
            <w:vAlign w:val="center"/>
            <w:hideMark/>
          </w:tcPr>
          <w:p w14:paraId="35BF250B"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 xml:space="preserve">10 </w:t>
            </w:r>
          </w:p>
        </w:tc>
      </w:tr>
    </w:tbl>
    <w:p w14:paraId="01E28CA1" w14:textId="77777777" w:rsidR="003E5BF5" w:rsidRDefault="003E5BF5" w:rsidP="00DE1921">
      <w:bookmarkStart w:id="611" w:name="p289"/>
      <w:bookmarkEnd w:id="611"/>
    </w:p>
    <w:p w14:paraId="6B399FC7" w14:textId="77777777" w:rsidR="003E5BF5" w:rsidRDefault="003E5BF5" w:rsidP="00D74D26">
      <w:pPr>
        <w:pStyle w:val="aaatyping"/>
      </w:pPr>
      <w:r w:rsidRPr="007444F0">
        <w:t xml:space="preserve">Ex gratia expenses </w:t>
      </w:r>
      <w:r>
        <w:t>are</w:t>
      </w:r>
      <w:r w:rsidRPr="007444F0">
        <w:t xml:space="preserve"> the voluntary payment of money or other non-monetary benefit (e.g. a write off) that is not made either to acquire </w:t>
      </w:r>
      <w:r w:rsidRPr="007444F0">
        <w:lastRenderedPageBreak/>
        <w:t>goods, services or other benefits for the entity or to meet a legal liability, or to settle or resolve a possible legal liability or claim against the entity.</w:t>
      </w:r>
    </w:p>
    <w:p w14:paraId="62CE5988" w14:textId="77777777" w:rsidR="003E5BF5" w:rsidRPr="007444F0" w:rsidRDefault="003E5BF5" w:rsidP="00610F5F">
      <w:pPr>
        <w:pStyle w:val="Heading2"/>
        <w:numPr>
          <w:ilvl w:val="1"/>
          <w:numId w:val="22"/>
        </w:numPr>
      </w:pPr>
      <w:bookmarkStart w:id="612" w:name="_Other_economic_flows"/>
      <w:bookmarkStart w:id="613" w:name="_Toc522177852"/>
      <w:bookmarkStart w:id="614" w:name="_Toc529197937"/>
      <w:bookmarkStart w:id="615" w:name="_Toc529198002"/>
      <w:bookmarkStart w:id="616" w:name="_Toc530386199"/>
      <w:bookmarkStart w:id="617" w:name="_Toc9344371"/>
      <w:bookmarkStart w:id="618" w:name="_Toc53420693"/>
      <w:bookmarkStart w:id="619" w:name="_Toc53420971"/>
      <w:bookmarkEnd w:id="612"/>
      <w:r w:rsidRPr="007444F0">
        <w:t>Other economic flows included in net result</w:t>
      </w:r>
      <w:bookmarkEnd w:id="613"/>
      <w:bookmarkEnd w:id="614"/>
      <w:bookmarkEnd w:id="615"/>
      <w:bookmarkEnd w:id="616"/>
      <w:bookmarkEnd w:id="617"/>
      <w:bookmarkEnd w:id="618"/>
      <w:bookmarkEnd w:id="619"/>
    </w:p>
    <w:p w14:paraId="214D9019" w14:textId="77777777" w:rsidR="003E5BF5" w:rsidRPr="007444F0" w:rsidRDefault="003E5BF5" w:rsidP="00D74D26">
      <w:pPr>
        <w:pStyle w:val="aaatyping"/>
      </w:pPr>
      <w:r w:rsidRPr="007444F0">
        <w:t>Other economic flows are changes in the volume or value of an asset or liability that do not result from transactions.</w:t>
      </w:r>
      <w:r>
        <w:t xml:space="preserve"> </w:t>
      </w:r>
      <w:r w:rsidRPr="007444F0">
        <w:t>Other gains/(losses) from other economic flows include the gains or losses from:</w:t>
      </w:r>
    </w:p>
    <w:p w14:paraId="379DD2D1" w14:textId="77777777" w:rsidR="003E5BF5" w:rsidRPr="007444F0" w:rsidRDefault="003E5BF5" w:rsidP="00D74D26">
      <w:pPr>
        <w:pStyle w:val="aaabullet"/>
      </w:pPr>
      <w:r w:rsidRPr="007444F0">
        <w:t>the revaluation of the present value of the long service leave liability due to changes in the bond interest rates</w:t>
      </w:r>
    </w:p>
    <w:p w14:paraId="3CAD7D8F" w14:textId="77777777" w:rsidR="003E5BF5" w:rsidRPr="007444F0" w:rsidRDefault="003E5BF5" w:rsidP="00D74D26">
      <w:pPr>
        <w:pStyle w:val="aaabullet"/>
      </w:pPr>
      <w:r w:rsidRPr="007444F0">
        <w:t xml:space="preserve">reclassified amounts relating to available-for-sale financial instruments from the reserves to net result due to a disposal or derecognition of the financial instrument. This does not include reclassification between equity accounts due to </w:t>
      </w:r>
      <w:proofErr w:type="spellStart"/>
      <w:r>
        <w:t>MoG</w:t>
      </w:r>
      <w:proofErr w:type="spellEnd"/>
      <w:r w:rsidRPr="007444F0">
        <w:t xml:space="preserve"> changes or ‘other transfers’ of assets.</w:t>
      </w:r>
    </w:p>
    <w:tbl>
      <w:tblPr>
        <w:tblStyle w:val="TableGrid"/>
        <w:tblW w:w="9345" w:type="dxa"/>
        <w:tblLook w:val="04A0" w:firstRow="1" w:lastRow="0" w:firstColumn="1" w:lastColumn="0" w:noHBand="0" w:noVBand="1"/>
      </w:tblPr>
      <w:tblGrid>
        <w:gridCol w:w="6922"/>
        <w:gridCol w:w="1244"/>
        <w:gridCol w:w="1179"/>
      </w:tblGrid>
      <w:tr w:rsidR="003E5BF5" w:rsidRPr="00293D7B" w14:paraId="211E3D85" w14:textId="77777777" w:rsidTr="00635FBD">
        <w:trPr>
          <w:trHeight w:val="340"/>
        </w:trPr>
        <w:tc>
          <w:tcPr>
            <w:tcW w:w="6922" w:type="dxa"/>
            <w:shd w:val="clear" w:color="auto" w:fill="auto"/>
            <w:noWrap/>
            <w:hideMark/>
          </w:tcPr>
          <w:p w14:paraId="66B6A46C" w14:textId="77777777" w:rsidR="003E5BF5" w:rsidRPr="00293D7B" w:rsidRDefault="003E5BF5" w:rsidP="00DE1921">
            <w:pPr>
              <w:rPr>
                <w:rFonts w:ascii="Arial" w:hAnsi="Arial" w:cs="Arial"/>
                <w:sz w:val="24"/>
                <w:szCs w:val="24"/>
                <w:lang w:eastAsia="en-AU"/>
              </w:rPr>
            </w:pPr>
            <w:bookmarkStart w:id="620" w:name="RANGE!A4:C36"/>
            <w:bookmarkStart w:id="621" w:name="RANGE!A4:C34"/>
            <w:bookmarkStart w:id="622" w:name="_Toc522177853"/>
            <w:bookmarkStart w:id="623" w:name="_Toc529197938"/>
            <w:bookmarkStart w:id="624" w:name="_Toc529198003"/>
            <w:bookmarkStart w:id="625" w:name="_Toc530386200"/>
            <w:bookmarkStart w:id="626" w:name="_Toc9344372"/>
            <w:bookmarkEnd w:id="620"/>
            <w:bookmarkEnd w:id="621"/>
          </w:p>
        </w:tc>
        <w:tc>
          <w:tcPr>
            <w:tcW w:w="2423" w:type="dxa"/>
            <w:gridSpan w:val="2"/>
            <w:shd w:val="clear" w:color="auto" w:fill="auto"/>
            <w:noWrap/>
            <w:vAlign w:val="center"/>
            <w:hideMark/>
          </w:tcPr>
          <w:p w14:paraId="07CEBC66"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 thousand)</w:t>
            </w:r>
          </w:p>
        </w:tc>
      </w:tr>
      <w:tr w:rsidR="003E5BF5" w:rsidRPr="00293D7B" w14:paraId="1FE0927D" w14:textId="77777777" w:rsidTr="00635FBD">
        <w:trPr>
          <w:trHeight w:val="340"/>
        </w:trPr>
        <w:tc>
          <w:tcPr>
            <w:tcW w:w="6922" w:type="dxa"/>
            <w:shd w:val="clear" w:color="auto" w:fill="auto"/>
            <w:noWrap/>
            <w:hideMark/>
          </w:tcPr>
          <w:p w14:paraId="202ACE17" w14:textId="77777777" w:rsidR="003E5BF5" w:rsidRPr="00293D7B" w:rsidRDefault="003E5BF5" w:rsidP="00DE1921">
            <w:pPr>
              <w:rPr>
                <w:rFonts w:ascii="Arial" w:hAnsi="Arial" w:cs="Arial"/>
                <w:sz w:val="24"/>
                <w:szCs w:val="24"/>
                <w:lang w:eastAsia="en-AU"/>
              </w:rPr>
            </w:pPr>
          </w:p>
        </w:tc>
        <w:tc>
          <w:tcPr>
            <w:tcW w:w="1244" w:type="dxa"/>
            <w:shd w:val="clear" w:color="auto" w:fill="auto"/>
            <w:noWrap/>
            <w:vAlign w:val="center"/>
            <w:hideMark/>
          </w:tcPr>
          <w:p w14:paraId="253119BB"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2020</w:t>
            </w:r>
          </w:p>
        </w:tc>
        <w:tc>
          <w:tcPr>
            <w:tcW w:w="1179" w:type="dxa"/>
            <w:shd w:val="clear" w:color="auto" w:fill="auto"/>
            <w:noWrap/>
            <w:vAlign w:val="center"/>
            <w:hideMark/>
          </w:tcPr>
          <w:p w14:paraId="67B4D873"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2019</w:t>
            </w:r>
          </w:p>
        </w:tc>
      </w:tr>
      <w:tr w:rsidR="003E5BF5" w:rsidRPr="00293D7B" w14:paraId="01392DAE" w14:textId="77777777" w:rsidTr="00635FBD">
        <w:trPr>
          <w:trHeight w:val="340"/>
        </w:trPr>
        <w:tc>
          <w:tcPr>
            <w:tcW w:w="6922" w:type="dxa"/>
            <w:shd w:val="clear" w:color="auto" w:fill="auto"/>
            <w:noWrap/>
            <w:vAlign w:val="center"/>
            <w:hideMark/>
          </w:tcPr>
          <w:p w14:paraId="05608FAB" w14:textId="77777777" w:rsidR="003E5BF5" w:rsidRPr="00293D7B" w:rsidRDefault="003E5BF5" w:rsidP="00604703">
            <w:pPr>
              <w:pStyle w:val="TableTextGreen"/>
              <w:rPr>
                <w:lang w:eastAsia="en-AU"/>
              </w:rPr>
            </w:pPr>
            <w:r w:rsidRPr="00293D7B">
              <w:rPr>
                <w:lang w:eastAsia="en-AU"/>
              </w:rPr>
              <w:t>Net gain/(loss) on non-financial assets</w:t>
            </w:r>
          </w:p>
        </w:tc>
        <w:tc>
          <w:tcPr>
            <w:tcW w:w="1244" w:type="dxa"/>
            <w:shd w:val="clear" w:color="auto" w:fill="auto"/>
            <w:noWrap/>
            <w:vAlign w:val="center"/>
            <w:hideMark/>
          </w:tcPr>
          <w:p w14:paraId="647446D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c>
          <w:tcPr>
            <w:tcW w:w="1179" w:type="dxa"/>
            <w:shd w:val="clear" w:color="auto" w:fill="auto"/>
            <w:noWrap/>
            <w:vAlign w:val="center"/>
            <w:hideMark/>
          </w:tcPr>
          <w:p w14:paraId="5BCDCCD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w:t>
            </w:r>
          </w:p>
        </w:tc>
      </w:tr>
      <w:tr w:rsidR="003E5BF5" w:rsidRPr="00293D7B" w14:paraId="00FEB9EA" w14:textId="77777777" w:rsidTr="00635FBD">
        <w:trPr>
          <w:trHeight w:val="340"/>
        </w:trPr>
        <w:tc>
          <w:tcPr>
            <w:tcW w:w="6922" w:type="dxa"/>
            <w:shd w:val="clear" w:color="auto" w:fill="auto"/>
            <w:noWrap/>
            <w:vAlign w:val="center"/>
            <w:hideMark/>
          </w:tcPr>
          <w:p w14:paraId="099A1533"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Gross proceeds from sale of leased vehicles</w:t>
            </w:r>
          </w:p>
        </w:tc>
        <w:tc>
          <w:tcPr>
            <w:tcW w:w="1244" w:type="dxa"/>
            <w:shd w:val="clear" w:color="auto" w:fill="auto"/>
            <w:noWrap/>
            <w:vAlign w:val="center"/>
            <w:hideMark/>
          </w:tcPr>
          <w:p w14:paraId="772C06B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854 </w:t>
            </w:r>
          </w:p>
        </w:tc>
        <w:tc>
          <w:tcPr>
            <w:tcW w:w="1179" w:type="dxa"/>
            <w:shd w:val="clear" w:color="auto" w:fill="auto"/>
            <w:noWrap/>
            <w:vAlign w:val="center"/>
            <w:hideMark/>
          </w:tcPr>
          <w:p w14:paraId="6F0A80D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1,549 </w:t>
            </w:r>
          </w:p>
        </w:tc>
      </w:tr>
      <w:tr w:rsidR="003E5BF5" w:rsidRPr="00293D7B" w14:paraId="27100338" w14:textId="77777777" w:rsidTr="00635FBD">
        <w:trPr>
          <w:trHeight w:val="340"/>
        </w:trPr>
        <w:tc>
          <w:tcPr>
            <w:tcW w:w="6922" w:type="dxa"/>
            <w:shd w:val="clear" w:color="auto" w:fill="auto"/>
            <w:noWrap/>
            <w:vAlign w:val="center"/>
            <w:hideMark/>
          </w:tcPr>
          <w:p w14:paraId="472F03D3"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Disposal of leased vehicles</w:t>
            </w:r>
          </w:p>
        </w:tc>
        <w:tc>
          <w:tcPr>
            <w:tcW w:w="1244" w:type="dxa"/>
            <w:shd w:val="clear" w:color="auto" w:fill="auto"/>
            <w:noWrap/>
            <w:vAlign w:val="center"/>
            <w:hideMark/>
          </w:tcPr>
          <w:p w14:paraId="71B289DF"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(1,987)</w:t>
            </w:r>
          </w:p>
        </w:tc>
        <w:tc>
          <w:tcPr>
            <w:tcW w:w="1179" w:type="dxa"/>
            <w:shd w:val="clear" w:color="auto" w:fill="auto"/>
            <w:noWrap/>
            <w:vAlign w:val="center"/>
            <w:hideMark/>
          </w:tcPr>
          <w:p w14:paraId="69601B9B"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(1,613)</w:t>
            </w:r>
          </w:p>
        </w:tc>
      </w:tr>
      <w:tr w:rsidR="003E5BF5" w:rsidRPr="00293D7B" w14:paraId="05591CA8" w14:textId="77777777" w:rsidTr="00635FBD">
        <w:trPr>
          <w:trHeight w:val="340"/>
        </w:trPr>
        <w:tc>
          <w:tcPr>
            <w:tcW w:w="6922" w:type="dxa"/>
            <w:shd w:val="clear" w:color="auto" w:fill="auto"/>
            <w:noWrap/>
            <w:vAlign w:val="center"/>
            <w:hideMark/>
          </w:tcPr>
          <w:p w14:paraId="2C584320"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Revaluation write-down property, plant and equipment</w:t>
            </w:r>
          </w:p>
        </w:tc>
        <w:tc>
          <w:tcPr>
            <w:tcW w:w="1244" w:type="dxa"/>
            <w:shd w:val="clear" w:color="auto" w:fill="auto"/>
            <w:noWrap/>
            <w:vAlign w:val="center"/>
            <w:hideMark/>
          </w:tcPr>
          <w:p w14:paraId="5113FCE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(521,401)</w:t>
            </w:r>
          </w:p>
        </w:tc>
        <w:tc>
          <w:tcPr>
            <w:tcW w:w="1179" w:type="dxa"/>
            <w:shd w:val="clear" w:color="auto" w:fill="auto"/>
            <w:noWrap/>
            <w:vAlign w:val="center"/>
            <w:hideMark/>
          </w:tcPr>
          <w:p w14:paraId="06DA722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(3,000)</w:t>
            </w:r>
          </w:p>
        </w:tc>
      </w:tr>
      <w:tr w:rsidR="003E5BF5" w:rsidRPr="00293D7B" w14:paraId="3436E0CB" w14:textId="77777777" w:rsidTr="00635FBD">
        <w:trPr>
          <w:trHeight w:val="340"/>
        </w:trPr>
        <w:tc>
          <w:tcPr>
            <w:tcW w:w="6922" w:type="dxa"/>
            <w:shd w:val="clear" w:color="auto" w:fill="auto"/>
            <w:noWrap/>
            <w:vAlign w:val="center"/>
            <w:hideMark/>
          </w:tcPr>
          <w:p w14:paraId="46AD0324"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Loss on disposal of property, plant and equipment</w:t>
            </w:r>
          </w:p>
        </w:tc>
        <w:tc>
          <w:tcPr>
            <w:tcW w:w="1244" w:type="dxa"/>
            <w:shd w:val="clear" w:color="auto" w:fill="auto"/>
            <w:noWrap/>
            <w:vAlign w:val="center"/>
            <w:hideMark/>
          </w:tcPr>
          <w:p w14:paraId="765E591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(63,570)</w:t>
            </w:r>
          </w:p>
        </w:tc>
        <w:tc>
          <w:tcPr>
            <w:tcW w:w="1179" w:type="dxa"/>
            <w:shd w:val="clear" w:color="auto" w:fill="auto"/>
            <w:noWrap/>
            <w:vAlign w:val="center"/>
            <w:hideMark/>
          </w:tcPr>
          <w:p w14:paraId="1C8BA49D"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(59)</w:t>
            </w:r>
          </w:p>
        </w:tc>
      </w:tr>
      <w:tr w:rsidR="003E5BF5" w:rsidRPr="00293D7B" w14:paraId="7956E2AE" w14:textId="77777777" w:rsidTr="00635FBD">
        <w:trPr>
          <w:trHeight w:val="340"/>
        </w:trPr>
        <w:tc>
          <w:tcPr>
            <w:tcW w:w="6922" w:type="dxa"/>
            <w:shd w:val="clear" w:color="auto" w:fill="auto"/>
            <w:noWrap/>
            <w:vAlign w:val="center"/>
            <w:hideMark/>
          </w:tcPr>
          <w:p w14:paraId="385AA9B5"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Loss on disposal of intangible assets</w:t>
            </w:r>
          </w:p>
        </w:tc>
        <w:tc>
          <w:tcPr>
            <w:tcW w:w="1244" w:type="dxa"/>
            <w:shd w:val="clear" w:color="auto" w:fill="auto"/>
            <w:noWrap/>
            <w:vAlign w:val="center"/>
            <w:hideMark/>
          </w:tcPr>
          <w:p w14:paraId="092D560E"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(8,053)</w:t>
            </w:r>
          </w:p>
        </w:tc>
        <w:tc>
          <w:tcPr>
            <w:tcW w:w="1179" w:type="dxa"/>
            <w:shd w:val="clear" w:color="auto" w:fill="auto"/>
            <w:noWrap/>
            <w:vAlign w:val="center"/>
            <w:hideMark/>
          </w:tcPr>
          <w:p w14:paraId="2B4B0DA3"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r>
      <w:tr w:rsidR="003E5BF5" w:rsidRPr="00293D7B" w14:paraId="40640743" w14:textId="77777777" w:rsidTr="00635FBD">
        <w:trPr>
          <w:trHeight w:val="340"/>
        </w:trPr>
        <w:tc>
          <w:tcPr>
            <w:tcW w:w="6922" w:type="dxa"/>
            <w:shd w:val="clear" w:color="auto" w:fill="auto"/>
            <w:noWrap/>
            <w:vAlign w:val="center"/>
            <w:hideMark/>
          </w:tcPr>
          <w:p w14:paraId="15431D75"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net loss on non-financial assets</w:t>
            </w:r>
          </w:p>
        </w:tc>
        <w:tc>
          <w:tcPr>
            <w:tcW w:w="1244" w:type="dxa"/>
            <w:shd w:val="clear" w:color="auto" w:fill="auto"/>
            <w:noWrap/>
            <w:vAlign w:val="center"/>
            <w:hideMark/>
          </w:tcPr>
          <w:p w14:paraId="4ACDC8E0"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(594,157)</w:t>
            </w:r>
          </w:p>
        </w:tc>
        <w:tc>
          <w:tcPr>
            <w:tcW w:w="1179" w:type="dxa"/>
            <w:shd w:val="clear" w:color="auto" w:fill="auto"/>
            <w:noWrap/>
            <w:vAlign w:val="center"/>
            <w:hideMark/>
          </w:tcPr>
          <w:p w14:paraId="53A01C2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(3,123)</w:t>
            </w:r>
          </w:p>
        </w:tc>
      </w:tr>
      <w:tr w:rsidR="003E5BF5" w:rsidRPr="00293D7B" w14:paraId="04953CF1" w14:textId="77777777" w:rsidTr="00635FBD">
        <w:trPr>
          <w:trHeight w:val="340"/>
        </w:trPr>
        <w:tc>
          <w:tcPr>
            <w:tcW w:w="6922" w:type="dxa"/>
            <w:shd w:val="clear" w:color="auto" w:fill="auto"/>
            <w:noWrap/>
            <w:vAlign w:val="center"/>
            <w:hideMark/>
          </w:tcPr>
          <w:p w14:paraId="5877770C" w14:textId="77777777" w:rsidR="003E5BF5" w:rsidRPr="00293D7B" w:rsidRDefault="003E5BF5" w:rsidP="00604703">
            <w:pPr>
              <w:pStyle w:val="TableTextGreen"/>
              <w:rPr>
                <w:lang w:eastAsia="en-AU"/>
              </w:rPr>
            </w:pPr>
            <w:r w:rsidRPr="00293D7B">
              <w:rPr>
                <w:lang w:eastAsia="en-AU"/>
              </w:rPr>
              <w:t>Net gains/(losses) on financial instruments</w:t>
            </w:r>
          </w:p>
        </w:tc>
        <w:tc>
          <w:tcPr>
            <w:tcW w:w="1244" w:type="dxa"/>
            <w:shd w:val="clear" w:color="auto" w:fill="auto"/>
            <w:noWrap/>
            <w:vAlign w:val="center"/>
            <w:hideMark/>
          </w:tcPr>
          <w:p w14:paraId="7A1EDBCD" w14:textId="77777777" w:rsidR="003E5BF5" w:rsidRPr="00293D7B" w:rsidRDefault="003E5BF5" w:rsidP="00DE1921">
            <w:pPr>
              <w:jc w:val="right"/>
              <w:rPr>
                <w:rFonts w:ascii="Arial" w:hAnsi="Arial" w:cs="Arial"/>
                <w:b/>
                <w:sz w:val="24"/>
                <w:szCs w:val="24"/>
                <w:lang w:eastAsia="en-AU"/>
              </w:rPr>
            </w:pPr>
          </w:p>
        </w:tc>
        <w:tc>
          <w:tcPr>
            <w:tcW w:w="1179" w:type="dxa"/>
            <w:shd w:val="clear" w:color="auto" w:fill="auto"/>
            <w:noWrap/>
            <w:vAlign w:val="center"/>
            <w:hideMark/>
          </w:tcPr>
          <w:p w14:paraId="0CE33C84" w14:textId="77777777" w:rsidR="003E5BF5" w:rsidRPr="00293D7B" w:rsidRDefault="003E5BF5" w:rsidP="00DE1921">
            <w:pPr>
              <w:jc w:val="right"/>
              <w:rPr>
                <w:rFonts w:ascii="Arial" w:hAnsi="Arial" w:cs="Arial"/>
                <w:sz w:val="24"/>
                <w:szCs w:val="24"/>
                <w:lang w:eastAsia="en-AU"/>
              </w:rPr>
            </w:pPr>
          </w:p>
        </w:tc>
      </w:tr>
      <w:tr w:rsidR="003E5BF5" w:rsidRPr="00293D7B" w14:paraId="42BDF9B7" w14:textId="77777777" w:rsidTr="00635FBD">
        <w:trPr>
          <w:trHeight w:val="340"/>
        </w:trPr>
        <w:tc>
          <w:tcPr>
            <w:tcW w:w="6922" w:type="dxa"/>
            <w:shd w:val="clear" w:color="auto" w:fill="auto"/>
            <w:noWrap/>
            <w:vAlign w:val="center"/>
            <w:hideMark/>
          </w:tcPr>
          <w:p w14:paraId="6C4FAABC"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Gain/(impairment) of loans and receivable</w:t>
            </w:r>
          </w:p>
        </w:tc>
        <w:tc>
          <w:tcPr>
            <w:tcW w:w="1244" w:type="dxa"/>
            <w:shd w:val="clear" w:color="auto" w:fill="auto"/>
            <w:noWrap/>
            <w:vAlign w:val="center"/>
            <w:hideMark/>
          </w:tcPr>
          <w:p w14:paraId="4755EF8C"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(3,622)</w:t>
            </w:r>
          </w:p>
        </w:tc>
        <w:tc>
          <w:tcPr>
            <w:tcW w:w="1179" w:type="dxa"/>
            <w:shd w:val="clear" w:color="auto" w:fill="auto"/>
            <w:noWrap/>
            <w:vAlign w:val="center"/>
            <w:hideMark/>
          </w:tcPr>
          <w:p w14:paraId="46D3B470"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r>
      <w:tr w:rsidR="003E5BF5" w:rsidRPr="00293D7B" w14:paraId="610817D0" w14:textId="77777777" w:rsidTr="00635FBD">
        <w:trPr>
          <w:trHeight w:val="340"/>
        </w:trPr>
        <w:tc>
          <w:tcPr>
            <w:tcW w:w="6922" w:type="dxa"/>
            <w:shd w:val="clear" w:color="auto" w:fill="auto"/>
            <w:noWrap/>
            <w:vAlign w:val="center"/>
            <w:hideMark/>
          </w:tcPr>
          <w:p w14:paraId="0D21B0D5"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Realised gain/(loss) on foreign exchange hedge</w:t>
            </w:r>
          </w:p>
        </w:tc>
        <w:tc>
          <w:tcPr>
            <w:tcW w:w="1244" w:type="dxa"/>
            <w:shd w:val="clear" w:color="auto" w:fill="auto"/>
            <w:noWrap/>
            <w:vAlign w:val="center"/>
            <w:hideMark/>
          </w:tcPr>
          <w:p w14:paraId="60899C9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1179" w:type="dxa"/>
            <w:shd w:val="clear" w:color="auto" w:fill="auto"/>
            <w:noWrap/>
            <w:vAlign w:val="center"/>
            <w:hideMark/>
          </w:tcPr>
          <w:p w14:paraId="1A48419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(452)</w:t>
            </w:r>
          </w:p>
        </w:tc>
      </w:tr>
      <w:tr w:rsidR="003E5BF5" w:rsidRPr="00293D7B" w14:paraId="14F047E7" w14:textId="77777777" w:rsidTr="00635FBD">
        <w:trPr>
          <w:trHeight w:val="340"/>
        </w:trPr>
        <w:tc>
          <w:tcPr>
            <w:tcW w:w="6922" w:type="dxa"/>
            <w:shd w:val="clear" w:color="auto" w:fill="auto"/>
            <w:noWrap/>
            <w:vAlign w:val="center"/>
            <w:hideMark/>
          </w:tcPr>
          <w:p w14:paraId="0E8672FD"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net gains/(losses) on financial instruments</w:t>
            </w:r>
          </w:p>
        </w:tc>
        <w:tc>
          <w:tcPr>
            <w:tcW w:w="1244" w:type="dxa"/>
            <w:shd w:val="clear" w:color="auto" w:fill="auto"/>
            <w:noWrap/>
            <w:vAlign w:val="center"/>
            <w:hideMark/>
          </w:tcPr>
          <w:p w14:paraId="56F60104"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(3,622)</w:t>
            </w:r>
          </w:p>
        </w:tc>
        <w:tc>
          <w:tcPr>
            <w:tcW w:w="1179" w:type="dxa"/>
            <w:shd w:val="clear" w:color="auto" w:fill="auto"/>
            <w:noWrap/>
            <w:vAlign w:val="center"/>
            <w:hideMark/>
          </w:tcPr>
          <w:p w14:paraId="3691DDA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(452)</w:t>
            </w:r>
          </w:p>
        </w:tc>
      </w:tr>
      <w:tr w:rsidR="003E5BF5" w:rsidRPr="00293D7B" w14:paraId="6C6563C8" w14:textId="77777777" w:rsidTr="00635FBD">
        <w:trPr>
          <w:trHeight w:val="340"/>
        </w:trPr>
        <w:tc>
          <w:tcPr>
            <w:tcW w:w="6922" w:type="dxa"/>
            <w:shd w:val="clear" w:color="auto" w:fill="auto"/>
            <w:noWrap/>
            <w:vAlign w:val="center"/>
            <w:hideMark/>
          </w:tcPr>
          <w:p w14:paraId="6103174C" w14:textId="77777777" w:rsidR="003E5BF5" w:rsidRPr="00293D7B" w:rsidRDefault="003E5BF5" w:rsidP="00604703">
            <w:pPr>
              <w:pStyle w:val="TableTextGreen"/>
              <w:rPr>
                <w:lang w:eastAsia="en-AU"/>
              </w:rPr>
            </w:pPr>
            <w:r w:rsidRPr="00293D7B">
              <w:rPr>
                <w:lang w:eastAsia="en-AU"/>
              </w:rPr>
              <w:t>Other gains/(losses) from other economic flows</w:t>
            </w:r>
          </w:p>
        </w:tc>
        <w:tc>
          <w:tcPr>
            <w:tcW w:w="1244" w:type="dxa"/>
            <w:shd w:val="clear" w:color="auto" w:fill="auto"/>
            <w:noWrap/>
            <w:vAlign w:val="center"/>
            <w:hideMark/>
          </w:tcPr>
          <w:p w14:paraId="4EA1A928" w14:textId="77777777" w:rsidR="003E5BF5" w:rsidRPr="00293D7B" w:rsidRDefault="003E5BF5" w:rsidP="00DE1921">
            <w:pPr>
              <w:jc w:val="right"/>
              <w:rPr>
                <w:rFonts w:ascii="Arial" w:hAnsi="Arial" w:cs="Arial"/>
                <w:b/>
                <w:sz w:val="24"/>
                <w:szCs w:val="24"/>
                <w:lang w:eastAsia="en-AU"/>
              </w:rPr>
            </w:pPr>
          </w:p>
        </w:tc>
        <w:tc>
          <w:tcPr>
            <w:tcW w:w="1179" w:type="dxa"/>
            <w:shd w:val="clear" w:color="auto" w:fill="auto"/>
            <w:noWrap/>
            <w:vAlign w:val="center"/>
            <w:hideMark/>
          </w:tcPr>
          <w:p w14:paraId="2AE3489C" w14:textId="77777777" w:rsidR="003E5BF5" w:rsidRPr="00293D7B" w:rsidRDefault="003E5BF5" w:rsidP="00DE1921">
            <w:pPr>
              <w:jc w:val="right"/>
              <w:rPr>
                <w:rFonts w:ascii="Arial" w:hAnsi="Arial" w:cs="Arial"/>
                <w:sz w:val="24"/>
                <w:szCs w:val="24"/>
                <w:lang w:eastAsia="en-AU"/>
              </w:rPr>
            </w:pPr>
          </w:p>
        </w:tc>
      </w:tr>
      <w:tr w:rsidR="003E5BF5" w:rsidRPr="00293D7B" w14:paraId="229127D0" w14:textId="77777777" w:rsidTr="00635FBD">
        <w:trPr>
          <w:trHeight w:val="340"/>
        </w:trPr>
        <w:tc>
          <w:tcPr>
            <w:tcW w:w="6922" w:type="dxa"/>
            <w:shd w:val="clear" w:color="auto" w:fill="auto"/>
            <w:noWrap/>
            <w:vAlign w:val="center"/>
            <w:hideMark/>
          </w:tcPr>
          <w:p w14:paraId="08B1EB11"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 xml:space="preserve">Net gain/(loss) arising from revaluation of long service leave liability </w:t>
            </w:r>
            <w:r w:rsidRPr="00293D7B">
              <w:rPr>
                <w:rFonts w:ascii="Arial" w:hAnsi="Arial" w:cs="Arial"/>
                <w:sz w:val="24"/>
                <w:szCs w:val="24"/>
                <w:vertAlign w:val="superscript"/>
                <w:lang w:eastAsia="en-AU"/>
              </w:rPr>
              <w:t>(</w:t>
            </w:r>
            <w:proofErr w:type="spellStart"/>
            <w:r w:rsidRPr="00293D7B">
              <w:rPr>
                <w:rFonts w:ascii="Arial" w:hAnsi="Arial" w:cs="Arial"/>
                <w:sz w:val="24"/>
                <w:szCs w:val="24"/>
                <w:vertAlign w:val="superscript"/>
                <w:lang w:eastAsia="en-AU"/>
              </w:rPr>
              <w:t>i</w:t>
            </w:r>
            <w:proofErr w:type="spellEnd"/>
            <w:r w:rsidRPr="00293D7B">
              <w:rPr>
                <w:rFonts w:ascii="Arial" w:hAnsi="Arial" w:cs="Arial"/>
                <w:sz w:val="24"/>
                <w:szCs w:val="24"/>
                <w:vertAlign w:val="superscript"/>
                <w:lang w:eastAsia="en-AU"/>
              </w:rPr>
              <w:t>)</w:t>
            </w:r>
          </w:p>
        </w:tc>
        <w:tc>
          <w:tcPr>
            <w:tcW w:w="1244" w:type="dxa"/>
            <w:shd w:val="clear" w:color="auto" w:fill="auto"/>
            <w:noWrap/>
            <w:vAlign w:val="center"/>
            <w:hideMark/>
          </w:tcPr>
          <w:p w14:paraId="2C93A4F2"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(3,159)</w:t>
            </w:r>
          </w:p>
        </w:tc>
        <w:tc>
          <w:tcPr>
            <w:tcW w:w="1179" w:type="dxa"/>
            <w:shd w:val="clear" w:color="auto" w:fill="auto"/>
            <w:noWrap/>
            <w:vAlign w:val="center"/>
            <w:hideMark/>
          </w:tcPr>
          <w:p w14:paraId="372BB37A"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(857)</w:t>
            </w:r>
          </w:p>
        </w:tc>
      </w:tr>
      <w:tr w:rsidR="003E5BF5" w:rsidRPr="00293D7B" w14:paraId="5AB74387" w14:textId="77777777" w:rsidTr="00635FBD">
        <w:trPr>
          <w:trHeight w:val="340"/>
        </w:trPr>
        <w:tc>
          <w:tcPr>
            <w:tcW w:w="6922" w:type="dxa"/>
            <w:shd w:val="clear" w:color="auto" w:fill="auto"/>
            <w:vAlign w:val="center"/>
            <w:hideMark/>
          </w:tcPr>
          <w:p w14:paraId="35B11DE5"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Net gain/(loss) arising from revaluation of long service leave liability of the rail operators</w:t>
            </w:r>
            <w:r w:rsidRPr="00293D7B">
              <w:rPr>
                <w:rFonts w:ascii="Arial" w:hAnsi="Arial" w:cs="Arial"/>
                <w:sz w:val="24"/>
                <w:szCs w:val="24"/>
                <w:vertAlign w:val="superscript"/>
                <w:lang w:eastAsia="en-AU"/>
              </w:rPr>
              <w:t xml:space="preserve"> (ii)</w:t>
            </w:r>
          </w:p>
        </w:tc>
        <w:tc>
          <w:tcPr>
            <w:tcW w:w="1244" w:type="dxa"/>
            <w:shd w:val="clear" w:color="auto" w:fill="auto"/>
            <w:noWrap/>
            <w:vAlign w:val="center"/>
            <w:hideMark/>
          </w:tcPr>
          <w:p w14:paraId="66D4B10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(40,160)</w:t>
            </w:r>
          </w:p>
        </w:tc>
        <w:tc>
          <w:tcPr>
            <w:tcW w:w="1179" w:type="dxa"/>
            <w:shd w:val="clear" w:color="auto" w:fill="auto"/>
            <w:noWrap/>
            <w:vAlign w:val="center"/>
            <w:hideMark/>
          </w:tcPr>
          <w:p w14:paraId="08986DC1"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r>
      <w:tr w:rsidR="003E5BF5" w:rsidRPr="00293D7B" w14:paraId="35C916D9" w14:textId="77777777" w:rsidTr="00635FBD">
        <w:trPr>
          <w:trHeight w:val="340"/>
        </w:trPr>
        <w:tc>
          <w:tcPr>
            <w:tcW w:w="6922" w:type="dxa"/>
            <w:shd w:val="clear" w:color="auto" w:fill="auto"/>
            <w:noWrap/>
            <w:vAlign w:val="center"/>
            <w:hideMark/>
          </w:tcPr>
          <w:p w14:paraId="43A677A5" w14:textId="77777777" w:rsidR="003E5BF5" w:rsidRPr="00293D7B" w:rsidRDefault="003E5BF5" w:rsidP="00DE1921">
            <w:pPr>
              <w:rPr>
                <w:rFonts w:ascii="Arial" w:hAnsi="Arial" w:cs="Arial"/>
                <w:sz w:val="24"/>
                <w:szCs w:val="24"/>
                <w:lang w:eastAsia="en-AU"/>
              </w:rPr>
            </w:pPr>
            <w:r w:rsidRPr="00293D7B">
              <w:rPr>
                <w:rFonts w:ascii="Arial" w:hAnsi="Arial" w:cs="Arial"/>
                <w:sz w:val="24"/>
                <w:szCs w:val="24"/>
                <w:lang w:eastAsia="en-AU"/>
              </w:rPr>
              <w:t>Unwinding of other provision</w:t>
            </w:r>
          </w:p>
        </w:tc>
        <w:tc>
          <w:tcPr>
            <w:tcW w:w="1244" w:type="dxa"/>
            <w:shd w:val="clear" w:color="auto" w:fill="auto"/>
            <w:noWrap/>
            <w:vAlign w:val="center"/>
            <w:hideMark/>
          </w:tcPr>
          <w:p w14:paraId="6448DA78"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 xml:space="preserve"> - </w:t>
            </w:r>
          </w:p>
        </w:tc>
        <w:tc>
          <w:tcPr>
            <w:tcW w:w="1179" w:type="dxa"/>
            <w:shd w:val="clear" w:color="auto" w:fill="auto"/>
            <w:noWrap/>
            <w:vAlign w:val="center"/>
            <w:hideMark/>
          </w:tcPr>
          <w:p w14:paraId="59F20C27" w14:textId="77777777" w:rsidR="003E5BF5" w:rsidRPr="00293D7B" w:rsidRDefault="003E5BF5" w:rsidP="00DE1921">
            <w:pPr>
              <w:jc w:val="right"/>
              <w:rPr>
                <w:rFonts w:ascii="Arial" w:hAnsi="Arial" w:cs="Arial"/>
                <w:sz w:val="24"/>
                <w:szCs w:val="24"/>
                <w:lang w:eastAsia="en-AU"/>
              </w:rPr>
            </w:pPr>
            <w:r w:rsidRPr="00293D7B">
              <w:rPr>
                <w:rFonts w:ascii="Arial" w:hAnsi="Arial" w:cs="Arial"/>
                <w:sz w:val="24"/>
                <w:szCs w:val="24"/>
                <w:lang w:eastAsia="en-AU"/>
              </w:rPr>
              <w:t>(2,138)</w:t>
            </w:r>
          </w:p>
        </w:tc>
      </w:tr>
      <w:tr w:rsidR="003E5BF5" w:rsidRPr="00293D7B" w14:paraId="6D81B1BE" w14:textId="77777777" w:rsidTr="00635FBD">
        <w:trPr>
          <w:trHeight w:val="340"/>
        </w:trPr>
        <w:tc>
          <w:tcPr>
            <w:tcW w:w="6922" w:type="dxa"/>
            <w:shd w:val="clear" w:color="auto" w:fill="auto"/>
            <w:noWrap/>
            <w:vAlign w:val="center"/>
            <w:hideMark/>
          </w:tcPr>
          <w:p w14:paraId="7E7E6522"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other gains/(losses) from other economic flows</w:t>
            </w:r>
          </w:p>
        </w:tc>
        <w:tc>
          <w:tcPr>
            <w:tcW w:w="1244" w:type="dxa"/>
            <w:shd w:val="clear" w:color="auto" w:fill="auto"/>
            <w:noWrap/>
            <w:vAlign w:val="center"/>
            <w:hideMark/>
          </w:tcPr>
          <w:p w14:paraId="51FAD58B"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(43,319)</w:t>
            </w:r>
          </w:p>
        </w:tc>
        <w:tc>
          <w:tcPr>
            <w:tcW w:w="1179" w:type="dxa"/>
            <w:shd w:val="clear" w:color="auto" w:fill="auto"/>
            <w:noWrap/>
            <w:vAlign w:val="center"/>
            <w:hideMark/>
          </w:tcPr>
          <w:p w14:paraId="1EDF09A5"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(2,995)</w:t>
            </w:r>
          </w:p>
        </w:tc>
      </w:tr>
      <w:tr w:rsidR="003E5BF5" w:rsidRPr="00293D7B" w14:paraId="737EDC9F" w14:textId="77777777" w:rsidTr="00635FBD">
        <w:trPr>
          <w:trHeight w:val="340"/>
        </w:trPr>
        <w:tc>
          <w:tcPr>
            <w:tcW w:w="6922" w:type="dxa"/>
            <w:tcBorders>
              <w:bottom w:val="nil"/>
            </w:tcBorders>
            <w:shd w:val="clear" w:color="auto" w:fill="auto"/>
            <w:noWrap/>
            <w:vAlign w:val="center"/>
            <w:hideMark/>
          </w:tcPr>
          <w:p w14:paraId="238CA5B5" w14:textId="77777777" w:rsidR="003E5BF5" w:rsidRPr="00293D7B" w:rsidRDefault="003E5BF5" w:rsidP="00DE1921">
            <w:pPr>
              <w:rPr>
                <w:rFonts w:ascii="Arial" w:hAnsi="Arial" w:cs="Arial"/>
                <w:b/>
                <w:sz w:val="24"/>
                <w:szCs w:val="24"/>
                <w:lang w:eastAsia="en-AU"/>
              </w:rPr>
            </w:pPr>
            <w:r w:rsidRPr="00293D7B">
              <w:rPr>
                <w:rFonts w:ascii="Arial" w:hAnsi="Arial" w:cs="Arial"/>
                <w:b/>
                <w:sz w:val="24"/>
                <w:szCs w:val="24"/>
                <w:lang w:eastAsia="en-AU"/>
              </w:rPr>
              <w:t>Total Other economic flows included in net result</w:t>
            </w:r>
          </w:p>
        </w:tc>
        <w:tc>
          <w:tcPr>
            <w:tcW w:w="1244" w:type="dxa"/>
            <w:tcBorders>
              <w:bottom w:val="nil"/>
            </w:tcBorders>
            <w:shd w:val="clear" w:color="auto" w:fill="auto"/>
            <w:noWrap/>
            <w:vAlign w:val="center"/>
            <w:hideMark/>
          </w:tcPr>
          <w:p w14:paraId="65BDE8F1"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(641,098)</w:t>
            </w:r>
          </w:p>
        </w:tc>
        <w:tc>
          <w:tcPr>
            <w:tcW w:w="1179" w:type="dxa"/>
            <w:tcBorders>
              <w:bottom w:val="nil"/>
            </w:tcBorders>
            <w:shd w:val="clear" w:color="auto" w:fill="auto"/>
            <w:noWrap/>
            <w:vAlign w:val="center"/>
            <w:hideMark/>
          </w:tcPr>
          <w:p w14:paraId="419E5DBC" w14:textId="77777777" w:rsidR="003E5BF5" w:rsidRPr="00293D7B" w:rsidRDefault="003E5BF5" w:rsidP="00DE1921">
            <w:pPr>
              <w:jc w:val="right"/>
              <w:rPr>
                <w:rFonts w:ascii="Arial" w:hAnsi="Arial" w:cs="Arial"/>
                <w:b/>
                <w:sz w:val="24"/>
                <w:szCs w:val="24"/>
                <w:lang w:eastAsia="en-AU"/>
              </w:rPr>
            </w:pPr>
            <w:r w:rsidRPr="00293D7B">
              <w:rPr>
                <w:rFonts w:ascii="Arial" w:hAnsi="Arial" w:cs="Arial"/>
                <w:b/>
                <w:sz w:val="24"/>
                <w:szCs w:val="24"/>
                <w:lang w:eastAsia="en-AU"/>
              </w:rPr>
              <w:t>(6,570)</w:t>
            </w:r>
          </w:p>
        </w:tc>
      </w:tr>
    </w:tbl>
    <w:p w14:paraId="69045055" w14:textId="77777777" w:rsidR="00635FBD" w:rsidRPr="00293D7B" w:rsidRDefault="00635FBD" w:rsidP="00635FBD">
      <w:pPr>
        <w:pStyle w:val="Note"/>
        <w:rPr>
          <w:rFonts w:ascii="Arial" w:hAnsi="Arial" w:cs="Arial"/>
          <w:sz w:val="24"/>
          <w:szCs w:val="24"/>
        </w:rPr>
      </w:pPr>
      <w:r w:rsidRPr="00293D7B">
        <w:rPr>
          <w:rFonts w:ascii="Arial" w:hAnsi="Arial" w:cs="Arial"/>
          <w:sz w:val="24"/>
          <w:szCs w:val="24"/>
        </w:rPr>
        <w:t>Notes:</w:t>
      </w:r>
    </w:p>
    <w:p w14:paraId="658ABA0C" w14:textId="77777777" w:rsidR="00635FBD" w:rsidRPr="00635FBD" w:rsidRDefault="00635FBD" w:rsidP="00610F5F">
      <w:pPr>
        <w:pStyle w:val="aaaNotenumberiiiiii"/>
        <w:numPr>
          <w:ilvl w:val="0"/>
          <w:numId w:val="125"/>
        </w:numPr>
      </w:pPr>
      <w:r w:rsidRPr="00293D7B">
        <w:lastRenderedPageBreak/>
        <w:t xml:space="preserve">Revaluation </w:t>
      </w:r>
      <w:r w:rsidRPr="00635FBD">
        <w:t>gain/(loss) due to changes in bond rates for the provision of employee entitlements of the department's employees.</w:t>
      </w:r>
    </w:p>
    <w:p w14:paraId="16105127" w14:textId="77777777" w:rsidR="00635FBD" w:rsidRPr="00293D7B" w:rsidRDefault="00635FBD" w:rsidP="00635FBD">
      <w:pPr>
        <w:pStyle w:val="aaaNotenumberiiiiii"/>
      </w:pPr>
      <w:r w:rsidRPr="00635FBD">
        <w:t>Revaluation gain</w:t>
      </w:r>
      <w:r w:rsidRPr="00293D7B">
        <w:t>/(loss) due to changes in bond rates for the provision of the employee entitlements of rail operators. Refer to Note 6.4 Other Provisions.</w:t>
      </w:r>
    </w:p>
    <w:p w14:paraId="052917FA" w14:textId="1DE29781" w:rsidR="003E5BF5" w:rsidRDefault="003E5BF5" w:rsidP="00DE1921">
      <w:r>
        <w:br w:type="page"/>
      </w:r>
    </w:p>
    <w:p w14:paraId="14897D35" w14:textId="77777777" w:rsidR="003E5BF5" w:rsidRPr="007444F0" w:rsidRDefault="003E5BF5" w:rsidP="00610F5F">
      <w:pPr>
        <w:pStyle w:val="Heading2"/>
        <w:numPr>
          <w:ilvl w:val="1"/>
          <w:numId w:val="22"/>
        </w:numPr>
      </w:pPr>
      <w:bookmarkStart w:id="627" w:name="_Non-financial_assets_held"/>
      <w:bookmarkStart w:id="628" w:name="_Toc53420694"/>
      <w:bookmarkStart w:id="629" w:name="_Toc53420972"/>
      <w:bookmarkEnd w:id="627"/>
      <w:r w:rsidRPr="007444F0">
        <w:lastRenderedPageBreak/>
        <w:t>Non-financial assets held for sale</w:t>
      </w:r>
      <w:bookmarkStart w:id="630" w:name="RANGE!A4:C10"/>
      <w:bookmarkEnd w:id="622"/>
      <w:bookmarkEnd w:id="623"/>
      <w:bookmarkEnd w:id="624"/>
      <w:bookmarkEnd w:id="625"/>
      <w:bookmarkEnd w:id="626"/>
      <w:bookmarkEnd w:id="628"/>
      <w:bookmarkEnd w:id="629"/>
      <w:bookmarkEnd w:id="630"/>
    </w:p>
    <w:tbl>
      <w:tblPr>
        <w:tblStyle w:val="TableGrid"/>
        <w:tblW w:w="9072" w:type="dxa"/>
        <w:tblLayout w:type="fixed"/>
        <w:tblLook w:val="04A0" w:firstRow="1" w:lastRow="0" w:firstColumn="1" w:lastColumn="0" w:noHBand="0" w:noVBand="1"/>
      </w:tblPr>
      <w:tblGrid>
        <w:gridCol w:w="6304"/>
        <w:gridCol w:w="1384"/>
        <w:gridCol w:w="1384"/>
      </w:tblGrid>
      <w:tr w:rsidR="003E5BF5" w:rsidRPr="00293D7B" w14:paraId="36726043" w14:textId="77777777" w:rsidTr="00CD6CCF">
        <w:trPr>
          <w:trHeight w:val="340"/>
        </w:trPr>
        <w:tc>
          <w:tcPr>
            <w:tcW w:w="6304" w:type="dxa"/>
            <w:shd w:val="clear" w:color="auto" w:fill="auto"/>
            <w:noWrap/>
            <w:vAlign w:val="center"/>
            <w:hideMark/>
          </w:tcPr>
          <w:p w14:paraId="7995143F" w14:textId="77777777" w:rsidR="003E5BF5" w:rsidRPr="00293D7B" w:rsidRDefault="003E5BF5" w:rsidP="00DE1921">
            <w:pPr>
              <w:pStyle w:val="TableTextLeft"/>
              <w:rPr>
                <w:rFonts w:ascii="Arial" w:hAnsi="Arial" w:cs="Arial"/>
                <w:sz w:val="24"/>
                <w:szCs w:val="24"/>
                <w:lang w:eastAsia="en-AU"/>
              </w:rPr>
            </w:pPr>
          </w:p>
        </w:tc>
        <w:tc>
          <w:tcPr>
            <w:tcW w:w="2768" w:type="dxa"/>
            <w:gridSpan w:val="2"/>
            <w:shd w:val="clear" w:color="auto" w:fill="auto"/>
            <w:noWrap/>
            <w:vAlign w:val="center"/>
            <w:hideMark/>
          </w:tcPr>
          <w:p w14:paraId="6736A55A" w14:textId="77777777" w:rsidR="003E5BF5" w:rsidRPr="00293D7B" w:rsidRDefault="003E5BF5" w:rsidP="00DE1921">
            <w:pPr>
              <w:pStyle w:val="TableTextCentre"/>
              <w:rPr>
                <w:rFonts w:ascii="Arial" w:hAnsi="Arial" w:cs="Arial"/>
                <w:b/>
                <w:sz w:val="24"/>
                <w:szCs w:val="24"/>
                <w:lang w:eastAsia="en-AU"/>
              </w:rPr>
            </w:pPr>
            <w:r w:rsidRPr="00293D7B">
              <w:rPr>
                <w:rFonts w:ascii="Arial" w:hAnsi="Arial" w:cs="Arial"/>
                <w:b/>
                <w:sz w:val="24"/>
                <w:szCs w:val="24"/>
                <w:lang w:eastAsia="en-AU"/>
              </w:rPr>
              <w:t>($ thousand)</w:t>
            </w:r>
          </w:p>
        </w:tc>
      </w:tr>
      <w:tr w:rsidR="003E5BF5" w:rsidRPr="00293D7B" w14:paraId="275E7451" w14:textId="77777777" w:rsidTr="00CD6CCF">
        <w:trPr>
          <w:trHeight w:val="340"/>
        </w:trPr>
        <w:tc>
          <w:tcPr>
            <w:tcW w:w="6304" w:type="dxa"/>
            <w:shd w:val="clear" w:color="auto" w:fill="auto"/>
            <w:noWrap/>
            <w:vAlign w:val="center"/>
            <w:hideMark/>
          </w:tcPr>
          <w:p w14:paraId="5CE3B9C3" w14:textId="77777777" w:rsidR="003E5BF5" w:rsidRPr="00293D7B" w:rsidRDefault="003E5BF5" w:rsidP="00DE1921">
            <w:pPr>
              <w:pStyle w:val="TableTextLeft"/>
              <w:rPr>
                <w:rFonts w:ascii="Arial" w:hAnsi="Arial" w:cs="Arial"/>
                <w:sz w:val="24"/>
                <w:szCs w:val="24"/>
                <w:lang w:eastAsia="en-AU"/>
              </w:rPr>
            </w:pPr>
          </w:p>
        </w:tc>
        <w:tc>
          <w:tcPr>
            <w:tcW w:w="1384" w:type="dxa"/>
            <w:shd w:val="clear" w:color="auto" w:fill="auto"/>
            <w:noWrap/>
            <w:vAlign w:val="center"/>
            <w:hideMark/>
          </w:tcPr>
          <w:p w14:paraId="275A5C5C" w14:textId="77777777" w:rsidR="003E5BF5" w:rsidRPr="00293D7B" w:rsidRDefault="003E5BF5" w:rsidP="00DE1921">
            <w:pPr>
              <w:pStyle w:val="TableTextRightBold"/>
              <w:rPr>
                <w:rFonts w:ascii="Arial" w:hAnsi="Arial" w:cs="Arial"/>
                <w:sz w:val="24"/>
                <w:szCs w:val="24"/>
                <w:lang w:eastAsia="en-AU"/>
              </w:rPr>
            </w:pPr>
            <w:r w:rsidRPr="00293D7B">
              <w:rPr>
                <w:rFonts w:ascii="Arial" w:hAnsi="Arial" w:cs="Arial"/>
                <w:sz w:val="24"/>
                <w:szCs w:val="24"/>
              </w:rPr>
              <w:t>202</w:t>
            </w:r>
            <w:r w:rsidRPr="00293D7B">
              <w:rPr>
                <w:rFonts w:ascii="Arial" w:hAnsi="Arial" w:cs="Arial"/>
                <w:sz w:val="24"/>
                <w:szCs w:val="24"/>
                <w:lang w:eastAsia="en-AU"/>
              </w:rPr>
              <w:t>0</w:t>
            </w:r>
          </w:p>
        </w:tc>
        <w:tc>
          <w:tcPr>
            <w:tcW w:w="1384" w:type="dxa"/>
            <w:shd w:val="clear" w:color="auto" w:fill="auto"/>
            <w:noWrap/>
            <w:vAlign w:val="center"/>
            <w:hideMark/>
          </w:tcPr>
          <w:p w14:paraId="50960C30"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2019</w:t>
            </w:r>
          </w:p>
        </w:tc>
      </w:tr>
      <w:tr w:rsidR="003E5BF5" w:rsidRPr="00293D7B" w14:paraId="75A972BC" w14:textId="77777777" w:rsidTr="00CD6CCF">
        <w:trPr>
          <w:trHeight w:val="340"/>
        </w:trPr>
        <w:tc>
          <w:tcPr>
            <w:tcW w:w="6304" w:type="dxa"/>
            <w:shd w:val="clear" w:color="auto" w:fill="auto"/>
            <w:noWrap/>
            <w:vAlign w:val="center"/>
            <w:hideMark/>
          </w:tcPr>
          <w:p w14:paraId="6DA109F6" w14:textId="77777777" w:rsidR="003E5BF5" w:rsidRPr="00293D7B" w:rsidRDefault="003E5BF5" w:rsidP="00604703">
            <w:pPr>
              <w:pStyle w:val="TableTextGreen"/>
              <w:rPr>
                <w:lang w:eastAsia="en-AU"/>
              </w:rPr>
            </w:pPr>
            <w:r w:rsidRPr="00293D7B">
              <w:t>Cu</w:t>
            </w:r>
            <w:r w:rsidRPr="00293D7B">
              <w:rPr>
                <w:lang w:eastAsia="en-AU"/>
              </w:rPr>
              <w:t>rrent assets</w:t>
            </w:r>
          </w:p>
        </w:tc>
        <w:tc>
          <w:tcPr>
            <w:tcW w:w="1384" w:type="dxa"/>
            <w:shd w:val="clear" w:color="auto" w:fill="auto"/>
            <w:noWrap/>
            <w:vAlign w:val="center"/>
            <w:hideMark/>
          </w:tcPr>
          <w:p w14:paraId="56080798" w14:textId="77777777" w:rsidR="003E5BF5" w:rsidRPr="00293D7B" w:rsidRDefault="003E5BF5" w:rsidP="00604703">
            <w:pPr>
              <w:pStyle w:val="TableTextGreen"/>
            </w:pPr>
            <w:r w:rsidRPr="00293D7B">
              <w:t> </w:t>
            </w:r>
          </w:p>
        </w:tc>
        <w:tc>
          <w:tcPr>
            <w:tcW w:w="1384" w:type="dxa"/>
            <w:shd w:val="clear" w:color="auto" w:fill="auto"/>
            <w:noWrap/>
            <w:vAlign w:val="center"/>
            <w:hideMark/>
          </w:tcPr>
          <w:p w14:paraId="0D183B59" w14:textId="77777777" w:rsidR="003E5BF5" w:rsidRPr="00293D7B" w:rsidRDefault="003E5BF5" w:rsidP="00604703">
            <w:pPr>
              <w:pStyle w:val="TableTextGreen"/>
              <w:rPr>
                <w:lang w:eastAsia="en-AU"/>
              </w:rPr>
            </w:pPr>
            <w:r w:rsidRPr="00293D7B">
              <w:rPr>
                <w:lang w:eastAsia="en-AU"/>
              </w:rPr>
              <w:t> </w:t>
            </w:r>
          </w:p>
        </w:tc>
      </w:tr>
      <w:tr w:rsidR="003E5BF5" w:rsidRPr="00293D7B" w14:paraId="1E0D8933" w14:textId="77777777" w:rsidTr="00CD6CCF">
        <w:trPr>
          <w:trHeight w:val="340"/>
        </w:trPr>
        <w:tc>
          <w:tcPr>
            <w:tcW w:w="6304" w:type="dxa"/>
            <w:shd w:val="clear" w:color="auto" w:fill="auto"/>
            <w:noWrap/>
            <w:vAlign w:val="center"/>
            <w:hideMark/>
          </w:tcPr>
          <w:p w14:paraId="00A3995A" w14:textId="77777777" w:rsidR="003E5BF5" w:rsidRPr="00293D7B" w:rsidRDefault="003E5BF5" w:rsidP="00DE1921">
            <w:pPr>
              <w:pStyle w:val="TableTextLeft"/>
              <w:rPr>
                <w:rFonts w:ascii="Arial" w:hAnsi="Arial" w:cs="Arial"/>
                <w:sz w:val="24"/>
                <w:szCs w:val="24"/>
                <w:lang w:eastAsia="en-AU"/>
              </w:rPr>
            </w:pPr>
            <w:r w:rsidRPr="00293D7B">
              <w:rPr>
                <w:rFonts w:ascii="Arial" w:hAnsi="Arial" w:cs="Arial"/>
                <w:sz w:val="24"/>
                <w:szCs w:val="24"/>
                <w:lang w:eastAsia="en-AU"/>
              </w:rPr>
              <w:t>Land held for sale</w:t>
            </w:r>
          </w:p>
        </w:tc>
        <w:tc>
          <w:tcPr>
            <w:tcW w:w="1384" w:type="dxa"/>
            <w:shd w:val="clear" w:color="auto" w:fill="auto"/>
            <w:noWrap/>
            <w:vAlign w:val="center"/>
            <w:hideMark/>
          </w:tcPr>
          <w:p w14:paraId="1F3EB956" w14:textId="77777777" w:rsidR="003E5BF5" w:rsidRPr="00293D7B" w:rsidRDefault="003E5BF5" w:rsidP="00DE1921">
            <w:pPr>
              <w:pStyle w:val="TableTextRightBold"/>
              <w:rPr>
                <w:rFonts w:ascii="Arial" w:hAnsi="Arial" w:cs="Arial"/>
                <w:b w:val="0"/>
                <w:sz w:val="24"/>
                <w:szCs w:val="24"/>
                <w:lang w:eastAsia="en-AU"/>
              </w:rPr>
            </w:pPr>
            <w:r w:rsidRPr="00293D7B">
              <w:rPr>
                <w:rFonts w:ascii="Arial" w:hAnsi="Arial" w:cs="Arial"/>
                <w:b w:val="0"/>
                <w:sz w:val="24"/>
                <w:szCs w:val="24"/>
                <w:lang w:eastAsia="en-AU"/>
              </w:rPr>
              <w:t xml:space="preserve">77,456 </w:t>
            </w:r>
          </w:p>
        </w:tc>
        <w:tc>
          <w:tcPr>
            <w:tcW w:w="1384" w:type="dxa"/>
            <w:shd w:val="clear" w:color="auto" w:fill="auto"/>
            <w:noWrap/>
            <w:vAlign w:val="center"/>
            <w:hideMark/>
          </w:tcPr>
          <w:p w14:paraId="4458CF17" w14:textId="77777777" w:rsidR="003E5BF5" w:rsidRPr="00293D7B" w:rsidRDefault="003E5BF5" w:rsidP="00DE1921">
            <w:pPr>
              <w:pStyle w:val="TableTextRight"/>
              <w:rPr>
                <w:rFonts w:ascii="Arial" w:hAnsi="Arial" w:cs="Arial"/>
                <w:sz w:val="24"/>
                <w:szCs w:val="24"/>
                <w:lang w:eastAsia="en-AU"/>
              </w:rPr>
            </w:pPr>
            <w:r w:rsidRPr="00293D7B">
              <w:rPr>
                <w:rFonts w:ascii="Arial" w:hAnsi="Arial" w:cs="Arial"/>
                <w:sz w:val="24"/>
                <w:szCs w:val="24"/>
                <w:lang w:eastAsia="en-AU"/>
              </w:rPr>
              <w:t xml:space="preserve">77,982 </w:t>
            </w:r>
          </w:p>
        </w:tc>
      </w:tr>
      <w:tr w:rsidR="003E5BF5" w:rsidRPr="00293D7B" w14:paraId="7D4CBC61" w14:textId="77777777" w:rsidTr="00CD6CCF">
        <w:trPr>
          <w:trHeight w:val="340"/>
        </w:trPr>
        <w:tc>
          <w:tcPr>
            <w:tcW w:w="6304" w:type="dxa"/>
            <w:shd w:val="clear" w:color="auto" w:fill="auto"/>
            <w:noWrap/>
            <w:vAlign w:val="center"/>
            <w:hideMark/>
          </w:tcPr>
          <w:p w14:paraId="0855319D" w14:textId="77777777" w:rsidR="003E5BF5" w:rsidRPr="00293D7B" w:rsidRDefault="003E5BF5" w:rsidP="00DE1921">
            <w:pPr>
              <w:pStyle w:val="TableTextLeft"/>
              <w:rPr>
                <w:rFonts w:ascii="Arial" w:hAnsi="Arial" w:cs="Arial"/>
                <w:sz w:val="24"/>
                <w:szCs w:val="24"/>
                <w:lang w:eastAsia="en-AU"/>
              </w:rPr>
            </w:pPr>
            <w:r w:rsidRPr="00293D7B">
              <w:rPr>
                <w:rFonts w:ascii="Arial" w:hAnsi="Arial" w:cs="Arial"/>
                <w:sz w:val="24"/>
                <w:szCs w:val="24"/>
                <w:lang w:eastAsia="en-AU"/>
              </w:rPr>
              <w:t>Buildings held for sale</w:t>
            </w:r>
          </w:p>
        </w:tc>
        <w:tc>
          <w:tcPr>
            <w:tcW w:w="1384" w:type="dxa"/>
            <w:shd w:val="clear" w:color="auto" w:fill="auto"/>
            <w:noWrap/>
            <w:vAlign w:val="center"/>
            <w:hideMark/>
          </w:tcPr>
          <w:p w14:paraId="475CFD78" w14:textId="77777777" w:rsidR="003E5BF5" w:rsidRPr="00293D7B" w:rsidRDefault="003E5BF5" w:rsidP="00DE1921">
            <w:pPr>
              <w:pStyle w:val="TableTextRightBold"/>
              <w:rPr>
                <w:rFonts w:ascii="Arial" w:hAnsi="Arial" w:cs="Arial"/>
                <w:b w:val="0"/>
                <w:sz w:val="24"/>
                <w:szCs w:val="24"/>
                <w:lang w:eastAsia="en-AU"/>
              </w:rPr>
            </w:pPr>
            <w:r w:rsidRPr="00293D7B">
              <w:rPr>
                <w:rFonts w:ascii="Arial" w:hAnsi="Arial" w:cs="Arial"/>
                <w:b w:val="0"/>
                <w:sz w:val="24"/>
                <w:szCs w:val="24"/>
                <w:lang w:eastAsia="en-AU"/>
              </w:rPr>
              <w:t xml:space="preserve">67,500 </w:t>
            </w:r>
          </w:p>
        </w:tc>
        <w:tc>
          <w:tcPr>
            <w:tcW w:w="1384" w:type="dxa"/>
            <w:shd w:val="clear" w:color="auto" w:fill="auto"/>
            <w:noWrap/>
            <w:vAlign w:val="center"/>
            <w:hideMark/>
          </w:tcPr>
          <w:p w14:paraId="5574CF97" w14:textId="77777777" w:rsidR="003E5BF5" w:rsidRPr="00293D7B" w:rsidRDefault="003E5BF5" w:rsidP="00DE1921">
            <w:pPr>
              <w:pStyle w:val="TableTextRight"/>
              <w:rPr>
                <w:rFonts w:ascii="Arial" w:hAnsi="Arial" w:cs="Arial"/>
                <w:sz w:val="24"/>
                <w:szCs w:val="24"/>
                <w:lang w:eastAsia="en-AU"/>
              </w:rPr>
            </w:pPr>
            <w:r w:rsidRPr="00293D7B">
              <w:rPr>
                <w:rFonts w:ascii="Arial" w:hAnsi="Arial" w:cs="Arial"/>
                <w:sz w:val="24"/>
                <w:szCs w:val="24"/>
                <w:lang w:eastAsia="en-AU"/>
              </w:rPr>
              <w:t xml:space="preserve">71,046 </w:t>
            </w:r>
          </w:p>
        </w:tc>
      </w:tr>
      <w:tr w:rsidR="003E5BF5" w:rsidRPr="00293D7B" w14:paraId="74C2731F" w14:textId="77777777" w:rsidTr="00CD6CCF">
        <w:trPr>
          <w:trHeight w:val="340"/>
        </w:trPr>
        <w:tc>
          <w:tcPr>
            <w:tcW w:w="6304" w:type="dxa"/>
            <w:shd w:val="clear" w:color="auto" w:fill="auto"/>
            <w:noWrap/>
            <w:vAlign w:val="center"/>
            <w:hideMark/>
          </w:tcPr>
          <w:p w14:paraId="03E3BDFE" w14:textId="77777777" w:rsidR="003E5BF5" w:rsidRPr="00293D7B" w:rsidRDefault="003E5BF5" w:rsidP="00DE1921">
            <w:pPr>
              <w:pStyle w:val="TableTextLeft"/>
              <w:rPr>
                <w:rFonts w:ascii="Arial" w:hAnsi="Arial" w:cs="Arial"/>
                <w:sz w:val="24"/>
                <w:szCs w:val="24"/>
                <w:lang w:eastAsia="en-AU"/>
              </w:rPr>
            </w:pPr>
            <w:r w:rsidRPr="00293D7B">
              <w:rPr>
                <w:rFonts w:ascii="Arial" w:hAnsi="Arial" w:cs="Arial"/>
                <w:sz w:val="24"/>
                <w:szCs w:val="24"/>
                <w:lang w:eastAsia="en-AU"/>
              </w:rPr>
              <w:t>Leased motor vehicles held for sale</w:t>
            </w:r>
          </w:p>
        </w:tc>
        <w:tc>
          <w:tcPr>
            <w:tcW w:w="1384" w:type="dxa"/>
            <w:shd w:val="clear" w:color="auto" w:fill="auto"/>
            <w:noWrap/>
            <w:vAlign w:val="center"/>
            <w:hideMark/>
          </w:tcPr>
          <w:p w14:paraId="52FC6A5A" w14:textId="77777777" w:rsidR="003E5BF5" w:rsidRPr="00293D7B" w:rsidRDefault="003E5BF5" w:rsidP="00DE1921">
            <w:pPr>
              <w:pStyle w:val="TableTextRightBold"/>
              <w:rPr>
                <w:rFonts w:ascii="Arial" w:hAnsi="Arial" w:cs="Arial"/>
                <w:b w:val="0"/>
                <w:sz w:val="24"/>
                <w:szCs w:val="24"/>
                <w:lang w:eastAsia="en-AU"/>
              </w:rPr>
            </w:pPr>
            <w:r w:rsidRPr="00293D7B">
              <w:rPr>
                <w:rFonts w:ascii="Arial" w:hAnsi="Arial" w:cs="Arial"/>
                <w:b w:val="0"/>
                <w:sz w:val="24"/>
                <w:szCs w:val="24"/>
                <w:lang w:eastAsia="en-AU"/>
              </w:rPr>
              <w:t xml:space="preserve">49 </w:t>
            </w:r>
          </w:p>
        </w:tc>
        <w:tc>
          <w:tcPr>
            <w:tcW w:w="1384" w:type="dxa"/>
            <w:shd w:val="clear" w:color="auto" w:fill="auto"/>
            <w:noWrap/>
            <w:vAlign w:val="center"/>
            <w:hideMark/>
          </w:tcPr>
          <w:p w14:paraId="3888D790" w14:textId="77777777" w:rsidR="003E5BF5" w:rsidRPr="00293D7B" w:rsidRDefault="003E5BF5" w:rsidP="00DE1921">
            <w:pPr>
              <w:pStyle w:val="TableTextRight"/>
              <w:rPr>
                <w:rFonts w:ascii="Arial" w:hAnsi="Arial" w:cs="Arial"/>
                <w:sz w:val="24"/>
                <w:szCs w:val="24"/>
                <w:lang w:eastAsia="en-AU"/>
              </w:rPr>
            </w:pPr>
            <w:r w:rsidRPr="00293D7B">
              <w:rPr>
                <w:rFonts w:ascii="Arial" w:hAnsi="Arial" w:cs="Arial"/>
                <w:sz w:val="24"/>
                <w:szCs w:val="24"/>
                <w:lang w:eastAsia="en-AU"/>
              </w:rPr>
              <w:t xml:space="preserve">17 </w:t>
            </w:r>
          </w:p>
        </w:tc>
      </w:tr>
      <w:tr w:rsidR="003E5BF5" w:rsidRPr="00293D7B" w14:paraId="7BFDA20D" w14:textId="77777777" w:rsidTr="00CD6CCF">
        <w:trPr>
          <w:trHeight w:val="340"/>
        </w:trPr>
        <w:tc>
          <w:tcPr>
            <w:tcW w:w="6304" w:type="dxa"/>
            <w:shd w:val="clear" w:color="auto" w:fill="auto"/>
            <w:noWrap/>
            <w:vAlign w:val="center"/>
            <w:hideMark/>
          </w:tcPr>
          <w:p w14:paraId="62C754DC" w14:textId="77777777" w:rsidR="003E5BF5" w:rsidRPr="00293D7B" w:rsidRDefault="003E5BF5" w:rsidP="00DE1921">
            <w:pPr>
              <w:pStyle w:val="TableTextLeft"/>
              <w:rPr>
                <w:rFonts w:ascii="Arial" w:hAnsi="Arial" w:cs="Arial"/>
                <w:b/>
                <w:sz w:val="24"/>
                <w:szCs w:val="24"/>
                <w:lang w:eastAsia="en-AU"/>
              </w:rPr>
            </w:pPr>
            <w:r w:rsidRPr="00293D7B">
              <w:rPr>
                <w:rFonts w:ascii="Arial" w:hAnsi="Arial" w:cs="Arial"/>
                <w:b/>
                <w:sz w:val="24"/>
                <w:szCs w:val="24"/>
                <w:lang w:eastAsia="en-AU"/>
              </w:rPr>
              <w:t>Total non-financial assets held for sale</w:t>
            </w:r>
          </w:p>
        </w:tc>
        <w:tc>
          <w:tcPr>
            <w:tcW w:w="1384" w:type="dxa"/>
            <w:shd w:val="clear" w:color="auto" w:fill="auto"/>
            <w:noWrap/>
            <w:vAlign w:val="center"/>
            <w:hideMark/>
          </w:tcPr>
          <w:p w14:paraId="140F6BA5" w14:textId="77777777" w:rsidR="003E5BF5" w:rsidRPr="00293D7B" w:rsidRDefault="003E5BF5" w:rsidP="00DE1921">
            <w:pPr>
              <w:pStyle w:val="TableTextRightBold"/>
              <w:rPr>
                <w:rFonts w:ascii="Arial" w:hAnsi="Arial" w:cs="Arial"/>
                <w:sz w:val="24"/>
                <w:szCs w:val="24"/>
                <w:lang w:eastAsia="en-AU"/>
              </w:rPr>
            </w:pPr>
            <w:r w:rsidRPr="00293D7B">
              <w:rPr>
                <w:rFonts w:ascii="Arial" w:hAnsi="Arial" w:cs="Arial"/>
                <w:sz w:val="24"/>
                <w:szCs w:val="24"/>
              </w:rPr>
              <w:t xml:space="preserve">145,005 </w:t>
            </w:r>
          </w:p>
        </w:tc>
        <w:tc>
          <w:tcPr>
            <w:tcW w:w="1384" w:type="dxa"/>
            <w:shd w:val="clear" w:color="auto" w:fill="auto"/>
            <w:noWrap/>
            <w:vAlign w:val="center"/>
            <w:hideMark/>
          </w:tcPr>
          <w:p w14:paraId="2EA145C0"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 xml:space="preserve">149,045 </w:t>
            </w:r>
          </w:p>
        </w:tc>
      </w:tr>
    </w:tbl>
    <w:p w14:paraId="4C3EBB9E" w14:textId="77777777" w:rsidR="003E5BF5" w:rsidRPr="007444F0" w:rsidRDefault="003E5BF5" w:rsidP="00D74D26">
      <w:pPr>
        <w:pStyle w:val="aaatyping"/>
      </w:pPr>
      <w:r w:rsidRPr="007444F0">
        <w:t>Non-financial physical assets are treated as current and classified as held for sale if their carrying amount will be recovered through a sale transaction rather than through continuing use.</w:t>
      </w:r>
    </w:p>
    <w:p w14:paraId="1DB06FA5" w14:textId="77777777" w:rsidR="003E5BF5" w:rsidRPr="007444F0" w:rsidRDefault="003E5BF5" w:rsidP="00D74D26">
      <w:pPr>
        <w:pStyle w:val="aaatyping"/>
      </w:pPr>
      <w:r w:rsidRPr="007444F0">
        <w:t>This condition is regarded as met only when</w:t>
      </w:r>
      <w:r>
        <w:t xml:space="preserve"> the</w:t>
      </w:r>
      <w:r w:rsidRPr="007444F0">
        <w:t>:</w:t>
      </w:r>
    </w:p>
    <w:p w14:paraId="14B7DF37" w14:textId="77777777" w:rsidR="003E5BF5" w:rsidRPr="007444F0" w:rsidRDefault="003E5BF5" w:rsidP="00D74D26">
      <w:pPr>
        <w:pStyle w:val="aaabullet"/>
      </w:pPr>
      <w:r w:rsidRPr="007444F0">
        <w:t xml:space="preserve">asset is available for immediate </w:t>
      </w:r>
      <w:r>
        <w:t>sale</w:t>
      </w:r>
      <w:r w:rsidRPr="007444F0">
        <w:t xml:space="preserve"> in the current condition</w:t>
      </w:r>
    </w:p>
    <w:p w14:paraId="6CFB0563" w14:textId="77777777" w:rsidR="003E5BF5" w:rsidRPr="007444F0" w:rsidRDefault="003E5BF5" w:rsidP="00D74D26">
      <w:pPr>
        <w:pStyle w:val="aaabullet"/>
      </w:pPr>
      <w:r w:rsidRPr="007444F0">
        <w:t>sale is highly probable and the asset’s sale is expected to be completed within 12 months from the date of classification.</w:t>
      </w:r>
    </w:p>
    <w:p w14:paraId="750AA0F2" w14:textId="77777777" w:rsidR="003E5BF5" w:rsidRPr="007444F0" w:rsidRDefault="003E5BF5" w:rsidP="00D74D26">
      <w:pPr>
        <w:pStyle w:val="aaatyping"/>
      </w:pPr>
      <w:r w:rsidRPr="007444F0">
        <w:t>These non-financial physical assets, related liabilities and financial assets are measured at the lower of carrying amount and fair value less costs to sell and are not subject to depreciation or amortisation.</w:t>
      </w:r>
    </w:p>
    <w:p w14:paraId="33CD5907" w14:textId="77777777" w:rsidR="003E5BF5" w:rsidRDefault="003E5BF5" w:rsidP="00D74D26">
      <w:pPr>
        <w:pStyle w:val="aaatyping"/>
      </w:pPr>
      <w:r w:rsidRPr="007444F0">
        <w:t xml:space="preserve">Freehold land held for sale is carried at fair value less costs to disposal. Refer to Note 8.3.2 for the valuation technique applied to </w:t>
      </w:r>
      <w:proofErr w:type="spellStart"/>
      <w:r w:rsidRPr="007444F0">
        <w:t>non specialised</w:t>
      </w:r>
      <w:proofErr w:type="spellEnd"/>
      <w:r w:rsidRPr="007444F0">
        <w:t xml:space="preserve"> land</w:t>
      </w:r>
      <w:r>
        <w:t>.</w:t>
      </w:r>
    </w:p>
    <w:p w14:paraId="67DD37C9" w14:textId="77777777" w:rsidR="003E5BF5" w:rsidRDefault="003E5BF5" w:rsidP="00DE1921">
      <w:r>
        <w:br w:type="page"/>
      </w:r>
    </w:p>
    <w:p w14:paraId="2CB1F67C" w14:textId="77777777" w:rsidR="003E5BF5" w:rsidRDefault="003E5BF5" w:rsidP="00610F5F">
      <w:pPr>
        <w:pStyle w:val="Heading2"/>
        <w:numPr>
          <w:ilvl w:val="1"/>
          <w:numId w:val="22"/>
        </w:numPr>
      </w:pPr>
      <w:bookmarkStart w:id="631" w:name="_Equity_disclosure"/>
      <w:bookmarkStart w:id="632" w:name="_Toc522177854"/>
      <w:bookmarkStart w:id="633" w:name="_Toc529197939"/>
      <w:bookmarkStart w:id="634" w:name="_Toc529198004"/>
      <w:bookmarkStart w:id="635" w:name="_Toc530386201"/>
      <w:bookmarkStart w:id="636" w:name="_Toc9344373"/>
      <w:bookmarkStart w:id="637" w:name="_Toc53420695"/>
      <w:bookmarkStart w:id="638" w:name="_Toc53420973"/>
      <w:bookmarkEnd w:id="631"/>
      <w:r w:rsidRPr="007444F0">
        <w:lastRenderedPageBreak/>
        <w:t>Equity disclosure</w:t>
      </w:r>
      <w:bookmarkEnd w:id="632"/>
      <w:bookmarkEnd w:id="633"/>
      <w:bookmarkEnd w:id="634"/>
      <w:bookmarkEnd w:id="635"/>
      <w:bookmarkEnd w:id="636"/>
      <w:bookmarkEnd w:id="637"/>
      <w:bookmarkEnd w:id="638"/>
    </w:p>
    <w:p w14:paraId="4249AC11" w14:textId="77777777" w:rsidR="003E5BF5" w:rsidRPr="00293D7B" w:rsidRDefault="003E5BF5" w:rsidP="00604703">
      <w:pPr>
        <w:pStyle w:val="TableTextGreen"/>
        <w:rPr>
          <w:lang w:eastAsia="en-AU"/>
        </w:rPr>
      </w:pPr>
      <w:r w:rsidRPr="00293D7B">
        <w:t>Contributed capital</w:t>
      </w:r>
      <w:bookmarkStart w:id="639" w:name="_1659081049"/>
      <w:bookmarkEnd w:id="639"/>
    </w:p>
    <w:tbl>
      <w:tblPr>
        <w:tblStyle w:val="TableGrid"/>
        <w:tblW w:w="9372" w:type="dxa"/>
        <w:tblCellMar>
          <w:left w:w="28" w:type="dxa"/>
          <w:right w:w="28" w:type="dxa"/>
        </w:tblCellMar>
        <w:tblLook w:val="04A0" w:firstRow="1" w:lastRow="0" w:firstColumn="1" w:lastColumn="0" w:noHBand="0" w:noVBand="1"/>
      </w:tblPr>
      <w:tblGrid>
        <w:gridCol w:w="6804"/>
        <w:gridCol w:w="1284"/>
        <w:gridCol w:w="1284"/>
      </w:tblGrid>
      <w:tr w:rsidR="003E5BF5" w:rsidRPr="00293D7B" w14:paraId="28375B39" w14:textId="77777777" w:rsidTr="00F81C33">
        <w:trPr>
          <w:trHeight w:val="340"/>
        </w:trPr>
        <w:tc>
          <w:tcPr>
            <w:tcW w:w="6804" w:type="dxa"/>
            <w:shd w:val="clear" w:color="auto" w:fill="auto"/>
            <w:noWrap/>
            <w:vAlign w:val="center"/>
            <w:hideMark/>
          </w:tcPr>
          <w:p w14:paraId="1F5AEAC9" w14:textId="77777777" w:rsidR="003E5BF5" w:rsidRPr="00293D7B" w:rsidRDefault="003E5BF5" w:rsidP="00DE1921">
            <w:pPr>
              <w:pStyle w:val="TableTextLeft"/>
              <w:rPr>
                <w:rFonts w:ascii="Arial" w:hAnsi="Arial" w:cs="Arial"/>
                <w:sz w:val="24"/>
                <w:szCs w:val="24"/>
              </w:rPr>
            </w:pPr>
          </w:p>
        </w:tc>
        <w:tc>
          <w:tcPr>
            <w:tcW w:w="2568" w:type="dxa"/>
            <w:gridSpan w:val="2"/>
            <w:shd w:val="clear" w:color="auto" w:fill="auto"/>
            <w:noWrap/>
            <w:vAlign w:val="center"/>
            <w:hideMark/>
          </w:tcPr>
          <w:p w14:paraId="7DEDD5FE" w14:textId="77777777" w:rsidR="003E5BF5" w:rsidRPr="00293D7B" w:rsidRDefault="003E5BF5" w:rsidP="00DE1921">
            <w:pPr>
              <w:pStyle w:val="TableTextCentre"/>
              <w:rPr>
                <w:rFonts w:ascii="Arial" w:hAnsi="Arial" w:cs="Arial"/>
                <w:b/>
                <w:sz w:val="24"/>
                <w:szCs w:val="24"/>
              </w:rPr>
            </w:pPr>
            <w:r w:rsidRPr="00293D7B">
              <w:rPr>
                <w:rFonts w:ascii="Arial" w:hAnsi="Arial" w:cs="Arial"/>
                <w:b/>
                <w:sz w:val="24"/>
                <w:szCs w:val="24"/>
              </w:rPr>
              <w:t>($ thousand)</w:t>
            </w:r>
          </w:p>
        </w:tc>
      </w:tr>
      <w:tr w:rsidR="003E5BF5" w:rsidRPr="00293D7B" w14:paraId="76848CED" w14:textId="77777777" w:rsidTr="00F81C33">
        <w:trPr>
          <w:trHeight w:val="340"/>
        </w:trPr>
        <w:tc>
          <w:tcPr>
            <w:tcW w:w="6804" w:type="dxa"/>
            <w:shd w:val="clear" w:color="auto" w:fill="auto"/>
            <w:noWrap/>
            <w:vAlign w:val="center"/>
            <w:hideMark/>
          </w:tcPr>
          <w:p w14:paraId="6EB36D8D" w14:textId="77777777" w:rsidR="003E5BF5" w:rsidRPr="00293D7B" w:rsidRDefault="003E5BF5" w:rsidP="00DE1921">
            <w:pPr>
              <w:pStyle w:val="TableTextLeft"/>
              <w:rPr>
                <w:rFonts w:ascii="Arial" w:hAnsi="Arial" w:cs="Arial"/>
                <w:sz w:val="24"/>
                <w:szCs w:val="24"/>
              </w:rPr>
            </w:pPr>
          </w:p>
        </w:tc>
        <w:tc>
          <w:tcPr>
            <w:tcW w:w="1284" w:type="dxa"/>
            <w:shd w:val="clear" w:color="auto" w:fill="auto"/>
            <w:noWrap/>
            <w:vAlign w:val="center"/>
            <w:hideMark/>
          </w:tcPr>
          <w:p w14:paraId="747E9DE0" w14:textId="77777777" w:rsidR="003E5BF5" w:rsidRPr="00293D7B" w:rsidRDefault="003E5BF5" w:rsidP="00DE1921">
            <w:pPr>
              <w:pStyle w:val="TableTextRightBold"/>
              <w:rPr>
                <w:rFonts w:ascii="Arial" w:hAnsi="Arial" w:cs="Arial"/>
                <w:sz w:val="24"/>
                <w:szCs w:val="24"/>
              </w:rPr>
            </w:pPr>
            <w:r w:rsidRPr="00293D7B">
              <w:rPr>
                <w:rFonts w:ascii="Arial" w:hAnsi="Arial" w:cs="Arial"/>
                <w:sz w:val="24"/>
                <w:szCs w:val="24"/>
              </w:rPr>
              <w:t>2020</w:t>
            </w:r>
          </w:p>
        </w:tc>
        <w:tc>
          <w:tcPr>
            <w:tcW w:w="1284" w:type="dxa"/>
            <w:shd w:val="clear" w:color="auto" w:fill="auto"/>
            <w:noWrap/>
            <w:vAlign w:val="center"/>
            <w:hideMark/>
          </w:tcPr>
          <w:p w14:paraId="387B8AB1"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2019</w:t>
            </w:r>
          </w:p>
        </w:tc>
      </w:tr>
      <w:tr w:rsidR="003E5BF5" w:rsidRPr="00293D7B" w14:paraId="00650302" w14:textId="77777777" w:rsidTr="00F81C33">
        <w:trPr>
          <w:trHeight w:val="340"/>
        </w:trPr>
        <w:tc>
          <w:tcPr>
            <w:tcW w:w="6804" w:type="dxa"/>
            <w:shd w:val="clear" w:color="auto" w:fill="auto"/>
            <w:noWrap/>
            <w:vAlign w:val="center"/>
            <w:hideMark/>
          </w:tcPr>
          <w:p w14:paraId="561F5E20" w14:textId="77777777" w:rsidR="003E5BF5" w:rsidRPr="00293D7B" w:rsidRDefault="003E5BF5" w:rsidP="00DE1921">
            <w:pPr>
              <w:pStyle w:val="TableTextLeft"/>
              <w:rPr>
                <w:rFonts w:ascii="Arial" w:hAnsi="Arial" w:cs="Arial"/>
                <w:b/>
                <w:sz w:val="24"/>
                <w:szCs w:val="24"/>
              </w:rPr>
            </w:pPr>
            <w:r w:rsidRPr="00293D7B">
              <w:rPr>
                <w:rFonts w:ascii="Arial" w:hAnsi="Arial" w:cs="Arial"/>
                <w:b/>
                <w:sz w:val="24"/>
                <w:szCs w:val="24"/>
              </w:rPr>
              <w:t>Balance at beginning of financial year</w:t>
            </w:r>
          </w:p>
        </w:tc>
        <w:tc>
          <w:tcPr>
            <w:tcW w:w="1284" w:type="dxa"/>
            <w:shd w:val="clear" w:color="auto" w:fill="auto"/>
            <w:noWrap/>
            <w:vAlign w:val="center"/>
            <w:hideMark/>
          </w:tcPr>
          <w:p w14:paraId="0C6ADF8C" w14:textId="77777777" w:rsidR="003E5BF5" w:rsidRPr="00293D7B" w:rsidRDefault="003E5BF5" w:rsidP="00DE1921">
            <w:pPr>
              <w:pStyle w:val="TableTextRightBold"/>
              <w:rPr>
                <w:rFonts w:ascii="Arial" w:hAnsi="Arial" w:cs="Arial"/>
                <w:sz w:val="24"/>
                <w:szCs w:val="24"/>
              </w:rPr>
            </w:pPr>
            <w:r w:rsidRPr="00293D7B">
              <w:rPr>
                <w:rFonts w:ascii="Arial" w:hAnsi="Arial" w:cs="Arial"/>
                <w:sz w:val="24"/>
                <w:szCs w:val="24"/>
              </w:rPr>
              <w:t xml:space="preserve">4,192,898 </w:t>
            </w:r>
          </w:p>
        </w:tc>
        <w:tc>
          <w:tcPr>
            <w:tcW w:w="1284" w:type="dxa"/>
            <w:shd w:val="clear" w:color="auto" w:fill="auto"/>
            <w:noWrap/>
            <w:vAlign w:val="center"/>
            <w:hideMark/>
          </w:tcPr>
          <w:p w14:paraId="7B0EC33D"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 xml:space="preserve">2,766,296 </w:t>
            </w:r>
          </w:p>
        </w:tc>
      </w:tr>
      <w:tr w:rsidR="003E5BF5" w:rsidRPr="00293D7B" w14:paraId="0F91F7B6" w14:textId="77777777" w:rsidTr="00F81C33">
        <w:trPr>
          <w:trHeight w:val="340"/>
        </w:trPr>
        <w:tc>
          <w:tcPr>
            <w:tcW w:w="6804" w:type="dxa"/>
            <w:shd w:val="clear" w:color="auto" w:fill="auto"/>
            <w:noWrap/>
            <w:vAlign w:val="center"/>
            <w:hideMark/>
          </w:tcPr>
          <w:p w14:paraId="3E312357"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Capital transactions with the State in its capacity as owner arising from:</w:t>
            </w:r>
          </w:p>
        </w:tc>
        <w:tc>
          <w:tcPr>
            <w:tcW w:w="1284" w:type="dxa"/>
            <w:shd w:val="clear" w:color="auto" w:fill="auto"/>
            <w:noWrap/>
            <w:vAlign w:val="center"/>
            <w:hideMark/>
          </w:tcPr>
          <w:p w14:paraId="7E25A29C" w14:textId="77777777" w:rsidR="003E5BF5" w:rsidRPr="00293D7B" w:rsidRDefault="003E5BF5" w:rsidP="00DE1921">
            <w:pPr>
              <w:pStyle w:val="TableTextRightBold"/>
              <w:rPr>
                <w:rFonts w:ascii="Arial" w:hAnsi="Arial" w:cs="Arial"/>
                <w:sz w:val="24"/>
                <w:szCs w:val="24"/>
              </w:rPr>
            </w:pPr>
          </w:p>
        </w:tc>
        <w:tc>
          <w:tcPr>
            <w:tcW w:w="1284" w:type="dxa"/>
            <w:shd w:val="clear" w:color="auto" w:fill="auto"/>
            <w:noWrap/>
            <w:vAlign w:val="center"/>
            <w:hideMark/>
          </w:tcPr>
          <w:p w14:paraId="04DC3961" w14:textId="77777777" w:rsidR="003E5BF5" w:rsidRPr="00293D7B" w:rsidRDefault="003E5BF5" w:rsidP="00DE1921">
            <w:pPr>
              <w:pStyle w:val="TableTextRight"/>
              <w:rPr>
                <w:rFonts w:ascii="Arial" w:hAnsi="Arial" w:cs="Arial"/>
                <w:sz w:val="24"/>
                <w:szCs w:val="24"/>
              </w:rPr>
            </w:pPr>
          </w:p>
        </w:tc>
      </w:tr>
      <w:tr w:rsidR="003E5BF5" w:rsidRPr="00293D7B" w14:paraId="5B61737D" w14:textId="77777777" w:rsidTr="00F81C33">
        <w:trPr>
          <w:trHeight w:val="340"/>
        </w:trPr>
        <w:tc>
          <w:tcPr>
            <w:tcW w:w="6804" w:type="dxa"/>
            <w:shd w:val="clear" w:color="auto" w:fill="auto"/>
            <w:noWrap/>
            <w:vAlign w:val="center"/>
            <w:hideMark/>
          </w:tcPr>
          <w:p w14:paraId="6DD8C0CE"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Capital appropriations</w:t>
            </w:r>
          </w:p>
        </w:tc>
        <w:tc>
          <w:tcPr>
            <w:tcW w:w="1284" w:type="dxa"/>
            <w:shd w:val="clear" w:color="auto" w:fill="auto"/>
            <w:noWrap/>
            <w:vAlign w:val="center"/>
            <w:hideMark/>
          </w:tcPr>
          <w:p w14:paraId="2F6987D0"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4,562,820 </w:t>
            </w:r>
          </w:p>
        </w:tc>
        <w:tc>
          <w:tcPr>
            <w:tcW w:w="1284" w:type="dxa"/>
            <w:shd w:val="clear" w:color="auto" w:fill="auto"/>
            <w:noWrap/>
            <w:vAlign w:val="center"/>
            <w:hideMark/>
          </w:tcPr>
          <w:p w14:paraId="7E8BFC78"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 xml:space="preserve">3,394,244 </w:t>
            </w:r>
          </w:p>
        </w:tc>
      </w:tr>
      <w:tr w:rsidR="003E5BF5" w:rsidRPr="00293D7B" w14:paraId="73D3433E" w14:textId="77777777" w:rsidTr="00F81C33">
        <w:trPr>
          <w:trHeight w:val="340"/>
        </w:trPr>
        <w:tc>
          <w:tcPr>
            <w:tcW w:w="6804" w:type="dxa"/>
            <w:shd w:val="clear" w:color="auto" w:fill="auto"/>
            <w:noWrap/>
            <w:vAlign w:val="center"/>
            <w:hideMark/>
          </w:tcPr>
          <w:p w14:paraId="449871D4"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Capital funding to agencies within portfolio</w:t>
            </w:r>
          </w:p>
        </w:tc>
        <w:tc>
          <w:tcPr>
            <w:tcW w:w="1284" w:type="dxa"/>
            <w:shd w:val="clear" w:color="auto" w:fill="auto"/>
            <w:noWrap/>
            <w:vAlign w:val="center"/>
            <w:hideMark/>
          </w:tcPr>
          <w:p w14:paraId="2753AFAE"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(13,023)</w:t>
            </w:r>
          </w:p>
        </w:tc>
        <w:tc>
          <w:tcPr>
            <w:tcW w:w="1284" w:type="dxa"/>
            <w:shd w:val="clear" w:color="auto" w:fill="auto"/>
            <w:noWrap/>
            <w:vAlign w:val="center"/>
            <w:hideMark/>
          </w:tcPr>
          <w:p w14:paraId="50875BA2"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(533,962)</w:t>
            </w:r>
          </w:p>
        </w:tc>
      </w:tr>
      <w:tr w:rsidR="003E5BF5" w:rsidRPr="00293D7B" w14:paraId="3ED07267" w14:textId="77777777" w:rsidTr="00F81C33">
        <w:trPr>
          <w:trHeight w:val="340"/>
        </w:trPr>
        <w:tc>
          <w:tcPr>
            <w:tcW w:w="6804" w:type="dxa"/>
            <w:shd w:val="clear" w:color="auto" w:fill="auto"/>
            <w:noWrap/>
            <w:vAlign w:val="center"/>
            <w:hideMark/>
          </w:tcPr>
          <w:p w14:paraId="0AC7A939"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Capital funding from the State</w:t>
            </w:r>
          </w:p>
        </w:tc>
        <w:tc>
          <w:tcPr>
            <w:tcW w:w="1284" w:type="dxa"/>
            <w:shd w:val="clear" w:color="auto" w:fill="auto"/>
            <w:noWrap/>
            <w:vAlign w:val="center"/>
            <w:hideMark/>
          </w:tcPr>
          <w:p w14:paraId="28B3A163"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1,782,600 </w:t>
            </w:r>
          </w:p>
        </w:tc>
        <w:tc>
          <w:tcPr>
            <w:tcW w:w="1284" w:type="dxa"/>
            <w:shd w:val="clear" w:color="auto" w:fill="auto"/>
            <w:noWrap/>
            <w:vAlign w:val="center"/>
            <w:hideMark/>
          </w:tcPr>
          <w:p w14:paraId="0E4316DA"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 xml:space="preserve">1,448,400 </w:t>
            </w:r>
          </w:p>
        </w:tc>
      </w:tr>
      <w:tr w:rsidR="003E5BF5" w:rsidRPr="00293D7B" w14:paraId="4B6D2421" w14:textId="77777777" w:rsidTr="00F81C33">
        <w:trPr>
          <w:trHeight w:val="340"/>
        </w:trPr>
        <w:tc>
          <w:tcPr>
            <w:tcW w:w="6804" w:type="dxa"/>
            <w:shd w:val="clear" w:color="auto" w:fill="auto"/>
            <w:vAlign w:val="center"/>
            <w:hideMark/>
          </w:tcPr>
          <w:p w14:paraId="5DC19EA6"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Administrative restructure - net assets received</w:t>
            </w:r>
          </w:p>
        </w:tc>
        <w:tc>
          <w:tcPr>
            <w:tcW w:w="1284" w:type="dxa"/>
            <w:shd w:val="clear" w:color="auto" w:fill="auto"/>
            <w:noWrap/>
            <w:vAlign w:val="center"/>
            <w:hideMark/>
          </w:tcPr>
          <w:p w14:paraId="67F04036"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58,404,677 </w:t>
            </w:r>
          </w:p>
        </w:tc>
        <w:tc>
          <w:tcPr>
            <w:tcW w:w="1284" w:type="dxa"/>
            <w:shd w:val="clear" w:color="auto" w:fill="auto"/>
            <w:noWrap/>
            <w:vAlign w:val="center"/>
            <w:hideMark/>
          </w:tcPr>
          <w:p w14:paraId="06DC45C4"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 xml:space="preserve">1,516,101 </w:t>
            </w:r>
          </w:p>
        </w:tc>
      </w:tr>
      <w:tr w:rsidR="003E5BF5" w:rsidRPr="00293D7B" w14:paraId="624E7DF7" w14:textId="77777777" w:rsidTr="00F81C33">
        <w:trPr>
          <w:trHeight w:val="340"/>
        </w:trPr>
        <w:tc>
          <w:tcPr>
            <w:tcW w:w="6804" w:type="dxa"/>
            <w:shd w:val="clear" w:color="auto" w:fill="auto"/>
            <w:vAlign w:val="center"/>
            <w:hideMark/>
          </w:tcPr>
          <w:p w14:paraId="350FDB1C"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Administrative restructure - net assets transferred</w:t>
            </w:r>
          </w:p>
        </w:tc>
        <w:tc>
          <w:tcPr>
            <w:tcW w:w="1284" w:type="dxa"/>
            <w:shd w:val="clear" w:color="auto" w:fill="auto"/>
            <w:noWrap/>
            <w:vAlign w:val="center"/>
            <w:hideMark/>
          </w:tcPr>
          <w:p w14:paraId="3C5581D6"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 - </w:t>
            </w:r>
          </w:p>
        </w:tc>
        <w:tc>
          <w:tcPr>
            <w:tcW w:w="1284" w:type="dxa"/>
            <w:shd w:val="clear" w:color="auto" w:fill="auto"/>
            <w:noWrap/>
            <w:vAlign w:val="center"/>
            <w:hideMark/>
          </w:tcPr>
          <w:p w14:paraId="3762BF37"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(1,670,826)</w:t>
            </w:r>
          </w:p>
        </w:tc>
      </w:tr>
      <w:tr w:rsidR="003E5BF5" w:rsidRPr="00293D7B" w14:paraId="7F774782" w14:textId="77777777" w:rsidTr="00F81C33">
        <w:trPr>
          <w:trHeight w:val="340"/>
        </w:trPr>
        <w:tc>
          <w:tcPr>
            <w:tcW w:w="6804" w:type="dxa"/>
            <w:shd w:val="clear" w:color="auto" w:fill="auto"/>
            <w:noWrap/>
            <w:vAlign w:val="center"/>
            <w:hideMark/>
          </w:tcPr>
          <w:p w14:paraId="78435687"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Other net assets transferred to other government entities</w:t>
            </w:r>
          </w:p>
        </w:tc>
        <w:tc>
          <w:tcPr>
            <w:tcW w:w="1284" w:type="dxa"/>
            <w:shd w:val="clear" w:color="auto" w:fill="auto"/>
            <w:noWrap/>
            <w:vAlign w:val="center"/>
            <w:hideMark/>
          </w:tcPr>
          <w:p w14:paraId="4A5B652A"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(3,936,577)</w:t>
            </w:r>
          </w:p>
        </w:tc>
        <w:tc>
          <w:tcPr>
            <w:tcW w:w="1284" w:type="dxa"/>
            <w:shd w:val="clear" w:color="auto" w:fill="auto"/>
            <w:noWrap/>
            <w:vAlign w:val="center"/>
            <w:hideMark/>
          </w:tcPr>
          <w:p w14:paraId="2F44DA4B"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(2,726,888)</w:t>
            </w:r>
          </w:p>
        </w:tc>
      </w:tr>
      <w:tr w:rsidR="003E5BF5" w:rsidRPr="00293D7B" w14:paraId="4FF392CD" w14:textId="77777777" w:rsidTr="00F81C33">
        <w:trPr>
          <w:trHeight w:val="340"/>
        </w:trPr>
        <w:tc>
          <w:tcPr>
            <w:tcW w:w="6804" w:type="dxa"/>
            <w:shd w:val="clear" w:color="auto" w:fill="auto"/>
            <w:noWrap/>
            <w:vAlign w:val="center"/>
            <w:hideMark/>
          </w:tcPr>
          <w:p w14:paraId="1DFF4562"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 xml:space="preserve">Sec53(1)(b) entities no longer consolidated </w:t>
            </w:r>
            <w:r w:rsidRPr="00293D7B">
              <w:rPr>
                <w:rFonts w:ascii="Arial" w:hAnsi="Arial" w:cs="Arial"/>
                <w:sz w:val="24"/>
                <w:szCs w:val="24"/>
                <w:vertAlign w:val="superscript"/>
              </w:rPr>
              <w:t>(</w:t>
            </w:r>
            <w:proofErr w:type="spellStart"/>
            <w:r w:rsidRPr="00293D7B">
              <w:rPr>
                <w:rFonts w:ascii="Arial" w:hAnsi="Arial" w:cs="Arial"/>
                <w:sz w:val="24"/>
                <w:szCs w:val="24"/>
                <w:vertAlign w:val="superscript"/>
              </w:rPr>
              <w:t>i</w:t>
            </w:r>
            <w:proofErr w:type="spellEnd"/>
            <w:r w:rsidRPr="00293D7B">
              <w:rPr>
                <w:rFonts w:ascii="Arial" w:hAnsi="Arial" w:cs="Arial"/>
                <w:sz w:val="24"/>
                <w:szCs w:val="24"/>
                <w:vertAlign w:val="superscript"/>
              </w:rPr>
              <w:t>)</w:t>
            </w:r>
          </w:p>
        </w:tc>
        <w:tc>
          <w:tcPr>
            <w:tcW w:w="1284" w:type="dxa"/>
            <w:shd w:val="clear" w:color="auto" w:fill="auto"/>
            <w:noWrap/>
            <w:vAlign w:val="center"/>
            <w:hideMark/>
          </w:tcPr>
          <w:p w14:paraId="65157D84"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 - </w:t>
            </w:r>
          </w:p>
        </w:tc>
        <w:tc>
          <w:tcPr>
            <w:tcW w:w="1284" w:type="dxa"/>
            <w:shd w:val="clear" w:color="auto" w:fill="auto"/>
            <w:noWrap/>
            <w:vAlign w:val="center"/>
            <w:hideMark/>
          </w:tcPr>
          <w:p w14:paraId="047D24A5"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(467)</w:t>
            </w:r>
          </w:p>
        </w:tc>
      </w:tr>
      <w:tr w:rsidR="003E5BF5" w:rsidRPr="00293D7B" w14:paraId="4BD631A9" w14:textId="77777777" w:rsidTr="00F81C33">
        <w:trPr>
          <w:trHeight w:val="340"/>
        </w:trPr>
        <w:tc>
          <w:tcPr>
            <w:tcW w:w="6804" w:type="dxa"/>
            <w:tcBorders>
              <w:bottom w:val="nil"/>
            </w:tcBorders>
            <w:shd w:val="clear" w:color="auto" w:fill="auto"/>
            <w:noWrap/>
            <w:vAlign w:val="center"/>
            <w:hideMark/>
          </w:tcPr>
          <w:p w14:paraId="4E53998A" w14:textId="77777777" w:rsidR="003E5BF5" w:rsidRPr="00293D7B" w:rsidRDefault="003E5BF5" w:rsidP="00DE1921">
            <w:pPr>
              <w:pStyle w:val="TableTextLeft"/>
              <w:rPr>
                <w:rFonts w:ascii="Arial" w:hAnsi="Arial" w:cs="Arial"/>
                <w:b/>
                <w:sz w:val="24"/>
                <w:szCs w:val="24"/>
              </w:rPr>
            </w:pPr>
            <w:r w:rsidRPr="00293D7B">
              <w:rPr>
                <w:rFonts w:ascii="Arial" w:hAnsi="Arial" w:cs="Arial"/>
                <w:b/>
                <w:sz w:val="24"/>
                <w:szCs w:val="24"/>
              </w:rPr>
              <w:t>Balance at end of financial year</w:t>
            </w:r>
          </w:p>
        </w:tc>
        <w:tc>
          <w:tcPr>
            <w:tcW w:w="1284" w:type="dxa"/>
            <w:tcBorders>
              <w:bottom w:val="nil"/>
            </w:tcBorders>
            <w:shd w:val="clear" w:color="auto" w:fill="auto"/>
            <w:noWrap/>
            <w:vAlign w:val="center"/>
            <w:hideMark/>
          </w:tcPr>
          <w:p w14:paraId="78361F84" w14:textId="77777777" w:rsidR="003E5BF5" w:rsidRPr="00293D7B" w:rsidRDefault="003E5BF5" w:rsidP="00DE1921">
            <w:pPr>
              <w:pStyle w:val="TableTextRightBold"/>
              <w:rPr>
                <w:rFonts w:ascii="Arial" w:hAnsi="Arial" w:cs="Arial"/>
                <w:sz w:val="24"/>
                <w:szCs w:val="24"/>
              </w:rPr>
            </w:pPr>
            <w:r w:rsidRPr="00293D7B">
              <w:rPr>
                <w:rFonts w:ascii="Arial" w:hAnsi="Arial" w:cs="Arial"/>
                <w:sz w:val="24"/>
                <w:szCs w:val="24"/>
              </w:rPr>
              <w:t xml:space="preserve">64,993,395 </w:t>
            </w:r>
          </w:p>
        </w:tc>
        <w:tc>
          <w:tcPr>
            <w:tcW w:w="1284" w:type="dxa"/>
            <w:tcBorders>
              <w:bottom w:val="nil"/>
            </w:tcBorders>
            <w:shd w:val="clear" w:color="auto" w:fill="auto"/>
            <w:noWrap/>
            <w:vAlign w:val="center"/>
            <w:hideMark/>
          </w:tcPr>
          <w:p w14:paraId="4F6409BB"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 xml:space="preserve">4,192,898 </w:t>
            </w:r>
          </w:p>
        </w:tc>
      </w:tr>
    </w:tbl>
    <w:p w14:paraId="4D0CA9AD" w14:textId="77777777" w:rsidR="00F81C33" w:rsidRPr="00293D7B" w:rsidRDefault="00F81C33" w:rsidP="00F81C33">
      <w:pPr>
        <w:pStyle w:val="Note"/>
        <w:spacing w:before="100"/>
        <w:rPr>
          <w:rFonts w:ascii="Arial" w:hAnsi="Arial" w:cs="Arial"/>
          <w:sz w:val="24"/>
          <w:szCs w:val="24"/>
        </w:rPr>
      </w:pPr>
      <w:r w:rsidRPr="00293D7B">
        <w:rPr>
          <w:rFonts w:ascii="Arial" w:hAnsi="Arial" w:cs="Arial"/>
          <w:sz w:val="24"/>
          <w:szCs w:val="24"/>
        </w:rPr>
        <w:t>Note:</w:t>
      </w:r>
    </w:p>
    <w:p w14:paraId="79D6416A" w14:textId="77777777" w:rsidR="00F81C33" w:rsidRPr="00293D7B" w:rsidRDefault="00F81C33" w:rsidP="00610F5F">
      <w:pPr>
        <w:pStyle w:val="aaaNotenumberiiiiii"/>
        <w:numPr>
          <w:ilvl w:val="0"/>
          <w:numId w:val="126"/>
        </w:numPr>
      </w:pPr>
      <w:r w:rsidRPr="00293D7B">
        <w:t xml:space="preserve">Rural Assistance </w:t>
      </w:r>
      <w:r w:rsidRPr="00F81C33">
        <w:t>Commissioner</w:t>
      </w:r>
      <w:r w:rsidRPr="00293D7B">
        <w:t xml:space="preserve"> is no longer consolidated in this annual report. The movements </w:t>
      </w:r>
      <w:r w:rsidRPr="00F81C33">
        <w:t>reflect</w:t>
      </w:r>
      <w:r w:rsidRPr="00293D7B">
        <w:t xml:space="preserve"> the net assets no longer with the department.</w:t>
      </w:r>
    </w:p>
    <w:p w14:paraId="32C791AF" w14:textId="34B71650" w:rsidR="003E5BF5" w:rsidRPr="00293D7B" w:rsidRDefault="003E5BF5" w:rsidP="00604703">
      <w:pPr>
        <w:pStyle w:val="TableTextGreen"/>
        <w:rPr>
          <w:lang w:eastAsia="en-AU"/>
        </w:rPr>
      </w:pPr>
      <w:r w:rsidRPr="00293D7B">
        <w:t>Capital funding (to)/from agencies within portfolio</w:t>
      </w:r>
      <w:bookmarkStart w:id="640" w:name="_1659081071"/>
      <w:bookmarkStart w:id="641" w:name="RANGE!A20:C32"/>
      <w:bookmarkEnd w:id="640"/>
      <w:bookmarkEnd w:id="641"/>
    </w:p>
    <w:tbl>
      <w:tblPr>
        <w:tblStyle w:val="TableGrid"/>
        <w:tblW w:w="9072" w:type="dxa"/>
        <w:tblCellMar>
          <w:left w:w="28" w:type="dxa"/>
          <w:right w:w="28" w:type="dxa"/>
        </w:tblCellMar>
        <w:tblLook w:val="04A0" w:firstRow="1" w:lastRow="0" w:firstColumn="1" w:lastColumn="0" w:noHBand="0" w:noVBand="1"/>
      </w:tblPr>
      <w:tblGrid>
        <w:gridCol w:w="6804"/>
        <w:gridCol w:w="1134"/>
        <w:gridCol w:w="1134"/>
      </w:tblGrid>
      <w:tr w:rsidR="003E5BF5" w:rsidRPr="00293D7B" w14:paraId="360351CB" w14:textId="77777777" w:rsidTr="00F3483E">
        <w:trPr>
          <w:trHeight w:val="340"/>
        </w:trPr>
        <w:tc>
          <w:tcPr>
            <w:tcW w:w="6804" w:type="dxa"/>
            <w:shd w:val="clear" w:color="auto" w:fill="auto"/>
            <w:noWrap/>
          </w:tcPr>
          <w:p w14:paraId="2D2CC61C" w14:textId="77777777" w:rsidR="003E5BF5" w:rsidRPr="00293D7B" w:rsidRDefault="003E5BF5" w:rsidP="00DE1921">
            <w:pPr>
              <w:pStyle w:val="TableTextLeft"/>
              <w:rPr>
                <w:rFonts w:ascii="Arial" w:hAnsi="Arial" w:cs="Arial"/>
                <w:sz w:val="24"/>
                <w:szCs w:val="24"/>
              </w:rPr>
            </w:pPr>
          </w:p>
        </w:tc>
        <w:tc>
          <w:tcPr>
            <w:tcW w:w="2268" w:type="dxa"/>
            <w:gridSpan w:val="2"/>
            <w:shd w:val="clear" w:color="auto" w:fill="auto"/>
            <w:noWrap/>
            <w:vAlign w:val="center"/>
            <w:hideMark/>
          </w:tcPr>
          <w:p w14:paraId="29B8EA5A" w14:textId="77777777" w:rsidR="003E5BF5" w:rsidRPr="00293D7B" w:rsidRDefault="003E5BF5" w:rsidP="00DE1921">
            <w:pPr>
              <w:pStyle w:val="TableTextCentre"/>
              <w:rPr>
                <w:rFonts w:ascii="Arial" w:hAnsi="Arial" w:cs="Arial"/>
                <w:b/>
                <w:sz w:val="24"/>
                <w:szCs w:val="24"/>
              </w:rPr>
            </w:pPr>
            <w:r w:rsidRPr="00293D7B">
              <w:rPr>
                <w:rFonts w:ascii="Arial" w:hAnsi="Arial" w:cs="Arial"/>
                <w:b/>
                <w:sz w:val="24"/>
                <w:szCs w:val="24"/>
              </w:rPr>
              <w:t>($ thousand)</w:t>
            </w:r>
          </w:p>
        </w:tc>
      </w:tr>
      <w:tr w:rsidR="003E5BF5" w:rsidRPr="00293D7B" w14:paraId="6AC2FE55" w14:textId="77777777" w:rsidTr="00F3483E">
        <w:trPr>
          <w:trHeight w:val="340"/>
        </w:trPr>
        <w:tc>
          <w:tcPr>
            <w:tcW w:w="6804" w:type="dxa"/>
            <w:shd w:val="clear" w:color="auto" w:fill="auto"/>
            <w:noWrap/>
          </w:tcPr>
          <w:p w14:paraId="38659D15" w14:textId="77777777" w:rsidR="003E5BF5" w:rsidRPr="00293D7B" w:rsidRDefault="003E5BF5" w:rsidP="00DE1921">
            <w:pPr>
              <w:pStyle w:val="TableTextLeft"/>
              <w:rPr>
                <w:rFonts w:ascii="Arial" w:hAnsi="Arial" w:cs="Arial"/>
                <w:sz w:val="24"/>
                <w:szCs w:val="24"/>
              </w:rPr>
            </w:pPr>
          </w:p>
        </w:tc>
        <w:tc>
          <w:tcPr>
            <w:tcW w:w="1134" w:type="dxa"/>
            <w:shd w:val="clear" w:color="auto" w:fill="auto"/>
            <w:noWrap/>
            <w:vAlign w:val="center"/>
            <w:hideMark/>
          </w:tcPr>
          <w:p w14:paraId="2D47FB48" w14:textId="77777777" w:rsidR="003E5BF5" w:rsidRPr="00293D7B" w:rsidRDefault="003E5BF5" w:rsidP="00DE1921">
            <w:pPr>
              <w:pStyle w:val="TableTextRightBold"/>
              <w:rPr>
                <w:rFonts w:ascii="Arial" w:hAnsi="Arial" w:cs="Arial"/>
                <w:sz w:val="24"/>
                <w:szCs w:val="24"/>
              </w:rPr>
            </w:pPr>
            <w:r w:rsidRPr="00293D7B">
              <w:rPr>
                <w:rFonts w:ascii="Arial" w:hAnsi="Arial" w:cs="Arial"/>
                <w:sz w:val="24"/>
                <w:szCs w:val="24"/>
              </w:rPr>
              <w:t>2020</w:t>
            </w:r>
          </w:p>
        </w:tc>
        <w:tc>
          <w:tcPr>
            <w:tcW w:w="1134" w:type="dxa"/>
            <w:shd w:val="clear" w:color="auto" w:fill="auto"/>
            <w:noWrap/>
            <w:vAlign w:val="center"/>
            <w:hideMark/>
          </w:tcPr>
          <w:p w14:paraId="3D7FCC07"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2019</w:t>
            </w:r>
          </w:p>
        </w:tc>
      </w:tr>
      <w:tr w:rsidR="003E5BF5" w:rsidRPr="00293D7B" w14:paraId="06D140C9" w14:textId="77777777" w:rsidTr="00F3483E">
        <w:trPr>
          <w:trHeight w:val="340"/>
        </w:trPr>
        <w:tc>
          <w:tcPr>
            <w:tcW w:w="6804" w:type="dxa"/>
            <w:shd w:val="clear" w:color="auto" w:fill="auto"/>
            <w:noWrap/>
            <w:vAlign w:val="center"/>
            <w:hideMark/>
          </w:tcPr>
          <w:p w14:paraId="55A40242"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 xml:space="preserve">Public Transport Victoria </w:t>
            </w:r>
            <w:r w:rsidRPr="00293D7B">
              <w:rPr>
                <w:rFonts w:ascii="Arial" w:hAnsi="Arial" w:cs="Arial"/>
                <w:sz w:val="24"/>
                <w:szCs w:val="24"/>
                <w:vertAlign w:val="superscript"/>
              </w:rPr>
              <w:t>(</w:t>
            </w:r>
            <w:proofErr w:type="spellStart"/>
            <w:r w:rsidRPr="00293D7B">
              <w:rPr>
                <w:rFonts w:ascii="Arial" w:hAnsi="Arial" w:cs="Arial"/>
                <w:sz w:val="24"/>
                <w:szCs w:val="24"/>
                <w:vertAlign w:val="superscript"/>
              </w:rPr>
              <w:t>i</w:t>
            </w:r>
            <w:proofErr w:type="spellEnd"/>
            <w:r w:rsidRPr="00293D7B">
              <w:rPr>
                <w:rFonts w:ascii="Arial" w:hAnsi="Arial" w:cs="Arial"/>
                <w:sz w:val="24"/>
                <w:szCs w:val="24"/>
                <w:vertAlign w:val="superscript"/>
              </w:rPr>
              <w:t>)</w:t>
            </w:r>
          </w:p>
        </w:tc>
        <w:tc>
          <w:tcPr>
            <w:tcW w:w="1134" w:type="dxa"/>
            <w:shd w:val="clear" w:color="auto" w:fill="auto"/>
            <w:noWrap/>
            <w:vAlign w:val="center"/>
            <w:hideMark/>
          </w:tcPr>
          <w:p w14:paraId="0FF76FBA"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 - </w:t>
            </w:r>
          </w:p>
        </w:tc>
        <w:tc>
          <w:tcPr>
            <w:tcW w:w="1134" w:type="dxa"/>
            <w:shd w:val="clear" w:color="auto" w:fill="auto"/>
            <w:noWrap/>
            <w:vAlign w:val="center"/>
            <w:hideMark/>
          </w:tcPr>
          <w:p w14:paraId="2285EC91"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(341,845)</w:t>
            </w:r>
          </w:p>
        </w:tc>
      </w:tr>
      <w:tr w:rsidR="003E5BF5" w:rsidRPr="00293D7B" w14:paraId="2B2B7AFA" w14:textId="77777777" w:rsidTr="00F3483E">
        <w:trPr>
          <w:trHeight w:val="340"/>
        </w:trPr>
        <w:tc>
          <w:tcPr>
            <w:tcW w:w="6804" w:type="dxa"/>
            <w:shd w:val="clear" w:color="auto" w:fill="auto"/>
            <w:noWrap/>
            <w:vAlign w:val="center"/>
            <w:hideMark/>
          </w:tcPr>
          <w:p w14:paraId="24AF04C9"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 xml:space="preserve">VicRoads </w:t>
            </w:r>
            <w:r w:rsidRPr="00293D7B">
              <w:rPr>
                <w:rFonts w:ascii="Arial" w:hAnsi="Arial" w:cs="Arial"/>
                <w:sz w:val="24"/>
                <w:szCs w:val="24"/>
                <w:vertAlign w:val="superscript"/>
              </w:rPr>
              <w:t>(</w:t>
            </w:r>
            <w:proofErr w:type="spellStart"/>
            <w:r w:rsidRPr="00293D7B">
              <w:rPr>
                <w:rFonts w:ascii="Arial" w:hAnsi="Arial" w:cs="Arial"/>
                <w:sz w:val="24"/>
                <w:szCs w:val="24"/>
                <w:vertAlign w:val="superscript"/>
              </w:rPr>
              <w:t>i</w:t>
            </w:r>
            <w:proofErr w:type="spellEnd"/>
            <w:r w:rsidRPr="00293D7B">
              <w:rPr>
                <w:rFonts w:ascii="Arial" w:hAnsi="Arial" w:cs="Arial"/>
                <w:sz w:val="24"/>
                <w:szCs w:val="24"/>
                <w:vertAlign w:val="superscript"/>
              </w:rPr>
              <w:t>)</w:t>
            </w:r>
          </w:p>
        </w:tc>
        <w:tc>
          <w:tcPr>
            <w:tcW w:w="1134" w:type="dxa"/>
            <w:shd w:val="clear" w:color="auto" w:fill="auto"/>
            <w:noWrap/>
            <w:vAlign w:val="center"/>
            <w:hideMark/>
          </w:tcPr>
          <w:p w14:paraId="69575B79"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 - </w:t>
            </w:r>
          </w:p>
        </w:tc>
        <w:tc>
          <w:tcPr>
            <w:tcW w:w="1134" w:type="dxa"/>
            <w:shd w:val="clear" w:color="auto" w:fill="auto"/>
            <w:noWrap/>
            <w:vAlign w:val="center"/>
            <w:hideMark/>
          </w:tcPr>
          <w:p w14:paraId="575D2399"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(131,128)</w:t>
            </w:r>
          </w:p>
        </w:tc>
      </w:tr>
      <w:tr w:rsidR="003E5BF5" w:rsidRPr="00293D7B" w14:paraId="514D460C" w14:textId="77777777" w:rsidTr="00F3483E">
        <w:trPr>
          <w:trHeight w:val="340"/>
        </w:trPr>
        <w:tc>
          <w:tcPr>
            <w:tcW w:w="6804" w:type="dxa"/>
            <w:shd w:val="clear" w:color="auto" w:fill="auto"/>
            <w:noWrap/>
            <w:vAlign w:val="center"/>
            <w:hideMark/>
          </w:tcPr>
          <w:p w14:paraId="3E198CDB" w14:textId="77777777" w:rsidR="003E5BF5" w:rsidRPr="00293D7B" w:rsidRDefault="003E5BF5" w:rsidP="00DE1921">
            <w:pPr>
              <w:pStyle w:val="TableTextLeft"/>
              <w:rPr>
                <w:rFonts w:ascii="Arial" w:hAnsi="Arial" w:cs="Arial"/>
                <w:sz w:val="24"/>
                <w:szCs w:val="24"/>
              </w:rPr>
            </w:pPr>
            <w:proofErr w:type="spellStart"/>
            <w:r w:rsidRPr="00293D7B">
              <w:rPr>
                <w:rFonts w:ascii="Arial" w:hAnsi="Arial" w:cs="Arial"/>
                <w:sz w:val="24"/>
                <w:szCs w:val="24"/>
              </w:rPr>
              <w:t>VicTrack</w:t>
            </w:r>
            <w:proofErr w:type="spellEnd"/>
          </w:p>
        </w:tc>
        <w:tc>
          <w:tcPr>
            <w:tcW w:w="1134" w:type="dxa"/>
            <w:shd w:val="clear" w:color="auto" w:fill="auto"/>
            <w:noWrap/>
            <w:vAlign w:val="center"/>
            <w:hideMark/>
          </w:tcPr>
          <w:p w14:paraId="753D84B3"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(7,364)</w:t>
            </w:r>
          </w:p>
        </w:tc>
        <w:tc>
          <w:tcPr>
            <w:tcW w:w="1134" w:type="dxa"/>
            <w:shd w:val="clear" w:color="auto" w:fill="auto"/>
            <w:noWrap/>
            <w:vAlign w:val="center"/>
            <w:hideMark/>
          </w:tcPr>
          <w:p w14:paraId="5418AA62"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(30,443)</w:t>
            </w:r>
          </w:p>
        </w:tc>
      </w:tr>
      <w:tr w:rsidR="003E5BF5" w:rsidRPr="00293D7B" w14:paraId="7B2CCA61" w14:textId="77777777" w:rsidTr="00F3483E">
        <w:trPr>
          <w:trHeight w:val="340"/>
        </w:trPr>
        <w:tc>
          <w:tcPr>
            <w:tcW w:w="6804" w:type="dxa"/>
            <w:shd w:val="clear" w:color="auto" w:fill="auto"/>
            <w:noWrap/>
            <w:vAlign w:val="center"/>
            <w:hideMark/>
          </w:tcPr>
          <w:p w14:paraId="1C850909"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 xml:space="preserve">Victorian Arts Centre </w:t>
            </w:r>
            <w:r w:rsidRPr="00293D7B">
              <w:rPr>
                <w:rFonts w:ascii="Arial" w:hAnsi="Arial" w:cs="Arial"/>
                <w:sz w:val="24"/>
                <w:szCs w:val="24"/>
                <w:vertAlign w:val="superscript"/>
              </w:rPr>
              <w:t>(ii)</w:t>
            </w:r>
          </w:p>
        </w:tc>
        <w:tc>
          <w:tcPr>
            <w:tcW w:w="1134" w:type="dxa"/>
            <w:shd w:val="clear" w:color="auto" w:fill="auto"/>
            <w:noWrap/>
            <w:vAlign w:val="center"/>
            <w:hideMark/>
          </w:tcPr>
          <w:p w14:paraId="36B86D78"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 - </w:t>
            </w:r>
          </w:p>
        </w:tc>
        <w:tc>
          <w:tcPr>
            <w:tcW w:w="1134" w:type="dxa"/>
            <w:shd w:val="clear" w:color="auto" w:fill="auto"/>
            <w:noWrap/>
            <w:vAlign w:val="center"/>
            <w:hideMark/>
          </w:tcPr>
          <w:p w14:paraId="5C4C6E35"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(1,958)</w:t>
            </w:r>
          </w:p>
        </w:tc>
      </w:tr>
      <w:tr w:rsidR="003E5BF5" w:rsidRPr="00293D7B" w14:paraId="3303CF35" w14:textId="77777777" w:rsidTr="00F3483E">
        <w:trPr>
          <w:trHeight w:val="340"/>
        </w:trPr>
        <w:tc>
          <w:tcPr>
            <w:tcW w:w="6804" w:type="dxa"/>
            <w:shd w:val="clear" w:color="auto" w:fill="auto"/>
            <w:noWrap/>
            <w:vAlign w:val="center"/>
            <w:hideMark/>
          </w:tcPr>
          <w:p w14:paraId="005CF75C"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 xml:space="preserve">State Library </w:t>
            </w:r>
            <w:r w:rsidRPr="00293D7B">
              <w:rPr>
                <w:rFonts w:ascii="Arial" w:hAnsi="Arial" w:cs="Arial"/>
                <w:sz w:val="24"/>
                <w:szCs w:val="24"/>
                <w:vertAlign w:val="superscript"/>
              </w:rPr>
              <w:t>(ii)</w:t>
            </w:r>
          </w:p>
        </w:tc>
        <w:tc>
          <w:tcPr>
            <w:tcW w:w="1134" w:type="dxa"/>
            <w:shd w:val="clear" w:color="auto" w:fill="auto"/>
            <w:noWrap/>
            <w:vAlign w:val="center"/>
            <w:hideMark/>
          </w:tcPr>
          <w:p w14:paraId="098A2B50"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 - </w:t>
            </w:r>
          </w:p>
        </w:tc>
        <w:tc>
          <w:tcPr>
            <w:tcW w:w="1134" w:type="dxa"/>
            <w:shd w:val="clear" w:color="auto" w:fill="auto"/>
            <w:noWrap/>
            <w:vAlign w:val="center"/>
            <w:hideMark/>
          </w:tcPr>
          <w:p w14:paraId="14AC59F5"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(25,850)</w:t>
            </w:r>
          </w:p>
        </w:tc>
      </w:tr>
      <w:tr w:rsidR="003E5BF5" w:rsidRPr="00293D7B" w14:paraId="5CD439BF" w14:textId="77777777" w:rsidTr="00F3483E">
        <w:trPr>
          <w:trHeight w:val="340"/>
        </w:trPr>
        <w:tc>
          <w:tcPr>
            <w:tcW w:w="6804" w:type="dxa"/>
            <w:shd w:val="clear" w:color="auto" w:fill="auto"/>
            <w:noWrap/>
            <w:vAlign w:val="center"/>
            <w:hideMark/>
          </w:tcPr>
          <w:p w14:paraId="3430EC39"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Commercial Passenger Vehicle Victoria</w:t>
            </w:r>
          </w:p>
        </w:tc>
        <w:tc>
          <w:tcPr>
            <w:tcW w:w="1134" w:type="dxa"/>
            <w:shd w:val="clear" w:color="auto" w:fill="auto"/>
            <w:noWrap/>
            <w:vAlign w:val="center"/>
            <w:hideMark/>
          </w:tcPr>
          <w:p w14:paraId="53E31F3C"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(866)</w:t>
            </w:r>
          </w:p>
        </w:tc>
        <w:tc>
          <w:tcPr>
            <w:tcW w:w="1134" w:type="dxa"/>
            <w:shd w:val="clear" w:color="auto" w:fill="auto"/>
            <w:noWrap/>
            <w:vAlign w:val="center"/>
            <w:hideMark/>
          </w:tcPr>
          <w:p w14:paraId="4B321ECB"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(1,403)</w:t>
            </w:r>
          </w:p>
        </w:tc>
      </w:tr>
      <w:tr w:rsidR="003E5BF5" w:rsidRPr="00293D7B" w14:paraId="79943EE5" w14:textId="77777777" w:rsidTr="00F3483E">
        <w:trPr>
          <w:trHeight w:val="340"/>
        </w:trPr>
        <w:tc>
          <w:tcPr>
            <w:tcW w:w="6804" w:type="dxa"/>
            <w:shd w:val="clear" w:color="auto" w:fill="auto"/>
            <w:noWrap/>
            <w:vAlign w:val="center"/>
            <w:hideMark/>
          </w:tcPr>
          <w:p w14:paraId="54B832B8"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Port of Melbourne Corporation</w:t>
            </w:r>
          </w:p>
        </w:tc>
        <w:tc>
          <w:tcPr>
            <w:tcW w:w="1134" w:type="dxa"/>
            <w:shd w:val="clear" w:color="auto" w:fill="auto"/>
            <w:noWrap/>
            <w:vAlign w:val="center"/>
            <w:hideMark/>
          </w:tcPr>
          <w:p w14:paraId="397EB0FC"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 - </w:t>
            </w:r>
          </w:p>
        </w:tc>
        <w:tc>
          <w:tcPr>
            <w:tcW w:w="1134" w:type="dxa"/>
            <w:shd w:val="clear" w:color="auto" w:fill="auto"/>
            <w:noWrap/>
            <w:vAlign w:val="center"/>
            <w:hideMark/>
          </w:tcPr>
          <w:p w14:paraId="4C587BDA"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(1,335)</w:t>
            </w:r>
          </w:p>
        </w:tc>
      </w:tr>
      <w:tr w:rsidR="003E5BF5" w:rsidRPr="00293D7B" w14:paraId="1042CF72" w14:textId="77777777" w:rsidTr="00F3483E">
        <w:trPr>
          <w:trHeight w:val="340"/>
        </w:trPr>
        <w:tc>
          <w:tcPr>
            <w:tcW w:w="6804" w:type="dxa"/>
            <w:shd w:val="clear" w:color="auto" w:fill="auto"/>
            <w:noWrap/>
            <w:vAlign w:val="center"/>
            <w:hideMark/>
          </w:tcPr>
          <w:p w14:paraId="473DDC30"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Victorian Fisheries Authority</w:t>
            </w:r>
          </w:p>
        </w:tc>
        <w:tc>
          <w:tcPr>
            <w:tcW w:w="1134" w:type="dxa"/>
            <w:shd w:val="clear" w:color="auto" w:fill="auto"/>
            <w:noWrap/>
            <w:vAlign w:val="center"/>
            <w:hideMark/>
          </w:tcPr>
          <w:p w14:paraId="2B35072A"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(2,978)</w:t>
            </w:r>
          </w:p>
        </w:tc>
        <w:tc>
          <w:tcPr>
            <w:tcW w:w="1134" w:type="dxa"/>
            <w:shd w:val="clear" w:color="auto" w:fill="auto"/>
            <w:noWrap/>
            <w:vAlign w:val="center"/>
            <w:hideMark/>
          </w:tcPr>
          <w:p w14:paraId="2C60950D"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 xml:space="preserve"> - </w:t>
            </w:r>
          </w:p>
        </w:tc>
      </w:tr>
      <w:tr w:rsidR="003E5BF5" w:rsidRPr="00293D7B" w14:paraId="65FDDECB" w14:textId="77777777" w:rsidTr="00F3483E">
        <w:trPr>
          <w:trHeight w:val="340"/>
        </w:trPr>
        <w:tc>
          <w:tcPr>
            <w:tcW w:w="6804" w:type="dxa"/>
            <w:shd w:val="clear" w:color="auto" w:fill="auto"/>
            <w:noWrap/>
            <w:vAlign w:val="center"/>
            <w:hideMark/>
          </w:tcPr>
          <w:p w14:paraId="6E1CF2F9"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Victorian Ports Corporation</w:t>
            </w:r>
          </w:p>
        </w:tc>
        <w:tc>
          <w:tcPr>
            <w:tcW w:w="1134" w:type="dxa"/>
            <w:shd w:val="clear" w:color="auto" w:fill="auto"/>
            <w:noWrap/>
            <w:vAlign w:val="center"/>
            <w:hideMark/>
          </w:tcPr>
          <w:p w14:paraId="67A21AE3"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(1,815)</w:t>
            </w:r>
          </w:p>
        </w:tc>
        <w:tc>
          <w:tcPr>
            <w:tcW w:w="1134" w:type="dxa"/>
            <w:shd w:val="clear" w:color="auto" w:fill="auto"/>
            <w:noWrap/>
            <w:vAlign w:val="center"/>
            <w:hideMark/>
          </w:tcPr>
          <w:p w14:paraId="50EE6DFA"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 xml:space="preserve"> - </w:t>
            </w:r>
          </w:p>
        </w:tc>
      </w:tr>
      <w:tr w:rsidR="003E5BF5" w:rsidRPr="00293D7B" w14:paraId="2E29142B" w14:textId="77777777" w:rsidTr="00F3483E">
        <w:trPr>
          <w:trHeight w:val="340"/>
        </w:trPr>
        <w:tc>
          <w:tcPr>
            <w:tcW w:w="6804" w:type="dxa"/>
            <w:tcBorders>
              <w:bottom w:val="nil"/>
            </w:tcBorders>
            <w:shd w:val="clear" w:color="auto" w:fill="auto"/>
            <w:noWrap/>
            <w:vAlign w:val="center"/>
            <w:hideMark/>
          </w:tcPr>
          <w:p w14:paraId="5758FCD1" w14:textId="77777777" w:rsidR="003E5BF5" w:rsidRPr="00293D7B" w:rsidRDefault="003E5BF5" w:rsidP="00DE1921">
            <w:pPr>
              <w:pStyle w:val="TableTextLeft"/>
              <w:rPr>
                <w:rFonts w:ascii="Arial" w:hAnsi="Arial" w:cs="Arial"/>
                <w:b/>
                <w:sz w:val="24"/>
                <w:szCs w:val="24"/>
              </w:rPr>
            </w:pPr>
            <w:r w:rsidRPr="00293D7B">
              <w:rPr>
                <w:rFonts w:ascii="Arial" w:hAnsi="Arial" w:cs="Arial"/>
                <w:b/>
                <w:sz w:val="24"/>
                <w:szCs w:val="24"/>
              </w:rPr>
              <w:t>Total capital contributions (to)/from agencies within portfolio</w:t>
            </w:r>
          </w:p>
        </w:tc>
        <w:tc>
          <w:tcPr>
            <w:tcW w:w="1134" w:type="dxa"/>
            <w:tcBorders>
              <w:bottom w:val="nil"/>
            </w:tcBorders>
            <w:shd w:val="clear" w:color="auto" w:fill="auto"/>
            <w:noWrap/>
            <w:vAlign w:val="center"/>
            <w:hideMark/>
          </w:tcPr>
          <w:p w14:paraId="0BE7CD6C" w14:textId="77777777" w:rsidR="003E5BF5" w:rsidRPr="00293D7B" w:rsidRDefault="003E5BF5" w:rsidP="00DE1921">
            <w:pPr>
              <w:pStyle w:val="TableTextRightBold"/>
              <w:rPr>
                <w:rFonts w:ascii="Arial" w:hAnsi="Arial" w:cs="Arial"/>
                <w:sz w:val="24"/>
                <w:szCs w:val="24"/>
              </w:rPr>
            </w:pPr>
            <w:r w:rsidRPr="00293D7B">
              <w:rPr>
                <w:rFonts w:ascii="Arial" w:hAnsi="Arial" w:cs="Arial"/>
                <w:sz w:val="24"/>
                <w:szCs w:val="24"/>
              </w:rPr>
              <w:t>(13,023)</w:t>
            </w:r>
          </w:p>
        </w:tc>
        <w:tc>
          <w:tcPr>
            <w:tcW w:w="1134" w:type="dxa"/>
            <w:tcBorders>
              <w:bottom w:val="nil"/>
            </w:tcBorders>
            <w:shd w:val="clear" w:color="auto" w:fill="auto"/>
            <w:noWrap/>
            <w:vAlign w:val="center"/>
            <w:hideMark/>
          </w:tcPr>
          <w:p w14:paraId="56C06680"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(533,962)</w:t>
            </w:r>
          </w:p>
        </w:tc>
      </w:tr>
    </w:tbl>
    <w:p w14:paraId="00A78817" w14:textId="77777777" w:rsidR="00F81C33" w:rsidRPr="00293D7B" w:rsidRDefault="00F81C33" w:rsidP="00F81C33">
      <w:pPr>
        <w:pStyle w:val="Note"/>
        <w:rPr>
          <w:rFonts w:ascii="Arial" w:hAnsi="Arial" w:cs="Arial"/>
          <w:sz w:val="24"/>
          <w:szCs w:val="24"/>
        </w:rPr>
      </w:pPr>
      <w:r w:rsidRPr="00293D7B">
        <w:rPr>
          <w:rFonts w:ascii="Arial" w:hAnsi="Arial" w:cs="Arial"/>
          <w:sz w:val="24"/>
          <w:szCs w:val="24"/>
        </w:rPr>
        <w:t>Notes:</w:t>
      </w:r>
    </w:p>
    <w:p w14:paraId="361C7927" w14:textId="77777777" w:rsidR="00F81C33" w:rsidRPr="00293D7B" w:rsidRDefault="00F81C33" w:rsidP="00610F5F">
      <w:pPr>
        <w:pStyle w:val="aaaNotenumberiiiiii"/>
        <w:numPr>
          <w:ilvl w:val="0"/>
          <w:numId w:val="127"/>
        </w:numPr>
      </w:pPr>
      <w:r w:rsidRPr="00293D7B">
        <w:t>As of 1 July 2019, the Government announced a major restructure of its transport agencies which provided for the integration of VicRoads and PTV into the department to create one transport body for the overall strategic planning and operation of the Victorian transport system.</w:t>
      </w:r>
    </w:p>
    <w:p w14:paraId="7D6099BE" w14:textId="77777777" w:rsidR="00F81C33" w:rsidRPr="00293D7B" w:rsidRDefault="00F81C33" w:rsidP="00610F5F">
      <w:pPr>
        <w:pStyle w:val="aaaNotenumberiiiiii"/>
        <w:numPr>
          <w:ilvl w:val="0"/>
          <w:numId w:val="127"/>
        </w:numPr>
      </w:pPr>
      <w:r w:rsidRPr="00293D7B">
        <w:lastRenderedPageBreak/>
        <w:t xml:space="preserve">The portfolio responsibility of these agencies was transferred to DJPR as part of the </w:t>
      </w:r>
      <w:proofErr w:type="spellStart"/>
      <w:r w:rsidRPr="00293D7B">
        <w:t>MoG</w:t>
      </w:r>
      <w:proofErr w:type="spellEnd"/>
      <w:r w:rsidRPr="00293D7B">
        <w:t xml:space="preserve"> change effective on 1 January 2019.</w:t>
      </w:r>
    </w:p>
    <w:p w14:paraId="11598B26" w14:textId="77777777" w:rsidR="00F81C33" w:rsidRDefault="00F81C33" w:rsidP="00F81C33"/>
    <w:p w14:paraId="30CA6A1C" w14:textId="6A4C6F5F" w:rsidR="00F81C33" w:rsidRPr="00F81C33" w:rsidRDefault="00F81C33" w:rsidP="00F81C33">
      <w:pPr>
        <w:sectPr w:rsidR="00F81C33" w:rsidRPr="00F81C33" w:rsidSect="00DE1921">
          <w:headerReference w:type="even" r:id="rId210"/>
          <w:footerReference w:type="even" r:id="rId211"/>
          <w:type w:val="continuous"/>
          <w:pgSz w:w="11906" w:h="16838"/>
          <w:pgMar w:top="1701" w:right="1418" w:bottom="1418" w:left="1418" w:header="708" w:footer="708" w:gutter="0"/>
          <w:cols w:space="708"/>
          <w:docGrid w:linePitch="360"/>
        </w:sectPr>
      </w:pPr>
    </w:p>
    <w:p w14:paraId="60557A27" w14:textId="77777777" w:rsidR="003E5BF5" w:rsidRPr="00293D7B" w:rsidRDefault="003E5BF5" w:rsidP="00604703">
      <w:pPr>
        <w:pStyle w:val="TableTextGreen"/>
        <w:rPr>
          <w:lang w:eastAsia="en-AU"/>
        </w:rPr>
      </w:pPr>
      <w:r w:rsidRPr="00293D7B">
        <w:lastRenderedPageBreak/>
        <w:t>Net assets transferred (to)/from other government entities</w:t>
      </w:r>
      <w:r w:rsidRPr="00293D7B">
        <w:rPr>
          <w:highlight w:val="yellow"/>
        </w:rPr>
        <w:t xml:space="preserve"> </w:t>
      </w:r>
      <w:bookmarkStart w:id="642" w:name="RANGE!A35:C58"/>
      <w:bookmarkStart w:id="643" w:name="_1659081094"/>
      <w:bookmarkStart w:id="644" w:name="RANGE!A35:C47"/>
      <w:bookmarkEnd w:id="642"/>
      <w:bookmarkEnd w:id="643"/>
      <w:bookmarkEnd w:id="644"/>
    </w:p>
    <w:tbl>
      <w:tblPr>
        <w:tblStyle w:val="TableGrid"/>
        <w:tblW w:w="9072" w:type="dxa"/>
        <w:tblCellMar>
          <w:left w:w="28" w:type="dxa"/>
          <w:right w:w="28" w:type="dxa"/>
        </w:tblCellMar>
        <w:tblLook w:val="04A0" w:firstRow="1" w:lastRow="0" w:firstColumn="1" w:lastColumn="0" w:noHBand="0" w:noVBand="1"/>
      </w:tblPr>
      <w:tblGrid>
        <w:gridCol w:w="6804"/>
        <w:gridCol w:w="1284"/>
        <w:gridCol w:w="1284"/>
      </w:tblGrid>
      <w:tr w:rsidR="003E5BF5" w:rsidRPr="00293D7B" w14:paraId="554553ED" w14:textId="77777777" w:rsidTr="009316A4">
        <w:trPr>
          <w:trHeight w:val="340"/>
        </w:trPr>
        <w:tc>
          <w:tcPr>
            <w:tcW w:w="6804" w:type="dxa"/>
            <w:shd w:val="clear" w:color="auto" w:fill="auto"/>
            <w:noWrap/>
            <w:vAlign w:val="center"/>
            <w:hideMark/>
          </w:tcPr>
          <w:p w14:paraId="4A3C1D08" w14:textId="77777777" w:rsidR="003E5BF5" w:rsidRPr="00293D7B" w:rsidRDefault="003E5BF5" w:rsidP="00DE1921">
            <w:pPr>
              <w:pStyle w:val="TableTextLeft"/>
              <w:rPr>
                <w:rFonts w:ascii="Arial" w:hAnsi="Arial" w:cs="Arial"/>
                <w:sz w:val="24"/>
                <w:szCs w:val="24"/>
              </w:rPr>
            </w:pPr>
          </w:p>
        </w:tc>
        <w:tc>
          <w:tcPr>
            <w:tcW w:w="2268" w:type="dxa"/>
            <w:gridSpan w:val="2"/>
            <w:shd w:val="clear" w:color="auto" w:fill="auto"/>
            <w:noWrap/>
            <w:hideMark/>
          </w:tcPr>
          <w:p w14:paraId="7F32A733" w14:textId="77777777" w:rsidR="003E5BF5" w:rsidRPr="00293D7B" w:rsidRDefault="003E5BF5" w:rsidP="00DE1921">
            <w:pPr>
              <w:pStyle w:val="TableTextCentre"/>
              <w:rPr>
                <w:rFonts w:ascii="Arial" w:hAnsi="Arial" w:cs="Arial"/>
                <w:b/>
                <w:sz w:val="24"/>
                <w:szCs w:val="24"/>
              </w:rPr>
            </w:pPr>
            <w:r w:rsidRPr="00293D7B">
              <w:rPr>
                <w:rFonts w:ascii="Arial" w:hAnsi="Arial" w:cs="Arial"/>
                <w:b/>
                <w:sz w:val="24"/>
                <w:szCs w:val="24"/>
              </w:rPr>
              <w:t>($ thousand)</w:t>
            </w:r>
          </w:p>
        </w:tc>
      </w:tr>
      <w:tr w:rsidR="003E5BF5" w:rsidRPr="00293D7B" w14:paraId="745A103B" w14:textId="77777777" w:rsidTr="009316A4">
        <w:trPr>
          <w:trHeight w:val="340"/>
        </w:trPr>
        <w:tc>
          <w:tcPr>
            <w:tcW w:w="6804" w:type="dxa"/>
            <w:shd w:val="clear" w:color="auto" w:fill="auto"/>
            <w:noWrap/>
            <w:vAlign w:val="center"/>
            <w:hideMark/>
          </w:tcPr>
          <w:p w14:paraId="5FB18370" w14:textId="77777777" w:rsidR="003E5BF5" w:rsidRPr="00293D7B" w:rsidRDefault="003E5BF5" w:rsidP="00DE1921">
            <w:pPr>
              <w:pStyle w:val="TableTextLeft"/>
              <w:rPr>
                <w:rFonts w:ascii="Arial" w:hAnsi="Arial" w:cs="Arial"/>
                <w:sz w:val="24"/>
                <w:szCs w:val="24"/>
              </w:rPr>
            </w:pPr>
          </w:p>
        </w:tc>
        <w:tc>
          <w:tcPr>
            <w:tcW w:w="1134" w:type="dxa"/>
            <w:shd w:val="clear" w:color="auto" w:fill="auto"/>
            <w:noWrap/>
            <w:vAlign w:val="center"/>
            <w:hideMark/>
          </w:tcPr>
          <w:p w14:paraId="380C3F72" w14:textId="77777777" w:rsidR="003E5BF5" w:rsidRPr="00293D7B" w:rsidRDefault="003E5BF5" w:rsidP="00DE1921">
            <w:pPr>
              <w:pStyle w:val="TableTextRightBold"/>
              <w:rPr>
                <w:rFonts w:ascii="Arial" w:hAnsi="Arial" w:cs="Arial"/>
                <w:sz w:val="24"/>
                <w:szCs w:val="24"/>
              </w:rPr>
            </w:pPr>
            <w:r w:rsidRPr="00293D7B">
              <w:rPr>
                <w:rFonts w:ascii="Arial" w:hAnsi="Arial" w:cs="Arial"/>
                <w:sz w:val="24"/>
                <w:szCs w:val="24"/>
              </w:rPr>
              <w:t>2020</w:t>
            </w:r>
          </w:p>
        </w:tc>
        <w:tc>
          <w:tcPr>
            <w:tcW w:w="1134" w:type="dxa"/>
            <w:shd w:val="clear" w:color="auto" w:fill="auto"/>
            <w:noWrap/>
            <w:vAlign w:val="center"/>
            <w:hideMark/>
          </w:tcPr>
          <w:p w14:paraId="48EAD77F"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2019</w:t>
            </w:r>
          </w:p>
        </w:tc>
      </w:tr>
      <w:tr w:rsidR="003E5BF5" w:rsidRPr="00293D7B" w14:paraId="74930CAB" w14:textId="77777777" w:rsidTr="009316A4">
        <w:trPr>
          <w:trHeight w:val="340"/>
        </w:trPr>
        <w:tc>
          <w:tcPr>
            <w:tcW w:w="6804" w:type="dxa"/>
            <w:shd w:val="clear" w:color="auto" w:fill="auto"/>
            <w:noWrap/>
            <w:vAlign w:val="center"/>
            <w:hideMark/>
          </w:tcPr>
          <w:p w14:paraId="3E2D9341" w14:textId="77777777" w:rsidR="003E5BF5" w:rsidRPr="00293D7B" w:rsidRDefault="003E5BF5" w:rsidP="00604703">
            <w:pPr>
              <w:pStyle w:val="TableTextGreen"/>
            </w:pPr>
            <w:r w:rsidRPr="00293D7B">
              <w:t>Other net assets transferred to other government entities</w:t>
            </w:r>
          </w:p>
        </w:tc>
        <w:tc>
          <w:tcPr>
            <w:tcW w:w="1134" w:type="dxa"/>
            <w:shd w:val="clear" w:color="auto" w:fill="auto"/>
            <w:noWrap/>
            <w:vAlign w:val="center"/>
            <w:hideMark/>
          </w:tcPr>
          <w:p w14:paraId="75770D23" w14:textId="77777777" w:rsidR="003E5BF5" w:rsidRPr="00293D7B" w:rsidRDefault="003E5BF5" w:rsidP="00604703">
            <w:pPr>
              <w:pStyle w:val="TableTextGreen"/>
            </w:pPr>
          </w:p>
        </w:tc>
        <w:tc>
          <w:tcPr>
            <w:tcW w:w="1134" w:type="dxa"/>
            <w:shd w:val="clear" w:color="auto" w:fill="auto"/>
            <w:noWrap/>
            <w:vAlign w:val="center"/>
            <w:hideMark/>
          </w:tcPr>
          <w:p w14:paraId="733FE076" w14:textId="77777777" w:rsidR="003E5BF5" w:rsidRPr="00293D7B" w:rsidRDefault="003E5BF5" w:rsidP="00604703">
            <w:pPr>
              <w:pStyle w:val="TableTextGreen"/>
            </w:pPr>
          </w:p>
        </w:tc>
      </w:tr>
      <w:tr w:rsidR="003E5BF5" w:rsidRPr="00293D7B" w14:paraId="302BA8AE" w14:textId="77777777" w:rsidTr="009316A4">
        <w:trPr>
          <w:trHeight w:val="340"/>
        </w:trPr>
        <w:tc>
          <w:tcPr>
            <w:tcW w:w="6804" w:type="dxa"/>
            <w:shd w:val="clear" w:color="auto" w:fill="auto"/>
            <w:vAlign w:val="center"/>
            <w:hideMark/>
          </w:tcPr>
          <w:p w14:paraId="4859FB6D" w14:textId="77777777" w:rsidR="003E5BF5" w:rsidRPr="00293D7B" w:rsidRDefault="003E5BF5" w:rsidP="00DE1921">
            <w:pPr>
              <w:pStyle w:val="TableTextLeft"/>
              <w:rPr>
                <w:rFonts w:ascii="Arial" w:hAnsi="Arial" w:cs="Arial"/>
                <w:sz w:val="24"/>
                <w:szCs w:val="24"/>
              </w:rPr>
            </w:pPr>
            <w:proofErr w:type="spellStart"/>
            <w:r w:rsidRPr="00293D7B">
              <w:rPr>
                <w:rFonts w:ascii="Arial" w:hAnsi="Arial" w:cs="Arial"/>
                <w:sz w:val="24"/>
                <w:szCs w:val="24"/>
              </w:rPr>
              <w:t>VicTrack</w:t>
            </w:r>
            <w:proofErr w:type="spellEnd"/>
          </w:p>
        </w:tc>
        <w:tc>
          <w:tcPr>
            <w:tcW w:w="1134" w:type="dxa"/>
            <w:shd w:val="clear" w:color="auto" w:fill="auto"/>
            <w:noWrap/>
            <w:vAlign w:val="center"/>
            <w:hideMark/>
          </w:tcPr>
          <w:p w14:paraId="3F0F4F74"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(3,917,949)</w:t>
            </w:r>
          </w:p>
        </w:tc>
        <w:tc>
          <w:tcPr>
            <w:tcW w:w="1134" w:type="dxa"/>
            <w:shd w:val="clear" w:color="auto" w:fill="auto"/>
            <w:noWrap/>
            <w:vAlign w:val="center"/>
            <w:hideMark/>
          </w:tcPr>
          <w:p w14:paraId="4967DA39"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(2,652,237)</w:t>
            </w:r>
          </w:p>
        </w:tc>
      </w:tr>
      <w:tr w:rsidR="003E5BF5" w:rsidRPr="00293D7B" w14:paraId="7908224A" w14:textId="77777777" w:rsidTr="009316A4">
        <w:trPr>
          <w:trHeight w:val="340"/>
        </w:trPr>
        <w:tc>
          <w:tcPr>
            <w:tcW w:w="6804" w:type="dxa"/>
            <w:shd w:val="clear" w:color="auto" w:fill="auto"/>
            <w:vAlign w:val="center"/>
            <w:hideMark/>
          </w:tcPr>
          <w:p w14:paraId="15F2EB3D"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Department of Treasury and Finance</w:t>
            </w:r>
          </w:p>
        </w:tc>
        <w:tc>
          <w:tcPr>
            <w:tcW w:w="1134" w:type="dxa"/>
            <w:shd w:val="clear" w:color="auto" w:fill="auto"/>
            <w:noWrap/>
            <w:vAlign w:val="center"/>
            <w:hideMark/>
          </w:tcPr>
          <w:p w14:paraId="23373657"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(10,402)</w:t>
            </w:r>
          </w:p>
        </w:tc>
        <w:tc>
          <w:tcPr>
            <w:tcW w:w="1134" w:type="dxa"/>
            <w:shd w:val="clear" w:color="auto" w:fill="auto"/>
            <w:noWrap/>
            <w:vAlign w:val="center"/>
            <w:hideMark/>
          </w:tcPr>
          <w:p w14:paraId="182C5D68"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(13,330)</w:t>
            </w:r>
          </w:p>
        </w:tc>
      </w:tr>
      <w:tr w:rsidR="003E5BF5" w:rsidRPr="00293D7B" w14:paraId="52F7CD8B" w14:textId="77777777" w:rsidTr="009316A4">
        <w:trPr>
          <w:trHeight w:val="340"/>
        </w:trPr>
        <w:tc>
          <w:tcPr>
            <w:tcW w:w="6804" w:type="dxa"/>
            <w:shd w:val="clear" w:color="auto" w:fill="auto"/>
            <w:vAlign w:val="center"/>
            <w:hideMark/>
          </w:tcPr>
          <w:p w14:paraId="481863F9"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Victorian Fisheries Authority</w:t>
            </w:r>
          </w:p>
        </w:tc>
        <w:tc>
          <w:tcPr>
            <w:tcW w:w="1134" w:type="dxa"/>
            <w:shd w:val="clear" w:color="auto" w:fill="auto"/>
            <w:noWrap/>
            <w:vAlign w:val="center"/>
            <w:hideMark/>
          </w:tcPr>
          <w:p w14:paraId="6AC0214B"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 - </w:t>
            </w:r>
          </w:p>
        </w:tc>
        <w:tc>
          <w:tcPr>
            <w:tcW w:w="1134" w:type="dxa"/>
            <w:shd w:val="clear" w:color="auto" w:fill="auto"/>
            <w:noWrap/>
            <w:vAlign w:val="center"/>
            <w:hideMark/>
          </w:tcPr>
          <w:p w14:paraId="67CA3247"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(27,280)</w:t>
            </w:r>
          </w:p>
        </w:tc>
      </w:tr>
      <w:tr w:rsidR="003E5BF5" w:rsidRPr="00293D7B" w14:paraId="102008AC" w14:textId="77777777" w:rsidTr="009316A4">
        <w:trPr>
          <w:trHeight w:val="340"/>
        </w:trPr>
        <w:tc>
          <w:tcPr>
            <w:tcW w:w="6804" w:type="dxa"/>
            <w:shd w:val="clear" w:color="auto" w:fill="auto"/>
            <w:vAlign w:val="center"/>
            <w:hideMark/>
          </w:tcPr>
          <w:p w14:paraId="07954217"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Department of Environment, Land, Water and Planning</w:t>
            </w:r>
          </w:p>
        </w:tc>
        <w:tc>
          <w:tcPr>
            <w:tcW w:w="1134" w:type="dxa"/>
            <w:shd w:val="clear" w:color="auto" w:fill="auto"/>
            <w:noWrap/>
            <w:vAlign w:val="center"/>
            <w:hideMark/>
          </w:tcPr>
          <w:p w14:paraId="041511C0"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(8,226)</w:t>
            </w:r>
          </w:p>
        </w:tc>
        <w:tc>
          <w:tcPr>
            <w:tcW w:w="1134" w:type="dxa"/>
            <w:shd w:val="clear" w:color="auto" w:fill="auto"/>
            <w:noWrap/>
            <w:vAlign w:val="center"/>
            <w:hideMark/>
          </w:tcPr>
          <w:p w14:paraId="3756985D"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(34,041)</w:t>
            </w:r>
          </w:p>
        </w:tc>
      </w:tr>
      <w:tr w:rsidR="003E5BF5" w:rsidRPr="00293D7B" w14:paraId="1E2C1729" w14:textId="77777777" w:rsidTr="009316A4">
        <w:trPr>
          <w:trHeight w:val="340"/>
        </w:trPr>
        <w:tc>
          <w:tcPr>
            <w:tcW w:w="6804" w:type="dxa"/>
            <w:shd w:val="clear" w:color="auto" w:fill="auto"/>
            <w:vAlign w:val="center"/>
          </w:tcPr>
          <w:p w14:paraId="37F95CA4" w14:textId="77777777" w:rsidR="003E5BF5" w:rsidRPr="00293D7B" w:rsidRDefault="003E5BF5">
            <w:pPr>
              <w:pStyle w:val="TableTextLeft"/>
              <w:rPr>
                <w:rFonts w:ascii="Arial" w:hAnsi="Arial" w:cs="Arial"/>
                <w:b/>
                <w:sz w:val="24"/>
                <w:szCs w:val="24"/>
              </w:rPr>
            </w:pPr>
            <w:r w:rsidRPr="00293D7B">
              <w:rPr>
                <w:rFonts w:ascii="Arial" w:hAnsi="Arial" w:cs="Arial"/>
                <w:b/>
                <w:sz w:val="24"/>
                <w:szCs w:val="24"/>
              </w:rPr>
              <w:t>Total other net assets transferred to other government entities</w:t>
            </w:r>
          </w:p>
        </w:tc>
        <w:tc>
          <w:tcPr>
            <w:tcW w:w="1134" w:type="dxa"/>
            <w:shd w:val="clear" w:color="auto" w:fill="auto"/>
            <w:noWrap/>
            <w:vAlign w:val="center"/>
          </w:tcPr>
          <w:p w14:paraId="7463D538" w14:textId="77777777" w:rsidR="003E5BF5" w:rsidRPr="00293D7B" w:rsidRDefault="003E5BF5">
            <w:pPr>
              <w:pStyle w:val="TableTextRightBold"/>
              <w:rPr>
                <w:rFonts w:ascii="Arial" w:hAnsi="Arial" w:cs="Arial"/>
                <w:b w:val="0"/>
                <w:sz w:val="24"/>
                <w:szCs w:val="24"/>
              </w:rPr>
            </w:pPr>
            <w:r w:rsidRPr="00293D7B">
              <w:rPr>
                <w:rFonts w:ascii="Arial" w:hAnsi="Arial" w:cs="Arial"/>
                <w:sz w:val="24"/>
                <w:szCs w:val="24"/>
              </w:rPr>
              <w:t>(3,936,577)</w:t>
            </w:r>
          </w:p>
        </w:tc>
        <w:tc>
          <w:tcPr>
            <w:tcW w:w="1134" w:type="dxa"/>
            <w:shd w:val="clear" w:color="auto" w:fill="auto"/>
            <w:noWrap/>
            <w:vAlign w:val="center"/>
          </w:tcPr>
          <w:p w14:paraId="34F7B6C9" w14:textId="77777777" w:rsidR="003E5BF5" w:rsidRPr="00293D7B" w:rsidRDefault="003E5BF5">
            <w:pPr>
              <w:pStyle w:val="TableTextRight"/>
              <w:rPr>
                <w:rFonts w:ascii="Arial" w:hAnsi="Arial" w:cs="Arial"/>
                <w:b/>
                <w:sz w:val="24"/>
                <w:szCs w:val="24"/>
              </w:rPr>
            </w:pPr>
            <w:r w:rsidRPr="00293D7B">
              <w:rPr>
                <w:rFonts w:ascii="Arial" w:hAnsi="Arial" w:cs="Arial"/>
                <w:b/>
                <w:sz w:val="24"/>
                <w:szCs w:val="24"/>
              </w:rPr>
              <w:t>(2,726,888)</w:t>
            </w:r>
          </w:p>
        </w:tc>
      </w:tr>
      <w:tr w:rsidR="003E5BF5" w:rsidRPr="00293D7B" w14:paraId="0388D9CA" w14:textId="77777777" w:rsidTr="009316A4">
        <w:trPr>
          <w:trHeight w:val="340"/>
        </w:trPr>
        <w:tc>
          <w:tcPr>
            <w:tcW w:w="6804" w:type="dxa"/>
            <w:shd w:val="clear" w:color="auto" w:fill="auto"/>
            <w:noWrap/>
            <w:vAlign w:val="center"/>
            <w:hideMark/>
          </w:tcPr>
          <w:p w14:paraId="1C814714" w14:textId="77777777" w:rsidR="003E5BF5" w:rsidRPr="00293D7B" w:rsidRDefault="003E5BF5" w:rsidP="00604703">
            <w:pPr>
              <w:pStyle w:val="TableTextGreen"/>
            </w:pPr>
            <w:r w:rsidRPr="00293D7B">
              <w:t>Administrative restructure - net assets (transferred)/received</w:t>
            </w:r>
          </w:p>
        </w:tc>
        <w:tc>
          <w:tcPr>
            <w:tcW w:w="1134" w:type="dxa"/>
            <w:shd w:val="clear" w:color="auto" w:fill="auto"/>
            <w:noWrap/>
            <w:vAlign w:val="center"/>
          </w:tcPr>
          <w:p w14:paraId="2690932C" w14:textId="77777777" w:rsidR="003E5BF5" w:rsidRPr="00293D7B" w:rsidRDefault="003E5BF5" w:rsidP="00604703">
            <w:pPr>
              <w:pStyle w:val="TableTextGreen"/>
            </w:pPr>
          </w:p>
        </w:tc>
        <w:tc>
          <w:tcPr>
            <w:tcW w:w="1134" w:type="dxa"/>
            <w:shd w:val="clear" w:color="auto" w:fill="auto"/>
            <w:noWrap/>
            <w:vAlign w:val="center"/>
          </w:tcPr>
          <w:p w14:paraId="136ACEB6" w14:textId="77777777" w:rsidR="003E5BF5" w:rsidRPr="00293D7B" w:rsidRDefault="003E5BF5" w:rsidP="00604703">
            <w:pPr>
              <w:pStyle w:val="TableTextGreen"/>
            </w:pPr>
          </w:p>
        </w:tc>
      </w:tr>
      <w:tr w:rsidR="003E5BF5" w:rsidRPr="00293D7B" w14:paraId="12FE5BFA" w14:textId="77777777" w:rsidTr="009316A4">
        <w:trPr>
          <w:trHeight w:val="340"/>
        </w:trPr>
        <w:tc>
          <w:tcPr>
            <w:tcW w:w="6804" w:type="dxa"/>
            <w:shd w:val="clear" w:color="auto" w:fill="auto"/>
            <w:vAlign w:val="center"/>
            <w:hideMark/>
          </w:tcPr>
          <w:p w14:paraId="3417BA4E"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Public Transport Victoria</w:t>
            </w:r>
          </w:p>
        </w:tc>
        <w:tc>
          <w:tcPr>
            <w:tcW w:w="1134" w:type="dxa"/>
            <w:shd w:val="clear" w:color="auto" w:fill="auto"/>
            <w:noWrap/>
            <w:vAlign w:val="center"/>
            <w:hideMark/>
          </w:tcPr>
          <w:p w14:paraId="0D53045A"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320,260 </w:t>
            </w:r>
          </w:p>
        </w:tc>
        <w:tc>
          <w:tcPr>
            <w:tcW w:w="1134" w:type="dxa"/>
            <w:shd w:val="clear" w:color="auto" w:fill="auto"/>
            <w:noWrap/>
            <w:vAlign w:val="center"/>
            <w:hideMark/>
          </w:tcPr>
          <w:p w14:paraId="44DAA525"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 xml:space="preserve"> - </w:t>
            </w:r>
          </w:p>
        </w:tc>
      </w:tr>
      <w:tr w:rsidR="003E5BF5" w:rsidRPr="00293D7B" w14:paraId="1B6FA786" w14:textId="77777777" w:rsidTr="009316A4">
        <w:trPr>
          <w:trHeight w:val="340"/>
        </w:trPr>
        <w:tc>
          <w:tcPr>
            <w:tcW w:w="6804" w:type="dxa"/>
            <w:shd w:val="clear" w:color="auto" w:fill="auto"/>
            <w:vAlign w:val="center"/>
            <w:hideMark/>
          </w:tcPr>
          <w:p w14:paraId="431B5000"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VicRoads</w:t>
            </w:r>
          </w:p>
        </w:tc>
        <w:tc>
          <w:tcPr>
            <w:tcW w:w="1134" w:type="dxa"/>
            <w:shd w:val="clear" w:color="auto" w:fill="auto"/>
            <w:noWrap/>
            <w:vAlign w:val="center"/>
            <w:hideMark/>
          </w:tcPr>
          <w:p w14:paraId="09D8E319"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58,081,547 </w:t>
            </w:r>
          </w:p>
        </w:tc>
        <w:tc>
          <w:tcPr>
            <w:tcW w:w="1134" w:type="dxa"/>
            <w:shd w:val="clear" w:color="auto" w:fill="auto"/>
            <w:noWrap/>
            <w:vAlign w:val="center"/>
            <w:hideMark/>
          </w:tcPr>
          <w:p w14:paraId="608CFA6A"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 xml:space="preserve">1,516,101 </w:t>
            </w:r>
          </w:p>
        </w:tc>
      </w:tr>
      <w:tr w:rsidR="003E5BF5" w:rsidRPr="00293D7B" w14:paraId="6B680057" w14:textId="77777777" w:rsidTr="009316A4">
        <w:trPr>
          <w:trHeight w:val="340"/>
        </w:trPr>
        <w:tc>
          <w:tcPr>
            <w:tcW w:w="6804" w:type="dxa"/>
            <w:shd w:val="clear" w:color="auto" w:fill="auto"/>
            <w:vAlign w:val="center"/>
            <w:hideMark/>
          </w:tcPr>
          <w:p w14:paraId="257A928D"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Department of Jobs, Precincts and Regions</w:t>
            </w:r>
          </w:p>
        </w:tc>
        <w:tc>
          <w:tcPr>
            <w:tcW w:w="1134" w:type="dxa"/>
            <w:shd w:val="clear" w:color="auto" w:fill="auto"/>
            <w:noWrap/>
            <w:vAlign w:val="center"/>
            <w:hideMark/>
          </w:tcPr>
          <w:p w14:paraId="6A550103"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2,870 </w:t>
            </w:r>
          </w:p>
        </w:tc>
        <w:tc>
          <w:tcPr>
            <w:tcW w:w="1134" w:type="dxa"/>
            <w:shd w:val="clear" w:color="auto" w:fill="auto"/>
            <w:noWrap/>
            <w:vAlign w:val="center"/>
            <w:hideMark/>
          </w:tcPr>
          <w:p w14:paraId="5A14CF77"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(1,670,594)</w:t>
            </w:r>
          </w:p>
        </w:tc>
      </w:tr>
      <w:tr w:rsidR="003E5BF5" w:rsidRPr="00293D7B" w14:paraId="69B9D23F" w14:textId="77777777" w:rsidTr="009316A4">
        <w:trPr>
          <w:trHeight w:val="340"/>
        </w:trPr>
        <w:tc>
          <w:tcPr>
            <w:tcW w:w="6804" w:type="dxa"/>
            <w:shd w:val="clear" w:color="auto" w:fill="auto"/>
            <w:vAlign w:val="center"/>
            <w:hideMark/>
          </w:tcPr>
          <w:p w14:paraId="0FE1E9F7"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Department of Premier and Cabinet</w:t>
            </w:r>
          </w:p>
        </w:tc>
        <w:tc>
          <w:tcPr>
            <w:tcW w:w="1134" w:type="dxa"/>
            <w:shd w:val="clear" w:color="auto" w:fill="auto"/>
            <w:noWrap/>
            <w:vAlign w:val="center"/>
            <w:hideMark/>
          </w:tcPr>
          <w:p w14:paraId="68D972FB" w14:textId="77777777" w:rsidR="003E5BF5" w:rsidRPr="00293D7B" w:rsidRDefault="003E5BF5" w:rsidP="00DE1921">
            <w:pPr>
              <w:pStyle w:val="TableTextRightBold"/>
              <w:rPr>
                <w:rFonts w:ascii="Arial" w:hAnsi="Arial" w:cs="Arial"/>
                <w:b w:val="0"/>
                <w:sz w:val="24"/>
                <w:szCs w:val="24"/>
              </w:rPr>
            </w:pPr>
            <w:r w:rsidRPr="00293D7B">
              <w:rPr>
                <w:rFonts w:ascii="Arial" w:hAnsi="Arial" w:cs="Arial"/>
                <w:b w:val="0"/>
                <w:sz w:val="24"/>
                <w:szCs w:val="24"/>
              </w:rPr>
              <w:t xml:space="preserve"> - </w:t>
            </w:r>
          </w:p>
        </w:tc>
        <w:tc>
          <w:tcPr>
            <w:tcW w:w="1134" w:type="dxa"/>
            <w:shd w:val="clear" w:color="auto" w:fill="auto"/>
            <w:noWrap/>
            <w:vAlign w:val="center"/>
            <w:hideMark/>
          </w:tcPr>
          <w:p w14:paraId="791D079C"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(232)</w:t>
            </w:r>
          </w:p>
        </w:tc>
      </w:tr>
      <w:tr w:rsidR="003E5BF5" w:rsidRPr="00293D7B" w14:paraId="53719894" w14:textId="77777777" w:rsidTr="009316A4">
        <w:trPr>
          <w:trHeight w:val="340"/>
        </w:trPr>
        <w:tc>
          <w:tcPr>
            <w:tcW w:w="6804" w:type="dxa"/>
            <w:shd w:val="clear" w:color="auto" w:fill="auto"/>
            <w:vAlign w:val="center"/>
          </w:tcPr>
          <w:p w14:paraId="18C3AE5B" w14:textId="77777777" w:rsidR="003E5BF5" w:rsidRPr="00293D7B" w:rsidRDefault="003E5BF5">
            <w:pPr>
              <w:pStyle w:val="TableTextLeft"/>
              <w:rPr>
                <w:rFonts w:ascii="Arial" w:hAnsi="Arial" w:cs="Arial"/>
                <w:b/>
                <w:sz w:val="24"/>
                <w:szCs w:val="24"/>
              </w:rPr>
            </w:pPr>
            <w:r w:rsidRPr="00293D7B">
              <w:rPr>
                <w:rFonts w:ascii="Arial" w:hAnsi="Arial" w:cs="Arial"/>
                <w:b/>
                <w:sz w:val="24"/>
                <w:szCs w:val="24"/>
              </w:rPr>
              <w:t>Total administrative restructure - net assets (transferred)/received</w:t>
            </w:r>
          </w:p>
        </w:tc>
        <w:tc>
          <w:tcPr>
            <w:tcW w:w="1134" w:type="dxa"/>
            <w:shd w:val="clear" w:color="auto" w:fill="auto"/>
            <w:noWrap/>
            <w:vAlign w:val="center"/>
          </w:tcPr>
          <w:p w14:paraId="26048904" w14:textId="77777777" w:rsidR="003E5BF5" w:rsidRPr="00293D7B" w:rsidRDefault="003E5BF5">
            <w:pPr>
              <w:pStyle w:val="TableTextRightBold"/>
              <w:rPr>
                <w:rFonts w:ascii="Arial" w:hAnsi="Arial" w:cs="Arial"/>
                <w:b w:val="0"/>
                <w:sz w:val="24"/>
                <w:szCs w:val="24"/>
              </w:rPr>
            </w:pPr>
            <w:r w:rsidRPr="00293D7B">
              <w:rPr>
                <w:rFonts w:ascii="Arial" w:hAnsi="Arial" w:cs="Arial"/>
                <w:sz w:val="24"/>
                <w:szCs w:val="24"/>
              </w:rPr>
              <w:t xml:space="preserve">58,404,677 </w:t>
            </w:r>
          </w:p>
        </w:tc>
        <w:tc>
          <w:tcPr>
            <w:tcW w:w="1134" w:type="dxa"/>
            <w:shd w:val="clear" w:color="auto" w:fill="auto"/>
            <w:noWrap/>
            <w:vAlign w:val="center"/>
          </w:tcPr>
          <w:p w14:paraId="17091B86" w14:textId="77777777" w:rsidR="003E5BF5" w:rsidRPr="00293D7B" w:rsidRDefault="003E5BF5">
            <w:pPr>
              <w:pStyle w:val="TableTextRight"/>
              <w:rPr>
                <w:rFonts w:ascii="Arial" w:hAnsi="Arial" w:cs="Arial"/>
                <w:b/>
                <w:sz w:val="24"/>
                <w:szCs w:val="24"/>
              </w:rPr>
            </w:pPr>
            <w:r w:rsidRPr="00293D7B">
              <w:rPr>
                <w:rFonts w:ascii="Arial" w:hAnsi="Arial" w:cs="Arial"/>
                <w:b/>
                <w:sz w:val="24"/>
                <w:szCs w:val="24"/>
              </w:rPr>
              <w:t>(154,725)</w:t>
            </w:r>
          </w:p>
        </w:tc>
      </w:tr>
      <w:tr w:rsidR="003E5BF5" w:rsidRPr="00293D7B" w14:paraId="2AD1CA71" w14:textId="77777777" w:rsidTr="009316A4">
        <w:trPr>
          <w:trHeight w:val="340"/>
        </w:trPr>
        <w:tc>
          <w:tcPr>
            <w:tcW w:w="6804" w:type="dxa"/>
            <w:shd w:val="clear" w:color="auto" w:fill="auto"/>
            <w:noWrap/>
            <w:vAlign w:val="center"/>
            <w:hideMark/>
          </w:tcPr>
          <w:p w14:paraId="47F748BF" w14:textId="77777777" w:rsidR="003E5BF5" w:rsidRPr="00293D7B" w:rsidRDefault="003E5BF5" w:rsidP="00DE1921">
            <w:pPr>
              <w:pStyle w:val="TableTextLeft"/>
              <w:rPr>
                <w:rFonts w:ascii="Arial" w:hAnsi="Arial" w:cs="Arial"/>
                <w:b/>
                <w:sz w:val="24"/>
                <w:szCs w:val="24"/>
              </w:rPr>
            </w:pPr>
            <w:r w:rsidRPr="00293D7B">
              <w:rPr>
                <w:rFonts w:ascii="Arial" w:hAnsi="Arial" w:cs="Arial"/>
                <w:b/>
                <w:sz w:val="24"/>
                <w:szCs w:val="24"/>
              </w:rPr>
              <w:t>Total net assets transferred (to)/from other government entities</w:t>
            </w:r>
          </w:p>
        </w:tc>
        <w:tc>
          <w:tcPr>
            <w:tcW w:w="1134" w:type="dxa"/>
            <w:shd w:val="clear" w:color="auto" w:fill="auto"/>
            <w:noWrap/>
            <w:vAlign w:val="center"/>
            <w:hideMark/>
          </w:tcPr>
          <w:p w14:paraId="74AE9F33" w14:textId="77777777" w:rsidR="003E5BF5" w:rsidRPr="00293D7B" w:rsidRDefault="003E5BF5" w:rsidP="00DE1921">
            <w:pPr>
              <w:pStyle w:val="TableTextRightBold"/>
              <w:rPr>
                <w:rFonts w:ascii="Arial" w:hAnsi="Arial" w:cs="Arial"/>
                <w:sz w:val="24"/>
                <w:szCs w:val="24"/>
              </w:rPr>
            </w:pPr>
            <w:r w:rsidRPr="00293D7B">
              <w:rPr>
                <w:rFonts w:ascii="Arial" w:hAnsi="Arial" w:cs="Arial"/>
                <w:sz w:val="24"/>
                <w:szCs w:val="24"/>
              </w:rPr>
              <w:t xml:space="preserve">54,468,100 </w:t>
            </w:r>
          </w:p>
        </w:tc>
        <w:tc>
          <w:tcPr>
            <w:tcW w:w="1134" w:type="dxa"/>
            <w:shd w:val="clear" w:color="auto" w:fill="auto"/>
            <w:noWrap/>
            <w:vAlign w:val="center"/>
            <w:hideMark/>
          </w:tcPr>
          <w:p w14:paraId="6A1E633B"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(2,881,613)</w:t>
            </w:r>
          </w:p>
        </w:tc>
      </w:tr>
    </w:tbl>
    <w:p w14:paraId="4D501C21" w14:textId="77777777" w:rsidR="003E5BF5" w:rsidRDefault="003E5BF5" w:rsidP="00DE1921"/>
    <w:p w14:paraId="1553F7FB" w14:textId="77777777" w:rsidR="003E5BF5" w:rsidRDefault="003E5BF5">
      <w:pPr>
        <w:rPr>
          <w:rFonts w:eastAsiaTheme="majorEastAsia" w:cstheme="majorBidi"/>
          <w:color w:val="70AD47" w:themeColor="accent6"/>
          <w:sz w:val="26"/>
          <w:szCs w:val="26"/>
        </w:rPr>
      </w:pPr>
      <w:r>
        <w:br w:type="page"/>
      </w:r>
    </w:p>
    <w:p w14:paraId="11E00E70" w14:textId="77777777" w:rsidR="00211AE5" w:rsidRDefault="00211AE5" w:rsidP="00610F5F">
      <w:pPr>
        <w:pStyle w:val="Heading2"/>
        <w:numPr>
          <w:ilvl w:val="1"/>
          <w:numId w:val="22"/>
        </w:numPr>
        <w:sectPr w:rsidR="00211AE5" w:rsidSect="00DE1921">
          <w:pgSz w:w="11906" w:h="16838"/>
          <w:pgMar w:top="1701" w:right="1418" w:bottom="1418" w:left="1418" w:header="708" w:footer="708" w:gutter="0"/>
          <w:cols w:space="708"/>
          <w:docGrid w:linePitch="360"/>
        </w:sectPr>
      </w:pPr>
      <w:bookmarkStart w:id="645" w:name="_Toc53420696"/>
      <w:bookmarkStart w:id="646" w:name="_Toc53420974"/>
    </w:p>
    <w:p w14:paraId="515D116E" w14:textId="399B3229" w:rsidR="003E5BF5" w:rsidRPr="007444F0" w:rsidRDefault="003E5BF5" w:rsidP="00610F5F">
      <w:pPr>
        <w:pStyle w:val="Heading2"/>
        <w:numPr>
          <w:ilvl w:val="1"/>
          <w:numId w:val="22"/>
        </w:numPr>
      </w:pPr>
      <w:r w:rsidRPr="002473B1">
        <w:lastRenderedPageBreak/>
        <w:t xml:space="preserve">Entities consolidated pursuant to section 53(1)(b) of </w:t>
      </w:r>
      <w:r>
        <w:t>the FMA</w:t>
      </w:r>
      <w:bookmarkEnd w:id="645"/>
      <w:bookmarkEnd w:id="646"/>
    </w:p>
    <w:p w14:paraId="14C35326" w14:textId="77777777" w:rsidR="003E5BF5" w:rsidRPr="007444F0" w:rsidRDefault="003E5BF5" w:rsidP="00D74D26">
      <w:pPr>
        <w:pStyle w:val="aaatyping"/>
      </w:pPr>
      <w:r w:rsidRPr="007444F0">
        <w:t>The following entities have been consolidated into the department’s financial statements pursuant to a determination made by the Assistant Treasurer under section 53(1)(b) of the FMA:</w:t>
      </w:r>
    </w:p>
    <w:p w14:paraId="24599DAA" w14:textId="77777777" w:rsidR="003E5BF5" w:rsidRPr="00C33D67" w:rsidRDefault="003E5BF5" w:rsidP="00D74D26">
      <w:pPr>
        <w:pStyle w:val="aaabullet"/>
      </w:pPr>
      <w:r w:rsidRPr="00C33D67">
        <w:t xml:space="preserve">Head, Transport for Victoria (Head, </w:t>
      </w:r>
      <w:proofErr w:type="spellStart"/>
      <w:r w:rsidRPr="00C33D67">
        <w:t>TfV</w:t>
      </w:r>
      <w:proofErr w:type="spellEnd"/>
      <w:r w:rsidRPr="00C33D67">
        <w:t>)</w:t>
      </w:r>
    </w:p>
    <w:p w14:paraId="1D0259D4" w14:textId="77777777" w:rsidR="003E5BF5" w:rsidRPr="00C33D67" w:rsidRDefault="003E5BF5" w:rsidP="00D74D26">
      <w:pPr>
        <w:pStyle w:val="aaabullet"/>
      </w:pPr>
      <w:r w:rsidRPr="00C33D67">
        <w:t>VicRoads</w:t>
      </w:r>
    </w:p>
    <w:p w14:paraId="7E3CD009" w14:textId="77777777" w:rsidR="003E5BF5" w:rsidRDefault="003E5BF5" w:rsidP="00D74D26">
      <w:pPr>
        <w:pStyle w:val="aaabullet"/>
      </w:pPr>
      <w:r w:rsidRPr="00C33D67">
        <w:t>Public</w:t>
      </w:r>
      <w:r>
        <w:t xml:space="preserve"> Transport Victoria (PTV)</w:t>
      </w:r>
    </w:p>
    <w:p w14:paraId="7E05E80B" w14:textId="77777777" w:rsidR="003E5BF5" w:rsidRPr="007444F0" w:rsidRDefault="003E5BF5" w:rsidP="00D74D26">
      <w:pPr>
        <w:pStyle w:val="aaabullet"/>
      </w:pPr>
      <w:r w:rsidRPr="007444F0">
        <w:t>Major Projects Victoria</w:t>
      </w:r>
      <w:r>
        <w:t xml:space="preserve"> (MPV)</w:t>
      </w:r>
    </w:p>
    <w:p w14:paraId="43A3FB16" w14:textId="77777777" w:rsidR="003E5BF5" w:rsidRPr="007444F0" w:rsidRDefault="003E5BF5" w:rsidP="00D74D26">
      <w:pPr>
        <w:pStyle w:val="aaabullet"/>
      </w:pPr>
      <w:r w:rsidRPr="007444F0">
        <w:t>Linking Melbourne Authority</w:t>
      </w:r>
      <w:r>
        <w:t xml:space="preserve"> (LMA).</w:t>
      </w:r>
    </w:p>
    <w:p w14:paraId="67B1E9AA" w14:textId="77777777" w:rsidR="00211AE5" w:rsidRDefault="003E5BF5" w:rsidP="00D74D26">
      <w:pPr>
        <w:pStyle w:val="aaatyping"/>
      </w:pPr>
      <w:r w:rsidRPr="007444F0">
        <w:t>The financial effects of each of those entities were not material to the departmental consolidated group. However, the financial effects of those entities in aggregate were material to the departmental consolidated group. Therefore, those entities are reported in aggregate in the table below.</w:t>
      </w:r>
      <w:bookmarkStart w:id="647" w:name="RANGE!A4:I12"/>
      <w:bookmarkStart w:id="648" w:name="RANGE!A4:I14"/>
      <w:bookmarkEnd w:id="647"/>
      <w:bookmarkEnd w:id="648"/>
      <w:r>
        <w:t xml:space="preserve"> </w:t>
      </w:r>
    </w:p>
    <w:p w14:paraId="04E45609" w14:textId="17B7DD69" w:rsidR="003E5BF5" w:rsidRDefault="003E5BF5" w:rsidP="00D74D26">
      <w:pPr>
        <w:pStyle w:val="aaatyping"/>
      </w:pPr>
      <w:r>
        <w:t xml:space="preserve">As a result of the administrative arrangement change in the financial year, the department has consolidated VicRoads (Registration &amp; Licensing) and MPV as part of the s53(1)(b) column. Head, </w:t>
      </w:r>
      <w:proofErr w:type="spellStart"/>
      <w:r>
        <w:t>TfV</w:t>
      </w:r>
      <w:proofErr w:type="spellEnd"/>
      <w:r>
        <w:t>, VicRoads (excluding R&amp;L) and PTV are all reported within the department column as their balances were transferred to the department as of 1 July 2019 while the entities remained in existence. PTV was abolished as of 1 January 2020 while VicRoads entity remains in existence for the R&amp;L division.</w:t>
      </w:r>
    </w:p>
    <w:p w14:paraId="03B5B2A1" w14:textId="075C08F3" w:rsidR="00D4007A" w:rsidRDefault="00D4007A" w:rsidP="00D74D26">
      <w:pPr>
        <w:pStyle w:val="aaatyping"/>
      </w:pPr>
      <w:r>
        <w:br w:type="page"/>
      </w:r>
    </w:p>
    <w:p w14:paraId="6D4EB100" w14:textId="77777777" w:rsidR="003E5BF5" w:rsidRDefault="003E5BF5" w:rsidP="00DE1921">
      <w:pPr>
        <w:spacing w:after="0"/>
        <w:rPr>
          <w:sz w:val="4"/>
          <w:szCs w:val="4"/>
        </w:rPr>
      </w:pPr>
    </w:p>
    <w:p w14:paraId="52C2E992" w14:textId="77777777" w:rsidR="00FD671C" w:rsidRDefault="00FD671C" w:rsidP="00DE1921">
      <w:pPr>
        <w:spacing w:after="0"/>
        <w:rPr>
          <w:sz w:val="4"/>
          <w:szCs w:val="4"/>
        </w:rPr>
      </w:pPr>
    </w:p>
    <w:tbl>
      <w:tblPr>
        <w:tblStyle w:val="TableGrid"/>
        <w:tblW w:w="9753" w:type="dxa"/>
        <w:tblCellMar>
          <w:left w:w="28" w:type="dxa"/>
          <w:right w:w="28" w:type="dxa"/>
        </w:tblCellMar>
        <w:tblLook w:val="04A0" w:firstRow="1" w:lastRow="0" w:firstColumn="1" w:lastColumn="0" w:noHBand="0" w:noVBand="1"/>
      </w:tblPr>
      <w:tblGrid>
        <w:gridCol w:w="1555"/>
        <w:gridCol w:w="1158"/>
        <w:gridCol w:w="1035"/>
        <w:gridCol w:w="938"/>
        <w:gridCol w:w="938"/>
        <w:gridCol w:w="998"/>
        <w:gridCol w:w="938"/>
        <w:gridCol w:w="1158"/>
        <w:gridCol w:w="1035"/>
      </w:tblGrid>
      <w:tr w:rsidR="003E5BF5" w:rsidRPr="00666784" w14:paraId="573518C6" w14:textId="77777777" w:rsidTr="00F81C33">
        <w:trPr>
          <w:trHeight w:val="340"/>
        </w:trPr>
        <w:tc>
          <w:tcPr>
            <w:tcW w:w="1555" w:type="dxa"/>
            <w:shd w:val="clear" w:color="auto" w:fill="auto"/>
            <w:noWrap/>
            <w:hideMark/>
          </w:tcPr>
          <w:p w14:paraId="6D3D4F01" w14:textId="5B96935C" w:rsidR="003E5BF5" w:rsidRPr="00666784" w:rsidRDefault="003E5BF5" w:rsidP="00DE1921">
            <w:pPr>
              <w:pStyle w:val="TableTextLeft"/>
              <w:rPr>
                <w:rFonts w:ascii="Arial" w:hAnsi="Arial" w:cs="Arial"/>
                <w:sz w:val="22"/>
              </w:rPr>
            </w:pPr>
            <w:bookmarkStart w:id="649" w:name="_Toc522177855"/>
            <w:bookmarkStart w:id="650" w:name="_Toc529197940"/>
            <w:bookmarkStart w:id="651" w:name="_Toc529198005"/>
            <w:bookmarkStart w:id="652" w:name="_Toc530386202"/>
            <w:bookmarkStart w:id="653" w:name="_Toc9344374"/>
          </w:p>
        </w:tc>
        <w:tc>
          <w:tcPr>
            <w:tcW w:w="8198" w:type="dxa"/>
            <w:gridSpan w:val="8"/>
            <w:shd w:val="clear" w:color="auto" w:fill="auto"/>
            <w:noWrap/>
            <w:vAlign w:val="center"/>
            <w:hideMark/>
          </w:tcPr>
          <w:p w14:paraId="640CB97F" w14:textId="77777777" w:rsidR="003E5BF5" w:rsidRPr="00666784" w:rsidRDefault="003E5BF5" w:rsidP="00DE1921">
            <w:pPr>
              <w:pStyle w:val="TableTextCentreBold"/>
              <w:rPr>
                <w:rFonts w:ascii="Arial" w:hAnsi="Arial" w:cs="Arial"/>
                <w:sz w:val="22"/>
              </w:rPr>
            </w:pPr>
            <w:r w:rsidRPr="00666784">
              <w:rPr>
                <w:rFonts w:ascii="Arial" w:hAnsi="Arial" w:cs="Arial"/>
                <w:sz w:val="22"/>
              </w:rPr>
              <w:t>($ thousand)</w:t>
            </w:r>
          </w:p>
        </w:tc>
      </w:tr>
      <w:tr w:rsidR="003E5BF5" w:rsidRPr="00666784" w14:paraId="04844A3E" w14:textId="77777777" w:rsidTr="00F81C33">
        <w:trPr>
          <w:trHeight w:val="340"/>
        </w:trPr>
        <w:tc>
          <w:tcPr>
            <w:tcW w:w="1555" w:type="dxa"/>
            <w:shd w:val="clear" w:color="auto" w:fill="auto"/>
            <w:noWrap/>
            <w:hideMark/>
          </w:tcPr>
          <w:p w14:paraId="2B044364" w14:textId="77777777" w:rsidR="003E5BF5" w:rsidRPr="00666784" w:rsidRDefault="003E5BF5" w:rsidP="00DE1921">
            <w:pPr>
              <w:pStyle w:val="TableTextLeft"/>
              <w:rPr>
                <w:rFonts w:ascii="Arial" w:hAnsi="Arial" w:cs="Arial"/>
                <w:sz w:val="22"/>
              </w:rPr>
            </w:pPr>
          </w:p>
        </w:tc>
        <w:tc>
          <w:tcPr>
            <w:tcW w:w="2193" w:type="dxa"/>
            <w:gridSpan w:val="2"/>
            <w:shd w:val="clear" w:color="auto" w:fill="auto"/>
            <w:vAlign w:val="center"/>
            <w:hideMark/>
          </w:tcPr>
          <w:p w14:paraId="5D9A168A" w14:textId="77777777" w:rsidR="003E5BF5" w:rsidRPr="00666784" w:rsidRDefault="003E5BF5" w:rsidP="00DE1921">
            <w:pPr>
              <w:pStyle w:val="TableTextCentreBold"/>
              <w:rPr>
                <w:rFonts w:ascii="Arial" w:hAnsi="Arial" w:cs="Arial"/>
                <w:sz w:val="22"/>
              </w:rPr>
            </w:pPr>
            <w:r w:rsidRPr="00666784">
              <w:rPr>
                <w:rFonts w:ascii="Arial" w:hAnsi="Arial" w:cs="Arial"/>
                <w:sz w:val="22"/>
              </w:rPr>
              <w:t>Department of Transport</w:t>
            </w:r>
          </w:p>
        </w:tc>
        <w:tc>
          <w:tcPr>
            <w:tcW w:w="1876" w:type="dxa"/>
            <w:gridSpan w:val="2"/>
            <w:shd w:val="clear" w:color="auto" w:fill="auto"/>
            <w:vAlign w:val="center"/>
            <w:hideMark/>
          </w:tcPr>
          <w:p w14:paraId="7B5F8359" w14:textId="77777777" w:rsidR="003E5BF5" w:rsidRPr="00666784" w:rsidRDefault="003E5BF5" w:rsidP="00DE1921">
            <w:pPr>
              <w:pStyle w:val="TableTextCentreBold"/>
              <w:rPr>
                <w:rFonts w:ascii="Arial" w:hAnsi="Arial" w:cs="Arial"/>
                <w:sz w:val="22"/>
              </w:rPr>
            </w:pPr>
            <w:r w:rsidRPr="00666784">
              <w:rPr>
                <w:rFonts w:ascii="Arial" w:hAnsi="Arial" w:cs="Arial"/>
                <w:sz w:val="22"/>
              </w:rPr>
              <w:t xml:space="preserve">Section 53(1)(b) </w:t>
            </w:r>
            <w:r w:rsidRPr="00666784">
              <w:rPr>
                <w:rFonts w:ascii="Arial" w:hAnsi="Arial" w:cs="Arial"/>
                <w:sz w:val="22"/>
              </w:rPr>
              <w:br/>
              <w:t xml:space="preserve">entities </w:t>
            </w:r>
            <w:r w:rsidRPr="00666784">
              <w:rPr>
                <w:rFonts w:ascii="Arial" w:hAnsi="Arial" w:cs="Arial"/>
                <w:sz w:val="22"/>
                <w:vertAlign w:val="superscript"/>
              </w:rPr>
              <w:t>(</w:t>
            </w:r>
            <w:proofErr w:type="spellStart"/>
            <w:r w:rsidRPr="00666784">
              <w:rPr>
                <w:rFonts w:ascii="Arial" w:hAnsi="Arial" w:cs="Arial"/>
                <w:sz w:val="22"/>
                <w:vertAlign w:val="superscript"/>
              </w:rPr>
              <w:t>i</w:t>
            </w:r>
            <w:proofErr w:type="spellEnd"/>
            <w:r w:rsidRPr="00666784">
              <w:rPr>
                <w:rFonts w:ascii="Arial" w:hAnsi="Arial" w:cs="Arial"/>
                <w:sz w:val="22"/>
                <w:vertAlign w:val="superscript"/>
              </w:rPr>
              <w:t>)</w:t>
            </w:r>
          </w:p>
        </w:tc>
        <w:tc>
          <w:tcPr>
            <w:tcW w:w="1936" w:type="dxa"/>
            <w:gridSpan w:val="2"/>
            <w:shd w:val="clear" w:color="auto" w:fill="auto"/>
            <w:vAlign w:val="center"/>
            <w:hideMark/>
          </w:tcPr>
          <w:p w14:paraId="1A3ED7A8" w14:textId="77777777" w:rsidR="003E5BF5" w:rsidRPr="00666784" w:rsidRDefault="003E5BF5" w:rsidP="00DE1921">
            <w:pPr>
              <w:pStyle w:val="TableTextCentreBold"/>
              <w:rPr>
                <w:rFonts w:ascii="Arial" w:hAnsi="Arial" w:cs="Arial"/>
                <w:sz w:val="22"/>
              </w:rPr>
            </w:pPr>
            <w:r w:rsidRPr="00666784">
              <w:rPr>
                <w:rFonts w:ascii="Arial" w:hAnsi="Arial" w:cs="Arial"/>
                <w:sz w:val="22"/>
              </w:rPr>
              <w:t>Eliminations and adjustments</w:t>
            </w:r>
          </w:p>
        </w:tc>
        <w:tc>
          <w:tcPr>
            <w:tcW w:w="2193" w:type="dxa"/>
            <w:gridSpan w:val="2"/>
            <w:shd w:val="clear" w:color="auto" w:fill="auto"/>
            <w:vAlign w:val="center"/>
            <w:hideMark/>
          </w:tcPr>
          <w:p w14:paraId="77E41847" w14:textId="77777777" w:rsidR="003E5BF5" w:rsidRPr="00666784" w:rsidRDefault="003E5BF5" w:rsidP="00DE1921">
            <w:pPr>
              <w:pStyle w:val="TableTextCentreBold"/>
              <w:rPr>
                <w:rFonts w:ascii="Arial" w:hAnsi="Arial" w:cs="Arial"/>
                <w:sz w:val="22"/>
              </w:rPr>
            </w:pPr>
            <w:r w:rsidRPr="00666784">
              <w:rPr>
                <w:rFonts w:ascii="Arial" w:hAnsi="Arial" w:cs="Arial"/>
                <w:sz w:val="22"/>
              </w:rPr>
              <w:t>DoT consolidated group</w:t>
            </w:r>
          </w:p>
        </w:tc>
      </w:tr>
      <w:tr w:rsidR="003E5BF5" w:rsidRPr="00666784" w14:paraId="3FD645EC" w14:textId="77777777" w:rsidTr="00F81C33">
        <w:trPr>
          <w:trHeight w:val="340"/>
        </w:trPr>
        <w:tc>
          <w:tcPr>
            <w:tcW w:w="1555" w:type="dxa"/>
            <w:shd w:val="clear" w:color="auto" w:fill="auto"/>
            <w:noWrap/>
            <w:hideMark/>
          </w:tcPr>
          <w:p w14:paraId="6220D61B" w14:textId="77777777" w:rsidR="003E5BF5" w:rsidRPr="00666784" w:rsidRDefault="003E5BF5" w:rsidP="00DE1921">
            <w:pPr>
              <w:pStyle w:val="TableTextLeft"/>
              <w:rPr>
                <w:rFonts w:ascii="Arial" w:hAnsi="Arial" w:cs="Arial"/>
                <w:b/>
                <w:sz w:val="22"/>
              </w:rPr>
            </w:pPr>
          </w:p>
        </w:tc>
        <w:tc>
          <w:tcPr>
            <w:tcW w:w="1158" w:type="dxa"/>
            <w:shd w:val="clear" w:color="auto" w:fill="auto"/>
            <w:noWrap/>
            <w:vAlign w:val="center"/>
            <w:hideMark/>
          </w:tcPr>
          <w:p w14:paraId="20C2C2BF" w14:textId="77777777" w:rsidR="003E5BF5" w:rsidRPr="00666784" w:rsidRDefault="003E5BF5" w:rsidP="00DE1921">
            <w:pPr>
              <w:pStyle w:val="TableTextRightBold"/>
              <w:rPr>
                <w:rFonts w:ascii="Arial" w:hAnsi="Arial" w:cs="Arial"/>
                <w:sz w:val="22"/>
              </w:rPr>
            </w:pPr>
            <w:r w:rsidRPr="00666784">
              <w:rPr>
                <w:rFonts w:ascii="Arial" w:hAnsi="Arial" w:cs="Arial"/>
                <w:sz w:val="22"/>
              </w:rPr>
              <w:t>2020</w:t>
            </w:r>
          </w:p>
        </w:tc>
        <w:tc>
          <w:tcPr>
            <w:tcW w:w="1035" w:type="dxa"/>
            <w:shd w:val="clear" w:color="auto" w:fill="auto"/>
            <w:noWrap/>
            <w:vAlign w:val="center"/>
            <w:hideMark/>
          </w:tcPr>
          <w:p w14:paraId="6AB5D34E" w14:textId="77777777" w:rsidR="003E5BF5" w:rsidRPr="00666784" w:rsidRDefault="003E5BF5" w:rsidP="00DE1921">
            <w:pPr>
              <w:pStyle w:val="TableTextRight"/>
              <w:rPr>
                <w:rFonts w:ascii="Arial" w:hAnsi="Arial" w:cs="Arial"/>
                <w:b/>
                <w:sz w:val="22"/>
              </w:rPr>
            </w:pPr>
            <w:r w:rsidRPr="00666784">
              <w:rPr>
                <w:rFonts w:ascii="Arial" w:hAnsi="Arial" w:cs="Arial"/>
                <w:b/>
                <w:sz w:val="22"/>
              </w:rPr>
              <w:t>2019</w:t>
            </w:r>
          </w:p>
        </w:tc>
        <w:tc>
          <w:tcPr>
            <w:tcW w:w="938" w:type="dxa"/>
            <w:shd w:val="clear" w:color="auto" w:fill="auto"/>
            <w:noWrap/>
            <w:vAlign w:val="center"/>
            <w:hideMark/>
          </w:tcPr>
          <w:p w14:paraId="5C7840D5" w14:textId="77777777" w:rsidR="003E5BF5" w:rsidRPr="00666784" w:rsidRDefault="003E5BF5" w:rsidP="00DE1921">
            <w:pPr>
              <w:pStyle w:val="TableTextRightBold"/>
              <w:rPr>
                <w:rFonts w:ascii="Arial" w:hAnsi="Arial" w:cs="Arial"/>
                <w:sz w:val="22"/>
              </w:rPr>
            </w:pPr>
            <w:r w:rsidRPr="00666784">
              <w:rPr>
                <w:rFonts w:ascii="Arial" w:hAnsi="Arial" w:cs="Arial"/>
                <w:sz w:val="22"/>
              </w:rPr>
              <w:t>2020</w:t>
            </w:r>
          </w:p>
        </w:tc>
        <w:tc>
          <w:tcPr>
            <w:tcW w:w="938" w:type="dxa"/>
            <w:shd w:val="clear" w:color="auto" w:fill="auto"/>
            <w:noWrap/>
            <w:vAlign w:val="center"/>
            <w:hideMark/>
          </w:tcPr>
          <w:p w14:paraId="0C5C21FE" w14:textId="77777777" w:rsidR="003E5BF5" w:rsidRPr="00666784" w:rsidRDefault="003E5BF5" w:rsidP="00DE1921">
            <w:pPr>
              <w:pStyle w:val="TableTextRight"/>
              <w:rPr>
                <w:rFonts w:ascii="Arial" w:hAnsi="Arial" w:cs="Arial"/>
                <w:b/>
                <w:sz w:val="22"/>
              </w:rPr>
            </w:pPr>
            <w:r w:rsidRPr="00666784">
              <w:rPr>
                <w:rFonts w:ascii="Arial" w:hAnsi="Arial" w:cs="Arial"/>
                <w:b/>
                <w:sz w:val="22"/>
              </w:rPr>
              <w:t>2019</w:t>
            </w:r>
          </w:p>
        </w:tc>
        <w:tc>
          <w:tcPr>
            <w:tcW w:w="998" w:type="dxa"/>
            <w:shd w:val="clear" w:color="auto" w:fill="auto"/>
            <w:noWrap/>
            <w:vAlign w:val="center"/>
            <w:hideMark/>
          </w:tcPr>
          <w:p w14:paraId="4590D55B" w14:textId="77777777" w:rsidR="003E5BF5" w:rsidRPr="00666784" w:rsidRDefault="003E5BF5" w:rsidP="00DE1921">
            <w:pPr>
              <w:pStyle w:val="TableTextRightBold"/>
              <w:rPr>
                <w:rFonts w:ascii="Arial" w:hAnsi="Arial" w:cs="Arial"/>
                <w:sz w:val="22"/>
              </w:rPr>
            </w:pPr>
            <w:r w:rsidRPr="00666784">
              <w:rPr>
                <w:rFonts w:ascii="Arial" w:hAnsi="Arial" w:cs="Arial"/>
                <w:sz w:val="22"/>
              </w:rPr>
              <w:t>2020</w:t>
            </w:r>
          </w:p>
        </w:tc>
        <w:tc>
          <w:tcPr>
            <w:tcW w:w="938" w:type="dxa"/>
            <w:shd w:val="clear" w:color="auto" w:fill="auto"/>
            <w:noWrap/>
            <w:vAlign w:val="center"/>
            <w:hideMark/>
          </w:tcPr>
          <w:p w14:paraId="6055D3DB" w14:textId="77777777" w:rsidR="003E5BF5" w:rsidRPr="00666784" w:rsidRDefault="003E5BF5" w:rsidP="00DE1921">
            <w:pPr>
              <w:pStyle w:val="TableTextRight"/>
              <w:rPr>
                <w:rFonts w:ascii="Arial" w:hAnsi="Arial" w:cs="Arial"/>
                <w:b/>
                <w:sz w:val="22"/>
              </w:rPr>
            </w:pPr>
            <w:r w:rsidRPr="00666784">
              <w:rPr>
                <w:rFonts w:ascii="Arial" w:hAnsi="Arial" w:cs="Arial"/>
                <w:b/>
                <w:sz w:val="22"/>
              </w:rPr>
              <w:t>2019</w:t>
            </w:r>
          </w:p>
        </w:tc>
        <w:tc>
          <w:tcPr>
            <w:tcW w:w="1158" w:type="dxa"/>
            <w:shd w:val="clear" w:color="auto" w:fill="auto"/>
            <w:noWrap/>
            <w:vAlign w:val="center"/>
            <w:hideMark/>
          </w:tcPr>
          <w:p w14:paraId="57AD638E" w14:textId="77777777" w:rsidR="003E5BF5" w:rsidRPr="00666784" w:rsidRDefault="003E5BF5" w:rsidP="00DE1921">
            <w:pPr>
              <w:pStyle w:val="TableTextRightBold"/>
              <w:rPr>
                <w:rFonts w:ascii="Arial" w:hAnsi="Arial" w:cs="Arial"/>
                <w:sz w:val="22"/>
              </w:rPr>
            </w:pPr>
            <w:r w:rsidRPr="00666784">
              <w:rPr>
                <w:rFonts w:ascii="Arial" w:hAnsi="Arial" w:cs="Arial"/>
                <w:sz w:val="22"/>
              </w:rPr>
              <w:t>2020</w:t>
            </w:r>
          </w:p>
        </w:tc>
        <w:tc>
          <w:tcPr>
            <w:tcW w:w="1035" w:type="dxa"/>
            <w:shd w:val="clear" w:color="auto" w:fill="auto"/>
            <w:noWrap/>
            <w:vAlign w:val="center"/>
            <w:hideMark/>
          </w:tcPr>
          <w:p w14:paraId="31D1271D" w14:textId="77777777" w:rsidR="003E5BF5" w:rsidRPr="00666784" w:rsidRDefault="003E5BF5" w:rsidP="00DE1921">
            <w:pPr>
              <w:pStyle w:val="TableTextRight"/>
              <w:rPr>
                <w:rFonts w:ascii="Arial" w:hAnsi="Arial" w:cs="Arial"/>
                <w:b/>
                <w:sz w:val="22"/>
              </w:rPr>
            </w:pPr>
            <w:r w:rsidRPr="00666784">
              <w:rPr>
                <w:rFonts w:ascii="Arial" w:hAnsi="Arial" w:cs="Arial"/>
                <w:b/>
                <w:sz w:val="22"/>
              </w:rPr>
              <w:t>2019</w:t>
            </w:r>
          </w:p>
        </w:tc>
      </w:tr>
      <w:tr w:rsidR="003E5BF5" w:rsidRPr="00666784" w14:paraId="6CE4E759" w14:textId="77777777" w:rsidTr="00F81C33">
        <w:trPr>
          <w:trHeight w:val="340"/>
        </w:trPr>
        <w:tc>
          <w:tcPr>
            <w:tcW w:w="1555" w:type="dxa"/>
            <w:shd w:val="clear" w:color="auto" w:fill="auto"/>
            <w:noWrap/>
            <w:hideMark/>
          </w:tcPr>
          <w:p w14:paraId="1A454607" w14:textId="77777777" w:rsidR="003E5BF5" w:rsidRPr="00666784" w:rsidRDefault="003E5BF5" w:rsidP="00DE1921">
            <w:pPr>
              <w:pStyle w:val="TableTextLeft"/>
              <w:rPr>
                <w:rFonts w:ascii="Arial" w:hAnsi="Arial" w:cs="Arial"/>
                <w:sz w:val="22"/>
                <w:lang w:eastAsia="en-AU"/>
              </w:rPr>
            </w:pPr>
            <w:r w:rsidRPr="00666784">
              <w:rPr>
                <w:rFonts w:ascii="Arial" w:hAnsi="Arial" w:cs="Arial"/>
                <w:sz w:val="22"/>
              </w:rPr>
              <w:t>Total income from transactions</w:t>
            </w:r>
          </w:p>
        </w:tc>
        <w:tc>
          <w:tcPr>
            <w:tcW w:w="1158" w:type="dxa"/>
            <w:shd w:val="clear" w:color="auto" w:fill="auto"/>
            <w:noWrap/>
            <w:hideMark/>
          </w:tcPr>
          <w:p w14:paraId="6E9C4578"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 xml:space="preserve">9,013,054 </w:t>
            </w:r>
          </w:p>
        </w:tc>
        <w:tc>
          <w:tcPr>
            <w:tcW w:w="1035" w:type="dxa"/>
            <w:shd w:val="clear" w:color="auto" w:fill="auto"/>
            <w:noWrap/>
            <w:hideMark/>
          </w:tcPr>
          <w:p w14:paraId="7C21FF02" w14:textId="77777777" w:rsidR="003E5BF5" w:rsidRPr="00666784" w:rsidRDefault="003E5BF5" w:rsidP="00DE1921">
            <w:pPr>
              <w:pStyle w:val="TableTextRight"/>
              <w:rPr>
                <w:rFonts w:ascii="Arial" w:hAnsi="Arial" w:cs="Arial"/>
                <w:sz w:val="22"/>
              </w:rPr>
            </w:pPr>
            <w:r w:rsidRPr="00666784">
              <w:rPr>
                <w:rFonts w:ascii="Arial" w:hAnsi="Arial" w:cs="Arial"/>
                <w:sz w:val="22"/>
              </w:rPr>
              <w:t xml:space="preserve">7,827,070 </w:t>
            </w:r>
          </w:p>
        </w:tc>
        <w:tc>
          <w:tcPr>
            <w:tcW w:w="938" w:type="dxa"/>
            <w:shd w:val="clear" w:color="auto" w:fill="auto"/>
            <w:noWrap/>
            <w:hideMark/>
          </w:tcPr>
          <w:p w14:paraId="3F40D7A7"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 xml:space="preserve">229,182 </w:t>
            </w:r>
          </w:p>
        </w:tc>
        <w:tc>
          <w:tcPr>
            <w:tcW w:w="938" w:type="dxa"/>
            <w:shd w:val="clear" w:color="auto" w:fill="auto"/>
            <w:noWrap/>
            <w:hideMark/>
          </w:tcPr>
          <w:p w14:paraId="359DF91C" w14:textId="77777777" w:rsidR="003E5BF5" w:rsidRPr="00666784" w:rsidRDefault="003E5BF5" w:rsidP="00DE1921">
            <w:pPr>
              <w:pStyle w:val="TableTextRight"/>
              <w:rPr>
                <w:rFonts w:ascii="Arial" w:hAnsi="Arial" w:cs="Arial"/>
                <w:sz w:val="22"/>
              </w:rPr>
            </w:pPr>
            <w:r w:rsidRPr="00666784">
              <w:rPr>
                <w:rFonts w:ascii="Arial" w:hAnsi="Arial" w:cs="Arial"/>
                <w:sz w:val="22"/>
              </w:rPr>
              <w:t xml:space="preserve">281 </w:t>
            </w:r>
          </w:p>
        </w:tc>
        <w:tc>
          <w:tcPr>
            <w:tcW w:w="998" w:type="dxa"/>
            <w:shd w:val="clear" w:color="auto" w:fill="auto"/>
            <w:noWrap/>
            <w:hideMark/>
          </w:tcPr>
          <w:p w14:paraId="086A800A"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(141,808)</w:t>
            </w:r>
          </w:p>
        </w:tc>
        <w:tc>
          <w:tcPr>
            <w:tcW w:w="938" w:type="dxa"/>
            <w:shd w:val="clear" w:color="auto" w:fill="auto"/>
            <w:noWrap/>
            <w:hideMark/>
          </w:tcPr>
          <w:p w14:paraId="78BEC371" w14:textId="77777777" w:rsidR="003E5BF5" w:rsidRPr="00666784" w:rsidRDefault="003E5BF5" w:rsidP="00DE1921">
            <w:pPr>
              <w:pStyle w:val="TableTextRight"/>
              <w:rPr>
                <w:rFonts w:ascii="Arial" w:hAnsi="Arial" w:cs="Arial"/>
                <w:sz w:val="22"/>
              </w:rPr>
            </w:pPr>
            <w:r w:rsidRPr="00666784">
              <w:rPr>
                <w:rFonts w:ascii="Arial" w:hAnsi="Arial" w:cs="Arial"/>
                <w:sz w:val="22"/>
              </w:rPr>
              <w:t>(251)</w:t>
            </w:r>
          </w:p>
        </w:tc>
        <w:tc>
          <w:tcPr>
            <w:tcW w:w="1158" w:type="dxa"/>
            <w:shd w:val="clear" w:color="auto" w:fill="auto"/>
            <w:noWrap/>
            <w:hideMark/>
          </w:tcPr>
          <w:p w14:paraId="495CAEA7"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 xml:space="preserve">9,100,428 </w:t>
            </w:r>
          </w:p>
        </w:tc>
        <w:tc>
          <w:tcPr>
            <w:tcW w:w="1035" w:type="dxa"/>
            <w:shd w:val="clear" w:color="auto" w:fill="auto"/>
            <w:noWrap/>
            <w:hideMark/>
          </w:tcPr>
          <w:p w14:paraId="03A50607" w14:textId="77777777" w:rsidR="003E5BF5" w:rsidRPr="00666784" w:rsidRDefault="003E5BF5" w:rsidP="00DE1921">
            <w:pPr>
              <w:pStyle w:val="TableTextRight"/>
              <w:rPr>
                <w:rFonts w:ascii="Arial" w:hAnsi="Arial" w:cs="Arial"/>
                <w:sz w:val="22"/>
              </w:rPr>
            </w:pPr>
            <w:r w:rsidRPr="00666784">
              <w:rPr>
                <w:rFonts w:ascii="Arial" w:hAnsi="Arial" w:cs="Arial"/>
                <w:sz w:val="22"/>
              </w:rPr>
              <w:t xml:space="preserve">7,827,100 </w:t>
            </w:r>
          </w:p>
        </w:tc>
      </w:tr>
      <w:tr w:rsidR="003E5BF5" w:rsidRPr="00666784" w14:paraId="3F372CBF" w14:textId="77777777" w:rsidTr="00F81C33">
        <w:trPr>
          <w:trHeight w:val="340"/>
        </w:trPr>
        <w:tc>
          <w:tcPr>
            <w:tcW w:w="1555" w:type="dxa"/>
            <w:shd w:val="clear" w:color="auto" w:fill="auto"/>
            <w:noWrap/>
            <w:hideMark/>
          </w:tcPr>
          <w:p w14:paraId="248C3300" w14:textId="77777777" w:rsidR="003E5BF5" w:rsidRPr="00666784" w:rsidRDefault="003E5BF5" w:rsidP="00DE1921">
            <w:pPr>
              <w:pStyle w:val="TableTextLeft"/>
              <w:rPr>
                <w:rFonts w:ascii="Arial" w:hAnsi="Arial" w:cs="Arial"/>
                <w:sz w:val="22"/>
                <w:lang w:eastAsia="en-AU"/>
              </w:rPr>
            </w:pPr>
            <w:r w:rsidRPr="00666784">
              <w:rPr>
                <w:rFonts w:ascii="Arial" w:hAnsi="Arial" w:cs="Arial"/>
                <w:sz w:val="22"/>
              </w:rPr>
              <w:t>Net result from tran</w:t>
            </w:r>
            <w:r w:rsidRPr="00666784">
              <w:rPr>
                <w:rFonts w:ascii="Arial" w:hAnsi="Arial" w:cs="Arial"/>
                <w:sz w:val="22"/>
                <w:lang w:eastAsia="en-AU"/>
              </w:rPr>
              <w:t>sactions</w:t>
            </w:r>
          </w:p>
        </w:tc>
        <w:tc>
          <w:tcPr>
            <w:tcW w:w="1158" w:type="dxa"/>
            <w:shd w:val="clear" w:color="auto" w:fill="auto"/>
            <w:noWrap/>
            <w:hideMark/>
          </w:tcPr>
          <w:p w14:paraId="318D4F9B"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(378,097)</w:t>
            </w:r>
          </w:p>
        </w:tc>
        <w:tc>
          <w:tcPr>
            <w:tcW w:w="1035" w:type="dxa"/>
            <w:shd w:val="clear" w:color="auto" w:fill="auto"/>
            <w:noWrap/>
            <w:hideMark/>
          </w:tcPr>
          <w:p w14:paraId="1533C786" w14:textId="77777777" w:rsidR="003E5BF5" w:rsidRPr="00666784" w:rsidRDefault="003E5BF5" w:rsidP="00DE1921">
            <w:pPr>
              <w:pStyle w:val="TableTextRight"/>
              <w:rPr>
                <w:rFonts w:ascii="Arial" w:hAnsi="Arial" w:cs="Arial"/>
                <w:sz w:val="22"/>
              </w:rPr>
            </w:pPr>
            <w:r w:rsidRPr="00666784">
              <w:rPr>
                <w:rFonts w:ascii="Arial" w:hAnsi="Arial" w:cs="Arial"/>
                <w:sz w:val="22"/>
              </w:rPr>
              <w:t>(247,176)</w:t>
            </w:r>
          </w:p>
        </w:tc>
        <w:tc>
          <w:tcPr>
            <w:tcW w:w="938" w:type="dxa"/>
            <w:shd w:val="clear" w:color="auto" w:fill="auto"/>
            <w:noWrap/>
            <w:hideMark/>
          </w:tcPr>
          <w:p w14:paraId="7E7A2DD4"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 xml:space="preserve">5,243 </w:t>
            </w:r>
          </w:p>
        </w:tc>
        <w:tc>
          <w:tcPr>
            <w:tcW w:w="938" w:type="dxa"/>
            <w:shd w:val="clear" w:color="auto" w:fill="auto"/>
            <w:noWrap/>
            <w:hideMark/>
          </w:tcPr>
          <w:p w14:paraId="303D092A" w14:textId="77777777" w:rsidR="003E5BF5" w:rsidRPr="00666784" w:rsidRDefault="003E5BF5" w:rsidP="00DE1921">
            <w:pPr>
              <w:pStyle w:val="TableTextRight"/>
              <w:rPr>
                <w:rFonts w:ascii="Arial" w:hAnsi="Arial" w:cs="Arial"/>
                <w:sz w:val="22"/>
              </w:rPr>
            </w:pPr>
            <w:r w:rsidRPr="00666784">
              <w:rPr>
                <w:rFonts w:ascii="Arial" w:hAnsi="Arial" w:cs="Arial"/>
                <w:sz w:val="22"/>
              </w:rPr>
              <w:t xml:space="preserve">281 </w:t>
            </w:r>
          </w:p>
        </w:tc>
        <w:tc>
          <w:tcPr>
            <w:tcW w:w="998" w:type="dxa"/>
            <w:shd w:val="clear" w:color="auto" w:fill="auto"/>
            <w:noWrap/>
            <w:hideMark/>
          </w:tcPr>
          <w:p w14:paraId="30956082"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 xml:space="preserve"> - </w:t>
            </w:r>
          </w:p>
        </w:tc>
        <w:tc>
          <w:tcPr>
            <w:tcW w:w="938" w:type="dxa"/>
            <w:shd w:val="clear" w:color="auto" w:fill="auto"/>
            <w:noWrap/>
            <w:hideMark/>
          </w:tcPr>
          <w:p w14:paraId="6DA4234E" w14:textId="77777777" w:rsidR="003E5BF5" w:rsidRPr="00666784" w:rsidRDefault="003E5BF5" w:rsidP="00DE1921">
            <w:pPr>
              <w:pStyle w:val="TableTextRight"/>
              <w:rPr>
                <w:rFonts w:ascii="Arial" w:hAnsi="Arial" w:cs="Arial"/>
                <w:sz w:val="22"/>
              </w:rPr>
            </w:pPr>
            <w:r w:rsidRPr="00666784">
              <w:rPr>
                <w:rFonts w:ascii="Arial" w:hAnsi="Arial" w:cs="Arial"/>
                <w:sz w:val="22"/>
              </w:rPr>
              <w:t xml:space="preserve"> - </w:t>
            </w:r>
          </w:p>
        </w:tc>
        <w:tc>
          <w:tcPr>
            <w:tcW w:w="1158" w:type="dxa"/>
            <w:shd w:val="clear" w:color="auto" w:fill="auto"/>
            <w:noWrap/>
            <w:hideMark/>
          </w:tcPr>
          <w:p w14:paraId="4CEB5D7F"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(372,854)</w:t>
            </w:r>
          </w:p>
        </w:tc>
        <w:tc>
          <w:tcPr>
            <w:tcW w:w="1035" w:type="dxa"/>
            <w:shd w:val="clear" w:color="auto" w:fill="auto"/>
            <w:noWrap/>
            <w:hideMark/>
          </w:tcPr>
          <w:p w14:paraId="7C6EBC35" w14:textId="77777777" w:rsidR="003E5BF5" w:rsidRPr="00666784" w:rsidRDefault="003E5BF5" w:rsidP="00DE1921">
            <w:pPr>
              <w:pStyle w:val="TableTextRight"/>
              <w:rPr>
                <w:rFonts w:ascii="Arial" w:hAnsi="Arial" w:cs="Arial"/>
                <w:sz w:val="22"/>
              </w:rPr>
            </w:pPr>
            <w:r w:rsidRPr="00666784">
              <w:rPr>
                <w:rFonts w:ascii="Arial" w:hAnsi="Arial" w:cs="Arial"/>
                <w:sz w:val="22"/>
              </w:rPr>
              <w:t>(247,955)</w:t>
            </w:r>
          </w:p>
        </w:tc>
      </w:tr>
      <w:tr w:rsidR="003E5BF5" w:rsidRPr="00666784" w14:paraId="345F0675" w14:textId="77777777" w:rsidTr="00F81C33">
        <w:trPr>
          <w:trHeight w:val="340"/>
        </w:trPr>
        <w:tc>
          <w:tcPr>
            <w:tcW w:w="1555" w:type="dxa"/>
            <w:shd w:val="clear" w:color="auto" w:fill="auto"/>
            <w:noWrap/>
            <w:vAlign w:val="center"/>
            <w:hideMark/>
          </w:tcPr>
          <w:p w14:paraId="42BC8004" w14:textId="77777777" w:rsidR="003E5BF5" w:rsidRPr="00666784" w:rsidRDefault="003E5BF5" w:rsidP="00DE1921">
            <w:pPr>
              <w:pStyle w:val="TableTextLeft"/>
              <w:rPr>
                <w:rFonts w:ascii="Arial" w:hAnsi="Arial" w:cs="Arial"/>
                <w:sz w:val="22"/>
                <w:lang w:eastAsia="en-AU"/>
              </w:rPr>
            </w:pPr>
            <w:r w:rsidRPr="00666784">
              <w:rPr>
                <w:rFonts w:ascii="Arial" w:hAnsi="Arial" w:cs="Arial"/>
                <w:sz w:val="22"/>
              </w:rPr>
              <w:t xml:space="preserve">Total assets </w:t>
            </w:r>
            <w:r w:rsidRPr="00666784">
              <w:rPr>
                <w:rFonts w:ascii="Arial" w:hAnsi="Arial" w:cs="Arial"/>
                <w:sz w:val="22"/>
                <w:vertAlign w:val="superscript"/>
                <w:lang w:eastAsia="en-AU"/>
              </w:rPr>
              <w:t>(ii)</w:t>
            </w:r>
          </w:p>
        </w:tc>
        <w:tc>
          <w:tcPr>
            <w:tcW w:w="1158" w:type="dxa"/>
            <w:shd w:val="clear" w:color="auto" w:fill="auto"/>
            <w:noWrap/>
            <w:vAlign w:val="center"/>
            <w:hideMark/>
          </w:tcPr>
          <w:p w14:paraId="5487F11E"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 xml:space="preserve">90,696,410 </w:t>
            </w:r>
          </w:p>
        </w:tc>
        <w:tc>
          <w:tcPr>
            <w:tcW w:w="1035" w:type="dxa"/>
            <w:shd w:val="clear" w:color="auto" w:fill="auto"/>
            <w:noWrap/>
            <w:vAlign w:val="center"/>
            <w:hideMark/>
          </w:tcPr>
          <w:p w14:paraId="7E39F9AA" w14:textId="77777777" w:rsidR="003E5BF5" w:rsidRPr="00666784" w:rsidRDefault="003E5BF5" w:rsidP="00DE1921">
            <w:pPr>
              <w:pStyle w:val="TableTextRight"/>
              <w:rPr>
                <w:rFonts w:ascii="Arial" w:hAnsi="Arial" w:cs="Arial"/>
                <w:sz w:val="22"/>
              </w:rPr>
            </w:pPr>
            <w:r w:rsidRPr="00666784">
              <w:rPr>
                <w:rFonts w:ascii="Arial" w:hAnsi="Arial" w:cs="Arial"/>
                <w:sz w:val="22"/>
              </w:rPr>
              <w:t xml:space="preserve">5,480,406 </w:t>
            </w:r>
          </w:p>
        </w:tc>
        <w:tc>
          <w:tcPr>
            <w:tcW w:w="938" w:type="dxa"/>
            <w:shd w:val="clear" w:color="auto" w:fill="auto"/>
            <w:noWrap/>
            <w:vAlign w:val="center"/>
            <w:hideMark/>
          </w:tcPr>
          <w:p w14:paraId="112BF2EF"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 xml:space="preserve">138,017 </w:t>
            </w:r>
          </w:p>
        </w:tc>
        <w:tc>
          <w:tcPr>
            <w:tcW w:w="938" w:type="dxa"/>
            <w:shd w:val="clear" w:color="auto" w:fill="auto"/>
            <w:noWrap/>
            <w:vAlign w:val="center"/>
            <w:hideMark/>
          </w:tcPr>
          <w:p w14:paraId="5E137E2F" w14:textId="77777777" w:rsidR="003E5BF5" w:rsidRPr="00666784" w:rsidRDefault="003E5BF5" w:rsidP="00DE1921">
            <w:pPr>
              <w:pStyle w:val="TableTextRight"/>
              <w:rPr>
                <w:rFonts w:ascii="Arial" w:hAnsi="Arial" w:cs="Arial"/>
                <w:sz w:val="22"/>
              </w:rPr>
            </w:pPr>
            <w:r w:rsidRPr="00666784">
              <w:rPr>
                <w:rFonts w:ascii="Arial" w:hAnsi="Arial" w:cs="Arial"/>
                <w:sz w:val="22"/>
              </w:rPr>
              <w:t xml:space="preserve">119,430 </w:t>
            </w:r>
          </w:p>
        </w:tc>
        <w:tc>
          <w:tcPr>
            <w:tcW w:w="998" w:type="dxa"/>
            <w:shd w:val="clear" w:color="auto" w:fill="auto"/>
            <w:noWrap/>
            <w:vAlign w:val="center"/>
            <w:hideMark/>
          </w:tcPr>
          <w:p w14:paraId="2CDCB63B"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(7,156)</w:t>
            </w:r>
          </w:p>
        </w:tc>
        <w:tc>
          <w:tcPr>
            <w:tcW w:w="938" w:type="dxa"/>
            <w:shd w:val="clear" w:color="auto" w:fill="auto"/>
            <w:noWrap/>
            <w:vAlign w:val="center"/>
            <w:hideMark/>
          </w:tcPr>
          <w:p w14:paraId="2A47B127" w14:textId="77777777" w:rsidR="003E5BF5" w:rsidRPr="00666784" w:rsidRDefault="003E5BF5" w:rsidP="00DE1921">
            <w:pPr>
              <w:pStyle w:val="TableTextRight"/>
              <w:rPr>
                <w:rFonts w:ascii="Arial" w:hAnsi="Arial" w:cs="Arial"/>
                <w:sz w:val="22"/>
              </w:rPr>
            </w:pPr>
            <w:r w:rsidRPr="00666784">
              <w:rPr>
                <w:rFonts w:ascii="Arial" w:hAnsi="Arial" w:cs="Arial"/>
                <w:sz w:val="22"/>
              </w:rPr>
              <w:t xml:space="preserve"> - </w:t>
            </w:r>
          </w:p>
        </w:tc>
        <w:tc>
          <w:tcPr>
            <w:tcW w:w="1158" w:type="dxa"/>
            <w:shd w:val="clear" w:color="auto" w:fill="auto"/>
            <w:noWrap/>
            <w:vAlign w:val="center"/>
            <w:hideMark/>
          </w:tcPr>
          <w:p w14:paraId="1B63F618"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 xml:space="preserve">90,827,271 </w:t>
            </w:r>
          </w:p>
        </w:tc>
        <w:tc>
          <w:tcPr>
            <w:tcW w:w="1035" w:type="dxa"/>
            <w:shd w:val="clear" w:color="auto" w:fill="auto"/>
            <w:noWrap/>
            <w:vAlign w:val="center"/>
            <w:hideMark/>
          </w:tcPr>
          <w:p w14:paraId="64E4B0C9" w14:textId="77777777" w:rsidR="003E5BF5" w:rsidRPr="00666784" w:rsidRDefault="003E5BF5" w:rsidP="00DE1921">
            <w:pPr>
              <w:pStyle w:val="TableTextRight"/>
              <w:rPr>
                <w:rFonts w:ascii="Arial" w:hAnsi="Arial" w:cs="Arial"/>
                <w:sz w:val="22"/>
              </w:rPr>
            </w:pPr>
            <w:r w:rsidRPr="00666784">
              <w:rPr>
                <w:rFonts w:ascii="Arial" w:hAnsi="Arial" w:cs="Arial"/>
                <w:sz w:val="22"/>
              </w:rPr>
              <w:t xml:space="preserve">5,599,836 </w:t>
            </w:r>
          </w:p>
        </w:tc>
      </w:tr>
      <w:tr w:rsidR="003E5BF5" w:rsidRPr="00666784" w14:paraId="7817ADBC" w14:textId="77777777" w:rsidTr="00F81C33">
        <w:trPr>
          <w:trHeight w:val="340"/>
        </w:trPr>
        <w:tc>
          <w:tcPr>
            <w:tcW w:w="1555" w:type="dxa"/>
            <w:tcBorders>
              <w:bottom w:val="nil"/>
            </w:tcBorders>
            <w:shd w:val="clear" w:color="auto" w:fill="auto"/>
            <w:noWrap/>
            <w:vAlign w:val="center"/>
            <w:hideMark/>
          </w:tcPr>
          <w:p w14:paraId="3C877E83" w14:textId="77777777" w:rsidR="003E5BF5" w:rsidRPr="00666784" w:rsidRDefault="003E5BF5" w:rsidP="00DE1921">
            <w:pPr>
              <w:pStyle w:val="TableTextLeft"/>
              <w:rPr>
                <w:rFonts w:ascii="Arial" w:hAnsi="Arial" w:cs="Arial"/>
                <w:sz w:val="22"/>
                <w:lang w:eastAsia="en-AU"/>
              </w:rPr>
            </w:pPr>
            <w:r w:rsidRPr="00666784">
              <w:rPr>
                <w:rFonts w:ascii="Arial" w:hAnsi="Arial" w:cs="Arial"/>
                <w:sz w:val="22"/>
              </w:rPr>
              <w:t>Total liabilities</w:t>
            </w:r>
          </w:p>
        </w:tc>
        <w:tc>
          <w:tcPr>
            <w:tcW w:w="1158" w:type="dxa"/>
            <w:tcBorders>
              <w:bottom w:val="nil"/>
            </w:tcBorders>
            <w:shd w:val="clear" w:color="auto" w:fill="auto"/>
            <w:noWrap/>
            <w:vAlign w:val="center"/>
            <w:hideMark/>
          </w:tcPr>
          <w:p w14:paraId="350D306C"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 xml:space="preserve">15,377,752 </w:t>
            </w:r>
          </w:p>
        </w:tc>
        <w:tc>
          <w:tcPr>
            <w:tcW w:w="1035" w:type="dxa"/>
            <w:tcBorders>
              <w:bottom w:val="nil"/>
            </w:tcBorders>
            <w:shd w:val="clear" w:color="auto" w:fill="auto"/>
            <w:noWrap/>
            <w:vAlign w:val="center"/>
            <w:hideMark/>
          </w:tcPr>
          <w:p w14:paraId="560767FD" w14:textId="77777777" w:rsidR="003E5BF5" w:rsidRPr="00666784" w:rsidRDefault="003E5BF5" w:rsidP="00DE1921">
            <w:pPr>
              <w:pStyle w:val="TableTextRight"/>
              <w:rPr>
                <w:rFonts w:ascii="Arial" w:hAnsi="Arial" w:cs="Arial"/>
                <w:sz w:val="22"/>
              </w:rPr>
            </w:pPr>
            <w:r w:rsidRPr="00666784">
              <w:rPr>
                <w:rFonts w:ascii="Arial" w:hAnsi="Arial" w:cs="Arial"/>
                <w:sz w:val="22"/>
              </w:rPr>
              <w:t xml:space="preserve">1,977,665 </w:t>
            </w:r>
          </w:p>
        </w:tc>
        <w:tc>
          <w:tcPr>
            <w:tcW w:w="938" w:type="dxa"/>
            <w:tcBorders>
              <w:bottom w:val="nil"/>
            </w:tcBorders>
            <w:shd w:val="clear" w:color="auto" w:fill="auto"/>
            <w:noWrap/>
            <w:vAlign w:val="center"/>
            <w:hideMark/>
          </w:tcPr>
          <w:p w14:paraId="752D3D0F"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 xml:space="preserve">38,307 </w:t>
            </w:r>
          </w:p>
        </w:tc>
        <w:tc>
          <w:tcPr>
            <w:tcW w:w="938" w:type="dxa"/>
            <w:tcBorders>
              <w:bottom w:val="nil"/>
            </w:tcBorders>
            <w:shd w:val="clear" w:color="auto" w:fill="auto"/>
            <w:noWrap/>
            <w:vAlign w:val="center"/>
            <w:hideMark/>
          </w:tcPr>
          <w:p w14:paraId="638C54B8" w14:textId="77777777" w:rsidR="003E5BF5" w:rsidRPr="00666784" w:rsidRDefault="003E5BF5" w:rsidP="00DE1921">
            <w:pPr>
              <w:pStyle w:val="TableTextRight"/>
              <w:rPr>
                <w:rFonts w:ascii="Arial" w:hAnsi="Arial" w:cs="Arial"/>
                <w:sz w:val="22"/>
              </w:rPr>
            </w:pPr>
            <w:r w:rsidRPr="00666784">
              <w:rPr>
                <w:rFonts w:ascii="Arial" w:hAnsi="Arial" w:cs="Arial"/>
                <w:sz w:val="22"/>
              </w:rPr>
              <w:t xml:space="preserve">1,389 </w:t>
            </w:r>
          </w:p>
        </w:tc>
        <w:tc>
          <w:tcPr>
            <w:tcW w:w="998" w:type="dxa"/>
            <w:tcBorders>
              <w:bottom w:val="nil"/>
            </w:tcBorders>
            <w:shd w:val="clear" w:color="auto" w:fill="auto"/>
            <w:noWrap/>
            <w:vAlign w:val="center"/>
            <w:hideMark/>
          </w:tcPr>
          <w:p w14:paraId="199B02D1"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(7,156)</w:t>
            </w:r>
          </w:p>
        </w:tc>
        <w:tc>
          <w:tcPr>
            <w:tcW w:w="938" w:type="dxa"/>
            <w:tcBorders>
              <w:bottom w:val="nil"/>
            </w:tcBorders>
            <w:shd w:val="clear" w:color="auto" w:fill="auto"/>
            <w:noWrap/>
            <w:vAlign w:val="center"/>
            <w:hideMark/>
          </w:tcPr>
          <w:p w14:paraId="6AC7DBF2" w14:textId="77777777" w:rsidR="003E5BF5" w:rsidRPr="00666784" w:rsidRDefault="003E5BF5" w:rsidP="00DE1921">
            <w:pPr>
              <w:pStyle w:val="TableTextRight"/>
              <w:rPr>
                <w:rFonts w:ascii="Arial" w:hAnsi="Arial" w:cs="Arial"/>
                <w:sz w:val="22"/>
              </w:rPr>
            </w:pPr>
            <w:r w:rsidRPr="00666784">
              <w:rPr>
                <w:rFonts w:ascii="Arial" w:hAnsi="Arial" w:cs="Arial"/>
                <w:sz w:val="22"/>
              </w:rPr>
              <w:t xml:space="preserve"> - </w:t>
            </w:r>
          </w:p>
        </w:tc>
        <w:tc>
          <w:tcPr>
            <w:tcW w:w="1158" w:type="dxa"/>
            <w:tcBorders>
              <w:bottom w:val="nil"/>
            </w:tcBorders>
            <w:shd w:val="clear" w:color="auto" w:fill="auto"/>
            <w:noWrap/>
            <w:vAlign w:val="center"/>
            <w:hideMark/>
          </w:tcPr>
          <w:p w14:paraId="104DD2D2" w14:textId="77777777" w:rsidR="003E5BF5" w:rsidRPr="00666784" w:rsidRDefault="003E5BF5" w:rsidP="00DE1921">
            <w:pPr>
              <w:pStyle w:val="TableTextRightBold"/>
              <w:rPr>
                <w:rFonts w:ascii="Arial" w:hAnsi="Arial" w:cs="Arial"/>
                <w:b w:val="0"/>
                <w:sz w:val="22"/>
              </w:rPr>
            </w:pPr>
            <w:r w:rsidRPr="00666784">
              <w:rPr>
                <w:rFonts w:ascii="Arial" w:hAnsi="Arial" w:cs="Arial"/>
                <w:b w:val="0"/>
                <w:sz w:val="22"/>
              </w:rPr>
              <w:t xml:space="preserve">15,408,903 </w:t>
            </w:r>
          </w:p>
        </w:tc>
        <w:tc>
          <w:tcPr>
            <w:tcW w:w="1035" w:type="dxa"/>
            <w:tcBorders>
              <w:bottom w:val="nil"/>
            </w:tcBorders>
            <w:shd w:val="clear" w:color="auto" w:fill="auto"/>
            <w:noWrap/>
            <w:vAlign w:val="center"/>
            <w:hideMark/>
          </w:tcPr>
          <w:p w14:paraId="149D782A" w14:textId="77777777" w:rsidR="003E5BF5" w:rsidRPr="00666784" w:rsidRDefault="003E5BF5" w:rsidP="00DE1921">
            <w:pPr>
              <w:pStyle w:val="TableTextRight"/>
              <w:rPr>
                <w:rFonts w:ascii="Arial" w:hAnsi="Arial" w:cs="Arial"/>
                <w:sz w:val="22"/>
              </w:rPr>
            </w:pPr>
            <w:r w:rsidRPr="00666784">
              <w:rPr>
                <w:rFonts w:ascii="Arial" w:hAnsi="Arial" w:cs="Arial"/>
                <w:sz w:val="22"/>
              </w:rPr>
              <w:t xml:space="preserve">1,979,054 </w:t>
            </w:r>
          </w:p>
        </w:tc>
      </w:tr>
    </w:tbl>
    <w:p w14:paraId="067BBA53" w14:textId="77777777" w:rsidR="00F81C33" w:rsidRPr="00666784" w:rsidRDefault="00F81C33" w:rsidP="00F81C33">
      <w:pPr>
        <w:pStyle w:val="Note"/>
        <w:rPr>
          <w:rFonts w:ascii="Arial" w:hAnsi="Arial" w:cs="Arial"/>
          <w:sz w:val="22"/>
        </w:rPr>
      </w:pPr>
      <w:bookmarkStart w:id="654" w:name="_1659081117"/>
      <w:bookmarkEnd w:id="654"/>
      <w:r w:rsidRPr="00666784">
        <w:rPr>
          <w:rFonts w:ascii="Arial" w:hAnsi="Arial" w:cs="Arial"/>
          <w:sz w:val="22"/>
        </w:rPr>
        <w:t>Notes:</w:t>
      </w:r>
    </w:p>
    <w:p w14:paraId="53A7C224" w14:textId="77777777" w:rsidR="00F81C33" w:rsidRPr="00F81C33" w:rsidRDefault="00F81C33" w:rsidP="00610F5F">
      <w:pPr>
        <w:pStyle w:val="aaaNotenumberiiiiii"/>
        <w:numPr>
          <w:ilvl w:val="0"/>
          <w:numId w:val="128"/>
        </w:numPr>
      </w:pPr>
      <w:r w:rsidRPr="00666784">
        <w:t xml:space="preserve">The carrying amounts </w:t>
      </w:r>
      <w:r w:rsidRPr="00F81C33">
        <w:t>exclude statutory amounts (e.g. amounts owing from government, GST input tax credit recoverable, and GST payable).</w:t>
      </w:r>
    </w:p>
    <w:p w14:paraId="65CFBD90" w14:textId="77777777" w:rsidR="00F81C33" w:rsidRPr="00666784" w:rsidRDefault="00F81C33" w:rsidP="00F81C33">
      <w:pPr>
        <w:pStyle w:val="aaaNotenumberiiiiii"/>
      </w:pPr>
      <w:r w:rsidRPr="00F81C33">
        <w:t>Total assets for other section 53(1)(b) entities in aggregate were material to the department's consolidated</w:t>
      </w:r>
      <w:r w:rsidRPr="00666784">
        <w:t xml:space="preserve"> group.</w:t>
      </w:r>
    </w:p>
    <w:p w14:paraId="41963121" w14:textId="77777777" w:rsidR="003E5BF5" w:rsidRDefault="003E5BF5" w:rsidP="00610F5F">
      <w:pPr>
        <w:pStyle w:val="Heading2"/>
        <w:numPr>
          <w:ilvl w:val="1"/>
          <w:numId w:val="22"/>
        </w:numPr>
      </w:pPr>
      <w:bookmarkStart w:id="655" w:name="_Toc53420697"/>
      <w:bookmarkStart w:id="656" w:name="_Toc53420975"/>
      <w:bookmarkStart w:id="657" w:name="_Toc522177856"/>
      <w:bookmarkStart w:id="658" w:name="_Toc529197941"/>
      <w:bookmarkStart w:id="659" w:name="_Toc529198006"/>
      <w:bookmarkStart w:id="660" w:name="_Toc530386203"/>
      <w:bookmarkStart w:id="661" w:name="_Toc9344375"/>
      <w:bookmarkEnd w:id="649"/>
      <w:bookmarkEnd w:id="650"/>
      <w:bookmarkEnd w:id="651"/>
      <w:bookmarkEnd w:id="652"/>
      <w:bookmarkEnd w:id="653"/>
      <w:r w:rsidRPr="007444F0">
        <w:t>Change in accounting policies</w:t>
      </w:r>
      <w:bookmarkEnd w:id="655"/>
      <w:bookmarkEnd w:id="656"/>
    </w:p>
    <w:p w14:paraId="18E813A2" w14:textId="77777777" w:rsidR="003E5BF5" w:rsidRDefault="003E5BF5" w:rsidP="00610F5F">
      <w:pPr>
        <w:pStyle w:val="Heading3"/>
        <w:numPr>
          <w:ilvl w:val="2"/>
          <w:numId w:val="22"/>
        </w:numPr>
        <w:ind w:left="765" w:hanging="765"/>
      </w:pPr>
      <w:r w:rsidRPr="00285279">
        <w:t>Leases</w:t>
      </w:r>
    </w:p>
    <w:p w14:paraId="6B3D0797" w14:textId="77777777" w:rsidR="003E5BF5" w:rsidRDefault="003E5BF5" w:rsidP="00D74D26">
      <w:pPr>
        <w:pStyle w:val="aaatyping"/>
      </w:pPr>
      <w:r>
        <w:t xml:space="preserve">This note explains the impact of the adoption of AASB 16 </w:t>
      </w:r>
      <w:r w:rsidRPr="006F0534">
        <w:rPr>
          <w:i/>
          <w:iCs/>
        </w:rPr>
        <w:t>Leases</w:t>
      </w:r>
      <w:r>
        <w:t xml:space="preserve"> on the department’s financial statements.</w:t>
      </w:r>
    </w:p>
    <w:p w14:paraId="1F590A91" w14:textId="77777777" w:rsidR="003E5BF5" w:rsidRDefault="003E5BF5" w:rsidP="00D74D26">
      <w:pPr>
        <w:pStyle w:val="aaatyping"/>
      </w:pPr>
      <w:r>
        <w:t xml:space="preserve">The department has applied AASB 16 with a date of initial application of 1 July 2019. </w:t>
      </w:r>
    </w:p>
    <w:p w14:paraId="35F726EE" w14:textId="77777777" w:rsidR="003E5BF5" w:rsidRDefault="003E5BF5" w:rsidP="00D74D26">
      <w:pPr>
        <w:pStyle w:val="aaatyping"/>
      </w:pPr>
      <w:r>
        <w:t xml:space="preserve">The department has elected to apply AASB 16 using the modified retrospective approach, as per the transitional provisions of AASB 16 for all leases for which it is a lessee. The cumulative effect of initial application is recognised in retained earnings as at 1 July 2019. Accordingly, the comparative information presented is not restated and is reported under AASB 117 and related interpretations. </w:t>
      </w:r>
    </w:p>
    <w:p w14:paraId="659D5286" w14:textId="77777777" w:rsidR="003E5BF5" w:rsidRDefault="003E5BF5" w:rsidP="00D74D26">
      <w:pPr>
        <w:pStyle w:val="aaatyping"/>
      </w:pPr>
      <w:r>
        <w:t xml:space="preserve">Previously, the department determined at contract inception whether an arrangement is or contains a lease under AASB 117 and Interpretation 4 </w:t>
      </w:r>
      <w:r w:rsidRPr="00B07497">
        <w:rPr>
          <w:i/>
          <w:iCs/>
        </w:rPr>
        <w:t>Determining whether an arrangement contains a Lease</w:t>
      </w:r>
      <w:r>
        <w:t xml:space="preserve">. Under AASB 16, </w:t>
      </w:r>
      <w:r>
        <w:lastRenderedPageBreak/>
        <w:t>the department assesses whether a contract is or contains a lease based on the definition of a lease as explained in Note 7.2 Leases.</w:t>
      </w:r>
    </w:p>
    <w:p w14:paraId="5F73C541" w14:textId="77777777" w:rsidR="003E5BF5" w:rsidRDefault="003E5BF5" w:rsidP="00D74D26">
      <w:pPr>
        <w:pStyle w:val="aaatyping"/>
      </w:pPr>
      <w:r>
        <w:t>On transition to AASB 16, the department has elected to apply the practical expedient to grandfather the assessment of which transactions are leases. It applied AASB 16 only to contracts that were previously identified as leases. Contracts that were not identified as leases under AASB 117 and Interpretation 4 were not reassessed for whether there is a lease. Therefore, the definition of a lease under AASB 16 was applied to contracts entered into or changed on or after 1 July 2019.</w:t>
      </w:r>
    </w:p>
    <w:p w14:paraId="77634200" w14:textId="77777777" w:rsidR="003E5BF5" w:rsidRDefault="003E5BF5" w:rsidP="008869A9">
      <w:pPr>
        <w:pStyle w:val="Heading4"/>
      </w:pPr>
      <w:r>
        <w:t>Leases classified as operating leases under AASB 117</w:t>
      </w:r>
    </w:p>
    <w:p w14:paraId="35E7EFB7" w14:textId="77777777" w:rsidR="003E5BF5" w:rsidRDefault="003E5BF5" w:rsidP="00D74D26">
      <w:pPr>
        <w:pStyle w:val="aaatyping"/>
      </w:pPr>
      <w:r>
        <w:t xml:space="preserve">As a lessee, the department previously classified leases as operating or finance leases based on its assessment of whether the lease transferred significantly all of the risks and rewards incidental to ownership of the underlying asset to the department. Under AASB 16, the department recognises right-of-use assets and lease liabilities for all leases except where exemption is availed in respect of short-term and low-value leases. </w:t>
      </w:r>
    </w:p>
    <w:p w14:paraId="1DE400BF" w14:textId="77777777" w:rsidR="003E5BF5" w:rsidRDefault="003E5BF5" w:rsidP="00D74D26">
      <w:pPr>
        <w:pStyle w:val="aaatyping"/>
      </w:pPr>
      <w:r>
        <w:t xml:space="preserve">On adoption of AASB 16, the department recognised lease liabilities in relation to leases which had previously been classified as operating leases under the principles of AASB 117 </w:t>
      </w:r>
      <w:r w:rsidRPr="00285279">
        <w:rPr>
          <w:i/>
          <w:iCs/>
        </w:rPr>
        <w:t>Leases</w:t>
      </w:r>
      <w:r>
        <w:t xml:space="preserve">. These liabilities were measured at the present value of the remaining lease payments, discounted using the department’s incremental borrowing rate as of 1 July 2019. On transition, right-of-use assets are measured at the amount equal to the lease liability, adjusted by the amount of any prepaid or accrued lease payments relating to that lease recognised in the balance sheet as at 30 June 2019. </w:t>
      </w:r>
    </w:p>
    <w:p w14:paraId="4EFD5AE1" w14:textId="77777777" w:rsidR="003E5BF5" w:rsidRDefault="003E5BF5" w:rsidP="00D74D26">
      <w:pPr>
        <w:pStyle w:val="aaatyping"/>
      </w:pPr>
      <w:r>
        <w:lastRenderedPageBreak/>
        <w:t>The department has elected to apply the following practical expedients when applying AASB 16 to leases previously classified as operating leases under AASB 117:</w:t>
      </w:r>
    </w:p>
    <w:p w14:paraId="68944C1E" w14:textId="77777777" w:rsidR="003E5BF5" w:rsidRDefault="003E5BF5" w:rsidP="00D74D26">
      <w:pPr>
        <w:pStyle w:val="aaabullet"/>
      </w:pPr>
      <w:r>
        <w:t>Applied a single discount rate to a portfolio of leases with similar characteristics</w:t>
      </w:r>
    </w:p>
    <w:p w14:paraId="1C3907B2" w14:textId="77777777" w:rsidR="003E5BF5" w:rsidRDefault="003E5BF5" w:rsidP="00D74D26">
      <w:pPr>
        <w:pStyle w:val="aaabullet"/>
      </w:pPr>
      <w:r>
        <w:t>Adjusted the right-of-use assets by the amount of AASB 137 onerous contracts provision immediately before the date of initial application, as an alternative to an impairment review</w:t>
      </w:r>
    </w:p>
    <w:p w14:paraId="52E9079D" w14:textId="77777777" w:rsidR="003E5BF5" w:rsidRDefault="003E5BF5" w:rsidP="00D74D26">
      <w:pPr>
        <w:pStyle w:val="aaabullet"/>
      </w:pPr>
      <w:r>
        <w:t>Applied the exemption not to recognise right-of-use assets and liabilities for leases with less than 12 months of leas term</w:t>
      </w:r>
    </w:p>
    <w:p w14:paraId="50D5E49B" w14:textId="77777777" w:rsidR="003E5BF5" w:rsidRDefault="003E5BF5" w:rsidP="00D74D26">
      <w:pPr>
        <w:pStyle w:val="aaabullet"/>
      </w:pPr>
      <w:r>
        <w:t xml:space="preserve">Excluded initial direct costs from measuring the right-of-use asset at the date of initial application and </w:t>
      </w:r>
    </w:p>
    <w:p w14:paraId="38AFEE98" w14:textId="77777777" w:rsidR="003E5BF5" w:rsidRDefault="003E5BF5" w:rsidP="00D74D26">
      <w:pPr>
        <w:pStyle w:val="aaabullet"/>
      </w:pPr>
      <w:r>
        <w:t>Used hindsight when determining the lease term if the contract contains options to extend or terminate the lease.</w:t>
      </w:r>
    </w:p>
    <w:p w14:paraId="5061005B" w14:textId="4B3752CA" w:rsidR="00507B10" w:rsidRDefault="003E5BF5" w:rsidP="00D74D26">
      <w:pPr>
        <w:pStyle w:val="aaatyping"/>
      </w:pPr>
      <w:r>
        <w:t>For leases that were classified as finance leases under AASB 117, the carrying amount of the right-of-use asset and lease liability at 1 July 2019 are determined as the carrying amount of the lease asset and lease liability under AASB 117 immediately before that date.</w:t>
      </w:r>
      <w:r w:rsidR="00507B10">
        <w:br w:type="page"/>
      </w:r>
    </w:p>
    <w:p w14:paraId="3457734F" w14:textId="77777777" w:rsidR="003E5BF5" w:rsidRDefault="003E5BF5" w:rsidP="008869A9">
      <w:pPr>
        <w:pStyle w:val="Heading4"/>
      </w:pPr>
      <w:r>
        <w:lastRenderedPageBreak/>
        <w:t>Impacts on financial statements</w:t>
      </w:r>
    </w:p>
    <w:p w14:paraId="19EF65C8" w14:textId="77777777" w:rsidR="003E5BF5" w:rsidRDefault="003E5BF5" w:rsidP="00D74D26">
      <w:pPr>
        <w:pStyle w:val="aaatyping"/>
      </w:pPr>
      <w:r w:rsidRPr="008A3A89">
        <w:t xml:space="preserve">On transition to AASB 16, the department </w:t>
      </w:r>
      <w:r w:rsidRPr="00197E35">
        <w:t>recognised $247,207,000 of right-of-use assets and $247,207,000 of lease liabilities.</w:t>
      </w:r>
      <w:r>
        <w:t xml:space="preserve"> </w:t>
      </w:r>
    </w:p>
    <w:p w14:paraId="3382038E" w14:textId="77777777" w:rsidR="003E5BF5" w:rsidRDefault="003E5BF5" w:rsidP="00D74D26">
      <w:pPr>
        <w:pStyle w:val="aaatyping"/>
      </w:pPr>
      <w:bookmarkStart w:id="662" w:name="RANGE!A4:B12"/>
      <w:bookmarkEnd w:id="662"/>
      <w:r>
        <w:t xml:space="preserve">When measuring lease liabilities, the department discounted lease </w:t>
      </w:r>
      <w:r w:rsidRPr="00493400">
        <w:t>payments using its incremental borrowing rate at 1 July 2019. The weighted average rate applied is</w:t>
      </w:r>
      <w:r>
        <w:t xml:space="preserve"> 2.36%. </w:t>
      </w:r>
    </w:p>
    <w:tbl>
      <w:tblPr>
        <w:tblStyle w:val="TableGrid"/>
        <w:tblW w:w="9072" w:type="dxa"/>
        <w:tblLayout w:type="fixed"/>
        <w:tblLook w:val="04A0" w:firstRow="1" w:lastRow="0" w:firstColumn="1" w:lastColumn="0" w:noHBand="0" w:noVBand="1"/>
      </w:tblPr>
      <w:tblGrid>
        <w:gridCol w:w="7225"/>
        <w:gridCol w:w="1847"/>
      </w:tblGrid>
      <w:tr w:rsidR="003E5BF5" w:rsidRPr="00293D7B" w14:paraId="294609E9" w14:textId="77777777" w:rsidTr="003E0A49">
        <w:trPr>
          <w:trHeight w:val="113"/>
        </w:trPr>
        <w:tc>
          <w:tcPr>
            <w:tcW w:w="7225" w:type="dxa"/>
            <w:noWrap/>
            <w:hideMark/>
          </w:tcPr>
          <w:p w14:paraId="48E04223" w14:textId="545FEF9F" w:rsidR="003E5BF5" w:rsidRPr="00293D7B" w:rsidRDefault="003E5BF5" w:rsidP="00DE1921">
            <w:pPr>
              <w:pStyle w:val="TableTextLeft"/>
              <w:rPr>
                <w:rFonts w:ascii="Arial" w:hAnsi="Arial" w:cs="Arial"/>
                <w:sz w:val="24"/>
                <w:szCs w:val="24"/>
              </w:rPr>
            </w:pPr>
          </w:p>
        </w:tc>
        <w:tc>
          <w:tcPr>
            <w:tcW w:w="1847" w:type="dxa"/>
            <w:noWrap/>
            <w:vAlign w:val="center"/>
            <w:hideMark/>
          </w:tcPr>
          <w:p w14:paraId="5E56213D"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 thousand)</w:t>
            </w:r>
          </w:p>
        </w:tc>
      </w:tr>
      <w:tr w:rsidR="003E5BF5" w:rsidRPr="00293D7B" w14:paraId="41F57AF3" w14:textId="77777777" w:rsidTr="003E0A49">
        <w:trPr>
          <w:trHeight w:val="113"/>
        </w:trPr>
        <w:tc>
          <w:tcPr>
            <w:tcW w:w="7225" w:type="dxa"/>
            <w:noWrap/>
            <w:hideMark/>
          </w:tcPr>
          <w:p w14:paraId="7EF706EF" w14:textId="77777777" w:rsidR="003E5BF5" w:rsidRPr="00293D7B" w:rsidRDefault="003E5BF5" w:rsidP="00DE1921">
            <w:pPr>
              <w:pStyle w:val="TableTextLeft"/>
              <w:rPr>
                <w:rFonts w:ascii="Arial" w:hAnsi="Arial" w:cs="Arial"/>
                <w:sz w:val="24"/>
                <w:szCs w:val="24"/>
              </w:rPr>
            </w:pPr>
          </w:p>
        </w:tc>
        <w:tc>
          <w:tcPr>
            <w:tcW w:w="1847" w:type="dxa"/>
            <w:vAlign w:val="center"/>
            <w:hideMark/>
          </w:tcPr>
          <w:p w14:paraId="65D1F01D"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1/07/2019</w:t>
            </w:r>
          </w:p>
        </w:tc>
      </w:tr>
      <w:tr w:rsidR="003E5BF5" w:rsidRPr="00293D7B" w14:paraId="23B9E9FC" w14:textId="77777777" w:rsidTr="003E0A49">
        <w:trPr>
          <w:trHeight w:val="113"/>
        </w:trPr>
        <w:tc>
          <w:tcPr>
            <w:tcW w:w="7225" w:type="dxa"/>
            <w:noWrap/>
            <w:vAlign w:val="center"/>
            <w:hideMark/>
          </w:tcPr>
          <w:p w14:paraId="017AA422"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Total operating lease commitments disclosed at 30 June 2019</w:t>
            </w:r>
          </w:p>
        </w:tc>
        <w:tc>
          <w:tcPr>
            <w:tcW w:w="1847" w:type="dxa"/>
            <w:noWrap/>
            <w:vAlign w:val="center"/>
            <w:hideMark/>
          </w:tcPr>
          <w:p w14:paraId="58F75663"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 xml:space="preserve">278,589 </w:t>
            </w:r>
          </w:p>
        </w:tc>
      </w:tr>
      <w:tr w:rsidR="003E5BF5" w:rsidRPr="00293D7B" w14:paraId="33431F8E" w14:textId="77777777" w:rsidTr="003E0A49">
        <w:trPr>
          <w:trHeight w:val="113"/>
        </w:trPr>
        <w:tc>
          <w:tcPr>
            <w:tcW w:w="7225" w:type="dxa"/>
            <w:noWrap/>
            <w:vAlign w:val="center"/>
            <w:hideMark/>
          </w:tcPr>
          <w:p w14:paraId="2E523B92" w14:textId="77777777" w:rsidR="003E5BF5" w:rsidRPr="00293D7B" w:rsidRDefault="003E5BF5" w:rsidP="00DE1921">
            <w:pPr>
              <w:pStyle w:val="TableTextLeft"/>
              <w:rPr>
                <w:rFonts w:ascii="Arial" w:hAnsi="Arial" w:cs="Arial"/>
                <w:b/>
                <w:sz w:val="24"/>
                <w:szCs w:val="24"/>
              </w:rPr>
            </w:pPr>
            <w:r w:rsidRPr="00293D7B">
              <w:rPr>
                <w:rFonts w:ascii="Arial" w:hAnsi="Arial" w:cs="Arial"/>
                <w:b/>
                <w:sz w:val="24"/>
                <w:szCs w:val="24"/>
              </w:rPr>
              <w:t>Discounted using the incremental borrowing rate at 1 July 2019</w:t>
            </w:r>
          </w:p>
        </w:tc>
        <w:tc>
          <w:tcPr>
            <w:tcW w:w="1847" w:type="dxa"/>
            <w:noWrap/>
            <w:vAlign w:val="center"/>
            <w:hideMark/>
          </w:tcPr>
          <w:p w14:paraId="23C40D68"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 xml:space="preserve">247,207 </w:t>
            </w:r>
          </w:p>
        </w:tc>
      </w:tr>
      <w:tr w:rsidR="003E5BF5" w:rsidRPr="00293D7B" w14:paraId="2E34562C" w14:textId="77777777" w:rsidTr="003E0A49">
        <w:trPr>
          <w:trHeight w:val="113"/>
        </w:trPr>
        <w:tc>
          <w:tcPr>
            <w:tcW w:w="7225" w:type="dxa"/>
            <w:noWrap/>
            <w:vAlign w:val="center"/>
            <w:hideMark/>
          </w:tcPr>
          <w:p w14:paraId="311E5D15" w14:textId="77777777" w:rsidR="003E5BF5" w:rsidRPr="00293D7B" w:rsidRDefault="003E5BF5" w:rsidP="00DE1921">
            <w:pPr>
              <w:pStyle w:val="TableTextLeft"/>
              <w:rPr>
                <w:rFonts w:ascii="Arial" w:hAnsi="Arial" w:cs="Arial"/>
                <w:sz w:val="24"/>
                <w:szCs w:val="24"/>
              </w:rPr>
            </w:pPr>
            <w:r w:rsidRPr="00293D7B">
              <w:rPr>
                <w:rFonts w:ascii="Arial" w:hAnsi="Arial" w:cs="Arial"/>
                <w:sz w:val="24"/>
                <w:szCs w:val="24"/>
              </w:rPr>
              <w:t>Finance lease liabilities as at 30 June 2019</w:t>
            </w:r>
          </w:p>
        </w:tc>
        <w:tc>
          <w:tcPr>
            <w:tcW w:w="1847" w:type="dxa"/>
            <w:noWrap/>
            <w:vAlign w:val="center"/>
            <w:hideMark/>
          </w:tcPr>
          <w:p w14:paraId="74E5C7F1" w14:textId="77777777" w:rsidR="003E5BF5" w:rsidRPr="00293D7B" w:rsidRDefault="003E5BF5" w:rsidP="00DE1921">
            <w:pPr>
              <w:pStyle w:val="TableTextRight"/>
              <w:rPr>
                <w:rFonts w:ascii="Arial" w:hAnsi="Arial" w:cs="Arial"/>
                <w:sz w:val="24"/>
                <w:szCs w:val="24"/>
              </w:rPr>
            </w:pPr>
            <w:r w:rsidRPr="00293D7B">
              <w:rPr>
                <w:rFonts w:ascii="Arial" w:hAnsi="Arial" w:cs="Arial"/>
                <w:sz w:val="24"/>
                <w:szCs w:val="24"/>
              </w:rPr>
              <w:t xml:space="preserve">3,582 </w:t>
            </w:r>
          </w:p>
        </w:tc>
      </w:tr>
      <w:tr w:rsidR="003E5BF5" w:rsidRPr="00293D7B" w14:paraId="4E75C6F9" w14:textId="77777777" w:rsidTr="003E0A49">
        <w:trPr>
          <w:trHeight w:val="113"/>
        </w:trPr>
        <w:tc>
          <w:tcPr>
            <w:tcW w:w="7225" w:type="dxa"/>
            <w:noWrap/>
            <w:vAlign w:val="center"/>
            <w:hideMark/>
          </w:tcPr>
          <w:p w14:paraId="28DAA5EF" w14:textId="77777777" w:rsidR="003E5BF5" w:rsidRPr="00293D7B" w:rsidRDefault="003E5BF5" w:rsidP="00DE1921">
            <w:pPr>
              <w:pStyle w:val="TableTextLeft"/>
              <w:rPr>
                <w:rFonts w:ascii="Arial" w:hAnsi="Arial" w:cs="Arial"/>
                <w:b/>
                <w:sz w:val="24"/>
                <w:szCs w:val="24"/>
              </w:rPr>
            </w:pPr>
            <w:r w:rsidRPr="00293D7B">
              <w:rPr>
                <w:rFonts w:ascii="Arial" w:hAnsi="Arial" w:cs="Arial"/>
                <w:b/>
                <w:sz w:val="24"/>
                <w:szCs w:val="24"/>
              </w:rPr>
              <w:t>Lease liabilities recognised at 1 July 2019</w:t>
            </w:r>
          </w:p>
        </w:tc>
        <w:tc>
          <w:tcPr>
            <w:tcW w:w="1847" w:type="dxa"/>
            <w:noWrap/>
            <w:vAlign w:val="center"/>
            <w:hideMark/>
          </w:tcPr>
          <w:p w14:paraId="671C9465"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 xml:space="preserve">250,789 </w:t>
            </w:r>
          </w:p>
        </w:tc>
      </w:tr>
    </w:tbl>
    <w:p w14:paraId="175F27F5" w14:textId="77777777" w:rsidR="003E5BF5" w:rsidRDefault="003E5BF5" w:rsidP="00DE1921">
      <w:pPr>
        <w:sectPr w:rsidR="003E5BF5" w:rsidSect="00DE1921">
          <w:headerReference w:type="even" r:id="rId212"/>
          <w:headerReference w:type="default" r:id="rId213"/>
          <w:headerReference w:type="first" r:id="rId214"/>
          <w:type w:val="continuous"/>
          <w:pgSz w:w="11906" w:h="16838" w:code="9"/>
          <w:pgMar w:top="1701" w:right="1418" w:bottom="1418" w:left="1418" w:header="709" w:footer="709" w:gutter="0"/>
          <w:cols w:space="708"/>
          <w:docGrid w:linePitch="360"/>
        </w:sectPr>
      </w:pPr>
    </w:p>
    <w:p w14:paraId="388CB241" w14:textId="77777777" w:rsidR="003E5BF5" w:rsidRDefault="003E5BF5" w:rsidP="00610F5F">
      <w:pPr>
        <w:pStyle w:val="Heading3"/>
        <w:numPr>
          <w:ilvl w:val="2"/>
          <w:numId w:val="22"/>
        </w:numPr>
        <w:ind w:left="765" w:hanging="765"/>
      </w:pPr>
      <w:r>
        <w:lastRenderedPageBreak/>
        <w:t xml:space="preserve">Service Concession Arrangements: Grantors </w:t>
      </w:r>
    </w:p>
    <w:p w14:paraId="089F2FB3" w14:textId="77777777" w:rsidR="003E5BF5" w:rsidRDefault="003E5BF5" w:rsidP="00D74D26">
      <w:pPr>
        <w:pStyle w:val="aaatyping"/>
      </w:pPr>
      <w:r>
        <w:t xml:space="preserve">AASB 1059 </w:t>
      </w:r>
      <w:r w:rsidRPr="0042347C">
        <w:t>Service Concession Arrangements: Grantors</w:t>
      </w:r>
      <w:r>
        <w:t xml:space="preserve"> applies to annual reporting periods beginning on or after 1 January 2020 however in line with FRD 124 </w:t>
      </w:r>
      <w:r w:rsidRPr="0042347C">
        <w:t>Transitional requirements on the application of AASB 1059 Service Concession Arrangements: Grantors</w:t>
      </w:r>
      <w:r>
        <w:t xml:space="preserve">, the department has early adopted it from 1 July 2019. </w:t>
      </w:r>
    </w:p>
    <w:p w14:paraId="5DF58F76" w14:textId="77777777" w:rsidR="003E5BF5" w:rsidRDefault="003E5BF5" w:rsidP="00D74D26">
      <w:pPr>
        <w:pStyle w:val="aaatyping"/>
      </w:pPr>
      <w:r>
        <w:t xml:space="preserve">In line with FRD 124 requirements, the department has applied the transitional provisions of AASB 1059 and applied a full retrospective approach to prior reporting periods. The effect of this is that it has been applied as if it has always been in effect. Where applicable, comparatives have been restated and retained earnings adjusted at 1 July 2018 to reflect the impact of the standard. </w:t>
      </w:r>
    </w:p>
    <w:p w14:paraId="308D8CDE" w14:textId="77777777" w:rsidR="003E5BF5" w:rsidRDefault="003E5BF5" w:rsidP="00D74D26">
      <w:pPr>
        <w:pStyle w:val="aaatyping"/>
      </w:pPr>
      <w:r>
        <w:t>The department has reviewed all of its arrangements to assess whether AASB 1059 applies. The following arrangements have been determined to be within the scope of AASB 1059:</w:t>
      </w:r>
    </w:p>
    <w:p w14:paraId="4161E2CF" w14:textId="77777777" w:rsidR="003E5BF5" w:rsidRDefault="003E5BF5" w:rsidP="00D74D26">
      <w:pPr>
        <w:pStyle w:val="aaabullet"/>
      </w:pPr>
      <w:proofErr w:type="spellStart"/>
      <w:r>
        <w:t>CityLink</w:t>
      </w:r>
      <w:proofErr w:type="spellEnd"/>
      <w:r>
        <w:t xml:space="preserve"> </w:t>
      </w:r>
    </w:p>
    <w:p w14:paraId="634707F2" w14:textId="77777777" w:rsidR="003E5BF5" w:rsidRDefault="003E5BF5" w:rsidP="00D74D26">
      <w:pPr>
        <w:pStyle w:val="aaabullet"/>
      </w:pPr>
      <w:r>
        <w:t xml:space="preserve">Southern Cross Station </w:t>
      </w:r>
    </w:p>
    <w:p w14:paraId="3708CC92" w14:textId="77777777" w:rsidR="003E5BF5" w:rsidRDefault="003E5BF5" w:rsidP="00D74D26">
      <w:pPr>
        <w:pStyle w:val="aaabullet"/>
      </w:pPr>
      <w:proofErr w:type="spellStart"/>
      <w:r>
        <w:t>EastLink</w:t>
      </w:r>
      <w:proofErr w:type="spellEnd"/>
      <w:r>
        <w:t xml:space="preserve"> </w:t>
      </w:r>
    </w:p>
    <w:p w14:paraId="679CC7F7" w14:textId="77777777" w:rsidR="003E5BF5" w:rsidRDefault="003E5BF5" w:rsidP="00D74D26">
      <w:pPr>
        <w:pStyle w:val="aaabullet"/>
      </w:pPr>
      <w:r>
        <w:t xml:space="preserve">Peninsula Link </w:t>
      </w:r>
    </w:p>
    <w:p w14:paraId="04B04126" w14:textId="77777777" w:rsidR="003E5BF5" w:rsidRDefault="003E5BF5" w:rsidP="00D74D26">
      <w:pPr>
        <w:pStyle w:val="aaabullet"/>
      </w:pPr>
      <w:r>
        <w:t xml:space="preserve">Metropolitan bus contracts </w:t>
      </w:r>
    </w:p>
    <w:p w14:paraId="78C0104A" w14:textId="77777777" w:rsidR="003E5BF5" w:rsidRDefault="003E5BF5" w:rsidP="00D74D26">
      <w:pPr>
        <w:pStyle w:val="aaabullet"/>
      </w:pPr>
      <w:r>
        <w:t xml:space="preserve">High Capacity Metro Trains Project </w:t>
      </w:r>
    </w:p>
    <w:p w14:paraId="7B3DDDA4" w14:textId="77777777" w:rsidR="003E5BF5" w:rsidRDefault="003E5BF5" w:rsidP="00D74D26">
      <w:pPr>
        <w:pStyle w:val="aaabullet"/>
      </w:pPr>
      <w:r>
        <w:t xml:space="preserve">West Gate Tunnel Project </w:t>
      </w:r>
    </w:p>
    <w:p w14:paraId="0F6CD90A" w14:textId="77777777" w:rsidR="003E5BF5" w:rsidRDefault="003E5BF5" w:rsidP="00D74D26">
      <w:pPr>
        <w:pStyle w:val="aaabullet"/>
      </w:pPr>
      <w:r>
        <w:t>Metro Tunnel Project – Tunnels and Stations Package</w:t>
      </w:r>
    </w:p>
    <w:p w14:paraId="5DCEFCDE" w14:textId="77777777" w:rsidR="003E5BF5" w:rsidRDefault="003E5BF5" w:rsidP="00D74D26">
      <w:pPr>
        <w:pStyle w:val="aaabullet"/>
      </w:pPr>
      <w:r>
        <w:t>Western Roads Upgrade.</w:t>
      </w:r>
    </w:p>
    <w:p w14:paraId="68C7BF3E" w14:textId="77777777" w:rsidR="003E5BF5" w:rsidRDefault="003E5BF5" w:rsidP="00D74D26">
      <w:pPr>
        <w:pStyle w:val="aaatyping"/>
      </w:pPr>
      <w:r>
        <w:t xml:space="preserve">Note 7.5.3 includes details about the transitional application of AASB 1059 and how the standard has been applied to these arrangements, </w:t>
      </w:r>
      <w:r>
        <w:lastRenderedPageBreak/>
        <w:t xml:space="preserve">including tables that summarise the impact of applying the standard compared to prior accounting treatment. </w:t>
      </w:r>
    </w:p>
    <w:p w14:paraId="52008B42" w14:textId="77777777" w:rsidR="003E5BF5" w:rsidRDefault="003E5BF5" w:rsidP="00D74D26">
      <w:pPr>
        <w:pStyle w:val="aaatyping"/>
      </w:pPr>
      <w:r>
        <w:t xml:space="preserve">Note 7.5.2 also includes information about how PPPs may or may not fall within the scope of AASB 1059. The department has determined that all of its PPP arrangements fall within the scope of the standard. </w:t>
      </w:r>
    </w:p>
    <w:p w14:paraId="79EB45BB" w14:textId="77777777" w:rsidR="003E5BF5" w:rsidRPr="00BC4DAD" w:rsidRDefault="003E5BF5" w:rsidP="00D74D26">
      <w:pPr>
        <w:pStyle w:val="aaatyping"/>
      </w:pPr>
      <w:r>
        <w:t>The department has also reviewed its leasing arrangements and determined that none of these are within the scope of AASB 1059.</w:t>
      </w:r>
    </w:p>
    <w:p w14:paraId="51DF0035" w14:textId="77777777" w:rsidR="003E5BF5" w:rsidRDefault="003E5BF5" w:rsidP="00610F5F">
      <w:pPr>
        <w:pStyle w:val="Heading3"/>
        <w:numPr>
          <w:ilvl w:val="2"/>
          <w:numId w:val="22"/>
        </w:numPr>
        <w:ind w:left="765" w:hanging="765"/>
      </w:pPr>
      <w:r>
        <w:t>Revenue from Contracts with Customers</w:t>
      </w:r>
    </w:p>
    <w:p w14:paraId="7317D308" w14:textId="77777777" w:rsidR="003E5BF5" w:rsidRDefault="003E5BF5" w:rsidP="00D74D26">
      <w:pPr>
        <w:pStyle w:val="aaatyping"/>
      </w:pPr>
      <w:r>
        <w:t>In accordance with FRD 121 requirements, the department has applied the transitional provision of AASB 15, retrospectively with the cumulative effect of initially applying this standard against the opening retained earnings at 1 July 2019. Under this transition method, the department applied this standard retrospectively only to contracts that are not ‘completed contracts’ at the date of initial application.</w:t>
      </w:r>
    </w:p>
    <w:p w14:paraId="7407DBAE" w14:textId="77777777" w:rsidR="003E5BF5" w:rsidRDefault="003E5BF5" w:rsidP="00D74D26">
      <w:pPr>
        <w:pStyle w:val="aaatyping"/>
      </w:pPr>
      <w:r>
        <w:t>Comparative information has not been restated.</w:t>
      </w:r>
    </w:p>
    <w:p w14:paraId="6C839320" w14:textId="77777777" w:rsidR="003E5BF5" w:rsidRPr="00BC4DAD" w:rsidRDefault="003E5BF5" w:rsidP="00D74D26">
      <w:pPr>
        <w:pStyle w:val="aaatyping"/>
      </w:pPr>
      <w:r>
        <w:t xml:space="preserve">Note 2.3 Sales of goods and services includes details about the transitional application of AASB 15 and how the standard has been applied to revenue transactions. </w:t>
      </w:r>
    </w:p>
    <w:p w14:paraId="0EB028A4" w14:textId="77777777" w:rsidR="003E5BF5" w:rsidRDefault="003E5BF5" w:rsidP="00610F5F">
      <w:pPr>
        <w:pStyle w:val="Heading3"/>
        <w:numPr>
          <w:ilvl w:val="2"/>
          <w:numId w:val="22"/>
        </w:numPr>
        <w:ind w:left="765" w:hanging="765"/>
      </w:pPr>
      <w:r>
        <w:t>Income of Not-for-Profit Entities</w:t>
      </w:r>
    </w:p>
    <w:p w14:paraId="1713D25B" w14:textId="77777777" w:rsidR="003E5BF5" w:rsidRDefault="003E5BF5" w:rsidP="00D74D26">
      <w:pPr>
        <w:pStyle w:val="aaatyping"/>
      </w:pPr>
      <w:r>
        <w:t xml:space="preserve">In accordance with FRD 122 requirements, the department has applied the transitional provision of AASB 1058, retrospectively with the cumulative effect of initially applying this standard against the opening retained earnings at 1 July 2019. Under this transition method, the department applied this standard retrospectively only to contracts and </w:t>
      </w:r>
      <w:r>
        <w:lastRenderedPageBreak/>
        <w:t>transactions that are not completed contracts at the date of initial application.</w:t>
      </w:r>
    </w:p>
    <w:p w14:paraId="6E799811" w14:textId="77777777" w:rsidR="003E5BF5" w:rsidRDefault="003E5BF5" w:rsidP="00D74D26">
      <w:pPr>
        <w:pStyle w:val="aaatyping"/>
      </w:pPr>
      <w:r>
        <w:t>Comparative information has not been restated.</w:t>
      </w:r>
    </w:p>
    <w:p w14:paraId="49CBA80E" w14:textId="77777777" w:rsidR="003E5BF5" w:rsidRDefault="003E5BF5" w:rsidP="00D74D26">
      <w:pPr>
        <w:pStyle w:val="aaatyping"/>
      </w:pPr>
      <w:r>
        <w:t xml:space="preserve">Note 2.2 Grant income includes details about the transitional application of AASB 1058 and how the standard has been applied to revenue transactions. </w:t>
      </w:r>
    </w:p>
    <w:p w14:paraId="24FAFFDF" w14:textId="77777777" w:rsidR="003E5BF5" w:rsidRPr="00BC4DAD" w:rsidRDefault="003E5BF5" w:rsidP="00D74D26">
      <w:pPr>
        <w:pStyle w:val="aaatyping"/>
      </w:pPr>
      <w:r>
        <w:t>The adoption of AASB 1058 did not have an impact on Comprehensive operating statement and the Cash flow statement for the financial year.</w:t>
      </w:r>
    </w:p>
    <w:p w14:paraId="4C36DF3C" w14:textId="77777777" w:rsidR="003E5BF5" w:rsidRDefault="003E5BF5" w:rsidP="00610F5F">
      <w:pPr>
        <w:pStyle w:val="Heading3"/>
        <w:numPr>
          <w:ilvl w:val="2"/>
          <w:numId w:val="22"/>
        </w:numPr>
        <w:ind w:left="765" w:hanging="765"/>
      </w:pPr>
      <w:r>
        <w:t xml:space="preserve">Transition impact on financial statements </w:t>
      </w:r>
    </w:p>
    <w:p w14:paraId="701ED6BD" w14:textId="77777777" w:rsidR="003E5BF5" w:rsidRDefault="003E5BF5" w:rsidP="00D74D26">
      <w:pPr>
        <w:pStyle w:val="aaatyping"/>
      </w:pPr>
      <w:r>
        <w:t>This note explains the impact of the adoption of the following new accounting standards for the first time, from 1 July 2019:</w:t>
      </w:r>
    </w:p>
    <w:p w14:paraId="6A20F79C" w14:textId="77777777" w:rsidR="003E5BF5" w:rsidRDefault="003E5BF5" w:rsidP="00D74D26">
      <w:pPr>
        <w:pStyle w:val="aaabullet"/>
      </w:pPr>
      <w:r>
        <w:t xml:space="preserve">AASB 15 </w:t>
      </w:r>
      <w:r w:rsidRPr="006173F6">
        <w:t>Revenue from Contracts with Customers</w:t>
      </w:r>
    </w:p>
    <w:p w14:paraId="0DC80BB1" w14:textId="77777777" w:rsidR="003E5BF5" w:rsidRDefault="003E5BF5" w:rsidP="00D74D26">
      <w:pPr>
        <w:pStyle w:val="aaabullet"/>
      </w:pPr>
      <w:r>
        <w:t xml:space="preserve">AASB 1058 </w:t>
      </w:r>
      <w:r w:rsidRPr="006173F6">
        <w:t>Income of Not-for-Profit Entities</w:t>
      </w:r>
    </w:p>
    <w:p w14:paraId="4E754DFB" w14:textId="77777777" w:rsidR="003E5BF5" w:rsidRDefault="003E5BF5" w:rsidP="00D74D26">
      <w:pPr>
        <w:pStyle w:val="aaabullet"/>
      </w:pPr>
      <w:r>
        <w:t xml:space="preserve">AASB 16 </w:t>
      </w:r>
      <w:r w:rsidRPr="006173F6">
        <w:t>Leases</w:t>
      </w:r>
      <w:r>
        <w:t xml:space="preserve"> and </w:t>
      </w:r>
    </w:p>
    <w:p w14:paraId="053D775F" w14:textId="77777777" w:rsidR="003E5BF5" w:rsidRDefault="003E5BF5" w:rsidP="00D74D26">
      <w:pPr>
        <w:pStyle w:val="aaabullet"/>
      </w:pPr>
      <w:r>
        <w:t xml:space="preserve">AASB 1059 </w:t>
      </w:r>
      <w:r w:rsidRPr="006173F6">
        <w:t>Service Concession Arrangements: Grantors</w:t>
      </w:r>
      <w:r>
        <w:t>.</w:t>
      </w:r>
    </w:p>
    <w:p w14:paraId="22191B2E" w14:textId="77777777" w:rsidR="003E5BF5" w:rsidRDefault="003E5BF5" w:rsidP="00D74D26">
      <w:pPr>
        <w:pStyle w:val="aaatyping"/>
      </w:pPr>
      <w:r>
        <w:t>The impact on the Comprehensive operating statement and Balance sheet has been summarised in the following tables.</w:t>
      </w:r>
    </w:p>
    <w:p w14:paraId="383478DF" w14:textId="065279B0" w:rsidR="00507B10" w:rsidRDefault="00507B10" w:rsidP="00DE1921">
      <w:pPr>
        <w:spacing w:after="0"/>
      </w:pPr>
      <w:r>
        <w:br w:type="page"/>
      </w:r>
    </w:p>
    <w:p w14:paraId="500DCF96" w14:textId="77777777" w:rsidR="003E5BF5" w:rsidRPr="001A6A43" w:rsidRDefault="003E5BF5" w:rsidP="00610F5F">
      <w:pPr>
        <w:pStyle w:val="Heading3"/>
        <w:numPr>
          <w:ilvl w:val="3"/>
          <w:numId w:val="22"/>
        </w:numPr>
        <w:ind w:left="1021" w:hanging="1021"/>
      </w:pPr>
      <w:bookmarkStart w:id="663" w:name="RANGE!A4:F11"/>
      <w:bookmarkStart w:id="664" w:name="RANGE!A4:E11"/>
      <w:bookmarkEnd w:id="663"/>
      <w:bookmarkEnd w:id="664"/>
      <w:r w:rsidRPr="00081911">
        <w:lastRenderedPageBreak/>
        <w:t>Transition impact on</w:t>
      </w:r>
      <w:r w:rsidRPr="004936A6">
        <w:rPr>
          <w:sz w:val="12"/>
          <w:szCs w:val="12"/>
        </w:rPr>
        <w:t xml:space="preserve"> </w:t>
      </w:r>
      <w:r w:rsidRPr="004936A6">
        <w:t xml:space="preserve">the Comprehensive operating statement of AASB 1059 </w:t>
      </w:r>
    </w:p>
    <w:p w14:paraId="3CE19FC2" w14:textId="77777777" w:rsidR="003E5BF5" w:rsidRPr="006C0333" w:rsidRDefault="003E5BF5" w:rsidP="00D74D26">
      <w:pPr>
        <w:pStyle w:val="aaatyping"/>
      </w:pPr>
      <w:r>
        <w:t>Impact of AASB 1059 on the Comprehensive operating statement as 30 June 2019 is:</w:t>
      </w:r>
    </w:p>
    <w:tbl>
      <w:tblPr>
        <w:tblStyle w:val="TableGrid"/>
        <w:tblW w:w="9072" w:type="dxa"/>
        <w:tblLayout w:type="fixed"/>
        <w:tblCellMar>
          <w:left w:w="28" w:type="dxa"/>
          <w:right w:w="28" w:type="dxa"/>
        </w:tblCellMar>
        <w:tblLook w:val="04A0" w:firstRow="1" w:lastRow="0" w:firstColumn="1" w:lastColumn="0" w:noHBand="0" w:noVBand="1"/>
      </w:tblPr>
      <w:tblGrid>
        <w:gridCol w:w="3840"/>
        <w:gridCol w:w="1041"/>
        <w:gridCol w:w="1397"/>
        <w:gridCol w:w="1397"/>
        <w:gridCol w:w="1397"/>
      </w:tblGrid>
      <w:tr w:rsidR="003E5BF5" w:rsidRPr="00293D7B" w14:paraId="0FD94063" w14:textId="77777777" w:rsidTr="006A2D04">
        <w:trPr>
          <w:trHeight w:val="20"/>
        </w:trPr>
        <w:tc>
          <w:tcPr>
            <w:tcW w:w="3840" w:type="dxa"/>
            <w:noWrap/>
            <w:hideMark/>
          </w:tcPr>
          <w:p w14:paraId="36BAAF64" w14:textId="77777777" w:rsidR="003E5BF5" w:rsidRPr="00293D7B" w:rsidRDefault="003E5BF5" w:rsidP="00DE1921">
            <w:pPr>
              <w:rPr>
                <w:rFonts w:ascii="Arial" w:hAnsi="Arial" w:cs="Arial"/>
                <w:sz w:val="24"/>
                <w:szCs w:val="24"/>
                <w:lang w:eastAsia="en-AU"/>
              </w:rPr>
            </w:pPr>
          </w:p>
        </w:tc>
        <w:tc>
          <w:tcPr>
            <w:tcW w:w="1041" w:type="dxa"/>
            <w:noWrap/>
            <w:hideMark/>
          </w:tcPr>
          <w:p w14:paraId="32E767F8" w14:textId="77777777" w:rsidR="003E5BF5" w:rsidRPr="00293D7B" w:rsidRDefault="003E5BF5" w:rsidP="00DE1921">
            <w:pPr>
              <w:rPr>
                <w:rFonts w:ascii="Arial" w:hAnsi="Arial" w:cs="Arial"/>
                <w:sz w:val="24"/>
                <w:szCs w:val="24"/>
                <w:lang w:eastAsia="en-AU"/>
              </w:rPr>
            </w:pPr>
          </w:p>
        </w:tc>
        <w:tc>
          <w:tcPr>
            <w:tcW w:w="4191" w:type="dxa"/>
            <w:gridSpan w:val="3"/>
            <w:noWrap/>
            <w:vAlign w:val="center"/>
            <w:hideMark/>
          </w:tcPr>
          <w:p w14:paraId="728C6A5C" w14:textId="77777777" w:rsidR="003E5BF5" w:rsidRPr="00293D7B" w:rsidRDefault="003E5BF5" w:rsidP="00DE1921">
            <w:pPr>
              <w:jc w:val="center"/>
              <w:rPr>
                <w:rFonts w:ascii="Arial" w:hAnsi="Arial" w:cs="Arial"/>
                <w:b/>
                <w:sz w:val="24"/>
                <w:szCs w:val="24"/>
                <w:lang w:eastAsia="en-AU"/>
              </w:rPr>
            </w:pPr>
            <w:r w:rsidRPr="00293D7B">
              <w:rPr>
                <w:rFonts w:ascii="Arial" w:hAnsi="Arial" w:cs="Arial"/>
                <w:b/>
                <w:sz w:val="24"/>
                <w:szCs w:val="24"/>
                <w:lang w:eastAsia="en-AU"/>
              </w:rPr>
              <w:t>($ thousand)</w:t>
            </w:r>
          </w:p>
        </w:tc>
      </w:tr>
      <w:tr w:rsidR="003E5BF5" w:rsidRPr="00293D7B" w14:paraId="39DB169C" w14:textId="77777777" w:rsidTr="006A2D04">
        <w:trPr>
          <w:trHeight w:val="340"/>
        </w:trPr>
        <w:tc>
          <w:tcPr>
            <w:tcW w:w="3840" w:type="dxa"/>
            <w:vAlign w:val="bottom"/>
            <w:hideMark/>
          </w:tcPr>
          <w:p w14:paraId="1C87DE46" w14:textId="77777777" w:rsidR="003E5BF5" w:rsidRPr="00293D7B" w:rsidRDefault="003E5BF5" w:rsidP="00DE1921">
            <w:pPr>
              <w:pStyle w:val="TableTextLeft"/>
              <w:rPr>
                <w:rFonts w:ascii="Arial" w:hAnsi="Arial" w:cs="Arial"/>
                <w:b/>
                <w:sz w:val="24"/>
                <w:szCs w:val="24"/>
              </w:rPr>
            </w:pPr>
            <w:r w:rsidRPr="00293D7B">
              <w:rPr>
                <w:rFonts w:ascii="Arial" w:hAnsi="Arial" w:cs="Arial"/>
                <w:b/>
                <w:sz w:val="24"/>
                <w:szCs w:val="24"/>
              </w:rPr>
              <w:t xml:space="preserve">Comprehensive operating statement </w:t>
            </w:r>
          </w:p>
        </w:tc>
        <w:tc>
          <w:tcPr>
            <w:tcW w:w="1041" w:type="dxa"/>
            <w:noWrap/>
            <w:vAlign w:val="bottom"/>
            <w:hideMark/>
          </w:tcPr>
          <w:p w14:paraId="2366E1C6"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Notes</w:t>
            </w:r>
          </w:p>
        </w:tc>
        <w:tc>
          <w:tcPr>
            <w:tcW w:w="1397" w:type="dxa"/>
            <w:vAlign w:val="bottom"/>
            <w:hideMark/>
          </w:tcPr>
          <w:p w14:paraId="3CF02134"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Before new accounting standards 30/6/19</w:t>
            </w:r>
          </w:p>
        </w:tc>
        <w:tc>
          <w:tcPr>
            <w:tcW w:w="1397" w:type="dxa"/>
            <w:vAlign w:val="bottom"/>
            <w:hideMark/>
          </w:tcPr>
          <w:p w14:paraId="63368B2D"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 xml:space="preserve">Net impact of AASB 1059 </w:t>
            </w:r>
            <w:r w:rsidRPr="00293D7B">
              <w:rPr>
                <w:rFonts w:ascii="Arial" w:hAnsi="Arial" w:cs="Arial"/>
                <w:b/>
                <w:sz w:val="24"/>
                <w:szCs w:val="24"/>
                <w:vertAlign w:val="superscript"/>
              </w:rPr>
              <w:t>(</w:t>
            </w:r>
            <w:proofErr w:type="spellStart"/>
            <w:r w:rsidRPr="00293D7B">
              <w:rPr>
                <w:rFonts w:ascii="Arial" w:hAnsi="Arial" w:cs="Arial"/>
                <w:b/>
                <w:sz w:val="24"/>
                <w:szCs w:val="24"/>
                <w:vertAlign w:val="superscript"/>
              </w:rPr>
              <w:t>i</w:t>
            </w:r>
            <w:proofErr w:type="spellEnd"/>
            <w:r w:rsidRPr="00293D7B">
              <w:rPr>
                <w:rFonts w:ascii="Arial" w:hAnsi="Arial" w:cs="Arial"/>
                <w:b/>
                <w:sz w:val="24"/>
                <w:szCs w:val="24"/>
                <w:vertAlign w:val="superscript"/>
              </w:rPr>
              <w:t>)(ii)</w:t>
            </w:r>
          </w:p>
        </w:tc>
        <w:tc>
          <w:tcPr>
            <w:tcW w:w="1397" w:type="dxa"/>
            <w:vAlign w:val="bottom"/>
            <w:hideMark/>
          </w:tcPr>
          <w:p w14:paraId="3E861B88"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After new Accounting Standards 30/6/19</w:t>
            </w:r>
          </w:p>
        </w:tc>
      </w:tr>
      <w:tr w:rsidR="003E5BF5" w:rsidRPr="00293D7B" w14:paraId="13EB7BC7" w14:textId="77777777" w:rsidTr="006A2D04">
        <w:trPr>
          <w:trHeight w:val="340"/>
        </w:trPr>
        <w:tc>
          <w:tcPr>
            <w:tcW w:w="3840" w:type="dxa"/>
            <w:vAlign w:val="center"/>
            <w:hideMark/>
          </w:tcPr>
          <w:p w14:paraId="24FF2F39" w14:textId="77777777" w:rsidR="003E5BF5" w:rsidRPr="00293D7B" w:rsidRDefault="003E5BF5" w:rsidP="00DE1921">
            <w:pPr>
              <w:pStyle w:val="TableTextLeft"/>
              <w:rPr>
                <w:rFonts w:ascii="Arial" w:hAnsi="Arial" w:cs="Arial"/>
                <w:sz w:val="24"/>
                <w:szCs w:val="24"/>
                <w:lang w:eastAsia="en-AU"/>
              </w:rPr>
            </w:pPr>
            <w:r w:rsidRPr="00293D7B">
              <w:rPr>
                <w:rFonts w:ascii="Arial" w:hAnsi="Arial" w:cs="Arial"/>
                <w:sz w:val="24"/>
                <w:szCs w:val="24"/>
                <w:lang w:eastAsia="en-AU"/>
              </w:rPr>
              <w:t>Income from transactions</w:t>
            </w:r>
          </w:p>
        </w:tc>
        <w:tc>
          <w:tcPr>
            <w:tcW w:w="1041" w:type="dxa"/>
            <w:noWrap/>
            <w:vAlign w:val="center"/>
            <w:hideMark/>
          </w:tcPr>
          <w:p w14:paraId="6CC35B4C" w14:textId="77777777" w:rsidR="003E5BF5" w:rsidRPr="00293D7B" w:rsidRDefault="003E5BF5" w:rsidP="00DE1921">
            <w:pPr>
              <w:pStyle w:val="TableTextRight"/>
              <w:rPr>
                <w:rFonts w:ascii="Arial" w:hAnsi="Arial" w:cs="Arial"/>
                <w:sz w:val="24"/>
                <w:szCs w:val="24"/>
                <w:lang w:eastAsia="en-AU"/>
              </w:rPr>
            </w:pPr>
            <w:r w:rsidRPr="00293D7B">
              <w:rPr>
                <w:rFonts w:ascii="Arial" w:hAnsi="Arial" w:cs="Arial"/>
                <w:sz w:val="24"/>
                <w:szCs w:val="24"/>
                <w:lang w:eastAsia="en-AU"/>
              </w:rPr>
              <w:t>7.5.3</w:t>
            </w:r>
          </w:p>
        </w:tc>
        <w:tc>
          <w:tcPr>
            <w:tcW w:w="1397" w:type="dxa"/>
            <w:noWrap/>
            <w:vAlign w:val="center"/>
            <w:hideMark/>
          </w:tcPr>
          <w:p w14:paraId="1D92584A" w14:textId="77777777" w:rsidR="003E5BF5" w:rsidRPr="00293D7B" w:rsidRDefault="003E5BF5" w:rsidP="00DE1921">
            <w:pPr>
              <w:pStyle w:val="TableTextRight"/>
              <w:rPr>
                <w:rFonts w:ascii="Arial" w:hAnsi="Arial" w:cs="Arial"/>
                <w:sz w:val="24"/>
                <w:szCs w:val="24"/>
                <w:lang w:eastAsia="en-AU"/>
              </w:rPr>
            </w:pPr>
            <w:r w:rsidRPr="00293D7B">
              <w:rPr>
                <w:rFonts w:ascii="Arial" w:hAnsi="Arial" w:cs="Arial"/>
                <w:sz w:val="24"/>
                <w:szCs w:val="24"/>
                <w:lang w:eastAsia="en-AU"/>
              </w:rPr>
              <w:t xml:space="preserve">7,827,100 </w:t>
            </w:r>
          </w:p>
        </w:tc>
        <w:tc>
          <w:tcPr>
            <w:tcW w:w="1397" w:type="dxa"/>
            <w:noWrap/>
            <w:vAlign w:val="center"/>
            <w:hideMark/>
          </w:tcPr>
          <w:p w14:paraId="1251D518" w14:textId="77777777" w:rsidR="003E5BF5" w:rsidRPr="00293D7B" w:rsidRDefault="003E5BF5" w:rsidP="00DE1921">
            <w:pPr>
              <w:pStyle w:val="TableTextRight"/>
              <w:rPr>
                <w:rFonts w:ascii="Arial" w:hAnsi="Arial" w:cs="Arial"/>
                <w:sz w:val="24"/>
                <w:szCs w:val="24"/>
                <w:lang w:eastAsia="en-AU"/>
              </w:rPr>
            </w:pPr>
            <w:r w:rsidRPr="00293D7B">
              <w:rPr>
                <w:rFonts w:ascii="Arial" w:hAnsi="Arial" w:cs="Arial"/>
                <w:sz w:val="24"/>
                <w:szCs w:val="24"/>
                <w:lang w:eastAsia="en-AU"/>
              </w:rPr>
              <w:t xml:space="preserve"> - </w:t>
            </w:r>
          </w:p>
        </w:tc>
        <w:tc>
          <w:tcPr>
            <w:tcW w:w="1397" w:type="dxa"/>
            <w:noWrap/>
            <w:vAlign w:val="center"/>
            <w:hideMark/>
          </w:tcPr>
          <w:p w14:paraId="6868B4C3" w14:textId="77777777" w:rsidR="003E5BF5" w:rsidRPr="00293D7B" w:rsidRDefault="003E5BF5" w:rsidP="00DE1921">
            <w:pPr>
              <w:pStyle w:val="TableTextRight"/>
              <w:rPr>
                <w:rFonts w:ascii="Arial" w:hAnsi="Arial" w:cs="Arial"/>
                <w:sz w:val="24"/>
                <w:szCs w:val="24"/>
                <w:lang w:eastAsia="en-AU"/>
              </w:rPr>
            </w:pPr>
            <w:r w:rsidRPr="00293D7B">
              <w:rPr>
                <w:rFonts w:ascii="Arial" w:hAnsi="Arial" w:cs="Arial"/>
                <w:sz w:val="24"/>
                <w:szCs w:val="24"/>
                <w:lang w:eastAsia="en-AU"/>
              </w:rPr>
              <w:t xml:space="preserve">7,827,100 </w:t>
            </w:r>
          </w:p>
        </w:tc>
      </w:tr>
      <w:tr w:rsidR="003E5BF5" w:rsidRPr="00293D7B" w14:paraId="702809BD" w14:textId="77777777" w:rsidTr="006A2D04">
        <w:trPr>
          <w:trHeight w:val="340"/>
        </w:trPr>
        <w:tc>
          <w:tcPr>
            <w:tcW w:w="3840" w:type="dxa"/>
            <w:vAlign w:val="center"/>
            <w:hideMark/>
          </w:tcPr>
          <w:p w14:paraId="4BF83A17" w14:textId="77777777" w:rsidR="003E5BF5" w:rsidRPr="00293D7B" w:rsidRDefault="003E5BF5" w:rsidP="00DE1921">
            <w:pPr>
              <w:pStyle w:val="TableTextLeft"/>
              <w:rPr>
                <w:rFonts w:ascii="Arial" w:hAnsi="Arial" w:cs="Arial"/>
                <w:sz w:val="24"/>
                <w:szCs w:val="24"/>
                <w:lang w:eastAsia="en-AU"/>
              </w:rPr>
            </w:pPr>
            <w:r w:rsidRPr="00293D7B">
              <w:rPr>
                <w:rFonts w:ascii="Arial" w:hAnsi="Arial" w:cs="Arial"/>
                <w:sz w:val="24"/>
                <w:szCs w:val="24"/>
                <w:lang w:eastAsia="en-AU"/>
              </w:rPr>
              <w:t>Expense from transactions</w:t>
            </w:r>
          </w:p>
        </w:tc>
        <w:tc>
          <w:tcPr>
            <w:tcW w:w="1041" w:type="dxa"/>
            <w:noWrap/>
            <w:vAlign w:val="center"/>
            <w:hideMark/>
          </w:tcPr>
          <w:p w14:paraId="0CD9520F" w14:textId="77777777" w:rsidR="003E5BF5" w:rsidRPr="00293D7B" w:rsidRDefault="003E5BF5" w:rsidP="00DE1921">
            <w:pPr>
              <w:pStyle w:val="TableTextRight"/>
              <w:rPr>
                <w:rFonts w:ascii="Arial" w:hAnsi="Arial" w:cs="Arial"/>
                <w:sz w:val="24"/>
                <w:szCs w:val="24"/>
                <w:lang w:eastAsia="en-AU"/>
              </w:rPr>
            </w:pPr>
            <w:r w:rsidRPr="00293D7B">
              <w:rPr>
                <w:rFonts w:ascii="Arial" w:hAnsi="Arial" w:cs="Arial"/>
                <w:sz w:val="24"/>
                <w:szCs w:val="24"/>
                <w:lang w:eastAsia="en-AU"/>
              </w:rPr>
              <w:t>7.1.2 &amp; 7.5.3</w:t>
            </w:r>
          </w:p>
        </w:tc>
        <w:tc>
          <w:tcPr>
            <w:tcW w:w="1397" w:type="dxa"/>
            <w:noWrap/>
            <w:vAlign w:val="center"/>
            <w:hideMark/>
          </w:tcPr>
          <w:p w14:paraId="082DCACA" w14:textId="77777777" w:rsidR="003E5BF5" w:rsidRPr="00293D7B" w:rsidRDefault="003E5BF5" w:rsidP="00DE1921">
            <w:pPr>
              <w:pStyle w:val="TableTextRight"/>
              <w:rPr>
                <w:rFonts w:ascii="Arial" w:hAnsi="Arial" w:cs="Arial"/>
                <w:sz w:val="24"/>
                <w:szCs w:val="24"/>
                <w:lang w:eastAsia="en-AU"/>
              </w:rPr>
            </w:pPr>
            <w:r w:rsidRPr="00293D7B">
              <w:rPr>
                <w:rFonts w:ascii="Arial" w:hAnsi="Arial" w:cs="Arial"/>
                <w:sz w:val="24"/>
                <w:szCs w:val="24"/>
                <w:lang w:eastAsia="en-AU"/>
              </w:rPr>
              <w:t>(8,075,055)</w:t>
            </w:r>
          </w:p>
        </w:tc>
        <w:tc>
          <w:tcPr>
            <w:tcW w:w="1397" w:type="dxa"/>
            <w:noWrap/>
            <w:vAlign w:val="center"/>
            <w:hideMark/>
          </w:tcPr>
          <w:p w14:paraId="5FC969D8" w14:textId="77777777" w:rsidR="003E5BF5" w:rsidRPr="00293D7B" w:rsidRDefault="003E5BF5" w:rsidP="00DE1921">
            <w:pPr>
              <w:pStyle w:val="TableTextRight"/>
              <w:rPr>
                <w:rFonts w:ascii="Arial" w:hAnsi="Arial" w:cs="Arial"/>
                <w:sz w:val="24"/>
                <w:szCs w:val="24"/>
                <w:lang w:eastAsia="en-AU"/>
              </w:rPr>
            </w:pPr>
            <w:r w:rsidRPr="00293D7B">
              <w:rPr>
                <w:rFonts w:ascii="Arial" w:hAnsi="Arial" w:cs="Arial"/>
                <w:sz w:val="24"/>
                <w:szCs w:val="24"/>
                <w:lang w:eastAsia="en-AU"/>
              </w:rPr>
              <w:t>(127,277)</w:t>
            </w:r>
          </w:p>
        </w:tc>
        <w:tc>
          <w:tcPr>
            <w:tcW w:w="1397" w:type="dxa"/>
            <w:noWrap/>
            <w:vAlign w:val="center"/>
            <w:hideMark/>
          </w:tcPr>
          <w:p w14:paraId="4CEE61BA" w14:textId="77777777" w:rsidR="003E5BF5" w:rsidRPr="00293D7B" w:rsidRDefault="003E5BF5" w:rsidP="00DE1921">
            <w:pPr>
              <w:pStyle w:val="TableTextRight"/>
              <w:rPr>
                <w:rFonts w:ascii="Arial" w:hAnsi="Arial" w:cs="Arial"/>
                <w:sz w:val="24"/>
                <w:szCs w:val="24"/>
                <w:lang w:eastAsia="en-AU"/>
              </w:rPr>
            </w:pPr>
            <w:r w:rsidRPr="00293D7B">
              <w:rPr>
                <w:rFonts w:ascii="Arial" w:hAnsi="Arial" w:cs="Arial"/>
                <w:sz w:val="24"/>
                <w:szCs w:val="24"/>
                <w:lang w:eastAsia="en-AU"/>
              </w:rPr>
              <w:t>(8,202,332)</w:t>
            </w:r>
          </w:p>
        </w:tc>
      </w:tr>
      <w:tr w:rsidR="003E5BF5" w:rsidRPr="00293D7B" w14:paraId="2FF2E422" w14:textId="77777777" w:rsidTr="006A2D04">
        <w:trPr>
          <w:trHeight w:val="340"/>
        </w:trPr>
        <w:tc>
          <w:tcPr>
            <w:tcW w:w="3840" w:type="dxa"/>
            <w:vAlign w:val="center"/>
            <w:hideMark/>
          </w:tcPr>
          <w:p w14:paraId="4B0A8A73" w14:textId="77777777" w:rsidR="003E5BF5" w:rsidRPr="00293D7B" w:rsidRDefault="003E5BF5" w:rsidP="00DE1921">
            <w:pPr>
              <w:pStyle w:val="TableTextLeftBold"/>
              <w:rPr>
                <w:rFonts w:ascii="Arial" w:hAnsi="Arial" w:cs="Arial"/>
                <w:sz w:val="24"/>
                <w:szCs w:val="24"/>
              </w:rPr>
            </w:pPr>
            <w:r w:rsidRPr="00293D7B">
              <w:rPr>
                <w:rFonts w:ascii="Arial" w:hAnsi="Arial" w:cs="Arial"/>
                <w:sz w:val="24"/>
                <w:szCs w:val="24"/>
              </w:rPr>
              <w:t>Net result from transactions (net operating balance)</w:t>
            </w:r>
          </w:p>
        </w:tc>
        <w:tc>
          <w:tcPr>
            <w:tcW w:w="1041" w:type="dxa"/>
            <w:noWrap/>
            <w:hideMark/>
          </w:tcPr>
          <w:p w14:paraId="6E6E421B" w14:textId="77777777" w:rsidR="003E5BF5" w:rsidRPr="00293D7B" w:rsidRDefault="003E5BF5" w:rsidP="00DE1921">
            <w:pPr>
              <w:pStyle w:val="TableTextRight"/>
              <w:rPr>
                <w:rFonts w:ascii="Arial" w:hAnsi="Arial" w:cs="Arial"/>
                <w:sz w:val="24"/>
                <w:szCs w:val="24"/>
              </w:rPr>
            </w:pPr>
          </w:p>
        </w:tc>
        <w:tc>
          <w:tcPr>
            <w:tcW w:w="1397" w:type="dxa"/>
            <w:noWrap/>
            <w:hideMark/>
          </w:tcPr>
          <w:p w14:paraId="16EAE7F8"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(247,955)</w:t>
            </w:r>
          </w:p>
        </w:tc>
        <w:tc>
          <w:tcPr>
            <w:tcW w:w="1397" w:type="dxa"/>
            <w:noWrap/>
            <w:hideMark/>
          </w:tcPr>
          <w:p w14:paraId="4CD1C6C5"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(127,277)</w:t>
            </w:r>
          </w:p>
        </w:tc>
        <w:tc>
          <w:tcPr>
            <w:tcW w:w="1397" w:type="dxa"/>
            <w:noWrap/>
            <w:hideMark/>
          </w:tcPr>
          <w:p w14:paraId="26C35DD1"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(375,232)</w:t>
            </w:r>
          </w:p>
        </w:tc>
      </w:tr>
      <w:tr w:rsidR="003E5BF5" w:rsidRPr="00293D7B" w14:paraId="5F418D18" w14:textId="77777777" w:rsidTr="006A2D04">
        <w:trPr>
          <w:trHeight w:val="340"/>
        </w:trPr>
        <w:tc>
          <w:tcPr>
            <w:tcW w:w="3840" w:type="dxa"/>
            <w:vAlign w:val="center"/>
            <w:hideMark/>
          </w:tcPr>
          <w:p w14:paraId="1426B197" w14:textId="77777777" w:rsidR="003E5BF5" w:rsidRPr="00293D7B" w:rsidRDefault="003E5BF5" w:rsidP="00DE1921">
            <w:pPr>
              <w:pStyle w:val="TableTextLeft"/>
              <w:rPr>
                <w:rFonts w:ascii="Arial" w:hAnsi="Arial" w:cs="Arial"/>
                <w:sz w:val="24"/>
                <w:szCs w:val="24"/>
                <w:lang w:eastAsia="en-AU"/>
              </w:rPr>
            </w:pPr>
            <w:r w:rsidRPr="00293D7B">
              <w:rPr>
                <w:rFonts w:ascii="Arial" w:hAnsi="Arial" w:cs="Arial"/>
                <w:sz w:val="24"/>
                <w:szCs w:val="24"/>
                <w:lang w:eastAsia="en-AU"/>
              </w:rPr>
              <w:t>Total other economic flows included in net result</w:t>
            </w:r>
          </w:p>
        </w:tc>
        <w:tc>
          <w:tcPr>
            <w:tcW w:w="1041" w:type="dxa"/>
            <w:noWrap/>
            <w:hideMark/>
          </w:tcPr>
          <w:p w14:paraId="2B779B0A" w14:textId="77777777" w:rsidR="003E5BF5" w:rsidRPr="00293D7B" w:rsidRDefault="003E5BF5" w:rsidP="00DE1921">
            <w:pPr>
              <w:pStyle w:val="TableTextRight"/>
              <w:rPr>
                <w:rFonts w:ascii="Arial" w:hAnsi="Arial" w:cs="Arial"/>
                <w:sz w:val="24"/>
                <w:szCs w:val="24"/>
                <w:lang w:eastAsia="en-AU"/>
              </w:rPr>
            </w:pPr>
            <w:r w:rsidRPr="00293D7B">
              <w:rPr>
                <w:rFonts w:ascii="Arial" w:hAnsi="Arial" w:cs="Arial"/>
                <w:sz w:val="24"/>
                <w:szCs w:val="24"/>
                <w:lang w:eastAsia="en-AU"/>
              </w:rPr>
              <w:t>7.5.3</w:t>
            </w:r>
          </w:p>
        </w:tc>
        <w:tc>
          <w:tcPr>
            <w:tcW w:w="1397" w:type="dxa"/>
            <w:noWrap/>
            <w:hideMark/>
          </w:tcPr>
          <w:p w14:paraId="2683966A" w14:textId="77777777" w:rsidR="003E5BF5" w:rsidRPr="00293D7B" w:rsidRDefault="003E5BF5" w:rsidP="00DE1921">
            <w:pPr>
              <w:pStyle w:val="TableTextRight"/>
              <w:rPr>
                <w:rFonts w:ascii="Arial" w:hAnsi="Arial" w:cs="Arial"/>
                <w:sz w:val="24"/>
                <w:szCs w:val="24"/>
                <w:lang w:eastAsia="en-AU"/>
              </w:rPr>
            </w:pPr>
            <w:r w:rsidRPr="00293D7B">
              <w:rPr>
                <w:rFonts w:ascii="Arial" w:hAnsi="Arial" w:cs="Arial"/>
                <w:sz w:val="24"/>
                <w:szCs w:val="24"/>
                <w:lang w:eastAsia="en-AU"/>
              </w:rPr>
              <w:t>(6,570)</w:t>
            </w:r>
          </w:p>
        </w:tc>
        <w:tc>
          <w:tcPr>
            <w:tcW w:w="1397" w:type="dxa"/>
            <w:noWrap/>
            <w:hideMark/>
          </w:tcPr>
          <w:p w14:paraId="212E3ACC" w14:textId="77777777" w:rsidR="003E5BF5" w:rsidRPr="00293D7B" w:rsidRDefault="003E5BF5" w:rsidP="00DE1921">
            <w:pPr>
              <w:pStyle w:val="TableTextRight"/>
              <w:rPr>
                <w:rFonts w:ascii="Arial" w:hAnsi="Arial" w:cs="Arial"/>
                <w:sz w:val="24"/>
                <w:szCs w:val="24"/>
                <w:lang w:eastAsia="en-AU"/>
              </w:rPr>
            </w:pPr>
            <w:r w:rsidRPr="00293D7B">
              <w:rPr>
                <w:rFonts w:ascii="Arial" w:hAnsi="Arial" w:cs="Arial"/>
                <w:sz w:val="24"/>
                <w:szCs w:val="24"/>
                <w:lang w:eastAsia="en-AU"/>
              </w:rPr>
              <w:t xml:space="preserve"> - </w:t>
            </w:r>
          </w:p>
        </w:tc>
        <w:tc>
          <w:tcPr>
            <w:tcW w:w="1397" w:type="dxa"/>
            <w:noWrap/>
            <w:hideMark/>
          </w:tcPr>
          <w:p w14:paraId="0592793B" w14:textId="77777777" w:rsidR="003E5BF5" w:rsidRPr="00293D7B" w:rsidRDefault="003E5BF5" w:rsidP="00DE1921">
            <w:pPr>
              <w:pStyle w:val="TableTextRight"/>
              <w:rPr>
                <w:rFonts w:ascii="Arial" w:hAnsi="Arial" w:cs="Arial"/>
                <w:sz w:val="24"/>
                <w:szCs w:val="24"/>
                <w:lang w:eastAsia="en-AU"/>
              </w:rPr>
            </w:pPr>
            <w:r w:rsidRPr="00293D7B">
              <w:rPr>
                <w:rFonts w:ascii="Arial" w:hAnsi="Arial" w:cs="Arial"/>
                <w:sz w:val="24"/>
                <w:szCs w:val="24"/>
                <w:lang w:eastAsia="en-AU"/>
              </w:rPr>
              <w:t>(6,570)</w:t>
            </w:r>
          </w:p>
        </w:tc>
      </w:tr>
      <w:tr w:rsidR="003E5BF5" w:rsidRPr="00293D7B" w14:paraId="72C34162" w14:textId="77777777" w:rsidTr="006A2D04">
        <w:trPr>
          <w:trHeight w:val="340"/>
        </w:trPr>
        <w:tc>
          <w:tcPr>
            <w:tcW w:w="3840" w:type="dxa"/>
            <w:tcBorders>
              <w:bottom w:val="nil"/>
            </w:tcBorders>
            <w:vAlign w:val="center"/>
            <w:hideMark/>
          </w:tcPr>
          <w:p w14:paraId="70CEC88D" w14:textId="77777777" w:rsidR="003E5BF5" w:rsidRPr="00293D7B" w:rsidRDefault="003E5BF5" w:rsidP="00DE1921">
            <w:pPr>
              <w:pStyle w:val="TableTextLeft"/>
              <w:rPr>
                <w:rFonts w:ascii="Arial" w:hAnsi="Arial" w:cs="Arial"/>
                <w:b/>
                <w:sz w:val="24"/>
                <w:szCs w:val="24"/>
              </w:rPr>
            </w:pPr>
            <w:r w:rsidRPr="00293D7B">
              <w:rPr>
                <w:rFonts w:ascii="Arial" w:hAnsi="Arial" w:cs="Arial"/>
                <w:b/>
                <w:sz w:val="24"/>
                <w:szCs w:val="24"/>
              </w:rPr>
              <w:t>Net result</w:t>
            </w:r>
          </w:p>
        </w:tc>
        <w:tc>
          <w:tcPr>
            <w:tcW w:w="1041" w:type="dxa"/>
            <w:tcBorders>
              <w:bottom w:val="nil"/>
            </w:tcBorders>
            <w:noWrap/>
            <w:hideMark/>
          </w:tcPr>
          <w:p w14:paraId="47F0CC92" w14:textId="77777777" w:rsidR="003E5BF5" w:rsidRPr="00293D7B" w:rsidRDefault="003E5BF5" w:rsidP="00DE1921">
            <w:pPr>
              <w:pStyle w:val="TableTextRight"/>
              <w:rPr>
                <w:rFonts w:ascii="Arial" w:hAnsi="Arial" w:cs="Arial"/>
                <w:b/>
                <w:sz w:val="24"/>
                <w:szCs w:val="24"/>
              </w:rPr>
            </w:pPr>
          </w:p>
        </w:tc>
        <w:tc>
          <w:tcPr>
            <w:tcW w:w="1397" w:type="dxa"/>
            <w:tcBorders>
              <w:bottom w:val="nil"/>
            </w:tcBorders>
            <w:noWrap/>
            <w:hideMark/>
          </w:tcPr>
          <w:p w14:paraId="7BE4E6E9"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(254,525)</w:t>
            </w:r>
          </w:p>
        </w:tc>
        <w:tc>
          <w:tcPr>
            <w:tcW w:w="1397" w:type="dxa"/>
            <w:tcBorders>
              <w:bottom w:val="nil"/>
            </w:tcBorders>
            <w:noWrap/>
            <w:hideMark/>
          </w:tcPr>
          <w:p w14:paraId="177B6BBD"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(127,277)</w:t>
            </w:r>
          </w:p>
        </w:tc>
        <w:tc>
          <w:tcPr>
            <w:tcW w:w="1397" w:type="dxa"/>
            <w:tcBorders>
              <w:bottom w:val="nil"/>
            </w:tcBorders>
            <w:noWrap/>
            <w:hideMark/>
          </w:tcPr>
          <w:p w14:paraId="74E0E522" w14:textId="77777777" w:rsidR="003E5BF5" w:rsidRPr="00293D7B" w:rsidRDefault="003E5BF5" w:rsidP="00DE1921">
            <w:pPr>
              <w:pStyle w:val="TableTextRight"/>
              <w:rPr>
                <w:rFonts w:ascii="Arial" w:hAnsi="Arial" w:cs="Arial"/>
                <w:b/>
                <w:sz w:val="24"/>
                <w:szCs w:val="24"/>
              </w:rPr>
            </w:pPr>
            <w:r w:rsidRPr="00293D7B">
              <w:rPr>
                <w:rFonts w:ascii="Arial" w:hAnsi="Arial" w:cs="Arial"/>
                <w:b/>
                <w:sz w:val="24"/>
                <w:szCs w:val="24"/>
              </w:rPr>
              <w:t>(381,802)</w:t>
            </w:r>
          </w:p>
        </w:tc>
      </w:tr>
    </w:tbl>
    <w:p w14:paraId="5C65605E" w14:textId="77777777" w:rsidR="006A2D04" w:rsidRPr="00293D7B" w:rsidRDefault="006A2D04" w:rsidP="006A2D04">
      <w:pPr>
        <w:pStyle w:val="Note"/>
        <w:rPr>
          <w:rFonts w:ascii="Arial" w:hAnsi="Arial" w:cs="Arial"/>
          <w:sz w:val="24"/>
          <w:szCs w:val="24"/>
        </w:rPr>
      </w:pPr>
      <w:r w:rsidRPr="00293D7B">
        <w:rPr>
          <w:rFonts w:ascii="Arial" w:hAnsi="Arial" w:cs="Arial"/>
          <w:sz w:val="24"/>
          <w:szCs w:val="24"/>
        </w:rPr>
        <w:t>Notes:</w:t>
      </w:r>
    </w:p>
    <w:p w14:paraId="382EE964" w14:textId="77777777" w:rsidR="006A2D04" w:rsidRPr="00293D7B" w:rsidRDefault="006A2D04" w:rsidP="00610F5F">
      <w:pPr>
        <w:pStyle w:val="aaaNotenumberiiiiii"/>
        <w:numPr>
          <w:ilvl w:val="0"/>
          <w:numId w:val="129"/>
        </w:numPr>
      </w:pPr>
      <w:r w:rsidRPr="00293D7B">
        <w:t xml:space="preserve">Where only line items have been reclassified with no adjustment to figures previously recognised, there is no impact on net result. </w:t>
      </w:r>
    </w:p>
    <w:p w14:paraId="7ABC6E34" w14:textId="77777777" w:rsidR="006A2D04" w:rsidRPr="00293D7B" w:rsidRDefault="006A2D04" w:rsidP="006A2D04">
      <w:pPr>
        <w:pStyle w:val="aaaNotenumberiiiiii"/>
      </w:pPr>
      <w:r w:rsidRPr="00293D7B">
        <w:t>VicRoads and PTV adopted AASB 1059 for the first time retrospectively based on its 2018-19 Financial Statements and then transferred balances as contributed capital to the department on 1 July 2019. There are no comparatives relating to VicRoads and PTV within the department’s current year Financial Statements.</w:t>
      </w:r>
    </w:p>
    <w:p w14:paraId="4FB2D79B" w14:textId="44504BF1" w:rsidR="003E5BF5" w:rsidRDefault="003E5BF5">
      <w:r>
        <w:br w:type="page"/>
      </w:r>
    </w:p>
    <w:p w14:paraId="1B062376" w14:textId="77777777" w:rsidR="003E5BF5" w:rsidRPr="0040404D" w:rsidRDefault="003E5BF5" w:rsidP="00610F5F">
      <w:pPr>
        <w:pStyle w:val="Heading3"/>
        <w:numPr>
          <w:ilvl w:val="3"/>
          <w:numId w:val="22"/>
        </w:numPr>
        <w:ind w:left="1021" w:hanging="1021"/>
      </w:pPr>
      <w:bookmarkStart w:id="665" w:name="RANGE!A4:F17"/>
      <w:bookmarkStart w:id="666" w:name="RANGE!A4:E17"/>
      <w:bookmarkEnd w:id="665"/>
      <w:bookmarkEnd w:id="666"/>
      <w:r w:rsidRPr="00081911">
        <w:lastRenderedPageBreak/>
        <w:t>Trans</w:t>
      </w:r>
      <w:r w:rsidRPr="0040404D">
        <w:t>ition impact on the Balance Sheet of AASB 1059</w:t>
      </w:r>
    </w:p>
    <w:p w14:paraId="558B2AA6" w14:textId="77777777" w:rsidR="003E5BF5" w:rsidRPr="00016AC8" w:rsidRDefault="003E5BF5" w:rsidP="00D74D26">
      <w:pPr>
        <w:pStyle w:val="aaatyping"/>
      </w:pPr>
      <w:r w:rsidRPr="00206071">
        <w:t xml:space="preserve">Impact on the Balance </w:t>
      </w:r>
      <w:r>
        <w:t>s</w:t>
      </w:r>
      <w:r w:rsidRPr="00206071">
        <w:t>heet due to the adoption of AASB 1059 in the 2018-19 year is illustrated below with the following reconciliation between the at 30 June 2019 carrying amounts and the balances reported under the new accounting standard:</w:t>
      </w:r>
    </w:p>
    <w:tbl>
      <w:tblPr>
        <w:tblStyle w:val="TableGrid"/>
        <w:tblW w:w="0" w:type="auto"/>
        <w:tblCellMar>
          <w:left w:w="28" w:type="dxa"/>
          <w:right w:w="28" w:type="dxa"/>
        </w:tblCellMar>
        <w:tblLook w:val="04A0" w:firstRow="1" w:lastRow="0" w:firstColumn="1" w:lastColumn="0" w:noHBand="0" w:noVBand="1"/>
      </w:tblPr>
      <w:tblGrid>
        <w:gridCol w:w="2977"/>
        <w:gridCol w:w="992"/>
        <w:gridCol w:w="1697"/>
        <w:gridCol w:w="1697"/>
        <w:gridCol w:w="1697"/>
      </w:tblGrid>
      <w:tr w:rsidR="003E5BF5" w:rsidRPr="007F3685" w14:paraId="0038BDC9" w14:textId="77777777" w:rsidTr="003B4A87">
        <w:trPr>
          <w:trHeight w:val="312"/>
        </w:trPr>
        <w:tc>
          <w:tcPr>
            <w:tcW w:w="2977" w:type="dxa"/>
            <w:noWrap/>
            <w:vAlign w:val="center"/>
            <w:hideMark/>
          </w:tcPr>
          <w:p w14:paraId="56F018C4" w14:textId="77777777" w:rsidR="003E5BF5" w:rsidRPr="007F3685" w:rsidRDefault="003E5BF5" w:rsidP="00DE1921">
            <w:pPr>
              <w:pStyle w:val="TableTextLeft"/>
              <w:jc w:val="center"/>
              <w:rPr>
                <w:rFonts w:ascii="Arial" w:hAnsi="Arial" w:cs="Arial"/>
                <w:sz w:val="24"/>
                <w:szCs w:val="24"/>
                <w:lang w:eastAsia="en-AU"/>
              </w:rPr>
            </w:pPr>
          </w:p>
        </w:tc>
        <w:tc>
          <w:tcPr>
            <w:tcW w:w="992" w:type="dxa"/>
            <w:noWrap/>
            <w:vAlign w:val="center"/>
            <w:hideMark/>
          </w:tcPr>
          <w:p w14:paraId="53F2F7B6" w14:textId="77777777" w:rsidR="003E5BF5" w:rsidRPr="007F3685" w:rsidRDefault="003E5BF5" w:rsidP="00DE1921">
            <w:pPr>
              <w:pStyle w:val="TableTextRight"/>
              <w:jc w:val="center"/>
              <w:rPr>
                <w:rFonts w:ascii="Arial" w:hAnsi="Arial" w:cs="Arial"/>
                <w:sz w:val="24"/>
                <w:szCs w:val="24"/>
                <w:lang w:eastAsia="en-AU"/>
              </w:rPr>
            </w:pPr>
          </w:p>
        </w:tc>
        <w:tc>
          <w:tcPr>
            <w:tcW w:w="5091" w:type="dxa"/>
            <w:gridSpan w:val="3"/>
            <w:noWrap/>
            <w:vAlign w:val="center"/>
            <w:hideMark/>
          </w:tcPr>
          <w:p w14:paraId="2B15D929" w14:textId="77777777" w:rsidR="003E5BF5" w:rsidRPr="007F3685" w:rsidRDefault="003E5BF5" w:rsidP="00DE1921">
            <w:pPr>
              <w:pStyle w:val="TableTextRight"/>
              <w:jc w:val="center"/>
              <w:rPr>
                <w:rFonts w:ascii="Arial" w:hAnsi="Arial" w:cs="Arial"/>
                <w:b/>
                <w:sz w:val="24"/>
                <w:szCs w:val="24"/>
                <w:lang w:eastAsia="en-AU"/>
              </w:rPr>
            </w:pPr>
            <w:r w:rsidRPr="007F3685">
              <w:rPr>
                <w:rFonts w:ascii="Arial" w:hAnsi="Arial" w:cs="Arial"/>
                <w:b/>
                <w:sz w:val="24"/>
                <w:szCs w:val="24"/>
                <w:lang w:eastAsia="en-AU"/>
              </w:rPr>
              <w:t>($ thousand)</w:t>
            </w:r>
          </w:p>
        </w:tc>
      </w:tr>
      <w:tr w:rsidR="003E5BF5" w:rsidRPr="007F3685" w14:paraId="4890AF48" w14:textId="77777777" w:rsidTr="003B4A87">
        <w:trPr>
          <w:trHeight w:val="312"/>
        </w:trPr>
        <w:tc>
          <w:tcPr>
            <w:tcW w:w="2977" w:type="dxa"/>
            <w:noWrap/>
            <w:vAlign w:val="bottom"/>
            <w:hideMark/>
          </w:tcPr>
          <w:p w14:paraId="1BD56ADD" w14:textId="77777777" w:rsidR="003E5BF5" w:rsidRPr="007F3685" w:rsidRDefault="003E5BF5" w:rsidP="00DE1921">
            <w:pPr>
              <w:pStyle w:val="TableTextLeft"/>
              <w:rPr>
                <w:rFonts w:ascii="Arial" w:hAnsi="Arial" w:cs="Arial"/>
                <w:b/>
                <w:sz w:val="24"/>
                <w:szCs w:val="24"/>
                <w:lang w:eastAsia="en-AU"/>
              </w:rPr>
            </w:pPr>
            <w:r w:rsidRPr="007F3685">
              <w:rPr>
                <w:rFonts w:ascii="Arial" w:hAnsi="Arial" w:cs="Arial"/>
                <w:b/>
                <w:sz w:val="24"/>
                <w:szCs w:val="24"/>
                <w:lang w:eastAsia="en-AU"/>
              </w:rPr>
              <w:t>Balance Sheet</w:t>
            </w:r>
          </w:p>
        </w:tc>
        <w:tc>
          <w:tcPr>
            <w:tcW w:w="992" w:type="dxa"/>
            <w:noWrap/>
            <w:vAlign w:val="bottom"/>
            <w:hideMark/>
          </w:tcPr>
          <w:p w14:paraId="65716585"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Notes</w:t>
            </w:r>
          </w:p>
        </w:tc>
        <w:tc>
          <w:tcPr>
            <w:tcW w:w="1697" w:type="dxa"/>
            <w:vAlign w:val="bottom"/>
            <w:hideMark/>
          </w:tcPr>
          <w:p w14:paraId="4A50813F"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Before new accounting standards 30/6/19</w:t>
            </w:r>
          </w:p>
        </w:tc>
        <w:tc>
          <w:tcPr>
            <w:tcW w:w="1697" w:type="dxa"/>
            <w:vAlign w:val="bottom"/>
            <w:hideMark/>
          </w:tcPr>
          <w:p w14:paraId="0D7B373D"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Net impact of AASB 1059 </w:t>
            </w:r>
            <w:r w:rsidRPr="007F3685">
              <w:rPr>
                <w:rFonts w:ascii="Arial" w:hAnsi="Arial" w:cs="Arial"/>
                <w:b/>
                <w:sz w:val="24"/>
                <w:szCs w:val="24"/>
                <w:vertAlign w:val="superscript"/>
              </w:rPr>
              <w:t>(</w:t>
            </w:r>
            <w:proofErr w:type="spellStart"/>
            <w:r w:rsidRPr="007F3685">
              <w:rPr>
                <w:rFonts w:ascii="Arial" w:hAnsi="Arial" w:cs="Arial"/>
                <w:b/>
                <w:sz w:val="24"/>
                <w:szCs w:val="24"/>
                <w:vertAlign w:val="superscript"/>
              </w:rPr>
              <w:t>i</w:t>
            </w:r>
            <w:proofErr w:type="spellEnd"/>
            <w:r w:rsidRPr="007F3685">
              <w:rPr>
                <w:rFonts w:ascii="Arial" w:hAnsi="Arial" w:cs="Arial"/>
                <w:b/>
                <w:sz w:val="24"/>
                <w:szCs w:val="24"/>
                <w:vertAlign w:val="superscript"/>
              </w:rPr>
              <w:t>)(ii)</w:t>
            </w:r>
          </w:p>
        </w:tc>
        <w:tc>
          <w:tcPr>
            <w:tcW w:w="1697" w:type="dxa"/>
            <w:vAlign w:val="bottom"/>
            <w:hideMark/>
          </w:tcPr>
          <w:p w14:paraId="4B02E179"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After new Accounting Standards 30/6/19</w:t>
            </w:r>
          </w:p>
        </w:tc>
      </w:tr>
      <w:tr w:rsidR="003E5BF5" w:rsidRPr="007F3685" w14:paraId="61642108" w14:textId="77777777" w:rsidTr="003B4A87">
        <w:trPr>
          <w:trHeight w:val="312"/>
        </w:trPr>
        <w:tc>
          <w:tcPr>
            <w:tcW w:w="2977" w:type="dxa"/>
            <w:noWrap/>
            <w:vAlign w:val="center"/>
            <w:hideMark/>
          </w:tcPr>
          <w:p w14:paraId="71A12C34"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Total financial assets</w:t>
            </w:r>
          </w:p>
        </w:tc>
        <w:tc>
          <w:tcPr>
            <w:tcW w:w="992" w:type="dxa"/>
            <w:noWrap/>
            <w:vAlign w:val="center"/>
            <w:hideMark/>
          </w:tcPr>
          <w:p w14:paraId="4F29B8EE"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7.5.3</w:t>
            </w:r>
          </w:p>
        </w:tc>
        <w:tc>
          <w:tcPr>
            <w:tcW w:w="1697" w:type="dxa"/>
            <w:noWrap/>
            <w:vAlign w:val="center"/>
            <w:hideMark/>
          </w:tcPr>
          <w:p w14:paraId="0EA86DFD"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1,243,505 </w:t>
            </w:r>
          </w:p>
        </w:tc>
        <w:tc>
          <w:tcPr>
            <w:tcW w:w="1697" w:type="dxa"/>
            <w:noWrap/>
            <w:vAlign w:val="center"/>
            <w:hideMark/>
          </w:tcPr>
          <w:p w14:paraId="6E90291F"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 - </w:t>
            </w:r>
          </w:p>
        </w:tc>
        <w:tc>
          <w:tcPr>
            <w:tcW w:w="1697" w:type="dxa"/>
            <w:noWrap/>
            <w:vAlign w:val="center"/>
            <w:hideMark/>
          </w:tcPr>
          <w:p w14:paraId="2B867C87"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1,243,505 </w:t>
            </w:r>
          </w:p>
        </w:tc>
      </w:tr>
      <w:tr w:rsidR="003E5BF5" w:rsidRPr="007F3685" w14:paraId="2CE55EA0" w14:textId="77777777" w:rsidTr="003B4A87">
        <w:trPr>
          <w:trHeight w:val="312"/>
        </w:trPr>
        <w:tc>
          <w:tcPr>
            <w:tcW w:w="2977" w:type="dxa"/>
            <w:noWrap/>
            <w:vAlign w:val="center"/>
            <w:hideMark/>
          </w:tcPr>
          <w:p w14:paraId="59540F83"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Total non-financial assets</w:t>
            </w:r>
          </w:p>
        </w:tc>
        <w:tc>
          <w:tcPr>
            <w:tcW w:w="992" w:type="dxa"/>
            <w:noWrap/>
            <w:vAlign w:val="center"/>
            <w:hideMark/>
          </w:tcPr>
          <w:p w14:paraId="08E40C1B"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7.5.3</w:t>
            </w:r>
          </w:p>
        </w:tc>
        <w:tc>
          <w:tcPr>
            <w:tcW w:w="1697" w:type="dxa"/>
            <w:noWrap/>
            <w:vAlign w:val="center"/>
            <w:hideMark/>
          </w:tcPr>
          <w:p w14:paraId="2FB1106C"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4,356,331 </w:t>
            </w:r>
          </w:p>
        </w:tc>
        <w:tc>
          <w:tcPr>
            <w:tcW w:w="1697" w:type="dxa"/>
            <w:noWrap/>
            <w:vAlign w:val="center"/>
            <w:hideMark/>
          </w:tcPr>
          <w:p w14:paraId="36CFC3F2"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4,481,683 </w:t>
            </w:r>
          </w:p>
        </w:tc>
        <w:tc>
          <w:tcPr>
            <w:tcW w:w="1697" w:type="dxa"/>
            <w:noWrap/>
            <w:vAlign w:val="center"/>
            <w:hideMark/>
          </w:tcPr>
          <w:p w14:paraId="5B9CE40B"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8,838,014 </w:t>
            </w:r>
          </w:p>
        </w:tc>
      </w:tr>
      <w:tr w:rsidR="003E5BF5" w:rsidRPr="007F3685" w14:paraId="377C7E97" w14:textId="77777777" w:rsidTr="003B4A87">
        <w:trPr>
          <w:trHeight w:val="312"/>
        </w:trPr>
        <w:tc>
          <w:tcPr>
            <w:tcW w:w="2977" w:type="dxa"/>
            <w:noWrap/>
            <w:vAlign w:val="center"/>
            <w:hideMark/>
          </w:tcPr>
          <w:p w14:paraId="766BF7CA" w14:textId="77777777" w:rsidR="003E5BF5" w:rsidRPr="007F3685" w:rsidRDefault="003E5BF5" w:rsidP="00DE1921">
            <w:pPr>
              <w:pStyle w:val="TableTextLeft"/>
              <w:rPr>
                <w:rFonts w:ascii="Arial" w:hAnsi="Arial" w:cs="Arial"/>
                <w:b/>
                <w:sz w:val="24"/>
                <w:szCs w:val="24"/>
                <w:lang w:eastAsia="en-AU"/>
              </w:rPr>
            </w:pPr>
            <w:r w:rsidRPr="007F3685">
              <w:rPr>
                <w:rFonts w:ascii="Arial" w:hAnsi="Arial" w:cs="Arial"/>
                <w:b/>
                <w:sz w:val="24"/>
                <w:szCs w:val="24"/>
                <w:lang w:eastAsia="en-AU"/>
              </w:rPr>
              <w:t>Total assets</w:t>
            </w:r>
          </w:p>
        </w:tc>
        <w:tc>
          <w:tcPr>
            <w:tcW w:w="992" w:type="dxa"/>
            <w:noWrap/>
            <w:vAlign w:val="center"/>
            <w:hideMark/>
          </w:tcPr>
          <w:p w14:paraId="270DEE28" w14:textId="77777777" w:rsidR="003E5BF5" w:rsidRPr="007F3685" w:rsidRDefault="003E5BF5" w:rsidP="00DE1921">
            <w:pPr>
              <w:pStyle w:val="TableTextRight"/>
              <w:rPr>
                <w:rFonts w:ascii="Arial" w:hAnsi="Arial" w:cs="Arial"/>
                <w:b/>
                <w:sz w:val="24"/>
                <w:szCs w:val="24"/>
                <w:lang w:eastAsia="en-AU"/>
              </w:rPr>
            </w:pPr>
          </w:p>
        </w:tc>
        <w:tc>
          <w:tcPr>
            <w:tcW w:w="1697" w:type="dxa"/>
            <w:noWrap/>
            <w:vAlign w:val="center"/>
            <w:hideMark/>
          </w:tcPr>
          <w:p w14:paraId="5C762C0D"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5,599,836 </w:t>
            </w:r>
          </w:p>
        </w:tc>
        <w:tc>
          <w:tcPr>
            <w:tcW w:w="1697" w:type="dxa"/>
            <w:noWrap/>
            <w:vAlign w:val="center"/>
            <w:hideMark/>
          </w:tcPr>
          <w:p w14:paraId="3C84DF6A"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4,481,683 </w:t>
            </w:r>
          </w:p>
        </w:tc>
        <w:tc>
          <w:tcPr>
            <w:tcW w:w="1697" w:type="dxa"/>
            <w:noWrap/>
            <w:vAlign w:val="center"/>
            <w:hideMark/>
          </w:tcPr>
          <w:p w14:paraId="507BC68A"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10,081,519 </w:t>
            </w:r>
          </w:p>
        </w:tc>
      </w:tr>
      <w:tr w:rsidR="003E5BF5" w:rsidRPr="007F3685" w14:paraId="37842F53" w14:textId="77777777" w:rsidTr="003B4A87">
        <w:trPr>
          <w:trHeight w:val="312"/>
        </w:trPr>
        <w:tc>
          <w:tcPr>
            <w:tcW w:w="2977" w:type="dxa"/>
            <w:vAlign w:val="center"/>
            <w:hideMark/>
          </w:tcPr>
          <w:p w14:paraId="3E113442"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Payables</w:t>
            </w:r>
          </w:p>
        </w:tc>
        <w:tc>
          <w:tcPr>
            <w:tcW w:w="992" w:type="dxa"/>
            <w:vAlign w:val="center"/>
            <w:hideMark/>
          </w:tcPr>
          <w:p w14:paraId="350E93CE"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6.2 &amp; 7.5.3</w:t>
            </w:r>
          </w:p>
        </w:tc>
        <w:tc>
          <w:tcPr>
            <w:tcW w:w="1697" w:type="dxa"/>
            <w:noWrap/>
            <w:vAlign w:val="center"/>
            <w:hideMark/>
          </w:tcPr>
          <w:p w14:paraId="0B4918C9"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1,505,728 </w:t>
            </w:r>
          </w:p>
        </w:tc>
        <w:tc>
          <w:tcPr>
            <w:tcW w:w="1697" w:type="dxa"/>
            <w:noWrap/>
            <w:vAlign w:val="center"/>
            <w:hideMark/>
          </w:tcPr>
          <w:p w14:paraId="0E488D6C"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1,561,467 </w:t>
            </w:r>
          </w:p>
        </w:tc>
        <w:tc>
          <w:tcPr>
            <w:tcW w:w="1697" w:type="dxa"/>
            <w:noWrap/>
            <w:vAlign w:val="center"/>
            <w:hideMark/>
          </w:tcPr>
          <w:p w14:paraId="106616C5"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3,067,195 </w:t>
            </w:r>
          </w:p>
        </w:tc>
      </w:tr>
      <w:tr w:rsidR="003E5BF5" w:rsidRPr="007F3685" w14:paraId="4A19724D" w14:textId="77777777" w:rsidTr="003B4A87">
        <w:trPr>
          <w:trHeight w:val="312"/>
        </w:trPr>
        <w:tc>
          <w:tcPr>
            <w:tcW w:w="2977" w:type="dxa"/>
            <w:vAlign w:val="center"/>
            <w:hideMark/>
          </w:tcPr>
          <w:p w14:paraId="65185FFD"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Borrowings</w:t>
            </w:r>
          </w:p>
        </w:tc>
        <w:tc>
          <w:tcPr>
            <w:tcW w:w="992" w:type="dxa"/>
            <w:vAlign w:val="center"/>
            <w:hideMark/>
          </w:tcPr>
          <w:p w14:paraId="732748C5"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7.1 &amp; 7.5.3</w:t>
            </w:r>
          </w:p>
        </w:tc>
        <w:tc>
          <w:tcPr>
            <w:tcW w:w="1697" w:type="dxa"/>
            <w:noWrap/>
            <w:vAlign w:val="center"/>
            <w:hideMark/>
          </w:tcPr>
          <w:p w14:paraId="451FA1EE"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395,601 </w:t>
            </w:r>
          </w:p>
        </w:tc>
        <w:tc>
          <w:tcPr>
            <w:tcW w:w="1697" w:type="dxa"/>
            <w:noWrap/>
            <w:vAlign w:val="center"/>
            <w:hideMark/>
          </w:tcPr>
          <w:p w14:paraId="699404BF"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2,929,811 </w:t>
            </w:r>
          </w:p>
        </w:tc>
        <w:tc>
          <w:tcPr>
            <w:tcW w:w="1697" w:type="dxa"/>
            <w:noWrap/>
            <w:vAlign w:val="center"/>
            <w:hideMark/>
          </w:tcPr>
          <w:p w14:paraId="6E86F2B1"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3,325,412 </w:t>
            </w:r>
          </w:p>
        </w:tc>
      </w:tr>
      <w:tr w:rsidR="003E5BF5" w:rsidRPr="007F3685" w14:paraId="25151B75" w14:textId="77777777" w:rsidTr="003B4A87">
        <w:trPr>
          <w:trHeight w:val="312"/>
        </w:trPr>
        <w:tc>
          <w:tcPr>
            <w:tcW w:w="2977" w:type="dxa"/>
            <w:vAlign w:val="center"/>
            <w:hideMark/>
          </w:tcPr>
          <w:p w14:paraId="4D42D381"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Other liabilities</w:t>
            </w:r>
          </w:p>
        </w:tc>
        <w:tc>
          <w:tcPr>
            <w:tcW w:w="992" w:type="dxa"/>
            <w:vAlign w:val="center"/>
            <w:hideMark/>
          </w:tcPr>
          <w:p w14:paraId="17B8EC69"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7.5.3</w:t>
            </w:r>
          </w:p>
        </w:tc>
        <w:tc>
          <w:tcPr>
            <w:tcW w:w="1697" w:type="dxa"/>
            <w:noWrap/>
            <w:vAlign w:val="center"/>
            <w:hideMark/>
          </w:tcPr>
          <w:p w14:paraId="2C5224E1"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77,725 </w:t>
            </w:r>
          </w:p>
        </w:tc>
        <w:tc>
          <w:tcPr>
            <w:tcW w:w="1697" w:type="dxa"/>
            <w:noWrap/>
            <w:vAlign w:val="center"/>
            <w:hideMark/>
          </w:tcPr>
          <w:p w14:paraId="665D9012"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 - </w:t>
            </w:r>
          </w:p>
        </w:tc>
        <w:tc>
          <w:tcPr>
            <w:tcW w:w="1697" w:type="dxa"/>
            <w:noWrap/>
            <w:vAlign w:val="center"/>
            <w:hideMark/>
          </w:tcPr>
          <w:p w14:paraId="2E6CF58E"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77,725 </w:t>
            </w:r>
          </w:p>
        </w:tc>
      </w:tr>
      <w:tr w:rsidR="003E5BF5" w:rsidRPr="007F3685" w14:paraId="7EF32686" w14:textId="77777777" w:rsidTr="003B4A87">
        <w:trPr>
          <w:trHeight w:val="312"/>
        </w:trPr>
        <w:tc>
          <w:tcPr>
            <w:tcW w:w="2977" w:type="dxa"/>
            <w:noWrap/>
            <w:vAlign w:val="center"/>
            <w:hideMark/>
          </w:tcPr>
          <w:p w14:paraId="35CB2D4C" w14:textId="77777777" w:rsidR="003E5BF5" w:rsidRPr="007F3685" w:rsidRDefault="003E5BF5" w:rsidP="00DE1921">
            <w:pPr>
              <w:pStyle w:val="TableTextLeft"/>
              <w:rPr>
                <w:rFonts w:ascii="Arial" w:hAnsi="Arial" w:cs="Arial"/>
                <w:b/>
                <w:sz w:val="24"/>
                <w:szCs w:val="24"/>
                <w:lang w:eastAsia="en-AU"/>
              </w:rPr>
            </w:pPr>
            <w:r w:rsidRPr="007F3685">
              <w:rPr>
                <w:rFonts w:ascii="Arial" w:hAnsi="Arial" w:cs="Arial"/>
                <w:b/>
                <w:sz w:val="24"/>
                <w:szCs w:val="24"/>
                <w:lang w:eastAsia="en-AU"/>
              </w:rPr>
              <w:t>Total liabilities</w:t>
            </w:r>
          </w:p>
        </w:tc>
        <w:tc>
          <w:tcPr>
            <w:tcW w:w="992" w:type="dxa"/>
            <w:noWrap/>
            <w:vAlign w:val="center"/>
            <w:hideMark/>
          </w:tcPr>
          <w:p w14:paraId="4E9595A0" w14:textId="77777777" w:rsidR="003E5BF5" w:rsidRPr="007F3685" w:rsidRDefault="003E5BF5" w:rsidP="00DE1921">
            <w:pPr>
              <w:pStyle w:val="TableTextRight"/>
              <w:rPr>
                <w:rFonts w:ascii="Arial" w:hAnsi="Arial" w:cs="Arial"/>
                <w:b/>
                <w:sz w:val="24"/>
                <w:szCs w:val="24"/>
                <w:lang w:eastAsia="en-AU"/>
              </w:rPr>
            </w:pPr>
          </w:p>
        </w:tc>
        <w:tc>
          <w:tcPr>
            <w:tcW w:w="1697" w:type="dxa"/>
            <w:noWrap/>
            <w:vAlign w:val="center"/>
            <w:hideMark/>
          </w:tcPr>
          <w:p w14:paraId="5B99ECDF"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1,979,054 </w:t>
            </w:r>
          </w:p>
        </w:tc>
        <w:tc>
          <w:tcPr>
            <w:tcW w:w="1697" w:type="dxa"/>
            <w:noWrap/>
            <w:vAlign w:val="center"/>
            <w:hideMark/>
          </w:tcPr>
          <w:p w14:paraId="3B21075F"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4,491,278 </w:t>
            </w:r>
          </w:p>
        </w:tc>
        <w:tc>
          <w:tcPr>
            <w:tcW w:w="1697" w:type="dxa"/>
            <w:noWrap/>
            <w:vAlign w:val="center"/>
            <w:hideMark/>
          </w:tcPr>
          <w:p w14:paraId="7D24919D"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6,470,332 </w:t>
            </w:r>
          </w:p>
        </w:tc>
      </w:tr>
      <w:tr w:rsidR="003E5BF5" w:rsidRPr="007F3685" w14:paraId="76812D4E" w14:textId="77777777" w:rsidTr="003B4A87">
        <w:trPr>
          <w:trHeight w:val="312"/>
        </w:trPr>
        <w:tc>
          <w:tcPr>
            <w:tcW w:w="2977" w:type="dxa"/>
            <w:vAlign w:val="center"/>
            <w:hideMark/>
          </w:tcPr>
          <w:p w14:paraId="5119D17F"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Contributed capital</w:t>
            </w:r>
          </w:p>
        </w:tc>
        <w:tc>
          <w:tcPr>
            <w:tcW w:w="992" w:type="dxa"/>
            <w:vAlign w:val="center"/>
            <w:hideMark/>
          </w:tcPr>
          <w:p w14:paraId="6686E7DA"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7.5.3</w:t>
            </w:r>
          </w:p>
        </w:tc>
        <w:tc>
          <w:tcPr>
            <w:tcW w:w="1697" w:type="dxa"/>
            <w:noWrap/>
            <w:vAlign w:val="center"/>
            <w:hideMark/>
          </w:tcPr>
          <w:p w14:paraId="6079738E"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4,192,898 </w:t>
            </w:r>
          </w:p>
        </w:tc>
        <w:tc>
          <w:tcPr>
            <w:tcW w:w="1697" w:type="dxa"/>
            <w:noWrap/>
            <w:vAlign w:val="center"/>
            <w:hideMark/>
          </w:tcPr>
          <w:p w14:paraId="2E52F4DD"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 - </w:t>
            </w:r>
          </w:p>
        </w:tc>
        <w:tc>
          <w:tcPr>
            <w:tcW w:w="1697" w:type="dxa"/>
            <w:noWrap/>
            <w:vAlign w:val="center"/>
            <w:hideMark/>
          </w:tcPr>
          <w:p w14:paraId="3F8899CD"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4,192,898 </w:t>
            </w:r>
          </w:p>
        </w:tc>
      </w:tr>
      <w:tr w:rsidR="003E5BF5" w:rsidRPr="007F3685" w14:paraId="5EAE9A27" w14:textId="77777777" w:rsidTr="003B4A87">
        <w:trPr>
          <w:trHeight w:val="312"/>
        </w:trPr>
        <w:tc>
          <w:tcPr>
            <w:tcW w:w="2977" w:type="dxa"/>
            <w:vAlign w:val="center"/>
            <w:hideMark/>
          </w:tcPr>
          <w:p w14:paraId="54B3EF63"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Accumulated surplus/(deficit)</w:t>
            </w:r>
          </w:p>
        </w:tc>
        <w:tc>
          <w:tcPr>
            <w:tcW w:w="992" w:type="dxa"/>
            <w:vAlign w:val="center"/>
            <w:hideMark/>
          </w:tcPr>
          <w:p w14:paraId="15F39218"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7.5.3</w:t>
            </w:r>
          </w:p>
        </w:tc>
        <w:tc>
          <w:tcPr>
            <w:tcW w:w="1697" w:type="dxa"/>
            <w:noWrap/>
            <w:vAlign w:val="center"/>
            <w:hideMark/>
          </w:tcPr>
          <w:p w14:paraId="3C385020"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(956,756)</w:t>
            </w:r>
          </w:p>
        </w:tc>
        <w:tc>
          <w:tcPr>
            <w:tcW w:w="1697" w:type="dxa"/>
            <w:noWrap/>
            <w:vAlign w:val="center"/>
            <w:hideMark/>
          </w:tcPr>
          <w:p w14:paraId="5766B84F"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(144,370)</w:t>
            </w:r>
          </w:p>
        </w:tc>
        <w:tc>
          <w:tcPr>
            <w:tcW w:w="1697" w:type="dxa"/>
            <w:noWrap/>
            <w:vAlign w:val="center"/>
            <w:hideMark/>
          </w:tcPr>
          <w:p w14:paraId="1AB9A2FE"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(1,101,126)</w:t>
            </w:r>
          </w:p>
        </w:tc>
      </w:tr>
      <w:tr w:rsidR="003E5BF5" w:rsidRPr="007F3685" w14:paraId="2F34CFC8" w14:textId="77777777" w:rsidTr="003B4A87">
        <w:trPr>
          <w:trHeight w:val="312"/>
        </w:trPr>
        <w:tc>
          <w:tcPr>
            <w:tcW w:w="2977" w:type="dxa"/>
            <w:tcBorders>
              <w:bottom w:val="single" w:sz="4" w:space="0" w:color="auto"/>
            </w:tcBorders>
            <w:vAlign w:val="center"/>
            <w:hideMark/>
          </w:tcPr>
          <w:p w14:paraId="6B5CA6A1"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Physical asset revaluation surplus</w:t>
            </w:r>
          </w:p>
        </w:tc>
        <w:tc>
          <w:tcPr>
            <w:tcW w:w="992" w:type="dxa"/>
            <w:tcBorders>
              <w:bottom w:val="single" w:sz="4" w:space="0" w:color="auto"/>
            </w:tcBorders>
            <w:vAlign w:val="center"/>
            <w:hideMark/>
          </w:tcPr>
          <w:p w14:paraId="5C714DDF"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7.5.3</w:t>
            </w:r>
          </w:p>
        </w:tc>
        <w:tc>
          <w:tcPr>
            <w:tcW w:w="1697" w:type="dxa"/>
            <w:tcBorders>
              <w:bottom w:val="single" w:sz="4" w:space="0" w:color="auto"/>
            </w:tcBorders>
            <w:noWrap/>
            <w:vAlign w:val="center"/>
            <w:hideMark/>
          </w:tcPr>
          <w:p w14:paraId="01C546B2"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384,640 </w:t>
            </w:r>
          </w:p>
        </w:tc>
        <w:tc>
          <w:tcPr>
            <w:tcW w:w="1697" w:type="dxa"/>
            <w:tcBorders>
              <w:bottom w:val="single" w:sz="4" w:space="0" w:color="auto"/>
            </w:tcBorders>
            <w:noWrap/>
            <w:vAlign w:val="center"/>
            <w:hideMark/>
          </w:tcPr>
          <w:p w14:paraId="0835D69C"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134,775 </w:t>
            </w:r>
          </w:p>
        </w:tc>
        <w:tc>
          <w:tcPr>
            <w:tcW w:w="1697" w:type="dxa"/>
            <w:tcBorders>
              <w:bottom w:val="single" w:sz="4" w:space="0" w:color="auto"/>
            </w:tcBorders>
            <w:noWrap/>
            <w:vAlign w:val="center"/>
            <w:hideMark/>
          </w:tcPr>
          <w:p w14:paraId="1476DE24"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519,415 </w:t>
            </w:r>
          </w:p>
        </w:tc>
      </w:tr>
      <w:tr w:rsidR="003E5BF5" w:rsidRPr="007F3685" w14:paraId="70050CED" w14:textId="77777777" w:rsidTr="003B4A87">
        <w:trPr>
          <w:trHeight w:val="312"/>
        </w:trPr>
        <w:tc>
          <w:tcPr>
            <w:tcW w:w="2977" w:type="dxa"/>
            <w:tcBorders>
              <w:bottom w:val="single" w:sz="4" w:space="0" w:color="auto"/>
            </w:tcBorders>
            <w:noWrap/>
            <w:vAlign w:val="center"/>
            <w:hideMark/>
          </w:tcPr>
          <w:p w14:paraId="1813E58B" w14:textId="77777777" w:rsidR="003E5BF5" w:rsidRPr="007F3685" w:rsidRDefault="003E5BF5" w:rsidP="00DE1921">
            <w:pPr>
              <w:pStyle w:val="TableTextLeft"/>
              <w:rPr>
                <w:rFonts w:ascii="Arial" w:hAnsi="Arial" w:cs="Arial"/>
                <w:b/>
                <w:sz w:val="24"/>
                <w:szCs w:val="24"/>
                <w:lang w:eastAsia="en-AU"/>
              </w:rPr>
            </w:pPr>
            <w:r w:rsidRPr="007F3685">
              <w:rPr>
                <w:rFonts w:ascii="Arial" w:hAnsi="Arial" w:cs="Arial"/>
                <w:b/>
                <w:sz w:val="24"/>
                <w:szCs w:val="24"/>
                <w:lang w:eastAsia="en-AU"/>
              </w:rPr>
              <w:t>Net worth</w:t>
            </w:r>
          </w:p>
        </w:tc>
        <w:tc>
          <w:tcPr>
            <w:tcW w:w="992" w:type="dxa"/>
            <w:tcBorders>
              <w:bottom w:val="single" w:sz="4" w:space="0" w:color="auto"/>
            </w:tcBorders>
            <w:noWrap/>
            <w:vAlign w:val="center"/>
            <w:hideMark/>
          </w:tcPr>
          <w:p w14:paraId="4E59B1F7" w14:textId="77777777" w:rsidR="003E5BF5" w:rsidRPr="007F3685" w:rsidRDefault="003E5BF5" w:rsidP="00DE1921">
            <w:pPr>
              <w:pStyle w:val="TableTextRight"/>
              <w:rPr>
                <w:rFonts w:ascii="Arial" w:hAnsi="Arial" w:cs="Arial"/>
                <w:b/>
                <w:sz w:val="24"/>
                <w:szCs w:val="24"/>
                <w:lang w:eastAsia="en-AU"/>
              </w:rPr>
            </w:pPr>
          </w:p>
        </w:tc>
        <w:tc>
          <w:tcPr>
            <w:tcW w:w="1697" w:type="dxa"/>
            <w:tcBorders>
              <w:bottom w:val="single" w:sz="4" w:space="0" w:color="auto"/>
            </w:tcBorders>
            <w:noWrap/>
            <w:vAlign w:val="center"/>
            <w:hideMark/>
          </w:tcPr>
          <w:p w14:paraId="620D3638"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3,620,782 </w:t>
            </w:r>
          </w:p>
        </w:tc>
        <w:tc>
          <w:tcPr>
            <w:tcW w:w="1697" w:type="dxa"/>
            <w:tcBorders>
              <w:bottom w:val="single" w:sz="4" w:space="0" w:color="auto"/>
            </w:tcBorders>
            <w:noWrap/>
            <w:vAlign w:val="center"/>
            <w:hideMark/>
          </w:tcPr>
          <w:p w14:paraId="2FE5F0A4"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(9,595)</w:t>
            </w:r>
          </w:p>
        </w:tc>
        <w:tc>
          <w:tcPr>
            <w:tcW w:w="1697" w:type="dxa"/>
            <w:tcBorders>
              <w:bottom w:val="single" w:sz="4" w:space="0" w:color="auto"/>
            </w:tcBorders>
            <w:noWrap/>
            <w:vAlign w:val="center"/>
            <w:hideMark/>
          </w:tcPr>
          <w:p w14:paraId="234D8571"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3,611,187 </w:t>
            </w:r>
          </w:p>
        </w:tc>
      </w:tr>
    </w:tbl>
    <w:p w14:paraId="40A57D7F" w14:textId="77777777" w:rsidR="00D24B7C" w:rsidRPr="007F3685" w:rsidRDefault="00D24B7C" w:rsidP="00D24B7C">
      <w:pPr>
        <w:pStyle w:val="Note"/>
        <w:rPr>
          <w:rFonts w:ascii="Arial" w:hAnsi="Arial" w:cs="Arial"/>
          <w:sz w:val="24"/>
          <w:szCs w:val="24"/>
        </w:rPr>
      </w:pPr>
      <w:r w:rsidRPr="007F3685">
        <w:rPr>
          <w:rFonts w:ascii="Arial" w:hAnsi="Arial" w:cs="Arial"/>
          <w:sz w:val="24"/>
          <w:szCs w:val="24"/>
        </w:rPr>
        <w:t>Notes:</w:t>
      </w:r>
    </w:p>
    <w:p w14:paraId="27CC5458" w14:textId="77777777" w:rsidR="00D24B7C" w:rsidRPr="007F3685" w:rsidRDefault="00D24B7C" w:rsidP="00610F5F">
      <w:pPr>
        <w:pStyle w:val="aaaNotenumberiiiiii"/>
        <w:numPr>
          <w:ilvl w:val="0"/>
          <w:numId w:val="130"/>
        </w:numPr>
      </w:pPr>
      <w:r w:rsidRPr="007F3685">
        <w:t>Where only line items have been reclassified with no adjustment to figures previously recognised, these amounts have not been included in net impact.</w:t>
      </w:r>
      <w:r w:rsidRPr="007F3685">
        <w:rPr>
          <w:lang w:eastAsia="en-AU"/>
        </w:rPr>
        <w:t xml:space="preserve"> </w:t>
      </w:r>
    </w:p>
    <w:p w14:paraId="64CC7A53" w14:textId="77777777" w:rsidR="00D24B7C" w:rsidRDefault="00D24B7C" w:rsidP="00610F5F">
      <w:pPr>
        <w:pStyle w:val="aaaNotenumberiiiiii"/>
        <w:numPr>
          <w:ilvl w:val="0"/>
          <w:numId w:val="130"/>
        </w:numPr>
        <w:rPr>
          <w:lang w:eastAsia="en-US"/>
        </w:rPr>
      </w:pPr>
      <w:r w:rsidRPr="007F3685">
        <w:rPr>
          <w:lang w:eastAsia="en-AU"/>
        </w:rPr>
        <w:t>VicRoads and PTV adopted AASB 1059 for the first time retrospectively based on its 2018-19 Financial Statements and then transferred balances as contributed capital to the department on 1 July 2019. There are no comparatives relating to VicRoads and PTV within the department’s current year Financial Statements.</w:t>
      </w:r>
    </w:p>
    <w:p w14:paraId="005D0AD9" w14:textId="3AF93DC7" w:rsidR="00507B10" w:rsidRDefault="00507B10">
      <w:r>
        <w:br w:type="page"/>
      </w:r>
    </w:p>
    <w:tbl>
      <w:tblPr>
        <w:tblStyle w:val="TableGrid"/>
        <w:tblW w:w="0" w:type="auto"/>
        <w:tblCellMar>
          <w:left w:w="28" w:type="dxa"/>
          <w:right w:w="28" w:type="dxa"/>
        </w:tblCellMar>
        <w:tblLook w:val="04A0" w:firstRow="1" w:lastRow="0" w:firstColumn="1" w:lastColumn="0" w:noHBand="0" w:noVBand="1"/>
      </w:tblPr>
      <w:tblGrid>
        <w:gridCol w:w="3119"/>
        <w:gridCol w:w="850"/>
        <w:gridCol w:w="1697"/>
        <w:gridCol w:w="1697"/>
        <w:gridCol w:w="1697"/>
      </w:tblGrid>
      <w:tr w:rsidR="003E5BF5" w:rsidRPr="007F3685" w14:paraId="4FA9E1F2" w14:textId="77777777" w:rsidTr="003B4A87">
        <w:trPr>
          <w:trHeight w:val="312"/>
        </w:trPr>
        <w:tc>
          <w:tcPr>
            <w:tcW w:w="3119" w:type="dxa"/>
            <w:tcBorders>
              <w:top w:val="single" w:sz="4" w:space="0" w:color="auto"/>
            </w:tcBorders>
            <w:noWrap/>
            <w:hideMark/>
          </w:tcPr>
          <w:p w14:paraId="64417678" w14:textId="77777777" w:rsidR="003E5BF5" w:rsidRPr="007F3685" w:rsidRDefault="003E5BF5" w:rsidP="00DE1921">
            <w:pPr>
              <w:pStyle w:val="TableTextLeft"/>
              <w:rPr>
                <w:rFonts w:ascii="Arial" w:hAnsi="Arial" w:cs="Arial"/>
                <w:sz w:val="24"/>
                <w:szCs w:val="24"/>
                <w:lang w:eastAsia="en-AU"/>
              </w:rPr>
            </w:pPr>
          </w:p>
        </w:tc>
        <w:tc>
          <w:tcPr>
            <w:tcW w:w="850" w:type="dxa"/>
            <w:tcBorders>
              <w:top w:val="single" w:sz="4" w:space="0" w:color="auto"/>
            </w:tcBorders>
            <w:noWrap/>
            <w:hideMark/>
          </w:tcPr>
          <w:p w14:paraId="3E6ACC29" w14:textId="77777777" w:rsidR="003E5BF5" w:rsidRPr="007F3685" w:rsidRDefault="003E5BF5" w:rsidP="00DE1921">
            <w:pPr>
              <w:pStyle w:val="TableTextRight"/>
              <w:rPr>
                <w:rFonts w:ascii="Arial" w:hAnsi="Arial" w:cs="Arial"/>
                <w:sz w:val="24"/>
                <w:szCs w:val="24"/>
                <w:lang w:eastAsia="en-AU"/>
              </w:rPr>
            </w:pPr>
          </w:p>
        </w:tc>
        <w:tc>
          <w:tcPr>
            <w:tcW w:w="5091" w:type="dxa"/>
            <w:gridSpan w:val="3"/>
            <w:tcBorders>
              <w:top w:val="single" w:sz="4" w:space="0" w:color="auto"/>
            </w:tcBorders>
            <w:noWrap/>
            <w:vAlign w:val="center"/>
            <w:hideMark/>
          </w:tcPr>
          <w:p w14:paraId="22271052" w14:textId="77777777" w:rsidR="003E5BF5" w:rsidRPr="007F3685" w:rsidRDefault="003E5BF5" w:rsidP="00DE1921">
            <w:pPr>
              <w:pStyle w:val="TableTextCentre"/>
              <w:rPr>
                <w:rFonts w:ascii="Arial" w:hAnsi="Arial" w:cs="Arial"/>
                <w:b/>
                <w:sz w:val="24"/>
                <w:szCs w:val="24"/>
                <w:lang w:eastAsia="en-AU"/>
              </w:rPr>
            </w:pPr>
            <w:r w:rsidRPr="007F3685">
              <w:rPr>
                <w:rFonts w:ascii="Arial" w:hAnsi="Arial" w:cs="Arial"/>
                <w:b/>
                <w:sz w:val="24"/>
                <w:szCs w:val="24"/>
                <w:lang w:eastAsia="en-AU"/>
              </w:rPr>
              <w:t>($ thousand)</w:t>
            </w:r>
          </w:p>
        </w:tc>
      </w:tr>
      <w:tr w:rsidR="003E5BF5" w:rsidRPr="007F3685" w14:paraId="70E55E62" w14:textId="77777777" w:rsidTr="003B4A87">
        <w:trPr>
          <w:trHeight w:val="312"/>
        </w:trPr>
        <w:tc>
          <w:tcPr>
            <w:tcW w:w="3119" w:type="dxa"/>
            <w:noWrap/>
            <w:vAlign w:val="bottom"/>
            <w:hideMark/>
          </w:tcPr>
          <w:p w14:paraId="434DD7AE" w14:textId="77777777" w:rsidR="003E5BF5" w:rsidRPr="007F3685" w:rsidRDefault="003E5BF5" w:rsidP="00DE1921">
            <w:pPr>
              <w:pStyle w:val="TableTextLeft"/>
              <w:rPr>
                <w:rFonts w:ascii="Arial" w:hAnsi="Arial" w:cs="Arial"/>
                <w:b/>
                <w:sz w:val="24"/>
                <w:szCs w:val="24"/>
                <w:lang w:eastAsia="en-AU"/>
              </w:rPr>
            </w:pPr>
            <w:r w:rsidRPr="007F3685">
              <w:rPr>
                <w:rFonts w:ascii="Arial" w:hAnsi="Arial" w:cs="Arial"/>
                <w:b/>
                <w:sz w:val="24"/>
                <w:szCs w:val="24"/>
                <w:lang w:eastAsia="en-AU"/>
              </w:rPr>
              <w:t>Balance Sheet</w:t>
            </w:r>
          </w:p>
        </w:tc>
        <w:tc>
          <w:tcPr>
            <w:tcW w:w="850" w:type="dxa"/>
            <w:noWrap/>
            <w:vAlign w:val="bottom"/>
            <w:hideMark/>
          </w:tcPr>
          <w:p w14:paraId="1C581517"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lang w:eastAsia="en-AU"/>
              </w:rPr>
              <w:t>Notes</w:t>
            </w:r>
          </w:p>
        </w:tc>
        <w:tc>
          <w:tcPr>
            <w:tcW w:w="1697" w:type="dxa"/>
            <w:vAlign w:val="bottom"/>
            <w:hideMark/>
          </w:tcPr>
          <w:p w14:paraId="7A2DD5E3"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lang w:eastAsia="en-AU"/>
              </w:rPr>
              <w:t>Before new accounting standards 30/6/18</w:t>
            </w:r>
          </w:p>
        </w:tc>
        <w:tc>
          <w:tcPr>
            <w:tcW w:w="1697" w:type="dxa"/>
            <w:vAlign w:val="bottom"/>
            <w:hideMark/>
          </w:tcPr>
          <w:p w14:paraId="4B73710E"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lang w:eastAsia="en-AU"/>
              </w:rPr>
              <w:t xml:space="preserve">Net impact of AASB 1059 </w:t>
            </w:r>
            <w:r w:rsidRPr="007F3685">
              <w:rPr>
                <w:rFonts w:ascii="Arial" w:hAnsi="Arial" w:cs="Arial"/>
                <w:b/>
                <w:sz w:val="24"/>
                <w:szCs w:val="24"/>
                <w:vertAlign w:val="superscript"/>
                <w:lang w:eastAsia="en-AU"/>
              </w:rPr>
              <w:t>(</w:t>
            </w:r>
            <w:proofErr w:type="spellStart"/>
            <w:r w:rsidRPr="007F3685">
              <w:rPr>
                <w:rFonts w:ascii="Arial" w:hAnsi="Arial" w:cs="Arial"/>
                <w:b/>
                <w:sz w:val="24"/>
                <w:szCs w:val="24"/>
                <w:vertAlign w:val="superscript"/>
                <w:lang w:eastAsia="en-AU"/>
              </w:rPr>
              <w:t>i</w:t>
            </w:r>
            <w:proofErr w:type="spellEnd"/>
            <w:r w:rsidRPr="007F3685">
              <w:rPr>
                <w:rFonts w:ascii="Arial" w:hAnsi="Arial" w:cs="Arial"/>
                <w:b/>
                <w:sz w:val="24"/>
                <w:szCs w:val="24"/>
                <w:vertAlign w:val="superscript"/>
                <w:lang w:eastAsia="en-AU"/>
              </w:rPr>
              <w:t>)(ii)</w:t>
            </w:r>
          </w:p>
        </w:tc>
        <w:tc>
          <w:tcPr>
            <w:tcW w:w="1697" w:type="dxa"/>
            <w:vAlign w:val="bottom"/>
            <w:hideMark/>
          </w:tcPr>
          <w:p w14:paraId="26C50F36"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lang w:eastAsia="en-AU"/>
              </w:rPr>
              <w:t>After new Accounting Standards 30/6/18</w:t>
            </w:r>
          </w:p>
        </w:tc>
      </w:tr>
      <w:tr w:rsidR="003E5BF5" w:rsidRPr="007F3685" w14:paraId="15B4D267" w14:textId="77777777" w:rsidTr="003B4A87">
        <w:trPr>
          <w:trHeight w:val="312"/>
        </w:trPr>
        <w:tc>
          <w:tcPr>
            <w:tcW w:w="3119" w:type="dxa"/>
            <w:noWrap/>
            <w:vAlign w:val="center"/>
            <w:hideMark/>
          </w:tcPr>
          <w:p w14:paraId="2A62D8A7"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Total financial assets</w:t>
            </w:r>
          </w:p>
        </w:tc>
        <w:tc>
          <w:tcPr>
            <w:tcW w:w="850" w:type="dxa"/>
            <w:noWrap/>
            <w:vAlign w:val="center"/>
            <w:hideMark/>
          </w:tcPr>
          <w:p w14:paraId="2D1E4CAB"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7.5.3</w:t>
            </w:r>
          </w:p>
        </w:tc>
        <w:tc>
          <w:tcPr>
            <w:tcW w:w="1697" w:type="dxa"/>
            <w:noWrap/>
            <w:vAlign w:val="center"/>
            <w:hideMark/>
          </w:tcPr>
          <w:p w14:paraId="7E701954"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2,898,446 </w:t>
            </w:r>
          </w:p>
        </w:tc>
        <w:tc>
          <w:tcPr>
            <w:tcW w:w="1697" w:type="dxa"/>
            <w:noWrap/>
            <w:vAlign w:val="center"/>
            <w:hideMark/>
          </w:tcPr>
          <w:p w14:paraId="2D88AA39"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 - </w:t>
            </w:r>
          </w:p>
        </w:tc>
        <w:tc>
          <w:tcPr>
            <w:tcW w:w="1697" w:type="dxa"/>
            <w:noWrap/>
            <w:vAlign w:val="center"/>
            <w:hideMark/>
          </w:tcPr>
          <w:p w14:paraId="6EF7062D"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2,898,446 </w:t>
            </w:r>
          </w:p>
        </w:tc>
      </w:tr>
      <w:tr w:rsidR="003E5BF5" w:rsidRPr="007F3685" w14:paraId="517441EC" w14:textId="77777777" w:rsidTr="003B4A87">
        <w:trPr>
          <w:trHeight w:val="312"/>
        </w:trPr>
        <w:tc>
          <w:tcPr>
            <w:tcW w:w="3119" w:type="dxa"/>
            <w:noWrap/>
            <w:vAlign w:val="center"/>
            <w:hideMark/>
          </w:tcPr>
          <w:p w14:paraId="54F87C2E"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Total non-financial assets</w:t>
            </w:r>
          </w:p>
        </w:tc>
        <w:tc>
          <w:tcPr>
            <w:tcW w:w="850" w:type="dxa"/>
            <w:noWrap/>
            <w:vAlign w:val="center"/>
            <w:hideMark/>
          </w:tcPr>
          <w:p w14:paraId="5BC0C47B"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7.5.3</w:t>
            </w:r>
          </w:p>
        </w:tc>
        <w:tc>
          <w:tcPr>
            <w:tcW w:w="1697" w:type="dxa"/>
            <w:noWrap/>
            <w:vAlign w:val="center"/>
            <w:hideMark/>
          </w:tcPr>
          <w:p w14:paraId="0D3E7F60"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2,833,403 </w:t>
            </w:r>
          </w:p>
        </w:tc>
        <w:tc>
          <w:tcPr>
            <w:tcW w:w="1697" w:type="dxa"/>
            <w:noWrap/>
            <w:vAlign w:val="center"/>
            <w:hideMark/>
          </w:tcPr>
          <w:p w14:paraId="31A92D70"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2,070,787 </w:t>
            </w:r>
          </w:p>
        </w:tc>
        <w:tc>
          <w:tcPr>
            <w:tcW w:w="1697" w:type="dxa"/>
            <w:noWrap/>
            <w:vAlign w:val="center"/>
            <w:hideMark/>
          </w:tcPr>
          <w:p w14:paraId="4240F7EE"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4,904,190 </w:t>
            </w:r>
          </w:p>
        </w:tc>
      </w:tr>
      <w:tr w:rsidR="003E5BF5" w:rsidRPr="007F3685" w14:paraId="14BC55EF" w14:textId="77777777" w:rsidTr="003B4A87">
        <w:trPr>
          <w:trHeight w:val="312"/>
        </w:trPr>
        <w:tc>
          <w:tcPr>
            <w:tcW w:w="3119" w:type="dxa"/>
            <w:noWrap/>
            <w:vAlign w:val="center"/>
            <w:hideMark/>
          </w:tcPr>
          <w:p w14:paraId="7411DA1E" w14:textId="77777777" w:rsidR="003E5BF5" w:rsidRPr="007F3685" w:rsidRDefault="003E5BF5" w:rsidP="00DE1921">
            <w:pPr>
              <w:pStyle w:val="TableTextLeft"/>
              <w:rPr>
                <w:rFonts w:ascii="Arial" w:hAnsi="Arial" w:cs="Arial"/>
                <w:b/>
                <w:sz w:val="24"/>
                <w:szCs w:val="24"/>
                <w:lang w:eastAsia="en-AU"/>
              </w:rPr>
            </w:pPr>
            <w:r w:rsidRPr="007F3685">
              <w:rPr>
                <w:rFonts w:ascii="Arial" w:hAnsi="Arial" w:cs="Arial"/>
                <w:b/>
                <w:sz w:val="24"/>
                <w:szCs w:val="24"/>
                <w:lang w:eastAsia="en-AU"/>
              </w:rPr>
              <w:t>Total assets</w:t>
            </w:r>
          </w:p>
        </w:tc>
        <w:tc>
          <w:tcPr>
            <w:tcW w:w="850" w:type="dxa"/>
            <w:noWrap/>
            <w:vAlign w:val="center"/>
            <w:hideMark/>
          </w:tcPr>
          <w:p w14:paraId="6BE99380" w14:textId="77777777" w:rsidR="003E5BF5" w:rsidRPr="007F3685" w:rsidRDefault="003E5BF5" w:rsidP="00DE1921">
            <w:pPr>
              <w:pStyle w:val="TableTextRight"/>
              <w:rPr>
                <w:rFonts w:ascii="Arial" w:hAnsi="Arial" w:cs="Arial"/>
                <w:b/>
                <w:sz w:val="24"/>
                <w:szCs w:val="24"/>
                <w:lang w:eastAsia="en-AU"/>
              </w:rPr>
            </w:pPr>
          </w:p>
        </w:tc>
        <w:tc>
          <w:tcPr>
            <w:tcW w:w="1697" w:type="dxa"/>
            <w:noWrap/>
            <w:vAlign w:val="center"/>
            <w:hideMark/>
          </w:tcPr>
          <w:p w14:paraId="7ACC9733"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5,731,849 </w:t>
            </w:r>
          </w:p>
        </w:tc>
        <w:tc>
          <w:tcPr>
            <w:tcW w:w="1697" w:type="dxa"/>
            <w:noWrap/>
            <w:vAlign w:val="center"/>
            <w:hideMark/>
          </w:tcPr>
          <w:p w14:paraId="15D1698E"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2,070,787 </w:t>
            </w:r>
          </w:p>
        </w:tc>
        <w:tc>
          <w:tcPr>
            <w:tcW w:w="1697" w:type="dxa"/>
            <w:noWrap/>
            <w:vAlign w:val="center"/>
            <w:hideMark/>
          </w:tcPr>
          <w:p w14:paraId="1DCB20F7"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7,802,636 </w:t>
            </w:r>
          </w:p>
        </w:tc>
      </w:tr>
      <w:tr w:rsidR="003E5BF5" w:rsidRPr="007F3685" w14:paraId="058143B1" w14:textId="77777777" w:rsidTr="003B4A87">
        <w:trPr>
          <w:trHeight w:val="312"/>
        </w:trPr>
        <w:tc>
          <w:tcPr>
            <w:tcW w:w="3119" w:type="dxa"/>
            <w:vAlign w:val="center"/>
            <w:hideMark/>
          </w:tcPr>
          <w:p w14:paraId="18398021"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Payables</w:t>
            </w:r>
          </w:p>
        </w:tc>
        <w:tc>
          <w:tcPr>
            <w:tcW w:w="850" w:type="dxa"/>
            <w:vAlign w:val="center"/>
            <w:hideMark/>
          </w:tcPr>
          <w:p w14:paraId="70F51E58"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6.2 &amp; 7.5.3</w:t>
            </w:r>
          </w:p>
        </w:tc>
        <w:tc>
          <w:tcPr>
            <w:tcW w:w="1697" w:type="dxa"/>
            <w:noWrap/>
            <w:vAlign w:val="center"/>
            <w:hideMark/>
          </w:tcPr>
          <w:p w14:paraId="069A0431"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1,814,293 </w:t>
            </w:r>
          </w:p>
        </w:tc>
        <w:tc>
          <w:tcPr>
            <w:tcW w:w="1697" w:type="dxa"/>
            <w:noWrap/>
            <w:vAlign w:val="center"/>
            <w:hideMark/>
          </w:tcPr>
          <w:p w14:paraId="5D9F86C5"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681,591 </w:t>
            </w:r>
          </w:p>
        </w:tc>
        <w:tc>
          <w:tcPr>
            <w:tcW w:w="1697" w:type="dxa"/>
            <w:noWrap/>
            <w:vAlign w:val="center"/>
            <w:hideMark/>
          </w:tcPr>
          <w:p w14:paraId="4C020B88"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2,495,884 </w:t>
            </w:r>
          </w:p>
        </w:tc>
      </w:tr>
      <w:tr w:rsidR="003E5BF5" w:rsidRPr="007F3685" w14:paraId="3FB95BBB" w14:textId="77777777" w:rsidTr="003B4A87">
        <w:trPr>
          <w:trHeight w:val="312"/>
        </w:trPr>
        <w:tc>
          <w:tcPr>
            <w:tcW w:w="3119" w:type="dxa"/>
            <w:vAlign w:val="center"/>
            <w:hideMark/>
          </w:tcPr>
          <w:p w14:paraId="4B0E8443"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Borrowings</w:t>
            </w:r>
          </w:p>
        </w:tc>
        <w:tc>
          <w:tcPr>
            <w:tcW w:w="850" w:type="dxa"/>
            <w:vAlign w:val="center"/>
            <w:hideMark/>
          </w:tcPr>
          <w:p w14:paraId="06F4E991"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7.1 &amp; 7.5.3</w:t>
            </w:r>
          </w:p>
        </w:tc>
        <w:tc>
          <w:tcPr>
            <w:tcW w:w="1697" w:type="dxa"/>
            <w:noWrap/>
            <w:vAlign w:val="center"/>
            <w:hideMark/>
          </w:tcPr>
          <w:p w14:paraId="7CB11060"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1,313,019 </w:t>
            </w:r>
          </w:p>
        </w:tc>
        <w:tc>
          <w:tcPr>
            <w:tcW w:w="1697" w:type="dxa"/>
            <w:noWrap/>
            <w:vAlign w:val="center"/>
            <w:hideMark/>
          </w:tcPr>
          <w:p w14:paraId="2FCE35A0"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1,389,196 </w:t>
            </w:r>
          </w:p>
        </w:tc>
        <w:tc>
          <w:tcPr>
            <w:tcW w:w="1697" w:type="dxa"/>
            <w:noWrap/>
            <w:vAlign w:val="center"/>
            <w:hideMark/>
          </w:tcPr>
          <w:p w14:paraId="14EC139E"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2,702,215 </w:t>
            </w:r>
          </w:p>
        </w:tc>
      </w:tr>
      <w:tr w:rsidR="003E5BF5" w:rsidRPr="007F3685" w14:paraId="2F2BF621" w14:textId="77777777" w:rsidTr="003B4A87">
        <w:trPr>
          <w:trHeight w:val="312"/>
        </w:trPr>
        <w:tc>
          <w:tcPr>
            <w:tcW w:w="3119" w:type="dxa"/>
            <w:vAlign w:val="center"/>
            <w:hideMark/>
          </w:tcPr>
          <w:p w14:paraId="4500EBC7"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Other liabilities</w:t>
            </w:r>
          </w:p>
        </w:tc>
        <w:tc>
          <w:tcPr>
            <w:tcW w:w="850" w:type="dxa"/>
            <w:vAlign w:val="center"/>
            <w:hideMark/>
          </w:tcPr>
          <w:p w14:paraId="4F61F8C6"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7.5.3</w:t>
            </w:r>
          </w:p>
        </w:tc>
        <w:tc>
          <w:tcPr>
            <w:tcW w:w="1697" w:type="dxa"/>
            <w:noWrap/>
            <w:vAlign w:val="center"/>
            <w:hideMark/>
          </w:tcPr>
          <w:p w14:paraId="7C91A8B4"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152,322 </w:t>
            </w:r>
          </w:p>
        </w:tc>
        <w:tc>
          <w:tcPr>
            <w:tcW w:w="1697" w:type="dxa"/>
            <w:noWrap/>
            <w:vAlign w:val="center"/>
            <w:hideMark/>
          </w:tcPr>
          <w:p w14:paraId="7B020D5A"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 - </w:t>
            </w:r>
          </w:p>
        </w:tc>
        <w:tc>
          <w:tcPr>
            <w:tcW w:w="1697" w:type="dxa"/>
            <w:noWrap/>
            <w:vAlign w:val="center"/>
            <w:hideMark/>
          </w:tcPr>
          <w:p w14:paraId="18C74197"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152,322 </w:t>
            </w:r>
          </w:p>
        </w:tc>
      </w:tr>
      <w:tr w:rsidR="003E5BF5" w:rsidRPr="007F3685" w14:paraId="5D8BB36E" w14:textId="77777777" w:rsidTr="003B4A87">
        <w:trPr>
          <w:trHeight w:val="312"/>
        </w:trPr>
        <w:tc>
          <w:tcPr>
            <w:tcW w:w="3119" w:type="dxa"/>
            <w:noWrap/>
            <w:vAlign w:val="center"/>
            <w:hideMark/>
          </w:tcPr>
          <w:p w14:paraId="448E1346" w14:textId="77777777" w:rsidR="003E5BF5" w:rsidRPr="007F3685" w:rsidRDefault="003E5BF5" w:rsidP="00DE1921">
            <w:pPr>
              <w:pStyle w:val="TableTextLeft"/>
              <w:rPr>
                <w:rFonts w:ascii="Arial" w:hAnsi="Arial" w:cs="Arial"/>
                <w:b/>
                <w:sz w:val="24"/>
                <w:szCs w:val="24"/>
                <w:lang w:eastAsia="en-AU"/>
              </w:rPr>
            </w:pPr>
            <w:r w:rsidRPr="007F3685">
              <w:rPr>
                <w:rFonts w:ascii="Arial" w:hAnsi="Arial" w:cs="Arial"/>
                <w:b/>
                <w:sz w:val="24"/>
                <w:szCs w:val="24"/>
                <w:lang w:eastAsia="en-AU"/>
              </w:rPr>
              <w:t>Total liabilities</w:t>
            </w:r>
          </w:p>
        </w:tc>
        <w:tc>
          <w:tcPr>
            <w:tcW w:w="850" w:type="dxa"/>
            <w:noWrap/>
            <w:vAlign w:val="center"/>
            <w:hideMark/>
          </w:tcPr>
          <w:p w14:paraId="1986429E" w14:textId="77777777" w:rsidR="003E5BF5" w:rsidRPr="007F3685" w:rsidRDefault="003E5BF5" w:rsidP="00DE1921">
            <w:pPr>
              <w:pStyle w:val="TableTextRight"/>
              <w:rPr>
                <w:rFonts w:ascii="Arial" w:hAnsi="Arial" w:cs="Arial"/>
                <w:b/>
                <w:sz w:val="24"/>
                <w:szCs w:val="24"/>
                <w:lang w:eastAsia="en-AU"/>
              </w:rPr>
            </w:pPr>
          </w:p>
        </w:tc>
        <w:tc>
          <w:tcPr>
            <w:tcW w:w="1697" w:type="dxa"/>
            <w:noWrap/>
            <w:vAlign w:val="center"/>
            <w:hideMark/>
          </w:tcPr>
          <w:p w14:paraId="4EB6673D"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3,279,634 </w:t>
            </w:r>
          </w:p>
        </w:tc>
        <w:tc>
          <w:tcPr>
            <w:tcW w:w="1697" w:type="dxa"/>
            <w:noWrap/>
            <w:vAlign w:val="center"/>
            <w:hideMark/>
          </w:tcPr>
          <w:p w14:paraId="46A35FB5"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2,070,787 </w:t>
            </w:r>
          </w:p>
        </w:tc>
        <w:tc>
          <w:tcPr>
            <w:tcW w:w="1697" w:type="dxa"/>
            <w:noWrap/>
            <w:vAlign w:val="center"/>
            <w:hideMark/>
          </w:tcPr>
          <w:p w14:paraId="049B86B6"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5,350,421 </w:t>
            </w:r>
          </w:p>
        </w:tc>
      </w:tr>
      <w:tr w:rsidR="003E5BF5" w:rsidRPr="007F3685" w14:paraId="4BF55246" w14:textId="77777777" w:rsidTr="003B4A87">
        <w:trPr>
          <w:trHeight w:val="312"/>
        </w:trPr>
        <w:tc>
          <w:tcPr>
            <w:tcW w:w="3119" w:type="dxa"/>
            <w:vAlign w:val="center"/>
            <w:hideMark/>
          </w:tcPr>
          <w:p w14:paraId="536F6F75"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Contributed capital</w:t>
            </w:r>
          </w:p>
        </w:tc>
        <w:tc>
          <w:tcPr>
            <w:tcW w:w="850" w:type="dxa"/>
            <w:vAlign w:val="center"/>
            <w:hideMark/>
          </w:tcPr>
          <w:p w14:paraId="7513B5F0"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7.5.3</w:t>
            </w:r>
          </w:p>
        </w:tc>
        <w:tc>
          <w:tcPr>
            <w:tcW w:w="1697" w:type="dxa"/>
            <w:noWrap/>
            <w:vAlign w:val="center"/>
            <w:hideMark/>
          </w:tcPr>
          <w:p w14:paraId="1037C19C"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2,766,296 </w:t>
            </w:r>
          </w:p>
        </w:tc>
        <w:tc>
          <w:tcPr>
            <w:tcW w:w="1697" w:type="dxa"/>
            <w:noWrap/>
            <w:vAlign w:val="center"/>
            <w:hideMark/>
          </w:tcPr>
          <w:p w14:paraId="460B363E"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 - </w:t>
            </w:r>
          </w:p>
        </w:tc>
        <w:tc>
          <w:tcPr>
            <w:tcW w:w="1697" w:type="dxa"/>
            <w:noWrap/>
            <w:vAlign w:val="center"/>
            <w:hideMark/>
          </w:tcPr>
          <w:p w14:paraId="372CC7AF"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2,766,296 </w:t>
            </w:r>
          </w:p>
        </w:tc>
      </w:tr>
      <w:tr w:rsidR="003E5BF5" w:rsidRPr="007F3685" w14:paraId="156FC794" w14:textId="77777777" w:rsidTr="003B4A87">
        <w:trPr>
          <w:trHeight w:val="312"/>
        </w:trPr>
        <w:tc>
          <w:tcPr>
            <w:tcW w:w="3119" w:type="dxa"/>
            <w:vAlign w:val="center"/>
            <w:hideMark/>
          </w:tcPr>
          <w:p w14:paraId="1D622F22"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Accumulated surplus/(deficit)</w:t>
            </w:r>
          </w:p>
        </w:tc>
        <w:tc>
          <w:tcPr>
            <w:tcW w:w="850" w:type="dxa"/>
            <w:vAlign w:val="center"/>
            <w:hideMark/>
          </w:tcPr>
          <w:p w14:paraId="5AB6EDD0"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7.5.3</w:t>
            </w:r>
          </w:p>
        </w:tc>
        <w:tc>
          <w:tcPr>
            <w:tcW w:w="1697" w:type="dxa"/>
            <w:noWrap/>
            <w:vAlign w:val="center"/>
            <w:hideMark/>
          </w:tcPr>
          <w:p w14:paraId="36CE22D3"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(698,721)</w:t>
            </w:r>
          </w:p>
        </w:tc>
        <w:tc>
          <w:tcPr>
            <w:tcW w:w="1697" w:type="dxa"/>
            <w:noWrap/>
            <w:vAlign w:val="center"/>
            <w:hideMark/>
          </w:tcPr>
          <w:p w14:paraId="1D1ABF76"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(17,093)</w:t>
            </w:r>
          </w:p>
        </w:tc>
        <w:tc>
          <w:tcPr>
            <w:tcW w:w="1697" w:type="dxa"/>
            <w:noWrap/>
            <w:vAlign w:val="center"/>
            <w:hideMark/>
          </w:tcPr>
          <w:p w14:paraId="262FDE4C"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(715,814)</w:t>
            </w:r>
          </w:p>
        </w:tc>
      </w:tr>
      <w:tr w:rsidR="003E5BF5" w:rsidRPr="007F3685" w14:paraId="12B82F1D" w14:textId="77777777" w:rsidTr="003B4A87">
        <w:trPr>
          <w:trHeight w:val="312"/>
        </w:trPr>
        <w:tc>
          <w:tcPr>
            <w:tcW w:w="3119" w:type="dxa"/>
            <w:vAlign w:val="center"/>
            <w:hideMark/>
          </w:tcPr>
          <w:p w14:paraId="7C48348E"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Physical asset revaluation surplus</w:t>
            </w:r>
          </w:p>
        </w:tc>
        <w:tc>
          <w:tcPr>
            <w:tcW w:w="850" w:type="dxa"/>
            <w:vAlign w:val="center"/>
            <w:hideMark/>
          </w:tcPr>
          <w:p w14:paraId="791529D6"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7.5.3</w:t>
            </w:r>
          </w:p>
        </w:tc>
        <w:tc>
          <w:tcPr>
            <w:tcW w:w="1697" w:type="dxa"/>
            <w:noWrap/>
            <w:vAlign w:val="center"/>
            <w:hideMark/>
          </w:tcPr>
          <w:p w14:paraId="3BF2F97E"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384,640 </w:t>
            </w:r>
          </w:p>
        </w:tc>
        <w:tc>
          <w:tcPr>
            <w:tcW w:w="1697" w:type="dxa"/>
            <w:noWrap/>
            <w:vAlign w:val="center"/>
            <w:hideMark/>
          </w:tcPr>
          <w:p w14:paraId="735A2F43"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17,093 </w:t>
            </w:r>
          </w:p>
        </w:tc>
        <w:tc>
          <w:tcPr>
            <w:tcW w:w="1697" w:type="dxa"/>
            <w:noWrap/>
            <w:vAlign w:val="center"/>
            <w:hideMark/>
          </w:tcPr>
          <w:p w14:paraId="65D40B08"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401,733 </w:t>
            </w:r>
          </w:p>
        </w:tc>
      </w:tr>
      <w:tr w:rsidR="003E5BF5" w:rsidRPr="007F3685" w14:paraId="45D4A6F4" w14:textId="77777777" w:rsidTr="003B4A87">
        <w:trPr>
          <w:trHeight w:val="312"/>
        </w:trPr>
        <w:tc>
          <w:tcPr>
            <w:tcW w:w="3119" w:type="dxa"/>
            <w:noWrap/>
            <w:vAlign w:val="center"/>
            <w:hideMark/>
          </w:tcPr>
          <w:p w14:paraId="3EF43304" w14:textId="77777777" w:rsidR="003E5BF5" w:rsidRPr="007F3685" w:rsidRDefault="003E5BF5" w:rsidP="00DE1921">
            <w:pPr>
              <w:pStyle w:val="TableTextLeft"/>
              <w:rPr>
                <w:rFonts w:ascii="Arial" w:hAnsi="Arial" w:cs="Arial"/>
                <w:b/>
                <w:sz w:val="24"/>
                <w:szCs w:val="24"/>
                <w:lang w:eastAsia="en-AU"/>
              </w:rPr>
            </w:pPr>
            <w:r w:rsidRPr="007F3685">
              <w:rPr>
                <w:rFonts w:ascii="Arial" w:hAnsi="Arial" w:cs="Arial"/>
                <w:b/>
                <w:sz w:val="24"/>
                <w:szCs w:val="24"/>
                <w:lang w:eastAsia="en-AU"/>
              </w:rPr>
              <w:t>Net worth</w:t>
            </w:r>
          </w:p>
        </w:tc>
        <w:tc>
          <w:tcPr>
            <w:tcW w:w="850" w:type="dxa"/>
            <w:noWrap/>
            <w:vAlign w:val="center"/>
            <w:hideMark/>
          </w:tcPr>
          <w:p w14:paraId="3956053B" w14:textId="77777777" w:rsidR="003E5BF5" w:rsidRPr="007F3685" w:rsidRDefault="003E5BF5" w:rsidP="00DE1921">
            <w:pPr>
              <w:pStyle w:val="TableTextRight"/>
              <w:rPr>
                <w:rFonts w:ascii="Arial" w:hAnsi="Arial" w:cs="Arial"/>
                <w:b/>
                <w:sz w:val="24"/>
                <w:szCs w:val="24"/>
                <w:lang w:eastAsia="en-AU"/>
              </w:rPr>
            </w:pPr>
          </w:p>
        </w:tc>
        <w:tc>
          <w:tcPr>
            <w:tcW w:w="1697" w:type="dxa"/>
            <w:noWrap/>
            <w:vAlign w:val="center"/>
            <w:hideMark/>
          </w:tcPr>
          <w:p w14:paraId="34138E0A"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2,452,215 </w:t>
            </w:r>
          </w:p>
        </w:tc>
        <w:tc>
          <w:tcPr>
            <w:tcW w:w="1697" w:type="dxa"/>
            <w:noWrap/>
            <w:vAlign w:val="center"/>
            <w:hideMark/>
          </w:tcPr>
          <w:p w14:paraId="6D3CD4CC"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 - </w:t>
            </w:r>
          </w:p>
        </w:tc>
        <w:tc>
          <w:tcPr>
            <w:tcW w:w="1697" w:type="dxa"/>
            <w:noWrap/>
            <w:vAlign w:val="center"/>
            <w:hideMark/>
          </w:tcPr>
          <w:p w14:paraId="51BC74AB" w14:textId="77777777" w:rsidR="003E5BF5" w:rsidRPr="007F3685" w:rsidRDefault="003E5BF5" w:rsidP="00DE1921">
            <w:pPr>
              <w:pStyle w:val="TableTextRight"/>
              <w:rPr>
                <w:rFonts w:ascii="Arial" w:hAnsi="Arial" w:cs="Arial"/>
                <w:b/>
                <w:sz w:val="24"/>
                <w:szCs w:val="24"/>
                <w:lang w:eastAsia="en-AU"/>
              </w:rPr>
            </w:pPr>
            <w:r w:rsidRPr="007F3685">
              <w:rPr>
                <w:rFonts w:ascii="Arial" w:hAnsi="Arial" w:cs="Arial"/>
                <w:b/>
                <w:sz w:val="24"/>
                <w:szCs w:val="24"/>
              </w:rPr>
              <w:t xml:space="preserve">2,452,215 </w:t>
            </w:r>
          </w:p>
        </w:tc>
      </w:tr>
    </w:tbl>
    <w:p w14:paraId="0A15A886" w14:textId="77777777" w:rsidR="003E5BF5" w:rsidRPr="007F3685" w:rsidRDefault="003E5BF5" w:rsidP="00DE1921">
      <w:pPr>
        <w:pStyle w:val="Note"/>
        <w:rPr>
          <w:rFonts w:ascii="Arial" w:hAnsi="Arial" w:cs="Arial"/>
          <w:sz w:val="24"/>
          <w:szCs w:val="24"/>
        </w:rPr>
      </w:pPr>
      <w:r w:rsidRPr="007F3685">
        <w:rPr>
          <w:rFonts w:ascii="Arial" w:hAnsi="Arial" w:cs="Arial"/>
          <w:sz w:val="24"/>
          <w:szCs w:val="24"/>
        </w:rPr>
        <w:t>Notes:</w:t>
      </w:r>
    </w:p>
    <w:p w14:paraId="7BEED3E6" w14:textId="77777777" w:rsidR="003E5BF5" w:rsidRPr="007F3685" w:rsidRDefault="003E5BF5" w:rsidP="00610F5F">
      <w:pPr>
        <w:pStyle w:val="aaaNotenumberiiiiii"/>
        <w:numPr>
          <w:ilvl w:val="0"/>
          <w:numId w:val="131"/>
        </w:numPr>
      </w:pPr>
      <w:r w:rsidRPr="007F3685">
        <w:t xml:space="preserve">Where only line items have been reclassified with no adjustment to figures previously recognised, these amounts have not been included in net impact. </w:t>
      </w:r>
    </w:p>
    <w:p w14:paraId="144419BD" w14:textId="77777777" w:rsidR="003E5BF5" w:rsidRDefault="003E5BF5" w:rsidP="00610F5F">
      <w:pPr>
        <w:pStyle w:val="aaaNotenumberiiiiii"/>
        <w:numPr>
          <w:ilvl w:val="0"/>
          <w:numId w:val="131"/>
        </w:numPr>
      </w:pPr>
      <w:r w:rsidRPr="007F3685">
        <w:rPr>
          <w:lang w:eastAsia="en-AU"/>
        </w:rPr>
        <w:t xml:space="preserve">VicRoads and PTV adopted AASB 1059 for the first time retrospectively based on its 2018-19 Financial Statements and then transferred balances as </w:t>
      </w:r>
      <w:r w:rsidRPr="007F3685">
        <w:t>contributed</w:t>
      </w:r>
      <w:r w:rsidRPr="007F3685">
        <w:rPr>
          <w:lang w:eastAsia="en-AU"/>
        </w:rPr>
        <w:t xml:space="preserve"> capital to the department on 1 July 2019. There are no comparatives relating to VicRoads and PTV within the department’s current year Financial Statements.</w:t>
      </w:r>
      <w:r>
        <w:br w:type="page"/>
      </w:r>
    </w:p>
    <w:p w14:paraId="139C32D1" w14:textId="77777777" w:rsidR="003E5BF5" w:rsidRPr="004936A6" w:rsidRDefault="003E5BF5" w:rsidP="00610F5F">
      <w:pPr>
        <w:pStyle w:val="Heading3"/>
        <w:numPr>
          <w:ilvl w:val="3"/>
          <w:numId w:val="22"/>
        </w:numPr>
        <w:ind w:left="1021" w:hanging="1021"/>
      </w:pPr>
      <w:r w:rsidRPr="00016AC8">
        <w:lastRenderedPageBreak/>
        <w:t xml:space="preserve">Transition impact on </w:t>
      </w:r>
      <w:r w:rsidRPr="004936A6">
        <w:t>the Balance Sheet of AASB 15, 16 and 1058</w:t>
      </w:r>
    </w:p>
    <w:p w14:paraId="6A563684" w14:textId="77777777" w:rsidR="003E5BF5" w:rsidRDefault="003E5BF5" w:rsidP="00D74D26">
      <w:pPr>
        <w:pStyle w:val="aaatyping"/>
      </w:pPr>
      <w:r>
        <w:t>Impact on Balance sheet due to the adoption of AASB 15, AASB 1058 and AASB 16 is illustrated with the following reconciliation between the restated carrying amounts at 30 June 2019 and the balances reported under the new accounting standards (AASB 15 and AASB 16) at 1 July 2019:</w:t>
      </w:r>
    </w:p>
    <w:tbl>
      <w:tblPr>
        <w:tblStyle w:val="TableGrid"/>
        <w:tblW w:w="9072" w:type="dxa"/>
        <w:tblCellMar>
          <w:left w:w="28" w:type="dxa"/>
          <w:right w:w="28" w:type="dxa"/>
        </w:tblCellMar>
        <w:tblLook w:val="04A0" w:firstRow="1" w:lastRow="0" w:firstColumn="1" w:lastColumn="0" w:noHBand="0" w:noVBand="1"/>
      </w:tblPr>
      <w:tblGrid>
        <w:gridCol w:w="3975"/>
        <w:gridCol w:w="921"/>
        <w:gridCol w:w="1392"/>
        <w:gridCol w:w="1392"/>
        <w:gridCol w:w="1392"/>
      </w:tblGrid>
      <w:tr w:rsidR="003E5BF5" w:rsidRPr="007F3685" w14:paraId="5BD35ED7" w14:textId="77777777" w:rsidTr="003A4E79">
        <w:trPr>
          <w:trHeight w:val="340"/>
        </w:trPr>
        <w:tc>
          <w:tcPr>
            <w:tcW w:w="3975" w:type="dxa"/>
            <w:noWrap/>
            <w:hideMark/>
          </w:tcPr>
          <w:p w14:paraId="087667CF" w14:textId="77777777" w:rsidR="003E5BF5" w:rsidRPr="007F3685" w:rsidRDefault="003E5BF5" w:rsidP="00DE1921">
            <w:pPr>
              <w:pStyle w:val="TableTextLeft"/>
              <w:rPr>
                <w:rFonts w:ascii="Arial" w:hAnsi="Arial" w:cs="Arial"/>
                <w:sz w:val="24"/>
                <w:szCs w:val="24"/>
                <w:lang w:eastAsia="en-AU"/>
              </w:rPr>
            </w:pPr>
          </w:p>
        </w:tc>
        <w:tc>
          <w:tcPr>
            <w:tcW w:w="921" w:type="dxa"/>
            <w:noWrap/>
            <w:hideMark/>
          </w:tcPr>
          <w:p w14:paraId="41791B5C" w14:textId="77777777" w:rsidR="003E5BF5" w:rsidRPr="007F3685" w:rsidRDefault="003E5BF5" w:rsidP="00DE1921">
            <w:pPr>
              <w:pStyle w:val="TableTextCentre"/>
              <w:rPr>
                <w:rFonts w:ascii="Arial" w:hAnsi="Arial" w:cs="Arial"/>
                <w:sz w:val="24"/>
                <w:szCs w:val="24"/>
                <w:lang w:eastAsia="en-AU"/>
              </w:rPr>
            </w:pPr>
          </w:p>
        </w:tc>
        <w:tc>
          <w:tcPr>
            <w:tcW w:w="4176" w:type="dxa"/>
            <w:gridSpan w:val="3"/>
            <w:noWrap/>
            <w:vAlign w:val="center"/>
            <w:hideMark/>
          </w:tcPr>
          <w:p w14:paraId="5E1B63E0" w14:textId="77777777" w:rsidR="003E5BF5" w:rsidRPr="007F3685" w:rsidRDefault="003E5BF5" w:rsidP="00DE1921">
            <w:pPr>
              <w:pStyle w:val="TableTextCentre"/>
              <w:rPr>
                <w:rFonts w:ascii="Arial" w:hAnsi="Arial" w:cs="Arial"/>
                <w:b/>
                <w:sz w:val="24"/>
                <w:szCs w:val="24"/>
                <w:lang w:eastAsia="en-AU"/>
              </w:rPr>
            </w:pPr>
            <w:r w:rsidRPr="007F3685">
              <w:rPr>
                <w:rFonts w:ascii="Arial" w:hAnsi="Arial" w:cs="Arial"/>
                <w:b/>
                <w:sz w:val="24"/>
                <w:szCs w:val="24"/>
                <w:lang w:eastAsia="en-AU"/>
              </w:rPr>
              <w:t>($ thousand)</w:t>
            </w:r>
          </w:p>
        </w:tc>
      </w:tr>
      <w:tr w:rsidR="003E5BF5" w:rsidRPr="007F3685" w14:paraId="0977F28F" w14:textId="77777777" w:rsidTr="003A4E79">
        <w:trPr>
          <w:trHeight w:val="340"/>
        </w:trPr>
        <w:tc>
          <w:tcPr>
            <w:tcW w:w="3975" w:type="dxa"/>
            <w:noWrap/>
            <w:vAlign w:val="bottom"/>
            <w:hideMark/>
          </w:tcPr>
          <w:p w14:paraId="56EA4F79" w14:textId="77777777" w:rsidR="003E5BF5" w:rsidRPr="007F3685" w:rsidRDefault="003E5BF5" w:rsidP="00DE1921">
            <w:pPr>
              <w:pStyle w:val="TableTextLeft"/>
              <w:rPr>
                <w:rFonts w:ascii="Arial" w:hAnsi="Arial" w:cs="Arial"/>
                <w:b/>
                <w:sz w:val="24"/>
                <w:szCs w:val="24"/>
                <w:lang w:eastAsia="en-AU"/>
              </w:rPr>
            </w:pPr>
            <w:r w:rsidRPr="007F3685">
              <w:rPr>
                <w:rFonts w:ascii="Arial" w:hAnsi="Arial" w:cs="Arial"/>
                <w:b/>
                <w:sz w:val="24"/>
                <w:szCs w:val="24"/>
                <w:lang w:eastAsia="en-AU"/>
              </w:rPr>
              <w:t>Balance Sheet</w:t>
            </w:r>
          </w:p>
        </w:tc>
        <w:tc>
          <w:tcPr>
            <w:tcW w:w="921" w:type="dxa"/>
            <w:noWrap/>
            <w:vAlign w:val="bottom"/>
            <w:hideMark/>
          </w:tcPr>
          <w:p w14:paraId="75F7A7FA"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Notes</w:t>
            </w:r>
          </w:p>
        </w:tc>
        <w:tc>
          <w:tcPr>
            <w:tcW w:w="1392" w:type="dxa"/>
            <w:vAlign w:val="bottom"/>
            <w:hideMark/>
          </w:tcPr>
          <w:p w14:paraId="38F4058D"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Before new accounting standards </w:t>
            </w:r>
            <w:r w:rsidRPr="007F3685">
              <w:rPr>
                <w:rFonts w:ascii="Arial" w:hAnsi="Arial" w:cs="Arial"/>
                <w:b/>
                <w:sz w:val="24"/>
                <w:szCs w:val="24"/>
              </w:rPr>
              <w:br/>
              <w:t>Opening 1/7/19</w:t>
            </w:r>
          </w:p>
        </w:tc>
        <w:tc>
          <w:tcPr>
            <w:tcW w:w="1392" w:type="dxa"/>
            <w:vAlign w:val="bottom"/>
            <w:hideMark/>
          </w:tcPr>
          <w:p w14:paraId="0485C313" w14:textId="77777777" w:rsidR="003E5BF5" w:rsidRPr="007F3685" w:rsidRDefault="003E5BF5" w:rsidP="00DE1921">
            <w:pPr>
              <w:pStyle w:val="TableTextRight"/>
              <w:rPr>
                <w:rFonts w:ascii="Arial" w:hAnsi="Arial" w:cs="Arial"/>
                <w:b/>
                <w:sz w:val="24"/>
                <w:szCs w:val="24"/>
                <w:vertAlign w:val="superscript"/>
              </w:rPr>
            </w:pPr>
            <w:r w:rsidRPr="007F3685">
              <w:rPr>
                <w:rFonts w:ascii="Arial" w:hAnsi="Arial" w:cs="Arial"/>
                <w:b/>
                <w:sz w:val="24"/>
                <w:szCs w:val="24"/>
              </w:rPr>
              <w:t>Impact of AASB 15,16 &amp; 1058</w:t>
            </w:r>
            <w:r w:rsidRPr="007F3685">
              <w:rPr>
                <w:rFonts w:ascii="Arial" w:hAnsi="Arial" w:cs="Arial"/>
                <w:b/>
                <w:sz w:val="24"/>
                <w:szCs w:val="24"/>
                <w:vertAlign w:val="superscript"/>
              </w:rPr>
              <w:t>(</w:t>
            </w:r>
            <w:proofErr w:type="spellStart"/>
            <w:r w:rsidRPr="007F3685">
              <w:rPr>
                <w:rFonts w:ascii="Arial" w:hAnsi="Arial" w:cs="Arial"/>
                <w:b/>
                <w:sz w:val="24"/>
                <w:szCs w:val="24"/>
                <w:vertAlign w:val="superscript"/>
              </w:rPr>
              <w:t>i</w:t>
            </w:r>
            <w:proofErr w:type="spellEnd"/>
            <w:r w:rsidRPr="007F3685">
              <w:rPr>
                <w:rFonts w:ascii="Arial" w:hAnsi="Arial" w:cs="Arial"/>
                <w:b/>
                <w:sz w:val="24"/>
                <w:szCs w:val="24"/>
                <w:vertAlign w:val="superscript"/>
              </w:rPr>
              <w:t>)</w:t>
            </w:r>
          </w:p>
        </w:tc>
        <w:tc>
          <w:tcPr>
            <w:tcW w:w="1392" w:type="dxa"/>
            <w:vAlign w:val="bottom"/>
            <w:hideMark/>
          </w:tcPr>
          <w:p w14:paraId="1A996302"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After new Accounting Standards </w:t>
            </w:r>
            <w:r w:rsidRPr="007F3685">
              <w:rPr>
                <w:rFonts w:ascii="Arial" w:hAnsi="Arial" w:cs="Arial"/>
                <w:b/>
                <w:sz w:val="24"/>
                <w:szCs w:val="24"/>
              </w:rPr>
              <w:br/>
              <w:t>Opening 1/7/19</w:t>
            </w:r>
          </w:p>
        </w:tc>
      </w:tr>
      <w:tr w:rsidR="003E5BF5" w:rsidRPr="007F3685" w14:paraId="2061E2C0" w14:textId="77777777" w:rsidTr="003A4E79">
        <w:trPr>
          <w:trHeight w:val="340"/>
        </w:trPr>
        <w:tc>
          <w:tcPr>
            <w:tcW w:w="3975" w:type="dxa"/>
            <w:noWrap/>
            <w:vAlign w:val="center"/>
            <w:hideMark/>
          </w:tcPr>
          <w:p w14:paraId="59A11F94"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Property, Plant and Equipment</w:t>
            </w:r>
          </w:p>
        </w:tc>
        <w:tc>
          <w:tcPr>
            <w:tcW w:w="921" w:type="dxa"/>
            <w:noWrap/>
            <w:vAlign w:val="center"/>
            <w:hideMark/>
          </w:tcPr>
          <w:p w14:paraId="1545637C"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5.1</w:t>
            </w:r>
          </w:p>
        </w:tc>
        <w:tc>
          <w:tcPr>
            <w:tcW w:w="1392" w:type="dxa"/>
            <w:noWrap/>
            <w:vAlign w:val="center"/>
            <w:hideMark/>
          </w:tcPr>
          <w:p w14:paraId="2206430C"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8,626,082 </w:t>
            </w:r>
          </w:p>
        </w:tc>
        <w:tc>
          <w:tcPr>
            <w:tcW w:w="1392" w:type="dxa"/>
            <w:noWrap/>
            <w:vAlign w:val="center"/>
            <w:hideMark/>
          </w:tcPr>
          <w:p w14:paraId="6546E345"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247,207 </w:t>
            </w:r>
          </w:p>
        </w:tc>
        <w:tc>
          <w:tcPr>
            <w:tcW w:w="1392" w:type="dxa"/>
            <w:noWrap/>
            <w:vAlign w:val="center"/>
            <w:hideMark/>
          </w:tcPr>
          <w:p w14:paraId="6B89CBF2"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8,873,289 </w:t>
            </w:r>
          </w:p>
        </w:tc>
      </w:tr>
      <w:tr w:rsidR="003E5BF5" w:rsidRPr="007F3685" w14:paraId="022C2040" w14:textId="77777777" w:rsidTr="003A4E79">
        <w:trPr>
          <w:trHeight w:val="340"/>
        </w:trPr>
        <w:tc>
          <w:tcPr>
            <w:tcW w:w="3975" w:type="dxa"/>
            <w:noWrap/>
            <w:vAlign w:val="center"/>
            <w:hideMark/>
          </w:tcPr>
          <w:p w14:paraId="66449F83" w14:textId="77777777" w:rsidR="003E5BF5" w:rsidRPr="007F3685" w:rsidRDefault="003E5BF5" w:rsidP="00DE1921">
            <w:pPr>
              <w:pStyle w:val="TableTextLeft"/>
              <w:rPr>
                <w:rFonts w:ascii="Arial" w:hAnsi="Arial" w:cs="Arial"/>
                <w:b/>
                <w:sz w:val="24"/>
                <w:szCs w:val="24"/>
                <w:lang w:eastAsia="en-AU"/>
              </w:rPr>
            </w:pPr>
            <w:r w:rsidRPr="007F3685">
              <w:rPr>
                <w:rFonts w:ascii="Arial" w:hAnsi="Arial" w:cs="Arial"/>
                <w:b/>
                <w:sz w:val="24"/>
                <w:szCs w:val="24"/>
                <w:lang w:eastAsia="en-AU"/>
              </w:rPr>
              <w:t>Total non-financial assets</w:t>
            </w:r>
          </w:p>
        </w:tc>
        <w:tc>
          <w:tcPr>
            <w:tcW w:w="921" w:type="dxa"/>
            <w:noWrap/>
            <w:vAlign w:val="center"/>
            <w:hideMark/>
          </w:tcPr>
          <w:p w14:paraId="71A85488" w14:textId="77777777" w:rsidR="003E5BF5" w:rsidRPr="007F3685" w:rsidRDefault="003E5BF5" w:rsidP="00DE1921">
            <w:pPr>
              <w:pStyle w:val="TableTextRight"/>
              <w:rPr>
                <w:rFonts w:ascii="Arial" w:hAnsi="Arial" w:cs="Arial"/>
                <w:sz w:val="24"/>
                <w:szCs w:val="24"/>
              </w:rPr>
            </w:pPr>
          </w:p>
        </w:tc>
        <w:tc>
          <w:tcPr>
            <w:tcW w:w="1392" w:type="dxa"/>
            <w:noWrap/>
            <w:vAlign w:val="center"/>
            <w:hideMark/>
          </w:tcPr>
          <w:p w14:paraId="61BFCD7B"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8,626,082 </w:t>
            </w:r>
          </w:p>
        </w:tc>
        <w:tc>
          <w:tcPr>
            <w:tcW w:w="1392" w:type="dxa"/>
            <w:noWrap/>
            <w:vAlign w:val="center"/>
            <w:hideMark/>
          </w:tcPr>
          <w:p w14:paraId="163ACD10"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247,207 </w:t>
            </w:r>
          </w:p>
        </w:tc>
        <w:tc>
          <w:tcPr>
            <w:tcW w:w="1392" w:type="dxa"/>
            <w:noWrap/>
            <w:vAlign w:val="center"/>
            <w:hideMark/>
          </w:tcPr>
          <w:p w14:paraId="68D9AF6F"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8,873,289 </w:t>
            </w:r>
          </w:p>
        </w:tc>
      </w:tr>
      <w:tr w:rsidR="003E5BF5" w:rsidRPr="007F3685" w14:paraId="1A43F4E4" w14:textId="77777777" w:rsidTr="003A4E79">
        <w:trPr>
          <w:trHeight w:val="340"/>
        </w:trPr>
        <w:tc>
          <w:tcPr>
            <w:tcW w:w="3975" w:type="dxa"/>
            <w:noWrap/>
            <w:vAlign w:val="center"/>
            <w:hideMark/>
          </w:tcPr>
          <w:p w14:paraId="71DDF271" w14:textId="77777777" w:rsidR="003E5BF5" w:rsidRPr="007F3685" w:rsidRDefault="003E5BF5" w:rsidP="00DE1921">
            <w:pPr>
              <w:pStyle w:val="TableTextLeft"/>
              <w:rPr>
                <w:rFonts w:ascii="Arial" w:hAnsi="Arial" w:cs="Arial"/>
                <w:b/>
                <w:sz w:val="24"/>
                <w:szCs w:val="24"/>
                <w:lang w:eastAsia="en-AU"/>
              </w:rPr>
            </w:pPr>
            <w:r w:rsidRPr="007F3685">
              <w:rPr>
                <w:rFonts w:ascii="Arial" w:hAnsi="Arial" w:cs="Arial"/>
                <w:b/>
                <w:sz w:val="24"/>
                <w:szCs w:val="24"/>
                <w:lang w:eastAsia="en-AU"/>
              </w:rPr>
              <w:t>Total assets</w:t>
            </w:r>
          </w:p>
        </w:tc>
        <w:tc>
          <w:tcPr>
            <w:tcW w:w="921" w:type="dxa"/>
            <w:noWrap/>
            <w:vAlign w:val="center"/>
            <w:hideMark/>
          </w:tcPr>
          <w:p w14:paraId="6AAAC5EC" w14:textId="77777777" w:rsidR="003E5BF5" w:rsidRPr="007F3685" w:rsidRDefault="003E5BF5" w:rsidP="00DE1921">
            <w:pPr>
              <w:pStyle w:val="TableTextRight"/>
              <w:rPr>
                <w:rFonts w:ascii="Arial" w:hAnsi="Arial" w:cs="Arial"/>
                <w:sz w:val="24"/>
                <w:szCs w:val="24"/>
              </w:rPr>
            </w:pPr>
          </w:p>
        </w:tc>
        <w:tc>
          <w:tcPr>
            <w:tcW w:w="1392" w:type="dxa"/>
            <w:noWrap/>
            <w:vAlign w:val="center"/>
            <w:hideMark/>
          </w:tcPr>
          <w:p w14:paraId="3477DCA8"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8,626,082 </w:t>
            </w:r>
          </w:p>
        </w:tc>
        <w:tc>
          <w:tcPr>
            <w:tcW w:w="1392" w:type="dxa"/>
            <w:noWrap/>
            <w:vAlign w:val="center"/>
            <w:hideMark/>
          </w:tcPr>
          <w:p w14:paraId="7558DE69"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247,207 </w:t>
            </w:r>
          </w:p>
        </w:tc>
        <w:tc>
          <w:tcPr>
            <w:tcW w:w="1392" w:type="dxa"/>
            <w:noWrap/>
            <w:vAlign w:val="center"/>
            <w:hideMark/>
          </w:tcPr>
          <w:p w14:paraId="6D5969FD"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8,873,289 </w:t>
            </w:r>
          </w:p>
        </w:tc>
      </w:tr>
      <w:tr w:rsidR="003E5BF5" w:rsidRPr="007F3685" w14:paraId="00D89EEE" w14:textId="77777777" w:rsidTr="003A4E79">
        <w:trPr>
          <w:trHeight w:val="340"/>
        </w:trPr>
        <w:tc>
          <w:tcPr>
            <w:tcW w:w="3975" w:type="dxa"/>
            <w:vAlign w:val="center"/>
            <w:hideMark/>
          </w:tcPr>
          <w:p w14:paraId="3C168A8C"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Payables</w:t>
            </w:r>
          </w:p>
        </w:tc>
        <w:tc>
          <w:tcPr>
            <w:tcW w:w="921" w:type="dxa"/>
            <w:vAlign w:val="center"/>
            <w:hideMark/>
          </w:tcPr>
          <w:p w14:paraId="47CDEDC8"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6.2</w:t>
            </w:r>
          </w:p>
        </w:tc>
        <w:tc>
          <w:tcPr>
            <w:tcW w:w="1392" w:type="dxa"/>
            <w:vAlign w:val="center"/>
            <w:hideMark/>
          </w:tcPr>
          <w:p w14:paraId="4227F217"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3,067,195 </w:t>
            </w:r>
          </w:p>
        </w:tc>
        <w:tc>
          <w:tcPr>
            <w:tcW w:w="1392" w:type="dxa"/>
            <w:noWrap/>
            <w:vAlign w:val="center"/>
            <w:hideMark/>
          </w:tcPr>
          <w:p w14:paraId="117F2D6E"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 - </w:t>
            </w:r>
          </w:p>
        </w:tc>
        <w:tc>
          <w:tcPr>
            <w:tcW w:w="1392" w:type="dxa"/>
            <w:noWrap/>
            <w:vAlign w:val="center"/>
            <w:hideMark/>
          </w:tcPr>
          <w:p w14:paraId="56FE9CF7"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3,067,195 </w:t>
            </w:r>
          </w:p>
        </w:tc>
      </w:tr>
      <w:tr w:rsidR="003E5BF5" w:rsidRPr="007F3685" w14:paraId="41F68AA9" w14:textId="77777777" w:rsidTr="003A4E79">
        <w:trPr>
          <w:trHeight w:val="340"/>
        </w:trPr>
        <w:tc>
          <w:tcPr>
            <w:tcW w:w="3975" w:type="dxa"/>
            <w:vAlign w:val="center"/>
            <w:hideMark/>
          </w:tcPr>
          <w:p w14:paraId="1155B2DB"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Contract liabilities</w:t>
            </w:r>
          </w:p>
        </w:tc>
        <w:tc>
          <w:tcPr>
            <w:tcW w:w="921" w:type="dxa"/>
            <w:vAlign w:val="center"/>
            <w:hideMark/>
          </w:tcPr>
          <w:p w14:paraId="1FBB3D59"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6.2.1</w:t>
            </w:r>
          </w:p>
        </w:tc>
        <w:tc>
          <w:tcPr>
            <w:tcW w:w="1392" w:type="dxa"/>
            <w:vAlign w:val="center"/>
            <w:hideMark/>
          </w:tcPr>
          <w:p w14:paraId="6D2D50BD"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 - </w:t>
            </w:r>
          </w:p>
        </w:tc>
        <w:tc>
          <w:tcPr>
            <w:tcW w:w="1392" w:type="dxa"/>
            <w:noWrap/>
            <w:vAlign w:val="center"/>
            <w:hideMark/>
          </w:tcPr>
          <w:p w14:paraId="7E7F5D34"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41,112 </w:t>
            </w:r>
          </w:p>
        </w:tc>
        <w:tc>
          <w:tcPr>
            <w:tcW w:w="1392" w:type="dxa"/>
            <w:noWrap/>
            <w:vAlign w:val="center"/>
            <w:hideMark/>
          </w:tcPr>
          <w:p w14:paraId="772783C1"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41,112 </w:t>
            </w:r>
          </w:p>
        </w:tc>
      </w:tr>
      <w:tr w:rsidR="003E5BF5" w:rsidRPr="007F3685" w14:paraId="130A3CF2" w14:textId="77777777" w:rsidTr="003A4E79">
        <w:trPr>
          <w:trHeight w:val="340"/>
        </w:trPr>
        <w:tc>
          <w:tcPr>
            <w:tcW w:w="3975" w:type="dxa"/>
            <w:vAlign w:val="center"/>
            <w:hideMark/>
          </w:tcPr>
          <w:p w14:paraId="2A323F80"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Borrowings</w:t>
            </w:r>
          </w:p>
        </w:tc>
        <w:tc>
          <w:tcPr>
            <w:tcW w:w="921" w:type="dxa"/>
            <w:vAlign w:val="center"/>
            <w:hideMark/>
          </w:tcPr>
          <w:p w14:paraId="64BADDA0"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7.1</w:t>
            </w:r>
          </w:p>
        </w:tc>
        <w:tc>
          <w:tcPr>
            <w:tcW w:w="1392" w:type="dxa"/>
            <w:vAlign w:val="center"/>
            <w:hideMark/>
          </w:tcPr>
          <w:p w14:paraId="6FD531F1"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3,325,412 </w:t>
            </w:r>
          </w:p>
        </w:tc>
        <w:tc>
          <w:tcPr>
            <w:tcW w:w="1392" w:type="dxa"/>
            <w:noWrap/>
            <w:vAlign w:val="center"/>
            <w:hideMark/>
          </w:tcPr>
          <w:p w14:paraId="60E9DD30"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247,207 </w:t>
            </w:r>
          </w:p>
        </w:tc>
        <w:tc>
          <w:tcPr>
            <w:tcW w:w="1392" w:type="dxa"/>
            <w:noWrap/>
            <w:vAlign w:val="center"/>
            <w:hideMark/>
          </w:tcPr>
          <w:p w14:paraId="06D77759"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3,572,619 </w:t>
            </w:r>
          </w:p>
        </w:tc>
      </w:tr>
      <w:tr w:rsidR="003E5BF5" w:rsidRPr="007F3685" w14:paraId="17C42052" w14:textId="77777777" w:rsidTr="003A4E79">
        <w:trPr>
          <w:trHeight w:val="340"/>
        </w:trPr>
        <w:tc>
          <w:tcPr>
            <w:tcW w:w="3975" w:type="dxa"/>
            <w:noWrap/>
            <w:vAlign w:val="center"/>
            <w:hideMark/>
          </w:tcPr>
          <w:p w14:paraId="0AD0B874" w14:textId="77777777" w:rsidR="003E5BF5" w:rsidRPr="007F3685" w:rsidRDefault="003E5BF5" w:rsidP="00DE1921">
            <w:pPr>
              <w:pStyle w:val="TableTextLeft"/>
              <w:rPr>
                <w:rFonts w:ascii="Arial" w:hAnsi="Arial" w:cs="Arial"/>
                <w:b/>
                <w:sz w:val="24"/>
                <w:szCs w:val="24"/>
                <w:lang w:eastAsia="en-AU"/>
              </w:rPr>
            </w:pPr>
            <w:r w:rsidRPr="007F3685">
              <w:rPr>
                <w:rFonts w:ascii="Arial" w:hAnsi="Arial" w:cs="Arial"/>
                <w:b/>
                <w:sz w:val="24"/>
                <w:szCs w:val="24"/>
                <w:lang w:eastAsia="en-AU"/>
              </w:rPr>
              <w:t>Total liabilities</w:t>
            </w:r>
          </w:p>
        </w:tc>
        <w:tc>
          <w:tcPr>
            <w:tcW w:w="921" w:type="dxa"/>
            <w:noWrap/>
            <w:vAlign w:val="center"/>
            <w:hideMark/>
          </w:tcPr>
          <w:p w14:paraId="0440F7E3" w14:textId="77777777" w:rsidR="003E5BF5" w:rsidRPr="007F3685" w:rsidRDefault="003E5BF5" w:rsidP="00DE1921">
            <w:pPr>
              <w:pStyle w:val="TableTextRight"/>
              <w:rPr>
                <w:rFonts w:ascii="Arial" w:hAnsi="Arial" w:cs="Arial"/>
                <w:sz w:val="24"/>
                <w:szCs w:val="24"/>
              </w:rPr>
            </w:pPr>
          </w:p>
        </w:tc>
        <w:tc>
          <w:tcPr>
            <w:tcW w:w="1392" w:type="dxa"/>
            <w:noWrap/>
            <w:vAlign w:val="center"/>
            <w:hideMark/>
          </w:tcPr>
          <w:p w14:paraId="4B72665A"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6,392,607 </w:t>
            </w:r>
          </w:p>
        </w:tc>
        <w:tc>
          <w:tcPr>
            <w:tcW w:w="1392" w:type="dxa"/>
            <w:noWrap/>
            <w:vAlign w:val="center"/>
            <w:hideMark/>
          </w:tcPr>
          <w:p w14:paraId="7ECD6EF2"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288,319 </w:t>
            </w:r>
          </w:p>
        </w:tc>
        <w:tc>
          <w:tcPr>
            <w:tcW w:w="1392" w:type="dxa"/>
            <w:noWrap/>
            <w:vAlign w:val="center"/>
            <w:hideMark/>
          </w:tcPr>
          <w:p w14:paraId="2A263B77"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6,680,926 </w:t>
            </w:r>
          </w:p>
        </w:tc>
      </w:tr>
      <w:tr w:rsidR="003E5BF5" w:rsidRPr="007F3685" w14:paraId="16BDF06C" w14:textId="77777777" w:rsidTr="003A4E79">
        <w:trPr>
          <w:trHeight w:val="340"/>
        </w:trPr>
        <w:tc>
          <w:tcPr>
            <w:tcW w:w="3975" w:type="dxa"/>
            <w:vAlign w:val="center"/>
            <w:hideMark/>
          </w:tcPr>
          <w:p w14:paraId="5A18A654"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Contributed capital</w:t>
            </w:r>
          </w:p>
        </w:tc>
        <w:tc>
          <w:tcPr>
            <w:tcW w:w="921" w:type="dxa"/>
            <w:vAlign w:val="center"/>
            <w:hideMark/>
          </w:tcPr>
          <w:p w14:paraId="7EB1DBB9"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lang w:eastAsia="en-AU"/>
              </w:rPr>
              <w:t>9.4</w:t>
            </w:r>
          </w:p>
        </w:tc>
        <w:tc>
          <w:tcPr>
            <w:tcW w:w="1392" w:type="dxa"/>
            <w:vAlign w:val="center"/>
            <w:hideMark/>
          </w:tcPr>
          <w:p w14:paraId="0847480A"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4,192,898 </w:t>
            </w:r>
          </w:p>
        </w:tc>
        <w:tc>
          <w:tcPr>
            <w:tcW w:w="1392" w:type="dxa"/>
            <w:noWrap/>
            <w:vAlign w:val="center"/>
            <w:hideMark/>
          </w:tcPr>
          <w:p w14:paraId="31A3569D"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 - </w:t>
            </w:r>
          </w:p>
        </w:tc>
        <w:tc>
          <w:tcPr>
            <w:tcW w:w="1392" w:type="dxa"/>
            <w:noWrap/>
            <w:vAlign w:val="center"/>
            <w:hideMark/>
          </w:tcPr>
          <w:p w14:paraId="623E9A9A"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4,192,898 </w:t>
            </w:r>
          </w:p>
        </w:tc>
      </w:tr>
      <w:tr w:rsidR="003E5BF5" w:rsidRPr="007F3685" w14:paraId="559CD52A" w14:textId="77777777" w:rsidTr="003A4E79">
        <w:trPr>
          <w:trHeight w:val="340"/>
        </w:trPr>
        <w:tc>
          <w:tcPr>
            <w:tcW w:w="3975" w:type="dxa"/>
            <w:vAlign w:val="center"/>
            <w:hideMark/>
          </w:tcPr>
          <w:p w14:paraId="0FBD16FC"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Accumulated surplus/(deficit)</w:t>
            </w:r>
          </w:p>
        </w:tc>
        <w:tc>
          <w:tcPr>
            <w:tcW w:w="921" w:type="dxa"/>
            <w:vAlign w:val="center"/>
            <w:hideMark/>
          </w:tcPr>
          <w:p w14:paraId="64277A6A" w14:textId="77777777" w:rsidR="003E5BF5" w:rsidRPr="007F3685" w:rsidRDefault="003E5BF5" w:rsidP="00DE1921">
            <w:pPr>
              <w:pStyle w:val="TableTextRight"/>
              <w:rPr>
                <w:rFonts w:ascii="Arial" w:hAnsi="Arial" w:cs="Arial"/>
                <w:sz w:val="24"/>
                <w:szCs w:val="24"/>
                <w:lang w:eastAsia="en-AU"/>
              </w:rPr>
            </w:pPr>
          </w:p>
        </w:tc>
        <w:tc>
          <w:tcPr>
            <w:tcW w:w="1392" w:type="dxa"/>
            <w:vAlign w:val="center"/>
            <w:hideMark/>
          </w:tcPr>
          <w:p w14:paraId="59902F8A"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(1,101,126)</w:t>
            </w:r>
          </w:p>
        </w:tc>
        <w:tc>
          <w:tcPr>
            <w:tcW w:w="1392" w:type="dxa"/>
            <w:noWrap/>
            <w:vAlign w:val="center"/>
            <w:hideMark/>
          </w:tcPr>
          <w:p w14:paraId="0B7CA4B7"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(41,112)</w:t>
            </w:r>
          </w:p>
        </w:tc>
        <w:tc>
          <w:tcPr>
            <w:tcW w:w="1392" w:type="dxa"/>
            <w:noWrap/>
            <w:vAlign w:val="center"/>
            <w:hideMark/>
          </w:tcPr>
          <w:p w14:paraId="47C7C351"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(1,142,238)</w:t>
            </w:r>
          </w:p>
        </w:tc>
      </w:tr>
      <w:tr w:rsidR="003E5BF5" w:rsidRPr="007F3685" w14:paraId="34345505" w14:textId="77777777" w:rsidTr="003A4E79">
        <w:trPr>
          <w:trHeight w:val="340"/>
        </w:trPr>
        <w:tc>
          <w:tcPr>
            <w:tcW w:w="3975" w:type="dxa"/>
            <w:vAlign w:val="center"/>
            <w:hideMark/>
          </w:tcPr>
          <w:p w14:paraId="7CAA84D2" w14:textId="77777777" w:rsidR="003E5BF5" w:rsidRPr="007F3685" w:rsidRDefault="003E5BF5" w:rsidP="00DE1921">
            <w:pPr>
              <w:pStyle w:val="TableTextLeft"/>
              <w:rPr>
                <w:rFonts w:ascii="Arial" w:hAnsi="Arial" w:cs="Arial"/>
                <w:sz w:val="24"/>
                <w:szCs w:val="24"/>
                <w:lang w:eastAsia="en-AU"/>
              </w:rPr>
            </w:pPr>
            <w:r w:rsidRPr="007F3685">
              <w:rPr>
                <w:rFonts w:ascii="Arial" w:hAnsi="Arial" w:cs="Arial"/>
                <w:sz w:val="24"/>
                <w:szCs w:val="24"/>
                <w:lang w:eastAsia="en-AU"/>
              </w:rPr>
              <w:t>Physical asset revaluation surplus</w:t>
            </w:r>
          </w:p>
        </w:tc>
        <w:tc>
          <w:tcPr>
            <w:tcW w:w="921" w:type="dxa"/>
            <w:vAlign w:val="center"/>
            <w:hideMark/>
          </w:tcPr>
          <w:p w14:paraId="34B660F4" w14:textId="77777777" w:rsidR="003E5BF5" w:rsidRPr="007F3685" w:rsidRDefault="003E5BF5" w:rsidP="00DE1921">
            <w:pPr>
              <w:pStyle w:val="TableTextRight"/>
              <w:rPr>
                <w:rFonts w:ascii="Arial" w:hAnsi="Arial" w:cs="Arial"/>
                <w:sz w:val="24"/>
                <w:szCs w:val="24"/>
                <w:lang w:eastAsia="en-AU"/>
              </w:rPr>
            </w:pPr>
          </w:p>
        </w:tc>
        <w:tc>
          <w:tcPr>
            <w:tcW w:w="1392" w:type="dxa"/>
            <w:vAlign w:val="center"/>
            <w:hideMark/>
          </w:tcPr>
          <w:p w14:paraId="53B2436F"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519,415 </w:t>
            </w:r>
          </w:p>
        </w:tc>
        <w:tc>
          <w:tcPr>
            <w:tcW w:w="1392" w:type="dxa"/>
            <w:noWrap/>
            <w:vAlign w:val="center"/>
            <w:hideMark/>
          </w:tcPr>
          <w:p w14:paraId="78D1EE82"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 - </w:t>
            </w:r>
          </w:p>
        </w:tc>
        <w:tc>
          <w:tcPr>
            <w:tcW w:w="1392" w:type="dxa"/>
            <w:noWrap/>
            <w:vAlign w:val="center"/>
            <w:hideMark/>
          </w:tcPr>
          <w:p w14:paraId="28B7F4BA" w14:textId="77777777" w:rsidR="003E5BF5" w:rsidRPr="007F3685" w:rsidRDefault="003E5BF5" w:rsidP="00DE1921">
            <w:pPr>
              <w:pStyle w:val="TableTextRight"/>
              <w:rPr>
                <w:rFonts w:ascii="Arial" w:hAnsi="Arial" w:cs="Arial"/>
                <w:sz w:val="24"/>
                <w:szCs w:val="24"/>
                <w:lang w:eastAsia="en-AU"/>
              </w:rPr>
            </w:pPr>
            <w:r w:rsidRPr="007F3685">
              <w:rPr>
                <w:rFonts w:ascii="Arial" w:hAnsi="Arial" w:cs="Arial"/>
                <w:sz w:val="24"/>
                <w:szCs w:val="24"/>
              </w:rPr>
              <w:t xml:space="preserve">519,415 </w:t>
            </w:r>
          </w:p>
        </w:tc>
      </w:tr>
      <w:tr w:rsidR="003E5BF5" w:rsidRPr="007F3685" w14:paraId="2B4E6634" w14:textId="77777777" w:rsidTr="003A4E79">
        <w:trPr>
          <w:trHeight w:val="340"/>
        </w:trPr>
        <w:tc>
          <w:tcPr>
            <w:tcW w:w="3975" w:type="dxa"/>
            <w:tcBorders>
              <w:bottom w:val="nil"/>
            </w:tcBorders>
            <w:noWrap/>
            <w:vAlign w:val="center"/>
            <w:hideMark/>
          </w:tcPr>
          <w:p w14:paraId="56AE654D" w14:textId="77777777" w:rsidR="003E5BF5" w:rsidRPr="007F3685" w:rsidRDefault="003E5BF5" w:rsidP="00DE1921">
            <w:pPr>
              <w:pStyle w:val="TableTextLeft"/>
              <w:rPr>
                <w:rFonts w:ascii="Arial" w:hAnsi="Arial" w:cs="Arial"/>
                <w:b/>
                <w:sz w:val="24"/>
                <w:szCs w:val="24"/>
                <w:lang w:eastAsia="en-AU"/>
              </w:rPr>
            </w:pPr>
            <w:r w:rsidRPr="007F3685">
              <w:rPr>
                <w:rFonts w:ascii="Arial" w:hAnsi="Arial" w:cs="Arial"/>
                <w:b/>
                <w:sz w:val="24"/>
                <w:szCs w:val="24"/>
                <w:lang w:eastAsia="en-AU"/>
              </w:rPr>
              <w:t>Net worth</w:t>
            </w:r>
          </w:p>
        </w:tc>
        <w:tc>
          <w:tcPr>
            <w:tcW w:w="921" w:type="dxa"/>
            <w:tcBorders>
              <w:bottom w:val="nil"/>
            </w:tcBorders>
            <w:noWrap/>
            <w:vAlign w:val="center"/>
            <w:hideMark/>
          </w:tcPr>
          <w:p w14:paraId="7B71158F" w14:textId="77777777" w:rsidR="003E5BF5" w:rsidRPr="007F3685" w:rsidRDefault="003E5BF5" w:rsidP="00DE1921">
            <w:pPr>
              <w:pStyle w:val="TableTextRight"/>
              <w:rPr>
                <w:rFonts w:ascii="Arial" w:hAnsi="Arial" w:cs="Arial"/>
                <w:sz w:val="24"/>
                <w:szCs w:val="24"/>
              </w:rPr>
            </w:pPr>
          </w:p>
        </w:tc>
        <w:tc>
          <w:tcPr>
            <w:tcW w:w="1392" w:type="dxa"/>
            <w:tcBorders>
              <w:bottom w:val="nil"/>
            </w:tcBorders>
            <w:noWrap/>
            <w:vAlign w:val="center"/>
            <w:hideMark/>
          </w:tcPr>
          <w:p w14:paraId="3C54FFF1"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3,611,187 </w:t>
            </w:r>
          </w:p>
        </w:tc>
        <w:tc>
          <w:tcPr>
            <w:tcW w:w="1392" w:type="dxa"/>
            <w:tcBorders>
              <w:bottom w:val="nil"/>
            </w:tcBorders>
            <w:noWrap/>
            <w:vAlign w:val="center"/>
            <w:hideMark/>
          </w:tcPr>
          <w:p w14:paraId="23EB9718"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(41,112)</w:t>
            </w:r>
          </w:p>
        </w:tc>
        <w:tc>
          <w:tcPr>
            <w:tcW w:w="1392" w:type="dxa"/>
            <w:tcBorders>
              <w:bottom w:val="nil"/>
            </w:tcBorders>
            <w:noWrap/>
            <w:vAlign w:val="center"/>
            <w:hideMark/>
          </w:tcPr>
          <w:p w14:paraId="201045B1"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3,570,075 </w:t>
            </w:r>
          </w:p>
        </w:tc>
      </w:tr>
    </w:tbl>
    <w:p w14:paraId="4AFA0669" w14:textId="77777777" w:rsidR="00C7363C" w:rsidRPr="007F3685" w:rsidRDefault="00C7363C" w:rsidP="00C7363C">
      <w:pPr>
        <w:pStyle w:val="Note"/>
        <w:rPr>
          <w:rFonts w:ascii="Arial" w:hAnsi="Arial" w:cs="Arial"/>
          <w:sz w:val="24"/>
          <w:szCs w:val="24"/>
        </w:rPr>
      </w:pPr>
      <w:r w:rsidRPr="007F3685">
        <w:rPr>
          <w:rFonts w:ascii="Arial" w:hAnsi="Arial" w:cs="Arial"/>
          <w:sz w:val="24"/>
          <w:szCs w:val="24"/>
        </w:rPr>
        <w:t>Note:</w:t>
      </w:r>
    </w:p>
    <w:p w14:paraId="74D4C4F4" w14:textId="77777777" w:rsidR="00C7363C" w:rsidRDefault="00C7363C" w:rsidP="00610F5F">
      <w:pPr>
        <w:pStyle w:val="aaaNotenumberiiiiii"/>
        <w:numPr>
          <w:ilvl w:val="0"/>
          <w:numId w:val="132"/>
        </w:numPr>
      </w:pPr>
      <w:r w:rsidRPr="006F3339">
        <w:t>VicRoads and PTV adopted these standards for the first time based on its 2018-19 Financial Statements and then transferred balances as contributed capital to the department on 1 July 2019. There are no comparatives relating to VicRoads and PTV within the department’s current year Financial Statements.</w:t>
      </w:r>
    </w:p>
    <w:p w14:paraId="2D3CA21F" w14:textId="77777777" w:rsidR="00C7363C" w:rsidRDefault="00C7363C" w:rsidP="00DE1921">
      <w:pPr>
        <w:rPr>
          <w:lang w:eastAsia="en-AU"/>
        </w:rPr>
      </w:pPr>
    </w:p>
    <w:p w14:paraId="3E8044C1" w14:textId="77777777" w:rsidR="003E5BF5" w:rsidRPr="00CB2C99" w:rsidRDefault="003E5BF5" w:rsidP="00DE1921">
      <w:pPr>
        <w:sectPr w:rsidR="003E5BF5" w:rsidRPr="00CB2C99" w:rsidSect="00DE1921">
          <w:pgSz w:w="11906" w:h="16838" w:code="9"/>
          <w:pgMar w:top="1701" w:right="1418" w:bottom="1418" w:left="1418" w:header="709" w:footer="709" w:gutter="0"/>
          <w:cols w:space="708"/>
          <w:docGrid w:linePitch="360"/>
        </w:sectPr>
      </w:pPr>
    </w:p>
    <w:p w14:paraId="59DA784D" w14:textId="77777777" w:rsidR="003E5BF5" w:rsidRPr="007444F0" w:rsidRDefault="003E5BF5" w:rsidP="00610F5F">
      <w:pPr>
        <w:pStyle w:val="Heading2"/>
        <w:numPr>
          <w:ilvl w:val="1"/>
          <w:numId w:val="22"/>
        </w:numPr>
      </w:pPr>
      <w:bookmarkStart w:id="667" w:name="p307"/>
      <w:bookmarkStart w:id="668" w:name="_Toc53420698"/>
      <w:bookmarkStart w:id="669" w:name="_Toc53420976"/>
      <w:bookmarkEnd w:id="667"/>
      <w:r w:rsidRPr="007444F0">
        <w:lastRenderedPageBreak/>
        <w:t>Responsible persons</w:t>
      </w:r>
      <w:bookmarkEnd w:id="657"/>
      <w:bookmarkEnd w:id="658"/>
      <w:bookmarkEnd w:id="659"/>
      <w:bookmarkEnd w:id="660"/>
      <w:bookmarkEnd w:id="661"/>
      <w:bookmarkEnd w:id="668"/>
      <w:bookmarkEnd w:id="669"/>
    </w:p>
    <w:p w14:paraId="2D461A29" w14:textId="77777777" w:rsidR="003E5BF5" w:rsidRDefault="003E5BF5" w:rsidP="00D74D26">
      <w:pPr>
        <w:pStyle w:val="aaatyping"/>
      </w:pPr>
      <w:r w:rsidRPr="007444F0">
        <w:t xml:space="preserve">In accordance with the Ministerial Directions issued by the Assistant Treasurer under the </w:t>
      </w:r>
      <w:r w:rsidRPr="007444F0">
        <w:rPr>
          <w:i/>
        </w:rPr>
        <w:t>Financial Management Act 1994</w:t>
      </w:r>
      <w:r w:rsidRPr="007444F0">
        <w:t>, the following disclosures are made regarding responsible persons for the reporting period</w:t>
      </w:r>
    </w:p>
    <w:p w14:paraId="756657DB" w14:textId="77777777" w:rsidR="003E5BF5" w:rsidRPr="007444F0" w:rsidRDefault="003E5BF5" w:rsidP="00EF5131">
      <w:pPr>
        <w:pStyle w:val="Heading5"/>
      </w:pPr>
      <w:r>
        <w:t>Names</w:t>
      </w:r>
    </w:p>
    <w:p w14:paraId="724558E7" w14:textId="77777777" w:rsidR="003E5BF5" w:rsidRPr="007444F0" w:rsidRDefault="003E5BF5" w:rsidP="00D74D26">
      <w:pPr>
        <w:pStyle w:val="aaatyping"/>
      </w:pPr>
      <w:r>
        <w:t>The persons who held the position of ministers in the department are as follows:</w:t>
      </w:r>
    </w:p>
    <w:tbl>
      <w:tblPr>
        <w:tblStyle w:val="TableGrid"/>
        <w:tblW w:w="9072" w:type="dxa"/>
        <w:tblLook w:val="04A0" w:firstRow="1" w:lastRow="0" w:firstColumn="1" w:lastColumn="0" w:noHBand="0" w:noVBand="1"/>
      </w:tblPr>
      <w:tblGrid>
        <w:gridCol w:w="2123"/>
        <w:gridCol w:w="4821"/>
        <w:gridCol w:w="2128"/>
      </w:tblGrid>
      <w:tr w:rsidR="003E5BF5" w:rsidRPr="007F3685" w14:paraId="3404A869" w14:textId="77777777" w:rsidTr="00D119EF">
        <w:trPr>
          <w:trHeight w:val="340"/>
        </w:trPr>
        <w:tc>
          <w:tcPr>
            <w:tcW w:w="1170" w:type="pct"/>
            <w:shd w:val="clear" w:color="auto" w:fill="auto"/>
            <w:vAlign w:val="center"/>
          </w:tcPr>
          <w:p w14:paraId="697088EE" w14:textId="77777777" w:rsidR="003E5BF5" w:rsidRPr="007F3685" w:rsidRDefault="003E5BF5" w:rsidP="00604703">
            <w:pPr>
              <w:pStyle w:val="TableTextGreen"/>
            </w:pPr>
            <w:r w:rsidRPr="007F3685">
              <w:t>Name</w:t>
            </w:r>
          </w:p>
        </w:tc>
        <w:tc>
          <w:tcPr>
            <w:tcW w:w="2657" w:type="pct"/>
            <w:shd w:val="clear" w:color="auto" w:fill="auto"/>
            <w:vAlign w:val="center"/>
          </w:tcPr>
          <w:p w14:paraId="1D420BC6" w14:textId="77777777" w:rsidR="003E5BF5" w:rsidRPr="007F3685" w:rsidRDefault="003E5BF5" w:rsidP="00604703">
            <w:pPr>
              <w:pStyle w:val="TableTextGreen"/>
            </w:pPr>
            <w:r w:rsidRPr="007F3685">
              <w:t>Position</w:t>
            </w:r>
          </w:p>
        </w:tc>
        <w:tc>
          <w:tcPr>
            <w:tcW w:w="1174" w:type="pct"/>
            <w:shd w:val="clear" w:color="auto" w:fill="auto"/>
            <w:vAlign w:val="center"/>
          </w:tcPr>
          <w:p w14:paraId="09CA6155" w14:textId="77777777" w:rsidR="003E5BF5" w:rsidRPr="007F3685" w:rsidRDefault="003E5BF5" w:rsidP="00604703">
            <w:pPr>
              <w:pStyle w:val="TableTextGreen"/>
            </w:pPr>
            <w:r w:rsidRPr="007F3685">
              <w:t>Period</w:t>
            </w:r>
          </w:p>
        </w:tc>
      </w:tr>
      <w:tr w:rsidR="003E5BF5" w:rsidRPr="007F3685" w14:paraId="254DECA4" w14:textId="77777777" w:rsidTr="00D119EF">
        <w:trPr>
          <w:trHeight w:val="340"/>
        </w:trPr>
        <w:tc>
          <w:tcPr>
            <w:tcW w:w="1170" w:type="pct"/>
            <w:vMerge w:val="restart"/>
            <w:shd w:val="clear" w:color="auto" w:fill="auto"/>
            <w:vAlign w:val="center"/>
          </w:tcPr>
          <w:p w14:paraId="31BD9644"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The Hon Jacinta Allan MP</w:t>
            </w:r>
          </w:p>
        </w:tc>
        <w:tc>
          <w:tcPr>
            <w:tcW w:w="2657" w:type="pct"/>
            <w:shd w:val="clear" w:color="auto" w:fill="auto"/>
            <w:vAlign w:val="center"/>
          </w:tcPr>
          <w:p w14:paraId="513A8B8A"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Minister for Transport Infrastructure</w:t>
            </w:r>
          </w:p>
        </w:tc>
        <w:tc>
          <w:tcPr>
            <w:tcW w:w="1174" w:type="pct"/>
            <w:shd w:val="clear" w:color="auto" w:fill="auto"/>
            <w:vAlign w:val="center"/>
          </w:tcPr>
          <w:p w14:paraId="4E0808FF"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 July 2019 to 21 June 2020</w:t>
            </w:r>
          </w:p>
        </w:tc>
      </w:tr>
      <w:tr w:rsidR="003E5BF5" w:rsidRPr="007F3685" w14:paraId="5A9CE574" w14:textId="77777777" w:rsidTr="00D119EF">
        <w:trPr>
          <w:trHeight w:val="340"/>
        </w:trPr>
        <w:tc>
          <w:tcPr>
            <w:tcW w:w="1170" w:type="pct"/>
            <w:vMerge/>
            <w:shd w:val="clear" w:color="auto" w:fill="auto"/>
            <w:vAlign w:val="center"/>
          </w:tcPr>
          <w:p w14:paraId="397C066D" w14:textId="77777777" w:rsidR="003E5BF5" w:rsidRPr="007F3685" w:rsidRDefault="003E5BF5" w:rsidP="00DE1921">
            <w:pPr>
              <w:pStyle w:val="TableTextLeft"/>
              <w:rPr>
                <w:rFonts w:ascii="Arial" w:hAnsi="Arial" w:cs="Arial"/>
                <w:sz w:val="24"/>
                <w:szCs w:val="24"/>
              </w:rPr>
            </w:pPr>
          </w:p>
        </w:tc>
        <w:tc>
          <w:tcPr>
            <w:tcW w:w="2657" w:type="pct"/>
            <w:shd w:val="clear" w:color="auto" w:fill="auto"/>
            <w:vAlign w:val="center"/>
          </w:tcPr>
          <w:p w14:paraId="660F5BF0"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Leader of the House</w:t>
            </w:r>
          </w:p>
          <w:p w14:paraId="7646E5F1"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Minister for the Coordination of Transport – Coronavirus </w:t>
            </w:r>
          </w:p>
          <w:p w14:paraId="18F05400"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Minister for Transport Infrastructure</w:t>
            </w:r>
          </w:p>
          <w:p w14:paraId="56D34ACE"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Minister for the Suburban Rail Loop</w:t>
            </w:r>
          </w:p>
        </w:tc>
        <w:tc>
          <w:tcPr>
            <w:tcW w:w="1174" w:type="pct"/>
            <w:shd w:val="clear" w:color="auto" w:fill="auto"/>
            <w:vAlign w:val="center"/>
          </w:tcPr>
          <w:p w14:paraId="02E9B3A1"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22 June 2020 to 30 June 2020</w:t>
            </w:r>
          </w:p>
        </w:tc>
      </w:tr>
      <w:tr w:rsidR="003E5BF5" w:rsidRPr="007F3685" w14:paraId="08B2D4D4" w14:textId="77777777" w:rsidTr="00D119EF">
        <w:trPr>
          <w:trHeight w:val="340"/>
        </w:trPr>
        <w:tc>
          <w:tcPr>
            <w:tcW w:w="1170" w:type="pct"/>
            <w:vMerge w:val="restart"/>
            <w:shd w:val="clear" w:color="auto" w:fill="auto"/>
            <w:vAlign w:val="center"/>
          </w:tcPr>
          <w:p w14:paraId="501B754C"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The Hon Melissa Horne MP</w:t>
            </w:r>
          </w:p>
        </w:tc>
        <w:tc>
          <w:tcPr>
            <w:tcW w:w="2657" w:type="pct"/>
            <w:shd w:val="clear" w:color="auto" w:fill="auto"/>
            <w:vAlign w:val="center"/>
          </w:tcPr>
          <w:p w14:paraId="486FD381"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Minister for Ports and Freight</w:t>
            </w:r>
          </w:p>
          <w:p w14:paraId="0511CF1D"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Minister for Public Transport</w:t>
            </w:r>
          </w:p>
        </w:tc>
        <w:tc>
          <w:tcPr>
            <w:tcW w:w="1174" w:type="pct"/>
            <w:shd w:val="clear" w:color="auto" w:fill="auto"/>
            <w:vAlign w:val="center"/>
          </w:tcPr>
          <w:p w14:paraId="17433772"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 July 2019 to 21 June 2020</w:t>
            </w:r>
          </w:p>
        </w:tc>
      </w:tr>
      <w:tr w:rsidR="003E5BF5" w:rsidRPr="007F3685" w14:paraId="62370C6B" w14:textId="77777777" w:rsidTr="00D119EF">
        <w:trPr>
          <w:trHeight w:val="340"/>
        </w:trPr>
        <w:tc>
          <w:tcPr>
            <w:tcW w:w="1170" w:type="pct"/>
            <w:vMerge/>
            <w:shd w:val="clear" w:color="auto" w:fill="auto"/>
            <w:vAlign w:val="center"/>
          </w:tcPr>
          <w:p w14:paraId="4F9B7646" w14:textId="77777777" w:rsidR="003E5BF5" w:rsidRPr="007F3685" w:rsidRDefault="003E5BF5" w:rsidP="00DE1921">
            <w:pPr>
              <w:pStyle w:val="TableTextLeft"/>
              <w:rPr>
                <w:rFonts w:ascii="Arial" w:hAnsi="Arial" w:cs="Arial"/>
                <w:sz w:val="24"/>
                <w:szCs w:val="24"/>
              </w:rPr>
            </w:pPr>
          </w:p>
        </w:tc>
        <w:tc>
          <w:tcPr>
            <w:tcW w:w="2657" w:type="pct"/>
            <w:shd w:val="clear" w:color="auto" w:fill="auto"/>
            <w:vAlign w:val="center"/>
          </w:tcPr>
          <w:p w14:paraId="1A152A2F"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Minister for Consumer Affairs, Gaming and Liquor Regulation</w:t>
            </w:r>
          </w:p>
          <w:p w14:paraId="38FFFCE1"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Minister for Ports and Freight</w:t>
            </w:r>
          </w:p>
          <w:p w14:paraId="4F95193B"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Minister for Fishing and Boating</w:t>
            </w:r>
          </w:p>
        </w:tc>
        <w:tc>
          <w:tcPr>
            <w:tcW w:w="1174" w:type="pct"/>
            <w:shd w:val="clear" w:color="auto" w:fill="auto"/>
            <w:vAlign w:val="center"/>
          </w:tcPr>
          <w:p w14:paraId="25F5CFF1"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22 June 2020 to 30 June 2020</w:t>
            </w:r>
          </w:p>
        </w:tc>
      </w:tr>
      <w:tr w:rsidR="003E5BF5" w:rsidRPr="007F3685" w14:paraId="6CC1E852" w14:textId="77777777" w:rsidTr="00D119EF">
        <w:trPr>
          <w:trHeight w:val="340"/>
        </w:trPr>
        <w:tc>
          <w:tcPr>
            <w:tcW w:w="1170" w:type="pct"/>
            <w:shd w:val="clear" w:color="auto" w:fill="auto"/>
            <w:vAlign w:val="center"/>
          </w:tcPr>
          <w:p w14:paraId="74E443BA"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The Hon </w:t>
            </w:r>
            <w:proofErr w:type="spellStart"/>
            <w:r w:rsidRPr="007F3685">
              <w:rPr>
                <w:rFonts w:ascii="Arial" w:hAnsi="Arial" w:cs="Arial"/>
                <w:sz w:val="24"/>
                <w:szCs w:val="24"/>
              </w:rPr>
              <w:t>Jaala</w:t>
            </w:r>
            <w:proofErr w:type="spellEnd"/>
            <w:r w:rsidRPr="007F3685">
              <w:rPr>
                <w:rFonts w:ascii="Arial" w:hAnsi="Arial" w:cs="Arial"/>
                <w:sz w:val="24"/>
                <w:szCs w:val="24"/>
              </w:rPr>
              <w:t xml:space="preserve"> Pulford MP</w:t>
            </w:r>
          </w:p>
        </w:tc>
        <w:tc>
          <w:tcPr>
            <w:tcW w:w="2657" w:type="pct"/>
            <w:shd w:val="clear" w:color="auto" w:fill="auto"/>
            <w:vAlign w:val="center"/>
          </w:tcPr>
          <w:p w14:paraId="7407351F"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Minister for Roads</w:t>
            </w:r>
          </w:p>
          <w:p w14:paraId="538DDE85"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Minister for Road Safety and the TAC</w:t>
            </w:r>
          </w:p>
          <w:p w14:paraId="049E82B1"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Minister for Fishing and Boating</w:t>
            </w:r>
          </w:p>
        </w:tc>
        <w:tc>
          <w:tcPr>
            <w:tcW w:w="1174" w:type="pct"/>
            <w:shd w:val="clear" w:color="auto" w:fill="auto"/>
            <w:vAlign w:val="center"/>
          </w:tcPr>
          <w:p w14:paraId="500862C4"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 July 2019 to 21 June 2020</w:t>
            </w:r>
          </w:p>
        </w:tc>
      </w:tr>
      <w:tr w:rsidR="003E5BF5" w:rsidRPr="007F3685" w14:paraId="784D4405" w14:textId="77777777" w:rsidTr="00D119EF">
        <w:trPr>
          <w:trHeight w:val="340"/>
        </w:trPr>
        <w:tc>
          <w:tcPr>
            <w:tcW w:w="1170" w:type="pct"/>
            <w:shd w:val="clear" w:color="auto" w:fill="auto"/>
            <w:vAlign w:val="center"/>
          </w:tcPr>
          <w:p w14:paraId="65FA79F0"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The Hon Ben Carroll MP</w:t>
            </w:r>
          </w:p>
        </w:tc>
        <w:tc>
          <w:tcPr>
            <w:tcW w:w="2657" w:type="pct"/>
            <w:shd w:val="clear" w:color="auto" w:fill="auto"/>
            <w:vAlign w:val="center"/>
          </w:tcPr>
          <w:p w14:paraId="5524D89C"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Minister for Public Transport</w:t>
            </w:r>
          </w:p>
          <w:p w14:paraId="0196AC25"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Minister for Roads and Road Safety</w:t>
            </w:r>
          </w:p>
        </w:tc>
        <w:tc>
          <w:tcPr>
            <w:tcW w:w="1174" w:type="pct"/>
            <w:shd w:val="clear" w:color="auto" w:fill="auto"/>
            <w:vAlign w:val="center"/>
          </w:tcPr>
          <w:p w14:paraId="0C56C842"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22 June 2020 to 30 June 2020</w:t>
            </w:r>
          </w:p>
        </w:tc>
      </w:tr>
      <w:tr w:rsidR="003E5BF5" w:rsidRPr="007F3685" w14:paraId="686BCFDE" w14:textId="77777777" w:rsidTr="00D119EF">
        <w:trPr>
          <w:trHeight w:val="340"/>
        </w:trPr>
        <w:tc>
          <w:tcPr>
            <w:tcW w:w="1170" w:type="pct"/>
            <w:shd w:val="clear" w:color="auto" w:fill="auto"/>
            <w:vAlign w:val="center"/>
          </w:tcPr>
          <w:p w14:paraId="47377A6D"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Paul Younis</w:t>
            </w:r>
          </w:p>
        </w:tc>
        <w:tc>
          <w:tcPr>
            <w:tcW w:w="2657" w:type="pct"/>
            <w:shd w:val="clear" w:color="auto" w:fill="auto"/>
            <w:vAlign w:val="center"/>
          </w:tcPr>
          <w:p w14:paraId="36607A8B"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Secretary</w:t>
            </w:r>
          </w:p>
        </w:tc>
        <w:tc>
          <w:tcPr>
            <w:tcW w:w="1174" w:type="pct"/>
            <w:shd w:val="clear" w:color="auto" w:fill="auto"/>
            <w:vAlign w:val="center"/>
          </w:tcPr>
          <w:p w14:paraId="2E4A0342"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 July 2019 to 30 June 2020</w:t>
            </w:r>
          </w:p>
        </w:tc>
      </w:tr>
    </w:tbl>
    <w:p w14:paraId="0B127023" w14:textId="77777777" w:rsidR="003E5BF5" w:rsidRPr="007444F0" w:rsidRDefault="003E5BF5" w:rsidP="00507B10">
      <w:pPr>
        <w:pStyle w:val="Heading5"/>
        <w:spacing w:before="120"/>
      </w:pPr>
      <w:r>
        <w:t>Remuneration</w:t>
      </w:r>
    </w:p>
    <w:p w14:paraId="5D64A530" w14:textId="77777777" w:rsidR="003E5BF5" w:rsidRDefault="003E5BF5" w:rsidP="00D74D26">
      <w:pPr>
        <w:pStyle w:val="aaatyping"/>
      </w:pPr>
      <w:r>
        <w:t>R</w:t>
      </w:r>
      <w:r w:rsidRPr="007444F0">
        <w:t xml:space="preserve">emuneration received or receivable by the accountable </w:t>
      </w:r>
      <w:r w:rsidRPr="003A025B">
        <w:t xml:space="preserve">officers in connection with the management of the department during the reporting period was in the range of </w:t>
      </w:r>
      <w:r w:rsidRPr="00C3460F">
        <w:t>$</w:t>
      </w:r>
      <w:r w:rsidRPr="002C01D1">
        <w:t>580</w:t>
      </w:r>
      <w:r>
        <w:t>,</w:t>
      </w:r>
      <w:r w:rsidRPr="002C01D1">
        <w:t xml:space="preserve">000 - $590,000 </w:t>
      </w:r>
      <w:r w:rsidRPr="003A025B">
        <w:t>(</w:t>
      </w:r>
      <w:r>
        <w:t xml:space="preserve">2019: </w:t>
      </w:r>
      <w:r w:rsidRPr="003A025B">
        <w:t>$1</w:t>
      </w:r>
      <w:r>
        <w:t>,</w:t>
      </w:r>
      <w:r w:rsidRPr="003A025B">
        <w:t>0</w:t>
      </w:r>
      <w:r>
        <w:t>4</w:t>
      </w:r>
      <w:r w:rsidRPr="003A025B">
        <w:t>0</w:t>
      </w:r>
      <w:r>
        <w:t>,</w:t>
      </w:r>
      <w:r w:rsidRPr="003A025B">
        <w:t>000 - $1</w:t>
      </w:r>
      <w:r>
        <w:t>,</w:t>
      </w:r>
      <w:r w:rsidRPr="003A025B">
        <w:t>0</w:t>
      </w:r>
      <w:r>
        <w:t>5</w:t>
      </w:r>
      <w:r w:rsidRPr="003A025B">
        <w:t>0</w:t>
      </w:r>
      <w:r>
        <w:t>,</w:t>
      </w:r>
      <w:r w:rsidRPr="003A025B">
        <w:t>000</w:t>
      </w:r>
      <w:r w:rsidRPr="0073342E">
        <w:t xml:space="preserve"> </w:t>
      </w:r>
      <w:r w:rsidRPr="00761A1F">
        <w:t>inclusive of termination benefits</w:t>
      </w:r>
      <w:r w:rsidRPr="003A025B">
        <w:t>).</w:t>
      </w:r>
    </w:p>
    <w:p w14:paraId="7921FE4C" w14:textId="57BD4D71" w:rsidR="00507B10" w:rsidRDefault="003E5BF5" w:rsidP="00D74D26">
      <w:pPr>
        <w:pStyle w:val="aaatyping"/>
      </w:pPr>
      <w:r w:rsidRPr="007444F0">
        <w:lastRenderedPageBreak/>
        <w:t>Amounts relating to ministers are reported in the financial statements of the Department of Parliamentary Services. For information regarding related party transactions of ministers, the register of members’ interests is available from:</w:t>
      </w:r>
      <w:r>
        <w:t xml:space="preserve"> w</w:t>
      </w:r>
      <w:r w:rsidRPr="007444F0">
        <w:t>ww.parliament.vic.gov.au/publications/register</w:t>
      </w:r>
      <w:r w:rsidRPr="007444F0">
        <w:rPr>
          <w:rFonts w:ascii="Times New Roman" w:hAnsi="Times New Roman" w:cs="Times New Roman"/>
        </w:rPr>
        <w:t>‑</w:t>
      </w:r>
      <w:r w:rsidRPr="007444F0">
        <w:t>of</w:t>
      </w:r>
      <w:r w:rsidRPr="007444F0">
        <w:rPr>
          <w:rFonts w:ascii="Times New Roman" w:hAnsi="Times New Roman" w:cs="Times New Roman"/>
        </w:rPr>
        <w:t>‑</w:t>
      </w:r>
      <w:r w:rsidRPr="007444F0">
        <w:t>interests</w:t>
      </w:r>
      <w:bookmarkStart w:id="670" w:name="_Toc522177857"/>
      <w:bookmarkStart w:id="671" w:name="_Toc529197942"/>
      <w:bookmarkStart w:id="672" w:name="_Toc529198007"/>
      <w:bookmarkStart w:id="673" w:name="_Toc530386204"/>
      <w:bookmarkStart w:id="674" w:name="_Toc9344380"/>
      <w:r w:rsidR="00507B10">
        <w:br w:type="page"/>
      </w:r>
    </w:p>
    <w:p w14:paraId="23D651C6" w14:textId="77777777" w:rsidR="003E5BF5" w:rsidRPr="001A6A43" w:rsidRDefault="003E5BF5" w:rsidP="00DE1921">
      <w:pPr>
        <w:sectPr w:rsidR="003E5BF5" w:rsidRPr="001A6A43" w:rsidSect="00DE1921">
          <w:headerReference w:type="even" r:id="rId215"/>
          <w:headerReference w:type="default" r:id="rId216"/>
          <w:headerReference w:type="first" r:id="rId217"/>
          <w:pgSz w:w="11906" w:h="16838"/>
          <w:pgMar w:top="1701" w:right="1418" w:bottom="1418" w:left="1418" w:header="708" w:footer="708" w:gutter="0"/>
          <w:cols w:space="709"/>
          <w:docGrid w:linePitch="360"/>
        </w:sectPr>
      </w:pPr>
    </w:p>
    <w:p w14:paraId="700BE92D" w14:textId="77777777" w:rsidR="003E5BF5" w:rsidRPr="007444F0" w:rsidRDefault="003E5BF5" w:rsidP="00610F5F">
      <w:pPr>
        <w:pStyle w:val="Heading2"/>
        <w:numPr>
          <w:ilvl w:val="1"/>
          <w:numId w:val="22"/>
        </w:numPr>
      </w:pPr>
      <w:bookmarkStart w:id="675" w:name="_Toc53420699"/>
      <w:bookmarkStart w:id="676" w:name="_Toc53420977"/>
      <w:r w:rsidRPr="007444F0">
        <w:lastRenderedPageBreak/>
        <w:t>Remuneration of executives</w:t>
      </w:r>
      <w:bookmarkEnd w:id="670"/>
      <w:bookmarkEnd w:id="671"/>
      <w:bookmarkEnd w:id="672"/>
      <w:bookmarkEnd w:id="673"/>
      <w:bookmarkEnd w:id="674"/>
      <w:bookmarkEnd w:id="675"/>
      <w:bookmarkEnd w:id="676"/>
    </w:p>
    <w:p w14:paraId="13FD51CC" w14:textId="77777777" w:rsidR="003E5BF5" w:rsidRDefault="003E5BF5" w:rsidP="00DE1921">
      <w:pPr>
        <w:spacing w:before="120"/>
        <w:sectPr w:rsidR="003E5BF5" w:rsidSect="00DE1921">
          <w:type w:val="continuous"/>
          <w:pgSz w:w="11906" w:h="16838"/>
          <w:pgMar w:top="1701" w:right="1418" w:bottom="1418" w:left="1418" w:header="708" w:footer="708" w:gutter="0"/>
          <w:cols w:space="709"/>
          <w:docGrid w:linePitch="360"/>
        </w:sectPr>
      </w:pPr>
    </w:p>
    <w:p w14:paraId="7837A8B1" w14:textId="77777777" w:rsidR="003E5BF5" w:rsidRPr="007444F0" w:rsidRDefault="003E5BF5" w:rsidP="00D74D26">
      <w:pPr>
        <w:pStyle w:val="aaatyping"/>
      </w:pPr>
      <w:r w:rsidRPr="007444F0">
        <w:t>The number of executive officers, other than ministers and accountable officers, and their total remuneration during the reporting period are shown in the table below. Total annualised employee equivalents provide a measure of full-time equivalent executive officers over the reporting period.</w:t>
      </w:r>
    </w:p>
    <w:p w14:paraId="0A4F873D" w14:textId="77777777" w:rsidR="003E5BF5" w:rsidRPr="007444F0" w:rsidRDefault="003E5BF5" w:rsidP="00D74D26">
      <w:pPr>
        <w:pStyle w:val="aaatyping"/>
      </w:pPr>
      <w:r w:rsidRPr="007444F0">
        <w:t>Remuneration comprises employee benefits in all forms of consideration paid, payable or provided by the entity, or on behalf of the entity, in exchange for services rendered, and is disclosed in categories</w:t>
      </w:r>
      <w:r>
        <w:t>:</w:t>
      </w:r>
    </w:p>
    <w:p w14:paraId="2803E93B" w14:textId="77777777" w:rsidR="003E5BF5" w:rsidRPr="007444F0" w:rsidRDefault="003E5BF5" w:rsidP="00D74D26">
      <w:pPr>
        <w:pStyle w:val="aaabullet"/>
      </w:pPr>
      <w:r w:rsidRPr="006F6308">
        <w:rPr>
          <w:b/>
        </w:rPr>
        <w:t>Short-term employee benefits</w:t>
      </w:r>
      <w:r w:rsidRPr="007444F0">
        <w:t xml:space="preserve"> include amounts such as wages, salaries, annual leave or sick leave that are usually paid or payable on a regular basis, as well as non-monetary benefits such as allowances and free or subsidised goods or services.</w:t>
      </w:r>
    </w:p>
    <w:p w14:paraId="39174D82" w14:textId="77777777" w:rsidR="003E5BF5" w:rsidRPr="007444F0" w:rsidRDefault="003E5BF5" w:rsidP="00D74D26">
      <w:pPr>
        <w:pStyle w:val="aaabullet"/>
      </w:pPr>
      <w:r w:rsidRPr="006F6308">
        <w:rPr>
          <w:b/>
        </w:rPr>
        <w:t>Post-employment benefits</w:t>
      </w:r>
      <w:r w:rsidRPr="007444F0">
        <w:t xml:space="preserve"> include pensions and other retirement benefits paid or payable on a discrete basis when employment has ceased.</w:t>
      </w:r>
    </w:p>
    <w:p w14:paraId="4E053C3B" w14:textId="77777777" w:rsidR="003E5BF5" w:rsidRDefault="003E5BF5" w:rsidP="00D74D26">
      <w:pPr>
        <w:pStyle w:val="aaabullet"/>
      </w:pPr>
      <w:r w:rsidRPr="006F6308">
        <w:rPr>
          <w:b/>
        </w:rPr>
        <w:t>Other long-term benefits</w:t>
      </w:r>
      <w:r w:rsidRPr="007444F0">
        <w:t xml:space="preserve"> include long service leave, other long service benefits or deferred compensation.</w:t>
      </w:r>
    </w:p>
    <w:p w14:paraId="39E492A1" w14:textId="0F363810" w:rsidR="00785AC1" w:rsidRDefault="003E5BF5" w:rsidP="00D74D26">
      <w:pPr>
        <w:pStyle w:val="aaabullet"/>
        <w:rPr>
          <w:bCs/>
        </w:rPr>
      </w:pPr>
      <w:r>
        <w:rPr>
          <w:b/>
        </w:rPr>
        <w:t>Termination benefits</w:t>
      </w:r>
      <w:r>
        <w:rPr>
          <w:bCs/>
        </w:rPr>
        <w:t xml:space="preserve"> include termination of employee payments, such as severance packages.</w:t>
      </w:r>
      <w:r w:rsidR="00785AC1">
        <w:rPr>
          <w:bCs/>
        </w:rPr>
        <w:br w:type="page"/>
      </w:r>
    </w:p>
    <w:p w14:paraId="474FD325" w14:textId="77777777" w:rsidR="003E5BF5" w:rsidRPr="00A2530A" w:rsidRDefault="003E5BF5" w:rsidP="00EF5131">
      <w:pPr>
        <w:pStyle w:val="Heading5"/>
      </w:pPr>
      <w:bookmarkStart w:id="677" w:name="RANGE!A3:C13"/>
      <w:bookmarkStart w:id="678" w:name="_Toc522177858"/>
      <w:bookmarkStart w:id="679" w:name="_Toc529197943"/>
      <w:bookmarkStart w:id="680" w:name="_Toc529198008"/>
      <w:bookmarkStart w:id="681" w:name="_Toc530386205"/>
      <w:bookmarkStart w:id="682" w:name="_Toc9344381"/>
      <w:bookmarkEnd w:id="677"/>
      <w:r>
        <w:lastRenderedPageBreak/>
        <w:t>Remuneration of executive officers</w:t>
      </w:r>
    </w:p>
    <w:tbl>
      <w:tblPr>
        <w:tblStyle w:val="TableGrid"/>
        <w:tblW w:w="0" w:type="auto"/>
        <w:tblLayout w:type="fixed"/>
        <w:tblLook w:val="04A0" w:firstRow="1" w:lastRow="0" w:firstColumn="1" w:lastColumn="0" w:noHBand="0" w:noVBand="1"/>
      </w:tblPr>
      <w:tblGrid>
        <w:gridCol w:w="6614"/>
        <w:gridCol w:w="1215"/>
        <w:gridCol w:w="1231"/>
      </w:tblGrid>
      <w:tr w:rsidR="003E5BF5" w:rsidRPr="007F3685" w14:paraId="473271D4" w14:textId="77777777" w:rsidTr="00086107">
        <w:trPr>
          <w:trHeight w:val="340"/>
        </w:trPr>
        <w:tc>
          <w:tcPr>
            <w:tcW w:w="6614" w:type="dxa"/>
            <w:shd w:val="clear" w:color="auto" w:fill="auto"/>
            <w:noWrap/>
            <w:vAlign w:val="center"/>
            <w:hideMark/>
          </w:tcPr>
          <w:p w14:paraId="5C64101A" w14:textId="77777777" w:rsidR="003E5BF5" w:rsidRPr="007F3685" w:rsidRDefault="003E5BF5" w:rsidP="00DE1921">
            <w:pPr>
              <w:pStyle w:val="TableTextLeft"/>
              <w:rPr>
                <w:rFonts w:ascii="Arial" w:hAnsi="Arial" w:cs="Arial"/>
                <w:sz w:val="24"/>
                <w:szCs w:val="24"/>
              </w:rPr>
            </w:pPr>
          </w:p>
        </w:tc>
        <w:tc>
          <w:tcPr>
            <w:tcW w:w="2446" w:type="dxa"/>
            <w:gridSpan w:val="2"/>
            <w:shd w:val="clear" w:color="auto" w:fill="auto"/>
            <w:vAlign w:val="center"/>
            <w:hideMark/>
          </w:tcPr>
          <w:p w14:paraId="05CA913D" w14:textId="77777777" w:rsidR="003E5BF5" w:rsidRPr="007F3685" w:rsidRDefault="003E5BF5" w:rsidP="00DE1921">
            <w:pPr>
              <w:pStyle w:val="TableTextRight"/>
              <w:jc w:val="center"/>
              <w:rPr>
                <w:rFonts w:ascii="Arial" w:hAnsi="Arial" w:cs="Arial"/>
                <w:b/>
                <w:sz w:val="24"/>
                <w:szCs w:val="24"/>
              </w:rPr>
            </w:pPr>
            <w:r w:rsidRPr="007F3685">
              <w:rPr>
                <w:rFonts w:ascii="Arial" w:hAnsi="Arial" w:cs="Arial"/>
                <w:b/>
                <w:sz w:val="24"/>
                <w:szCs w:val="24"/>
              </w:rPr>
              <w:t>($ thousand)</w:t>
            </w:r>
          </w:p>
        </w:tc>
      </w:tr>
      <w:tr w:rsidR="003E5BF5" w:rsidRPr="007F3685" w14:paraId="4222C2E5" w14:textId="77777777" w:rsidTr="00086107">
        <w:trPr>
          <w:trHeight w:val="340"/>
        </w:trPr>
        <w:tc>
          <w:tcPr>
            <w:tcW w:w="6614" w:type="dxa"/>
            <w:shd w:val="clear" w:color="auto" w:fill="auto"/>
            <w:noWrap/>
            <w:vAlign w:val="center"/>
            <w:hideMark/>
          </w:tcPr>
          <w:p w14:paraId="7545B358"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w:t>
            </w:r>
          </w:p>
        </w:tc>
        <w:tc>
          <w:tcPr>
            <w:tcW w:w="1215" w:type="dxa"/>
            <w:shd w:val="clear" w:color="auto" w:fill="auto"/>
            <w:noWrap/>
            <w:vAlign w:val="center"/>
            <w:hideMark/>
          </w:tcPr>
          <w:p w14:paraId="0DFE354D"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2020</w:t>
            </w:r>
          </w:p>
        </w:tc>
        <w:tc>
          <w:tcPr>
            <w:tcW w:w="1231" w:type="dxa"/>
            <w:shd w:val="clear" w:color="auto" w:fill="auto"/>
            <w:noWrap/>
            <w:vAlign w:val="center"/>
            <w:hideMark/>
          </w:tcPr>
          <w:p w14:paraId="6C4F8809"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2019</w:t>
            </w:r>
          </w:p>
        </w:tc>
      </w:tr>
      <w:tr w:rsidR="003E5BF5" w:rsidRPr="007F3685" w14:paraId="62B48DE6" w14:textId="77777777" w:rsidTr="00086107">
        <w:trPr>
          <w:trHeight w:val="340"/>
        </w:trPr>
        <w:tc>
          <w:tcPr>
            <w:tcW w:w="6614" w:type="dxa"/>
            <w:shd w:val="clear" w:color="auto" w:fill="auto"/>
            <w:noWrap/>
            <w:vAlign w:val="center"/>
            <w:hideMark/>
          </w:tcPr>
          <w:p w14:paraId="4A9BAE52"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Short-term employee benefits</w:t>
            </w:r>
          </w:p>
        </w:tc>
        <w:tc>
          <w:tcPr>
            <w:tcW w:w="1215" w:type="dxa"/>
            <w:shd w:val="clear" w:color="auto" w:fill="auto"/>
            <w:noWrap/>
            <w:vAlign w:val="center"/>
            <w:hideMark/>
          </w:tcPr>
          <w:p w14:paraId="517B658A"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85,627 </w:t>
            </w:r>
          </w:p>
        </w:tc>
        <w:tc>
          <w:tcPr>
            <w:tcW w:w="1231" w:type="dxa"/>
            <w:shd w:val="clear" w:color="auto" w:fill="auto"/>
            <w:noWrap/>
            <w:vAlign w:val="center"/>
            <w:hideMark/>
          </w:tcPr>
          <w:p w14:paraId="05F3529A"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60,995 </w:t>
            </w:r>
          </w:p>
        </w:tc>
      </w:tr>
      <w:tr w:rsidR="003E5BF5" w:rsidRPr="007F3685" w14:paraId="2839F188" w14:textId="77777777" w:rsidTr="00086107">
        <w:trPr>
          <w:trHeight w:val="340"/>
        </w:trPr>
        <w:tc>
          <w:tcPr>
            <w:tcW w:w="6614" w:type="dxa"/>
            <w:shd w:val="clear" w:color="auto" w:fill="auto"/>
            <w:noWrap/>
            <w:vAlign w:val="center"/>
            <w:hideMark/>
          </w:tcPr>
          <w:p w14:paraId="43B493FC"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Post-employment benefits </w:t>
            </w:r>
          </w:p>
        </w:tc>
        <w:tc>
          <w:tcPr>
            <w:tcW w:w="1215" w:type="dxa"/>
            <w:shd w:val="clear" w:color="auto" w:fill="auto"/>
            <w:noWrap/>
            <w:vAlign w:val="center"/>
            <w:hideMark/>
          </w:tcPr>
          <w:p w14:paraId="019E05D0"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6,343 </w:t>
            </w:r>
          </w:p>
        </w:tc>
        <w:tc>
          <w:tcPr>
            <w:tcW w:w="1231" w:type="dxa"/>
            <w:shd w:val="clear" w:color="auto" w:fill="auto"/>
            <w:noWrap/>
            <w:vAlign w:val="center"/>
            <w:hideMark/>
          </w:tcPr>
          <w:p w14:paraId="2651B92E"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4,329 </w:t>
            </w:r>
          </w:p>
        </w:tc>
      </w:tr>
      <w:tr w:rsidR="003E5BF5" w:rsidRPr="007F3685" w14:paraId="400BD00A" w14:textId="77777777" w:rsidTr="00086107">
        <w:trPr>
          <w:trHeight w:val="340"/>
        </w:trPr>
        <w:tc>
          <w:tcPr>
            <w:tcW w:w="6614" w:type="dxa"/>
            <w:shd w:val="clear" w:color="auto" w:fill="auto"/>
            <w:noWrap/>
            <w:vAlign w:val="center"/>
            <w:hideMark/>
          </w:tcPr>
          <w:p w14:paraId="51F3A8E3"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Other long-term benefits </w:t>
            </w:r>
          </w:p>
        </w:tc>
        <w:tc>
          <w:tcPr>
            <w:tcW w:w="1215" w:type="dxa"/>
            <w:shd w:val="clear" w:color="auto" w:fill="auto"/>
            <w:noWrap/>
            <w:vAlign w:val="center"/>
            <w:hideMark/>
          </w:tcPr>
          <w:p w14:paraId="0BA2F0AF"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2,262 </w:t>
            </w:r>
          </w:p>
        </w:tc>
        <w:tc>
          <w:tcPr>
            <w:tcW w:w="1231" w:type="dxa"/>
            <w:shd w:val="clear" w:color="auto" w:fill="auto"/>
            <w:noWrap/>
            <w:vAlign w:val="center"/>
            <w:hideMark/>
          </w:tcPr>
          <w:p w14:paraId="04F82E10"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1,423 </w:t>
            </w:r>
          </w:p>
        </w:tc>
      </w:tr>
      <w:tr w:rsidR="003E5BF5" w:rsidRPr="007F3685" w14:paraId="6AE7B9CD" w14:textId="77777777" w:rsidTr="00086107">
        <w:trPr>
          <w:trHeight w:val="340"/>
        </w:trPr>
        <w:tc>
          <w:tcPr>
            <w:tcW w:w="6614" w:type="dxa"/>
            <w:shd w:val="clear" w:color="auto" w:fill="auto"/>
            <w:noWrap/>
            <w:vAlign w:val="center"/>
            <w:hideMark/>
          </w:tcPr>
          <w:p w14:paraId="2038DA43"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Termination benefits </w:t>
            </w:r>
          </w:p>
        </w:tc>
        <w:tc>
          <w:tcPr>
            <w:tcW w:w="1215" w:type="dxa"/>
            <w:shd w:val="clear" w:color="auto" w:fill="auto"/>
            <w:noWrap/>
            <w:vAlign w:val="center"/>
            <w:hideMark/>
          </w:tcPr>
          <w:p w14:paraId="401A12E2"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2,238 </w:t>
            </w:r>
          </w:p>
        </w:tc>
        <w:tc>
          <w:tcPr>
            <w:tcW w:w="1231" w:type="dxa"/>
            <w:shd w:val="clear" w:color="auto" w:fill="auto"/>
            <w:noWrap/>
            <w:vAlign w:val="center"/>
            <w:hideMark/>
          </w:tcPr>
          <w:p w14:paraId="43533A13"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465 </w:t>
            </w:r>
          </w:p>
        </w:tc>
      </w:tr>
      <w:tr w:rsidR="003E5BF5" w:rsidRPr="007F3685" w14:paraId="26B98C18" w14:textId="77777777" w:rsidTr="00086107">
        <w:trPr>
          <w:trHeight w:val="340"/>
        </w:trPr>
        <w:tc>
          <w:tcPr>
            <w:tcW w:w="6614" w:type="dxa"/>
            <w:shd w:val="clear" w:color="auto" w:fill="auto"/>
            <w:noWrap/>
            <w:vAlign w:val="center"/>
            <w:hideMark/>
          </w:tcPr>
          <w:p w14:paraId="56CFD193"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 xml:space="preserve">Total remuneration </w:t>
            </w:r>
            <w:r w:rsidRPr="007F3685">
              <w:rPr>
                <w:rFonts w:ascii="Arial" w:hAnsi="Arial" w:cs="Arial"/>
                <w:sz w:val="24"/>
                <w:szCs w:val="24"/>
                <w:vertAlign w:val="superscript"/>
              </w:rPr>
              <w:t>(</w:t>
            </w:r>
            <w:proofErr w:type="spellStart"/>
            <w:r w:rsidRPr="007F3685">
              <w:rPr>
                <w:rFonts w:ascii="Arial" w:hAnsi="Arial" w:cs="Arial"/>
                <w:sz w:val="24"/>
                <w:szCs w:val="24"/>
                <w:vertAlign w:val="superscript"/>
              </w:rPr>
              <w:t>i</w:t>
            </w:r>
            <w:proofErr w:type="spellEnd"/>
            <w:r w:rsidRPr="007F3685">
              <w:rPr>
                <w:rFonts w:ascii="Arial" w:hAnsi="Arial" w:cs="Arial"/>
                <w:sz w:val="24"/>
                <w:szCs w:val="24"/>
                <w:vertAlign w:val="superscript"/>
              </w:rPr>
              <w:t>)</w:t>
            </w:r>
          </w:p>
        </w:tc>
        <w:tc>
          <w:tcPr>
            <w:tcW w:w="1215" w:type="dxa"/>
            <w:shd w:val="clear" w:color="auto" w:fill="auto"/>
            <w:noWrap/>
            <w:vAlign w:val="center"/>
            <w:hideMark/>
          </w:tcPr>
          <w:p w14:paraId="7DA7E803"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96,470 </w:t>
            </w:r>
          </w:p>
        </w:tc>
        <w:tc>
          <w:tcPr>
            <w:tcW w:w="1231" w:type="dxa"/>
            <w:shd w:val="clear" w:color="auto" w:fill="auto"/>
            <w:noWrap/>
            <w:vAlign w:val="center"/>
            <w:hideMark/>
          </w:tcPr>
          <w:p w14:paraId="2D7CC5B5"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67,212 </w:t>
            </w:r>
          </w:p>
        </w:tc>
      </w:tr>
      <w:tr w:rsidR="003E5BF5" w:rsidRPr="007F3685" w14:paraId="4822702C" w14:textId="77777777" w:rsidTr="00086107">
        <w:trPr>
          <w:trHeight w:val="340"/>
        </w:trPr>
        <w:tc>
          <w:tcPr>
            <w:tcW w:w="6614" w:type="dxa"/>
            <w:shd w:val="clear" w:color="auto" w:fill="auto"/>
            <w:noWrap/>
            <w:vAlign w:val="center"/>
            <w:hideMark/>
          </w:tcPr>
          <w:p w14:paraId="3740384E" w14:textId="77777777" w:rsidR="003E5BF5" w:rsidRPr="007F3685" w:rsidRDefault="003E5BF5" w:rsidP="00DE1921">
            <w:pPr>
              <w:pStyle w:val="TableTextLeft"/>
              <w:rPr>
                <w:rFonts w:ascii="Arial" w:hAnsi="Arial" w:cs="Arial"/>
                <w:b/>
                <w:sz w:val="24"/>
                <w:szCs w:val="24"/>
              </w:rPr>
            </w:pPr>
          </w:p>
        </w:tc>
        <w:tc>
          <w:tcPr>
            <w:tcW w:w="1215" w:type="dxa"/>
            <w:shd w:val="clear" w:color="auto" w:fill="auto"/>
            <w:noWrap/>
            <w:vAlign w:val="center"/>
            <w:hideMark/>
          </w:tcPr>
          <w:p w14:paraId="35BCDC08"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w:t>
            </w:r>
          </w:p>
        </w:tc>
        <w:tc>
          <w:tcPr>
            <w:tcW w:w="1231" w:type="dxa"/>
            <w:shd w:val="clear" w:color="auto" w:fill="auto"/>
            <w:noWrap/>
            <w:vAlign w:val="center"/>
            <w:hideMark/>
          </w:tcPr>
          <w:p w14:paraId="2951F4A0"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w:t>
            </w:r>
          </w:p>
        </w:tc>
      </w:tr>
      <w:tr w:rsidR="003E5BF5" w:rsidRPr="007F3685" w14:paraId="53C801EB" w14:textId="77777777" w:rsidTr="00086107">
        <w:trPr>
          <w:trHeight w:val="340"/>
        </w:trPr>
        <w:tc>
          <w:tcPr>
            <w:tcW w:w="6614" w:type="dxa"/>
            <w:shd w:val="clear" w:color="auto" w:fill="auto"/>
            <w:noWrap/>
            <w:vAlign w:val="center"/>
            <w:hideMark/>
          </w:tcPr>
          <w:p w14:paraId="6C361DDA"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Total number of executives</w:t>
            </w:r>
            <w:r w:rsidRPr="007F3685">
              <w:rPr>
                <w:rFonts w:ascii="Arial" w:hAnsi="Arial" w:cs="Arial"/>
                <w:sz w:val="24"/>
                <w:szCs w:val="24"/>
                <w:vertAlign w:val="superscript"/>
              </w:rPr>
              <w:t xml:space="preserve"> (ii)</w:t>
            </w:r>
          </w:p>
        </w:tc>
        <w:tc>
          <w:tcPr>
            <w:tcW w:w="1215" w:type="dxa"/>
            <w:shd w:val="clear" w:color="auto" w:fill="auto"/>
            <w:noWrap/>
            <w:vAlign w:val="center"/>
            <w:hideMark/>
          </w:tcPr>
          <w:p w14:paraId="7324142D"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410 </w:t>
            </w:r>
          </w:p>
        </w:tc>
        <w:tc>
          <w:tcPr>
            <w:tcW w:w="1231" w:type="dxa"/>
            <w:shd w:val="clear" w:color="auto" w:fill="auto"/>
            <w:noWrap/>
            <w:vAlign w:val="center"/>
            <w:hideMark/>
          </w:tcPr>
          <w:p w14:paraId="4A26F669"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356 </w:t>
            </w:r>
          </w:p>
        </w:tc>
      </w:tr>
      <w:tr w:rsidR="003E5BF5" w:rsidRPr="007F3685" w14:paraId="68195E10" w14:textId="77777777" w:rsidTr="00086107">
        <w:trPr>
          <w:trHeight w:val="340"/>
        </w:trPr>
        <w:tc>
          <w:tcPr>
            <w:tcW w:w="6614" w:type="dxa"/>
            <w:shd w:val="clear" w:color="auto" w:fill="auto"/>
            <w:noWrap/>
            <w:vAlign w:val="center"/>
            <w:hideMark/>
          </w:tcPr>
          <w:p w14:paraId="3AFE842A"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 xml:space="preserve">Total annualised employee equivalent (AEE) </w:t>
            </w:r>
            <w:r w:rsidRPr="007F3685">
              <w:rPr>
                <w:rFonts w:ascii="Arial" w:hAnsi="Arial" w:cs="Arial"/>
                <w:sz w:val="24"/>
                <w:szCs w:val="24"/>
                <w:vertAlign w:val="superscript"/>
              </w:rPr>
              <w:t>(iii)</w:t>
            </w:r>
          </w:p>
        </w:tc>
        <w:tc>
          <w:tcPr>
            <w:tcW w:w="1215" w:type="dxa"/>
            <w:shd w:val="clear" w:color="auto" w:fill="auto"/>
            <w:noWrap/>
            <w:vAlign w:val="center"/>
            <w:hideMark/>
          </w:tcPr>
          <w:p w14:paraId="51211965"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307.2 </w:t>
            </w:r>
          </w:p>
        </w:tc>
        <w:tc>
          <w:tcPr>
            <w:tcW w:w="1231" w:type="dxa"/>
            <w:shd w:val="clear" w:color="auto" w:fill="auto"/>
            <w:noWrap/>
            <w:vAlign w:val="center"/>
            <w:hideMark/>
          </w:tcPr>
          <w:p w14:paraId="7DD8253C"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234.0 </w:t>
            </w:r>
          </w:p>
        </w:tc>
      </w:tr>
    </w:tbl>
    <w:p w14:paraId="303A81FA" w14:textId="77777777" w:rsidR="003E5BF5" w:rsidRPr="007F3685" w:rsidRDefault="003E5BF5" w:rsidP="00DE1921">
      <w:pPr>
        <w:pStyle w:val="Note"/>
        <w:rPr>
          <w:rFonts w:ascii="Arial" w:hAnsi="Arial" w:cs="Arial"/>
          <w:sz w:val="24"/>
          <w:szCs w:val="24"/>
        </w:rPr>
      </w:pPr>
      <w:r w:rsidRPr="007F3685">
        <w:rPr>
          <w:rFonts w:ascii="Arial" w:hAnsi="Arial" w:cs="Arial"/>
          <w:sz w:val="24"/>
          <w:szCs w:val="24"/>
        </w:rPr>
        <w:t xml:space="preserve">Notes: </w:t>
      </w:r>
    </w:p>
    <w:p w14:paraId="4F991874" w14:textId="77777777" w:rsidR="003E5BF5" w:rsidRPr="007F3685" w:rsidRDefault="003E5BF5" w:rsidP="00610F5F">
      <w:pPr>
        <w:pStyle w:val="aaaNotenumberiiiiii"/>
        <w:numPr>
          <w:ilvl w:val="0"/>
          <w:numId w:val="133"/>
        </w:numPr>
      </w:pPr>
      <w:r w:rsidRPr="007F3685">
        <w:t xml:space="preserve">The total number of executive officers includes persons who meet the definition of Key Management Personnel (KMP) of the entity under AASB 124 </w:t>
      </w:r>
      <w:r w:rsidRPr="00382E46">
        <w:rPr>
          <w:i/>
        </w:rPr>
        <w:t>Related Party Disclosures</w:t>
      </w:r>
      <w:r w:rsidRPr="007F3685">
        <w:t xml:space="preserve"> and are also reported within the related parties note disclosure (Note 9.9).  </w:t>
      </w:r>
    </w:p>
    <w:p w14:paraId="3F4C02AA" w14:textId="77777777" w:rsidR="003E5BF5" w:rsidRPr="007F3685" w:rsidRDefault="003E5BF5" w:rsidP="00610F5F">
      <w:pPr>
        <w:pStyle w:val="aaaNotenumberiiiiii"/>
        <w:numPr>
          <w:ilvl w:val="0"/>
          <w:numId w:val="133"/>
        </w:numPr>
      </w:pPr>
      <w:r w:rsidRPr="007F3685">
        <w:t xml:space="preserve">The number of executives has increased due to the </w:t>
      </w:r>
      <w:proofErr w:type="spellStart"/>
      <w:r w:rsidRPr="007F3685">
        <w:t>MoG</w:t>
      </w:r>
      <w:proofErr w:type="spellEnd"/>
      <w:r w:rsidRPr="007F3685">
        <w:t xml:space="preserve"> change in the financial year.</w:t>
      </w:r>
    </w:p>
    <w:p w14:paraId="620F1C81" w14:textId="79B3927C" w:rsidR="00206815" w:rsidRDefault="003E5BF5" w:rsidP="00610F5F">
      <w:pPr>
        <w:pStyle w:val="aaaNotenumberiiiiii"/>
        <w:numPr>
          <w:ilvl w:val="0"/>
          <w:numId w:val="133"/>
        </w:numPr>
      </w:pPr>
      <w:r w:rsidRPr="007F3685">
        <w:t>Annualised employee equivalent is based on the time fraction worked over the reporting period.</w:t>
      </w:r>
      <w:r w:rsidR="00206815">
        <w:br w:type="page"/>
      </w:r>
    </w:p>
    <w:p w14:paraId="6B4405AF" w14:textId="77777777" w:rsidR="003E5BF5" w:rsidRDefault="003E5BF5" w:rsidP="00610F5F">
      <w:pPr>
        <w:pStyle w:val="Heading2"/>
        <w:numPr>
          <w:ilvl w:val="1"/>
          <w:numId w:val="22"/>
        </w:numPr>
      </w:pPr>
      <w:bookmarkStart w:id="683" w:name="_Toc53420700"/>
      <w:bookmarkStart w:id="684" w:name="_Toc53420978"/>
      <w:r w:rsidRPr="007444F0">
        <w:lastRenderedPageBreak/>
        <w:t>Related parties</w:t>
      </w:r>
      <w:bookmarkEnd w:id="678"/>
      <w:bookmarkEnd w:id="679"/>
      <w:bookmarkEnd w:id="680"/>
      <w:bookmarkEnd w:id="681"/>
      <w:bookmarkEnd w:id="682"/>
      <w:bookmarkEnd w:id="683"/>
      <w:bookmarkEnd w:id="684"/>
    </w:p>
    <w:p w14:paraId="74855FF0" w14:textId="77777777" w:rsidR="003E5BF5" w:rsidRPr="007444F0" w:rsidRDefault="003E5BF5" w:rsidP="003D53EC">
      <w:pPr>
        <w:pStyle w:val="aaatyping"/>
      </w:pPr>
      <w:r w:rsidRPr="007444F0">
        <w:t>The department is a wholly owned and controlled entity of the State of Victoria.</w:t>
      </w:r>
    </w:p>
    <w:p w14:paraId="3BBE620A" w14:textId="77777777" w:rsidR="003E5BF5" w:rsidRPr="007444F0" w:rsidRDefault="003E5BF5" w:rsidP="003D53EC">
      <w:pPr>
        <w:pStyle w:val="aaatyping"/>
      </w:pPr>
      <w:r w:rsidRPr="007444F0">
        <w:t xml:space="preserve">The following agencies have been consolidated into the </w:t>
      </w:r>
      <w:r>
        <w:t>department’s</w:t>
      </w:r>
      <w:r w:rsidRPr="007444F0">
        <w:t xml:space="preserve"> financial statements pursuant to the determination made by the Assistant Treasurer under section 53(1)(b) of the </w:t>
      </w:r>
      <w:r w:rsidRPr="007E1BC9">
        <w:rPr>
          <w:i/>
          <w:iCs/>
        </w:rPr>
        <w:t>Financial Management Act 1994</w:t>
      </w:r>
      <w:r w:rsidRPr="007444F0">
        <w:t xml:space="preserve"> (FMA):</w:t>
      </w:r>
    </w:p>
    <w:p w14:paraId="11C3EA2F" w14:textId="77777777" w:rsidR="003E5BF5" w:rsidRDefault="003E5BF5" w:rsidP="003D53EC">
      <w:pPr>
        <w:pStyle w:val="aaabullet"/>
      </w:pPr>
      <w:r>
        <w:t xml:space="preserve">Head, </w:t>
      </w:r>
      <w:proofErr w:type="spellStart"/>
      <w:r>
        <w:t>TfV</w:t>
      </w:r>
      <w:proofErr w:type="spellEnd"/>
    </w:p>
    <w:p w14:paraId="23FBCAAB" w14:textId="77777777" w:rsidR="003E5BF5" w:rsidRDefault="003E5BF5" w:rsidP="003D53EC">
      <w:pPr>
        <w:pStyle w:val="aaabullet"/>
      </w:pPr>
      <w:r>
        <w:t>VicRoads</w:t>
      </w:r>
    </w:p>
    <w:p w14:paraId="0D9AC170" w14:textId="77777777" w:rsidR="003E5BF5" w:rsidRDefault="003E5BF5" w:rsidP="003D53EC">
      <w:pPr>
        <w:pStyle w:val="aaabullet"/>
      </w:pPr>
      <w:r>
        <w:t>PTV</w:t>
      </w:r>
    </w:p>
    <w:p w14:paraId="04FBABD3" w14:textId="77777777" w:rsidR="003E5BF5" w:rsidRPr="007444F0" w:rsidRDefault="003E5BF5" w:rsidP="003D53EC">
      <w:pPr>
        <w:pStyle w:val="aaabullet"/>
      </w:pPr>
      <w:r>
        <w:t>MPV</w:t>
      </w:r>
      <w:r w:rsidRPr="007444F0">
        <w:tab/>
      </w:r>
    </w:p>
    <w:p w14:paraId="45FB71BA" w14:textId="77777777" w:rsidR="003E5BF5" w:rsidRPr="007444F0" w:rsidRDefault="003E5BF5" w:rsidP="003D53EC">
      <w:pPr>
        <w:pStyle w:val="aaabullet"/>
      </w:pPr>
      <w:r>
        <w:t>LMA.</w:t>
      </w:r>
    </w:p>
    <w:p w14:paraId="5A46CFA0" w14:textId="77777777" w:rsidR="003E5BF5" w:rsidRPr="007444F0" w:rsidRDefault="003E5BF5" w:rsidP="003D53EC">
      <w:pPr>
        <w:pStyle w:val="aaatyping"/>
      </w:pPr>
      <w:r w:rsidRPr="007444F0">
        <w:t xml:space="preserve">Related parties of the </w:t>
      </w:r>
      <w:r>
        <w:t>d</w:t>
      </w:r>
      <w:r w:rsidRPr="007444F0">
        <w:t xml:space="preserve">epartment, </w:t>
      </w:r>
      <w:r>
        <w:t>and its section 53(1)(b) entities</w:t>
      </w:r>
      <w:r w:rsidRPr="007444F0">
        <w:t xml:space="preserve"> include:</w:t>
      </w:r>
    </w:p>
    <w:p w14:paraId="69980BE8" w14:textId="77777777" w:rsidR="003E5BF5" w:rsidRPr="007444F0" w:rsidRDefault="003E5BF5" w:rsidP="003D53EC">
      <w:pPr>
        <w:pStyle w:val="aaabullet"/>
      </w:pPr>
      <w:r w:rsidRPr="007444F0">
        <w:t>all key management personnel and their close family members and personal business interests (controlled entities, joint ventures and entities they have significant influence over)</w:t>
      </w:r>
    </w:p>
    <w:p w14:paraId="090DBADF" w14:textId="77777777" w:rsidR="003E5BF5" w:rsidRPr="007444F0" w:rsidRDefault="003E5BF5" w:rsidP="003D53EC">
      <w:pPr>
        <w:pStyle w:val="aaabullet"/>
      </w:pPr>
      <w:r w:rsidRPr="007444F0">
        <w:t>all cabinet ministers and their close family members</w:t>
      </w:r>
    </w:p>
    <w:p w14:paraId="6EC6AC97" w14:textId="77777777" w:rsidR="003E5BF5" w:rsidRPr="007444F0" w:rsidRDefault="003E5BF5" w:rsidP="003D53EC">
      <w:pPr>
        <w:pStyle w:val="aaabullet"/>
      </w:pPr>
      <w:r w:rsidRPr="007444F0">
        <w:t>all departments and public sector entities that are controlled and consolidated into the whole of state consolidated financial statements.</w:t>
      </w:r>
    </w:p>
    <w:p w14:paraId="56D803CE" w14:textId="77777777" w:rsidR="003E5BF5" w:rsidRPr="007444F0" w:rsidRDefault="003E5BF5" w:rsidP="003D53EC">
      <w:pPr>
        <w:pStyle w:val="aaatyping"/>
      </w:pPr>
      <w:r w:rsidRPr="007444F0">
        <w:t>All related party transactions have been entered into on an arm’s length basis.</w:t>
      </w:r>
    </w:p>
    <w:p w14:paraId="3816E5DB" w14:textId="77777777" w:rsidR="003E5BF5" w:rsidRPr="007444F0" w:rsidRDefault="003E5BF5" w:rsidP="008A0170">
      <w:pPr>
        <w:pStyle w:val="Heading3"/>
      </w:pPr>
      <w:r w:rsidRPr="007444F0">
        <w:t>Significant transactions with government-related entities</w:t>
      </w:r>
    </w:p>
    <w:p w14:paraId="617CCB3D" w14:textId="77777777" w:rsidR="003E5BF5" w:rsidRDefault="003E5BF5" w:rsidP="003D53EC">
      <w:pPr>
        <w:pStyle w:val="aaatyping"/>
      </w:pPr>
      <w:r w:rsidRPr="007444F0">
        <w:t xml:space="preserve">The </w:t>
      </w:r>
      <w:r>
        <w:t>department</w:t>
      </w:r>
      <w:r w:rsidRPr="007444F0">
        <w:t xml:space="preserve"> receives parliamentary and special appropriation to draw funds out of the Consolidated Fund to be applied towards </w:t>
      </w:r>
      <w:r>
        <w:t>department</w:t>
      </w:r>
      <w:r w:rsidRPr="007444F0">
        <w:t>al outputs (see Note 2.</w:t>
      </w:r>
      <w:r>
        <w:t>1</w:t>
      </w:r>
      <w:r w:rsidRPr="007444F0">
        <w:t xml:space="preserve"> Appropriation</w:t>
      </w:r>
      <w:r>
        <w:t>s</w:t>
      </w:r>
      <w:r w:rsidRPr="007444F0">
        <w:t xml:space="preserve">). In addition, the </w:t>
      </w:r>
      <w:r>
        <w:lastRenderedPageBreak/>
        <w:t>department</w:t>
      </w:r>
      <w:r w:rsidRPr="007444F0">
        <w:t xml:space="preserve"> oversees administered items on behalf of the State with reference to Payments made on behalf of the State (Note 2.</w:t>
      </w:r>
      <w:r>
        <w:t>1</w:t>
      </w:r>
      <w:r w:rsidRPr="007444F0">
        <w:t xml:space="preserve"> Appropriation</w:t>
      </w:r>
      <w:r>
        <w:t>s</w:t>
      </w:r>
      <w:r w:rsidRPr="007444F0">
        <w:t>) and detailed in Note 4.2.1 Administered (non-controlled) items.</w:t>
      </w:r>
    </w:p>
    <w:p w14:paraId="1A4617EB" w14:textId="77777777" w:rsidR="00394F3D" w:rsidRDefault="003E5BF5" w:rsidP="003D53EC">
      <w:pPr>
        <w:pStyle w:val="aaatyping"/>
      </w:pPr>
      <w:r w:rsidRPr="007444F0">
        <w:t xml:space="preserve">The </w:t>
      </w:r>
      <w:r>
        <w:t>department</w:t>
      </w:r>
      <w:r w:rsidRPr="007444F0">
        <w:t xml:space="preserve"> transacts with other portfolio agencies through transactions such as grants (Note 3.2 Grant </w:t>
      </w:r>
      <w:r>
        <w:t>expenses</w:t>
      </w:r>
      <w:r w:rsidRPr="007444F0">
        <w:t>) and capital appropriations (Note 9.4</w:t>
      </w:r>
      <w:r>
        <w:t xml:space="preserve"> </w:t>
      </w:r>
      <w:r w:rsidRPr="007444F0">
        <w:t xml:space="preserve">Equity disclosure) in line with budgeted allocations. </w:t>
      </w:r>
      <w:r w:rsidRPr="00553A88">
        <w:t>These notes provide further detail of counterparty and amount.</w:t>
      </w:r>
      <w:r w:rsidRPr="00553A88">
        <w:rPr>
          <w:rFonts w:ascii="Cambria" w:hAnsi="Cambria" w:cs="Cambria"/>
        </w:rPr>
        <w:t> </w:t>
      </w:r>
      <w:r w:rsidRPr="00553A88">
        <w:t xml:space="preserve"> In addition, the majority of grant income disclosed in Note 2.2 is from other Government departments. Note 6.1 Receivables and 6.2 Payables identify the balances with other government departments. </w:t>
      </w:r>
      <w:r w:rsidRPr="00553A88">
        <w:rPr>
          <w:rFonts w:ascii="Cambria" w:hAnsi="Cambria" w:cs="Cambria"/>
        </w:rPr>
        <w:t> </w:t>
      </w:r>
      <w:r w:rsidRPr="007444F0">
        <w:t xml:space="preserve">The </w:t>
      </w:r>
      <w:r>
        <w:t>department</w:t>
      </w:r>
      <w:r w:rsidRPr="007444F0">
        <w:t xml:space="preserve"> has advances from Government, such as those relating to GST payments (required to account for timing differences). These advances are unsecured loans which bear no interest. See Note 7.1 Borrowings. </w:t>
      </w:r>
    </w:p>
    <w:p w14:paraId="58B22DFF" w14:textId="77777777" w:rsidR="003E5BF5" w:rsidRPr="007444F0" w:rsidRDefault="003E5BF5" w:rsidP="008A0170">
      <w:pPr>
        <w:pStyle w:val="Heading3"/>
      </w:pPr>
      <w:r w:rsidRPr="007444F0">
        <w:t>Key management personnel (KMP)</w:t>
      </w:r>
    </w:p>
    <w:p w14:paraId="469B7B29" w14:textId="153636C6" w:rsidR="00394F3D" w:rsidRDefault="003E5BF5" w:rsidP="003D53EC">
      <w:pPr>
        <w:pStyle w:val="aaatyping"/>
      </w:pPr>
      <w:r w:rsidRPr="007444F0">
        <w:t xml:space="preserve">KMP of </w:t>
      </w:r>
      <w:r>
        <w:t>the department</w:t>
      </w:r>
      <w:r w:rsidRPr="007444F0">
        <w:t xml:space="preserve"> includes the Portfolio Ministers (see Note 9.</w:t>
      </w:r>
      <w:r>
        <w:t>7</w:t>
      </w:r>
      <w:r w:rsidRPr="007444F0">
        <w:t xml:space="preserve"> Responsible persons)</w:t>
      </w:r>
      <w:r>
        <w:t xml:space="preserve">, </w:t>
      </w:r>
      <w:r w:rsidRPr="007444F0">
        <w:t xml:space="preserve">members of </w:t>
      </w:r>
      <w:r>
        <w:t>the DoT Leadership and the CFO</w:t>
      </w:r>
      <w:r w:rsidRPr="007444F0">
        <w:t>. This report also discloses the KMP of Administrative Offices and agencies whose financial statements have been consolidated i</w:t>
      </w:r>
      <w:r>
        <w:t>n</w:t>
      </w:r>
      <w:r w:rsidRPr="007444F0">
        <w:t xml:space="preserve">to the </w:t>
      </w:r>
      <w:r>
        <w:t>department</w:t>
      </w:r>
      <w:r w:rsidRPr="007444F0">
        <w:t>’s financial report pursuant to section 53(1)(b) of FMA.</w:t>
      </w:r>
      <w:r w:rsidR="00394F3D">
        <w:br w:type="page"/>
      </w:r>
    </w:p>
    <w:p w14:paraId="55D0A078" w14:textId="77777777" w:rsidR="003E5BF5" w:rsidRDefault="003E5BF5" w:rsidP="003D53EC">
      <w:pPr>
        <w:pStyle w:val="aaatyping"/>
      </w:pPr>
      <w:r w:rsidRPr="007444F0">
        <w:lastRenderedPageBreak/>
        <w:t>The following table show</w:t>
      </w:r>
      <w:r>
        <w:t>s</w:t>
      </w:r>
      <w:r w:rsidRPr="007444F0">
        <w:t xml:space="preserve"> the </w:t>
      </w:r>
      <w:r>
        <w:t>department</w:t>
      </w:r>
      <w:r w:rsidRPr="007444F0">
        <w:t>’s KMP</w:t>
      </w:r>
      <w:r>
        <w:t>:</w:t>
      </w:r>
    </w:p>
    <w:tbl>
      <w:tblPr>
        <w:tblStyle w:val="TableGrid"/>
        <w:tblW w:w="9072" w:type="dxa"/>
        <w:tblCellMar>
          <w:left w:w="28" w:type="dxa"/>
          <w:right w:w="28" w:type="dxa"/>
        </w:tblCellMar>
        <w:tblLook w:val="04A0" w:firstRow="1" w:lastRow="0" w:firstColumn="1" w:lastColumn="0" w:noHBand="0" w:noVBand="1"/>
      </w:tblPr>
      <w:tblGrid>
        <w:gridCol w:w="4536"/>
        <w:gridCol w:w="4536"/>
      </w:tblGrid>
      <w:tr w:rsidR="003E5BF5" w:rsidRPr="007F3685" w14:paraId="452C0C62" w14:textId="77777777" w:rsidTr="00086107">
        <w:trPr>
          <w:trHeight w:val="340"/>
          <w:tblHeader/>
        </w:trPr>
        <w:tc>
          <w:tcPr>
            <w:tcW w:w="2500" w:type="pct"/>
            <w:shd w:val="clear" w:color="auto" w:fill="auto"/>
            <w:vAlign w:val="center"/>
          </w:tcPr>
          <w:p w14:paraId="3FA90DDC" w14:textId="77777777" w:rsidR="003E5BF5" w:rsidRPr="007F3685" w:rsidRDefault="003E5BF5" w:rsidP="00604703">
            <w:pPr>
              <w:pStyle w:val="TableTextGreen"/>
            </w:pPr>
            <w:r w:rsidRPr="007F3685">
              <w:t>Position identified as KMPs</w:t>
            </w:r>
          </w:p>
        </w:tc>
        <w:tc>
          <w:tcPr>
            <w:tcW w:w="2500" w:type="pct"/>
            <w:shd w:val="clear" w:color="auto" w:fill="auto"/>
            <w:vAlign w:val="center"/>
          </w:tcPr>
          <w:p w14:paraId="53858AD6" w14:textId="77777777" w:rsidR="003E5BF5" w:rsidRPr="007F3685" w:rsidRDefault="003E5BF5" w:rsidP="00604703">
            <w:pPr>
              <w:pStyle w:val="TableTextGreen"/>
            </w:pPr>
            <w:r w:rsidRPr="007F3685">
              <w:t xml:space="preserve">Personnel movements </w:t>
            </w:r>
          </w:p>
        </w:tc>
      </w:tr>
      <w:tr w:rsidR="003E5BF5" w:rsidRPr="007F3685" w14:paraId="5236999C" w14:textId="77777777" w:rsidTr="00086107">
        <w:trPr>
          <w:trHeight w:val="340"/>
        </w:trPr>
        <w:tc>
          <w:tcPr>
            <w:tcW w:w="5000" w:type="pct"/>
            <w:gridSpan w:val="2"/>
            <w:shd w:val="clear" w:color="auto" w:fill="auto"/>
            <w:vAlign w:val="center"/>
          </w:tcPr>
          <w:p w14:paraId="45E3E0DF"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Department only</w:t>
            </w:r>
          </w:p>
        </w:tc>
      </w:tr>
      <w:tr w:rsidR="003E5BF5" w:rsidRPr="007F3685" w14:paraId="4AFFC571" w14:textId="77777777" w:rsidTr="00086107">
        <w:trPr>
          <w:trHeight w:val="340"/>
        </w:trPr>
        <w:tc>
          <w:tcPr>
            <w:tcW w:w="2500" w:type="pct"/>
            <w:shd w:val="clear" w:color="auto" w:fill="auto"/>
            <w:vAlign w:val="center"/>
          </w:tcPr>
          <w:p w14:paraId="13AFE445"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Secretary</w:t>
            </w:r>
          </w:p>
        </w:tc>
        <w:tc>
          <w:tcPr>
            <w:tcW w:w="2500" w:type="pct"/>
            <w:shd w:val="clear" w:color="auto" w:fill="auto"/>
            <w:vAlign w:val="center"/>
          </w:tcPr>
          <w:p w14:paraId="5DD4E270"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Paul Younis</w:t>
            </w:r>
          </w:p>
        </w:tc>
      </w:tr>
      <w:tr w:rsidR="003E5BF5" w:rsidRPr="007F3685" w14:paraId="5833AA5D" w14:textId="77777777" w:rsidTr="00086107">
        <w:trPr>
          <w:trHeight w:val="340"/>
        </w:trPr>
        <w:tc>
          <w:tcPr>
            <w:tcW w:w="2500" w:type="pct"/>
            <w:shd w:val="clear" w:color="auto" w:fill="auto"/>
            <w:vAlign w:val="center"/>
          </w:tcPr>
          <w:p w14:paraId="51466953"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Associate Secretary</w:t>
            </w:r>
          </w:p>
        </w:tc>
        <w:tc>
          <w:tcPr>
            <w:tcW w:w="2500" w:type="pct"/>
            <w:shd w:val="clear" w:color="auto" w:fill="auto"/>
            <w:vAlign w:val="center"/>
          </w:tcPr>
          <w:p w14:paraId="154376DD"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9/4/20 to 30/6/20: Nick </w:t>
            </w:r>
            <w:proofErr w:type="spellStart"/>
            <w:r w:rsidRPr="007F3685">
              <w:rPr>
                <w:rFonts w:ascii="Arial" w:hAnsi="Arial" w:cs="Arial"/>
                <w:sz w:val="24"/>
                <w:szCs w:val="24"/>
              </w:rPr>
              <w:t>Foa</w:t>
            </w:r>
            <w:proofErr w:type="spellEnd"/>
          </w:p>
        </w:tc>
      </w:tr>
      <w:tr w:rsidR="003E5BF5" w:rsidRPr="007F3685" w14:paraId="04C273D0" w14:textId="77777777" w:rsidTr="00086107">
        <w:trPr>
          <w:trHeight w:val="340"/>
        </w:trPr>
        <w:tc>
          <w:tcPr>
            <w:tcW w:w="2500" w:type="pct"/>
            <w:shd w:val="clear" w:color="auto" w:fill="auto"/>
            <w:vAlign w:val="center"/>
          </w:tcPr>
          <w:p w14:paraId="511BA6D3"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Head, Transport Services</w:t>
            </w:r>
          </w:p>
        </w:tc>
        <w:tc>
          <w:tcPr>
            <w:tcW w:w="2500" w:type="pct"/>
            <w:shd w:val="clear" w:color="auto" w:fill="auto"/>
            <w:vAlign w:val="center"/>
          </w:tcPr>
          <w:p w14:paraId="2CDBBBDA"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Jeroen Weimar</w:t>
            </w:r>
          </w:p>
        </w:tc>
      </w:tr>
      <w:tr w:rsidR="003E5BF5" w:rsidRPr="007F3685" w14:paraId="5E26972B" w14:textId="77777777" w:rsidTr="00086107">
        <w:trPr>
          <w:trHeight w:val="340"/>
        </w:trPr>
        <w:tc>
          <w:tcPr>
            <w:tcW w:w="2500" w:type="pct"/>
            <w:shd w:val="clear" w:color="auto" w:fill="auto"/>
            <w:vAlign w:val="center"/>
          </w:tcPr>
          <w:p w14:paraId="32E1AF55"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Deputy Secretary, Network Planning</w:t>
            </w:r>
          </w:p>
        </w:tc>
        <w:tc>
          <w:tcPr>
            <w:tcW w:w="2500" w:type="pct"/>
            <w:shd w:val="clear" w:color="auto" w:fill="auto"/>
            <w:vAlign w:val="center"/>
          </w:tcPr>
          <w:p w14:paraId="17100F45"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Robyn Seymour</w:t>
            </w:r>
          </w:p>
        </w:tc>
      </w:tr>
      <w:tr w:rsidR="003E5BF5" w:rsidRPr="007F3685" w14:paraId="24866CAA" w14:textId="77777777" w:rsidTr="00086107">
        <w:trPr>
          <w:trHeight w:val="340"/>
        </w:trPr>
        <w:tc>
          <w:tcPr>
            <w:tcW w:w="2500" w:type="pct"/>
            <w:shd w:val="clear" w:color="auto" w:fill="auto"/>
            <w:vAlign w:val="center"/>
          </w:tcPr>
          <w:p w14:paraId="098222F1"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Deputy Secretary, Network Integration</w:t>
            </w:r>
          </w:p>
        </w:tc>
        <w:tc>
          <w:tcPr>
            <w:tcW w:w="2500" w:type="pct"/>
            <w:shd w:val="clear" w:color="auto" w:fill="auto"/>
            <w:vAlign w:val="center"/>
          </w:tcPr>
          <w:p w14:paraId="6083349E"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1/7/19 to 30/6/20: William </w:t>
            </w:r>
            <w:proofErr w:type="spellStart"/>
            <w:r w:rsidRPr="007F3685">
              <w:rPr>
                <w:rFonts w:ascii="Arial" w:hAnsi="Arial" w:cs="Arial"/>
                <w:sz w:val="24"/>
                <w:szCs w:val="24"/>
              </w:rPr>
              <w:t>Tieppo</w:t>
            </w:r>
            <w:proofErr w:type="spellEnd"/>
          </w:p>
        </w:tc>
      </w:tr>
      <w:tr w:rsidR="003E5BF5" w:rsidRPr="007F3685" w14:paraId="0E85EFA6" w14:textId="77777777" w:rsidTr="00086107">
        <w:trPr>
          <w:trHeight w:val="340"/>
        </w:trPr>
        <w:tc>
          <w:tcPr>
            <w:tcW w:w="2500" w:type="pct"/>
            <w:shd w:val="clear" w:color="auto" w:fill="auto"/>
            <w:vAlign w:val="center"/>
          </w:tcPr>
          <w:p w14:paraId="54037260"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Deputy Secretary, People and Business Services</w:t>
            </w:r>
          </w:p>
        </w:tc>
        <w:tc>
          <w:tcPr>
            <w:tcW w:w="2500" w:type="pct"/>
            <w:shd w:val="clear" w:color="auto" w:fill="auto"/>
            <w:vAlign w:val="center"/>
          </w:tcPr>
          <w:p w14:paraId="2347A4B1"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Melinda Collinson</w:t>
            </w:r>
          </w:p>
        </w:tc>
      </w:tr>
      <w:tr w:rsidR="003E5BF5" w:rsidRPr="007F3685" w14:paraId="69505423" w14:textId="77777777" w:rsidTr="00086107">
        <w:trPr>
          <w:trHeight w:val="340"/>
        </w:trPr>
        <w:tc>
          <w:tcPr>
            <w:tcW w:w="2500" w:type="pct"/>
            <w:shd w:val="clear" w:color="auto" w:fill="auto"/>
            <w:vAlign w:val="center"/>
          </w:tcPr>
          <w:p w14:paraId="43476282"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Deputy Secretary, Policy and Innovation</w:t>
            </w:r>
          </w:p>
        </w:tc>
        <w:tc>
          <w:tcPr>
            <w:tcW w:w="2500" w:type="pct"/>
            <w:shd w:val="clear" w:color="auto" w:fill="auto"/>
            <w:vAlign w:val="center"/>
          </w:tcPr>
          <w:p w14:paraId="249AFFB4"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Megan Bourke-O’Neil</w:t>
            </w:r>
          </w:p>
        </w:tc>
      </w:tr>
      <w:tr w:rsidR="003E5BF5" w:rsidRPr="007F3685" w14:paraId="1B1C167F" w14:textId="77777777" w:rsidTr="00086107">
        <w:trPr>
          <w:trHeight w:val="340"/>
        </w:trPr>
        <w:tc>
          <w:tcPr>
            <w:tcW w:w="2500" w:type="pct"/>
            <w:shd w:val="clear" w:color="auto" w:fill="auto"/>
            <w:vAlign w:val="center"/>
          </w:tcPr>
          <w:p w14:paraId="49B8A1F3"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Deputy Secretary, Investment and Technology</w:t>
            </w:r>
          </w:p>
        </w:tc>
        <w:tc>
          <w:tcPr>
            <w:tcW w:w="2500" w:type="pct"/>
            <w:shd w:val="clear" w:color="auto" w:fill="auto"/>
            <w:vAlign w:val="center"/>
          </w:tcPr>
          <w:p w14:paraId="4B29BBF2"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Dean Tighe</w:t>
            </w:r>
          </w:p>
        </w:tc>
      </w:tr>
      <w:tr w:rsidR="003E5BF5" w:rsidRPr="007F3685" w14:paraId="0383FDBC" w14:textId="77777777" w:rsidTr="00086107">
        <w:trPr>
          <w:trHeight w:val="340"/>
        </w:trPr>
        <w:tc>
          <w:tcPr>
            <w:tcW w:w="2500" w:type="pct"/>
            <w:shd w:val="clear" w:color="auto" w:fill="auto"/>
            <w:vAlign w:val="center"/>
          </w:tcPr>
          <w:p w14:paraId="1F97C8FA"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Chief Communications Officer</w:t>
            </w:r>
          </w:p>
        </w:tc>
        <w:tc>
          <w:tcPr>
            <w:tcW w:w="2500" w:type="pct"/>
            <w:shd w:val="clear" w:color="auto" w:fill="auto"/>
            <w:vAlign w:val="center"/>
          </w:tcPr>
          <w:p w14:paraId="1D05D333"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Rebecca Skelton (Acting)</w:t>
            </w:r>
          </w:p>
        </w:tc>
      </w:tr>
      <w:tr w:rsidR="003E5BF5" w:rsidRPr="007F3685" w14:paraId="08BBAB2D" w14:textId="77777777" w:rsidTr="00086107">
        <w:trPr>
          <w:trHeight w:val="340"/>
        </w:trPr>
        <w:tc>
          <w:tcPr>
            <w:tcW w:w="2500" w:type="pct"/>
            <w:shd w:val="clear" w:color="auto" w:fill="auto"/>
            <w:vAlign w:val="center"/>
          </w:tcPr>
          <w:p w14:paraId="79A9BD3B"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Chief Financial Officer</w:t>
            </w:r>
          </w:p>
        </w:tc>
        <w:tc>
          <w:tcPr>
            <w:tcW w:w="2500" w:type="pct"/>
            <w:shd w:val="clear" w:color="auto" w:fill="auto"/>
            <w:vAlign w:val="center"/>
          </w:tcPr>
          <w:p w14:paraId="7FCD7984"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Shaun Condron</w:t>
            </w:r>
          </w:p>
        </w:tc>
      </w:tr>
      <w:tr w:rsidR="003E5BF5" w:rsidRPr="007F3685" w14:paraId="4C52669C" w14:textId="77777777" w:rsidTr="00086107">
        <w:trPr>
          <w:trHeight w:val="340"/>
        </w:trPr>
        <w:tc>
          <w:tcPr>
            <w:tcW w:w="2500" w:type="pct"/>
            <w:shd w:val="clear" w:color="auto" w:fill="auto"/>
            <w:vAlign w:val="center"/>
          </w:tcPr>
          <w:p w14:paraId="22A29851"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General Counsel</w:t>
            </w:r>
          </w:p>
        </w:tc>
        <w:tc>
          <w:tcPr>
            <w:tcW w:w="2500" w:type="pct"/>
            <w:shd w:val="clear" w:color="auto" w:fill="auto"/>
            <w:vAlign w:val="center"/>
          </w:tcPr>
          <w:p w14:paraId="52BA3364"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Rob Pearce</w:t>
            </w:r>
          </w:p>
        </w:tc>
      </w:tr>
      <w:tr w:rsidR="003E5BF5" w:rsidRPr="007F3685" w14:paraId="1A931EFE" w14:textId="77777777" w:rsidTr="00086107">
        <w:trPr>
          <w:trHeight w:val="340"/>
        </w:trPr>
        <w:tc>
          <w:tcPr>
            <w:tcW w:w="2500" w:type="pct"/>
            <w:shd w:val="clear" w:color="auto" w:fill="auto"/>
            <w:vAlign w:val="center"/>
          </w:tcPr>
          <w:p w14:paraId="10373C00"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Executive Director, Intergovernmental Relations</w:t>
            </w:r>
          </w:p>
        </w:tc>
        <w:tc>
          <w:tcPr>
            <w:tcW w:w="2500" w:type="pct"/>
            <w:shd w:val="clear" w:color="auto" w:fill="auto"/>
            <w:vAlign w:val="center"/>
          </w:tcPr>
          <w:p w14:paraId="320590DC"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Lachlan McDonald</w:t>
            </w:r>
          </w:p>
        </w:tc>
      </w:tr>
      <w:tr w:rsidR="003E5BF5" w:rsidRPr="007F3685" w14:paraId="4B1EA4E8" w14:textId="77777777" w:rsidTr="00086107">
        <w:trPr>
          <w:trHeight w:val="340"/>
        </w:trPr>
        <w:tc>
          <w:tcPr>
            <w:tcW w:w="2500" w:type="pct"/>
            <w:shd w:val="clear" w:color="auto" w:fill="auto"/>
            <w:vAlign w:val="center"/>
          </w:tcPr>
          <w:p w14:paraId="1918AC4D"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Director, Office of the Secretary</w:t>
            </w:r>
          </w:p>
        </w:tc>
        <w:tc>
          <w:tcPr>
            <w:tcW w:w="2500" w:type="pct"/>
            <w:shd w:val="clear" w:color="auto" w:fill="auto"/>
            <w:vAlign w:val="center"/>
          </w:tcPr>
          <w:p w14:paraId="6296B806"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Patrick O’Neill</w:t>
            </w:r>
          </w:p>
        </w:tc>
      </w:tr>
      <w:tr w:rsidR="003E5BF5" w:rsidRPr="007F3685" w14:paraId="031FBEFF" w14:textId="77777777" w:rsidTr="00086107">
        <w:trPr>
          <w:trHeight w:val="340"/>
        </w:trPr>
        <w:tc>
          <w:tcPr>
            <w:tcW w:w="5000" w:type="pct"/>
            <w:gridSpan w:val="2"/>
            <w:shd w:val="clear" w:color="auto" w:fill="auto"/>
            <w:vAlign w:val="center"/>
          </w:tcPr>
          <w:p w14:paraId="71A9333E"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 xml:space="preserve">Personnel of administrative offices incorporated under section 45 (4) of the </w:t>
            </w:r>
            <w:r w:rsidRPr="007F3685">
              <w:rPr>
                <w:rFonts w:ascii="Arial" w:hAnsi="Arial" w:cs="Arial"/>
                <w:i/>
                <w:sz w:val="24"/>
                <w:szCs w:val="24"/>
              </w:rPr>
              <w:t>Financial Management Act 1994</w:t>
            </w:r>
            <w:r w:rsidRPr="007F3685">
              <w:rPr>
                <w:rFonts w:ascii="Arial" w:hAnsi="Arial" w:cs="Arial"/>
                <w:sz w:val="24"/>
                <w:szCs w:val="24"/>
              </w:rPr>
              <w:t xml:space="preserve"> (FMA)</w:t>
            </w:r>
          </w:p>
        </w:tc>
      </w:tr>
      <w:tr w:rsidR="003E5BF5" w:rsidRPr="007F3685" w14:paraId="0BB3D283" w14:textId="77777777" w:rsidTr="00086107">
        <w:trPr>
          <w:trHeight w:val="340"/>
        </w:trPr>
        <w:tc>
          <w:tcPr>
            <w:tcW w:w="2500" w:type="pct"/>
            <w:shd w:val="clear" w:color="auto" w:fill="auto"/>
            <w:vAlign w:val="center"/>
          </w:tcPr>
          <w:p w14:paraId="73EEFEA5"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Director-General, MTIA</w:t>
            </w:r>
          </w:p>
        </w:tc>
        <w:tc>
          <w:tcPr>
            <w:tcW w:w="2500" w:type="pct"/>
            <w:shd w:val="clear" w:color="auto" w:fill="auto"/>
            <w:vAlign w:val="center"/>
          </w:tcPr>
          <w:p w14:paraId="32AC011F"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1/7/19 to 30/6/20: Corey </w:t>
            </w:r>
            <w:proofErr w:type="spellStart"/>
            <w:r w:rsidRPr="007F3685">
              <w:rPr>
                <w:rFonts w:ascii="Arial" w:hAnsi="Arial" w:cs="Arial"/>
                <w:sz w:val="24"/>
                <w:szCs w:val="24"/>
              </w:rPr>
              <w:t>Hannett</w:t>
            </w:r>
            <w:proofErr w:type="spellEnd"/>
          </w:p>
        </w:tc>
      </w:tr>
      <w:tr w:rsidR="003E5BF5" w:rsidRPr="007F3685" w14:paraId="0FEABE28" w14:textId="77777777" w:rsidTr="00086107">
        <w:trPr>
          <w:trHeight w:val="340"/>
        </w:trPr>
        <w:tc>
          <w:tcPr>
            <w:tcW w:w="2500" w:type="pct"/>
            <w:shd w:val="clear" w:color="auto" w:fill="auto"/>
            <w:vAlign w:val="center"/>
          </w:tcPr>
          <w:p w14:paraId="0C9FB3AD"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CEO, Level Crossings Removal Project, MTIA</w:t>
            </w:r>
          </w:p>
        </w:tc>
        <w:tc>
          <w:tcPr>
            <w:tcW w:w="2500" w:type="pct"/>
            <w:shd w:val="clear" w:color="auto" w:fill="auto"/>
            <w:vAlign w:val="center"/>
          </w:tcPr>
          <w:p w14:paraId="65BC9D48"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Kevin Devlin</w:t>
            </w:r>
          </w:p>
        </w:tc>
      </w:tr>
      <w:tr w:rsidR="003E5BF5" w:rsidRPr="007F3685" w14:paraId="7A5A9303" w14:textId="77777777" w:rsidTr="00086107">
        <w:trPr>
          <w:trHeight w:val="340"/>
        </w:trPr>
        <w:tc>
          <w:tcPr>
            <w:tcW w:w="2500" w:type="pct"/>
            <w:shd w:val="clear" w:color="auto" w:fill="auto"/>
            <w:vAlign w:val="center"/>
          </w:tcPr>
          <w:p w14:paraId="3B8DC6B2"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CEO, Rail Projects Victoria, MTIA</w:t>
            </w:r>
          </w:p>
        </w:tc>
        <w:tc>
          <w:tcPr>
            <w:tcW w:w="2500" w:type="pct"/>
            <w:shd w:val="clear" w:color="auto" w:fill="auto"/>
            <w:vAlign w:val="center"/>
          </w:tcPr>
          <w:p w14:paraId="490C5D0D"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Evan Tattersall</w:t>
            </w:r>
          </w:p>
        </w:tc>
      </w:tr>
      <w:tr w:rsidR="003E5BF5" w:rsidRPr="007F3685" w14:paraId="14580099" w14:textId="77777777" w:rsidTr="00086107">
        <w:trPr>
          <w:trHeight w:val="340"/>
        </w:trPr>
        <w:tc>
          <w:tcPr>
            <w:tcW w:w="2500" w:type="pct"/>
            <w:shd w:val="clear" w:color="auto" w:fill="auto"/>
            <w:vAlign w:val="center"/>
          </w:tcPr>
          <w:p w14:paraId="7FC6CB61"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CEO, Major Road Projects Victoria, MTIA</w:t>
            </w:r>
          </w:p>
        </w:tc>
        <w:tc>
          <w:tcPr>
            <w:tcW w:w="2500" w:type="pct"/>
            <w:shd w:val="clear" w:color="auto" w:fill="auto"/>
            <w:vAlign w:val="center"/>
          </w:tcPr>
          <w:p w14:paraId="08753AA8"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Allen Garner</w:t>
            </w:r>
          </w:p>
        </w:tc>
      </w:tr>
      <w:tr w:rsidR="003E5BF5" w:rsidRPr="007F3685" w14:paraId="568B6E42" w14:textId="77777777" w:rsidTr="00086107">
        <w:trPr>
          <w:trHeight w:val="340"/>
        </w:trPr>
        <w:tc>
          <w:tcPr>
            <w:tcW w:w="2500" w:type="pct"/>
            <w:shd w:val="clear" w:color="auto" w:fill="auto"/>
            <w:vAlign w:val="center"/>
          </w:tcPr>
          <w:p w14:paraId="0F1B9E97"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CEO, North East Link Project, MTIA</w:t>
            </w:r>
          </w:p>
        </w:tc>
        <w:tc>
          <w:tcPr>
            <w:tcW w:w="2500" w:type="pct"/>
            <w:shd w:val="clear" w:color="auto" w:fill="auto"/>
            <w:vAlign w:val="center"/>
          </w:tcPr>
          <w:p w14:paraId="319FB264"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Duncan Elliott</w:t>
            </w:r>
          </w:p>
        </w:tc>
      </w:tr>
      <w:tr w:rsidR="003E5BF5" w:rsidRPr="007F3685" w14:paraId="163A73FB" w14:textId="77777777" w:rsidTr="00086107">
        <w:trPr>
          <w:trHeight w:val="340"/>
        </w:trPr>
        <w:tc>
          <w:tcPr>
            <w:tcW w:w="2500" w:type="pct"/>
            <w:shd w:val="clear" w:color="auto" w:fill="auto"/>
            <w:vAlign w:val="center"/>
          </w:tcPr>
          <w:p w14:paraId="3E11C234"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CEO, West Gate Tunnel Project, MTIA</w:t>
            </w:r>
          </w:p>
        </w:tc>
        <w:tc>
          <w:tcPr>
            <w:tcW w:w="2500" w:type="pct"/>
            <w:shd w:val="clear" w:color="auto" w:fill="auto"/>
            <w:vAlign w:val="center"/>
          </w:tcPr>
          <w:p w14:paraId="4A5411C4"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1/7/19 to 30/6/20: Peter </w:t>
            </w:r>
            <w:proofErr w:type="spellStart"/>
            <w:r w:rsidRPr="007F3685">
              <w:rPr>
                <w:rFonts w:ascii="Arial" w:hAnsi="Arial" w:cs="Arial"/>
                <w:sz w:val="24"/>
                <w:szCs w:val="24"/>
              </w:rPr>
              <w:t>Sammut</w:t>
            </w:r>
            <w:proofErr w:type="spellEnd"/>
            <w:r w:rsidRPr="007F3685" w:rsidDel="00731DB7">
              <w:rPr>
                <w:rFonts w:ascii="Arial" w:hAnsi="Arial" w:cs="Arial"/>
                <w:sz w:val="24"/>
                <w:szCs w:val="24"/>
              </w:rPr>
              <w:t xml:space="preserve"> </w:t>
            </w:r>
          </w:p>
        </w:tc>
      </w:tr>
      <w:tr w:rsidR="003E5BF5" w:rsidRPr="007F3685" w14:paraId="64CC854F" w14:textId="77777777" w:rsidTr="00086107">
        <w:trPr>
          <w:trHeight w:val="340"/>
        </w:trPr>
        <w:tc>
          <w:tcPr>
            <w:tcW w:w="2500" w:type="pct"/>
            <w:shd w:val="clear" w:color="auto" w:fill="auto"/>
            <w:vAlign w:val="center"/>
          </w:tcPr>
          <w:p w14:paraId="5B802D9D"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CEO, Suburban Rail Loop Authority</w:t>
            </w:r>
          </w:p>
        </w:tc>
        <w:tc>
          <w:tcPr>
            <w:tcW w:w="2500" w:type="pct"/>
            <w:shd w:val="clear" w:color="auto" w:fill="auto"/>
            <w:vAlign w:val="center"/>
          </w:tcPr>
          <w:p w14:paraId="5F62BA2C"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3/9/19 to 8/4/20: Nick </w:t>
            </w:r>
            <w:proofErr w:type="spellStart"/>
            <w:r w:rsidRPr="007F3685">
              <w:rPr>
                <w:rFonts w:ascii="Arial" w:hAnsi="Arial" w:cs="Arial"/>
                <w:sz w:val="24"/>
                <w:szCs w:val="24"/>
              </w:rPr>
              <w:t>Foa</w:t>
            </w:r>
            <w:proofErr w:type="spellEnd"/>
          </w:p>
          <w:p w14:paraId="698D1787"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9/4/20 to 30/6/20: Tom Considine</w:t>
            </w:r>
          </w:p>
        </w:tc>
      </w:tr>
      <w:tr w:rsidR="003E5BF5" w:rsidRPr="007F3685" w14:paraId="7F3A8C0C" w14:textId="77777777" w:rsidTr="00086107">
        <w:trPr>
          <w:trHeight w:val="340"/>
        </w:trPr>
        <w:tc>
          <w:tcPr>
            <w:tcW w:w="5000" w:type="pct"/>
            <w:gridSpan w:val="2"/>
            <w:shd w:val="clear" w:color="auto" w:fill="auto"/>
            <w:vAlign w:val="center"/>
          </w:tcPr>
          <w:p w14:paraId="15231DCA"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Personnel of the entities consolidated pursuant to section 53 (1)(b) of the FMA</w:t>
            </w:r>
          </w:p>
        </w:tc>
      </w:tr>
      <w:tr w:rsidR="003E5BF5" w:rsidRPr="007F3685" w14:paraId="34D71546" w14:textId="77777777" w:rsidTr="00086107">
        <w:trPr>
          <w:trHeight w:val="340"/>
        </w:trPr>
        <w:tc>
          <w:tcPr>
            <w:tcW w:w="2500" w:type="pct"/>
            <w:shd w:val="clear" w:color="auto" w:fill="auto"/>
            <w:vAlign w:val="center"/>
          </w:tcPr>
          <w:p w14:paraId="041B9502"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Chief Executive, Public Transport Victoria</w:t>
            </w:r>
          </w:p>
        </w:tc>
        <w:tc>
          <w:tcPr>
            <w:tcW w:w="2500" w:type="pct"/>
            <w:shd w:val="clear" w:color="auto" w:fill="auto"/>
            <w:vAlign w:val="center"/>
          </w:tcPr>
          <w:p w14:paraId="31302FE4"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31/12/19: Jeroen Weimar</w:t>
            </w:r>
          </w:p>
          <w:p w14:paraId="20AA0038"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Entity was abolished effective 1/1/20</w:t>
            </w:r>
          </w:p>
        </w:tc>
      </w:tr>
      <w:tr w:rsidR="003E5BF5" w:rsidRPr="007F3685" w14:paraId="72F01BCE" w14:textId="77777777" w:rsidTr="00086107">
        <w:trPr>
          <w:trHeight w:val="340"/>
        </w:trPr>
        <w:tc>
          <w:tcPr>
            <w:tcW w:w="2500" w:type="pct"/>
            <w:shd w:val="clear" w:color="auto" w:fill="auto"/>
            <w:vAlign w:val="center"/>
          </w:tcPr>
          <w:p w14:paraId="3A57E95C"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Chief Executive, VicRoads</w:t>
            </w:r>
          </w:p>
        </w:tc>
        <w:tc>
          <w:tcPr>
            <w:tcW w:w="2500" w:type="pct"/>
            <w:shd w:val="clear" w:color="auto" w:fill="auto"/>
            <w:vAlign w:val="center"/>
          </w:tcPr>
          <w:p w14:paraId="59A03A79"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Jeroen Weimar</w:t>
            </w:r>
          </w:p>
        </w:tc>
      </w:tr>
      <w:tr w:rsidR="003E5BF5" w:rsidRPr="007F3685" w14:paraId="11207087" w14:textId="77777777" w:rsidTr="00086107">
        <w:trPr>
          <w:trHeight w:val="340"/>
        </w:trPr>
        <w:tc>
          <w:tcPr>
            <w:tcW w:w="2500" w:type="pct"/>
            <w:shd w:val="clear" w:color="auto" w:fill="auto"/>
            <w:vAlign w:val="center"/>
          </w:tcPr>
          <w:p w14:paraId="0067A49A"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Linking Melbourne Authority</w:t>
            </w:r>
          </w:p>
        </w:tc>
        <w:tc>
          <w:tcPr>
            <w:tcW w:w="2500" w:type="pct"/>
            <w:shd w:val="clear" w:color="auto" w:fill="auto"/>
            <w:vAlign w:val="center"/>
          </w:tcPr>
          <w:p w14:paraId="232257AD"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31/12/19: Paul Younis</w:t>
            </w:r>
          </w:p>
          <w:p w14:paraId="778A565F"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Entity was abolished effective 1/1/20</w:t>
            </w:r>
          </w:p>
        </w:tc>
      </w:tr>
      <w:tr w:rsidR="003E5BF5" w:rsidRPr="007F3685" w14:paraId="723F677C" w14:textId="77777777" w:rsidTr="00086107">
        <w:trPr>
          <w:trHeight w:val="340"/>
        </w:trPr>
        <w:tc>
          <w:tcPr>
            <w:tcW w:w="2500" w:type="pct"/>
            <w:shd w:val="clear" w:color="auto" w:fill="auto"/>
            <w:vAlign w:val="center"/>
          </w:tcPr>
          <w:p w14:paraId="2489A1D1"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Major Projects Victoria</w:t>
            </w:r>
          </w:p>
        </w:tc>
        <w:tc>
          <w:tcPr>
            <w:tcW w:w="2500" w:type="pct"/>
            <w:shd w:val="clear" w:color="auto" w:fill="auto"/>
            <w:vAlign w:val="center"/>
          </w:tcPr>
          <w:p w14:paraId="4F11A04C"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1/7/19 to 30/6/20: Paul Younis</w:t>
            </w:r>
          </w:p>
        </w:tc>
      </w:tr>
      <w:tr w:rsidR="003E5BF5" w:rsidRPr="007F3685" w14:paraId="475708EF" w14:textId="77777777" w:rsidTr="00086107">
        <w:trPr>
          <w:trHeight w:val="454"/>
        </w:trPr>
        <w:tc>
          <w:tcPr>
            <w:tcW w:w="2500" w:type="pct"/>
            <w:shd w:val="clear" w:color="auto" w:fill="auto"/>
            <w:vAlign w:val="center"/>
          </w:tcPr>
          <w:p w14:paraId="05720520"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Entity Head of the Head, </w:t>
            </w:r>
            <w:proofErr w:type="spellStart"/>
            <w:r w:rsidRPr="007F3685">
              <w:rPr>
                <w:rFonts w:ascii="Arial" w:hAnsi="Arial" w:cs="Arial"/>
                <w:sz w:val="24"/>
                <w:szCs w:val="24"/>
              </w:rPr>
              <w:t>TfV</w:t>
            </w:r>
            <w:proofErr w:type="spellEnd"/>
          </w:p>
          <w:p w14:paraId="023B4085"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Delegated functions and powers of the Head, </w:t>
            </w:r>
            <w:proofErr w:type="spellStart"/>
            <w:r w:rsidRPr="007F3685">
              <w:rPr>
                <w:rFonts w:ascii="Arial" w:hAnsi="Arial" w:cs="Arial"/>
                <w:sz w:val="24"/>
                <w:szCs w:val="24"/>
              </w:rPr>
              <w:t>TfV</w:t>
            </w:r>
            <w:proofErr w:type="spellEnd"/>
          </w:p>
        </w:tc>
        <w:tc>
          <w:tcPr>
            <w:tcW w:w="2500" w:type="pct"/>
            <w:shd w:val="clear" w:color="auto" w:fill="auto"/>
            <w:vAlign w:val="center"/>
          </w:tcPr>
          <w:p w14:paraId="3626E205"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1/1/20 to 30/6/20: Paul Younis (Acting)</w:t>
            </w:r>
          </w:p>
          <w:p w14:paraId="0CB99A09"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1/1/20 to 30/6/20: Jeroen Weimar</w:t>
            </w:r>
          </w:p>
        </w:tc>
      </w:tr>
    </w:tbl>
    <w:p w14:paraId="70FEA578" w14:textId="77777777" w:rsidR="003E5BF5" w:rsidRDefault="003E5BF5" w:rsidP="00DE1921">
      <w:pPr>
        <w:sectPr w:rsidR="003E5BF5" w:rsidSect="00DE1921">
          <w:type w:val="continuous"/>
          <w:pgSz w:w="11906" w:h="16838"/>
          <w:pgMar w:top="1701" w:right="1418" w:bottom="1418" w:left="1418" w:header="708" w:footer="708" w:gutter="0"/>
          <w:cols w:space="709"/>
          <w:docGrid w:linePitch="360"/>
        </w:sectPr>
      </w:pPr>
    </w:p>
    <w:p w14:paraId="741ED4F7" w14:textId="77777777" w:rsidR="003E5BF5" w:rsidRDefault="003E5BF5" w:rsidP="00604703">
      <w:pPr>
        <w:pStyle w:val="TableTextGreen"/>
        <w:sectPr w:rsidR="003E5BF5" w:rsidSect="00DE1921">
          <w:pgSz w:w="11906" w:h="16838"/>
          <w:pgMar w:top="1701" w:right="1418" w:bottom="1418" w:left="1418" w:header="708" w:footer="708" w:gutter="0"/>
          <w:cols w:space="708"/>
          <w:docGrid w:linePitch="360"/>
        </w:sectPr>
      </w:pPr>
    </w:p>
    <w:p w14:paraId="5DDD08FB" w14:textId="77777777" w:rsidR="003E5BF5" w:rsidRDefault="003E5BF5" w:rsidP="00565B83">
      <w:pPr>
        <w:pStyle w:val="aaatyping"/>
      </w:pPr>
      <w:r w:rsidRPr="007444F0">
        <w:t xml:space="preserve">The compensation detailed below excludes the salaries and benefits the Portfolio Ministers receive. The Minister’s remuneration and allowances </w:t>
      </w:r>
      <w:r>
        <w:t>are</w:t>
      </w:r>
      <w:r w:rsidRPr="007444F0">
        <w:t xml:space="preserve"> set by the </w:t>
      </w:r>
      <w:r w:rsidRPr="007444F0">
        <w:rPr>
          <w:i/>
        </w:rPr>
        <w:t>Parliamentary Salaries and Superannuation Act 1968</w:t>
      </w:r>
      <w:r w:rsidRPr="007444F0">
        <w:t xml:space="preserve"> and is reported within the Department of Parliamentary Services’ Financial Report.</w:t>
      </w:r>
      <w:bookmarkStart w:id="685" w:name="RANGE!A3:E11"/>
      <w:bookmarkEnd w:id="685"/>
    </w:p>
    <w:p w14:paraId="03AE6BC4" w14:textId="77777777" w:rsidR="003E5BF5" w:rsidRPr="0098519C" w:rsidRDefault="003E5BF5" w:rsidP="00EF5131">
      <w:pPr>
        <w:pStyle w:val="Heading5"/>
      </w:pPr>
      <w:r>
        <w:t>Compensation of key management personnel</w:t>
      </w:r>
    </w:p>
    <w:tbl>
      <w:tblPr>
        <w:tblStyle w:val="TableGrid"/>
        <w:tblW w:w="9072" w:type="dxa"/>
        <w:tblCellMar>
          <w:left w:w="28" w:type="dxa"/>
          <w:right w:w="28" w:type="dxa"/>
        </w:tblCellMar>
        <w:tblLook w:val="04A0" w:firstRow="1" w:lastRow="0" w:firstColumn="1" w:lastColumn="0" w:noHBand="0" w:noVBand="1"/>
      </w:tblPr>
      <w:tblGrid>
        <w:gridCol w:w="3280"/>
        <w:gridCol w:w="1448"/>
        <w:gridCol w:w="1448"/>
        <w:gridCol w:w="1585"/>
        <w:gridCol w:w="1585"/>
      </w:tblGrid>
      <w:tr w:rsidR="003E5BF5" w:rsidRPr="007F3685" w14:paraId="6D71092F" w14:textId="77777777" w:rsidTr="007D4D72">
        <w:trPr>
          <w:trHeight w:val="340"/>
        </w:trPr>
        <w:tc>
          <w:tcPr>
            <w:tcW w:w="3280" w:type="dxa"/>
            <w:shd w:val="clear" w:color="auto" w:fill="auto"/>
            <w:hideMark/>
          </w:tcPr>
          <w:p w14:paraId="5568E4DD" w14:textId="77777777" w:rsidR="003E5BF5" w:rsidRPr="007F3685" w:rsidRDefault="003E5BF5" w:rsidP="00DE1921">
            <w:pPr>
              <w:rPr>
                <w:rFonts w:ascii="Arial" w:hAnsi="Arial" w:cs="Arial"/>
                <w:sz w:val="24"/>
                <w:szCs w:val="24"/>
              </w:rPr>
            </w:pPr>
          </w:p>
        </w:tc>
        <w:tc>
          <w:tcPr>
            <w:tcW w:w="5792" w:type="dxa"/>
            <w:gridSpan w:val="4"/>
            <w:shd w:val="clear" w:color="auto" w:fill="auto"/>
            <w:vAlign w:val="center"/>
            <w:hideMark/>
          </w:tcPr>
          <w:p w14:paraId="3420E800" w14:textId="77777777" w:rsidR="003E5BF5" w:rsidRPr="007F3685" w:rsidRDefault="003E5BF5" w:rsidP="00DE1921">
            <w:pPr>
              <w:pStyle w:val="TableTextCentre"/>
              <w:rPr>
                <w:rFonts w:ascii="Arial" w:hAnsi="Arial" w:cs="Arial"/>
                <w:b/>
                <w:sz w:val="24"/>
                <w:szCs w:val="24"/>
              </w:rPr>
            </w:pPr>
            <w:r w:rsidRPr="007F3685">
              <w:rPr>
                <w:rFonts w:ascii="Arial" w:hAnsi="Arial" w:cs="Arial"/>
                <w:b/>
                <w:sz w:val="24"/>
                <w:szCs w:val="24"/>
              </w:rPr>
              <w:t>($ thousand)</w:t>
            </w:r>
          </w:p>
        </w:tc>
      </w:tr>
      <w:tr w:rsidR="003E5BF5" w:rsidRPr="007F3685" w14:paraId="0906EACC" w14:textId="77777777" w:rsidTr="007D4D72">
        <w:trPr>
          <w:trHeight w:val="340"/>
        </w:trPr>
        <w:tc>
          <w:tcPr>
            <w:tcW w:w="3280" w:type="dxa"/>
            <w:shd w:val="clear" w:color="auto" w:fill="auto"/>
            <w:noWrap/>
            <w:hideMark/>
          </w:tcPr>
          <w:p w14:paraId="247A5154" w14:textId="77777777" w:rsidR="003E5BF5" w:rsidRPr="007F3685" w:rsidRDefault="003E5BF5" w:rsidP="00DE1921">
            <w:pPr>
              <w:rPr>
                <w:rFonts w:ascii="Arial" w:hAnsi="Arial" w:cs="Arial"/>
                <w:sz w:val="24"/>
                <w:szCs w:val="24"/>
              </w:rPr>
            </w:pPr>
          </w:p>
        </w:tc>
        <w:tc>
          <w:tcPr>
            <w:tcW w:w="1448" w:type="dxa"/>
            <w:shd w:val="clear" w:color="auto" w:fill="auto"/>
            <w:noWrap/>
            <w:vAlign w:val="center"/>
            <w:hideMark/>
          </w:tcPr>
          <w:p w14:paraId="038EC3BC"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2020</w:t>
            </w:r>
          </w:p>
        </w:tc>
        <w:tc>
          <w:tcPr>
            <w:tcW w:w="1448" w:type="dxa"/>
            <w:shd w:val="clear" w:color="auto" w:fill="auto"/>
            <w:noWrap/>
            <w:vAlign w:val="center"/>
            <w:hideMark/>
          </w:tcPr>
          <w:p w14:paraId="16F7A9F6"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2019</w:t>
            </w:r>
          </w:p>
        </w:tc>
        <w:tc>
          <w:tcPr>
            <w:tcW w:w="1448" w:type="dxa"/>
            <w:shd w:val="clear" w:color="auto" w:fill="auto"/>
            <w:noWrap/>
            <w:vAlign w:val="center"/>
            <w:hideMark/>
          </w:tcPr>
          <w:p w14:paraId="364011B8"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2020</w:t>
            </w:r>
          </w:p>
        </w:tc>
        <w:tc>
          <w:tcPr>
            <w:tcW w:w="1448" w:type="dxa"/>
            <w:shd w:val="clear" w:color="auto" w:fill="auto"/>
            <w:noWrap/>
            <w:vAlign w:val="center"/>
            <w:hideMark/>
          </w:tcPr>
          <w:p w14:paraId="52F48108"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2019</w:t>
            </w:r>
          </w:p>
        </w:tc>
      </w:tr>
      <w:tr w:rsidR="003E5BF5" w:rsidRPr="007D4D72" w14:paraId="0AC88E10" w14:textId="77777777" w:rsidTr="007D4D72">
        <w:trPr>
          <w:trHeight w:val="340"/>
        </w:trPr>
        <w:tc>
          <w:tcPr>
            <w:tcW w:w="3280" w:type="dxa"/>
            <w:shd w:val="clear" w:color="auto" w:fill="auto"/>
            <w:hideMark/>
          </w:tcPr>
          <w:p w14:paraId="696A543F" w14:textId="77777777" w:rsidR="003E5BF5" w:rsidRPr="007D4D72" w:rsidRDefault="003E5BF5" w:rsidP="00DE1921">
            <w:pPr>
              <w:rPr>
                <w:rFonts w:ascii="Arial" w:hAnsi="Arial" w:cs="Arial"/>
                <w:b/>
              </w:rPr>
            </w:pPr>
            <w:r w:rsidRPr="007D4D72">
              <w:rPr>
                <w:rFonts w:ascii="Arial" w:hAnsi="Arial" w:cs="Arial"/>
                <w:b/>
              </w:rPr>
              <w:t> </w:t>
            </w:r>
          </w:p>
        </w:tc>
        <w:tc>
          <w:tcPr>
            <w:tcW w:w="1448" w:type="dxa"/>
            <w:shd w:val="clear" w:color="auto" w:fill="auto"/>
            <w:vAlign w:val="bottom"/>
            <w:hideMark/>
          </w:tcPr>
          <w:p w14:paraId="2F2EE14F" w14:textId="77777777" w:rsidR="003E5BF5" w:rsidRPr="007D4D72" w:rsidRDefault="003E5BF5" w:rsidP="00DE1921">
            <w:pPr>
              <w:pStyle w:val="TableTextRightBold"/>
              <w:rPr>
                <w:rFonts w:ascii="Arial" w:hAnsi="Arial" w:cs="Arial"/>
                <w:sz w:val="22"/>
              </w:rPr>
            </w:pPr>
            <w:r w:rsidRPr="007D4D72">
              <w:rPr>
                <w:rFonts w:ascii="Arial" w:hAnsi="Arial" w:cs="Arial"/>
                <w:sz w:val="22"/>
              </w:rPr>
              <w:t xml:space="preserve">DoT </w:t>
            </w:r>
            <w:r w:rsidRPr="007D4D72">
              <w:rPr>
                <w:rFonts w:ascii="Arial" w:hAnsi="Arial" w:cs="Arial"/>
                <w:sz w:val="22"/>
                <w:vertAlign w:val="superscript"/>
              </w:rPr>
              <w:t>(iii)</w:t>
            </w:r>
          </w:p>
        </w:tc>
        <w:tc>
          <w:tcPr>
            <w:tcW w:w="1448" w:type="dxa"/>
            <w:shd w:val="clear" w:color="auto" w:fill="auto"/>
            <w:vAlign w:val="bottom"/>
            <w:hideMark/>
          </w:tcPr>
          <w:p w14:paraId="3486672C" w14:textId="77777777" w:rsidR="003E5BF5" w:rsidRPr="007D4D72" w:rsidRDefault="003E5BF5" w:rsidP="00DE1921">
            <w:pPr>
              <w:pStyle w:val="TableTextRight"/>
              <w:rPr>
                <w:rFonts w:ascii="Arial" w:hAnsi="Arial" w:cs="Arial"/>
                <w:b/>
                <w:sz w:val="22"/>
              </w:rPr>
            </w:pPr>
            <w:r w:rsidRPr="007D4D72">
              <w:rPr>
                <w:rFonts w:ascii="Arial" w:hAnsi="Arial" w:cs="Arial"/>
                <w:b/>
                <w:sz w:val="22"/>
              </w:rPr>
              <w:t xml:space="preserve">DoT </w:t>
            </w:r>
            <w:r w:rsidRPr="007D4D72">
              <w:rPr>
                <w:rFonts w:ascii="Arial" w:hAnsi="Arial" w:cs="Arial"/>
                <w:b/>
                <w:sz w:val="22"/>
                <w:vertAlign w:val="superscript"/>
              </w:rPr>
              <w:t>(iii)</w:t>
            </w:r>
          </w:p>
        </w:tc>
        <w:tc>
          <w:tcPr>
            <w:tcW w:w="1448" w:type="dxa"/>
            <w:shd w:val="clear" w:color="auto" w:fill="auto"/>
            <w:vAlign w:val="bottom"/>
            <w:hideMark/>
          </w:tcPr>
          <w:p w14:paraId="2330C3CD" w14:textId="77777777" w:rsidR="003E5BF5" w:rsidRPr="007D4D72" w:rsidRDefault="003E5BF5" w:rsidP="00DE1921">
            <w:pPr>
              <w:pStyle w:val="TableTextRightBold"/>
              <w:rPr>
                <w:rFonts w:ascii="Arial" w:hAnsi="Arial" w:cs="Arial"/>
                <w:sz w:val="22"/>
              </w:rPr>
            </w:pPr>
            <w:r w:rsidRPr="007D4D72">
              <w:rPr>
                <w:rFonts w:ascii="Arial" w:hAnsi="Arial" w:cs="Arial"/>
                <w:sz w:val="22"/>
              </w:rPr>
              <w:t>Administrative offices and s53</w:t>
            </w:r>
            <w:r w:rsidRPr="007D4D72">
              <w:rPr>
                <w:rFonts w:ascii="Arial" w:hAnsi="Arial" w:cs="Arial"/>
                <w:sz w:val="22"/>
                <w:vertAlign w:val="superscript"/>
              </w:rPr>
              <w:t xml:space="preserve"> (iv)</w:t>
            </w:r>
          </w:p>
        </w:tc>
        <w:tc>
          <w:tcPr>
            <w:tcW w:w="1448" w:type="dxa"/>
            <w:shd w:val="clear" w:color="auto" w:fill="auto"/>
            <w:vAlign w:val="bottom"/>
            <w:hideMark/>
          </w:tcPr>
          <w:p w14:paraId="20D44785" w14:textId="77777777" w:rsidR="003E5BF5" w:rsidRPr="007D4D72" w:rsidRDefault="003E5BF5" w:rsidP="00DE1921">
            <w:pPr>
              <w:pStyle w:val="TableTextRight"/>
              <w:rPr>
                <w:rFonts w:ascii="Arial" w:hAnsi="Arial" w:cs="Arial"/>
                <w:b/>
                <w:sz w:val="22"/>
              </w:rPr>
            </w:pPr>
            <w:r w:rsidRPr="007D4D72">
              <w:rPr>
                <w:rFonts w:ascii="Arial" w:hAnsi="Arial" w:cs="Arial"/>
                <w:b/>
                <w:sz w:val="22"/>
              </w:rPr>
              <w:t>Administrative offices and s53</w:t>
            </w:r>
            <w:r w:rsidRPr="007D4D72">
              <w:rPr>
                <w:rFonts w:ascii="Arial" w:hAnsi="Arial" w:cs="Arial"/>
                <w:b/>
                <w:sz w:val="22"/>
                <w:vertAlign w:val="superscript"/>
              </w:rPr>
              <w:t xml:space="preserve"> (iv)</w:t>
            </w:r>
          </w:p>
        </w:tc>
      </w:tr>
      <w:tr w:rsidR="003E5BF5" w:rsidRPr="007F3685" w14:paraId="533EDCA6" w14:textId="77777777" w:rsidTr="007D4D72">
        <w:trPr>
          <w:trHeight w:val="340"/>
        </w:trPr>
        <w:tc>
          <w:tcPr>
            <w:tcW w:w="3280" w:type="dxa"/>
            <w:shd w:val="clear" w:color="auto" w:fill="auto"/>
            <w:noWrap/>
            <w:vAlign w:val="center"/>
            <w:hideMark/>
          </w:tcPr>
          <w:p w14:paraId="4AFEBFFF"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Short-term employee benefits </w:t>
            </w:r>
            <w:r w:rsidRPr="007F3685">
              <w:rPr>
                <w:rFonts w:ascii="Arial" w:hAnsi="Arial" w:cs="Arial"/>
                <w:sz w:val="24"/>
                <w:szCs w:val="24"/>
                <w:vertAlign w:val="superscript"/>
              </w:rPr>
              <w:t>(</w:t>
            </w:r>
            <w:proofErr w:type="spellStart"/>
            <w:r w:rsidRPr="007F3685">
              <w:rPr>
                <w:rFonts w:ascii="Arial" w:hAnsi="Arial" w:cs="Arial"/>
                <w:sz w:val="24"/>
                <w:szCs w:val="24"/>
                <w:vertAlign w:val="superscript"/>
              </w:rPr>
              <w:t>i</w:t>
            </w:r>
            <w:proofErr w:type="spellEnd"/>
            <w:r w:rsidRPr="007F3685">
              <w:rPr>
                <w:rFonts w:ascii="Arial" w:hAnsi="Arial" w:cs="Arial"/>
                <w:sz w:val="24"/>
                <w:szCs w:val="24"/>
                <w:vertAlign w:val="superscript"/>
              </w:rPr>
              <w:t>)</w:t>
            </w:r>
          </w:p>
        </w:tc>
        <w:tc>
          <w:tcPr>
            <w:tcW w:w="1448" w:type="dxa"/>
            <w:shd w:val="clear" w:color="auto" w:fill="auto"/>
            <w:noWrap/>
            <w:vAlign w:val="center"/>
            <w:hideMark/>
          </w:tcPr>
          <w:p w14:paraId="2A187EB7"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 xml:space="preserve">4,288 </w:t>
            </w:r>
          </w:p>
        </w:tc>
        <w:tc>
          <w:tcPr>
            <w:tcW w:w="1448" w:type="dxa"/>
            <w:shd w:val="clear" w:color="auto" w:fill="auto"/>
            <w:noWrap/>
            <w:vAlign w:val="center"/>
            <w:hideMark/>
          </w:tcPr>
          <w:p w14:paraId="08C20D99"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3,290 </w:t>
            </w:r>
          </w:p>
        </w:tc>
        <w:tc>
          <w:tcPr>
            <w:tcW w:w="1448" w:type="dxa"/>
            <w:shd w:val="clear" w:color="auto" w:fill="auto"/>
            <w:noWrap/>
            <w:vAlign w:val="center"/>
            <w:hideMark/>
          </w:tcPr>
          <w:p w14:paraId="17905544"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 xml:space="preserve">4,067 </w:t>
            </w:r>
          </w:p>
        </w:tc>
        <w:tc>
          <w:tcPr>
            <w:tcW w:w="1448" w:type="dxa"/>
            <w:shd w:val="clear" w:color="auto" w:fill="auto"/>
            <w:noWrap/>
            <w:vAlign w:val="center"/>
            <w:hideMark/>
          </w:tcPr>
          <w:p w14:paraId="1723CB67"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2,883 </w:t>
            </w:r>
          </w:p>
        </w:tc>
      </w:tr>
      <w:tr w:rsidR="003E5BF5" w:rsidRPr="007F3685" w14:paraId="715A7093" w14:textId="77777777" w:rsidTr="007D4D72">
        <w:trPr>
          <w:trHeight w:val="340"/>
        </w:trPr>
        <w:tc>
          <w:tcPr>
            <w:tcW w:w="3280" w:type="dxa"/>
            <w:shd w:val="clear" w:color="auto" w:fill="auto"/>
            <w:noWrap/>
            <w:vAlign w:val="center"/>
            <w:hideMark/>
          </w:tcPr>
          <w:p w14:paraId="2DA3A8EB"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Post-employment benefits </w:t>
            </w:r>
          </w:p>
        </w:tc>
        <w:tc>
          <w:tcPr>
            <w:tcW w:w="1448" w:type="dxa"/>
            <w:shd w:val="clear" w:color="auto" w:fill="auto"/>
            <w:noWrap/>
            <w:vAlign w:val="center"/>
            <w:hideMark/>
          </w:tcPr>
          <w:p w14:paraId="7A940653"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 xml:space="preserve">250 </w:t>
            </w:r>
          </w:p>
        </w:tc>
        <w:tc>
          <w:tcPr>
            <w:tcW w:w="1448" w:type="dxa"/>
            <w:shd w:val="clear" w:color="auto" w:fill="auto"/>
            <w:noWrap/>
            <w:vAlign w:val="center"/>
            <w:hideMark/>
          </w:tcPr>
          <w:p w14:paraId="1BC39EE2"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188 </w:t>
            </w:r>
          </w:p>
        </w:tc>
        <w:tc>
          <w:tcPr>
            <w:tcW w:w="1448" w:type="dxa"/>
            <w:shd w:val="clear" w:color="auto" w:fill="auto"/>
            <w:noWrap/>
            <w:vAlign w:val="center"/>
            <w:hideMark/>
          </w:tcPr>
          <w:p w14:paraId="3AB2F9FA"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 xml:space="preserve">177 </w:t>
            </w:r>
          </w:p>
        </w:tc>
        <w:tc>
          <w:tcPr>
            <w:tcW w:w="1448" w:type="dxa"/>
            <w:shd w:val="clear" w:color="auto" w:fill="auto"/>
            <w:noWrap/>
            <w:vAlign w:val="center"/>
            <w:hideMark/>
          </w:tcPr>
          <w:p w14:paraId="7F2CB64C"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151 </w:t>
            </w:r>
          </w:p>
        </w:tc>
      </w:tr>
      <w:tr w:rsidR="003E5BF5" w:rsidRPr="007F3685" w14:paraId="32980C2E" w14:textId="77777777" w:rsidTr="007D4D72">
        <w:trPr>
          <w:trHeight w:val="340"/>
        </w:trPr>
        <w:tc>
          <w:tcPr>
            <w:tcW w:w="3280" w:type="dxa"/>
            <w:shd w:val="clear" w:color="auto" w:fill="auto"/>
            <w:noWrap/>
            <w:vAlign w:val="center"/>
            <w:hideMark/>
          </w:tcPr>
          <w:p w14:paraId="359DB80E"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Other long-term benefits </w:t>
            </w:r>
          </w:p>
        </w:tc>
        <w:tc>
          <w:tcPr>
            <w:tcW w:w="1448" w:type="dxa"/>
            <w:shd w:val="clear" w:color="auto" w:fill="auto"/>
            <w:noWrap/>
            <w:vAlign w:val="center"/>
            <w:hideMark/>
          </w:tcPr>
          <w:p w14:paraId="7EAAC647"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 xml:space="preserve">112 </w:t>
            </w:r>
          </w:p>
        </w:tc>
        <w:tc>
          <w:tcPr>
            <w:tcW w:w="1448" w:type="dxa"/>
            <w:shd w:val="clear" w:color="auto" w:fill="auto"/>
            <w:noWrap/>
            <w:vAlign w:val="center"/>
            <w:hideMark/>
          </w:tcPr>
          <w:p w14:paraId="78857FC9"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77 </w:t>
            </w:r>
          </w:p>
        </w:tc>
        <w:tc>
          <w:tcPr>
            <w:tcW w:w="1448" w:type="dxa"/>
            <w:shd w:val="clear" w:color="auto" w:fill="auto"/>
            <w:noWrap/>
            <w:vAlign w:val="center"/>
            <w:hideMark/>
          </w:tcPr>
          <w:p w14:paraId="348434BC"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 xml:space="preserve">97 </w:t>
            </w:r>
          </w:p>
        </w:tc>
        <w:tc>
          <w:tcPr>
            <w:tcW w:w="1448" w:type="dxa"/>
            <w:shd w:val="clear" w:color="auto" w:fill="auto"/>
            <w:noWrap/>
            <w:vAlign w:val="center"/>
            <w:hideMark/>
          </w:tcPr>
          <w:p w14:paraId="4EE7EDBB"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70 </w:t>
            </w:r>
          </w:p>
        </w:tc>
      </w:tr>
      <w:tr w:rsidR="003E5BF5" w:rsidRPr="007F3685" w14:paraId="23A79B97" w14:textId="77777777" w:rsidTr="007D4D72">
        <w:trPr>
          <w:trHeight w:val="340"/>
        </w:trPr>
        <w:tc>
          <w:tcPr>
            <w:tcW w:w="3280" w:type="dxa"/>
            <w:shd w:val="clear" w:color="auto" w:fill="auto"/>
            <w:noWrap/>
            <w:vAlign w:val="center"/>
            <w:hideMark/>
          </w:tcPr>
          <w:p w14:paraId="0E18141C"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Termination benefits </w:t>
            </w:r>
          </w:p>
        </w:tc>
        <w:tc>
          <w:tcPr>
            <w:tcW w:w="1448" w:type="dxa"/>
            <w:shd w:val="clear" w:color="auto" w:fill="auto"/>
            <w:noWrap/>
            <w:vAlign w:val="center"/>
            <w:hideMark/>
          </w:tcPr>
          <w:p w14:paraId="4CC83004"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 xml:space="preserve"> - </w:t>
            </w:r>
          </w:p>
        </w:tc>
        <w:tc>
          <w:tcPr>
            <w:tcW w:w="1448" w:type="dxa"/>
            <w:shd w:val="clear" w:color="auto" w:fill="auto"/>
            <w:noWrap/>
            <w:vAlign w:val="center"/>
            <w:hideMark/>
          </w:tcPr>
          <w:p w14:paraId="36E6EBFC"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635 </w:t>
            </w:r>
          </w:p>
        </w:tc>
        <w:tc>
          <w:tcPr>
            <w:tcW w:w="1448" w:type="dxa"/>
            <w:shd w:val="clear" w:color="auto" w:fill="auto"/>
            <w:noWrap/>
            <w:vAlign w:val="center"/>
            <w:hideMark/>
          </w:tcPr>
          <w:p w14:paraId="53F7F6EA"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 xml:space="preserve"> - </w:t>
            </w:r>
          </w:p>
        </w:tc>
        <w:tc>
          <w:tcPr>
            <w:tcW w:w="1448" w:type="dxa"/>
            <w:shd w:val="clear" w:color="auto" w:fill="auto"/>
            <w:noWrap/>
            <w:vAlign w:val="center"/>
            <w:hideMark/>
          </w:tcPr>
          <w:p w14:paraId="6AC85D13"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 - </w:t>
            </w:r>
          </w:p>
        </w:tc>
      </w:tr>
      <w:tr w:rsidR="003E5BF5" w:rsidRPr="007F3685" w14:paraId="497A1FDA" w14:textId="77777777" w:rsidTr="007D4D72">
        <w:trPr>
          <w:trHeight w:val="340"/>
        </w:trPr>
        <w:tc>
          <w:tcPr>
            <w:tcW w:w="3280" w:type="dxa"/>
            <w:shd w:val="clear" w:color="auto" w:fill="auto"/>
            <w:noWrap/>
            <w:vAlign w:val="center"/>
            <w:hideMark/>
          </w:tcPr>
          <w:p w14:paraId="7008A2BB" w14:textId="77777777" w:rsidR="003E5BF5" w:rsidRPr="007F3685" w:rsidRDefault="003E5BF5" w:rsidP="00DE1921">
            <w:pPr>
              <w:pStyle w:val="TableTextLeft"/>
              <w:rPr>
                <w:rFonts w:ascii="Arial" w:hAnsi="Arial" w:cs="Arial"/>
                <w:b/>
                <w:sz w:val="24"/>
                <w:szCs w:val="24"/>
              </w:rPr>
            </w:pPr>
            <w:r w:rsidRPr="007F3685">
              <w:rPr>
                <w:rFonts w:ascii="Arial" w:hAnsi="Arial" w:cs="Arial"/>
                <w:b/>
                <w:sz w:val="24"/>
                <w:szCs w:val="24"/>
              </w:rPr>
              <w:t>Total compensation</w:t>
            </w:r>
            <w:r w:rsidRPr="007F3685">
              <w:rPr>
                <w:rFonts w:ascii="Arial" w:hAnsi="Arial" w:cs="Arial"/>
                <w:b/>
                <w:sz w:val="24"/>
                <w:szCs w:val="24"/>
                <w:vertAlign w:val="superscript"/>
              </w:rPr>
              <w:t xml:space="preserve"> (ii)</w:t>
            </w:r>
          </w:p>
        </w:tc>
        <w:tc>
          <w:tcPr>
            <w:tcW w:w="1448" w:type="dxa"/>
            <w:shd w:val="clear" w:color="auto" w:fill="auto"/>
            <w:noWrap/>
            <w:vAlign w:val="center"/>
            <w:hideMark/>
          </w:tcPr>
          <w:p w14:paraId="1657C697"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 xml:space="preserve">4,650 </w:t>
            </w:r>
          </w:p>
        </w:tc>
        <w:tc>
          <w:tcPr>
            <w:tcW w:w="1448" w:type="dxa"/>
            <w:shd w:val="clear" w:color="auto" w:fill="auto"/>
            <w:noWrap/>
            <w:vAlign w:val="center"/>
            <w:hideMark/>
          </w:tcPr>
          <w:p w14:paraId="406A3CA3"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4,190 </w:t>
            </w:r>
          </w:p>
        </w:tc>
        <w:tc>
          <w:tcPr>
            <w:tcW w:w="1448" w:type="dxa"/>
            <w:shd w:val="clear" w:color="auto" w:fill="auto"/>
            <w:noWrap/>
            <w:vAlign w:val="center"/>
            <w:hideMark/>
          </w:tcPr>
          <w:p w14:paraId="46A51261"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 xml:space="preserve">4,341 </w:t>
            </w:r>
          </w:p>
        </w:tc>
        <w:tc>
          <w:tcPr>
            <w:tcW w:w="1448" w:type="dxa"/>
            <w:shd w:val="clear" w:color="auto" w:fill="auto"/>
            <w:noWrap/>
            <w:vAlign w:val="center"/>
            <w:hideMark/>
          </w:tcPr>
          <w:p w14:paraId="45BEF2EC"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 xml:space="preserve">3,104 </w:t>
            </w:r>
          </w:p>
        </w:tc>
      </w:tr>
    </w:tbl>
    <w:p w14:paraId="6D24B90C" w14:textId="77777777" w:rsidR="003E5BF5" w:rsidRPr="007F3685" w:rsidRDefault="003E5BF5" w:rsidP="00DE1921">
      <w:pPr>
        <w:pStyle w:val="Note"/>
        <w:rPr>
          <w:rFonts w:ascii="Arial" w:hAnsi="Arial" w:cs="Arial"/>
          <w:sz w:val="24"/>
          <w:szCs w:val="24"/>
        </w:rPr>
      </w:pPr>
      <w:r w:rsidRPr="007F3685">
        <w:rPr>
          <w:rFonts w:ascii="Arial" w:hAnsi="Arial" w:cs="Arial"/>
          <w:sz w:val="24"/>
          <w:szCs w:val="24"/>
        </w:rPr>
        <w:t xml:space="preserve">Notes: </w:t>
      </w:r>
    </w:p>
    <w:p w14:paraId="34DBECCF" w14:textId="77777777" w:rsidR="003E5BF5" w:rsidRPr="007F3685" w:rsidRDefault="003E5BF5" w:rsidP="00610F5F">
      <w:pPr>
        <w:pStyle w:val="aaaNotenumberiiiiii"/>
        <w:numPr>
          <w:ilvl w:val="0"/>
          <w:numId w:val="134"/>
        </w:numPr>
      </w:pPr>
      <w:r w:rsidRPr="007F3685">
        <w:t>Total remuneration paid to KMPs employed as a contractor during the reporting period through an external service provider has been reported under short-term employee benefits.</w:t>
      </w:r>
    </w:p>
    <w:p w14:paraId="741886F4" w14:textId="77777777" w:rsidR="003E5BF5" w:rsidRPr="007F3685" w:rsidRDefault="003E5BF5" w:rsidP="00610F5F">
      <w:pPr>
        <w:pStyle w:val="aaaNotenumberiiiiii"/>
        <w:numPr>
          <w:ilvl w:val="0"/>
          <w:numId w:val="134"/>
        </w:numPr>
      </w:pPr>
      <w:r w:rsidRPr="007F3685">
        <w:t xml:space="preserve">Note that KMPs are also reported in the disclosure of remuneration of executive officers (Note 9.8 Remuneration of executives). </w:t>
      </w:r>
    </w:p>
    <w:p w14:paraId="6BFE42F6" w14:textId="77777777" w:rsidR="003E5BF5" w:rsidRPr="007F3685" w:rsidRDefault="003E5BF5" w:rsidP="00610F5F">
      <w:pPr>
        <w:pStyle w:val="aaaNotenumberiiiiii"/>
        <w:numPr>
          <w:ilvl w:val="0"/>
          <w:numId w:val="134"/>
        </w:numPr>
      </w:pPr>
      <w:r w:rsidRPr="007F3685">
        <w:t>Where employees are KMPs of both Department and Administrative Offices and entities consolidated under the FMA s53(1), their remuneration is reflected under DoT's compensation of KMPs.</w:t>
      </w:r>
    </w:p>
    <w:p w14:paraId="145BCF2E" w14:textId="77777777" w:rsidR="003E5BF5" w:rsidRPr="007F3685" w:rsidRDefault="003E5BF5" w:rsidP="00610F5F">
      <w:pPr>
        <w:pStyle w:val="aaaNotenumberiiiiii"/>
        <w:numPr>
          <w:ilvl w:val="0"/>
          <w:numId w:val="134"/>
        </w:numPr>
      </w:pPr>
      <w:r w:rsidRPr="007F3685">
        <w:t xml:space="preserve">This includes remuneration of KMPs for MPV and Head, </w:t>
      </w:r>
      <w:proofErr w:type="spellStart"/>
      <w:r w:rsidRPr="007F3685">
        <w:t>TfV</w:t>
      </w:r>
      <w:proofErr w:type="spellEnd"/>
      <w:r w:rsidRPr="007F3685">
        <w:t xml:space="preserve"> for the full financial year, and LMA for the period between 1/7/19 to 31/12/19.</w:t>
      </w:r>
    </w:p>
    <w:p w14:paraId="2127DC46" w14:textId="77777777" w:rsidR="003E5BF5" w:rsidRPr="007444F0" w:rsidRDefault="003E5BF5" w:rsidP="008A0170">
      <w:pPr>
        <w:pStyle w:val="Heading3"/>
      </w:pPr>
      <w:r w:rsidRPr="007444F0">
        <w:t>Transactions and balances with key management personnel and other related parties</w:t>
      </w:r>
    </w:p>
    <w:p w14:paraId="113A24A0" w14:textId="77777777" w:rsidR="003E5BF5" w:rsidRDefault="003E5BF5" w:rsidP="00565B83">
      <w:pPr>
        <w:pStyle w:val="aaatyping"/>
      </w:pPr>
      <w:r w:rsidRPr="007444F0">
        <w:t xml:space="preserve">Given the breadth and depth of </w:t>
      </w:r>
      <w:r>
        <w:t>Victorian Government</w:t>
      </w:r>
      <w:r w:rsidRPr="007444F0">
        <w:t xml:space="preserve"> activities, related parties transact with the Victorian public sector in a manner consistent with other members of the public e.g. stamp duty and other government </w:t>
      </w:r>
      <w:r w:rsidRPr="007444F0">
        <w:lastRenderedPageBreak/>
        <w:t xml:space="preserve">fees and charges. Further </w:t>
      </w:r>
      <w:r>
        <w:t>undertaking</w:t>
      </w:r>
      <w:r w:rsidRPr="007444F0">
        <w:t xml:space="preserve"> of processes within the Victorian public sector occur on terms and conditions consistent with the </w:t>
      </w:r>
      <w:r w:rsidRPr="007444F0">
        <w:rPr>
          <w:i/>
        </w:rPr>
        <w:t>Public Administration Act 2004</w:t>
      </w:r>
      <w:r w:rsidRPr="007444F0">
        <w:t xml:space="preserve"> and Codes of Conduct and Standards issued by the Victorian Public Sector Commission. Procurement processes occur on terms and conditions consistent with the Victorian Government Procurement Board requirements.</w:t>
      </w:r>
    </w:p>
    <w:p w14:paraId="7E9BD4A1" w14:textId="77777777" w:rsidR="003E5BF5" w:rsidRDefault="003E5BF5" w:rsidP="00565B83">
      <w:pPr>
        <w:pStyle w:val="aaatyping"/>
      </w:pPr>
      <w:r>
        <w:t>T</w:t>
      </w:r>
      <w:r w:rsidRPr="00454B1D">
        <w:t xml:space="preserve">ransactions that have occurred with KMP and their related parties have not been considered material for disclosure. In this context, transactions are only disclosed when they are considered necessary to draw attention to the possibility that the </w:t>
      </w:r>
      <w:r>
        <w:t>d</w:t>
      </w:r>
      <w:r w:rsidRPr="00454B1D">
        <w:t>epartment’s financial position and profit or loss may have been affected by the existence of related parties, and by transactions and outstanding balances, including commitments, with such parties.</w:t>
      </w:r>
    </w:p>
    <w:p w14:paraId="3B3921C5" w14:textId="77777777" w:rsidR="003E5BF5" w:rsidRPr="007444F0" w:rsidRDefault="003E5BF5" w:rsidP="00565B83">
      <w:pPr>
        <w:pStyle w:val="aaatyping"/>
      </w:pPr>
      <w:r w:rsidRPr="007444F0">
        <w:t xml:space="preserve">Outside of normal citizen type transactions, there were no </w:t>
      </w:r>
      <w:r>
        <w:t xml:space="preserve">material </w:t>
      </w:r>
      <w:r w:rsidRPr="007444F0">
        <w:t>related party transactions that involved key management personnel, their</w:t>
      </w:r>
      <w:r>
        <w:t xml:space="preserve"> </w:t>
      </w:r>
      <w:r w:rsidRPr="007444F0">
        <w:t xml:space="preserve">close family members and their personal business interests, for the following agencies consolidated into the </w:t>
      </w:r>
      <w:r>
        <w:t>d</w:t>
      </w:r>
      <w:r w:rsidRPr="007444F0">
        <w:t>epartment’s financial statements:</w:t>
      </w:r>
    </w:p>
    <w:p w14:paraId="19D15105" w14:textId="77777777" w:rsidR="003E5BF5" w:rsidRDefault="003E5BF5" w:rsidP="00565B83">
      <w:pPr>
        <w:pStyle w:val="aaabullet"/>
      </w:pPr>
      <w:r>
        <w:t xml:space="preserve">Head, </w:t>
      </w:r>
      <w:proofErr w:type="spellStart"/>
      <w:r>
        <w:t>TfV</w:t>
      </w:r>
      <w:proofErr w:type="spellEnd"/>
    </w:p>
    <w:p w14:paraId="0E1DE71D" w14:textId="77777777" w:rsidR="003E5BF5" w:rsidRDefault="003E5BF5" w:rsidP="00565B83">
      <w:pPr>
        <w:pStyle w:val="aaabullet"/>
      </w:pPr>
      <w:r>
        <w:t>VicRoads</w:t>
      </w:r>
    </w:p>
    <w:p w14:paraId="2C380327" w14:textId="77777777" w:rsidR="003E5BF5" w:rsidRDefault="003E5BF5" w:rsidP="00565B83">
      <w:pPr>
        <w:pStyle w:val="aaabullet"/>
      </w:pPr>
      <w:r>
        <w:t>PTV</w:t>
      </w:r>
    </w:p>
    <w:p w14:paraId="7BDDAACF" w14:textId="77777777" w:rsidR="003E5BF5" w:rsidRDefault="003E5BF5" w:rsidP="00565B83">
      <w:pPr>
        <w:pStyle w:val="aaabullet"/>
      </w:pPr>
      <w:r>
        <w:t>MPV</w:t>
      </w:r>
      <w:r>
        <w:tab/>
      </w:r>
    </w:p>
    <w:p w14:paraId="01EEB785" w14:textId="64E2EF6C" w:rsidR="003E5BF5" w:rsidRDefault="003E5BF5" w:rsidP="00565B83">
      <w:pPr>
        <w:pStyle w:val="aaabullet"/>
      </w:pPr>
      <w:r>
        <w:t>LMA.</w:t>
      </w:r>
    </w:p>
    <w:p w14:paraId="5A07BBBA" w14:textId="77777777" w:rsidR="003E5BF5" w:rsidRDefault="003E5BF5" w:rsidP="00565B83">
      <w:pPr>
        <w:pStyle w:val="aaatyping"/>
      </w:pPr>
      <w:r w:rsidRPr="007444F0">
        <w:t>No provision has been required, nor any expense recognised, for impairment of receivables from related partie</w:t>
      </w:r>
      <w:r>
        <w:t>s.</w:t>
      </w:r>
      <w:bookmarkStart w:id="686" w:name="_Toc522177859"/>
      <w:bookmarkStart w:id="687" w:name="_Toc529197944"/>
      <w:bookmarkStart w:id="688" w:name="_Toc529198009"/>
      <w:bookmarkStart w:id="689" w:name="_Toc530386206"/>
      <w:bookmarkStart w:id="690" w:name="_Toc9344382"/>
    </w:p>
    <w:p w14:paraId="75B9A69C" w14:textId="77777777" w:rsidR="003E5BF5" w:rsidRDefault="003E5BF5">
      <w:r>
        <w:br w:type="page"/>
      </w:r>
    </w:p>
    <w:p w14:paraId="6E3998EB" w14:textId="77777777" w:rsidR="003E5BF5" w:rsidRPr="0098519C" w:rsidRDefault="003E5BF5" w:rsidP="00610F5F">
      <w:pPr>
        <w:pStyle w:val="Heading2"/>
        <w:numPr>
          <w:ilvl w:val="1"/>
          <w:numId w:val="22"/>
        </w:numPr>
      </w:pPr>
      <w:bookmarkStart w:id="691" w:name="p316"/>
      <w:bookmarkStart w:id="692" w:name="_Toc53420701"/>
      <w:bookmarkStart w:id="693" w:name="_Toc53420979"/>
      <w:bookmarkEnd w:id="691"/>
      <w:r w:rsidRPr="00764FE6">
        <w:lastRenderedPageBreak/>
        <w:t>Remuneration of auditors</w:t>
      </w:r>
      <w:bookmarkStart w:id="694" w:name="RANGE!A3:C7"/>
      <w:bookmarkEnd w:id="686"/>
      <w:bookmarkEnd w:id="687"/>
      <w:bookmarkEnd w:id="688"/>
      <w:bookmarkEnd w:id="689"/>
      <w:bookmarkEnd w:id="690"/>
      <w:bookmarkEnd w:id="692"/>
      <w:bookmarkEnd w:id="693"/>
      <w:bookmarkEnd w:id="694"/>
    </w:p>
    <w:tbl>
      <w:tblPr>
        <w:tblStyle w:val="TableGrid"/>
        <w:tblW w:w="9072" w:type="dxa"/>
        <w:tblLayout w:type="fixed"/>
        <w:tblLook w:val="04A0" w:firstRow="1" w:lastRow="0" w:firstColumn="1" w:lastColumn="0" w:noHBand="0" w:noVBand="1"/>
      </w:tblPr>
      <w:tblGrid>
        <w:gridCol w:w="6206"/>
        <w:gridCol w:w="1433"/>
        <w:gridCol w:w="1433"/>
      </w:tblGrid>
      <w:tr w:rsidR="003E5BF5" w:rsidRPr="007F3685" w14:paraId="46C48E37" w14:textId="77777777" w:rsidTr="002113AD">
        <w:trPr>
          <w:trHeight w:val="340"/>
        </w:trPr>
        <w:tc>
          <w:tcPr>
            <w:tcW w:w="4912" w:type="dxa"/>
            <w:shd w:val="clear" w:color="auto" w:fill="auto"/>
            <w:noWrap/>
            <w:hideMark/>
          </w:tcPr>
          <w:p w14:paraId="32AC5F17" w14:textId="77777777" w:rsidR="003E5BF5" w:rsidRPr="007F3685" w:rsidRDefault="003E5BF5" w:rsidP="00DE1921">
            <w:pPr>
              <w:rPr>
                <w:rFonts w:ascii="Arial" w:hAnsi="Arial" w:cs="Arial"/>
                <w:sz w:val="24"/>
                <w:szCs w:val="24"/>
              </w:rPr>
            </w:pPr>
          </w:p>
        </w:tc>
        <w:tc>
          <w:tcPr>
            <w:tcW w:w="1134" w:type="dxa"/>
            <w:gridSpan w:val="2"/>
            <w:shd w:val="clear" w:color="auto" w:fill="auto"/>
            <w:noWrap/>
            <w:vAlign w:val="center"/>
            <w:hideMark/>
          </w:tcPr>
          <w:p w14:paraId="19C8C89A" w14:textId="77777777" w:rsidR="003E5BF5" w:rsidRPr="007F3685" w:rsidRDefault="003E5BF5" w:rsidP="00DE1921">
            <w:pPr>
              <w:pStyle w:val="TableTextCentre"/>
              <w:rPr>
                <w:rFonts w:ascii="Arial" w:hAnsi="Arial" w:cs="Arial"/>
                <w:b/>
                <w:sz w:val="24"/>
                <w:szCs w:val="24"/>
              </w:rPr>
            </w:pPr>
            <w:r w:rsidRPr="007F3685">
              <w:rPr>
                <w:rFonts w:ascii="Arial" w:hAnsi="Arial" w:cs="Arial"/>
                <w:b/>
                <w:sz w:val="24"/>
                <w:szCs w:val="24"/>
              </w:rPr>
              <w:t>($ thousand)</w:t>
            </w:r>
          </w:p>
        </w:tc>
      </w:tr>
      <w:tr w:rsidR="003E5BF5" w:rsidRPr="007F3685" w14:paraId="57417E87" w14:textId="77777777" w:rsidTr="002113AD">
        <w:trPr>
          <w:trHeight w:val="340"/>
        </w:trPr>
        <w:tc>
          <w:tcPr>
            <w:tcW w:w="4912" w:type="dxa"/>
            <w:shd w:val="clear" w:color="auto" w:fill="auto"/>
            <w:noWrap/>
            <w:hideMark/>
          </w:tcPr>
          <w:p w14:paraId="7D90BEC0" w14:textId="77777777" w:rsidR="003E5BF5" w:rsidRPr="007F3685" w:rsidRDefault="003E5BF5" w:rsidP="00DE1921">
            <w:pPr>
              <w:rPr>
                <w:rFonts w:ascii="Arial" w:hAnsi="Arial" w:cs="Arial"/>
                <w:sz w:val="24"/>
                <w:szCs w:val="24"/>
              </w:rPr>
            </w:pPr>
          </w:p>
        </w:tc>
        <w:tc>
          <w:tcPr>
            <w:tcW w:w="1134" w:type="dxa"/>
            <w:shd w:val="clear" w:color="auto" w:fill="auto"/>
            <w:noWrap/>
            <w:vAlign w:val="center"/>
            <w:hideMark/>
          </w:tcPr>
          <w:p w14:paraId="34F2C5BC"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sz w:val="24"/>
                <w:szCs w:val="24"/>
              </w:rPr>
              <w:t>2020</w:t>
            </w:r>
          </w:p>
        </w:tc>
        <w:tc>
          <w:tcPr>
            <w:tcW w:w="1134" w:type="dxa"/>
            <w:shd w:val="clear" w:color="auto" w:fill="auto"/>
            <w:noWrap/>
            <w:vAlign w:val="center"/>
            <w:hideMark/>
          </w:tcPr>
          <w:p w14:paraId="60988C0B" w14:textId="77777777" w:rsidR="003E5BF5" w:rsidRPr="007F3685" w:rsidRDefault="003E5BF5" w:rsidP="00DE1921">
            <w:pPr>
              <w:pStyle w:val="TableTextRight"/>
              <w:rPr>
                <w:rFonts w:ascii="Arial" w:hAnsi="Arial" w:cs="Arial"/>
                <w:b/>
                <w:sz w:val="24"/>
                <w:szCs w:val="24"/>
              </w:rPr>
            </w:pPr>
            <w:r w:rsidRPr="007F3685">
              <w:rPr>
                <w:rFonts w:ascii="Arial" w:hAnsi="Arial" w:cs="Arial"/>
                <w:b/>
                <w:sz w:val="24"/>
                <w:szCs w:val="24"/>
              </w:rPr>
              <w:t>2019</w:t>
            </w:r>
          </w:p>
        </w:tc>
      </w:tr>
      <w:tr w:rsidR="003E5BF5" w:rsidRPr="007F3685" w14:paraId="1B48E642" w14:textId="77777777" w:rsidTr="002113AD">
        <w:trPr>
          <w:trHeight w:val="340"/>
        </w:trPr>
        <w:tc>
          <w:tcPr>
            <w:tcW w:w="4912" w:type="dxa"/>
            <w:shd w:val="clear" w:color="auto" w:fill="auto"/>
            <w:noWrap/>
            <w:vAlign w:val="center"/>
            <w:hideMark/>
          </w:tcPr>
          <w:p w14:paraId="069FD68A" w14:textId="77777777" w:rsidR="003E5BF5" w:rsidRPr="007F3685" w:rsidRDefault="003E5BF5" w:rsidP="00604703">
            <w:pPr>
              <w:pStyle w:val="TableTextGreen"/>
            </w:pPr>
            <w:r w:rsidRPr="007F3685">
              <w:t>Victorian Auditor-General's Office</w:t>
            </w:r>
          </w:p>
        </w:tc>
        <w:tc>
          <w:tcPr>
            <w:tcW w:w="1134" w:type="dxa"/>
            <w:shd w:val="clear" w:color="auto" w:fill="auto"/>
            <w:noWrap/>
            <w:vAlign w:val="center"/>
            <w:hideMark/>
          </w:tcPr>
          <w:p w14:paraId="3CF62946" w14:textId="77777777" w:rsidR="003E5BF5" w:rsidRPr="007F3685" w:rsidRDefault="003E5BF5" w:rsidP="00604703">
            <w:pPr>
              <w:pStyle w:val="TableTextGreen"/>
            </w:pPr>
            <w:r w:rsidRPr="007F3685">
              <w:t> </w:t>
            </w:r>
          </w:p>
        </w:tc>
        <w:tc>
          <w:tcPr>
            <w:tcW w:w="1134" w:type="dxa"/>
            <w:shd w:val="clear" w:color="auto" w:fill="auto"/>
            <w:noWrap/>
            <w:vAlign w:val="center"/>
            <w:hideMark/>
          </w:tcPr>
          <w:p w14:paraId="4A9A44A9" w14:textId="77777777" w:rsidR="003E5BF5" w:rsidRPr="007F3685" w:rsidRDefault="003E5BF5" w:rsidP="00604703">
            <w:pPr>
              <w:pStyle w:val="TableTextGreen"/>
            </w:pPr>
            <w:r w:rsidRPr="007F3685">
              <w:t> </w:t>
            </w:r>
          </w:p>
        </w:tc>
      </w:tr>
      <w:tr w:rsidR="003E5BF5" w:rsidRPr="007F3685" w14:paraId="5B0BB267" w14:textId="77777777" w:rsidTr="002113AD">
        <w:trPr>
          <w:trHeight w:val="340"/>
        </w:trPr>
        <w:tc>
          <w:tcPr>
            <w:tcW w:w="4912" w:type="dxa"/>
            <w:shd w:val="clear" w:color="auto" w:fill="auto"/>
            <w:noWrap/>
            <w:vAlign w:val="center"/>
            <w:hideMark/>
          </w:tcPr>
          <w:p w14:paraId="56B623CE"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Audit of the financial statements</w:t>
            </w:r>
          </w:p>
        </w:tc>
        <w:tc>
          <w:tcPr>
            <w:tcW w:w="1134" w:type="dxa"/>
            <w:shd w:val="clear" w:color="auto" w:fill="auto"/>
            <w:noWrap/>
            <w:vAlign w:val="center"/>
            <w:hideMark/>
          </w:tcPr>
          <w:p w14:paraId="248867A9"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 xml:space="preserve">1,100 </w:t>
            </w:r>
          </w:p>
        </w:tc>
        <w:tc>
          <w:tcPr>
            <w:tcW w:w="1134" w:type="dxa"/>
            <w:shd w:val="clear" w:color="auto" w:fill="auto"/>
            <w:noWrap/>
            <w:vAlign w:val="center"/>
            <w:hideMark/>
          </w:tcPr>
          <w:p w14:paraId="1FFD7F5C"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xml:space="preserve">578 </w:t>
            </w:r>
          </w:p>
        </w:tc>
      </w:tr>
      <w:tr w:rsidR="003E5BF5" w:rsidRPr="007F3685" w14:paraId="07172F9E" w14:textId="77777777" w:rsidTr="002113AD">
        <w:trPr>
          <w:trHeight w:val="340"/>
        </w:trPr>
        <w:tc>
          <w:tcPr>
            <w:tcW w:w="4912" w:type="dxa"/>
            <w:shd w:val="clear" w:color="auto" w:fill="auto"/>
            <w:noWrap/>
            <w:vAlign w:val="center"/>
            <w:hideMark/>
          </w:tcPr>
          <w:p w14:paraId="6AC80C48"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Total</w:t>
            </w:r>
          </w:p>
        </w:tc>
        <w:tc>
          <w:tcPr>
            <w:tcW w:w="1134" w:type="dxa"/>
            <w:shd w:val="clear" w:color="auto" w:fill="auto"/>
            <w:noWrap/>
            <w:vAlign w:val="center"/>
            <w:hideMark/>
          </w:tcPr>
          <w:p w14:paraId="178C1175"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sz w:val="24"/>
                <w:szCs w:val="24"/>
              </w:rPr>
              <w:t xml:space="preserve">1,100 </w:t>
            </w:r>
          </w:p>
        </w:tc>
        <w:tc>
          <w:tcPr>
            <w:tcW w:w="1134" w:type="dxa"/>
            <w:shd w:val="clear" w:color="auto" w:fill="auto"/>
            <w:noWrap/>
            <w:vAlign w:val="center"/>
            <w:hideMark/>
          </w:tcPr>
          <w:p w14:paraId="73866D2C"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 xml:space="preserve">578 </w:t>
            </w:r>
          </w:p>
        </w:tc>
      </w:tr>
    </w:tbl>
    <w:p w14:paraId="79E8F10F" w14:textId="77777777" w:rsidR="003E5BF5" w:rsidRPr="007444F0" w:rsidRDefault="003E5BF5" w:rsidP="009B0CBC">
      <w:pPr>
        <w:pStyle w:val="Heading2"/>
        <w:numPr>
          <w:ilvl w:val="1"/>
          <w:numId w:val="22"/>
        </w:numPr>
        <w:spacing w:before="120"/>
      </w:pPr>
      <w:bookmarkStart w:id="695" w:name="_Toc53420702"/>
      <w:bookmarkStart w:id="696" w:name="_Toc53420980"/>
      <w:r w:rsidRPr="007444F0">
        <w:t>Subsequent events</w:t>
      </w:r>
      <w:bookmarkEnd w:id="695"/>
      <w:bookmarkEnd w:id="696"/>
    </w:p>
    <w:p w14:paraId="7874BC8A" w14:textId="2934160E" w:rsidR="00D36F09" w:rsidRDefault="003E5BF5" w:rsidP="0095646B">
      <w:pPr>
        <w:pStyle w:val="aaatyping"/>
      </w:pPr>
      <w:r w:rsidRPr="00713C0A">
        <w:t>There are no events that have arisen since 30 June 2020 that have significantly affected or may significantly affect the operations, or results, or state of affairs of the department.</w:t>
      </w:r>
      <w:r w:rsidR="00D36F09">
        <w:br w:type="page"/>
      </w:r>
    </w:p>
    <w:p w14:paraId="7B169893" w14:textId="77777777" w:rsidR="003E5BF5" w:rsidRPr="006F6308" w:rsidRDefault="003E5BF5" w:rsidP="00DE1921">
      <w:pPr>
        <w:sectPr w:rsidR="003E5BF5" w:rsidRPr="006F6308" w:rsidSect="00DE1921">
          <w:headerReference w:type="even" r:id="rId218"/>
          <w:headerReference w:type="default" r:id="rId219"/>
          <w:headerReference w:type="first" r:id="rId220"/>
          <w:type w:val="continuous"/>
          <w:pgSz w:w="11906" w:h="16838"/>
          <w:pgMar w:top="1701" w:right="1418" w:bottom="1418" w:left="1418" w:header="708" w:footer="708" w:gutter="0"/>
          <w:cols w:space="708"/>
          <w:docGrid w:linePitch="360"/>
        </w:sectPr>
      </w:pPr>
      <w:bookmarkStart w:id="697" w:name="_Toc522177861"/>
      <w:bookmarkStart w:id="698" w:name="_Toc529197946"/>
      <w:bookmarkStart w:id="699" w:name="_Toc529198011"/>
      <w:bookmarkStart w:id="700" w:name="_Toc530386208"/>
      <w:bookmarkStart w:id="701" w:name="_Toc9344384"/>
    </w:p>
    <w:p w14:paraId="6B172062" w14:textId="77777777" w:rsidR="003E5BF5" w:rsidRDefault="003E5BF5" w:rsidP="00610F5F">
      <w:pPr>
        <w:pStyle w:val="Heading2"/>
        <w:numPr>
          <w:ilvl w:val="1"/>
          <w:numId w:val="22"/>
        </w:numPr>
      </w:pPr>
      <w:bookmarkStart w:id="702" w:name="_Toc53420703"/>
      <w:bookmarkStart w:id="703" w:name="_Toc53420981"/>
      <w:r w:rsidRPr="007444F0">
        <w:lastRenderedPageBreak/>
        <w:t>Other accounting policies</w:t>
      </w:r>
      <w:bookmarkEnd w:id="697"/>
      <w:bookmarkEnd w:id="698"/>
      <w:bookmarkEnd w:id="699"/>
      <w:bookmarkEnd w:id="700"/>
      <w:bookmarkEnd w:id="701"/>
      <w:bookmarkEnd w:id="702"/>
      <w:bookmarkEnd w:id="703"/>
    </w:p>
    <w:p w14:paraId="295C661F" w14:textId="77777777" w:rsidR="003E5BF5" w:rsidRPr="006F6308" w:rsidRDefault="003E5BF5" w:rsidP="00EF5131">
      <w:pPr>
        <w:pStyle w:val="Heading5"/>
      </w:pPr>
      <w:r w:rsidRPr="006F6308">
        <w:t xml:space="preserve">Contributions by owners </w:t>
      </w:r>
    </w:p>
    <w:p w14:paraId="58C67798" w14:textId="77777777" w:rsidR="003E5BF5" w:rsidRPr="007444F0" w:rsidRDefault="003E5BF5" w:rsidP="0095646B">
      <w:pPr>
        <w:pStyle w:val="aaatyping"/>
      </w:pPr>
      <w:r w:rsidRPr="007444F0">
        <w:t xml:space="preserve">Consistent with the requirements of AASB 1004 </w:t>
      </w:r>
      <w:r w:rsidRPr="003B61A1">
        <w:rPr>
          <w:i/>
        </w:rPr>
        <w:t>Contributions, contributions by owners</w:t>
      </w:r>
      <w:r w:rsidRPr="007444F0">
        <w:t xml:space="preserve"> (that is, contributed capital and its repayment) are treated as equity transactions and, therefore, do not form part of the income and expenses of the </w:t>
      </w:r>
      <w:r>
        <w:t>d</w:t>
      </w:r>
      <w:r w:rsidRPr="007444F0">
        <w:t>epartment.</w:t>
      </w:r>
    </w:p>
    <w:p w14:paraId="50E6F53C" w14:textId="77777777" w:rsidR="003E5BF5" w:rsidRPr="007444F0" w:rsidRDefault="003E5BF5" w:rsidP="0095646B">
      <w:pPr>
        <w:pStyle w:val="aaatyping"/>
      </w:pPr>
      <w:r w:rsidRPr="007444F0">
        <w:t>Additions to net assets that have been designated as contributions by owners are recognised as contributed capital. Other transfers that are in the nature of contributions to or distributions by owners have also been designated as contributions by owners.</w:t>
      </w:r>
    </w:p>
    <w:p w14:paraId="475AD1AB" w14:textId="2F540309" w:rsidR="003E5BF5" w:rsidRDefault="003E5BF5" w:rsidP="0095646B">
      <w:pPr>
        <w:pStyle w:val="aaatyping"/>
      </w:pPr>
      <w:r w:rsidRPr="007444F0">
        <w:t>Transfers of net assets arising from administrative restructurings are treated as distributions to or contributions by owners. Transfers of net liabilities arising from administrative restructurings are treated as distributions to owners.</w:t>
      </w:r>
    </w:p>
    <w:p w14:paraId="022A62EB" w14:textId="7B0F233B" w:rsidR="003E5BF5" w:rsidRPr="006F6308" w:rsidRDefault="003E5BF5" w:rsidP="00EF5131">
      <w:pPr>
        <w:pStyle w:val="Heading5"/>
      </w:pPr>
      <w:r w:rsidRPr="006F6308">
        <w:t>Accounting for the goods and services tax (GST)</w:t>
      </w:r>
    </w:p>
    <w:p w14:paraId="2F218406" w14:textId="77777777" w:rsidR="003E5BF5" w:rsidRPr="007444F0" w:rsidRDefault="003E5BF5" w:rsidP="0095646B">
      <w:pPr>
        <w:pStyle w:val="aaatyping"/>
      </w:pPr>
      <w:r w:rsidRPr="007444F0">
        <w:t>Income, expenses and assets are recognised net of the amount of associated GST, except where GST incurred is not recoverable from the taxation authority. In this case, the GST payable is recognised as part of the cost of acquisition of the asset or as part of the expense.</w:t>
      </w:r>
    </w:p>
    <w:p w14:paraId="33D2ABEE" w14:textId="77777777" w:rsidR="003E5BF5" w:rsidRPr="007444F0" w:rsidRDefault="003E5BF5" w:rsidP="0095646B">
      <w:pPr>
        <w:pStyle w:val="aaatyping"/>
      </w:pPr>
      <w:r w:rsidRPr="007444F0">
        <w:t>Receivables and payables are stated inclusive of the amount of GST receivable or payable. The net amount of GST recoverable from or payable to the Australian Taxation Office (ATO) is included with other receivables or payables in the balance sheet.</w:t>
      </w:r>
    </w:p>
    <w:p w14:paraId="341A9A76" w14:textId="77777777" w:rsidR="003E5BF5" w:rsidRPr="007444F0" w:rsidRDefault="003E5BF5" w:rsidP="0095646B">
      <w:pPr>
        <w:pStyle w:val="aaatyping"/>
      </w:pPr>
      <w:r w:rsidRPr="007444F0">
        <w:t xml:space="preserve">Cash flows are presented on a gross basis. </w:t>
      </w:r>
    </w:p>
    <w:p w14:paraId="7BA461E7" w14:textId="77777777" w:rsidR="003E5BF5" w:rsidRDefault="003E5BF5" w:rsidP="0095646B">
      <w:pPr>
        <w:pStyle w:val="aaatyping"/>
      </w:pPr>
      <w:r w:rsidRPr="007444F0">
        <w:lastRenderedPageBreak/>
        <w:t>Commitments, contingent assets and liabilities are also stated inclusive of GST.</w:t>
      </w:r>
    </w:p>
    <w:p w14:paraId="6C4CCE3B" w14:textId="77777777" w:rsidR="003E5BF5" w:rsidRDefault="003E5BF5" w:rsidP="00DE1921"/>
    <w:p w14:paraId="59909C40" w14:textId="77777777" w:rsidR="003E5BF5" w:rsidRDefault="003E5BF5" w:rsidP="00DE1921">
      <w:pPr>
        <w:sectPr w:rsidR="003E5BF5" w:rsidSect="00C87891">
          <w:headerReference w:type="even" r:id="rId221"/>
          <w:headerReference w:type="default" r:id="rId222"/>
          <w:headerReference w:type="first" r:id="rId223"/>
          <w:type w:val="continuous"/>
          <w:pgSz w:w="11906" w:h="16838"/>
          <w:pgMar w:top="1701" w:right="1418" w:bottom="1418" w:left="1418" w:header="708" w:footer="708" w:gutter="0"/>
          <w:cols w:space="284"/>
          <w:docGrid w:linePitch="360"/>
        </w:sectPr>
      </w:pPr>
    </w:p>
    <w:p w14:paraId="1BC735F8" w14:textId="77777777" w:rsidR="003E5BF5" w:rsidRPr="007444F0" w:rsidRDefault="003E5BF5" w:rsidP="00DE1921">
      <w:pPr>
        <w:sectPr w:rsidR="003E5BF5" w:rsidRPr="007444F0" w:rsidSect="00DE1921">
          <w:type w:val="continuous"/>
          <w:pgSz w:w="11906" w:h="16838"/>
          <w:pgMar w:top="1701" w:right="1418" w:bottom="1418" w:left="1418" w:header="708" w:footer="708" w:gutter="0"/>
          <w:cols w:num="2" w:space="284"/>
          <w:docGrid w:linePitch="360"/>
        </w:sectPr>
      </w:pPr>
    </w:p>
    <w:p w14:paraId="2613EBC4" w14:textId="77777777" w:rsidR="003E5BF5" w:rsidRPr="00207C0B" w:rsidRDefault="003E5BF5" w:rsidP="00610F5F">
      <w:pPr>
        <w:pStyle w:val="Heading2"/>
        <w:numPr>
          <w:ilvl w:val="1"/>
          <w:numId w:val="22"/>
        </w:numPr>
        <w:sectPr w:rsidR="003E5BF5" w:rsidRPr="00207C0B" w:rsidSect="00DE1921">
          <w:headerReference w:type="even" r:id="rId224"/>
          <w:headerReference w:type="default" r:id="rId225"/>
          <w:headerReference w:type="first" r:id="rId226"/>
          <w:pgSz w:w="11906" w:h="16838"/>
          <w:pgMar w:top="1701" w:right="1418" w:bottom="1418" w:left="1418" w:header="709" w:footer="709" w:gutter="0"/>
          <w:cols w:space="708"/>
          <w:docGrid w:linePitch="360"/>
        </w:sectPr>
      </w:pPr>
      <w:bookmarkStart w:id="704" w:name="_Toc522177862"/>
      <w:bookmarkStart w:id="705" w:name="_Toc529197947"/>
      <w:bookmarkStart w:id="706" w:name="_Toc529198012"/>
      <w:bookmarkStart w:id="707" w:name="_Toc530386209"/>
      <w:bookmarkStart w:id="708" w:name="_Toc9344385"/>
      <w:bookmarkStart w:id="709" w:name="_Toc53420704"/>
      <w:bookmarkStart w:id="710" w:name="_Toc53420982"/>
      <w:r w:rsidRPr="000071FA">
        <w:lastRenderedPageBreak/>
        <w:t>Australian Accounting Standards (AAS) issued that are not yet effective</w:t>
      </w:r>
      <w:bookmarkEnd w:id="704"/>
      <w:bookmarkEnd w:id="705"/>
      <w:bookmarkEnd w:id="706"/>
      <w:bookmarkEnd w:id="707"/>
      <w:bookmarkEnd w:id="708"/>
      <w:bookmarkEnd w:id="709"/>
      <w:bookmarkEnd w:id="710"/>
    </w:p>
    <w:p w14:paraId="65487CC4" w14:textId="77777777" w:rsidR="003E5BF5" w:rsidRDefault="003E5BF5" w:rsidP="0095646B">
      <w:pPr>
        <w:pStyle w:val="aaatyping"/>
      </w:pPr>
      <w:r>
        <w:t>Certain new and revised accounting standards have been issued but are not effective for the 2019-20 reporting period. These accounting standards have not been applied to the Model Financial Statements. The State is reviewing its existing policies and assessing the potential implications of these accounting standards which include:</w:t>
      </w:r>
    </w:p>
    <w:p w14:paraId="28E75EBF" w14:textId="77777777" w:rsidR="003E5BF5" w:rsidRPr="00EB0899" w:rsidRDefault="003E5BF5" w:rsidP="00382E46">
      <w:pPr>
        <w:pStyle w:val="ListParagraph"/>
        <w:numPr>
          <w:ilvl w:val="0"/>
          <w:numId w:val="10"/>
        </w:numPr>
        <w:spacing w:line="360" w:lineRule="auto"/>
        <w:ind w:left="284" w:hanging="227"/>
        <w:contextualSpacing w:val="0"/>
        <w:rPr>
          <w:rFonts w:ascii="Arial" w:hAnsi="Arial" w:cs="Arial"/>
          <w:sz w:val="28"/>
          <w:szCs w:val="28"/>
        </w:rPr>
      </w:pPr>
      <w:r w:rsidRPr="00EB0899">
        <w:rPr>
          <w:rFonts w:ascii="Arial" w:hAnsi="Arial" w:cs="Arial"/>
          <w:sz w:val="28"/>
          <w:szCs w:val="28"/>
        </w:rPr>
        <w:t xml:space="preserve">AASB 2018-7 </w:t>
      </w:r>
      <w:r w:rsidRPr="00EB0899">
        <w:rPr>
          <w:rFonts w:ascii="Arial" w:hAnsi="Arial" w:cs="Arial"/>
          <w:i/>
          <w:iCs/>
          <w:sz w:val="28"/>
          <w:szCs w:val="28"/>
        </w:rPr>
        <w:t>Amendments to Australian Accounting Standards – Definition of Material</w:t>
      </w:r>
    </w:p>
    <w:p w14:paraId="4F2A7C4F" w14:textId="77777777" w:rsidR="003E5BF5" w:rsidRPr="00EB0899" w:rsidRDefault="003E5BF5" w:rsidP="00382E46">
      <w:pPr>
        <w:spacing w:line="360" w:lineRule="auto"/>
        <w:ind w:left="284" w:hanging="4"/>
        <w:rPr>
          <w:rFonts w:ascii="Arial" w:hAnsi="Arial" w:cs="Arial"/>
          <w:sz w:val="28"/>
          <w:szCs w:val="28"/>
        </w:rPr>
      </w:pPr>
      <w:r w:rsidRPr="00EB0899">
        <w:rPr>
          <w:rFonts w:ascii="Arial" w:hAnsi="Arial" w:cs="Arial"/>
          <w:sz w:val="28"/>
          <w:szCs w:val="28"/>
        </w:rPr>
        <w:t xml:space="preserve">This Standard principally amends AASB 101 </w:t>
      </w:r>
      <w:r w:rsidRPr="00EB0899">
        <w:rPr>
          <w:rFonts w:ascii="Arial" w:hAnsi="Arial" w:cs="Arial"/>
          <w:i/>
          <w:iCs/>
          <w:sz w:val="28"/>
          <w:szCs w:val="28"/>
        </w:rPr>
        <w:t>Presentation of Financial Statements</w:t>
      </w:r>
      <w:r w:rsidRPr="00EB0899">
        <w:rPr>
          <w:rFonts w:ascii="Arial" w:hAnsi="Arial" w:cs="Arial"/>
          <w:sz w:val="28"/>
          <w:szCs w:val="28"/>
        </w:rPr>
        <w:t xml:space="preserve"> and AASB 108 </w:t>
      </w:r>
      <w:r w:rsidRPr="00EB0899">
        <w:rPr>
          <w:rFonts w:ascii="Arial" w:hAnsi="Arial" w:cs="Arial"/>
          <w:i/>
          <w:iCs/>
          <w:sz w:val="28"/>
          <w:szCs w:val="28"/>
        </w:rPr>
        <w:t xml:space="preserve">Accounting </w:t>
      </w:r>
      <w:r w:rsidRPr="00EB0899">
        <w:rPr>
          <w:rFonts w:ascii="Arial" w:hAnsi="Arial" w:cs="Arial"/>
          <w:sz w:val="28"/>
          <w:szCs w:val="28"/>
        </w:rPr>
        <w:t>Policies</w:t>
      </w:r>
      <w:r w:rsidRPr="00EB0899">
        <w:rPr>
          <w:rFonts w:ascii="Arial" w:hAnsi="Arial" w:cs="Arial"/>
          <w:i/>
          <w:iCs/>
          <w:sz w:val="28"/>
          <w:szCs w:val="28"/>
        </w:rPr>
        <w:t>, Changes in Accounting Estimates and Errors</w:t>
      </w:r>
      <w:r w:rsidRPr="00EB0899">
        <w:rPr>
          <w:rFonts w:ascii="Arial" w:hAnsi="Arial" w:cs="Arial"/>
          <w:sz w:val="28"/>
          <w:szCs w:val="28"/>
        </w:rPr>
        <w:t>. It applies to reporting periods beginning on or after 1 January 2020 with earlier application permitted. The department has not earlier adopted the Standard.</w:t>
      </w:r>
    </w:p>
    <w:p w14:paraId="2BEFC202" w14:textId="77777777" w:rsidR="003E5BF5" w:rsidRPr="00EB0899" w:rsidRDefault="003E5BF5" w:rsidP="00382E46">
      <w:pPr>
        <w:spacing w:line="360" w:lineRule="auto"/>
        <w:ind w:left="284" w:hanging="4"/>
        <w:rPr>
          <w:rFonts w:ascii="Arial" w:hAnsi="Arial" w:cs="Arial"/>
          <w:sz w:val="28"/>
          <w:szCs w:val="28"/>
        </w:rPr>
      </w:pPr>
      <w:r w:rsidRPr="00EB0899">
        <w:rPr>
          <w:rFonts w:ascii="Arial" w:hAnsi="Arial" w:cs="Arial"/>
          <w:sz w:val="28"/>
          <w:szCs w:val="28"/>
        </w:rPr>
        <w:t>The amendments refine and clarify the definition of material in AASB 101 and its application by improving the wording and aligning the definition across AASB Standards and other publications. The amendments also include some supporting requirements in AASB 101 in the definition to give it more prominence and clarify the explanation accompanying the definition of material.</w:t>
      </w:r>
    </w:p>
    <w:p w14:paraId="27F2A25E" w14:textId="77777777" w:rsidR="003E5BF5" w:rsidRPr="00EB0899" w:rsidRDefault="003E5BF5" w:rsidP="00382E46">
      <w:pPr>
        <w:spacing w:line="360" w:lineRule="auto"/>
        <w:ind w:left="284" w:hanging="4"/>
        <w:rPr>
          <w:rFonts w:ascii="Arial" w:hAnsi="Arial" w:cs="Arial"/>
          <w:sz w:val="28"/>
          <w:szCs w:val="28"/>
        </w:rPr>
      </w:pPr>
      <w:r w:rsidRPr="00EB0899">
        <w:rPr>
          <w:rFonts w:ascii="Arial" w:hAnsi="Arial" w:cs="Arial"/>
          <w:sz w:val="28"/>
          <w:szCs w:val="28"/>
        </w:rPr>
        <w:t>The department is in the process of analysing the impacts of this Standard. However, it is not anticipated to have a material impact.</w:t>
      </w:r>
    </w:p>
    <w:p w14:paraId="224BA93F" w14:textId="77777777" w:rsidR="003E5BF5" w:rsidRPr="00EB0899" w:rsidRDefault="003E5BF5" w:rsidP="00382E46">
      <w:pPr>
        <w:pStyle w:val="ListParagraph"/>
        <w:numPr>
          <w:ilvl w:val="0"/>
          <w:numId w:val="10"/>
        </w:numPr>
        <w:spacing w:line="360" w:lineRule="auto"/>
        <w:ind w:left="284" w:hanging="227"/>
        <w:contextualSpacing w:val="0"/>
        <w:rPr>
          <w:rFonts w:ascii="Arial" w:hAnsi="Arial" w:cs="Arial"/>
          <w:i/>
          <w:iCs/>
          <w:sz w:val="28"/>
          <w:szCs w:val="28"/>
        </w:rPr>
      </w:pPr>
      <w:r w:rsidRPr="00EB0899">
        <w:rPr>
          <w:rFonts w:ascii="Arial" w:hAnsi="Arial" w:cs="Arial"/>
          <w:sz w:val="28"/>
          <w:szCs w:val="28"/>
        </w:rPr>
        <w:t xml:space="preserve">AASB 2020-1 </w:t>
      </w:r>
      <w:r w:rsidRPr="00EB0899">
        <w:rPr>
          <w:rFonts w:ascii="Arial" w:hAnsi="Arial" w:cs="Arial"/>
          <w:i/>
          <w:iCs/>
          <w:sz w:val="28"/>
          <w:szCs w:val="28"/>
        </w:rPr>
        <w:t>Amendments to Australian Accounting Standards – Classification of Liabilities as Current or Non- Current</w:t>
      </w:r>
    </w:p>
    <w:p w14:paraId="4BA89919" w14:textId="77777777" w:rsidR="003E5BF5" w:rsidRPr="00EB0899" w:rsidRDefault="003E5BF5" w:rsidP="00382E46">
      <w:pPr>
        <w:spacing w:line="360" w:lineRule="auto"/>
        <w:ind w:left="284" w:hanging="4"/>
        <w:rPr>
          <w:rFonts w:ascii="Arial" w:hAnsi="Arial" w:cs="Arial"/>
          <w:sz w:val="28"/>
          <w:szCs w:val="28"/>
        </w:rPr>
      </w:pPr>
      <w:r w:rsidRPr="00EB0899">
        <w:rPr>
          <w:rFonts w:ascii="Arial" w:hAnsi="Arial" w:cs="Arial"/>
          <w:sz w:val="28"/>
          <w:szCs w:val="28"/>
        </w:rPr>
        <w:t xml:space="preserve">This Standard amends AASB 101 to clarify requirements for the presentation of liabilities in the statement of financial position as </w:t>
      </w:r>
      <w:r w:rsidRPr="00EB0899">
        <w:rPr>
          <w:rFonts w:ascii="Arial" w:hAnsi="Arial" w:cs="Arial"/>
          <w:sz w:val="28"/>
          <w:szCs w:val="28"/>
        </w:rPr>
        <w:lastRenderedPageBreak/>
        <w:t>current or non-current. It initially applied to annual reporting periods beginning on or after 1 January 2022 with earlier application permitted however the AASB has recently issued ED 301 Classification of Liabilities as Current or Non-Current – Deferral of Effective Date with the intention to defer the application by 1 year to periods beginning on or after 1 January 2023. The department will not early adopt the Standard.</w:t>
      </w:r>
    </w:p>
    <w:p w14:paraId="1E062B4D" w14:textId="77777777" w:rsidR="003E5BF5" w:rsidRPr="00EB0899" w:rsidRDefault="003E5BF5" w:rsidP="00DE1921">
      <w:pPr>
        <w:ind w:left="284" w:hanging="4"/>
        <w:rPr>
          <w:rFonts w:ascii="Arial" w:hAnsi="Arial" w:cs="Arial"/>
          <w:sz w:val="28"/>
          <w:szCs w:val="28"/>
        </w:rPr>
      </w:pPr>
      <w:r w:rsidRPr="00EB0899">
        <w:rPr>
          <w:rFonts w:ascii="Arial" w:hAnsi="Arial" w:cs="Arial"/>
          <w:sz w:val="28"/>
          <w:szCs w:val="28"/>
        </w:rPr>
        <w:t>The department is in the process of analysing the impacts of this Standard. However, it is not anticipated to have a material impact.</w:t>
      </w:r>
    </w:p>
    <w:p w14:paraId="6DB7ECEE" w14:textId="77777777" w:rsidR="003E5BF5" w:rsidRDefault="003E5BF5" w:rsidP="00C54637">
      <w:pPr>
        <w:pStyle w:val="aaatyping"/>
      </w:pPr>
      <w:r>
        <w:t>Several other amending standards and AASB interpretations have been issued that apply to future reporting periods but are considered to have limited impact on the department’s reporting.</w:t>
      </w:r>
    </w:p>
    <w:p w14:paraId="44095CFF" w14:textId="77777777" w:rsidR="003E5BF5" w:rsidRDefault="003E5BF5" w:rsidP="00C54637">
      <w:pPr>
        <w:pStyle w:val="aaabullet"/>
      </w:pPr>
      <w:r>
        <w:t xml:space="preserve">AASB 17 </w:t>
      </w:r>
      <w:r w:rsidRPr="007134E6">
        <w:t>Insurance Contracts</w:t>
      </w:r>
    </w:p>
    <w:p w14:paraId="36418A43" w14:textId="77777777" w:rsidR="003E5BF5" w:rsidRDefault="003E5BF5" w:rsidP="00C54637">
      <w:pPr>
        <w:pStyle w:val="aaabullet"/>
      </w:pPr>
      <w:r>
        <w:t xml:space="preserve">AASB 1060 </w:t>
      </w:r>
      <w:r w:rsidRPr="007134E6">
        <w:t>General Purpose Financial Statements – Simplified Disclosures for For-Profit and Not-for-Profit Tier 2 Entities (Appendix C)</w:t>
      </w:r>
    </w:p>
    <w:p w14:paraId="0B620E33" w14:textId="77777777" w:rsidR="003E5BF5" w:rsidRDefault="003E5BF5" w:rsidP="00C54637">
      <w:pPr>
        <w:pStyle w:val="aaabullet"/>
      </w:pPr>
      <w:r>
        <w:t xml:space="preserve">AASB 2018-6 </w:t>
      </w:r>
      <w:r w:rsidRPr="007134E6">
        <w:t>Amendments to Australian Accounting Standards – Definition of a Business</w:t>
      </w:r>
    </w:p>
    <w:p w14:paraId="4BC7768B" w14:textId="77777777" w:rsidR="003E5BF5" w:rsidRDefault="003E5BF5" w:rsidP="00C54637">
      <w:pPr>
        <w:pStyle w:val="aaabullet"/>
      </w:pPr>
      <w:r>
        <w:t xml:space="preserve">AASB 2019-1 </w:t>
      </w:r>
      <w:r w:rsidRPr="007134E6">
        <w:t>Amendments to Australian Accounting Standards – References to the Conceptual Framework</w:t>
      </w:r>
    </w:p>
    <w:p w14:paraId="3E1B9F4B" w14:textId="77777777" w:rsidR="003E5BF5" w:rsidRPr="007134E6" w:rsidRDefault="003E5BF5" w:rsidP="00C54637">
      <w:pPr>
        <w:pStyle w:val="aaabullet"/>
      </w:pPr>
      <w:r>
        <w:t xml:space="preserve">AASB 2019-3 </w:t>
      </w:r>
      <w:r w:rsidRPr="007134E6">
        <w:t>Amendments to Australian Accounting Standards – Interest Rate Benchmark Reform</w:t>
      </w:r>
    </w:p>
    <w:p w14:paraId="44BAD032" w14:textId="77777777" w:rsidR="003E5BF5" w:rsidRDefault="003E5BF5" w:rsidP="00C54637">
      <w:pPr>
        <w:pStyle w:val="aaabullet"/>
      </w:pPr>
      <w:r>
        <w:t xml:space="preserve">AASB 2019-5 </w:t>
      </w:r>
      <w:r w:rsidRPr="007134E6">
        <w:t>Amendments to Australian Accounting Standards – Disclosure of the Effect of New IFRS Standards Not Yet Issued in Australia</w:t>
      </w:r>
    </w:p>
    <w:p w14:paraId="037BB15D" w14:textId="77777777" w:rsidR="003E5BF5" w:rsidRPr="00D63218" w:rsidRDefault="003E5BF5" w:rsidP="00C54637">
      <w:pPr>
        <w:pStyle w:val="aaabullet"/>
        <w:sectPr w:rsidR="003E5BF5" w:rsidRPr="00D63218" w:rsidSect="00DE1921">
          <w:headerReference w:type="even" r:id="rId227"/>
          <w:headerReference w:type="default" r:id="rId228"/>
          <w:headerReference w:type="first" r:id="rId229"/>
          <w:type w:val="continuous"/>
          <w:pgSz w:w="11906" w:h="16838"/>
          <w:pgMar w:top="1701" w:right="1418" w:bottom="1418" w:left="1418" w:header="709" w:footer="709" w:gutter="0"/>
          <w:cols w:space="284"/>
          <w:docGrid w:linePitch="360"/>
        </w:sectPr>
      </w:pPr>
      <w:r>
        <w:lastRenderedPageBreak/>
        <w:t xml:space="preserve">AASB 2020-2 </w:t>
      </w:r>
      <w:r w:rsidRPr="007134E6">
        <w:t>Amendments to Australian Accounting Standards – Removal of Special Purpose Financial Statements for Certain For-Profit Private Sector Entities</w:t>
      </w:r>
      <w:r>
        <w:t>.</w:t>
      </w:r>
    </w:p>
    <w:p w14:paraId="5C8A0D10" w14:textId="77777777" w:rsidR="003E5BF5" w:rsidRDefault="003E5BF5" w:rsidP="00610F5F">
      <w:pPr>
        <w:pStyle w:val="Heading2"/>
        <w:numPr>
          <w:ilvl w:val="1"/>
          <w:numId w:val="22"/>
        </w:numPr>
        <w:sectPr w:rsidR="003E5BF5" w:rsidSect="00DE1921">
          <w:headerReference w:type="even" r:id="rId230"/>
          <w:headerReference w:type="default" r:id="rId231"/>
          <w:headerReference w:type="first" r:id="rId232"/>
          <w:type w:val="continuous"/>
          <w:pgSz w:w="11906" w:h="16838"/>
          <w:pgMar w:top="1701" w:right="1418" w:bottom="1418" w:left="1418" w:header="708" w:footer="708" w:gutter="0"/>
          <w:cols w:space="708"/>
          <w:docGrid w:linePitch="360"/>
        </w:sectPr>
      </w:pPr>
      <w:bookmarkStart w:id="711" w:name="_Departmental_output_objectives"/>
      <w:bookmarkStart w:id="712" w:name="_Toc522177863"/>
      <w:bookmarkStart w:id="713" w:name="_Toc529197948"/>
      <w:bookmarkStart w:id="714" w:name="_Toc529198013"/>
      <w:bookmarkStart w:id="715" w:name="_Toc530386210"/>
      <w:bookmarkStart w:id="716" w:name="_Toc9344386"/>
      <w:bookmarkEnd w:id="711"/>
    </w:p>
    <w:p w14:paraId="3723F4D5" w14:textId="77777777" w:rsidR="003E5BF5" w:rsidRPr="007444F0" w:rsidRDefault="003E5BF5" w:rsidP="00610F5F">
      <w:pPr>
        <w:pStyle w:val="Heading2"/>
        <w:numPr>
          <w:ilvl w:val="1"/>
          <w:numId w:val="22"/>
        </w:numPr>
      </w:pPr>
      <w:bookmarkStart w:id="717" w:name="_Toc53420705"/>
      <w:bookmarkStart w:id="718" w:name="_Toc53420983"/>
      <w:r w:rsidRPr="007444F0">
        <w:lastRenderedPageBreak/>
        <w:t>Departmental output objectives and descriptions</w:t>
      </w:r>
      <w:bookmarkEnd w:id="712"/>
      <w:bookmarkEnd w:id="713"/>
      <w:bookmarkEnd w:id="714"/>
      <w:bookmarkEnd w:id="715"/>
      <w:bookmarkEnd w:id="716"/>
      <w:bookmarkEnd w:id="717"/>
      <w:bookmarkEnd w:id="718"/>
    </w:p>
    <w:p w14:paraId="797456EF" w14:textId="77777777" w:rsidR="003E5BF5" w:rsidRDefault="003E5BF5" w:rsidP="00C54637">
      <w:pPr>
        <w:pStyle w:val="aaatyping"/>
      </w:pPr>
      <w:r w:rsidRPr="007444F0">
        <w:t xml:space="preserve">The departmental outputs during the financial year ended 30 June </w:t>
      </w:r>
      <w:r>
        <w:t>2020</w:t>
      </w:r>
      <w:r w:rsidRPr="007444F0">
        <w:t xml:space="preserve"> are disclosed in Note 4.1 Departmental outputs. The outputs objectives and descriptions are summarised below.</w:t>
      </w:r>
    </w:p>
    <w:p w14:paraId="7F37FA91" w14:textId="77777777" w:rsidR="003E5BF5" w:rsidRDefault="003E5BF5" w:rsidP="008A0170">
      <w:pPr>
        <w:pStyle w:val="Heading3"/>
      </w:pPr>
      <w:r>
        <w:t xml:space="preserve">Objective 1: </w:t>
      </w:r>
      <w:r w:rsidRPr="00B24504">
        <w:t>Reliable and user focused transport services</w:t>
      </w:r>
    </w:p>
    <w:p w14:paraId="219494AC" w14:textId="77777777" w:rsidR="003E5BF5" w:rsidRDefault="003E5BF5" w:rsidP="00C54637">
      <w:pPr>
        <w:pStyle w:val="aaatyping"/>
      </w:pPr>
      <w:r w:rsidRPr="00656F32">
        <w:t>This objective enhances liveability by providing Victorians with a transport system that connects people and places, taking them where they want to go, when they want to go</w:t>
      </w:r>
      <w:r>
        <w:t>.</w:t>
      </w:r>
    </w:p>
    <w:p w14:paraId="5C185809" w14:textId="77777777" w:rsidR="003E5BF5" w:rsidRDefault="003E5BF5" w:rsidP="00C54637">
      <w:pPr>
        <w:pStyle w:val="aaatyping"/>
      </w:pPr>
      <w:r>
        <w:t>The objective indicators are:</w:t>
      </w:r>
    </w:p>
    <w:p w14:paraId="2CF62B09" w14:textId="77777777" w:rsidR="003E5BF5" w:rsidRDefault="003E5BF5" w:rsidP="00C54637">
      <w:pPr>
        <w:pStyle w:val="aaabullet"/>
      </w:pPr>
      <w:r>
        <w:t>user satisfaction with the transport system</w:t>
      </w:r>
    </w:p>
    <w:p w14:paraId="7ADDC2F8" w14:textId="77777777" w:rsidR="003E5BF5" w:rsidRDefault="003E5BF5" w:rsidP="00C54637">
      <w:pPr>
        <w:pStyle w:val="aaabullet"/>
      </w:pPr>
      <w:r>
        <w:t>reliable travel.</w:t>
      </w:r>
    </w:p>
    <w:p w14:paraId="288DA7F8" w14:textId="77777777" w:rsidR="003E5BF5" w:rsidRPr="00C54637" w:rsidRDefault="003E5BF5" w:rsidP="00E55C5F">
      <w:pPr>
        <w:pStyle w:val="aaaboldheadingfinance"/>
        <w:rPr>
          <w:b w:val="0"/>
        </w:rPr>
      </w:pPr>
      <w:r w:rsidRPr="00C54637">
        <w:t>Outputs</w:t>
      </w:r>
    </w:p>
    <w:p w14:paraId="5D71A2F1" w14:textId="77777777" w:rsidR="003E5BF5" w:rsidRDefault="003E5BF5" w:rsidP="00C54637">
      <w:pPr>
        <w:pStyle w:val="aaatyping"/>
      </w:pPr>
      <w:r w:rsidRPr="00E3399C">
        <w:rPr>
          <w:b/>
          <w:bCs/>
        </w:rPr>
        <w:t xml:space="preserve">Bus Services: </w:t>
      </w:r>
      <w:r w:rsidRPr="001E6256">
        <w:t xml:space="preserve">This output group delivers reliable and cost-effective </w:t>
      </w:r>
      <w:proofErr w:type="spellStart"/>
      <w:r w:rsidRPr="001E6256">
        <w:t>statewide</w:t>
      </w:r>
      <w:proofErr w:type="spellEnd"/>
      <w:r w:rsidRPr="001E6256">
        <w:t xml:space="preserve"> bus services and infrastructure investments, including services delivered through contractual arrangements with private operators.</w:t>
      </w:r>
    </w:p>
    <w:p w14:paraId="6B84ED30" w14:textId="77777777" w:rsidR="003E5BF5" w:rsidRDefault="003E5BF5" w:rsidP="00C54637">
      <w:pPr>
        <w:pStyle w:val="aaatyping"/>
      </w:pPr>
      <w:r w:rsidRPr="00E3399C">
        <w:rPr>
          <w:b/>
          <w:bCs/>
        </w:rPr>
        <w:t>Road Operations:</w:t>
      </w:r>
      <w:r>
        <w:t xml:space="preserve"> </w:t>
      </w:r>
      <w:r w:rsidRPr="00C23908">
        <w:t>This output operates the road network by managing access and use, and delivers initiatives that provide more predictable and reliable journeys, improve safety and meet the service quality expected from transport users.</w:t>
      </w:r>
    </w:p>
    <w:p w14:paraId="658C2B05" w14:textId="77777777" w:rsidR="003E5BF5" w:rsidRDefault="003E5BF5" w:rsidP="00C54637">
      <w:pPr>
        <w:pStyle w:val="aaatyping"/>
      </w:pPr>
      <w:r w:rsidRPr="00E3399C">
        <w:rPr>
          <w:b/>
          <w:bCs/>
        </w:rPr>
        <w:t>Train Services:</w:t>
      </w:r>
      <w:r>
        <w:t xml:space="preserve"> </w:t>
      </w:r>
      <w:r w:rsidRPr="005A1996">
        <w:t>This output group delivers reliable and cost-effective train services and infrastructure investments across the Victorian rail network, including services delivered through contractual arrangements with private operators.</w:t>
      </w:r>
    </w:p>
    <w:p w14:paraId="4D5B3DE6" w14:textId="77777777" w:rsidR="003E5BF5" w:rsidRDefault="003E5BF5" w:rsidP="00C54637">
      <w:pPr>
        <w:pStyle w:val="aaatyping"/>
      </w:pPr>
      <w:r w:rsidRPr="00E3399C">
        <w:rPr>
          <w:b/>
          <w:bCs/>
        </w:rPr>
        <w:t>Tram Services:</w:t>
      </w:r>
      <w:r>
        <w:t xml:space="preserve"> </w:t>
      </w:r>
      <w:r w:rsidRPr="00955779">
        <w:t xml:space="preserve">This output delivers reliable and cost-effective tram services and infrastructure investments, including public transport </w:t>
      </w:r>
      <w:r w:rsidRPr="00955779">
        <w:lastRenderedPageBreak/>
        <w:t>services delivered through contractual arrangements with private operators.</w:t>
      </w:r>
    </w:p>
    <w:p w14:paraId="40628DA7" w14:textId="77777777" w:rsidR="003E5BF5" w:rsidRDefault="003E5BF5" w:rsidP="008A0170">
      <w:pPr>
        <w:pStyle w:val="Heading3"/>
      </w:pPr>
      <w:r>
        <w:t>Objective 2: Safe and well-regulated transport services</w:t>
      </w:r>
    </w:p>
    <w:p w14:paraId="1FE10521" w14:textId="77777777" w:rsidR="003E5BF5" w:rsidRDefault="003E5BF5" w:rsidP="00C54637">
      <w:pPr>
        <w:pStyle w:val="aaatyping"/>
      </w:pPr>
      <w:r>
        <w:t>The department focuses on helping Victorians arrive safely, whether they are travelling by road, rail or water.</w:t>
      </w:r>
    </w:p>
    <w:p w14:paraId="168E8514" w14:textId="77777777" w:rsidR="003E5BF5" w:rsidRDefault="003E5BF5" w:rsidP="00C54637">
      <w:pPr>
        <w:pStyle w:val="aaatyping"/>
      </w:pPr>
      <w:r>
        <w:t>The Regulation of Commercial Passenger Vehicle Services output contributes to this objective by delivering a commercial passenger vehicle industry that is customer focused, safe, accessible and competitive through the regulation of commercial passenger vehicles, booking service providers and drivers.</w:t>
      </w:r>
    </w:p>
    <w:p w14:paraId="74940BAE" w14:textId="77777777" w:rsidR="003E5BF5" w:rsidRDefault="003E5BF5" w:rsidP="00C54637">
      <w:pPr>
        <w:pStyle w:val="aaatyping"/>
      </w:pPr>
      <w:r>
        <w:t>The Transport Safety and Security output contributes to this objective by delivering initiatives and regulatory activities that will improve safety and security on Victoria’s transport network.</w:t>
      </w:r>
    </w:p>
    <w:p w14:paraId="6E9113FC" w14:textId="77777777" w:rsidR="003E5BF5" w:rsidRDefault="003E5BF5" w:rsidP="00C54637">
      <w:pPr>
        <w:pStyle w:val="aaatyping"/>
      </w:pPr>
      <w:r>
        <w:t>The objective indicator is:</w:t>
      </w:r>
    </w:p>
    <w:p w14:paraId="4EB89B77" w14:textId="77777777" w:rsidR="003E5BF5" w:rsidRDefault="003E5BF5" w:rsidP="00C54637">
      <w:pPr>
        <w:pStyle w:val="aaabullet"/>
      </w:pPr>
      <w:r>
        <w:t>safety of the transport system</w:t>
      </w:r>
    </w:p>
    <w:p w14:paraId="1B30F3E2" w14:textId="77777777" w:rsidR="003E5BF5" w:rsidRPr="00C54637" w:rsidRDefault="003E5BF5" w:rsidP="00E55C5F">
      <w:pPr>
        <w:pStyle w:val="aaaboldheadingfinance"/>
        <w:rPr>
          <w:b w:val="0"/>
        </w:rPr>
      </w:pPr>
      <w:r w:rsidRPr="00C54637">
        <w:t>Outputs</w:t>
      </w:r>
    </w:p>
    <w:p w14:paraId="4008DBCD" w14:textId="77777777" w:rsidR="003E5BF5" w:rsidRDefault="003E5BF5" w:rsidP="00C54637">
      <w:pPr>
        <w:pStyle w:val="aaatyping"/>
      </w:pPr>
      <w:r w:rsidRPr="00CB2204">
        <w:rPr>
          <w:b/>
          <w:bCs/>
          <w:color w:val="000000" w:themeColor="text1"/>
        </w:rPr>
        <w:t>Regulation of Commercial Passenger Vehicle Services:</w:t>
      </w:r>
      <w:r w:rsidRPr="00302748">
        <w:rPr>
          <w:color w:val="000000" w:themeColor="text1"/>
        </w:rPr>
        <w:t xml:space="preserve"> </w:t>
      </w:r>
      <w:r w:rsidRPr="006B5A7A">
        <w:t>This output delivers a commercial passenger vehicle industry that is customer focused, safe, accessible and competitive in metropolitan and regional Victoria through regulating commercial passenger vehicles, booking service providers, and drivers</w:t>
      </w:r>
      <w:r>
        <w:t>.</w:t>
      </w:r>
    </w:p>
    <w:p w14:paraId="2EE511E1" w14:textId="77777777" w:rsidR="003E5BF5" w:rsidRDefault="003E5BF5" w:rsidP="00C54637">
      <w:pPr>
        <w:pStyle w:val="aaatyping"/>
      </w:pPr>
      <w:r w:rsidRPr="00CB2204">
        <w:rPr>
          <w:b/>
          <w:bCs/>
        </w:rPr>
        <w:t>Transport Safety and Security:</w:t>
      </w:r>
      <w:r>
        <w:t xml:space="preserve"> </w:t>
      </w:r>
      <w:r w:rsidRPr="00EB77D2">
        <w:t>This output delivers initiatives and regulatory activities that will improve safety and security and strengthen resilience on Victoria’s transport network</w:t>
      </w:r>
      <w:r>
        <w:t>.</w:t>
      </w:r>
    </w:p>
    <w:p w14:paraId="24EBA661" w14:textId="77777777" w:rsidR="003E5BF5" w:rsidRDefault="003E5BF5" w:rsidP="008A0170">
      <w:pPr>
        <w:pStyle w:val="Heading3"/>
        <w:sectPr w:rsidR="003E5BF5" w:rsidSect="00DE1921">
          <w:pgSz w:w="11906" w:h="16838"/>
          <w:pgMar w:top="1701" w:right="1418" w:bottom="1418" w:left="1418" w:header="708" w:footer="708" w:gutter="0"/>
          <w:cols w:space="708"/>
          <w:docGrid w:linePitch="360"/>
        </w:sectPr>
      </w:pPr>
    </w:p>
    <w:p w14:paraId="7F5A8F35" w14:textId="77777777" w:rsidR="003E5BF5" w:rsidRDefault="003E5BF5" w:rsidP="008A0170">
      <w:pPr>
        <w:pStyle w:val="Heading3"/>
      </w:pPr>
      <w:r>
        <w:lastRenderedPageBreak/>
        <w:t xml:space="preserve">Objective 3: Better connected communities through improved infrastructure </w:t>
      </w:r>
    </w:p>
    <w:p w14:paraId="5034D864" w14:textId="77777777" w:rsidR="003E5BF5" w:rsidRDefault="003E5BF5" w:rsidP="007277E1">
      <w:pPr>
        <w:pStyle w:val="aaatyping"/>
      </w:pPr>
      <w:r>
        <w:t>The department delivers infrastructure investments to transform the way that Victorians travel.</w:t>
      </w:r>
    </w:p>
    <w:p w14:paraId="165E6326" w14:textId="77777777" w:rsidR="003E5BF5" w:rsidRDefault="003E5BF5" w:rsidP="007277E1">
      <w:pPr>
        <w:pStyle w:val="aaatyping"/>
      </w:pPr>
      <w:r>
        <w:t xml:space="preserve">The Transport Infrastructure output contributes to this objective by delivering strategic transport infrastructure activities that are value for money and focused on user outcomes to improve the transport system. </w:t>
      </w:r>
    </w:p>
    <w:p w14:paraId="3E0E7515" w14:textId="77777777" w:rsidR="003E5BF5" w:rsidRDefault="003E5BF5" w:rsidP="007277E1">
      <w:pPr>
        <w:pStyle w:val="aaatyping"/>
      </w:pPr>
      <w:r>
        <w:t xml:space="preserve">The Ports, Freight and Boating output contributes to this objective by delivering a range of capital initiatives and programs to increase the capacity, efficiency and safety of the ports, freight and logistics network and improve recreational boating services and facilities. </w:t>
      </w:r>
    </w:p>
    <w:p w14:paraId="4BAE7D05" w14:textId="77777777" w:rsidR="003E5BF5" w:rsidRDefault="003E5BF5" w:rsidP="007277E1">
      <w:pPr>
        <w:pStyle w:val="aaatyping"/>
      </w:pPr>
      <w:r>
        <w:t>The Road Asset Management output contributes to the objective by delivering programs and initiatives to maintain Victoria’s freeways and arterial roads.</w:t>
      </w:r>
    </w:p>
    <w:p w14:paraId="7FFF1336" w14:textId="77777777" w:rsidR="003E5BF5" w:rsidRDefault="003E5BF5" w:rsidP="007277E1">
      <w:pPr>
        <w:pStyle w:val="aaatyping"/>
      </w:pPr>
      <w:r>
        <w:t>The objective indicator is:</w:t>
      </w:r>
    </w:p>
    <w:p w14:paraId="7790FC1E" w14:textId="77777777" w:rsidR="003E5BF5" w:rsidRDefault="003E5BF5" w:rsidP="007277E1">
      <w:pPr>
        <w:pStyle w:val="aaabullet"/>
      </w:pPr>
      <w:r>
        <w:t>improved transport infrastructure</w:t>
      </w:r>
    </w:p>
    <w:p w14:paraId="102514B2" w14:textId="77777777" w:rsidR="003E5BF5" w:rsidRPr="00E55C5F" w:rsidRDefault="003E5BF5" w:rsidP="00E55C5F">
      <w:pPr>
        <w:pStyle w:val="aaaboldheadingfinance"/>
        <w:rPr>
          <w:b w:val="0"/>
        </w:rPr>
      </w:pPr>
      <w:r w:rsidRPr="00E55C5F">
        <w:t>Outputs</w:t>
      </w:r>
    </w:p>
    <w:p w14:paraId="7997A5A3" w14:textId="77777777" w:rsidR="003E5BF5" w:rsidRDefault="003E5BF5" w:rsidP="007277E1">
      <w:pPr>
        <w:pStyle w:val="aaatyping"/>
      </w:pPr>
      <w:r w:rsidRPr="00E3399C">
        <w:rPr>
          <w:b/>
          <w:bCs/>
        </w:rPr>
        <w:t>Ports, Freight and Boating:</w:t>
      </w:r>
      <w:r>
        <w:t xml:space="preserve"> </w:t>
      </w:r>
      <w:r w:rsidRPr="00CF2C0E">
        <w:t>This output delivers capital initiatives and programs to increase the capacity, efficiency and safety of the ports, freight and logistics network and improve recreational boating services and facilities</w:t>
      </w:r>
      <w:r>
        <w:t>.</w:t>
      </w:r>
    </w:p>
    <w:p w14:paraId="49BA482A" w14:textId="77777777" w:rsidR="003E5BF5" w:rsidRDefault="003E5BF5" w:rsidP="007277E1">
      <w:pPr>
        <w:pStyle w:val="aaatyping"/>
      </w:pPr>
      <w:r w:rsidRPr="00E3399C">
        <w:rPr>
          <w:b/>
          <w:bCs/>
        </w:rPr>
        <w:t>Road Asset Management</w:t>
      </w:r>
      <w:r>
        <w:rPr>
          <w:b/>
          <w:bCs/>
        </w:rPr>
        <w:t xml:space="preserve">: </w:t>
      </w:r>
      <w:r w:rsidRPr="00EF1BE7">
        <w:t>This output delivers programs and initiatives to maintain Victoria’s freeways and arterial roads.</w:t>
      </w:r>
    </w:p>
    <w:p w14:paraId="0A6F471B" w14:textId="77777777" w:rsidR="003E5BF5" w:rsidRDefault="003E5BF5" w:rsidP="007277E1">
      <w:pPr>
        <w:pStyle w:val="aaatyping"/>
      </w:pPr>
      <w:r w:rsidRPr="00E3399C">
        <w:rPr>
          <w:b/>
          <w:bCs/>
        </w:rPr>
        <w:t>Transport Infrastructure</w:t>
      </w:r>
      <w:r>
        <w:rPr>
          <w:b/>
          <w:bCs/>
        </w:rPr>
        <w:t xml:space="preserve">: </w:t>
      </w:r>
      <w:r w:rsidRPr="00FE1B07">
        <w:t xml:space="preserve">This output delivers strategic transport infrastructure activity to improve the transport system and create more </w:t>
      </w:r>
      <w:r w:rsidRPr="00FE1B07">
        <w:lastRenderedPageBreak/>
        <w:t>productive and liveable cities and regions through improved transport services and better infrastructure.</w:t>
      </w:r>
    </w:p>
    <w:p w14:paraId="6A079419" w14:textId="77777777" w:rsidR="003E5BF5" w:rsidRDefault="003E5BF5" w:rsidP="008A0170">
      <w:pPr>
        <w:pStyle w:val="Heading3"/>
      </w:pPr>
      <w:r>
        <w:t>Objective 4: Sustainably Managed Fish Resources</w:t>
      </w:r>
    </w:p>
    <w:p w14:paraId="3FC97340" w14:textId="77777777" w:rsidR="003E5BF5" w:rsidRDefault="003E5BF5" w:rsidP="00CB2204">
      <w:pPr>
        <w:pStyle w:val="aaatyping"/>
      </w:pPr>
      <w:r>
        <w:t xml:space="preserve">The department supports the development of sustainable fishing and aquaculture activities in Victoria and promotion of responsible fishing and fishing related activities. On ground management of fishing is provided by the Victorian Fisheries Authority, which works with a number of partners, local communities and industry to deliver positive outcomes that provide benefits to all Victorians. </w:t>
      </w:r>
    </w:p>
    <w:p w14:paraId="2E5734DE" w14:textId="77777777" w:rsidR="003E5BF5" w:rsidRDefault="003E5BF5" w:rsidP="00CB2204">
      <w:pPr>
        <w:pStyle w:val="aaatyping"/>
      </w:pPr>
      <w:r>
        <w:t xml:space="preserve">This includes commercial and recreational licensing and quota management, education, enforcement, fishery monitoring and assessment, administration of recreational fishing grants and on ground delivery of fishing related election commitments. </w:t>
      </w:r>
    </w:p>
    <w:p w14:paraId="62940196" w14:textId="77777777" w:rsidR="003E5BF5" w:rsidRDefault="003E5BF5" w:rsidP="00CB2204">
      <w:pPr>
        <w:pStyle w:val="aaatyping"/>
      </w:pPr>
      <w:r>
        <w:t>The objective indicator is:</w:t>
      </w:r>
    </w:p>
    <w:p w14:paraId="630DC8A2" w14:textId="77777777" w:rsidR="003E5BF5" w:rsidRDefault="003E5BF5" w:rsidP="00CB2204">
      <w:pPr>
        <w:pStyle w:val="aaabullet"/>
      </w:pPr>
      <w:r>
        <w:t>sustainability of assessed fish stocks.</w:t>
      </w:r>
    </w:p>
    <w:p w14:paraId="22D6D355" w14:textId="77777777" w:rsidR="003E5BF5" w:rsidRPr="00E76191" w:rsidRDefault="003E5BF5" w:rsidP="000652C0">
      <w:pPr>
        <w:pStyle w:val="aaaboldheadingfinance"/>
      </w:pPr>
      <w:r w:rsidRPr="00E76191">
        <w:t>Outputs</w:t>
      </w:r>
    </w:p>
    <w:p w14:paraId="26762D9C" w14:textId="77777777" w:rsidR="003E5BF5" w:rsidRPr="00FF7847" w:rsidRDefault="003E5BF5" w:rsidP="00E76191">
      <w:pPr>
        <w:pStyle w:val="aaatyping"/>
      </w:pPr>
      <w:r w:rsidRPr="00E76191">
        <w:rPr>
          <w:b/>
          <w:bCs/>
        </w:rPr>
        <w:t>S</w:t>
      </w:r>
      <w:r w:rsidRPr="00E76191">
        <w:rPr>
          <w:rStyle w:val="Heading5Char"/>
          <w:b/>
          <w:bCs/>
          <w:color w:val="000000" w:themeColor="text1"/>
        </w:rPr>
        <w:t xml:space="preserve">ustainably Manage Fish Resources: </w:t>
      </w:r>
      <w:r w:rsidRPr="00E76191">
        <w:t>This</w:t>
      </w:r>
      <w:r w:rsidRPr="00FF7847">
        <w:t xml:space="preserve"> output creates the conditions to grow the natural resources economy by ensuring fish resources are sustainably allocated and used for both recreational and commercial purposes</w:t>
      </w:r>
      <w:r>
        <w:t>.</w:t>
      </w:r>
    </w:p>
    <w:p w14:paraId="1EC08953" w14:textId="77777777" w:rsidR="003E5BF5" w:rsidRDefault="003E5BF5" w:rsidP="008A0170">
      <w:pPr>
        <w:pStyle w:val="Heading3"/>
      </w:pPr>
      <w:r>
        <w:t xml:space="preserve">Major Projects </w:t>
      </w:r>
    </w:p>
    <w:p w14:paraId="5B60EBD9" w14:textId="77777777" w:rsidR="003E5BF5" w:rsidRPr="00377F5A" w:rsidRDefault="003E5BF5" w:rsidP="00E76191">
      <w:pPr>
        <w:pStyle w:val="aaatyping"/>
      </w:pPr>
      <w:r>
        <w:t xml:space="preserve">The following output was transferred to DJPR as of 1 January 2019 as of </w:t>
      </w:r>
      <w:proofErr w:type="spellStart"/>
      <w:r>
        <w:t>MoG</w:t>
      </w:r>
      <w:proofErr w:type="spellEnd"/>
      <w:r>
        <w:t xml:space="preserve"> change, however as Major Projects Victoria (MPV) is still consolidated within the department for 2019-20, the department will continue to report balance relating to MPV.</w:t>
      </w:r>
    </w:p>
    <w:p w14:paraId="3044D49A" w14:textId="77777777" w:rsidR="003E5BF5" w:rsidRPr="00E76191" w:rsidRDefault="003E5BF5" w:rsidP="000652C0">
      <w:pPr>
        <w:pStyle w:val="aaaboldheadingfinance"/>
      </w:pPr>
      <w:r w:rsidRPr="00E76191">
        <w:lastRenderedPageBreak/>
        <w:t>Outputs</w:t>
      </w:r>
    </w:p>
    <w:p w14:paraId="5B9CD995" w14:textId="77777777" w:rsidR="003E5BF5" w:rsidRDefault="003E5BF5" w:rsidP="00E76191">
      <w:pPr>
        <w:pStyle w:val="aaatyping"/>
      </w:pPr>
      <w:r w:rsidRPr="00E76191">
        <w:rPr>
          <w:b/>
          <w:bCs/>
          <w:iCs/>
        </w:rPr>
        <w:t>Major Projects</w:t>
      </w:r>
      <w:r>
        <w:rPr>
          <w:iCs/>
        </w:rPr>
        <w:t xml:space="preserve">: </w:t>
      </w:r>
      <w:r w:rsidRPr="005E12B6">
        <w:t>This output facilitates growth and investment in the Victorian economy through the development, delivery and management of significant economic projects.</w:t>
      </w:r>
    </w:p>
    <w:p w14:paraId="2B540777" w14:textId="77777777" w:rsidR="003E5BF5" w:rsidRDefault="003E5BF5" w:rsidP="00DE1921"/>
    <w:p w14:paraId="51AF2E01" w14:textId="77777777" w:rsidR="003E5BF5" w:rsidRDefault="003E5BF5" w:rsidP="00DE1921">
      <w:pPr>
        <w:ind w:left="284"/>
        <w:sectPr w:rsidR="003E5BF5" w:rsidSect="00DE1921">
          <w:pgSz w:w="11906" w:h="16838"/>
          <w:pgMar w:top="1701" w:right="1418" w:bottom="1418" w:left="1418" w:header="708" w:footer="708" w:gutter="0"/>
          <w:cols w:space="708"/>
          <w:docGrid w:linePitch="360"/>
        </w:sectPr>
      </w:pPr>
    </w:p>
    <w:p w14:paraId="32EC920C" w14:textId="77777777" w:rsidR="003E5BF5" w:rsidRDefault="003E5BF5" w:rsidP="00610F5F">
      <w:pPr>
        <w:pStyle w:val="Heading2"/>
        <w:numPr>
          <w:ilvl w:val="1"/>
          <w:numId w:val="22"/>
        </w:numPr>
        <w:sectPr w:rsidR="003E5BF5" w:rsidSect="00DE1921">
          <w:headerReference w:type="even" r:id="rId233"/>
          <w:headerReference w:type="default" r:id="rId234"/>
          <w:headerReference w:type="first" r:id="rId235"/>
          <w:pgSz w:w="11906" w:h="16838"/>
          <w:pgMar w:top="1701" w:right="1418" w:bottom="1418" w:left="1418" w:header="708" w:footer="708" w:gutter="0"/>
          <w:cols w:space="708"/>
          <w:docGrid w:linePitch="360"/>
        </w:sectPr>
      </w:pPr>
      <w:bookmarkStart w:id="719" w:name="_Toc11761332"/>
      <w:bookmarkStart w:id="720" w:name="_Toc11767066"/>
      <w:bookmarkStart w:id="721" w:name="_Toc11761333"/>
      <w:bookmarkStart w:id="722" w:name="_Toc11767067"/>
      <w:bookmarkStart w:id="723" w:name="_Toc11761334"/>
      <w:bookmarkStart w:id="724" w:name="_Toc11767068"/>
      <w:bookmarkStart w:id="725" w:name="_Toc11761335"/>
      <w:bookmarkStart w:id="726" w:name="_Toc11767069"/>
      <w:bookmarkStart w:id="727" w:name="_Toc11761336"/>
      <w:bookmarkStart w:id="728" w:name="_Toc11767070"/>
      <w:bookmarkStart w:id="729" w:name="_Toc11761337"/>
      <w:bookmarkStart w:id="730" w:name="_Toc11767071"/>
      <w:bookmarkStart w:id="731" w:name="_Toc11761338"/>
      <w:bookmarkStart w:id="732" w:name="_Toc11767072"/>
      <w:bookmarkStart w:id="733" w:name="_Toc11761339"/>
      <w:bookmarkStart w:id="734" w:name="_Toc11767073"/>
      <w:bookmarkStart w:id="735" w:name="_Toc11761340"/>
      <w:bookmarkStart w:id="736" w:name="_Toc11767074"/>
      <w:bookmarkStart w:id="737" w:name="_Toc11761341"/>
      <w:bookmarkStart w:id="738" w:name="_Toc11767075"/>
      <w:bookmarkStart w:id="739" w:name="_Toc11761342"/>
      <w:bookmarkStart w:id="740" w:name="_Toc11767076"/>
      <w:bookmarkStart w:id="741" w:name="_Toc11761343"/>
      <w:bookmarkStart w:id="742" w:name="_Toc11767077"/>
      <w:bookmarkStart w:id="743" w:name="_Toc11761344"/>
      <w:bookmarkStart w:id="744" w:name="_Toc11767078"/>
      <w:bookmarkStart w:id="745" w:name="_Toc11761345"/>
      <w:bookmarkStart w:id="746" w:name="_Toc11767079"/>
      <w:bookmarkStart w:id="747" w:name="_Toc11761346"/>
      <w:bookmarkStart w:id="748" w:name="_Toc11767080"/>
      <w:bookmarkStart w:id="749" w:name="_Toc11761347"/>
      <w:bookmarkStart w:id="750" w:name="_Toc11767081"/>
      <w:bookmarkStart w:id="751" w:name="_Toc11761348"/>
      <w:bookmarkStart w:id="752" w:name="_Toc11767082"/>
      <w:bookmarkStart w:id="753" w:name="_Toc11761349"/>
      <w:bookmarkStart w:id="754" w:name="_Toc11767083"/>
      <w:bookmarkStart w:id="755" w:name="_Toc11761350"/>
      <w:bookmarkStart w:id="756" w:name="_Toc11767084"/>
      <w:bookmarkStart w:id="757" w:name="_Toc11761351"/>
      <w:bookmarkStart w:id="758" w:name="_Toc11767085"/>
      <w:bookmarkStart w:id="759" w:name="_Toc11761352"/>
      <w:bookmarkStart w:id="760" w:name="_Toc11767086"/>
      <w:bookmarkStart w:id="761" w:name="_Toc11761353"/>
      <w:bookmarkStart w:id="762" w:name="_Toc11767087"/>
      <w:bookmarkStart w:id="763" w:name="_Toc522177864"/>
      <w:bookmarkStart w:id="764" w:name="_Toc529197949"/>
      <w:bookmarkStart w:id="765" w:name="_Toc529198014"/>
      <w:bookmarkStart w:id="766" w:name="_Toc530386211"/>
      <w:bookmarkStart w:id="767" w:name="_Toc9344387"/>
      <w:bookmarkStart w:id="768" w:name="_Toc53420706"/>
      <w:bookmarkStart w:id="769" w:name="_Toc53420984"/>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sidRPr="0058641D">
        <w:lastRenderedPageBreak/>
        <w:t>Glossary of technical terms</w:t>
      </w:r>
      <w:bookmarkEnd w:id="763"/>
      <w:bookmarkEnd w:id="764"/>
      <w:bookmarkEnd w:id="765"/>
      <w:bookmarkEnd w:id="766"/>
      <w:bookmarkEnd w:id="767"/>
      <w:bookmarkEnd w:id="768"/>
      <w:bookmarkEnd w:id="769"/>
    </w:p>
    <w:p w14:paraId="38AB94B3" w14:textId="77777777" w:rsidR="003E5BF5" w:rsidRPr="007444F0" w:rsidRDefault="003E5BF5" w:rsidP="000652C0">
      <w:pPr>
        <w:pStyle w:val="aaaboldheadingfinance"/>
      </w:pPr>
      <w:r w:rsidRPr="007444F0">
        <w:t>Actuarial gains or losses on superannuation defined benefit plans</w:t>
      </w:r>
    </w:p>
    <w:p w14:paraId="297475AA" w14:textId="77777777" w:rsidR="003E5BF5" w:rsidRPr="007444F0" w:rsidRDefault="003E5BF5" w:rsidP="006E0D3F">
      <w:pPr>
        <w:pStyle w:val="aaatyping"/>
      </w:pPr>
      <w:r w:rsidRPr="007444F0">
        <w:t>Actuarial gains or losses are changes in the present value of the superannuation defined benefit liability resulting from experience adjustments (the effects of differences between the previous actuarial assumptions and what has actually occurred) and the effects of changes in actuarial assumptions.</w:t>
      </w:r>
    </w:p>
    <w:p w14:paraId="73D2BE0A" w14:textId="77777777" w:rsidR="003E5BF5" w:rsidRPr="007444F0" w:rsidRDefault="003E5BF5" w:rsidP="000652C0">
      <w:pPr>
        <w:pStyle w:val="aaaboldheadingfinance"/>
      </w:pPr>
      <w:r w:rsidRPr="007444F0">
        <w:t>Administered item</w:t>
      </w:r>
    </w:p>
    <w:p w14:paraId="76D18A2E" w14:textId="77777777" w:rsidR="003E5BF5" w:rsidRPr="007444F0" w:rsidRDefault="003E5BF5" w:rsidP="006E0D3F">
      <w:pPr>
        <w:pStyle w:val="aaatyping"/>
      </w:pPr>
      <w:r w:rsidRPr="007444F0">
        <w:t xml:space="preserve">Administered item generally refers to a department lacking the capacity to benefit from that item in the pursuit of the entity’s objectives and to deny or regulate the access of others to that benefit. </w:t>
      </w:r>
    </w:p>
    <w:p w14:paraId="5FAEECFD" w14:textId="77777777" w:rsidR="003E5BF5" w:rsidRPr="007444F0" w:rsidRDefault="003E5BF5" w:rsidP="000652C0">
      <w:pPr>
        <w:pStyle w:val="aaaboldheadingfinance"/>
      </w:pPr>
      <w:r w:rsidRPr="007444F0">
        <w:t>Amortisation</w:t>
      </w:r>
    </w:p>
    <w:p w14:paraId="54C67D80" w14:textId="77777777" w:rsidR="003E5BF5" w:rsidRPr="007444F0" w:rsidRDefault="003E5BF5" w:rsidP="006E0D3F">
      <w:pPr>
        <w:pStyle w:val="aaatyping"/>
      </w:pPr>
      <w:r w:rsidRPr="007444F0">
        <w:t>Amortisation is the expense which results from the consumption, extraction or use over time of a non-produced physical or intangible asset. This expense is classified as an ‘other economic flow’.</w:t>
      </w:r>
    </w:p>
    <w:p w14:paraId="5DC97E4D" w14:textId="77777777" w:rsidR="003E5BF5" w:rsidRPr="007444F0" w:rsidRDefault="003E5BF5" w:rsidP="000652C0">
      <w:pPr>
        <w:pStyle w:val="aaaboldheadingfinance"/>
      </w:pPr>
      <w:r w:rsidRPr="007444F0">
        <w:t>Borrowings</w:t>
      </w:r>
    </w:p>
    <w:p w14:paraId="15FF31E8" w14:textId="77777777" w:rsidR="003E5BF5" w:rsidRPr="007444F0" w:rsidRDefault="003E5BF5" w:rsidP="006E0D3F">
      <w:pPr>
        <w:pStyle w:val="aaatyping"/>
      </w:pPr>
      <w:r w:rsidRPr="007444F0">
        <w:t>Borrowings refers to interest bearing liabilities mainly from public borrowings raised through the TCV, finance leases and other interest bearing arrangements. Borrowings also include non-interest bearing advances from government that are acquired for policy purposes.</w:t>
      </w:r>
      <w:r w:rsidRPr="007444F0">
        <w:tab/>
      </w:r>
    </w:p>
    <w:p w14:paraId="7A2A5444" w14:textId="77777777" w:rsidR="003E5BF5" w:rsidRPr="007444F0" w:rsidRDefault="003E5BF5" w:rsidP="000652C0">
      <w:pPr>
        <w:pStyle w:val="aaaboldheadingfinance"/>
      </w:pPr>
      <w:r w:rsidRPr="007444F0">
        <w:t>Comprehensive result</w:t>
      </w:r>
    </w:p>
    <w:p w14:paraId="44EF9D61" w14:textId="65A007C9" w:rsidR="00911302" w:rsidRDefault="003E5BF5" w:rsidP="006E0D3F">
      <w:pPr>
        <w:pStyle w:val="aaatyping"/>
      </w:pPr>
      <w:r w:rsidRPr="007444F0">
        <w:t>The net result of all items of income and expense recognised for the period. It is the aggregate of the operating result and other comprehensive income.</w:t>
      </w:r>
      <w:r w:rsidR="00911302">
        <w:br w:type="page"/>
      </w:r>
    </w:p>
    <w:p w14:paraId="377562A3" w14:textId="77777777" w:rsidR="003E5BF5" w:rsidRPr="007444F0" w:rsidRDefault="003E5BF5" w:rsidP="000652C0">
      <w:pPr>
        <w:pStyle w:val="aaaboldheadingfinance"/>
      </w:pPr>
      <w:r w:rsidRPr="007444F0">
        <w:lastRenderedPageBreak/>
        <w:t>Commitments</w:t>
      </w:r>
    </w:p>
    <w:p w14:paraId="2D55DD3C" w14:textId="77777777" w:rsidR="003E5BF5" w:rsidRPr="007444F0" w:rsidRDefault="003E5BF5" w:rsidP="006E0D3F">
      <w:pPr>
        <w:pStyle w:val="aaatyping"/>
      </w:pPr>
      <w:r w:rsidRPr="007444F0">
        <w:t>Commitments include those operating, capital and other outsourcing commitments arising from non-cancellable contractual or statutory sources.</w:t>
      </w:r>
    </w:p>
    <w:p w14:paraId="52150E5A" w14:textId="77777777" w:rsidR="003E5BF5" w:rsidRPr="007444F0" w:rsidRDefault="003E5BF5" w:rsidP="000652C0">
      <w:pPr>
        <w:pStyle w:val="aaaboldheadingfinance"/>
      </w:pPr>
      <w:r w:rsidRPr="007444F0">
        <w:t>Controlled item</w:t>
      </w:r>
    </w:p>
    <w:p w14:paraId="0CD47E72" w14:textId="77777777" w:rsidR="003E5BF5" w:rsidRPr="007444F0" w:rsidRDefault="003E5BF5" w:rsidP="006E0D3F">
      <w:pPr>
        <w:pStyle w:val="aaatyping"/>
      </w:pPr>
      <w:r w:rsidRPr="007444F0">
        <w:t xml:space="preserve">Controlled item generally refers to the capacity of a department to benefit from that item in the pursuit of the entity’s objectives and to deny or regulate the access of others to that benefit. </w:t>
      </w:r>
    </w:p>
    <w:p w14:paraId="4F039688" w14:textId="77777777" w:rsidR="003E5BF5" w:rsidRPr="007444F0" w:rsidRDefault="003E5BF5" w:rsidP="000652C0">
      <w:pPr>
        <w:pStyle w:val="aaaboldheadingfinance"/>
      </w:pPr>
      <w:r w:rsidRPr="007444F0">
        <w:t>Current grants</w:t>
      </w:r>
    </w:p>
    <w:p w14:paraId="57B2C54F" w14:textId="77777777" w:rsidR="003E5BF5" w:rsidRPr="007444F0" w:rsidRDefault="003E5BF5" w:rsidP="006E0D3F">
      <w:pPr>
        <w:pStyle w:val="aaatyping"/>
      </w:pPr>
      <w:r w:rsidRPr="007444F0">
        <w:t>Amounts payable or receivable for current purposes for which no economic benefits of equal value are receivable or payable in return.</w:t>
      </w:r>
    </w:p>
    <w:p w14:paraId="004842BE" w14:textId="77777777" w:rsidR="003E5BF5" w:rsidRPr="007444F0" w:rsidRDefault="003E5BF5" w:rsidP="000652C0">
      <w:pPr>
        <w:pStyle w:val="aaaboldheadingfinance"/>
      </w:pPr>
      <w:r w:rsidRPr="007444F0">
        <w:t>Depreciation</w:t>
      </w:r>
    </w:p>
    <w:p w14:paraId="6F351ABC" w14:textId="77777777" w:rsidR="003E5BF5" w:rsidRPr="007444F0" w:rsidRDefault="003E5BF5" w:rsidP="006E0D3F">
      <w:pPr>
        <w:pStyle w:val="aaatyping"/>
      </w:pPr>
      <w:r w:rsidRPr="007444F0">
        <w:t>Depreciation is an expense that arises from the consumption through wear or time of a produced physical asset. This expense is classified as a 'transaction' and so reduces the 'net result from transaction'.</w:t>
      </w:r>
    </w:p>
    <w:p w14:paraId="634F827A" w14:textId="77777777" w:rsidR="003E5BF5" w:rsidRPr="007444F0" w:rsidRDefault="003E5BF5" w:rsidP="000652C0">
      <w:pPr>
        <w:pStyle w:val="aaaboldheadingfinance"/>
      </w:pPr>
      <w:r w:rsidRPr="007444F0">
        <w:t>Effective interest method</w:t>
      </w:r>
    </w:p>
    <w:p w14:paraId="7C4D64FF" w14:textId="77777777" w:rsidR="003E5BF5" w:rsidRPr="007444F0" w:rsidRDefault="003E5BF5" w:rsidP="006E0D3F">
      <w:pPr>
        <w:pStyle w:val="aaatyping"/>
      </w:pPr>
      <w:r w:rsidRPr="007444F0">
        <w:t>The effective interest method is used to calculate the amortised cost of a financial asset or liability and of allocating interest income over the relevant period. The effective interest rate is the rate that exactly discounts estimated future cash receipts through the expected life of the financial instrument, or, where appropriate, a shorter period.</w:t>
      </w:r>
    </w:p>
    <w:p w14:paraId="4028934E" w14:textId="77777777" w:rsidR="003E5BF5" w:rsidRPr="00FE33F7" w:rsidRDefault="003E5BF5" w:rsidP="000652C0">
      <w:pPr>
        <w:pStyle w:val="aaaboldheadingfinance"/>
      </w:pPr>
      <w:r w:rsidRPr="00FE33F7">
        <w:t>Expected credit loss</w:t>
      </w:r>
    </w:p>
    <w:p w14:paraId="6FA7FD29" w14:textId="77777777" w:rsidR="003E5BF5" w:rsidRPr="007444F0" w:rsidRDefault="003E5BF5" w:rsidP="006E0D3F">
      <w:pPr>
        <w:pStyle w:val="aaatyping"/>
      </w:pPr>
      <w:r w:rsidRPr="007444F0">
        <w:t>The weighted average of credit losses with the respective risks of a default occurring as the weights.</w:t>
      </w:r>
    </w:p>
    <w:p w14:paraId="1C3C729C" w14:textId="77777777" w:rsidR="003E5BF5" w:rsidRDefault="003E5BF5" w:rsidP="00DE1921">
      <w:pPr>
        <w:rPr>
          <w:b/>
        </w:rPr>
        <w:sectPr w:rsidR="003E5BF5" w:rsidSect="00DE1921">
          <w:headerReference w:type="even" r:id="rId236"/>
          <w:headerReference w:type="default" r:id="rId237"/>
          <w:headerReference w:type="first" r:id="rId238"/>
          <w:type w:val="continuous"/>
          <w:pgSz w:w="11906" w:h="16838"/>
          <w:pgMar w:top="1701" w:right="1418" w:bottom="1418" w:left="1418" w:header="708" w:footer="708" w:gutter="0"/>
          <w:cols w:space="708"/>
          <w:docGrid w:linePitch="360"/>
        </w:sectPr>
      </w:pPr>
    </w:p>
    <w:p w14:paraId="560589B0" w14:textId="77777777" w:rsidR="003E5BF5" w:rsidRPr="007444F0" w:rsidRDefault="003E5BF5" w:rsidP="000652C0">
      <w:pPr>
        <w:pStyle w:val="aaaboldheadingfinance"/>
      </w:pPr>
      <w:r w:rsidRPr="007444F0">
        <w:lastRenderedPageBreak/>
        <w:t>Financial asset</w:t>
      </w:r>
    </w:p>
    <w:p w14:paraId="2D7FF590" w14:textId="77777777" w:rsidR="003E5BF5" w:rsidRPr="007444F0" w:rsidRDefault="003E5BF5" w:rsidP="006E0D3F">
      <w:pPr>
        <w:pStyle w:val="aaatyping"/>
      </w:pPr>
      <w:r w:rsidRPr="007444F0">
        <w:t>A financial asset is any asset that is:</w:t>
      </w:r>
    </w:p>
    <w:p w14:paraId="20FC59E0" w14:textId="77777777" w:rsidR="003E5BF5" w:rsidRPr="00EB0899" w:rsidRDefault="003E5BF5" w:rsidP="00382E46">
      <w:pPr>
        <w:pStyle w:val="ListParagraph"/>
        <w:numPr>
          <w:ilvl w:val="0"/>
          <w:numId w:val="5"/>
        </w:numPr>
        <w:spacing w:line="360" w:lineRule="auto"/>
        <w:rPr>
          <w:rFonts w:ascii="Arial" w:hAnsi="Arial" w:cs="Arial"/>
          <w:sz w:val="28"/>
          <w:szCs w:val="28"/>
        </w:rPr>
      </w:pPr>
      <w:r w:rsidRPr="00EB0899">
        <w:rPr>
          <w:rFonts w:ascii="Arial" w:hAnsi="Arial" w:cs="Arial"/>
          <w:sz w:val="28"/>
          <w:szCs w:val="28"/>
        </w:rPr>
        <w:t>cash</w:t>
      </w:r>
    </w:p>
    <w:p w14:paraId="0C10A192" w14:textId="77777777" w:rsidR="003E5BF5" w:rsidRPr="00EB0899" w:rsidRDefault="003E5BF5" w:rsidP="00382E46">
      <w:pPr>
        <w:pStyle w:val="ListParagraph"/>
        <w:numPr>
          <w:ilvl w:val="0"/>
          <w:numId w:val="5"/>
        </w:numPr>
        <w:spacing w:line="360" w:lineRule="auto"/>
        <w:rPr>
          <w:rFonts w:ascii="Arial" w:hAnsi="Arial" w:cs="Arial"/>
          <w:sz w:val="28"/>
          <w:szCs w:val="28"/>
        </w:rPr>
      </w:pPr>
      <w:r w:rsidRPr="00EB0899">
        <w:rPr>
          <w:rFonts w:ascii="Arial" w:hAnsi="Arial" w:cs="Arial"/>
          <w:sz w:val="28"/>
          <w:szCs w:val="28"/>
        </w:rPr>
        <w:t>an equity instrument of another entity</w:t>
      </w:r>
    </w:p>
    <w:p w14:paraId="7513248B" w14:textId="77777777" w:rsidR="003E5BF5" w:rsidRPr="00EB0899" w:rsidRDefault="003E5BF5" w:rsidP="00382E46">
      <w:pPr>
        <w:pStyle w:val="ListParagraph"/>
        <w:numPr>
          <w:ilvl w:val="0"/>
          <w:numId w:val="5"/>
        </w:numPr>
        <w:spacing w:line="360" w:lineRule="auto"/>
        <w:rPr>
          <w:rFonts w:ascii="Arial" w:hAnsi="Arial" w:cs="Arial"/>
          <w:sz w:val="28"/>
          <w:szCs w:val="28"/>
        </w:rPr>
      </w:pPr>
      <w:r w:rsidRPr="00EB0899">
        <w:rPr>
          <w:rFonts w:ascii="Arial" w:hAnsi="Arial" w:cs="Arial"/>
          <w:sz w:val="28"/>
          <w:szCs w:val="28"/>
        </w:rPr>
        <w:t>a contractual right or statutory right:</w:t>
      </w:r>
    </w:p>
    <w:p w14:paraId="7A6DE5C6" w14:textId="77777777" w:rsidR="003E5BF5" w:rsidRPr="00EB0899" w:rsidRDefault="003E5BF5" w:rsidP="00382E46">
      <w:pPr>
        <w:pStyle w:val="ListParagraph"/>
        <w:numPr>
          <w:ilvl w:val="1"/>
          <w:numId w:val="4"/>
        </w:numPr>
        <w:tabs>
          <w:tab w:val="left" w:pos="1560"/>
        </w:tabs>
        <w:spacing w:line="360" w:lineRule="auto"/>
        <w:rPr>
          <w:rFonts w:ascii="Arial" w:hAnsi="Arial" w:cs="Arial"/>
          <w:sz w:val="28"/>
          <w:szCs w:val="28"/>
        </w:rPr>
      </w:pPr>
      <w:r w:rsidRPr="00EB0899">
        <w:rPr>
          <w:rFonts w:ascii="Arial" w:hAnsi="Arial" w:cs="Arial"/>
          <w:sz w:val="28"/>
          <w:szCs w:val="28"/>
        </w:rPr>
        <w:t>to receive cash or another financial asset from another entity; or</w:t>
      </w:r>
    </w:p>
    <w:p w14:paraId="6514D1BE" w14:textId="77777777" w:rsidR="003E5BF5" w:rsidRPr="00EB0899" w:rsidRDefault="003E5BF5" w:rsidP="00382E46">
      <w:pPr>
        <w:pStyle w:val="ListParagraph"/>
        <w:numPr>
          <w:ilvl w:val="1"/>
          <w:numId w:val="4"/>
        </w:numPr>
        <w:tabs>
          <w:tab w:val="left" w:pos="1560"/>
        </w:tabs>
        <w:spacing w:line="360" w:lineRule="auto"/>
        <w:rPr>
          <w:rFonts w:ascii="Arial" w:hAnsi="Arial" w:cs="Arial"/>
          <w:sz w:val="28"/>
          <w:szCs w:val="28"/>
        </w:rPr>
      </w:pPr>
      <w:r w:rsidRPr="00EB0899">
        <w:rPr>
          <w:rFonts w:ascii="Arial" w:hAnsi="Arial" w:cs="Arial"/>
          <w:sz w:val="28"/>
          <w:szCs w:val="28"/>
        </w:rPr>
        <w:t xml:space="preserve">to exchange financial assets or financial liabilities with another entity under conditions that are potentially favourable to the entity; or </w:t>
      </w:r>
    </w:p>
    <w:p w14:paraId="6ABF46C1" w14:textId="77777777" w:rsidR="003E5BF5" w:rsidRPr="00EB0899" w:rsidRDefault="003E5BF5" w:rsidP="00382E46">
      <w:pPr>
        <w:pStyle w:val="ListParagraph"/>
        <w:numPr>
          <w:ilvl w:val="0"/>
          <w:numId w:val="5"/>
        </w:numPr>
        <w:spacing w:line="360" w:lineRule="auto"/>
        <w:ind w:left="709" w:hanging="425"/>
        <w:rPr>
          <w:rFonts w:ascii="Arial" w:hAnsi="Arial" w:cs="Arial"/>
          <w:sz w:val="28"/>
          <w:szCs w:val="28"/>
        </w:rPr>
      </w:pPr>
      <w:r w:rsidRPr="00EB0899">
        <w:rPr>
          <w:rFonts w:ascii="Arial" w:hAnsi="Arial" w:cs="Arial"/>
          <w:sz w:val="28"/>
          <w:szCs w:val="28"/>
        </w:rPr>
        <w:t>a contract that will or may be settled in the entity's own equity instruments and is:</w:t>
      </w:r>
    </w:p>
    <w:p w14:paraId="470A470F" w14:textId="77777777" w:rsidR="003E5BF5" w:rsidRPr="00EB0899" w:rsidRDefault="003E5BF5" w:rsidP="00382E46">
      <w:pPr>
        <w:pStyle w:val="ListParagraph"/>
        <w:numPr>
          <w:ilvl w:val="1"/>
          <w:numId w:val="4"/>
        </w:numPr>
        <w:tabs>
          <w:tab w:val="left" w:pos="1560"/>
        </w:tabs>
        <w:spacing w:line="360" w:lineRule="auto"/>
        <w:rPr>
          <w:rFonts w:ascii="Arial" w:hAnsi="Arial" w:cs="Arial"/>
          <w:sz w:val="28"/>
          <w:szCs w:val="28"/>
        </w:rPr>
      </w:pPr>
      <w:r w:rsidRPr="00EB0899">
        <w:rPr>
          <w:rFonts w:ascii="Arial" w:hAnsi="Arial" w:cs="Arial"/>
          <w:sz w:val="28"/>
          <w:szCs w:val="28"/>
        </w:rPr>
        <w:t>a non-derivative for which the entity is or may be obliged to receive a variable number of the entity’s own equity instruments; or</w:t>
      </w:r>
    </w:p>
    <w:p w14:paraId="7054E855" w14:textId="77777777" w:rsidR="003E5BF5" w:rsidRPr="00EB0899" w:rsidRDefault="003E5BF5" w:rsidP="00382E46">
      <w:pPr>
        <w:pStyle w:val="ListParagraph"/>
        <w:numPr>
          <w:ilvl w:val="1"/>
          <w:numId w:val="4"/>
        </w:numPr>
        <w:tabs>
          <w:tab w:val="left" w:pos="1560"/>
        </w:tabs>
        <w:spacing w:line="360" w:lineRule="auto"/>
        <w:rPr>
          <w:rFonts w:ascii="Arial" w:hAnsi="Arial" w:cs="Arial"/>
          <w:sz w:val="28"/>
          <w:szCs w:val="28"/>
        </w:rPr>
      </w:pPr>
      <w:r w:rsidRPr="00EB0899">
        <w:rPr>
          <w:rFonts w:ascii="Arial" w:hAnsi="Arial" w:cs="Arial"/>
          <w:sz w:val="28"/>
          <w:szCs w:val="28"/>
        </w:rPr>
        <w:t>a derivative that will or may be settled other than by the exchange of a fixed amount of cash or another financial asset for a fixed number of the entity’s own equity instruments.</w:t>
      </w:r>
    </w:p>
    <w:p w14:paraId="0461F593" w14:textId="77777777" w:rsidR="003E5BF5" w:rsidRPr="007444F0" w:rsidRDefault="003E5BF5" w:rsidP="000652C0">
      <w:pPr>
        <w:pStyle w:val="aaaboldheadingfinance"/>
      </w:pPr>
      <w:r w:rsidRPr="007444F0">
        <w:t>Financial instrument</w:t>
      </w:r>
    </w:p>
    <w:p w14:paraId="3D16C312" w14:textId="77777777" w:rsidR="003E5BF5" w:rsidRPr="007444F0" w:rsidRDefault="003E5BF5" w:rsidP="00EB0899">
      <w:pPr>
        <w:pStyle w:val="aaatyping"/>
      </w:pPr>
      <w:r w:rsidRPr="007444F0">
        <w:t>A financial instrument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w:t>
      </w:r>
      <w:r>
        <w:t>.</w:t>
      </w:r>
    </w:p>
    <w:p w14:paraId="2D466BFF" w14:textId="77777777" w:rsidR="003E5BF5" w:rsidRPr="007444F0" w:rsidRDefault="003E5BF5" w:rsidP="000652C0">
      <w:pPr>
        <w:pStyle w:val="aaaboldheadingfinance"/>
      </w:pPr>
      <w:r w:rsidRPr="007444F0">
        <w:t>Financial liability</w:t>
      </w:r>
    </w:p>
    <w:p w14:paraId="01A9E30B" w14:textId="77777777" w:rsidR="003E5BF5" w:rsidRPr="00EB0899" w:rsidRDefault="003E5BF5" w:rsidP="00DE1921">
      <w:pPr>
        <w:rPr>
          <w:rFonts w:ascii="Arial" w:hAnsi="Arial" w:cs="Arial"/>
          <w:sz w:val="28"/>
          <w:szCs w:val="28"/>
        </w:rPr>
      </w:pPr>
      <w:r w:rsidRPr="00EB0899">
        <w:rPr>
          <w:rFonts w:ascii="Arial" w:hAnsi="Arial" w:cs="Arial"/>
          <w:sz w:val="28"/>
          <w:szCs w:val="28"/>
        </w:rPr>
        <w:t>A financial liability is any liability that is:</w:t>
      </w:r>
    </w:p>
    <w:p w14:paraId="6D77C275" w14:textId="77777777" w:rsidR="003E5BF5" w:rsidRPr="00EB0899" w:rsidRDefault="003E5BF5" w:rsidP="00D806EB">
      <w:pPr>
        <w:pStyle w:val="ListParagraph"/>
        <w:numPr>
          <w:ilvl w:val="0"/>
          <w:numId w:val="6"/>
        </w:numPr>
        <w:spacing w:line="360" w:lineRule="auto"/>
        <w:rPr>
          <w:rFonts w:ascii="Arial" w:hAnsi="Arial" w:cs="Arial"/>
          <w:sz w:val="28"/>
          <w:szCs w:val="28"/>
        </w:rPr>
      </w:pPr>
      <w:r w:rsidRPr="00EB0899">
        <w:rPr>
          <w:rFonts w:ascii="Arial" w:hAnsi="Arial" w:cs="Arial"/>
          <w:sz w:val="28"/>
          <w:szCs w:val="28"/>
        </w:rPr>
        <w:t>A contractual or statutory obligation:</w:t>
      </w:r>
    </w:p>
    <w:p w14:paraId="266BFBD1" w14:textId="77777777" w:rsidR="003E5BF5" w:rsidRPr="00EB0899" w:rsidRDefault="003E5BF5" w:rsidP="00D806EB">
      <w:pPr>
        <w:pStyle w:val="ListParagraph"/>
        <w:numPr>
          <w:ilvl w:val="1"/>
          <w:numId w:val="4"/>
        </w:numPr>
        <w:tabs>
          <w:tab w:val="left" w:pos="1560"/>
        </w:tabs>
        <w:spacing w:line="360" w:lineRule="auto"/>
        <w:rPr>
          <w:rFonts w:ascii="Arial" w:hAnsi="Arial" w:cs="Arial"/>
          <w:sz w:val="28"/>
          <w:szCs w:val="28"/>
        </w:rPr>
      </w:pPr>
      <w:r w:rsidRPr="00EB0899">
        <w:rPr>
          <w:rFonts w:ascii="Arial" w:hAnsi="Arial" w:cs="Arial"/>
          <w:sz w:val="28"/>
          <w:szCs w:val="28"/>
        </w:rPr>
        <w:lastRenderedPageBreak/>
        <w:t>to deliver cash or another financial asset to another entity; or</w:t>
      </w:r>
    </w:p>
    <w:p w14:paraId="17A842F1" w14:textId="77777777" w:rsidR="003E5BF5" w:rsidRPr="00EB0899" w:rsidRDefault="003E5BF5" w:rsidP="00D806EB">
      <w:pPr>
        <w:pStyle w:val="ListParagraph"/>
        <w:numPr>
          <w:ilvl w:val="1"/>
          <w:numId w:val="4"/>
        </w:numPr>
        <w:tabs>
          <w:tab w:val="left" w:pos="1560"/>
        </w:tabs>
        <w:spacing w:line="360" w:lineRule="auto"/>
        <w:rPr>
          <w:rFonts w:ascii="Arial" w:hAnsi="Arial" w:cs="Arial"/>
          <w:sz w:val="28"/>
          <w:szCs w:val="28"/>
        </w:rPr>
      </w:pPr>
      <w:r w:rsidRPr="00EB0899">
        <w:rPr>
          <w:rFonts w:ascii="Arial" w:hAnsi="Arial" w:cs="Arial"/>
          <w:sz w:val="28"/>
          <w:szCs w:val="28"/>
        </w:rPr>
        <w:t>to exchange financial assets or financial liabilities with another entity under conditions that are potentially unfavourable to the entity; or</w:t>
      </w:r>
    </w:p>
    <w:p w14:paraId="2D1CCC01" w14:textId="77777777" w:rsidR="003E5BF5" w:rsidRPr="00EB0899" w:rsidRDefault="003E5BF5" w:rsidP="00D806EB">
      <w:pPr>
        <w:pStyle w:val="ListParagraph"/>
        <w:numPr>
          <w:ilvl w:val="0"/>
          <w:numId w:val="6"/>
        </w:numPr>
        <w:spacing w:line="360" w:lineRule="auto"/>
        <w:ind w:left="709" w:hanging="425"/>
        <w:rPr>
          <w:rFonts w:ascii="Arial" w:hAnsi="Arial" w:cs="Arial"/>
          <w:sz w:val="28"/>
          <w:szCs w:val="28"/>
        </w:rPr>
      </w:pPr>
      <w:r w:rsidRPr="00EB0899">
        <w:rPr>
          <w:rFonts w:ascii="Arial" w:hAnsi="Arial" w:cs="Arial"/>
          <w:sz w:val="28"/>
          <w:szCs w:val="28"/>
        </w:rPr>
        <w:t>A contract that will or may be settled in the entity's own equity instruments and is:</w:t>
      </w:r>
    </w:p>
    <w:p w14:paraId="44CAFB89" w14:textId="77777777" w:rsidR="003E5BF5" w:rsidRPr="00EB0899" w:rsidRDefault="003E5BF5" w:rsidP="00D806EB">
      <w:pPr>
        <w:pStyle w:val="ListParagraph"/>
        <w:numPr>
          <w:ilvl w:val="1"/>
          <w:numId w:val="4"/>
        </w:numPr>
        <w:tabs>
          <w:tab w:val="left" w:pos="1560"/>
        </w:tabs>
        <w:spacing w:line="360" w:lineRule="auto"/>
        <w:rPr>
          <w:rFonts w:ascii="Arial" w:hAnsi="Arial" w:cs="Arial"/>
          <w:sz w:val="28"/>
          <w:szCs w:val="28"/>
        </w:rPr>
      </w:pPr>
      <w:r w:rsidRPr="00EB0899">
        <w:rPr>
          <w:rFonts w:ascii="Arial" w:hAnsi="Arial" w:cs="Arial"/>
          <w:sz w:val="28"/>
          <w:szCs w:val="28"/>
        </w:rPr>
        <w:t>a non-derivative for which the entity is or may be obliged to deliver a variable number of the entity's own equity instruments; or</w:t>
      </w:r>
    </w:p>
    <w:p w14:paraId="3A2080F3" w14:textId="77777777" w:rsidR="003E5BF5" w:rsidRPr="00EB0899" w:rsidRDefault="003E5BF5" w:rsidP="00D806EB">
      <w:pPr>
        <w:pStyle w:val="ListParagraph"/>
        <w:numPr>
          <w:ilvl w:val="1"/>
          <w:numId w:val="4"/>
        </w:numPr>
        <w:tabs>
          <w:tab w:val="left" w:pos="1560"/>
        </w:tabs>
        <w:spacing w:line="360" w:lineRule="auto"/>
        <w:rPr>
          <w:rFonts w:ascii="Arial" w:hAnsi="Arial" w:cs="Arial"/>
          <w:sz w:val="28"/>
          <w:szCs w:val="28"/>
        </w:rPr>
      </w:pPr>
      <w:r w:rsidRPr="00EB0899">
        <w:rPr>
          <w:rFonts w:ascii="Arial" w:hAnsi="Arial" w:cs="Arial"/>
          <w:sz w:val="28"/>
          <w:szCs w:val="28"/>
        </w:rPr>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0BFFBD60" w14:textId="77777777" w:rsidR="003E5BF5" w:rsidRPr="007444F0" w:rsidRDefault="003E5BF5" w:rsidP="000652C0">
      <w:pPr>
        <w:pStyle w:val="aaaboldheadingfinance"/>
      </w:pPr>
      <w:r w:rsidRPr="007444F0">
        <w:t>Grants and other transfers</w:t>
      </w:r>
    </w:p>
    <w:p w14:paraId="6D10D035" w14:textId="77777777" w:rsidR="003E5BF5" w:rsidRPr="007444F0" w:rsidRDefault="003E5BF5" w:rsidP="0002733C">
      <w:pPr>
        <w:pStyle w:val="aaatyping"/>
      </w:pPr>
      <w:r w:rsidRPr="007444F0">
        <w:t>Transactions in which one unit provides goods, services, assets (or extinguishes a liability) or labour to another unit without receiving approximately equal value in return. Grants can either be operating or capital in nature.</w:t>
      </w:r>
    </w:p>
    <w:p w14:paraId="39107445" w14:textId="77777777" w:rsidR="003E5BF5" w:rsidRPr="007444F0" w:rsidRDefault="003E5BF5" w:rsidP="0002733C">
      <w:pPr>
        <w:pStyle w:val="aaatyping"/>
      </w:pPr>
      <w:r w:rsidRPr="007444F0">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 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47494E03" w14:textId="055ACC2C" w:rsidR="003E5BF5" w:rsidRDefault="003E5BF5" w:rsidP="0002733C">
      <w:pPr>
        <w:pStyle w:val="aaatyping"/>
      </w:pPr>
      <w:r w:rsidRPr="007444F0">
        <w:lastRenderedPageBreak/>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31E17117" w14:textId="77777777" w:rsidR="003E5BF5" w:rsidRPr="007444F0" w:rsidRDefault="003E5BF5" w:rsidP="000652C0">
      <w:pPr>
        <w:pStyle w:val="aaaboldheadingfinance"/>
      </w:pPr>
      <w:r w:rsidRPr="007444F0">
        <w:t>General government sector</w:t>
      </w:r>
    </w:p>
    <w:p w14:paraId="30BC517A" w14:textId="77777777" w:rsidR="003E5BF5" w:rsidRPr="007444F0" w:rsidRDefault="003E5BF5" w:rsidP="0002733C">
      <w:pPr>
        <w:pStyle w:val="aaatyping"/>
      </w:pPr>
      <w:r w:rsidRPr="007444F0">
        <w:t>The general government sector comprises all government departments, offices and other bodies engaged in providing services free of charge or at a price significantly below their cost of production. General government services include those which are mainly non-market in nature, those which are largely for collective consumption by the community and those which involve the transfer or redistribution of income. These services are financed mainly through taxes, or other compulsory levies and user charges.</w:t>
      </w:r>
    </w:p>
    <w:p w14:paraId="438E9228" w14:textId="77777777" w:rsidR="003E5BF5" w:rsidRPr="007444F0" w:rsidRDefault="003E5BF5" w:rsidP="000652C0">
      <w:pPr>
        <w:pStyle w:val="aaaboldheadingfinance"/>
      </w:pPr>
      <w:r w:rsidRPr="007444F0">
        <w:t>Grants for on-passing</w:t>
      </w:r>
    </w:p>
    <w:p w14:paraId="4F89E465" w14:textId="77777777" w:rsidR="003E5BF5" w:rsidRPr="007444F0" w:rsidRDefault="003E5BF5" w:rsidP="0002733C">
      <w:pPr>
        <w:pStyle w:val="aaatyping"/>
      </w:pPr>
      <w:r w:rsidRPr="007444F0">
        <w:t>All grants paid to one institutional sector (e.g. a state general government) to be passed on to another institutional sector (e.g. local government or a private non-profit institution).</w:t>
      </w:r>
    </w:p>
    <w:p w14:paraId="780BC4B0" w14:textId="77777777" w:rsidR="003E5BF5" w:rsidRPr="007444F0" w:rsidRDefault="003E5BF5" w:rsidP="000652C0">
      <w:pPr>
        <w:pStyle w:val="aaaboldheadingfinance"/>
      </w:pPr>
      <w:r w:rsidRPr="007444F0">
        <w:t>Infrastructure systems</w:t>
      </w:r>
    </w:p>
    <w:p w14:paraId="76859782" w14:textId="77777777" w:rsidR="003E5BF5" w:rsidRPr="007444F0" w:rsidRDefault="003E5BF5" w:rsidP="0002733C">
      <w:pPr>
        <w:pStyle w:val="aaatyping"/>
      </w:pPr>
      <w:r w:rsidRPr="007444F0">
        <w:t xml:space="preserve">Infrastructure systems provide essential services used in the delivery of final services or products. They are generally a complex interconnected network of individual assets and mainly include sewerage systems, water storage and supply systems, ports, utilities and public transport assets owned by the </w:t>
      </w:r>
      <w:r>
        <w:t>department</w:t>
      </w:r>
      <w:r w:rsidRPr="007444F0">
        <w:t>.</w:t>
      </w:r>
    </w:p>
    <w:p w14:paraId="7E1254ED" w14:textId="77777777" w:rsidR="003E5BF5" w:rsidRPr="007444F0" w:rsidRDefault="003E5BF5" w:rsidP="000652C0">
      <w:pPr>
        <w:pStyle w:val="aaaboldheadingfinance"/>
      </w:pPr>
      <w:r w:rsidRPr="007444F0">
        <w:t>Intangible produced assets</w:t>
      </w:r>
    </w:p>
    <w:p w14:paraId="20510E4C" w14:textId="77777777" w:rsidR="003E5BF5" w:rsidRPr="007444F0" w:rsidRDefault="003E5BF5" w:rsidP="0002733C">
      <w:pPr>
        <w:pStyle w:val="aaatyping"/>
      </w:pPr>
      <w:r w:rsidRPr="007444F0">
        <w:t>Refer to produced assets in this glossary.</w:t>
      </w:r>
    </w:p>
    <w:p w14:paraId="609E395F" w14:textId="77777777" w:rsidR="003E5BF5" w:rsidRPr="007444F0" w:rsidRDefault="003E5BF5" w:rsidP="000652C0">
      <w:pPr>
        <w:pStyle w:val="aaaboldheadingfinance"/>
      </w:pPr>
      <w:r w:rsidRPr="007444F0">
        <w:t>Intangible non</w:t>
      </w:r>
      <w:r w:rsidRPr="007444F0">
        <w:rPr>
          <w:rFonts w:ascii="Times New Roman" w:hAnsi="Times New Roman" w:cs="Times New Roman"/>
        </w:rPr>
        <w:t>‑</w:t>
      </w:r>
      <w:r w:rsidRPr="007444F0">
        <w:t>produced assets</w:t>
      </w:r>
    </w:p>
    <w:p w14:paraId="310BE175" w14:textId="77777777" w:rsidR="003E5BF5" w:rsidRPr="007444F0" w:rsidRDefault="003E5BF5" w:rsidP="0002733C">
      <w:pPr>
        <w:pStyle w:val="aaatyping"/>
      </w:pPr>
      <w:r w:rsidRPr="007444F0">
        <w:lastRenderedPageBreak/>
        <w:t>Refer to non</w:t>
      </w:r>
      <w:r w:rsidRPr="007444F0">
        <w:rPr>
          <w:rFonts w:ascii="Times New Roman" w:hAnsi="Times New Roman" w:cs="Times New Roman"/>
        </w:rPr>
        <w:t>‑</w:t>
      </w:r>
      <w:r w:rsidRPr="007444F0">
        <w:t>produced asset in this glossary.</w:t>
      </w:r>
    </w:p>
    <w:p w14:paraId="2FD50738" w14:textId="77777777" w:rsidR="003E5BF5" w:rsidRPr="007444F0" w:rsidRDefault="003E5BF5" w:rsidP="000652C0">
      <w:pPr>
        <w:pStyle w:val="aaaboldheadingfinance"/>
      </w:pPr>
      <w:r w:rsidRPr="007444F0">
        <w:t>Net acquisition of non-financial assets (from transactions)</w:t>
      </w:r>
    </w:p>
    <w:p w14:paraId="1A82AE49" w14:textId="77777777" w:rsidR="003E5BF5" w:rsidRPr="007444F0" w:rsidRDefault="003E5BF5" w:rsidP="0002733C">
      <w:pPr>
        <w:pStyle w:val="aaatyping"/>
      </w:pPr>
      <w:r w:rsidRPr="007444F0">
        <w:t>Purchases (and other acquisitions) of non-financial assets less sales (or disposals) of non-financial assets less depreciation plus changes in inventories and other movements in non-financial assets. Includes only those increases or decreases in non</w:t>
      </w:r>
      <w:r>
        <w:t>-</w:t>
      </w:r>
      <w:r w:rsidRPr="007444F0">
        <w:t>financial assets resulting from transactions and therefore excludes write offs, impairment write-downs and revaluations.</w:t>
      </w:r>
    </w:p>
    <w:p w14:paraId="2264F02D" w14:textId="77777777" w:rsidR="003E5BF5" w:rsidRPr="007444F0" w:rsidRDefault="003E5BF5" w:rsidP="000652C0">
      <w:pPr>
        <w:pStyle w:val="aaaboldheadingfinance"/>
      </w:pPr>
      <w:r w:rsidRPr="007444F0">
        <w:t>Net result</w:t>
      </w:r>
    </w:p>
    <w:p w14:paraId="155EB708" w14:textId="77777777" w:rsidR="003E5BF5" w:rsidRPr="007444F0" w:rsidRDefault="003E5BF5" w:rsidP="0002733C">
      <w:pPr>
        <w:pStyle w:val="aaatyping"/>
      </w:pPr>
      <w:r w:rsidRPr="007444F0">
        <w:t>Net result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6DA068B9" w14:textId="77777777" w:rsidR="003E5BF5" w:rsidRPr="007444F0" w:rsidRDefault="003E5BF5" w:rsidP="000652C0">
      <w:pPr>
        <w:pStyle w:val="aaaboldheadingfinance"/>
      </w:pPr>
      <w:r w:rsidRPr="007444F0">
        <w:t>Net result from transactions/net operating balance</w:t>
      </w:r>
    </w:p>
    <w:p w14:paraId="3DDE719A" w14:textId="7BC65DB6" w:rsidR="00911302" w:rsidRDefault="003E5BF5" w:rsidP="0002733C">
      <w:pPr>
        <w:pStyle w:val="aaatyping"/>
      </w:pPr>
      <w:r w:rsidRPr="007444F0">
        <w:t>Net result from transactions or net operating balance 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r w:rsidR="00911302">
        <w:br w:type="page"/>
      </w:r>
    </w:p>
    <w:p w14:paraId="19B8E61B" w14:textId="77777777" w:rsidR="003E5BF5" w:rsidRPr="007444F0" w:rsidRDefault="003E5BF5" w:rsidP="000652C0">
      <w:pPr>
        <w:pStyle w:val="aaaboldheadingfinance"/>
      </w:pPr>
      <w:r w:rsidRPr="007444F0">
        <w:lastRenderedPageBreak/>
        <w:t>Net worth</w:t>
      </w:r>
    </w:p>
    <w:p w14:paraId="65606662" w14:textId="77777777" w:rsidR="003E5BF5" w:rsidRPr="007444F0" w:rsidRDefault="003E5BF5" w:rsidP="00536B82">
      <w:pPr>
        <w:pStyle w:val="aaatyping"/>
      </w:pPr>
      <w:r w:rsidRPr="007444F0">
        <w:t>Assets less liabilities, which is an economic measure of wealth.</w:t>
      </w:r>
    </w:p>
    <w:p w14:paraId="3E44AFDE" w14:textId="77777777" w:rsidR="003E5BF5" w:rsidRPr="007444F0" w:rsidRDefault="003E5BF5" w:rsidP="000652C0">
      <w:pPr>
        <w:pStyle w:val="aaaboldheadingfinance"/>
      </w:pPr>
      <w:r w:rsidRPr="007444F0">
        <w:t>Non-financial assets</w:t>
      </w:r>
    </w:p>
    <w:p w14:paraId="6C1BB18F" w14:textId="77777777" w:rsidR="003E5BF5" w:rsidRPr="007444F0" w:rsidRDefault="003E5BF5" w:rsidP="00536B82">
      <w:pPr>
        <w:pStyle w:val="aaatyping"/>
      </w:pPr>
      <w:r w:rsidRPr="007444F0">
        <w:t>Non-financial assets are all assets that are not ‘financial assets’. It includes inventories, land, buildings, infrastructure, road networks, land under roads, plant and equipment, investment properties, cultural and heritage assets, intangible and biological assets.</w:t>
      </w:r>
    </w:p>
    <w:p w14:paraId="7D77B9F3" w14:textId="77777777" w:rsidR="003E5BF5" w:rsidRPr="007444F0" w:rsidRDefault="003E5BF5" w:rsidP="000652C0">
      <w:pPr>
        <w:pStyle w:val="aaaboldheadingfinance"/>
      </w:pPr>
      <w:r w:rsidRPr="007444F0">
        <w:t>Non-produced assets</w:t>
      </w:r>
    </w:p>
    <w:p w14:paraId="50E3D1D2" w14:textId="77777777" w:rsidR="003E5BF5" w:rsidRDefault="003E5BF5" w:rsidP="00536B82">
      <w:pPr>
        <w:pStyle w:val="aaatyping"/>
      </w:pPr>
      <w:r w:rsidRPr="007444F0">
        <w:t>Non-produced assets are assets needed for production that have not themselves been produced. They include land, subsoil assets, and certain intangible assets. Non</w:t>
      </w:r>
      <w:r w:rsidRPr="007444F0">
        <w:rPr>
          <w:rFonts w:ascii="Times New Roman" w:hAnsi="Times New Roman" w:cs="Times New Roman"/>
        </w:rPr>
        <w:t>‑</w:t>
      </w:r>
      <w:r w:rsidRPr="007444F0">
        <w:t>produced intangibles are intangible assets needed for production that have not themselves been produced. They include constructs of society such as patents.</w:t>
      </w:r>
    </w:p>
    <w:p w14:paraId="62C02CD8" w14:textId="77777777" w:rsidR="00710031" w:rsidRDefault="003E5BF5" w:rsidP="00911302">
      <w:pPr>
        <w:pStyle w:val="aaaboldheadingfinance"/>
      </w:pPr>
      <w:r w:rsidRPr="007444F0">
        <w:t>Other economic flows - other comprehensive income</w:t>
      </w:r>
    </w:p>
    <w:p w14:paraId="2263A1F5" w14:textId="7E8C2DA6" w:rsidR="003E5BF5" w:rsidRPr="007444F0" w:rsidRDefault="003E5BF5" w:rsidP="00536B82">
      <w:pPr>
        <w:pStyle w:val="aaatyping"/>
      </w:pPr>
      <w:r w:rsidRPr="007444F0">
        <w:t>Other economic flows - other comprehensive income comprises items (including reclassification adjustments) that are not recognised in net result as required or permitted by other Australian Accounting Standards.</w:t>
      </w:r>
    </w:p>
    <w:p w14:paraId="6348EE99" w14:textId="77777777" w:rsidR="003E5BF5" w:rsidRPr="007444F0" w:rsidRDefault="003E5BF5" w:rsidP="00536B82">
      <w:pPr>
        <w:pStyle w:val="aaatyping"/>
      </w:pPr>
      <w:r w:rsidRPr="007444F0">
        <w:t>The components of other economic flows - other comprehensive income include:</w:t>
      </w:r>
    </w:p>
    <w:p w14:paraId="7FF63F11" w14:textId="77777777" w:rsidR="003E5BF5" w:rsidRPr="00EB0899" w:rsidRDefault="003E5BF5" w:rsidP="006667CC">
      <w:pPr>
        <w:pStyle w:val="ListParagraph"/>
        <w:numPr>
          <w:ilvl w:val="0"/>
          <w:numId w:val="9"/>
        </w:numPr>
        <w:spacing w:line="360" w:lineRule="auto"/>
        <w:rPr>
          <w:rFonts w:ascii="Arial" w:hAnsi="Arial" w:cs="Arial"/>
          <w:sz w:val="28"/>
          <w:szCs w:val="28"/>
        </w:rPr>
      </w:pPr>
      <w:r w:rsidRPr="00EB0899">
        <w:rPr>
          <w:rFonts w:ascii="Arial" w:hAnsi="Arial" w:cs="Arial"/>
          <w:sz w:val="28"/>
          <w:szCs w:val="28"/>
        </w:rPr>
        <w:t>changes in physical asset revaluation surplus</w:t>
      </w:r>
    </w:p>
    <w:p w14:paraId="24DE6710" w14:textId="77777777" w:rsidR="003E5BF5" w:rsidRPr="00EB0899" w:rsidRDefault="003E5BF5" w:rsidP="006667CC">
      <w:pPr>
        <w:pStyle w:val="ListParagraph"/>
        <w:numPr>
          <w:ilvl w:val="0"/>
          <w:numId w:val="9"/>
        </w:numPr>
        <w:spacing w:line="360" w:lineRule="auto"/>
        <w:ind w:left="709" w:hanging="709"/>
        <w:rPr>
          <w:rFonts w:ascii="Arial" w:hAnsi="Arial" w:cs="Arial"/>
          <w:sz w:val="28"/>
          <w:szCs w:val="28"/>
        </w:rPr>
      </w:pPr>
      <w:r w:rsidRPr="00EB0899">
        <w:rPr>
          <w:rFonts w:ascii="Arial" w:hAnsi="Arial" w:cs="Arial"/>
          <w:sz w:val="28"/>
          <w:szCs w:val="28"/>
        </w:rPr>
        <w:t>share of net movement in revaluation surplus of associates and joint ventures</w:t>
      </w:r>
    </w:p>
    <w:p w14:paraId="03249C45" w14:textId="77777777" w:rsidR="003E5BF5" w:rsidRPr="00EB0899" w:rsidRDefault="003E5BF5" w:rsidP="006667CC">
      <w:pPr>
        <w:pStyle w:val="ListParagraph"/>
        <w:numPr>
          <w:ilvl w:val="0"/>
          <w:numId w:val="9"/>
        </w:numPr>
        <w:spacing w:line="360" w:lineRule="auto"/>
        <w:ind w:left="709" w:hanging="709"/>
        <w:rPr>
          <w:rFonts w:ascii="Arial" w:hAnsi="Arial" w:cs="Arial"/>
          <w:sz w:val="28"/>
          <w:szCs w:val="28"/>
        </w:rPr>
      </w:pPr>
      <w:r w:rsidRPr="00EB0899">
        <w:rPr>
          <w:rFonts w:ascii="Arial" w:hAnsi="Arial" w:cs="Arial"/>
          <w:sz w:val="28"/>
          <w:szCs w:val="28"/>
        </w:rPr>
        <w:t>gains and losses on remeasuring available-for-sale financial assets.</w:t>
      </w:r>
    </w:p>
    <w:p w14:paraId="2E8BB32C" w14:textId="77777777" w:rsidR="003E5BF5" w:rsidRPr="007444F0" w:rsidRDefault="003E5BF5" w:rsidP="000652C0">
      <w:pPr>
        <w:pStyle w:val="aaaboldheadingfinance"/>
      </w:pPr>
      <w:r w:rsidRPr="007444F0">
        <w:lastRenderedPageBreak/>
        <w:t>Produced assets</w:t>
      </w:r>
    </w:p>
    <w:p w14:paraId="406569FE" w14:textId="77777777" w:rsidR="003E5BF5" w:rsidRPr="007444F0" w:rsidRDefault="003E5BF5" w:rsidP="00536B82">
      <w:pPr>
        <w:pStyle w:val="aaatyping"/>
      </w:pPr>
      <w:r w:rsidRPr="007444F0">
        <w:t>Produced assets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0D9FF8F0" w14:textId="77777777" w:rsidR="003E5BF5" w:rsidRPr="007444F0" w:rsidRDefault="003E5BF5" w:rsidP="000652C0">
      <w:pPr>
        <w:pStyle w:val="aaaboldheadingfinance"/>
      </w:pPr>
      <w:r w:rsidRPr="007444F0">
        <w:t>Sale of goods and services</w:t>
      </w:r>
    </w:p>
    <w:p w14:paraId="4D1DC37D" w14:textId="77777777" w:rsidR="003E5BF5" w:rsidRPr="007444F0" w:rsidRDefault="003E5BF5" w:rsidP="00536B82">
      <w:pPr>
        <w:pStyle w:val="aaatyping"/>
      </w:pPr>
      <w:r w:rsidRPr="007444F0">
        <w:t>Refers to income from the direct provision of goods and services and includes fees and charges for services rendered, sales of goods and services, fees from regulatory services, work done as an agent for private enterprises. It also includes rental income under operating leases and on produced assets such as buildings and entertainment but excludes rent income from the use of non-produced assets such as land. User charges include sale of goods and services income.</w:t>
      </w:r>
    </w:p>
    <w:p w14:paraId="09E16403" w14:textId="77777777" w:rsidR="003E5BF5" w:rsidRPr="007444F0" w:rsidRDefault="003E5BF5" w:rsidP="000652C0">
      <w:pPr>
        <w:pStyle w:val="aaaboldheadingfinance"/>
      </w:pPr>
      <w:r w:rsidRPr="007444F0">
        <w:t>Supplies and services</w:t>
      </w:r>
    </w:p>
    <w:p w14:paraId="26C67326" w14:textId="77777777" w:rsidR="003E5BF5" w:rsidRPr="007444F0" w:rsidRDefault="003E5BF5" w:rsidP="00536B82">
      <w:pPr>
        <w:pStyle w:val="aaatyping"/>
      </w:pPr>
      <w:r w:rsidRPr="007444F0">
        <w:t xml:space="preserve">Supplies and services generally represent cost of goods sold and the day-to-day running costs, including maintenance costs incurred in the normal operations of the department. </w:t>
      </w:r>
    </w:p>
    <w:p w14:paraId="263C4B27" w14:textId="77777777" w:rsidR="003E5BF5" w:rsidRPr="007444F0" w:rsidRDefault="003E5BF5" w:rsidP="000652C0">
      <w:pPr>
        <w:pStyle w:val="aaaboldheadingfinance"/>
      </w:pPr>
      <w:r w:rsidRPr="007444F0">
        <w:t>Transactions</w:t>
      </w:r>
    </w:p>
    <w:p w14:paraId="721BE28B" w14:textId="77777777" w:rsidR="003E5BF5" w:rsidRPr="007444F0" w:rsidRDefault="003E5BF5" w:rsidP="00536B82">
      <w:pPr>
        <w:pStyle w:val="aaatyping"/>
      </w:pPr>
      <w:r w:rsidRPr="007444F0">
        <w:t xml:space="preserve">Transactions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w:t>
      </w:r>
      <w:r w:rsidRPr="007444F0">
        <w:lastRenderedPageBreak/>
        <w:t xml:space="preserve">final consideration is cash. In simple terms, transactions arise from the policy decisions of the government. </w:t>
      </w:r>
    </w:p>
    <w:p w14:paraId="32CEE45C" w14:textId="77777777" w:rsidR="003E5BF5" w:rsidRPr="007444F0" w:rsidRDefault="003E5BF5" w:rsidP="00610F5F">
      <w:pPr>
        <w:pStyle w:val="Heading2"/>
        <w:numPr>
          <w:ilvl w:val="1"/>
          <w:numId w:val="22"/>
        </w:numPr>
      </w:pPr>
      <w:bookmarkStart w:id="770" w:name="_Style_conventions"/>
      <w:bookmarkStart w:id="771" w:name="_Toc522177865"/>
      <w:bookmarkStart w:id="772" w:name="_Toc529197950"/>
      <w:bookmarkStart w:id="773" w:name="_Toc529198015"/>
      <w:bookmarkStart w:id="774" w:name="_Toc530386212"/>
      <w:bookmarkStart w:id="775" w:name="_Toc9344388"/>
      <w:bookmarkStart w:id="776" w:name="_Toc53420707"/>
      <w:bookmarkStart w:id="777" w:name="_Toc53420985"/>
      <w:bookmarkEnd w:id="770"/>
      <w:r w:rsidRPr="007444F0">
        <w:t>Style conventions</w:t>
      </w:r>
      <w:bookmarkEnd w:id="771"/>
      <w:bookmarkEnd w:id="772"/>
      <w:bookmarkEnd w:id="773"/>
      <w:bookmarkEnd w:id="774"/>
      <w:bookmarkEnd w:id="775"/>
      <w:bookmarkEnd w:id="776"/>
      <w:bookmarkEnd w:id="777"/>
    </w:p>
    <w:p w14:paraId="461B6C9F" w14:textId="77777777" w:rsidR="003E5BF5" w:rsidRPr="007444F0" w:rsidRDefault="003E5BF5" w:rsidP="00536B82">
      <w:pPr>
        <w:pStyle w:val="aaatyping"/>
      </w:pPr>
      <w:r w:rsidRPr="007444F0">
        <w:t>Figures in the tables and in the text have been rounded. Discrepancies in tables between totals and sums of components reflect rounding. Percentage variations in all tables are based on the underlying unrounded amounts.</w:t>
      </w:r>
    </w:p>
    <w:p w14:paraId="2522E961" w14:textId="77777777" w:rsidR="003E5BF5" w:rsidRPr="007444F0" w:rsidRDefault="003E5BF5" w:rsidP="00536B82">
      <w:pPr>
        <w:pStyle w:val="aaatyping"/>
      </w:pPr>
      <w:r w:rsidRPr="007444F0">
        <w:t>The notation used in the tables is as follows:</w:t>
      </w:r>
    </w:p>
    <w:tbl>
      <w:tblPr>
        <w:tblStyle w:val="PlainTable2"/>
        <w:tblW w:w="9072" w:type="dxa"/>
        <w:tblBorders>
          <w:top w:val="single" w:sz="4" w:space="0" w:color="00BAC0"/>
          <w:bottom w:val="single" w:sz="4" w:space="0" w:color="00BAC0"/>
          <w:insideH w:val="dashed" w:sz="4" w:space="0" w:color="00BAC0"/>
        </w:tblBorders>
        <w:tblLook w:val="04A0" w:firstRow="1" w:lastRow="0" w:firstColumn="1" w:lastColumn="0" w:noHBand="0" w:noVBand="1"/>
      </w:tblPr>
      <w:tblGrid>
        <w:gridCol w:w="4536"/>
        <w:gridCol w:w="4536"/>
      </w:tblGrid>
      <w:tr w:rsidR="003E5BF5" w:rsidRPr="007F3685" w14:paraId="0E652B01" w14:textId="77777777" w:rsidTr="00DE19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475FEB01" w14:textId="77777777" w:rsidR="003E5BF5" w:rsidRPr="007F3685" w:rsidRDefault="003E5BF5" w:rsidP="00DE1921">
            <w:pPr>
              <w:rPr>
                <w:rFonts w:ascii="Arial" w:hAnsi="Arial" w:cs="Arial"/>
                <w:b w:val="0"/>
                <w:sz w:val="24"/>
                <w:szCs w:val="24"/>
              </w:rPr>
            </w:pPr>
            <w:r w:rsidRPr="007F3685">
              <w:rPr>
                <w:rFonts w:ascii="Arial" w:hAnsi="Arial" w:cs="Arial"/>
                <w:b w:val="0"/>
                <w:sz w:val="24"/>
                <w:szCs w:val="24"/>
              </w:rPr>
              <w:t>-</w:t>
            </w:r>
          </w:p>
        </w:tc>
        <w:tc>
          <w:tcPr>
            <w:tcW w:w="4536" w:type="dxa"/>
            <w:vAlign w:val="center"/>
          </w:tcPr>
          <w:p w14:paraId="45C76B1E" w14:textId="77777777" w:rsidR="003E5BF5" w:rsidRPr="007F3685" w:rsidRDefault="003E5BF5" w:rsidP="00DE1921">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7F3685">
              <w:rPr>
                <w:rFonts w:ascii="Arial" w:hAnsi="Arial" w:cs="Arial"/>
                <w:b w:val="0"/>
                <w:sz w:val="24"/>
                <w:szCs w:val="24"/>
              </w:rPr>
              <w:t>zero, or rounded to zero</w:t>
            </w:r>
          </w:p>
        </w:tc>
      </w:tr>
      <w:tr w:rsidR="003E5BF5" w:rsidRPr="007F3685" w14:paraId="4DCCB7D2" w14:textId="77777777" w:rsidTr="00DE19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5A2F7551" w14:textId="77777777" w:rsidR="003E5BF5" w:rsidRPr="007F3685" w:rsidRDefault="003E5BF5" w:rsidP="00DE1921">
            <w:pPr>
              <w:rPr>
                <w:rFonts w:ascii="Arial" w:hAnsi="Arial" w:cs="Arial"/>
                <w:b w:val="0"/>
                <w:sz w:val="24"/>
                <w:szCs w:val="24"/>
              </w:rPr>
            </w:pPr>
            <w:r w:rsidRPr="007F3685">
              <w:rPr>
                <w:rFonts w:ascii="Arial" w:hAnsi="Arial" w:cs="Arial"/>
                <w:b w:val="0"/>
                <w:sz w:val="24"/>
                <w:szCs w:val="24"/>
              </w:rPr>
              <w:t>(</w:t>
            </w:r>
            <w:proofErr w:type="spellStart"/>
            <w:r w:rsidRPr="007F3685">
              <w:rPr>
                <w:rFonts w:ascii="Arial" w:hAnsi="Arial" w:cs="Arial"/>
                <w:b w:val="0"/>
                <w:sz w:val="24"/>
                <w:szCs w:val="24"/>
              </w:rPr>
              <w:t>xxx.x</w:t>
            </w:r>
            <w:proofErr w:type="spellEnd"/>
            <w:r w:rsidRPr="007F3685">
              <w:rPr>
                <w:rFonts w:ascii="Arial" w:hAnsi="Arial" w:cs="Arial"/>
                <w:b w:val="0"/>
                <w:sz w:val="24"/>
                <w:szCs w:val="24"/>
              </w:rPr>
              <w:t>)</w:t>
            </w:r>
          </w:p>
        </w:tc>
        <w:tc>
          <w:tcPr>
            <w:tcW w:w="4536" w:type="dxa"/>
            <w:vAlign w:val="center"/>
          </w:tcPr>
          <w:p w14:paraId="69B487DA" w14:textId="77777777" w:rsidR="003E5BF5" w:rsidRPr="007F3685" w:rsidRDefault="003E5BF5" w:rsidP="00DE19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F3685">
              <w:rPr>
                <w:rFonts w:ascii="Arial" w:hAnsi="Arial" w:cs="Arial"/>
                <w:sz w:val="24"/>
                <w:szCs w:val="24"/>
              </w:rPr>
              <w:t>negative numbers</w:t>
            </w:r>
          </w:p>
        </w:tc>
      </w:tr>
      <w:tr w:rsidR="003E5BF5" w:rsidRPr="007F3685" w14:paraId="26686F72" w14:textId="77777777" w:rsidTr="00DE1921">
        <w:trPr>
          <w:trHeight w:val="34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41B4D645" w14:textId="77777777" w:rsidR="003E5BF5" w:rsidRPr="007F3685" w:rsidRDefault="003E5BF5" w:rsidP="00DE1921">
            <w:pPr>
              <w:rPr>
                <w:rFonts w:ascii="Arial" w:hAnsi="Arial" w:cs="Arial"/>
                <w:b w:val="0"/>
                <w:sz w:val="24"/>
                <w:szCs w:val="24"/>
              </w:rPr>
            </w:pPr>
            <w:r w:rsidRPr="007F3685">
              <w:rPr>
                <w:rFonts w:ascii="Arial" w:hAnsi="Arial" w:cs="Arial"/>
                <w:b w:val="0"/>
                <w:sz w:val="24"/>
                <w:szCs w:val="24"/>
              </w:rPr>
              <w:t>20xx</w:t>
            </w:r>
          </w:p>
        </w:tc>
        <w:tc>
          <w:tcPr>
            <w:tcW w:w="4536" w:type="dxa"/>
            <w:vAlign w:val="center"/>
          </w:tcPr>
          <w:p w14:paraId="518CECE2" w14:textId="77777777" w:rsidR="003E5BF5" w:rsidRPr="007F3685" w:rsidRDefault="003E5BF5" w:rsidP="00DE192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F3685">
              <w:rPr>
                <w:rFonts w:ascii="Arial" w:hAnsi="Arial" w:cs="Arial"/>
                <w:sz w:val="24"/>
                <w:szCs w:val="24"/>
              </w:rPr>
              <w:t>year period</w:t>
            </w:r>
          </w:p>
        </w:tc>
      </w:tr>
      <w:tr w:rsidR="003E5BF5" w:rsidRPr="007F3685" w14:paraId="468BFB24" w14:textId="77777777" w:rsidTr="00DE19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0F883DFC" w14:textId="77777777" w:rsidR="003E5BF5" w:rsidRPr="007F3685" w:rsidRDefault="003E5BF5" w:rsidP="00DE1921">
            <w:pPr>
              <w:rPr>
                <w:rFonts w:ascii="Arial" w:hAnsi="Arial" w:cs="Arial"/>
                <w:b w:val="0"/>
                <w:sz w:val="24"/>
                <w:szCs w:val="24"/>
              </w:rPr>
            </w:pPr>
            <w:r w:rsidRPr="007F3685">
              <w:rPr>
                <w:rFonts w:ascii="Arial" w:hAnsi="Arial" w:cs="Arial"/>
                <w:b w:val="0"/>
                <w:sz w:val="24"/>
                <w:szCs w:val="24"/>
              </w:rPr>
              <w:t>20xx</w:t>
            </w:r>
            <w:r w:rsidRPr="007F3685">
              <w:rPr>
                <w:rFonts w:ascii="Cambria Math" w:hAnsi="Cambria Math" w:cs="Cambria Math"/>
                <w:b w:val="0"/>
                <w:sz w:val="24"/>
                <w:szCs w:val="24"/>
              </w:rPr>
              <w:t>‑</w:t>
            </w:r>
            <w:r w:rsidRPr="007F3685">
              <w:rPr>
                <w:rFonts w:ascii="Arial" w:hAnsi="Arial" w:cs="Arial"/>
                <w:b w:val="0"/>
                <w:sz w:val="24"/>
                <w:szCs w:val="24"/>
              </w:rPr>
              <w:t>xx</w:t>
            </w:r>
          </w:p>
        </w:tc>
        <w:tc>
          <w:tcPr>
            <w:tcW w:w="4536" w:type="dxa"/>
            <w:vAlign w:val="center"/>
          </w:tcPr>
          <w:p w14:paraId="78BEB0A7" w14:textId="77777777" w:rsidR="003E5BF5" w:rsidRPr="007F3685" w:rsidRDefault="003E5BF5" w:rsidP="00DE19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F3685">
              <w:rPr>
                <w:rFonts w:ascii="Arial" w:hAnsi="Arial" w:cs="Arial"/>
                <w:sz w:val="24"/>
                <w:szCs w:val="24"/>
              </w:rPr>
              <w:t>year period</w:t>
            </w:r>
          </w:p>
        </w:tc>
      </w:tr>
    </w:tbl>
    <w:p w14:paraId="70E0AD97" w14:textId="0DD95FD7" w:rsidR="00710031" w:rsidRDefault="003E5BF5" w:rsidP="00536B82">
      <w:pPr>
        <w:pStyle w:val="aaatyping"/>
        <w:sectPr w:rsidR="00710031" w:rsidSect="00DE1921">
          <w:footerReference w:type="even" r:id="rId239"/>
          <w:pgSz w:w="11906" w:h="16838"/>
          <w:pgMar w:top="1440" w:right="1440" w:bottom="1440" w:left="1440" w:header="708" w:footer="708" w:gutter="0"/>
          <w:cols w:space="708"/>
          <w:docGrid w:linePitch="360"/>
        </w:sectPr>
      </w:pPr>
      <w:r w:rsidRPr="007444F0">
        <w:t xml:space="preserve">The financial statements and notes are presented based on the illustration for a government department in the </w:t>
      </w:r>
      <w:r>
        <w:rPr>
          <w:i/>
        </w:rPr>
        <w:t>2019-20</w:t>
      </w:r>
      <w:r w:rsidRPr="007444F0">
        <w:t xml:space="preserve"> </w:t>
      </w:r>
      <w:r w:rsidRPr="007444F0">
        <w:rPr>
          <w:i/>
        </w:rPr>
        <w:t>Model Report for Victorian Government Departments</w:t>
      </w:r>
      <w:r>
        <w:t xml:space="preserve">. </w:t>
      </w:r>
      <w:bookmarkEnd w:id="610"/>
    </w:p>
    <w:p w14:paraId="7B4DF7CD" w14:textId="0A4F112F" w:rsidR="002F0831" w:rsidRDefault="002F0831" w:rsidP="008A0170">
      <w:pPr>
        <w:pStyle w:val="Heading1"/>
      </w:pPr>
      <w:bookmarkStart w:id="778" w:name="_Toc55130698"/>
      <w:r w:rsidRPr="00AF5EB7">
        <w:rPr>
          <w:sz w:val="60"/>
          <w:szCs w:val="60"/>
        </w:rPr>
        <w:lastRenderedPageBreak/>
        <w:t xml:space="preserve">Section </w:t>
      </w:r>
      <w:r>
        <w:rPr>
          <w:sz w:val="60"/>
          <w:szCs w:val="60"/>
        </w:rPr>
        <w:t>3</w:t>
      </w:r>
      <w:r w:rsidRPr="00AF5EB7">
        <w:rPr>
          <w:sz w:val="60"/>
          <w:szCs w:val="60"/>
        </w:rPr>
        <w:t xml:space="preserve"> – </w:t>
      </w:r>
      <w:r>
        <w:rPr>
          <w:sz w:val="60"/>
          <w:szCs w:val="60"/>
        </w:rPr>
        <w:t>Non</w:t>
      </w:r>
      <w:r w:rsidR="00325CEE">
        <w:rPr>
          <w:sz w:val="60"/>
          <w:szCs w:val="60"/>
        </w:rPr>
        <w:t>-financial Performance</w:t>
      </w:r>
      <w:bookmarkEnd w:id="778"/>
    </w:p>
    <w:p w14:paraId="280A98BC" w14:textId="70475327" w:rsidR="003E5BF5" w:rsidRPr="000B1197" w:rsidRDefault="003E5BF5" w:rsidP="008A0170">
      <w:pPr>
        <w:pStyle w:val="Heading1"/>
      </w:pPr>
      <w:bookmarkStart w:id="779" w:name="_Toc55130699"/>
      <w:r w:rsidRPr="000B1197">
        <w:t>Portfolio performance reporting – non-financial</w:t>
      </w:r>
      <w:bookmarkEnd w:id="779"/>
    </w:p>
    <w:p w14:paraId="39922184" w14:textId="77777777" w:rsidR="003E5BF5" w:rsidRDefault="003E5BF5" w:rsidP="00536B82">
      <w:pPr>
        <w:pStyle w:val="aaatyping"/>
      </w:pPr>
      <w:bookmarkStart w:id="780" w:name="P336"/>
      <w:r>
        <w:t xml:space="preserve">The </w:t>
      </w:r>
      <w:bookmarkEnd w:id="780"/>
      <w:r>
        <w:t xml:space="preserve">portfolio performance reporting – non-financial section includes the: </w:t>
      </w:r>
    </w:p>
    <w:p w14:paraId="361C9ECB" w14:textId="77777777" w:rsidR="003E5BF5" w:rsidRDefault="003E5BF5" w:rsidP="00536B82">
      <w:pPr>
        <w:pStyle w:val="aaabullet"/>
      </w:pPr>
      <w:r>
        <w:t>Departmental objectives, indicators and outputs</w:t>
      </w:r>
    </w:p>
    <w:p w14:paraId="0304A36C" w14:textId="77777777" w:rsidR="003E5BF5" w:rsidRDefault="003E5BF5" w:rsidP="00536B82">
      <w:pPr>
        <w:pStyle w:val="aaabullet"/>
      </w:pPr>
      <w:r>
        <w:t>Report on progress towards achieving departmental objectives</w:t>
      </w:r>
    </w:p>
    <w:p w14:paraId="63FE1942" w14:textId="77777777" w:rsidR="003E5BF5" w:rsidRDefault="003E5BF5" w:rsidP="00536B82">
      <w:pPr>
        <w:pStyle w:val="aaabullet"/>
      </w:pPr>
      <w:r>
        <w:t>Report on performance against output performance measures.</w:t>
      </w:r>
    </w:p>
    <w:p w14:paraId="261BED92" w14:textId="77777777" w:rsidR="003E5BF5" w:rsidRPr="000B1197" w:rsidDel="00301F40" w:rsidRDefault="003E5BF5" w:rsidP="008A0170">
      <w:pPr>
        <w:pStyle w:val="Heading2"/>
      </w:pPr>
      <w:r w:rsidRPr="000B1197" w:rsidDel="00301F40">
        <w:t>Departmental objectives, indicators and outputs</w:t>
      </w:r>
    </w:p>
    <w:p w14:paraId="1875B66F" w14:textId="77777777" w:rsidR="003E5BF5" w:rsidDel="00301F40" w:rsidRDefault="003E5BF5" w:rsidP="00536B82">
      <w:pPr>
        <w:pStyle w:val="aaatyping"/>
      </w:pPr>
      <w:r w:rsidDel="00301F40">
        <w:t xml:space="preserve">The departmental objectives, </w:t>
      </w:r>
      <w:r>
        <w:t xml:space="preserve">associated </w:t>
      </w:r>
      <w:r w:rsidDel="00301F40">
        <w:t xml:space="preserve">indicators and </w:t>
      </w:r>
      <w:r>
        <w:t xml:space="preserve">linked </w:t>
      </w:r>
      <w:r w:rsidDel="00301F40">
        <w:t xml:space="preserve">outputs during the financial year ended 30 June </w:t>
      </w:r>
      <w:r>
        <w:t>2020</w:t>
      </w:r>
      <w:r w:rsidDel="00301F40">
        <w:t xml:space="preserve"> are summarised below. </w:t>
      </w:r>
    </w:p>
    <w:p w14:paraId="76E4833B" w14:textId="77777777" w:rsidR="003E5BF5" w:rsidRDefault="003E5BF5" w:rsidP="00536B82">
      <w:pPr>
        <w:pStyle w:val="aaatyping"/>
      </w:pPr>
      <w:r w:rsidRPr="003338AA" w:rsidDel="00301F40">
        <w:t>The Department</w:t>
      </w:r>
      <w:r w:rsidRPr="003338AA">
        <w:t xml:space="preserve"> of Transport (the department, DoT)</w:t>
      </w:r>
      <w:r w:rsidRPr="003338AA" w:rsidDel="00301F40">
        <w:t xml:space="preserve"> is responsible for providing an integrated and sustainable transport system and supporting the development of a sustainable fisheries resource sector for Victoria.</w:t>
      </w:r>
      <w:r>
        <w:t xml:space="preserve"> The department’s vision is to deliver a transport system that is simple, connected, accessible, reliable, safe and supports a productive and growing economy. </w:t>
      </w:r>
    </w:p>
    <w:p w14:paraId="378B7681" w14:textId="77777777" w:rsidR="003E5BF5" w:rsidRPr="00382C97" w:rsidRDefault="003E5BF5" w:rsidP="00CF74EB">
      <w:pPr>
        <w:pStyle w:val="TableHeader"/>
      </w:pPr>
      <w:r w:rsidRPr="00382C97">
        <w:t>Departmental objectives, indicators and linked outputs</w:t>
      </w:r>
    </w:p>
    <w:tbl>
      <w:tblPr>
        <w:tblStyle w:val="TableGrid"/>
        <w:tblW w:w="9072" w:type="dxa"/>
        <w:tblLayout w:type="fixed"/>
        <w:tblLook w:val="04A0" w:firstRow="1" w:lastRow="0" w:firstColumn="1" w:lastColumn="0" w:noHBand="0" w:noVBand="1"/>
      </w:tblPr>
      <w:tblGrid>
        <w:gridCol w:w="3024"/>
        <w:gridCol w:w="3024"/>
        <w:gridCol w:w="3024"/>
      </w:tblGrid>
      <w:tr w:rsidR="003E5BF5" w:rsidRPr="007F3685" w14:paraId="388B4C42" w14:textId="77777777" w:rsidTr="001666B4">
        <w:trPr>
          <w:trHeight w:val="340"/>
          <w:tblHeader/>
        </w:trPr>
        <w:tc>
          <w:tcPr>
            <w:tcW w:w="3024" w:type="dxa"/>
            <w:shd w:val="clear" w:color="auto" w:fill="auto"/>
            <w:tcMar>
              <w:left w:w="57" w:type="dxa"/>
              <w:right w:w="57" w:type="dxa"/>
            </w:tcMar>
            <w:vAlign w:val="center"/>
          </w:tcPr>
          <w:p w14:paraId="7C4E074E"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Departmental objectives</w:t>
            </w:r>
          </w:p>
        </w:tc>
        <w:tc>
          <w:tcPr>
            <w:tcW w:w="3024" w:type="dxa"/>
            <w:shd w:val="clear" w:color="auto" w:fill="auto"/>
            <w:tcMar>
              <w:left w:w="57" w:type="dxa"/>
              <w:right w:w="57" w:type="dxa"/>
            </w:tcMar>
            <w:vAlign w:val="center"/>
          </w:tcPr>
          <w:p w14:paraId="587B305F"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Indicators</w:t>
            </w:r>
          </w:p>
        </w:tc>
        <w:tc>
          <w:tcPr>
            <w:tcW w:w="3024" w:type="dxa"/>
            <w:shd w:val="clear" w:color="auto" w:fill="auto"/>
            <w:tcMar>
              <w:left w:w="57" w:type="dxa"/>
              <w:right w:w="57" w:type="dxa"/>
            </w:tcMar>
            <w:vAlign w:val="center"/>
          </w:tcPr>
          <w:p w14:paraId="08FBA23A"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Outputs</w:t>
            </w:r>
          </w:p>
        </w:tc>
      </w:tr>
      <w:tr w:rsidR="003E5BF5" w:rsidRPr="007F3685" w14:paraId="17777F7A" w14:textId="77777777" w:rsidTr="001666B4">
        <w:trPr>
          <w:trHeight w:val="340"/>
        </w:trPr>
        <w:tc>
          <w:tcPr>
            <w:tcW w:w="3024" w:type="dxa"/>
            <w:shd w:val="clear" w:color="auto" w:fill="auto"/>
            <w:tcMar>
              <w:left w:w="57" w:type="dxa"/>
              <w:right w:w="57" w:type="dxa"/>
            </w:tcMar>
          </w:tcPr>
          <w:p w14:paraId="52F95ADD"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Reliable and user-focused transport services</w:t>
            </w:r>
          </w:p>
        </w:tc>
        <w:tc>
          <w:tcPr>
            <w:tcW w:w="3024" w:type="dxa"/>
            <w:shd w:val="clear" w:color="auto" w:fill="auto"/>
            <w:tcMar>
              <w:left w:w="57" w:type="dxa"/>
              <w:right w:w="57" w:type="dxa"/>
            </w:tcMar>
          </w:tcPr>
          <w:p w14:paraId="431FB6CA"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Reliable travel</w:t>
            </w:r>
          </w:p>
          <w:p w14:paraId="32B42971" w14:textId="77777777" w:rsidR="003E5BF5" w:rsidRPr="007F3685" w:rsidRDefault="003E5BF5" w:rsidP="00610F5F">
            <w:pPr>
              <w:pStyle w:val="TableTextLeft"/>
              <w:numPr>
                <w:ilvl w:val="0"/>
                <w:numId w:val="24"/>
              </w:numPr>
              <w:spacing w:after="120"/>
              <w:ind w:left="227" w:hanging="227"/>
              <w:rPr>
                <w:rFonts w:ascii="Arial" w:hAnsi="Arial" w:cs="Arial"/>
                <w:sz w:val="24"/>
                <w:szCs w:val="24"/>
              </w:rPr>
            </w:pPr>
            <w:r w:rsidRPr="007F3685">
              <w:rPr>
                <w:rFonts w:ascii="Arial" w:hAnsi="Arial" w:cs="Arial"/>
                <w:sz w:val="24"/>
                <w:szCs w:val="24"/>
              </w:rPr>
              <w:t xml:space="preserve">User satisfaction with the transport system </w:t>
            </w:r>
          </w:p>
        </w:tc>
        <w:tc>
          <w:tcPr>
            <w:tcW w:w="3024" w:type="dxa"/>
            <w:shd w:val="clear" w:color="auto" w:fill="auto"/>
            <w:tcMar>
              <w:left w:w="57" w:type="dxa"/>
              <w:right w:w="57" w:type="dxa"/>
            </w:tcMar>
          </w:tcPr>
          <w:p w14:paraId="44A6A785"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Bus services</w:t>
            </w:r>
          </w:p>
          <w:p w14:paraId="4875807E"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Road operations</w:t>
            </w:r>
          </w:p>
          <w:p w14:paraId="5ECF402E"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Train services</w:t>
            </w:r>
          </w:p>
          <w:p w14:paraId="4FDE1FD1" w14:textId="77777777" w:rsidR="003E5BF5" w:rsidRPr="007F3685" w:rsidRDefault="003E5BF5" w:rsidP="00610F5F">
            <w:pPr>
              <w:pStyle w:val="TableTextLeft"/>
              <w:numPr>
                <w:ilvl w:val="0"/>
                <w:numId w:val="24"/>
              </w:numPr>
              <w:spacing w:after="120"/>
              <w:ind w:left="227" w:hanging="227"/>
              <w:rPr>
                <w:rFonts w:ascii="Arial" w:hAnsi="Arial" w:cs="Arial"/>
                <w:sz w:val="24"/>
                <w:szCs w:val="24"/>
              </w:rPr>
            </w:pPr>
            <w:r w:rsidRPr="007F3685">
              <w:rPr>
                <w:rFonts w:ascii="Arial" w:hAnsi="Arial" w:cs="Arial"/>
                <w:sz w:val="24"/>
                <w:szCs w:val="24"/>
              </w:rPr>
              <w:t>Tram services</w:t>
            </w:r>
          </w:p>
        </w:tc>
      </w:tr>
      <w:tr w:rsidR="003E5BF5" w:rsidRPr="007F3685" w14:paraId="6A94988A" w14:textId="77777777" w:rsidTr="001666B4">
        <w:trPr>
          <w:trHeight w:val="340"/>
        </w:trPr>
        <w:tc>
          <w:tcPr>
            <w:tcW w:w="3024" w:type="dxa"/>
            <w:shd w:val="clear" w:color="auto" w:fill="auto"/>
            <w:tcMar>
              <w:left w:w="57" w:type="dxa"/>
              <w:right w:w="57" w:type="dxa"/>
            </w:tcMar>
          </w:tcPr>
          <w:p w14:paraId="5E622A09"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Safe and well-regulated transport services</w:t>
            </w:r>
          </w:p>
        </w:tc>
        <w:tc>
          <w:tcPr>
            <w:tcW w:w="3024" w:type="dxa"/>
            <w:shd w:val="clear" w:color="auto" w:fill="auto"/>
            <w:tcMar>
              <w:left w:w="57" w:type="dxa"/>
              <w:right w:w="57" w:type="dxa"/>
            </w:tcMar>
          </w:tcPr>
          <w:p w14:paraId="76F37661"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Safety of the transport system</w:t>
            </w:r>
          </w:p>
        </w:tc>
        <w:tc>
          <w:tcPr>
            <w:tcW w:w="3024" w:type="dxa"/>
            <w:shd w:val="clear" w:color="auto" w:fill="auto"/>
            <w:tcMar>
              <w:left w:w="57" w:type="dxa"/>
              <w:right w:w="57" w:type="dxa"/>
            </w:tcMar>
          </w:tcPr>
          <w:p w14:paraId="751162A4"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Regulation of commercial passenger vehicle services</w:t>
            </w:r>
          </w:p>
          <w:p w14:paraId="37023413" w14:textId="77777777" w:rsidR="003E5BF5" w:rsidRPr="007F3685" w:rsidRDefault="003E5BF5" w:rsidP="00610F5F">
            <w:pPr>
              <w:pStyle w:val="TableTextLeft"/>
              <w:numPr>
                <w:ilvl w:val="0"/>
                <w:numId w:val="24"/>
              </w:numPr>
              <w:spacing w:after="120"/>
              <w:ind w:left="227" w:hanging="227"/>
              <w:rPr>
                <w:rFonts w:ascii="Arial" w:hAnsi="Arial" w:cs="Arial"/>
                <w:sz w:val="24"/>
                <w:szCs w:val="24"/>
              </w:rPr>
            </w:pPr>
            <w:r w:rsidRPr="007F3685">
              <w:rPr>
                <w:rFonts w:ascii="Arial" w:hAnsi="Arial" w:cs="Arial"/>
                <w:sz w:val="24"/>
                <w:szCs w:val="24"/>
              </w:rPr>
              <w:t>Transport safety and security</w:t>
            </w:r>
          </w:p>
        </w:tc>
      </w:tr>
      <w:tr w:rsidR="003E5BF5" w:rsidRPr="007F3685" w14:paraId="117B0462" w14:textId="77777777" w:rsidTr="001666B4">
        <w:trPr>
          <w:trHeight w:val="340"/>
        </w:trPr>
        <w:tc>
          <w:tcPr>
            <w:tcW w:w="3024" w:type="dxa"/>
            <w:shd w:val="clear" w:color="auto" w:fill="auto"/>
            <w:tcMar>
              <w:left w:w="57" w:type="dxa"/>
              <w:right w:w="57" w:type="dxa"/>
            </w:tcMar>
          </w:tcPr>
          <w:p w14:paraId="61ACC597"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Better connected communities through improved infrastructure</w:t>
            </w:r>
          </w:p>
        </w:tc>
        <w:tc>
          <w:tcPr>
            <w:tcW w:w="3024" w:type="dxa"/>
            <w:shd w:val="clear" w:color="auto" w:fill="auto"/>
            <w:tcMar>
              <w:left w:w="57" w:type="dxa"/>
              <w:right w:w="57" w:type="dxa"/>
            </w:tcMar>
          </w:tcPr>
          <w:p w14:paraId="3C251B6E"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 xml:space="preserve">Improved transport infrastructure </w:t>
            </w:r>
          </w:p>
        </w:tc>
        <w:tc>
          <w:tcPr>
            <w:tcW w:w="3024" w:type="dxa"/>
            <w:shd w:val="clear" w:color="auto" w:fill="auto"/>
            <w:tcMar>
              <w:left w:w="57" w:type="dxa"/>
              <w:right w:w="57" w:type="dxa"/>
            </w:tcMar>
          </w:tcPr>
          <w:p w14:paraId="769A222D"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Ports, freight and boating</w:t>
            </w:r>
          </w:p>
          <w:p w14:paraId="121E02AD"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Road asset management</w:t>
            </w:r>
          </w:p>
          <w:p w14:paraId="245950BC" w14:textId="77777777" w:rsidR="003E5BF5" w:rsidRPr="007F3685" w:rsidRDefault="003E5BF5" w:rsidP="00610F5F">
            <w:pPr>
              <w:pStyle w:val="TableTextLeft"/>
              <w:numPr>
                <w:ilvl w:val="0"/>
                <w:numId w:val="24"/>
              </w:numPr>
              <w:spacing w:after="120"/>
              <w:ind w:left="227" w:hanging="227"/>
              <w:rPr>
                <w:rFonts w:ascii="Arial" w:hAnsi="Arial" w:cs="Arial"/>
                <w:sz w:val="24"/>
                <w:szCs w:val="24"/>
              </w:rPr>
            </w:pPr>
            <w:r w:rsidRPr="007F3685">
              <w:rPr>
                <w:rFonts w:ascii="Arial" w:hAnsi="Arial" w:cs="Arial"/>
                <w:sz w:val="24"/>
                <w:szCs w:val="24"/>
              </w:rPr>
              <w:t>Transport infrastructure</w:t>
            </w:r>
          </w:p>
        </w:tc>
      </w:tr>
      <w:tr w:rsidR="003E5BF5" w:rsidRPr="007F3685" w14:paraId="66B213D1" w14:textId="77777777" w:rsidTr="001666B4">
        <w:trPr>
          <w:trHeight w:val="340"/>
        </w:trPr>
        <w:tc>
          <w:tcPr>
            <w:tcW w:w="3024" w:type="dxa"/>
            <w:shd w:val="clear" w:color="auto" w:fill="auto"/>
            <w:tcMar>
              <w:left w:w="57" w:type="dxa"/>
              <w:right w:w="57" w:type="dxa"/>
            </w:tcMar>
          </w:tcPr>
          <w:p w14:paraId="3763CD0A"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lastRenderedPageBreak/>
              <w:t xml:space="preserve">Sustainably managed fish resources </w:t>
            </w:r>
          </w:p>
        </w:tc>
        <w:tc>
          <w:tcPr>
            <w:tcW w:w="3024" w:type="dxa"/>
            <w:shd w:val="clear" w:color="auto" w:fill="auto"/>
            <w:tcMar>
              <w:left w:w="57" w:type="dxa"/>
              <w:right w:w="57" w:type="dxa"/>
            </w:tcMar>
          </w:tcPr>
          <w:p w14:paraId="0ABDBD45"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 xml:space="preserve">Sustainability of assessed fish stocks </w:t>
            </w:r>
          </w:p>
        </w:tc>
        <w:tc>
          <w:tcPr>
            <w:tcW w:w="3024" w:type="dxa"/>
            <w:shd w:val="clear" w:color="auto" w:fill="auto"/>
            <w:tcMar>
              <w:left w:w="57" w:type="dxa"/>
              <w:right w:w="57" w:type="dxa"/>
            </w:tcMar>
          </w:tcPr>
          <w:p w14:paraId="2C12C23B" w14:textId="77777777" w:rsidR="003E5BF5" w:rsidRPr="007F3685" w:rsidRDefault="003E5BF5" w:rsidP="00610F5F">
            <w:pPr>
              <w:pStyle w:val="TableTextLeft"/>
              <w:numPr>
                <w:ilvl w:val="0"/>
                <w:numId w:val="24"/>
              </w:numPr>
              <w:spacing w:after="120"/>
              <w:ind w:left="227" w:hanging="227"/>
              <w:rPr>
                <w:rFonts w:ascii="Arial" w:hAnsi="Arial" w:cs="Arial"/>
                <w:sz w:val="24"/>
                <w:szCs w:val="24"/>
              </w:rPr>
            </w:pPr>
            <w:r w:rsidRPr="007F3685">
              <w:rPr>
                <w:rFonts w:ascii="Arial" w:hAnsi="Arial" w:cs="Arial"/>
                <w:sz w:val="24"/>
                <w:szCs w:val="24"/>
              </w:rPr>
              <w:t xml:space="preserve">Sustainably manage fish resources </w:t>
            </w:r>
          </w:p>
        </w:tc>
      </w:tr>
    </w:tbl>
    <w:p w14:paraId="58AF3694" w14:textId="77777777" w:rsidR="003E5BF5" w:rsidRPr="007F3685" w:rsidRDefault="003E5BF5" w:rsidP="00D54025">
      <w:pPr>
        <w:pStyle w:val="Note"/>
        <w:spacing w:line="360" w:lineRule="auto"/>
        <w:rPr>
          <w:rFonts w:ascii="Arial" w:hAnsi="Arial" w:cs="Arial"/>
          <w:sz w:val="24"/>
          <w:szCs w:val="24"/>
        </w:rPr>
      </w:pPr>
      <w:r w:rsidRPr="007F3685">
        <w:rPr>
          <w:rFonts w:ascii="Arial" w:hAnsi="Arial" w:cs="Arial"/>
          <w:sz w:val="24"/>
          <w:szCs w:val="24"/>
        </w:rPr>
        <w:t xml:space="preserve">Note: </w:t>
      </w:r>
    </w:p>
    <w:p w14:paraId="3D66F17A" w14:textId="77777777" w:rsidR="003E5BF5" w:rsidRPr="007F3685" w:rsidRDefault="003E5BF5" w:rsidP="00D54025">
      <w:pPr>
        <w:pStyle w:val="Notenumber123"/>
        <w:spacing w:line="360" w:lineRule="auto"/>
        <w:contextualSpacing/>
        <w:rPr>
          <w:rFonts w:ascii="Arial" w:hAnsi="Arial" w:cs="Arial"/>
          <w:sz w:val="24"/>
          <w:szCs w:val="24"/>
        </w:rPr>
        <w:sectPr w:rsidR="003E5BF5" w:rsidRPr="007F3685" w:rsidSect="00DE1921">
          <w:pgSz w:w="11906" w:h="16838"/>
          <w:pgMar w:top="1440" w:right="1440" w:bottom="1440" w:left="1440" w:header="708" w:footer="708" w:gutter="0"/>
          <w:cols w:space="708"/>
          <w:docGrid w:linePitch="360"/>
        </w:sectPr>
      </w:pPr>
      <w:r w:rsidRPr="007F3685">
        <w:rPr>
          <w:rFonts w:ascii="Arial" w:hAnsi="Arial" w:cs="Arial"/>
          <w:sz w:val="24"/>
          <w:szCs w:val="24"/>
        </w:rPr>
        <w:t xml:space="preserve">Medium-term departmental objectives, associated indicators and linked outputs are set out in the 2019-20 Budget Paper 3 </w:t>
      </w:r>
      <w:r w:rsidRPr="007F3685">
        <w:rPr>
          <w:rFonts w:ascii="Arial" w:hAnsi="Arial" w:cs="Arial"/>
          <w:i/>
          <w:sz w:val="24"/>
          <w:szCs w:val="24"/>
        </w:rPr>
        <w:t>Service Delivery</w:t>
      </w:r>
      <w:r w:rsidRPr="007F3685">
        <w:rPr>
          <w:rFonts w:ascii="Arial" w:hAnsi="Arial" w:cs="Arial"/>
          <w:sz w:val="24"/>
          <w:szCs w:val="24"/>
        </w:rPr>
        <w:t xml:space="preserve">. </w:t>
      </w:r>
    </w:p>
    <w:p w14:paraId="314ABB26" w14:textId="77777777" w:rsidR="003E5BF5" w:rsidRPr="000B1197" w:rsidRDefault="003E5BF5" w:rsidP="008A0170">
      <w:pPr>
        <w:pStyle w:val="Heading2"/>
      </w:pPr>
      <w:r w:rsidRPr="000B1197">
        <w:lastRenderedPageBreak/>
        <w:t xml:space="preserve">Changes to the department during </w:t>
      </w:r>
      <w:r>
        <w:t>2019-20</w:t>
      </w:r>
    </w:p>
    <w:p w14:paraId="1AFA74E0" w14:textId="77777777" w:rsidR="003E5BF5" w:rsidRDefault="003E5BF5" w:rsidP="00536B82">
      <w:pPr>
        <w:pStyle w:val="aaatyping"/>
      </w:pPr>
      <w:r w:rsidRPr="00A233D3">
        <w:t>The Department undertook an internal review of its medium-term objectives and output structure and made the following changes to reflect the department’s priorities.</w:t>
      </w:r>
      <w:r>
        <w:t xml:space="preserve"> </w:t>
      </w:r>
    </w:p>
    <w:p w14:paraId="15628793" w14:textId="77777777" w:rsidR="003E5BF5" w:rsidRPr="00382C97" w:rsidRDefault="003E5BF5" w:rsidP="00CF74EB">
      <w:pPr>
        <w:pStyle w:val="TableHeader"/>
      </w:pPr>
      <w:r w:rsidRPr="00382C97">
        <w:t>Changes to Departmental objectives</w:t>
      </w:r>
    </w:p>
    <w:tbl>
      <w:tblPr>
        <w:tblStyle w:val="TableGrid"/>
        <w:tblW w:w="9072" w:type="dxa"/>
        <w:tblLayout w:type="fixed"/>
        <w:tblLook w:val="04A0" w:firstRow="1" w:lastRow="0" w:firstColumn="1" w:lastColumn="0" w:noHBand="0" w:noVBand="1"/>
      </w:tblPr>
      <w:tblGrid>
        <w:gridCol w:w="3024"/>
        <w:gridCol w:w="3024"/>
        <w:gridCol w:w="3024"/>
      </w:tblGrid>
      <w:tr w:rsidR="003E5BF5" w:rsidRPr="007F3685" w14:paraId="43B76BD5" w14:textId="77777777" w:rsidTr="00E36198">
        <w:trPr>
          <w:trHeight w:val="340"/>
          <w:tblHeader/>
        </w:trPr>
        <w:tc>
          <w:tcPr>
            <w:tcW w:w="3024" w:type="dxa"/>
            <w:shd w:val="clear" w:color="auto" w:fill="auto"/>
            <w:tcMar>
              <w:left w:w="57" w:type="dxa"/>
              <w:right w:w="57" w:type="dxa"/>
            </w:tcMar>
            <w:vAlign w:val="center"/>
          </w:tcPr>
          <w:p w14:paraId="7FF7CFD7"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2018-19 objectives</w:t>
            </w:r>
          </w:p>
        </w:tc>
        <w:tc>
          <w:tcPr>
            <w:tcW w:w="3024" w:type="dxa"/>
            <w:shd w:val="clear" w:color="auto" w:fill="auto"/>
            <w:tcMar>
              <w:left w:w="57" w:type="dxa"/>
              <w:right w:w="57" w:type="dxa"/>
            </w:tcMar>
            <w:vAlign w:val="center"/>
          </w:tcPr>
          <w:p w14:paraId="60ED6935"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Reason for change</w:t>
            </w:r>
          </w:p>
        </w:tc>
        <w:tc>
          <w:tcPr>
            <w:tcW w:w="3024" w:type="dxa"/>
            <w:shd w:val="clear" w:color="auto" w:fill="auto"/>
            <w:tcMar>
              <w:left w:w="57" w:type="dxa"/>
              <w:right w:w="57" w:type="dxa"/>
            </w:tcMar>
            <w:vAlign w:val="center"/>
          </w:tcPr>
          <w:p w14:paraId="0EEA0B12"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2019-20 Objectives</w:t>
            </w:r>
          </w:p>
        </w:tc>
      </w:tr>
      <w:tr w:rsidR="003E5BF5" w:rsidRPr="007F3685" w14:paraId="25653232" w14:textId="77777777" w:rsidTr="00E36198">
        <w:trPr>
          <w:trHeight w:val="340"/>
        </w:trPr>
        <w:tc>
          <w:tcPr>
            <w:tcW w:w="3024" w:type="dxa"/>
            <w:shd w:val="clear" w:color="auto" w:fill="auto"/>
            <w:tcMar>
              <w:left w:w="57" w:type="dxa"/>
              <w:right w:w="57" w:type="dxa"/>
            </w:tcMar>
          </w:tcPr>
          <w:p w14:paraId="6EB0B05B"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More productive and liveable places, towns and cities through integrated and user-focused transport services and better infrastructure</w:t>
            </w:r>
          </w:p>
        </w:tc>
        <w:tc>
          <w:tcPr>
            <w:tcW w:w="3024" w:type="dxa"/>
            <w:shd w:val="clear" w:color="auto" w:fill="auto"/>
            <w:tcMar>
              <w:left w:w="57" w:type="dxa"/>
              <w:right w:w="57" w:type="dxa"/>
            </w:tcMar>
          </w:tcPr>
          <w:p w14:paraId="0B6A7511"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sz w:val="24"/>
                <w:szCs w:val="24"/>
              </w:rPr>
              <w:t>The Department undertook a review of its 2018-19 objectives and created three new objectives to better align with outputs.</w:t>
            </w:r>
          </w:p>
          <w:p w14:paraId="0E19D722"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sz w:val="24"/>
                <w:szCs w:val="24"/>
              </w:rPr>
              <w:t xml:space="preserve">This new objective focuses on the reliability of the transport network to connect people and places, taking them where they want to go, when they want to go. </w:t>
            </w:r>
          </w:p>
        </w:tc>
        <w:tc>
          <w:tcPr>
            <w:tcW w:w="3024" w:type="dxa"/>
            <w:shd w:val="clear" w:color="auto" w:fill="auto"/>
            <w:tcMar>
              <w:left w:w="57" w:type="dxa"/>
              <w:right w:w="57" w:type="dxa"/>
            </w:tcMar>
          </w:tcPr>
          <w:p w14:paraId="105EF18C"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Reliable and user-focused transport services</w:t>
            </w:r>
          </w:p>
        </w:tc>
      </w:tr>
      <w:tr w:rsidR="003E5BF5" w:rsidRPr="007F3685" w14:paraId="5FF2B6E4" w14:textId="77777777" w:rsidTr="00E36198">
        <w:trPr>
          <w:trHeight w:val="340"/>
        </w:trPr>
        <w:tc>
          <w:tcPr>
            <w:tcW w:w="3024" w:type="dxa"/>
            <w:shd w:val="clear" w:color="auto" w:fill="auto"/>
            <w:tcMar>
              <w:left w:w="57" w:type="dxa"/>
              <w:right w:w="57" w:type="dxa"/>
            </w:tcMar>
          </w:tcPr>
          <w:p w14:paraId="364373B1" w14:textId="77777777" w:rsidR="003E5BF5" w:rsidRPr="007F3685" w:rsidRDefault="003E5BF5" w:rsidP="00DE1921">
            <w:pPr>
              <w:autoSpaceDE w:val="0"/>
              <w:autoSpaceDN w:val="0"/>
              <w:adjustRightInd w:val="0"/>
              <w:spacing w:after="100"/>
              <w:rPr>
                <w:rFonts w:ascii="Arial" w:hAnsi="Arial" w:cs="Arial"/>
                <w:sz w:val="24"/>
                <w:szCs w:val="24"/>
              </w:rPr>
            </w:pPr>
          </w:p>
        </w:tc>
        <w:tc>
          <w:tcPr>
            <w:tcW w:w="3024" w:type="dxa"/>
            <w:shd w:val="clear" w:color="auto" w:fill="auto"/>
            <w:tcMar>
              <w:left w:w="57" w:type="dxa"/>
              <w:right w:w="57" w:type="dxa"/>
            </w:tcMar>
          </w:tcPr>
          <w:p w14:paraId="54BA2ABC"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sz w:val="24"/>
                <w:szCs w:val="24"/>
              </w:rPr>
              <w:t>This new objective focuses on safety of the transport network, helping Victorians arrive safely, whether they are travelling by road, rail or water.</w:t>
            </w:r>
          </w:p>
        </w:tc>
        <w:tc>
          <w:tcPr>
            <w:tcW w:w="3024" w:type="dxa"/>
            <w:shd w:val="clear" w:color="auto" w:fill="auto"/>
            <w:tcMar>
              <w:left w:w="57" w:type="dxa"/>
              <w:right w:w="57" w:type="dxa"/>
            </w:tcMar>
          </w:tcPr>
          <w:p w14:paraId="05065B8C"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sz w:val="24"/>
                <w:szCs w:val="24"/>
              </w:rPr>
              <w:t>Safe and well-regulated transport services</w:t>
            </w:r>
          </w:p>
        </w:tc>
      </w:tr>
      <w:tr w:rsidR="003E5BF5" w:rsidRPr="007F3685" w14:paraId="4B69020C" w14:textId="77777777" w:rsidTr="00E36198">
        <w:trPr>
          <w:trHeight w:val="340"/>
        </w:trPr>
        <w:tc>
          <w:tcPr>
            <w:tcW w:w="3024" w:type="dxa"/>
            <w:shd w:val="clear" w:color="auto" w:fill="auto"/>
            <w:tcMar>
              <w:left w:w="57" w:type="dxa"/>
              <w:right w:w="57" w:type="dxa"/>
            </w:tcMar>
          </w:tcPr>
          <w:p w14:paraId="7D5F2908" w14:textId="77777777" w:rsidR="003E5BF5" w:rsidRPr="007F3685" w:rsidDel="00081A5E" w:rsidRDefault="003E5BF5" w:rsidP="00DE1921">
            <w:pPr>
              <w:autoSpaceDE w:val="0"/>
              <w:autoSpaceDN w:val="0"/>
              <w:adjustRightInd w:val="0"/>
              <w:spacing w:after="100"/>
              <w:rPr>
                <w:rFonts w:ascii="Arial" w:hAnsi="Arial" w:cs="Arial"/>
                <w:sz w:val="24"/>
                <w:szCs w:val="24"/>
              </w:rPr>
            </w:pPr>
          </w:p>
        </w:tc>
        <w:tc>
          <w:tcPr>
            <w:tcW w:w="3024" w:type="dxa"/>
            <w:shd w:val="clear" w:color="auto" w:fill="auto"/>
            <w:tcMar>
              <w:left w:w="57" w:type="dxa"/>
              <w:right w:w="57" w:type="dxa"/>
            </w:tcMar>
          </w:tcPr>
          <w:p w14:paraId="46B620CD" w14:textId="77777777" w:rsidR="003E5BF5" w:rsidRPr="007F3685" w:rsidDel="00081A5E" w:rsidRDefault="003E5BF5" w:rsidP="00DE1921">
            <w:pPr>
              <w:pStyle w:val="TableTextLeft"/>
              <w:spacing w:after="100"/>
              <w:rPr>
                <w:rFonts w:ascii="Arial" w:hAnsi="Arial" w:cs="Arial"/>
                <w:sz w:val="24"/>
                <w:szCs w:val="24"/>
              </w:rPr>
            </w:pPr>
            <w:r w:rsidRPr="007F3685">
              <w:rPr>
                <w:rFonts w:ascii="Arial" w:hAnsi="Arial" w:cs="Arial"/>
                <w:sz w:val="24"/>
                <w:szCs w:val="24"/>
              </w:rPr>
              <w:t>This new objective focuses on improving transport infrastructure to transform the way that Victorians travel and to better connect people and places.</w:t>
            </w:r>
          </w:p>
        </w:tc>
        <w:tc>
          <w:tcPr>
            <w:tcW w:w="3024" w:type="dxa"/>
            <w:shd w:val="clear" w:color="auto" w:fill="auto"/>
            <w:tcMar>
              <w:left w:w="57" w:type="dxa"/>
              <w:right w:w="57" w:type="dxa"/>
            </w:tcMar>
          </w:tcPr>
          <w:p w14:paraId="54152CEA" w14:textId="77777777" w:rsidR="003E5BF5" w:rsidRPr="007F3685" w:rsidDel="00081A5E" w:rsidRDefault="003E5BF5" w:rsidP="00DE1921">
            <w:pPr>
              <w:pStyle w:val="TableTextLeft"/>
              <w:spacing w:after="100"/>
              <w:rPr>
                <w:rFonts w:ascii="Arial" w:hAnsi="Arial" w:cs="Arial"/>
                <w:sz w:val="24"/>
                <w:szCs w:val="24"/>
              </w:rPr>
            </w:pPr>
            <w:r w:rsidRPr="007F3685">
              <w:rPr>
                <w:rFonts w:ascii="Arial" w:hAnsi="Arial" w:cs="Arial"/>
                <w:sz w:val="24"/>
                <w:szCs w:val="24"/>
              </w:rPr>
              <w:t>Better connected communities through improved infrastructure</w:t>
            </w:r>
          </w:p>
        </w:tc>
      </w:tr>
    </w:tbl>
    <w:p w14:paraId="16805590" w14:textId="77777777" w:rsidR="003E5BF5" w:rsidRPr="007F3685" w:rsidRDefault="003E5BF5" w:rsidP="00D54025">
      <w:pPr>
        <w:pStyle w:val="Note"/>
        <w:spacing w:line="360" w:lineRule="auto"/>
        <w:rPr>
          <w:rFonts w:ascii="Arial" w:hAnsi="Arial" w:cs="Arial"/>
          <w:sz w:val="24"/>
          <w:szCs w:val="24"/>
        </w:rPr>
      </w:pPr>
      <w:r w:rsidRPr="007F3685">
        <w:rPr>
          <w:rFonts w:ascii="Arial" w:hAnsi="Arial" w:cs="Arial"/>
          <w:sz w:val="24"/>
          <w:szCs w:val="24"/>
        </w:rPr>
        <w:t>Note:</w:t>
      </w:r>
    </w:p>
    <w:p w14:paraId="545F2890" w14:textId="7F622984" w:rsidR="007D4814" w:rsidRDefault="003E5BF5" w:rsidP="00610F5F">
      <w:pPr>
        <w:pStyle w:val="Notenumber123"/>
        <w:numPr>
          <w:ilvl w:val="0"/>
          <w:numId w:val="25"/>
        </w:numPr>
        <w:spacing w:line="360" w:lineRule="auto"/>
        <w:ind w:left="340" w:hanging="227"/>
        <w:contextualSpacing/>
        <w:rPr>
          <w:rFonts w:ascii="Arial" w:hAnsi="Arial" w:cs="Arial"/>
          <w:sz w:val="24"/>
          <w:szCs w:val="24"/>
        </w:rPr>
      </w:pPr>
      <w:r w:rsidRPr="007F3685">
        <w:rPr>
          <w:rFonts w:ascii="Arial" w:hAnsi="Arial" w:cs="Arial"/>
          <w:sz w:val="24"/>
          <w:szCs w:val="24"/>
        </w:rPr>
        <w:t>There are no changes to the Sustainably Managed Fish Resources objective (changes were made in the 2018-19 Annual Report).</w:t>
      </w:r>
      <w:r w:rsidR="007D4814">
        <w:rPr>
          <w:rFonts w:ascii="Arial" w:hAnsi="Arial" w:cs="Arial"/>
          <w:sz w:val="24"/>
          <w:szCs w:val="24"/>
        </w:rPr>
        <w:br w:type="page"/>
      </w:r>
    </w:p>
    <w:p w14:paraId="61A3FF71" w14:textId="77777777" w:rsidR="003E5BF5" w:rsidRDefault="003E5BF5" w:rsidP="00407E8E">
      <w:pPr>
        <w:pStyle w:val="aaatyping"/>
      </w:pPr>
      <w:r w:rsidRPr="00DB7433">
        <w:lastRenderedPageBreak/>
        <w:t>The department has made changes to its output structure as shown in the table below:</w:t>
      </w:r>
    </w:p>
    <w:p w14:paraId="6B8B77CD" w14:textId="49342951" w:rsidR="003E5BF5" w:rsidRDefault="003E5BF5" w:rsidP="00CF74EB">
      <w:pPr>
        <w:pStyle w:val="TableHeader"/>
      </w:pPr>
      <w:r w:rsidRPr="007F3685">
        <w:t>Changes to the departmental output structure</w:t>
      </w:r>
    </w:p>
    <w:p w14:paraId="7121F2BF" w14:textId="77777777" w:rsidR="00A36E07" w:rsidRPr="007F3685" w:rsidRDefault="00A36E07" w:rsidP="00CF74EB">
      <w:pPr>
        <w:pStyle w:val="TableHeader"/>
      </w:pPr>
    </w:p>
    <w:tbl>
      <w:tblPr>
        <w:tblStyle w:val="TableGrid"/>
        <w:tblW w:w="9072" w:type="dxa"/>
        <w:tblLayout w:type="fixed"/>
        <w:tblLook w:val="04A0" w:firstRow="1" w:lastRow="0" w:firstColumn="1" w:lastColumn="0" w:noHBand="0" w:noVBand="1"/>
      </w:tblPr>
      <w:tblGrid>
        <w:gridCol w:w="3024"/>
        <w:gridCol w:w="3024"/>
        <w:gridCol w:w="3024"/>
      </w:tblGrid>
      <w:tr w:rsidR="003E5BF5" w:rsidRPr="007F3685" w14:paraId="603C4D66" w14:textId="77777777" w:rsidTr="00A36E07">
        <w:trPr>
          <w:trHeight w:hRule="exact" w:val="340"/>
        </w:trPr>
        <w:tc>
          <w:tcPr>
            <w:tcW w:w="3024" w:type="dxa"/>
            <w:shd w:val="clear" w:color="auto" w:fill="auto"/>
            <w:tcMar>
              <w:left w:w="57" w:type="dxa"/>
              <w:right w:w="57" w:type="dxa"/>
            </w:tcMar>
            <w:vAlign w:val="center"/>
          </w:tcPr>
          <w:p w14:paraId="607FE6EF"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2018-19 output</w:t>
            </w:r>
          </w:p>
        </w:tc>
        <w:tc>
          <w:tcPr>
            <w:tcW w:w="3024" w:type="dxa"/>
            <w:shd w:val="clear" w:color="auto" w:fill="auto"/>
            <w:tcMar>
              <w:left w:w="57" w:type="dxa"/>
              <w:right w:w="57" w:type="dxa"/>
            </w:tcMar>
            <w:vAlign w:val="center"/>
          </w:tcPr>
          <w:p w14:paraId="25CB5B95"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Reason for change</w:t>
            </w:r>
          </w:p>
        </w:tc>
        <w:tc>
          <w:tcPr>
            <w:tcW w:w="3024" w:type="dxa"/>
            <w:shd w:val="clear" w:color="auto" w:fill="auto"/>
            <w:tcMar>
              <w:left w:w="57" w:type="dxa"/>
              <w:right w:w="57" w:type="dxa"/>
            </w:tcMar>
            <w:vAlign w:val="center"/>
          </w:tcPr>
          <w:p w14:paraId="0585272B"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2019-20 output</w:t>
            </w:r>
          </w:p>
        </w:tc>
      </w:tr>
      <w:tr w:rsidR="003E5BF5" w:rsidRPr="007F3685" w14:paraId="4CDD2547" w14:textId="77777777" w:rsidTr="00A36E07">
        <w:tc>
          <w:tcPr>
            <w:tcW w:w="3024" w:type="dxa"/>
            <w:shd w:val="clear" w:color="auto" w:fill="auto"/>
            <w:tcMar>
              <w:left w:w="57" w:type="dxa"/>
              <w:right w:w="57" w:type="dxa"/>
            </w:tcMar>
          </w:tcPr>
          <w:p w14:paraId="0472256A"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sz w:val="24"/>
                <w:szCs w:val="24"/>
              </w:rPr>
              <w:t>Bus services</w:t>
            </w:r>
          </w:p>
        </w:tc>
        <w:tc>
          <w:tcPr>
            <w:tcW w:w="3024" w:type="dxa"/>
            <w:shd w:val="clear" w:color="auto" w:fill="auto"/>
            <w:tcMar>
              <w:left w:w="57" w:type="dxa"/>
              <w:right w:w="57" w:type="dxa"/>
            </w:tcMar>
          </w:tcPr>
          <w:p w14:paraId="2A120171"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sz w:val="24"/>
                <w:szCs w:val="24"/>
              </w:rPr>
              <w:t>This output has been split into three sub-outputs to improve transparency of the costs involved with the delivery of each service.</w:t>
            </w:r>
          </w:p>
        </w:tc>
        <w:tc>
          <w:tcPr>
            <w:tcW w:w="3024" w:type="dxa"/>
            <w:shd w:val="clear" w:color="auto" w:fill="auto"/>
            <w:tcMar>
              <w:left w:w="57" w:type="dxa"/>
              <w:right w:w="57" w:type="dxa"/>
            </w:tcMar>
          </w:tcPr>
          <w:p w14:paraId="0FCE0CCB"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Bus services - metropolitan</w:t>
            </w:r>
          </w:p>
          <w:p w14:paraId="6ECD78D2"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Bus services - regional</w:t>
            </w:r>
          </w:p>
          <w:p w14:paraId="5BA10F84"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 xml:space="preserve">Bus services - </w:t>
            </w:r>
            <w:proofErr w:type="spellStart"/>
            <w:r w:rsidRPr="007F3685">
              <w:rPr>
                <w:rFonts w:ascii="Arial" w:hAnsi="Arial" w:cs="Arial"/>
                <w:sz w:val="24"/>
                <w:szCs w:val="24"/>
              </w:rPr>
              <w:t>statewide</w:t>
            </w:r>
            <w:proofErr w:type="spellEnd"/>
          </w:p>
        </w:tc>
      </w:tr>
      <w:tr w:rsidR="003E5BF5" w:rsidRPr="007F3685" w14:paraId="0D490A9C" w14:textId="77777777" w:rsidTr="00A36E07">
        <w:tc>
          <w:tcPr>
            <w:tcW w:w="3024" w:type="dxa"/>
            <w:shd w:val="clear" w:color="auto" w:fill="auto"/>
            <w:tcMar>
              <w:left w:w="57" w:type="dxa"/>
              <w:right w:w="57" w:type="dxa"/>
            </w:tcMar>
          </w:tcPr>
          <w:p w14:paraId="5AEBE4F7"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sz w:val="24"/>
                <w:szCs w:val="24"/>
              </w:rPr>
              <w:t>Road operations and network improvements</w:t>
            </w:r>
          </w:p>
        </w:tc>
        <w:tc>
          <w:tcPr>
            <w:tcW w:w="3024" w:type="dxa"/>
            <w:shd w:val="clear" w:color="auto" w:fill="auto"/>
            <w:tcMar>
              <w:left w:w="57" w:type="dxa"/>
              <w:right w:w="57" w:type="dxa"/>
            </w:tcMar>
          </w:tcPr>
          <w:p w14:paraId="26BBBF35"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color w:val="000000"/>
                <w:sz w:val="24"/>
                <w:szCs w:val="24"/>
              </w:rPr>
              <w:t>This output has been renamed to reflect the type of activities that are now undertaken within this output. Network improvement activities are captured under the Transport Infrastructure output.</w:t>
            </w:r>
          </w:p>
        </w:tc>
        <w:tc>
          <w:tcPr>
            <w:tcW w:w="3024" w:type="dxa"/>
            <w:shd w:val="clear" w:color="auto" w:fill="auto"/>
            <w:tcMar>
              <w:left w:w="57" w:type="dxa"/>
              <w:right w:w="57" w:type="dxa"/>
            </w:tcMar>
          </w:tcPr>
          <w:p w14:paraId="0BA3282D"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Road operations</w:t>
            </w:r>
          </w:p>
        </w:tc>
      </w:tr>
      <w:tr w:rsidR="003E5BF5" w:rsidRPr="007F3685" w14:paraId="63B60073" w14:textId="77777777" w:rsidTr="00A36E07">
        <w:tc>
          <w:tcPr>
            <w:tcW w:w="3024" w:type="dxa"/>
            <w:shd w:val="clear" w:color="auto" w:fill="auto"/>
            <w:tcMar>
              <w:left w:w="57" w:type="dxa"/>
              <w:right w:w="57" w:type="dxa"/>
            </w:tcMar>
          </w:tcPr>
          <w:p w14:paraId="4628C85B"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sz w:val="24"/>
                <w:szCs w:val="24"/>
              </w:rPr>
              <w:t>Train services</w:t>
            </w:r>
          </w:p>
        </w:tc>
        <w:tc>
          <w:tcPr>
            <w:tcW w:w="3024" w:type="dxa"/>
            <w:shd w:val="clear" w:color="auto" w:fill="auto"/>
            <w:tcMar>
              <w:left w:w="57" w:type="dxa"/>
              <w:right w:w="57" w:type="dxa"/>
            </w:tcMar>
          </w:tcPr>
          <w:p w14:paraId="259B220D"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sz w:val="24"/>
                <w:szCs w:val="24"/>
              </w:rPr>
              <w:t>This output has been split into three sub-outputs to improve transparency of the costs involved with the delivery of each service.</w:t>
            </w:r>
          </w:p>
        </w:tc>
        <w:tc>
          <w:tcPr>
            <w:tcW w:w="3024" w:type="dxa"/>
            <w:shd w:val="clear" w:color="auto" w:fill="auto"/>
            <w:tcMar>
              <w:left w:w="57" w:type="dxa"/>
              <w:right w:w="57" w:type="dxa"/>
            </w:tcMar>
          </w:tcPr>
          <w:p w14:paraId="4B762224"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Train services - metropolitan</w:t>
            </w:r>
          </w:p>
          <w:p w14:paraId="0E089B9E"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Train services - regional</w:t>
            </w:r>
          </w:p>
          <w:p w14:paraId="7B46BC62"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 xml:space="preserve">Train services - </w:t>
            </w:r>
            <w:proofErr w:type="spellStart"/>
            <w:r w:rsidRPr="007F3685">
              <w:rPr>
                <w:rFonts w:ascii="Arial" w:hAnsi="Arial" w:cs="Arial"/>
                <w:sz w:val="24"/>
                <w:szCs w:val="24"/>
              </w:rPr>
              <w:t>statewide</w:t>
            </w:r>
            <w:proofErr w:type="spellEnd"/>
          </w:p>
        </w:tc>
      </w:tr>
      <w:tr w:rsidR="003E5BF5" w:rsidRPr="007F3685" w14:paraId="0F373CF6" w14:textId="77777777" w:rsidTr="00A36E07">
        <w:tc>
          <w:tcPr>
            <w:tcW w:w="3024" w:type="dxa"/>
            <w:shd w:val="clear" w:color="auto" w:fill="auto"/>
            <w:tcMar>
              <w:left w:w="57" w:type="dxa"/>
              <w:right w:w="57" w:type="dxa"/>
            </w:tcMar>
          </w:tcPr>
          <w:p w14:paraId="583C1790"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sz w:val="24"/>
                <w:szCs w:val="24"/>
              </w:rPr>
              <w:t>Transport safety, security and emergency management</w:t>
            </w:r>
          </w:p>
        </w:tc>
        <w:tc>
          <w:tcPr>
            <w:tcW w:w="3024" w:type="dxa"/>
            <w:shd w:val="clear" w:color="auto" w:fill="auto"/>
            <w:tcMar>
              <w:left w:w="57" w:type="dxa"/>
              <w:right w:w="57" w:type="dxa"/>
            </w:tcMar>
          </w:tcPr>
          <w:p w14:paraId="1460DCB6"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color w:val="000000"/>
                <w:sz w:val="24"/>
                <w:szCs w:val="24"/>
              </w:rPr>
              <w:t>This output has been renamed to clarify the focus of initiatives in this output.</w:t>
            </w:r>
          </w:p>
        </w:tc>
        <w:tc>
          <w:tcPr>
            <w:tcW w:w="3024" w:type="dxa"/>
            <w:shd w:val="clear" w:color="auto" w:fill="auto"/>
            <w:tcMar>
              <w:left w:w="57" w:type="dxa"/>
              <w:right w:w="57" w:type="dxa"/>
            </w:tcMar>
          </w:tcPr>
          <w:p w14:paraId="62FFED15"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Transport safety and security</w:t>
            </w:r>
          </w:p>
        </w:tc>
      </w:tr>
      <w:tr w:rsidR="003E5BF5" w:rsidRPr="007F3685" w14:paraId="5E21455E" w14:textId="77777777" w:rsidTr="00A36E07">
        <w:tc>
          <w:tcPr>
            <w:tcW w:w="3024" w:type="dxa"/>
            <w:shd w:val="clear" w:color="auto" w:fill="auto"/>
            <w:tcMar>
              <w:left w:w="57" w:type="dxa"/>
              <w:right w:w="57" w:type="dxa"/>
            </w:tcMar>
          </w:tcPr>
          <w:p w14:paraId="552A6648"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sz w:val="24"/>
                <w:szCs w:val="24"/>
              </w:rPr>
              <w:t>Port and freight network access</w:t>
            </w:r>
          </w:p>
        </w:tc>
        <w:tc>
          <w:tcPr>
            <w:tcW w:w="3024" w:type="dxa"/>
            <w:shd w:val="clear" w:color="auto" w:fill="auto"/>
            <w:tcMar>
              <w:left w:w="57" w:type="dxa"/>
              <w:right w:w="57" w:type="dxa"/>
            </w:tcMar>
          </w:tcPr>
          <w:p w14:paraId="56A2CBD8"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color w:val="000000"/>
                <w:sz w:val="24"/>
                <w:szCs w:val="24"/>
              </w:rPr>
              <w:t>This output has been renamed to highlight that boating activities are included under this output.</w:t>
            </w:r>
          </w:p>
        </w:tc>
        <w:tc>
          <w:tcPr>
            <w:tcW w:w="3024" w:type="dxa"/>
            <w:shd w:val="clear" w:color="auto" w:fill="auto"/>
            <w:tcMar>
              <w:left w:w="57" w:type="dxa"/>
              <w:right w:w="57" w:type="dxa"/>
            </w:tcMar>
          </w:tcPr>
          <w:p w14:paraId="3E7308B1"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Ports, freight and boating</w:t>
            </w:r>
          </w:p>
        </w:tc>
      </w:tr>
      <w:tr w:rsidR="003E5BF5" w:rsidRPr="007F3685" w14:paraId="5EC78F6F" w14:textId="77777777" w:rsidTr="00A36E07">
        <w:tc>
          <w:tcPr>
            <w:tcW w:w="3024" w:type="dxa"/>
            <w:shd w:val="clear" w:color="auto" w:fill="auto"/>
            <w:tcMar>
              <w:left w:w="57" w:type="dxa"/>
              <w:right w:w="57" w:type="dxa"/>
            </w:tcMar>
          </w:tcPr>
          <w:p w14:paraId="3D6F0389"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sz w:val="24"/>
                <w:szCs w:val="24"/>
              </w:rPr>
              <w:t>Integrated transport</w:t>
            </w:r>
          </w:p>
        </w:tc>
        <w:tc>
          <w:tcPr>
            <w:tcW w:w="3024" w:type="dxa"/>
            <w:shd w:val="clear" w:color="auto" w:fill="auto"/>
            <w:tcMar>
              <w:left w:w="57" w:type="dxa"/>
              <w:right w:w="57" w:type="dxa"/>
            </w:tcMar>
          </w:tcPr>
          <w:p w14:paraId="66E7772F" w14:textId="77777777" w:rsidR="003E5BF5" w:rsidRPr="007F3685" w:rsidRDefault="003E5BF5" w:rsidP="00DE1921">
            <w:pPr>
              <w:pStyle w:val="TableTextLeft"/>
              <w:spacing w:after="100"/>
              <w:rPr>
                <w:rFonts w:ascii="Arial" w:hAnsi="Arial" w:cs="Arial"/>
                <w:sz w:val="24"/>
                <w:szCs w:val="24"/>
              </w:rPr>
            </w:pPr>
            <w:r w:rsidRPr="007F3685">
              <w:rPr>
                <w:rFonts w:ascii="Arial" w:hAnsi="Arial" w:cs="Arial"/>
                <w:color w:val="000000"/>
                <w:sz w:val="24"/>
                <w:szCs w:val="24"/>
              </w:rPr>
              <w:t>This output has been renamed as it now consolidates all major transport infrastructure program measures under one output.</w:t>
            </w:r>
          </w:p>
        </w:tc>
        <w:tc>
          <w:tcPr>
            <w:tcW w:w="3024" w:type="dxa"/>
            <w:shd w:val="clear" w:color="auto" w:fill="auto"/>
            <w:tcMar>
              <w:left w:w="57" w:type="dxa"/>
              <w:right w:w="57" w:type="dxa"/>
            </w:tcMar>
          </w:tcPr>
          <w:p w14:paraId="58D42CCD" w14:textId="77777777" w:rsidR="003E5BF5" w:rsidRPr="007F3685" w:rsidRDefault="003E5BF5" w:rsidP="00610F5F">
            <w:pPr>
              <w:pStyle w:val="TableTextLeft"/>
              <w:numPr>
                <w:ilvl w:val="0"/>
                <w:numId w:val="24"/>
              </w:numPr>
              <w:ind w:left="227" w:hanging="227"/>
              <w:rPr>
                <w:rFonts w:ascii="Arial" w:hAnsi="Arial" w:cs="Arial"/>
                <w:sz w:val="24"/>
                <w:szCs w:val="24"/>
              </w:rPr>
            </w:pPr>
            <w:r w:rsidRPr="007F3685">
              <w:rPr>
                <w:rFonts w:ascii="Arial" w:hAnsi="Arial" w:cs="Arial"/>
                <w:sz w:val="24"/>
                <w:szCs w:val="24"/>
              </w:rPr>
              <w:t>Transport infrastructure</w:t>
            </w:r>
          </w:p>
        </w:tc>
      </w:tr>
    </w:tbl>
    <w:p w14:paraId="28D682CC" w14:textId="77777777" w:rsidR="003E5BF5" w:rsidRDefault="003E5BF5" w:rsidP="008A0170">
      <w:pPr>
        <w:pStyle w:val="Heading3"/>
        <w:sectPr w:rsidR="003E5BF5" w:rsidSect="00DE1921">
          <w:pgSz w:w="11906" w:h="16838"/>
          <w:pgMar w:top="1701" w:right="1418" w:bottom="1418" w:left="1418" w:header="709" w:footer="709" w:gutter="0"/>
          <w:cols w:space="284"/>
          <w:docGrid w:linePitch="360"/>
        </w:sectPr>
      </w:pPr>
    </w:p>
    <w:p w14:paraId="48648E0C" w14:textId="77777777" w:rsidR="003E5BF5" w:rsidRDefault="003E5BF5" w:rsidP="008A0170">
      <w:pPr>
        <w:pStyle w:val="Heading3"/>
      </w:pPr>
      <w:r>
        <w:lastRenderedPageBreak/>
        <w:t>Reliable and user-focused transport services</w:t>
      </w:r>
    </w:p>
    <w:p w14:paraId="54AA3634" w14:textId="77777777" w:rsidR="003E5BF5" w:rsidRDefault="003E5BF5" w:rsidP="002D450F">
      <w:pPr>
        <w:pStyle w:val="aaatyping"/>
      </w:pPr>
      <w:r w:rsidRPr="00BC3CDB">
        <w:t xml:space="preserve">This output group </w:t>
      </w:r>
      <w:r>
        <w:t>enhances liveability by providing Victorians with a transport system that connects people and places, taking them where they want to go, when they want to go</w:t>
      </w:r>
      <w:r w:rsidRPr="00BC3CDB">
        <w:t>.</w:t>
      </w:r>
    </w:p>
    <w:p w14:paraId="20EE4C8C" w14:textId="77777777" w:rsidR="003E5BF5" w:rsidRPr="00EF196F" w:rsidRDefault="003E5BF5" w:rsidP="00EF5131">
      <w:pPr>
        <w:pStyle w:val="Heading5"/>
      </w:pPr>
      <w:r w:rsidRPr="00EF196F">
        <w:t>Descriptions</w:t>
      </w:r>
    </w:p>
    <w:p w14:paraId="70FB60A9" w14:textId="77777777" w:rsidR="003E5BF5" w:rsidRPr="00EF196F" w:rsidRDefault="003E5BF5" w:rsidP="008869A9">
      <w:pPr>
        <w:pStyle w:val="Heading4"/>
      </w:pPr>
      <w:r w:rsidRPr="00EF196F">
        <w:t>Bus Services</w:t>
      </w:r>
    </w:p>
    <w:p w14:paraId="76B8305F" w14:textId="77777777" w:rsidR="003E5BF5" w:rsidRDefault="003E5BF5" w:rsidP="00AD0842">
      <w:pPr>
        <w:pStyle w:val="aaatyping"/>
        <w:rPr>
          <w:i/>
          <w:iCs/>
        </w:rPr>
      </w:pPr>
      <w:r w:rsidRPr="003543D3">
        <w:t>This output delivers reliable and cost</w:t>
      </w:r>
      <w:r>
        <w:t>-</w:t>
      </w:r>
      <w:r w:rsidRPr="003543D3">
        <w:t xml:space="preserve">effective </w:t>
      </w:r>
      <w:proofErr w:type="spellStart"/>
      <w:r w:rsidRPr="003543D3">
        <w:t>statewide</w:t>
      </w:r>
      <w:proofErr w:type="spellEnd"/>
      <w:r w:rsidRPr="003543D3">
        <w:t xml:space="preserve"> bus services and infrastructure investments, including services delivered through contractual arrangements with private operators</w:t>
      </w:r>
      <w:r>
        <w:t>.</w:t>
      </w:r>
    </w:p>
    <w:p w14:paraId="1324ABD1" w14:textId="77777777" w:rsidR="003E5BF5" w:rsidRPr="00EF196F" w:rsidRDefault="003E5BF5" w:rsidP="008869A9">
      <w:pPr>
        <w:pStyle w:val="Heading4"/>
      </w:pPr>
      <w:r w:rsidRPr="00EF196F">
        <w:t xml:space="preserve">Road Operations </w:t>
      </w:r>
    </w:p>
    <w:p w14:paraId="00E03BC9" w14:textId="77777777" w:rsidR="003E5BF5" w:rsidRDefault="003E5BF5" w:rsidP="002D450F">
      <w:pPr>
        <w:pStyle w:val="aaatyping"/>
      </w:pPr>
      <w:r w:rsidRPr="000223C7">
        <w:t xml:space="preserve">This output </w:t>
      </w:r>
      <w:r>
        <w:t xml:space="preserve">operates the road network by managing access and use, and delivers initiatives that provide more predictable and reliable journeys, improve safety and meet the service quality expected from transport users. </w:t>
      </w:r>
    </w:p>
    <w:p w14:paraId="35622CBE" w14:textId="77777777" w:rsidR="003E5BF5" w:rsidRPr="00EF196F" w:rsidRDefault="003E5BF5" w:rsidP="008869A9">
      <w:pPr>
        <w:pStyle w:val="Heading4"/>
      </w:pPr>
      <w:r w:rsidRPr="00EF196F">
        <w:t>Train Services</w:t>
      </w:r>
    </w:p>
    <w:p w14:paraId="125B3AA3" w14:textId="77777777" w:rsidR="003E5BF5" w:rsidRDefault="003E5BF5" w:rsidP="00AD0842">
      <w:pPr>
        <w:pStyle w:val="aaatyping"/>
        <w:rPr>
          <w:i/>
          <w:iCs/>
        </w:rPr>
      </w:pPr>
      <w:r w:rsidRPr="00441E68">
        <w:t>This output delivers reliable and cost</w:t>
      </w:r>
      <w:r>
        <w:t>-</w:t>
      </w:r>
      <w:r w:rsidRPr="00441E68">
        <w:t>effective train services and infrastructure investments across the Victorian rail network, including services delivered through contractual arrangements with private operators</w:t>
      </w:r>
      <w:r>
        <w:t>.</w:t>
      </w:r>
    </w:p>
    <w:p w14:paraId="50E5346A" w14:textId="77777777" w:rsidR="003E5BF5" w:rsidRPr="00EF196F" w:rsidRDefault="003E5BF5" w:rsidP="008869A9">
      <w:pPr>
        <w:pStyle w:val="Heading4"/>
      </w:pPr>
      <w:r w:rsidRPr="00EF196F">
        <w:t>Tram Services</w:t>
      </w:r>
    </w:p>
    <w:p w14:paraId="04189F01" w14:textId="77777777" w:rsidR="003E5BF5" w:rsidRDefault="003E5BF5" w:rsidP="002D450F">
      <w:pPr>
        <w:pStyle w:val="aaatyping"/>
      </w:pPr>
      <w:r w:rsidRPr="00255ABE">
        <w:t>This output delivers reliable and cost-effective tram services and infrastructure investments, including public transport services delivered through contractual arrangements with private operators</w:t>
      </w:r>
      <w:r>
        <w:t xml:space="preserve">. </w:t>
      </w:r>
    </w:p>
    <w:p w14:paraId="3F988A55" w14:textId="77777777" w:rsidR="003E5BF5" w:rsidRPr="00EF196F" w:rsidRDefault="003E5BF5" w:rsidP="008A0170">
      <w:pPr>
        <w:pStyle w:val="Heading3"/>
      </w:pPr>
      <w:r>
        <w:t>Safe and well-regulated transport services</w:t>
      </w:r>
    </w:p>
    <w:p w14:paraId="59FFB5B8" w14:textId="77777777" w:rsidR="003E5BF5" w:rsidRDefault="003E5BF5" w:rsidP="002D450F">
      <w:pPr>
        <w:pStyle w:val="aaatyping"/>
      </w:pPr>
      <w:r w:rsidRPr="00BC3CDB">
        <w:t xml:space="preserve">This output group </w:t>
      </w:r>
      <w:r>
        <w:t>focuses on helping Victorians arrive safely, whether they are travelling by road, rail or water.</w:t>
      </w:r>
    </w:p>
    <w:p w14:paraId="41EB41B0" w14:textId="77777777" w:rsidR="003E5BF5" w:rsidRPr="00EF196F" w:rsidRDefault="003E5BF5" w:rsidP="00EF5131">
      <w:pPr>
        <w:pStyle w:val="Heading5"/>
      </w:pPr>
      <w:r w:rsidRPr="00EF196F">
        <w:lastRenderedPageBreak/>
        <w:t>Descriptions</w:t>
      </w:r>
    </w:p>
    <w:p w14:paraId="7943E1B6" w14:textId="77777777" w:rsidR="003E5BF5" w:rsidRPr="00EF196F" w:rsidRDefault="003E5BF5" w:rsidP="008869A9">
      <w:pPr>
        <w:pStyle w:val="Heading4"/>
      </w:pPr>
      <w:r w:rsidRPr="00EF196F">
        <w:t>Regulation of Commercial Passenger Vehicle Services</w:t>
      </w:r>
    </w:p>
    <w:p w14:paraId="3C370F15" w14:textId="77777777" w:rsidR="003E5BF5" w:rsidRDefault="003E5BF5" w:rsidP="002A655D">
      <w:pPr>
        <w:pStyle w:val="aaatyping"/>
      </w:pPr>
      <w:r w:rsidRPr="00441E68">
        <w:t xml:space="preserve">This output delivers </w:t>
      </w:r>
      <w:r>
        <w:t xml:space="preserve">a commercial passenger vehicle industry that is customer focused, safe, accessible and competitive in metropolitan and regional Victoria through regulating commercial passenger vehicles, booking service providers, and drivers. </w:t>
      </w:r>
    </w:p>
    <w:p w14:paraId="274A7E29" w14:textId="77777777" w:rsidR="003E5BF5" w:rsidRPr="00EF196F" w:rsidRDefault="003E5BF5" w:rsidP="008869A9">
      <w:pPr>
        <w:pStyle w:val="Heading4"/>
      </w:pPr>
      <w:r w:rsidRPr="00EF196F">
        <w:t>Transport Safety</w:t>
      </w:r>
      <w:r>
        <w:t xml:space="preserve"> and </w:t>
      </w:r>
      <w:r w:rsidRPr="00EF196F">
        <w:t xml:space="preserve">Security </w:t>
      </w:r>
    </w:p>
    <w:p w14:paraId="6FD6A317" w14:textId="77777777" w:rsidR="003E5BF5" w:rsidRDefault="003E5BF5" w:rsidP="002A655D">
      <w:pPr>
        <w:pStyle w:val="aaatyping"/>
      </w:pPr>
      <w:r w:rsidRPr="00255ABE">
        <w:t>This output delivers initiatives and regulatory activities that will improve safety and security and strengthen resilience on Victoria’s transport network</w:t>
      </w:r>
      <w:r>
        <w:t xml:space="preserve">. </w:t>
      </w:r>
    </w:p>
    <w:p w14:paraId="183B8C0A" w14:textId="77777777" w:rsidR="003E5BF5" w:rsidRPr="00EF196F" w:rsidRDefault="003E5BF5" w:rsidP="008A0170">
      <w:pPr>
        <w:pStyle w:val="Heading3"/>
      </w:pPr>
      <w:r>
        <w:t>Better connected communities through improved infrastructure</w:t>
      </w:r>
    </w:p>
    <w:p w14:paraId="3F7817A7" w14:textId="77777777" w:rsidR="003E5BF5" w:rsidRDefault="003E5BF5" w:rsidP="002A655D">
      <w:pPr>
        <w:pStyle w:val="aaatyping"/>
      </w:pPr>
      <w:r w:rsidRPr="00BC3CDB">
        <w:t xml:space="preserve">This output group delivers </w:t>
      </w:r>
      <w:r>
        <w:t>infrastructure investment to transform the way that Victorians travel</w:t>
      </w:r>
      <w:r w:rsidRPr="00BC3CDB">
        <w:t>.</w:t>
      </w:r>
    </w:p>
    <w:p w14:paraId="7D302819" w14:textId="77777777" w:rsidR="003E5BF5" w:rsidRPr="00EF196F" w:rsidRDefault="003E5BF5" w:rsidP="00EF5131">
      <w:pPr>
        <w:pStyle w:val="Heading5"/>
      </w:pPr>
      <w:r w:rsidRPr="00EF196F">
        <w:t>Descriptions</w:t>
      </w:r>
    </w:p>
    <w:p w14:paraId="3B7F3D65" w14:textId="77777777" w:rsidR="003E5BF5" w:rsidRPr="00EF196F" w:rsidRDefault="003E5BF5" w:rsidP="008869A9">
      <w:pPr>
        <w:pStyle w:val="Heading4"/>
      </w:pPr>
      <w:r w:rsidRPr="00EF196F">
        <w:t>Port</w:t>
      </w:r>
      <w:r>
        <w:t xml:space="preserve">s, </w:t>
      </w:r>
      <w:r w:rsidRPr="00EF196F">
        <w:t xml:space="preserve">Freight </w:t>
      </w:r>
      <w:r>
        <w:t>and Boating</w:t>
      </w:r>
    </w:p>
    <w:p w14:paraId="1B631E57" w14:textId="77777777" w:rsidR="003E5BF5" w:rsidRDefault="003E5BF5" w:rsidP="002A655D">
      <w:pPr>
        <w:pStyle w:val="aaatyping"/>
      </w:pPr>
      <w:r w:rsidRPr="000223C7">
        <w:t>This output delivers capital initiatives and programs to increase the capacity, efficiency and safety of the ports, freight and logistics network</w:t>
      </w:r>
      <w:r>
        <w:t xml:space="preserve"> and improve recreational boating services and facilities. </w:t>
      </w:r>
    </w:p>
    <w:p w14:paraId="448FB07E" w14:textId="77777777" w:rsidR="003E5BF5" w:rsidRPr="00EF196F" w:rsidRDefault="003E5BF5" w:rsidP="008869A9">
      <w:pPr>
        <w:pStyle w:val="Heading4"/>
      </w:pPr>
      <w:r w:rsidRPr="00EF196F">
        <w:t>Road Asset Management</w:t>
      </w:r>
    </w:p>
    <w:p w14:paraId="5772B726" w14:textId="77777777" w:rsidR="003E5BF5" w:rsidRDefault="003E5BF5" w:rsidP="00AD0842">
      <w:pPr>
        <w:pStyle w:val="aaatyping"/>
      </w:pPr>
      <w:r w:rsidRPr="000223C7">
        <w:t xml:space="preserve">This output group delivers programs and initiatives to maintain Victoria’s freeways and arterial road network. </w:t>
      </w:r>
    </w:p>
    <w:p w14:paraId="66E923CA" w14:textId="77777777" w:rsidR="003E5BF5" w:rsidRPr="00EF196F" w:rsidRDefault="003E5BF5" w:rsidP="008869A9">
      <w:pPr>
        <w:pStyle w:val="Heading4"/>
      </w:pPr>
      <w:r w:rsidRPr="00EF196F">
        <w:t>Transport</w:t>
      </w:r>
      <w:r>
        <w:t xml:space="preserve"> Infrastructure</w:t>
      </w:r>
    </w:p>
    <w:p w14:paraId="190EE74F" w14:textId="77777777" w:rsidR="003E5BF5" w:rsidRDefault="003E5BF5" w:rsidP="002A655D">
      <w:pPr>
        <w:pStyle w:val="aaatyping"/>
      </w:pPr>
      <w:r w:rsidRPr="00F663A3">
        <w:t xml:space="preserve">This output delivers strategic transport infrastructure activity to improve the transport system. The output contributes to the </w:t>
      </w:r>
      <w:r>
        <w:t>d</w:t>
      </w:r>
      <w:r w:rsidRPr="00F663A3">
        <w:t xml:space="preserve">epartment’s objective to </w:t>
      </w:r>
      <w:r>
        <w:t>transform the way Victorians travel</w:t>
      </w:r>
      <w:r w:rsidRPr="00F663A3">
        <w:t xml:space="preserve"> through </w:t>
      </w:r>
      <w:r>
        <w:t xml:space="preserve">an </w:t>
      </w:r>
      <w:r w:rsidRPr="00F663A3">
        <w:t xml:space="preserve">improved transport </w:t>
      </w:r>
      <w:r>
        <w:t xml:space="preserve">network. </w:t>
      </w:r>
    </w:p>
    <w:p w14:paraId="6BCC7CE4" w14:textId="77777777" w:rsidR="003E5BF5" w:rsidRPr="00EF196F" w:rsidRDefault="003E5BF5" w:rsidP="008A0170">
      <w:pPr>
        <w:pStyle w:val="Heading3"/>
      </w:pPr>
      <w:r w:rsidRPr="00EF196F">
        <w:lastRenderedPageBreak/>
        <w:t>Sustainably Managed Fish Resources</w:t>
      </w:r>
    </w:p>
    <w:p w14:paraId="1EE023B4" w14:textId="77777777" w:rsidR="003E5BF5" w:rsidRPr="00B66595" w:rsidRDefault="003E5BF5" w:rsidP="00543075">
      <w:pPr>
        <w:pStyle w:val="aaatyping"/>
        <w:spacing w:after="120"/>
      </w:pPr>
      <w:r w:rsidRPr="00BC3CDB">
        <w:t>This objective create</w:t>
      </w:r>
      <w:r>
        <w:t>s the conditions for</w:t>
      </w:r>
      <w:r w:rsidRPr="00BC3CDB">
        <w:t xml:space="preserve"> a more productive, competitive and sustainable fisheries resource sector. </w:t>
      </w:r>
    </w:p>
    <w:p w14:paraId="17C66106" w14:textId="77777777" w:rsidR="003E5BF5" w:rsidRPr="00EF196F" w:rsidRDefault="003E5BF5" w:rsidP="00EF5131">
      <w:pPr>
        <w:pStyle w:val="Heading5"/>
      </w:pPr>
      <w:r w:rsidRPr="00EF196F">
        <w:t>Descriptions</w:t>
      </w:r>
    </w:p>
    <w:p w14:paraId="3084D23C" w14:textId="77777777" w:rsidR="003E5BF5" w:rsidRPr="00EF196F" w:rsidRDefault="003E5BF5" w:rsidP="008869A9">
      <w:pPr>
        <w:pStyle w:val="Heading4"/>
      </w:pPr>
      <w:r w:rsidRPr="00EF196F">
        <w:t xml:space="preserve">Sustainably Manage Fish Resources </w:t>
      </w:r>
    </w:p>
    <w:p w14:paraId="72822455" w14:textId="364FE58E" w:rsidR="000172AC" w:rsidRDefault="003E5BF5" w:rsidP="002A655D">
      <w:pPr>
        <w:pStyle w:val="aaatyping"/>
      </w:pPr>
      <w:r w:rsidRPr="00BC3CDB">
        <w:t>This output creates the conditions to grow the natural resources economy by ensuring fish resources are sustainably allocated and used for both recreational and commercial purposes.</w:t>
      </w:r>
      <w:r w:rsidR="000172AC">
        <w:br w:type="page"/>
      </w:r>
    </w:p>
    <w:p w14:paraId="651FA676" w14:textId="77777777" w:rsidR="003E5BF5" w:rsidRDefault="003E5BF5" w:rsidP="008A0170">
      <w:pPr>
        <w:pStyle w:val="Heading2"/>
      </w:pPr>
      <w:r w:rsidRPr="009E17E2">
        <w:lastRenderedPageBreak/>
        <w:t>Reporting progress towards achieving departmental objectives in the report of operations</w:t>
      </w:r>
    </w:p>
    <w:p w14:paraId="4FB87576" w14:textId="77777777" w:rsidR="003E5BF5" w:rsidRPr="00767865" w:rsidRDefault="003E5BF5" w:rsidP="002A655D">
      <w:pPr>
        <w:pStyle w:val="aaatyping"/>
      </w:pPr>
      <w:r w:rsidRPr="00442292">
        <w:rPr>
          <w:shd w:val="clear" w:color="auto" w:fill="FFFFFF"/>
        </w:rPr>
        <w:t xml:space="preserve">The department supports the transport infrastructure, public transport, ports </w:t>
      </w:r>
      <w:r>
        <w:t>and</w:t>
      </w:r>
      <w:r w:rsidRPr="00442292">
        <w:rPr>
          <w:shd w:val="clear" w:color="auto" w:fill="FFFFFF"/>
        </w:rPr>
        <w:t xml:space="preserve"> freight, </w:t>
      </w:r>
      <w:r>
        <w:t>roads and road safety</w:t>
      </w:r>
      <w:r w:rsidRPr="00887B16">
        <w:rPr>
          <w:vertAlign w:val="superscript"/>
        </w:rPr>
        <w:t>1</w:t>
      </w:r>
      <w:r w:rsidRPr="00442292">
        <w:rPr>
          <w:shd w:val="clear" w:color="auto" w:fill="FFFFFF"/>
        </w:rPr>
        <w:t xml:space="preserve">, and fishing </w:t>
      </w:r>
      <w:r>
        <w:rPr>
          <w:shd w:val="clear" w:color="auto" w:fill="FFFFFF"/>
        </w:rPr>
        <w:t>and</w:t>
      </w:r>
      <w:r w:rsidRPr="00442292">
        <w:rPr>
          <w:shd w:val="clear" w:color="auto" w:fill="FFFFFF"/>
        </w:rPr>
        <w:t xml:space="preserve"> boating Ministerial portfolios. </w:t>
      </w:r>
    </w:p>
    <w:p w14:paraId="727F13D2" w14:textId="3103965F" w:rsidR="003E5BF5" w:rsidRDefault="003E5BF5" w:rsidP="002A655D">
      <w:pPr>
        <w:pStyle w:val="aaatyping"/>
      </w:pPr>
      <w:r>
        <w:t>For 2019-20 th</w:t>
      </w:r>
      <w:r w:rsidRPr="00767865">
        <w:t>e objectives, indicators and outputs for the department were reviewed and updated to reflect the department’s priorities</w:t>
      </w:r>
      <w:r>
        <w:t xml:space="preserve"> and to better align objectives, outputs and performance measures (refer to previous section for detail).</w:t>
      </w:r>
    </w:p>
    <w:p w14:paraId="102844F8" w14:textId="1F4D4515" w:rsidR="003E5BF5" w:rsidRPr="00465BF5" w:rsidRDefault="003E5BF5" w:rsidP="002A655D">
      <w:pPr>
        <w:pStyle w:val="aaatyping"/>
      </w:pPr>
      <w:r w:rsidRPr="00465BF5">
        <w:t xml:space="preserve">This section reports the </w:t>
      </w:r>
      <w:r>
        <w:t>d</w:t>
      </w:r>
      <w:r w:rsidRPr="00465BF5">
        <w:t xml:space="preserve">epartment’s progress against its </w:t>
      </w:r>
      <w:r>
        <w:t>2019-20</w:t>
      </w:r>
      <w:r w:rsidRPr="00465BF5">
        <w:t xml:space="preserve"> departmental objectives via a number of indicators to ensure that it is on track to provide an integrated and sustainable transport system and support a sustainable fisheries resource sector for Victoria.</w:t>
      </w:r>
    </w:p>
    <w:p w14:paraId="4E22E728" w14:textId="77777777" w:rsidR="003E5BF5" w:rsidRDefault="003E5BF5" w:rsidP="002A655D">
      <w:pPr>
        <w:pStyle w:val="aaatyping"/>
      </w:pPr>
      <w:r w:rsidRPr="00465BF5">
        <w:t xml:space="preserve">Trends in these indicators demonstrate the </w:t>
      </w:r>
      <w:r>
        <w:t>d</w:t>
      </w:r>
      <w:r w:rsidRPr="00465BF5">
        <w:t>epartment’s performance and progress towards achieving its objectives</w:t>
      </w:r>
      <w:r>
        <w:t xml:space="preserve">, and also are indicative of the departments progress against its key initiatives listed in </w:t>
      </w:r>
      <w:r>
        <w:rPr>
          <w:rStyle w:val="normaltextrun"/>
          <w:i/>
          <w:iCs/>
          <w:color w:val="000000"/>
          <w:szCs w:val="18"/>
          <w:shd w:val="clear" w:color="auto" w:fill="FFFFFF"/>
        </w:rPr>
        <w:t>Simple, Connected Journeys</w:t>
      </w:r>
      <w:r>
        <w:t xml:space="preserve"> -the department’s </w:t>
      </w:r>
      <w:r>
        <w:rPr>
          <w:rStyle w:val="normaltextrun"/>
          <w:color w:val="000000"/>
          <w:szCs w:val="18"/>
          <w:shd w:val="clear" w:color="auto" w:fill="FFFFFF"/>
        </w:rPr>
        <w:t>Strategic Plan 2019-23</w:t>
      </w:r>
      <w:r w:rsidRPr="00465BF5">
        <w:t>.</w:t>
      </w:r>
    </w:p>
    <w:p w14:paraId="2853184D" w14:textId="544C68F7" w:rsidR="003E5BF5" w:rsidRDefault="003E5BF5" w:rsidP="0015538B">
      <w:pPr>
        <w:pStyle w:val="aaatyping"/>
      </w:pPr>
      <w:r>
        <w:t>Note</w:t>
      </w:r>
      <w:r w:rsidR="000172AC">
        <w:t xml:space="preserve"> 1</w:t>
      </w:r>
      <w:r>
        <w:t>:</w:t>
      </w:r>
    </w:p>
    <w:p w14:paraId="16D80C4E" w14:textId="77777777" w:rsidR="003E5BF5" w:rsidRDefault="003E5BF5" w:rsidP="0015538B">
      <w:pPr>
        <w:pStyle w:val="aaatyping"/>
      </w:pPr>
      <w:r>
        <w:t xml:space="preserve">On 22/06/2020 the </w:t>
      </w:r>
      <w:r w:rsidRPr="003F540B">
        <w:t>Roads</w:t>
      </w:r>
      <w:r>
        <w:t>,</w:t>
      </w:r>
      <w:r w:rsidRPr="003F540B">
        <w:t xml:space="preserve"> and Road Safety and the TAC</w:t>
      </w:r>
      <w:r>
        <w:t xml:space="preserve"> Ministerial portfolios became the Roads and Road Safety Ministerial portfolio. </w:t>
      </w:r>
    </w:p>
    <w:p w14:paraId="774B53D1" w14:textId="77777777" w:rsidR="003E5BF5" w:rsidRDefault="003E5BF5" w:rsidP="00DE1921">
      <w:pPr>
        <w:sectPr w:rsidR="003E5BF5" w:rsidSect="00DE1921">
          <w:footerReference w:type="even" r:id="rId240"/>
          <w:type w:val="continuous"/>
          <w:pgSz w:w="11906" w:h="16838"/>
          <w:pgMar w:top="1701" w:right="1418" w:bottom="1418" w:left="1418" w:header="709" w:footer="709" w:gutter="0"/>
          <w:cols w:space="284"/>
          <w:docGrid w:linePitch="360"/>
        </w:sectPr>
      </w:pPr>
    </w:p>
    <w:p w14:paraId="411A0E96" w14:textId="77777777" w:rsidR="003E5BF5" w:rsidRPr="00201EE7" w:rsidRDefault="003E5BF5" w:rsidP="008A0170">
      <w:pPr>
        <w:pStyle w:val="Heading2"/>
        <w:sectPr w:rsidR="003E5BF5" w:rsidRPr="00201EE7" w:rsidSect="00DE1921">
          <w:headerReference w:type="even" r:id="rId241"/>
          <w:pgSz w:w="11906" w:h="16838"/>
          <w:pgMar w:top="1701" w:right="1418" w:bottom="1418" w:left="1418" w:header="709" w:footer="709" w:gutter="0"/>
          <w:cols w:space="284"/>
          <w:docGrid w:linePitch="360"/>
        </w:sectPr>
      </w:pPr>
      <w:r w:rsidRPr="00201EE7">
        <w:lastRenderedPageBreak/>
        <w:t>Objective 1</w:t>
      </w:r>
    </w:p>
    <w:p w14:paraId="07DDFC3D" w14:textId="77777777" w:rsidR="0069231B" w:rsidRPr="007F3685" w:rsidRDefault="0069231B" w:rsidP="00D3096E">
      <w:pPr>
        <w:pStyle w:val="Heading3"/>
      </w:pPr>
      <w:r w:rsidRPr="007F3685">
        <w:t>Reliable and user-focused transport services</w:t>
      </w:r>
    </w:p>
    <w:p w14:paraId="6A225925" w14:textId="77777777" w:rsidR="0069231B" w:rsidRPr="007F3685" w:rsidRDefault="0069231B" w:rsidP="004035F4">
      <w:pPr>
        <w:pStyle w:val="aaatyping"/>
      </w:pPr>
      <w:r w:rsidRPr="007F3685">
        <w:t>The department enhances liveability by providing Victorians with a transport system that connects people and places, taking them where they want to go, when they want to go.</w:t>
      </w:r>
    </w:p>
    <w:p w14:paraId="314E4279" w14:textId="457F3629" w:rsidR="003A5D21" w:rsidRDefault="0069231B" w:rsidP="004035F4">
      <w:pPr>
        <w:pStyle w:val="aaatyping"/>
      </w:pPr>
      <w:r w:rsidRPr="007F3685">
        <w:t>The department achieves this objective by delivering safe, reliable and cost-effective public transport services and road initiatives that provide more predictable and reliable journeys to meet the service quality expected from transport users.</w:t>
      </w:r>
    </w:p>
    <w:p w14:paraId="30EA4AB1" w14:textId="77777777" w:rsidR="0069231B" w:rsidRPr="007F3685" w:rsidRDefault="0069231B" w:rsidP="00356E7E">
      <w:pPr>
        <w:pStyle w:val="Heading4"/>
      </w:pPr>
      <w:r w:rsidRPr="007F3685">
        <w:t>Progress towards achieving this objective</w:t>
      </w:r>
    </w:p>
    <w:p w14:paraId="27402F42" w14:textId="77777777" w:rsidR="0069231B" w:rsidRPr="007F3685" w:rsidRDefault="0069231B" w:rsidP="004035F4">
      <w:pPr>
        <w:pStyle w:val="aaatyping"/>
      </w:pPr>
      <w:r w:rsidRPr="007F3685">
        <w:t xml:space="preserve">In 2019-20 the department reported progress against this objective using the following objective indicator and output: </w:t>
      </w:r>
    </w:p>
    <w:p w14:paraId="6461D157" w14:textId="77777777" w:rsidR="0069231B" w:rsidRPr="007F3685" w:rsidRDefault="0069231B" w:rsidP="004035F4">
      <w:pPr>
        <w:pStyle w:val="Heading4"/>
      </w:pPr>
      <w:r w:rsidRPr="007F3685">
        <w:t>Objective Indicator</w:t>
      </w:r>
    </w:p>
    <w:p w14:paraId="17A8D2B2" w14:textId="77777777" w:rsidR="0069231B" w:rsidRPr="007F3685" w:rsidRDefault="0069231B" w:rsidP="004035F4">
      <w:pPr>
        <w:pStyle w:val="aaabullet"/>
      </w:pPr>
      <w:r w:rsidRPr="007F3685">
        <w:t>Reliable travel</w:t>
      </w:r>
    </w:p>
    <w:p w14:paraId="42A7B335" w14:textId="77777777" w:rsidR="0069231B" w:rsidRPr="007F3685" w:rsidRDefault="0069231B" w:rsidP="004035F4">
      <w:pPr>
        <w:pStyle w:val="aaabullet"/>
      </w:pPr>
      <w:r w:rsidRPr="007F3685">
        <w:t xml:space="preserve">User satisfaction with the transport system. </w:t>
      </w:r>
    </w:p>
    <w:p w14:paraId="3692C91A" w14:textId="77777777" w:rsidR="0069231B" w:rsidRPr="007F3685" w:rsidRDefault="0069231B" w:rsidP="004035F4">
      <w:pPr>
        <w:pStyle w:val="Heading4"/>
      </w:pPr>
      <w:r w:rsidRPr="007F3685">
        <w:t>Output</w:t>
      </w:r>
    </w:p>
    <w:p w14:paraId="3839C3E9" w14:textId="77777777" w:rsidR="0069231B" w:rsidRPr="007F3685" w:rsidRDefault="0069231B" w:rsidP="004035F4">
      <w:pPr>
        <w:pStyle w:val="aaabullet"/>
      </w:pPr>
      <w:r w:rsidRPr="007F3685">
        <w:t>Bus Services</w:t>
      </w:r>
    </w:p>
    <w:p w14:paraId="1B1D96D7" w14:textId="77777777" w:rsidR="0069231B" w:rsidRPr="007F3685" w:rsidRDefault="0069231B" w:rsidP="004035F4">
      <w:pPr>
        <w:pStyle w:val="aaabullet"/>
      </w:pPr>
      <w:r w:rsidRPr="007F3685">
        <w:t>Road Operations</w:t>
      </w:r>
    </w:p>
    <w:p w14:paraId="59307DBC" w14:textId="77777777" w:rsidR="0069231B" w:rsidRPr="007F3685" w:rsidRDefault="0069231B" w:rsidP="004035F4">
      <w:pPr>
        <w:pStyle w:val="aaabullet"/>
      </w:pPr>
      <w:r w:rsidRPr="007F3685">
        <w:t>Train Services</w:t>
      </w:r>
    </w:p>
    <w:p w14:paraId="3C4DA966" w14:textId="34548803" w:rsidR="0069231B" w:rsidRDefault="0069231B" w:rsidP="004035F4">
      <w:pPr>
        <w:pStyle w:val="aaabullet"/>
      </w:pPr>
      <w:r w:rsidRPr="007F3685">
        <w:t>Tram Services.</w:t>
      </w:r>
    </w:p>
    <w:p w14:paraId="0B56B0A8" w14:textId="067428CF" w:rsidR="003E5BF5" w:rsidRPr="00B87A0C" w:rsidRDefault="003E5BF5" w:rsidP="008A0170">
      <w:pPr>
        <w:pStyle w:val="Heading3"/>
        <w:sectPr w:rsidR="003E5BF5" w:rsidRPr="00B87A0C" w:rsidSect="00DE1921">
          <w:type w:val="continuous"/>
          <w:pgSz w:w="11906" w:h="16838"/>
          <w:pgMar w:top="1701" w:right="1418" w:bottom="1418" w:left="1418" w:header="709" w:footer="709" w:gutter="0"/>
          <w:cols w:space="284"/>
          <w:docGrid w:linePitch="360"/>
        </w:sectPr>
      </w:pPr>
      <w:r w:rsidRPr="00B87A0C">
        <w:t>Indicator: Reliable travel</w:t>
      </w:r>
    </w:p>
    <w:p w14:paraId="17C3E424" w14:textId="77777777" w:rsidR="003E5BF5" w:rsidRDefault="003E5BF5" w:rsidP="0015538B">
      <w:pPr>
        <w:pStyle w:val="aaatyping"/>
      </w:pPr>
      <w:r w:rsidRPr="00B009AA">
        <w:t xml:space="preserve">All modes of public transport </w:t>
      </w:r>
      <w:r>
        <w:t xml:space="preserve">were above 2018-19 levels for </w:t>
      </w:r>
      <w:r w:rsidRPr="00B009AA">
        <w:t>punctuali</w:t>
      </w:r>
      <w:r>
        <w:t>ty</w:t>
      </w:r>
      <w:r w:rsidRPr="00B009AA">
        <w:t>.</w:t>
      </w:r>
      <w:r>
        <w:t xml:space="preserve"> It was particularly noticeable for tram and metropolitan bus services</w:t>
      </w:r>
      <w:r w:rsidRPr="00B009AA">
        <w:t>.</w:t>
      </w:r>
      <w:r w:rsidRPr="004373D1">
        <w:t xml:space="preserve"> Scheduled services </w:t>
      </w:r>
      <w:r>
        <w:t>were</w:t>
      </w:r>
      <w:r w:rsidRPr="004373D1">
        <w:t xml:space="preserve"> maintained or adapted where necessary for the </w:t>
      </w:r>
      <w:r>
        <w:t>coronavirus (COVID-19)</w:t>
      </w:r>
      <w:r w:rsidRPr="004373D1">
        <w:t xml:space="preserve"> response to ensure Victorians </w:t>
      </w:r>
      <w:r>
        <w:t>could</w:t>
      </w:r>
      <w:r w:rsidRPr="004373D1">
        <w:t xml:space="preserve"> still undertake essential travel</w:t>
      </w:r>
      <w:r>
        <w:t>.</w:t>
      </w:r>
    </w:p>
    <w:p w14:paraId="5113FB04" w14:textId="77777777" w:rsidR="003E5BF5" w:rsidRDefault="003E5BF5" w:rsidP="0015538B">
      <w:pPr>
        <w:pStyle w:val="aaatyping"/>
      </w:pPr>
      <w:r w:rsidRPr="0086700E">
        <w:lastRenderedPageBreak/>
        <w:t>Travel time reliability on metropolitan roads has also improved over the year.</w:t>
      </w:r>
      <w:r>
        <w:t xml:space="preserve"> </w:t>
      </w:r>
      <w:r w:rsidRPr="0086700E">
        <w:t xml:space="preserve">Road traffic </w:t>
      </w:r>
      <w:r>
        <w:t>volume reduced</w:t>
      </w:r>
      <w:r w:rsidRPr="0086700E">
        <w:t xml:space="preserve"> due to </w:t>
      </w:r>
      <w:r>
        <w:t>the coronavirus (COVID-19) response</w:t>
      </w:r>
      <w:r w:rsidRPr="0086700E">
        <w:t xml:space="preserve"> but had returned to near normal levels by the end of June as many of those returning to work and school switched from public to private transport for their journeys.</w:t>
      </w:r>
    </w:p>
    <w:p w14:paraId="06919C4D" w14:textId="77777777" w:rsidR="003E5BF5" w:rsidRDefault="003E5BF5" w:rsidP="0015538B">
      <w:pPr>
        <w:pStyle w:val="aaatyping"/>
      </w:pPr>
      <w:r>
        <w:t>Every effort was made to minimise the impact on departmental services provided to Victorians, particularly during the coronavirus (COVID-19) response:</w:t>
      </w:r>
    </w:p>
    <w:p w14:paraId="1B25F344" w14:textId="77777777" w:rsidR="003E5BF5" w:rsidRPr="00FB55AA" w:rsidRDefault="003E5BF5" w:rsidP="0015538B">
      <w:pPr>
        <w:pStyle w:val="aaabullet"/>
      </w:pPr>
      <w:r w:rsidRPr="00FB55AA">
        <w:t xml:space="preserve">Customer Service Centres remained open, working under strict social distancing and cleaning protocols. This was supported by a </w:t>
      </w:r>
      <w:r>
        <w:t>coronavirus (COVID-19)</w:t>
      </w:r>
      <w:r w:rsidRPr="00FB55AA">
        <w:t xml:space="preserve"> specific digital program and a specific </w:t>
      </w:r>
      <w:r>
        <w:t>coronavirus (COVID-19)</w:t>
      </w:r>
      <w:r w:rsidRPr="00FB55AA">
        <w:t xml:space="preserve"> webpage</w:t>
      </w:r>
    </w:p>
    <w:p w14:paraId="19F24183" w14:textId="77777777" w:rsidR="003E5BF5" w:rsidRPr="00FB55AA" w:rsidRDefault="003E5BF5" w:rsidP="0015538B">
      <w:pPr>
        <w:pStyle w:val="aaabullet"/>
      </w:pPr>
      <w:r w:rsidRPr="00FB55AA">
        <w:t>Call Centre staff worked from home, continuing to respond to queries</w:t>
      </w:r>
    </w:p>
    <w:p w14:paraId="7DC7EED7" w14:textId="77777777" w:rsidR="003E5BF5" w:rsidRPr="00FB55AA" w:rsidRDefault="003E5BF5" w:rsidP="0015538B">
      <w:pPr>
        <w:pStyle w:val="aaabullet"/>
      </w:pPr>
      <w:r w:rsidRPr="00FB55AA">
        <w:t>Online applications continued to be processed.</w:t>
      </w:r>
    </w:p>
    <w:p w14:paraId="7A22AD68" w14:textId="77777777" w:rsidR="003E5BF5" w:rsidRDefault="003E5BF5" w:rsidP="0015538B">
      <w:pPr>
        <w:pStyle w:val="aaatyping"/>
      </w:pPr>
      <w:r>
        <w:t>The impact of improved punctuality, reliability and service continuity is reflected in improved customer satisfaction scores for metropolitan and regional bus, train and trams over 2018-19 levels.</w:t>
      </w:r>
    </w:p>
    <w:p w14:paraId="1F636000" w14:textId="77777777" w:rsidR="003E5BF5" w:rsidRDefault="003E5BF5" w:rsidP="0015538B">
      <w:pPr>
        <w:pStyle w:val="aaatyping"/>
      </w:pPr>
      <w:r>
        <w:t>Various initiatives will assist public transport reliability in future years. New technology upgrades to the Yarra Trams Operations Centre will minimise the impact of disruptions and incidents on the tram network, helping reduce delays and cancellations for Melbourne passengers. A new bank of information screens has been installed feeding live traffic data from VicRoads, CCTV from across the tram network and passenger tweets. There is also a dedicated station for major planned and unplanned disruptions, which can be switched to ‘crisis mode’ in seconds.</w:t>
      </w:r>
    </w:p>
    <w:p w14:paraId="4266A529" w14:textId="77777777" w:rsidR="003E5BF5" w:rsidRDefault="003E5BF5" w:rsidP="0015538B">
      <w:pPr>
        <w:pStyle w:val="aaatyping"/>
      </w:pPr>
      <w:r>
        <w:lastRenderedPageBreak/>
        <w:t>Continuations to the tram super stops program have provided passengers at various points on tram route 58 with new tram stop platforms which</w:t>
      </w:r>
      <w:r w:rsidRPr="009A36FC">
        <w:t xml:space="preserve"> align with low-floor trams for easier boarding</w:t>
      </w:r>
      <w:r>
        <w:t xml:space="preserve"> and</w:t>
      </w:r>
      <w:r w:rsidRPr="009A36FC">
        <w:t xml:space="preserve"> new customer information displays</w:t>
      </w:r>
      <w:r>
        <w:t>.</w:t>
      </w:r>
    </w:p>
    <w:p w14:paraId="76DAE278" w14:textId="77777777" w:rsidR="003E5BF5" w:rsidRDefault="003E5BF5" w:rsidP="0015538B">
      <w:pPr>
        <w:pStyle w:val="aaatyping"/>
      </w:pPr>
      <w:r>
        <w:t>On metropolitan bus services, the 86 new buses operated by Transdev will make bus travel more reliable as well as more comfortable for passengers on the bus network. A further 14 will soon be in service.</w:t>
      </w:r>
    </w:p>
    <w:p w14:paraId="462F07DC" w14:textId="77777777" w:rsidR="003E5BF5" w:rsidRDefault="003E5BF5" w:rsidP="0015538B">
      <w:pPr>
        <w:pStyle w:val="aaatyping"/>
      </w:pPr>
      <w:r>
        <w:t xml:space="preserve">On the Bendigo line, 48,000 </w:t>
      </w:r>
      <w:r w:rsidRPr="0073584A">
        <w:t>timber sleepers</w:t>
      </w:r>
      <w:r>
        <w:t xml:space="preserve"> have been replaced</w:t>
      </w:r>
      <w:r w:rsidRPr="0073584A">
        <w:t xml:space="preserve"> with concrete between Sunbury and Bendigo</w:t>
      </w:r>
      <w:r>
        <w:t xml:space="preserve">, in a </w:t>
      </w:r>
      <w:r w:rsidRPr="0073584A">
        <w:t xml:space="preserve">$16.1 million project </w:t>
      </w:r>
      <w:r>
        <w:t>making journeys more</w:t>
      </w:r>
      <w:r w:rsidRPr="0073584A">
        <w:t xml:space="preserve"> </w:t>
      </w:r>
      <w:r>
        <w:t>reliable for V/Line passengers.</w:t>
      </w:r>
    </w:p>
    <w:p w14:paraId="154D5CEA" w14:textId="77777777" w:rsidR="003E5BF5" w:rsidRDefault="003E5BF5" w:rsidP="0015538B">
      <w:pPr>
        <w:pStyle w:val="aaatyping"/>
        <w:rPr>
          <w:color w:val="FF0000"/>
        </w:rPr>
        <w:sectPr w:rsidR="003E5BF5" w:rsidSect="00C21B17">
          <w:type w:val="continuous"/>
          <w:pgSz w:w="11906" w:h="16838"/>
          <w:pgMar w:top="1701" w:right="1418" w:bottom="1418" w:left="1418" w:header="709" w:footer="709" w:gutter="0"/>
          <w:cols w:space="284"/>
          <w:docGrid w:linePitch="360"/>
        </w:sectPr>
      </w:pPr>
      <w:r>
        <w:t>The opening of the new Drysdale Bypass at the end of June will improve travel times on the Bellarine Peninsula in the coming year. Other road projects completed during the year and contributing to reliable travel included the widening of an intersection at McDonalds and Gorge roads in South Morang, as part of Stage 2 of the Plenty Road Upgrade</w:t>
      </w:r>
      <w:r w:rsidRPr="00D376CF">
        <w:t xml:space="preserve">. </w:t>
      </w:r>
    </w:p>
    <w:p w14:paraId="5A93CAA8" w14:textId="77777777" w:rsidR="00C21B17" w:rsidRDefault="00C21B17" w:rsidP="00CF74EB">
      <w:pPr>
        <w:pStyle w:val="TableHeader"/>
        <w:sectPr w:rsidR="00C21B17" w:rsidSect="00DE1921">
          <w:pgSz w:w="11906" w:h="16838" w:code="9"/>
          <w:pgMar w:top="1701" w:right="1418" w:bottom="1418" w:left="1418" w:header="709" w:footer="709" w:gutter="0"/>
          <w:cols w:space="284"/>
          <w:docGrid w:linePitch="360"/>
        </w:sectPr>
      </w:pPr>
    </w:p>
    <w:p w14:paraId="53F23641" w14:textId="15A0F2EA" w:rsidR="003E5BF5" w:rsidRPr="007F3685" w:rsidRDefault="003E5BF5" w:rsidP="00CF74EB">
      <w:pPr>
        <w:pStyle w:val="TableHeader"/>
      </w:pPr>
      <w:r w:rsidRPr="007F3685">
        <w:t>Reliable travel</w:t>
      </w:r>
    </w:p>
    <w:tbl>
      <w:tblPr>
        <w:tblStyle w:val="TableGrid"/>
        <w:tblW w:w="9072" w:type="dxa"/>
        <w:tblLayout w:type="fixed"/>
        <w:tblCellMar>
          <w:left w:w="57" w:type="dxa"/>
          <w:right w:w="57" w:type="dxa"/>
        </w:tblCellMar>
        <w:tblLook w:val="04A0" w:firstRow="1" w:lastRow="0" w:firstColumn="1" w:lastColumn="0" w:noHBand="0" w:noVBand="1"/>
      </w:tblPr>
      <w:tblGrid>
        <w:gridCol w:w="3969"/>
        <w:gridCol w:w="1418"/>
        <w:gridCol w:w="1134"/>
        <w:gridCol w:w="850"/>
        <w:gridCol w:w="851"/>
        <w:gridCol w:w="850"/>
      </w:tblGrid>
      <w:tr w:rsidR="003E5BF5" w:rsidRPr="007F3685" w14:paraId="277B6EA9" w14:textId="77777777" w:rsidTr="00F1755B">
        <w:trPr>
          <w:trHeight w:val="340"/>
        </w:trPr>
        <w:tc>
          <w:tcPr>
            <w:tcW w:w="3969" w:type="dxa"/>
            <w:shd w:val="clear" w:color="auto" w:fill="auto"/>
            <w:tcMar>
              <w:left w:w="57" w:type="dxa"/>
              <w:right w:w="57" w:type="dxa"/>
            </w:tcMar>
            <w:vAlign w:val="center"/>
          </w:tcPr>
          <w:p w14:paraId="0E182CC4"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Indicator</w:t>
            </w:r>
          </w:p>
        </w:tc>
        <w:tc>
          <w:tcPr>
            <w:tcW w:w="1418" w:type="dxa"/>
            <w:shd w:val="clear" w:color="auto" w:fill="auto"/>
            <w:tcMar>
              <w:left w:w="57" w:type="dxa"/>
              <w:right w:w="57" w:type="dxa"/>
            </w:tcMar>
            <w:vAlign w:val="center"/>
          </w:tcPr>
          <w:p w14:paraId="507A03D0"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Unit of measure</w:t>
            </w:r>
          </w:p>
        </w:tc>
        <w:tc>
          <w:tcPr>
            <w:tcW w:w="1134" w:type="dxa"/>
            <w:shd w:val="clear" w:color="auto" w:fill="auto"/>
            <w:vAlign w:val="center"/>
          </w:tcPr>
          <w:p w14:paraId="73F12DA2"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2016-17</w:t>
            </w:r>
          </w:p>
        </w:tc>
        <w:tc>
          <w:tcPr>
            <w:tcW w:w="850" w:type="dxa"/>
            <w:shd w:val="clear" w:color="auto" w:fill="auto"/>
            <w:vAlign w:val="center"/>
          </w:tcPr>
          <w:p w14:paraId="06708F59"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2017-18</w:t>
            </w:r>
          </w:p>
        </w:tc>
        <w:tc>
          <w:tcPr>
            <w:tcW w:w="851" w:type="dxa"/>
            <w:shd w:val="clear" w:color="auto" w:fill="auto"/>
            <w:vAlign w:val="center"/>
          </w:tcPr>
          <w:p w14:paraId="27380799"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2018-19</w:t>
            </w:r>
          </w:p>
        </w:tc>
        <w:tc>
          <w:tcPr>
            <w:tcW w:w="850" w:type="dxa"/>
            <w:shd w:val="clear" w:color="auto" w:fill="auto"/>
            <w:tcMar>
              <w:left w:w="57" w:type="dxa"/>
              <w:right w:w="57" w:type="dxa"/>
            </w:tcMar>
            <w:vAlign w:val="center"/>
          </w:tcPr>
          <w:p w14:paraId="2B885040"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2019-20</w:t>
            </w:r>
          </w:p>
        </w:tc>
      </w:tr>
      <w:tr w:rsidR="003E5BF5" w:rsidRPr="007F3685" w14:paraId="4D57B235" w14:textId="77777777" w:rsidTr="00F1755B">
        <w:trPr>
          <w:trHeight w:val="340"/>
        </w:trPr>
        <w:tc>
          <w:tcPr>
            <w:tcW w:w="3969" w:type="dxa"/>
            <w:shd w:val="clear" w:color="auto" w:fill="auto"/>
            <w:tcMar>
              <w:left w:w="57" w:type="dxa"/>
              <w:right w:w="57" w:type="dxa"/>
            </w:tcMar>
            <w:vAlign w:val="center"/>
          </w:tcPr>
          <w:p w14:paraId="455100D7"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Service punctuality: metropolitan train </w:t>
            </w:r>
          </w:p>
        </w:tc>
        <w:tc>
          <w:tcPr>
            <w:tcW w:w="1418" w:type="dxa"/>
            <w:shd w:val="clear" w:color="auto" w:fill="auto"/>
            <w:tcMar>
              <w:left w:w="57" w:type="dxa"/>
              <w:right w:w="57" w:type="dxa"/>
            </w:tcMar>
            <w:vAlign w:val="center"/>
          </w:tcPr>
          <w:p w14:paraId="4F9A21D4"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per cent</w:t>
            </w:r>
          </w:p>
        </w:tc>
        <w:tc>
          <w:tcPr>
            <w:tcW w:w="1134" w:type="dxa"/>
            <w:shd w:val="clear" w:color="auto" w:fill="auto"/>
            <w:vAlign w:val="center"/>
          </w:tcPr>
          <w:p w14:paraId="6710A72B"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91.8</w:t>
            </w:r>
          </w:p>
        </w:tc>
        <w:tc>
          <w:tcPr>
            <w:tcW w:w="850" w:type="dxa"/>
            <w:shd w:val="clear" w:color="auto" w:fill="auto"/>
            <w:vAlign w:val="center"/>
          </w:tcPr>
          <w:p w14:paraId="04E9FEB5"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91.9</w:t>
            </w:r>
          </w:p>
        </w:tc>
        <w:tc>
          <w:tcPr>
            <w:tcW w:w="851" w:type="dxa"/>
            <w:shd w:val="clear" w:color="auto" w:fill="auto"/>
            <w:vAlign w:val="center"/>
          </w:tcPr>
          <w:p w14:paraId="1FDD1051"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91.1</w:t>
            </w:r>
          </w:p>
        </w:tc>
        <w:tc>
          <w:tcPr>
            <w:tcW w:w="850" w:type="dxa"/>
            <w:shd w:val="clear" w:color="auto" w:fill="auto"/>
            <w:tcMar>
              <w:left w:w="57" w:type="dxa"/>
              <w:right w:w="57" w:type="dxa"/>
            </w:tcMar>
            <w:vAlign w:val="center"/>
          </w:tcPr>
          <w:p w14:paraId="7EC7AD7E"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92.1</w:t>
            </w:r>
          </w:p>
        </w:tc>
      </w:tr>
      <w:tr w:rsidR="003E5BF5" w:rsidRPr="007F3685" w14:paraId="73D5225E" w14:textId="77777777" w:rsidTr="00F1755B">
        <w:trPr>
          <w:trHeight w:val="340"/>
        </w:trPr>
        <w:tc>
          <w:tcPr>
            <w:tcW w:w="3969" w:type="dxa"/>
            <w:shd w:val="clear" w:color="auto" w:fill="auto"/>
            <w:tcMar>
              <w:left w:w="57" w:type="dxa"/>
              <w:right w:w="57" w:type="dxa"/>
            </w:tcMar>
            <w:vAlign w:val="center"/>
          </w:tcPr>
          <w:p w14:paraId="385C89C6"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Service punctuality: metropolitan bus</w:t>
            </w:r>
          </w:p>
        </w:tc>
        <w:tc>
          <w:tcPr>
            <w:tcW w:w="1418" w:type="dxa"/>
            <w:shd w:val="clear" w:color="auto" w:fill="auto"/>
            <w:tcMar>
              <w:left w:w="57" w:type="dxa"/>
              <w:right w:w="57" w:type="dxa"/>
            </w:tcMar>
            <w:vAlign w:val="center"/>
          </w:tcPr>
          <w:p w14:paraId="511E47B2"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per cent</w:t>
            </w:r>
          </w:p>
        </w:tc>
        <w:tc>
          <w:tcPr>
            <w:tcW w:w="1134" w:type="dxa"/>
            <w:shd w:val="clear" w:color="auto" w:fill="auto"/>
            <w:vAlign w:val="center"/>
          </w:tcPr>
          <w:p w14:paraId="11B15E8B"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81</w:t>
            </w:r>
          </w:p>
        </w:tc>
        <w:tc>
          <w:tcPr>
            <w:tcW w:w="850" w:type="dxa"/>
            <w:shd w:val="clear" w:color="auto" w:fill="auto"/>
            <w:vAlign w:val="center"/>
          </w:tcPr>
          <w:p w14:paraId="5C84BD08"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81</w:t>
            </w:r>
          </w:p>
        </w:tc>
        <w:tc>
          <w:tcPr>
            <w:tcW w:w="851" w:type="dxa"/>
            <w:shd w:val="clear" w:color="auto" w:fill="auto"/>
            <w:vAlign w:val="center"/>
          </w:tcPr>
          <w:p w14:paraId="6B54C122"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83</w:t>
            </w:r>
          </w:p>
        </w:tc>
        <w:tc>
          <w:tcPr>
            <w:tcW w:w="850" w:type="dxa"/>
            <w:shd w:val="clear" w:color="auto" w:fill="auto"/>
            <w:tcMar>
              <w:left w:w="57" w:type="dxa"/>
              <w:right w:w="57" w:type="dxa"/>
            </w:tcMar>
            <w:vAlign w:val="center"/>
          </w:tcPr>
          <w:p w14:paraId="2D821E67"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89.4</w:t>
            </w:r>
          </w:p>
        </w:tc>
      </w:tr>
      <w:tr w:rsidR="003E5BF5" w:rsidRPr="007F3685" w14:paraId="678D2CBF" w14:textId="77777777" w:rsidTr="00F1755B">
        <w:trPr>
          <w:trHeight w:val="340"/>
        </w:trPr>
        <w:tc>
          <w:tcPr>
            <w:tcW w:w="3969" w:type="dxa"/>
            <w:shd w:val="clear" w:color="auto" w:fill="auto"/>
            <w:tcMar>
              <w:left w:w="57" w:type="dxa"/>
              <w:right w:w="57" w:type="dxa"/>
            </w:tcMar>
            <w:vAlign w:val="center"/>
          </w:tcPr>
          <w:p w14:paraId="52945EE4"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Service punctuality: tram </w:t>
            </w:r>
          </w:p>
        </w:tc>
        <w:tc>
          <w:tcPr>
            <w:tcW w:w="1418" w:type="dxa"/>
            <w:shd w:val="clear" w:color="auto" w:fill="auto"/>
            <w:tcMar>
              <w:left w:w="57" w:type="dxa"/>
              <w:right w:w="57" w:type="dxa"/>
            </w:tcMar>
            <w:vAlign w:val="center"/>
          </w:tcPr>
          <w:p w14:paraId="21093CA7"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per cent</w:t>
            </w:r>
          </w:p>
        </w:tc>
        <w:tc>
          <w:tcPr>
            <w:tcW w:w="1134" w:type="dxa"/>
            <w:shd w:val="clear" w:color="auto" w:fill="auto"/>
            <w:vAlign w:val="center"/>
          </w:tcPr>
          <w:p w14:paraId="7A6894C0"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82.6</w:t>
            </w:r>
          </w:p>
        </w:tc>
        <w:tc>
          <w:tcPr>
            <w:tcW w:w="850" w:type="dxa"/>
            <w:shd w:val="clear" w:color="auto" w:fill="auto"/>
            <w:vAlign w:val="center"/>
          </w:tcPr>
          <w:p w14:paraId="191F91E6"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81.7</w:t>
            </w:r>
          </w:p>
        </w:tc>
        <w:tc>
          <w:tcPr>
            <w:tcW w:w="851" w:type="dxa"/>
            <w:shd w:val="clear" w:color="auto" w:fill="auto"/>
            <w:vAlign w:val="center"/>
          </w:tcPr>
          <w:p w14:paraId="6B2CD9AD"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83.1</w:t>
            </w:r>
          </w:p>
        </w:tc>
        <w:tc>
          <w:tcPr>
            <w:tcW w:w="850" w:type="dxa"/>
            <w:shd w:val="clear" w:color="auto" w:fill="auto"/>
            <w:tcMar>
              <w:left w:w="57" w:type="dxa"/>
              <w:right w:w="57" w:type="dxa"/>
            </w:tcMar>
            <w:vAlign w:val="center"/>
          </w:tcPr>
          <w:p w14:paraId="32A7B9BC"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86.3</w:t>
            </w:r>
          </w:p>
        </w:tc>
      </w:tr>
      <w:tr w:rsidR="003E5BF5" w:rsidRPr="007F3685" w14:paraId="0CF51F7A" w14:textId="77777777" w:rsidTr="00F1755B">
        <w:trPr>
          <w:trHeight w:val="340"/>
        </w:trPr>
        <w:tc>
          <w:tcPr>
            <w:tcW w:w="3969" w:type="dxa"/>
            <w:shd w:val="clear" w:color="auto" w:fill="auto"/>
            <w:tcMar>
              <w:left w:w="57" w:type="dxa"/>
              <w:right w:w="57" w:type="dxa"/>
            </w:tcMar>
            <w:vAlign w:val="center"/>
          </w:tcPr>
          <w:p w14:paraId="2DFA9838"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Service punctuality: regional train</w:t>
            </w:r>
          </w:p>
        </w:tc>
        <w:tc>
          <w:tcPr>
            <w:tcW w:w="1418" w:type="dxa"/>
            <w:shd w:val="clear" w:color="auto" w:fill="auto"/>
            <w:tcMar>
              <w:left w:w="57" w:type="dxa"/>
              <w:right w:w="57" w:type="dxa"/>
            </w:tcMar>
            <w:vAlign w:val="center"/>
          </w:tcPr>
          <w:p w14:paraId="01AE675A"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per cent</w:t>
            </w:r>
          </w:p>
        </w:tc>
        <w:tc>
          <w:tcPr>
            <w:tcW w:w="1134" w:type="dxa"/>
            <w:shd w:val="clear" w:color="auto" w:fill="auto"/>
            <w:vAlign w:val="center"/>
          </w:tcPr>
          <w:p w14:paraId="1ABF945B"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85</w:t>
            </w:r>
          </w:p>
        </w:tc>
        <w:tc>
          <w:tcPr>
            <w:tcW w:w="850" w:type="dxa"/>
            <w:shd w:val="clear" w:color="auto" w:fill="auto"/>
            <w:vAlign w:val="center"/>
          </w:tcPr>
          <w:p w14:paraId="42AB246D"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84</w:t>
            </w:r>
          </w:p>
        </w:tc>
        <w:tc>
          <w:tcPr>
            <w:tcW w:w="851" w:type="dxa"/>
            <w:shd w:val="clear" w:color="auto" w:fill="auto"/>
            <w:vAlign w:val="center"/>
          </w:tcPr>
          <w:p w14:paraId="3AA15160"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87</w:t>
            </w:r>
          </w:p>
        </w:tc>
        <w:tc>
          <w:tcPr>
            <w:tcW w:w="850" w:type="dxa"/>
            <w:shd w:val="clear" w:color="auto" w:fill="auto"/>
            <w:tcMar>
              <w:left w:w="57" w:type="dxa"/>
              <w:right w:w="57" w:type="dxa"/>
            </w:tcMar>
            <w:vAlign w:val="center"/>
          </w:tcPr>
          <w:p w14:paraId="59BB994E"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88.9</w:t>
            </w:r>
          </w:p>
        </w:tc>
      </w:tr>
      <w:tr w:rsidR="003E5BF5" w:rsidRPr="007F3685" w14:paraId="74AFBCAD" w14:textId="77777777" w:rsidTr="00F1755B">
        <w:trPr>
          <w:trHeight w:val="340"/>
        </w:trPr>
        <w:tc>
          <w:tcPr>
            <w:tcW w:w="3969" w:type="dxa"/>
            <w:shd w:val="clear" w:color="auto" w:fill="auto"/>
            <w:tcMar>
              <w:left w:w="57" w:type="dxa"/>
              <w:right w:w="57" w:type="dxa"/>
            </w:tcMar>
            <w:vAlign w:val="center"/>
          </w:tcPr>
          <w:p w14:paraId="32C55281"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Service punctuality: regional bus </w:t>
            </w:r>
          </w:p>
        </w:tc>
        <w:tc>
          <w:tcPr>
            <w:tcW w:w="1418" w:type="dxa"/>
            <w:shd w:val="clear" w:color="auto" w:fill="auto"/>
            <w:tcMar>
              <w:left w:w="57" w:type="dxa"/>
              <w:right w:w="57" w:type="dxa"/>
            </w:tcMar>
            <w:vAlign w:val="center"/>
          </w:tcPr>
          <w:p w14:paraId="56FAE7C4"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per cent</w:t>
            </w:r>
          </w:p>
        </w:tc>
        <w:tc>
          <w:tcPr>
            <w:tcW w:w="1134" w:type="dxa"/>
            <w:shd w:val="clear" w:color="auto" w:fill="auto"/>
            <w:vAlign w:val="center"/>
          </w:tcPr>
          <w:p w14:paraId="729A404A"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95</w:t>
            </w:r>
          </w:p>
        </w:tc>
        <w:tc>
          <w:tcPr>
            <w:tcW w:w="850" w:type="dxa"/>
            <w:shd w:val="clear" w:color="auto" w:fill="auto"/>
            <w:vAlign w:val="center"/>
          </w:tcPr>
          <w:p w14:paraId="22A13AEA"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94</w:t>
            </w:r>
          </w:p>
        </w:tc>
        <w:tc>
          <w:tcPr>
            <w:tcW w:w="851" w:type="dxa"/>
            <w:shd w:val="clear" w:color="auto" w:fill="auto"/>
            <w:vAlign w:val="center"/>
          </w:tcPr>
          <w:p w14:paraId="1E5DE95E"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93</w:t>
            </w:r>
          </w:p>
        </w:tc>
        <w:tc>
          <w:tcPr>
            <w:tcW w:w="850" w:type="dxa"/>
            <w:shd w:val="clear" w:color="auto" w:fill="auto"/>
            <w:tcMar>
              <w:left w:w="57" w:type="dxa"/>
              <w:right w:w="57" w:type="dxa"/>
            </w:tcMar>
            <w:vAlign w:val="center"/>
          </w:tcPr>
          <w:p w14:paraId="13CE8422"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93.4</w:t>
            </w:r>
          </w:p>
        </w:tc>
      </w:tr>
      <w:tr w:rsidR="003E5BF5" w:rsidRPr="007F3685" w14:paraId="244160EB" w14:textId="77777777" w:rsidTr="00F1755B">
        <w:trPr>
          <w:trHeight w:val="340"/>
        </w:trPr>
        <w:tc>
          <w:tcPr>
            <w:tcW w:w="3969" w:type="dxa"/>
            <w:shd w:val="clear" w:color="auto" w:fill="auto"/>
            <w:tcMar>
              <w:left w:w="57" w:type="dxa"/>
              <w:right w:w="57" w:type="dxa"/>
            </w:tcMar>
            <w:vAlign w:val="center"/>
          </w:tcPr>
          <w:p w14:paraId="14E63F1F"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Scheduled services delivered: metropolitan train</w:t>
            </w:r>
          </w:p>
        </w:tc>
        <w:tc>
          <w:tcPr>
            <w:tcW w:w="1418" w:type="dxa"/>
            <w:shd w:val="clear" w:color="auto" w:fill="auto"/>
            <w:tcMar>
              <w:left w:w="57" w:type="dxa"/>
              <w:right w:w="57" w:type="dxa"/>
            </w:tcMar>
            <w:vAlign w:val="center"/>
          </w:tcPr>
          <w:p w14:paraId="60104EEB"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per cent</w:t>
            </w:r>
          </w:p>
        </w:tc>
        <w:tc>
          <w:tcPr>
            <w:tcW w:w="1134" w:type="dxa"/>
            <w:shd w:val="clear" w:color="auto" w:fill="auto"/>
            <w:vAlign w:val="center"/>
          </w:tcPr>
          <w:p w14:paraId="6CB07239"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99</w:t>
            </w:r>
          </w:p>
        </w:tc>
        <w:tc>
          <w:tcPr>
            <w:tcW w:w="850" w:type="dxa"/>
            <w:shd w:val="clear" w:color="auto" w:fill="auto"/>
            <w:vAlign w:val="center"/>
          </w:tcPr>
          <w:p w14:paraId="481AE147"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99</w:t>
            </w:r>
          </w:p>
        </w:tc>
        <w:tc>
          <w:tcPr>
            <w:tcW w:w="851" w:type="dxa"/>
            <w:shd w:val="clear" w:color="auto" w:fill="auto"/>
            <w:vAlign w:val="center"/>
          </w:tcPr>
          <w:p w14:paraId="4A414246"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98</w:t>
            </w:r>
          </w:p>
        </w:tc>
        <w:tc>
          <w:tcPr>
            <w:tcW w:w="850" w:type="dxa"/>
            <w:shd w:val="clear" w:color="auto" w:fill="auto"/>
            <w:tcMar>
              <w:left w:w="57" w:type="dxa"/>
              <w:right w:w="57" w:type="dxa"/>
            </w:tcMar>
            <w:vAlign w:val="center"/>
          </w:tcPr>
          <w:p w14:paraId="44985D55"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98.5</w:t>
            </w:r>
          </w:p>
        </w:tc>
      </w:tr>
      <w:tr w:rsidR="003E5BF5" w:rsidRPr="007F3685" w14:paraId="0EBEC5D8" w14:textId="77777777" w:rsidTr="00F1755B">
        <w:trPr>
          <w:trHeight w:val="340"/>
        </w:trPr>
        <w:tc>
          <w:tcPr>
            <w:tcW w:w="3969" w:type="dxa"/>
            <w:shd w:val="clear" w:color="auto" w:fill="auto"/>
            <w:tcMar>
              <w:left w:w="57" w:type="dxa"/>
              <w:right w:w="57" w:type="dxa"/>
            </w:tcMar>
            <w:vAlign w:val="center"/>
          </w:tcPr>
          <w:p w14:paraId="7B2FE571"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Scheduled services delivered: metropolitan bus</w:t>
            </w:r>
          </w:p>
        </w:tc>
        <w:tc>
          <w:tcPr>
            <w:tcW w:w="1418" w:type="dxa"/>
            <w:shd w:val="clear" w:color="auto" w:fill="auto"/>
            <w:tcMar>
              <w:left w:w="57" w:type="dxa"/>
              <w:right w:w="57" w:type="dxa"/>
            </w:tcMar>
            <w:vAlign w:val="center"/>
          </w:tcPr>
          <w:p w14:paraId="77822A97"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per cent</w:t>
            </w:r>
          </w:p>
        </w:tc>
        <w:tc>
          <w:tcPr>
            <w:tcW w:w="1134" w:type="dxa"/>
            <w:shd w:val="clear" w:color="auto" w:fill="auto"/>
            <w:vAlign w:val="center"/>
          </w:tcPr>
          <w:p w14:paraId="57A8DD83"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99.9</w:t>
            </w:r>
          </w:p>
        </w:tc>
        <w:tc>
          <w:tcPr>
            <w:tcW w:w="850" w:type="dxa"/>
            <w:shd w:val="clear" w:color="auto" w:fill="auto"/>
            <w:vAlign w:val="center"/>
          </w:tcPr>
          <w:p w14:paraId="0446D1C5"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99.9</w:t>
            </w:r>
          </w:p>
        </w:tc>
        <w:tc>
          <w:tcPr>
            <w:tcW w:w="851" w:type="dxa"/>
            <w:shd w:val="clear" w:color="auto" w:fill="auto"/>
            <w:vAlign w:val="center"/>
          </w:tcPr>
          <w:p w14:paraId="2BEA2A9D"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99.8</w:t>
            </w:r>
          </w:p>
        </w:tc>
        <w:tc>
          <w:tcPr>
            <w:tcW w:w="850" w:type="dxa"/>
            <w:shd w:val="clear" w:color="auto" w:fill="auto"/>
            <w:tcMar>
              <w:left w:w="57" w:type="dxa"/>
              <w:right w:w="57" w:type="dxa"/>
            </w:tcMar>
            <w:vAlign w:val="center"/>
          </w:tcPr>
          <w:p w14:paraId="51719DC7"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99.9</w:t>
            </w:r>
          </w:p>
        </w:tc>
      </w:tr>
      <w:tr w:rsidR="003E5BF5" w:rsidRPr="007F3685" w14:paraId="4F22290C" w14:textId="77777777" w:rsidTr="00F1755B">
        <w:trPr>
          <w:trHeight w:val="340"/>
        </w:trPr>
        <w:tc>
          <w:tcPr>
            <w:tcW w:w="3969" w:type="dxa"/>
            <w:shd w:val="clear" w:color="auto" w:fill="auto"/>
            <w:tcMar>
              <w:left w:w="57" w:type="dxa"/>
              <w:right w:w="57" w:type="dxa"/>
            </w:tcMar>
            <w:vAlign w:val="center"/>
          </w:tcPr>
          <w:p w14:paraId="47B8AE2F"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Scheduled services delivered: tram </w:t>
            </w:r>
          </w:p>
        </w:tc>
        <w:tc>
          <w:tcPr>
            <w:tcW w:w="1418" w:type="dxa"/>
            <w:shd w:val="clear" w:color="auto" w:fill="auto"/>
            <w:tcMar>
              <w:left w:w="57" w:type="dxa"/>
              <w:right w:w="57" w:type="dxa"/>
            </w:tcMar>
            <w:vAlign w:val="center"/>
          </w:tcPr>
          <w:p w14:paraId="12FF1C31"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per cent</w:t>
            </w:r>
          </w:p>
        </w:tc>
        <w:tc>
          <w:tcPr>
            <w:tcW w:w="1134" w:type="dxa"/>
            <w:shd w:val="clear" w:color="auto" w:fill="auto"/>
            <w:vAlign w:val="center"/>
          </w:tcPr>
          <w:p w14:paraId="5FE9327B"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98.6</w:t>
            </w:r>
          </w:p>
        </w:tc>
        <w:tc>
          <w:tcPr>
            <w:tcW w:w="850" w:type="dxa"/>
            <w:shd w:val="clear" w:color="auto" w:fill="auto"/>
            <w:vAlign w:val="center"/>
          </w:tcPr>
          <w:p w14:paraId="104278BF"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98.5</w:t>
            </w:r>
          </w:p>
        </w:tc>
        <w:tc>
          <w:tcPr>
            <w:tcW w:w="851" w:type="dxa"/>
            <w:shd w:val="clear" w:color="auto" w:fill="auto"/>
            <w:vAlign w:val="center"/>
          </w:tcPr>
          <w:p w14:paraId="611EE59E"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98.5</w:t>
            </w:r>
          </w:p>
        </w:tc>
        <w:tc>
          <w:tcPr>
            <w:tcW w:w="850" w:type="dxa"/>
            <w:shd w:val="clear" w:color="auto" w:fill="auto"/>
            <w:tcMar>
              <w:left w:w="57" w:type="dxa"/>
              <w:right w:w="57" w:type="dxa"/>
            </w:tcMar>
            <w:vAlign w:val="center"/>
          </w:tcPr>
          <w:p w14:paraId="795BBB02"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98</w:t>
            </w:r>
          </w:p>
        </w:tc>
      </w:tr>
      <w:tr w:rsidR="003E5BF5" w:rsidRPr="007F3685" w14:paraId="2225C034" w14:textId="77777777" w:rsidTr="00F1755B">
        <w:trPr>
          <w:trHeight w:val="340"/>
        </w:trPr>
        <w:tc>
          <w:tcPr>
            <w:tcW w:w="3969" w:type="dxa"/>
            <w:shd w:val="clear" w:color="auto" w:fill="auto"/>
            <w:tcMar>
              <w:left w:w="57" w:type="dxa"/>
              <w:right w:w="57" w:type="dxa"/>
            </w:tcMar>
            <w:vAlign w:val="center"/>
          </w:tcPr>
          <w:p w14:paraId="6C8D8BCC"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Scheduled services delivered: regional train </w:t>
            </w:r>
          </w:p>
        </w:tc>
        <w:tc>
          <w:tcPr>
            <w:tcW w:w="1418" w:type="dxa"/>
            <w:shd w:val="clear" w:color="auto" w:fill="auto"/>
            <w:tcMar>
              <w:left w:w="57" w:type="dxa"/>
              <w:right w:w="57" w:type="dxa"/>
            </w:tcMar>
            <w:vAlign w:val="center"/>
          </w:tcPr>
          <w:p w14:paraId="0D38F42B"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per cent</w:t>
            </w:r>
          </w:p>
        </w:tc>
        <w:tc>
          <w:tcPr>
            <w:tcW w:w="1134" w:type="dxa"/>
            <w:shd w:val="clear" w:color="auto" w:fill="auto"/>
            <w:vAlign w:val="center"/>
          </w:tcPr>
          <w:p w14:paraId="5CFBCE31"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97.8</w:t>
            </w:r>
          </w:p>
        </w:tc>
        <w:tc>
          <w:tcPr>
            <w:tcW w:w="850" w:type="dxa"/>
            <w:shd w:val="clear" w:color="auto" w:fill="auto"/>
            <w:vAlign w:val="center"/>
          </w:tcPr>
          <w:p w14:paraId="43220CF6"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97.0</w:t>
            </w:r>
          </w:p>
        </w:tc>
        <w:tc>
          <w:tcPr>
            <w:tcW w:w="851" w:type="dxa"/>
            <w:shd w:val="clear" w:color="auto" w:fill="auto"/>
            <w:vAlign w:val="center"/>
          </w:tcPr>
          <w:p w14:paraId="0C580712"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96.4</w:t>
            </w:r>
          </w:p>
        </w:tc>
        <w:tc>
          <w:tcPr>
            <w:tcW w:w="850" w:type="dxa"/>
            <w:shd w:val="clear" w:color="auto" w:fill="auto"/>
            <w:tcMar>
              <w:left w:w="57" w:type="dxa"/>
              <w:right w:w="57" w:type="dxa"/>
            </w:tcMar>
            <w:vAlign w:val="center"/>
          </w:tcPr>
          <w:p w14:paraId="2813FEE1"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95.6</w:t>
            </w:r>
          </w:p>
        </w:tc>
      </w:tr>
      <w:tr w:rsidR="003E5BF5" w:rsidRPr="007F3685" w14:paraId="5776C88A" w14:textId="77777777" w:rsidTr="00F1755B">
        <w:trPr>
          <w:trHeight w:val="340"/>
        </w:trPr>
        <w:tc>
          <w:tcPr>
            <w:tcW w:w="3969" w:type="dxa"/>
            <w:shd w:val="clear" w:color="auto" w:fill="auto"/>
            <w:tcMar>
              <w:left w:w="57" w:type="dxa"/>
              <w:right w:w="57" w:type="dxa"/>
            </w:tcMar>
            <w:vAlign w:val="center"/>
          </w:tcPr>
          <w:p w14:paraId="1D4B42CA"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Scheduled services delivered: regional bus </w:t>
            </w:r>
          </w:p>
        </w:tc>
        <w:tc>
          <w:tcPr>
            <w:tcW w:w="1418" w:type="dxa"/>
            <w:shd w:val="clear" w:color="auto" w:fill="auto"/>
            <w:tcMar>
              <w:left w:w="57" w:type="dxa"/>
              <w:right w:w="57" w:type="dxa"/>
            </w:tcMar>
            <w:vAlign w:val="center"/>
          </w:tcPr>
          <w:p w14:paraId="6B4E0630"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per cent</w:t>
            </w:r>
          </w:p>
        </w:tc>
        <w:tc>
          <w:tcPr>
            <w:tcW w:w="1134" w:type="dxa"/>
            <w:shd w:val="clear" w:color="auto" w:fill="auto"/>
            <w:vAlign w:val="center"/>
          </w:tcPr>
          <w:p w14:paraId="2B50523B"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99</w:t>
            </w:r>
          </w:p>
        </w:tc>
        <w:tc>
          <w:tcPr>
            <w:tcW w:w="850" w:type="dxa"/>
            <w:shd w:val="clear" w:color="auto" w:fill="auto"/>
            <w:vAlign w:val="center"/>
          </w:tcPr>
          <w:p w14:paraId="436F5F66"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100</w:t>
            </w:r>
          </w:p>
        </w:tc>
        <w:tc>
          <w:tcPr>
            <w:tcW w:w="851" w:type="dxa"/>
            <w:shd w:val="clear" w:color="auto" w:fill="auto"/>
            <w:vAlign w:val="center"/>
          </w:tcPr>
          <w:p w14:paraId="22ABAE36"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100</w:t>
            </w:r>
          </w:p>
        </w:tc>
        <w:tc>
          <w:tcPr>
            <w:tcW w:w="850" w:type="dxa"/>
            <w:shd w:val="clear" w:color="auto" w:fill="auto"/>
            <w:tcMar>
              <w:left w:w="57" w:type="dxa"/>
              <w:right w:w="57" w:type="dxa"/>
            </w:tcMar>
            <w:vAlign w:val="center"/>
          </w:tcPr>
          <w:p w14:paraId="2F472582"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100</w:t>
            </w:r>
          </w:p>
        </w:tc>
      </w:tr>
      <w:tr w:rsidR="003E5BF5" w:rsidRPr="007F3685" w14:paraId="171332C8" w14:textId="77777777" w:rsidTr="00F1755B">
        <w:trPr>
          <w:trHeight w:val="340"/>
        </w:trPr>
        <w:tc>
          <w:tcPr>
            <w:tcW w:w="3969" w:type="dxa"/>
            <w:shd w:val="clear" w:color="auto" w:fill="auto"/>
            <w:tcMar>
              <w:left w:w="57" w:type="dxa"/>
              <w:right w:w="57" w:type="dxa"/>
            </w:tcMar>
            <w:vAlign w:val="center"/>
          </w:tcPr>
          <w:p w14:paraId="02F82795"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Travel time reliability: metropolitan roads</w:t>
            </w:r>
            <w:r w:rsidRPr="007F3685">
              <w:rPr>
                <w:rFonts w:ascii="Arial" w:hAnsi="Arial" w:cs="Arial"/>
                <w:sz w:val="24"/>
                <w:szCs w:val="24"/>
                <w:vertAlign w:val="superscript"/>
              </w:rPr>
              <w:t xml:space="preserve">1 </w:t>
            </w:r>
          </w:p>
        </w:tc>
        <w:tc>
          <w:tcPr>
            <w:tcW w:w="1418" w:type="dxa"/>
            <w:shd w:val="clear" w:color="auto" w:fill="auto"/>
            <w:tcMar>
              <w:left w:w="57" w:type="dxa"/>
              <w:right w:w="57" w:type="dxa"/>
            </w:tcMar>
            <w:vAlign w:val="center"/>
          </w:tcPr>
          <w:p w14:paraId="0513439E"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per cent</w:t>
            </w:r>
          </w:p>
        </w:tc>
        <w:tc>
          <w:tcPr>
            <w:tcW w:w="1134" w:type="dxa"/>
            <w:shd w:val="clear" w:color="auto" w:fill="auto"/>
            <w:vAlign w:val="center"/>
          </w:tcPr>
          <w:p w14:paraId="4F15B8A0"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not available</w:t>
            </w:r>
          </w:p>
        </w:tc>
        <w:tc>
          <w:tcPr>
            <w:tcW w:w="850" w:type="dxa"/>
            <w:shd w:val="clear" w:color="auto" w:fill="auto"/>
            <w:vAlign w:val="center"/>
          </w:tcPr>
          <w:p w14:paraId="0F58B3C0"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87.7</w:t>
            </w:r>
          </w:p>
        </w:tc>
        <w:tc>
          <w:tcPr>
            <w:tcW w:w="851" w:type="dxa"/>
            <w:shd w:val="clear" w:color="auto" w:fill="auto"/>
            <w:vAlign w:val="center"/>
          </w:tcPr>
          <w:p w14:paraId="58F48AF0"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87.6</w:t>
            </w:r>
          </w:p>
        </w:tc>
        <w:tc>
          <w:tcPr>
            <w:tcW w:w="850" w:type="dxa"/>
            <w:shd w:val="clear" w:color="auto" w:fill="auto"/>
            <w:tcMar>
              <w:left w:w="57" w:type="dxa"/>
              <w:right w:w="57" w:type="dxa"/>
            </w:tcMar>
            <w:vAlign w:val="center"/>
          </w:tcPr>
          <w:p w14:paraId="38831040"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90.1</w:t>
            </w:r>
          </w:p>
        </w:tc>
      </w:tr>
    </w:tbl>
    <w:p w14:paraId="568FD9BA" w14:textId="77777777" w:rsidR="003E5BF5" w:rsidRPr="007F3685" w:rsidRDefault="003E5BF5" w:rsidP="00D54025">
      <w:pPr>
        <w:pStyle w:val="Note"/>
        <w:spacing w:line="360" w:lineRule="auto"/>
        <w:rPr>
          <w:rFonts w:ascii="Arial" w:hAnsi="Arial" w:cs="Arial"/>
          <w:sz w:val="24"/>
          <w:szCs w:val="24"/>
        </w:rPr>
      </w:pPr>
      <w:r w:rsidRPr="007F3685">
        <w:rPr>
          <w:rFonts w:ascii="Arial" w:hAnsi="Arial" w:cs="Arial"/>
          <w:sz w:val="24"/>
          <w:szCs w:val="24"/>
        </w:rPr>
        <w:t>Note:</w:t>
      </w:r>
    </w:p>
    <w:p w14:paraId="67A0A1D0" w14:textId="77777777" w:rsidR="003E5BF5" w:rsidRPr="007F3685" w:rsidRDefault="003E5BF5" w:rsidP="00610F5F">
      <w:pPr>
        <w:pStyle w:val="Notenumber123"/>
        <w:numPr>
          <w:ilvl w:val="0"/>
          <w:numId w:val="34"/>
        </w:numPr>
        <w:spacing w:line="360" w:lineRule="auto"/>
        <w:ind w:left="567" w:hanging="425"/>
        <w:contextualSpacing/>
        <w:rPr>
          <w:rFonts w:ascii="Arial" w:hAnsi="Arial" w:cs="Arial"/>
          <w:sz w:val="24"/>
          <w:szCs w:val="24"/>
        </w:rPr>
      </w:pPr>
      <w:r w:rsidRPr="007F3685">
        <w:rPr>
          <w:rFonts w:ascii="Arial" w:hAnsi="Arial" w:cs="Arial"/>
          <w:sz w:val="24"/>
          <w:szCs w:val="24"/>
        </w:rPr>
        <w:t xml:space="preserve">This measure replaces the 2018-19 measure </w:t>
      </w:r>
      <w:r w:rsidRPr="007F3685">
        <w:rPr>
          <w:rFonts w:ascii="Arial" w:hAnsi="Arial" w:cs="Arial"/>
          <w:i/>
          <w:sz w:val="24"/>
          <w:szCs w:val="24"/>
        </w:rPr>
        <w:t>Travel time punctuality: metropolitan roads</w:t>
      </w:r>
      <w:r w:rsidRPr="007F3685">
        <w:rPr>
          <w:rFonts w:ascii="Arial" w:hAnsi="Arial" w:cs="Arial"/>
          <w:sz w:val="24"/>
          <w:szCs w:val="24"/>
        </w:rPr>
        <w:t xml:space="preserve"> with a more robust and easily understood indicator of reliable travel for the road network. The measure indicates the percentage of nominal 30-minute trips that would have been completed within 35 minutes on normal weekdays within school terms. </w:t>
      </w:r>
    </w:p>
    <w:p w14:paraId="6F9B5DFE" w14:textId="77777777" w:rsidR="003D6BC6" w:rsidRDefault="003D6BC6" w:rsidP="008A0170">
      <w:pPr>
        <w:pStyle w:val="Heading3"/>
        <w:sectPr w:rsidR="003D6BC6" w:rsidSect="00C21B17">
          <w:type w:val="continuous"/>
          <w:pgSz w:w="11906" w:h="16838" w:code="9"/>
          <w:pgMar w:top="1701" w:right="1418" w:bottom="1418" w:left="1418" w:header="709" w:footer="709" w:gutter="0"/>
          <w:cols w:space="284"/>
          <w:docGrid w:linePitch="360"/>
        </w:sectPr>
      </w:pPr>
    </w:p>
    <w:p w14:paraId="186CA253" w14:textId="5B97F4E8" w:rsidR="003E5BF5" w:rsidRPr="00EF6C73" w:rsidRDefault="003E5BF5" w:rsidP="008A0170">
      <w:pPr>
        <w:pStyle w:val="Heading3"/>
        <w:sectPr w:rsidR="003E5BF5" w:rsidRPr="00EF6C73" w:rsidSect="003D6BC6">
          <w:type w:val="continuous"/>
          <w:pgSz w:w="11906" w:h="16838" w:code="9"/>
          <w:pgMar w:top="1701" w:right="1418" w:bottom="1418" w:left="1418" w:header="709" w:footer="709" w:gutter="0"/>
          <w:cols w:space="284"/>
          <w:docGrid w:linePitch="360"/>
        </w:sectPr>
      </w:pPr>
      <w:r w:rsidRPr="00EF6C73">
        <w:t>Indicator: User satisfaction with the transport system</w:t>
      </w:r>
    </w:p>
    <w:p w14:paraId="1A9C0400" w14:textId="77777777" w:rsidR="003E5BF5" w:rsidRPr="00BD6F42" w:rsidRDefault="003E5BF5" w:rsidP="0015538B">
      <w:pPr>
        <w:pStyle w:val="aaatyping"/>
      </w:pPr>
      <w:r w:rsidRPr="00BD6F42">
        <w:t xml:space="preserve">Customer satisfaction remains high in Victoria’s public transport services. All modes have shown improvements over 2018-19 levels. This demonstrates the community’s support for the current operation of the transport network as well as the Big Build and how it has been managed. </w:t>
      </w:r>
    </w:p>
    <w:p w14:paraId="6E52302A" w14:textId="77777777" w:rsidR="003E5BF5" w:rsidRPr="00BD6F42" w:rsidRDefault="003E5BF5" w:rsidP="0015538B">
      <w:pPr>
        <w:pStyle w:val="aaatyping"/>
      </w:pPr>
      <w:r w:rsidRPr="00BD6F42">
        <w:t xml:space="preserve">In order to minimise inconvenience to the public, construction “blitzes” on road and rail continued during the quieter school holiday periods as Victoria’s Big Build intensifies. </w:t>
      </w:r>
    </w:p>
    <w:p w14:paraId="620EB5FD" w14:textId="77777777" w:rsidR="003E5BF5" w:rsidRDefault="003E5BF5" w:rsidP="0015538B">
      <w:pPr>
        <w:pStyle w:val="aaatyping"/>
      </w:pPr>
      <w:r w:rsidRPr="00864678">
        <w:lastRenderedPageBreak/>
        <w:t>Planning and operation of replacement bus services continued so that work could proceed on digging the Metro Tunnel, removing more level crossings, building new stations and upgrading the Ballarat Line</w:t>
      </w:r>
      <w:r>
        <w:t>. Comprehensive communication campaigns kept transport users informed of changes to the network.</w:t>
      </w:r>
    </w:p>
    <w:p w14:paraId="69689921" w14:textId="77777777" w:rsidR="003E5BF5" w:rsidRDefault="003E5BF5" w:rsidP="0015538B">
      <w:pPr>
        <w:pStyle w:val="aaatyping"/>
      </w:pPr>
      <w:r>
        <w:t>During the last few months of the year, quieter conditions enabled work to continue against a background of a sharp decrease in people travelling, particularly on public transport.</w:t>
      </w:r>
    </w:p>
    <w:p w14:paraId="6CC7683E" w14:textId="77777777" w:rsidR="003E5BF5" w:rsidRDefault="003E5BF5" w:rsidP="0015538B">
      <w:pPr>
        <w:pStyle w:val="aaatyping"/>
      </w:pPr>
      <w:r w:rsidRPr="00CE02BA">
        <w:t xml:space="preserve">The continuing growth of the Victorian population is being catered for through the purchase of new trains and trams. An additional eight low-floor E Class trams and four </w:t>
      </w:r>
      <w:proofErr w:type="spellStart"/>
      <w:r w:rsidRPr="00CE02BA">
        <w:t>X’Trapolis</w:t>
      </w:r>
      <w:proofErr w:type="spellEnd"/>
      <w:r w:rsidRPr="00CE02BA">
        <w:t xml:space="preserve"> trains were brought into service during the year under the Trains, Trams, Jobs: 2015–2025 rolling stock strategy. </w:t>
      </w:r>
    </w:p>
    <w:p w14:paraId="38F709E3" w14:textId="77777777" w:rsidR="003E5BF5" w:rsidRDefault="003E5BF5" w:rsidP="0015538B">
      <w:pPr>
        <w:pStyle w:val="aaatyping"/>
      </w:pPr>
      <w:r>
        <w:t>Victoria</w:t>
      </w:r>
      <w:r w:rsidRPr="002C6195">
        <w:t>’s new High Capacity Metro Trains are undertaking a rigorous testing program to ensure they are safe and reliable before entering passenger service</w:t>
      </w:r>
      <w:r>
        <w:t xml:space="preserve"> on the busy Cranbourne and Pakenham lines</w:t>
      </w:r>
      <w:r w:rsidRPr="002C6195">
        <w:t xml:space="preserve">. This is Victoria’s first new metro train fleet in more than 15 years and will provide passengers with more space, improved accessibility features and real-time information about their journey. Each train must complete thousands of tests and travel thousands of kilometres before taking passengers. </w:t>
      </w:r>
    </w:p>
    <w:p w14:paraId="78430A93" w14:textId="77777777" w:rsidR="003E5BF5" w:rsidRDefault="003E5BF5" w:rsidP="0015538B">
      <w:pPr>
        <w:pStyle w:val="aaatyping"/>
      </w:pPr>
      <w:r>
        <w:t>F</w:t>
      </w:r>
      <w:r w:rsidRPr="002C6195">
        <w:t xml:space="preserve">inal designs </w:t>
      </w:r>
      <w:r>
        <w:t xml:space="preserve">were released </w:t>
      </w:r>
      <w:r w:rsidRPr="002C6195">
        <w:t xml:space="preserve">for the new, comfortable and more reliable </w:t>
      </w:r>
      <w:proofErr w:type="spellStart"/>
      <w:r w:rsidRPr="002C6195">
        <w:t>VLocity</w:t>
      </w:r>
      <w:proofErr w:type="spellEnd"/>
      <w:r w:rsidRPr="002C6195">
        <w:t xml:space="preserve"> trains for the North East line. The design includes built in USB chargers, luggage storage, a modern catering facility and six wheelchair spaces with companion seats</w:t>
      </w:r>
      <w:r>
        <w:t>.</w:t>
      </w:r>
    </w:p>
    <w:p w14:paraId="66135AF6" w14:textId="77777777" w:rsidR="003E5BF5" w:rsidRDefault="003E5BF5" w:rsidP="0015538B">
      <w:pPr>
        <w:pStyle w:val="aaatyping"/>
      </w:pPr>
      <w:r>
        <w:lastRenderedPageBreak/>
        <w:t xml:space="preserve">Work commenced on </w:t>
      </w:r>
      <w:r w:rsidRPr="002E1CF4">
        <w:t>120 new and upgraded car park</w:t>
      </w:r>
      <w:r>
        <w:t>ing spaces</w:t>
      </w:r>
      <w:r w:rsidRPr="002E1CF4">
        <w:t xml:space="preserve"> at Hurstbridge Station</w:t>
      </w:r>
      <w:r>
        <w:t xml:space="preserve">, </w:t>
      </w:r>
      <w:r w:rsidRPr="001C0821">
        <w:t xml:space="preserve">the first of thirty station carpark upgrades in Melbourne, jointly funded by the </w:t>
      </w:r>
      <w:r>
        <w:t xml:space="preserve">Victorian government </w:t>
      </w:r>
      <w:r w:rsidRPr="001C0821">
        <w:t>and Commonwealth government</w:t>
      </w:r>
      <w:r>
        <w:t xml:space="preserve">. </w:t>
      </w:r>
    </w:p>
    <w:p w14:paraId="0A095B33" w14:textId="650851FC" w:rsidR="003E5BF5" w:rsidRDefault="003E5BF5" w:rsidP="0015538B">
      <w:pPr>
        <w:pStyle w:val="aaatyping"/>
      </w:pPr>
      <w:r>
        <w:t>One hundred</w:t>
      </w:r>
      <w:r w:rsidRPr="001C0821">
        <w:t xml:space="preserve"> new buses, operated by Transdev, </w:t>
      </w:r>
      <w:r>
        <w:t xml:space="preserve">are being rolled out in Melbourne, </w:t>
      </w:r>
      <w:r w:rsidRPr="001C0821">
        <w:t xml:space="preserve">with 86 buses </w:t>
      </w:r>
      <w:r>
        <w:t>already</w:t>
      </w:r>
      <w:r w:rsidRPr="001C0821">
        <w:t xml:space="preserve"> in-service</w:t>
      </w:r>
      <w:r>
        <w:t>.</w:t>
      </w:r>
      <w:r w:rsidRPr="001C0821">
        <w:t xml:space="preserve"> </w:t>
      </w:r>
      <w:r>
        <w:t>T</w:t>
      </w:r>
      <w:r w:rsidRPr="001C0821">
        <w:t xml:space="preserve">he remaining 14 buses </w:t>
      </w:r>
      <w:r>
        <w:t xml:space="preserve">are </w:t>
      </w:r>
      <w:r w:rsidRPr="001C0821">
        <w:t>due to commence service in August 2020</w:t>
      </w:r>
      <w:r>
        <w:t>.</w:t>
      </w:r>
    </w:p>
    <w:p w14:paraId="23FC7936" w14:textId="20E542C6" w:rsidR="003E5BF5" w:rsidRDefault="003E5BF5" w:rsidP="0015538B">
      <w:pPr>
        <w:pStyle w:val="aaatyping"/>
        <w:sectPr w:rsidR="003E5BF5" w:rsidSect="003D6BC6">
          <w:type w:val="continuous"/>
          <w:pgSz w:w="11906" w:h="16838"/>
          <w:pgMar w:top="1701" w:right="1418" w:bottom="1418" w:left="1418" w:header="709" w:footer="709" w:gutter="0"/>
          <w:cols w:space="284"/>
          <w:docGrid w:linePitch="360"/>
        </w:sectPr>
      </w:pPr>
      <w:r w:rsidRPr="00E105F4">
        <w:t xml:space="preserve">Customer satisfaction with Commercial Passenger Vehicles Victoria (CPVV) </w:t>
      </w:r>
      <w:r w:rsidRPr="002D6E5C">
        <w:t>is high, with more than 80</w:t>
      </w:r>
      <w:r>
        <w:t xml:space="preserve"> per cent</w:t>
      </w:r>
      <w:r w:rsidRPr="002D6E5C">
        <w:t xml:space="preserve"> of industry participants satisfied. </w:t>
      </w:r>
      <w:r>
        <w:t>This reflects improved processing times for accreditation applications and operating procedures in the call centre. Due to coronavirus (COVID-19), call centre functions were suspended in March.</w:t>
      </w:r>
    </w:p>
    <w:p w14:paraId="6F558C0D" w14:textId="77777777" w:rsidR="003D6BC6" w:rsidRDefault="003D6BC6" w:rsidP="00CF74EB">
      <w:pPr>
        <w:pStyle w:val="TableHeader"/>
        <w:sectPr w:rsidR="003D6BC6" w:rsidSect="00DE1921">
          <w:type w:val="continuous"/>
          <w:pgSz w:w="11906" w:h="16838"/>
          <w:pgMar w:top="1701" w:right="1418" w:bottom="1418" w:left="1418" w:header="709" w:footer="709" w:gutter="0"/>
          <w:cols w:space="284"/>
          <w:docGrid w:linePitch="360"/>
        </w:sectPr>
      </w:pPr>
    </w:p>
    <w:p w14:paraId="27C2E39C" w14:textId="0E550961" w:rsidR="003E5BF5" w:rsidRPr="007F3685" w:rsidRDefault="003E5BF5" w:rsidP="00CF74EB">
      <w:pPr>
        <w:pStyle w:val="TableHeader"/>
      </w:pPr>
      <w:r w:rsidRPr="007F3685">
        <w:t>User satisfaction with the transport system</w:t>
      </w:r>
    </w:p>
    <w:tbl>
      <w:tblPr>
        <w:tblStyle w:val="TableGrid"/>
        <w:tblW w:w="9072" w:type="dxa"/>
        <w:tblLayout w:type="fixed"/>
        <w:tblLook w:val="04A0" w:firstRow="1" w:lastRow="0" w:firstColumn="1" w:lastColumn="0" w:noHBand="0" w:noVBand="1"/>
      </w:tblPr>
      <w:tblGrid>
        <w:gridCol w:w="3969"/>
        <w:gridCol w:w="1560"/>
        <w:gridCol w:w="850"/>
        <w:gridCol w:w="851"/>
        <w:gridCol w:w="992"/>
        <w:gridCol w:w="850"/>
      </w:tblGrid>
      <w:tr w:rsidR="003E5BF5" w:rsidRPr="007F3685" w14:paraId="1BD85C4C" w14:textId="77777777" w:rsidTr="00B51A62">
        <w:trPr>
          <w:trHeight w:val="340"/>
        </w:trPr>
        <w:tc>
          <w:tcPr>
            <w:tcW w:w="3969" w:type="dxa"/>
            <w:shd w:val="clear" w:color="auto" w:fill="auto"/>
            <w:tcMar>
              <w:left w:w="57" w:type="dxa"/>
              <w:right w:w="57" w:type="dxa"/>
            </w:tcMar>
            <w:vAlign w:val="center"/>
          </w:tcPr>
          <w:p w14:paraId="7AA2AD16"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Indicator</w:t>
            </w:r>
          </w:p>
        </w:tc>
        <w:tc>
          <w:tcPr>
            <w:tcW w:w="1560" w:type="dxa"/>
            <w:shd w:val="clear" w:color="auto" w:fill="auto"/>
            <w:tcMar>
              <w:left w:w="57" w:type="dxa"/>
              <w:right w:w="57" w:type="dxa"/>
            </w:tcMar>
            <w:vAlign w:val="center"/>
          </w:tcPr>
          <w:p w14:paraId="4DD727E4"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Unit of measure</w:t>
            </w:r>
          </w:p>
        </w:tc>
        <w:tc>
          <w:tcPr>
            <w:tcW w:w="850" w:type="dxa"/>
            <w:shd w:val="clear" w:color="auto" w:fill="auto"/>
            <w:vAlign w:val="center"/>
          </w:tcPr>
          <w:p w14:paraId="52223C41"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2016-17</w:t>
            </w:r>
          </w:p>
        </w:tc>
        <w:tc>
          <w:tcPr>
            <w:tcW w:w="851" w:type="dxa"/>
            <w:shd w:val="clear" w:color="auto" w:fill="auto"/>
            <w:vAlign w:val="center"/>
          </w:tcPr>
          <w:p w14:paraId="066E6F12"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2017-18</w:t>
            </w:r>
          </w:p>
        </w:tc>
        <w:tc>
          <w:tcPr>
            <w:tcW w:w="992" w:type="dxa"/>
            <w:shd w:val="clear" w:color="auto" w:fill="auto"/>
            <w:vAlign w:val="center"/>
          </w:tcPr>
          <w:p w14:paraId="55A7B6C4"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2018-19</w:t>
            </w:r>
          </w:p>
        </w:tc>
        <w:tc>
          <w:tcPr>
            <w:tcW w:w="850" w:type="dxa"/>
            <w:shd w:val="clear" w:color="auto" w:fill="auto"/>
            <w:tcMar>
              <w:left w:w="57" w:type="dxa"/>
              <w:right w:w="57" w:type="dxa"/>
            </w:tcMar>
            <w:vAlign w:val="center"/>
          </w:tcPr>
          <w:p w14:paraId="1E1B6402"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2019-20</w:t>
            </w:r>
          </w:p>
        </w:tc>
      </w:tr>
      <w:tr w:rsidR="003E5BF5" w:rsidRPr="007F3685" w14:paraId="7D481570" w14:textId="77777777" w:rsidTr="00B51A62">
        <w:trPr>
          <w:trHeight w:val="340"/>
        </w:trPr>
        <w:tc>
          <w:tcPr>
            <w:tcW w:w="3969" w:type="dxa"/>
            <w:shd w:val="clear" w:color="auto" w:fill="auto"/>
            <w:tcMar>
              <w:left w:w="57" w:type="dxa"/>
              <w:right w:w="57" w:type="dxa"/>
            </w:tcMar>
            <w:vAlign w:val="center"/>
          </w:tcPr>
          <w:p w14:paraId="56599298"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Customer satisfaction index: metropolitan train</w:t>
            </w:r>
          </w:p>
        </w:tc>
        <w:tc>
          <w:tcPr>
            <w:tcW w:w="1560" w:type="dxa"/>
            <w:shd w:val="clear" w:color="auto" w:fill="auto"/>
            <w:tcMar>
              <w:left w:w="57" w:type="dxa"/>
              <w:right w:w="57" w:type="dxa"/>
            </w:tcMar>
            <w:vAlign w:val="center"/>
          </w:tcPr>
          <w:p w14:paraId="4559B9E5"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score</w:t>
            </w:r>
          </w:p>
        </w:tc>
        <w:tc>
          <w:tcPr>
            <w:tcW w:w="850" w:type="dxa"/>
            <w:shd w:val="clear" w:color="auto" w:fill="auto"/>
            <w:vAlign w:val="center"/>
          </w:tcPr>
          <w:p w14:paraId="1E3D5684"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73</w:t>
            </w:r>
          </w:p>
        </w:tc>
        <w:tc>
          <w:tcPr>
            <w:tcW w:w="851" w:type="dxa"/>
            <w:shd w:val="clear" w:color="auto" w:fill="auto"/>
            <w:vAlign w:val="center"/>
          </w:tcPr>
          <w:p w14:paraId="322CD501"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74</w:t>
            </w:r>
          </w:p>
        </w:tc>
        <w:tc>
          <w:tcPr>
            <w:tcW w:w="992" w:type="dxa"/>
            <w:shd w:val="clear" w:color="auto" w:fill="auto"/>
            <w:vAlign w:val="center"/>
          </w:tcPr>
          <w:p w14:paraId="7CF4530A"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74</w:t>
            </w:r>
          </w:p>
        </w:tc>
        <w:tc>
          <w:tcPr>
            <w:tcW w:w="850" w:type="dxa"/>
            <w:shd w:val="clear" w:color="auto" w:fill="auto"/>
            <w:tcMar>
              <w:left w:w="57" w:type="dxa"/>
              <w:right w:w="57" w:type="dxa"/>
            </w:tcMar>
            <w:vAlign w:val="center"/>
          </w:tcPr>
          <w:p w14:paraId="44229201"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75</w:t>
            </w:r>
          </w:p>
        </w:tc>
      </w:tr>
      <w:tr w:rsidR="003E5BF5" w:rsidRPr="007F3685" w14:paraId="452E6223" w14:textId="77777777" w:rsidTr="00B51A62">
        <w:trPr>
          <w:trHeight w:val="340"/>
        </w:trPr>
        <w:tc>
          <w:tcPr>
            <w:tcW w:w="3969" w:type="dxa"/>
            <w:shd w:val="clear" w:color="auto" w:fill="auto"/>
            <w:tcMar>
              <w:left w:w="57" w:type="dxa"/>
              <w:right w:w="57" w:type="dxa"/>
            </w:tcMar>
            <w:vAlign w:val="center"/>
          </w:tcPr>
          <w:p w14:paraId="516B6B2A"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Customer satisfaction index: metropolitan bus</w:t>
            </w:r>
          </w:p>
        </w:tc>
        <w:tc>
          <w:tcPr>
            <w:tcW w:w="1560" w:type="dxa"/>
            <w:shd w:val="clear" w:color="auto" w:fill="auto"/>
            <w:tcMar>
              <w:left w:w="57" w:type="dxa"/>
              <w:right w:w="57" w:type="dxa"/>
            </w:tcMar>
            <w:vAlign w:val="center"/>
          </w:tcPr>
          <w:p w14:paraId="20FAFF4E"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score</w:t>
            </w:r>
          </w:p>
        </w:tc>
        <w:tc>
          <w:tcPr>
            <w:tcW w:w="850" w:type="dxa"/>
            <w:shd w:val="clear" w:color="auto" w:fill="auto"/>
            <w:vAlign w:val="center"/>
          </w:tcPr>
          <w:p w14:paraId="58210D08"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76</w:t>
            </w:r>
          </w:p>
        </w:tc>
        <w:tc>
          <w:tcPr>
            <w:tcW w:w="851" w:type="dxa"/>
            <w:shd w:val="clear" w:color="auto" w:fill="auto"/>
            <w:vAlign w:val="center"/>
          </w:tcPr>
          <w:p w14:paraId="06FDC081"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77</w:t>
            </w:r>
          </w:p>
        </w:tc>
        <w:tc>
          <w:tcPr>
            <w:tcW w:w="992" w:type="dxa"/>
            <w:shd w:val="clear" w:color="auto" w:fill="auto"/>
            <w:vAlign w:val="center"/>
          </w:tcPr>
          <w:p w14:paraId="4FCECB1C"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78</w:t>
            </w:r>
          </w:p>
        </w:tc>
        <w:tc>
          <w:tcPr>
            <w:tcW w:w="850" w:type="dxa"/>
            <w:shd w:val="clear" w:color="auto" w:fill="auto"/>
            <w:tcMar>
              <w:left w:w="57" w:type="dxa"/>
              <w:right w:w="57" w:type="dxa"/>
            </w:tcMar>
            <w:vAlign w:val="center"/>
          </w:tcPr>
          <w:p w14:paraId="4B52DE7E"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78</w:t>
            </w:r>
          </w:p>
        </w:tc>
      </w:tr>
      <w:tr w:rsidR="003E5BF5" w:rsidRPr="007F3685" w14:paraId="57CB5CBF" w14:textId="77777777" w:rsidTr="00B51A62">
        <w:trPr>
          <w:trHeight w:val="340"/>
        </w:trPr>
        <w:tc>
          <w:tcPr>
            <w:tcW w:w="3969" w:type="dxa"/>
            <w:shd w:val="clear" w:color="auto" w:fill="auto"/>
            <w:tcMar>
              <w:left w:w="57" w:type="dxa"/>
              <w:right w:w="57" w:type="dxa"/>
            </w:tcMar>
            <w:vAlign w:val="center"/>
          </w:tcPr>
          <w:p w14:paraId="1F77B4CE"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Customer satisfaction index: tram</w:t>
            </w:r>
          </w:p>
        </w:tc>
        <w:tc>
          <w:tcPr>
            <w:tcW w:w="1560" w:type="dxa"/>
            <w:shd w:val="clear" w:color="auto" w:fill="auto"/>
            <w:tcMar>
              <w:left w:w="57" w:type="dxa"/>
              <w:right w:w="57" w:type="dxa"/>
            </w:tcMar>
            <w:vAlign w:val="center"/>
          </w:tcPr>
          <w:p w14:paraId="4E5FFF61"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score</w:t>
            </w:r>
          </w:p>
        </w:tc>
        <w:tc>
          <w:tcPr>
            <w:tcW w:w="850" w:type="dxa"/>
            <w:shd w:val="clear" w:color="auto" w:fill="auto"/>
            <w:vAlign w:val="center"/>
          </w:tcPr>
          <w:p w14:paraId="53D4FD16"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76</w:t>
            </w:r>
          </w:p>
        </w:tc>
        <w:tc>
          <w:tcPr>
            <w:tcW w:w="851" w:type="dxa"/>
            <w:shd w:val="clear" w:color="auto" w:fill="auto"/>
            <w:vAlign w:val="center"/>
          </w:tcPr>
          <w:p w14:paraId="2CFE0E75"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77</w:t>
            </w:r>
          </w:p>
        </w:tc>
        <w:tc>
          <w:tcPr>
            <w:tcW w:w="992" w:type="dxa"/>
            <w:shd w:val="clear" w:color="auto" w:fill="auto"/>
            <w:vAlign w:val="center"/>
          </w:tcPr>
          <w:p w14:paraId="297D73B3"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77</w:t>
            </w:r>
          </w:p>
        </w:tc>
        <w:tc>
          <w:tcPr>
            <w:tcW w:w="850" w:type="dxa"/>
            <w:shd w:val="clear" w:color="auto" w:fill="auto"/>
            <w:tcMar>
              <w:left w:w="57" w:type="dxa"/>
              <w:right w:w="57" w:type="dxa"/>
            </w:tcMar>
            <w:vAlign w:val="center"/>
          </w:tcPr>
          <w:p w14:paraId="4CCC61A9"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78</w:t>
            </w:r>
          </w:p>
        </w:tc>
      </w:tr>
      <w:tr w:rsidR="003E5BF5" w:rsidRPr="007F3685" w14:paraId="4662DDAC" w14:textId="77777777" w:rsidTr="00B51A62">
        <w:trPr>
          <w:trHeight w:val="340"/>
        </w:trPr>
        <w:tc>
          <w:tcPr>
            <w:tcW w:w="3969" w:type="dxa"/>
            <w:shd w:val="clear" w:color="auto" w:fill="auto"/>
            <w:tcMar>
              <w:left w:w="57" w:type="dxa"/>
              <w:right w:w="57" w:type="dxa"/>
            </w:tcMar>
            <w:vAlign w:val="center"/>
          </w:tcPr>
          <w:p w14:paraId="2FB1E8C0"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Customer satisfaction index: regional train</w:t>
            </w:r>
          </w:p>
        </w:tc>
        <w:tc>
          <w:tcPr>
            <w:tcW w:w="1560" w:type="dxa"/>
            <w:shd w:val="clear" w:color="auto" w:fill="auto"/>
            <w:tcMar>
              <w:left w:w="57" w:type="dxa"/>
              <w:right w:w="57" w:type="dxa"/>
            </w:tcMar>
            <w:vAlign w:val="center"/>
          </w:tcPr>
          <w:p w14:paraId="573ACDAA"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score</w:t>
            </w:r>
          </w:p>
        </w:tc>
        <w:tc>
          <w:tcPr>
            <w:tcW w:w="850" w:type="dxa"/>
            <w:shd w:val="clear" w:color="auto" w:fill="auto"/>
            <w:vAlign w:val="center"/>
          </w:tcPr>
          <w:p w14:paraId="05F0CA47"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76</w:t>
            </w:r>
          </w:p>
        </w:tc>
        <w:tc>
          <w:tcPr>
            <w:tcW w:w="851" w:type="dxa"/>
            <w:shd w:val="clear" w:color="auto" w:fill="auto"/>
            <w:vAlign w:val="center"/>
          </w:tcPr>
          <w:p w14:paraId="018CBF44"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75</w:t>
            </w:r>
          </w:p>
        </w:tc>
        <w:tc>
          <w:tcPr>
            <w:tcW w:w="992" w:type="dxa"/>
            <w:shd w:val="clear" w:color="auto" w:fill="auto"/>
            <w:vAlign w:val="center"/>
          </w:tcPr>
          <w:p w14:paraId="0F925365"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75</w:t>
            </w:r>
          </w:p>
        </w:tc>
        <w:tc>
          <w:tcPr>
            <w:tcW w:w="850" w:type="dxa"/>
            <w:shd w:val="clear" w:color="auto" w:fill="auto"/>
            <w:tcMar>
              <w:left w:w="57" w:type="dxa"/>
              <w:right w:w="57" w:type="dxa"/>
            </w:tcMar>
            <w:vAlign w:val="center"/>
          </w:tcPr>
          <w:p w14:paraId="7B960C4D"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77</w:t>
            </w:r>
          </w:p>
        </w:tc>
      </w:tr>
      <w:tr w:rsidR="003E5BF5" w:rsidRPr="007F3685" w14:paraId="26AC278E" w14:textId="77777777" w:rsidTr="00B51A62">
        <w:trPr>
          <w:trHeight w:val="340"/>
        </w:trPr>
        <w:tc>
          <w:tcPr>
            <w:tcW w:w="3969" w:type="dxa"/>
            <w:shd w:val="clear" w:color="auto" w:fill="auto"/>
            <w:tcMar>
              <w:left w:w="57" w:type="dxa"/>
              <w:right w:w="57" w:type="dxa"/>
            </w:tcMar>
            <w:vAlign w:val="center"/>
          </w:tcPr>
          <w:p w14:paraId="59DEDCBC"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 xml:space="preserve">Customer satisfaction index: regional coach </w:t>
            </w:r>
          </w:p>
        </w:tc>
        <w:tc>
          <w:tcPr>
            <w:tcW w:w="1560" w:type="dxa"/>
            <w:shd w:val="clear" w:color="auto" w:fill="auto"/>
            <w:tcMar>
              <w:left w:w="57" w:type="dxa"/>
              <w:right w:w="57" w:type="dxa"/>
            </w:tcMar>
            <w:vAlign w:val="center"/>
          </w:tcPr>
          <w:p w14:paraId="55C6FC8D"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score</w:t>
            </w:r>
          </w:p>
        </w:tc>
        <w:tc>
          <w:tcPr>
            <w:tcW w:w="850" w:type="dxa"/>
            <w:shd w:val="clear" w:color="auto" w:fill="auto"/>
            <w:vAlign w:val="center"/>
          </w:tcPr>
          <w:p w14:paraId="4DD38869"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82</w:t>
            </w:r>
          </w:p>
        </w:tc>
        <w:tc>
          <w:tcPr>
            <w:tcW w:w="851" w:type="dxa"/>
            <w:shd w:val="clear" w:color="auto" w:fill="auto"/>
            <w:vAlign w:val="center"/>
          </w:tcPr>
          <w:p w14:paraId="47250028"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82</w:t>
            </w:r>
          </w:p>
        </w:tc>
        <w:tc>
          <w:tcPr>
            <w:tcW w:w="992" w:type="dxa"/>
            <w:shd w:val="clear" w:color="auto" w:fill="auto"/>
            <w:vAlign w:val="center"/>
          </w:tcPr>
          <w:p w14:paraId="7183DA77"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82</w:t>
            </w:r>
          </w:p>
        </w:tc>
        <w:tc>
          <w:tcPr>
            <w:tcW w:w="850" w:type="dxa"/>
            <w:shd w:val="clear" w:color="auto" w:fill="auto"/>
            <w:tcMar>
              <w:left w:w="57" w:type="dxa"/>
              <w:right w:w="57" w:type="dxa"/>
            </w:tcMar>
            <w:vAlign w:val="center"/>
          </w:tcPr>
          <w:p w14:paraId="6A61028F"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84</w:t>
            </w:r>
          </w:p>
        </w:tc>
      </w:tr>
    </w:tbl>
    <w:p w14:paraId="357632E0" w14:textId="77777777" w:rsidR="003E5BF5" w:rsidRDefault="003E5BF5" w:rsidP="00DE1921"/>
    <w:p w14:paraId="128A8F5F" w14:textId="77777777" w:rsidR="003E5BF5" w:rsidRDefault="003E5BF5" w:rsidP="00DE1921"/>
    <w:p w14:paraId="68AAFABD" w14:textId="77777777" w:rsidR="003E5BF5" w:rsidRPr="00D20BF9" w:rsidRDefault="003E5BF5" w:rsidP="00DE1921">
      <w:pPr>
        <w:sectPr w:rsidR="003E5BF5" w:rsidRPr="00D20BF9" w:rsidSect="00DE1921">
          <w:type w:val="continuous"/>
          <w:pgSz w:w="11906" w:h="16838"/>
          <w:pgMar w:top="1701" w:right="1418" w:bottom="1418" w:left="1418" w:header="709" w:footer="709" w:gutter="0"/>
          <w:cols w:space="284"/>
          <w:docGrid w:linePitch="360"/>
        </w:sectPr>
      </w:pPr>
    </w:p>
    <w:p w14:paraId="02620C97" w14:textId="77777777" w:rsidR="003E5BF5" w:rsidRDefault="003E5BF5" w:rsidP="008A0170">
      <w:pPr>
        <w:pStyle w:val="Heading2"/>
      </w:pPr>
      <w:r w:rsidRPr="00201EE7">
        <w:t xml:space="preserve">Objective </w:t>
      </w:r>
      <w:r>
        <w:t>2</w:t>
      </w:r>
    </w:p>
    <w:p w14:paraId="4C6E2D24" w14:textId="77777777" w:rsidR="007B4DFD" w:rsidRPr="007F3685" w:rsidRDefault="007B4DFD" w:rsidP="007B4DFD">
      <w:pPr>
        <w:pStyle w:val="Heading3"/>
      </w:pPr>
      <w:r w:rsidRPr="007F3685">
        <w:t>Safe and well-regulated transport services</w:t>
      </w:r>
    </w:p>
    <w:p w14:paraId="39C68C27" w14:textId="77777777" w:rsidR="007B4DFD" w:rsidRPr="007F3685" w:rsidRDefault="007B4DFD" w:rsidP="00501F30">
      <w:pPr>
        <w:pStyle w:val="aaatyping"/>
      </w:pPr>
      <w:r w:rsidRPr="007F3685">
        <w:t>The department focuses on helping Victorians arrive safely, whether they are travelling by road, rail or water.</w:t>
      </w:r>
    </w:p>
    <w:p w14:paraId="793BD6B6" w14:textId="1CD1CDA0" w:rsidR="007B4DFD" w:rsidRDefault="007B4DFD" w:rsidP="00501F30">
      <w:pPr>
        <w:pStyle w:val="aaatyping"/>
      </w:pPr>
      <w:r w:rsidRPr="007F3685">
        <w:lastRenderedPageBreak/>
        <w:t xml:space="preserve">The department achieves this objective by delivering a range of initiatives and regulatory activities to improve safety and accessibility. </w:t>
      </w:r>
    </w:p>
    <w:p w14:paraId="7AC20E80" w14:textId="77777777" w:rsidR="007B4DFD" w:rsidRPr="007F3685" w:rsidRDefault="007B4DFD" w:rsidP="007B4DFD">
      <w:pPr>
        <w:pStyle w:val="Heading4"/>
      </w:pPr>
      <w:r w:rsidRPr="007F3685">
        <w:t>Progress towards achieving this objective</w:t>
      </w:r>
    </w:p>
    <w:p w14:paraId="01B3393E" w14:textId="77777777" w:rsidR="007B4DFD" w:rsidRPr="007F3685" w:rsidRDefault="007B4DFD" w:rsidP="00501F30">
      <w:pPr>
        <w:pStyle w:val="aaatyping"/>
      </w:pPr>
      <w:r w:rsidRPr="007F3685">
        <w:t xml:space="preserve">In 2019-20 the department reported progress against this objective using the following objective indicator and output: </w:t>
      </w:r>
    </w:p>
    <w:p w14:paraId="53A7B300" w14:textId="77777777" w:rsidR="007B4DFD" w:rsidRPr="007F3685" w:rsidRDefault="007B4DFD" w:rsidP="007B4DFD">
      <w:pPr>
        <w:pStyle w:val="Heading4"/>
      </w:pPr>
      <w:r w:rsidRPr="007F3685">
        <w:t>Objective Indicator</w:t>
      </w:r>
    </w:p>
    <w:p w14:paraId="638AD8AC" w14:textId="77777777" w:rsidR="007B4DFD" w:rsidRPr="007F3685" w:rsidRDefault="007B4DFD" w:rsidP="00501F30">
      <w:pPr>
        <w:pStyle w:val="aaabullet"/>
      </w:pPr>
      <w:r w:rsidRPr="007F3685">
        <w:t xml:space="preserve">Safety of the transport system </w:t>
      </w:r>
    </w:p>
    <w:p w14:paraId="60A72EE0" w14:textId="77777777" w:rsidR="007B4DFD" w:rsidRPr="007F3685" w:rsidRDefault="007B4DFD" w:rsidP="007B4DFD">
      <w:pPr>
        <w:pStyle w:val="Heading4"/>
      </w:pPr>
      <w:r w:rsidRPr="007F3685">
        <w:t>Output</w:t>
      </w:r>
    </w:p>
    <w:p w14:paraId="08BE32E7" w14:textId="77777777" w:rsidR="007B4DFD" w:rsidRPr="007F3685" w:rsidRDefault="007B4DFD" w:rsidP="00501F30">
      <w:pPr>
        <w:pStyle w:val="aaabullet"/>
      </w:pPr>
      <w:r w:rsidRPr="007F3685">
        <w:t>Regulation of Commercial Passenger Vehicle Services</w:t>
      </w:r>
    </w:p>
    <w:p w14:paraId="03B36E23" w14:textId="77777777" w:rsidR="007B4DFD" w:rsidRPr="007F3685" w:rsidRDefault="007B4DFD" w:rsidP="00501F30">
      <w:pPr>
        <w:pStyle w:val="aaabullet"/>
      </w:pPr>
      <w:r w:rsidRPr="007F3685">
        <w:t>Transport Safety and Security</w:t>
      </w:r>
    </w:p>
    <w:p w14:paraId="407ADF7E" w14:textId="481A3A24" w:rsidR="003E5BF5" w:rsidRDefault="003E5BF5" w:rsidP="008A0170">
      <w:pPr>
        <w:pStyle w:val="Heading3"/>
      </w:pPr>
      <w:r w:rsidRPr="009F67AC">
        <w:t>Indicator: Safety of the transport system</w:t>
      </w:r>
    </w:p>
    <w:p w14:paraId="607E61C1" w14:textId="77777777" w:rsidR="003E5BF5" w:rsidRDefault="003E5BF5" w:rsidP="0015538B">
      <w:pPr>
        <w:pStyle w:val="aaatyping"/>
      </w:pPr>
      <w:r w:rsidRPr="00E067E2">
        <w:t xml:space="preserve">In addition to the expected range of safety initiatives planned for the year, the bush </w:t>
      </w:r>
      <w:r>
        <w:t>fires in eastern Victoria, closely followed by the coronavirus (COVID-19) response resulted in a range of significant new safety challenges.</w:t>
      </w:r>
    </w:p>
    <w:p w14:paraId="6B7906C5" w14:textId="77777777" w:rsidR="003E5BF5" w:rsidRDefault="003E5BF5" w:rsidP="0015538B">
      <w:pPr>
        <w:pStyle w:val="aaatyping"/>
      </w:pPr>
      <w:r>
        <w:t>The department was engaged in a range of safety activities during and after the bush fires ranging from participating in the evacuation by sea of residents and holiday makers trapped by the fires, to clearing and repairing damaged roads.</w:t>
      </w:r>
    </w:p>
    <w:p w14:paraId="1D05B5B8" w14:textId="77777777" w:rsidR="003E5BF5" w:rsidRPr="00C912C4" w:rsidRDefault="003E5BF5" w:rsidP="0015538B">
      <w:pPr>
        <w:pStyle w:val="aaatyping"/>
      </w:pPr>
      <w:r>
        <w:t xml:space="preserve">Once the coronavirus (COVID-19) pandemic started, </w:t>
      </w:r>
      <w:r w:rsidRPr="00C912C4">
        <w:t>stringent protocols</w:t>
      </w:r>
      <w:r>
        <w:t xml:space="preserve"> were put</w:t>
      </w:r>
      <w:r w:rsidRPr="00C912C4">
        <w:t xml:space="preserve"> in place</w:t>
      </w:r>
      <w:r>
        <w:t xml:space="preserve"> to safeguard transport users and staff while continuing </w:t>
      </w:r>
      <w:r w:rsidRPr="00C912C4">
        <w:t xml:space="preserve">running of full public transport services. </w:t>
      </w:r>
    </w:p>
    <w:p w14:paraId="7F191AF2" w14:textId="77777777" w:rsidR="003E5BF5" w:rsidRDefault="003E5BF5" w:rsidP="0015538B">
      <w:pPr>
        <w:pStyle w:val="aaatyping"/>
        <w:rPr>
          <w:color w:val="FF0000"/>
        </w:rPr>
      </w:pPr>
      <w:r w:rsidRPr="00EE114A">
        <w:t>Cleaning was increased across the network including rail replacement buses. There is nightly sanitation of all trains, trams and buses, including wiping down all touch surfaces and spraying with disinfectant. Cash handling options on buses were removed to minimise risks</w:t>
      </w:r>
      <w:r w:rsidRPr="00E067E2">
        <w:rPr>
          <w:color w:val="FF0000"/>
        </w:rPr>
        <w:t>.</w:t>
      </w:r>
      <w:r>
        <w:rPr>
          <w:color w:val="FF0000"/>
        </w:rPr>
        <w:t xml:space="preserve"> </w:t>
      </w:r>
    </w:p>
    <w:p w14:paraId="012BC495" w14:textId="77777777" w:rsidR="003E5BF5" w:rsidRDefault="003E5BF5" w:rsidP="0015538B">
      <w:pPr>
        <w:pStyle w:val="aaatyping"/>
      </w:pPr>
      <w:r w:rsidRPr="00EE114A">
        <w:lastRenderedPageBreak/>
        <w:t>Projects, including Victoria’s Big Build, have continued, with</w:t>
      </w:r>
      <w:r>
        <w:t xml:space="preserve"> </w:t>
      </w:r>
      <w:r w:rsidRPr="00EE114A">
        <w:t>strict physical distancing</w:t>
      </w:r>
      <w:r>
        <w:t xml:space="preserve"> measures in place on worksites to protect both the workers and the community.</w:t>
      </w:r>
    </w:p>
    <w:p w14:paraId="0721359D" w14:textId="77777777" w:rsidR="003E5BF5" w:rsidRDefault="003E5BF5" w:rsidP="0015538B">
      <w:pPr>
        <w:pStyle w:val="aaatyping"/>
      </w:pPr>
      <w:r>
        <w:t xml:space="preserve">Improving the safety of train passengers is being pursued through a range of ongoing rail safety projects. The removal of a further six level crossings </w:t>
      </w:r>
      <w:r w:rsidRPr="00531B15">
        <w:t>is</w:t>
      </w:r>
      <w:r>
        <w:t xml:space="preserve"> improving safety for rail passengers, pedestrians and drivers, besides easing congestion. In addition, a further 26 upgrades to high</w:t>
      </w:r>
      <w:r>
        <w:rPr>
          <w:rFonts w:ascii="Times New Roman" w:hAnsi="Times New Roman" w:cs="Times New Roman"/>
        </w:rPr>
        <w:t>‑</w:t>
      </w:r>
      <w:r>
        <w:t xml:space="preserve">risk level crossings and rail pedestrian crossings across the state were completed. </w:t>
      </w:r>
      <w:r w:rsidRPr="000520D7">
        <w:t>Ten V/Line signal upgrades have been completed for the Train Protection Warning System.</w:t>
      </w:r>
    </w:p>
    <w:p w14:paraId="20128554" w14:textId="77777777" w:rsidR="003E5BF5" w:rsidRDefault="003E5BF5" w:rsidP="0015538B">
      <w:pPr>
        <w:pStyle w:val="aaatyping"/>
      </w:pPr>
      <w:r>
        <w:t xml:space="preserve">Other train safety projects completed during the year included improvements to fire safety at Flinders Street station; and reductions to train platform gaps at South Yarra and Glenferrie stations. </w:t>
      </w:r>
    </w:p>
    <w:p w14:paraId="0191BCD3" w14:textId="77777777" w:rsidR="003E5BF5" w:rsidRDefault="003E5BF5" w:rsidP="0015538B">
      <w:pPr>
        <w:pStyle w:val="aaatyping"/>
      </w:pPr>
      <w:r>
        <w:t xml:space="preserve">Refurbishments to </w:t>
      </w:r>
      <w:proofErr w:type="spellStart"/>
      <w:r>
        <w:t>Comeng</w:t>
      </w:r>
      <w:proofErr w:type="spellEnd"/>
      <w:r>
        <w:t xml:space="preserve"> trains have commenced, which include the installation of high definition CCTV cameras with better clarity and a wider field of view to keep passengers safe and to support Metro and Victoria Police investigations.</w:t>
      </w:r>
    </w:p>
    <w:p w14:paraId="4F05A98E" w14:textId="77777777" w:rsidR="003E5BF5" w:rsidRDefault="003E5BF5" w:rsidP="0015538B">
      <w:pPr>
        <w:pStyle w:val="aaatyping"/>
      </w:pPr>
      <w:r>
        <w:t xml:space="preserve">Active transport initiatives continue. Three cycling projects were completed during the year. Work is progressing on the Traralgon to Morwell path linking the two major townships. A number of projects to improve safety for pedestrians are in progress, with improvements in Warrnambool CBD completed and construction of pedestrian crossings underway in Mildura and Ballarat. </w:t>
      </w:r>
    </w:p>
    <w:p w14:paraId="7E8B915E" w14:textId="23175ECE" w:rsidR="0011299A" w:rsidRDefault="003E5BF5" w:rsidP="0015538B">
      <w:pPr>
        <w:pStyle w:val="aaatyping"/>
      </w:pPr>
      <w:r>
        <w:t xml:space="preserve">The Towards Zero campaign, which aims to reduce annual fatalities on the roads to below 200, continued in 2019-20. The Safer Roads Program, part of Towards Zero, completed 71 projects. A further 895kms </w:t>
      </w:r>
      <w:r>
        <w:lastRenderedPageBreak/>
        <w:t xml:space="preserve">of flexible safety barriers, which reduce serious trauma by up to 75 per cent, have been installed on high speed, </w:t>
      </w:r>
      <w:r w:rsidRPr="00531B15">
        <w:t>high volume roads</w:t>
      </w:r>
      <w:r>
        <w:t>,</w:t>
      </w:r>
      <w:r w:rsidRPr="00531B15">
        <w:t xml:space="preserve"> together</w:t>
      </w:r>
      <w:r>
        <w:t xml:space="preserve"> with a further 2,277kms of audio tactile line marking. One hundred and fifty Community Gateway sites have been installed at the entrances to towns. The eye-catching signage and unique road markings protect local communities by reminding drivers they are entering a town. One hundred and one high-speed high-risk intersection upgrades have been completed on regional roads, and three roundabouts constructed as part of our major safety upgrades</w:t>
      </w:r>
      <w:r w:rsidR="00177E5E">
        <w:t>.</w:t>
      </w:r>
    </w:p>
    <w:p w14:paraId="578D319C" w14:textId="56C614F3" w:rsidR="003E5BF5" w:rsidRDefault="003E5BF5" w:rsidP="0015538B">
      <w:pPr>
        <w:pStyle w:val="aaatyping"/>
      </w:pPr>
      <w:r>
        <w:t xml:space="preserve">The number of deaths in 2019-20 fell to </w:t>
      </w:r>
      <w:r w:rsidRPr="00531B15">
        <w:t>235</w:t>
      </w:r>
      <w:r>
        <w:t>.</w:t>
      </w:r>
      <w:r w:rsidRPr="00531B15">
        <w:t xml:space="preserve"> This is</w:t>
      </w:r>
      <w:r>
        <w:t xml:space="preserve"> incorporated in the measure </w:t>
      </w:r>
      <w:r w:rsidRPr="000520D7">
        <w:rPr>
          <w:i/>
          <w:iCs/>
        </w:rPr>
        <w:t>Victorian road fatality rate per 100,000 population</w:t>
      </w:r>
      <w:r>
        <w:t xml:space="preserve"> in the table below. It occurs against a background of fewer people using the network since March.</w:t>
      </w:r>
    </w:p>
    <w:p w14:paraId="5EB51D50" w14:textId="77777777" w:rsidR="003E5BF5" w:rsidRDefault="003E5BF5" w:rsidP="0015538B">
      <w:pPr>
        <w:pStyle w:val="aaatyping"/>
      </w:pPr>
      <w:r>
        <w:t xml:space="preserve">Safety on Victorian waterways has been improved through the launch of the Boating Victoria app and website, providing targeted information to support boaters and paddlers to make safe decisions before and while they use Victorian waterways. </w:t>
      </w:r>
    </w:p>
    <w:p w14:paraId="653278A0" w14:textId="77777777" w:rsidR="003E5BF5" w:rsidRPr="00D20BF9" w:rsidRDefault="003E5BF5" w:rsidP="0015538B">
      <w:pPr>
        <w:pStyle w:val="aaatyping"/>
        <w:rPr>
          <w:color w:val="FF0000"/>
        </w:rPr>
        <w:sectPr w:rsidR="003E5BF5" w:rsidRPr="00D20BF9" w:rsidSect="0011299A">
          <w:type w:val="continuous"/>
          <w:pgSz w:w="11906" w:h="16838"/>
          <w:pgMar w:top="1701" w:right="1418" w:bottom="1418" w:left="1418" w:header="709" w:footer="709" w:gutter="0"/>
          <w:cols w:space="284"/>
          <w:docGrid w:linePitch="360"/>
        </w:sectPr>
      </w:pPr>
      <w:r>
        <w:t>Transport Safety Victoria led a critical review of the marine pilot training and licensing framework following the introduction of competitive pilotage in Victorian waters.</w:t>
      </w:r>
    </w:p>
    <w:p w14:paraId="4AD9F606" w14:textId="3E621A50" w:rsidR="003E5BF5" w:rsidRPr="007F3685" w:rsidRDefault="003E5BF5" w:rsidP="00CF74EB">
      <w:pPr>
        <w:pStyle w:val="TableHeader"/>
      </w:pPr>
      <w:r w:rsidRPr="007F3685">
        <w:t>Safety of the transport system</w:t>
      </w:r>
      <w:r w:rsidRPr="007F3685">
        <w:rPr>
          <w:vertAlign w:val="superscript"/>
        </w:rPr>
        <w:t>1</w:t>
      </w:r>
    </w:p>
    <w:tbl>
      <w:tblPr>
        <w:tblStyle w:val="TableGrid"/>
        <w:tblW w:w="9072" w:type="dxa"/>
        <w:tblCellMar>
          <w:left w:w="0" w:type="dxa"/>
          <w:right w:w="28" w:type="dxa"/>
        </w:tblCellMar>
        <w:tblLook w:val="04A0" w:firstRow="1" w:lastRow="0" w:firstColumn="1" w:lastColumn="0" w:noHBand="0" w:noVBand="1"/>
      </w:tblPr>
      <w:tblGrid>
        <w:gridCol w:w="4493"/>
        <w:gridCol w:w="1420"/>
        <w:gridCol w:w="699"/>
        <w:gridCol w:w="699"/>
        <w:gridCol w:w="699"/>
        <w:gridCol w:w="1062"/>
      </w:tblGrid>
      <w:tr w:rsidR="003E5BF5" w:rsidRPr="007F3685" w14:paraId="49ADA19C" w14:textId="77777777" w:rsidTr="00426D9D">
        <w:trPr>
          <w:trHeight w:val="340"/>
        </w:trPr>
        <w:tc>
          <w:tcPr>
            <w:tcW w:w="4678" w:type="dxa"/>
            <w:shd w:val="clear" w:color="auto" w:fill="auto"/>
            <w:tcMar>
              <w:left w:w="57" w:type="dxa"/>
              <w:right w:w="57" w:type="dxa"/>
            </w:tcMar>
            <w:vAlign w:val="center"/>
          </w:tcPr>
          <w:p w14:paraId="26C02B0F"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Indicator</w:t>
            </w:r>
          </w:p>
        </w:tc>
        <w:tc>
          <w:tcPr>
            <w:tcW w:w="1438" w:type="dxa"/>
            <w:shd w:val="clear" w:color="auto" w:fill="auto"/>
            <w:tcMar>
              <w:left w:w="57" w:type="dxa"/>
              <w:right w:w="57" w:type="dxa"/>
            </w:tcMar>
            <w:vAlign w:val="center"/>
          </w:tcPr>
          <w:p w14:paraId="3540A0FD"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Unit of measure</w:t>
            </w:r>
          </w:p>
        </w:tc>
        <w:tc>
          <w:tcPr>
            <w:tcW w:w="702" w:type="dxa"/>
            <w:shd w:val="clear" w:color="auto" w:fill="auto"/>
            <w:vAlign w:val="center"/>
          </w:tcPr>
          <w:p w14:paraId="0B6CC8C7"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2016-17</w:t>
            </w:r>
          </w:p>
        </w:tc>
        <w:tc>
          <w:tcPr>
            <w:tcW w:w="702" w:type="dxa"/>
            <w:shd w:val="clear" w:color="auto" w:fill="auto"/>
            <w:vAlign w:val="center"/>
          </w:tcPr>
          <w:p w14:paraId="675F3CFA"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2017-18</w:t>
            </w:r>
          </w:p>
        </w:tc>
        <w:tc>
          <w:tcPr>
            <w:tcW w:w="702" w:type="dxa"/>
            <w:shd w:val="clear" w:color="auto" w:fill="auto"/>
            <w:vAlign w:val="center"/>
          </w:tcPr>
          <w:p w14:paraId="4BB335FC"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2018-19</w:t>
            </w:r>
          </w:p>
        </w:tc>
        <w:tc>
          <w:tcPr>
            <w:tcW w:w="850" w:type="dxa"/>
            <w:shd w:val="clear" w:color="auto" w:fill="auto"/>
            <w:tcMar>
              <w:left w:w="57" w:type="dxa"/>
              <w:right w:w="57" w:type="dxa"/>
            </w:tcMar>
            <w:vAlign w:val="center"/>
          </w:tcPr>
          <w:p w14:paraId="352AE55B"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2019-20</w:t>
            </w:r>
          </w:p>
        </w:tc>
      </w:tr>
      <w:tr w:rsidR="003E5BF5" w:rsidRPr="007F3685" w14:paraId="052455E1" w14:textId="77777777" w:rsidTr="00426D9D">
        <w:trPr>
          <w:trHeight w:val="340"/>
        </w:trPr>
        <w:tc>
          <w:tcPr>
            <w:tcW w:w="4678" w:type="dxa"/>
            <w:shd w:val="clear" w:color="auto" w:fill="auto"/>
            <w:tcMar>
              <w:left w:w="57" w:type="dxa"/>
              <w:right w:w="57" w:type="dxa"/>
            </w:tcMar>
            <w:vAlign w:val="center"/>
          </w:tcPr>
          <w:p w14:paraId="251DB770"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Fatalities on the transport network</w:t>
            </w:r>
          </w:p>
        </w:tc>
        <w:tc>
          <w:tcPr>
            <w:tcW w:w="1438" w:type="dxa"/>
            <w:shd w:val="clear" w:color="auto" w:fill="auto"/>
            <w:tcMar>
              <w:left w:w="57" w:type="dxa"/>
              <w:right w:w="57" w:type="dxa"/>
            </w:tcMar>
            <w:vAlign w:val="center"/>
          </w:tcPr>
          <w:p w14:paraId="00130E65"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number</w:t>
            </w:r>
          </w:p>
        </w:tc>
        <w:tc>
          <w:tcPr>
            <w:tcW w:w="702" w:type="dxa"/>
            <w:shd w:val="clear" w:color="auto" w:fill="auto"/>
            <w:vAlign w:val="center"/>
          </w:tcPr>
          <w:p w14:paraId="761BEFD6"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271</w:t>
            </w:r>
          </w:p>
        </w:tc>
        <w:tc>
          <w:tcPr>
            <w:tcW w:w="702" w:type="dxa"/>
            <w:shd w:val="clear" w:color="auto" w:fill="auto"/>
            <w:vAlign w:val="center"/>
          </w:tcPr>
          <w:p w14:paraId="28CCD8F6"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240</w:t>
            </w:r>
          </w:p>
        </w:tc>
        <w:tc>
          <w:tcPr>
            <w:tcW w:w="702" w:type="dxa"/>
            <w:shd w:val="clear" w:color="auto" w:fill="auto"/>
            <w:vAlign w:val="center"/>
          </w:tcPr>
          <w:p w14:paraId="55AC0BFD"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268</w:t>
            </w:r>
          </w:p>
        </w:tc>
        <w:tc>
          <w:tcPr>
            <w:tcW w:w="850" w:type="dxa"/>
            <w:shd w:val="clear" w:color="auto" w:fill="auto"/>
            <w:tcMar>
              <w:left w:w="57" w:type="dxa"/>
              <w:right w:w="57" w:type="dxa"/>
            </w:tcMar>
            <w:vAlign w:val="center"/>
          </w:tcPr>
          <w:p w14:paraId="4454D2B5"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235</w:t>
            </w:r>
          </w:p>
        </w:tc>
      </w:tr>
      <w:tr w:rsidR="003E5BF5" w:rsidRPr="007F3685" w14:paraId="25B6721D" w14:textId="77777777" w:rsidTr="00426D9D">
        <w:trPr>
          <w:trHeight w:val="340"/>
        </w:trPr>
        <w:tc>
          <w:tcPr>
            <w:tcW w:w="4678" w:type="dxa"/>
            <w:shd w:val="clear" w:color="auto" w:fill="auto"/>
            <w:tcMar>
              <w:left w:w="57" w:type="dxa"/>
              <w:right w:w="57" w:type="dxa"/>
            </w:tcMar>
            <w:vAlign w:val="center"/>
          </w:tcPr>
          <w:p w14:paraId="5DFF5055"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Victorian road fatality rate per 100,000 population</w:t>
            </w:r>
          </w:p>
        </w:tc>
        <w:tc>
          <w:tcPr>
            <w:tcW w:w="1438" w:type="dxa"/>
            <w:shd w:val="clear" w:color="auto" w:fill="auto"/>
            <w:tcMar>
              <w:left w:w="57" w:type="dxa"/>
              <w:right w:w="57" w:type="dxa"/>
            </w:tcMar>
            <w:vAlign w:val="center"/>
          </w:tcPr>
          <w:p w14:paraId="26B9C48B"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number</w:t>
            </w:r>
          </w:p>
        </w:tc>
        <w:tc>
          <w:tcPr>
            <w:tcW w:w="702" w:type="dxa"/>
            <w:shd w:val="clear" w:color="auto" w:fill="auto"/>
            <w:vAlign w:val="center"/>
          </w:tcPr>
          <w:p w14:paraId="3FB5BF0B"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4.3</w:t>
            </w:r>
          </w:p>
        </w:tc>
        <w:tc>
          <w:tcPr>
            <w:tcW w:w="702" w:type="dxa"/>
            <w:shd w:val="clear" w:color="auto" w:fill="auto"/>
            <w:vAlign w:val="center"/>
          </w:tcPr>
          <w:p w14:paraId="3A6EEBD4"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3.7</w:t>
            </w:r>
          </w:p>
        </w:tc>
        <w:tc>
          <w:tcPr>
            <w:tcW w:w="702" w:type="dxa"/>
            <w:shd w:val="clear" w:color="auto" w:fill="auto"/>
            <w:vAlign w:val="center"/>
          </w:tcPr>
          <w:p w14:paraId="4C59EDE5"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4.0</w:t>
            </w:r>
          </w:p>
        </w:tc>
        <w:tc>
          <w:tcPr>
            <w:tcW w:w="850" w:type="dxa"/>
            <w:shd w:val="clear" w:color="auto" w:fill="auto"/>
            <w:tcMar>
              <w:left w:w="57" w:type="dxa"/>
              <w:right w:w="57" w:type="dxa"/>
            </w:tcMar>
            <w:vAlign w:val="center"/>
          </w:tcPr>
          <w:p w14:paraId="310847C7"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3.4</w:t>
            </w:r>
          </w:p>
        </w:tc>
      </w:tr>
      <w:tr w:rsidR="003E5BF5" w:rsidRPr="007F3685" w14:paraId="1E912F80" w14:textId="77777777" w:rsidTr="00426D9D">
        <w:trPr>
          <w:trHeight w:val="340"/>
        </w:trPr>
        <w:tc>
          <w:tcPr>
            <w:tcW w:w="4678" w:type="dxa"/>
            <w:shd w:val="clear" w:color="auto" w:fill="auto"/>
            <w:tcMar>
              <w:left w:w="57" w:type="dxa"/>
              <w:right w:w="57" w:type="dxa"/>
            </w:tcMar>
          </w:tcPr>
          <w:p w14:paraId="63448DB0"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Serious injuries on the transport network</w:t>
            </w:r>
            <w:r w:rsidRPr="007F3685">
              <w:rPr>
                <w:rFonts w:ascii="Arial" w:hAnsi="Arial" w:cs="Arial"/>
                <w:sz w:val="24"/>
                <w:szCs w:val="24"/>
                <w:vertAlign w:val="superscript"/>
              </w:rPr>
              <w:t>2</w:t>
            </w:r>
          </w:p>
        </w:tc>
        <w:tc>
          <w:tcPr>
            <w:tcW w:w="1438" w:type="dxa"/>
            <w:shd w:val="clear" w:color="auto" w:fill="auto"/>
            <w:tcMar>
              <w:left w:w="57" w:type="dxa"/>
              <w:right w:w="57" w:type="dxa"/>
            </w:tcMar>
          </w:tcPr>
          <w:p w14:paraId="57FC79E5"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number</w:t>
            </w:r>
          </w:p>
        </w:tc>
        <w:tc>
          <w:tcPr>
            <w:tcW w:w="702" w:type="dxa"/>
            <w:shd w:val="clear" w:color="auto" w:fill="auto"/>
          </w:tcPr>
          <w:p w14:paraId="0BDD21AF"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7,564</w:t>
            </w:r>
          </w:p>
        </w:tc>
        <w:tc>
          <w:tcPr>
            <w:tcW w:w="702" w:type="dxa"/>
            <w:shd w:val="clear" w:color="auto" w:fill="auto"/>
          </w:tcPr>
          <w:p w14:paraId="3D61E1BC"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8,028</w:t>
            </w:r>
          </w:p>
        </w:tc>
        <w:tc>
          <w:tcPr>
            <w:tcW w:w="702" w:type="dxa"/>
            <w:shd w:val="clear" w:color="auto" w:fill="auto"/>
          </w:tcPr>
          <w:p w14:paraId="6F1DB4BF"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8,334</w:t>
            </w:r>
          </w:p>
        </w:tc>
        <w:tc>
          <w:tcPr>
            <w:tcW w:w="850" w:type="dxa"/>
            <w:shd w:val="clear" w:color="auto" w:fill="auto"/>
            <w:tcMar>
              <w:left w:w="57" w:type="dxa"/>
              <w:right w:w="57" w:type="dxa"/>
            </w:tcMar>
          </w:tcPr>
          <w:p w14:paraId="61AC0037"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not available</w:t>
            </w:r>
          </w:p>
        </w:tc>
      </w:tr>
      <w:tr w:rsidR="003E5BF5" w:rsidRPr="007F3685" w14:paraId="548A6355" w14:textId="77777777" w:rsidTr="00426D9D">
        <w:trPr>
          <w:trHeight w:val="340"/>
        </w:trPr>
        <w:tc>
          <w:tcPr>
            <w:tcW w:w="4678" w:type="dxa"/>
            <w:shd w:val="clear" w:color="auto" w:fill="auto"/>
            <w:tcMar>
              <w:left w:w="57" w:type="dxa"/>
              <w:right w:w="57" w:type="dxa"/>
            </w:tcMar>
          </w:tcPr>
          <w:p w14:paraId="42D7FC18"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Victorian road serious injury rate per 100,000 population</w:t>
            </w:r>
            <w:r w:rsidRPr="007F3685">
              <w:rPr>
                <w:rFonts w:ascii="Arial" w:hAnsi="Arial" w:cs="Arial"/>
                <w:sz w:val="24"/>
                <w:szCs w:val="24"/>
                <w:vertAlign w:val="superscript"/>
              </w:rPr>
              <w:t>2</w:t>
            </w:r>
          </w:p>
        </w:tc>
        <w:tc>
          <w:tcPr>
            <w:tcW w:w="1438" w:type="dxa"/>
            <w:shd w:val="clear" w:color="auto" w:fill="auto"/>
            <w:tcMar>
              <w:left w:w="57" w:type="dxa"/>
              <w:right w:w="57" w:type="dxa"/>
            </w:tcMar>
          </w:tcPr>
          <w:p w14:paraId="72EF0034"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 xml:space="preserve">number </w:t>
            </w:r>
          </w:p>
        </w:tc>
        <w:tc>
          <w:tcPr>
            <w:tcW w:w="702" w:type="dxa"/>
            <w:shd w:val="clear" w:color="auto" w:fill="auto"/>
          </w:tcPr>
          <w:p w14:paraId="55E7C2C6"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120</w:t>
            </w:r>
          </w:p>
        </w:tc>
        <w:tc>
          <w:tcPr>
            <w:tcW w:w="702" w:type="dxa"/>
            <w:shd w:val="clear" w:color="auto" w:fill="auto"/>
          </w:tcPr>
          <w:p w14:paraId="372817BF"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125</w:t>
            </w:r>
          </w:p>
        </w:tc>
        <w:tc>
          <w:tcPr>
            <w:tcW w:w="702" w:type="dxa"/>
            <w:shd w:val="clear" w:color="auto" w:fill="auto"/>
          </w:tcPr>
          <w:p w14:paraId="1823D0DB"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126</w:t>
            </w:r>
          </w:p>
        </w:tc>
        <w:tc>
          <w:tcPr>
            <w:tcW w:w="850" w:type="dxa"/>
            <w:shd w:val="clear" w:color="auto" w:fill="auto"/>
            <w:tcMar>
              <w:left w:w="57" w:type="dxa"/>
              <w:right w:w="57" w:type="dxa"/>
            </w:tcMar>
          </w:tcPr>
          <w:p w14:paraId="31102C90"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not available</w:t>
            </w:r>
          </w:p>
        </w:tc>
      </w:tr>
    </w:tbl>
    <w:p w14:paraId="5C11979B" w14:textId="77777777" w:rsidR="003E5BF5" w:rsidRPr="007F3685" w:rsidRDefault="003E5BF5" w:rsidP="00580FD7">
      <w:pPr>
        <w:pStyle w:val="Note"/>
        <w:spacing w:line="360" w:lineRule="auto"/>
        <w:rPr>
          <w:rFonts w:ascii="Arial" w:hAnsi="Arial" w:cs="Arial"/>
          <w:sz w:val="24"/>
          <w:szCs w:val="24"/>
        </w:rPr>
      </w:pPr>
      <w:r w:rsidRPr="007F3685">
        <w:rPr>
          <w:rFonts w:ascii="Arial" w:hAnsi="Arial" w:cs="Arial"/>
          <w:sz w:val="24"/>
          <w:szCs w:val="24"/>
        </w:rPr>
        <w:lastRenderedPageBreak/>
        <w:t>Notes:</w:t>
      </w:r>
    </w:p>
    <w:p w14:paraId="29F20C72" w14:textId="77777777" w:rsidR="003E5BF5" w:rsidRPr="007F3685" w:rsidRDefault="003E5BF5" w:rsidP="00610F5F">
      <w:pPr>
        <w:pStyle w:val="Notenumber123"/>
        <w:numPr>
          <w:ilvl w:val="0"/>
          <w:numId w:val="35"/>
        </w:numPr>
        <w:spacing w:after="0" w:line="360" w:lineRule="auto"/>
        <w:ind w:left="392" w:hanging="266"/>
        <w:contextualSpacing/>
        <w:rPr>
          <w:rFonts w:ascii="Arial" w:hAnsi="Arial" w:cs="Arial"/>
          <w:sz w:val="24"/>
          <w:szCs w:val="24"/>
        </w:rPr>
      </w:pPr>
      <w:r w:rsidRPr="007F3685">
        <w:rPr>
          <w:rFonts w:ascii="Arial" w:hAnsi="Arial" w:cs="Arial"/>
          <w:sz w:val="24"/>
          <w:szCs w:val="24"/>
        </w:rPr>
        <w:t>Data is regularly checked and validated over time and is therefore subject to change.</w:t>
      </w:r>
    </w:p>
    <w:p w14:paraId="45D443E9" w14:textId="77777777" w:rsidR="003E5BF5" w:rsidRPr="007F3685" w:rsidRDefault="003E5BF5" w:rsidP="00610F5F">
      <w:pPr>
        <w:pStyle w:val="Notenumber123"/>
        <w:numPr>
          <w:ilvl w:val="0"/>
          <w:numId w:val="25"/>
        </w:numPr>
        <w:spacing w:line="360" w:lineRule="auto"/>
        <w:ind w:left="340" w:hanging="227"/>
        <w:contextualSpacing/>
        <w:rPr>
          <w:rFonts w:ascii="Arial" w:hAnsi="Arial" w:cs="Arial"/>
          <w:sz w:val="24"/>
          <w:szCs w:val="24"/>
        </w:rPr>
      </w:pPr>
      <w:r w:rsidRPr="007F3685">
        <w:rPr>
          <w:rFonts w:ascii="Arial" w:hAnsi="Arial" w:cs="Arial"/>
          <w:sz w:val="24"/>
          <w:szCs w:val="24"/>
        </w:rPr>
        <w:t>TAC hospital claims data has been used to calculate Victorian road serious injuries as it better reflects actual numbers compared to other data sources. Latest data is not available for 2019-20 due to data reporting issues.</w:t>
      </w:r>
    </w:p>
    <w:p w14:paraId="7B3E1AF5" w14:textId="77777777" w:rsidR="003E5BF5" w:rsidRDefault="003E5BF5" w:rsidP="00610F5F">
      <w:pPr>
        <w:pStyle w:val="Notenumber123"/>
        <w:numPr>
          <w:ilvl w:val="0"/>
          <w:numId w:val="25"/>
        </w:numPr>
        <w:ind w:left="473"/>
        <w:contextualSpacing/>
        <w:sectPr w:rsidR="003E5BF5" w:rsidSect="00DE1921">
          <w:type w:val="continuous"/>
          <w:pgSz w:w="11906" w:h="16838"/>
          <w:pgMar w:top="1701" w:right="1418" w:bottom="1418" w:left="1418" w:header="709" w:footer="709" w:gutter="0"/>
          <w:cols w:space="284"/>
          <w:docGrid w:linePitch="360"/>
        </w:sectPr>
      </w:pPr>
    </w:p>
    <w:p w14:paraId="189D16A0" w14:textId="77777777" w:rsidR="003E5BF5" w:rsidRDefault="003E5BF5" w:rsidP="00DE1921"/>
    <w:p w14:paraId="4878293D" w14:textId="77777777" w:rsidR="003E5BF5" w:rsidRDefault="003E5BF5" w:rsidP="00DE1921">
      <w:pPr>
        <w:sectPr w:rsidR="003E5BF5" w:rsidSect="00DE1921">
          <w:headerReference w:type="even" r:id="rId242"/>
          <w:type w:val="continuous"/>
          <w:pgSz w:w="11906" w:h="16838"/>
          <w:pgMar w:top="1701" w:right="1418" w:bottom="1418" w:left="1418" w:header="709" w:footer="709" w:gutter="0"/>
          <w:cols w:space="284"/>
          <w:docGrid w:linePitch="360"/>
        </w:sectPr>
      </w:pPr>
    </w:p>
    <w:p w14:paraId="44D2F2A9" w14:textId="77777777" w:rsidR="003E5BF5" w:rsidRPr="00E6111A" w:rsidRDefault="003E5BF5" w:rsidP="008A0170">
      <w:pPr>
        <w:pStyle w:val="Heading2"/>
      </w:pPr>
      <w:r w:rsidRPr="00E6111A">
        <w:t xml:space="preserve">Objective </w:t>
      </w:r>
      <w:r>
        <w:t>3</w:t>
      </w:r>
    </w:p>
    <w:p w14:paraId="4B7AE666" w14:textId="77777777" w:rsidR="008E2EAC" w:rsidRPr="007F3685" w:rsidRDefault="008E2EAC" w:rsidP="008E2EAC">
      <w:pPr>
        <w:pStyle w:val="Heading3"/>
      </w:pPr>
      <w:r w:rsidRPr="007F3685">
        <w:t>Better connected communities through improved infrastructure</w:t>
      </w:r>
    </w:p>
    <w:p w14:paraId="44E5A67B" w14:textId="77777777" w:rsidR="008E2EAC" w:rsidRPr="007F3685" w:rsidRDefault="008E2EAC" w:rsidP="008E2EAC">
      <w:pPr>
        <w:pStyle w:val="aaatyping"/>
      </w:pPr>
      <w:r w:rsidRPr="007F3685">
        <w:t xml:space="preserve">The department delivers infrastructure investments to transform the way that Victorians travel. </w:t>
      </w:r>
    </w:p>
    <w:p w14:paraId="001668C6" w14:textId="156502E0" w:rsidR="008E2EAC" w:rsidRDefault="008E2EAC" w:rsidP="008E2EAC">
      <w:pPr>
        <w:pStyle w:val="aaatyping"/>
      </w:pPr>
      <w:r w:rsidRPr="007F3685">
        <w:t>The department achieves this objective by delivering a range of capital initiatives and programs and strategic transport infrastructure projects to improve the transport network.</w:t>
      </w:r>
    </w:p>
    <w:p w14:paraId="7A9259CA" w14:textId="77777777" w:rsidR="008E2EAC" w:rsidRPr="007F3685" w:rsidRDefault="008E2EAC" w:rsidP="008E2EAC">
      <w:pPr>
        <w:pStyle w:val="Heading4"/>
      </w:pPr>
      <w:r w:rsidRPr="007F3685">
        <w:t>Progress towards achieving this objective</w:t>
      </w:r>
    </w:p>
    <w:p w14:paraId="5B8BA4B3" w14:textId="77777777" w:rsidR="008E2EAC" w:rsidRPr="007F3685" w:rsidRDefault="008E2EAC" w:rsidP="008E2EAC">
      <w:pPr>
        <w:pStyle w:val="aaatyping"/>
      </w:pPr>
      <w:r w:rsidRPr="007F3685">
        <w:t xml:space="preserve">In 2019-20 the department reported progress against this objective using the following objective indicators and outputs: </w:t>
      </w:r>
    </w:p>
    <w:p w14:paraId="173A4CDC" w14:textId="77777777" w:rsidR="008E2EAC" w:rsidRPr="007F3685" w:rsidRDefault="008E2EAC" w:rsidP="008E2EAC">
      <w:pPr>
        <w:pStyle w:val="Heading4"/>
      </w:pPr>
      <w:r w:rsidRPr="007F3685">
        <w:t>Objective Indicators</w:t>
      </w:r>
    </w:p>
    <w:p w14:paraId="32A341A1" w14:textId="77777777" w:rsidR="008E2EAC" w:rsidRPr="007F3685" w:rsidRDefault="008E2EAC" w:rsidP="008E2EAC">
      <w:pPr>
        <w:pStyle w:val="aaabullet"/>
      </w:pPr>
      <w:r w:rsidRPr="007F3685">
        <w:t xml:space="preserve">Improved transport infrastructure </w:t>
      </w:r>
    </w:p>
    <w:p w14:paraId="3C198FAF" w14:textId="77777777" w:rsidR="008E2EAC" w:rsidRPr="007F3685" w:rsidRDefault="008E2EAC" w:rsidP="008E2EAC">
      <w:pPr>
        <w:pStyle w:val="Heading4"/>
      </w:pPr>
      <w:r w:rsidRPr="007F3685">
        <w:t>Outputs</w:t>
      </w:r>
    </w:p>
    <w:p w14:paraId="3BAA1061" w14:textId="77777777" w:rsidR="008E2EAC" w:rsidRPr="007F3685" w:rsidRDefault="008E2EAC" w:rsidP="008E2EAC">
      <w:pPr>
        <w:pStyle w:val="aaabullet"/>
      </w:pPr>
      <w:r w:rsidRPr="007F3685">
        <w:t xml:space="preserve">Ports, Freight and Boating </w:t>
      </w:r>
    </w:p>
    <w:p w14:paraId="064330FC" w14:textId="77777777" w:rsidR="008E2EAC" w:rsidRPr="007F3685" w:rsidRDefault="008E2EAC" w:rsidP="008E2EAC">
      <w:pPr>
        <w:pStyle w:val="aaabullet"/>
      </w:pPr>
      <w:r w:rsidRPr="007F3685">
        <w:t>Road Asset Management</w:t>
      </w:r>
    </w:p>
    <w:p w14:paraId="5ABADB8F" w14:textId="77777777" w:rsidR="008E2EAC" w:rsidRPr="007F3685" w:rsidRDefault="008E2EAC" w:rsidP="008E2EAC">
      <w:pPr>
        <w:pStyle w:val="aaabullet"/>
      </w:pPr>
      <w:r w:rsidRPr="007F3685">
        <w:t xml:space="preserve">Transport Infrastructure </w:t>
      </w:r>
    </w:p>
    <w:p w14:paraId="1AD75A05" w14:textId="77777777" w:rsidR="003E5BF5" w:rsidRDefault="003E5BF5" w:rsidP="008A0170">
      <w:pPr>
        <w:pStyle w:val="Heading3"/>
      </w:pPr>
      <w:r w:rsidRPr="00E6111A">
        <w:t>Indicator: Improved transport infrastructure</w:t>
      </w:r>
      <w:r>
        <w:t xml:space="preserve"> </w:t>
      </w:r>
    </w:p>
    <w:p w14:paraId="207227B4" w14:textId="77777777" w:rsidR="003E5BF5" w:rsidRDefault="003E5BF5" w:rsidP="003003E5">
      <w:pPr>
        <w:pStyle w:val="aaatyping"/>
      </w:pPr>
      <w:r w:rsidRPr="006D0AC2">
        <w:t>Work progressed during the year towards the goal of providing for the expected increased load on the Victorian transport system by 2050. The many projects of Victoria’s Big Build continued throughout the year.</w:t>
      </w:r>
      <w:r>
        <w:t xml:space="preserve"> </w:t>
      </w:r>
      <w:r w:rsidRPr="001F231D">
        <w:t xml:space="preserve">The </w:t>
      </w:r>
      <w:r w:rsidRPr="001F231D">
        <w:lastRenderedPageBreak/>
        <w:t xml:space="preserve">quieter conditions on the road and rail network from March onwards as a result of the </w:t>
      </w:r>
      <w:r>
        <w:t>coronavirus (</w:t>
      </w:r>
      <w:r w:rsidRPr="001F231D">
        <w:t>COVID-19</w:t>
      </w:r>
      <w:r>
        <w:t>)</w:t>
      </w:r>
      <w:r w:rsidRPr="001F231D">
        <w:t xml:space="preserve"> response enabled crews to intensify their efforts.</w:t>
      </w:r>
    </w:p>
    <w:p w14:paraId="5669F4A3" w14:textId="77777777" w:rsidR="003E5BF5" w:rsidRPr="001F231D" w:rsidRDefault="003E5BF5" w:rsidP="003003E5">
      <w:pPr>
        <w:pStyle w:val="aaatyping"/>
      </w:pPr>
      <w:r>
        <w:t>A</w:t>
      </w:r>
      <w:r w:rsidRPr="001F231D">
        <w:t xml:space="preserve"> further </w:t>
      </w:r>
      <w:r>
        <w:t>six</w:t>
      </w:r>
      <w:r w:rsidRPr="001F231D">
        <w:t xml:space="preserve"> dangerous level crossings</w:t>
      </w:r>
      <w:r>
        <w:t xml:space="preserve"> were removed</w:t>
      </w:r>
      <w:r w:rsidRPr="001F231D">
        <w:t xml:space="preserve">, making it a total of </w:t>
      </w:r>
      <w:r>
        <w:t>35</w:t>
      </w:r>
      <w:r w:rsidRPr="001F231D">
        <w:t xml:space="preserve"> crossings removed as part of the government’s commitment to remove 75 dangerous level crossings in Melbourne by 2025.</w:t>
      </w:r>
    </w:p>
    <w:p w14:paraId="39DAFFA9" w14:textId="77777777" w:rsidR="003E5BF5" w:rsidRDefault="003E5BF5" w:rsidP="003003E5">
      <w:pPr>
        <w:pStyle w:val="aaatyping"/>
      </w:pPr>
      <w:r>
        <w:t>Four massive tunnel boring machines are now digging the Metro Tunnel. The excavation of Town Hall Station’s first level is complete.</w:t>
      </w:r>
    </w:p>
    <w:p w14:paraId="218EC632" w14:textId="358E06A1" w:rsidR="003E5BF5" w:rsidRDefault="003E5BF5" w:rsidP="003003E5">
      <w:pPr>
        <w:pStyle w:val="aaatyping"/>
      </w:pPr>
      <w:r>
        <w:t>Work in anticipation of the North East Link included awarding the contract for the first preparatory stage. The Minister for Planning issued his assessment of the Environment Effects Statement.</w:t>
      </w:r>
    </w:p>
    <w:p w14:paraId="7D5630CC" w14:textId="77777777" w:rsidR="003E5BF5" w:rsidRDefault="003E5BF5" w:rsidP="003003E5">
      <w:pPr>
        <w:pStyle w:val="aaatyping"/>
      </w:pPr>
      <w:r>
        <w:t>C</w:t>
      </w:r>
      <w:r w:rsidRPr="009D2342">
        <w:t xml:space="preserve">onstruction </w:t>
      </w:r>
      <w:r>
        <w:t xml:space="preserve">commenced </w:t>
      </w:r>
      <w:r w:rsidRPr="009D2342">
        <w:t xml:space="preserve">on </w:t>
      </w:r>
      <w:r>
        <w:t>t</w:t>
      </w:r>
      <w:r w:rsidRPr="009D2342">
        <w:t>he Mordialloc Freeway linking the Mornington Peninsula Freeway to the Dingley Bypass</w:t>
      </w:r>
      <w:r>
        <w:t>.</w:t>
      </w:r>
    </w:p>
    <w:p w14:paraId="6E9AEAA2" w14:textId="77777777" w:rsidR="003E5BF5" w:rsidRDefault="003E5BF5" w:rsidP="003003E5">
      <w:pPr>
        <w:pStyle w:val="aaatyping"/>
      </w:pPr>
      <w:r>
        <w:t>Other improvements to major roads included commencing construction on stage two of the $1.4 billion Monash Freeway upgrade and preliminary work on upgrading the Sydney to Edgars Road section of the M80 Ring Road.</w:t>
      </w:r>
    </w:p>
    <w:p w14:paraId="482831AD" w14:textId="77777777" w:rsidR="003E5BF5" w:rsidRDefault="003E5BF5" w:rsidP="003003E5">
      <w:pPr>
        <w:pStyle w:val="aaatyping"/>
      </w:pPr>
      <w:r w:rsidRPr="00F05ABB">
        <w:t>The department delivered a number of road freight accessibility initiatives, as part of its ongoing drive to move freight safely and more quickly around Victoria for the benefit of businesses and consumers</w:t>
      </w:r>
      <w:r>
        <w:t>.</w:t>
      </w:r>
    </w:p>
    <w:p w14:paraId="4906982F" w14:textId="77777777" w:rsidR="003E5BF5" w:rsidRDefault="003E5BF5" w:rsidP="003003E5">
      <w:pPr>
        <w:pStyle w:val="aaatyping"/>
      </w:pPr>
      <w:r>
        <w:t xml:space="preserve">In regional Victoria, </w:t>
      </w:r>
      <w:r w:rsidRPr="009E0003">
        <w:t xml:space="preserve">major construction </w:t>
      </w:r>
      <w:r>
        <w:t xml:space="preserve">commenced </w:t>
      </w:r>
      <w:r w:rsidRPr="009E0003">
        <w:t>on two new overtaking lanes on the Princes Highway at Weerite between Colac and Camperdown</w:t>
      </w:r>
      <w:r>
        <w:t>. P</w:t>
      </w:r>
      <w:r w:rsidRPr="009E0003">
        <w:t xml:space="preserve">re-construction activities </w:t>
      </w:r>
      <w:r>
        <w:t xml:space="preserve">were completed </w:t>
      </w:r>
      <w:r w:rsidRPr="009E0003">
        <w:t>for the final two sections of the Princes Highway East duplication at Flynn and Kilmany</w:t>
      </w:r>
      <w:r>
        <w:t>.</w:t>
      </w:r>
    </w:p>
    <w:p w14:paraId="1D0910DA" w14:textId="77777777" w:rsidR="003E5BF5" w:rsidRPr="00AD41A4" w:rsidRDefault="003E5BF5" w:rsidP="003003E5">
      <w:pPr>
        <w:pStyle w:val="aaatyping"/>
      </w:pPr>
      <w:r>
        <w:lastRenderedPageBreak/>
        <w:t>Bushfires in East Gippsland caused damage to infrastructure, and resources were diverted to the recovery effort over the summer and autumn periods.</w:t>
      </w:r>
    </w:p>
    <w:p w14:paraId="7FD8437F" w14:textId="77777777" w:rsidR="003E5BF5" w:rsidRDefault="003E5BF5" w:rsidP="003003E5">
      <w:pPr>
        <w:pStyle w:val="aaatyping"/>
      </w:pPr>
      <w:r w:rsidRPr="00D2409D">
        <w:t xml:space="preserve">Improvements to public transport infrastructure included </w:t>
      </w:r>
      <w:r>
        <w:t>the opening of brand-new stations following the removal of level crossings. In December a new, elevated Reservoir Station opened following the removal of the High Street level crossing. This level crossing was removed by building a rail bridge over the complex intersection. The new Carrum Station, opened after removing three level crossings, has been designed to accommodate coastal weather conditions, with weather protection pods, shelter canopies on the platform and wind screens in entrances.</w:t>
      </w:r>
    </w:p>
    <w:p w14:paraId="26A26A35" w14:textId="77777777" w:rsidR="003E5BF5" w:rsidRDefault="003E5BF5" w:rsidP="003003E5">
      <w:pPr>
        <w:pStyle w:val="aaatyping"/>
      </w:pPr>
      <w:r>
        <w:t>Progress continued to prepare Merinda Park Station for a total rebuild so that it can accommodate soon-to-be-duplicated track along the Cranbourne Line.</w:t>
      </w:r>
    </w:p>
    <w:p w14:paraId="3FD12B87" w14:textId="77777777" w:rsidR="003E5BF5" w:rsidRDefault="003E5BF5" w:rsidP="003003E5">
      <w:pPr>
        <w:pStyle w:val="aaatyping"/>
      </w:pPr>
      <w:r>
        <w:t>A</w:t>
      </w:r>
      <w:r w:rsidRPr="00DF2A5F">
        <w:t xml:space="preserve">s part of the $551 million Ballarat Line Upgrade </w:t>
      </w:r>
      <w:r>
        <w:t xml:space="preserve">a new and improved Rockbank station was opened. It includes better accessibility, a 350-space car park, enhanced lighting, secure bike storage and platform shelters. </w:t>
      </w:r>
      <w:proofErr w:type="spellStart"/>
      <w:r>
        <w:t>Cobblebank</w:t>
      </w:r>
      <w:proofErr w:type="spellEnd"/>
      <w:r>
        <w:t xml:space="preserve"> station also opened on the Ballarat Line. The modern station’s features include lifts and ramps, </w:t>
      </w:r>
      <w:r w:rsidRPr="00DF2A5F">
        <w:t>a car park with drop-off zone, secure bike storage and bus bays.</w:t>
      </w:r>
    </w:p>
    <w:p w14:paraId="567F9D54" w14:textId="77777777" w:rsidR="003E5BF5" w:rsidRPr="00D20BF9" w:rsidRDefault="003E5BF5" w:rsidP="003003E5">
      <w:pPr>
        <w:pStyle w:val="aaatyping"/>
        <w:rPr>
          <w:color w:val="FF0000"/>
        </w:rPr>
        <w:sectPr w:rsidR="003E5BF5" w:rsidRPr="00D20BF9" w:rsidSect="004865B3">
          <w:type w:val="continuous"/>
          <w:pgSz w:w="11906" w:h="16838"/>
          <w:pgMar w:top="1701" w:right="1418" w:bottom="1418" w:left="1418" w:header="709" w:footer="709" w:gutter="0"/>
          <w:cols w:space="284"/>
          <w:docGrid w:linePitch="360"/>
        </w:sectPr>
      </w:pPr>
      <w:r>
        <w:t xml:space="preserve">Work is progressing for the </w:t>
      </w:r>
      <w:r w:rsidRPr="00AD41A4">
        <w:t>$2.1 billion Sunbury Line Upgrade to enable more trains to run on the line</w:t>
      </w:r>
      <w:r>
        <w:t xml:space="preserve">. A contractor has been selected for the first stage, </w:t>
      </w:r>
      <w:r w:rsidRPr="00AD41A4">
        <w:t>extending platforms, boosting accessibility and building new stabling at stations</w:t>
      </w:r>
      <w:r>
        <w:t>.</w:t>
      </w:r>
      <w:r w:rsidRPr="00D20BF9">
        <w:rPr>
          <w:color w:val="FF0000"/>
        </w:rPr>
        <w:t xml:space="preserve"> </w:t>
      </w:r>
    </w:p>
    <w:p w14:paraId="52959ED3" w14:textId="77777777" w:rsidR="004865B3" w:rsidRDefault="004865B3" w:rsidP="00CF74EB">
      <w:pPr>
        <w:pStyle w:val="TableHeader"/>
        <w:sectPr w:rsidR="004865B3" w:rsidSect="00DE1921">
          <w:pgSz w:w="11906" w:h="16838"/>
          <w:pgMar w:top="1701" w:right="1418" w:bottom="1418" w:left="1418" w:header="709" w:footer="709" w:gutter="0"/>
          <w:cols w:space="284"/>
          <w:docGrid w:linePitch="360"/>
        </w:sectPr>
      </w:pPr>
    </w:p>
    <w:p w14:paraId="78C37DB3" w14:textId="1A22BC33" w:rsidR="003E5BF5" w:rsidRDefault="003E5BF5" w:rsidP="00CF74EB">
      <w:pPr>
        <w:pStyle w:val="TableHeader"/>
      </w:pPr>
      <w:r w:rsidRPr="007F3685">
        <w:t>Improved transport infrastructure</w:t>
      </w:r>
    </w:p>
    <w:p w14:paraId="419AAC2C" w14:textId="77777777" w:rsidR="0091690B" w:rsidRPr="007F3685" w:rsidRDefault="0091690B" w:rsidP="00CF74EB">
      <w:pPr>
        <w:pStyle w:val="TableHeader"/>
      </w:pPr>
    </w:p>
    <w:tbl>
      <w:tblPr>
        <w:tblStyle w:val="TableGrid"/>
        <w:tblW w:w="9072" w:type="dxa"/>
        <w:tblCellMar>
          <w:left w:w="28" w:type="dxa"/>
          <w:right w:w="28" w:type="dxa"/>
        </w:tblCellMar>
        <w:tblLook w:val="04A0" w:firstRow="1" w:lastRow="0" w:firstColumn="1" w:lastColumn="0" w:noHBand="0" w:noVBand="1"/>
      </w:tblPr>
      <w:tblGrid>
        <w:gridCol w:w="4274"/>
        <w:gridCol w:w="1102"/>
        <w:gridCol w:w="1004"/>
        <w:gridCol w:w="1004"/>
        <w:gridCol w:w="843"/>
        <w:gridCol w:w="845"/>
      </w:tblGrid>
      <w:tr w:rsidR="003E5BF5" w:rsidRPr="007F3685" w14:paraId="39A70F90" w14:textId="77777777" w:rsidTr="00B34026">
        <w:trPr>
          <w:trHeight w:val="340"/>
        </w:trPr>
        <w:tc>
          <w:tcPr>
            <w:tcW w:w="4395" w:type="dxa"/>
            <w:shd w:val="clear" w:color="auto" w:fill="auto"/>
            <w:tcMar>
              <w:left w:w="57" w:type="dxa"/>
              <w:right w:w="57" w:type="dxa"/>
            </w:tcMar>
          </w:tcPr>
          <w:p w14:paraId="7EBA223A"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Indicator</w:t>
            </w:r>
          </w:p>
        </w:tc>
        <w:tc>
          <w:tcPr>
            <w:tcW w:w="992" w:type="dxa"/>
            <w:shd w:val="clear" w:color="auto" w:fill="auto"/>
            <w:tcMar>
              <w:left w:w="57" w:type="dxa"/>
              <w:right w:w="57" w:type="dxa"/>
            </w:tcMar>
          </w:tcPr>
          <w:p w14:paraId="45C001FB" w14:textId="77777777" w:rsidR="003E5BF5" w:rsidRPr="007F3685" w:rsidRDefault="003E5BF5" w:rsidP="00DE1921">
            <w:pPr>
              <w:pStyle w:val="TableTextRightBold"/>
              <w:jc w:val="left"/>
              <w:rPr>
                <w:rFonts w:ascii="Arial" w:hAnsi="Arial" w:cs="Arial"/>
                <w:sz w:val="24"/>
                <w:szCs w:val="24"/>
              </w:rPr>
            </w:pPr>
            <w:r w:rsidRPr="007F3685">
              <w:rPr>
                <w:rFonts w:ascii="Arial" w:hAnsi="Arial" w:cs="Arial"/>
                <w:sz w:val="24"/>
                <w:szCs w:val="24"/>
              </w:rPr>
              <w:t>Unit of measure</w:t>
            </w:r>
          </w:p>
        </w:tc>
        <w:tc>
          <w:tcPr>
            <w:tcW w:w="992" w:type="dxa"/>
            <w:shd w:val="clear" w:color="auto" w:fill="auto"/>
          </w:tcPr>
          <w:p w14:paraId="7218DE36"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2016-17</w:t>
            </w:r>
          </w:p>
        </w:tc>
        <w:tc>
          <w:tcPr>
            <w:tcW w:w="992" w:type="dxa"/>
            <w:shd w:val="clear" w:color="auto" w:fill="auto"/>
          </w:tcPr>
          <w:p w14:paraId="3F11AA43"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2017-18</w:t>
            </w:r>
          </w:p>
        </w:tc>
        <w:tc>
          <w:tcPr>
            <w:tcW w:w="851" w:type="dxa"/>
            <w:shd w:val="clear" w:color="auto" w:fill="auto"/>
          </w:tcPr>
          <w:p w14:paraId="23BDB4DE"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2018-19</w:t>
            </w:r>
          </w:p>
        </w:tc>
        <w:tc>
          <w:tcPr>
            <w:tcW w:w="850" w:type="dxa"/>
            <w:shd w:val="clear" w:color="auto" w:fill="auto"/>
            <w:tcMar>
              <w:left w:w="57" w:type="dxa"/>
              <w:right w:w="57" w:type="dxa"/>
            </w:tcMar>
          </w:tcPr>
          <w:p w14:paraId="3FD06B09"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2019-20</w:t>
            </w:r>
          </w:p>
        </w:tc>
      </w:tr>
      <w:tr w:rsidR="003E5BF5" w:rsidRPr="007F3685" w14:paraId="35265651" w14:textId="77777777" w:rsidTr="00B34026">
        <w:trPr>
          <w:trHeight w:val="340"/>
        </w:trPr>
        <w:tc>
          <w:tcPr>
            <w:tcW w:w="4395" w:type="dxa"/>
            <w:shd w:val="clear" w:color="auto" w:fill="auto"/>
            <w:tcMar>
              <w:left w:w="57" w:type="dxa"/>
              <w:right w:w="57" w:type="dxa"/>
            </w:tcMar>
          </w:tcPr>
          <w:p w14:paraId="590CD23D" w14:textId="77777777" w:rsidR="003E5BF5" w:rsidRPr="007F3685" w:rsidRDefault="003E5BF5" w:rsidP="00DE1921">
            <w:pPr>
              <w:pStyle w:val="TableTextLeftBold"/>
              <w:rPr>
                <w:rFonts w:ascii="Arial" w:hAnsi="Arial" w:cs="Arial"/>
                <w:b w:val="0"/>
                <w:sz w:val="24"/>
                <w:szCs w:val="24"/>
              </w:rPr>
            </w:pPr>
            <w:r w:rsidRPr="007F3685">
              <w:rPr>
                <w:rFonts w:ascii="Arial" w:hAnsi="Arial" w:cs="Arial"/>
                <w:b w:val="0"/>
                <w:sz w:val="24"/>
                <w:szCs w:val="24"/>
              </w:rPr>
              <w:t>Road length meeting cracking standard: metropolitan</w:t>
            </w:r>
          </w:p>
        </w:tc>
        <w:tc>
          <w:tcPr>
            <w:tcW w:w="992" w:type="dxa"/>
            <w:shd w:val="clear" w:color="auto" w:fill="auto"/>
            <w:tcMar>
              <w:left w:w="57" w:type="dxa"/>
              <w:right w:w="57" w:type="dxa"/>
            </w:tcMar>
          </w:tcPr>
          <w:p w14:paraId="5BEA6093" w14:textId="77777777" w:rsidR="003E5BF5" w:rsidRPr="007F3685" w:rsidRDefault="003E5BF5" w:rsidP="00DE1921">
            <w:pPr>
              <w:pStyle w:val="TableTextRightBold"/>
              <w:jc w:val="left"/>
              <w:rPr>
                <w:rFonts w:ascii="Arial" w:hAnsi="Arial" w:cs="Arial"/>
                <w:b w:val="0"/>
                <w:sz w:val="24"/>
                <w:szCs w:val="24"/>
              </w:rPr>
            </w:pPr>
            <w:r w:rsidRPr="007F3685">
              <w:rPr>
                <w:rFonts w:ascii="Arial" w:hAnsi="Arial" w:cs="Arial"/>
                <w:b w:val="0"/>
                <w:sz w:val="24"/>
                <w:szCs w:val="24"/>
              </w:rPr>
              <w:t>per cent</w:t>
            </w:r>
          </w:p>
        </w:tc>
        <w:tc>
          <w:tcPr>
            <w:tcW w:w="992" w:type="dxa"/>
            <w:shd w:val="clear" w:color="auto" w:fill="auto"/>
          </w:tcPr>
          <w:p w14:paraId="4987CF41"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not available</w:t>
            </w:r>
          </w:p>
        </w:tc>
        <w:tc>
          <w:tcPr>
            <w:tcW w:w="992" w:type="dxa"/>
            <w:shd w:val="clear" w:color="auto" w:fill="auto"/>
          </w:tcPr>
          <w:p w14:paraId="7A26C102"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77.9</w:t>
            </w:r>
          </w:p>
        </w:tc>
        <w:tc>
          <w:tcPr>
            <w:tcW w:w="851" w:type="dxa"/>
            <w:shd w:val="clear" w:color="auto" w:fill="auto"/>
          </w:tcPr>
          <w:p w14:paraId="3BC7661C"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93.1</w:t>
            </w:r>
          </w:p>
        </w:tc>
        <w:tc>
          <w:tcPr>
            <w:tcW w:w="850" w:type="dxa"/>
            <w:shd w:val="clear" w:color="auto" w:fill="auto"/>
            <w:tcMar>
              <w:left w:w="57" w:type="dxa"/>
              <w:right w:w="57" w:type="dxa"/>
            </w:tcMar>
          </w:tcPr>
          <w:p w14:paraId="6BA507BA"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95</w:t>
            </w:r>
          </w:p>
        </w:tc>
      </w:tr>
      <w:tr w:rsidR="003E5BF5" w:rsidRPr="007F3685" w14:paraId="147C221A" w14:textId="77777777" w:rsidTr="00B34026">
        <w:trPr>
          <w:trHeight w:val="340"/>
        </w:trPr>
        <w:tc>
          <w:tcPr>
            <w:tcW w:w="4395" w:type="dxa"/>
            <w:shd w:val="clear" w:color="auto" w:fill="auto"/>
            <w:tcMar>
              <w:left w:w="57" w:type="dxa"/>
              <w:right w:w="57" w:type="dxa"/>
            </w:tcMar>
          </w:tcPr>
          <w:p w14:paraId="1ACA430F" w14:textId="77777777" w:rsidR="003E5BF5" w:rsidRPr="007F3685" w:rsidRDefault="003E5BF5" w:rsidP="00DE1921">
            <w:pPr>
              <w:pStyle w:val="TableTextLeftBold"/>
              <w:rPr>
                <w:rFonts w:ascii="Arial" w:hAnsi="Arial" w:cs="Arial"/>
                <w:b w:val="0"/>
                <w:sz w:val="24"/>
                <w:szCs w:val="24"/>
              </w:rPr>
            </w:pPr>
            <w:r w:rsidRPr="007F3685">
              <w:rPr>
                <w:rFonts w:ascii="Arial" w:hAnsi="Arial" w:cs="Arial"/>
                <w:b w:val="0"/>
                <w:sz w:val="24"/>
                <w:szCs w:val="24"/>
              </w:rPr>
              <w:t>Road length meeting cracking standard: regional</w:t>
            </w:r>
          </w:p>
        </w:tc>
        <w:tc>
          <w:tcPr>
            <w:tcW w:w="992" w:type="dxa"/>
            <w:shd w:val="clear" w:color="auto" w:fill="auto"/>
            <w:tcMar>
              <w:left w:w="57" w:type="dxa"/>
              <w:right w:w="57" w:type="dxa"/>
            </w:tcMar>
          </w:tcPr>
          <w:p w14:paraId="5C7B63EC" w14:textId="77777777" w:rsidR="003E5BF5" w:rsidRPr="007F3685" w:rsidRDefault="003E5BF5" w:rsidP="00DE1921">
            <w:pPr>
              <w:pStyle w:val="TableTextRightBold"/>
              <w:jc w:val="left"/>
              <w:rPr>
                <w:rFonts w:ascii="Arial" w:hAnsi="Arial" w:cs="Arial"/>
                <w:b w:val="0"/>
                <w:sz w:val="24"/>
                <w:szCs w:val="24"/>
              </w:rPr>
            </w:pPr>
            <w:r w:rsidRPr="007F3685">
              <w:rPr>
                <w:rFonts w:ascii="Arial" w:hAnsi="Arial" w:cs="Arial"/>
                <w:b w:val="0"/>
                <w:sz w:val="24"/>
                <w:szCs w:val="24"/>
              </w:rPr>
              <w:t>per cent</w:t>
            </w:r>
          </w:p>
        </w:tc>
        <w:tc>
          <w:tcPr>
            <w:tcW w:w="992" w:type="dxa"/>
            <w:shd w:val="clear" w:color="auto" w:fill="auto"/>
          </w:tcPr>
          <w:p w14:paraId="04B54DE6"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not available</w:t>
            </w:r>
          </w:p>
        </w:tc>
        <w:tc>
          <w:tcPr>
            <w:tcW w:w="992" w:type="dxa"/>
            <w:shd w:val="clear" w:color="auto" w:fill="auto"/>
          </w:tcPr>
          <w:p w14:paraId="3A7A1904"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96.3</w:t>
            </w:r>
          </w:p>
        </w:tc>
        <w:tc>
          <w:tcPr>
            <w:tcW w:w="851" w:type="dxa"/>
            <w:shd w:val="clear" w:color="auto" w:fill="auto"/>
          </w:tcPr>
          <w:p w14:paraId="791E8B96"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96.7</w:t>
            </w:r>
          </w:p>
        </w:tc>
        <w:tc>
          <w:tcPr>
            <w:tcW w:w="850" w:type="dxa"/>
            <w:shd w:val="clear" w:color="auto" w:fill="auto"/>
            <w:tcMar>
              <w:left w:w="57" w:type="dxa"/>
              <w:right w:w="57" w:type="dxa"/>
            </w:tcMar>
          </w:tcPr>
          <w:p w14:paraId="23DDF13B"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97</w:t>
            </w:r>
          </w:p>
        </w:tc>
      </w:tr>
      <w:tr w:rsidR="003E5BF5" w:rsidRPr="007F3685" w14:paraId="3E64BBDD" w14:textId="77777777" w:rsidTr="00B34026">
        <w:trPr>
          <w:trHeight w:val="340"/>
        </w:trPr>
        <w:tc>
          <w:tcPr>
            <w:tcW w:w="4395" w:type="dxa"/>
            <w:shd w:val="clear" w:color="auto" w:fill="auto"/>
            <w:tcMar>
              <w:left w:w="57" w:type="dxa"/>
              <w:right w:w="57" w:type="dxa"/>
            </w:tcMar>
          </w:tcPr>
          <w:p w14:paraId="793505BA" w14:textId="77777777" w:rsidR="003E5BF5" w:rsidRPr="007F3685" w:rsidRDefault="003E5BF5" w:rsidP="00DE1921">
            <w:pPr>
              <w:pStyle w:val="TableTextLeftBold"/>
              <w:rPr>
                <w:rFonts w:ascii="Arial" w:hAnsi="Arial" w:cs="Arial"/>
                <w:b w:val="0"/>
                <w:sz w:val="24"/>
                <w:szCs w:val="24"/>
              </w:rPr>
            </w:pPr>
            <w:r w:rsidRPr="007F3685">
              <w:rPr>
                <w:rFonts w:ascii="Arial" w:hAnsi="Arial" w:cs="Arial"/>
                <w:b w:val="0"/>
                <w:sz w:val="24"/>
                <w:szCs w:val="24"/>
              </w:rPr>
              <w:t>Road length meeting roughness standard: metropolitan</w:t>
            </w:r>
          </w:p>
        </w:tc>
        <w:tc>
          <w:tcPr>
            <w:tcW w:w="992" w:type="dxa"/>
            <w:shd w:val="clear" w:color="auto" w:fill="auto"/>
            <w:tcMar>
              <w:left w:w="57" w:type="dxa"/>
              <w:right w:w="57" w:type="dxa"/>
            </w:tcMar>
          </w:tcPr>
          <w:p w14:paraId="022998F3" w14:textId="77777777" w:rsidR="003E5BF5" w:rsidRPr="007F3685" w:rsidRDefault="003E5BF5" w:rsidP="00DE1921">
            <w:pPr>
              <w:pStyle w:val="TableTextRightBold"/>
              <w:jc w:val="left"/>
              <w:rPr>
                <w:rFonts w:ascii="Arial" w:hAnsi="Arial" w:cs="Arial"/>
                <w:b w:val="0"/>
                <w:sz w:val="24"/>
                <w:szCs w:val="24"/>
              </w:rPr>
            </w:pPr>
            <w:r w:rsidRPr="007F3685">
              <w:rPr>
                <w:rFonts w:ascii="Arial" w:hAnsi="Arial" w:cs="Arial"/>
                <w:b w:val="0"/>
                <w:sz w:val="24"/>
                <w:szCs w:val="24"/>
              </w:rPr>
              <w:t>per cent</w:t>
            </w:r>
          </w:p>
        </w:tc>
        <w:tc>
          <w:tcPr>
            <w:tcW w:w="992" w:type="dxa"/>
            <w:shd w:val="clear" w:color="auto" w:fill="auto"/>
          </w:tcPr>
          <w:p w14:paraId="10DD56CE"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not available</w:t>
            </w:r>
          </w:p>
        </w:tc>
        <w:tc>
          <w:tcPr>
            <w:tcW w:w="992" w:type="dxa"/>
            <w:shd w:val="clear" w:color="auto" w:fill="auto"/>
          </w:tcPr>
          <w:p w14:paraId="1657DCFB"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93.2</w:t>
            </w:r>
          </w:p>
        </w:tc>
        <w:tc>
          <w:tcPr>
            <w:tcW w:w="851" w:type="dxa"/>
            <w:shd w:val="clear" w:color="auto" w:fill="auto"/>
          </w:tcPr>
          <w:p w14:paraId="43C53FE2"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92.3</w:t>
            </w:r>
          </w:p>
        </w:tc>
        <w:tc>
          <w:tcPr>
            <w:tcW w:w="850" w:type="dxa"/>
            <w:shd w:val="clear" w:color="auto" w:fill="auto"/>
            <w:tcMar>
              <w:left w:w="57" w:type="dxa"/>
              <w:right w:w="57" w:type="dxa"/>
            </w:tcMar>
          </w:tcPr>
          <w:p w14:paraId="01308B82"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93.1</w:t>
            </w:r>
          </w:p>
        </w:tc>
      </w:tr>
      <w:tr w:rsidR="003E5BF5" w:rsidRPr="007F3685" w14:paraId="677DA052" w14:textId="77777777" w:rsidTr="00B34026">
        <w:trPr>
          <w:trHeight w:val="340"/>
        </w:trPr>
        <w:tc>
          <w:tcPr>
            <w:tcW w:w="4395" w:type="dxa"/>
            <w:shd w:val="clear" w:color="auto" w:fill="auto"/>
            <w:tcMar>
              <w:left w:w="57" w:type="dxa"/>
              <w:right w:w="57" w:type="dxa"/>
            </w:tcMar>
          </w:tcPr>
          <w:p w14:paraId="3987EB9F" w14:textId="77777777" w:rsidR="003E5BF5" w:rsidRPr="007F3685" w:rsidRDefault="003E5BF5" w:rsidP="00DE1921">
            <w:pPr>
              <w:pStyle w:val="TableTextLeftBold"/>
              <w:rPr>
                <w:rFonts w:ascii="Arial" w:hAnsi="Arial" w:cs="Arial"/>
                <w:b w:val="0"/>
                <w:sz w:val="24"/>
                <w:szCs w:val="24"/>
              </w:rPr>
            </w:pPr>
            <w:r w:rsidRPr="007F3685">
              <w:rPr>
                <w:rFonts w:ascii="Arial" w:hAnsi="Arial" w:cs="Arial"/>
                <w:b w:val="0"/>
                <w:sz w:val="24"/>
                <w:szCs w:val="24"/>
              </w:rPr>
              <w:t>Road length meeting roughness standard: regional</w:t>
            </w:r>
          </w:p>
        </w:tc>
        <w:tc>
          <w:tcPr>
            <w:tcW w:w="992" w:type="dxa"/>
            <w:shd w:val="clear" w:color="auto" w:fill="auto"/>
            <w:tcMar>
              <w:left w:w="57" w:type="dxa"/>
              <w:right w:w="57" w:type="dxa"/>
            </w:tcMar>
          </w:tcPr>
          <w:p w14:paraId="2E670C01" w14:textId="77777777" w:rsidR="003E5BF5" w:rsidRPr="007F3685" w:rsidRDefault="003E5BF5" w:rsidP="00DE1921">
            <w:pPr>
              <w:pStyle w:val="TableTextRightBold"/>
              <w:jc w:val="left"/>
              <w:rPr>
                <w:rFonts w:ascii="Arial" w:hAnsi="Arial" w:cs="Arial"/>
                <w:b w:val="0"/>
                <w:sz w:val="24"/>
                <w:szCs w:val="24"/>
              </w:rPr>
            </w:pPr>
            <w:r w:rsidRPr="007F3685">
              <w:rPr>
                <w:rFonts w:ascii="Arial" w:hAnsi="Arial" w:cs="Arial"/>
                <w:b w:val="0"/>
                <w:sz w:val="24"/>
                <w:szCs w:val="24"/>
              </w:rPr>
              <w:t>per cent</w:t>
            </w:r>
          </w:p>
        </w:tc>
        <w:tc>
          <w:tcPr>
            <w:tcW w:w="992" w:type="dxa"/>
            <w:shd w:val="clear" w:color="auto" w:fill="auto"/>
          </w:tcPr>
          <w:p w14:paraId="424442A7"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not available</w:t>
            </w:r>
          </w:p>
        </w:tc>
        <w:tc>
          <w:tcPr>
            <w:tcW w:w="992" w:type="dxa"/>
            <w:shd w:val="clear" w:color="auto" w:fill="auto"/>
          </w:tcPr>
          <w:p w14:paraId="4FBDD4A9"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96.0</w:t>
            </w:r>
          </w:p>
        </w:tc>
        <w:tc>
          <w:tcPr>
            <w:tcW w:w="851" w:type="dxa"/>
            <w:shd w:val="clear" w:color="auto" w:fill="auto"/>
          </w:tcPr>
          <w:p w14:paraId="409448FC"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95.8</w:t>
            </w:r>
          </w:p>
        </w:tc>
        <w:tc>
          <w:tcPr>
            <w:tcW w:w="850" w:type="dxa"/>
            <w:shd w:val="clear" w:color="auto" w:fill="auto"/>
            <w:tcMar>
              <w:left w:w="57" w:type="dxa"/>
              <w:right w:w="57" w:type="dxa"/>
            </w:tcMar>
          </w:tcPr>
          <w:p w14:paraId="13C0D37A"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96.1</w:t>
            </w:r>
          </w:p>
        </w:tc>
      </w:tr>
      <w:tr w:rsidR="003E5BF5" w:rsidRPr="007F3685" w14:paraId="017631AF" w14:textId="77777777" w:rsidTr="00B34026">
        <w:trPr>
          <w:trHeight w:val="340"/>
        </w:trPr>
        <w:tc>
          <w:tcPr>
            <w:tcW w:w="4395" w:type="dxa"/>
            <w:shd w:val="clear" w:color="auto" w:fill="auto"/>
            <w:tcMar>
              <w:left w:w="57" w:type="dxa"/>
              <w:right w:w="57" w:type="dxa"/>
            </w:tcMar>
          </w:tcPr>
          <w:p w14:paraId="597C620C" w14:textId="77777777" w:rsidR="003E5BF5" w:rsidRPr="007F3685" w:rsidRDefault="003E5BF5" w:rsidP="00DE1921">
            <w:pPr>
              <w:pStyle w:val="TableTextLeftBold"/>
              <w:rPr>
                <w:rFonts w:ascii="Arial" w:hAnsi="Arial" w:cs="Arial"/>
                <w:b w:val="0"/>
                <w:sz w:val="24"/>
                <w:szCs w:val="24"/>
              </w:rPr>
            </w:pPr>
            <w:r w:rsidRPr="007F3685">
              <w:rPr>
                <w:rFonts w:ascii="Arial" w:hAnsi="Arial" w:cs="Arial"/>
                <w:b w:val="0"/>
                <w:sz w:val="24"/>
                <w:szCs w:val="24"/>
              </w:rPr>
              <w:t>Road length meeting rutting standard: metropolitan</w:t>
            </w:r>
          </w:p>
        </w:tc>
        <w:tc>
          <w:tcPr>
            <w:tcW w:w="992" w:type="dxa"/>
            <w:shd w:val="clear" w:color="auto" w:fill="auto"/>
            <w:tcMar>
              <w:left w:w="57" w:type="dxa"/>
              <w:right w:w="57" w:type="dxa"/>
            </w:tcMar>
          </w:tcPr>
          <w:p w14:paraId="13CA54A8" w14:textId="77777777" w:rsidR="003E5BF5" w:rsidRPr="007F3685" w:rsidRDefault="003E5BF5" w:rsidP="00DE1921">
            <w:pPr>
              <w:pStyle w:val="TableTextRightBold"/>
              <w:jc w:val="left"/>
              <w:rPr>
                <w:rFonts w:ascii="Arial" w:hAnsi="Arial" w:cs="Arial"/>
                <w:b w:val="0"/>
                <w:sz w:val="24"/>
                <w:szCs w:val="24"/>
              </w:rPr>
            </w:pPr>
            <w:r w:rsidRPr="007F3685">
              <w:rPr>
                <w:rFonts w:ascii="Arial" w:hAnsi="Arial" w:cs="Arial"/>
                <w:b w:val="0"/>
                <w:sz w:val="24"/>
                <w:szCs w:val="24"/>
              </w:rPr>
              <w:t>per cent</w:t>
            </w:r>
          </w:p>
        </w:tc>
        <w:tc>
          <w:tcPr>
            <w:tcW w:w="992" w:type="dxa"/>
            <w:shd w:val="clear" w:color="auto" w:fill="auto"/>
          </w:tcPr>
          <w:p w14:paraId="541E72E4"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not available</w:t>
            </w:r>
          </w:p>
        </w:tc>
        <w:tc>
          <w:tcPr>
            <w:tcW w:w="992" w:type="dxa"/>
            <w:shd w:val="clear" w:color="auto" w:fill="auto"/>
          </w:tcPr>
          <w:p w14:paraId="2F2A8812"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96.4</w:t>
            </w:r>
          </w:p>
        </w:tc>
        <w:tc>
          <w:tcPr>
            <w:tcW w:w="851" w:type="dxa"/>
            <w:shd w:val="clear" w:color="auto" w:fill="auto"/>
          </w:tcPr>
          <w:p w14:paraId="0DB2DBF4"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94.6</w:t>
            </w:r>
          </w:p>
        </w:tc>
        <w:tc>
          <w:tcPr>
            <w:tcW w:w="850" w:type="dxa"/>
            <w:shd w:val="clear" w:color="auto" w:fill="auto"/>
            <w:tcMar>
              <w:left w:w="57" w:type="dxa"/>
              <w:right w:w="57" w:type="dxa"/>
            </w:tcMar>
          </w:tcPr>
          <w:p w14:paraId="21ACE913"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98.6</w:t>
            </w:r>
          </w:p>
        </w:tc>
      </w:tr>
      <w:tr w:rsidR="003E5BF5" w:rsidRPr="007F3685" w14:paraId="53385760" w14:textId="77777777" w:rsidTr="00B34026">
        <w:trPr>
          <w:trHeight w:val="340"/>
        </w:trPr>
        <w:tc>
          <w:tcPr>
            <w:tcW w:w="4395" w:type="dxa"/>
            <w:shd w:val="clear" w:color="auto" w:fill="auto"/>
            <w:tcMar>
              <w:left w:w="57" w:type="dxa"/>
              <w:right w:w="57" w:type="dxa"/>
            </w:tcMar>
          </w:tcPr>
          <w:p w14:paraId="2E5CA765" w14:textId="77777777" w:rsidR="003E5BF5" w:rsidRPr="007F3685" w:rsidRDefault="003E5BF5" w:rsidP="00DE1921">
            <w:pPr>
              <w:pStyle w:val="TableTextLeftBold"/>
              <w:rPr>
                <w:rFonts w:ascii="Arial" w:hAnsi="Arial" w:cs="Arial"/>
                <w:b w:val="0"/>
                <w:sz w:val="24"/>
                <w:szCs w:val="24"/>
              </w:rPr>
            </w:pPr>
            <w:r w:rsidRPr="007F3685">
              <w:rPr>
                <w:rFonts w:ascii="Arial" w:hAnsi="Arial" w:cs="Arial"/>
                <w:b w:val="0"/>
                <w:sz w:val="24"/>
                <w:szCs w:val="24"/>
              </w:rPr>
              <w:t>Road length meeting rutting standard: regional</w:t>
            </w:r>
          </w:p>
        </w:tc>
        <w:tc>
          <w:tcPr>
            <w:tcW w:w="992" w:type="dxa"/>
            <w:shd w:val="clear" w:color="auto" w:fill="auto"/>
            <w:tcMar>
              <w:left w:w="57" w:type="dxa"/>
              <w:right w:w="57" w:type="dxa"/>
            </w:tcMar>
          </w:tcPr>
          <w:p w14:paraId="338E9699" w14:textId="77777777" w:rsidR="003E5BF5" w:rsidRPr="007F3685" w:rsidRDefault="003E5BF5" w:rsidP="00DE1921">
            <w:pPr>
              <w:pStyle w:val="TableTextRightBold"/>
              <w:jc w:val="left"/>
              <w:rPr>
                <w:rFonts w:ascii="Arial" w:hAnsi="Arial" w:cs="Arial"/>
                <w:b w:val="0"/>
                <w:sz w:val="24"/>
                <w:szCs w:val="24"/>
              </w:rPr>
            </w:pPr>
            <w:r w:rsidRPr="007F3685">
              <w:rPr>
                <w:rFonts w:ascii="Arial" w:hAnsi="Arial" w:cs="Arial"/>
                <w:b w:val="0"/>
                <w:sz w:val="24"/>
                <w:szCs w:val="24"/>
              </w:rPr>
              <w:t>per cent</w:t>
            </w:r>
          </w:p>
        </w:tc>
        <w:tc>
          <w:tcPr>
            <w:tcW w:w="992" w:type="dxa"/>
            <w:shd w:val="clear" w:color="auto" w:fill="auto"/>
          </w:tcPr>
          <w:p w14:paraId="003446D0"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not available</w:t>
            </w:r>
          </w:p>
        </w:tc>
        <w:tc>
          <w:tcPr>
            <w:tcW w:w="992" w:type="dxa"/>
            <w:shd w:val="clear" w:color="auto" w:fill="auto"/>
          </w:tcPr>
          <w:p w14:paraId="708D3F83"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97.8</w:t>
            </w:r>
          </w:p>
        </w:tc>
        <w:tc>
          <w:tcPr>
            <w:tcW w:w="851" w:type="dxa"/>
            <w:shd w:val="clear" w:color="auto" w:fill="auto"/>
          </w:tcPr>
          <w:p w14:paraId="75CA71A5"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97.4</w:t>
            </w:r>
          </w:p>
        </w:tc>
        <w:tc>
          <w:tcPr>
            <w:tcW w:w="850" w:type="dxa"/>
            <w:shd w:val="clear" w:color="auto" w:fill="auto"/>
            <w:tcMar>
              <w:left w:w="57" w:type="dxa"/>
              <w:right w:w="57" w:type="dxa"/>
            </w:tcMar>
          </w:tcPr>
          <w:p w14:paraId="7276D0E2"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98.9</w:t>
            </w:r>
          </w:p>
        </w:tc>
      </w:tr>
      <w:tr w:rsidR="003E5BF5" w:rsidRPr="007F3685" w14:paraId="7EF3597C" w14:textId="77777777" w:rsidTr="00B34026">
        <w:trPr>
          <w:trHeight w:val="340"/>
        </w:trPr>
        <w:tc>
          <w:tcPr>
            <w:tcW w:w="4395" w:type="dxa"/>
            <w:shd w:val="clear" w:color="auto" w:fill="auto"/>
            <w:tcMar>
              <w:left w:w="57" w:type="dxa"/>
              <w:right w:w="57" w:type="dxa"/>
            </w:tcMar>
          </w:tcPr>
          <w:p w14:paraId="337CDFA8" w14:textId="77777777" w:rsidR="003E5BF5" w:rsidRPr="007F3685" w:rsidRDefault="003E5BF5" w:rsidP="00DE1921">
            <w:pPr>
              <w:pStyle w:val="TableTextLeftBold"/>
              <w:rPr>
                <w:rFonts w:ascii="Arial" w:hAnsi="Arial" w:cs="Arial"/>
                <w:b w:val="0"/>
                <w:sz w:val="24"/>
                <w:szCs w:val="24"/>
              </w:rPr>
            </w:pPr>
            <w:r w:rsidRPr="007F3685">
              <w:rPr>
                <w:rFonts w:ascii="Arial" w:hAnsi="Arial" w:cs="Arial"/>
                <w:b w:val="0"/>
                <w:sz w:val="24"/>
                <w:szCs w:val="24"/>
              </w:rPr>
              <w:t>Road network permitted for use by high productivity freight vehicles</w:t>
            </w:r>
          </w:p>
        </w:tc>
        <w:tc>
          <w:tcPr>
            <w:tcW w:w="992" w:type="dxa"/>
            <w:shd w:val="clear" w:color="auto" w:fill="auto"/>
            <w:tcMar>
              <w:left w:w="57" w:type="dxa"/>
              <w:right w:w="57" w:type="dxa"/>
            </w:tcMar>
          </w:tcPr>
          <w:p w14:paraId="589D0B71" w14:textId="77777777" w:rsidR="003E5BF5" w:rsidRPr="007F3685" w:rsidRDefault="003E5BF5" w:rsidP="00DE1921">
            <w:pPr>
              <w:pStyle w:val="TableTextRightBold"/>
              <w:jc w:val="left"/>
              <w:rPr>
                <w:rFonts w:ascii="Arial" w:hAnsi="Arial" w:cs="Arial"/>
                <w:b w:val="0"/>
                <w:sz w:val="24"/>
                <w:szCs w:val="24"/>
              </w:rPr>
            </w:pPr>
            <w:r w:rsidRPr="007F3685">
              <w:rPr>
                <w:rFonts w:ascii="Arial" w:hAnsi="Arial" w:cs="Arial"/>
                <w:b w:val="0"/>
                <w:sz w:val="24"/>
                <w:szCs w:val="24"/>
              </w:rPr>
              <w:t>per cent</w:t>
            </w:r>
          </w:p>
        </w:tc>
        <w:tc>
          <w:tcPr>
            <w:tcW w:w="992" w:type="dxa"/>
            <w:shd w:val="clear" w:color="auto" w:fill="auto"/>
          </w:tcPr>
          <w:p w14:paraId="1BCCDEF8"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not available</w:t>
            </w:r>
          </w:p>
        </w:tc>
        <w:tc>
          <w:tcPr>
            <w:tcW w:w="992" w:type="dxa"/>
            <w:shd w:val="clear" w:color="auto" w:fill="auto"/>
          </w:tcPr>
          <w:p w14:paraId="1D929FAC"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14</w:t>
            </w:r>
          </w:p>
        </w:tc>
        <w:tc>
          <w:tcPr>
            <w:tcW w:w="851" w:type="dxa"/>
            <w:shd w:val="clear" w:color="auto" w:fill="auto"/>
          </w:tcPr>
          <w:p w14:paraId="1D043937"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17</w:t>
            </w:r>
          </w:p>
        </w:tc>
        <w:tc>
          <w:tcPr>
            <w:tcW w:w="850" w:type="dxa"/>
            <w:shd w:val="clear" w:color="auto" w:fill="auto"/>
            <w:tcMar>
              <w:left w:w="57" w:type="dxa"/>
              <w:right w:w="57" w:type="dxa"/>
            </w:tcMar>
          </w:tcPr>
          <w:p w14:paraId="4613C181"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18</w:t>
            </w:r>
          </w:p>
        </w:tc>
      </w:tr>
      <w:tr w:rsidR="003E5BF5" w:rsidRPr="007F3685" w14:paraId="0A52BED7" w14:textId="77777777" w:rsidTr="00B34026">
        <w:trPr>
          <w:trHeight w:val="340"/>
        </w:trPr>
        <w:tc>
          <w:tcPr>
            <w:tcW w:w="4395" w:type="dxa"/>
            <w:shd w:val="clear" w:color="auto" w:fill="auto"/>
            <w:tcMar>
              <w:left w:w="57" w:type="dxa"/>
              <w:right w:w="57" w:type="dxa"/>
            </w:tcMar>
          </w:tcPr>
          <w:p w14:paraId="58BCF244" w14:textId="77777777" w:rsidR="003E5BF5" w:rsidRPr="007F3685" w:rsidRDefault="003E5BF5" w:rsidP="00DE1921">
            <w:pPr>
              <w:pStyle w:val="TableTextLeftBold"/>
              <w:rPr>
                <w:rFonts w:ascii="Arial" w:hAnsi="Arial" w:cs="Arial"/>
                <w:b w:val="0"/>
                <w:sz w:val="24"/>
                <w:szCs w:val="24"/>
              </w:rPr>
            </w:pPr>
            <w:r w:rsidRPr="007F3685">
              <w:rPr>
                <w:rFonts w:ascii="Arial" w:hAnsi="Arial" w:cs="Arial"/>
                <w:b w:val="0"/>
                <w:sz w:val="24"/>
                <w:szCs w:val="24"/>
              </w:rPr>
              <w:t>Scheduled services not delayed by infrastructure faults: regional train network</w:t>
            </w:r>
          </w:p>
        </w:tc>
        <w:tc>
          <w:tcPr>
            <w:tcW w:w="992" w:type="dxa"/>
            <w:shd w:val="clear" w:color="auto" w:fill="auto"/>
            <w:tcMar>
              <w:left w:w="57" w:type="dxa"/>
              <w:right w:w="57" w:type="dxa"/>
            </w:tcMar>
          </w:tcPr>
          <w:p w14:paraId="63A6FD3B" w14:textId="77777777" w:rsidR="003E5BF5" w:rsidRPr="007F3685" w:rsidRDefault="003E5BF5" w:rsidP="00DE1921">
            <w:pPr>
              <w:pStyle w:val="TableTextRightBold"/>
              <w:jc w:val="left"/>
              <w:rPr>
                <w:rFonts w:ascii="Arial" w:hAnsi="Arial" w:cs="Arial"/>
                <w:b w:val="0"/>
                <w:sz w:val="24"/>
                <w:szCs w:val="24"/>
              </w:rPr>
            </w:pPr>
            <w:r w:rsidRPr="007F3685">
              <w:rPr>
                <w:rFonts w:ascii="Arial" w:hAnsi="Arial" w:cs="Arial"/>
                <w:b w:val="0"/>
                <w:sz w:val="24"/>
                <w:szCs w:val="24"/>
              </w:rPr>
              <w:t>per cent</w:t>
            </w:r>
          </w:p>
        </w:tc>
        <w:tc>
          <w:tcPr>
            <w:tcW w:w="992" w:type="dxa"/>
            <w:shd w:val="clear" w:color="auto" w:fill="auto"/>
          </w:tcPr>
          <w:p w14:paraId="184DBB2B"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not available</w:t>
            </w:r>
          </w:p>
        </w:tc>
        <w:tc>
          <w:tcPr>
            <w:tcW w:w="992" w:type="dxa"/>
            <w:shd w:val="clear" w:color="auto" w:fill="auto"/>
          </w:tcPr>
          <w:p w14:paraId="79122853"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not available</w:t>
            </w:r>
          </w:p>
        </w:tc>
        <w:tc>
          <w:tcPr>
            <w:tcW w:w="851" w:type="dxa"/>
            <w:shd w:val="clear" w:color="auto" w:fill="auto"/>
          </w:tcPr>
          <w:p w14:paraId="48A1F1D6"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99</w:t>
            </w:r>
          </w:p>
        </w:tc>
        <w:tc>
          <w:tcPr>
            <w:tcW w:w="850" w:type="dxa"/>
            <w:shd w:val="clear" w:color="auto" w:fill="auto"/>
            <w:tcMar>
              <w:left w:w="57" w:type="dxa"/>
              <w:right w:w="57" w:type="dxa"/>
            </w:tcMar>
          </w:tcPr>
          <w:p w14:paraId="07C777FC" w14:textId="77777777" w:rsidR="003E5BF5" w:rsidRPr="007F3685" w:rsidRDefault="003E5BF5" w:rsidP="00DE1921">
            <w:pPr>
              <w:pStyle w:val="TableTextRightBold"/>
              <w:rPr>
                <w:rFonts w:ascii="Arial" w:hAnsi="Arial" w:cs="Arial"/>
                <w:b w:val="0"/>
                <w:sz w:val="24"/>
                <w:szCs w:val="24"/>
              </w:rPr>
            </w:pPr>
            <w:r w:rsidRPr="007F3685">
              <w:rPr>
                <w:rFonts w:ascii="Arial" w:hAnsi="Arial" w:cs="Arial"/>
                <w:b w:val="0"/>
                <w:sz w:val="24"/>
                <w:szCs w:val="24"/>
              </w:rPr>
              <w:t>98</w:t>
            </w:r>
          </w:p>
        </w:tc>
      </w:tr>
      <w:tr w:rsidR="003E5BF5" w:rsidRPr="007F3685" w14:paraId="542123BF" w14:textId="77777777" w:rsidTr="00B34026">
        <w:trPr>
          <w:trHeight w:val="340"/>
        </w:trPr>
        <w:tc>
          <w:tcPr>
            <w:tcW w:w="4395" w:type="dxa"/>
            <w:shd w:val="clear" w:color="auto" w:fill="auto"/>
            <w:tcMar>
              <w:left w:w="57" w:type="dxa"/>
              <w:right w:w="57" w:type="dxa"/>
            </w:tcMar>
          </w:tcPr>
          <w:p w14:paraId="236FEBBD" w14:textId="77777777" w:rsidR="003E5BF5" w:rsidRPr="007F3685" w:rsidRDefault="003E5BF5" w:rsidP="00DE1921">
            <w:pPr>
              <w:pStyle w:val="TableTextLeft"/>
              <w:rPr>
                <w:rFonts w:ascii="Arial" w:hAnsi="Arial" w:cs="Arial"/>
                <w:sz w:val="24"/>
                <w:szCs w:val="24"/>
                <w:highlight w:val="yellow"/>
              </w:rPr>
            </w:pPr>
            <w:r w:rsidRPr="007F3685">
              <w:rPr>
                <w:rFonts w:ascii="Arial" w:hAnsi="Arial" w:cs="Arial"/>
                <w:sz w:val="24"/>
                <w:szCs w:val="24"/>
              </w:rPr>
              <w:t>Transport projects completed within agreed scope, timeframes and budget</w:t>
            </w:r>
          </w:p>
        </w:tc>
        <w:tc>
          <w:tcPr>
            <w:tcW w:w="992" w:type="dxa"/>
            <w:shd w:val="clear" w:color="auto" w:fill="auto"/>
            <w:tcMar>
              <w:left w:w="57" w:type="dxa"/>
              <w:right w:w="57" w:type="dxa"/>
            </w:tcMar>
          </w:tcPr>
          <w:p w14:paraId="17B37CE4"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per cent</w:t>
            </w:r>
          </w:p>
        </w:tc>
        <w:tc>
          <w:tcPr>
            <w:tcW w:w="992" w:type="dxa"/>
            <w:shd w:val="clear" w:color="auto" w:fill="auto"/>
          </w:tcPr>
          <w:p w14:paraId="5BCAF864"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67</w:t>
            </w:r>
          </w:p>
        </w:tc>
        <w:tc>
          <w:tcPr>
            <w:tcW w:w="992" w:type="dxa"/>
            <w:shd w:val="clear" w:color="auto" w:fill="auto"/>
          </w:tcPr>
          <w:p w14:paraId="14A7EBB3"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63</w:t>
            </w:r>
          </w:p>
        </w:tc>
        <w:tc>
          <w:tcPr>
            <w:tcW w:w="851" w:type="dxa"/>
            <w:shd w:val="clear" w:color="auto" w:fill="auto"/>
          </w:tcPr>
          <w:p w14:paraId="0909DD90"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75</w:t>
            </w:r>
          </w:p>
        </w:tc>
        <w:tc>
          <w:tcPr>
            <w:tcW w:w="850" w:type="dxa"/>
            <w:shd w:val="clear" w:color="auto" w:fill="auto"/>
            <w:tcMar>
              <w:left w:w="57" w:type="dxa"/>
              <w:right w:w="57" w:type="dxa"/>
            </w:tcMar>
          </w:tcPr>
          <w:p w14:paraId="5A85A53E"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75</w:t>
            </w:r>
          </w:p>
        </w:tc>
      </w:tr>
    </w:tbl>
    <w:p w14:paraId="166549A1" w14:textId="77777777" w:rsidR="003E5BF5" w:rsidRDefault="003E5BF5" w:rsidP="008A0170">
      <w:pPr>
        <w:pStyle w:val="Heading3"/>
        <w:sectPr w:rsidR="003E5BF5" w:rsidSect="004865B3">
          <w:type w:val="continuous"/>
          <w:pgSz w:w="11906" w:h="16838"/>
          <w:pgMar w:top="1701" w:right="1418" w:bottom="1418" w:left="1418" w:header="709" w:footer="709" w:gutter="0"/>
          <w:cols w:space="284"/>
          <w:docGrid w:linePitch="360"/>
        </w:sectPr>
      </w:pPr>
    </w:p>
    <w:p w14:paraId="55EC60DF" w14:textId="757F8EDA" w:rsidR="008E2EAC" w:rsidRDefault="008E2EAC" w:rsidP="008A0170">
      <w:pPr>
        <w:pStyle w:val="Heading2"/>
      </w:pPr>
      <w:r>
        <w:br w:type="page"/>
      </w:r>
    </w:p>
    <w:p w14:paraId="56CCE7EC" w14:textId="2E783DEC" w:rsidR="003E5BF5" w:rsidRDefault="003E5BF5" w:rsidP="008A0170">
      <w:pPr>
        <w:pStyle w:val="Heading2"/>
      </w:pPr>
      <w:r w:rsidRPr="00201EE7">
        <w:lastRenderedPageBreak/>
        <w:t xml:space="preserve">Objective </w:t>
      </w:r>
      <w:r>
        <w:t>4</w:t>
      </w:r>
    </w:p>
    <w:p w14:paraId="222F5132" w14:textId="77777777" w:rsidR="008E2EAC" w:rsidRPr="007F3685" w:rsidRDefault="008E2EAC" w:rsidP="008E2EAC">
      <w:pPr>
        <w:pStyle w:val="Heading3"/>
      </w:pPr>
      <w:r w:rsidRPr="007F3685">
        <w:t>Sustainably managed fish resources</w:t>
      </w:r>
    </w:p>
    <w:p w14:paraId="0C4AB546" w14:textId="77777777" w:rsidR="008E2EAC" w:rsidRPr="007F3685" w:rsidRDefault="008E2EAC" w:rsidP="00F76D5A">
      <w:pPr>
        <w:pStyle w:val="aaatyping"/>
      </w:pPr>
      <w:r w:rsidRPr="007F3685">
        <w:t>The department supports the development of sustainable fishing and aquaculture activities in Victoria and promotion of responsible fishing and fishing-related activities to deliver positive outcomes that provide benefits to all Victorians.</w:t>
      </w:r>
    </w:p>
    <w:p w14:paraId="5AE0F65A" w14:textId="2918E432" w:rsidR="008E2EAC" w:rsidRDefault="008E2EAC" w:rsidP="00F76D5A">
      <w:pPr>
        <w:pStyle w:val="aaatyping"/>
      </w:pPr>
      <w:r w:rsidRPr="007F3685">
        <w:t>The department achieves this objective through commercial and recreational licensing and quota management, administration of recreational fishing grants and on-ground delivery of fishing-related election commitments.</w:t>
      </w:r>
    </w:p>
    <w:p w14:paraId="085CCC39" w14:textId="77777777" w:rsidR="008E2EAC" w:rsidRPr="007F3685" w:rsidRDefault="008E2EAC" w:rsidP="008E2EAC">
      <w:pPr>
        <w:pStyle w:val="Heading4"/>
      </w:pPr>
      <w:r w:rsidRPr="007F3685">
        <w:t>Progress towards achieving this objective</w:t>
      </w:r>
    </w:p>
    <w:p w14:paraId="6B135828" w14:textId="77777777" w:rsidR="008E2EAC" w:rsidRPr="007F3685" w:rsidRDefault="008E2EAC" w:rsidP="00F76D5A">
      <w:pPr>
        <w:pStyle w:val="aaatyping"/>
      </w:pPr>
      <w:r w:rsidRPr="007F3685">
        <w:t xml:space="preserve">In 2019-20 the department reported progress against this objective using the following objective indicator and output: </w:t>
      </w:r>
    </w:p>
    <w:p w14:paraId="6029F23C" w14:textId="77777777" w:rsidR="008E2EAC" w:rsidRPr="007F3685" w:rsidRDefault="008E2EAC" w:rsidP="008E2EAC">
      <w:pPr>
        <w:pStyle w:val="Heading4"/>
      </w:pPr>
      <w:r w:rsidRPr="007F3685">
        <w:t>Objective Indicator</w:t>
      </w:r>
    </w:p>
    <w:p w14:paraId="443EE3CE" w14:textId="77777777" w:rsidR="008E2EAC" w:rsidRPr="007F3685" w:rsidRDefault="008E2EAC" w:rsidP="00F76D5A">
      <w:pPr>
        <w:pStyle w:val="aaabullet"/>
      </w:pPr>
      <w:r w:rsidRPr="007F3685">
        <w:t>Sustainability of assessed fish stocks</w:t>
      </w:r>
    </w:p>
    <w:p w14:paraId="3BB620EA" w14:textId="77777777" w:rsidR="008E2EAC" w:rsidRPr="007F3685" w:rsidRDefault="008E2EAC" w:rsidP="008E2EAC">
      <w:pPr>
        <w:pStyle w:val="Heading4"/>
      </w:pPr>
      <w:r w:rsidRPr="007F3685">
        <w:t>Output</w:t>
      </w:r>
    </w:p>
    <w:p w14:paraId="5B72C6DD" w14:textId="55198AFF" w:rsidR="008E2EAC" w:rsidRDefault="008E2EAC" w:rsidP="00F76D5A">
      <w:pPr>
        <w:pStyle w:val="aaabullet"/>
      </w:pPr>
      <w:r w:rsidRPr="007F3685">
        <w:t>Sustainably Manage Fish Resources</w:t>
      </w:r>
    </w:p>
    <w:p w14:paraId="2D49B5ED" w14:textId="0357D428" w:rsidR="003E5BF5" w:rsidRDefault="003E5BF5" w:rsidP="008A0170">
      <w:pPr>
        <w:pStyle w:val="Heading3"/>
      </w:pPr>
      <w:r w:rsidRPr="00AC351A">
        <w:t xml:space="preserve">Indicator: </w:t>
      </w:r>
      <w:r>
        <w:t>Sustainability of assessed fish stocks</w:t>
      </w:r>
    </w:p>
    <w:p w14:paraId="2D1A3150" w14:textId="4A4EA90F" w:rsidR="003E5BF5" w:rsidRDefault="003E5BF5" w:rsidP="00091232">
      <w:pPr>
        <w:pStyle w:val="aaatyping"/>
      </w:pPr>
      <w:r w:rsidRPr="00013561">
        <w:t xml:space="preserve">Quota-based fish stocks are assessed annually to ensure their sustainability. In </w:t>
      </w:r>
      <w:r>
        <w:t>2019-20</w:t>
      </w:r>
      <w:r w:rsidRPr="00013561">
        <w:t xml:space="preserve"> all quota-based fish stocks managed by the Victorian Fisheries Authority were assessed as being fished at sustainable levels.</w:t>
      </w:r>
      <w:r>
        <w:t xml:space="preserve"> </w:t>
      </w:r>
      <w:r w:rsidRPr="00DB0670">
        <w:t>The VFA continue</w:t>
      </w:r>
      <w:r>
        <w:t>d</w:t>
      </w:r>
      <w:r w:rsidRPr="00DB0670">
        <w:t xml:space="preserve"> to prioritise resources for uniformed officers maintaining</w:t>
      </w:r>
      <w:r>
        <w:t xml:space="preserve"> </w:t>
      </w:r>
      <w:r w:rsidRPr="00DB0670">
        <w:t>operational coverage for priority fishing periods and patrolling during</w:t>
      </w:r>
      <w:r>
        <w:t xml:space="preserve"> coronavirus (COVID-19)</w:t>
      </w:r>
      <w:r w:rsidRPr="00DB0670">
        <w:t xml:space="preserve"> related coastal closure</w:t>
      </w:r>
      <w:r>
        <w:t>.</w:t>
      </w:r>
    </w:p>
    <w:p w14:paraId="60E2919E" w14:textId="56BAD8FB" w:rsidR="003E5BF5" w:rsidRDefault="003E5BF5" w:rsidP="00091232">
      <w:pPr>
        <w:pStyle w:val="aaatyping"/>
      </w:pPr>
      <w:r w:rsidRPr="00013561">
        <w:t xml:space="preserve">Victoria’s commercial fisheries supply an extensive variety of species to domestic and international markets. Considerable investment has been </w:t>
      </w:r>
      <w:r w:rsidRPr="00013561">
        <w:lastRenderedPageBreak/>
        <w:t>made into the ongoing management of key stocks such as abalone, rock lobster, giant crab and pipis. This includes long-term research to understand the nature and dynamics of the resource. A broad spectrum of data is collected and analysed to determine the impacts of fishing which assists with setting annual quot</w:t>
      </w:r>
      <w:r>
        <w:t>a</w:t>
      </w:r>
      <w:r w:rsidRPr="00013561">
        <w:t>.</w:t>
      </w:r>
      <w:r>
        <w:t xml:space="preserve"> </w:t>
      </w:r>
    </w:p>
    <w:p w14:paraId="114F75B7" w14:textId="213049A9" w:rsidR="003E5BF5" w:rsidRPr="007F3685" w:rsidRDefault="003E5BF5" w:rsidP="00CF74EB">
      <w:pPr>
        <w:pStyle w:val="TableHeader"/>
      </w:pPr>
      <w:r w:rsidRPr="007F3685">
        <w:t>Sustainability of assessed fish stocks</w:t>
      </w:r>
    </w:p>
    <w:tbl>
      <w:tblPr>
        <w:tblStyle w:val="TableGrid"/>
        <w:tblW w:w="9072" w:type="dxa"/>
        <w:tblCellMar>
          <w:left w:w="28" w:type="dxa"/>
          <w:right w:w="28" w:type="dxa"/>
        </w:tblCellMar>
        <w:tblLook w:val="04A0" w:firstRow="1" w:lastRow="0" w:firstColumn="1" w:lastColumn="0" w:noHBand="0" w:noVBand="1"/>
      </w:tblPr>
      <w:tblGrid>
        <w:gridCol w:w="4390"/>
        <w:gridCol w:w="1417"/>
        <w:gridCol w:w="856"/>
        <w:gridCol w:w="850"/>
        <w:gridCol w:w="820"/>
        <w:gridCol w:w="739"/>
      </w:tblGrid>
      <w:tr w:rsidR="003E5BF5" w:rsidRPr="007F3685" w14:paraId="19D4B15E" w14:textId="77777777" w:rsidTr="001860BF">
        <w:trPr>
          <w:trHeight w:val="340"/>
        </w:trPr>
        <w:tc>
          <w:tcPr>
            <w:tcW w:w="4395" w:type="dxa"/>
            <w:shd w:val="clear" w:color="auto" w:fill="auto"/>
            <w:tcMar>
              <w:left w:w="57" w:type="dxa"/>
              <w:right w:w="57" w:type="dxa"/>
            </w:tcMar>
            <w:vAlign w:val="center"/>
          </w:tcPr>
          <w:p w14:paraId="3063A933"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Indicator</w:t>
            </w:r>
          </w:p>
        </w:tc>
        <w:tc>
          <w:tcPr>
            <w:tcW w:w="1417" w:type="dxa"/>
            <w:shd w:val="clear" w:color="auto" w:fill="auto"/>
            <w:tcMar>
              <w:left w:w="57" w:type="dxa"/>
              <w:right w:w="57" w:type="dxa"/>
            </w:tcMar>
            <w:vAlign w:val="center"/>
          </w:tcPr>
          <w:p w14:paraId="7A5EDA72" w14:textId="77777777" w:rsidR="003E5BF5" w:rsidRPr="007F3685" w:rsidRDefault="003E5BF5" w:rsidP="00DE1921">
            <w:pPr>
              <w:pStyle w:val="TableTextRightBold"/>
              <w:jc w:val="left"/>
              <w:rPr>
                <w:rFonts w:ascii="Arial" w:hAnsi="Arial" w:cs="Arial"/>
                <w:sz w:val="24"/>
                <w:szCs w:val="24"/>
              </w:rPr>
            </w:pPr>
            <w:r w:rsidRPr="007F3685">
              <w:rPr>
                <w:rFonts w:ascii="Arial" w:hAnsi="Arial" w:cs="Arial"/>
                <w:sz w:val="24"/>
                <w:szCs w:val="24"/>
              </w:rPr>
              <w:t>Unit of measure</w:t>
            </w:r>
          </w:p>
        </w:tc>
        <w:tc>
          <w:tcPr>
            <w:tcW w:w="851" w:type="dxa"/>
            <w:shd w:val="clear" w:color="auto" w:fill="auto"/>
            <w:vAlign w:val="center"/>
          </w:tcPr>
          <w:p w14:paraId="23EF4E36"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2016-17</w:t>
            </w:r>
          </w:p>
        </w:tc>
        <w:tc>
          <w:tcPr>
            <w:tcW w:w="850" w:type="dxa"/>
            <w:shd w:val="clear" w:color="auto" w:fill="auto"/>
            <w:vAlign w:val="center"/>
          </w:tcPr>
          <w:p w14:paraId="2E983EC4"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2017-18</w:t>
            </w:r>
          </w:p>
        </w:tc>
        <w:tc>
          <w:tcPr>
            <w:tcW w:w="820" w:type="dxa"/>
            <w:shd w:val="clear" w:color="auto" w:fill="auto"/>
            <w:vAlign w:val="center"/>
          </w:tcPr>
          <w:p w14:paraId="21ACB42E"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2018-19</w:t>
            </w:r>
          </w:p>
        </w:tc>
        <w:tc>
          <w:tcPr>
            <w:tcW w:w="739" w:type="dxa"/>
            <w:shd w:val="clear" w:color="auto" w:fill="auto"/>
            <w:tcMar>
              <w:left w:w="57" w:type="dxa"/>
              <w:right w:w="57" w:type="dxa"/>
            </w:tcMar>
            <w:vAlign w:val="center"/>
          </w:tcPr>
          <w:p w14:paraId="79890D6B"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2019-20</w:t>
            </w:r>
          </w:p>
        </w:tc>
      </w:tr>
      <w:tr w:rsidR="003E5BF5" w:rsidRPr="007F3685" w14:paraId="5220541D" w14:textId="77777777" w:rsidTr="001860BF">
        <w:trPr>
          <w:trHeight w:val="340"/>
        </w:trPr>
        <w:tc>
          <w:tcPr>
            <w:tcW w:w="4395" w:type="dxa"/>
            <w:shd w:val="clear" w:color="auto" w:fill="auto"/>
            <w:tcMar>
              <w:left w:w="57" w:type="dxa"/>
              <w:right w:w="57" w:type="dxa"/>
            </w:tcMar>
            <w:vAlign w:val="center"/>
          </w:tcPr>
          <w:p w14:paraId="0FA5216B"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Percentage of quota-based fish stocks that were assessed during the year as being fished sustainably</w:t>
            </w:r>
          </w:p>
        </w:tc>
        <w:tc>
          <w:tcPr>
            <w:tcW w:w="1412" w:type="dxa"/>
            <w:shd w:val="clear" w:color="auto" w:fill="auto"/>
            <w:tcMar>
              <w:left w:w="57" w:type="dxa"/>
              <w:right w:w="57" w:type="dxa"/>
            </w:tcMar>
          </w:tcPr>
          <w:p w14:paraId="4CFFB72C" w14:textId="77777777" w:rsidR="003E5BF5" w:rsidRPr="007F3685" w:rsidRDefault="003E5BF5" w:rsidP="00DE1921">
            <w:pPr>
              <w:pStyle w:val="TableTextRight"/>
              <w:jc w:val="left"/>
              <w:rPr>
                <w:rFonts w:ascii="Arial" w:hAnsi="Arial" w:cs="Arial"/>
                <w:sz w:val="24"/>
                <w:szCs w:val="24"/>
              </w:rPr>
            </w:pPr>
            <w:r w:rsidRPr="007F3685">
              <w:rPr>
                <w:rFonts w:ascii="Arial" w:hAnsi="Arial" w:cs="Arial"/>
                <w:sz w:val="24"/>
                <w:szCs w:val="24"/>
              </w:rPr>
              <w:t>per cent</w:t>
            </w:r>
          </w:p>
        </w:tc>
        <w:tc>
          <w:tcPr>
            <w:tcW w:w="856" w:type="dxa"/>
            <w:shd w:val="clear" w:color="auto" w:fill="auto"/>
          </w:tcPr>
          <w:p w14:paraId="092300C2"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100</w:t>
            </w:r>
          </w:p>
        </w:tc>
        <w:tc>
          <w:tcPr>
            <w:tcW w:w="850" w:type="dxa"/>
            <w:shd w:val="clear" w:color="auto" w:fill="auto"/>
          </w:tcPr>
          <w:p w14:paraId="1EE0C9ED"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100</w:t>
            </w:r>
          </w:p>
        </w:tc>
        <w:tc>
          <w:tcPr>
            <w:tcW w:w="820" w:type="dxa"/>
            <w:shd w:val="clear" w:color="auto" w:fill="auto"/>
          </w:tcPr>
          <w:p w14:paraId="30AF4C76"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100</w:t>
            </w:r>
          </w:p>
        </w:tc>
        <w:tc>
          <w:tcPr>
            <w:tcW w:w="739" w:type="dxa"/>
            <w:shd w:val="clear" w:color="auto" w:fill="auto"/>
            <w:tcMar>
              <w:left w:w="57" w:type="dxa"/>
              <w:right w:w="57" w:type="dxa"/>
            </w:tcMar>
          </w:tcPr>
          <w:p w14:paraId="501509A8"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100</w:t>
            </w:r>
          </w:p>
        </w:tc>
      </w:tr>
    </w:tbl>
    <w:p w14:paraId="1F774DD8" w14:textId="77777777" w:rsidR="009E77E6" w:rsidRDefault="009E77E6" w:rsidP="00DE1921">
      <w:pPr>
        <w:sectPr w:rsidR="009E77E6" w:rsidSect="004865B3">
          <w:footerReference w:type="even" r:id="rId243"/>
          <w:type w:val="continuous"/>
          <w:pgSz w:w="11906" w:h="16838"/>
          <w:pgMar w:top="1440" w:right="1440" w:bottom="1440" w:left="1440" w:header="708" w:footer="708" w:gutter="0"/>
          <w:cols w:space="708"/>
          <w:docGrid w:linePitch="360"/>
        </w:sectPr>
      </w:pPr>
    </w:p>
    <w:p w14:paraId="01D641F1" w14:textId="77777777" w:rsidR="003E5BF5" w:rsidRPr="008A1946" w:rsidRDefault="003E5BF5" w:rsidP="008A0170">
      <w:pPr>
        <w:pStyle w:val="Heading1"/>
      </w:pPr>
      <w:bookmarkStart w:id="781" w:name="_Toc55130700"/>
      <w:r w:rsidRPr="008A1946">
        <w:lastRenderedPageBreak/>
        <w:t>Performance against output performance measures</w:t>
      </w:r>
      <w:bookmarkEnd w:id="781"/>
    </w:p>
    <w:p w14:paraId="13AC6543" w14:textId="77777777" w:rsidR="003E5BF5" w:rsidRPr="000113EE" w:rsidRDefault="003E5BF5" w:rsidP="00091232">
      <w:pPr>
        <w:pStyle w:val="aaatyping"/>
      </w:pPr>
      <w:bookmarkStart w:id="782" w:name="p359"/>
      <w:r w:rsidRPr="000113EE">
        <w:t xml:space="preserve">The </w:t>
      </w:r>
      <w:bookmarkEnd w:id="782"/>
      <w:r w:rsidRPr="000113EE">
        <w:t xml:space="preserve">following section outlines details of the outputs provided by the </w:t>
      </w:r>
      <w:r>
        <w:t>d</w:t>
      </w:r>
      <w:r w:rsidRPr="000113EE">
        <w:t xml:space="preserve">epartment to </w:t>
      </w:r>
      <w:r>
        <w:t>g</w:t>
      </w:r>
      <w:r w:rsidRPr="000113EE">
        <w:t xml:space="preserve">overnment for the year ending 30 June </w:t>
      </w:r>
      <w:r>
        <w:t>2020</w:t>
      </w:r>
      <w:r w:rsidRPr="000113EE">
        <w:t xml:space="preserve"> as outlined in the </w:t>
      </w:r>
      <w:r>
        <w:t>2019-20</w:t>
      </w:r>
      <w:r w:rsidRPr="000113EE">
        <w:t xml:space="preserve"> Budget Paper 3. It includes performance measures and costs for each output, actual performance results against targets and explanation for any variance.</w:t>
      </w:r>
      <w:r>
        <w:t xml:space="preserve"> As detailed in the previous section, new objectives were introduced in 2019-20 to better align outputs with objectives.</w:t>
      </w:r>
    </w:p>
    <w:p w14:paraId="57B58359" w14:textId="77777777" w:rsidR="003E5BF5" w:rsidRPr="00BD70C7" w:rsidRDefault="003E5BF5" w:rsidP="00091232">
      <w:pPr>
        <w:pStyle w:val="aaatyping"/>
      </w:pPr>
      <w:r w:rsidRPr="00BD70C7">
        <w:t xml:space="preserve">For the </w:t>
      </w:r>
      <w:r>
        <w:t>2019-20</w:t>
      </w:r>
      <w:r w:rsidRPr="00BD70C7">
        <w:t xml:space="preserve"> Budget Paper 3</w:t>
      </w:r>
      <w:r>
        <w:t>, both the Bus services and Train services outputs were split into three sub-outputs, metropolitan, regional and state-wide to improve transparency of the services provided. Changes to departmental outputs are detailed in the table below.</w:t>
      </w:r>
    </w:p>
    <w:p w14:paraId="697CCD2A" w14:textId="0F34241D" w:rsidR="003E5BF5" w:rsidRDefault="003E5BF5" w:rsidP="00CF74EB">
      <w:pPr>
        <w:pStyle w:val="TableHeader"/>
      </w:pPr>
      <w:r w:rsidRPr="007F3685">
        <w:t>Changes to the departmental output structure</w:t>
      </w:r>
    </w:p>
    <w:p w14:paraId="5E5A31EB" w14:textId="77777777" w:rsidR="009D0760" w:rsidRPr="007F3685" w:rsidRDefault="009D0760" w:rsidP="00CF74EB">
      <w:pPr>
        <w:pStyle w:val="TableHeader"/>
      </w:pPr>
    </w:p>
    <w:tbl>
      <w:tblPr>
        <w:tblStyle w:val="TableGrid"/>
        <w:tblW w:w="9072" w:type="dxa"/>
        <w:tblLayout w:type="fixed"/>
        <w:tblLook w:val="04A0" w:firstRow="1" w:lastRow="0" w:firstColumn="1" w:lastColumn="0" w:noHBand="0" w:noVBand="1"/>
      </w:tblPr>
      <w:tblGrid>
        <w:gridCol w:w="3024"/>
        <w:gridCol w:w="3024"/>
        <w:gridCol w:w="3024"/>
      </w:tblGrid>
      <w:tr w:rsidR="003E5BF5" w:rsidRPr="007F3685" w14:paraId="211BCB03" w14:textId="77777777" w:rsidTr="009D0760">
        <w:trPr>
          <w:trHeight w:val="340"/>
        </w:trPr>
        <w:tc>
          <w:tcPr>
            <w:tcW w:w="3024" w:type="dxa"/>
            <w:shd w:val="clear" w:color="auto" w:fill="auto"/>
            <w:tcMar>
              <w:left w:w="57" w:type="dxa"/>
              <w:right w:w="57" w:type="dxa"/>
            </w:tcMar>
            <w:vAlign w:val="center"/>
          </w:tcPr>
          <w:p w14:paraId="73D7AA4F"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2018-19 output</w:t>
            </w:r>
          </w:p>
        </w:tc>
        <w:tc>
          <w:tcPr>
            <w:tcW w:w="3024" w:type="dxa"/>
            <w:shd w:val="clear" w:color="auto" w:fill="auto"/>
            <w:tcMar>
              <w:left w:w="57" w:type="dxa"/>
              <w:right w:w="57" w:type="dxa"/>
            </w:tcMar>
            <w:vAlign w:val="center"/>
          </w:tcPr>
          <w:p w14:paraId="33AD81AD"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Reason for change</w:t>
            </w:r>
          </w:p>
        </w:tc>
        <w:tc>
          <w:tcPr>
            <w:tcW w:w="3024" w:type="dxa"/>
            <w:shd w:val="clear" w:color="auto" w:fill="auto"/>
            <w:tcMar>
              <w:left w:w="57" w:type="dxa"/>
              <w:right w:w="57" w:type="dxa"/>
            </w:tcMar>
            <w:vAlign w:val="center"/>
          </w:tcPr>
          <w:p w14:paraId="22548FC2"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2019-20 output</w:t>
            </w:r>
          </w:p>
        </w:tc>
      </w:tr>
      <w:tr w:rsidR="003E5BF5" w:rsidRPr="007F3685" w14:paraId="531B3D4C" w14:textId="77777777" w:rsidTr="009D0760">
        <w:trPr>
          <w:trHeight w:val="340"/>
        </w:trPr>
        <w:tc>
          <w:tcPr>
            <w:tcW w:w="3024" w:type="dxa"/>
            <w:shd w:val="clear" w:color="auto" w:fill="auto"/>
            <w:tcMar>
              <w:left w:w="57" w:type="dxa"/>
              <w:right w:w="57" w:type="dxa"/>
            </w:tcMar>
          </w:tcPr>
          <w:p w14:paraId="4247FB25"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Bus services</w:t>
            </w:r>
          </w:p>
        </w:tc>
        <w:tc>
          <w:tcPr>
            <w:tcW w:w="3024" w:type="dxa"/>
            <w:shd w:val="clear" w:color="auto" w:fill="auto"/>
            <w:tcMar>
              <w:left w:w="57" w:type="dxa"/>
              <w:right w:w="57" w:type="dxa"/>
            </w:tcMar>
          </w:tcPr>
          <w:p w14:paraId="5E7A981A" w14:textId="77777777" w:rsidR="003E5BF5" w:rsidRPr="007F3685" w:rsidRDefault="003E5BF5" w:rsidP="00DE1921">
            <w:pPr>
              <w:pStyle w:val="TableTextLeft"/>
              <w:spacing w:after="120"/>
              <w:rPr>
                <w:rFonts w:ascii="Arial" w:hAnsi="Arial" w:cs="Arial"/>
                <w:sz w:val="24"/>
                <w:szCs w:val="24"/>
              </w:rPr>
            </w:pPr>
            <w:r w:rsidRPr="007F3685">
              <w:rPr>
                <w:rFonts w:ascii="Arial" w:hAnsi="Arial" w:cs="Arial"/>
                <w:sz w:val="24"/>
                <w:szCs w:val="24"/>
              </w:rPr>
              <w:t>This output has been split into three sub-outputs to improve transparency of the costs involved with the delivery of each service.</w:t>
            </w:r>
          </w:p>
        </w:tc>
        <w:tc>
          <w:tcPr>
            <w:tcW w:w="3024" w:type="dxa"/>
            <w:shd w:val="clear" w:color="auto" w:fill="auto"/>
            <w:tcMar>
              <w:left w:w="57" w:type="dxa"/>
              <w:right w:w="57" w:type="dxa"/>
            </w:tcMar>
          </w:tcPr>
          <w:p w14:paraId="2029F93C" w14:textId="77777777" w:rsidR="003E5BF5" w:rsidRPr="007F3685" w:rsidRDefault="003E5BF5" w:rsidP="00610F5F">
            <w:pPr>
              <w:pStyle w:val="TableTextLeft"/>
              <w:numPr>
                <w:ilvl w:val="0"/>
                <w:numId w:val="29"/>
              </w:numPr>
              <w:ind w:left="227" w:hanging="227"/>
              <w:rPr>
                <w:rFonts w:ascii="Arial" w:hAnsi="Arial" w:cs="Arial"/>
                <w:sz w:val="24"/>
                <w:szCs w:val="24"/>
              </w:rPr>
            </w:pPr>
            <w:r w:rsidRPr="007F3685">
              <w:rPr>
                <w:rFonts w:ascii="Arial" w:hAnsi="Arial" w:cs="Arial"/>
                <w:sz w:val="24"/>
                <w:szCs w:val="24"/>
              </w:rPr>
              <w:t>Bus services - metropolitan</w:t>
            </w:r>
          </w:p>
          <w:p w14:paraId="054B39D5" w14:textId="77777777" w:rsidR="003E5BF5" w:rsidRPr="007F3685" w:rsidRDefault="003E5BF5" w:rsidP="00610F5F">
            <w:pPr>
              <w:pStyle w:val="TableTextLeft"/>
              <w:numPr>
                <w:ilvl w:val="0"/>
                <w:numId w:val="29"/>
              </w:numPr>
              <w:ind w:left="227" w:hanging="227"/>
              <w:rPr>
                <w:rFonts w:ascii="Arial" w:hAnsi="Arial" w:cs="Arial"/>
                <w:sz w:val="24"/>
                <w:szCs w:val="24"/>
              </w:rPr>
            </w:pPr>
            <w:r w:rsidRPr="007F3685">
              <w:rPr>
                <w:rFonts w:ascii="Arial" w:hAnsi="Arial" w:cs="Arial"/>
                <w:sz w:val="24"/>
                <w:szCs w:val="24"/>
              </w:rPr>
              <w:t>Bus services - regional</w:t>
            </w:r>
          </w:p>
          <w:p w14:paraId="31F65B59" w14:textId="77777777" w:rsidR="003E5BF5" w:rsidRPr="007F3685" w:rsidRDefault="003E5BF5" w:rsidP="00610F5F">
            <w:pPr>
              <w:pStyle w:val="TableTextLeft"/>
              <w:numPr>
                <w:ilvl w:val="0"/>
                <w:numId w:val="29"/>
              </w:numPr>
              <w:ind w:left="227" w:hanging="227"/>
              <w:rPr>
                <w:rFonts w:ascii="Arial" w:hAnsi="Arial" w:cs="Arial"/>
                <w:sz w:val="24"/>
                <w:szCs w:val="24"/>
              </w:rPr>
            </w:pPr>
            <w:r w:rsidRPr="007F3685">
              <w:rPr>
                <w:rFonts w:ascii="Arial" w:hAnsi="Arial" w:cs="Arial"/>
                <w:sz w:val="24"/>
                <w:szCs w:val="24"/>
              </w:rPr>
              <w:t>Bus services – state-wide</w:t>
            </w:r>
          </w:p>
        </w:tc>
      </w:tr>
      <w:tr w:rsidR="003E5BF5" w:rsidRPr="007F3685" w14:paraId="59E817F3" w14:textId="77777777" w:rsidTr="009D0760">
        <w:trPr>
          <w:trHeight w:val="340"/>
        </w:trPr>
        <w:tc>
          <w:tcPr>
            <w:tcW w:w="3024" w:type="dxa"/>
            <w:shd w:val="clear" w:color="auto" w:fill="auto"/>
            <w:tcMar>
              <w:left w:w="57" w:type="dxa"/>
              <w:right w:w="57" w:type="dxa"/>
            </w:tcMar>
          </w:tcPr>
          <w:p w14:paraId="570B6FE3"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Road operations and network improvements</w:t>
            </w:r>
          </w:p>
        </w:tc>
        <w:tc>
          <w:tcPr>
            <w:tcW w:w="3024" w:type="dxa"/>
            <w:shd w:val="clear" w:color="auto" w:fill="auto"/>
            <w:tcMar>
              <w:left w:w="57" w:type="dxa"/>
              <w:right w:w="57" w:type="dxa"/>
            </w:tcMar>
          </w:tcPr>
          <w:p w14:paraId="6CD04B27" w14:textId="77777777" w:rsidR="003E5BF5" w:rsidRPr="007F3685" w:rsidRDefault="003E5BF5" w:rsidP="00DE1921">
            <w:pPr>
              <w:pStyle w:val="TableTextLeft"/>
              <w:spacing w:after="120"/>
              <w:rPr>
                <w:rFonts w:ascii="Arial" w:hAnsi="Arial" w:cs="Arial"/>
                <w:sz w:val="24"/>
                <w:szCs w:val="24"/>
              </w:rPr>
            </w:pPr>
            <w:r w:rsidRPr="007F3685">
              <w:rPr>
                <w:rFonts w:ascii="Arial" w:hAnsi="Arial" w:cs="Arial"/>
                <w:sz w:val="24"/>
                <w:szCs w:val="24"/>
              </w:rPr>
              <w:t>This output has been renamed to reflect the type of activities that are now undertaken within this output. Network improvement activities are captured under the Transport Infrastructure output.</w:t>
            </w:r>
          </w:p>
          <w:p w14:paraId="0DE00265" w14:textId="77777777" w:rsidR="003E5BF5" w:rsidRPr="007F3685" w:rsidRDefault="003E5BF5" w:rsidP="00DE1921">
            <w:pPr>
              <w:pStyle w:val="TableTextLeft"/>
              <w:spacing w:after="120"/>
              <w:rPr>
                <w:rFonts w:ascii="Arial" w:hAnsi="Arial" w:cs="Arial"/>
                <w:sz w:val="24"/>
                <w:szCs w:val="24"/>
              </w:rPr>
            </w:pPr>
            <w:r w:rsidRPr="007F3685">
              <w:rPr>
                <w:rFonts w:ascii="Arial" w:hAnsi="Arial" w:cs="Arial"/>
                <w:sz w:val="24"/>
                <w:szCs w:val="24"/>
              </w:rPr>
              <w:t xml:space="preserve">Performance measures relating to registration and licensing and road safety have been transferred from the Transport Safety and Security output as these measures better align to this output which focuses </w:t>
            </w:r>
            <w:r w:rsidRPr="007F3685">
              <w:rPr>
                <w:rFonts w:ascii="Arial" w:hAnsi="Arial" w:cs="Arial"/>
                <w:sz w:val="24"/>
                <w:szCs w:val="24"/>
              </w:rPr>
              <w:lastRenderedPageBreak/>
              <w:t>on the operation of the road network.</w:t>
            </w:r>
          </w:p>
        </w:tc>
        <w:tc>
          <w:tcPr>
            <w:tcW w:w="3024" w:type="dxa"/>
            <w:shd w:val="clear" w:color="auto" w:fill="auto"/>
            <w:tcMar>
              <w:left w:w="57" w:type="dxa"/>
              <w:right w:w="57" w:type="dxa"/>
            </w:tcMar>
          </w:tcPr>
          <w:p w14:paraId="65C88D78" w14:textId="77777777" w:rsidR="003E5BF5" w:rsidRPr="007F3685" w:rsidRDefault="003E5BF5" w:rsidP="00610F5F">
            <w:pPr>
              <w:pStyle w:val="TableTextLeft"/>
              <w:numPr>
                <w:ilvl w:val="0"/>
                <w:numId w:val="29"/>
              </w:numPr>
              <w:ind w:left="227" w:hanging="227"/>
              <w:rPr>
                <w:rFonts w:ascii="Arial" w:hAnsi="Arial" w:cs="Arial"/>
                <w:sz w:val="24"/>
                <w:szCs w:val="24"/>
              </w:rPr>
            </w:pPr>
            <w:r w:rsidRPr="007F3685">
              <w:rPr>
                <w:rFonts w:ascii="Arial" w:hAnsi="Arial" w:cs="Arial"/>
                <w:sz w:val="24"/>
                <w:szCs w:val="24"/>
              </w:rPr>
              <w:lastRenderedPageBreak/>
              <w:t>Road operations</w:t>
            </w:r>
          </w:p>
        </w:tc>
      </w:tr>
      <w:tr w:rsidR="003E5BF5" w:rsidRPr="007F3685" w14:paraId="022CF4B5" w14:textId="77777777" w:rsidTr="009D0760">
        <w:trPr>
          <w:trHeight w:val="340"/>
        </w:trPr>
        <w:tc>
          <w:tcPr>
            <w:tcW w:w="3024" w:type="dxa"/>
            <w:shd w:val="clear" w:color="auto" w:fill="auto"/>
            <w:tcMar>
              <w:left w:w="57" w:type="dxa"/>
              <w:right w:w="57" w:type="dxa"/>
            </w:tcMar>
          </w:tcPr>
          <w:p w14:paraId="37EB9993"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Train services</w:t>
            </w:r>
          </w:p>
        </w:tc>
        <w:tc>
          <w:tcPr>
            <w:tcW w:w="3024" w:type="dxa"/>
            <w:shd w:val="clear" w:color="auto" w:fill="auto"/>
            <w:tcMar>
              <w:left w:w="57" w:type="dxa"/>
              <w:right w:w="57" w:type="dxa"/>
            </w:tcMar>
          </w:tcPr>
          <w:p w14:paraId="646F5D23" w14:textId="77777777" w:rsidR="003E5BF5" w:rsidRPr="007F3685" w:rsidRDefault="003E5BF5" w:rsidP="00DE1921">
            <w:pPr>
              <w:pStyle w:val="TableTextLeft"/>
              <w:spacing w:after="120"/>
              <w:rPr>
                <w:rFonts w:ascii="Arial" w:hAnsi="Arial" w:cs="Arial"/>
                <w:sz w:val="24"/>
                <w:szCs w:val="24"/>
              </w:rPr>
            </w:pPr>
            <w:r w:rsidRPr="007F3685">
              <w:rPr>
                <w:rFonts w:ascii="Arial" w:hAnsi="Arial" w:cs="Arial"/>
                <w:sz w:val="24"/>
                <w:szCs w:val="24"/>
              </w:rPr>
              <w:t>This output has been split into three sub-outputs to improve transparency of the costs involved with the delivery of each service.</w:t>
            </w:r>
          </w:p>
        </w:tc>
        <w:tc>
          <w:tcPr>
            <w:tcW w:w="3024" w:type="dxa"/>
            <w:shd w:val="clear" w:color="auto" w:fill="auto"/>
            <w:tcMar>
              <w:left w:w="57" w:type="dxa"/>
              <w:right w:w="57" w:type="dxa"/>
            </w:tcMar>
          </w:tcPr>
          <w:p w14:paraId="1F550586" w14:textId="77777777" w:rsidR="003E5BF5" w:rsidRPr="007F3685" w:rsidRDefault="003E5BF5" w:rsidP="00610F5F">
            <w:pPr>
              <w:pStyle w:val="TableTextLeft"/>
              <w:numPr>
                <w:ilvl w:val="0"/>
                <w:numId w:val="29"/>
              </w:numPr>
              <w:ind w:left="227" w:hanging="227"/>
              <w:rPr>
                <w:rFonts w:ascii="Arial" w:hAnsi="Arial" w:cs="Arial"/>
                <w:sz w:val="24"/>
                <w:szCs w:val="24"/>
              </w:rPr>
            </w:pPr>
            <w:r w:rsidRPr="007F3685">
              <w:rPr>
                <w:rFonts w:ascii="Arial" w:hAnsi="Arial" w:cs="Arial"/>
                <w:sz w:val="24"/>
                <w:szCs w:val="24"/>
              </w:rPr>
              <w:t>Train services - metropolitan</w:t>
            </w:r>
          </w:p>
          <w:p w14:paraId="1BC1982F" w14:textId="77777777" w:rsidR="003E5BF5" w:rsidRPr="007F3685" w:rsidRDefault="003E5BF5" w:rsidP="00610F5F">
            <w:pPr>
              <w:pStyle w:val="TableTextLeft"/>
              <w:numPr>
                <w:ilvl w:val="0"/>
                <w:numId w:val="29"/>
              </w:numPr>
              <w:ind w:left="227" w:hanging="227"/>
              <w:rPr>
                <w:rFonts w:ascii="Arial" w:hAnsi="Arial" w:cs="Arial"/>
                <w:sz w:val="24"/>
                <w:szCs w:val="24"/>
              </w:rPr>
            </w:pPr>
            <w:r w:rsidRPr="007F3685">
              <w:rPr>
                <w:rFonts w:ascii="Arial" w:hAnsi="Arial" w:cs="Arial"/>
                <w:sz w:val="24"/>
                <w:szCs w:val="24"/>
              </w:rPr>
              <w:t>Train services - regional</w:t>
            </w:r>
          </w:p>
          <w:p w14:paraId="6CF806E2" w14:textId="77777777" w:rsidR="003E5BF5" w:rsidRPr="007F3685" w:rsidRDefault="003E5BF5" w:rsidP="00610F5F">
            <w:pPr>
              <w:pStyle w:val="TableTextLeft"/>
              <w:numPr>
                <w:ilvl w:val="0"/>
                <w:numId w:val="29"/>
              </w:numPr>
              <w:ind w:left="227" w:hanging="227"/>
              <w:rPr>
                <w:rFonts w:ascii="Arial" w:hAnsi="Arial" w:cs="Arial"/>
                <w:sz w:val="24"/>
                <w:szCs w:val="24"/>
              </w:rPr>
            </w:pPr>
            <w:r w:rsidRPr="007F3685">
              <w:rPr>
                <w:rFonts w:ascii="Arial" w:hAnsi="Arial" w:cs="Arial"/>
                <w:sz w:val="24"/>
                <w:szCs w:val="24"/>
              </w:rPr>
              <w:t>Train services – state-wide</w:t>
            </w:r>
          </w:p>
        </w:tc>
      </w:tr>
      <w:tr w:rsidR="003E5BF5" w:rsidRPr="007F3685" w14:paraId="49BA4A1F" w14:textId="77777777" w:rsidTr="009D0760">
        <w:trPr>
          <w:trHeight w:val="340"/>
        </w:trPr>
        <w:tc>
          <w:tcPr>
            <w:tcW w:w="3024" w:type="dxa"/>
            <w:shd w:val="clear" w:color="auto" w:fill="auto"/>
            <w:tcMar>
              <w:left w:w="57" w:type="dxa"/>
              <w:right w:w="57" w:type="dxa"/>
            </w:tcMar>
          </w:tcPr>
          <w:p w14:paraId="11B466C0"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Transport safety, security and emergency management</w:t>
            </w:r>
          </w:p>
        </w:tc>
        <w:tc>
          <w:tcPr>
            <w:tcW w:w="3024" w:type="dxa"/>
            <w:shd w:val="clear" w:color="auto" w:fill="auto"/>
            <w:tcMar>
              <w:left w:w="57" w:type="dxa"/>
              <w:right w:w="57" w:type="dxa"/>
            </w:tcMar>
          </w:tcPr>
          <w:p w14:paraId="50D6808F" w14:textId="77777777" w:rsidR="003E5BF5" w:rsidRPr="007F3685" w:rsidRDefault="003E5BF5" w:rsidP="00DE1921">
            <w:pPr>
              <w:pStyle w:val="TableTextLeft"/>
              <w:spacing w:after="120"/>
              <w:rPr>
                <w:rFonts w:ascii="Arial" w:hAnsi="Arial" w:cs="Arial"/>
                <w:sz w:val="24"/>
                <w:szCs w:val="24"/>
              </w:rPr>
            </w:pPr>
            <w:r w:rsidRPr="007F3685">
              <w:rPr>
                <w:rFonts w:ascii="Arial" w:hAnsi="Arial" w:cs="Arial"/>
                <w:sz w:val="24"/>
                <w:szCs w:val="24"/>
              </w:rPr>
              <w:t>This output has been renamed to clarify the focus of initiatives in this output.</w:t>
            </w:r>
          </w:p>
          <w:p w14:paraId="500ED041" w14:textId="77777777" w:rsidR="003E5BF5" w:rsidRPr="007F3685" w:rsidRDefault="003E5BF5" w:rsidP="00DE1921">
            <w:pPr>
              <w:pStyle w:val="TableTextLeft"/>
              <w:spacing w:after="120"/>
              <w:rPr>
                <w:rFonts w:ascii="Arial" w:hAnsi="Arial" w:cs="Arial"/>
                <w:sz w:val="24"/>
                <w:szCs w:val="24"/>
              </w:rPr>
            </w:pPr>
            <w:r w:rsidRPr="007F3685">
              <w:rPr>
                <w:rFonts w:ascii="Arial" w:hAnsi="Arial" w:cs="Arial"/>
                <w:sz w:val="24"/>
                <w:szCs w:val="24"/>
              </w:rPr>
              <w:t>Performance measures relating to registration and licensing and road safety have been transferred to the Road Operations output.</w:t>
            </w:r>
          </w:p>
        </w:tc>
        <w:tc>
          <w:tcPr>
            <w:tcW w:w="3024" w:type="dxa"/>
            <w:shd w:val="clear" w:color="auto" w:fill="auto"/>
            <w:tcMar>
              <w:left w:w="57" w:type="dxa"/>
              <w:right w:w="57" w:type="dxa"/>
            </w:tcMar>
          </w:tcPr>
          <w:p w14:paraId="63583370" w14:textId="77777777" w:rsidR="003E5BF5" w:rsidRPr="007F3685" w:rsidRDefault="003E5BF5" w:rsidP="00610F5F">
            <w:pPr>
              <w:pStyle w:val="TableTextLeft"/>
              <w:numPr>
                <w:ilvl w:val="0"/>
                <w:numId w:val="29"/>
              </w:numPr>
              <w:ind w:left="227" w:hanging="227"/>
              <w:rPr>
                <w:rFonts w:ascii="Arial" w:hAnsi="Arial" w:cs="Arial"/>
                <w:sz w:val="24"/>
                <w:szCs w:val="24"/>
              </w:rPr>
            </w:pPr>
            <w:r w:rsidRPr="007F3685">
              <w:rPr>
                <w:rFonts w:ascii="Arial" w:hAnsi="Arial" w:cs="Arial"/>
                <w:sz w:val="24"/>
                <w:szCs w:val="24"/>
              </w:rPr>
              <w:t>Transport safety and security</w:t>
            </w:r>
          </w:p>
        </w:tc>
      </w:tr>
      <w:tr w:rsidR="003E5BF5" w:rsidRPr="007F3685" w14:paraId="17B37C6E" w14:textId="77777777" w:rsidTr="009D0760">
        <w:trPr>
          <w:trHeight w:val="340"/>
        </w:trPr>
        <w:tc>
          <w:tcPr>
            <w:tcW w:w="3024" w:type="dxa"/>
            <w:shd w:val="clear" w:color="auto" w:fill="auto"/>
            <w:tcMar>
              <w:left w:w="57" w:type="dxa"/>
              <w:right w:w="57" w:type="dxa"/>
            </w:tcMar>
          </w:tcPr>
          <w:p w14:paraId="0ABA5976"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Port and freight network access</w:t>
            </w:r>
          </w:p>
        </w:tc>
        <w:tc>
          <w:tcPr>
            <w:tcW w:w="3024" w:type="dxa"/>
            <w:shd w:val="clear" w:color="auto" w:fill="auto"/>
            <w:tcMar>
              <w:left w:w="57" w:type="dxa"/>
              <w:right w:w="57" w:type="dxa"/>
            </w:tcMar>
          </w:tcPr>
          <w:p w14:paraId="2A06C14F" w14:textId="77777777" w:rsidR="003E5BF5" w:rsidRPr="007F3685" w:rsidRDefault="003E5BF5" w:rsidP="00DE1921">
            <w:pPr>
              <w:pStyle w:val="TableTextLeft"/>
              <w:spacing w:after="120"/>
              <w:rPr>
                <w:rFonts w:ascii="Arial" w:hAnsi="Arial" w:cs="Arial"/>
                <w:sz w:val="24"/>
                <w:szCs w:val="24"/>
              </w:rPr>
            </w:pPr>
            <w:r w:rsidRPr="007F3685">
              <w:rPr>
                <w:rFonts w:ascii="Arial" w:hAnsi="Arial" w:cs="Arial"/>
                <w:sz w:val="24"/>
                <w:szCs w:val="24"/>
              </w:rPr>
              <w:t>This output has been renamed to highlight that boating activities are included under this output.</w:t>
            </w:r>
          </w:p>
        </w:tc>
        <w:tc>
          <w:tcPr>
            <w:tcW w:w="3024" w:type="dxa"/>
            <w:shd w:val="clear" w:color="auto" w:fill="auto"/>
            <w:tcMar>
              <w:left w:w="57" w:type="dxa"/>
              <w:right w:w="57" w:type="dxa"/>
            </w:tcMar>
          </w:tcPr>
          <w:p w14:paraId="6032CB70" w14:textId="77777777" w:rsidR="003E5BF5" w:rsidRPr="007F3685" w:rsidRDefault="003E5BF5" w:rsidP="00610F5F">
            <w:pPr>
              <w:pStyle w:val="TableTextLeft"/>
              <w:numPr>
                <w:ilvl w:val="0"/>
                <w:numId w:val="29"/>
              </w:numPr>
              <w:ind w:left="227" w:hanging="227"/>
              <w:rPr>
                <w:rFonts w:ascii="Arial" w:hAnsi="Arial" w:cs="Arial"/>
                <w:sz w:val="24"/>
                <w:szCs w:val="24"/>
              </w:rPr>
            </w:pPr>
            <w:r w:rsidRPr="007F3685">
              <w:rPr>
                <w:rFonts w:ascii="Arial" w:hAnsi="Arial" w:cs="Arial"/>
                <w:sz w:val="24"/>
                <w:szCs w:val="24"/>
              </w:rPr>
              <w:t>Ports, freight and boating</w:t>
            </w:r>
          </w:p>
        </w:tc>
      </w:tr>
      <w:tr w:rsidR="003E5BF5" w:rsidRPr="007F3685" w14:paraId="22391645" w14:textId="77777777" w:rsidTr="009D0760">
        <w:trPr>
          <w:trHeight w:val="340"/>
        </w:trPr>
        <w:tc>
          <w:tcPr>
            <w:tcW w:w="3024" w:type="dxa"/>
            <w:shd w:val="clear" w:color="auto" w:fill="auto"/>
            <w:tcMar>
              <w:left w:w="57" w:type="dxa"/>
              <w:right w:w="57" w:type="dxa"/>
            </w:tcMar>
          </w:tcPr>
          <w:p w14:paraId="5BB93B49"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t>Integrated transport</w:t>
            </w:r>
          </w:p>
        </w:tc>
        <w:tc>
          <w:tcPr>
            <w:tcW w:w="3024" w:type="dxa"/>
            <w:shd w:val="clear" w:color="auto" w:fill="auto"/>
            <w:tcMar>
              <w:left w:w="57" w:type="dxa"/>
              <w:right w:w="57" w:type="dxa"/>
            </w:tcMar>
          </w:tcPr>
          <w:p w14:paraId="6C24499E" w14:textId="77777777" w:rsidR="003E5BF5" w:rsidRPr="007F3685" w:rsidRDefault="003E5BF5" w:rsidP="00DE1921">
            <w:pPr>
              <w:pStyle w:val="TableTextLeft"/>
              <w:spacing w:after="120"/>
              <w:rPr>
                <w:rFonts w:ascii="Arial" w:hAnsi="Arial" w:cs="Arial"/>
                <w:sz w:val="24"/>
                <w:szCs w:val="24"/>
              </w:rPr>
            </w:pPr>
            <w:r w:rsidRPr="007F3685">
              <w:rPr>
                <w:rFonts w:ascii="Arial" w:hAnsi="Arial" w:cs="Arial"/>
                <w:sz w:val="24"/>
                <w:szCs w:val="24"/>
              </w:rPr>
              <w:t>This output has been renamed as it now consolidates all major transport infrastructure program measures under one output.</w:t>
            </w:r>
          </w:p>
          <w:p w14:paraId="47291408" w14:textId="77777777" w:rsidR="003E5BF5" w:rsidRPr="007F3685" w:rsidRDefault="003E5BF5" w:rsidP="00DE1921">
            <w:pPr>
              <w:pStyle w:val="TableTextLeft"/>
              <w:spacing w:after="120"/>
              <w:rPr>
                <w:rFonts w:ascii="Arial" w:hAnsi="Arial" w:cs="Arial"/>
                <w:sz w:val="24"/>
                <w:szCs w:val="24"/>
              </w:rPr>
            </w:pPr>
            <w:r w:rsidRPr="007F3685">
              <w:rPr>
                <w:rFonts w:ascii="Arial" w:hAnsi="Arial" w:cs="Arial"/>
                <w:sz w:val="24"/>
                <w:szCs w:val="24"/>
              </w:rPr>
              <w:t>Performance measures relating to network improvements have been transferred from the Road Operations output as these measures better align with other major transport infrastructure projects under this output.</w:t>
            </w:r>
          </w:p>
        </w:tc>
        <w:tc>
          <w:tcPr>
            <w:tcW w:w="3024" w:type="dxa"/>
            <w:shd w:val="clear" w:color="auto" w:fill="auto"/>
            <w:tcMar>
              <w:left w:w="57" w:type="dxa"/>
              <w:right w:w="57" w:type="dxa"/>
            </w:tcMar>
          </w:tcPr>
          <w:p w14:paraId="0DF24476" w14:textId="77777777" w:rsidR="003E5BF5" w:rsidRPr="007F3685" w:rsidRDefault="003E5BF5" w:rsidP="00610F5F">
            <w:pPr>
              <w:pStyle w:val="TableTextLeft"/>
              <w:numPr>
                <w:ilvl w:val="0"/>
                <w:numId w:val="29"/>
              </w:numPr>
              <w:ind w:left="227" w:hanging="227"/>
              <w:rPr>
                <w:rFonts w:ascii="Arial" w:hAnsi="Arial" w:cs="Arial"/>
                <w:sz w:val="24"/>
                <w:szCs w:val="24"/>
              </w:rPr>
            </w:pPr>
            <w:r w:rsidRPr="007F3685">
              <w:rPr>
                <w:rFonts w:ascii="Arial" w:hAnsi="Arial" w:cs="Arial"/>
                <w:sz w:val="24"/>
                <w:szCs w:val="24"/>
              </w:rPr>
              <w:t>Transport infrastructure</w:t>
            </w:r>
          </w:p>
        </w:tc>
      </w:tr>
    </w:tbl>
    <w:p w14:paraId="3B7A79DD" w14:textId="77777777" w:rsidR="003E5BF5" w:rsidRDefault="003E5BF5" w:rsidP="008A0170">
      <w:pPr>
        <w:pStyle w:val="Heading3"/>
        <w:rPr>
          <w:highlight w:val="green"/>
        </w:rPr>
        <w:sectPr w:rsidR="003E5BF5" w:rsidSect="00DE1921">
          <w:pgSz w:w="11906" w:h="16838"/>
          <w:pgMar w:top="1440" w:right="1440" w:bottom="1440" w:left="1440" w:header="708" w:footer="708" w:gutter="0"/>
          <w:cols w:space="708"/>
          <w:docGrid w:linePitch="360"/>
        </w:sectPr>
      </w:pPr>
    </w:p>
    <w:p w14:paraId="64A1F31E" w14:textId="77777777" w:rsidR="003E5BF5" w:rsidRPr="002F0322" w:rsidRDefault="003E5BF5" w:rsidP="008A0170">
      <w:pPr>
        <w:pStyle w:val="Heading2"/>
      </w:pPr>
      <w:r w:rsidRPr="002F0322">
        <w:lastRenderedPageBreak/>
        <w:t xml:space="preserve">Objective </w:t>
      </w:r>
      <w:r>
        <w:t>1</w:t>
      </w:r>
    </w:p>
    <w:p w14:paraId="33F8ABF4" w14:textId="77777777" w:rsidR="003E5BF5" w:rsidRPr="002F0322" w:rsidRDefault="003E5BF5" w:rsidP="00EF5131">
      <w:pPr>
        <w:pStyle w:val="Heading5"/>
      </w:pPr>
      <w:r>
        <w:t>Reliable and user-focused transport services</w:t>
      </w:r>
    </w:p>
    <w:p w14:paraId="65E97240" w14:textId="77777777" w:rsidR="003E5BF5" w:rsidRPr="0038022E" w:rsidRDefault="003E5BF5" w:rsidP="00091232">
      <w:pPr>
        <w:pStyle w:val="aaatyping"/>
      </w:pPr>
      <w:r w:rsidRPr="001A3D12">
        <w:t>This objective enhances liveability by providing Victorians with a transport system that connects people and places, taking them where they want to go, when they want to go.</w:t>
      </w:r>
      <w:r w:rsidRPr="001A3D12" w:rsidDel="005E757A">
        <w:t xml:space="preserve"> </w:t>
      </w:r>
      <w:r w:rsidRPr="001A3D12">
        <w:t>The department</w:t>
      </w:r>
      <w:r>
        <w:t xml:space="preserve"> achieves this objective by delivering public transport services and road initiatives that provide more predictable and reliable journeys to meet the service quality expected from transport users.</w:t>
      </w:r>
    </w:p>
    <w:p w14:paraId="47D0ED72" w14:textId="77777777" w:rsidR="003E5BF5" w:rsidRPr="002F0322" w:rsidRDefault="003E5BF5" w:rsidP="00EF5131">
      <w:pPr>
        <w:pStyle w:val="Heading5"/>
      </w:pPr>
      <w:r w:rsidRPr="002F0322">
        <w:t>Bus Services</w:t>
      </w:r>
    </w:p>
    <w:p w14:paraId="35321358" w14:textId="77777777" w:rsidR="003E5BF5" w:rsidRPr="0038022E" w:rsidRDefault="003E5BF5" w:rsidP="00091232">
      <w:pPr>
        <w:pStyle w:val="aaatyping"/>
      </w:pPr>
      <w:r>
        <w:t xml:space="preserve">This output contributes to the department’s objective by delivering </w:t>
      </w:r>
      <w:r w:rsidRPr="0038022E">
        <w:t xml:space="preserve">a </w:t>
      </w:r>
      <w:r>
        <w:t xml:space="preserve">safe, </w:t>
      </w:r>
      <w:r w:rsidRPr="0038022E">
        <w:t>reliable and cost-effective state</w:t>
      </w:r>
      <w:r>
        <w:t>-</w:t>
      </w:r>
      <w:r w:rsidRPr="0038022E">
        <w:t>wide bus service and infrastructure investments, including services delivered through contractual arrangements with private operators.</w:t>
      </w:r>
      <w:r>
        <w:t xml:space="preserve"> </w:t>
      </w:r>
    </w:p>
    <w:p w14:paraId="5D1CE425" w14:textId="58645701" w:rsidR="003E5BF5" w:rsidRDefault="003E5BF5" w:rsidP="00CF74EB">
      <w:pPr>
        <w:pStyle w:val="TableHeader"/>
      </w:pPr>
      <w:r w:rsidRPr="007F3685">
        <w:t xml:space="preserve">Bus Services </w:t>
      </w:r>
      <w:r w:rsidR="009D0760">
        <w:t>–</w:t>
      </w:r>
      <w:r w:rsidRPr="007F3685">
        <w:t xml:space="preserve"> Metropolitan</w:t>
      </w:r>
    </w:p>
    <w:tbl>
      <w:tblPr>
        <w:tblStyle w:val="TableGrid"/>
        <w:tblW w:w="9072" w:type="dxa"/>
        <w:tblCellMar>
          <w:left w:w="28" w:type="dxa"/>
          <w:right w:w="28" w:type="dxa"/>
        </w:tblCellMar>
        <w:tblLook w:val="04A0" w:firstRow="1" w:lastRow="0" w:firstColumn="1" w:lastColumn="0" w:noHBand="0" w:noVBand="1"/>
      </w:tblPr>
      <w:tblGrid>
        <w:gridCol w:w="3259"/>
        <w:gridCol w:w="1102"/>
        <w:gridCol w:w="1042"/>
        <w:gridCol w:w="1040"/>
        <w:gridCol w:w="1582"/>
        <w:gridCol w:w="1047"/>
      </w:tblGrid>
      <w:tr w:rsidR="003E5BF5" w:rsidRPr="007F3685" w14:paraId="6CC6A761" w14:textId="77777777" w:rsidTr="002B3847">
        <w:trPr>
          <w:trHeight w:val="340"/>
          <w:tblHeader/>
        </w:trPr>
        <w:tc>
          <w:tcPr>
            <w:tcW w:w="3259" w:type="dxa"/>
            <w:shd w:val="clear" w:color="auto" w:fill="auto"/>
            <w:tcMar>
              <w:left w:w="57" w:type="dxa"/>
              <w:right w:w="57" w:type="dxa"/>
            </w:tcMar>
          </w:tcPr>
          <w:p w14:paraId="38693CBA" w14:textId="77777777" w:rsidR="003E5BF5" w:rsidRPr="007F3685" w:rsidRDefault="003E5BF5" w:rsidP="00DE1921">
            <w:pPr>
              <w:pStyle w:val="TableTextLeftBold"/>
              <w:rPr>
                <w:rFonts w:ascii="Arial" w:hAnsi="Arial" w:cs="Arial"/>
                <w:sz w:val="24"/>
                <w:szCs w:val="24"/>
              </w:rPr>
            </w:pPr>
            <w:r w:rsidRPr="007F3685">
              <w:rPr>
                <w:rFonts w:ascii="Arial" w:hAnsi="Arial" w:cs="Arial"/>
                <w:sz w:val="24"/>
                <w:szCs w:val="24"/>
              </w:rPr>
              <w:t>Performance measures</w:t>
            </w:r>
          </w:p>
        </w:tc>
        <w:tc>
          <w:tcPr>
            <w:tcW w:w="1102" w:type="dxa"/>
            <w:shd w:val="clear" w:color="auto" w:fill="auto"/>
            <w:tcMar>
              <w:left w:w="57" w:type="dxa"/>
              <w:right w:w="57" w:type="dxa"/>
            </w:tcMar>
          </w:tcPr>
          <w:p w14:paraId="384B8AE1"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unit of measure</w:t>
            </w:r>
          </w:p>
        </w:tc>
        <w:tc>
          <w:tcPr>
            <w:tcW w:w="1042" w:type="dxa"/>
            <w:shd w:val="clear" w:color="auto" w:fill="auto"/>
            <w:tcMar>
              <w:left w:w="57" w:type="dxa"/>
              <w:right w:w="57" w:type="dxa"/>
            </w:tcMar>
          </w:tcPr>
          <w:p w14:paraId="451BB560"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2019-20 actual</w:t>
            </w:r>
          </w:p>
        </w:tc>
        <w:tc>
          <w:tcPr>
            <w:tcW w:w="1040" w:type="dxa"/>
            <w:shd w:val="clear" w:color="auto" w:fill="auto"/>
            <w:tcMar>
              <w:left w:w="57" w:type="dxa"/>
              <w:right w:w="57" w:type="dxa"/>
            </w:tcMar>
          </w:tcPr>
          <w:p w14:paraId="530A0355"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2019-20 target</w:t>
            </w:r>
          </w:p>
        </w:tc>
        <w:tc>
          <w:tcPr>
            <w:tcW w:w="1582" w:type="dxa"/>
            <w:shd w:val="clear" w:color="auto" w:fill="auto"/>
            <w:tcMar>
              <w:left w:w="57" w:type="dxa"/>
              <w:right w:w="57" w:type="dxa"/>
            </w:tcMar>
          </w:tcPr>
          <w:p w14:paraId="422EBD74"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Performance variation (%)</w:t>
            </w:r>
          </w:p>
        </w:tc>
        <w:tc>
          <w:tcPr>
            <w:tcW w:w="1047" w:type="dxa"/>
            <w:shd w:val="clear" w:color="auto" w:fill="auto"/>
            <w:tcMar>
              <w:left w:w="57" w:type="dxa"/>
              <w:right w:w="57" w:type="dxa"/>
            </w:tcMar>
          </w:tcPr>
          <w:p w14:paraId="1626E25C" w14:textId="77777777" w:rsidR="003E5BF5" w:rsidRPr="007F3685" w:rsidRDefault="003E5BF5" w:rsidP="00DE1921">
            <w:pPr>
              <w:pStyle w:val="TableTextRightBold"/>
              <w:rPr>
                <w:rFonts w:ascii="Arial" w:hAnsi="Arial" w:cs="Arial"/>
                <w:sz w:val="24"/>
                <w:szCs w:val="24"/>
              </w:rPr>
            </w:pPr>
            <w:r w:rsidRPr="007F3685">
              <w:rPr>
                <w:rFonts w:ascii="Arial" w:hAnsi="Arial" w:cs="Arial"/>
                <w:sz w:val="24"/>
                <w:szCs w:val="24"/>
              </w:rPr>
              <w:t>Result</w:t>
            </w:r>
          </w:p>
        </w:tc>
      </w:tr>
      <w:tr w:rsidR="003E5BF5" w:rsidRPr="007F3685" w14:paraId="6A10A92B" w14:textId="77777777" w:rsidTr="002B3847">
        <w:trPr>
          <w:trHeight w:val="340"/>
        </w:trPr>
        <w:tc>
          <w:tcPr>
            <w:tcW w:w="3259" w:type="dxa"/>
            <w:shd w:val="clear" w:color="auto" w:fill="auto"/>
            <w:tcMar>
              <w:left w:w="57" w:type="dxa"/>
              <w:right w:w="57" w:type="dxa"/>
            </w:tcMar>
            <w:vAlign w:val="center"/>
          </w:tcPr>
          <w:p w14:paraId="1C102AC7" w14:textId="77777777" w:rsidR="003E5BF5" w:rsidRPr="007F3685" w:rsidRDefault="003E5BF5" w:rsidP="00DE1921">
            <w:pPr>
              <w:pStyle w:val="TableTextLeftItalics"/>
              <w:rPr>
                <w:rFonts w:ascii="Arial" w:hAnsi="Arial" w:cs="Arial"/>
                <w:b/>
                <w:sz w:val="24"/>
                <w:szCs w:val="24"/>
              </w:rPr>
            </w:pPr>
            <w:r w:rsidRPr="007F3685">
              <w:rPr>
                <w:rFonts w:ascii="Arial" w:hAnsi="Arial" w:cs="Arial"/>
                <w:b/>
                <w:sz w:val="24"/>
                <w:szCs w:val="24"/>
              </w:rPr>
              <w:t>Quantity</w:t>
            </w:r>
          </w:p>
        </w:tc>
        <w:tc>
          <w:tcPr>
            <w:tcW w:w="1102" w:type="dxa"/>
            <w:shd w:val="clear" w:color="auto" w:fill="auto"/>
            <w:tcMar>
              <w:left w:w="57" w:type="dxa"/>
              <w:right w:w="57" w:type="dxa"/>
            </w:tcMar>
            <w:vAlign w:val="center"/>
          </w:tcPr>
          <w:p w14:paraId="3345D58E" w14:textId="77777777" w:rsidR="003E5BF5" w:rsidRPr="007F3685" w:rsidRDefault="003E5BF5" w:rsidP="00DE1921">
            <w:pPr>
              <w:pStyle w:val="TableTextRight"/>
              <w:rPr>
                <w:rFonts w:ascii="Arial" w:hAnsi="Arial" w:cs="Arial"/>
                <w:sz w:val="24"/>
                <w:szCs w:val="24"/>
              </w:rPr>
            </w:pPr>
          </w:p>
        </w:tc>
        <w:tc>
          <w:tcPr>
            <w:tcW w:w="1042" w:type="dxa"/>
            <w:shd w:val="clear" w:color="auto" w:fill="auto"/>
            <w:tcMar>
              <w:left w:w="57" w:type="dxa"/>
              <w:right w:w="57" w:type="dxa"/>
            </w:tcMar>
            <w:vAlign w:val="center"/>
          </w:tcPr>
          <w:p w14:paraId="191E8A72" w14:textId="77777777" w:rsidR="003E5BF5" w:rsidRPr="007F3685" w:rsidRDefault="003E5BF5" w:rsidP="00DE1921">
            <w:pPr>
              <w:pStyle w:val="TableTextRight"/>
              <w:rPr>
                <w:rFonts w:ascii="Arial" w:hAnsi="Arial" w:cs="Arial"/>
                <w:sz w:val="24"/>
                <w:szCs w:val="24"/>
              </w:rPr>
            </w:pPr>
          </w:p>
        </w:tc>
        <w:tc>
          <w:tcPr>
            <w:tcW w:w="1040" w:type="dxa"/>
            <w:shd w:val="clear" w:color="auto" w:fill="auto"/>
            <w:tcMar>
              <w:left w:w="57" w:type="dxa"/>
              <w:right w:w="57" w:type="dxa"/>
            </w:tcMar>
            <w:vAlign w:val="center"/>
          </w:tcPr>
          <w:p w14:paraId="43B1F36F" w14:textId="77777777" w:rsidR="003E5BF5" w:rsidRPr="007F3685" w:rsidRDefault="003E5BF5" w:rsidP="00DE1921">
            <w:pPr>
              <w:pStyle w:val="TableTextRight"/>
              <w:rPr>
                <w:rFonts w:ascii="Arial" w:hAnsi="Arial" w:cs="Arial"/>
                <w:sz w:val="24"/>
                <w:szCs w:val="24"/>
              </w:rPr>
            </w:pPr>
          </w:p>
        </w:tc>
        <w:tc>
          <w:tcPr>
            <w:tcW w:w="1582" w:type="dxa"/>
            <w:shd w:val="clear" w:color="auto" w:fill="auto"/>
            <w:tcMar>
              <w:left w:w="57" w:type="dxa"/>
              <w:right w:w="57" w:type="dxa"/>
            </w:tcMar>
            <w:vAlign w:val="center"/>
          </w:tcPr>
          <w:p w14:paraId="1CD4AFC2" w14:textId="77777777" w:rsidR="003E5BF5" w:rsidRPr="007F3685" w:rsidRDefault="003E5BF5" w:rsidP="00DE1921">
            <w:pPr>
              <w:pStyle w:val="TableTextRight"/>
              <w:rPr>
                <w:rFonts w:ascii="Arial" w:hAnsi="Arial" w:cs="Arial"/>
                <w:sz w:val="24"/>
                <w:szCs w:val="24"/>
              </w:rPr>
            </w:pPr>
          </w:p>
        </w:tc>
        <w:tc>
          <w:tcPr>
            <w:tcW w:w="1047" w:type="dxa"/>
            <w:shd w:val="clear" w:color="auto" w:fill="auto"/>
            <w:tcMar>
              <w:left w:w="57" w:type="dxa"/>
              <w:right w:w="57" w:type="dxa"/>
            </w:tcMar>
            <w:vAlign w:val="center"/>
          </w:tcPr>
          <w:p w14:paraId="2667756D" w14:textId="77777777" w:rsidR="003E5BF5" w:rsidRPr="007F3685" w:rsidRDefault="003E5BF5" w:rsidP="00DE1921">
            <w:pPr>
              <w:pStyle w:val="TableTextRight"/>
              <w:rPr>
                <w:rFonts w:ascii="Arial" w:hAnsi="Arial" w:cs="Arial"/>
                <w:sz w:val="24"/>
                <w:szCs w:val="24"/>
              </w:rPr>
            </w:pPr>
          </w:p>
        </w:tc>
      </w:tr>
      <w:tr w:rsidR="003E5BF5" w:rsidRPr="007F3685" w14:paraId="6E1D0141" w14:textId="77777777" w:rsidTr="002B3847">
        <w:trPr>
          <w:trHeight w:val="340"/>
        </w:trPr>
        <w:tc>
          <w:tcPr>
            <w:tcW w:w="3259" w:type="dxa"/>
            <w:shd w:val="clear" w:color="auto" w:fill="auto"/>
            <w:tcMar>
              <w:left w:w="57" w:type="dxa"/>
              <w:right w:w="57" w:type="dxa"/>
            </w:tcMar>
          </w:tcPr>
          <w:p w14:paraId="1C36B6E8"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NEXT </w:instrText>
            </w:r>
            <w:r w:rsidRPr="007F3685">
              <w:rPr>
                <w:rFonts w:ascii="Arial" w:hAnsi="Arial" w:cs="Arial"/>
                <w:sz w:val="24"/>
                <w:szCs w:val="24"/>
              </w:rPr>
              <w:fldChar w:fldCharType="end"/>
            </w:r>
            <w:r w:rsidR="00105501" w:rsidRPr="007F3685">
              <w:rPr>
                <w:rFonts w:ascii="Arial" w:hAnsi="Arial" w:cs="Arial"/>
                <w:sz w:val="24"/>
                <w:szCs w:val="24"/>
              </w:rPr>
              <w:fldChar w:fldCharType="begin"/>
            </w:r>
            <w:r w:rsidR="00105501" w:rsidRPr="007F3685">
              <w:rPr>
                <w:rFonts w:ascii="Arial" w:hAnsi="Arial" w:cs="Arial"/>
                <w:sz w:val="24"/>
                <w:szCs w:val="24"/>
              </w:rPr>
              <w:instrText xml:space="preserve"> MERGEFIELD M_7 </w:instrText>
            </w:r>
            <w:r w:rsidR="00105501" w:rsidRPr="007F3685">
              <w:rPr>
                <w:rFonts w:ascii="Arial" w:hAnsi="Arial" w:cs="Arial"/>
                <w:sz w:val="24"/>
                <w:szCs w:val="24"/>
              </w:rPr>
              <w:fldChar w:fldCharType="separate"/>
            </w:r>
            <w:r w:rsidRPr="007F3685">
              <w:rPr>
                <w:rFonts w:ascii="Arial" w:hAnsi="Arial" w:cs="Arial"/>
                <w:sz w:val="24"/>
                <w:szCs w:val="24"/>
              </w:rPr>
              <w:t>Passengers carried: metropolitan bus services</w:t>
            </w:r>
            <w:r w:rsidR="00105501" w:rsidRPr="007F3685">
              <w:rPr>
                <w:rFonts w:ascii="Arial" w:hAnsi="Arial" w:cs="Arial"/>
                <w:sz w:val="24"/>
                <w:szCs w:val="24"/>
              </w:rPr>
              <w:fldChar w:fldCharType="end"/>
            </w:r>
          </w:p>
        </w:tc>
        <w:tc>
          <w:tcPr>
            <w:tcW w:w="1102" w:type="dxa"/>
            <w:shd w:val="clear" w:color="auto" w:fill="auto"/>
            <w:tcMar>
              <w:left w:w="57" w:type="dxa"/>
              <w:right w:w="57" w:type="dxa"/>
            </w:tcMar>
          </w:tcPr>
          <w:p w14:paraId="7A13A56A"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M_10 </w:instrText>
            </w:r>
            <w:r w:rsidRPr="007F3685">
              <w:rPr>
                <w:rFonts w:ascii="Arial" w:hAnsi="Arial" w:cs="Arial"/>
                <w:sz w:val="24"/>
                <w:szCs w:val="24"/>
              </w:rPr>
              <w:fldChar w:fldCharType="separate"/>
            </w:r>
            <w:r w:rsidR="003E5BF5" w:rsidRPr="007F3685">
              <w:rPr>
                <w:rFonts w:ascii="Arial" w:hAnsi="Arial" w:cs="Arial"/>
                <w:sz w:val="24"/>
                <w:szCs w:val="24"/>
              </w:rPr>
              <w:t>number (million)</w:t>
            </w:r>
            <w:r w:rsidRPr="007F3685">
              <w:rPr>
                <w:rFonts w:ascii="Arial" w:hAnsi="Arial" w:cs="Arial"/>
                <w:sz w:val="24"/>
                <w:szCs w:val="24"/>
              </w:rPr>
              <w:fldChar w:fldCharType="end"/>
            </w:r>
          </w:p>
        </w:tc>
        <w:tc>
          <w:tcPr>
            <w:tcW w:w="1042" w:type="dxa"/>
            <w:shd w:val="clear" w:color="auto" w:fill="auto"/>
            <w:tcMar>
              <w:left w:w="57" w:type="dxa"/>
              <w:right w:w="57" w:type="dxa"/>
            </w:tcMar>
          </w:tcPr>
          <w:p w14:paraId="5EBDCA1E" w14:textId="77777777" w:rsidR="003E5BF5" w:rsidRPr="007F3685" w:rsidRDefault="00105501" w:rsidP="00DE1921">
            <w:pPr>
              <w:pStyle w:val="TableTextRight"/>
              <w:rPr>
                <w:rFonts w:ascii="Arial" w:hAnsi="Arial" w:cs="Arial"/>
                <w:sz w:val="24"/>
                <w:szCs w:val="24"/>
                <w:highlight w:val="yellow"/>
              </w:rPr>
            </w:pPr>
            <w:r w:rsidRPr="007F3685">
              <w:rPr>
                <w:rFonts w:ascii="Arial" w:hAnsi="Arial" w:cs="Arial"/>
                <w:sz w:val="24"/>
                <w:szCs w:val="24"/>
              </w:rPr>
              <w:fldChar w:fldCharType="begin"/>
            </w:r>
            <w:r w:rsidRPr="007F3685">
              <w:rPr>
                <w:rFonts w:ascii="Arial" w:hAnsi="Arial" w:cs="Arial"/>
                <w:sz w:val="24"/>
                <w:szCs w:val="24"/>
              </w:rPr>
              <w:instrText xml:space="preserve"> MERGEFIELD M_20 </w:instrText>
            </w:r>
            <w:r w:rsidRPr="007F3685">
              <w:rPr>
                <w:rFonts w:ascii="Arial" w:hAnsi="Arial" w:cs="Arial"/>
                <w:sz w:val="24"/>
                <w:szCs w:val="24"/>
              </w:rPr>
              <w:fldChar w:fldCharType="separate"/>
            </w:r>
            <w:r w:rsidR="003E5BF5" w:rsidRPr="007F3685">
              <w:rPr>
                <w:rFonts w:ascii="Arial" w:hAnsi="Arial" w:cs="Arial"/>
                <w:sz w:val="24"/>
                <w:szCs w:val="24"/>
              </w:rPr>
              <w:t>97.9</w:t>
            </w:r>
            <w:r w:rsidRPr="007F3685">
              <w:rPr>
                <w:rFonts w:ascii="Arial" w:hAnsi="Arial" w:cs="Arial"/>
                <w:sz w:val="24"/>
                <w:szCs w:val="24"/>
              </w:rPr>
              <w:fldChar w:fldCharType="end"/>
            </w:r>
          </w:p>
        </w:tc>
        <w:tc>
          <w:tcPr>
            <w:tcW w:w="1040" w:type="dxa"/>
            <w:shd w:val="clear" w:color="auto" w:fill="auto"/>
            <w:tcMar>
              <w:left w:w="57" w:type="dxa"/>
              <w:right w:w="57" w:type="dxa"/>
            </w:tcMar>
          </w:tcPr>
          <w:p w14:paraId="31FFCF6B"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M_12 </w:instrText>
            </w:r>
            <w:r w:rsidRPr="007F3685">
              <w:rPr>
                <w:rFonts w:ascii="Arial" w:hAnsi="Arial" w:cs="Arial"/>
                <w:sz w:val="24"/>
                <w:szCs w:val="24"/>
              </w:rPr>
              <w:fldChar w:fldCharType="separate"/>
            </w:r>
            <w:r w:rsidR="003E5BF5" w:rsidRPr="007F3685">
              <w:rPr>
                <w:rFonts w:ascii="Arial" w:hAnsi="Arial" w:cs="Arial"/>
                <w:sz w:val="24"/>
                <w:szCs w:val="24"/>
              </w:rPr>
              <w:t>119.5</w:t>
            </w:r>
            <w:r w:rsidRPr="007F3685">
              <w:rPr>
                <w:rFonts w:ascii="Arial" w:hAnsi="Arial" w:cs="Arial"/>
                <w:sz w:val="24"/>
                <w:szCs w:val="24"/>
              </w:rPr>
              <w:fldChar w:fldCharType="end"/>
            </w:r>
          </w:p>
        </w:tc>
        <w:tc>
          <w:tcPr>
            <w:tcW w:w="1582" w:type="dxa"/>
            <w:shd w:val="clear" w:color="auto" w:fill="auto"/>
            <w:tcMar>
              <w:left w:w="57" w:type="dxa"/>
              <w:right w:w="57" w:type="dxa"/>
            </w:tcMar>
          </w:tcPr>
          <w:p w14:paraId="3DC512A3"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M_24 </w:instrText>
            </w:r>
            <w:r w:rsidRPr="007F3685">
              <w:rPr>
                <w:rFonts w:ascii="Arial" w:hAnsi="Arial" w:cs="Arial"/>
                <w:sz w:val="24"/>
                <w:szCs w:val="24"/>
              </w:rPr>
              <w:fldChar w:fldCharType="separate"/>
            </w:r>
            <w:r w:rsidR="003E5BF5" w:rsidRPr="007F3685">
              <w:rPr>
                <w:rFonts w:ascii="Arial" w:hAnsi="Arial" w:cs="Arial"/>
                <w:sz w:val="24"/>
                <w:szCs w:val="24"/>
              </w:rPr>
              <w:t>-18.1</w:t>
            </w:r>
            <w:r w:rsidRPr="007F3685">
              <w:rPr>
                <w:rFonts w:ascii="Arial" w:hAnsi="Arial" w:cs="Arial"/>
                <w:sz w:val="24"/>
                <w:szCs w:val="24"/>
              </w:rPr>
              <w:fldChar w:fldCharType="end"/>
            </w:r>
          </w:p>
        </w:tc>
        <w:tc>
          <w:tcPr>
            <w:tcW w:w="1047" w:type="dxa"/>
            <w:shd w:val="clear" w:color="auto" w:fill="auto"/>
            <w:tcMar>
              <w:left w:w="57" w:type="dxa"/>
              <w:right w:w="57" w:type="dxa"/>
            </w:tcMar>
          </w:tcPr>
          <w:p w14:paraId="4C68DE17" w14:textId="77777777" w:rsidR="003E5BF5" w:rsidRPr="007F3685" w:rsidRDefault="003E5BF5" w:rsidP="00DE1921">
            <w:pPr>
              <w:pStyle w:val="TableTextCentre"/>
              <w:spacing w:before="40"/>
              <w:jc w:val="right"/>
              <w:rPr>
                <w:rFonts w:ascii="Arial" w:hAnsi="Arial" w:cs="Arial"/>
                <w:sz w:val="24"/>
                <w:szCs w:val="24"/>
              </w:rPr>
            </w:pPr>
            <w:r w:rsidRPr="007F3685">
              <w:rPr>
                <w:rFonts w:ascii="Arial" w:hAnsi="Arial" w:cs="Arial"/>
                <w:sz w:val="24"/>
                <w:szCs w:val="24"/>
              </w:rPr>
              <w:sym w:font="Wingdings" w:char="F06E"/>
            </w:r>
          </w:p>
        </w:tc>
      </w:tr>
      <w:tr w:rsidR="003E5BF5" w:rsidRPr="007F3685" w14:paraId="6BF4C43A" w14:textId="77777777" w:rsidTr="000A3C3B">
        <w:tc>
          <w:tcPr>
            <w:tcW w:w="9072" w:type="dxa"/>
            <w:gridSpan w:val="6"/>
            <w:shd w:val="clear" w:color="auto" w:fill="auto"/>
            <w:tcMar>
              <w:left w:w="57" w:type="dxa"/>
              <w:right w:w="57" w:type="dxa"/>
            </w:tcMar>
          </w:tcPr>
          <w:p w14:paraId="69C5FFD7" w14:textId="77777777" w:rsidR="003E5BF5" w:rsidRPr="007F3685" w:rsidRDefault="003E5BF5" w:rsidP="00DE1921">
            <w:pPr>
              <w:pStyle w:val="Note"/>
              <w:rPr>
                <w:rFonts w:ascii="Arial" w:hAnsi="Arial" w:cs="Arial"/>
                <w:i/>
                <w:sz w:val="24"/>
                <w:szCs w:val="24"/>
              </w:rPr>
            </w:pPr>
            <w:r w:rsidRPr="007F3685">
              <w:rPr>
                <w:rFonts w:ascii="Arial" w:hAnsi="Arial" w:cs="Arial"/>
                <w:i/>
                <w:sz w:val="24"/>
                <w:szCs w:val="24"/>
              </w:rPr>
              <w:fldChar w:fldCharType="begin"/>
            </w:r>
            <w:r w:rsidRPr="007F3685">
              <w:rPr>
                <w:rFonts w:ascii="Arial" w:hAnsi="Arial" w:cs="Arial"/>
                <w:i/>
                <w:sz w:val="24"/>
                <w:szCs w:val="24"/>
              </w:rPr>
              <w:instrText xml:space="preserve"> MERGEFIELD "M_26" </w:instrText>
            </w:r>
            <w:r w:rsidRPr="007F3685">
              <w:rPr>
                <w:rFonts w:ascii="Arial" w:hAnsi="Arial" w:cs="Arial"/>
                <w:i/>
                <w:sz w:val="24"/>
                <w:szCs w:val="24"/>
              </w:rPr>
              <w:fldChar w:fldCharType="separate"/>
            </w:r>
            <w:r w:rsidRPr="007F3685">
              <w:rPr>
                <w:rFonts w:ascii="Arial" w:hAnsi="Arial" w:cs="Arial"/>
                <w:i/>
                <w:sz w:val="24"/>
                <w:szCs w:val="24"/>
              </w:rPr>
              <w:t>Public transport usage was significantly impacted by the coronavirus (COVID-19) response from March to the end of June 2020.</w:t>
            </w:r>
            <w:r w:rsidRPr="007F3685">
              <w:rPr>
                <w:rFonts w:ascii="Arial" w:hAnsi="Arial" w:cs="Arial"/>
                <w:i/>
                <w:sz w:val="24"/>
                <w:szCs w:val="24"/>
              </w:rPr>
              <w:fldChar w:fldCharType="end"/>
            </w:r>
          </w:p>
        </w:tc>
      </w:tr>
      <w:tr w:rsidR="003E5BF5" w:rsidRPr="007F3685" w14:paraId="55240562" w14:textId="77777777" w:rsidTr="002B3847">
        <w:trPr>
          <w:trHeight w:val="340"/>
        </w:trPr>
        <w:tc>
          <w:tcPr>
            <w:tcW w:w="3259" w:type="dxa"/>
            <w:shd w:val="clear" w:color="auto" w:fill="auto"/>
            <w:tcMar>
              <w:left w:w="57" w:type="dxa"/>
              <w:right w:w="57" w:type="dxa"/>
            </w:tcMar>
          </w:tcPr>
          <w:p w14:paraId="2818DF35"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NEXT </w:instrText>
            </w:r>
            <w:r w:rsidRPr="007F3685">
              <w:rPr>
                <w:rFonts w:ascii="Arial" w:hAnsi="Arial" w:cs="Arial"/>
                <w:sz w:val="24"/>
                <w:szCs w:val="24"/>
              </w:rPr>
              <w:fldChar w:fldCharType="end"/>
            </w:r>
            <w:r w:rsidR="00105501" w:rsidRPr="007F3685">
              <w:rPr>
                <w:rFonts w:ascii="Arial" w:hAnsi="Arial" w:cs="Arial"/>
                <w:sz w:val="24"/>
                <w:szCs w:val="24"/>
              </w:rPr>
              <w:fldChar w:fldCharType="begin"/>
            </w:r>
            <w:r w:rsidR="00105501" w:rsidRPr="007F3685">
              <w:rPr>
                <w:rFonts w:ascii="Arial" w:hAnsi="Arial" w:cs="Arial"/>
                <w:sz w:val="24"/>
                <w:szCs w:val="24"/>
              </w:rPr>
              <w:instrText xml:space="preserve"> MERGEFIELD M_7 </w:instrText>
            </w:r>
            <w:r w:rsidR="00105501" w:rsidRPr="007F3685">
              <w:rPr>
                <w:rFonts w:ascii="Arial" w:hAnsi="Arial" w:cs="Arial"/>
                <w:sz w:val="24"/>
                <w:szCs w:val="24"/>
              </w:rPr>
              <w:fldChar w:fldCharType="separate"/>
            </w:r>
            <w:r w:rsidRPr="007F3685">
              <w:rPr>
                <w:rFonts w:ascii="Arial" w:hAnsi="Arial" w:cs="Arial"/>
                <w:sz w:val="24"/>
                <w:szCs w:val="24"/>
              </w:rPr>
              <w:t>Payments made for: metropolitan bus services</w:t>
            </w:r>
            <w:r w:rsidR="00105501" w:rsidRPr="007F3685">
              <w:rPr>
                <w:rFonts w:ascii="Arial" w:hAnsi="Arial" w:cs="Arial"/>
                <w:sz w:val="24"/>
                <w:szCs w:val="24"/>
              </w:rPr>
              <w:fldChar w:fldCharType="end"/>
            </w:r>
          </w:p>
        </w:tc>
        <w:tc>
          <w:tcPr>
            <w:tcW w:w="1102" w:type="dxa"/>
            <w:shd w:val="clear" w:color="auto" w:fill="auto"/>
            <w:tcMar>
              <w:left w:w="57" w:type="dxa"/>
              <w:right w:w="57" w:type="dxa"/>
            </w:tcMar>
          </w:tcPr>
          <w:p w14:paraId="5D37AABA"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M_10 </w:instrText>
            </w:r>
            <w:r w:rsidRPr="007F3685">
              <w:rPr>
                <w:rFonts w:ascii="Arial" w:hAnsi="Arial" w:cs="Arial"/>
                <w:sz w:val="24"/>
                <w:szCs w:val="24"/>
              </w:rPr>
              <w:fldChar w:fldCharType="separate"/>
            </w:r>
            <w:r w:rsidR="003E5BF5" w:rsidRPr="007F3685">
              <w:rPr>
                <w:rFonts w:ascii="Arial" w:hAnsi="Arial" w:cs="Arial"/>
                <w:sz w:val="24"/>
                <w:szCs w:val="24"/>
              </w:rPr>
              <w:t>$ million</w:t>
            </w:r>
            <w:r w:rsidRPr="007F3685">
              <w:rPr>
                <w:rFonts w:ascii="Arial" w:hAnsi="Arial" w:cs="Arial"/>
                <w:sz w:val="24"/>
                <w:szCs w:val="24"/>
              </w:rPr>
              <w:fldChar w:fldCharType="end"/>
            </w:r>
          </w:p>
        </w:tc>
        <w:tc>
          <w:tcPr>
            <w:tcW w:w="1042" w:type="dxa"/>
            <w:shd w:val="clear" w:color="auto" w:fill="auto"/>
            <w:tcMar>
              <w:left w:w="57" w:type="dxa"/>
              <w:right w:w="57" w:type="dxa"/>
            </w:tcMar>
          </w:tcPr>
          <w:p w14:paraId="3B9D7D6F"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M_20 </w:instrText>
            </w:r>
            <w:r w:rsidRPr="007F3685">
              <w:rPr>
                <w:rFonts w:ascii="Arial" w:hAnsi="Arial" w:cs="Arial"/>
                <w:sz w:val="24"/>
                <w:szCs w:val="24"/>
              </w:rPr>
              <w:fldChar w:fldCharType="separate"/>
            </w:r>
            <w:r w:rsidR="003E5BF5" w:rsidRPr="007F3685">
              <w:rPr>
                <w:rFonts w:ascii="Arial" w:hAnsi="Arial" w:cs="Arial"/>
                <w:sz w:val="24"/>
                <w:szCs w:val="24"/>
              </w:rPr>
              <w:t>710.6</w:t>
            </w:r>
            <w:r w:rsidRPr="007F3685">
              <w:rPr>
                <w:rFonts w:ascii="Arial" w:hAnsi="Arial" w:cs="Arial"/>
                <w:sz w:val="24"/>
                <w:szCs w:val="24"/>
              </w:rPr>
              <w:fldChar w:fldCharType="end"/>
            </w:r>
          </w:p>
        </w:tc>
        <w:tc>
          <w:tcPr>
            <w:tcW w:w="1040" w:type="dxa"/>
            <w:shd w:val="clear" w:color="auto" w:fill="auto"/>
            <w:tcMar>
              <w:left w:w="57" w:type="dxa"/>
              <w:right w:w="57" w:type="dxa"/>
            </w:tcMar>
          </w:tcPr>
          <w:p w14:paraId="23E1D954"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M_12 </w:instrText>
            </w:r>
            <w:r w:rsidRPr="007F3685">
              <w:rPr>
                <w:rFonts w:ascii="Arial" w:hAnsi="Arial" w:cs="Arial"/>
                <w:sz w:val="24"/>
                <w:szCs w:val="24"/>
              </w:rPr>
              <w:fldChar w:fldCharType="separate"/>
            </w:r>
            <w:r w:rsidR="003E5BF5" w:rsidRPr="007F3685">
              <w:rPr>
                <w:rFonts w:ascii="Arial" w:hAnsi="Arial" w:cs="Arial"/>
                <w:sz w:val="24"/>
                <w:szCs w:val="24"/>
              </w:rPr>
              <w:t>741.8</w:t>
            </w:r>
            <w:r w:rsidRPr="007F3685">
              <w:rPr>
                <w:rFonts w:ascii="Arial" w:hAnsi="Arial" w:cs="Arial"/>
                <w:sz w:val="24"/>
                <w:szCs w:val="24"/>
              </w:rPr>
              <w:fldChar w:fldCharType="end"/>
            </w:r>
          </w:p>
        </w:tc>
        <w:tc>
          <w:tcPr>
            <w:tcW w:w="1582" w:type="dxa"/>
            <w:shd w:val="clear" w:color="auto" w:fill="auto"/>
            <w:tcMar>
              <w:left w:w="57" w:type="dxa"/>
              <w:right w:w="57" w:type="dxa"/>
            </w:tcMar>
          </w:tcPr>
          <w:p w14:paraId="2A5B225D"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M_24 </w:instrText>
            </w:r>
            <w:r w:rsidRPr="007F3685">
              <w:rPr>
                <w:rFonts w:ascii="Arial" w:hAnsi="Arial" w:cs="Arial"/>
                <w:sz w:val="24"/>
                <w:szCs w:val="24"/>
              </w:rPr>
              <w:fldChar w:fldCharType="separate"/>
            </w:r>
            <w:r w:rsidR="003E5BF5" w:rsidRPr="007F3685">
              <w:rPr>
                <w:rFonts w:ascii="Arial" w:hAnsi="Arial" w:cs="Arial"/>
                <w:sz w:val="24"/>
                <w:szCs w:val="24"/>
              </w:rPr>
              <w:t>-4.2</w:t>
            </w:r>
            <w:r w:rsidRPr="007F3685">
              <w:rPr>
                <w:rFonts w:ascii="Arial" w:hAnsi="Arial" w:cs="Arial"/>
                <w:sz w:val="24"/>
                <w:szCs w:val="24"/>
              </w:rPr>
              <w:fldChar w:fldCharType="end"/>
            </w:r>
          </w:p>
        </w:tc>
        <w:tc>
          <w:tcPr>
            <w:tcW w:w="1047" w:type="dxa"/>
            <w:shd w:val="clear" w:color="auto" w:fill="auto"/>
            <w:tcMar>
              <w:left w:w="57" w:type="dxa"/>
              <w:right w:w="57" w:type="dxa"/>
            </w:tcMar>
          </w:tcPr>
          <w:p w14:paraId="05422221" w14:textId="77777777" w:rsidR="003E5BF5" w:rsidRPr="007F3685" w:rsidRDefault="003E5BF5" w:rsidP="00DE1921">
            <w:pPr>
              <w:pStyle w:val="TableTextCentre"/>
              <w:spacing w:before="40"/>
              <w:jc w:val="right"/>
              <w:rPr>
                <w:rFonts w:ascii="Arial" w:hAnsi="Arial" w:cs="Arial"/>
                <w:sz w:val="24"/>
                <w:szCs w:val="24"/>
              </w:rPr>
            </w:pPr>
            <w:r w:rsidRPr="007F3685">
              <w:rPr>
                <w:rFonts w:ascii="Arial" w:hAnsi="Arial" w:cs="Arial"/>
                <w:sz w:val="24"/>
                <w:szCs w:val="24"/>
              </w:rPr>
              <w:sym w:font="Wingdings 2" w:char="F099"/>
            </w:r>
          </w:p>
        </w:tc>
      </w:tr>
      <w:tr w:rsidR="003E5BF5" w:rsidRPr="007F3685" w14:paraId="661317F6" w14:textId="77777777" w:rsidTr="002B3847">
        <w:trPr>
          <w:trHeight w:val="340"/>
        </w:trPr>
        <w:tc>
          <w:tcPr>
            <w:tcW w:w="3259" w:type="dxa"/>
            <w:shd w:val="clear" w:color="auto" w:fill="auto"/>
            <w:tcMar>
              <w:left w:w="57" w:type="dxa"/>
              <w:right w:w="57" w:type="dxa"/>
            </w:tcMar>
            <w:vAlign w:val="center"/>
          </w:tcPr>
          <w:p w14:paraId="61EF5FAF"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NEXT </w:instrText>
            </w:r>
            <w:r w:rsidRPr="007F3685">
              <w:rPr>
                <w:rFonts w:ascii="Arial" w:hAnsi="Arial" w:cs="Arial"/>
                <w:sz w:val="24"/>
                <w:szCs w:val="24"/>
              </w:rPr>
              <w:fldChar w:fldCharType="end"/>
            </w:r>
            <w:r w:rsidR="00105501" w:rsidRPr="007F3685">
              <w:rPr>
                <w:rFonts w:ascii="Arial" w:hAnsi="Arial" w:cs="Arial"/>
                <w:sz w:val="24"/>
                <w:szCs w:val="24"/>
              </w:rPr>
              <w:fldChar w:fldCharType="begin"/>
            </w:r>
            <w:r w:rsidR="00105501" w:rsidRPr="007F3685">
              <w:rPr>
                <w:rFonts w:ascii="Arial" w:hAnsi="Arial" w:cs="Arial"/>
                <w:sz w:val="24"/>
                <w:szCs w:val="24"/>
              </w:rPr>
              <w:instrText xml:space="preserve"> MERGEFIELD M_7 </w:instrText>
            </w:r>
            <w:r w:rsidR="00105501" w:rsidRPr="007F3685">
              <w:rPr>
                <w:rFonts w:ascii="Arial" w:hAnsi="Arial" w:cs="Arial"/>
                <w:sz w:val="24"/>
                <w:szCs w:val="24"/>
              </w:rPr>
              <w:fldChar w:fldCharType="separate"/>
            </w:r>
            <w:r w:rsidRPr="007F3685">
              <w:rPr>
                <w:rFonts w:ascii="Arial" w:hAnsi="Arial" w:cs="Arial"/>
                <w:sz w:val="24"/>
                <w:szCs w:val="24"/>
              </w:rPr>
              <w:t>Scheduled services delivered: metropolitan bus</w:t>
            </w:r>
            <w:r w:rsidR="00105501" w:rsidRPr="007F3685">
              <w:rPr>
                <w:rFonts w:ascii="Arial" w:hAnsi="Arial" w:cs="Arial"/>
                <w:sz w:val="24"/>
                <w:szCs w:val="24"/>
              </w:rPr>
              <w:fldChar w:fldCharType="end"/>
            </w:r>
          </w:p>
        </w:tc>
        <w:tc>
          <w:tcPr>
            <w:tcW w:w="1102" w:type="dxa"/>
            <w:shd w:val="clear" w:color="auto" w:fill="auto"/>
            <w:tcMar>
              <w:left w:w="57" w:type="dxa"/>
              <w:right w:w="57" w:type="dxa"/>
            </w:tcMar>
          </w:tcPr>
          <w:p w14:paraId="3736A9AC"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M_10 </w:instrText>
            </w:r>
            <w:r w:rsidRPr="007F3685">
              <w:rPr>
                <w:rFonts w:ascii="Arial" w:hAnsi="Arial" w:cs="Arial"/>
                <w:sz w:val="24"/>
                <w:szCs w:val="24"/>
              </w:rPr>
              <w:fldChar w:fldCharType="separate"/>
            </w:r>
            <w:r w:rsidR="003E5BF5" w:rsidRPr="007F3685">
              <w:rPr>
                <w:rFonts w:ascii="Arial" w:hAnsi="Arial" w:cs="Arial"/>
                <w:sz w:val="24"/>
                <w:szCs w:val="24"/>
              </w:rPr>
              <w:t>per cent</w:t>
            </w:r>
            <w:r w:rsidRPr="007F3685">
              <w:rPr>
                <w:rFonts w:ascii="Arial" w:hAnsi="Arial" w:cs="Arial"/>
                <w:sz w:val="24"/>
                <w:szCs w:val="24"/>
              </w:rPr>
              <w:fldChar w:fldCharType="end"/>
            </w:r>
          </w:p>
        </w:tc>
        <w:tc>
          <w:tcPr>
            <w:tcW w:w="1042" w:type="dxa"/>
            <w:shd w:val="clear" w:color="auto" w:fill="auto"/>
            <w:tcMar>
              <w:left w:w="57" w:type="dxa"/>
              <w:right w:w="57" w:type="dxa"/>
            </w:tcMar>
          </w:tcPr>
          <w:p w14:paraId="4717F0F1"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M_20 </w:instrText>
            </w:r>
            <w:r w:rsidRPr="007F3685">
              <w:rPr>
                <w:rFonts w:ascii="Arial" w:hAnsi="Arial" w:cs="Arial"/>
                <w:sz w:val="24"/>
                <w:szCs w:val="24"/>
              </w:rPr>
              <w:fldChar w:fldCharType="separate"/>
            </w:r>
            <w:r w:rsidR="003E5BF5" w:rsidRPr="007F3685">
              <w:rPr>
                <w:rFonts w:ascii="Arial" w:hAnsi="Arial" w:cs="Arial"/>
                <w:sz w:val="24"/>
                <w:szCs w:val="24"/>
              </w:rPr>
              <w:t>99.9</w:t>
            </w:r>
            <w:r w:rsidRPr="007F3685">
              <w:rPr>
                <w:rFonts w:ascii="Arial" w:hAnsi="Arial" w:cs="Arial"/>
                <w:sz w:val="24"/>
                <w:szCs w:val="24"/>
              </w:rPr>
              <w:fldChar w:fldCharType="end"/>
            </w:r>
          </w:p>
        </w:tc>
        <w:tc>
          <w:tcPr>
            <w:tcW w:w="1040" w:type="dxa"/>
            <w:shd w:val="clear" w:color="auto" w:fill="auto"/>
            <w:tcMar>
              <w:left w:w="57" w:type="dxa"/>
              <w:right w:w="57" w:type="dxa"/>
            </w:tcMar>
          </w:tcPr>
          <w:p w14:paraId="7C8335FF"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M_12 </w:instrText>
            </w:r>
            <w:r w:rsidRPr="007F3685">
              <w:rPr>
                <w:rFonts w:ascii="Arial" w:hAnsi="Arial" w:cs="Arial"/>
                <w:sz w:val="24"/>
                <w:szCs w:val="24"/>
              </w:rPr>
              <w:fldChar w:fldCharType="separate"/>
            </w:r>
            <w:r w:rsidR="003E5BF5" w:rsidRPr="007F3685">
              <w:rPr>
                <w:rFonts w:ascii="Arial" w:hAnsi="Arial" w:cs="Arial"/>
                <w:sz w:val="24"/>
                <w:szCs w:val="24"/>
              </w:rPr>
              <w:t>99.9</w:t>
            </w:r>
            <w:r w:rsidRPr="007F3685">
              <w:rPr>
                <w:rFonts w:ascii="Arial" w:hAnsi="Arial" w:cs="Arial"/>
                <w:sz w:val="24"/>
                <w:szCs w:val="24"/>
              </w:rPr>
              <w:fldChar w:fldCharType="end"/>
            </w:r>
          </w:p>
        </w:tc>
        <w:tc>
          <w:tcPr>
            <w:tcW w:w="1582" w:type="dxa"/>
            <w:shd w:val="clear" w:color="auto" w:fill="auto"/>
            <w:tcMar>
              <w:left w:w="57" w:type="dxa"/>
              <w:right w:w="57" w:type="dxa"/>
            </w:tcMar>
          </w:tcPr>
          <w:p w14:paraId="50BB7FC8"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w:t>
            </w:r>
          </w:p>
        </w:tc>
        <w:tc>
          <w:tcPr>
            <w:tcW w:w="1047" w:type="dxa"/>
            <w:shd w:val="clear" w:color="auto" w:fill="auto"/>
            <w:tcMar>
              <w:left w:w="57" w:type="dxa"/>
              <w:right w:w="57" w:type="dxa"/>
            </w:tcMar>
          </w:tcPr>
          <w:p w14:paraId="4421F725" w14:textId="77777777" w:rsidR="003E5BF5" w:rsidRPr="007F3685" w:rsidRDefault="003E5BF5" w:rsidP="00DE1921">
            <w:pPr>
              <w:pStyle w:val="TableTextCentre"/>
              <w:spacing w:before="40"/>
              <w:jc w:val="right"/>
              <w:rPr>
                <w:rFonts w:ascii="Arial" w:hAnsi="Arial" w:cs="Arial"/>
                <w:sz w:val="24"/>
                <w:szCs w:val="24"/>
              </w:rPr>
            </w:pPr>
            <w:r w:rsidRPr="007F3685">
              <w:rPr>
                <w:rFonts w:ascii="Arial" w:hAnsi="Arial" w:cs="Arial"/>
                <w:sz w:val="24"/>
                <w:szCs w:val="24"/>
              </w:rPr>
              <w:sym w:font="Wingdings" w:char="F0FC"/>
            </w:r>
          </w:p>
        </w:tc>
      </w:tr>
      <w:tr w:rsidR="003E5BF5" w:rsidRPr="007F3685" w14:paraId="40AC10D9" w14:textId="77777777" w:rsidTr="002B3847">
        <w:trPr>
          <w:trHeight w:val="340"/>
        </w:trPr>
        <w:tc>
          <w:tcPr>
            <w:tcW w:w="3259" w:type="dxa"/>
            <w:shd w:val="clear" w:color="auto" w:fill="auto"/>
            <w:tcMar>
              <w:left w:w="57" w:type="dxa"/>
              <w:right w:w="57" w:type="dxa"/>
            </w:tcMar>
          </w:tcPr>
          <w:p w14:paraId="058B2A30"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NEXT </w:instrText>
            </w:r>
            <w:r w:rsidRPr="007F3685">
              <w:rPr>
                <w:rFonts w:ascii="Arial" w:hAnsi="Arial" w:cs="Arial"/>
                <w:sz w:val="24"/>
                <w:szCs w:val="24"/>
              </w:rPr>
              <w:fldChar w:fldCharType="end"/>
            </w:r>
            <w:r w:rsidR="00105501" w:rsidRPr="007F3685">
              <w:rPr>
                <w:rFonts w:ascii="Arial" w:hAnsi="Arial" w:cs="Arial"/>
                <w:sz w:val="24"/>
                <w:szCs w:val="24"/>
              </w:rPr>
              <w:fldChar w:fldCharType="begin"/>
            </w:r>
            <w:r w:rsidR="00105501" w:rsidRPr="007F3685">
              <w:rPr>
                <w:rFonts w:ascii="Arial" w:hAnsi="Arial" w:cs="Arial"/>
                <w:sz w:val="24"/>
                <w:szCs w:val="24"/>
              </w:rPr>
              <w:instrText xml:space="preserve"> MERGEFIELD M_7 </w:instrText>
            </w:r>
            <w:r w:rsidR="00105501" w:rsidRPr="007F3685">
              <w:rPr>
                <w:rFonts w:ascii="Arial" w:hAnsi="Arial" w:cs="Arial"/>
                <w:sz w:val="24"/>
                <w:szCs w:val="24"/>
              </w:rPr>
              <w:fldChar w:fldCharType="separate"/>
            </w:r>
            <w:r w:rsidRPr="007F3685">
              <w:rPr>
                <w:rFonts w:ascii="Arial" w:hAnsi="Arial" w:cs="Arial"/>
                <w:sz w:val="24"/>
                <w:szCs w:val="24"/>
              </w:rPr>
              <w:t>Total kilometres scheduled: metropolitan bus</w:t>
            </w:r>
            <w:r w:rsidR="00105501" w:rsidRPr="007F3685">
              <w:rPr>
                <w:rFonts w:ascii="Arial" w:hAnsi="Arial" w:cs="Arial"/>
                <w:sz w:val="24"/>
                <w:szCs w:val="24"/>
              </w:rPr>
              <w:fldChar w:fldCharType="end"/>
            </w:r>
          </w:p>
        </w:tc>
        <w:tc>
          <w:tcPr>
            <w:tcW w:w="1102" w:type="dxa"/>
            <w:shd w:val="clear" w:color="auto" w:fill="auto"/>
            <w:tcMar>
              <w:left w:w="57" w:type="dxa"/>
              <w:right w:w="57" w:type="dxa"/>
            </w:tcMar>
          </w:tcPr>
          <w:p w14:paraId="46DE238B"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M_10 </w:instrText>
            </w:r>
            <w:r w:rsidRPr="007F3685">
              <w:rPr>
                <w:rFonts w:ascii="Arial" w:hAnsi="Arial" w:cs="Arial"/>
                <w:sz w:val="24"/>
                <w:szCs w:val="24"/>
              </w:rPr>
              <w:fldChar w:fldCharType="separate"/>
            </w:r>
            <w:r w:rsidR="003E5BF5" w:rsidRPr="007F3685">
              <w:rPr>
                <w:rFonts w:ascii="Arial" w:hAnsi="Arial" w:cs="Arial"/>
                <w:sz w:val="24"/>
                <w:szCs w:val="24"/>
              </w:rPr>
              <w:t>km (million)</w:t>
            </w:r>
            <w:r w:rsidRPr="007F3685">
              <w:rPr>
                <w:rFonts w:ascii="Arial" w:hAnsi="Arial" w:cs="Arial"/>
                <w:sz w:val="24"/>
                <w:szCs w:val="24"/>
              </w:rPr>
              <w:fldChar w:fldCharType="end"/>
            </w:r>
          </w:p>
        </w:tc>
        <w:tc>
          <w:tcPr>
            <w:tcW w:w="1042" w:type="dxa"/>
            <w:shd w:val="clear" w:color="auto" w:fill="auto"/>
            <w:tcMar>
              <w:left w:w="57" w:type="dxa"/>
              <w:right w:w="57" w:type="dxa"/>
            </w:tcMar>
          </w:tcPr>
          <w:p w14:paraId="53065680"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123.1</w:t>
            </w:r>
          </w:p>
        </w:tc>
        <w:tc>
          <w:tcPr>
            <w:tcW w:w="1040" w:type="dxa"/>
            <w:shd w:val="clear" w:color="auto" w:fill="auto"/>
            <w:tcMar>
              <w:left w:w="57" w:type="dxa"/>
              <w:right w:w="57" w:type="dxa"/>
            </w:tcMar>
          </w:tcPr>
          <w:p w14:paraId="35313F86"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M_12 </w:instrText>
            </w:r>
            <w:r w:rsidRPr="007F3685">
              <w:rPr>
                <w:rFonts w:ascii="Arial" w:hAnsi="Arial" w:cs="Arial"/>
                <w:sz w:val="24"/>
                <w:szCs w:val="24"/>
              </w:rPr>
              <w:fldChar w:fldCharType="separate"/>
            </w:r>
            <w:r w:rsidR="003E5BF5" w:rsidRPr="007F3685">
              <w:rPr>
                <w:rFonts w:ascii="Arial" w:hAnsi="Arial" w:cs="Arial"/>
                <w:sz w:val="24"/>
                <w:szCs w:val="24"/>
              </w:rPr>
              <w:t>122.6</w:t>
            </w:r>
            <w:r w:rsidRPr="007F3685">
              <w:rPr>
                <w:rFonts w:ascii="Arial" w:hAnsi="Arial" w:cs="Arial"/>
                <w:sz w:val="24"/>
                <w:szCs w:val="24"/>
              </w:rPr>
              <w:fldChar w:fldCharType="end"/>
            </w:r>
          </w:p>
        </w:tc>
        <w:tc>
          <w:tcPr>
            <w:tcW w:w="1582" w:type="dxa"/>
            <w:shd w:val="clear" w:color="auto" w:fill="auto"/>
            <w:tcMar>
              <w:left w:w="57" w:type="dxa"/>
              <w:right w:w="57" w:type="dxa"/>
            </w:tcMar>
          </w:tcPr>
          <w:p w14:paraId="3D5EB50C"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M_24 </w:instrText>
            </w:r>
            <w:r w:rsidRPr="007F3685">
              <w:rPr>
                <w:rFonts w:ascii="Arial" w:hAnsi="Arial" w:cs="Arial"/>
                <w:sz w:val="24"/>
                <w:szCs w:val="24"/>
              </w:rPr>
              <w:fldChar w:fldCharType="separate"/>
            </w:r>
            <w:r w:rsidR="003E5BF5" w:rsidRPr="007F3685">
              <w:rPr>
                <w:rFonts w:ascii="Arial" w:hAnsi="Arial" w:cs="Arial"/>
                <w:sz w:val="24"/>
                <w:szCs w:val="24"/>
              </w:rPr>
              <w:t>0.4</w:t>
            </w:r>
            <w:r w:rsidRPr="007F3685">
              <w:rPr>
                <w:rFonts w:ascii="Arial" w:hAnsi="Arial" w:cs="Arial"/>
                <w:sz w:val="24"/>
                <w:szCs w:val="24"/>
              </w:rPr>
              <w:fldChar w:fldCharType="end"/>
            </w:r>
          </w:p>
        </w:tc>
        <w:tc>
          <w:tcPr>
            <w:tcW w:w="1047" w:type="dxa"/>
            <w:shd w:val="clear" w:color="auto" w:fill="auto"/>
            <w:tcMar>
              <w:left w:w="57" w:type="dxa"/>
              <w:right w:w="57" w:type="dxa"/>
            </w:tcMar>
          </w:tcPr>
          <w:p w14:paraId="75545E21" w14:textId="77777777" w:rsidR="003E5BF5" w:rsidRPr="007F3685" w:rsidRDefault="003E5BF5" w:rsidP="00DE1921">
            <w:pPr>
              <w:pStyle w:val="TableTextCentre"/>
              <w:spacing w:before="40"/>
              <w:jc w:val="right"/>
              <w:rPr>
                <w:rFonts w:ascii="Arial" w:hAnsi="Arial" w:cs="Arial"/>
                <w:sz w:val="24"/>
                <w:szCs w:val="24"/>
              </w:rPr>
            </w:pPr>
            <w:r w:rsidRPr="007F3685">
              <w:rPr>
                <w:rFonts w:ascii="Arial" w:hAnsi="Arial" w:cs="Arial"/>
                <w:sz w:val="24"/>
                <w:szCs w:val="24"/>
              </w:rPr>
              <w:sym w:font="Wingdings" w:char="F0FC"/>
            </w:r>
          </w:p>
        </w:tc>
      </w:tr>
      <w:tr w:rsidR="003E5BF5" w:rsidRPr="007F3685" w14:paraId="756D0EEE" w14:textId="77777777" w:rsidTr="000A3C3B">
        <w:trPr>
          <w:trHeight w:val="340"/>
        </w:trPr>
        <w:tc>
          <w:tcPr>
            <w:tcW w:w="9072" w:type="dxa"/>
            <w:gridSpan w:val="6"/>
            <w:shd w:val="clear" w:color="auto" w:fill="auto"/>
            <w:tcMar>
              <w:left w:w="57" w:type="dxa"/>
              <w:right w:w="57" w:type="dxa"/>
            </w:tcMar>
            <w:vAlign w:val="center"/>
          </w:tcPr>
          <w:p w14:paraId="240F2E39" w14:textId="77777777" w:rsidR="003E5BF5" w:rsidRPr="007F3685" w:rsidRDefault="003E5BF5" w:rsidP="00DE1921">
            <w:pPr>
              <w:pStyle w:val="TableTextCentre"/>
              <w:jc w:val="left"/>
              <w:rPr>
                <w:rFonts w:ascii="Arial" w:hAnsi="Arial" w:cs="Arial"/>
                <w:i/>
                <w:sz w:val="24"/>
                <w:szCs w:val="24"/>
              </w:rPr>
            </w:pPr>
            <w:r w:rsidRPr="007F3685">
              <w:rPr>
                <w:rFonts w:ascii="Arial" w:hAnsi="Arial" w:cs="Arial"/>
                <w:b/>
                <w:sz w:val="24"/>
                <w:szCs w:val="24"/>
              </w:rPr>
              <w:t>Quality</w:t>
            </w:r>
          </w:p>
        </w:tc>
      </w:tr>
      <w:tr w:rsidR="003E5BF5" w:rsidRPr="007F3685" w14:paraId="359DF616" w14:textId="77777777" w:rsidTr="002B3847">
        <w:trPr>
          <w:trHeight w:val="340"/>
        </w:trPr>
        <w:tc>
          <w:tcPr>
            <w:tcW w:w="3259" w:type="dxa"/>
            <w:shd w:val="clear" w:color="auto" w:fill="auto"/>
            <w:tcMar>
              <w:left w:w="57" w:type="dxa"/>
              <w:right w:w="57" w:type="dxa"/>
            </w:tcMar>
          </w:tcPr>
          <w:p w14:paraId="73E2B293"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NEXT </w:instrText>
            </w:r>
            <w:r w:rsidRPr="007F3685">
              <w:rPr>
                <w:rFonts w:ascii="Arial" w:hAnsi="Arial" w:cs="Arial"/>
                <w:sz w:val="24"/>
                <w:szCs w:val="24"/>
              </w:rPr>
              <w:fldChar w:fldCharType="end"/>
            </w:r>
            <w:r w:rsidR="00105501" w:rsidRPr="007F3685">
              <w:rPr>
                <w:rFonts w:ascii="Arial" w:hAnsi="Arial" w:cs="Arial"/>
                <w:sz w:val="24"/>
                <w:szCs w:val="24"/>
              </w:rPr>
              <w:fldChar w:fldCharType="begin"/>
            </w:r>
            <w:r w:rsidR="00105501" w:rsidRPr="007F3685">
              <w:rPr>
                <w:rFonts w:ascii="Arial" w:hAnsi="Arial" w:cs="Arial"/>
                <w:sz w:val="24"/>
                <w:szCs w:val="24"/>
              </w:rPr>
              <w:instrText xml:space="preserve"> MERGEFIELD M_7 </w:instrText>
            </w:r>
            <w:r w:rsidR="00105501" w:rsidRPr="007F3685">
              <w:rPr>
                <w:rFonts w:ascii="Arial" w:hAnsi="Arial" w:cs="Arial"/>
                <w:sz w:val="24"/>
                <w:szCs w:val="24"/>
              </w:rPr>
              <w:fldChar w:fldCharType="separate"/>
            </w:r>
            <w:r w:rsidRPr="007F3685">
              <w:rPr>
                <w:rFonts w:ascii="Arial" w:hAnsi="Arial" w:cs="Arial"/>
                <w:sz w:val="24"/>
                <w:szCs w:val="24"/>
              </w:rPr>
              <w:t>Customer satisfaction index: metropolitan bus services</w:t>
            </w:r>
            <w:r w:rsidR="00105501" w:rsidRPr="007F3685">
              <w:rPr>
                <w:rFonts w:ascii="Arial" w:hAnsi="Arial" w:cs="Arial"/>
                <w:sz w:val="24"/>
                <w:szCs w:val="24"/>
              </w:rPr>
              <w:fldChar w:fldCharType="end"/>
            </w:r>
          </w:p>
        </w:tc>
        <w:tc>
          <w:tcPr>
            <w:tcW w:w="1102" w:type="dxa"/>
            <w:shd w:val="clear" w:color="auto" w:fill="auto"/>
            <w:tcMar>
              <w:left w:w="57" w:type="dxa"/>
              <w:right w:w="57" w:type="dxa"/>
            </w:tcMar>
          </w:tcPr>
          <w:p w14:paraId="5AE9A3D1"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M_10 </w:instrText>
            </w:r>
            <w:r w:rsidRPr="007F3685">
              <w:rPr>
                <w:rFonts w:ascii="Arial" w:hAnsi="Arial" w:cs="Arial"/>
                <w:sz w:val="24"/>
                <w:szCs w:val="24"/>
              </w:rPr>
              <w:fldChar w:fldCharType="separate"/>
            </w:r>
            <w:r w:rsidR="003E5BF5" w:rsidRPr="007F3685">
              <w:rPr>
                <w:rFonts w:ascii="Arial" w:hAnsi="Arial" w:cs="Arial"/>
                <w:sz w:val="24"/>
                <w:szCs w:val="24"/>
              </w:rPr>
              <w:t>score</w:t>
            </w:r>
            <w:r w:rsidRPr="007F3685">
              <w:rPr>
                <w:rFonts w:ascii="Arial" w:hAnsi="Arial" w:cs="Arial"/>
                <w:sz w:val="24"/>
                <w:szCs w:val="24"/>
              </w:rPr>
              <w:fldChar w:fldCharType="end"/>
            </w:r>
          </w:p>
        </w:tc>
        <w:tc>
          <w:tcPr>
            <w:tcW w:w="1042" w:type="dxa"/>
            <w:shd w:val="clear" w:color="auto" w:fill="auto"/>
            <w:tcMar>
              <w:left w:w="57" w:type="dxa"/>
              <w:right w:w="57" w:type="dxa"/>
            </w:tcMar>
          </w:tcPr>
          <w:p w14:paraId="503E70DA"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M_20 </w:instrText>
            </w:r>
            <w:r w:rsidRPr="007F3685">
              <w:rPr>
                <w:rFonts w:ascii="Arial" w:hAnsi="Arial" w:cs="Arial"/>
                <w:sz w:val="24"/>
                <w:szCs w:val="24"/>
              </w:rPr>
              <w:fldChar w:fldCharType="separate"/>
            </w:r>
            <w:r w:rsidR="003E5BF5" w:rsidRPr="007F3685">
              <w:rPr>
                <w:rFonts w:ascii="Arial" w:hAnsi="Arial" w:cs="Arial"/>
                <w:sz w:val="24"/>
                <w:szCs w:val="24"/>
              </w:rPr>
              <w:t>78.3</w:t>
            </w:r>
            <w:r w:rsidRPr="007F3685">
              <w:rPr>
                <w:rFonts w:ascii="Arial" w:hAnsi="Arial" w:cs="Arial"/>
                <w:sz w:val="24"/>
                <w:szCs w:val="24"/>
              </w:rPr>
              <w:fldChar w:fldCharType="end"/>
            </w:r>
          </w:p>
        </w:tc>
        <w:tc>
          <w:tcPr>
            <w:tcW w:w="1040" w:type="dxa"/>
            <w:shd w:val="clear" w:color="auto" w:fill="auto"/>
            <w:tcMar>
              <w:left w:w="57" w:type="dxa"/>
              <w:right w:w="57" w:type="dxa"/>
            </w:tcMar>
          </w:tcPr>
          <w:p w14:paraId="067C3291"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M_12 </w:instrText>
            </w:r>
            <w:r w:rsidRPr="007F3685">
              <w:rPr>
                <w:rFonts w:ascii="Arial" w:hAnsi="Arial" w:cs="Arial"/>
                <w:sz w:val="24"/>
                <w:szCs w:val="24"/>
              </w:rPr>
              <w:fldChar w:fldCharType="separate"/>
            </w:r>
            <w:r w:rsidR="003E5BF5" w:rsidRPr="007F3685">
              <w:rPr>
                <w:rFonts w:ascii="Arial" w:hAnsi="Arial" w:cs="Arial"/>
                <w:sz w:val="24"/>
                <w:szCs w:val="24"/>
              </w:rPr>
              <w:t>77</w:t>
            </w:r>
            <w:r w:rsidRPr="007F3685">
              <w:rPr>
                <w:rFonts w:ascii="Arial" w:hAnsi="Arial" w:cs="Arial"/>
                <w:sz w:val="24"/>
                <w:szCs w:val="24"/>
              </w:rPr>
              <w:fldChar w:fldCharType="end"/>
            </w:r>
          </w:p>
        </w:tc>
        <w:tc>
          <w:tcPr>
            <w:tcW w:w="1582" w:type="dxa"/>
            <w:shd w:val="clear" w:color="auto" w:fill="auto"/>
            <w:tcMar>
              <w:left w:w="57" w:type="dxa"/>
              <w:right w:w="57" w:type="dxa"/>
            </w:tcMar>
          </w:tcPr>
          <w:p w14:paraId="65AC9035"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M_24 </w:instrText>
            </w:r>
            <w:r w:rsidRPr="007F3685">
              <w:rPr>
                <w:rFonts w:ascii="Arial" w:hAnsi="Arial" w:cs="Arial"/>
                <w:sz w:val="24"/>
                <w:szCs w:val="24"/>
              </w:rPr>
              <w:fldChar w:fldCharType="separate"/>
            </w:r>
            <w:r w:rsidR="003E5BF5" w:rsidRPr="007F3685">
              <w:rPr>
                <w:rFonts w:ascii="Arial" w:hAnsi="Arial" w:cs="Arial"/>
                <w:sz w:val="24"/>
                <w:szCs w:val="24"/>
              </w:rPr>
              <w:t>1.7</w:t>
            </w:r>
            <w:r w:rsidRPr="007F3685">
              <w:rPr>
                <w:rFonts w:ascii="Arial" w:hAnsi="Arial" w:cs="Arial"/>
                <w:sz w:val="24"/>
                <w:szCs w:val="24"/>
              </w:rPr>
              <w:fldChar w:fldCharType="end"/>
            </w:r>
          </w:p>
        </w:tc>
        <w:tc>
          <w:tcPr>
            <w:tcW w:w="1047" w:type="dxa"/>
            <w:shd w:val="clear" w:color="auto" w:fill="auto"/>
            <w:tcMar>
              <w:left w:w="57" w:type="dxa"/>
              <w:right w:w="57" w:type="dxa"/>
            </w:tcMar>
          </w:tcPr>
          <w:p w14:paraId="28252F8D" w14:textId="77777777" w:rsidR="003E5BF5" w:rsidRPr="007F3685" w:rsidRDefault="003E5BF5" w:rsidP="00DE1921">
            <w:pPr>
              <w:pStyle w:val="TableTextCentre"/>
              <w:spacing w:before="40"/>
              <w:jc w:val="right"/>
              <w:rPr>
                <w:rFonts w:ascii="Arial" w:hAnsi="Arial" w:cs="Arial"/>
                <w:sz w:val="24"/>
                <w:szCs w:val="24"/>
              </w:rPr>
            </w:pPr>
            <w:r w:rsidRPr="007F3685">
              <w:rPr>
                <w:rFonts w:ascii="Arial" w:hAnsi="Arial" w:cs="Arial"/>
                <w:sz w:val="24"/>
                <w:szCs w:val="24"/>
              </w:rPr>
              <w:sym w:font="Wingdings" w:char="F0FC"/>
            </w:r>
          </w:p>
        </w:tc>
      </w:tr>
      <w:tr w:rsidR="003E5BF5" w:rsidRPr="007F3685" w14:paraId="153B0A6D" w14:textId="77777777" w:rsidTr="000A3C3B">
        <w:trPr>
          <w:trHeight w:val="340"/>
        </w:trPr>
        <w:tc>
          <w:tcPr>
            <w:tcW w:w="9072" w:type="dxa"/>
            <w:gridSpan w:val="6"/>
            <w:shd w:val="clear" w:color="auto" w:fill="auto"/>
            <w:tcMar>
              <w:left w:w="57" w:type="dxa"/>
              <w:right w:w="57" w:type="dxa"/>
            </w:tcMar>
            <w:vAlign w:val="center"/>
          </w:tcPr>
          <w:p w14:paraId="07F676DF" w14:textId="77777777" w:rsidR="003E5BF5" w:rsidRPr="007F3685" w:rsidRDefault="003E5BF5" w:rsidP="00DE1921">
            <w:pPr>
              <w:pStyle w:val="TableTextCentre"/>
              <w:spacing w:before="40"/>
              <w:jc w:val="left"/>
              <w:rPr>
                <w:rFonts w:ascii="Arial" w:hAnsi="Arial" w:cs="Arial"/>
                <w:i/>
                <w:sz w:val="24"/>
                <w:szCs w:val="24"/>
              </w:rPr>
            </w:pPr>
            <w:r w:rsidRPr="007F3685">
              <w:rPr>
                <w:rFonts w:ascii="Arial" w:hAnsi="Arial" w:cs="Arial"/>
                <w:b/>
                <w:sz w:val="24"/>
                <w:szCs w:val="24"/>
              </w:rPr>
              <w:t>Timeliness</w:t>
            </w:r>
          </w:p>
        </w:tc>
      </w:tr>
      <w:tr w:rsidR="003E5BF5" w:rsidRPr="007F3685" w14:paraId="1F2DBAC4" w14:textId="77777777" w:rsidTr="002B3847">
        <w:trPr>
          <w:trHeight w:val="340"/>
        </w:trPr>
        <w:tc>
          <w:tcPr>
            <w:tcW w:w="3259" w:type="dxa"/>
            <w:shd w:val="clear" w:color="auto" w:fill="auto"/>
            <w:tcMar>
              <w:left w:w="57" w:type="dxa"/>
              <w:right w:w="57" w:type="dxa"/>
            </w:tcMar>
          </w:tcPr>
          <w:p w14:paraId="150BC108" w14:textId="77777777" w:rsidR="003E5BF5" w:rsidRPr="007F3685" w:rsidRDefault="003E5BF5" w:rsidP="00DE1921">
            <w:pPr>
              <w:pStyle w:val="TableTextLef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NEXT </w:instrText>
            </w:r>
            <w:r w:rsidRPr="007F3685">
              <w:rPr>
                <w:rFonts w:ascii="Arial" w:hAnsi="Arial" w:cs="Arial"/>
                <w:sz w:val="24"/>
                <w:szCs w:val="24"/>
              </w:rPr>
              <w:fldChar w:fldCharType="end"/>
            </w:r>
            <w:r w:rsidR="00105501" w:rsidRPr="007F3685">
              <w:rPr>
                <w:rFonts w:ascii="Arial" w:hAnsi="Arial" w:cs="Arial"/>
                <w:sz w:val="24"/>
                <w:szCs w:val="24"/>
              </w:rPr>
              <w:fldChar w:fldCharType="begin"/>
            </w:r>
            <w:r w:rsidR="00105501" w:rsidRPr="007F3685">
              <w:rPr>
                <w:rFonts w:ascii="Arial" w:hAnsi="Arial" w:cs="Arial"/>
                <w:sz w:val="24"/>
                <w:szCs w:val="24"/>
              </w:rPr>
              <w:instrText xml:space="preserve"> MERGEFIELD M_7 </w:instrText>
            </w:r>
            <w:r w:rsidR="00105501" w:rsidRPr="007F3685">
              <w:rPr>
                <w:rFonts w:ascii="Arial" w:hAnsi="Arial" w:cs="Arial"/>
                <w:sz w:val="24"/>
                <w:szCs w:val="24"/>
              </w:rPr>
              <w:fldChar w:fldCharType="separate"/>
            </w:r>
            <w:r w:rsidRPr="007F3685">
              <w:rPr>
                <w:rFonts w:ascii="Arial" w:hAnsi="Arial" w:cs="Arial"/>
                <w:sz w:val="24"/>
                <w:szCs w:val="24"/>
              </w:rPr>
              <w:t>Service punctuality for: metropolitan bus services</w:t>
            </w:r>
            <w:r w:rsidR="00105501" w:rsidRPr="007F3685">
              <w:rPr>
                <w:rFonts w:ascii="Arial" w:hAnsi="Arial" w:cs="Arial"/>
                <w:sz w:val="24"/>
                <w:szCs w:val="24"/>
              </w:rPr>
              <w:fldChar w:fldCharType="end"/>
            </w:r>
          </w:p>
        </w:tc>
        <w:tc>
          <w:tcPr>
            <w:tcW w:w="1102" w:type="dxa"/>
            <w:shd w:val="clear" w:color="auto" w:fill="auto"/>
            <w:tcMar>
              <w:left w:w="57" w:type="dxa"/>
              <w:right w:w="57" w:type="dxa"/>
            </w:tcMar>
          </w:tcPr>
          <w:p w14:paraId="7EF903AE"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M_10 </w:instrText>
            </w:r>
            <w:r w:rsidRPr="007F3685">
              <w:rPr>
                <w:rFonts w:ascii="Arial" w:hAnsi="Arial" w:cs="Arial"/>
                <w:sz w:val="24"/>
                <w:szCs w:val="24"/>
              </w:rPr>
              <w:fldChar w:fldCharType="separate"/>
            </w:r>
            <w:r w:rsidR="003E5BF5" w:rsidRPr="007F3685">
              <w:rPr>
                <w:rFonts w:ascii="Arial" w:hAnsi="Arial" w:cs="Arial"/>
                <w:sz w:val="24"/>
                <w:szCs w:val="24"/>
              </w:rPr>
              <w:t>per cent</w:t>
            </w:r>
            <w:r w:rsidRPr="007F3685">
              <w:rPr>
                <w:rFonts w:ascii="Arial" w:hAnsi="Arial" w:cs="Arial"/>
                <w:sz w:val="24"/>
                <w:szCs w:val="24"/>
              </w:rPr>
              <w:fldChar w:fldCharType="end"/>
            </w:r>
          </w:p>
        </w:tc>
        <w:tc>
          <w:tcPr>
            <w:tcW w:w="1042" w:type="dxa"/>
            <w:shd w:val="clear" w:color="auto" w:fill="auto"/>
            <w:tcMar>
              <w:left w:w="57" w:type="dxa"/>
              <w:right w:w="57" w:type="dxa"/>
            </w:tcMar>
          </w:tcPr>
          <w:p w14:paraId="320F17C2"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M_20 </w:instrText>
            </w:r>
            <w:r w:rsidRPr="007F3685">
              <w:rPr>
                <w:rFonts w:ascii="Arial" w:hAnsi="Arial" w:cs="Arial"/>
                <w:sz w:val="24"/>
                <w:szCs w:val="24"/>
              </w:rPr>
              <w:fldChar w:fldCharType="separate"/>
            </w:r>
            <w:r w:rsidR="003E5BF5" w:rsidRPr="007F3685">
              <w:rPr>
                <w:rFonts w:ascii="Arial" w:hAnsi="Arial" w:cs="Arial"/>
                <w:sz w:val="24"/>
                <w:szCs w:val="24"/>
              </w:rPr>
              <w:t>89.4</w:t>
            </w:r>
            <w:r w:rsidRPr="007F3685">
              <w:rPr>
                <w:rFonts w:ascii="Arial" w:hAnsi="Arial" w:cs="Arial"/>
                <w:sz w:val="24"/>
                <w:szCs w:val="24"/>
              </w:rPr>
              <w:fldChar w:fldCharType="end"/>
            </w:r>
          </w:p>
        </w:tc>
        <w:tc>
          <w:tcPr>
            <w:tcW w:w="1040" w:type="dxa"/>
            <w:shd w:val="clear" w:color="auto" w:fill="auto"/>
            <w:tcMar>
              <w:left w:w="57" w:type="dxa"/>
              <w:right w:w="57" w:type="dxa"/>
            </w:tcMar>
          </w:tcPr>
          <w:p w14:paraId="080F3689"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M_12 </w:instrText>
            </w:r>
            <w:r w:rsidRPr="007F3685">
              <w:rPr>
                <w:rFonts w:ascii="Arial" w:hAnsi="Arial" w:cs="Arial"/>
                <w:sz w:val="24"/>
                <w:szCs w:val="24"/>
              </w:rPr>
              <w:fldChar w:fldCharType="separate"/>
            </w:r>
            <w:r w:rsidR="003E5BF5" w:rsidRPr="007F3685">
              <w:rPr>
                <w:rFonts w:ascii="Arial" w:hAnsi="Arial" w:cs="Arial"/>
                <w:sz w:val="24"/>
                <w:szCs w:val="24"/>
              </w:rPr>
              <w:t>86</w:t>
            </w:r>
            <w:r w:rsidRPr="007F3685">
              <w:rPr>
                <w:rFonts w:ascii="Arial" w:hAnsi="Arial" w:cs="Arial"/>
                <w:sz w:val="24"/>
                <w:szCs w:val="24"/>
              </w:rPr>
              <w:fldChar w:fldCharType="end"/>
            </w:r>
          </w:p>
        </w:tc>
        <w:tc>
          <w:tcPr>
            <w:tcW w:w="1582" w:type="dxa"/>
            <w:shd w:val="clear" w:color="auto" w:fill="auto"/>
            <w:tcMar>
              <w:left w:w="57" w:type="dxa"/>
              <w:right w:w="57" w:type="dxa"/>
            </w:tcMar>
          </w:tcPr>
          <w:p w14:paraId="4AABDD11" w14:textId="77777777" w:rsidR="003E5BF5" w:rsidRPr="007F3685" w:rsidRDefault="00105501" w:rsidP="00DE1921">
            <w:pPr>
              <w:pStyle w:val="TableTextRight"/>
              <w:rPr>
                <w:rFonts w:ascii="Arial" w:hAnsi="Arial" w:cs="Arial"/>
                <w:sz w:val="24"/>
                <w:szCs w:val="24"/>
              </w:rPr>
            </w:pPr>
            <w:r w:rsidRPr="007F3685">
              <w:rPr>
                <w:rFonts w:ascii="Arial" w:hAnsi="Arial" w:cs="Arial"/>
                <w:sz w:val="24"/>
                <w:szCs w:val="24"/>
              </w:rPr>
              <w:fldChar w:fldCharType="begin"/>
            </w:r>
            <w:r w:rsidRPr="007F3685">
              <w:rPr>
                <w:rFonts w:ascii="Arial" w:hAnsi="Arial" w:cs="Arial"/>
                <w:sz w:val="24"/>
                <w:szCs w:val="24"/>
              </w:rPr>
              <w:instrText xml:space="preserve"> MERGEFIELD M_24 </w:instrText>
            </w:r>
            <w:r w:rsidRPr="007F3685">
              <w:rPr>
                <w:rFonts w:ascii="Arial" w:hAnsi="Arial" w:cs="Arial"/>
                <w:sz w:val="24"/>
                <w:szCs w:val="24"/>
              </w:rPr>
              <w:fldChar w:fldCharType="separate"/>
            </w:r>
            <w:r w:rsidR="003E5BF5" w:rsidRPr="007F3685">
              <w:rPr>
                <w:rFonts w:ascii="Arial" w:hAnsi="Arial" w:cs="Arial"/>
                <w:sz w:val="24"/>
                <w:szCs w:val="24"/>
              </w:rPr>
              <w:t>4.0</w:t>
            </w:r>
            <w:r w:rsidRPr="007F3685">
              <w:rPr>
                <w:rFonts w:ascii="Arial" w:hAnsi="Arial" w:cs="Arial"/>
                <w:sz w:val="24"/>
                <w:szCs w:val="24"/>
              </w:rPr>
              <w:fldChar w:fldCharType="end"/>
            </w:r>
          </w:p>
        </w:tc>
        <w:tc>
          <w:tcPr>
            <w:tcW w:w="1047" w:type="dxa"/>
            <w:shd w:val="clear" w:color="auto" w:fill="auto"/>
            <w:tcMar>
              <w:left w:w="57" w:type="dxa"/>
              <w:right w:w="57" w:type="dxa"/>
            </w:tcMar>
          </w:tcPr>
          <w:p w14:paraId="3E4CB0F7" w14:textId="77777777" w:rsidR="003E5BF5" w:rsidRPr="007F3685" w:rsidRDefault="003E5BF5" w:rsidP="00DE1921">
            <w:pPr>
              <w:pStyle w:val="TableTextCentre"/>
              <w:spacing w:before="40"/>
              <w:jc w:val="right"/>
              <w:rPr>
                <w:rFonts w:ascii="Arial" w:hAnsi="Arial" w:cs="Arial"/>
                <w:sz w:val="24"/>
                <w:szCs w:val="24"/>
              </w:rPr>
            </w:pPr>
            <w:r w:rsidRPr="007F3685">
              <w:rPr>
                <w:rFonts w:ascii="Arial" w:hAnsi="Arial" w:cs="Arial"/>
                <w:sz w:val="24"/>
                <w:szCs w:val="24"/>
              </w:rPr>
              <w:sym w:font="Wingdings" w:char="F0FC"/>
            </w:r>
          </w:p>
        </w:tc>
      </w:tr>
      <w:tr w:rsidR="003E5BF5" w:rsidRPr="007F3685" w14:paraId="3C73EBF3" w14:textId="77777777" w:rsidTr="000A3C3B">
        <w:trPr>
          <w:trHeight w:val="340"/>
        </w:trPr>
        <w:tc>
          <w:tcPr>
            <w:tcW w:w="9072" w:type="dxa"/>
            <w:gridSpan w:val="6"/>
            <w:shd w:val="clear" w:color="auto" w:fill="auto"/>
            <w:tcMar>
              <w:left w:w="57" w:type="dxa"/>
              <w:right w:w="57" w:type="dxa"/>
            </w:tcMar>
            <w:vAlign w:val="center"/>
          </w:tcPr>
          <w:p w14:paraId="3862AC2C" w14:textId="77777777" w:rsidR="003E5BF5" w:rsidRPr="007F3685" w:rsidRDefault="003E5BF5" w:rsidP="00DE1921">
            <w:pPr>
              <w:pStyle w:val="TableTextCentre"/>
              <w:jc w:val="left"/>
              <w:rPr>
                <w:rFonts w:ascii="Arial" w:hAnsi="Arial" w:cs="Arial"/>
                <w:b/>
                <w:sz w:val="24"/>
                <w:szCs w:val="24"/>
              </w:rPr>
            </w:pPr>
            <w:r w:rsidRPr="007F3685">
              <w:rPr>
                <w:rFonts w:ascii="Arial" w:hAnsi="Arial" w:cs="Arial"/>
                <w:b/>
                <w:sz w:val="24"/>
                <w:szCs w:val="24"/>
              </w:rPr>
              <w:t>Cost</w:t>
            </w:r>
          </w:p>
        </w:tc>
      </w:tr>
      <w:tr w:rsidR="003E5BF5" w:rsidRPr="007F3685" w14:paraId="75CEE9A2" w14:textId="77777777" w:rsidTr="002B3847">
        <w:trPr>
          <w:trHeight w:val="340"/>
        </w:trPr>
        <w:tc>
          <w:tcPr>
            <w:tcW w:w="3259" w:type="dxa"/>
            <w:shd w:val="clear" w:color="auto" w:fill="auto"/>
            <w:tcMar>
              <w:left w:w="57" w:type="dxa"/>
              <w:right w:w="57" w:type="dxa"/>
            </w:tcMar>
          </w:tcPr>
          <w:p w14:paraId="462FAC8F" w14:textId="77777777" w:rsidR="003E5BF5" w:rsidRPr="007F3685" w:rsidRDefault="003E5BF5" w:rsidP="00DE1921">
            <w:pPr>
              <w:pStyle w:val="TableTextCentre"/>
              <w:spacing w:before="40"/>
              <w:jc w:val="left"/>
              <w:rPr>
                <w:rFonts w:ascii="Arial" w:hAnsi="Arial" w:cs="Arial"/>
                <w:sz w:val="24"/>
                <w:szCs w:val="24"/>
              </w:rPr>
            </w:pPr>
            <w:r w:rsidRPr="007F3685">
              <w:rPr>
                <w:rFonts w:ascii="Arial" w:hAnsi="Arial" w:cs="Arial"/>
                <w:sz w:val="24"/>
                <w:szCs w:val="24"/>
              </w:rPr>
              <w:t>Total output cost</w:t>
            </w:r>
          </w:p>
        </w:tc>
        <w:tc>
          <w:tcPr>
            <w:tcW w:w="1102" w:type="dxa"/>
            <w:shd w:val="clear" w:color="auto" w:fill="auto"/>
            <w:tcMar>
              <w:left w:w="57" w:type="dxa"/>
              <w:right w:w="57" w:type="dxa"/>
            </w:tcMar>
            <w:vAlign w:val="center"/>
          </w:tcPr>
          <w:p w14:paraId="2DFBB747" w14:textId="77777777" w:rsidR="003E5BF5" w:rsidRPr="007F3685" w:rsidRDefault="003E5BF5" w:rsidP="00DE1921">
            <w:pPr>
              <w:pStyle w:val="TableTextRight"/>
              <w:rPr>
                <w:rFonts w:ascii="Arial" w:hAnsi="Arial" w:cs="Arial"/>
                <w:sz w:val="24"/>
                <w:szCs w:val="24"/>
              </w:rPr>
            </w:pPr>
            <w:r w:rsidRPr="007F3685">
              <w:rPr>
                <w:rFonts w:ascii="Arial" w:hAnsi="Arial" w:cs="Arial"/>
                <w:sz w:val="24"/>
                <w:szCs w:val="24"/>
              </w:rPr>
              <w:t>$ million</w:t>
            </w:r>
          </w:p>
        </w:tc>
        <w:tc>
          <w:tcPr>
            <w:tcW w:w="1042" w:type="dxa"/>
            <w:shd w:val="clear" w:color="auto" w:fill="auto"/>
            <w:tcMar>
              <w:left w:w="57" w:type="dxa"/>
              <w:right w:w="57" w:type="dxa"/>
            </w:tcMar>
            <w:vAlign w:val="center"/>
          </w:tcPr>
          <w:p w14:paraId="2CB2E3A7" w14:textId="77777777" w:rsidR="003E5BF5" w:rsidRPr="007F3685" w:rsidRDefault="003E5BF5">
            <w:pPr>
              <w:pStyle w:val="TableTextRight"/>
              <w:rPr>
                <w:rFonts w:ascii="Arial" w:hAnsi="Arial" w:cs="Arial"/>
                <w:sz w:val="24"/>
                <w:szCs w:val="24"/>
              </w:rPr>
            </w:pPr>
            <w:r w:rsidRPr="007F3685">
              <w:rPr>
                <w:rFonts w:ascii="Arial" w:hAnsi="Arial" w:cs="Arial"/>
                <w:sz w:val="24"/>
                <w:szCs w:val="24"/>
              </w:rPr>
              <w:t>747.3</w:t>
            </w:r>
          </w:p>
        </w:tc>
        <w:tc>
          <w:tcPr>
            <w:tcW w:w="1040" w:type="dxa"/>
            <w:shd w:val="clear" w:color="auto" w:fill="auto"/>
            <w:tcMar>
              <w:left w:w="57" w:type="dxa"/>
              <w:right w:w="57" w:type="dxa"/>
            </w:tcMar>
            <w:vAlign w:val="center"/>
          </w:tcPr>
          <w:p w14:paraId="65D454BC" w14:textId="77777777" w:rsidR="003E5BF5" w:rsidRPr="007F3685" w:rsidRDefault="003E5BF5">
            <w:pPr>
              <w:pStyle w:val="TableTextRight"/>
              <w:rPr>
                <w:rFonts w:ascii="Arial" w:hAnsi="Arial" w:cs="Arial"/>
                <w:sz w:val="24"/>
                <w:szCs w:val="24"/>
              </w:rPr>
            </w:pPr>
            <w:r w:rsidRPr="007F3685">
              <w:rPr>
                <w:rFonts w:ascii="Arial" w:hAnsi="Arial" w:cs="Arial"/>
                <w:sz w:val="24"/>
                <w:szCs w:val="24"/>
              </w:rPr>
              <w:t>769.8</w:t>
            </w:r>
          </w:p>
        </w:tc>
        <w:tc>
          <w:tcPr>
            <w:tcW w:w="1582" w:type="dxa"/>
            <w:shd w:val="clear" w:color="auto" w:fill="auto"/>
            <w:tcMar>
              <w:left w:w="57" w:type="dxa"/>
              <w:right w:w="57" w:type="dxa"/>
            </w:tcMar>
            <w:vAlign w:val="center"/>
          </w:tcPr>
          <w:p w14:paraId="1DC38CB0" w14:textId="77777777" w:rsidR="003E5BF5" w:rsidRPr="007F3685" w:rsidRDefault="003E5BF5">
            <w:pPr>
              <w:pStyle w:val="TableTextRight"/>
              <w:rPr>
                <w:rFonts w:ascii="Arial" w:hAnsi="Arial" w:cs="Arial"/>
                <w:sz w:val="24"/>
                <w:szCs w:val="24"/>
              </w:rPr>
            </w:pPr>
            <w:r w:rsidRPr="007F3685">
              <w:rPr>
                <w:rFonts w:ascii="Arial" w:hAnsi="Arial" w:cs="Arial"/>
                <w:sz w:val="24"/>
                <w:szCs w:val="24"/>
              </w:rPr>
              <w:t>-2.9</w:t>
            </w:r>
          </w:p>
        </w:tc>
        <w:tc>
          <w:tcPr>
            <w:tcW w:w="1047" w:type="dxa"/>
            <w:shd w:val="clear" w:color="auto" w:fill="auto"/>
            <w:tcMar>
              <w:left w:w="57" w:type="dxa"/>
              <w:right w:w="57" w:type="dxa"/>
            </w:tcMar>
            <w:vAlign w:val="center"/>
          </w:tcPr>
          <w:p w14:paraId="71F8EDFD" w14:textId="77777777" w:rsidR="003E5BF5" w:rsidRPr="007F3685" w:rsidRDefault="003E5BF5">
            <w:pPr>
              <w:pStyle w:val="TableTextCentre"/>
              <w:spacing w:before="40"/>
              <w:jc w:val="right"/>
              <w:rPr>
                <w:rFonts w:ascii="Arial" w:hAnsi="Arial" w:cs="Arial"/>
                <w:sz w:val="24"/>
                <w:szCs w:val="24"/>
              </w:rPr>
            </w:pPr>
            <w:r w:rsidRPr="007F3685">
              <w:rPr>
                <w:rFonts w:ascii="Arial" w:hAnsi="Arial" w:cs="Arial"/>
                <w:sz w:val="24"/>
                <w:szCs w:val="24"/>
              </w:rPr>
              <w:sym w:font="Wingdings" w:char="F0FC"/>
            </w:r>
          </w:p>
        </w:tc>
      </w:tr>
    </w:tbl>
    <w:p w14:paraId="1DE5ED41" w14:textId="77777777" w:rsidR="003E5BF5" w:rsidRPr="007F3685" w:rsidRDefault="003E5BF5" w:rsidP="00DE1921">
      <w:pPr>
        <w:pStyle w:val="Note"/>
        <w:rPr>
          <w:rFonts w:ascii="Arial" w:hAnsi="Arial" w:cs="Arial"/>
          <w:sz w:val="24"/>
          <w:szCs w:val="24"/>
        </w:rPr>
      </w:pPr>
      <w:r w:rsidRPr="007F3685">
        <w:rPr>
          <w:rFonts w:ascii="Arial" w:hAnsi="Arial" w:cs="Arial"/>
          <w:sz w:val="24"/>
          <w:szCs w:val="24"/>
        </w:rPr>
        <w:t>Notes:</w:t>
      </w:r>
    </w:p>
    <w:p w14:paraId="18CBA4C4" w14:textId="77777777" w:rsidR="003E5BF5" w:rsidRPr="007F3685" w:rsidRDefault="003E5BF5" w:rsidP="00DE1921">
      <w:pPr>
        <w:pStyle w:val="Notenumber123"/>
        <w:numPr>
          <w:ilvl w:val="0"/>
          <w:numId w:val="0"/>
        </w:numPr>
        <w:ind w:left="113"/>
        <w:rPr>
          <w:rFonts w:ascii="Arial" w:hAnsi="Arial" w:cs="Arial"/>
          <w:sz w:val="24"/>
          <w:szCs w:val="24"/>
        </w:rPr>
      </w:pPr>
      <w:r w:rsidRPr="007F3685">
        <w:rPr>
          <w:rFonts w:ascii="Arial" w:hAnsi="Arial" w:cs="Arial"/>
          <w:sz w:val="24"/>
          <w:szCs w:val="24"/>
        </w:rPr>
        <w:lastRenderedPageBreak/>
        <w:sym w:font="Wingdings 2" w:char="F050"/>
      </w:r>
      <w:r w:rsidRPr="007F3685">
        <w:rPr>
          <w:rFonts w:ascii="Arial" w:hAnsi="Arial" w:cs="Arial"/>
          <w:sz w:val="24"/>
          <w:szCs w:val="24"/>
        </w:rPr>
        <w:t xml:space="preserve"> Performance target achieved or exceeded</w:t>
      </w:r>
    </w:p>
    <w:p w14:paraId="577CB7FC" w14:textId="77777777" w:rsidR="003E5BF5" w:rsidRPr="007F3685" w:rsidRDefault="003E5BF5" w:rsidP="00DE1921">
      <w:pPr>
        <w:pStyle w:val="Notenumber123"/>
        <w:numPr>
          <w:ilvl w:val="0"/>
          <w:numId w:val="0"/>
        </w:numPr>
        <w:ind w:left="113"/>
        <w:rPr>
          <w:rFonts w:ascii="Arial" w:hAnsi="Arial" w:cs="Arial"/>
          <w:sz w:val="24"/>
          <w:szCs w:val="24"/>
        </w:rPr>
      </w:pPr>
      <w:r w:rsidRPr="007F3685">
        <w:rPr>
          <w:rFonts w:ascii="Arial" w:hAnsi="Arial" w:cs="Arial"/>
          <w:sz w:val="24"/>
          <w:szCs w:val="24"/>
        </w:rPr>
        <w:sym w:font="Wingdings 2" w:char="F099"/>
      </w:r>
      <w:r w:rsidRPr="007F3685">
        <w:rPr>
          <w:rFonts w:ascii="Arial" w:hAnsi="Arial" w:cs="Arial"/>
          <w:sz w:val="24"/>
          <w:szCs w:val="24"/>
        </w:rPr>
        <w:t xml:space="preserve"> Performance target not achieved – within 5 per cent or $50 million (cost measure only) variance</w:t>
      </w:r>
    </w:p>
    <w:p w14:paraId="66AB3502" w14:textId="77777777" w:rsidR="003E5BF5" w:rsidRPr="007F3685" w:rsidRDefault="003E5BF5" w:rsidP="00DE1921">
      <w:pPr>
        <w:pStyle w:val="Notenumber123"/>
        <w:numPr>
          <w:ilvl w:val="0"/>
          <w:numId w:val="0"/>
        </w:numPr>
        <w:ind w:left="340" w:hanging="227"/>
        <w:rPr>
          <w:rFonts w:ascii="Arial" w:hAnsi="Arial" w:cs="Arial"/>
          <w:sz w:val="24"/>
          <w:szCs w:val="24"/>
        </w:rPr>
      </w:pPr>
      <w:r w:rsidRPr="007F3685">
        <w:rPr>
          <w:rFonts w:ascii="Arial" w:hAnsi="Arial" w:cs="Arial"/>
          <w:sz w:val="24"/>
          <w:szCs w:val="24"/>
        </w:rPr>
        <w:sym w:font="Wingdings 2" w:char="F0A1"/>
      </w:r>
      <w:r w:rsidRPr="007F3685">
        <w:rPr>
          <w:rFonts w:ascii="Arial" w:hAnsi="Arial" w:cs="Arial"/>
          <w:sz w:val="24"/>
          <w:szCs w:val="24"/>
        </w:rPr>
        <w:t xml:space="preserve"> Performance target not achieved – exceeds 5 per cent or $50 million (cost measure only) variance</w:t>
      </w:r>
    </w:p>
    <w:p w14:paraId="32B46BA1" w14:textId="77777777" w:rsidR="003E5BF5" w:rsidRDefault="003E5BF5" w:rsidP="00DE1921">
      <w:pPr>
        <w:rPr>
          <w:rFonts w:eastAsiaTheme="majorEastAsia" w:cstheme="majorBidi"/>
          <w:b/>
          <w:color w:val="00BAC0"/>
          <w:sz w:val="16"/>
        </w:rPr>
      </w:pPr>
      <w:r>
        <w:rPr>
          <w:color w:val="00BAC0"/>
        </w:rPr>
        <w:br w:type="page"/>
      </w:r>
    </w:p>
    <w:p w14:paraId="4E91D2A8" w14:textId="5C55BE3D" w:rsidR="003E5BF5" w:rsidRDefault="003E5BF5" w:rsidP="00CF74EB">
      <w:pPr>
        <w:pStyle w:val="TableHeader"/>
      </w:pPr>
      <w:r w:rsidRPr="002C5B5D">
        <w:lastRenderedPageBreak/>
        <w:t xml:space="preserve">Bus Services </w:t>
      </w:r>
      <w:r w:rsidR="006D1356">
        <w:t>–</w:t>
      </w:r>
      <w:r w:rsidRPr="002C5B5D">
        <w:t xml:space="preserve"> Regional</w:t>
      </w:r>
    </w:p>
    <w:tbl>
      <w:tblPr>
        <w:tblStyle w:val="TableGrid"/>
        <w:tblW w:w="9072" w:type="dxa"/>
        <w:tblCellMar>
          <w:left w:w="28" w:type="dxa"/>
          <w:right w:w="28" w:type="dxa"/>
        </w:tblCellMar>
        <w:tblLook w:val="04A0" w:firstRow="1" w:lastRow="0" w:firstColumn="1" w:lastColumn="0" w:noHBand="0" w:noVBand="1"/>
      </w:tblPr>
      <w:tblGrid>
        <w:gridCol w:w="3259"/>
        <w:gridCol w:w="1102"/>
        <w:gridCol w:w="1042"/>
        <w:gridCol w:w="1040"/>
        <w:gridCol w:w="1582"/>
        <w:gridCol w:w="1047"/>
      </w:tblGrid>
      <w:tr w:rsidR="003E5BF5" w:rsidRPr="002C5B5D" w14:paraId="5384CF24" w14:textId="77777777" w:rsidTr="002B3847">
        <w:trPr>
          <w:trHeight w:val="340"/>
          <w:tblHeader/>
        </w:trPr>
        <w:tc>
          <w:tcPr>
            <w:tcW w:w="3259" w:type="dxa"/>
            <w:shd w:val="clear" w:color="auto" w:fill="auto"/>
            <w:tcMar>
              <w:left w:w="57" w:type="dxa"/>
              <w:right w:w="57" w:type="dxa"/>
            </w:tcMar>
          </w:tcPr>
          <w:p w14:paraId="4B4B68B2" w14:textId="77777777" w:rsidR="003E5BF5" w:rsidRPr="002C5B5D" w:rsidRDefault="003E5BF5" w:rsidP="00DE1921">
            <w:pPr>
              <w:pStyle w:val="TableTextLeftBold"/>
              <w:rPr>
                <w:rFonts w:ascii="Arial" w:hAnsi="Arial" w:cs="Arial"/>
                <w:sz w:val="24"/>
                <w:szCs w:val="24"/>
              </w:rPr>
            </w:pPr>
            <w:r w:rsidRPr="002C5B5D">
              <w:rPr>
                <w:rFonts w:ascii="Arial" w:hAnsi="Arial" w:cs="Arial"/>
                <w:sz w:val="24"/>
                <w:szCs w:val="24"/>
              </w:rPr>
              <w:t>Performance measures</w:t>
            </w:r>
          </w:p>
        </w:tc>
        <w:tc>
          <w:tcPr>
            <w:tcW w:w="1102" w:type="dxa"/>
            <w:shd w:val="clear" w:color="auto" w:fill="auto"/>
            <w:tcMar>
              <w:left w:w="57" w:type="dxa"/>
              <w:right w:w="57" w:type="dxa"/>
            </w:tcMar>
          </w:tcPr>
          <w:p w14:paraId="26FC638F"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unit of measure</w:t>
            </w:r>
          </w:p>
        </w:tc>
        <w:tc>
          <w:tcPr>
            <w:tcW w:w="1042" w:type="dxa"/>
            <w:shd w:val="clear" w:color="auto" w:fill="auto"/>
            <w:tcMar>
              <w:left w:w="57" w:type="dxa"/>
              <w:right w:w="57" w:type="dxa"/>
            </w:tcMar>
          </w:tcPr>
          <w:p w14:paraId="3B843832"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actual</w:t>
            </w:r>
          </w:p>
        </w:tc>
        <w:tc>
          <w:tcPr>
            <w:tcW w:w="1040" w:type="dxa"/>
            <w:shd w:val="clear" w:color="auto" w:fill="auto"/>
            <w:tcMar>
              <w:left w:w="57" w:type="dxa"/>
              <w:right w:w="57" w:type="dxa"/>
            </w:tcMar>
          </w:tcPr>
          <w:p w14:paraId="5A6CA86F"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target</w:t>
            </w:r>
          </w:p>
        </w:tc>
        <w:tc>
          <w:tcPr>
            <w:tcW w:w="1582" w:type="dxa"/>
            <w:shd w:val="clear" w:color="auto" w:fill="auto"/>
            <w:tcMar>
              <w:left w:w="57" w:type="dxa"/>
              <w:right w:w="57" w:type="dxa"/>
            </w:tcMar>
          </w:tcPr>
          <w:p w14:paraId="1586951A"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Performance variation (%)</w:t>
            </w:r>
          </w:p>
        </w:tc>
        <w:tc>
          <w:tcPr>
            <w:tcW w:w="1047" w:type="dxa"/>
            <w:shd w:val="clear" w:color="auto" w:fill="auto"/>
            <w:tcMar>
              <w:left w:w="57" w:type="dxa"/>
              <w:right w:w="57" w:type="dxa"/>
            </w:tcMar>
          </w:tcPr>
          <w:p w14:paraId="6712B3B3"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Result</w:t>
            </w:r>
          </w:p>
        </w:tc>
      </w:tr>
      <w:tr w:rsidR="003E5BF5" w:rsidRPr="002C5B5D" w14:paraId="4CE4BA84" w14:textId="77777777" w:rsidTr="002B3847">
        <w:trPr>
          <w:trHeight w:val="340"/>
        </w:trPr>
        <w:tc>
          <w:tcPr>
            <w:tcW w:w="3259" w:type="dxa"/>
            <w:shd w:val="clear" w:color="auto" w:fill="auto"/>
            <w:tcMar>
              <w:left w:w="57" w:type="dxa"/>
              <w:right w:w="57" w:type="dxa"/>
            </w:tcMar>
            <w:vAlign w:val="center"/>
          </w:tcPr>
          <w:p w14:paraId="290B6E3F"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Quantity</w:t>
            </w:r>
          </w:p>
        </w:tc>
        <w:tc>
          <w:tcPr>
            <w:tcW w:w="1102" w:type="dxa"/>
            <w:shd w:val="clear" w:color="auto" w:fill="auto"/>
            <w:tcMar>
              <w:left w:w="57" w:type="dxa"/>
              <w:right w:w="57" w:type="dxa"/>
            </w:tcMar>
            <w:vAlign w:val="center"/>
          </w:tcPr>
          <w:p w14:paraId="36913C61" w14:textId="77777777" w:rsidR="003E5BF5" w:rsidRPr="002C5B5D" w:rsidRDefault="003E5BF5" w:rsidP="00DE1921">
            <w:pPr>
              <w:pStyle w:val="TableTextRight"/>
              <w:rPr>
                <w:rFonts w:ascii="Arial" w:hAnsi="Arial" w:cs="Arial"/>
                <w:sz w:val="24"/>
                <w:szCs w:val="24"/>
              </w:rPr>
            </w:pPr>
          </w:p>
        </w:tc>
        <w:tc>
          <w:tcPr>
            <w:tcW w:w="1042" w:type="dxa"/>
            <w:shd w:val="clear" w:color="auto" w:fill="auto"/>
            <w:tcMar>
              <w:left w:w="57" w:type="dxa"/>
              <w:right w:w="57" w:type="dxa"/>
            </w:tcMar>
            <w:vAlign w:val="center"/>
          </w:tcPr>
          <w:p w14:paraId="7CC638BD" w14:textId="77777777" w:rsidR="003E5BF5" w:rsidRPr="002C5B5D" w:rsidRDefault="003E5BF5" w:rsidP="00DE1921">
            <w:pPr>
              <w:pStyle w:val="TableTextRight"/>
              <w:rPr>
                <w:rFonts w:ascii="Arial" w:hAnsi="Arial" w:cs="Arial"/>
                <w:sz w:val="24"/>
                <w:szCs w:val="24"/>
              </w:rPr>
            </w:pPr>
          </w:p>
        </w:tc>
        <w:tc>
          <w:tcPr>
            <w:tcW w:w="1040" w:type="dxa"/>
            <w:shd w:val="clear" w:color="auto" w:fill="auto"/>
            <w:tcMar>
              <w:left w:w="57" w:type="dxa"/>
              <w:right w:w="57" w:type="dxa"/>
            </w:tcMar>
            <w:vAlign w:val="center"/>
          </w:tcPr>
          <w:p w14:paraId="5B7BB341" w14:textId="77777777" w:rsidR="003E5BF5" w:rsidRPr="002C5B5D" w:rsidRDefault="003E5BF5" w:rsidP="00DE1921">
            <w:pPr>
              <w:pStyle w:val="TableTextRight"/>
              <w:rPr>
                <w:rFonts w:ascii="Arial" w:hAnsi="Arial" w:cs="Arial"/>
                <w:sz w:val="24"/>
                <w:szCs w:val="24"/>
              </w:rPr>
            </w:pPr>
          </w:p>
        </w:tc>
        <w:tc>
          <w:tcPr>
            <w:tcW w:w="1582" w:type="dxa"/>
            <w:shd w:val="clear" w:color="auto" w:fill="auto"/>
            <w:tcMar>
              <w:left w:w="57" w:type="dxa"/>
              <w:right w:w="57" w:type="dxa"/>
            </w:tcMar>
            <w:vAlign w:val="center"/>
          </w:tcPr>
          <w:p w14:paraId="3398A38C" w14:textId="77777777" w:rsidR="003E5BF5" w:rsidRPr="002C5B5D" w:rsidRDefault="003E5BF5" w:rsidP="00DE1921">
            <w:pPr>
              <w:pStyle w:val="TableTextRight"/>
              <w:rPr>
                <w:rFonts w:ascii="Arial" w:hAnsi="Arial" w:cs="Arial"/>
                <w:sz w:val="24"/>
                <w:szCs w:val="24"/>
              </w:rPr>
            </w:pPr>
          </w:p>
        </w:tc>
        <w:tc>
          <w:tcPr>
            <w:tcW w:w="1047" w:type="dxa"/>
            <w:shd w:val="clear" w:color="auto" w:fill="auto"/>
            <w:tcMar>
              <w:left w:w="57" w:type="dxa"/>
              <w:right w:w="57" w:type="dxa"/>
            </w:tcMar>
            <w:vAlign w:val="center"/>
          </w:tcPr>
          <w:p w14:paraId="01C71106" w14:textId="77777777" w:rsidR="003E5BF5" w:rsidRPr="002C5B5D" w:rsidRDefault="003E5BF5" w:rsidP="00DE1921">
            <w:pPr>
              <w:pStyle w:val="TableTextRight"/>
              <w:rPr>
                <w:rFonts w:ascii="Arial" w:hAnsi="Arial" w:cs="Arial"/>
                <w:sz w:val="24"/>
                <w:szCs w:val="24"/>
              </w:rPr>
            </w:pPr>
          </w:p>
        </w:tc>
      </w:tr>
      <w:tr w:rsidR="003E5BF5" w:rsidRPr="002C5B5D" w14:paraId="5DFACEA8" w14:textId="77777777" w:rsidTr="002B3847">
        <w:trPr>
          <w:trHeight w:val="340"/>
        </w:trPr>
        <w:tc>
          <w:tcPr>
            <w:tcW w:w="3259" w:type="dxa"/>
            <w:shd w:val="clear" w:color="auto" w:fill="auto"/>
            <w:tcMar>
              <w:left w:w="57" w:type="dxa"/>
              <w:right w:w="57" w:type="dxa"/>
            </w:tcMar>
          </w:tcPr>
          <w:p w14:paraId="7DD441A7"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Passengers carried: regional bus services</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52E7A37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 (million)</w:t>
            </w:r>
            <w:r w:rsidRPr="002C5B5D">
              <w:rPr>
                <w:rFonts w:ascii="Arial" w:hAnsi="Arial" w:cs="Arial"/>
                <w:sz w:val="24"/>
                <w:szCs w:val="24"/>
              </w:rPr>
              <w:fldChar w:fldCharType="end"/>
            </w:r>
          </w:p>
        </w:tc>
        <w:tc>
          <w:tcPr>
            <w:tcW w:w="1042" w:type="dxa"/>
            <w:shd w:val="clear" w:color="auto" w:fill="auto"/>
            <w:tcMar>
              <w:left w:w="57" w:type="dxa"/>
              <w:right w:w="57" w:type="dxa"/>
            </w:tcMar>
          </w:tcPr>
          <w:p w14:paraId="1B78147C"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11.0</w:t>
            </w:r>
          </w:p>
        </w:tc>
        <w:tc>
          <w:tcPr>
            <w:tcW w:w="1040" w:type="dxa"/>
            <w:shd w:val="clear" w:color="auto" w:fill="auto"/>
            <w:tcMar>
              <w:left w:w="57" w:type="dxa"/>
              <w:right w:w="57" w:type="dxa"/>
            </w:tcMar>
          </w:tcPr>
          <w:p w14:paraId="68B6884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14.3</w:t>
            </w:r>
            <w:r w:rsidRPr="002C5B5D">
              <w:rPr>
                <w:rFonts w:ascii="Arial" w:hAnsi="Arial" w:cs="Arial"/>
                <w:sz w:val="24"/>
                <w:szCs w:val="24"/>
              </w:rPr>
              <w:fldChar w:fldCharType="end"/>
            </w:r>
          </w:p>
        </w:tc>
        <w:tc>
          <w:tcPr>
            <w:tcW w:w="1582" w:type="dxa"/>
            <w:shd w:val="clear" w:color="auto" w:fill="auto"/>
            <w:tcMar>
              <w:left w:w="57" w:type="dxa"/>
              <w:right w:w="57" w:type="dxa"/>
            </w:tcMar>
          </w:tcPr>
          <w:p w14:paraId="3D95E9B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-23.1</w:t>
            </w:r>
            <w:r w:rsidRPr="002C5B5D">
              <w:rPr>
                <w:rFonts w:ascii="Arial" w:hAnsi="Arial" w:cs="Arial"/>
                <w:sz w:val="24"/>
                <w:szCs w:val="24"/>
              </w:rPr>
              <w:fldChar w:fldCharType="end"/>
            </w:r>
          </w:p>
        </w:tc>
        <w:tc>
          <w:tcPr>
            <w:tcW w:w="1047" w:type="dxa"/>
            <w:shd w:val="clear" w:color="auto" w:fill="auto"/>
            <w:tcMar>
              <w:left w:w="57" w:type="dxa"/>
              <w:right w:w="57" w:type="dxa"/>
            </w:tcMar>
          </w:tcPr>
          <w:p w14:paraId="3B343C51"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47DD8F64" w14:textId="77777777" w:rsidTr="006D1356">
        <w:tc>
          <w:tcPr>
            <w:tcW w:w="9072" w:type="dxa"/>
            <w:gridSpan w:val="6"/>
            <w:shd w:val="clear" w:color="auto" w:fill="auto"/>
            <w:tcMar>
              <w:left w:w="57" w:type="dxa"/>
              <w:right w:w="57" w:type="dxa"/>
            </w:tcMar>
          </w:tcPr>
          <w:p w14:paraId="79D6FE0F"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Public transport usage was significantly impacted by the coronavirus (COVID-19) response from March to the end of June 2020.</w:t>
            </w:r>
            <w:r w:rsidRPr="002C5B5D">
              <w:rPr>
                <w:rFonts w:ascii="Arial" w:hAnsi="Arial" w:cs="Arial"/>
                <w:i/>
                <w:sz w:val="24"/>
                <w:szCs w:val="24"/>
              </w:rPr>
              <w:fldChar w:fldCharType="end"/>
            </w:r>
          </w:p>
        </w:tc>
      </w:tr>
      <w:tr w:rsidR="003E5BF5" w:rsidRPr="002C5B5D" w14:paraId="46E81D22" w14:textId="77777777" w:rsidTr="002B3847">
        <w:trPr>
          <w:trHeight w:val="340"/>
        </w:trPr>
        <w:tc>
          <w:tcPr>
            <w:tcW w:w="3259" w:type="dxa"/>
            <w:shd w:val="clear" w:color="auto" w:fill="auto"/>
            <w:tcMar>
              <w:left w:w="57" w:type="dxa"/>
              <w:right w:w="57" w:type="dxa"/>
            </w:tcMar>
            <w:vAlign w:val="center"/>
          </w:tcPr>
          <w:p w14:paraId="19D2D89B"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Payments made for: regional bus services</w:t>
            </w:r>
            <w:r w:rsidR="00105501" w:rsidRPr="002C5B5D">
              <w:rPr>
                <w:rFonts w:ascii="Arial" w:hAnsi="Arial" w:cs="Arial"/>
                <w:sz w:val="24"/>
                <w:szCs w:val="24"/>
              </w:rPr>
              <w:fldChar w:fldCharType="end"/>
            </w:r>
          </w:p>
        </w:tc>
        <w:tc>
          <w:tcPr>
            <w:tcW w:w="1102" w:type="dxa"/>
            <w:shd w:val="clear" w:color="auto" w:fill="auto"/>
            <w:tcMar>
              <w:left w:w="57" w:type="dxa"/>
              <w:right w:w="57" w:type="dxa"/>
            </w:tcMar>
            <w:vAlign w:val="center"/>
          </w:tcPr>
          <w:p w14:paraId="48CC6DA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 million</w:t>
            </w:r>
            <w:r w:rsidRPr="002C5B5D">
              <w:rPr>
                <w:rFonts w:ascii="Arial" w:hAnsi="Arial" w:cs="Arial"/>
                <w:sz w:val="24"/>
                <w:szCs w:val="24"/>
              </w:rPr>
              <w:fldChar w:fldCharType="end"/>
            </w:r>
          </w:p>
        </w:tc>
        <w:tc>
          <w:tcPr>
            <w:tcW w:w="1042" w:type="dxa"/>
            <w:shd w:val="clear" w:color="auto" w:fill="auto"/>
            <w:tcMar>
              <w:left w:w="57" w:type="dxa"/>
              <w:right w:w="57" w:type="dxa"/>
            </w:tcMar>
            <w:vAlign w:val="center"/>
          </w:tcPr>
          <w:p w14:paraId="6597741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140.6</w:t>
            </w:r>
            <w:r w:rsidRPr="002C5B5D">
              <w:rPr>
                <w:rFonts w:ascii="Arial" w:hAnsi="Arial" w:cs="Arial"/>
                <w:sz w:val="24"/>
                <w:szCs w:val="24"/>
              </w:rPr>
              <w:fldChar w:fldCharType="end"/>
            </w:r>
          </w:p>
        </w:tc>
        <w:tc>
          <w:tcPr>
            <w:tcW w:w="1040" w:type="dxa"/>
            <w:shd w:val="clear" w:color="auto" w:fill="auto"/>
            <w:tcMar>
              <w:left w:w="57" w:type="dxa"/>
              <w:right w:w="57" w:type="dxa"/>
            </w:tcMar>
            <w:vAlign w:val="center"/>
          </w:tcPr>
          <w:p w14:paraId="7E4E4B3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136.7</w:t>
            </w:r>
            <w:r w:rsidRPr="002C5B5D">
              <w:rPr>
                <w:rFonts w:ascii="Arial" w:hAnsi="Arial" w:cs="Arial"/>
                <w:sz w:val="24"/>
                <w:szCs w:val="24"/>
              </w:rPr>
              <w:fldChar w:fldCharType="end"/>
            </w:r>
          </w:p>
        </w:tc>
        <w:tc>
          <w:tcPr>
            <w:tcW w:w="1582" w:type="dxa"/>
            <w:shd w:val="clear" w:color="auto" w:fill="auto"/>
            <w:tcMar>
              <w:left w:w="57" w:type="dxa"/>
              <w:right w:w="57" w:type="dxa"/>
            </w:tcMar>
            <w:vAlign w:val="center"/>
          </w:tcPr>
          <w:p w14:paraId="1CA825D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2.9</w:t>
            </w:r>
            <w:r w:rsidRPr="002C5B5D">
              <w:rPr>
                <w:rFonts w:ascii="Arial" w:hAnsi="Arial" w:cs="Arial"/>
                <w:sz w:val="24"/>
                <w:szCs w:val="24"/>
              </w:rPr>
              <w:fldChar w:fldCharType="end"/>
            </w:r>
          </w:p>
        </w:tc>
        <w:tc>
          <w:tcPr>
            <w:tcW w:w="1047" w:type="dxa"/>
            <w:shd w:val="clear" w:color="auto" w:fill="auto"/>
            <w:tcMar>
              <w:left w:w="57" w:type="dxa"/>
              <w:right w:w="57" w:type="dxa"/>
            </w:tcMar>
            <w:vAlign w:val="center"/>
          </w:tcPr>
          <w:p w14:paraId="79BF9C9D"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373BF018" w14:textId="77777777" w:rsidTr="002B3847">
        <w:trPr>
          <w:trHeight w:val="340"/>
        </w:trPr>
        <w:tc>
          <w:tcPr>
            <w:tcW w:w="3259" w:type="dxa"/>
            <w:shd w:val="clear" w:color="auto" w:fill="auto"/>
            <w:tcMar>
              <w:left w:w="57" w:type="dxa"/>
              <w:right w:w="57" w:type="dxa"/>
            </w:tcMar>
            <w:vAlign w:val="center"/>
          </w:tcPr>
          <w:p w14:paraId="51B282FB"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Scheduled services delivered: regional bus</w:t>
            </w:r>
            <w:r w:rsidR="00105501" w:rsidRPr="002C5B5D">
              <w:rPr>
                <w:rFonts w:ascii="Arial" w:hAnsi="Arial" w:cs="Arial"/>
                <w:sz w:val="24"/>
                <w:szCs w:val="24"/>
              </w:rPr>
              <w:fldChar w:fldCharType="end"/>
            </w:r>
          </w:p>
        </w:tc>
        <w:tc>
          <w:tcPr>
            <w:tcW w:w="1102" w:type="dxa"/>
            <w:shd w:val="clear" w:color="auto" w:fill="auto"/>
            <w:tcMar>
              <w:left w:w="57" w:type="dxa"/>
              <w:right w:w="57" w:type="dxa"/>
            </w:tcMar>
            <w:vAlign w:val="center"/>
          </w:tcPr>
          <w:p w14:paraId="4857CB0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42" w:type="dxa"/>
            <w:shd w:val="clear" w:color="auto" w:fill="auto"/>
            <w:tcMar>
              <w:left w:w="57" w:type="dxa"/>
              <w:right w:w="57" w:type="dxa"/>
            </w:tcMar>
            <w:vAlign w:val="center"/>
          </w:tcPr>
          <w:p w14:paraId="6B1477F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040" w:type="dxa"/>
            <w:shd w:val="clear" w:color="auto" w:fill="auto"/>
            <w:tcMar>
              <w:left w:w="57" w:type="dxa"/>
              <w:right w:w="57" w:type="dxa"/>
            </w:tcMar>
            <w:vAlign w:val="center"/>
          </w:tcPr>
          <w:p w14:paraId="0B4B80A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99</w:t>
            </w:r>
            <w:r w:rsidRPr="002C5B5D">
              <w:rPr>
                <w:rFonts w:ascii="Arial" w:hAnsi="Arial" w:cs="Arial"/>
                <w:sz w:val="24"/>
                <w:szCs w:val="24"/>
              </w:rPr>
              <w:fldChar w:fldCharType="end"/>
            </w:r>
          </w:p>
        </w:tc>
        <w:tc>
          <w:tcPr>
            <w:tcW w:w="1582" w:type="dxa"/>
            <w:shd w:val="clear" w:color="auto" w:fill="auto"/>
            <w:tcMar>
              <w:left w:w="57" w:type="dxa"/>
              <w:right w:w="57" w:type="dxa"/>
            </w:tcMar>
            <w:vAlign w:val="center"/>
          </w:tcPr>
          <w:p w14:paraId="6A93171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1.0</w:t>
            </w:r>
            <w:r w:rsidRPr="002C5B5D">
              <w:rPr>
                <w:rFonts w:ascii="Arial" w:hAnsi="Arial" w:cs="Arial"/>
                <w:sz w:val="24"/>
                <w:szCs w:val="24"/>
              </w:rPr>
              <w:fldChar w:fldCharType="end"/>
            </w:r>
          </w:p>
        </w:tc>
        <w:tc>
          <w:tcPr>
            <w:tcW w:w="1047" w:type="dxa"/>
            <w:shd w:val="clear" w:color="auto" w:fill="auto"/>
            <w:tcMar>
              <w:left w:w="57" w:type="dxa"/>
              <w:right w:w="57" w:type="dxa"/>
            </w:tcMar>
            <w:vAlign w:val="center"/>
          </w:tcPr>
          <w:p w14:paraId="27E92BA4"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6D0CE23F" w14:textId="77777777" w:rsidTr="002B3847">
        <w:trPr>
          <w:trHeight w:val="340"/>
        </w:trPr>
        <w:tc>
          <w:tcPr>
            <w:tcW w:w="3259" w:type="dxa"/>
            <w:shd w:val="clear" w:color="auto" w:fill="auto"/>
            <w:tcMar>
              <w:left w:w="57" w:type="dxa"/>
              <w:right w:w="57" w:type="dxa"/>
            </w:tcMar>
            <w:vAlign w:val="center"/>
          </w:tcPr>
          <w:p w14:paraId="1176A76E"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Total kilometres scheduled: regional bus</w:t>
            </w:r>
            <w:r w:rsidR="00105501" w:rsidRPr="002C5B5D">
              <w:rPr>
                <w:rFonts w:ascii="Arial" w:hAnsi="Arial" w:cs="Arial"/>
                <w:sz w:val="24"/>
                <w:szCs w:val="24"/>
              </w:rPr>
              <w:fldChar w:fldCharType="end"/>
            </w:r>
          </w:p>
        </w:tc>
        <w:tc>
          <w:tcPr>
            <w:tcW w:w="1102" w:type="dxa"/>
            <w:shd w:val="clear" w:color="auto" w:fill="auto"/>
            <w:tcMar>
              <w:left w:w="57" w:type="dxa"/>
              <w:right w:w="57" w:type="dxa"/>
            </w:tcMar>
            <w:vAlign w:val="center"/>
          </w:tcPr>
          <w:p w14:paraId="1001F13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km (million)</w:t>
            </w:r>
            <w:r w:rsidRPr="002C5B5D">
              <w:rPr>
                <w:rFonts w:ascii="Arial" w:hAnsi="Arial" w:cs="Arial"/>
                <w:sz w:val="24"/>
                <w:szCs w:val="24"/>
              </w:rPr>
              <w:fldChar w:fldCharType="end"/>
            </w:r>
          </w:p>
        </w:tc>
        <w:tc>
          <w:tcPr>
            <w:tcW w:w="1042" w:type="dxa"/>
            <w:shd w:val="clear" w:color="auto" w:fill="auto"/>
            <w:tcMar>
              <w:left w:w="57" w:type="dxa"/>
              <w:right w:w="57" w:type="dxa"/>
            </w:tcMar>
            <w:vAlign w:val="center"/>
          </w:tcPr>
          <w:p w14:paraId="358FA50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27.3</w:t>
            </w:r>
            <w:r w:rsidRPr="002C5B5D">
              <w:rPr>
                <w:rFonts w:ascii="Arial" w:hAnsi="Arial" w:cs="Arial"/>
                <w:sz w:val="24"/>
                <w:szCs w:val="24"/>
              </w:rPr>
              <w:fldChar w:fldCharType="end"/>
            </w:r>
          </w:p>
        </w:tc>
        <w:tc>
          <w:tcPr>
            <w:tcW w:w="1040" w:type="dxa"/>
            <w:shd w:val="clear" w:color="auto" w:fill="auto"/>
            <w:tcMar>
              <w:left w:w="57" w:type="dxa"/>
              <w:right w:w="57" w:type="dxa"/>
            </w:tcMar>
            <w:vAlign w:val="center"/>
          </w:tcPr>
          <w:p w14:paraId="62BB7D9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27.3</w:t>
            </w:r>
            <w:r w:rsidRPr="002C5B5D">
              <w:rPr>
                <w:rFonts w:ascii="Arial" w:hAnsi="Arial" w:cs="Arial"/>
                <w:sz w:val="24"/>
                <w:szCs w:val="24"/>
              </w:rPr>
              <w:fldChar w:fldCharType="end"/>
            </w:r>
          </w:p>
        </w:tc>
        <w:tc>
          <w:tcPr>
            <w:tcW w:w="1582" w:type="dxa"/>
            <w:shd w:val="clear" w:color="auto" w:fill="auto"/>
            <w:tcMar>
              <w:left w:w="57" w:type="dxa"/>
              <w:right w:w="57" w:type="dxa"/>
            </w:tcMar>
            <w:vAlign w:val="center"/>
          </w:tcPr>
          <w:p w14:paraId="4DCD3D6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47" w:type="dxa"/>
            <w:shd w:val="clear" w:color="auto" w:fill="auto"/>
            <w:tcMar>
              <w:left w:w="57" w:type="dxa"/>
              <w:right w:w="57" w:type="dxa"/>
            </w:tcMar>
            <w:vAlign w:val="center"/>
          </w:tcPr>
          <w:p w14:paraId="55BA744F"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071D014C" w14:textId="77777777" w:rsidTr="006D1356">
        <w:trPr>
          <w:trHeight w:val="340"/>
        </w:trPr>
        <w:tc>
          <w:tcPr>
            <w:tcW w:w="9072" w:type="dxa"/>
            <w:gridSpan w:val="6"/>
            <w:shd w:val="clear" w:color="auto" w:fill="auto"/>
            <w:tcMar>
              <w:left w:w="57" w:type="dxa"/>
              <w:right w:w="57" w:type="dxa"/>
            </w:tcMar>
            <w:vAlign w:val="center"/>
          </w:tcPr>
          <w:p w14:paraId="22508C24" w14:textId="77777777" w:rsidR="003E5BF5" w:rsidRPr="002C5B5D" w:rsidRDefault="003E5BF5" w:rsidP="00DE1921">
            <w:pPr>
              <w:pStyle w:val="TableTextLeftItalics"/>
              <w:rPr>
                <w:rFonts w:ascii="Arial" w:hAnsi="Arial" w:cs="Arial"/>
                <w:i w:val="0"/>
                <w:sz w:val="24"/>
                <w:szCs w:val="24"/>
              </w:rPr>
            </w:pPr>
            <w:r w:rsidRPr="002C5B5D">
              <w:rPr>
                <w:rFonts w:ascii="Arial" w:hAnsi="Arial" w:cs="Arial"/>
                <w:b/>
                <w:sz w:val="24"/>
                <w:szCs w:val="24"/>
              </w:rPr>
              <w:t>Quality</w:t>
            </w:r>
          </w:p>
        </w:tc>
      </w:tr>
      <w:tr w:rsidR="003E5BF5" w:rsidRPr="002C5B5D" w14:paraId="464433B9" w14:textId="77777777" w:rsidTr="002B3847">
        <w:trPr>
          <w:trHeight w:val="340"/>
        </w:trPr>
        <w:tc>
          <w:tcPr>
            <w:tcW w:w="3259" w:type="dxa"/>
            <w:shd w:val="clear" w:color="auto" w:fill="auto"/>
            <w:tcMar>
              <w:left w:w="57" w:type="dxa"/>
              <w:right w:w="57" w:type="dxa"/>
            </w:tcMar>
          </w:tcPr>
          <w:p w14:paraId="7EC76745"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Customer satisfaction index: regional coach services</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42D1B7C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score</w:t>
            </w:r>
            <w:r w:rsidRPr="002C5B5D">
              <w:rPr>
                <w:rFonts w:ascii="Arial" w:hAnsi="Arial" w:cs="Arial"/>
                <w:sz w:val="24"/>
                <w:szCs w:val="24"/>
              </w:rPr>
              <w:fldChar w:fldCharType="end"/>
            </w:r>
          </w:p>
        </w:tc>
        <w:tc>
          <w:tcPr>
            <w:tcW w:w="1042" w:type="dxa"/>
            <w:shd w:val="clear" w:color="auto" w:fill="auto"/>
            <w:tcMar>
              <w:left w:w="57" w:type="dxa"/>
              <w:right w:w="57" w:type="dxa"/>
            </w:tcMar>
          </w:tcPr>
          <w:p w14:paraId="028434E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83.8</w:t>
            </w:r>
            <w:r w:rsidRPr="002C5B5D">
              <w:rPr>
                <w:rFonts w:ascii="Arial" w:hAnsi="Arial" w:cs="Arial"/>
                <w:sz w:val="24"/>
                <w:szCs w:val="24"/>
              </w:rPr>
              <w:fldChar w:fldCharType="end"/>
            </w:r>
          </w:p>
        </w:tc>
        <w:tc>
          <w:tcPr>
            <w:tcW w:w="1040" w:type="dxa"/>
            <w:shd w:val="clear" w:color="auto" w:fill="auto"/>
            <w:tcMar>
              <w:left w:w="57" w:type="dxa"/>
              <w:right w:w="57" w:type="dxa"/>
            </w:tcMar>
          </w:tcPr>
          <w:p w14:paraId="24EEFD3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84</w:t>
            </w:r>
            <w:r w:rsidRPr="002C5B5D">
              <w:rPr>
                <w:rFonts w:ascii="Arial" w:hAnsi="Arial" w:cs="Arial"/>
                <w:sz w:val="24"/>
                <w:szCs w:val="24"/>
              </w:rPr>
              <w:fldChar w:fldCharType="end"/>
            </w:r>
          </w:p>
        </w:tc>
        <w:tc>
          <w:tcPr>
            <w:tcW w:w="1582" w:type="dxa"/>
            <w:shd w:val="clear" w:color="auto" w:fill="auto"/>
            <w:tcMar>
              <w:left w:w="57" w:type="dxa"/>
              <w:right w:w="57" w:type="dxa"/>
            </w:tcMar>
          </w:tcPr>
          <w:p w14:paraId="7F757C7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-0.2</w:t>
            </w:r>
            <w:r w:rsidRPr="002C5B5D">
              <w:rPr>
                <w:rFonts w:ascii="Arial" w:hAnsi="Arial" w:cs="Arial"/>
                <w:sz w:val="24"/>
                <w:szCs w:val="24"/>
              </w:rPr>
              <w:fldChar w:fldCharType="end"/>
            </w:r>
          </w:p>
        </w:tc>
        <w:tc>
          <w:tcPr>
            <w:tcW w:w="1047" w:type="dxa"/>
            <w:shd w:val="clear" w:color="auto" w:fill="auto"/>
            <w:tcMar>
              <w:left w:w="57" w:type="dxa"/>
              <w:right w:w="57" w:type="dxa"/>
            </w:tcMar>
          </w:tcPr>
          <w:p w14:paraId="59344B93"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6C65947F" w14:textId="77777777" w:rsidTr="002B3847">
        <w:trPr>
          <w:trHeight w:val="340"/>
        </w:trPr>
        <w:tc>
          <w:tcPr>
            <w:tcW w:w="3259" w:type="dxa"/>
            <w:shd w:val="clear" w:color="auto" w:fill="auto"/>
            <w:tcMar>
              <w:left w:w="57" w:type="dxa"/>
              <w:right w:w="57" w:type="dxa"/>
            </w:tcMar>
            <w:vAlign w:val="center"/>
          </w:tcPr>
          <w:p w14:paraId="41811A92"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Timeliness</w:t>
            </w:r>
          </w:p>
        </w:tc>
        <w:tc>
          <w:tcPr>
            <w:tcW w:w="1102" w:type="dxa"/>
            <w:shd w:val="clear" w:color="auto" w:fill="auto"/>
            <w:tcMar>
              <w:left w:w="57" w:type="dxa"/>
              <w:right w:w="57" w:type="dxa"/>
            </w:tcMar>
          </w:tcPr>
          <w:p w14:paraId="10E52F21" w14:textId="77777777" w:rsidR="003E5BF5" w:rsidRPr="002C5B5D" w:rsidRDefault="003E5BF5" w:rsidP="00DE1921">
            <w:pPr>
              <w:pStyle w:val="TableTextRight"/>
              <w:rPr>
                <w:rFonts w:ascii="Arial" w:hAnsi="Arial" w:cs="Arial"/>
                <w:sz w:val="24"/>
                <w:szCs w:val="24"/>
              </w:rPr>
            </w:pPr>
          </w:p>
        </w:tc>
        <w:tc>
          <w:tcPr>
            <w:tcW w:w="1042" w:type="dxa"/>
            <w:shd w:val="clear" w:color="auto" w:fill="auto"/>
            <w:tcMar>
              <w:left w:w="57" w:type="dxa"/>
              <w:right w:w="57" w:type="dxa"/>
            </w:tcMar>
          </w:tcPr>
          <w:p w14:paraId="434DC188" w14:textId="77777777" w:rsidR="003E5BF5" w:rsidRPr="002C5B5D" w:rsidRDefault="003E5BF5" w:rsidP="00DE1921">
            <w:pPr>
              <w:pStyle w:val="TableTextRight"/>
              <w:rPr>
                <w:rFonts w:ascii="Arial" w:hAnsi="Arial" w:cs="Arial"/>
                <w:sz w:val="24"/>
                <w:szCs w:val="24"/>
              </w:rPr>
            </w:pPr>
          </w:p>
        </w:tc>
        <w:tc>
          <w:tcPr>
            <w:tcW w:w="1040" w:type="dxa"/>
            <w:shd w:val="clear" w:color="auto" w:fill="auto"/>
            <w:tcMar>
              <w:left w:w="57" w:type="dxa"/>
              <w:right w:w="57" w:type="dxa"/>
            </w:tcMar>
          </w:tcPr>
          <w:p w14:paraId="19064F42" w14:textId="77777777" w:rsidR="003E5BF5" w:rsidRPr="002C5B5D" w:rsidRDefault="003E5BF5" w:rsidP="00DE1921">
            <w:pPr>
              <w:pStyle w:val="TableTextRight"/>
              <w:rPr>
                <w:rFonts w:ascii="Arial" w:hAnsi="Arial" w:cs="Arial"/>
                <w:sz w:val="24"/>
                <w:szCs w:val="24"/>
              </w:rPr>
            </w:pPr>
          </w:p>
        </w:tc>
        <w:tc>
          <w:tcPr>
            <w:tcW w:w="1582" w:type="dxa"/>
            <w:shd w:val="clear" w:color="auto" w:fill="auto"/>
            <w:tcMar>
              <w:left w:w="57" w:type="dxa"/>
              <w:right w:w="57" w:type="dxa"/>
            </w:tcMar>
          </w:tcPr>
          <w:p w14:paraId="221B4A14" w14:textId="77777777" w:rsidR="003E5BF5" w:rsidRPr="002C5B5D" w:rsidRDefault="003E5BF5" w:rsidP="00DE1921">
            <w:pPr>
              <w:pStyle w:val="TableTextRight"/>
              <w:rPr>
                <w:rFonts w:ascii="Arial" w:hAnsi="Arial" w:cs="Arial"/>
                <w:sz w:val="24"/>
                <w:szCs w:val="24"/>
              </w:rPr>
            </w:pPr>
          </w:p>
        </w:tc>
        <w:tc>
          <w:tcPr>
            <w:tcW w:w="1047" w:type="dxa"/>
            <w:shd w:val="clear" w:color="auto" w:fill="auto"/>
            <w:tcMar>
              <w:left w:w="57" w:type="dxa"/>
              <w:right w:w="57" w:type="dxa"/>
            </w:tcMar>
          </w:tcPr>
          <w:p w14:paraId="0BF5B676" w14:textId="77777777" w:rsidR="003E5BF5" w:rsidRPr="002C5B5D" w:rsidRDefault="003E5BF5" w:rsidP="00DE1921">
            <w:pPr>
              <w:pStyle w:val="TableTextCentre"/>
              <w:spacing w:before="40"/>
              <w:jc w:val="right"/>
              <w:rPr>
                <w:rFonts w:ascii="Arial" w:hAnsi="Arial" w:cs="Arial"/>
                <w:sz w:val="24"/>
                <w:szCs w:val="24"/>
              </w:rPr>
            </w:pPr>
          </w:p>
        </w:tc>
      </w:tr>
      <w:tr w:rsidR="003E5BF5" w:rsidRPr="002C5B5D" w14:paraId="7CBDD3EB" w14:textId="77777777" w:rsidTr="002B3847">
        <w:trPr>
          <w:trHeight w:val="340"/>
        </w:trPr>
        <w:tc>
          <w:tcPr>
            <w:tcW w:w="3259" w:type="dxa"/>
            <w:shd w:val="clear" w:color="auto" w:fill="auto"/>
            <w:tcMar>
              <w:left w:w="57" w:type="dxa"/>
              <w:right w:w="57" w:type="dxa"/>
            </w:tcMar>
          </w:tcPr>
          <w:p w14:paraId="0FFEBEDB"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Service punctuality for: regional bus services</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3AEC8EA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42" w:type="dxa"/>
            <w:shd w:val="clear" w:color="auto" w:fill="auto"/>
            <w:tcMar>
              <w:left w:w="57" w:type="dxa"/>
              <w:right w:w="57" w:type="dxa"/>
            </w:tcMar>
          </w:tcPr>
          <w:p w14:paraId="2028A3BC"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93.4</w:t>
            </w:r>
          </w:p>
        </w:tc>
        <w:tc>
          <w:tcPr>
            <w:tcW w:w="1040" w:type="dxa"/>
            <w:shd w:val="clear" w:color="auto" w:fill="auto"/>
            <w:tcMar>
              <w:left w:w="57" w:type="dxa"/>
              <w:right w:w="57" w:type="dxa"/>
            </w:tcMar>
          </w:tcPr>
          <w:p w14:paraId="521E36B1"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92</w:t>
            </w:r>
            <w:r w:rsidRPr="002C5B5D">
              <w:rPr>
                <w:rFonts w:ascii="Arial" w:hAnsi="Arial" w:cs="Arial"/>
                <w:sz w:val="24"/>
                <w:szCs w:val="24"/>
              </w:rPr>
              <w:fldChar w:fldCharType="end"/>
            </w:r>
          </w:p>
        </w:tc>
        <w:tc>
          <w:tcPr>
            <w:tcW w:w="1582" w:type="dxa"/>
            <w:shd w:val="clear" w:color="auto" w:fill="auto"/>
            <w:tcMar>
              <w:left w:w="57" w:type="dxa"/>
              <w:right w:w="57" w:type="dxa"/>
            </w:tcMar>
          </w:tcPr>
          <w:p w14:paraId="6C25048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1.5</w:t>
            </w:r>
            <w:r w:rsidRPr="002C5B5D">
              <w:rPr>
                <w:rFonts w:ascii="Arial" w:hAnsi="Arial" w:cs="Arial"/>
                <w:sz w:val="24"/>
                <w:szCs w:val="24"/>
              </w:rPr>
              <w:fldChar w:fldCharType="end"/>
            </w:r>
          </w:p>
        </w:tc>
        <w:tc>
          <w:tcPr>
            <w:tcW w:w="1047" w:type="dxa"/>
            <w:shd w:val="clear" w:color="auto" w:fill="auto"/>
            <w:tcMar>
              <w:left w:w="57" w:type="dxa"/>
              <w:right w:w="57" w:type="dxa"/>
            </w:tcMar>
          </w:tcPr>
          <w:p w14:paraId="632AD1C1"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4176E366" w14:textId="77777777" w:rsidTr="002B3847">
        <w:trPr>
          <w:trHeight w:val="340"/>
        </w:trPr>
        <w:tc>
          <w:tcPr>
            <w:tcW w:w="3259" w:type="dxa"/>
            <w:shd w:val="clear" w:color="auto" w:fill="auto"/>
            <w:tcMar>
              <w:left w:w="57" w:type="dxa"/>
              <w:right w:w="57" w:type="dxa"/>
            </w:tcMar>
            <w:vAlign w:val="center"/>
          </w:tcPr>
          <w:p w14:paraId="1977D369"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Cost</w:t>
            </w:r>
          </w:p>
        </w:tc>
        <w:tc>
          <w:tcPr>
            <w:tcW w:w="1102" w:type="dxa"/>
            <w:shd w:val="clear" w:color="auto" w:fill="auto"/>
            <w:tcMar>
              <w:left w:w="57" w:type="dxa"/>
              <w:right w:w="57" w:type="dxa"/>
            </w:tcMar>
            <w:vAlign w:val="center"/>
          </w:tcPr>
          <w:p w14:paraId="24F6327F" w14:textId="77777777" w:rsidR="003E5BF5" w:rsidRPr="002C5B5D" w:rsidRDefault="003E5BF5" w:rsidP="00DE1921">
            <w:pPr>
              <w:pStyle w:val="TableTextRight"/>
              <w:rPr>
                <w:rFonts w:ascii="Arial" w:hAnsi="Arial" w:cs="Arial"/>
                <w:sz w:val="24"/>
                <w:szCs w:val="24"/>
              </w:rPr>
            </w:pPr>
          </w:p>
        </w:tc>
        <w:tc>
          <w:tcPr>
            <w:tcW w:w="1042" w:type="dxa"/>
            <w:shd w:val="clear" w:color="auto" w:fill="auto"/>
            <w:tcMar>
              <w:left w:w="57" w:type="dxa"/>
              <w:right w:w="57" w:type="dxa"/>
            </w:tcMar>
            <w:vAlign w:val="center"/>
          </w:tcPr>
          <w:p w14:paraId="13FBF354" w14:textId="77777777" w:rsidR="003E5BF5" w:rsidRPr="002C5B5D" w:rsidRDefault="003E5BF5" w:rsidP="00DE1921">
            <w:pPr>
              <w:pStyle w:val="TableTextRight"/>
              <w:rPr>
                <w:rFonts w:ascii="Arial" w:hAnsi="Arial" w:cs="Arial"/>
                <w:sz w:val="24"/>
                <w:szCs w:val="24"/>
              </w:rPr>
            </w:pPr>
          </w:p>
        </w:tc>
        <w:tc>
          <w:tcPr>
            <w:tcW w:w="1040" w:type="dxa"/>
            <w:shd w:val="clear" w:color="auto" w:fill="auto"/>
            <w:tcMar>
              <w:left w:w="57" w:type="dxa"/>
              <w:right w:w="57" w:type="dxa"/>
            </w:tcMar>
            <w:vAlign w:val="center"/>
          </w:tcPr>
          <w:p w14:paraId="43B2920A" w14:textId="77777777" w:rsidR="003E5BF5" w:rsidRPr="002C5B5D" w:rsidRDefault="003E5BF5" w:rsidP="00DE1921">
            <w:pPr>
              <w:pStyle w:val="TableTextRight"/>
              <w:rPr>
                <w:rFonts w:ascii="Arial" w:hAnsi="Arial" w:cs="Arial"/>
                <w:sz w:val="24"/>
                <w:szCs w:val="24"/>
              </w:rPr>
            </w:pPr>
          </w:p>
        </w:tc>
        <w:tc>
          <w:tcPr>
            <w:tcW w:w="1582" w:type="dxa"/>
            <w:shd w:val="clear" w:color="auto" w:fill="auto"/>
            <w:tcMar>
              <w:left w:w="57" w:type="dxa"/>
              <w:right w:w="57" w:type="dxa"/>
            </w:tcMar>
            <w:vAlign w:val="center"/>
          </w:tcPr>
          <w:p w14:paraId="34997023" w14:textId="77777777" w:rsidR="003E5BF5" w:rsidRPr="002C5B5D" w:rsidRDefault="003E5BF5" w:rsidP="00DE1921">
            <w:pPr>
              <w:pStyle w:val="TableTextRight"/>
              <w:rPr>
                <w:rFonts w:ascii="Arial" w:hAnsi="Arial" w:cs="Arial"/>
                <w:sz w:val="24"/>
                <w:szCs w:val="24"/>
              </w:rPr>
            </w:pPr>
          </w:p>
        </w:tc>
        <w:tc>
          <w:tcPr>
            <w:tcW w:w="1047" w:type="dxa"/>
            <w:shd w:val="clear" w:color="auto" w:fill="auto"/>
            <w:tcMar>
              <w:left w:w="57" w:type="dxa"/>
              <w:right w:w="57" w:type="dxa"/>
            </w:tcMar>
            <w:vAlign w:val="center"/>
          </w:tcPr>
          <w:p w14:paraId="7D6FB4C5" w14:textId="77777777" w:rsidR="003E5BF5" w:rsidRPr="002C5B5D" w:rsidRDefault="003E5BF5" w:rsidP="00DE1921">
            <w:pPr>
              <w:pStyle w:val="TableTextRight"/>
              <w:rPr>
                <w:rFonts w:ascii="Arial" w:hAnsi="Arial" w:cs="Arial"/>
                <w:sz w:val="24"/>
                <w:szCs w:val="24"/>
              </w:rPr>
            </w:pPr>
          </w:p>
        </w:tc>
      </w:tr>
      <w:tr w:rsidR="003E5BF5" w:rsidRPr="002C5B5D" w14:paraId="644A3B69" w14:textId="77777777" w:rsidTr="002B3847">
        <w:trPr>
          <w:trHeight w:val="340"/>
        </w:trPr>
        <w:tc>
          <w:tcPr>
            <w:tcW w:w="3259" w:type="dxa"/>
            <w:shd w:val="clear" w:color="auto" w:fill="auto"/>
            <w:tcMar>
              <w:left w:w="57" w:type="dxa"/>
              <w:right w:w="57" w:type="dxa"/>
            </w:tcMar>
            <w:vAlign w:val="center"/>
          </w:tcPr>
          <w:p w14:paraId="08FEA762"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t>Total output cost</w:t>
            </w:r>
          </w:p>
        </w:tc>
        <w:tc>
          <w:tcPr>
            <w:tcW w:w="1102" w:type="dxa"/>
            <w:shd w:val="clear" w:color="auto" w:fill="auto"/>
            <w:tcMar>
              <w:left w:w="57" w:type="dxa"/>
              <w:right w:w="57" w:type="dxa"/>
            </w:tcMar>
            <w:vAlign w:val="center"/>
          </w:tcPr>
          <w:p w14:paraId="2C682096"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 million</w:t>
            </w:r>
          </w:p>
        </w:tc>
        <w:tc>
          <w:tcPr>
            <w:tcW w:w="1042" w:type="dxa"/>
            <w:shd w:val="clear" w:color="auto" w:fill="auto"/>
            <w:tcMar>
              <w:left w:w="57" w:type="dxa"/>
              <w:right w:w="57" w:type="dxa"/>
            </w:tcMar>
            <w:vAlign w:val="center"/>
          </w:tcPr>
          <w:p w14:paraId="31B6E6FF"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145.2</w:t>
            </w:r>
          </w:p>
        </w:tc>
        <w:tc>
          <w:tcPr>
            <w:tcW w:w="1040" w:type="dxa"/>
            <w:shd w:val="clear" w:color="auto" w:fill="auto"/>
            <w:tcMar>
              <w:left w:w="57" w:type="dxa"/>
              <w:right w:w="57" w:type="dxa"/>
            </w:tcMar>
            <w:vAlign w:val="center"/>
          </w:tcPr>
          <w:p w14:paraId="50C88992"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149.8</w:t>
            </w:r>
          </w:p>
        </w:tc>
        <w:tc>
          <w:tcPr>
            <w:tcW w:w="1582" w:type="dxa"/>
            <w:shd w:val="clear" w:color="auto" w:fill="auto"/>
            <w:tcMar>
              <w:left w:w="57" w:type="dxa"/>
              <w:right w:w="57" w:type="dxa"/>
            </w:tcMar>
            <w:vAlign w:val="center"/>
          </w:tcPr>
          <w:p w14:paraId="38528413"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-3.1</w:t>
            </w:r>
          </w:p>
        </w:tc>
        <w:tc>
          <w:tcPr>
            <w:tcW w:w="1047" w:type="dxa"/>
            <w:shd w:val="clear" w:color="auto" w:fill="auto"/>
            <w:tcMar>
              <w:left w:w="57" w:type="dxa"/>
              <w:right w:w="57" w:type="dxa"/>
            </w:tcMar>
            <w:vAlign w:val="center"/>
          </w:tcPr>
          <w:p w14:paraId="50A1A52B"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bl>
    <w:p w14:paraId="0ED60E5A" w14:textId="77777777" w:rsidR="003E5BF5" w:rsidRPr="002C5B5D" w:rsidRDefault="003E5BF5" w:rsidP="00DE1921">
      <w:pPr>
        <w:pStyle w:val="Note"/>
        <w:rPr>
          <w:rFonts w:ascii="Arial" w:hAnsi="Arial" w:cs="Arial"/>
          <w:sz w:val="24"/>
          <w:szCs w:val="24"/>
        </w:rPr>
      </w:pPr>
      <w:r w:rsidRPr="002C5B5D">
        <w:rPr>
          <w:rFonts w:ascii="Arial" w:hAnsi="Arial" w:cs="Arial"/>
          <w:sz w:val="24"/>
          <w:szCs w:val="24"/>
        </w:rPr>
        <w:t>Notes:</w:t>
      </w:r>
    </w:p>
    <w:p w14:paraId="44F1590E" w14:textId="77777777" w:rsidR="003E5BF5" w:rsidRPr="002C5B5D" w:rsidRDefault="003E5BF5" w:rsidP="00DE1921">
      <w:pPr>
        <w:pStyle w:val="Notenumber123"/>
        <w:numPr>
          <w:ilvl w:val="0"/>
          <w:numId w:val="0"/>
        </w:numPr>
        <w:ind w:left="113"/>
        <w:rPr>
          <w:rFonts w:ascii="Arial" w:hAnsi="Arial" w:cs="Arial"/>
          <w:sz w:val="24"/>
          <w:szCs w:val="24"/>
        </w:rPr>
      </w:pPr>
      <w:r w:rsidRPr="002C5B5D">
        <w:rPr>
          <w:rFonts w:ascii="Arial" w:hAnsi="Arial" w:cs="Arial"/>
          <w:sz w:val="24"/>
          <w:szCs w:val="24"/>
        </w:rPr>
        <w:sym w:font="Wingdings 2" w:char="F050"/>
      </w:r>
      <w:r w:rsidRPr="002C5B5D">
        <w:rPr>
          <w:rFonts w:ascii="Arial" w:hAnsi="Arial" w:cs="Arial"/>
          <w:sz w:val="24"/>
          <w:szCs w:val="24"/>
        </w:rPr>
        <w:t xml:space="preserve"> Performance target achieved or exceeded</w:t>
      </w:r>
    </w:p>
    <w:p w14:paraId="79F23710" w14:textId="77777777" w:rsidR="003E5BF5" w:rsidRPr="002C5B5D" w:rsidRDefault="003E5BF5" w:rsidP="00DE1921">
      <w:pPr>
        <w:pStyle w:val="Notenumber123"/>
        <w:numPr>
          <w:ilvl w:val="0"/>
          <w:numId w:val="0"/>
        </w:numPr>
        <w:ind w:left="113"/>
        <w:rPr>
          <w:rFonts w:ascii="Arial" w:hAnsi="Arial" w:cs="Arial"/>
          <w:sz w:val="24"/>
          <w:szCs w:val="24"/>
        </w:rPr>
      </w:pPr>
      <w:r w:rsidRPr="002C5B5D">
        <w:rPr>
          <w:rFonts w:ascii="Arial" w:hAnsi="Arial" w:cs="Arial"/>
          <w:sz w:val="24"/>
          <w:szCs w:val="24"/>
        </w:rPr>
        <w:sym w:font="Wingdings 2" w:char="F099"/>
      </w:r>
      <w:r w:rsidRPr="002C5B5D">
        <w:rPr>
          <w:rFonts w:ascii="Arial" w:hAnsi="Arial" w:cs="Arial"/>
          <w:sz w:val="24"/>
          <w:szCs w:val="24"/>
        </w:rPr>
        <w:t xml:space="preserve"> Performance target not achieved – within 5 per cent or $50 million (cost measure only) variance</w:t>
      </w:r>
    </w:p>
    <w:p w14:paraId="5C375DDE" w14:textId="77777777" w:rsidR="003E5BF5" w:rsidRPr="002C5B5D" w:rsidRDefault="003E5BF5" w:rsidP="00DE1921">
      <w:pPr>
        <w:pStyle w:val="Notenumber123"/>
        <w:numPr>
          <w:ilvl w:val="0"/>
          <w:numId w:val="0"/>
        </w:numPr>
        <w:ind w:left="340" w:hanging="227"/>
        <w:rPr>
          <w:rFonts w:ascii="Arial" w:hAnsi="Arial" w:cs="Arial"/>
          <w:sz w:val="24"/>
          <w:szCs w:val="24"/>
        </w:rPr>
      </w:pPr>
      <w:r w:rsidRPr="002C5B5D">
        <w:rPr>
          <w:rFonts w:ascii="Arial" w:hAnsi="Arial" w:cs="Arial"/>
          <w:sz w:val="24"/>
          <w:szCs w:val="24"/>
        </w:rPr>
        <w:sym w:font="Wingdings 2" w:char="F0A1"/>
      </w:r>
      <w:r w:rsidRPr="002C5B5D">
        <w:rPr>
          <w:rFonts w:ascii="Arial" w:hAnsi="Arial" w:cs="Arial"/>
          <w:sz w:val="24"/>
          <w:szCs w:val="24"/>
        </w:rPr>
        <w:t xml:space="preserve"> Performance target not achieved – exceeds 5 per cent or $50 million (cost measure only) variance</w:t>
      </w:r>
    </w:p>
    <w:p w14:paraId="7E612D79" w14:textId="668AE615" w:rsidR="003E5BF5" w:rsidRDefault="003E5BF5" w:rsidP="00CF74EB">
      <w:pPr>
        <w:pStyle w:val="TableHeader"/>
      </w:pPr>
      <w:r w:rsidRPr="002C5B5D">
        <w:t xml:space="preserve">Bus Services </w:t>
      </w:r>
      <w:r w:rsidR="006D1356">
        <w:t>–</w:t>
      </w:r>
      <w:r w:rsidRPr="002C5B5D">
        <w:t xml:space="preserve"> </w:t>
      </w:r>
      <w:proofErr w:type="spellStart"/>
      <w:r w:rsidRPr="002C5B5D">
        <w:t>Statewide</w:t>
      </w:r>
      <w:proofErr w:type="spellEnd"/>
    </w:p>
    <w:tbl>
      <w:tblPr>
        <w:tblStyle w:val="TableGrid"/>
        <w:tblW w:w="9072" w:type="dxa"/>
        <w:tblCellMar>
          <w:left w:w="28" w:type="dxa"/>
          <w:right w:w="28" w:type="dxa"/>
        </w:tblCellMar>
        <w:tblLook w:val="04A0" w:firstRow="1" w:lastRow="0" w:firstColumn="1" w:lastColumn="0" w:noHBand="0" w:noVBand="1"/>
      </w:tblPr>
      <w:tblGrid>
        <w:gridCol w:w="3259"/>
        <w:gridCol w:w="1102"/>
        <w:gridCol w:w="1042"/>
        <w:gridCol w:w="1040"/>
        <w:gridCol w:w="1582"/>
        <w:gridCol w:w="1047"/>
      </w:tblGrid>
      <w:tr w:rsidR="003E5BF5" w:rsidRPr="002C5B5D" w14:paraId="71B60007" w14:textId="77777777" w:rsidTr="002B3847">
        <w:trPr>
          <w:trHeight w:val="340"/>
          <w:tblHeader/>
        </w:trPr>
        <w:tc>
          <w:tcPr>
            <w:tcW w:w="3259" w:type="dxa"/>
            <w:shd w:val="clear" w:color="auto" w:fill="auto"/>
            <w:tcMar>
              <w:left w:w="57" w:type="dxa"/>
              <w:right w:w="57" w:type="dxa"/>
            </w:tcMar>
          </w:tcPr>
          <w:p w14:paraId="711A820D" w14:textId="77777777" w:rsidR="003E5BF5" w:rsidRPr="002C5B5D" w:rsidRDefault="003E5BF5" w:rsidP="00DE1921">
            <w:pPr>
              <w:pStyle w:val="TableTextLeftBold"/>
              <w:rPr>
                <w:rFonts w:ascii="Arial" w:hAnsi="Arial" w:cs="Arial"/>
                <w:sz w:val="24"/>
                <w:szCs w:val="24"/>
              </w:rPr>
            </w:pPr>
            <w:r w:rsidRPr="002C5B5D">
              <w:rPr>
                <w:rFonts w:ascii="Arial" w:hAnsi="Arial" w:cs="Arial"/>
                <w:sz w:val="24"/>
                <w:szCs w:val="24"/>
              </w:rPr>
              <w:t>Performance measures</w:t>
            </w:r>
          </w:p>
        </w:tc>
        <w:tc>
          <w:tcPr>
            <w:tcW w:w="1102" w:type="dxa"/>
            <w:shd w:val="clear" w:color="auto" w:fill="auto"/>
            <w:tcMar>
              <w:left w:w="57" w:type="dxa"/>
              <w:right w:w="57" w:type="dxa"/>
            </w:tcMar>
          </w:tcPr>
          <w:p w14:paraId="20FC19BF"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unit of measure</w:t>
            </w:r>
          </w:p>
        </w:tc>
        <w:tc>
          <w:tcPr>
            <w:tcW w:w="1042" w:type="dxa"/>
            <w:shd w:val="clear" w:color="auto" w:fill="auto"/>
            <w:tcMar>
              <w:left w:w="57" w:type="dxa"/>
              <w:right w:w="57" w:type="dxa"/>
            </w:tcMar>
          </w:tcPr>
          <w:p w14:paraId="027472F5"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actual</w:t>
            </w:r>
          </w:p>
        </w:tc>
        <w:tc>
          <w:tcPr>
            <w:tcW w:w="1040" w:type="dxa"/>
            <w:shd w:val="clear" w:color="auto" w:fill="auto"/>
            <w:tcMar>
              <w:left w:w="57" w:type="dxa"/>
              <w:right w:w="57" w:type="dxa"/>
            </w:tcMar>
          </w:tcPr>
          <w:p w14:paraId="486AC7D1"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target</w:t>
            </w:r>
          </w:p>
        </w:tc>
        <w:tc>
          <w:tcPr>
            <w:tcW w:w="1582" w:type="dxa"/>
            <w:shd w:val="clear" w:color="auto" w:fill="auto"/>
            <w:tcMar>
              <w:left w:w="57" w:type="dxa"/>
              <w:right w:w="57" w:type="dxa"/>
            </w:tcMar>
          </w:tcPr>
          <w:p w14:paraId="43807A37"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Performance variation (%)</w:t>
            </w:r>
          </w:p>
        </w:tc>
        <w:tc>
          <w:tcPr>
            <w:tcW w:w="1047" w:type="dxa"/>
            <w:shd w:val="clear" w:color="auto" w:fill="auto"/>
            <w:tcMar>
              <w:left w:w="57" w:type="dxa"/>
              <w:right w:w="57" w:type="dxa"/>
            </w:tcMar>
          </w:tcPr>
          <w:p w14:paraId="32DD5FEE"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Result</w:t>
            </w:r>
          </w:p>
        </w:tc>
      </w:tr>
      <w:tr w:rsidR="003E5BF5" w:rsidRPr="002C5B5D" w14:paraId="33B61E75" w14:textId="77777777" w:rsidTr="002B3847">
        <w:trPr>
          <w:trHeight w:val="340"/>
        </w:trPr>
        <w:tc>
          <w:tcPr>
            <w:tcW w:w="3259" w:type="dxa"/>
            <w:shd w:val="clear" w:color="auto" w:fill="auto"/>
            <w:tcMar>
              <w:left w:w="57" w:type="dxa"/>
              <w:right w:w="57" w:type="dxa"/>
            </w:tcMar>
            <w:vAlign w:val="center"/>
          </w:tcPr>
          <w:p w14:paraId="6E2C1330"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Quantity</w:t>
            </w:r>
          </w:p>
        </w:tc>
        <w:tc>
          <w:tcPr>
            <w:tcW w:w="1102" w:type="dxa"/>
            <w:shd w:val="clear" w:color="auto" w:fill="auto"/>
            <w:tcMar>
              <w:left w:w="57" w:type="dxa"/>
              <w:right w:w="57" w:type="dxa"/>
            </w:tcMar>
            <w:vAlign w:val="center"/>
          </w:tcPr>
          <w:p w14:paraId="2BE90203" w14:textId="77777777" w:rsidR="003E5BF5" w:rsidRPr="002C5B5D" w:rsidRDefault="003E5BF5" w:rsidP="00DE1921">
            <w:pPr>
              <w:pStyle w:val="TableTextRight"/>
              <w:rPr>
                <w:rFonts w:ascii="Arial" w:hAnsi="Arial" w:cs="Arial"/>
                <w:sz w:val="24"/>
                <w:szCs w:val="24"/>
              </w:rPr>
            </w:pPr>
          </w:p>
        </w:tc>
        <w:tc>
          <w:tcPr>
            <w:tcW w:w="1042" w:type="dxa"/>
            <w:shd w:val="clear" w:color="auto" w:fill="auto"/>
            <w:tcMar>
              <w:left w:w="57" w:type="dxa"/>
              <w:right w:w="57" w:type="dxa"/>
            </w:tcMar>
            <w:vAlign w:val="center"/>
          </w:tcPr>
          <w:p w14:paraId="24FF0462" w14:textId="77777777" w:rsidR="003E5BF5" w:rsidRPr="002C5B5D" w:rsidRDefault="003E5BF5" w:rsidP="00DE1921">
            <w:pPr>
              <w:pStyle w:val="TableTextRight"/>
              <w:rPr>
                <w:rFonts w:ascii="Arial" w:hAnsi="Arial" w:cs="Arial"/>
                <w:sz w:val="24"/>
                <w:szCs w:val="24"/>
              </w:rPr>
            </w:pPr>
          </w:p>
        </w:tc>
        <w:tc>
          <w:tcPr>
            <w:tcW w:w="1040" w:type="dxa"/>
            <w:shd w:val="clear" w:color="auto" w:fill="auto"/>
            <w:tcMar>
              <w:left w:w="57" w:type="dxa"/>
              <w:right w:w="57" w:type="dxa"/>
            </w:tcMar>
            <w:vAlign w:val="center"/>
          </w:tcPr>
          <w:p w14:paraId="6657EE87" w14:textId="77777777" w:rsidR="003E5BF5" w:rsidRPr="002C5B5D" w:rsidRDefault="003E5BF5" w:rsidP="00DE1921">
            <w:pPr>
              <w:pStyle w:val="TableTextRight"/>
              <w:rPr>
                <w:rFonts w:ascii="Arial" w:hAnsi="Arial" w:cs="Arial"/>
                <w:sz w:val="24"/>
                <w:szCs w:val="24"/>
              </w:rPr>
            </w:pPr>
          </w:p>
        </w:tc>
        <w:tc>
          <w:tcPr>
            <w:tcW w:w="1582" w:type="dxa"/>
            <w:shd w:val="clear" w:color="auto" w:fill="auto"/>
            <w:tcMar>
              <w:left w:w="57" w:type="dxa"/>
              <w:right w:w="57" w:type="dxa"/>
            </w:tcMar>
            <w:vAlign w:val="center"/>
          </w:tcPr>
          <w:p w14:paraId="5666A375" w14:textId="77777777" w:rsidR="003E5BF5" w:rsidRPr="002C5B5D" w:rsidRDefault="003E5BF5" w:rsidP="00DE1921">
            <w:pPr>
              <w:pStyle w:val="TableTextRight"/>
              <w:rPr>
                <w:rFonts w:ascii="Arial" w:hAnsi="Arial" w:cs="Arial"/>
                <w:sz w:val="24"/>
                <w:szCs w:val="24"/>
              </w:rPr>
            </w:pPr>
          </w:p>
        </w:tc>
        <w:tc>
          <w:tcPr>
            <w:tcW w:w="1047" w:type="dxa"/>
            <w:shd w:val="clear" w:color="auto" w:fill="auto"/>
            <w:tcMar>
              <w:left w:w="57" w:type="dxa"/>
              <w:right w:w="57" w:type="dxa"/>
            </w:tcMar>
            <w:vAlign w:val="center"/>
          </w:tcPr>
          <w:p w14:paraId="3A99A75B" w14:textId="77777777" w:rsidR="003E5BF5" w:rsidRPr="002C5B5D" w:rsidRDefault="003E5BF5" w:rsidP="00DE1921">
            <w:pPr>
              <w:pStyle w:val="TableTextRight"/>
              <w:rPr>
                <w:rFonts w:ascii="Arial" w:hAnsi="Arial" w:cs="Arial"/>
                <w:sz w:val="24"/>
                <w:szCs w:val="24"/>
              </w:rPr>
            </w:pPr>
          </w:p>
        </w:tc>
      </w:tr>
      <w:tr w:rsidR="003E5BF5" w:rsidRPr="002C5B5D" w14:paraId="2C1B2855" w14:textId="77777777" w:rsidTr="002B3847">
        <w:trPr>
          <w:trHeight w:val="340"/>
        </w:trPr>
        <w:tc>
          <w:tcPr>
            <w:tcW w:w="3259" w:type="dxa"/>
            <w:shd w:val="clear" w:color="auto" w:fill="auto"/>
            <w:tcMar>
              <w:left w:w="57" w:type="dxa"/>
              <w:right w:w="57" w:type="dxa"/>
            </w:tcMar>
            <w:vAlign w:val="center"/>
          </w:tcPr>
          <w:p w14:paraId="6CBB4485"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Number of bus routes upgraded</w:t>
            </w:r>
            <w:r w:rsidR="00105501" w:rsidRPr="002C5B5D">
              <w:rPr>
                <w:rFonts w:ascii="Arial" w:hAnsi="Arial" w:cs="Arial"/>
                <w:sz w:val="24"/>
                <w:szCs w:val="24"/>
              </w:rPr>
              <w:fldChar w:fldCharType="end"/>
            </w:r>
          </w:p>
        </w:tc>
        <w:tc>
          <w:tcPr>
            <w:tcW w:w="1102" w:type="dxa"/>
            <w:shd w:val="clear" w:color="auto" w:fill="auto"/>
            <w:tcMar>
              <w:left w:w="57" w:type="dxa"/>
              <w:right w:w="57" w:type="dxa"/>
            </w:tcMar>
            <w:vAlign w:val="center"/>
          </w:tcPr>
          <w:p w14:paraId="6740903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42" w:type="dxa"/>
            <w:shd w:val="clear" w:color="auto" w:fill="auto"/>
            <w:tcMar>
              <w:left w:w="57" w:type="dxa"/>
              <w:right w:w="57" w:type="dxa"/>
            </w:tcMar>
            <w:vAlign w:val="center"/>
          </w:tcPr>
          <w:p w14:paraId="32EA399F"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36</w:t>
            </w:r>
          </w:p>
        </w:tc>
        <w:tc>
          <w:tcPr>
            <w:tcW w:w="1040" w:type="dxa"/>
            <w:shd w:val="clear" w:color="auto" w:fill="auto"/>
            <w:tcMar>
              <w:left w:w="57" w:type="dxa"/>
              <w:right w:w="57" w:type="dxa"/>
            </w:tcMar>
            <w:vAlign w:val="center"/>
          </w:tcPr>
          <w:p w14:paraId="5EB14AD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6</w:t>
            </w:r>
            <w:r w:rsidRPr="002C5B5D">
              <w:rPr>
                <w:rFonts w:ascii="Arial" w:hAnsi="Arial" w:cs="Arial"/>
                <w:sz w:val="24"/>
                <w:szCs w:val="24"/>
              </w:rPr>
              <w:fldChar w:fldCharType="end"/>
            </w:r>
          </w:p>
        </w:tc>
        <w:tc>
          <w:tcPr>
            <w:tcW w:w="1582" w:type="dxa"/>
            <w:shd w:val="clear" w:color="auto" w:fill="auto"/>
            <w:tcMar>
              <w:left w:w="57" w:type="dxa"/>
              <w:right w:w="57" w:type="dxa"/>
            </w:tcMar>
            <w:vAlign w:val="center"/>
          </w:tcPr>
          <w:p w14:paraId="5291489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500.0</w:t>
            </w:r>
            <w:r w:rsidRPr="002C5B5D">
              <w:rPr>
                <w:rFonts w:ascii="Arial" w:hAnsi="Arial" w:cs="Arial"/>
                <w:sz w:val="24"/>
                <w:szCs w:val="24"/>
              </w:rPr>
              <w:fldChar w:fldCharType="end"/>
            </w:r>
          </w:p>
        </w:tc>
        <w:tc>
          <w:tcPr>
            <w:tcW w:w="1047" w:type="dxa"/>
            <w:shd w:val="clear" w:color="auto" w:fill="auto"/>
            <w:tcMar>
              <w:left w:w="57" w:type="dxa"/>
              <w:right w:w="57" w:type="dxa"/>
            </w:tcMar>
            <w:vAlign w:val="center"/>
          </w:tcPr>
          <w:p w14:paraId="2A9B8A73"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44087C3C" w14:textId="77777777" w:rsidTr="006D1356">
        <w:tc>
          <w:tcPr>
            <w:tcW w:w="9072" w:type="dxa"/>
            <w:gridSpan w:val="6"/>
            <w:shd w:val="clear" w:color="auto" w:fill="auto"/>
            <w:tcMar>
              <w:left w:w="57" w:type="dxa"/>
              <w:right w:w="57" w:type="dxa"/>
            </w:tcMar>
          </w:tcPr>
          <w:p w14:paraId="28E71474" w14:textId="77777777" w:rsidR="003E5BF5" w:rsidRPr="002C5B5D" w:rsidRDefault="003E5BF5" w:rsidP="00DE1921">
            <w:pPr>
              <w:pStyle w:val="TableTextCentre"/>
              <w:jc w:val="left"/>
              <w:rPr>
                <w:rFonts w:ascii="Arial" w:hAnsi="Arial" w:cs="Arial"/>
                <w:i/>
                <w:sz w:val="24"/>
                <w:szCs w:val="24"/>
                <w:highlight w:val="yellow"/>
              </w:rPr>
            </w:pPr>
            <w:r w:rsidRPr="002C5B5D">
              <w:rPr>
                <w:rFonts w:ascii="Arial" w:hAnsi="Arial" w:cs="Arial"/>
                <w:i/>
                <w:sz w:val="24"/>
                <w:szCs w:val="24"/>
              </w:rPr>
              <w:t>Due to the target only including upgrades funded in the 2019-20 Budget rather than those set for delivery in 2019-20.</w:t>
            </w:r>
          </w:p>
        </w:tc>
      </w:tr>
      <w:tr w:rsidR="003E5BF5" w:rsidRPr="002C5B5D" w14:paraId="15915BD8" w14:textId="77777777" w:rsidTr="002B3847">
        <w:trPr>
          <w:trHeight w:val="340"/>
        </w:trPr>
        <w:tc>
          <w:tcPr>
            <w:tcW w:w="3259" w:type="dxa"/>
            <w:shd w:val="clear" w:color="auto" w:fill="auto"/>
            <w:tcMar>
              <w:left w:w="57" w:type="dxa"/>
              <w:right w:w="57" w:type="dxa"/>
            </w:tcMar>
            <w:vAlign w:val="center"/>
          </w:tcPr>
          <w:p w14:paraId="1492D853"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Scheduled services delivered: school bus</w:t>
            </w:r>
            <w:r w:rsidR="00105501" w:rsidRPr="002C5B5D">
              <w:rPr>
                <w:rFonts w:ascii="Arial" w:hAnsi="Arial" w:cs="Arial"/>
                <w:sz w:val="24"/>
                <w:szCs w:val="24"/>
              </w:rPr>
              <w:fldChar w:fldCharType="end"/>
            </w:r>
          </w:p>
        </w:tc>
        <w:tc>
          <w:tcPr>
            <w:tcW w:w="1102" w:type="dxa"/>
            <w:shd w:val="clear" w:color="auto" w:fill="auto"/>
            <w:tcMar>
              <w:left w:w="57" w:type="dxa"/>
              <w:right w:w="57" w:type="dxa"/>
            </w:tcMar>
            <w:vAlign w:val="center"/>
          </w:tcPr>
          <w:p w14:paraId="6081A96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42" w:type="dxa"/>
            <w:shd w:val="clear" w:color="auto" w:fill="auto"/>
            <w:tcMar>
              <w:left w:w="57" w:type="dxa"/>
              <w:right w:w="57" w:type="dxa"/>
            </w:tcMar>
            <w:vAlign w:val="center"/>
          </w:tcPr>
          <w:p w14:paraId="694D295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99</w:t>
            </w:r>
            <w:r w:rsidRPr="002C5B5D">
              <w:rPr>
                <w:rFonts w:ascii="Arial" w:hAnsi="Arial" w:cs="Arial"/>
                <w:sz w:val="24"/>
                <w:szCs w:val="24"/>
              </w:rPr>
              <w:fldChar w:fldCharType="end"/>
            </w:r>
          </w:p>
        </w:tc>
        <w:tc>
          <w:tcPr>
            <w:tcW w:w="1040" w:type="dxa"/>
            <w:shd w:val="clear" w:color="auto" w:fill="auto"/>
            <w:tcMar>
              <w:left w:w="57" w:type="dxa"/>
              <w:right w:w="57" w:type="dxa"/>
            </w:tcMar>
            <w:vAlign w:val="center"/>
          </w:tcPr>
          <w:p w14:paraId="5038B72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99</w:t>
            </w:r>
            <w:r w:rsidRPr="002C5B5D">
              <w:rPr>
                <w:rFonts w:ascii="Arial" w:hAnsi="Arial" w:cs="Arial"/>
                <w:sz w:val="24"/>
                <w:szCs w:val="24"/>
              </w:rPr>
              <w:fldChar w:fldCharType="end"/>
            </w:r>
          </w:p>
        </w:tc>
        <w:tc>
          <w:tcPr>
            <w:tcW w:w="1582" w:type="dxa"/>
            <w:shd w:val="clear" w:color="auto" w:fill="auto"/>
            <w:tcMar>
              <w:left w:w="57" w:type="dxa"/>
              <w:right w:w="57" w:type="dxa"/>
            </w:tcMar>
            <w:vAlign w:val="center"/>
          </w:tcPr>
          <w:p w14:paraId="2AD7B30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47" w:type="dxa"/>
            <w:shd w:val="clear" w:color="auto" w:fill="auto"/>
            <w:tcMar>
              <w:left w:w="57" w:type="dxa"/>
              <w:right w:w="57" w:type="dxa"/>
            </w:tcMar>
            <w:vAlign w:val="center"/>
          </w:tcPr>
          <w:p w14:paraId="2FFCF009"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15826D2A" w14:textId="77777777" w:rsidTr="002B3847">
        <w:trPr>
          <w:trHeight w:val="340"/>
        </w:trPr>
        <w:tc>
          <w:tcPr>
            <w:tcW w:w="3259" w:type="dxa"/>
            <w:shd w:val="clear" w:color="auto" w:fill="auto"/>
            <w:tcMar>
              <w:left w:w="57" w:type="dxa"/>
              <w:right w:w="57" w:type="dxa"/>
            </w:tcMar>
            <w:vAlign w:val="center"/>
          </w:tcPr>
          <w:p w14:paraId="047D2764"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Total kilometres scheduled: school bus</w:t>
            </w:r>
            <w:r w:rsidR="00105501" w:rsidRPr="002C5B5D">
              <w:rPr>
                <w:rFonts w:ascii="Arial" w:hAnsi="Arial" w:cs="Arial"/>
                <w:sz w:val="24"/>
                <w:szCs w:val="24"/>
              </w:rPr>
              <w:fldChar w:fldCharType="end"/>
            </w:r>
          </w:p>
        </w:tc>
        <w:tc>
          <w:tcPr>
            <w:tcW w:w="1102" w:type="dxa"/>
            <w:shd w:val="clear" w:color="auto" w:fill="auto"/>
            <w:tcMar>
              <w:left w:w="57" w:type="dxa"/>
              <w:right w:w="57" w:type="dxa"/>
            </w:tcMar>
            <w:vAlign w:val="center"/>
          </w:tcPr>
          <w:p w14:paraId="505CEA7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km (million)</w:t>
            </w:r>
            <w:r w:rsidRPr="002C5B5D">
              <w:rPr>
                <w:rFonts w:ascii="Arial" w:hAnsi="Arial" w:cs="Arial"/>
                <w:sz w:val="24"/>
                <w:szCs w:val="24"/>
              </w:rPr>
              <w:fldChar w:fldCharType="end"/>
            </w:r>
          </w:p>
        </w:tc>
        <w:tc>
          <w:tcPr>
            <w:tcW w:w="1042" w:type="dxa"/>
            <w:shd w:val="clear" w:color="auto" w:fill="auto"/>
            <w:tcMar>
              <w:left w:w="57" w:type="dxa"/>
              <w:right w:w="57" w:type="dxa"/>
            </w:tcMar>
            <w:vAlign w:val="center"/>
          </w:tcPr>
          <w:p w14:paraId="179BA77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31.1</w:t>
            </w:r>
            <w:r w:rsidRPr="002C5B5D">
              <w:rPr>
                <w:rFonts w:ascii="Arial" w:hAnsi="Arial" w:cs="Arial"/>
                <w:sz w:val="24"/>
                <w:szCs w:val="24"/>
              </w:rPr>
              <w:fldChar w:fldCharType="end"/>
            </w:r>
          </w:p>
        </w:tc>
        <w:tc>
          <w:tcPr>
            <w:tcW w:w="1040" w:type="dxa"/>
            <w:shd w:val="clear" w:color="auto" w:fill="auto"/>
            <w:tcMar>
              <w:left w:w="57" w:type="dxa"/>
              <w:right w:w="57" w:type="dxa"/>
            </w:tcMar>
            <w:vAlign w:val="center"/>
          </w:tcPr>
          <w:p w14:paraId="4974E1C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31.1</w:t>
            </w:r>
            <w:r w:rsidRPr="002C5B5D">
              <w:rPr>
                <w:rFonts w:ascii="Arial" w:hAnsi="Arial" w:cs="Arial"/>
                <w:sz w:val="24"/>
                <w:szCs w:val="24"/>
              </w:rPr>
              <w:fldChar w:fldCharType="end"/>
            </w:r>
          </w:p>
        </w:tc>
        <w:tc>
          <w:tcPr>
            <w:tcW w:w="1582" w:type="dxa"/>
            <w:shd w:val="clear" w:color="auto" w:fill="auto"/>
            <w:tcMar>
              <w:left w:w="57" w:type="dxa"/>
              <w:right w:w="57" w:type="dxa"/>
            </w:tcMar>
            <w:vAlign w:val="center"/>
          </w:tcPr>
          <w:p w14:paraId="2405EC01"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47" w:type="dxa"/>
            <w:shd w:val="clear" w:color="auto" w:fill="auto"/>
            <w:tcMar>
              <w:left w:w="57" w:type="dxa"/>
              <w:right w:w="57" w:type="dxa"/>
            </w:tcMar>
            <w:vAlign w:val="center"/>
          </w:tcPr>
          <w:p w14:paraId="123BA700"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17C9F858" w14:textId="77777777" w:rsidTr="002B3847">
        <w:trPr>
          <w:trHeight w:val="340"/>
        </w:trPr>
        <w:tc>
          <w:tcPr>
            <w:tcW w:w="3259" w:type="dxa"/>
            <w:shd w:val="clear" w:color="auto" w:fill="auto"/>
            <w:tcMar>
              <w:left w:w="57" w:type="dxa"/>
              <w:right w:w="57" w:type="dxa"/>
            </w:tcMar>
            <w:vAlign w:val="center"/>
          </w:tcPr>
          <w:p w14:paraId="47A2A6A5"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Cost</w:t>
            </w:r>
          </w:p>
        </w:tc>
        <w:tc>
          <w:tcPr>
            <w:tcW w:w="1102" w:type="dxa"/>
            <w:shd w:val="clear" w:color="auto" w:fill="auto"/>
            <w:tcMar>
              <w:left w:w="57" w:type="dxa"/>
              <w:right w:w="57" w:type="dxa"/>
            </w:tcMar>
            <w:vAlign w:val="center"/>
          </w:tcPr>
          <w:p w14:paraId="45DFDF3C" w14:textId="77777777" w:rsidR="003E5BF5" w:rsidRPr="002C5B5D" w:rsidRDefault="003E5BF5" w:rsidP="00DE1921">
            <w:pPr>
              <w:pStyle w:val="TableTextRight"/>
              <w:rPr>
                <w:rFonts w:ascii="Arial" w:hAnsi="Arial" w:cs="Arial"/>
                <w:sz w:val="24"/>
                <w:szCs w:val="24"/>
              </w:rPr>
            </w:pPr>
          </w:p>
        </w:tc>
        <w:tc>
          <w:tcPr>
            <w:tcW w:w="1042" w:type="dxa"/>
            <w:shd w:val="clear" w:color="auto" w:fill="auto"/>
            <w:tcMar>
              <w:left w:w="57" w:type="dxa"/>
              <w:right w:w="57" w:type="dxa"/>
            </w:tcMar>
            <w:vAlign w:val="center"/>
          </w:tcPr>
          <w:p w14:paraId="3883CBBA" w14:textId="77777777" w:rsidR="003E5BF5" w:rsidRPr="002C5B5D" w:rsidRDefault="003E5BF5" w:rsidP="00DE1921">
            <w:pPr>
              <w:pStyle w:val="TableTextRight"/>
              <w:rPr>
                <w:rFonts w:ascii="Arial" w:hAnsi="Arial" w:cs="Arial"/>
                <w:sz w:val="24"/>
                <w:szCs w:val="24"/>
              </w:rPr>
            </w:pPr>
          </w:p>
        </w:tc>
        <w:tc>
          <w:tcPr>
            <w:tcW w:w="1040" w:type="dxa"/>
            <w:shd w:val="clear" w:color="auto" w:fill="auto"/>
            <w:tcMar>
              <w:left w:w="57" w:type="dxa"/>
              <w:right w:w="57" w:type="dxa"/>
            </w:tcMar>
            <w:vAlign w:val="center"/>
          </w:tcPr>
          <w:p w14:paraId="332B6AA0" w14:textId="77777777" w:rsidR="003E5BF5" w:rsidRPr="002C5B5D" w:rsidRDefault="003E5BF5" w:rsidP="00DE1921">
            <w:pPr>
              <w:pStyle w:val="TableTextRight"/>
              <w:rPr>
                <w:rFonts w:ascii="Arial" w:hAnsi="Arial" w:cs="Arial"/>
                <w:sz w:val="24"/>
                <w:szCs w:val="24"/>
              </w:rPr>
            </w:pPr>
          </w:p>
        </w:tc>
        <w:tc>
          <w:tcPr>
            <w:tcW w:w="1582" w:type="dxa"/>
            <w:shd w:val="clear" w:color="auto" w:fill="auto"/>
            <w:tcMar>
              <w:left w:w="57" w:type="dxa"/>
              <w:right w:w="57" w:type="dxa"/>
            </w:tcMar>
            <w:vAlign w:val="center"/>
          </w:tcPr>
          <w:p w14:paraId="23A63D9D" w14:textId="77777777" w:rsidR="003E5BF5" w:rsidRPr="002C5B5D" w:rsidRDefault="003E5BF5" w:rsidP="00DE1921">
            <w:pPr>
              <w:pStyle w:val="TableTextRight"/>
              <w:rPr>
                <w:rFonts w:ascii="Arial" w:hAnsi="Arial" w:cs="Arial"/>
                <w:sz w:val="24"/>
                <w:szCs w:val="24"/>
              </w:rPr>
            </w:pPr>
          </w:p>
        </w:tc>
        <w:tc>
          <w:tcPr>
            <w:tcW w:w="1047" w:type="dxa"/>
            <w:shd w:val="clear" w:color="auto" w:fill="auto"/>
            <w:tcMar>
              <w:left w:w="57" w:type="dxa"/>
              <w:right w:w="57" w:type="dxa"/>
            </w:tcMar>
            <w:vAlign w:val="center"/>
          </w:tcPr>
          <w:p w14:paraId="3B96806F" w14:textId="77777777" w:rsidR="003E5BF5" w:rsidRPr="002C5B5D" w:rsidRDefault="003E5BF5" w:rsidP="00DE1921">
            <w:pPr>
              <w:pStyle w:val="TableTextRight"/>
              <w:rPr>
                <w:rFonts w:ascii="Arial" w:hAnsi="Arial" w:cs="Arial"/>
                <w:sz w:val="24"/>
                <w:szCs w:val="24"/>
              </w:rPr>
            </w:pPr>
          </w:p>
        </w:tc>
      </w:tr>
      <w:tr w:rsidR="003E5BF5" w:rsidRPr="002C5B5D" w14:paraId="7D335FC5" w14:textId="77777777" w:rsidTr="002B3847">
        <w:trPr>
          <w:trHeight w:val="340"/>
        </w:trPr>
        <w:tc>
          <w:tcPr>
            <w:tcW w:w="3259" w:type="dxa"/>
            <w:shd w:val="clear" w:color="auto" w:fill="auto"/>
            <w:tcMar>
              <w:left w:w="57" w:type="dxa"/>
              <w:right w:w="57" w:type="dxa"/>
            </w:tcMar>
            <w:vAlign w:val="center"/>
          </w:tcPr>
          <w:p w14:paraId="3A490F87"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t>Total output cost</w:t>
            </w:r>
          </w:p>
        </w:tc>
        <w:tc>
          <w:tcPr>
            <w:tcW w:w="1102" w:type="dxa"/>
            <w:shd w:val="clear" w:color="auto" w:fill="auto"/>
            <w:tcMar>
              <w:left w:w="57" w:type="dxa"/>
              <w:right w:w="57" w:type="dxa"/>
            </w:tcMar>
            <w:vAlign w:val="center"/>
          </w:tcPr>
          <w:p w14:paraId="1FE5736E"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 million</w:t>
            </w:r>
          </w:p>
        </w:tc>
        <w:tc>
          <w:tcPr>
            <w:tcW w:w="1042" w:type="dxa"/>
            <w:shd w:val="clear" w:color="auto" w:fill="auto"/>
            <w:tcMar>
              <w:left w:w="57" w:type="dxa"/>
              <w:right w:w="57" w:type="dxa"/>
            </w:tcMar>
            <w:vAlign w:val="center"/>
          </w:tcPr>
          <w:p w14:paraId="4089FE14"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324.7</w:t>
            </w:r>
          </w:p>
        </w:tc>
        <w:tc>
          <w:tcPr>
            <w:tcW w:w="1040" w:type="dxa"/>
            <w:shd w:val="clear" w:color="auto" w:fill="auto"/>
            <w:tcMar>
              <w:left w:w="57" w:type="dxa"/>
              <w:right w:w="57" w:type="dxa"/>
            </w:tcMar>
            <w:vAlign w:val="center"/>
          </w:tcPr>
          <w:p w14:paraId="08E52B2C"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333.5</w:t>
            </w:r>
          </w:p>
        </w:tc>
        <w:tc>
          <w:tcPr>
            <w:tcW w:w="1582" w:type="dxa"/>
            <w:shd w:val="clear" w:color="auto" w:fill="auto"/>
            <w:tcMar>
              <w:left w:w="57" w:type="dxa"/>
              <w:right w:w="57" w:type="dxa"/>
            </w:tcMar>
            <w:vAlign w:val="center"/>
          </w:tcPr>
          <w:p w14:paraId="5AB5EBA8"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-2.6</w:t>
            </w:r>
          </w:p>
        </w:tc>
        <w:tc>
          <w:tcPr>
            <w:tcW w:w="1047" w:type="dxa"/>
            <w:shd w:val="clear" w:color="auto" w:fill="auto"/>
            <w:tcMar>
              <w:left w:w="57" w:type="dxa"/>
              <w:right w:w="57" w:type="dxa"/>
            </w:tcMar>
            <w:vAlign w:val="center"/>
          </w:tcPr>
          <w:p w14:paraId="101E8079"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bl>
    <w:p w14:paraId="36EE0326" w14:textId="77777777" w:rsidR="003E5BF5" w:rsidRPr="002C5B5D" w:rsidRDefault="003E5BF5" w:rsidP="00DE1921">
      <w:pPr>
        <w:pStyle w:val="Note"/>
        <w:rPr>
          <w:rFonts w:ascii="Arial" w:hAnsi="Arial" w:cs="Arial"/>
          <w:sz w:val="24"/>
          <w:szCs w:val="24"/>
        </w:rPr>
      </w:pPr>
      <w:r w:rsidRPr="002C5B5D">
        <w:rPr>
          <w:rFonts w:ascii="Arial" w:hAnsi="Arial" w:cs="Arial"/>
          <w:sz w:val="24"/>
          <w:szCs w:val="24"/>
        </w:rPr>
        <w:t>Note:</w:t>
      </w:r>
    </w:p>
    <w:p w14:paraId="4031A1DB" w14:textId="754A2465" w:rsidR="003E5BF5" w:rsidRDefault="003E5BF5" w:rsidP="00DD0AB6">
      <w:pPr>
        <w:pStyle w:val="Notenumber123"/>
        <w:numPr>
          <w:ilvl w:val="0"/>
          <w:numId w:val="0"/>
        </w:numPr>
        <w:ind w:left="113"/>
      </w:pPr>
      <w:r w:rsidRPr="002C5B5D">
        <w:rPr>
          <w:rFonts w:ascii="Arial" w:hAnsi="Arial" w:cs="Arial"/>
          <w:sz w:val="24"/>
          <w:szCs w:val="24"/>
        </w:rPr>
        <w:sym w:font="Wingdings 2" w:char="F050"/>
      </w:r>
      <w:r w:rsidRPr="002C5B5D">
        <w:rPr>
          <w:rFonts w:ascii="Arial" w:hAnsi="Arial" w:cs="Arial"/>
          <w:sz w:val="24"/>
          <w:szCs w:val="24"/>
        </w:rPr>
        <w:t xml:space="preserve"> Performance target achieved or exceeded</w:t>
      </w:r>
    </w:p>
    <w:p w14:paraId="4B1B2566" w14:textId="77777777" w:rsidR="003E5BF5" w:rsidRDefault="003E5BF5" w:rsidP="00EF5131">
      <w:pPr>
        <w:pStyle w:val="Heading5"/>
        <w:sectPr w:rsidR="003E5BF5" w:rsidSect="00DE1921">
          <w:pgSz w:w="11906" w:h="16838"/>
          <w:pgMar w:top="1701" w:right="1418" w:bottom="1418" w:left="1418" w:header="709" w:footer="709" w:gutter="0"/>
          <w:cols w:space="284"/>
          <w:docGrid w:linePitch="360"/>
        </w:sectPr>
      </w:pPr>
    </w:p>
    <w:p w14:paraId="6B76A7E6" w14:textId="77777777" w:rsidR="003E5BF5" w:rsidRPr="0027087B" w:rsidRDefault="003E5BF5" w:rsidP="00EF5131">
      <w:pPr>
        <w:pStyle w:val="Heading5"/>
      </w:pPr>
      <w:r w:rsidRPr="0027087B">
        <w:lastRenderedPageBreak/>
        <w:t xml:space="preserve">Road Operations </w:t>
      </w:r>
    </w:p>
    <w:p w14:paraId="42140755" w14:textId="77777777" w:rsidR="003E5BF5" w:rsidRDefault="003E5BF5" w:rsidP="00091232">
      <w:pPr>
        <w:pStyle w:val="aaatyping"/>
      </w:pPr>
      <w:r w:rsidRPr="002E0838">
        <w:t xml:space="preserve">This output </w:t>
      </w:r>
      <w:r w:rsidRPr="00A31BBD">
        <w:t xml:space="preserve">operates the road network and </w:t>
      </w:r>
      <w:r w:rsidRPr="002E0838">
        <w:t>contributes to the departments objective</w:t>
      </w:r>
      <w:r w:rsidRPr="00A31BBD">
        <w:t xml:space="preserve"> by</w:t>
      </w:r>
      <w:r w:rsidRPr="002E0838">
        <w:t xml:space="preserve"> </w:t>
      </w:r>
      <w:r w:rsidRPr="00A31BBD">
        <w:t>managing access and use, and delivering initiatives that provide more predictable and reliable journeys, improve safety and meet the service quality expected from transport users</w:t>
      </w:r>
      <w:r w:rsidRPr="002E0838">
        <w:t>.</w:t>
      </w:r>
    </w:p>
    <w:p w14:paraId="156A2D8F" w14:textId="77777777" w:rsidR="003E5BF5" w:rsidRPr="00CF74EB" w:rsidRDefault="003E5BF5" w:rsidP="00CF74EB">
      <w:pPr>
        <w:pStyle w:val="TableHeader"/>
      </w:pPr>
      <w:r w:rsidRPr="00CF74EB">
        <w:t>Road Operations</w:t>
      </w:r>
    </w:p>
    <w:tbl>
      <w:tblPr>
        <w:tblStyle w:val="TableGrid"/>
        <w:tblW w:w="9072" w:type="dxa"/>
        <w:tblCellMar>
          <w:left w:w="28" w:type="dxa"/>
          <w:right w:w="28" w:type="dxa"/>
        </w:tblCellMar>
        <w:tblLook w:val="04A0" w:firstRow="1" w:lastRow="0" w:firstColumn="1" w:lastColumn="0" w:noHBand="0" w:noVBand="1"/>
      </w:tblPr>
      <w:tblGrid>
        <w:gridCol w:w="3446"/>
        <w:gridCol w:w="1070"/>
        <w:gridCol w:w="1070"/>
        <w:gridCol w:w="1070"/>
        <w:gridCol w:w="1460"/>
        <w:gridCol w:w="1070"/>
      </w:tblGrid>
      <w:tr w:rsidR="003E5BF5" w:rsidRPr="00F323AA" w14:paraId="03B9736E" w14:textId="77777777" w:rsidTr="00DD0AB6">
        <w:trPr>
          <w:trHeight w:val="312"/>
          <w:tblHeader/>
        </w:trPr>
        <w:tc>
          <w:tcPr>
            <w:tcW w:w="3456" w:type="dxa"/>
            <w:shd w:val="clear" w:color="auto" w:fill="auto"/>
            <w:tcMar>
              <w:left w:w="57" w:type="dxa"/>
              <w:right w:w="57" w:type="dxa"/>
            </w:tcMar>
          </w:tcPr>
          <w:p w14:paraId="25628D16" w14:textId="77777777" w:rsidR="003E5BF5" w:rsidRPr="00F323AA" w:rsidRDefault="003E5BF5" w:rsidP="00DE1921">
            <w:pPr>
              <w:pStyle w:val="TableTextLeftBold"/>
              <w:rPr>
                <w:rFonts w:ascii="Arial" w:hAnsi="Arial" w:cs="Arial"/>
                <w:sz w:val="22"/>
              </w:rPr>
            </w:pPr>
            <w:r w:rsidRPr="00F323AA">
              <w:rPr>
                <w:rFonts w:ascii="Arial" w:hAnsi="Arial" w:cs="Arial"/>
                <w:sz w:val="22"/>
              </w:rPr>
              <w:t>Performance measures</w:t>
            </w:r>
          </w:p>
        </w:tc>
        <w:tc>
          <w:tcPr>
            <w:tcW w:w="1070" w:type="dxa"/>
            <w:shd w:val="clear" w:color="auto" w:fill="auto"/>
            <w:tcMar>
              <w:left w:w="57" w:type="dxa"/>
              <w:right w:w="57" w:type="dxa"/>
            </w:tcMar>
          </w:tcPr>
          <w:p w14:paraId="50CB3911" w14:textId="77777777" w:rsidR="003E5BF5" w:rsidRPr="00F323AA" w:rsidRDefault="003E5BF5" w:rsidP="00DE1921">
            <w:pPr>
              <w:pStyle w:val="TableTextRightBold"/>
              <w:rPr>
                <w:rFonts w:ascii="Arial" w:hAnsi="Arial" w:cs="Arial"/>
                <w:sz w:val="22"/>
              </w:rPr>
            </w:pPr>
            <w:r w:rsidRPr="00F323AA">
              <w:rPr>
                <w:rFonts w:ascii="Arial" w:hAnsi="Arial" w:cs="Arial"/>
                <w:sz w:val="22"/>
              </w:rPr>
              <w:t>unit of measure</w:t>
            </w:r>
          </w:p>
        </w:tc>
        <w:tc>
          <w:tcPr>
            <w:tcW w:w="1070" w:type="dxa"/>
            <w:shd w:val="clear" w:color="auto" w:fill="auto"/>
            <w:tcMar>
              <w:left w:w="57" w:type="dxa"/>
              <w:right w:w="57" w:type="dxa"/>
            </w:tcMar>
          </w:tcPr>
          <w:p w14:paraId="1F59243C" w14:textId="77777777" w:rsidR="003E5BF5" w:rsidRPr="00F323AA" w:rsidRDefault="003E5BF5" w:rsidP="00DE1921">
            <w:pPr>
              <w:pStyle w:val="TableTextRightBold"/>
              <w:rPr>
                <w:rFonts w:ascii="Arial" w:hAnsi="Arial" w:cs="Arial"/>
                <w:sz w:val="22"/>
              </w:rPr>
            </w:pPr>
            <w:r w:rsidRPr="00F323AA">
              <w:rPr>
                <w:rFonts w:ascii="Arial" w:hAnsi="Arial" w:cs="Arial"/>
                <w:sz w:val="22"/>
              </w:rPr>
              <w:t>2019-20 actual</w:t>
            </w:r>
          </w:p>
        </w:tc>
        <w:tc>
          <w:tcPr>
            <w:tcW w:w="1070" w:type="dxa"/>
            <w:shd w:val="clear" w:color="auto" w:fill="auto"/>
            <w:tcMar>
              <w:left w:w="57" w:type="dxa"/>
              <w:right w:w="57" w:type="dxa"/>
            </w:tcMar>
          </w:tcPr>
          <w:p w14:paraId="39CFCA38" w14:textId="77777777" w:rsidR="003E5BF5" w:rsidRPr="00F323AA" w:rsidRDefault="003E5BF5" w:rsidP="00DE1921">
            <w:pPr>
              <w:pStyle w:val="TableTextRightBold"/>
              <w:rPr>
                <w:rFonts w:ascii="Arial" w:hAnsi="Arial" w:cs="Arial"/>
                <w:sz w:val="22"/>
              </w:rPr>
            </w:pPr>
            <w:r w:rsidRPr="00F323AA">
              <w:rPr>
                <w:rFonts w:ascii="Arial" w:hAnsi="Arial" w:cs="Arial"/>
                <w:sz w:val="22"/>
              </w:rPr>
              <w:t>2019-20 target</w:t>
            </w:r>
          </w:p>
        </w:tc>
        <w:tc>
          <w:tcPr>
            <w:tcW w:w="1336" w:type="dxa"/>
            <w:shd w:val="clear" w:color="auto" w:fill="auto"/>
            <w:tcMar>
              <w:left w:w="57" w:type="dxa"/>
              <w:right w:w="57" w:type="dxa"/>
            </w:tcMar>
          </w:tcPr>
          <w:p w14:paraId="738D9790" w14:textId="77777777" w:rsidR="003E5BF5" w:rsidRPr="00F323AA" w:rsidRDefault="003E5BF5" w:rsidP="00DE1921">
            <w:pPr>
              <w:pStyle w:val="TableTextRightBold"/>
              <w:rPr>
                <w:rFonts w:ascii="Arial" w:hAnsi="Arial" w:cs="Arial"/>
                <w:sz w:val="22"/>
              </w:rPr>
            </w:pPr>
            <w:r w:rsidRPr="00F323AA">
              <w:rPr>
                <w:rFonts w:ascii="Arial" w:hAnsi="Arial" w:cs="Arial"/>
                <w:sz w:val="22"/>
              </w:rPr>
              <w:t>Performance variation (%)</w:t>
            </w:r>
          </w:p>
        </w:tc>
        <w:tc>
          <w:tcPr>
            <w:tcW w:w="1070" w:type="dxa"/>
            <w:shd w:val="clear" w:color="auto" w:fill="auto"/>
            <w:tcMar>
              <w:left w:w="57" w:type="dxa"/>
              <w:right w:w="57" w:type="dxa"/>
            </w:tcMar>
          </w:tcPr>
          <w:p w14:paraId="19FC6B9F" w14:textId="77777777" w:rsidR="003E5BF5" w:rsidRPr="00F323AA" w:rsidRDefault="003E5BF5" w:rsidP="00DE1921">
            <w:pPr>
              <w:pStyle w:val="TableTextRightBold"/>
              <w:rPr>
                <w:rFonts w:ascii="Arial" w:hAnsi="Arial" w:cs="Arial"/>
                <w:sz w:val="22"/>
              </w:rPr>
            </w:pPr>
            <w:r w:rsidRPr="00F323AA">
              <w:rPr>
                <w:rFonts w:ascii="Arial" w:hAnsi="Arial" w:cs="Arial"/>
                <w:sz w:val="22"/>
              </w:rPr>
              <w:t>Result</w:t>
            </w:r>
          </w:p>
        </w:tc>
      </w:tr>
      <w:tr w:rsidR="003E5BF5" w:rsidRPr="002C5B5D" w14:paraId="66E66D72" w14:textId="77777777" w:rsidTr="00DD0AB6">
        <w:trPr>
          <w:trHeight w:val="312"/>
          <w:tblHeader/>
        </w:trPr>
        <w:tc>
          <w:tcPr>
            <w:tcW w:w="3456" w:type="dxa"/>
            <w:shd w:val="clear" w:color="auto" w:fill="auto"/>
            <w:tcMar>
              <w:left w:w="57" w:type="dxa"/>
              <w:right w:w="57" w:type="dxa"/>
            </w:tcMar>
            <w:vAlign w:val="center"/>
          </w:tcPr>
          <w:p w14:paraId="7C8DED11"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Quantity</w:t>
            </w:r>
          </w:p>
        </w:tc>
        <w:tc>
          <w:tcPr>
            <w:tcW w:w="1070" w:type="dxa"/>
            <w:shd w:val="clear" w:color="auto" w:fill="auto"/>
            <w:tcMar>
              <w:left w:w="57" w:type="dxa"/>
              <w:right w:w="57" w:type="dxa"/>
            </w:tcMar>
            <w:vAlign w:val="center"/>
          </w:tcPr>
          <w:p w14:paraId="6BCCA886"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256A068E"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6F8A4263"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2621B0C6"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7587697A" w14:textId="77777777" w:rsidR="003E5BF5" w:rsidRPr="002C5B5D" w:rsidRDefault="003E5BF5" w:rsidP="00DE1921">
            <w:pPr>
              <w:pStyle w:val="TableTextRight"/>
              <w:rPr>
                <w:rFonts w:ascii="Arial" w:hAnsi="Arial" w:cs="Arial"/>
                <w:sz w:val="24"/>
                <w:szCs w:val="24"/>
              </w:rPr>
            </w:pPr>
          </w:p>
        </w:tc>
      </w:tr>
      <w:tr w:rsidR="003E5BF5" w:rsidRPr="002C5B5D" w14:paraId="4ABD56C9" w14:textId="77777777" w:rsidTr="003125D9">
        <w:trPr>
          <w:trHeight w:val="312"/>
        </w:trPr>
        <w:tc>
          <w:tcPr>
            <w:tcW w:w="3456" w:type="dxa"/>
            <w:shd w:val="clear" w:color="auto" w:fill="auto"/>
            <w:tcMar>
              <w:left w:w="57" w:type="dxa"/>
              <w:right w:w="57" w:type="dxa"/>
            </w:tcMar>
          </w:tcPr>
          <w:p w14:paraId="31019FA2"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Bridge strengthening and replacement projects completed: metropolitan</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2655CEF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44F092C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3</w:t>
            </w:r>
            <w:r w:rsidRPr="002C5B5D">
              <w:rPr>
                <w:rFonts w:ascii="Arial" w:hAnsi="Arial" w:cs="Arial"/>
                <w:sz w:val="24"/>
                <w:szCs w:val="24"/>
              </w:rPr>
              <w:fldChar w:fldCharType="end"/>
            </w:r>
          </w:p>
        </w:tc>
        <w:tc>
          <w:tcPr>
            <w:tcW w:w="1070" w:type="dxa"/>
            <w:shd w:val="clear" w:color="auto" w:fill="auto"/>
            <w:tcMar>
              <w:left w:w="57" w:type="dxa"/>
              <w:right w:w="57" w:type="dxa"/>
            </w:tcMar>
          </w:tcPr>
          <w:p w14:paraId="5C3C6C2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4</w:t>
            </w:r>
            <w:r w:rsidRPr="002C5B5D">
              <w:rPr>
                <w:rFonts w:ascii="Arial" w:hAnsi="Arial" w:cs="Arial"/>
                <w:sz w:val="24"/>
                <w:szCs w:val="24"/>
              </w:rPr>
              <w:fldChar w:fldCharType="end"/>
            </w:r>
          </w:p>
        </w:tc>
        <w:tc>
          <w:tcPr>
            <w:tcW w:w="1336" w:type="dxa"/>
            <w:shd w:val="clear" w:color="auto" w:fill="auto"/>
            <w:tcMar>
              <w:left w:w="57" w:type="dxa"/>
              <w:right w:w="57" w:type="dxa"/>
            </w:tcMar>
          </w:tcPr>
          <w:p w14:paraId="150D2DE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-25.0</w:t>
            </w:r>
            <w:r w:rsidRPr="002C5B5D">
              <w:rPr>
                <w:rFonts w:ascii="Arial" w:hAnsi="Arial" w:cs="Arial"/>
                <w:sz w:val="24"/>
                <w:szCs w:val="24"/>
              </w:rPr>
              <w:fldChar w:fldCharType="end"/>
            </w:r>
          </w:p>
        </w:tc>
        <w:tc>
          <w:tcPr>
            <w:tcW w:w="1070" w:type="dxa"/>
            <w:shd w:val="clear" w:color="auto" w:fill="auto"/>
            <w:tcMar>
              <w:left w:w="57" w:type="dxa"/>
              <w:right w:w="57" w:type="dxa"/>
            </w:tcMar>
          </w:tcPr>
          <w:p w14:paraId="35A65FFE"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79C95E39" w14:textId="77777777" w:rsidTr="003125D9">
        <w:tc>
          <w:tcPr>
            <w:tcW w:w="9072" w:type="dxa"/>
            <w:gridSpan w:val="6"/>
            <w:shd w:val="clear" w:color="auto" w:fill="auto"/>
            <w:tcMar>
              <w:left w:w="57" w:type="dxa"/>
              <w:right w:w="57" w:type="dxa"/>
            </w:tcMar>
          </w:tcPr>
          <w:p w14:paraId="5CB729BF"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unforseen complexities with the construction site, full delivery has been deferred.</w:t>
            </w:r>
            <w:r w:rsidRPr="002C5B5D">
              <w:rPr>
                <w:rFonts w:ascii="Arial" w:hAnsi="Arial" w:cs="Arial"/>
                <w:i/>
                <w:sz w:val="24"/>
                <w:szCs w:val="24"/>
              </w:rPr>
              <w:fldChar w:fldCharType="end"/>
            </w:r>
          </w:p>
        </w:tc>
      </w:tr>
      <w:tr w:rsidR="003E5BF5" w:rsidRPr="002C5B5D" w14:paraId="735553F9" w14:textId="77777777" w:rsidTr="003125D9">
        <w:trPr>
          <w:trHeight w:val="312"/>
        </w:trPr>
        <w:tc>
          <w:tcPr>
            <w:tcW w:w="3456" w:type="dxa"/>
            <w:shd w:val="clear" w:color="auto" w:fill="auto"/>
            <w:tcMar>
              <w:left w:w="57" w:type="dxa"/>
              <w:right w:w="57" w:type="dxa"/>
            </w:tcMar>
          </w:tcPr>
          <w:p w14:paraId="3D30A8BE"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Bridge strengthening and replacement projects completed: regional</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0EC65A91"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6A8D227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w:t>
            </w:r>
            <w:r w:rsidRPr="002C5B5D">
              <w:rPr>
                <w:rFonts w:ascii="Arial" w:hAnsi="Arial" w:cs="Arial"/>
                <w:sz w:val="24"/>
                <w:szCs w:val="24"/>
              </w:rPr>
              <w:fldChar w:fldCharType="end"/>
            </w:r>
          </w:p>
        </w:tc>
        <w:tc>
          <w:tcPr>
            <w:tcW w:w="1070" w:type="dxa"/>
            <w:shd w:val="clear" w:color="auto" w:fill="auto"/>
            <w:tcMar>
              <w:left w:w="57" w:type="dxa"/>
              <w:right w:w="57" w:type="dxa"/>
            </w:tcMar>
          </w:tcPr>
          <w:p w14:paraId="437065D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7</w:t>
            </w:r>
            <w:r w:rsidRPr="002C5B5D">
              <w:rPr>
                <w:rFonts w:ascii="Arial" w:hAnsi="Arial" w:cs="Arial"/>
                <w:sz w:val="24"/>
                <w:szCs w:val="24"/>
              </w:rPr>
              <w:fldChar w:fldCharType="end"/>
            </w:r>
          </w:p>
        </w:tc>
        <w:tc>
          <w:tcPr>
            <w:tcW w:w="1336" w:type="dxa"/>
            <w:shd w:val="clear" w:color="auto" w:fill="auto"/>
            <w:tcMar>
              <w:left w:w="57" w:type="dxa"/>
              <w:right w:w="57" w:type="dxa"/>
            </w:tcMar>
          </w:tcPr>
          <w:p w14:paraId="49FF691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-85.7</w:t>
            </w:r>
            <w:r w:rsidRPr="002C5B5D">
              <w:rPr>
                <w:rFonts w:ascii="Arial" w:hAnsi="Arial" w:cs="Arial"/>
                <w:sz w:val="24"/>
                <w:szCs w:val="24"/>
              </w:rPr>
              <w:fldChar w:fldCharType="end"/>
            </w:r>
          </w:p>
        </w:tc>
        <w:tc>
          <w:tcPr>
            <w:tcW w:w="1070" w:type="dxa"/>
            <w:shd w:val="clear" w:color="auto" w:fill="auto"/>
            <w:tcMar>
              <w:left w:w="57" w:type="dxa"/>
              <w:right w:w="57" w:type="dxa"/>
            </w:tcMar>
          </w:tcPr>
          <w:p w14:paraId="66700AA5"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6D8120EA" w14:textId="77777777" w:rsidTr="003125D9">
        <w:tc>
          <w:tcPr>
            <w:tcW w:w="9072" w:type="dxa"/>
            <w:gridSpan w:val="6"/>
            <w:shd w:val="clear" w:color="auto" w:fill="auto"/>
            <w:tcMar>
              <w:left w:w="57" w:type="dxa"/>
              <w:right w:w="57" w:type="dxa"/>
            </w:tcMar>
          </w:tcPr>
          <w:p w14:paraId="2B837736"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project rescoping and market price escalation.</w:t>
            </w:r>
            <w:r w:rsidRPr="002C5B5D">
              <w:rPr>
                <w:rFonts w:ascii="Arial" w:hAnsi="Arial" w:cs="Arial"/>
                <w:i/>
                <w:sz w:val="24"/>
                <w:szCs w:val="24"/>
              </w:rPr>
              <w:fldChar w:fldCharType="end"/>
            </w:r>
          </w:p>
        </w:tc>
      </w:tr>
      <w:tr w:rsidR="003E5BF5" w:rsidRPr="002C5B5D" w14:paraId="0252E7ED" w14:textId="77777777" w:rsidTr="003125D9">
        <w:trPr>
          <w:trHeight w:val="312"/>
        </w:trPr>
        <w:tc>
          <w:tcPr>
            <w:tcW w:w="3456" w:type="dxa"/>
            <w:shd w:val="clear" w:color="auto" w:fill="auto"/>
            <w:tcMar>
              <w:left w:w="57" w:type="dxa"/>
              <w:right w:w="57" w:type="dxa"/>
            </w:tcMar>
            <w:vAlign w:val="center"/>
          </w:tcPr>
          <w:p w14:paraId="0DD8AA18"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Congestion projects completed</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4C02229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08F542AA"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4</w:t>
            </w:r>
          </w:p>
        </w:tc>
        <w:tc>
          <w:tcPr>
            <w:tcW w:w="1070" w:type="dxa"/>
            <w:shd w:val="clear" w:color="auto" w:fill="auto"/>
            <w:tcMar>
              <w:left w:w="57" w:type="dxa"/>
              <w:right w:w="57" w:type="dxa"/>
            </w:tcMar>
            <w:vAlign w:val="center"/>
          </w:tcPr>
          <w:p w14:paraId="440B1E6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4</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7999C9B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1BDCD7E3"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75CC3F5B" w14:textId="77777777" w:rsidTr="003125D9">
        <w:trPr>
          <w:trHeight w:val="312"/>
        </w:trPr>
        <w:tc>
          <w:tcPr>
            <w:tcW w:w="3456" w:type="dxa"/>
            <w:shd w:val="clear" w:color="auto" w:fill="auto"/>
            <w:tcMar>
              <w:left w:w="57" w:type="dxa"/>
              <w:right w:w="57" w:type="dxa"/>
            </w:tcMar>
            <w:vAlign w:val="center"/>
          </w:tcPr>
          <w:p w14:paraId="41981503"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Cycling projects completed</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026AEA7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5AB27215"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5</w:t>
            </w:r>
          </w:p>
        </w:tc>
        <w:tc>
          <w:tcPr>
            <w:tcW w:w="1070" w:type="dxa"/>
            <w:shd w:val="clear" w:color="auto" w:fill="auto"/>
            <w:tcMar>
              <w:left w:w="57" w:type="dxa"/>
              <w:right w:w="57" w:type="dxa"/>
            </w:tcMar>
            <w:vAlign w:val="center"/>
          </w:tcPr>
          <w:p w14:paraId="0ACF841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12</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560A7B5B"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-58.3</w:t>
            </w:r>
          </w:p>
        </w:tc>
        <w:tc>
          <w:tcPr>
            <w:tcW w:w="1070" w:type="dxa"/>
            <w:shd w:val="clear" w:color="auto" w:fill="auto"/>
            <w:tcMar>
              <w:left w:w="57" w:type="dxa"/>
              <w:right w:w="57" w:type="dxa"/>
            </w:tcMar>
            <w:vAlign w:val="center"/>
          </w:tcPr>
          <w:p w14:paraId="6B2B4393"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311B86FC" w14:textId="77777777" w:rsidTr="003125D9">
        <w:trPr>
          <w:trHeight w:val="312"/>
        </w:trPr>
        <w:tc>
          <w:tcPr>
            <w:tcW w:w="9072" w:type="dxa"/>
            <w:gridSpan w:val="6"/>
            <w:shd w:val="clear" w:color="auto" w:fill="auto"/>
            <w:tcMar>
              <w:left w:w="57" w:type="dxa"/>
              <w:right w:w="57" w:type="dxa"/>
            </w:tcMar>
          </w:tcPr>
          <w:p w14:paraId="37A7880F" w14:textId="77777777" w:rsidR="003E5BF5" w:rsidRPr="002C5B5D" w:rsidRDefault="003E5BF5" w:rsidP="00DE1921">
            <w:pPr>
              <w:pStyle w:val="TableTextCentre"/>
              <w:spacing w:before="40"/>
              <w:jc w:val="left"/>
              <w:rPr>
                <w:rFonts w:ascii="Arial" w:hAnsi="Arial" w:cs="Arial"/>
                <w:i/>
                <w:color w:val="000000" w:themeColor="text1"/>
                <w:sz w:val="24"/>
                <w:szCs w:val="24"/>
              </w:rPr>
            </w:pPr>
            <w:r w:rsidRPr="002C5B5D">
              <w:rPr>
                <w:rFonts w:ascii="Arial" w:hAnsi="Arial" w:cs="Arial"/>
                <w:i/>
                <w:color w:val="000000" w:themeColor="text1"/>
                <w:sz w:val="24"/>
                <w:szCs w:val="24"/>
              </w:rPr>
              <w:fldChar w:fldCharType="begin"/>
            </w:r>
            <w:r w:rsidRPr="002C5B5D">
              <w:rPr>
                <w:rFonts w:ascii="Arial" w:hAnsi="Arial" w:cs="Arial"/>
                <w:i/>
                <w:color w:val="000000" w:themeColor="text1"/>
                <w:sz w:val="24"/>
                <w:szCs w:val="24"/>
              </w:rPr>
              <w:instrText xml:space="preserve"> MERGEFIELD "M_26" </w:instrText>
            </w:r>
            <w:r w:rsidRPr="002C5B5D">
              <w:rPr>
                <w:rFonts w:ascii="Arial" w:hAnsi="Arial" w:cs="Arial"/>
                <w:i/>
                <w:color w:val="000000" w:themeColor="text1"/>
                <w:sz w:val="24"/>
                <w:szCs w:val="24"/>
              </w:rPr>
              <w:fldChar w:fldCharType="separate"/>
            </w:r>
            <w:r w:rsidRPr="002C5B5D">
              <w:rPr>
                <w:rFonts w:ascii="Arial" w:hAnsi="Arial" w:cs="Arial"/>
                <w:i/>
                <w:color w:val="000000" w:themeColor="text1"/>
                <w:sz w:val="24"/>
                <w:szCs w:val="24"/>
              </w:rPr>
              <w:t>Due to delays</w:t>
            </w:r>
            <w:r w:rsidRPr="002C5B5D">
              <w:rPr>
                <w:rFonts w:ascii="Arial" w:hAnsi="Arial" w:cs="Arial"/>
                <w:i/>
                <w:color w:val="000000" w:themeColor="text1"/>
                <w:sz w:val="24"/>
                <w:szCs w:val="24"/>
              </w:rPr>
              <w:fldChar w:fldCharType="end"/>
            </w:r>
            <w:r w:rsidRPr="002C5B5D">
              <w:rPr>
                <w:rFonts w:ascii="Arial" w:hAnsi="Arial" w:cs="Arial"/>
                <w:i/>
                <w:color w:val="000000" w:themeColor="text1"/>
                <w:sz w:val="24"/>
                <w:szCs w:val="24"/>
              </w:rPr>
              <w:t xml:space="preserve"> associated with stakeholder engagement and scope finalisation.  </w:t>
            </w:r>
          </w:p>
        </w:tc>
      </w:tr>
      <w:tr w:rsidR="003E5BF5" w:rsidRPr="002C5B5D" w14:paraId="25C4B460" w14:textId="77777777" w:rsidTr="003125D9">
        <w:trPr>
          <w:trHeight w:val="312"/>
        </w:trPr>
        <w:tc>
          <w:tcPr>
            <w:tcW w:w="3456" w:type="dxa"/>
            <w:shd w:val="clear" w:color="auto" w:fill="auto"/>
            <w:tcMar>
              <w:left w:w="57" w:type="dxa"/>
              <w:right w:w="57" w:type="dxa"/>
            </w:tcMar>
          </w:tcPr>
          <w:p w14:paraId="08163BBB"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Kilometres of road treated with tactile line marking</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57FE21A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km</w:t>
            </w:r>
            <w:r w:rsidRPr="002C5B5D">
              <w:rPr>
                <w:rFonts w:ascii="Arial" w:hAnsi="Arial" w:cs="Arial"/>
                <w:sz w:val="24"/>
                <w:szCs w:val="24"/>
              </w:rPr>
              <w:fldChar w:fldCharType="end"/>
            </w:r>
          </w:p>
        </w:tc>
        <w:tc>
          <w:tcPr>
            <w:tcW w:w="1070" w:type="dxa"/>
            <w:shd w:val="clear" w:color="auto" w:fill="auto"/>
            <w:tcMar>
              <w:left w:w="57" w:type="dxa"/>
              <w:right w:w="57" w:type="dxa"/>
            </w:tcMar>
          </w:tcPr>
          <w:p w14:paraId="4B5E617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2,277</w:t>
            </w:r>
            <w:r w:rsidRPr="002C5B5D">
              <w:rPr>
                <w:rFonts w:ascii="Arial" w:hAnsi="Arial" w:cs="Arial"/>
                <w:sz w:val="24"/>
                <w:szCs w:val="24"/>
              </w:rPr>
              <w:fldChar w:fldCharType="end"/>
            </w:r>
          </w:p>
        </w:tc>
        <w:tc>
          <w:tcPr>
            <w:tcW w:w="1070" w:type="dxa"/>
            <w:shd w:val="clear" w:color="auto" w:fill="auto"/>
            <w:tcMar>
              <w:left w:w="57" w:type="dxa"/>
              <w:right w:w="57" w:type="dxa"/>
            </w:tcMar>
          </w:tcPr>
          <w:p w14:paraId="7ECD922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2,000</w:t>
            </w:r>
            <w:r w:rsidRPr="002C5B5D">
              <w:rPr>
                <w:rFonts w:ascii="Arial" w:hAnsi="Arial" w:cs="Arial"/>
                <w:sz w:val="24"/>
                <w:szCs w:val="24"/>
              </w:rPr>
              <w:fldChar w:fldCharType="end"/>
            </w:r>
          </w:p>
        </w:tc>
        <w:tc>
          <w:tcPr>
            <w:tcW w:w="1336" w:type="dxa"/>
            <w:shd w:val="clear" w:color="auto" w:fill="auto"/>
            <w:tcMar>
              <w:left w:w="57" w:type="dxa"/>
              <w:right w:w="57" w:type="dxa"/>
            </w:tcMar>
          </w:tcPr>
          <w:p w14:paraId="2F6CDB6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13.9</w:t>
            </w:r>
            <w:r w:rsidRPr="002C5B5D">
              <w:rPr>
                <w:rFonts w:ascii="Arial" w:hAnsi="Arial" w:cs="Arial"/>
                <w:sz w:val="24"/>
                <w:szCs w:val="24"/>
              </w:rPr>
              <w:fldChar w:fldCharType="end"/>
            </w:r>
          </w:p>
        </w:tc>
        <w:tc>
          <w:tcPr>
            <w:tcW w:w="1070" w:type="dxa"/>
            <w:shd w:val="clear" w:color="auto" w:fill="auto"/>
            <w:tcMar>
              <w:left w:w="57" w:type="dxa"/>
              <w:right w:w="57" w:type="dxa"/>
            </w:tcMar>
          </w:tcPr>
          <w:p w14:paraId="7E29D45B"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28DD7A17" w14:textId="77777777" w:rsidTr="003125D9">
        <w:tc>
          <w:tcPr>
            <w:tcW w:w="9072" w:type="dxa"/>
            <w:gridSpan w:val="6"/>
            <w:shd w:val="clear" w:color="auto" w:fill="auto"/>
            <w:tcMar>
              <w:left w:w="57" w:type="dxa"/>
              <w:right w:w="57" w:type="dxa"/>
            </w:tcMar>
          </w:tcPr>
          <w:p w14:paraId="06489089" w14:textId="77777777" w:rsidR="003E5BF5" w:rsidRPr="002C5B5D" w:rsidRDefault="003E5BF5" w:rsidP="00DE1921">
            <w:pPr>
              <w:pStyle w:val="TableTextCentre"/>
              <w:spacing w:before="40"/>
              <w:jc w:val="left"/>
              <w:rPr>
                <w:rFonts w:ascii="Arial" w:hAnsi="Arial" w:cs="Arial"/>
                <w:i/>
                <w:color w:val="000000" w:themeColor="text1"/>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two additional projects approved and delivered. These new projects were not included in the original target but have been delivered in 2019-20.</w:t>
            </w:r>
            <w:r w:rsidRPr="002C5B5D">
              <w:rPr>
                <w:rFonts w:ascii="Arial" w:hAnsi="Arial" w:cs="Arial"/>
                <w:i/>
                <w:sz w:val="24"/>
                <w:szCs w:val="24"/>
              </w:rPr>
              <w:fldChar w:fldCharType="end"/>
            </w:r>
          </w:p>
        </w:tc>
      </w:tr>
      <w:tr w:rsidR="003E5BF5" w:rsidRPr="002C5B5D" w14:paraId="15221548" w14:textId="77777777" w:rsidTr="003125D9">
        <w:trPr>
          <w:trHeight w:val="312"/>
        </w:trPr>
        <w:tc>
          <w:tcPr>
            <w:tcW w:w="3456" w:type="dxa"/>
            <w:shd w:val="clear" w:color="auto" w:fill="auto"/>
            <w:tcMar>
              <w:left w:w="57" w:type="dxa"/>
              <w:right w:w="57" w:type="dxa"/>
            </w:tcMar>
            <w:vAlign w:val="center"/>
          </w:tcPr>
          <w:p w14:paraId="53A17F2C"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Kilometres of safety barrier installed</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7598AB6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km</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7CF36D6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895</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21B8AEB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254</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451328B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252.4</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0B0D37CB"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5A56EBD8" w14:textId="77777777" w:rsidTr="003125D9">
        <w:tc>
          <w:tcPr>
            <w:tcW w:w="9072" w:type="dxa"/>
            <w:gridSpan w:val="6"/>
            <w:shd w:val="clear" w:color="auto" w:fill="auto"/>
            <w:tcMar>
              <w:left w:w="57" w:type="dxa"/>
              <w:right w:w="57" w:type="dxa"/>
            </w:tcMar>
          </w:tcPr>
          <w:p w14:paraId="579716EA"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projects completed ahead of schedule and additional projects not included in the target approved in January and completed by 30 June 2020.</w:t>
            </w:r>
            <w:r w:rsidRPr="002C5B5D">
              <w:rPr>
                <w:rFonts w:ascii="Arial" w:hAnsi="Arial" w:cs="Arial"/>
                <w:i/>
                <w:sz w:val="24"/>
                <w:szCs w:val="24"/>
              </w:rPr>
              <w:fldChar w:fldCharType="end"/>
            </w:r>
          </w:p>
        </w:tc>
      </w:tr>
      <w:tr w:rsidR="003E5BF5" w:rsidRPr="002C5B5D" w14:paraId="7CDF4334" w14:textId="77777777" w:rsidTr="003125D9">
        <w:trPr>
          <w:trHeight w:val="312"/>
        </w:trPr>
        <w:tc>
          <w:tcPr>
            <w:tcW w:w="3456" w:type="dxa"/>
            <w:shd w:val="clear" w:color="auto" w:fill="auto"/>
            <w:tcMar>
              <w:left w:w="57" w:type="dxa"/>
              <w:right w:w="57" w:type="dxa"/>
            </w:tcMar>
          </w:tcPr>
          <w:p w14:paraId="53A29954"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Other minor road improvement projects completed: metropolitan</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1FE11FE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1A90D7F4"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12</w:t>
            </w:r>
          </w:p>
        </w:tc>
        <w:tc>
          <w:tcPr>
            <w:tcW w:w="1070" w:type="dxa"/>
            <w:shd w:val="clear" w:color="auto" w:fill="auto"/>
            <w:tcMar>
              <w:left w:w="57" w:type="dxa"/>
              <w:right w:w="57" w:type="dxa"/>
            </w:tcMar>
          </w:tcPr>
          <w:p w14:paraId="41B95D9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3</w:t>
            </w:r>
            <w:r w:rsidRPr="002C5B5D">
              <w:rPr>
                <w:rFonts w:ascii="Arial" w:hAnsi="Arial" w:cs="Arial"/>
                <w:sz w:val="24"/>
                <w:szCs w:val="24"/>
              </w:rPr>
              <w:fldChar w:fldCharType="end"/>
            </w:r>
          </w:p>
        </w:tc>
        <w:tc>
          <w:tcPr>
            <w:tcW w:w="1336" w:type="dxa"/>
            <w:shd w:val="clear" w:color="auto" w:fill="auto"/>
            <w:tcMar>
              <w:left w:w="57" w:type="dxa"/>
              <w:right w:w="57" w:type="dxa"/>
            </w:tcMar>
          </w:tcPr>
          <w:p w14:paraId="7F495627"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300.0</w:t>
            </w:r>
          </w:p>
        </w:tc>
        <w:tc>
          <w:tcPr>
            <w:tcW w:w="1070" w:type="dxa"/>
            <w:shd w:val="clear" w:color="auto" w:fill="auto"/>
            <w:tcMar>
              <w:left w:w="57" w:type="dxa"/>
              <w:right w:w="57" w:type="dxa"/>
            </w:tcMar>
          </w:tcPr>
          <w:p w14:paraId="3B7B1B9E"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62803B8A" w14:textId="77777777" w:rsidTr="003125D9">
        <w:tc>
          <w:tcPr>
            <w:tcW w:w="9072" w:type="dxa"/>
            <w:gridSpan w:val="6"/>
            <w:shd w:val="clear" w:color="auto" w:fill="auto"/>
            <w:tcMar>
              <w:left w:w="57" w:type="dxa"/>
              <w:right w:w="57" w:type="dxa"/>
            </w:tcMar>
          </w:tcPr>
          <w:p w14:paraId="1C2214AF"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t>Due to additional projects completed in 2019-20 which were not included when setting the original target.</w:t>
            </w:r>
          </w:p>
        </w:tc>
      </w:tr>
      <w:tr w:rsidR="003E5BF5" w:rsidRPr="002C5B5D" w14:paraId="2F96EF48" w14:textId="77777777" w:rsidTr="003125D9">
        <w:trPr>
          <w:trHeight w:val="312"/>
        </w:trPr>
        <w:tc>
          <w:tcPr>
            <w:tcW w:w="3456" w:type="dxa"/>
            <w:shd w:val="clear" w:color="auto" w:fill="auto"/>
            <w:tcMar>
              <w:left w:w="57" w:type="dxa"/>
              <w:right w:w="57" w:type="dxa"/>
            </w:tcMar>
          </w:tcPr>
          <w:p w14:paraId="6C78FF49"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Other minor road improvement projects completed: regional</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78E691C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40733551"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93</w:t>
            </w:r>
          </w:p>
        </w:tc>
        <w:tc>
          <w:tcPr>
            <w:tcW w:w="1070" w:type="dxa"/>
            <w:shd w:val="clear" w:color="auto" w:fill="auto"/>
            <w:tcMar>
              <w:left w:w="57" w:type="dxa"/>
              <w:right w:w="57" w:type="dxa"/>
            </w:tcMar>
          </w:tcPr>
          <w:p w14:paraId="1ED13CE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5</w:t>
            </w:r>
            <w:r w:rsidRPr="002C5B5D">
              <w:rPr>
                <w:rFonts w:ascii="Arial" w:hAnsi="Arial" w:cs="Arial"/>
                <w:sz w:val="24"/>
                <w:szCs w:val="24"/>
              </w:rPr>
              <w:fldChar w:fldCharType="end"/>
            </w:r>
          </w:p>
        </w:tc>
        <w:tc>
          <w:tcPr>
            <w:tcW w:w="1336" w:type="dxa"/>
            <w:shd w:val="clear" w:color="auto" w:fill="auto"/>
            <w:tcMar>
              <w:left w:w="57" w:type="dxa"/>
              <w:right w:w="57" w:type="dxa"/>
            </w:tcMar>
          </w:tcPr>
          <w:p w14:paraId="5C1ACAB4"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1760.0</w:t>
            </w:r>
          </w:p>
        </w:tc>
        <w:tc>
          <w:tcPr>
            <w:tcW w:w="1070" w:type="dxa"/>
            <w:shd w:val="clear" w:color="auto" w:fill="auto"/>
            <w:tcMar>
              <w:left w:w="57" w:type="dxa"/>
              <w:right w:w="57" w:type="dxa"/>
            </w:tcMar>
          </w:tcPr>
          <w:p w14:paraId="0ADF323C"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0DD3D5A5" w14:textId="77777777" w:rsidTr="003125D9">
        <w:tc>
          <w:tcPr>
            <w:tcW w:w="9072" w:type="dxa"/>
            <w:gridSpan w:val="6"/>
            <w:shd w:val="clear" w:color="auto" w:fill="auto"/>
            <w:tcMar>
              <w:left w:w="57" w:type="dxa"/>
              <w:right w:w="57" w:type="dxa"/>
            </w:tcMar>
          </w:tcPr>
          <w:p w14:paraId="4C665B92"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t>Due to additional projects completed in 2019-20 which were not included when setting the original target.</w:t>
            </w:r>
          </w:p>
        </w:tc>
      </w:tr>
      <w:tr w:rsidR="003E5BF5" w:rsidRPr="002C5B5D" w14:paraId="59BC18BC" w14:textId="77777777" w:rsidTr="003125D9">
        <w:trPr>
          <w:trHeight w:val="312"/>
        </w:trPr>
        <w:tc>
          <w:tcPr>
            <w:tcW w:w="3456" w:type="dxa"/>
            <w:shd w:val="clear" w:color="auto" w:fill="auto"/>
            <w:tcMar>
              <w:left w:w="57" w:type="dxa"/>
              <w:right w:w="57" w:type="dxa"/>
            </w:tcMar>
            <w:vAlign w:val="center"/>
          </w:tcPr>
          <w:p w14:paraId="12B7DA1C"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Pedestrian projects completed</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32371C5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074824D5"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12</w:t>
            </w:r>
          </w:p>
        </w:tc>
        <w:tc>
          <w:tcPr>
            <w:tcW w:w="1070" w:type="dxa"/>
            <w:shd w:val="clear" w:color="auto" w:fill="auto"/>
            <w:tcMar>
              <w:left w:w="57" w:type="dxa"/>
              <w:right w:w="57" w:type="dxa"/>
            </w:tcMar>
            <w:vAlign w:val="center"/>
          </w:tcPr>
          <w:p w14:paraId="75B9BB5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71541E9D"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20.0</w:t>
            </w:r>
          </w:p>
        </w:tc>
        <w:tc>
          <w:tcPr>
            <w:tcW w:w="1070" w:type="dxa"/>
            <w:shd w:val="clear" w:color="auto" w:fill="auto"/>
            <w:tcMar>
              <w:left w:w="57" w:type="dxa"/>
              <w:right w:w="57" w:type="dxa"/>
            </w:tcMar>
            <w:vAlign w:val="center"/>
          </w:tcPr>
          <w:p w14:paraId="4327678B"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4C2FA046" w14:textId="77777777" w:rsidTr="003125D9">
        <w:tc>
          <w:tcPr>
            <w:tcW w:w="9072" w:type="dxa"/>
            <w:gridSpan w:val="6"/>
            <w:shd w:val="clear" w:color="auto" w:fill="auto"/>
            <w:tcMar>
              <w:left w:w="57" w:type="dxa"/>
              <w:right w:w="57" w:type="dxa"/>
            </w:tcMar>
          </w:tcPr>
          <w:p w14:paraId="200DCAF3"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t>Due to additional projects completed in 2019-20 which were not included when setting the original target.</w:t>
            </w:r>
          </w:p>
        </w:tc>
      </w:tr>
      <w:tr w:rsidR="003E5BF5" w:rsidRPr="002C5B5D" w14:paraId="4C555FDD" w14:textId="77777777" w:rsidTr="003125D9">
        <w:trPr>
          <w:trHeight w:val="312"/>
        </w:trPr>
        <w:tc>
          <w:tcPr>
            <w:tcW w:w="3456" w:type="dxa"/>
            <w:shd w:val="clear" w:color="auto" w:fill="auto"/>
            <w:tcMar>
              <w:left w:w="57" w:type="dxa"/>
              <w:right w:w="57" w:type="dxa"/>
            </w:tcMar>
            <w:vAlign w:val="center"/>
          </w:tcPr>
          <w:p w14:paraId="5A2468A8"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lastRenderedPageBreak/>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safety initiatives completed</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41CFDCF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5E5C7A5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71</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1CCF606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45</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5AB2641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57.8</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08B61522"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26D5F43E" w14:textId="77777777" w:rsidTr="003125D9">
        <w:tc>
          <w:tcPr>
            <w:tcW w:w="9072" w:type="dxa"/>
            <w:gridSpan w:val="6"/>
            <w:shd w:val="clear" w:color="auto" w:fill="auto"/>
            <w:tcMar>
              <w:left w:w="57" w:type="dxa"/>
              <w:right w:w="57" w:type="dxa"/>
            </w:tcMar>
          </w:tcPr>
          <w:p w14:paraId="024B8911"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the Safer Roads Steering Committee approving a number of new safety projects under the Towards Zero Strategy in early 2020. These new projects were not included in the original target but have been delivered in 2019-20.</w:t>
            </w:r>
            <w:r w:rsidRPr="002C5B5D">
              <w:rPr>
                <w:rFonts w:ascii="Arial" w:hAnsi="Arial" w:cs="Arial"/>
                <w:i/>
                <w:sz w:val="24"/>
                <w:szCs w:val="24"/>
              </w:rPr>
              <w:fldChar w:fldCharType="end"/>
            </w:r>
          </w:p>
        </w:tc>
      </w:tr>
      <w:tr w:rsidR="003E5BF5" w:rsidRPr="002C5B5D" w14:paraId="4A483D98" w14:textId="77777777" w:rsidTr="003125D9">
        <w:trPr>
          <w:trHeight w:val="312"/>
        </w:trPr>
        <w:tc>
          <w:tcPr>
            <w:tcW w:w="3456" w:type="dxa"/>
            <w:shd w:val="clear" w:color="auto" w:fill="auto"/>
            <w:tcMar>
              <w:left w:w="57" w:type="dxa"/>
              <w:right w:w="57" w:type="dxa"/>
            </w:tcMar>
          </w:tcPr>
          <w:p w14:paraId="7907C8A9"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vehicle and driver regulation: driver licences renewed</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3AA9FFF1"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 (000)</w:t>
            </w:r>
            <w:r w:rsidRPr="002C5B5D">
              <w:rPr>
                <w:rFonts w:ascii="Arial" w:hAnsi="Arial" w:cs="Arial"/>
                <w:sz w:val="24"/>
                <w:szCs w:val="24"/>
              </w:rPr>
              <w:fldChar w:fldCharType="end"/>
            </w:r>
          </w:p>
        </w:tc>
        <w:tc>
          <w:tcPr>
            <w:tcW w:w="1070" w:type="dxa"/>
            <w:shd w:val="clear" w:color="auto" w:fill="auto"/>
            <w:tcMar>
              <w:left w:w="57" w:type="dxa"/>
              <w:right w:w="57" w:type="dxa"/>
            </w:tcMar>
          </w:tcPr>
          <w:p w14:paraId="26CCA6D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700</w:t>
            </w:r>
            <w:r w:rsidRPr="002C5B5D">
              <w:rPr>
                <w:rFonts w:ascii="Arial" w:hAnsi="Arial" w:cs="Arial"/>
                <w:sz w:val="24"/>
                <w:szCs w:val="24"/>
              </w:rPr>
              <w:fldChar w:fldCharType="end"/>
            </w:r>
          </w:p>
        </w:tc>
        <w:tc>
          <w:tcPr>
            <w:tcW w:w="1070" w:type="dxa"/>
            <w:shd w:val="clear" w:color="auto" w:fill="auto"/>
            <w:tcMar>
              <w:left w:w="57" w:type="dxa"/>
              <w:right w:w="57" w:type="dxa"/>
            </w:tcMar>
          </w:tcPr>
          <w:p w14:paraId="1428EA8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710</w:t>
            </w:r>
            <w:r w:rsidRPr="002C5B5D">
              <w:rPr>
                <w:rFonts w:ascii="Arial" w:hAnsi="Arial" w:cs="Arial"/>
                <w:sz w:val="24"/>
                <w:szCs w:val="24"/>
              </w:rPr>
              <w:fldChar w:fldCharType="end"/>
            </w:r>
          </w:p>
        </w:tc>
        <w:tc>
          <w:tcPr>
            <w:tcW w:w="1336" w:type="dxa"/>
            <w:shd w:val="clear" w:color="auto" w:fill="auto"/>
            <w:tcMar>
              <w:left w:w="57" w:type="dxa"/>
              <w:right w:w="57" w:type="dxa"/>
            </w:tcMar>
          </w:tcPr>
          <w:p w14:paraId="00BA433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-1.4</w:t>
            </w:r>
            <w:r w:rsidRPr="002C5B5D">
              <w:rPr>
                <w:rFonts w:ascii="Arial" w:hAnsi="Arial" w:cs="Arial"/>
                <w:sz w:val="24"/>
                <w:szCs w:val="24"/>
              </w:rPr>
              <w:fldChar w:fldCharType="end"/>
            </w:r>
          </w:p>
        </w:tc>
        <w:tc>
          <w:tcPr>
            <w:tcW w:w="1070" w:type="dxa"/>
            <w:shd w:val="clear" w:color="auto" w:fill="auto"/>
            <w:tcMar>
              <w:left w:w="57" w:type="dxa"/>
              <w:right w:w="57" w:type="dxa"/>
            </w:tcMar>
          </w:tcPr>
          <w:p w14:paraId="04B26137"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35F0768B" w14:textId="77777777" w:rsidTr="003125D9">
        <w:trPr>
          <w:trHeight w:val="312"/>
        </w:trPr>
        <w:tc>
          <w:tcPr>
            <w:tcW w:w="3456" w:type="dxa"/>
            <w:shd w:val="clear" w:color="auto" w:fill="auto"/>
            <w:tcMar>
              <w:left w:w="57" w:type="dxa"/>
              <w:right w:w="57" w:type="dxa"/>
            </w:tcMar>
          </w:tcPr>
          <w:p w14:paraId="506FC18C"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vehicle and driver regulation: new driver licences issued</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6A6103D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 (000)</w:t>
            </w:r>
            <w:r w:rsidRPr="002C5B5D">
              <w:rPr>
                <w:rFonts w:ascii="Arial" w:hAnsi="Arial" w:cs="Arial"/>
                <w:sz w:val="24"/>
                <w:szCs w:val="24"/>
              </w:rPr>
              <w:fldChar w:fldCharType="end"/>
            </w:r>
          </w:p>
        </w:tc>
        <w:tc>
          <w:tcPr>
            <w:tcW w:w="1070" w:type="dxa"/>
            <w:shd w:val="clear" w:color="auto" w:fill="auto"/>
            <w:tcMar>
              <w:left w:w="57" w:type="dxa"/>
              <w:right w:w="57" w:type="dxa"/>
            </w:tcMar>
          </w:tcPr>
          <w:p w14:paraId="26DCD26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172</w:t>
            </w:r>
            <w:r w:rsidRPr="002C5B5D">
              <w:rPr>
                <w:rFonts w:ascii="Arial" w:hAnsi="Arial" w:cs="Arial"/>
                <w:sz w:val="24"/>
                <w:szCs w:val="24"/>
              </w:rPr>
              <w:fldChar w:fldCharType="end"/>
            </w:r>
          </w:p>
        </w:tc>
        <w:tc>
          <w:tcPr>
            <w:tcW w:w="1070" w:type="dxa"/>
            <w:shd w:val="clear" w:color="auto" w:fill="auto"/>
            <w:tcMar>
              <w:left w:w="57" w:type="dxa"/>
              <w:right w:w="57" w:type="dxa"/>
            </w:tcMar>
          </w:tcPr>
          <w:p w14:paraId="008092F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184</w:t>
            </w:r>
            <w:r w:rsidRPr="002C5B5D">
              <w:rPr>
                <w:rFonts w:ascii="Arial" w:hAnsi="Arial" w:cs="Arial"/>
                <w:sz w:val="24"/>
                <w:szCs w:val="24"/>
              </w:rPr>
              <w:fldChar w:fldCharType="end"/>
            </w:r>
          </w:p>
        </w:tc>
        <w:tc>
          <w:tcPr>
            <w:tcW w:w="1336" w:type="dxa"/>
            <w:shd w:val="clear" w:color="auto" w:fill="auto"/>
            <w:tcMar>
              <w:left w:w="57" w:type="dxa"/>
              <w:right w:w="57" w:type="dxa"/>
            </w:tcMar>
          </w:tcPr>
          <w:p w14:paraId="5F929D2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-6.5</w:t>
            </w:r>
            <w:r w:rsidRPr="002C5B5D">
              <w:rPr>
                <w:rFonts w:ascii="Arial" w:hAnsi="Arial" w:cs="Arial"/>
                <w:sz w:val="24"/>
                <w:szCs w:val="24"/>
              </w:rPr>
              <w:fldChar w:fldCharType="end"/>
            </w:r>
          </w:p>
        </w:tc>
        <w:tc>
          <w:tcPr>
            <w:tcW w:w="1070" w:type="dxa"/>
            <w:shd w:val="clear" w:color="auto" w:fill="auto"/>
            <w:tcMar>
              <w:left w:w="57" w:type="dxa"/>
              <w:right w:w="57" w:type="dxa"/>
            </w:tcMar>
          </w:tcPr>
          <w:p w14:paraId="16A43E23"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5FE0FEC0" w14:textId="77777777" w:rsidTr="003125D9">
        <w:tc>
          <w:tcPr>
            <w:tcW w:w="9072" w:type="dxa"/>
            <w:gridSpan w:val="6"/>
            <w:shd w:val="clear" w:color="auto" w:fill="auto"/>
            <w:tcMar>
              <w:left w:w="57" w:type="dxa"/>
              <w:right w:w="57" w:type="dxa"/>
            </w:tcMar>
          </w:tcPr>
          <w:p w14:paraId="65008451"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the suspension of all light vehicle drive tests and computer-based licence tests as a result of coronavirus (COVID-19).</w:t>
            </w:r>
            <w:r w:rsidRPr="002C5B5D">
              <w:rPr>
                <w:rFonts w:ascii="Arial" w:hAnsi="Arial" w:cs="Arial"/>
                <w:i/>
                <w:sz w:val="24"/>
                <w:szCs w:val="24"/>
              </w:rPr>
              <w:fldChar w:fldCharType="end"/>
            </w:r>
          </w:p>
        </w:tc>
      </w:tr>
      <w:tr w:rsidR="003E5BF5" w:rsidRPr="002C5B5D" w14:paraId="6EDD8A37" w14:textId="77777777" w:rsidTr="003125D9">
        <w:trPr>
          <w:trHeight w:val="312"/>
        </w:trPr>
        <w:tc>
          <w:tcPr>
            <w:tcW w:w="3456" w:type="dxa"/>
            <w:shd w:val="clear" w:color="auto" w:fill="auto"/>
            <w:tcMar>
              <w:left w:w="57" w:type="dxa"/>
              <w:right w:w="57" w:type="dxa"/>
            </w:tcMar>
          </w:tcPr>
          <w:p w14:paraId="5599F818"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vehicle and driver regulation: new vehicle registrations issued</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0ECFA39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 (000)</w:t>
            </w:r>
            <w:r w:rsidRPr="002C5B5D">
              <w:rPr>
                <w:rFonts w:ascii="Arial" w:hAnsi="Arial" w:cs="Arial"/>
                <w:sz w:val="24"/>
                <w:szCs w:val="24"/>
              </w:rPr>
              <w:fldChar w:fldCharType="end"/>
            </w:r>
          </w:p>
        </w:tc>
        <w:tc>
          <w:tcPr>
            <w:tcW w:w="1070" w:type="dxa"/>
            <w:shd w:val="clear" w:color="auto" w:fill="auto"/>
            <w:tcMar>
              <w:left w:w="57" w:type="dxa"/>
              <w:right w:w="57" w:type="dxa"/>
            </w:tcMar>
          </w:tcPr>
          <w:p w14:paraId="4EC3766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550</w:t>
            </w:r>
            <w:r w:rsidRPr="002C5B5D">
              <w:rPr>
                <w:rFonts w:ascii="Arial" w:hAnsi="Arial" w:cs="Arial"/>
                <w:sz w:val="24"/>
                <w:szCs w:val="24"/>
              </w:rPr>
              <w:fldChar w:fldCharType="end"/>
            </w:r>
          </w:p>
        </w:tc>
        <w:tc>
          <w:tcPr>
            <w:tcW w:w="1070" w:type="dxa"/>
            <w:shd w:val="clear" w:color="auto" w:fill="auto"/>
            <w:tcMar>
              <w:left w:w="57" w:type="dxa"/>
              <w:right w:w="57" w:type="dxa"/>
            </w:tcMar>
          </w:tcPr>
          <w:p w14:paraId="3BA311A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630</w:t>
            </w:r>
            <w:r w:rsidRPr="002C5B5D">
              <w:rPr>
                <w:rFonts w:ascii="Arial" w:hAnsi="Arial" w:cs="Arial"/>
                <w:sz w:val="24"/>
                <w:szCs w:val="24"/>
              </w:rPr>
              <w:fldChar w:fldCharType="end"/>
            </w:r>
          </w:p>
        </w:tc>
        <w:tc>
          <w:tcPr>
            <w:tcW w:w="1336" w:type="dxa"/>
            <w:shd w:val="clear" w:color="auto" w:fill="auto"/>
            <w:tcMar>
              <w:left w:w="57" w:type="dxa"/>
              <w:right w:w="57" w:type="dxa"/>
            </w:tcMar>
          </w:tcPr>
          <w:p w14:paraId="79E84C1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-12.7</w:t>
            </w:r>
            <w:r w:rsidRPr="002C5B5D">
              <w:rPr>
                <w:rFonts w:ascii="Arial" w:hAnsi="Arial" w:cs="Arial"/>
                <w:sz w:val="24"/>
                <w:szCs w:val="24"/>
              </w:rPr>
              <w:fldChar w:fldCharType="end"/>
            </w:r>
          </w:p>
        </w:tc>
        <w:tc>
          <w:tcPr>
            <w:tcW w:w="1070" w:type="dxa"/>
            <w:shd w:val="clear" w:color="auto" w:fill="auto"/>
            <w:tcMar>
              <w:left w:w="57" w:type="dxa"/>
              <w:right w:w="57" w:type="dxa"/>
            </w:tcMar>
          </w:tcPr>
          <w:p w14:paraId="5FBCF3B0"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27F2B258" w14:textId="77777777" w:rsidTr="003125D9">
        <w:tc>
          <w:tcPr>
            <w:tcW w:w="9072" w:type="dxa"/>
            <w:gridSpan w:val="6"/>
            <w:shd w:val="clear" w:color="auto" w:fill="auto"/>
            <w:tcMar>
              <w:left w:w="57" w:type="dxa"/>
              <w:right w:w="57" w:type="dxa"/>
            </w:tcMar>
          </w:tcPr>
          <w:p w14:paraId="440C53AB"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a decline in new car sales with sales significantly lower during the coronavirus (COVID-19) response.</w:t>
            </w:r>
            <w:r w:rsidRPr="002C5B5D">
              <w:rPr>
                <w:rFonts w:ascii="Arial" w:hAnsi="Arial" w:cs="Arial"/>
                <w:i/>
                <w:sz w:val="24"/>
                <w:szCs w:val="24"/>
              </w:rPr>
              <w:fldChar w:fldCharType="end"/>
            </w:r>
          </w:p>
        </w:tc>
      </w:tr>
      <w:tr w:rsidR="003E5BF5" w:rsidRPr="002C5B5D" w14:paraId="2DE29989" w14:textId="77777777" w:rsidTr="003125D9">
        <w:trPr>
          <w:trHeight w:val="312"/>
        </w:trPr>
        <w:tc>
          <w:tcPr>
            <w:tcW w:w="9072" w:type="dxa"/>
            <w:gridSpan w:val="6"/>
            <w:shd w:val="clear" w:color="auto" w:fill="auto"/>
            <w:tcMar>
              <w:left w:w="57" w:type="dxa"/>
              <w:right w:w="57" w:type="dxa"/>
            </w:tcMar>
          </w:tcPr>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1070"/>
              <w:gridCol w:w="1070"/>
              <w:gridCol w:w="1070"/>
              <w:gridCol w:w="1336"/>
              <w:gridCol w:w="1070"/>
            </w:tblGrid>
            <w:tr w:rsidR="003E5BF5" w:rsidRPr="002C5B5D" w14:paraId="67B801BF" w14:textId="77777777" w:rsidTr="00DF73AA">
              <w:trPr>
                <w:trHeight w:val="284"/>
              </w:trPr>
              <w:tc>
                <w:tcPr>
                  <w:tcW w:w="3456" w:type="dxa"/>
                  <w:tcMar>
                    <w:left w:w="57" w:type="dxa"/>
                    <w:right w:w="57" w:type="dxa"/>
                  </w:tcMar>
                </w:tcPr>
                <w:p w14:paraId="24B0B10A"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vehicle and driver regulation: vehicle and driver information requests, including toll operator and council requests, processed</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298482A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 (000)</w:t>
                  </w:r>
                  <w:r w:rsidRPr="002C5B5D">
                    <w:rPr>
                      <w:rFonts w:ascii="Arial" w:hAnsi="Arial" w:cs="Arial"/>
                      <w:sz w:val="24"/>
                      <w:szCs w:val="24"/>
                    </w:rPr>
                    <w:fldChar w:fldCharType="end"/>
                  </w:r>
                </w:p>
              </w:tc>
              <w:tc>
                <w:tcPr>
                  <w:tcW w:w="1070" w:type="dxa"/>
                  <w:shd w:val="clear" w:color="auto" w:fill="auto"/>
                  <w:tcMar>
                    <w:left w:w="57" w:type="dxa"/>
                    <w:right w:w="57" w:type="dxa"/>
                  </w:tcMar>
                </w:tcPr>
                <w:p w14:paraId="5B953F7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3,439</w:t>
                  </w:r>
                  <w:r w:rsidRPr="002C5B5D">
                    <w:rPr>
                      <w:rFonts w:ascii="Arial" w:hAnsi="Arial" w:cs="Arial"/>
                      <w:sz w:val="24"/>
                      <w:szCs w:val="24"/>
                    </w:rPr>
                    <w:fldChar w:fldCharType="end"/>
                  </w:r>
                </w:p>
              </w:tc>
              <w:tc>
                <w:tcPr>
                  <w:tcW w:w="1070" w:type="dxa"/>
                  <w:tcMar>
                    <w:left w:w="57" w:type="dxa"/>
                    <w:right w:w="57" w:type="dxa"/>
                  </w:tcMar>
                </w:tcPr>
                <w:p w14:paraId="07AFDF2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3,900</w:t>
                  </w:r>
                  <w:r w:rsidRPr="002C5B5D">
                    <w:rPr>
                      <w:rFonts w:ascii="Arial" w:hAnsi="Arial" w:cs="Arial"/>
                      <w:sz w:val="24"/>
                      <w:szCs w:val="24"/>
                    </w:rPr>
                    <w:fldChar w:fldCharType="end"/>
                  </w:r>
                </w:p>
              </w:tc>
              <w:tc>
                <w:tcPr>
                  <w:tcW w:w="1336" w:type="dxa"/>
                  <w:tcMar>
                    <w:left w:w="57" w:type="dxa"/>
                    <w:right w:w="57" w:type="dxa"/>
                  </w:tcMar>
                </w:tcPr>
                <w:p w14:paraId="0110430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-11.8</w:t>
                  </w:r>
                  <w:r w:rsidRPr="002C5B5D">
                    <w:rPr>
                      <w:rFonts w:ascii="Arial" w:hAnsi="Arial" w:cs="Arial"/>
                      <w:sz w:val="24"/>
                      <w:szCs w:val="24"/>
                    </w:rPr>
                    <w:fldChar w:fldCharType="end"/>
                  </w:r>
                </w:p>
              </w:tc>
              <w:tc>
                <w:tcPr>
                  <w:tcW w:w="1070" w:type="dxa"/>
                  <w:shd w:val="clear" w:color="auto" w:fill="auto"/>
                  <w:tcMar>
                    <w:left w:w="57" w:type="dxa"/>
                    <w:right w:w="57" w:type="dxa"/>
                  </w:tcMar>
                </w:tcPr>
                <w:p w14:paraId="67E8C41A"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2924174E" w14:textId="77777777" w:rsidTr="00DE1921">
              <w:tc>
                <w:tcPr>
                  <w:tcW w:w="9072" w:type="dxa"/>
                  <w:gridSpan w:val="6"/>
                  <w:tcMar>
                    <w:left w:w="57" w:type="dxa"/>
                    <w:right w:w="57" w:type="dxa"/>
                  </w:tcMar>
                </w:tcPr>
                <w:p w14:paraId="1927DBB3"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a reduction in the number of requests received as a result of the coronavirus (COVID-19) response.</w:t>
                  </w:r>
                  <w:r w:rsidRPr="002C5B5D">
                    <w:rPr>
                      <w:rFonts w:ascii="Arial" w:hAnsi="Arial" w:cs="Arial"/>
                      <w:i/>
                      <w:sz w:val="24"/>
                      <w:szCs w:val="24"/>
                    </w:rPr>
                    <w:fldChar w:fldCharType="end"/>
                  </w:r>
                </w:p>
              </w:tc>
            </w:tr>
          </w:tbl>
          <w:p w14:paraId="689EC46E" w14:textId="77777777" w:rsidR="003E5BF5" w:rsidRPr="002C5B5D" w:rsidRDefault="003E5BF5" w:rsidP="00DE1921">
            <w:pPr>
              <w:pStyle w:val="TableTextCentre"/>
              <w:spacing w:before="40"/>
              <w:jc w:val="left"/>
              <w:rPr>
                <w:rFonts w:ascii="Arial" w:hAnsi="Arial" w:cs="Arial"/>
                <w:b/>
                <w:sz w:val="24"/>
                <w:szCs w:val="24"/>
              </w:rPr>
            </w:pPr>
          </w:p>
        </w:tc>
      </w:tr>
    </w:tbl>
    <w:p w14:paraId="6928F3FC" w14:textId="77777777" w:rsidR="003E5BF5" w:rsidRDefault="003E5BF5" w:rsidP="00DE1921">
      <w:pPr>
        <w:pStyle w:val="Note"/>
        <w:sectPr w:rsidR="003E5BF5" w:rsidSect="00DE1921">
          <w:pgSz w:w="11906" w:h="16838"/>
          <w:pgMar w:top="1701" w:right="1418" w:bottom="1418" w:left="1418" w:header="709" w:footer="709" w:gutter="0"/>
          <w:cols w:space="284"/>
          <w:docGrid w:linePitch="360"/>
        </w:sectPr>
      </w:pPr>
    </w:p>
    <w:p w14:paraId="6324F4DE" w14:textId="77777777" w:rsidR="003E5BF5" w:rsidRPr="002C5B5D" w:rsidRDefault="003E5BF5" w:rsidP="00CF74EB">
      <w:pPr>
        <w:pStyle w:val="TableHeader"/>
      </w:pPr>
      <w:r w:rsidRPr="002C5B5D">
        <w:lastRenderedPageBreak/>
        <w:t xml:space="preserve">Road Operations </w:t>
      </w:r>
      <w:r w:rsidRPr="002C5B5D">
        <w:rPr>
          <w:i/>
        </w:rPr>
        <w:t>continued</w:t>
      </w:r>
    </w:p>
    <w:tbl>
      <w:tblPr>
        <w:tblStyle w:val="TableGrid"/>
        <w:tblW w:w="8717" w:type="dxa"/>
        <w:tblCellMar>
          <w:left w:w="28" w:type="dxa"/>
          <w:right w:w="28" w:type="dxa"/>
        </w:tblCellMar>
        <w:tblLook w:val="04A0" w:firstRow="1" w:lastRow="0" w:firstColumn="1" w:lastColumn="0" w:noHBand="0" w:noVBand="1"/>
      </w:tblPr>
      <w:tblGrid>
        <w:gridCol w:w="2985"/>
        <w:gridCol w:w="1020"/>
        <w:gridCol w:w="982"/>
        <w:gridCol w:w="982"/>
        <w:gridCol w:w="1460"/>
        <w:gridCol w:w="967"/>
        <w:gridCol w:w="321"/>
      </w:tblGrid>
      <w:tr w:rsidR="003E5BF5" w:rsidRPr="00382F6B" w14:paraId="6C6A119B" w14:textId="77777777" w:rsidTr="003963BF">
        <w:trPr>
          <w:gridAfter w:val="1"/>
          <w:wAfter w:w="354" w:type="dxa"/>
          <w:trHeight w:val="340"/>
          <w:tblHeader/>
        </w:trPr>
        <w:tc>
          <w:tcPr>
            <w:tcW w:w="3171" w:type="dxa"/>
            <w:shd w:val="clear" w:color="auto" w:fill="auto"/>
            <w:tcMar>
              <w:left w:w="57" w:type="dxa"/>
              <w:right w:w="57" w:type="dxa"/>
            </w:tcMar>
          </w:tcPr>
          <w:p w14:paraId="1BD2DF30" w14:textId="77777777" w:rsidR="003E5BF5" w:rsidRPr="00382F6B" w:rsidRDefault="003E5BF5" w:rsidP="00DE1921">
            <w:pPr>
              <w:pStyle w:val="TableTextLeftBold"/>
              <w:rPr>
                <w:rFonts w:ascii="Arial" w:hAnsi="Arial" w:cs="Arial"/>
                <w:sz w:val="22"/>
              </w:rPr>
            </w:pPr>
            <w:r w:rsidRPr="00382F6B">
              <w:rPr>
                <w:rFonts w:ascii="Arial" w:hAnsi="Arial" w:cs="Arial"/>
                <w:sz w:val="22"/>
              </w:rPr>
              <w:t>Performance measures</w:t>
            </w:r>
          </w:p>
        </w:tc>
        <w:tc>
          <w:tcPr>
            <w:tcW w:w="990" w:type="dxa"/>
            <w:shd w:val="clear" w:color="auto" w:fill="auto"/>
            <w:tcMar>
              <w:left w:w="57" w:type="dxa"/>
              <w:right w:w="57" w:type="dxa"/>
            </w:tcMar>
          </w:tcPr>
          <w:p w14:paraId="03C8F58E" w14:textId="77777777" w:rsidR="003E5BF5" w:rsidRPr="00382F6B" w:rsidRDefault="003E5BF5" w:rsidP="00DE1921">
            <w:pPr>
              <w:pStyle w:val="TableTextRightBold"/>
              <w:rPr>
                <w:rFonts w:ascii="Arial" w:hAnsi="Arial" w:cs="Arial"/>
                <w:sz w:val="22"/>
              </w:rPr>
            </w:pPr>
            <w:r w:rsidRPr="00382F6B">
              <w:rPr>
                <w:rFonts w:ascii="Arial" w:hAnsi="Arial" w:cs="Arial"/>
                <w:sz w:val="22"/>
              </w:rPr>
              <w:t>unit of measure</w:t>
            </w:r>
          </w:p>
        </w:tc>
        <w:tc>
          <w:tcPr>
            <w:tcW w:w="990" w:type="dxa"/>
            <w:shd w:val="clear" w:color="auto" w:fill="auto"/>
            <w:tcMar>
              <w:left w:w="57" w:type="dxa"/>
              <w:right w:w="57" w:type="dxa"/>
            </w:tcMar>
          </w:tcPr>
          <w:p w14:paraId="4F80F624" w14:textId="77777777" w:rsidR="003E5BF5" w:rsidRPr="00382F6B" w:rsidRDefault="003E5BF5" w:rsidP="00DE1921">
            <w:pPr>
              <w:pStyle w:val="TableTextRightBold"/>
              <w:rPr>
                <w:rFonts w:ascii="Arial" w:hAnsi="Arial" w:cs="Arial"/>
                <w:sz w:val="22"/>
              </w:rPr>
            </w:pPr>
            <w:r w:rsidRPr="00382F6B">
              <w:rPr>
                <w:rFonts w:ascii="Arial" w:hAnsi="Arial" w:cs="Arial"/>
                <w:sz w:val="22"/>
              </w:rPr>
              <w:t>2019-20 actual</w:t>
            </w:r>
          </w:p>
        </w:tc>
        <w:tc>
          <w:tcPr>
            <w:tcW w:w="990" w:type="dxa"/>
            <w:shd w:val="clear" w:color="auto" w:fill="auto"/>
            <w:tcMar>
              <w:left w:w="57" w:type="dxa"/>
              <w:right w:w="57" w:type="dxa"/>
            </w:tcMar>
          </w:tcPr>
          <w:p w14:paraId="216FADB4" w14:textId="77777777" w:rsidR="003E5BF5" w:rsidRPr="00382F6B" w:rsidRDefault="003E5BF5" w:rsidP="00DE1921">
            <w:pPr>
              <w:pStyle w:val="TableTextRightBold"/>
              <w:rPr>
                <w:rFonts w:ascii="Arial" w:hAnsi="Arial" w:cs="Arial"/>
                <w:sz w:val="22"/>
              </w:rPr>
            </w:pPr>
            <w:r w:rsidRPr="00382F6B">
              <w:rPr>
                <w:rFonts w:ascii="Arial" w:hAnsi="Arial" w:cs="Arial"/>
                <w:sz w:val="22"/>
              </w:rPr>
              <w:t>2019-20 target</w:t>
            </w:r>
          </w:p>
        </w:tc>
        <w:tc>
          <w:tcPr>
            <w:tcW w:w="1232" w:type="dxa"/>
            <w:shd w:val="clear" w:color="auto" w:fill="auto"/>
            <w:tcMar>
              <w:left w:w="57" w:type="dxa"/>
              <w:right w:w="57" w:type="dxa"/>
            </w:tcMar>
          </w:tcPr>
          <w:p w14:paraId="54679813" w14:textId="77777777" w:rsidR="003E5BF5" w:rsidRPr="00382F6B" w:rsidRDefault="003E5BF5" w:rsidP="00DE1921">
            <w:pPr>
              <w:pStyle w:val="TableTextRightBold"/>
              <w:rPr>
                <w:rFonts w:ascii="Arial" w:hAnsi="Arial" w:cs="Arial"/>
                <w:sz w:val="22"/>
              </w:rPr>
            </w:pPr>
            <w:r w:rsidRPr="00382F6B">
              <w:rPr>
                <w:rFonts w:ascii="Arial" w:hAnsi="Arial" w:cs="Arial"/>
                <w:sz w:val="22"/>
              </w:rPr>
              <w:t>Performance variation (%)</w:t>
            </w:r>
          </w:p>
        </w:tc>
        <w:tc>
          <w:tcPr>
            <w:tcW w:w="990" w:type="dxa"/>
            <w:shd w:val="clear" w:color="auto" w:fill="auto"/>
            <w:tcMar>
              <w:left w:w="57" w:type="dxa"/>
              <w:right w:w="57" w:type="dxa"/>
            </w:tcMar>
          </w:tcPr>
          <w:p w14:paraId="2541E7E5" w14:textId="77777777" w:rsidR="003E5BF5" w:rsidRPr="00382F6B" w:rsidRDefault="003E5BF5" w:rsidP="00DE1921">
            <w:pPr>
              <w:pStyle w:val="TableTextRightBold"/>
              <w:rPr>
                <w:rFonts w:ascii="Arial" w:hAnsi="Arial" w:cs="Arial"/>
                <w:sz w:val="22"/>
              </w:rPr>
            </w:pPr>
            <w:r w:rsidRPr="00382F6B">
              <w:rPr>
                <w:rFonts w:ascii="Arial" w:hAnsi="Arial" w:cs="Arial"/>
                <w:sz w:val="22"/>
              </w:rPr>
              <w:t>Result</w:t>
            </w:r>
          </w:p>
        </w:tc>
      </w:tr>
      <w:tr w:rsidR="003E5BF5" w:rsidRPr="002C5B5D" w14:paraId="752159AE" w14:textId="77777777" w:rsidTr="003963BF">
        <w:trPr>
          <w:gridAfter w:val="1"/>
          <w:wAfter w:w="354" w:type="dxa"/>
          <w:trHeight w:val="340"/>
        </w:trPr>
        <w:tc>
          <w:tcPr>
            <w:tcW w:w="8363" w:type="dxa"/>
            <w:gridSpan w:val="6"/>
            <w:shd w:val="clear" w:color="auto" w:fill="auto"/>
            <w:tcMar>
              <w:left w:w="57" w:type="dxa"/>
              <w:right w:w="57" w:type="dxa"/>
            </w:tcMar>
            <w:vAlign w:val="center"/>
          </w:tcPr>
          <w:p w14:paraId="3C326A35" w14:textId="77777777" w:rsidR="003E5BF5" w:rsidRPr="002C5B5D" w:rsidRDefault="003E5BF5" w:rsidP="00DE1921">
            <w:pPr>
              <w:pStyle w:val="TableTextLeftItalics"/>
              <w:rPr>
                <w:rFonts w:ascii="Arial" w:hAnsi="Arial" w:cs="Arial"/>
                <w:i w:val="0"/>
                <w:sz w:val="24"/>
                <w:szCs w:val="24"/>
              </w:rPr>
            </w:pPr>
            <w:r w:rsidRPr="002C5B5D">
              <w:rPr>
                <w:rFonts w:ascii="Arial" w:hAnsi="Arial" w:cs="Arial"/>
                <w:b/>
                <w:sz w:val="24"/>
                <w:szCs w:val="24"/>
              </w:rPr>
              <w:t>Quantity</w:t>
            </w:r>
          </w:p>
        </w:tc>
      </w:tr>
      <w:tr w:rsidR="003E5BF5" w:rsidRPr="002C5B5D" w14:paraId="61D25328" w14:textId="77777777" w:rsidTr="003963BF">
        <w:trPr>
          <w:gridAfter w:val="1"/>
          <w:wAfter w:w="354" w:type="dxa"/>
          <w:trHeight w:val="340"/>
        </w:trPr>
        <w:tc>
          <w:tcPr>
            <w:tcW w:w="3171" w:type="dxa"/>
            <w:shd w:val="clear" w:color="auto" w:fill="auto"/>
            <w:tcMar>
              <w:left w:w="57" w:type="dxa"/>
              <w:right w:w="57" w:type="dxa"/>
            </w:tcMar>
          </w:tcPr>
          <w:p w14:paraId="1B7A4DAB"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vehicle and driver regulation: vehicle registration transfers</w:t>
            </w:r>
            <w:r w:rsidR="00105501" w:rsidRPr="002C5B5D">
              <w:rPr>
                <w:rFonts w:ascii="Arial" w:hAnsi="Arial" w:cs="Arial"/>
                <w:sz w:val="24"/>
                <w:szCs w:val="24"/>
              </w:rPr>
              <w:fldChar w:fldCharType="end"/>
            </w:r>
          </w:p>
        </w:tc>
        <w:tc>
          <w:tcPr>
            <w:tcW w:w="990" w:type="dxa"/>
            <w:shd w:val="clear" w:color="auto" w:fill="auto"/>
            <w:tcMar>
              <w:left w:w="57" w:type="dxa"/>
              <w:right w:w="57" w:type="dxa"/>
            </w:tcMar>
          </w:tcPr>
          <w:p w14:paraId="3E024A8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 (000)</w:t>
            </w:r>
            <w:r w:rsidRPr="002C5B5D">
              <w:rPr>
                <w:rFonts w:ascii="Arial" w:hAnsi="Arial" w:cs="Arial"/>
                <w:sz w:val="24"/>
                <w:szCs w:val="24"/>
              </w:rPr>
              <w:fldChar w:fldCharType="end"/>
            </w:r>
          </w:p>
        </w:tc>
        <w:tc>
          <w:tcPr>
            <w:tcW w:w="990" w:type="dxa"/>
            <w:shd w:val="clear" w:color="auto" w:fill="auto"/>
            <w:tcMar>
              <w:left w:w="57" w:type="dxa"/>
              <w:right w:w="57" w:type="dxa"/>
            </w:tcMar>
          </w:tcPr>
          <w:p w14:paraId="78F0DED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882</w:t>
            </w:r>
            <w:r w:rsidRPr="002C5B5D">
              <w:rPr>
                <w:rFonts w:ascii="Arial" w:hAnsi="Arial" w:cs="Arial"/>
                <w:sz w:val="24"/>
                <w:szCs w:val="24"/>
              </w:rPr>
              <w:fldChar w:fldCharType="end"/>
            </w:r>
          </w:p>
        </w:tc>
        <w:tc>
          <w:tcPr>
            <w:tcW w:w="990" w:type="dxa"/>
            <w:shd w:val="clear" w:color="auto" w:fill="auto"/>
            <w:tcMar>
              <w:left w:w="57" w:type="dxa"/>
              <w:right w:w="57" w:type="dxa"/>
            </w:tcMar>
          </w:tcPr>
          <w:p w14:paraId="4BA3111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956</w:t>
            </w:r>
            <w:r w:rsidRPr="002C5B5D">
              <w:rPr>
                <w:rFonts w:ascii="Arial" w:hAnsi="Arial" w:cs="Arial"/>
                <w:sz w:val="24"/>
                <w:szCs w:val="24"/>
              </w:rPr>
              <w:fldChar w:fldCharType="end"/>
            </w:r>
          </w:p>
        </w:tc>
        <w:tc>
          <w:tcPr>
            <w:tcW w:w="1232" w:type="dxa"/>
            <w:shd w:val="clear" w:color="auto" w:fill="auto"/>
            <w:tcMar>
              <w:left w:w="57" w:type="dxa"/>
              <w:right w:w="57" w:type="dxa"/>
            </w:tcMar>
          </w:tcPr>
          <w:p w14:paraId="49D27CF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-7.7</w:t>
            </w:r>
            <w:r w:rsidRPr="002C5B5D">
              <w:rPr>
                <w:rFonts w:ascii="Arial" w:hAnsi="Arial" w:cs="Arial"/>
                <w:sz w:val="24"/>
                <w:szCs w:val="24"/>
              </w:rPr>
              <w:fldChar w:fldCharType="end"/>
            </w:r>
          </w:p>
        </w:tc>
        <w:tc>
          <w:tcPr>
            <w:tcW w:w="990" w:type="dxa"/>
            <w:shd w:val="clear" w:color="auto" w:fill="auto"/>
            <w:tcMar>
              <w:left w:w="57" w:type="dxa"/>
              <w:right w:w="57" w:type="dxa"/>
            </w:tcMar>
          </w:tcPr>
          <w:p w14:paraId="2B11B826"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442D9A7B" w14:textId="77777777" w:rsidTr="003963BF">
        <w:trPr>
          <w:gridAfter w:val="1"/>
          <w:wAfter w:w="354" w:type="dxa"/>
        </w:trPr>
        <w:tc>
          <w:tcPr>
            <w:tcW w:w="8363" w:type="dxa"/>
            <w:gridSpan w:val="6"/>
            <w:shd w:val="clear" w:color="auto" w:fill="auto"/>
            <w:tcMar>
              <w:left w:w="57" w:type="dxa"/>
              <w:right w:w="57" w:type="dxa"/>
            </w:tcMar>
          </w:tcPr>
          <w:p w14:paraId="5CCD1F10"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a decline in vehicle trade with sales significantly lower during the coronavirus (COVID-19) response.</w:t>
            </w:r>
            <w:r w:rsidRPr="002C5B5D">
              <w:rPr>
                <w:rFonts w:ascii="Arial" w:hAnsi="Arial" w:cs="Arial"/>
                <w:i/>
                <w:sz w:val="24"/>
                <w:szCs w:val="24"/>
              </w:rPr>
              <w:fldChar w:fldCharType="end"/>
            </w:r>
          </w:p>
        </w:tc>
      </w:tr>
      <w:tr w:rsidR="003E5BF5" w:rsidRPr="002C5B5D" w14:paraId="4CF63BA7" w14:textId="77777777" w:rsidTr="003963BF">
        <w:trPr>
          <w:gridAfter w:val="1"/>
          <w:wAfter w:w="354" w:type="dxa"/>
          <w:trHeight w:val="340"/>
        </w:trPr>
        <w:tc>
          <w:tcPr>
            <w:tcW w:w="3171" w:type="dxa"/>
            <w:shd w:val="clear" w:color="auto" w:fill="auto"/>
            <w:tcMar>
              <w:left w:w="57" w:type="dxa"/>
              <w:right w:w="57" w:type="dxa"/>
            </w:tcMar>
          </w:tcPr>
          <w:p w14:paraId="248C2937"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vehicle and driver regulation: vehicle registrations renewed</w:t>
            </w:r>
            <w:r w:rsidR="00105501" w:rsidRPr="002C5B5D">
              <w:rPr>
                <w:rFonts w:ascii="Arial" w:hAnsi="Arial" w:cs="Arial"/>
                <w:sz w:val="24"/>
                <w:szCs w:val="24"/>
              </w:rPr>
              <w:fldChar w:fldCharType="end"/>
            </w:r>
          </w:p>
        </w:tc>
        <w:tc>
          <w:tcPr>
            <w:tcW w:w="990" w:type="dxa"/>
            <w:shd w:val="clear" w:color="auto" w:fill="auto"/>
            <w:tcMar>
              <w:left w:w="57" w:type="dxa"/>
              <w:right w:w="57" w:type="dxa"/>
            </w:tcMar>
          </w:tcPr>
          <w:p w14:paraId="3015F63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 (000)</w:t>
            </w:r>
            <w:r w:rsidRPr="002C5B5D">
              <w:rPr>
                <w:rFonts w:ascii="Arial" w:hAnsi="Arial" w:cs="Arial"/>
                <w:sz w:val="24"/>
                <w:szCs w:val="24"/>
              </w:rPr>
              <w:fldChar w:fldCharType="end"/>
            </w:r>
          </w:p>
        </w:tc>
        <w:tc>
          <w:tcPr>
            <w:tcW w:w="990" w:type="dxa"/>
            <w:shd w:val="clear" w:color="auto" w:fill="auto"/>
            <w:tcMar>
              <w:left w:w="57" w:type="dxa"/>
              <w:right w:w="57" w:type="dxa"/>
            </w:tcMar>
          </w:tcPr>
          <w:p w14:paraId="5593E15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9,149</w:t>
            </w:r>
            <w:r w:rsidRPr="002C5B5D">
              <w:rPr>
                <w:rFonts w:ascii="Arial" w:hAnsi="Arial" w:cs="Arial"/>
                <w:sz w:val="24"/>
                <w:szCs w:val="24"/>
              </w:rPr>
              <w:fldChar w:fldCharType="end"/>
            </w:r>
          </w:p>
        </w:tc>
        <w:tc>
          <w:tcPr>
            <w:tcW w:w="990" w:type="dxa"/>
            <w:shd w:val="clear" w:color="auto" w:fill="auto"/>
            <w:tcMar>
              <w:left w:w="57" w:type="dxa"/>
              <w:right w:w="57" w:type="dxa"/>
            </w:tcMar>
          </w:tcPr>
          <w:p w14:paraId="2538B161"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7,800</w:t>
            </w:r>
            <w:r w:rsidRPr="002C5B5D">
              <w:rPr>
                <w:rFonts w:ascii="Arial" w:hAnsi="Arial" w:cs="Arial"/>
                <w:sz w:val="24"/>
                <w:szCs w:val="24"/>
              </w:rPr>
              <w:fldChar w:fldCharType="end"/>
            </w:r>
          </w:p>
        </w:tc>
        <w:tc>
          <w:tcPr>
            <w:tcW w:w="1232" w:type="dxa"/>
            <w:shd w:val="clear" w:color="auto" w:fill="auto"/>
            <w:tcMar>
              <w:left w:w="57" w:type="dxa"/>
              <w:right w:w="57" w:type="dxa"/>
            </w:tcMar>
          </w:tcPr>
          <w:p w14:paraId="0AF9A9D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17.3</w:t>
            </w:r>
            <w:r w:rsidRPr="002C5B5D">
              <w:rPr>
                <w:rFonts w:ascii="Arial" w:hAnsi="Arial" w:cs="Arial"/>
                <w:sz w:val="24"/>
                <w:szCs w:val="24"/>
              </w:rPr>
              <w:fldChar w:fldCharType="end"/>
            </w:r>
          </w:p>
        </w:tc>
        <w:tc>
          <w:tcPr>
            <w:tcW w:w="990" w:type="dxa"/>
            <w:shd w:val="clear" w:color="auto" w:fill="auto"/>
            <w:tcMar>
              <w:left w:w="57" w:type="dxa"/>
              <w:right w:w="57" w:type="dxa"/>
            </w:tcMar>
          </w:tcPr>
          <w:p w14:paraId="26F62BAC"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525F4766" w14:textId="77777777" w:rsidTr="003963BF">
        <w:trPr>
          <w:gridAfter w:val="1"/>
          <w:wAfter w:w="354" w:type="dxa"/>
        </w:trPr>
        <w:tc>
          <w:tcPr>
            <w:tcW w:w="8363" w:type="dxa"/>
            <w:gridSpan w:val="6"/>
            <w:shd w:val="clear" w:color="auto" w:fill="auto"/>
            <w:tcMar>
              <w:left w:w="57" w:type="dxa"/>
              <w:right w:w="57" w:type="dxa"/>
            </w:tcMar>
          </w:tcPr>
          <w:p w14:paraId="1D5B4B2A"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short-term registration (STR) takeup exceeding the forecast. The popularity of STR has increased as a result of coronavirus (COVID-19).</w:t>
            </w:r>
            <w:r w:rsidRPr="002C5B5D">
              <w:rPr>
                <w:rFonts w:ascii="Arial" w:hAnsi="Arial" w:cs="Arial"/>
                <w:i/>
                <w:sz w:val="24"/>
                <w:szCs w:val="24"/>
              </w:rPr>
              <w:fldChar w:fldCharType="end"/>
            </w:r>
          </w:p>
        </w:tc>
      </w:tr>
      <w:tr w:rsidR="003E5BF5" w:rsidRPr="002C5B5D" w14:paraId="1FEF2D62" w14:textId="77777777" w:rsidTr="003963BF">
        <w:trPr>
          <w:gridAfter w:val="1"/>
          <w:wAfter w:w="354" w:type="dxa"/>
          <w:trHeight w:val="340"/>
        </w:trPr>
        <w:tc>
          <w:tcPr>
            <w:tcW w:w="8363" w:type="dxa"/>
            <w:gridSpan w:val="6"/>
            <w:shd w:val="clear" w:color="auto" w:fill="auto"/>
            <w:tcMar>
              <w:left w:w="57" w:type="dxa"/>
              <w:right w:w="57" w:type="dxa"/>
            </w:tcMar>
            <w:vAlign w:val="center"/>
          </w:tcPr>
          <w:p w14:paraId="2C42F64A"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Quality</w:t>
            </w:r>
          </w:p>
        </w:tc>
      </w:tr>
      <w:tr w:rsidR="003E5BF5" w:rsidRPr="002C5B5D" w14:paraId="551D2E44" w14:textId="77777777" w:rsidTr="003963BF">
        <w:trPr>
          <w:gridAfter w:val="1"/>
          <w:wAfter w:w="354" w:type="dxa"/>
          <w:trHeight w:val="340"/>
        </w:trPr>
        <w:tc>
          <w:tcPr>
            <w:tcW w:w="3171" w:type="dxa"/>
            <w:shd w:val="clear" w:color="auto" w:fill="auto"/>
            <w:tcMar>
              <w:left w:w="57" w:type="dxa"/>
              <w:right w:w="57" w:type="dxa"/>
            </w:tcMar>
          </w:tcPr>
          <w:p w14:paraId="35ACBA6E"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projects completed within agreed scope and standards: metropolitan</w:t>
            </w:r>
            <w:r w:rsidR="00105501" w:rsidRPr="002C5B5D">
              <w:rPr>
                <w:rFonts w:ascii="Arial" w:hAnsi="Arial" w:cs="Arial"/>
                <w:sz w:val="24"/>
                <w:szCs w:val="24"/>
              </w:rPr>
              <w:fldChar w:fldCharType="end"/>
            </w:r>
          </w:p>
        </w:tc>
        <w:tc>
          <w:tcPr>
            <w:tcW w:w="990" w:type="dxa"/>
            <w:shd w:val="clear" w:color="auto" w:fill="auto"/>
            <w:tcMar>
              <w:left w:w="57" w:type="dxa"/>
              <w:right w:w="57" w:type="dxa"/>
            </w:tcMar>
          </w:tcPr>
          <w:p w14:paraId="3E78DFC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990" w:type="dxa"/>
            <w:shd w:val="clear" w:color="auto" w:fill="auto"/>
            <w:tcMar>
              <w:left w:w="57" w:type="dxa"/>
              <w:right w:w="57" w:type="dxa"/>
            </w:tcMar>
          </w:tcPr>
          <w:p w14:paraId="3E2DE2FC"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60</w:t>
            </w:r>
          </w:p>
        </w:tc>
        <w:tc>
          <w:tcPr>
            <w:tcW w:w="990" w:type="dxa"/>
            <w:shd w:val="clear" w:color="auto" w:fill="auto"/>
            <w:tcMar>
              <w:left w:w="57" w:type="dxa"/>
              <w:right w:w="57" w:type="dxa"/>
            </w:tcMar>
          </w:tcPr>
          <w:p w14:paraId="0169A38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232" w:type="dxa"/>
            <w:shd w:val="clear" w:color="auto" w:fill="auto"/>
            <w:tcMar>
              <w:left w:w="57" w:type="dxa"/>
              <w:right w:w="57" w:type="dxa"/>
            </w:tcMar>
          </w:tcPr>
          <w:p w14:paraId="4CB364E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-40.0</w:t>
            </w:r>
            <w:r w:rsidRPr="002C5B5D">
              <w:rPr>
                <w:rFonts w:ascii="Arial" w:hAnsi="Arial" w:cs="Arial"/>
                <w:sz w:val="24"/>
                <w:szCs w:val="24"/>
              </w:rPr>
              <w:fldChar w:fldCharType="end"/>
            </w:r>
          </w:p>
        </w:tc>
        <w:tc>
          <w:tcPr>
            <w:tcW w:w="990" w:type="dxa"/>
            <w:shd w:val="clear" w:color="auto" w:fill="auto"/>
            <w:tcMar>
              <w:left w:w="57" w:type="dxa"/>
              <w:right w:w="57" w:type="dxa"/>
            </w:tcMar>
          </w:tcPr>
          <w:p w14:paraId="19330395"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0D6B76BA" w14:textId="77777777" w:rsidTr="003963BF">
        <w:trPr>
          <w:gridAfter w:val="1"/>
          <w:wAfter w:w="354" w:type="dxa"/>
        </w:trPr>
        <w:tc>
          <w:tcPr>
            <w:tcW w:w="8363" w:type="dxa"/>
            <w:gridSpan w:val="6"/>
            <w:shd w:val="clear" w:color="auto" w:fill="auto"/>
            <w:tcMar>
              <w:left w:w="57" w:type="dxa"/>
              <w:right w:w="57" w:type="dxa"/>
            </w:tcMar>
          </w:tcPr>
          <w:p w14:paraId="5B84B6F3"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rescheduling of a number of projects to allow for additional stakeholder engagement.</w:t>
            </w:r>
            <w:r w:rsidRPr="002C5B5D">
              <w:rPr>
                <w:rFonts w:ascii="Arial" w:hAnsi="Arial" w:cs="Arial"/>
                <w:i/>
                <w:sz w:val="24"/>
                <w:szCs w:val="24"/>
              </w:rPr>
              <w:fldChar w:fldCharType="end"/>
            </w:r>
          </w:p>
        </w:tc>
      </w:tr>
      <w:tr w:rsidR="003E5BF5" w:rsidRPr="002C5B5D" w14:paraId="15DD3DB9" w14:textId="77777777" w:rsidTr="003963BF">
        <w:trPr>
          <w:gridAfter w:val="1"/>
          <w:wAfter w:w="354" w:type="dxa"/>
          <w:trHeight w:val="340"/>
        </w:trPr>
        <w:tc>
          <w:tcPr>
            <w:tcW w:w="3171" w:type="dxa"/>
            <w:shd w:val="clear" w:color="auto" w:fill="auto"/>
            <w:tcMar>
              <w:left w:w="57" w:type="dxa"/>
              <w:right w:w="57" w:type="dxa"/>
            </w:tcMar>
          </w:tcPr>
          <w:p w14:paraId="6EB66701"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projects completed within agreed scope and standards: regional</w:t>
            </w:r>
            <w:r w:rsidR="00105501" w:rsidRPr="002C5B5D">
              <w:rPr>
                <w:rFonts w:ascii="Arial" w:hAnsi="Arial" w:cs="Arial"/>
                <w:sz w:val="24"/>
                <w:szCs w:val="24"/>
              </w:rPr>
              <w:fldChar w:fldCharType="end"/>
            </w:r>
          </w:p>
        </w:tc>
        <w:tc>
          <w:tcPr>
            <w:tcW w:w="990" w:type="dxa"/>
            <w:shd w:val="clear" w:color="auto" w:fill="auto"/>
            <w:tcMar>
              <w:left w:w="57" w:type="dxa"/>
              <w:right w:w="57" w:type="dxa"/>
            </w:tcMar>
          </w:tcPr>
          <w:p w14:paraId="669A7C5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990" w:type="dxa"/>
            <w:shd w:val="clear" w:color="auto" w:fill="auto"/>
            <w:tcMar>
              <w:left w:w="57" w:type="dxa"/>
              <w:right w:w="57" w:type="dxa"/>
            </w:tcMar>
          </w:tcPr>
          <w:p w14:paraId="4FA1BDF2"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78</w:t>
            </w:r>
          </w:p>
        </w:tc>
        <w:tc>
          <w:tcPr>
            <w:tcW w:w="990" w:type="dxa"/>
            <w:shd w:val="clear" w:color="auto" w:fill="auto"/>
            <w:tcMar>
              <w:left w:w="57" w:type="dxa"/>
              <w:right w:w="57" w:type="dxa"/>
            </w:tcMar>
          </w:tcPr>
          <w:p w14:paraId="0B00D5A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232" w:type="dxa"/>
            <w:shd w:val="clear" w:color="auto" w:fill="auto"/>
            <w:tcMar>
              <w:left w:w="57" w:type="dxa"/>
              <w:right w:w="57" w:type="dxa"/>
            </w:tcMar>
          </w:tcPr>
          <w:p w14:paraId="3A11B20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-22.0</w:t>
            </w:r>
            <w:r w:rsidRPr="002C5B5D">
              <w:rPr>
                <w:rFonts w:ascii="Arial" w:hAnsi="Arial" w:cs="Arial"/>
                <w:sz w:val="24"/>
                <w:szCs w:val="24"/>
              </w:rPr>
              <w:fldChar w:fldCharType="end"/>
            </w:r>
          </w:p>
        </w:tc>
        <w:tc>
          <w:tcPr>
            <w:tcW w:w="990" w:type="dxa"/>
            <w:shd w:val="clear" w:color="auto" w:fill="auto"/>
            <w:tcMar>
              <w:left w:w="57" w:type="dxa"/>
              <w:right w:w="57" w:type="dxa"/>
            </w:tcMar>
          </w:tcPr>
          <w:p w14:paraId="53E867A6"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7EB5B40F" w14:textId="77777777" w:rsidTr="003963BF">
        <w:trPr>
          <w:gridAfter w:val="1"/>
          <w:wAfter w:w="354" w:type="dxa"/>
        </w:trPr>
        <w:tc>
          <w:tcPr>
            <w:tcW w:w="8363" w:type="dxa"/>
            <w:gridSpan w:val="6"/>
            <w:shd w:val="clear" w:color="auto" w:fill="auto"/>
            <w:tcMar>
              <w:left w:w="57" w:type="dxa"/>
              <w:right w:w="57" w:type="dxa"/>
            </w:tcMar>
          </w:tcPr>
          <w:p w14:paraId="6395A3B1"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inclement weather and delays in obtaining approvals from local councils.</w:t>
            </w:r>
            <w:r w:rsidRPr="002C5B5D">
              <w:rPr>
                <w:rFonts w:ascii="Arial" w:hAnsi="Arial" w:cs="Arial"/>
                <w:i/>
                <w:sz w:val="24"/>
                <w:szCs w:val="24"/>
              </w:rPr>
              <w:fldChar w:fldCharType="end"/>
            </w:r>
          </w:p>
        </w:tc>
      </w:tr>
      <w:tr w:rsidR="003E5BF5" w:rsidRPr="002C5B5D" w14:paraId="4C1C6BAD" w14:textId="77777777" w:rsidTr="003963BF">
        <w:trPr>
          <w:gridAfter w:val="1"/>
          <w:wAfter w:w="354" w:type="dxa"/>
          <w:trHeight w:val="340"/>
        </w:trPr>
        <w:tc>
          <w:tcPr>
            <w:tcW w:w="3171" w:type="dxa"/>
            <w:shd w:val="clear" w:color="auto" w:fill="auto"/>
            <w:tcMar>
              <w:left w:w="57" w:type="dxa"/>
              <w:right w:w="57" w:type="dxa"/>
            </w:tcMar>
          </w:tcPr>
          <w:p w14:paraId="1BC99FD5"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safety projects completed within agreed scope and standards</w:t>
            </w:r>
            <w:r w:rsidR="00105501" w:rsidRPr="002C5B5D">
              <w:rPr>
                <w:rFonts w:ascii="Arial" w:hAnsi="Arial" w:cs="Arial"/>
                <w:sz w:val="24"/>
                <w:szCs w:val="24"/>
              </w:rPr>
              <w:fldChar w:fldCharType="end"/>
            </w:r>
          </w:p>
        </w:tc>
        <w:tc>
          <w:tcPr>
            <w:tcW w:w="990" w:type="dxa"/>
            <w:shd w:val="clear" w:color="auto" w:fill="auto"/>
            <w:tcMar>
              <w:left w:w="57" w:type="dxa"/>
              <w:right w:w="57" w:type="dxa"/>
            </w:tcMar>
          </w:tcPr>
          <w:p w14:paraId="210575F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990" w:type="dxa"/>
            <w:shd w:val="clear" w:color="auto" w:fill="auto"/>
            <w:tcMar>
              <w:left w:w="57" w:type="dxa"/>
              <w:right w:w="57" w:type="dxa"/>
            </w:tcMar>
          </w:tcPr>
          <w:p w14:paraId="698A3D9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990" w:type="dxa"/>
            <w:shd w:val="clear" w:color="auto" w:fill="auto"/>
            <w:tcMar>
              <w:left w:w="57" w:type="dxa"/>
              <w:right w:w="57" w:type="dxa"/>
            </w:tcMar>
          </w:tcPr>
          <w:p w14:paraId="7768EB8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232" w:type="dxa"/>
            <w:shd w:val="clear" w:color="auto" w:fill="auto"/>
            <w:tcMar>
              <w:left w:w="57" w:type="dxa"/>
              <w:right w:w="57" w:type="dxa"/>
            </w:tcMar>
          </w:tcPr>
          <w:p w14:paraId="0F20333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990" w:type="dxa"/>
            <w:shd w:val="clear" w:color="auto" w:fill="auto"/>
            <w:tcMar>
              <w:left w:w="57" w:type="dxa"/>
              <w:right w:w="57" w:type="dxa"/>
            </w:tcMar>
          </w:tcPr>
          <w:p w14:paraId="6159C661"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2A04CBC0" w14:textId="77777777" w:rsidTr="003963BF">
        <w:trPr>
          <w:gridAfter w:val="1"/>
          <w:wAfter w:w="354" w:type="dxa"/>
          <w:trHeight w:val="340"/>
        </w:trPr>
        <w:tc>
          <w:tcPr>
            <w:tcW w:w="3171" w:type="dxa"/>
            <w:shd w:val="clear" w:color="auto" w:fill="auto"/>
            <w:tcMar>
              <w:left w:w="57" w:type="dxa"/>
              <w:right w:w="57" w:type="dxa"/>
            </w:tcMar>
          </w:tcPr>
          <w:p w14:paraId="795BB006"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vehicle and driver regulation: currency of vehicle registration and driver licensing records</w:t>
            </w:r>
            <w:r w:rsidR="00105501" w:rsidRPr="002C5B5D">
              <w:rPr>
                <w:rFonts w:ascii="Arial" w:hAnsi="Arial" w:cs="Arial"/>
                <w:sz w:val="24"/>
                <w:szCs w:val="24"/>
              </w:rPr>
              <w:fldChar w:fldCharType="end"/>
            </w:r>
          </w:p>
        </w:tc>
        <w:tc>
          <w:tcPr>
            <w:tcW w:w="990" w:type="dxa"/>
            <w:shd w:val="clear" w:color="auto" w:fill="auto"/>
            <w:tcMar>
              <w:left w:w="57" w:type="dxa"/>
              <w:right w:w="57" w:type="dxa"/>
            </w:tcMar>
          </w:tcPr>
          <w:p w14:paraId="4D7CD0C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990" w:type="dxa"/>
            <w:shd w:val="clear" w:color="auto" w:fill="auto"/>
            <w:tcMar>
              <w:left w:w="57" w:type="dxa"/>
              <w:right w:w="57" w:type="dxa"/>
            </w:tcMar>
          </w:tcPr>
          <w:p w14:paraId="4861A8F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99</w:t>
            </w:r>
            <w:r w:rsidRPr="002C5B5D">
              <w:rPr>
                <w:rFonts w:ascii="Arial" w:hAnsi="Arial" w:cs="Arial"/>
                <w:sz w:val="24"/>
                <w:szCs w:val="24"/>
              </w:rPr>
              <w:fldChar w:fldCharType="end"/>
            </w:r>
          </w:p>
        </w:tc>
        <w:tc>
          <w:tcPr>
            <w:tcW w:w="990" w:type="dxa"/>
            <w:shd w:val="clear" w:color="auto" w:fill="auto"/>
            <w:tcMar>
              <w:left w:w="57" w:type="dxa"/>
              <w:right w:w="57" w:type="dxa"/>
            </w:tcMar>
          </w:tcPr>
          <w:p w14:paraId="659C340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99</w:t>
            </w:r>
            <w:r w:rsidRPr="002C5B5D">
              <w:rPr>
                <w:rFonts w:ascii="Arial" w:hAnsi="Arial" w:cs="Arial"/>
                <w:sz w:val="24"/>
                <w:szCs w:val="24"/>
              </w:rPr>
              <w:fldChar w:fldCharType="end"/>
            </w:r>
          </w:p>
        </w:tc>
        <w:tc>
          <w:tcPr>
            <w:tcW w:w="1232" w:type="dxa"/>
            <w:shd w:val="clear" w:color="auto" w:fill="auto"/>
            <w:tcMar>
              <w:left w:w="57" w:type="dxa"/>
              <w:right w:w="57" w:type="dxa"/>
            </w:tcMar>
          </w:tcPr>
          <w:p w14:paraId="34847C4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990" w:type="dxa"/>
            <w:shd w:val="clear" w:color="auto" w:fill="auto"/>
            <w:tcMar>
              <w:left w:w="57" w:type="dxa"/>
              <w:right w:w="57" w:type="dxa"/>
            </w:tcMar>
          </w:tcPr>
          <w:p w14:paraId="59A1AA08"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0434CEE5" w14:textId="77777777" w:rsidTr="003963BF">
        <w:trPr>
          <w:gridAfter w:val="1"/>
          <w:wAfter w:w="354" w:type="dxa"/>
          <w:trHeight w:val="340"/>
        </w:trPr>
        <w:tc>
          <w:tcPr>
            <w:tcW w:w="3171" w:type="dxa"/>
            <w:shd w:val="clear" w:color="auto" w:fill="auto"/>
            <w:tcMar>
              <w:left w:w="57" w:type="dxa"/>
              <w:right w:w="57" w:type="dxa"/>
            </w:tcMar>
          </w:tcPr>
          <w:p w14:paraId="15094C3C"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vehicle and driver regulation: user satisfaction with vehicle registration and driver licensing</w:t>
            </w:r>
            <w:r w:rsidR="00105501" w:rsidRPr="002C5B5D">
              <w:rPr>
                <w:rFonts w:ascii="Arial" w:hAnsi="Arial" w:cs="Arial"/>
                <w:sz w:val="24"/>
                <w:szCs w:val="24"/>
              </w:rPr>
              <w:fldChar w:fldCharType="end"/>
            </w:r>
          </w:p>
        </w:tc>
        <w:tc>
          <w:tcPr>
            <w:tcW w:w="990" w:type="dxa"/>
            <w:shd w:val="clear" w:color="auto" w:fill="auto"/>
            <w:tcMar>
              <w:left w:w="57" w:type="dxa"/>
              <w:right w:w="57" w:type="dxa"/>
            </w:tcMar>
          </w:tcPr>
          <w:p w14:paraId="20BE583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990" w:type="dxa"/>
            <w:shd w:val="clear" w:color="auto" w:fill="auto"/>
            <w:tcMar>
              <w:left w:w="57" w:type="dxa"/>
              <w:right w:w="57" w:type="dxa"/>
            </w:tcMar>
          </w:tcPr>
          <w:p w14:paraId="414AF53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86</w:t>
            </w:r>
            <w:r w:rsidRPr="002C5B5D">
              <w:rPr>
                <w:rFonts w:ascii="Arial" w:hAnsi="Arial" w:cs="Arial"/>
                <w:sz w:val="24"/>
                <w:szCs w:val="24"/>
              </w:rPr>
              <w:fldChar w:fldCharType="end"/>
            </w:r>
          </w:p>
        </w:tc>
        <w:tc>
          <w:tcPr>
            <w:tcW w:w="990" w:type="dxa"/>
            <w:shd w:val="clear" w:color="auto" w:fill="auto"/>
            <w:tcMar>
              <w:left w:w="57" w:type="dxa"/>
              <w:right w:w="57" w:type="dxa"/>
            </w:tcMar>
          </w:tcPr>
          <w:p w14:paraId="73AE4AD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85</w:t>
            </w:r>
            <w:r w:rsidRPr="002C5B5D">
              <w:rPr>
                <w:rFonts w:ascii="Arial" w:hAnsi="Arial" w:cs="Arial"/>
                <w:sz w:val="24"/>
                <w:szCs w:val="24"/>
              </w:rPr>
              <w:fldChar w:fldCharType="end"/>
            </w:r>
          </w:p>
        </w:tc>
        <w:tc>
          <w:tcPr>
            <w:tcW w:w="1232" w:type="dxa"/>
            <w:shd w:val="clear" w:color="auto" w:fill="auto"/>
            <w:tcMar>
              <w:left w:w="57" w:type="dxa"/>
              <w:right w:w="57" w:type="dxa"/>
            </w:tcMar>
          </w:tcPr>
          <w:p w14:paraId="007B2B9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1.2</w:t>
            </w:r>
            <w:r w:rsidRPr="002C5B5D">
              <w:rPr>
                <w:rFonts w:ascii="Arial" w:hAnsi="Arial" w:cs="Arial"/>
                <w:sz w:val="24"/>
                <w:szCs w:val="24"/>
              </w:rPr>
              <w:fldChar w:fldCharType="end"/>
            </w:r>
          </w:p>
        </w:tc>
        <w:tc>
          <w:tcPr>
            <w:tcW w:w="990" w:type="dxa"/>
            <w:shd w:val="clear" w:color="auto" w:fill="auto"/>
            <w:tcMar>
              <w:left w:w="57" w:type="dxa"/>
              <w:right w:w="57" w:type="dxa"/>
            </w:tcMar>
          </w:tcPr>
          <w:p w14:paraId="104362DF"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73A79979" w14:textId="77777777" w:rsidTr="003963BF">
        <w:trPr>
          <w:gridAfter w:val="1"/>
          <w:wAfter w:w="354" w:type="dxa"/>
          <w:trHeight w:val="340"/>
        </w:trPr>
        <w:tc>
          <w:tcPr>
            <w:tcW w:w="8363" w:type="dxa"/>
            <w:gridSpan w:val="6"/>
            <w:shd w:val="clear" w:color="auto" w:fill="auto"/>
            <w:tcMar>
              <w:left w:w="57" w:type="dxa"/>
              <w:right w:w="57" w:type="dxa"/>
            </w:tcMar>
            <w:vAlign w:val="center"/>
          </w:tcPr>
          <w:p w14:paraId="78F1E9E9" w14:textId="77777777" w:rsidR="003E5BF5" w:rsidRPr="002C5B5D" w:rsidRDefault="003E5BF5" w:rsidP="00DE1921">
            <w:pPr>
              <w:pStyle w:val="TableTextLeftItalics"/>
              <w:rPr>
                <w:rFonts w:ascii="Arial" w:hAnsi="Arial" w:cs="Arial"/>
                <w:i w:val="0"/>
                <w:sz w:val="24"/>
                <w:szCs w:val="24"/>
              </w:rPr>
            </w:pPr>
            <w:r w:rsidRPr="002C5B5D">
              <w:rPr>
                <w:rFonts w:ascii="Arial" w:hAnsi="Arial" w:cs="Arial"/>
                <w:b/>
                <w:sz w:val="24"/>
                <w:szCs w:val="24"/>
              </w:rPr>
              <w:t>Timeliness</w:t>
            </w:r>
          </w:p>
        </w:tc>
      </w:tr>
      <w:tr w:rsidR="003E5BF5" w:rsidRPr="002C5B5D" w14:paraId="3382B82E" w14:textId="77777777" w:rsidTr="003963BF">
        <w:trPr>
          <w:gridAfter w:val="1"/>
          <w:wAfter w:w="354" w:type="dxa"/>
          <w:trHeight w:val="340"/>
        </w:trPr>
        <w:tc>
          <w:tcPr>
            <w:tcW w:w="3171" w:type="dxa"/>
            <w:shd w:val="clear" w:color="auto" w:fill="auto"/>
            <w:tcMar>
              <w:left w:w="57" w:type="dxa"/>
              <w:right w:w="57" w:type="dxa"/>
            </w:tcMar>
          </w:tcPr>
          <w:p w14:paraId="7FB7A8EB"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Programmed works completed within agreed timeframes: metropolitan</w:t>
            </w:r>
            <w:r w:rsidR="00105501" w:rsidRPr="002C5B5D">
              <w:rPr>
                <w:rFonts w:ascii="Arial" w:hAnsi="Arial" w:cs="Arial"/>
                <w:sz w:val="24"/>
                <w:szCs w:val="24"/>
              </w:rPr>
              <w:fldChar w:fldCharType="end"/>
            </w:r>
          </w:p>
        </w:tc>
        <w:tc>
          <w:tcPr>
            <w:tcW w:w="990" w:type="dxa"/>
            <w:shd w:val="clear" w:color="auto" w:fill="auto"/>
            <w:tcMar>
              <w:left w:w="57" w:type="dxa"/>
              <w:right w:w="57" w:type="dxa"/>
            </w:tcMar>
          </w:tcPr>
          <w:p w14:paraId="43D84A3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990" w:type="dxa"/>
            <w:shd w:val="clear" w:color="auto" w:fill="auto"/>
            <w:tcMar>
              <w:left w:w="57" w:type="dxa"/>
              <w:right w:w="57" w:type="dxa"/>
            </w:tcMar>
          </w:tcPr>
          <w:p w14:paraId="5BA3E9C9"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60</w:t>
            </w:r>
          </w:p>
        </w:tc>
        <w:tc>
          <w:tcPr>
            <w:tcW w:w="990" w:type="dxa"/>
            <w:shd w:val="clear" w:color="auto" w:fill="auto"/>
            <w:tcMar>
              <w:left w:w="57" w:type="dxa"/>
              <w:right w:w="57" w:type="dxa"/>
            </w:tcMar>
          </w:tcPr>
          <w:p w14:paraId="3A4C9AA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80</w:t>
            </w:r>
            <w:r w:rsidRPr="002C5B5D">
              <w:rPr>
                <w:rFonts w:ascii="Arial" w:hAnsi="Arial" w:cs="Arial"/>
                <w:sz w:val="24"/>
                <w:szCs w:val="24"/>
              </w:rPr>
              <w:fldChar w:fldCharType="end"/>
            </w:r>
          </w:p>
        </w:tc>
        <w:tc>
          <w:tcPr>
            <w:tcW w:w="1232" w:type="dxa"/>
            <w:shd w:val="clear" w:color="auto" w:fill="auto"/>
            <w:tcMar>
              <w:left w:w="57" w:type="dxa"/>
              <w:right w:w="57" w:type="dxa"/>
            </w:tcMar>
          </w:tcPr>
          <w:p w14:paraId="27D5382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-25.0</w:t>
            </w:r>
            <w:r w:rsidRPr="002C5B5D">
              <w:rPr>
                <w:rFonts w:ascii="Arial" w:hAnsi="Arial" w:cs="Arial"/>
                <w:sz w:val="24"/>
                <w:szCs w:val="24"/>
              </w:rPr>
              <w:fldChar w:fldCharType="end"/>
            </w:r>
          </w:p>
        </w:tc>
        <w:tc>
          <w:tcPr>
            <w:tcW w:w="990" w:type="dxa"/>
            <w:shd w:val="clear" w:color="auto" w:fill="auto"/>
            <w:tcMar>
              <w:left w:w="57" w:type="dxa"/>
              <w:right w:w="57" w:type="dxa"/>
            </w:tcMar>
          </w:tcPr>
          <w:p w14:paraId="39D8214F"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18926CB4" w14:textId="77777777" w:rsidTr="003963BF">
        <w:trPr>
          <w:gridAfter w:val="1"/>
          <w:wAfter w:w="354" w:type="dxa"/>
        </w:trPr>
        <w:tc>
          <w:tcPr>
            <w:tcW w:w="8363" w:type="dxa"/>
            <w:gridSpan w:val="6"/>
            <w:shd w:val="clear" w:color="auto" w:fill="auto"/>
            <w:tcMar>
              <w:left w:w="57" w:type="dxa"/>
              <w:right w:w="57" w:type="dxa"/>
            </w:tcMar>
          </w:tcPr>
          <w:p w14:paraId="38E08671"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market price variation and rescoping of work some projects have been rescheduled.</w:t>
            </w:r>
            <w:r w:rsidRPr="002C5B5D">
              <w:rPr>
                <w:rFonts w:ascii="Arial" w:hAnsi="Arial" w:cs="Arial"/>
                <w:i/>
                <w:sz w:val="24"/>
                <w:szCs w:val="24"/>
              </w:rPr>
              <w:fldChar w:fldCharType="end"/>
            </w:r>
          </w:p>
        </w:tc>
      </w:tr>
      <w:tr w:rsidR="003E5BF5" w:rsidRPr="002C5B5D" w14:paraId="26506C92" w14:textId="77777777" w:rsidTr="003963BF">
        <w:trPr>
          <w:gridAfter w:val="1"/>
          <w:wAfter w:w="354" w:type="dxa"/>
          <w:trHeight w:val="340"/>
        </w:trPr>
        <w:tc>
          <w:tcPr>
            <w:tcW w:w="3171" w:type="dxa"/>
            <w:shd w:val="clear" w:color="auto" w:fill="auto"/>
            <w:tcMar>
              <w:left w:w="57" w:type="dxa"/>
              <w:right w:w="57" w:type="dxa"/>
            </w:tcMar>
          </w:tcPr>
          <w:p w14:paraId="4460EC17"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Programmed works completed within agreed timeframes: regional</w:t>
            </w:r>
            <w:r w:rsidR="00105501" w:rsidRPr="002C5B5D">
              <w:rPr>
                <w:rFonts w:ascii="Arial" w:hAnsi="Arial" w:cs="Arial"/>
                <w:sz w:val="24"/>
                <w:szCs w:val="24"/>
              </w:rPr>
              <w:fldChar w:fldCharType="end"/>
            </w:r>
          </w:p>
        </w:tc>
        <w:tc>
          <w:tcPr>
            <w:tcW w:w="990" w:type="dxa"/>
            <w:shd w:val="clear" w:color="auto" w:fill="auto"/>
            <w:tcMar>
              <w:left w:w="57" w:type="dxa"/>
              <w:right w:w="57" w:type="dxa"/>
            </w:tcMar>
          </w:tcPr>
          <w:p w14:paraId="554DF8C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990" w:type="dxa"/>
            <w:shd w:val="clear" w:color="auto" w:fill="auto"/>
            <w:tcMar>
              <w:left w:w="57" w:type="dxa"/>
              <w:right w:w="57" w:type="dxa"/>
            </w:tcMar>
          </w:tcPr>
          <w:p w14:paraId="2B4D127B"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78</w:t>
            </w:r>
          </w:p>
        </w:tc>
        <w:tc>
          <w:tcPr>
            <w:tcW w:w="990" w:type="dxa"/>
            <w:shd w:val="clear" w:color="auto" w:fill="auto"/>
            <w:tcMar>
              <w:left w:w="57" w:type="dxa"/>
              <w:right w:w="57" w:type="dxa"/>
            </w:tcMar>
          </w:tcPr>
          <w:p w14:paraId="46CAB0A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80</w:t>
            </w:r>
            <w:r w:rsidRPr="002C5B5D">
              <w:rPr>
                <w:rFonts w:ascii="Arial" w:hAnsi="Arial" w:cs="Arial"/>
                <w:sz w:val="24"/>
                <w:szCs w:val="24"/>
              </w:rPr>
              <w:fldChar w:fldCharType="end"/>
            </w:r>
          </w:p>
        </w:tc>
        <w:tc>
          <w:tcPr>
            <w:tcW w:w="1232" w:type="dxa"/>
            <w:shd w:val="clear" w:color="auto" w:fill="auto"/>
            <w:tcMar>
              <w:left w:w="57" w:type="dxa"/>
              <w:right w:w="57" w:type="dxa"/>
            </w:tcMar>
          </w:tcPr>
          <w:p w14:paraId="68E7EAC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-2.5</w:t>
            </w:r>
            <w:r w:rsidRPr="002C5B5D">
              <w:rPr>
                <w:rFonts w:ascii="Arial" w:hAnsi="Arial" w:cs="Arial"/>
                <w:sz w:val="24"/>
                <w:szCs w:val="24"/>
              </w:rPr>
              <w:fldChar w:fldCharType="end"/>
            </w:r>
          </w:p>
        </w:tc>
        <w:tc>
          <w:tcPr>
            <w:tcW w:w="990" w:type="dxa"/>
            <w:shd w:val="clear" w:color="auto" w:fill="auto"/>
            <w:tcMar>
              <w:left w:w="57" w:type="dxa"/>
              <w:right w:w="57" w:type="dxa"/>
            </w:tcMar>
          </w:tcPr>
          <w:p w14:paraId="2427CF82"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0BD43DA2" w14:textId="77777777" w:rsidTr="003963BF">
        <w:trPr>
          <w:gridAfter w:val="1"/>
          <w:wAfter w:w="354" w:type="dxa"/>
          <w:trHeight w:val="340"/>
        </w:trPr>
        <w:tc>
          <w:tcPr>
            <w:tcW w:w="3171" w:type="dxa"/>
            <w:shd w:val="clear" w:color="auto" w:fill="auto"/>
            <w:tcMar>
              <w:left w:w="57" w:type="dxa"/>
              <w:right w:w="57" w:type="dxa"/>
            </w:tcMar>
          </w:tcPr>
          <w:p w14:paraId="7661D54F"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lastRenderedPageBreak/>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safety programmed works completed within agreed timeframes</w:t>
            </w:r>
            <w:r w:rsidR="00105501" w:rsidRPr="002C5B5D">
              <w:rPr>
                <w:rFonts w:ascii="Arial" w:hAnsi="Arial" w:cs="Arial"/>
                <w:sz w:val="24"/>
                <w:szCs w:val="24"/>
              </w:rPr>
              <w:fldChar w:fldCharType="end"/>
            </w:r>
          </w:p>
        </w:tc>
        <w:tc>
          <w:tcPr>
            <w:tcW w:w="990" w:type="dxa"/>
            <w:shd w:val="clear" w:color="auto" w:fill="auto"/>
            <w:tcMar>
              <w:left w:w="57" w:type="dxa"/>
              <w:right w:w="57" w:type="dxa"/>
            </w:tcMar>
          </w:tcPr>
          <w:p w14:paraId="2241215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990" w:type="dxa"/>
            <w:shd w:val="clear" w:color="auto" w:fill="auto"/>
            <w:tcMar>
              <w:left w:w="57" w:type="dxa"/>
              <w:right w:w="57" w:type="dxa"/>
            </w:tcMar>
          </w:tcPr>
          <w:p w14:paraId="37A931A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71</w:t>
            </w:r>
            <w:r w:rsidRPr="002C5B5D">
              <w:rPr>
                <w:rFonts w:ascii="Arial" w:hAnsi="Arial" w:cs="Arial"/>
                <w:sz w:val="24"/>
                <w:szCs w:val="24"/>
              </w:rPr>
              <w:fldChar w:fldCharType="end"/>
            </w:r>
          </w:p>
        </w:tc>
        <w:tc>
          <w:tcPr>
            <w:tcW w:w="990" w:type="dxa"/>
            <w:shd w:val="clear" w:color="auto" w:fill="auto"/>
            <w:tcMar>
              <w:left w:w="57" w:type="dxa"/>
              <w:right w:w="57" w:type="dxa"/>
            </w:tcMar>
          </w:tcPr>
          <w:p w14:paraId="70E33AE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80</w:t>
            </w:r>
            <w:r w:rsidRPr="002C5B5D">
              <w:rPr>
                <w:rFonts w:ascii="Arial" w:hAnsi="Arial" w:cs="Arial"/>
                <w:sz w:val="24"/>
                <w:szCs w:val="24"/>
              </w:rPr>
              <w:fldChar w:fldCharType="end"/>
            </w:r>
          </w:p>
        </w:tc>
        <w:tc>
          <w:tcPr>
            <w:tcW w:w="1232" w:type="dxa"/>
            <w:shd w:val="clear" w:color="auto" w:fill="auto"/>
            <w:tcMar>
              <w:left w:w="57" w:type="dxa"/>
              <w:right w:w="57" w:type="dxa"/>
            </w:tcMar>
          </w:tcPr>
          <w:p w14:paraId="585751D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-11.3</w:t>
            </w:r>
            <w:r w:rsidRPr="002C5B5D">
              <w:rPr>
                <w:rFonts w:ascii="Arial" w:hAnsi="Arial" w:cs="Arial"/>
                <w:sz w:val="24"/>
                <w:szCs w:val="24"/>
              </w:rPr>
              <w:fldChar w:fldCharType="end"/>
            </w:r>
          </w:p>
        </w:tc>
        <w:tc>
          <w:tcPr>
            <w:tcW w:w="990" w:type="dxa"/>
            <w:shd w:val="clear" w:color="auto" w:fill="auto"/>
            <w:tcMar>
              <w:left w:w="57" w:type="dxa"/>
              <w:right w:w="57" w:type="dxa"/>
            </w:tcMar>
          </w:tcPr>
          <w:p w14:paraId="28EC49B4"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74118B03" w14:textId="77777777" w:rsidTr="003963BF">
        <w:trPr>
          <w:gridAfter w:val="1"/>
          <w:wAfter w:w="354" w:type="dxa"/>
        </w:trPr>
        <w:tc>
          <w:tcPr>
            <w:tcW w:w="8363" w:type="dxa"/>
            <w:gridSpan w:val="6"/>
            <w:shd w:val="clear" w:color="auto" w:fill="auto"/>
            <w:tcMar>
              <w:left w:w="57" w:type="dxa"/>
              <w:right w:w="57" w:type="dxa"/>
            </w:tcMar>
          </w:tcPr>
          <w:p w14:paraId="684D2F04"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extensions given to some local governments to complete projects, wet weather, bushfires and resource issues due to the coronavirus (COVID-19) response.</w:t>
            </w:r>
            <w:r w:rsidRPr="002C5B5D">
              <w:rPr>
                <w:rFonts w:ascii="Arial" w:hAnsi="Arial" w:cs="Arial"/>
                <w:i/>
                <w:sz w:val="24"/>
                <w:szCs w:val="24"/>
              </w:rPr>
              <w:fldChar w:fldCharType="end"/>
            </w:r>
          </w:p>
        </w:tc>
      </w:tr>
      <w:tr w:rsidR="003E5BF5" w:rsidRPr="002C5B5D" w14:paraId="3198E75D" w14:textId="77777777" w:rsidTr="003963BF">
        <w:trPr>
          <w:gridAfter w:val="1"/>
          <w:wAfter w:w="354" w:type="dxa"/>
          <w:trHeight w:val="340"/>
        </w:trPr>
        <w:tc>
          <w:tcPr>
            <w:tcW w:w="3171" w:type="dxa"/>
            <w:shd w:val="clear" w:color="auto" w:fill="auto"/>
            <w:tcMar>
              <w:left w:w="57" w:type="dxa"/>
              <w:right w:w="57" w:type="dxa"/>
            </w:tcMar>
          </w:tcPr>
          <w:p w14:paraId="600ED4C5"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vehicle and driver regulation: average speed of calls answered in registration and licensing call centres</w:t>
            </w:r>
            <w:r w:rsidR="00105501" w:rsidRPr="002C5B5D">
              <w:rPr>
                <w:rFonts w:ascii="Arial" w:hAnsi="Arial" w:cs="Arial"/>
                <w:sz w:val="24"/>
                <w:szCs w:val="24"/>
              </w:rPr>
              <w:fldChar w:fldCharType="end"/>
            </w:r>
          </w:p>
        </w:tc>
        <w:tc>
          <w:tcPr>
            <w:tcW w:w="990" w:type="dxa"/>
            <w:shd w:val="clear" w:color="auto" w:fill="auto"/>
            <w:tcMar>
              <w:left w:w="57" w:type="dxa"/>
              <w:right w:w="57" w:type="dxa"/>
            </w:tcMar>
          </w:tcPr>
          <w:p w14:paraId="34056BF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seconds</w:t>
            </w:r>
            <w:r w:rsidRPr="002C5B5D">
              <w:rPr>
                <w:rFonts w:ascii="Arial" w:hAnsi="Arial" w:cs="Arial"/>
                <w:sz w:val="24"/>
                <w:szCs w:val="24"/>
              </w:rPr>
              <w:fldChar w:fldCharType="end"/>
            </w:r>
          </w:p>
        </w:tc>
        <w:tc>
          <w:tcPr>
            <w:tcW w:w="990" w:type="dxa"/>
            <w:shd w:val="clear" w:color="auto" w:fill="auto"/>
            <w:tcMar>
              <w:left w:w="57" w:type="dxa"/>
              <w:right w:w="57" w:type="dxa"/>
            </w:tcMar>
          </w:tcPr>
          <w:p w14:paraId="4F0B0FB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380</w:t>
            </w:r>
            <w:r w:rsidRPr="002C5B5D">
              <w:rPr>
                <w:rFonts w:ascii="Arial" w:hAnsi="Arial" w:cs="Arial"/>
                <w:sz w:val="24"/>
                <w:szCs w:val="24"/>
              </w:rPr>
              <w:fldChar w:fldCharType="end"/>
            </w:r>
          </w:p>
        </w:tc>
        <w:tc>
          <w:tcPr>
            <w:tcW w:w="990" w:type="dxa"/>
            <w:shd w:val="clear" w:color="auto" w:fill="auto"/>
            <w:tcMar>
              <w:left w:w="57" w:type="dxa"/>
              <w:right w:w="57" w:type="dxa"/>
            </w:tcMar>
          </w:tcPr>
          <w:p w14:paraId="7666891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240</w:t>
            </w:r>
            <w:r w:rsidRPr="002C5B5D">
              <w:rPr>
                <w:rFonts w:ascii="Arial" w:hAnsi="Arial" w:cs="Arial"/>
                <w:sz w:val="24"/>
                <w:szCs w:val="24"/>
              </w:rPr>
              <w:fldChar w:fldCharType="end"/>
            </w:r>
          </w:p>
        </w:tc>
        <w:tc>
          <w:tcPr>
            <w:tcW w:w="1232" w:type="dxa"/>
            <w:shd w:val="clear" w:color="auto" w:fill="auto"/>
            <w:tcMar>
              <w:left w:w="57" w:type="dxa"/>
              <w:right w:w="57" w:type="dxa"/>
            </w:tcMar>
          </w:tcPr>
          <w:p w14:paraId="56A523B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58.3</w:t>
            </w:r>
            <w:r w:rsidRPr="002C5B5D">
              <w:rPr>
                <w:rFonts w:ascii="Arial" w:hAnsi="Arial" w:cs="Arial"/>
                <w:sz w:val="24"/>
                <w:szCs w:val="24"/>
              </w:rPr>
              <w:fldChar w:fldCharType="end"/>
            </w:r>
          </w:p>
        </w:tc>
        <w:tc>
          <w:tcPr>
            <w:tcW w:w="990" w:type="dxa"/>
            <w:shd w:val="clear" w:color="auto" w:fill="auto"/>
            <w:tcMar>
              <w:left w:w="57" w:type="dxa"/>
              <w:right w:w="57" w:type="dxa"/>
            </w:tcMar>
          </w:tcPr>
          <w:p w14:paraId="185936D2"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3F160C85" w14:textId="77777777" w:rsidTr="003963BF">
        <w:tc>
          <w:tcPr>
            <w:tcW w:w="8363" w:type="dxa"/>
            <w:gridSpan w:val="6"/>
            <w:shd w:val="clear" w:color="auto" w:fill="auto"/>
            <w:tcMar>
              <w:left w:w="57" w:type="dxa"/>
              <w:right w:w="57" w:type="dxa"/>
            </w:tcMar>
          </w:tcPr>
          <w:p w14:paraId="51F0A2CA"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t>Due to increased volumes and complexity of enquiries and impact of Victorian bushfires from December to March. Improvements to the booking system are being investigated; and digital transformation projects are expected to reduce workload.</w:t>
            </w:r>
          </w:p>
        </w:tc>
        <w:tc>
          <w:tcPr>
            <w:tcW w:w="354" w:type="dxa"/>
            <w:shd w:val="clear" w:color="auto" w:fill="auto"/>
          </w:tcPr>
          <w:p w14:paraId="17A20E94" w14:textId="77777777" w:rsidR="003E5BF5" w:rsidRPr="002C5B5D" w:rsidRDefault="003E5BF5">
            <w:pPr>
              <w:spacing w:after="160" w:line="259" w:lineRule="auto"/>
              <w:rPr>
                <w:rFonts w:ascii="Arial" w:hAnsi="Arial" w:cs="Arial"/>
                <w:sz w:val="24"/>
                <w:szCs w:val="24"/>
              </w:rPr>
            </w:pPr>
          </w:p>
        </w:tc>
      </w:tr>
      <w:tr w:rsidR="003E5BF5" w:rsidRPr="002C5B5D" w14:paraId="206D6DA8" w14:textId="77777777" w:rsidTr="003963BF">
        <w:trPr>
          <w:gridAfter w:val="1"/>
          <w:wAfter w:w="354" w:type="dxa"/>
          <w:trHeight w:val="340"/>
        </w:trPr>
        <w:tc>
          <w:tcPr>
            <w:tcW w:w="3171" w:type="dxa"/>
            <w:shd w:val="clear" w:color="auto" w:fill="auto"/>
            <w:tcMar>
              <w:left w:w="57" w:type="dxa"/>
              <w:right w:w="57" w:type="dxa"/>
            </w:tcMar>
          </w:tcPr>
          <w:p w14:paraId="4BEB3277"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vehicle and driver regulation: customers served within 10 minutes in registration and licensing Customer Service Centres</w:t>
            </w:r>
            <w:r w:rsidR="00105501" w:rsidRPr="002C5B5D">
              <w:rPr>
                <w:rFonts w:ascii="Arial" w:hAnsi="Arial" w:cs="Arial"/>
                <w:sz w:val="24"/>
                <w:szCs w:val="24"/>
              </w:rPr>
              <w:fldChar w:fldCharType="end"/>
            </w:r>
          </w:p>
        </w:tc>
        <w:tc>
          <w:tcPr>
            <w:tcW w:w="990" w:type="dxa"/>
            <w:shd w:val="clear" w:color="auto" w:fill="auto"/>
            <w:tcMar>
              <w:left w:w="57" w:type="dxa"/>
              <w:right w:w="57" w:type="dxa"/>
            </w:tcMar>
          </w:tcPr>
          <w:p w14:paraId="18FBEB81"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990" w:type="dxa"/>
            <w:shd w:val="clear" w:color="auto" w:fill="auto"/>
            <w:tcMar>
              <w:left w:w="57" w:type="dxa"/>
              <w:right w:w="57" w:type="dxa"/>
            </w:tcMar>
          </w:tcPr>
          <w:p w14:paraId="1386796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64</w:t>
            </w:r>
            <w:r w:rsidRPr="002C5B5D">
              <w:rPr>
                <w:rFonts w:ascii="Arial" w:hAnsi="Arial" w:cs="Arial"/>
                <w:sz w:val="24"/>
                <w:szCs w:val="24"/>
              </w:rPr>
              <w:fldChar w:fldCharType="end"/>
            </w:r>
          </w:p>
        </w:tc>
        <w:tc>
          <w:tcPr>
            <w:tcW w:w="990" w:type="dxa"/>
            <w:shd w:val="clear" w:color="auto" w:fill="auto"/>
            <w:tcMar>
              <w:left w:w="57" w:type="dxa"/>
              <w:right w:w="57" w:type="dxa"/>
            </w:tcMar>
          </w:tcPr>
          <w:p w14:paraId="28EC071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80</w:t>
            </w:r>
            <w:r w:rsidRPr="002C5B5D">
              <w:rPr>
                <w:rFonts w:ascii="Arial" w:hAnsi="Arial" w:cs="Arial"/>
                <w:sz w:val="24"/>
                <w:szCs w:val="24"/>
              </w:rPr>
              <w:fldChar w:fldCharType="end"/>
            </w:r>
          </w:p>
        </w:tc>
        <w:tc>
          <w:tcPr>
            <w:tcW w:w="1232" w:type="dxa"/>
            <w:shd w:val="clear" w:color="auto" w:fill="auto"/>
            <w:tcMar>
              <w:left w:w="57" w:type="dxa"/>
              <w:right w:w="57" w:type="dxa"/>
            </w:tcMar>
          </w:tcPr>
          <w:p w14:paraId="01D99AD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-20.0</w:t>
            </w:r>
            <w:r w:rsidRPr="002C5B5D">
              <w:rPr>
                <w:rFonts w:ascii="Arial" w:hAnsi="Arial" w:cs="Arial"/>
                <w:sz w:val="24"/>
                <w:szCs w:val="24"/>
              </w:rPr>
              <w:fldChar w:fldCharType="end"/>
            </w:r>
          </w:p>
        </w:tc>
        <w:tc>
          <w:tcPr>
            <w:tcW w:w="990" w:type="dxa"/>
            <w:shd w:val="clear" w:color="auto" w:fill="auto"/>
            <w:tcMar>
              <w:left w:w="57" w:type="dxa"/>
              <w:right w:w="57" w:type="dxa"/>
            </w:tcMar>
          </w:tcPr>
          <w:p w14:paraId="1415B92B"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2E182D44" w14:textId="77777777" w:rsidTr="003963BF">
        <w:trPr>
          <w:gridAfter w:val="1"/>
          <w:wAfter w:w="354" w:type="dxa"/>
        </w:trPr>
        <w:tc>
          <w:tcPr>
            <w:tcW w:w="8363" w:type="dxa"/>
            <w:gridSpan w:val="6"/>
            <w:shd w:val="clear" w:color="auto" w:fill="auto"/>
            <w:tcMar>
              <w:left w:w="57" w:type="dxa"/>
              <w:right w:w="57" w:type="dxa"/>
            </w:tcMar>
          </w:tcPr>
          <w:p w14:paraId="21149801"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t>Due to changes in the service mix of the customer service centres with fewer straightforward payment transactions and more appointment-related transactions. Increased demand for processing overseas licences required redirecting counter staff to meet this demand, increasing average handling time.</w:t>
            </w:r>
          </w:p>
        </w:tc>
      </w:tr>
      <w:tr w:rsidR="003E5BF5" w:rsidRPr="002C5B5D" w14:paraId="44415E78" w14:textId="77777777" w:rsidTr="003963BF">
        <w:trPr>
          <w:gridAfter w:val="1"/>
          <w:wAfter w:w="354" w:type="dxa"/>
          <w:trHeight w:val="340"/>
        </w:trPr>
        <w:tc>
          <w:tcPr>
            <w:tcW w:w="3171" w:type="dxa"/>
            <w:shd w:val="clear" w:color="auto" w:fill="auto"/>
            <w:tcMar>
              <w:left w:w="57" w:type="dxa"/>
              <w:right w:w="57" w:type="dxa"/>
            </w:tcMar>
            <w:vAlign w:val="center"/>
          </w:tcPr>
          <w:p w14:paraId="708D4771"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Cost</w:t>
            </w:r>
          </w:p>
        </w:tc>
        <w:tc>
          <w:tcPr>
            <w:tcW w:w="990" w:type="dxa"/>
            <w:shd w:val="clear" w:color="auto" w:fill="auto"/>
            <w:tcMar>
              <w:left w:w="57" w:type="dxa"/>
              <w:right w:w="57" w:type="dxa"/>
            </w:tcMar>
            <w:vAlign w:val="center"/>
          </w:tcPr>
          <w:p w14:paraId="76FAADAA" w14:textId="77777777" w:rsidR="003E5BF5" w:rsidRPr="002C5B5D" w:rsidRDefault="003E5BF5" w:rsidP="00DE1921">
            <w:pPr>
              <w:pStyle w:val="TableTextRight"/>
              <w:rPr>
                <w:rFonts w:ascii="Arial" w:hAnsi="Arial" w:cs="Arial"/>
                <w:sz w:val="24"/>
                <w:szCs w:val="24"/>
              </w:rPr>
            </w:pPr>
          </w:p>
        </w:tc>
        <w:tc>
          <w:tcPr>
            <w:tcW w:w="990" w:type="dxa"/>
            <w:shd w:val="clear" w:color="auto" w:fill="auto"/>
            <w:tcMar>
              <w:left w:w="57" w:type="dxa"/>
              <w:right w:w="57" w:type="dxa"/>
            </w:tcMar>
            <w:vAlign w:val="center"/>
          </w:tcPr>
          <w:p w14:paraId="09E53717" w14:textId="77777777" w:rsidR="003E5BF5" w:rsidRPr="002C5B5D" w:rsidRDefault="003E5BF5" w:rsidP="00DE1921">
            <w:pPr>
              <w:pStyle w:val="TableTextRight"/>
              <w:rPr>
                <w:rFonts w:ascii="Arial" w:hAnsi="Arial" w:cs="Arial"/>
                <w:sz w:val="24"/>
                <w:szCs w:val="24"/>
              </w:rPr>
            </w:pPr>
          </w:p>
        </w:tc>
        <w:tc>
          <w:tcPr>
            <w:tcW w:w="990" w:type="dxa"/>
            <w:shd w:val="clear" w:color="auto" w:fill="auto"/>
            <w:tcMar>
              <w:left w:w="57" w:type="dxa"/>
              <w:right w:w="57" w:type="dxa"/>
            </w:tcMar>
            <w:vAlign w:val="center"/>
          </w:tcPr>
          <w:p w14:paraId="397F2939" w14:textId="77777777" w:rsidR="003E5BF5" w:rsidRPr="002C5B5D" w:rsidRDefault="003E5BF5" w:rsidP="00DE1921">
            <w:pPr>
              <w:pStyle w:val="TableTextRight"/>
              <w:rPr>
                <w:rFonts w:ascii="Arial" w:hAnsi="Arial" w:cs="Arial"/>
                <w:sz w:val="24"/>
                <w:szCs w:val="24"/>
              </w:rPr>
            </w:pPr>
          </w:p>
        </w:tc>
        <w:tc>
          <w:tcPr>
            <w:tcW w:w="1232" w:type="dxa"/>
            <w:shd w:val="clear" w:color="auto" w:fill="auto"/>
            <w:tcMar>
              <w:left w:w="57" w:type="dxa"/>
              <w:right w:w="57" w:type="dxa"/>
            </w:tcMar>
            <w:vAlign w:val="center"/>
          </w:tcPr>
          <w:p w14:paraId="5E5D4E91" w14:textId="77777777" w:rsidR="003E5BF5" w:rsidRPr="002C5B5D" w:rsidRDefault="003E5BF5" w:rsidP="00DE1921">
            <w:pPr>
              <w:pStyle w:val="TableTextRight"/>
              <w:rPr>
                <w:rFonts w:ascii="Arial" w:hAnsi="Arial" w:cs="Arial"/>
                <w:sz w:val="24"/>
                <w:szCs w:val="24"/>
              </w:rPr>
            </w:pPr>
          </w:p>
        </w:tc>
        <w:tc>
          <w:tcPr>
            <w:tcW w:w="990" w:type="dxa"/>
            <w:shd w:val="clear" w:color="auto" w:fill="auto"/>
            <w:tcMar>
              <w:left w:w="57" w:type="dxa"/>
              <w:right w:w="57" w:type="dxa"/>
            </w:tcMar>
            <w:vAlign w:val="center"/>
          </w:tcPr>
          <w:p w14:paraId="3C9BE8DE" w14:textId="77777777" w:rsidR="003E5BF5" w:rsidRPr="002C5B5D" w:rsidRDefault="003E5BF5" w:rsidP="00DE1921">
            <w:pPr>
              <w:pStyle w:val="TableTextRight"/>
              <w:rPr>
                <w:rFonts w:ascii="Arial" w:hAnsi="Arial" w:cs="Arial"/>
                <w:sz w:val="24"/>
                <w:szCs w:val="24"/>
              </w:rPr>
            </w:pPr>
          </w:p>
        </w:tc>
      </w:tr>
      <w:tr w:rsidR="003E5BF5" w:rsidRPr="002C5B5D" w14:paraId="05E0E1E4" w14:textId="77777777" w:rsidTr="003963BF">
        <w:trPr>
          <w:gridAfter w:val="1"/>
          <w:wAfter w:w="354" w:type="dxa"/>
        </w:trPr>
        <w:tc>
          <w:tcPr>
            <w:tcW w:w="3171" w:type="dxa"/>
            <w:shd w:val="clear" w:color="auto" w:fill="auto"/>
            <w:tcMar>
              <w:left w:w="57" w:type="dxa"/>
              <w:right w:w="57" w:type="dxa"/>
            </w:tcMar>
          </w:tcPr>
          <w:p w14:paraId="1AD208EC"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t>Total output cost</w:t>
            </w:r>
          </w:p>
        </w:tc>
        <w:tc>
          <w:tcPr>
            <w:tcW w:w="990" w:type="dxa"/>
            <w:shd w:val="clear" w:color="auto" w:fill="auto"/>
            <w:tcMar>
              <w:left w:w="57" w:type="dxa"/>
              <w:right w:w="57" w:type="dxa"/>
            </w:tcMar>
          </w:tcPr>
          <w:p w14:paraId="06AD0BB9"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 million</w:t>
            </w:r>
          </w:p>
        </w:tc>
        <w:tc>
          <w:tcPr>
            <w:tcW w:w="990" w:type="dxa"/>
            <w:shd w:val="clear" w:color="auto" w:fill="auto"/>
            <w:tcMar>
              <w:left w:w="57" w:type="dxa"/>
              <w:right w:w="57" w:type="dxa"/>
            </w:tcMar>
          </w:tcPr>
          <w:p w14:paraId="37A75E59"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1,663.2</w:t>
            </w:r>
          </w:p>
        </w:tc>
        <w:tc>
          <w:tcPr>
            <w:tcW w:w="990" w:type="dxa"/>
            <w:shd w:val="clear" w:color="auto" w:fill="auto"/>
            <w:tcMar>
              <w:left w:w="57" w:type="dxa"/>
              <w:right w:w="57" w:type="dxa"/>
            </w:tcMar>
          </w:tcPr>
          <w:p w14:paraId="2ADB4145"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1,757.5</w:t>
            </w:r>
          </w:p>
        </w:tc>
        <w:tc>
          <w:tcPr>
            <w:tcW w:w="1232" w:type="dxa"/>
            <w:shd w:val="clear" w:color="auto" w:fill="auto"/>
            <w:tcMar>
              <w:left w:w="57" w:type="dxa"/>
              <w:right w:w="57" w:type="dxa"/>
            </w:tcMar>
          </w:tcPr>
          <w:p w14:paraId="3863ABBD"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-5.4</w:t>
            </w:r>
          </w:p>
        </w:tc>
        <w:tc>
          <w:tcPr>
            <w:tcW w:w="990" w:type="dxa"/>
            <w:shd w:val="clear" w:color="auto" w:fill="auto"/>
            <w:tcMar>
              <w:left w:w="57" w:type="dxa"/>
              <w:right w:w="57" w:type="dxa"/>
            </w:tcMar>
          </w:tcPr>
          <w:p w14:paraId="62C049ED"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742820D7" w14:textId="77777777" w:rsidTr="003963BF">
        <w:trPr>
          <w:gridAfter w:val="1"/>
          <w:wAfter w:w="354" w:type="dxa"/>
        </w:trPr>
        <w:tc>
          <w:tcPr>
            <w:tcW w:w="8363" w:type="dxa"/>
            <w:gridSpan w:val="6"/>
            <w:shd w:val="clear" w:color="auto" w:fill="auto"/>
            <w:tcMar>
              <w:left w:w="57" w:type="dxa"/>
              <w:right w:w="57" w:type="dxa"/>
            </w:tcMar>
          </w:tcPr>
          <w:p w14:paraId="1F46A4AC" w14:textId="77777777" w:rsidR="003E5BF5" w:rsidRPr="002C5B5D" w:rsidRDefault="003E5BF5" w:rsidP="00DE1921">
            <w:pPr>
              <w:pStyle w:val="TableTextLeftItalics"/>
              <w:rPr>
                <w:rFonts w:ascii="Arial" w:hAnsi="Arial" w:cs="Arial"/>
                <w:sz w:val="24"/>
                <w:szCs w:val="24"/>
              </w:rPr>
            </w:pPr>
            <w:r w:rsidRPr="002C5B5D">
              <w:rPr>
                <w:rFonts w:ascii="Arial" w:hAnsi="Arial" w:cs="Arial"/>
                <w:sz w:val="24"/>
                <w:szCs w:val="24"/>
              </w:rPr>
              <w:t>The 2019-20 result is lower than the budget due to deferrals in some initiatives.</w:t>
            </w:r>
          </w:p>
        </w:tc>
      </w:tr>
    </w:tbl>
    <w:p w14:paraId="4280C773" w14:textId="77777777" w:rsidR="003E5BF5" w:rsidRPr="002C5B5D" w:rsidRDefault="003E5BF5" w:rsidP="00DE1921">
      <w:pPr>
        <w:pStyle w:val="Note"/>
        <w:rPr>
          <w:rFonts w:ascii="Arial" w:hAnsi="Arial" w:cs="Arial"/>
          <w:sz w:val="24"/>
          <w:szCs w:val="24"/>
        </w:rPr>
      </w:pPr>
      <w:r w:rsidRPr="002C5B5D">
        <w:rPr>
          <w:rFonts w:ascii="Arial" w:hAnsi="Arial" w:cs="Arial"/>
          <w:sz w:val="24"/>
          <w:szCs w:val="24"/>
        </w:rPr>
        <w:t>Notes:</w:t>
      </w:r>
    </w:p>
    <w:p w14:paraId="61705D9E" w14:textId="77777777" w:rsidR="003E5BF5" w:rsidRPr="002C5B5D" w:rsidRDefault="003E5BF5" w:rsidP="00DE1921">
      <w:pPr>
        <w:pStyle w:val="Notenumber123"/>
        <w:numPr>
          <w:ilvl w:val="0"/>
          <w:numId w:val="0"/>
        </w:numPr>
        <w:ind w:left="113"/>
        <w:rPr>
          <w:rFonts w:ascii="Arial" w:hAnsi="Arial" w:cs="Arial"/>
          <w:sz w:val="24"/>
          <w:szCs w:val="24"/>
        </w:rPr>
      </w:pPr>
      <w:r w:rsidRPr="002C5B5D">
        <w:rPr>
          <w:rFonts w:ascii="Arial" w:hAnsi="Arial" w:cs="Arial"/>
          <w:sz w:val="24"/>
          <w:szCs w:val="24"/>
        </w:rPr>
        <w:sym w:font="Wingdings 2" w:char="F050"/>
      </w:r>
      <w:r w:rsidRPr="002C5B5D">
        <w:rPr>
          <w:rFonts w:ascii="Arial" w:hAnsi="Arial" w:cs="Arial"/>
          <w:sz w:val="24"/>
          <w:szCs w:val="24"/>
        </w:rPr>
        <w:t xml:space="preserve"> Performance target achieved or exceeded</w:t>
      </w:r>
    </w:p>
    <w:p w14:paraId="2EC4643F" w14:textId="77777777" w:rsidR="003E5BF5" w:rsidRPr="002C5B5D" w:rsidRDefault="003E5BF5" w:rsidP="00580FD7">
      <w:pPr>
        <w:pStyle w:val="Notenumber123"/>
        <w:numPr>
          <w:ilvl w:val="0"/>
          <w:numId w:val="0"/>
        </w:numPr>
        <w:ind w:left="113"/>
        <w:rPr>
          <w:rFonts w:ascii="Arial" w:hAnsi="Arial" w:cs="Arial"/>
          <w:sz w:val="24"/>
          <w:szCs w:val="24"/>
        </w:rPr>
      </w:pPr>
      <w:r w:rsidRPr="002C5B5D">
        <w:rPr>
          <w:rFonts w:ascii="Arial" w:hAnsi="Arial" w:cs="Arial"/>
          <w:sz w:val="24"/>
          <w:szCs w:val="24"/>
        </w:rPr>
        <w:sym w:font="Wingdings 2" w:char="F099"/>
      </w:r>
      <w:r w:rsidRPr="002C5B5D">
        <w:rPr>
          <w:rFonts w:ascii="Arial" w:hAnsi="Arial" w:cs="Arial"/>
          <w:sz w:val="24"/>
          <w:szCs w:val="24"/>
        </w:rPr>
        <w:t xml:space="preserve"> Performance target not achieved – within 5 per cent or $50 million (cost measure only) variance</w:t>
      </w:r>
    </w:p>
    <w:p w14:paraId="3F46834D" w14:textId="77777777" w:rsidR="003E5BF5" w:rsidRPr="002C5B5D" w:rsidRDefault="003E5BF5" w:rsidP="00580FD7">
      <w:pPr>
        <w:pStyle w:val="Notenumber123"/>
        <w:numPr>
          <w:ilvl w:val="0"/>
          <w:numId w:val="0"/>
        </w:numPr>
        <w:ind w:left="113"/>
        <w:rPr>
          <w:rFonts w:ascii="Arial" w:hAnsi="Arial" w:cs="Arial"/>
          <w:sz w:val="24"/>
          <w:szCs w:val="24"/>
        </w:rPr>
        <w:sectPr w:rsidR="003E5BF5" w:rsidRPr="002C5B5D" w:rsidSect="00DE1921">
          <w:pgSz w:w="11906" w:h="16838"/>
          <w:pgMar w:top="1701" w:right="1418" w:bottom="1418" w:left="1418" w:header="709" w:footer="709" w:gutter="0"/>
          <w:cols w:space="284"/>
          <w:docGrid w:linePitch="360"/>
        </w:sectPr>
      </w:pPr>
      <w:r w:rsidRPr="002C5B5D">
        <w:rPr>
          <w:rFonts w:ascii="Arial" w:hAnsi="Arial" w:cs="Arial"/>
          <w:sz w:val="24"/>
          <w:szCs w:val="24"/>
        </w:rPr>
        <w:sym w:font="Wingdings 2" w:char="F0A1"/>
      </w:r>
      <w:r w:rsidRPr="002C5B5D">
        <w:rPr>
          <w:rFonts w:ascii="Arial" w:hAnsi="Arial" w:cs="Arial"/>
          <w:sz w:val="24"/>
          <w:szCs w:val="24"/>
        </w:rPr>
        <w:t xml:space="preserve"> Performance target not achieved – exceeds 5 per cent or $50 million (cost measure only) variance </w:t>
      </w:r>
    </w:p>
    <w:p w14:paraId="0F280694" w14:textId="77777777" w:rsidR="003E5BF5" w:rsidRPr="008009A5" w:rsidRDefault="003E5BF5" w:rsidP="00EF5131">
      <w:pPr>
        <w:pStyle w:val="Heading5"/>
      </w:pPr>
      <w:r w:rsidRPr="008009A5">
        <w:lastRenderedPageBreak/>
        <w:t xml:space="preserve">Train Services </w:t>
      </w:r>
    </w:p>
    <w:p w14:paraId="0D911AEF" w14:textId="77777777" w:rsidR="003E5BF5" w:rsidRPr="0038022E" w:rsidRDefault="003E5BF5" w:rsidP="00091232">
      <w:pPr>
        <w:pStyle w:val="aaatyping"/>
      </w:pPr>
      <w:r>
        <w:t xml:space="preserve">This output contributes to the department’s objective by delivering </w:t>
      </w:r>
      <w:r w:rsidRPr="0038022E">
        <w:t xml:space="preserve">a </w:t>
      </w:r>
      <w:r>
        <w:t xml:space="preserve">safe, </w:t>
      </w:r>
      <w:r w:rsidRPr="0038022E">
        <w:t xml:space="preserve">reliable and cost-effective </w:t>
      </w:r>
      <w:r>
        <w:t xml:space="preserve">train </w:t>
      </w:r>
      <w:r w:rsidRPr="0038022E">
        <w:t>service and infrastructure investments</w:t>
      </w:r>
      <w:r>
        <w:t xml:space="preserve"> across Victoria</w:t>
      </w:r>
      <w:r w:rsidRPr="0038022E">
        <w:t>, including services delivered through contractual arrangements with private operators.</w:t>
      </w:r>
      <w:r>
        <w:t xml:space="preserve"> </w:t>
      </w:r>
    </w:p>
    <w:p w14:paraId="12C2FB06" w14:textId="77777777" w:rsidR="003E5BF5" w:rsidRPr="002C5B5D" w:rsidRDefault="003E5BF5" w:rsidP="00CF74EB">
      <w:pPr>
        <w:pStyle w:val="TableHeader"/>
      </w:pPr>
      <w:r w:rsidRPr="002C5B5D">
        <w:t>Train Services - Metropolitan</w:t>
      </w:r>
    </w:p>
    <w:tbl>
      <w:tblPr>
        <w:tblStyle w:val="TableGrid"/>
        <w:tblW w:w="9072" w:type="dxa"/>
        <w:tblCellMar>
          <w:left w:w="28" w:type="dxa"/>
          <w:right w:w="28" w:type="dxa"/>
        </w:tblCellMar>
        <w:tblLook w:val="04A0" w:firstRow="1" w:lastRow="0" w:firstColumn="1" w:lastColumn="0" w:noHBand="0" w:noVBand="1"/>
      </w:tblPr>
      <w:tblGrid>
        <w:gridCol w:w="3240"/>
        <w:gridCol w:w="1102"/>
        <w:gridCol w:w="1052"/>
        <w:gridCol w:w="1052"/>
        <w:gridCol w:w="1582"/>
        <w:gridCol w:w="1044"/>
      </w:tblGrid>
      <w:tr w:rsidR="003E5BF5" w:rsidRPr="002C5B5D" w14:paraId="5ED886A8" w14:textId="77777777" w:rsidTr="00A54D6C">
        <w:trPr>
          <w:trHeight w:val="340"/>
          <w:tblHeader/>
        </w:trPr>
        <w:tc>
          <w:tcPr>
            <w:tcW w:w="3456" w:type="dxa"/>
            <w:shd w:val="clear" w:color="auto" w:fill="auto"/>
            <w:tcMar>
              <w:left w:w="57" w:type="dxa"/>
              <w:right w:w="57" w:type="dxa"/>
            </w:tcMar>
          </w:tcPr>
          <w:p w14:paraId="5D24D17F" w14:textId="77777777" w:rsidR="003E5BF5" w:rsidRPr="002C5B5D" w:rsidRDefault="003E5BF5" w:rsidP="00DE1921">
            <w:pPr>
              <w:pStyle w:val="TableTextLeftBold"/>
              <w:rPr>
                <w:rFonts w:ascii="Arial" w:hAnsi="Arial" w:cs="Arial"/>
                <w:sz w:val="24"/>
                <w:szCs w:val="24"/>
              </w:rPr>
            </w:pPr>
            <w:r w:rsidRPr="002C5B5D">
              <w:rPr>
                <w:rFonts w:ascii="Arial" w:hAnsi="Arial" w:cs="Arial"/>
                <w:sz w:val="24"/>
                <w:szCs w:val="24"/>
              </w:rPr>
              <w:t>Performance measures</w:t>
            </w:r>
          </w:p>
        </w:tc>
        <w:tc>
          <w:tcPr>
            <w:tcW w:w="1070" w:type="dxa"/>
            <w:shd w:val="clear" w:color="auto" w:fill="auto"/>
            <w:tcMar>
              <w:left w:w="57" w:type="dxa"/>
              <w:right w:w="57" w:type="dxa"/>
            </w:tcMar>
          </w:tcPr>
          <w:p w14:paraId="6885D771"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unit of measure</w:t>
            </w:r>
          </w:p>
        </w:tc>
        <w:tc>
          <w:tcPr>
            <w:tcW w:w="1070" w:type="dxa"/>
            <w:shd w:val="clear" w:color="auto" w:fill="auto"/>
            <w:tcMar>
              <w:left w:w="57" w:type="dxa"/>
              <w:right w:w="57" w:type="dxa"/>
            </w:tcMar>
          </w:tcPr>
          <w:p w14:paraId="71A6EFE0"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actual</w:t>
            </w:r>
          </w:p>
        </w:tc>
        <w:tc>
          <w:tcPr>
            <w:tcW w:w="1070" w:type="dxa"/>
            <w:shd w:val="clear" w:color="auto" w:fill="auto"/>
            <w:tcMar>
              <w:left w:w="57" w:type="dxa"/>
              <w:right w:w="57" w:type="dxa"/>
            </w:tcMar>
          </w:tcPr>
          <w:p w14:paraId="2C4D5ECF"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target</w:t>
            </w:r>
          </w:p>
        </w:tc>
        <w:tc>
          <w:tcPr>
            <w:tcW w:w="1336" w:type="dxa"/>
            <w:shd w:val="clear" w:color="auto" w:fill="auto"/>
            <w:tcMar>
              <w:left w:w="57" w:type="dxa"/>
              <w:right w:w="57" w:type="dxa"/>
            </w:tcMar>
          </w:tcPr>
          <w:p w14:paraId="2F3AFD8C"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Performance variation (%)</w:t>
            </w:r>
          </w:p>
        </w:tc>
        <w:tc>
          <w:tcPr>
            <w:tcW w:w="1070" w:type="dxa"/>
            <w:shd w:val="clear" w:color="auto" w:fill="auto"/>
            <w:tcMar>
              <w:left w:w="57" w:type="dxa"/>
              <w:right w:w="57" w:type="dxa"/>
            </w:tcMar>
          </w:tcPr>
          <w:p w14:paraId="051DAF3E"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Result</w:t>
            </w:r>
          </w:p>
        </w:tc>
      </w:tr>
      <w:tr w:rsidR="003E5BF5" w:rsidRPr="002C5B5D" w14:paraId="06987B6D" w14:textId="77777777" w:rsidTr="00A54D6C">
        <w:trPr>
          <w:trHeight w:val="340"/>
        </w:trPr>
        <w:tc>
          <w:tcPr>
            <w:tcW w:w="3456" w:type="dxa"/>
            <w:shd w:val="clear" w:color="auto" w:fill="auto"/>
            <w:tcMar>
              <w:left w:w="57" w:type="dxa"/>
              <w:right w:w="57" w:type="dxa"/>
            </w:tcMar>
            <w:vAlign w:val="center"/>
          </w:tcPr>
          <w:p w14:paraId="33B2D085"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Quantity</w:t>
            </w:r>
          </w:p>
        </w:tc>
        <w:tc>
          <w:tcPr>
            <w:tcW w:w="1070" w:type="dxa"/>
            <w:shd w:val="clear" w:color="auto" w:fill="auto"/>
            <w:tcMar>
              <w:left w:w="57" w:type="dxa"/>
              <w:right w:w="57" w:type="dxa"/>
            </w:tcMar>
            <w:vAlign w:val="center"/>
          </w:tcPr>
          <w:p w14:paraId="6DF650F6"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1D8CD49F"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3EC596ED"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3D3BE0A8"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3D266FB6" w14:textId="77777777" w:rsidR="003E5BF5" w:rsidRPr="002C5B5D" w:rsidRDefault="003E5BF5" w:rsidP="00DE1921">
            <w:pPr>
              <w:pStyle w:val="TableTextRight"/>
              <w:rPr>
                <w:rFonts w:ascii="Arial" w:hAnsi="Arial" w:cs="Arial"/>
                <w:sz w:val="24"/>
                <w:szCs w:val="24"/>
              </w:rPr>
            </w:pPr>
          </w:p>
        </w:tc>
      </w:tr>
      <w:tr w:rsidR="003E5BF5" w:rsidRPr="002C5B5D" w14:paraId="49568AD0" w14:textId="77777777" w:rsidTr="00A54D6C">
        <w:trPr>
          <w:trHeight w:val="340"/>
        </w:trPr>
        <w:tc>
          <w:tcPr>
            <w:tcW w:w="3456" w:type="dxa"/>
            <w:shd w:val="clear" w:color="auto" w:fill="auto"/>
            <w:tcMar>
              <w:left w:w="57" w:type="dxa"/>
              <w:right w:w="57" w:type="dxa"/>
            </w:tcMar>
          </w:tcPr>
          <w:p w14:paraId="22C3C410"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Passengers carried: metropolitan train services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4B456DE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 (million)</w:t>
            </w:r>
            <w:r w:rsidRPr="002C5B5D">
              <w:rPr>
                <w:rFonts w:ascii="Arial" w:hAnsi="Arial" w:cs="Arial"/>
                <w:sz w:val="24"/>
                <w:szCs w:val="24"/>
              </w:rPr>
              <w:fldChar w:fldCharType="end"/>
            </w:r>
          </w:p>
        </w:tc>
        <w:tc>
          <w:tcPr>
            <w:tcW w:w="1070" w:type="dxa"/>
            <w:shd w:val="clear" w:color="auto" w:fill="auto"/>
            <w:tcMar>
              <w:left w:w="57" w:type="dxa"/>
              <w:right w:w="57" w:type="dxa"/>
            </w:tcMar>
          </w:tcPr>
          <w:p w14:paraId="4195494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187.6</w:t>
            </w:r>
            <w:r w:rsidRPr="002C5B5D">
              <w:rPr>
                <w:rFonts w:ascii="Arial" w:hAnsi="Arial" w:cs="Arial"/>
                <w:sz w:val="24"/>
                <w:szCs w:val="24"/>
              </w:rPr>
              <w:fldChar w:fldCharType="end"/>
            </w:r>
          </w:p>
        </w:tc>
        <w:tc>
          <w:tcPr>
            <w:tcW w:w="1070" w:type="dxa"/>
            <w:shd w:val="clear" w:color="auto" w:fill="auto"/>
            <w:tcMar>
              <w:left w:w="57" w:type="dxa"/>
              <w:right w:w="57" w:type="dxa"/>
            </w:tcMar>
          </w:tcPr>
          <w:p w14:paraId="1729CC6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246.2</w:t>
            </w:r>
            <w:r w:rsidRPr="002C5B5D">
              <w:rPr>
                <w:rFonts w:ascii="Arial" w:hAnsi="Arial" w:cs="Arial"/>
                <w:sz w:val="24"/>
                <w:szCs w:val="24"/>
              </w:rPr>
              <w:fldChar w:fldCharType="end"/>
            </w:r>
          </w:p>
        </w:tc>
        <w:tc>
          <w:tcPr>
            <w:tcW w:w="1336" w:type="dxa"/>
            <w:shd w:val="clear" w:color="auto" w:fill="auto"/>
            <w:tcMar>
              <w:left w:w="57" w:type="dxa"/>
              <w:right w:w="57" w:type="dxa"/>
            </w:tcMar>
          </w:tcPr>
          <w:p w14:paraId="3993D64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-23.8</w:t>
            </w:r>
            <w:r w:rsidRPr="002C5B5D">
              <w:rPr>
                <w:rFonts w:ascii="Arial" w:hAnsi="Arial" w:cs="Arial"/>
                <w:sz w:val="24"/>
                <w:szCs w:val="24"/>
              </w:rPr>
              <w:fldChar w:fldCharType="end"/>
            </w:r>
          </w:p>
        </w:tc>
        <w:tc>
          <w:tcPr>
            <w:tcW w:w="1070" w:type="dxa"/>
            <w:shd w:val="clear" w:color="auto" w:fill="auto"/>
            <w:tcMar>
              <w:left w:w="57" w:type="dxa"/>
              <w:right w:w="57" w:type="dxa"/>
            </w:tcMar>
          </w:tcPr>
          <w:p w14:paraId="778F239F"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741F0FE5" w14:textId="77777777" w:rsidTr="00A54D6C">
        <w:tc>
          <w:tcPr>
            <w:tcW w:w="9072" w:type="dxa"/>
            <w:gridSpan w:val="6"/>
            <w:shd w:val="clear" w:color="auto" w:fill="auto"/>
            <w:tcMar>
              <w:left w:w="57" w:type="dxa"/>
              <w:right w:w="57" w:type="dxa"/>
            </w:tcMar>
          </w:tcPr>
          <w:p w14:paraId="181837BD"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Public transport usage was significantly impacted by the coronavirus (COVID-19) response from March to the end of June 2020.</w:t>
            </w:r>
            <w:r w:rsidRPr="002C5B5D">
              <w:rPr>
                <w:rFonts w:ascii="Arial" w:hAnsi="Arial" w:cs="Arial"/>
                <w:i/>
                <w:sz w:val="24"/>
                <w:szCs w:val="24"/>
              </w:rPr>
              <w:fldChar w:fldCharType="end"/>
            </w:r>
          </w:p>
        </w:tc>
      </w:tr>
      <w:tr w:rsidR="003E5BF5" w:rsidRPr="002C5B5D" w14:paraId="1814B0CC" w14:textId="77777777" w:rsidTr="00A54D6C">
        <w:trPr>
          <w:trHeight w:val="340"/>
        </w:trPr>
        <w:tc>
          <w:tcPr>
            <w:tcW w:w="3456" w:type="dxa"/>
            <w:shd w:val="clear" w:color="auto" w:fill="auto"/>
            <w:tcMar>
              <w:left w:w="57" w:type="dxa"/>
              <w:right w:w="57" w:type="dxa"/>
            </w:tcMar>
          </w:tcPr>
          <w:p w14:paraId="66B1B3E8"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Payments made for: metropolitan train services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4A4FC4E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 million</w:t>
            </w:r>
            <w:r w:rsidRPr="002C5B5D">
              <w:rPr>
                <w:rFonts w:ascii="Arial" w:hAnsi="Arial" w:cs="Arial"/>
                <w:sz w:val="24"/>
                <w:szCs w:val="24"/>
              </w:rPr>
              <w:fldChar w:fldCharType="end"/>
            </w:r>
          </w:p>
        </w:tc>
        <w:tc>
          <w:tcPr>
            <w:tcW w:w="1070" w:type="dxa"/>
            <w:shd w:val="clear" w:color="auto" w:fill="auto"/>
            <w:tcMar>
              <w:left w:w="57" w:type="dxa"/>
              <w:right w:w="57" w:type="dxa"/>
            </w:tcMar>
          </w:tcPr>
          <w:p w14:paraId="7141311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1,205.9</w:t>
            </w:r>
            <w:r w:rsidRPr="002C5B5D">
              <w:rPr>
                <w:rFonts w:ascii="Arial" w:hAnsi="Arial" w:cs="Arial"/>
                <w:sz w:val="24"/>
                <w:szCs w:val="24"/>
              </w:rPr>
              <w:fldChar w:fldCharType="end"/>
            </w:r>
          </w:p>
        </w:tc>
        <w:tc>
          <w:tcPr>
            <w:tcW w:w="1070" w:type="dxa"/>
            <w:shd w:val="clear" w:color="auto" w:fill="auto"/>
            <w:tcMar>
              <w:left w:w="57" w:type="dxa"/>
              <w:right w:w="57" w:type="dxa"/>
            </w:tcMar>
          </w:tcPr>
          <w:p w14:paraId="6D0576D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1,102.1</w:t>
            </w:r>
            <w:r w:rsidRPr="002C5B5D">
              <w:rPr>
                <w:rFonts w:ascii="Arial" w:hAnsi="Arial" w:cs="Arial"/>
                <w:sz w:val="24"/>
                <w:szCs w:val="24"/>
              </w:rPr>
              <w:fldChar w:fldCharType="end"/>
            </w:r>
          </w:p>
        </w:tc>
        <w:tc>
          <w:tcPr>
            <w:tcW w:w="1336" w:type="dxa"/>
            <w:shd w:val="clear" w:color="auto" w:fill="auto"/>
            <w:tcMar>
              <w:left w:w="57" w:type="dxa"/>
              <w:right w:w="57" w:type="dxa"/>
            </w:tcMar>
          </w:tcPr>
          <w:p w14:paraId="05AD834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9.4</w:t>
            </w:r>
            <w:r w:rsidRPr="002C5B5D">
              <w:rPr>
                <w:rFonts w:ascii="Arial" w:hAnsi="Arial" w:cs="Arial"/>
                <w:sz w:val="24"/>
                <w:szCs w:val="24"/>
              </w:rPr>
              <w:fldChar w:fldCharType="end"/>
            </w:r>
          </w:p>
        </w:tc>
        <w:tc>
          <w:tcPr>
            <w:tcW w:w="1070" w:type="dxa"/>
            <w:shd w:val="clear" w:color="auto" w:fill="auto"/>
            <w:tcMar>
              <w:left w:w="57" w:type="dxa"/>
              <w:right w:w="57" w:type="dxa"/>
            </w:tcMar>
          </w:tcPr>
          <w:p w14:paraId="6C912A67"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68D0D8EA" w14:textId="77777777" w:rsidTr="00A54D6C">
        <w:tc>
          <w:tcPr>
            <w:tcW w:w="9072" w:type="dxa"/>
            <w:gridSpan w:val="6"/>
            <w:shd w:val="clear" w:color="auto" w:fill="auto"/>
            <w:tcMar>
              <w:left w:w="57" w:type="dxa"/>
              <w:right w:w="57" w:type="dxa"/>
            </w:tcMar>
          </w:tcPr>
          <w:p w14:paraId="6CCF53DB"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t>Due to coronavirus (COVID-19) support payments made.</w:t>
            </w:r>
          </w:p>
        </w:tc>
      </w:tr>
      <w:tr w:rsidR="003E5BF5" w:rsidRPr="002C5B5D" w14:paraId="657C2E64" w14:textId="77777777" w:rsidTr="00A54D6C">
        <w:trPr>
          <w:trHeight w:val="340"/>
        </w:trPr>
        <w:tc>
          <w:tcPr>
            <w:tcW w:w="3456" w:type="dxa"/>
            <w:shd w:val="clear" w:color="auto" w:fill="auto"/>
            <w:tcMar>
              <w:left w:w="57" w:type="dxa"/>
              <w:right w:w="57" w:type="dxa"/>
            </w:tcMar>
          </w:tcPr>
          <w:p w14:paraId="2F1E79A0"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Scheduled services delivered: metropolitan train</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3F2CC93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342F1D0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98.5</w:t>
            </w:r>
            <w:r w:rsidRPr="002C5B5D">
              <w:rPr>
                <w:rFonts w:ascii="Arial" w:hAnsi="Arial" w:cs="Arial"/>
                <w:sz w:val="24"/>
                <w:szCs w:val="24"/>
              </w:rPr>
              <w:fldChar w:fldCharType="end"/>
            </w:r>
          </w:p>
        </w:tc>
        <w:tc>
          <w:tcPr>
            <w:tcW w:w="1070" w:type="dxa"/>
            <w:shd w:val="clear" w:color="auto" w:fill="auto"/>
            <w:tcMar>
              <w:left w:w="57" w:type="dxa"/>
              <w:right w:w="57" w:type="dxa"/>
            </w:tcMar>
          </w:tcPr>
          <w:p w14:paraId="0E78EF7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99</w:t>
            </w:r>
            <w:r w:rsidRPr="002C5B5D">
              <w:rPr>
                <w:rFonts w:ascii="Arial" w:hAnsi="Arial" w:cs="Arial"/>
                <w:sz w:val="24"/>
                <w:szCs w:val="24"/>
              </w:rPr>
              <w:fldChar w:fldCharType="end"/>
            </w:r>
          </w:p>
        </w:tc>
        <w:tc>
          <w:tcPr>
            <w:tcW w:w="1336" w:type="dxa"/>
            <w:shd w:val="clear" w:color="auto" w:fill="auto"/>
            <w:tcMar>
              <w:left w:w="57" w:type="dxa"/>
              <w:right w:w="57" w:type="dxa"/>
            </w:tcMar>
          </w:tcPr>
          <w:p w14:paraId="5088110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-0.5</w:t>
            </w:r>
            <w:r w:rsidRPr="002C5B5D">
              <w:rPr>
                <w:rFonts w:ascii="Arial" w:hAnsi="Arial" w:cs="Arial"/>
                <w:sz w:val="24"/>
                <w:szCs w:val="24"/>
              </w:rPr>
              <w:fldChar w:fldCharType="end"/>
            </w:r>
          </w:p>
        </w:tc>
        <w:tc>
          <w:tcPr>
            <w:tcW w:w="1070" w:type="dxa"/>
            <w:shd w:val="clear" w:color="auto" w:fill="auto"/>
            <w:tcMar>
              <w:left w:w="57" w:type="dxa"/>
              <w:right w:w="57" w:type="dxa"/>
            </w:tcMar>
          </w:tcPr>
          <w:p w14:paraId="0F024776"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616BFAD8" w14:textId="77777777" w:rsidTr="00A54D6C">
        <w:trPr>
          <w:trHeight w:val="340"/>
        </w:trPr>
        <w:tc>
          <w:tcPr>
            <w:tcW w:w="3456" w:type="dxa"/>
            <w:shd w:val="clear" w:color="auto" w:fill="auto"/>
            <w:tcMar>
              <w:left w:w="57" w:type="dxa"/>
              <w:right w:w="57" w:type="dxa"/>
            </w:tcMar>
          </w:tcPr>
          <w:p w14:paraId="680C98D4"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Total kilometres scheduled: metropolitan train</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464FE97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km (million)</w:t>
            </w:r>
            <w:r w:rsidRPr="002C5B5D">
              <w:rPr>
                <w:rFonts w:ascii="Arial" w:hAnsi="Arial" w:cs="Arial"/>
                <w:sz w:val="24"/>
                <w:szCs w:val="24"/>
              </w:rPr>
              <w:fldChar w:fldCharType="end"/>
            </w:r>
          </w:p>
        </w:tc>
        <w:tc>
          <w:tcPr>
            <w:tcW w:w="1070" w:type="dxa"/>
            <w:shd w:val="clear" w:color="auto" w:fill="auto"/>
            <w:tcMar>
              <w:left w:w="57" w:type="dxa"/>
              <w:right w:w="57" w:type="dxa"/>
            </w:tcMar>
          </w:tcPr>
          <w:p w14:paraId="02BB412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23.8</w:t>
            </w:r>
            <w:r w:rsidRPr="002C5B5D">
              <w:rPr>
                <w:rFonts w:ascii="Arial" w:hAnsi="Arial" w:cs="Arial"/>
                <w:sz w:val="24"/>
                <w:szCs w:val="24"/>
              </w:rPr>
              <w:fldChar w:fldCharType="end"/>
            </w:r>
          </w:p>
        </w:tc>
        <w:tc>
          <w:tcPr>
            <w:tcW w:w="1070" w:type="dxa"/>
            <w:shd w:val="clear" w:color="auto" w:fill="auto"/>
            <w:tcMar>
              <w:left w:w="57" w:type="dxa"/>
              <w:right w:w="57" w:type="dxa"/>
            </w:tcMar>
          </w:tcPr>
          <w:p w14:paraId="64BF82B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23.8</w:t>
            </w:r>
            <w:r w:rsidRPr="002C5B5D">
              <w:rPr>
                <w:rFonts w:ascii="Arial" w:hAnsi="Arial" w:cs="Arial"/>
                <w:sz w:val="24"/>
                <w:szCs w:val="24"/>
              </w:rPr>
              <w:fldChar w:fldCharType="end"/>
            </w:r>
          </w:p>
        </w:tc>
        <w:tc>
          <w:tcPr>
            <w:tcW w:w="1336" w:type="dxa"/>
            <w:shd w:val="clear" w:color="auto" w:fill="auto"/>
            <w:tcMar>
              <w:left w:w="57" w:type="dxa"/>
              <w:right w:w="57" w:type="dxa"/>
            </w:tcMar>
          </w:tcPr>
          <w:p w14:paraId="2206382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70" w:type="dxa"/>
            <w:shd w:val="clear" w:color="auto" w:fill="auto"/>
            <w:tcMar>
              <w:left w:w="57" w:type="dxa"/>
              <w:right w:w="57" w:type="dxa"/>
            </w:tcMar>
          </w:tcPr>
          <w:p w14:paraId="63A58F01"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04AFB33D" w14:textId="77777777" w:rsidTr="00A54D6C">
        <w:trPr>
          <w:trHeight w:val="340"/>
        </w:trPr>
        <w:tc>
          <w:tcPr>
            <w:tcW w:w="3456" w:type="dxa"/>
            <w:shd w:val="clear" w:color="auto" w:fill="auto"/>
            <w:tcMar>
              <w:left w:w="57" w:type="dxa"/>
              <w:right w:w="57" w:type="dxa"/>
            </w:tcMar>
            <w:vAlign w:val="center"/>
          </w:tcPr>
          <w:p w14:paraId="06831660" w14:textId="77777777" w:rsidR="003E5BF5" w:rsidRPr="002C5B5D" w:rsidRDefault="003E5BF5" w:rsidP="00DE1921">
            <w:pPr>
              <w:pStyle w:val="TableTextLeftItalics"/>
              <w:rPr>
                <w:rFonts w:ascii="Arial" w:hAnsi="Arial" w:cs="Arial"/>
                <w:sz w:val="24"/>
                <w:szCs w:val="24"/>
              </w:rPr>
            </w:pPr>
            <w:r w:rsidRPr="002C5B5D">
              <w:rPr>
                <w:rFonts w:ascii="Arial" w:hAnsi="Arial" w:cs="Arial"/>
                <w:b/>
                <w:sz w:val="24"/>
                <w:szCs w:val="24"/>
              </w:rPr>
              <w:t>Quality</w:t>
            </w:r>
          </w:p>
        </w:tc>
        <w:tc>
          <w:tcPr>
            <w:tcW w:w="1070" w:type="dxa"/>
            <w:shd w:val="clear" w:color="auto" w:fill="auto"/>
            <w:tcMar>
              <w:left w:w="57" w:type="dxa"/>
              <w:right w:w="57" w:type="dxa"/>
            </w:tcMar>
          </w:tcPr>
          <w:p w14:paraId="6DFE158C"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tcPr>
          <w:p w14:paraId="478D904C"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tcPr>
          <w:p w14:paraId="1CE597F1"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tcPr>
          <w:p w14:paraId="2F02B458"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tcPr>
          <w:p w14:paraId="15CD6BDD" w14:textId="77777777" w:rsidR="003E5BF5" w:rsidRPr="002C5B5D" w:rsidRDefault="003E5BF5" w:rsidP="00DE1921">
            <w:pPr>
              <w:pStyle w:val="TableTextCentre"/>
              <w:spacing w:before="40"/>
              <w:jc w:val="right"/>
              <w:rPr>
                <w:rFonts w:ascii="Arial" w:hAnsi="Arial" w:cs="Arial"/>
                <w:sz w:val="24"/>
                <w:szCs w:val="24"/>
              </w:rPr>
            </w:pPr>
          </w:p>
        </w:tc>
      </w:tr>
      <w:tr w:rsidR="003E5BF5" w:rsidRPr="002C5B5D" w14:paraId="3D6B24DD" w14:textId="77777777" w:rsidTr="00A54D6C">
        <w:trPr>
          <w:trHeight w:val="340"/>
        </w:trPr>
        <w:tc>
          <w:tcPr>
            <w:tcW w:w="3456" w:type="dxa"/>
            <w:shd w:val="clear" w:color="auto" w:fill="auto"/>
            <w:tcMar>
              <w:left w:w="57" w:type="dxa"/>
              <w:right w:w="57" w:type="dxa"/>
            </w:tcMar>
          </w:tcPr>
          <w:p w14:paraId="637BD63E"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Availability of rolling stock: metropolitan trains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20D6F36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71435E19"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95</w:t>
            </w: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end"/>
            </w:r>
          </w:p>
        </w:tc>
        <w:tc>
          <w:tcPr>
            <w:tcW w:w="1070" w:type="dxa"/>
            <w:shd w:val="clear" w:color="auto" w:fill="auto"/>
            <w:tcMar>
              <w:left w:w="57" w:type="dxa"/>
              <w:right w:w="57" w:type="dxa"/>
            </w:tcMar>
          </w:tcPr>
          <w:p w14:paraId="407DD61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94</w:t>
            </w:r>
            <w:r w:rsidRPr="002C5B5D">
              <w:rPr>
                <w:rFonts w:ascii="Arial" w:hAnsi="Arial" w:cs="Arial"/>
                <w:sz w:val="24"/>
                <w:szCs w:val="24"/>
              </w:rPr>
              <w:fldChar w:fldCharType="end"/>
            </w:r>
          </w:p>
        </w:tc>
        <w:tc>
          <w:tcPr>
            <w:tcW w:w="1336" w:type="dxa"/>
            <w:shd w:val="clear" w:color="auto" w:fill="auto"/>
            <w:tcMar>
              <w:left w:w="57" w:type="dxa"/>
              <w:right w:w="57" w:type="dxa"/>
            </w:tcMar>
          </w:tcPr>
          <w:p w14:paraId="368A6D72"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1.1</w:t>
            </w:r>
          </w:p>
        </w:tc>
        <w:tc>
          <w:tcPr>
            <w:tcW w:w="1070" w:type="dxa"/>
            <w:shd w:val="clear" w:color="auto" w:fill="auto"/>
            <w:tcMar>
              <w:left w:w="57" w:type="dxa"/>
              <w:right w:w="57" w:type="dxa"/>
            </w:tcMar>
          </w:tcPr>
          <w:p w14:paraId="77958062"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0BEC1CF8" w14:textId="77777777" w:rsidTr="00A54D6C">
        <w:trPr>
          <w:trHeight w:val="340"/>
        </w:trPr>
        <w:tc>
          <w:tcPr>
            <w:tcW w:w="3456" w:type="dxa"/>
            <w:shd w:val="clear" w:color="auto" w:fill="auto"/>
            <w:tcMar>
              <w:left w:w="57" w:type="dxa"/>
              <w:right w:w="57" w:type="dxa"/>
            </w:tcMar>
          </w:tcPr>
          <w:p w14:paraId="52721677"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Customer satisfaction index: metropolitan train services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7DD4A77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score</w:t>
            </w:r>
            <w:r w:rsidRPr="002C5B5D">
              <w:rPr>
                <w:rFonts w:ascii="Arial" w:hAnsi="Arial" w:cs="Arial"/>
                <w:sz w:val="24"/>
                <w:szCs w:val="24"/>
              </w:rPr>
              <w:fldChar w:fldCharType="end"/>
            </w:r>
          </w:p>
        </w:tc>
        <w:tc>
          <w:tcPr>
            <w:tcW w:w="1070" w:type="dxa"/>
            <w:shd w:val="clear" w:color="auto" w:fill="auto"/>
            <w:tcMar>
              <w:left w:w="57" w:type="dxa"/>
              <w:right w:w="57" w:type="dxa"/>
            </w:tcMar>
          </w:tcPr>
          <w:p w14:paraId="6228C6E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75</w:t>
            </w:r>
            <w:r w:rsidRPr="002C5B5D">
              <w:rPr>
                <w:rFonts w:ascii="Arial" w:hAnsi="Arial" w:cs="Arial"/>
                <w:sz w:val="24"/>
                <w:szCs w:val="24"/>
              </w:rPr>
              <w:fldChar w:fldCharType="end"/>
            </w:r>
          </w:p>
        </w:tc>
        <w:tc>
          <w:tcPr>
            <w:tcW w:w="1070" w:type="dxa"/>
            <w:shd w:val="clear" w:color="auto" w:fill="auto"/>
            <w:tcMar>
              <w:left w:w="57" w:type="dxa"/>
              <w:right w:w="57" w:type="dxa"/>
            </w:tcMar>
          </w:tcPr>
          <w:p w14:paraId="5163B44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75</w:t>
            </w:r>
            <w:r w:rsidRPr="002C5B5D">
              <w:rPr>
                <w:rFonts w:ascii="Arial" w:hAnsi="Arial" w:cs="Arial"/>
                <w:sz w:val="24"/>
                <w:szCs w:val="24"/>
              </w:rPr>
              <w:fldChar w:fldCharType="end"/>
            </w:r>
          </w:p>
        </w:tc>
        <w:tc>
          <w:tcPr>
            <w:tcW w:w="1336" w:type="dxa"/>
            <w:shd w:val="clear" w:color="auto" w:fill="auto"/>
            <w:tcMar>
              <w:left w:w="57" w:type="dxa"/>
              <w:right w:w="57" w:type="dxa"/>
            </w:tcMar>
          </w:tcPr>
          <w:p w14:paraId="79080D9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70" w:type="dxa"/>
            <w:shd w:val="clear" w:color="auto" w:fill="auto"/>
            <w:tcMar>
              <w:left w:w="57" w:type="dxa"/>
              <w:right w:w="57" w:type="dxa"/>
            </w:tcMar>
          </w:tcPr>
          <w:p w14:paraId="44FF299C"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00662015" w14:textId="77777777" w:rsidTr="00A54D6C">
        <w:trPr>
          <w:trHeight w:val="340"/>
        </w:trPr>
        <w:tc>
          <w:tcPr>
            <w:tcW w:w="3456" w:type="dxa"/>
            <w:shd w:val="clear" w:color="auto" w:fill="auto"/>
            <w:tcMar>
              <w:left w:w="57" w:type="dxa"/>
              <w:right w:w="57" w:type="dxa"/>
            </w:tcMar>
          </w:tcPr>
          <w:p w14:paraId="7C1FFAA8"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Metropolitan fare compliance rate across all public transport modes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71DFF17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373E8A5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96.8</w:t>
            </w:r>
            <w:r w:rsidRPr="002C5B5D">
              <w:rPr>
                <w:rFonts w:ascii="Arial" w:hAnsi="Arial" w:cs="Arial"/>
                <w:sz w:val="24"/>
                <w:szCs w:val="24"/>
              </w:rPr>
              <w:fldChar w:fldCharType="end"/>
            </w:r>
          </w:p>
        </w:tc>
        <w:tc>
          <w:tcPr>
            <w:tcW w:w="1070" w:type="dxa"/>
            <w:shd w:val="clear" w:color="auto" w:fill="auto"/>
            <w:tcMar>
              <w:left w:w="57" w:type="dxa"/>
              <w:right w:w="57" w:type="dxa"/>
            </w:tcMar>
          </w:tcPr>
          <w:p w14:paraId="754E030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96.5</w:t>
            </w:r>
            <w:r w:rsidRPr="002C5B5D">
              <w:rPr>
                <w:rFonts w:ascii="Arial" w:hAnsi="Arial" w:cs="Arial"/>
                <w:sz w:val="24"/>
                <w:szCs w:val="24"/>
              </w:rPr>
              <w:fldChar w:fldCharType="end"/>
            </w:r>
          </w:p>
        </w:tc>
        <w:tc>
          <w:tcPr>
            <w:tcW w:w="1336" w:type="dxa"/>
            <w:shd w:val="clear" w:color="auto" w:fill="auto"/>
            <w:tcMar>
              <w:left w:w="57" w:type="dxa"/>
              <w:right w:w="57" w:type="dxa"/>
            </w:tcMar>
          </w:tcPr>
          <w:p w14:paraId="4CD7BC3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0.3</w:t>
            </w:r>
            <w:r w:rsidRPr="002C5B5D">
              <w:rPr>
                <w:rFonts w:ascii="Arial" w:hAnsi="Arial" w:cs="Arial"/>
                <w:sz w:val="24"/>
                <w:szCs w:val="24"/>
              </w:rPr>
              <w:fldChar w:fldCharType="end"/>
            </w:r>
          </w:p>
        </w:tc>
        <w:tc>
          <w:tcPr>
            <w:tcW w:w="1070" w:type="dxa"/>
            <w:shd w:val="clear" w:color="auto" w:fill="auto"/>
            <w:tcMar>
              <w:left w:w="57" w:type="dxa"/>
              <w:right w:w="57" w:type="dxa"/>
            </w:tcMar>
          </w:tcPr>
          <w:p w14:paraId="0B5CC109"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056EEED8" w14:textId="77777777" w:rsidTr="00A54D6C">
        <w:trPr>
          <w:trHeight w:val="340"/>
        </w:trPr>
        <w:tc>
          <w:tcPr>
            <w:tcW w:w="3456" w:type="dxa"/>
            <w:shd w:val="clear" w:color="auto" w:fill="auto"/>
            <w:tcMar>
              <w:left w:w="57" w:type="dxa"/>
              <w:right w:w="57" w:type="dxa"/>
            </w:tcMar>
            <w:vAlign w:val="center"/>
          </w:tcPr>
          <w:p w14:paraId="68E986BD" w14:textId="77777777" w:rsidR="003E5BF5" w:rsidRPr="002C5B5D" w:rsidRDefault="003E5BF5" w:rsidP="00DE1921">
            <w:pPr>
              <w:pStyle w:val="TableTextLeftItalics"/>
              <w:rPr>
                <w:rFonts w:ascii="Arial" w:hAnsi="Arial" w:cs="Arial"/>
                <w:sz w:val="24"/>
                <w:szCs w:val="24"/>
              </w:rPr>
            </w:pPr>
            <w:r w:rsidRPr="002C5B5D">
              <w:rPr>
                <w:rFonts w:ascii="Arial" w:hAnsi="Arial" w:cs="Arial"/>
                <w:b/>
                <w:sz w:val="24"/>
                <w:szCs w:val="24"/>
              </w:rPr>
              <w:t>Timeliness</w:t>
            </w:r>
          </w:p>
        </w:tc>
        <w:tc>
          <w:tcPr>
            <w:tcW w:w="1070" w:type="dxa"/>
            <w:shd w:val="clear" w:color="auto" w:fill="auto"/>
            <w:tcMar>
              <w:left w:w="57" w:type="dxa"/>
              <w:right w:w="57" w:type="dxa"/>
            </w:tcMar>
          </w:tcPr>
          <w:p w14:paraId="61E2FAF1"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tcPr>
          <w:p w14:paraId="5BC1E88F"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tcPr>
          <w:p w14:paraId="39039D33"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tcPr>
          <w:p w14:paraId="5AB292E7"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tcPr>
          <w:p w14:paraId="0FBA9EE8" w14:textId="77777777" w:rsidR="003E5BF5" w:rsidRPr="002C5B5D" w:rsidRDefault="003E5BF5" w:rsidP="00DE1921">
            <w:pPr>
              <w:pStyle w:val="TableTextCentre"/>
              <w:spacing w:before="40"/>
              <w:jc w:val="right"/>
              <w:rPr>
                <w:rFonts w:ascii="Arial" w:hAnsi="Arial" w:cs="Arial"/>
                <w:sz w:val="24"/>
                <w:szCs w:val="24"/>
              </w:rPr>
            </w:pPr>
          </w:p>
        </w:tc>
      </w:tr>
      <w:tr w:rsidR="003E5BF5" w:rsidRPr="002C5B5D" w14:paraId="4F6D3EC9" w14:textId="77777777" w:rsidTr="00A54D6C">
        <w:trPr>
          <w:trHeight w:val="340"/>
        </w:trPr>
        <w:tc>
          <w:tcPr>
            <w:tcW w:w="3456" w:type="dxa"/>
            <w:shd w:val="clear" w:color="auto" w:fill="auto"/>
            <w:tcMar>
              <w:left w:w="57" w:type="dxa"/>
              <w:right w:w="57" w:type="dxa"/>
            </w:tcMar>
          </w:tcPr>
          <w:p w14:paraId="0BCD8FAA"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Major periodic maintenance works completed against plan: metropolitan train network</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680D334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5D748E9E"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97</w:t>
            </w: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end"/>
            </w:r>
          </w:p>
        </w:tc>
        <w:tc>
          <w:tcPr>
            <w:tcW w:w="1070" w:type="dxa"/>
            <w:shd w:val="clear" w:color="auto" w:fill="auto"/>
            <w:tcMar>
              <w:left w:w="57" w:type="dxa"/>
              <w:right w:w="57" w:type="dxa"/>
            </w:tcMar>
          </w:tcPr>
          <w:p w14:paraId="5B90383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336" w:type="dxa"/>
            <w:shd w:val="clear" w:color="auto" w:fill="auto"/>
            <w:tcMar>
              <w:left w:w="57" w:type="dxa"/>
              <w:right w:w="57" w:type="dxa"/>
            </w:tcMar>
          </w:tcPr>
          <w:p w14:paraId="46C95046"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-3.0</w:t>
            </w: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end"/>
            </w:r>
          </w:p>
        </w:tc>
        <w:tc>
          <w:tcPr>
            <w:tcW w:w="1070" w:type="dxa"/>
            <w:shd w:val="clear" w:color="auto" w:fill="auto"/>
            <w:tcMar>
              <w:left w:w="57" w:type="dxa"/>
              <w:right w:w="57" w:type="dxa"/>
            </w:tcMar>
          </w:tcPr>
          <w:p w14:paraId="34197368"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2383E8CC" w14:textId="77777777" w:rsidTr="00A54D6C">
        <w:tc>
          <w:tcPr>
            <w:tcW w:w="9072" w:type="dxa"/>
            <w:gridSpan w:val="6"/>
            <w:shd w:val="clear" w:color="auto" w:fill="auto"/>
            <w:tcMar>
              <w:left w:w="57" w:type="dxa"/>
              <w:right w:w="57" w:type="dxa"/>
            </w:tcMar>
          </w:tcPr>
          <w:p w14:paraId="2D0E9557"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t>Please note reported result is an estimate, the actual result will not be available until October 2020.</w:t>
            </w: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end"/>
            </w:r>
          </w:p>
        </w:tc>
      </w:tr>
      <w:tr w:rsidR="003E5BF5" w:rsidRPr="002C5B5D" w14:paraId="27184BEA" w14:textId="77777777" w:rsidTr="00A54D6C">
        <w:trPr>
          <w:trHeight w:val="340"/>
        </w:trPr>
        <w:tc>
          <w:tcPr>
            <w:tcW w:w="3456" w:type="dxa"/>
            <w:shd w:val="clear" w:color="auto" w:fill="auto"/>
            <w:tcMar>
              <w:left w:w="57" w:type="dxa"/>
              <w:right w:w="57" w:type="dxa"/>
            </w:tcMar>
          </w:tcPr>
          <w:p w14:paraId="1686AACF"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Service punctuality for: metropolitan train services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475392B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6C30C701"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92.1</w:t>
            </w:r>
            <w:r w:rsidRPr="002C5B5D">
              <w:rPr>
                <w:rFonts w:ascii="Arial" w:hAnsi="Arial" w:cs="Arial"/>
                <w:sz w:val="24"/>
                <w:szCs w:val="24"/>
              </w:rPr>
              <w:fldChar w:fldCharType="end"/>
            </w:r>
          </w:p>
        </w:tc>
        <w:tc>
          <w:tcPr>
            <w:tcW w:w="1070" w:type="dxa"/>
            <w:shd w:val="clear" w:color="auto" w:fill="auto"/>
            <w:tcMar>
              <w:left w:w="57" w:type="dxa"/>
              <w:right w:w="57" w:type="dxa"/>
            </w:tcMar>
          </w:tcPr>
          <w:p w14:paraId="264F5E9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92.5</w:t>
            </w:r>
            <w:r w:rsidRPr="002C5B5D">
              <w:rPr>
                <w:rFonts w:ascii="Arial" w:hAnsi="Arial" w:cs="Arial"/>
                <w:sz w:val="24"/>
                <w:szCs w:val="24"/>
              </w:rPr>
              <w:fldChar w:fldCharType="end"/>
            </w:r>
          </w:p>
        </w:tc>
        <w:tc>
          <w:tcPr>
            <w:tcW w:w="1336" w:type="dxa"/>
            <w:shd w:val="clear" w:color="auto" w:fill="auto"/>
            <w:tcMar>
              <w:left w:w="57" w:type="dxa"/>
              <w:right w:w="57" w:type="dxa"/>
            </w:tcMar>
          </w:tcPr>
          <w:p w14:paraId="4DED5A3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-0.4</w:t>
            </w:r>
            <w:r w:rsidRPr="002C5B5D">
              <w:rPr>
                <w:rFonts w:ascii="Arial" w:hAnsi="Arial" w:cs="Arial"/>
                <w:sz w:val="24"/>
                <w:szCs w:val="24"/>
              </w:rPr>
              <w:fldChar w:fldCharType="end"/>
            </w:r>
          </w:p>
        </w:tc>
        <w:tc>
          <w:tcPr>
            <w:tcW w:w="1070" w:type="dxa"/>
            <w:shd w:val="clear" w:color="auto" w:fill="auto"/>
            <w:tcMar>
              <w:left w:w="57" w:type="dxa"/>
              <w:right w:w="57" w:type="dxa"/>
            </w:tcMar>
          </w:tcPr>
          <w:p w14:paraId="25AADE21"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095C8E9A" w14:textId="77777777" w:rsidTr="00A54D6C">
        <w:trPr>
          <w:trHeight w:val="340"/>
        </w:trPr>
        <w:tc>
          <w:tcPr>
            <w:tcW w:w="3456" w:type="dxa"/>
            <w:shd w:val="clear" w:color="auto" w:fill="auto"/>
            <w:tcMar>
              <w:left w:w="57" w:type="dxa"/>
              <w:right w:w="57" w:type="dxa"/>
            </w:tcMar>
            <w:vAlign w:val="center"/>
          </w:tcPr>
          <w:p w14:paraId="6A252520"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Cost</w:t>
            </w:r>
          </w:p>
        </w:tc>
        <w:tc>
          <w:tcPr>
            <w:tcW w:w="1070" w:type="dxa"/>
            <w:shd w:val="clear" w:color="auto" w:fill="auto"/>
            <w:tcMar>
              <w:left w:w="57" w:type="dxa"/>
              <w:right w:w="57" w:type="dxa"/>
            </w:tcMar>
            <w:vAlign w:val="center"/>
          </w:tcPr>
          <w:p w14:paraId="2E0E23A7"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6F7A8E23"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4BABD810"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1A8CC7B0"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25D577AA" w14:textId="77777777" w:rsidR="003E5BF5" w:rsidRPr="002C5B5D" w:rsidRDefault="003E5BF5" w:rsidP="00DE1921">
            <w:pPr>
              <w:pStyle w:val="TableTextRight"/>
              <w:rPr>
                <w:rFonts w:ascii="Arial" w:hAnsi="Arial" w:cs="Arial"/>
                <w:sz w:val="24"/>
                <w:szCs w:val="24"/>
              </w:rPr>
            </w:pPr>
          </w:p>
        </w:tc>
      </w:tr>
      <w:tr w:rsidR="003E5BF5" w:rsidRPr="002C5B5D" w14:paraId="7C0ED6B2" w14:textId="77777777" w:rsidTr="00A54D6C">
        <w:trPr>
          <w:trHeight w:val="340"/>
        </w:trPr>
        <w:tc>
          <w:tcPr>
            <w:tcW w:w="3456" w:type="dxa"/>
            <w:shd w:val="clear" w:color="auto" w:fill="auto"/>
            <w:tcMar>
              <w:left w:w="57" w:type="dxa"/>
              <w:right w:w="57" w:type="dxa"/>
            </w:tcMar>
            <w:vAlign w:val="center"/>
          </w:tcPr>
          <w:p w14:paraId="3ED75541"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t>Total output cost</w:t>
            </w:r>
          </w:p>
        </w:tc>
        <w:tc>
          <w:tcPr>
            <w:tcW w:w="1070" w:type="dxa"/>
            <w:shd w:val="clear" w:color="auto" w:fill="auto"/>
            <w:tcMar>
              <w:left w:w="57" w:type="dxa"/>
              <w:right w:w="57" w:type="dxa"/>
            </w:tcMar>
            <w:vAlign w:val="center"/>
          </w:tcPr>
          <w:p w14:paraId="65EE7800"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 million</w:t>
            </w:r>
          </w:p>
        </w:tc>
        <w:tc>
          <w:tcPr>
            <w:tcW w:w="1070" w:type="dxa"/>
            <w:shd w:val="clear" w:color="auto" w:fill="auto"/>
            <w:tcMar>
              <w:left w:w="57" w:type="dxa"/>
              <w:right w:w="57" w:type="dxa"/>
            </w:tcMar>
            <w:vAlign w:val="center"/>
          </w:tcPr>
          <w:p w14:paraId="087E8C98"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2,466.0</w:t>
            </w:r>
          </w:p>
        </w:tc>
        <w:tc>
          <w:tcPr>
            <w:tcW w:w="1070" w:type="dxa"/>
            <w:shd w:val="clear" w:color="auto" w:fill="auto"/>
            <w:tcMar>
              <w:left w:w="57" w:type="dxa"/>
              <w:right w:w="57" w:type="dxa"/>
            </w:tcMar>
            <w:vAlign w:val="center"/>
          </w:tcPr>
          <w:p w14:paraId="79E4489B"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2,337.0</w:t>
            </w:r>
          </w:p>
        </w:tc>
        <w:tc>
          <w:tcPr>
            <w:tcW w:w="1336" w:type="dxa"/>
            <w:shd w:val="clear" w:color="auto" w:fill="auto"/>
            <w:tcMar>
              <w:left w:w="57" w:type="dxa"/>
              <w:right w:w="57" w:type="dxa"/>
            </w:tcMar>
            <w:vAlign w:val="center"/>
          </w:tcPr>
          <w:p w14:paraId="45C254A6"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5.5</w:t>
            </w:r>
          </w:p>
        </w:tc>
        <w:tc>
          <w:tcPr>
            <w:tcW w:w="1070" w:type="dxa"/>
            <w:shd w:val="clear" w:color="auto" w:fill="auto"/>
            <w:tcMar>
              <w:left w:w="57" w:type="dxa"/>
              <w:right w:w="57" w:type="dxa"/>
            </w:tcMar>
            <w:vAlign w:val="center"/>
          </w:tcPr>
          <w:p w14:paraId="4B364556"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5FE66DDD" w14:textId="77777777" w:rsidTr="00A54D6C">
        <w:tc>
          <w:tcPr>
            <w:tcW w:w="9072" w:type="dxa"/>
            <w:gridSpan w:val="6"/>
            <w:shd w:val="clear" w:color="auto" w:fill="auto"/>
            <w:tcMar>
              <w:left w:w="57" w:type="dxa"/>
              <w:right w:w="57" w:type="dxa"/>
            </w:tcMar>
          </w:tcPr>
          <w:p w14:paraId="604F5E6D" w14:textId="77777777" w:rsidR="003E5BF5" w:rsidRPr="002C5B5D" w:rsidRDefault="003E5BF5" w:rsidP="00DE1921">
            <w:pPr>
              <w:pStyle w:val="TableTextLeftItalics"/>
              <w:rPr>
                <w:rFonts w:ascii="Arial" w:hAnsi="Arial" w:cs="Arial"/>
                <w:sz w:val="24"/>
                <w:szCs w:val="24"/>
              </w:rPr>
            </w:pPr>
            <w:r w:rsidRPr="002C5B5D">
              <w:rPr>
                <w:rFonts w:ascii="Arial" w:hAnsi="Arial" w:cs="Arial"/>
                <w:sz w:val="24"/>
                <w:szCs w:val="24"/>
              </w:rPr>
              <w:t xml:space="preserve">The 2019-20 result is higher than the budget due to new initiatives including: operating, maintenance and driver training costs associated with the Big Build; and </w:t>
            </w:r>
            <w:r w:rsidRPr="002C5B5D">
              <w:rPr>
                <w:rFonts w:ascii="Arial" w:hAnsi="Arial" w:cs="Arial"/>
                <w:sz w:val="24"/>
                <w:szCs w:val="24"/>
              </w:rPr>
              <w:lastRenderedPageBreak/>
              <w:t xml:space="preserve">additional cleaning and payments to operators for continuation of service in relation to the coronavirus (COVID-19) response. </w:t>
            </w:r>
          </w:p>
        </w:tc>
      </w:tr>
    </w:tbl>
    <w:p w14:paraId="26119133" w14:textId="77777777" w:rsidR="003E5BF5" w:rsidRPr="002C5B5D" w:rsidRDefault="003E5BF5" w:rsidP="00DE1921">
      <w:pPr>
        <w:pStyle w:val="Note"/>
        <w:rPr>
          <w:rFonts w:ascii="Arial" w:hAnsi="Arial" w:cs="Arial"/>
          <w:sz w:val="24"/>
          <w:szCs w:val="24"/>
        </w:rPr>
      </w:pPr>
      <w:r w:rsidRPr="002C5B5D">
        <w:rPr>
          <w:rFonts w:ascii="Arial" w:hAnsi="Arial" w:cs="Arial"/>
          <w:sz w:val="24"/>
          <w:szCs w:val="24"/>
        </w:rPr>
        <w:lastRenderedPageBreak/>
        <w:t>Notes:</w:t>
      </w:r>
    </w:p>
    <w:p w14:paraId="0AFC2A2C" w14:textId="77777777" w:rsidR="003E5BF5" w:rsidRPr="002C5B5D" w:rsidRDefault="003E5BF5" w:rsidP="00DE1921">
      <w:pPr>
        <w:pStyle w:val="Notenumber123"/>
        <w:numPr>
          <w:ilvl w:val="0"/>
          <w:numId w:val="0"/>
        </w:numPr>
        <w:ind w:left="113"/>
        <w:rPr>
          <w:rFonts w:ascii="Arial" w:hAnsi="Arial" w:cs="Arial"/>
          <w:sz w:val="24"/>
          <w:szCs w:val="24"/>
        </w:rPr>
      </w:pPr>
      <w:r w:rsidRPr="002C5B5D">
        <w:rPr>
          <w:rFonts w:ascii="Arial" w:hAnsi="Arial" w:cs="Arial"/>
          <w:sz w:val="24"/>
          <w:szCs w:val="24"/>
        </w:rPr>
        <w:sym w:font="Wingdings 2" w:char="F050"/>
      </w:r>
      <w:r w:rsidRPr="002C5B5D">
        <w:rPr>
          <w:rFonts w:ascii="Arial" w:hAnsi="Arial" w:cs="Arial"/>
          <w:sz w:val="24"/>
          <w:szCs w:val="24"/>
        </w:rPr>
        <w:t xml:space="preserve"> Performance target achieved or exceeded</w:t>
      </w:r>
    </w:p>
    <w:p w14:paraId="06EA88E5" w14:textId="77777777" w:rsidR="003E5BF5" w:rsidRPr="002C5B5D" w:rsidRDefault="003E5BF5" w:rsidP="00DE1921">
      <w:pPr>
        <w:pStyle w:val="Notenumber123"/>
        <w:numPr>
          <w:ilvl w:val="0"/>
          <w:numId w:val="0"/>
        </w:numPr>
        <w:ind w:left="113"/>
        <w:rPr>
          <w:rFonts w:ascii="Arial" w:hAnsi="Arial" w:cs="Arial"/>
          <w:sz w:val="24"/>
          <w:szCs w:val="24"/>
        </w:rPr>
      </w:pPr>
      <w:r w:rsidRPr="002C5B5D">
        <w:rPr>
          <w:rFonts w:ascii="Arial" w:hAnsi="Arial" w:cs="Arial"/>
          <w:sz w:val="24"/>
          <w:szCs w:val="24"/>
        </w:rPr>
        <w:sym w:font="Wingdings 2" w:char="F099"/>
      </w:r>
      <w:r w:rsidRPr="002C5B5D">
        <w:rPr>
          <w:rFonts w:ascii="Arial" w:hAnsi="Arial" w:cs="Arial"/>
          <w:sz w:val="24"/>
          <w:szCs w:val="24"/>
        </w:rPr>
        <w:t xml:space="preserve"> Performance target not achieved – within 5 per cent or $50 million (cost measure only) variance</w:t>
      </w:r>
    </w:p>
    <w:p w14:paraId="6E92616D" w14:textId="77777777" w:rsidR="003E5BF5" w:rsidRPr="002C5B5D" w:rsidRDefault="003E5BF5" w:rsidP="00DE1921">
      <w:pPr>
        <w:pStyle w:val="Notenumber123"/>
        <w:numPr>
          <w:ilvl w:val="0"/>
          <w:numId w:val="0"/>
        </w:numPr>
        <w:ind w:left="340" w:hanging="227"/>
        <w:rPr>
          <w:rFonts w:ascii="Arial" w:hAnsi="Arial" w:cs="Arial"/>
          <w:sz w:val="24"/>
          <w:szCs w:val="24"/>
        </w:rPr>
      </w:pPr>
      <w:r w:rsidRPr="002C5B5D">
        <w:rPr>
          <w:rFonts w:ascii="Arial" w:hAnsi="Arial" w:cs="Arial"/>
          <w:sz w:val="24"/>
          <w:szCs w:val="24"/>
        </w:rPr>
        <w:sym w:font="Wingdings 2" w:char="F0A1"/>
      </w:r>
      <w:r w:rsidRPr="002C5B5D">
        <w:rPr>
          <w:rFonts w:ascii="Arial" w:hAnsi="Arial" w:cs="Arial"/>
          <w:sz w:val="24"/>
          <w:szCs w:val="24"/>
        </w:rPr>
        <w:t xml:space="preserve"> Performance target not achieved – exceeds 5 per cent or $50 million (cost measure only) variance</w:t>
      </w:r>
    </w:p>
    <w:p w14:paraId="0E59128A" w14:textId="77777777" w:rsidR="003E5BF5" w:rsidRDefault="003E5BF5" w:rsidP="00DE1921">
      <w:pPr>
        <w:rPr>
          <w:rFonts w:eastAsiaTheme="majorEastAsia" w:cstheme="majorBidi"/>
          <w:b/>
          <w:color w:val="00B2A9"/>
          <w:sz w:val="16"/>
        </w:rPr>
      </w:pPr>
      <w:r>
        <w:br w:type="page"/>
      </w:r>
    </w:p>
    <w:p w14:paraId="0A28F488" w14:textId="77777777" w:rsidR="003E5BF5" w:rsidRPr="002C5B5D" w:rsidRDefault="003E5BF5" w:rsidP="00CF74EB">
      <w:pPr>
        <w:pStyle w:val="TableHeader"/>
      </w:pPr>
      <w:r w:rsidRPr="002C5B5D">
        <w:lastRenderedPageBreak/>
        <w:t>Train Services - Regional</w:t>
      </w:r>
    </w:p>
    <w:tbl>
      <w:tblPr>
        <w:tblStyle w:val="TableGrid"/>
        <w:tblW w:w="9072" w:type="dxa"/>
        <w:tblCellMar>
          <w:left w:w="28" w:type="dxa"/>
          <w:right w:w="28" w:type="dxa"/>
        </w:tblCellMar>
        <w:tblLook w:val="04A0" w:firstRow="1" w:lastRow="0" w:firstColumn="1" w:lastColumn="0" w:noHBand="0" w:noVBand="1"/>
      </w:tblPr>
      <w:tblGrid>
        <w:gridCol w:w="3240"/>
        <w:gridCol w:w="1102"/>
        <w:gridCol w:w="1052"/>
        <w:gridCol w:w="1052"/>
        <w:gridCol w:w="1582"/>
        <w:gridCol w:w="1044"/>
      </w:tblGrid>
      <w:tr w:rsidR="003E5BF5" w:rsidRPr="002C5B5D" w14:paraId="47EAD327" w14:textId="77777777" w:rsidTr="00A54D6C">
        <w:trPr>
          <w:trHeight w:val="340"/>
          <w:tblHeader/>
        </w:trPr>
        <w:tc>
          <w:tcPr>
            <w:tcW w:w="3456" w:type="dxa"/>
            <w:shd w:val="clear" w:color="auto" w:fill="auto"/>
            <w:tcMar>
              <w:left w:w="57" w:type="dxa"/>
              <w:right w:w="57" w:type="dxa"/>
            </w:tcMar>
          </w:tcPr>
          <w:p w14:paraId="6039AD74" w14:textId="77777777" w:rsidR="003E5BF5" w:rsidRPr="002C5B5D" w:rsidRDefault="003E5BF5" w:rsidP="00DE1921">
            <w:pPr>
              <w:pStyle w:val="TableTextLeftBold"/>
              <w:rPr>
                <w:rFonts w:ascii="Arial" w:hAnsi="Arial" w:cs="Arial"/>
                <w:sz w:val="24"/>
                <w:szCs w:val="24"/>
              </w:rPr>
            </w:pPr>
            <w:r w:rsidRPr="002C5B5D">
              <w:rPr>
                <w:rFonts w:ascii="Arial" w:hAnsi="Arial" w:cs="Arial"/>
                <w:sz w:val="24"/>
                <w:szCs w:val="24"/>
              </w:rPr>
              <w:t>Performance measures</w:t>
            </w:r>
          </w:p>
        </w:tc>
        <w:tc>
          <w:tcPr>
            <w:tcW w:w="1070" w:type="dxa"/>
            <w:shd w:val="clear" w:color="auto" w:fill="auto"/>
            <w:tcMar>
              <w:left w:w="57" w:type="dxa"/>
              <w:right w:w="57" w:type="dxa"/>
            </w:tcMar>
          </w:tcPr>
          <w:p w14:paraId="1FC02B7F"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unit of measure</w:t>
            </w:r>
          </w:p>
        </w:tc>
        <w:tc>
          <w:tcPr>
            <w:tcW w:w="1070" w:type="dxa"/>
            <w:shd w:val="clear" w:color="auto" w:fill="auto"/>
            <w:tcMar>
              <w:left w:w="57" w:type="dxa"/>
              <w:right w:w="57" w:type="dxa"/>
            </w:tcMar>
          </w:tcPr>
          <w:p w14:paraId="2A517BF5"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actual</w:t>
            </w:r>
          </w:p>
        </w:tc>
        <w:tc>
          <w:tcPr>
            <w:tcW w:w="1070" w:type="dxa"/>
            <w:shd w:val="clear" w:color="auto" w:fill="auto"/>
            <w:tcMar>
              <w:left w:w="57" w:type="dxa"/>
              <w:right w:w="57" w:type="dxa"/>
            </w:tcMar>
          </w:tcPr>
          <w:p w14:paraId="130D3129"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target</w:t>
            </w:r>
          </w:p>
        </w:tc>
        <w:tc>
          <w:tcPr>
            <w:tcW w:w="1336" w:type="dxa"/>
            <w:shd w:val="clear" w:color="auto" w:fill="auto"/>
            <w:tcMar>
              <w:left w:w="57" w:type="dxa"/>
              <w:right w:w="57" w:type="dxa"/>
            </w:tcMar>
          </w:tcPr>
          <w:p w14:paraId="7C23AC7C"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Performance variation (%)</w:t>
            </w:r>
          </w:p>
        </w:tc>
        <w:tc>
          <w:tcPr>
            <w:tcW w:w="1070" w:type="dxa"/>
            <w:shd w:val="clear" w:color="auto" w:fill="auto"/>
            <w:tcMar>
              <w:left w:w="57" w:type="dxa"/>
              <w:right w:w="57" w:type="dxa"/>
            </w:tcMar>
          </w:tcPr>
          <w:p w14:paraId="7F9D12E5"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Result</w:t>
            </w:r>
          </w:p>
        </w:tc>
      </w:tr>
      <w:tr w:rsidR="003E5BF5" w:rsidRPr="002C5B5D" w14:paraId="570D1A81" w14:textId="77777777" w:rsidTr="00A54D6C">
        <w:trPr>
          <w:trHeight w:val="340"/>
        </w:trPr>
        <w:tc>
          <w:tcPr>
            <w:tcW w:w="3456" w:type="dxa"/>
            <w:shd w:val="clear" w:color="auto" w:fill="auto"/>
            <w:tcMar>
              <w:left w:w="57" w:type="dxa"/>
              <w:right w:w="57" w:type="dxa"/>
            </w:tcMar>
            <w:vAlign w:val="center"/>
          </w:tcPr>
          <w:p w14:paraId="16B351AB"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Quantity</w:t>
            </w:r>
          </w:p>
        </w:tc>
        <w:tc>
          <w:tcPr>
            <w:tcW w:w="1070" w:type="dxa"/>
            <w:shd w:val="clear" w:color="auto" w:fill="auto"/>
            <w:tcMar>
              <w:left w:w="57" w:type="dxa"/>
              <w:right w:w="57" w:type="dxa"/>
            </w:tcMar>
            <w:vAlign w:val="center"/>
          </w:tcPr>
          <w:p w14:paraId="7850C012"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4CE56029"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16A6D4D9"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1940350B"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4F3FA0EA" w14:textId="77777777" w:rsidR="003E5BF5" w:rsidRPr="002C5B5D" w:rsidRDefault="003E5BF5" w:rsidP="00DE1921">
            <w:pPr>
              <w:pStyle w:val="TableTextRight"/>
              <w:rPr>
                <w:rFonts w:ascii="Arial" w:hAnsi="Arial" w:cs="Arial"/>
                <w:sz w:val="24"/>
                <w:szCs w:val="24"/>
              </w:rPr>
            </w:pPr>
          </w:p>
        </w:tc>
      </w:tr>
      <w:tr w:rsidR="003E5BF5" w:rsidRPr="002C5B5D" w14:paraId="79AA1501" w14:textId="77777777" w:rsidTr="00A54D6C">
        <w:trPr>
          <w:trHeight w:val="340"/>
        </w:trPr>
        <w:tc>
          <w:tcPr>
            <w:tcW w:w="3456" w:type="dxa"/>
            <w:shd w:val="clear" w:color="auto" w:fill="auto"/>
            <w:tcMar>
              <w:left w:w="57" w:type="dxa"/>
              <w:right w:w="57" w:type="dxa"/>
            </w:tcMar>
          </w:tcPr>
          <w:p w14:paraId="2CBEBD7A"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Passengers carried: regional train and coach services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2C77B96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 (million)</w:t>
            </w:r>
            <w:r w:rsidRPr="002C5B5D">
              <w:rPr>
                <w:rFonts w:ascii="Arial" w:hAnsi="Arial" w:cs="Arial"/>
                <w:sz w:val="24"/>
                <w:szCs w:val="24"/>
              </w:rPr>
              <w:fldChar w:fldCharType="end"/>
            </w:r>
          </w:p>
        </w:tc>
        <w:tc>
          <w:tcPr>
            <w:tcW w:w="1070" w:type="dxa"/>
            <w:shd w:val="clear" w:color="auto" w:fill="auto"/>
            <w:tcMar>
              <w:left w:w="57" w:type="dxa"/>
              <w:right w:w="57" w:type="dxa"/>
            </w:tcMar>
          </w:tcPr>
          <w:p w14:paraId="08107438"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17.9</w:t>
            </w:r>
          </w:p>
        </w:tc>
        <w:tc>
          <w:tcPr>
            <w:tcW w:w="1070" w:type="dxa"/>
            <w:shd w:val="clear" w:color="auto" w:fill="auto"/>
            <w:tcMar>
              <w:left w:w="57" w:type="dxa"/>
              <w:right w:w="57" w:type="dxa"/>
            </w:tcMar>
          </w:tcPr>
          <w:p w14:paraId="7A474CF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23.2</w:t>
            </w:r>
            <w:r w:rsidRPr="002C5B5D">
              <w:rPr>
                <w:rFonts w:ascii="Arial" w:hAnsi="Arial" w:cs="Arial"/>
                <w:sz w:val="24"/>
                <w:szCs w:val="24"/>
              </w:rPr>
              <w:fldChar w:fldCharType="end"/>
            </w:r>
          </w:p>
        </w:tc>
        <w:tc>
          <w:tcPr>
            <w:tcW w:w="1336" w:type="dxa"/>
            <w:shd w:val="clear" w:color="auto" w:fill="auto"/>
            <w:tcMar>
              <w:left w:w="57" w:type="dxa"/>
              <w:right w:w="57" w:type="dxa"/>
            </w:tcMar>
          </w:tcPr>
          <w:p w14:paraId="1C60FB5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-22.8</w:t>
            </w:r>
            <w:r w:rsidRPr="002C5B5D">
              <w:rPr>
                <w:rFonts w:ascii="Arial" w:hAnsi="Arial" w:cs="Arial"/>
                <w:sz w:val="24"/>
                <w:szCs w:val="24"/>
              </w:rPr>
              <w:fldChar w:fldCharType="end"/>
            </w:r>
          </w:p>
        </w:tc>
        <w:tc>
          <w:tcPr>
            <w:tcW w:w="1070" w:type="dxa"/>
            <w:shd w:val="clear" w:color="auto" w:fill="auto"/>
            <w:tcMar>
              <w:left w:w="57" w:type="dxa"/>
              <w:right w:w="57" w:type="dxa"/>
            </w:tcMar>
          </w:tcPr>
          <w:p w14:paraId="4F9747CB"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22BEB846" w14:textId="77777777" w:rsidTr="00A54D6C">
        <w:tc>
          <w:tcPr>
            <w:tcW w:w="9072" w:type="dxa"/>
            <w:gridSpan w:val="6"/>
            <w:shd w:val="clear" w:color="auto" w:fill="auto"/>
            <w:tcMar>
              <w:left w:w="57" w:type="dxa"/>
              <w:right w:w="57" w:type="dxa"/>
            </w:tcMar>
          </w:tcPr>
          <w:p w14:paraId="0CF4B48A"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Public transport usage was significantly impacted by the coronavirus (COVID-19) response from March to the end of June 2020.</w:t>
            </w:r>
            <w:r w:rsidRPr="002C5B5D">
              <w:rPr>
                <w:rFonts w:ascii="Arial" w:hAnsi="Arial" w:cs="Arial"/>
                <w:i/>
                <w:sz w:val="24"/>
                <w:szCs w:val="24"/>
              </w:rPr>
              <w:fldChar w:fldCharType="end"/>
            </w:r>
          </w:p>
        </w:tc>
      </w:tr>
      <w:tr w:rsidR="003E5BF5" w:rsidRPr="002C5B5D" w14:paraId="19F1B4C9" w14:textId="77777777" w:rsidTr="00A54D6C">
        <w:trPr>
          <w:trHeight w:val="340"/>
        </w:trPr>
        <w:tc>
          <w:tcPr>
            <w:tcW w:w="3456" w:type="dxa"/>
            <w:shd w:val="clear" w:color="auto" w:fill="auto"/>
            <w:tcMar>
              <w:left w:w="57" w:type="dxa"/>
              <w:right w:w="57" w:type="dxa"/>
            </w:tcMar>
          </w:tcPr>
          <w:p w14:paraId="09B01A5E"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Payments made for: regional train and coach services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43F03FD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 million</w:t>
            </w:r>
            <w:r w:rsidRPr="002C5B5D">
              <w:rPr>
                <w:rFonts w:ascii="Arial" w:hAnsi="Arial" w:cs="Arial"/>
                <w:sz w:val="24"/>
                <w:szCs w:val="24"/>
              </w:rPr>
              <w:fldChar w:fldCharType="end"/>
            </w:r>
          </w:p>
        </w:tc>
        <w:tc>
          <w:tcPr>
            <w:tcW w:w="1070" w:type="dxa"/>
            <w:shd w:val="clear" w:color="auto" w:fill="auto"/>
            <w:tcMar>
              <w:left w:w="57" w:type="dxa"/>
              <w:right w:w="57" w:type="dxa"/>
            </w:tcMar>
          </w:tcPr>
          <w:p w14:paraId="72CD338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666.4</w:t>
            </w:r>
            <w:r w:rsidRPr="002C5B5D">
              <w:rPr>
                <w:rFonts w:ascii="Arial" w:hAnsi="Arial" w:cs="Arial"/>
                <w:sz w:val="24"/>
                <w:szCs w:val="24"/>
              </w:rPr>
              <w:fldChar w:fldCharType="end"/>
            </w:r>
          </w:p>
        </w:tc>
        <w:tc>
          <w:tcPr>
            <w:tcW w:w="1070" w:type="dxa"/>
            <w:shd w:val="clear" w:color="auto" w:fill="auto"/>
            <w:tcMar>
              <w:left w:w="57" w:type="dxa"/>
              <w:right w:w="57" w:type="dxa"/>
            </w:tcMar>
          </w:tcPr>
          <w:p w14:paraId="453FA76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624</w:t>
            </w:r>
            <w:r w:rsidRPr="002C5B5D">
              <w:rPr>
                <w:rFonts w:ascii="Arial" w:hAnsi="Arial" w:cs="Arial"/>
                <w:sz w:val="24"/>
                <w:szCs w:val="24"/>
              </w:rPr>
              <w:fldChar w:fldCharType="end"/>
            </w:r>
          </w:p>
        </w:tc>
        <w:tc>
          <w:tcPr>
            <w:tcW w:w="1336" w:type="dxa"/>
            <w:shd w:val="clear" w:color="auto" w:fill="auto"/>
            <w:tcMar>
              <w:left w:w="57" w:type="dxa"/>
              <w:right w:w="57" w:type="dxa"/>
            </w:tcMar>
          </w:tcPr>
          <w:p w14:paraId="3604F12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6.8</w:t>
            </w:r>
            <w:r w:rsidRPr="002C5B5D">
              <w:rPr>
                <w:rFonts w:ascii="Arial" w:hAnsi="Arial" w:cs="Arial"/>
                <w:sz w:val="24"/>
                <w:szCs w:val="24"/>
              </w:rPr>
              <w:fldChar w:fldCharType="end"/>
            </w:r>
          </w:p>
        </w:tc>
        <w:tc>
          <w:tcPr>
            <w:tcW w:w="1070" w:type="dxa"/>
            <w:shd w:val="clear" w:color="auto" w:fill="auto"/>
            <w:tcMar>
              <w:left w:w="57" w:type="dxa"/>
              <w:right w:w="57" w:type="dxa"/>
            </w:tcMar>
          </w:tcPr>
          <w:p w14:paraId="76A458DB"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711CFC76" w14:textId="77777777" w:rsidTr="00A54D6C">
        <w:tc>
          <w:tcPr>
            <w:tcW w:w="9072" w:type="dxa"/>
            <w:gridSpan w:val="6"/>
            <w:shd w:val="clear" w:color="auto" w:fill="auto"/>
            <w:tcMar>
              <w:left w:w="57" w:type="dxa"/>
              <w:right w:w="57" w:type="dxa"/>
            </w:tcMar>
          </w:tcPr>
          <w:p w14:paraId="68B133CC"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t>Due to coronavirus (COVID-19) support payments made.</w:t>
            </w:r>
          </w:p>
        </w:tc>
      </w:tr>
      <w:tr w:rsidR="003E5BF5" w:rsidRPr="002C5B5D" w14:paraId="40807325" w14:textId="77777777" w:rsidTr="00A54D6C">
        <w:trPr>
          <w:trHeight w:val="340"/>
        </w:trPr>
        <w:tc>
          <w:tcPr>
            <w:tcW w:w="3456" w:type="dxa"/>
            <w:shd w:val="clear" w:color="auto" w:fill="auto"/>
            <w:tcMar>
              <w:left w:w="57" w:type="dxa"/>
              <w:right w:w="57" w:type="dxa"/>
            </w:tcMar>
          </w:tcPr>
          <w:p w14:paraId="000E3587"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Scheduled services delivered: regional train</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3C283CD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6EB37BF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95.6</w:t>
            </w:r>
            <w:r w:rsidRPr="002C5B5D">
              <w:rPr>
                <w:rFonts w:ascii="Arial" w:hAnsi="Arial" w:cs="Arial"/>
                <w:sz w:val="24"/>
                <w:szCs w:val="24"/>
              </w:rPr>
              <w:fldChar w:fldCharType="end"/>
            </w:r>
          </w:p>
        </w:tc>
        <w:tc>
          <w:tcPr>
            <w:tcW w:w="1070" w:type="dxa"/>
            <w:shd w:val="clear" w:color="auto" w:fill="auto"/>
            <w:tcMar>
              <w:left w:w="57" w:type="dxa"/>
              <w:right w:w="57" w:type="dxa"/>
            </w:tcMar>
          </w:tcPr>
          <w:p w14:paraId="76A7BB7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98.5</w:t>
            </w:r>
            <w:r w:rsidRPr="002C5B5D">
              <w:rPr>
                <w:rFonts w:ascii="Arial" w:hAnsi="Arial" w:cs="Arial"/>
                <w:sz w:val="24"/>
                <w:szCs w:val="24"/>
              </w:rPr>
              <w:fldChar w:fldCharType="end"/>
            </w:r>
          </w:p>
        </w:tc>
        <w:tc>
          <w:tcPr>
            <w:tcW w:w="1336" w:type="dxa"/>
            <w:shd w:val="clear" w:color="auto" w:fill="auto"/>
            <w:tcMar>
              <w:left w:w="57" w:type="dxa"/>
              <w:right w:w="57" w:type="dxa"/>
            </w:tcMar>
          </w:tcPr>
          <w:p w14:paraId="1BCFFDD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-2.9</w:t>
            </w:r>
            <w:r w:rsidRPr="002C5B5D">
              <w:rPr>
                <w:rFonts w:ascii="Arial" w:hAnsi="Arial" w:cs="Arial"/>
                <w:sz w:val="24"/>
                <w:szCs w:val="24"/>
              </w:rPr>
              <w:fldChar w:fldCharType="end"/>
            </w:r>
          </w:p>
        </w:tc>
        <w:tc>
          <w:tcPr>
            <w:tcW w:w="1070" w:type="dxa"/>
            <w:shd w:val="clear" w:color="auto" w:fill="auto"/>
            <w:tcMar>
              <w:left w:w="57" w:type="dxa"/>
              <w:right w:w="57" w:type="dxa"/>
            </w:tcMar>
          </w:tcPr>
          <w:p w14:paraId="15498503"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018F310B" w14:textId="77777777" w:rsidTr="00A54D6C">
        <w:trPr>
          <w:trHeight w:val="340"/>
        </w:trPr>
        <w:tc>
          <w:tcPr>
            <w:tcW w:w="3456" w:type="dxa"/>
            <w:shd w:val="clear" w:color="auto" w:fill="auto"/>
            <w:tcMar>
              <w:left w:w="57" w:type="dxa"/>
              <w:right w:w="57" w:type="dxa"/>
            </w:tcMar>
          </w:tcPr>
          <w:p w14:paraId="1ACE2EFB"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Total kilometres scheduled: regional train and coach</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72ED132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km (million)</w:t>
            </w:r>
            <w:r w:rsidRPr="002C5B5D">
              <w:rPr>
                <w:rFonts w:ascii="Arial" w:hAnsi="Arial" w:cs="Arial"/>
                <w:sz w:val="24"/>
                <w:szCs w:val="24"/>
              </w:rPr>
              <w:fldChar w:fldCharType="end"/>
            </w:r>
          </w:p>
        </w:tc>
        <w:tc>
          <w:tcPr>
            <w:tcW w:w="1070" w:type="dxa"/>
            <w:shd w:val="clear" w:color="auto" w:fill="auto"/>
            <w:tcMar>
              <w:left w:w="57" w:type="dxa"/>
              <w:right w:w="57" w:type="dxa"/>
            </w:tcMar>
          </w:tcPr>
          <w:p w14:paraId="0C055D7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26.5</w:t>
            </w:r>
            <w:r w:rsidRPr="002C5B5D">
              <w:rPr>
                <w:rFonts w:ascii="Arial" w:hAnsi="Arial" w:cs="Arial"/>
                <w:sz w:val="24"/>
                <w:szCs w:val="24"/>
              </w:rPr>
              <w:fldChar w:fldCharType="end"/>
            </w:r>
          </w:p>
        </w:tc>
        <w:tc>
          <w:tcPr>
            <w:tcW w:w="1070" w:type="dxa"/>
            <w:shd w:val="clear" w:color="auto" w:fill="auto"/>
            <w:tcMar>
              <w:left w:w="57" w:type="dxa"/>
              <w:right w:w="57" w:type="dxa"/>
            </w:tcMar>
          </w:tcPr>
          <w:p w14:paraId="44DFA06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25.9</w:t>
            </w:r>
            <w:r w:rsidRPr="002C5B5D">
              <w:rPr>
                <w:rFonts w:ascii="Arial" w:hAnsi="Arial" w:cs="Arial"/>
                <w:sz w:val="24"/>
                <w:szCs w:val="24"/>
              </w:rPr>
              <w:fldChar w:fldCharType="end"/>
            </w:r>
          </w:p>
        </w:tc>
        <w:tc>
          <w:tcPr>
            <w:tcW w:w="1336" w:type="dxa"/>
            <w:shd w:val="clear" w:color="auto" w:fill="auto"/>
            <w:tcMar>
              <w:left w:w="57" w:type="dxa"/>
              <w:right w:w="57" w:type="dxa"/>
            </w:tcMar>
          </w:tcPr>
          <w:p w14:paraId="521896A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2.3</w:t>
            </w:r>
            <w:r w:rsidRPr="002C5B5D">
              <w:rPr>
                <w:rFonts w:ascii="Arial" w:hAnsi="Arial" w:cs="Arial"/>
                <w:sz w:val="24"/>
                <w:szCs w:val="24"/>
              </w:rPr>
              <w:fldChar w:fldCharType="end"/>
            </w:r>
          </w:p>
        </w:tc>
        <w:tc>
          <w:tcPr>
            <w:tcW w:w="1070" w:type="dxa"/>
            <w:shd w:val="clear" w:color="auto" w:fill="auto"/>
            <w:tcMar>
              <w:left w:w="57" w:type="dxa"/>
              <w:right w:w="57" w:type="dxa"/>
            </w:tcMar>
          </w:tcPr>
          <w:p w14:paraId="1457A630"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429F3C59" w14:textId="77777777" w:rsidTr="00A54D6C">
        <w:trPr>
          <w:trHeight w:val="340"/>
        </w:trPr>
        <w:tc>
          <w:tcPr>
            <w:tcW w:w="3456" w:type="dxa"/>
            <w:shd w:val="clear" w:color="auto" w:fill="auto"/>
            <w:tcMar>
              <w:left w:w="57" w:type="dxa"/>
              <w:right w:w="57" w:type="dxa"/>
            </w:tcMar>
            <w:vAlign w:val="center"/>
          </w:tcPr>
          <w:p w14:paraId="6D592FE9" w14:textId="77777777" w:rsidR="003E5BF5" w:rsidRPr="002C5B5D" w:rsidRDefault="003E5BF5" w:rsidP="00DE1921">
            <w:pPr>
              <w:pStyle w:val="TableTextLeftItalics"/>
              <w:rPr>
                <w:rFonts w:ascii="Arial" w:hAnsi="Arial" w:cs="Arial"/>
                <w:sz w:val="24"/>
                <w:szCs w:val="24"/>
              </w:rPr>
            </w:pPr>
            <w:r w:rsidRPr="002C5B5D">
              <w:rPr>
                <w:rFonts w:ascii="Arial" w:hAnsi="Arial" w:cs="Arial"/>
                <w:b/>
                <w:sz w:val="24"/>
                <w:szCs w:val="24"/>
              </w:rPr>
              <w:t>Quality</w:t>
            </w:r>
          </w:p>
        </w:tc>
        <w:tc>
          <w:tcPr>
            <w:tcW w:w="1070" w:type="dxa"/>
            <w:shd w:val="clear" w:color="auto" w:fill="auto"/>
            <w:tcMar>
              <w:left w:w="57" w:type="dxa"/>
              <w:right w:w="57" w:type="dxa"/>
            </w:tcMar>
          </w:tcPr>
          <w:p w14:paraId="118FF157"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tcPr>
          <w:p w14:paraId="5A2A40A4"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tcPr>
          <w:p w14:paraId="21FEA999"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tcPr>
          <w:p w14:paraId="41BD1A24"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tcPr>
          <w:p w14:paraId="0EA09C77" w14:textId="77777777" w:rsidR="003E5BF5" w:rsidRPr="002C5B5D" w:rsidRDefault="003E5BF5" w:rsidP="00DE1921">
            <w:pPr>
              <w:pStyle w:val="TableTextCentre"/>
              <w:spacing w:before="40"/>
              <w:jc w:val="right"/>
              <w:rPr>
                <w:rFonts w:ascii="Arial" w:hAnsi="Arial" w:cs="Arial"/>
                <w:sz w:val="24"/>
                <w:szCs w:val="24"/>
              </w:rPr>
            </w:pPr>
          </w:p>
        </w:tc>
      </w:tr>
      <w:tr w:rsidR="003E5BF5" w:rsidRPr="002C5B5D" w14:paraId="3BEF68FB" w14:textId="77777777" w:rsidTr="00A54D6C">
        <w:trPr>
          <w:trHeight w:val="340"/>
        </w:trPr>
        <w:tc>
          <w:tcPr>
            <w:tcW w:w="3456" w:type="dxa"/>
            <w:shd w:val="clear" w:color="auto" w:fill="auto"/>
            <w:tcMar>
              <w:left w:w="57" w:type="dxa"/>
              <w:right w:w="57" w:type="dxa"/>
            </w:tcMar>
            <w:vAlign w:val="center"/>
          </w:tcPr>
          <w:p w14:paraId="71DB083B"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Availability of rolling stock: VLocity fleet</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7AD7C0D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420D9FE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89.3</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1FBBD90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92.5</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04829EC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-3.5</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221287C6"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70402A65" w14:textId="77777777" w:rsidTr="00A54D6C">
        <w:trPr>
          <w:trHeight w:val="340"/>
        </w:trPr>
        <w:tc>
          <w:tcPr>
            <w:tcW w:w="3456" w:type="dxa"/>
            <w:shd w:val="clear" w:color="auto" w:fill="auto"/>
            <w:tcMar>
              <w:left w:w="57" w:type="dxa"/>
              <w:right w:w="57" w:type="dxa"/>
            </w:tcMar>
          </w:tcPr>
          <w:p w14:paraId="6A9B4BE8"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Customer satisfaction index: regional train services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62BC049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score</w:t>
            </w:r>
            <w:r w:rsidRPr="002C5B5D">
              <w:rPr>
                <w:rFonts w:ascii="Arial" w:hAnsi="Arial" w:cs="Arial"/>
                <w:sz w:val="24"/>
                <w:szCs w:val="24"/>
              </w:rPr>
              <w:fldChar w:fldCharType="end"/>
            </w:r>
          </w:p>
        </w:tc>
        <w:tc>
          <w:tcPr>
            <w:tcW w:w="1070" w:type="dxa"/>
            <w:shd w:val="clear" w:color="auto" w:fill="auto"/>
            <w:tcMar>
              <w:left w:w="57" w:type="dxa"/>
              <w:right w:w="57" w:type="dxa"/>
            </w:tcMar>
          </w:tcPr>
          <w:p w14:paraId="62099BC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77.3</w:t>
            </w:r>
            <w:r w:rsidRPr="002C5B5D">
              <w:rPr>
                <w:rFonts w:ascii="Arial" w:hAnsi="Arial" w:cs="Arial"/>
                <w:sz w:val="24"/>
                <w:szCs w:val="24"/>
              </w:rPr>
              <w:fldChar w:fldCharType="end"/>
            </w:r>
          </w:p>
        </w:tc>
        <w:tc>
          <w:tcPr>
            <w:tcW w:w="1070" w:type="dxa"/>
            <w:shd w:val="clear" w:color="auto" w:fill="auto"/>
            <w:tcMar>
              <w:left w:w="57" w:type="dxa"/>
              <w:right w:w="57" w:type="dxa"/>
            </w:tcMar>
          </w:tcPr>
          <w:p w14:paraId="25AA099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78</w:t>
            </w:r>
            <w:r w:rsidRPr="002C5B5D">
              <w:rPr>
                <w:rFonts w:ascii="Arial" w:hAnsi="Arial" w:cs="Arial"/>
                <w:sz w:val="24"/>
                <w:szCs w:val="24"/>
              </w:rPr>
              <w:fldChar w:fldCharType="end"/>
            </w:r>
          </w:p>
        </w:tc>
        <w:tc>
          <w:tcPr>
            <w:tcW w:w="1336" w:type="dxa"/>
            <w:shd w:val="clear" w:color="auto" w:fill="auto"/>
            <w:tcMar>
              <w:left w:w="57" w:type="dxa"/>
              <w:right w:w="57" w:type="dxa"/>
            </w:tcMar>
          </w:tcPr>
          <w:p w14:paraId="073EE011"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-0.9</w:t>
            </w:r>
            <w:r w:rsidRPr="002C5B5D">
              <w:rPr>
                <w:rFonts w:ascii="Arial" w:hAnsi="Arial" w:cs="Arial"/>
                <w:sz w:val="24"/>
                <w:szCs w:val="24"/>
              </w:rPr>
              <w:fldChar w:fldCharType="end"/>
            </w:r>
          </w:p>
        </w:tc>
        <w:tc>
          <w:tcPr>
            <w:tcW w:w="1070" w:type="dxa"/>
            <w:shd w:val="clear" w:color="auto" w:fill="auto"/>
            <w:tcMar>
              <w:left w:w="57" w:type="dxa"/>
              <w:right w:w="57" w:type="dxa"/>
            </w:tcMar>
          </w:tcPr>
          <w:p w14:paraId="1226A978"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27410C1E" w14:textId="77777777" w:rsidTr="00A54D6C">
        <w:trPr>
          <w:trHeight w:val="340"/>
        </w:trPr>
        <w:tc>
          <w:tcPr>
            <w:tcW w:w="3456" w:type="dxa"/>
            <w:shd w:val="clear" w:color="auto" w:fill="auto"/>
            <w:tcMar>
              <w:left w:w="57" w:type="dxa"/>
              <w:right w:w="57" w:type="dxa"/>
            </w:tcMar>
          </w:tcPr>
          <w:p w14:paraId="68A761AB"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Scheduled services not delayed by infrastructure faults: regional train network</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785ADC6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50C70C6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97.8</w:t>
            </w:r>
            <w:r w:rsidRPr="002C5B5D">
              <w:rPr>
                <w:rFonts w:ascii="Arial" w:hAnsi="Arial" w:cs="Arial"/>
                <w:sz w:val="24"/>
                <w:szCs w:val="24"/>
              </w:rPr>
              <w:fldChar w:fldCharType="end"/>
            </w:r>
          </w:p>
        </w:tc>
        <w:tc>
          <w:tcPr>
            <w:tcW w:w="1070" w:type="dxa"/>
            <w:shd w:val="clear" w:color="auto" w:fill="auto"/>
            <w:tcMar>
              <w:left w:w="57" w:type="dxa"/>
              <w:right w:w="57" w:type="dxa"/>
            </w:tcMar>
          </w:tcPr>
          <w:p w14:paraId="7F32A38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97</w:t>
            </w:r>
            <w:r w:rsidRPr="002C5B5D">
              <w:rPr>
                <w:rFonts w:ascii="Arial" w:hAnsi="Arial" w:cs="Arial"/>
                <w:sz w:val="24"/>
                <w:szCs w:val="24"/>
              </w:rPr>
              <w:fldChar w:fldCharType="end"/>
            </w:r>
          </w:p>
        </w:tc>
        <w:tc>
          <w:tcPr>
            <w:tcW w:w="1336" w:type="dxa"/>
            <w:shd w:val="clear" w:color="auto" w:fill="auto"/>
            <w:tcMar>
              <w:left w:w="57" w:type="dxa"/>
              <w:right w:w="57" w:type="dxa"/>
            </w:tcMar>
          </w:tcPr>
          <w:p w14:paraId="54B7638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0.8</w:t>
            </w:r>
            <w:r w:rsidRPr="002C5B5D">
              <w:rPr>
                <w:rFonts w:ascii="Arial" w:hAnsi="Arial" w:cs="Arial"/>
                <w:sz w:val="24"/>
                <w:szCs w:val="24"/>
              </w:rPr>
              <w:fldChar w:fldCharType="end"/>
            </w:r>
          </w:p>
        </w:tc>
        <w:tc>
          <w:tcPr>
            <w:tcW w:w="1070" w:type="dxa"/>
            <w:shd w:val="clear" w:color="auto" w:fill="auto"/>
            <w:tcMar>
              <w:left w:w="57" w:type="dxa"/>
              <w:right w:w="57" w:type="dxa"/>
            </w:tcMar>
          </w:tcPr>
          <w:p w14:paraId="1A721FF7"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4AD9FD5B" w14:textId="77777777" w:rsidTr="00A54D6C">
        <w:trPr>
          <w:trHeight w:val="340"/>
        </w:trPr>
        <w:tc>
          <w:tcPr>
            <w:tcW w:w="9072" w:type="dxa"/>
            <w:gridSpan w:val="6"/>
            <w:shd w:val="clear" w:color="auto" w:fill="auto"/>
            <w:tcMar>
              <w:left w:w="57" w:type="dxa"/>
              <w:right w:w="57" w:type="dxa"/>
            </w:tcMar>
            <w:vAlign w:val="center"/>
          </w:tcPr>
          <w:p w14:paraId="057A9605" w14:textId="77777777" w:rsidR="003E5BF5" w:rsidRPr="002C5B5D" w:rsidRDefault="003E5BF5" w:rsidP="00DE1921">
            <w:pPr>
              <w:pStyle w:val="TableTextLeftItalics"/>
              <w:rPr>
                <w:rFonts w:ascii="Arial" w:hAnsi="Arial" w:cs="Arial"/>
                <w:i w:val="0"/>
                <w:sz w:val="24"/>
                <w:szCs w:val="24"/>
              </w:rPr>
            </w:pPr>
            <w:r w:rsidRPr="002C5B5D">
              <w:rPr>
                <w:rFonts w:ascii="Arial" w:hAnsi="Arial" w:cs="Arial"/>
                <w:b/>
                <w:sz w:val="24"/>
                <w:szCs w:val="24"/>
              </w:rPr>
              <w:t>Timeliness</w:t>
            </w:r>
          </w:p>
        </w:tc>
      </w:tr>
      <w:tr w:rsidR="003E5BF5" w:rsidRPr="002C5B5D" w14:paraId="1CA5BE0D" w14:textId="77777777" w:rsidTr="00A54D6C">
        <w:trPr>
          <w:trHeight w:val="340"/>
        </w:trPr>
        <w:tc>
          <w:tcPr>
            <w:tcW w:w="3456" w:type="dxa"/>
            <w:shd w:val="clear" w:color="auto" w:fill="auto"/>
            <w:tcMar>
              <w:left w:w="57" w:type="dxa"/>
              <w:right w:w="57" w:type="dxa"/>
            </w:tcMar>
          </w:tcPr>
          <w:p w14:paraId="27D96719"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Major periodic maintenance works completed against plan: regional train network</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5A54F82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08C0FAB7"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98.7</w:t>
            </w:r>
          </w:p>
        </w:tc>
        <w:tc>
          <w:tcPr>
            <w:tcW w:w="1070" w:type="dxa"/>
            <w:shd w:val="clear" w:color="auto" w:fill="auto"/>
            <w:tcMar>
              <w:left w:w="57" w:type="dxa"/>
              <w:right w:w="57" w:type="dxa"/>
            </w:tcMar>
          </w:tcPr>
          <w:p w14:paraId="6E5EEC5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336" w:type="dxa"/>
            <w:shd w:val="clear" w:color="auto" w:fill="auto"/>
            <w:tcMar>
              <w:left w:w="57" w:type="dxa"/>
              <w:right w:w="57" w:type="dxa"/>
            </w:tcMar>
          </w:tcPr>
          <w:p w14:paraId="4A9D7F6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-1.3</w:t>
            </w:r>
            <w:r w:rsidRPr="002C5B5D">
              <w:rPr>
                <w:rFonts w:ascii="Arial" w:hAnsi="Arial" w:cs="Arial"/>
                <w:sz w:val="24"/>
                <w:szCs w:val="24"/>
              </w:rPr>
              <w:fldChar w:fldCharType="end"/>
            </w:r>
          </w:p>
        </w:tc>
        <w:tc>
          <w:tcPr>
            <w:tcW w:w="1070" w:type="dxa"/>
            <w:shd w:val="clear" w:color="auto" w:fill="auto"/>
            <w:tcMar>
              <w:left w:w="57" w:type="dxa"/>
              <w:right w:w="57" w:type="dxa"/>
            </w:tcMar>
          </w:tcPr>
          <w:p w14:paraId="172C6184"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0696BD72" w14:textId="77777777" w:rsidTr="00A54D6C">
        <w:trPr>
          <w:trHeight w:val="340"/>
        </w:trPr>
        <w:tc>
          <w:tcPr>
            <w:tcW w:w="3456" w:type="dxa"/>
            <w:shd w:val="clear" w:color="auto" w:fill="auto"/>
            <w:tcMar>
              <w:left w:w="57" w:type="dxa"/>
              <w:right w:w="57" w:type="dxa"/>
            </w:tcMar>
          </w:tcPr>
          <w:p w14:paraId="1D78BBF0"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Service punctuality for: regional train services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3BCE970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7F8544F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88.9</w:t>
            </w:r>
            <w:r w:rsidRPr="002C5B5D">
              <w:rPr>
                <w:rFonts w:ascii="Arial" w:hAnsi="Arial" w:cs="Arial"/>
                <w:sz w:val="24"/>
                <w:szCs w:val="24"/>
              </w:rPr>
              <w:fldChar w:fldCharType="end"/>
            </w:r>
          </w:p>
        </w:tc>
        <w:tc>
          <w:tcPr>
            <w:tcW w:w="1070" w:type="dxa"/>
            <w:shd w:val="clear" w:color="auto" w:fill="auto"/>
            <w:tcMar>
              <w:left w:w="57" w:type="dxa"/>
              <w:right w:w="57" w:type="dxa"/>
            </w:tcMar>
          </w:tcPr>
          <w:p w14:paraId="36B33B2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92</w:t>
            </w:r>
            <w:r w:rsidRPr="002C5B5D">
              <w:rPr>
                <w:rFonts w:ascii="Arial" w:hAnsi="Arial" w:cs="Arial"/>
                <w:sz w:val="24"/>
                <w:szCs w:val="24"/>
              </w:rPr>
              <w:fldChar w:fldCharType="end"/>
            </w:r>
          </w:p>
        </w:tc>
        <w:tc>
          <w:tcPr>
            <w:tcW w:w="1336" w:type="dxa"/>
            <w:shd w:val="clear" w:color="auto" w:fill="auto"/>
            <w:tcMar>
              <w:left w:w="57" w:type="dxa"/>
              <w:right w:w="57" w:type="dxa"/>
            </w:tcMar>
          </w:tcPr>
          <w:p w14:paraId="14F214F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-3.4</w:t>
            </w:r>
            <w:r w:rsidRPr="002C5B5D">
              <w:rPr>
                <w:rFonts w:ascii="Arial" w:hAnsi="Arial" w:cs="Arial"/>
                <w:sz w:val="24"/>
                <w:szCs w:val="24"/>
              </w:rPr>
              <w:fldChar w:fldCharType="end"/>
            </w:r>
          </w:p>
        </w:tc>
        <w:tc>
          <w:tcPr>
            <w:tcW w:w="1070" w:type="dxa"/>
            <w:shd w:val="clear" w:color="auto" w:fill="auto"/>
            <w:tcMar>
              <w:left w:w="57" w:type="dxa"/>
              <w:right w:w="57" w:type="dxa"/>
            </w:tcMar>
          </w:tcPr>
          <w:p w14:paraId="261B7651"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459B4EAA" w14:textId="77777777" w:rsidTr="00A54D6C">
        <w:trPr>
          <w:trHeight w:val="340"/>
        </w:trPr>
        <w:tc>
          <w:tcPr>
            <w:tcW w:w="3456" w:type="dxa"/>
            <w:shd w:val="clear" w:color="auto" w:fill="auto"/>
            <w:tcMar>
              <w:left w:w="57" w:type="dxa"/>
              <w:right w:w="57" w:type="dxa"/>
            </w:tcMar>
            <w:vAlign w:val="center"/>
          </w:tcPr>
          <w:p w14:paraId="5FEE84D8"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Cost</w:t>
            </w:r>
          </w:p>
        </w:tc>
        <w:tc>
          <w:tcPr>
            <w:tcW w:w="1070" w:type="dxa"/>
            <w:shd w:val="clear" w:color="auto" w:fill="auto"/>
            <w:tcMar>
              <w:left w:w="57" w:type="dxa"/>
              <w:right w:w="57" w:type="dxa"/>
            </w:tcMar>
            <w:vAlign w:val="center"/>
          </w:tcPr>
          <w:p w14:paraId="5C6B48C7"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1AD3F33B"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5026D85A"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7D46DE31"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22C6F46A" w14:textId="77777777" w:rsidR="003E5BF5" w:rsidRPr="002C5B5D" w:rsidRDefault="003E5BF5" w:rsidP="00DE1921">
            <w:pPr>
              <w:pStyle w:val="TableTextRight"/>
              <w:rPr>
                <w:rFonts w:ascii="Arial" w:hAnsi="Arial" w:cs="Arial"/>
                <w:sz w:val="24"/>
                <w:szCs w:val="24"/>
              </w:rPr>
            </w:pPr>
          </w:p>
        </w:tc>
      </w:tr>
      <w:tr w:rsidR="003E5BF5" w:rsidRPr="002C5B5D" w14:paraId="441AD918" w14:textId="77777777" w:rsidTr="00A54D6C">
        <w:trPr>
          <w:trHeight w:val="340"/>
        </w:trPr>
        <w:tc>
          <w:tcPr>
            <w:tcW w:w="3456" w:type="dxa"/>
            <w:shd w:val="clear" w:color="auto" w:fill="auto"/>
            <w:tcMar>
              <w:left w:w="57" w:type="dxa"/>
              <w:right w:w="57" w:type="dxa"/>
            </w:tcMar>
            <w:vAlign w:val="center"/>
          </w:tcPr>
          <w:p w14:paraId="7225A686"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t>Total output cost</w:t>
            </w:r>
          </w:p>
        </w:tc>
        <w:tc>
          <w:tcPr>
            <w:tcW w:w="1070" w:type="dxa"/>
            <w:shd w:val="clear" w:color="auto" w:fill="auto"/>
            <w:tcMar>
              <w:left w:w="57" w:type="dxa"/>
              <w:right w:w="57" w:type="dxa"/>
            </w:tcMar>
            <w:vAlign w:val="center"/>
          </w:tcPr>
          <w:p w14:paraId="2972498F"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 million</w:t>
            </w:r>
          </w:p>
        </w:tc>
        <w:tc>
          <w:tcPr>
            <w:tcW w:w="1070" w:type="dxa"/>
            <w:shd w:val="clear" w:color="auto" w:fill="auto"/>
            <w:tcMar>
              <w:left w:w="57" w:type="dxa"/>
              <w:right w:w="57" w:type="dxa"/>
            </w:tcMar>
            <w:vAlign w:val="center"/>
          </w:tcPr>
          <w:p w14:paraId="207CB590"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1,303.6</w:t>
            </w:r>
          </w:p>
        </w:tc>
        <w:tc>
          <w:tcPr>
            <w:tcW w:w="1070" w:type="dxa"/>
            <w:shd w:val="clear" w:color="auto" w:fill="auto"/>
            <w:tcMar>
              <w:left w:w="57" w:type="dxa"/>
              <w:right w:w="57" w:type="dxa"/>
            </w:tcMar>
            <w:vAlign w:val="center"/>
          </w:tcPr>
          <w:p w14:paraId="6B4E1B25"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1,271.5</w:t>
            </w:r>
          </w:p>
        </w:tc>
        <w:tc>
          <w:tcPr>
            <w:tcW w:w="1336" w:type="dxa"/>
            <w:shd w:val="clear" w:color="auto" w:fill="auto"/>
            <w:tcMar>
              <w:left w:w="57" w:type="dxa"/>
              <w:right w:w="57" w:type="dxa"/>
            </w:tcMar>
            <w:vAlign w:val="center"/>
          </w:tcPr>
          <w:p w14:paraId="2E743F5F"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2.5</w:t>
            </w:r>
          </w:p>
        </w:tc>
        <w:tc>
          <w:tcPr>
            <w:tcW w:w="1070" w:type="dxa"/>
            <w:shd w:val="clear" w:color="auto" w:fill="auto"/>
            <w:tcMar>
              <w:left w:w="57" w:type="dxa"/>
              <w:right w:w="57" w:type="dxa"/>
            </w:tcMar>
            <w:vAlign w:val="center"/>
          </w:tcPr>
          <w:p w14:paraId="3CAFECC3"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bl>
    <w:p w14:paraId="550748E8" w14:textId="77777777" w:rsidR="003E5BF5" w:rsidRPr="002C5B5D" w:rsidRDefault="003E5BF5">
      <w:pPr>
        <w:pStyle w:val="Note"/>
        <w:rPr>
          <w:rFonts w:ascii="Arial" w:hAnsi="Arial" w:cs="Arial"/>
          <w:sz w:val="24"/>
          <w:szCs w:val="24"/>
        </w:rPr>
      </w:pPr>
      <w:r w:rsidRPr="002C5B5D">
        <w:rPr>
          <w:rFonts w:ascii="Arial" w:hAnsi="Arial" w:cs="Arial"/>
          <w:sz w:val="24"/>
          <w:szCs w:val="24"/>
        </w:rPr>
        <w:t>Notes:</w:t>
      </w:r>
    </w:p>
    <w:p w14:paraId="1384C84C" w14:textId="77777777" w:rsidR="003E5BF5" w:rsidRPr="002C5B5D" w:rsidRDefault="003E5BF5" w:rsidP="00DE1921">
      <w:pPr>
        <w:pStyle w:val="Notenumber123"/>
        <w:numPr>
          <w:ilvl w:val="0"/>
          <w:numId w:val="0"/>
        </w:numPr>
        <w:ind w:left="113"/>
        <w:rPr>
          <w:rFonts w:ascii="Arial" w:hAnsi="Arial" w:cs="Arial"/>
          <w:sz w:val="24"/>
          <w:szCs w:val="24"/>
        </w:rPr>
      </w:pPr>
      <w:r w:rsidRPr="002C5B5D">
        <w:rPr>
          <w:rFonts w:ascii="Arial" w:hAnsi="Arial" w:cs="Arial"/>
          <w:sz w:val="24"/>
          <w:szCs w:val="24"/>
        </w:rPr>
        <w:sym w:font="Wingdings 2" w:char="F050"/>
      </w:r>
      <w:r w:rsidRPr="002C5B5D">
        <w:rPr>
          <w:rFonts w:ascii="Arial" w:hAnsi="Arial" w:cs="Arial"/>
          <w:sz w:val="24"/>
          <w:szCs w:val="24"/>
        </w:rPr>
        <w:t xml:space="preserve"> Performance target achieved or exceeded</w:t>
      </w:r>
    </w:p>
    <w:p w14:paraId="6804C12E" w14:textId="77777777" w:rsidR="003E5BF5" w:rsidRPr="002C5B5D" w:rsidRDefault="003E5BF5" w:rsidP="00DE1921">
      <w:pPr>
        <w:pStyle w:val="Notenumber123"/>
        <w:numPr>
          <w:ilvl w:val="0"/>
          <w:numId w:val="0"/>
        </w:numPr>
        <w:ind w:left="113"/>
        <w:rPr>
          <w:rFonts w:ascii="Arial" w:hAnsi="Arial" w:cs="Arial"/>
          <w:sz w:val="24"/>
          <w:szCs w:val="24"/>
        </w:rPr>
      </w:pPr>
      <w:r w:rsidRPr="002C5B5D">
        <w:rPr>
          <w:rFonts w:ascii="Arial" w:hAnsi="Arial" w:cs="Arial"/>
          <w:sz w:val="24"/>
          <w:szCs w:val="24"/>
        </w:rPr>
        <w:sym w:font="Wingdings 2" w:char="F099"/>
      </w:r>
      <w:r w:rsidRPr="002C5B5D">
        <w:rPr>
          <w:rFonts w:ascii="Arial" w:hAnsi="Arial" w:cs="Arial"/>
          <w:sz w:val="24"/>
          <w:szCs w:val="24"/>
        </w:rPr>
        <w:t xml:space="preserve"> Performance target not achieved – within 5 per cent or $50 million (cost measure only) variance</w:t>
      </w:r>
    </w:p>
    <w:p w14:paraId="1973FD0C" w14:textId="77777777" w:rsidR="003E5BF5" w:rsidRPr="002C5B5D" w:rsidRDefault="003E5BF5" w:rsidP="00DE1921">
      <w:pPr>
        <w:pStyle w:val="Notenumber123"/>
        <w:numPr>
          <w:ilvl w:val="0"/>
          <w:numId w:val="0"/>
        </w:numPr>
        <w:ind w:left="340" w:hanging="227"/>
        <w:rPr>
          <w:rFonts w:ascii="Arial" w:hAnsi="Arial" w:cs="Arial"/>
          <w:sz w:val="24"/>
          <w:szCs w:val="24"/>
        </w:rPr>
      </w:pPr>
      <w:r w:rsidRPr="002C5B5D">
        <w:rPr>
          <w:rFonts w:ascii="Arial" w:hAnsi="Arial" w:cs="Arial"/>
          <w:sz w:val="24"/>
          <w:szCs w:val="24"/>
        </w:rPr>
        <w:sym w:font="Wingdings 2" w:char="F0A1"/>
      </w:r>
      <w:r w:rsidRPr="002C5B5D">
        <w:rPr>
          <w:rFonts w:ascii="Arial" w:hAnsi="Arial" w:cs="Arial"/>
          <w:sz w:val="24"/>
          <w:szCs w:val="24"/>
        </w:rPr>
        <w:t xml:space="preserve"> Performance target not achieved – exceeds 5 per cent or $50 million (cost measure only) variance</w:t>
      </w:r>
    </w:p>
    <w:p w14:paraId="2C6DB7FE" w14:textId="77777777" w:rsidR="003E5BF5" w:rsidRDefault="003E5BF5" w:rsidP="00DE1921">
      <w:pPr>
        <w:rPr>
          <w:rFonts w:eastAsiaTheme="majorEastAsia" w:cstheme="majorBidi"/>
          <w:b/>
          <w:color w:val="00B2A9"/>
          <w:sz w:val="16"/>
        </w:rPr>
      </w:pPr>
      <w:r>
        <w:br w:type="page"/>
      </w:r>
    </w:p>
    <w:p w14:paraId="083855D5" w14:textId="77777777" w:rsidR="003E5BF5" w:rsidRPr="002C5B5D" w:rsidRDefault="003E5BF5" w:rsidP="00CF74EB">
      <w:pPr>
        <w:pStyle w:val="TableHeader"/>
      </w:pPr>
      <w:r w:rsidRPr="002C5B5D">
        <w:lastRenderedPageBreak/>
        <w:t xml:space="preserve">Train Services - </w:t>
      </w:r>
      <w:proofErr w:type="spellStart"/>
      <w:r w:rsidRPr="002C5B5D">
        <w:t>Statewide</w:t>
      </w:r>
      <w:proofErr w:type="spellEnd"/>
    </w:p>
    <w:tbl>
      <w:tblPr>
        <w:tblStyle w:val="TableGrid"/>
        <w:tblW w:w="9072" w:type="dxa"/>
        <w:tblCellMar>
          <w:left w:w="28" w:type="dxa"/>
          <w:right w:w="28" w:type="dxa"/>
        </w:tblCellMar>
        <w:tblLook w:val="04A0" w:firstRow="1" w:lastRow="0" w:firstColumn="1" w:lastColumn="0" w:noHBand="0" w:noVBand="1"/>
      </w:tblPr>
      <w:tblGrid>
        <w:gridCol w:w="3259"/>
        <w:gridCol w:w="1102"/>
        <w:gridCol w:w="1042"/>
        <w:gridCol w:w="1040"/>
        <w:gridCol w:w="1582"/>
        <w:gridCol w:w="1047"/>
      </w:tblGrid>
      <w:tr w:rsidR="003E5BF5" w:rsidRPr="002C5B5D" w14:paraId="576776D7" w14:textId="77777777" w:rsidTr="001B3526">
        <w:trPr>
          <w:trHeight w:val="340"/>
          <w:tblHeader/>
        </w:trPr>
        <w:tc>
          <w:tcPr>
            <w:tcW w:w="3456" w:type="dxa"/>
            <w:shd w:val="clear" w:color="auto" w:fill="auto"/>
            <w:tcMar>
              <w:left w:w="57" w:type="dxa"/>
              <w:right w:w="57" w:type="dxa"/>
            </w:tcMar>
          </w:tcPr>
          <w:p w14:paraId="74417596" w14:textId="77777777" w:rsidR="003E5BF5" w:rsidRPr="002C5B5D" w:rsidRDefault="003E5BF5" w:rsidP="00DE1921">
            <w:pPr>
              <w:pStyle w:val="TableTextLeftBold"/>
              <w:rPr>
                <w:rFonts w:ascii="Arial" w:hAnsi="Arial" w:cs="Arial"/>
                <w:sz w:val="24"/>
                <w:szCs w:val="24"/>
              </w:rPr>
            </w:pPr>
            <w:r w:rsidRPr="002C5B5D">
              <w:rPr>
                <w:rFonts w:ascii="Arial" w:hAnsi="Arial" w:cs="Arial"/>
                <w:sz w:val="24"/>
                <w:szCs w:val="24"/>
              </w:rPr>
              <w:t>Performance measures</w:t>
            </w:r>
          </w:p>
        </w:tc>
        <w:tc>
          <w:tcPr>
            <w:tcW w:w="1070" w:type="dxa"/>
            <w:shd w:val="clear" w:color="auto" w:fill="auto"/>
            <w:tcMar>
              <w:left w:w="57" w:type="dxa"/>
              <w:right w:w="57" w:type="dxa"/>
            </w:tcMar>
          </w:tcPr>
          <w:p w14:paraId="0E48F7F4"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unit of measure</w:t>
            </w:r>
          </w:p>
        </w:tc>
        <w:tc>
          <w:tcPr>
            <w:tcW w:w="1070" w:type="dxa"/>
            <w:shd w:val="clear" w:color="auto" w:fill="auto"/>
            <w:tcMar>
              <w:left w:w="57" w:type="dxa"/>
              <w:right w:w="57" w:type="dxa"/>
            </w:tcMar>
          </w:tcPr>
          <w:p w14:paraId="205CF3E1"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actual</w:t>
            </w:r>
          </w:p>
        </w:tc>
        <w:tc>
          <w:tcPr>
            <w:tcW w:w="1070" w:type="dxa"/>
            <w:shd w:val="clear" w:color="auto" w:fill="auto"/>
            <w:tcMar>
              <w:left w:w="57" w:type="dxa"/>
              <w:right w:w="57" w:type="dxa"/>
            </w:tcMar>
          </w:tcPr>
          <w:p w14:paraId="2904C6F9"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target</w:t>
            </w:r>
          </w:p>
        </w:tc>
        <w:tc>
          <w:tcPr>
            <w:tcW w:w="1336" w:type="dxa"/>
            <w:shd w:val="clear" w:color="auto" w:fill="auto"/>
            <w:tcMar>
              <w:left w:w="57" w:type="dxa"/>
              <w:right w:w="57" w:type="dxa"/>
            </w:tcMar>
          </w:tcPr>
          <w:p w14:paraId="3751F5D4"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Performance variation (%)</w:t>
            </w:r>
          </w:p>
        </w:tc>
        <w:tc>
          <w:tcPr>
            <w:tcW w:w="1070" w:type="dxa"/>
            <w:shd w:val="clear" w:color="auto" w:fill="auto"/>
            <w:tcMar>
              <w:left w:w="57" w:type="dxa"/>
              <w:right w:w="57" w:type="dxa"/>
            </w:tcMar>
          </w:tcPr>
          <w:p w14:paraId="5E50A8C5"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Result</w:t>
            </w:r>
          </w:p>
        </w:tc>
      </w:tr>
      <w:tr w:rsidR="003E5BF5" w:rsidRPr="002C5B5D" w14:paraId="30F1E719" w14:textId="77777777" w:rsidTr="001B3526">
        <w:trPr>
          <w:trHeight w:val="340"/>
        </w:trPr>
        <w:tc>
          <w:tcPr>
            <w:tcW w:w="3456" w:type="dxa"/>
            <w:shd w:val="clear" w:color="auto" w:fill="auto"/>
            <w:tcMar>
              <w:left w:w="57" w:type="dxa"/>
              <w:right w:w="57" w:type="dxa"/>
            </w:tcMar>
            <w:vAlign w:val="center"/>
          </w:tcPr>
          <w:p w14:paraId="3746F7D0"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Quantity</w:t>
            </w:r>
          </w:p>
        </w:tc>
        <w:tc>
          <w:tcPr>
            <w:tcW w:w="1070" w:type="dxa"/>
            <w:shd w:val="clear" w:color="auto" w:fill="auto"/>
            <w:tcMar>
              <w:left w:w="57" w:type="dxa"/>
              <w:right w:w="57" w:type="dxa"/>
            </w:tcMar>
            <w:vAlign w:val="center"/>
          </w:tcPr>
          <w:p w14:paraId="389DBB02"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161C0A67"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4CC7E09E"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2B00E704"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5CAB4138" w14:textId="77777777" w:rsidR="003E5BF5" w:rsidRPr="002C5B5D" w:rsidRDefault="003E5BF5" w:rsidP="00DE1921">
            <w:pPr>
              <w:pStyle w:val="TableTextRight"/>
              <w:rPr>
                <w:rFonts w:ascii="Arial" w:hAnsi="Arial" w:cs="Arial"/>
                <w:sz w:val="24"/>
                <w:szCs w:val="24"/>
              </w:rPr>
            </w:pPr>
          </w:p>
        </w:tc>
      </w:tr>
      <w:tr w:rsidR="003E5BF5" w:rsidRPr="002C5B5D" w14:paraId="3DA71009" w14:textId="77777777" w:rsidTr="001B3526">
        <w:trPr>
          <w:trHeight w:val="340"/>
        </w:trPr>
        <w:tc>
          <w:tcPr>
            <w:tcW w:w="3456" w:type="dxa"/>
            <w:shd w:val="clear" w:color="auto" w:fill="auto"/>
            <w:tcMar>
              <w:left w:w="57" w:type="dxa"/>
              <w:right w:w="57" w:type="dxa"/>
            </w:tcMar>
          </w:tcPr>
          <w:p w14:paraId="4B3B772F"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Public railway crossings upgraded</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43581C6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26460BC3"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26</w:t>
            </w:r>
          </w:p>
        </w:tc>
        <w:tc>
          <w:tcPr>
            <w:tcW w:w="1070" w:type="dxa"/>
            <w:shd w:val="clear" w:color="auto" w:fill="auto"/>
            <w:tcMar>
              <w:left w:w="57" w:type="dxa"/>
              <w:right w:w="57" w:type="dxa"/>
            </w:tcMar>
          </w:tcPr>
          <w:p w14:paraId="683DECB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31</w:t>
            </w:r>
            <w:r w:rsidRPr="002C5B5D">
              <w:rPr>
                <w:rFonts w:ascii="Arial" w:hAnsi="Arial" w:cs="Arial"/>
                <w:sz w:val="24"/>
                <w:szCs w:val="24"/>
              </w:rPr>
              <w:fldChar w:fldCharType="end"/>
            </w:r>
          </w:p>
        </w:tc>
        <w:tc>
          <w:tcPr>
            <w:tcW w:w="1336" w:type="dxa"/>
            <w:shd w:val="clear" w:color="auto" w:fill="auto"/>
            <w:tcMar>
              <w:left w:w="57" w:type="dxa"/>
              <w:right w:w="57" w:type="dxa"/>
            </w:tcMar>
          </w:tcPr>
          <w:p w14:paraId="2AAFF1A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-16.1</w:t>
            </w:r>
            <w:r w:rsidRPr="002C5B5D">
              <w:rPr>
                <w:rFonts w:ascii="Arial" w:hAnsi="Arial" w:cs="Arial"/>
                <w:sz w:val="24"/>
                <w:szCs w:val="24"/>
              </w:rPr>
              <w:fldChar w:fldCharType="end"/>
            </w:r>
          </w:p>
        </w:tc>
        <w:tc>
          <w:tcPr>
            <w:tcW w:w="1070" w:type="dxa"/>
            <w:shd w:val="clear" w:color="auto" w:fill="auto"/>
            <w:tcMar>
              <w:left w:w="57" w:type="dxa"/>
              <w:right w:w="57" w:type="dxa"/>
            </w:tcMar>
          </w:tcPr>
          <w:p w14:paraId="3AD5F865"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39234237" w14:textId="77777777" w:rsidTr="001B3526">
        <w:tc>
          <w:tcPr>
            <w:tcW w:w="9072" w:type="dxa"/>
            <w:gridSpan w:val="6"/>
            <w:shd w:val="clear" w:color="auto" w:fill="auto"/>
            <w:tcMar>
              <w:left w:w="57" w:type="dxa"/>
              <w:right w:w="57" w:type="dxa"/>
            </w:tcMar>
          </w:tcPr>
          <w:p w14:paraId="4D1EFED6"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t xml:space="preserve">Due to rescheduling of a number of upgrades to 2020-21. </w:t>
            </w:r>
          </w:p>
        </w:tc>
      </w:tr>
      <w:tr w:rsidR="003E5BF5" w:rsidRPr="002C5B5D" w14:paraId="25382EA2" w14:textId="77777777" w:rsidTr="001B3526">
        <w:trPr>
          <w:trHeight w:val="340"/>
        </w:trPr>
        <w:tc>
          <w:tcPr>
            <w:tcW w:w="3456" w:type="dxa"/>
            <w:shd w:val="clear" w:color="auto" w:fill="auto"/>
            <w:tcMar>
              <w:left w:w="57" w:type="dxa"/>
              <w:right w:w="57" w:type="dxa"/>
            </w:tcMar>
          </w:tcPr>
          <w:p w14:paraId="18B01618"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Public transport network improvement: minor projects completed – train</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364C4F9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2896288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3</w:t>
            </w:r>
            <w:r w:rsidRPr="002C5B5D">
              <w:rPr>
                <w:rFonts w:ascii="Arial" w:hAnsi="Arial" w:cs="Arial"/>
                <w:sz w:val="24"/>
                <w:szCs w:val="24"/>
              </w:rPr>
              <w:fldChar w:fldCharType="end"/>
            </w:r>
          </w:p>
        </w:tc>
        <w:tc>
          <w:tcPr>
            <w:tcW w:w="1070" w:type="dxa"/>
            <w:shd w:val="clear" w:color="auto" w:fill="auto"/>
            <w:tcMar>
              <w:left w:w="57" w:type="dxa"/>
              <w:right w:w="57" w:type="dxa"/>
            </w:tcMar>
          </w:tcPr>
          <w:p w14:paraId="239D804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4</w:t>
            </w:r>
            <w:r w:rsidRPr="002C5B5D">
              <w:rPr>
                <w:rFonts w:ascii="Arial" w:hAnsi="Arial" w:cs="Arial"/>
                <w:sz w:val="24"/>
                <w:szCs w:val="24"/>
              </w:rPr>
              <w:fldChar w:fldCharType="end"/>
            </w:r>
          </w:p>
        </w:tc>
        <w:tc>
          <w:tcPr>
            <w:tcW w:w="1336" w:type="dxa"/>
            <w:shd w:val="clear" w:color="auto" w:fill="auto"/>
            <w:tcMar>
              <w:left w:w="57" w:type="dxa"/>
              <w:right w:w="57" w:type="dxa"/>
            </w:tcMar>
          </w:tcPr>
          <w:p w14:paraId="6C4E4D2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-25.0</w:t>
            </w:r>
            <w:r w:rsidRPr="002C5B5D">
              <w:rPr>
                <w:rFonts w:ascii="Arial" w:hAnsi="Arial" w:cs="Arial"/>
                <w:sz w:val="24"/>
                <w:szCs w:val="24"/>
              </w:rPr>
              <w:fldChar w:fldCharType="end"/>
            </w:r>
          </w:p>
        </w:tc>
        <w:tc>
          <w:tcPr>
            <w:tcW w:w="1070" w:type="dxa"/>
            <w:shd w:val="clear" w:color="auto" w:fill="auto"/>
            <w:tcMar>
              <w:left w:w="57" w:type="dxa"/>
              <w:right w:w="57" w:type="dxa"/>
            </w:tcMar>
          </w:tcPr>
          <w:p w14:paraId="12F39217"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7EC6BDDC" w14:textId="77777777" w:rsidTr="001B3526">
        <w:trPr>
          <w:trHeight w:val="340"/>
        </w:trPr>
        <w:tc>
          <w:tcPr>
            <w:tcW w:w="9072" w:type="dxa"/>
            <w:gridSpan w:val="6"/>
            <w:shd w:val="clear" w:color="auto" w:fill="auto"/>
            <w:tcMar>
              <w:left w:w="57" w:type="dxa"/>
              <w:right w:w="57" w:type="dxa"/>
            </w:tcMar>
          </w:tcPr>
          <w:p w14:paraId="7761D21E"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a delay in the acquisition of the Café at South Yarra Station.</w:t>
            </w:r>
            <w:r w:rsidRPr="002C5B5D">
              <w:rPr>
                <w:rFonts w:ascii="Arial" w:hAnsi="Arial" w:cs="Arial"/>
                <w:i/>
                <w:sz w:val="24"/>
                <w:szCs w:val="24"/>
              </w:rPr>
              <w:fldChar w:fldCharType="end"/>
            </w:r>
          </w:p>
        </w:tc>
      </w:tr>
      <w:tr w:rsidR="003E5BF5" w:rsidRPr="002C5B5D" w14:paraId="118778A3" w14:textId="77777777" w:rsidTr="001B3526">
        <w:trPr>
          <w:trHeight w:val="340"/>
        </w:trPr>
        <w:tc>
          <w:tcPr>
            <w:tcW w:w="9072" w:type="dxa"/>
            <w:gridSpan w:val="6"/>
            <w:shd w:val="clear" w:color="auto" w:fill="auto"/>
            <w:tcMar>
              <w:left w:w="57" w:type="dxa"/>
              <w:right w:w="57" w:type="dxa"/>
            </w:tcMar>
            <w:vAlign w:val="center"/>
          </w:tcPr>
          <w:p w14:paraId="296E8F98" w14:textId="77777777" w:rsidR="003E5BF5" w:rsidRPr="002C5B5D" w:rsidRDefault="003E5BF5" w:rsidP="00DE1921">
            <w:pPr>
              <w:pStyle w:val="TableTextLeftItalics"/>
              <w:rPr>
                <w:rFonts w:ascii="Arial" w:hAnsi="Arial" w:cs="Arial"/>
                <w:i w:val="0"/>
                <w:sz w:val="24"/>
                <w:szCs w:val="24"/>
              </w:rPr>
            </w:pPr>
            <w:r w:rsidRPr="002C5B5D">
              <w:rPr>
                <w:rFonts w:ascii="Arial" w:hAnsi="Arial" w:cs="Arial"/>
                <w:b/>
                <w:sz w:val="24"/>
                <w:szCs w:val="24"/>
              </w:rPr>
              <w:t>Quantity</w:t>
            </w:r>
          </w:p>
        </w:tc>
      </w:tr>
      <w:tr w:rsidR="003E5BF5" w:rsidRPr="002C5B5D" w14:paraId="3ED6B9C8" w14:textId="77777777" w:rsidTr="001B3526">
        <w:trPr>
          <w:trHeight w:val="340"/>
        </w:trPr>
        <w:tc>
          <w:tcPr>
            <w:tcW w:w="3456" w:type="dxa"/>
            <w:shd w:val="clear" w:color="auto" w:fill="auto"/>
            <w:tcMar>
              <w:left w:w="57" w:type="dxa"/>
              <w:right w:w="57" w:type="dxa"/>
            </w:tcMar>
            <w:vAlign w:val="center"/>
          </w:tcPr>
          <w:p w14:paraId="152BC475"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myki device availability</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4B1C7BA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1EC12DA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99.9</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74024EE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99.5</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1799632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0.4</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727CF52D"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049CE435" w14:textId="77777777" w:rsidTr="001B3526">
        <w:trPr>
          <w:trHeight w:val="340"/>
        </w:trPr>
        <w:tc>
          <w:tcPr>
            <w:tcW w:w="3456" w:type="dxa"/>
            <w:shd w:val="clear" w:color="auto" w:fill="auto"/>
            <w:tcMar>
              <w:left w:w="57" w:type="dxa"/>
              <w:right w:w="57" w:type="dxa"/>
            </w:tcMar>
          </w:tcPr>
          <w:p w14:paraId="4EA20000"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myki: Fare payment device speed - number of touch on/offs per minute</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37E6F1B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31D4D58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37</w:t>
            </w:r>
            <w:r w:rsidRPr="002C5B5D">
              <w:rPr>
                <w:rFonts w:ascii="Arial" w:hAnsi="Arial" w:cs="Arial"/>
                <w:sz w:val="24"/>
                <w:szCs w:val="24"/>
              </w:rPr>
              <w:fldChar w:fldCharType="end"/>
            </w:r>
          </w:p>
        </w:tc>
        <w:tc>
          <w:tcPr>
            <w:tcW w:w="1070" w:type="dxa"/>
            <w:shd w:val="clear" w:color="auto" w:fill="auto"/>
            <w:tcMar>
              <w:left w:w="57" w:type="dxa"/>
              <w:right w:w="57" w:type="dxa"/>
            </w:tcMar>
          </w:tcPr>
          <w:p w14:paraId="4D1044C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28</w:t>
            </w:r>
            <w:r w:rsidRPr="002C5B5D">
              <w:rPr>
                <w:rFonts w:ascii="Arial" w:hAnsi="Arial" w:cs="Arial"/>
                <w:sz w:val="24"/>
                <w:szCs w:val="24"/>
              </w:rPr>
              <w:fldChar w:fldCharType="end"/>
            </w:r>
          </w:p>
        </w:tc>
        <w:tc>
          <w:tcPr>
            <w:tcW w:w="1336" w:type="dxa"/>
            <w:shd w:val="clear" w:color="auto" w:fill="auto"/>
            <w:tcMar>
              <w:left w:w="57" w:type="dxa"/>
              <w:right w:w="57" w:type="dxa"/>
            </w:tcMar>
          </w:tcPr>
          <w:p w14:paraId="042C657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32.1</w:t>
            </w:r>
            <w:r w:rsidRPr="002C5B5D">
              <w:rPr>
                <w:rFonts w:ascii="Arial" w:hAnsi="Arial" w:cs="Arial"/>
                <w:sz w:val="24"/>
                <w:szCs w:val="24"/>
              </w:rPr>
              <w:fldChar w:fldCharType="end"/>
            </w:r>
          </w:p>
        </w:tc>
        <w:tc>
          <w:tcPr>
            <w:tcW w:w="1070" w:type="dxa"/>
            <w:shd w:val="clear" w:color="auto" w:fill="auto"/>
            <w:tcMar>
              <w:left w:w="57" w:type="dxa"/>
              <w:right w:w="57" w:type="dxa"/>
            </w:tcMar>
          </w:tcPr>
          <w:p w14:paraId="363E06F0"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1021DF84" w14:textId="77777777" w:rsidTr="001B3526">
        <w:tc>
          <w:tcPr>
            <w:tcW w:w="9072" w:type="dxa"/>
            <w:gridSpan w:val="6"/>
            <w:shd w:val="clear" w:color="auto" w:fill="auto"/>
            <w:tcMar>
              <w:left w:w="57" w:type="dxa"/>
              <w:right w:w="57" w:type="dxa"/>
            </w:tcMar>
          </w:tcPr>
          <w:p w14:paraId="11EB6F84"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gate reader upgrades to the next generation myki readers.</w:t>
            </w:r>
            <w:r w:rsidRPr="002C5B5D">
              <w:rPr>
                <w:rFonts w:ascii="Arial" w:hAnsi="Arial" w:cs="Arial"/>
                <w:i/>
                <w:sz w:val="24"/>
                <w:szCs w:val="24"/>
              </w:rPr>
              <w:fldChar w:fldCharType="end"/>
            </w:r>
          </w:p>
        </w:tc>
      </w:tr>
      <w:tr w:rsidR="003E5BF5" w:rsidRPr="002C5B5D" w14:paraId="5100E844" w14:textId="77777777" w:rsidTr="001B3526">
        <w:trPr>
          <w:trHeight w:val="340"/>
        </w:trPr>
        <w:tc>
          <w:tcPr>
            <w:tcW w:w="3456" w:type="dxa"/>
            <w:shd w:val="clear" w:color="auto" w:fill="auto"/>
            <w:tcMar>
              <w:left w:w="57" w:type="dxa"/>
              <w:right w:w="57" w:type="dxa"/>
            </w:tcMar>
          </w:tcPr>
          <w:p w14:paraId="7E888625"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Public transport network improvement: performance against master project schedule</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568F265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4CBDA20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90</w:t>
            </w:r>
            <w:r w:rsidRPr="002C5B5D">
              <w:rPr>
                <w:rFonts w:ascii="Arial" w:hAnsi="Arial" w:cs="Arial"/>
                <w:sz w:val="24"/>
                <w:szCs w:val="24"/>
              </w:rPr>
              <w:fldChar w:fldCharType="end"/>
            </w:r>
          </w:p>
        </w:tc>
        <w:tc>
          <w:tcPr>
            <w:tcW w:w="1070" w:type="dxa"/>
            <w:shd w:val="clear" w:color="auto" w:fill="auto"/>
            <w:tcMar>
              <w:left w:w="57" w:type="dxa"/>
              <w:right w:w="57" w:type="dxa"/>
            </w:tcMar>
          </w:tcPr>
          <w:p w14:paraId="21FEC88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90</w:t>
            </w:r>
            <w:r w:rsidRPr="002C5B5D">
              <w:rPr>
                <w:rFonts w:ascii="Arial" w:hAnsi="Arial" w:cs="Arial"/>
                <w:sz w:val="24"/>
                <w:szCs w:val="24"/>
              </w:rPr>
              <w:fldChar w:fldCharType="end"/>
            </w:r>
          </w:p>
        </w:tc>
        <w:tc>
          <w:tcPr>
            <w:tcW w:w="1336" w:type="dxa"/>
            <w:shd w:val="clear" w:color="auto" w:fill="auto"/>
            <w:tcMar>
              <w:left w:w="57" w:type="dxa"/>
              <w:right w:w="57" w:type="dxa"/>
            </w:tcMar>
          </w:tcPr>
          <w:p w14:paraId="465ED96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70" w:type="dxa"/>
            <w:shd w:val="clear" w:color="auto" w:fill="auto"/>
            <w:tcMar>
              <w:left w:w="57" w:type="dxa"/>
              <w:right w:w="57" w:type="dxa"/>
            </w:tcMar>
          </w:tcPr>
          <w:p w14:paraId="3FC70468"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3B424CEF" w14:textId="77777777" w:rsidTr="001B3526">
        <w:trPr>
          <w:trHeight w:val="340"/>
        </w:trPr>
        <w:tc>
          <w:tcPr>
            <w:tcW w:w="9072" w:type="dxa"/>
            <w:gridSpan w:val="6"/>
            <w:shd w:val="clear" w:color="auto" w:fill="auto"/>
            <w:tcMar>
              <w:left w:w="57" w:type="dxa"/>
              <w:right w:w="57" w:type="dxa"/>
            </w:tcMar>
            <w:vAlign w:val="center"/>
          </w:tcPr>
          <w:p w14:paraId="2ADB546B" w14:textId="77777777" w:rsidR="003E5BF5" w:rsidRPr="002C5B5D" w:rsidRDefault="003E5BF5" w:rsidP="00DE1921">
            <w:pPr>
              <w:pStyle w:val="TableTextLeftItalics"/>
              <w:rPr>
                <w:rFonts w:ascii="Arial" w:hAnsi="Arial" w:cs="Arial"/>
                <w:i w:val="0"/>
                <w:sz w:val="24"/>
                <w:szCs w:val="24"/>
              </w:rPr>
            </w:pPr>
            <w:r w:rsidRPr="002C5B5D">
              <w:rPr>
                <w:rFonts w:ascii="Arial" w:hAnsi="Arial" w:cs="Arial"/>
                <w:b/>
                <w:sz w:val="24"/>
                <w:szCs w:val="24"/>
              </w:rPr>
              <w:t>Timeliness</w:t>
            </w:r>
          </w:p>
        </w:tc>
      </w:tr>
      <w:tr w:rsidR="003E5BF5" w:rsidRPr="002C5B5D" w14:paraId="5EA53E28" w14:textId="77777777" w:rsidTr="001B3526">
        <w:trPr>
          <w:trHeight w:val="340"/>
        </w:trPr>
        <w:tc>
          <w:tcPr>
            <w:tcW w:w="3456" w:type="dxa"/>
            <w:shd w:val="clear" w:color="auto" w:fill="auto"/>
            <w:tcMar>
              <w:left w:w="57" w:type="dxa"/>
              <w:right w:w="57" w:type="dxa"/>
            </w:tcMar>
          </w:tcPr>
          <w:p w14:paraId="798E5246"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Calls to the Public Transport Victoria call centre answered within 30 seconds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63F7456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202DA77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80</w:t>
            </w:r>
            <w:r w:rsidRPr="002C5B5D">
              <w:rPr>
                <w:rFonts w:ascii="Arial" w:hAnsi="Arial" w:cs="Arial"/>
                <w:sz w:val="24"/>
                <w:szCs w:val="24"/>
              </w:rPr>
              <w:fldChar w:fldCharType="end"/>
            </w:r>
          </w:p>
        </w:tc>
        <w:tc>
          <w:tcPr>
            <w:tcW w:w="1070" w:type="dxa"/>
            <w:shd w:val="clear" w:color="auto" w:fill="auto"/>
            <w:tcMar>
              <w:left w:w="57" w:type="dxa"/>
              <w:right w:w="57" w:type="dxa"/>
            </w:tcMar>
          </w:tcPr>
          <w:p w14:paraId="127EDC3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80</w:t>
            </w:r>
            <w:r w:rsidRPr="002C5B5D">
              <w:rPr>
                <w:rFonts w:ascii="Arial" w:hAnsi="Arial" w:cs="Arial"/>
                <w:sz w:val="24"/>
                <w:szCs w:val="24"/>
              </w:rPr>
              <w:fldChar w:fldCharType="end"/>
            </w:r>
          </w:p>
        </w:tc>
        <w:tc>
          <w:tcPr>
            <w:tcW w:w="1336" w:type="dxa"/>
            <w:shd w:val="clear" w:color="auto" w:fill="auto"/>
            <w:tcMar>
              <w:left w:w="57" w:type="dxa"/>
              <w:right w:w="57" w:type="dxa"/>
            </w:tcMar>
          </w:tcPr>
          <w:p w14:paraId="27D3359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70" w:type="dxa"/>
            <w:shd w:val="clear" w:color="auto" w:fill="auto"/>
            <w:tcMar>
              <w:left w:w="57" w:type="dxa"/>
              <w:right w:w="57" w:type="dxa"/>
            </w:tcMar>
          </w:tcPr>
          <w:p w14:paraId="6CBB0B16"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3120FE0B" w14:textId="77777777" w:rsidTr="001B3526">
        <w:trPr>
          <w:trHeight w:val="340"/>
        </w:trPr>
        <w:tc>
          <w:tcPr>
            <w:tcW w:w="3456" w:type="dxa"/>
            <w:shd w:val="clear" w:color="auto" w:fill="auto"/>
            <w:tcMar>
              <w:left w:w="57" w:type="dxa"/>
              <w:right w:w="57" w:type="dxa"/>
            </w:tcMar>
            <w:vAlign w:val="center"/>
          </w:tcPr>
          <w:p w14:paraId="044E656B"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Cost</w:t>
            </w:r>
          </w:p>
        </w:tc>
        <w:tc>
          <w:tcPr>
            <w:tcW w:w="1070" w:type="dxa"/>
            <w:shd w:val="clear" w:color="auto" w:fill="auto"/>
            <w:tcMar>
              <w:left w:w="57" w:type="dxa"/>
              <w:right w:w="57" w:type="dxa"/>
            </w:tcMar>
            <w:vAlign w:val="center"/>
          </w:tcPr>
          <w:p w14:paraId="4E956807"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54C4AA2F"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17C1BE85"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7EB6A7F0"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4055A829" w14:textId="77777777" w:rsidR="003E5BF5" w:rsidRPr="002C5B5D" w:rsidRDefault="003E5BF5" w:rsidP="00DE1921">
            <w:pPr>
              <w:pStyle w:val="TableTextRight"/>
              <w:rPr>
                <w:rFonts w:ascii="Arial" w:hAnsi="Arial" w:cs="Arial"/>
                <w:sz w:val="24"/>
                <w:szCs w:val="24"/>
              </w:rPr>
            </w:pPr>
          </w:p>
        </w:tc>
      </w:tr>
      <w:tr w:rsidR="003E5BF5" w:rsidRPr="002C5B5D" w14:paraId="77E5CDA3" w14:textId="77777777" w:rsidTr="001B3526">
        <w:trPr>
          <w:trHeight w:val="340"/>
        </w:trPr>
        <w:tc>
          <w:tcPr>
            <w:tcW w:w="3456" w:type="dxa"/>
            <w:shd w:val="clear" w:color="auto" w:fill="auto"/>
            <w:tcMar>
              <w:left w:w="57" w:type="dxa"/>
              <w:right w:w="57" w:type="dxa"/>
            </w:tcMar>
            <w:vAlign w:val="center"/>
          </w:tcPr>
          <w:p w14:paraId="59BEBAF8"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t>Total output cost</w:t>
            </w:r>
          </w:p>
        </w:tc>
        <w:tc>
          <w:tcPr>
            <w:tcW w:w="1070" w:type="dxa"/>
            <w:shd w:val="clear" w:color="auto" w:fill="auto"/>
            <w:tcMar>
              <w:left w:w="57" w:type="dxa"/>
              <w:right w:w="57" w:type="dxa"/>
            </w:tcMar>
            <w:vAlign w:val="center"/>
          </w:tcPr>
          <w:p w14:paraId="0517A72C"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 million</w:t>
            </w:r>
          </w:p>
        </w:tc>
        <w:tc>
          <w:tcPr>
            <w:tcW w:w="1070" w:type="dxa"/>
            <w:shd w:val="clear" w:color="auto" w:fill="auto"/>
            <w:tcMar>
              <w:left w:w="57" w:type="dxa"/>
              <w:right w:w="57" w:type="dxa"/>
            </w:tcMar>
            <w:vAlign w:val="center"/>
          </w:tcPr>
          <w:p w14:paraId="7774E5C0"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300.8</w:t>
            </w:r>
          </w:p>
        </w:tc>
        <w:tc>
          <w:tcPr>
            <w:tcW w:w="1070" w:type="dxa"/>
            <w:shd w:val="clear" w:color="auto" w:fill="auto"/>
            <w:tcMar>
              <w:left w:w="57" w:type="dxa"/>
              <w:right w:w="57" w:type="dxa"/>
            </w:tcMar>
            <w:vAlign w:val="center"/>
          </w:tcPr>
          <w:p w14:paraId="5A9EDB61"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314.5</w:t>
            </w:r>
          </w:p>
        </w:tc>
        <w:tc>
          <w:tcPr>
            <w:tcW w:w="1336" w:type="dxa"/>
            <w:shd w:val="clear" w:color="auto" w:fill="auto"/>
            <w:tcMar>
              <w:left w:w="57" w:type="dxa"/>
              <w:right w:w="57" w:type="dxa"/>
            </w:tcMar>
            <w:vAlign w:val="center"/>
          </w:tcPr>
          <w:p w14:paraId="1B52EFFB"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-4.4</w:t>
            </w:r>
          </w:p>
        </w:tc>
        <w:tc>
          <w:tcPr>
            <w:tcW w:w="1070" w:type="dxa"/>
            <w:shd w:val="clear" w:color="auto" w:fill="auto"/>
            <w:tcMar>
              <w:left w:w="57" w:type="dxa"/>
              <w:right w:w="57" w:type="dxa"/>
            </w:tcMar>
            <w:vAlign w:val="center"/>
          </w:tcPr>
          <w:p w14:paraId="57CD3E8F"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bl>
    <w:p w14:paraId="460ED050" w14:textId="77777777" w:rsidR="003E5BF5" w:rsidRPr="002C5B5D" w:rsidRDefault="003E5BF5">
      <w:pPr>
        <w:pStyle w:val="Note"/>
        <w:rPr>
          <w:rFonts w:ascii="Arial" w:hAnsi="Arial" w:cs="Arial"/>
          <w:sz w:val="24"/>
          <w:szCs w:val="24"/>
        </w:rPr>
      </w:pPr>
      <w:r w:rsidRPr="002C5B5D">
        <w:rPr>
          <w:rFonts w:ascii="Arial" w:hAnsi="Arial" w:cs="Arial"/>
          <w:sz w:val="24"/>
          <w:szCs w:val="24"/>
        </w:rPr>
        <w:t>Notes:</w:t>
      </w:r>
    </w:p>
    <w:p w14:paraId="415A6EB2" w14:textId="77777777" w:rsidR="003E5BF5" w:rsidRPr="002C5B5D" w:rsidRDefault="003E5BF5" w:rsidP="00DE1921">
      <w:pPr>
        <w:pStyle w:val="Notenumber123"/>
        <w:numPr>
          <w:ilvl w:val="0"/>
          <w:numId w:val="0"/>
        </w:numPr>
        <w:ind w:left="113"/>
        <w:rPr>
          <w:rFonts w:ascii="Arial" w:hAnsi="Arial" w:cs="Arial"/>
          <w:sz w:val="24"/>
          <w:szCs w:val="24"/>
        </w:rPr>
      </w:pPr>
      <w:r w:rsidRPr="002C5B5D">
        <w:rPr>
          <w:rFonts w:ascii="Arial" w:hAnsi="Arial" w:cs="Arial"/>
          <w:sz w:val="24"/>
          <w:szCs w:val="24"/>
        </w:rPr>
        <w:sym w:font="Wingdings 2" w:char="F050"/>
      </w:r>
      <w:r w:rsidRPr="002C5B5D">
        <w:rPr>
          <w:rFonts w:ascii="Arial" w:hAnsi="Arial" w:cs="Arial"/>
          <w:sz w:val="24"/>
          <w:szCs w:val="24"/>
        </w:rPr>
        <w:t xml:space="preserve"> Performance target achieved or exceeded</w:t>
      </w:r>
    </w:p>
    <w:p w14:paraId="45557024" w14:textId="77777777" w:rsidR="003E5BF5" w:rsidRPr="002C5B5D" w:rsidRDefault="003E5BF5" w:rsidP="00DE1921">
      <w:pPr>
        <w:pStyle w:val="Notenumber123"/>
        <w:numPr>
          <w:ilvl w:val="0"/>
          <w:numId w:val="0"/>
        </w:numPr>
        <w:ind w:left="340" w:hanging="227"/>
        <w:rPr>
          <w:rFonts w:ascii="Arial" w:hAnsi="Arial" w:cs="Arial"/>
          <w:sz w:val="24"/>
          <w:szCs w:val="24"/>
        </w:rPr>
      </w:pPr>
      <w:r w:rsidRPr="002C5B5D">
        <w:rPr>
          <w:rFonts w:ascii="Arial" w:hAnsi="Arial" w:cs="Arial"/>
          <w:sz w:val="24"/>
          <w:szCs w:val="24"/>
        </w:rPr>
        <w:sym w:font="Wingdings 2" w:char="F0A1"/>
      </w:r>
      <w:r w:rsidRPr="002C5B5D">
        <w:rPr>
          <w:rFonts w:ascii="Arial" w:hAnsi="Arial" w:cs="Arial"/>
          <w:sz w:val="24"/>
          <w:szCs w:val="24"/>
        </w:rPr>
        <w:t xml:space="preserve"> Performance target not achieved – exceeds 5 per cent or $50 million (cost measure only) variance</w:t>
      </w:r>
    </w:p>
    <w:p w14:paraId="79BBE7DF" w14:textId="77777777" w:rsidR="003E5BF5" w:rsidRDefault="003E5BF5" w:rsidP="00DE1921">
      <w:pPr>
        <w:rPr>
          <w:rFonts w:eastAsiaTheme="majorEastAsia" w:cstheme="majorBidi"/>
          <w:color w:val="00BAC0"/>
        </w:rPr>
      </w:pPr>
      <w:r>
        <w:rPr>
          <w:color w:val="00BAC0"/>
        </w:rPr>
        <w:br w:type="page"/>
      </w:r>
    </w:p>
    <w:p w14:paraId="38BB4B33" w14:textId="77777777" w:rsidR="003E5BF5" w:rsidRPr="008009A5" w:rsidRDefault="003E5BF5" w:rsidP="00EF5131">
      <w:pPr>
        <w:pStyle w:val="Heading5"/>
      </w:pPr>
      <w:r w:rsidRPr="008009A5">
        <w:lastRenderedPageBreak/>
        <w:t xml:space="preserve">Tram Services </w:t>
      </w:r>
    </w:p>
    <w:p w14:paraId="0440C0AB" w14:textId="77777777" w:rsidR="003E5BF5" w:rsidRPr="0038022E" w:rsidRDefault="003E5BF5" w:rsidP="00091232">
      <w:pPr>
        <w:pStyle w:val="aaatyping"/>
      </w:pPr>
      <w:r>
        <w:t xml:space="preserve">This output contributes to the department’s objective by delivering </w:t>
      </w:r>
      <w:r w:rsidRPr="0038022E">
        <w:t xml:space="preserve">a </w:t>
      </w:r>
      <w:r>
        <w:t xml:space="preserve">safe, </w:t>
      </w:r>
      <w:r w:rsidRPr="0038022E">
        <w:t xml:space="preserve">reliable and cost-effective </w:t>
      </w:r>
      <w:r>
        <w:t>tram</w:t>
      </w:r>
      <w:r w:rsidRPr="0038022E">
        <w:t xml:space="preserve"> service, including services delivered through contractual arrangements with private operators</w:t>
      </w:r>
      <w:r>
        <w:t xml:space="preserve"> and a range of infrastructure investments</w:t>
      </w:r>
      <w:r w:rsidRPr="0038022E">
        <w:t>.</w:t>
      </w:r>
      <w:r>
        <w:t xml:space="preserve"> </w:t>
      </w:r>
    </w:p>
    <w:p w14:paraId="432C0B21" w14:textId="77777777" w:rsidR="003E5BF5" w:rsidRPr="002C5B5D" w:rsidRDefault="003E5BF5" w:rsidP="00CF74EB">
      <w:pPr>
        <w:pStyle w:val="TableHeader"/>
      </w:pPr>
      <w:r w:rsidRPr="002C5B5D">
        <w:t>Tram Services</w:t>
      </w:r>
    </w:p>
    <w:tbl>
      <w:tblPr>
        <w:tblStyle w:val="TableGrid"/>
        <w:tblW w:w="9072" w:type="dxa"/>
        <w:tblCellMar>
          <w:left w:w="28" w:type="dxa"/>
          <w:right w:w="28" w:type="dxa"/>
        </w:tblCellMar>
        <w:tblLook w:val="04A0" w:firstRow="1" w:lastRow="0" w:firstColumn="1" w:lastColumn="0" w:noHBand="0" w:noVBand="1"/>
      </w:tblPr>
      <w:tblGrid>
        <w:gridCol w:w="3259"/>
        <w:gridCol w:w="1102"/>
        <w:gridCol w:w="1042"/>
        <w:gridCol w:w="1040"/>
        <w:gridCol w:w="1582"/>
        <w:gridCol w:w="1047"/>
      </w:tblGrid>
      <w:tr w:rsidR="003E5BF5" w:rsidRPr="002C5B5D" w14:paraId="7EBB7F6C" w14:textId="77777777" w:rsidTr="00B76CF8">
        <w:trPr>
          <w:trHeight w:val="340"/>
          <w:tblHeader/>
        </w:trPr>
        <w:tc>
          <w:tcPr>
            <w:tcW w:w="3456" w:type="dxa"/>
            <w:shd w:val="clear" w:color="auto" w:fill="auto"/>
            <w:tcMar>
              <w:left w:w="57" w:type="dxa"/>
              <w:right w:w="57" w:type="dxa"/>
            </w:tcMar>
          </w:tcPr>
          <w:p w14:paraId="0BB3D4DF" w14:textId="77777777" w:rsidR="003E5BF5" w:rsidRPr="002C5B5D" w:rsidRDefault="003E5BF5" w:rsidP="00DE1921">
            <w:pPr>
              <w:pStyle w:val="TableTextLeftBold"/>
              <w:rPr>
                <w:rFonts w:ascii="Arial" w:hAnsi="Arial" w:cs="Arial"/>
                <w:sz w:val="24"/>
                <w:szCs w:val="24"/>
              </w:rPr>
            </w:pPr>
            <w:r w:rsidRPr="002C5B5D">
              <w:rPr>
                <w:rFonts w:ascii="Arial" w:hAnsi="Arial" w:cs="Arial"/>
                <w:sz w:val="24"/>
                <w:szCs w:val="24"/>
              </w:rPr>
              <w:t>Performance measures</w:t>
            </w:r>
          </w:p>
        </w:tc>
        <w:tc>
          <w:tcPr>
            <w:tcW w:w="1070" w:type="dxa"/>
            <w:shd w:val="clear" w:color="auto" w:fill="auto"/>
            <w:tcMar>
              <w:left w:w="57" w:type="dxa"/>
              <w:right w:w="57" w:type="dxa"/>
            </w:tcMar>
          </w:tcPr>
          <w:p w14:paraId="0CFA275C"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unit of measure</w:t>
            </w:r>
          </w:p>
        </w:tc>
        <w:tc>
          <w:tcPr>
            <w:tcW w:w="1070" w:type="dxa"/>
            <w:shd w:val="clear" w:color="auto" w:fill="auto"/>
            <w:tcMar>
              <w:left w:w="57" w:type="dxa"/>
              <w:right w:w="57" w:type="dxa"/>
            </w:tcMar>
          </w:tcPr>
          <w:p w14:paraId="73C4BEAC"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actual</w:t>
            </w:r>
          </w:p>
        </w:tc>
        <w:tc>
          <w:tcPr>
            <w:tcW w:w="1070" w:type="dxa"/>
            <w:shd w:val="clear" w:color="auto" w:fill="auto"/>
            <w:tcMar>
              <w:left w:w="57" w:type="dxa"/>
              <w:right w:w="57" w:type="dxa"/>
            </w:tcMar>
          </w:tcPr>
          <w:p w14:paraId="5DD3CCE9"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target</w:t>
            </w:r>
          </w:p>
        </w:tc>
        <w:tc>
          <w:tcPr>
            <w:tcW w:w="1336" w:type="dxa"/>
            <w:shd w:val="clear" w:color="auto" w:fill="auto"/>
            <w:tcMar>
              <w:left w:w="57" w:type="dxa"/>
              <w:right w:w="57" w:type="dxa"/>
            </w:tcMar>
          </w:tcPr>
          <w:p w14:paraId="2168ED60"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Performance variation (%)</w:t>
            </w:r>
          </w:p>
        </w:tc>
        <w:tc>
          <w:tcPr>
            <w:tcW w:w="1070" w:type="dxa"/>
            <w:shd w:val="clear" w:color="auto" w:fill="auto"/>
            <w:tcMar>
              <w:left w:w="57" w:type="dxa"/>
              <w:right w:w="57" w:type="dxa"/>
            </w:tcMar>
          </w:tcPr>
          <w:p w14:paraId="51673079"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Result</w:t>
            </w:r>
          </w:p>
        </w:tc>
      </w:tr>
      <w:tr w:rsidR="003E5BF5" w:rsidRPr="002C5B5D" w14:paraId="038C1AA5" w14:textId="77777777" w:rsidTr="00B76CF8">
        <w:trPr>
          <w:trHeight w:val="340"/>
        </w:trPr>
        <w:tc>
          <w:tcPr>
            <w:tcW w:w="3456" w:type="dxa"/>
            <w:shd w:val="clear" w:color="auto" w:fill="auto"/>
            <w:tcMar>
              <w:left w:w="57" w:type="dxa"/>
              <w:right w:w="57" w:type="dxa"/>
            </w:tcMar>
            <w:vAlign w:val="center"/>
          </w:tcPr>
          <w:p w14:paraId="7A1460E5"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Quantity</w:t>
            </w:r>
          </w:p>
        </w:tc>
        <w:tc>
          <w:tcPr>
            <w:tcW w:w="1070" w:type="dxa"/>
            <w:shd w:val="clear" w:color="auto" w:fill="auto"/>
            <w:tcMar>
              <w:left w:w="57" w:type="dxa"/>
              <w:right w:w="57" w:type="dxa"/>
            </w:tcMar>
            <w:vAlign w:val="center"/>
          </w:tcPr>
          <w:p w14:paraId="7AD62B65"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054BCBCA"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47D5AEDE"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6BA2541C"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4D81B1BA" w14:textId="77777777" w:rsidR="003E5BF5" w:rsidRPr="002C5B5D" w:rsidRDefault="003E5BF5" w:rsidP="00DE1921">
            <w:pPr>
              <w:pStyle w:val="TableTextRight"/>
              <w:rPr>
                <w:rFonts w:ascii="Arial" w:hAnsi="Arial" w:cs="Arial"/>
                <w:sz w:val="24"/>
                <w:szCs w:val="24"/>
              </w:rPr>
            </w:pPr>
          </w:p>
        </w:tc>
      </w:tr>
      <w:tr w:rsidR="003E5BF5" w:rsidRPr="002C5B5D" w14:paraId="78B5E625" w14:textId="77777777" w:rsidTr="00B76CF8">
        <w:trPr>
          <w:trHeight w:val="340"/>
        </w:trPr>
        <w:tc>
          <w:tcPr>
            <w:tcW w:w="3456" w:type="dxa"/>
            <w:shd w:val="clear" w:color="auto" w:fill="auto"/>
            <w:tcMar>
              <w:left w:w="57" w:type="dxa"/>
              <w:right w:w="57" w:type="dxa"/>
            </w:tcMar>
            <w:vAlign w:val="center"/>
          </w:tcPr>
          <w:p w14:paraId="30E6D8E6"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Level access tram stops upgraded</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231BC8C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7BF2FA6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13</w:t>
            </w:r>
            <w:r w:rsidRPr="002C5B5D">
              <w:rPr>
                <w:rFonts w:ascii="Arial" w:hAnsi="Arial" w:cs="Arial"/>
                <w:sz w:val="24"/>
                <w:szCs w:val="24"/>
              </w:rPr>
              <w:fldChar w:fldCharType="end"/>
            </w:r>
          </w:p>
        </w:tc>
        <w:tc>
          <w:tcPr>
            <w:tcW w:w="1070" w:type="dxa"/>
            <w:shd w:val="clear" w:color="auto" w:fill="auto"/>
            <w:tcMar>
              <w:left w:w="57" w:type="dxa"/>
              <w:right w:w="57" w:type="dxa"/>
            </w:tcMar>
          </w:tcPr>
          <w:p w14:paraId="337CEF0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16</w:t>
            </w:r>
            <w:r w:rsidRPr="002C5B5D">
              <w:rPr>
                <w:rFonts w:ascii="Arial" w:hAnsi="Arial" w:cs="Arial"/>
                <w:sz w:val="24"/>
                <w:szCs w:val="24"/>
              </w:rPr>
              <w:fldChar w:fldCharType="end"/>
            </w:r>
          </w:p>
        </w:tc>
        <w:tc>
          <w:tcPr>
            <w:tcW w:w="1336" w:type="dxa"/>
            <w:shd w:val="clear" w:color="auto" w:fill="auto"/>
            <w:tcMar>
              <w:left w:w="57" w:type="dxa"/>
              <w:right w:w="57" w:type="dxa"/>
            </w:tcMar>
          </w:tcPr>
          <w:p w14:paraId="5AEB910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-18.8</w:t>
            </w:r>
            <w:r w:rsidRPr="002C5B5D">
              <w:rPr>
                <w:rFonts w:ascii="Arial" w:hAnsi="Arial" w:cs="Arial"/>
                <w:sz w:val="24"/>
                <w:szCs w:val="24"/>
              </w:rPr>
              <w:fldChar w:fldCharType="end"/>
            </w:r>
          </w:p>
        </w:tc>
        <w:tc>
          <w:tcPr>
            <w:tcW w:w="1070" w:type="dxa"/>
            <w:shd w:val="clear" w:color="auto" w:fill="auto"/>
            <w:tcMar>
              <w:left w:w="57" w:type="dxa"/>
              <w:right w:w="57" w:type="dxa"/>
            </w:tcMar>
          </w:tcPr>
          <w:p w14:paraId="1A278214"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5C014DD3" w14:textId="77777777" w:rsidTr="00B76CF8">
        <w:tc>
          <w:tcPr>
            <w:tcW w:w="9072" w:type="dxa"/>
            <w:gridSpan w:val="6"/>
            <w:shd w:val="clear" w:color="auto" w:fill="auto"/>
            <w:tcMar>
              <w:left w:w="57" w:type="dxa"/>
              <w:right w:w="57" w:type="dxa"/>
            </w:tcMar>
          </w:tcPr>
          <w:p w14:paraId="754B1213"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approval delays for three tram stops.</w:t>
            </w:r>
            <w:r w:rsidRPr="002C5B5D">
              <w:rPr>
                <w:rFonts w:ascii="Arial" w:hAnsi="Arial" w:cs="Arial"/>
                <w:i/>
                <w:sz w:val="24"/>
                <w:szCs w:val="24"/>
              </w:rPr>
              <w:fldChar w:fldCharType="end"/>
            </w:r>
          </w:p>
        </w:tc>
      </w:tr>
      <w:tr w:rsidR="003E5BF5" w:rsidRPr="002C5B5D" w14:paraId="69D66D8F" w14:textId="77777777" w:rsidTr="00B76CF8">
        <w:trPr>
          <w:trHeight w:val="340"/>
        </w:trPr>
        <w:tc>
          <w:tcPr>
            <w:tcW w:w="3456" w:type="dxa"/>
            <w:shd w:val="clear" w:color="auto" w:fill="auto"/>
            <w:tcMar>
              <w:left w:w="57" w:type="dxa"/>
              <w:right w:w="57" w:type="dxa"/>
            </w:tcMar>
            <w:vAlign w:val="center"/>
          </w:tcPr>
          <w:p w14:paraId="39137949"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Number of tram routes upgraded</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3B20B2F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707FB36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2</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6E13782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2</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7BF526F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06E3BD00"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500B2B9F" w14:textId="77777777" w:rsidTr="00B76CF8">
        <w:trPr>
          <w:trHeight w:val="340"/>
        </w:trPr>
        <w:tc>
          <w:tcPr>
            <w:tcW w:w="3456" w:type="dxa"/>
            <w:shd w:val="clear" w:color="auto" w:fill="auto"/>
            <w:tcMar>
              <w:left w:w="57" w:type="dxa"/>
              <w:right w:w="57" w:type="dxa"/>
            </w:tcMar>
          </w:tcPr>
          <w:p w14:paraId="6235E881"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Passengers carried: tram services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492589B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 (million)</w:t>
            </w:r>
            <w:r w:rsidRPr="002C5B5D">
              <w:rPr>
                <w:rFonts w:ascii="Arial" w:hAnsi="Arial" w:cs="Arial"/>
                <w:sz w:val="24"/>
                <w:szCs w:val="24"/>
              </w:rPr>
              <w:fldChar w:fldCharType="end"/>
            </w:r>
          </w:p>
        </w:tc>
        <w:tc>
          <w:tcPr>
            <w:tcW w:w="1070" w:type="dxa"/>
            <w:shd w:val="clear" w:color="auto" w:fill="auto"/>
            <w:tcMar>
              <w:left w:w="57" w:type="dxa"/>
              <w:right w:w="57" w:type="dxa"/>
            </w:tcMar>
          </w:tcPr>
          <w:p w14:paraId="4021C83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141.8</w:t>
            </w:r>
            <w:r w:rsidRPr="002C5B5D">
              <w:rPr>
                <w:rFonts w:ascii="Arial" w:hAnsi="Arial" w:cs="Arial"/>
                <w:sz w:val="24"/>
                <w:szCs w:val="24"/>
              </w:rPr>
              <w:fldChar w:fldCharType="end"/>
            </w:r>
          </w:p>
        </w:tc>
        <w:tc>
          <w:tcPr>
            <w:tcW w:w="1070" w:type="dxa"/>
            <w:shd w:val="clear" w:color="auto" w:fill="auto"/>
            <w:tcMar>
              <w:left w:w="57" w:type="dxa"/>
              <w:right w:w="57" w:type="dxa"/>
            </w:tcMar>
          </w:tcPr>
          <w:p w14:paraId="6B0AB46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208.1</w:t>
            </w:r>
            <w:r w:rsidRPr="002C5B5D">
              <w:rPr>
                <w:rFonts w:ascii="Arial" w:hAnsi="Arial" w:cs="Arial"/>
                <w:sz w:val="24"/>
                <w:szCs w:val="24"/>
              </w:rPr>
              <w:fldChar w:fldCharType="end"/>
            </w:r>
          </w:p>
        </w:tc>
        <w:tc>
          <w:tcPr>
            <w:tcW w:w="1336" w:type="dxa"/>
            <w:shd w:val="clear" w:color="auto" w:fill="auto"/>
            <w:tcMar>
              <w:left w:w="57" w:type="dxa"/>
              <w:right w:w="57" w:type="dxa"/>
            </w:tcMar>
          </w:tcPr>
          <w:p w14:paraId="14B8C09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-31.9</w:t>
            </w:r>
            <w:r w:rsidRPr="002C5B5D">
              <w:rPr>
                <w:rFonts w:ascii="Arial" w:hAnsi="Arial" w:cs="Arial"/>
                <w:sz w:val="24"/>
                <w:szCs w:val="24"/>
              </w:rPr>
              <w:fldChar w:fldCharType="end"/>
            </w:r>
          </w:p>
        </w:tc>
        <w:tc>
          <w:tcPr>
            <w:tcW w:w="1070" w:type="dxa"/>
            <w:shd w:val="clear" w:color="auto" w:fill="auto"/>
            <w:tcMar>
              <w:left w:w="57" w:type="dxa"/>
              <w:right w:w="57" w:type="dxa"/>
            </w:tcMar>
          </w:tcPr>
          <w:p w14:paraId="0EC25387"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17CAA90C" w14:textId="77777777" w:rsidTr="00B76CF8">
        <w:tc>
          <w:tcPr>
            <w:tcW w:w="9072" w:type="dxa"/>
            <w:gridSpan w:val="6"/>
            <w:shd w:val="clear" w:color="auto" w:fill="auto"/>
            <w:tcMar>
              <w:left w:w="57" w:type="dxa"/>
              <w:right w:w="57" w:type="dxa"/>
            </w:tcMar>
          </w:tcPr>
          <w:p w14:paraId="57955AD6"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Public transport usage was significantly impacted by the coronavirus (COVID-19) response from March to the end of June 2020.</w:t>
            </w:r>
            <w:r w:rsidRPr="002C5B5D">
              <w:rPr>
                <w:rFonts w:ascii="Arial" w:hAnsi="Arial" w:cs="Arial"/>
                <w:i/>
                <w:sz w:val="24"/>
                <w:szCs w:val="24"/>
              </w:rPr>
              <w:fldChar w:fldCharType="end"/>
            </w:r>
          </w:p>
        </w:tc>
      </w:tr>
      <w:tr w:rsidR="003E5BF5" w:rsidRPr="002C5B5D" w14:paraId="49A408D4" w14:textId="77777777" w:rsidTr="00B76CF8">
        <w:trPr>
          <w:trHeight w:val="340"/>
        </w:trPr>
        <w:tc>
          <w:tcPr>
            <w:tcW w:w="3456" w:type="dxa"/>
            <w:shd w:val="clear" w:color="auto" w:fill="auto"/>
            <w:tcMar>
              <w:left w:w="57" w:type="dxa"/>
              <w:right w:w="57" w:type="dxa"/>
            </w:tcMar>
            <w:vAlign w:val="center"/>
          </w:tcPr>
          <w:p w14:paraId="54C3FB03"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Payments made for: tram services</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7D819121"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 million</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6EA9A68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445.4</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7D669FD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446.7</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6510209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-0.3</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36BE9D44"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24786502" w14:textId="77777777" w:rsidTr="00B76CF8">
        <w:trPr>
          <w:trHeight w:val="340"/>
        </w:trPr>
        <w:tc>
          <w:tcPr>
            <w:tcW w:w="3456" w:type="dxa"/>
            <w:shd w:val="clear" w:color="auto" w:fill="auto"/>
            <w:tcMar>
              <w:left w:w="57" w:type="dxa"/>
              <w:right w:w="57" w:type="dxa"/>
            </w:tcMar>
          </w:tcPr>
          <w:p w14:paraId="34F37FAA"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Progress of Tram procurement and supporting infrastructure – cumulative project expenditure</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7C755DA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3D96685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93</w:t>
            </w:r>
            <w:r w:rsidRPr="002C5B5D">
              <w:rPr>
                <w:rFonts w:ascii="Arial" w:hAnsi="Arial" w:cs="Arial"/>
                <w:sz w:val="24"/>
                <w:szCs w:val="24"/>
              </w:rPr>
              <w:fldChar w:fldCharType="end"/>
            </w:r>
          </w:p>
        </w:tc>
        <w:tc>
          <w:tcPr>
            <w:tcW w:w="1070" w:type="dxa"/>
            <w:shd w:val="clear" w:color="auto" w:fill="auto"/>
            <w:tcMar>
              <w:left w:w="57" w:type="dxa"/>
              <w:right w:w="57" w:type="dxa"/>
            </w:tcMar>
          </w:tcPr>
          <w:p w14:paraId="4E2CE27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92</w:t>
            </w:r>
            <w:r w:rsidRPr="002C5B5D">
              <w:rPr>
                <w:rFonts w:ascii="Arial" w:hAnsi="Arial" w:cs="Arial"/>
                <w:sz w:val="24"/>
                <w:szCs w:val="24"/>
              </w:rPr>
              <w:fldChar w:fldCharType="end"/>
            </w:r>
          </w:p>
        </w:tc>
        <w:tc>
          <w:tcPr>
            <w:tcW w:w="1336" w:type="dxa"/>
            <w:shd w:val="clear" w:color="auto" w:fill="auto"/>
            <w:tcMar>
              <w:left w:w="57" w:type="dxa"/>
              <w:right w:w="57" w:type="dxa"/>
            </w:tcMar>
          </w:tcPr>
          <w:p w14:paraId="2AF9A0F1"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1.0</w:t>
            </w:r>
            <w:r w:rsidRPr="002C5B5D">
              <w:rPr>
                <w:rFonts w:ascii="Arial" w:hAnsi="Arial" w:cs="Arial"/>
                <w:sz w:val="24"/>
                <w:szCs w:val="24"/>
              </w:rPr>
              <w:fldChar w:fldCharType="end"/>
            </w:r>
          </w:p>
        </w:tc>
        <w:tc>
          <w:tcPr>
            <w:tcW w:w="1070" w:type="dxa"/>
            <w:shd w:val="clear" w:color="auto" w:fill="auto"/>
            <w:tcMar>
              <w:left w:w="57" w:type="dxa"/>
              <w:right w:w="57" w:type="dxa"/>
            </w:tcMar>
          </w:tcPr>
          <w:p w14:paraId="459FF4A0"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41AE7278" w14:textId="77777777" w:rsidTr="00B76CF8">
        <w:trPr>
          <w:trHeight w:val="340"/>
        </w:trPr>
        <w:tc>
          <w:tcPr>
            <w:tcW w:w="9072" w:type="dxa"/>
            <w:gridSpan w:val="6"/>
            <w:shd w:val="clear" w:color="auto" w:fill="auto"/>
            <w:tcMar>
              <w:left w:w="57" w:type="dxa"/>
              <w:right w:w="57" w:type="dxa"/>
            </w:tcMar>
          </w:tcPr>
          <w:p w14:paraId="39C7D11F" w14:textId="77777777" w:rsidR="003E5BF5" w:rsidRPr="002C5B5D" w:rsidRDefault="003E5BF5" w:rsidP="00DE1921">
            <w:pPr>
              <w:pStyle w:val="TableTextCentre"/>
              <w:spacing w:before="40"/>
              <w:jc w:val="left"/>
              <w:rPr>
                <w:rFonts w:ascii="Arial" w:hAnsi="Arial" w:cs="Arial"/>
                <w:i/>
                <w:sz w:val="24"/>
                <w:szCs w:val="24"/>
              </w:rPr>
            </w:pPr>
          </w:p>
        </w:tc>
      </w:tr>
      <w:tr w:rsidR="003E5BF5" w:rsidRPr="002C5B5D" w14:paraId="371BCC35" w14:textId="77777777" w:rsidTr="00B76CF8">
        <w:trPr>
          <w:trHeight w:val="340"/>
        </w:trPr>
        <w:tc>
          <w:tcPr>
            <w:tcW w:w="3456" w:type="dxa"/>
            <w:shd w:val="clear" w:color="auto" w:fill="auto"/>
            <w:tcMar>
              <w:left w:w="57" w:type="dxa"/>
              <w:right w:w="57" w:type="dxa"/>
            </w:tcMar>
            <w:vAlign w:val="center"/>
          </w:tcPr>
          <w:p w14:paraId="5C6A481F"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Scheduled services delivered: tram</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745DC7F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4CCE495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98</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20E0885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99.2</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60DC37F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-1.2</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7B5CEDCD"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0F1DF486" w14:textId="77777777" w:rsidTr="00B76CF8">
        <w:trPr>
          <w:trHeight w:val="340"/>
        </w:trPr>
        <w:tc>
          <w:tcPr>
            <w:tcW w:w="3456" w:type="dxa"/>
            <w:shd w:val="clear" w:color="auto" w:fill="auto"/>
            <w:tcMar>
              <w:left w:w="57" w:type="dxa"/>
              <w:right w:w="57" w:type="dxa"/>
            </w:tcMar>
            <w:vAlign w:val="center"/>
          </w:tcPr>
          <w:p w14:paraId="4075D51C"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Total kilometres scheduled: tram</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037D746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km (million)</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7EE870F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24.6</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36424E6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24.6</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28C6B8B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6AA9CCAD"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20EAD98B" w14:textId="77777777" w:rsidTr="00B76CF8">
        <w:trPr>
          <w:trHeight w:val="340"/>
        </w:trPr>
        <w:tc>
          <w:tcPr>
            <w:tcW w:w="3456" w:type="dxa"/>
            <w:shd w:val="clear" w:color="auto" w:fill="auto"/>
            <w:tcMar>
              <w:left w:w="57" w:type="dxa"/>
              <w:right w:w="57" w:type="dxa"/>
            </w:tcMar>
            <w:vAlign w:val="center"/>
          </w:tcPr>
          <w:p w14:paraId="0B3A6CD5"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W-Class Trams fully restored</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5B6DEB0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22DEB94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2</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55776A3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3</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613245A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-33.3</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60A7D031"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16369DC4" w14:textId="77777777" w:rsidTr="00B76CF8">
        <w:tc>
          <w:tcPr>
            <w:tcW w:w="9072" w:type="dxa"/>
            <w:gridSpan w:val="6"/>
            <w:shd w:val="clear" w:color="auto" w:fill="auto"/>
            <w:tcMar>
              <w:left w:w="57" w:type="dxa"/>
              <w:right w:w="57" w:type="dxa"/>
            </w:tcMar>
          </w:tcPr>
          <w:p w14:paraId="6CA878FE"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logistical challenges the restoration of one tram was rescheduled.</w:t>
            </w:r>
            <w:r w:rsidRPr="002C5B5D">
              <w:rPr>
                <w:rFonts w:ascii="Arial" w:hAnsi="Arial" w:cs="Arial"/>
                <w:i/>
                <w:sz w:val="24"/>
                <w:szCs w:val="24"/>
              </w:rPr>
              <w:fldChar w:fldCharType="end"/>
            </w:r>
          </w:p>
        </w:tc>
      </w:tr>
      <w:tr w:rsidR="003E5BF5" w:rsidRPr="002C5B5D" w14:paraId="63A80D68" w14:textId="77777777" w:rsidTr="00B76CF8">
        <w:trPr>
          <w:trHeight w:val="340"/>
        </w:trPr>
        <w:tc>
          <w:tcPr>
            <w:tcW w:w="3456" w:type="dxa"/>
            <w:shd w:val="clear" w:color="auto" w:fill="auto"/>
            <w:tcMar>
              <w:left w:w="57" w:type="dxa"/>
              <w:right w:w="57" w:type="dxa"/>
            </w:tcMar>
            <w:vAlign w:val="center"/>
          </w:tcPr>
          <w:p w14:paraId="484F147C"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Quality</w:t>
            </w:r>
          </w:p>
        </w:tc>
        <w:tc>
          <w:tcPr>
            <w:tcW w:w="1070" w:type="dxa"/>
            <w:shd w:val="clear" w:color="auto" w:fill="auto"/>
            <w:tcMar>
              <w:left w:w="57" w:type="dxa"/>
              <w:right w:w="57" w:type="dxa"/>
            </w:tcMar>
          </w:tcPr>
          <w:p w14:paraId="1CD1C04D" w14:textId="77777777" w:rsidR="003E5BF5" w:rsidRPr="002C5B5D" w:rsidRDefault="003E5BF5" w:rsidP="00DE1921">
            <w:pPr>
              <w:pStyle w:val="TableTextLeftItalics"/>
              <w:rPr>
                <w:rFonts w:ascii="Arial" w:hAnsi="Arial" w:cs="Arial"/>
                <w:b/>
                <w:sz w:val="24"/>
                <w:szCs w:val="24"/>
              </w:rPr>
            </w:pPr>
          </w:p>
        </w:tc>
        <w:tc>
          <w:tcPr>
            <w:tcW w:w="1070" w:type="dxa"/>
            <w:shd w:val="clear" w:color="auto" w:fill="auto"/>
            <w:tcMar>
              <w:left w:w="57" w:type="dxa"/>
              <w:right w:w="57" w:type="dxa"/>
            </w:tcMar>
          </w:tcPr>
          <w:p w14:paraId="35CB08FD" w14:textId="77777777" w:rsidR="003E5BF5" w:rsidRPr="002C5B5D" w:rsidRDefault="003E5BF5" w:rsidP="00DE1921">
            <w:pPr>
              <w:pStyle w:val="TableTextLeftItalics"/>
              <w:rPr>
                <w:rFonts w:ascii="Arial" w:hAnsi="Arial" w:cs="Arial"/>
                <w:b/>
                <w:sz w:val="24"/>
                <w:szCs w:val="24"/>
              </w:rPr>
            </w:pPr>
          </w:p>
        </w:tc>
        <w:tc>
          <w:tcPr>
            <w:tcW w:w="1070" w:type="dxa"/>
            <w:shd w:val="clear" w:color="auto" w:fill="auto"/>
            <w:tcMar>
              <w:left w:w="57" w:type="dxa"/>
              <w:right w:w="57" w:type="dxa"/>
            </w:tcMar>
          </w:tcPr>
          <w:p w14:paraId="4924A288" w14:textId="77777777" w:rsidR="003E5BF5" w:rsidRPr="002C5B5D" w:rsidRDefault="003E5BF5" w:rsidP="00DE1921">
            <w:pPr>
              <w:pStyle w:val="TableTextLeftItalics"/>
              <w:rPr>
                <w:rFonts w:ascii="Arial" w:hAnsi="Arial" w:cs="Arial"/>
                <w:b/>
                <w:sz w:val="24"/>
                <w:szCs w:val="24"/>
              </w:rPr>
            </w:pPr>
          </w:p>
        </w:tc>
        <w:tc>
          <w:tcPr>
            <w:tcW w:w="1336" w:type="dxa"/>
            <w:shd w:val="clear" w:color="auto" w:fill="auto"/>
            <w:tcMar>
              <w:left w:w="57" w:type="dxa"/>
              <w:right w:w="57" w:type="dxa"/>
            </w:tcMar>
          </w:tcPr>
          <w:p w14:paraId="1D7C2655" w14:textId="77777777" w:rsidR="003E5BF5" w:rsidRPr="002C5B5D" w:rsidRDefault="003E5BF5" w:rsidP="00DE1921">
            <w:pPr>
              <w:pStyle w:val="TableTextLeftItalics"/>
              <w:rPr>
                <w:rFonts w:ascii="Arial" w:hAnsi="Arial" w:cs="Arial"/>
                <w:b/>
                <w:sz w:val="24"/>
                <w:szCs w:val="24"/>
              </w:rPr>
            </w:pPr>
          </w:p>
        </w:tc>
        <w:tc>
          <w:tcPr>
            <w:tcW w:w="1070" w:type="dxa"/>
            <w:shd w:val="clear" w:color="auto" w:fill="auto"/>
            <w:tcMar>
              <w:left w:w="57" w:type="dxa"/>
              <w:right w:w="57" w:type="dxa"/>
            </w:tcMar>
          </w:tcPr>
          <w:p w14:paraId="3ED74613" w14:textId="77777777" w:rsidR="003E5BF5" w:rsidRPr="002C5B5D" w:rsidRDefault="003E5BF5" w:rsidP="00DE1921">
            <w:pPr>
              <w:pStyle w:val="TableTextLeftItalics"/>
              <w:rPr>
                <w:rFonts w:ascii="Arial" w:hAnsi="Arial" w:cs="Arial"/>
                <w:b/>
                <w:sz w:val="24"/>
                <w:szCs w:val="24"/>
              </w:rPr>
            </w:pPr>
          </w:p>
        </w:tc>
      </w:tr>
      <w:tr w:rsidR="003E5BF5" w:rsidRPr="002C5B5D" w14:paraId="100938D6" w14:textId="77777777" w:rsidTr="00B76CF8">
        <w:trPr>
          <w:trHeight w:val="340"/>
        </w:trPr>
        <w:tc>
          <w:tcPr>
            <w:tcW w:w="3456" w:type="dxa"/>
            <w:shd w:val="clear" w:color="auto" w:fill="auto"/>
            <w:tcMar>
              <w:left w:w="57" w:type="dxa"/>
              <w:right w:w="57" w:type="dxa"/>
            </w:tcMar>
            <w:vAlign w:val="center"/>
          </w:tcPr>
          <w:p w14:paraId="41174C10"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Availability of rolling stock: trams</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35CDD04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33BB7B00"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89.7</w:t>
            </w:r>
          </w:p>
        </w:tc>
        <w:tc>
          <w:tcPr>
            <w:tcW w:w="1070" w:type="dxa"/>
            <w:shd w:val="clear" w:color="auto" w:fill="auto"/>
            <w:tcMar>
              <w:left w:w="57" w:type="dxa"/>
              <w:right w:w="57" w:type="dxa"/>
            </w:tcMar>
            <w:vAlign w:val="center"/>
          </w:tcPr>
          <w:p w14:paraId="3A6A6E9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94</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20225F0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-4.6</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61A4F2F3"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4AADCFDF" w14:textId="77777777" w:rsidTr="00B76CF8">
        <w:trPr>
          <w:trHeight w:val="340"/>
        </w:trPr>
        <w:tc>
          <w:tcPr>
            <w:tcW w:w="3456" w:type="dxa"/>
            <w:shd w:val="clear" w:color="auto" w:fill="auto"/>
            <w:tcMar>
              <w:left w:w="57" w:type="dxa"/>
              <w:right w:w="57" w:type="dxa"/>
            </w:tcMar>
            <w:vAlign w:val="center"/>
          </w:tcPr>
          <w:p w14:paraId="4CD61414"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Customer satisfaction index: tram services</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4BCD0EC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score</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14BD5F2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77.6</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3FF954F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76.5</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5B3D0E6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1.4</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505E3F43"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12C31156" w14:textId="77777777" w:rsidTr="00B76CF8">
        <w:trPr>
          <w:trHeight w:val="340"/>
        </w:trPr>
        <w:tc>
          <w:tcPr>
            <w:tcW w:w="3456" w:type="dxa"/>
            <w:shd w:val="clear" w:color="auto" w:fill="auto"/>
            <w:tcMar>
              <w:left w:w="57" w:type="dxa"/>
              <w:right w:w="57" w:type="dxa"/>
            </w:tcMar>
            <w:vAlign w:val="center"/>
          </w:tcPr>
          <w:p w14:paraId="090C7262"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Timeliness</w:t>
            </w:r>
          </w:p>
        </w:tc>
        <w:tc>
          <w:tcPr>
            <w:tcW w:w="1070" w:type="dxa"/>
            <w:shd w:val="clear" w:color="auto" w:fill="auto"/>
            <w:tcMar>
              <w:left w:w="57" w:type="dxa"/>
              <w:right w:w="57" w:type="dxa"/>
            </w:tcMar>
          </w:tcPr>
          <w:p w14:paraId="3D8CE14F" w14:textId="77777777" w:rsidR="003E5BF5" w:rsidRPr="002C5B5D" w:rsidRDefault="003E5BF5" w:rsidP="00DE1921">
            <w:pPr>
              <w:pStyle w:val="TableTextLeftItalics"/>
              <w:rPr>
                <w:rFonts w:ascii="Arial" w:hAnsi="Arial" w:cs="Arial"/>
                <w:b/>
                <w:sz w:val="24"/>
                <w:szCs w:val="24"/>
              </w:rPr>
            </w:pPr>
          </w:p>
        </w:tc>
        <w:tc>
          <w:tcPr>
            <w:tcW w:w="1070" w:type="dxa"/>
            <w:shd w:val="clear" w:color="auto" w:fill="auto"/>
            <w:tcMar>
              <w:left w:w="57" w:type="dxa"/>
              <w:right w:w="57" w:type="dxa"/>
            </w:tcMar>
          </w:tcPr>
          <w:p w14:paraId="60AC6705" w14:textId="77777777" w:rsidR="003E5BF5" w:rsidRPr="002C5B5D" w:rsidRDefault="003E5BF5" w:rsidP="00DE1921">
            <w:pPr>
              <w:pStyle w:val="TableTextLeftItalics"/>
              <w:rPr>
                <w:rFonts w:ascii="Arial" w:hAnsi="Arial" w:cs="Arial"/>
                <w:b/>
                <w:sz w:val="24"/>
                <w:szCs w:val="24"/>
              </w:rPr>
            </w:pPr>
          </w:p>
        </w:tc>
        <w:tc>
          <w:tcPr>
            <w:tcW w:w="1070" w:type="dxa"/>
            <w:shd w:val="clear" w:color="auto" w:fill="auto"/>
            <w:tcMar>
              <w:left w:w="57" w:type="dxa"/>
              <w:right w:w="57" w:type="dxa"/>
            </w:tcMar>
          </w:tcPr>
          <w:p w14:paraId="50F9040E" w14:textId="77777777" w:rsidR="003E5BF5" w:rsidRPr="002C5B5D" w:rsidRDefault="003E5BF5" w:rsidP="00DE1921">
            <w:pPr>
              <w:pStyle w:val="TableTextLeftItalics"/>
              <w:rPr>
                <w:rFonts w:ascii="Arial" w:hAnsi="Arial" w:cs="Arial"/>
                <w:b/>
                <w:sz w:val="24"/>
                <w:szCs w:val="24"/>
              </w:rPr>
            </w:pPr>
          </w:p>
        </w:tc>
        <w:tc>
          <w:tcPr>
            <w:tcW w:w="1336" w:type="dxa"/>
            <w:shd w:val="clear" w:color="auto" w:fill="auto"/>
            <w:tcMar>
              <w:left w:w="57" w:type="dxa"/>
              <w:right w:w="57" w:type="dxa"/>
            </w:tcMar>
          </w:tcPr>
          <w:p w14:paraId="7C1D73BC" w14:textId="77777777" w:rsidR="003E5BF5" w:rsidRPr="002C5B5D" w:rsidRDefault="003E5BF5" w:rsidP="00DE1921">
            <w:pPr>
              <w:pStyle w:val="TableTextLeftItalics"/>
              <w:rPr>
                <w:rFonts w:ascii="Arial" w:hAnsi="Arial" w:cs="Arial"/>
                <w:b/>
                <w:sz w:val="24"/>
                <w:szCs w:val="24"/>
              </w:rPr>
            </w:pPr>
          </w:p>
        </w:tc>
        <w:tc>
          <w:tcPr>
            <w:tcW w:w="1070" w:type="dxa"/>
            <w:shd w:val="clear" w:color="auto" w:fill="auto"/>
            <w:tcMar>
              <w:left w:w="57" w:type="dxa"/>
              <w:right w:w="57" w:type="dxa"/>
            </w:tcMar>
          </w:tcPr>
          <w:p w14:paraId="10EDEDA8" w14:textId="77777777" w:rsidR="003E5BF5" w:rsidRPr="002C5B5D" w:rsidRDefault="003E5BF5" w:rsidP="00DE1921">
            <w:pPr>
              <w:pStyle w:val="TableTextLeftItalics"/>
              <w:rPr>
                <w:rFonts w:ascii="Arial" w:hAnsi="Arial" w:cs="Arial"/>
                <w:b/>
                <w:sz w:val="24"/>
                <w:szCs w:val="24"/>
              </w:rPr>
            </w:pPr>
          </w:p>
        </w:tc>
      </w:tr>
      <w:tr w:rsidR="003E5BF5" w:rsidRPr="002C5B5D" w14:paraId="5F6690B1" w14:textId="77777777" w:rsidTr="00B76CF8">
        <w:trPr>
          <w:trHeight w:val="340"/>
        </w:trPr>
        <w:tc>
          <w:tcPr>
            <w:tcW w:w="3456" w:type="dxa"/>
            <w:shd w:val="clear" w:color="auto" w:fill="auto"/>
            <w:tcMar>
              <w:left w:w="57" w:type="dxa"/>
              <w:right w:w="57" w:type="dxa"/>
            </w:tcMar>
          </w:tcPr>
          <w:p w14:paraId="607CD8C5"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Major periodic maintenance works completed against plan: tram network</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3094F72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5DDB4B9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93.7</w:t>
            </w:r>
            <w:r w:rsidRPr="002C5B5D">
              <w:rPr>
                <w:rFonts w:ascii="Arial" w:hAnsi="Arial" w:cs="Arial"/>
                <w:sz w:val="24"/>
                <w:szCs w:val="24"/>
              </w:rPr>
              <w:fldChar w:fldCharType="end"/>
            </w:r>
          </w:p>
        </w:tc>
        <w:tc>
          <w:tcPr>
            <w:tcW w:w="1070" w:type="dxa"/>
            <w:shd w:val="clear" w:color="auto" w:fill="auto"/>
            <w:tcMar>
              <w:left w:w="57" w:type="dxa"/>
              <w:right w:w="57" w:type="dxa"/>
            </w:tcMar>
          </w:tcPr>
          <w:p w14:paraId="40F0D72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336" w:type="dxa"/>
            <w:shd w:val="clear" w:color="auto" w:fill="auto"/>
            <w:tcMar>
              <w:left w:w="57" w:type="dxa"/>
              <w:right w:w="57" w:type="dxa"/>
            </w:tcMar>
          </w:tcPr>
          <w:p w14:paraId="727B869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-6.3</w:t>
            </w:r>
            <w:r w:rsidRPr="002C5B5D">
              <w:rPr>
                <w:rFonts w:ascii="Arial" w:hAnsi="Arial" w:cs="Arial"/>
                <w:sz w:val="24"/>
                <w:szCs w:val="24"/>
              </w:rPr>
              <w:fldChar w:fldCharType="end"/>
            </w:r>
          </w:p>
        </w:tc>
        <w:tc>
          <w:tcPr>
            <w:tcW w:w="1070" w:type="dxa"/>
            <w:shd w:val="clear" w:color="auto" w:fill="auto"/>
            <w:tcMar>
              <w:left w:w="57" w:type="dxa"/>
              <w:right w:w="57" w:type="dxa"/>
            </w:tcMar>
          </w:tcPr>
          <w:p w14:paraId="07E7B710"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60DBC239" w14:textId="77777777" w:rsidTr="00B76CF8">
        <w:tc>
          <w:tcPr>
            <w:tcW w:w="9072" w:type="dxa"/>
            <w:gridSpan w:val="6"/>
            <w:shd w:val="clear" w:color="auto" w:fill="auto"/>
            <w:tcMar>
              <w:left w:w="57" w:type="dxa"/>
              <w:right w:w="57" w:type="dxa"/>
            </w:tcMar>
          </w:tcPr>
          <w:p w14:paraId="7CC9B2C2"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rescheduling of work to 2020-21.</w:t>
            </w:r>
            <w:r w:rsidRPr="002C5B5D">
              <w:rPr>
                <w:rFonts w:ascii="Arial" w:hAnsi="Arial" w:cs="Arial"/>
                <w:i/>
                <w:sz w:val="24"/>
                <w:szCs w:val="24"/>
              </w:rPr>
              <w:fldChar w:fldCharType="end"/>
            </w:r>
          </w:p>
        </w:tc>
      </w:tr>
      <w:tr w:rsidR="003E5BF5" w:rsidRPr="002C5B5D" w14:paraId="5A59E9EC" w14:textId="77777777" w:rsidTr="00B76CF8">
        <w:trPr>
          <w:trHeight w:val="340"/>
        </w:trPr>
        <w:tc>
          <w:tcPr>
            <w:tcW w:w="3456" w:type="dxa"/>
            <w:shd w:val="clear" w:color="auto" w:fill="auto"/>
            <w:tcMar>
              <w:left w:w="57" w:type="dxa"/>
              <w:right w:w="57" w:type="dxa"/>
            </w:tcMar>
            <w:vAlign w:val="center"/>
          </w:tcPr>
          <w:p w14:paraId="69B6E763"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Service punctuality for: tram services</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28D7A34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739F73E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86.3</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472DEC4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82.9</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47CD98B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4.1</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35676351"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153EFB99" w14:textId="77777777" w:rsidTr="00B76CF8">
        <w:trPr>
          <w:trHeight w:val="340"/>
        </w:trPr>
        <w:tc>
          <w:tcPr>
            <w:tcW w:w="3456" w:type="dxa"/>
            <w:shd w:val="clear" w:color="auto" w:fill="auto"/>
            <w:tcMar>
              <w:left w:w="57" w:type="dxa"/>
              <w:right w:w="57" w:type="dxa"/>
            </w:tcMar>
            <w:vAlign w:val="center"/>
          </w:tcPr>
          <w:p w14:paraId="466FF839"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lastRenderedPageBreak/>
              <w:t>Cost</w:t>
            </w:r>
          </w:p>
        </w:tc>
        <w:tc>
          <w:tcPr>
            <w:tcW w:w="1070" w:type="dxa"/>
            <w:shd w:val="clear" w:color="auto" w:fill="auto"/>
            <w:tcMar>
              <w:left w:w="57" w:type="dxa"/>
              <w:right w:w="57" w:type="dxa"/>
            </w:tcMar>
            <w:vAlign w:val="center"/>
          </w:tcPr>
          <w:p w14:paraId="5092755A"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1DACE4F3"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0CD7FD4C"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551CF6DE"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53378D92" w14:textId="77777777" w:rsidR="003E5BF5" w:rsidRPr="002C5B5D" w:rsidRDefault="003E5BF5" w:rsidP="00DE1921">
            <w:pPr>
              <w:pStyle w:val="TableTextRight"/>
              <w:rPr>
                <w:rFonts w:ascii="Arial" w:hAnsi="Arial" w:cs="Arial"/>
                <w:sz w:val="24"/>
                <w:szCs w:val="24"/>
              </w:rPr>
            </w:pPr>
          </w:p>
        </w:tc>
      </w:tr>
      <w:tr w:rsidR="003E5BF5" w:rsidRPr="002C5B5D" w14:paraId="322E10D0" w14:textId="77777777" w:rsidTr="00B76CF8">
        <w:trPr>
          <w:trHeight w:val="340"/>
        </w:trPr>
        <w:tc>
          <w:tcPr>
            <w:tcW w:w="3456" w:type="dxa"/>
            <w:shd w:val="clear" w:color="auto" w:fill="auto"/>
            <w:tcMar>
              <w:left w:w="57" w:type="dxa"/>
              <w:right w:w="57" w:type="dxa"/>
            </w:tcMar>
            <w:vAlign w:val="center"/>
          </w:tcPr>
          <w:p w14:paraId="2C46E317"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t>Total output cost</w:t>
            </w:r>
          </w:p>
        </w:tc>
        <w:tc>
          <w:tcPr>
            <w:tcW w:w="1070" w:type="dxa"/>
            <w:shd w:val="clear" w:color="auto" w:fill="auto"/>
            <w:tcMar>
              <w:left w:w="57" w:type="dxa"/>
              <w:right w:w="57" w:type="dxa"/>
            </w:tcMar>
            <w:vAlign w:val="center"/>
          </w:tcPr>
          <w:p w14:paraId="3682C046"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 million</w:t>
            </w:r>
          </w:p>
        </w:tc>
        <w:tc>
          <w:tcPr>
            <w:tcW w:w="1070" w:type="dxa"/>
            <w:shd w:val="clear" w:color="auto" w:fill="auto"/>
            <w:tcMar>
              <w:left w:w="57" w:type="dxa"/>
              <w:right w:w="57" w:type="dxa"/>
            </w:tcMar>
            <w:vAlign w:val="center"/>
          </w:tcPr>
          <w:p w14:paraId="51170BE1"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962.1</w:t>
            </w:r>
          </w:p>
        </w:tc>
        <w:tc>
          <w:tcPr>
            <w:tcW w:w="1070" w:type="dxa"/>
            <w:shd w:val="clear" w:color="auto" w:fill="auto"/>
            <w:tcMar>
              <w:left w:w="57" w:type="dxa"/>
              <w:right w:w="57" w:type="dxa"/>
            </w:tcMar>
            <w:vAlign w:val="center"/>
          </w:tcPr>
          <w:p w14:paraId="7C2F9764"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936.0</w:t>
            </w:r>
          </w:p>
        </w:tc>
        <w:tc>
          <w:tcPr>
            <w:tcW w:w="1336" w:type="dxa"/>
            <w:shd w:val="clear" w:color="auto" w:fill="auto"/>
            <w:tcMar>
              <w:left w:w="57" w:type="dxa"/>
              <w:right w:w="57" w:type="dxa"/>
            </w:tcMar>
            <w:vAlign w:val="center"/>
          </w:tcPr>
          <w:p w14:paraId="48CFE3AB"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2.8</w:t>
            </w:r>
          </w:p>
        </w:tc>
        <w:tc>
          <w:tcPr>
            <w:tcW w:w="1070" w:type="dxa"/>
            <w:shd w:val="clear" w:color="auto" w:fill="auto"/>
            <w:tcMar>
              <w:left w:w="57" w:type="dxa"/>
              <w:right w:w="57" w:type="dxa"/>
            </w:tcMar>
            <w:vAlign w:val="center"/>
          </w:tcPr>
          <w:p w14:paraId="6A5DF933"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bl>
    <w:p w14:paraId="2C47DBFF" w14:textId="77777777" w:rsidR="003E5BF5" w:rsidRPr="002C5B5D" w:rsidRDefault="003E5BF5">
      <w:pPr>
        <w:pStyle w:val="Note"/>
        <w:rPr>
          <w:rFonts w:ascii="Arial" w:hAnsi="Arial" w:cs="Arial"/>
          <w:sz w:val="24"/>
          <w:szCs w:val="24"/>
        </w:rPr>
      </w:pPr>
      <w:r w:rsidRPr="002C5B5D">
        <w:rPr>
          <w:rFonts w:ascii="Arial" w:hAnsi="Arial" w:cs="Arial"/>
          <w:sz w:val="24"/>
          <w:szCs w:val="24"/>
        </w:rPr>
        <w:t>Notes:</w:t>
      </w:r>
    </w:p>
    <w:p w14:paraId="5BCF96B5" w14:textId="77777777" w:rsidR="003E5BF5" w:rsidRPr="002C5B5D" w:rsidRDefault="003E5BF5" w:rsidP="00DE1921">
      <w:pPr>
        <w:pStyle w:val="Notenumber123"/>
        <w:numPr>
          <w:ilvl w:val="0"/>
          <w:numId w:val="0"/>
        </w:numPr>
        <w:ind w:left="113"/>
        <w:rPr>
          <w:rFonts w:ascii="Arial" w:hAnsi="Arial" w:cs="Arial"/>
          <w:sz w:val="24"/>
          <w:szCs w:val="24"/>
        </w:rPr>
      </w:pPr>
      <w:r w:rsidRPr="002C5B5D">
        <w:rPr>
          <w:rFonts w:ascii="Arial" w:hAnsi="Arial" w:cs="Arial"/>
          <w:sz w:val="24"/>
          <w:szCs w:val="24"/>
        </w:rPr>
        <w:sym w:font="Wingdings 2" w:char="F050"/>
      </w:r>
      <w:r w:rsidRPr="002C5B5D">
        <w:rPr>
          <w:rFonts w:ascii="Arial" w:hAnsi="Arial" w:cs="Arial"/>
          <w:sz w:val="24"/>
          <w:szCs w:val="24"/>
        </w:rPr>
        <w:t xml:space="preserve"> Performance target achieved or exceeded</w:t>
      </w:r>
    </w:p>
    <w:p w14:paraId="45D58C20" w14:textId="77777777" w:rsidR="003E5BF5" w:rsidRPr="002C5B5D" w:rsidRDefault="003E5BF5" w:rsidP="00DE1921">
      <w:pPr>
        <w:pStyle w:val="Notenumber123"/>
        <w:numPr>
          <w:ilvl w:val="0"/>
          <w:numId w:val="0"/>
        </w:numPr>
        <w:ind w:left="113"/>
        <w:rPr>
          <w:rFonts w:ascii="Arial" w:hAnsi="Arial" w:cs="Arial"/>
          <w:sz w:val="24"/>
          <w:szCs w:val="24"/>
        </w:rPr>
      </w:pPr>
      <w:r w:rsidRPr="002C5B5D">
        <w:rPr>
          <w:rFonts w:ascii="Arial" w:hAnsi="Arial" w:cs="Arial"/>
          <w:sz w:val="24"/>
          <w:szCs w:val="24"/>
        </w:rPr>
        <w:sym w:font="Wingdings 2" w:char="F099"/>
      </w:r>
      <w:r w:rsidRPr="002C5B5D">
        <w:rPr>
          <w:rFonts w:ascii="Arial" w:hAnsi="Arial" w:cs="Arial"/>
          <w:sz w:val="24"/>
          <w:szCs w:val="24"/>
        </w:rPr>
        <w:t xml:space="preserve"> Performance target not achieved – within 5 per cent or $50 million (cost measure only) variance</w:t>
      </w:r>
    </w:p>
    <w:p w14:paraId="2C6D7075" w14:textId="77777777" w:rsidR="003E5BF5" w:rsidRPr="002C5B5D" w:rsidRDefault="003E5BF5" w:rsidP="00DE1921">
      <w:pPr>
        <w:pStyle w:val="Notenumber123"/>
        <w:numPr>
          <w:ilvl w:val="0"/>
          <w:numId w:val="0"/>
        </w:numPr>
        <w:ind w:left="340" w:hanging="227"/>
        <w:rPr>
          <w:rFonts w:ascii="Arial" w:hAnsi="Arial" w:cs="Arial"/>
          <w:sz w:val="24"/>
          <w:szCs w:val="24"/>
        </w:rPr>
      </w:pPr>
      <w:r w:rsidRPr="002C5B5D">
        <w:rPr>
          <w:rFonts w:ascii="Arial" w:hAnsi="Arial" w:cs="Arial"/>
          <w:sz w:val="24"/>
          <w:szCs w:val="24"/>
        </w:rPr>
        <w:sym w:font="Wingdings 2" w:char="F0A1"/>
      </w:r>
      <w:r w:rsidRPr="002C5B5D">
        <w:rPr>
          <w:rFonts w:ascii="Arial" w:hAnsi="Arial" w:cs="Arial"/>
          <w:sz w:val="24"/>
          <w:szCs w:val="24"/>
        </w:rPr>
        <w:t xml:space="preserve"> Performance target not achieved – exceeds 5 per cent or $50 million (cost measure only) variance</w:t>
      </w:r>
    </w:p>
    <w:p w14:paraId="1DDF9D0C" w14:textId="77777777" w:rsidR="003E5BF5" w:rsidRDefault="003E5BF5" w:rsidP="00DE1921">
      <w:pPr>
        <w:rPr>
          <w:rFonts w:eastAsiaTheme="majorEastAsia" w:cstheme="majorBidi"/>
          <w:color w:val="00BAC0"/>
          <w:spacing w:val="-10"/>
          <w:kern w:val="28"/>
          <w:sz w:val="28"/>
          <w:szCs w:val="24"/>
        </w:rPr>
      </w:pPr>
      <w:r>
        <w:rPr>
          <w:color w:val="00BAC0"/>
          <w:sz w:val="28"/>
        </w:rPr>
        <w:br w:type="page"/>
      </w:r>
    </w:p>
    <w:p w14:paraId="2698A8D5" w14:textId="77777777" w:rsidR="003E5BF5" w:rsidRPr="002F0322" w:rsidRDefault="003E5BF5" w:rsidP="008A0170">
      <w:pPr>
        <w:pStyle w:val="Heading2"/>
      </w:pPr>
      <w:r w:rsidRPr="002F0322">
        <w:lastRenderedPageBreak/>
        <w:t xml:space="preserve">Objective </w:t>
      </w:r>
      <w:r>
        <w:t>2</w:t>
      </w:r>
    </w:p>
    <w:p w14:paraId="4991B431" w14:textId="77777777" w:rsidR="003E5BF5" w:rsidRPr="002F0322" w:rsidRDefault="003E5BF5" w:rsidP="00EF5131">
      <w:pPr>
        <w:pStyle w:val="Heading5"/>
      </w:pPr>
      <w:r>
        <w:t>Safe and well-regulated transport services</w:t>
      </w:r>
      <w:r w:rsidRPr="002F0322">
        <w:t xml:space="preserve">. </w:t>
      </w:r>
    </w:p>
    <w:p w14:paraId="75BA9A35" w14:textId="77777777" w:rsidR="003E5BF5" w:rsidRDefault="003E5BF5" w:rsidP="00091232">
      <w:pPr>
        <w:pStyle w:val="aaatyping"/>
      </w:pPr>
      <w:r w:rsidRPr="001A3D12">
        <w:t>The department focuses on helping Victorians arrive safely, whether they are travelling by road, rail or water.</w:t>
      </w:r>
      <w:r w:rsidRPr="0038022E" w:rsidDel="005E757A">
        <w:t xml:space="preserve"> </w:t>
      </w:r>
      <w:r>
        <w:t>The department achieves this objective by delivering a range of initiatives and regulatory activities to improve safety and accessibility.</w:t>
      </w:r>
    </w:p>
    <w:p w14:paraId="12BADE5D" w14:textId="77777777" w:rsidR="003E5BF5" w:rsidRPr="002F0322" w:rsidRDefault="003E5BF5" w:rsidP="00EF5131">
      <w:pPr>
        <w:pStyle w:val="Heading5"/>
      </w:pPr>
      <w:bookmarkStart w:id="783" w:name="_Ref17895010"/>
      <w:r w:rsidRPr="002F0322">
        <w:t>Regulation of Commercial Passenger Vehicle Services</w:t>
      </w:r>
      <w:bookmarkEnd w:id="783"/>
    </w:p>
    <w:p w14:paraId="25F15A0C" w14:textId="77777777" w:rsidR="003E5BF5" w:rsidRDefault="003E5BF5" w:rsidP="00091232">
      <w:pPr>
        <w:pStyle w:val="aaatyping"/>
      </w:pPr>
      <w:r>
        <w:t>This output contributes to the departments objective by delivering a commercial passenger vehicle industry that is customer-focused, safe, accessible and competitive through the regulation of commercial passenger vehicles, booking service providers and drivers.</w:t>
      </w:r>
    </w:p>
    <w:p w14:paraId="3718440B" w14:textId="77777777" w:rsidR="00482439" w:rsidRPr="00482439" w:rsidRDefault="003E5BF5" w:rsidP="00CF74EB">
      <w:pPr>
        <w:pStyle w:val="TableHeader"/>
      </w:pPr>
      <w:r w:rsidRPr="002C5B5D">
        <w:t>Regulation of Commercial Passenger Vehicle Services</w:t>
      </w:r>
    </w:p>
    <w:tbl>
      <w:tblPr>
        <w:tblStyle w:val="TableGrid"/>
        <w:tblW w:w="9072" w:type="dxa"/>
        <w:tblCellMar>
          <w:left w:w="28" w:type="dxa"/>
          <w:right w:w="28" w:type="dxa"/>
        </w:tblCellMar>
        <w:tblLook w:val="04A0" w:firstRow="1" w:lastRow="0" w:firstColumn="1" w:lastColumn="0" w:noHBand="0" w:noVBand="1"/>
      </w:tblPr>
      <w:tblGrid>
        <w:gridCol w:w="3250"/>
        <w:gridCol w:w="1102"/>
        <w:gridCol w:w="1046"/>
        <w:gridCol w:w="1046"/>
        <w:gridCol w:w="1582"/>
        <w:gridCol w:w="1046"/>
      </w:tblGrid>
      <w:tr w:rsidR="003E5BF5" w:rsidRPr="002C5B5D" w14:paraId="4A7AC27A" w14:textId="77777777" w:rsidTr="00955A0A">
        <w:trPr>
          <w:trHeight w:val="340"/>
          <w:tblHeader/>
        </w:trPr>
        <w:tc>
          <w:tcPr>
            <w:tcW w:w="3250" w:type="dxa"/>
            <w:shd w:val="clear" w:color="auto" w:fill="auto"/>
            <w:tcMar>
              <w:left w:w="57" w:type="dxa"/>
              <w:right w:w="57" w:type="dxa"/>
            </w:tcMar>
          </w:tcPr>
          <w:p w14:paraId="38F730FD" w14:textId="77777777" w:rsidR="003E5BF5" w:rsidRPr="002C5B5D" w:rsidRDefault="003E5BF5" w:rsidP="00DE1921">
            <w:pPr>
              <w:pStyle w:val="TableTextLeftBold"/>
              <w:rPr>
                <w:rFonts w:ascii="Arial" w:hAnsi="Arial" w:cs="Arial"/>
                <w:sz w:val="24"/>
                <w:szCs w:val="24"/>
              </w:rPr>
            </w:pPr>
            <w:r w:rsidRPr="002C5B5D">
              <w:rPr>
                <w:rFonts w:ascii="Arial" w:hAnsi="Arial" w:cs="Arial"/>
                <w:sz w:val="24"/>
                <w:szCs w:val="24"/>
              </w:rPr>
              <w:t>Performance measures</w:t>
            </w:r>
          </w:p>
        </w:tc>
        <w:tc>
          <w:tcPr>
            <w:tcW w:w="1102" w:type="dxa"/>
            <w:shd w:val="clear" w:color="auto" w:fill="auto"/>
            <w:tcMar>
              <w:left w:w="57" w:type="dxa"/>
              <w:right w:w="57" w:type="dxa"/>
            </w:tcMar>
          </w:tcPr>
          <w:p w14:paraId="7E1F2F53"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unit of measure</w:t>
            </w:r>
          </w:p>
        </w:tc>
        <w:tc>
          <w:tcPr>
            <w:tcW w:w="1046" w:type="dxa"/>
            <w:shd w:val="clear" w:color="auto" w:fill="auto"/>
            <w:tcMar>
              <w:left w:w="57" w:type="dxa"/>
              <w:right w:w="57" w:type="dxa"/>
            </w:tcMar>
          </w:tcPr>
          <w:p w14:paraId="0D67860E"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actual</w:t>
            </w:r>
          </w:p>
        </w:tc>
        <w:tc>
          <w:tcPr>
            <w:tcW w:w="1046" w:type="dxa"/>
            <w:shd w:val="clear" w:color="auto" w:fill="auto"/>
            <w:tcMar>
              <w:left w:w="57" w:type="dxa"/>
              <w:right w:w="57" w:type="dxa"/>
            </w:tcMar>
          </w:tcPr>
          <w:p w14:paraId="578E8726"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target</w:t>
            </w:r>
          </w:p>
        </w:tc>
        <w:tc>
          <w:tcPr>
            <w:tcW w:w="1582" w:type="dxa"/>
            <w:shd w:val="clear" w:color="auto" w:fill="auto"/>
            <w:tcMar>
              <w:left w:w="57" w:type="dxa"/>
              <w:right w:w="57" w:type="dxa"/>
            </w:tcMar>
          </w:tcPr>
          <w:p w14:paraId="11E3A243"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Performance variation (%)</w:t>
            </w:r>
          </w:p>
        </w:tc>
        <w:tc>
          <w:tcPr>
            <w:tcW w:w="1046" w:type="dxa"/>
            <w:shd w:val="clear" w:color="auto" w:fill="auto"/>
            <w:tcMar>
              <w:left w:w="57" w:type="dxa"/>
              <w:right w:w="57" w:type="dxa"/>
            </w:tcMar>
          </w:tcPr>
          <w:p w14:paraId="64D49591"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Result</w:t>
            </w:r>
          </w:p>
        </w:tc>
      </w:tr>
      <w:tr w:rsidR="003E5BF5" w:rsidRPr="002C5B5D" w14:paraId="76E8F921" w14:textId="77777777" w:rsidTr="00955A0A">
        <w:trPr>
          <w:trHeight w:val="340"/>
        </w:trPr>
        <w:tc>
          <w:tcPr>
            <w:tcW w:w="3250" w:type="dxa"/>
            <w:shd w:val="clear" w:color="auto" w:fill="auto"/>
            <w:tcMar>
              <w:left w:w="57" w:type="dxa"/>
              <w:right w:w="57" w:type="dxa"/>
            </w:tcMar>
            <w:vAlign w:val="center"/>
          </w:tcPr>
          <w:p w14:paraId="6283A440"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Quantity</w:t>
            </w:r>
          </w:p>
        </w:tc>
        <w:tc>
          <w:tcPr>
            <w:tcW w:w="1102" w:type="dxa"/>
            <w:shd w:val="clear" w:color="auto" w:fill="auto"/>
            <w:tcMar>
              <w:left w:w="57" w:type="dxa"/>
              <w:right w:w="57" w:type="dxa"/>
            </w:tcMar>
            <w:vAlign w:val="center"/>
          </w:tcPr>
          <w:p w14:paraId="6F411499" w14:textId="77777777" w:rsidR="003E5BF5" w:rsidRPr="002C5B5D" w:rsidRDefault="003E5BF5" w:rsidP="00DE1921">
            <w:pPr>
              <w:pStyle w:val="TableTextRight"/>
              <w:rPr>
                <w:rFonts w:ascii="Arial" w:hAnsi="Arial" w:cs="Arial"/>
                <w:sz w:val="24"/>
                <w:szCs w:val="24"/>
              </w:rPr>
            </w:pPr>
          </w:p>
        </w:tc>
        <w:tc>
          <w:tcPr>
            <w:tcW w:w="1046" w:type="dxa"/>
            <w:shd w:val="clear" w:color="auto" w:fill="auto"/>
            <w:tcMar>
              <w:left w:w="57" w:type="dxa"/>
              <w:right w:w="57" w:type="dxa"/>
            </w:tcMar>
            <w:vAlign w:val="center"/>
          </w:tcPr>
          <w:p w14:paraId="2EC01A42" w14:textId="77777777" w:rsidR="003E5BF5" w:rsidRPr="002C5B5D" w:rsidRDefault="003E5BF5" w:rsidP="00DE1921">
            <w:pPr>
              <w:pStyle w:val="TableTextRight"/>
              <w:rPr>
                <w:rFonts w:ascii="Arial" w:hAnsi="Arial" w:cs="Arial"/>
                <w:sz w:val="24"/>
                <w:szCs w:val="24"/>
              </w:rPr>
            </w:pPr>
          </w:p>
        </w:tc>
        <w:tc>
          <w:tcPr>
            <w:tcW w:w="1046" w:type="dxa"/>
            <w:shd w:val="clear" w:color="auto" w:fill="auto"/>
            <w:tcMar>
              <w:left w:w="57" w:type="dxa"/>
              <w:right w:w="57" w:type="dxa"/>
            </w:tcMar>
            <w:vAlign w:val="center"/>
          </w:tcPr>
          <w:p w14:paraId="1ABC2661" w14:textId="77777777" w:rsidR="003E5BF5" w:rsidRPr="002C5B5D" w:rsidRDefault="003E5BF5" w:rsidP="00DE1921">
            <w:pPr>
              <w:pStyle w:val="TableTextRight"/>
              <w:rPr>
                <w:rFonts w:ascii="Arial" w:hAnsi="Arial" w:cs="Arial"/>
                <w:sz w:val="24"/>
                <w:szCs w:val="24"/>
              </w:rPr>
            </w:pPr>
          </w:p>
        </w:tc>
        <w:tc>
          <w:tcPr>
            <w:tcW w:w="1582" w:type="dxa"/>
            <w:shd w:val="clear" w:color="auto" w:fill="auto"/>
            <w:tcMar>
              <w:left w:w="57" w:type="dxa"/>
              <w:right w:w="57" w:type="dxa"/>
            </w:tcMar>
            <w:vAlign w:val="center"/>
          </w:tcPr>
          <w:p w14:paraId="3F1906E5" w14:textId="77777777" w:rsidR="003E5BF5" w:rsidRPr="002C5B5D" w:rsidRDefault="003E5BF5" w:rsidP="00DE1921">
            <w:pPr>
              <w:pStyle w:val="TableTextRight"/>
              <w:rPr>
                <w:rFonts w:ascii="Arial" w:hAnsi="Arial" w:cs="Arial"/>
                <w:sz w:val="24"/>
                <w:szCs w:val="24"/>
              </w:rPr>
            </w:pPr>
          </w:p>
        </w:tc>
        <w:tc>
          <w:tcPr>
            <w:tcW w:w="1046" w:type="dxa"/>
            <w:shd w:val="clear" w:color="auto" w:fill="auto"/>
            <w:tcMar>
              <w:left w:w="57" w:type="dxa"/>
              <w:right w:w="57" w:type="dxa"/>
            </w:tcMar>
            <w:vAlign w:val="center"/>
          </w:tcPr>
          <w:p w14:paraId="3E2A46C0" w14:textId="77777777" w:rsidR="003E5BF5" w:rsidRPr="002C5B5D" w:rsidRDefault="003E5BF5" w:rsidP="00DE1921">
            <w:pPr>
              <w:pStyle w:val="TableTextRight"/>
              <w:rPr>
                <w:rFonts w:ascii="Arial" w:hAnsi="Arial" w:cs="Arial"/>
                <w:sz w:val="24"/>
                <w:szCs w:val="24"/>
              </w:rPr>
            </w:pPr>
          </w:p>
        </w:tc>
      </w:tr>
      <w:tr w:rsidR="003E5BF5" w:rsidRPr="002C5B5D" w14:paraId="2BB80888" w14:textId="77777777" w:rsidTr="00955A0A">
        <w:trPr>
          <w:trHeight w:val="340"/>
        </w:trPr>
        <w:tc>
          <w:tcPr>
            <w:tcW w:w="3250" w:type="dxa"/>
            <w:shd w:val="clear" w:color="auto" w:fill="auto"/>
            <w:tcMar>
              <w:left w:w="57" w:type="dxa"/>
              <w:right w:w="57" w:type="dxa"/>
            </w:tcMar>
          </w:tcPr>
          <w:p w14:paraId="62AA6ED5"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Multi-Purpose Taxi Program: number of trips subsidised</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3F6AC75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 (000)</w:t>
            </w:r>
            <w:r w:rsidRPr="002C5B5D">
              <w:rPr>
                <w:rFonts w:ascii="Arial" w:hAnsi="Arial" w:cs="Arial"/>
                <w:sz w:val="24"/>
                <w:szCs w:val="24"/>
              </w:rPr>
              <w:fldChar w:fldCharType="end"/>
            </w:r>
          </w:p>
        </w:tc>
        <w:tc>
          <w:tcPr>
            <w:tcW w:w="1046" w:type="dxa"/>
            <w:shd w:val="clear" w:color="auto" w:fill="auto"/>
            <w:tcMar>
              <w:left w:w="57" w:type="dxa"/>
              <w:right w:w="57" w:type="dxa"/>
            </w:tcMar>
          </w:tcPr>
          <w:p w14:paraId="7E6ED01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4,781</w:t>
            </w:r>
            <w:r w:rsidRPr="002C5B5D">
              <w:rPr>
                <w:rFonts w:ascii="Arial" w:hAnsi="Arial" w:cs="Arial"/>
                <w:sz w:val="24"/>
                <w:szCs w:val="24"/>
              </w:rPr>
              <w:fldChar w:fldCharType="end"/>
            </w:r>
          </w:p>
        </w:tc>
        <w:tc>
          <w:tcPr>
            <w:tcW w:w="1046" w:type="dxa"/>
            <w:shd w:val="clear" w:color="auto" w:fill="auto"/>
            <w:tcMar>
              <w:left w:w="57" w:type="dxa"/>
              <w:right w:w="57" w:type="dxa"/>
            </w:tcMar>
          </w:tcPr>
          <w:p w14:paraId="7C30E62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5,720</w:t>
            </w:r>
            <w:r w:rsidRPr="002C5B5D">
              <w:rPr>
                <w:rFonts w:ascii="Arial" w:hAnsi="Arial" w:cs="Arial"/>
                <w:sz w:val="24"/>
                <w:szCs w:val="24"/>
              </w:rPr>
              <w:fldChar w:fldCharType="end"/>
            </w:r>
          </w:p>
        </w:tc>
        <w:tc>
          <w:tcPr>
            <w:tcW w:w="1582" w:type="dxa"/>
            <w:shd w:val="clear" w:color="auto" w:fill="auto"/>
            <w:tcMar>
              <w:left w:w="57" w:type="dxa"/>
              <w:right w:w="57" w:type="dxa"/>
            </w:tcMar>
          </w:tcPr>
          <w:p w14:paraId="7AF9649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-16.4</w:t>
            </w:r>
            <w:r w:rsidRPr="002C5B5D">
              <w:rPr>
                <w:rFonts w:ascii="Arial" w:hAnsi="Arial" w:cs="Arial"/>
                <w:sz w:val="24"/>
                <w:szCs w:val="24"/>
              </w:rPr>
              <w:fldChar w:fldCharType="end"/>
            </w:r>
          </w:p>
        </w:tc>
        <w:tc>
          <w:tcPr>
            <w:tcW w:w="1046" w:type="dxa"/>
            <w:shd w:val="clear" w:color="auto" w:fill="auto"/>
            <w:tcMar>
              <w:left w:w="57" w:type="dxa"/>
              <w:right w:w="57" w:type="dxa"/>
            </w:tcMar>
          </w:tcPr>
          <w:p w14:paraId="4C95D924"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0996D002" w14:textId="77777777" w:rsidTr="003E52FE">
        <w:tc>
          <w:tcPr>
            <w:tcW w:w="9072" w:type="dxa"/>
            <w:gridSpan w:val="6"/>
            <w:shd w:val="clear" w:color="auto" w:fill="auto"/>
            <w:tcMar>
              <w:left w:w="57" w:type="dxa"/>
              <w:right w:w="57" w:type="dxa"/>
            </w:tcMar>
          </w:tcPr>
          <w:p w14:paraId="4E2C03B3"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All multi-purpose taxi trips were significantly reduced as a result of coronavirus (COVID-19).</w:t>
            </w:r>
            <w:r w:rsidRPr="002C5B5D">
              <w:rPr>
                <w:rFonts w:ascii="Arial" w:hAnsi="Arial" w:cs="Arial"/>
                <w:i/>
                <w:sz w:val="24"/>
                <w:szCs w:val="24"/>
              </w:rPr>
              <w:fldChar w:fldCharType="end"/>
            </w:r>
          </w:p>
        </w:tc>
      </w:tr>
      <w:tr w:rsidR="003E5BF5" w:rsidRPr="002C5B5D" w14:paraId="309855BC" w14:textId="77777777" w:rsidTr="00955A0A">
        <w:trPr>
          <w:trHeight w:val="340"/>
        </w:trPr>
        <w:tc>
          <w:tcPr>
            <w:tcW w:w="3250" w:type="dxa"/>
            <w:shd w:val="clear" w:color="auto" w:fill="auto"/>
            <w:tcMar>
              <w:left w:w="57" w:type="dxa"/>
              <w:right w:w="57" w:type="dxa"/>
            </w:tcMar>
          </w:tcPr>
          <w:p w14:paraId="79B6985E"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Multi-Purpose Taxi Program: number of wheelchair and scooter lifting fees paid</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6D003E7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 (000)</w:t>
            </w:r>
            <w:r w:rsidRPr="002C5B5D">
              <w:rPr>
                <w:rFonts w:ascii="Arial" w:hAnsi="Arial" w:cs="Arial"/>
                <w:sz w:val="24"/>
                <w:szCs w:val="24"/>
              </w:rPr>
              <w:fldChar w:fldCharType="end"/>
            </w:r>
          </w:p>
        </w:tc>
        <w:tc>
          <w:tcPr>
            <w:tcW w:w="1046" w:type="dxa"/>
            <w:shd w:val="clear" w:color="auto" w:fill="auto"/>
            <w:tcMar>
              <w:left w:w="57" w:type="dxa"/>
              <w:right w:w="57" w:type="dxa"/>
            </w:tcMar>
          </w:tcPr>
          <w:p w14:paraId="3D693FD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1,113</w:t>
            </w:r>
            <w:r w:rsidRPr="002C5B5D">
              <w:rPr>
                <w:rFonts w:ascii="Arial" w:hAnsi="Arial" w:cs="Arial"/>
                <w:sz w:val="24"/>
                <w:szCs w:val="24"/>
              </w:rPr>
              <w:fldChar w:fldCharType="end"/>
            </w:r>
          </w:p>
        </w:tc>
        <w:tc>
          <w:tcPr>
            <w:tcW w:w="1046" w:type="dxa"/>
            <w:shd w:val="clear" w:color="auto" w:fill="auto"/>
            <w:tcMar>
              <w:left w:w="57" w:type="dxa"/>
              <w:right w:w="57" w:type="dxa"/>
            </w:tcMar>
          </w:tcPr>
          <w:p w14:paraId="09C3B2A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1,330</w:t>
            </w:r>
            <w:r w:rsidRPr="002C5B5D">
              <w:rPr>
                <w:rFonts w:ascii="Arial" w:hAnsi="Arial" w:cs="Arial"/>
                <w:sz w:val="24"/>
                <w:szCs w:val="24"/>
              </w:rPr>
              <w:fldChar w:fldCharType="end"/>
            </w:r>
          </w:p>
        </w:tc>
        <w:tc>
          <w:tcPr>
            <w:tcW w:w="1582" w:type="dxa"/>
            <w:shd w:val="clear" w:color="auto" w:fill="auto"/>
            <w:tcMar>
              <w:left w:w="57" w:type="dxa"/>
              <w:right w:w="57" w:type="dxa"/>
            </w:tcMar>
          </w:tcPr>
          <w:p w14:paraId="33A9F22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-16.3</w:t>
            </w:r>
            <w:r w:rsidRPr="002C5B5D">
              <w:rPr>
                <w:rFonts w:ascii="Arial" w:hAnsi="Arial" w:cs="Arial"/>
                <w:sz w:val="24"/>
                <w:szCs w:val="24"/>
              </w:rPr>
              <w:fldChar w:fldCharType="end"/>
            </w:r>
          </w:p>
        </w:tc>
        <w:tc>
          <w:tcPr>
            <w:tcW w:w="1046" w:type="dxa"/>
            <w:shd w:val="clear" w:color="auto" w:fill="auto"/>
            <w:tcMar>
              <w:left w:w="57" w:type="dxa"/>
              <w:right w:w="57" w:type="dxa"/>
            </w:tcMar>
          </w:tcPr>
          <w:p w14:paraId="19BADC0B"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14A43028" w14:textId="77777777" w:rsidTr="003E52FE">
        <w:tc>
          <w:tcPr>
            <w:tcW w:w="9072" w:type="dxa"/>
            <w:gridSpan w:val="6"/>
            <w:shd w:val="clear" w:color="auto" w:fill="auto"/>
            <w:tcMar>
              <w:left w:w="57" w:type="dxa"/>
              <w:right w:w="57" w:type="dxa"/>
            </w:tcMar>
          </w:tcPr>
          <w:p w14:paraId="5F1DC890"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All multi-purpose taxi trips were significantly reduced as a result of coronavirus (COVID-19)</w:t>
            </w:r>
            <w:r w:rsidRPr="002C5B5D">
              <w:rPr>
                <w:rFonts w:ascii="Arial" w:hAnsi="Arial" w:cs="Arial"/>
                <w:i/>
                <w:sz w:val="24"/>
                <w:szCs w:val="24"/>
              </w:rPr>
              <w:fldChar w:fldCharType="end"/>
            </w:r>
            <w:r w:rsidRPr="002C5B5D">
              <w:rPr>
                <w:rFonts w:ascii="Arial" w:hAnsi="Arial" w:cs="Arial"/>
                <w:i/>
                <w:sz w:val="24"/>
                <w:szCs w:val="24"/>
              </w:rPr>
              <w:t>.</w:t>
            </w:r>
          </w:p>
        </w:tc>
      </w:tr>
      <w:tr w:rsidR="003E5BF5" w:rsidRPr="002C5B5D" w14:paraId="309105E3" w14:textId="77777777" w:rsidTr="00955A0A">
        <w:trPr>
          <w:trHeight w:val="340"/>
        </w:trPr>
        <w:tc>
          <w:tcPr>
            <w:tcW w:w="3250" w:type="dxa"/>
            <w:shd w:val="clear" w:color="auto" w:fill="auto"/>
            <w:tcMar>
              <w:left w:w="57" w:type="dxa"/>
              <w:right w:w="57" w:type="dxa"/>
            </w:tcMar>
          </w:tcPr>
          <w:p w14:paraId="79D81AF6" w14:textId="77777777" w:rsidR="003E5BF5" w:rsidRPr="002C5B5D" w:rsidRDefault="003E5BF5" w:rsidP="00DE1921">
            <w:pPr>
              <w:pStyle w:val="TableTextLeft"/>
              <w:rPr>
                <w:rFonts w:ascii="Arial" w:hAnsi="Arial" w:cs="Arial"/>
                <w:sz w:val="24"/>
                <w:szCs w:val="24"/>
                <w:highlight w:val="green"/>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New and renewed commercial passenger vehicle and bus driver accreditation applications processed</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728F448D" w14:textId="77777777" w:rsidR="003E5BF5" w:rsidRPr="002C5B5D" w:rsidRDefault="00105501" w:rsidP="00DE1921">
            <w:pPr>
              <w:pStyle w:val="TableTextRight"/>
              <w:rPr>
                <w:rFonts w:ascii="Arial" w:hAnsi="Arial" w:cs="Arial"/>
                <w:sz w:val="24"/>
                <w:szCs w:val="24"/>
                <w:highlight w:val="green"/>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46" w:type="dxa"/>
            <w:shd w:val="clear" w:color="auto" w:fill="auto"/>
            <w:tcMar>
              <w:left w:w="57" w:type="dxa"/>
              <w:right w:w="57" w:type="dxa"/>
            </w:tcMar>
          </w:tcPr>
          <w:p w14:paraId="7D45D8B8" w14:textId="77777777" w:rsidR="003E5BF5" w:rsidRPr="002C5B5D" w:rsidRDefault="00105501" w:rsidP="00DE1921">
            <w:pPr>
              <w:pStyle w:val="TableTextRight"/>
              <w:rPr>
                <w:rFonts w:ascii="Arial" w:hAnsi="Arial" w:cs="Arial"/>
                <w:sz w:val="24"/>
                <w:szCs w:val="24"/>
                <w:highlight w:val="green"/>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35,849</w:t>
            </w:r>
            <w:r w:rsidRPr="002C5B5D">
              <w:rPr>
                <w:rFonts w:ascii="Arial" w:hAnsi="Arial" w:cs="Arial"/>
                <w:sz w:val="24"/>
                <w:szCs w:val="24"/>
              </w:rPr>
              <w:fldChar w:fldCharType="end"/>
            </w:r>
          </w:p>
        </w:tc>
        <w:tc>
          <w:tcPr>
            <w:tcW w:w="1046" w:type="dxa"/>
            <w:shd w:val="clear" w:color="auto" w:fill="auto"/>
            <w:tcMar>
              <w:left w:w="57" w:type="dxa"/>
              <w:right w:w="57" w:type="dxa"/>
            </w:tcMar>
          </w:tcPr>
          <w:p w14:paraId="7B9802A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28,000</w:t>
            </w:r>
            <w:r w:rsidRPr="002C5B5D">
              <w:rPr>
                <w:rFonts w:ascii="Arial" w:hAnsi="Arial" w:cs="Arial"/>
                <w:sz w:val="24"/>
                <w:szCs w:val="24"/>
              </w:rPr>
              <w:fldChar w:fldCharType="end"/>
            </w:r>
          </w:p>
        </w:tc>
        <w:tc>
          <w:tcPr>
            <w:tcW w:w="1582" w:type="dxa"/>
            <w:shd w:val="clear" w:color="auto" w:fill="auto"/>
            <w:tcMar>
              <w:left w:w="57" w:type="dxa"/>
              <w:right w:w="57" w:type="dxa"/>
            </w:tcMar>
          </w:tcPr>
          <w:p w14:paraId="11AAAB9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28.0</w:t>
            </w:r>
            <w:r w:rsidRPr="002C5B5D">
              <w:rPr>
                <w:rFonts w:ascii="Arial" w:hAnsi="Arial" w:cs="Arial"/>
                <w:sz w:val="24"/>
                <w:szCs w:val="24"/>
              </w:rPr>
              <w:fldChar w:fldCharType="end"/>
            </w:r>
          </w:p>
        </w:tc>
        <w:tc>
          <w:tcPr>
            <w:tcW w:w="1046" w:type="dxa"/>
            <w:shd w:val="clear" w:color="auto" w:fill="auto"/>
            <w:tcMar>
              <w:left w:w="57" w:type="dxa"/>
              <w:right w:w="57" w:type="dxa"/>
            </w:tcMar>
          </w:tcPr>
          <w:p w14:paraId="5B85A17C"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5C92E12A" w14:textId="77777777" w:rsidTr="003E52FE">
        <w:tc>
          <w:tcPr>
            <w:tcW w:w="9072" w:type="dxa"/>
            <w:gridSpan w:val="6"/>
            <w:shd w:val="clear" w:color="auto" w:fill="auto"/>
            <w:tcMar>
              <w:left w:w="57" w:type="dxa"/>
              <w:right w:w="57" w:type="dxa"/>
            </w:tcMar>
          </w:tcPr>
          <w:p w14:paraId="469BA843"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 xml:space="preserve">Due to </w:t>
            </w:r>
            <w:r w:rsidRPr="002C5B5D">
              <w:rPr>
                <w:rFonts w:ascii="Arial" w:hAnsi="Arial" w:cs="Arial"/>
                <w:i/>
                <w:sz w:val="24"/>
                <w:szCs w:val="24"/>
              </w:rPr>
              <w:fldChar w:fldCharType="end"/>
            </w:r>
            <w:r w:rsidRPr="002C5B5D">
              <w:rPr>
                <w:rFonts w:ascii="Arial" w:hAnsi="Arial" w:cs="Arial"/>
                <w:i/>
                <w:sz w:val="24"/>
                <w:szCs w:val="24"/>
              </w:rPr>
              <w:t>the establishment of new operating procedures and processes.</w:t>
            </w:r>
          </w:p>
        </w:tc>
      </w:tr>
      <w:tr w:rsidR="003E5BF5" w:rsidRPr="002C5B5D" w14:paraId="47712510" w14:textId="77777777" w:rsidTr="003E52FE">
        <w:trPr>
          <w:trHeight w:val="340"/>
        </w:trPr>
        <w:tc>
          <w:tcPr>
            <w:tcW w:w="9072" w:type="dxa"/>
            <w:gridSpan w:val="6"/>
            <w:shd w:val="clear" w:color="auto" w:fill="auto"/>
            <w:tcMar>
              <w:left w:w="57" w:type="dxa"/>
              <w:right w:w="57" w:type="dxa"/>
            </w:tcMar>
            <w:vAlign w:val="center"/>
          </w:tcPr>
          <w:p w14:paraId="09D4E566" w14:textId="77777777" w:rsidR="003E5BF5" w:rsidRPr="002C5B5D" w:rsidRDefault="003E5BF5" w:rsidP="00DE1921">
            <w:pPr>
              <w:pStyle w:val="TableTextLeftItalics"/>
              <w:rPr>
                <w:rFonts w:ascii="Arial" w:hAnsi="Arial" w:cs="Arial"/>
                <w:i w:val="0"/>
                <w:sz w:val="24"/>
                <w:szCs w:val="24"/>
              </w:rPr>
            </w:pPr>
            <w:r w:rsidRPr="002C5B5D">
              <w:rPr>
                <w:rFonts w:ascii="Arial" w:hAnsi="Arial" w:cs="Arial"/>
                <w:b/>
                <w:sz w:val="24"/>
                <w:szCs w:val="24"/>
              </w:rPr>
              <w:t>Quality</w:t>
            </w:r>
          </w:p>
        </w:tc>
      </w:tr>
      <w:tr w:rsidR="003E5BF5" w:rsidRPr="002C5B5D" w14:paraId="10A6DD75" w14:textId="77777777" w:rsidTr="00955A0A">
        <w:trPr>
          <w:trHeight w:val="340"/>
        </w:trPr>
        <w:tc>
          <w:tcPr>
            <w:tcW w:w="3250" w:type="dxa"/>
            <w:shd w:val="clear" w:color="auto" w:fill="auto"/>
            <w:tcMar>
              <w:left w:w="57" w:type="dxa"/>
              <w:right w:w="57" w:type="dxa"/>
            </w:tcMar>
          </w:tcPr>
          <w:p w14:paraId="5AA7BAB1"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Average wait time for conventional commercial passenger vehicles booked to arrive during daytime periods of demand</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6FB1F70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minutes</w:t>
            </w:r>
            <w:r w:rsidRPr="002C5B5D">
              <w:rPr>
                <w:rFonts w:ascii="Arial" w:hAnsi="Arial" w:cs="Arial"/>
                <w:sz w:val="24"/>
                <w:szCs w:val="24"/>
              </w:rPr>
              <w:fldChar w:fldCharType="end"/>
            </w:r>
          </w:p>
        </w:tc>
        <w:tc>
          <w:tcPr>
            <w:tcW w:w="1046" w:type="dxa"/>
            <w:shd w:val="clear" w:color="auto" w:fill="auto"/>
            <w:tcMar>
              <w:left w:w="57" w:type="dxa"/>
              <w:right w:w="57" w:type="dxa"/>
            </w:tcMar>
          </w:tcPr>
          <w:p w14:paraId="195DF859"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4.8</w:t>
            </w:r>
          </w:p>
        </w:tc>
        <w:tc>
          <w:tcPr>
            <w:tcW w:w="1046" w:type="dxa"/>
            <w:shd w:val="clear" w:color="auto" w:fill="auto"/>
            <w:tcMar>
              <w:left w:w="57" w:type="dxa"/>
              <w:right w:w="57" w:type="dxa"/>
            </w:tcMar>
          </w:tcPr>
          <w:p w14:paraId="450D221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8.3</w:t>
            </w:r>
            <w:r w:rsidRPr="002C5B5D">
              <w:rPr>
                <w:rFonts w:ascii="Arial" w:hAnsi="Arial" w:cs="Arial"/>
                <w:sz w:val="24"/>
                <w:szCs w:val="24"/>
              </w:rPr>
              <w:fldChar w:fldCharType="end"/>
            </w:r>
          </w:p>
        </w:tc>
        <w:tc>
          <w:tcPr>
            <w:tcW w:w="1582" w:type="dxa"/>
            <w:shd w:val="clear" w:color="auto" w:fill="auto"/>
            <w:tcMar>
              <w:left w:w="57" w:type="dxa"/>
              <w:right w:w="57" w:type="dxa"/>
            </w:tcMar>
          </w:tcPr>
          <w:p w14:paraId="23E2535B"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-42.2</w:t>
            </w: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end"/>
            </w:r>
          </w:p>
        </w:tc>
        <w:tc>
          <w:tcPr>
            <w:tcW w:w="1046" w:type="dxa"/>
            <w:shd w:val="clear" w:color="auto" w:fill="auto"/>
            <w:tcMar>
              <w:left w:w="57" w:type="dxa"/>
              <w:right w:w="57" w:type="dxa"/>
            </w:tcMar>
          </w:tcPr>
          <w:p w14:paraId="3CA492F7"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1AA35145" w14:textId="77777777" w:rsidTr="003E52FE">
        <w:tc>
          <w:tcPr>
            <w:tcW w:w="9072" w:type="dxa"/>
            <w:gridSpan w:val="6"/>
            <w:shd w:val="clear" w:color="auto" w:fill="auto"/>
            <w:tcMar>
              <w:left w:w="57" w:type="dxa"/>
              <w:right w:w="57" w:type="dxa"/>
            </w:tcMar>
          </w:tcPr>
          <w:p w14:paraId="6C8A8F2B"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t>Due to a change in the methodology and a greater number of booking service providers contributing data.</w:t>
            </w:r>
          </w:p>
        </w:tc>
      </w:tr>
      <w:tr w:rsidR="003E5BF5" w:rsidRPr="002C5B5D" w14:paraId="1922C319" w14:textId="77777777" w:rsidTr="00955A0A">
        <w:trPr>
          <w:trHeight w:val="340"/>
        </w:trPr>
        <w:tc>
          <w:tcPr>
            <w:tcW w:w="3250" w:type="dxa"/>
            <w:shd w:val="clear" w:color="auto" w:fill="auto"/>
            <w:tcMar>
              <w:left w:w="57" w:type="dxa"/>
              <w:right w:w="57" w:type="dxa"/>
            </w:tcMar>
          </w:tcPr>
          <w:p w14:paraId="0671863B"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lastRenderedPageBreak/>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Average wait time for wheelchair accessible commercial passenger vehicles booked to arrive during daytime periods of demand</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4C3747D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minutes</w:t>
            </w:r>
            <w:r w:rsidRPr="002C5B5D">
              <w:rPr>
                <w:rFonts w:ascii="Arial" w:hAnsi="Arial" w:cs="Arial"/>
                <w:sz w:val="24"/>
                <w:szCs w:val="24"/>
              </w:rPr>
              <w:fldChar w:fldCharType="end"/>
            </w:r>
          </w:p>
        </w:tc>
        <w:tc>
          <w:tcPr>
            <w:tcW w:w="1046" w:type="dxa"/>
            <w:shd w:val="clear" w:color="auto" w:fill="auto"/>
            <w:tcMar>
              <w:left w:w="57" w:type="dxa"/>
              <w:right w:w="57" w:type="dxa"/>
            </w:tcMar>
          </w:tcPr>
          <w:p w14:paraId="7FCB1A94"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10.1</w:t>
            </w:r>
          </w:p>
        </w:tc>
        <w:tc>
          <w:tcPr>
            <w:tcW w:w="1046" w:type="dxa"/>
            <w:shd w:val="clear" w:color="auto" w:fill="auto"/>
            <w:tcMar>
              <w:left w:w="57" w:type="dxa"/>
              <w:right w:w="57" w:type="dxa"/>
            </w:tcMar>
          </w:tcPr>
          <w:p w14:paraId="2DC7910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16.6</w:t>
            </w:r>
            <w:r w:rsidRPr="002C5B5D">
              <w:rPr>
                <w:rFonts w:ascii="Arial" w:hAnsi="Arial" w:cs="Arial"/>
                <w:sz w:val="24"/>
                <w:szCs w:val="24"/>
              </w:rPr>
              <w:fldChar w:fldCharType="end"/>
            </w:r>
          </w:p>
        </w:tc>
        <w:tc>
          <w:tcPr>
            <w:tcW w:w="1582" w:type="dxa"/>
            <w:shd w:val="clear" w:color="auto" w:fill="auto"/>
            <w:tcMar>
              <w:left w:w="57" w:type="dxa"/>
              <w:right w:w="57" w:type="dxa"/>
            </w:tcMar>
          </w:tcPr>
          <w:p w14:paraId="5C14B880"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-39.2</w:t>
            </w:r>
          </w:p>
        </w:tc>
        <w:tc>
          <w:tcPr>
            <w:tcW w:w="1046" w:type="dxa"/>
            <w:shd w:val="clear" w:color="auto" w:fill="auto"/>
            <w:tcMar>
              <w:left w:w="57" w:type="dxa"/>
              <w:right w:w="57" w:type="dxa"/>
            </w:tcMar>
          </w:tcPr>
          <w:p w14:paraId="21F6EE5A"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43B72B37" w14:textId="77777777" w:rsidTr="003E52FE">
        <w:tc>
          <w:tcPr>
            <w:tcW w:w="9072" w:type="dxa"/>
            <w:gridSpan w:val="6"/>
            <w:shd w:val="clear" w:color="auto" w:fill="auto"/>
            <w:tcMar>
              <w:left w:w="57" w:type="dxa"/>
              <w:right w:w="57" w:type="dxa"/>
            </w:tcMar>
          </w:tcPr>
          <w:p w14:paraId="65A345BC"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t>Due to a change in the methodology and a greater number of booking service providers contributing data.</w:t>
            </w:r>
          </w:p>
        </w:tc>
      </w:tr>
      <w:tr w:rsidR="003E5BF5" w:rsidRPr="002C5B5D" w14:paraId="2901E7AC" w14:textId="77777777" w:rsidTr="00955A0A">
        <w:trPr>
          <w:trHeight w:val="340"/>
        </w:trPr>
        <w:tc>
          <w:tcPr>
            <w:tcW w:w="3250" w:type="dxa"/>
            <w:shd w:val="clear" w:color="auto" w:fill="auto"/>
            <w:tcMar>
              <w:left w:w="57" w:type="dxa"/>
              <w:right w:w="57" w:type="dxa"/>
            </w:tcMar>
          </w:tcPr>
          <w:p w14:paraId="6501C8BA"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Calls to the Commercial Passenger Vehicles Victoria call centre resolved at the first point of contact</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107E690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46" w:type="dxa"/>
            <w:shd w:val="clear" w:color="auto" w:fill="auto"/>
            <w:tcMar>
              <w:left w:w="57" w:type="dxa"/>
              <w:right w:w="57" w:type="dxa"/>
            </w:tcMar>
          </w:tcPr>
          <w:p w14:paraId="5C90FDA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78.8</w:t>
            </w:r>
            <w:r w:rsidRPr="002C5B5D">
              <w:rPr>
                <w:rFonts w:ascii="Arial" w:hAnsi="Arial" w:cs="Arial"/>
                <w:sz w:val="24"/>
                <w:szCs w:val="24"/>
              </w:rPr>
              <w:fldChar w:fldCharType="end"/>
            </w:r>
          </w:p>
        </w:tc>
        <w:tc>
          <w:tcPr>
            <w:tcW w:w="1046" w:type="dxa"/>
            <w:shd w:val="clear" w:color="auto" w:fill="auto"/>
            <w:tcMar>
              <w:left w:w="57" w:type="dxa"/>
              <w:right w:w="57" w:type="dxa"/>
            </w:tcMar>
          </w:tcPr>
          <w:p w14:paraId="415EBE2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72</w:t>
            </w:r>
            <w:r w:rsidRPr="002C5B5D">
              <w:rPr>
                <w:rFonts w:ascii="Arial" w:hAnsi="Arial" w:cs="Arial"/>
                <w:sz w:val="24"/>
                <w:szCs w:val="24"/>
              </w:rPr>
              <w:fldChar w:fldCharType="end"/>
            </w:r>
          </w:p>
        </w:tc>
        <w:tc>
          <w:tcPr>
            <w:tcW w:w="1582" w:type="dxa"/>
            <w:shd w:val="clear" w:color="auto" w:fill="auto"/>
            <w:tcMar>
              <w:left w:w="57" w:type="dxa"/>
              <w:right w:w="57" w:type="dxa"/>
            </w:tcMar>
          </w:tcPr>
          <w:p w14:paraId="6AB21F5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9.4</w:t>
            </w:r>
            <w:r w:rsidRPr="002C5B5D">
              <w:rPr>
                <w:rFonts w:ascii="Arial" w:hAnsi="Arial" w:cs="Arial"/>
                <w:sz w:val="24"/>
                <w:szCs w:val="24"/>
              </w:rPr>
              <w:fldChar w:fldCharType="end"/>
            </w:r>
          </w:p>
        </w:tc>
        <w:tc>
          <w:tcPr>
            <w:tcW w:w="1046" w:type="dxa"/>
            <w:shd w:val="clear" w:color="auto" w:fill="auto"/>
            <w:tcMar>
              <w:left w:w="57" w:type="dxa"/>
              <w:right w:w="57" w:type="dxa"/>
            </w:tcMar>
          </w:tcPr>
          <w:p w14:paraId="4E68E40F"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221C782E" w14:textId="77777777" w:rsidTr="003E52FE">
        <w:tc>
          <w:tcPr>
            <w:tcW w:w="9072" w:type="dxa"/>
            <w:gridSpan w:val="6"/>
            <w:shd w:val="clear" w:color="auto" w:fill="auto"/>
            <w:tcMar>
              <w:left w:w="57" w:type="dxa"/>
              <w:right w:w="57" w:type="dxa"/>
            </w:tcMar>
          </w:tcPr>
          <w:p w14:paraId="49216B41" w14:textId="77777777" w:rsidR="003E5BF5" w:rsidRPr="002C5B5D" w:rsidRDefault="003E5BF5" w:rsidP="00DE1921">
            <w:pPr>
              <w:pStyle w:val="TableTextCentre"/>
              <w:spacing w:before="40"/>
              <w:jc w:val="left"/>
              <w:rPr>
                <w:rFonts w:ascii="Arial" w:hAnsi="Arial" w:cs="Arial"/>
                <w:i/>
                <w:sz w:val="24"/>
                <w:szCs w:val="24"/>
                <w:highlight w:val="green"/>
              </w:rPr>
            </w:pPr>
            <w:r w:rsidRPr="002C5B5D">
              <w:rPr>
                <w:rFonts w:ascii="Arial" w:hAnsi="Arial" w:cs="Arial"/>
                <w:i/>
                <w:sz w:val="24"/>
                <w:szCs w:val="24"/>
                <w:highlight w:val="green"/>
              </w:rPr>
              <w:fldChar w:fldCharType="begin"/>
            </w:r>
            <w:r w:rsidRPr="002C5B5D">
              <w:rPr>
                <w:rFonts w:ascii="Arial" w:hAnsi="Arial" w:cs="Arial"/>
                <w:i/>
                <w:sz w:val="24"/>
                <w:szCs w:val="24"/>
                <w:highlight w:val="green"/>
              </w:rPr>
              <w:instrText xml:space="preserve"> MERGEFIELD "M_26" </w:instrText>
            </w:r>
            <w:r w:rsidRPr="002C5B5D">
              <w:rPr>
                <w:rFonts w:ascii="Arial" w:hAnsi="Arial" w:cs="Arial"/>
                <w:i/>
                <w:sz w:val="24"/>
                <w:szCs w:val="24"/>
                <w:highlight w:val="green"/>
              </w:rPr>
              <w:fldChar w:fldCharType="separate"/>
            </w: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 xml:space="preserve">Due to </w:t>
            </w:r>
            <w:r w:rsidRPr="002C5B5D">
              <w:rPr>
                <w:rFonts w:ascii="Arial" w:hAnsi="Arial" w:cs="Arial"/>
                <w:i/>
                <w:sz w:val="24"/>
                <w:szCs w:val="24"/>
              </w:rPr>
              <w:fldChar w:fldCharType="end"/>
            </w:r>
            <w:r w:rsidRPr="002C5B5D">
              <w:rPr>
                <w:rFonts w:ascii="Arial" w:hAnsi="Arial" w:cs="Arial"/>
                <w:i/>
                <w:sz w:val="24"/>
                <w:szCs w:val="24"/>
              </w:rPr>
              <w:t>the establishment of new operating procedures and processes.</w:t>
            </w:r>
            <w:r w:rsidRPr="002C5B5D">
              <w:rPr>
                <w:rFonts w:ascii="Arial" w:hAnsi="Arial" w:cs="Arial"/>
                <w:i/>
                <w:sz w:val="24"/>
                <w:szCs w:val="24"/>
                <w:highlight w:val="green"/>
              </w:rPr>
              <w:t xml:space="preserve"> </w:t>
            </w:r>
            <w:r w:rsidRPr="002C5B5D">
              <w:rPr>
                <w:rFonts w:ascii="Arial" w:hAnsi="Arial" w:cs="Arial"/>
                <w:i/>
                <w:sz w:val="24"/>
                <w:szCs w:val="24"/>
                <w:highlight w:val="green"/>
              </w:rPr>
              <w:fldChar w:fldCharType="end"/>
            </w:r>
          </w:p>
        </w:tc>
      </w:tr>
      <w:tr w:rsidR="003E5BF5" w:rsidRPr="002C5B5D" w14:paraId="7B3F1A05" w14:textId="77777777" w:rsidTr="00955A0A">
        <w:trPr>
          <w:trHeight w:val="340"/>
        </w:trPr>
        <w:tc>
          <w:tcPr>
            <w:tcW w:w="3250" w:type="dxa"/>
            <w:shd w:val="clear" w:color="auto" w:fill="auto"/>
            <w:tcMar>
              <w:left w:w="57" w:type="dxa"/>
              <w:right w:w="57" w:type="dxa"/>
            </w:tcMar>
          </w:tcPr>
          <w:p w14:paraId="393B2ED7"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Commercial passenger vehicle industry participants conform to key safety requirements</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2E80B57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46" w:type="dxa"/>
            <w:shd w:val="clear" w:color="auto" w:fill="auto"/>
            <w:tcMar>
              <w:left w:w="57" w:type="dxa"/>
              <w:right w:w="57" w:type="dxa"/>
            </w:tcMar>
          </w:tcPr>
          <w:p w14:paraId="1ABD608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76.9</w:t>
            </w:r>
            <w:r w:rsidRPr="002C5B5D">
              <w:rPr>
                <w:rFonts w:ascii="Arial" w:hAnsi="Arial" w:cs="Arial"/>
                <w:sz w:val="24"/>
                <w:szCs w:val="24"/>
              </w:rPr>
              <w:fldChar w:fldCharType="end"/>
            </w:r>
          </w:p>
        </w:tc>
        <w:tc>
          <w:tcPr>
            <w:tcW w:w="1046" w:type="dxa"/>
            <w:shd w:val="clear" w:color="auto" w:fill="auto"/>
            <w:tcMar>
              <w:left w:w="57" w:type="dxa"/>
              <w:right w:w="57" w:type="dxa"/>
            </w:tcMar>
          </w:tcPr>
          <w:p w14:paraId="6E2D08E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75</w:t>
            </w:r>
            <w:r w:rsidRPr="002C5B5D">
              <w:rPr>
                <w:rFonts w:ascii="Arial" w:hAnsi="Arial" w:cs="Arial"/>
                <w:sz w:val="24"/>
                <w:szCs w:val="24"/>
              </w:rPr>
              <w:fldChar w:fldCharType="end"/>
            </w:r>
          </w:p>
        </w:tc>
        <w:tc>
          <w:tcPr>
            <w:tcW w:w="1582" w:type="dxa"/>
            <w:shd w:val="clear" w:color="auto" w:fill="auto"/>
            <w:tcMar>
              <w:left w:w="57" w:type="dxa"/>
              <w:right w:w="57" w:type="dxa"/>
            </w:tcMar>
          </w:tcPr>
          <w:p w14:paraId="50BAD13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2.5</w:t>
            </w:r>
            <w:r w:rsidRPr="002C5B5D">
              <w:rPr>
                <w:rFonts w:ascii="Arial" w:hAnsi="Arial" w:cs="Arial"/>
                <w:sz w:val="24"/>
                <w:szCs w:val="24"/>
              </w:rPr>
              <w:fldChar w:fldCharType="end"/>
            </w:r>
          </w:p>
        </w:tc>
        <w:tc>
          <w:tcPr>
            <w:tcW w:w="1046" w:type="dxa"/>
            <w:shd w:val="clear" w:color="auto" w:fill="auto"/>
            <w:tcMar>
              <w:left w:w="57" w:type="dxa"/>
              <w:right w:w="57" w:type="dxa"/>
            </w:tcMar>
          </w:tcPr>
          <w:p w14:paraId="29FA1D34"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71073EE0" w14:textId="77777777" w:rsidTr="00955A0A">
        <w:trPr>
          <w:trHeight w:val="340"/>
        </w:trPr>
        <w:tc>
          <w:tcPr>
            <w:tcW w:w="3250" w:type="dxa"/>
            <w:shd w:val="clear" w:color="auto" w:fill="auto"/>
            <w:tcMar>
              <w:left w:w="57" w:type="dxa"/>
              <w:right w:w="57" w:type="dxa"/>
            </w:tcMar>
          </w:tcPr>
          <w:p w14:paraId="3ED6329E"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 xml:space="preserve">Commercial passenger vehicle registration applications received online </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3A60BA8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46" w:type="dxa"/>
            <w:shd w:val="clear" w:color="auto" w:fill="auto"/>
            <w:tcMar>
              <w:left w:w="57" w:type="dxa"/>
              <w:right w:w="57" w:type="dxa"/>
            </w:tcMar>
          </w:tcPr>
          <w:p w14:paraId="2BE0B2C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046" w:type="dxa"/>
            <w:shd w:val="clear" w:color="auto" w:fill="auto"/>
            <w:tcMar>
              <w:left w:w="57" w:type="dxa"/>
              <w:right w:w="57" w:type="dxa"/>
            </w:tcMar>
          </w:tcPr>
          <w:p w14:paraId="6638093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582" w:type="dxa"/>
            <w:shd w:val="clear" w:color="auto" w:fill="auto"/>
            <w:tcMar>
              <w:left w:w="57" w:type="dxa"/>
              <w:right w:w="57" w:type="dxa"/>
            </w:tcMar>
          </w:tcPr>
          <w:p w14:paraId="0EC632F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46" w:type="dxa"/>
            <w:shd w:val="clear" w:color="auto" w:fill="auto"/>
            <w:tcMar>
              <w:left w:w="57" w:type="dxa"/>
              <w:right w:w="57" w:type="dxa"/>
            </w:tcMar>
          </w:tcPr>
          <w:p w14:paraId="649CDE41"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040F1C72" w14:textId="77777777" w:rsidTr="00955A0A">
        <w:trPr>
          <w:trHeight w:val="340"/>
        </w:trPr>
        <w:tc>
          <w:tcPr>
            <w:tcW w:w="3250" w:type="dxa"/>
            <w:shd w:val="clear" w:color="auto" w:fill="auto"/>
            <w:tcMar>
              <w:left w:w="57" w:type="dxa"/>
              <w:right w:w="57" w:type="dxa"/>
            </w:tcMar>
          </w:tcPr>
          <w:p w14:paraId="3E03FA5B"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Commercial passenger vehicles meeting safety standards for booked and unbooked services</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39A84CF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46" w:type="dxa"/>
            <w:shd w:val="clear" w:color="auto" w:fill="auto"/>
            <w:tcMar>
              <w:left w:w="57" w:type="dxa"/>
              <w:right w:w="57" w:type="dxa"/>
            </w:tcMar>
          </w:tcPr>
          <w:p w14:paraId="089CE29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81.8</w:t>
            </w:r>
            <w:r w:rsidRPr="002C5B5D">
              <w:rPr>
                <w:rFonts w:ascii="Arial" w:hAnsi="Arial" w:cs="Arial"/>
                <w:sz w:val="24"/>
                <w:szCs w:val="24"/>
              </w:rPr>
              <w:fldChar w:fldCharType="end"/>
            </w:r>
          </w:p>
        </w:tc>
        <w:tc>
          <w:tcPr>
            <w:tcW w:w="1046" w:type="dxa"/>
            <w:shd w:val="clear" w:color="auto" w:fill="auto"/>
            <w:tcMar>
              <w:left w:w="57" w:type="dxa"/>
              <w:right w:w="57" w:type="dxa"/>
            </w:tcMar>
          </w:tcPr>
          <w:p w14:paraId="05AD8C4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85</w:t>
            </w:r>
            <w:r w:rsidRPr="002C5B5D">
              <w:rPr>
                <w:rFonts w:ascii="Arial" w:hAnsi="Arial" w:cs="Arial"/>
                <w:sz w:val="24"/>
                <w:szCs w:val="24"/>
              </w:rPr>
              <w:fldChar w:fldCharType="end"/>
            </w:r>
          </w:p>
        </w:tc>
        <w:tc>
          <w:tcPr>
            <w:tcW w:w="1582" w:type="dxa"/>
            <w:shd w:val="clear" w:color="auto" w:fill="auto"/>
            <w:tcMar>
              <w:left w:w="57" w:type="dxa"/>
              <w:right w:w="57" w:type="dxa"/>
            </w:tcMar>
          </w:tcPr>
          <w:p w14:paraId="6DEC50D1"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-3.8</w:t>
            </w:r>
            <w:r w:rsidRPr="002C5B5D">
              <w:rPr>
                <w:rFonts w:ascii="Arial" w:hAnsi="Arial" w:cs="Arial"/>
                <w:sz w:val="24"/>
                <w:szCs w:val="24"/>
              </w:rPr>
              <w:fldChar w:fldCharType="end"/>
            </w:r>
          </w:p>
        </w:tc>
        <w:tc>
          <w:tcPr>
            <w:tcW w:w="1046" w:type="dxa"/>
            <w:shd w:val="clear" w:color="auto" w:fill="auto"/>
            <w:tcMar>
              <w:left w:w="57" w:type="dxa"/>
              <w:right w:w="57" w:type="dxa"/>
            </w:tcMar>
          </w:tcPr>
          <w:p w14:paraId="1DE562E1"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2142FA15" w14:textId="77777777" w:rsidTr="00955A0A">
        <w:trPr>
          <w:trHeight w:val="340"/>
        </w:trPr>
        <w:tc>
          <w:tcPr>
            <w:tcW w:w="3250" w:type="dxa"/>
            <w:shd w:val="clear" w:color="auto" w:fill="auto"/>
            <w:tcMar>
              <w:left w:w="57" w:type="dxa"/>
              <w:right w:w="57" w:type="dxa"/>
            </w:tcMar>
          </w:tcPr>
          <w:p w14:paraId="52C2F88F"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Overall satisfaction with level of commercial passenger vehicle regulatory service provided by Commercial Passenger Vehicles Victoria.</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1CC67A2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46" w:type="dxa"/>
            <w:shd w:val="clear" w:color="auto" w:fill="auto"/>
            <w:tcMar>
              <w:left w:w="57" w:type="dxa"/>
              <w:right w:w="57" w:type="dxa"/>
            </w:tcMar>
          </w:tcPr>
          <w:p w14:paraId="05496C8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80.6</w:t>
            </w:r>
            <w:r w:rsidRPr="002C5B5D">
              <w:rPr>
                <w:rFonts w:ascii="Arial" w:hAnsi="Arial" w:cs="Arial"/>
                <w:sz w:val="24"/>
                <w:szCs w:val="24"/>
              </w:rPr>
              <w:fldChar w:fldCharType="end"/>
            </w:r>
          </w:p>
        </w:tc>
        <w:tc>
          <w:tcPr>
            <w:tcW w:w="1046" w:type="dxa"/>
            <w:shd w:val="clear" w:color="auto" w:fill="auto"/>
            <w:tcMar>
              <w:left w:w="57" w:type="dxa"/>
              <w:right w:w="57" w:type="dxa"/>
            </w:tcMar>
          </w:tcPr>
          <w:p w14:paraId="6CD57DF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60</w:t>
            </w:r>
            <w:r w:rsidRPr="002C5B5D">
              <w:rPr>
                <w:rFonts w:ascii="Arial" w:hAnsi="Arial" w:cs="Arial"/>
                <w:sz w:val="24"/>
                <w:szCs w:val="24"/>
              </w:rPr>
              <w:fldChar w:fldCharType="end"/>
            </w:r>
          </w:p>
        </w:tc>
        <w:tc>
          <w:tcPr>
            <w:tcW w:w="1582" w:type="dxa"/>
            <w:shd w:val="clear" w:color="auto" w:fill="auto"/>
            <w:tcMar>
              <w:left w:w="57" w:type="dxa"/>
              <w:right w:w="57" w:type="dxa"/>
            </w:tcMar>
          </w:tcPr>
          <w:p w14:paraId="554F31E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34.3</w:t>
            </w:r>
            <w:r w:rsidRPr="002C5B5D">
              <w:rPr>
                <w:rFonts w:ascii="Arial" w:hAnsi="Arial" w:cs="Arial"/>
                <w:sz w:val="24"/>
                <w:szCs w:val="24"/>
              </w:rPr>
              <w:fldChar w:fldCharType="end"/>
            </w:r>
          </w:p>
        </w:tc>
        <w:tc>
          <w:tcPr>
            <w:tcW w:w="1046" w:type="dxa"/>
            <w:shd w:val="clear" w:color="auto" w:fill="auto"/>
            <w:tcMar>
              <w:left w:w="57" w:type="dxa"/>
              <w:right w:w="57" w:type="dxa"/>
            </w:tcMar>
          </w:tcPr>
          <w:p w14:paraId="5A3AEA7F"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625323E8" w14:textId="77777777" w:rsidTr="003E52FE">
        <w:tc>
          <w:tcPr>
            <w:tcW w:w="9072" w:type="dxa"/>
            <w:gridSpan w:val="6"/>
            <w:shd w:val="clear" w:color="auto" w:fill="auto"/>
            <w:tcMar>
              <w:left w:w="57" w:type="dxa"/>
              <w:right w:w="57" w:type="dxa"/>
            </w:tcMar>
          </w:tcPr>
          <w:p w14:paraId="2180B958"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increased satisfaction with the service provided to the industry by CPVV.</w:t>
            </w:r>
            <w:r w:rsidRPr="002C5B5D">
              <w:rPr>
                <w:rFonts w:ascii="Arial" w:hAnsi="Arial" w:cs="Arial"/>
                <w:i/>
                <w:sz w:val="24"/>
                <w:szCs w:val="24"/>
              </w:rPr>
              <w:fldChar w:fldCharType="end"/>
            </w:r>
          </w:p>
        </w:tc>
      </w:tr>
    </w:tbl>
    <w:p w14:paraId="414231A7" w14:textId="77777777" w:rsidR="003E5BF5" w:rsidRDefault="003E5BF5">
      <w:pPr>
        <w:rPr>
          <w:rFonts w:eastAsiaTheme="majorEastAsia" w:cstheme="majorBidi"/>
          <w:b/>
          <w:color w:val="00BAC0"/>
          <w:sz w:val="16"/>
        </w:rPr>
      </w:pPr>
      <w:r>
        <w:br w:type="page"/>
      </w:r>
    </w:p>
    <w:p w14:paraId="2377B4DA" w14:textId="77777777" w:rsidR="00482439" w:rsidRPr="00482439" w:rsidRDefault="003E5BF5" w:rsidP="00CF74EB">
      <w:pPr>
        <w:pStyle w:val="TableHeader"/>
        <w:rPr>
          <w:i/>
        </w:rPr>
      </w:pPr>
      <w:r w:rsidRPr="002C5B5D">
        <w:lastRenderedPageBreak/>
        <w:t xml:space="preserve">Regulation of Commercial Passenger Vehicle Services </w:t>
      </w:r>
      <w:r w:rsidRPr="002C5B5D">
        <w:rPr>
          <w:i/>
        </w:rPr>
        <w:t>continued</w:t>
      </w:r>
    </w:p>
    <w:tbl>
      <w:tblPr>
        <w:tblStyle w:val="TableGrid"/>
        <w:tblW w:w="9072" w:type="dxa"/>
        <w:tblCellMar>
          <w:left w:w="28" w:type="dxa"/>
          <w:right w:w="28" w:type="dxa"/>
        </w:tblCellMar>
        <w:tblLook w:val="04A0" w:firstRow="1" w:lastRow="0" w:firstColumn="1" w:lastColumn="0" w:noHBand="0" w:noVBand="1"/>
      </w:tblPr>
      <w:tblGrid>
        <w:gridCol w:w="3259"/>
        <w:gridCol w:w="1102"/>
        <w:gridCol w:w="1042"/>
        <w:gridCol w:w="1040"/>
        <w:gridCol w:w="1582"/>
        <w:gridCol w:w="1047"/>
      </w:tblGrid>
      <w:tr w:rsidR="003E5BF5" w:rsidRPr="002C5B5D" w14:paraId="004CB98A" w14:textId="77777777" w:rsidTr="00DD0AB6">
        <w:trPr>
          <w:trHeight w:val="340"/>
          <w:tblHeader/>
        </w:trPr>
        <w:tc>
          <w:tcPr>
            <w:tcW w:w="3259" w:type="dxa"/>
            <w:shd w:val="clear" w:color="auto" w:fill="auto"/>
            <w:tcMar>
              <w:left w:w="57" w:type="dxa"/>
              <w:right w:w="57" w:type="dxa"/>
            </w:tcMar>
          </w:tcPr>
          <w:p w14:paraId="4261D93A" w14:textId="77777777" w:rsidR="003E5BF5" w:rsidRPr="002C5B5D" w:rsidRDefault="003E5BF5" w:rsidP="00DE1921">
            <w:pPr>
              <w:pStyle w:val="TableTextLeftBold"/>
              <w:rPr>
                <w:rFonts w:ascii="Arial" w:hAnsi="Arial" w:cs="Arial"/>
                <w:sz w:val="24"/>
                <w:szCs w:val="24"/>
              </w:rPr>
            </w:pPr>
            <w:r w:rsidRPr="002C5B5D">
              <w:rPr>
                <w:rFonts w:ascii="Arial" w:hAnsi="Arial" w:cs="Arial"/>
                <w:sz w:val="24"/>
                <w:szCs w:val="24"/>
              </w:rPr>
              <w:t>Performance measures</w:t>
            </w:r>
          </w:p>
        </w:tc>
        <w:tc>
          <w:tcPr>
            <w:tcW w:w="1102" w:type="dxa"/>
            <w:shd w:val="clear" w:color="auto" w:fill="auto"/>
            <w:tcMar>
              <w:left w:w="57" w:type="dxa"/>
              <w:right w:w="57" w:type="dxa"/>
            </w:tcMar>
          </w:tcPr>
          <w:p w14:paraId="3ED74B3B"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unit of measure</w:t>
            </w:r>
          </w:p>
        </w:tc>
        <w:tc>
          <w:tcPr>
            <w:tcW w:w="1042" w:type="dxa"/>
            <w:shd w:val="clear" w:color="auto" w:fill="auto"/>
            <w:tcMar>
              <w:left w:w="57" w:type="dxa"/>
              <w:right w:w="57" w:type="dxa"/>
            </w:tcMar>
          </w:tcPr>
          <w:p w14:paraId="646DE302"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actual</w:t>
            </w:r>
          </w:p>
        </w:tc>
        <w:tc>
          <w:tcPr>
            <w:tcW w:w="1040" w:type="dxa"/>
            <w:shd w:val="clear" w:color="auto" w:fill="auto"/>
            <w:tcMar>
              <w:left w:w="57" w:type="dxa"/>
              <w:right w:w="57" w:type="dxa"/>
            </w:tcMar>
          </w:tcPr>
          <w:p w14:paraId="66AAB5FD"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target</w:t>
            </w:r>
          </w:p>
        </w:tc>
        <w:tc>
          <w:tcPr>
            <w:tcW w:w="1582" w:type="dxa"/>
            <w:shd w:val="clear" w:color="auto" w:fill="auto"/>
            <w:tcMar>
              <w:left w:w="57" w:type="dxa"/>
              <w:right w:w="57" w:type="dxa"/>
            </w:tcMar>
          </w:tcPr>
          <w:p w14:paraId="3E14AB30"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Performance variation (%)</w:t>
            </w:r>
          </w:p>
        </w:tc>
        <w:tc>
          <w:tcPr>
            <w:tcW w:w="1047" w:type="dxa"/>
            <w:shd w:val="clear" w:color="auto" w:fill="auto"/>
            <w:tcMar>
              <w:left w:w="57" w:type="dxa"/>
              <w:right w:w="57" w:type="dxa"/>
            </w:tcMar>
          </w:tcPr>
          <w:p w14:paraId="39F82914"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Result</w:t>
            </w:r>
          </w:p>
        </w:tc>
      </w:tr>
      <w:tr w:rsidR="003E5BF5" w:rsidRPr="002C5B5D" w14:paraId="52BCB542" w14:textId="77777777" w:rsidTr="00DD0AB6">
        <w:trPr>
          <w:trHeight w:val="340"/>
        </w:trPr>
        <w:tc>
          <w:tcPr>
            <w:tcW w:w="3259" w:type="dxa"/>
            <w:shd w:val="clear" w:color="auto" w:fill="auto"/>
            <w:tcMar>
              <w:left w:w="57" w:type="dxa"/>
              <w:right w:w="57" w:type="dxa"/>
            </w:tcMar>
            <w:vAlign w:val="center"/>
          </w:tcPr>
          <w:p w14:paraId="1A768B5F"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Timeliness</w:t>
            </w:r>
          </w:p>
        </w:tc>
        <w:tc>
          <w:tcPr>
            <w:tcW w:w="1102" w:type="dxa"/>
            <w:shd w:val="clear" w:color="auto" w:fill="auto"/>
            <w:tcMar>
              <w:left w:w="57" w:type="dxa"/>
              <w:right w:w="57" w:type="dxa"/>
            </w:tcMar>
            <w:vAlign w:val="center"/>
          </w:tcPr>
          <w:p w14:paraId="50CD83BE" w14:textId="77777777" w:rsidR="003E5BF5" w:rsidRPr="002C5B5D" w:rsidRDefault="003E5BF5" w:rsidP="00DE1921">
            <w:pPr>
              <w:pStyle w:val="TableTextRight"/>
              <w:rPr>
                <w:rFonts w:ascii="Arial" w:hAnsi="Arial" w:cs="Arial"/>
                <w:sz w:val="24"/>
                <w:szCs w:val="24"/>
              </w:rPr>
            </w:pPr>
          </w:p>
        </w:tc>
        <w:tc>
          <w:tcPr>
            <w:tcW w:w="1042" w:type="dxa"/>
            <w:shd w:val="clear" w:color="auto" w:fill="auto"/>
            <w:tcMar>
              <w:left w:w="57" w:type="dxa"/>
              <w:right w:w="57" w:type="dxa"/>
            </w:tcMar>
            <w:vAlign w:val="center"/>
          </w:tcPr>
          <w:p w14:paraId="7743FC20" w14:textId="77777777" w:rsidR="003E5BF5" w:rsidRPr="002C5B5D" w:rsidRDefault="003E5BF5" w:rsidP="00DE1921">
            <w:pPr>
              <w:pStyle w:val="TableTextRight"/>
              <w:rPr>
                <w:rFonts w:ascii="Arial" w:hAnsi="Arial" w:cs="Arial"/>
                <w:sz w:val="24"/>
                <w:szCs w:val="24"/>
              </w:rPr>
            </w:pPr>
          </w:p>
        </w:tc>
        <w:tc>
          <w:tcPr>
            <w:tcW w:w="1040" w:type="dxa"/>
            <w:shd w:val="clear" w:color="auto" w:fill="auto"/>
            <w:tcMar>
              <w:left w:w="57" w:type="dxa"/>
              <w:right w:w="57" w:type="dxa"/>
            </w:tcMar>
            <w:vAlign w:val="center"/>
          </w:tcPr>
          <w:p w14:paraId="062C3D75" w14:textId="77777777" w:rsidR="003E5BF5" w:rsidRPr="002C5B5D" w:rsidRDefault="003E5BF5" w:rsidP="00DE1921">
            <w:pPr>
              <w:pStyle w:val="TableTextRight"/>
              <w:rPr>
                <w:rFonts w:ascii="Arial" w:hAnsi="Arial" w:cs="Arial"/>
                <w:sz w:val="24"/>
                <w:szCs w:val="24"/>
              </w:rPr>
            </w:pPr>
          </w:p>
        </w:tc>
        <w:tc>
          <w:tcPr>
            <w:tcW w:w="1582" w:type="dxa"/>
            <w:shd w:val="clear" w:color="auto" w:fill="auto"/>
            <w:tcMar>
              <w:left w:w="57" w:type="dxa"/>
              <w:right w:w="57" w:type="dxa"/>
            </w:tcMar>
            <w:vAlign w:val="center"/>
          </w:tcPr>
          <w:p w14:paraId="6A3E5F48" w14:textId="77777777" w:rsidR="003E5BF5" w:rsidRPr="002C5B5D" w:rsidRDefault="003E5BF5" w:rsidP="00DE1921">
            <w:pPr>
              <w:pStyle w:val="TableTextRight"/>
              <w:rPr>
                <w:rFonts w:ascii="Arial" w:hAnsi="Arial" w:cs="Arial"/>
                <w:sz w:val="24"/>
                <w:szCs w:val="24"/>
              </w:rPr>
            </w:pPr>
          </w:p>
        </w:tc>
        <w:tc>
          <w:tcPr>
            <w:tcW w:w="1047" w:type="dxa"/>
            <w:shd w:val="clear" w:color="auto" w:fill="auto"/>
            <w:tcMar>
              <w:left w:w="57" w:type="dxa"/>
              <w:right w:w="57" w:type="dxa"/>
            </w:tcMar>
            <w:vAlign w:val="center"/>
          </w:tcPr>
          <w:p w14:paraId="75DA4CAE" w14:textId="77777777" w:rsidR="003E5BF5" w:rsidRPr="002C5B5D" w:rsidRDefault="003E5BF5" w:rsidP="00DE1921">
            <w:pPr>
              <w:pStyle w:val="TableTextRight"/>
              <w:rPr>
                <w:rFonts w:ascii="Arial" w:hAnsi="Arial" w:cs="Arial"/>
                <w:sz w:val="24"/>
                <w:szCs w:val="24"/>
              </w:rPr>
            </w:pPr>
          </w:p>
        </w:tc>
      </w:tr>
      <w:tr w:rsidR="003E5BF5" w:rsidRPr="002C5B5D" w14:paraId="6667B741" w14:textId="77777777" w:rsidTr="00DD0AB6">
        <w:trPr>
          <w:trHeight w:val="340"/>
        </w:trPr>
        <w:tc>
          <w:tcPr>
            <w:tcW w:w="3259" w:type="dxa"/>
            <w:shd w:val="clear" w:color="auto" w:fill="auto"/>
            <w:tcMar>
              <w:left w:w="57" w:type="dxa"/>
              <w:right w:w="57" w:type="dxa"/>
            </w:tcMar>
          </w:tcPr>
          <w:p w14:paraId="2C827D2B"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Calls to the Commercial Passenger Vehicles Victoria call centre answered within 20 seconds</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2508AC7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42" w:type="dxa"/>
            <w:shd w:val="clear" w:color="auto" w:fill="auto"/>
            <w:tcMar>
              <w:left w:w="57" w:type="dxa"/>
              <w:right w:w="57" w:type="dxa"/>
            </w:tcMar>
          </w:tcPr>
          <w:p w14:paraId="58CC526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57.9</w:t>
            </w:r>
            <w:r w:rsidRPr="002C5B5D">
              <w:rPr>
                <w:rFonts w:ascii="Arial" w:hAnsi="Arial" w:cs="Arial"/>
                <w:sz w:val="24"/>
                <w:szCs w:val="24"/>
              </w:rPr>
              <w:fldChar w:fldCharType="end"/>
            </w:r>
          </w:p>
        </w:tc>
        <w:tc>
          <w:tcPr>
            <w:tcW w:w="1040" w:type="dxa"/>
            <w:shd w:val="clear" w:color="auto" w:fill="auto"/>
            <w:tcMar>
              <w:left w:w="57" w:type="dxa"/>
              <w:right w:w="57" w:type="dxa"/>
            </w:tcMar>
          </w:tcPr>
          <w:p w14:paraId="3181193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62</w:t>
            </w:r>
            <w:r w:rsidRPr="002C5B5D">
              <w:rPr>
                <w:rFonts w:ascii="Arial" w:hAnsi="Arial" w:cs="Arial"/>
                <w:sz w:val="24"/>
                <w:szCs w:val="24"/>
              </w:rPr>
              <w:fldChar w:fldCharType="end"/>
            </w:r>
          </w:p>
        </w:tc>
        <w:tc>
          <w:tcPr>
            <w:tcW w:w="1582" w:type="dxa"/>
            <w:shd w:val="clear" w:color="auto" w:fill="auto"/>
            <w:tcMar>
              <w:left w:w="57" w:type="dxa"/>
              <w:right w:w="57" w:type="dxa"/>
            </w:tcMar>
          </w:tcPr>
          <w:p w14:paraId="40B16C3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-6.6</w:t>
            </w:r>
            <w:r w:rsidRPr="002C5B5D">
              <w:rPr>
                <w:rFonts w:ascii="Arial" w:hAnsi="Arial" w:cs="Arial"/>
                <w:sz w:val="24"/>
                <w:szCs w:val="24"/>
              </w:rPr>
              <w:fldChar w:fldCharType="end"/>
            </w:r>
          </w:p>
        </w:tc>
        <w:tc>
          <w:tcPr>
            <w:tcW w:w="1047" w:type="dxa"/>
            <w:shd w:val="clear" w:color="auto" w:fill="auto"/>
            <w:tcMar>
              <w:left w:w="57" w:type="dxa"/>
              <w:right w:w="57" w:type="dxa"/>
            </w:tcMar>
          </w:tcPr>
          <w:p w14:paraId="7191188C"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54CCFE2F" w14:textId="77777777" w:rsidTr="003348DE">
        <w:tc>
          <w:tcPr>
            <w:tcW w:w="9072" w:type="dxa"/>
            <w:gridSpan w:val="6"/>
            <w:shd w:val="clear" w:color="auto" w:fill="auto"/>
            <w:tcMar>
              <w:left w:w="57" w:type="dxa"/>
              <w:right w:w="57" w:type="dxa"/>
            </w:tcMar>
          </w:tcPr>
          <w:p w14:paraId="33EE3751"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significant disruptions when the call centre was closed due to coronavirus (COVID-19).</w:t>
            </w:r>
            <w:r w:rsidRPr="002C5B5D">
              <w:rPr>
                <w:rFonts w:ascii="Arial" w:hAnsi="Arial" w:cs="Arial"/>
                <w:i/>
                <w:sz w:val="24"/>
                <w:szCs w:val="24"/>
              </w:rPr>
              <w:fldChar w:fldCharType="end"/>
            </w:r>
          </w:p>
        </w:tc>
      </w:tr>
      <w:tr w:rsidR="003E5BF5" w:rsidRPr="002C5B5D" w14:paraId="1BC0B7B1" w14:textId="77777777" w:rsidTr="00DD0AB6">
        <w:trPr>
          <w:trHeight w:val="340"/>
        </w:trPr>
        <w:tc>
          <w:tcPr>
            <w:tcW w:w="3259" w:type="dxa"/>
            <w:shd w:val="clear" w:color="auto" w:fill="auto"/>
            <w:tcMar>
              <w:left w:w="57" w:type="dxa"/>
              <w:right w:w="57" w:type="dxa"/>
            </w:tcMar>
          </w:tcPr>
          <w:p w14:paraId="57403028" w14:textId="77777777" w:rsidR="003E5BF5" w:rsidRPr="002C5B5D" w:rsidRDefault="003E5BF5" w:rsidP="00DE1921">
            <w:pPr>
              <w:pStyle w:val="TableTextLeft"/>
              <w:rPr>
                <w:rFonts w:ascii="Arial" w:hAnsi="Arial" w:cs="Arial"/>
                <w:i/>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 xml:space="preserve">Commercial passenger vehicle registration applications processed within 14 days </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54845BA0" w14:textId="77777777" w:rsidR="003E5BF5" w:rsidRPr="002C5B5D" w:rsidRDefault="003E5BF5" w:rsidP="00DE1921">
            <w:pPr>
              <w:pStyle w:val="TableTextRight"/>
              <w:rPr>
                <w:rFonts w:ascii="Arial" w:hAnsi="Arial" w:cs="Arial"/>
                <w:sz w:val="24"/>
                <w:szCs w:val="24"/>
              </w:rPr>
            </w:pPr>
          </w:p>
        </w:tc>
        <w:tc>
          <w:tcPr>
            <w:tcW w:w="1042" w:type="dxa"/>
            <w:shd w:val="clear" w:color="auto" w:fill="auto"/>
            <w:tcMar>
              <w:left w:w="57" w:type="dxa"/>
              <w:right w:w="57" w:type="dxa"/>
            </w:tcMar>
          </w:tcPr>
          <w:p w14:paraId="74BBF4F2"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94.6</w:t>
            </w:r>
          </w:p>
        </w:tc>
        <w:tc>
          <w:tcPr>
            <w:tcW w:w="1040" w:type="dxa"/>
            <w:shd w:val="clear" w:color="auto" w:fill="auto"/>
            <w:tcMar>
              <w:left w:w="57" w:type="dxa"/>
              <w:right w:w="57" w:type="dxa"/>
            </w:tcMar>
          </w:tcPr>
          <w:p w14:paraId="69B0D05D"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97</w:t>
            </w:r>
          </w:p>
        </w:tc>
        <w:tc>
          <w:tcPr>
            <w:tcW w:w="1582" w:type="dxa"/>
            <w:shd w:val="clear" w:color="auto" w:fill="auto"/>
            <w:tcMar>
              <w:left w:w="57" w:type="dxa"/>
              <w:right w:w="57" w:type="dxa"/>
            </w:tcMar>
          </w:tcPr>
          <w:p w14:paraId="3F3661B8"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-2.5</w:t>
            </w:r>
          </w:p>
        </w:tc>
        <w:tc>
          <w:tcPr>
            <w:tcW w:w="1047" w:type="dxa"/>
            <w:shd w:val="clear" w:color="auto" w:fill="auto"/>
            <w:tcMar>
              <w:left w:w="57" w:type="dxa"/>
              <w:right w:w="57" w:type="dxa"/>
            </w:tcMar>
          </w:tcPr>
          <w:p w14:paraId="244F92D5"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23795B26" w14:textId="77777777" w:rsidTr="00DD0AB6">
        <w:trPr>
          <w:trHeight w:val="340"/>
        </w:trPr>
        <w:tc>
          <w:tcPr>
            <w:tcW w:w="3259" w:type="dxa"/>
            <w:shd w:val="clear" w:color="auto" w:fill="auto"/>
            <w:tcMar>
              <w:left w:w="57" w:type="dxa"/>
              <w:right w:w="57" w:type="dxa"/>
            </w:tcMar>
          </w:tcPr>
          <w:p w14:paraId="4B53D1A0"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Commercial passenger vehicle service complaints and intelligence reports investigated and closed within 45 days</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699DB62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42" w:type="dxa"/>
            <w:shd w:val="clear" w:color="auto" w:fill="auto"/>
            <w:tcMar>
              <w:left w:w="57" w:type="dxa"/>
              <w:right w:w="57" w:type="dxa"/>
            </w:tcMar>
          </w:tcPr>
          <w:p w14:paraId="6262A80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92.4</w:t>
            </w:r>
            <w:r w:rsidRPr="002C5B5D">
              <w:rPr>
                <w:rFonts w:ascii="Arial" w:hAnsi="Arial" w:cs="Arial"/>
                <w:sz w:val="24"/>
                <w:szCs w:val="24"/>
              </w:rPr>
              <w:fldChar w:fldCharType="end"/>
            </w:r>
          </w:p>
        </w:tc>
        <w:tc>
          <w:tcPr>
            <w:tcW w:w="1040" w:type="dxa"/>
            <w:shd w:val="clear" w:color="auto" w:fill="auto"/>
            <w:tcMar>
              <w:left w:w="57" w:type="dxa"/>
              <w:right w:w="57" w:type="dxa"/>
            </w:tcMar>
          </w:tcPr>
          <w:p w14:paraId="7DD4D98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92</w:t>
            </w:r>
            <w:r w:rsidRPr="002C5B5D">
              <w:rPr>
                <w:rFonts w:ascii="Arial" w:hAnsi="Arial" w:cs="Arial"/>
                <w:sz w:val="24"/>
                <w:szCs w:val="24"/>
              </w:rPr>
              <w:fldChar w:fldCharType="end"/>
            </w:r>
          </w:p>
        </w:tc>
        <w:tc>
          <w:tcPr>
            <w:tcW w:w="1582" w:type="dxa"/>
            <w:shd w:val="clear" w:color="auto" w:fill="auto"/>
            <w:tcMar>
              <w:left w:w="57" w:type="dxa"/>
              <w:right w:w="57" w:type="dxa"/>
            </w:tcMar>
          </w:tcPr>
          <w:p w14:paraId="69AADB3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0.4</w:t>
            </w:r>
            <w:r w:rsidRPr="002C5B5D">
              <w:rPr>
                <w:rFonts w:ascii="Arial" w:hAnsi="Arial" w:cs="Arial"/>
                <w:sz w:val="24"/>
                <w:szCs w:val="24"/>
              </w:rPr>
              <w:fldChar w:fldCharType="end"/>
            </w:r>
          </w:p>
        </w:tc>
        <w:tc>
          <w:tcPr>
            <w:tcW w:w="1047" w:type="dxa"/>
            <w:shd w:val="clear" w:color="auto" w:fill="auto"/>
            <w:tcMar>
              <w:left w:w="57" w:type="dxa"/>
              <w:right w:w="57" w:type="dxa"/>
            </w:tcMar>
          </w:tcPr>
          <w:p w14:paraId="5AA91437"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186DABD8" w14:textId="77777777" w:rsidTr="00DD0AB6">
        <w:trPr>
          <w:trHeight w:val="340"/>
        </w:trPr>
        <w:tc>
          <w:tcPr>
            <w:tcW w:w="3259" w:type="dxa"/>
            <w:shd w:val="clear" w:color="auto" w:fill="auto"/>
            <w:tcMar>
              <w:left w:w="57" w:type="dxa"/>
              <w:right w:w="57" w:type="dxa"/>
            </w:tcMar>
          </w:tcPr>
          <w:p w14:paraId="01AA7A21"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Multi-Purpose Taxi Program: applications assessed and completed within 14 days</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041BF5BF" w14:textId="77777777" w:rsidR="003E5BF5" w:rsidRPr="002C5B5D" w:rsidRDefault="003E5BF5" w:rsidP="00DE1921">
            <w:pPr>
              <w:pStyle w:val="TableTextRight"/>
              <w:rPr>
                <w:rFonts w:ascii="Arial" w:hAnsi="Arial" w:cs="Arial"/>
                <w:sz w:val="24"/>
                <w:szCs w:val="24"/>
              </w:rPr>
            </w:pPr>
          </w:p>
        </w:tc>
        <w:tc>
          <w:tcPr>
            <w:tcW w:w="1042" w:type="dxa"/>
            <w:shd w:val="clear" w:color="auto" w:fill="auto"/>
            <w:tcMar>
              <w:left w:w="57" w:type="dxa"/>
              <w:right w:w="57" w:type="dxa"/>
            </w:tcMar>
          </w:tcPr>
          <w:p w14:paraId="3FAF44E1"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98.5</w:t>
            </w:r>
          </w:p>
        </w:tc>
        <w:tc>
          <w:tcPr>
            <w:tcW w:w="1040" w:type="dxa"/>
            <w:shd w:val="clear" w:color="auto" w:fill="auto"/>
            <w:tcMar>
              <w:left w:w="57" w:type="dxa"/>
              <w:right w:w="57" w:type="dxa"/>
            </w:tcMar>
          </w:tcPr>
          <w:p w14:paraId="41F247D1"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97</w:t>
            </w:r>
          </w:p>
        </w:tc>
        <w:tc>
          <w:tcPr>
            <w:tcW w:w="1582" w:type="dxa"/>
            <w:shd w:val="clear" w:color="auto" w:fill="auto"/>
            <w:tcMar>
              <w:left w:w="57" w:type="dxa"/>
              <w:right w:w="57" w:type="dxa"/>
            </w:tcMar>
          </w:tcPr>
          <w:p w14:paraId="06B9F08D"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1.5</w:t>
            </w:r>
          </w:p>
        </w:tc>
        <w:tc>
          <w:tcPr>
            <w:tcW w:w="1047" w:type="dxa"/>
            <w:shd w:val="clear" w:color="auto" w:fill="auto"/>
            <w:tcMar>
              <w:left w:w="57" w:type="dxa"/>
              <w:right w:w="57" w:type="dxa"/>
            </w:tcMar>
          </w:tcPr>
          <w:p w14:paraId="264DF99C"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1298E6EC" w14:textId="77777777" w:rsidTr="00DD0AB6">
        <w:trPr>
          <w:trHeight w:val="340"/>
        </w:trPr>
        <w:tc>
          <w:tcPr>
            <w:tcW w:w="3259" w:type="dxa"/>
            <w:shd w:val="clear" w:color="auto" w:fill="auto"/>
            <w:tcMar>
              <w:left w:w="57" w:type="dxa"/>
              <w:right w:w="57" w:type="dxa"/>
            </w:tcMar>
          </w:tcPr>
          <w:p w14:paraId="42662C99"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New and renewed driver accreditation applications for commercial passenger vehicle and buses processed within 14 days</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64C9CD1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42" w:type="dxa"/>
            <w:shd w:val="clear" w:color="auto" w:fill="auto"/>
            <w:tcMar>
              <w:left w:w="57" w:type="dxa"/>
              <w:right w:w="57" w:type="dxa"/>
            </w:tcMar>
          </w:tcPr>
          <w:p w14:paraId="2CCDA73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81.3</w:t>
            </w:r>
            <w:r w:rsidRPr="002C5B5D">
              <w:rPr>
                <w:rFonts w:ascii="Arial" w:hAnsi="Arial" w:cs="Arial"/>
                <w:sz w:val="24"/>
                <w:szCs w:val="24"/>
              </w:rPr>
              <w:fldChar w:fldCharType="end"/>
            </w:r>
          </w:p>
        </w:tc>
        <w:tc>
          <w:tcPr>
            <w:tcW w:w="1040" w:type="dxa"/>
            <w:shd w:val="clear" w:color="auto" w:fill="auto"/>
            <w:tcMar>
              <w:left w:w="57" w:type="dxa"/>
              <w:right w:w="57" w:type="dxa"/>
            </w:tcMar>
          </w:tcPr>
          <w:p w14:paraId="6895149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85</w:t>
            </w:r>
            <w:r w:rsidRPr="002C5B5D">
              <w:rPr>
                <w:rFonts w:ascii="Arial" w:hAnsi="Arial" w:cs="Arial"/>
                <w:sz w:val="24"/>
                <w:szCs w:val="24"/>
              </w:rPr>
              <w:fldChar w:fldCharType="end"/>
            </w:r>
          </w:p>
        </w:tc>
        <w:tc>
          <w:tcPr>
            <w:tcW w:w="1582" w:type="dxa"/>
            <w:shd w:val="clear" w:color="auto" w:fill="auto"/>
            <w:tcMar>
              <w:left w:w="57" w:type="dxa"/>
              <w:right w:w="57" w:type="dxa"/>
            </w:tcMar>
          </w:tcPr>
          <w:p w14:paraId="3A42D6D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-4.4</w:t>
            </w:r>
            <w:r w:rsidRPr="002C5B5D">
              <w:rPr>
                <w:rFonts w:ascii="Arial" w:hAnsi="Arial" w:cs="Arial"/>
                <w:sz w:val="24"/>
                <w:szCs w:val="24"/>
              </w:rPr>
              <w:fldChar w:fldCharType="end"/>
            </w:r>
          </w:p>
        </w:tc>
        <w:tc>
          <w:tcPr>
            <w:tcW w:w="1047" w:type="dxa"/>
            <w:shd w:val="clear" w:color="auto" w:fill="auto"/>
            <w:tcMar>
              <w:left w:w="57" w:type="dxa"/>
              <w:right w:w="57" w:type="dxa"/>
            </w:tcMar>
          </w:tcPr>
          <w:p w14:paraId="3139D479"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5118DAAB" w14:textId="77777777" w:rsidTr="00DD0AB6">
        <w:trPr>
          <w:trHeight w:val="340"/>
        </w:trPr>
        <w:tc>
          <w:tcPr>
            <w:tcW w:w="3259" w:type="dxa"/>
            <w:shd w:val="clear" w:color="auto" w:fill="auto"/>
            <w:tcMar>
              <w:left w:w="57" w:type="dxa"/>
              <w:right w:w="57" w:type="dxa"/>
            </w:tcMar>
          </w:tcPr>
          <w:p w14:paraId="0EDFB1B9"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vehicle and driver regulation: new and renewed driving instructor authority applications processed within 14 days</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36B1AC5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42" w:type="dxa"/>
            <w:shd w:val="clear" w:color="auto" w:fill="auto"/>
            <w:tcMar>
              <w:left w:w="57" w:type="dxa"/>
              <w:right w:w="57" w:type="dxa"/>
            </w:tcMar>
          </w:tcPr>
          <w:p w14:paraId="592D974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88.7</w:t>
            </w:r>
            <w:r w:rsidRPr="002C5B5D">
              <w:rPr>
                <w:rFonts w:ascii="Arial" w:hAnsi="Arial" w:cs="Arial"/>
                <w:sz w:val="24"/>
                <w:szCs w:val="24"/>
              </w:rPr>
              <w:fldChar w:fldCharType="end"/>
            </w:r>
          </w:p>
        </w:tc>
        <w:tc>
          <w:tcPr>
            <w:tcW w:w="1040" w:type="dxa"/>
            <w:shd w:val="clear" w:color="auto" w:fill="auto"/>
            <w:tcMar>
              <w:left w:w="57" w:type="dxa"/>
              <w:right w:w="57" w:type="dxa"/>
            </w:tcMar>
          </w:tcPr>
          <w:p w14:paraId="4510E9B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90</w:t>
            </w:r>
            <w:r w:rsidRPr="002C5B5D">
              <w:rPr>
                <w:rFonts w:ascii="Arial" w:hAnsi="Arial" w:cs="Arial"/>
                <w:sz w:val="24"/>
                <w:szCs w:val="24"/>
              </w:rPr>
              <w:fldChar w:fldCharType="end"/>
            </w:r>
          </w:p>
        </w:tc>
        <w:tc>
          <w:tcPr>
            <w:tcW w:w="1582" w:type="dxa"/>
            <w:shd w:val="clear" w:color="auto" w:fill="auto"/>
            <w:tcMar>
              <w:left w:w="57" w:type="dxa"/>
              <w:right w:w="57" w:type="dxa"/>
            </w:tcMar>
          </w:tcPr>
          <w:p w14:paraId="34E3CFE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-1.4</w:t>
            </w:r>
            <w:r w:rsidRPr="002C5B5D">
              <w:rPr>
                <w:rFonts w:ascii="Arial" w:hAnsi="Arial" w:cs="Arial"/>
                <w:sz w:val="24"/>
                <w:szCs w:val="24"/>
              </w:rPr>
              <w:fldChar w:fldCharType="end"/>
            </w:r>
          </w:p>
        </w:tc>
        <w:tc>
          <w:tcPr>
            <w:tcW w:w="1047" w:type="dxa"/>
            <w:shd w:val="clear" w:color="auto" w:fill="auto"/>
            <w:tcMar>
              <w:left w:w="57" w:type="dxa"/>
              <w:right w:w="57" w:type="dxa"/>
            </w:tcMar>
          </w:tcPr>
          <w:p w14:paraId="22AC8FE4"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2" w:char="F099"/>
            </w:r>
          </w:p>
        </w:tc>
      </w:tr>
      <w:tr w:rsidR="003E5BF5" w:rsidRPr="002C5B5D" w14:paraId="5C6B2D73" w14:textId="77777777" w:rsidTr="003348DE">
        <w:trPr>
          <w:trHeight w:val="340"/>
        </w:trPr>
        <w:tc>
          <w:tcPr>
            <w:tcW w:w="9072" w:type="dxa"/>
            <w:gridSpan w:val="6"/>
            <w:shd w:val="clear" w:color="auto" w:fill="auto"/>
            <w:tcMar>
              <w:left w:w="57" w:type="dxa"/>
              <w:right w:w="57" w:type="dxa"/>
            </w:tcMar>
            <w:vAlign w:val="center"/>
          </w:tcPr>
          <w:p w14:paraId="4189BED8"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Cost</w:t>
            </w:r>
          </w:p>
        </w:tc>
      </w:tr>
      <w:tr w:rsidR="003E5BF5" w:rsidRPr="002C5B5D" w14:paraId="5CAFAF30" w14:textId="77777777" w:rsidTr="00DD0AB6">
        <w:trPr>
          <w:trHeight w:val="340"/>
        </w:trPr>
        <w:tc>
          <w:tcPr>
            <w:tcW w:w="3259" w:type="dxa"/>
            <w:shd w:val="clear" w:color="auto" w:fill="auto"/>
            <w:tcMar>
              <w:left w:w="57" w:type="dxa"/>
              <w:right w:w="57" w:type="dxa"/>
            </w:tcMar>
            <w:vAlign w:val="center"/>
          </w:tcPr>
          <w:p w14:paraId="16BB6B79"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t>Total output cost</w:t>
            </w:r>
          </w:p>
        </w:tc>
        <w:tc>
          <w:tcPr>
            <w:tcW w:w="1102" w:type="dxa"/>
            <w:shd w:val="clear" w:color="auto" w:fill="auto"/>
            <w:tcMar>
              <w:left w:w="57" w:type="dxa"/>
              <w:right w:w="57" w:type="dxa"/>
            </w:tcMar>
            <w:vAlign w:val="center"/>
          </w:tcPr>
          <w:p w14:paraId="2F16BA81"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 million</w:t>
            </w:r>
          </w:p>
        </w:tc>
        <w:tc>
          <w:tcPr>
            <w:tcW w:w="1042" w:type="dxa"/>
            <w:shd w:val="clear" w:color="auto" w:fill="auto"/>
            <w:tcMar>
              <w:left w:w="57" w:type="dxa"/>
              <w:right w:w="57" w:type="dxa"/>
            </w:tcMar>
            <w:vAlign w:val="center"/>
          </w:tcPr>
          <w:p w14:paraId="15FDAD86"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99.8</w:t>
            </w:r>
          </w:p>
        </w:tc>
        <w:tc>
          <w:tcPr>
            <w:tcW w:w="1040" w:type="dxa"/>
            <w:shd w:val="clear" w:color="auto" w:fill="auto"/>
            <w:tcMar>
              <w:left w:w="57" w:type="dxa"/>
              <w:right w:w="57" w:type="dxa"/>
            </w:tcMar>
            <w:vAlign w:val="center"/>
          </w:tcPr>
          <w:p w14:paraId="3FF6AC2C"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116.7</w:t>
            </w:r>
          </w:p>
        </w:tc>
        <w:tc>
          <w:tcPr>
            <w:tcW w:w="1582" w:type="dxa"/>
            <w:shd w:val="clear" w:color="auto" w:fill="auto"/>
            <w:tcMar>
              <w:left w:w="57" w:type="dxa"/>
              <w:right w:w="57" w:type="dxa"/>
            </w:tcMar>
            <w:vAlign w:val="center"/>
          </w:tcPr>
          <w:p w14:paraId="7537DA30"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-14.5</w:t>
            </w:r>
          </w:p>
        </w:tc>
        <w:tc>
          <w:tcPr>
            <w:tcW w:w="1047" w:type="dxa"/>
            <w:shd w:val="clear" w:color="auto" w:fill="auto"/>
            <w:tcMar>
              <w:left w:w="57" w:type="dxa"/>
              <w:right w:w="57" w:type="dxa"/>
            </w:tcMar>
            <w:vAlign w:val="center"/>
          </w:tcPr>
          <w:p w14:paraId="7ABA6B34"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76F3D226" w14:textId="77777777" w:rsidTr="003348DE">
        <w:tc>
          <w:tcPr>
            <w:tcW w:w="9072" w:type="dxa"/>
            <w:gridSpan w:val="6"/>
            <w:shd w:val="clear" w:color="auto" w:fill="auto"/>
            <w:tcMar>
              <w:left w:w="57" w:type="dxa"/>
              <w:right w:w="57" w:type="dxa"/>
            </w:tcMar>
          </w:tcPr>
          <w:p w14:paraId="5AE0A3AC" w14:textId="77777777" w:rsidR="003E5BF5" w:rsidRPr="002C5B5D" w:rsidRDefault="003E5BF5" w:rsidP="00DE1921">
            <w:pPr>
              <w:pStyle w:val="TableTextLeftItalics"/>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Pr="002C5B5D">
              <w:rPr>
                <w:rFonts w:ascii="Arial" w:hAnsi="Arial" w:cs="Arial"/>
                <w:sz w:val="24"/>
                <w:szCs w:val="24"/>
              </w:rPr>
              <w:t xml:space="preserve"> The 2019-20 result is lower than the budget as Multi-Purpose Taxi Program trips were significantly reduced as a result of the coronavirus (COVID-19) response.</w:t>
            </w:r>
          </w:p>
        </w:tc>
      </w:tr>
    </w:tbl>
    <w:p w14:paraId="02D205C0" w14:textId="77777777" w:rsidR="003E5BF5" w:rsidRPr="002C5B5D" w:rsidRDefault="003E5BF5">
      <w:pPr>
        <w:pStyle w:val="Note"/>
        <w:rPr>
          <w:rFonts w:ascii="Arial" w:hAnsi="Arial" w:cs="Arial"/>
          <w:sz w:val="24"/>
          <w:szCs w:val="24"/>
        </w:rPr>
      </w:pPr>
      <w:r w:rsidRPr="002C5B5D">
        <w:rPr>
          <w:rFonts w:ascii="Arial" w:hAnsi="Arial" w:cs="Arial"/>
          <w:sz w:val="24"/>
          <w:szCs w:val="24"/>
        </w:rPr>
        <w:t>Notes:</w:t>
      </w:r>
    </w:p>
    <w:p w14:paraId="4E3359A9" w14:textId="77777777" w:rsidR="003E5BF5" w:rsidRPr="002C5B5D" w:rsidRDefault="003E5BF5" w:rsidP="00DE1921">
      <w:pPr>
        <w:pStyle w:val="Notenumber123"/>
        <w:numPr>
          <w:ilvl w:val="0"/>
          <w:numId w:val="0"/>
        </w:numPr>
        <w:ind w:left="113"/>
        <w:rPr>
          <w:rFonts w:ascii="Arial" w:hAnsi="Arial" w:cs="Arial"/>
          <w:sz w:val="24"/>
          <w:szCs w:val="24"/>
        </w:rPr>
      </w:pPr>
      <w:r w:rsidRPr="002C5B5D">
        <w:rPr>
          <w:rFonts w:ascii="Arial" w:hAnsi="Arial" w:cs="Arial"/>
          <w:sz w:val="24"/>
          <w:szCs w:val="24"/>
        </w:rPr>
        <w:sym w:font="Wingdings 2" w:char="F050"/>
      </w:r>
      <w:r w:rsidRPr="002C5B5D">
        <w:rPr>
          <w:rFonts w:ascii="Arial" w:hAnsi="Arial" w:cs="Arial"/>
          <w:sz w:val="24"/>
          <w:szCs w:val="24"/>
        </w:rPr>
        <w:t xml:space="preserve"> Performance target achieved or exceeded</w:t>
      </w:r>
    </w:p>
    <w:p w14:paraId="23038A1B" w14:textId="77777777" w:rsidR="003E5BF5" w:rsidRPr="002C5B5D" w:rsidRDefault="003E5BF5" w:rsidP="00DE1921">
      <w:pPr>
        <w:pStyle w:val="Notenumber123"/>
        <w:numPr>
          <w:ilvl w:val="0"/>
          <w:numId w:val="0"/>
        </w:numPr>
        <w:ind w:left="113"/>
        <w:rPr>
          <w:rFonts w:ascii="Arial" w:hAnsi="Arial" w:cs="Arial"/>
          <w:sz w:val="24"/>
          <w:szCs w:val="24"/>
        </w:rPr>
      </w:pPr>
      <w:r w:rsidRPr="002C5B5D">
        <w:rPr>
          <w:rFonts w:ascii="Arial" w:hAnsi="Arial" w:cs="Arial"/>
          <w:sz w:val="24"/>
          <w:szCs w:val="24"/>
        </w:rPr>
        <w:sym w:font="Wingdings 2" w:char="F099"/>
      </w:r>
      <w:r w:rsidRPr="002C5B5D">
        <w:rPr>
          <w:rFonts w:ascii="Arial" w:hAnsi="Arial" w:cs="Arial"/>
          <w:sz w:val="24"/>
          <w:szCs w:val="24"/>
        </w:rPr>
        <w:t xml:space="preserve"> Performance target not achieved – within 5 per cent or $50 million (cost measure only) variance</w:t>
      </w:r>
    </w:p>
    <w:p w14:paraId="59D5F2E4" w14:textId="77777777" w:rsidR="003E5BF5" w:rsidRPr="002C5B5D" w:rsidRDefault="003E5BF5" w:rsidP="00DE1921">
      <w:pPr>
        <w:pStyle w:val="Notenumber123"/>
        <w:numPr>
          <w:ilvl w:val="0"/>
          <w:numId w:val="0"/>
        </w:numPr>
        <w:ind w:left="340" w:hanging="227"/>
        <w:rPr>
          <w:rFonts w:ascii="Arial" w:hAnsi="Arial" w:cs="Arial"/>
          <w:sz w:val="24"/>
          <w:szCs w:val="24"/>
        </w:rPr>
      </w:pPr>
      <w:r w:rsidRPr="002C5B5D">
        <w:rPr>
          <w:rFonts w:ascii="Arial" w:hAnsi="Arial" w:cs="Arial"/>
          <w:sz w:val="24"/>
          <w:szCs w:val="24"/>
        </w:rPr>
        <w:sym w:font="Wingdings 2" w:char="F0A1"/>
      </w:r>
      <w:r w:rsidRPr="002C5B5D">
        <w:rPr>
          <w:rFonts w:ascii="Arial" w:hAnsi="Arial" w:cs="Arial"/>
          <w:sz w:val="24"/>
          <w:szCs w:val="24"/>
        </w:rPr>
        <w:t xml:space="preserve"> Performance target not achieved – exceeds 5 per cent or $50 million (cost measure only) variance</w:t>
      </w:r>
    </w:p>
    <w:p w14:paraId="032F8880" w14:textId="77777777" w:rsidR="003E5BF5" w:rsidRDefault="003E5BF5">
      <w:pPr>
        <w:rPr>
          <w:rFonts w:eastAsiaTheme="majorEastAsia" w:cstheme="majorBidi"/>
          <w:color w:val="00BAC0"/>
        </w:rPr>
      </w:pPr>
      <w:r>
        <w:rPr>
          <w:color w:val="00BAC0"/>
        </w:rPr>
        <w:br w:type="page"/>
      </w:r>
    </w:p>
    <w:p w14:paraId="519449AD" w14:textId="77777777" w:rsidR="003E5BF5" w:rsidRPr="008009A5" w:rsidRDefault="003E5BF5" w:rsidP="00EF5131">
      <w:pPr>
        <w:pStyle w:val="Heading5"/>
      </w:pPr>
      <w:r w:rsidRPr="008009A5">
        <w:lastRenderedPageBreak/>
        <w:t>Transport Safety</w:t>
      </w:r>
      <w:r>
        <w:t xml:space="preserve"> and</w:t>
      </w:r>
      <w:r w:rsidRPr="008009A5">
        <w:t xml:space="preserve"> Security </w:t>
      </w:r>
    </w:p>
    <w:p w14:paraId="40DB4E03" w14:textId="77777777" w:rsidR="003E5BF5" w:rsidRPr="002F50CF" w:rsidRDefault="003E5BF5" w:rsidP="00091232">
      <w:pPr>
        <w:pStyle w:val="aaatyping"/>
      </w:pPr>
      <w:r>
        <w:t>This output contributes to the department’s objective by delivering a range of initiatives and regulatory activities to improve safety and security on Victoria’s transport network.</w:t>
      </w:r>
    </w:p>
    <w:p w14:paraId="384CA39B" w14:textId="77777777" w:rsidR="003E5BF5" w:rsidRPr="002C5B5D" w:rsidRDefault="003E5BF5" w:rsidP="00CF74EB">
      <w:pPr>
        <w:pStyle w:val="TableHeader"/>
      </w:pPr>
      <w:r w:rsidRPr="002C5B5D">
        <w:t>Transport Safety and Security</w:t>
      </w:r>
    </w:p>
    <w:tbl>
      <w:tblPr>
        <w:tblStyle w:val="TableGrid"/>
        <w:tblW w:w="9072" w:type="dxa"/>
        <w:tblCellMar>
          <w:left w:w="28" w:type="dxa"/>
          <w:right w:w="28" w:type="dxa"/>
        </w:tblCellMar>
        <w:tblLook w:val="04A0" w:firstRow="1" w:lastRow="0" w:firstColumn="1" w:lastColumn="0" w:noHBand="0" w:noVBand="1"/>
      </w:tblPr>
      <w:tblGrid>
        <w:gridCol w:w="3252"/>
        <w:gridCol w:w="1102"/>
        <w:gridCol w:w="1069"/>
        <w:gridCol w:w="1029"/>
        <w:gridCol w:w="1582"/>
        <w:gridCol w:w="1038"/>
      </w:tblGrid>
      <w:tr w:rsidR="003E5BF5" w:rsidRPr="002C5B5D" w14:paraId="644FBFF9" w14:textId="77777777" w:rsidTr="003348DE">
        <w:trPr>
          <w:trHeight w:val="340"/>
          <w:tblHeader/>
        </w:trPr>
        <w:tc>
          <w:tcPr>
            <w:tcW w:w="3456" w:type="dxa"/>
            <w:shd w:val="clear" w:color="auto" w:fill="auto"/>
            <w:tcMar>
              <w:left w:w="57" w:type="dxa"/>
              <w:right w:w="57" w:type="dxa"/>
            </w:tcMar>
          </w:tcPr>
          <w:p w14:paraId="6F2D34F7" w14:textId="77777777" w:rsidR="003E5BF5" w:rsidRPr="002C5B5D" w:rsidRDefault="003E5BF5" w:rsidP="00DE1921">
            <w:pPr>
              <w:pStyle w:val="TableTextLeftBold"/>
              <w:rPr>
                <w:rFonts w:ascii="Arial" w:hAnsi="Arial" w:cs="Arial"/>
                <w:sz w:val="24"/>
                <w:szCs w:val="24"/>
              </w:rPr>
            </w:pPr>
            <w:r w:rsidRPr="002C5B5D">
              <w:rPr>
                <w:rFonts w:ascii="Arial" w:hAnsi="Arial" w:cs="Arial"/>
                <w:sz w:val="24"/>
                <w:szCs w:val="24"/>
              </w:rPr>
              <w:t>Performance measures</w:t>
            </w:r>
          </w:p>
        </w:tc>
        <w:tc>
          <w:tcPr>
            <w:tcW w:w="1070" w:type="dxa"/>
            <w:shd w:val="clear" w:color="auto" w:fill="auto"/>
            <w:tcMar>
              <w:left w:w="57" w:type="dxa"/>
              <w:right w:w="57" w:type="dxa"/>
            </w:tcMar>
          </w:tcPr>
          <w:p w14:paraId="3455E8C2"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unit of measure</w:t>
            </w:r>
          </w:p>
        </w:tc>
        <w:tc>
          <w:tcPr>
            <w:tcW w:w="1070" w:type="dxa"/>
            <w:shd w:val="clear" w:color="auto" w:fill="auto"/>
            <w:tcMar>
              <w:left w:w="57" w:type="dxa"/>
              <w:right w:w="57" w:type="dxa"/>
            </w:tcMar>
          </w:tcPr>
          <w:p w14:paraId="5ECF2C39"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actual</w:t>
            </w:r>
          </w:p>
        </w:tc>
        <w:tc>
          <w:tcPr>
            <w:tcW w:w="1070" w:type="dxa"/>
            <w:shd w:val="clear" w:color="auto" w:fill="auto"/>
            <w:tcMar>
              <w:left w:w="57" w:type="dxa"/>
              <w:right w:w="57" w:type="dxa"/>
            </w:tcMar>
          </w:tcPr>
          <w:p w14:paraId="4CE06710"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target</w:t>
            </w:r>
          </w:p>
        </w:tc>
        <w:tc>
          <w:tcPr>
            <w:tcW w:w="1336" w:type="dxa"/>
            <w:shd w:val="clear" w:color="auto" w:fill="auto"/>
            <w:tcMar>
              <w:left w:w="57" w:type="dxa"/>
              <w:right w:w="57" w:type="dxa"/>
            </w:tcMar>
          </w:tcPr>
          <w:p w14:paraId="57DEC147"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Performance variation (%)</w:t>
            </w:r>
          </w:p>
        </w:tc>
        <w:tc>
          <w:tcPr>
            <w:tcW w:w="1070" w:type="dxa"/>
            <w:shd w:val="clear" w:color="auto" w:fill="auto"/>
            <w:tcMar>
              <w:left w:w="57" w:type="dxa"/>
              <w:right w:w="57" w:type="dxa"/>
            </w:tcMar>
          </w:tcPr>
          <w:p w14:paraId="17A9B349"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Result</w:t>
            </w:r>
          </w:p>
        </w:tc>
      </w:tr>
      <w:tr w:rsidR="003E5BF5" w:rsidRPr="002C5B5D" w14:paraId="19E307CC" w14:textId="77777777" w:rsidTr="003348DE">
        <w:trPr>
          <w:trHeight w:val="340"/>
        </w:trPr>
        <w:tc>
          <w:tcPr>
            <w:tcW w:w="3456" w:type="dxa"/>
            <w:shd w:val="clear" w:color="auto" w:fill="auto"/>
            <w:tcMar>
              <w:left w:w="57" w:type="dxa"/>
              <w:right w:w="57" w:type="dxa"/>
            </w:tcMar>
            <w:vAlign w:val="center"/>
          </w:tcPr>
          <w:p w14:paraId="6284A618"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Quantity</w:t>
            </w:r>
          </w:p>
        </w:tc>
        <w:tc>
          <w:tcPr>
            <w:tcW w:w="1070" w:type="dxa"/>
            <w:shd w:val="clear" w:color="auto" w:fill="auto"/>
            <w:tcMar>
              <w:left w:w="57" w:type="dxa"/>
              <w:right w:w="57" w:type="dxa"/>
            </w:tcMar>
            <w:vAlign w:val="center"/>
          </w:tcPr>
          <w:p w14:paraId="15E4E37A"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08F7835C"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1A771134"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64DBB4E1"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5BB71665" w14:textId="77777777" w:rsidR="003E5BF5" w:rsidRPr="002C5B5D" w:rsidRDefault="003E5BF5" w:rsidP="00DE1921">
            <w:pPr>
              <w:pStyle w:val="TableTextRight"/>
              <w:rPr>
                <w:rFonts w:ascii="Arial" w:hAnsi="Arial" w:cs="Arial"/>
                <w:sz w:val="24"/>
                <w:szCs w:val="24"/>
              </w:rPr>
            </w:pPr>
          </w:p>
        </w:tc>
      </w:tr>
      <w:tr w:rsidR="003E5BF5" w:rsidRPr="002C5B5D" w14:paraId="76B821D2" w14:textId="77777777" w:rsidTr="003348DE">
        <w:trPr>
          <w:trHeight w:val="340"/>
        </w:trPr>
        <w:tc>
          <w:tcPr>
            <w:tcW w:w="3456" w:type="dxa"/>
            <w:shd w:val="clear" w:color="auto" w:fill="auto"/>
            <w:tcMar>
              <w:left w:w="57" w:type="dxa"/>
              <w:right w:w="57" w:type="dxa"/>
            </w:tcMar>
          </w:tcPr>
          <w:p w14:paraId="35AECE30"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Accredited State maritime training providers audited in accordance with risk-based annual audit plan</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0E28E04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5131D42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8</w:t>
            </w:r>
            <w:r w:rsidRPr="002C5B5D">
              <w:rPr>
                <w:rFonts w:ascii="Arial" w:hAnsi="Arial" w:cs="Arial"/>
                <w:sz w:val="24"/>
                <w:szCs w:val="24"/>
              </w:rPr>
              <w:fldChar w:fldCharType="end"/>
            </w:r>
          </w:p>
        </w:tc>
        <w:tc>
          <w:tcPr>
            <w:tcW w:w="1070" w:type="dxa"/>
            <w:shd w:val="clear" w:color="auto" w:fill="auto"/>
            <w:tcMar>
              <w:left w:w="57" w:type="dxa"/>
              <w:right w:w="57" w:type="dxa"/>
            </w:tcMar>
          </w:tcPr>
          <w:p w14:paraId="7FA4780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23</w:t>
            </w:r>
            <w:r w:rsidRPr="002C5B5D">
              <w:rPr>
                <w:rFonts w:ascii="Arial" w:hAnsi="Arial" w:cs="Arial"/>
                <w:sz w:val="24"/>
                <w:szCs w:val="24"/>
              </w:rPr>
              <w:fldChar w:fldCharType="end"/>
            </w:r>
          </w:p>
        </w:tc>
        <w:tc>
          <w:tcPr>
            <w:tcW w:w="1336" w:type="dxa"/>
            <w:shd w:val="clear" w:color="auto" w:fill="auto"/>
            <w:tcMar>
              <w:left w:w="57" w:type="dxa"/>
              <w:right w:w="57" w:type="dxa"/>
            </w:tcMar>
          </w:tcPr>
          <w:p w14:paraId="639E075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-65.2</w:t>
            </w:r>
            <w:r w:rsidRPr="002C5B5D">
              <w:rPr>
                <w:rFonts w:ascii="Arial" w:hAnsi="Arial" w:cs="Arial"/>
                <w:sz w:val="24"/>
                <w:szCs w:val="24"/>
              </w:rPr>
              <w:fldChar w:fldCharType="end"/>
            </w:r>
          </w:p>
        </w:tc>
        <w:tc>
          <w:tcPr>
            <w:tcW w:w="1070" w:type="dxa"/>
            <w:shd w:val="clear" w:color="auto" w:fill="auto"/>
            <w:tcMar>
              <w:left w:w="57" w:type="dxa"/>
              <w:right w:w="57" w:type="dxa"/>
            </w:tcMar>
          </w:tcPr>
          <w:p w14:paraId="408CDAF1"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56D01982" w14:textId="77777777" w:rsidTr="003348DE">
        <w:tc>
          <w:tcPr>
            <w:tcW w:w="9072" w:type="dxa"/>
            <w:gridSpan w:val="6"/>
            <w:shd w:val="clear" w:color="auto" w:fill="auto"/>
            <w:tcMar>
              <w:left w:w="57" w:type="dxa"/>
              <w:right w:w="57" w:type="dxa"/>
            </w:tcMar>
          </w:tcPr>
          <w:p w14:paraId="10F66011"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the bushfires in Gippsland and the impact of the coronavirus (COVID-19) response on in-field work and the closure of accredited training providers, not all scheduled audits could be undertaken.</w:t>
            </w:r>
            <w:r w:rsidRPr="002C5B5D">
              <w:rPr>
                <w:rFonts w:ascii="Arial" w:hAnsi="Arial" w:cs="Arial"/>
                <w:i/>
                <w:sz w:val="24"/>
                <w:szCs w:val="24"/>
              </w:rPr>
              <w:fldChar w:fldCharType="end"/>
            </w:r>
          </w:p>
        </w:tc>
      </w:tr>
      <w:tr w:rsidR="003E5BF5" w:rsidRPr="002C5B5D" w14:paraId="2888554E" w14:textId="77777777" w:rsidTr="003348DE">
        <w:trPr>
          <w:trHeight w:val="340"/>
        </w:trPr>
        <w:tc>
          <w:tcPr>
            <w:tcW w:w="3456" w:type="dxa"/>
            <w:shd w:val="clear" w:color="auto" w:fill="auto"/>
            <w:tcMar>
              <w:left w:w="57" w:type="dxa"/>
              <w:right w:w="57" w:type="dxa"/>
            </w:tcMar>
          </w:tcPr>
          <w:p w14:paraId="086F65F3"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Regulatory interventions conducted on high-risk or accredited rail transport operators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34A6C6F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7D2BA13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Not available</w:t>
            </w:r>
            <w:r w:rsidRPr="002C5B5D">
              <w:rPr>
                <w:rFonts w:ascii="Arial" w:hAnsi="Arial" w:cs="Arial"/>
                <w:sz w:val="24"/>
                <w:szCs w:val="24"/>
              </w:rPr>
              <w:fldChar w:fldCharType="end"/>
            </w:r>
          </w:p>
        </w:tc>
        <w:tc>
          <w:tcPr>
            <w:tcW w:w="1070" w:type="dxa"/>
            <w:shd w:val="clear" w:color="auto" w:fill="auto"/>
            <w:tcMar>
              <w:left w:w="57" w:type="dxa"/>
              <w:right w:w="57" w:type="dxa"/>
            </w:tcMar>
          </w:tcPr>
          <w:p w14:paraId="0DD55AC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80</w:t>
            </w:r>
            <w:r w:rsidRPr="002C5B5D">
              <w:rPr>
                <w:rFonts w:ascii="Arial" w:hAnsi="Arial" w:cs="Arial"/>
                <w:sz w:val="24"/>
                <w:szCs w:val="24"/>
              </w:rPr>
              <w:fldChar w:fldCharType="end"/>
            </w:r>
          </w:p>
        </w:tc>
        <w:tc>
          <w:tcPr>
            <w:tcW w:w="1336" w:type="dxa"/>
            <w:shd w:val="clear" w:color="auto" w:fill="auto"/>
            <w:tcMar>
              <w:left w:w="57" w:type="dxa"/>
              <w:right w:w="57" w:type="dxa"/>
            </w:tcMar>
          </w:tcPr>
          <w:p w14:paraId="4D08785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N/A</w:t>
            </w:r>
            <w:r w:rsidRPr="002C5B5D">
              <w:rPr>
                <w:rFonts w:ascii="Arial" w:hAnsi="Arial" w:cs="Arial"/>
                <w:sz w:val="24"/>
                <w:szCs w:val="24"/>
              </w:rPr>
              <w:fldChar w:fldCharType="end"/>
            </w:r>
          </w:p>
        </w:tc>
        <w:tc>
          <w:tcPr>
            <w:tcW w:w="1070" w:type="dxa"/>
            <w:shd w:val="clear" w:color="auto" w:fill="auto"/>
            <w:tcMar>
              <w:left w:w="57" w:type="dxa"/>
              <w:right w:w="57" w:type="dxa"/>
            </w:tcMar>
          </w:tcPr>
          <w:p w14:paraId="58FE22C2"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t>-</w:t>
            </w:r>
          </w:p>
        </w:tc>
      </w:tr>
      <w:tr w:rsidR="003E5BF5" w:rsidRPr="002C5B5D" w14:paraId="772F499A" w14:textId="77777777" w:rsidTr="003348DE">
        <w:tc>
          <w:tcPr>
            <w:tcW w:w="9072" w:type="dxa"/>
            <w:gridSpan w:val="6"/>
            <w:shd w:val="clear" w:color="auto" w:fill="auto"/>
            <w:tcMar>
              <w:left w:w="57" w:type="dxa"/>
              <w:right w:w="57" w:type="dxa"/>
            </w:tcMar>
          </w:tcPr>
          <w:p w14:paraId="113D493C"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t>Rail safety activities were transferred to the Office of the National Rail Safety Regulator on 2 December 2019.</w:t>
            </w:r>
          </w:p>
        </w:tc>
      </w:tr>
      <w:tr w:rsidR="003E5BF5" w:rsidRPr="002C5B5D" w14:paraId="37FC58AE" w14:textId="77777777" w:rsidTr="003348DE">
        <w:trPr>
          <w:trHeight w:val="340"/>
        </w:trPr>
        <w:tc>
          <w:tcPr>
            <w:tcW w:w="3456" w:type="dxa"/>
            <w:shd w:val="clear" w:color="auto" w:fill="auto"/>
            <w:tcMar>
              <w:left w:w="57" w:type="dxa"/>
              <w:right w:w="57" w:type="dxa"/>
            </w:tcMar>
          </w:tcPr>
          <w:p w14:paraId="6C278BBC"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Risk-based vessel inspections undertaken to determine compliance with State marine safety law</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44288FA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631ACF5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457</w:t>
            </w:r>
            <w:r w:rsidRPr="002C5B5D">
              <w:rPr>
                <w:rFonts w:ascii="Arial" w:hAnsi="Arial" w:cs="Arial"/>
                <w:sz w:val="24"/>
                <w:szCs w:val="24"/>
              </w:rPr>
              <w:fldChar w:fldCharType="end"/>
            </w:r>
          </w:p>
        </w:tc>
        <w:tc>
          <w:tcPr>
            <w:tcW w:w="1070" w:type="dxa"/>
            <w:shd w:val="clear" w:color="auto" w:fill="auto"/>
            <w:tcMar>
              <w:left w:w="57" w:type="dxa"/>
              <w:right w:w="57" w:type="dxa"/>
            </w:tcMar>
          </w:tcPr>
          <w:p w14:paraId="1691B4E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500</w:t>
            </w:r>
            <w:r w:rsidRPr="002C5B5D">
              <w:rPr>
                <w:rFonts w:ascii="Arial" w:hAnsi="Arial" w:cs="Arial"/>
                <w:sz w:val="24"/>
                <w:szCs w:val="24"/>
              </w:rPr>
              <w:fldChar w:fldCharType="end"/>
            </w:r>
          </w:p>
        </w:tc>
        <w:tc>
          <w:tcPr>
            <w:tcW w:w="1336" w:type="dxa"/>
            <w:shd w:val="clear" w:color="auto" w:fill="auto"/>
            <w:tcMar>
              <w:left w:w="57" w:type="dxa"/>
              <w:right w:w="57" w:type="dxa"/>
            </w:tcMar>
          </w:tcPr>
          <w:p w14:paraId="6ED6738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-8.6</w:t>
            </w:r>
            <w:r w:rsidRPr="002C5B5D">
              <w:rPr>
                <w:rFonts w:ascii="Arial" w:hAnsi="Arial" w:cs="Arial"/>
                <w:sz w:val="24"/>
                <w:szCs w:val="24"/>
              </w:rPr>
              <w:fldChar w:fldCharType="end"/>
            </w:r>
          </w:p>
        </w:tc>
        <w:tc>
          <w:tcPr>
            <w:tcW w:w="1070" w:type="dxa"/>
            <w:shd w:val="clear" w:color="auto" w:fill="auto"/>
            <w:tcMar>
              <w:left w:w="57" w:type="dxa"/>
              <w:right w:w="57" w:type="dxa"/>
            </w:tcMar>
          </w:tcPr>
          <w:p w14:paraId="341C2D23"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268037AB" w14:textId="77777777" w:rsidTr="003348DE">
        <w:tc>
          <w:tcPr>
            <w:tcW w:w="9072" w:type="dxa"/>
            <w:gridSpan w:val="6"/>
            <w:shd w:val="clear" w:color="auto" w:fill="auto"/>
            <w:tcMar>
              <w:left w:w="57" w:type="dxa"/>
              <w:right w:w="57" w:type="dxa"/>
            </w:tcMar>
          </w:tcPr>
          <w:p w14:paraId="66E2D131"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t>Due to the reduction in boating activities on Victorian waters following the coronavirus (COVID-19) response</w:t>
            </w:r>
            <w:r w:rsidRPr="002C5B5D">
              <w:rPr>
                <w:rFonts w:ascii="Arial" w:hAnsi="Arial" w:cs="Arial"/>
                <w:sz w:val="24"/>
                <w:szCs w:val="24"/>
              </w:rPr>
              <w:t xml:space="preserve"> </w:t>
            </w:r>
          </w:p>
        </w:tc>
      </w:tr>
      <w:tr w:rsidR="003E5BF5" w:rsidRPr="002C5B5D" w14:paraId="7EA15310" w14:textId="77777777" w:rsidTr="003348DE">
        <w:trPr>
          <w:trHeight w:val="340"/>
        </w:trPr>
        <w:tc>
          <w:tcPr>
            <w:tcW w:w="3456" w:type="dxa"/>
            <w:shd w:val="clear" w:color="auto" w:fill="auto"/>
            <w:tcMar>
              <w:left w:w="57" w:type="dxa"/>
              <w:right w:w="57" w:type="dxa"/>
            </w:tcMar>
          </w:tcPr>
          <w:p w14:paraId="1FE4600F"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Safety audits of bus operators conducted in accordance with Bus Safety Act 2009 (Vic) requirements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1745D72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6D5A988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368</w:t>
            </w:r>
            <w:r w:rsidRPr="002C5B5D">
              <w:rPr>
                <w:rFonts w:ascii="Arial" w:hAnsi="Arial" w:cs="Arial"/>
                <w:sz w:val="24"/>
                <w:szCs w:val="24"/>
              </w:rPr>
              <w:fldChar w:fldCharType="end"/>
            </w:r>
          </w:p>
        </w:tc>
        <w:tc>
          <w:tcPr>
            <w:tcW w:w="1070" w:type="dxa"/>
            <w:shd w:val="clear" w:color="auto" w:fill="auto"/>
            <w:tcMar>
              <w:left w:w="57" w:type="dxa"/>
              <w:right w:w="57" w:type="dxa"/>
            </w:tcMar>
          </w:tcPr>
          <w:p w14:paraId="479A4BD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560</w:t>
            </w:r>
            <w:r w:rsidRPr="002C5B5D">
              <w:rPr>
                <w:rFonts w:ascii="Arial" w:hAnsi="Arial" w:cs="Arial"/>
                <w:sz w:val="24"/>
                <w:szCs w:val="24"/>
              </w:rPr>
              <w:fldChar w:fldCharType="end"/>
            </w:r>
          </w:p>
        </w:tc>
        <w:tc>
          <w:tcPr>
            <w:tcW w:w="1336" w:type="dxa"/>
            <w:shd w:val="clear" w:color="auto" w:fill="auto"/>
            <w:tcMar>
              <w:left w:w="57" w:type="dxa"/>
              <w:right w:w="57" w:type="dxa"/>
            </w:tcMar>
          </w:tcPr>
          <w:p w14:paraId="055C0DA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-34.3</w:t>
            </w:r>
            <w:r w:rsidRPr="002C5B5D">
              <w:rPr>
                <w:rFonts w:ascii="Arial" w:hAnsi="Arial" w:cs="Arial"/>
                <w:sz w:val="24"/>
                <w:szCs w:val="24"/>
              </w:rPr>
              <w:fldChar w:fldCharType="end"/>
            </w:r>
          </w:p>
        </w:tc>
        <w:tc>
          <w:tcPr>
            <w:tcW w:w="1070" w:type="dxa"/>
            <w:shd w:val="clear" w:color="auto" w:fill="auto"/>
            <w:tcMar>
              <w:left w:w="57" w:type="dxa"/>
              <w:right w:w="57" w:type="dxa"/>
            </w:tcMar>
          </w:tcPr>
          <w:p w14:paraId="3784D9B9"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2C504910" w14:textId="77777777" w:rsidTr="003348DE">
        <w:tc>
          <w:tcPr>
            <w:tcW w:w="9072" w:type="dxa"/>
            <w:gridSpan w:val="6"/>
            <w:shd w:val="clear" w:color="auto" w:fill="auto"/>
            <w:tcMar>
              <w:left w:w="57" w:type="dxa"/>
              <w:right w:w="57" w:type="dxa"/>
            </w:tcMar>
          </w:tcPr>
          <w:p w14:paraId="0DFC8A3F"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a change in the risk parameters guiding the programming of audits, TSV undertook more time intensive and complex audits of higher risk operators resulting in less audits being undertaken.</w:t>
            </w:r>
            <w:r w:rsidRPr="002C5B5D">
              <w:rPr>
                <w:rFonts w:ascii="Arial" w:hAnsi="Arial" w:cs="Arial"/>
                <w:i/>
                <w:sz w:val="24"/>
                <w:szCs w:val="24"/>
              </w:rPr>
              <w:fldChar w:fldCharType="end"/>
            </w:r>
          </w:p>
        </w:tc>
      </w:tr>
      <w:tr w:rsidR="003E5BF5" w:rsidRPr="002C5B5D" w14:paraId="63F0F757" w14:textId="77777777" w:rsidTr="003348DE">
        <w:trPr>
          <w:trHeight w:val="340"/>
        </w:trPr>
        <w:tc>
          <w:tcPr>
            <w:tcW w:w="3456" w:type="dxa"/>
            <w:shd w:val="clear" w:color="auto" w:fill="auto"/>
            <w:tcMar>
              <w:left w:w="57" w:type="dxa"/>
              <w:right w:w="57" w:type="dxa"/>
            </w:tcMar>
          </w:tcPr>
          <w:p w14:paraId="1F0FAACE"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Sector Resilience Plans endorsed by State Crisis and Resilience Council</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371858F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3C198AB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w:t>
            </w:r>
            <w:r w:rsidRPr="002C5B5D">
              <w:rPr>
                <w:rFonts w:ascii="Arial" w:hAnsi="Arial" w:cs="Arial"/>
                <w:sz w:val="24"/>
                <w:szCs w:val="24"/>
              </w:rPr>
              <w:fldChar w:fldCharType="end"/>
            </w:r>
          </w:p>
        </w:tc>
        <w:tc>
          <w:tcPr>
            <w:tcW w:w="1070" w:type="dxa"/>
            <w:shd w:val="clear" w:color="auto" w:fill="auto"/>
            <w:tcMar>
              <w:left w:w="57" w:type="dxa"/>
              <w:right w:w="57" w:type="dxa"/>
            </w:tcMar>
          </w:tcPr>
          <w:p w14:paraId="3AEB74E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w:t>
            </w:r>
            <w:r w:rsidRPr="002C5B5D">
              <w:rPr>
                <w:rFonts w:ascii="Arial" w:hAnsi="Arial" w:cs="Arial"/>
                <w:sz w:val="24"/>
                <w:szCs w:val="24"/>
              </w:rPr>
              <w:fldChar w:fldCharType="end"/>
            </w:r>
          </w:p>
        </w:tc>
        <w:tc>
          <w:tcPr>
            <w:tcW w:w="1336" w:type="dxa"/>
            <w:shd w:val="clear" w:color="auto" w:fill="auto"/>
            <w:tcMar>
              <w:left w:w="57" w:type="dxa"/>
              <w:right w:w="57" w:type="dxa"/>
            </w:tcMar>
          </w:tcPr>
          <w:p w14:paraId="75F0CDB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70" w:type="dxa"/>
            <w:shd w:val="clear" w:color="auto" w:fill="auto"/>
            <w:tcMar>
              <w:left w:w="57" w:type="dxa"/>
              <w:right w:w="57" w:type="dxa"/>
            </w:tcMar>
          </w:tcPr>
          <w:p w14:paraId="32117CE4"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1541A0D5" w14:textId="77777777" w:rsidTr="003348DE">
        <w:trPr>
          <w:trHeight w:val="340"/>
        </w:trPr>
        <w:tc>
          <w:tcPr>
            <w:tcW w:w="3456" w:type="dxa"/>
            <w:shd w:val="clear" w:color="auto" w:fill="auto"/>
            <w:tcMar>
              <w:left w:w="57" w:type="dxa"/>
              <w:right w:w="57" w:type="dxa"/>
            </w:tcMar>
          </w:tcPr>
          <w:p w14:paraId="2E4DAD82"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Security and emergency management exercises coordinated or contributed to by the Department</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7506131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0517426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9</w:t>
            </w:r>
            <w:r w:rsidRPr="002C5B5D">
              <w:rPr>
                <w:rFonts w:ascii="Arial" w:hAnsi="Arial" w:cs="Arial"/>
                <w:sz w:val="24"/>
                <w:szCs w:val="24"/>
              </w:rPr>
              <w:fldChar w:fldCharType="end"/>
            </w:r>
          </w:p>
        </w:tc>
        <w:tc>
          <w:tcPr>
            <w:tcW w:w="1070" w:type="dxa"/>
            <w:shd w:val="clear" w:color="auto" w:fill="auto"/>
            <w:tcMar>
              <w:left w:w="57" w:type="dxa"/>
              <w:right w:w="57" w:type="dxa"/>
            </w:tcMar>
          </w:tcPr>
          <w:p w14:paraId="685B5CB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9</w:t>
            </w:r>
            <w:r w:rsidRPr="002C5B5D">
              <w:rPr>
                <w:rFonts w:ascii="Arial" w:hAnsi="Arial" w:cs="Arial"/>
                <w:sz w:val="24"/>
                <w:szCs w:val="24"/>
              </w:rPr>
              <w:fldChar w:fldCharType="end"/>
            </w:r>
          </w:p>
        </w:tc>
        <w:tc>
          <w:tcPr>
            <w:tcW w:w="1336" w:type="dxa"/>
            <w:shd w:val="clear" w:color="auto" w:fill="auto"/>
            <w:tcMar>
              <w:left w:w="57" w:type="dxa"/>
              <w:right w:w="57" w:type="dxa"/>
            </w:tcMar>
          </w:tcPr>
          <w:p w14:paraId="140160A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70" w:type="dxa"/>
            <w:shd w:val="clear" w:color="auto" w:fill="auto"/>
            <w:tcMar>
              <w:left w:w="57" w:type="dxa"/>
              <w:right w:w="57" w:type="dxa"/>
            </w:tcMar>
          </w:tcPr>
          <w:p w14:paraId="13E6B886"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784E9CDD" w14:textId="77777777" w:rsidTr="003348DE">
        <w:trPr>
          <w:trHeight w:val="340"/>
        </w:trPr>
        <w:tc>
          <w:tcPr>
            <w:tcW w:w="3456" w:type="dxa"/>
            <w:shd w:val="clear" w:color="auto" w:fill="auto"/>
            <w:tcMar>
              <w:left w:w="57" w:type="dxa"/>
              <w:right w:w="57" w:type="dxa"/>
            </w:tcMar>
          </w:tcPr>
          <w:p w14:paraId="11C3CF0B"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 xml:space="preserve">Transport and marine safety investigations: proportion of notified accidents with passenger fatalities and/or </w:t>
            </w:r>
            <w:r w:rsidRPr="002C5B5D">
              <w:rPr>
                <w:rFonts w:ascii="Arial" w:hAnsi="Arial" w:cs="Arial"/>
                <w:sz w:val="24"/>
                <w:szCs w:val="24"/>
              </w:rPr>
              <w:lastRenderedPageBreak/>
              <w:t>multiple serious passenger injuries investigated</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1FEA8D4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lastRenderedPageBreak/>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043B6E3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66</w:t>
            </w:r>
            <w:r w:rsidRPr="002C5B5D">
              <w:rPr>
                <w:rFonts w:ascii="Arial" w:hAnsi="Arial" w:cs="Arial"/>
                <w:sz w:val="24"/>
                <w:szCs w:val="24"/>
              </w:rPr>
              <w:fldChar w:fldCharType="end"/>
            </w:r>
          </w:p>
        </w:tc>
        <w:tc>
          <w:tcPr>
            <w:tcW w:w="1070" w:type="dxa"/>
            <w:shd w:val="clear" w:color="auto" w:fill="auto"/>
            <w:tcMar>
              <w:left w:w="57" w:type="dxa"/>
              <w:right w:w="57" w:type="dxa"/>
            </w:tcMar>
          </w:tcPr>
          <w:p w14:paraId="76FFB9A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336" w:type="dxa"/>
            <w:shd w:val="clear" w:color="auto" w:fill="auto"/>
            <w:tcMar>
              <w:left w:w="57" w:type="dxa"/>
              <w:right w:w="57" w:type="dxa"/>
            </w:tcMar>
          </w:tcPr>
          <w:p w14:paraId="4B82F43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-34.0</w:t>
            </w:r>
            <w:r w:rsidRPr="002C5B5D">
              <w:rPr>
                <w:rFonts w:ascii="Arial" w:hAnsi="Arial" w:cs="Arial"/>
                <w:sz w:val="24"/>
                <w:szCs w:val="24"/>
              </w:rPr>
              <w:fldChar w:fldCharType="end"/>
            </w:r>
          </w:p>
        </w:tc>
        <w:tc>
          <w:tcPr>
            <w:tcW w:w="1070" w:type="dxa"/>
            <w:shd w:val="clear" w:color="auto" w:fill="auto"/>
            <w:tcMar>
              <w:left w:w="57" w:type="dxa"/>
              <w:right w:w="57" w:type="dxa"/>
            </w:tcMar>
          </w:tcPr>
          <w:p w14:paraId="79DEED9D"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34058881" w14:textId="77777777" w:rsidTr="003348DE">
        <w:tc>
          <w:tcPr>
            <w:tcW w:w="9072" w:type="dxa"/>
            <w:gridSpan w:val="6"/>
            <w:shd w:val="clear" w:color="auto" w:fill="auto"/>
            <w:tcMar>
              <w:left w:w="57" w:type="dxa"/>
              <w:right w:w="57" w:type="dxa"/>
            </w:tcMar>
          </w:tcPr>
          <w:p w14:paraId="7AE4BBCC"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 xml:space="preserve">Due to a number of fatal or serious traffic accidents investigated by other agencies, not the Chief Investigator. </w:t>
            </w:r>
            <w:r w:rsidRPr="002C5B5D">
              <w:rPr>
                <w:rFonts w:ascii="Arial" w:hAnsi="Arial" w:cs="Arial"/>
                <w:i/>
                <w:sz w:val="24"/>
                <w:szCs w:val="24"/>
              </w:rPr>
              <w:fldChar w:fldCharType="end"/>
            </w:r>
          </w:p>
        </w:tc>
      </w:tr>
      <w:tr w:rsidR="003E5BF5" w:rsidRPr="002C5B5D" w14:paraId="6A4111E3" w14:textId="77777777" w:rsidTr="003348DE">
        <w:trPr>
          <w:trHeight w:val="340"/>
        </w:trPr>
        <w:tc>
          <w:tcPr>
            <w:tcW w:w="3456" w:type="dxa"/>
            <w:shd w:val="clear" w:color="auto" w:fill="auto"/>
            <w:tcMar>
              <w:left w:w="57" w:type="dxa"/>
              <w:right w:w="57" w:type="dxa"/>
            </w:tcMar>
          </w:tcPr>
          <w:p w14:paraId="53529F65"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Transport safety regulation: rail safety audits/compliance inspections conducted in accordance with legislative requirements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23B9BA1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2723BF8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Not available</w:t>
            </w:r>
            <w:r w:rsidRPr="002C5B5D">
              <w:rPr>
                <w:rFonts w:ascii="Arial" w:hAnsi="Arial" w:cs="Arial"/>
                <w:sz w:val="24"/>
                <w:szCs w:val="24"/>
              </w:rPr>
              <w:fldChar w:fldCharType="end"/>
            </w:r>
          </w:p>
        </w:tc>
        <w:tc>
          <w:tcPr>
            <w:tcW w:w="1070" w:type="dxa"/>
            <w:shd w:val="clear" w:color="auto" w:fill="auto"/>
            <w:tcMar>
              <w:left w:w="57" w:type="dxa"/>
              <w:right w:w="57" w:type="dxa"/>
            </w:tcMar>
          </w:tcPr>
          <w:p w14:paraId="217724A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336" w:type="dxa"/>
            <w:shd w:val="clear" w:color="auto" w:fill="auto"/>
            <w:tcMar>
              <w:left w:w="57" w:type="dxa"/>
              <w:right w:w="57" w:type="dxa"/>
            </w:tcMar>
          </w:tcPr>
          <w:p w14:paraId="72C55A7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N/A</w:t>
            </w:r>
            <w:r w:rsidRPr="002C5B5D">
              <w:rPr>
                <w:rFonts w:ascii="Arial" w:hAnsi="Arial" w:cs="Arial"/>
                <w:sz w:val="24"/>
                <w:szCs w:val="24"/>
              </w:rPr>
              <w:fldChar w:fldCharType="end"/>
            </w:r>
          </w:p>
        </w:tc>
        <w:tc>
          <w:tcPr>
            <w:tcW w:w="1070" w:type="dxa"/>
            <w:shd w:val="clear" w:color="auto" w:fill="auto"/>
            <w:tcMar>
              <w:left w:w="57" w:type="dxa"/>
              <w:right w:w="57" w:type="dxa"/>
            </w:tcMar>
          </w:tcPr>
          <w:p w14:paraId="182BFACC"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t>-</w:t>
            </w:r>
          </w:p>
        </w:tc>
      </w:tr>
      <w:tr w:rsidR="003E5BF5" w:rsidRPr="002C5B5D" w14:paraId="1B5C5FF6" w14:textId="77777777" w:rsidTr="003348DE">
        <w:tc>
          <w:tcPr>
            <w:tcW w:w="9072" w:type="dxa"/>
            <w:gridSpan w:val="6"/>
            <w:shd w:val="clear" w:color="auto" w:fill="auto"/>
            <w:tcMar>
              <w:left w:w="57" w:type="dxa"/>
              <w:right w:w="57" w:type="dxa"/>
            </w:tcMar>
          </w:tcPr>
          <w:p w14:paraId="5D5830FE" w14:textId="77777777" w:rsidR="003E5BF5" w:rsidRPr="002C5B5D" w:rsidRDefault="003E5BF5" w:rsidP="00DE1921">
            <w:pPr>
              <w:pStyle w:val="TableTextCentre"/>
              <w:spacing w:before="40"/>
              <w:jc w:val="left"/>
              <w:rPr>
                <w:rFonts w:ascii="Arial" w:hAnsi="Arial" w:cs="Arial"/>
                <w:i/>
                <w:sz w:val="24"/>
                <w:szCs w:val="24"/>
              </w:rPr>
            </w:pPr>
            <w:r w:rsidRPr="002C5B5D">
              <w:rPr>
                <w:rFonts w:ascii="Arial" w:hAnsi="Arial" w:cs="Arial"/>
                <w:i/>
                <w:sz w:val="24"/>
                <w:szCs w:val="24"/>
              </w:rPr>
              <w:t>Rail safety activities were transferred to the Office of the National Rail Safety Regulator on 2 December 2019.</w:t>
            </w:r>
          </w:p>
        </w:tc>
      </w:tr>
    </w:tbl>
    <w:p w14:paraId="288915FC" w14:textId="77777777" w:rsidR="003E5BF5" w:rsidRDefault="003E5BF5" w:rsidP="00DE1921">
      <w:pPr>
        <w:pStyle w:val="Notenumber123"/>
        <w:numPr>
          <w:ilvl w:val="0"/>
          <w:numId w:val="0"/>
        </w:numPr>
        <w:ind w:left="113"/>
      </w:pPr>
    </w:p>
    <w:p w14:paraId="2E1D2A28" w14:textId="77777777" w:rsidR="003E5BF5" w:rsidRDefault="003E5BF5" w:rsidP="00DE1921">
      <w:pPr>
        <w:pStyle w:val="Notenumber123"/>
        <w:numPr>
          <w:ilvl w:val="0"/>
          <w:numId w:val="0"/>
        </w:numPr>
        <w:ind w:left="360"/>
        <w:sectPr w:rsidR="003E5BF5" w:rsidSect="00DE1921">
          <w:pgSz w:w="11906" w:h="16838"/>
          <w:pgMar w:top="1701" w:right="1418" w:bottom="1418" w:left="1418" w:header="709" w:footer="709" w:gutter="0"/>
          <w:cols w:space="284"/>
          <w:docGrid w:linePitch="360"/>
        </w:sectPr>
      </w:pPr>
    </w:p>
    <w:p w14:paraId="2FE7108E" w14:textId="77777777" w:rsidR="00386600" w:rsidRPr="00386600" w:rsidRDefault="003E5BF5" w:rsidP="00CF74EB">
      <w:pPr>
        <w:pStyle w:val="TableHeader"/>
        <w:rPr>
          <w:i/>
        </w:rPr>
      </w:pPr>
      <w:r w:rsidRPr="002C5B5D">
        <w:lastRenderedPageBreak/>
        <w:t xml:space="preserve">Transport Safety and Security </w:t>
      </w:r>
      <w:r w:rsidRPr="002C5B5D">
        <w:rPr>
          <w:i/>
        </w:rPr>
        <w:t>continued</w:t>
      </w:r>
    </w:p>
    <w:tbl>
      <w:tblPr>
        <w:tblStyle w:val="TableGrid"/>
        <w:tblW w:w="9072" w:type="dxa"/>
        <w:tblCellMar>
          <w:left w:w="28" w:type="dxa"/>
          <w:right w:w="28" w:type="dxa"/>
        </w:tblCellMar>
        <w:tblLook w:val="04A0" w:firstRow="1" w:lastRow="0" w:firstColumn="1" w:lastColumn="0" w:noHBand="0" w:noVBand="1"/>
      </w:tblPr>
      <w:tblGrid>
        <w:gridCol w:w="3257"/>
        <w:gridCol w:w="1102"/>
        <w:gridCol w:w="1069"/>
        <w:gridCol w:w="1026"/>
        <w:gridCol w:w="1582"/>
        <w:gridCol w:w="1036"/>
      </w:tblGrid>
      <w:tr w:rsidR="003E5BF5" w:rsidRPr="002C5B5D" w14:paraId="16832B6D" w14:textId="77777777" w:rsidTr="00DD0AB6">
        <w:trPr>
          <w:trHeight w:val="340"/>
          <w:tblHeader/>
        </w:trPr>
        <w:tc>
          <w:tcPr>
            <w:tcW w:w="3257" w:type="dxa"/>
            <w:shd w:val="clear" w:color="auto" w:fill="auto"/>
            <w:tcMar>
              <w:left w:w="57" w:type="dxa"/>
              <w:right w:w="57" w:type="dxa"/>
            </w:tcMar>
          </w:tcPr>
          <w:p w14:paraId="4E72F120" w14:textId="77777777" w:rsidR="003E5BF5" w:rsidRPr="002C5B5D" w:rsidRDefault="003E5BF5" w:rsidP="00DE1921">
            <w:pPr>
              <w:pStyle w:val="TableTextLeftBold"/>
              <w:rPr>
                <w:rFonts w:ascii="Arial" w:hAnsi="Arial" w:cs="Arial"/>
                <w:sz w:val="24"/>
                <w:szCs w:val="24"/>
              </w:rPr>
            </w:pPr>
            <w:r w:rsidRPr="002C5B5D">
              <w:rPr>
                <w:rFonts w:ascii="Arial" w:hAnsi="Arial" w:cs="Arial"/>
                <w:sz w:val="24"/>
                <w:szCs w:val="24"/>
              </w:rPr>
              <w:t>Performance measures</w:t>
            </w:r>
          </w:p>
        </w:tc>
        <w:tc>
          <w:tcPr>
            <w:tcW w:w="1102" w:type="dxa"/>
            <w:shd w:val="clear" w:color="auto" w:fill="auto"/>
            <w:tcMar>
              <w:left w:w="57" w:type="dxa"/>
              <w:right w:w="57" w:type="dxa"/>
            </w:tcMar>
          </w:tcPr>
          <w:p w14:paraId="2A9934CA"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unit of measure</w:t>
            </w:r>
          </w:p>
        </w:tc>
        <w:tc>
          <w:tcPr>
            <w:tcW w:w="1069" w:type="dxa"/>
            <w:shd w:val="clear" w:color="auto" w:fill="auto"/>
            <w:tcMar>
              <w:left w:w="57" w:type="dxa"/>
              <w:right w:w="57" w:type="dxa"/>
            </w:tcMar>
          </w:tcPr>
          <w:p w14:paraId="528AECE4"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actual</w:t>
            </w:r>
          </w:p>
        </w:tc>
        <w:tc>
          <w:tcPr>
            <w:tcW w:w="1026" w:type="dxa"/>
            <w:shd w:val="clear" w:color="auto" w:fill="auto"/>
            <w:tcMar>
              <w:left w:w="57" w:type="dxa"/>
              <w:right w:w="57" w:type="dxa"/>
            </w:tcMar>
          </w:tcPr>
          <w:p w14:paraId="36AED9EB"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target</w:t>
            </w:r>
          </w:p>
        </w:tc>
        <w:tc>
          <w:tcPr>
            <w:tcW w:w="1582" w:type="dxa"/>
            <w:shd w:val="clear" w:color="auto" w:fill="auto"/>
            <w:tcMar>
              <w:left w:w="57" w:type="dxa"/>
              <w:right w:w="57" w:type="dxa"/>
            </w:tcMar>
          </w:tcPr>
          <w:p w14:paraId="6CEAE635"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Performance variation (%)</w:t>
            </w:r>
          </w:p>
        </w:tc>
        <w:tc>
          <w:tcPr>
            <w:tcW w:w="1036" w:type="dxa"/>
            <w:shd w:val="clear" w:color="auto" w:fill="auto"/>
            <w:tcMar>
              <w:left w:w="57" w:type="dxa"/>
              <w:right w:w="57" w:type="dxa"/>
            </w:tcMar>
          </w:tcPr>
          <w:p w14:paraId="0A8E774B"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Result</w:t>
            </w:r>
          </w:p>
        </w:tc>
      </w:tr>
      <w:tr w:rsidR="003E5BF5" w:rsidRPr="002C5B5D" w14:paraId="7E7226E3" w14:textId="77777777" w:rsidTr="00DD0AB6">
        <w:trPr>
          <w:trHeight w:val="340"/>
        </w:trPr>
        <w:tc>
          <w:tcPr>
            <w:tcW w:w="3257" w:type="dxa"/>
            <w:shd w:val="clear" w:color="auto" w:fill="auto"/>
            <w:tcMar>
              <w:left w:w="57" w:type="dxa"/>
              <w:right w:w="57" w:type="dxa"/>
            </w:tcMar>
            <w:vAlign w:val="center"/>
          </w:tcPr>
          <w:p w14:paraId="4125AA65"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Quality</w:t>
            </w:r>
          </w:p>
        </w:tc>
        <w:tc>
          <w:tcPr>
            <w:tcW w:w="1102" w:type="dxa"/>
            <w:shd w:val="clear" w:color="auto" w:fill="auto"/>
            <w:tcMar>
              <w:left w:w="57" w:type="dxa"/>
              <w:right w:w="57" w:type="dxa"/>
            </w:tcMar>
            <w:vAlign w:val="center"/>
          </w:tcPr>
          <w:p w14:paraId="5D06CE90" w14:textId="77777777" w:rsidR="003E5BF5" w:rsidRPr="002C5B5D" w:rsidRDefault="003E5BF5" w:rsidP="00DE1921">
            <w:pPr>
              <w:pStyle w:val="TableTextRight"/>
              <w:rPr>
                <w:rFonts w:ascii="Arial" w:hAnsi="Arial" w:cs="Arial"/>
                <w:b/>
                <w:sz w:val="24"/>
                <w:szCs w:val="24"/>
              </w:rPr>
            </w:pPr>
          </w:p>
        </w:tc>
        <w:tc>
          <w:tcPr>
            <w:tcW w:w="1069" w:type="dxa"/>
            <w:shd w:val="clear" w:color="auto" w:fill="auto"/>
            <w:tcMar>
              <w:left w:w="57" w:type="dxa"/>
              <w:right w:w="57" w:type="dxa"/>
            </w:tcMar>
            <w:vAlign w:val="center"/>
          </w:tcPr>
          <w:p w14:paraId="692F5D66" w14:textId="77777777" w:rsidR="003E5BF5" w:rsidRPr="002C5B5D" w:rsidRDefault="003E5BF5" w:rsidP="00DE1921">
            <w:pPr>
              <w:pStyle w:val="TableTextRight"/>
              <w:rPr>
                <w:rFonts w:ascii="Arial" w:hAnsi="Arial" w:cs="Arial"/>
                <w:b/>
                <w:sz w:val="24"/>
                <w:szCs w:val="24"/>
              </w:rPr>
            </w:pPr>
          </w:p>
        </w:tc>
        <w:tc>
          <w:tcPr>
            <w:tcW w:w="1026" w:type="dxa"/>
            <w:shd w:val="clear" w:color="auto" w:fill="auto"/>
            <w:tcMar>
              <w:left w:w="57" w:type="dxa"/>
              <w:right w:w="57" w:type="dxa"/>
            </w:tcMar>
            <w:vAlign w:val="center"/>
          </w:tcPr>
          <w:p w14:paraId="591F1241" w14:textId="77777777" w:rsidR="003E5BF5" w:rsidRPr="002C5B5D" w:rsidRDefault="003E5BF5" w:rsidP="00DE1921">
            <w:pPr>
              <w:pStyle w:val="TableTextRight"/>
              <w:rPr>
                <w:rFonts w:ascii="Arial" w:hAnsi="Arial" w:cs="Arial"/>
                <w:b/>
                <w:sz w:val="24"/>
                <w:szCs w:val="24"/>
              </w:rPr>
            </w:pPr>
          </w:p>
        </w:tc>
        <w:tc>
          <w:tcPr>
            <w:tcW w:w="1582" w:type="dxa"/>
            <w:shd w:val="clear" w:color="auto" w:fill="auto"/>
            <w:tcMar>
              <w:left w:w="57" w:type="dxa"/>
              <w:right w:w="57" w:type="dxa"/>
            </w:tcMar>
            <w:vAlign w:val="center"/>
          </w:tcPr>
          <w:p w14:paraId="180C3FA7" w14:textId="77777777" w:rsidR="003E5BF5" w:rsidRPr="002C5B5D" w:rsidRDefault="003E5BF5" w:rsidP="00DE1921">
            <w:pPr>
              <w:pStyle w:val="TableTextRight"/>
              <w:rPr>
                <w:rFonts w:ascii="Arial" w:hAnsi="Arial" w:cs="Arial"/>
                <w:b/>
                <w:sz w:val="24"/>
                <w:szCs w:val="24"/>
              </w:rPr>
            </w:pPr>
          </w:p>
        </w:tc>
        <w:tc>
          <w:tcPr>
            <w:tcW w:w="1036" w:type="dxa"/>
            <w:shd w:val="clear" w:color="auto" w:fill="auto"/>
            <w:tcMar>
              <w:left w:w="57" w:type="dxa"/>
              <w:right w:w="57" w:type="dxa"/>
            </w:tcMar>
            <w:vAlign w:val="center"/>
          </w:tcPr>
          <w:p w14:paraId="28F29CB2" w14:textId="77777777" w:rsidR="003E5BF5" w:rsidRPr="002C5B5D" w:rsidRDefault="003E5BF5" w:rsidP="00DE1921">
            <w:pPr>
              <w:pStyle w:val="TableTextRight"/>
              <w:rPr>
                <w:rFonts w:ascii="Arial" w:hAnsi="Arial" w:cs="Arial"/>
                <w:b/>
                <w:sz w:val="24"/>
                <w:szCs w:val="24"/>
              </w:rPr>
            </w:pPr>
          </w:p>
        </w:tc>
      </w:tr>
      <w:tr w:rsidR="003E5BF5" w:rsidRPr="002C5B5D" w14:paraId="3CED882F" w14:textId="77777777" w:rsidTr="00DD0AB6">
        <w:trPr>
          <w:trHeight w:val="340"/>
        </w:trPr>
        <w:tc>
          <w:tcPr>
            <w:tcW w:w="3257" w:type="dxa"/>
            <w:shd w:val="clear" w:color="auto" w:fill="auto"/>
            <w:tcMar>
              <w:left w:w="57" w:type="dxa"/>
              <w:right w:w="57" w:type="dxa"/>
            </w:tcMar>
          </w:tcPr>
          <w:p w14:paraId="7C4AC494"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Compliance inspections of commercial maritime duty holders other than vessel owners and operators audited in accordance with legislative requirements and timelines</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5B64542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69" w:type="dxa"/>
            <w:shd w:val="clear" w:color="auto" w:fill="auto"/>
            <w:tcMar>
              <w:left w:w="57" w:type="dxa"/>
              <w:right w:w="57" w:type="dxa"/>
            </w:tcMar>
          </w:tcPr>
          <w:p w14:paraId="32FE50A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026" w:type="dxa"/>
            <w:shd w:val="clear" w:color="auto" w:fill="auto"/>
            <w:tcMar>
              <w:left w:w="57" w:type="dxa"/>
              <w:right w:w="57" w:type="dxa"/>
            </w:tcMar>
          </w:tcPr>
          <w:p w14:paraId="6168549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582" w:type="dxa"/>
            <w:shd w:val="clear" w:color="auto" w:fill="auto"/>
            <w:tcMar>
              <w:left w:w="57" w:type="dxa"/>
              <w:right w:w="57" w:type="dxa"/>
            </w:tcMar>
          </w:tcPr>
          <w:p w14:paraId="7A81AA0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36" w:type="dxa"/>
            <w:shd w:val="clear" w:color="auto" w:fill="auto"/>
            <w:tcMar>
              <w:left w:w="57" w:type="dxa"/>
              <w:right w:w="57" w:type="dxa"/>
            </w:tcMar>
          </w:tcPr>
          <w:p w14:paraId="5B649679"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0663A7E6" w14:textId="77777777" w:rsidTr="00DD0AB6">
        <w:trPr>
          <w:trHeight w:val="340"/>
        </w:trPr>
        <w:tc>
          <w:tcPr>
            <w:tcW w:w="3257" w:type="dxa"/>
            <w:shd w:val="clear" w:color="auto" w:fill="auto"/>
            <w:tcMar>
              <w:left w:w="57" w:type="dxa"/>
              <w:right w:w="57" w:type="dxa"/>
            </w:tcMar>
          </w:tcPr>
          <w:p w14:paraId="7F8E3FF2"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Prosecution success rate for transport safety offences</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0F38350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69" w:type="dxa"/>
            <w:shd w:val="clear" w:color="auto" w:fill="auto"/>
            <w:tcMar>
              <w:left w:w="57" w:type="dxa"/>
              <w:right w:w="57" w:type="dxa"/>
            </w:tcMar>
          </w:tcPr>
          <w:p w14:paraId="7A58239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026" w:type="dxa"/>
            <w:shd w:val="clear" w:color="auto" w:fill="auto"/>
            <w:tcMar>
              <w:left w:w="57" w:type="dxa"/>
              <w:right w:w="57" w:type="dxa"/>
            </w:tcMar>
          </w:tcPr>
          <w:p w14:paraId="225A38F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80</w:t>
            </w:r>
            <w:r w:rsidRPr="002C5B5D">
              <w:rPr>
                <w:rFonts w:ascii="Arial" w:hAnsi="Arial" w:cs="Arial"/>
                <w:sz w:val="24"/>
                <w:szCs w:val="24"/>
              </w:rPr>
              <w:fldChar w:fldCharType="end"/>
            </w:r>
          </w:p>
        </w:tc>
        <w:tc>
          <w:tcPr>
            <w:tcW w:w="1582" w:type="dxa"/>
            <w:shd w:val="clear" w:color="auto" w:fill="auto"/>
            <w:tcMar>
              <w:left w:w="57" w:type="dxa"/>
              <w:right w:w="57" w:type="dxa"/>
            </w:tcMar>
          </w:tcPr>
          <w:p w14:paraId="7A481EC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25.0</w:t>
            </w:r>
            <w:r w:rsidRPr="002C5B5D">
              <w:rPr>
                <w:rFonts w:ascii="Arial" w:hAnsi="Arial" w:cs="Arial"/>
                <w:sz w:val="24"/>
                <w:szCs w:val="24"/>
              </w:rPr>
              <w:fldChar w:fldCharType="end"/>
            </w:r>
          </w:p>
        </w:tc>
        <w:tc>
          <w:tcPr>
            <w:tcW w:w="1036" w:type="dxa"/>
            <w:shd w:val="clear" w:color="auto" w:fill="auto"/>
            <w:tcMar>
              <w:left w:w="57" w:type="dxa"/>
              <w:right w:w="57" w:type="dxa"/>
            </w:tcMar>
          </w:tcPr>
          <w:p w14:paraId="3BD21B07"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2BA2DC80" w14:textId="77777777" w:rsidTr="00632A78">
        <w:tc>
          <w:tcPr>
            <w:tcW w:w="9072" w:type="dxa"/>
            <w:gridSpan w:val="6"/>
            <w:shd w:val="clear" w:color="auto" w:fill="auto"/>
            <w:tcMar>
              <w:left w:w="57" w:type="dxa"/>
              <w:right w:w="57" w:type="dxa"/>
            </w:tcMar>
          </w:tcPr>
          <w:p w14:paraId="382CD98E"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one prosecution which resulted in a finding of guilt.</w:t>
            </w:r>
            <w:r w:rsidRPr="002C5B5D">
              <w:rPr>
                <w:rFonts w:ascii="Arial" w:hAnsi="Arial" w:cs="Arial"/>
                <w:i/>
                <w:sz w:val="24"/>
                <w:szCs w:val="24"/>
              </w:rPr>
              <w:fldChar w:fldCharType="end"/>
            </w:r>
          </w:p>
        </w:tc>
      </w:tr>
      <w:tr w:rsidR="003E5BF5" w:rsidRPr="002C5B5D" w14:paraId="70AA4FF3" w14:textId="77777777" w:rsidTr="00DD0AB6">
        <w:trPr>
          <w:trHeight w:val="340"/>
        </w:trPr>
        <w:tc>
          <w:tcPr>
            <w:tcW w:w="3257" w:type="dxa"/>
            <w:shd w:val="clear" w:color="auto" w:fill="auto"/>
            <w:tcMar>
              <w:left w:w="57" w:type="dxa"/>
              <w:right w:w="57" w:type="dxa"/>
            </w:tcMar>
          </w:tcPr>
          <w:p w14:paraId="21F1F205"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Risk assessment of managed and unmanaged Victorian waterways with high levels of boating activity and competing use.</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59DE634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69" w:type="dxa"/>
            <w:shd w:val="clear" w:color="auto" w:fill="auto"/>
            <w:tcMar>
              <w:left w:w="57" w:type="dxa"/>
              <w:right w:w="57" w:type="dxa"/>
            </w:tcMar>
          </w:tcPr>
          <w:p w14:paraId="4393CD9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20</w:t>
            </w:r>
            <w:r w:rsidRPr="002C5B5D">
              <w:rPr>
                <w:rFonts w:ascii="Arial" w:hAnsi="Arial" w:cs="Arial"/>
                <w:sz w:val="24"/>
                <w:szCs w:val="24"/>
              </w:rPr>
              <w:fldChar w:fldCharType="end"/>
            </w:r>
          </w:p>
        </w:tc>
        <w:tc>
          <w:tcPr>
            <w:tcW w:w="1026" w:type="dxa"/>
            <w:shd w:val="clear" w:color="auto" w:fill="auto"/>
            <w:tcMar>
              <w:left w:w="57" w:type="dxa"/>
              <w:right w:w="57" w:type="dxa"/>
            </w:tcMar>
          </w:tcPr>
          <w:p w14:paraId="1842430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30</w:t>
            </w:r>
            <w:r w:rsidRPr="002C5B5D">
              <w:rPr>
                <w:rFonts w:ascii="Arial" w:hAnsi="Arial" w:cs="Arial"/>
                <w:sz w:val="24"/>
                <w:szCs w:val="24"/>
              </w:rPr>
              <w:fldChar w:fldCharType="end"/>
            </w:r>
          </w:p>
        </w:tc>
        <w:tc>
          <w:tcPr>
            <w:tcW w:w="1582" w:type="dxa"/>
            <w:shd w:val="clear" w:color="auto" w:fill="auto"/>
            <w:tcMar>
              <w:left w:w="57" w:type="dxa"/>
              <w:right w:w="57" w:type="dxa"/>
            </w:tcMar>
          </w:tcPr>
          <w:p w14:paraId="4111B64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-33.3</w:t>
            </w:r>
            <w:r w:rsidRPr="002C5B5D">
              <w:rPr>
                <w:rFonts w:ascii="Arial" w:hAnsi="Arial" w:cs="Arial"/>
                <w:sz w:val="24"/>
                <w:szCs w:val="24"/>
              </w:rPr>
              <w:fldChar w:fldCharType="end"/>
            </w:r>
          </w:p>
        </w:tc>
        <w:tc>
          <w:tcPr>
            <w:tcW w:w="1036" w:type="dxa"/>
            <w:shd w:val="clear" w:color="auto" w:fill="auto"/>
            <w:tcMar>
              <w:left w:w="57" w:type="dxa"/>
              <w:right w:w="57" w:type="dxa"/>
            </w:tcMar>
          </w:tcPr>
          <w:p w14:paraId="5F8AF372"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755E037A" w14:textId="77777777" w:rsidTr="00632A78">
        <w:tc>
          <w:tcPr>
            <w:tcW w:w="9072" w:type="dxa"/>
            <w:gridSpan w:val="6"/>
            <w:shd w:val="clear" w:color="auto" w:fill="auto"/>
            <w:tcMar>
              <w:left w:w="57" w:type="dxa"/>
              <w:right w:w="57" w:type="dxa"/>
            </w:tcMar>
          </w:tcPr>
          <w:p w14:paraId="50CA20ED"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bushfires in the Gippsland region and the impact of the coronavirus (COVID-19) response on in-field work and boating activities, not all scheduled audits could be undertaken.</w:t>
            </w:r>
            <w:r w:rsidRPr="002C5B5D">
              <w:rPr>
                <w:rFonts w:ascii="Arial" w:hAnsi="Arial" w:cs="Arial"/>
                <w:i/>
                <w:sz w:val="24"/>
                <w:szCs w:val="24"/>
              </w:rPr>
              <w:fldChar w:fldCharType="end"/>
            </w:r>
          </w:p>
        </w:tc>
      </w:tr>
      <w:tr w:rsidR="003E5BF5" w:rsidRPr="002C5B5D" w14:paraId="168B0E68" w14:textId="77777777" w:rsidTr="00DD0AB6">
        <w:trPr>
          <w:trHeight w:val="340"/>
        </w:trPr>
        <w:tc>
          <w:tcPr>
            <w:tcW w:w="3257" w:type="dxa"/>
            <w:shd w:val="clear" w:color="auto" w:fill="auto"/>
            <w:tcMar>
              <w:left w:w="57" w:type="dxa"/>
              <w:right w:w="57" w:type="dxa"/>
            </w:tcMar>
            <w:vAlign w:val="center"/>
          </w:tcPr>
          <w:p w14:paraId="32B8684A" w14:textId="77777777" w:rsidR="003E5BF5" w:rsidRPr="002C5B5D" w:rsidRDefault="003E5BF5" w:rsidP="00DE1921">
            <w:pPr>
              <w:pStyle w:val="TableTextLeft"/>
              <w:rPr>
                <w:rFonts w:ascii="Arial" w:hAnsi="Arial" w:cs="Arial"/>
                <w:sz w:val="24"/>
                <w:szCs w:val="24"/>
              </w:rPr>
            </w:pPr>
            <w:r w:rsidRPr="002C5B5D">
              <w:rPr>
                <w:rFonts w:ascii="Arial" w:hAnsi="Arial" w:cs="Arial"/>
                <w:b/>
                <w:sz w:val="24"/>
                <w:szCs w:val="24"/>
              </w:rPr>
              <w:t>Timeliness</w:t>
            </w:r>
          </w:p>
        </w:tc>
        <w:tc>
          <w:tcPr>
            <w:tcW w:w="1102" w:type="dxa"/>
            <w:shd w:val="clear" w:color="auto" w:fill="auto"/>
            <w:tcMar>
              <w:left w:w="57" w:type="dxa"/>
              <w:right w:w="57" w:type="dxa"/>
            </w:tcMar>
          </w:tcPr>
          <w:p w14:paraId="6785BA38" w14:textId="77777777" w:rsidR="003E5BF5" w:rsidRPr="002C5B5D" w:rsidRDefault="003E5BF5" w:rsidP="00DE1921">
            <w:pPr>
              <w:pStyle w:val="TableTextRight"/>
              <w:rPr>
                <w:rFonts w:ascii="Arial" w:hAnsi="Arial" w:cs="Arial"/>
                <w:sz w:val="24"/>
                <w:szCs w:val="24"/>
              </w:rPr>
            </w:pPr>
          </w:p>
        </w:tc>
        <w:tc>
          <w:tcPr>
            <w:tcW w:w="1069" w:type="dxa"/>
            <w:shd w:val="clear" w:color="auto" w:fill="auto"/>
            <w:tcMar>
              <w:left w:w="57" w:type="dxa"/>
              <w:right w:w="57" w:type="dxa"/>
            </w:tcMar>
          </w:tcPr>
          <w:p w14:paraId="1045E04C" w14:textId="77777777" w:rsidR="003E5BF5" w:rsidRPr="002C5B5D" w:rsidRDefault="003E5BF5" w:rsidP="00DE1921">
            <w:pPr>
              <w:pStyle w:val="TableTextRight"/>
              <w:rPr>
                <w:rFonts w:ascii="Arial" w:hAnsi="Arial" w:cs="Arial"/>
                <w:sz w:val="24"/>
                <w:szCs w:val="24"/>
              </w:rPr>
            </w:pPr>
          </w:p>
        </w:tc>
        <w:tc>
          <w:tcPr>
            <w:tcW w:w="1026" w:type="dxa"/>
            <w:shd w:val="clear" w:color="auto" w:fill="auto"/>
            <w:tcMar>
              <w:left w:w="57" w:type="dxa"/>
              <w:right w:w="57" w:type="dxa"/>
            </w:tcMar>
          </w:tcPr>
          <w:p w14:paraId="63BA70F0" w14:textId="77777777" w:rsidR="003E5BF5" w:rsidRPr="002C5B5D" w:rsidRDefault="003E5BF5" w:rsidP="00DE1921">
            <w:pPr>
              <w:pStyle w:val="TableTextRight"/>
              <w:rPr>
                <w:rFonts w:ascii="Arial" w:hAnsi="Arial" w:cs="Arial"/>
                <w:sz w:val="24"/>
                <w:szCs w:val="24"/>
              </w:rPr>
            </w:pPr>
          </w:p>
        </w:tc>
        <w:tc>
          <w:tcPr>
            <w:tcW w:w="1582" w:type="dxa"/>
            <w:shd w:val="clear" w:color="auto" w:fill="auto"/>
            <w:tcMar>
              <w:left w:w="57" w:type="dxa"/>
              <w:right w:w="57" w:type="dxa"/>
            </w:tcMar>
          </w:tcPr>
          <w:p w14:paraId="028BA346" w14:textId="77777777" w:rsidR="003E5BF5" w:rsidRPr="002C5B5D" w:rsidRDefault="003E5BF5" w:rsidP="00DE1921">
            <w:pPr>
              <w:pStyle w:val="TableTextRight"/>
              <w:rPr>
                <w:rFonts w:ascii="Arial" w:hAnsi="Arial" w:cs="Arial"/>
                <w:sz w:val="24"/>
                <w:szCs w:val="24"/>
              </w:rPr>
            </w:pPr>
          </w:p>
        </w:tc>
        <w:tc>
          <w:tcPr>
            <w:tcW w:w="1036" w:type="dxa"/>
            <w:shd w:val="clear" w:color="auto" w:fill="auto"/>
            <w:tcMar>
              <w:left w:w="57" w:type="dxa"/>
              <w:right w:w="57" w:type="dxa"/>
            </w:tcMar>
          </w:tcPr>
          <w:p w14:paraId="4203601D" w14:textId="77777777" w:rsidR="003E5BF5" w:rsidRPr="002C5B5D" w:rsidRDefault="003E5BF5" w:rsidP="00DE1921">
            <w:pPr>
              <w:pStyle w:val="TableTextCentre"/>
              <w:spacing w:before="40"/>
              <w:jc w:val="right"/>
              <w:rPr>
                <w:rFonts w:ascii="Arial" w:hAnsi="Arial" w:cs="Arial"/>
                <w:sz w:val="24"/>
                <w:szCs w:val="24"/>
              </w:rPr>
            </w:pPr>
          </w:p>
        </w:tc>
      </w:tr>
      <w:tr w:rsidR="003E5BF5" w:rsidRPr="002C5B5D" w14:paraId="47951959" w14:textId="77777777" w:rsidTr="00DD0AB6">
        <w:trPr>
          <w:trHeight w:val="340"/>
        </w:trPr>
        <w:tc>
          <w:tcPr>
            <w:tcW w:w="3257" w:type="dxa"/>
            <w:shd w:val="clear" w:color="auto" w:fill="auto"/>
            <w:tcMar>
              <w:left w:w="57" w:type="dxa"/>
              <w:right w:w="57" w:type="dxa"/>
            </w:tcMar>
          </w:tcPr>
          <w:p w14:paraId="6FB47C67"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Applications for bus operator registration and safety accreditation processed on time in accordance with Bus Safety Act 2009 (Vic) requirements</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7A15665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69" w:type="dxa"/>
            <w:shd w:val="clear" w:color="auto" w:fill="auto"/>
            <w:tcMar>
              <w:left w:w="57" w:type="dxa"/>
              <w:right w:w="57" w:type="dxa"/>
            </w:tcMar>
          </w:tcPr>
          <w:p w14:paraId="2203F93D"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026" w:type="dxa"/>
            <w:shd w:val="clear" w:color="auto" w:fill="auto"/>
            <w:tcMar>
              <w:left w:w="57" w:type="dxa"/>
              <w:right w:w="57" w:type="dxa"/>
            </w:tcMar>
          </w:tcPr>
          <w:p w14:paraId="0D7D66B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582" w:type="dxa"/>
            <w:shd w:val="clear" w:color="auto" w:fill="auto"/>
            <w:tcMar>
              <w:left w:w="57" w:type="dxa"/>
              <w:right w:w="57" w:type="dxa"/>
            </w:tcMar>
          </w:tcPr>
          <w:p w14:paraId="1EDA2DE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36" w:type="dxa"/>
            <w:shd w:val="clear" w:color="auto" w:fill="auto"/>
            <w:tcMar>
              <w:left w:w="57" w:type="dxa"/>
              <w:right w:w="57" w:type="dxa"/>
            </w:tcMar>
          </w:tcPr>
          <w:p w14:paraId="331F01CE"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245B70D5" w14:textId="77777777" w:rsidTr="00DD0AB6">
        <w:trPr>
          <w:trHeight w:val="340"/>
        </w:trPr>
        <w:tc>
          <w:tcPr>
            <w:tcW w:w="3257" w:type="dxa"/>
            <w:shd w:val="clear" w:color="auto" w:fill="auto"/>
            <w:tcMar>
              <w:left w:w="57" w:type="dxa"/>
              <w:right w:w="57" w:type="dxa"/>
            </w:tcMar>
          </w:tcPr>
          <w:p w14:paraId="3DFA392F"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Applications for rail accreditation and variations to accreditation processed within State and national legislative requirements and timelines</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43708F5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69" w:type="dxa"/>
            <w:shd w:val="clear" w:color="auto" w:fill="auto"/>
            <w:tcMar>
              <w:left w:w="57" w:type="dxa"/>
              <w:right w:w="57" w:type="dxa"/>
            </w:tcMar>
          </w:tcPr>
          <w:p w14:paraId="503829E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Not available</w:t>
            </w:r>
            <w:r w:rsidRPr="002C5B5D">
              <w:rPr>
                <w:rFonts w:ascii="Arial" w:hAnsi="Arial" w:cs="Arial"/>
                <w:sz w:val="24"/>
                <w:szCs w:val="24"/>
              </w:rPr>
              <w:fldChar w:fldCharType="end"/>
            </w:r>
          </w:p>
        </w:tc>
        <w:tc>
          <w:tcPr>
            <w:tcW w:w="1026" w:type="dxa"/>
            <w:shd w:val="clear" w:color="auto" w:fill="auto"/>
            <w:tcMar>
              <w:left w:w="57" w:type="dxa"/>
              <w:right w:w="57" w:type="dxa"/>
            </w:tcMar>
          </w:tcPr>
          <w:p w14:paraId="15ACD50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582" w:type="dxa"/>
            <w:shd w:val="clear" w:color="auto" w:fill="auto"/>
            <w:tcMar>
              <w:left w:w="57" w:type="dxa"/>
              <w:right w:w="57" w:type="dxa"/>
            </w:tcMar>
          </w:tcPr>
          <w:p w14:paraId="2274E095"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N/A</w:t>
            </w:r>
            <w:r w:rsidRPr="002C5B5D">
              <w:rPr>
                <w:rFonts w:ascii="Arial" w:hAnsi="Arial" w:cs="Arial"/>
                <w:sz w:val="24"/>
                <w:szCs w:val="24"/>
              </w:rPr>
              <w:fldChar w:fldCharType="end"/>
            </w:r>
          </w:p>
        </w:tc>
        <w:tc>
          <w:tcPr>
            <w:tcW w:w="1036" w:type="dxa"/>
            <w:shd w:val="clear" w:color="auto" w:fill="auto"/>
            <w:tcMar>
              <w:left w:w="57" w:type="dxa"/>
              <w:right w:w="57" w:type="dxa"/>
            </w:tcMar>
          </w:tcPr>
          <w:p w14:paraId="78D87DB5"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t>-</w:t>
            </w:r>
          </w:p>
        </w:tc>
      </w:tr>
      <w:tr w:rsidR="003E5BF5" w:rsidRPr="002C5B5D" w14:paraId="390CA551" w14:textId="77777777" w:rsidTr="00632A78">
        <w:tc>
          <w:tcPr>
            <w:tcW w:w="9072" w:type="dxa"/>
            <w:gridSpan w:val="6"/>
            <w:shd w:val="clear" w:color="auto" w:fill="auto"/>
            <w:tcMar>
              <w:left w:w="57" w:type="dxa"/>
              <w:right w:w="57" w:type="dxa"/>
            </w:tcMar>
          </w:tcPr>
          <w:p w14:paraId="63045A64" w14:textId="77777777" w:rsidR="003E5BF5" w:rsidRPr="002C5B5D" w:rsidRDefault="003E5BF5" w:rsidP="00DE1921">
            <w:pPr>
              <w:rPr>
                <w:rFonts w:ascii="Arial" w:hAnsi="Arial" w:cs="Arial"/>
                <w:i/>
                <w:sz w:val="24"/>
                <w:szCs w:val="24"/>
              </w:rPr>
            </w:pPr>
            <w:r w:rsidRPr="002C5B5D">
              <w:rPr>
                <w:rFonts w:ascii="Arial" w:hAnsi="Arial" w:cs="Arial"/>
                <w:i/>
                <w:sz w:val="24"/>
                <w:szCs w:val="24"/>
              </w:rPr>
              <w:t>Rail safety activities were transferred to the Office of the National Rail Safety Regulator on 2 December 2019.</w:t>
            </w:r>
          </w:p>
        </w:tc>
      </w:tr>
      <w:tr w:rsidR="003E5BF5" w:rsidRPr="002C5B5D" w14:paraId="6F79280F" w14:textId="77777777" w:rsidTr="00DD0AB6">
        <w:trPr>
          <w:trHeight w:val="340"/>
        </w:trPr>
        <w:tc>
          <w:tcPr>
            <w:tcW w:w="3257" w:type="dxa"/>
            <w:shd w:val="clear" w:color="auto" w:fill="auto"/>
            <w:tcMar>
              <w:left w:w="57" w:type="dxa"/>
              <w:right w:w="57" w:type="dxa"/>
            </w:tcMar>
          </w:tcPr>
          <w:p w14:paraId="352ED8FC"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Initiate marine pollution response action within 60 minutes of incident notification</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61471D1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69" w:type="dxa"/>
            <w:shd w:val="clear" w:color="auto" w:fill="auto"/>
            <w:tcMar>
              <w:left w:w="57" w:type="dxa"/>
              <w:right w:w="57" w:type="dxa"/>
            </w:tcMar>
          </w:tcPr>
          <w:p w14:paraId="00345B5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026" w:type="dxa"/>
            <w:shd w:val="clear" w:color="auto" w:fill="auto"/>
            <w:tcMar>
              <w:left w:w="57" w:type="dxa"/>
              <w:right w:w="57" w:type="dxa"/>
            </w:tcMar>
          </w:tcPr>
          <w:p w14:paraId="73A0095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582" w:type="dxa"/>
            <w:shd w:val="clear" w:color="auto" w:fill="auto"/>
            <w:tcMar>
              <w:left w:w="57" w:type="dxa"/>
              <w:right w:w="57" w:type="dxa"/>
            </w:tcMar>
          </w:tcPr>
          <w:p w14:paraId="5D93436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36" w:type="dxa"/>
            <w:shd w:val="clear" w:color="auto" w:fill="auto"/>
            <w:tcMar>
              <w:left w:w="57" w:type="dxa"/>
              <w:right w:w="57" w:type="dxa"/>
            </w:tcMar>
          </w:tcPr>
          <w:p w14:paraId="758E4EFD"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5C4A5FF7" w14:textId="77777777" w:rsidTr="00DD0AB6">
        <w:trPr>
          <w:trHeight w:val="340"/>
        </w:trPr>
        <w:tc>
          <w:tcPr>
            <w:tcW w:w="3257" w:type="dxa"/>
            <w:shd w:val="clear" w:color="auto" w:fill="auto"/>
            <w:tcMar>
              <w:left w:w="57" w:type="dxa"/>
              <w:right w:w="57" w:type="dxa"/>
            </w:tcMar>
          </w:tcPr>
          <w:p w14:paraId="1602B3E0"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Transport and marine safety investigations: accidents/incidents assessed within two days of notification to determine need for detailed investigation</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00BB459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69" w:type="dxa"/>
            <w:shd w:val="clear" w:color="auto" w:fill="auto"/>
            <w:tcMar>
              <w:left w:w="57" w:type="dxa"/>
              <w:right w:w="57" w:type="dxa"/>
            </w:tcMar>
          </w:tcPr>
          <w:p w14:paraId="2B6846B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026" w:type="dxa"/>
            <w:shd w:val="clear" w:color="auto" w:fill="auto"/>
            <w:tcMar>
              <w:left w:w="57" w:type="dxa"/>
              <w:right w:w="57" w:type="dxa"/>
            </w:tcMar>
          </w:tcPr>
          <w:p w14:paraId="5A6E4E3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582" w:type="dxa"/>
            <w:shd w:val="clear" w:color="auto" w:fill="auto"/>
            <w:tcMar>
              <w:left w:w="57" w:type="dxa"/>
              <w:right w:w="57" w:type="dxa"/>
            </w:tcMar>
          </w:tcPr>
          <w:p w14:paraId="54BBC15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36" w:type="dxa"/>
            <w:shd w:val="clear" w:color="auto" w:fill="auto"/>
            <w:tcMar>
              <w:left w:w="57" w:type="dxa"/>
              <w:right w:w="57" w:type="dxa"/>
            </w:tcMar>
          </w:tcPr>
          <w:p w14:paraId="41F482CA"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7E94E13B" w14:textId="77777777" w:rsidTr="00DD0AB6">
        <w:trPr>
          <w:trHeight w:val="340"/>
        </w:trPr>
        <w:tc>
          <w:tcPr>
            <w:tcW w:w="3257" w:type="dxa"/>
            <w:shd w:val="clear" w:color="auto" w:fill="auto"/>
            <w:tcMar>
              <w:left w:w="57" w:type="dxa"/>
              <w:right w:w="57" w:type="dxa"/>
            </w:tcMar>
          </w:tcPr>
          <w:p w14:paraId="2C5065BE"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lastRenderedPageBreak/>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Transport and marine safety investigations: investigations completed within 12 months</w:t>
            </w:r>
            <w:r w:rsidR="00105501" w:rsidRPr="002C5B5D">
              <w:rPr>
                <w:rFonts w:ascii="Arial" w:hAnsi="Arial" w:cs="Arial"/>
                <w:sz w:val="24"/>
                <w:szCs w:val="24"/>
              </w:rPr>
              <w:fldChar w:fldCharType="end"/>
            </w:r>
          </w:p>
        </w:tc>
        <w:tc>
          <w:tcPr>
            <w:tcW w:w="1102" w:type="dxa"/>
            <w:shd w:val="clear" w:color="auto" w:fill="auto"/>
            <w:tcMar>
              <w:left w:w="57" w:type="dxa"/>
              <w:right w:w="57" w:type="dxa"/>
            </w:tcMar>
          </w:tcPr>
          <w:p w14:paraId="235BE9C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69" w:type="dxa"/>
            <w:shd w:val="clear" w:color="auto" w:fill="auto"/>
            <w:tcMar>
              <w:left w:w="57" w:type="dxa"/>
              <w:right w:w="57" w:type="dxa"/>
            </w:tcMar>
          </w:tcPr>
          <w:p w14:paraId="1824B3F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40</w:t>
            </w:r>
            <w:r w:rsidRPr="002C5B5D">
              <w:rPr>
                <w:rFonts w:ascii="Arial" w:hAnsi="Arial" w:cs="Arial"/>
                <w:sz w:val="24"/>
                <w:szCs w:val="24"/>
              </w:rPr>
              <w:fldChar w:fldCharType="end"/>
            </w:r>
          </w:p>
        </w:tc>
        <w:tc>
          <w:tcPr>
            <w:tcW w:w="1026" w:type="dxa"/>
            <w:shd w:val="clear" w:color="auto" w:fill="auto"/>
            <w:tcMar>
              <w:left w:w="57" w:type="dxa"/>
              <w:right w:w="57" w:type="dxa"/>
            </w:tcMar>
          </w:tcPr>
          <w:p w14:paraId="5318CC71"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50</w:t>
            </w:r>
            <w:r w:rsidRPr="002C5B5D">
              <w:rPr>
                <w:rFonts w:ascii="Arial" w:hAnsi="Arial" w:cs="Arial"/>
                <w:sz w:val="24"/>
                <w:szCs w:val="24"/>
              </w:rPr>
              <w:fldChar w:fldCharType="end"/>
            </w:r>
          </w:p>
        </w:tc>
        <w:tc>
          <w:tcPr>
            <w:tcW w:w="1582" w:type="dxa"/>
            <w:shd w:val="clear" w:color="auto" w:fill="auto"/>
            <w:tcMar>
              <w:left w:w="57" w:type="dxa"/>
              <w:right w:w="57" w:type="dxa"/>
            </w:tcMar>
          </w:tcPr>
          <w:p w14:paraId="7967F05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-20.0</w:t>
            </w:r>
            <w:r w:rsidRPr="002C5B5D">
              <w:rPr>
                <w:rFonts w:ascii="Arial" w:hAnsi="Arial" w:cs="Arial"/>
                <w:sz w:val="24"/>
                <w:szCs w:val="24"/>
              </w:rPr>
              <w:fldChar w:fldCharType="end"/>
            </w:r>
          </w:p>
        </w:tc>
        <w:tc>
          <w:tcPr>
            <w:tcW w:w="1036" w:type="dxa"/>
            <w:shd w:val="clear" w:color="auto" w:fill="auto"/>
            <w:tcMar>
              <w:left w:w="57" w:type="dxa"/>
              <w:right w:w="57" w:type="dxa"/>
            </w:tcMar>
          </w:tcPr>
          <w:p w14:paraId="237C9CB7"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5E250A55" w14:textId="77777777" w:rsidTr="00632A78">
        <w:tc>
          <w:tcPr>
            <w:tcW w:w="9072" w:type="dxa"/>
            <w:gridSpan w:val="6"/>
            <w:shd w:val="clear" w:color="auto" w:fill="auto"/>
            <w:tcMar>
              <w:left w:w="57" w:type="dxa"/>
              <w:right w:w="57" w:type="dxa"/>
            </w:tcMar>
          </w:tcPr>
          <w:p w14:paraId="3091A2F3"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the impact of a single complex incident that put additional pressure on existing resources.</w:t>
            </w:r>
            <w:r w:rsidRPr="002C5B5D">
              <w:rPr>
                <w:rFonts w:ascii="Arial" w:hAnsi="Arial" w:cs="Arial"/>
                <w:i/>
                <w:sz w:val="24"/>
                <w:szCs w:val="24"/>
              </w:rPr>
              <w:fldChar w:fldCharType="end"/>
            </w:r>
          </w:p>
        </w:tc>
      </w:tr>
      <w:tr w:rsidR="003E5BF5" w:rsidRPr="002C5B5D" w14:paraId="7DD46061" w14:textId="77777777" w:rsidTr="00DD0AB6">
        <w:trPr>
          <w:trHeight w:val="340"/>
        </w:trPr>
        <w:tc>
          <w:tcPr>
            <w:tcW w:w="3257" w:type="dxa"/>
            <w:shd w:val="clear" w:color="auto" w:fill="auto"/>
            <w:tcMar>
              <w:left w:w="57" w:type="dxa"/>
              <w:right w:w="57" w:type="dxa"/>
            </w:tcMar>
            <w:vAlign w:val="center"/>
          </w:tcPr>
          <w:p w14:paraId="4E0A58B6" w14:textId="77777777" w:rsidR="003E5BF5" w:rsidRPr="002C5B5D" w:rsidRDefault="003E5BF5" w:rsidP="00DE1921">
            <w:pPr>
              <w:pStyle w:val="TableTextLeftItalics"/>
              <w:keepNext/>
              <w:rPr>
                <w:rFonts w:ascii="Arial" w:hAnsi="Arial" w:cs="Arial"/>
                <w:b/>
                <w:sz w:val="24"/>
                <w:szCs w:val="24"/>
              </w:rPr>
            </w:pPr>
            <w:r w:rsidRPr="002C5B5D">
              <w:rPr>
                <w:rFonts w:ascii="Arial" w:hAnsi="Arial" w:cs="Arial"/>
                <w:b/>
                <w:sz w:val="24"/>
                <w:szCs w:val="24"/>
              </w:rPr>
              <w:t>Cost</w:t>
            </w:r>
          </w:p>
        </w:tc>
        <w:tc>
          <w:tcPr>
            <w:tcW w:w="1102" w:type="dxa"/>
            <w:shd w:val="clear" w:color="auto" w:fill="auto"/>
            <w:tcMar>
              <w:left w:w="57" w:type="dxa"/>
              <w:right w:w="57" w:type="dxa"/>
            </w:tcMar>
            <w:vAlign w:val="center"/>
          </w:tcPr>
          <w:p w14:paraId="7DFA254A" w14:textId="77777777" w:rsidR="003E5BF5" w:rsidRPr="002C5B5D" w:rsidRDefault="003E5BF5" w:rsidP="00DE1921">
            <w:pPr>
              <w:pStyle w:val="TableTextRight"/>
              <w:keepNext/>
              <w:rPr>
                <w:rFonts w:ascii="Arial" w:hAnsi="Arial" w:cs="Arial"/>
                <w:b/>
                <w:sz w:val="24"/>
                <w:szCs w:val="24"/>
              </w:rPr>
            </w:pPr>
          </w:p>
        </w:tc>
        <w:tc>
          <w:tcPr>
            <w:tcW w:w="1069" w:type="dxa"/>
            <w:shd w:val="clear" w:color="auto" w:fill="auto"/>
            <w:tcMar>
              <w:left w:w="57" w:type="dxa"/>
              <w:right w:w="57" w:type="dxa"/>
            </w:tcMar>
            <w:vAlign w:val="center"/>
          </w:tcPr>
          <w:p w14:paraId="00758CA9" w14:textId="77777777" w:rsidR="003E5BF5" w:rsidRPr="002C5B5D" w:rsidRDefault="003E5BF5" w:rsidP="00DE1921">
            <w:pPr>
              <w:pStyle w:val="TableTextRight"/>
              <w:keepNext/>
              <w:rPr>
                <w:rFonts w:ascii="Arial" w:hAnsi="Arial" w:cs="Arial"/>
                <w:b/>
                <w:sz w:val="24"/>
                <w:szCs w:val="24"/>
              </w:rPr>
            </w:pPr>
          </w:p>
        </w:tc>
        <w:tc>
          <w:tcPr>
            <w:tcW w:w="1026" w:type="dxa"/>
            <w:shd w:val="clear" w:color="auto" w:fill="auto"/>
            <w:tcMar>
              <w:left w:w="57" w:type="dxa"/>
              <w:right w:w="57" w:type="dxa"/>
            </w:tcMar>
            <w:vAlign w:val="center"/>
          </w:tcPr>
          <w:p w14:paraId="38A1DDC7" w14:textId="77777777" w:rsidR="003E5BF5" w:rsidRPr="002C5B5D" w:rsidRDefault="003E5BF5" w:rsidP="00DE1921">
            <w:pPr>
              <w:pStyle w:val="TableTextRight"/>
              <w:keepNext/>
              <w:rPr>
                <w:rFonts w:ascii="Arial" w:hAnsi="Arial" w:cs="Arial"/>
                <w:b/>
                <w:sz w:val="24"/>
                <w:szCs w:val="24"/>
              </w:rPr>
            </w:pPr>
          </w:p>
        </w:tc>
        <w:tc>
          <w:tcPr>
            <w:tcW w:w="1582" w:type="dxa"/>
            <w:shd w:val="clear" w:color="auto" w:fill="auto"/>
            <w:tcMar>
              <w:left w:w="57" w:type="dxa"/>
              <w:right w:w="57" w:type="dxa"/>
            </w:tcMar>
            <w:vAlign w:val="center"/>
          </w:tcPr>
          <w:p w14:paraId="34C5DF7B" w14:textId="77777777" w:rsidR="003E5BF5" w:rsidRPr="002C5B5D" w:rsidRDefault="003E5BF5" w:rsidP="00DE1921">
            <w:pPr>
              <w:pStyle w:val="TableTextRight"/>
              <w:keepNext/>
              <w:rPr>
                <w:rFonts w:ascii="Arial" w:hAnsi="Arial" w:cs="Arial"/>
                <w:b/>
                <w:sz w:val="24"/>
                <w:szCs w:val="24"/>
              </w:rPr>
            </w:pPr>
          </w:p>
        </w:tc>
        <w:tc>
          <w:tcPr>
            <w:tcW w:w="1036" w:type="dxa"/>
            <w:shd w:val="clear" w:color="auto" w:fill="auto"/>
            <w:tcMar>
              <w:left w:w="57" w:type="dxa"/>
              <w:right w:w="57" w:type="dxa"/>
            </w:tcMar>
            <w:vAlign w:val="center"/>
          </w:tcPr>
          <w:p w14:paraId="261B3BDD" w14:textId="77777777" w:rsidR="003E5BF5" w:rsidRPr="002C5B5D" w:rsidRDefault="003E5BF5" w:rsidP="00DE1921">
            <w:pPr>
              <w:pStyle w:val="TableTextRight"/>
              <w:keepNext/>
              <w:rPr>
                <w:rFonts w:ascii="Arial" w:hAnsi="Arial" w:cs="Arial"/>
                <w:b/>
                <w:sz w:val="24"/>
                <w:szCs w:val="24"/>
              </w:rPr>
            </w:pPr>
          </w:p>
        </w:tc>
      </w:tr>
      <w:tr w:rsidR="003E5BF5" w:rsidRPr="002C5B5D" w14:paraId="04ACB7F5" w14:textId="77777777" w:rsidTr="00DD0AB6">
        <w:trPr>
          <w:trHeight w:val="340"/>
        </w:trPr>
        <w:tc>
          <w:tcPr>
            <w:tcW w:w="3257" w:type="dxa"/>
            <w:shd w:val="clear" w:color="auto" w:fill="auto"/>
            <w:tcMar>
              <w:left w:w="57" w:type="dxa"/>
              <w:right w:w="57" w:type="dxa"/>
            </w:tcMar>
            <w:vAlign w:val="center"/>
          </w:tcPr>
          <w:p w14:paraId="578253EF" w14:textId="77777777" w:rsidR="003E5BF5" w:rsidRPr="002C5B5D" w:rsidRDefault="003E5BF5" w:rsidP="00DE1921">
            <w:pPr>
              <w:pStyle w:val="TableTextLeft"/>
              <w:keepNext/>
              <w:rPr>
                <w:rFonts w:ascii="Arial" w:hAnsi="Arial" w:cs="Arial"/>
                <w:sz w:val="24"/>
                <w:szCs w:val="24"/>
              </w:rPr>
            </w:pPr>
            <w:r w:rsidRPr="002C5B5D">
              <w:rPr>
                <w:rFonts w:ascii="Arial" w:hAnsi="Arial" w:cs="Arial"/>
                <w:sz w:val="24"/>
                <w:szCs w:val="24"/>
              </w:rPr>
              <w:t>Total output cost</w:t>
            </w:r>
          </w:p>
        </w:tc>
        <w:tc>
          <w:tcPr>
            <w:tcW w:w="1102" w:type="dxa"/>
            <w:shd w:val="clear" w:color="auto" w:fill="auto"/>
            <w:tcMar>
              <w:left w:w="57" w:type="dxa"/>
              <w:right w:w="57" w:type="dxa"/>
            </w:tcMar>
            <w:vAlign w:val="center"/>
          </w:tcPr>
          <w:p w14:paraId="3DDAEAD7" w14:textId="77777777" w:rsidR="003E5BF5" w:rsidRPr="002C5B5D" w:rsidRDefault="003E5BF5" w:rsidP="00DE1921">
            <w:pPr>
              <w:pStyle w:val="TableTextRight"/>
              <w:keepNext/>
              <w:rPr>
                <w:rFonts w:ascii="Arial" w:hAnsi="Arial" w:cs="Arial"/>
                <w:sz w:val="24"/>
                <w:szCs w:val="24"/>
              </w:rPr>
            </w:pPr>
            <w:r w:rsidRPr="002C5B5D">
              <w:rPr>
                <w:rFonts w:ascii="Arial" w:hAnsi="Arial" w:cs="Arial"/>
                <w:sz w:val="24"/>
                <w:szCs w:val="24"/>
              </w:rPr>
              <w:t>$ million</w:t>
            </w:r>
          </w:p>
        </w:tc>
        <w:tc>
          <w:tcPr>
            <w:tcW w:w="1069" w:type="dxa"/>
            <w:shd w:val="clear" w:color="auto" w:fill="auto"/>
            <w:tcMar>
              <w:left w:w="57" w:type="dxa"/>
              <w:right w:w="57" w:type="dxa"/>
            </w:tcMar>
            <w:vAlign w:val="center"/>
          </w:tcPr>
          <w:p w14:paraId="12700CFB" w14:textId="77777777" w:rsidR="003E5BF5" w:rsidRPr="002C5B5D" w:rsidRDefault="003E5BF5" w:rsidP="00DE1921">
            <w:pPr>
              <w:pStyle w:val="TableTextRight"/>
              <w:keepNext/>
              <w:rPr>
                <w:rFonts w:ascii="Arial" w:hAnsi="Arial" w:cs="Arial"/>
                <w:sz w:val="24"/>
                <w:szCs w:val="24"/>
              </w:rPr>
            </w:pPr>
            <w:r w:rsidRPr="002C5B5D">
              <w:rPr>
                <w:rFonts w:ascii="Arial" w:hAnsi="Arial" w:cs="Arial"/>
                <w:sz w:val="24"/>
                <w:szCs w:val="24"/>
              </w:rPr>
              <w:t>28.1</w:t>
            </w:r>
          </w:p>
        </w:tc>
        <w:tc>
          <w:tcPr>
            <w:tcW w:w="1026" w:type="dxa"/>
            <w:shd w:val="clear" w:color="auto" w:fill="auto"/>
            <w:tcMar>
              <w:left w:w="57" w:type="dxa"/>
              <w:right w:w="57" w:type="dxa"/>
            </w:tcMar>
            <w:vAlign w:val="center"/>
          </w:tcPr>
          <w:p w14:paraId="6FAEA89C" w14:textId="77777777" w:rsidR="003E5BF5" w:rsidRPr="002C5B5D" w:rsidRDefault="003E5BF5" w:rsidP="00DE1921">
            <w:pPr>
              <w:pStyle w:val="TableTextRight"/>
              <w:keepNext/>
              <w:rPr>
                <w:rFonts w:ascii="Arial" w:hAnsi="Arial" w:cs="Arial"/>
                <w:sz w:val="24"/>
                <w:szCs w:val="24"/>
              </w:rPr>
            </w:pPr>
            <w:r w:rsidRPr="002C5B5D">
              <w:rPr>
                <w:rFonts w:ascii="Arial" w:hAnsi="Arial" w:cs="Arial"/>
                <w:sz w:val="24"/>
                <w:szCs w:val="24"/>
              </w:rPr>
              <w:t>27.6</w:t>
            </w:r>
          </w:p>
        </w:tc>
        <w:tc>
          <w:tcPr>
            <w:tcW w:w="1582" w:type="dxa"/>
            <w:shd w:val="clear" w:color="auto" w:fill="auto"/>
            <w:tcMar>
              <w:left w:w="57" w:type="dxa"/>
              <w:right w:w="57" w:type="dxa"/>
            </w:tcMar>
            <w:vAlign w:val="center"/>
          </w:tcPr>
          <w:p w14:paraId="1A87680D" w14:textId="77777777" w:rsidR="003E5BF5" w:rsidRPr="002C5B5D" w:rsidRDefault="003E5BF5" w:rsidP="00DE1921">
            <w:pPr>
              <w:pStyle w:val="TableTextRight"/>
              <w:keepNext/>
              <w:rPr>
                <w:rFonts w:ascii="Arial" w:hAnsi="Arial" w:cs="Arial"/>
                <w:sz w:val="24"/>
                <w:szCs w:val="24"/>
              </w:rPr>
            </w:pPr>
            <w:r w:rsidRPr="002C5B5D">
              <w:rPr>
                <w:rFonts w:ascii="Arial" w:hAnsi="Arial" w:cs="Arial"/>
                <w:sz w:val="24"/>
                <w:szCs w:val="24"/>
              </w:rPr>
              <w:t>1.7</w:t>
            </w:r>
          </w:p>
        </w:tc>
        <w:tc>
          <w:tcPr>
            <w:tcW w:w="1036" w:type="dxa"/>
            <w:shd w:val="clear" w:color="auto" w:fill="auto"/>
            <w:tcMar>
              <w:left w:w="57" w:type="dxa"/>
              <w:right w:w="57" w:type="dxa"/>
            </w:tcMar>
            <w:vAlign w:val="center"/>
          </w:tcPr>
          <w:p w14:paraId="57AF8C78" w14:textId="77777777" w:rsidR="003E5BF5" w:rsidRPr="002C5B5D" w:rsidRDefault="003E5BF5" w:rsidP="00DE1921">
            <w:pPr>
              <w:pStyle w:val="TableTextCentre"/>
              <w:keepNext/>
              <w:spacing w:before="40"/>
              <w:jc w:val="right"/>
              <w:rPr>
                <w:rFonts w:ascii="Arial" w:hAnsi="Arial" w:cs="Arial"/>
                <w:sz w:val="24"/>
                <w:szCs w:val="24"/>
              </w:rPr>
            </w:pPr>
            <w:r w:rsidRPr="002C5B5D">
              <w:rPr>
                <w:rFonts w:ascii="Arial" w:hAnsi="Arial" w:cs="Arial"/>
                <w:sz w:val="24"/>
                <w:szCs w:val="24"/>
              </w:rPr>
              <w:sym w:font="Wingdings 2" w:char="F099"/>
            </w:r>
          </w:p>
        </w:tc>
      </w:tr>
    </w:tbl>
    <w:p w14:paraId="7119D5BE" w14:textId="77777777" w:rsidR="003E5BF5" w:rsidRPr="002C5B5D" w:rsidRDefault="003E5BF5">
      <w:pPr>
        <w:pStyle w:val="Note"/>
        <w:rPr>
          <w:rFonts w:ascii="Arial" w:hAnsi="Arial" w:cs="Arial"/>
          <w:sz w:val="24"/>
          <w:szCs w:val="24"/>
        </w:rPr>
      </w:pPr>
      <w:r w:rsidRPr="002C5B5D">
        <w:rPr>
          <w:rFonts w:ascii="Arial" w:hAnsi="Arial" w:cs="Arial"/>
          <w:sz w:val="24"/>
          <w:szCs w:val="24"/>
        </w:rPr>
        <w:t>Notes:</w:t>
      </w:r>
    </w:p>
    <w:p w14:paraId="0729CC85" w14:textId="77777777" w:rsidR="003E5BF5" w:rsidRPr="002C5B5D" w:rsidRDefault="003E5BF5" w:rsidP="00610F5F">
      <w:pPr>
        <w:pStyle w:val="Note"/>
        <w:numPr>
          <w:ilvl w:val="0"/>
          <w:numId w:val="30"/>
        </w:numPr>
        <w:spacing w:line="360" w:lineRule="auto"/>
        <w:ind w:left="340" w:hanging="227"/>
        <w:rPr>
          <w:rFonts w:ascii="Arial" w:hAnsi="Arial" w:cs="Arial"/>
          <w:sz w:val="24"/>
          <w:szCs w:val="24"/>
        </w:rPr>
      </w:pPr>
      <w:r w:rsidRPr="002C5B5D">
        <w:rPr>
          <w:rFonts w:ascii="Arial" w:hAnsi="Arial" w:cs="Arial"/>
          <w:sz w:val="24"/>
          <w:szCs w:val="24"/>
        </w:rPr>
        <w:t>Due to rail safety activities transferred to the Office of the National Rail Safety Regulator on 1 December 2019, TSV will no longer report on this activity. Measures are proposed to be discontinued.</w:t>
      </w:r>
    </w:p>
    <w:p w14:paraId="6997AC68" w14:textId="77777777" w:rsidR="003E5BF5" w:rsidRPr="002C5B5D" w:rsidRDefault="003E5BF5" w:rsidP="00580FD7">
      <w:pPr>
        <w:pStyle w:val="Notenumber123"/>
        <w:numPr>
          <w:ilvl w:val="0"/>
          <w:numId w:val="0"/>
        </w:numPr>
        <w:ind w:left="113"/>
        <w:rPr>
          <w:rFonts w:ascii="Arial" w:hAnsi="Arial" w:cs="Arial"/>
          <w:sz w:val="24"/>
          <w:szCs w:val="24"/>
        </w:rPr>
      </w:pPr>
      <w:r w:rsidRPr="002C5B5D">
        <w:rPr>
          <w:rFonts w:ascii="Arial" w:hAnsi="Arial" w:cs="Arial"/>
          <w:sz w:val="24"/>
          <w:szCs w:val="24"/>
        </w:rPr>
        <w:sym w:font="Wingdings 2" w:char="F050"/>
      </w:r>
      <w:r w:rsidRPr="002C5B5D">
        <w:rPr>
          <w:rFonts w:ascii="Arial" w:hAnsi="Arial" w:cs="Arial"/>
          <w:sz w:val="24"/>
          <w:szCs w:val="24"/>
        </w:rPr>
        <w:t xml:space="preserve"> Performance target achieved or exceeded</w:t>
      </w:r>
    </w:p>
    <w:p w14:paraId="7ABE046B" w14:textId="77777777" w:rsidR="003E5BF5" w:rsidRPr="002C5B5D" w:rsidRDefault="003E5BF5" w:rsidP="00580FD7">
      <w:pPr>
        <w:pStyle w:val="Notenumber123"/>
        <w:numPr>
          <w:ilvl w:val="0"/>
          <w:numId w:val="0"/>
        </w:numPr>
        <w:ind w:left="113"/>
        <w:rPr>
          <w:rFonts w:ascii="Arial" w:hAnsi="Arial" w:cs="Arial"/>
          <w:sz w:val="24"/>
          <w:szCs w:val="24"/>
        </w:rPr>
      </w:pPr>
      <w:r w:rsidRPr="002C5B5D">
        <w:rPr>
          <w:rFonts w:ascii="Arial" w:hAnsi="Arial" w:cs="Arial"/>
          <w:sz w:val="24"/>
          <w:szCs w:val="24"/>
        </w:rPr>
        <w:sym w:font="Wingdings 2" w:char="F099"/>
      </w:r>
      <w:r w:rsidRPr="002C5B5D">
        <w:rPr>
          <w:rFonts w:ascii="Arial" w:hAnsi="Arial" w:cs="Arial"/>
          <w:sz w:val="24"/>
          <w:szCs w:val="24"/>
        </w:rPr>
        <w:t xml:space="preserve"> Performance target not achieved – within 5 per cent or $50 million (cost measure only) variance</w:t>
      </w:r>
    </w:p>
    <w:p w14:paraId="66BC79A0" w14:textId="77777777" w:rsidR="003E5BF5" w:rsidRPr="002C5B5D" w:rsidRDefault="003E5BF5" w:rsidP="00580FD7">
      <w:pPr>
        <w:pStyle w:val="Notenumber123"/>
        <w:numPr>
          <w:ilvl w:val="0"/>
          <w:numId w:val="0"/>
        </w:numPr>
        <w:ind w:left="340" w:hanging="227"/>
        <w:rPr>
          <w:rFonts w:ascii="Arial" w:hAnsi="Arial" w:cs="Arial"/>
          <w:sz w:val="24"/>
          <w:szCs w:val="24"/>
        </w:rPr>
      </w:pPr>
      <w:r w:rsidRPr="002C5B5D">
        <w:rPr>
          <w:rFonts w:ascii="Arial" w:hAnsi="Arial" w:cs="Arial"/>
          <w:sz w:val="24"/>
          <w:szCs w:val="24"/>
        </w:rPr>
        <w:sym w:font="Wingdings 2" w:char="F0A1"/>
      </w:r>
      <w:r w:rsidRPr="002C5B5D">
        <w:rPr>
          <w:rFonts w:ascii="Arial" w:hAnsi="Arial" w:cs="Arial"/>
          <w:sz w:val="24"/>
          <w:szCs w:val="24"/>
        </w:rPr>
        <w:t xml:space="preserve"> Performance target not achieved – exceeds 5 per cent or $50 million (cost measure only) variance</w:t>
      </w:r>
    </w:p>
    <w:p w14:paraId="6792D999" w14:textId="77777777" w:rsidR="003E5BF5" w:rsidRDefault="003E5BF5" w:rsidP="00DE1921">
      <w:pPr>
        <w:rPr>
          <w:rFonts w:eastAsiaTheme="majorEastAsia" w:cstheme="majorBidi"/>
          <w:color w:val="00BAC0"/>
          <w:spacing w:val="-10"/>
          <w:kern w:val="28"/>
          <w:sz w:val="28"/>
          <w:szCs w:val="24"/>
        </w:rPr>
      </w:pPr>
      <w:r>
        <w:rPr>
          <w:color w:val="00BAC0"/>
          <w:sz w:val="28"/>
        </w:rPr>
        <w:br w:type="page"/>
      </w:r>
    </w:p>
    <w:p w14:paraId="07B2A0B2" w14:textId="77777777" w:rsidR="003E5BF5" w:rsidRPr="002F0322" w:rsidRDefault="003E5BF5" w:rsidP="008A0170">
      <w:pPr>
        <w:pStyle w:val="Heading2"/>
      </w:pPr>
      <w:r w:rsidRPr="002F0322">
        <w:lastRenderedPageBreak/>
        <w:t xml:space="preserve">Objective </w:t>
      </w:r>
      <w:r>
        <w:t>3</w:t>
      </w:r>
    </w:p>
    <w:p w14:paraId="6ACB8588" w14:textId="77777777" w:rsidR="003E5BF5" w:rsidRPr="002F0322" w:rsidRDefault="003E5BF5" w:rsidP="00EF5131">
      <w:pPr>
        <w:pStyle w:val="Heading5"/>
      </w:pPr>
      <w:r>
        <w:t>Better connected communities through improved infrastructure</w:t>
      </w:r>
      <w:r w:rsidRPr="002F0322">
        <w:t xml:space="preserve">. </w:t>
      </w:r>
    </w:p>
    <w:p w14:paraId="1CCEAD71" w14:textId="77777777" w:rsidR="003E5BF5" w:rsidRDefault="003E5BF5" w:rsidP="00091232">
      <w:pPr>
        <w:pStyle w:val="aaatyping"/>
      </w:pPr>
      <w:r w:rsidRPr="001A3D12">
        <w:t>The department delivers infrastructure investments to transform the way that Victorians travel.</w:t>
      </w:r>
      <w:r>
        <w:t xml:space="preserve"> </w:t>
      </w:r>
      <w:r w:rsidRPr="00793E5D">
        <w:t xml:space="preserve">The department achieves this objective by </w:t>
      </w:r>
      <w:r>
        <w:t>delivering a range of capital initiatives and programs and strategic transport infrastructure projects to improve the transport network.</w:t>
      </w:r>
    </w:p>
    <w:p w14:paraId="3FE0856B" w14:textId="77777777" w:rsidR="003E5BF5" w:rsidRPr="002F0322" w:rsidRDefault="003E5BF5" w:rsidP="00EF5131">
      <w:pPr>
        <w:pStyle w:val="Heading5"/>
      </w:pPr>
      <w:r w:rsidRPr="002F0322">
        <w:t>Port</w:t>
      </w:r>
      <w:r>
        <w:t xml:space="preserve">s, </w:t>
      </w:r>
      <w:r w:rsidRPr="002F0322">
        <w:t xml:space="preserve">Freight </w:t>
      </w:r>
      <w:r>
        <w:t xml:space="preserve">and Boating </w:t>
      </w:r>
    </w:p>
    <w:p w14:paraId="236B2AA5" w14:textId="77777777" w:rsidR="003E5BF5" w:rsidRDefault="003E5BF5" w:rsidP="00091232">
      <w:pPr>
        <w:pStyle w:val="aaatyping"/>
      </w:pPr>
      <w:r>
        <w:t>This output contributes to the departments objective by delivering a range of capital initiatives and programs to increase the capacity, efficiency and safety of the ports, freight and logistic network and improve recreational boating services and facilities.</w:t>
      </w:r>
    </w:p>
    <w:p w14:paraId="614FCE70" w14:textId="77777777" w:rsidR="003E5BF5" w:rsidRPr="002C5B5D" w:rsidRDefault="003E5BF5" w:rsidP="00CF74EB">
      <w:pPr>
        <w:pStyle w:val="TableHeader"/>
      </w:pPr>
      <w:r w:rsidRPr="002C5B5D">
        <w:t>Ports, Freight and Boating</w:t>
      </w:r>
    </w:p>
    <w:tbl>
      <w:tblPr>
        <w:tblStyle w:val="TableGrid"/>
        <w:tblW w:w="9072" w:type="dxa"/>
        <w:tblCellMar>
          <w:left w:w="28" w:type="dxa"/>
          <w:right w:w="28" w:type="dxa"/>
        </w:tblCellMar>
        <w:tblLook w:val="04A0" w:firstRow="1" w:lastRow="0" w:firstColumn="1" w:lastColumn="0" w:noHBand="0" w:noVBand="1"/>
      </w:tblPr>
      <w:tblGrid>
        <w:gridCol w:w="3250"/>
        <w:gridCol w:w="1102"/>
        <w:gridCol w:w="1046"/>
        <w:gridCol w:w="1046"/>
        <w:gridCol w:w="1582"/>
        <w:gridCol w:w="1046"/>
      </w:tblGrid>
      <w:tr w:rsidR="003E5BF5" w:rsidRPr="002C5B5D" w14:paraId="16BBA63E" w14:textId="77777777" w:rsidTr="00632A78">
        <w:trPr>
          <w:trHeight w:val="312"/>
          <w:tblHeader/>
        </w:trPr>
        <w:tc>
          <w:tcPr>
            <w:tcW w:w="3456" w:type="dxa"/>
            <w:shd w:val="clear" w:color="auto" w:fill="auto"/>
            <w:tcMar>
              <w:left w:w="57" w:type="dxa"/>
              <w:right w:w="57" w:type="dxa"/>
            </w:tcMar>
          </w:tcPr>
          <w:p w14:paraId="4DAF7800" w14:textId="77777777" w:rsidR="003E5BF5" w:rsidRPr="002C5B5D" w:rsidRDefault="003E5BF5" w:rsidP="00DE1921">
            <w:pPr>
              <w:pStyle w:val="TableTextLeftBold"/>
              <w:rPr>
                <w:rFonts w:ascii="Arial" w:hAnsi="Arial" w:cs="Arial"/>
                <w:sz w:val="24"/>
                <w:szCs w:val="24"/>
              </w:rPr>
            </w:pPr>
            <w:r w:rsidRPr="002C5B5D">
              <w:rPr>
                <w:rFonts w:ascii="Arial" w:hAnsi="Arial" w:cs="Arial"/>
                <w:sz w:val="24"/>
                <w:szCs w:val="24"/>
              </w:rPr>
              <w:t>Performance measures</w:t>
            </w:r>
          </w:p>
        </w:tc>
        <w:tc>
          <w:tcPr>
            <w:tcW w:w="1070" w:type="dxa"/>
            <w:shd w:val="clear" w:color="auto" w:fill="auto"/>
            <w:tcMar>
              <w:left w:w="57" w:type="dxa"/>
              <w:right w:w="57" w:type="dxa"/>
            </w:tcMar>
          </w:tcPr>
          <w:p w14:paraId="5F9B859E"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unit of measure</w:t>
            </w:r>
          </w:p>
        </w:tc>
        <w:tc>
          <w:tcPr>
            <w:tcW w:w="1070" w:type="dxa"/>
            <w:shd w:val="clear" w:color="auto" w:fill="auto"/>
            <w:tcMar>
              <w:left w:w="57" w:type="dxa"/>
              <w:right w:w="57" w:type="dxa"/>
            </w:tcMar>
          </w:tcPr>
          <w:p w14:paraId="6C61F4A2"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actual</w:t>
            </w:r>
          </w:p>
        </w:tc>
        <w:tc>
          <w:tcPr>
            <w:tcW w:w="1070" w:type="dxa"/>
            <w:shd w:val="clear" w:color="auto" w:fill="auto"/>
            <w:tcMar>
              <w:left w:w="57" w:type="dxa"/>
              <w:right w:w="57" w:type="dxa"/>
            </w:tcMar>
          </w:tcPr>
          <w:p w14:paraId="04F2DCD2"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2019-20 target</w:t>
            </w:r>
          </w:p>
        </w:tc>
        <w:tc>
          <w:tcPr>
            <w:tcW w:w="1336" w:type="dxa"/>
            <w:shd w:val="clear" w:color="auto" w:fill="auto"/>
            <w:tcMar>
              <w:left w:w="57" w:type="dxa"/>
              <w:right w:w="57" w:type="dxa"/>
            </w:tcMar>
          </w:tcPr>
          <w:p w14:paraId="740E2267"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Performance variation (%)</w:t>
            </w:r>
          </w:p>
        </w:tc>
        <w:tc>
          <w:tcPr>
            <w:tcW w:w="1070" w:type="dxa"/>
            <w:shd w:val="clear" w:color="auto" w:fill="auto"/>
            <w:tcMar>
              <w:left w:w="57" w:type="dxa"/>
              <w:right w:w="57" w:type="dxa"/>
            </w:tcMar>
          </w:tcPr>
          <w:p w14:paraId="5D4AB982" w14:textId="77777777" w:rsidR="003E5BF5" w:rsidRPr="002C5B5D" w:rsidRDefault="003E5BF5" w:rsidP="00DE1921">
            <w:pPr>
              <w:pStyle w:val="TableTextRightBold"/>
              <w:rPr>
                <w:rFonts w:ascii="Arial" w:hAnsi="Arial" w:cs="Arial"/>
                <w:sz w:val="24"/>
                <w:szCs w:val="24"/>
              </w:rPr>
            </w:pPr>
            <w:r w:rsidRPr="002C5B5D">
              <w:rPr>
                <w:rFonts w:ascii="Arial" w:hAnsi="Arial" w:cs="Arial"/>
                <w:sz w:val="24"/>
                <w:szCs w:val="24"/>
              </w:rPr>
              <w:t>Result</w:t>
            </w:r>
          </w:p>
        </w:tc>
      </w:tr>
      <w:tr w:rsidR="003E5BF5" w:rsidRPr="002C5B5D" w14:paraId="1773BAE4" w14:textId="77777777" w:rsidTr="00632A78">
        <w:trPr>
          <w:trHeight w:val="340"/>
        </w:trPr>
        <w:tc>
          <w:tcPr>
            <w:tcW w:w="3456" w:type="dxa"/>
            <w:shd w:val="clear" w:color="auto" w:fill="auto"/>
            <w:tcMar>
              <w:left w:w="57" w:type="dxa"/>
              <w:right w:w="57" w:type="dxa"/>
            </w:tcMar>
            <w:vAlign w:val="center"/>
          </w:tcPr>
          <w:p w14:paraId="37E54F39"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Quantity</w:t>
            </w:r>
          </w:p>
        </w:tc>
        <w:tc>
          <w:tcPr>
            <w:tcW w:w="1070" w:type="dxa"/>
            <w:shd w:val="clear" w:color="auto" w:fill="auto"/>
            <w:tcMar>
              <w:left w:w="57" w:type="dxa"/>
              <w:right w:w="57" w:type="dxa"/>
            </w:tcMar>
            <w:vAlign w:val="center"/>
          </w:tcPr>
          <w:p w14:paraId="731D081C"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3BCD022C"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42D93052"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211F8791"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51A08DFB" w14:textId="77777777" w:rsidR="003E5BF5" w:rsidRPr="002C5B5D" w:rsidRDefault="003E5BF5" w:rsidP="00DE1921">
            <w:pPr>
              <w:pStyle w:val="TableTextRight"/>
              <w:rPr>
                <w:rFonts w:ascii="Arial" w:hAnsi="Arial" w:cs="Arial"/>
                <w:sz w:val="24"/>
                <w:szCs w:val="24"/>
              </w:rPr>
            </w:pPr>
          </w:p>
        </w:tc>
      </w:tr>
      <w:tr w:rsidR="003E5BF5" w:rsidRPr="002C5B5D" w14:paraId="76A069BF" w14:textId="77777777" w:rsidTr="00632A78">
        <w:trPr>
          <w:trHeight w:val="340"/>
        </w:trPr>
        <w:tc>
          <w:tcPr>
            <w:tcW w:w="3456" w:type="dxa"/>
            <w:shd w:val="clear" w:color="auto" w:fill="auto"/>
            <w:tcMar>
              <w:left w:w="57" w:type="dxa"/>
              <w:right w:w="57" w:type="dxa"/>
            </w:tcMar>
            <w:vAlign w:val="center"/>
          </w:tcPr>
          <w:p w14:paraId="4DD57519"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Better boating initiatives commenced</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10FA29B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681FC91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7</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26736A1A"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7</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34BA37F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6702EF3A"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25FFBEE3" w14:textId="77777777" w:rsidTr="00632A78">
        <w:trPr>
          <w:trHeight w:val="340"/>
        </w:trPr>
        <w:tc>
          <w:tcPr>
            <w:tcW w:w="3456" w:type="dxa"/>
            <w:shd w:val="clear" w:color="auto" w:fill="auto"/>
            <w:tcMar>
              <w:left w:w="57" w:type="dxa"/>
              <w:right w:w="57" w:type="dxa"/>
            </w:tcMar>
          </w:tcPr>
          <w:p w14:paraId="0305B0E3"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Containers transported by rail under the Mode Shift Incentive Scheme program</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0C5FA88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4CD19931"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32,734</w:t>
            </w:r>
            <w:r w:rsidRPr="002C5B5D">
              <w:rPr>
                <w:rFonts w:ascii="Arial" w:hAnsi="Arial" w:cs="Arial"/>
                <w:sz w:val="24"/>
                <w:szCs w:val="24"/>
              </w:rPr>
              <w:fldChar w:fldCharType="end"/>
            </w:r>
          </w:p>
        </w:tc>
        <w:tc>
          <w:tcPr>
            <w:tcW w:w="1070" w:type="dxa"/>
            <w:shd w:val="clear" w:color="auto" w:fill="auto"/>
            <w:tcMar>
              <w:left w:w="57" w:type="dxa"/>
              <w:right w:w="57" w:type="dxa"/>
            </w:tcMar>
          </w:tcPr>
          <w:p w14:paraId="1FEEBC3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42,500</w:t>
            </w:r>
            <w:r w:rsidRPr="002C5B5D">
              <w:rPr>
                <w:rFonts w:ascii="Arial" w:hAnsi="Arial" w:cs="Arial"/>
                <w:sz w:val="24"/>
                <w:szCs w:val="24"/>
              </w:rPr>
              <w:fldChar w:fldCharType="end"/>
            </w:r>
          </w:p>
        </w:tc>
        <w:tc>
          <w:tcPr>
            <w:tcW w:w="1336" w:type="dxa"/>
            <w:shd w:val="clear" w:color="auto" w:fill="auto"/>
            <w:tcMar>
              <w:left w:w="57" w:type="dxa"/>
              <w:right w:w="57" w:type="dxa"/>
            </w:tcMar>
          </w:tcPr>
          <w:p w14:paraId="24B76937"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-23.0</w:t>
            </w:r>
            <w:r w:rsidRPr="002C5B5D">
              <w:rPr>
                <w:rFonts w:ascii="Arial" w:hAnsi="Arial" w:cs="Arial"/>
                <w:sz w:val="24"/>
                <w:szCs w:val="24"/>
              </w:rPr>
              <w:fldChar w:fldCharType="end"/>
            </w:r>
          </w:p>
        </w:tc>
        <w:tc>
          <w:tcPr>
            <w:tcW w:w="1070" w:type="dxa"/>
            <w:shd w:val="clear" w:color="auto" w:fill="auto"/>
            <w:tcMar>
              <w:left w:w="57" w:type="dxa"/>
              <w:right w:w="57" w:type="dxa"/>
            </w:tcMar>
          </w:tcPr>
          <w:p w14:paraId="2B4C37A7"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53B2DDB6" w14:textId="77777777" w:rsidTr="00632A78">
        <w:tc>
          <w:tcPr>
            <w:tcW w:w="9072" w:type="dxa"/>
            <w:gridSpan w:val="6"/>
            <w:shd w:val="clear" w:color="auto" w:fill="auto"/>
            <w:tcMar>
              <w:left w:w="57" w:type="dxa"/>
              <w:right w:w="57" w:type="dxa"/>
            </w:tcMar>
          </w:tcPr>
          <w:p w14:paraId="5F4ACD4D"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drought impacting one recipient of the program, resulting in less volume of agricultural freight required to be moved than forecast.</w:t>
            </w:r>
            <w:r w:rsidRPr="002C5B5D">
              <w:rPr>
                <w:rFonts w:ascii="Arial" w:hAnsi="Arial" w:cs="Arial"/>
                <w:i/>
                <w:sz w:val="24"/>
                <w:szCs w:val="24"/>
              </w:rPr>
              <w:fldChar w:fldCharType="end"/>
            </w:r>
          </w:p>
        </w:tc>
      </w:tr>
      <w:tr w:rsidR="003E5BF5" w:rsidRPr="002C5B5D" w14:paraId="267C959F" w14:textId="77777777" w:rsidTr="00632A78">
        <w:trPr>
          <w:trHeight w:val="340"/>
        </w:trPr>
        <w:tc>
          <w:tcPr>
            <w:tcW w:w="3456" w:type="dxa"/>
            <w:shd w:val="clear" w:color="auto" w:fill="auto"/>
            <w:tcMar>
              <w:left w:w="57" w:type="dxa"/>
              <w:right w:w="57" w:type="dxa"/>
            </w:tcMar>
          </w:tcPr>
          <w:p w14:paraId="0FF067B0"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Number of months per year average channel depth at Lakes Entrance meets standards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14C672E1"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1C31CE1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12</w:t>
            </w:r>
            <w:r w:rsidRPr="002C5B5D">
              <w:rPr>
                <w:rFonts w:ascii="Arial" w:hAnsi="Arial" w:cs="Arial"/>
                <w:sz w:val="24"/>
                <w:szCs w:val="24"/>
              </w:rPr>
              <w:fldChar w:fldCharType="end"/>
            </w:r>
          </w:p>
        </w:tc>
        <w:tc>
          <w:tcPr>
            <w:tcW w:w="1070" w:type="dxa"/>
            <w:shd w:val="clear" w:color="auto" w:fill="auto"/>
            <w:tcMar>
              <w:left w:w="57" w:type="dxa"/>
              <w:right w:w="57" w:type="dxa"/>
            </w:tcMar>
          </w:tcPr>
          <w:p w14:paraId="3DBC5CF0"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w:t>
            </w:r>
            <w:r w:rsidRPr="002C5B5D">
              <w:rPr>
                <w:rFonts w:ascii="Arial" w:hAnsi="Arial" w:cs="Arial"/>
                <w:sz w:val="24"/>
                <w:szCs w:val="24"/>
              </w:rPr>
              <w:fldChar w:fldCharType="end"/>
            </w:r>
          </w:p>
        </w:tc>
        <w:tc>
          <w:tcPr>
            <w:tcW w:w="1336" w:type="dxa"/>
            <w:shd w:val="clear" w:color="auto" w:fill="auto"/>
            <w:tcMar>
              <w:left w:w="57" w:type="dxa"/>
              <w:right w:w="57" w:type="dxa"/>
            </w:tcMar>
          </w:tcPr>
          <w:p w14:paraId="7E464471"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20.0</w:t>
            </w:r>
            <w:r w:rsidRPr="002C5B5D">
              <w:rPr>
                <w:rFonts w:ascii="Arial" w:hAnsi="Arial" w:cs="Arial"/>
                <w:sz w:val="24"/>
                <w:szCs w:val="24"/>
              </w:rPr>
              <w:fldChar w:fldCharType="end"/>
            </w:r>
          </w:p>
        </w:tc>
        <w:tc>
          <w:tcPr>
            <w:tcW w:w="1070" w:type="dxa"/>
            <w:shd w:val="clear" w:color="auto" w:fill="auto"/>
            <w:tcMar>
              <w:left w:w="57" w:type="dxa"/>
              <w:right w:w="57" w:type="dxa"/>
            </w:tcMar>
          </w:tcPr>
          <w:p w14:paraId="68BC9A69"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4513A5D5" w14:textId="77777777" w:rsidTr="00632A78">
        <w:tc>
          <w:tcPr>
            <w:tcW w:w="9072" w:type="dxa"/>
            <w:gridSpan w:val="6"/>
            <w:shd w:val="clear" w:color="auto" w:fill="auto"/>
            <w:tcMar>
              <w:left w:w="57" w:type="dxa"/>
              <w:right w:w="57" w:type="dxa"/>
            </w:tcMar>
          </w:tcPr>
          <w:p w14:paraId="1484C8AF"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having a dredge vessel permanently located at Lakes Entrance enabling sand accreditation to be addressed.</w:t>
            </w:r>
            <w:r w:rsidRPr="002C5B5D">
              <w:rPr>
                <w:rFonts w:ascii="Arial" w:hAnsi="Arial" w:cs="Arial"/>
                <w:i/>
                <w:sz w:val="24"/>
                <w:szCs w:val="24"/>
              </w:rPr>
              <w:fldChar w:fldCharType="end"/>
            </w:r>
          </w:p>
        </w:tc>
      </w:tr>
      <w:tr w:rsidR="003E5BF5" w:rsidRPr="002C5B5D" w14:paraId="58C1B93F" w14:textId="77777777" w:rsidTr="00632A78">
        <w:trPr>
          <w:trHeight w:val="340"/>
        </w:trPr>
        <w:tc>
          <w:tcPr>
            <w:tcW w:w="3456" w:type="dxa"/>
            <w:shd w:val="clear" w:color="auto" w:fill="auto"/>
            <w:tcMar>
              <w:left w:w="57" w:type="dxa"/>
              <w:right w:w="57" w:type="dxa"/>
            </w:tcMar>
          </w:tcPr>
          <w:p w14:paraId="1DCDC86E"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bookmarkStart w:id="784" w:name="_Hlk46826385"/>
            <w:r w:rsidRPr="002C5B5D">
              <w:rPr>
                <w:rFonts w:ascii="Arial" w:hAnsi="Arial" w:cs="Arial"/>
                <w:sz w:val="24"/>
                <w:szCs w:val="24"/>
              </w:rPr>
              <w:fldChar w:fldCharType="begin"/>
            </w:r>
            <w:r w:rsidRPr="002C5B5D">
              <w:rPr>
                <w:rFonts w:ascii="Arial" w:hAnsi="Arial" w:cs="Arial"/>
                <w:sz w:val="24"/>
                <w:szCs w:val="24"/>
              </w:rPr>
              <w:instrText xml:space="preserve"> MERGEFIELD M_7 </w:instrText>
            </w:r>
            <w:r w:rsidRPr="002C5B5D">
              <w:rPr>
                <w:rFonts w:ascii="Arial" w:hAnsi="Arial" w:cs="Arial"/>
                <w:sz w:val="24"/>
                <w:szCs w:val="24"/>
              </w:rPr>
              <w:fldChar w:fldCharType="separate"/>
            </w:r>
            <w:r w:rsidRPr="002C5B5D">
              <w:rPr>
                <w:rFonts w:ascii="Arial" w:hAnsi="Arial" w:cs="Arial"/>
                <w:sz w:val="24"/>
                <w:szCs w:val="24"/>
              </w:rPr>
              <w:t>Progress with delivery of a Metropolitan Intermodal System – percentage of project funding expended</w:t>
            </w:r>
            <w:r w:rsidRPr="002C5B5D">
              <w:rPr>
                <w:rFonts w:ascii="Arial" w:hAnsi="Arial" w:cs="Arial"/>
                <w:sz w:val="24"/>
                <w:szCs w:val="24"/>
              </w:rPr>
              <w:fldChar w:fldCharType="end"/>
            </w:r>
            <w:bookmarkEnd w:id="784"/>
          </w:p>
        </w:tc>
        <w:tc>
          <w:tcPr>
            <w:tcW w:w="1070" w:type="dxa"/>
            <w:shd w:val="clear" w:color="auto" w:fill="auto"/>
            <w:tcMar>
              <w:left w:w="57" w:type="dxa"/>
              <w:right w:w="57" w:type="dxa"/>
            </w:tcMar>
          </w:tcPr>
          <w:p w14:paraId="7A8ED49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547E7A46"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17</w:t>
            </w:r>
          </w:p>
        </w:tc>
        <w:tc>
          <w:tcPr>
            <w:tcW w:w="1070" w:type="dxa"/>
            <w:shd w:val="clear" w:color="auto" w:fill="auto"/>
            <w:tcMar>
              <w:left w:w="57" w:type="dxa"/>
              <w:right w:w="57" w:type="dxa"/>
            </w:tcMar>
          </w:tcPr>
          <w:p w14:paraId="1325ABF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60</w:t>
            </w:r>
            <w:r w:rsidRPr="002C5B5D">
              <w:rPr>
                <w:rFonts w:ascii="Arial" w:hAnsi="Arial" w:cs="Arial"/>
                <w:sz w:val="24"/>
                <w:szCs w:val="24"/>
              </w:rPr>
              <w:fldChar w:fldCharType="end"/>
            </w:r>
          </w:p>
        </w:tc>
        <w:tc>
          <w:tcPr>
            <w:tcW w:w="1336" w:type="dxa"/>
            <w:shd w:val="clear" w:color="auto" w:fill="auto"/>
            <w:tcMar>
              <w:left w:w="57" w:type="dxa"/>
              <w:right w:w="57" w:type="dxa"/>
            </w:tcMar>
          </w:tcPr>
          <w:p w14:paraId="2743091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-71.7</w:t>
            </w:r>
            <w:r w:rsidRPr="002C5B5D">
              <w:rPr>
                <w:rFonts w:ascii="Arial" w:hAnsi="Arial" w:cs="Arial"/>
                <w:sz w:val="24"/>
                <w:szCs w:val="24"/>
              </w:rPr>
              <w:fldChar w:fldCharType="end"/>
            </w:r>
          </w:p>
        </w:tc>
        <w:tc>
          <w:tcPr>
            <w:tcW w:w="1070" w:type="dxa"/>
            <w:shd w:val="clear" w:color="auto" w:fill="auto"/>
            <w:tcMar>
              <w:left w:w="57" w:type="dxa"/>
              <w:right w:w="57" w:type="dxa"/>
            </w:tcMar>
          </w:tcPr>
          <w:p w14:paraId="51C0491D"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7FCFBE83" w14:textId="77777777" w:rsidTr="00632A78">
        <w:tc>
          <w:tcPr>
            <w:tcW w:w="9072" w:type="dxa"/>
            <w:gridSpan w:val="6"/>
            <w:shd w:val="clear" w:color="auto" w:fill="auto"/>
            <w:tcMar>
              <w:left w:w="57" w:type="dxa"/>
              <w:right w:w="57" w:type="dxa"/>
            </w:tcMar>
          </w:tcPr>
          <w:p w14:paraId="1AEC8C51"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grant payments to approved funding recipients yet to commence.</w:t>
            </w:r>
            <w:r w:rsidRPr="002C5B5D">
              <w:rPr>
                <w:rFonts w:ascii="Arial" w:hAnsi="Arial" w:cs="Arial"/>
                <w:i/>
                <w:sz w:val="24"/>
                <w:szCs w:val="24"/>
              </w:rPr>
              <w:fldChar w:fldCharType="end"/>
            </w:r>
          </w:p>
        </w:tc>
      </w:tr>
      <w:tr w:rsidR="003E5BF5" w:rsidRPr="002C5B5D" w14:paraId="1B98D916" w14:textId="77777777" w:rsidTr="00632A78">
        <w:trPr>
          <w:trHeight w:val="340"/>
        </w:trPr>
        <w:tc>
          <w:tcPr>
            <w:tcW w:w="3456" w:type="dxa"/>
            <w:shd w:val="clear" w:color="auto" w:fill="auto"/>
            <w:tcMar>
              <w:left w:w="57" w:type="dxa"/>
              <w:right w:w="57" w:type="dxa"/>
            </w:tcMar>
          </w:tcPr>
          <w:p w14:paraId="5FCCA58B"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Road-based freight accessibility and reliability improvement projects completed</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48F7AC5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tcPr>
          <w:p w14:paraId="609CA169"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8</w:t>
            </w:r>
          </w:p>
        </w:tc>
        <w:tc>
          <w:tcPr>
            <w:tcW w:w="1070" w:type="dxa"/>
            <w:shd w:val="clear" w:color="auto" w:fill="auto"/>
            <w:tcMar>
              <w:left w:w="57" w:type="dxa"/>
              <w:right w:w="57" w:type="dxa"/>
            </w:tcMar>
          </w:tcPr>
          <w:p w14:paraId="73E91E5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7</w:t>
            </w:r>
            <w:r w:rsidRPr="002C5B5D">
              <w:rPr>
                <w:rFonts w:ascii="Arial" w:hAnsi="Arial" w:cs="Arial"/>
                <w:sz w:val="24"/>
                <w:szCs w:val="24"/>
              </w:rPr>
              <w:fldChar w:fldCharType="end"/>
            </w:r>
          </w:p>
        </w:tc>
        <w:tc>
          <w:tcPr>
            <w:tcW w:w="1336" w:type="dxa"/>
            <w:shd w:val="clear" w:color="auto" w:fill="auto"/>
            <w:tcMar>
              <w:left w:w="57" w:type="dxa"/>
              <w:right w:w="57" w:type="dxa"/>
            </w:tcMar>
          </w:tcPr>
          <w:p w14:paraId="513F0B8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14.3</w:t>
            </w:r>
            <w:r w:rsidRPr="002C5B5D">
              <w:rPr>
                <w:rFonts w:ascii="Arial" w:hAnsi="Arial" w:cs="Arial"/>
                <w:sz w:val="24"/>
                <w:szCs w:val="24"/>
              </w:rPr>
              <w:fldChar w:fldCharType="end"/>
            </w:r>
          </w:p>
        </w:tc>
        <w:tc>
          <w:tcPr>
            <w:tcW w:w="1070" w:type="dxa"/>
            <w:shd w:val="clear" w:color="auto" w:fill="auto"/>
            <w:tcMar>
              <w:left w:w="57" w:type="dxa"/>
              <w:right w:w="57" w:type="dxa"/>
            </w:tcMar>
          </w:tcPr>
          <w:p w14:paraId="7AAB6043"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3CB1B23A" w14:textId="77777777" w:rsidTr="00632A78">
        <w:tc>
          <w:tcPr>
            <w:tcW w:w="9072" w:type="dxa"/>
            <w:gridSpan w:val="6"/>
            <w:shd w:val="clear" w:color="auto" w:fill="auto"/>
            <w:tcMar>
              <w:left w:w="57" w:type="dxa"/>
              <w:right w:w="57" w:type="dxa"/>
            </w:tcMar>
          </w:tcPr>
          <w:p w14:paraId="51CCE673"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t>Due to additional projects completed in 2019-20 which were not included when setting the original target.</w:t>
            </w:r>
          </w:p>
        </w:tc>
      </w:tr>
      <w:tr w:rsidR="003E5BF5" w:rsidRPr="002C5B5D" w14:paraId="6FF1135F" w14:textId="77777777" w:rsidTr="00632A78">
        <w:trPr>
          <w:trHeight w:val="340"/>
        </w:trPr>
        <w:tc>
          <w:tcPr>
            <w:tcW w:w="3456" w:type="dxa"/>
            <w:shd w:val="clear" w:color="auto" w:fill="auto"/>
            <w:tcMar>
              <w:left w:w="57" w:type="dxa"/>
              <w:right w:w="57" w:type="dxa"/>
            </w:tcMar>
            <w:vAlign w:val="center"/>
          </w:tcPr>
          <w:p w14:paraId="080F3CDB" w14:textId="77777777" w:rsidR="003E5BF5" w:rsidRPr="002C5B5D" w:rsidRDefault="003E5BF5" w:rsidP="00DE1921">
            <w:pPr>
              <w:pStyle w:val="TableTextLeftItalics"/>
              <w:rPr>
                <w:rFonts w:ascii="Arial" w:hAnsi="Arial" w:cs="Arial"/>
                <w:sz w:val="24"/>
                <w:szCs w:val="24"/>
              </w:rPr>
            </w:pPr>
            <w:r w:rsidRPr="002C5B5D">
              <w:rPr>
                <w:rFonts w:ascii="Arial" w:hAnsi="Arial" w:cs="Arial"/>
                <w:b/>
                <w:sz w:val="24"/>
                <w:szCs w:val="24"/>
              </w:rPr>
              <w:lastRenderedPageBreak/>
              <w:t>Quality</w:t>
            </w:r>
          </w:p>
        </w:tc>
        <w:tc>
          <w:tcPr>
            <w:tcW w:w="1070" w:type="dxa"/>
            <w:shd w:val="clear" w:color="auto" w:fill="auto"/>
            <w:tcMar>
              <w:left w:w="57" w:type="dxa"/>
              <w:right w:w="57" w:type="dxa"/>
            </w:tcMar>
          </w:tcPr>
          <w:p w14:paraId="4B9E529C"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tcPr>
          <w:p w14:paraId="13D3F53B"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tcPr>
          <w:p w14:paraId="457381A5"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tcPr>
          <w:p w14:paraId="7B416D08"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tcPr>
          <w:p w14:paraId="1800C0CC" w14:textId="77777777" w:rsidR="003E5BF5" w:rsidRPr="002C5B5D" w:rsidRDefault="003E5BF5" w:rsidP="00DE1921">
            <w:pPr>
              <w:pStyle w:val="TableTextCentre"/>
              <w:spacing w:before="40"/>
              <w:jc w:val="right"/>
              <w:rPr>
                <w:rFonts w:ascii="Arial" w:hAnsi="Arial" w:cs="Arial"/>
                <w:sz w:val="24"/>
                <w:szCs w:val="24"/>
              </w:rPr>
            </w:pPr>
          </w:p>
        </w:tc>
      </w:tr>
      <w:tr w:rsidR="003E5BF5" w:rsidRPr="002C5B5D" w14:paraId="3E7FBC73" w14:textId="77777777" w:rsidTr="00632A78">
        <w:trPr>
          <w:trHeight w:val="340"/>
        </w:trPr>
        <w:tc>
          <w:tcPr>
            <w:tcW w:w="3456" w:type="dxa"/>
            <w:shd w:val="clear" w:color="auto" w:fill="auto"/>
            <w:tcMar>
              <w:left w:w="57" w:type="dxa"/>
              <w:right w:w="57" w:type="dxa"/>
            </w:tcMar>
            <w:vAlign w:val="center"/>
          </w:tcPr>
          <w:p w14:paraId="0E81055F"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Accessible local ports</w:t>
            </w:r>
            <w:r w:rsidR="00105501"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06B7C9A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number</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53C0EC9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14</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2B40D7D6"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14</w:t>
            </w:r>
            <w:r w:rsidRPr="002C5B5D">
              <w:rPr>
                <w:rFonts w:ascii="Arial" w:hAnsi="Arial" w:cs="Arial"/>
                <w:sz w:val="24"/>
                <w:szCs w:val="24"/>
              </w:rPr>
              <w:fldChar w:fldCharType="end"/>
            </w:r>
          </w:p>
        </w:tc>
        <w:tc>
          <w:tcPr>
            <w:tcW w:w="1336" w:type="dxa"/>
            <w:shd w:val="clear" w:color="auto" w:fill="auto"/>
            <w:tcMar>
              <w:left w:w="57" w:type="dxa"/>
              <w:right w:w="57" w:type="dxa"/>
            </w:tcMar>
            <w:vAlign w:val="center"/>
          </w:tcPr>
          <w:p w14:paraId="71A5000F"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0.0</w:t>
            </w:r>
            <w:r w:rsidRPr="002C5B5D">
              <w:rPr>
                <w:rFonts w:ascii="Arial" w:hAnsi="Arial" w:cs="Arial"/>
                <w:sz w:val="24"/>
                <w:szCs w:val="24"/>
              </w:rPr>
              <w:fldChar w:fldCharType="end"/>
            </w:r>
          </w:p>
        </w:tc>
        <w:tc>
          <w:tcPr>
            <w:tcW w:w="1070" w:type="dxa"/>
            <w:shd w:val="clear" w:color="auto" w:fill="auto"/>
            <w:tcMar>
              <w:left w:w="57" w:type="dxa"/>
              <w:right w:w="57" w:type="dxa"/>
            </w:tcMar>
            <w:vAlign w:val="center"/>
          </w:tcPr>
          <w:p w14:paraId="62003F0D"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16659CE3" w14:textId="77777777" w:rsidTr="00632A78">
        <w:trPr>
          <w:trHeight w:val="340"/>
        </w:trPr>
        <w:tc>
          <w:tcPr>
            <w:tcW w:w="3456" w:type="dxa"/>
            <w:shd w:val="clear" w:color="auto" w:fill="auto"/>
            <w:tcMar>
              <w:left w:w="57" w:type="dxa"/>
              <w:right w:w="57" w:type="dxa"/>
            </w:tcMar>
          </w:tcPr>
          <w:p w14:paraId="456D62BE"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 network permitted for use by high productivity freight vehicles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1071DA22"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7ACA0C4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M_20 </w:instrText>
            </w:r>
            <w:r w:rsidRPr="002C5B5D">
              <w:rPr>
                <w:rFonts w:ascii="Arial" w:hAnsi="Arial" w:cs="Arial"/>
                <w:sz w:val="24"/>
                <w:szCs w:val="24"/>
              </w:rPr>
              <w:fldChar w:fldCharType="separate"/>
            </w:r>
            <w:r w:rsidR="003E5BF5" w:rsidRPr="002C5B5D">
              <w:rPr>
                <w:rFonts w:ascii="Arial" w:hAnsi="Arial" w:cs="Arial"/>
                <w:sz w:val="24"/>
                <w:szCs w:val="24"/>
              </w:rPr>
              <w:t>18</w:t>
            </w:r>
            <w:r w:rsidRPr="002C5B5D">
              <w:rPr>
                <w:rFonts w:ascii="Arial" w:hAnsi="Arial" w:cs="Arial"/>
                <w:sz w:val="24"/>
                <w:szCs w:val="24"/>
              </w:rPr>
              <w:fldChar w:fldCharType="end"/>
            </w:r>
          </w:p>
        </w:tc>
        <w:tc>
          <w:tcPr>
            <w:tcW w:w="1070" w:type="dxa"/>
            <w:shd w:val="clear" w:color="auto" w:fill="auto"/>
            <w:tcMar>
              <w:left w:w="57" w:type="dxa"/>
              <w:right w:w="57" w:type="dxa"/>
            </w:tcMar>
          </w:tcPr>
          <w:p w14:paraId="344646BB"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15</w:t>
            </w:r>
            <w:r w:rsidRPr="002C5B5D">
              <w:rPr>
                <w:rFonts w:ascii="Arial" w:hAnsi="Arial" w:cs="Arial"/>
                <w:sz w:val="24"/>
                <w:szCs w:val="24"/>
              </w:rPr>
              <w:fldChar w:fldCharType="end"/>
            </w:r>
          </w:p>
        </w:tc>
        <w:tc>
          <w:tcPr>
            <w:tcW w:w="1336" w:type="dxa"/>
            <w:shd w:val="clear" w:color="auto" w:fill="auto"/>
            <w:tcMar>
              <w:left w:w="57" w:type="dxa"/>
              <w:right w:w="57" w:type="dxa"/>
            </w:tcMar>
          </w:tcPr>
          <w:p w14:paraId="0714314E"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20.0</w:t>
            </w:r>
            <w:r w:rsidRPr="002C5B5D">
              <w:rPr>
                <w:rFonts w:ascii="Arial" w:hAnsi="Arial" w:cs="Arial"/>
                <w:sz w:val="24"/>
                <w:szCs w:val="24"/>
              </w:rPr>
              <w:fldChar w:fldCharType="end"/>
            </w:r>
          </w:p>
        </w:tc>
        <w:tc>
          <w:tcPr>
            <w:tcW w:w="1070" w:type="dxa"/>
            <w:shd w:val="clear" w:color="auto" w:fill="auto"/>
            <w:tcMar>
              <w:left w:w="57" w:type="dxa"/>
              <w:right w:w="57" w:type="dxa"/>
            </w:tcMar>
          </w:tcPr>
          <w:p w14:paraId="2CB427BF"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FC"/>
            </w:r>
          </w:p>
        </w:tc>
      </w:tr>
      <w:tr w:rsidR="003E5BF5" w:rsidRPr="002C5B5D" w14:paraId="6832C720" w14:textId="77777777" w:rsidTr="00632A78">
        <w:tc>
          <w:tcPr>
            <w:tcW w:w="9072" w:type="dxa"/>
            <w:gridSpan w:val="6"/>
            <w:shd w:val="clear" w:color="auto" w:fill="auto"/>
            <w:tcMar>
              <w:left w:w="57" w:type="dxa"/>
              <w:right w:w="57" w:type="dxa"/>
            </w:tcMar>
          </w:tcPr>
          <w:p w14:paraId="5340636A"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the Department expanding its High Productivity Freight Vehicle network.</w:t>
            </w:r>
            <w:r w:rsidRPr="002C5B5D">
              <w:rPr>
                <w:rFonts w:ascii="Arial" w:hAnsi="Arial" w:cs="Arial"/>
                <w:i/>
                <w:sz w:val="24"/>
                <w:szCs w:val="24"/>
              </w:rPr>
              <w:fldChar w:fldCharType="end"/>
            </w:r>
          </w:p>
        </w:tc>
      </w:tr>
      <w:tr w:rsidR="003E5BF5" w:rsidRPr="002C5B5D" w14:paraId="67BC85C6" w14:textId="77777777" w:rsidTr="00632A78">
        <w:trPr>
          <w:trHeight w:val="340"/>
        </w:trPr>
        <w:tc>
          <w:tcPr>
            <w:tcW w:w="3456" w:type="dxa"/>
            <w:shd w:val="clear" w:color="auto" w:fill="auto"/>
            <w:tcMar>
              <w:left w:w="57" w:type="dxa"/>
              <w:right w:w="57" w:type="dxa"/>
            </w:tcMar>
          </w:tcPr>
          <w:p w14:paraId="7F0E0CDC"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Road-based freight accessibility and reliability projects completed within specified scope and standards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591045E3"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6055F9F1"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63</w:t>
            </w:r>
          </w:p>
        </w:tc>
        <w:tc>
          <w:tcPr>
            <w:tcW w:w="1070" w:type="dxa"/>
            <w:shd w:val="clear" w:color="auto" w:fill="auto"/>
            <w:tcMar>
              <w:left w:w="57" w:type="dxa"/>
              <w:right w:w="57" w:type="dxa"/>
            </w:tcMar>
          </w:tcPr>
          <w:p w14:paraId="5D6282A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100</w:t>
            </w:r>
            <w:r w:rsidRPr="002C5B5D">
              <w:rPr>
                <w:rFonts w:ascii="Arial" w:hAnsi="Arial" w:cs="Arial"/>
                <w:sz w:val="24"/>
                <w:szCs w:val="24"/>
              </w:rPr>
              <w:fldChar w:fldCharType="end"/>
            </w:r>
          </w:p>
        </w:tc>
        <w:tc>
          <w:tcPr>
            <w:tcW w:w="1336" w:type="dxa"/>
            <w:shd w:val="clear" w:color="auto" w:fill="auto"/>
            <w:tcMar>
              <w:left w:w="57" w:type="dxa"/>
              <w:right w:w="57" w:type="dxa"/>
            </w:tcMar>
          </w:tcPr>
          <w:p w14:paraId="273AC398"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-37.0</w:t>
            </w:r>
            <w:r w:rsidRPr="002C5B5D">
              <w:rPr>
                <w:rFonts w:ascii="Arial" w:hAnsi="Arial" w:cs="Arial"/>
                <w:sz w:val="24"/>
                <w:szCs w:val="24"/>
              </w:rPr>
              <w:fldChar w:fldCharType="end"/>
            </w:r>
          </w:p>
        </w:tc>
        <w:tc>
          <w:tcPr>
            <w:tcW w:w="1070" w:type="dxa"/>
            <w:shd w:val="clear" w:color="auto" w:fill="auto"/>
            <w:tcMar>
              <w:left w:w="57" w:type="dxa"/>
              <w:right w:w="57" w:type="dxa"/>
            </w:tcMar>
          </w:tcPr>
          <w:p w14:paraId="146E54EB"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27AF5CCC" w14:textId="77777777" w:rsidTr="00632A78">
        <w:tc>
          <w:tcPr>
            <w:tcW w:w="9072" w:type="dxa"/>
            <w:gridSpan w:val="6"/>
            <w:shd w:val="clear" w:color="auto" w:fill="auto"/>
            <w:tcMar>
              <w:left w:w="57" w:type="dxa"/>
              <w:right w:w="57" w:type="dxa"/>
            </w:tcMar>
          </w:tcPr>
          <w:p w14:paraId="4664E4EE"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the lengthy land acquistion process.</w:t>
            </w:r>
            <w:r w:rsidRPr="002C5B5D">
              <w:rPr>
                <w:rFonts w:ascii="Arial" w:hAnsi="Arial" w:cs="Arial"/>
                <w:i/>
                <w:sz w:val="24"/>
                <w:szCs w:val="24"/>
              </w:rPr>
              <w:fldChar w:fldCharType="end"/>
            </w:r>
          </w:p>
        </w:tc>
      </w:tr>
      <w:tr w:rsidR="003E5BF5" w:rsidRPr="002C5B5D" w14:paraId="2DA58BC6" w14:textId="77777777" w:rsidTr="00632A78">
        <w:trPr>
          <w:trHeight w:val="340"/>
        </w:trPr>
        <w:tc>
          <w:tcPr>
            <w:tcW w:w="9072" w:type="dxa"/>
            <w:gridSpan w:val="6"/>
            <w:shd w:val="clear" w:color="auto" w:fill="auto"/>
            <w:tcMar>
              <w:left w:w="57" w:type="dxa"/>
              <w:right w:w="57" w:type="dxa"/>
            </w:tcMar>
            <w:vAlign w:val="center"/>
          </w:tcPr>
          <w:p w14:paraId="0D87CBE3" w14:textId="77777777" w:rsidR="003E5BF5" w:rsidRPr="002C5B5D" w:rsidRDefault="003E5BF5" w:rsidP="00DE1921">
            <w:pPr>
              <w:pStyle w:val="TableTextLeftItalics"/>
              <w:rPr>
                <w:rFonts w:ascii="Arial" w:hAnsi="Arial" w:cs="Arial"/>
                <w:i w:val="0"/>
                <w:sz w:val="24"/>
                <w:szCs w:val="24"/>
              </w:rPr>
            </w:pPr>
            <w:r w:rsidRPr="002C5B5D">
              <w:rPr>
                <w:rFonts w:ascii="Arial" w:hAnsi="Arial" w:cs="Arial"/>
                <w:b/>
                <w:sz w:val="24"/>
                <w:szCs w:val="24"/>
              </w:rPr>
              <w:t>Timeliness</w:t>
            </w:r>
          </w:p>
        </w:tc>
      </w:tr>
      <w:tr w:rsidR="003E5BF5" w:rsidRPr="002C5B5D" w14:paraId="3CBD16CC" w14:textId="77777777" w:rsidTr="00632A78">
        <w:trPr>
          <w:trHeight w:val="340"/>
        </w:trPr>
        <w:tc>
          <w:tcPr>
            <w:tcW w:w="3456" w:type="dxa"/>
            <w:shd w:val="clear" w:color="auto" w:fill="auto"/>
            <w:tcMar>
              <w:left w:w="57" w:type="dxa"/>
              <w:right w:w="57" w:type="dxa"/>
            </w:tcMar>
          </w:tcPr>
          <w:p w14:paraId="42EFE945"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NEXT </w:instrText>
            </w:r>
            <w:r w:rsidRPr="002C5B5D">
              <w:rPr>
                <w:rFonts w:ascii="Arial" w:hAnsi="Arial" w:cs="Arial"/>
                <w:sz w:val="24"/>
                <w:szCs w:val="24"/>
              </w:rPr>
              <w:fldChar w:fldCharType="end"/>
            </w:r>
            <w:r w:rsidR="00105501" w:rsidRPr="002C5B5D">
              <w:rPr>
                <w:rFonts w:ascii="Arial" w:hAnsi="Arial" w:cs="Arial"/>
                <w:sz w:val="24"/>
                <w:szCs w:val="24"/>
              </w:rPr>
              <w:fldChar w:fldCharType="begin"/>
            </w:r>
            <w:r w:rsidR="00105501" w:rsidRPr="002C5B5D">
              <w:rPr>
                <w:rFonts w:ascii="Arial" w:hAnsi="Arial" w:cs="Arial"/>
                <w:sz w:val="24"/>
                <w:szCs w:val="24"/>
              </w:rPr>
              <w:instrText xml:space="preserve"> MERGEFIELD M_7 </w:instrText>
            </w:r>
            <w:r w:rsidR="00105501" w:rsidRPr="002C5B5D">
              <w:rPr>
                <w:rFonts w:ascii="Arial" w:hAnsi="Arial" w:cs="Arial"/>
                <w:sz w:val="24"/>
                <w:szCs w:val="24"/>
              </w:rPr>
              <w:fldChar w:fldCharType="separate"/>
            </w:r>
            <w:r w:rsidRPr="002C5B5D">
              <w:rPr>
                <w:rFonts w:ascii="Arial" w:hAnsi="Arial" w:cs="Arial"/>
                <w:sz w:val="24"/>
                <w:szCs w:val="24"/>
              </w:rPr>
              <w:t>Road-based freight accessibility and reliability projects completed within agreed timeframes</w:t>
            </w:r>
            <w:r w:rsidR="00105501" w:rsidRPr="002C5B5D">
              <w:rPr>
                <w:rFonts w:ascii="Arial" w:hAnsi="Arial" w:cs="Arial"/>
                <w:sz w:val="24"/>
                <w:szCs w:val="24"/>
              </w:rPr>
              <w:fldChar w:fldCharType="end"/>
            </w:r>
          </w:p>
        </w:tc>
        <w:tc>
          <w:tcPr>
            <w:tcW w:w="1070" w:type="dxa"/>
            <w:shd w:val="clear" w:color="auto" w:fill="auto"/>
            <w:tcMar>
              <w:left w:w="57" w:type="dxa"/>
              <w:right w:w="57" w:type="dxa"/>
            </w:tcMar>
          </w:tcPr>
          <w:p w14:paraId="08D4DAB4"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M_10 </w:instrText>
            </w:r>
            <w:r w:rsidRPr="002C5B5D">
              <w:rPr>
                <w:rFonts w:ascii="Arial" w:hAnsi="Arial" w:cs="Arial"/>
                <w:sz w:val="24"/>
                <w:szCs w:val="24"/>
              </w:rPr>
              <w:fldChar w:fldCharType="separate"/>
            </w:r>
            <w:r w:rsidR="003E5BF5" w:rsidRPr="002C5B5D">
              <w:rPr>
                <w:rFonts w:ascii="Arial" w:hAnsi="Arial" w:cs="Arial"/>
                <w:sz w:val="24"/>
                <w:szCs w:val="24"/>
              </w:rPr>
              <w:t>per cent</w:t>
            </w:r>
            <w:r w:rsidRPr="002C5B5D">
              <w:rPr>
                <w:rFonts w:ascii="Arial" w:hAnsi="Arial" w:cs="Arial"/>
                <w:sz w:val="24"/>
                <w:szCs w:val="24"/>
              </w:rPr>
              <w:fldChar w:fldCharType="end"/>
            </w:r>
          </w:p>
        </w:tc>
        <w:tc>
          <w:tcPr>
            <w:tcW w:w="1070" w:type="dxa"/>
            <w:shd w:val="clear" w:color="auto" w:fill="auto"/>
            <w:tcMar>
              <w:left w:w="57" w:type="dxa"/>
              <w:right w:w="57" w:type="dxa"/>
            </w:tcMar>
          </w:tcPr>
          <w:p w14:paraId="68D6EEAD"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63</w:t>
            </w:r>
          </w:p>
        </w:tc>
        <w:tc>
          <w:tcPr>
            <w:tcW w:w="1070" w:type="dxa"/>
            <w:shd w:val="clear" w:color="auto" w:fill="auto"/>
            <w:tcMar>
              <w:left w:w="57" w:type="dxa"/>
              <w:right w:w="57" w:type="dxa"/>
            </w:tcMar>
          </w:tcPr>
          <w:p w14:paraId="188F4109"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M_12 </w:instrText>
            </w:r>
            <w:r w:rsidRPr="002C5B5D">
              <w:rPr>
                <w:rFonts w:ascii="Arial" w:hAnsi="Arial" w:cs="Arial"/>
                <w:sz w:val="24"/>
                <w:szCs w:val="24"/>
              </w:rPr>
              <w:fldChar w:fldCharType="separate"/>
            </w:r>
            <w:r w:rsidR="003E5BF5" w:rsidRPr="002C5B5D">
              <w:rPr>
                <w:rFonts w:ascii="Arial" w:hAnsi="Arial" w:cs="Arial"/>
                <w:sz w:val="24"/>
                <w:szCs w:val="24"/>
              </w:rPr>
              <w:t>80</w:t>
            </w:r>
            <w:r w:rsidRPr="002C5B5D">
              <w:rPr>
                <w:rFonts w:ascii="Arial" w:hAnsi="Arial" w:cs="Arial"/>
                <w:sz w:val="24"/>
                <w:szCs w:val="24"/>
              </w:rPr>
              <w:fldChar w:fldCharType="end"/>
            </w:r>
          </w:p>
        </w:tc>
        <w:tc>
          <w:tcPr>
            <w:tcW w:w="1336" w:type="dxa"/>
            <w:shd w:val="clear" w:color="auto" w:fill="auto"/>
            <w:tcMar>
              <w:left w:w="57" w:type="dxa"/>
              <w:right w:w="57" w:type="dxa"/>
            </w:tcMar>
          </w:tcPr>
          <w:p w14:paraId="4ABEB61C" w14:textId="77777777" w:rsidR="003E5BF5" w:rsidRPr="002C5B5D" w:rsidRDefault="00105501" w:rsidP="00DE1921">
            <w:pPr>
              <w:pStyle w:val="TableTextRight"/>
              <w:rPr>
                <w:rFonts w:ascii="Arial" w:hAnsi="Arial" w:cs="Arial"/>
                <w:sz w:val="24"/>
                <w:szCs w:val="24"/>
              </w:rPr>
            </w:pPr>
            <w:r w:rsidRPr="002C5B5D">
              <w:rPr>
                <w:rFonts w:ascii="Arial" w:hAnsi="Arial" w:cs="Arial"/>
                <w:sz w:val="24"/>
                <w:szCs w:val="24"/>
              </w:rPr>
              <w:fldChar w:fldCharType="begin"/>
            </w:r>
            <w:r w:rsidRPr="002C5B5D">
              <w:rPr>
                <w:rFonts w:ascii="Arial" w:hAnsi="Arial" w:cs="Arial"/>
                <w:sz w:val="24"/>
                <w:szCs w:val="24"/>
              </w:rPr>
              <w:instrText xml:space="preserve"> MERGEFIELD M_24 </w:instrText>
            </w:r>
            <w:r w:rsidRPr="002C5B5D">
              <w:rPr>
                <w:rFonts w:ascii="Arial" w:hAnsi="Arial" w:cs="Arial"/>
                <w:sz w:val="24"/>
                <w:szCs w:val="24"/>
              </w:rPr>
              <w:fldChar w:fldCharType="separate"/>
            </w:r>
            <w:r w:rsidR="003E5BF5" w:rsidRPr="002C5B5D">
              <w:rPr>
                <w:rFonts w:ascii="Arial" w:hAnsi="Arial" w:cs="Arial"/>
                <w:sz w:val="24"/>
                <w:szCs w:val="24"/>
              </w:rPr>
              <w:t>-21.3</w:t>
            </w:r>
            <w:r w:rsidRPr="002C5B5D">
              <w:rPr>
                <w:rFonts w:ascii="Arial" w:hAnsi="Arial" w:cs="Arial"/>
                <w:sz w:val="24"/>
                <w:szCs w:val="24"/>
              </w:rPr>
              <w:fldChar w:fldCharType="end"/>
            </w:r>
          </w:p>
        </w:tc>
        <w:tc>
          <w:tcPr>
            <w:tcW w:w="1070" w:type="dxa"/>
            <w:shd w:val="clear" w:color="auto" w:fill="auto"/>
            <w:tcMar>
              <w:left w:w="57" w:type="dxa"/>
              <w:right w:w="57" w:type="dxa"/>
            </w:tcMar>
          </w:tcPr>
          <w:p w14:paraId="115D20B9"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21538C85" w14:textId="77777777" w:rsidTr="00632A78">
        <w:tc>
          <w:tcPr>
            <w:tcW w:w="9072" w:type="dxa"/>
            <w:gridSpan w:val="6"/>
            <w:shd w:val="clear" w:color="auto" w:fill="auto"/>
            <w:tcMar>
              <w:left w:w="57" w:type="dxa"/>
              <w:right w:w="57" w:type="dxa"/>
            </w:tcMar>
          </w:tcPr>
          <w:p w14:paraId="3D2075CA" w14:textId="77777777" w:rsidR="003E5BF5" w:rsidRPr="002C5B5D" w:rsidRDefault="003E5BF5" w:rsidP="00DE1921">
            <w:pPr>
              <w:pStyle w:val="TableTextCentre"/>
              <w:jc w:val="left"/>
              <w:rPr>
                <w:rFonts w:ascii="Arial" w:hAnsi="Arial" w:cs="Arial"/>
                <w:i/>
                <w:sz w:val="24"/>
                <w:szCs w:val="24"/>
              </w:rPr>
            </w:pPr>
            <w:r w:rsidRPr="002C5B5D">
              <w:rPr>
                <w:rFonts w:ascii="Arial" w:hAnsi="Arial" w:cs="Arial"/>
                <w:i/>
                <w:sz w:val="24"/>
                <w:szCs w:val="24"/>
              </w:rPr>
              <w:fldChar w:fldCharType="begin"/>
            </w:r>
            <w:r w:rsidRPr="002C5B5D">
              <w:rPr>
                <w:rFonts w:ascii="Arial" w:hAnsi="Arial" w:cs="Arial"/>
                <w:i/>
                <w:sz w:val="24"/>
                <w:szCs w:val="24"/>
              </w:rPr>
              <w:instrText xml:space="preserve"> MERGEFIELD "M_26" </w:instrText>
            </w:r>
            <w:r w:rsidRPr="002C5B5D">
              <w:rPr>
                <w:rFonts w:ascii="Arial" w:hAnsi="Arial" w:cs="Arial"/>
                <w:i/>
                <w:sz w:val="24"/>
                <w:szCs w:val="24"/>
              </w:rPr>
              <w:fldChar w:fldCharType="separate"/>
            </w:r>
            <w:r w:rsidRPr="002C5B5D">
              <w:rPr>
                <w:rFonts w:ascii="Arial" w:hAnsi="Arial" w:cs="Arial"/>
                <w:i/>
                <w:sz w:val="24"/>
                <w:szCs w:val="24"/>
              </w:rPr>
              <w:t>Due to the lengthy land acquistion process.</w:t>
            </w:r>
            <w:r w:rsidRPr="002C5B5D">
              <w:rPr>
                <w:rFonts w:ascii="Arial" w:hAnsi="Arial" w:cs="Arial"/>
                <w:i/>
                <w:sz w:val="24"/>
                <w:szCs w:val="24"/>
              </w:rPr>
              <w:fldChar w:fldCharType="end"/>
            </w:r>
          </w:p>
        </w:tc>
      </w:tr>
      <w:tr w:rsidR="003E5BF5" w:rsidRPr="002C5B5D" w14:paraId="04A3424F" w14:textId="77777777" w:rsidTr="00632A78">
        <w:trPr>
          <w:trHeight w:val="340"/>
        </w:trPr>
        <w:tc>
          <w:tcPr>
            <w:tcW w:w="3456" w:type="dxa"/>
            <w:shd w:val="clear" w:color="auto" w:fill="auto"/>
            <w:tcMar>
              <w:left w:w="57" w:type="dxa"/>
              <w:right w:w="57" w:type="dxa"/>
            </w:tcMar>
            <w:vAlign w:val="center"/>
          </w:tcPr>
          <w:p w14:paraId="1D427E65" w14:textId="77777777" w:rsidR="003E5BF5" w:rsidRPr="002C5B5D" w:rsidRDefault="003E5BF5" w:rsidP="00DE1921">
            <w:pPr>
              <w:pStyle w:val="TableTextLeftItalics"/>
              <w:rPr>
                <w:rFonts w:ascii="Arial" w:hAnsi="Arial" w:cs="Arial"/>
                <w:b/>
                <w:sz w:val="24"/>
                <w:szCs w:val="24"/>
              </w:rPr>
            </w:pPr>
            <w:r w:rsidRPr="002C5B5D">
              <w:rPr>
                <w:rFonts w:ascii="Arial" w:hAnsi="Arial" w:cs="Arial"/>
                <w:b/>
                <w:sz w:val="24"/>
                <w:szCs w:val="24"/>
              </w:rPr>
              <w:t>Cost</w:t>
            </w:r>
          </w:p>
        </w:tc>
        <w:tc>
          <w:tcPr>
            <w:tcW w:w="1070" w:type="dxa"/>
            <w:shd w:val="clear" w:color="auto" w:fill="auto"/>
            <w:tcMar>
              <w:left w:w="57" w:type="dxa"/>
              <w:right w:w="57" w:type="dxa"/>
            </w:tcMar>
            <w:vAlign w:val="center"/>
          </w:tcPr>
          <w:p w14:paraId="1AF7A563"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29907F63"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2773CA30" w14:textId="77777777" w:rsidR="003E5BF5" w:rsidRPr="002C5B5D"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20206962" w14:textId="77777777" w:rsidR="003E5BF5" w:rsidRPr="002C5B5D"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16779531" w14:textId="77777777" w:rsidR="003E5BF5" w:rsidRPr="002C5B5D" w:rsidRDefault="003E5BF5" w:rsidP="00DE1921">
            <w:pPr>
              <w:pStyle w:val="TableTextRight"/>
              <w:rPr>
                <w:rFonts w:ascii="Arial" w:hAnsi="Arial" w:cs="Arial"/>
                <w:sz w:val="24"/>
                <w:szCs w:val="24"/>
              </w:rPr>
            </w:pPr>
          </w:p>
        </w:tc>
      </w:tr>
      <w:tr w:rsidR="003E5BF5" w:rsidRPr="002C5B5D" w14:paraId="7D258A4A" w14:textId="77777777" w:rsidTr="00632A78">
        <w:trPr>
          <w:trHeight w:val="340"/>
        </w:trPr>
        <w:tc>
          <w:tcPr>
            <w:tcW w:w="3456" w:type="dxa"/>
            <w:shd w:val="clear" w:color="auto" w:fill="auto"/>
            <w:tcMar>
              <w:left w:w="57" w:type="dxa"/>
              <w:right w:w="57" w:type="dxa"/>
            </w:tcMar>
            <w:vAlign w:val="center"/>
          </w:tcPr>
          <w:p w14:paraId="06338B72" w14:textId="77777777" w:rsidR="003E5BF5" w:rsidRPr="002C5B5D" w:rsidRDefault="003E5BF5" w:rsidP="00DE1921">
            <w:pPr>
              <w:pStyle w:val="TableTextLeft"/>
              <w:rPr>
                <w:rFonts w:ascii="Arial" w:hAnsi="Arial" w:cs="Arial"/>
                <w:sz w:val="24"/>
                <w:szCs w:val="24"/>
              </w:rPr>
            </w:pPr>
            <w:r w:rsidRPr="002C5B5D">
              <w:rPr>
                <w:rFonts w:ascii="Arial" w:hAnsi="Arial" w:cs="Arial"/>
                <w:sz w:val="24"/>
                <w:szCs w:val="24"/>
              </w:rPr>
              <w:t>Total output cost</w:t>
            </w:r>
          </w:p>
        </w:tc>
        <w:tc>
          <w:tcPr>
            <w:tcW w:w="1070" w:type="dxa"/>
            <w:shd w:val="clear" w:color="auto" w:fill="auto"/>
            <w:tcMar>
              <w:left w:w="57" w:type="dxa"/>
              <w:right w:w="57" w:type="dxa"/>
            </w:tcMar>
            <w:vAlign w:val="center"/>
          </w:tcPr>
          <w:p w14:paraId="0279577B"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 million</w:t>
            </w:r>
          </w:p>
        </w:tc>
        <w:tc>
          <w:tcPr>
            <w:tcW w:w="1070" w:type="dxa"/>
            <w:shd w:val="clear" w:color="auto" w:fill="auto"/>
            <w:tcMar>
              <w:left w:w="57" w:type="dxa"/>
              <w:right w:w="57" w:type="dxa"/>
            </w:tcMar>
            <w:vAlign w:val="center"/>
          </w:tcPr>
          <w:p w14:paraId="041DAC9B"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116.5</w:t>
            </w:r>
          </w:p>
        </w:tc>
        <w:tc>
          <w:tcPr>
            <w:tcW w:w="1070" w:type="dxa"/>
            <w:shd w:val="clear" w:color="auto" w:fill="auto"/>
            <w:tcMar>
              <w:left w:w="57" w:type="dxa"/>
              <w:right w:w="57" w:type="dxa"/>
            </w:tcMar>
            <w:vAlign w:val="center"/>
          </w:tcPr>
          <w:p w14:paraId="01735C27"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106.3</w:t>
            </w:r>
          </w:p>
        </w:tc>
        <w:tc>
          <w:tcPr>
            <w:tcW w:w="1336" w:type="dxa"/>
            <w:shd w:val="clear" w:color="auto" w:fill="auto"/>
            <w:tcMar>
              <w:left w:w="57" w:type="dxa"/>
              <w:right w:w="57" w:type="dxa"/>
            </w:tcMar>
            <w:vAlign w:val="center"/>
          </w:tcPr>
          <w:p w14:paraId="41A30439" w14:textId="77777777" w:rsidR="003E5BF5" w:rsidRPr="002C5B5D" w:rsidRDefault="003E5BF5" w:rsidP="00DE1921">
            <w:pPr>
              <w:pStyle w:val="TableTextRight"/>
              <w:rPr>
                <w:rFonts w:ascii="Arial" w:hAnsi="Arial" w:cs="Arial"/>
                <w:sz w:val="24"/>
                <w:szCs w:val="24"/>
              </w:rPr>
            </w:pPr>
            <w:r w:rsidRPr="002C5B5D">
              <w:rPr>
                <w:rFonts w:ascii="Arial" w:hAnsi="Arial" w:cs="Arial"/>
                <w:sz w:val="24"/>
                <w:szCs w:val="24"/>
              </w:rPr>
              <w:t>9.6</w:t>
            </w:r>
          </w:p>
        </w:tc>
        <w:tc>
          <w:tcPr>
            <w:tcW w:w="1070" w:type="dxa"/>
            <w:shd w:val="clear" w:color="auto" w:fill="auto"/>
            <w:tcMar>
              <w:left w:w="57" w:type="dxa"/>
              <w:right w:w="57" w:type="dxa"/>
            </w:tcMar>
            <w:vAlign w:val="center"/>
          </w:tcPr>
          <w:p w14:paraId="25E5D4E8" w14:textId="77777777" w:rsidR="003E5BF5" w:rsidRPr="002C5B5D" w:rsidRDefault="003E5BF5" w:rsidP="00DE1921">
            <w:pPr>
              <w:pStyle w:val="TableTextCentre"/>
              <w:spacing w:before="40"/>
              <w:jc w:val="right"/>
              <w:rPr>
                <w:rFonts w:ascii="Arial" w:hAnsi="Arial" w:cs="Arial"/>
                <w:sz w:val="24"/>
                <w:szCs w:val="24"/>
              </w:rPr>
            </w:pPr>
            <w:r w:rsidRPr="002C5B5D">
              <w:rPr>
                <w:rFonts w:ascii="Arial" w:hAnsi="Arial" w:cs="Arial"/>
                <w:sz w:val="24"/>
                <w:szCs w:val="24"/>
              </w:rPr>
              <w:sym w:font="Wingdings" w:char="F06E"/>
            </w:r>
          </w:p>
        </w:tc>
      </w:tr>
      <w:tr w:rsidR="003E5BF5" w:rsidRPr="002C5B5D" w14:paraId="75BB30FB" w14:textId="77777777" w:rsidTr="00632A78">
        <w:tc>
          <w:tcPr>
            <w:tcW w:w="9072" w:type="dxa"/>
            <w:gridSpan w:val="6"/>
            <w:shd w:val="clear" w:color="auto" w:fill="auto"/>
            <w:tcMar>
              <w:left w:w="57" w:type="dxa"/>
              <w:right w:w="57" w:type="dxa"/>
            </w:tcMar>
          </w:tcPr>
          <w:p w14:paraId="24373A10" w14:textId="77777777" w:rsidR="003E5BF5" w:rsidRPr="002C5B5D" w:rsidRDefault="003E5BF5" w:rsidP="00DE1921">
            <w:pPr>
              <w:pStyle w:val="TableTextLeftItalics"/>
              <w:rPr>
                <w:rFonts w:ascii="Arial" w:hAnsi="Arial" w:cs="Arial"/>
                <w:sz w:val="24"/>
                <w:szCs w:val="24"/>
              </w:rPr>
            </w:pPr>
            <w:r w:rsidRPr="002C5B5D">
              <w:rPr>
                <w:rFonts w:ascii="Arial" w:hAnsi="Arial" w:cs="Arial"/>
                <w:sz w:val="24"/>
                <w:szCs w:val="24"/>
              </w:rPr>
              <w:t>The 2019-20 result was higher than the budget mainly due to new initiatives including Better Boating and Gippsland Lakes Access.</w:t>
            </w:r>
          </w:p>
        </w:tc>
      </w:tr>
    </w:tbl>
    <w:p w14:paraId="2952FDBA" w14:textId="77777777" w:rsidR="003E5BF5" w:rsidRPr="00F163AE" w:rsidRDefault="003E5BF5" w:rsidP="00DE1921">
      <w:pPr>
        <w:pStyle w:val="Note"/>
        <w:rPr>
          <w:rFonts w:ascii="Arial" w:hAnsi="Arial" w:cs="Arial"/>
          <w:sz w:val="24"/>
          <w:szCs w:val="24"/>
        </w:rPr>
      </w:pPr>
      <w:r w:rsidRPr="00F163AE">
        <w:rPr>
          <w:rFonts w:ascii="Arial" w:hAnsi="Arial" w:cs="Arial"/>
          <w:sz w:val="24"/>
          <w:szCs w:val="24"/>
        </w:rPr>
        <w:t>Notes:</w:t>
      </w:r>
    </w:p>
    <w:p w14:paraId="6FDC9BD0" w14:textId="77777777" w:rsidR="003E5BF5" w:rsidRPr="00F163AE" w:rsidRDefault="003E5BF5" w:rsidP="00DE1921">
      <w:pPr>
        <w:pStyle w:val="Notenumber123"/>
        <w:numPr>
          <w:ilvl w:val="0"/>
          <w:numId w:val="0"/>
        </w:numPr>
        <w:ind w:left="113"/>
        <w:rPr>
          <w:rFonts w:ascii="Arial" w:hAnsi="Arial" w:cs="Arial"/>
          <w:sz w:val="24"/>
          <w:szCs w:val="24"/>
        </w:rPr>
      </w:pPr>
      <w:r w:rsidRPr="00F163AE">
        <w:rPr>
          <w:rFonts w:ascii="Arial" w:hAnsi="Arial" w:cs="Arial"/>
          <w:sz w:val="24"/>
          <w:szCs w:val="24"/>
        </w:rPr>
        <w:sym w:font="Wingdings 2" w:char="F050"/>
      </w:r>
      <w:r w:rsidRPr="00F163AE">
        <w:rPr>
          <w:rFonts w:ascii="Arial" w:hAnsi="Arial" w:cs="Arial"/>
          <w:sz w:val="24"/>
          <w:szCs w:val="24"/>
        </w:rPr>
        <w:t xml:space="preserve"> Performance target achieved or exceeded</w:t>
      </w:r>
    </w:p>
    <w:p w14:paraId="7D527332" w14:textId="77777777" w:rsidR="003E5BF5" w:rsidRPr="00F163AE" w:rsidRDefault="003E5BF5" w:rsidP="00DE1921">
      <w:pPr>
        <w:pStyle w:val="Notenumber123"/>
        <w:numPr>
          <w:ilvl w:val="0"/>
          <w:numId w:val="0"/>
        </w:numPr>
        <w:ind w:left="340" w:hanging="227"/>
        <w:rPr>
          <w:rFonts w:ascii="Arial" w:hAnsi="Arial" w:cs="Arial"/>
          <w:sz w:val="24"/>
          <w:szCs w:val="24"/>
        </w:rPr>
      </w:pPr>
      <w:r w:rsidRPr="00F163AE">
        <w:rPr>
          <w:rFonts w:ascii="Arial" w:hAnsi="Arial" w:cs="Arial"/>
          <w:sz w:val="24"/>
          <w:szCs w:val="24"/>
        </w:rPr>
        <w:sym w:font="Wingdings 2" w:char="F0A1"/>
      </w:r>
      <w:r w:rsidRPr="00F163AE">
        <w:rPr>
          <w:rFonts w:ascii="Arial" w:hAnsi="Arial" w:cs="Arial"/>
          <w:sz w:val="24"/>
          <w:szCs w:val="24"/>
        </w:rPr>
        <w:t xml:space="preserve"> Performance target not achieved – exceeds 5 per cent or $50 million (cost measure only) variance</w:t>
      </w:r>
    </w:p>
    <w:p w14:paraId="5F1A3016" w14:textId="77777777" w:rsidR="003E5BF5" w:rsidRDefault="003E5BF5" w:rsidP="00DE1921">
      <w:pPr>
        <w:pStyle w:val="Notenumber123"/>
        <w:numPr>
          <w:ilvl w:val="0"/>
          <w:numId w:val="0"/>
        </w:numPr>
        <w:ind w:left="113"/>
        <w:sectPr w:rsidR="003E5BF5" w:rsidSect="00DE1921">
          <w:pgSz w:w="11906" w:h="16838"/>
          <w:pgMar w:top="1701" w:right="1418" w:bottom="1418" w:left="1418" w:header="709" w:footer="709" w:gutter="0"/>
          <w:cols w:space="284"/>
          <w:docGrid w:linePitch="360"/>
        </w:sectPr>
      </w:pPr>
    </w:p>
    <w:p w14:paraId="0AB39DA1" w14:textId="77777777" w:rsidR="003E5BF5" w:rsidRPr="0027087B" w:rsidRDefault="003E5BF5" w:rsidP="00EF5131">
      <w:pPr>
        <w:pStyle w:val="Heading5"/>
      </w:pPr>
      <w:r w:rsidRPr="0027087B">
        <w:lastRenderedPageBreak/>
        <w:t>Road Asset Management</w:t>
      </w:r>
      <w:r>
        <w:t xml:space="preserve"> </w:t>
      </w:r>
    </w:p>
    <w:p w14:paraId="27B2D09A" w14:textId="77777777" w:rsidR="003E5BF5" w:rsidRDefault="003E5BF5" w:rsidP="00091232">
      <w:pPr>
        <w:pStyle w:val="aaatyping"/>
      </w:pPr>
      <w:r>
        <w:t xml:space="preserve">This output contributes to the departments objective by delivering </w:t>
      </w:r>
      <w:r w:rsidRPr="0018689C">
        <w:t xml:space="preserve">programs and initiatives to maintain Victoria’s freeways and arterial road network. </w:t>
      </w:r>
      <w:r>
        <w:t>These a</w:t>
      </w:r>
      <w:r w:rsidRPr="0018689C">
        <w:t xml:space="preserve">ctivities support the safety and reliability of the </w:t>
      </w:r>
      <w:r>
        <w:t xml:space="preserve">transport </w:t>
      </w:r>
      <w:r w:rsidRPr="0018689C">
        <w:t>network</w:t>
      </w:r>
      <w:r>
        <w:t>.</w:t>
      </w:r>
      <w:r w:rsidRPr="0018689C">
        <w:t xml:space="preserve"> </w:t>
      </w:r>
    </w:p>
    <w:p w14:paraId="11F976BF" w14:textId="77777777" w:rsidR="003E5BF5" w:rsidRPr="00F163AE" w:rsidRDefault="003E5BF5" w:rsidP="00CF74EB">
      <w:pPr>
        <w:pStyle w:val="TableHeader"/>
      </w:pPr>
      <w:r w:rsidRPr="00F163AE">
        <w:t>Road Asset Management</w:t>
      </w:r>
    </w:p>
    <w:tbl>
      <w:tblPr>
        <w:tblStyle w:val="TableGrid"/>
        <w:tblW w:w="9072" w:type="dxa"/>
        <w:tblCellMar>
          <w:left w:w="28" w:type="dxa"/>
          <w:right w:w="28" w:type="dxa"/>
        </w:tblCellMar>
        <w:tblLook w:val="04A0" w:firstRow="1" w:lastRow="0" w:firstColumn="1" w:lastColumn="0" w:noHBand="0" w:noVBand="1"/>
      </w:tblPr>
      <w:tblGrid>
        <w:gridCol w:w="3259"/>
        <w:gridCol w:w="1102"/>
        <w:gridCol w:w="1043"/>
        <w:gridCol w:w="1043"/>
        <w:gridCol w:w="1582"/>
        <w:gridCol w:w="1043"/>
      </w:tblGrid>
      <w:tr w:rsidR="003E5BF5" w:rsidRPr="00F163AE" w14:paraId="4BD6116B" w14:textId="77777777" w:rsidTr="00632A78">
        <w:trPr>
          <w:trHeight w:val="340"/>
          <w:tblHeader/>
        </w:trPr>
        <w:tc>
          <w:tcPr>
            <w:tcW w:w="3456" w:type="dxa"/>
            <w:shd w:val="clear" w:color="auto" w:fill="auto"/>
            <w:tcMar>
              <w:left w:w="57" w:type="dxa"/>
              <w:right w:w="57" w:type="dxa"/>
            </w:tcMar>
          </w:tcPr>
          <w:p w14:paraId="2A4D25DA" w14:textId="77777777" w:rsidR="003E5BF5" w:rsidRPr="00F163AE" w:rsidRDefault="003E5BF5" w:rsidP="00DE1921">
            <w:pPr>
              <w:pStyle w:val="TableTextLeftBold"/>
              <w:rPr>
                <w:rFonts w:ascii="Arial" w:hAnsi="Arial" w:cs="Arial"/>
                <w:sz w:val="24"/>
                <w:szCs w:val="24"/>
              </w:rPr>
            </w:pPr>
            <w:r w:rsidRPr="00F163AE">
              <w:rPr>
                <w:rFonts w:ascii="Arial" w:hAnsi="Arial" w:cs="Arial"/>
                <w:sz w:val="24"/>
                <w:szCs w:val="24"/>
              </w:rPr>
              <w:t>Performance measures</w:t>
            </w:r>
          </w:p>
        </w:tc>
        <w:tc>
          <w:tcPr>
            <w:tcW w:w="1070" w:type="dxa"/>
            <w:shd w:val="clear" w:color="auto" w:fill="auto"/>
            <w:tcMar>
              <w:left w:w="57" w:type="dxa"/>
              <w:right w:w="57" w:type="dxa"/>
            </w:tcMar>
          </w:tcPr>
          <w:p w14:paraId="6CB1D2F7"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unit of measure</w:t>
            </w:r>
          </w:p>
        </w:tc>
        <w:tc>
          <w:tcPr>
            <w:tcW w:w="1070" w:type="dxa"/>
            <w:shd w:val="clear" w:color="auto" w:fill="auto"/>
            <w:tcMar>
              <w:left w:w="57" w:type="dxa"/>
              <w:right w:w="57" w:type="dxa"/>
            </w:tcMar>
          </w:tcPr>
          <w:p w14:paraId="7CF74576"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2019-20 actual</w:t>
            </w:r>
          </w:p>
        </w:tc>
        <w:tc>
          <w:tcPr>
            <w:tcW w:w="1070" w:type="dxa"/>
            <w:shd w:val="clear" w:color="auto" w:fill="auto"/>
            <w:tcMar>
              <w:left w:w="57" w:type="dxa"/>
              <w:right w:w="57" w:type="dxa"/>
            </w:tcMar>
          </w:tcPr>
          <w:p w14:paraId="3530CA43"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2019-20 target</w:t>
            </w:r>
          </w:p>
        </w:tc>
        <w:tc>
          <w:tcPr>
            <w:tcW w:w="1336" w:type="dxa"/>
            <w:shd w:val="clear" w:color="auto" w:fill="auto"/>
            <w:tcMar>
              <w:left w:w="57" w:type="dxa"/>
              <w:right w:w="57" w:type="dxa"/>
            </w:tcMar>
          </w:tcPr>
          <w:p w14:paraId="2BCC32B3"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Performance variation (%)</w:t>
            </w:r>
          </w:p>
        </w:tc>
        <w:tc>
          <w:tcPr>
            <w:tcW w:w="1070" w:type="dxa"/>
            <w:shd w:val="clear" w:color="auto" w:fill="auto"/>
            <w:tcMar>
              <w:left w:w="57" w:type="dxa"/>
              <w:right w:w="57" w:type="dxa"/>
            </w:tcMar>
          </w:tcPr>
          <w:p w14:paraId="53C1C602"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Result</w:t>
            </w:r>
          </w:p>
        </w:tc>
      </w:tr>
      <w:tr w:rsidR="003E5BF5" w:rsidRPr="00F163AE" w14:paraId="5A6714E6" w14:textId="77777777" w:rsidTr="00632A78">
        <w:trPr>
          <w:trHeight w:val="340"/>
        </w:trPr>
        <w:tc>
          <w:tcPr>
            <w:tcW w:w="3456" w:type="dxa"/>
            <w:shd w:val="clear" w:color="auto" w:fill="auto"/>
            <w:tcMar>
              <w:left w:w="57" w:type="dxa"/>
              <w:right w:w="57" w:type="dxa"/>
            </w:tcMar>
            <w:vAlign w:val="center"/>
          </w:tcPr>
          <w:p w14:paraId="6E6715C7" w14:textId="77777777" w:rsidR="003E5BF5" w:rsidRPr="00F163AE" w:rsidRDefault="003E5BF5" w:rsidP="00DE1921">
            <w:pPr>
              <w:pStyle w:val="TableTextLeftItalics"/>
              <w:rPr>
                <w:rFonts w:ascii="Arial" w:hAnsi="Arial" w:cs="Arial"/>
                <w:b/>
                <w:sz w:val="24"/>
                <w:szCs w:val="24"/>
              </w:rPr>
            </w:pPr>
            <w:r w:rsidRPr="00F163AE">
              <w:rPr>
                <w:rFonts w:ascii="Arial" w:hAnsi="Arial" w:cs="Arial"/>
                <w:b/>
                <w:sz w:val="24"/>
                <w:szCs w:val="24"/>
              </w:rPr>
              <w:t>Quantity</w:t>
            </w:r>
          </w:p>
        </w:tc>
        <w:tc>
          <w:tcPr>
            <w:tcW w:w="1070" w:type="dxa"/>
            <w:shd w:val="clear" w:color="auto" w:fill="auto"/>
            <w:tcMar>
              <w:left w:w="57" w:type="dxa"/>
              <w:right w:w="57" w:type="dxa"/>
            </w:tcMar>
            <w:vAlign w:val="center"/>
          </w:tcPr>
          <w:p w14:paraId="03BB6051"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466AC1FE"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08A0FA74" w14:textId="77777777" w:rsidR="003E5BF5" w:rsidRPr="00F163AE"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22B4EB11"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11AAA420" w14:textId="77777777" w:rsidR="003E5BF5" w:rsidRPr="00F163AE" w:rsidRDefault="003E5BF5" w:rsidP="00DE1921">
            <w:pPr>
              <w:pStyle w:val="TableTextRight"/>
              <w:rPr>
                <w:rFonts w:ascii="Arial" w:hAnsi="Arial" w:cs="Arial"/>
                <w:sz w:val="24"/>
                <w:szCs w:val="24"/>
              </w:rPr>
            </w:pPr>
          </w:p>
        </w:tc>
      </w:tr>
      <w:tr w:rsidR="003E5BF5" w:rsidRPr="00F163AE" w14:paraId="1232F721" w14:textId="77777777" w:rsidTr="00632A78">
        <w:trPr>
          <w:trHeight w:val="340"/>
        </w:trPr>
        <w:tc>
          <w:tcPr>
            <w:tcW w:w="3456" w:type="dxa"/>
            <w:shd w:val="clear" w:color="auto" w:fill="auto"/>
            <w:tcMar>
              <w:left w:w="57" w:type="dxa"/>
              <w:right w:w="57" w:type="dxa"/>
            </w:tcMar>
            <w:vAlign w:val="center"/>
          </w:tcPr>
          <w:p w14:paraId="3F999B04"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Bridges maintained: metropolitan</w:t>
            </w:r>
            <w:r w:rsidR="00105501"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02DCABAB"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w:t>
            </w:r>
            <w:r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66B26FF9"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982</w:t>
            </w:r>
            <w:r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667E8DC8"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973</w:t>
            </w:r>
            <w:r w:rsidRPr="00F163AE">
              <w:rPr>
                <w:rFonts w:ascii="Arial" w:hAnsi="Arial" w:cs="Arial"/>
                <w:sz w:val="24"/>
                <w:szCs w:val="24"/>
              </w:rPr>
              <w:fldChar w:fldCharType="end"/>
            </w:r>
          </w:p>
        </w:tc>
        <w:tc>
          <w:tcPr>
            <w:tcW w:w="1336" w:type="dxa"/>
            <w:shd w:val="clear" w:color="auto" w:fill="auto"/>
            <w:tcMar>
              <w:left w:w="57" w:type="dxa"/>
              <w:right w:w="57" w:type="dxa"/>
            </w:tcMar>
            <w:vAlign w:val="center"/>
          </w:tcPr>
          <w:p w14:paraId="201218D6"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0.9</w:t>
            </w:r>
            <w:r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714F81C9"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5C5F4677" w14:textId="77777777" w:rsidTr="00632A78">
        <w:trPr>
          <w:trHeight w:val="340"/>
        </w:trPr>
        <w:tc>
          <w:tcPr>
            <w:tcW w:w="3456" w:type="dxa"/>
            <w:shd w:val="clear" w:color="auto" w:fill="auto"/>
            <w:tcMar>
              <w:left w:w="57" w:type="dxa"/>
              <w:right w:w="57" w:type="dxa"/>
            </w:tcMar>
            <w:vAlign w:val="center"/>
          </w:tcPr>
          <w:p w14:paraId="483F713F"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Bridges maintained: regional</w:t>
            </w:r>
            <w:r w:rsidR="00105501"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44E869EF"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w:t>
            </w:r>
            <w:r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2334CCD1"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2,229</w:t>
            </w:r>
            <w:r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3BA24358"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2,277</w:t>
            </w:r>
            <w:r w:rsidRPr="00F163AE">
              <w:rPr>
                <w:rFonts w:ascii="Arial" w:hAnsi="Arial" w:cs="Arial"/>
                <w:sz w:val="24"/>
                <w:szCs w:val="24"/>
              </w:rPr>
              <w:fldChar w:fldCharType="end"/>
            </w:r>
          </w:p>
        </w:tc>
        <w:tc>
          <w:tcPr>
            <w:tcW w:w="1336" w:type="dxa"/>
            <w:shd w:val="clear" w:color="auto" w:fill="auto"/>
            <w:tcMar>
              <w:left w:w="57" w:type="dxa"/>
              <w:right w:w="57" w:type="dxa"/>
            </w:tcMar>
            <w:vAlign w:val="center"/>
          </w:tcPr>
          <w:p w14:paraId="5AFE6381"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-2.1</w:t>
            </w:r>
            <w:r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6C3C3237"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2" w:char="F099"/>
            </w:r>
          </w:p>
        </w:tc>
      </w:tr>
      <w:tr w:rsidR="003E5BF5" w:rsidRPr="00F163AE" w14:paraId="06F10306" w14:textId="77777777" w:rsidTr="00632A78">
        <w:trPr>
          <w:trHeight w:val="340"/>
        </w:trPr>
        <w:tc>
          <w:tcPr>
            <w:tcW w:w="3456" w:type="dxa"/>
            <w:shd w:val="clear" w:color="auto" w:fill="auto"/>
            <w:tcMar>
              <w:left w:w="57" w:type="dxa"/>
              <w:right w:w="57" w:type="dxa"/>
            </w:tcMar>
          </w:tcPr>
          <w:p w14:paraId="4E1F1F04"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Road area treated: high strategic priority roads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1AF5C9DA"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m2 (000)</w:t>
            </w:r>
            <w:r w:rsidRPr="00F163AE">
              <w:rPr>
                <w:rFonts w:ascii="Arial" w:hAnsi="Arial" w:cs="Arial"/>
                <w:sz w:val="24"/>
                <w:szCs w:val="24"/>
              </w:rPr>
              <w:fldChar w:fldCharType="end"/>
            </w:r>
          </w:p>
        </w:tc>
        <w:tc>
          <w:tcPr>
            <w:tcW w:w="1070" w:type="dxa"/>
            <w:shd w:val="clear" w:color="auto" w:fill="auto"/>
            <w:tcMar>
              <w:left w:w="57" w:type="dxa"/>
              <w:right w:w="57" w:type="dxa"/>
            </w:tcMar>
          </w:tcPr>
          <w:p w14:paraId="624D6B2A"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7,699</w:t>
            </w:r>
            <w:r w:rsidRPr="00F163AE">
              <w:rPr>
                <w:rFonts w:ascii="Arial" w:hAnsi="Arial" w:cs="Arial"/>
                <w:sz w:val="24"/>
                <w:szCs w:val="24"/>
              </w:rPr>
              <w:fldChar w:fldCharType="end"/>
            </w:r>
          </w:p>
        </w:tc>
        <w:tc>
          <w:tcPr>
            <w:tcW w:w="1070" w:type="dxa"/>
            <w:shd w:val="clear" w:color="auto" w:fill="auto"/>
            <w:tcMar>
              <w:left w:w="57" w:type="dxa"/>
              <w:right w:w="57" w:type="dxa"/>
            </w:tcMar>
          </w:tcPr>
          <w:p w14:paraId="4F150239"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10,600</w:t>
            </w:r>
            <w:r w:rsidRPr="00F163AE">
              <w:rPr>
                <w:rFonts w:ascii="Arial" w:hAnsi="Arial" w:cs="Arial"/>
                <w:sz w:val="24"/>
                <w:szCs w:val="24"/>
              </w:rPr>
              <w:fldChar w:fldCharType="end"/>
            </w:r>
          </w:p>
        </w:tc>
        <w:tc>
          <w:tcPr>
            <w:tcW w:w="1336" w:type="dxa"/>
            <w:shd w:val="clear" w:color="auto" w:fill="auto"/>
            <w:tcMar>
              <w:left w:w="57" w:type="dxa"/>
              <w:right w:w="57" w:type="dxa"/>
            </w:tcMar>
          </w:tcPr>
          <w:p w14:paraId="740327FC"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-27.4</w:t>
            </w:r>
            <w:r w:rsidRPr="00F163AE">
              <w:rPr>
                <w:rFonts w:ascii="Arial" w:hAnsi="Arial" w:cs="Arial"/>
                <w:sz w:val="24"/>
                <w:szCs w:val="24"/>
              </w:rPr>
              <w:fldChar w:fldCharType="end"/>
            </w:r>
          </w:p>
        </w:tc>
        <w:tc>
          <w:tcPr>
            <w:tcW w:w="1070" w:type="dxa"/>
            <w:shd w:val="clear" w:color="auto" w:fill="auto"/>
            <w:tcMar>
              <w:left w:w="57" w:type="dxa"/>
              <w:right w:w="57" w:type="dxa"/>
            </w:tcMar>
          </w:tcPr>
          <w:p w14:paraId="3821E23D"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6E"/>
            </w:r>
          </w:p>
        </w:tc>
      </w:tr>
      <w:tr w:rsidR="003E5BF5" w:rsidRPr="00F163AE" w14:paraId="12D4937E" w14:textId="77777777" w:rsidTr="00632A78">
        <w:tc>
          <w:tcPr>
            <w:tcW w:w="9072" w:type="dxa"/>
            <w:gridSpan w:val="6"/>
            <w:shd w:val="clear" w:color="auto" w:fill="auto"/>
            <w:tcMar>
              <w:left w:w="57" w:type="dxa"/>
              <w:right w:w="57" w:type="dxa"/>
            </w:tcMar>
          </w:tcPr>
          <w:p w14:paraId="670DADE2" w14:textId="77777777" w:rsidR="003E5BF5" w:rsidRPr="00F163AE" w:rsidRDefault="003E5BF5" w:rsidP="00DE1921">
            <w:pPr>
              <w:pStyle w:val="TableTextCentre"/>
              <w:spacing w:before="40"/>
              <w:jc w:val="left"/>
              <w:rPr>
                <w:rFonts w:ascii="Arial" w:hAnsi="Arial" w:cs="Arial"/>
                <w:i/>
                <w:sz w:val="24"/>
                <w:szCs w:val="24"/>
              </w:rPr>
            </w:pPr>
            <w:r w:rsidRPr="00F163AE">
              <w:rPr>
                <w:rFonts w:ascii="Arial" w:hAnsi="Arial" w:cs="Arial"/>
                <w:i/>
                <w:sz w:val="24"/>
                <w:szCs w:val="24"/>
              </w:rPr>
              <w:fldChar w:fldCharType="begin"/>
            </w:r>
            <w:r w:rsidRPr="00F163AE">
              <w:rPr>
                <w:rFonts w:ascii="Arial" w:hAnsi="Arial" w:cs="Arial"/>
                <w:i/>
                <w:sz w:val="24"/>
                <w:szCs w:val="24"/>
              </w:rPr>
              <w:instrText xml:space="preserve"> MERGEFIELD "M_26" </w:instrText>
            </w:r>
            <w:r w:rsidRPr="00F163AE">
              <w:rPr>
                <w:rFonts w:ascii="Arial" w:hAnsi="Arial" w:cs="Arial"/>
                <w:i/>
                <w:sz w:val="24"/>
                <w:szCs w:val="24"/>
              </w:rPr>
              <w:fldChar w:fldCharType="separate"/>
            </w:r>
            <w:r w:rsidRPr="00F163AE">
              <w:rPr>
                <w:rFonts w:ascii="Arial" w:hAnsi="Arial" w:cs="Arial"/>
                <w:i/>
                <w:sz w:val="24"/>
                <w:szCs w:val="24"/>
              </w:rPr>
              <w:t>Due to on-site inspections identified a lower area requiring treatment on high strategic priority roads.</w:t>
            </w:r>
            <w:r w:rsidRPr="00F163AE">
              <w:rPr>
                <w:rFonts w:ascii="Arial" w:hAnsi="Arial" w:cs="Arial"/>
                <w:i/>
                <w:sz w:val="24"/>
                <w:szCs w:val="24"/>
              </w:rPr>
              <w:fldChar w:fldCharType="end"/>
            </w:r>
          </w:p>
        </w:tc>
      </w:tr>
      <w:tr w:rsidR="003E5BF5" w:rsidRPr="00F163AE" w14:paraId="756E06A5" w14:textId="77777777" w:rsidTr="00632A78">
        <w:trPr>
          <w:trHeight w:val="340"/>
        </w:trPr>
        <w:tc>
          <w:tcPr>
            <w:tcW w:w="3456" w:type="dxa"/>
            <w:shd w:val="clear" w:color="auto" w:fill="auto"/>
            <w:tcMar>
              <w:left w:w="57" w:type="dxa"/>
              <w:right w:w="57" w:type="dxa"/>
            </w:tcMar>
          </w:tcPr>
          <w:p w14:paraId="002AFAD4"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Road area treated: low strategic priority roads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0BE5576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m2 (000)</w:t>
            </w:r>
            <w:r w:rsidRPr="00F163AE">
              <w:rPr>
                <w:rFonts w:ascii="Arial" w:hAnsi="Arial" w:cs="Arial"/>
                <w:sz w:val="24"/>
                <w:szCs w:val="24"/>
              </w:rPr>
              <w:fldChar w:fldCharType="end"/>
            </w:r>
          </w:p>
        </w:tc>
        <w:tc>
          <w:tcPr>
            <w:tcW w:w="1070" w:type="dxa"/>
            <w:shd w:val="clear" w:color="auto" w:fill="auto"/>
            <w:tcMar>
              <w:left w:w="57" w:type="dxa"/>
              <w:right w:w="57" w:type="dxa"/>
            </w:tcMar>
          </w:tcPr>
          <w:p w14:paraId="7855FF33"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1,807</w:t>
            </w:r>
            <w:r w:rsidRPr="00F163AE">
              <w:rPr>
                <w:rFonts w:ascii="Arial" w:hAnsi="Arial" w:cs="Arial"/>
                <w:sz w:val="24"/>
                <w:szCs w:val="24"/>
              </w:rPr>
              <w:fldChar w:fldCharType="end"/>
            </w:r>
          </w:p>
        </w:tc>
        <w:tc>
          <w:tcPr>
            <w:tcW w:w="1070" w:type="dxa"/>
            <w:shd w:val="clear" w:color="auto" w:fill="auto"/>
            <w:tcMar>
              <w:left w:w="57" w:type="dxa"/>
              <w:right w:w="57" w:type="dxa"/>
            </w:tcMar>
          </w:tcPr>
          <w:p w14:paraId="162C4361"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50</w:t>
            </w:r>
            <w:r w:rsidRPr="00F163AE">
              <w:rPr>
                <w:rFonts w:ascii="Arial" w:hAnsi="Arial" w:cs="Arial"/>
                <w:sz w:val="24"/>
                <w:szCs w:val="24"/>
              </w:rPr>
              <w:fldChar w:fldCharType="end"/>
            </w:r>
          </w:p>
        </w:tc>
        <w:tc>
          <w:tcPr>
            <w:tcW w:w="1336" w:type="dxa"/>
            <w:shd w:val="clear" w:color="auto" w:fill="auto"/>
            <w:tcMar>
              <w:left w:w="57" w:type="dxa"/>
              <w:right w:w="57" w:type="dxa"/>
            </w:tcMar>
          </w:tcPr>
          <w:p w14:paraId="3B218E2C"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3,514.0</w:t>
            </w:r>
            <w:r w:rsidRPr="00F163AE">
              <w:rPr>
                <w:rFonts w:ascii="Arial" w:hAnsi="Arial" w:cs="Arial"/>
                <w:sz w:val="24"/>
                <w:szCs w:val="24"/>
              </w:rPr>
              <w:fldChar w:fldCharType="end"/>
            </w:r>
          </w:p>
        </w:tc>
        <w:tc>
          <w:tcPr>
            <w:tcW w:w="1070" w:type="dxa"/>
            <w:shd w:val="clear" w:color="auto" w:fill="auto"/>
            <w:tcMar>
              <w:left w:w="57" w:type="dxa"/>
              <w:right w:w="57" w:type="dxa"/>
            </w:tcMar>
          </w:tcPr>
          <w:p w14:paraId="1157EEBA"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790E46F1" w14:textId="77777777" w:rsidTr="00632A78">
        <w:tc>
          <w:tcPr>
            <w:tcW w:w="9072" w:type="dxa"/>
            <w:gridSpan w:val="6"/>
            <w:shd w:val="clear" w:color="auto" w:fill="auto"/>
            <w:tcMar>
              <w:left w:w="57" w:type="dxa"/>
              <w:right w:w="57" w:type="dxa"/>
            </w:tcMar>
          </w:tcPr>
          <w:p w14:paraId="1901E72C" w14:textId="77777777" w:rsidR="003E5BF5" w:rsidRPr="00F163AE" w:rsidRDefault="003E5BF5" w:rsidP="00DE1921">
            <w:pPr>
              <w:pStyle w:val="TableTextCentre"/>
              <w:spacing w:before="40"/>
              <w:jc w:val="left"/>
              <w:rPr>
                <w:rFonts w:ascii="Arial" w:hAnsi="Arial" w:cs="Arial"/>
                <w:i/>
                <w:sz w:val="24"/>
                <w:szCs w:val="24"/>
              </w:rPr>
            </w:pPr>
            <w:r w:rsidRPr="00F163AE">
              <w:rPr>
                <w:rFonts w:ascii="Arial" w:hAnsi="Arial" w:cs="Arial"/>
                <w:i/>
                <w:sz w:val="24"/>
                <w:szCs w:val="24"/>
              </w:rPr>
              <w:fldChar w:fldCharType="begin"/>
            </w:r>
            <w:r w:rsidRPr="00F163AE">
              <w:rPr>
                <w:rFonts w:ascii="Arial" w:hAnsi="Arial" w:cs="Arial"/>
                <w:i/>
                <w:sz w:val="24"/>
                <w:szCs w:val="24"/>
              </w:rPr>
              <w:instrText xml:space="preserve"> MERGEFIELD "M_26" </w:instrText>
            </w:r>
            <w:r w:rsidRPr="00F163AE">
              <w:rPr>
                <w:rFonts w:ascii="Arial" w:hAnsi="Arial" w:cs="Arial"/>
                <w:i/>
                <w:sz w:val="24"/>
                <w:szCs w:val="24"/>
              </w:rPr>
              <w:fldChar w:fldCharType="separate"/>
            </w:r>
            <w:r w:rsidRPr="00F163AE">
              <w:rPr>
                <w:rFonts w:ascii="Arial" w:hAnsi="Arial" w:cs="Arial"/>
                <w:i/>
                <w:sz w:val="24"/>
                <w:szCs w:val="24"/>
              </w:rPr>
              <w:t>Due to the reprioritisation of treatments to address safety concerns associated with roads with low skid resistance on low strategic priority roads.</w:t>
            </w:r>
            <w:r w:rsidRPr="00F163AE">
              <w:rPr>
                <w:rFonts w:ascii="Arial" w:hAnsi="Arial" w:cs="Arial"/>
                <w:i/>
                <w:sz w:val="24"/>
                <w:szCs w:val="24"/>
              </w:rPr>
              <w:fldChar w:fldCharType="end"/>
            </w:r>
          </w:p>
        </w:tc>
      </w:tr>
      <w:tr w:rsidR="003E5BF5" w:rsidRPr="00F163AE" w14:paraId="5E2E2FFB" w14:textId="77777777" w:rsidTr="00632A78">
        <w:trPr>
          <w:trHeight w:val="340"/>
        </w:trPr>
        <w:tc>
          <w:tcPr>
            <w:tcW w:w="3456" w:type="dxa"/>
            <w:shd w:val="clear" w:color="auto" w:fill="auto"/>
            <w:tcMar>
              <w:left w:w="57" w:type="dxa"/>
              <w:right w:w="57" w:type="dxa"/>
            </w:tcMar>
          </w:tcPr>
          <w:p w14:paraId="33C48217"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Road area treated: medium strategic priority roads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14BF6D9F"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m2 (000)</w:t>
            </w:r>
            <w:r w:rsidRPr="00F163AE">
              <w:rPr>
                <w:rFonts w:ascii="Arial" w:hAnsi="Arial" w:cs="Arial"/>
                <w:sz w:val="24"/>
                <w:szCs w:val="24"/>
              </w:rPr>
              <w:fldChar w:fldCharType="end"/>
            </w:r>
          </w:p>
        </w:tc>
        <w:tc>
          <w:tcPr>
            <w:tcW w:w="1070" w:type="dxa"/>
            <w:shd w:val="clear" w:color="auto" w:fill="auto"/>
            <w:tcMar>
              <w:left w:w="57" w:type="dxa"/>
              <w:right w:w="57" w:type="dxa"/>
            </w:tcMar>
          </w:tcPr>
          <w:p w14:paraId="0EDD284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4,331</w:t>
            </w:r>
            <w:r w:rsidRPr="00F163AE">
              <w:rPr>
                <w:rFonts w:ascii="Arial" w:hAnsi="Arial" w:cs="Arial"/>
                <w:sz w:val="24"/>
                <w:szCs w:val="24"/>
              </w:rPr>
              <w:fldChar w:fldCharType="end"/>
            </w:r>
          </w:p>
        </w:tc>
        <w:tc>
          <w:tcPr>
            <w:tcW w:w="1070" w:type="dxa"/>
            <w:shd w:val="clear" w:color="auto" w:fill="auto"/>
            <w:tcMar>
              <w:left w:w="57" w:type="dxa"/>
              <w:right w:w="57" w:type="dxa"/>
            </w:tcMar>
          </w:tcPr>
          <w:p w14:paraId="555E27FE"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1,000</w:t>
            </w:r>
            <w:r w:rsidRPr="00F163AE">
              <w:rPr>
                <w:rFonts w:ascii="Arial" w:hAnsi="Arial" w:cs="Arial"/>
                <w:sz w:val="24"/>
                <w:szCs w:val="24"/>
              </w:rPr>
              <w:fldChar w:fldCharType="end"/>
            </w:r>
          </w:p>
        </w:tc>
        <w:tc>
          <w:tcPr>
            <w:tcW w:w="1336" w:type="dxa"/>
            <w:shd w:val="clear" w:color="auto" w:fill="auto"/>
            <w:tcMar>
              <w:left w:w="57" w:type="dxa"/>
              <w:right w:w="57" w:type="dxa"/>
            </w:tcMar>
          </w:tcPr>
          <w:p w14:paraId="1831281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333.1</w:t>
            </w:r>
            <w:r w:rsidRPr="00F163AE">
              <w:rPr>
                <w:rFonts w:ascii="Arial" w:hAnsi="Arial" w:cs="Arial"/>
                <w:sz w:val="24"/>
                <w:szCs w:val="24"/>
              </w:rPr>
              <w:fldChar w:fldCharType="end"/>
            </w:r>
          </w:p>
        </w:tc>
        <w:tc>
          <w:tcPr>
            <w:tcW w:w="1070" w:type="dxa"/>
            <w:shd w:val="clear" w:color="auto" w:fill="auto"/>
            <w:tcMar>
              <w:left w:w="57" w:type="dxa"/>
              <w:right w:w="57" w:type="dxa"/>
            </w:tcMar>
          </w:tcPr>
          <w:p w14:paraId="30DB0A7D"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16FA0EBB" w14:textId="77777777" w:rsidTr="00632A78">
        <w:tc>
          <w:tcPr>
            <w:tcW w:w="9072" w:type="dxa"/>
            <w:gridSpan w:val="6"/>
            <w:shd w:val="clear" w:color="auto" w:fill="auto"/>
            <w:tcMar>
              <w:left w:w="57" w:type="dxa"/>
              <w:right w:w="57" w:type="dxa"/>
            </w:tcMar>
          </w:tcPr>
          <w:p w14:paraId="2CF39078" w14:textId="77777777" w:rsidR="003E5BF5" w:rsidRPr="00F163AE" w:rsidRDefault="003E5BF5" w:rsidP="00DE1921">
            <w:pPr>
              <w:pStyle w:val="TableTextCentre"/>
              <w:spacing w:before="40"/>
              <w:jc w:val="left"/>
              <w:rPr>
                <w:rFonts w:ascii="Arial" w:hAnsi="Arial" w:cs="Arial"/>
                <w:i/>
                <w:sz w:val="24"/>
                <w:szCs w:val="24"/>
              </w:rPr>
            </w:pPr>
            <w:r w:rsidRPr="00F163AE">
              <w:rPr>
                <w:rFonts w:ascii="Arial" w:hAnsi="Arial" w:cs="Arial"/>
                <w:i/>
                <w:sz w:val="24"/>
                <w:szCs w:val="24"/>
              </w:rPr>
              <w:fldChar w:fldCharType="begin"/>
            </w:r>
            <w:r w:rsidRPr="00F163AE">
              <w:rPr>
                <w:rFonts w:ascii="Arial" w:hAnsi="Arial" w:cs="Arial"/>
                <w:i/>
                <w:sz w:val="24"/>
                <w:szCs w:val="24"/>
              </w:rPr>
              <w:instrText xml:space="preserve"> MERGEFIELD "M_26" </w:instrText>
            </w:r>
            <w:r w:rsidRPr="00F163AE">
              <w:rPr>
                <w:rFonts w:ascii="Arial" w:hAnsi="Arial" w:cs="Arial"/>
                <w:i/>
                <w:sz w:val="24"/>
                <w:szCs w:val="24"/>
              </w:rPr>
              <w:fldChar w:fldCharType="separate"/>
            </w:r>
            <w:r w:rsidRPr="00F163AE">
              <w:rPr>
                <w:rFonts w:ascii="Arial" w:hAnsi="Arial" w:cs="Arial"/>
                <w:i/>
                <w:sz w:val="24"/>
                <w:szCs w:val="24"/>
              </w:rPr>
              <w:t>Due to on-site inspections identified a higher area requiring treatment on medium strategic priority roads.</w:t>
            </w:r>
            <w:r w:rsidRPr="00F163AE">
              <w:rPr>
                <w:rFonts w:ascii="Arial" w:hAnsi="Arial" w:cs="Arial"/>
                <w:i/>
                <w:sz w:val="24"/>
                <w:szCs w:val="24"/>
              </w:rPr>
              <w:fldChar w:fldCharType="end"/>
            </w:r>
          </w:p>
        </w:tc>
      </w:tr>
      <w:tr w:rsidR="003E5BF5" w:rsidRPr="00F163AE" w14:paraId="14F7B4AF" w14:textId="77777777" w:rsidTr="00632A78">
        <w:trPr>
          <w:trHeight w:val="340"/>
        </w:trPr>
        <w:tc>
          <w:tcPr>
            <w:tcW w:w="3456" w:type="dxa"/>
            <w:shd w:val="clear" w:color="auto" w:fill="auto"/>
            <w:tcMar>
              <w:left w:w="57" w:type="dxa"/>
              <w:right w:w="57" w:type="dxa"/>
            </w:tcMar>
            <w:vAlign w:val="center"/>
          </w:tcPr>
          <w:p w14:paraId="1213EC2F"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Road network maintained: metropolitan</w:t>
            </w:r>
            <w:r w:rsidR="00105501"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21588F28"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lane - km</w:t>
            </w:r>
            <w:r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5D78C154"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12,869</w:t>
            </w:r>
            <w:r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7C9D9E83"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12,308</w:t>
            </w:r>
            <w:r w:rsidRPr="00F163AE">
              <w:rPr>
                <w:rFonts w:ascii="Arial" w:hAnsi="Arial" w:cs="Arial"/>
                <w:sz w:val="24"/>
                <w:szCs w:val="24"/>
              </w:rPr>
              <w:fldChar w:fldCharType="end"/>
            </w:r>
          </w:p>
        </w:tc>
        <w:tc>
          <w:tcPr>
            <w:tcW w:w="1336" w:type="dxa"/>
            <w:shd w:val="clear" w:color="auto" w:fill="auto"/>
            <w:tcMar>
              <w:left w:w="57" w:type="dxa"/>
              <w:right w:w="57" w:type="dxa"/>
            </w:tcMar>
            <w:vAlign w:val="center"/>
          </w:tcPr>
          <w:p w14:paraId="45D6F01D"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4.6</w:t>
            </w:r>
            <w:r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61C6715C"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074FFE26" w14:textId="77777777" w:rsidTr="00632A78">
        <w:trPr>
          <w:trHeight w:val="340"/>
        </w:trPr>
        <w:tc>
          <w:tcPr>
            <w:tcW w:w="3456" w:type="dxa"/>
            <w:shd w:val="clear" w:color="auto" w:fill="auto"/>
            <w:tcMar>
              <w:left w:w="57" w:type="dxa"/>
              <w:right w:w="57" w:type="dxa"/>
            </w:tcMar>
            <w:vAlign w:val="center"/>
          </w:tcPr>
          <w:p w14:paraId="7DDB6461"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Road network maintained: regional</w:t>
            </w:r>
            <w:r w:rsidR="00105501"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64A6D007"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lane - km</w:t>
            </w:r>
            <w:r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6E8780DF"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41,759</w:t>
            </w:r>
            <w:r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5F67CD2B"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41,495</w:t>
            </w:r>
            <w:r w:rsidRPr="00F163AE">
              <w:rPr>
                <w:rFonts w:ascii="Arial" w:hAnsi="Arial" w:cs="Arial"/>
                <w:sz w:val="24"/>
                <w:szCs w:val="24"/>
              </w:rPr>
              <w:fldChar w:fldCharType="end"/>
            </w:r>
          </w:p>
        </w:tc>
        <w:tc>
          <w:tcPr>
            <w:tcW w:w="1336" w:type="dxa"/>
            <w:shd w:val="clear" w:color="auto" w:fill="auto"/>
            <w:tcMar>
              <w:left w:w="57" w:type="dxa"/>
              <w:right w:w="57" w:type="dxa"/>
            </w:tcMar>
            <w:vAlign w:val="center"/>
          </w:tcPr>
          <w:p w14:paraId="2C36C2AA"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0.6</w:t>
            </w:r>
            <w:r w:rsidRPr="00F163AE">
              <w:rPr>
                <w:rFonts w:ascii="Arial" w:hAnsi="Arial" w:cs="Arial"/>
                <w:sz w:val="24"/>
                <w:szCs w:val="24"/>
              </w:rPr>
              <w:fldChar w:fldCharType="end"/>
            </w:r>
          </w:p>
        </w:tc>
        <w:tc>
          <w:tcPr>
            <w:tcW w:w="1070" w:type="dxa"/>
            <w:shd w:val="clear" w:color="auto" w:fill="auto"/>
            <w:tcMar>
              <w:left w:w="57" w:type="dxa"/>
              <w:right w:w="57" w:type="dxa"/>
            </w:tcMar>
            <w:vAlign w:val="center"/>
          </w:tcPr>
          <w:p w14:paraId="4BD6B7A4"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0311C75E" w14:textId="77777777" w:rsidTr="00632A78">
        <w:trPr>
          <w:trHeight w:val="340"/>
        </w:trPr>
        <w:tc>
          <w:tcPr>
            <w:tcW w:w="3456" w:type="dxa"/>
            <w:shd w:val="clear" w:color="auto" w:fill="auto"/>
            <w:tcMar>
              <w:left w:w="57" w:type="dxa"/>
              <w:right w:w="57" w:type="dxa"/>
            </w:tcMar>
            <w:vAlign w:val="center"/>
          </w:tcPr>
          <w:p w14:paraId="22D5BD0A" w14:textId="77777777" w:rsidR="003E5BF5" w:rsidRPr="00F163AE" w:rsidRDefault="003E5BF5" w:rsidP="00DE1921">
            <w:pPr>
              <w:pStyle w:val="TableTextLeftItalics"/>
              <w:rPr>
                <w:rFonts w:ascii="Arial" w:hAnsi="Arial" w:cs="Arial"/>
                <w:sz w:val="24"/>
                <w:szCs w:val="24"/>
              </w:rPr>
            </w:pPr>
            <w:r w:rsidRPr="00F163AE">
              <w:rPr>
                <w:rFonts w:ascii="Arial" w:hAnsi="Arial" w:cs="Arial"/>
                <w:b/>
                <w:sz w:val="24"/>
                <w:szCs w:val="24"/>
              </w:rPr>
              <w:t>Quality</w:t>
            </w:r>
          </w:p>
        </w:tc>
        <w:tc>
          <w:tcPr>
            <w:tcW w:w="1070" w:type="dxa"/>
            <w:shd w:val="clear" w:color="auto" w:fill="auto"/>
            <w:tcMar>
              <w:left w:w="57" w:type="dxa"/>
              <w:right w:w="57" w:type="dxa"/>
            </w:tcMar>
          </w:tcPr>
          <w:p w14:paraId="7CC1FC2D"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tcPr>
          <w:p w14:paraId="38F4387E"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tcPr>
          <w:p w14:paraId="0C281437" w14:textId="77777777" w:rsidR="003E5BF5" w:rsidRPr="00F163AE"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tcPr>
          <w:p w14:paraId="789C3EAB"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tcPr>
          <w:p w14:paraId="1D1D2B45" w14:textId="77777777" w:rsidR="003E5BF5" w:rsidRPr="00F163AE" w:rsidRDefault="003E5BF5" w:rsidP="00DE1921">
            <w:pPr>
              <w:pStyle w:val="TableTextCentre"/>
              <w:spacing w:before="40"/>
              <w:jc w:val="right"/>
              <w:rPr>
                <w:rFonts w:ascii="Arial" w:hAnsi="Arial" w:cs="Arial"/>
                <w:sz w:val="24"/>
                <w:szCs w:val="24"/>
              </w:rPr>
            </w:pPr>
          </w:p>
        </w:tc>
      </w:tr>
      <w:tr w:rsidR="003E5BF5" w:rsidRPr="00F163AE" w14:paraId="3EC268B1" w14:textId="77777777" w:rsidTr="00632A78">
        <w:trPr>
          <w:trHeight w:val="340"/>
        </w:trPr>
        <w:tc>
          <w:tcPr>
            <w:tcW w:w="3456" w:type="dxa"/>
            <w:shd w:val="clear" w:color="auto" w:fill="auto"/>
            <w:tcMar>
              <w:left w:w="57" w:type="dxa"/>
              <w:right w:w="57" w:type="dxa"/>
            </w:tcMar>
          </w:tcPr>
          <w:p w14:paraId="5C1A17B2"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Bridges that are acceptable for legal load vehicles: metropolitan</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700BEA7F"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142FEB06"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99.7</w:t>
            </w:r>
            <w:r w:rsidRPr="00F163AE">
              <w:rPr>
                <w:rFonts w:ascii="Arial" w:hAnsi="Arial" w:cs="Arial"/>
                <w:sz w:val="24"/>
                <w:szCs w:val="24"/>
              </w:rPr>
              <w:fldChar w:fldCharType="end"/>
            </w:r>
          </w:p>
        </w:tc>
        <w:tc>
          <w:tcPr>
            <w:tcW w:w="1070" w:type="dxa"/>
            <w:shd w:val="clear" w:color="auto" w:fill="auto"/>
            <w:tcMar>
              <w:left w:w="57" w:type="dxa"/>
              <w:right w:w="57" w:type="dxa"/>
            </w:tcMar>
          </w:tcPr>
          <w:p w14:paraId="0D57F36A"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99.6</w:t>
            </w:r>
            <w:r w:rsidRPr="00F163AE">
              <w:rPr>
                <w:rFonts w:ascii="Arial" w:hAnsi="Arial" w:cs="Arial"/>
                <w:sz w:val="24"/>
                <w:szCs w:val="24"/>
              </w:rPr>
              <w:fldChar w:fldCharType="end"/>
            </w:r>
          </w:p>
        </w:tc>
        <w:tc>
          <w:tcPr>
            <w:tcW w:w="1336" w:type="dxa"/>
            <w:shd w:val="clear" w:color="auto" w:fill="auto"/>
            <w:tcMar>
              <w:left w:w="57" w:type="dxa"/>
              <w:right w:w="57" w:type="dxa"/>
            </w:tcMar>
          </w:tcPr>
          <w:p w14:paraId="0221DFC3"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0.1</w:t>
            </w:r>
            <w:r w:rsidRPr="00F163AE">
              <w:rPr>
                <w:rFonts w:ascii="Arial" w:hAnsi="Arial" w:cs="Arial"/>
                <w:sz w:val="24"/>
                <w:szCs w:val="24"/>
              </w:rPr>
              <w:fldChar w:fldCharType="end"/>
            </w:r>
          </w:p>
        </w:tc>
        <w:tc>
          <w:tcPr>
            <w:tcW w:w="1070" w:type="dxa"/>
            <w:shd w:val="clear" w:color="auto" w:fill="auto"/>
            <w:tcMar>
              <w:left w:w="57" w:type="dxa"/>
              <w:right w:w="57" w:type="dxa"/>
            </w:tcMar>
          </w:tcPr>
          <w:p w14:paraId="6891DC6E"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7457D8BA" w14:textId="77777777" w:rsidTr="00632A78">
        <w:trPr>
          <w:trHeight w:val="340"/>
        </w:trPr>
        <w:tc>
          <w:tcPr>
            <w:tcW w:w="3456" w:type="dxa"/>
            <w:shd w:val="clear" w:color="auto" w:fill="auto"/>
            <w:tcMar>
              <w:left w:w="57" w:type="dxa"/>
              <w:right w:w="57" w:type="dxa"/>
            </w:tcMar>
          </w:tcPr>
          <w:p w14:paraId="43371B07"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Bridges that are acceptable for legal load vehicles: regional</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3414B56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197F4247"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99.6</w:t>
            </w:r>
            <w:r w:rsidRPr="00F163AE">
              <w:rPr>
                <w:rFonts w:ascii="Arial" w:hAnsi="Arial" w:cs="Arial"/>
                <w:sz w:val="24"/>
                <w:szCs w:val="24"/>
              </w:rPr>
              <w:fldChar w:fldCharType="end"/>
            </w:r>
          </w:p>
        </w:tc>
        <w:tc>
          <w:tcPr>
            <w:tcW w:w="1070" w:type="dxa"/>
            <w:shd w:val="clear" w:color="auto" w:fill="auto"/>
            <w:tcMar>
              <w:left w:w="57" w:type="dxa"/>
              <w:right w:w="57" w:type="dxa"/>
            </w:tcMar>
          </w:tcPr>
          <w:p w14:paraId="421E50D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99.6</w:t>
            </w:r>
            <w:r w:rsidRPr="00F163AE">
              <w:rPr>
                <w:rFonts w:ascii="Arial" w:hAnsi="Arial" w:cs="Arial"/>
                <w:sz w:val="24"/>
                <w:szCs w:val="24"/>
              </w:rPr>
              <w:fldChar w:fldCharType="end"/>
            </w:r>
          </w:p>
        </w:tc>
        <w:tc>
          <w:tcPr>
            <w:tcW w:w="1336" w:type="dxa"/>
            <w:shd w:val="clear" w:color="auto" w:fill="auto"/>
            <w:tcMar>
              <w:left w:w="57" w:type="dxa"/>
              <w:right w:w="57" w:type="dxa"/>
            </w:tcMar>
          </w:tcPr>
          <w:p w14:paraId="200F5684"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0776D1B6"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33670BC0" w14:textId="77777777" w:rsidTr="00632A78">
        <w:trPr>
          <w:trHeight w:val="340"/>
        </w:trPr>
        <w:tc>
          <w:tcPr>
            <w:tcW w:w="3456" w:type="dxa"/>
            <w:shd w:val="clear" w:color="auto" w:fill="auto"/>
            <w:tcMar>
              <w:left w:w="57" w:type="dxa"/>
              <w:right w:w="57" w:type="dxa"/>
            </w:tcMar>
          </w:tcPr>
          <w:p w14:paraId="69225ED0"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Road length meeting cracking standard: metropolitan</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669C4C85"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153066EE"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95</w:t>
            </w:r>
            <w:r w:rsidRPr="00F163AE">
              <w:rPr>
                <w:rFonts w:ascii="Arial" w:hAnsi="Arial" w:cs="Arial"/>
                <w:sz w:val="24"/>
                <w:szCs w:val="24"/>
              </w:rPr>
              <w:fldChar w:fldCharType="end"/>
            </w:r>
          </w:p>
        </w:tc>
        <w:tc>
          <w:tcPr>
            <w:tcW w:w="1070" w:type="dxa"/>
            <w:shd w:val="clear" w:color="auto" w:fill="auto"/>
            <w:tcMar>
              <w:left w:w="57" w:type="dxa"/>
              <w:right w:w="57" w:type="dxa"/>
            </w:tcMar>
          </w:tcPr>
          <w:p w14:paraId="7CE97F6A"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93.1</w:t>
            </w:r>
            <w:r w:rsidRPr="00F163AE">
              <w:rPr>
                <w:rFonts w:ascii="Arial" w:hAnsi="Arial" w:cs="Arial"/>
                <w:sz w:val="24"/>
                <w:szCs w:val="24"/>
              </w:rPr>
              <w:fldChar w:fldCharType="end"/>
            </w:r>
          </w:p>
        </w:tc>
        <w:tc>
          <w:tcPr>
            <w:tcW w:w="1336" w:type="dxa"/>
            <w:shd w:val="clear" w:color="auto" w:fill="auto"/>
            <w:tcMar>
              <w:left w:w="57" w:type="dxa"/>
              <w:right w:w="57" w:type="dxa"/>
            </w:tcMar>
          </w:tcPr>
          <w:p w14:paraId="24CA063D"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2.0</w:t>
            </w:r>
            <w:r w:rsidRPr="00F163AE">
              <w:rPr>
                <w:rFonts w:ascii="Arial" w:hAnsi="Arial" w:cs="Arial"/>
                <w:sz w:val="24"/>
                <w:szCs w:val="24"/>
              </w:rPr>
              <w:fldChar w:fldCharType="end"/>
            </w:r>
          </w:p>
        </w:tc>
        <w:tc>
          <w:tcPr>
            <w:tcW w:w="1070" w:type="dxa"/>
            <w:shd w:val="clear" w:color="auto" w:fill="auto"/>
            <w:tcMar>
              <w:left w:w="57" w:type="dxa"/>
              <w:right w:w="57" w:type="dxa"/>
            </w:tcMar>
          </w:tcPr>
          <w:p w14:paraId="755E0808"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475F11C6" w14:textId="77777777" w:rsidTr="00632A78">
        <w:trPr>
          <w:trHeight w:val="340"/>
        </w:trPr>
        <w:tc>
          <w:tcPr>
            <w:tcW w:w="3456" w:type="dxa"/>
            <w:shd w:val="clear" w:color="auto" w:fill="auto"/>
            <w:tcMar>
              <w:left w:w="57" w:type="dxa"/>
              <w:right w:w="57" w:type="dxa"/>
            </w:tcMar>
          </w:tcPr>
          <w:p w14:paraId="133A8D82"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Road length meeting cracking standard: regional</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48537603"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44E33D5C"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97</w:t>
            </w:r>
            <w:r w:rsidRPr="00F163AE">
              <w:rPr>
                <w:rFonts w:ascii="Arial" w:hAnsi="Arial" w:cs="Arial"/>
                <w:sz w:val="24"/>
                <w:szCs w:val="24"/>
              </w:rPr>
              <w:fldChar w:fldCharType="end"/>
            </w:r>
          </w:p>
        </w:tc>
        <w:tc>
          <w:tcPr>
            <w:tcW w:w="1070" w:type="dxa"/>
            <w:shd w:val="clear" w:color="auto" w:fill="auto"/>
            <w:tcMar>
              <w:left w:w="57" w:type="dxa"/>
              <w:right w:w="57" w:type="dxa"/>
            </w:tcMar>
          </w:tcPr>
          <w:p w14:paraId="5CB5DE51"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96.7</w:t>
            </w:r>
            <w:r w:rsidRPr="00F163AE">
              <w:rPr>
                <w:rFonts w:ascii="Arial" w:hAnsi="Arial" w:cs="Arial"/>
                <w:sz w:val="24"/>
                <w:szCs w:val="24"/>
              </w:rPr>
              <w:fldChar w:fldCharType="end"/>
            </w:r>
          </w:p>
        </w:tc>
        <w:tc>
          <w:tcPr>
            <w:tcW w:w="1336" w:type="dxa"/>
            <w:shd w:val="clear" w:color="auto" w:fill="auto"/>
            <w:tcMar>
              <w:left w:w="57" w:type="dxa"/>
              <w:right w:w="57" w:type="dxa"/>
            </w:tcMar>
          </w:tcPr>
          <w:p w14:paraId="481EB8D8"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0.3</w:t>
            </w:r>
            <w:r w:rsidRPr="00F163AE">
              <w:rPr>
                <w:rFonts w:ascii="Arial" w:hAnsi="Arial" w:cs="Arial"/>
                <w:sz w:val="24"/>
                <w:szCs w:val="24"/>
              </w:rPr>
              <w:fldChar w:fldCharType="end"/>
            </w:r>
          </w:p>
        </w:tc>
        <w:tc>
          <w:tcPr>
            <w:tcW w:w="1070" w:type="dxa"/>
            <w:shd w:val="clear" w:color="auto" w:fill="auto"/>
            <w:tcMar>
              <w:left w:w="57" w:type="dxa"/>
              <w:right w:w="57" w:type="dxa"/>
            </w:tcMar>
          </w:tcPr>
          <w:p w14:paraId="5DA61421"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083675CD" w14:textId="77777777" w:rsidTr="00632A78">
        <w:trPr>
          <w:trHeight w:val="340"/>
        </w:trPr>
        <w:tc>
          <w:tcPr>
            <w:tcW w:w="3456" w:type="dxa"/>
            <w:shd w:val="clear" w:color="auto" w:fill="auto"/>
            <w:tcMar>
              <w:left w:w="57" w:type="dxa"/>
              <w:right w:w="57" w:type="dxa"/>
            </w:tcMar>
          </w:tcPr>
          <w:p w14:paraId="2539C654"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Road length meeting roughness standard: metropolitan</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347A3F7C"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50E25003"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93.15</w:t>
            </w:r>
            <w:r w:rsidRPr="00F163AE">
              <w:rPr>
                <w:rFonts w:ascii="Arial" w:hAnsi="Arial" w:cs="Arial"/>
                <w:sz w:val="24"/>
                <w:szCs w:val="24"/>
              </w:rPr>
              <w:fldChar w:fldCharType="end"/>
            </w:r>
          </w:p>
        </w:tc>
        <w:tc>
          <w:tcPr>
            <w:tcW w:w="1070" w:type="dxa"/>
            <w:shd w:val="clear" w:color="auto" w:fill="auto"/>
            <w:tcMar>
              <w:left w:w="57" w:type="dxa"/>
              <w:right w:w="57" w:type="dxa"/>
            </w:tcMar>
          </w:tcPr>
          <w:p w14:paraId="1524665F"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92.3</w:t>
            </w:r>
            <w:r w:rsidRPr="00F163AE">
              <w:rPr>
                <w:rFonts w:ascii="Arial" w:hAnsi="Arial" w:cs="Arial"/>
                <w:sz w:val="24"/>
                <w:szCs w:val="24"/>
              </w:rPr>
              <w:fldChar w:fldCharType="end"/>
            </w:r>
          </w:p>
        </w:tc>
        <w:tc>
          <w:tcPr>
            <w:tcW w:w="1336" w:type="dxa"/>
            <w:shd w:val="clear" w:color="auto" w:fill="auto"/>
            <w:tcMar>
              <w:left w:w="57" w:type="dxa"/>
              <w:right w:w="57" w:type="dxa"/>
            </w:tcMar>
          </w:tcPr>
          <w:p w14:paraId="307817D7"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0.9</w:t>
            </w:r>
            <w:r w:rsidRPr="00F163AE">
              <w:rPr>
                <w:rFonts w:ascii="Arial" w:hAnsi="Arial" w:cs="Arial"/>
                <w:sz w:val="24"/>
                <w:szCs w:val="24"/>
              </w:rPr>
              <w:fldChar w:fldCharType="end"/>
            </w:r>
          </w:p>
        </w:tc>
        <w:tc>
          <w:tcPr>
            <w:tcW w:w="1070" w:type="dxa"/>
            <w:shd w:val="clear" w:color="auto" w:fill="auto"/>
            <w:tcMar>
              <w:left w:w="57" w:type="dxa"/>
              <w:right w:w="57" w:type="dxa"/>
            </w:tcMar>
          </w:tcPr>
          <w:p w14:paraId="0A3757F8"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2759213B" w14:textId="77777777" w:rsidTr="00632A78">
        <w:trPr>
          <w:trHeight w:val="340"/>
        </w:trPr>
        <w:tc>
          <w:tcPr>
            <w:tcW w:w="3456" w:type="dxa"/>
            <w:shd w:val="clear" w:color="auto" w:fill="auto"/>
            <w:tcMar>
              <w:left w:w="57" w:type="dxa"/>
              <w:right w:w="57" w:type="dxa"/>
            </w:tcMar>
          </w:tcPr>
          <w:p w14:paraId="2C51EF7F"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lastRenderedPageBreak/>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Road length meeting roughness standard: regional</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5E5DB38D"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4BBE0EF3"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96.12</w:t>
            </w:r>
            <w:r w:rsidRPr="00F163AE">
              <w:rPr>
                <w:rFonts w:ascii="Arial" w:hAnsi="Arial" w:cs="Arial"/>
                <w:sz w:val="24"/>
                <w:szCs w:val="24"/>
              </w:rPr>
              <w:fldChar w:fldCharType="end"/>
            </w:r>
          </w:p>
        </w:tc>
        <w:tc>
          <w:tcPr>
            <w:tcW w:w="1070" w:type="dxa"/>
            <w:shd w:val="clear" w:color="auto" w:fill="auto"/>
            <w:tcMar>
              <w:left w:w="57" w:type="dxa"/>
              <w:right w:w="57" w:type="dxa"/>
            </w:tcMar>
          </w:tcPr>
          <w:p w14:paraId="55505B3D"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95.8</w:t>
            </w:r>
            <w:r w:rsidRPr="00F163AE">
              <w:rPr>
                <w:rFonts w:ascii="Arial" w:hAnsi="Arial" w:cs="Arial"/>
                <w:sz w:val="24"/>
                <w:szCs w:val="24"/>
              </w:rPr>
              <w:fldChar w:fldCharType="end"/>
            </w:r>
          </w:p>
        </w:tc>
        <w:tc>
          <w:tcPr>
            <w:tcW w:w="1336" w:type="dxa"/>
            <w:shd w:val="clear" w:color="auto" w:fill="auto"/>
            <w:tcMar>
              <w:left w:w="57" w:type="dxa"/>
              <w:right w:w="57" w:type="dxa"/>
            </w:tcMar>
          </w:tcPr>
          <w:p w14:paraId="06C920A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0.3</w:t>
            </w:r>
            <w:r w:rsidRPr="00F163AE">
              <w:rPr>
                <w:rFonts w:ascii="Arial" w:hAnsi="Arial" w:cs="Arial"/>
                <w:sz w:val="24"/>
                <w:szCs w:val="24"/>
              </w:rPr>
              <w:fldChar w:fldCharType="end"/>
            </w:r>
          </w:p>
        </w:tc>
        <w:tc>
          <w:tcPr>
            <w:tcW w:w="1070" w:type="dxa"/>
            <w:shd w:val="clear" w:color="auto" w:fill="auto"/>
            <w:tcMar>
              <w:left w:w="57" w:type="dxa"/>
              <w:right w:w="57" w:type="dxa"/>
            </w:tcMar>
          </w:tcPr>
          <w:p w14:paraId="6CF5A8C9"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5E560297" w14:textId="77777777" w:rsidTr="00632A78">
        <w:trPr>
          <w:trHeight w:val="340"/>
        </w:trPr>
        <w:tc>
          <w:tcPr>
            <w:tcW w:w="3456" w:type="dxa"/>
            <w:shd w:val="clear" w:color="auto" w:fill="auto"/>
            <w:tcMar>
              <w:left w:w="57" w:type="dxa"/>
              <w:right w:w="57" w:type="dxa"/>
            </w:tcMar>
          </w:tcPr>
          <w:p w14:paraId="215C91CD"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Road length meeting rutting standard: metropolitan</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7752363E"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27F7E16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98.56</w:t>
            </w:r>
            <w:r w:rsidRPr="00F163AE">
              <w:rPr>
                <w:rFonts w:ascii="Arial" w:hAnsi="Arial" w:cs="Arial"/>
                <w:sz w:val="24"/>
                <w:szCs w:val="24"/>
              </w:rPr>
              <w:fldChar w:fldCharType="end"/>
            </w:r>
          </w:p>
        </w:tc>
        <w:tc>
          <w:tcPr>
            <w:tcW w:w="1070" w:type="dxa"/>
            <w:shd w:val="clear" w:color="auto" w:fill="auto"/>
            <w:tcMar>
              <w:left w:w="57" w:type="dxa"/>
              <w:right w:w="57" w:type="dxa"/>
            </w:tcMar>
          </w:tcPr>
          <w:p w14:paraId="6B8E45FD"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94.6</w:t>
            </w:r>
            <w:r w:rsidRPr="00F163AE">
              <w:rPr>
                <w:rFonts w:ascii="Arial" w:hAnsi="Arial" w:cs="Arial"/>
                <w:sz w:val="24"/>
                <w:szCs w:val="24"/>
              </w:rPr>
              <w:fldChar w:fldCharType="end"/>
            </w:r>
          </w:p>
        </w:tc>
        <w:tc>
          <w:tcPr>
            <w:tcW w:w="1336" w:type="dxa"/>
            <w:shd w:val="clear" w:color="auto" w:fill="auto"/>
            <w:tcMar>
              <w:left w:w="57" w:type="dxa"/>
              <w:right w:w="57" w:type="dxa"/>
            </w:tcMar>
          </w:tcPr>
          <w:p w14:paraId="4C1FEF80"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4.2</w:t>
            </w:r>
            <w:r w:rsidRPr="00F163AE">
              <w:rPr>
                <w:rFonts w:ascii="Arial" w:hAnsi="Arial" w:cs="Arial"/>
                <w:sz w:val="24"/>
                <w:szCs w:val="24"/>
              </w:rPr>
              <w:fldChar w:fldCharType="end"/>
            </w:r>
          </w:p>
        </w:tc>
        <w:tc>
          <w:tcPr>
            <w:tcW w:w="1070" w:type="dxa"/>
            <w:shd w:val="clear" w:color="auto" w:fill="auto"/>
            <w:tcMar>
              <w:left w:w="57" w:type="dxa"/>
              <w:right w:w="57" w:type="dxa"/>
            </w:tcMar>
          </w:tcPr>
          <w:p w14:paraId="0033CD42"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02718A30" w14:textId="77777777" w:rsidTr="00632A78">
        <w:trPr>
          <w:trHeight w:val="340"/>
        </w:trPr>
        <w:tc>
          <w:tcPr>
            <w:tcW w:w="3456" w:type="dxa"/>
            <w:shd w:val="clear" w:color="auto" w:fill="auto"/>
            <w:tcMar>
              <w:left w:w="57" w:type="dxa"/>
              <w:right w:w="57" w:type="dxa"/>
            </w:tcMar>
          </w:tcPr>
          <w:p w14:paraId="24AE3BBE"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Road length meeting rutting standard: regional</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4B36A491"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0A541F87"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98.92</w:t>
            </w:r>
            <w:r w:rsidRPr="00F163AE">
              <w:rPr>
                <w:rFonts w:ascii="Arial" w:hAnsi="Arial" w:cs="Arial"/>
                <w:sz w:val="24"/>
                <w:szCs w:val="24"/>
              </w:rPr>
              <w:fldChar w:fldCharType="end"/>
            </w:r>
          </w:p>
        </w:tc>
        <w:tc>
          <w:tcPr>
            <w:tcW w:w="1070" w:type="dxa"/>
            <w:shd w:val="clear" w:color="auto" w:fill="auto"/>
            <w:tcMar>
              <w:left w:w="57" w:type="dxa"/>
              <w:right w:w="57" w:type="dxa"/>
            </w:tcMar>
          </w:tcPr>
          <w:p w14:paraId="584A3125"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97.4</w:t>
            </w:r>
            <w:r w:rsidRPr="00F163AE">
              <w:rPr>
                <w:rFonts w:ascii="Arial" w:hAnsi="Arial" w:cs="Arial"/>
                <w:sz w:val="24"/>
                <w:szCs w:val="24"/>
              </w:rPr>
              <w:fldChar w:fldCharType="end"/>
            </w:r>
          </w:p>
        </w:tc>
        <w:tc>
          <w:tcPr>
            <w:tcW w:w="1336" w:type="dxa"/>
            <w:shd w:val="clear" w:color="auto" w:fill="auto"/>
            <w:tcMar>
              <w:left w:w="57" w:type="dxa"/>
              <w:right w:w="57" w:type="dxa"/>
            </w:tcMar>
          </w:tcPr>
          <w:p w14:paraId="314C2DA3"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1.6</w:t>
            </w:r>
            <w:r w:rsidRPr="00F163AE">
              <w:rPr>
                <w:rFonts w:ascii="Arial" w:hAnsi="Arial" w:cs="Arial"/>
                <w:sz w:val="24"/>
                <w:szCs w:val="24"/>
              </w:rPr>
              <w:fldChar w:fldCharType="end"/>
            </w:r>
          </w:p>
        </w:tc>
        <w:tc>
          <w:tcPr>
            <w:tcW w:w="1070" w:type="dxa"/>
            <w:shd w:val="clear" w:color="auto" w:fill="auto"/>
            <w:tcMar>
              <w:left w:w="57" w:type="dxa"/>
              <w:right w:w="57" w:type="dxa"/>
            </w:tcMar>
          </w:tcPr>
          <w:p w14:paraId="527F8DD8"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28EC62A4" w14:textId="77777777" w:rsidTr="00632A78">
        <w:trPr>
          <w:trHeight w:val="340"/>
        </w:trPr>
        <w:tc>
          <w:tcPr>
            <w:tcW w:w="3456" w:type="dxa"/>
            <w:shd w:val="clear" w:color="auto" w:fill="auto"/>
            <w:tcMar>
              <w:left w:w="57" w:type="dxa"/>
              <w:right w:w="57" w:type="dxa"/>
            </w:tcMar>
          </w:tcPr>
          <w:p w14:paraId="58CF0A6F"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Traffic Signal Operational Availability</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19D02A9B"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61FF4476"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99.97</w:t>
            </w:r>
            <w:r w:rsidRPr="00F163AE">
              <w:rPr>
                <w:rFonts w:ascii="Arial" w:hAnsi="Arial" w:cs="Arial"/>
                <w:sz w:val="24"/>
                <w:szCs w:val="24"/>
              </w:rPr>
              <w:fldChar w:fldCharType="end"/>
            </w:r>
          </w:p>
        </w:tc>
        <w:tc>
          <w:tcPr>
            <w:tcW w:w="1070" w:type="dxa"/>
            <w:shd w:val="clear" w:color="auto" w:fill="auto"/>
            <w:tcMar>
              <w:left w:w="57" w:type="dxa"/>
              <w:right w:w="57" w:type="dxa"/>
            </w:tcMar>
          </w:tcPr>
          <w:p w14:paraId="18F26000"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99.96</w:t>
            </w:r>
            <w:r w:rsidRPr="00F163AE">
              <w:rPr>
                <w:rFonts w:ascii="Arial" w:hAnsi="Arial" w:cs="Arial"/>
                <w:sz w:val="24"/>
                <w:szCs w:val="24"/>
              </w:rPr>
              <w:fldChar w:fldCharType="end"/>
            </w:r>
          </w:p>
        </w:tc>
        <w:tc>
          <w:tcPr>
            <w:tcW w:w="1336" w:type="dxa"/>
            <w:shd w:val="clear" w:color="auto" w:fill="auto"/>
            <w:tcMar>
              <w:left w:w="57" w:type="dxa"/>
              <w:right w:w="57" w:type="dxa"/>
            </w:tcMar>
          </w:tcPr>
          <w:p w14:paraId="2559A084"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7A6FAA7C"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10A38220" w14:textId="77777777" w:rsidTr="00632A78">
        <w:trPr>
          <w:trHeight w:val="340"/>
        </w:trPr>
        <w:tc>
          <w:tcPr>
            <w:tcW w:w="3456" w:type="dxa"/>
            <w:shd w:val="clear" w:color="auto" w:fill="auto"/>
            <w:tcMar>
              <w:left w:w="57" w:type="dxa"/>
              <w:right w:w="57" w:type="dxa"/>
            </w:tcMar>
          </w:tcPr>
          <w:p w14:paraId="0F90F058"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Traffic signal performance – communications (‘DA Alarm’): vehicle detector connectivity to signals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46610D60"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144AF890"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99.6</w:t>
            </w:r>
            <w:r w:rsidRPr="00F163AE">
              <w:rPr>
                <w:rFonts w:ascii="Arial" w:hAnsi="Arial" w:cs="Arial"/>
                <w:sz w:val="24"/>
                <w:szCs w:val="24"/>
              </w:rPr>
              <w:fldChar w:fldCharType="end"/>
            </w:r>
          </w:p>
        </w:tc>
        <w:tc>
          <w:tcPr>
            <w:tcW w:w="1070" w:type="dxa"/>
            <w:shd w:val="clear" w:color="auto" w:fill="auto"/>
            <w:tcMar>
              <w:left w:w="57" w:type="dxa"/>
              <w:right w:w="57" w:type="dxa"/>
            </w:tcMar>
          </w:tcPr>
          <w:p w14:paraId="1B2E7A3E"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97</w:t>
            </w:r>
            <w:r w:rsidRPr="00F163AE">
              <w:rPr>
                <w:rFonts w:ascii="Arial" w:hAnsi="Arial" w:cs="Arial"/>
                <w:sz w:val="24"/>
                <w:szCs w:val="24"/>
              </w:rPr>
              <w:fldChar w:fldCharType="end"/>
            </w:r>
          </w:p>
        </w:tc>
        <w:tc>
          <w:tcPr>
            <w:tcW w:w="1336" w:type="dxa"/>
            <w:shd w:val="clear" w:color="auto" w:fill="auto"/>
            <w:tcMar>
              <w:left w:w="57" w:type="dxa"/>
              <w:right w:w="57" w:type="dxa"/>
            </w:tcMar>
          </w:tcPr>
          <w:p w14:paraId="61144C67"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2.7</w:t>
            </w:r>
            <w:r w:rsidRPr="00F163AE">
              <w:rPr>
                <w:rFonts w:ascii="Arial" w:hAnsi="Arial" w:cs="Arial"/>
                <w:sz w:val="24"/>
                <w:szCs w:val="24"/>
              </w:rPr>
              <w:fldChar w:fldCharType="end"/>
            </w:r>
          </w:p>
        </w:tc>
        <w:tc>
          <w:tcPr>
            <w:tcW w:w="1070" w:type="dxa"/>
            <w:shd w:val="clear" w:color="auto" w:fill="auto"/>
            <w:tcMar>
              <w:left w:w="57" w:type="dxa"/>
              <w:right w:w="57" w:type="dxa"/>
            </w:tcMar>
          </w:tcPr>
          <w:p w14:paraId="62C3E7E1"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3E80B928" w14:textId="77777777" w:rsidTr="00632A78">
        <w:trPr>
          <w:trHeight w:val="340"/>
        </w:trPr>
        <w:tc>
          <w:tcPr>
            <w:tcW w:w="3456" w:type="dxa"/>
            <w:shd w:val="clear" w:color="auto" w:fill="auto"/>
            <w:tcMar>
              <w:left w:w="57" w:type="dxa"/>
              <w:right w:w="57" w:type="dxa"/>
            </w:tcMar>
          </w:tcPr>
          <w:p w14:paraId="6BC3C1DD"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 xml:space="preserve">Traffic signal performance – communications (‘Stop Talk’): connectivity between different traffic signals </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4FF13CFC"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74BD7991"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99.8</w:t>
            </w:r>
            <w:r w:rsidRPr="00F163AE">
              <w:rPr>
                <w:rFonts w:ascii="Arial" w:hAnsi="Arial" w:cs="Arial"/>
                <w:sz w:val="24"/>
                <w:szCs w:val="24"/>
              </w:rPr>
              <w:fldChar w:fldCharType="end"/>
            </w:r>
          </w:p>
        </w:tc>
        <w:tc>
          <w:tcPr>
            <w:tcW w:w="1070" w:type="dxa"/>
            <w:shd w:val="clear" w:color="auto" w:fill="auto"/>
            <w:tcMar>
              <w:left w:w="57" w:type="dxa"/>
              <w:right w:w="57" w:type="dxa"/>
            </w:tcMar>
          </w:tcPr>
          <w:p w14:paraId="23EDB0B4"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99.6</w:t>
            </w:r>
            <w:r w:rsidRPr="00F163AE">
              <w:rPr>
                <w:rFonts w:ascii="Arial" w:hAnsi="Arial" w:cs="Arial"/>
                <w:sz w:val="24"/>
                <w:szCs w:val="24"/>
              </w:rPr>
              <w:fldChar w:fldCharType="end"/>
            </w:r>
          </w:p>
        </w:tc>
        <w:tc>
          <w:tcPr>
            <w:tcW w:w="1336" w:type="dxa"/>
            <w:shd w:val="clear" w:color="auto" w:fill="auto"/>
            <w:tcMar>
              <w:left w:w="57" w:type="dxa"/>
              <w:right w:w="57" w:type="dxa"/>
            </w:tcMar>
          </w:tcPr>
          <w:p w14:paraId="70A0BB2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0.2</w:t>
            </w:r>
            <w:r w:rsidRPr="00F163AE">
              <w:rPr>
                <w:rFonts w:ascii="Arial" w:hAnsi="Arial" w:cs="Arial"/>
                <w:sz w:val="24"/>
                <w:szCs w:val="24"/>
              </w:rPr>
              <w:fldChar w:fldCharType="end"/>
            </w:r>
          </w:p>
        </w:tc>
        <w:tc>
          <w:tcPr>
            <w:tcW w:w="1070" w:type="dxa"/>
            <w:shd w:val="clear" w:color="auto" w:fill="auto"/>
            <w:tcMar>
              <w:left w:w="57" w:type="dxa"/>
              <w:right w:w="57" w:type="dxa"/>
            </w:tcMar>
          </w:tcPr>
          <w:p w14:paraId="61380E12"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bl>
    <w:p w14:paraId="6B4C0D98" w14:textId="77777777" w:rsidR="003E5BF5" w:rsidRDefault="003E5BF5" w:rsidP="00DE1921">
      <w:pPr>
        <w:pStyle w:val="Notenumber123"/>
        <w:numPr>
          <w:ilvl w:val="0"/>
          <w:numId w:val="0"/>
        </w:numPr>
        <w:ind w:left="340" w:hanging="227"/>
      </w:pPr>
    </w:p>
    <w:p w14:paraId="5FB266CB" w14:textId="77777777" w:rsidR="003E5BF5" w:rsidRDefault="003E5BF5" w:rsidP="00DE1921">
      <w:pPr>
        <w:sectPr w:rsidR="003E5BF5" w:rsidSect="00DE1921">
          <w:pgSz w:w="11906" w:h="16838"/>
          <w:pgMar w:top="1701" w:right="1418" w:bottom="1418" w:left="1418" w:header="709" w:footer="709" w:gutter="0"/>
          <w:cols w:space="284"/>
          <w:docGrid w:linePitch="360"/>
        </w:sectPr>
      </w:pPr>
    </w:p>
    <w:p w14:paraId="5A1E6D36" w14:textId="77777777" w:rsidR="003E5BF5" w:rsidRPr="00F163AE" w:rsidRDefault="003E5BF5" w:rsidP="00CF74EB">
      <w:pPr>
        <w:pStyle w:val="TableHeader"/>
        <w:rPr>
          <w:i/>
        </w:rPr>
      </w:pPr>
      <w:r w:rsidRPr="00F163AE">
        <w:lastRenderedPageBreak/>
        <w:t xml:space="preserve">Road Asset Management </w:t>
      </w:r>
      <w:r w:rsidRPr="00F163AE">
        <w:rPr>
          <w:i/>
        </w:rPr>
        <w:t>continued</w:t>
      </w:r>
    </w:p>
    <w:tbl>
      <w:tblPr>
        <w:tblStyle w:val="TableGrid"/>
        <w:tblW w:w="9072" w:type="dxa"/>
        <w:tblCellMar>
          <w:left w:w="28" w:type="dxa"/>
          <w:right w:w="28" w:type="dxa"/>
        </w:tblCellMar>
        <w:tblLook w:val="04A0" w:firstRow="1" w:lastRow="0" w:firstColumn="1" w:lastColumn="0" w:noHBand="0" w:noVBand="1"/>
      </w:tblPr>
      <w:tblGrid>
        <w:gridCol w:w="3259"/>
        <w:gridCol w:w="1102"/>
        <w:gridCol w:w="1042"/>
        <w:gridCol w:w="1040"/>
        <w:gridCol w:w="1582"/>
        <w:gridCol w:w="1047"/>
      </w:tblGrid>
      <w:tr w:rsidR="003E5BF5" w:rsidRPr="00F163AE" w14:paraId="3229566A" w14:textId="77777777" w:rsidTr="006151F9">
        <w:trPr>
          <w:trHeight w:val="340"/>
          <w:tblHeader/>
        </w:trPr>
        <w:tc>
          <w:tcPr>
            <w:tcW w:w="3456" w:type="dxa"/>
            <w:shd w:val="clear" w:color="auto" w:fill="auto"/>
            <w:tcMar>
              <w:left w:w="57" w:type="dxa"/>
              <w:right w:w="57" w:type="dxa"/>
            </w:tcMar>
          </w:tcPr>
          <w:p w14:paraId="5C5086EF" w14:textId="77777777" w:rsidR="003E5BF5" w:rsidRPr="00F163AE" w:rsidRDefault="003E5BF5" w:rsidP="00DE1921">
            <w:pPr>
              <w:pStyle w:val="TableTextLeftBold"/>
              <w:rPr>
                <w:rFonts w:ascii="Arial" w:hAnsi="Arial" w:cs="Arial"/>
                <w:sz w:val="24"/>
                <w:szCs w:val="24"/>
              </w:rPr>
            </w:pPr>
            <w:r w:rsidRPr="00F163AE">
              <w:rPr>
                <w:rFonts w:ascii="Arial" w:hAnsi="Arial" w:cs="Arial"/>
                <w:sz w:val="24"/>
                <w:szCs w:val="24"/>
              </w:rPr>
              <w:t>Performance measures</w:t>
            </w:r>
          </w:p>
        </w:tc>
        <w:tc>
          <w:tcPr>
            <w:tcW w:w="1070" w:type="dxa"/>
            <w:shd w:val="clear" w:color="auto" w:fill="auto"/>
            <w:tcMar>
              <w:left w:w="57" w:type="dxa"/>
              <w:right w:w="57" w:type="dxa"/>
            </w:tcMar>
          </w:tcPr>
          <w:p w14:paraId="18556242"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unit of measure</w:t>
            </w:r>
          </w:p>
        </w:tc>
        <w:tc>
          <w:tcPr>
            <w:tcW w:w="1070" w:type="dxa"/>
            <w:shd w:val="clear" w:color="auto" w:fill="auto"/>
            <w:tcMar>
              <w:left w:w="57" w:type="dxa"/>
              <w:right w:w="57" w:type="dxa"/>
            </w:tcMar>
          </w:tcPr>
          <w:p w14:paraId="1EA732E1"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2019-20 actual</w:t>
            </w:r>
          </w:p>
        </w:tc>
        <w:tc>
          <w:tcPr>
            <w:tcW w:w="1070" w:type="dxa"/>
            <w:shd w:val="clear" w:color="auto" w:fill="auto"/>
            <w:tcMar>
              <w:left w:w="57" w:type="dxa"/>
              <w:right w:w="57" w:type="dxa"/>
            </w:tcMar>
          </w:tcPr>
          <w:p w14:paraId="0F579E5C"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2019-20 target</w:t>
            </w:r>
          </w:p>
        </w:tc>
        <w:tc>
          <w:tcPr>
            <w:tcW w:w="1336" w:type="dxa"/>
            <w:shd w:val="clear" w:color="auto" w:fill="auto"/>
            <w:tcMar>
              <w:left w:w="57" w:type="dxa"/>
              <w:right w:w="57" w:type="dxa"/>
            </w:tcMar>
          </w:tcPr>
          <w:p w14:paraId="2F62E0E0"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Performance variation (%)</w:t>
            </w:r>
          </w:p>
        </w:tc>
        <w:tc>
          <w:tcPr>
            <w:tcW w:w="1070" w:type="dxa"/>
            <w:shd w:val="clear" w:color="auto" w:fill="auto"/>
            <w:tcMar>
              <w:left w:w="57" w:type="dxa"/>
              <w:right w:w="57" w:type="dxa"/>
            </w:tcMar>
          </w:tcPr>
          <w:p w14:paraId="7F59C6B7"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Result</w:t>
            </w:r>
          </w:p>
        </w:tc>
      </w:tr>
      <w:tr w:rsidR="003E5BF5" w:rsidRPr="00F163AE" w14:paraId="65BE4D30" w14:textId="77777777" w:rsidTr="006151F9">
        <w:trPr>
          <w:trHeight w:val="340"/>
        </w:trPr>
        <w:tc>
          <w:tcPr>
            <w:tcW w:w="3456" w:type="dxa"/>
            <w:shd w:val="clear" w:color="auto" w:fill="auto"/>
            <w:tcMar>
              <w:left w:w="57" w:type="dxa"/>
              <w:right w:w="57" w:type="dxa"/>
            </w:tcMar>
            <w:vAlign w:val="center"/>
          </w:tcPr>
          <w:p w14:paraId="76E4E4C4" w14:textId="77777777" w:rsidR="003E5BF5" w:rsidRPr="00F163AE" w:rsidRDefault="003E5BF5" w:rsidP="00DE1921">
            <w:pPr>
              <w:pStyle w:val="TableTextLeftItalics"/>
              <w:rPr>
                <w:rFonts w:ascii="Arial" w:hAnsi="Arial" w:cs="Arial"/>
                <w:b/>
                <w:sz w:val="24"/>
                <w:szCs w:val="24"/>
              </w:rPr>
            </w:pPr>
            <w:r w:rsidRPr="00F163AE">
              <w:rPr>
                <w:rFonts w:ascii="Arial" w:hAnsi="Arial" w:cs="Arial"/>
                <w:b/>
                <w:sz w:val="24"/>
                <w:szCs w:val="24"/>
              </w:rPr>
              <w:t>Timeliness</w:t>
            </w:r>
          </w:p>
        </w:tc>
        <w:tc>
          <w:tcPr>
            <w:tcW w:w="1070" w:type="dxa"/>
            <w:shd w:val="clear" w:color="auto" w:fill="auto"/>
            <w:tcMar>
              <w:left w:w="57" w:type="dxa"/>
              <w:right w:w="57" w:type="dxa"/>
            </w:tcMar>
            <w:vAlign w:val="center"/>
          </w:tcPr>
          <w:p w14:paraId="46291F40"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32A0B165"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59C22CAF" w14:textId="77777777" w:rsidR="003E5BF5" w:rsidRPr="00F163AE"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093909DF"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6C3C70BF" w14:textId="77777777" w:rsidR="003E5BF5" w:rsidRPr="00F163AE" w:rsidRDefault="003E5BF5" w:rsidP="00DE1921">
            <w:pPr>
              <w:pStyle w:val="TableTextRight"/>
              <w:spacing w:before="40"/>
              <w:rPr>
                <w:rFonts w:ascii="Arial" w:hAnsi="Arial" w:cs="Arial"/>
                <w:sz w:val="24"/>
                <w:szCs w:val="24"/>
              </w:rPr>
            </w:pPr>
          </w:p>
        </w:tc>
      </w:tr>
      <w:tr w:rsidR="003E5BF5" w:rsidRPr="00F163AE" w14:paraId="00BB7069" w14:textId="77777777" w:rsidTr="006151F9">
        <w:trPr>
          <w:trHeight w:val="340"/>
        </w:trPr>
        <w:tc>
          <w:tcPr>
            <w:tcW w:w="3456" w:type="dxa"/>
            <w:shd w:val="clear" w:color="auto" w:fill="auto"/>
            <w:tcMar>
              <w:left w:w="57" w:type="dxa"/>
              <w:right w:w="57" w:type="dxa"/>
            </w:tcMar>
          </w:tcPr>
          <w:p w14:paraId="50A429BD"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Annual road maintenance program completed within agreed timeframes: metropolitan</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44E228CD"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334424F4"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070" w:type="dxa"/>
            <w:shd w:val="clear" w:color="auto" w:fill="auto"/>
            <w:tcMar>
              <w:left w:w="57" w:type="dxa"/>
              <w:right w:w="57" w:type="dxa"/>
            </w:tcMar>
          </w:tcPr>
          <w:p w14:paraId="584A6E5E"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95</w:t>
            </w:r>
            <w:r w:rsidRPr="00F163AE">
              <w:rPr>
                <w:rFonts w:ascii="Arial" w:hAnsi="Arial" w:cs="Arial"/>
                <w:sz w:val="24"/>
                <w:szCs w:val="24"/>
              </w:rPr>
              <w:fldChar w:fldCharType="end"/>
            </w:r>
          </w:p>
        </w:tc>
        <w:tc>
          <w:tcPr>
            <w:tcW w:w="1336" w:type="dxa"/>
            <w:shd w:val="clear" w:color="auto" w:fill="auto"/>
            <w:tcMar>
              <w:left w:w="57" w:type="dxa"/>
              <w:right w:w="57" w:type="dxa"/>
            </w:tcMar>
          </w:tcPr>
          <w:p w14:paraId="3A790229"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5.3</w:t>
            </w:r>
            <w:r w:rsidRPr="00F163AE">
              <w:rPr>
                <w:rFonts w:ascii="Arial" w:hAnsi="Arial" w:cs="Arial"/>
                <w:sz w:val="24"/>
                <w:szCs w:val="24"/>
              </w:rPr>
              <w:fldChar w:fldCharType="end"/>
            </w:r>
          </w:p>
        </w:tc>
        <w:tc>
          <w:tcPr>
            <w:tcW w:w="1070" w:type="dxa"/>
            <w:shd w:val="clear" w:color="auto" w:fill="auto"/>
            <w:tcMar>
              <w:left w:w="57" w:type="dxa"/>
              <w:right w:w="57" w:type="dxa"/>
            </w:tcMar>
          </w:tcPr>
          <w:p w14:paraId="4F54BBF4"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33ED2FFE" w14:textId="77777777" w:rsidTr="006151F9">
        <w:tc>
          <w:tcPr>
            <w:tcW w:w="9072" w:type="dxa"/>
            <w:gridSpan w:val="6"/>
            <w:shd w:val="clear" w:color="auto" w:fill="auto"/>
            <w:tcMar>
              <w:left w:w="57" w:type="dxa"/>
              <w:right w:w="57" w:type="dxa"/>
            </w:tcMar>
          </w:tcPr>
          <w:p w14:paraId="31D42DC8" w14:textId="77777777" w:rsidR="003E5BF5" w:rsidRPr="00F163AE" w:rsidRDefault="003E5BF5" w:rsidP="00DE1921">
            <w:pPr>
              <w:pStyle w:val="TableTextCentre"/>
              <w:spacing w:before="40"/>
              <w:jc w:val="left"/>
              <w:rPr>
                <w:rFonts w:ascii="Arial" w:hAnsi="Arial" w:cs="Arial"/>
                <w:i/>
                <w:sz w:val="24"/>
                <w:szCs w:val="24"/>
              </w:rPr>
            </w:pPr>
            <w:r w:rsidRPr="00F163AE">
              <w:rPr>
                <w:rFonts w:ascii="Arial" w:hAnsi="Arial" w:cs="Arial"/>
                <w:i/>
                <w:sz w:val="24"/>
                <w:szCs w:val="24"/>
              </w:rPr>
              <w:fldChar w:fldCharType="begin"/>
            </w:r>
            <w:r w:rsidRPr="00F163AE">
              <w:rPr>
                <w:rFonts w:ascii="Arial" w:hAnsi="Arial" w:cs="Arial"/>
                <w:i/>
                <w:sz w:val="24"/>
                <w:szCs w:val="24"/>
              </w:rPr>
              <w:instrText xml:space="preserve"> MERGEFIELD "M_26" </w:instrText>
            </w:r>
            <w:r w:rsidRPr="00F163AE">
              <w:rPr>
                <w:rFonts w:ascii="Arial" w:hAnsi="Arial" w:cs="Arial"/>
                <w:i/>
                <w:sz w:val="24"/>
                <w:szCs w:val="24"/>
              </w:rPr>
              <w:fldChar w:fldCharType="separate"/>
            </w:r>
            <w:r w:rsidRPr="00F163AE">
              <w:rPr>
                <w:rFonts w:ascii="Arial" w:hAnsi="Arial" w:cs="Arial"/>
                <w:i/>
                <w:sz w:val="24"/>
                <w:szCs w:val="24"/>
              </w:rPr>
              <w:t>Due to acceleration in delivery of works.</w:t>
            </w:r>
            <w:r w:rsidRPr="00F163AE">
              <w:rPr>
                <w:rFonts w:ascii="Arial" w:hAnsi="Arial" w:cs="Arial"/>
                <w:i/>
                <w:sz w:val="24"/>
                <w:szCs w:val="24"/>
              </w:rPr>
              <w:fldChar w:fldCharType="end"/>
            </w:r>
            <w:r w:rsidRPr="00F163AE">
              <w:rPr>
                <w:rFonts w:ascii="Arial" w:hAnsi="Arial" w:cs="Arial"/>
                <w:i/>
                <w:sz w:val="24"/>
                <w:szCs w:val="24"/>
              </w:rPr>
              <w:t xml:space="preserve"> This has been assisted by lower traffic volumes due to coronavirus (COVID-19).</w:t>
            </w:r>
          </w:p>
        </w:tc>
      </w:tr>
      <w:tr w:rsidR="003E5BF5" w:rsidRPr="00F163AE" w14:paraId="0994D706" w14:textId="77777777" w:rsidTr="006151F9">
        <w:trPr>
          <w:trHeight w:val="340"/>
        </w:trPr>
        <w:tc>
          <w:tcPr>
            <w:tcW w:w="3456" w:type="dxa"/>
            <w:shd w:val="clear" w:color="auto" w:fill="auto"/>
            <w:tcMar>
              <w:left w:w="57" w:type="dxa"/>
              <w:right w:w="57" w:type="dxa"/>
            </w:tcMar>
          </w:tcPr>
          <w:p w14:paraId="2D56FC8D"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Annual road maintenance program completed within agreed timeframes: regional</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7D23842C"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56929776"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070" w:type="dxa"/>
            <w:shd w:val="clear" w:color="auto" w:fill="auto"/>
            <w:tcMar>
              <w:left w:w="57" w:type="dxa"/>
              <w:right w:w="57" w:type="dxa"/>
            </w:tcMar>
          </w:tcPr>
          <w:p w14:paraId="50C97BAF"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336" w:type="dxa"/>
            <w:shd w:val="clear" w:color="auto" w:fill="auto"/>
            <w:tcMar>
              <w:left w:w="57" w:type="dxa"/>
              <w:right w:w="57" w:type="dxa"/>
            </w:tcMar>
          </w:tcPr>
          <w:p w14:paraId="5C9ABF0A"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379FD400"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3F89410A" w14:textId="77777777" w:rsidTr="006151F9">
        <w:trPr>
          <w:trHeight w:val="340"/>
        </w:trPr>
        <w:tc>
          <w:tcPr>
            <w:tcW w:w="3456" w:type="dxa"/>
            <w:shd w:val="clear" w:color="auto" w:fill="auto"/>
            <w:tcMar>
              <w:left w:w="57" w:type="dxa"/>
              <w:right w:w="57" w:type="dxa"/>
            </w:tcMar>
            <w:vAlign w:val="center"/>
          </w:tcPr>
          <w:p w14:paraId="2E09BE8C" w14:textId="77777777" w:rsidR="003E5BF5" w:rsidRPr="00F163AE" w:rsidRDefault="003E5BF5" w:rsidP="00DE1921">
            <w:pPr>
              <w:pStyle w:val="TableTextLeftItalics"/>
              <w:rPr>
                <w:rFonts w:ascii="Arial" w:hAnsi="Arial" w:cs="Arial"/>
                <w:b/>
                <w:sz w:val="24"/>
                <w:szCs w:val="24"/>
              </w:rPr>
            </w:pPr>
            <w:r w:rsidRPr="00F163AE">
              <w:rPr>
                <w:rFonts w:ascii="Arial" w:hAnsi="Arial" w:cs="Arial"/>
                <w:b/>
                <w:sz w:val="24"/>
                <w:szCs w:val="24"/>
              </w:rPr>
              <w:t>Cost</w:t>
            </w:r>
          </w:p>
        </w:tc>
        <w:tc>
          <w:tcPr>
            <w:tcW w:w="1070" w:type="dxa"/>
            <w:shd w:val="clear" w:color="auto" w:fill="auto"/>
            <w:tcMar>
              <w:left w:w="57" w:type="dxa"/>
              <w:right w:w="57" w:type="dxa"/>
            </w:tcMar>
            <w:vAlign w:val="center"/>
          </w:tcPr>
          <w:p w14:paraId="46DFD1A2"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137A065A"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4B525DA5" w14:textId="77777777" w:rsidR="003E5BF5" w:rsidRPr="00F163AE"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31DF7090"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63EE142F" w14:textId="77777777" w:rsidR="003E5BF5" w:rsidRPr="00F163AE" w:rsidRDefault="003E5BF5" w:rsidP="00DE1921">
            <w:pPr>
              <w:pStyle w:val="TableTextRight"/>
              <w:rPr>
                <w:rFonts w:ascii="Arial" w:hAnsi="Arial" w:cs="Arial"/>
                <w:sz w:val="24"/>
                <w:szCs w:val="24"/>
              </w:rPr>
            </w:pPr>
          </w:p>
        </w:tc>
      </w:tr>
      <w:tr w:rsidR="003E5BF5" w:rsidRPr="00F163AE" w14:paraId="3C883FD7" w14:textId="77777777" w:rsidTr="006151F9">
        <w:trPr>
          <w:trHeight w:val="340"/>
        </w:trPr>
        <w:tc>
          <w:tcPr>
            <w:tcW w:w="3456" w:type="dxa"/>
            <w:shd w:val="clear" w:color="auto" w:fill="auto"/>
            <w:tcMar>
              <w:left w:w="57" w:type="dxa"/>
              <w:right w:w="57" w:type="dxa"/>
            </w:tcMar>
            <w:vAlign w:val="center"/>
          </w:tcPr>
          <w:p w14:paraId="0F91010A"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Total output cost</w:t>
            </w:r>
          </w:p>
        </w:tc>
        <w:tc>
          <w:tcPr>
            <w:tcW w:w="1070" w:type="dxa"/>
            <w:shd w:val="clear" w:color="auto" w:fill="auto"/>
            <w:tcMar>
              <w:left w:w="57" w:type="dxa"/>
              <w:right w:w="57" w:type="dxa"/>
            </w:tcMar>
            <w:vAlign w:val="center"/>
          </w:tcPr>
          <w:p w14:paraId="48E19F65"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 million</w:t>
            </w:r>
          </w:p>
        </w:tc>
        <w:tc>
          <w:tcPr>
            <w:tcW w:w="1070" w:type="dxa"/>
            <w:shd w:val="clear" w:color="auto" w:fill="auto"/>
            <w:tcMar>
              <w:left w:w="57" w:type="dxa"/>
              <w:right w:w="57" w:type="dxa"/>
            </w:tcMar>
            <w:vAlign w:val="center"/>
          </w:tcPr>
          <w:p w14:paraId="12ACB977"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666.5</w:t>
            </w:r>
          </w:p>
        </w:tc>
        <w:tc>
          <w:tcPr>
            <w:tcW w:w="1070" w:type="dxa"/>
            <w:shd w:val="clear" w:color="auto" w:fill="auto"/>
            <w:tcMar>
              <w:left w:w="57" w:type="dxa"/>
              <w:right w:w="57" w:type="dxa"/>
            </w:tcMar>
            <w:vAlign w:val="center"/>
          </w:tcPr>
          <w:p w14:paraId="0753C08F"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631.9</w:t>
            </w:r>
          </w:p>
        </w:tc>
        <w:tc>
          <w:tcPr>
            <w:tcW w:w="1336" w:type="dxa"/>
            <w:shd w:val="clear" w:color="auto" w:fill="auto"/>
            <w:tcMar>
              <w:left w:w="57" w:type="dxa"/>
              <w:right w:w="57" w:type="dxa"/>
            </w:tcMar>
            <w:vAlign w:val="center"/>
          </w:tcPr>
          <w:p w14:paraId="330ED583"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5.5</w:t>
            </w:r>
          </w:p>
        </w:tc>
        <w:tc>
          <w:tcPr>
            <w:tcW w:w="1070" w:type="dxa"/>
            <w:shd w:val="clear" w:color="auto" w:fill="auto"/>
            <w:tcMar>
              <w:left w:w="57" w:type="dxa"/>
              <w:right w:w="57" w:type="dxa"/>
            </w:tcMar>
            <w:vAlign w:val="center"/>
          </w:tcPr>
          <w:p w14:paraId="5B21D8D5" w14:textId="77777777" w:rsidR="003E5BF5" w:rsidRPr="00F163AE" w:rsidRDefault="003E5BF5" w:rsidP="00DE1921">
            <w:pPr>
              <w:pStyle w:val="TableTextCentre"/>
              <w:jc w:val="right"/>
              <w:rPr>
                <w:rFonts w:ascii="Arial" w:hAnsi="Arial" w:cs="Arial"/>
                <w:sz w:val="24"/>
                <w:szCs w:val="24"/>
              </w:rPr>
            </w:pPr>
            <w:r w:rsidRPr="00F163AE">
              <w:rPr>
                <w:rFonts w:ascii="Arial" w:hAnsi="Arial" w:cs="Arial"/>
                <w:sz w:val="24"/>
                <w:szCs w:val="24"/>
              </w:rPr>
              <w:sym w:font="Wingdings" w:char="F06E"/>
            </w:r>
          </w:p>
        </w:tc>
      </w:tr>
      <w:tr w:rsidR="003E5BF5" w:rsidRPr="00F163AE" w14:paraId="4A677004" w14:textId="77777777" w:rsidTr="006151F9">
        <w:tc>
          <w:tcPr>
            <w:tcW w:w="9072" w:type="dxa"/>
            <w:gridSpan w:val="6"/>
            <w:shd w:val="clear" w:color="auto" w:fill="auto"/>
            <w:tcMar>
              <w:left w:w="57" w:type="dxa"/>
              <w:right w:w="57" w:type="dxa"/>
            </w:tcMar>
          </w:tcPr>
          <w:p w14:paraId="5205FA7D" w14:textId="77777777" w:rsidR="003E5BF5" w:rsidRPr="00F163AE" w:rsidRDefault="003E5BF5" w:rsidP="00DE1921">
            <w:pPr>
              <w:pStyle w:val="TableTextLeftItalics"/>
              <w:rPr>
                <w:rFonts w:ascii="Arial" w:hAnsi="Arial" w:cs="Arial"/>
                <w:sz w:val="24"/>
                <w:szCs w:val="24"/>
              </w:rPr>
            </w:pPr>
            <w:r w:rsidRPr="00F163AE">
              <w:rPr>
                <w:rFonts w:ascii="Arial" w:hAnsi="Arial" w:cs="Arial"/>
                <w:sz w:val="24"/>
                <w:szCs w:val="24"/>
              </w:rPr>
              <w:t xml:space="preserve">The 2019-20 result was higher than the budget due to increased expenditure for remediation works and bushfire recovery activity. </w:t>
            </w:r>
          </w:p>
        </w:tc>
      </w:tr>
    </w:tbl>
    <w:p w14:paraId="7D4124CA" w14:textId="77777777" w:rsidR="003E5BF5" w:rsidRPr="00F163AE" w:rsidRDefault="003E5BF5">
      <w:pPr>
        <w:pStyle w:val="Note"/>
        <w:rPr>
          <w:rFonts w:ascii="Arial" w:hAnsi="Arial" w:cs="Arial"/>
          <w:sz w:val="24"/>
          <w:szCs w:val="24"/>
        </w:rPr>
      </w:pPr>
      <w:r w:rsidRPr="00F163AE">
        <w:rPr>
          <w:rFonts w:ascii="Arial" w:hAnsi="Arial" w:cs="Arial"/>
          <w:sz w:val="24"/>
          <w:szCs w:val="24"/>
        </w:rPr>
        <w:t>Notes:</w:t>
      </w:r>
    </w:p>
    <w:p w14:paraId="472D4355" w14:textId="77777777" w:rsidR="003E5BF5" w:rsidRPr="00F163AE" w:rsidRDefault="003E5BF5" w:rsidP="00DE1921">
      <w:pPr>
        <w:pStyle w:val="Notenumber123"/>
        <w:numPr>
          <w:ilvl w:val="0"/>
          <w:numId w:val="0"/>
        </w:numPr>
        <w:ind w:left="113"/>
        <w:rPr>
          <w:rFonts w:ascii="Arial" w:hAnsi="Arial" w:cs="Arial"/>
          <w:sz w:val="24"/>
          <w:szCs w:val="24"/>
        </w:rPr>
      </w:pPr>
      <w:r w:rsidRPr="00F163AE">
        <w:rPr>
          <w:rFonts w:ascii="Arial" w:hAnsi="Arial" w:cs="Arial"/>
          <w:sz w:val="24"/>
          <w:szCs w:val="24"/>
        </w:rPr>
        <w:sym w:font="Wingdings 2" w:char="F050"/>
      </w:r>
      <w:r w:rsidRPr="00F163AE">
        <w:rPr>
          <w:rFonts w:ascii="Arial" w:hAnsi="Arial" w:cs="Arial"/>
          <w:sz w:val="24"/>
          <w:szCs w:val="24"/>
        </w:rPr>
        <w:t xml:space="preserve"> Performance target achieved or exceeded</w:t>
      </w:r>
    </w:p>
    <w:p w14:paraId="2E7CE7BA" w14:textId="77777777" w:rsidR="003E5BF5" w:rsidRPr="00F163AE" w:rsidRDefault="003E5BF5" w:rsidP="00DE1921">
      <w:pPr>
        <w:pStyle w:val="Notenumber123"/>
        <w:numPr>
          <w:ilvl w:val="0"/>
          <w:numId w:val="0"/>
        </w:numPr>
        <w:ind w:left="113"/>
        <w:rPr>
          <w:rFonts w:ascii="Arial" w:hAnsi="Arial" w:cs="Arial"/>
          <w:sz w:val="24"/>
          <w:szCs w:val="24"/>
        </w:rPr>
      </w:pPr>
      <w:r w:rsidRPr="00F163AE">
        <w:rPr>
          <w:rFonts w:ascii="Arial" w:hAnsi="Arial" w:cs="Arial"/>
          <w:sz w:val="24"/>
          <w:szCs w:val="24"/>
        </w:rPr>
        <w:sym w:font="Wingdings 2" w:char="F099"/>
      </w:r>
      <w:r w:rsidRPr="00F163AE">
        <w:rPr>
          <w:rFonts w:ascii="Arial" w:hAnsi="Arial" w:cs="Arial"/>
          <w:sz w:val="24"/>
          <w:szCs w:val="24"/>
        </w:rPr>
        <w:t xml:space="preserve"> Performance target not achieved – within 5 per cent or $50 million (cost measure only) variance</w:t>
      </w:r>
    </w:p>
    <w:p w14:paraId="08D287DE" w14:textId="77777777" w:rsidR="003E5BF5" w:rsidRPr="00F163AE" w:rsidRDefault="003E5BF5" w:rsidP="00DE1921">
      <w:pPr>
        <w:pStyle w:val="Notenumber123"/>
        <w:numPr>
          <w:ilvl w:val="0"/>
          <w:numId w:val="0"/>
        </w:numPr>
        <w:ind w:left="340" w:hanging="227"/>
        <w:rPr>
          <w:rFonts w:ascii="Arial" w:hAnsi="Arial" w:cs="Arial"/>
          <w:sz w:val="24"/>
          <w:szCs w:val="24"/>
        </w:rPr>
      </w:pPr>
      <w:r w:rsidRPr="00F163AE">
        <w:rPr>
          <w:rFonts w:ascii="Arial" w:hAnsi="Arial" w:cs="Arial"/>
          <w:sz w:val="24"/>
          <w:szCs w:val="24"/>
        </w:rPr>
        <w:sym w:font="Wingdings 2" w:char="F0A1"/>
      </w:r>
      <w:r w:rsidRPr="00F163AE">
        <w:rPr>
          <w:rFonts w:ascii="Arial" w:hAnsi="Arial" w:cs="Arial"/>
          <w:sz w:val="24"/>
          <w:szCs w:val="24"/>
        </w:rPr>
        <w:t xml:space="preserve"> Performance target not achieved – exceeds 5 per cent or $50 million (cost measure only) variance</w:t>
      </w:r>
    </w:p>
    <w:p w14:paraId="5F248FF9" w14:textId="77777777" w:rsidR="003E5BF5" w:rsidRDefault="003E5BF5" w:rsidP="00DE1921">
      <w:pPr>
        <w:rPr>
          <w:rFonts w:eastAsiaTheme="majorEastAsia" w:cstheme="majorBidi"/>
          <w:color w:val="00BAC0"/>
        </w:rPr>
      </w:pPr>
      <w:r>
        <w:rPr>
          <w:color w:val="00BAC0"/>
        </w:rPr>
        <w:br w:type="page"/>
      </w:r>
    </w:p>
    <w:p w14:paraId="18B41C66" w14:textId="77777777" w:rsidR="003E5BF5" w:rsidRPr="002F0322" w:rsidRDefault="003E5BF5" w:rsidP="00EF5131">
      <w:pPr>
        <w:pStyle w:val="Heading5"/>
      </w:pPr>
      <w:r w:rsidRPr="002F0322">
        <w:lastRenderedPageBreak/>
        <w:t>Transport</w:t>
      </w:r>
      <w:r>
        <w:t xml:space="preserve"> Infrastructure</w:t>
      </w:r>
    </w:p>
    <w:p w14:paraId="50B23FD5" w14:textId="77777777" w:rsidR="003E5BF5" w:rsidRDefault="003E5BF5" w:rsidP="00091232">
      <w:pPr>
        <w:pStyle w:val="aaatyping"/>
        <w:rPr>
          <w:highlight w:val="yellow"/>
        </w:rPr>
      </w:pPr>
      <w:r>
        <w:t>This output contributes to the objective by delivering strategic transport infrastructure activities that are value for money and focused on user outcomes to improve the transport system.</w:t>
      </w:r>
    </w:p>
    <w:p w14:paraId="6147B2DB" w14:textId="77777777" w:rsidR="003E5BF5" w:rsidRPr="00F163AE" w:rsidRDefault="003E5BF5" w:rsidP="00CF74EB">
      <w:pPr>
        <w:pStyle w:val="TableHeader"/>
      </w:pPr>
      <w:r w:rsidRPr="00F163AE">
        <w:t>Transport Infrastructure</w:t>
      </w:r>
    </w:p>
    <w:tbl>
      <w:tblPr>
        <w:tblStyle w:val="TableGrid"/>
        <w:tblW w:w="9072" w:type="dxa"/>
        <w:tblCellMar>
          <w:left w:w="28" w:type="dxa"/>
          <w:right w:w="28" w:type="dxa"/>
        </w:tblCellMar>
        <w:tblLook w:val="04A0" w:firstRow="1" w:lastRow="0" w:firstColumn="1" w:lastColumn="0" w:noHBand="0" w:noVBand="1"/>
      </w:tblPr>
      <w:tblGrid>
        <w:gridCol w:w="3375"/>
        <w:gridCol w:w="1068"/>
        <w:gridCol w:w="1056"/>
        <w:gridCol w:w="1055"/>
        <w:gridCol w:w="1460"/>
        <w:gridCol w:w="1058"/>
      </w:tblGrid>
      <w:tr w:rsidR="003E5BF5" w:rsidRPr="00F163AE" w14:paraId="286C2D15" w14:textId="77777777" w:rsidTr="006151F9">
        <w:trPr>
          <w:trHeight w:val="340"/>
          <w:tblHeader/>
        </w:trPr>
        <w:tc>
          <w:tcPr>
            <w:tcW w:w="3456" w:type="dxa"/>
            <w:shd w:val="clear" w:color="auto" w:fill="auto"/>
            <w:tcMar>
              <w:left w:w="57" w:type="dxa"/>
              <w:right w:w="57" w:type="dxa"/>
            </w:tcMar>
          </w:tcPr>
          <w:p w14:paraId="16A56BA7" w14:textId="77777777" w:rsidR="003E5BF5" w:rsidRPr="006151F9" w:rsidRDefault="003E5BF5" w:rsidP="00DE1921">
            <w:pPr>
              <w:pStyle w:val="TableTextLeftBold"/>
              <w:rPr>
                <w:rFonts w:ascii="Arial" w:hAnsi="Arial" w:cs="Arial"/>
                <w:sz w:val="22"/>
              </w:rPr>
            </w:pPr>
            <w:r w:rsidRPr="006151F9">
              <w:rPr>
                <w:rFonts w:ascii="Arial" w:hAnsi="Arial" w:cs="Arial"/>
                <w:sz w:val="22"/>
              </w:rPr>
              <w:t>Performance measures</w:t>
            </w:r>
          </w:p>
        </w:tc>
        <w:tc>
          <w:tcPr>
            <w:tcW w:w="1070" w:type="dxa"/>
            <w:shd w:val="clear" w:color="auto" w:fill="auto"/>
            <w:tcMar>
              <w:left w:w="57" w:type="dxa"/>
              <w:right w:w="57" w:type="dxa"/>
            </w:tcMar>
          </w:tcPr>
          <w:p w14:paraId="631FB551" w14:textId="77777777" w:rsidR="003E5BF5" w:rsidRPr="006151F9" w:rsidRDefault="003E5BF5" w:rsidP="00DE1921">
            <w:pPr>
              <w:pStyle w:val="TableTextRightBold"/>
              <w:rPr>
                <w:rFonts w:ascii="Arial" w:hAnsi="Arial" w:cs="Arial"/>
                <w:sz w:val="22"/>
              </w:rPr>
            </w:pPr>
            <w:r w:rsidRPr="006151F9">
              <w:rPr>
                <w:rFonts w:ascii="Arial" w:hAnsi="Arial" w:cs="Arial"/>
                <w:sz w:val="22"/>
              </w:rPr>
              <w:t>unit of measure</w:t>
            </w:r>
          </w:p>
        </w:tc>
        <w:tc>
          <w:tcPr>
            <w:tcW w:w="1070" w:type="dxa"/>
            <w:shd w:val="clear" w:color="auto" w:fill="auto"/>
            <w:tcMar>
              <w:left w:w="57" w:type="dxa"/>
              <w:right w:w="57" w:type="dxa"/>
            </w:tcMar>
          </w:tcPr>
          <w:p w14:paraId="527BC17C" w14:textId="77777777" w:rsidR="003E5BF5" w:rsidRPr="006151F9" w:rsidRDefault="003E5BF5" w:rsidP="00DE1921">
            <w:pPr>
              <w:pStyle w:val="TableTextRightBold"/>
              <w:rPr>
                <w:rFonts w:ascii="Arial" w:hAnsi="Arial" w:cs="Arial"/>
                <w:sz w:val="22"/>
              </w:rPr>
            </w:pPr>
            <w:r w:rsidRPr="006151F9">
              <w:rPr>
                <w:rFonts w:ascii="Arial" w:hAnsi="Arial" w:cs="Arial"/>
                <w:sz w:val="22"/>
              </w:rPr>
              <w:t>2019-20 actual</w:t>
            </w:r>
          </w:p>
        </w:tc>
        <w:tc>
          <w:tcPr>
            <w:tcW w:w="1070" w:type="dxa"/>
            <w:shd w:val="clear" w:color="auto" w:fill="auto"/>
            <w:tcMar>
              <w:left w:w="57" w:type="dxa"/>
              <w:right w:w="57" w:type="dxa"/>
            </w:tcMar>
          </w:tcPr>
          <w:p w14:paraId="70BAA2D0" w14:textId="77777777" w:rsidR="003E5BF5" w:rsidRPr="006151F9" w:rsidRDefault="003E5BF5" w:rsidP="00DE1921">
            <w:pPr>
              <w:pStyle w:val="TableTextRightBold"/>
              <w:rPr>
                <w:rFonts w:ascii="Arial" w:hAnsi="Arial" w:cs="Arial"/>
                <w:sz w:val="22"/>
              </w:rPr>
            </w:pPr>
            <w:r w:rsidRPr="006151F9">
              <w:rPr>
                <w:rFonts w:ascii="Arial" w:hAnsi="Arial" w:cs="Arial"/>
                <w:sz w:val="22"/>
              </w:rPr>
              <w:t>2019-20 target</w:t>
            </w:r>
          </w:p>
        </w:tc>
        <w:tc>
          <w:tcPr>
            <w:tcW w:w="1336" w:type="dxa"/>
            <w:shd w:val="clear" w:color="auto" w:fill="auto"/>
            <w:tcMar>
              <w:left w:w="57" w:type="dxa"/>
              <w:right w:w="57" w:type="dxa"/>
            </w:tcMar>
          </w:tcPr>
          <w:p w14:paraId="4304ED90" w14:textId="77777777" w:rsidR="003E5BF5" w:rsidRPr="006151F9" w:rsidRDefault="003E5BF5" w:rsidP="00DE1921">
            <w:pPr>
              <w:pStyle w:val="TableTextRightBold"/>
              <w:rPr>
                <w:rFonts w:ascii="Arial" w:hAnsi="Arial" w:cs="Arial"/>
                <w:sz w:val="22"/>
              </w:rPr>
            </w:pPr>
            <w:r w:rsidRPr="006151F9">
              <w:rPr>
                <w:rFonts w:ascii="Arial" w:hAnsi="Arial" w:cs="Arial"/>
                <w:sz w:val="22"/>
              </w:rPr>
              <w:t>Performance variation (%)</w:t>
            </w:r>
          </w:p>
        </w:tc>
        <w:tc>
          <w:tcPr>
            <w:tcW w:w="1070" w:type="dxa"/>
            <w:shd w:val="clear" w:color="auto" w:fill="auto"/>
            <w:tcMar>
              <w:left w:w="57" w:type="dxa"/>
              <w:right w:w="57" w:type="dxa"/>
            </w:tcMar>
          </w:tcPr>
          <w:p w14:paraId="2F1A8BA6" w14:textId="77777777" w:rsidR="003E5BF5" w:rsidRPr="006151F9" w:rsidRDefault="003E5BF5" w:rsidP="00DE1921">
            <w:pPr>
              <w:pStyle w:val="TableTextRightBold"/>
              <w:rPr>
                <w:rFonts w:ascii="Arial" w:hAnsi="Arial" w:cs="Arial"/>
                <w:sz w:val="22"/>
              </w:rPr>
            </w:pPr>
            <w:r w:rsidRPr="006151F9">
              <w:rPr>
                <w:rFonts w:ascii="Arial" w:hAnsi="Arial" w:cs="Arial"/>
                <w:sz w:val="22"/>
              </w:rPr>
              <w:t>Result</w:t>
            </w:r>
          </w:p>
        </w:tc>
      </w:tr>
      <w:tr w:rsidR="003E5BF5" w:rsidRPr="00F163AE" w14:paraId="4CAA4210" w14:textId="77777777" w:rsidTr="006151F9">
        <w:trPr>
          <w:trHeight w:val="340"/>
        </w:trPr>
        <w:tc>
          <w:tcPr>
            <w:tcW w:w="3456" w:type="dxa"/>
            <w:shd w:val="clear" w:color="auto" w:fill="auto"/>
            <w:tcMar>
              <w:left w:w="57" w:type="dxa"/>
              <w:right w:w="57" w:type="dxa"/>
            </w:tcMar>
            <w:vAlign w:val="center"/>
          </w:tcPr>
          <w:p w14:paraId="590A46EF" w14:textId="77777777" w:rsidR="003E5BF5" w:rsidRPr="00F163AE" w:rsidRDefault="003E5BF5" w:rsidP="00DE1921">
            <w:pPr>
              <w:pStyle w:val="TableTextLeftItalics"/>
              <w:rPr>
                <w:rFonts w:ascii="Arial" w:hAnsi="Arial" w:cs="Arial"/>
                <w:b/>
                <w:sz w:val="24"/>
                <w:szCs w:val="24"/>
              </w:rPr>
            </w:pPr>
            <w:r w:rsidRPr="00F163AE">
              <w:rPr>
                <w:rFonts w:ascii="Arial" w:hAnsi="Arial" w:cs="Arial"/>
                <w:b/>
                <w:sz w:val="24"/>
                <w:szCs w:val="24"/>
              </w:rPr>
              <w:t>Quantity</w:t>
            </w:r>
          </w:p>
        </w:tc>
        <w:tc>
          <w:tcPr>
            <w:tcW w:w="1070" w:type="dxa"/>
            <w:shd w:val="clear" w:color="auto" w:fill="auto"/>
            <w:tcMar>
              <w:left w:w="57" w:type="dxa"/>
              <w:right w:w="57" w:type="dxa"/>
            </w:tcMar>
            <w:vAlign w:val="center"/>
          </w:tcPr>
          <w:p w14:paraId="7A502386"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6F6FD0AD"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2FA56693" w14:textId="77777777" w:rsidR="003E5BF5" w:rsidRPr="00F163AE"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775CD444"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3F481DC1" w14:textId="77777777" w:rsidR="003E5BF5" w:rsidRPr="00F163AE" w:rsidRDefault="003E5BF5" w:rsidP="00DE1921">
            <w:pPr>
              <w:pStyle w:val="TableTextRight"/>
              <w:rPr>
                <w:rFonts w:ascii="Arial" w:hAnsi="Arial" w:cs="Arial"/>
                <w:sz w:val="24"/>
                <w:szCs w:val="24"/>
              </w:rPr>
            </w:pPr>
          </w:p>
        </w:tc>
      </w:tr>
      <w:tr w:rsidR="003E5BF5" w:rsidRPr="00F163AE" w14:paraId="51BDD01C" w14:textId="77777777" w:rsidTr="006151F9">
        <w:trPr>
          <w:trHeight w:val="340"/>
        </w:trPr>
        <w:tc>
          <w:tcPr>
            <w:tcW w:w="3456" w:type="dxa"/>
            <w:shd w:val="clear" w:color="auto" w:fill="auto"/>
            <w:tcMar>
              <w:left w:w="57" w:type="dxa"/>
              <w:right w:w="57" w:type="dxa"/>
            </w:tcMar>
          </w:tcPr>
          <w:p w14:paraId="3AB54E8F"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Integrated transport planning to support urban renewal projects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5893894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w:t>
            </w:r>
            <w:r w:rsidRPr="00F163AE">
              <w:rPr>
                <w:rFonts w:ascii="Arial" w:hAnsi="Arial" w:cs="Arial"/>
                <w:sz w:val="24"/>
                <w:szCs w:val="24"/>
              </w:rPr>
              <w:fldChar w:fldCharType="end"/>
            </w:r>
          </w:p>
        </w:tc>
        <w:tc>
          <w:tcPr>
            <w:tcW w:w="1070" w:type="dxa"/>
            <w:shd w:val="clear" w:color="auto" w:fill="auto"/>
            <w:tcMar>
              <w:left w:w="57" w:type="dxa"/>
              <w:right w:w="57" w:type="dxa"/>
            </w:tcMar>
          </w:tcPr>
          <w:p w14:paraId="2F05837E"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3</w:t>
            </w:r>
            <w:r w:rsidRPr="00F163AE">
              <w:rPr>
                <w:rFonts w:ascii="Arial" w:hAnsi="Arial" w:cs="Arial"/>
                <w:sz w:val="24"/>
                <w:szCs w:val="24"/>
              </w:rPr>
              <w:fldChar w:fldCharType="end"/>
            </w:r>
          </w:p>
        </w:tc>
        <w:tc>
          <w:tcPr>
            <w:tcW w:w="1070" w:type="dxa"/>
            <w:shd w:val="clear" w:color="auto" w:fill="auto"/>
            <w:tcMar>
              <w:left w:w="57" w:type="dxa"/>
              <w:right w:w="57" w:type="dxa"/>
            </w:tcMar>
          </w:tcPr>
          <w:p w14:paraId="01923C70"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4</w:t>
            </w:r>
            <w:r w:rsidRPr="00F163AE">
              <w:rPr>
                <w:rFonts w:ascii="Arial" w:hAnsi="Arial" w:cs="Arial"/>
                <w:sz w:val="24"/>
                <w:szCs w:val="24"/>
              </w:rPr>
              <w:fldChar w:fldCharType="end"/>
            </w:r>
          </w:p>
        </w:tc>
        <w:tc>
          <w:tcPr>
            <w:tcW w:w="1336" w:type="dxa"/>
            <w:shd w:val="clear" w:color="auto" w:fill="auto"/>
            <w:tcMar>
              <w:left w:w="57" w:type="dxa"/>
              <w:right w:w="57" w:type="dxa"/>
            </w:tcMar>
          </w:tcPr>
          <w:p w14:paraId="622548FC"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-25.0</w:t>
            </w:r>
            <w:r w:rsidRPr="00F163AE">
              <w:rPr>
                <w:rFonts w:ascii="Arial" w:hAnsi="Arial" w:cs="Arial"/>
                <w:sz w:val="24"/>
                <w:szCs w:val="24"/>
              </w:rPr>
              <w:fldChar w:fldCharType="end"/>
            </w:r>
          </w:p>
        </w:tc>
        <w:tc>
          <w:tcPr>
            <w:tcW w:w="1070" w:type="dxa"/>
            <w:shd w:val="clear" w:color="auto" w:fill="auto"/>
            <w:tcMar>
              <w:left w:w="57" w:type="dxa"/>
              <w:right w:w="57" w:type="dxa"/>
            </w:tcMar>
          </w:tcPr>
          <w:p w14:paraId="4B6DE382"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6E"/>
            </w:r>
          </w:p>
        </w:tc>
      </w:tr>
      <w:tr w:rsidR="003E5BF5" w:rsidRPr="00F163AE" w14:paraId="7C0BA950" w14:textId="77777777" w:rsidTr="006151F9">
        <w:tc>
          <w:tcPr>
            <w:tcW w:w="9072" w:type="dxa"/>
            <w:gridSpan w:val="6"/>
            <w:shd w:val="clear" w:color="auto" w:fill="auto"/>
            <w:tcMar>
              <w:left w:w="57" w:type="dxa"/>
              <w:right w:w="57" w:type="dxa"/>
            </w:tcMar>
          </w:tcPr>
          <w:p w14:paraId="79E5B2DC" w14:textId="77777777" w:rsidR="003E5BF5" w:rsidRPr="00F163AE" w:rsidRDefault="003E5BF5" w:rsidP="00DE1921">
            <w:pPr>
              <w:pStyle w:val="TableTextCentre"/>
              <w:jc w:val="left"/>
              <w:rPr>
                <w:rFonts w:ascii="Arial" w:hAnsi="Arial" w:cs="Arial"/>
                <w:i/>
                <w:sz w:val="24"/>
                <w:szCs w:val="24"/>
              </w:rPr>
            </w:pPr>
            <w:r w:rsidRPr="00F163AE">
              <w:rPr>
                <w:rFonts w:ascii="Arial" w:hAnsi="Arial" w:cs="Arial"/>
                <w:i/>
                <w:sz w:val="24"/>
                <w:szCs w:val="24"/>
              </w:rPr>
              <w:fldChar w:fldCharType="begin"/>
            </w:r>
            <w:r w:rsidRPr="00F163AE">
              <w:rPr>
                <w:rFonts w:ascii="Arial" w:hAnsi="Arial" w:cs="Arial"/>
                <w:i/>
                <w:sz w:val="24"/>
                <w:szCs w:val="24"/>
              </w:rPr>
              <w:instrText xml:space="preserve"> MERGEFIELD "M_26" </w:instrText>
            </w:r>
            <w:r w:rsidRPr="00F163AE">
              <w:rPr>
                <w:rFonts w:ascii="Arial" w:hAnsi="Arial" w:cs="Arial"/>
                <w:i/>
                <w:sz w:val="24"/>
                <w:szCs w:val="24"/>
              </w:rPr>
              <w:fldChar w:fldCharType="separate"/>
            </w:r>
            <w:r w:rsidRPr="00F163AE">
              <w:rPr>
                <w:rFonts w:ascii="Arial" w:hAnsi="Arial" w:cs="Arial"/>
                <w:i/>
                <w:sz w:val="24"/>
                <w:szCs w:val="24"/>
              </w:rPr>
              <w:t>Due to alignment of timing with Suburban Rail Loop project.</w:t>
            </w:r>
            <w:r w:rsidRPr="00F163AE">
              <w:rPr>
                <w:rFonts w:ascii="Arial" w:hAnsi="Arial" w:cs="Arial"/>
                <w:i/>
                <w:sz w:val="24"/>
                <w:szCs w:val="24"/>
              </w:rPr>
              <w:fldChar w:fldCharType="end"/>
            </w:r>
          </w:p>
        </w:tc>
      </w:tr>
      <w:tr w:rsidR="003E5BF5" w:rsidRPr="00F163AE" w14:paraId="374835B6" w14:textId="77777777" w:rsidTr="006151F9">
        <w:trPr>
          <w:trHeight w:val="340"/>
        </w:trPr>
        <w:tc>
          <w:tcPr>
            <w:tcW w:w="3456" w:type="dxa"/>
            <w:shd w:val="clear" w:color="auto" w:fill="auto"/>
            <w:tcMar>
              <w:left w:w="57" w:type="dxa"/>
              <w:right w:w="57" w:type="dxa"/>
            </w:tcMar>
          </w:tcPr>
          <w:p w14:paraId="666B6AF4"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Major road improvement projects completed: metropolitan</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41F30D73"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w:t>
            </w:r>
            <w:r w:rsidRPr="00F163AE">
              <w:rPr>
                <w:rFonts w:ascii="Arial" w:hAnsi="Arial" w:cs="Arial"/>
                <w:sz w:val="24"/>
                <w:szCs w:val="24"/>
              </w:rPr>
              <w:fldChar w:fldCharType="end"/>
            </w:r>
          </w:p>
        </w:tc>
        <w:tc>
          <w:tcPr>
            <w:tcW w:w="1070" w:type="dxa"/>
            <w:shd w:val="clear" w:color="auto" w:fill="auto"/>
            <w:tcMar>
              <w:left w:w="57" w:type="dxa"/>
              <w:right w:w="57" w:type="dxa"/>
            </w:tcMar>
          </w:tcPr>
          <w:p w14:paraId="2457C374"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3</w:t>
            </w:r>
            <w:r w:rsidRPr="00F163AE">
              <w:rPr>
                <w:rFonts w:ascii="Arial" w:hAnsi="Arial" w:cs="Arial"/>
                <w:sz w:val="24"/>
                <w:szCs w:val="24"/>
              </w:rPr>
              <w:fldChar w:fldCharType="end"/>
            </w:r>
          </w:p>
        </w:tc>
        <w:tc>
          <w:tcPr>
            <w:tcW w:w="1070" w:type="dxa"/>
            <w:shd w:val="clear" w:color="auto" w:fill="auto"/>
            <w:tcMar>
              <w:left w:w="57" w:type="dxa"/>
              <w:right w:w="57" w:type="dxa"/>
            </w:tcMar>
          </w:tcPr>
          <w:p w14:paraId="55F20857"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3</w:t>
            </w:r>
            <w:r w:rsidRPr="00F163AE">
              <w:rPr>
                <w:rFonts w:ascii="Arial" w:hAnsi="Arial" w:cs="Arial"/>
                <w:sz w:val="24"/>
                <w:szCs w:val="24"/>
              </w:rPr>
              <w:fldChar w:fldCharType="end"/>
            </w:r>
          </w:p>
        </w:tc>
        <w:tc>
          <w:tcPr>
            <w:tcW w:w="1336" w:type="dxa"/>
            <w:shd w:val="clear" w:color="auto" w:fill="auto"/>
            <w:tcMar>
              <w:left w:w="57" w:type="dxa"/>
              <w:right w:w="57" w:type="dxa"/>
            </w:tcMar>
          </w:tcPr>
          <w:p w14:paraId="4136CB38"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6E1F0679"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4EA77639" w14:textId="77777777" w:rsidTr="006151F9">
        <w:trPr>
          <w:trHeight w:val="340"/>
        </w:trPr>
        <w:tc>
          <w:tcPr>
            <w:tcW w:w="3456" w:type="dxa"/>
            <w:shd w:val="clear" w:color="auto" w:fill="auto"/>
            <w:tcMar>
              <w:left w:w="57" w:type="dxa"/>
              <w:right w:w="57" w:type="dxa"/>
            </w:tcMar>
          </w:tcPr>
          <w:p w14:paraId="6841545E"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Major road improvement projects completed: regional</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2D4E7E67"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w:t>
            </w:r>
            <w:r w:rsidRPr="00F163AE">
              <w:rPr>
                <w:rFonts w:ascii="Arial" w:hAnsi="Arial" w:cs="Arial"/>
                <w:sz w:val="24"/>
                <w:szCs w:val="24"/>
              </w:rPr>
              <w:fldChar w:fldCharType="end"/>
            </w:r>
          </w:p>
        </w:tc>
        <w:tc>
          <w:tcPr>
            <w:tcW w:w="1070" w:type="dxa"/>
            <w:shd w:val="clear" w:color="auto" w:fill="auto"/>
            <w:tcMar>
              <w:left w:w="57" w:type="dxa"/>
              <w:right w:w="57" w:type="dxa"/>
            </w:tcMar>
          </w:tcPr>
          <w:p w14:paraId="3754109B"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2</w:t>
            </w:r>
            <w:r w:rsidRPr="00F163AE">
              <w:rPr>
                <w:rFonts w:ascii="Arial" w:hAnsi="Arial" w:cs="Arial"/>
                <w:sz w:val="24"/>
                <w:szCs w:val="24"/>
              </w:rPr>
              <w:fldChar w:fldCharType="end"/>
            </w:r>
          </w:p>
        </w:tc>
        <w:tc>
          <w:tcPr>
            <w:tcW w:w="1070" w:type="dxa"/>
            <w:shd w:val="clear" w:color="auto" w:fill="auto"/>
            <w:tcMar>
              <w:left w:w="57" w:type="dxa"/>
              <w:right w:w="57" w:type="dxa"/>
            </w:tcMar>
          </w:tcPr>
          <w:p w14:paraId="2F0DE65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2</w:t>
            </w:r>
            <w:r w:rsidRPr="00F163AE">
              <w:rPr>
                <w:rFonts w:ascii="Arial" w:hAnsi="Arial" w:cs="Arial"/>
                <w:sz w:val="24"/>
                <w:szCs w:val="24"/>
              </w:rPr>
              <w:fldChar w:fldCharType="end"/>
            </w:r>
          </w:p>
        </w:tc>
        <w:tc>
          <w:tcPr>
            <w:tcW w:w="1336" w:type="dxa"/>
            <w:shd w:val="clear" w:color="auto" w:fill="auto"/>
            <w:tcMar>
              <w:left w:w="57" w:type="dxa"/>
              <w:right w:w="57" w:type="dxa"/>
            </w:tcMar>
          </w:tcPr>
          <w:p w14:paraId="4349B3BA"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7D80BB89"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655BC5C1" w14:textId="77777777" w:rsidTr="006151F9">
        <w:trPr>
          <w:trHeight w:val="340"/>
        </w:trPr>
        <w:tc>
          <w:tcPr>
            <w:tcW w:w="3456" w:type="dxa"/>
            <w:shd w:val="clear" w:color="auto" w:fill="auto"/>
            <w:tcMar>
              <w:left w:w="57" w:type="dxa"/>
              <w:right w:w="57" w:type="dxa"/>
            </w:tcMar>
          </w:tcPr>
          <w:p w14:paraId="096F4180"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Planning projects for other major transport infrastructure</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0C308858"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w:t>
            </w:r>
            <w:r w:rsidRPr="00F163AE">
              <w:rPr>
                <w:rFonts w:ascii="Arial" w:hAnsi="Arial" w:cs="Arial"/>
                <w:sz w:val="24"/>
                <w:szCs w:val="24"/>
              </w:rPr>
              <w:fldChar w:fldCharType="end"/>
            </w:r>
          </w:p>
        </w:tc>
        <w:tc>
          <w:tcPr>
            <w:tcW w:w="1070" w:type="dxa"/>
            <w:shd w:val="clear" w:color="auto" w:fill="auto"/>
            <w:tcMar>
              <w:left w:w="57" w:type="dxa"/>
              <w:right w:w="57" w:type="dxa"/>
            </w:tcMar>
          </w:tcPr>
          <w:p w14:paraId="3CEB5E54"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5</w:t>
            </w:r>
            <w:r w:rsidRPr="00F163AE">
              <w:rPr>
                <w:rFonts w:ascii="Arial" w:hAnsi="Arial" w:cs="Arial"/>
                <w:sz w:val="24"/>
                <w:szCs w:val="24"/>
              </w:rPr>
              <w:fldChar w:fldCharType="end"/>
            </w:r>
          </w:p>
        </w:tc>
        <w:tc>
          <w:tcPr>
            <w:tcW w:w="1070" w:type="dxa"/>
            <w:shd w:val="clear" w:color="auto" w:fill="auto"/>
            <w:tcMar>
              <w:left w:w="57" w:type="dxa"/>
              <w:right w:w="57" w:type="dxa"/>
            </w:tcMar>
          </w:tcPr>
          <w:p w14:paraId="2C8E857F"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5</w:t>
            </w:r>
            <w:r w:rsidRPr="00F163AE">
              <w:rPr>
                <w:rFonts w:ascii="Arial" w:hAnsi="Arial" w:cs="Arial"/>
                <w:sz w:val="24"/>
                <w:szCs w:val="24"/>
              </w:rPr>
              <w:fldChar w:fldCharType="end"/>
            </w:r>
          </w:p>
        </w:tc>
        <w:tc>
          <w:tcPr>
            <w:tcW w:w="1336" w:type="dxa"/>
            <w:shd w:val="clear" w:color="auto" w:fill="auto"/>
            <w:tcMar>
              <w:left w:w="57" w:type="dxa"/>
              <w:right w:w="57" w:type="dxa"/>
            </w:tcMar>
          </w:tcPr>
          <w:p w14:paraId="72A42FD3"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1FCBB7ED"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7EC12D4C" w14:textId="77777777" w:rsidTr="006151F9">
        <w:trPr>
          <w:trHeight w:val="340"/>
        </w:trPr>
        <w:tc>
          <w:tcPr>
            <w:tcW w:w="9072" w:type="dxa"/>
            <w:gridSpan w:val="6"/>
            <w:shd w:val="clear" w:color="auto" w:fill="auto"/>
            <w:tcMar>
              <w:left w:w="57" w:type="dxa"/>
              <w:right w:w="57" w:type="dxa"/>
            </w:tcMar>
            <w:vAlign w:val="center"/>
          </w:tcPr>
          <w:p w14:paraId="0CBE61F8" w14:textId="77777777" w:rsidR="003E5BF5" w:rsidRPr="00F163AE" w:rsidRDefault="003E5BF5" w:rsidP="00DE1921">
            <w:pPr>
              <w:pStyle w:val="TableTextLeftItalics"/>
              <w:rPr>
                <w:rFonts w:ascii="Arial" w:hAnsi="Arial" w:cs="Arial"/>
                <w:i w:val="0"/>
                <w:sz w:val="24"/>
                <w:szCs w:val="24"/>
              </w:rPr>
            </w:pPr>
            <w:r w:rsidRPr="00F163AE">
              <w:rPr>
                <w:rFonts w:ascii="Arial" w:hAnsi="Arial" w:cs="Arial"/>
                <w:b/>
                <w:sz w:val="24"/>
                <w:szCs w:val="24"/>
              </w:rPr>
              <w:t>Quality</w:t>
            </w:r>
          </w:p>
        </w:tc>
      </w:tr>
      <w:tr w:rsidR="003E5BF5" w:rsidRPr="00F163AE" w14:paraId="4F494828" w14:textId="77777777" w:rsidTr="006151F9">
        <w:trPr>
          <w:trHeight w:val="340"/>
        </w:trPr>
        <w:tc>
          <w:tcPr>
            <w:tcW w:w="3456" w:type="dxa"/>
            <w:shd w:val="clear" w:color="auto" w:fill="auto"/>
            <w:tcMar>
              <w:left w:w="57" w:type="dxa"/>
              <w:right w:w="57" w:type="dxa"/>
            </w:tcMar>
          </w:tcPr>
          <w:p w14:paraId="53F3C461"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Ballarat Line Upgrade - delivery: milestones delivered in accordance with agreed budget and timelines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49C19C2C"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23912325"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070" w:type="dxa"/>
            <w:shd w:val="clear" w:color="auto" w:fill="auto"/>
            <w:tcMar>
              <w:left w:w="57" w:type="dxa"/>
              <w:right w:w="57" w:type="dxa"/>
            </w:tcMar>
          </w:tcPr>
          <w:p w14:paraId="11FE1025"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336" w:type="dxa"/>
            <w:shd w:val="clear" w:color="auto" w:fill="auto"/>
            <w:tcMar>
              <w:left w:w="57" w:type="dxa"/>
              <w:right w:w="57" w:type="dxa"/>
            </w:tcMar>
          </w:tcPr>
          <w:p w14:paraId="5ABE1CC7"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4A62E71E"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66F6E95F" w14:textId="77777777" w:rsidTr="006151F9">
        <w:trPr>
          <w:trHeight w:val="340"/>
        </w:trPr>
        <w:tc>
          <w:tcPr>
            <w:tcW w:w="3456" w:type="dxa"/>
            <w:shd w:val="clear" w:color="auto" w:fill="auto"/>
            <w:tcMar>
              <w:left w:w="57" w:type="dxa"/>
              <w:right w:w="57" w:type="dxa"/>
            </w:tcMar>
          </w:tcPr>
          <w:p w14:paraId="496213B4"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Level Crossing Removal Project: Milestones delivered in accordance with agreed budget and timelines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529AACD1"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12E4B24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070" w:type="dxa"/>
            <w:shd w:val="clear" w:color="auto" w:fill="auto"/>
            <w:tcMar>
              <w:left w:w="57" w:type="dxa"/>
              <w:right w:w="57" w:type="dxa"/>
            </w:tcMar>
          </w:tcPr>
          <w:p w14:paraId="6A9749C4"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336" w:type="dxa"/>
            <w:shd w:val="clear" w:color="auto" w:fill="auto"/>
            <w:tcMar>
              <w:left w:w="57" w:type="dxa"/>
              <w:right w:w="57" w:type="dxa"/>
            </w:tcMar>
          </w:tcPr>
          <w:p w14:paraId="48F5E275"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1BFD7ED1"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6FF1D72B" w14:textId="77777777" w:rsidTr="006151F9">
        <w:trPr>
          <w:trHeight w:val="340"/>
        </w:trPr>
        <w:tc>
          <w:tcPr>
            <w:tcW w:w="3456" w:type="dxa"/>
            <w:shd w:val="clear" w:color="auto" w:fill="auto"/>
            <w:tcMar>
              <w:left w:w="57" w:type="dxa"/>
              <w:right w:w="57" w:type="dxa"/>
            </w:tcMar>
          </w:tcPr>
          <w:p w14:paraId="2963CC5C"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Metro Tunnel Project – delivery: milestones delivered in accordance with agreed budget and timelines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74A3C00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4909FDB8"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070" w:type="dxa"/>
            <w:shd w:val="clear" w:color="auto" w:fill="auto"/>
            <w:tcMar>
              <w:left w:w="57" w:type="dxa"/>
              <w:right w:w="57" w:type="dxa"/>
            </w:tcMar>
          </w:tcPr>
          <w:p w14:paraId="1F575263"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336" w:type="dxa"/>
            <w:shd w:val="clear" w:color="auto" w:fill="auto"/>
            <w:tcMar>
              <w:left w:w="57" w:type="dxa"/>
              <w:right w:w="57" w:type="dxa"/>
            </w:tcMar>
          </w:tcPr>
          <w:p w14:paraId="740071EF"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501FD316"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24EEED45" w14:textId="77777777" w:rsidTr="006151F9">
        <w:trPr>
          <w:trHeight w:val="340"/>
        </w:trPr>
        <w:tc>
          <w:tcPr>
            <w:tcW w:w="3456" w:type="dxa"/>
            <w:shd w:val="clear" w:color="auto" w:fill="auto"/>
            <w:tcMar>
              <w:left w:w="57" w:type="dxa"/>
              <w:right w:w="57" w:type="dxa"/>
            </w:tcMar>
          </w:tcPr>
          <w:p w14:paraId="2BD88735"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North East Link Project - milestones delivered in accordance with agreed budget and timelines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2CC7B606"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049EDFBF"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070" w:type="dxa"/>
            <w:shd w:val="clear" w:color="auto" w:fill="auto"/>
            <w:tcMar>
              <w:left w:w="57" w:type="dxa"/>
              <w:right w:w="57" w:type="dxa"/>
            </w:tcMar>
          </w:tcPr>
          <w:p w14:paraId="5DFA5483"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336" w:type="dxa"/>
            <w:shd w:val="clear" w:color="auto" w:fill="auto"/>
            <w:tcMar>
              <w:left w:w="57" w:type="dxa"/>
              <w:right w:w="57" w:type="dxa"/>
            </w:tcMar>
          </w:tcPr>
          <w:p w14:paraId="67891348"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10B5AE5D"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3C6D075F" w14:textId="77777777" w:rsidTr="006151F9">
        <w:trPr>
          <w:trHeight w:val="340"/>
        </w:trPr>
        <w:tc>
          <w:tcPr>
            <w:tcW w:w="3456" w:type="dxa"/>
            <w:shd w:val="clear" w:color="auto" w:fill="auto"/>
            <w:tcMar>
              <w:left w:w="57" w:type="dxa"/>
              <w:right w:w="57" w:type="dxa"/>
            </w:tcMar>
          </w:tcPr>
          <w:p w14:paraId="7D112E7A"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 xml:space="preserve">West Gate Tunnel Project – Milestones delivered in accordance with agreed budget and timelines </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17310A4A"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4F64780C"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84.2</w:t>
            </w:r>
            <w:r w:rsidRPr="00F163AE">
              <w:rPr>
                <w:rFonts w:ascii="Arial" w:hAnsi="Arial" w:cs="Arial"/>
                <w:sz w:val="24"/>
                <w:szCs w:val="24"/>
              </w:rPr>
              <w:fldChar w:fldCharType="end"/>
            </w:r>
          </w:p>
        </w:tc>
        <w:tc>
          <w:tcPr>
            <w:tcW w:w="1070" w:type="dxa"/>
            <w:shd w:val="clear" w:color="auto" w:fill="auto"/>
            <w:tcMar>
              <w:left w:w="57" w:type="dxa"/>
              <w:right w:w="57" w:type="dxa"/>
            </w:tcMar>
          </w:tcPr>
          <w:p w14:paraId="5C5E42EB"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336" w:type="dxa"/>
            <w:shd w:val="clear" w:color="auto" w:fill="auto"/>
            <w:tcMar>
              <w:left w:w="57" w:type="dxa"/>
              <w:right w:w="57" w:type="dxa"/>
            </w:tcMar>
          </w:tcPr>
          <w:p w14:paraId="273A140E"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-15.8</w:t>
            </w:r>
            <w:r w:rsidRPr="00F163AE">
              <w:rPr>
                <w:rFonts w:ascii="Arial" w:hAnsi="Arial" w:cs="Arial"/>
                <w:sz w:val="24"/>
                <w:szCs w:val="24"/>
              </w:rPr>
              <w:fldChar w:fldCharType="end"/>
            </w:r>
          </w:p>
        </w:tc>
        <w:tc>
          <w:tcPr>
            <w:tcW w:w="1070" w:type="dxa"/>
            <w:shd w:val="clear" w:color="auto" w:fill="auto"/>
            <w:tcMar>
              <w:left w:w="57" w:type="dxa"/>
              <w:right w:w="57" w:type="dxa"/>
            </w:tcMar>
          </w:tcPr>
          <w:p w14:paraId="7A201906"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6E"/>
            </w:r>
          </w:p>
        </w:tc>
      </w:tr>
      <w:tr w:rsidR="003E5BF5" w:rsidRPr="00F163AE" w14:paraId="21205533" w14:textId="77777777" w:rsidTr="006151F9">
        <w:tc>
          <w:tcPr>
            <w:tcW w:w="9072" w:type="dxa"/>
            <w:gridSpan w:val="6"/>
            <w:shd w:val="clear" w:color="auto" w:fill="auto"/>
            <w:tcMar>
              <w:left w:w="57" w:type="dxa"/>
              <w:right w:w="57" w:type="dxa"/>
            </w:tcMar>
          </w:tcPr>
          <w:p w14:paraId="3DC09BA8" w14:textId="77777777" w:rsidR="003E5BF5" w:rsidRPr="00F163AE" w:rsidRDefault="003E5BF5" w:rsidP="00DE1921">
            <w:pPr>
              <w:pStyle w:val="TableTextCentre"/>
              <w:jc w:val="left"/>
              <w:rPr>
                <w:rFonts w:ascii="Arial" w:hAnsi="Arial" w:cs="Arial"/>
                <w:i/>
                <w:sz w:val="24"/>
                <w:szCs w:val="24"/>
              </w:rPr>
            </w:pPr>
            <w:r w:rsidRPr="00F163AE">
              <w:rPr>
                <w:rFonts w:ascii="Arial" w:hAnsi="Arial" w:cs="Arial"/>
                <w:i/>
                <w:sz w:val="24"/>
                <w:szCs w:val="24"/>
              </w:rPr>
              <w:t xml:space="preserve">Due to several challenges including issues relating to soil contamination. </w:t>
            </w:r>
          </w:p>
        </w:tc>
      </w:tr>
      <w:tr w:rsidR="003E5BF5" w:rsidRPr="00F163AE" w14:paraId="0F09F565" w14:textId="77777777" w:rsidTr="006151F9">
        <w:trPr>
          <w:trHeight w:val="340"/>
        </w:trPr>
        <w:tc>
          <w:tcPr>
            <w:tcW w:w="3456" w:type="dxa"/>
            <w:shd w:val="clear" w:color="auto" w:fill="auto"/>
            <w:tcMar>
              <w:left w:w="57" w:type="dxa"/>
              <w:right w:w="57" w:type="dxa"/>
            </w:tcMar>
            <w:vAlign w:val="center"/>
          </w:tcPr>
          <w:p w14:paraId="70713ED8" w14:textId="77777777" w:rsidR="003E5BF5" w:rsidRPr="00F163AE" w:rsidRDefault="003E5BF5" w:rsidP="00DE1921">
            <w:pPr>
              <w:pStyle w:val="TableTextLeftItalics"/>
              <w:rPr>
                <w:rFonts w:ascii="Arial" w:hAnsi="Arial" w:cs="Arial"/>
                <w:b/>
                <w:sz w:val="24"/>
                <w:szCs w:val="24"/>
              </w:rPr>
            </w:pPr>
            <w:r w:rsidRPr="00F163AE">
              <w:rPr>
                <w:rFonts w:ascii="Arial" w:hAnsi="Arial" w:cs="Arial"/>
                <w:b/>
                <w:sz w:val="24"/>
                <w:szCs w:val="24"/>
              </w:rPr>
              <w:t>Cost</w:t>
            </w:r>
          </w:p>
        </w:tc>
        <w:tc>
          <w:tcPr>
            <w:tcW w:w="1070" w:type="dxa"/>
            <w:shd w:val="clear" w:color="auto" w:fill="auto"/>
            <w:tcMar>
              <w:left w:w="57" w:type="dxa"/>
              <w:right w:w="57" w:type="dxa"/>
            </w:tcMar>
            <w:vAlign w:val="center"/>
          </w:tcPr>
          <w:p w14:paraId="4384E2F3"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5C034F21"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05FF9070" w14:textId="77777777" w:rsidR="003E5BF5" w:rsidRPr="00F163AE"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3854DE4C"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2AE0D9A2" w14:textId="77777777" w:rsidR="003E5BF5" w:rsidRPr="00F163AE" w:rsidRDefault="003E5BF5" w:rsidP="00DE1921">
            <w:pPr>
              <w:pStyle w:val="TableTextRight"/>
              <w:rPr>
                <w:rFonts w:ascii="Arial" w:hAnsi="Arial" w:cs="Arial"/>
                <w:sz w:val="24"/>
                <w:szCs w:val="24"/>
              </w:rPr>
            </w:pPr>
          </w:p>
        </w:tc>
      </w:tr>
      <w:tr w:rsidR="003E5BF5" w:rsidRPr="00F163AE" w14:paraId="2DD9FFFA" w14:textId="77777777" w:rsidTr="006151F9">
        <w:trPr>
          <w:trHeight w:val="340"/>
        </w:trPr>
        <w:tc>
          <w:tcPr>
            <w:tcW w:w="3456" w:type="dxa"/>
            <w:shd w:val="clear" w:color="auto" w:fill="auto"/>
            <w:tcMar>
              <w:left w:w="57" w:type="dxa"/>
              <w:right w:w="57" w:type="dxa"/>
            </w:tcMar>
            <w:vAlign w:val="center"/>
          </w:tcPr>
          <w:p w14:paraId="0C17D97E"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Total output cost</w:t>
            </w:r>
          </w:p>
        </w:tc>
        <w:tc>
          <w:tcPr>
            <w:tcW w:w="1070" w:type="dxa"/>
            <w:shd w:val="clear" w:color="auto" w:fill="auto"/>
            <w:tcMar>
              <w:left w:w="57" w:type="dxa"/>
              <w:right w:w="57" w:type="dxa"/>
            </w:tcMar>
            <w:vAlign w:val="center"/>
          </w:tcPr>
          <w:p w14:paraId="09FF7A4A"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 million</w:t>
            </w:r>
          </w:p>
        </w:tc>
        <w:tc>
          <w:tcPr>
            <w:tcW w:w="1070" w:type="dxa"/>
            <w:shd w:val="clear" w:color="auto" w:fill="auto"/>
            <w:tcMar>
              <w:left w:w="57" w:type="dxa"/>
              <w:right w:w="57" w:type="dxa"/>
            </w:tcMar>
            <w:vAlign w:val="center"/>
          </w:tcPr>
          <w:p w14:paraId="29030F3F"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597.6</w:t>
            </w:r>
          </w:p>
        </w:tc>
        <w:tc>
          <w:tcPr>
            <w:tcW w:w="1070" w:type="dxa"/>
            <w:shd w:val="clear" w:color="auto" w:fill="auto"/>
            <w:tcMar>
              <w:left w:w="57" w:type="dxa"/>
              <w:right w:w="57" w:type="dxa"/>
            </w:tcMar>
            <w:vAlign w:val="center"/>
          </w:tcPr>
          <w:p w14:paraId="756CBDB9"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431.3</w:t>
            </w:r>
          </w:p>
        </w:tc>
        <w:tc>
          <w:tcPr>
            <w:tcW w:w="1336" w:type="dxa"/>
            <w:shd w:val="clear" w:color="auto" w:fill="auto"/>
            <w:tcMar>
              <w:left w:w="57" w:type="dxa"/>
              <w:right w:w="57" w:type="dxa"/>
            </w:tcMar>
            <w:vAlign w:val="center"/>
          </w:tcPr>
          <w:p w14:paraId="67B75A3D"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38.6</w:t>
            </w:r>
          </w:p>
        </w:tc>
        <w:tc>
          <w:tcPr>
            <w:tcW w:w="1070" w:type="dxa"/>
            <w:shd w:val="clear" w:color="auto" w:fill="auto"/>
            <w:tcMar>
              <w:left w:w="57" w:type="dxa"/>
              <w:right w:w="57" w:type="dxa"/>
            </w:tcMar>
            <w:vAlign w:val="center"/>
          </w:tcPr>
          <w:p w14:paraId="000DD611"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6E"/>
            </w:r>
          </w:p>
        </w:tc>
      </w:tr>
      <w:tr w:rsidR="003E5BF5" w:rsidRPr="00F163AE" w14:paraId="2360E03F" w14:textId="77777777" w:rsidTr="006151F9">
        <w:tc>
          <w:tcPr>
            <w:tcW w:w="9072" w:type="dxa"/>
            <w:gridSpan w:val="6"/>
            <w:shd w:val="clear" w:color="auto" w:fill="auto"/>
            <w:tcMar>
              <w:left w:w="57" w:type="dxa"/>
              <w:right w:w="57" w:type="dxa"/>
            </w:tcMar>
          </w:tcPr>
          <w:p w14:paraId="1F3DDD56" w14:textId="77777777" w:rsidR="003E5BF5" w:rsidRPr="00F163AE" w:rsidRDefault="003E5BF5" w:rsidP="00DE1921">
            <w:pPr>
              <w:pStyle w:val="TableTextLeftItalics"/>
              <w:rPr>
                <w:rFonts w:ascii="Arial" w:hAnsi="Arial" w:cs="Arial"/>
                <w:sz w:val="24"/>
                <w:szCs w:val="24"/>
              </w:rPr>
            </w:pPr>
            <w:r w:rsidRPr="00F163AE">
              <w:rPr>
                <w:rFonts w:ascii="Arial" w:hAnsi="Arial" w:cs="Arial"/>
                <w:sz w:val="24"/>
                <w:szCs w:val="24"/>
              </w:rPr>
              <w:lastRenderedPageBreak/>
              <w:t>The 2019-20 result is higher than the budget due to funding releases for initiatives, including North East Link, Airport Rail Link, M80 Ring Road Upgrades and Rail Infrastructure Upgrades.</w:t>
            </w:r>
          </w:p>
        </w:tc>
      </w:tr>
    </w:tbl>
    <w:p w14:paraId="5687869C" w14:textId="77777777" w:rsidR="003E5BF5" w:rsidRPr="00F163AE" w:rsidRDefault="003E5BF5" w:rsidP="00DE1921">
      <w:pPr>
        <w:pStyle w:val="Note"/>
        <w:rPr>
          <w:rFonts w:ascii="Arial" w:hAnsi="Arial" w:cs="Arial"/>
          <w:sz w:val="24"/>
          <w:szCs w:val="24"/>
        </w:rPr>
      </w:pPr>
      <w:r w:rsidRPr="00F163AE">
        <w:rPr>
          <w:rFonts w:ascii="Arial" w:hAnsi="Arial" w:cs="Arial"/>
          <w:sz w:val="24"/>
          <w:szCs w:val="24"/>
        </w:rPr>
        <w:t>Notes:</w:t>
      </w:r>
    </w:p>
    <w:p w14:paraId="2843F194" w14:textId="77777777" w:rsidR="003E5BF5" w:rsidRPr="00F163AE" w:rsidRDefault="003E5BF5" w:rsidP="00DE1921">
      <w:pPr>
        <w:pStyle w:val="Notenumber123"/>
        <w:numPr>
          <w:ilvl w:val="0"/>
          <w:numId w:val="0"/>
        </w:numPr>
        <w:ind w:left="113"/>
        <w:rPr>
          <w:rFonts w:ascii="Arial" w:hAnsi="Arial" w:cs="Arial"/>
          <w:sz w:val="24"/>
          <w:szCs w:val="24"/>
        </w:rPr>
      </w:pPr>
      <w:r w:rsidRPr="00F163AE">
        <w:rPr>
          <w:rFonts w:ascii="Arial" w:hAnsi="Arial" w:cs="Arial"/>
          <w:sz w:val="24"/>
          <w:szCs w:val="24"/>
        </w:rPr>
        <w:sym w:font="Wingdings 2" w:char="F050"/>
      </w:r>
      <w:r w:rsidRPr="00F163AE">
        <w:rPr>
          <w:rFonts w:ascii="Arial" w:hAnsi="Arial" w:cs="Arial"/>
          <w:sz w:val="24"/>
          <w:szCs w:val="24"/>
        </w:rPr>
        <w:t xml:space="preserve"> Performance target achieved or exceeded</w:t>
      </w:r>
    </w:p>
    <w:p w14:paraId="51978B9D" w14:textId="77777777" w:rsidR="003E5BF5" w:rsidRPr="00F163AE" w:rsidRDefault="003E5BF5" w:rsidP="00DE1921">
      <w:pPr>
        <w:pStyle w:val="Notenumber123"/>
        <w:numPr>
          <w:ilvl w:val="0"/>
          <w:numId w:val="0"/>
        </w:numPr>
        <w:ind w:left="340" w:hanging="227"/>
        <w:rPr>
          <w:rFonts w:ascii="Arial" w:hAnsi="Arial" w:cs="Arial"/>
          <w:sz w:val="24"/>
          <w:szCs w:val="24"/>
        </w:rPr>
      </w:pPr>
      <w:r w:rsidRPr="00F163AE">
        <w:rPr>
          <w:rFonts w:ascii="Arial" w:hAnsi="Arial" w:cs="Arial"/>
          <w:sz w:val="24"/>
          <w:szCs w:val="24"/>
        </w:rPr>
        <w:sym w:font="Wingdings 2" w:char="F0A1"/>
      </w:r>
      <w:r w:rsidRPr="00F163AE">
        <w:rPr>
          <w:rFonts w:ascii="Arial" w:hAnsi="Arial" w:cs="Arial"/>
          <w:sz w:val="24"/>
          <w:szCs w:val="24"/>
        </w:rPr>
        <w:t xml:space="preserve"> Performance target not achieved – exceeds 5 per cent or $50 million (cost measure only) variance</w:t>
      </w:r>
    </w:p>
    <w:p w14:paraId="043206B3" w14:textId="77777777" w:rsidR="003E5BF5" w:rsidRDefault="003E5BF5" w:rsidP="00DE1921"/>
    <w:p w14:paraId="0E37A24D" w14:textId="77777777" w:rsidR="003E5BF5" w:rsidRPr="009D10C6" w:rsidRDefault="003E5BF5" w:rsidP="00DE1921">
      <w:pPr>
        <w:sectPr w:rsidR="003E5BF5" w:rsidRPr="009D10C6" w:rsidSect="00DE1921">
          <w:pgSz w:w="11906" w:h="16838"/>
          <w:pgMar w:top="1701" w:right="1418" w:bottom="1418" w:left="1418" w:header="709" w:footer="709" w:gutter="0"/>
          <w:cols w:space="284"/>
          <w:docGrid w:linePitch="360"/>
        </w:sectPr>
      </w:pPr>
    </w:p>
    <w:p w14:paraId="075A09F7" w14:textId="77777777" w:rsidR="003E5BF5" w:rsidRPr="008E0BD6" w:rsidRDefault="003E5BF5" w:rsidP="008A0170">
      <w:pPr>
        <w:pStyle w:val="Heading2"/>
      </w:pPr>
      <w:r w:rsidRPr="008E0BD6">
        <w:lastRenderedPageBreak/>
        <w:t xml:space="preserve">Objective </w:t>
      </w:r>
      <w:r>
        <w:t>4</w:t>
      </w:r>
    </w:p>
    <w:p w14:paraId="243CFFBB" w14:textId="77777777" w:rsidR="003E5BF5" w:rsidRPr="008E0BD6" w:rsidRDefault="003E5BF5" w:rsidP="00EF5131">
      <w:pPr>
        <w:pStyle w:val="Heading5"/>
      </w:pPr>
      <w:r w:rsidRPr="008E0BD6">
        <w:t>Sustainably managed fish resources.</w:t>
      </w:r>
    </w:p>
    <w:p w14:paraId="532B68D9" w14:textId="77777777" w:rsidR="003E5BF5" w:rsidRPr="00BE4A1B" w:rsidRDefault="003E5BF5" w:rsidP="00091232">
      <w:pPr>
        <w:pStyle w:val="aaatyping"/>
      </w:pPr>
      <w:r>
        <w:t xml:space="preserve">The department supports the development of sustainable fishing and aquaculture activities in Victoria and promotion of responsible fishing and fishing-related activities to deliver positive outcomes that provide benefits to all Victorians. </w:t>
      </w:r>
    </w:p>
    <w:p w14:paraId="43622459" w14:textId="77777777" w:rsidR="003E5BF5" w:rsidRPr="008E0BD6" w:rsidRDefault="003E5BF5" w:rsidP="00EF5131">
      <w:pPr>
        <w:pStyle w:val="Heading5"/>
      </w:pPr>
      <w:r w:rsidRPr="008E0BD6">
        <w:t>Sustainable Manage Fish Resources</w:t>
      </w:r>
    </w:p>
    <w:p w14:paraId="27194A2B" w14:textId="77777777" w:rsidR="003E5BF5" w:rsidRDefault="003E5BF5" w:rsidP="00091232">
      <w:pPr>
        <w:pStyle w:val="aaatyping"/>
      </w:pPr>
      <w:r w:rsidRPr="00BE4A1B">
        <w:t xml:space="preserve">The output makes a significant contribution to the achievement of the departmental objective </w:t>
      </w:r>
      <w:r>
        <w:t>through commercial and recreational licensing and quota management, administration of recreational fishing grants and on-ground delivery of fishing-related election commitments</w:t>
      </w:r>
      <w:r w:rsidRPr="00BE4A1B">
        <w:t>.</w:t>
      </w:r>
    </w:p>
    <w:p w14:paraId="103F1350" w14:textId="77777777" w:rsidR="003E5BF5" w:rsidRPr="00F163AE" w:rsidRDefault="003E5BF5" w:rsidP="00CF74EB">
      <w:pPr>
        <w:pStyle w:val="TableHeader"/>
      </w:pPr>
      <w:r w:rsidRPr="00F163AE">
        <w:t>Sustainably Manage Fish Resources</w:t>
      </w:r>
    </w:p>
    <w:tbl>
      <w:tblPr>
        <w:tblStyle w:val="TableGrid"/>
        <w:tblW w:w="9072" w:type="dxa"/>
        <w:tblCellMar>
          <w:left w:w="28" w:type="dxa"/>
          <w:right w:w="28" w:type="dxa"/>
        </w:tblCellMar>
        <w:tblLook w:val="04A0" w:firstRow="1" w:lastRow="0" w:firstColumn="1" w:lastColumn="0" w:noHBand="0" w:noVBand="1"/>
      </w:tblPr>
      <w:tblGrid>
        <w:gridCol w:w="3261"/>
        <w:gridCol w:w="1102"/>
        <w:gridCol w:w="1042"/>
        <w:gridCol w:w="1039"/>
        <w:gridCol w:w="1582"/>
        <w:gridCol w:w="1046"/>
      </w:tblGrid>
      <w:tr w:rsidR="003E5BF5" w:rsidRPr="00F163AE" w14:paraId="7AC793EB" w14:textId="77777777" w:rsidTr="008D316C">
        <w:trPr>
          <w:trHeight w:val="340"/>
          <w:tblHeader/>
        </w:trPr>
        <w:tc>
          <w:tcPr>
            <w:tcW w:w="3456" w:type="dxa"/>
            <w:shd w:val="clear" w:color="auto" w:fill="auto"/>
            <w:tcMar>
              <w:left w:w="57" w:type="dxa"/>
              <w:right w:w="57" w:type="dxa"/>
            </w:tcMar>
          </w:tcPr>
          <w:p w14:paraId="5ED4A6AC" w14:textId="77777777" w:rsidR="003E5BF5" w:rsidRPr="00F163AE" w:rsidRDefault="003E5BF5" w:rsidP="00DE1921">
            <w:pPr>
              <w:pStyle w:val="TableTextLeftBold"/>
              <w:rPr>
                <w:rFonts w:ascii="Arial" w:hAnsi="Arial" w:cs="Arial"/>
                <w:sz w:val="24"/>
                <w:szCs w:val="24"/>
              </w:rPr>
            </w:pPr>
            <w:r w:rsidRPr="00F163AE">
              <w:rPr>
                <w:rFonts w:ascii="Arial" w:hAnsi="Arial" w:cs="Arial"/>
                <w:sz w:val="24"/>
                <w:szCs w:val="24"/>
              </w:rPr>
              <w:t>Performance measures</w:t>
            </w:r>
          </w:p>
        </w:tc>
        <w:tc>
          <w:tcPr>
            <w:tcW w:w="1070" w:type="dxa"/>
            <w:shd w:val="clear" w:color="auto" w:fill="auto"/>
            <w:tcMar>
              <w:left w:w="57" w:type="dxa"/>
              <w:right w:w="57" w:type="dxa"/>
            </w:tcMar>
          </w:tcPr>
          <w:p w14:paraId="1F0B00AF"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unit of measure</w:t>
            </w:r>
          </w:p>
        </w:tc>
        <w:tc>
          <w:tcPr>
            <w:tcW w:w="1070" w:type="dxa"/>
            <w:shd w:val="clear" w:color="auto" w:fill="auto"/>
            <w:tcMar>
              <w:left w:w="57" w:type="dxa"/>
              <w:right w:w="57" w:type="dxa"/>
            </w:tcMar>
          </w:tcPr>
          <w:p w14:paraId="0425F825"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2019-20 actual</w:t>
            </w:r>
          </w:p>
        </w:tc>
        <w:tc>
          <w:tcPr>
            <w:tcW w:w="1070" w:type="dxa"/>
            <w:shd w:val="clear" w:color="auto" w:fill="auto"/>
            <w:tcMar>
              <w:left w:w="57" w:type="dxa"/>
              <w:right w:w="57" w:type="dxa"/>
            </w:tcMar>
          </w:tcPr>
          <w:p w14:paraId="3FAD4A41"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2019-20 target</w:t>
            </w:r>
          </w:p>
        </w:tc>
        <w:tc>
          <w:tcPr>
            <w:tcW w:w="1336" w:type="dxa"/>
            <w:shd w:val="clear" w:color="auto" w:fill="auto"/>
            <w:tcMar>
              <w:left w:w="57" w:type="dxa"/>
              <w:right w:w="57" w:type="dxa"/>
            </w:tcMar>
          </w:tcPr>
          <w:p w14:paraId="76067CE5"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Performance variation (%)</w:t>
            </w:r>
          </w:p>
        </w:tc>
        <w:tc>
          <w:tcPr>
            <w:tcW w:w="1070" w:type="dxa"/>
            <w:shd w:val="clear" w:color="auto" w:fill="auto"/>
            <w:tcMar>
              <w:left w:w="57" w:type="dxa"/>
              <w:right w:w="57" w:type="dxa"/>
            </w:tcMar>
          </w:tcPr>
          <w:p w14:paraId="71F262DC"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Result</w:t>
            </w:r>
          </w:p>
        </w:tc>
      </w:tr>
      <w:tr w:rsidR="003E5BF5" w:rsidRPr="00F163AE" w14:paraId="7F5A433E" w14:textId="77777777" w:rsidTr="008D316C">
        <w:trPr>
          <w:trHeight w:val="340"/>
        </w:trPr>
        <w:tc>
          <w:tcPr>
            <w:tcW w:w="3456" w:type="dxa"/>
            <w:shd w:val="clear" w:color="auto" w:fill="auto"/>
            <w:tcMar>
              <w:left w:w="57" w:type="dxa"/>
              <w:right w:w="57" w:type="dxa"/>
            </w:tcMar>
            <w:vAlign w:val="center"/>
          </w:tcPr>
          <w:p w14:paraId="5582A444" w14:textId="77777777" w:rsidR="003E5BF5" w:rsidRPr="00F163AE" w:rsidRDefault="003E5BF5" w:rsidP="00DE1921">
            <w:pPr>
              <w:pStyle w:val="TableTextLeftItalics"/>
              <w:rPr>
                <w:rFonts w:ascii="Arial" w:hAnsi="Arial" w:cs="Arial"/>
                <w:b/>
                <w:sz w:val="24"/>
                <w:szCs w:val="24"/>
              </w:rPr>
            </w:pPr>
            <w:r w:rsidRPr="00F163AE">
              <w:rPr>
                <w:rFonts w:ascii="Arial" w:hAnsi="Arial" w:cs="Arial"/>
                <w:b/>
                <w:sz w:val="24"/>
                <w:szCs w:val="24"/>
              </w:rPr>
              <w:t>Quantity</w:t>
            </w:r>
          </w:p>
        </w:tc>
        <w:tc>
          <w:tcPr>
            <w:tcW w:w="1070" w:type="dxa"/>
            <w:shd w:val="clear" w:color="auto" w:fill="auto"/>
            <w:tcMar>
              <w:left w:w="57" w:type="dxa"/>
              <w:right w:w="57" w:type="dxa"/>
            </w:tcMar>
            <w:vAlign w:val="center"/>
          </w:tcPr>
          <w:p w14:paraId="0FE4B553"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540CE4DA"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0DB465C7" w14:textId="77777777" w:rsidR="003E5BF5" w:rsidRPr="00F163AE"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5CB129F4"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13A36B5B" w14:textId="77777777" w:rsidR="003E5BF5" w:rsidRPr="00F163AE" w:rsidRDefault="003E5BF5" w:rsidP="00DE1921">
            <w:pPr>
              <w:pStyle w:val="TableTextRight"/>
              <w:rPr>
                <w:rFonts w:ascii="Arial" w:hAnsi="Arial" w:cs="Arial"/>
                <w:sz w:val="24"/>
                <w:szCs w:val="24"/>
              </w:rPr>
            </w:pPr>
          </w:p>
        </w:tc>
      </w:tr>
      <w:tr w:rsidR="003E5BF5" w:rsidRPr="00F163AE" w14:paraId="48F6B88E" w14:textId="77777777" w:rsidTr="008D316C">
        <w:trPr>
          <w:trHeight w:val="340"/>
        </w:trPr>
        <w:tc>
          <w:tcPr>
            <w:tcW w:w="3456" w:type="dxa"/>
            <w:shd w:val="clear" w:color="auto" w:fill="auto"/>
            <w:tcMar>
              <w:left w:w="57" w:type="dxa"/>
              <w:right w:w="57" w:type="dxa"/>
            </w:tcMar>
          </w:tcPr>
          <w:p w14:paraId="44D2A2C6"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Community and stakeholder engagement information forums - Fisheries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5FBB6C81"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w:t>
            </w:r>
            <w:r w:rsidRPr="00F163AE">
              <w:rPr>
                <w:rFonts w:ascii="Arial" w:hAnsi="Arial" w:cs="Arial"/>
                <w:sz w:val="24"/>
                <w:szCs w:val="24"/>
              </w:rPr>
              <w:fldChar w:fldCharType="end"/>
            </w:r>
          </w:p>
        </w:tc>
        <w:tc>
          <w:tcPr>
            <w:tcW w:w="1070" w:type="dxa"/>
            <w:shd w:val="clear" w:color="auto" w:fill="auto"/>
            <w:tcMar>
              <w:left w:w="57" w:type="dxa"/>
              <w:right w:w="57" w:type="dxa"/>
            </w:tcMar>
          </w:tcPr>
          <w:p w14:paraId="343E8441"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10</w:t>
            </w:r>
            <w:r w:rsidRPr="00F163AE">
              <w:rPr>
                <w:rFonts w:ascii="Arial" w:hAnsi="Arial" w:cs="Arial"/>
                <w:sz w:val="24"/>
                <w:szCs w:val="24"/>
              </w:rPr>
              <w:fldChar w:fldCharType="end"/>
            </w:r>
          </w:p>
        </w:tc>
        <w:tc>
          <w:tcPr>
            <w:tcW w:w="1070" w:type="dxa"/>
            <w:shd w:val="clear" w:color="auto" w:fill="auto"/>
            <w:tcMar>
              <w:left w:w="57" w:type="dxa"/>
              <w:right w:w="57" w:type="dxa"/>
            </w:tcMar>
          </w:tcPr>
          <w:p w14:paraId="5D6480F6"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10</w:t>
            </w:r>
            <w:r w:rsidRPr="00F163AE">
              <w:rPr>
                <w:rFonts w:ascii="Arial" w:hAnsi="Arial" w:cs="Arial"/>
                <w:sz w:val="24"/>
                <w:szCs w:val="24"/>
              </w:rPr>
              <w:fldChar w:fldCharType="end"/>
            </w:r>
          </w:p>
        </w:tc>
        <w:tc>
          <w:tcPr>
            <w:tcW w:w="1336" w:type="dxa"/>
            <w:shd w:val="clear" w:color="auto" w:fill="auto"/>
            <w:tcMar>
              <w:left w:w="57" w:type="dxa"/>
              <w:right w:w="57" w:type="dxa"/>
            </w:tcMar>
          </w:tcPr>
          <w:p w14:paraId="73B444EA"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65C4C642"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2F1A998E" w14:textId="77777777" w:rsidTr="008D316C">
        <w:trPr>
          <w:trHeight w:val="340"/>
        </w:trPr>
        <w:tc>
          <w:tcPr>
            <w:tcW w:w="3456" w:type="dxa"/>
            <w:shd w:val="clear" w:color="auto" w:fill="auto"/>
            <w:tcMar>
              <w:left w:w="57" w:type="dxa"/>
              <w:right w:w="57" w:type="dxa"/>
            </w:tcMar>
          </w:tcPr>
          <w:p w14:paraId="3C12EC9D"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Complete stock assessment for key quota managed fish species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3D0C126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w:t>
            </w:r>
            <w:r w:rsidRPr="00F163AE">
              <w:rPr>
                <w:rFonts w:ascii="Arial" w:hAnsi="Arial" w:cs="Arial"/>
                <w:sz w:val="24"/>
                <w:szCs w:val="24"/>
              </w:rPr>
              <w:fldChar w:fldCharType="end"/>
            </w:r>
          </w:p>
        </w:tc>
        <w:tc>
          <w:tcPr>
            <w:tcW w:w="1070" w:type="dxa"/>
            <w:shd w:val="clear" w:color="auto" w:fill="auto"/>
            <w:tcMar>
              <w:left w:w="57" w:type="dxa"/>
              <w:right w:w="57" w:type="dxa"/>
            </w:tcMar>
          </w:tcPr>
          <w:p w14:paraId="132A2128"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3</w:t>
            </w:r>
            <w:r w:rsidRPr="00F163AE">
              <w:rPr>
                <w:rFonts w:ascii="Arial" w:hAnsi="Arial" w:cs="Arial"/>
                <w:sz w:val="24"/>
                <w:szCs w:val="24"/>
              </w:rPr>
              <w:fldChar w:fldCharType="end"/>
            </w:r>
          </w:p>
        </w:tc>
        <w:tc>
          <w:tcPr>
            <w:tcW w:w="1070" w:type="dxa"/>
            <w:shd w:val="clear" w:color="auto" w:fill="auto"/>
            <w:tcMar>
              <w:left w:w="57" w:type="dxa"/>
              <w:right w:w="57" w:type="dxa"/>
            </w:tcMar>
          </w:tcPr>
          <w:p w14:paraId="5246B00E"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3</w:t>
            </w:r>
            <w:r w:rsidRPr="00F163AE">
              <w:rPr>
                <w:rFonts w:ascii="Arial" w:hAnsi="Arial" w:cs="Arial"/>
                <w:sz w:val="24"/>
                <w:szCs w:val="24"/>
              </w:rPr>
              <w:fldChar w:fldCharType="end"/>
            </w:r>
          </w:p>
        </w:tc>
        <w:tc>
          <w:tcPr>
            <w:tcW w:w="1336" w:type="dxa"/>
            <w:shd w:val="clear" w:color="auto" w:fill="auto"/>
            <w:tcMar>
              <w:left w:w="57" w:type="dxa"/>
              <w:right w:w="57" w:type="dxa"/>
            </w:tcMar>
          </w:tcPr>
          <w:p w14:paraId="7CDCEF96"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42E039EA"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7ACE83AA" w14:textId="77777777" w:rsidTr="008D316C">
        <w:trPr>
          <w:trHeight w:val="340"/>
        </w:trPr>
        <w:tc>
          <w:tcPr>
            <w:tcW w:w="3456" w:type="dxa"/>
            <w:shd w:val="clear" w:color="auto" w:fill="auto"/>
            <w:tcMar>
              <w:left w:w="57" w:type="dxa"/>
              <w:right w:w="57" w:type="dxa"/>
            </w:tcMar>
          </w:tcPr>
          <w:p w14:paraId="2A81A45E"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Complete total allowable commercial catch setting processes for key quota managed fish species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4A8B8470"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w:t>
            </w:r>
            <w:r w:rsidRPr="00F163AE">
              <w:rPr>
                <w:rFonts w:ascii="Arial" w:hAnsi="Arial" w:cs="Arial"/>
                <w:sz w:val="24"/>
                <w:szCs w:val="24"/>
              </w:rPr>
              <w:fldChar w:fldCharType="end"/>
            </w:r>
          </w:p>
        </w:tc>
        <w:tc>
          <w:tcPr>
            <w:tcW w:w="1070" w:type="dxa"/>
            <w:shd w:val="clear" w:color="auto" w:fill="auto"/>
            <w:tcMar>
              <w:left w:w="57" w:type="dxa"/>
              <w:right w:w="57" w:type="dxa"/>
            </w:tcMar>
          </w:tcPr>
          <w:p w14:paraId="656491CE"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3</w:t>
            </w:r>
            <w:r w:rsidRPr="00F163AE">
              <w:rPr>
                <w:rFonts w:ascii="Arial" w:hAnsi="Arial" w:cs="Arial"/>
                <w:sz w:val="24"/>
                <w:szCs w:val="24"/>
              </w:rPr>
              <w:fldChar w:fldCharType="end"/>
            </w:r>
          </w:p>
        </w:tc>
        <w:tc>
          <w:tcPr>
            <w:tcW w:w="1070" w:type="dxa"/>
            <w:shd w:val="clear" w:color="auto" w:fill="auto"/>
            <w:tcMar>
              <w:left w:w="57" w:type="dxa"/>
              <w:right w:w="57" w:type="dxa"/>
            </w:tcMar>
          </w:tcPr>
          <w:p w14:paraId="5E3A72DC"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3</w:t>
            </w:r>
            <w:r w:rsidRPr="00F163AE">
              <w:rPr>
                <w:rFonts w:ascii="Arial" w:hAnsi="Arial" w:cs="Arial"/>
                <w:sz w:val="24"/>
                <w:szCs w:val="24"/>
              </w:rPr>
              <w:fldChar w:fldCharType="end"/>
            </w:r>
          </w:p>
        </w:tc>
        <w:tc>
          <w:tcPr>
            <w:tcW w:w="1336" w:type="dxa"/>
            <w:shd w:val="clear" w:color="auto" w:fill="auto"/>
            <w:tcMar>
              <w:left w:w="57" w:type="dxa"/>
              <w:right w:w="57" w:type="dxa"/>
            </w:tcMar>
          </w:tcPr>
          <w:p w14:paraId="035558C3"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7C3AE776"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4B7CD96E" w14:textId="77777777" w:rsidTr="008D316C">
        <w:trPr>
          <w:trHeight w:val="340"/>
        </w:trPr>
        <w:tc>
          <w:tcPr>
            <w:tcW w:w="3456" w:type="dxa"/>
            <w:shd w:val="clear" w:color="auto" w:fill="auto"/>
            <w:tcMar>
              <w:left w:w="57" w:type="dxa"/>
              <w:right w:w="57" w:type="dxa"/>
            </w:tcMar>
          </w:tcPr>
          <w:p w14:paraId="5F9E13F5"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Develop, implement and review overarching fisheries compliance strategy</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4E7079F1"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w:t>
            </w:r>
            <w:r w:rsidRPr="00F163AE">
              <w:rPr>
                <w:rFonts w:ascii="Arial" w:hAnsi="Arial" w:cs="Arial"/>
                <w:sz w:val="24"/>
                <w:szCs w:val="24"/>
              </w:rPr>
              <w:fldChar w:fldCharType="end"/>
            </w:r>
          </w:p>
        </w:tc>
        <w:tc>
          <w:tcPr>
            <w:tcW w:w="1070" w:type="dxa"/>
            <w:shd w:val="clear" w:color="auto" w:fill="auto"/>
            <w:tcMar>
              <w:left w:w="57" w:type="dxa"/>
              <w:right w:w="57" w:type="dxa"/>
            </w:tcMar>
          </w:tcPr>
          <w:p w14:paraId="4C02E785"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1</w:t>
            </w:r>
            <w:r w:rsidRPr="00F163AE">
              <w:rPr>
                <w:rFonts w:ascii="Arial" w:hAnsi="Arial" w:cs="Arial"/>
                <w:sz w:val="24"/>
                <w:szCs w:val="24"/>
              </w:rPr>
              <w:fldChar w:fldCharType="end"/>
            </w:r>
          </w:p>
        </w:tc>
        <w:tc>
          <w:tcPr>
            <w:tcW w:w="1070" w:type="dxa"/>
            <w:shd w:val="clear" w:color="auto" w:fill="auto"/>
            <w:tcMar>
              <w:left w:w="57" w:type="dxa"/>
              <w:right w:w="57" w:type="dxa"/>
            </w:tcMar>
          </w:tcPr>
          <w:p w14:paraId="2678B268"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1</w:t>
            </w:r>
            <w:r w:rsidRPr="00F163AE">
              <w:rPr>
                <w:rFonts w:ascii="Arial" w:hAnsi="Arial" w:cs="Arial"/>
                <w:sz w:val="24"/>
                <w:szCs w:val="24"/>
              </w:rPr>
              <w:fldChar w:fldCharType="end"/>
            </w:r>
          </w:p>
        </w:tc>
        <w:tc>
          <w:tcPr>
            <w:tcW w:w="1336" w:type="dxa"/>
            <w:shd w:val="clear" w:color="auto" w:fill="auto"/>
            <w:tcMar>
              <w:left w:w="57" w:type="dxa"/>
              <w:right w:w="57" w:type="dxa"/>
            </w:tcMar>
          </w:tcPr>
          <w:p w14:paraId="7F61187E"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4AF59C60"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7101F12D" w14:textId="77777777" w:rsidTr="008D316C">
        <w:trPr>
          <w:trHeight w:val="340"/>
        </w:trPr>
        <w:tc>
          <w:tcPr>
            <w:tcW w:w="3456" w:type="dxa"/>
            <w:shd w:val="clear" w:color="auto" w:fill="auto"/>
            <w:tcMar>
              <w:left w:w="57" w:type="dxa"/>
              <w:right w:w="57" w:type="dxa"/>
            </w:tcMar>
          </w:tcPr>
          <w:p w14:paraId="0FAE208A"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Enhance levels of community participation in achieving fisheries compliance through calls to the 13FISH reporting line</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2622FDDD"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w:t>
            </w:r>
            <w:r w:rsidRPr="00F163AE">
              <w:rPr>
                <w:rFonts w:ascii="Arial" w:hAnsi="Arial" w:cs="Arial"/>
                <w:sz w:val="24"/>
                <w:szCs w:val="24"/>
              </w:rPr>
              <w:fldChar w:fldCharType="end"/>
            </w:r>
          </w:p>
        </w:tc>
        <w:tc>
          <w:tcPr>
            <w:tcW w:w="1070" w:type="dxa"/>
            <w:shd w:val="clear" w:color="auto" w:fill="auto"/>
            <w:tcMar>
              <w:left w:w="57" w:type="dxa"/>
              <w:right w:w="57" w:type="dxa"/>
            </w:tcMar>
          </w:tcPr>
          <w:p w14:paraId="2771D5D0"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2,050</w:t>
            </w:r>
            <w:r w:rsidRPr="00F163AE">
              <w:rPr>
                <w:rFonts w:ascii="Arial" w:hAnsi="Arial" w:cs="Arial"/>
                <w:sz w:val="24"/>
                <w:szCs w:val="24"/>
              </w:rPr>
              <w:fldChar w:fldCharType="end"/>
            </w:r>
          </w:p>
        </w:tc>
        <w:tc>
          <w:tcPr>
            <w:tcW w:w="1070" w:type="dxa"/>
            <w:shd w:val="clear" w:color="auto" w:fill="auto"/>
            <w:tcMar>
              <w:left w:w="57" w:type="dxa"/>
              <w:right w:w="57" w:type="dxa"/>
            </w:tcMar>
          </w:tcPr>
          <w:p w14:paraId="55244DD3"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1,750</w:t>
            </w:r>
            <w:r w:rsidRPr="00F163AE">
              <w:rPr>
                <w:rFonts w:ascii="Arial" w:hAnsi="Arial" w:cs="Arial"/>
                <w:sz w:val="24"/>
                <w:szCs w:val="24"/>
              </w:rPr>
              <w:fldChar w:fldCharType="end"/>
            </w:r>
          </w:p>
        </w:tc>
        <w:tc>
          <w:tcPr>
            <w:tcW w:w="1336" w:type="dxa"/>
            <w:shd w:val="clear" w:color="auto" w:fill="auto"/>
            <w:tcMar>
              <w:left w:w="57" w:type="dxa"/>
              <w:right w:w="57" w:type="dxa"/>
            </w:tcMar>
          </w:tcPr>
          <w:p w14:paraId="6CCA798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17.1</w:t>
            </w:r>
            <w:r w:rsidRPr="00F163AE">
              <w:rPr>
                <w:rFonts w:ascii="Arial" w:hAnsi="Arial" w:cs="Arial"/>
                <w:sz w:val="24"/>
                <w:szCs w:val="24"/>
              </w:rPr>
              <w:fldChar w:fldCharType="end"/>
            </w:r>
          </w:p>
        </w:tc>
        <w:tc>
          <w:tcPr>
            <w:tcW w:w="1070" w:type="dxa"/>
            <w:shd w:val="clear" w:color="auto" w:fill="auto"/>
            <w:tcMar>
              <w:left w:w="57" w:type="dxa"/>
              <w:right w:w="57" w:type="dxa"/>
            </w:tcMar>
          </w:tcPr>
          <w:p w14:paraId="2EA4529C"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578516F0" w14:textId="77777777" w:rsidTr="008D316C">
        <w:tc>
          <w:tcPr>
            <w:tcW w:w="9072" w:type="dxa"/>
            <w:gridSpan w:val="6"/>
            <w:shd w:val="clear" w:color="auto" w:fill="auto"/>
            <w:tcMar>
              <w:left w:w="57" w:type="dxa"/>
              <w:right w:w="57" w:type="dxa"/>
            </w:tcMar>
          </w:tcPr>
          <w:p w14:paraId="728E48A0" w14:textId="77777777" w:rsidR="003E5BF5" w:rsidRPr="00F163AE" w:rsidRDefault="003E5BF5" w:rsidP="00DE1921">
            <w:pPr>
              <w:pStyle w:val="TableTextCentre"/>
              <w:spacing w:before="40"/>
              <w:jc w:val="left"/>
              <w:rPr>
                <w:rFonts w:ascii="Arial" w:hAnsi="Arial" w:cs="Arial"/>
                <w:i/>
                <w:sz w:val="24"/>
                <w:szCs w:val="24"/>
              </w:rPr>
            </w:pPr>
            <w:r w:rsidRPr="00F163AE">
              <w:rPr>
                <w:rFonts w:ascii="Arial" w:hAnsi="Arial" w:cs="Arial"/>
                <w:i/>
                <w:sz w:val="24"/>
                <w:szCs w:val="24"/>
              </w:rPr>
              <w:fldChar w:fldCharType="begin"/>
            </w:r>
            <w:r w:rsidRPr="00F163AE">
              <w:rPr>
                <w:rFonts w:ascii="Arial" w:hAnsi="Arial" w:cs="Arial"/>
                <w:i/>
                <w:sz w:val="24"/>
                <w:szCs w:val="24"/>
              </w:rPr>
              <w:instrText xml:space="preserve"> MERGEFIELD "M_26" </w:instrText>
            </w:r>
            <w:r w:rsidRPr="00F163AE">
              <w:rPr>
                <w:rFonts w:ascii="Arial" w:hAnsi="Arial" w:cs="Arial"/>
                <w:i/>
                <w:sz w:val="24"/>
                <w:szCs w:val="24"/>
              </w:rPr>
              <w:fldChar w:fldCharType="separate"/>
            </w:r>
            <w:r w:rsidRPr="00F163AE">
              <w:rPr>
                <w:rFonts w:ascii="Arial" w:hAnsi="Arial" w:cs="Arial"/>
                <w:i/>
                <w:sz w:val="24"/>
                <w:szCs w:val="24"/>
              </w:rPr>
              <w:t xml:space="preserve">Due to an increase in the Victorian Fisheries Authority’s social media presence promoting the 13FISH reporting line, a higher number of people recreationally fishing and a high call volume reporting people fishing during the coronavirus (COVID-19) </w:t>
            </w:r>
            <w:r w:rsidRPr="00F163AE">
              <w:rPr>
                <w:rFonts w:ascii="Arial" w:hAnsi="Arial" w:cs="Arial"/>
                <w:i/>
                <w:sz w:val="24"/>
                <w:szCs w:val="24"/>
              </w:rPr>
              <w:fldChar w:fldCharType="end"/>
            </w:r>
            <w:r w:rsidRPr="00F163AE">
              <w:rPr>
                <w:rFonts w:ascii="Arial" w:hAnsi="Arial" w:cs="Arial"/>
                <w:i/>
                <w:sz w:val="24"/>
                <w:szCs w:val="24"/>
              </w:rPr>
              <w:t xml:space="preserve">coastal closures. </w:t>
            </w:r>
          </w:p>
        </w:tc>
      </w:tr>
      <w:tr w:rsidR="003E5BF5" w:rsidRPr="00F163AE" w14:paraId="2539FE24" w14:textId="77777777" w:rsidTr="008D316C">
        <w:trPr>
          <w:trHeight w:val="340"/>
        </w:trPr>
        <w:tc>
          <w:tcPr>
            <w:tcW w:w="3456" w:type="dxa"/>
            <w:shd w:val="clear" w:color="auto" w:fill="auto"/>
            <w:tcMar>
              <w:left w:w="57" w:type="dxa"/>
              <w:right w:w="57" w:type="dxa"/>
            </w:tcMar>
          </w:tcPr>
          <w:p w14:paraId="27CDD5EC"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lastRenderedPageBreak/>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Key fisheries managed in accordance with best practice management plans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1E94855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w:t>
            </w:r>
            <w:r w:rsidRPr="00F163AE">
              <w:rPr>
                <w:rFonts w:ascii="Arial" w:hAnsi="Arial" w:cs="Arial"/>
                <w:sz w:val="24"/>
                <w:szCs w:val="24"/>
              </w:rPr>
              <w:fldChar w:fldCharType="end"/>
            </w:r>
          </w:p>
        </w:tc>
        <w:tc>
          <w:tcPr>
            <w:tcW w:w="1070" w:type="dxa"/>
            <w:shd w:val="clear" w:color="auto" w:fill="auto"/>
            <w:tcMar>
              <w:left w:w="57" w:type="dxa"/>
              <w:right w:w="57" w:type="dxa"/>
            </w:tcMar>
          </w:tcPr>
          <w:p w14:paraId="42CB5250"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6</w:t>
            </w:r>
            <w:r w:rsidRPr="00F163AE">
              <w:rPr>
                <w:rFonts w:ascii="Arial" w:hAnsi="Arial" w:cs="Arial"/>
                <w:sz w:val="24"/>
                <w:szCs w:val="24"/>
              </w:rPr>
              <w:fldChar w:fldCharType="end"/>
            </w:r>
          </w:p>
        </w:tc>
        <w:tc>
          <w:tcPr>
            <w:tcW w:w="1070" w:type="dxa"/>
            <w:shd w:val="clear" w:color="auto" w:fill="auto"/>
            <w:tcMar>
              <w:left w:w="57" w:type="dxa"/>
              <w:right w:w="57" w:type="dxa"/>
            </w:tcMar>
          </w:tcPr>
          <w:p w14:paraId="0D219165"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6</w:t>
            </w:r>
            <w:r w:rsidRPr="00F163AE">
              <w:rPr>
                <w:rFonts w:ascii="Arial" w:hAnsi="Arial" w:cs="Arial"/>
                <w:sz w:val="24"/>
                <w:szCs w:val="24"/>
              </w:rPr>
              <w:fldChar w:fldCharType="end"/>
            </w:r>
          </w:p>
        </w:tc>
        <w:tc>
          <w:tcPr>
            <w:tcW w:w="1336" w:type="dxa"/>
            <w:shd w:val="clear" w:color="auto" w:fill="auto"/>
            <w:tcMar>
              <w:left w:w="57" w:type="dxa"/>
              <w:right w:w="57" w:type="dxa"/>
            </w:tcMar>
          </w:tcPr>
          <w:p w14:paraId="5BD38A5C"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5D6FCDE0"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11130035" w14:textId="77777777" w:rsidTr="008D316C">
        <w:trPr>
          <w:trHeight w:val="340"/>
        </w:trPr>
        <w:tc>
          <w:tcPr>
            <w:tcW w:w="3456" w:type="dxa"/>
            <w:shd w:val="clear" w:color="auto" w:fill="auto"/>
            <w:tcMar>
              <w:left w:w="57" w:type="dxa"/>
              <w:right w:w="57" w:type="dxa"/>
            </w:tcMar>
          </w:tcPr>
          <w:p w14:paraId="3CD776E8"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Minimum number of uniformed fisheries officers maintaining operational coverage for priority fishing activity periods, as defined by the Compliance Strategic Assessment</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30F9753A"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w:t>
            </w:r>
            <w:r w:rsidRPr="00F163AE">
              <w:rPr>
                <w:rFonts w:ascii="Arial" w:hAnsi="Arial" w:cs="Arial"/>
                <w:sz w:val="24"/>
                <w:szCs w:val="24"/>
              </w:rPr>
              <w:fldChar w:fldCharType="end"/>
            </w:r>
          </w:p>
        </w:tc>
        <w:tc>
          <w:tcPr>
            <w:tcW w:w="1070" w:type="dxa"/>
            <w:shd w:val="clear" w:color="auto" w:fill="auto"/>
            <w:tcMar>
              <w:left w:w="57" w:type="dxa"/>
              <w:right w:w="57" w:type="dxa"/>
            </w:tcMar>
          </w:tcPr>
          <w:p w14:paraId="6D130ED4"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22</w:t>
            </w:r>
            <w:r w:rsidRPr="00F163AE">
              <w:rPr>
                <w:rFonts w:ascii="Arial" w:hAnsi="Arial" w:cs="Arial"/>
                <w:sz w:val="24"/>
                <w:szCs w:val="24"/>
              </w:rPr>
              <w:fldChar w:fldCharType="end"/>
            </w:r>
          </w:p>
        </w:tc>
        <w:tc>
          <w:tcPr>
            <w:tcW w:w="1070" w:type="dxa"/>
            <w:shd w:val="clear" w:color="auto" w:fill="auto"/>
            <w:tcMar>
              <w:left w:w="57" w:type="dxa"/>
              <w:right w:w="57" w:type="dxa"/>
            </w:tcMar>
          </w:tcPr>
          <w:p w14:paraId="0F2CD647"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17</w:t>
            </w:r>
            <w:r w:rsidRPr="00F163AE">
              <w:rPr>
                <w:rFonts w:ascii="Arial" w:hAnsi="Arial" w:cs="Arial"/>
                <w:sz w:val="24"/>
                <w:szCs w:val="24"/>
              </w:rPr>
              <w:fldChar w:fldCharType="end"/>
            </w:r>
          </w:p>
        </w:tc>
        <w:tc>
          <w:tcPr>
            <w:tcW w:w="1336" w:type="dxa"/>
            <w:shd w:val="clear" w:color="auto" w:fill="auto"/>
            <w:tcMar>
              <w:left w:w="57" w:type="dxa"/>
              <w:right w:w="57" w:type="dxa"/>
            </w:tcMar>
          </w:tcPr>
          <w:p w14:paraId="46250DA0"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29.4</w:t>
            </w:r>
            <w:r w:rsidRPr="00F163AE">
              <w:rPr>
                <w:rFonts w:ascii="Arial" w:hAnsi="Arial" w:cs="Arial"/>
                <w:sz w:val="24"/>
                <w:szCs w:val="24"/>
              </w:rPr>
              <w:fldChar w:fldCharType="end"/>
            </w:r>
          </w:p>
        </w:tc>
        <w:tc>
          <w:tcPr>
            <w:tcW w:w="1070" w:type="dxa"/>
            <w:shd w:val="clear" w:color="auto" w:fill="auto"/>
            <w:tcMar>
              <w:left w:w="57" w:type="dxa"/>
              <w:right w:w="57" w:type="dxa"/>
            </w:tcMar>
          </w:tcPr>
          <w:p w14:paraId="168896EF"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6F339F64" w14:textId="77777777" w:rsidTr="008D316C">
        <w:tc>
          <w:tcPr>
            <w:tcW w:w="9072" w:type="dxa"/>
            <w:gridSpan w:val="6"/>
            <w:shd w:val="clear" w:color="auto" w:fill="auto"/>
            <w:tcMar>
              <w:left w:w="57" w:type="dxa"/>
              <w:right w:w="57" w:type="dxa"/>
            </w:tcMar>
          </w:tcPr>
          <w:p w14:paraId="20FB9945" w14:textId="77777777" w:rsidR="003E5BF5" w:rsidRPr="00F163AE" w:rsidRDefault="003E5BF5" w:rsidP="00DE1921">
            <w:pPr>
              <w:pStyle w:val="TableTextCentre"/>
              <w:spacing w:before="40"/>
              <w:jc w:val="left"/>
              <w:rPr>
                <w:rFonts w:ascii="Arial" w:hAnsi="Arial" w:cs="Arial"/>
                <w:i/>
                <w:sz w:val="24"/>
                <w:szCs w:val="24"/>
              </w:rPr>
            </w:pPr>
            <w:r w:rsidRPr="00F163AE">
              <w:rPr>
                <w:rFonts w:ascii="Arial" w:hAnsi="Arial" w:cs="Arial"/>
                <w:i/>
                <w:sz w:val="24"/>
                <w:szCs w:val="24"/>
              </w:rPr>
              <w:fldChar w:fldCharType="begin"/>
            </w:r>
            <w:r w:rsidRPr="00F163AE">
              <w:rPr>
                <w:rFonts w:ascii="Arial" w:hAnsi="Arial" w:cs="Arial"/>
                <w:i/>
                <w:sz w:val="24"/>
                <w:szCs w:val="24"/>
              </w:rPr>
              <w:instrText xml:space="preserve"> MERGEFIELD "M_26" </w:instrText>
            </w:r>
            <w:r w:rsidRPr="00F163AE">
              <w:rPr>
                <w:rFonts w:ascii="Arial" w:hAnsi="Arial" w:cs="Arial"/>
                <w:i/>
                <w:sz w:val="24"/>
                <w:szCs w:val="24"/>
              </w:rPr>
              <w:fldChar w:fldCharType="separate"/>
            </w:r>
            <w:r w:rsidRPr="00F163AE">
              <w:rPr>
                <w:rFonts w:ascii="Arial" w:hAnsi="Arial" w:cs="Arial"/>
                <w:i/>
                <w:sz w:val="24"/>
                <w:szCs w:val="24"/>
              </w:rPr>
              <w:t>Due to deployment of additional resources to patrolling during coronavirus (COVID-19) coastal closures.</w:t>
            </w:r>
            <w:r w:rsidRPr="00F163AE">
              <w:rPr>
                <w:rFonts w:ascii="Arial" w:hAnsi="Arial" w:cs="Arial"/>
                <w:i/>
                <w:sz w:val="24"/>
                <w:szCs w:val="24"/>
              </w:rPr>
              <w:fldChar w:fldCharType="end"/>
            </w:r>
          </w:p>
        </w:tc>
      </w:tr>
      <w:tr w:rsidR="003E5BF5" w:rsidRPr="00F163AE" w14:paraId="59C8CEF6" w14:textId="77777777" w:rsidTr="008D316C">
        <w:trPr>
          <w:trHeight w:val="340"/>
        </w:trPr>
        <w:tc>
          <w:tcPr>
            <w:tcW w:w="3456" w:type="dxa"/>
            <w:shd w:val="clear" w:color="auto" w:fill="auto"/>
            <w:tcMar>
              <w:left w:w="57" w:type="dxa"/>
              <w:right w:w="57" w:type="dxa"/>
            </w:tcMar>
          </w:tcPr>
          <w:p w14:paraId="2A76A96E"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Native and salmonid fish stocked</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254E9C3B"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 (000)</w:t>
            </w:r>
            <w:r w:rsidRPr="00F163AE">
              <w:rPr>
                <w:rFonts w:ascii="Arial" w:hAnsi="Arial" w:cs="Arial"/>
                <w:sz w:val="24"/>
                <w:szCs w:val="24"/>
              </w:rPr>
              <w:fldChar w:fldCharType="end"/>
            </w:r>
          </w:p>
        </w:tc>
        <w:tc>
          <w:tcPr>
            <w:tcW w:w="1070" w:type="dxa"/>
            <w:shd w:val="clear" w:color="auto" w:fill="auto"/>
            <w:tcMar>
              <w:left w:w="57" w:type="dxa"/>
              <w:right w:w="57" w:type="dxa"/>
            </w:tcMar>
          </w:tcPr>
          <w:p w14:paraId="53CC50E9"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6,100</w:t>
            </w:r>
            <w:r w:rsidRPr="00F163AE">
              <w:rPr>
                <w:rFonts w:ascii="Arial" w:hAnsi="Arial" w:cs="Arial"/>
                <w:sz w:val="24"/>
                <w:szCs w:val="24"/>
              </w:rPr>
              <w:fldChar w:fldCharType="end"/>
            </w:r>
          </w:p>
        </w:tc>
        <w:tc>
          <w:tcPr>
            <w:tcW w:w="1070" w:type="dxa"/>
            <w:shd w:val="clear" w:color="auto" w:fill="auto"/>
            <w:tcMar>
              <w:left w:w="57" w:type="dxa"/>
              <w:right w:w="57" w:type="dxa"/>
            </w:tcMar>
          </w:tcPr>
          <w:p w14:paraId="6048CD70"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6,000</w:t>
            </w:r>
            <w:r w:rsidRPr="00F163AE">
              <w:rPr>
                <w:rFonts w:ascii="Arial" w:hAnsi="Arial" w:cs="Arial"/>
                <w:sz w:val="24"/>
                <w:szCs w:val="24"/>
              </w:rPr>
              <w:fldChar w:fldCharType="end"/>
            </w:r>
          </w:p>
        </w:tc>
        <w:tc>
          <w:tcPr>
            <w:tcW w:w="1336" w:type="dxa"/>
            <w:shd w:val="clear" w:color="auto" w:fill="auto"/>
            <w:tcMar>
              <w:left w:w="57" w:type="dxa"/>
              <w:right w:w="57" w:type="dxa"/>
            </w:tcMar>
          </w:tcPr>
          <w:p w14:paraId="63FE36E0"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1.7</w:t>
            </w:r>
            <w:r w:rsidRPr="00F163AE">
              <w:rPr>
                <w:rFonts w:ascii="Arial" w:hAnsi="Arial" w:cs="Arial"/>
                <w:sz w:val="24"/>
                <w:szCs w:val="24"/>
              </w:rPr>
              <w:fldChar w:fldCharType="end"/>
            </w:r>
          </w:p>
        </w:tc>
        <w:tc>
          <w:tcPr>
            <w:tcW w:w="1070" w:type="dxa"/>
            <w:shd w:val="clear" w:color="auto" w:fill="auto"/>
            <w:tcMar>
              <w:left w:w="57" w:type="dxa"/>
              <w:right w:w="57" w:type="dxa"/>
            </w:tcMar>
          </w:tcPr>
          <w:p w14:paraId="2A8C0C83"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64F9771E" w14:textId="77777777" w:rsidTr="008D316C">
        <w:trPr>
          <w:trHeight w:val="340"/>
        </w:trPr>
        <w:tc>
          <w:tcPr>
            <w:tcW w:w="3456" w:type="dxa"/>
            <w:shd w:val="clear" w:color="auto" w:fill="auto"/>
            <w:tcMar>
              <w:left w:w="57" w:type="dxa"/>
              <w:right w:w="57" w:type="dxa"/>
            </w:tcMar>
          </w:tcPr>
          <w:p w14:paraId="07B89740"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Recreational fishing infrastructure improvements delivered</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4F8F2A98"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w:t>
            </w:r>
            <w:r w:rsidRPr="00F163AE">
              <w:rPr>
                <w:rFonts w:ascii="Arial" w:hAnsi="Arial" w:cs="Arial"/>
                <w:sz w:val="24"/>
                <w:szCs w:val="24"/>
              </w:rPr>
              <w:fldChar w:fldCharType="end"/>
            </w:r>
          </w:p>
        </w:tc>
        <w:tc>
          <w:tcPr>
            <w:tcW w:w="1070" w:type="dxa"/>
            <w:shd w:val="clear" w:color="auto" w:fill="auto"/>
            <w:tcMar>
              <w:left w:w="57" w:type="dxa"/>
              <w:right w:w="57" w:type="dxa"/>
            </w:tcMar>
          </w:tcPr>
          <w:p w14:paraId="4261F9D6"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0</w:t>
            </w:r>
            <w:r w:rsidRPr="00F163AE">
              <w:rPr>
                <w:rFonts w:ascii="Arial" w:hAnsi="Arial" w:cs="Arial"/>
                <w:sz w:val="24"/>
                <w:szCs w:val="24"/>
              </w:rPr>
              <w:fldChar w:fldCharType="end"/>
            </w:r>
          </w:p>
        </w:tc>
        <w:tc>
          <w:tcPr>
            <w:tcW w:w="1070" w:type="dxa"/>
            <w:shd w:val="clear" w:color="auto" w:fill="auto"/>
            <w:tcMar>
              <w:left w:w="57" w:type="dxa"/>
              <w:right w:w="57" w:type="dxa"/>
            </w:tcMar>
          </w:tcPr>
          <w:p w14:paraId="43BA60CE"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6</w:t>
            </w:r>
            <w:r w:rsidRPr="00F163AE">
              <w:rPr>
                <w:rFonts w:ascii="Arial" w:hAnsi="Arial" w:cs="Arial"/>
                <w:sz w:val="24"/>
                <w:szCs w:val="24"/>
              </w:rPr>
              <w:fldChar w:fldCharType="end"/>
            </w:r>
          </w:p>
        </w:tc>
        <w:tc>
          <w:tcPr>
            <w:tcW w:w="1336" w:type="dxa"/>
            <w:shd w:val="clear" w:color="auto" w:fill="auto"/>
            <w:tcMar>
              <w:left w:w="57" w:type="dxa"/>
              <w:right w:w="57" w:type="dxa"/>
            </w:tcMar>
          </w:tcPr>
          <w:p w14:paraId="6020A569"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-100.0</w:t>
            </w:r>
            <w:r w:rsidRPr="00F163AE">
              <w:rPr>
                <w:rFonts w:ascii="Arial" w:hAnsi="Arial" w:cs="Arial"/>
                <w:sz w:val="24"/>
                <w:szCs w:val="24"/>
              </w:rPr>
              <w:fldChar w:fldCharType="end"/>
            </w:r>
          </w:p>
        </w:tc>
        <w:tc>
          <w:tcPr>
            <w:tcW w:w="1070" w:type="dxa"/>
            <w:shd w:val="clear" w:color="auto" w:fill="auto"/>
            <w:tcMar>
              <w:left w:w="57" w:type="dxa"/>
              <w:right w:w="57" w:type="dxa"/>
            </w:tcMar>
          </w:tcPr>
          <w:p w14:paraId="5F76A088"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6E"/>
            </w:r>
          </w:p>
        </w:tc>
      </w:tr>
      <w:tr w:rsidR="003E5BF5" w:rsidRPr="00F163AE" w14:paraId="434D93AA" w14:textId="77777777" w:rsidTr="008D316C">
        <w:tc>
          <w:tcPr>
            <w:tcW w:w="9072" w:type="dxa"/>
            <w:gridSpan w:val="6"/>
            <w:shd w:val="clear" w:color="auto" w:fill="auto"/>
            <w:tcMar>
              <w:left w:w="57" w:type="dxa"/>
              <w:right w:w="57" w:type="dxa"/>
            </w:tcMar>
          </w:tcPr>
          <w:p w14:paraId="515BA173" w14:textId="77777777" w:rsidR="003E5BF5" w:rsidRPr="00F163AE" w:rsidRDefault="003E5BF5" w:rsidP="00DE1921">
            <w:pPr>
              <w:pStyle w:val="TableTextCentre"/>
              <w:spacing w:before="40"/>
              <w:jc w:val="left"/>
              <w:rPr>
                <w:rFonts w:ascii="Arial" w:hAnsi="Arial" w:cs="Arial"/>
                <w:i/>
                <w:sz w:val="24"/>
                <w:szCs w:val="24"/>
              </w:rPr>
            </w:pPr>
            <w:r w:rsidRPr="00F163AE">
              <w:rPr>
                <w:rFonts w:ascii="Arial" w:hAnsi="Arial" w:cs="Arial"/>
                <w:i/>
                <w:sz w:val="24"/>
                <w:szCs w:val="24"/>
              </w:rPr>
              <w:fldChar w:fldCharType="begin"/>
            </w:r>
            <w:r w:rsidRPr="00F163AE">
              <w:rPr>
                <w:rFonts w:ascii="Arial" w:hAnsi="Arial" w:cs="Arial"/>
                <w:i/>
                <w:sz w:val="24"/>
                <w:szCs w:val="24"/>
              </w:rPr>
              <w:instrText xml:space="preserve"> MERGEFIELD "M_26" </w:instrText>
            </w:r>
            <w:r w:rsidRPr="00F163AE">
              <w:rPr>
                <w:rFonts w:ascii="Arial" w:hAnsi="Arial" w:cs="Arial"/>
                <w:i/>
                <w:sz w:val="24"/>
                <w:szCs w:val="24"/>
              </w:rPr>
              <w:fldChar w:fldCharType="separate"/>
            </w:r>
            <w:r w:rsidRPr="00F163AE">
              <w:rPr>
                <w:rFonts w:ascii="Arial" w:hAnsi="Arial" w:cs="Arial"/>
                <w:i/>
                <w:sz w:val="24"/>
                <w:szCs w:val="24"/>
              </w:rPr>
              <w:t>Due to the coronavirus (COVID-19) response limiting community consultation and the prioritisation of resources to provide bushfire recovery support, the Victorian Fisheries Authority has rescheduled projects to</w:t>
            </w:r>
            <w:r w:rsidRPr="00F163AE">
              <w:rPr>
                <w:rFonts w:ascii="Arial" w:hAnsi="Arial" w:cs="Arial"/>
                <w:i/>
                <w:sz w:val="24"/>
                <w:szCs w:val="24"/>
              </w:rPr>
              <w:fldChar w:fldCharType="end"/>
            </w:r>
            <w:r w:rsidRPr="00F163AE">
              <w:rPr>
                <w:rFonts w:ascii="Arial" w:hAnsi="Arial" w:cs="Arial"/>
                <w:i/>
                <w:sz w:val="24"/>
                <w:szCs w:val="24"/>
              </w:rPr>
              <w:t xml:space="preserve"> 2020-21.</w:t>
            </w:r>
          </w:p>
        </w:tc>
      </w:tr>
      <w:tr w:rsidR="003E5BF5" w:rsidRPr="00F163AE" w14:paraId="0E000BB3" w14:textId="77777777" w:rsidTr="008D316C">
        <w:trPr>
          <w:trHeight w:val="340"/>
        </w:trPr>
        <w:tc>
          <w:tcPr>
            <w:tcW w:w="3456" w:type="dxa"/>
            <w:shd w:val="clear" w:color="auto" w:fill="auto"/>
            <w:tcMar>
              <w:left w:w="57" w:type="dxa"/>
              <w:right w:w="57" w:type="dxa"/>
            </w:tcMar>
          </w:tcPr>
          <w:p w14:paraId="1226C743"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Recreational fishing licences sold online as a proportion of total sales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74B71B65"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2FA2EB87"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90</w:t>
            </w:r>
            <w:r w:rsidRPr="00F163AE">
              <w:rPr>
                <w:rFonts w:ascii="Arial" w:hAnsi="Arial" w:cs="Arial"/>
                <w:sz w:val="24"/>
                <w:szCs w:val="24"/>
              </w:rPr>
              <w:fldChar w:fldCharType="end"/>
            </w:r>
          </w:p>
        </w:tc>
        <w:tc>
          <w:tcPr>
            <w:tcW w:w="1070" w:type="dxa"/>
            <w:shd w:val="clear" w:color="auto" w:fill="auto"/>
            <w:tcMar>
              <w:left w:w="57" w:type="dxa"/>
              <w:right w:w="57" w:type="dxa"/>
            </w:tcMar>
          </w:tcPr>
          <w:p w14:paraId="18325B0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80</w:t>
            </w:r>
            <w:r w:rsidRPr="00F163AE">
              <w:rPr>
                <w:rFonts w:ascii="Arial" w:hAnsi="Arial" w:cs="Arial"/>
                <w:sz w:val="24"/>
                <w:szCs w:val="24"/>
              </w:rPr>
              <w:fldChar w:fldCharType="end"/>
            </w:r>
          </w:p>
        </w:tc>
        <w:tc>
          <w:tcPr>
            <w:tcW w:w="1336" w:type="dxa"/>
            <w:shd w:val="clear" w:color="auto" w:fill="auto"/>
            <w:tcMar>
              <w:left w:w="57" w:type="dxa"/>
              <w:right w:w="57" w:type="dxa"/>
            </w:tcMar>
          </w:tcPr>
          <w:p w14:paraId="5EDA21B5"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12.5</w:t>
            </w:r>
            <w:r w:rsidRPr="00F163AE">
              <w:rPr>
                <w:rFonts w:ascii="Arial" w:hAnsi="Arial" w:cs="Arial"/>
                <w:sz w:val="24"/>
                <w:szCs w:val="24"/>
              </w:rPr>
              <w:fldChar w:fldCharType="end"/>
            </w:r>
          </w:p>
        </w:tc>
        <w:tc>
          <w:tcPr>
            <w:tcW w:w="1070" w:type="dxa"/>
            <w:shd w:val="clear" w:color="auto" w:fill="auto"/>
            <w:tcMar>
              <w:left w:w="57" w:type="dxa"/>
              <w:right w:w="57" w:type="dxa"/>
            </w:tcMar>
          </w:tcPr>
          <w:p w14:paraId="714C0F9E"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1228704C" w14:textId="77777777" w:rsidTr="008D316C">
        <w:tc>
          <w:tcPr>
            <w:tcW w:w="9072" w:type="dxa"/>
            <w:gridSpan w:val="6"/>
            <w:shd w:val="clear" w:color="auto" w:fill="auto"/>
            <w:tcMar>
              <w:left w:w="57" w:type="dxa"/>
              <w:right w:w="57" w:type="dxa"/>
            </w:tcMar>
          </w:tcPr>
          <w:p w14:paraId="32CD89B3" w14:textId="77777777" w:rsidR="003E5BF5" w:rsidRPr="00F163AE" w:rsidRDefault="003E5BF5" w:rsidP="00DE1921">
            <w:pPr>
              <w:pStyle w:val="TableTextCentre"/>
              <w:spacing w:before="40"/>
              <w:jc w:val="left"/>
              <w:rPr>
                <w:rFonts w:ascii="Arial" w:hAnsi="Arial" w:cs="Arial"/>
                <w:i/>
                <w:sz w:val="24"/>
                <w:szCs w:val="24"/>
              </w:rPr>
            </w:pPr>
            <w:r w:rsidRPr="00F163AE">
              <w:rPr>
                <w:rFonts w:ascii="Arial" w:hAnsi="Arial" w:cs="Arial"/>
                <w:i/>
                <w:sz w:val="24"/>
                <w:szCs w:val="24"/>
              </w:rPr>
              <w:fldChar w:fldCharType="begin"/>
            </w:r>
            <w:r w:rsidRPr="00F163AE">
              <w:rPr>
                <w:rFonts w:ascii="Arial" w:hAnsi="Arial" w:cs="Arial"/>
                <w:i/>
                <w:sz w:val="24"/>
                <w:szCs w:val="24"/>
              </w:rPr>
              <w:instrText xml:space="preserve"> MERGEFIELD "M_26" </w:instrText>
            </w:r>
            <w:r w:rsidRPr="00F163AE">
              <w:rPr>
                <w:rFonts w:ascii="Arial" w:hAnsi="Arial" w:cs="Arial"/>
                <w:i/>
                <w:sz w:val="24"/>
                <w:szCs w:val="24"/>
              </w:rPr>
              <w:fldChar w:fldCharType="separate"/>
            </w:r>
            <w:r w:rsidRPr="00F163AE">
              <w:rPr>
                <w:rFonts w:ascii="Arial" w:hAnsi="Arial" w:cs="Arial"/>
                <w:i/>
                <w:sz w:val="24"/>
                <w:szCs w:val="24"/>
              </w:rPr>
              <w:t xml:space="preserve">Due to a targeted promotional campaign to transition recreational fishing licence agents from paper-based licences sales to online sales. The launch of Victoria's digital recreational fishing licence has increased the awareness and utilisation of the </w:t>
            </w:r>
            <w:r w:rsidRPr="00F163AE">
              <w:rPr>
                <w:rFonts w:ascii="Arial" w:hAnsi="Arial" w:cs="Arial"/>
                <w:i/>
                <w:sz w:val="24"/>
                <w:szCs w:val="24"/>
              </w:rPr>
              <w:fldChar w:fldCharType="end"/>
            </w:r>
            <w:r w:rsidRPr="00F163AE">
              <w:rPr>
                <w:rFonts w:ascii="Arial" w:hAnsi="Arial" w:cs="Arial"/>
                <w:i/>
                <w:sz w:val="24"/>
                <w:szCs w:val="24"/>
              </w:rPr>
              <w:t>digital capability by recreational fishers.</w:t>
            </w:r>
          </w:p>
        </w:tc>
      </w:tr>
      <w:tr w:rsidR="003E5BF5" w:rsidRPr="00F163AE" w14:paraId="271BD73C" w14:textId="77777777" w:rsidTr="008D316C">
        <w:trPr>
          <w:trHeight w:val="340"/>
        </w:trPr>
        <w:tc>
          <w:tcPr>
            <w:tcW w:w="3456" w:type="dxa"/>
            <w:shd w:val="clear" w:color="auto" w:fill="auto"/>
            <w:tcMar>
              <w:left w:w="57" w:type="dxa"/>
              <w:right w:w="57" w:type="dxa"/>
            </w:tcMar>
          </w:tcPr>
          <w:p w14:paraId="3468C60A"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Undertake activities to detect, disrupt and dismantle serious or organised fisheries criminal entities (individuals or groups)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32822A7A"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number</w:t>
            </w:r>
            <w:r w:rsidRPr="00F163AE">
              <w:rPr>
                <w:rFonts w:ascii="Arial" w:hAnsi="Arial" w:cs="Arial"/>
                <w:sz w:val="24"/>
                <w:szCs w:val="24"/>
              </w:rPr>
              <w:fldChar w:fldCharType="end"/>
            </w:r>
          </w:p>
        </w:tc>
        <w:tc>
          <w:tcPr>
            <w:tcW w:w="1070" w:type="dxa"/>
            <w:shd w:val="clear" w:color="auto" w:fill="auto"/>
            <w:tcMar>
              <w:left w:w="57" w:type="dxa"/>
              <w:right w:w="57" w:type="dxa"/>
            </w:tcMar>
          </w:tcPr>
          <w:p w14:paraId="46A450AE"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21</w:t>
            </w:r>
            <w:r w:rsidRPr="00F163AE">
              <w:rPr>
                <w:rFonts w:ascii="Arial" w:hAnsi="Arial" w:cs="Arial"/>
                <w:sz w:val="24"/>
                <w:szCs w:val="24"/>
              </w:rPr>
              <w:fldChar w:fldCharType="end"/>
            </w:r>
          </w:p>
        </w:tc>
        <w:tc>
          <w:tcPr>
            <w:tcW w:w="1070" w:type="dxa"/>
            <w:shd w:val="clear" w:color="auto" w:fill="auto"/>
            <w:tcMar>
              <w:left w:w="57" w:type="dxa"/>
              <w:right w:w="57" w:type="dxa"/>
            </w:tcMar>
          </w:tcPr>
          <w:p w14:paraId="28B7EC31"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20</w:t>
            </w:r>
            <w:r w:rsidRPr="00F163AE">
              <w:rPr>
                <w:rFonts w:ascii="Arial" w:hAnsi="Arial" w:cs="Arial"/>
                <w:sz w:val="24"/>
                <w:szCs w:val="24"/>
              </w:rPr>
              <w:fldChar w:fldCharType="end"/>
            </w:r>
          </w:p>
        </w:tc>
        <w:tc>
          <w:tcPr>
            <w:tcW w:w="1336" w:type="dxa"/>
            <w:shd w:val="clear" w:color="auto" w:fill="auto"/>
            <w:tcMar>
              <w:left w:w="57" w:type="dxa"/>
              <w:right w:w="57" w:type="dxa"/>
            </w:tcMar>
          </w:tcPr>
          <w:p w14:paraId="32ECEA7E"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5</w:t>
            </w:r>
            <w:r w:rsidRPr="00F163AE">
              <w:rPr>
                <w:rFonts w:ascii="Arial" w:hAnsi="Arial" w:cs="Arial"/>
                <w:sz w:val="24"/>
                <w:szCs w:val="24"/>
              </w:rPr>
              <w:fldChar w:fldCharType="end"/>
            </w:r>
            <w:r w:rsidR="003E5BF5" w:rsidRPr="00F163AE">
              <w:rPr>
                <w:rFonts w:ascii="Arial" w:hAnsi="Arial" w:cs="Arial"/>
                <w:sz w:val="24"/>
                <w:szCs w:val="24"/>
              </w:rPr>
              <w:t>.0</w:t>
            </w:r>
          </w:p>
        </w:tc>
        <w:tc>
          <w:tcPr>
            <w:tcW w:w="1070" w:type="dxa"/>
            <w:shd w:val="clear" w:color="auto" w:fill="auto"/>
            <w:tcMar>
              <w:left w:w="57" w:type="dxa"/>
              <w:right w:w="57" w:type="dxa"/>
            </w:tcMar>
          </w:tcPr>
          <w:p w14:paraId="45ECC3AE"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577BF817" w14:textId="77777777" w:rsidTr="008D316C">
        <w:tc>
          <w:tcPr>
            <w:tcW w:w="9072" w:type="dxa"/>
            <w:gridSpan w:val="6"/>
            <w:shd w:val="clear" w:color="auto" w:fill="auto"/>
            <w:tcMar>
              <w:left w:w="57" w:type="dxa"/>
              <w:right w:w="57" w:type="dxa"/>
            </w:tcMar>
          </w:tcPr>
          <w:p w14:paraId="721CD749" w14:textId="77777777" w:rsidR="003E5BF5" w:rsidRPr="00F163AE" w:rsidRDefault="003E5BF5" w:rsidP="00DE1921">
            <w:pPr>
              <w:pStyle w:val="TableTextCentre"/>
              <w:spacing w:before="40"/>
              <w:jc w:val="left"/>
              <w:rPr>
                <w:rFonts w:ascii="Arial" w:hAnsi="Arial" w:cs="Arial"/>
                <w:i/>
                <w:sz w:val="24"/>
                <w:szCs w:val="24"/>
              </w:rPr>
            </w:pPr>
            <w:r w:rsidRPr="00F163AE">
              <w:rPr>
                <w:rFonts w:ascii="Arial" w:hAnsi="Arial" w:cs="Arial"/>
                <w:i/>
                <w:sz w:val="24"/>
                <w:szCs w:val="24"/>
              </w:rPr>
              <w:fldChar w:fldCharType="begin"/>
            </w:r>
            <w:r w:rsidRPr="00F163AE">
              <w:rPr>
                <w:rFonts w:ascii="Arial" w:hAnsi="Arial" w:cs="Arial"/>
                <w:i/>
                <w:sz w:val="24"/>
                <w:szCs w:val="24"/>
              </w:rPr>
              <w:instrText xml:space="preserve"> MERGEFIELD "M_26" </w:instrText>
            </w:r>
            <w:r w:rsidRPr="00F163AE">
              <w:rPr>
                <w:rFonts w:ascii="Arial" w:hAnsi="Arial" w:cs="Arial"/>
                <w:i/>
                <w:sz w:val="24"/>
                <w:szCs w:val="24"/>
              </w:rPr>
              <w:fldChar w:fldCharType="separate"/>
            </w:r>
            <w:r w:rsidRPr="00F163AE">
              <w:rPr>
                <w:rFonts w:ascii="Arial" w:hAnsi="Arial" w:cs="Arial"/>
                <w:i/>
                <w:sz w:val="24"/>
                <w:szCs w:val="24"/>
              </w:rPr>
              <w:t>Due to intelligence-based information collected, the Victorian Fisheries Authority carried out an additional operation.</w:t>
            </w:r>
            <w:r w:rsidRPr="00F163AE">
              <w:rPr>
                <w:rFonts w:ascii="Arial" w:hAnsi="Arial" w:cs="Arial"/>
                <w:i/>
                <w:sz w:val="24"/>
                <w:szCs w:val="24"/>
              </w:rPr>
              <w:fldChar w:fldCharType="end"/>
            </w:r>
          </w:p>
        </w:tc>
      </w:tr>
    </w:tbl>
    <w:p w14:paraId="49E96BD6" w14:textId="77777777" w:rsidR="003E5BF5" w:rsidRDefault="003E5BF5" w:rsidP="00DE1921">
      <w:pPr>
        <w:pStyle w:val="Notenumber123"/>
        <w:numPr>
          <w:ilvl w:val="0"/>
          <w:numId w:val="0"/>
        </w:numPr>
        <w:ind w:left="113"/>
        <w:sectPr w:rsidR="003E5BF5" w:rsidSect="00DE1921">
          <w:pgSz w:w="11906" w:h="16838"/>
          <w:pgMar w:top="1701" w:right="1418" w:bottom="1418" w:left="1418" w:header="709" w:footer="709" w:gutter="0"/>
          <w:cols w:space="284"/>
          <w:docGrid w:linePitch="360"/>
        </w:sectPr>
      </w:pPr>
      <w:r w:rsidRPr="00766FCA">
        <w:t xml:space="preserve"> </w:t>
      </w:r>
    </w:p>
    <w:p w14:paraId="1ADAD6A6" w14:textId="77777777" w:rsidR="003E5BF5" w:rsidRPr="00F163AE" w:rsidRDefault="003E5BF5" w:rsidP="00CF74EB">
      <w:pPr>
        <w:pStyle w:val="TableHeader"/>
      </w:pPr>
      <w:r w:rsidRPr="00F163AE">
        <w:lastRenderedPageBreak/>
        <w:t xml:space="preserve">Sustainably Manage Fish Resources </w:t>
      </w:r>
      <w:r w:rsidRPr="00F163AE">
        <w:rPr>
          <w:i/>
        </w:rPr>
        <w:t>- continued</w:t>
      </w:r>
    </w:p>
    <w:tbl>
      <w:tblPr>
        <w:tblStyle w:val="TableGrid"/>
        <w:tblW w:w="9072" w:type="dxa"/>
        <w:tblCellMar>
          <w:left w:w="28" w:type="dxa"/>
          <w:right w:w="28" w:type="dxa"/>
        </w:tblCellMar>
        <w:tblLook w:val="04A0" w:firstRow="1" w:lastRow="0" w:firstColumn="1" w:lastColumn="0" w:noHBand="0" w:noVBand="1"/>
      </w:tblPr>
      <w:tblGrid>
        <w:gridCol w:w="3267"/>
        <w:gridCol w:w="1102"/>
        <w:gridCol w:w="1040"/>
        <w:gridCol w:w="1037"/>
        <w:gridCol w:w="1582"/>
        <w:gridCol w:w="1044"/>
      </w:tblGrid>
      <w:tr w:rsidR="003E5BF5" w:rsidRPr="00F163AE" w14:paraId="6EC28765" w14:textId="77777777" w:rsidTr="008D316C">
        <w:trPr>
          <w:trHeight w:val="340"/>
          <w:tblHeader/>
        </w:trPr>
        <w:tc>
          <w:tcPr>
            <w:tcW w:w="3456" w:type="dxa"/>
            <w:shd w:val="clear" w:color="auto" w:fill="auto"/>
            <w:tcMar>
              <w:left w:w="57" w:type="dxa"/>
              <w:right w:w="57" w:type="dxa"/>
            </w:tcMar>
          </w:tcPr>
          <w:p w14:paraId="586952FA" w14:textId="77777777" w:rsidR="003E5BF5" w:rsidRPr="00F163AE" w:rsidRDefault="003E5BF5" w:rsidP="00DE1921">
            <w:pPr>
              <w:pStyle w:val="TableTextLeftBold"/>
              <w:rPr>
                <w:rFonts w:ascii="Arial" w:hAnsi="Arial" w:cs="Arial"/>
                <w:sz w:val="24"/>
                <w:szCs w:val="24"/>
              </w:rPr>
            </w:pPr>
            <w:r w:rsidRPr="00F163AE">
              <w:rPr>
                <w:rFonts w:ascii="Arial" w:hAnsi="Arial" w:cs="Arial"/>
                <w:sz w:val="24"/>
                <w:szCs w:val="24"/>
              </w:rPr>
              <w:t>Performance measures</w:t>
            </w:r>
          </w:p>
        </w:tc>
        <w:tc>
          <w:tcPr>
            <w:tcW w:w="1070" w:type="dxa"/>
            <w:shd w:val="clear" w:color="auto" w:fill="auto"/>
            <w:tcMar>
              <w:left w:w="57" w:type="dxa"/>
              <w:right w:w="57" w:type="dxa"/>
            </w:tcMar>
          </w:tcPr>
          <w:p w14:paraId="5BA13542"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unit of measure</w:t>
            </w:r>
          </w:p>
        </w:tc>
        <w:tc>
          <w:tcPr>
            <w:tcW w:w="1070" w:type="dxa"/>
            <w:shd w:val="clear" w:color="auto" w:fill="auto"/>
            <w:tcMar>
              <w:left w:w="57" w:type="dxa"/>
              <w:right w:w="57" w:type="dxa"/>
            </w:tcMar>
          </w:tcPr>
          <w:p w14:paraId="52850928"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2019-20 actual</w:t>
            </w:r>
          </w:p>
        </w:tc>
        <w:tc>
          <w:tcPr>
            <w:tcW w:w="1070" w:type="dxa"/>
            <w:shd w:val="clear" w:color="auto" w:fill="auto"/>
            <w:tcMar>
              <w:left w:w="57" w:type="dxa"/>
              <w:right w:w="57" w:type="dxa"/>
            </w:tcMar>
          </w:tcPr>
          <w:p w14:paraId="54BD17C0"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2019-20 target</w:t>
            </w:r>
          </w:p>
        </w:tc>
        <w:tc>
          <w:tcPr>
            <w:tcW w:w="1336" w:type="dxa"/>
            <w:shd w:val="clear" w:color="auto" w:fill="auto"/>
            <w:tcMar>
              <w:left w:w="57" w:type="dxa"/>
              <w:right w:w="57" w:type="dxa"/>
            </w:tcMar>
          </w:tcPr>
          <w:p w14:paraId="754500E1"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Performance variation (%)</w:t>
            </w:r>
          </w:p>
        </w:tc>
        <w:tc>
          <w:tcPr>
            <w:tcW w:w="1070" w:type="dxa"/>
            <w:shd w:val="clear" w:color="auto" w:fill="auto"/>
            <w:tcMar>
              <w:left w:w="57" w:type="dxa"/>
              <w:right w:w="57" w:type="dxa"/>
            </w:tcMar>
          </w:tcPr>
          <w:p w14:paraId="733FB9A9"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Result</w:t>
            </w:r>
          </w:p>
        </w:tc>
      </w:tr>
      <w:tr w:rsidR="003E5BF5" w:rsidRPr="00F163AE" w14:paraId="4CEBD7B2" w14:textId="77777777" w:rsidTr="008D316C">
        <w:trPr>
          <w:trHeight w:val="340"/>
        </w:trPr>
        <w:tc>
          <w:tcPr>
            <w:tcW w:w="3456" w:type="dxa"/>
            <w:shd w:val="clear" w:color="auto" w:fill="auto"/>
            <w:tcMar>
              <w:left w:w="57" w:type="dxa"/>
              <w:right w:w="57" w:type="dxa"/>
            </w:tcMar>
            <w:vAlign w:val="center"/>
          </w:tcPr>
          <w:p w14:paraId="37D12966" w14:textId="77777777" w:rsidR="003E5BF5" w:rsidRPr="00F163AE" w:rsidRDefault="003E5BF5" w:rsidP="00DE1921">
            <w:pPr>
              <w:pStyle w:val="TableTextLeftItalics"/>
              <w:rPr>
                <w:rFonts w:ascii="Arial" w:hAnsi="Arial" w:cs="Arial"/>
                <w:b/>
                <w:sz w:val="24"/>
                <w:szCs w:val="24"/>
              </w:rPr>
            </w:pPr>
            <w:r w:rsidRPr="00F163AE">
              <w:rPr>
                <w:rFonts w:ascii="Arial" w:hAnsi="Arial" w:cs="Arial"/>
                <w:b/>
                <w:sz w:val="24"/>
                <w:szCs w:val="24"/>
              </w:rPr>
              <w:t>Quality</w:t>
            </w:r>
          </w:p>
        </w:tc>
        <w:tc>
          <w:tcPr>
            <w:tcW w:w="1070" w:type="dxa"/>
            <w:shd w:val="clear" w:color="auto" w:fill="auto"/>
            <w:tcMar>
              <w:left w:w="57" w:type="dxa"/>
              <w:right w:w="57" w:type="dxa"/>
            </w:tcMar>
            <w:vAlign w:val="center"/>
          </w:tcPr>
          <w:p w14:paraId="6E2E03B2"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7650B51A"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1140A6F3" w14:textId="77777777" w:rsidR="003E5BF5" w:rsidRPr="00F163AE"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78517F88"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69967AA4" w14:textId="77777777" w:rsidR="003E5BF5" w:rsidRPr="00F163AE" w:rsidRDefault="003E5BF5" w:rsidP="00DE1921">
            <w:pPr>
              <w:pStyle w:val="TableTextRight"/>
              <w:rPr>
                <w:rFonts w:ascii="Arial" w:hAnsi="Arial" w:cs="Arial"/>
                <w:sz w:val="24"/>
                <w:szCs w:val="24"/>
              </w:rPr>
            </w:pPr>
          </w:p>
        </w:tc>
      </w:tr>
      <w:tr w:rsidR="003E5BF5" w:rsidRPr="00F163AE" w14:paraId="2FF62B29" w14:textId="77777777" w:rsidTr="008D316C">
        <w:trPr>
          <w:trHeight w:val="340"/>
        </w:trPr>
        <w:tc>
          <w:tcPr>
            <w:tcW w:w="3456" w:type="dxa"/>
            <w:shd w:val="clear" w:color="auto" w:fill="auto"/>
            <w:tcMar>
              <w:left w:w="57" w:type="dxa"/>
              <w:right w:w="57" w:type="dxa"/>
            </w:tcMar>
          </w:tcPr>
          <w:p w14:paraId="0EBE93A5"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Key statutory obligations relevant to the Victorian Fisheries Authority complied with (tabling annual report, audits, business plan and board appointments)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4032DB76"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7A1A126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070" w:type="dxa"/>
            <w:shd w:val="clear" w:color="auto" w:fill="auto"/>
            <w:tcMar>
              <w:left w:w="57" w:type="dxa"/>
              <w:right w:w="57" w:type="dxa"/>
            </w:tcMar>
          </w:tcPr>
          <w:p w14:paraId="5540359B"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336" w:type="dxa"/>
            <w:shd w:val="clear" w:color="auto" w:fill="auto"/>
            <w:tcMar>
              <w:left w:w="57" w:type="dxa"/>
              <w:right w:w="57" w:type="dxa"/>
            </w:tcMar>
          </w:tcPr>
          <w:p w14:paraId="1B556CD4"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373CBB9C"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6FC9DE75" w14:textId="77777777" w:rsidTr="008D316C">
        <w:trPr>
          <w:trHeight w:val="340"/>
        </w:trPr>
        <w:tc>
          <w:tcPr>
            <w:tcW w:w="3456" w:type="dxa"/>
            <w:shd w:val="clear" w:color="auto" w:fill="auto"/>
            <w:tcMar>
              <w:left w:w="57" w:type="dxa"/>
              <w:right w:w="57" w:type="dxa"/>
            </w:tcMar>
            <w:vAlign w:val="center"/>
          </w:tcPr>
          <w:p w14:paraId="11E2956B" w14:textId="77777777" w:rsidR="003E5BF5" w:rsidRPr="00F163AE" w:rsidRDefault="003E5BF5" w:rsidP="00DE1921">
            <w:pPr>
              <w:pStyle w:val="TableTextLeftItalics"/>
              <w:rPr>
                <w:rFonts w:ascii="Arial" w:hAnsi="Arial" w:cs="Arial"/>
                <w:b/>
                <w:sz w:val="24"/>
                <w:szCs w:val="24"/>
              </w:rPr>
            </w:pPr>
            <w:r w:rsidRPr="00F163AE">
              <w:rPr>
                <w:rFonts w:ascii="Arial" w:hAnsi="Arial" w:cs="Arial"/>
                <w:b/>
                <w:sz w:val="24"/>
                <w:szCs w:val="24"/>
              </w:rPr>
              <w:t>Timeliness</w:t>
            </w:r>
          </w:p>
        </w:tc>
        <w:tc>
          <w:tcPr>
            <w:tcW w:w="1070" w:type="dxa"/>
            <w:shd w:val="clear" w:color="auto" w:fill="auto"/>
            <w:tcMar>
              <w:left w:w="57" w:type="dxa"/>
              <w:right w:w="57" w:type="dxa"/>
            </w:tcMar>
            <w:vAlign w:val="center"/>
          </w:tcPr>
          <w:p w14:paraId="3C8AF553"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39F2479F"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1EB269C4" w14:textId="77777777" w:rsidR="003E5BF5" w:rsidRPr="00F163AE"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3D905739"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656F096F" w14:textId="77777777" w:rsidR="003E5BF5" w:rsidRPr="00F163AE" w:rsidRDefault="003E5BF5" w:rsidP="00DE1921">
            <w:pPr>
              <w:pStyle w:val="TableTextRight"/>
              <w:spacing w:before="40"/>
              <w:rPr>
                <w:rFonts w:ascii="Arial" w:hAnsi="Arial" w:cs="Arial"/>
                <w:sz w:val="24"/>
                <w:szCs w:val="24"/>
              </w:rPr>
            </w:pPr>
          </w:p>
        </w:tc>
      </w:tr>
      <w:tr w:rsidR="003E5BF5" w:rsidRPr="00F163AE" w14:paraId="04705BB2" w14:textId="77777777" w:rsidTr="008D316C">
        <w:trPr>
          <w:trHeight w:val="340"/>
        </w:trPr>
        <w:tc>
          <w:tcPr>
            <w:tcW w:w="3456" w:type="dxa"/>
            <w:shd w:val="clear" w:color="auto" w:fill="auto"/>
            <w:tcMar>
              <w:left w:w="57" w:type="dxa"/>
              <w:right w:w="57" w:type="dxa"/>
            </w:tcMar>
          </w:tcPr>
          <w:p w14:paraId="2E68275D"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Proportion of fisheries cost recovery levies reviewed and set prior to the commencement of the licensing year (1 April)</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6CBAF42C"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5B363092"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070" w:type="dxa"/>
            <w:shd w:val="clear" w:color="auto" w:fill="auto"/>
            <w:tcMar>
              <w:left w:w="57" w:type="dxa"/>
              <w:right w:w="57" w:type="dxa"/>
            </w:tcMar>
          </w:tcPr>
          <w:p w14:paraId="48F24328"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100</w:t>
            </w:r>
            <w:r w:rsidRPr="00F163AE">
              <w:rPr>
                <w:rFonts w:ascii="Arial" w:hAnsi="Arial" w:cs="Arial"/>
                <w:sz w:val="24"/>
                <w:szCs w:val="24"/>
              </w:rPr>
              <w:fldChar w:fldCharType="end"/>
            </w:r>
          </w:p>
        </w:tc>
        <w:tc>
          <w:tcPr>
            <w:tcW w:w="1336" w:type="dxa"/>
            <w:shd w:val="clear" w:color="auto" w:fill="auto"/>
            <w:tcMar>
              <w:left w:w="57" w:type="dxa"/>
              <w:right w:w="57" w:type="dxa"/>
            </w:tcMar>
          </w:tcPr>
          <w:p w14:paraId="11072183"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599D591C"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103F1A1D" w14:textId="77777777" w:rsidTr="008D316C">
        <w:trPr>
          <w:trHeight w:val="340"/>
        </w:trPr>
        <w:tc>
          <w:tcPr>
            <w:tcW w:w="3456" w:type="dxa"/>
            <w:shd w:val="clear" w:color="auto" w:fill="auto"/>
            <w:tcMar>
              <w:left w:w="57" w:type="dxa"/>
              <w:right w:w="57" w:type="dxa"/>
            </w:tcMar>
          </w:tcPr>
          <w:p w14:paraId="657A6AF1"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NEXT </w:instrText>
            </w:r>
            <w:r w:rsidRPr="00F163AE">
              <w:rPr>
                <w:rFonts w:ascii="Arial" w:hAnsi="Arial" w:cs="Arial"/>
                <w:sz w:val="24"/>
                <w:szCs w:val="24"/>
              </w:rPr>
              <w:fldChar w:fldCharType="end"/>
            </w:r>
            <w:r w:rsidR="00105501" w:rsidRPr="00F163AE">
              <w:rPr>
                <w:rFonts w:ascii="Arial" w:hAnsi="Arial" w:cs="Arial"/>
                <w:sz w:val="24"/>
                <w:szCs w:val="24"/>
              </w:rPr>
              <w:fldChar w:fldCharType="begin"/>
            </w:r>
            <w:r w:rsidR="00105501" w:rsidRPr="00F163AE">
              <w:rPr>
                <w:rFonts w:ascii="Arial" w:hAnsi="Arial" w:cs="Arial"/>
                <w:sz w:val="24"/>
                <w:szCs w:val="24"/>
              </w:rPr>
              <w:instrText xml:space="preserve"> MERGEFIELD M_7 </w:instrText>
            </w:r>
            <w:r w:rsidR="00105501" w:rsidRPr="00F163AE">
              <w:rPr>
                <w:rFonts w:ascii="Arial" w:hAnsi="Arial" w:cs="Arial"/>
                <w:sz w:val="24"/>
                <w:szCs w:val="24"/>
              </w:rPr>
              <w:fldChar w:fldCharType="separate"/>
            </w:r>
            <w:r w:rsidRPr="00F163AE">
              <w:rPr>
                <w:rFonts w:ascii="Arial" w:hAnsi="Arial" w:cs="Arial"/>
                <w:sz w:val="24"/>
                <w:szCs w:val="24"/>
              </w:rPr>
              <w:t>Research project milestones and reports completed on time (Fisheries)</w:t>
            </w:r>
            <w:r w:rsidR="00105501" w:rsidRPr="00F163AE">
              <w:rPr>
                <w:rFonts w:ascii="Arial" w:hAnsi="Arial" w:cs="Arial"/>
                <w:sz w:val="24"/>
                <w:szCs w:val="24"/>
              </w:rPr>
              <w:fldChar w:fldCharType="end"/>
            </w:r>
          </w:p>
        </w:tc>
        <w:tc>
          <w:tcPr>
            <w:tcW w:w="1070" w:type="dxa"/>
            <w:shd w:val="clear" w:color="auto" w:fill="auto"/>
            <w:tcMar>
              <w:left w:w="57" w:type="dxa"/>
              <w:right w:w="57" w:type="dxa"/>
            </w:tcMar>
          </w:tcPr>
          <w:p w14:paraId="246590FF"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M_10 </w:instrText>
            </w:r>
            <w:r w:rsidRPr="00F163AE">
              <w:rPr>
                <w:rFonts w:ascii="Arial" w:hAnsi="Arial" w:cs="Arial"/>
                <w:sz w:val="24"/>
                <w:szCs w:val="24"/>
              </w:rPr>
              <w:fldChar w:fldCharType="separate"/>
            </w:r>
            <w:r w:rsidR="003E5BF5" w:rsidRPr="00F163AE">
              <w:rPr>
                <w:rFonts w:ascii="Arial" w:hAnsi="Arial" w:cs="Arial"/>
                <w:sz w:val="24"/>
                <w:szCs w:val="24"/>
              </w:rPr>
              <w:t>per cent</w:t>
            </w:r>
            <w:r w:rsidRPr="00F163AE">
              <w:rPr>
                <w:rFonts w:ascii="Arial" w:hAnsi="Arial" w:cs="Arial"/>
                <w:sz w:val="24"/>
                <w:szCs w:val="24"/>
              </w:rPr>
              <w:fldChar w:fldCharType="end"/>
            </w:r>
          </w:p>
        </w:tc>
        <w:tc>
          <w:tcPr>
            <w:tcW w:w="1070" w:type="dxa"/>
            <w:shd w:val="clear" w:color="auto" w:fill="auto"/>
            <w:tcMar>
              <w:left w:w="57" w:type="dxa"/>
              <w:right w:w="57" w:type="dxa"/>
            </w:tcMar>
          </w:tcPr>
          <w:p w14:paraId="67783A43"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M_20 </w:instrText>
            </w:r>
            <w:r w:rsidRPr="00F163AE">
              <w:rPr>
                <w:rFonts w:ascii="Arial" w:hAnsi="Arial" w:cs="Arial"/>
                <w:sz w:val="24"/>
                <w:szCs w:val="24"/>
              </w:rPr>
              <w:fldChar w:fldCharType="separate"/>
            </w:r>
            <w:r w:rsidR="003E5BF5" w:rsidRPr="00F163AE">
              <w:rPr>
                <w:rFonts w:ascii="Arial" w:hAnsi="Arial" w:cs="Arial"/>
                <w:sz w:val="24"/>
                <w:szCs w:val="24"/>
              </w:rPr>
              <w:t>90</w:t>
            </w:r>
            <w:r w:rsidRPr="00F163AE">
              <w:rPr>
                <w:rFonts w:ascii="Arial" w:hAnsi="Arial" w:cs="Arial"/>
                <w:sz w:val="24"/>
                <w:szCs w:val="24"/>
              </w:rPr>
              <w:fldChar w:fldCharType="end"/>
            </w:r>
          </w:p>
        </w:tc>
        <w:tc>
          <w:tcPr>
            <w:tcW w:w="1070" w:type="dxa"/>
            <w:shd w:val="clear" w:color="auto" w:fill="auto"/>
            <w:tcMar>
              <w:left w:w="57" w:type="dxa"/>
              <w:right w:w="57" w:type="dxa"/>
            </w:tcMar>
          </w:tcPr>
          <w:p w14:paraId="0A5FFBF4"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M_12 </w:instrText>
            </w:r>
            <w:r w:rsidRPr="00F163AE">
              <w:rPr>
                <w:rFonts w:ascii="Arial" w:hAnsi="Arial" w:cs="Arial"/>
                <w:sz w:val="24"/>
                <w:szCs w:val="24"/>
              </w:rPr>
              <w:fldChar w:fldCharType="separate"/>
            </w:r>
            <w:r w:rsidR="003E5BF5" w:rsidRPr="00F163AE">
              <w:rPr>
                <w:rFonts w:ascii="Arial" w:hAnsi="Arial" w:cs="Arial"/>
                <w:sz w:val="24"/>
                <w:szCs w:val="24"/>
              </w:rPr>
              <w:t>90</w:t>
            </w:r>
            <w:r w:rsidRPr="00F163AE">
              <w:rPr>
                <w:rFonts w:ascii="Arial" w:hAnsi="Arial" w:cs="Arial"/>
                <w:sz w:val="24"/>
                <w:szCs w:val="24"/>
              </w:rPr>
              <w:fldChar w:fldCharType="end"/>
            </w:r>
          </w:p>
        </w:tc>
        <w:tc>
          <w:tcPr>
            <w:tcW w:w="1336" w:type="dxa"/>
            <w:shd w:val="clear" w:color="auto" w:fill="auto"/>
            <w:tcMar>
              <w:left w:w="57" w:type="dxa"/>
              <w:right w:w="57" w:type="dxa"/>
            </w:tcMar>
          </w:tcPr>
          <w:p w14:paraId="1F516A6D" w14:textId="77777777" w:rsidR="003E5BF5" w:rsidRPr="00F163AE" w:rsidRDefault="00105501" w:rsidP="00DE1921">
            <w:pPr>
              <w:pStyle w:val="TableTextRight"/>
              <w:rPr>
                <w:rFonts w:ascii="Arial" w:hAnsi="Arial" w:cs="Arial"/>
                <w:sz w:val="24"/>
                <w:szCs w:val="24"/>
              </w:rPr>
            </w:pPr>
            <w:r w:rsidRPr="00F163AE">
              <w:rPr>
                <w:rFonts w:ascii="Arial" w:hAnsi="Arial" w:cs="Arial"/>
                <w:sz w:val="24"/>
                <w:szCs w:val="24"/>
              </w:rPr>
              <w:fldChar w:fldCharType="begin"/>
            </w:r>
            <w:r w:rsidRPr="00F163AE">
              <w:rPr>
                <w:rFonts w:ascii="Arial" w:hAnsi="Arial" w:cs="Arial"/>
                <w:sz w:val="24"/>
                <w:szCs w:val="24"/>
              </w:rPr>
              <w:instrText xml:space="preserve"> MERGEFIELD M_24 </w:instrText>
            </w:r>
            <w:r w:rsidRPr="00F163AE">
              <w:rPr>
                <w:rFonts w:ascii="Arial" w:hAnsi="Arial" w:cs="Arial"/>
                <w:sz w:val="24"/>
                <w:szCs w:val="24"/>
              </w:rPr>
              <w:fldChar w:fldCharType="separate"/>
            </w:r>
            <w:r w:rsidR="003E5BF5" w:rsidRPr="00F163AE">
              <w:rPr>
                <w:rFonts w:ascii="Arial" w:hAnsi="Arial" w:cs="Arial"/>
                <w:sz w:val="24"/>
                <w:szCs w:val="24"/>
              </w:rPr>
              <w:t>0.0</w:t>
            </w:r>
            <w:r w:rsidRPr="00F163AE">
              <w:rPr>
                <w:rFonts w:ascii="Arial" w:hAnsi="Arial" w:cs="Arial"/>
                <w:sz w:val="24"/>
                <w:szCs w:val="24"/>
              </w:rPr>
              <w:fldChar w:fldCharType="end"/>
            </w:r>
          </w:p>
        </w:tc>
        <w:tc>
          <w:tcPr>
            <w:tcW w:w="1070" w:type="dxa"/>
            <w:shd w:val="clear" w:color="auto" w:fill="auto"/>
            <w:tcMar>
              <w:left w:w="57" w:type="dxa"/>
              <w:right w:w="57" w:type="dxa"/>
            </w:tcMar>
          </w:tcPr>
          <w:p w14:paraId="116CA693"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FC"/>
            </w:r>
          </w:p>
        </w:tc>
      </w:tr>
      <w:tr w:rsidR="003E5BF5" w:rsidRPr="00F163AE" w14:paraId="0C6EB32E" w14:textId="77777777" w:rsidTr="008D316C">
        <w:trPr>
          <w:trHeight w:val="340"/>
        </w:trPr>
        <w:tc>
          <w:tcPr>
            <w:tcW w:w="3456" w:type="dxa"/>
            <w:shd w:val="clear" w:color="auto" w:fill="auto"/>
            <w:tcMar>
              <w:left w:w="57" w:type="dxa"/>
              <w:right w:w="57" w:type="dxa"/>
            </w:tcMar>
            <w:vAlign w:val="center"/>
          </w:tcPr>
          <w:p w14:paraId="5FD993AA" w14:textId="77777777" w:rsidR="003E5BF5" w:rsidRPr="00F163AE" w:rsidRDefault="003E5BF5" w:rsidP="00DE1921">
            <w:pPr>
              <w:pStyle w:val="TableTextLeftItalics"/>
              <w:rPr>
                <w:rFonts w:ascii="Arial" w:hAnsi="Arial" w:cs="Arial"/>
                <w:b/>
                <w:sz w:val="24"/>
                <w:szCs w:val="24"/>
              </w:rPr>
            </w:pPr>
            <w:r w:rsidRPr="00F163AE">
              <w:rPr>
                <w:rFonts w:ascii="Arial" w:hAnsi="Arial" w:cs="Arial"/>
                <w:b/>
                <w:sz w:val="24"/>
                <w:szCs w:val="24"/>
              </w:rPr>
              <w:t>Cost</w:t>
            </w:r>
          </w:p>
        </w:tc>
        <w:tc>
          <w:tcPr>
            <w:tcW w:w="1070" w:type="dxa"/>
            <w:shd w:val="clear" w:color="auto" w:fill="auto"/>
            <w:tcMar>
              <w:left w:w="57" w:type="dxa"/>
              <w:right w:w="57" w:type="dxa"/>
            </w:tcMar>
            <w:vAlign w:val="center"/>
          </w:tcPr>
          <w:p w14:paraId="3902C563"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3A5B3EA2"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597E9442" w14:textId="77777777" w:rsidR="003E5BF5" w:rsidRPr="00F163AE" w:rsidRDefault="003E5BF5" w:rsidP="00DE1921">
            <w:pPr>
              <w:pStyle w:val="TableTextRight"/>
              <w:rPr>
                <w:rFonts w:ascii="Arial" w:hAnsi="Arial" w:cs="Arial"/>
                <w:sz w:val="24"/>
                <w:szCs w:val="24"/>
              </w:rPr>
            </w:pPr>
          </w:p>
        </w:tc>
        <w:tc>
          <w:tcPr>
            <w:tcW w:w="1336" w:type="dxa"/>
            <w:shd w:val="clear" w:color="auto" w:fill="auto"/>
            <w:tcMar>
              <w:left w:w="57" w:type="dxa"/>
              <w:right w:w="57" w:type="dxa"/>
            </w:tcMar>
            <w:vAlign w:val="center"/>
          </w:tcPr>
          <w:p w14:paraId="680A85C9" w14:textId="77777777" w:rsidR="003E5BF5" w:rsidRPr="00F163AE" w:rsidRDefault="003E5BF5" w:rsidP="00DE1921">
            <w:pPr>
              <w:pStyle w:val="TableTextRight"/>
              <w:rPr>
                <w:rFonts w:ascii="Arial" w:hAnsi="Arial" w:cs="Arial"/>
                <w:sz w:val="24"/>
                <w:szCs w:val="24"/>
              </w:rPr>
            </w:pPr>
          </w:p>
        </w:tc>
        <w:tc>
          <w:tcPr>
            <w:tcW w:w="1070" w:type="dxa"/>
            <w:shd w:val="clear" w:color="auto" w:fill="auto"/>
            <w:tcMar>
              <w:left w:w="57" w:type="dxa"/>
              <w:right w:w="57" w:type="dxa"/>
            </w:tcMar>
            <w:vAlign w:val="center"/>
          </w:tcPr>
          <w:p w14:paraId="76BB59BE" w14:textId="77777777" w:rsidR="003E5BF5" w:rsidRPr="00F163AE" w:rsidRDefault="003E5BF5" w:rsidP="00DE1921">
            <w:pPr>
              <w:pStyle w:val="TableTextRight"/>
              <w:spacing w:before="40"/>
              <w:rPr>
                <w:rFonts w:ascii="Arial" w:hAnsi="Arial" w:cs="Arial"/>
                <w:sz w:val="24"/>
                <w:szCs w:val="24"/>
              </w:rPr>
            </w:pPr>
          </w:p>
        </w:tc>
      </w:tr>
      <w:tr w:rsidR="003E5BF5" w:rsidRPr="00F163AE" w14:paraId="14B9A53C" w14:textId="77777777" w:rsidTr="008D316C">
        <w:trPr>
          <w:trHeight w:val="340"/>
        </w:trPr>
        <w:tc>
          <w:tcPr>
            <w:tcW w:w="3456" w:type="dxa"/>
            <w:shd w:val="clear" w:color="auto" w:fill="auto"/>
            <w:tcMar>
              <w:left w:w="57" w:type="dxa"/>
              <w:right w:w="57" w:type="dxa"/>
            </w:tcMar>
            <w:vAlign w:val="center"/>
          </w:tcPr>
          <w:p w14:paraId="0DDCA795"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Total output cost</w:t>
            </w:r>
          </w:p>
        </w:tc>
        <w:tc>
          <w:tcPr>
            <w:tcW w:w="1070" w:type="dxa"/>
            <w:shd w:val="clear" w:color="auto" w:fill="auto"/>
            <w:tcMar>
              <w:left w:w="57" w:type="dxa"/>
              <w:right w:w="57" w:type="dxa"/>
            </w:tcMar>
            <w:vAlign w:val="center"/>
          </w:tcPr>
          <w:p w14:paraId="6515B79F"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 million</w:t>
            </w:r>
          </w:p>
        </w:tc>
        <w:tc>
          <w:tcPr>
            <w:tcW w:w="1070" w:type="dxa"/>
            <w:shd w:val="clear" w:color="auto" w:fill="auto"/>
            <w:tcMar>
              <w:left w:w="57" w:type="dxa"/>
              <w:right w:w="57" w:type="dxa"/>
            </w:tcMar>
            <w:vAlign w:val="center"/>
          </w:tcPr>
          <w:p w14:paraId="0D324D52"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56.4</w:t>
            </w:r>
          </w:p>
        </w:tc>
        <w:tc>
          <w:tcPr>
            <w:tcW w:w="1070" w:type="dxa"/>
            <w:shd w:val="clear" w:color="auto" w:fill="auto"/>
            <w:tcMar>
              <w:left w:w="57" w:type="dxa"/>
              <w:right w:w="57" w:type="dxa"/>
            </w:tcMar>
            <w:vAlign w:val="center"/>
          </w:tcPr>
          <w:p w14:paraId="5DCCEE3F"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41.6</w:t>
            </w:r>
          </w:p>
        </w:tc>
        <w:tc>
          <w:tcPr>
            <w:tcW w:w="1336" w:type="dxa"/>
            <w:shd w:val="clear" w:color="auto" w:fill="auto"/>
            <w:tcMar>
              <w:left w:w="57" w:type="dxa"/>
              <w:right w:w="57" w:type="dxa"/>
            </w:tcMar>
            <w:vAlign w:val="center"/>
          </w:tcPr>
          <w:p w14:paraId="19DCCE37"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35.6</w:t>
            </w:r>
          </w:p>
        </w:tc>
        <w:tc>
          <w:tcPr>
            <w:tcW w:w="1070" w:type="dxa"/>
            <w:shd w:val="clear" w:color="auto" w:fill="auto"/>
            <w:tcMar>
              <w:left w:w="57" w:type="dxa"/>
              <w:right w:w="57" w:type="dxa"/>
            </w:tcMar>
          </w:tcPr>
          <w:p w14:paraId="46DFD9F7" w14:textId="77777777" w:rsidR="003E5BF5" w:rsidRPr="00F163AE" w:rsidRDefault="003E5BF5" w:rsidP="00DE1921">
            <w:pPr>
              <w:pStyle w:val="TableTextCentre"/>
              <w:spacing w:before="40"/>
              <w:jc w:val="right"/>
              <w:rPr>
                <w:rFonts w:ascii="Arial" w:hAnsi="Arial" w:cs="Arial"/>
                <w:sz w:val="24"/>
                <w:szCs w:val="24"/>
              </w:rPr>
            </w:pPr>
            <w:r w:rsidRPr="00F163AE">
              <w:rPr>
                <w:rFonts w:ascii="Arial" w:hAnsi="Arial" w:cs="Arial"/>
                <w:sz w:val="24"/>
                <w:szCs w:val="24"/>
              </w:rPr>
              <w:sym w:font="Wingdings" w:char="F06E"/>
            </w:r>
          </w:p>
        </w:tc>
      </w:tr>
      <w:tr w:rsidR="003E5BF5" w:rsidRPr="00F163AE" w14:paraId="1C6FEAF9" w14:textId="77777777" w:rsidTr="008D316C">
        <w:trPr>
          <w:trHeight w:val="340"/>
        </w:trPr>
        <w:tc>
          <w:tcPr>
            <w:tcW w:w="9072" w:type="dxa"/>
            <w:gridSpan w:val="6"/>
            <w:shd w:val="clear" w:color="auto" w:fill="auto"/>
            <w:tcMar>
              <w:left w:w="57" w:type="dxa"/>
              <w:right w:w="57" w:type="dxa"/>
            </w:tcMar>
          </w:tcPr>
          <w:p w14:paraId="3104B3BB" w14:textId="77777777" w:rsidR="003E5BF5" w:rsidRPr="00F163AE" w:rsidRDefault="003E5BF5" w:rsidP="00DE1921">
            <w:pPr>
              <w:pStyle w:val="TableTextLeftItalics"/>
              <w:rPr>
                <w:rFonts w:ascii="Arial" w:hAnsi="Arial" w:cs="Arial"/>
                <w:sz w:val="24"/>
                <w:szCs w:val="24"/>
              </w:rPr>
            </w:pPr>
            <w:r w:rsidRPr="00F163AE">
              <w:rPr>
                <w:rFonts w:ascii="Arial" w:hAnsi="Arial" w:cs="Arial"/>
                <w:sz w:val="24"/>
                <w:szCs w:val="24"/>
              </w:rPr>
              <w:t xml:space="preserve">The 2019-20 result is higher than the budget predominantly due to the bringing forward of Target Phase Two Gippsland Lakes netting licence buyout and increased expenditure on initiatives including Target One Million Phase 1. </w:t>
            </w:r>
          </w:p>
        </w:tc>
      </w:tr>
    </w:tbl>
    <w:p w14:paraId="0C96045D" w14:textId="77777777" w:rsidR="003E5BF5" w:rsidRPr="00F163AE" w:rsidRDefault="003E5BF5">
      <w:pPr>
        <w:pStyle w:val="Note"/>
        <w:rPr>
          <w:rFonts w:ascii="Arial" w:hAnsi="Arial" w:cs="Arial"/>
          <w:sz w:val="24"/>
          <w:szCs w:val="24"/>
        </w:rPr>
      </w:pPr>
      <w:r w:rsidRPr="00F163AE">
        <w:rPr>
          <w:rFonts w:ascii="Arial" w:hAnsi="Arial" w:cs="Arial"/>
          <w:sz w:val="24"/>
          <w:szCs w:val="24"/>
        </w:rPr>
        <w:t>Notes:</w:t>
      </w:r>
    </w:p>
    <w:p w14:paraId="72321636" w14:textId="77777777" w:rsidR="003E5BF5" w:rsidRPr="00F163AE" w:rsidRDefault="003E5BF5" w:rsidP="00DE1921">
      <w:pPr>
        <w:pStyle w:val="Notenumber123"/>
        <w:numPr>
          <w:ilvl w:val="0"/>
          <w:numId w:val="0"/>
        </w:numPr>
        <w:ind w:left="113"/>
        <w:rPr>
          <w:rFonts w:ascii="Arial" w:hAnsi="Arial" w:cs="Arial"/>
          <w:sz w:val="24"/>
          <w:szCs w:val="24"/>
        </w:rPr>
      </w:pPr>
      <w:r w:rsidRPr="00F163AE">
        <w:rPr>
          <w:rFonts w:ascii="Arial" w:hAnsi="Arial" w:cs="Arial"/>
          <w:sz w:val="24"/>
          <w:szCs w:val="24"/>
        </w:rPr>
        <w:sym w:font="Wingdings 2" w:char="F050"/>
      </w:r>
      <w:r w:rsidRPr="00F163AE">
        <w:rPr>
          <w:rFonts w:ascii="Arial" w:hAnsi="Arial" w:cs="Arial"/>
          <w:sz w:val="24"/>
          <w:szCs w:val="24"/>
        </w:rPr>
        <w:t xml:space="preserve"> Performance target achieved or exceeded</w:t>
      </w:r>
    </w:p>
    <w:p w14:paraId="068AF8D3" w14:textId="1F7B2BF9" w:rsidR="003E5BF5" w:rsidRPr="00F163AE" w:rsidRDefault="003E5BF5" w:rsidP="00DE1921">
      <w:pPr>
        <w:pStyle w:val="Notenumber123"/>
        <w:numPr>
          <w:ilvl w:val="0"/>
          <w:numId w:val="0"/>
        </w:numPr>
        <w:ind w:left="340" w:hanging="227"/>
        <w:rPr>
          <w:rFonts w:ascii="Arial" w:hAnsi="Arial" w:cs="Arial"/>
          <w:sz w:val="24"/>
          <w:szCs w:val="24"/>
        </w:rPr>
      </w:pPr>
      <w:r w:rsidRPr="00F163AE">
        <w:rPr>
          <w:rFonts w:ascii="Arial" w:hAnsi="Arial" w:cs="Arial"/>
          <w:sz w:val="24"/>
          <w:szCs w:val="24"/>
        </w:rPr>
        <w:sym w:font="Wingdings 2" w:char="F0A1"/>
      </w:r>
      <w:r w:rsidRPr="00F163AE">
        <w:rPr>
          <w:rFonts w:ascii="Arial" w:hAnsi="Arial" w:cs="Arial"/>
          <w:sz w:val="24"/>
          <w:szCs w:val="24"/>
        </w:rPr>
        <w:t xml:space="preserve"> Performance target not achieved – exceeds 5 per cent or $50 million (cost measure only) variance</w:t>
      </w:r>
    </w:p>
    <w:p w14:paraId="76DC9185" w14:textId="77777777" w:rsidR="00E70D4B" w:rsidRDefault="00E70D4B" w:rsidP="00DE1921">
      <w:pPr>
        <w:pStyle w:val="Notenumber123"/>
        <w:numPr>
          <w:ilvl w:val="0"/>
          <w:numId w:val="0"/>
        </w:numPr>
        <w:ind w:left="340" w:hanging="227"/>
        <w:sectPr w:rsidR="00E70D4B" w:rsidSect="00DE1921">
          <w:footerReference w:type="even" r:id="rId244"/>
          <w:pgSz w:w="11906" w:h="16838"/>
          <w:pgMar w:top="1440" w:right="1440" w:bottom="1440" w:left="1440" w:header="708" w:footer="708" w:gutter="0"/>
          <w:cols w:space="708"/>
          <w:docGrid w:linePitch="360"/>
        </w:sectPr>
      </w:pPr>
    </w:p>
    <w:p w14:paraId="5352BA3C" w14:textId="27BF7447" w:rsidR="00E70D4B" w:rsidRPr="00795822" w:rsidRDefault="00E70D4B" w:rsidP="00DE1921">
      <w:pPr>
        <w:pStyle w:val="Notenumber123"/>
        <w:numPr>
          <w:ilvl w:val="0"/>
          <w:numId w:val="0"/>
        </w:numPr>
        <w:ind w:left="340" w:hanging="227"/>
      </w:pPr>
      <w:bookmarkStart w:id="785" w:name="p391"/>
      <w:bookmarkEnd w:id="785"/>
    </w:p>
    <w:p w14:paraId="73650943" w14:textId="77777777" w:rsidR="00FE3910" w:rsidRDefault="00FE3910" w:rsidP="008A0170">
      <w:pPr>
        <w:pStyle w:val="Heading1"/>
        <w:sectPr w:rsidR="00FE3910" w:rsidSect="00DE1921">
          <w:pgSz w:w="11906" w:h="16838"/>
          <w:pgMar w:top="1440" w:right="1440" w:bottom="1440" w:left="1440" w:header="708" w:footer="708" w:gutter="0"/>
          <w:cols w:space="708"/>
          <w:docGrid w:linePitch="360"/>
        </w:sectPr>
      </w:pPr>
    </w:p>
    <w:p w14:paraId="57FF729E" w14:textId="77777777" w:rsidR="00AD6C6F" w:rsidRDefault="00AD6C6F" w:rsidP="008A0170">
      <w:pPr>
        <w:pStyle w:val="Heading1"/>
        <w:rPr>
          <w:sz w:val="60"/>
          <w:szCs w:val="60"/>
        </w:rPr>
      </w:pPr>
      <w:bookmarkStart w:id="786" w:name="_Toc55130701"/>
      <w:r w:rsidRPr="00AF5EB7">
        <w:rPr>
          <w:sz w:val="60"/>
          <w:szCs w:val="60"/>
        </w:rPr>
        <w:t xml:space="preserve">Section </w:t>
      </w:r>
      <w:r>
        <w:rPr>
          <w:sz w:val="60"/>
          <w:szCs w:val="60"/>
        </w:rPr>
        <w:t>4</w:t>
      </w:r>
      <w:r w:rsidRPr="00AF5EB7">
        <w:rPr>
          <w:sz w:val="60"/>
          <w:szCs w:val="60"/>
        </w:rPr>
        <w:t xml:space="preserve"> – </w:t>
      </w:r>
      <w:r>
        <w:rPr>
          <w:sz w:val="60"/>
          <w:szCs w:val="60"/>
        </w:rPr>
        <w:t>Appendices</w:t>
      </w:r>
      <w:bookmarkEnd w:id="786"/>
    </w:p>
    <w:p w14:paraId="444A3BA0" w14:textId="4A7079DA" w:rsidR="003E5BF5" w:rsidRDefault="003E5BF5" w:rsidP="008A0170">
      <w:pPr>
        <w:pStyle w:val="Heading1"/>
        <w:sectPr w:rsidR="003E5BF5" w:rsidSect="00FE3910">
          <w:type w:val="continuous"/>
          <w:pgSz w:w="11906" w:h="16838"/>
          <w:pgMar w:top="1440" w:right="1440" w:bottom="1440" w:left="1440" w:header="708" w:footer="708" w:gutter="0"/>
          <w:cols w:space="708"/>
          <w:docGrid w:linePitch="360"/>
        </w:sectPr>
      </w:pPr>
      <w:bookmarkStart w:id="787" w:name="_Toc55130702"/>
      <w:r>
        <w:t>Appendix 1: People and workplace</w:t>
      </w:r>
      <w:bookmarkEnd w:id="787"/>
    </w:p>
    <w:p w14:paraId="6EDE4DFA" w14:textId="77777777" w:rsidR="003E5BF5" w:rsidRPr="00646D78" w:rsidRDefault="003E5BF5" w:rsidP="008A0170">
      <w:pPr>
        <w:pStyle w:val="Heading2"/>
      </w:pPr>
      <w:r>
        <w:t>Public sector values and employment principles</w:t>
      </w:r>
    </w:p>
    <w:p w14:paraId="61625C64" w14:textId="77777777" w:rsidR="003E5BF5" w:rsidRDefault="003E5BF5" w:rsidP="00091232">
      <w:pPr>
        <w:pStyle w:val="aaatyping"/>
      </w:pPr>
      <w:r>
        <w:t>The department continues its initiatives to foster the highest possible standard of integrity and conduct across the department, supporting staff to build a workplace that demonstrates respect, trust and openness in the way we improve outcomes for all Victorians.</w:t>
      </w:r>
    </w:p>
    <w:p w14:paraId="157F49D0" w14:textId="77777777" w:rsidR="003E5BF5" w:rsidRDefault="003E5BF5" w:rsidP="008A0170">
      <w:pPr>
        <w:pStyle w:val="Heading2"/>
      </w:pPr>
      <w:r>
        <w:t>Employment and conduct principles</w:t>
      </w:r>
    </w:p>
    <w:p w14:paraId="4F3F701A" w14:textId="1552BB2B" w:rsidR="003E5BF5" w:rsidRDefault="003E5BF5" w:rsidP="00B4366B">
      <w:pPr>
        <w:pStyle w:val="aaatyping"/>
      </w:pPr>
      <w:r>
        <w:t xml:space="preserve">The department is committed to meeting the public sector values and employment principles set out in the </w:t>
      </w:r>
      <w:r w:rsidRPr="00CA03D3">
        <w:rPr>
          <w:i/>
          <w:iCs/>
        </w:rPr>
        <w:t>Public Administration Act 2004</w:t>
      </w:r>
      <w:r>
        <w:t>. In continuing to develop and maintain its policies and procedures across 2019-20, the department ensured these values and principles were reflected and communicated. Information related to public sector conduct and the Victorian Public Service (VPS) employment principles is promoted via policies on the intranet and through expert advice provided by People and Culture.</w:t>
      </w:r>
    </w:p>
    <w:p w14:paraId="4FBC707C" w14:textId="019DAE7A" w:rsidR="003E5BF5" w:rsidRDefault="003E5BF5" w:rsidP="008A0170">
      <w:pPr>
        <w:pStyle w:val="Heading2"/>
      </w:pPr>
      <w:r>
        <w:t>Workforce inclusion policy</w:t>
      </w:r>
    </w:p>
    <w:p w14:paraId="0B341320" w14:textId="77777777" w:rsidR="003E5BF5" w:rsidRDefault="003E5BF5" w:rsidP="00EF5131">
      <w:pPr>
        <w:pStyle w:val="Heading5"/>
      </w:pPr>
      <w:r>
        <w:t>Inclusion and Diversity Initiatives</w:t>
      </w:r>
    </w:p>
    <w:p w14:paraId="67CE7070" w14:textId="77777777" w:rsidR="003E5BF5" w:rsidRPr="00D354F8" w:rsidRDefault="003E5BF5" w:rsidP="00B4366B">
      <w:pPr>
        <w:pStyle w:val="aaatyping"/>
      </w:pPr>
      <w:r w:rsidRPr="00D354F8">
        <w:t xml:space="preserve">As part of our commitment to create </w:t>
      </w:r>
      <w:r>
        <w:t xml:space="preserve">a </w:t>
      </w:r>
      <w:r w:rsidRPr="00D354F8">
        <w:t xml:space="preserve">workplace culture that values inclusion and diversity, we have implemented several initiatives as outlined in </w:t>
      </w:r>
      <w:r>
        <w:t>the</w:t>
      </w:r>
      <w:r w:rsidRPr="00D354F8">
        <w:t xml:space="preserve"> Department of Transport Inclusion &amp; Diversity Strategy 20</w:t>
      </w:r>
      <w:r>
        <w:t>20</w:t>
      </w:r>
      <w:r w:rsidRPr="00D354F8">
        <w:t>-2023 (I&amp;D Strategy). We aim to leverage the diversity of our workforce by creating and sustaining an inclusive workplace culture where our people are safe, diverse, valued and high performing.</w:t>
      </w:r>
    </w:p>
    <w:p w14:paraId="75BC7344" w14:textId="77777777" w:rsidR="003E5BF5" w:rsidRPr="00D354F8" w:rsidRDefault="003E5BF5" w:rsidP="00B4366B">
      <w:pPr>
        <w:pStyle w:val="aaatyping"/>
      </w:pPr>
      <w:r w:rsidRPr="00D354F8">
        <w:lastRenderedPageBreak/>
        <w:t xml:space="preserve">Consistent with the </w:t>
      </w:r>
      <w:r>
        <w:t xml:space="preserve">department’s </w:t>
      </w:r>
      <w:r w:rsidRPr="00D354F8">
        <w:t xml:space="preserve">Strategic Plan </w:t>
      </w:r>
      <w:r>
        <w:t>2019</w:t>
      </w:r>
      <w:r w:rsidRPr="00D354F8">
        <w:t>-2023, our I&amp;D Strategy specifically acknowledges the additional challenges experienced by five groups traditionally marginalised in the workplace, being:</w:t>
      </w:r>
    </w:p>
    <w:p w14:paraId="599EFE33" w14:textId="77777777" w:rsidR="003E5BF5" w:rsidRPr="00D354F8" w:rsidRDefault="003E5BF5" w:rsidP="00B4366B">
      <w:pPr>
        <w:pStyle w:val="aaabullet"/>
      </w:pPr>
      <w:r w:rsidRPr="00D354F8">
        <w:t>Women</w:t>
      </w:r>
    </w:p>
    <w:p w14:paraId="438AC62A" w14:textId="77777777" w:rsidR="003E5BF5" w:rsidRPr="00D354F8" w:rsidRDefault="003E5BF5" w:rsidP="00B4366B">
      <w:pPr>
        <w:pStyle w:val="aaabullet"/>
      </w:pPr>
      <w:r w:rsidRPr="00D354F8">
        <w:t>Aboriginal and/or Torres Strait Islander Australians</w:t>
      </w:r>
    </w:p>
    <w:p w14:paraId="3DE118B8" w14:textId="77777777" w:rsidR="003E5BF5" w:rsidRPr="00D354F8" w:rsidRDefault="003E5BF5" w:rsidP="00B4366B">
      <w:pPr>
        <w:pStyle w:val="aaabullet"/>
      </w:pPr>
      <w:r w:rsidRPr="00D354F8">
        <w:t>LGB</w:t>
      </w:r>
      <w:r>
        <w:t>T</w:t>
      </w:r>
      <w:r w:rsidRPr="00D354F8">
        <w:t>IQ+ people</w:t>
      </w:r>
    </w:p>
    <w:p w14:paraId="7F7E0E0D" w14:textId="77777777" w:rsidR="003E5BF5" w:rsidRPr="00D354F8" w:rsidRDefault="003E5BF5" w:rsidP="00B4366B">
      <w:pPr>
        <w:pStyle w:val="aaabullet"/>
      </w:pPr>
      <w:r w:rsidRPr="00D354F8">
        <w:t>People with disability</w:t>
      </w:r>
    </w:p>
    <w:p w14:paraId="21EE064E" w14:textId="77777777" w:rsidR="003E5BF5" w:rsidRPr="00D354F8" w:rsidRDefault="003E5BF5" w:rsidP="00B4366B">
      <w:pPr>
        <w:pStyle w:val="aaabullet"/>
      </w:pPr>
      <w:r w:rsidRPr="00D354F8">
        <w:t>Culturally and linguistically diverse people.</w:t>
      </w:r>
    </w:p>
    <w:p w14:paraId="4374A24C" w14:textId="77777777" w:rsidR="003E5BF5" w:rsidRPr="00F30068" w:rsidRDefault="003E5BF5" w:rsidP="00A9380E">
      <w:pPr>
        <w:pStyle w:val="aaatyping"/>
      </w:pPr>
      <w:r w:rsidRPr="00F30068">
        <w:t xml:space="preserve">Our I&amp;D Strategy sets our workforce composition targets that correspond with the above priorities and Victorian Government targets where available. As the department has only recently formed and has not yet participated in a VPS People Matter Survey, we do not yet have baseline data available for all priority diversity groups. </w:t>
      </w:r>
      <w:r>
        <w:t>We are</w:t>
      </w:r>
      <w:r w:rsidRPr="00F30068">
        <w:t xml:space="preserve"> also in the process of developing a system to regularly capture and track our workforce composition data.</w:t>
      </w:r>
    </w:p>
    <w:p w14:paraId="6C830DC8" w14:textId="77777777" w:rsidR="003E5BF5" w:rsidRPr="00F30068" w:rsidRDefault="003E5BF5" w:rsidP="00A9380E">
      <w:pPr>
        <w:pStyle w:val="aaatyping"/>
      </w:pPr>
      <w:r w:rsidRPr="00F30068">
        <w:t>As part of our I&amp;D Strategy, we have a target of 50</w:t>
      </w:r>
      <w:r>
        <w:t xml:space="preserve"> per cent</w:t>
      </w:r>
      <w:r w:rsidRPr="00F30068">
        <w:t xml:space="preserve"> women in our workforce and 50</w:t>
      </w:r>
      <w:r>
        <w:t xml:space="preserve"> per cent</w:t>
      </w:r>
      <w:r w:rsidRPr="00F30068">
        <w:t xml:space="preserve"> women in leadership roles (VPS5 and above (or equivalent)) by 2023.</w:t>
      </w:r>
    </w:p>
    <w:p w14:paraId="7AB49921" w14:textId="77777777" w:rsidR="003E5BF5" w:rsidRPr="00F30068" w:rsidRDefault="003E5BF5" w:rsidP="00A9380E">
      <w:pPr>
        <w:pStyle w:val="aaatyping"/>
      </w:pPr>
      <w:r w:rsidRPr="00F30068">
        <w:t xml:space="preserve">The </w:t>
      </w:r>
      <w:r>
        <w:t>d</w:t>
      </w:r>
      <w:r w:rsidRPr="00F30068">
        <w:t>epartment values staff with non-binary gender identities at all levels</w:t>
      </w:r>
      <w:r>
        <w:t>,</w:t>
      </w:r>
      <w:r w:rsidRPr="00F30068">
        <w:t xml:space="preserve"> from VPS officers through </w:t>
      </w:r>
      <w:r>
        <w:t>to</w:t>
      </w:r>
      <w:r w:rsidRPr="00F30068">
        <w:t xml:space="preserve"> executives. The </w:t>
      </w:r>
      <w:r>
        <w:t>d</w:t>
      </w:r>
      <w:r w:rsidRPr="00F30068">
        <w:t>epartment acknowledges that</w:t>
      </w:r>
      <w:r>
        <w:t>,</w:t>
      </w:r>
      <w:r w:rsidRPr="00F30068">
        <w:t xml:space="preserve"> due to historic and current barriers to disclosure of non-binary gender identities, staff may not choose to disclose this information. As a result, targets or quotas are not currently a useful way to promote opportunities for gender diverse staff at all levels. </w:t>
      </w:r>
    </w:p>
    <w:p w14:paraId="7D638158" w14:textId="77777777" w:rsidR="003E5BF5" w:rsidRDefault="003E5BF5" w:rsidP="00A9380E">
      <w:pPr>
        <w:pStyle w:val="aaatyping"/>
      </w:pPr>
      <w:r w:rsidRPr="00F30068">
        <w:lastRenderedPageBreak/>
        <w:t xml:space="preserve">The following table outlines </w:t>
      </w:r>
      <w:r>
        <w:t xml:space="preserve">the </w:t>
      </w:r>
      <w:r w:rsidRPr="00F30068">
        <w:t xml:space="preserve">targets in our I&amp;D Strategy and </w:t>
      </w:r>
      <w:r>
        <w:t xml:space="preserve">the </w:t>
      </w:r>
      <w:r w:rsidRPr="00F30068">
        <w:t>baseline data in 2019-20.</w:t>
      </w:r>
    </w:p>
    <w:p w14:paraId="6D65FEA2" w14:textId="77777777" w:rsidR="003E5BF5" w:rsidRPr="00B43B68" w:rsidRDefault="003E5BF5" w:rsidP="00DE1921"/>
    <w:p w14:paraId="7CE67BD1" w14:textId="77777777" w:rsidR="003E5BF5" w:rsidRDefault="003E5BF5" w:rsidP="00DE1921">
      <w:pPr>
        <w:sectPr w:rsidR="003E5BF5" w:rsidSect="00FE3910">
          <w:type w:val="continuous"/>
          <w:pgSz w:w="11906" w:h="16838"/>
          <w:pgMar w:top="1701" w:right="1418" w:bottom="1418" w:left="1418" w:header="709" w:footer="709" w:gutter="0"/>
          <w:cols w:space="284"/>
          <w:docGrid w:linePitch="360"/>
        </w:sectPr>
      </w:pPr>
    </w:p>
    <w:p w14:paraId="42A58AE7" w14:textId="77777777" w:rsidR="00FE3910" w:rsidRDefault="00FE3910" w:rsidP="008869A9">
      <w:pPr>
        <w:pStyle w:val="Heading4"/>
        <w:sectPr w:rsidR="00FE3910" w:rsidSect="00DE1921">
          <w:pgSz w:w="11906" w:h="16838"/>
          <w:pgMar w:top="1701" w:right="1418" w:bottom="1418" w:left="1418" w:header="709" w:footer="709" w:gutter="0"/>
          <w:cols w:space="284"/>
          <w:docGrid w:linePitch="360"/>
        </w:sectPr>
      </w:pPr>
    </w:p>
    <w:p w14:paraId="31290194" w14:textId="062132C6" w:rsidR="003E5BF5" w:rsidRPr="004E52EA" w:rsidRDefault="003E5BF5" w:rsidP="008869A9">
      <w:pPr>
        <w:pStyle w:val="Heading4"/>
      </w:pPr>
      <w:r w:rsidRPr="004E52EA">
        <w:t>Progress against workforce inclusion targets</w:t>
      </w:r>
    </w:p>
    <w:tbl>
      <w:tblPr>
        <w:tblStyle w:val="TableGrid"/>
        <w:tblW w:w="9072" w:type="dxa"/>
        <w:tblLayout w:type="fixed"/>
        <w:tblLook w:val="04A0" w:firstRow="1" w:lastRow="0" w:firstColumn="1" w:lastColumn="0" w:noHBand="0" w:noVBand="1"/>
      </w:tblPr>
      <w:tblGrid>
        <w:gridCol w:w="2127"/>
        <w:gridCol w:w="2409"/>
        <w:gridCol w:w="2268"/>
        <w:gridCol w:w="2268"/>
      </w:tblGrid>
      <w:tr w:rsidR="003E5BF5" w:rsidRPr="00F163AE" w14:paraId="5B9AA55D" w14:textId="77777777" w:rsidTr="00FE5165">
        <w:trPr>
          <w:trHeight w:val="340"/>
        </w:trPr>
        <w:tc>
          <w:tcPr>
            <w:tcW w:w="2127" w:type="dxa"/>
            <w:shd w:val="clear" w:color="auto" w:fill="auto"/>
            <w:tcMar>
              <w:left w:w="57" w:type="dxa"/>
              <w:right w:w="57" w:type="dxa"/>
            </w:tcMar>
          </w:tcPr>
          <w:p w14:paraId="0D2E5FF6" w14:textId="77777777" w:rsidR="003E5BF5" w:rsidRPr="00F163AE" w:rsidRDefault="003E5BF5" w:rsidP="00DE1921">
            <w:pPr>
              <w:pStyle w:val="TableTextLeftBold"/>
              <w:rPr>
                <w:rFonts w:ascii="Arial" w:hAnsi="Arial" w:cs="Arial"/>
                <w:sz w:val="24"/>
                <w:szCs w:val="24"/>
              </w:rPr>
            </w:pPr>
            <w:r w:rsidRPr="00F163AE">
              <w:rPr>
                <w:rFonts w:ascii="Arial" w:hAnsi="Arial" w:cs="Arial"/>
                <w:sz w:val="24"/>
                <w:szCs w:val="24"/>
                <w:lang w:val="en-GB"/>
              </w:rPr>
              <w:t>Workforce inclusion policy initiatives</w:t>
            </w:r>
          </w:p>
        </w:tc>
        <w:tc>
          <w:tcPr>
            <w:tcW w:w="2409" w:type="dxa"/>
            <w:shd w:val="clear" w:color="auto" w:fill="auto"/>
            <w:tcMar>
              <w:left w:w="57" w:type="dxa"/>
              <w:right w:w="57" w:type="dxa"/>
            </w:tcMar>
            <w:vAlign w:val="center"/>
          </w:tcPr>
          <w:p w14:paraId="47242800" w14:textId="77777777" w:rsidR="003E5BF5" w:rsidRPr="00F163AE" w:rsidRDefault="003E5BF5" w:rsidP="00DE1921">
            <w:pPr>
              <w:pStyle w:val="TableTextLeftBold"/>
              <w:rPr>
                <w:rFonts w:ascii="Arial" w:hAnsi="Arial" w:cs="Arial"/>
                <w:sz w:val="24"/>
                <w:szCs w:val="24"/>
              </w:rPr>
            </w:pPr>
            <w:r w:rsidRPr="00F163AE">
              <w:rPr>
                <w:rFonts w:ascii="Arial" w:hAnsi="Arial" w:cs="Arial"/>
                <w:sz w:val="24"/>
                <w:szCs w:val="24"/>
                <w:lang w:val="en-GB"/>
              </w:rPr>
              <w:t>Target</w:t>
            </w:r>
          </w:p>
        </w:tc>
        <w:tc>
          <w:tcPr>
            <w:tcW w:w="2268" w:type="dxa"/>
            <w:shd w:val="clear" w:color="auto" w:fill="auto"/>
            <w:tcMar>
              <w:left w:w="57" w:type="dxa"/>
              <w:right w:w="57" w:type="dxa"/>
            </w:tcMar>
            <w:vAlign w:val="center"/>
          </w:tcPr>
          <w:p w14:paraId="511F545A" w14:textId="77777777" w:rsidR="003E5BF5" w:rsidRPr="00F163AE" w:rsidRDefault="003E5BF5" w:rsidP="00DE1921">
            <w:pPr>
              <w:pStyle w:val="TableTextLeftBold"/>
              <w:rPr>
                <w:rFonts w:ascii="Arial" w:hAnsi="Arial" w:cs="Arial"/>
                <w:sz w:val="24"/>
                <w:szCs w:val="24"/>
              </w:rPr>
            </w:pPr>
            <w:r w:rsidRPr="00F163AE">
              <w:rPr>
                <w:rFonts w:ascii="Arial" w:hAnsi="Arial" w:cs="Arial"/>
                <w:sz w:val="24"/>
                <w:szCs w:val="24"/>
                <w:lang w:val="en-GB"/>
              </w:rPr>
              <w:t>Actual progress in 2018</w:t>
            </w:r>
            <w:r w:rsidRPr="00F163AE">
              <w:rPr>
                <w:rFonts w:ascii="Arial" w:hAnsi="Arial" w:cs="Arial"/>
                <w:sz w:val="24"/>
                <w:szCs w:val="24"/>
                <w:lang w:val="en-GB"/>
              </w:rPr>
              <w:noBreakHyphen/>
              <w:t>19</w:t>
            </w:r>
          </w:p>
        </w:tc>
        <w:tc>
          <w:tcPr>
            <w:tcW w:w="2268" w:type="dxa"/>
            <w:shd w:val="clear" w:color="auto" w:fill="auto"/>
            <w:tcMar>
              <w:left w:w="57" w:type="dxa"/>
              <w:right w:w="57" w:type="dxa"/>
            </w:tcMar>
            <w:vAlign w:val="center"/>
          </w:tcPr>
          <w:p w14:paraId="39F3DE0F" w14:textId="77777777" w:rsidR="003E5BF5" w:rsidRPr="00F163AE" w:rsidRDefault="003E5BF5" w:rsidP="00DE1921">
            <w:pPr>
              <w:pStyle w:val="TableTextLeftBold"/>
              <w:rPr>
                <w:rFonts w:ascii="Arial" w:hAnsi="Arial" w:cs="Arial"/>
                <w:sz w:val="24"/>
                <w:szCs w:val="24"/>
              </w:rPr>
            </w:pPr>
            <w:r w:rsidRPr="00F163AE">
              <w:rPr>
                <w:rFonts w:ascii="Arial" w:hAnsi="Arial" w:cs="Arial"/>
                <w:sz w:val="24"/>
                <w:szCs w:val="24"/>
                <w:lang w:val="en-GB"/>
              </w:rPr>
              <w:t>Actual progress in 2019</w:t>
            </w:r>
            <w:r w:rsidRPr="00F163AE">
              <w:rPr>
                <w:rFonts w:ascii="Arial" w:hAnsi="Arial" w:cs="Arial"/>
                <w:sz w:val="24"/>
                <w:szCs w:val="24"/>
                <w:lang w:val="en-GB"/>
              </w:rPr>
              <w:noBreakHyphen/>
              <w:t>20</w:t>
            </w:r>
          </w:p>
        </w:tc>
      </w:tr>
      <w:tr w:rsidR="003E5BF5" w:rsidRPr="00F163AE" w14:paraId="24EEEBEB" w14:textId="77777777" w:rsidTr="00FE5165">
        <w:trPr>
          <w:trHeight w:val="340"/>
        </w:trPr>
        <w:tc>
          <w:tcPr>
            <w:tcW w:w="2127" w:type="dxa"/>
            <w:shd w:val="clear" w:color="auto" w:fill="auto"/>
            <w:tcMar>
              <w:left w:w="57" w:type="dxa"/>
              <w:right w:w="57" w:type="dxa"/>
            </w:tcMar>
          </w:tcPr>
          <w:p w14:paraId="56C6B84D"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Women</w:t>
            </w:r>
          </w:p>
        </w:tc>
        <w:tc>
          <w:tcPr>
            <w:tcW w:w="2409" w:type="dxa"/>
            <w:shd w:val="clear" w:color="auto" w:fill="auto"/>
            <w:tcMar>
              <w:left w:w="57" w:type="dxa"/>
              <w:right w:w="57" w:type="dxa"/>
            </w:tcMar>
          </w:tcPr>
          <w:p w14:paraId="209941CF"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At least 50% women in DoT by 2023</w:t>
            </w:r>
          </w:p>
        </w:tc>
        <w:tc>
          <w:tcPr>
            <w:tcW w:w="2268" w:type="dxa"/>
            <w:shd w:val="clear" w:color="auto" w:fill="auto"/>
            <w:tcMar>
              <w:left w:w="57" w:type="dxa"/>
              <w:right w:w="57" w:type="dxa"/>
            </w:tcMar>
          </w:tcPr>
          <w:p w14:paraId="327E61E4"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DoT = 48%</w:t>
            </w:r>
          </w:p>
          <w:p w14:paraId="357E2A71"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MTIA = 41%</w:t>
            </w:r>
          </w:p>
        </w:tc>
        <w:tc>
          <w:tcPr>
            <w:tcW w:w="2268" w:type="dxa"/>
            <w:shd w:val="clear" w:color="auto" w:fill="auto"/>
            <w:tcMar>
              <w:left w:w="57" w:type="dxa"/>
              <w:right w:w="57" w:type="dxa"/>
            </w:tcMar>
          </w:tcPr>
          <w:p w14:paraId="442EF6E2"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DoT = 44%</w:t>
            </w:r>
            <w:r w:rsidRPr="00F163AE">
              <w:rPr>
                <w:rFonts w:ascii="Arial" w:hAnsi="Arial" w:cs="Arial"/>
                <w:sz w:val="24"/>
                <w:szCs w:val="24"/>
                <w:vertAlign w:val="superscript"/>
              </w:rPr>
              <w:t>1</w:t>
            </w:r>
          </w:p>
          <w:p w14:paraId="58C22107"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MTIA = 42%</w:t>
            </w:r>
          </w:p>
          <w:p w14:paraId="2A79FD16" w14:textId="77777777" w:rsidR="003E5BF5" w:rsidRPr="00F163AE" w:rsidRDefault="003E5BF5" w:rsidP="00DE1921">
            <w:pPr>
              <w:pStyle w:val="TableTextLeft"/>
              <w:spacing w:after="120"/>
              <w:rPr>
                <w:rFonts w:ascii="Arial" w:hAnsi="Arial" w:cs="Arial"/>
                <w:sz w:val="24"/>
                <w:szCs w:val="24"/>
              </w:rPr>
            </w:pPr>
            <w:r w:rsidRPr="00F163AE">
              <w:rPr>
                <w:rFonts w:ascii="Arial" w:hAnsi="Arial" w:cs="Arial"/>
                <w:sz w:val="24"/>
                <w:szCs w:val="24"/>
              </w:rPr>
              <w:t>SRLA = 56%</w:t>
            </w:r>
          </w:p>
        </w:tc>
      </w:tr>
      <w:tr w:rsidR="003E5BF5" w:rsidRPr="00F163AE" w14:paraId="3F3FC593" w14:textId="77777777" w:rsidTr="00FE5165">
        <w:trPr>
          <w:trHeight w:val="340"/>
        </w:trPr>
        <w:tc>
          <w:tcPr>
            <w:tcW w:w="2127" w:type="dxa"/>
            <w:shd w:val="clear" w:color="auto" w:fill="auto"/>
            <w:tcMar>
              <w:left w:w="57" w:type="dxa"/>
              <w:right w:w="57" w:type="dxa"/>
            </w:tcMar>
          </w:tcPr>
          <w:p w14:paraId="7CDD4F50" w14:textId="77777777" w:rsidR="003E5BF5" w:rsidRPr="00F163AE" w:rsidRDefault="003E5BF5" w:rsidP="00DE1921">
            <w:pPr>
              <w:pStyle w:val="TableTextLeft"/>
              <w:rPr>
                <w:rFonts w:ascii="Arial" w:hAnsi="Arial" w:cs="Arial"/>
                <w:sz w:val="24"/>
                <w:szCs w:val="24"/>
                <w:lang w:val="en-GB"/>
              </w:rPr>
            </w:pPr>
          </w:p>
        </w:tc>
        <w:tc>
          <w:tcPr>
            <w:tcW w:w="2409" w:type="dxa"/>
            <w:shd w:val="clear" w:color="auto" w:fill="auto"/>
            <w:tcMar>
              <w:left w:w="57" w:type="dxa"/>
              <w:right w:w="57" w:type="dxa"/>
            </w:tcMar>
          </w:tcPr>
          <w:p w14:paraId="5138B210" w14:textId="77777777" w:rsidR="003E5BF5" w:rsidRPr="00F163AE" w:rsidRDefault="003E5BF5" w:rsidP="00DE1921">
            <w:pPr>
              <w:pStyle w:val="TableTextLeft"/>
              <w:rPr>
                <w:rFonts w:ascii="Arial" w:hAnsi="Arial" w:cs="Arial"/>
                <w:sz w:val="24"/>
                <w:szCs w:val="24"/>
                <w:lang w:val="en-GB"/>
              </w:rPr>
            </w:pPr>
            <w:r w:rsidRPr="00F163AE">
              <w:rPr>
                <w:rFonts w:ascii="Arial" w:hAnsi="Arial" w:cs="Arial"/>
                <w:sz w:val="24"/>
                <w:szCs w:val="24"/>
                <w:lang w:val="en-GB"/>
              </w:rPr>
              <w:t>50% women in leadership roles (VPS5 and above) by 2023</w:t>
            </w:r>
          </w:p>
        </w:tc>
        <w:tc>
          <w:tcPr>
            <w:tcW w:w="2268" w:type="dxa"/>
            <w:shd w:val="clear" w:color="auto" w:fill="auto"/>
            <w:tcMar>
              <w:left w:w="57" w:type="dxa"/>
              <w:right w:w="57" w:type="dxa"/>
            </w:tcMar>
          </w:tcPr>
          <w:p w14:paraId="0713EF5A" w14:textId="77777777" w:rsidR="003E5BF5" w:rsidRPr="00F163AE" w:rsidRDefault="003E5BF5" w:rsidP="00DE1921">
            <w:pPr>
              <w:pStyle w:val="TableTextLeft"/>
              <w:rPr>
                <w:rFonts w:ascii="Arial" w:hAnsi="Arial" w:cs="Arial"/>
                <w:sz w:val="24"/>
                <w:szCs w:val="24"/>
                <w:lang w:val="en-GB"/>
              </w:rPr>
            </w:pPr>
            <w:r w:rsidRPr="00F163AE">
              <w:rPr>
                <w:rFonts w:ascii="Arial" w:hAnsi="Arial" w:cs="Arial"/>
                <w:sz w:val="24"/>
                <w:szCs w:val="24"/>
                <w:lang w:val="en-GB"/>
              </w:rPr>
              <w:t>DoT = 41%</w:t>
            </w:r>
          </w:p>
          <w:p w14:paraId="22D1F383" w14:textId="77777777" w:rsidR="003E5BF5" w:rsidRPr="00F163AE" w:rsidRDefault="003E5BF5">
            <w:pPr>
              <w:pStyle w:val="TableTextLeft"/>
              <w:rPr>
                <w:rFonts w:ascii="Arial" w:hAnsi="Arial" w:cs="Arial"/>
                <w:sz w:val="24"/>
                <w:szCs w:val="24"/>
                <w:lang w:val="en-GB"/>
              </w:rPr>
            </w:pPr>
            <w:r w:rsidRPr="00F163AE">
              <w:rPr>
                <w:rFonts w:ascii="Arial" w:hAnsi="Arial" w:cs="Arial"/>
                <w:sz w:val="24"/>
                <w:szCs w:val="24"/>
                <w:lang w:val="en-GB"/>
              </w:rPr>
              <w:t>MTIA = 37%</w:t>
            </w:r>
          </w:p>
        </w:tc>
        <w:tc>
          <w:tcPr>
            <w:tcW w:w="2268" w:type="dxa"/>
            <w:shd w:val="clear" w:color="auto" w:fill="auto"/>
            <w:tcMar>
              <w:left w:w="57" w:type="dxa"/>
              <w:right w:w="57" w:type="dxa"/>
            </w:tcMar>
          </w:tcPr>
          <w:p w14:paraId="6B77BBAF" w14:textId="77777777" w:rsidR="003E5BF5" w:rsidRPr="00F163AE" w:rsidRDefault="003E5BF5" w:rsidP="00DE1921">
            <w:pPr>
              <w:pStyle w:val="TableTextLeft"/>
              <w:rPr>
                <w:rFonts w:ascii="Arial" w:hAnsi="Arial" w:cs="Arial"/>
                <w:sz w:val="24"/>
                <w:szCs w:val="24"/>
                <w:lang w:val="en-GB"/>
              </w:rPr>
            </w:pPr>
            <w:r w:rsidRPr="00F163AE">
              <w:rPr>
                <w:rFonts w:ascii="Arial" w:hAnsi="Arial" w:cs="Arial"/>
                <w:sz w:val="24"/>
                <w:szCs w:val="24"/>
                <w:lang w:val="en-GB"/>
              </w:rPr>
              <w:t>DoT = 38%</w:t>
            </w:r>
            <w:r w:rsidRPr="00F163AE">
              <w:rPr>
                <w:rFonts w:ascii="Arial" w:hAnsi="Arial" w:cs="Arial"/>
                <w:sz w:val="24"/>
                <w:szCs w:val="24"/>
                <w:vertAlign w:val="superscript"/>
                <w:lang w:val="en-GB"/>
              </w:rPr>
              <w:t>1</w:t>
            </w:r>
          </w:p>
          <w:p w14:paraId="6B681345" w14:textId="77777777" w:rsidR="003E5BF5" w:rsidRPr="00F163AE" w:rsidRDefault="003E5BF5" w:rsidP="00DE1921">
            <w:pPr>
              <w:pStyle w:val="TableTextLeft"/>
              <w:rPr>
                <w:rFonts w:ascii="Arial" w:hAnsi="Arial" w:cs="Arial"/>
                <w:sz w:val="24"/>
                <w:szCs w:val="24"/>
                <w:lang w:val="en-GB"/>
              </w:rPr>
            </w:pPr>
            <w:r w:rsidRPr="00F163AE">
              <w:rPr>
                <w:rFonts w:ascii="Arial" w:hAnsi="Arial" w:cs="Arial"/>
                <w:sz w:val="24"/>
                <w:szCs w:val="24"/>
                <w:lang w:val="en-GB"/>
              </w:rPr>
              <w:t>MTIA = 37%</w:t>
            </w:r>
          </w:p>
          <w:p w14:paraId="12B83116" w14:textId="77777777" w:rsidR="003E5BF5" w:rsidRPr="00F163AE" w:rsidRDefault="003E5BF5" w:rsidP="00DE1921">
            <w:pPr>
              <w:pStyle w:val="TableTextLeft"/>
              <w:spacing w:after="120"/>
              <w:rPr>
                <w:rFonts w:ascii="Arial" w:hAnsi="Arial" w:cs="Arial"/>
                <w:sz w:val="24"/>
                <w:szCs w:val="24"/>
                <w:lang w:val="en-GB"/>
              </w:rPr>
            </w:pPr>
            <w:r w:rsidRPr="00F163AE">
              <w:rPr>
                <w:rFonts w:ascii="Arial" w:hAnsi="Arial" w:cs="Arial"/>
                <w:sz w:val="24"/>
                <w:szCs w:val="24"/>
                <w:lang w:val="en-GB"/>
              </w:rPr>
              <w:t>SRLA = 49%</w:t>
            </w:r>
          </w:p>
        </w:tc>
      </w:tr>
      <w:tr w:rsidR="003E5BF5" w:rsidRPr="00F163AE" w14:paraId="326454B5" w14:textId="77777777" w:rsidTr="00FE5165">
        <w:trPr>
          <w:trHeight w:val="340"/>
        </w:trPr>
        <w:tc>
          <w:tcPr>
            <w:tcW w:w="2127" w:type="dxa"/>
            <w:shd w:val="clear" w:color="auto" w:fill="auto"/>
            <w:tcMar>
              <w:left w:w="57" w:type="dxa"/>
              <w:right w:w="57" w:type="dxa"/>
            </w:tcMar>
          </w:tcPr>
          <w:p w14:paraId="0C8B752B" w14:textId="77777777" w:rsidR="003E5BF5" w:rsidRPr="00F163AE" w:rsidRDefault="003E5BF5" w:rsidP="00DE1921">
            <w:pPr>
              <w:pStyle w:val="TableTextLeft"/>
              <w:rPr>
                <w:rFonts w:ascii="Arial" w:hAnsi="Arial" w:cs="Arial"/>
                <w:b/>
                <w:sz w:val="24"/>
                <w:szCs w:val="24"/>
              </w:rPr>
            </w:pPr>
            <w:r w:rsidRPr="00F163AE">
              <w:rPr>
                <w:rFonts w:ascii="Arial" w:hAnsi="Arial" w:cs="Arial"/>
                <w:sz w:val="24"/>
                <w:szCs w:val="24"/>
              </w:rPr>
              <w:t>Aboriginal and/or Torres Strait Islander Australians</w:t>
            </w:r>
          </w:p>
        </w:tc>
        <w:tc>
          <w:tcPr>
            <w:tcW w:w="2409" w:type="dxa"/>
            <w:shd w:val="clear" w:color="auto" w:fill="auto"/>
            <w:tcMar>
              <w:left w:w="57" w:type="dxa"/>
              <w:right w:w="57" w:type="dxa"/>
            </w:tcMar>
          </w:tcPr>
          <w:p w14:paraId="5D1AA126" w14:textId="77777777" w:rsidR="003E5BF5" w:rsidRPr="00F163AE" w:rsidRDefault="003E5BF5" w:rsidP="00DE1921">
            <w:pPr>
              <w:pStyle w:val="TableTextLeft"/>
              <w:rPr>
                <w:rFonts w:ascii="Arial" w:hAnsi="Arial" w:cs="Arial"/>
                <w:b/>
                <w:sz w:val="24"/>
                <w:szCs w:val="24"/>
              </w:rPr>
            </w:pPr>
            <w:r w:rsidRPr="00F163AE">
              <w:rPr>
                <w:rFonts w:ascii="Arial" w:hAnsi="Arial" w:cs="Arial"/>
                <w:sz w:val="24"/>
                <w:szCs w:val="24"/>
              </w:rPr>
              <w:t>2% Aboriginal and/or Torres Strait Islander workforce representation by 2023</w:t>
            </w:r>
          </w:p>
        </w:tc>
        <w:tc>
          <w:tcPr>
            <w:tcW w:w="2268" w:type="dxa"/>
            <w:shd w:val="clear" w:color="auto" w:fill="auto"/>
            <w:tcMar>
              <w:left w:w="57" w:type="dxa"/>
              <w:right w:w="57" w:type="dxa"/>
            </w:tcMar>
          </w:tcPr>
          <w:p w14:paraId="61A5274A" w14:textId="77777777" w:rsidR="003E5BF5" w:rsidRPr="00F163AE" w:rsidRDefault="003E5BF5" w:rsidP="00DE1921">
            <w:pPr>
              <w:pStyle w:val="TableTextLeft"/>
              <w:spacing w:after="120"/>
              <w:rPr>
                <w:rFonts w:ascii="Arial" w:hAnsi="Arial" w:cs="Arial"/>
                <w:b/>
                <w:sz w:val="24"/>
                <w:szCs w:val="24"/>
              </w:rPr>
            </w:pPr>
            <w:r w:rsidRPr="00F163AE">
              <w:rPr>
                <w:rFonts w:ascii="Arial" w:hAnsi="Arial" w:cs="Arial"/>
                <w:sz w:val="24"/>
                <w:szCs w:val="24"/>
              </w:rPr>
              <w:t>At 30 June 2019, Aboriginal People comprised 0.3% of the department’s workforce (self-reported data)</w:t>
            </w:r>
          </w:p>
        </w:tc>
        <w:tc>
          <w:tcPr>
            <w:tcW w:w="2268" w:type="dxa"/>
            <w:shd w:val="clear" w:color="auto" w:fill="auto"/>
            <w:tcMar>
              <w:left w:w="57" w:type="dxa"/>
              <w:right w:w="57" w:type="dxa"/>
            </w:tcMar>
          </w:tcPr>
          <w:p w14:paraId="17E11EB9" w14:textId="77777777" w:rsidR="003E5BF5" w:rsidRPr="00F163AE" w:rsidRDefault="003E5BF5" w:rsidP="00DE1921">
            <w:pPr>
              <w:pStyle w:val="TableTextLeft"/>
              <w:rPr>
                <w:rFonts w:ascii="Arial" w:hAnsi="Arial" w:cs="Arial"/>
                <w:b/>
                <w:sz w:val="24"/>
                <w:szCs w:val="24"/>
              </w:rPr>
            </w:pPr>
            <w:r w:rsidRPr="00F163AE">
              <w:rPr>
                <w:rFonts w:ascii="Arial" w:hAnsi="Arial" w:cs="Arial"/>
                <w:sz w:val="24"/>
                <w:szCs w:val="24"/>
              </w:rPr>
              <w:t>Data not available due to system limitations</w:t>
            </w:r>
          </w:p>
        </w:tc>
      </w:tr>
      <w:tr w:rsidR="003E5BF5" w:rsidRPr="00F163AE" w14:paraId="7EE88F81" w14:textId="77777777" w:rsidTr="00FE5165">
        <w:trPr>
          <w:trHeight w:val="340"/>
        </w:trPr>
        <w:tc>
          <w:tcPr>
            <w:tcW w:w="2127" w:type="dxa"/>
            <w:shd w:val="clear" w:color="auto" w:fill="auto"/>
            <w:tcMar>
              <w:left w:w="57" w:type="dxa"/>
              <w:right w:w="57" w:type="dxa"/>
            </w:tcMar>
          </w:tcPr>
          <w:p w14:paraId="4E1271C1" w14:textId="77777777" w:rsidR="003E5BF5" w:rsidRPr="00F163AE" w:rsidRDefault="003E5BF5" w:rsidP="00DE1921">
            <w:pPr>
              <w:pStyle w:val="TableTextLeft"/>
              <w:rPr>
                <w:rFonts w:ascii="Arial" w:hAnsi="Arial" w:cs="Arial"/>
                <w:b/>
                <w:sz w:val="24"/>
                <w:szCs w:val="24"/>
              </w:rPr>
            </w:pPr>
            <w:r w:rsidRPr="00F163AE">
              <w:rPr>
                <w:rFonts w:ascii="Arial" w:hAnsi="Arial" w:cs="Arial"/>
                <w:sz w:val="24"/>
                <w:szCs w:val="24"/>
              </w:rPr>
              <w:t>LGBTIQ+ people</w:t>
            </w:r>
          </w:p>
        </w:tc>
        <w:tc>
          <w:tcPr>
            <w:tcW w:w="2409" w:type="dxa"/>
            <w:shd w:val="clear" w:color="auto" w:fill="auto"/>
            <w:tcMar>
              <w:left w:w="57" w:type="dxa"/>
              <w:right w:w="57" w:type="dxa"/>
            </w:tcMar>
          </w:tcPr>
          <w:p w14:paraId="34A2D653" w14:textId="77777777" w:rsidR="003E5BF5" w:rsidRPr="00F163AE" w:rsidRDefault="003E5BF5" w:rsidP="00DE1921">
            <w:pPr>
              <w:pStyle w:val="TableTextLeft"/>
              <w:spacing w:after="120"/>
              <w:rPr>
                <w:rFonts w:ascii="Arial" w:hAnsi="Arial" w:cs="Arial"/>
                <w:b/>
                <w:sz w:val="24"/>
                <w:szCs w:val="24"/>
              </w:rPr>
            </w:pPr>
            <w:r w:rsidRPr="00F163AE">
              <w:rPr>
                <w:rFonts w:ascii="Arial" w:hAnsi="Arial" w:cs="Arial"/>
                <w:sz w:val="24"/>
                <w:szCs w:val="24"/>
              </w:rPr>
              <w:t>10% workforce representation of LGBTIQ+ people by 2023</w:t>
            </w:r>
          </w:p>
        </w:tc>
        <w:tc>
          <w:tcPr>
            <w:tcW w:w="2268" w:type="dxa"/>
            <w:shd w:val="clear" w:color="auto" w:fill="auto"/>
            <w:tcMar>
              <w:left w:w="57" w:type="dxa"/>
              <w:right w:w="57" w:type="dxa"/>
            </w:tcMar>
          </w:tcPr>
          <w:p w14:paraId="6605067E"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Data not available</w:t>
            </w:r>
          </w:p>
          <w:p w14:paraId="69D6EF88" w14:textId="77777777" w:rsidR="003E5BF5" w:rsidRPr="00F163AE" w:rsidRDefault="003E5BF5" w:rsidP="00DE1921">
            <w:pPr>
              <w:pStyle w:val="TableTextLeft"/>
              <w:rPr>
                <w:rFonts w:ascii="Arial" w:hAnsi="Arial" w:cs="Arial"/>
                <w:b/>
                <w:sz w:val="24"/>
                <w:szCs w:val="24"/>
              </w:rPr>
            </w:pPr>
          </w:p>
        </w:tc>
        <w:tc>
          <w:tcPr>
            <w:tcW w:w="2268" w:type="dxa"/>
            <w:shd w:val="clear" w:color="auto" w:fill="auto"/>
            <w:tcMar>
              <w:left w:w="57" w:type="dxa"/>
              <w:right w:w="57" w:type="dxa"/>
            </w:tcMar>
          </w:tcPr>
          <w:p w14:paraId="75B0137D" w14:textId="77777777" w:rsidR="003E5BF5" w:rsidRPr="00F163AE" w:rsidRDefault="003E5BF5" w:rsidP="00DE1921">
            <w:pPr>
              <w:pStyle w:val="TableTextLeft"/>
              <w:rPr>
                <w:rFonts w:ascii="Arial" w:hAnsi="Arial" w:cs="Arial"/>
                <w:b/>
                <w:sz w:val="24"/>
                <w:szCs w:val="24"/>
              </w:rPr>
            </w:pPr>
            <w:r w:rsidRPr="00F163AE">
              <w:rPr>
                <w:rFonts w:ascii="Arial" w:hAnsi="Arial" w:cs="Arial"/>
                <w:sz w:val="24"/>
                <w:szCs w:val="24"/>
              </w:rPr>
              <w:t>Data not available due to system limitations</w:t>
            </w:r>
          </w:p>
        </w:tc>
      </w:tr>
      <w:tr w:rsidR="003E5BF5" w:rsidRPr="00F163AE" w14:paraId="7B4B7769" w14:textId="77777777" w:rsidTr="00FE5165">
        <w:trPr>
          <w:trHeight w:val="340"/>
        </w:trPr>
        <w:tc>
          <w:tcPr>
            <w:tcW w:w="2127" w:type="dxa"/>
            <w:shd w:val="clear" w:color="auto" w:fill="auto"/>
            <w:tcMar>
              <w:left w:w="57" w:type="dxa"/>
              <w:right w:w="57" w:type="dxa"/>
            </w:tcMar>
          </w:tcPr>
          <w:p w14:paraId="3AD633B0" w14:textId="77777777" w:rsidR="003E5BF5" w:rsidRPr="00F163AE" w:rsidRDefault="003E5BF5" w:rsidP="00DE1921">
            <w:pPr>
              <w:pStyle w:val="TableTextLeft"/>
              <w:rPr>
                <w:rFonts w:ascii="Arial" w:hAnsi="Arial" w:cs="Arial"/>
                <w:b/>
                <w:sz w:val="24"/>
                <w:szCs w:val="24"/>
              </w:rPr>
            </w:pPr>
            <w:r w:rsidRPr="00F163AE">
              <w:rPr>
                <w:rFonts w:ascii="Arial" w:hAnsi="Arial" w:cs="Arial"/>
                <w:sz w:val="24"/>
                <w:szCs w:val="24"/>
              </w:rPr>
              <w:t>People with disability</w:t>
            </w:r>
          </w:p>
        </w:tc>
        <w:tc>
          <w:tcPr>
            <w:tcW w:w="2409" w:type="dxa"/>
            <w:shd w:val="clear" w:color="auto" w:fill="auto"/>
            <w:tcMar>
              <w:left w:w="57" w:type="dxa"/>
              <w:right w:w="57" w:type="dxa"/>
            </w:tcMar>
          </w:tcPr>
          <w:p w14:paraId="4689A919" w14:textId="77777777" w:rsidR="003E5BF5" w:rsidRPr="00F163AE" w:rsidRDefault="003E5BF5" w:rsidP="00DE1921">
            <w:pPr>
              <w:pStyle w:val="TableTextLeft"/>
              <w:rPr>
                <w:rFonts w:ascii="Arial" w:hAnsi="Arial" w:cs="Arial"/>
                <w:b/>
                <w:sz w:val="24"/>
                <w:szCs w:val="24"/>
              </w:rPr>
            </w:pPr>
            <w:r w:rsidRPr="00F163AE">
              <w:rPr>
                <w:rFonts w:ascii="Arial" w:hAnsi="Arial" w:cs="Arial"/>
                <w:sz w:val="24"/>
                <w:szCs w:val="24"/>
              </w:rPr>
              <w:t>6% workforce representation of people with disability by 2020 and 12% by 2025</w:t>
            </w:r>
          </w:p>
        </w:tc>
        <w:tc>
          <w:tcPr>
            <w:tcW w:w="2268" w:type="dxa"/>
            <w:shd w:val="clear" w:color="auto" w:fill="auto"/>
            <w:tcMar>
              <w:left w:w="57" w:type="dxa"/>
              <w:right w:w="57" w:type="dxa"/>
            </w:tcMar>
          </w:tcPr>
          <w:p w14:paraId="2A290CD5" w14:textId="77777777" w:rsidR="003E5BF5" w:rsidRPr="00F163AE" w:rsidRDefault="003E5BF5" w:rsidP="00DE1921">
            <w:pPr>
              <w:pStyle w:val="TableTextLeft"/>
              <w:spacing w:after="120"/>
              <w:rPr>
                <w:rFonts w:ascii="Arial" w:hAnsi="Arial" w:cs="Arial"/>
                <w:b/>
                <w:sz w:val="24"/>
                <w:szCs w:val="24"/>
              </w:rPr>
            </w:pPr>
            <w:r w:rsidRPr="00F163AE">
              <w:rPr>
                <w:rFonts w:ascii="Arial" w:hAnsi="Arial" w:cs="Arial"/>
                <w:sz w:val="24"/>
                <w:szCs w:val="24"/>
              </w:rPr>
              <w:t>At 30 June 2019, people with disability comprised 1.5% of the department’s workforce (self-reported data)</w:t>
            </w:r>
          </w:p>
        </w:tc>
        <w:tc>
          <w:tcPr>
            <w:tcW w:w="2268" w:type="dxa"/>
            <w:shd w:val="clear" w:color="auto" w:fill="auto"/>
            <w:tcMar>
              <w:left w:w="57" w:type="dxa"/>
              <w:right w:w="57" w:type="dxa"/>
            </w:tcMar>
          </w:tcPr>
          <w:p w14:paraId="03DE1EAD" w14:textId="77777777" w:rsidR="003E5BF5" w:rsidRPr="00F163AE" w:rsidRDefault="003E5BF5" w:rsidP="00DE1921">
            <w:pPr>
              <w:pStyle w:val="TableTextLeft"/>
              <w:rPr>
                <w:rFonts w:ascii="Arial" w:hAnsi="Arial" w:cs="Arial"/>
                <w:b/>
                <w:sz w:val="24"/>
                <w:szCs w:val="24"/>
              </w:rPr>
            </w:pPr>
            <w:r w:rsidRPr="00F163AE">
              <w:rPr>
                <w:rFonts w:ascii="Arial" w:hAnsi="Arial" w:cs="Arial"/>
                <w:sz w:val="24"/>
                <w:szCs w:val="24"/>
              </w:rPr>
              <w:t>Data not available due to system limitations</w:t>
            </w:r>
          </w:p>
        </w:tc>
      </w:tr>
      <w:tr w:rsidR="003E5BF5" w:rsidRPr="00F163AE" w14:paraId="59F50EFB" w14:textId="77777777" w:rsidTr="00FE5165">
        <w:trPr>
          <w:trHeight w:val="340"/>
        </w:trPr>
        <w:tc>
          <w:tcPr>
            <w:tcW w:w="2127" w:type="dxa"/>
            <w:shd w:val="clear" w:color="auto" w:fill="auto"/>
            <w:tcMar>
              <w:left w:w="57" w:type="dxa"/>
              <w:right w:w="57" w:type="dxa"/>
            </w:tcMar>
          </w:tcPr>
          <w:p w14:paraId="1930E990" w14:textId="77777777" w:rsidR="003E5BF5" w:rsidRPr="00F163AE" w:rsidRDefault="003E5BF5" w:rsidP="00DE1921">
            <w:pPr>
              <w:pStyle w:val="TableTextLeft"/>
              <w:rPr>
                <w:rFonts w:ascii="Arial" w:hAnsi="Arial" w:cs="Arial"/>
                <w:b/>
                <w:sz w:val="24"/>
                <w:szCs w:val="24"/>
              </w:rPr>
            </w:pPr>
            <w:r w:rsidRPr="00F163AE">
              <w:rPr>
                <w:rFonts w:ascii="Arial" w:hAnsi="Arial" w:cs="Arial"/>
                <w:sz w:val="24"/>
                <w:szCs w:val="24"/>
              </w:rPr>
              <w:t>Culturally and linguistically diverse (CALD) people</w:t>
            </w:r>
          </w:p>
        </w:tc>
        <w:tc>
          <w:tcPr>
            <w:tcW w:w="2409" w:type="dxa"/>
            <w:shd w:val="clear" w:color="auto" w:fill="auto"/>
            <w:tcMar>
              <w:left w:w="57" w:type="dxa"/>
              <w:right w:w="57" w:type="dxa"/>
            </w:tcMar>
          </w:tcPr>
          <w:p w14:paraId="047CFAE1" w14:textId="77777777" w:rsidR="003E5BF5" w:rsidRPr="00F163AE" w:rsidRDefault="003E5BF5" w:rsidP="00DE1921">
            <w:pPr>
              <w:pStyle w:val="TableTextLeft"/>
              <w:spacing w:after="120"/>
              <w:rPr>
                <w:rFonts w:ascii="Arial" w:hAnsi="Arial" w:cs="Arial"/>
                <w:b/>
                <w:sz w:val="24"/>
                <w:szCs w:val="24"/>
              </w:rPr>
            </w:pPr>
            <w:r w:rsidRPr="00F163AE">
              <w:rPr>
                <w:rFonts w:ascii="Arial" w:hAnsi="Arial" w:cs="Arial"/>
                <w:sz w:val="24"/>
                <w:szCs w:val="24"/>
              </w:rPr>
              <w:t>30% CALD people in leadership roles (VPS5 and above) by 2023</w:t>
            </w:r>
          </w:p>
        </w:tc>
        <w:tc>
          <w:tcPr>
            <w:tcW w:w="2268" w:type="dxa"/>
            <w:shd w:val="clear" w:color="auto" w:fill="auto"/>
            <w:tcMar>
              <w:left w:w="57" w:type="dxa"/>
              <w:right w:w="57" w:type="dxa"/>
            </w:tcMar>
          </w:tcPr>
          <w:p w14:paraId="49B13ABE"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Data not available</w:t>
            </w:r>
          </w:p>
          <w:p w14:paraId="2F275CEC" w14:textId="77777777" w:rsidR="003E5BF5" w:rsidRPr="00F163AE" w:rsidRDefault="003E5BF5" w:rsidP="00DE1921">
            <w:pPr>
              <w:pStyle w:val="TableTextLeft"/>
              <w:rPr>
                <w:rFonts w:ascii="Arial" w:hAnsi="Arial" w:cs="Arial"/>
                <w:b/>
                <w:sz w:val="24"/>
                <w:szCs w:val="24"/>
              </w:rPr>
            </w:pPr>
          </w:p>
        </w:tc>
        <w:tc>
          <w:tcPr>
            <w:tcW w:w="2268" w:type="dxa"/>
            <w:shd w:val="clear" w:color="auto" w:fill="auto"/>
            <w:tcMar>
              <w:left w:w="57" w:type="dxa"/>
              <w:right w:w="57" w:type="dxa"/>
            </w:tcMar>
          </w:tcPr>
          <w:p w14:paraId="142491AB" w14:textId="77777777" w:rsidR="003E5BF5" w:rsidRPr="00F163AE" w:rsidRDefault="003E5BF5" w:rsidP="00DE1921">
            <w:pPr>
              <w:pStyle w:val="TableTextLeft"/>
              <w:rPr>
                <w:rFonts w:ascii="Arial" w:hAnsi="Arial" w:cs="Arial"/>
                <w:b/>
                <w:sz w:val="24"/>
                <w:szCs w:val="24"/>
              </w:rPr>
            </w:pPr>
            <w:r w:rsidRPr="00F163AE">
              <w:rPr>
                <w:rFonts w:ascii="Arial" w:hAnsi="Arial" w:cs="Arial"/>
                <w:sz w:val="24"/>
                <w:szCs w:val="24"/>
              </w:rPr>
              <w:t>Data not available due to system limitations</w:t>
            </w:r>
          </w:p>
        </w:tc>
      </w:tr>
    </w:tbl>
    <w:p w14:paraId="294CA66D" w14:textId="77777777" w:rsidR="003E5BF5" w:rsidRPr="00F163AE" w:rsidRDefault="003E5BF5" w:rsidP="00DE1921">
      <w:pPr>
        <w:pStyle w:val="Note"/>
        <w:spacing w:before="120" w:after="0"/>
        <w:rPr>
          <w:rFonts w:ascii="Arial" w:hAnsi="Arial" w:cs="Arial"/>
          <w:sz w:val="24"/>
          <w:szCs w:val="24"/>
        </w:rPr>
      </w:pPr>
      <w:r w:rsidRPr="00F163AE">
        <w:rPr>
          <w:rFonts w:ascii="Arial" w:hAnsi="Arial" w:cs="Arial"/>
          <w:sz w:val="24"/>
          <w:szCs w:val="24"/>
        </w:rPr>
        <w:t>Note:</w:t>
      </w:r>
    </w:p>
    <w:p w14:paraId="7C996502" w14:textId="691F52A8" w:rsidR="00DD0AB6" w:rsidRDefault="003E5BF5" w:rsidP="00610F5F">
      <w:pPr>
        <w:pStyle w:val="Notenumber123"/>
        <w:numPr>
          <w:ilvl w:val="0"/>
          <w:numId w:val="36"/>
        </w:numPr>
        <w:spacing w:line="360" w:lineRule="auto"/>
        <w:ind w:left="426" w:hanging="284"/>
        <w:rPr>
          <w:rFonts w:ascii="Arial" w:hAnsi="Arial" w:cs="Arial"/>
          <w:sz w:val="24"/>
          <w:szCs w:val="24"/>
        </w:rPr>
      </w:pPr>
      <w:r w:rsidRPr="00F163AE">
        <w:rPr>
          <w:rFonts w:ascii="Arial" w:hAnsi="Arial" w:cs="Arial"/>
          <w:sz w:val="24"/>
          <w:szCs w:val="24"/>
        </w:rPr>
        <w:t xml:space="preserve">The change in percentage is due to the </w:t>
      </w:r>
      <w:proofErr w:type="spellStart"/>
      <w:r w:rsidRPr="00F163AE">
        <w:rPr>
          <w:rFonts w:ascii="Arial" w:hAnsi="Arial" w:cs="Arial"/>
          <w:sz w:val="24"/>
          <w:szCs w:val="24"/>
        </w:rPr>
        <w:t>MoG</w:t>
      </w:r>
      <w:proofErr w:type="spellEnd"/>
      <w:r w:rsidRPr="00F163AE">
        <w:rPr>
          <w:rFonts w:ascii="Arial" w:hAnsi="Arial" w:cs="Arial"/>
          <w:sz w:val="24"/>
          <w:szCs w:val="24"/>
        </w:rPr>
        <w:t xml:space="preserve"> change in 2019 integrating former VicRoads and PTV into DoT.</w:t>
      </w:r>
      <w:r w:rsidR="00DD0AB6">
        <w:rPr>
          <w:rFonts w:ascii="Arial" w:hAnsi="Arial" w:cs="Arial"/>
          <w:sz w:val="24"/>
          <w:szCs w:val="24"/>
        </w:rPr>
        <w:br w:type="page"/>
      </w:r>
    </w:p>
    <w:p w14:paraId="23C4ED86" w14:textId="77777777" w:rsidR="003E5BF5" w:rsidRPr="008A748C" w:rsidRDefault="003E5BF5" w:rsidP="00A9380E">
      <w:pPr>
        <w:pStyle w:val="aaatyping"/>
      </w:pPr>
      <w:r w:rsidRPr="008A748C">
        <w:lastRenderedPageBreak/>
        <w:t>Key highlights of our inclusion and diversity work completed over the past financial year include:</w:t>
      </w:r>
    </w:p>
    <w:p w14:paraId="54D8E174" w14:textId="77777777" w:rsidR="003E5BF5" w:rsidRPr="008A748C" w:rsidRDefault="003E5BF5" w:rsidP="00A9380E">
      <w:pPr>
        <w:pStyle w:val="aaabullet"/>
      </w:pPr>
      <w:r w:rsidRPr="008A748C">
        <w:t xml:space="preserve">development and launch of the </w:t>
      </w:r>
      <w:r>
        <w:t>I&amp;D</w:t>
      </w:r>
      <w:r w:rsidRPr="008A748C">
        <w:t xml:space="preserve"> Strategy</w:t>
      </w:r>
    </w:p>
    <w:p w14:paraId="1F4E0CB0" w14:textId="77777777" w:rsidR="003E5BF5" w:rsidRPr="008A748C" w:rsidRDefault="003E5BF5" w:rsidP="00A9380E">
      <w:pPr>
        <w:pStyle w:val="aaabullet"/>
      </w:pPr>
      <w:r w:rsidRPr="008A748C">
        <w:t>coordination and delivery of the Women in Transport Program which is a portfolio-wide initiative</w:t>
      </w:r>
    </w:p>
    <w:p w14:paraId="104984D9" w14:textId="77777777" w:rsidR="003E5BF5" w:rsidRPr="008A748C" w:rsidRDefault="003E5BF5" w:rsidP="00A9380E">
      <w:pPr>
        <w:pStyle w:val="aaabullet"/>
      </w:pPr>
      <w:r w:rsidRPr="008A748C">
        <w:t>delivery of a variety of best-practice training, open to all staff, including Disability Confidence, LGBTIQ+ Awareness and Ally, Indigenous Cultural Awareness, and Travelling in the Shoes of Others</w:t>
      </w:r>
    </w:p>
    <w:p w14:paraId="6F7A2231" w14:textId="77777777" w:rsidR="003E5BF5" w:rsidRPr="008A748C" w:rsidRDefault="003E5BF5" w:rsidP="00A9380E">
      <w:pPr>
        <w:pStyle w:val="aaabullet"/>
      </w:pPr>
      <w:r w:rsidRPr="008A748C">
        <w:t>continued implementation of our flexible working policy</w:t>
      </w:r>
    </w:p>
    <w:p w14:paraId="3B7E95D5" w14:textId="77777777" w:rsidR="003E5BF5" w:rsidRPr="008A748C" w:rsidRDefault="003E5BF5" w:rsidP="00A9380E">
      <w:pPr>
        <w:pStyle w:val="aaabullet"/>
      </w:pPr>
      <w:r w:rsidRPr="008A748C">
        <w:t>delivery of successful inclusion events on days of significance including</w:t>
      </w:r>
      <w:r>
        <w:t>:</w:t>
      </w:r>
      <w:r w:rsidRPr="008A748C">
        <w:t xml:space="preserve"> National Reconciliation Week, International Day Against Homophobia, Biphobia, </w:t>
      </w:r>
      <w:proofErr w:type="spellStart"/>
      <w:r w:rsidRPr="008A748C">
        <w:t>Intersexism</w:t>
      </w:r>
      <w:proofErr w:type="spellEnd"/>
      <w:r w:rsidRPr="008A748C">
        <w:t>, and Transphobia (IDAHOBIT Day), International Women’s Day, and Wear it Purple Day</w:t>
      </w:r>
    </w:p>
    <w:p w14:paraId="0246D2BE" w14:textId="77777777" w:rsidR="003E5BF5" w:rsidRPr="008A748C" w:rsidRDefault="003E5BF5" w:rsidP="00A9380E">
      <w:pPr>
        <w:pStyle w:val="aaabullet"/>
      </w:pPr>
      <w:r w:rsidRPr="00D00AEB">
        <w:t xml:space="preserve">provided </w:t>
      </w:r>
      <w:r w:rsidRPr="008A748C">
        <w:t>tailored assistance to staff belonging to our priority diversity groups including staff affirming their gender in the workplace</w:t>
      </w:r>
    </w:p>
    <w:p w14:paraId="720F65A3" w14:textId="77777777" w:rsidR="003E5BF5" w:rsidRDefault="003E5BF5" w:rsidP="00A9380E">
      <w:pPr>
        <w:pStyle w:val="aaabullet"/>
      </w:pPr>
      <w:r w:rsidRPr="008A748C">
        <w:t>continued development of the Transport Portfolio Aboriginal Self-Determination Plan, the integrated Accessibility Action Plan, and the integrated Multicultural Action Plan</w:t>
      </w:r>
      <w:r>
        <w:t>.</w:t>
      </w:r>
    </w:p>
    <w:p w14:paraId="6DEE86C6" w14:textId="77777777" w:rsidR="003E5BF5" w:rsidRPr="00087319" w:rsidRDefault="003E5BF5" w:rsidP="00EF5131">
      <w:pPr>
        <w:pStyle w:val="Heading5"/>
      </w:pPr>
      <w:r w:rsidRPr="00087319">
        <w:t>Diversity and Inclusion Program</w:t>
      </w:r>
    </w:p>
    <w:p w14:paraId="72B53F9B" w14:textId="77777777" w:rsidR="003E5BF5" w:rsidRPr="00087319" w:rsidRDefault="003E5BF5" w:rsidP="00A9380E">
      <w:pPr>
        <w:pStyle w:val="aaatyping"/>
      </w:pPr>
      <w:r w:rsidRPr="00087319">
        <w:t xml:space="preserve">The department takes pride in creating a workplace culture of inclusion and respect, where the value of individual differences is recognised and welcomed. </w:t>
      </w:r>
    </w:p>
    <w:p w14:paraId="2E5609E2" w14:textId="77777777" w:rsidR="003E5BF5" w:rsidRPr="00087319" w:rsidRDefault="003E5BF5" w:rsidP="00A9380E">
      <w:pPr>
        <w:pStyle w:val="aaatyping"/>
      </w:pPr>
      <w:r w:rsidRPr="00087319">
        <w:t xml:space="preserve">A Workforce Diversity and Inclusion Framework has been developed to identify the department’s aspirations, goals and targets. The framework is designed around the four key pillars of </w:t>
      </w:r>
      <w:r>
        <w:t>f</w:t>
      </w:r>
      <w:r w:rsidRPr="00087319">
        <w:t xml:space="preserve">lexibility, inclusion, gender equality and life stage. </w:t>
      </w:r>
    </w:p>
    <w:p w14:paraId="35C5DE39" w14:textId="77777777" w:rsidR="003E5BF5" w:rsidRPr="00087319" w:rsidRDefault="003E5BF5" w:rsidP="00A9380E">
      <w:pPr>
        <w:pStyle w:val="aaatyping"/>
      </w:pPr>
      <w:r w:rsidRPr="00087319">
        <w:lastRenderedPageBreak/>
        <w:t>The framework recognises that all people have different needs throughout their careers, and that flexible and inclusive workplaces provide better outcomes for all. It also emphasises everyone’s role in building a diverse workforce and modelling inclusive working practices.</w:t>
      </w:r>
    </w:p>
    <w:p w14:paraId="02EAF040" w14:textId="77777777" w:rsidR="003E5BF5" w:rsidRPr="00087319" w:rsidRDefault="003E5BF5" w:rsidP="00A9380E">
      <w:pPr>
        <w:pStyle w:val="aaatyping"/>
      </w:pPr>
      <w:r w:rsidRPr="00087319">
        <w:t>The framework captures the department’s commitments as a member of the VPS, including meeting diversity employment targets, developing dedicated action plans in alignment with government policies and legislation, and the adoption of the ‘all roles flex’ approach across the department.</w:t>
      </w:r>
    </w:p>
    <w:p w14:paraId="0A0F7BEE" w14:textId="77777777" w:rsidR="003E5BF5" w:rsidRPr="00087319" w:rsidRDefault="003E5BF5" w:rsidP="00A9380E">
      <w:pPr>
        <w:pStyle w:val="aaatyping"/>
      </w:pPr>
      <w:r w:rsidRPr="00087319">
        <w:t>Several action plans support the framework’s implementation, including an Aboriginal Inclusion Action Plan</w:t>
      </w:r>
      <w:r>
        <w:t xml:space="preserve">, a </w:t>
      </w:r>
      <w:r w:rsidRPr="00087319">
        <w:t xml:space="preserve">Multicultural Diversity Action Plan, </w:t>
      </w:r>
      <w:r>
        <w:t xml:space="preserve">an </w:t>
      </w:r>
      <w:r w:rsidRPr="00087319">
        <w:t>Accessibility Action Plan</w:t>
      </w:r>
      <w:r>
        <w:t>,</w:t>
      </w:r>
      <w:r w:rsidRPr="00087319">
        <w:t xml:space="preserve"> and the Women in Transport Program.</w:t>
      </w:r>
    </w:p>
    <w:p w14:paraId="0F12012E" w14:textId="77777777" w:rsidR="003E5BF5" w:rsidRPr="00087319" w:rsidRDefault="003E5BF5" w:rsidP="00A9380E">
      <w:pPr>
        <w:pStyle w:val="aaatyping"/>
      </w:pPr>
      <w:r w:rsidRPr="00087319">
        <w:t>While the framework has a primarily internal/workforce focus, the action plans also focus on inclusion in department programs and services, as well as within the Victorian economy more broadly.</w:t>
      </w:r>
    </w:p>
    <w:p w14:paraId="40C3F028" w14:textId="77777777" w:rsidR="003E5BF5" w:rsidRPr="00087319" w:rsidRDefault="003E5BF5" w:rsidP="00A9380E">
      <w:pPr>
        <w:pStyle w:val="aaatyping"/>
      </w:pPr>
      <w:r w:rsidRPr="00087319">
        <w:t>A suite of development programs and opportunities are available to strengthen the diversity and inclusion capabilities of our people.</w:t>
      </w:r>
    </w:p>
    <w:p w14:paraId="37E110CD" w14:textId="77777777" w:rsidR="003E5BF5" w:rsidRPr="00087319" w:rsidRDefault="003E5BF5" w:rsidP="00A9380E">
      <w:pPr>
        <w:pStyle w:val="aaatyping"/>
      </w:pPr>
      <w:r w:rsidRPr="00087319">
        <w:t xml:space="preserve">Our diversity and inclusion principles are reinforced by acknowledging and celebrating over 15 significant dates throughout the calendar year, including International Women’s Day, Cultural Diversity Week, Reconciliation Week, Wear it Purple Day and </w:t>
      </w:r>
      <w:r>
        <w:t xml:space="preserve">the </w:t>
      </w:r>
      <w:r w:rsidRPr="00087319">
        <w:t>International Day of People with Disability.</w:t>
      </w:r>
    </w:p>
    <w:p w14:paraId="504E5799" w14:textId="77777777" w:rsidR="003E5BF5" w:rsidRDefault="003E5BF5" w:rsidP="00A9380E">
      <w:pPr>
        <w:pStyle w:val="aaatyping"/>
      </w:pPr>
      <w:r w:rsidRPr="00087319">
        <w:t xml:space="preserve">A full report of our initiatives and achievements in multicultural affairs is reported annually to the Victorian Multicultural Commission as required by the </w:t>
      </w:r>
      <w:r w:rsidRPr="00D162DA">
        <w:rPr>
          <w:i/>
        </w:rPr>
        <w:t>Multicultural Victoria Act 2011</w:t>
      </w:r>
      <w:r w:rsidRPr="00087319">
        <w:t>.</w:t>
      </w:r>
    </w:p>
    <w:p w14:paraId="68835B3A" w14:textId="193B30D3" w:rsidR="003E5BF5" w:rsidRPr="00087319" w:rsidRDefault="003E5BF5" w:rsidP="00EF5131">
      <w:pPr>
        <w:pStyle w:val="Heading5"/>
      </w:pPr>
      <w:r w:rsidRPr="00087319">
        <w:lastRenderedPageBreak/>
        <w:t>Aboriginal Inclusion Action Plan</w:t>
      </w:r>
    </w:p>
    <w:p w14:paraId="124FA753" w14:textId="77777777" w:rsidR="003E5BF5" w:rsidRPr="00087319" w:rsidRDefault="003E5BF5" w:rsidP="00A9380E">
      <w:pPr>
        <w:pStyle w:val="aaatyping"/>
      </w:pPr>
      <w:r w:rsidRPr="00087319">
        <w:t>Bullarto-</w:t>
      </w:r>
      <w:proofErr w:type="spellStart"/>
      <w:r w:rsidRPr="00087319">
        <w:t>Buluk</w:t>
      </w:r>
      <w:proofErr w:type="spellEnd"/>
      <w:r w:rsidRPr="00087319">
        <w:t>, the department’s Aboriginal Inclusion Action Plan 2018–20</w:t>
      </w:r>
      <w:r>
        <w:t>,</w:t>
      </w:r>
      <w:r w:rsidRPr="00087319">
        <w:t xml:space="preserve"> has an increased focus on creating opportunities for Aboriginal Victorians and attracting Aboriginal people to work in the department.</w:t>
      </w:r>
    </w:p>
    <w:p w14:paraId="14D2DA2C" w14:textId="77777777" w:rsidR="003E5BF5" w:rsidRPr="00087319" w:rsidRDefault="003E5BF5" w:rsidP="00A9380E">
      <w:pPr>
        <w:pStyle w:val="aaatyping"/>
      </w:pPr>
      <w:r w:rsidRPr="00087319">
        <w:t>Bullarto-</w:t>
      </w:r>
      <w:proofErr w:type="spellStart"/>
      <w:r w:rsidRPr="00087319">
        <w:t>Buluk</w:t>
      </w:r>
      <w:proofErr w:type="spellEnd"/>
      <w:r w:rsidRPr="00087319">
        <w:t xml:space="preserve"> was launched as part of Reconciliation Week in May 2018</w:t>
      </w:r>
      <w:r>
        <w:t>.</w:t>
      </w:r>
      <w:r w:rsidRPr="00087319">
        <w:t xml:space="preserve"> </w:t>
      </w:r>
      <w:r>
        <w:t>It</w:t>
      </w:r>
      <w:r w:rsidRPr="00087319">
        <w:t xml:space="preserve"> reflects the department’s commitment to contributing to Aboriginal self-determination at </w:t>
      </w:r>
      <w:r>
        <w:t xml:space="preserve">a </w:t>
      </w:r>
      <w:r w:rsidRPr="00087319">
        <w:t>whole</w:t>
      </w:r>
      <w:r>
        <w:t xml:space="preserve"> </w:t>
      </w:r>
      <w:r w:rsidRPr="00087319">
        <w:t>of government level and to strengthen</w:t>
      </w:r>
      <w:r>
        <w:t>ing</w:t>
      </w:r>
      <w:r w:rsidRPr="00087319">
        <w:t xml:space="preserve"> the delivery of the plan’s initiatives, including a commitment to Aboriginal people representing two per cent of our workforce by 2020.</w:t>
      </w:r>
    </w:p>
    <w:p w14:paraId="7808743E" w14:textId="77777777" w:rsidR="003E5BF5" w:rsidRPr="00087319" w:rsidRDefault="003E5BF5" w:rsidP="00A9380E">
      <w:pPr>
        <w:pStyle w:val="aaatyping"/>
      </w:pPr>
      <w:r w:rsidRPr="00087319">
        <w:t>The Aboriginal Inclusion Action Plan Working Group played a key role in developing Bullarto-</w:t>
      </w:r>
      <w:proofErr w:type="spellStart"/>
      <w:r w:rsidRPr="00087319">
        <w:t>Buluk</w:t>
      </w:r>
      <w:proofErr w:type="spellEnd"/>
      <w:r w:rsidRPr="00087319">
        <w:t xml:space="preserve"> and shares responsibility for its implementation.</w:t>
      </w:r>
    </w:p>
    <w:p w14:paraId="77605971" w14:textId="77777777" w:rsidR="003E5BF5" w:rsidRPr="00087319" w:rsidRDefault="003E5BF5" w:rsidP="00A9380E">
      <w:pPr>
        <w:pStyle w:val="aaatyping"/>
      </w:pPr>
      <w:r w:rsidRPr="00087319">
        <w:t xml:space="preserve">The plan is being delivered by strengthening </w:t>
      </w:r>
      <w:r>
        <w:t xml:space="preserve">the </w:t>
      </w:r>
      <w:r w:rsidRPr="00087319">
        <w:t>understanding and recognition of Aboriginal culture and perspectives across all areas of our operations, creating workplace opportunities, and increasing Aboriginal participation in policy, project and program development.</w:t>
      </w:r>
    </w:p>
    <w:p w14:paraId="46544C0C" w14:textId="77777777" w:rsidR="003E5BF5" w:rsidRPr="00087319" w:rsidRDefault="003E5BF5" w:rsidP="00EF5131">
      <w:pPr>
        <w:pStyle w:val="Heading5"/>
      </w:pPr>
      <w:r w:rsidRPr="00087319">
        <w:t>Women in Transport</w:t>
      </w:r>
    </w:p>
    <w:p w14:paraId="2AF635E9" w14:textId="77777777" w:rsidR="003E5BF5" w:rsidRPr="00087319" w:rsidRDefault="003E5BF5" w:rsidP="00A9380E">
      <w:pPr>
        <w:pStyle w:val="aaatyping"/>
      </w:pPr>
      <w:r w:rsidRPr="00087319">
        <w:t>The Women in Transport program, launched in 2017, comprises over $2 million of initiatives and business improvements to encourage more women to enter and stay in the transport sector.</w:t>
      </w:r>
    </w:p>
    <w:p w14:paraId="427F0569" w14:textId="77777777" w:rsidR="003E5BF5" w:rsidRPr="00087319" w:rsidRDefault="003E5BF5" w:rsidP="00A9380E">
      <w:pPr>
        <w:pStyle w:val="aaatyping"/>
      </w:pPr>
      <w:r w:rsidRPr="00087319">
        <w:t xml:space="preserve">Supporting the Victorian Government's Gender Equality Strategy, the program aims to increase the number of women working in the public transport sector workforce from 16 per cent to 25 per cent by 2020 and increase the number of women in senior roles in the public sector workforce to 50 per cent by 2020. </w:t>
      </w:r>
    </w:p>
    <w:p w14:paraId="1DFF57DA" w14:textId="77777777" w:rsidR="003E5BF5" w:rsidRDefault="003E5BF5" w:rsidP="00A9380E">
      <w:pPr>
        <w:pStyle w:val="aaatyping"/>
        <w:sectPr w:rsidR="003E5BF5" w:rsidSect="00742B7C">
          <w:type w:val="continuous"/>
          <w:pgSz w:w="11906" w:h="16838"/>
          <w:pgMar w:top="1701" w:right="1418" w:bottom="1418" w:left="1418" w:header="709" w:footer="709" w:gutter="0"/>
          <w:cols w:space="284"/>
          <w:docGrid w:linePitch="360"/>
        </w:sectPr>
      </w:pPr>
      <w:r w:rsidRPr="00087319">
        <w:lastRenderedPageBreak/>
        <w:t xml:space="preserve">As at 30 June </w:t>
      </w:r>
      <w:r>
        <w:t>2020</w:t>
      </w:r>
      <w:r w:rsidRPr="00087319">
        <w:t xml:space="preserve"> women make up </w:t>
      </w:r>
      <w:r>
        <w:t>21</w:t>
      </w:r>
      <w:r w:rsidRPr="00087319">
        <w:t xml:space="preserve"> per cent of the public transport sector workforce</w:t>
      </w:r>
      <w:r>
        <w:t>,</w:t>
      </w:r>
      <w:r w:rsidRPr="00087319">
        <w:t xml:space="preserve"> and 44.9 per cent of senior roles in the public sector are filled by women</w:t>
      </w:r>
      <w:r>
        <w:t>.</w:t>
      </w:r>
    </w:p>
    <w:p w14:paraId="530E6F51" w14:textId="77777777" w:rsidR="00742B7C" w:rsidRDefault="00742B7C" w:rsidP="008A0170">
      <w:pPr>
        <w:pStyle w:val="Heading2"/>
        <w:sectPr w:rsidR="00742B7C" w:rsidSect="00DE1921">
          <w:footerReference w:type="even" r:id="rId245"/>
          <w:pgSz w:w="11906" w:h="16838"/>
          <w:pgMar w:top="1440" w:right="1440" w:bottom="1440" w:left="1440" w:header="708" w:footer="708" w:gutter="0"/>
          <w:cols w:space="708"/>
          <w:docGrid w:linePitch="360"/>
        </w:sectPr>
      </w:pPr>
      <w:bookmarkStart w:id="788" w:name="p399"/>
      <w:bookmarkEnd w:id="788"/>
    </w:p>
    <w:p w14:paraId="67D9FD57" w14:textId="02E2D4E8" w:rsidR="003E5BF5" w:rsidRPr="00EB4A16" w:rsidRDefault="003E5BF5" w:rsidP="008A0170">
      <w:pPr>
        <w:pStyle w:val="Heading2"/>
      </w:pPr>
      <w:r w:rsidRPr="00EB4A16">
        <w:t xml:space="preserve">Compliance with the </w:t>
      </w:r>
      <w:r w:rsidRPr="008C2273">
        <w:rPr>
          <w:i/>
          <w:iCs/>
        </w:rPr>
        <w:t>Disability Act 2006</w:t>
      </w:r>
    </w:p>
    <w:p w14:paraId="30D8E6D2" w14:textId="77777777" w:rsidR="003E5BF5" w:rsidRDefault="003E5BF5" w:rsidP="00A9380E">
      <w:pPr>
        <w:pStyle w:val="aaatyping"/>
      </w:pPr>
      <w:r>
        <w:t xml:space="preserve">The </w:t>
      </w:r>
      <w:r w:rsidRPr="008C2273">
        <w:rPr>
          <w:i/>
          <w:iCs/>
        </w:rPr>
        <w:t>Disability Act 2006</w:t>
      </w:r>
      <w:r>
        <w:t xml:space="preserve"> reaffirms and strengthens the rights of people with a disability and recognises that this requires support across the government sector and within the community. </w:t>
      </w:r>
    </w:p>
    <w:p w14:paraId="0C1BD591" w14:textId="77777777" w:rsidR="003E5BF5" w:rsidRDefault="003E5BF5" w:rsidP="00A9380E">
      <w:pPr>
        <w:pStyle w:val="aaatyping"/>
      </w:pPr>
      <w:r>
        <w:t>The Absolutely Everyone: State Disability Plan for 2017-2020 is the Victorian Government’s framework for enabling people with disability to participate and contribute to the social, economic and civic life of their community. Over time the government will consider ways to align disability action plans to the state plan.</w:t>
      </w:r>
    </w:p>
    <w:p w14:paraId="22DCD5E6" w14:textId="77777777" w:rsidR="003E5BF5" w:rsidRDefault="003E5BF5" w:rsidP="00A9380E">
      <w:pPr>
        <w:pStyle w:val="aaatyping"/>
      </w:pPr>
      <w:r>
        <w:t>Key highlights of our work in the area of accessibility and inclusion over the past year include:</w:t>
      </w:r>
    </w:p>
    <w:p w14:paraId="0D069134" w14:textId="3BDD897A" w:rsidR="003E5BF5" w:rsidRDefault="003E5BF5" w:rsidP="00A9380E">
      <w:pPr>
        <w:pStyle w:val="aaabullet"/>
      </w:pPr>
      <w:r>
        <w:t>integration and launch of the department’s Workplace Adjustments Policy</w:t>
      </w:r>
    </w:p>
    <w:p w14:paraId="4FFD37A7" w14:textId="77777777" w:rsidR="003E5BF5" w:rsidRDefault="003E5BF5" w:rsidP="00A9380E">
      <w:pPr>
        <w:pStyle w:val="aaabullet"/>
      </w:pPr>
      <w:r>
        <w:t>establishment of a centralised fund for workplace adjustments</w:t>
      </w:r>
    </w:p>
    <w:p w14:paraId="404CF19C" w14:textId="77777777" w:rsidR="003E5BF5" w:rsidRDefault="003E5BF5" w:rsidP="00A9380E">
      <w:pPr>
        <w:pStyle w:val="aaabullet"/>
      </w:pPr>
      <w:r>
        <w:t>delivery of Disability Confidence and Travelling in the Shoes of Others training to staff across the department</w:t>
      </w:r>
    </w:p>
    <w:p w14:paraId="62DDD5BF" w14:textId="77777777" w:rsidR="003E5BF5" w:rsidRDefault="003E5BF5" w:rsidP="00A9380E">
      <w:pPr>
        <w:pStyle w:val="aaabullet"/>
      </w:pPr>
      <w:r>
        <w:t>providing tailored support to staff with disability including addressing accessibility needs</w:t>
      </w:r>
    </w:p>
    <w:p w14:paraId="735DE5B0" w14:textId="77777777" w:rsidR="003E5BF5" w:rsidRDefault="003E5BF5" w:rsidP="00A9380E">
      <w:pPr>
        <w:pStyle w:val="aaabullet"/>
      </w:pPr>
      <w:r>
        <w:t>continued implementation of the Accessible Public Transport Framework</w:t>
      </w:r>
    </w:p>
    <w:p w14:paraId="744180F4" w14:textId="77777777" w:rsidR="003E5BF5" w:rsidRDefault="003E5BF5" w:rsidP="00A9380E">
      <w:pPr>
        <w:pStyle w:val="aaabullet"/>
      </w:pPr>
      <w:r>
        <w:t>working closely with Australian Network on Disability to help align our work with best practice</w:t>
      </w:r>
    </w:p>
    <w:p w14:paraId="0FFCFFC3" w14:textId="77777777" w:rsidR="003E5BF5" w:rsidRDefault="003E5BF5" w:rsidP="00A9380E">
      <w:pPr>
        <w:pStyle w:val="aaabullet"/>
      </w:pPr>
      <w:r>
        <w:t>ongoing support of a staff network for people with disability, including contributing to the VPS Enablers Network</w:t>
      </w:r>
    </w:p>
    <w:p w14:paraId="77EC9DB3" w14:textId="77777777" w:rsidR="003E5BF5" w:rsidRDefault="003E5BF5" w:rsidP="00A9380E">
      <w:pPr>
        <w:pStyle w:val="aaabullet"/>
      </w:pPr>
      <w:r>
        <w:t>Paralympian employment program – participation in pilot</w:t>
      </w:r>
    </w:p>
    <w:p w14:paraId="4B6ACF44" w14:textId="77777777" w:rsidR="003E5BF5" w:rsidRDefault="003E5BF5" w:rsidP="00A9380E">
      <w:pPr>
        <w:pStyle w:val="aaabullet"/>
      </w:pPr>
      <w:r>
        <w:lastRenderedPageBreak/>
        <w:t>events held on the International Day of People with Disability at multiple sites across the department, including a screening of a video with a message from the department’s Disability Champion, Deputy Secretary People &amp; Business Services, Melinda Collinson, an introduction to disability confidence, and personal stories from staff with disability and carers</w:t>
      </w:r>
    </w:p>
    <w:p w14:paraId="5B9E4BA1" w14:textId="77777777" w:rsidR="003E5BF5" w:rsidRDefault="003E5BF5" w:rsidP="00A9380E">
      <w:pPr>
        <w:pStyle w:val="aaabullet"/>
      </w:pPr>
      <w:r>
        <w:t>participation in the VPS Disability Champion’s Roundtable.</w:t>
      </w:r>
    </w:p>
    <w:p w14:paraId="62C836DA" w14:textId="77777777" w:rsidR="003E5BF5" w:rsidRDefault="003E5BF5" w:rsidP="008A0170">
      <w:pPr>
        <w:pStyle w:val="Heading2"/>
      </w:pPr>
      <w:r>
        <w:br w:type="column"/>
      </w:r>
      <w:bookmarkStart w:id="789" w:name="p401"/>
      <w:bookmarkEnd w:id="789"/>
      <w:r>
        <w:lastRenderedPageBreak/>
        <w:t xml:space="preserve">Compliance with the </w:t>
      </w:r>
      <w:r w:rsidRPr="00AA087C">
        <w:t>Carers Recognition Act 2012</w:t>
      </w:r>
    </w:p>
    <w:p w14:paraId="35ED4175" w14:textId="77777777" w:rsidR="003E5BF5" w:rsidRPr="00087319" w:rsidRDefault="003E5BF5" w:rsidP="00A9380E">
      <w:pPr>
        <w:pStyle w:val="aaatyping"/>
      </w:pPr>
      <w:r>
        <w:t xml:space="preserve">The department has taken practical measures to comply with its obligations under the </w:t>
      </w:r>
      <w:r w:rsidRPr="00AA087C">
        <w:rPr>
          <w:i/>
          <w:iCs/>
        </w:rPr>
        <w:t>Carers Recognition Act 2012</w:t>
      </w:r>
      <w:r>
        <w:t>. These include raising awareness of the role of carers at our International Day of People with Disability event held on 3 December and reviewing our flexibility working arrangements policy and guidance material through the lens of the needs of carers.</w:t>
      </w:r>
    </w:p>
    <w:p w14:paraId="69F4ED6F" w14:textId="77777777" w:rsidR="003E5BF5" w:rsidRPr="00F163AE" w:rsidRDefault="003E5BF5" w:rsidP="00CF74EB">
      <w:pPr>
        <w:pStyle w:val="TableHeader"/>
      </w:pPr>
      <w:r w:rsidRPr="00F163AE">
        <w:t>Department of Transport Workforce Information</w:t>
      </w:r>
    </w:p>
    <w:tbl>
      <w:tblPr>
        <w:tblStyle w:val="TableGrid"/>
        <w:tblW w:w="9011" w:type="dxa"/>
        <w:tblCellMar>
          <w:left w:w="28" w:type="dxa"/>
          <w:right w:w="28" w:type="dxa"/>
        </w:tblCellMar>
        <w:tblLook w:val="04A0" w:firstRow="1" w:lastRow="0" w:firstColumn="1" w:lastColumn="0" w:noHBand="0" w:noVBand="1"/>
      </w:tblPr>
      <w:tblGrid>
        <w:gridCol w:w="1925"/>
        <w:gridCol w:w="1057"/>
        <w:gridCol w:w="857"/>
        <w:gridCol w:w="209"/>
        <w:gridCol w:w="944"/>
        <w:gridCol w:w="1012"/>
        <w:gridCol w:w="915"/>
        <w:gridCol w:w="209"/>
        <w:gridCol w:w="1057"/>
        <w:gridCol w:w="826"/>
      </w:tblGrid>
      <w:tr w:rsidR="003E5BF5" w:rsidRPr="00F163AE" w14:paraId="50BC1802" w14:textId="77777777" w:rsidTr="00DD0AB6">
        <w:trPr>
          <w:trHeight w:val="283"/>
          <w:tblHeader/>
        </w:trPr>
        <w:tc>
          <w:tcPr>
            <w:tcW w:w="1972" w:type="dxa"/>
            <w:shd w:val="clear" w:color="auto" w:fill="auto"/>
            <w:tcMar>
              <w:left w:w="57" w:type="dxa"/>
              <w:right w:w="57" w:type="dxa"/>
            </w:tcMar>
            <w:vAlign w:val="center"/>
          </w:tcPr>
          <w:p w14:paraId="7445A38C" w14:textId="77777777" w:rsidR="003E5BF5" w:rsidRPr="00F163AE" w:rsidRDefault="003E5BF5" w:rsidP="00DE1921">
            <w:pPr>
              <w:pStyle w:val="TableTextLeftBold"/>
              <w:jc w:val="center"/>
              <w:rPr>
                <w:rFonts w:ascii="Arial" w:hAnsi="Arial" w:cs="Arial"/>
                <w:sz w:val="24"/>
                <w:szCs w:val="24"/>
              </w:rPr>
            </w:pPr>
          </w:p>
        </w:tc>
        <w:tc>
          <w:tcPr>
            <w:tcW w:w="7039" w:type="dxa"/>
            <w:gridSpan w:val="9"/>
            <w:shd w:val="clear" w:color="auto" w:fill="auto"/>
            <w:vAlign w:val="center"/>
          </w:tcPr>
          <w:p w14:paraId="2EA0251A" w14:textId="77777777" w:rsidR="003E5BF5" w:rsidRPr="00F163AE" w:rsidRDefault="003E5BF5" w:rsidP="00DE1921">
            <w:pPr>
              <w:pStyle w:val="TableTextRightBold"/>
              <w:jc w:val="center"/>
              <w:rPr>
                <w:rFonts w:ascii="Arial" w:hAnsi="Arial" w:cs="Arial"/>
                <w:sz w:val="24"/>
                <w:szCs w:val="24"/>
              </w:rPr>
            </w:pPr>
            <w:r w:rsidRPr="00F163AE">
              <w:rPr>
                <w:rFonts w:ascii="Arial" w:hAnsi="Arial" w:cs="Arial"/>
                <w:sz w:val="24"/>
                <w:szCs w:val="24"/>
              </w:rPr>
              <w:t>@ June 2020</w:t>
            </w:r>
          </w:p>
        </w:tc>
      </w:tr>
      <w:tr w:rsidR="003E5BF5" w:rsidRPr="00F163AE" w14:paraId="50363933" w14:textId="77777777" w:rsidTr="00DD0AB6">
        <w:trPr>
          <w:trHeight w:val="283"/>
          <w:tblHeader/>
        </w:trPr>
        <w:tc>
          <w:tcPr>
            <w:tcW w:w="1972" w:type="dxa"/>
            <w:shd w:val="clear" w:color="auto" w:fill="auto"/>
            <w:tcMar>
              <w:left w:w="57" w:type="dxa"/>
              <w:right w:w="57" w:type="dxa"/>
            </w:tcMar>
            <w:vAlign w:val="center"/>
          </w:tcPr>
          <w:p w14:paraId="5AF1DC17" w14:textId="77777777" w:rsidR="003E5BF5" w:rsidRPr="00F163AE" w:rsidRDefault="003E5BF5" w:rsidP="00DE1921">
            <w:pPr>
              <w:pStyle w:val="TableTextLeftBold"/>
              <w:jc w:val="center"/>
              <w:rPr>
                <w:rFonts w:ascii="Arial" w:hAnsi="Arial" w:cs="Arial"/>
                <w:sz w:val="24"/>
                <w:szCs w:val="24"/>
              </w:rPr>
            </w:pPr>
          </w:p>
        </w:tc>
        <w:tc>
          <w:tcPr>
            <w:tcW w:w="1834" w:type="dxa"/>
            <w:gridSpan w:val="2"/>
            <w:shd w:val="clear" w:color="auto" w:fill="auto"/>
            <w:vAlign w:val="center"/>
          </w:tcPr>
          <w:p w14:paraId="0B95569E" w14:textId="77777777" w:rsidR="003E5BF5" w:rsidRPr="00F163AE" w:rsidRDefault="003E5BF5" w:rsidP="00DE1921">
            <w:pPr>
              <w:pStyle w:val="TableTextRightBold"/>
              <w:jc w:val="center"/>
              <w:rPr>
                <w:rFonts w:ascii="Arial" w:hAnsi="Arial" w:cs="Arial"/>
                <w:sz w:val="24"/>
                <w:szCs w:val="24"/>
              </w:rPr>
            </w:pPr>
            <w:r w:rsidRPr="00F163AE">
              <w:rPr>
                <w:rFonts w:ascii="Arial" w:hAnsi="Arial" w:cs="Arial"/>
                <w:sz w:val="24"/>
                <w:szCs w:val="24"/>
              </w:rPr>
              <w:t>All Employees</w:t>
            </w:r>
          </w:p>
        </w:tc>
        <w:tc>
          <w:tcPr>
            <w:tcW w:w="236" w:type="dxa"/>
            <w:shd w:val="clear" w:color="auto" w:fill="auto"/>
            <w:vAlign w:val="center"/>
          </w:tcPr>
          <w:p w14:paraId="7B28B354" w14:textId="77777777" w:rsidR="003E5BF5" w:rsidRPr="00F163AE" w:rsidRDefault="003E5BF5" w:rsidP="00DE1921">
            <w:pPr>
              <w:pStyle w:val="TableTextRightBold"/>
              <w:jc w:val="center"/>
              <w:rPr>
                <w:rFonts w:ascii="Arial" w:hAnsi="Arial" w:cs="Arial"/>
                <w:sz w:val="24"/>
                <w:szCs w:val="24"/>
              </w:rPr>
            </w:pPr>
          </w:p>
        </w:tc>
        <w:tc>
          <w:tcPr>
            <w:tcW w:w="2900" w:type="dxa"/>
            <w:gridSpan w:val="3"/>
            <w:shd w:val="clear" w:color="auto" w:fill="auto"/>
            <w:vAlign w:val="center"/>
          </w:tcPr>
          <w:p w14:paraId="637485BD" w14:textId="77777777" w:rsidR="003E5BF5" w:rsidRPr="00F163AE" w:rsidRDefault="003E5BF5" w:rsidP="00DE1921">
            <w:pPr>
              <w:pStyle w:val="TableTextRightBold"/>
              <w:jc w:val="center"/>
              <w:rPr>
                <w:rFonts w:ascii="Arial" w:hAnsi="Arial" w:cs="Arial"/>
                <w:sz w:val="24"/>
                <w:szCs w:val="24"/>
              </w:rPr>
            </w:pPr>
            <w:r w:rsidRPr="00F163AE">
              <w:rPr>
                <w:rFonts w:ascii="Arial" w:hAnsi="Arial" w:cs="Arial"/>
                <w:sz w:val="24"/>
                <w:szCs w:val="24"/>
              </w:rPr>
              <w:t>Ongoing</w:t>
            </w:r>
          </w:p>
        </w:tc>
        <w:tc>
          <w:tcPr>
            <w:tcW w:w="236" w:type="dxa"/>
            <w:shd w:val="clear" w:color="auto" w:fill="auto"/>
            <w:vAlign w:val="center"/>
          </w:tcPr>
          <w:p w14:paraId="083B96FB" w14:textId="77777777" w:rsidR="003E5BF5" w:rsidRPr="00F163AE" w:rsidRDefault="003E5BF5" w:rsidP="00DE1921">
            <w:pPr>
              <w:pStyle w:val="TableTextRightBold"/>
              <w:jc w:val="center"/>
              <w:rPr>
                <w:rFonts w:ascii="Arial" w:hAnsi="Arial" w:cs="Arial"/>
                <w:sz w:val="24"/>
                <w:szCs w:val="24"/>
              </w:rPr>
            </w:pPr>
          </w:p>
        </w:tc>
        <w:tc>
          <w:tcPr>
            <w:tcW w:w="1833" w:type="dxa"/>
            <w:gridSpan w:val="2"/>
            <w:shd w:val="clear" w:color="auto" w:fill="auto"/>
            <w:tcMar>
              <w:left w:w="0" w:type="dxa"/>
              <w:right w:w="0" w:type="dxa"/>
            </w:tcMar>
            <w:vAlign w:val="center"/>
          </w:tcPr>
          <w:p w14:paraId="711BBD33" w14:textId="77777777" w:rsidR="003E5BF5" w:rsidRPr="00F163AE" w:rsidRDefault="003E5BF5" w:rsidP="00DE1921">
            <w:pPr>
              <w:pStyle w:val="TableTextRightBold"/>
              <w:jc w:val="center"/>
              <w:rPr>
                <w:rFonts w:ascii="Arial" w:hAnsi="Arial" w:cs="Arial"/>
                <w:sz w:val="24"/>
                <w:szCs w:val="24"/>
              </w:rPr>
            </w:pPr>
            <w:r w:rsidRPr="00F163AE">
              <w:rPr>
                <w:rFonts w:ascii="Arial" w:hAnsi="Arial" w:cs="Arial"/>
                <w:sz w:val="24"/>
                <w:szCs w:val="24"/>
              </w:rPr>
              <w:t>Fixed Term &amp; Casual</w:t>
            </w:r>
          </w:p>
        </w:tc>
      </w:tr>
      <w:tr w:rsidR="003E5BF5" w:rsidRPr="00F163AE" w14:paraId="52B76A5C" w14:textId="77777777" w:rsidTr="00DD0AB6">
        <w:trPr>
          <w:trHeight w:val="283"/>
          <w:tblHeader/>
        </w:trPr>
        <w:tc>
          <w:tcPr>
            <w:tcW w:w="1972" w:type="dxa"/>
            <w:shd w:val="clear" w:color="auto" w:fill="auto"/>
            <w:tcMar>
              <w:left w:w="57" w:type="dxa"/>
              <w:right w:w="57" w:type="dxa"/>
            </w:tcMar>
            <w:vAlign w:val="center"/>
          </w:tcPr>
          <w:p w14:paraId="4B3D341E" w14:textId="77777777" w:rsidR="003E5BF5" w:rsidRPr="00F163AE" w:rsidRDefault="003E5BF5" w:rsidP="00DE1921">
            <w:pPr>
              <w:pStyle w:val="TableTextLeftBold"/>
              <w:jc w:val="right"/>
              <w:rPr>
                <w:rFonts w:ascii="Arial" w:hAnsi="Arial" w:cs="Arial"/>
                <w:sz w:val="24"/>
                <w:szCs w:val="24"/>
              </w:rPr>
            </w:pPr>
          </w:p>
        </w:tc>
        <w:tc>
          <w:tcPr>
            <w:tcW w:w="987" w:type="dxa"/>
            <w:shd w:val="clear" w:color="auto" w:fill="auto"/>
            <w:vAlign w:val="center"/>
          </w:tcPr>
          <w:p w14:paraId="06052D88"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Number*</w:t>
            </w:r>
          </w:p>
        </w:tc>
        <w:tc>
          <w:tcPr>
            <w:tcW w:w="847" w:type="dxa"/>
            <w:shd w:val="clear" w:color="auto" w:fill="auto"/>
            <w:vAlign w:val="center"/>
          </w:tcPr>
          <w:p w14:paraId="0FB06A97"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FTE</w:t>
            </w:r>
          </w:p>
        </w:tc>
        <w:tc>
          <w:tcPr>
            <w:tcW w:w="236" w:type="dxa"/>
            <w:shd w:val="clear" w:color="auto" w:fill="auto"/>
            <w:vAlign w:val="center"/>
          </w:tcPr>
          <w:p w14:paraId="7DF5CE76" w14:textId="77777777" w:rsidR="003E5BF5" w:rsidRPr="00F163AE" w:rsidRDefault="003E5BF5" w:rsidP="00DE1921">
            <w:pPr>
              <w:pStyle w:val="TableTextRightBold"/>
              <w:rPr>
                <w:rFonts w:ascii="Arial" w:hAnsi="Arial" w:cs="Arial"/>
                <w:sz w:val="24"/>
                <w:szCs w:val="24"/>
              </w:rPr>
            </w:pPr>
          </w:p>
        </w:tc>
        <w:tc>
          <w:tcPr>
            <w:tcW w:w="987" w:type="dxa"/>
            <w:shd w:val="clear" w:color="auto" w:fill="auto"/>
            <w:vAlign w:val="center"/>
          </w:tcPr>
          <w:p w14:paraId="59FE7A21"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Full Time*</w:t>
            </w:r>
          </w:p>
        </w:tc>
        <w:tc>
          <w:tcPr>
            <w:tcW w:w="1067" w:type="dxa"/>
            <w:shd w:val="clear" w:color="auto" w:fill="auto"/>
            <w:vAlign w:val="center"/>
          </w:tcPr>
          <w:p w14:paraId="12A0282C"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Part Time*</w:t>
            </w:r>
          </w:p>
        </w:tc>
        <w:tc>
          <w:tcPr>
            <w:tcW w:w="846" w:type="dxa"/>
            <w:shd w:val="clear" w:color="auto" w:fill="auto"/>
            <w:tcMar>
              <w:left w:w="57" w:type="dxa"/>
              <w:right w:w="57" w:type="dxa"/>
            </w:tcMar>
            <w:vAlign w:val="center"/>
          </w:tcPr>
          <w:p w14:paraId="2531CDD8"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FTE</w:t>
            </w:r>
          </w:p>
        </w:tc>
        <w:tc>
          <w:tcPr>
            <w:tcW w:w="236" w:type="dxa"/>
            <w:shd w:val="clear" w:color="auto" w:fill="auto"/>
            <w:vAlign w:val="center"/>
          </w:tcPr>
          <w:p w14:paraId="02B2913E" w14:textId="77777777" w:rsidR="003E5BF5" w:rsidRPr="00F163AE" w:rsidRDefault="003E5BF5" w:rsidP="00DE1921">
            <w:pPr>
              <w:pStyle w:val="TableTextRightBold"/>
              <w:rPr>
                <w:rFonts w:ascii="Arial" w:hAnsi="Arial" w:cs="Arial"/>
                <w:sz w:val="24"/>
                <w:szCs w:val="24"/>
              </w:rPr>
            </w:pPr>
          </w:p>
        </w:tc>
        <w:tc>
          <w:tcPr>
            <w:tcW w:w="987" w:type="dxa"/>
            <w:shd w:val="clear" w:color="auto" w:fill="auto"/>
            <w:vAlign w:val="center"/>
          </w:tcPr>
          <w:p w14:paraId="177AACBA"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Number*</w:t>
            </w:r>
          </w:p>
        </w:tc>
        <w:tc>
          <w:tcPr>
            <w:tcW w:w="846" w:type="dxa"/>
            <w:shd w:val="clear" w:color="auto" w:fill="auto"/>
            <w:tcMar>
              <w:left w:w="57" w:type="dxa"/>
              <w:right w:w="57" w:type="dxa"/>
            </w:tcMar>
            <w:vAlign w:val="center"/>
          </w:tcPr>
          <w:p w14:paraId="58410DB3" w14:textId="77777777" w:rsidR="003E5BF5" w:rsidRPr="00F163AE" w:rsidRDefault="003E5BF5" w:rsidP="00DE1921">
            <w:pPr>
              <w:pStyle w:val="TableTextRightBold"/>
              <w:rPr>
                <w:rFonts w:ascii="Arial" w:hAnsi="Arial" w:cs="Arial"/>
                <w:sz w:val="24"/>
                <w:szCs w:val="24"/>
              </w:rPr>
            </w:pPr>
            <w:r w:rsidRPr="00F163AE">
              <w:rPr>
                <w:rFonts w:ascii="Arial" w:hAnsi="Arial" w:cs="Arial"/>
                <w:sz w:val="24"/>
                <w:szCs w:val="24"/>
              </w:rPr>
              <w:t>FTE</w:t>
            </w:r>
          </w:p>
        </w:tc>
      </w:tr>
      <w:tr w:rsidR="003E5BF5" w:rsidRPr="00F163AE" w14:paraId="3DDD5BB1" w14:textId="77777777" w:rsidTr="00FE5165">
        <w:trPr>
          <w:trHeight w:val="283"/>
        </w:trPr>
        <w:tc>
          <w:tcPr>
            <w:tcW w:w="1972" w:type="dxa"/>
            <w:shd w:val="clear" w:color="auto" w:fill="auto"/>
            <w:tcMar>
              <w:left w:w="57" w:type="dxa"/>
              <w:right w:w="57" w:type="dxa"/>
            </w:tcMar>
            <w:vAlign w:val="center"/>
          </w:tcPr>
          <w:p w14:paraId="61783F8F" w14:textId="77777777" w:rsidR="003E5BF5" w:rsidRPr="00F163AE" w:rsidRDefault="003E5BF5" w:rsidP="00DE1921">
            <w:pPr>
              <w:pStyle w:val="TableTextLeftBold"/>
              <w:rPr>
                <w:rFonts w:ascii="Arial" w:hAnsi="Arial" w:cs="Arial"/>
                <w:sz w:val="24"/>
                <w:szCs w:val="24"/>
              </w:rPr>
            </w:pPr>
            <w:r w:rsidRPr="00F163AE">
              <w:rPr>
                <w:rFonts w:ascii="Arial" w:hAnsi="Arial" w:cs="Arial"/>
                <w:sz w:val="24"/>
                <w:szCs w:val="24"/>
              </w:rPr>
              <w:t>Gender</w:t>
            </w:r>
          </w:p>
        </w:tc>
        <w:tc>
          <w:tcPr>
            <w:tcW w:w="987" w:type="dxa"/>
            <w:shd w:val="clear" w:color="auto" w:fill="auto"/>
            <w:vAlign w:val="center"/>
          </w:tcPr>
          <w:p w14:paraId="5D2B3F9E" w14:textId="77777777" w:rsidR="003E5BF5" w:rsidRPr="00F163AE" w:rsidRDefault="003E5BF5" w:rsidP="00DE1921">
            <w:pPr>
              <w:pStyle w:val="TableTextRightBold"/>
              <w:rPr>
                <w:rFonts w:ascii="Arial" w:hAnsi="Arial" w:cs="Arial"/>
                <w:sz w:val="24"/>
                <w:szCs w:val="24"/>
              </w:rPr>
            </w:pPr>
          </w:p>
        </w:tc>
        <w:tc>
          <w:tcPr>
            <w:tcW w:w="847" w:type="dxa"/>
            <w:shd w:val="clear" w:color="auto" w:fill="auto"/>
            <w:vAlign w:val="center"/>
          </w:tcPr>
          <w:p w14:paraId="5F34751A" w14:textId="77777777" w:rsidR="003E5BF5" w:rsidRPr="00F163AE" w:rsidRDefault="003E5BF5" w:rsidP="00DE1921">
            <w:pPr>
              <w:pStyle w:val="TableTextRightBold"/>
              <w:rPr>
                <w:rFonts w:ascii="Arial" w:hAnsi="Arial" w:cs="Arial"/>
                <w:sz w:val="24"/>
                <w:szCs w:val="24"/>
              </w:rPr>
            </w:pPr>
          </w:p>
        </w:tc>
        <w:tc>
          <w:tcPr>
            <w:tcW w:w="236" w:type="dxa"/>
            <w:shd w:val="clear" w:color="auto" w:fill="auto"/>
            <w:vAlign w:val="center"/>
          </w:tcPr>
          <w:p w14:paraId="7A7D4514" w14:textId="77777777" w:rsidR="003E5BF5" w:rsidRPr="00F163AE" w:rsidRDefault="003E5BF5" w:rsidP="00DE1921">
            <w:pPr>
              <w:pStyle w:val="TableTextRightBold"/>
              <w:rPr>
                <w:rFonts w:ascii="Arial" w:hAnsi="Arial" w:cs="Arial"/>
                <w:sz w:val="24"/>
                <w:szCs w:val="24"/>
              </w:rPr>
            </w:pPr>
          </w:p>
        </w:tc>
        <w:tc>
          <w:tcPr>
            <w:tcW w:w="987" w:type="dxa"/>
            <w:shd w:val="clear" w:color="auto" w:fill="auto"/>
            <w:vAlign w:val="center"/>
          </w:tcPr>
          <w:p w14:paraId="32CFF9EA" w14:textId="77777777" w:rsidR="003E5BF5" w:rsidRPr="00F163AE" w:rsidRDefault="003E5BF5" w:rsidP="00DE1921">
            <w:pPr>
              <w:pStyle w:val="TableTextRightBold"/>
              <w:rPr>
                <w:rFonts w:ascii="Arial" w:hAnsi="Arial" w:cs="Arial"/>
                <w:sz w:val="24"/>
                <w:szCs w:val="24"/>
              </w:rPr>
            </w:pPr>
          </w:p>
        </w:tc>
        <w:tc>
          <w:tcPr>
            <w:tcW w:w="1067" w:type="dxa"/>
            <w:shd w:val="clear" w:color="auto" w:fill="auto"/>
            <w:vAlign w:val="center"/>
          </w:tcPr>
          <w:p w14:paraId="6FB36457" w14:textId="77777777" w:rsidR="003E5BF5" w:rsidRPr="00F163AE" w:rsidRDefault="003E5BF5" w:rsidP="00DE1921">
            <w:pPr>
              <w:pStyle w:val="TableTextRightBold"/>
              <w:rPr>
                <w:rFonts w:ascii="Arial" w:hAnsi="Arial" w:cs="Arial"/>
                <w:sz w:val="24"/>
                <w:szCs w:val="24"/>
              </w:rPr>
            </w:pPr>
          </w:p>
        </w:tc>
        <w:tc>
          <w:tcPr>
            <w:tcW w:w="846" w:type="dxa"/>
            <w:shd w:val="clear" w:color="auto" w:fill="auto"/>
            <w:tcMar>
              <w:left w:w="57" w:type="dxa"/>
              <w:right w:w="57" w:type="dxa"/>
            </w:tcMar>
            <w:vAlign w:val="center"/>
          </w:tcPr>
          <w:p w14:paraId="501D51BE" w14:textId="77777777" w:rsidR="003E5BF5" w:rsidRPr="00F163AE" w:rsidRDefault="003E5BF5" w:rsidP="00DE1921">
            <w:pPr>
              <w:pStyle w:val="TableTextRightBold"/>
              <w:rPr>
                <w:rFonts w:ascii="Arial" w:hAnsi="Arial" w:cs="Arial"/>
                <w:sz w:val="24"/>
                <w:szCs w:val="24"/>
              </w:rPr>
            </w:pPr>
          </w:p>
        </w:tc>
        <w:tc>
          <w:tcPr>
            <w:tcW w:w="236" w:type="dxa"/>
            <w:shd w:val="clear" w:color="auto" w:fill="auto"/>
            <w:vAlign w:val="center"/>
          </w:tcPr>
          <w:p w14:paraId="0FD5D4D8" w14:textId="77777777" w:rsidR="003E5BF5" w:rsidRPr="00F163AE" w:rsidRDefault="003E5BF5" w:rsidP="00DE1921">
            <w:pPr>
              <w:pStyle w:val="TableTextRightBold"/>
              <w:rPr>
                <w:rFonts w:ascii="Arial" w:hAnsi="Arial" w:cs="Arial"/>
                <w:sz w:val="24"/>
                <w:szCs w:val="24"/>
              </w:rPr>
            </w:pPr>
          </w:p>
        </w:tc>
        <w:tc>
          <w:tcPr>
            <w:tcW w:w="987" w:type="dxa"/>
            <w:shd w:val="clear" w:color="auto" w:fill="auto"/>
            <w:vAlign w:val="center"/>
          </w:tcPr>
          <w:p w14:paraId="19532EC0" w14:textId="77777777" w:rsidR="003E5BF5" w:rsidRPr="00F163AE" w:rsidRDefault="003E5BF5" w:rsidP="00DE1921">
            <w:pPr>
              <w:pStyle w:val="TableTextRightBold"/>
              <w:rPr>
                <w:rFonts w:ascii="Arial" w:hAnsi="Arial" w:cs="Arial"/>
                <w:sz w:val="24"/>
                <w:szCs w:val="24"/>
              </w:rPr>
            </w:pPr>
          </w:p>
        </w:tc>
        <w:tc>
          <w:tcPr>
            <w:tcW w:w="846" w:type="dxa"/>
            <w:shd w:val="clear" w:color="auto" w:fill="auto"/>
            <w:tcMar>
              <w:left w:w="57" w:type="dxa"/>
              <w:right w:w="57" w:type="dxa"/>
            </w:tcMar>
            <w:vAlign w:val="center"/>
          </w:tcPr>
          <w:p w14:paraId="27352BC8" w14:textId="77777777" w:rsidR="003E5BF5" w:rsidRPr="00F163AE" w:rsidRDefault="003E5BF5" w:rsidP="00DE1921">
            <w:pPr>
              <w:pStyle w:val="TableTextRightBold"/>
              <w:rPr>
                <w:rFonts w:ascii="Arial" w:hAnsi="Arial" w:cs="Arial"/>
                <w:sz w:val="24"/>
                <w:szCs w:val="24"/>
              </w:rPr>
            </w:pPr>
          </w:p>
        </w:tc>
      </w:tr>
      <w:tr w:rsidR="003E5BF5" w:rsidRPr="00F163AE" w14:paraId="3148A42E" w14:textId="77777777" w:rsidTr="00FE5165">
        <w:trPr>
          <w:trHeight w:val="283"/>
        </w:trPr>
        <w:tc>
          <w:tcPr>
            <w:tcW w:w="1972" w:type="dxa"/>
            <w:shd w:val="clear" w:color="auto" w:fill="auto"/>
            <w:tcMar>
              <w:left w:w="57" w:type="dxa"/>
              <w:right w:w="57" w:type="dxa"/>
            </w:tcMar>
            <w:vAlign w:val="center"/>
          </w:tcPr>
          <w:p w14:paraId="70136C71"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Woman</w:t>
            </w:r>
          </w:p>
        </w:tc>
        <w:tc>
          <w:tcPr>
            <w:tcW w:w="987" w:type="dxa"/>
            <w:shd w:val="clear" w:color="auto" w:fill="auto"/>
            <w:vAlign w:val="center"/>
          </w:tcPr>
          <w:p w14:paraId="34340E68"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 xml:space="preserve">1,739 </w:t>
            </w:r>
          </w:p>
        </w:tc>
        <w:tc>
          <w:tcPr>
            <w:tcW w:w="847" w:type="dxa"/>
            <w:shd w:val="clear" w:color="auto" w:fill="auto"/>
            <w:vAlign w:val="center"/>
          </w:tcPr>
          <w:p w14:paraId="4C19803A"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 xml:space="preserve">1,616.6 </w:t>
            </w:r>
          </w:p>
        </w:tc>
        <w:tc>
          <w:tcPr>
            <w:tcW w:w="236" w:type="dxa"/>
            <w:shd w:val="clear" w:color="auto" w:fill="auto"/>
            <w:vAlign w:val="center"/>
          </w:tcPr>
          <w:p w14:paraId="0958FFC0"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36581196"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 xml:space="preserve">1,209 </w:t>
            </w:r>
          </w:p>
        </w:tc>
        <w:tc>
          <w:tcPr>
            <w:tcW w:w="1067" w:type="dxa"/>
            <w:shd w:val="clear" w:color="auto" w:fill="auto"/>
            <w:vAlign w:val="center"/>
          </w:tcPr>
          <w:p w14:paraId="6BA7811B"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 xml:space="preserve">332 </w:t>
            </w:r>
          </w:p>
        </w:tc>
        <w:tc>
          <w:tcPr>
            <w:tcW w:w="846" w:type="dxa"/>
            <w:shd w:val="clear" w:color="auto" w:fill="auto"/>
            <w:tcMar>
              <w:left w:w="57" w:type="dxa"/>
              <w:right w:w="57" w:type="dxa"/>
            </w:tcMar>
            <w:vAlign w:val="center"/>
          </w:tcPr>
          <w:p w14:paraId="1410CBF1"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 xml:space="preserve">1,433.9 </w:t>
            </w:r>
          </w:p>
        </w:tc>
        <w:tc>
          <w:tcPr>
            <w:tcW w:w="236" w:type="dxa"/>
            <w:shd w:val="clear" w:color="auto" w:fill="auto"/>
            <w:vAlign w:val="center"/>
          </w:tcPr>
          <w:p w14:paraId="636C9C03"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58AA1986"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198 </w:t>
            </w:r>
          </w:p>
        </w:tc>
        <w:tc>
          <w:tcPr>
            <w:tcW w:w="846" w:type="dxa"/>
            <w:shd w:val="clear" w:color="auto" w:fill="auto"/>
            <w:tcMar>
              <w:left w:w="57" w:type="dxa"/>
              <w:right w:w="57" w:type="dxa"/>
            </w:tcMar>
            <w:vAlign w:val="center"/>
          </w:tcPr>
          <w:p w14:paraId="10A1FBE1"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182.8 </w:t>
            </w:r>
          </w:p>
        </w:tc>
      </w:tr>
      <w:tr w:rsidR="003E5BF5" w:rsidRPr="00F163AE" w14:paraId="5C22417F" w14:textId="77777777" w:rsidTr="00FE5165">
        <w:trPr>
          <w:trHeight w:val="283"/>
        </w:trPr>
        <w:tc>
          <w:tcPr>
            <w:tcW w:w="1972" w:type="dxa"/>
            <w:shd w:val="clear" w:color="auto" w:fill="auto"/>
            <w:tcMar>
              <w:left w:w="57" w:type="dxa"/>
              <w:right w:w="57" w:type="dxa"/>
            </w:tcMar>
            <w:vAlign w:val="center"/>
          </w:tcPr>
          <w:p w14:paraId="4ACF5074"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Man</w:t>
            </w:r>
          </w:p>
        </w:tc>
        <w:tc>
          <w:tcPr>
            <w:tcW w:w="987" w:type="dxa"/>
            <w:shd w:val="clear" w:color="auto" w:fill="auto"/>
            <w:vAlign w:val="center"/>
          </w:tcPr>
          <w:p w14:paraId="0E4E4085"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 xml:space="preserve">2,239 </w:t>
            </w:r>
          </w:p>
        </w:tc>
        <w:tc>
          <w:tcPr>
            <w:tcW w:w="847" w:type="dxa"/>
            <w:shd w:val="clear" w:color="auto" w:fill="auto"/>
            <w:vAlign w:val="center"/>
          </w:tcPr>
          <w:p w14:paraId="6B0DE1A4"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 xml:space="preserve">2,214.7 </w:t>
            </w:r>
          </w:p>
        </w:tc>
        <w:tc>
          <w:tcPr>
            <w:tcW w:w="236" w:type="dxa"/>
            <w:shd w:val="clear" w:color="auto" w:fill="auto"/>
            <w:vAlign w:val="center"/>
          </w:tcPr>
          <w:p w14:paraId="0E963AAE"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3455E07B"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 xml:space="preserve">1,943 </w:t>
            </w:r>
          </w:p>
        </w:tc>
        <w:tc>
          <w:tcPr>
            <w:tcW w:w="1067" w:type="dxa"/>
            <w:shd w:val="clear" w:color="auto" w:fill="auto"/>
            <w:vAlign w:val="center"/>
          </w:tcPr>
          <w:p w14:paraId="5D919C28"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 xml:space="preserve">61 </w:t>
            </w:r>
          </w:p>
        </w:tc>
        <w:tc>
          <w:tcPr>
            <w:tcW w:w="846" w:type="dxa"/>
            <w:shd w:val="clear" w:color="auto" w:fill="auto"/>
            <w:tcMar>
              <w:left w:w="57" w:type="dxa"/>
              <w:right w:w="57" w:type="dxa"/>
            </w:tcMar>
            <w:vAlign w:val="center"/>
          </w:tcPr>
          <w:p w14:paraId="3620A3B1"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 xml:space="preserve">1,989.0 </w:t>
            </w:r>
          </w:p>
        </w:tc>
        <w:tc>
          <w:tcPr>
            <w:tcW w:w="236" w:type="dxa"/>
            <w:shd w:val="clear" w:color="auto" w:fill="auto"/>
            <w:vAlign w:val="center"/>
          </w:tcPr>
          <w:p w14:paraId="1D348C21"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03F084C4"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235 </w:t>
            </w:r>
          </w:p>
        </w:tc>
        <w:tc>
          <w:tcPr>
            <w:tcW w:w="846" w:type="dxa"/>
            <w:shd w:val="clear" w:color="auto" w:fill="auto"/>
            <w:tcMar>
              <w:left w:w="57" w:type="dxa"/>
              <w:right w:w="57" w:type="dxa"/>
            </w:tcMar>
            <w:vAlign w:val="center"/>
          </w:tcPr>
          <w:p w14:paraId="3D21FE36"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225.8 </w:t>
            </w:r>
          </w:p>
        </w:tc>
      </w:tr>
      <w:tr w:rsidR="003E5BF5" w:rsidRPr="00F163AE" w14:paraId="0705A6ED" w14:textId="77777777" w:rsidTr="00FE5165">
        <w:trPr>
          <w:trHeight w:val="283"/>
        </w:trPr>
        <w:tc>
          <w:tcPr>
            <w:tcW w:w="1972" w:type="dxa"/>
            <w:shd w:val="clear" w:color="auto" w:fill="auto"/>
            <w:tcMar>
              <w:left w:w="57" w:type="dxa"/>
              <w:right w:w="57" w:type="dxa"/>
            </w:tcMar>
            <w:vAlign w:val="center"/>
          </w:tcPr>
          <w:p w14:paraId="293783D9"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Self-described</w:t>
            </w:r>
          </w:p>
        </w:tc>
        <w:tc>
          <w:tcPr>
            <w:tcW w:w="987" w:type="dxa"/>
            <w:shd w:val="clear" w:color="auto" w:fill="auto"/>
            <w:vAlign w:val="center"/>
          </w:tcPr>
          <w:p w14:paraId="51C9E616"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 xml:space="preserve">1 </w:t>
            </w:r>
          </w:p>
        </w:tc>
        <w:tc>
          <w:tcPr>
            <w:tcW w:w="847" w:type="dxa"/>
            <w:shd w:val="clear" w:color="auto" w:fill="auto"/>
            <w:vAlign w:val="center"/>
          </w:tcPr>
          <w:p w14:paraId="498CB40E"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 xml:space="preserve">0.8 </w:t>
            </w:r>
          </w:p>
        </w:tc>
        <w:tc>
          <w:tcPr>
            <w:tcW w:w="236" w:type="dxa"/>
            <w:shd w:val="clear" w:color="auto" w:fill="auto"/>
            <w:vAlign w:val="center"/>
          </w:tcPr>
          <w:p w14:paraId="35E463AA"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15D03DC9"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1067" w:type="dxa"/>
            <w:shd w:val="clear" w:color="auto" w:fill="auto"/>
            <w:vAlign w:val="center"/>
          </w:tcPr>
          <w:p w14:paraId="70DF175E"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846" w:type="dxa"/>
            <w:shd w:val="clear" w:color="auto" w:fill="auto"/>
            <w:tcMar>
              <w:left w:w="57" w:type="dxa"/>
              <w:right w:w="57" w:type="dxa"/>
            </w:tcMar>
            <w:vAlign w:val="center"/>
          </w:tcPr>
          <w:p w14:paraId="399058B3"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236" w:type="dxa"/>
            <w:shd w:val="clear" w:color="auto" w:fill="auto"/>
            <w:vAlign w:val="center"/>
          </w:tcPr>
          <w:p w14:paraId="71A7A610"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479AA840"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 </w:t>
            </w:r>
          </w:p>
        </w:tc>
        <w:tc>
          <w:tcPr>
            <w:tcW w:w="846" w:type="dxa"/>
            <w:shd w:val="clear" w:color="auto" w:fill="auto"/>
            <w:tcMar>
              <w:left w:w="57" w:type="dxa"/>
              <w:right w:w="57" w:type="dxa"/>
            </w:tcMar>
            <w:vAlign w:val="center"/>
          </w:tcPr>
          <w:p w14:paraId="13358395"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0.8 </w:t>
            </w:r>
          </w:p>
        </w:tc>
      </w:tr>
      <w:tr w:rsidR="003E5BF5" w:rsidRPr="00F163AE" w14:paraId="61FE92F8" w14:textId="77777777" w:rsidTr="00FE5165">
        <w:trPr>
          <w:trHeight w:val="283"/>
        </w:trPr>
        <w:tc>
          <w:tcPr>
            <w:tcW w:w="1972" w:type="dxa"/>
            <w:shd w:val="clear" w:color="auto" w:fill="auto"/>
            <w:tcMar>
              <w:left w:w="57" w:type="dxa"/>
              <w:right w:w="57" w:type="dxa"/>
            </w:tcMar>
            <w:vAlign w:val="center"/>
          </w:tcPr>
          <w:p w14:paraId="7EE1839F" w14:textId="77777777" w:rsidR="003E5BF5" w:rsidRPr="00F163AE" w:rsidRDefault="003E5BF5" w:rsidP="00DE1921">
            <w:pPr>
              <w:pStyle w:val="TableTextLeftBold"/>
              <w:rPr>
                <w:rFonts w:ascii="Arial" w:hAnsi="Arial" w:cs="Arial"/>
                <w:sz w:val="24"/>
                <w:szCs w:val="24"/>
              </w:rPr>
            </w:pPr>
            <w:r w:rsidRPr="00F163AE">
              <w:rPr>
                <w:rFonts w:ascii="Arial" w:hAnsi="Arial" w:cs="Arial"/>
                <w:sz w:val="24"/>
                <w:szCs w:val="24"/>
              </w:rPr>
              <w:t>Age</w:t>
            </w:r>
          </w:p>
        </w:tc>
        <w:tc>
          <w:tcPr>
            <w:tcW w:w="987" w:type="dxa"/>
            <w:shd w:val="clear" w:color="auto" w:fill="auto"/>
            <w:vAlign w:val="center"/>
          </w:tcPr>
          <w:p w14:paraId="2C836D70" w14:textId="77777777" w:rsidR="003E5BF5" w:rsidRPr="00F163AE" w:rsidRDefault="003E5BF5" w:rsidP="00DE1921">
            <w:pPr>
              <w:pStyle w:val="TableTextRight"/>
              <w:rPr>
                <w:rFonts w:ascii="Arial" w:hAnsi="Arial" w:cs="Arial"/>
                <w:sz w:val="24"/>
                <w:szCs w:val="24"/>
              </w:rPr>
            </w:pPr>
          </w:p>
        </w:tc>
        <w:tc>
          <w:tcPr>
            <w:tcW w:w="847" w:type="dxa"/>
            <w:shd w:val="clear" w:color="auto" w:fill="auto"/>
            <w:vAlign w:val="center"/>
          </w:tcPr>
          <w:p w14:paraId="490A3322" w14:textId="77777777" w:rsidR="003E5BF5" w:rsidRPr="00F163AE" w:rsidRDefault="003E5BF5" w:rsidP="00DE1921">
            <w:pPr>
              <w:pStyle w:val="TableTextRight"/>
              <w:rPr>
                <w:rFonts w:ascii="Arial" w:hAnsi="Arial" w:cs="Arial"/>
                <w:sz w:val="24"/>
                <w:szCs w:val="24"/>
              </w:rPr>
            </w:pPr>
          </w:p>
        </w:tc>
        <w:tc>
          <w:tcPr>
            <w:tcW w:w="236" w:type="dxa"/>
            <w:shd w:val="clear" w:color="auto" w:fill="auto"/>
            <w:vAlign w:val="center"/>
          </w:tcPr>
          <w:p w14:paraId="27588A33"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0ABAA11F" w14:textId="77777777" w:rsidR="003E5BF5" w:rsidRPr="00F163AE" w:rsidRDefault="003E5BF5" w:rsidP="00DE1921">
            <w:pPr>
              <w:pStyle w:val="TableTextRight"/>
              <w:rPr>
                <w:rFonts w:ascii="Arial" w:hAnsi="Arial" w:cs="Arial"/>
                <w:sz w:val="24"/>
                <w:szCs w:val="24"/>
              </w:rPr>
            </w:pPr>
          </w:p>
        </w:tc>
        <w:tc>
          <w:tcPr>
            <w:tcW w:w="1067" w:type="dxa"/>
            <w:shd w:val="clear" w:color="auto" w:fill="auto"/>
            <w:vAlign w:val="center"/>
          </w:tcPr>
          <w:p w14:paraId="34C3C687" w14:textId="77777777" w:rsidR="003E5BF5" w:rsidRPr="00F163AE" w:rsidRDefault="003E5BF5" w:rsidP="00DE1921">
            <w:pPr>
              <w:pStyle w:val="TableTextRight"/>
              <w:rPr>
                <w:rFonts w:ascii="Arial" w:hAnsi="Arial" w:cs="Arial"/>
                <w:sz w:val="24"/>
                <w:szCs w:val="24"/>
              </w:rPr>
            </w:pPr>
          </w:p>
        </w:tc>
        <w:tc>
          <w:tcPr>
            <w:tcW w:w="846" w:type="dxa"/>
            <w:shd w:val="clear" w:color="auto" w:fill="auto"/>
            <w:tcMar>
              <w:left w:w="57" w:type="dxa"/>
              <w:right w:w="57" w:type="dxa"/>
            </w:tcMar>
            <w:vAlign w:val="center"/>
          </w:tcPr>
          <w:p w14:paraId="55A3FF96" w14:textId="77777777" w:rsidR="003E5BF5" w:rsidRPr="00F163AE" w:rsidRDefault="003E5BF5" w:rsidP="00DE1921">
            <w:pPr>
              <w:pStyle w:val="TableTextRight"/>
              <w:rPr>
                <w:rFonts w:ascii="Arial" w:hAnsi="Arial" w:cs="Arial"/>
                <w:sz w:val="24"/>
                <w:szCs w:val="24"/>
              </w:rPr>
            </w:pPr>
          </w:p>
        </w:tc>
        <w:tc>
          <w:tcPr>
            <w:tcW w:w="236" w:type="dxa"/>
            <w:shd w:val="clear" w:color="auto" w:fill="auto"/>
            <w:vAlign w:val="center"/>
          </w:tcPr>
          <w:p w14:paraId="0F90EF78"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463F7721" w14:textId="77777777" w:rsidR="003E5BF5" w:rsidRPr="00F163AE" w:rsidRDefault="003E5BF5" w:rsidP="00DE1921">
            <w:pPr>
              <w:pStyle w:val="TableTextRight"/>
              <w:rPr>
                <w:rFonts w:ascii="Arial" w:hAnsi="Arial" w:cs="Arial"/>
                <w:sz w:val="24"/>
                <w:szCs w:val="24"/>
              </w:rPr>
            </w:pPr>
          </w:p>
        </w:tc>
        <w:tc>
          <w:tcPr>
            <w:tcW w:w="846" w:type="dxa"/>
            <w:shd w:val="clear" w:color="auto" w:fill="auto"/>
            <w:tcMar>
              <w:left w:w="57" w:type="dxa"/>
              <w:right w:w="57" w:type="dxa"/>
            </w:tcMar>
            <w:vAlign w:val="center"/>
          </w:tcPr>
          <w:p w14:paraId="0BCA1119" w14:textId="77777777" w:rsidR="003E5BF5" w:rsidRPr="00F163AE" w:rsidRDefault="003E5BF5" w:rsidP="00DE1921">
            <w:pPr>
              <w:pStyle w:val="TableTextRight"/>
              <w:rPr>
                <w:rFonts w:ascii="Arial" w:hAnsi="Arial" w:cs="Arial"/>
                <w:sz w:val="24"/>
                <w:szCs w:val="24"/>
              </w:rPr>
            </w:pPr>
          </w:p>
        </w:tc>
      </w:tr>
      <w:tr w:rsidR="003E5BF5" w:rsidRPr="00F163AE" w14:paraId="378CF863" w14:textId="77777777" w:rsidTr="00FE5165">
        <w:trPr>
          <w:trHeight w:val="283"/>
        </w:trPr>
        <w:tc>
          <w:tcPr>
            <w:tcW w:w="1972" w:type="dxa"/>
            <w:shd w:val="clear" w:color="auto" w:fill="auto"/>
            <w:tcMar>
              <w:left w:w="57" w:type="dxa"/>
              <w:right w:w="57" w:type="dxa"/>
            </w:tcMar>
            <w:vAlign w:val="center"/>
          </w:tcPr>
          <w:p w14:paraId="7E591858"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15-24</w:t>
            </w:r>
          </w:p>
        </w:tc>
        <w:tc>
          <w:tcPr>
            <w:tcW w:w="987" w:type="dxa"/>
            <w:shd w:val="clear" w:color="auto" w:fill="auto"/>
            <w:vAlign w:val="center"/>
          </w:tcPr>
          <w:p w14:paraId="3B07E985"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89 </w:t>
            </w:r>
          </w:p>
        </w:tc>
        <w:tc>
          <w:tcPr>
            <w:tcW w:w="847" w:type="dxa"/>
            <w:shd w:val="clear" w:color="auto" w:fill="auto"/>
            <w:vAlign w:val="center"/>
          </w:tcPr>
          <w:p w14:paraId="39966F67"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84.2 </w:t>
            </w:r>
          </w:p>
        </w:tc>
        <w:tc>
          <w:tcPr>
            <w:tcW w:w="236" w:type="dxa"/>
            <w:shd w:val="clear" w:color="auto" w:fill="auto"/>
            <w:vAlign w:val="center"/>
          </w:tcPr>
          <w:p w14:paraId="5B3CA552"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409F3200"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66 </w:t>
            </w:r>
          </w:p>
        </w:tc>
        <w:tc>
          <w:tcPr>
            <w:tcW w:w="1067" w:type="dxa"/>
            <w:shd w:val="clear" w:color="auto" w:fill="auto"/>
            <w:vAlign w:val="center"/>
          </w:tcPr>
          <w:p w14:paraId="364E0377"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 </w:t>
            </w:r>
          </w:p>
        </w:tc>
        <w:tc>
          <w:tcPr>
            <w:tcW w:w="846" w:type="dxa"/>
            <w:shd w:val="clear" w:color="auto" w:fill="auto"/>
            <w:tcMar>
              <w:left w:w="57" w:type="dxa"/>
              <w:right w:w="57" w:type="dxa"/>
            </w:tcMar>
            <w:vAlign w:val="center"/>
          </w:tcPr>
          <w:p w14:paraId="69E7C16C"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68.4 </w:t>
            </w:r>
          </w:p>
        </w:tc>
        <w:tc>
          <w:tcPr>
            <w:tcW w:w="236" w:type="dxa"/>
            <w:shd w:val="clear" w:color="auto" w:fill="auto"/>
            <w:vAlign w:val="center"/>
          </w:tcPr>
          <w:p w14:paraId="7AF43A3A"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066AB5CA"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20 </w:t>
            </w:r>
          </w:p>
        </w:tc>
        <w:tc>
          <w:tcPr>
            <w:tcW w:w="846" w:type="dxa"/>
            <w:shd w:val="clear" w:color="auto" w:fill="auto"/>
            <w:tcMar>
              <w:left w:w="57" w:type="dxa"/>
              <w:right w:w="57" w:type="dxa"/>
            </w:tcMar>
            <w:vAlign w:val="center"/>
          </w:tcPr>
          <w:p w14:paraId="46CCBD74"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15.8 </w:t>
            </w:r>
          </w:p>
        </w:tc>
      </w:tr>
      <w:tr w:rsidR="003E5BF5" w:rsidRPr="00F163AE" w14:paraId="5A36E1CD" w14:textId="77777777" w:rsidTr="00FE5165">
        <w:trPr>
          <w:trHeight w:val="283"/>
        </w:trPr>
        <w:tc>
          <w:tcPr>
            <w:tcW w:w="1972" w:type="dxa"/>
            <w:shd w:val="clear" w:color="auto" w:fill="auto"/>
            <w:tcMar>
              <w:left w:w="57" w:type="dxa"/>
              <w:right w:w="57" w:type="dxa"/>
            </w:tcMar>
            <w:vAlign w:val="center"/>
          </w:tcPr>
          <w:p w14:paraId="3621C15C"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25-34</w:t>
            </w:r>
          </w:p>
        </w:tc>
        <w:tc>
          <w:tcPr>
            <w:tcW w:w="987" w:type="dxa"/>
            <w:shd w:val="clear" w:color="auto" w:fill="auto"/>
            <w:vAlign w:val="center"/>
          </w:tcPr>
          <w:p w14:paraId="4803C6A1"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817 </w:t>
            </w:r>
          </w:p>
        </w:tc>
        <w:tc>
          <w:tcPr>
            <w:tcW w:w="847" w:type="dxa"/>
            <w:shd w:val="clear" w:color="auto" w:fill="auto"/>
            <w:vAlign w:val="center"/>
          </w:tcPr>
          <w:p w14:paraId="53E7F105"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793.5 </w:t>
            </w:r>
          </w:p>
        </w:tc>
        <w:tc>
          <w:tcPr>
            <w:tcW w:w="236" w:type="dxa"/>
            <w:shd w:val="clear" w:color="auto" w:fill="auto"/>
            <w:vAlign w:val="center"/>
          </w:tcPr>
          <w:p w14:paraId="04162131"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6003F624"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630 </w:t>
            </w:r>
          </w:p>
        </w:tc>
        <w:tc>
          <w:tcPr>
            <w:tcW w:w="1067" w:type="dxa"/>
            <w:shd w:val="clear" w:color="auto" w:fill="auto"/>
            <w:vAlign w:val="center"/>
          </w:tcPr>
          <w:p w14:paraId="1306BCC4"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61 </w:t>
            </w:r>
          </w:p>
        </w:tc>
        <w:tc>
          <w:tcPr>
            <w:tcW w:w="846" w:type="dxa"/>
            <w:shd w:val="clear" w:color="auto" w:fill="auto"/>
            <w:tcMar>
              <w:left w:w="57" w:type="dxa"/>
              <w:right w:w="57" w:type="dxa"/>
            </w:tcMar>
            <w:vAlign w:val="center"/>
          </w:tcPr>
          <w:p w14:paraId="04845E15"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671.4 </w:t>
            </w:r>
          </w:p>
        </w:tc>
        <w:tc>
          <w:tcPr>
            <w:tcW w:w="236" w:type="dxa"/>
            <w:shd w:val="clear" w:color="auto" w:fill="auto"/>
            <w:vAlign w:val="center"/>
          </w:tcPr>
          <w:p w14:paraId="651A0BEA"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33480A5E"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126 </w:t>
            </w:r>
          </w:p>
        </w:tc>
        <w:tc>
          <w:tcPr>
            <w:tcW w:w="846" w:type="dxa"/>
            <w:shd w:val="clear" w:color="auto" w:fill="auto"/>
            <w:tcMar>
              <w:left w:w="57" w:type="dxa"/>
              <w:right w:w="57" w:type="dxa"/>
            </w:tcMar>
            <w:vAlign w:val="center"/>
          </w:tcPr>
          <w:p w14:paraId="6DC28360"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122.2 </w:t>
            </w:r>
          </w:p>
        </w:tc>
      </w:tr>
      <w:tr w:rsidR="003E5BF5" w:rsidRPr="00F163AE" w14:paraId="270AA274" w14:textId="77777777" w:rsidTr="00FE5165">
        <w:trPr>
          <w:trHeight w:val="283"/>
        </w:trPr>
        <w:tc>
          <w:tcPr>
            <w:tcW w:w="1972" w:type="dxa"/>
            <w:shd w:val="clear" w:color="auto" w:fill="auto"/>
            <w:tcMar>
              <w:left w:w="57" w:type="dxa"/>
              <w:right w:w="57" w:type="dxa"/>
            </w:tcMar>
            <w:vAlign w:val="center"/>
          </w:tcPr>
          <w:p w14:paraId="06814CEB"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35-44</w:t>
            </w:r>
          </w:p>
        </w:tc>
        <w:tc>
          <w:tcPr>
            <w:tcW w:w="987" w:type="dxa"/>
            <w:shd w:val="clear" w:color="auto" w:fill="auto"/>
            <w:vAlign w:val="center"/>
          </w:tcPr>
          <w:p w14:paraId="297085E0"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1,171 </w:t>
            </w:r>
          </w:p>
        </w:tc>
        <w:tc>
          <w:tcPr>
            <w:tcW w:w="847" w:type="dxa"/>
            <w:shd w:val="clear" w:color="auto" w:fill="auto"/>
            <w:vAlign w:val="center"/>
          </w:tcPr>
          <w:p w14:paraId="5CCCA62F"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1,110.2 </w:t>
            </w:r>
          </w:p>
        </w:tc>
        <w:tc>
          <w:tcPr>
            <w:tcW w:w="236" w:type="dxa"/>
            <w:shd w:val="clear" w:color="auto" w:fill="auto"/>
            <w:vAlign w:val="center"/>
          </w:tcPr>
          <w:p w14:paraId="321041AD"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34B45334"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870 </w:t>
            </w:r>
          </w:p>
        </w:tc>
        <w:tc>
          <w:tcPr>
            <w:tcW w:w="1067" w:type="dxa"/>
            <w:shd w:val="clear" w:color="auto" w:fill="auto"/>
            <w:vAlign w:val="center"/>
          </w:tcPr>
          <w:p w14:paraId="04E8C511"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157 </w:t>
            </w:r>
          </w:p>
        </w:tc>
        <w:tc>
          <w:tcPr>
            <w:tcW w:w="846" w:type="dxa"/>
            <w:shd w:val="clear" w:color="auto" w:fill="auto"/>
            <w:tcMar>
              <w:left w:w="57" w:type="dxa"/>
              <w:right w:w="57" w:type="dxa"/>
            </w:tcMar>
            <w:vAlign w:val="center"/>
          </w:tcPr>
          <w:p w14:paraId="70DCC21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973.2 </w:t>
            </w:r>
          </w:p>
        </w:tc>
        <w:tc>
          <w:tcPr>
            <w:tcW w:w="236" w:type="dxa"/>
            <w:shd w:val="clear" w:color="auto" w:fill="auto"/>
            <w:vAlign w:val="center"/>
          </w:tcPr>
          <w:p w14:paraId="600FC16D"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577C6C35"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144 </w:t>
            </w:r>
          </w:p>
        </w:tc>
        <w:tc>
          <w:tcPr>
            <w:tcW w:w="846" w:type="dxa"/>
            <w:shd w:val="clear" w:color="auto" w:fill="auto"/>
            <w:tcMar>
              <w:left w:w="57" w:type="dxa"/>
              <w:right w:w="57" w:type="dxa"/>
            </w:tcMar>
            <w:vAlign w:val="center"/>
          </w:tcPr>
          <w:p w14:paraId="5B4FFF86"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137.0 </w:t>
            </w:r>
          </w:p>
        </w:tc>
      </w:tr>
      <w:tr w:rsidR="003E5BF5" w:rsidRPr="00F163AE" w14:paraId="66DF746E" w14:textId="77777777" w:rsidTr="00FE5165">
        <w:trPr>
          <w:trHeight w:val="283"/>
        </w:trPr>
        <w:tc>
          <w:tcPr>
            <w:tcW w:w="1972" w:type="dxa"/>
            <w:shd w:val="clear" w:color="auto" w:fill="auto"/>
            <w:tcMar>
              <w:left w:w="57" w:type="dxa"/>
              <w:right w:w="57" w:type="dxa"/>
            </w:tcMar>
            <w:vAlign w:val="center"/>
          </w:tcPr>
          <w:p w14:paraId="5E070FC2"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45-54</w:t>
            </w:r>
          </w:p>
        </w:tc>
        <w:tc>
          <w:tcPr>
            <w:tcW w:w="987" w:type="dxa"/>
            <w:shd w:val="clear" w:color="auto" w:fill="auto"/>
            <w:vAlign w:val="center"/>
          </w:tcPr>
          <w:p w14:paraId="4FF47A97"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970 </w:t>
            </w:r>
          </w:p>
        </w:tc>
        <w:tc>
          <w:tcPr>
            <w:tcW w:w="847" w:type="dxa"/>
            <w:shd w:val="clear" w:color="auto" w:fill="auto"/>
            <w:vAlign w:val="center"/>
          </w:tcPr>
          <w:p w14:paraId="710FC905"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944.1 </w:t>
            </w:r>
          </w:p>
        </w:tc>
        <w:tc>
          <w:tcPr>
            <w:tcW w:w="236" w:type="dxa"/>
            <w:shd w:val="clear" w:color="auto" w:fill="auto"/>
            <w:vAlign w:val="center"/>
          </w:tcPr>
          <w:p w14:paraId="059FC0AD"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5CAF6A10"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803 </w:t>
            </w:r>
          </w:p>
        </w:tc>
        <w:tc>
          <w:tcPr>
            <w:tcW w:w="1067" w:type="dxa"/>
            <w:shd w:val="clear" w:color="auto" w:fill="auto"/>
            <w:vAlign w:val="center"/>
          </w:tcPr>
          <w:p w14:paraId="5084D103"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85 </w:t>
            </w:r>
          </w:p>
        </w:tc>
        <w:tc>
          <w:tcPr>
            <w:tcW w:w="846" w:type="dxa"/>
            <w:shd w:val="clear" w:color="auto" w:fill="auto"/>
            <w:tcMar>
              <w:left w:w="57" w:type="dxa"/>
              <w:right w:w="57" w:type="dxa"/>
            </w:tcMar>
            <w:vAlign w:val="center"/>
          </w:tcPr>
          <w:p w14:paraId="12533AD5"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865.6 </w:t>
            </w:r>
          </w:p>
        </w:tc>
        <w:tc>
          <w:tcPr>
            <w:tcW w:w="236" w:type="dxa"/>
            <w:shd w:val="clear" w:color="auto" w:fill="auto"/>
            <w:vAlign w:val="center"/>
          </w:tcPr>
          <w:p w14:paraId="1E04AF95"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34D0B56E"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82 </w:t>
            </w:r>
          </w:p>
        </w:tc>
        <w:tc>
          <w:tcPr>
            <w:tcW w:w="846" w:type="dxa"/>
            <w:shd w:val="clear" w:color="auto" w:fill="auto"/>
            <w:tcMar>
              <w:left w:w="57" w:type="dxa"/>
              <w:right w:w="57" w:type="dxa"/>
            </w:tcMar>
            <w:vAlign w:val="center"/>
          </w:tcPr>
          <w:p w14:paraId="45CD0FAF"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78.5 </w:t>
            </w:r>
          </w:p>
        </w:tc>
      </w:tr>
      <w:tr w:rsidR="003E5BF5" w:rsidRPr="00F163AE" w14:paraId="1E5E0245" w14:textId="77777777" w:rsidTr="00FE5165">
        <w:trPr>
          <w:trHeight w:val="283"/>
        </w:trPr>
        <w:tc>
          <w:tcPr>
            <w:tcW w:w="1972" w:type="dxa"/>
            <w:shd w:val="clear" w:color="auto" w:fill="auto"/>
            <w:tcMar>
              <w:left w:w="57" w:type="dxa"/>
              <w:right w:w="57" w:type="dxa"/>
            </w:tcMar>
            <w:vAlign w:val="center"/>
          </w:tcPr>
          <w:p w14:paraId="25828138"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55-64</w:t>
            </w:r>
          </w:p>
        </w:tc>
        <w:tc>
          <w:tcPr>
            <w:tcW w:w="987" w:type="dxa"/>
            <w:shd w:val="clear" w:color="auto" w:fill="auto"/>
            <w:vAlign w:val="center"/>
          </w:tcPr>
          <w:p w14:paraId="1AA41258"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784 </w:t>
            </w:r>
          </w:p>
        </w:tc>
        <w:tc>
          <w:tcPr>
            <w:tcW w:w="847" w:type="dxa"/>
            <w:shd w:val="clear" w:color="auto" w:fill="auto"/>
            <w:vAlign w:val="center"/>
          </w:tcPr>
          <w:p w14:paraId="23607B02"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761.1 </w:t>
            </w:r>
          </w:p>
        </w:tc>
        <w:tc>
          <w:tcPr>
            <w:tcW w:w="236" w:type="dxa"/>
            <w:shd w:val="clear" w:color="auto" w:fill="auto"/>
            <w:vAlign w:val="center"/>
          </w:tcPr>
          <w:p w14:paraId="475BC8AE"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272E8398"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670 </w:t>
            </w:r>
          </w:p>
        </w:tc>
        <w:tc>
          <w:tcPr>
            <w:tcW w:w="1067" w:type="dxa"/>
            <w:shd w:val="clear" w:color="auto" w:fill="auto"/>
            <w:vAlign w:val="center"/>
          </w:tcPr>
          <w:p w14:paraId="3E7B2387"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66 </w:t>
            </w:r>
          </w:p>
        </w:tc>
        <w:tc>
          <w:tcPr>
            <w:tcW w:w="846" w:type="dxa"/>
            <w:shd w:val="clear" w:color="auto" w:fill="auto"/>
            <w:tcMar>
              <w:left w:w="57" w:type="dxa"/>
              <w:right w:w="57" w:type="dxa"/>
            </w:tcMar>
            <w:vAlign w:val="center"/>
          </w:tcPr>
          <w:p w14:paraId="150ECC8F"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716.6 </w:t>
            </w:r>
          </w:p>
        </w:tc>
        <w:tc>
          <w:tcPr>
            <w:tcW w:w="236" w:type="dxa"/>
            <w:shd w:val="clear" w:color="auto" w:fill="auto"/>
            <w:vAlign w:val="center"/>
          </w:tcPr>
          <w:p w14:paraId="73CA4D9B"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33103456"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48 </w:t>
            </w:r>
          </w:p>
        </w:tc>
        <w:tc>
          <w:tcPr>
            <w:tcW w:w="846" w:type="dxa"/>
            <w:shd w:val="clear" w:color="auto" w:fill="auto"/>
            <w:tcMar>
              <w:left w:w="57" w:type="dxa"/>
              <w:right w:w="57" w:type="dxa"/>
            </w:tcMar>
            <w:vAlign w:val="center"/>
          </w:tcPr>
          <w:p w14:paraId="0FB498FE"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44.5 </w:t>
            </w:r>
          </w:p>
        </w:tc>
      </w:tr>
      <w:tr w:rsidR="003E5BF5" w:rsidRPr="00F163AE" w14:paraId="1B3B07C1" w14:textId="77777777" w:rsidTr="00FE5165">
        <w:trPr>
          <w:trHeight w:val="283"/>
        </w:trPr>
        <w:tc>
          <w:tcPr>
            <w:tcW w:w="1972" w:type="dxa"/>
            <w:shd w:val="clear" w:color="auto" w:fill="auto"/>
            <w:tcMar>
              <w:left w:w="57" w:type="dxa"/>
              <w:right w:w="57" w:type="dxa"/>
            </w:tcMar>
            <w:vAlign w:val="center"/>
          </w:tcPr>
          <w:p w14:paraId="1789DB2C"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65+</w:t>
            </w:r>
          </w:p>
        </w:tc>
        <w:tc>
          <w:tcPr>
            <w:tcW w:w="987" w:type="dxa"/>
            <w:shd w:val="clear" w:color="auto" w:fill="auto"/>
            <w:vAlign w:val="center"/>
          </w:tcPr>
          <w:p w14:paraId="1EA9F31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148 </w:t>
            </w:r>
          </w:p>
        </w:tc>
        <w:tc>
          <w:tcPr>
            <w:tcW w:w="847" w:type="dxa"/>
            <w:shd w:val="clear" w:color="auto" w:fill="auto"/>
            <w:vAlign w:val="center"/>
          </w:tcPr>
          <w:p w14:paraId="78E067F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138.9 </w:t>
            </w:r>
          </w:p>
        </w:tc>
        <w:tc>
          <w:tcPr>
            <w:tcW w:w="236" w:type="dxa"/>
            <w:shd w:val="clear" w:color="auto" w:fill="auto"/>
            <w:vAlign w:val="center"/>
          </w:tcPr>
          <w:p w14:paraId="5402478D"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767FC2C3"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113 </w:t>
            </w:r>
          </w:p>
        </w:tc>
        <w:tc>
          <w:tcPr>
            <w:tcW w:w="1067" w:type="dxa"/>
            <w:shd w:val="clear" w:color="auto" w:fill="auto"/>
            <w:vAlign w:val="center"/>
          </w:tcPr>
          <w:p w14:paraId="1E5FAB2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21 </w:t>
            </w:r>
          </w:p>
        </w:tc>
        <w:tc>
          <w:tcPr>
            <w:tcW w:w="846" w:type="dxa"/>
            <w:shd w:val="clear" w:color="auto" w:fill="auto"/>
            <w:tcMar>
              <w:left w:w="57" w:type="dxa"/>
              <w:right w:w="57" w:type="dxa"/>
            </w:tcMar>
            <w:vAlign w:val="center"/>
          </w:tcPr>
          <w:p w14:paraId="5736AC65"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127.5 </w:t>
            </w:r>
          </w:p>
        </w:tc>
        <w:tc>
          <w:tcPr>
            <w:tcW w:w="236" w:type="dxa"/>
            <w:shd w:val="clear" w:color="auto" w:fill="auto"/>
            <w:vAlign w:val="center"/>
          </w:tcPr>
          <w:p w14:paraId="678090BB"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4A3D414E"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14 </w:t>
            </w:r>
          </w:p>
        </w:tc>
        <w:tc>
          <w:tcPr>
            <w:tcW w:w="846" w:type="dxa"/>
            <w:shd w:val="clear" w:color="auto" w:fill="auto"/>
            <w:tcMar>
              <w:left w:w="57" w:type="dxa"/>
              <w:right w:w="57" w:type="dxa"/>
            </w:tcMar>
            <w:vAlign w:val="center"/>
          </w:tcPr>
          <w:p w14:paraId="2AFF3257"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11.4 </w:t>
            </w:r>
          </w:p>
        </w:tc>
      </w:tr>
      <w:tr w:rsidR="003E5BF5" w:rsidRPr="00F163AE" w14:paraId="4EBDB705" w14:textId="77777777" w:rsidTr="00FE5165">
        <w:trPr>
          <w:trHeight w:val="283"/>
        </w:trPr>
        <w:tc>
          <w:tcPr>
            <w:tcW w:w="1972" w:type="dxa"/>
            <w:shd w:val="clear" w:color="auto" w:fill="auto"/>
            <w:tcMar>
              <w:left w:w="57" w:type="dxa"/>
              <w:right w:w="57" w:type="dxa"/>
            </w:tcMar>
            <w:vAlign w:val="center"/>
          </w:tcPr>
          <w:p w14:paraId="42A529EA" w14:textId="77777777" w:rsidR="003E5BF5" w:rsidRPr="00F163AE" w:rsidRDefault="003E5BF5" w:rsidP="00DE1921">
            <w:pPr>
              <w:pStyle w:val="TableTextLeftBold"/>
              <w:rPr>
                <w:rFonts w:ascii="Arial" w:hAnsi="Arial" w:cs="Arial"/>
                <w:sz w:val="24"/>
                <w:szCs w:val="24"/>
              </w:rPr>
            </w:pPr>
            <w:r w:rsidRPr="00F163AE">
              <w:rPr>
                <w:rFonts w:ascii="Arial" w:hAnsi="Arial" w:cs="Arial"/>
                <w:sz w:val="24"/>
                <w:szCs w:val="24"/>
              </w:rPr>
              <w:t>Classification</w:t>
            </w:r>
          </w:p>
        </w:tc>
        <w:tc>
          <w:tcPr>
            <w:tcW w:w="987" w:type="dxa"/>
            <w:shd w:val="clear" w:color="auto" w:fill="auto"/>
            <w:vAlign w:val="center"/>
          </w:tcPr>
          <w:p w14:paraId="5545D5B1" w14:textId="77777777" w:rsidR="003E5BF5" w:rsidRPr="00F163AE" w:rsidRDefault="003E5BF5" w:rsidP="00DE1921">
            <w:pPr>
              <w:pStyle w:val="TableTextRight"/>
              <w:rPr>
                <w:rFonts w:ascii="Arial" w:hAnsi="Arial" w:cs="Arial"/>
                <w:sz w:val="24"/>
                <w:szCs w:val="24"/>
              </w:rPr>
            </w:pPr>
          </w:p>
        </w:tc>
        <w:tc>
          <w:tcPr>
            <w:tcW w:w="847" w:type="dxa"/>
            <w:shd w:val="clear" w:color="auto" w:fill="auto"/>
            <w:vAlign w:val="center"/>
          </w:tcPr>
          <w:p w14:paraId="7323BF6A" w14:textId="77777777" w:rsidR="003E5BF5" w:rsidRPr="00F163AE" w:rsidRDefault="003E5BF5" w:rsidP="00DE1921">
            <w:pPr>
              <w:pStyle w:val="TableTextRight"/>
              <w:rPr>
                <w:rFonts w:ascii="Arial" w:hAnsi="Arial" w:cs="Arial"/>
                <w:sz w:val="24"/>
                <w:szCs w:val="24"/>
              </w:rPr>
            </w:pPr>
          </w:p>
        </w:tc>
        <w:tc>
          <w:tcPr>
            <w:tcW w:w="236" w:type="dxa"/>
            <w:shd w:val="clear" w:color="auto" w:fill="auto"/>
            <w:vAlign w:val="center"/>
          </w:tcPr>
          <w:p w14:paraId="3D7336BA"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080742BC" w14:textId="77777777" w:rsidR="003E5BF5" w:rsidRPr="00F163AE" w:rsidRDefault="003E5BF5" w:rsidP="00DE1921">
            <w:pPr>
              <w:pStyle w:val="TableTextRight"/>
              <w:rPr>
                <w:rFonts w:ascii="Arial" w:hAnsi="Arial" w:cs="Arial"/>
                <w:sz w:val="24"/>
                <w:szCs w:val="24"/>
              </w:rPr>
            </w:pPr>
          </w:p>
        </w:tc>
        <w:tc>
          <w:tcPr>
            <w:tcW w:w="1067" w:type="dxa"/>
            <w:shd w:val="clear" w:color="auto" w:fill="auto"/>
            <w:vAlign w:val="center"/>
          </w:tcPr>
          <w:p w14:paraId="1997CC83" w14:textId="77777777" w:rsidR="003E5BF5" w:rsidRPr="00F163AE" w:rsidRDefault="003E5BF5" w:rsidP="00DE1921">
            <w:pPr>
              <w:pStyle w:val="TableTextRight"/>
              <w:rPr>
                <w:rFonts w:ascii="Arial" w:hAnsi="Arial" w:cs="Arial"/>
                <w:sz w:val="24"/>
                <w:szCs w:val="24"/>
              </w:rPr>
            </w:pPr>
          </w:p>
        </w:tc>
        <w:tc>
          <w:tcPr>
            <w:tcW w:w="846" w:type="dxa"/>
            <w:shd w:val="clear" w:color="auto" w:fill="auto"/>
            <w:tcMar>
              <w:left w:w="57" w:type="dxa"/>
              <w:right w:w="57" w:type="dxa"/>
            </w:tcMar>
            <w:vAlign w:val="center"/>
          </w:tcPr>
          <w:p w14:paraId="6F8D897D" w14:textId="77777777" w:rsidR="003E5BF5" w:rsidRPr="00F163AE" w:rsidRDefault="003E5BF5" w:rsidP="00DE1921">
            <w:pPr>
              <w:pStyle w:val="TableTextRight"/>
              <w:rPr>
                <w:rFonts w:ascii="Arial" w:hAnsi="Arial" w:cs="Arial"/>
                <w:sz w:val="24"/>
                <w:szCs w:val="24"/>
              </w:rPr>
            </w:pPr>
          </w:p>
        </w:tc>
        <w:tc>
          <w:tcPr>
            <w:tcW w:w="236" w:type="dxa"/>
            <w:shd w:val="clear" w:color="auto" w:fill="auto"/>
            <w:vAlign w:val="center"/>
          </w:tcPr>
          <w:p w14:paraId="23E080B0"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76B5B893" w14:textId="77777777" w:rsidR="003E5BF5" w:rsidRPr="00F163AE" w:rsidRDefault="003E5BF5" w:rsidP="00DE1921">
            <w:pPr>
              <w:pStyle w:val="TableTextRight"/>
              <w:rPr>
                <w:rFonts w:ascii="Arial" w:hAnsi="Arial" w:cs="Arial"/>
                <w:sz w:val="24"/>
                <w:szCs w:val="24"/>
              </w:rPr>
            </w:pPr>
          </w:p>
        </w:tc>
        <w:tc>
          <w:tcPr>
            <w:tcW w:w="846" w:type="dxa"/>
            <w:shd w:val="clear" w:color="auto" w:fill="auto"/>
            <w:tcMar>
              <w:left w:w="57" w:type="dxa"/>
              <w:right w:w="57" w:type="dxa"/>
            </w:tcMar>
            <w:vAlign w:val="center"/>
          </w:tcPr>
          <w:p w14:paraId="3476DB09" w14:textId="77777777" w:rsidR="003E5BF5" w:rsidRPr="00F163AE" w:rsidRDefault="003E5BF5" w:rsidP="00DE1921">
            <w:pPr>
              <w:pStyle w:val="TableTextRight"/>
              <w:rPr>
                <w:rFonts w:ascii="Arial" w:hAnsi="Arial" w:cs="Arial"/>
                <w:sz w:val="24"/>
                <w:szCs w:val="24"/>
              </w:rPr>
            </w:pPr>
          </w:p>
        </w:tc>
      </w:tr>
      <w:tr w:rsidR="003E5BF5" w:rsidRPr="00F163AE" w14:paraId="098E3272" w14:textId="77777777" w:rsidTr="00FE5165">
        <w:trPr>
          <w:trHeight w:val="283"/>
        </w:trPr>
        <w:tc>
          <w:tcPr>
            <w:tcW w:w="1972" w:type="dxa"/>
            <w:shd w:val="clear" w:color="auto" w:fill="auto"/>
            <w:tcMar>
              <w:left w:w="57" w:type="dxa"/>
              <w:right w:w="57" w:type="dxa"/>
            </w:tcMar>
            <w:vAlign w:val="center"/>
          </w:tcPr>
          <w:p w14:paraId="5F2310FB"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VPS 1</w:t>
            </w:r>
          </w:p>
        </w:tc>
        <w:tc>
          <w:tcPr>
            <w:tcW w:w="987" w:type="dxa"/>
            <w:shd w:val="clear" w:color="auto" w:fill="auto"/>
            <w:vAlign w:val="center"/>
          </w:tcPr>
          <w:p w14:paraId="5F4F690A"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847" w:type="dxa"/>
            <w:shd w:val="clear" w:color="auto" w:fill="auto"/>
            <w:vAlign w:val="center"/>
          </w:tcPr>
          <w:p w14:paraId="047D8824"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236" w:type="dxa"/>
            <w:shd w:val="clear" w:color="auto" w:fill="auto"/>
            <w:vAlign w:val="center"/>
          </w:tcPr>
          <w:p w14:paraId="5EDC88F2"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4D7E8AC6"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1067" w:type="dxa"/>
            <w:shd w:val="clear" w:color="auto" w:fill="auto"/>
            <w:vAlign w:val="center"/>
          </w:tcPr>
          <w:p w14:paraId="0A9EA620"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846" w:type="dxa"/>
            <w:shd w:val="clear" w:color="auto" w:fill="auto"/>
            <w:tcMar>
              <w:left w:w="57" w:type="dxa"/>
              <w:right w:w="57" w:type="dxa"/>
            </w:tcMar>
            <w:vAlign w:val="center"/>
          </w:tcPr>
          <w:p w14:paraId="0357C516"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236" w:type="dxa"/>
            <w:shd w:val="clear" w:color="auto" w:fill="auto"/>
            <w:vAlign w:val="center"/>
          </w:tcPr>
          <w:p w14:paraId="59309DF4"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392885FD"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846" w:type="dxa"/>
            <w:shd w:val="clear" w:color="auto" w:fill="auto"/>
            <w:tcMar>
              <w:left w:w="57" w:type="dxa"/>
              <w:right w:w="57" w:type="dxa"/>
            </w:tcMar>
            <w:vAlign w:val="center"/>
          </w:tcPr>
          <w:p w14:paraId="62A90769"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r>
      <w:tr w:rsidR="003E5BF5" w:rsidRPr="00F163AE" w14:paraId="6849CEB2" w14:textId="77777777" w:rsidTr="00FE5165">
        <w:trPr>
          <w:trHeight w:val="283"/>
        </w:trPr>
        <w:tc>
          <w:tcPr>
            <w:tcW w:w="1972" w:type="dxa"/>
            <w:shd w:val="clear" w:color="auto" w:fill="auto"/>
            <w:tcMar>
              <w:left w:w="57" w:type="dxa"/>
              <w:right w:w="57" w:type="dxa"/>
            </w:tcMar>
            <w:vAlign w:val="center"/>
          </w:tcPr>
          <w:p w14:paraId="2F31F716"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VPS 2</w:t>
            </w:r>
          </w:p>
        </w:tc>
        <w:tc>
          <w:tcPr>
            <w:tcW w:w="987" w:type="dxa"/>
            <w:shd w:val="clear" w:color="auto" w:fill="auto"/>
            <w:vAlign w:val="center"/>
          </w:tcPr>
          <w:p w14:paraId="2AE0DF42"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28 </w:t>
            </w:r>
          </w:p>
        </w:tc>
        <w:tc>
          <w:tcPr>
            <w:tcW w:w="847" w:type="dxa"/>
            <w:shd w:val="clear" w:color="auto" w:fill="auto"/>
            <w:vAlign w:val="center"/>
          </w:tcPr>
          <w:p w14:paraId="0FE1BFC5"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25.5 </w:t>
            </w:r>
          </w:p>
        </w:tc>
        <w:tc>
          <w:tcPr>
            <w:tcW w:w="236" w:type="dxa"/>
            <w:shd w:val="clear" w:color="auto" w:fill="auto"/>
            <w:vAlign w:val="center"/>
          </w:tcPr>
          <w:p w14:paraId="6286A568"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62847380"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20 </w:t>
            </w:r>
          </w:p>
        </w:tc>
        <w:tc>
          <w:tcPr>
            <w:tcW w:w="1067" w:type="dxa"/>
            <w:shd w:val="clear" w:color="auto" w:fill="auto"/>
            <w:vAlign w:val="center"/>
          </w:tcPr>
          <w:p w14:paraId="0E4FE4D9"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846" w:type="dxa"/>
            <w:shd w:val="clear" w:color="auto" w:fill="auto"/>
            <w:tcMar>
              <w:left w:w="57" w:type="dxa"/>
              <w:right w:w="57" w:type="dxa"/>
            </w:tcMar>
            <w:vAlign w:val="center"/>
          </w:tcPr>
          <w:p w14:paraId="2A0B092A"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20.0 </w:t>
            </w:r>
          </w:p>
        </w:tc>
        <w:tc>
          <w:tcPr>
            <w:tcW w:w="236" w:type="dxa"/>
            <w:shd w:val="clear" w:color="auto" w:fill="auto"/>
            <w:vAlign w:val="center"/>
          </w:tcPr>
          <w:p w14:paraId="046B49CF"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22FB2A7F"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8 </w:t>
            </w:r>
          </w:p>
        </w:tc>
        <w:tc>
          <w:tcPr>
            <w:tcW w:w="846" w:type="dxa"/>
            <w:shd w:val="clear" w:color="auto" w:fill="auto"/>
            <w:tcMar>
              <w:left w:w="57" w:type="dxa"/>
              <w:right w:w="57" w:type="dxa"/>
            </w:tcMar>
            <w:vAlign w:val="center"/>
          </w:tcPr>
          <w:p w14:paraId="189A08A1"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5.5 </w:t>
            </w:r>
          </w:p>
        </w:tc>
      </w:tr>
      <w:tr w:rsidR="003E5BF5" w:rsidRPr="00F163AE" w14:paraId="571E0271" w14:textId="77777777" w:rsidTr="00FE5165">
        <w:trPr>
          <w:trHeight w:val="283"/>
        </w:trPr>
        <w:tc>
          <w:tcPr>
            <w:tcW w:w="1972" w:type="dxa"/>
            <w:shd w:val="clear" w:color="auto" w:fill="auto"/>
            <w:tcMar>
              <w:left w:w="57" w:type="dxa"/>
              <w:right w:w="57" w:type="dxa"/>
            </w:tcMar>
            <w:vAlign w:val="center"/>
          </w:tcPr>
          <w:p w14:paraId="728B6411"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VPS 3</w:t>
            </w:r>
          </w:p>
        </w:tc>
        <w:tc>
          <w:tcPr>
            <w:tcW w:w="987" w:type="dxa"/>
            <w:shd w:val="clear" w:color="auto" w:fill="auto"/>
            <w:vAlign w:val="center"/>
          </w:tcPr>
          <w:p w14:paraId="688AE579"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128 </w:t>
            </w:r>
          </w:p>
        </w:tc>
        <w:tc>
          <w:tcPr>
            <w:tcW w:w="847" w:type="dxa"/>
            <w:shd w:val="clear" w:color="auto" w:fill="auto"/>
            <w:vAlign w:val="center"/>
          </w:tcPr>
          <w:p w14:paraId="33923231"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122.6 </w:t>
            </w:r>
          </w:p>
        </w:tc>
        <w:tc>
          <w:tcPr>
            <w:tcW w:w="236" w:type="dxa"/>
            <w:shd w:val="clear" w:color="auto" w:fill="auto"/>
            <w:vAlign w:val="center"/>
          </w:tcPr>
          <w:p w14:paraId="0A9C5679"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2AAE1D2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80 </w:t>
            </w:r>
          </w:p>
        </w:tc>
        <w:tc>
          <w:tcPr>
            <w:tcW w:w="1067" w:type="dxa"/>
            <w:shd w:val="clear" w:color="auto" w:fill="auto"/>
            <w:vAlign w:val="center"/>
          </w:tcPr>
          <w:p w14:paraId="74A20A2E"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7 </w:t>
            </w:r>
          </w:p>
        </w:tc>
        <w:tc>
          <w:tcPr>
            <w:tcW w:w="846" w:type="dxa"/>
            <w:shd w:val="clear" w:color="auto" w:fill="auto"/>
            <w:tcMar>
              <w:left w:w="57" w:type="dxa"/>
              <w:right w:w="57" w:type="dxa"/>
            </w:tcMar>
            <w:vAlign w:val="center"/>
          </w:tcPr>
          <w:p w14:paraId="076D87D1"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85.5 </w:t>
            </w:r>
          </w:p>
        </w:tc>
        <w:tc>
          <w:tcPr>
            <w:tcW w:w="236" w:type="dxa"/>
            <w:shd w:val="clear" w:color="auto" w:fill="auto"/>
            <w:vAlign w:val="center"/>
          </w:tcPr>
          <w:p w14:paraId="10000F35"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6D541328"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41 </w:t>
            </w:r>
          </w:p>
        </w:tc>
        <w:tc>
          <w:tcPr>
            <w:tcW w:w="846" w:type="dxa"/>
            <w:shd w:val="clear" w:color="auto" w:fill="auto"/>
            <w:tcMar>
              <w:left w:w="57" w:type="dxa"/>
              <w:right w:w="57" w:type="dxa"/>
            </w:tcMar>
            <w:vAlign w:val="center"/>
          </w:tcPr>
          <w:p w14:paraId="4D6FDA7E"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37.1 </w:t>
            </w:r>
          </w:p>
        </w:tc>
      </w:tr>
      <w:tr w:rsidR="003E5BF5" w:rsidRPr="00F163AE" w14:paraId="2B1D0176" w14:textId="77777777" w:rsidTr="00FE5165">
        <w:trPr>
          <w:trHeight w:val="283"/>
        </w:trPr>
        <w:tc>
          <w:tcPr>
            <w:tcW w:w="1972" w:type="dxa"/>
            <w:shd w:val="clear" w:color="auto" w:fill="auto"/>
            <w:tcMar>
              <w:left w:w="57" w:type="dxa"/>
              <w:right w:w="57" w:type="dxa"/>
            </w:tcMar>
            <w:vAlign w:val="center"/>
          </w:tcPr>
          <w:p w14:paraId="35508DC1"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VPS 4</w:t>
            </w:r>
          </w:p>
        </w:tc>
        <w:tc>
          <w:tcPr>
            <w:tcW w:w="987" w:type="dxa"/>
            <w:shd w:val="clear" w:color="auto" w:fill="auto"/>
            <w:vAlign w:val="center"/>
          </w:tcPr>
          <w:p w14:paraId="6E5B03BF"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315 </w:t>
            </w:r>
          </w:p>
        </w:tc>
        <w:tc>
          <w:tcPr>
            <w:tcW w:w="847" w:type="dxa"/>
            <w:shd w:val="clear" w:color="auto" w:fill="auto"/>
            <w:vAlign w:val="center"/>
          </w:tcPr>
          <w:p w14:paraId="34ABA009"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299.3 </w:t>
            </w:r>
          </w:p>
        </w:tc>
        <w:tc>
          <w:tcPr>
            <w:tcW w:w="236" w:type="dxa"/>
            <w:shd w:val="clear" w:color="auto" w:fill="auto"/>
            <w:vAlign w:val="center"/>
          </w:tcPr>
          <w:p w14:paraId="3727579B"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7B58A315"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216 </w:t>
            </w:r>
          </w:p>
        </w:tc>
        <w:tc>
          <w:tcPr>
            <w:tcW w:w="1067" w:type="dxa"/>
            <w:shd w:val="clear" w:color="auto" w:fill="auto"/>
            <w:vAlign w:val="center"/>
          </w:tcPr>
          <w:p w14:paraId="12754B4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34 </w:t>
            </w:r>
          </w:p>
        </w:tc>
        <w:tc>
          <w:tcPr>
            <w:tcW w:w="846" w:type="dxa"/>
            <w:shd w:val="clear" w:color="auto" w:fill="auto"/>
            <w:tcMar>
              <w:left w:w="57" w:type="dxa"/>
              <w:right w:w="57" w:type="dxa"/>
            </w:tcMar>
            <w:vAlign w:val="center"/>
          </w:tcPr>
          <w:p w14:paraId="38D68764"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238.7 </w:t>
            </w:r>
          </w:p>
        </w:tc>
        <w:tc>
          <w:tcPr>
            <w:tcW w:w="236" w:type="dxa"/>
            <w:shd w:val="clear" w:color="auto" w:fill="auto"/>
            <w:vAlign w:val="center"/>
          </w:tcPr>
          <w:p w14:paraId="1914C692"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4D128E34"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65 </w:t>
            </w:r>
          </w:p>
        </w:tc>
        <w:tc>
          <w:tcPr>
            <w:tcW w:w="846" w:type="dxa"/>
            <w:shd w:val="clear" w:color="auto" w:fill="auto"/>
            <w:tcMar>
              <w:left w:w="57" w:type="dxa"/>
              <w:right w:w="57" w:type="dxa"/>
            </w:tcMar>
            <w:vAlign w:val="center"/>
          </w:tcPr>
          <w:p w14:paraId="5BE63F73"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60.5 </w:t>
            </w:r>
          </w:p>
        </w:tc>
      </w:tr>
      <w:tr w:rsidR="003E5BF5" w:rsidRPr="00F163AE" w14:paraId="47B0F178" w14:textId="77777777" w:rsidTr="00FE5165">
        <w:trPr>
          <w:trHeight w:val="283"/>
        </w:trPr>
        <w:tc>
          <w:tcPr>
            <w:tcW w:w="1972" w:type="dxa"/>
            <w:shd w:val="clear" w:color="auto" w:fill="auto"/>
            <w:tcMar>
              <w:left w:w="57" w:type="dxa"/>
              <w:right w:w="57" w:type="dxa"/>
            </w:tcMar>
            <w:vAlign w:val="center"/>
          </w:tcPr>
          <w:p w14:paraId="12CDC7D0"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VPS 5</w:t>
            </w:r>
          </w:p>
        </w:tc>
        <w:tc>
          <w:tcPr>
            <w:tcW w:w="987" w:type="dxa"/>
            <w:shd w:val="clear" w:color="auto" w:fill="auto"/>
            <w:vAlign w:val="center"/>
          </w:tcPr>
          <w:p w14:paraId="7B773606"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359 </w:t>
            </w:r>
          </w:p>
        </w:tc>
        <w:tc>
          <w:tcPr>
            <w:tcW w:w="847" w:type="dxa"/>
            <w:shd w:val="clear" w:color="auto" w:fill="auto"/>
            <w:vAlign w:val="center"/>
          </w:tcPr>
          <w:p w14:paraId="27607E9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350.5 </w:t>
            </w:r>
          </w:p>
        </w:tc>
        <w:tc>
          <w:tcPr>
            <w:tcW w:w="236" w:type="dxa"/>
            <w:shd w:val="clear" w:color="auto" w:fill="auto"/>
            <w:vAlign w:val="center"/>
          </w:tcPr>
          <w:p w14:paraId="3BE61F62"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064EBDFC"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270 </w:t>
            </w:r>
          </w:p>
        </w:tc>
        <w:tc>
          <w:tcPr>
            <w:tcW w:w="1067" w:type="dxa"/>
            <w:shd w:val="clear" w:color="auto" w:fill="auto"/>
            <w:vAlign w:val="center"/>
          </w:tcPr>
          <w:p w14:paraId="15DB15AF"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22 </w:t>
            </w:r>
          </w:p>
        </w:tc>
        <w:tc>
          <w:tcPr>
            <w:tcW w:w="846" w:type="dxa"/>
            <w:shd w:val="clear" w:color="auto" w:fill="auto"/>
            <w:tcMar>
              <w:left w:w="57" w:type="dxa"/>
              <w:right w:w="57" w:type="dxa"/>
            </w:tcMar>
            <w:vAlign w:val="center"/>
          </w:tcPr>
          <w:p w14:paraId="10DBA9B4"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285.8 </w:t>
            </w:r>
          </w:p>
        </w:tc>
        <w:tc>
          <w:tcPr>
            <w:tcW w:w="236" w:type="dxa"/>
            <w:shd w:val="clear" w:color="auto" w:fill="auto"/>
            <w:vAlign w:val="center"/>
          </w:tcPr>
          <w:p w14:paraId="560A0AAC"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5A484FBC"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67 </w:t>
            </w:r>
          </w:p>
        </w:tc>
        <w:tc>
          <w:tcPr>
            <w:tcW w:w="846" w:type="dxa"/>
            <w:shd w:val="clear" w:color="auto" w:fill="auto"/>
            <w:tcMar>
              <w:left w:w="57" w:type="dxa"/>
              <w:right w:w="57" w:type="dxa"/>
            </w:tcMar>
            <w:vAlign w:val="center"/>
          </w:tcPr>
          <w:p w14:paraId="2327C4A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64.7 </w:t>
            </w:r>
          </w:p>
        </w:tc>
      </w:tr>
      <w:tr w:rsidR="003E5BF5" w:rsidRPr="00F163AE" w14:paraId="4C2BFB80" w14:textId="77777777" w:rsidTr="00FE5165">
        <w:trPr>
          <w:trHeight w:val="283"/>
        </w:trPr>
        <w:tc>
          <w:tcPr>
            <w:tcW w:w="1972" w:type="dxa"/>
            <w:shd w:val="clear" w:color="auto" w:fill="auto"/>
            <w:tcMar>
              <w:left w:w="57" w:type="dxa"/>
              <w:right w:w="57" w:type="dxa"/>
            </w:tcMar>
            <w:vAlign w:val="center"/>
          </w:tcPr>
          <w:p w14:paraId="6A2C7384"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VPS 6</w:t>
            </w:r>
          </w:p>
        </w:tc>
        <w:tc>
          <w:tcPr>
            <w:tcW w:w="987" w:type="dxa"/>
            <w:shd w:val="clear" w:color="auto" w:fill="auto"/>
            <w:vAlign w:val="center"/>
          </w:tcPr>
          <w:p w14:paraId="46587082"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346 </w:t>
            </w:r>
          </w:p>
        </w:tc>
        <w:tc>
          <w:tcPr>
            <w:tcW w:w="847" w:type="dxa"/>
            <w:shd w:val="clear" w:color="auto" w:fill="auto"/>
            <w:vAlign w:val="center"/>
          </w:tcPr>
          <w:p w14:paraId="49E11819"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335.4 </w:t>
            </w:r>
          </w:p>
        </w:tc>
        <w:tc>
          <w:tcPr>
            <w:tcW w:w="236" w:type="dxa"/>
            <w:shd w:val="clear" w:color="auto" w:fill="auto"/>
            <w:vAlign w:val="center"/>
          </w:tcPr>
          <w:p w14:paraId="5B664DFF"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7ECB2472"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249 </w:t>
            </w:r>
          </w:p>
        </w:tc>
        <w:tc>
          <w:tcPr>
            <w:tcW w:w="1067" w:type="dxa"/>
            <w:shd w:val="clear" w:color="auto" w:fill="auto"/>
            <w:vAlign w:val="center"/>
          </w:tcPr>
          <w:p w14:paraId="5242306F"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28 </w:t>
            </w:r>
          </w:p>
        </w:tc>
        <w:tc>
          <w:tcPr>
            <w:tcW w:w="846" w:type="dxa"/>
            <w:shd w:val="clear" w:color="auto" w:fill="auto"/>
            <w:tcMar>
              <w:left w:w="57" w:type="dxa"/>
              <w:right w:w="57" w:type="dxa"/>
            </w:tcMar>
            <w:vAlign w:val="center"/>
          </w:tcPr>
          <w:p w14:paraId="5048F873"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269.5 </w:t>
            </w:r>
          </w:p>
        </w:tc>
        <w:tc>
          <w:tcPr>
            <w:tcW w:w="236" w:type="dxa"/>
            <w:shd w:val="clear" w:color="auto" w:fill="auto"/>
            <w:vAlign w:val="center"/>
          </w:tcPr>
          <w:p w14:paraId="1A7043B9"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5FE2D1EB"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69 </w:t>
            </w:r>
          </w:p>
        </w:tc>
        <w:tc>
          <w:tcPr>
            <w:tcW w:w="846" w:type="dxa"/>
            <w:shd w:val="clear" w:color="auto" w:fill="auto"/>
            <w:tcMar>
              <w:left w:w="57" w:type="dxa"/>
              <w:right w:w="57" w:type="dxa"/>
            </w:tcMar>
            <w:vAlign w:val="center"/>
          </w:tcPr>
          <w:p w14:paraId="1B9C09A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65.9 </w:t>
            </w:r>
          </w:p>
        </w:tc>
      </w:tr>
      <w:tr w:rsidR="003E5BF5" w:rsidRPr="00F163AE" w14:paraId="6B68F742" w14:textId="77777777" w:rsidTr="00FE5165">
        <w:trPr>
          <w:trHeight w:val="283"/>
        </w:trPr>
        <w:tc>
          <w:tcPr>
            <w:tcW w:w="1972" w:type="dxa"/>
            <w:shd w:val="clear" w:color="auto" w:fill="auto"/>
            <w:tcMar>
              <w:left w:w="57" w:type="dxa"/>
              <w:right w:w="57" w:type="dxa"/>
            </w:tcMar>
            <w:vAlign w:val="center"/>
          </w:tcPr>
          <w:p w14:paraId="4E5C4C8B"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VRO 1</w:t>
            </w:r>
          </w:p>
        </w:tc>
        <w:tc>
          <w:tcPr>
            <w:tcW w:w="987" w:type="dxa"/>
            <w:shd w:val="clear" w:color="auto" w:fill="auto"/>
            <w:vAlign w:val="center"/>
          </w:tcPr>
          <w:p w14:paraId="45F151AE"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 </w:t>
            </w:r>
          </w:p>
        </w:tc>
        <w:tc>
          <w:tcPr>
            <w:tcW w:w="847" w:type="dxa"/>
            <w:shd w:val="clear" w:color="auto" w:fill="auto"/>
            <w:vAlign w:val="center"/>
          </w:tcPr>
          <w:p w14:paraId="55D74A3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4.3 </w:t>
            </w:r>
          </w:p>
        </w:tc>
        <w:tc>
          <w:tcPr>
            <w:tcW w:w="236" w:type="dxa"/>
            <w:shd w:val="clear" w:color="auto" w:fill="auto"/>
            <w:vAlign w:val="center"/>
          </w:tcPr>
          <w:p w14:paraId="3F47F1AF"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460F9327"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 </w:t>
            </w:r>
          </w:p>
        </w:tc>
        <w:tc>
          <w:tcPr>
            <w:tcW w:w="1067" w:type="dxa"/>
            <w:shd w:val="clear" w:color="auto" w:fill="auto"/>
            <w:vAlign w:val="center"/>
          </w:tcPr>
          <w:p w14:paraId="5E8D0B12"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 </w:t>
            </w:r>
          </w:p>
        </w:tc>
        <w:tc>
          <w:tcPr>
            <w:tcW w:w="846" w:type="dxa"/>
            <w:shd w:val="clear" w:color="auto" w:fill="auto"/>
            <w:tcMar>
              <w:left w:w="57" w:type="dxa"/>
              <w:right w:w="57" w:type="dxa"/>
            </w:tcMar>
            <w:vAlign w:val="center"/>
          </w:tcPr>
          <w:p w14:paraId="63EE8B73"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1.3 </w:t>
            </w:r>
          </w:p>
        </w:tc>
        <w:tc>
          <w:tcPr>
            <w:tcW w:w="236" w:type="dxa"/>
            <w:shd w:val="clear" w:color="auto" w:fill="auto"/>
            <w:vAlign w:val="center"/>
          </w:tcPr>
          <w:p w14:paraId="5168B9C8"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39AC02E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4 </w:t>
            </w:r>
          </w:p>
        </w:tc>
        <w:tc>
          <w:tcPr>
            <w:tcW w:w="846" w:type="dxa"/>
            <w:shd w:val="clear" w:color="auto" w:fill="auto"/>
            <w:tcMar>
              <w:left w:w="57" w:type="dxa"/>
              <w:right w:w="57" w:type="dxa"/>
            </w:tcMar>
            <w:vAlign w:val="center"/>
          </w:tcPr>
          <w:p w14:paraId="16F90CB3"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3.0 </w:t>
            </w:r>
          </w:p>
        </w:tc>
      </w:tr>
      <w:tr w:rsidR="003E5BF5" w:rsidRPr="00F163AE" w14:paraId="47FCE017" w14:textId="77777777" w:rsidTr="00FE5165">
        <w:trPr>
          <w:trHeight w:val="283"/>
        </w:trPr>
        <w:tc>
          <w:tcPr>
            <w:tcW w:w="1972" w:type="dxa"/>
            <w:shd w:val="clear" w:color="auto" w:fill="auto"/>
            <w:tcMar>
              <w:left w:w="57" w:type="dxa"/>
              <w:right w:w="57" w:type="dxa"/>
            </w:tcMar>
            <w:vAlign w:val="center"/>
          </w:tcPr>
          <w:p w14:paraId="34E27CB6"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VRO 2</w:t>
            </w:r>
          </w:p>
        </w:tc>
        <w:tc>
          <w:tcPr>
            <w:tcW w:w="987" w:type="dxa"/>
            <w:shd w:val="clear" w:color="auto" w:fill="auto"/>
            <w:vAlign w:val="center"/>
          </w:tcPr>
          <w:p w14:paraId="6FD734F2"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716 </w:t>
            </w:r>
          </w:p>
        </w:tc>
        <w:tc>
          <w:tcPr>
            <w:tcW w:w="847" w:type="dxa"/>
            <w:shd w:val="clear" w:color="auto" w:fill="auto"/>
            <w:vAlign w:val="center"/>
          </w:tcPr>
          <w:p w14:paraId="2E171828"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664.8 </w:t>
            </w:r>
          </w:p>
        </w:tc>
        <w:tc>
          <w:tcPr>
            <w:tcW w:w="236" w:type="dxa"/>
            <w:shd w:val="clear" w:color="auto" w:fill="auto"/>
            <w:vAlign w:val="center"/>
          </w:tcPr>
          <w:p w14:paraId="47069444"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6272D775"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529 </w:t>
            </w:r>
          </w:p>
        </w:tc>
        <w:tc>
          <w:tcPr>
            <w:tcW w:w="1067" w:type="dxa"/>
            <w:shd w:val="clear" w:color="auto" w:fill="auto"/>
            <w:vAlign w:val="center"/>
          </w:tcPr>
          <w:p w14:paraId="6AC08CC7"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156 </w:t>
            </w:r>
          </w:p>
        </w:tc>
        <w:tc>
          <w:tcPr>
            <w:tcW w:w="846" w:type="dxa"/>
            <w:shd w:val="clear" w:color="auto" w:fill="auto"/>
            <w:tcMar>
              <w:left w:w="57" w:type="dxa"/>
              <w:right w:w="57" w:type="dxa"/>
            </w:tcMar>
            <w:vAlign w:val="center"/>
          </w:tcPr>
          <w:p w14:paraId="77E58FFF"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635.4 </w:t>
            </w:r>
          </w:p>
        </w:tc>
        <w:tc>
          <w:tcPr>
            <w:tcW w:w="236" w:type="dxa"/>
            <w:shd w:val="clear" w:color="auto" w:fill="auto"/>
            <w:vAlign w:val="center"/>
          </w:tcPr>
          <w:p w14:paraId="3CD22472"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64CCF829"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31 </w:t>
            </w:r>
          </w:p>
        </w:tc>
        <w:tc>
          <w:tcPr>
            <w:tcW w:w="846" w:type="dxa"/>
            <w:shd w:val="clear" w:color="auto" w:fill="auto"/>
            <w:tcMar>
              <w:left w:w="57" w:type="dxa"/>
              <w:right w:w="57" w:type="dxa"/>
            </w:tcMar>
            <w:vAlign w:val="center"/>
          </w:tcPr>
          <w:p w14:paraId="2659396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29.4 </w:t>
            </w:r>
          </w:p>
        </w:tc>
      </w:tr>
      <w:tr w:rsidR="003E5BF5" w:rsidRPr="00F163AE" w14:paraId="37A8A507" w14:textId="77777777" w:rsidTr="00FE5165">
        <w:trPr>
          <w:trHeight w:val="283"/>
        </w:trPr>
        <w:tc>
          <w:tcPr>
            <w:tcW w:w="1972" w:type="dxa"/>
            <w:shd w:val="clear" w:color="auto" w:fill="auto"/>
            <w:tcMar>
              <w:left w:w="57" w:type="dxa"/>
              <w:right w:w="57" w:type="dxa"/>
            </w:tcMar>
            <w:vAlign w:val="center"/>
          </w:tcPr>
          <w:p w14:paraId="4B2DB5DC"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VRO 3</w:t>
            </w:r>
          </w:p>
        </w:tc>
        <w:tc>
          <w:tcPr>
            <w:tcW w:w="987" w:type="dxa"/>
            <w:shd w:val="clear" w:color="auto" w:fill="auto"/>
            <w:vAlign w:val="center"/>
          </w:tcPr>
          <w:p w14:paraId="33A69B27"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586 </w:t>
            </w:r>
          </w:p>
        </w:tc>
        <w:tc>
          <w:tcPr>
            <w:tcW w:w="847" w:type="dxa"/>
            <w:shd w:val="clear" w:color="auto" w:fill="auto"/>
            <w:vAlign w:val="center"/>
          </w:tcPr>
          <w:p w14:paraId="199B0608"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574.0 </w:t>
            </w:r>
          </w:p>
        </w:tc>
        <w:tc>
          <w:tcPr>
            <w:tcW w:w="236" w:type="dxa"/>
            <w:shd w:val="clear" w:color="auto" w:fill="auto"/>
            <w:vAlign w:val="center"/>
          </w:tcPr>
          <w:p w14:paraId="6B4312BB"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0732881F"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513 </w:t>
            </w:r>
          </w:p>
        </w:tc>
        <w:tc>
          <w:tcPr>
            <w:tcW w:w="1067" w:type="dxa"/>
            <w:shd w:val="clear" w:color="auto" w:fill="auto"/>
            <w:vAlign w:val="center"/>
          </w:tcPr>
          <w:p w14:paraId="389CCE3A"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36 </w:t>
            </w:r>
          </w:p>
        </w:tc>
        <w:tc>
          <w:tcPr>
            <w:tcW w:w="846" w:type="dxa"/>
            <w:shd w:val="clear" w:color="auto" w:fill="auto"/>
            <w:tcMar>
              <w:left w:w="57" w:type="dxa"/>
              <w:right w:w="57" w:type="dxa"/>
            </w:tcMar>
            <w:vAlign w:val="center"/>
          </w:tcPr>
          <w:p w14:paraId="72A04D0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537.8 </w:t>
            </w:r>
          </w:p>
        </w:tc>
        <w:tc>
          <w:tcPr>
            <w:tcW w:w="236" w:type="dxa"/>
            <w:shd w:val="clear" w:color="auto" w:fill="auto"/>
            <w:vAlign w:val="center"/>
          </w:tcPr>
          <w:p w14:paraId="0AB8DE97"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71400BD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37 </w:t>
            </w:r>
          </w:p>
        </w:tc>
        <w:tc>
          <w:tcPr>
            <w:tcW w:w="846" w:type="dxa"/>
            <w:shd w:val="clear" w:color="auto" w:fill="auto"/>
            <w:tcMar>
              <w:left w:w="57" w:type="dxa"/>
              <w:right w:w="57" w:type="dxa"/>
            </w:tcMar>
            <w:vAlign w:val="center"/>
          </w:tcPr>
          <w:p w14:paraId="4114024A"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36.2 </w:t>
            </w:r>
          </w:p>
        </w:tc>
      </w:tr>
      <w:tr w:rsidR="003E5BF5" w:rsidRPr="00F163AE" w14:paraId="53D73E6F" w14:textId="77777777" w:rsidTr="00FE5165">
        <w:trPr>
          <w:trHeight w:val="283"/>
        </w:trPr>
        <w:tc>
          <w:tcPr>
            <w:tcW w:w="1972" w:type="dxa"/>
            <w:shd w:val="clear" w:color="auto" w:fill="auto"/>
            <w:tcMar>
              <w:left w:w="57" w:type="dxa"/>
              <w:right w:w="57" w:type="dxa"/>
            </w:tcMar>
            <w:vAlign w:val="center"/>
          </w:tcPr>
          <w:p w14:paraId="5BCFD6B5"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VRO 4</w:t>
            </w:r>
          </w:p>
        </w:tc>
        <w:tc>
          <w:tcPr>
            <w:tcW w:w="987" w:type="dxa"/>
            <w:shd w:val="clear" w:color="auto" w:fill="auto"/>
            <w:vAlign w:val="center"/>
          </w:tcPr>
          <w:p w14:paraId="4F6CBD70"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686 </w:t>
            </w:r>
          </w:p>
        </w:tc>
        <w:tc>
          <w:tcPr>
            <w:tcW w:w="847" w:type="dxa"/>
            <w:shd w:val="clear" w:color="auto" w:fill="auto"/>
            <w:vAlign w:val="center"/>
          </w:tcPr>
          <w:p w14:paraId="19AC49CE"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663.6 </w:t>
            </w:r>
          </w:p>
        </w:tc>
        <w:tc>
          <w:tcPr>
            <w:tcW w:w="236" w:type="dxa"/>
            <w:shd w:val="clear" w:color="auto" w:fill="auto"/>
            <w:vAlign w:val="center"/>
          </w:tcPr>
          <w:p w14:paraId="01982EB2"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46440162"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575 </w:t>
            </w:r>
          </w:p>
        </w:tc>
        <w:tc>
          <w:tcPr>
            <w:tcW w:w="1067" w:type="dxa"/>
            <w:shd w:val="clear" w:color="auto" w:fill="auto"/>
            <w:vAlign w:val="center"/>
          </w:tcPr>
          <w:p w14:paraId="39F5F893"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59 </w:t>
            </w:r>
          </w:p>
        </w:tc>
        <w:tc>
          <w:tcPr>
            <w:tcW w:w="846" w:type="dxa"/>
            <w:shd w:val="clear" w:color="auto" w:fill="auto"/>
            <w:tcMar>
              <w:left w:w="57" w:type="dxa"/>
              <w:right w:w="57" w:type="dxa"/>
            </w:tcMar>
            <w:vAlign w:val="center"/>
          </w:tcPr>
          <w:p w14:paraId="2C4DFAE4"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613.3 </w:t>
            </w:r>
          </w:p>
        </w:tc>
        <w:tc>
          <w:tcPr>
            <w:tcW w:w="236" w:type="dxa"/>
            <w:shd w:val="clear" w:color="auto" w:fill="auto"/>
            <w:vAlign w:val="center"/>
          </w:tcPr>
          <w:p w14:paraId="469ECE5A"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555F1E26"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52 </w:t>
            </w:r>
          </w:p>
        </w:tc>
        <w:tc>
          <w:tcPr>
            <w:tcW w:w="846" w:type="dxa"/>
            <w:shd w:val="clear" w:color="auto" w:fill="auto"/>
            <w:tcMar>
              <w:left w:w="57" w:type="dxa"/>
              <w:right w:w="57" w:type="dxa"/>
            </w:tcMar>
            <w:vAlign w:val="center"/>
          </w:tcPr>
          <w:p w14:paraId="3D146E46"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50.3 </w:t>
            </w:r>
          </w:p>
        </w:tc>
      </w:tr>
      <w:tr w:rsidR="003E5BF5" w:rsidRPr="00F163AE" w14:paraId="081C6882" w14:textId="77777777" w:rsidTr="00FE5165">
        <w:trPr>
          <w:trHeight w:val="283"/>
        </w:trPr>
        <w:tc>
          <w:tcPr>
            <w:tcW w:w="1972" w:type="dxa"/>
            <w:shd w:val="clear" w:color="auto" w:fill="auto"/>
            <w:tcMar>
              <w:left w:w="57" w:type="dxa"/>
              <w:right w:w="57" w:type="dxa"/>
            </w:tcMar>
            <w:vAlign w:val="center"/>
          </w:tcPr>
          <w:p w14:paraId="0382FB59"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VRO 5</w:t>
            </w:r>
          </w:p>
        </w:tc>
        <w:tc>
          <w:tcPr>
            <w:tcW w:w="987" w:type="dxa"/>
            <w:shd w:val="clear" w:color="auto" w:fill="auto"/>
            <w:vAlign w:val="center"/>
          </w:tcPr>
          <w:p w14:paraId="52F142B3"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381 </w:t>
            </w:r>
          </w:p>
        </w:tc>
        <w:tc>
          <w:tcPr>
            <w:tcW w:w="847" w:type="dxa"/>
            <w:shd w:val="clear" w:color="auto" w:fill="auto"/>
            <w:vAlign w:val="center"/>
          </w:tcPr>
          <w:p w14:paraId="0C989DCE"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369.4 </w:t>
            </w:r>
          </w:p>
        </w:tc>
        <w:tc>
          <w:tcPr>
            <w:tcW w:w="236" w:type="dxa"/>
            <w:shd w:val="clear" w:color="auto" w:fill="auto"/>
            <w:vAlign w:val="center"/>
          </w:tcPr>
          <w:p w14:paraId="55EA93F8"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233B6A69"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325 </w:t>
            </w:r>
          </w:p>
        </w:tc>
        <w:tc>
          <w:tcPr>
            <w:tcW w:w="1067" w:type="dxa"/>
            <w:shd w:val="clear" w:color="auto" w:fill="auto"/>
            <w:vAlign w:val="center"/>
          </w:tcPr>
          <w:p w14:paraId="396E0567"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36 </w:t>
            </w:r>
          </w:p>
        </w:tc>
        <w:tc>
          <w:tcPr>
            <w:tcW w:w="846" w:type="dxa"/>
            <w:shd w:val="clear" w:color="auto" w:fill="auto"/>
            <w:tcMar>
              <w:left w:w="57" w:type="dxa"/>
              <w:right w:w="57" w:type="dxa"/>
            </w:tcMar>
            <w:vAlign w:val="center"/>
          </w:tcPr>
          <w:p w14:paraId="4CD2104B"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350.6 </w:t>
            </w:r>
          </w:p>
        </w:tc>
        <w:tc>
          <w:tcPr>
            <w:tcW w:w="236" w:type="dxa"/>
            <w:shd w:val="clear" w:color="auto" w:fill="auto"/>
            <w:vAlign w:val="center"/>
          </w:tcPr>
          <w:p w14:paraId="31C7D8DA"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5AD6E13C"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21 </w:t>
            </w:r>
          </w:p>
        </w:tc>
        <w:tc>
          <w:tcPr>
            <w:tcW w:w="846" w:type="dxa"/>
            <w:shd w:val="clear" w:color="auto" w:fill="auto"/>
            <w:tcMar>
              <w:left w:w="57" w:type="dxa"/>
              <w:right w:w="57" w:type="dxa"/>
            </w:tcMar>
            <w:vAlign w:val="center"/>
          </w:tcPr>
          <w:p w14:paraId="008BA3E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19.8 </w:t>
            </w:r>
          </w:p>
        </w:tc>
      </w:tr>
      <w:tr w:rsidR="003E5BF5" w:rsidRPr="00F163AE" w14:paraId="4DB2D561" w14:textId="77777777" w:rsidTr="00FE5165">
        <w:trPr>
          <w:trHeight w:val="283"/>
        </w:trPr>
        <w:tc>
          <w:tcPr>
            <w:tcW w:w="1972" w:type="dxa"/>
            <w:shd w:val="clear" w:color="auto" w:fill="auto"/>
            <w:tcMar>
              <w:left w:w="57" w:type="dxa"/>
              <w:right w:w="57" w:type="dxa"/>
            </w:tcMar>
            <w:vAlign w:val="center"/>
          </w:tcPr>
          <w:p w14:paraId="44E1F98D"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VRO 6</w:t>
            </w:r>
          </w:p>
        </w:tc>
        <w:tc>
          <w:tcPr>
            <w:tcW w:w="987" w:type="dxa"/>
            <w:shd w:val="clear" w:color="auto" w:fill="auto"/>
            <w:vAlign w:val="center"/>
          </w:tcPr>
          <w:p w14:paraId="2C2F6FA7"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140 </w:t>
            </w:r>
          </w:p>
        </w:tc>
        <w:tc>
          <w:tcPr>
            <w:tcW w:w="847" w:type="dxa"/>
            <w:shd w:val="clear" w:color="auto" w:fill="auto"/>
            <w:vAlign w:val="center"/>
          </w:tcPr>
          <w:p w14:paraId="32DB1829"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138.0 </w:t>
            </w:r>
          </w:p>
        </w:tc>
        <w:tc>
          <w:tcPr>
            <w:tcW w:w="236" w:type="dxa"/>
            <w:shd w:val="clear" w:color="auto" w:fill="auto"/>
            <w:vAlign w:val="center"/>
          </w:tcPr>
          <w:p w14:paraId="1A3AA31B"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568FFDDA"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127 </w:t>
            </w:r>
          </w:p>
        </w:tc>
        <w:tc>
          <w:tcPr>
            <w:tcW w:w="1067" w:type="dxa"/>
            <w:shd w:val="clear" w:color="auto" w:fill="auto"/>
            <w:vAlign w:val="center"/>
          </w:tcPr>
          <w:p w14:paraId="6D0A7321"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8 </w:t>
            </w:r>
          </w:p>
        </w:tc>
        <w:tc>
          <w:tcPr>
            <w:tcW w:w="846" w:type="dxa"/>
            <w:shd w:val="clear" w:color="auto" w:fill="auto"/>
            <w:tcMar>
              <w:left w:w="57" w:type="dxa"/>
              <w:right w:w="57" w:type="dxa"/>
            </w:tcMar>
            <w:vAlign w:val="center"/>
          </w:tcPr>
          <w:p w14:paraId="44EF9826"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133.0 </w:t>
            </w:r>
          </w:p>
        </w:tc>
        <w:tc>
          <w:tcPr>
            <w:tcW w:w="236" w:type="dxa"/>
            <w:shd w:val="clear" w:color="auto" w:fill="auto"/>
            <w:vAlign w:val="center"/>
          </w:tcPr>
          <w:p w14:paraId="36ACB7A8"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1B0E774F"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5 </w:t>
            </w:r>
          </w:p>
        </w:tc>
        <w:tc>
          <w:tcPr>
            <w:tcW w:w="846" w:type="dxa"/>
            <w:shd w:val="clear" w:color="auto" w:fill="auto"/>
            <w:tcMar>
              <w:left w:w="57" w:type="dxa"/>
              <w:right w:w="57" w:type="dxa"/>
            </w:tcMar>
            <w:vAlign w:val="center"/>
          </w:tcPr>
          <w:p w14:paraId="1503CBEC"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5.0 </w:t>
            </w:r>
          </w:p>
        </w:tc>
      </w:tr>
      <w:tr w:rsidR="003E5BF5" w:rsidRPr="00F163AE" w14:paraId="6F1764F8" w14:textId="77777777" w:rsidTr="00FE5165">
        <w:trPr>
          <w:trHeight w:val="283"/>
        </w:trPr>
        <w:tc>
          <w:tcPr>
            <w:tcW w:w="1972" w:type="dxa"/>
            <w:shd w:val="clear" w:color="auto" w:fill="auto"/>
            <w:tcMar>
              <w:left w:w="57" w:type="dxa"/>
              <w:right w:w="57" w:type="dxa"/>
            </w:tcMar>
            <w:vAlign w:val="center"/>
          </w:tcPr>
          <w:p w14:paraId="60B0D05D"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Legal Officer</w:t>
            </w:r>
          </w:p>
        </w:tc>
        <w:tc>
          <w:tcPr>
            <w:tcW w:w="987" w:type="dxa"/>
            <w:shd w:val="clear" w:color="auto" w:fill="auto"/>
            <w:vAlign w:val="center"/>
          </w:tcPr>
          <w:p w14:paraId="7A366FBA"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 </w:t>
            </w:r>
          </w:p>
        </w:tc>
        <w:tc>
          <w:tcPr>
            <w:tcW w:w="847" w:type="dxa"/>
            <w:shd w:val="clear" w:color="auto" w:fill="auto"/>
            <w:vAlign w:val="center"/>
          </w:tcPr>
          <w:p w14:paraId="15691AA6"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1.0 </w:t>
            </w:r>
          </w:p>
        </w:tc>
        <w:tc>
          <w:tcPr>
            <w:tcW w:w="236" w:type="dxa"/>
            <w:shd w:val="clear" w:color="auto" w:fill="auto"/>
            <w:vAlign w:val="center"/>
          </w:tcPr>
          <w:p w14:paraId="7C301151"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5B154769"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 </w:t>
            </w:r>
          </w:p>
        </w:tc>
        <w:tc>
          <w:tcPr>
            <w:tcW w:w="1067" w:type="dxa"/>
            <w:shd w:val="clear" w:color="auto" w:fill="auto"/>
            <w:vAlign w:val="center"/>
          </w:tcPr>
          <w:p w14:paraId="5A617211"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846" w:type="dxa"/>
            <w:shd w:val="clear" w:color="auto" w:fill="auto"/>
            <w:tcMar>
              <w:left w:w="57" w:type="dxa"/>
              <w:right w:w="57" w:type="dxa"/>
            </w:tcMar>
            <w:vAlign w:val="center"/>
          </w:tcPr>
          <w:p w14:paraId="6761D7BB"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1.0 </w:t>
            </w:r>
          </w:p>
        </w:tc>
        <w:tc>
          <w:tcPr>
            <w:tcW w:w="236" w:type="dxa"/>
            <w:shd w:val="clear" w:color="auto" w:fill="auto"/>
            <w:vAlign w:val="center"/>
          </w:tcPr>
          <w:p w14:paraId="2F9E0DCE"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5D846EC0"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846" w:type="dxa"/>
            <w:shd w:val="clear" w:color="auto" w:fill="auto"/>
            <w:tcMar>
              <w:left w:w="57" w:type="dxa"/>
              <w:right w:w="57" w:type="dxa"/>
            </w:tcMar>
            <w:vAlign w:val="center"/>
          </w:tcPr>
          <w:p w14:paraId="3C99B090"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r>
      <w:tr w:rsidR="003E5BF5" w:rsidRPr="00F163AE" w14:paraId="0D925BC9" w14:textId="77777777" w:rsidTr="00FE5165">
        <w:trPr>
          <w:trHeight w:val="283"/>
        </w:trPr>
        <w:tc>
          <w:tcPr>
            <w:tcW w:w="1972" w:type="dxa"/>
            <w:shd w:val="clear" w:color="auto" w:fill="auto"/>
            <w:tcMar>
              <w:left w:w="57" w:type="dxa"/>
              <w:right w:w="57" w:type="dxa"/>
            </w:tcMar>
            <w:vAlign w:val="center"/>
          </w:tcPr>
          <w:p w14:paraId="6F896412"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Fisheries Manager 6</w:t>
            </w:r>
          </w:p>
        </w:tc>
        <w:tc>
          <w:tcPr>
            <w:tcW w:w="987" w:type="dxa"/>
            <w:shd w:val="clear" w:color="auto" w:fill="auto"/>
            <w:vAlign w:val="center"/>
          </w:tcPr>
          <w:p w14:paraId="04D0E8A0"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 </w:t>
            </w:r>
          </w:p>
        </w:tc>
        <w:tc>
          <w:tcPr>
            <w:tcW w:w="847" w:type="dxa"/>
            <w:shd w:val="clear" w:color="auto" w:fill="auto"/>
            <w:vAlign w:val="center"/>
          </w:tcPr>
          <w:p w14:paraId="5D78ECC2"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1.0 </w:t>
            </w:r>
          </w:p>
        </w:tc>
        <w:tc>
          <w:tcPr>
            <w:tcW w:w="236" w:type="dxa"/>
            <w:shd w:val="clear" w:color="auto" w:fill="auto"/>
            <w:vAlign w:val="center"/>
          </w:tcPr>
          <w:p w14:paraId="031FB5E2"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729145B0"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 </w:t>
            </w:r>
          </w:p>
        </w:tc>
        <w:tc>
          <w:tcPr>
            <w:tcW w:w="1067" w:type="dxa"/>
            <w:shd w:val="clear" w:color="auto" w:fill="auto"/>
            <w:vAlign w:val="center"/>
          </w:tcPr>
          <w:p w14:paraId="4A2B5FAF"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846" w:type="dxa"/>
            <w:shd w:val="clear" w:color="auto" w:fill="auto"/>
            <w:tcMar>
              <w:left w:w="57" w:type="dxa"/>
              <w:right w:w="57" w:type="dxa"/>
            </w:tcMar>
            <w:vAlign w:val="center"/>
          </w:tcPr>
          <w:p w14:paraId="7D0298F5"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1.0 </w:t>
            </w:r>
          </w:p>
        </w:tc>
        <w:tc>
          <w:tcPr>
            <w:tcW w:w="236" w:type="dxa"/>
            <w:shd w:val="clear" w:color="auto" w:fill="auto"/>
            <w:vAlign w:val="center"/>
          </w:tcPr>
          <w:p w14:paraId="67B2EDC8"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5658F862"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846" w:type="dxa"/>
            <w:shd w:val="clear" w:color="auto" w:fill="auto"/>
            <w:tcMar>
              <w:left w:w="57" w:type="dxa"/>
              <w:right w:w="57" w:type="dxa"/>
            </w:tcMar>
            <w:vAlign w:val="center"/>
          </w:tcPr>
          <w:p w14:paraId="2E3DA291"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r>
      <w:tr w:rsidR="003E5BF5" w:rsidRPr="00F163AE" w14:paraId="0277C8F6" w14:textId="77777777" w:rsidTr="00FE5165">
        <w:trPr>
          <w:trHeight w:val="283"/>
        </w:trPr>
        <w:tc>
          <w:tcPr>
            <w:tcW w:w="1972" w:type="dxa"/>
            <w:shd w:val="clear" w:color="auto" w:fill="auto"/>
            <w:tcMar>
              <w:left w:w="57" w:type="dxa"/>
              <w:right w:w="57" w:type="dxa"/>
            </w:tcMar>
            <w:vAlign w:val="center"/>
          </w:tcPr>
          <w:p w14:paraId="42D7EFF5"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PS</w:t>
            </w:r>
          </w:p>
        </w:tc>
        <w:tc>
          <w:tcPr>
            <w:tcW w:w="987" w:type="dxa"/>
            <w:shd w:val="clear" w:color="auto" w:fill="auto"/>
            <w:vAlign w:val="center"/>
          </w:tcPr>
          <w:p w14:paraId="711D5DD9"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16 </w:t>
            </w:r>
          </w:p>
        </w:tc>
        <w:tc>
          <w:tcPr>
            <w:tcW w:w="847" w:type="dxa"/>
            <w:shd w:val="clear" w:color="auto" w:fill="auto"/>
            <w:vAlign w:val="center"/>
          </w:tcPr>
          <w:p w14:paraId="0EA6317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15.9 </w:t>
            </w:r>
          </w:p>
        </w:tc>
        <w:tc>
          <w:tcPr>
            <w:tcW w:w="236" w:type="dxa"/>
            <w:shd w:val="clear" w:color="auto" w:fill="auto"/>
            <w:vAlign w:val="center"/>
          </w:tcPr>
          <w:p w14:paraId="18C5525E"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64F59E56"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12 </w:t>
            </w:r>
          </w:p>
        </w:tc>
        <w:tc>
          <w:tcPr>
            <w:tcW w:w="1067" w:type="dxa"/>
            <w:shd w:val="clear" w:color="auto" w:fill="auto"/>
            <w:vAlign w:val="center"/>
          </w:tcPr>
          <w:p w14:paraId="3DC8404E"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 </w:t>
            </w:r>
          </w:p>
        </w:tc>
        <w:tc>
          <w:tcPr>
            <w:tcW w:w="846" w:type="dxa"/>
            <w:shd w:val="clear" w:color="auto" w:fill="auto"/>
            <w:tcMar>
              <w:left w:w="57" w:type="dxa"/>
              <w:right w:w="57" w:type="dxa"/>
            </w:tcMar>
            <w:vAlign w:val="center"/>
          </w:tcPr>
          <w:p w14:paraId="4657BBD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12.9 </w:t>
            </w:r>
          </w:p>
        </w:tc>
        <w:tc>
          <w:tcPr>
            <w:tcW w:w="236" w:type="dxa"/>
            <w:shd w:val="clear" w:color="auto" w:fill="auto"/>
            <w:vAlign w:val="center"/>
          </w:tcPr>
          <w:p w14:paraId="2ECEEAB9"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530F8217"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 </w:t>
            </w:r>
          </w:p>
        </w:tc>
        <w:tc>
          <w:tcPr>
            <w:tcW w:w="846" w:type="dxa"/>
            <w:shd w:val="clear" w:color="auto" w:fill="auto"/>
            <w:tcMar>
              <w:left w:w="57" w:type="dxa"/>
              <w:right w:w="57" w:type="dxa"/>
            </w:tcMar>
            <w:vAlign w:val="center"/>
          </w:tcPr>
          <w:p w14:paraId="14FE7FC1"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3.0 </w:t>
            </w:r>
          </w:p>
        </w:tc>
      </w:tr>
      <w:tr w:rsidR="003E5BF5" w:rsidRPr="00F163AE" w14:paraId="1BB487B4" w14:textId="77777777" w:rsidTr="00FE5165">
        <w:trPr>
          <w:trHeight w:val="283"/>
        </w:trPr>
        <w:tc>
          <w:tcPr>
            <w:tcW w:w="1972" w:type="dxa"/>
            <w:shd w:val="clear" w:color="auto" w:fill="auto"/>
            <w:tcMar>
              <w:left w:w="57" w:type="dxa"/>
              <w:right w:w="57" w:type="dxa"/>
            </w:tcMar>
            <w:vAlign w:val="center"/>
          </w:tcPr>
          <w:p w14:paraId="48654189"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STS</w:t>
            </w:r>
          </w:p>
        </w:tc>
        <w:tc>
          <w:tcPr>
            <w:tcW w:w="987" w:type="dxa"/>
            <w:shd w:val="clear" w:color="auto" w:fill="auto"/>
            <w:vAlign w:val="center"/>
          </w:tcPr>
          <w:p w14:paraId="6F8FF923"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114 </w:t>
            </w:r>
          </w:p>
        </w:tc>
        <w:tc>
          <w:tcPr>
            <w:tcW w:w="847" w:type="dxa"/>
            <w:shd w:val="clear" w:color="auto" w:fill="auto"/>
            <w:vAlign w:val="center"/>
          </w:tcPr>
          <w:p w14:paraId="0155B8CB"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111.0 </w:t>
            </w:r>
          </w:p>
        </w:tc>
        <w:tc>
          <w:tcPr>
            <w:tcW w:w="236" w:type="dxa"/>
            <w:shd w:val="clear" w:color="auto" w:fill="auto"/>
            <w:vAlign w:val="center"/>
          </w:tcPr>
          <w:p w14:paraId="509EE7A3"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7B293247"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81 </w:t>
            </w:r>
          </w:p>
        </w:tc>
        <w:tc>
          <w:tcPr>
            <w:tcW w:w="1067" w:type="dxa"/>
            <w:shd w:val="clear" w:color="auto" w:fill="auto"/>
            <w:vAlign w:val="center"/>
          </w:tcPr>
          <w:p w14:paraId="767ABFD5"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4 </w:t>
            </w:r>
          </w:p>
        </w:tc>
        <w:tc>
          <w:tcPr>
            <w:tcW w:w="846" w:type="dxa"/>
            <w:shd w:val="clear" w:color="auto" w:fill="auto"/>
            <w:tcMar>
              <w:left w:w="57" w:type="dxa"/>
              <w:right w:w="57" w:type="dxa"/>
            </w:tcMar>
            <w:vAlign w:val="center"/>
          </w:tcPr>
          <w:p w14:paraId="5E1E39E6"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84.2 </w:t>
            </w:r>
          </w:p>
        </w:tc>
        <w:tc>
          <w:tcPr>
            <w:tcW w:w="236" w:type="dxa"/>
            <w:shd w:val="clear" w:color="auto" w:fill="auto"/>
            <w:vAlign w:val="center"/>
          </w:tcPr>
          <w:p w14:paraId="48A01F92"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41E7F6E9"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29 </w:t>
            </w:r>
          </w:p>
        </w:tc>
        <w:tc>
          <w:tcPr>
            <w:tcW w:w="846" w:type="dxa"/>
            <w:shd w:val="clear" w:color="auto" w:fill="auto"/>
            <w:tcMar>
              <w:left w:w="57" w:type="dxa"/>
              <w:right w:w="57" w:type="dxa"/>
            </w:tcMar>
            <w:vAlign w:val="center"/>
          </w:tcPr>
          <w:p w14:paraId="7AF81E6F"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26.8 </w:t>
            </w:r>
          </w:p>
        </w:tc>
      </w:tr>
      <w:tr w:rsidR="003E5BF5" w:rsidRPr="00F163AE" w14:paraId="093EC7FA" w14:textId="77777777" w:rsidTr="00FE5165">
        <w:trPr>
          <w:trHeight w:val="283"/>
        </w:trPr>
        <w:tc>
          <w:tcPr>
            <w:tcW w:w="1972" w:type="dxa"/>
            <w:shd w:val="clear" w:color="auto" w:fill="auto"/>
            <w:tcMar>
              <w:left w:w="57" w:type="dxa"/>
              <w:right w:w="57" w:type="dxa"/>
            </w:tcMar>
            <w:vAlign w:val="center"/>
          </w:tcPr>
          <w:p w14:paraId="77C6D622"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lastRenderedPageBreak/>
              <w:t>VR STS</w:t>
            </w:r>
          </w:p>
        </w:tc>
        <w:tc>
          <w:tcPr>
            <w:tcW w:w="987" w:type="dxa"/>
            <w:shd w:val="clear" w:color="auto" w:fill="auto"/>
            <w:vAlign w:val="center"/>
          </w:tcPr>
          <w:p w14:paraId="2211DD13"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14 </w:t>
            </w:r>
          </w:p>
        </w:tc>
        <w:tc>
          <w:tcPr>
            <w:tcW w:w="847" w:type="dxa"/>
            <w:shd w:val="clear" w:color="auto" w:fill="auto"/>
            <w:vAlign w:val="center"/>
          </w:tcPr>
          <w:p w14:paraId="225AEC29"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14.0 </w:t>
            </w:r>
          </w:p>
        </w:tc>
        <w:tc>
          <w:tcPr>
            <w:tcW w:w="236" w:type="dxa"/>
            <w:shd w:val="clear" w:color="auto" w:fill="auto"/>
            <w:vAlign w:val="center"/>
          </w:tcPr>
          <w:p w14:paraId="15229499"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6AAB71CB"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13 </w:t>
            </w:r>
          </w:p>
        </w:tc>
        <w:tc>
          <w:tcPr>
            <w:tcW w:w="1067" w:type="dxa"/>
            <w:shd w:val="clear" w:color="auto" w:fill="auto"/>
            <w:vAlign w:val="center"/>
          </w:tcPr>
          <w:p w14:paraId="4E396C23"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846" w:type="dxa"/>
            <w:shd w:val="clear" w:color="auto" w:fill="auto"/>
            <w:tcMar>
              <w:left w:w="57" w:type="dxa"/>
              <w:right w:w="57" w:type="dxa"/>
            </w:tcMar>
            <w:vAlign w:val="center"/>
          </w:tcPr>
          <w:p w14:paraId="0BF64A11"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13.0 </w:t>
            </w:r>
          </w:p>
        </w:tc>
        <w:tc>
          <w:tcPr>
            <w:tcW w:w="236" w:type="dxa"/>
            <w:shd w:val="clear" w:color="auto" w:fill="auto"/>
            <w:vAlign w:val="center"/>
          </w:tcPr>
          <w:p w14:paraId="02842F5E"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2419DDAD"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c>
          <w:tcPr>
            <w:tcW w:w="846" w:type="dxa"/>
            <w:shd w:val="clear" w:color="auto" w:fill="auto"/>
            <w:tcMar>
              <w:left w:w="57" w:type="dxa"/>
              <w:right w:w="57" w:type="dxa"/>
            </w:tcMar>
            <w:vAlign w:val="center"/>
          </w:tcPr>
          <w:p w14:paraId="0F59F5FE" w14:textId="77777777" w:rsidR="003E5BF5" w:rsidRPr="00F163AE" w:rsidRDefault="003E5BF5" w:rsidP="00DE1921">
            <w:pPr>
              <w:pStyle w:val="TableTextRight"/>
              <w:rPr>
                <w:rFonts w:ascii="Arial" w:hAnsi="Arial" w:cs="Arial"/>
                <w:sz w:val="24"/>
                <w:szCs w:val="24"/>
              </w:rPr>
            </w:pPr>
            <w:r w:rsidRPr="00F163AE">
              <w:rPr>
                <w:rFonts w:ascii="Arial" w:hAnsi="Arial" w:cs="Arial"/>
                <w:sz w:val="24"/>
                <w:szCs w:val="24"/>
              </w:rPr>
              <w:t>-</w:t>
            </w:r>
          </w:p>
        </w:tc>
      </w:tr>
      <w:tr w:rsidR="003E5BF5" w:rsidRPr="00F163AE" w14:paraId="7E2E19AC" w14:textId="77777777" w:rsidTr="00FE5165">
        <w:trPr>
          <w:trHeight w:val="283"/>
        </w:trPr>
        <w:tc>
          <w:tcPr>
            <w:tcW w:w="1972" w:type="dxa"/>
            <w:shd w:val="clear" w:color="auto" w:fill="auto"/>
            <w:tcMar>
              <w:left w:w="57" w:type="dxa"/>
              <w:right w:w="57" w:type="dxa"/>
            </w:tcMar>
            <w:vAlign w:val="center"/>
          </w:tcPr>
          <w:p w14:paraId="488A65DC" w14:textId="77777777" w:rsidR="003E5BF5" w:rsidRPr="00F163AE" w:rsidRDefault="003E5BF5" w:rsidP="00DE1921">
            <w:pPr>
              <w:pStyle w:val="TableTextLeft"/>
              <w:rPr>
                <w:rFonts w:ascii="Arial" w:hAnsi="Arial" w:cs="Arial"/>
                <w:sz w:val="24"/>
                <w:szCs w:val="24"/>
              </w:rPr>
            </w:pPr>
            <w:r w:rsidRPr="00F163AE">
              <w:rPr>
                <w:rFonts w:ascii="Arial" w:hAnsi="Arial" w:cs="Arial"/>
                <w:sz w:val="24"/>
                <w:szCs w:val="24"/>
              </w:rPr>
              <w:t>Executive</w:t>
            </w:r>
          </w:p>
        </w:tc>
        <w:tc>
          <w:tcPr>
            <w:tcW w:w="987" w:type="dxa"/>
            <w:shd w:val="clear" w:color="auto" w:fill="auto"/>
            <w:vAlign w:val="center"/>
          </w:tcPr>
          <w:p w14:paraId="007290ED"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142 </w:t>
            </w:r>
          </w:p>
        </w:tc>
        <w:tc>
          <w:tcPr>
            <w:tcW w:w="847" w:type="dxa"/>
            <w:shd w:val="clear" w:color="auto" w:fill="auto"/>
            <w:vAlign w:val="center"/>
          </w:tcPr>
          <w:p w14:paraId="462E8C12"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141.8 </w:t>
            </w:r>
          </w:p>
        </w:tc>
        <w:tc>
          <w:tcPr>
            <w:tcW w:w="236" w:type="dxa"/>
            <w:shd w:val="clear" w:color="auto" w:fill="auto"/>
            <w:vAlign w:val="center"/>
          </w:tcPr>
          <w:p w14:paraId="02C05C52"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28A26333"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139 </w:t>
            </w:r>
          </w:p>
        </w:tc>
        <w:tc>
          <w:tcPr>
            <w:tcW w:w="1067" w:type="dxa"/>
            <w:shd w:val="clear" w:color="auto" w:fill="auto"/>
            <w:vAlign w:val="center"/>
          </w:tcPr>
          <w:p w14:paraId="78C451D9"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 </w:t>
            </w:r>
          </w:p>
        </w:tc>
        <w:tc>
          <w:tcPr>
            <w:tcW w:w="846" w:type="dxa"/>
            <w:shd w:val="clear" w:color="auto" w:fill="auto"/>
            <w:tcMar>
              <w:left w:w="57" w:type="dxa"/>
              <w:right w:w="57" w:type="dxa"/>
            </w:tcMar>
            <w:vAlign w:val="center"/>
          </w:tcPr>
          <w:p w14:paraId="1E84FD20"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139.8 </w:t>
            </w:r>
          </w:p>
        </w:tc>
        <w:tc>
          <w:tcPr>
            <w:tcW w:w="236" w:type="dxa"/>
            <w:shd w:val="clear" w:color="auto" w:fill="auto"/>
            <w:vAlign w:val="center"/>
          </w:tcPr>
          <w:p w14:paraId="6EEF81E0" w14:textId="77777777" w:rsidR="003E5BF5" w:rsidRPr="00F163AE" w:rsidRDefault="003E5BF5" w:rsidP="00DE1921">
            <w:pPr>
              <w:pStyle w:val="TableTextRight"/>
              <w:rPr>
                <w:rFonts w:ascii="Arial" w:hAnsi="Arial" w:cs="Arial"/>
                <w:sz w:val="24"/>
                <w:szCs w:val="24"/>
              </w:rPr>
            </w:pPr>
          </w:p>
        </w:tc>
        <w:tc>
          <w:tcPr>
            <w:tcW w:w="987" w:type="dxa"/>
            <w:shd w:val="clear" w:color="auto" w:fill="auto"/>
            <w:vAlign w:val="center"/>
          </w:tcPr>
          <w:p w14:paraId="755652A0"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 </w:t>
            </w:r>
          </w:p>
        </w:tc>
        <w:tc>
          <w:tcPr>
            <w:tcW w:w="846" w:type="dxa"/>
            <w:shd w:val="clear" w:color="auto" w:fill="auto"/>
            <w:tcMar>
              <w:left w:w="57" w:type="dxa"/>
              <w:right w:w="57" w:type="dxa"/>
            </w:tcMar>
            <w:vAlign w:val="center"/>
          </w:tcPr>
          <w:p w14:paraId="0BACC5D4" w14:textId="77777777" w:rsidR="003E5BF5" w:rsidRPr="00F163AE" w:rsidRDefault="003E5BF5" w:rsidP="00DE1921">
            <w:pPr>
              <w:pStyle w:val="TableTextRight"/>
              <w:rPr>
                <w:rFonts w:ascii="Arial" w:hAnsi="Arial" w:cs="Arial"/>
                <w:sz w:val="24"/>
                <w:szCs w:val="24"/>
              </w:rPr>
            </w:pPr>
            <w:r w:rsidRPr="00F163AE">
              <w:rPr>
                <w:rFonts w:ascii="Arial" w:hAnsi="Arial" w:cs="Arial"/>
                <w:color w:val="000000"/>
                <w:sz w:val="24"/>
                <w:szCs w:val="24"/>
              </w:rPr>
              <w:t xml:space="preserve">2.0 </w:t>
            </w:r>
          </w:p>
        </w:tc>
      </w:tr>
      <w:tr w:rsidR="003E5BF5" w:rsidRPr="00F163AE" w14:paraId="4CA43BE3" w14:textId="77777777" w:rsidTr="00FE5165">
        <w:trPr>
          <w:trHeight w:val="283"/>
        </w:trPr>
        <w:tc>
          <w:tcPr>
            <w:tcW w:w="1972" w:type="dxa"/>
            <w:shd w:val="clear" w:color="auto" w:fill="auto"/>
            <w:tcMar>
              <w:left w:w="57" w:type="dxa"/>
              <w:right w:w="57" w:type="dxa"/>
            </w:tcMar>
            <w:vAlign w:val="center"/>
          </w:tcPr>
          <w:p w14:paraId="499BDC83" w14:textId="77777777" w:rsidR="003E5BF5" w:rsidRPr="00F163AE" w:rsidRDefault="003E5BF5" w:rsidP="00DE1921">
            <w:pPr>
              <w:pStyle w:val="TableTextLeftBold"/>
              <w:rPr>
                <w:rFonts w:ascii="Arial" w:hAnsi="Arial" w:cs="Arial"/>
                <w:sz w:val="24"/>
                <w:szCs w:val="24"/>
              </w:rPr>
            </w:pPr>
            <w:r w:rsidRPr="00F163AE">
              <w:rPr>
                <w:rFonts w:ascii="Arial" w:hAnsi="Arial" w:cs="Arial"/>
                <w:sz w:val="24"/>
                <w:szCs w:val="24"/>
              </w:rPr>
              <w:t>Total Employees</w:t>
            </w:r>
          </w:p>
        </w:tc>
        <w:tc>
          <w:tcPr>
            <w:tcW w:w="987" w:type="dxa"/>
            <w:shd w:val="clear" w:color="auto" w:fill="auto"/>
            <w:vAlign w:val="center"/>
          </w:tcPr>
          <w:p w14:paraId="7B675F55" w14:textId="77777777" w:rsidR="003E5BF5" w:rsidRPr="00F163AE" w:rsidRDefault="003E5BF5" w:rsidP="00DE1921">
            <w:pPr>
              <w:pStyle w:val="TableTextRightBold"/>
              <w:rPr>
                <w:rFonts w:ascii="Arial" w:hAnsi="Arial" w:cs="Arial"/>
                <w:sz w:val="24"/>
                <w:szCs w:val="24"/>
              </w:rPr>
            </w:pPr>
            <w:r w:rsidRPr="00F163AE">
              <w:rPr>
                <w:rFonts w:ascii="Arial" w:hAnsi="Arial" w:cs="Arial"/>
                <w:b w:val="0"/>
                <w:color w:val="000000"/>
                <w:sz w:val="24"/>
                <w:szCs w:val="24"/>
              </w:rPr>
              <w:t xml:space="preserve">3,979 </w:t>
            </w:r>
          </w:p>
        </w:tc>
        <w:tc>
          <w:tcPr>
            <w:tcW w:w="847" w:type="dxa"/>
            <w:shd w:val="clear" w:color="auto" w:fill="auto"/>
            <w:vAlign w:val="center"/>
          </w:tcPr>
          <w:p w14:paraId="47C1469A" w14:textId="77777777" w:rsidR="003E5BF5" w:rsidRPr="00F163AE" w:rsidRDefault="003E5BF5" w:rsidP="00DE1921">
            <w:pPr>
              <w:pStyle w:val="TableTextRightBold"/>
              <w:rPr>
                <w:rFonts w:ascii="Arial" w:hAnsi="Arial" w:cs="Arial"/>
                <w:sz w:val="24"/>
                <w:szCs w:val="24"/>
              </w:rPr>
            </w:pPr>
            <w:r w:rsidRPr="00F163AE">
              <w:rPr>
                <w:rFonts w:ascii="Arial" w:hAnsi="Arial" w:cs="Arial"/>
                <w:b w:val="0"/>
                <w:color w:val="000000"/>
                <w:sz w:val="24"/>
                <w:szCs w:val="24"/>
              </w:rPr>
              <w:t xml:space="preserve">3,832.1 </w:t>
            </w:r>
          </w:p>
        </w:tc>
        <w:tc>
          <w:tcPr>
            <w:tcW w:w="236" w:type="dxa"/>
            <w:shd w:val="clear" w:color="auto" w:fill="auto"/>
            <w:vAlign w:val="center"/>
          </w:tcPr>
          <w:p w14:paraId="5CBE4C33" w14:textId="77777777" w:rsidR="003E5BF5" w:rsidRPr="00F163AE" w:rsidRDefault="003E5BF5" w:rsidP="00DE1921">
            <w:pPr>
              <w:pStyle w:val="TableTextRightBold"/>
              <w:rPr>
                <w:rFonts w:ascii="Arial" w:hAnsi="Arial" w:cs="Arial"/>
                <w:sz w:val="24"/>
                <w:szCs w:val="24"/>
              </w:rPr>
            </w:pPr>
          </w:p>
        </w:tc>
        <w:tc>
          <w:tcPr>
            <w:tcW w:w="987" w:type="dxa"/>
            <w:shd w:val="clear" w:color="auto" w:fill="auto"/>
            <w:vAlign w:val="center"/>
          </w:tcPr>
          <w:p w14:paraId="0B7E1A98" w14:textId="77777777" w:rsidR="003E5BF5" w:rsidRPr="00F163AE" w:rsidRDefault="003E5BF5" w:rsidP="00DE1921">
            <w:pPr>
              <w:pStyle w:val="TableTextRightBold"/>
              <w:rPr>
                <w:rFonts w:ascii="Arial" w:hAnsi="Arial" w:cs="Arial"/>
                <w:sz w:val="24"/>
                <w:szCs w:val="24"/>
              </w:rPr>
            </w:pPr>
            <w:r w:rsidRPr="00F163AE">
              <w:rPr>
                <w:rFonts w:ascii="Arial" w:hAnsi="Arial" w:cs="Arial"/>
                <w:b w:val="0"/>
                <w:color w:val="000000"/>
                <w:sz w:val="24"/>
                <w:szCs w:val="24"/>
              </w:rPr>
              <w:t xml:space="preserve">3,152 </w:t>
            </w:r>
          </w:p>
        </w:tc>
        <w:tc>
          <w:tcPr>
            <w:tcW w:w="1067" w:type="dxa"/>
            <w:shd w:val="clear" w:color="auto" w:fill="auto"/>
            <w:vAlign w:val="center"/>
          </w:tcPr>
          <w:p w14:paraId="7FCEF96E" w14:textId="77777777" w:rsidR="003E5BF5" w:rsidRPr="00F163AE" w:rsidRDefault="003E5BF5" w:rsidP="00DE1921">
            <w:pPr>
              <w:pStyle w:val="TableTextRightBold"/>
              <w:rPr>
                <w:rFonts w:ascii="Arial" w:hAnsi="Arial" w:cs="Arial"/>
                <w:sz w:val="24"/>
                <w:szCs w:val="24"/>
              </w:rPr>
            </w:pPr>
            <w:r w:rsidRPr="00F163AE">
              <w:rPr>
                <w:rFonts w:ascii="Arial" w:hAnsi="Arial" w:cs="Arial"/>
                <w:b w:val="0"/>
                <w:color w:val="000000"/>
                <w:sz w:val="24"/>
                <w:szCs w:val="24"/>
              </w:rPr>
              <w:t xml:space="preserve">393 </w:t>
            </w:r>
          </w:p>
        </w:tc>
        <w:tc>
          <w:tcPr>
            <w:tcW w:w="846" w:type="dxa"/>
            <w:shd w:val="clear" w:color="auto" w:fill="auto"/>
            <w:tcMar>
              <w:left w:w="57" w:type="dxa"/>
              <w:right w:w="57" w:type="dxa"/>
            </w:tcMar>
            <w:vAlign w:val="center"/>
          </w:tcPr>
          <w:p w14:paraId="4243E45A" w14:textId="77777777" w:rsidR="003E5BF5" w:rsidRPr="00F163AE" w:rsidRDefault="003E5BF5" w:rsidP="00DE1921">
            <w:pPr>
              <w:pStyle w:val="TableTextRightBold"/>
              <w:rPr>
                <w:rFonts w:ascii="Arial" w:hAnsi="Arial" w:cs="Arial"/>
                <w:sz w:val="24"/>
                <w:szCs w:val="24"/>
              </w:rPr>
            </w:pPr>
            <w:r w:rsidRPr="00F163AE">
              <w:rPr>
                <w:rFonts w:ascii="Arial" w:hAnsi="Arial" w:cs="Arial"/>
                <w:b w:val="0"/>
                <w:color w:val="000000"/>
                <w:sz w:val="24"/>
                <w:szCs w:val="24"/>
              </w:rPr>
              <w:t xml:space="preserve">3,422.8 </w:t>
            </w:r>
          </w:p>
        </w:tc>
        <w:tc>
          <w:tcPr>
            <w:tcW w:w="236" w:type="dxa"/>
            <w:shd w:val="clear" w:color="auto" w:fill="auto"/>
            <w:vAlign w:val="center"/>
          </w:tcPr>
          <w:p w14:paraId="419C200B" w14:textId="77777777" w:rsidR="003E5BF5" w:rsidRPr="00F163AE" w:rsidRDefault="003E5BF5" w:rsidP="00DE1921">
            <w:pPr>
              <w:pStyle w:val="TableTextRightBold"/>
              <w:rPr>
                <w:rFonts w:ascii="Arial" w:hAnsi="Arial" w:cs="Arial"/>
                <w:sz w:val="24"/>
                <w:szCs w:val="24"/>
              </w:rPr>
            </w:pPr>
          </w:p>
        </w:tc>
        <w:tc>
          <w:tcPr>
            <w:tcW w:w="987" w:type="dxa"/>
            <w:shd w:val="clear" w:color="auto" w:fill="auto"/>
            <w:vAlign w:val="center"/>
          </w:tcPr>
          <w:p w14:paraId="1D862D8D" w14:textId="77777777" w:rsidR="003E5BF5" w:rsidRPr="00F163AE" w:rsidRDefault="003E5BF5" w:rsidP="00DE1921">
            <w:pPr>
              <w:pStyle w:val="TableTextRightBold"/>
              <w:rPr>
                <w:rFonts w:ascii="Arial" w:hAnsi="Arial" w:cs="Arial"/>
                <w:sz w:val="24"/>
                <w:szCs w:val="24"/>
              </w:rPr>
            </w:pPr>
            <w:r w:rsidRPr="00F163AE">
              <w:rPr>
                <w:rFonts w:ascii="Arial" w:hAnsi="Arial" w:cs="Arial"/>
                <w:b w:val="0"/>
                <w:color w:val="000000"/>
                <w:sz w:val="24"/>
                <w:szCs w:val="24"/>
              </w:rPr>
              <w:t xml:space="preserve">434 </w:t>
            </w:r>
          </w:p>
        </w:tc>
        <w:tc>
          <w:tcPr>
            <w:tcW w:w="846" w:type="dxa"/>
            <w:shd w:val="clear" w:color="auto" w:fill="auto"/>
            <w:tcMar>
              <w:left w:w="57" w:type="dxa"/>
              <w:right w:w="57" w:type="dxa"/>
            </w:tcMar>
            <w:vAlign w:val="center"/>
          </w:tcPr>
          <w:p w14:paraId="3F8E2EBF" w14:textId="77777777" w:rsidR="003E5BF5" w:rsidRPr="00F163AE" w:rsidRDefault="003E5BF5" w:rsidP="00DE1921">
            <w:pPr>
              <w:pStyle w:val="TableTextRightBold"/>
              <w:rPr>
                <w:rFonts w:ascii="Arial" w:hAnsi="Arial" w:cs="Arial"/>
                <w:sz w:val="24"/>
                <w:szCs w:val="24"/>
              </w:rPr>
            </w:pPr>
            <w:r w:rsidRPr="00F163AE">
              <w:rPr>
                <w:rFonts w:ascii="Arial" w:hAnsi="Arial" w:cs="Arial"/>
                <w:b w:val="0"/>
                <w:color w:val="000000"/>
                <w:sz w:val="24"/>
                <w:szCs w:val="24"/>
              </w:rPr>
              <w:t xml:space="preserve">409.3 </w:t>
            </w:r>
          </w:p>
        </w:tc>
      </w:tr>
    </w:tbl>
    <w:p w14:paraId="539A5FE3" w14:textId="77777777" w:rsidR="003E5BF5" w:rsidRPr="00E273FC" w:rsidRDefault="003E5BF5" w:rsidP="00DE1921">
      <w:pPr>
        <w:pStyle w:val="Note"/>
        <w:spacing w:before="60" w:after="60"/>
        <w:rPr>
          <w:rFonts w:ascii="Arial" w:hAnsi="Arial" w:cs="Arial"/>
          <w:sz w:val="24"/>
          <w:szCs w:val="24"/>
        </w:rPr>
      </w:pPr>
      <w:r w:rsidRPr="00E273FC">
        <w:rPr>
          <w:rFonts w:ascii="Arial" w:hAnsi="Arial" w:cs="Arial"/>
          <w:sz w:val="24"/>
          <w:szCs w:val="24"/>
        </w:rPr>
        <w:t>* headcount</w:t>
      </w:r>
    </w:p>
    <w:p w14:paraId="645D5AEF" w14:textId="77777777" w:rsidR="003E5BF5" w:rsidRPr="00E273FC" w:rsidRDefault="003E5BF5" w:rsidP="00696A16">
      <w:pPr>
        <w:pStyle w:val="Note"/>
        <w:spacing w:line="360" w:lineRule="auto"/>
        <w:rPr>
          <w:rFonts w:ascii="Arial" w:hAnsi="Arial" w:cs="Arial"/>
          <w:sz w:val="24"/>
          <w:szCs w:val="24"/>
        </w:rPr>
      </w:pPr>
      <w:r w:rsidRPr="00E273FC">
        <w:rPr>
          <w:rFonts w:ascii="Arial" w:hAnsi="Arial" w:cs="Arial"/>
          <w:sz w:val="24"/>
          <w:szCs w:val="24"/>
        </w:rPr>
        <w:t>Notes:</w:t>
      </w:r>
    </w:p>
    <w:p w14:paraId="6C766A00" w14:textId="77777777" w:rsidR="003E5BF5" w:rsidRPr="00E273FC" w:rsidRDefault="003E5BF5" w:rsidP="00610F5F">
      <w:pPr>
        <w:pStyle w:val="Notenumberingabc"/>
        <w:numPr>
          <w:ilvl w:val="0"/>
          <w:numId w:val="28"/>
        </w:numPr>
        <w:spacing w:before="0" w:line="360" w:lineRule="auto"/>
        <w:ind w:left="340" w:hanging="227"/>
        <w:rPr>
          <w:rFonts w:ascii="Arial" w:hAnsi="Arial" w:cs="Arial"/>
          <w:sz w:val="24"/>
          <w:szCs w:val="24"/>
        </w:rPr>
      </w:pPr>
      <w:r w:rsidRPr="00E273FC">
        <w:rPr>
          <w:rFonts w:ascii="Arial" w:hAnsi="Arial" w:cs="Arial"/>
          <w:sz w:val="24"/>
          <w:szCs w:val="24"/>
        </w:rPr>
        <w:t>FTE means full-time equivalent.</w:t>
      </w:r>
    </w:p>
    <w:p w14:paraId="15CD606A" w14:textId="77777777" w:rsidR="003E5BF5" w:rsidRPr="00E273FC" w:rsidRDefault="003E5BF5" w:rsidP="00610F5F">
      <w:pPr>
        <w:pStyle w:val="Notenumberingabc"/>
        <w:numPr>
          <w:ilvl w:val="0"/>
          <w:numId w:val="28"/>
        </w:numPr>
        <w:spacing w:before="0" w:line="360" w:lineRule="auto"/>
        <w:ind w:left="340" w:hanging="227"/>
        <w:rPr>
          <w:rFonts w:ascii="Arial" w:hAnsi="Arial" w:cs="Arial"/>
          <w:sz w:val="24"/>
          <w:szCs w:val="24"/>
        </w:rPr>
      </w:pPr>
      <w:r w:rsidRPr="00E273FC">
        <w:rPr>
          <w:rFonts w:ascii="Arial" w:hAnsi="Arial" w:cs="Arial"/>
          <w:sz w:val="24"/>
          <w:szCs w:val="24"/>
        </w:rPr>
        <w:t>All figures reflect employment levels during the last full pay period of June.</w:t>
      </w:r>
    </w:p>
    <w:p w14:paraId="02F870E4" w14:textId="77777777" w:rsidR="003E5BF5" w:rsidRPr="00E273FC" w:rsidRDefault="003E5BF5" w:rsidP="00610F5F">
      <w:pPr>
        <w:pStyle w:val="Notenumberingabc"/>
        <w:numPr>
          <w:ilvl w:val="0"/>
          <w:numId w:val="28"/>
        </w:numPr>
        <w:spacing w:before="0" w:line="360" w:lineRule="auto"/>
        <w:ind w:left="340" w:hanging="227"/>
        <w:rPr>
          <w:rFonts w:ascii="Arial" w:hAnsi="Arial" w:cs="Arial"/>
          <w:sz w:val="24"/>
          <w:szCs w:val="24"/>
        </w:rPr>
      </w:pPr>
      <w:r w:rsidRPr="00E273FC">
        <w:rPr>
          <w:rFonts w:ascii="Arial" w:hAnsi="Arial" w:cs="Arial"/>
          <w:sz w:val="24"/>
          <w:szCs w:val="24"/>
        </w:rPr>
        <w:t>Excluded are employees on leave without pay or absent on secondment, external contractors/consultants, temporary employees employed by employment agencies and statutory appointees.</w:t>
      </w:r>
    </w:p>
    <w:p w14:paraId="100F9F04" w14:textId="77777777" w:rsidR="003E5BF5" w:rsidRPr="00E273FC" w:rsidRDefault="003E5BF5" w:rsidP="00610F5F">
      <w:pPr>
        <w:pStyle w:val="Notenumberingabc"/>
        <w:numPr>
          <w:ilvl w:val="0"/>
          <w:numId w:val="28"/>
        </w:numPr>
        <w:spacing w:before="0" w:line="360" w:lineRule="auto"/>
        <w:ind w:left="340" w:hanging="227"/>
        <w:rPr>
          <w:rFonts w:ascii="Arial" w:hAnsi="Arial" w:cs="Arial"/>
          <w:sz w:val="24"/>
          <w:szCs w:val="24"/>
        </w:rPr>
      </w:pPr>
      <w:r w:rsidRPr="00E273FC">
        <w:rPr>
          <w:rFonts w:ascii="Arial" w:hAnsi="Arial" w:cs="Arial"/>
          <w:sz w:val="24"/>
          <w:szCs w:val="24"/>
        </w:rPr>
        <w:t>The self-described category is not accurately reflective, as one of three payroll systems does not collect this information.</w:t>
      </w:r>
    </w:p>
    <w:p w14:paraId="42541B2C" w14:textId="77777777" w:rsidR="003E5BF5" w:rsidRPr="00E273FC" w:rsidRDefault="003E5BF5" w:rsidP="00610F5F">
      <w:pPr>
        <w:pStyle w:val="Notenumberingabc"/>
        <w:numPr>
          <w:ilvl w:val="0"/>
          <w:numId w:val="28"/>
        </w:numPr>
        <w:spacing w:before="0" w:line="360" w:lineRule="auto"/>
        <w:ind w:left="340" w:hanging="227"/>
        <w:rPr>
          <w:rFonts w:ascii="Arial" w:hAnsi="Arial" w:cs="Arial"/>
          <w:sz w:val="24"/>
          <w:szCs w:val="24"/>
        </w:rPr>
      </w:pPr>
      <w:r w:rsidRPr="00E273FC">
        <w:rPr>
          <w:rFonts w:ascii="Arial" w:hAnsi="Arial" w:cs="Arial"/>
          <w:sz w:val="24"/>
          <w:szCs w:val="24"/>
        </w:rPr>
        <w:t>Significant changes to staffing since June 2019 include:</w:t>
      </w:r>
    </w:p>
    <w:p w14:paraId="2FA332BD" w14:textId="77777777" w:rsidR="003E5BF5" w:rsidRPr="00E273FC" w:rsidRDefault="003E5BF5" w:rsidP="00610F5F">
      <w:pPr>
        <w:pStyle w:val="Notenumberingabc"/>
        <w:numPr>
          <w:ilvl w:val="0"/>
          <w:numId w:val="31"/>
        </w:numPr>
        <w:spacing w:before="0" w:line="360" w:lineRule="auto"/>
        <w:ind w:left="567" w:hanging="227"/>
        <w:rPr>
          <w:rFonts w:ascii="Arial" w:hAnsi="Arial" w:cs="Arial"/>
          <w:sz w:val="24"/>
          <w:szCs w:val="24"/>
        </w:rPr>
      </w:pPr>
      <w:r w:rsidRPr="00E273FC">
        <w:rPr>
          <w:rFonts w:ascii="Arial" w:hAnsi="Arial" w:cs="Arial"/>
          <w:sz w:val="24"/>
          <w:szCs w:val="24"/>
        </w:rPr>
        <w:t>Operational integration of 584 employees from the Public Transport Development Authority (PTV) and 1,982 employees from the Roads Corporation (VicRoads) into the Department of Transport effective 1 July 2019.</w:t>
      </w:r>
    </w:p>
    <w:p w14:paraId="22DE48A4" w14:textId="77777777" w:rsidR="003E5BF5" w:rsidRPr="00E273FC" w:rsidRDefault="003E5BF5" w:rsidP="00610F5F">
      <w:pPr>
        <w:pStyle w:val="Notenumberingabc"/>
        <w:numPr>
          <w:ilvl w:val="0"/>
          <w:numId w:val="31"/>
        </w:numPr>
        <w:spacing w:before="0" w:line="360" w:lineRule="auto"/>
        <w:ind w:left="567" w:hanging="227"/>
        <w:rPr>
          <w:rFonts w:ascii="Arial" w:hAnsi="Arial" w:cs="Arial"/>
          <w:sz w:val="24"/>
          <w:szCs w:val="24"/>
        </w:rPr>
      </w:pPr>
      <w:r w:rsidRPr="00E273FC">
        <w:rPr>
          <w:rFonts w:ascii="Arial" w:hAnsi="Arial" w:cs="Arial"/>
          <w:sz w:val="24"/>
          <w:szCs w:val="24"/>
        </w:rPr>
        <w:t xml:space="preserve">Inclusion of 842 staff employed by VicRoads in June 2020, in accordance with a determination by the Assistant Treasurer pursuant to section 53 of the </w:t>
      </w:r>
      <w:r w:rsidRPr="00E273FC">
        <w:rPr>
          <w:rFonts w:ascii="Arial" w:hAnsi="Arial" w:cs="Arial"/>
          <w:i/>
          <w:sz w:val="24"/>
          <w:szCs w:val="24"/>
        </w:rPr>
        <w:t>Financial Management Act 1994</w:t>
      </w:r>
      <w:r w:rsidRPr="00E273FC">
        <w:rPr>
          <w:rFonts w:ascii="Arial" w:hAnsi="Arial" w:cs="Arial"/>
          <w:sz w:val="24"/>
          <w:szCs w:val="24"/>
        </w:rPr>
        <w:t>, enabling consolidation of information provided by VicRoads into the Department of Transport’s annual report from the 2019-20 financial year.</w:t>
      </w:r>
    </w:p>
    <w:p w14:paraId="44957619" w14:textId="77777777" w:rsidR="003E5BF5" w:rsidRPr="00E273FC" w:rsidRDefault="003E5BF5" w:rsidP="00610F5F">
      <w:pPr>
        <w:pStyle w:val="Notenumberingabc"/>
        <w:numPr>
          <w:ilvl w:val="0"/>
          <w:numId w:val="31"/>
        </w:numPr>
        <w:spacing w:before="0" w:line="360" w:lineRule="auto"/>
        <w:ind w:left="567" w:hanging="227"/>
        <w:rPr>
          <w:rFonts w:ascii="Arial" w:hAnsi="Arial" w:cs="Arial"/>
          <w:sz w:val="24"/>
          <w:szCs w:val="24"/>
        </w:rPr>
      </w:pPr>
      <w:r w:rsidRPr="00E273FC">
        <w:rPr>
          <w:rFonts w:ascii="Arial" w:hAnsi="Arial" w:cs="Arial"/>
          <w:sz w:val="24"/>
          <w:szCs w:val="24"/>
        </w:rPr>
        <w:t>Transfer of 22 staff from the Department of Transport to Office of the National Rail Safety Regulator effective 1 October 2019.</w:t>
      </w:r>
    </w:p>
    <w:p w14:paraId="38529E2C" w14:textId="77777777" w:rsidR="003E5BF5" w:rsidRDefault="003E5BF5" w:rsidP="00DE1921">
      <w:pPr>
        <w:sectPr w:rsidR="003E5BF5" w:rsidSect="00742B7C">
          <w:type w:val="continuous"/>
          <w:pgSz w:w="11906" w:h="16838"/>
          <w:pgMar w:top="1440" w:right="1440" w:bottom="1440" w:left="1440" w:header="708" w:footer="708" w:gutter="0"/>
          <w:cols w:space="708"/>
          <w:docGrid w:linePitch="360"/>
        </w:sectPr>
      </w:pPr>
    </w:p>
    <w:p w14:paraId="548ACF21" w14:textId="77777777" w:rsidR="00836844" w:rsidRPr="00836844" w:rsidRDefault="003E5BF5" w:rsidP="00CF74EB">
      <w:pPr>
        <w:pStyle w:val="TableHeader"/>
      </w:pPr>
      <w:r w:rsidRPr="00E273FC">
        <w:lastRenderedPageBreak/>
        <w:t>Department of Transport Workforce Information</w:t>
      </w:r>
    </w:p>
    <w:tbl>
      <w:tblPr>
        <w:tblStyle w:val="TableGrid"/>
        <w:tblW w:w="9072" w:type="dxa"/>
        <w:tblLayout w:type="fixed"/>
        <w:tblLook w:val="04A0" w:firstRow="1" w:lastRow="0" w:firstColumn="1" w:lastColumn="0" w:noHBand="0" w:noVBand="1"/>
      </w:tblPr>
      <w:tblGrid>
        <w:gridCol w:w="1984"/>
        <w:gridCol w:w="993"/>
        <w:gridCol w:w="853"/>
        <w:gridCol w:w="238"/>
        <w:gridCol w:w="994"/>
        <w:gridCol w:w="1074"/>
        <w:gridCol w:w="852"/>
        <w:gridCol w:w="238"/>
        <w:gridCol w:w="994"/>
        <w:gridCol w:w="852"/>
      </w:tblGrid>
      <w:tr w:rsidR="003E5BF5" w:rsidRPr="00E273FC" w14:paraId="3DD4F347" w14:textId="77777777" w:rsidTr="00FE5165">
        <w:trPr>
          <w:trHeight w:hRule="exact" w:val="284"/>
        </w:trPr>
        <w:tc>
          <w:tcPr>
            <w:tcW w:w="1972" w:type="dxa"/>
            <w:tcMar>
              <w:left w:w="57" w:type="dxa"/>
              <w:right w:w="57" w:type="dxa"/>
            </w:tcMar>
            <w:vAlign w:val="center"/>
          </w:tcPr>
          <w:p w14:paraId="6C391A53" w14:textId="77777777" w:rsidR="003E5BF5" w:rsidRPr="00E273FC" w:rsidRDefault="003E5BF5" w:rsidP="00DE1921">
            <w:pPr>
              <w:pStyle w:val="TableTextLeftBold"/>
              <w:jc w:val="center"/>
              <w:rPr>
                <w:rFonts w:ascii="Arial" w:hAnsi="Arial" w:cs="Arial"/>
                <w:sz w:val="24"/>
                <w:szCs w:val="24"/>
              </w:rPr>
            </w:pPr>
          </w:p>
        </w:tc>
        <w:tc>
          <w:tcPr>
            <w:tcW w:w="7039" w:type="dxa"/>
            <w:gridSpan w:val="9"/>
            <w:vAlign w:val="center"/>
          </w:tcPr>
          <w:p w14:paraId="65B3CD39"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 June 2019</w:t>
            </w:r>
          </w:p>
        </w:tc>
      </w:tr>
      <w:tr w:rsidR="003E5BF5" w:rsidRPr="00E273FC" w14:paraId="5D1F11FF" w14:textId="77777777" w:rsidTr="00FE5165">
        <w:trPr>
          <w:trHeight w:hRule="exact" w:val="284"/>
        </w:trPr>
        <w:tc>
          <w:tcPr>
            <w:tcW w:w="1972" w:type="dxa"/>
            <w:tcMar>
              <w:left w:w="57" w:type="dxa"/>
              <w:right w:w="57" w:type="dxa"/>
            </w:tcMar>
            <w:vAlign w:val="center"/>
          </w:tcPr>
          <w:p w14:paraId="2D85B007" w14:textId="77777777" w:rsidR="003E5BF5" w:rsidRPr="00E273FC" w:rsidRDefault="003E5BF5" w:rsidP="00DE1921">
            <w:pPr>
              <w:pStyle w:val="TableTextLeftBold"/>
              <w:jc w:val="center"/>
              <w:rPr>
                <w:rFonts w:ascii="Arial" w:hAnsi="Arial" w:cs="Arial"/>
                <w:sz w:val="24"/>
                <w:szCs w:val="24"/>
              </w:rPr>
            </w:pPr>
          </w:p>
        </w:tc>
        <w:tc>
          <w:tcPr>
            <w:tcW w:w="1834" w:type="dxa"/>
            <w:gridSpan w:val="2"/>
            <w:vAlign w:val="center"/>
          </w:tcPr>
          <w:p w14:paraId="7CBED016"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All Employees</w:t>
            </w:r>
          </w:p>
        </w:tc>
        <w:tc>
          <w:tcPr>
            <w:tcW w:w="236" w:type="dxa"/>
            <w:shd w:val="clear" w:color="auto" w:fill="auto"/>
            <w:vAlign w:val="center"/>
          </w:tcPr>
          <w:p w14:paraId="3F41CA23" w14:textId="77777777" w:rsidR="003E5BF5" w:rsidRPr="00E273FC" w:rsidRDefault="003E5BF5" w:rsidP="00DE1921">
            <w:pPr>
              <w:pStyle w:val="TableTextRightBold"/>
              <w:jc w:val="center"/>
              <w:rPr>
                <w:rFonts w:ascii="Arial" w:hAnsi="Arial" w:cs="Arial"/>
                <w:sz w:val="24"/>
                <w:szCs w:val="24"/>
              </w:rPr>
            </w:pPr>
          </w:p>
        </w:tc>
        <w:tc>
          <w:tcPr>
            <w:tcW w:w="2900" w:type="dxa"/>
            <w:gridSpan w:val="3"/>
            <w:vAlign w:val="center"/>
          </w:tcPr>
          <w:p w14:paraId="59F47B27"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Ongoing</w:t>
            </w:r>
          </w:p>
        </w:tc>
        <w:tc>
          <w:tcPr>
            <w:tcW w:w="236" w:type="dxa"/>
            <w:vAlign w:val="center"/>
          </w:tcPr>
          <w:p w14:paraId="13256A3A" w14:textId="77777777" w:rsidR="003E5BF5" w:rsidRPr="00E273FC" w:rsidRDefault="003E5BF5" w:rsidP="00DE1921">
            <w:pPr>
              <w:pStyle w:val="TableTextRightBold"/>
              <w:jc w:val="center"/>
              <w:rPr>
                <w:rFonts w:ascii="Arial" w:hAnsi="Arial" w:cs="Arial"/>
                <w:sz w:val="24"/>
                <w:szCs w:val="24"/>
              </w:rPr>
            </w:pPr>
          </w:p>
        </w:tc>
        <w:tc>
          <w:tcPr>
            <w:tcW w:w="1833" w:type="dxa"/>
            <w:gridSpan w:val="2"/>
            <w:shd w:val="clear" w:color="auto" w:fill="auto"/>
            <w:tcMar>
              <w:left w:w="0" w:type="dxa"/>
              <w:right w:w="0" w:type="dxa"/>
            </w:tcMar>
            <w:vAlign w:val="center"/>
          </w:tcPr>
          <w:p w14:paraId="1D68EB7E"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Fixed Term &amp; Casual</w:t>
            </w:r>
          </w:p>
        </w:tc>
      </w:tr>
      <w:tr w:rsidR="003E5BF5" w:rsidRPr="00E273FC" w14:paraId="29EB3B8F" w14:textId="77777777" w:rsidTr="00FE5165">
        <w:trPr>
          <w:trHeight w:hRule="exact" w:val="284"/>
        </w:trPr>
        <w:tc>
          <w:tcPr>
            <w:tcW w:w="1972" w:type="dxa"/>
            <w:tcMar>
              <w:left w:w="57" w:type="dxa"/>
              <w:right w:w="57" w:type="dxa"/>
            </w:tcMar>
            <w:vAlign w:val="center"/>
          </w:tcPr>
          <w:p w14:paraId="0C023995" w14:textId="77777777" w:rsidR="003E5BF5" w:rsidRPr="00E273FC" w:rsidRDefault="003E5BF5" w:rsidP="00DE1921">
            <w:pPr>
              <w:pStyle w:val="TableTextLeftBold"/>
              <w:jc w:val="right"/>
              <w:rPr>
                <w:rFonts w:ascii="Arial" w:hAnsi="Arial" w:cs="Arial"/>
                <w:sz w:val="24"/>
                <w:szCs w:val="24"/>
              </w:rPr>
            </w:pPr>
          </w:p>
        </w:tc>
        <w:tc>
          <w:tcPr>
            <w:tcW w:w="987" w:type="dxa"/>
            <w:vAlign w:val="center"/>
          </w:tcPr>
          <w:p w14:paraId="4C67C9B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Number*</w:t>
            </w:r>
          </w:p>
        </w:tc>
        <w:tc>
          <w:tcPr>
            <w:tcW w:w="847" w:type="dxa"/>
            <w:vAlign w:val="center"/>
          </w:tcPr>
          <w:p w14:paraId="44B26159"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FTE</w:t>
            </w:r>
          </w:p>
        </w:tc>
        <w:tc>
          <w:tcPr>
            <w:tcW w:w="236" w:type="dxa"/>
            <w:shd w:val="clear" w:color="auto" w:fill="auto"/>
            <w:vAlign w:val="center"/>
          </w:tcPr>
          <w:p w14:paraId="0A4D7471" w14:textId="77777777" w:rsidR="003E5BF5" w:rsidRPr="00E273FC" w:rsidRDefault="003E5BF5" w:rsidP="00DE1921">
            <w:pPr>
              <w:pStyle w:val="TableTextRightBold"/>
              <w:rPr>
                <w:rFonts w:ascii="Arial" w:hAnsi="Arial" w:cs="Arial"/>
                <w:sz w:val="24"/>
                <w:szCs w:val="24"/>
              </w:rPr>
            </w:pPr>
          </w:p>
        </w:tc>
        <w:tc>
          <w:tcPr>
            <w:tcW w:w="987" w:type="dxa"/>
            <w:vAlign w:val="center"/>
          </w:tcPr>
          <w:p w14:paraId="5878D61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Full Time*</w:t>
            </w:r>
          </w:p>
        </w:tc>
        <w:tc>
          <w:tcPr>
            <w:tcW w:w="1067" w:type="dxa"/>
            <w:vAlign w:val="center"/>
          </w:tcPr>
          <w:p w14:paraId="2EBADFD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Part Time*</w:t>
            </w:r>
          </w:p>
        </w:tc>
        <w:tc>
          <w:tcPr>
            <w:tcW w:w="846" w:type="dxa"/>
            <w:shd w:val="clear" w:color="auto" w:fill="auto"/>
            <w:tcMar>
              <w:left w:w="57" w:type="dxa"/>
              <w:right w:w="57" w:type="dxa"/>
            </w:tcMar>
            <w:vAlign w:val="center"/>
          </w:tcPr>
          <w:p w14:paraId="5229212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FTE</w:t>
            </w:r>
          </w:p>
        </w:tc>
        <w:tc>
          <w:tcPr>
            <w:tcW w:w="236" w:type="dxa"/>
            <w:vAlign w:val="center"/>
          </w:tcPr>
          <w:p w14:paraId="0EE8BE6A" w14:textId="77777777" w:rsidR="003E5BF5" w:rsidRPr="00E273FC" w:rsidRDefault="003E5BF5" w:rsidP="00DE1921">
            <w:pPr>
              <w:pStyle w:val="TableTextRightBold"/>
              <w:rPr>
                <w:rFonts w:ascii="Arial" w:hAnsi="Arial" w:cs="Arial"/>
                <w:sz w:val="24"/>
                <w:szCs w:val="24"/>
              </w:rPr>
            </w:pPr>
          </w:p>
        </w:tc>
        <w:tc>
          <w:tcPr>
            <w:tcW w:w="987" w:type="dxa"/>
            <w:shd w:val="clear" w:color="auto" w:fill="auto"/>
            <w:vAlign w:val="center"/>
          </w:tcPr>
          <w:p w14:paraId="11DDB0A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Number*</w:t>
            </w:r>
          </w:p>
        </w:tc>
        <w:tc>
          <w:tcPr>
            <w:tcW w:w="846" w:type="dxa"/>
            <w:shd w:val="clear" w:color="auto" w:fill="auto"/>
            <w:tcMar>
              <w:left w:w="57" w:type="dxa"/>
              <w:right w:w="57" w:type="dxa"/>
            </w:tcMar>
            <w:vAlign w:val="center"/>
          </w:tcPr>
          <w:p w14:paraId="00CF408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FTE</w:t>
            </w:r>
          </w:p>
        </w:tc>
      </w:tr>
      <w:tr w:rsidR="003E5BF5" w:rsidRPr="00E273FC" w14:paraId="18315D07" w14:textId="77777777" w:rsidTr="00FE5165">
        <w:trPr>
          <w:trHeight w:hRule="exact" w:val="284"/>
        </w:trPr>
        <w:tc>
          <w:tcPr>
            <w:tcW w:w="1972" w:type="dxa"/>
            <w:tcMar>
              <w:left w:w="57" w:type="dxa"/>
              <w:right w:w="57" w:type="dxa"/>
            </w:tcMar>
            <w:vAlign w:val="center"/>
          </w:tcPr>
          <w:p w14:paraId="40589F7D"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Gender</w:t>
            </w:r>
          </w:p>
        </w:tc>
        <w:tc>
          <w:tcPr>
            <w:tcW w:w="987" w:type="dxa"/>
            <w:vAlign w:val="center"/>
          </w:tcPr>
          <w:p w14:paraId="22EB48C7" w14:textId="77777777" w:rsidR="003E5BF5" w:rsidRPr="00E273FC" w:rsidRDefault="003E5BF5" w:rsidP="00DE1921">
            <w:pPr>
              <w:pStyle w:val="TableTextRightBold"/>
              <w:rPr>
                <w:rFonts w:ascii="Arial" w:hAnsi="Arial" w:cs="Arial"/>
                <w:sz w:val="24"/>
                <w:szCs w:val="24"/>
              </w:rPr>
            </w:pPr>
          </w:p>
        </w:tc>
        <w:tc>
          <w:tcPr>
            <w:tcW w:w="847" w:type="dxa"/>
            <w:vAlign w:val="center"/>
          </w:tcPr>
          <w:p w14:paraId="3753CBAA" w14:textId="77777777" w:rsidR="003E5BF5" w:rsidRPr="00E273FC" w:rsidRDefault="003E5BF5" w:rsidP="00DE1921">
            <w:pPr>
              <w:pStyle w:val="TableTextRightBold"/>
              <w:rPr>
                <w:rFonts w:ascii="Arial" w:hAnsi="Arial" w:cs="Arial"/>
                <w:sz w:val="24"/>
                <w:szCs w:val="24"/>
              </w:rPr>
            </w:pPr>
          </w:p>
        </w:tc>
        <w:tc>
          <w:tcPr>
            <w:tcW w:w="236" w:type="dxa"/>
            <w:shd w:val="clear" w:color="auto" w:fill="auto"/>
            <w:vAlign w:val="center"/>
          </w:tcPr>
          <w:p w14:paraId="24B91CA4" w14:textId="77777777" w:rsidR="003E5BF5" w:rsidRPr="00E273FC" w:rsidRDefault="003E5BF5" w:rsidP="00DE1921">
            <w:pPr>
              <w:pStyle w:val="TableTextRightBold"/>
              <w:rPr>
                <w:rFonts w:ascii="Arial" w:hAnsi="Arial" w:cs="Arial"/>
                <w:sz w:val="24"/>
                <w:szCs w:val="24"/>
              </w:rPr>
            </w:pPr>
          </w:p>
        </w:tc>
        <w:tc>
          <w:tcPr>
            <w:tcW w:w="987" w:type="dxa"/>
            <w:vAlign w:val="center"/>
          </w:tcPr>
          <w:p w14:paraId="6C8C77EC" w14:textId="77777777" w:rsidR="003E5BF5" w:rsidRPr="00E273FC" w:rsidRDefault="003E5BF5" w:rsidP="00DE1921">
            <w:pPr>
              <w:pStyle w:val="TableTextRightBold"/>
              <w:rPr>
                <w:rFonts w:ascii="Arial" w:hAnsi="Arial" w:cs="Arial"/>
                <w:sz w:val="24"/>
                <w:szCs w:val="24"/>
              </w:rPr>
            </w:pPr>
          </w:p>
        </w:tc>
        <w:tc>
          <w:tcPr>
            <w:tcW w:w="1067" w:type="dxa"/>
            <w:vAlign w:val="center"/>
          </w:tcPr>
          <w:p w14:paraId="63E1895A" w14:textId="77777777" w:rsidR="003E5BF5" w:rsidRPr="00E273FC" w:rsidRDefault="003E5BF5" w:rsidP="00DE1921">
            <w:pPr>
              <w:pStyle w:val="TableTextRightBold"/>
              <w:rPr>
                <w:rFonts w:ascii="Arial" w:hAnsi="Arial" w:cs="Arial"/>
                <w:sz w:val="24"/>
                <w:szCs w:val="24"/>
              </w:rPr>
            </w:pPr>
          </w:p>
        </w:tc>
        <w:tc>
          <w:tcPr>
            <w:tcW w:w="846" w:type="dxa"/>
            <w:shd w:val="clear" w:color="auto" w:fill="auto"/>
            <w:tcMar>
              <w:left w:w="57" w:type="dxa"/>
              <w:right w:w="57" w:type="dxa"/>
            </w:tcMar>
            <w:vAlign w:val="center"/>
          </w:tcPr>
          <w:p w14:paraId="5E5F1BD5" w14:textId="77777777" w:rsidR="003E5BF5" w:rsidRPr="00E273FC" w:rsidRDefault="003E5BF5" w:rsidP="00DE1921">
            <w:pPr>
              <w:pStyle w:val="TableTextRightBold"/>
              <w:rPr>
                <w:rFonts w:ascii="Arial" w:hAnsi="Arial" w:cs="Arial"/>
                <w:sz w:val="24"/>
                <w:szCs w:val="24"/>
              </w:rPr>
            </w:pPr>
          </w:p>
        </w:tc>
        <w:tc>
          <w:tcPr>
            <w:tcW w:w="236" w:type="dxa"/>
            <w:vAlign w:val="center"/>
          </w:tcPr>
          <w:p w14:paraId="01BBA7EE" w14:textId="77777777" w:rsidR="003E5BF5" w:rsidRPr="00E273FC" w:rsidRDefault="003E5BF5" w:rsidP="00DE1921">
            <w:pPr>
              <w:pStyle w:val="TableTextRightBold"/>
              <w:rPr>
                <w:rFonts w:ascii="Arial" w:hAnsi="Arial" w:cs="Arial"/>
                <w:sz w:val="24"/>
                <w:szCs w:val="24"/>
              </w:rPr>
            </w:pPr>
          </w:p>
        </w:tc>
        <w:tc>
          <w:tcPr>
            <w:tcW w:w="987" w:type="dxa"/>
            <w:shd w:val="clear" w:color="auto" w:fill="auto"/>
            <w:vAlign w:val="center"/>
          </w:tcPr>
          <w:p w14:paraId="1725F801" w14:textId="77777777" w:rsidR="003E5BF5" w:rsidRPr="00E273FC" w:rsidRDefault="003E5BF5" w:rsidP="00DE1921">
            <w:pPr>
              <w:pStyle w:val="TableTextRightBold"/>
              <w:rPr>
                <w:rFonts w:ascii="Arial" w:hAnsi="Arial" w:cs="Arial"/>
                <w:sz w:val="24"/>
                <w:szCs w:val="24"/>
              </w:rPr>
            </w:pPr>
          </w:p>
        </w:tc>
        <w:tc>
          <w:tcPr>
            <w:tcW w:w="846" w:type="dxa"/>
            <w:shd w:val="clear" w:color="auto" w:fill="auto"/>
            <w:tcMar>
              <w:left w:w="57" w:type="dxa"/>
              <w:right w:w="57" w:type="dxa"/>
            </w:tcMar>
            <w:vAlign w:val="center"/>
          </w:tcPr>
          <w:p w14:paraId="26A80E17" w14:textId="77777777" w:rsidR="003E5BF5" w:rsidRPr="00E273FC" w:rsidRDefault="003E5BF5" w:rsidP="00DE1921">
            <w:pPr>
              <w:pStyle w:val="TableTextRightBold"/>
              <w:rPr>
                <w:rFonts w:ascii="Arial" w:hAnsi="Arial" w:cs="Arial"/>
                <w:sz w:val="24"/>
                <w:szCs w:val="24"/>
              </w:rPr>
            </w:pPr>
          </w:p>
        </w:tc>
      </w:tr>
      <w:tr w:rsidR="003E5BF5" w:rsidRPr="00E273FC" w14:paraId="1A602357" w14:textId="77777777" w:rsidTr="00FE5165">
        <w:trPr>
          <w:trHeight w:hRule="exact" w:val="284"/>
        </w:trPr>
        <w:tc>
          <w:tcPr>
            <w:tcW w:w="1972" w:type="dxa"/>
            <w:tcMar>
              <w:left w:w="57" w:type="dxa"/>
              <w:right w:w="57" w:type="dxa"/>
            </w:tcMar>
            <w:vAlign w:val="center"/>
          </w:tcPr>
          <w:p w14:paraId="38CA92C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Woman</w:t>
            </w:r>
          </w:p>
        </w:tc>
        <w:tc>
          <w:tcPr>
            <w:tcW w:w="987" w:type="dxa"/>
            <w:vAlign w:val="center"/>
          </w:tcPr>
          <w:p w14:paraId="4E6D05A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332</w:t>
            </w:r>
          </w:p>
        </w:tc>
        <w:tc>
          <w:tcPr>
            <w:tcW w:w="847" w:type="dxa"/>
            <w:vAlign w:val="center"/>
          </w:tcPr>
          <w:p w14:paraId="477F989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313.3</w:t>
            </w:r>
          </w:p>
        </w:tc>
        <w:tc>
          <w:tcPr>
            <w:tcW w:w="236" w:type="dxa"/>
            <w:shd w:val="clear" w:color="auto" w:fill="auto"/>
            <w:vAlign w:val="center"/>
          </w:tcPr>
          <w:p w14:paraId="050D8B10" w14:textId="77777777" w:rsidR="003E5BF5" w:rsidRPr="00E273FC" w:rsidRDefault="003E5BF5" w:rsidP="00DE1921">
            <w:pPr>
              <w:pStyle w:val="TableTextRight"/>
              <w:rPr>
                <w:rFonts w:ascii="Arial" w:hAnsi="Arial" w:cs="Arial"/>
                <w:sz w:val="24"/>
                <w:szCs w:val="24"/>
              </w:rPr>
            </w:pPr>
          </w:p>
        </w:tc>
        <w:tc>
          <w:tcPr>
            <w:tcW w:w="987" w:type="dxa"/>
            <w:vAlign w:val="center"/>
          </w:tcPr>
          <w:p w14:paraId="739C8CB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223</w:t>
            </w:r>
          </w:p>
        </w:tc>
        <w:tc>
          <w:tcPr>
            <w:tcW w:w="1067" w:type="dxa"/>
            <w:vAlign w:val="center"/>
          </w:tcPr>
          <w:p w14:paraId="57D0747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59</w:t>
            </w:r>
          </w:p>
        </w:tc>
        <w:tc>
          <w:tcPr>
            <w:tcW w:w="846" w:type="dxa"/>
            <w:shd w:val="clear" w:color="auto" w:fill="auto"/>
            <w:tcMar>
              <w:left w:w="57" w:type="dxa"/>
              <w:right w:w="57" w:type="dxa"/>
            </w:tcMar>
            <w:vAlign w:val="center"/>
          </w:tcPr>
          <w:p w14:paraId="73110DC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266.9</w:t>
            </w:r>
          </w:p>
        </w:tc>
        <w:tc>
          <w:tcPr>
            <w:tcW w:w="236" w:type="dxa"/>
            <w:vAlign w:val="center"/>
          </w:tcPr>
          <w:p w14:paraId="704BC5D1"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5F0DA7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50</w:t>
            </w:r>
          </w:p>
        </w:tc>
        <w:tc>
          <w:tcPr>
            <w:tcW w:w="846" w:type="dxa"/>
            <w:shd w:val="clear" w:color="auto" w:fill="auto"/>
            <w:tcMar>
              <w:left w:w="57" w:type="dxa"/>
              <w:right w:w="57" w:type="dxa"/>
            </w:tcMar>
            <w:vAlign w:val="center"/>
          </w:tcPr>
          <w:p w14:paraId="23F8C9B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46.4</w:t>
            </w:r>
          </w:p>
        </w:tc>
      </w:tr>
      <w:tr w:rsidR="003E5BF5" w:rsidRPr="00E273FC" w14:paraId="4B6231E3" w14:textId="77777777" w:rsidTr="00FE5165">
        <w:trPr>
          <w:trHeight w:hRule="exact" w:val="284"/>
        </w:trPr>
        <w:tc>
          <w:tcPr>
            <w:tcW w:w="1972" w:type="dxa"/>
            <w:tcMar>
              <w:left w:w="57" w:type="dxa"/>
              <w:right w:w="57" w:type="dxa"/>
            </w:tcMar>
            <w:vAlign w:val="center"/>
          </w:tcPr>
          <w:p w14:paraId="7538859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Man</w:t>
            </w:r>
          </w:p>
        </w:tc>
        <w:tc>
          <w:tcPr>
            <w:tcW w:w="987" w:type="dxa"/>
            <w:vAlign w:val="center"/>
          </w:tcPr>
          <w:p w14:paraId="146ABD0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353</w:t>
            </w:r>
          </w:p>
        </w:tc>
        <w:tc>
          <w:tcPr>
            <w:tcW w:w="847" w:type="dxa"/>
            <w:vAlign w:val="center"/>
          </w:tcPr>
          <w:p w14:paraId="5DE2FCC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348.2</w:t>
            </w:r>
          </w:p>
        </w:tc>
        <w:tc>
          <w:tcPr>
            <w:tcW w:w="236" w:type="dxa"/>
            <w:shd w:val="clear" w:color="auto" w:fill="auto"/>
            <w:vAlign w:val="center"/>
          </w:tcPr>
          <w:p w14:paraId="68083775" w14:textId="77777777" w:rsidR="003E5BF5" w:rsidRPr="00E273FC" w:rsidRDefault="003E5BF5" w:rsidP="00DE1921">
            <w:pPr>
              <w:pStyle w:val="TableTextRight"/>
              <w:rPr>
                <w:rFonts w:ascii="Arial" w:hAnsi="Arial" w:cs="Arial"/>
                <w:sz w:val="24"/>
                <w:szCs w:val="24"/>
              </w:rPr>
            </w:pPr>
          </w:p>
        </w:tc>
        <w:tc>
          <w:tcPr>
            <w:tcW w:w="987" w:type="dxa"/>
            <w:vAlign w:val="center"/>
          </w:tcPr>
          <w:p w14:paraId="1E44633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297</w:t>
            </w:r>
          </w:p>
        </w:tc>
        <w:tc>
          <w:tcPr>
            <w:tcW w:w="1067" w:type="dxa"/>
            <w:vAlign w:val="center"/>
          </w:tcPr>
          <w:p w14:paraId="409E008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16</w:t>
            </w:r>
          </w:p>
        </w:tc>
        <w:tc>
          <w:tcPr>
            <w:tcW w:w="846" w:type="dxa"/>
            <w:shd w:val="clear" w:color="auto" w:fill="auto"/>
            <w:tcMar>
              <w:left w:w="57" w:type="dxa"/>
              <w:right w:w="57" w:type="dxa"/>
            </w:tcMar>
            <w:vAlign w:val="center"/>
          </w:tcPr>
          <w:p w14:paraId="0888127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309.8</w:t>
            </w:r>
          </w:p>
        </w:tc>
        <w:tc>
          <w:tcPr>
            <w:tcW w:w="236" w:type="dxa"/>
            <w:vAlign w:val="center"/>
          </w:tcPr>
          <w:p w14:paraId="67383E22"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73B48A5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40</w:t>
            </w:r>
          </w:p>
        </w:tc>
        <w:tc>
          <w:tcPr>
            <w:tcW w:w="846" w:type="dxa"/>
            <w:shd w:val="clear" w:color="auto" w:fill="auto"/>
            <w:tcMar>
              <w:left w:w="57" w:type="dxa"/>
              <w:right w:w="57" w:type="dxa"/>
            </w:tcMar>
            <w:vAlign w:val="center"/>
          </w:tcPr>
          <w:p w14:paraId="702B622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38.4</w:t>
            </w:r>
          </w:p>
        </w:tc>
      </w:tr>
      <w:tr w:rsidR="003E5BF5" w:rsidRPr="00E273FC" w14:paraId="48363D4F" w14:textId="77777777" w:rsidTr="00FE5165">
        <w:trPr>
          <w:trHeight w:hRule="exact" w:val="284"/>
        </w:trPr>
        <w:tc>
          <w:tcPr>
            <w:tcW w:w="1972" w:type="dxa"/>
            <w:tcMar>
              <w:left w:w="57" w:type="dxa"/>
              <w:right w:w="57" w:type="dxa"/>
            </w:tcMar>
            <w:vAlign w:val="center"/>
          </w:tcPr>
          <w:p w14:paraId="1120ADB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Self-described</w:t>
            </w:r>
          </w:p>
        </w:tc>
        <w:tc>
          <w:tcPr>
            <w:tcW w:w="987" w:type="dxa"/>
            <w:vAlign w:val="center"/>
          </w:tcPr>
          <w:p w14:paraId="2DB49CD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7" w:type="dxa"/>
            <w:vAlign w:val="center"/>
          </w:tcPr>
          <w:p w14:paraId="04F2DF9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236" w:type="dxa"/>
            <w:shd w:val="clear" w:color="auto" w:fill="auto"/>
            <w:vAlign w:val="center"/>
          </w:tcPr>
          <w:p w14:paraId="74798A9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87" w:type="dxa"/>
            <w:vAlign w:val="center"/>
          </w:tcPr>
          <w:p w14:paraId="75C7772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067" w:type="dxa"/>
            <w:vAlign w:val="center"/>
          </w:tcPr>
          <w:p w14:paraId="0034314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6D5407C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236" w:type="dxa"/>
            <w:vAlign w:val="center"/>
          </w:tcPr>
          <w:p w14:paraId="4BBA341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87" w:type="dxa"/>
            <w:shd w:val="clear" w:color="auto" w:fill="auto"/>
            <w:vAlign w:val="center"/>
          </w:tcPr>
          <w:p w14:paraId="416DD27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2D30E7B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1362BCF8" w14:textId="77777777" w:rsidTr="00FE5165">
        <w:trPr>
          <w:trHeight w:hRule="exact" w:val="284"/>
        </w:trPr>
        <w:tc>
          <w:tcPr>
            <w:tcW w:w="1972" w:type="dxa"/>
            <w:tcMar>
              <w:left w:w="57" w:type="dxa"/>
              <w:right w:w="57" w:type="dxa"/>
            </w:tcMar>
            <w:vAlign w:val="center"/>
          </w:tcPr>
          <w:p w14:paraId="63DAD3C4"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Age</w:t>
            </w:r>
          </w:p>
        </w:tc>
        <w:tc>
          <w:tcPr>
            <w:tcW w:w="987" w:type="dxa"/>
            <w:vAlign w:val="center"/>
          </w:tcPr>
          <w:p w14:paraId="5CFAFEC3" w14:textId="77777777" w:rsidR="003E5BF5" w:rsidRPr="00E273FC" w:rsidRDefault="003E5BF5" w:rsidP="00DE1921">
            <w:pPr>
              <w:pStyle w:val="TableTextRight"/>
              <w:rPr>
                <w:rFonts w:ascii="Arial" w:hAnsi="Arial" w:cs="Arial"/>
                <w:sz w:val="24"/>
                <w:szCs w:val="24"/>
              </w:rPr>
            </w:pPr>
          </w:p>
        </w:tc>
        <w:tc>
          <w:tcPr>
            <w:tcW w:w="847" w:type="dxa"/>
            <w:vAlign w:val="center"/>
          </w:tcPr>
          <w:p w14:paraId="240C62A5" w14:textId="77777777" w:rsidR="003E5BF5" w:rsidRPr="00E273FC" w:rsidRDefault="003E5BF5" w:rsidP="00DE1921">
            <w:pPr>
              <w:pStyle w:val="TableTextRight"/>
              <w:rPr>
                <w:rFonts w:ascii="Arial" w:hAnsi="Arial" w:cs="Arial"/>
                <w:sz w:val="24"/>
                <w:szCs w:val="24"/>
              </w:rPr>
            </w:pPr>
          </w:p>
        </w:tc>
        <w:tc>
          <w:tcPr>
            <w:tcW w:w="236" w:type="dxa"/>
            <w:shd w:val="clear" w:color="auto" w:fill="auto"/>
            <w:vAlign w:val="center"/>
          </w:tcPr>
          <w:p w14:paraId="0A312BB0" w14:textId="77777777" w:rsidR="003E5BF5" w:rsidRPr="00E273FC" w:rsidRDefault="003E5BF5" w:rsidP="00DE1921">
            <w:pPr>
              <w:pStyle w:val="TableTextRight"/>
              <w:rPr>
                <w:rFonts w:ascii="Arial" w:hAnsi="Arial" w:cs="Arial"/>
                <w:sz w:val="24"/>
                <w:szCs w:val="24"/>
              </w:rPr>
            </w:pPr>
          </w:p>
        </w:tc>
        <w:tc>
          <w:tcPr>
            <w:tcW w:w="987" w:type="dxa"/>
            <w:vAlign w:val="center"/>
          </w:tcPr>
          <w:p w14:paraId="1B65A6F4" w14:textId="77777777" w:rsidR="003E5BF5" w:rsidRPr="00E273FC" w:rsidRDefault="003E5BF5" w:rsidP="00DE1921">
            <w:pPr>
              <w:pStyle w:val="TableTextRight"/>
              <w:rPr>
                <w:rFonts w:ascii="Arial" w:hAnsi="Arial" w:cs="Arial"/>
                <w:sz w:val="24"/>
                <w:szCs w:val="24"/>
              </w:rPr>
            </w:pPr>
          </w:p>
        </w:tc>
        <w:tc>
          <w:tcPr>
            <w:tcW w:w="1067" w:type="dxa"/>
            <w:vAlign w:val="center"/>
          </w:tcPr>
          <w:p w14:paraId="25C291F8" w14:textId="77777777" w:rsidR="003E5BF5" w:rsidRPr="00E273FC" w:rsidRDefault="003E5BF5" w:rsidP="00DE1921">
            <w:pPr>
              <w:pStyle w:val="TableTextRight"/>
              <w:rPr>
                <w:rFonts w:ascii="Arial" w:hAnsi="Arial" w:cs="Arial"/>
                <w:sz w:val="24"/>
                <w:szCs w:val="24"/>
              </w:rPr>
            </w:pPr>
          </w:p>
        </w:tc>
        <w:tc>
          <w:tcPr>
            <w:tcW w:w="846" w:type="dxa"/>
            <w:shd w:val="clear" w:color="auto" w:fill="auto"/>
            <w:tcMar>
              <w:left w:w="57" w:type="dxa"/>
              <w:right w:w="57" w:type="dxa"/>
            </w:tcMar>
            <w:vAlign w:val="center"/>
          </w:tcPr>
          <w:p w14:paraId="34669AD4" w14:textId="77777777" w:rsidR="003E5BF5" w:rsidRPr="00E273FC" w:rsidRDefault="003E5BF5" w:rsidP="00DE1921">
            <w:pPr>
              <w:pStyle w:val="TableTextRight"/>
              <w:rPr>
                <w:rFonts w:ascii="Arial" w:hAnsi="Arial" w:cs="Arial"/>
                <w:sz w:val="24"/>
                <w:szCs w:val="24"/>
              </w:rPr>
            </w:pPr>
          </w:p>
        </w:tc>
        <w:tc>
          <w:tcPr>
            <w:tcW w:w="236" w:type="dxa"/>
            <w:vAlign w:val="center"/>
          </w:tcPr>
          <w:p w14:paraId="5F4E98A5"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6542E5C7" w14:textId="77777777" w:rsidR="003E5BF5" w:rsidRPr="00E273FC" w:rsidRDefault="003E5BF5" w:rsidP="00DE1921">
            <w:pPr>
              <w:pStyle w:val="TableTextRight"/>
              <w:rPr>
                <w:rFonts w:ascii="Arial" w:hAnsi="Arial" w:cs="Arial"/>
                <w:sz w:val="24"/>
                <w:szCs w:val="24"/>
              </w:rPr>
            </w:pPr>
          </w:p>
        </w:tc>
        <w:tc>
          <w:tcPr>
            <w:tcW w:w="846" w:type="dxa"/>
            <w:shd w:val="clear" w:color="auto" w:fill="auto"/>
            <w:tcMar>
              <w:left w:w="57" w:type="dxa"/>
              <w:right w:w="57" w:type="dxa"/>
            </w:tcMar>
            <w:vAlign w:val="center"/>
          </w:tcPr>
          <w:p w14:paraId="5275FC74" w14:textId="77777777" w:rsidR="003E5BF5" w:rsidRPr="00E273FC" w:rsidRDefault="003E5BF5" w:rsidP="00DE1921">
            <w:pPr>
              <w:pStyle w:val="TableTextRight"/>
              <w:rPr>
                <w:rFonts w:ascii="Arial" w:hAnsi="Arial" w:cs="Arial"/>
                <w:sz w:val="24"/>
                <w:szCs w:val="24"/>
              </w:rPr>
            </w:pPr>
          </w:p>
        </w:tc>
      </w:tr>
      <w:tr w:rsidR="003E5BF5" w:rsidRPr="00E273FC" w14:paraId="41196106" w14:textId="77777777" w:rsidTr="00FE5165">
        <w:trPr>
          <w:trHeight w:hRule="exact" w:val="284"/>
        </w:trPr>
        <w:tc>
          <w:tcPr>
            <w:tcW w:w="1972" w:type="dxa"/>
            <w:tcMar>
              <w:left w:w="57" w:type="dxa"/>
              <w:right w:w="57" w:type="dxa"/>
            </w:tcMar>
            <w:vAlign w:val="center"/>
          </w:tcPr>
          <w:p w14:paraId="4DF82CD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15-24</w:t>
            </w:r>
          </w:p>
        </w:tc>
        <w:tc>
          <w:tcPr>
            <w:tcW w:w="987" w:type="dxa"/>
            <w:vAlign w:val="center"/>
          </w:tcPr>
          <w:p w14:paraId="44DE120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w:t>
            </w:r>
          </w:p>
        </w:tc>
        <w:tc>
          <w:tcPr>
            <w:tcW w:w="847" w:type="dxa"/>
            <w:vAlign w:val="center"/>
          </w:tcPr>
          <w:p w14:paraId="16662DB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12.0</w:t>
            </w:r>
          </w:p>
        </w:tc>
        <w:tc>
          <w:tcPr>
            <w:tcW w:w="236" w:type="dxa"/>
            <w:shd w:val="clear" w:color="auto" w:fill="auto"/>
            <w:vAlign w:val="center"/>
          </w:tcPr>
          <w:p w14:paraId="68F3E45F" w14:textId="77777777" w:rsidR="003E5BF5" w:rsidRPr="00E273FC" w:rsidRDefault="003E5BF5" w:rsidP="00DE1921">
            <w:pPr>
              <w:pStyle w:val="TableTextRight"/>
              <w:rPr>
                <w:rFonts w:ascii="Arial" w:hAnsi="Arial" w:cs="Arial"/>
                <w:sz w:val="24"/>
                <w:szCs w:val="24"/>
              </w:rPr>
            </w:pPr>
          </w:p>
        </w:tc>
        <w:tc>
          <w:tcPr>
            <w:tcW w:w="987" w:type="dxa"/>
            <w:vAlign w:val="center"/>
          </w:tcPr>
          <w:p w14:paraId="6F8D012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w:t>
            </w:r>
          </w:p>
        </w:tc>
        <w:tc>
          <w:tcPr>
            <w:tcW w:w="1067" w:type="dxa"/>
            <w:vAlign w:val="center"/>
          </w:tcPr>
          <w:p w14:paraId="0F71290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0340BE7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9.0</w:t>
            </w:r>
          </w:p>
        </w:tc>
        <w:tc>
          <w:tcPr>
            <w:tcW w:w="236" w:type="dxa"/>
            <w:vAlign w:val="center"/>
          </w:tcPr>
          <w:p w14:paraId="65D71CBD"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08766C2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w:t>
            </w:r>
          </w:p>
        </w:tc>
        <w:tc>
          <w:tcPr>
            <w:tcW w:w="846" w:type="dxa"/>
            <w:shd w:val="clear" w:color="auto" w:fill="auto"/>
            <w:tcMar>
              <w:left w:w="57" w:type="dxa"/>
              <w:right w:w="57" w:type="dxa"/>
            </w:tcMar>
            <w:vAlign w:val="center"/>
          </w:tcPr>
          <w:p w14:paraId="421F2D4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3.0</w:t>
            </w:r>
          </w:p>
        </w:tc>
      </w:tr>
      <w:tr w:rsidR="003E5BF5" w:rsidRPr="00E273FC" w14:paraId="463372AA" w14:textId="77777777" w:rsidTr="00FE5165">
        <w:trPr>
          <w:trHeight w:hRule="exact" w:val="284"/>
        </w:trPr>
        <w:tc>
          <w:tcPr>
            <w:tcW w:w="1972" w:type="dxa"/>
            <w:tcMar>
              <w:left w:w="57" w:type="dxa"/>
              <w:right w:w="57" w:type="dxa"/>
            </w:tcMar>
            <w:vAlign w:val="center"/>
          </w:tcPr>
          <w:p w14:paraId="05AC07A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25-34</w:t>
            </w:r>
          </w:p>
        </w:tc>
        <w:tc>
          <w:tcPr>
            <w:tcW w:w="987" w:type="dxa"/>
            <w:vAlign w:val="center"/>
          </w:tcPr>
          <w:p w14:paraId="33AEA82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144</w:t>
            </w:r>
          </w:p>
        </w:tc>
        <w:tc>
          <w:tcPr>
            <w:tcW w:w="847" w:type="dxa"/>
            <w:vAlign w:val="center"/>
          </w:tcPr>
          <w:p w14:paraId="4E74A34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141.3</w:t>
            </w:r>
          </w:p>
        </w:tc>
        <w:tc>
          <w:tcPr>
            <w:tcW w:w="236" w:type="dxa"/>
            <w:shd w:val="clear" w:color="auto" w:fill="auto"/>
            <w:vAlign w:val="center"/>
          </w:tcPr>
          <w:p w14:paraId="6BA8917D" w14:textId="77777777" w:rsidR="003E5BF5" w:rsidRPr="00E273FC" w:rsidRDefault="003E5BF5" w:rsidP="00DE1921">
            <w:pPr>
              <w:pStyle w:val="TableTextRight"/>
              <w:rPr>
                <w:rFonts w:ascii="Arial" w:hAnsi="Arial" w:cs="Arial"/>
                <w:sz w:val="24"/>
                <w:szCs w:val="24"/>
              </w:rPr>
            </w:pPr>
          </w:p>
        </w:tc>
        <w:tc>
          <w:tcPr>
            <w:tcW w:w="987" w:type="dxa"/>
            <w:vAlign w:val="center"/>
          </w:tcPr>
          <w:p w14:paraId="3CE2592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112</w:t>
            </w:r>
          </w:p>
        </w:tc>
        <w:tc>
          <w:tcPr>
            <w:tcW w:w="1067" w:type="dxa"/>
            <w:vAlign w:val="center"/>
          </w:tcPr>
          <w:p w14:paraId="5283FB6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w:t>
            </w:r>
          </w:p>
        </w:tc>
        <w:tc>
          <w:tcPr>
            <w:tcW w:w="846" w:type="dxa"/>
            <w:shd w:val="clear" w:color="auto" w:fill="auto"/>
            <w:tcMar>
              <w:left w:w="57" w:type="dxa"/>
              <w:right w:w="57" w:type="dxa"/>
            </w:tcMar>
            <w:vAlign w:val="center"/>
          </w:tcPr>
          <w:p w14:paraId="2C51438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118.5</w:t>
            </w:r>
          </w:p>
        </w:tc>
        <w:tc>
          <w:tcPr>
            <w:tcW w:w="236" w:type="dxa"/>
            <w:vAlign w:val="center"/>
          </w:tcPr>
          <w:p w14:paraId="4498CECA"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3541E41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23</w:t>
            </w:r>
          </w:p>
        </w:tc>
        <w:tc>
          <w:tcPr>
            <w:tcW w:w="846" w:type="dxa"/>
            <w:shd w:val="clear" w:color="auto" w:fill="auto"/>
            <w:tcMar>
              <w:left w:w="57" w:type="dxa"/>
              <w:right w:w="57" w:type="dxa"/>
            </w:tcMar>
            <w:vAlign w:val="center"/>
          </w:tcPr>
          <w:p w14:paraId="3BD71AF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22.8</w:t>
            </w:r>
          </w:p>
        </w:tc>
      </w:tr>
      <w:tr w:rsidR="003E5BF5" w:rsidRPr="00E273FC" w14:paraId="0CF5A73F" w14:textId="77777777" w:rsidTr="00FE5165">
        <w:trPr>
          <w:trHeight w:hRule="exact" w:val="284"/>
        </w:trPr>
        <w:tc>
          <w:tcPr>
            <w:tcW w:w="1972" w:type="dxa"/>
            <w:tcMar>
              <w:left w:w="57" w:type="dxa"/>
              <w:right w:w="57" w:type="dxa"/>
            </w:tcMar>
            <w:vAlign w:val="center"/>
          </w:tcPr>
          <w:p w14:paraId="3EC2CF4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35-44</w:t>
            </w:r>
          </w:p>
        </w:tc>
        <w:tc>
          <w:tcPr>
            <w:tcW w:w="987" w:type="dxa"/>
            <w:vAlign w:val="center"/>
          </w:tcPr>
          <w:p w14:paraId="5296C9B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202</w:t>
            </w:r>
          </w:p>
        </w:tc>
        <w:tc>
          <w:tcPr>
            <w:tcW w:w="847" w:type="dxa"/>
            <w:vAlign w:val="center"/>
          </w:tcPr>
          <w:p w14:paraId="7DC5FD3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189.7</w:t>
            </w:r>
          </w:p>
        </w:tc>
        <w:tc>
          <w:tcPr>
            <w:tcW w:w="236" w:type="dxa"/>
            <w:shd w:val="clear" w:color="auto" w:fill="auto"/>
            <w:vAlign w:val="center"/>
          </w:tcPr>
          <w:p w14:paraId="2F8F6771" w14:textId="77777777" w:rsidR="003E5BF5" w:rsidRPr="00E273FC" w:rsidRDefault="003E5BF5" w:rsidP="00DE1921">
            <w:pPr>
              <w:pStyle w:val="TableTextRight"/>
              <w:rPr>
                <w:rFonts w:ascii="Arial" w:hAnsi="Arial" w:cs="Arial"/>
                <w:sz w:val="24"/>
                <w:szCs w:val="24"/>
              </w:rPr>
            </w:pPr>
          </w:p>
        </w:tc>
        <w:tc>
          <w:tcPr>
            <w:tcW w:w="987" w:type="dxa"/>
            <w:vAlign w:val="center"/>
          </w:tcPr>
          <w:p w14:paraId="2B8032B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136</w:t>
            </w:r>
          </w:p>
        </w:tc>
        <w:tc>
          <w:tcPr>
            <w:tcW w:w="1067" w:type="dxa"/>
            <w:vAlign w:val="center"/>
          </w:tcPr>
          <w:p w14:paraId="7025859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38</w:t>
            </w:r>
          </w:p>
        </w:tc>
        <w:tc>
          <w:tcPr>
            <w:tcW w:w="846" w:type="dxa"/>
            <w:shd w:val="clear" w:color="auto" w:fill="auto"/>
            <w:tcMar>
              <w:left w:w="57" w:type="dxa"/>
              <w:right w:w="57" w:type="dxa"/>
            </w:tcMar>
            <w:vAlign w:val="center"/>
          </w:tcPr>
          <w:p w14:paraId="6A8200A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164.1</w:t>
            </w:r>
          </w:p>
        </w:tc>
        <w:tc>
          <w:tcPr>
            <w:tcW w:w="236" w:type="dxa"/>
            <w:vAlign w:val="center"/>
          </w:tcPr>
          <w:p w14:paraId="185F5BE3"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1D54D1C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28</w:t>
            </w:r>
          </w:p>
        </w:tc>
        <w:tc>
          <w:tcPr>
            <w:tcW w:w="846" w:type="dxa"/>
            <w:shd w:val="clear" w:color="auto" w:fill="auto"/>
            <w:tcMar>
              <w:left w:w="57" w:type="dxa"/>
              <w:right w:w="57" w:type="dxa"/>
            </w:tcMar>
            <w:vAlign w:val="center"/>
          </w:tcPr>
          <w:p w14:paraId="5A01AA7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25.6</w:t>
            </w:r>
          </w:p>
        </w:tc>
      </w:tr>
      <w:tr w:rsidR="003E5BF5" w:rsidRPr="00E273FC" w14:paraId="09D33046" w14:textId="77777777" w:rsidTr="00FE5165">
        <w:trPr>
          <w:trHeight w:hRule="exact" w:val="284"/>
        </w:trPr>
        <w:tc>
          <w:tcPr>
            <w:tcW w:w="1972" w:type="dxa"/>
            <w:tcMar>
              <w:left w:w="57" w:type="dxa"/>
              <w:right w:w="57" w:type="dxa"/>
            </w:tcMar>
            <w:vAlign w:val="center"/>
          </w:tcPr>
          <w:p w14:paraId="471DD3B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45-54</w:t>
            </w:r>
          </w:p>
        </w:tc>
        <w:tc>
          <w:tcPr>
            <w:tcW w:w="987" w:type="dxa"/>
            <w:vAlign w:val="center"/>
          </w:tcPr>
          <w:p w14:paraId="5E4FACF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181</w:t>
            </w:r>
          </w:p>
        </w:tc>
        <w:tc>
          <w:tcPr>
            <w:tcW w:w="847" w:type="dxa"/>
            <w:vAlign w:val="center"/>
          </w:tcPr>
          <w:p w14:paraId="31AB038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177.9</w:t>
            </w:r>
          </w:p>
        </w:tc>
        <w:tc>
          <w:tcPr>
            <w:tcW w:w="236" w:type="dxa"/>
            <w:shd w:val="clear" w:color="auto" w:fill="auto"/>
            <w:vAlign w:val="center"/>
          </w:tcPr>
          <w:p w14:paraId="08B41C2E" w14:textId="77777777" w:rsidR="003E5BF5" w:rsidRPr="00E273FC" w:rsidRDefault="003E5BF5" w:rsidP="00DE1921">
            <w:pPr>
              <w:pStyle w:val="TableTextRight"/>
              <w:rPr>
                <w:rFonts w:ascii="Arial" w:hAnsi="Arial" w:cs="Arial"/>
                <w:sz w:val="24"/>
                <w:szCs w:val="24"/>
              </w:rPr>
            </w:pPr>
          </w:p>
        </w:tc>
        <w:tc>
          <w:tcPr>
            <w:tcW w:w="987" w:type="dxa"/>
            <w:vAlign w:val="center"/>
          </w:tcPr>
          <w:p w14:paraId="00A9D00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146</w:t>
            </w:r>
          </w:p>
        </w:tc>
        <w:tc>
          <w:tcPr>
            <w:tcW w:w="1067" w:type="dxa"/>
            <w:vAlign w:val="center"/>
          </w:tcPr>
          <w:p w14:paraId="0D9E62A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15</w:t>
            </w:r>
          </w:p>
        </w:tc>
        <w:tc>
          <w:tcPr>
            <w:tcW w:w="846" w:type="dxa"/>
            <w:shd w:val="clear" w:color="auto" w:fill="auto"/>
            <w:tcMar>
              <w:left w:w="57" w:type="dxa"/>
              <w:right w:w="57" w:type="dxa"/>
            </w:tcMar>
            <w:vAlign w:val="center"/>
          </w:tcPr>
          <w:p w14:paraId="103C614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158.3</w:t>
            </w:r>
          </w:p>
        </w:tc>
        <w:tc>
          <w:tcPr>
            <w:tcW w:w="236" w:type="dxa"/>
            <w:vAlign w:val="center"/>
          </w:tcPr>
          <w:p w14:paraId="776D1C13"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FDAF25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w:t>
            </w:r>
          </w:p>
        </w:tc>
        <w:tc>
          <w:tcPr>
            <w:tcW w:w="846" w:type="dxa"/>
            <w:shd w:val="clear" w:color="auto" w:fill="auto"/>
            <w:tcMar>
              <w:left w:w="57" w:type="dxa"/>
              <w:right w:w="57" w:type="dxa"/>
            </w:tcMar>
            <w:vAlign w:val="center"/>
          </w:tcPr>
          <w:p w14:paraId="7D8F9EF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19.6</w:t>
            </w:r>
          </w:p>
        </w:tc>
      </w:tr>
      <w:tr w:rsidR="003E5BF5" w:rsidRPr="00E273FC" w14:paraId="121673A0" w14:textId="77777777" w:rsidTr="00FE5165">
        <w:trPr>
          <w:trHeight w:hRule="exact" w:val="284"/>
        </w:trPr>
        <w:tc>
          <w:tcPr>
            <w:tcW w:w="1972" w:type="dxa"/>
            <w:tcMar>
              <w:left w:w="57" w:type="dxa"/>
              <w:right w:w="57" w:type="dxa"/>
            </w:tcMar>
            <w:vAlign w:val="center"/>
          </w:tcPr>
          <w:p w14:paraId="05EF915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55-64</w:t>
            </w:r>
          </w:p>
        </w:tc>
        <w:tc>
          <w:tcPr>
            <w:tcW w:w="987" w:type="dxa"/>
            <w:vAlign w:val="center"/>
          </w:tcPr>
          <w:p w14:paraId="52A6D0D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121</w:t>
            </w:r>
          </w:p>
        </w:tc>
        <w:tc>
          <w:tcPr>
            <w:tcW w:w="847" w:type="dxa"/>
            <w:vAlign w:val="center"/>
          </w:tcPr>
          <w:p w14:paraId="64A721C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118.1</w:t>
            </w:r>
          </w:p>
        </w:tc>
        <w:tc>
          <w:tcPr>
            <w:tcW w:w="236" w:type="dxa"/>
            <w:shd w:val="clear" w:color="auto" w:fill="auto"/>
            <w:vAlign w:val="center"/>
          </w:tcPr>
          <w:p w14:paraId="7AC775F4" w14:textId="77777777" w:rsidR="003E5BF5" w:rsidRPr="00E273FC" w:rsidRDefault="003E5BF5" w:rsidP="00DE1921">
            <w:pPr>
              <w:pStyle w:val="TableTextRight"/>
              <w:rPr>
                <w:rFonts w:ascii="Arial" w:hAnsi="Arial" w:cs="Arial"/>
                <w:sz w:val="24"/>
                <w:szCs w:val="24"/>
              </w:rPr>
            </w:pPr>
          </w:p>
        </w:tc>
        <w:tc>
          <w:tcPr>
            <w:tcW w:w="987" w:type="dxa"/>
            <w:vAlign w:val="center"/>
          </w:tcPr>
          <w:p w14:paraId="5105075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98</w:t>
            </w:r>
          </w:p>
        </w:tc>
        <w:tc>
          <w:tcPr>
            <w:tcW w:w="1067" w:type="dxa"/>
            <w:vAlign w:val="center"/>
          </w:tcPr>
          <w:p w14:paraId="48F7EF5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w:t>
            </w:r>
          </w:p>
        </w:tc>
        <w:tc>
          <w:tcPr>
            <w:tcW w:w="846" w:type="dxa"/>
            <w:shd w:val="clear" w:color="auto" w:fill="auto"/>
            <w:tcMar>
              <w:left w:w="57" w:type="dxa"/>
              <w:right w:w="57" w:type="dxa"/>
            </w:tcMar>
            <w:vAlign w:val="center"/>
          </w:tcPr>
          <w:p w14:paraId="6AA4FEA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104.9</w:t>
            </w:r>
          </w:p>
        </w:tc>
        <w:tc>
          <w:tcPr>
            <w:tcW w:w="236" w:type="dxa"/>
            <w:vAlign w:val="center"/>
          </w:tcPr>
          <w:p w14:paraId="56C9E252"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19FC509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14</w:t>
            </w:r>
          </w:p>
        </w:tc>
        <w:tc>
          <w:tcPr>
            <w:tcW w:w="846" w:type="dxa"/>
            <w:shd w:val="clear" w:color="auto" w:fill="auto"/>
            <w:tcMar>
              <w:left w:w="57" w:type="dxa"/>
              <w:right w:w="57" w:type="dxa"/>
            </w:tcMar>
            <w:vAlign w:val="center"/>
          </w:tcPr>
          <w:p w14:paraId="7FAC5A7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13.2</w:t>
            </w:r>
          </w:p>
        </w:tc>
      </w:tr>
      <w:tr w:rsidR="003E5BF5" w:rsidRPr="00E273FC" w14:paraId="4CF24402" w14:textId="77777777" w:rsidTr="00FE5165">
        <w:trPr>
          <w:trHeight w:hRule="exact" w:val="284"/>
        </w:trPr>
        <w:tc>
          <w:tcPr>
            <w:tcW w:w="1972" w:type="dxa"/>
            <w:tcMar>
              <w:left w:w="57" w:type="dxa"/>
              <w:right w:w="57" w:type="dxa"/>
            </w:tcMar>
            <w:vAlign w:val="center"/>
          </w:tcPr>
          <w:p w14:paraId="025E7B3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65+</w:t>
            </w:r>
          </w:p>
        </w:tc>
        <w:tc>
          <w:tcPr>
            <w:tcW w:w="987" w:type="dxa"/>
            <w:vAlign w:val="center"/>
          </w:tcPr>
          <w:p w14:paraId="7DA8FE3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24</w:t>
            </w:r>
          </w:p>
        </w:tc>
        <w:tc>
          <w:tcPr>
            <w:tcW w:w="847" w:type="dxa"/>
            <w:vAlign w:val="center"/>
          </w:tcPr>
          <w:p w14:paraId="572E322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22.6</w:t>
            </w:r>
          </w:p>
        </w:tc>
        <w:tc>
          <w:tcPr>
            <w:tcW w:w="236" w:type="dxa"/>
            <w:shd w:val="clear" w:color="auto" w:fill="auto"/>
            <w:vAlign w:val="center"/>
          </w:tcPr>
          <w:p w14:paraId="22477B75" w14:textId="77777777" w:rsidR="003E5BF5" w:rsidRPr="00E273FC" w:rsidRDefault="003E5BF5" w:rsidP="00DE1921">
            <w:pPr>
              <w:pStyle w:val="TableTextRight"/>
              <w:rPr>
                <w:rFonts w:ascii="Arial" w:hAnsi="Arial" w:cs="Arial"/>
                <w:sz w:val="24"/>
                <w:szCs w:val="24"/>
              </w:rPr>
            </w:pPr>
          </w:p>
        </w:tc>
        <w:tc>
          <w:tcPr>
            <w:tcW w:w="987" w:type="dxa"/>
            <w:vAlign w:val="center"/>
          </w:tcPr>
          <w:p w14:paraId="2B57F73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19</w:t>
            </w:r>
          </w:p>
        </w:tc>
        <w:tc>
          <w:tcPr>
            <w:tcW w:w="1067" w:type="dxa"/>
            <w:vAlign w:val="center"/>
          </w:tcPr>
          <w:p w14:paraId="68B2FBC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w:t>
            </w:r>
          </w:p>
        </w:tc>
        <w:tc>
          <w:tcPr>
            <w:tcW w:w="846" w:type="dxa"/>
            <w:shd w:val="clear" w:color="auto" w:fill="auto"/>
            <w:tcMar>
              <w:left w:w="57" w:type="dxa"/>
              <w:right w:w="57" w:type="dxa"/>
            </w:tcMar>
            <w:vAlign w:val="center"/>
          </w:tcPr>
          <w:p w14:paraId="3571C72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22.0</w:t>
            </w:r>
          </w:p>
        </w:tc>
        <w:tc>
          <w:tcPr>
            <w:tcW w:w="236" w:type="dxa"/>
            <w:vAlign w:val="center"/>
          </w:tcPr>
          <w:p w14:paraId="68F0FB8D"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7FEF43C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846" w:type="dxa"/>
            <w:shd w:val="clear" w:color="auto" w:fill="auto"/>
            <w:tcMar>
              <w:left w:w="57" w:type="dxa"/>
              <w:right w:w="57" w:type="dxa"/>
            </w:tcMar>
            <w:vAlign w:val="center"/>
          </w:tcPr>
          <w:p w14:paraId="19076D2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0.6</w:t>
            </w:r>
          </w:p>
        </w:tc>
      </w:tr>
      <w:tr w:rsidR="003E5BF5" w:rsidRPr="00E273FC" w14:paraId="2603411B" w14:textId="77777777" w:rsidTr="00FE5165">
        <w:trPr>
          <w:trHeight w:hRule="exact" w:val="284"/>
        </w:trPr>
        <w:tc>
          <w:tcPr>
            <w:tcW w:w="1972" w:type="dxa"/>
            <w:tcMar>
              <w:left w:w="57" w:type="dxa"/>
              <w:right w:w="57" w:type="dxa"/>
            </w:tcMar>
            <w:vAlign w:val="center"/>
          </w:tcPr>
          <w:p w14:paraId="0527E356"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Classification</w:t>
            </w:r>
          </w:p>
        </w:tc>
        <w:tc>
          <w:tcPr>
            <w:tcW w:w="987" w:type="dxa"/>
            <w:vAlign w:val="center"/>
          </w:tcPr>
          <w:p w14:paraId="66490F37" w14:textId="77777777" w:rsidR="003E5BF5" w:rsidRPr="00E273FC" w:rsidRDefault="003E5BF5" w:rsidP="00DE1921">
            <w:pPr>
              <w:pStyle w:val="TableTextRight"/>
              <w:rPr>
                <w:rFonts w:ascii="Arial" w:hAnsi="Arial" w:cs="Arial"/>
                <w:sz w:val="24"/>
                <w:szCs w:val="24"/>
              </w:rPr>
            </w:pPr>
          </w:p>
        </w:tc>
        <w:tc>
          <w:tcPr>
            <w:tcW w:w="847" w:type="dxa"/>
            <w:vAlign w:val="center"/>
          </w:tcPr>
          <w:p w14:paraId="1BD99AEE" w14:textId="77777777" w:rsidR="003E5BF5" w:rsidRPr="00E273FC" w:rsidRDefault="003E5BF5" w:rsidP="00DE1921">
            <w:pPr>
              <w:pStyle w:val="TableTextRight"/>
              <w:rPr>
                <w:rFonts w:ascii="Arial" w:hAnsi="Arial" w:cs="Arial"/>
                <w:sz w:val="24"/>
                <w:szCs w:val="24"/>
              </w:rPr>
            </w:pPr>
          </w:p>
        </w:tc>
        <w:tc>
          <w:tcPr>
            <w:tcW w:w="236" w:type="dxa"/>
            <w:shd w:val="clear" w:color="auto" w:fill="auto"/>
            <w:vAlign w:val="center"/>
          </w:tcPr>
          <w:p w14:paraId="06197029" w14:textId="77777777" w:rsidR="003E5BF5" w:rsidRPr="00E273FC" w:rsidRDefault="003E5BF5" w:rsidP="00DE1921">
            <w:pPr>
              <w:pStyle w:val="TableTextRight"/>
              <w:rPr>
                <w:rFonts w:ascii="Arial" w:hAnsi="Arial" w:cs="Arial"/>
                <w:sz w:val="24"/>
                <w:szCs w:val="24"/>
              </w:rPr>
            </w:pPr>
          </w:p>
        </w:tc>
        <w:tc>
          <w:tcPr>
            <w:tcW w:w="987" w:type="dxa"/>
            <w:vAlign w:val="center"/>
          </w:tcPr>
          <w:p w14:paraId="18F08440" w14:textId="77777777" w:rsidR="003E5BF5" w:rsidRPr="00E273FC" w:rsidRDefault="003E5BF5" w:rsidP="00DE1921">
            <w:pPr>
              <w:pStyle w:val="TableTextRight"/>
              <w:rPr>
                <w:rFonts w:ascii="Arial" w:hAnsi="Arial" w:cs="Arial"/>
                <w:sz w:val="24"/>
                <w:szCs w:val="24"/>
              </w:rPr>
            </w:pPr>
          </w:p>
        </w:tc>
        <w:tc>
          <w:tcPr>
            <w:tcW w:w="1067" w:type="dxa"/>
            <w:vAlign w:val="center"/>
          </w:tcPr>
          <w:p w14:paraId="5E0E5D4C" w14:textId="77777777" w:rsidR="003E5BF5" w:rsidRPr="00E273FC" w:rsidRDefault="003E5BF5" w:rsidP="00DE1921">
            <w:pPr>
              <w:pStyle w:val="TableTextRight"/>
              <w:rPr>
                <w:rFonts w:ascii="Arial" w:hAnsi="Arial" w:cs="Arial"/>
                <w:sz w:val="24"/>
                <w:szCs w:val="24"/>
              </w:rPr>
            </w:pPr>
          </w:p>
        </w:tc>
        <w:tc>
          <w:tcPr>
            <w:tcW w:w="846" w:type="dxa"/>
            <w:shd w:val="clear" w:color="auto" w:fill="auto"/>
            <w:tcMar>
              <w:left w:w="57" w:type="dxa"/>
              <w:right w:w="57" w:type="dxa"/>
            </w:tcMar>
            <w:vAlign w:val="center"/>
          </w:tcPr>
          <w:p w14:paraId="681E027A" w14:textId="77777777" w:rsidR="003E5BF5" w:rsidRPr="00E273FC" w:rsidRDefault="003E5BF5" w:rsidP="00DE1921">
            <w:pPr>
              <w:pStyle w:val="TableTextRight"/>
              <w:rPr>
                <w:rFonts w:ascii="Arial" w:hAnsi="Arial" w:cs="Arial"/>
                <w:sz w:val="24"/>
                <w:szCs w:val="24"/>
              </w:rPr>
            </w:pPr>
          </w:p>
        </w:tc>
        <w:tc>
          <w:tcPr>
            <w:tcW w:w="236" w:type="dxa"/>
            <w:vAlign w:val="center"/>
          </w:tcPr>
          <w:p w14:paraId="6251E24D"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7A6397F5" w14:textId="77777777" w:rsidR="003E5BF5" w:rsidRPr="00E273FC" w:rsidRDefault="003E5BF5" w:rsidP="00DE1921">
            <w:pPr>
              <w:pStyle w:val="TableTextRight"/>
              <w:rPr>
                <w:rFonts w:ascii="Arial" w:hAnsi="Arial" w:cs="Arial"/>
                <w:sz w:val="24"/>
                <w:szCs w:val="24"/>
              </w:rPr>
            </w:pPr>
          </w:p>
        </w:tc>
        <w:tc>
          <w:tcPr>
            <w:tcW w:w="846" w:type="dxa"/>
            <w:shd w:val="clear" w:color="auto" w:fill="auto"/>
            <w:tcMar>
              <w:left w:w="57" w:type="dxa"/>
              <w:right w:w="57" w:type="dxa"/>
            </w:tcMar>
            <w:vAlign w:val="center"/>
          </w:tcPr>
          <w:p w14:paraId="59C99919" w14:textId="77777777" w:rsidR="003E5BF5" w:rsidRPr="00E273FC" w:rsidRDefault="003E5BF5" w:rsidP="00DE1921">
            <w:pPr>
              <w:pStyle w:val="TableTextRight"/>
              <w:rPr>
                <w:rFonts w:ascii="Arial" w:hAnsi="Arial" w:cs="Arial"/>
                <w:sz w:val="24"/>
                <w:szCs w:val="24"/>
              </w:rPr>
            </w:pPr>
          </w:p>
        </w:tc>
      </w:tr>
      <w:tr w:rsidR="003E5BF5" w:rsidRPr="00E273FC" w14:paraId="6510B340" w14:textId="77777777" w:rsidTr="00FE5165">
        <w:trPr>
          <w:trHeight w:hRule="exact" w:val="284"/>
        </w:trPr>
        <w:tc>
          <w:tcPr>
            <w:tcW w:w="1972" w:type="dxa"/>
            <w:tcMar>
              <w:left w:w="57" w:type="dxa"/>
              <w:right w:w="57" w:type="dxa"/>
            </w:tcMar>
            <w:vAlign w:val="center"/>
          </w:tcPr>
          <w:p w14:paraId="65E5674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1</w:t>
            </w:r>
          </w:p>
        </w:tc>
        <w:tc>
          <w:tcPr>
            <w:tcW w:w="987" w:type="dxa"/>
            <w:vAlign w:val="center"/>
          </w:tcPr>
          <w:p w14:paraId="2CB8BB2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847" w:type="dxa"/>
            <w:vAlign w:val="center"/>
          </w:tcPr>
          <w:p w14:paraId="45F1B51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w:t>
            </w:r>
          </w:p>
        </w:tc>
        <w:tc>
          <w:tcPr>
            <w:tcW w:w="236" w:type="dxa"/>
            <w:shd w:val="clear" w:color="auto" w:fill="auto"/>
            <w:vAlign w:val="center"/>
          </w:tcPr>
          <w:p w14:paraId="64BE1ED5" w14:textId="77777777" w:rsidR="003E5BF5" w:rsidRPr="00E273FC" w:rsidRDefault="003E5BF5" w:rsidP="00DE1921">
            <w:pPr>
              <w:pStyle w:val="TableTextRight"/>
              <w:rPr>
                <w:rFonts w:ascii="Arial" w:hAnsi="Arial" w:cs="Arial"/>
                <w:sz w:val="24"/>
                <w:szCs w:val="24"/>
              </w:rPr>
            </w:pPr>
          </w:p>
        </w:tc>
        <w:tc>
          <w:tcPr>
            <w:tcW w:w="987" w:type="dxa"/>
            <w:vAlign w:val="center"/>
          </w:tcPr>
          <w:p w14:paraId="6CB1B08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067" w:type="dxa"/>
            <w:vAlign w:val="center"/>
          </w:tcPr>
          <w:p w14:paraId="77CE6BD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450BB22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236" w:type="dxa"/>
            <w:vAlign w:val="center"/>
          </w:tcPr>
          <w:p w14:paraId="6CBE7209"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6129A46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846" w:type="dxa"/>
            <w:shd w:val="clear" w:color="auto" w:fill="auto"/>
            <w:tcMar>
              <w:left w:w="57" w:type="dxa"/>
              <w:right w:w="57" w:type="dxa"/>
            </w:tcMar>
            <w:vAlign w:val="center"/>
          </w:tcPr>
          <w:p w14:paraId="1593E04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w:t>
            </w:r>
          </w:p>
        </w:tc>
      </w:tr>
      <w:tr w:rsidR="003E5BF5" w:rsidRPr="00E273FC" w14:paraId="288C1D4C" w14:textId="77777777" w:rsidTr="00FE5165">
        <w:trPr>
          <w:trHeight w:hRule="exact" w:val="284"/>
        </w:trPr>
        <w:tc>
          <w:tcPr>
            <w:tcW w:w="1972" w:type="dxa"/>
            <w:tcMar>
              <w:left w:w="57" w:type="dxa"/>
              <w:right w:w="57" w:type="dxa"/>
            </w:tcMar>
            <w:vAlign w:val="center"/>
          </w:tcPr>
          <w:p w14:paraId="4CB990D1"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2</w:t>
            </w:r>
          </w:p>
        </w:tc>
        <w:tc>
          <w:tcPr>
            <w:tcW w:w="987" w:type="dxa"/>
            <w:vAlign w:val="center"/>
          </w:tcPr>
          <w:p w14:paraId="05F5715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w:t>
            </w:r>
          </w:p>
        </w:tc>
        <w:tc>
          <w:tcPr>
            <w:tcW w:w="847" w:type="dxa"/>
            <w:vAlign w:val="center"/>
          </w:tcPr>
          <w:p w14:paraId="340A51D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19.0</w:t>
            </w:r>
          </w:p>
        </w:tc>
        <w:tc>
          <w:tcPr>
            <w:tcW w:w="236" w:type="dxa"/>
            <w:shd w:val="clear" w:color="auto" w:fill="auto"/>
            <w:vAlign w:val="center"/>
          </w:tcPr>
          <w:p w14:paraId="0AF2EEF7" w14:textId="77777777" w:rsidR="003E5BF5" w:rsidRPr="00E273FC" w:rsidRDefault="003E5BF5" w:rsidP="00DE1921">
            <w:pPr>
              <w:pStyle w:val="TableTextRight"/>
              <w:rPr>
                <w:rFonts w:ascii="Arial" w:hAnsi="Arial" w:cs="Arial"/>
                <w:sz w:val="24"/>
                <w:szCs w:val="24"/>
              </w:rPr>
            </w:pPr>
          </w:p>
        </w:tc>
        <w:tc>
          <w:tcPr>
            <w:tcW w:w="987" w:type="dxa"/>
            <w:vAlign w:val="center"/>
          </w:tcPr>
          <w:p w14:paraId="24C63A3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w:t>
            </w:r>
          </w:p>
        </w:tc>
        <w:tc>
          <w:tcPr>
            <w:tcW w:w="1067" w:type="dxa"/>
            <w:vAlign w:val="center"/>
          </w:tcPr>
          <w:p w14:paraId="63B5456C" w14:textId="77777777" w:rsidR="003E5BF5" w:rsidRPr="00E273FC" w:rsidRDefault="003E5BF5" w:rsidP="00DE1921">
            <w:pPr>
              <w:pStyle w:val="TableTextRight"/>
              <w:rPr>
                <w:rFonts w:ascii="Arial" w:hAnsi="Arial" w:cs="Arial"/>
                <w:sz w:val="24"/>
                <w:szCs w:val="24"/>
              </w:rPr>
            </w:pPr>
          </w:p>
        </w:tc>
        <w:tc>
          <w:tcPr>
            <w:tcW w:w="846" w:type="dxa"/>
            <w:shd w:val="clear" w:color="auto" w:fill="auto"/>
            <w:tcMar>
              <w:left w:w="57" w:type="dxa"/>
              <w:right w:w="57" w:type="dxa"/>
            </w:tcMar>
            <w:vAlign w:val="center"/>
          </w:tcPr>
          <w:p w14:paraId="3C35257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18.0</w:t>
            </w:r>
          </w:p>
        </w:tc>
        <w:tc>
          <w:tcPr>
            <w:tcW w:w="236" w:type="dxa"/>
            <w:vAlign w:val="center"/>
          </w:tcPr>
          <w:p w14:paraId="5DEB08EA"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1CC1EC2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w:t>
            </w:r>
          </w:p>
        </w:tc>
        <w:tc>
          <w:tcPr>
            <w:tcW w:w="846" w:type="dxa"/>
            <w:shd w:val="clear" w:color="auto" w:fill="auto"/>
            <w:tcMar>
              <w:left w:w="57" w:type="dxa"/>
              <w:right w:w="57" w:type="dxa"/>
            </w:tcMar>
            <w:vAlign w:val="center"/>
          </w:tcPr>
          <w:p w14:paraId="568E34C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w:t>
            </w:r>
          </w:p>
        </w:tc>
      </w:tr>
      <w:tr w:rsidR="003E5BF5" w:rsidRPr="00E273FC" w14:paraId="416105D0" w14:textId="77777777" w:rsidTr="00FE5165">
        <w:trPr>
          <w:trHeight w:hRule="exact" w:val="284"/>
        </w:trPr>
        <w:tc>
          <w:tcPr>
            <w:tcW w:w="1972" w:type="dxa"/>
            <w:tcMar>
              <w:left w:w="57" w:type="dxa"/>
              <w:right w:w="57" w:type="dxa"/>
            </w:tcMar>
            <w:vAlign w:val="center"/>
          </w:tcPr>
          <w:p w14:paraId="224CC66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3</w:t>
            </w:r>
          </w:p>
        </w:tc>
        <w:tc>
          <w:tcPr>
            <w:tcW w:w="987" w:type="dxa"/>
            <w:vAlign w:val="center"/>
          </w:tcPr>
          <w:p w14:paraId="76631B9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40</w:t>
            </w:r>
          </w:p>
        </w:tc>
        <w:tc>
          <w:tcPr>
            <w:tcW w:w="847" w:type="dxa"/>
            <w:vAlign w:val="center"/>
          </w:tcPr>
          <w:p w14:paraId="5325DA4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39.0</w:t>
            </w:r>
          </w:p>
        </w:tc>
        <w:tc>
          <w:tcPr>
            <w:tcW w:w="236" w:type="dxa"/>
            <w:shd w:val="clear" w:color="auto" w:fill="auto"/>
            <w:vAlign w:val="center"/>
          </w:tcPr>
          <w:p w14:paraId="6E33A3A4" w14:textId="77777777" w:rsidR="003E5BF5" w:rsidRPr="00E273FC" w:rsidRDefault="003E5BF5" w:rsidP="00DE1921">
            <w:pPr>
              <w:pStyle w:val="TableTextRight"/>
              <w:rPr>
                <w:rFonts w:ascii="Arial" w:hAnsi="Arial" w:cs="Arial"/>
                <w:sz w:val="24"/>
                <w:szCs w:val="24"/>
              </w:rPr>
            </w:pPr>
          </w:p>
        </w:tc>
        <w:tc>
          <w:tcPr>
            <w:tcW w:w="987" w:type="dxa"/>
            <w:vAlign w:val="center"/>
          </w:tcPr>
          <w:p w14:paraId="4E19C03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27</w:t>
            </w:r>
          </w:p>
        </w:tc>
        <w:tc>
          <w:tcPr>
            <w:tcW w:w="1067" w:type="dxa"/>
            <w:vAlign w:val="center"/>
          </w:tcPr>
          <w:p w14:paraId="4CEFDEB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w:t>
            </w:r>
          </w:p>
        </w:tc>
        <w:tc>
          <w:tcPr>
            <w:tcW w:w="846" w:type="dxa"/>
            <w:shd w:val="clear" w:color="auto" w:fill="auto"/>
            <w:tcMar>
              <w:left w:w="57" w:type="dxa"/>
              <w:right w:w="57" w:type="dxa"/>
            </w:tcMar>
            <w:vAlign w:val="center"/>
          </w:tcPr>
          <w:p w14:paraId="293FD91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31.0</w:t>
            </w:r>
          </w:p>
        </w:tc>
        <w:tc>
          <w:tcPr>
            <w:tcW w:w="236" w:type="dxa"/>
            <w:vAlign w:val="center"/>
          </w:tcPr>
          <w:p w14:paraId="117718B3"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0FB555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w:t>
            </w:r>
          </w:p>
        </w:tc>
        <w:tc>
          <w:tcPr>
            <w:tcW w:w="846" w:type="dxa"/>
            <w:shd w:val="clear" w:color="auto" w:fill="auto"/>
            <w:tcMar>
              <w:left w:w="57" w:type="dxa"/>
              <w:right w:w="57" w:type="dxa"/>
            </w:tcMar>
            <w:vAlign w:val="center"/>
          </w:tcPr>
          <w:p w14:paraId="6506651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8.0</w:t>
            </w:r>
          </w:p>
        </w:tc>
      </w:tr>
      <w:tr w:rsidR="003E5BF5" w:rsidRPr="00E273FC" w14:paraId="14CA6357" w14:textId="77777777" w:rsidTr="00FE5165">
        <w:trPr>
          <w:trHeight w:hRule="exact" w:val="284"/>
        </w:trPr>
        <w:tc>
          <w:tcPr>
            <w:tcW w:w="1972" w:type="dxa"/>
            <w:tcMar>
              <w:left w:w="57" w:type="dxa"/>
              <w:right w:w="57" w:type="dxa"/>
            </w:tcMar>
            <w:vAlign w:val="center"/>
          </w:tcPr>
          <w:p w14:paraId="4228C9F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4</w:t>
            </w:r>
          </w:p>
        </w:tc>
        <w:tc>
          <w:tcPr>
            <w:tcW w:w="987" w:type="dxa"/>
            <w:vAlign w:val="center"/>
          </w:tcPr>
          <w:p w14:paraId="31D8D48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139</w:t>
            </w:r>
          </w:p>
        </w:tc>
        <w:tc>
          <w:tcPr>
            <w:tcW w:w="847" w:type="dxa"/>
            <w:vAlign w:val="center"/>
          </w:tcPr>
          <w:p w14:paraId="665F44E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132.6</w:t>
            </w:r>
          </w:p>
        </w:tc>
        <w:tc>
          <w:tcPr>
            <w:tcW w:w="236" w:type="dxa"/>
            <w:shd w:val="clear" w:color="auto" w:fill="auto"/>
            <w:vAlign w:val="center"/>
          </w:tcPr>
          <w:p w14:paraId="6FE2E1F3" w14:textId="77777777" w:rsidR="003E5BF5" w:rsidRPr="00E273FC" w:rsidRDefault="003E5BF5" w:rsidP="00DE1921">
            <w:pPr>
              <w:pStyle w:val="TableTextRight"/>
              <w:rPr>
                <w:rFonts w:ascii="Arial" w:hAnsi="Arial" w:cs="Arial"/>
                <w:sz w:val="24"/>
                <w:szCs w:val="24"/>
              </w:rPr>
            </w:pPr>
          </w:p>
        </w:tc>
        <w:tc>
          <w:tcPr>
            <w:tcW w:w="987" w:type="dxa"/>
            <w:vAlign w:val="center"/>
          </w:tcPr>
          <w:p w14:paraId="6E03228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103</w:t>
            </w:r>
          </w:p>
        </w:tc>
        <w:tc>
          <w:tcPr>
            <w:tcW w:w="1067" w:type="dxa"/>
            <w:vAlign w:val="center"/>
          </w:tcPr>
          <w:p w14:paraId="0950B3F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w:t>
            </w:r>
          </w:p>
        </w:tc>
        <w:tc>
          <w:tcPr>
            <w:tcW w:w="846" w:type="dxa"/>
            <w:shd w:val="clear" w:color="auto" w:fill="auto"/>
            <w:tcMar>
              <w:left w:w="57" w:type="dxa"/>
              <w:right w:w="57" w:type="dxa"/>
            </w:tcMar>
            <w:vAlign w:val="center"/>
          </w:tcPr>
          <w:p w14:paraId="7814EE9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117.7</w:t>
            </w:r>
          </w:p>
        </w:tc>
        <w:tc>
          <w:tcPr>
            <w:tcW w:w="236" w:type="dxa"/>
            <w:vAlign w:val="center"/>
          </w:tcPr>
          <w:p w14:paraId="5612B561"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6C53AD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16</w:t>
            </w:r>
          </w:p>
        </w:tc>
        <w:tc>
          <w:tcPr>
            <w:tcW w:w="846" w:type="dxa"/>
            <w:shd w:val="clear" w:color="auto" w:fill="auto"/>
            <w:tcMar>
              <w:left w:w="57" w:type="dxa"/>
              <w:right w:w="57" w:type="dxa"/>
            </w:tcMar>
            <w:vAlign w:val="center"/>
          </w:tcPr>
          <w:p w14:paraId="776FBD9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15.0</w:t>
            </w:r>
          </w:p>
        </w:tc>
      </w:tr>
      <w:tr w:rsidR="003E5BF5" w:rsidRPr="00E273FC" w14:paraId="0D8D4176" w14:textId="77777777" w:rsidTr="00FE5165">
        <w:trPr>
          <w:trHeight w:hRule="exact" w:val="284"/>
        </w:trPr>
        <w:tc>
          <w:tcPr>
            <w:tcW w:w="1972" w:type="dxa"/>
            <w:tcMar>
              <w:left w:w="57" w:type="dxa"/>
              <w:right w:w="57" w:type="dxa"/>
            </w:tcMar>
            <w:vAlign w:val="center"/>
          </w:tcPr>
          <w:p w14:paraId="3351CDB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5</w:t>
            </w:r>
          </w:p>
        </w:tc>
        <w:tc>
          <w:tcPr>
            <w:tcW w:w="987" w:type="dxa"/>
            <w:vAlign w:val="center"/>
          </w:tcPr>
          <w:p w14:paraId="644D6F1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185</w:t>
            </w:r>
          </w:p>
        </w:tc>
        <w:tc>
          <w:tcPr>
            <w:tcW w:w="847" w:type="dxa"/>
            <w:vAlign w:val="center"/>
          </w:tcPr>
          <w:p w14:paraId="09AAE8F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178.5</w:t>
            </w:r>
          </w:p>
        </w:tc>
        <w:tc>
          <w:tcPr>
            <w:tcW w:w="236" w:type="dxa"/>
            <w:shd w:val="clear" w:color="auto" w:fill="auto"/>
            <w:vAlign w:val="center"/>
          </w:tcPr>
          <w:p w14:paraId="7CB84D5A" w14:textId="77777777" w:rsidR="003E5BF5" w:rsidRPr="00E273FC" w:rsidRDefault="003E5BF5" w:rsidP="00DE1921">
            <w:pPr>
              <w:pStyle w:val="TableTextRight"/>
              <w:rPr>
                <w:rFonts w:ascii="Arial" w:hAnsi="Arial" w:cs="Arial"/>
                <w:sz w:val="24"/>
                <w:szCs w:val="24"/>
              </w:rPr>
            </w:pPr>
          </w:p>
        </w:tc>
        <w:tc>
          <w:tcPr>
            <w:tcW w:w="987" w:type="dxa"/>
            <w:vAlign w:val="center"/>
          </w:tcPr>
          <w:p w14:paraId="457C7F0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142</w:t>
            </w:r>
          </w:p>
        </w:tc>
        <w:tc>
          <w:tcPr>
            <w:tcW w:w="1067" w:type="dxa"/>
            <w:vAlign w:val="center"/>
          </w:tcPr>
          <w:p w14:paraId="54227A8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w:t>
            </w:r>
          </w:p>
        </w:tc>
        <w:tc>
          <w:tcPr>
            <w:tcW w:w="846" w:type="dxa"/>
            <w:shd w:val="clear" w:color="auto" w:fill="auto"/>
            <w:tcMar>
              <w:left w:w="57" w:type="dxa"/>
              <w:right w:w="57" w:type="dxa"/>
            </w:tcMar>
            <w:vAlign w:val="center"/>
          </w:tcPr>
          <w:p w14:paraId="49C342F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157.1</w:t>
            </w:r>
          </w:p>
        </w:tc>
        <w:tc>
          <w:tcPr>
            <w:tcW w:w="236" w:type="dxa"/>
            <w:vAlign w:val="center"/>
          </w:tcPr>
          <w:p w14:paraId="62EDDBB8"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5A130CB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23</w:t>
            </w:r>
          </w:p>
        </w:tc>
        <w:tc>
          <w:tcPr>
            <w:tcW w:w="846" w:type="dxa"/>
            <w:shd w:val="clear" w:color="auto" w:fill="auto"/>
            <w:tcMar>
              <w:left w:w="57" w:type="dxa"/>
              <w:right w:w="57" w:type="dxa"/>
            </w:tcMar>
            <w:vAlign w:val="center"/>
          </w:tcPr>
          <w:p w14:paraId="27DABCE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21.4</w:t>
            </w:r>
          </w:p>
        </w:tc>
      </w:tr>
      <w:tr w:rsidR="003E5BF5" w:rsidRPr="00E273FC" w14:paraId="62C70D41" w14:textId="77777777" w:rsidTr="00FE5165">
        <w:trPr>
          <w:trHeight w:hRule="exact" w:val="284"/>
        </w:trPr>
        <w:tc>
          <w:tcPr>
            <w:tcW w:w="1972" w:type="dxa"/>
            <w:tcMar>
              <w:left w:w="57" w:type="dxa"/>
              <w:right w:w="57" w:type="dxa"/>
            </w:tcMar>
            <w:vAlign w:val="center"/>
          </w:tcPr>
          <w:p w14:paraId="7F14FC0B"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6</w:t>
            </w:r>
          </w:p>
        </w:tc>
        <w:tc>
          <w:tcPr>
            <w:tcW w:w="987" w:type="dxa"/>
            <w:vAlign w:val="center"/>
          </w:tcPr>
          <w:p w14:paraId="63162A5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180</w:t>
            </w:r>
          </w:p>
        </w:tc>
        <w:tc>
          <w:tcPr>
            <w:tcW w:w="847" w:type="dxa"/>
            <w:vAlign w:val="center"/>
          </w:tcPr>
          <w:p w14:paraId="6462CDE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173.5</w:t>
            </w:r>
          </w:p>
        </w:tc>
        <w:tc>
          <w:tcPr>
            <w:tcW w:w="236" w:type="dxa"/>
            <w:shd w:val="clear" w:color="auto" w:fill="auto"/>
            <w:vAlign w:val="center"/>
          </w:tcPr>
          <w:p w14:paraId="3D82EF24" w14:textId="77777777" w:rsidR="003E5BF5" w:rsidRPr="00E273FC" w:rsidRDefault="003E5BF5" w:rsidP="00DE1921">
            <w:pPr>
              <w:pStyle w:val="TableTextRight"/>
              <w:rPr>
                <w:rFonts w:ascii="Arial" w:hAnsi="Arial" w:cs="Arial"/>
                <w:sz w:val="24"/>
                <w:szCs w:val="24"/>
              </w:rPr>
            </w:pPr>
          </w:p>
        </w:tc>
        <w:tc>
          <w:tcPr>
            <w:tcW w:w="987" w:type="dxa"/>
            <w:vAlign w:val="center"/>
          </w:tcPr>
          <w:p w14:paraId="631CFD1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127</w:t>
            </w:r>
          </w:p>
        </w:tc>
        <w:tc>
          <w:tcPr>
            <w:tcW w:w="1067" w:type="dxa"/>
            <w:vAlign w:val="center"/>
          </w:tcPr>
          <w:p w14:paraId="6A2619F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22</w:t>
            </w:r>
          </w:p>
        </w:tc>
        <w:tc>
          <w:tcPr>
            <w:tcW w:w="846" w:type="dxa"/>
            <w:shd w:val="clear" w:color="auto" w:fill="auto"/>
            <w:tcMar>
              <w:left w:w="57" w:type="dxa"/>
              <w:right w:w="57" w:type="dxa"/>
            </w:tcMar>
            <w:vAlign w:val="center"/>
          </w:tcPr>
          <w:p w14:paraId="52C01FC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144.1</w:t>
            </w:r>
          </w:p>
        </w:tc>
        <w:tc>
          <w:tcPr>
            <w:tcW w:w="236" w:type="dxa"/>
            <w:vAlign w:val="center"/>
          </w:tcPr>
          <w:p w14:paraId="2F9014D2"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457B9BF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31</w:t>
            </w:r>
          </w:p>
        </w:tc>
        <w:tc>
          <w:tcPr>
            <w:tcW w:w="846" w:type="dxa"/>
            <w:shd w:val="clear" w:color="auto" w:fill="auto"/>
            <w:tcMar>
              <w:left w:w="57" w:type="dxa"/>
              <w:right w:w="57" w:type="dxa"/>
            </w:tcMar>
            <w:vAlign w:val="center"/>
          </w:tcPr>
          <w:p w14:paraId="321B779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29.4</w:t>
            </w:r>
          </w:p>
        </w:tc>
      </w:tr>
      <w:tr w:rsidR="003E5BF5" w:rsidRPr="00E273FC" w14:paraId="60ADDB03" w14:textId="77777777" w:rsidTr="00FE5165">
        <w:trPr>
          <w:trHeight w:hRule="exact" w:val="284"/>
        </w:trPr>
        <w:tc>
          <w:tcPr>
            <w:tcW w:w="1972" w:type="dxa"/>
            <w:tcMar>
              <w:left w:w="57" w:type="dxa"/>
              <w:right w:w="57" w:type="dxa"/>
            </w:tcMar>
            <w:vAlign w:val="center"/>
          </w:tcPr>
          <w:p w14:paraId="0954621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Fisheries Manager 6</w:t>
            </w:r>
          </w:p>
        </w:tc>
        <w:tc>
          <w:tcPr>
            <w:tcW w:w="987" w:type="dxa"/>
            <w:vAlign w:val="center"/>
          </w:tcPr>
          <w:p w14:paraId="0542C56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847" w:type="dxa"/>
            <w:vAlign w:val="center"/>
          </w:tcPr>
          <w:p w14:paraId="6D9C904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w:t>
            </w:r>
          </w:p>
        </w:tc>
        <w:tc>
          <w:tcPr>
            <w:tcW w:w="236" w:type="dxa"/>
            <w:shd w:val="clear" w:color="auto" w:fill="auto"/>
            <w:vAlign w:val="center"/>
          </w:tcPr>
          <w:p w14:paraId="2A570D84" w14:textId="77777777" w:rsidR="003E5BF5" w:rsidRPr="00E273FC" w:rsidRDefault="003E5BF5" w:rsidP="00DE1921">
            <w:pPr>
              <w:pStyle w:val="TableTextRight"/>
              <w:rPr>
                <w:rFonts w:ascii="Arial" w:hAnsi="Arial" w:cs="Arial"/>
                <w:sz w:val="24"/>
                <w:szCs w:val="24"/>
              </w:rPr>
            </w:pPr>
          </w:p>
        </w:tc>
        <w:tc>
          <w:tcPr>
            <w:tcW w:w="987" w:type="dxa"/>
            <w:vAlign w:val="center"/>
          </w:tcPr>
          <w:p w14:paraId="68AE5D3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067" w:type="dxa"/>
            <w:vAlign w:val="center"/>
          </w:tcPr>
          <w:p w14:paraId="0439EB4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3D03F1C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w:t>
            </w:r>
          </w:p>
        </w:tc>
        <w:tc>
          <w:tcPr>
            <w:tcW w:w="236" w:type="dxa"/>
            <w:vAlign w:val="center"/>
          </w:tcPr>
          <w:p w14:paraId="5B5EA00D"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582F073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1F3573F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4910FB06" w14:textId="77777777" w:rsidTr="00FE5165">
        <w:trPr>
          <w:trHeight w:hRule="exact" w:val="284"/>
        </w:trPr>
        <w:tc>
          <w:tcPr>
            <w:tcW w:w="1972" w:type="dxa"/>
            <w:tcMar>
              <w:left w:w="57" w:type="dxa"/>
              <w:right w:w="57" w:type="dxa"/>
            </w:tcMar>
            <w:vAlign w:val="center"/>
          </w:tcPr>
          <w:p w14:paraId="08B7E29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Legal Officer</w:t>
            </w:r>
          </w:p>
        </w:tc>
        <w:tc>
          <w:tcPr>
            <w:tcW w:w="987" w:type="dxa"/>
            <w:vAlign w:val="center"/>
          </w:tcPr>
          <w:p w14:paraId="117CDFA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847" w:type="dxa"/>
            <w:vAlign w:val="center"/>
          </w:tcPr>
          <w:p w14:paraId="7E9BC10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w:t>
            </w:r>
          </w:p>
        </w:tc>
        <w:tc>
          <w:tcPr>
            <w:tcW w:w="236" w:type="dxa"/>
            <w:shd w:val="clear" w:color="auto" w:fill="auto"/>
            <w:vAlign w:val="center"/>
          </w:tcPr>
          <w:p w14:paraId="3848594C" w14:textId="77777777" w:rsidR="003E5BF5" w:rsidRPr="00E273FC" w:rsidRDefault="003E5BF5" w:rsidP="00DE1921">
            <w:pPr>
              <w:pStyle w:val="TableTextRight"/>
              <w:rPr>
                <w:rFonts w:ascii="Arial" w:hAnsi="Arial" w:cs="Arial"/>
                <w:sz w:val="24"/>
                <w:szCs w:val="24"/>
              </w:rPr>
            </w:pPr>
          </w:p>
        </w:tc>
        <w:tc>
          <w:tcPr>
            <w:tcW w:w="987" w:type="dxa"/>
            <w:vAlign w:val="center"/>
          </w:tcPr>
          <w:p w14:paraId="4A967DE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067" w:type="dxa"/>
            <w:vAlign w:val="center"/>
          </w:tcPr>
          <w:p w14:paraId="0A697AE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0B9C1A2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w:t>
            </w:r>
          </w:p>
        </w:tc>
        <w:tc>
          <w:tcPr>
            <w:tcW w:w="236" w:type="dxa"/>
            <w:vAlign w:val="center"/>
          </w:tcPr>
          <w:p w14:paraId="7EA31849"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51E7A07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3E04612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4DDCDC82" w14:textId="77777777" w:rsidTr="00FE5165">
        <w:trPr>
          <w:trHeight w:hRule="exact" w:val="284"/>
        </w:trPr>
        <w:tc>
          <w:tcPr>
            <w:tcW w:w="1972" w:type="dxa"/>
            <w:tcMar>
              <w:left w:w="57" w:type="dxa"/>
              <w:right w:w="57" w:type="dxa"/>
            </w:tcMar>
            <w:vAlign w:val="center"/>
          </w:tcPr>
          <w:p w14:paraId="2B7B02CD" w14:textId="77777777" w:rsidR="003E5BF5" w:rsidRPr="00E273FC" w:rsidRDefault="003E5BF5" w:rsidP="00DE1921">
            <w:pPr>
              <w:pStyle w:val="TableTextLeft"/>
              <w:rPr>
                <w:rFonts w:ascii="Arial" w:hAnsi="Arial" w:cs="Arial"/>
                <w:sz w:val="24"/>
                <w:szCs w:val="24"/>
              </w:rPr>
            </w:pPr>
            <w:proofErr w:type="spellStart"/>
            <w:r w:rsidRPr="00E273FC">
              <w:rPr>
                <w:rFonts w:ascii="Arial" w:hAnsi="Arial" w:cs="Arial"/>
                <w:sz w:val="24"/>
                <w:szCs w:val="24"/>
              </w:rPr>
              <w:t>VicRoads</w:t>
            </w:r>
            <w:r w:rsidRPr="00E273FC">
              <w:rPr>
                <w:rFonts w:ascii="Arial" w:hAnsi="Arial" w:cs="Arial"/>
                <w:sz w:val="24"/>
                <w:szCs w:val="24"/>
                <w:vertAlign w:val="superscript"/>
              </w:rPr>
              <w:t>a</w:t>
            </w:r>
            <w:proofErr w:type="spellEnd"/>
          </w:p>
        </w:tc>
        <w:tc>
          <w:tcPr>
            <w:tcW w:w="987" w:type="dxa"/>
            <w:vAlign w:val="center"/>
          </w:tcPr>
          <w:p w14:paraId="2927425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26</w:t>
            </w:r>
          </w:p>
        </w:tc>
        <w:tc>
          <w:tcPr>
            <w:tcW w:w="847" w:type="dxa"/>
            <w:vAlign w:val="center"/>
          </w:tcPr>
          <w:p w14:paraId="62291BE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24.6</w:t>
            </w:r>
          </w:p>
        </w:tc>
        <w:tc>
          <w:tcPr>
            <w:tcW w:w="236" w:type="dxa"/>
            <w:shd w:val="clear" w:color="auto" w:fill="auto"/>
            <w:vAlign w:val="center"/>
          </w:tcPr>
          <w:p w14:paraId="5E21843A" w14:textId="77777777" w:rsidR="003E5BF5" w:rsidRPr="00E273FC" w:rsidRDefault="003E5BF5" w:rsidP="00DE1921">
            <w:pPr>
              <w:pStyle w:val="TableTextRight"/>
              <w:rPr>
                <w:rFonts w:ascii="Arial" w:hAnsi="Arial" w:cs="Arial"/>
                <w:sz w:val="24"/>
                <w:szCs w:val="24"/>
              </w:rPr>
            </w:pPr>
          </w:p>
        </w:tc>
        <w:tc>
          <w:tcPr>
            <w:tcW w:w="987" w:type="dxa"/>
            <w:vAlign w:val="center"/>
          </w:tcPr>
          <w:p w14:paraId="46DA8E3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21</w:t>
            </w:r>
          </w:p>
        </w:tc>
        <w:tc>
          <w:tcPr>
            <w:tcW w:w="1067" w:type="dxa"/>
            <w:vAlign w:val="center"/>
          </w:tcPr>
          <w:p w14:paraId="498DE7E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w:t>
            </w:r>
          </w:p>
        </w:tc>
        <w:tc>
          <w:tcPr>
            <w:tcW w:w="846" w:type="dxa"/>
            <w:shd w:val="clear" w:color="auto" w:fill="auto"/>
            <w:tcMar>
              <w:left w:w="57" w:type="dxa"/>
              <w:right w:w="57" w:type="dxa"/>
            </w:tcMar>
            <w:vAlign w:val="center"/>
          </w:tcPr>
          <w:p w14:paraId="6407988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24.6</w:t>
            </w:r>
          </w:p>
        </w:tc>
        <w:tc>
          <w:tcPr>
            <w:tcW w:w="236" w:type="dxa"/>
            <w:vAlign w:val="center"/>
          </w:tcPr>
          <w:p w14:paraId="1272A785"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5391493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07B1DFA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10B4CB88" w14:textId="77777777" w:rsidTr="00FE5165">
        <w:trPr>
          <w:trHeight w:hRule="exact" w:val="284"/>
        </w:trPr>
        <w:tc>
          <w:tcPr>
            <w:tcW w:w="1972" w:type="dxa"/>
            <w:tcMar>
              <w:left w:w="57" w:type="dxa"/>
              <w:right w:w="57" w:type="dxa"/>
            </w:tcMar>
            <w:vAlign w:val="center"/>
          </w:tcPr>
          <w:p w14:paraId="2D0449D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PS</w:t>
            </w:r>
          </w:p>
        </w:tc>
        <w:tc>
          <w:tcPr>
            <w:tcW w:w="987" w:type="dxa"/>
            <w:vAlign w:val="center"/>
          </w:tcPr>
          <w:p w14:paraId="18914BB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w:t>
            </w:r>
          </w:p>
        </w:tc>
        <w:tc>
          <w:tcPr>
            <w:tcW w:w="847" w:type="dxa"/>
            <w:vAlign w:val="center"/>
          </w:tcPr>
          <w:p w14:paraId="1912956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18.0</w:t>
            </w:r>
          </w:p>
        </w:tc>
        <w:tc>
          <w:tcPr>
            <w:tcW w:w="236" w:type="dxa"/>
            <w:shd w:val="clear" w:color="auto" w:fill="auto"/>
            <w:vAlign w:val="center"/>
          </w:tcPr>
          <w:p w14:paraId="78FB70A7" w14:textId="77777777" w:rsidR="003E5BF5" w:rsidRPr="00E273FC" w:rsidRDefault="003E5BF5" w:rsidP="00DE1921">
            <w:pPr>
              <w:pStyle w:val="TableTextRight"/>
              <w:rPr>
                <w:rFonts w:ascii="Arial" w:hAnsi="Arial" w:cs="Arial"/>
                <w:sz w:val="24"/>
                <w:szCs w:val="24"/>
              </w:rPr>
            </w:pPr>
          </w:p>
        </w:tc>
        <w:tc>
          <w:tcPr>
            <w:tcW w:w="987" w:type="dxa"/>
            <w:vAlign w:val="center"/>
          </w:tcPr>
          <w:p w14:paraId="611DB2B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17</w:t>
            </w:r>
          </w:p>
        </w:tc>
        <w:tc>
          <w:tcPr>
            <w:tcW w:w="1067" w:type="dxa"/>
            <w:vAlign w:val="center"/>
          </w:tcPr>
          <w:p w14:paraId="4B5F41C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206C04F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17.0</w:t>
            </w:r>
          </w:p>
        </w:tc>
        <w:tc>
          <w:tcPr>
            <w:tcW w:w="236" w:type="dxa"/>
            <w:vAlign w:val="center"/>
          </w:tcPr>
          <w:p w14:paraId="6B07CACD"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4FC0E7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846" w:type="dxa"/>
            <w:shd w:val="clear" w:color="auto" w:fill="auto"/>
            <w:tcMar>
              <w:left w:w="57" w:type="dxa"/>
              <w:right w:w="57" w:type="dxa"/>
            </w:tcMar>
            <w:vAlign w:val="center"/>
          </w:tcPr>
          <w:p w14:paraId="74C3A59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w:t>
            </w:r>
          </w:p>
        </w:tc>
      </w:tr>
      <w:tr w:rsidR="003E5BF5" w:rsidRPr="00E273FC" w14:paraId="0D67BB65" w14:textId="77777777" w:rsidTr="00FE5165">
        <w:trPr>
          <w:trHeight w:hRule="exact" w:val="284"/>
        </w:trPr>
        <w:tc>
          <w:tcPr>
            <w:tcW w:w="1972" w:type="dxa"/>
            <w:tcMar>
              <w:left w:w="57" w:type="dxa"/>
              <w:right w:w="57" w:type="dxa"/>
            </w:tcMar>
            <w:vAlign w:val="center"/>
          </w:tcPr>
          <w:p w14:paraId="02F0D81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STS</w:t>
            </w:r>
          </w:p>
        </w:tc>
        <w:tc>
          <w:tcPr>
            <w:tcW w:w="987" w:type="dxa"/>
            <w:vAlign w:val="center"/>
          </w:tcPr>
          <w:p w14:paraId="6C9E4F8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24</w:t>
            </w:r>
          </w:p>
        </w:tc>
        <w:tc>
          <w:tcPr>
            <w:tcW w:w="847" w:type="dxa"/>
            <w:vAlign w:val="center"/>
          </w:tcPr>
          <w:p w14:paraId="105DED3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23.8</w:t>
            </w:r>
          </w:p>
        </w:tc>
        <w:tc>
          <w:tcPr>
            <w:tcW w:w="236" w:type="dxa"/>
            <w:shd w:val="clear" w:color="auto" w:fill="auto"/>
            <w:vAlign w:val="center"/>
          </w:tcPr>
          <w:p w14:paraId="7E61915E" w14:textId="77777777" w:rsidR="003E5BF5" w:rsidRPr="00E273FC" w:rsidRDefault="003E5BF5" w:rsidP="00DE1921">
            <w:pPr>
              <w:pStyle w:val="TableTextRight"/>
              <w:rPr>
                <w:rFonts w:ascii="Arial" w:hAnsi="Arial" w:cs="Arial"/>
                <w:sz w:val="24"/>
                <w:szCs w:val="24"/>
              </w:rPr>
            </w:pPr>
          </w:p>
        </w:tc>
        <w:tc>
          <w:tcPr>
            <w:tcW w:w="987" w:type="dxa"/>
            <w:vAlign w:val="center"/>
          </w:tcPr>
          <w:p w14:paraId="0012CD2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15</w:t>
            </w:r>
          </w:p>
        </w:tc>
        <w:tc>
          <w:tcPr>
            <w:tcW w:w="1067" w:type="dxa"/>
            <w:vAlign w:val="center"/>
          </w:tcPr>
          <w:p w14:paraId="6C55B49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846" w:type="dxa"/>
            <w:shd w:val="clear" w:color="auto" w:fill="auto"/>
            <w:tcMar>
              <w:left w:w="57" w:type="dxa"/>
              <w:right w:w="57" w:type="dxa"/>
            </w:tcMar>
            <w:vAlign w:val="center"/>
          </w:tcPr>
          <w:p w14:paraId="2EFD4FF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15.8</w:t>
            </w:r>
          </w:p>
        </w:tc>
        <w:tc>
          <w:tcPr>
            <w:tcW w:w="236" w:type="dxa"/>
            <w:vAlign w:val="center"/>
          </w:tcPr>
          <w:p w14:paraId="46F1487D"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3176BF2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w:t>
            </w:r>
          </w:p>
        </w:tc>
        <w:tc>
          <w:tcPr>
            <w:tcW w:w="846" w:type="dxa"/>
            <w:shd w:val="clear" w:color="auto" w:fill="auto"/>
            <w:tcMar>
              <w:left w:w="57" w:type="dxa"/>
              <w:right w:w="57" w:type="dxa"/>
            </w:tcMar>
            <w:vAlign w:val="center"/>
          </w:tcPr>
          <w:p w14:paraId="338EEEB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8.0</w:t>
            </w:r>
          </w:p>
        </w:tc>
      </w:tr>
      <w:tr w:rsidR="003E5BF5" w:rsidRPr="00E273FC" w14:paraId="630B8C4A" w14:textId="77777777" w:rsidTr="00FE5165">
        <w:trPr>
          <w:trHeight w:hRule="exact" w:val="284"/>
        </w:trPr>
        <w:tc>
          <w:tcPr>
            <w:tcW w:w="1972" w:type="dxa"/>
            <w:tcMar>
              <w:left w:w="57" w:type="dxa"/>
              <w:right w:w="57" w:type="dxa"/>
            </w:tcMar>
            <w:vAlign w:val="center"/>
          </w:tcPr>
          <w:p w14:paraId="5F8CC2EB"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Executive</w:t>
            </w:r>
          </w:p>
        </w:tc>
        <w:tc>
          <w:tcPr>
            <w:tcW w:w="987" w:type="dxa"/>
            <w:vAlign w:val="center"/>
          </w:tcPr>
          <w:p w14:paraId="361E982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50</w:t>
            </w:r>
          </w:p>
        </w:tc>
        <w:tc>
          <w:tcPr>
            <w:tcW w:w="847" w:type="dxa"/>
            <w:vAlign w:val="center"/>
          </w:tcPr>
          <w:p w14:paraId="4EC0B1E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49.5</w:t>
            </w:r>
          </w:p>
        </w:tc>
        <w:tc>
          <w:tcPr>
            <w:tcW w:w="236" w:type="dxa"/>
            <w:shd w:val="clear" w:color="auto" w:fill="auto"/>
            <w:vAlign w:val="center"/>
          </w:tcPr>
          <w:p w14:paraId="5176475B" w14:textId="77777777" w:rsidR="003E5BF5" w:rsidRPr="00E273FC" w:rsidRDefault="003E5BF5" w:rsidP="00DE1921">
            <w:pPr>
              <w:pStyle w:val="TableTextRight"/>
              <w:rPr>
                <w:rFonts w:ascii="Arial" w:hAnsi="Arial" w:cs="Arial"/>
                <w:sz w:val="24"/>
                <w:szCs w:val="24"/>
              </w:rPr>
            </w:pPr>
          </w:p>
        </w:tc>
        <w:tc>
          <w:tcPr>
            <w:tcW w:w="987" w:type="dxa"/>
            <w:vAlign w:val="center"/>
          </w:tcPr>
          <w:p w14:paraId="419C56B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48</w:t>
            </w:r>
          </w:p>
        </w:tc>
        <w:tc>
          <w:tcPr>
            <w:tcW w:w="1067" w:type="dxa"/>
            <w:vAlign w:val="center"/>
          </w:tcPr>
          <w:p w14:paraId="25B83A9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w:t>
            </w:r>
          </w:p>
        </w:tc>
        <w:tc>
          <w:tcPr>
            <w:tcW w:w="846" w:type="dxa"/>
            <w:shd w:val="clear" w:color="auto" w:fill="auto"/>
            <w:tcMar>
              <w:left w:w="57" w:type="dxa"/>
              <w:right w:w="57" w:type="dxa"/>
            </w:tcMar>
            <w:vAlign w:val="center"/>
          </w:tcPr>
          <w:p w14:paraId="27ADB4D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49.5</w:t>
            </w:r>
          </w:p>
        </w:tc>
        <w:tc>
          <w:tcPr>
            <w:tcW w:w="236" w:type="dxa"/>
            <w:vAlign w:val="center"/>
          </w:tcPr>
          <w:p w14:paraId="4DFE5B3D"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31FF1E8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23432C6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45627CD1" w14:textId="77777777" w:rsidTr="00FE5165">
        <w:trPr>
          <w:trHeight w:hRule="exact" w:val="284"/>
        </w:trPr>
        <w:tc>
          <w:tcPr>
            <w:tcW w:w="1972" w:type="dxa"/>
            <w:tcMar>
              <w:left w:w="57" w:type="dxa"/>
              <w:right w:w="57" w:type="dxa"/>
            </w:tcMar>
            <w:vAlign w:val="center"/>
          </w:tcPr>
          <w:p w14:paraId="4D11CC0C"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Employees</w:t>
            </w:r>
          </w:p>
        </w:tc>
        <w:tc>
          <w:tcPr>
            <w:tcW w:w="987" w:type="dxa"/>
            <w:vAlign w:val="center"/>
          </w:tcPr>
          <w:p w14:paraId="3ECDC80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685</w:t>
            </w:r>
          </w:p>
        </w:tc>
        <w:tc>
          <w:tcPr>
            <w:tcW w:w="847" w:type="dxa"/>
            <w:vAlign w:val="center"/>
          </w:tcPr>
          <w:p w14:paraId="7780261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661.5</w:t>
            </w:r>
          </w:p>
        </w:tc>
        <w:tc>
          <w:tcPr>
            <w:tcW w:w="236" w:type="dxa"/>
            <w:shd w:val="clear" w:color="auto" w:fill="auto"/>
            <w:vAlign w:val="center"/>
          </w:tcPr>
          <w:p w14:paraId="0A42F164" w14:textId="77777777" w:rsidR="003E5BF5" w:rsidRPr="00E273FC" w:rsidRDefault="003E5BF5" w:rsidP="00DE1921">
            <w:pPr>
              <w:pStyle w:val="TableTextRight"/>
              <w:rPr>
                <w:rFonts w:ascii="Arial" w:hAnsi="Arial" w:cs="Arial"/>
                <w:sz w:val="24"/>
                <w:szCs w:val="24"/>
              </w:rPr>
            </w:pPr>
          </w:p>
        </w:tc>
        <w:tc>
          <w:tcPr>
            <w:tcW w:w="987" w:type="dxa"/>
            <w:vAlign w:val="center"/>
          </w:tcPr>
          <w:p w14:paraId="45334E7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520</w:t>
            </w:r>
          </w:p>
        </w:tc>
        <w:tc>
          <w:tcPr>
            <w:tcW w:w="1067" w:type="dxa"/>
            <w:vAlign w:val="center"/>
          </w:tcPr>
          <w:p w14:paraId="5C56DDF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75</w:t>
            </w:r>
          </w:p>
        </w:tc>
        <w:tc>
          <w:tcPr>
            <w:tcW w:w="846" w:type="dxa"/>
            <w:shd w:val="clear" w:color="auto" w:fill="auto"/>
            <w:tcMar>
              <w:left w:w="57" w:type="dxa"/>
              <w:right w:w="57" w:type="dxa"/>
            </w:tcMar>
            <w:vAlign w:val="center"/>
          </w:tcPr>
          <w:p w14:paraId="0B8EFED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576.7</w:t>
            </w:r>
          </w:p>
        </w:tc>
        <w:tc>
          <w:tcPr>
            <w:tcW w:w="236" w:type="dxa"/>
            <w:vAlign w:val="center"/>
          </w:tcPr>
          <w:p w14:paraId="07D24B7B"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9A65FF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90</w:t>
            </w:r>
          </w:p>
        </w:tc>
        <w:tc>
          <w:tcPr>
            <w:tcW w:w="846" w:type="dxa"/>
            <w:shd w:val="clear" w:color="auto" w:fill="auto"/>
            <w:tcMar>
              <w:left w:w="57" w:type="dxa"/>
              <w:right w:w="57" w:type="dxa"/>
            </w:tcMar>
            <w:vAlign w:val="center"/>
          </w:tcPr>
          <w:p w14:paraId="6EBC35A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84.8</w:t>
            </w:r>
          </w:p>
        </w:tc>
      </w:tr>
    </w:tbl>
    <w:p w14:paraId="6E5B263B" w14:textId="77777777" w:rsidR="003E5BF5" w:rsidRPr="00E273FC" w:rsidRDefault="003E5BF5" w:rsidP="00DE1921">
      <w:pPr>
        <w:pStyle w:val="Note"/>
        <w:rPr>
          <w:rFonts w:ascii="Arial" w:hAnsi="Arial" w:cs="Arial"/>
          <w:sz w:val="24"/>
          <w:szCs w:val="24"/>
        </w:rPr>
      </w:pPr>
      <w:r w:rsidRPr="00E273FC">
        <w:rPr>
          <w:rFonts w:ascii="Arial" w:hAnsi="Arial" w:cs="Arial"/>
          <w:sz w:val="24"/>
          <w:szCs w:val="24"/>
        </w:rPr>
        <w:t>* headcount</w:t>
      </w:r>
    </w:p>
    <w:p w14:paraId="39D68A23" w14:textId="77777777" w:rsidR="003E5BF5" w:rsidRPr="00E273FC" w:rsidRDefault="003E5BF5" w:rsidP="00DE1921">
      <w:pPr>
        <w:pStyle w:val="Note"/>
        <w:rPr>
          <w:rFonts w:ascii="Arial" w:hAnsi="Arial" w:cs="Arial"/>
          <w:sz w:val="24"/>
          <w:szCs w:val="24"/>
        </w:rPr>
      </w:pPr>
      <w:r w:rsidRPr="00E273FC">
        <w:rPr>
          <w:rFonts w:ascii="Arial" w:hAnsi="Arial" w:cs="Arial"/>
          <w:sz w:val="24"/>
          <w:szCs w:val="24"/>
        </w:rPr>
        <w:t>Notes:</w:t>
      </w:r>
    </w:p>
    <w:p w14:paraId="767E3F59" w14:textId="77777777" w:rsidR="003E5BF5" w:rsidRPr="00E273FC" w:rsidRDefault="003E5BF5" w:rsidP="00610F5F">
      <w:pPr>
        <w:pStyle w:val="Notenumberingabc"/>
        <w:numPr>
          <w:ilvl w:val="0"/>
          <w:numId w:val="37"/>
        </w:numPr>
        <w:spacing w:before="0" w:line="360" w:lineRule="auto"/>
        <w:ind w:left="336" w:hanging="238"/>
        <w:contextualSpacing/>
        <w:rPr>
          <w:rFonts w:ascii="Arial" w:hAnsi="Arial" w:cs="Arial"/>
          <w:sz w:val="24"/>
          <w:szCs w:val="24"/>
        </w:rPr>
      </w:pPr>
      <w:r w:rsidRPr="00E273FC">
        <w:rPr>
          <w:rFonts w:ascii="Arial" w:hAnsi="Arial" w:cs="Arial"/>
          <w:sz w:val="24"/>
          <w:szCs w:val="24"/>
        </w:rPr>
        <w:t>VicRoads Enterprise Agreement “VRO” classification. This comprises former VicRoads staff who transferred to the Department of Transport as a part of the establishment of Transport for Victoria in 2016 and did not transfer to VPS classifications.</w:t>
      </w:r>
      <w:r w:rsidRPr="00E273FC" w:rsidDel="00D20889">
        <w:rPr>
          <w:rFonts w:ascii="Arial" w:hAnsi="Arial" w:cs="Arial"/>
          <w:sz w:val="24"/>
          <w:szCs w:val="24"/>
        </w:rPr>
        <w:t xml:space="preserve"> </w:t>
      </w:r>
    </w:p>
    <w:p w14:paraId="645122FB" w14:textId="77777777" w:rsidR="003E5BF5" w:rsidRPr="00E273FC" w:rsidRDefault="003E5BF5" w:rsidP="00B1298A">
      <w:pPr>
        <w:pStyle w:val="Notenumberingabc"/>
        <w:spacing w:before="0" w:line="360" w:lineRule="auto"/>
        <w:contextualSpacing/>
        <w:rPr>
          <w:rFonts w:ascii="Arial" w:hAnsi="Arial" w:cs="Arial"/>
          <w:sz w:val="24"/>
          <w:szCs w:val="24"/>
        </w:rPr>
      </w:pPr>
      <w:r w:rsidRPr="00E273FC">
        <w:rPr>
          <w:rFonts w:ascii="Arial" w:hAnsi="Arial" w:cs="Arial"/>
          <w:sz w:val="24"/>
          <w:szCs w:val="24"/>
        </w:rPr>
        <w:t>FTE means full-time equivalent.</w:t>
      </w:r>
    </w:p>
    <w:p w14:paraId="17B7D585" w14:textId="77777777" w:rsidR="003E5BF5" w:rsidRPr="00E273FC" w:rsidRDefault="003E5BF5" w:rsidP="00B1298A">
      <w:pPr>
        <w:pStyle w:val="Notenumberingabc"/>
        <w:spacing w:before="0" w:line="360" w:lineRule="auto"/>
        <w:contextualSpacing/>
        <w:rPr>
          <w:rFonts w:ascii="Arial" w:hAnsi="Arial" w:cs="Arial"/>
          <w:sz w:val="24"/>
          <w:szCs w:val="24"/>
        </w:rPr>
      </w:pPr>
      <w:r w:rsidRPr="00E273FC">
        <w:rPr>
          <w:rFonts w:ascii="Arial" w:hAnsi="Arial" w:cs="Arial"/>
          <w:sz w:val="24"/>
          <w:szCs w:val="24"/>
        </w:rPr>
        <w:t>All figures reflect employment levels during the last full pay period of June.</w:t>
      </w:r>
    </w:p>
    <w:p w14:paraId="02871D19" w14:textId="77777777" w:rsidR="003E5BF5" w:rsidRPr="00E273FC" w:rsidRDefault="003E5BF5" w:rsidP="00B1298A">
      <w:pPr>
        <w:pStyle w:val="Notenumberingabc"/>
        <w:spacing w:before="0" w:line="360" w:lineRule="auto"/>
        <w:contextualSpacing/>
        <w:rPr>
          <w:rFonts w:ascii="Arial" w:hAnsi="Arial" w:cs="Arial"/>
          <w:sz w:val="24"/>
          <w:szCs w:val="24"/>
        </w:rPr>
      </w:pPr>
      <w:r w:rsidRPr="00E273FC">
        <w:rPr>
          <w:rFonts w:ascii="Arial" w:hAnsi="Arial" w:cs="Arial"/>
          <w:sz w:val="24"/>
          <w:szCs w:val="24"/>
        </w:rPr>
        <w:t>Excluded are employees on leave without pay or absent on secondment, external contractors/consultants, temporary employees employed by employment agencies and statutory appointees.</w:t>
      </w:r>
    </w:p>
    <w:p w14:paraId="1473EA07" w14:textId="77777777" w:rsidR="003E5BF5" w:rsidRDefault="003E5BF5" w:rsidP="00DE1921"/>
    <w:p w14:paraId="3DE5CCE3" w14:textId="77777777" w:rsidR="003E5BF5" w:rsidRDefault="003E5BF5" w:rsidP="00DE1921">
      <w:pPr>
        <w:sectPr w:rsidR="003E5BF5" w:rsidSect="00DE1921">
          <w:pgSz w:w="11906" w:h="16838"/>
          <w:pgMar w:top="1701" w:right="1418" w:bottom="1418" w:left="1418" w:header="709" w:footer="709" w:gutter="0"/>
          <w:cols w:space="284"/>
          <w:docGrid w:linePitch="360"/>
        </w:sectPr>
      </w:pPr>
    </w:p>
    <w:p w14:paraId="33F1EFBD" w14:textId="77777777" w:rsidR="003E5BF5" w:rsidRPr="00E273FC" w:rsidRDefault="003E5BF5" w:rsidP="00CF74EB">
      <w:pPr>
        <w:pStyle w:val="TableHeader"/>
      </w:pPr>
      <w:r w:rsidRPr="00E273FC">
        <w:lastRenderedPageBreak/>
        <w:t>Major Transport Infrastructure Authority Workforce Information</w:t>
      </w:r>
    </w:p>
    <w:tbl>
      <w:tblPr>
        <w:tblStyle w:val="TableGrid"/>
        <w:tblW w:w="9072" w:type="dxa"/>
        <w:tblCellMar>
          <w:left w:w="0" w:type="dxa"/>
          <w:right w:w="0" w:type="dxa"/>
        </w:tblCellMar>
        <w:tblLook w:val="04A0" w:firstRow="1" w:lastRow="0" w:firstColumn="1" w:lastColumn="0" w:noHBand="0" w:noVBand="1"/>
      </w:tblPr>
      <w:tblGrid>
        <w:gridCol w:w="1945"/>
        <w:gridCol w:w="1011"/>
        <w:gridCol w:w="868"/>
        <w:gridCol w:w="217"/>
        <w:gridCol w:w="959"/>
        <w:gridCol w:w="1032"/>
        <w:gridCol w:w="840"/>
        <w:gridCol w:w="217"/>
        <w:gridCol w:w="1011"/>
        <w:gridCol w:w="972"/>
      </w:tblGrid>
      <w:tr w:rsidR="003E5BF5" w:rsidRPr="00E273FC" w14:paraId="0AB5E289" w14:textId="77777777" w:rsidTr="0045675C">
        <w:trPr>
          <w:trHeight w:val="284"/>
        </w:trPr>
        <w:tc>
          <w:tcPr>
            <w:tcW w:w="1972" w:type="dxa"/>
            <w:shd w:val="clear" w:color="auto" w:fill="auto"/>
            <w:tcMar>
              <w:left w:w="57" w:type="dxa"/>
              <w:right w:w="57" w:type="dxa"/>
            </w:tcMar>
            <w:vAlign w:val="center"/>
          </w:tcPr>
          <w:p w14:paraId="6387063E" w14:textId="77777777" w:rsidR="003E5BF5" w:rsidRPr="00E273FC" w:rsidRDefault="003E5BF5" w:rsidP="00DE1921">
            <w:pPr>
              <w:pStyle w:val="TableTextLeftBold"/>
              <w:jc w:val="center"/>
              <w:rPr>
                <w:rFonts w:ascii="Arial" w:hAnsi="Arial" w:cs="Arial"/>
                <w:sz w:val="24"/>
                <w:szCs w:val="24"/>
              </w:rPr>
            </w:pPr>
          </w:p>
        </w:tc>
        <w:tc>
          <w:tcPr>
            <w:tcW w:w="7039" w:type="dxa"/>
            <w:gridSpan w:val="9"/>
            <w:shd w:val="clear" w:color="auto" w:fill="auto"/>
            <w:vAlign w:val="center"/>
          </w:tcPr>
          <w:p w14:paraId="4E075788"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 June 2020</w:t>
            </w:r>
          </w:p>
        </w:tc>
      </w:tr>
      <w:tr w:rsidR="003E5BF5" w:rsidRPr="00E273FC" w14:paraId="2B23D055" w14:textId="77777777" w:rsidTr="0045675C">
        <w:trPr>
          <w:trHeight w:val="284"/>
        </w:trPr>
        <w:tc>
          <w:tcPr>
            <w:tcW w:w="1972" w:type="dxa"/>
            <w:shd w:val="clear" w:color="auto" w:fill="auto"/>
            <w:tcMar>
              <w:left w:w="57" w:type="dxa"/>
              <w:right w:w="57" w:type="dxa"/>
            </w:tcMar>
            <w:vAlign w:val="center"/>
          </w:tcPr>
          <w:p w14:paraId="7EC06B58" w14:textId="77777777" w:rsidR="003E5BF5" w:rsidRPr="00E273FC" w:rsidRDefault="003E5BF5" w:rsidP="00DE1921">
            <w:pPr>
              <w:pStyle w:val="TableTextLeftBold"/>
              <w:jc w:val="center"/>
              <w:rPr>
                <w:rFonts w:ascii="Arial" w:hAnsi="Arial" w:cs="Arial"/>
                <w:sz w:val="24"/>
                <w:szCs w:val="24"/>
              </w:rPr>
            </w:pPr>
          </w:p>
        </w:tc>
        <w:tc>
          <w:tcPr>
            <w:tcW w:w="1834" w:type="dxa"/>
            <w:gridSpan w:val="2"/>
            <w:shd w:val="clear" w:color="auto" w:fill="auto"/>
            <w:vAlign w:val="center"/>
          </w:tcPr>
          <w:p w14:paraId="36E31D69"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All Employees</w:t>
            </w:r>
          </w:p>
        </w:tc>
        <w:tc>
          <w:tcPr>
            <w:tcW w:w="236" w:type="dxa"/>
            <w:shd w:val="clear" w:color="auto" w:fill="auto"/>
            <w:vAlign w:val="center"/>
          </w:tcPr>
          <w:p w14:paraId="41EC0429" w14:textId="77777777" w:rsidR="003E5BF5" w:rsidRPr="00E273FC" w:rsidRDefault="003E5BF5" w:rsidP="00DE1921">
            <w:pPr>
              <w:pStyle w:val="TableTextRightBold"/>
              <w:jc w:val="center"/>
              <w:rPr>
                <w:rFonts w:ascii="Arial" w:hAnsi="Arial" w:cs="Arial"/>
                <w:sz w:val="24"/>
                <w:szCs w:val="24"/>
              </w:rPr>
            </w:pPr>
          </w:p>
        </w:tc>
        <w:tc>
          <w:tcPr>
            <w:tcW w:w="2900" w:type="dxa"/>
            <w:gridSpan w:val="3"/>
            <w:shd w:val="clear" w:color="auto" w:fill="auto"/>
            <w:vAlign w:val="center"/>
          </w:tcPr>
          <w:p w14:paraId="16686985"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Ongoing</w:t>
            </w:r>
          </w:p>
        </w:tc>
        <w:tc>
          <w:tcPr>
            <w:tcW w:w="236" w:type="dxa"/>
            <w:shd w:val="clear" w:color="auto" w:fill="auto"/>
            <w:vAlign w:val="center"/>
          </w:tcPr>
          <w:p w14:paraId="3EA4D7E0" w14:textId="77777777" w:rsidR="003E5BF5" w:rsidRPr="00E273FC" w:rsidRDefault="003E5BF5" w:rsidP="00DE1921">
            <w:pPr>
              <w:pStyle w:val="TableTextRightBold"/>
              <w:jc w:val="center"/>
              <w:rPr>
                <w:rFonts w:ascii="Arial" w:hAnsi="Arial" w:cs="Arial"/>
                <w:sz w:val="24"/>
                <w:szCs w:val="24"/>
              </w:rPr>
            </w:pPr>
          </w:p>
        </w:tc>
        <w:tc>
          <w:tcPr>
            <w:tcW w:w="1833" w:type="dxa"/>
            <w:gridSpan w:val="2"/>
            <w:shd w:val="clear" w:color="auto" w:fill="auto"/>
            <w:vAlign w:val="center"/>
          </w:tcPr>
          <w:p w14:paraId="54FA8DEE"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Fixed Term &amp; Casual</w:t>
            </w:r>
          </w:p>
        </w:tc>
      </w:tr>
      <w:tr w:rsidR="003E5BF5" w:rsidRPr="00E273FC" w14:paraId="6ADF8157" w14:textId="77777777" w:rsidTr="0045675C">
        <w:trPr>
          <w:trHeight w:val="284"/>
        </w:trPr>
        <w:tc>
          <w:tcPr>
            <w:tcW w:w="1972" w:type="dxa"/>
            <w:shd w:val="clear" w:color="auto" w:fill="auto"/>
            <w:tcMar>
              <w:left w:w="57" w:type="dxa"/>
              <w:right w:w="57" w:type="dxa"/>
            </w:tcMar>
            <w:vAlign w:val="center"/>
          </w:tcPr>
          <w:p w14:paraId="17FC23CC" w14:textId="77777777" w:rsidR="003E5BF5" w:rsidRPr="00E273FC" w:rsidRDefault="003E5BF5" w:rsidP="00DE1921">
            <w:pPr>
              <w:pStyle w:val="TableTextLeftBold"/>
              <w:jc w:val="right"/>
              <w:rPr>
                <w:rFonts w:ascii="Arial" w:hAnsi="Arial" w:cs="Arial"/>
                <w:sz w:val="24"/>
                <w:szCs w:val="24"/>
              </w:rPr>
            </w:pPr>
          </w:p>
        </w:tc>
        <w:tc>
          <w:tcPr>
            <w:tcW w:w="987" w:type="dxa"/>
            <w:shd w:val="clear" w:color="auto" w:fill="auto"/>
            <w:vAlign w:val="center"/>
          </w:tcPr>
          <w:p w14:paraId="3EF6178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Number*</w:t>
            </w:r>
          </w:p>
        </w:tc>
        <w:tc>
          <w:tcPr>
            <w:tcW w:w="847" w:type="dxa"/>
            <w:shd w:val="clear" w:color="auto" w:fill="auto"/>
            <w:vAlign w:val="center"/>
          </w:tcPr>
          <w:p w14:paraId="01F2A99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FTE</w:t>
            </w:r>
          </w:p>
        </w:tc>
        <w:tc>
          <w:tcPr>
            <w:tcW w:w="236" w:type="dxa"/>
            <w:shd w:val="clear" w:color="auto" w:fill="auto"/>
            <w:vAlign w:val="center"/>
          </w:tcPr>
          <w:p w14:paraId="55618549" w14:textId="77777777" w:rsidR="003E5BF5" w:rsidRPr="00E273FC" w:rsidRDefault="003E5BF5" w:rsidP="00DE1921">
            <w:pPr>
              <w:pStyle w:val="TableTextRightBold"/>
              <w:rPr>
                <w:rFonts w:ascii="Arial" w:hAnsi="Arial" w:cs="Arial"/>
                <w:sz w:val="24"/>
                <w:szCs w:val="24"/>
              </w:rPr>
            </w:pPr>
          </w:p>
        </w:tc>
        <w:tc>
          <w:tcPr>
            <w:tcW w:w="987" w:type="dxa"/>
            <w:shd w:val="clear" w:color="auto" w:fill="auto"/>
            <w:vAlign w:val="center"/>
          </w:tcPr>
          <w:p w14:paraId="19432388"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Full Time*</w:t>
            </w:r>
          </w:p>
        </w:tc>
        <w:tc>
          <w:tcPr>
            <w:tcW w:w="1067" w:type="dxa"/>
            <w:shd w:val="clear" w:color="auto" w:fill="auto"/>
            <w:vAlign w:val="center"/>
          </w:tcPr>
          <w:p w14:paraId="3FB6D30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Part Time*</w:t>
            </w:r>
          </w:p>
        </w:tc>
        <w:tc>
          <w:tcPr>
            <w:tcW w:w="846" w:type="dxa"/>
            <w:shd w:val="clear" w:color="auto" w:fill="auto"/>
            <w:tcMar>
              <w:left w:w="57" w:type="dxa"/>
              <w:right w:w="57" w:type="dxa"/>
            </w:tcMar>
            <w:vAlign w:val="center"/>
          </w:tcPr>
          <w:p w14:paraId="63C9827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FTE</w:t>
            </w:r>
          </w:p>
        </w:tc>
        <w:tc>
          <w:tcPr>
            <w:tcW w:w="236" w:type="dxa"/>
            <w:shd w:val="clear" w:color="auto" w:fill="auto"/>
            <w:vAlign w:val="center"/>
          </w:tcPr>
          <w:p w14:paraId="449FC6EF" w14:textId="77777777" w:rsidR="003E5BF5" w:rsidRPr="00E273FC" w:rsidRDefault="003E5BF5" w:rsidP="00DE1921">
            <w:pPr>
              <w:pStyle w:val="TableTextRightBold"/>
              <w:rPr>
                <w:rFonts w:ascii="Arial" w:hAnsi="Arial" w:cs="Arial"/>
                <w:sz w:val="24"/>
                <w:szCs w:val="24"/>
              </w:rPr>
            </w:pPr>
          </w:p>
        </w:tc>
        <w:tc>
          <w:tcPr>
            <w:tcW w:w="987" w:type="dxa"/>
            <w:shd w:val="clear" w:color="auto" w:fill="auto"/>
            <w:vAlign w:val="center"/>
          </w:tcPr>
          <w:p w14:paraId="409F8A4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Number*</w:t>
            </w:r>
          </w:p>
        </w:tc>
        <w:tc>
          <w:tcPr>
            <w:tcW w:w="846" w:type="dxa"/>
            <w:shd w:val="clear" w:color="auto" w:fill="auto"/>
            <w:tcMar>
              <w:left w:w="57" w:type="dxa"/>
              <w:right w:w="57" w:type="dxa"/>
            </w:tcMar>
            <w:vAlign w:val="center"/>
          </w:tcPr>
          <w:p w14:paraId="43889C4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FTE</w:t>
            </w:r>
          </w:p>
        </w:tc>
      </w:tr>
      <w:tr w:rsidR="003E5BF5" w:rsidRPr="00E273FC" w14:paraId="67382907" w14:textId="77777777" w:rsidTr="0045675C">
        <w:trPr>
          <w:trHeight w:val="284"/>
        </w:trPr>
        <w:tc>
          <w:tcPr>
            <w:tcW w:w="1972" w:type="dxa"/>
            <w:shd w:val="clear" w:color="auto" w:fill="auto"/>
            <w:tcMar>
              <w:left w:w="57" w:type="dxa"/>
              <w:right w:w="57" w:type="dxa"/>
            </w:tcMar>
            <w:vAlign w:val="center"/>
          </w:tcPr>
          <w:p w14:paraId="1B71DFFE"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Gender</w:t>
            </w:r>
          </w:p>
        </w:tc>
        <w:tc>
          <w:tcPr>
            <w:tcW w:w="987" w:type="dxa"/>
            <w:shd w:val="clear" w:color="auto" w:fill="auto"/>
            <w:vAlign w:val="center"/>
          </w:tcPr>
          <w:p w14:paraId="7AAAD0A3" w14:textId="77777777" w:rsidR="003E5BF5" w:rsidRPr="00E273FC" w:rsidRDefault="003E5BF5" w:rsidP="00DE1921">
            <w:pPr>
              <w:pStyle w:val="TableTextRightBold"/>
              <w:rPr>
                <w:rFonts w:ascii="Arial" w:hAnsi="Arial" w:cs="Arial"/>
                <w:sz w:val="24"/>
                <w:szCs w:val="24"/>
              </w:rPr>
            </w:pPr>
          </w:p>
        </w:tc>
        <w:tc>
          <w:tcPr>
            <w:tcW w:w="847" w:type="dxa"/>
            <w:shd w:val="clear" w:color="auto" w:fill="auto"/>
            <w:vAlign w:val="center"/>
          </w:tcPr>
          <w:p w14:paraId="0612F45B" w14:textId="77777777" w:rsidR="003E5BF5" w:rsidRPr="00E273FC" w:rsidRDefault="003E5BF5" w:rsidP="00DE1921">
            <w:pPr>
              <w:pStyle w:val="TableTextRightBold"/>
              <w:rPr>
                <w:rFonts w:ascii="Arial" w:hAnsi="Arial" w:cs="Arial"/>
                <w:sz w:val="24"/>
                <w:szCs w:val="24"/>
              </w:rPr>
            </w:pPr>
          </w:p>
        </w:tc>
        <w:tc>
          <w:tcPr>
            <w:tcW w:w="236" w:type="dxa"/>
            <w:shd w:val="clear" w:color="auto" w:fill="auto"/>
            <w:vAlign w:val="center"/>
          </w:tcPr>
          <w:p w14:paraId="2034F358" w14:textId="77777777" w:rsidR="003E5BF5" w:rsidRPr="00E273FC" w:rsidRDefault="003E5BF5" w:rsidP="00DE1921">
            <w:pPr>
              <w:pStyle w:val="TableTextRightBold"/>
              <w:rPr>
                <w:rFonts w:ascii="Arial" w:hAnsi="Arial" w:cs="Arial"/>
                <w:sz w:val="24"/>
                <w:szCs w:val="24"/>
              </w:rPr>
            </w:pPr>
          </w:p>
        </w:tc>
        <w:tc>
          <w:tcPr>
            <w:tcW w:w="987" w:type="dxa"/>
            <w:shd w:val="clear" w:color="auto" w:fill="auto"/>
            <w:vAlign w:val="center"/>
          </w:tcPr>
          <w:p w14:paraId="2A6837DC" w14:textId="77777777" w:rsidR="003E5BF5" w:rsidRPr="00E273FC" w:rsidRDefault="003E5BF5" w:rsidP="00DE1921">
            <w:pPr>
              <w:pStyle w:val="TableTextRightBold"/>
              <w:rPr>
                <w:rFonts w:ascii="Arial" w:hAnsi="Arial" w:cs="Arial"/>
                <w:sz w:val="24"/>
                <w:szCs w:val="24"/>
              </w:rPr>
            </w:pPr>
          </w:p>
        </w:tc>
        <w:tc>
          <w:tcPr>
            <w:tcW w:w="1067" w:type="dxa"/>
            <w:shd w:val="clear" w:color="auto" w:fill="auto"/>
            <w:vAlign w:val="center"/>
          </w:tcPr>
          <w:p w14:paraId="7B33B1EF" w14:textId="77777777" w:rsidR="003E5BF5" w:rsidRPr="00E273FC" w:rsidRDefault="003E5BF5" w:rsidP="00DE1921">
            <w:pPr>
              <w:pStyle w:val="TableTextRightBold"/>
              <w:rPr>
                <w:rFonts w:ascii="Arial" w:hAnsi="Arial" w:cs="Arial"/>
                <w:sz w:val="24"/>
                <w:szCs w:val="24"/>
              </w:rPr>
            </w:pPr>
          </w:p>
        </w:tc>
        <w:tc>
          <w:tcPr>
            <w:tcW w:w="846" w:type="dxa"/>
            <w:shd w:val="clear" w:color="auto" w:fill="auto"/>
            <w:tcMar>
              <w:left w:w="57" w:type="dxa"/>
              <w:right w:w="57" w:type="dxa"/>
            </w:tcMar>
            <w:vAlign w:val="center"/>
          </w:tcPr>
          <w:p w14:paraId="093E14D0" w14:textId="77777777" w:rsidR="003E5BF5" w:rsidRPr="00E273FC" w:rsidRDefault="003E5BF5" w:rsidP="00DE1921">
            <w:pPr>
              <w:pStyle w:val="TableTextRightBold"/>
              <w:rPr>
                <w:rFonts w:ascii="Arial" w:hAnsi="Arial" w:cs="Arial"/>
                <w:sz w:val="24"/>
                <w:szCs w:val="24"/>
              </w:rPr>
            </w:pPr>
          </w:p>
        </w:tc>
        <w:tc>
          <w:tcPr>
            <w:tcW w:w="236" w:type="dxa"/>
            <w:shd w:val="clear" w:color="auto" w:fill="auto"/>
            <w:vAlign w:val="center"/>
          </w:tcPr>
          <w:p w14:paraId="2DB13420" w14:textId="77777777" w:rsidR="003E5BF5" w:rsidRPr="00E273FC" w:rsidRDefault="003E5BF5" w:rsidP="00DE1921">
            <w:pPr>
              <w:pStyle w:val="TableTextRightBold"/>
              <w:rPr>
                <w:rFonts w:ascii="Arial" w:hAnsi="Arial" w:cs="Arial"/>
                <w:sz w:val="24"/>
                <w:szCs w:val="24"/>
              </w:rPr>
            </w:pPr>
          </w:p>
        </w:tc>
        <w:tc>
          <w:tcPr>
            <w:tcW w:w="987" w:type="dxa"/>
            <w:shd w:val="clear" w:color="auto" w:fill="auto"/>
            <w:vAlign w:val="center"/>
          </w:tcPr>
          <w:p w14:paraId="02296AD3" w14:textId="77777777" w:rsidR="003E5BF5" w:rsidRPr="00E273FC" w:rsidRDefault="003E5BF5" w:rsidP="00DE1921">
            <w:pPr>
              <w:pStyle w:val="TableTextRightBold"/>
              <w:rPr>
                <w:rFonts w:ascii="Arial" w:hAnsi="Arial" w:cs="Arial"/>
                <w:sz w:val="24"/>
                <w:szCs w:val="24"/>
              </w:rPr>
            </w:pPr>
          </w:p>
        </w:tc>
        <w:tc>
          <w:tcPr>
            <w:tcW w:w="846" w:type="dxa"/>
            <w:shd w:val="clear" w:color="auto" w:fill="auto"/>
            <w:tcMar>
              <w:left w:w="57" w:type="dxa"/>
              <w:right w:w="57" w:type="dxa"/>
            </w:tcMar>
            <w:vAlign w:val="center"/>
          </w:tcPr>
          <w:p w14:paraId="09F3C0CD" w14:textId="77777777" w:rsidR="003E5BF5" w:rsidRPr="00E273FC" w:rsidRDefault="003E5BF5" w:rsidP="00DE1921">
            <w:pPr>
              <w:pStyle w:val="TableTextRightBold"/>
              <w:rPr>
                <w:rFonts w:ascii="Arial" w:hAnsi="Arial" w:cs="Arial"/>
                <w:sz w:val="24"/>
                <w:szCs w:val="24"/>
              </w:rPr>
            </w:pPr>
          </w:p>
        </w:tc>
      </w:tr>
      <w:tr w:rsidR="003E5BF5" w:rsidRPr="00E273FC" w14:paraId="66E9ADFA" w14:textId="77777777" w:rsidTr="0045675C">
        <w:trPr>
          <w:trHeight w:val="284"/>
        </w:trPr>
        <w:tc>
          <w:tcPr>
            <w:tcW w:w="1972" w:type="dxa"/>
            <w:shd w:val="clear" w:color="auto" w:fill="auto"/>
            <w:tcMar>
              <w:left w:w="57" w:type="dxa"/>
              <w:right w:w="57" w:type="dxa"/>
            </w:tcMar>
            <w:vAlign w:val="center"/>
          </w:tcPr>
          <w:p w14:paraId="708AD6F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Woman</w:t>
            </w:r>
          </w:p>
        </w:tc>
        <w:tc>
          <w:tcPr>
            <w:tcW w:w="987" w:type="dxa"/>
            <w:shd w:val="clear" w:color="auto" w:fill="auto"/>
            <w:vAlign w:val="center"/>
          </w:tcPr>
          <w:p w14:paraId="1966703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850</w:t>
            </w:r>
          </w:p>
        </w:tc>
        <w:tc>
          <w:tcPr>
            <w:tcW w:w="847" w:type="dxa"/>
            <w:shd w:val="clear" w:color="auto" w:fill="auto"/>
            <w:vAlign w:val="center"/>
          </w:tcPr>
          <w:p w14:paraId="09EBD2C3"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814.3</w:t>
            </w:r>
          </w:p>
        </w:tc>
        <w:tc>
          <w:tcPr>
            <w:tcW w:w="236" w:type="dxa"/>
            <w:shd w:val="clear" w:color="auto" w:fill="auto"/>
            <w:vAlign w:val="center"/>
          </w:tcPr>
          <w:p w14:paraId="37014215"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4650DEC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144</w:t>
            </w:r>
          </w:p>
        </w:tc>
        <w:tc>
          <w:tcPr>
            <w:tcW w:w="1067" w:type="dxa"/>
            <w:shd w:val="clear" w:color="auto" w:fill="auto"/>
            <w:vAlign w:val="center"/>
          </w:tcPr>
          <w:p w14:paraId="277FF04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35</w:t>
            </w:r>
          </w:p>
        </w:tc>
        <w:tc>
          <w:tcPr>
            <w:tcW w:w="846" w:type="dxa"/>
            <w:shd w:val="clear" w:color="auto" w:fill="auto"/>
            <w:tcMar>
              <w:left w:w="57" w:type="dxa"/>
              <w:right w:w="57" w:type="dxa"/>
            </w:tcMar>
            <w:vAlign w:val="center"/>
          </w:tcPr>
          <w:p w14:paraId="7232C30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169.3</w:t>
            </w:r>
          </w:p>
        </w:tc>
        <w:tc>
          <w:tcPr>
            <w:tcW w:w="236" w:type="dxa"/>
            <w:shd w:val="clear" w:color="auto" w:fill="auto"/>
            <w:vAlign w:val="center"/>
          </w:tcPr>
          <w:p w14:paraId="207052C3"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1023C24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671</w:t>
            </w:r>
          </w:p>
        </w:tc>
        <w:tc>
          <w:tcPr>
            <w:tcW w:w="846" w:type="dxa"/>
            <w:shd w:val="clear" w:color="auto" w:fill="auto"/>
            <w:tcMar>
              <w:left w:w="57" w:type="dxa"/>
              <w:right w:w="57" w:type="dxa"/>
            </w:tcMar>
            <w:vAlign w:val="center"/>
          </w:tcPr>
          <w:p w14:paraId="46E1FE6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645.1</w:t>
            </w:r>
          </w:p>
        </w:tc>
      </w:tr>
      <w:tr w:rsidR="003E5BF5" w:rsidRPr="00E273FC" w14:paraId="3EA909F8" w14:textId="77777777" w:rsidTr="0045675C">
        <w:trPr>
          <w:trHeight w:val="284"/>
        </w:trPr>
        <w:tc>
          <w:tcPr>
            <w:tcW w:w="1972" w:type="dxa"/>
            <w:shd w:val="clear" w:color="auto" w:fill="auto"/>
            <w:tcMar>
              <w:left w:w="57" w:type="dxa"/>
              <w:right w:w="57" w:type="dxa"/>
            </w:tcMar>
            <w:vAlign w:val="center"/>
          </w:tcPr>
          <w:p w14:paraId="2DC433A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Man</w:t>
            </w:r>
          </w:p>
        </w:tc>
        <w:tc>
          <w:tcPr>
            <w:tcW w:w="987" w:type="dxa"/>
            <w:shd w:val="clear" w:color="auto" w:fill="auto"/>
            <w:vAlign w:val="center"/>
          </w:tcPr>
          <w:p w14:paraId="5AFD58D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1,188</w:t>
            </w:r>
          </w:p>
        </w:tc>
        <w:tc>
          <w:tcPr>
            <w:tcW w:w="847" w:type="dxa"/>
            <w:shd w:val="clear" w:color="auto" w:fill="auto"/>
            <w:vAlign w:val="center"/>
          </w:tcPr>
          <w:p w14:paraId="44470B0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1,175.7</w:t>
            </w:r>
          </w:p>
        </w:tc>
        <w:tc>
          <w:tcPr>
            <w:tcW w:w="236" w:type="dxa"/>
            <w:shd w:val="clear" w:color="auto" w:fill="auto"/>
            <w:vAlign w:val="center"/>
          </w:tcPr>
          <w:p w14:paraId="747EBEDE"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3D6D34B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290</w:t>
            </w:r>
          </w:p>
        </w:tc>
        <w:tc>
          <w:tcPr>
            <w:tcW w:w="1067" w:type="dxa"/>
            <w:shd w:val="clear" w:color="auto" w:fill="auto"/>
            <w:vAlign w:val="center"/>
          </w:tcPr>
          <w:p w14:paraId="218D6505"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w:t>
            </w:r>
          </w:p>
        </w:tc>
        <w:tc>
          <w:tcPr>
            <w:tcW w:w="846" w:type="dxa"/>
            <w:shd w:val="clear" w:color="auto" w:fill="auto"/>
            <w:tcMar>
              <w:left w:w="57" w:type="dxa"/>
              <w:right w:w="57" w:type="dxa"/>
            </w:tcMar>
            <w:vAlign w:val="center"/>
          </w:tcPr>
          <w:p w14:paraId="48693E4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290.9</w:t>
            </w:r>
          </w:p>
        </w:tc>
        <w:tc>
          <w:tcPr>
            <w:tcW w:w="236" w:type="dxa"/>
            <w:shd w:val="clear" w:color="auto" w:fill="auto"/>
            <w:vAlign w:val="center"/>
          </w:tcPr>
          <w:p w14:paraId="0887960C"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5493F2D2"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897</w:t>
            </w:r>
          </w:p>
        </w:tc>
        <w:tc>
          <w:tcPr>
            <w:tcW w:w="846" w:type="dxa"/>
            <w:shd w:val="clear" w:color="auto" w:fill="auto"/>
            <w:tcMar>
              <w:left w:w="57" w:type="dxa"/>
              <w:right w:w="57" w:type="dxa"/>
            </w:tcMar>
            <w:vAlign w:val="center"/>
          </w:tcPr>
          <w:p w14:paraId="4AD73F6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884.9</w:t>
            </w:r>
          </w:p>
        </w:tc>
      </w:tr>
      <w:tr w:rsidR="003E5BF5" w:rsidRPr="00E273FC" w14:paraId="7D34A8AF" w14:textId="77777777" w:rsidTr="0045675C">
        <w:trPr>
          <w:trHeight w:val="284"/>
        </w:trPr>
        <w:tc>
          <w:tcPr>
            <w:tcW w:w="1972" w:type="dxa"/>
            <w:shd w:val="clear" w:color="auto" w:fill="auto"/>
            <w:tcMar>
              <w:left w:w="57" w:type="dxa"/>
              <w:right w:w="57" w:type="dxa"/>
            </w:tcMar>
            <w:vAlign w:val="center"/>
          </w:tcPr>
          <w:p w14:paraId="75F052F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Self-described</w:t>
            </w:r>
          </w:p>
        </w:tc>
        <w:tc>
          <w:tcPr>
            <w:tcW w:w="987" w:type="dxa"/>
            <w:shd w:val="clear" w:color="auto" w:fill="auto"/>
            <w:vAlign w:val="center"/>
          </w:tcPr>
          <w:p w14:paraId="1FABF92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w:t>
            </w:r>
          </w:p>
        </w:tc>
        <w:tc>
          <w:tcPr>
            <w:tcW w:w="847" w:type="dxa"/>
            <w:shd w:val="clear" w:color="auto" w:fill="auto"/>
            <w:vAlign w:val="center"/>
          </w:tcPr>
          <w:p w14:paraId="2382B0E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1.0</w:t>
            </w:r>
          </w:p>
        </w:tc>
        <w:tc>
          <w:tcPr>
            <w:tcW w:w="236" w:type="dxa"/>
            <w:shd w:val="clear" w:color="auto" w:fill="auto"/>
            <w:vAlign w:val="center"/>
          </w:tcPr>
          <w:p w14:paraId="67C85B70"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0C68BE45"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1067" w:type="dxa"/>
            <w:shd w:val="clear" w:color="auto" w:fill="auto"/>
            <w:vAlign w:val="center"/>
          </w:tcPr>
          <w:p w14:paraId="295803B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3093EC49"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236" w:type="dxa"/>
            <w:shd w:val="clear" w:color="auto" w:fill="auto"/>
            <w:vAlign w:val="center"/>
          </w:tcPr>
          <w:p w14:paraId="35DC6DB5"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646993A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w:t>
            </w:r>
          </w:p>
        </w:tc>
        <w:tc>
          <w:tcPr>
            <w:tcW w:w="846" w:type="dxa"/>
            <w:shd w:val="clear" w:color="auto" w:fill="auto"/>
            <w:tcMar>
              <w:left w:w="57" w:type="dxa"/>
              <w:right w:w="57" w:type="dxa"/>
            </w:tcMar>
            <w:vAlign w:val="center"/>
          </w:tcPr>
          <w:p w14:paraId="4151E115"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1.0</w:t>
            </w:r>
          </w:p>
        </w:tc>
      </w:tr>
      <w:tr w:rsidR="003E5BF5" w:rsidRPr="00E273FC" w14:paraId="1F0C858E" w14:textId="77777777" w:rsidTr="0045675C">
        <w:trPr>
          <w:trHeight w:val="284"/>
        </w:trPr>
        <w:tc>
          <w:tcPr>
            <w:tcW w:w="1972" w:type="dxa"/>
            <w:shd w:val="clear" w:color="auto" w:fill="auto"/>
            <w:tcMar>
              <w:left w:w="57" w:type="dxa"/>
              <w:right w:w="57" w:type="dxa"/>
            </w:tcMar>
            <w:vAlign w:val="center"/>
          </w:tcPr>
          <w:p w14:paraId="68383B68"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Age</w:t>
            </w:r>
          </w:p>
        </w:tc>
        <w:tc>
          <w:tcPr>
            <w:tcW w:w="987" w:type="dxa"/>
            <w:shd w:val="clear" w:color="auto" w:fill="auto"/>
            <w:vAlign w:val="center"/>
          </w:tcPr>
          <w:p w14:paraId="504BEC1B" w14:textId="77777777" w:rsidR="003E5BF5" w:rsidRPr="0045675C" w:rsidRDefault="003E5BF5" w:rsidP="00DE1921">
            <w:pPr>
              <w:pStyle w:val="TableTextRightBold"/>
              <w:ind w:right="57"/>
              <w:rPr>
                <w:rFonts w:ascii="Arial" w:hAnsi="Arial" w:cs="Arial"/>
                <w:b w:val="0"/>
                <w:sz w:val="24"/>
                <w:szCs w:val="24"/>
              </w:rPr>
            </w:pPr>
          </w:p>
        </w:tc>
        <w:tc>
          <w:tcPr>
            <w:tcW w:w="847" w:type="dxa"/>
            <w:shd w:val="clear" w:color="auto" w:fill="auto"/>
            <w:vAlign w:val="center"/>
          </w:tcPr>
          <w:p w14:paraId="0BADB429" w14:textId="77777777" w:rsidR="003E5BF5" w:rsidRPr="0045675C" w:rsidRDefault="003E5BF5" w:rsidP="00DE1921">
            <w:pPr>
              <w:pStyle w:val="TableTextRightBold"/>
              <w:ind w:right="57"/>
              <w:rPr>
                <w:rFonts w:ascii="Arial" w:hAnsi="Arial" w:cs="Arial"/>
                <w:b w:val="0"/>
                <w:sz w:val="24"/>
                <w:szCs w:val="24"/>
              </w:rPr>
            </w:pPr>
          </w:p>
        </w:tc>
        <w:tc>
          <w:tcPr>
            <w:tcW w:w="236" w:type="dxa"/>
            <w:shd w:val="clear" w:color="auto" w:fill="auto"/>
            <w:vAlign w:val="center"/>
          </w:tcPr>
          <w:p w14:paraId="21E52F09"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704A3133" w14:textId="77777777" w:rsidR="003E5BF5" w:rsidRPr="0045675C" w:rsidRDefault="003E5BF5" w:rsidP="00DE1921">
            <w:pPr>
              <w:pStyle w:val="TableTextRightBold"/>
              <w:ind w:right="57"/>
              <w:rPr>
                <w:rFonts w:ascii="Arial" w:hAnsi="Arial" w:cs="Arial"/>
                <w:b w:val="0"/>
                <w:sz w:val="24"/>
                <w:szCs w:val="24"/>
              </w:rPr>
            </w:pPr>
          </w:p>
        </w:tc>
        <w:tc>
          <w:tcPr>
            <w:tcW w:w="1067" w:type="dxa"/>
            <w:shd w:val="clear" w:color="auto" w:fill="auto"/>
            <w:vAlign w:val="center"/>
          </w:tcPr>
          <w:p w14:paraId="694E75EC" w14:textId="77777777" w:rsidR="003E5BF5" w:rsidRPr="0045675C" w:rsidRDefault="003E5BF5" w:rsidP="00DE1921">
            <w:pPr>
              <w:pStyle w:val="TableTextRightBold"/>
              <w:ind w:right="57"/>
              <w:rPr>
                <w:rFonts w:ascii="Arial" w:hAnsi="Arial" w:cs="Arial"/>
                <w:b w:val="0"/>
                <w:sz w:val="24"/>
                <w:szCs w:val="24"/>
              </w:rPr>
            </w:pPr>
          </w:p>
        </w:tc>
        <w:tc>
          <w:tcPr>
            <w:tcW w:w="846" w:type="dxa"/>
            <w:shd w:val="clear" w:color="auto" w:fill="auto"/>
            <w:tcMar>
              <w:left w:w="57" w:type="dxa"/>
              <w:right w:w="57" w:type="dxa"/>
            </w:tcMar>
            <w:vAlign w:val="center"/>
          </w:tcPr>
          <w:p w14:paraId="020EDD71" w14:textId="77777777" w:rsidR="003E5BF5" w:rsidRPr="0045675C" w:rsidRDefault="003E5BF5" w:rsidP="00DE1921">
            <w:pPr>
              <w:pStyle w:val="TableTextRightBold"/>
              <w:ind w:right="57"/>
              <w:rPr>
                <w:rFonts w:ascii="Arial" w:hAnsi="Arial" w:cs="Arial"/>
                <w:b w:val="0"/>
                <w:sz w:val="24"/>
                <w:szCs w:val="24"/>
              </w:rPr>
            </w:pPr>
          </w:p>
        </w:tc>
        <w:tc>
          <w:tcPr>
            <w:tcW w:w="236" w:type="dxa"/>
            <w:shd w:val="clear" w:color="auto" w:fill="auto"/>
            <w:vAlign w:val="center"/>
          </w:tcPr>
          <w:p w14:paraId="0F51F173"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55A88180" w14:textId="77777777" w:rsidR="003E5BF5" w:rsidRPr="0045675C" w:rsidRDefault="003E5BF5" w:rsidP="00DE1921">
            <w:pPr>
              <w:pStyle w:val="TableTextRightBold"/>
              <w:ind w:right="57"/>
              <w:rPr>
                <w:rFonts w:ascii="Arial" w:hAnsi="Arial" w:cs="Arial"/>
                <w:b w:val="0"/>
                <w:sz w:val="24"/>
                <w:szCs w:val="24"/>
              </w:rPr>
            </w:pPr>
          </w:p>
        </w:tc>
        <w:tc>
          <w:tcPr>
            <w:tcW w:w="846" w:type="dxa"/>
            <w:shd w:val="clear" w:color="auto" w:fill="auto"/>
            <w:tcMar>
              <w:left w:w="57" w:type="dxa"/>
              <w:right w:w="57" w:type="dxa"/>
            </w:tcMar>
            <w:vAlign w:val="center"/>
          </w:tcPr>
          <w:p w14:paraId="3C7CE93C" w14:textId="77777777" w:rsidR="003E5BF5" w:rsidRPr="0045675C" w:rsidRDefault="003E5BF5" w:rsidP="00DE1921">
            <w:pPr>
              <w:pStyle w:val="TableTextRightBold"/>
              <w:ind w:right="57"/>
              <w:rPr>
                <w:rFonts w:ascii="Arial" w:hAnsi="Arial" w:cs="Arial"/>
                <w:b w:val="0"/>
                <w:sz w:val="24"/>
                <w:szCs w:val="24"/>
              </w:rPr>
            </w:pPr>
          </w:p>
        </w:tc>
      </w:tr>
      <w:tr w:rsidR="003E5BF5" w:rsidRPr="00E273FC" w14:paraId="68134CA9" w14:textId="77777777" w:rsidTr="0045675C">
        <w:trPr>
          <w:trHeight w:val="284"/>
        </w:trPr>
        <w:tc>
          <w:tcPr>
            <w:tcW w:w="1972" w:type="dxa"/>
            <w:shd w:val="clear" w:color="auto" w:fill="auto"/>
            <w:tcMar>
              <w:left w:w="57" w:type="dxa"/>
              <w:right w:w="57" w:type="dxa"/>
            </w:tcMar>
            <w:vAlign w:val="center"/>
          </w:tcPr>
          <w:p w14:paraId="3E6C5B7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15-24</w:t>
            </w:r>
          </w:p>
        </w:tc>
        <w:tc>
          <w:tcPr>
            <w:tcW w:w="987" w:type="dxa"/>
            <w:shd w:val="clear" w:color="auto" w:fill="auto"/>
            <w:vAlign w:val="center"/>
          </w:tcPr>
          <w:p w14:paraId="5DFEF8D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170</w:t>
            </w:r>
          </w:p>
        </w:tc>
        <w:tc>
          <w:tcPr>
            <w:tcW w:w="847" w:type="dxa"/>
            <w:shd w:val="clear" w:color="auto" w:fill="auto"/>
            <w:vAlign w:val="center"/>
          </w:tcPr>
          <w:p w14:paraId="199D4AE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159.6</w:t>
            </w:r>
          </w:p>
        </w:tc>
        <w:tc>
          <w:tcPr>
            <w:tcW w:w="236" w:type="dxa"/>
            <w:shd w:val="clear" w:color="auto" w:fill="auto"/>
            <w:vAlign w:val="center"/>
          </w:tcPr>
          <w:p w14:paraId="424FC1AF"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08C625C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w:t>
            </w:r>
          </w:p>
        </w:tc>
        <w:tc>
          <w:tcPr>
            <w:tcW w:w="1067" w:type="dxa"/>
            <w:shd w:val="clear" w:color="auto" w:fill="auto"/>
            <w:vAlign w:val="center"/>
          </w:tcPr>
          <w:p w14:paraId="34A3F68C"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113615A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4.0</w:t>
            </w:r>
          </w:p>
        </w:tc>
        <w:tc>
          <w:tcPr>
            <w:tcW w:w="236" w:type="dxa"/>
            <w:shd w:val="clear" w:color="auto" w:fill="auto"/>
            <w:vAlign w:val="center"/>
          </w:tcPr>
          <w:p w14:paraId="62E880E0"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0CA504D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166</w:t>
            </w:r>
          </w:p>
        </w:tc>
        <w:tc>
          <w:tcPr>
            <w:tcW w:w="846" w:type="dxa"/>
            <w:shd w:val="clear" w:color="auto" w:fill="auto"/>
            <w:tcMar>
              <w:left w:w="57" w:type="dxa"/>
              <w:right w:w="57" w:type="dxa"/>
            </w:tcMar>
            <w:vAlign w:val="center"/>
          </w:tcPr>
          <w:p w14:paraId="31B7826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155.6</w:t>
            </w:r>
          </w:p>
        </w:tc>
      </w:tr>
      <w:tr w:rsidR="003E5BF5" w:rsidRPr="00E273FC" w14:paraId="6EAF1DF2" w14:textId="77777777" w:rsidTr="0045675C">
        <w:trPr>
          <w:trHeight w:val="284"/>
        </w:trPr>
        <w:tc>
          <w:tcPr>
            <w:tcW w:w="1972" w:type="dxa"/>
            <w:shd w:val="clear" w:color="auto" w:fill="auto"/>
            <w:tcMar>
              <w:left w:w="57" w:type="dxa"/>
              <w:right w:w="57" w:type="dxa"/>
            </w:tcMar>
            <w:vAlign w:val="center"/>
          </w:tcPr>
          <w:p w14:paraId="4770F10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25-34</w:t>
            </w:r>
          </w:p>
        </w:tc>
        <w:tc>
          <w:tcPr>
            <w:tcW w:w="987" w:type="dxa"/>
            <w:shd w:val="clear" w:color="auto" w:fill="auto"/>
            <w:vAlign w:val="center"/>
          </w:tcPr>
          <w:p w14:paraId="52DB2FCC"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686</w:t>
            </w:r>
          </w:p>
        </w:tc>
        <w:tc>
          <w:tcPr>
            <w:tcW w:w="847" w:type="dxa"/>
            <w:shd w:val="clear" w:color="auto" w:fill="auto"/>
            <w:vAlign w:val="center"/>
          </w:tcPr>
          <w:p w14:paraId="3DC57CE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678.6</w:t>
            </w:r>
          </w:p>
        </w:tc>
        <w:tc>
          <w:tcPr>
            <w:tcW w:w="236" w:type="dxa"/>
            <w:shd w:val="clear" w:color="auto" w:fill="auto"/>
            <w:vAlign w:val="center"/>
          </w:tcPr>
          <w:p w14:paraId="5C566571"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797E759E"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151</w:t>
            </w:r>
          </w:p>
        </w:tc>
        <w:tc>
          <w:tcPr>
            <w:tcW w:w="1067" w:type="dxa"/>
            <w:shd w:val="clear" w:color="auto" w:fill="auto"/>
            <w:vAlign w:val="center"/>
          </w:tcPr>
          <w:p w14:paraId="037318E0"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10</w:t>
            </w:r>
          </w:p>
        </w:tc>
        <w:tc>
          <w:tcPr>
            <w:tcW w:w="846" w:type="dxa"/>
            <w:shd w:val="clear" w:color="auto" w:fill="auto"/>
            <w:tcMar>
              <w:left w:w="57" w:type="dxa"/>
              <w:right w:w="57" w:type="dxa"/>
            </w:tcMar>
            <w:vAlign w:val="center"/>
          </w:tcPr>
          <w:p w14:paraId="718E0132"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159.0</w:t>
            </w:r>
          </w:p>
        </w:tc>
        <w:tc>
          <w:tcPr>
            <w:tcW w:w="236" w:type="dxa"/>
            <w:shd w:val="clear" w:color="auto" w:fill="auto"/>
            <w:vAlign w:val="center"/>
          </w:tcPr>
          <w:p w14:paraId="6FD0C15D"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369703B2"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525</w:t>
            </w:r>
          </w:p>
        </w:tc>
        <w:tc>
          <w:tcPr>
            <w:tcW w:w="846" w:type="dxa"/>
            <w:shd w:val="clear" w:color="auto" w:fill="auto"/>
            <w:tcMar>
              <w:left w:w="57" w:type="dxa"/>
              <w:right w:w="57" w:type="dxa"/>
            </w:tcMar>
            <w:vAlign w:val="center"/>
          </w:tcPr>
          <w:p w14:paraId="5A75A7B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519.6</w:t>
            </w:r>
          </w:p>
        </w:tc>
      </w:tr>
      <w:tr w:rsidR="003E5BF5" w:rsidRPr="00E273FC" w14:paraId="540A22BD" w14:textId="77777777" w:rsidTr="0045675C">
        <w:trPr>
          <w:trHeight w:val="284"/>
        </w:trPr>
        <w:tc>
          <w:tcPr>
            <w:tcW w:w="1972" w:type="dxa"/>
            <w:shd w:val="clear" w:color="auto" w:fill="auto"/>
            <w:tcMar>
              <w:left w:w="57" w:type="dxa"/>
              <w:right w:w="57" w:type="dxa"/>
            </w:tcMar>
            <w:vAlign w:val="center"/>
          </w:tcPr>
          <w:p w14:paraId="4F1CB54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35-44</w:t>
            </w:r>
          </w:p>
        </w:tc>
        <w:tc>
          <w:tcPr>
            <w:tcW w:w="987" w:type="dxa"/>
            <w:shd w:val="clear" w:color="auto" w:fill="auto"/>
            <w:vAlign w:val="center"/>
          </w:tcPr>
          <w:p w14:paraId="1B63B2C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639</w:t>
            </w:r>
          </w:p>
        </w:tc>
        <w:tc>
          <w:tcPr>
            <w:tcW w:w="847" w:type="dxa"/>
            <w:shd w:val="clear" w:color="auto" w:fill="auto"/>
            <w:vAlign w:val="center"/>
          </w:tcPr>
          <w:p w14:paraId="5ACE161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618.7</w:t>
            </w:r>
          </w:p>
        </w:tc>
        <w:tc>
          <w:tcPr>
            <w:tcW w:w="236" w:type="dxa"/>
            <w:shd w:val="clear" w:color="auto" w:fill="auto"/>
            <w:vAlign w:val="center"/>
          </w:tcPr>
          <w:p w14:paraId="2F317699"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179F9F0E"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145</w:t>
            </w:r>
          </w:p>
        </w:tc>
        <w:tc>
          <w:tcPr>
            <w:tcW w:w="1067" w:type="dxa"/>
            <w:shd w:val="clear" w:color="auto" w:fill="auto"/>
            <w:vAlign w:val="center"/>
          </w:tcPr>
          <w:p w14:paraId="61A59CE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20</w:t>
            </w:r>
          </w:p>
        </w:tc>
        <w:tc>
          <w:tcPr>
            <w:tcW w:w="846" w:type="dxa"/>
            <w:shd w:val="clear" w:color="auto" w:fill="auto"/>
            <w:tcMar>
              <w:left w:w="57" w:type="dxa"/>
              <w:right w:w="57" w:type="dxa"/>
            </w:tcMar>
            <w:vAlign w:val="center"/>
          </w:tcPr>
          <w:p w14:paraId="298101F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158.4</w:t>
            </w:r>
          </w:p>
        </w:tc>
        <w:tc>
          <w:tcPr>
            <w:tcW w:w="236" w:type="dxa"/>
            <w:shd w:val="clear" w:color="auto" w:fill="auto"/>
            <w:vAlign w:val="center"/>
          </w:tcPr>
          <w:p w14:paraId="55353579"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75514D8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474</w:t>
            </w:r>
          </w:p>
        </w:tc>
        <w:tc>
          <w:tcPr>
            <w:tcW w:w="846" w:type="dxa"/>
            <w:shd w:val="clear" w:color="auto" w:fill="auto"/>
            <w:tcMar>
              <w:left w:w="57" w:type="dxa"/>
              <w:right w:w="57" w:type="dxa"/>
            </w:tcMar>
            <w:vAlign w:val="center"/>
          </w:tcPr>
          <w:p w14:paraId="4B1732F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460.3</w:t>
            </w:r>
          </w:p>
        </w:tc>
      </w:tr>
      <w:tr w:rsidR="003E5BF5" w:rsidRPr="00E273FC" w14:paraId="7091645C" w14:textId="77777777" w:rsidTr="0045675C">
        <w:trPr>
          <w:trHeight w:val="284"/>
        </w:trPr>
        <w:tc>
          <w:tcPr>
            <w:tcW w:w="1972" w:type="dxa"/>
            <w:shd w:val="clear" w:color="auto" w:fill="auto"/>
            <w:tcMar>
              <w:left w:w="57" w:type="dxa"/>
              <w:right w:w="57" w:type="dxa"/>
            </w:tcMar>
            <w:vAlign w:val="center"/>
          </w:tcPr>
          <w:p w14:paraId="23E388A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45-54</w:t>
            </w:r>
          </w:p>
        </w:tc>
        <w:tc>
          <w:tcPr>
            <w:tcW w:w="987" w:type="dxa"/>
            <w:shd w:val="clear" w:color="auto" w:fill="auto"/>
            <w:vAlign w:val="center"/>
          </w:tcPr>
          <w:p w14:paraId="6AFF0A6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369</w:t>
            </w:r>
          </w:p>
        </w:tc>
        <w:tc>
          <w:tcPr>
            <w:tcW w:w="847" w:type="dxa"/>
            <w:shd w:val="clear" w:color="auto" w:fill="auto"/>
            <w:vAlign w:val="center"/>
          </w:tcPr>
          <w:p w14:paraId="553FA63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362.1</w:t>
            </w:r>
          </w:p>
        </w:tc>
        <w:tc>
          <w:tcPr>
            <w:tcW w:w="236" w:type="dxa"/>
            <w:shd w:val="clear" w:color="auto" w:fill="auto"/>
            <w:vAlign w:val="center"/>
          </w:tcPr>
          <w:p w14:paraId="05D7F222"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4870C2A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90</w:t>
            </w:r>
          </w:p>
        </w:tc>
        <w:tc>
          <w:tcPr>
            <w:tcW w:w="1067" w:type="dxa"/>
            <w:shd w:val="clear" w:color="auto" w:fill="auto"/>
            <w:vAlign w:val="center"/>
          </w:tcPr>
          <w:p w14:paraId="28E7E193"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5</w:t>
            </w:r>
          </w:p>
        </w:tc>
        <w:tc>
          <w:tcPr>
            <w:tcW w:w="846" w:type="dxa"/>
            <w:shd w:val="clear" w:color="auto" w:fill="auto"/>
            <w:tcMar>
              <w:left w:w="57" w:type="dxa"/>
              <w:right w:w="57" w:type="dxa"/>
            </w:tcMar>
            <w:vAlign w:val="center"/>
          </w:tcPr>
          <w:p w14:paraId="62C58FA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93.9</w:t>
            </w:r>
          </w:p>
        </w:tc>
        <w:tc>
          <w:tcPr>
            <w:tcW w:w="236" w:type="dxa"/>
            <w:shd w:val="clear" w:color="auto" w:fill="auto"/>
            <w:vAlign w:val="center"/>
          </w:tcPr>
          <w:p w14:paraId="5023FB6A"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0F70E8E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274</w:t>
            </w:r>
          </w:p>
        </w:tc>
        <w:tc>
          <w:tcPr>
            <w:tcW w:w="846" w:type="dxa"/>
            <w:shd w:val="clear" w:color="auto" w:fill="auto"/>
            <w:tcMar>
              <w:left w:w="57" w:type="dxa"/>
              <w:right w:w="57" w:type="dxa"/>
            </w:tcMar>
            <w:vAlign w:val="center"/>
          </w:tcPr>
          <w:p w14:paraId="79A2AB45"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268.2</w:t>
            </w:r>
          </w:p>
        </w:tc>
      </w:tr>
      <w:tr w:rsidR="003E5BF5" w:rsidRPr="00E273FC" w14:paraId="23DEDC0C" w14:textId="77777777" w:rsidTr="0045675C">
        <w:trPr>
          <w:trHeight w:val="284"/>
        </w:trPr>
        <w:tc>
          <w:tcPr>
            <w:tcW w:w="1972" w:type="dxa"/>
            <w:shd w:val="clear" w:color="auto" w:fill="auto"/>
            <w:tcMar>
              <w:left w:w="57" w:type="dxa"/>
              <w:right w:w="57" w:type="dxa"/>
            </w:tcMar>
            <w:vAlign w:val="center"/>
          </w:tcPr>
          <w:p w14:paraId="14C405A6"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55-64</w:t>
            </w:r>
          </w:p>
        </w:tc>
        <w:tc>
          <w:tcPr>
            <w:tcW w:w="987" w:type="dxa"/>
            <w:shd w:val="clear" w:color="auto" w:fill="auto"/>
            <w:vAlign w:val="center"/>
          </w:tcPr>
          <w:p w14:paraId="3F197E42"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163</w:t>
            </w:r>
          </w:p>
        </w:tc>
        <w:tc>
          <w:tcPr>
            <w:tcW w:w="847" w:type="dxa"/>
            <w:shd w:val="clear" w:color="auto" w:fill="auto"/>
            <w:vAlign w:val="center"/>
          </w:tcPr>
          <w:p w14:paraId="500D725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161.1</w:t>
            </w:r>
          </w:p>
        </w:tc>
        <w:tc>
          <w:tcPr>
            <w:tcW w:w="236" w:type="dxa"/>
            <w:shd w:val="clear" w:color="auto" w:fill="auto"/>
            <w:vAlign w:val="center"/>
          </w:tcPr>
          <w:p w14:paraId="2EE8F8BB"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3A9AF873"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44</w:t>
            </w:r>
          </w:p>
        </w:tc>
        <w:tc>
          <w:tcPr>
            <w:tcW w:w="1067" w:type="dxa"/>
            <w:shd w:val="clear" w:color="auto" w:fill="auto"/>
            <w:vAlign w:val="center"/>
          </w:tcPr>
          <w:p w14:paraId="663A1770"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w:t>
            </w:r>
          </w:p>
        </w:tc>
        <w:tc>
          <w:tcPr>
            <w:tcW w:w="846" w:type="dxa"/>
            <w:shd w:val="clear" w:color="auto" w:fill="auto"/>
            <w:tcMar>
              <w:left w:w="57" w:type="dxa"/>
              <w:right w:w="57" w:type="dxa"/>
            </w:tcMar>
            <w:vAlign w:val="center"/>
          </w:tcPr>
          <w:p w14:paraId="5DA1FE59"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44.9</w:t>
            </w:r>
          </w:p>
        </w:tc>
        <w:tc>
          <w:tcPr>
            <w:tcW w:w="236" w:type="dxa"/>
            <w:shd w:val="clear" w:color="auto" w:fill="auto"/>
            <w:vAlign w:val="center"/>
          </w:tcPr>
          <w:p w14:paraId="2AA7944B"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79F0D3A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118</w:t>
            </w:r>
          </w:p>
        </w:tc>
        <w:tc>
          <w:tcPr>
            <w:tcW w:w="846" w:type="dxa"/>
            <w:shd w:val="clear" w:color="auto" w:fill="auto"/>
            <w:tcMar>
              <w:left w:w="57" w:type="dxa"/>
              <w:right w:w="57" w:type="dxa"/>
            </w:tcMar>
            <w:vAlign w:val="center"/>
          </w:tcPr>
          <w:p w14:paraId="26F5197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116.2</w:t>
            </w:r>
          </w:p>
        </w:tc>
      </w:tr>
      <w:tr w:rsidR="003E5BF5" w:rsidRPr="00E273FC" w14:paraId="590EF480" w14:textId="77777777" w:rsidTr="0045675C">
        <w:trPr>
          <w:trHeight w:val="284"/>
        </w:trPr>
        <w:tc>
          <w:tcPr>
            <w:tcW w:w="1972" w:type="dxa"/>
            <w:shd w:val="clear" w:color="auto" w:fill="auto"/>
            <w:tcMar>
              <w:left w:w="57" w:type="dxa"/>
              <w:right w:w="57" w:type="dxa"/>
            </w:tcMar>
            <w:vAlign w:val="center"/>
          </w:tcPr>
          <w:p w14:paraId="37AC8ED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65+</w:t>
            </w:r>
          </w:p>
        </w:tc>
        <w:tc>
          <w:tcPr>
            <w:tcW w:w="987" w:type="dxa"/>
            <w:shd w:val="clear" w:color="auto" w:fill="auto"/>
            <w:vAlign w:val="center"/>
          </w:tcPr>
          <w:p w14:paraId="71F0260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12</w:t>
            </w:r>
          </w:p>
        </w:tc>
        <w:tc>
          <w:tcPr>
            <w:tcW w:w="847" w:type="dxa"/>
            <w:shd w:val="clear" w:color="auto" w:fill="auto"/>
            <w:vAlign w:val="center"/>
          </w:tcPr>
          <w:p w14:paraId="24EF60D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11.0</w:t>
            </w:r>
          </w:p>
        </w:tc>
        <w:tc>
          <w:tcPr>
            <w:tcW w:w="236" w:type="dxa"/>
            <w:shd w:val="clear" w:color="auto" w:fill="auto"/>
            <w:vAlign w:val="center"/>
          </w:tcPr>
          <w:p w14:paraId="0E62D57A"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00A453BC"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1067" w:type="dxa"/>
            <w:shd w:val="clear" w:color="auto" w:fill="auto"/>
            <w:vAlign w:val="center"/>
          </w:tcPr>
          <w:p w14:paraId="3B2CFF6E"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484FF84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236" w:type="dxa"/>
            <w:shd w:val="clear" w:color="auto" w:fill="auto"/>
            <w:vAlign w:val="center"/>
          </w:tcPr>
          <w:p w14:paraId="3EF48E84"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470C25C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12</w:t>
            </w:r>
          </w:p>
        </w:tc>
        <w:tc>
          <w:tcPr>
            <w:tcW w:w="846" w:type="dxa"/>
            <w:shd w:val="clear" w:color="auto" w:fill="auto"/>
            <w:tcMar>
              <w:left w:w="57" w:type="dxa"/>
              <w:right w:w="57" w:type="dxa"/>
            </w:tcMar>
            <w:vAlign w:val="center"/>
          </w:tcPr>
          <w:p w14:paraId="38135775"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11.0</w:t>
            </w:r>
          </w:p>
        </w:tc>
      </w:tr>
      <w:tr w:rsidR="003E5BF5" w:rsidRPr="00E273FC" w14:paraId="57DA28EE" w14:textId="77777777" w:rsidTr="0045675C">
        <w:trPr>
          <w:trHeight w:val="284"/>
        </w:trPr>
        <w:tc>
          <w:tcPr>
            <w:tcW w:w="1972" w:type="dxa"/>
            <w:shd w:val="clear" w:color="auto" w:fill="auto"/>
            <w:tcMar>
              <w:left w:w="57" w:type="dxa"/>
              <w:right w:w="57" w:type="dxa"/>
            </w:tcMar>
            <w:vAlign w:val="center"/>
          </w:tcPr>
          <w:p w14:paraId="2DC6B9E7"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Classification</w:t>
            </w:r>
          </w:p>
        </w:tc>
        <w:tc>
          <w:tcPr>
            <w:tcW w:w="987" w:type="dxa"/>
            <w:shd w:val="clear" w:color="auto" w:fill="auto"/>
            <w:vAlign w:val="center"/>
          </w:tcPr>
          <w:p w14:paraId="3BD69FDF" w14:textId="77777777" w:rsidR="003E5BF5" w:rsidRPr="0045675C" w:rsidRDefault="003E5BF5" w:rsidP="00DE1921">
            <w:pPr>
              <w:pStyle w:val="TableTextRightBold"/>
              <w:ind w:right="57"/>
              <w:rPr>
                <w:rFonts w:ascii="Arial" w:hAnsi="Arial" w:cs="Arial"/>
                <w:b w:val="0"/>
                <w:sz w:val="24"/>
                <w:szCs w:val="24"/>
              </w:rPr>
            </w:pPr>
          </w:p>
        </w:tc>
        <w:tc>
          <w:tcPr>
            <w:tcW w:w="847" w:type="dxa"/>
            <w:shd w:val="clear" w:color="auto" w:fill="auto"/>
            <w:vAlign w:val="center"/>
          </w:tcPr>
          <w:p w14:paraId="33BFF665" w14:textId="77777777" w:rsidR="003E5BF5" w:rsidRPr="0045675C" w:rsidRDefault="003E5BF5" w:rsidP="00DE1921">
            <w:pPr>
              <w:pStyle w:val="TableTextRightBold"/>
              <w:ind w:right="57"/>
              <w:rPr>
                <w:rFonts w:ascii="Arial" w:hAnsi="Arial" w:cs="Arial"/>
                <w:b w:val="0"/>
                <w:sz w:val="24"/>
                <w:szCs w:val="24"/>
              </w:rPr>
            </w:pPr>
          </w:p>
        </w:tc>
        <w:tc>
          <w:tcPr>
            <w:tcW w:w="236" w:type="dxa"/>
            <w:shd w:val="clear" w:color="auto" w:fill="auto"/>
            <w:vAlign w:val="center"/>
          </w:tcPr>
          <w:p w14:paraId="665C4600"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7CF64883" w14:textId="77777777" w:rsidR="003E5BF5" w:rsidRPr="0045675C" w:rsidRDefault="003E5BF5" w:rsidP="00DE1921">
            <w:pPr>
              <w:pStyle w:val="TableTextRightBold"/>
              <w:ind w:right="57"/>
              <w:rPr>
                <w:rFonts w:ascii="Arial" w:hAnsi="Arial" w:cs="Arial"/>
                <w:b w:val="0"/>
                <w:sz w:val="24"/>
                <w:szCs w:val="24"/>
              </w:rPr>
            </w:pPr>
          </w:p>
        </w:tc>
        <w:tc>
          <w:tcPr>
            <w:tcW w:w="1067" w:type="dxa"/>
            <w:shd w:val="clear" w:color="auto" w:fill="auto"/>
            <w:vAlign w:val="center"/>
          </w:tcPr>
          <w:p w14:paraId="0F48B39E" w14:textId="77777777" w:rsidR="003E5BF5" w:rsidRPr="0045675C" w:rsidRDefault="003E5BF5" w:rsidP="00DE1921">
            <w:pPr>
              <w:pStyle w:val="TableTextRightBold"/>
              <w:ind w:right="57"/>
              <w:rPr>
                <w:rFonts w:ascii="Arial" w:hAnsi="Arial" w:cs="Arial"/>
                <w:b w:val="0"/>
                <w:sz w:val="24"/>
                <w:szCs w:val="24"/>
              </w:rPr>
            </w:pPr>
          </w:p>
        </w:tc>
        <w:tc>
          <w:tcPr>
            <w:tcW w:w="846" w:type="dxa"/>
            <w:shd w:val="clear" w:color="auto" w:fill="auto"/>
            <w:tcMar>
              <w:left w:w="57" w:type="dxa"/>
              <w:right w:w="57" w:type="dxa"/>
            </w:tcMar>
            <w:vAlign w:val="center"/>
          </w:tcPr>
          <w:p w14:paraId="731F68C5" w14:textId="77777777" w:rsidR="003E5BF5" w:rsidRPr="0045675C" w:rsidRDefault="003E5BF5" w:rsidP="00DE1921">
            <w:pPr>
              <w:pStyle w:val="TableTextRightBold"/>
              <w:ind w:right="57"/>
              <w:rPr>
                <w:rFonts w:ascii="Arial" w:hAnsi="Arial" w:cs="Arial"/>
                <w:b w:val="0"/>
                <w:sz w:val="24"/>
                <w:szCs w:val="24"/>
              </w:rPr>
            </w:pPr>
          </w:p>
        </w:tc>
        <w:tc>
          <w:tcPr>
            <w:tcW w:w="236" w:type="dxa"/>
            <w:shd w:val="clear" w:color="auto" w:fill="auto"/>
            <w:vAlign w:val="center"/>
          </w:tcPr>
          <w:p w14:paraId="17034C7F"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749A7295" w14:textId="77777777" w:rsidR="003E5BF5" w:rsidRPr="0045675C" w:rsidRDefault="003E5BF5" w:rsidP="00DE1921">
            <w:pPr>
              <w:pStyle w:val="TableTextRightBold"/>
              <w:ind w:right="57"/>
              <w:rPr>
                <w:rFonts w:ascii="Arial" w:hAnsi="Arial" w:cs="Arial"/>
                <w:b w:val="0"/>
                <w:sz w:val="24"/>
                <w:szCs w:val="24"/>
              </w:rPr>
            </w:pPr>
          </w:p>
        </w:tc>
        <w:tc>
          <w:tcPr>
            <w:tcW w:w="846" w:type="dxa"/>
            <w:shd w:val="clear" w:color="auto" w:fill="auto"/>
            <w:tcMar>
              <w:left w:w="57" w:type="dxa"/>
              <w:right w:w="57" w:type="dxa"/>
            </w:tcMar>
            <w:vAlign w:val="center"/>
          </w:tcPr>
          <w:p w14:paraId="642AC526" w14:textId="77777777" w:rsidR="003E5BF5" w:rsidRPr="0045675C" w:rsidRDefault="003E5BF5" w:rsidP="00DE1921">
            <w:pPr>
              <w:pStyle w:val="TableTextRightBold"/>
              <w:ind w:right="57"/>
              <w:rPr>
                <w:rFonts w:ascii="Arial" w:hAnsi="Arial" w:cs="Arial"/>
                <w:b w:val="0"/>
                <w:sz w:val="24"/>
                <w:szCs w:val="24"/>
              </w:rPr>
            </w:pPr>
          </w:p>
        </w:tc>
      </w:tr>
      <w:tr w:rsidR="003E5BF5" w:rsidRPr="00E273FC" w14:paraId="6701FE3B" w14:textId="77777777" w:rsidTr="0045675C">
        <w:trPr>
          <w:trHeight w:val="284"/>
        </w:trPr>
        <w:tc>
          <w:tcPr>
            <w:tcW w:w="1972" w:type="dxa"/>
            <w:shd w:val="clear" w:color="auto" w:fill="auto"/>
            <w:tcMar>
              <w:left w:w="57" w:type="dxa"/>
              <w:right w:w="57" w:type="dxa"/>
            </w:tcMar>
            <w:vAlign w:val="center"/>
          </w:tcPr>
          <w:p w14:paraId="6761226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1</w:t>
            </w:r>
          </w:p>
        </w:tc>
        <w:tc>
          <w:tcPr>
            <w:tcW w:w="987" w:type="dxa"/>
            <w:shd w:val="clear" w:color="auto" w:fill="auto"/>
            <w:vAlign w:val="center"/>
          </w:tcPr>
          <w:p w14:paraId="1471B17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w:t>
            </w:r>
          </w:p>
        </w:tc>
        <w:tc>
          <w:tcPr>
            <w:tcW w:w="847" w:type="dxa"/>
            <w:shd w:val="clear" w:color="auto" w:fill="auto"/>
            <w:vAlign w:val="center"/>
          </w:tcPr>
          <w:p w14:paraId="68B31413"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1.0</w:t>
            </w:r>
          </w:p>
        </w:tc>
        <w:tc>
          <w:tcPr>
            <w:tcW w:w="236" w:type="dxa"/>
            <w:shd w:val="clear" w:color="auto" w:fill="auto"/>
            <w:vAlign w:val="center"/>
          </w:tcPr>
          <w:p w14:paraId="39160CEC"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1DFA826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1067" w:type="dxa"/>
            <w:shd w:val="clear" w:color="auto" w:fill="auto"/>
            <w:vAlign w:val="center"/>
          </w:tcPr>
          <w:p w14:paraId="2E69FDB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33363955"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236" w:type="dxa"/>
            <w:shd w:val="clear" w:color="auto" w:fill="auto"/>
            <w:vAlign w:val="center"/>
          </w:tcPr>
          <w:p w14:paraId="4242370A"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0146473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w:t>
            </w:r>
          </w:p>
        </w:tc>
        <w:tc>
          <w:tcPr>
            <w:tcW w:w="846" w:type="dxa"/>
            <w:shd w:val="clear" w:color="auto" w:fill="auto"/>
            <w:tcMar>
              <w:left w:w="57" w:type="dxa"/>
              <w:right w:w="57" w:type="dxa"/>
            </w:tcMar>
            <w:vAlign w:val="center"/>
          </w:tcPr>
          <w:p w14:paraId="0026AE8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1.0</w:t>
            </w:r>
          </w:p>
        </w:tc>
      </w:tr>
      <w:tr w:rsidR="003E5BF5" w:rsidRPr="00E273FC" w14:paraId="12AE813F" w14:textId="77777777" w:rsidTr="0045675C">
        <w:trPr>
          <w:trHeight w:val="284"/>
        </w:trPr>
        <w:tc>
          <w:tcPr>
            <w:tcW w:w="1972" w:type="dxa"/>
            <w:shd w:val="clear" w:color="auto" w:fill="auto"/>
            <w:tcMar>
              <w:left w:w="57" w:type="dxa"/>
              <w:right w:w="57" w:type="dxa"/>
            </w:tcMar>
            <w:vAlign w:val="center"/>
          </w:tcPr>
          <w:p w14:paraId="5283019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2</w:t>
            </w:r>
          </w:p>
        </w:tc>
        <w:tc>
          <w:tcPr>
            <w:tcW w:w="987" w:type="dxa"/>
            <w:shd w:val="clear" w:color="auto" w:fill="auto"/>
            <w:vAlign w:val="center"/>
          </w:tcPr>
          <w:p w14:paraId="06E0343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64</w:t>
            </w:r>
          </w:p>
        </w:tc>
        <w:tc>
          <w:tcPr>
            <w:tcW w:w="847" w:type="dxa"/>
            <w:shd w:val="clear" w:color="auto" w:fill="auto"/>
            <w:vAlign w:val="center"/>
          </w:tcPr>
          <w:p w14:paraId="623F738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52.5</w:t>
            </w:r>
          </w:p>
        </w:tc>
        <w:tc>
          <w:tcPr>
            <w:tcW w:w="236" w:type="dxa"/>
            <w:shd w:val="clear" w:color="auto" w:fill="auto"/>
            <w:vAlign w:val="center"/>
          </w:tcPr>
          <w:p w14:paraId="373FC435"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2456E7A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1067" w:type="dxa"/>
            <w:shd w:val="clear" w:color="auto" w:fill="auto"/>
            <w:vAlign w:val="center"/>
          </w:tcPr>
          <w:p w14:paraId="350155D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0F4816F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236" w:type="dxa"/>
            <w:shd w:val="clear" w:color="auto" w:fill="auto"/>
            <w:vAlign w:val="center"/>
          </w:tcPr>
          <w:p w14:paraId="5BA4E79A"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6055E6C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64</w:t>
            </w:r>
          </w:p>
        </w:tc>
        <w:tc>
          <w:tcPr>
            <w:tcW w:w="846" w:type="dxa"/>
            <w:shd w:val="clear" w:color="auto" w:fill="auto"/>
            <w:tcMar>
              <w:left w:w="57" w:type="dxa"/>
              <w:right w:w="57" w:type="dxa"/>
            </w:tcMar>
            <w:vAlign w:val="center"/>
          </w:tcPr>
          <w:p w14:paraId="5A83F082"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52.5</w:t>
            </w:r>
          </w:p>
        </w:tc>
      </w:tr>
      <w:tr w:rsidR="003E5BF5" w:rsidRPr="00E273FC" w14:paraId="5500FB8D" w14:textId="77777777" w:rsidTr="0045675C">
        <w:trPr>
          <w:trHeight w:val="284"/>
        </w:trPr>
        <w:tc>
          <w:tcPr>
            <w:tcW w:w="1972" w:type="dxa"/>
            <w:shd w:val="clear" w:color="auto" w:fill="auto"/>
            <w:tcMar>
              <w:left w:w="57" w:type="dxa"/>
              <w:right w:w="57" w:type="dxa"/>
            </w:tcMar>
            <w:vAlign w:val="center"/>
          </w:tcPr>
          <w:p w14:paraId="4BA11571"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3</w:t>
            </w:r>
          </w:p>
        </w:tc>
        <w:tc>
          <w:tcPr>
            <w:tcW w:w="987" w:type="dxa"/>
            <w:shd w:val="clear" w:color="auto" w:fill="auto"/>
            <w:vAlign w:val="center"/>
          </w:tcPr>
          <w:p w14:paraId="7DC07BC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268</w:t>
            </w:r>
          </w:p>
        </w:tc>
        <w:tc>
          <w:tcPr>
            <w:tcW w:w="847" w:type="dxa"/>
            <w:shd w:val="clear" w:color="auto" w:fill="auto"/>
            <w:vAlign w:val="center"/>
          </w:tcPr>
          <w:p w14:paraId="5C5A229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266.4</w:t>
            </w:r>
          </w:p>
        </w:tc>
        <w:tc>
          <w:tcPr>
            <w:tcW w:w="236" w:type="dxa"/>
            <w:shd w:val="clear" w:color="auto" w:fill="auto"/>
            <w:vAlign w:val="center"/>
          </w:tcPr>
          <w:p w14:paraId="08EDE0D6"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28D72D63"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21</w:t>
            </w:r>
          </w:p>
        </w:tc>
        <w:tc>
          <w:tcPr>
            <w:tcW w:w="1067" w:type="dxa"/>
            <w:shd w:val="clear" w:color="auto" w:fill="auto"/>
            <w:vAlign w:val="center"/>
          </w:tcPr>
          <w:p w14:paraId="61F4F8E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0DFE33EE"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21.0</w:t>
            </w:r>
          </w:p>
        </w:tc>
        <w:tc>
          <w:tcPr>
            <w:tcW w:w="236" w:type="dxa"/>
            <w:shd w:val="clear" w:color="auto" w:fill="auto"/>
            <w:vAlign w:val="center"/>
          </w:tcPr>
          <w:p w14:paraId="6C1ADBCB"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5D6EECA3"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247</w:t>
            </w:r>
          </w:p>
        </w:tc>
        <w:tc>
          <w:tcPr>
            <w:tcW w:w="846" w:type="dxa"/>
            <w:shd w:val="clear" w:color="auto" w:fill="auto"/>
            <w:tcMar>
              <w:left w:w="57" w:type="dxa"/>
              <w:right w:w="57" w:type="dxa"/>
            </w:tcMar>
            <w:vAlign w:val="center"/>
          </w:tcPr>
          <w:p w14:paraId="037906A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245.4</w:t>
            </w:r>
          </w:p>
        </w:tc>
      </w:tr>
      <w:tr w:rsidR="003E5BF5" w:rsidRPr="00E273FC" w14:paraId="673BB4BD" w14:textId="77777777" w:rsidTr="0045675C">
        <w:trPr>
          <w:trHeight w:val="284"/>
        </w:trPr>
        <w:tc>
          <w:tcPr>
            <w:tcW w:w="1972" w:type="dxa"/>
            <w:shd w:val="clear" w:color="auto" w:fill="auto"/>
            <w:tcMar>
              <w:left w:w="57" w:type="dxa"/>
              <w:right w:w="57" w:type="dxa"/>
            </w:tcMar>
            <w:vAlign w:val="center"/>
          </w:tcPr>
          <w:p w14:paraId="21BF239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4</w:t>
            </w:r>
          </w:p>
        </w:tc>
        <w:tc>
          <w:tcPr>
            <w:tcW w:w="987" w:type="dxa"/>
            <w:shd w:val="clear" w:color="auto" w:fill="auto"/>
            <w:vAlign w:val="center"/>
          </w:tcPr>
          <w:p w14:paraId="3CC6449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324</w:t>
            </w:r>
          </w:p>
        </w:tc>
        <w:tc>
          <w:tcPr>
            <w:tcW w:w="847" w:type="dxa"/>
            <w:shd w:val="clear" w:color="auto" w:fill="auto"/>
            <w:vAlign w:val="center"/>
          </w:tcPr>
          <w:p w14:paraId="1D42D0D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319.8</w:t>
            </w:r>
          </w:p>
        </w:tc>
        <w:tc>
          <w:tcPr>
            <w:tcW w:w="236" w:type="dxa"/>
            <w:shd w:val="clear" w:color="auto" w:fill="auto"/>
            <w:vAlign w:val="center"/>
          </w:tcPr>
          <w:p w14:paraId="27529C7A"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2749BC0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81</w:t>
            </w:r>
          </w:p>
        </w:tc>
        <w:tc>
          <w:tcPr>
            <w:tcW w:w="1067" w:type="dxa"/>
            <w:shd w:val="clear" w:color="auto" w:fill="auto"/>
            <w:vAlign w:val="center"/>
          </w:tcPr>
          <w:p w14:paraId="52BF2BD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w:t>
            </w:r>
          </w:p>
        </w:tc>
        <w:tc>
          <w:tcPr>
            <w:tcW w:w="846" w:type="dxa"/>
            <w:shd w:val="clear" w:color="auto" w:fill="auto"/>
            <w:tcMar>
              <w:left w:w="57" w:type="dxa"/>
              <w:right w:w="57" w:type="dxa"/>
            </w:tcMar>
            <w:vAlign w:val="center"/>
          </w:tcPr>
          <w:p w14:paraId="0B02968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82.4</w:t>
            </w:r>
          </w:p>
        </w:tc>
        <w:tc>
          <w:tcPr>
            <w:tcW w:w="236" w:type="dxa"/>
            <w:shd w:val="clear" w:color="auto" w:fill="auto"/>
            <w:vAlign w:val="center"/>
          </w:tcPr>
          <w:p w14:paraId="7D557954"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531C85D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241</w:t>
            </w:r>
          </w:p>
        </w:tc>
        <w:tc>
          <w:tcPr>
            <w:tcW w:w="846" w:type="dxa"/>
            <w:shd w:val="clear" w:color="auto" w:fill="auto"/>
            <w:tcMar>
              <w:left w:w="57" w:type="dxa"/>
              <w:right w:w="57" w:type="dxa"/>
            </w:tcMar>
            <w:vAlign w:val="center"/>
          </w:tcPr>
          <w:p w14:paraId="0848ADA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237.4</w:t>
            </w:r>
          </w:p>
        </w:tc>
      </w:tr>
      <w:tr w:rsidR="003E5BF5" w:rsidRPr="00E273FC" w14:paraId="24D608C1" w14:textId="77777777" w:rsidTr="0045675C">
        <w:trPr>
          <w:trHeight w:val="284"/>
        </w:trPr>
        <w:tc>
          <w:tcPr>
            <w:tcW w:w="1972" w:type="dxa"/>
            <w:shd w:val="clear" w:color="auto" w:fill="auto"/>
            <w:tcMar>
              <w:left w:w="57" w:type="dxa"/>
              <w:right w:w="57" w:type="dxa"/>
            </w:tcMar>
            <w:vAlign w:val="center"/>
          </w:tcPr>
          <w:p w14:paraId="7891B04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5</w:t>
            </w:r>
          </w:p>
        </w:tc>
        <w:tc>
          <w:tcPr>
            <w:tcW w:w="987" w:type="dxa"/>
            <w:shd w:val="clear" w:color="auto" w:fill="auto"/>
            <w:vAlign w:val="center"/>
          </w:tcPr>
          <w:p w14:paraId="0824195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459</w:t>
            </w:r>
          </w:p>
        </w:tc>
        <w:tc>
          <w:tcPr>
            <w:tcW w:w="847" w:type="dxa"/>
            <w:shd w:val="clear" w:color="auto" w:fill="auto"/>
            <w:vAlign w:val="center"/>
          </w:tcPr>
          <w:p w14:paraId="6BECE32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447.4</w:t>
            </w:r>
          </w:p>
        </w:tc>
        <w:tc>
          <w:tcPr>
            <w:tcW w:w="236" w:type="dxa"/>
            <w:shd w:val="clear" w:color="auto" w:fill="auto"/>
            <w:vAlign w:val="center"/>
          </w:tcPr>
          <w:p w14:paraId="79D3A3D0"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47404F95"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147</w:t>
            </w:r>
          </w:p>
        </w:tc>
        <w:tc>
          <w:tcPr>
            <w:tcW w:w="1067" w:type="dxa"/>
            <w:shd w:val="clear" w:color="auto" w:fill="auto"/>
            <w:vAlign w:val="center"/>
          </w:tcPr>
          <w:p w14:paraId="0939EC10"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11</w:t>
            </w:r>
          </w:p>
        </w:tc>
        <w:tc>
          <w:tcPr>
            <w:tcW w:w="846" w:type="dxa"/>
            <w:shd w:val="clear" w:color="auto" w:fill="auto"/>
            <w:tcMar>
              <w:left w:w="57" w:type="dxa"/>
              <w:right w:w="57" w:type="dxa"/>
            </w:tcMar>
            <w:vAlign w:val="center"/>
          </w:tcPr>
          <w:p w14:paraId="0E21C8A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155.0</w:t>
            </w:r>
          </w:p>
        </w:tc>
        <w:tc>
          <w:tcPr>
            <w:tcW w:w="236" w:type="dxa"/>
            <w:shd w:val="clear" w:color="auto" w:fill="auto"/>
            <w:vAlign w:val="center"/>
          </w:tcPr>
          <w:p w14:paraId="411A7F69"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3096BE7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301</w:t>
            </w:r>
          </w:p>
        </w:tc>
        <w:tc>
          <w:tcPr>
            <w:tcW w:w="846" w:type="dxa"/>
            <w:shd w:val="clear" w:color="auto" w:fill="auto"/>
            <w:tcMar>
              <w:left w:w="57" w:type="dxa"/>
              <w:right w:w="57" w:type="dxa"/>
            </w:tcMar>
            <w:vAlign w:val="center"/>
          </w:tcPr>
          <w:p w14:paraId="221543C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292.4</w:t>
            </w:r>
          </w:p>
        </w:tc>
      </w:tr>
      <w:tr w:rsidR="003E5BF5" w:rsidRPr="00E273FC" w14:paraId="34931128" w14:textId="77777777" w:rsidTr="0045675C">
        <w:trPr>
          <w:trHeight w:val="284"/>
        </w:trPr>
        <w:tc>
          <w:tcPr>
            <w:tcW w:w="1972" w:type="dxa"/>
            <w:shd w:val="clear" w:color="auto" w:fill="auto"/>
            <w:tcMar>
              <w:left w:w="57" w:type="dxa"/>
              <w:right w:w="57" w:type="dxa"/>
            </w:tcMar>
            <w:vAlign w:val="center"/>
          </w:tcPr>
          <w:p w14:paraId="421A975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6</w:t>
            </w:r>
          </w:p>
        </w:tc>
        <w:tc>
          <w:tcPr>
            <w:tcW w:w="987" w:type="dxa"/>
            <w:shd w:val="clear" w:color="auto" w:fill="auto"/>
            <w:vAlign w:val="center"/>
          </w:tcPr>
          <w:p w14:paraId="112C225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429</w:t>
            </w:r>
          </w:p>
        </w:tc>
        <w:tc>
          <w:tcPr>
            <w:tcW w:w="847" w:type="dxa"/>
            <w:shd w:val="clear" w:color="auto" w:fill="auto"/>
            <w:vAlign w:val="center"/>
          </w:tcPr>
          <w:p w14:paraId="652F5A7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418.6</w:t>
            </w:r>
          </w:p>
        </w:tc>
        <w:tc>
          <w:tcPr>
            <w:tcW w:w="236" w:type="dxa"/>
            <w:shd w:val="clear" w:color="auto" w:fill="auto"/>
            <w:vAlign w:val="center"/>
          </w:tcPr>
          <w:p w14:paraId="64AEA421"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1ADB6D7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113</w:t>
            </w:r>
          </w:p>
        </w:tc>
        <w:tc>
          <w:tcPr>
            <w:tcW w:w="1067" w:type="dxa"/>
            <w:shd w:val="clear" w:color="auto" w:fill="auto"/>
            <w:vAlign w:val="center"/>
          </w:tcPr>
          <w:p w14:paraId="6F03422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17</w:t>
            </w:r>
          </w:p>
        </w:tc>
        <w:tc>
          <w:tcPr>
            <w:tcW w:w="846" w:type="dxa"/>
            <w:shd w:val="clear" w:color="auto" w:fill="auto"/>
            <w:tcMar>
              <w:left w:w="57" w:type="dxa"/>
              <w:right w:w="57" w:type="dxa"/>
            </w:tcMar>
            <w:vAlign w:val="center"/>
          </w:tcPr>
          <w:p w14:paraId="6B0D966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125.5</w:t>
            </w:r>
          </w:p>
        </w:tc>
        <w:tc>
          <w:tcPr>
            <w:tcW w:w="236" w:type="dxa"/>
            <w:shd w:val="clear" w:color="auto" w:fill="auto"/>
            <w:vAlign w:val="center"/>
          </w:tcPr>
          <w:p w14:paraId="0350BFB9"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4BD7D3E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299</w:t>
            </w:r>
          </w:p>
        </w:tc>
        <w:tc>
          <w:tcPr>
            <w:tcW w:w="846" w:type="dxa"/>
            <w:shd w:val="clear" w:color="auto" w:fill="auto"/>
            <w:tcMar>
              <w:left w:w="57" w:type="dxa"/>
              <w:right w:w="57" w:type="dxa"/>
            </w:tcMar>
            <w:vAlign w:val="center"/>
          </w:tcPr>
          <w:p w14:paraId="31E83702"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293.2</w:t>
            </w:r>
          </w:p>
        </w:tc>
      </w:tr>
      <w:tr w:rsidR="003E5BF5" w:rsidRPr="00E273FC" w14:paraId="7D6A0FF9" w14:textId="77777777" w:rsidTr="0045675C">
        <w:trPr>
          <w:trHeight w:val="284"/>
        </w:trPr>
        <w:tc>
          <w:tcPr>
            <w:tcW w:w="1972" w:type="dxa"/>
            <w:shd w:val="clear" w:color="auto" w:fill="auto"/>
            <w:tcMar>
              <w:left w:w="57" w:type="dxa"/>
              <w:right w:w="57" w:type="dxa"/>
            </w:tcMar>
            <w:vAlign w:val="center"/>
          </w:tcPr>
          <w:p w14:paraId="090605A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PS</w:t>
            </w:r>
          </w:p>
        </w:tc>
        <w:tc>
          <w:tcPr>
            <w:tcW w:w="987" w:type="dxa"/>
            <w:shd w:val="clear" w:color="auto" w:fill="auto"/>
            <w:vAlign w:val="center"/>
          </w:tcPr>
          <w:p w14:paraId="47145EA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176</w:t>
            </w:r>
          </w:p>
        </w:tc>
        <w:tc>
          <w:tcPr>
            <w:tcW w:w="847" w:type="dxa"/>
            <w:shd w:val="clear" w:color="auto" w:fill="auto"/>
            <w:vAlign w:val="center"/>
          </w:tcPr>
          <w:p w14:paraId="73808F0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173.6</w:t>
            </w:r>
          </w:p>
        </w:tc>
        <w:tc>
          <w:tcPr>
            <w:tcW w:w="236" w:type="dxa"/>
            <w:shd w:val="clear" w:color="auto" w:fill="auto"/>
            <w:vAlign w:val="center"/>
          </w:tcPr>
          <w:p w14:paraId="25FBCF45"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484B47B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36</w:t>
            </w:r>
          </w:p>
        </w:tc>
        <w:tc>
          <w:tcPr>
            <w:tcW w:w="1067" w:type="dxa"/>
            <w:shd w:val="clear" w:color="auto" w:fill="auto"/>
            <w:vAlign w:val="center"/>
          </w:tcPr>
          <w:p w14:paraId="0B0BBD95"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w:t>
            </w:r>
          </w:p>
        </w:tc>
        <w:tc>
          <w:tcPr>
            <w:tcW w:w="846" w:type="dxa"/>
            <w:shd w:val="clear" w:color="auto" w:fill="auto"/>
            <w:tcMar>
              <w:left w:w="57" w:type="dxa"/>
              <w:right w:w="57" w:type="dxa"/>
            </w:tcMar>
            <w:vAlign w:val="center"/>
          </w:tcPr>
          <w:p w14:paraId="5C74BF2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37.1</w:t>
            </w:r>
          </w:p>
        </w:tc>
        <w:tc>
          <w:tcPr>
            <w:tcW w:w="236" w:type="dxa"/>
            <w:shd w:val="clear" w:color="auto" w:fill="auto"/>
            <w:vAlign w:val="center"/>
          </w:tcPr>
          <w:p w14:paraId="05D5A2E5"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6FD6E45C"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138</w:t>
            </w:r>
          </w:p>
        </w:tc>
        <w:tc>
          <w:tcPr>
            <w:tcW w:w="846" w:type="dxa"/>
            <w:shd w:val="clear" w:color="auto" w:fill="auto"/>
            <w:tcMar>
              <w:left w:w="57" w:type="dxa"/>
              <w:right w:w="57" w:type="dxa"/>
            </w:tcMar>
            <w:vAlign w:val="center"/>
          </w:tcPr>
          <w:p w14:paraId="22038DF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136.5</w:t>
            </w:r>
          </w:p>
        </w:tc>
      </w:tr>
      <w:tr w:rsidR="003E5BF5" w:rsidRPr="00E273FC" w14:paraId="158C4196" w14:textId="77777777" w:rsidTr="0045675C">
        <w:trPr>
          <w:trHeight w:val="284"/>
        </w:trPr>
        <w:tc>
          <w:tcPr>
            <w:tcW w:w="1972" w:type="dxa"/>
            <w:shd w:val="clear" w:color="auto" w:fill="auto"/>
            <w:tcMar>
              <w:left w:w="57" w:type="dxa"/>
              <w:right w:w="57" w:type="dxa"/>
            </w:tcMar>
            <w:vAlign w:val="center"/>
          </w:tcPr>
          <w:p w14:paraId="68F3BC1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STS</w:t>
            </w:r>
          </w:p>
        </w:tc>
        <w:tc>
          <w:tcPr>
            <w:tcW w:w="987" w:type="dxa"/>
            <w:shd w:val="clear" w:color="auto" w:fill="auto"/>
            <w:vAlign w:val="center"/>
          </w:tcPr>
          <w:p w14:paraId="6983A94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150</w:t>
            </w:r>
          </w:p>
        </w:tc>
        <w:tc>
          <w:tcPr>
            <w:tcW w:w="847" w:type="dxa"/>
            <w:shd w:val="clear" w:color="auto" w:fill="auto"/>
            <w:vAlign w:val="center"/>
          </w:tcPr>
          <w:p w14:paraId="7B01EA59"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145.1</w:t>
            </w:r>
          </w:p>
        </w:tc>
        <w:tc>
          <w:tcPr>
            <w:tcW w:w="236" w:type="dxa"/>
            <w:shd w:val="clear" w:color="auto" w:fill="auto"/>
            <w:vAlign w:val="center"/>
          </w:tcPr>
          <w:p w14:paraId="13884535"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6DD3B2E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36</w:t>
            </w:r>
          </w:p>
        </w:tc>
        <w:tc>
          <w:tcPr>
            <w:tcW w:w="1067" w:type="dxa"/>
            <w:shd w:val="clear" w:color="auto" w:fill="auto"/>
            <w:vAlign w:val="center"/>
          </w:tcPr>
          <w:p w14:paraId="6D825D8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w:t>
            </w:r>
          </w:p>
        </w:tc>
        <w:tc>
          <w:tcPr>
            <w:tcW w:w="846" w:type="dxa"/>
            <w:shd w:val="clear" w:color="auto" w:fill="auto"/>
            <w:tcMar>
              <w:left w:w="57" w:type="dxa"/>
              <w:right w:w="57" w:type="dxa"/>
            </w:tcMar>
            <w:vAlign w:val="center"/>
          </w:tcPr>
          <w:p w14:paraId="3D4A93D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39.3</w:t>
            </w:r>
          </w:p>
        </w:tc>
        <w:tc>
          <w:tcPr>
            <w:tcW w:w="236" w:type="dxa"/>
            <w:shd w:val="clear" w:color="auto" w:fill="auto"/>
            <w:vAlign w:val="center"/>
          </w:tcPr>
          <w:p w14:paraId="7116F89F"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194CD13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110</w:t>
            </w:r>
          </w:p>
        </w:tc>
        <w:tc>
          <w:tcPr>
            <w:tcW w:w="846" w:type="dxa"/>
            <w:shd w:val="clear" w:color="auto" w:fill="auto"/>
            <w:tcMar>
              <w:left w:w="57" w:type="dxa"/>
              <w:right w:w="57" w:type="dxa"/>
            </w:tcMar>
            <w:vAlign w:val="center"/>
          </w:tcPr>
          <w:p w14:paraId="330302B9"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105.9</w:t>
            </w:r>
          </w:p>
        </w:tc>
      </w:tr>
      <w:tr w:rsidR="003E5BF5" w:rsidRPr="00E273FC" w14:paraId="60C8BAFF" w14:textId="77777777" w:rsidTr="0045675C">
        <w:trPr>
          <w:trHeight w:val="284"/>
        </w:trPr>
        <w:tc>
          <w:tcPr>
            <w:tcW w:w="1972" w:type="dxa"/>
            <w:shd w:val="clear" w:color="auto" w:fill="auto"/>
            <w:tcMar>
              <w:left w:w="57" w:type="dxa"/>
              <w:right w:w="57" w:type="dxa"/>
            </w:tcMar>
            <w:vAlign w:val="center"/>
          </w:tcPr>
          <w:p w14:paraId="40BCCAD1"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Executive</w:t>
            </w:r>
          </w:p>
        </w:tc>
        <w:tc>
          <w:tcPr>
            <w:tcW w:w="987" w:type="dxa"/>
            <w:shd w:val="clear" w:color="auto" w:fill="auto"/>
            <w:vAlign w:val="center"/>
          </w:tcPr>
          <w:p w14:paraId="25BD9E0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168</w:t>
            </w:r>
          </w:p>
        </w:tc>
        <w:tc>
          <w:tcPr>
            <w:tcW w:w="847" w:type="dxa"/>
            <w:shd w:val="clear" w:color="auto" w:fill="auto"/>
            <w:vAlign w:val="center"/>
          </w:tcPr>
          <w:p w14:paraId="76642DC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166.7</w:t>
            </w:r>
          </w:p>
        </w:tc>
        <w:tc>
          <w:tcPr>
            <w:tcW w:w="236" w:type="dxa"/>
            <w:shd w:val="clear" w:color="auto" w:fill="auto"/>
            <w:vAlign w:val="center"/>
          </w:tcPr>
          <w:p w14:paraId="7C3E5209"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7DDE1C93"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1067" w:type="dxa"/>
            <w:shd w:val="clear" w:color="auto" w:fill="auto"/>
            <w:vAlign w:val="center"/>
          </w:tcPr>
          <w:p w14:paraId="4CFB369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5C6A8DE2"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236" w:type="dxa"/>
            <w:shd w:val="clear" w:color="auto" w:fill="auto"/>
            <w:vAlign w:val="center"/>
          </w:tcPr>
          <w:p w14:paraId="7ED1EC11"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565A47A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168</w:t>
            </w:r>
          </w:p>
        </w:tc>
        <w:tc>
          <w:tcPr>
            <w:tcW w:w="846" w:type="dxa"/>
            <w:shd w:val="clear" w:color="auto" w:fill="auto"/>
            <w:tcMar>
              <w:left w:w="57" w:type="dxa"/>
              <w:right w:w="57" w:type="dxa"/>
            </w:tcMar>
            <w:vAlign w:val="center"/>
          </w:tcPr>
          <w:p w14:paraId="607AC44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166.7</w:t>
            </w:r>
          </w:p>
        </w:tc>
      </w:tr>
      <w:tr w:rsidR="003E5BF5" w:rsidRPr="00E273FC" w14:paraId="3D655A6C" w14:textId="77777777" w:rsidTr="0045675C">
        <w:trPr>
          <w:trHeight w:val="284"/>
        </w:trPr>
        <w:tc>
          <w:tcPr>
            <w:tcW w:w="1972" w:type="dxa"/>
            <w:shd w:val="clear" w:color="auto" w:fill="auto"/>
            <w:tcMar>
              <w:left w:w="57" w:type="dxa"/>
              <w:right w:w="57" w:type="dxa"/>
            </w:tcMar>
            <w:vAlign w:val="center"/>
          </w:tcPr>
          <w:p w14:paraId="0FBAB55C"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Employees</w:t>
            </w:r>
          </w:p>
        </w:tc>
        <w:tc>
          <w:tcPr>
            <w:tcW w:w="987" w:type="dxa"/>
            <w:shd w:val="clear" w:color="auto" w:fill="auto"/>
            <w:vAlign w:val="center"/>
          </w:tcPr>
          <w:p w14:paraId="08CC536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2,039</w:t>
            </w:r>
          </w:p>
        </w:tc>
        <w:tc>
          <w:tcPr>
            <w:tcW w:w="847" w:type="dxa"/>
            <w:shd w:val="clear" w:color="auto" w:fill="auto"/>
            <w:vAlign w:val="center"/>
          </w:tcPr>
          <w:p w14:paraId="21A86D1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1,991.1</w:t>
            </w:r>
          </w:p>
        </w:tc>
        <w:tc>
          <w:tcPr>
            <w:tcW w:w="236" w:type="dxa"/>
            <w:shd w:val="clear" w:color="auto" w:fill="auto"/>
            <w:vAlign w:val="center"/>
          </w:tcPr>
          <w:p w14:paraId="556EAB14"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11A60B4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434</w:t>
            </w:r>
          </w:p>
        </w:tc>
        <w:tc>
          <w:tcPr>
            <w:tcW w:w="1067" w:type="dxa"/>
            <w:shd w:val="clear" w:color="auto" w:fill="auto"/>
            <w:vAlign w:val="center"/>
          </w:tcPr>
          <w:p w14:paraId="2A0BD460"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36</w:t>
            </w:r>
          </w:p>
        </w:tc>
        <w:tc>
          <w:tcPr>
            <w:tcW w:w="846" w:type="dxa"/>
            <w:shd w:val="clear" w:color="auto" w:fill="auto"/>
            <w:tcMar>
              <w:left w:w="57" w:type="dxa"/>
              <w:right w:w="57" w:type="dxa"/>
            </w:tcMar>
            <w:vAlign w:val="center"/>
          </w:tcPr>
          <w:p w14:paraId="22DF2D1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460.2</w:t>
            </w:r>
          </w:p>
        </w:tc>
        <w:tc>
          <w:tcPr>
            <w:tcW w:w="236" w:type="dxa"/>
            <w:shd w:val="clear" w:color="auto" w:fill="auto"/>
            <w:vAlign w:val="center"/>
          </w:tcPr>
          <w:p w14:paraId="66D16009"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095E1835"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1,569</w:t>
            </w:r>
          </w:p>
        </w:tc>
        <w:tc>
          <w:tcPr>
            <w:tcW w:w="846" w:type="dxa"/>
            <w:shd w:val="clear" w:color="auto" w:fill="auto"/>
            <w:tcMar>
              <w:left w:w="57" w:type="dxa"/>
              <w:right w:w="57" w:type="dxa"/>
            </w:tcMar>
            <w:vAlign w:val="center"/>
          </w:tcPr>
          <w:p w14:paraId="79D3620C"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1,530.9</w:t>
            </w:r>
          </w:p>
        </w:tc>
      </w:tr>
    </w:tbl>
    <w:p w14:paraId="744AC902" w14:textId="77777777" w:rsidR="003E5BF5" w:rsidRPr="00E273FC" w:rsidRDefault="003E5BF5" w:rsidP="00DE1921">
      <w:pPr>
        <w:pStyle w:val="Note"/>
        <w:rPr>
          <w:rFonts w:ascii="Arial" w:hAnsi="Arial" w:cs="Arial"/>
          <w:sz w:val="24"/>
          <w:szCs w:val="24"/>
        </w:rPr>
      </w:pPr>
      <w:r w:rsidRPr="00E273FC">
        <w:rPr>
          <w:rFonts w:ascii="Arial" w:hAnsi="Arial" w:cs="Arial"/>
          <w:sz w:val="24"/>
          <w:szCs w:val="24"/>
        </w:rPr>
        <w:t>* headcount</w:t>
      </w:r>
    </w:p>
    <w:p w14:paraId="740E4184" w14:textId="77777777" w:rsidR="003E5BF5" w:rsidRPr="00E273FC" w:rsidRDefault="003E5BF5" w:rsidP="00DE1921">
      <w:pPr>
        <w:pStyle w:val="Note"/>
        <w:rPr>
          <w:rFonts w:ascii="Arial" w:hAnsi="Arial" w:cs="Arial"/>
          <w:sz w:val="24"/>
          <w:szCs w:val="24"/>
        </w:rPr>
      </w:pPr>
      <w:r w:rsidRPr="00E273FC">
        <w:rPr>
          <w:rFonts w:ascii="Arial" w:hAnsi="Arial" w:cs="Arial"/>
          <w:sz w:val="24"/>
          <w:szCs w:val="24"/>
        </w:rPr>
        <w:t>Notes:</w:t>
      </w:r>
    </w:p>
    <w:p w14:paraId="61F46574" w14:textId="77777777" w:rsidR="003E5BF5" w:rsidRPr="00E273FC" w:rsidRDefault="003E5BF5" w:rsidP="00610F5F">
      <w:pPr>
        <w:pStyle w:val="Notenumberingabc"/>
        <w:numPr>
          <w:ilvl w:val="0"/>
          <w:numId w:val="38"/>
        </w:numPr>
        <w:spacing w:before="0" w:line="360" w:lineRule="auto"/>
        <w:ind w:left="476" w:hanging="364"/>
        <w:contextualSpacing/>
        <w:rPr>
          <w:rFonts w:ascii="Arial" w:hAnsi="Arial" w:cs="Arial"/>
          <w:sz w:val="24"/>
          <w:szCs w:val="24"/>
        </w:rPr>
      </w:pPr>
      <w:r w:rsidRPr="00E273FC">
        <w:rPr>
          <w:rFonts w:ascii="Arial" w:hAnsi="Arial" w:cs="Arial"/>
          <w:sz w:val="24"/>
          <w:szCs w:val="24"/>
        </w:rPr>
        <w:t>FTE means full-time equivalent.</w:t>
      </w:r>
    </w:p>
    <w:p w14:paraId="77E500C2" w14:textId="77777777" w:rsidR="003E5BF5" w:rsidRPr="00E273FC" w:rsidRDefault="003E5BF5" w:rsidP="006B6D68">
      <w:pPr>
        <w:pStyle w:val="Notenumberingabc"/>
        <w:spacing w:before="0" w:line="360" w:lineRule="auto"/>
        <w:ind w:left="473" w:hanging="360"/>
        <w:contextualSpacing/>
        <w:rPr>
          <w:rFonts w:ascii="Arial" w:hAnsi="Arial" w:cs="Arial"/>
          <w:sz w:val="24"/>
          <w:szCs w:val="24"/>
        </w:rPr>
      </w:pPr>
      <w:r w:rsidRPr="00E273FC">
        <w:rPr>
          <w:rFonts w:ascii="Arial" w:hAnsi="Arial" w:cs="Arial"/>
          <w:sz w:val="24"/>
          <w:szCs w:val="24"/>
        </w:rPr>
        <w:t>All figures reflect employment levels during the last full pay period of June.</w:t>
      </w:r>
    </w:p>
    <w:p w14:paraId="275B08B7" w14:textId="77777777" w:rsidR="003E5BF5" w:rsidRPr="00E273FC" w:rsidRDefault="003E5BF5" w:rsidP="006B6D68">
      <w:pPr>
        <w:pStyle w:val="Notenumberingabc"/>
        <w:spacing w:before="0" w:line="360" w:lineRule="auto"/>
        <w:ind w:left="473" w:hanging="360"/>
        <w:contextualSpacing/>
        <w:rPr>
          <w:rFonts w:ascii="Arial" w:hAnsi="Arial" w:cs="Arial"/>
          <w:sz w:val="24"/>
          <w:szCs w:val="24"/>
        </w:rPr>
      </w:pPr>
      <w:r w:rsidRPr="00E273FC">
        <w:rPr>
          <w:rFonts w:ascii="Arial" w:hAnsi="Arial" w:cs="Arial"/>
          <w:sz w:val="24"/>
          <w:szCs w:val="24"/>
        </w:rPr>
        <w:t>Excluded are employees on leave without pay or absent on secondment, external contractors/consultants, temporary employees employed by employment agencies and statutory appointees.</w:t>
      </w:r>
    </w:p>
    <w:p w14:paraId="6A6A203B" w14:textId="77777777" w:rsidR="003E5BF5" w:rsidRPr="00E273FC" w:rsidRDefault="003E5BF5" w:rsidP="006B6D68">
      <w:pPr>
        <w:pStyle w:val="Notenumberingabc"/>
        <w:spacing w:before="0" w:after="120" w:line="360" w:lineRule="auto"/>
        <w:ind w:left="473" w:hanging="360"/>
        <w:contextualSpacing/>
        <w:rPr>
          <w:rFonts w:ascii="Arial" w:hAnsi="Arial" w:cs="Arial"/>
          <w:sz w:val="24"/>
          <w:szCs w:val="24"/>
        </w:rPr>
      </w:pPr>
      <w:r w:rsidRPr="00E273FC">
        <w:rPr>
          <w:rFonts w:ascii="Arial" w:hAnsi="Arial" w:cs="Arial"/>
          <w:sz w:val="24"/>
          <w:szCs w:val="24"/>
        </w:rPr>
        <w:t>The increase in employment levels since June 2019 is attributed to a number of projects ramping up into the delivery/construct phase.</w:t>
      </w:r>
    </w:p>
    <w:p w14:paraId="046369C7" w14:textId="77777777" w:rsidR="003E5BF5" w:rsidRPr="00F275EC" w:rsidRDefault="003E5BF5" w:rsidP="00DE1921"/>
    <w:p w14:paraId="7EC8F445" w14:textId="77777777" w:rsidR="003E5BF5" w:rsidRDefault="003E5BF5" w:rsidP="00DE1921">
      <w:pPr>
        <w:sectPr w:rsidR="003E5BF5" w:rsidSect="00DE1921">
          <w:headerReference w:type="even" r:id="rId246"/>
          <w:pgSz w:w="11906" w:h="16838"/>
          <w:pgMar w:top="1701" w:right="1418" w:bottom="1418" w:left="1418" w:header="709" w:footer="709" w:gutter="0"/>
          <w:cols w:space="284"/>
          <w:docGrid w:linePitch="360"/>
        </w:sectPr>
      </w:pPr>
    </w:p>
    <w:p w14:paraId="7E4FEC94" w14:textId="77777777" w:rsidR="003E5BF5" w:rsidRPr="00E273FC" w:rsidRDefault="003E5BF5" w:rsidP="00CF74EB">
      <w:pPr>
        <w:pStyle w:val="TableHeader"/>
      </w:pPr>
      <w:r w:rsidRPr="00E273FC">
        <w:lastRenderedPageBreak/>
        <w:t>Major Transport Infrastructure Authority Workforce Information</w:t>
      </w:r>
    </w:p>
    <w:tbl>
      <w:tblPr>
        <w:tblStyle w:val="TableGrid"/>
        <w:tblW w:w="9072" w:type="dxa"/>
        <w:tblCellMar>
          <w:left w:w="0" w:type="dxa"/>
          <w:right w:w="0" w:type="dxa"/>
        </w:tblCellMar>
        <w:tblLook w:val="04A0" w:firstRow="1" w:lastRow="0" w:firstColumn="1" w:lastColumn="0" w:noHBand="0" w:noVBand="1"/>
      </w:tblPr>
      <w:tblGrid>
        <w:gridCol w:w="1950"/>
        <w:gridCol w:w="1011"/>
        <w:gridCol w:w="845"/>
        <w:gridCol w:w="221"/>
        <w:gridCol w:w="965"/>
        <w:gridCol w:w="1096"/>
        <w:gridCol w:w="837"/>
        <w:gridCol w:w="221"/>
        <w:gridCol w:w="1011"/>
        <w:gridCol w:w="915"/>
      </w:tblGrid>
      <w:tr w:rsidR="003E5BF5" w:rsidRPr="00E273FC" w14:paraId="07C5EDF8" w14:textId="77777777" w:rsidTr="0045675C">
        <w:trPr>
          <w:trHeight w:val="283"/>
        </w:trPr>
        <w:tc>
          <w:tcPr>
            <w:tcW w:w="1972" w:type="dxa"/>
            <w:tcMar>
              <w:left w:w="57" w:type="dxa"/>
              <w:right w:w="57" w:type="dxa"/>
            </w:tcMar>
            <w:vAlign w:val="center"/>
          </w:tcPr>
          <w:p w14:paraId="5B33F129" w14:textId="77777777" w:rsidR="003E5BF5" w:rsidRPr="00E273FC" w:rsidRDefault="003E5BF5" w:rsidP="00DE1921">
            <w:pPr>
              <w:pStyle w:val="TableTextLeftBold"/>
              <w:jc w:val="center"/>
              <w:rPr>
                <w:rFonts w:ascii="Arial" w:hAnsi="Arial" w:cs="Arial"/>
                <w:sz w:val="24"/>
                <w:szCs w:val="24"/>
              </w:rPr>
            </w:pPr>
          </w:p>
        </w:tc>
        <w:tc>
          <w:tcPr>
            <w:tcW w:w="7100" w:type="dxa"/>
            <w:gridSpan w:val="9"/>
            <w:vAlign w:val="center"/>
          </w:tcPr>
          <w:p w14:paraId="72B7946C"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 June 2019</w:t>
            </w:r>
          </w:p>
        </w:tc>
      </w:tr>
      <w:tr w:rsidR="003E5BF5" w:rsidRPr="00E273FC" w14:paraId="3B90A09C" w14:textId="77777777" w:rsidTr="0045675C">
        <w:trPr>
          <w:trHeight w:val="283"/>
        </w:trPr>
        <w:tc>
          <w:tcPr>
            <w:tcW w:w="1972" w:type="dxa"/>
            <w:tcMar>
              <w:left w:w="57" w:type="dxa"/>
              <w:right w:w="57" w:type="dxa"/>
            </w:tcMar>
            <w:vAlign w:val="center"/>
          </w:tcPr>
          <w:p w14:paraId="4F470AF3" w14:textId="77777777" w:rsidR="003E5BF5" w:rsidRPr="00E273FC" w:rsidRDefault="003E5BF5" w:rsidP="00DE1921">
            <w:pPr>
              <w:pStyle w:val="TableTextLeftBold"/>
              <w:jc w:val="center"/>
              <w:rPr>
                <w:rFonts w:ascii="Arial" w:hAnsi="Arial" w:cs="Arial"/>
                <w:sz w:val="24"/>
                <w:szCs w:val="24"/>
              </w:rPr>
            </w:pPr>
          </w:p>
        </w:tc>
        <w:tc>
          <w:tcPr>
            <w:tcW w:w="1834" w:type="dxa"/>
            <w:gridSpan w:val="2"/>
            <w:vAlign w:val="center"/>
          </w:tcPr>
          <w:p w14:paraId="737BED88"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All Employees</w:t>
            </w:r>
          </w:p>
        </w:tc>
        <w:tc>
          <w:tcPr>
            <w:tcW w:w="236" w:type="dxa"/>
            <w:shd w:val="clear" w:color="auto" w:fill="auto"/>
            <w:vAlign w:val="center"/>
          </w:tcPr>
          <w:p w14:paraId="745471C4" w14:textId="77777777" w:rsidR="003E5BF5" w:rsidRPr="00E273FC" w:rsidRDefault="003E5BF5" w:rsidP="00DE1921">
            <w:pPr>
              <w:pStyle w:val="TableTextRightBold"/>
              <w:jc w:val="center"/>
              <w:rPr>
                <w:rFonts w:ascii="Arial" w:hAnsi="Arial" w:cs="Arial"/>
                <w:sz w:val="24"/>
                <w:szCs w:val="24"/>
              </w:rPr>
            </w:pPr>
          </w:p>
        </w:tc>
        <w:tc>
          <w:tcPr>
            <w:tcW w:w="2961" w:type="dxa"/>
            <w:gridSpan w:val="3"/>
            <w:vAlign w:val="center"/>
          </w:tcPr>
          <w:p w14:paraId="669D53AD"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Ongoing</w:t>
            </w:r>
          </w:p>
        </w:tc>
        <w:tc>
          <w:tcPr>
            <w:tcW w:w="236" w:type="dxa"/>
            <w:shd w:val="clear" w:color="auto" w:fill="auto"/>
            <w:vAlign w:val="center"/>
          </w:tcPr>
          <w:p w14:paraId="3CA00E35" w14:textId="77777777" w:rsidR="003E5BF5" w:rsidRPr="00E273FC" w:rsidRDefault="003E5BF5" w:rsidP="00DE1921">
            <w:pPr>
              <w:pStyle w:val="TableTextRightBold"/>
              <w:jc w:val="center"/>
              <w:rPr>
                <w:rFonts w:ascii="Arial" w:hAnsi="Arial" w:cs="Arial"/>
                <w:sz w:val="24"/>
                <w:szCs w:val="24"/>
              </w:rPr>
            </w:pPr>
          </w:p>
        </w:tc>
        <w:tc>
          <w:tcPr>
            <w:tcW w:w="1833" w:type="dxa"/>
            <w:gridSpan w:val="2"/>
            <w:shd w:val="clear" w:color="auto" w:fill="auto"/>
            <w:vAlign w:val="center"/>
          </w:tcPr>
          <w:p w14:paraId="634DD27B"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Fixed Term &amp; Casual</w:t>
            </w:r>
          </w:p>
        </w:tc>
      </w:tr>
      <w:tr w:rsidR="003E5BF5" w:rsidRPr="00E273FC" w14:paraId="0F1624CC" w14:textId="77777777" w:rsidTr="0045675C">
        <w:trPr>
          <w:trHeight w:val="283"/>
        </w:trPr>
        <w:tc>
          <w:tcPr>
            <w:tcW w:w="1972" w:type="dxa"/>
            <w:tcMar>
              <w:left w:w="57" w:type="dxa"/>
              <w:right w:w="57" w:type="dxa"/>
            </w:tcMar>
            <w:vAlign w:val="center"/>
          </w:tcPr>
          <w:p w14:paraId="366E580A" w14:textId="77777777" w:rsidR="003E5BF5" w:rsidRPr="00E273FC" w:rsidRDefault="003E5BF5" w:rsidP="00DE1921">
            <w:pPr>
              <w:pStyle w:val="TableTextLeftBold"/>
              <w:jc w:val="right"/>
              <w:rPr>
                <w:rFonts w:ascii="Arial" w:hAnsi="Arial" w:cs="Arial"/>
                <w:sz w:val="24"/>
                <w:szCs w:val="24"/>
              </w:rPr>
            </w:pPr>
          </w:p>
        </w:tc>
        <w:tc>
          <w:tcPr>
            <w:tcW w:w="987" w:type="dxa"/>
            <w:vAlign w:val="center"/>
          </w:tcPr>
          <w:p w14:paraId="42344988"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Number*</w:t>
            </w:r>
          </w:p>
        </w:tc>
        <w:tc>
          <w:tcPr>
            <w:tcW w:w="847" w:type="dxa"/>
            <w:vAlign w:val="center"/>
          </w:tcPr>
          <w:p w14:paraId="6AF5AE5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FTE</w:t>
            </w:r>
          </w:p>
        </w:tc>
        <w:tc>
          <w:tcPr>
            <w:tcW w:w="236" w:type="dxa"/>
            <w:shd w:val="clear" w:color="auto" w:fill="auto"/>
            <w:vAlign w:val="center"/>
          </w:tcPr>
          <w:p w14:paraId="6E2E0177" w14:textId="77777777" w:rsidR="003E5BF5" w:rsidRPr="00E273FC" w:rsidRDefault="003E5BF5" w:rsidP="00DE1921">
            <w:pPr>
              <w:pStyle w:val="TableTextRightBold"/>
              <w:rPr>
                <w:rFonts w:ascii="Arial" w:hAnsi="Arial" w:cs="Arial"/>
                <w:sz w:val="24"/>
                <w:szCs w:val="24"/>
              </w:rPr>
            </w:pPr>
          </w:p>
        </w:tc>
        <w:tc>
          <w:tcPr>
            <w:tcW w:w="987" w:type="dxa"/>
            <w:vAlign w:val="center"/>
          </w:tcPr>
          <w:p w14:paraId="75FB258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Full Time*</w:t>
            </w:r>
          </w:p>
        </w:tc>
        <w:tc>
          <w:tcPr>
            <w:tcW w:w="1128" w:type="dxa"/>
            <w:vAlign w:val="center"/>
          </w:tcPr>
          <w:p w14:paraId="3EDC345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Part Time*</w:t>
            </w:r>
          </w:p>
        </w:tc>
        <w:tc>
          <w:tcPr>
            <w:tcW w:w="846" w:type="dxa"/>
            <w:shd w:val="clear" w:color="auto" w:fill="auto"/>
            <w:tcMar>
              <w:left w:w="57" w:type="dxa"/>
              <w:right w:w="57" w:type="dxa"/>
            </w:tcMar>
            <w:vAlign w:val="center"/>
          </w:tcPr>
          <w:p w14:paraId="20CFD3C8"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FTE</w:t>
            </w:r>
          </w:p>
        </w:tc>
        <w:tc>
          <w:tcPr>
            <w:tcW w:w="236" w:type="dxa"/>
            <w:shd w:val="clear" w:color="auto" w:fill="auto"/>
            <w:vAlign w:val="center"/>
          </w:tcPr>
          <w:p w14:paraId="5FFC56A7" w14:textId="77777777" w:rsidR="003E5BF5" w:rsidRPr="00E273FC" w:rsidRDefault="003E5BF5" w:rsidP="00DE1921">
            <w:pPr>
              <w:pStyle w:val="TableTextRightBold"/>
              <w:rPr>
                <w:rFonts w:ascii="Arial" w:hAnsi="Arial" w:cs="Arial"/>
                <w:sz w:val="24"/>
                <w:szCs w:val="24"/>
              </w:rPr>
            </w:pPr>
          </w:p>
        </w:tc>
        <w:tc>
          <w:tcPr>
            <w:tcW w:w="987" w:type="dxa"/>
            <w:shd w:val="clear" w:color="auto" w:fill="auto"/>
            <w:vAlign w:val="center"/>
          </w:tcPr>
          <w:p w14:paraId="6E952AF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Number*</w:t>
            </w:r>
          </w:p>
        </w:tc>
        <w:tc>
          <w:tcPr>
            <w:tcW w:w="846" w:type="dxa"/>
            <w:shd w:val="clear" w:color="auto" w:fill="auto"/>
            <w:tcMar>
              <w:left w:w="57" w:type="dxa"/>
              <w:right w:w="57" w:type="dxa"/>
            </w:tcMar>
            <w:vAlign w:val="center"/>
          </w:tcPr>
          <w:p w14:paraId="6B9D5D6E"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FTE</w:t>
            </w:r>
          </w:p>
        </w:tc>
      </w:tr>
      <w:tr w:rsidR="003E5BF5" w:rsidRPr="00E273FC" w14:paraId="00141D4B" w14:textId="77777777" w:rsidTr="0045675C">
        <w:trPr>
          <w:trHeight w:val="283"/>
        </w:trPr>
        <w:tc>
          <w:tcPr>
            <w:tcW w:w="1972" w:type="dxa"/>
            <w:tcMar>
              <w:left w:w="57" w:type="dxa"/>
              <w:right w:w="57" w:type="dxa"/>
            </w:tcMar>
            <w:vAlign w:val="center"/>
          </w:tcPr>
          <w:p w14:paraId="5F8E65DF"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Gender</w:t>
            </w:r>
          </w:p>
        </w:tc>
        <w:tc>
          <w:tcPr>
            <w:tcW w:w="987" w:type="dxa"/>
            <w:vAlign w:val="center"/>
          </w:tcPr>
          <w:p w14:paraId="74E70BF4" w14:textId="77777777" w:rsidR="003E5BF5" w:rsidRPr="00E273FC" w:rsidRDefault="003E5BF5" w:rsidP="00DE1921">
            <w:pPr>
              <w:pStyle w:val="TableTextRightBold"/>
              <w:rPr>
                <w:rFonts w:ascii="Arial" w:hAnsi="Arial" w:cs="Arial"/>
                <w:sz w:val="24"/>
                <w:szCs w:val="24"/>
              </w:rPr>
            </w:pPr>
          </w:p>
        </w:tc>
        <w:tc>
          <w:tcPr>
            <w:tcW w:w="847" w:type="dxa"/>
            <w:vAlign w:val="center"/>
          </w:tcPr>
          <w:p w14:paraId="5EC277B7" w14:textId="77777777" w:rsidR="003E5BF5" w:rsidRPr="00E273FC" w:rsidRDefault="003E5BF5" w:rsidP="00DE1921">
            <w:pPr>
              <w:pStyle w:val="TableTextRightBold"/>
              <w:rPr>
                <w:rFonts w:ascii="Arial" w:hAnsi="Arial" w:cs="Arial"/>
                <w:sz w:val="24"/>
                <w:szCs w:val="24"/>
              </w:rPr>
            </w:pPr>
          </w:p>
        </w:tc>
        <w:tc>
          <w:tcPr>
            <w:tcW w:w="236" w:type="dxa"/>
            <w:shd w:val="clear" w:color="auto" w:fill="auto"/>
            <w:vAlign w:val="center"/>
          </w:tcPr>
          <w:p w14:paraId="65778CDB" w14:textId="77777777" w:rsidR="003E5BF5" w:rsidRPr="00E273FC" w:rsidRDefault="003E5BF5" w:rsidP="00DE1921">
            <w:pPr>
              <w:pStyle w:val="TableTextRightBold"/>
              <w:rPr>
                <w:rFonts w:ascii="Arial" w:hAnsi="Arial" w:cs="Arial"/>
                <w:sz w:val="24"/>
                <w:szCs w:val="24"/>
              </w:rPr>
            </w:pPr>
          </w:p>
        </w:tc>
        <w:tc>
          <w:tcPr>
            <w:tcW w:w="987" w:type="dxa"/>
            <w:vAlign w:val="center"/>
          </w:tcPr>
          <w:p w14:paraId="3663A48C" w14:textId="77777777" w:rsidR="003E5BF5" w:rsidRPr="00E273FC" w:rsidRDefault="003E5BF5" w:rsidP="00DE1921">
            <w:pPr>
              <w:pStyle w:val="TableTextRightBold"/>
              <w:rPr>
                <w:rFonts w:ascii="Arial" w:hAnsi="Arial" w:cs="Arial"/>
                <w:sz w:val="24"/>
                <w:szCs w:val="24"/>
              </w:rPr>
            </w:pPr>
          </w:p>
        </w:tc>
        <w:tc>
          <w:tcPr>
            <w:tcW w:w="1128" w:type="dxa"/>
            <w:vAlign w:val="center"/>
          </w:tcPr>
          <w:p w14:paraId="27AC536C" w14:textId="77777777" w:rsidR="003E5BF5" w:rsidRPr="00E273FC" w:rsidRDefault="003E5BF5" w:rsidP="00DE1921">
            <w:pPr>
              <w:pStyle w:val="TableTextRightBold"/>
              <w:rPr>
                <w:rFonts w:ascii="Arial" w:hAnsi="Arial" w:cs="Arial"/>
                <w:sz w:val="24"/>
                <w:szCs w:val="24"/>
              </w:rPr>
            </w:pPr>
          </w:p>
        </w:tc>
        <w:tc>
          <w:tcPr>
            <w:tcW w:w="846" w:type="dxa"/>
            <w:shd w:val="clear" w:color="auto" w:fill="auto"/>
            <w:tcMar>
              <w:left w:w="57" w:type="dxa"/>
              <w:right w:w="57" w:type="dxa"/>
            </w:tcMar>
            <w:vAlign w:val="center"/>
          </w:tcPr>
          <w:p w14:paraId="1909116E" w14:textId="77777777" w:rsidR="003E5BF5" w:rsidRPr="00E273FC" w:rsidRDefault="003E5BF5" w:rsidP="00DE1921">
            <w:pPr>
              <w:pStyle w:val="TableTextRightBold"/>
              <w:rPr>
                <w:rFonts w:ascii="Arial" w:hAnsi="Arial" w:cs="Arial"/>
                <w:sz w:val="24"/>
                <w:szCs w:val="24"/>
              </w:rPr>
            </w:pPr>
          </w:p>
        </w:tc>
        <w:tc>
          <w:tcPr>
            <w:tcW w:w="236" w:type="dxa"/>
            <w:shd w:val="clear" w:color="auto" w:fill="auto"/>
            <w:vAlign w:val="center"/>
          </w:tcPr>
          <w:p w14:paraId="0BEE6F79" w14:textId="77777777" w:rsidR="003E5BF5" w:rsidRPr="00E273FC" w:rsidRDefault="003E5BF5" w:rsidP="00DE1921">
            <w:pPr>
              <w:pStyle w:val="TableTextRightBold"/>
              <w:rPr>
                <w:rFonts w:ascii="Arial" w:hAnsi="Arial" w:cs="Arial"/>
                <w:sz w:val="24"/>
                <w:szCs w:val="24"/>
              </w:rPr>
            </w:pPr>
          </w:p>
        </w:tc>
        <w:tc>
          <w:tcPr>
            <w:tcW w:w="987" w:type="dxa"/>
            <w:shd w:val="clear" w:color="auto" w:fill="auto"/>
            <w:vAlign w:val="center"/>
          </w:tcPr>
          <w:p w14:paraId="55372582" w14:textId="77777777" w:rsidR="003E5BF5" w:rsidRPr="00E273FC" w:rsidRDefault="003E5BF5" w:rsidP="00DE1921">
            <w:pPr>
              <w:pStyle w:val="TableTextRightBold"/>
              <w:rPr>
                <w:rFonts w:ascii="Arial" w:hAnsi="Arial" w:cs="Arial"/>
                <w:sz w:val="24"/>
                <w:szCs w:val="24"/>
              </w:rPr>
            </w:pPr>
          </w:p>
        </w:tc>
        <w:tc>
          <w:tcPr>
            <w:tcW w:w="846" w:type="dxa"/>
            <w:shd w:val="clear" w:color="auto" w:fill="auto"/>
            <w:tcMar>
              <w:left w:w="57" w:type="dxa"/>
              <w:right w:w="57" w:type="dxa"/>
            </w:tcMar>
            <w:vAlign w:val="center"/>
          </w:tcPr>
          <w:p w14:paraId="3FA6E10A" w14:textId="77777777" w:rsidR="003E5BF5" w:rsidRPr="00E273FC" w:rsidRDefault="003E5BF5" w:rsidP="00DE1921">
            <w:pPr>
              <w:pStyle w:val="TableTextRightBold"/>
              <w:rPr>
                <w:rFonts w:ascii="Arial" w:hAnsi="Arial" w:cs="Arial"/>
                <w:sz w:val="24"/>
                <w:szCs w:val="24"/>
              </w:rPr>
            </w:pPr>
          </w:p>
        </w:tc>
      </w:tr>
      <w:tr w:rsidR="003E5BF5" w:rsidRPr="00E273FC" w14:paraId="699584EA" w14:textId="77777777" w:rsidTr="0045675C">
        <w:trPr>
          <w:trHeight w:val="283"/>
        </w:trPr>
        <w:tc>
          <w:tcPr>
            <w:tcW w:w="1972" w:type="dxa"/>
            <w:tcMar>
              <w:left w:w="57" w:type="dxa"/>
              <w:right w:w="57" w:type="dxa"/>
            </w:tcMar>
            <w:vAlign w:val="center"/>
          </w:tcPr>
          <w:p w14:paraId="1EB485D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Woman</w:t>
            </w:r>
          </w:p>
        </w:tc>
        <w:tc>
          <w:tcPr>
            <w:tcW w:w="987" w:type="dxa"/>
            <w:shd w:val="clear" w:color="auto" w:fill="auto"/>
            <w:vAlign w:val="center"/>
          </w:tcPr>
          <w:p w14:paraId="0E802AE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667</w:t>
            </w:r>
          </w:p>
        </w:tc>
        <w:tc>
          <w:tcPr>
            <w:tcW w:w="847" w:type="dxa"/>
            <w:shd w:val="clear" w:color="auto" w:fill="auto"/>
            <w:vAlign w:val="center"/>
          </w:tcPr>
          <w:p w14:paraId="65FBC40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643.2</w:t>
            </w:r>
          </w:p>
        </w:tc>
        <w:tc>
          <w:tcPr>
            <w:tcW w:w="236" w:type="dxa"/>
            <w:shd w:val="clear" w:color="auto" w:fill="auto"/>
            <w:vAlign w:val="center"/>
          </w:tcPr>
          <w:p w14:paraId="069D0D87"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521CAF9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111</w:t>
            </w:r>
          </w:p>
        </w:tc>
        <w:tc>
          <w:tcPr>
            <w:tcW w:w="1128" w:type="dxa"/>
            <w:shd w:val="clear" w:color="auto" w:fill="auto"/>
            <w:vAlign w:val="center"/>
          </w:tcPr>
          <w:p w14:paraId="3189DD0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22</w:t>
            </w:r>
          </w:p>
        </w:tc>
        <w:tc>
          <w:tcPr>
            <w:tcW w:w="846" w:type="dxa"/>
            <w:shd w:val="clear" w:color="auto" w:fill="auto"/>
            <w:tcMar>
              <w:left w:w="57" w:type="dxa"/>
              <w:right w:w="57" w:type="dxa"/>
            </w:tcMar>
            <w:vAlign w:val="center"/>
          </w:tcPr>
          <w:p w14:paraId="10F0F17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125.7</w:t>
            </w:r>
          </w:p>
        </w:tc>
        <w:tc>
          <w:tcPr>
            <w:tcW w:w="236" w:type="dxa"/>
            <w:shd w:val="clear" w:color="auto" w:fill="auto"/>
            <w:vAlign w:val="center"/>
          </w:tcPr>
          <w:p w14:paraId="066D3F1A"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81A712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534</w:t>
            </w:r>
          </w:p>
        </w:tc>
        <w:tc>
          <w:tcPr>
            <w:tcW w:w="846" w:type="dxa"/>
            <w:shd w:val="clear" w:color="auto" w:fill="auto"/>
            <w:tcMar>
              <w:left w:w="57" w:type="dxa"/>
              <w:right w:w="57" w:type="dxa"/>
            </w:tcMar>
            <w:vAlign w:val="center"/>
          </w:tcPr>
          <w:p w14:paraId="1972F10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517.6</w:t>
            </w:r>
          </w:p>
        </w:tc>
      </w:tr>
      <w:tr w:rsidR="003E5BF5" w:rsidRPr="00E273FC" w14:paraId="31B21B2A" w14:textId="77777777" w:rsidTr="0045675C">
        <w:trPr>
          <w:trHeight w:val="283"/>
        </w:trPr>
        <w:tc>
          <w:tcPr>
            <w:tcW w:w="1972" w:type="dxa"/>
            <w:tcMar>
              <w:left w:w="57" w:type="dxa"/>
              <w:right w:w="57" w:type="dxa"/>
            </w:tcMar>
            <w:vAlign w:val="center"/>
          </w:tcPr>
          <w:p w14:paraId="2818EA0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Man</w:t>
            </w:r>
          </w:p>
        </w:tc>
        <w:tc>
          <w:tcPr>
            <w:tcW w:w="987" w:type="dxa"/>
            <w:shd w:val="clear" w:color="auto" w:fill="auto"/>
            <w:vAlign w:val="center"/>
          </w:tcPr>
          <w:p w14:paraId="5ED6493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949</w:t>
            </w:r>
          </w:p>
        </w:tc>
        <w:tc>
          <w:tcPr>
            <w:tcW w:w="847" w:type="dxa"/>
            <w:shd w:val="clear" w:color="auto" w:fill="auto"/>
            <w:vAlign w:val="center"/>
          </w:tcPr>
          <w:p w14:paraId="5DC45BF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943.7</w:t>
            </w:r>
          </w:p>
        </w:tc>
        <w:tc>
          <w:tcPr>
            <w:tcW w:w="236" w:type="dxa"/>
            <w:shd w:val="clear" w:color="auto" w:fill="auto"/>
            <w:vAlign w:val="center"/>
          </w:tcPr>
          <w:p w14:paraId="5108CC0D"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5988E6D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212</w:t>
            </w:r>
          </w:p>
        </w:tc>
        <w:tc>
          <w:tcPr>
            <w:tcW w:w="1128" w:type="dxa"/>
            <w:shd w:val="clear" w:color="auto" w:fill="auto"/>
            <w:vAlign w:val="center"/>
          </w:tcPr>
          <w:p w14:paraId="740C90F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2121F27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212.0</w:t>
            </w:r>
          </w:p>
        </w:tc>
        <w:tc>
          <w:tcPr>
            <w:tcW w:w="236" w:type="dxa"/>
            <w:shd w:val="clear" w:color="auto" w:fill="auto"/>
            <w:vAlign w:val="center"/>
          </w:tcPr>
          <w:p w14:paraId="2E5F11E6"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103E828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737</w:t>
            </w:r>
          </w:p>
        </w:tc>
        <w:tc>
          <w:tcPr>
            <w:tcW w:w="846" w:type="dxa"/>
            <w:shd w:val="clear" w:color="auto" w:fill="auto"/>
            <w:tcMar>
              <w:left w:w="57" w:type="dxa"/>
              <w:right w:w="57" w:type="dxa"/>
            </w:tcMar>
            <w:vAlign w:val="center"/>
          </w:tcPr>
          <w:p w14:paraId="4921D34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731.7</w:t>
            </w:r>
          </w:p>
        </w:tc>
      </w:tr>
      <w:tr w:rsidR="003E5BF5" w:rsidRPr="00E273FC" w14:paraId="5FAB5DF9" w14:textId="77777777" w:rsidTr="0045675C">
        <w:trPr>
          <w:trHeight w:val="283"/>
        </w:trPr>
        <w:tc>
          <w:tcPr>
            <w:tcW w:w="1972" w:type="dxa"/>
            <w:tcMar>
              <w:left w:w="57" w:type="dxa"/>
              <w:right w:w="57" w:type="dxa"/>
            </w:tcMar>
            <w:vAlign w:val="center"/>
          </w:tcPr>
          <w:p w14:paraId="18C8D6B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Self-described</w:t>
            </w:r>
          </w:p>
        </w:tc>
        <w:tc>
          <w:tcPr>
            <w:tcW w:w="987" w:type="dxa"/>
            <w:shd w:val="clear" w:color="auto" w:fill="auto"/>
            <w:vAlign w:val="center"/>
          </w:tcPr>
          <w:p w14:paraId="6BE2677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847" w:type="dxa"/>
            <w:shd w:val="clear" w:color="auto" w:fill="auto"/>
            <w:vAlign w:val="center"/>
          </w:tcPr>
          <w:p w14:paraId="67A7845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w:t>
            </w:r>
          </w:p>
        </w:tc>
        <w:tc>
          <w:tcPr>
            <w:tcW w:w="236" w:type="dxa"/>
            <w:shd w:val="clear" w:color="auto" w:fill="auto"/>
            <w:vAlign w:val="center"/>
          </w:tcPr>
          <w:p w14:paraId="208DB8AE"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77F2BD5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28" w:type="dxa"/>
            <w:shd w:val="clear" w:color="auto" w:fill="auto"/>
            <w:vAlign w:val="center"/>
          </w:tcPr>
          <w:p w14:paraId="365642B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264A426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236" w:type="dxa"/>
            <w:shd w:val="clear" w:color="auto" w:fill="auto"/>
            <w:vAlign w:val="center"/>
          </w:tcPr>
          <w:p w14:paraId="09E2D7D8"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5E7F2C3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846" w:type="dxa"/>
            <w:shd w:val="clear" w:color="auto" w:fill="auto"/>
            <w:tcMar>
              <w:left w:w="57" w:type="dxa"/>
              <w:right w:w="57" w:type="dxa"/>
            </w:tcMar>
            <w:vAlign w:val="center"/>
          </w:tcPr>
          <w:p w14:paraId="4FCF52E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w:t>
            </w:r>
          </w:p>
        </w:tc>
      </w:tr>
      <w:tr w:rsidR="003E5BF5" w:rsidRPr="00E273FC" w14:paraId="04353FA9" w14:textId="77777777" w:rsidTr="0045675C">
        <w:trPr>
          <w:trHeight w:val="283"/>
        </w:trPr>
        <w:tc>
          <w:tcPr>
            <w:tcW w:w="1972" w:type="dxa"/>
            <w:tcMar>
              <w:left w:w="57" w:type="dxa"/>
              <w:right w:w="57" w:type="dxa"/>
            </w:tcMar>
            <w:vAlign w:val="center"/>
          </w:tcPr>
          <w:p w14:paraId="4C410A4C"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Age</w:t>
            </w:r>
          </w:p>
        </w:tc>
        <w:tc>
          <w:tcPr>
            <w:tcW w:w="987" w:type="dxa"/>
            <w:shd w:val="clear" w:color="auto" w:fill="auto"/>
            <w:vAlign w:val="center"/>
          </w:tcPr>
          <w:p w14:paraId="7634F493" w14:textId="77777777" w:rsidR="003E5BF5" w:rsidRPr="00E273FC" w:rsidRDefault="003E5BF5" w:rsidP="00DE1921">
            <w:pPr>
              <w:pStyle w:val="TableTextRight"/>
              <w:rPr>
                <w:rFonts w:ascii="Arial" w:hAnsi="Arial" w:cs="Arial"/>
                <w:sz w:val="24"/>
                <w:szCs w:val="24"/>
              </w:rPr>
            </w:pPr>
          </w:p>
        </w:tc>
        <w:tc>
          <w:tcPr>
            <w:tcW w:w="847" w:type="dxa"/>
            <w:shd w:val="clear" w:color="auto" w:fill="auto"/>
            <w:vAlign w:val="center"/>
          </w:tcPr>
          <w:p w14:paraId="6897ABFA" w14:textId="77777777" w:rsidR="003E5BF5" w:rsidRPr="00E273FC" w:rsidRDefault="003E5BF5" w:rsidP="00DE1921">
            <w:pPr>
              <w:pStyle w:val="TableTextRight"/>
              <w:rPr>
                <w:rFonts w:ascii="Arial" w:hAnsi="Arial" w:cs="Arial"/>
                <w:sz w:val="24"/>
                <w:szCs w:val="24"/>
              </w:rPr>
            </w:pPr>
          </w:p>
        </w:tc>
        <w:tc>
          <w:tcPr>
            <w:tcW w:w="236" w:type="dxa"/>
            <w:shd w:val="clear" w:color="auto" w:fill="auto"/>
            <w:vAlign w:val="center"/>
          </w:tcPr>
          <w:p w14:paraId="1DAD8A56"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5A0CA07" w14:textId="77777777" w:rsidR="003E5BF5" w:rsidRPr="00E273FC" w:rsidRDefault="003E5BF5" w:rsidP="00DE1921">
            <w:pPr>
              <w:pStyle w:val="TableTextRight"/>
              <w:rPr>
                <w:rFonts w:ascii="Arial" w:hAnsi="Arial" w:cs="Arial"/>
                <w:sz w:val="24"/>
                <w:szCs w:val="24"/>
              </w:rPr>
            </w:pPr>
          </w:p>
        </w:tc>
        <w:tc>
          <w:tcPr>
            <w:tcW w:w="1128" w:type="dxa"/>
            <w:shd w:val="clear" w:color="auto" w:fill="auto"/>
            <w:vAlign w:val="center"/>
          </w:tcPr>
          <w:p w14:paraId="24733EA5" w14:textId="77777777" w:rsidR="003E5BF5" w:rsidRPr="00E273FC" w:rsidRDefault="003E5BF5" w:rsidP="00DE1921">
            <w:pPr>
              <w:pStyle w:val="TableTextRight"/>
              <w:rPr>
                <w:rFonts w:ascii="Arial" w:hAnsi="Arial" w:cs="Arial"/>
                <w:sz w:val="24"/>
                <w:szCs w:val="24"/>
              </w:rPr>
            </w:pPr>
          </w:p>
        </w:tc>
        <w:tc>
          <w:tcPr>
            <w:tcW w:w="846" w:type="dxa"/>
            <w:shd w:val="clear" w:color="auto" w:fill="auto"/>
            <w:tcMar>
              <w:left w:w="57" w:type="dxa"/>
              <w:right w:w="57" w:type="dxa"/>
            </w:tcMar>
            <w:vAlign w:val="center"/>
          </w:tcPr>
          <w:p w14:paraId="7436FA15" w14:textId="77777777" w:rsidR="003E5BF5" w:rsidRPr="00E273FC" w:rsidRDefault="003E5BF5" w:rsidP="00DE1921">
            <w:pPr>
              <w:pStyle w:val="TableTextRight"/>
              <w:rPr>
                <w:rFonts w:ascii="Arial" w:hAnsi="Arial" w:cs="Arial"/>
                <w:sz w:val="24"/>
                <w:szCs w:val="24"/>
              </w:rPr>
            </w:pPr>
          </w:p>
        </w:tc>
        <w:tc>
          <w:tcPr>
            <w:tcW w:w="236" w:type="dxa"/>
            <w:shd w:val="clear" w:color="auto" w:fill="auto"/>
            <w:vAlign w:val="center"/>
          </w:tcPr>
          <w:p w14:paraId="7C24F608"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30FF7B3B" w14:textId="77777777" w:rsidR="003E5BF5" w:rsidRPr="00E273FC" w:rsidRDefault="003E5BF5" w:rsidP="00DE1921">
            <w:pPr>
              <w:pStyle w:val="TableTextRight"/>
              <w:rPr>
                <w:rFonts w:ascii="Arial" w:hAnsi="Arial" w:cs="Arial"/>
                <w:sz w:val="24"/>
                <w:szCs w:val="24"/>
              </w:rPr>
            </w:pPr>
          </w:p>
        </w:tc>
        <w:tc>
          <w:tcPr>
            <w:tcW w:w="846" w:type="dxa"/>
            <w:shd w:val="clear" w:color="auto" w:fill="auto"/>
            <w:tcMar>
              <w:left w:w="57" w:type="dxa"/>
              <w:right w:w="57" w:type="dxa"/>
            </w:tcMar>
            <w:vAlign w:val="center"/>
          </w:tcPr>
          <w:p w14:paraId="542756AE" w14:textId="77777777" w:rsidR="003E5BF5" w:rsidRPr="00E273FC" w:rsidRDefault="003E5BF5" w:rsidP="00DE1921">
            <w:pPr>
              <w:pStyle w:val="TableTextRight"/>
              <w:rPr>
                <w:rFonts w:ascii="Arial" w:hAnsi="Arial" w:cs="Arial"/>
                <w:sz w:val="24"/>
                <w:szCs w:val="24"/>
              </w:rPr>
            </w:pPr>
          </w:p>
        </w:tc>
      </w:tr>
      <w:tr w:rsidR="003E5BF5" w:rsidRPr="00E273FC" w14:paraId="19B84D7B" w14:textId="77777777" w:rsidTr="0045675C">
        <w:trPr>
          <w:trHeight w:val="283"/>
        </w:trPr>
        <w:tc>
          <w:tcPr>
            <w:tcW w:w="1972" w:type="dxa"/>
            <w:tcMar>
              <w:left w:w="57" w:type="dxa"/>
              <w:right w:w="57" w:type="dxa"/>
            </w:tcMar>
            <w:vAlign w:val="center"/>
          </w:tcPr>
          <w:p w14:paraId="09D7DFD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15-24</w:t>
            </w:r>
          </w:p>
        </w:tc>
        <w:tc>
          <w:tcPr>
            <w:tcW w:w="987" w:type="dxa"/>
            <w:shd w:val="clear" w:color="auto" w:fill="auto"/>
            <w:vAlign w:val="center"/>
          </w:tcPr>
          <w:p w14:paraId="39B2B30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127</w:t>
            </w:r>
          </w:p>
        </w:tc>
        <w:tc>
          <w:tcPr>
            <w:tcW w:w="847" w:type="dxa"/>
            <w:shd w:val="clear" w:color="auto" w:fill="auto"/>
            <w:vAlign w:val="center"/>
          </w:tcPr>
          <w:p w14:paraId="178A629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123.1</w:t>
            </w:r>
          </w:p>
        </w:tc>
        <w:tc>
          <w:tcPr>
            <w:tcW w:w="236" w:type="dxa"/>
            <w:shd w:val="clear" w:color="auto" w:fill="auto"/>
            <w:vAlign w:val="center"/>
          </w:tcPr>
          <w:p w14:paraId="32F609C9"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3E23B5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w:t>
            </w:r>
          </w:p>
        </w:tc>
        <w:tc>
          <w:tcPr>
            <w:tcW w:w="1128" w:type="dxa"/>
            <w:shd w:val="clear" w:color="auto" w:fill="auto"/>
            <w:vAlign w:val="center"/>
          </w:tcPr>
          <w:p w14:paraId="390A36F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57EC7A5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8.0</w:t>
            </w:r>
          </w:p>
        </w:tc>
        <w:tc>
          <w:tcPr>
            <w:tcW w:w="236" w:type="dxa"/>
            <w:shd w:val="clear" w:color="auto" w:fill="auto"/>
            <w:vAlign w:val="center"/>
          </w:tcPr>
          <w:p w14:paraId="261DAA01"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5B0FB8C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119</w:t>
            </w:r>
          </w:p>
        </w:tc>
        <w:tc>
          <w:tcPr>
            <w:tcW w:w="846" w:type="dxa"/>
            <w:shd w:val="clear" w:color="auto" w:fill="auto"/>
            <w:tcMar>
              <w:left w:w="57" w:type="dxa"/>
              <w:right w:w="57" w:type="dxa"/>
            </w:tcMar>
            <w:vAlign w:val="center"/>
          </w:tcPr>
          <w:p w14:paraId="052FE6D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115.1</w:t>
            </w:r>
          </w:p>
        </w:tc>
      </w:tr>
      <w:tr w:rsidR="003E5BF5" w:rsidRPr="00E273FC" w14:paraId="12EDDC04" w14:textId="77777777" w:rsidTr="0045675C">
        <w:trPr>
          <w:trHeight w:val="283"/>
        </w:trPr>
        <w:tc>
          <w:tcPr>
            <w:tcW w:w="1972" w:type="dxa"/>
            <w:tcMar>
              <w:left w:w="57" w:type="dxa"/>
              <w:right w:w="57" w:type="dxa"/>
            </w:tcMar>
            <w:vAlign w:val="center"/>
          </w:tcPr>
          <w:p w14:paraId="4E812D11"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25-34</w:t>
            </w:r>
          </w:p>
        </w:tc>
        <w:tc>
          <w:tcPr>
            <w:tcW w:w="987" w:type="dxa"/>
            <w:shd w:val="clear" w:color="auto" w:fill="auto"/>
            <w:vAlign w:val="center"/>
          </w:tcPr>
          <w:p w14:paraId="4CAAC6A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530</w:t>
            </w:r>
          </w:p>
        </w:tc>
        <w:tc>
          <w:tcPr>
            <w:tcW w:w="847" w:type="dxa"/>
            <w:shd w:val="clear" w:color="auto" w:fill="auto"/>
            <w:vAlign w:val="center"/>
          </w:tcPr>
          <w:p w14:paraId="4E9400E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523.0</w:t>
            </w:r>
          </w:p>
        </w:tc>
        <w:tc>
          <w:tcPr>
            <w:tcW w:w="236" w:type="dxa"/>
            <w:shd w:val="clear" w:color="auto" w:fill="auto"/>
            <w:vAlign w:val="center"/>
          </w:tcPr>
          <w:p w14:paraId="1EF4ABDD"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B720B5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116</w:t>
            </w:r>
          </w:p>
        </w:tc>
        <w:tc>
          <w:tcPr>
            <w:tcW w:w="1128" w:type="dxa"/>
            <w:shd w:val="clear" w:color="auto" w:fill="auto"/>
            <w:vAlign w:val="center"/>
          </w:tcPr>
          <w:p w14:paraId="512AAC9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7</w:t>
            </w:r>
          </w:p>
        </w:tc>
        <w:tc>
          <w:tcPr>
            <w:tcW w:w="846" w:type="dxa"/>
            <w:shd w:val="clear" w:color="auto" w:fill="auto"/>
            <w:tcMar>
              <w:left w:w="57" w:type="dxa"/>
              <w:right w:w="57" w:type="dxa"/>
            </w:tcMar>
            <w:vAlign w:val="center"/>
          </w:tcPr>
          <w:p w14:paraId="6D2C642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120.2</w:t>
            </w:r>
          </w:p>
        </w:tc>
        <w:tc>
          <w:tcPr>
            <w:tcW w:w="236" w:type="dxa"/>
            <w:shd w:val="clear" w:color="auto" w:fill="auto"/>
            <w:vAlign w:val="center"/>
          </w:tcPr>
          <w:p w14:paraId="5B0B7F64"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6322FAF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407</w:t>
            </w:r>
          </w:p>
        </w:tc>
        <w:tc>
          <w:tcPr>
            <w:tcW w:w="846" w:type="dxa"/>
            <w:shd w:val="clear" w:color="auto" w:fill="auto"/>
            <w:tcMar>
              <w:left w:w="57" w:type="dxa"/>
              <w:right w:w="57" w:type="dxa"/>
            </w:tcMar>
            <w:vAlign w:val="center"/>
          </w:tcPr>
          <w:p w14:paraId="5002B53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402.9</w:t>
            </w:r>
          </w:p>
        </w:tc>
      </w:tr>
      <w:tr w:rsidR="003E5BF5" w:rsidRPr="00E273FC" w14:paraId="065D633E" w14:textId="77777777" w:rsidTr="0045675C">
        <w:trPr>
          <w:trHeight w:val="283"/>
        </w:trPr>
        <w:tc>
          <w:tcPr>
            <w:tcW w:w="1972" w:type="dxa"/>
            <w:tcMar>
              <w:left w:w="57" w:type="dxa"/>
              <w:right w:w="57" w:type="dxa"/>
            </w:tcMar>
            <w:vAlign w:val="center"/>
          </w:tcPr>
          <w:p w14:paraId="4A1E364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35-44</w:t>
            </w:r>
          </w:p>
        </w:tc>
        <w:tc>
          <w:tcPr>
            <w:tcW w:w="987" w:type="dxa"/>
            <w:shd w:val="clear" w:color="auto" w:fill="auto"/>
            <w:vAlign w:val="center"/>
          </w:tcPr>
          <w:p w14:paraId="041638A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511</w:t>
            </w:r>
          </w:p>
        </w:tc>
        <w:tc>
          <w:tcPr>
            <w:tcW w:w="847" w:type="dxa"/>
            <w:shd w:val="clear" w:color="auto" w:fill="auto"/>
            <w:vAlign w:val="center"/>
          </w:tcPr>
          <w:p w14:paraId="63887B9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499.2</w:t>
            </w:r>
          </w:p>
        </w:tc>
        <w:tc>
          <w:tcPr>
            <w:tcW w:w="236" w:type="dxa"/>
            <w:shd w:val="clear" w:color="auto" w:fill="auto"/>
            <w:vAlign w:val="center"/>
          </w:tcPr>
          <w:p w14:paraId="05F95128"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48AB191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111</w:t>
            </w:r>
          </w:p>
        </w:tc>
        <w:tc>
          <w:tcPr>
            <w:tcW w:w="1128" w:type="dxa"/>
            <w:shd w:val="clear" w:color="auto" w:fill="auto"/>
            <w:vAlign w:val="center"/>
          </w:tcPr>
          <w:p w14:paraId="66EE4B9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w:t>
            </w:r>
          </w:p>
        </w:tc>
        <w:tc>
          <w:tcPr>
            <w:tcW w:w="846" w:type="dxa"/>
            <w:shd w:val="clear" w:color="auto" w:fill="auto"/>
            <w:tcMar>
              <w:left w:w="57" w:type="dxa"/>
              <w:right w:w="57" w:type="dxa"/>
            </w:tcMar>
            <w:vAlign w:val="center"/>
          </w:tcPr>
          <w:p w14:paraId="5ED7B21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118.7</w:t>
            </w:r>
          </w:p>
        </w:tc>
        <w:tc>
          <w:tcPr>
            <w:tcW w:w="236" w:type="dxa"/>
            <w:shd w:val="clear" w:color="auto" w:fill="auto"/>
            <w:vAlign w:val="center"/>
          </w:tcPr>
          <w:p w14:paraId="13D7A6A0"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531FF72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389</w:t>
            </w:r>
          </w:p>
        </w:tc>
        <w:tc>
          <w:tcPr>
            <w:tcW w:w="846" w:type="dxa"/>
            <w:shd w:val="clear" w:color="auto" w:fill="auto"/>
            <w:tcMar>
              <w:left w:w="57" w:type="dxa"/>
              <w:right w:w="57" w:type="dxa"/>
            </w:tcMar>
            <w:vAlign w:val="center"/>
          </w:tcPr>
          <w:p w14:paraId="0C5A7C4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380.5</w:t>
            </w:r>
          </w:p>
        </w:tc>
      </w:tr>
      <w:tr w:rsidR="003E5BF5" w:rsidRPr="00E273FC" w14:paraId="00DA5639" w14:textId="77777777" w:rsidTr="0045675C">
        <w:trPr>
          <w:trHeight w:val="283"/>
        </w:trPr>
        <w:tc>
          <w:tcPr>
            <w:tcW w:w="1972" w:type="dxa"/>
            <w:tcMar>
              <w:left w:w="57" w:type="dxa"/>
              <w:right w:w="57" w:type="dxa"/>
            </w:tcMar>
            <w:vAlign w:val="center"/>
          </w:tcPr>
          <w:p w14:paraId="47B4F9A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45-54</w:t>
            </w:r>
          </w:p>
        </w:tc>
        <w:tc>
          <w:tcPr>
            <w:tcW w:w="987" w:type="dxa"/>
            <w:shd w:val="clear" w:color="auto" w:fill="auto"/>
            <w:vAlign w:val="center"/>
          </w:tcPr>
          <w:p w14:paraId="04DA0AA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308</w:t>
            </w:r>
          </w:p>
        </w:tc>
        <w:tc>
          <w:tcPr>
            <w:tcW w:w="847" w:type="dxa"/>
            <w:shd w:val="clear" w:color="auto" w:fill="auto"/>
            <w:vAlign w:val="center"/>
          </w:tcPr>
          <w:p w14:paraId="3BD78F1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303.1</w:t>
            </w:r>
          </w:p>
        </w:tc>
        <w:tc>
          <w:tcPr>
            <w:tcW w:w="236" w:type="dxa"/>
            <w:shd w:val="clear" w:color="auto" w:fill="auto"/>
            <w:vAlign w:val="center"/>
          </w:tcPr>
          <w:p w14:paraId="5799712C"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34977C9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54</w:t>
            </w:r>
          </w:p>
        </w:tc>
        <w:tc>
          <w:tcPr>
            <w:tcW w:w="1128" w:type="dxa"/>
            <w:shd w:val="clear" w:color="auto" w:fill="auto"/>
            <w:vAlign w:val="center"/>
          </w:tcPr>
          <w:p w14:paraId="3292FA3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c>
          <w:tcPr>
            <w:tcW w:w="846" w:type="dxa"/>
            <w:shd w:val="clear" w:color="auto" w:fill="auto"/>
            <w:tcMar>
              <w:left w:w="57" w:type="dxa"/>
              <w:right w:w="57" w:type="dxa"/>
            </w:tcMar>
            <w:vAlign w:val="center"/>
          </w:tcPr>
          <w:p w14:paraId="4B957ED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55.9</w:t>
            </w:r>
          </w:p>
        </w:tc>
        <w:tc>
          <w:tcPr>
            <w:tcW w:w="236" w:type="dxa"/>
            <w:shd w:val="clear" w:color="auto" w:fill="auto"/>
            <w:vAlign w:val="center"/>
          </w:tcPr>
          <w:p w14:paraId="412F27A3"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491080E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251</w:t>
            </w:r>
          </w:p>
        </w:tc>
        <w:tc>
          <w:tcPr>
            <w:tcW w:w="846" w:type="dxa"/>
            <w:shd w:val="clear" w:color="auto" w:fill="auto"/>
            <w:tcMar>
              <w:left w:w="57" w:type="dxa"/>
              <w:right w:w="57" w:type="dxa"/>
            </w:tcMar>
            <w:vAlign w:val="center"/>
          </w:tcPr>
          <w:p w14:paraId="192D7B2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247.2</w:t>
            </w:r>
          </w:p>
        </w:tc>
      </w:tr>
      <w:tr w:rsidR="003E5BF5" w:rsidRPr="00E273FC" w14:paraId="43C1C839" w14:textId="77777777" w:rsidTr="0045675C">
        <w:trPr>
          <w:trHeight w:val="283"/>
        </w:trPr>
        <w:tc>
          <w:tcPr>
            <w:tcW w:w="1972" w:type="dxa"/>
            <w:tcMar>
              <w:left w:w="57" w:type="dxa"/>
              <w:right w:w="57" w:type="dxa"/>
            </w:tcMar>
            <w:vAlign w:val="center"/>
          </w:tcPr>
          <w:p w14:paraId="532A6E0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55-64</w:t>
            </w:r>
          </w:p>
        </w:tc>
        <w:tc>
          <w:tcPr>
            <w:tcW w:w="987" w:type="dxa"/>
            <w:shd w:val="clear" w:color="auto" w:fill="auto"/>
            <w:vAlign w:val="center"/>
          </w:tcPr>
          <w:p w14:paraId="1DCBA13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133</w:t>
            </w:r>
          </w:p>
        </w:tc>
        <w:tc>
          <w:tcPr>
            <w:tcW w:w="847" w:type="dxa"/>
            <w:shd w:val="clear" w:color="auto" w:fill="auto"/>
            <w:vAlign w:val="center"/>
          </w:tcPr>
          <w:p w14:paraId="27F39EE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132.1</w:t>
            </w:r>
          </w:p>
        </w:tc>
        <w:tc>
          <w:tcPr>
            <w:tcW w:w="236" w:type="dxa"/>
            <w:shd w:val="clear" w:color="auto" w:fill="auto"/>
            <w:vAlign w:val="center"/>
          </w:tcPr>
          <w:p w14:paraId="4823F669"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6B0E29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33</w:t>
            </w:r>
          </w:p>
        </w:tc>
        <w:tc>
          <w:tcPr>
            <w:tcW w:w="1128" w:type="dxa"/>
            <w:shd w:val="clear" w:color="auto" w:fill="auto"/>
            <w:vAlign w:val="center"/>
          </w:tcPr>
          <w:p w14:paraId="6AF1FA3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846" w:type="dxa"/>
            <w:shd w:val="clear" w:color="auto" w:fill="auto"/>
            <w:tcMar>
              <w:left w:w="57" w:type="dxa"/>
              <w:right w:w="57" w:type="dxa"/>
            </w:tcMar>
            <w:vAlign w:val="center"/>
          </w:tcPr>
          <w:p w14:paraId="6019331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33.9</w:t>
            </w:r>
          </w:p>
        </w:tc>
        <w:tc>
          <w:tcPr>
            <w:tcW w:w="236" w:type="dxa"/>
            <w:shd w:val="clear" w:color="auto" w:fill="auto"/>
            <w:vAlign w:val="center"/>
          </w:tcPr>
          <w:p w14:paraId="41CA308E"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04B595B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99</w:t>
            </w:r>
          </w:p>
        </w:tc>
        <w:tc>
          <w:tcPr>
            <w:tcW w:w="846" w:type="dxa"/>
            <w:shd w:val="clear" w:color="auto" w:fill="auto"/>
            <w:tcMar>
              <w:left w:w="57" w:type="dxa"/>
              <w:right w:w="57" w:type="dxa"/>
            </w:tcMar>
            <w:vAlign w:val="center"/>
          </w:tcPr>
          <w:p w14:paraId="453CACE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98.2</w:t>
            </w:r>
          </w:p>
        </w:tc>
      </w:tr>
      <w:tr w:rsidR="003E5BF5" w:rsidRPr="00E273FC" w14:paraId="5ECDC9F6" w14:textId="77777777" w:rsidTr="0045675C">
        <w:trPr>
          <w:trHeight w:val="283"/>
        </w:trPr>
        <w:tc>
          <w:tcPr>
            <w:tcW w:w="1972" w:type="dxa"/>
            <w:tcMar>
              <w:left w:w="57" w:type="dxa"/>
              <w:right w:w="57" w:type="dxa"/>
            </w:tcMar>
            <w:vAlign w:val="center"/>
          </w:tcPr>
          <w:p w14:paraId="7C2B164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65+</w:t>
            </w:r>
          </w:p>
        </w:tc>
        <w:tc>
          <w:tcPr>
            <w:tcW w:w="987" w:type="dxa"/>
            <w:shd w:val="clear" w:color="auto" w:fill="auto"/>
            <w:vAlign w:val="center"/>
          </w:tcPr>
          <w:p w14:paraId="1C02D7B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w:t>
            </w:r>
          </w:p>
        </w:tc>
        <w:tc>
          <w:tcPr>
            <w:tcW w:w="847" w:type="dxa"/>
            <w:shd w:val="clear" w:color="auto" w:fill="auto"/>
            <w:vAlign w:val="center"/>
          </w:tcPr>
          <w:p w14:paraId="341A889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7.3</w:t>
            </w:r>
          </w:p>
        </w:tc>
        <w:tc>
          <w:tcPr>
            <w:tcW w:w="236" w:type="dxa"/>
            <w:shd w:val="clear" w:color="auto" w:fill="auto"/>
            <w:vAlign w:val="center"/>
          </w:tcPr>
          <w:p w14:paraId="78F694B1"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6B33EF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128" w:type="dxa"/>
            <w:shd w:val="clear" w:color="auto" w:fill="auto"/>
            <w:vAlign w:val="center"/>
          </w:tcPr>
          <w:p w14:paraId="45835C8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5B8175D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w:t>
            </w:r>
          </w:p>
        </w:tc>
        <w:tc>
          <w:tcPr>
            <w:tcW w:w="236" w:type="dxa"/>
            <w:shd w:val="clear" w:color="auto" w:fill="auto"/>
            <w:vAlign w:val="center"/>
          </w:tcPr>
          <w:p w14:paraId="1093A2CA"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0AD8CA6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7</w:t>
            </w:r>
          </w:p>
        </w:tc>
        <w:tc>
          <w:tcPr>
            <w:tcW w:w="846" w:type="dxa"/>
            <w:shd w:val="clear" w:color="auto" w:fill="auto"/>
            <w:tcMar>
              <w:left w:w="57" w:type="dxa"/>
              <w:right w:w="57" w:type="dxa"/>
            </w:tcMar>
            <w:vAlign w:val="center"/>
          </w:tcPr>
          <w:p w14:paraId="39D9423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6.3</w:t>
            </w:r>
          </w:p>
        </w:tc>
      </w:tr>
      <w:tr w:rsidR="003E5BF5" w:rsidRPr="00E273FC" w14:paraId="13DFC05A" w14:textId="77777777" w:rsidTr="0045675C">
        <w:trPr>
          <w:trHeight w:val="283"/>
        </w:trPr>
        <w:tc>
          <w:tcPr>
            <w:tcW w:w="1972" w:type="dxa"/>
            <w:tcMar>
              <w:left w:w="57" w:type="dxa"/>
              <w:right w:w="57" w:type="dxa"/>
            </w:tcMar>
            <w:vAlign w:val="center"/>
          </w:tcPr>
          <w:p w14:paraId="17C9D2FD"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Classification</w:t>
            </w:r>
          </w:p>
        </w:tc>
        <w:tc>
          <w:tcPr>
            <w:tcW w:w="987" w:type="dxa"/>
            <w:shd w:val="clear" w:color="auto" w:fill="auto"/>
            <w:vAlign w:val="center"/>
          </w:tcPr>
          <w:p w14:paraId="34AFE79D" w14:textId="77777777" w:rsidR="003E5BF5" w:rsidRPr="00E273FC" w:rsidRDefault="003E5BF5" w:rsidP="00DE1921">
            <w:pPr>
              <w:pStyle w:val="TableTextRight"/>
              <w:rPr>
                <w:rFonts w:ascii="Arial" w:hAnsi="Arial" w:cs="Arial"/>
                <w:sz w:val="24"/>
                <w:szCs w:val="24"/>
              </w:rPr>
            </w:pPr>
          </w:p>
        </w:tc>
        <w:tc>
          <w:tcPr>
            <w:tcW w:w="847" w:type="dxa"/>
            <w:shd w:val="clear" w:color="auto" w:fill="auto"/>
            <w:vAlign w:val="center"/>
          </w:tcPr>
          <w:p w14:paraId="5B55323F" w14:textId="77777777" w:rsidR="003E5BF5" w:rsidRPr="00E273FC" w:rsidRDefault="003E5BF5" w:rsidP="00DE1921">
            <w:pPr>
              <w:pStyle w:val="TableTextRight"/>
              <w:rPr>
                <w:rFonts w:ascii="Arial" w:hAnsi="Arial" w:cs="Arial"/>
                <w:sz w:val="24"/>
                <w:szCs w:val="24"/>
              </w:rPr>
            </w:pPr>
          </w:p>
        </w:tc>
        <w:tc>
          <w:tcPr>
            <w:tcW w:w="236" w:type="dxa"/>
            <w:shd w:val="clear" w:color="auto" w:fill="auto"/>
            <w:vAlign w:val="center"/>
          </w:tcPr>
          <w:p w14:paraId="6E758E46"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EE00925" w14:textId="77777777" w:rsidR="003E5BF5" w:rsidRPr="00E273FC" w:rsidRDefault="003E5BF5" w:rsidP="00DE1921">
            <w:pPr>
              <w:pStyle w:val="TableTextRight"/>
              <w:rPr>
                <w:rFonts w:ascii="Arial" w:hAnsi="Arial" w:cs="Arial"/>
                <w:sz w:val="24"/>
                <w:szCs w:val="24"/>
              </w:rPr>
            </w:pPr>
          </w:p>
        </w:tc>
        <w:tc>
          <w:tcPr>
            <w:tcW w:w="1128" w:type="dxa"/>
            <w:shd w:val="clear" w:color="auto" w:fill="auto"/>
            <w:vAlign w:val="center"/>
          </w:tcPr>
          <w:p w14:paraId="63CB91B4" w14:textId="77777777" w:rsidR="003E5BF5" w:rsidRPr="00E273FC" w:rsidRDefault="003E5BF5" w:rsidP="00DE1921">
            <w:pPr>
              <w:pStyle w:val="TableTextRight"/>
              <w:rPr>
                <w:rFonts w:ascii="Arial" w:hAnsi="Arial" w:cs="Arial"/>
                <w:sz w:val="24"/>
                <w:szCs w:val="24"/>
              </w:rPr>
            </w:pPr>
          </w:p>
        </w:tc>
        <w:tc>
          <w:tcPr>
            <w:tcW w:w="846" w:type="dxa"/>
            <w:shd w:val="clear" w:color="auto" w:fill="auto"/>
            <w:tcMar>
              <w:left w:w="57" w:type="dxa"/>
              <w:right w:w="57" w:type="dxa"/>
            </w:tcMar>
            <w:vAlign w:val="center"/>
          </w:tcPr>
          <w:p w14:paraId="13A18840" w14:textId="77777777" w:rsidR="003E5BF5" w:rsidRPr="00E273FC" w:rsidRDefault="003E5BF5" w:rsidP="00DE1921">
            <w:pPr>
              <w:pStyle w:val="TableTextRight"/>
              <w:rPr>
                <w:rFonts w:ascii="Arial" w:hAnsi="Arial" w:cs="Arial"/>
                <w:sz w:val="24"/>
                <w:szCs w:val="24"/>
              </w:rPr>
            </w:pPr>
          </w:p>
        </w:tc>
        <w:tc>
          <w:tcPr>
            <w:tcW w:w="236" w:type="dxa"/>
            <w:shd w:val="clear" w:color="auto" w:fill="auto"/>
            <w:vAlign w:val="center"/>
          </w:tcPr>
          <w:p w14:paraId="36F4BB45"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65C10C7F" w14:textId="77777777" w:rsidR="003E5BF5" w:rsidRPr="00E273FC" w:rsidRDefault="003E5BF5" w:rsidP="00DE1921">
            <w:pPr>
              <w:pStyle w:val="TableTextRight"/>
              <w:rPr>
                <w:rFonts w:ascii="Arial" w:hAnsi="Arial" w:cs="Arial"/>
                <w:sz w:val="24"/>
                <w:szCs w:val="24"/>
              </w:rPr>
            </w:pPr>
          </w:p>
        </w:tc>
        <w:tc>
          <w:tcPr>
            <w:tcW w:w="846" w:type="dxa"/>
            <w:shd w:val="clear" w:color="auto" w:fill="auto"/>
            <w:tcMar>
              <w:left w:w="57" w:type="dxa"/>
              <w:right w:w="57" w:type="dxa"/>
            </w:tcMar>
            <w:vAlign w:val="center"/>
          </w:tcPr>
          <w:p w14:paraId="3A095A73" w14:textId="77777777" w:rsidR="003E5BF5" w:rsidRPr="00E273FC" w:rsidRDefault="003E5BF5" w:rsidP="00DE1921">
            <w:pPr>
              <w:pStyle w:val="TableTextRight"/>
              <w:rPr>
                <w:rFonts w:ascii="Arial" w:hAnsi="Arial" w:cs="Arial"/>
                <w:sz w:val="24"/>
                <w:szCs w:val="24"/>
              </w:rPr>
            </w:pPr>
          </w:p>
        </w:tc>
      </w:tr>
      <w:tr w:rsidR="003E5BF5" w:rsidRPr="00E273FC" w14:paraId="5D1B718E" w14:textId="77777777" w:rsidTr="0045675C">
        <w:trPr>
          <w:trHeight w:val="283"/>
        </w:trPr>
        <w:tc>
          <w:tcPr>
            <w:tcW w:w="1972" w:type="dxa"/>
            <w:tcMar>
              <w:left w:w="57" w:type="dxa"/>
              <w:right w:w="57" w:type="dxa"/>
            </w:tcMar>
            <w:vAlign w:val="center"/>
          </w:tcPr>
          <w:p w14:paraId="09E2F69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1</w:t>
            </w:r>
          </w:p>
        </w:tc>
        <w:tc>
          <w:tcPr>
            <w:tcW w:w="987" w:type="dxa"/>
            <w:shd w:val="clear" w:color="auto" w:fill="auto"/>
            <w:vAlign w:val="center"/>
          </w:tcPr>
          <w:p w14:paraId="631BCE8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7" w:type="dxa"/>
            <w:shd w:val="clear" w:color="auto" w:fill="auto"/>
            <w:vAlign w:val="center"/>
          </w:tcPr>
          <w:p w14:paraId="3CCF2E0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236" w:type="dxa"/>
            <w:shd w:val="clear" w:color="auto" w:fill="auto"/>
            <w:vAlign w:val="center"/>
          </w:tcPr>
          <w:p w14:paraId="73253DE5"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76C4705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28" w:type="dxa"/>
            <w:shd w:val="clear" w:color="auto" w:fill="auto"/>
            <w:vAlign w:val="center"/>
          </w:tcPr>
          <w:p w14:paraId="691717C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35F7A9C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236" w:type="dxa"/>
            <w:shd w:val="clear" w:color="auto" w:fill="auto"/>
            <w:vAlign w:val="center"/>
          </w:tcPr>
          <w:p w14:paraId="7938D629"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147CDCC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152F92B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49327F61" w14:textId="77777777" w:rsidTr="0045675C">
        <w:trPr>
          <w:trHeight w:val="283"/>
        </w:trPr>
        <w:tc>
          <w:tcPr>
            <w:tcW w:w="1972" w:type="dxa"/>
            <w:tcMar>
              <w:left w:w="57" w:type="dxa"/>
              <w:right w:w="57" w:type="dxa"/>
            </w:tcMar>
            <w:vAlign w:val="center"/>
          </w:tcPr>
          <w:p w14:paraId="00E04BF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2</w:t>
            </w:r>
          </w:p>
        </w:tc>
        <w:tc>
          <w:tcPr>
            <w:tcW w:w="987" w:type="dxa"/>
            <w:shd w:val="clear" w:color="auto" w:fill="auto"/>
            <w:vAlign w:val="center"/>
          </w:tcPr>
          <w:p w14:paraId="37CE6A5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43</w:t>
            </w:r>
          </w:p>
        </w:tc>
        <w:tc>
          <w:tcPr>
            <w:tcW w:w="847" w:type="dxa"/>
            <w:shd w:val="clear" w:color="auto" w:fill="auto"/>
            <w:vAlign w:val="center"/>
          </w:tcPr>
          <w:p w14:paraId="04D1726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38.1</w:t>
            </w:r>
          </w:p>
        </w:tc>
        <w:tc>
          <w:tcPr>
            <w:tcW w:w="236" w:type="dxa"/>
            <w:shd w:val="clear" w:color="auto" w:fill="auto"/>
            <w:vAlign w:val="center"/>
          </w:tcPr>
          <w:p w14:paraId="721DC715"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7B6B544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28" w:type="dxa"/>
            <w:shd w:val="clear" w:color="auto" w:fill="auto"/>
            <w:vAlign w:val="center"/>
          </w:tcPr>
          <w:p w14:paraId="5F8D3E7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48A28C9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236" w:type="dxa"/>
            <w:shd w:val="clear" w:color="auto" w:fill="auto"/>
            <w:vAlign w:val="center"/>
          </w:tcPr>
          <w:p w14:paraId="1EF82E29"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320FA24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43</w:t>
            </w:r>
          </w:p>
        </w:tc>
        <w:tc>
          <w:tcPr>
            <w:tcW w:w="846" w:type="dxa"/>
            <w:shd w:val="clear" w:color="auto" w:fill="auto"/>
            <w:tcMar>
              <w:left w:w="57" w:type="dxa"/>
              <w:right w:w="57" w:type="dxa"/>
            </w:tcMar>
            <w:vAlign w:val="center"/>
          </w:tcPr>
          <w:p w14:paraId="1CD241C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38.1</w:t>
            </w:r>
          </w:p>
        </w:tc>
      </w:tr>
      <w:tr w:rsidR="003E5BF5" w:rsidRPr="00E273FC" w14:paraId="32DDC4F8" w14:textId="77777777" w:rsidTr="0045675C">
        <w:trPr>
          <w:trHeight w:val="283"/>
        </w:trPr>
        <w:tc>
          <w:tcPr>
            <w:tcW w:w="1972" w:type="dxa"/>
            <w:tcMar>
              <w:left w:w="57" w:type="dxa"/>
              <w:right w:w="57" w:type="dxa"/>
            </w:tcMar>
            <w:vAlign w:val="center"/>
          </w:tcPr>
          <w:p w14:paraId="314D916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3</w:t>
            </w:r>
          </w:p>
        </w:tc>
        <w:tc>
          <w:tcPr>
            <w:tcW w:w="987" w:type="dxa"/>
            <w:shd w:val="clear" w:color="auto" w:fill="auto"/>
            <w:vAlign w:val="center"/>
          </w:tcPr>
          <w:p w14:paraId="07CF8B6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219</w:t>
            </w:r>
          </w:p>
        </w:tc>
        <w:tc>
          <w:tcPr>
            <w:tcW w:w="847" w:type="dxa"/>
            <w:shd w:val="clear" w:color="auto" w:fill="auto"/>
            <w:vAlign w:val="center"/>
          </w:tcPr>
          <w:p w14:paraId="40240C1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218.5</w:t>
            </w:r>
          </w:p>
        </w:tc>
        <w:tc>
          <w:tcPr>
            <w:tcW w:w="236" w:type="dxa"/>
            <w:shd w:val="clear" w:color="auto" w:fill="auto"/>
            <w:vAlign w:val="center"/>
          </w:tcPr>
          <w:p w14:paraId="41EFC89C"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6EFD9B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31</w:t>
            </w:r>
          </w:p>
        </w:tc>
        <w:tc>
          <w:tcPr>
            <w:tcW w:w="1128" w:type="dxa"/>
            <w:shd w:val="clear" w:color="auto" w:fill="auto"/>
            <w:vAlign w:val="center"/>
          </w:tcPr>
          <w:p w14:paraId="5A813C6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2AF6B78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31.0</w:t>
            </w:r>
          </w:p>
        </w:tc>
        <w:tc>
          <w:tcPr>
            <w:tcW w:w="236" w:type="dxa"/>
            <w:shd w:val="clear" w:color="auto" w:fill="auto"/>
            <w:vAlign w:val="center"/>
          </w:tcPr>
          <w:p w14:paraId="55EB586F"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40AC827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188</w:t>
            </w:r>
          </w:p>
        </w:tc>
        <w:tc>
          <w:tcPr>
            <w:tcW w:w="846" w:type="dxa"/>
            <w:shd w:val="clear" w:color="auto" w:fill="auto"/>
            <w:tcMar>
              <w:left w:w="57" w:type="dxa"/>
              <w:right w:w="57" w:type="dxa"/>
            </w:tcMar>
            <w:vAlign w:val="center"/>
          </w:tcPr>
          <w:p w14:paraId="3516483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187.5</w:t>
            </w:r>
          </w:p>
        </w:tc>
      </w:tr>
      <w:tr w:rsidR="003E5BF5" w:rsidRPr="00E273FC" w14:paraId="779490CB" w14:textId="77777777" w:rsidTr="0045675C">
        <w:trPr>
          <w:trHeight w:val="283"/>
        </w:trPr>
        <w:tc>
          <w:tcPr>
            <w:tcW w:w="1972" w:type="dxa"/>
            <w:tcMar>
              <w:left w:w="57" w:type="dxa"/>
              <w:right w:w="57" w:type="dxa"/>
            </w:tcMar>
            <w:vAlign w:val="center"/>
          </w:tcPr>
          <w:p w14:paraId="00DA272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4</w:t>
            </w:r>
          </w:p>
        </w:tc>
        <w:tc>
          <w:tcPr>
            <w:tcW w:w="987" w:type="dxa"/>
            <w:shd w:val="clear" w:color="auto" w:fill="auto"/>
            <w:vAlign w:val="center"/>
          </w:tcPr>
          <w:p w14:paraId="4C1CBA7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229</w:t>
            </w:r>
          </w:p>
        </w:tc>
        <w:tc>
          <w:tcPr>
            <w:tcW w:w="847" w:type="dxa"/>
            <w:shd w:val="clear" w:color="auto" w:fill="auto"/>
            <w:vAlign w:val="center"/>
          </w:tcPr>
          <w:p w14:paraId="052A430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227.6</w:t>
            </w:r>
          </w:p>
        </w:tc>
        <w:tc>
          <w:tcPr>
            <w:tcW w:w="236" w:type="dxa"/>
            <w:shd w:val="clear" w:color="auto" w:fill="auto"/>
            <w:vAlign w:val="center"/>
          </w:tcPr>
          <w:p w14:paraId="4159E950"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31587B6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49</w:t>
            </w:r>
          </w:p>
        </w:tc>
        <w:tc>
          <w:tcPr>
            <w:tcW w:w="1128" w:type="dxa"/>
            <w:shd w:val="clear" w:color="auto" w:fill="auto"/>
            <w:vAlign w:val="center"/>
          </w:tcPr>
          <w:p w14:paraId="2A81FF7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58337B0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49.0</w:t>
            </w:r>
          </w:p>
        </w:tc>
        <w:tc>
          <w:tcPr>
            <w:tcW w:w="236" w:type="dxa"/>
            <w:shd w:val="clear" w:color="auto" w:fill="auto"/>
            <w:vAlign w:val="center"/>
          </w:tcPr>
          <w:p w14:paraId="4A02EDB1"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6D6583B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180</w:t>
            </w:r>
          </w:p>
        </w:tc>
        <w:tc>
          <w:tcPr>
            <w:tcW w:w="846" w:type="dxa"/>
            <w:shd w:val="clear" w:color="auto" w:fill="auto"/>
            <w:tcMar>
              <w:left w:w="57" w:type="dxa"/>
              <w:right w:w="57" w:type="dxa"/>
            </w:tcMar>
            <w:vAlign w:val="center"/>
          </w:tcPr>
          <w:p w14:paraId="6A7A798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178.6</w:t>
            </w:r>
          </w:p>
        </w:tc>
      </w:tr>
      <w:tr w:rsidR="003E5BF5" w:rsidRPr="00E273FC" w14:paraId="1978891C" w14:textId="77777777" w:rsidTr="0045675C">
        <w:trPr>
          <w:trHeight w:val="283"/>
        </w:trPr>
        <w:tc>
          <w:tcPr>
            <w:tcW w:w="1972" w:type="dxa"/>
            <w:tcMar>
              <w:left w:w="57" w:type="dxa"/>
              <w:right w:w="57" w:type="dxa"/>
            </w:tcMar>
            <w:vAlign w:val="center"/>
          </w:tcPr>
          <w:p w14:paraId="1983C5C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5</w:t>
            </w:r>
          </w:p>
        </w:tc>
        <w:tc>
          <w:tcPr>
            <w:tcW w:w="987" w:type="dxa"/>
            <w:shd w:val="clear" w:color="auto" w:fill="auto"/>
            <w:vAlign w:val="center"/>
          </w:tcPr>
          <w:p w14:paraId="6F46BA2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373</w:t>
            </w:r>
          </w:p>
        </w:tc>
        <w:tc>
          <w:tcPr>
            <w:tcW w:w="847" w:type="dxa"/>
            <w:shd w:val="clear" w:color="auto" w:fill="auto"/>
            <w:vAlign w:val="center"/>
          </w:tcPr>
          <w:p w14:paraId="0760751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363.9</w:t>
            </w:r>
          </w:p>
        </w:tc>
        <w:tc>
          <w:tcPr>
            <w:tcW w:w="236" w:type="dxa"/>
            <w:shd w:val="clear" w:color="auto" w:fill="auto"/>
            <w:vAlign w:val="center"/>
          </w:tcPr>
          <w:p w14:paraId="1A789DD8"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04C1A9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122</w:t>
            </w:r>
          </w:p>
        </w:tc>
        <w:tc>
          <w:tcPr>
            <w:tcW w:w="1128" w:type="dxa"/>
            <w:shd w:val="clear" w:color="auto" w:fill="auto"/>
            <w:vAlign w:val="center"/>
          </w:tcPr>
          <w:p w14:paraId="22A4283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w:t>
            </w:r>
          </w:p>
        </w:tc>
        <w:tc>
          <w:tcPr>
            <w:tcW w:w="846" w:type="dxa"/>
            <w:shd w:val="clear" w:color="auto" w:fill="auto"/>
            <w:tcMar>
              <w:left w:w="57" w:type="dxa"/>
              <w:right w:w="57" w:type="dxa"/>
            </w:tcMar>
            <w:vAlign w:val="center"/>
          </w:tcPr>
          <w:p w14:paraId="0EA84D6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127.1</w:t>
            </w:r>
          </w:p>
        </w:tc>
        <w:tc>
          <w:tcPr>
            <w:tcW w:w="236" w:type="dxa"/>
            <w:shd w:val="clear" w:color="auto" w:fill="auto"/>
            <w:vAlign w:val="center"/>
          </w:tcPr>
          <w:p w14:paraId="69AF4150"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0369776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243</w:t>
            </w:r>
          </w:p>
        </w:tc>
        <w:tc>
          <w:tcPr>
            <w:tcW w:w="846" w:type="dxa"/>
            <w:shd w:val="clear" w:color="auto" w:fill="auto"/>
            <w:tcMar>
              <w:left w:w="57" w:type="dxa"/>
              <w:right w:w="57" w:type="dxa"/>
            </w:tcMar>
            <w:vAlign w:val="center"/>
          </w:tcPr>
          <w:p w14:paraId="0017508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236.9</w:t>
            </w:r>
          </w:p>
        </w:tc>
      </w:tr>
      <w:tr w:rsidR="003E5BF5" w:rsidRPr="00E273FC" w14:paraId="2E9A2D80" w14:textId="77777777" w:rsidTr="0045675C">
        <w:trPr>
          <w:trHeight w:val="283"/>
        </w:trPr>
        <w:tc>
          <w:tcPr>
            <w:tcW w:w="1972" w:type="dxa"/>
            <w:tcMar>
              <w:left w:w="57" w:type="dxa"/>
              <w:right w:w="57" w:type="dxa"/>
            </w:tcMar>
            <w:vAlign w:val="center"/>
          </w:tcPr>
          <w:p w14:paraId="4030B0A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6</w:t>
            </w:r>
          </w:p>
        </w:tc>
        <w:tc>
          <w:tcPr>
            <w:tcW w:w="987" w:type="dxa"/>
            <w:shd w:val="clear" w:color="auto" w:fill="auto"/>
            <w:vAlign w:val="center"/>
          </w:tcPr>
          <w:p w14:paraId="26F5774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341</w:t>
            </w:r>
          </w:p>
        </w:tc>
        <w:tc>
          <w:tcPr>
            <w:tcW w:w="847" w:type="dxa"/>
            <w:shd w:val="clear" w:color="auto" w:fill="auto"/>
            <w:vAlign w:val="center"/>
          </w:tcPr>
          <w:p w14:paraId="31EE0EE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332.9</w:t>
            </w:r>
          </w:p>
        </w:tc>
        <w:tc>
          <w:tcPr>
            <w:tcW w:w="236" w:type="dxa"/>
            <w:shd w:val="clear" w:color="auto" w:fill="auto"/>
            <w:vAlign w:val="center"/>
          </w:tcPr>
          <w:p w14:paraId="14BD7BAC"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443E363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82</w:t>
            </w:r>
          </w:p>
        </w:tc>
        <w:tc>
          <w:tcPr>
            <w:tcW w:w="1128" w:type="dxa"/>
            <w:shd w:val="clear" w:color="auto" w:fill="auto"/>
            <w:vAlign w:val="center"/>
          </w:tcPr>
          <w:p w14:paraId="21B3002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w:t>
            </w:r>
          </w:p>
        </w:tc>
        <w:tc>
          <w:tcPr>
            <w:tcW w:w="846" w:type="dxa"/>
            <w:shd w:val="clear" w:color="auto" w:fill="auto"/>
            <w:tcMar>
              <w:left w:w="57" w:type="dxa"/>
              <w:right w:w="57" w:type="dxa"/>
            </w:tcMar>
            <w:vAlign w:val="center"/>
          </w:tcPr>
          <w:p w14:paraId="6B198AA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89.2</w:t>
            </w:r>
          </w:p>
        </w:tc>
        <w:tc>
          <w:tcPr>
            <w:tcW w:w="236" w:type="dxa"/>
            <w:shd w:val="clear" w:color="auto" w:fill="auto"/>
            <w:vAlign w:val="center"/>
          </w:tcPr>
          <w:p w14:paraId="4DE9AC4B"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1883A1E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248</w:t>
            </w:r>
          </w:p>
        </w:tc>
        <w:tc>
          <w:tcPr>
            <w:tcW w:w="846" w:type="dxa"/>
            <w:shd w:val="clear" w:color="auto" w:fill="auto"/>
            <w:tcMar>
              <w:left w:w="57" w:type="dxa"/>
              <w:right w:w="57" w:type="dxa"/>
            </w:tcMar>
            <w:vAlign w:val="center"/>
          </w:tcPr>
          <w:p w14:paraId="0CE7AB1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243.7</w:t>
            </w:r>
          </w:p>
        </w:tc>
      </w:tr>
      <w:tr w:rsidR="003E5BF5" w:rsidRPr="00E273FC" w14:paraId="059FDC1B" w14:textId="77777777" w:rsidTr="0045675C">
        <w:trPr>
          <w:trHeight w:val="283"/>
        </w:trPr>
        <w:tc>
          <w:tcPr>
            <w:tcW w:w="1972" w:type="dxa"/>
            <w:tcMar>
              <w:left w:w="57" w:type="dxa"/>
              <w:right w:w="57" w:type="dxa"/>
            </w:tcMar>
            <w:vAlign w:val="center"/>
          </w:tcPr>
          <w:p w14:paraId="6BD0532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PS</w:t>
            </w:r>
          </w:p>
        </w:tc>
        <w:tc>
          <w:tcPr>
            <w:tcW w:w="987" w:type="dxa"/>
            <w:shd w:val="clear" w:color="auto" w:fill="auto"/>
            <w:vAlign w:val="center"/>
          </w:tcPr>
          <w:p w14:paraId="3213D0B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137</w:t>
            </w:r>
          </w:p>
        </w:tc>
        <w:tc>
          <w:tcPr>
            <w:tcW w:w="847" w:type="dxa"/>
            <w:shd w:val="clear" w:color="auto" w:fill="auto"/>
            <w:vAlign w:val="center"/>
          </w:tcPr>
          <w:p w14:paraId="3D3B07E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136.0</w:t>
            </w:r>
          </w:p>
        </w:tc>
        <w:tc>
          <w:tcPr>
            <w:tcW w:w="236" w:type="dxa"/>
            <w:shd w:val="clear" w:color="auto" w:fill="auto"/>
            <w:vAlign w:val="center"/>
          </w:tcPr>
          <w:p w14:paraId="1CABC3DA"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048530E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w:t>
            </w:r>
          </w:p>
        </w:tc>
        <w:tc>
          <w:tcPr>
            <w:tcW w:w="1128" w:type="dxa"/>
            <w:shd w:val="clear" w:color="auto" w:fill="auto"/>
            <w:vAlign w:val="center"/>
          </w:tcPr>
          <w:p w14:paraId="04B0E17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10C533E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11.0</w:t>
            </w:r>
          </w:p>
        </w:tc>
        <w:tc>
          <w:tcPr>
            <w:tcW w:w="236" w:type="dxa"/>
            <w:shd w:val="clear" w:color="auto" w:fill="auto"/>
            <w:vAlign w:val="center"/>
          </w:tcPr>
          <w:p w14:paraId="78659AFB"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6CF77C8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126</w:t>
            </w:r>
          </w:p>
        </w:tc>
        <w:tc>
          <w:tcPr>
            <w:tcW w:w="846" w:type="dxa"/>
            <w:shd w:val="clear" w:color="auto" w:fill="auto"/>
            <w:tcMar>
              <w:left w:w="57" w:type="dxa"/>
              <w:right w:w="57" w:type="dxa"/>
            </w:tcMar>
            <w:vAlign w:val="center"/>
          </w:tcPr>
          <w:p w14:paraId="6D703B4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125.0</w:t>
            </w:r>
          </w:p>
        </w:tc>
      </w:tr>
      <w:tr w:rsidR="003E5BF5" w:rsidRPr="00E273FC" w14:paraId="746CB5FF" w14:textId="77777777" w:rsidTr="0045675C">
        <w:trPr>
          <w:trHeight w:val="283"/>
        </w:trPr>
        <w:tc>
          <w:tcPr>
            <w:tcW w:w="1972" w:type="dxa"/>
            <w:tcMar>
              <w:left w:w="57" w:type="dxa"/>
              <w:right w:w="57" w:type="dxa"/>
            </w:tcMar>
            <w:vAlign w:val="center"/>
          </w:tcPr>
          <w:p w14:paraId="60CBB74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STS</w:t>
            </w:r>
          </w:p>
        </w:tc>
        <w:tc>
          <w:tcPr>
            <w:tcW w:w="987" w:type="dxa"/>
            <w:shd w:val="clear" w:color="auto" w:fill="auto"/>
            <w:vAlign w:val="center"/>
          </w:tcPr>
          <w:p w14:paraId="0242CC8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121</w:t>
            </w:r>
          </w:p>
        </w:tc>
        <w:tc>
          <w:tcPr>
            <w:tcW w:w="847" w:type="dxa"/>
            <w:shd w:val="clear" w:color="auto" w:fill="auto"/>
            <w:vAlign w:val="center"/>
          </w:tcPr>
          <w:p w14:paraId="57AC1CB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117.9</w:t>
            </w:r>
          </w:p>
        </w:tc>
        <w:tc>
          <w:tcPr>
            <w:tcW w:w="236" w:type="dxa"/>
            <w:shd w:val="clear" w:color="auto" w:fill="auto"/>
            <w:vAlign w:val="center"/>
          </w:tcPr>
          <w:p w14:paraId="00D5BC7A"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22AC365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28</w:t>
            </w:r>
          </w:p>
        </w:tc>
        <w:tc>
          <w:tcPr>
            <w:tcW w:w="1128" w:type="dxa"/>
            <w:shd w:val="clear" w:color="auto" w:fill="auto"/>
            <w:vAlign w:val="center"/>
          </w:tcPr>
          <w:p w14:paraId="43AD6CE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c>
          <w:tcPr>
            <w:tcW w:w="846" w:type="dxa"/>
            <w:shd w:val="clear" w:color="auto" w:fill="auto"/>
            <w:tcMar>
              <w:left w:w="57" w:type="dxa"/>
              <w:right w:w="57" w:type="dxa"/>
            </w:tcMar>
            <w:vAlign w:val="center"/>
          </w:tcPr>
          <w:p w14:paraId="6F38330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30.4</w:t>
            </w:r>
          </w:p>
        </w:tc>
        <w:tc>
          <w:tcPr>
            <w:tcW w:w="236" w:type="dxa"/>
            <w:shd w:val="clear" w:color="auto" w:fill="auto"/>
            <w:vAlign w:val="center"/>
          </w:tcPr>
          <w:p w14:paraId="5A0A3F73"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563109B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90</w:t>
            </w:r>
          </w:p>
        </w:tc>
        <w:tc>
          <w:tcPr>
            <w:tcW w:w="846" w:type="dxa"/>
            <w:shd w:val="clear" w:color="auto" w:fill="auto"/>
            <w:tcMar>
              <w:left w:w="57" w:type="dxa"/>
              <w:right w:w="57" w:type="dxa"/>
            </w:tcMar>
            <w:vAlign w:val="center"/>
          </w:tcPr>
          <w:p w14:paraId="324DF99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87.5</w:t>
            </w:r>
          </w:p>
        </w:tc>
      </w:tr>
      <w:tr w:rsidR="003E5BF5" w:rsidRPr="00E273FC" w14:paraId="63FE4F26" w14:textId="77777777" w:rsidTr="0045675C">
        <w:trPr>
          <w:trHeight w:val="283"/>
        </w:trPr>
        <w:tc>
          <w:tcPr>
            <w:tcW w:w="1972" w:type="dxa"/>
            <w:tcMar>
              <w:left w:w="57" w:type="dxa"/>
              <w:right w:w="57" w:type="dxa"/>
            </w:tcMar>
            <w:vAlign w:val="center"/>
          </w:tcPr>
          <w:p w14:paraId="098EF4E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Executive</w:t>
            </w:r>
          </w:p>
        </w:tc>
        <w:tc>
          <w:tcPr>
            <w:tcW w:w="987" w:type="dxa"/>
            <w:shd w:val="clear" w:color="auto" w:fill="auto"/>
            <w:vAlign w:val="center"/>
          </w:tcPr>
          <w:p w14:paraId="4C56A9D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154</w:t>
            </w:r>
          </w:p>
        </w:tc>
        <w:tc>
          <w:tcPr>
            <w:tcW w:w="847" w:type="dxa"/>
            <w:shd w:val="clear" w:color="auto" w:fill="auto"/>
            <w:vAlign w:val="center"/>
          </w:tcPr>
          <w:p w14:paraId="33BDBDF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153.1</w:t>
            </w:r>
          </w:p>
        </w:tc>
        <w:tc>
          <w:tcPr>
            <w:tcW w:w="236" w:type="dxa"/>
            <w:shd w:val="clear" w:color="auto" w:fill="auto"/>
            <w:vAlign w:val="center"/>
          </w:tcPr>
          <w:p w14:paraId="112CD2E5"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7FA356D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28" w:type="dxa"/>
            <w:shd w:val="clear" w:color="auto" w:fill="auto"/>
            <w:vAlign w:val="center"/>
          </w:tcPr>
          <w:p w14:paraId="384719B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46" w:type="dxa"/>
            <w:shd w:val="clear" w:color="auto" w:fill="auto"/>
            <w:tcMar>
              <w:left w:w="57" w:type="dxa"/>
              <w:right w:w="57" w:type="dxa"/>
            </w:tcMar>
            <w:vAlign w:val="center"/>
          </w:tcPr>
          <w:p w14:paraId="1AB1A64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236" w:type="dxa"/>
            <w:shd w:val="clear" w:color="auto" w:fill="auto"/>
            <w:vAlign w:val="center"/>
          </w:tcPr>
          <w:p w14:paraId="2C4562EA" w14:textId="77777777" w:rsidR="003E5BF5" w:rsidRPr="00E273FC" w:rsidRDefault="003E5BF5" w:rsidP="00DE1921">
            <w:pPr>
              <w:pStyle w:val="TableTextRight"/>
              <w:rPr>
                <w:rFonts w:ascii="Arial" w:hAnsi="Arial" w:cs="Arial"/>
                <w:sz w:val="24"/>
                <w:szCs w:val="24"/>
              </w:rPr>
            </w:pPr>
          </w:p>
        </w:tc>
        <w:tc>
          <w:tcPr>
            <w:tcW w:w="987" w:type="dxa"/>
            <w:shd w:val="clear" w:color="auto" w:fill="auto"/>
            <w:vAlign w:val="center"/>
          </w:tcPr>
          <w:p w14:paraId="7CF0726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154</w:t>
            </w:r>
          </w:p>
        </w:tc>
        <w:tc>
          <w:tcPr>
            <w:tcW w:w="846" w:type="dxa"/>
            <w:shd w:val="clear" w:color="auto" w:fill="auto"/>
            <w:tcMar>
              <w:left w:w="57" w:type="dxa"/>
              <w:right w:w="57" w:type="dxa"/>
            </w:tcMar>
            <w:vAlign w:val="center"/>
          </w:tcPr>
          <w:p w14:paraId="2F622A5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153.1</w:t>
            </w:r>
          </w:p>
        </w:tc>
      </w:tr>
      <w:tr w:rsidR="003E5BF5" w:rsidRPr="00E273FC" w14:paraId="34CFBEE9" w14:textId="77777777" w:rsidTr="0045675C">
        <w:trPr>
          <w:trHeight w:val="283"/>
        </w:trPr>
        <w:tc>
          <w:tcPr>
            <w:tcW w:w="1972" w:type="dxa"/>
            <w:tcMar>
              <w:left w:w="57" w:type="dxa"/>
              <w:right w:w="57" w:type="dxa"/>
            </w:tcMar>
            <w:vAlign w:val="center"/>
          </w:tcPr>
          <w:p w14:paraId="2E2F49F6"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Employees</w:t>
            </w:r>
          </w:p>
        </w:tc>
        <w:tc>
          <w:tcPr>
            <w:tcW w:w="987" w:type="dxa"/>
            <w:shd w:val="clear" w:color="auto" w:fill="auto"/>
            <w:vAlign w:val="center"/>
          </w:tcPr>
          <w:p w14:paraId="67351E1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1,617</w:t>
            </w:r>
          </w:p>
        </w:tc>
        <w:tc>
          <w:tcPr>
            <w:tcW w:w="847" w:type="dxa"/>
            <w:shd w:val="clear" w:color="auto" w:fill="auto"/>
            <w:vAlign w:val="center"/>
          </w:tcPr>
          <w:p w14:paraId="7BD002E9"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1,587.9</w:t>
            </w:r>
          </w:p>
        </w:tc>
        <w:tc>
          <w:tcPr>
            <w:tcW w:w="236" w:type="dxa"/>
            <w:shd w:val="clear" w:color="auto" w:fill="auto"/>
            <w:vAlign w:val="center"/>
          </w:tcPr>
          <w:p w14:paraId="760CAB70" w14:textId="77777777" w:rsidR="003E5BF5" w:rsidRPr="00E273FC" w:rsidRDefault="003E5BF5" w:rsidP="00DE1921">
            <w:pPr>
              <w:pStyle w:val="TableTextRightBold"/>
              <w:rPr>
                <w:rFonts w:ascii="Arial" w:hAnsi="Arial" w:cs="Arial"/>
                <w:sz w:val="24"/>
                <w:szCs w:val="24"/>
              </w:rPr>
            </w:pPr>
          </w:p>
        </w:tc>
        <w:tc>
          <w:tcPr>
            <w:tcW w:w="987" w:type="dxa"/>
            <w:shd w:val="clear" w:color="auto" w:fill="auto"/>
            <w:vAlign w:val="center"/>
          </w:tcPr>
          <w:p w14:paraId="5F19DF3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323</w:t>
            </w:r>
          </w:p>
        </w:tc>
        <w:tc>
          <w:tcPr>
            <w:tcW w:w="1128" w:type="dxa"/>
            <w:shd w:val="clear" w:color="auto" w:fill="auto"/>
            <w:vAlign w:val="center"/>
          </w:tcPr>
          <w:p w14:paraId="7E94769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22</w:t>
            </w:r>
          </w:p>
        </w:tc>
        <w:tc>
          <w:tcPr>
            <w:tcW w:w="846" w:type="dxa"/>
            <w:shd w:val="clear" w:color="auto" w:fill="auto"/>
            <w:tcMar>
              <w:left w:w="57" w:type="dxa"/>
              <w:right w:w="57" w:type="dxa"/>
            </w:tcMar>
            <w:vAlign w:val="center"/>
          </w:tcPr>
          <w:p w14:paraId="2095D77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337.7</w:t>
            </w:r>
          </w:p>
        </w:tc>
        <w:tc>
          <w:tcPr>
            <w:tcW w:w="236" w:type="dxa"/>
            <w:shd w:val="clear" w:color="auto" w:fill="auto"/>
            <w:vAlign w:val="center"/>
          </w:tcPr>
          <w:p w14:paraId="2F76F593" w14:textId="77777777" w:rsidR="003E5BF5" w:rsidRPr="00E273FC" w:rsidRDefault="003E5BF5" w:rsidP="00DE1921">
            <w:pPr>
              <w:pStyle w:val="TableTextRightBold"/>
              <w:rPr>
                <w:rFonts w:ascii="Arial" w:hAnsi="Arial" w:cs="Arial"/>
                <w:sz w:val="24"/>
                <w:szCs w:val="24"/>
              </w:rPr>
            </w:pPr>
          </w:p>
        </w:tc>
        <w:tc>
          <w:tcPr>
            <w:tcW w:w="987" w:type="dxa"/>
            <w:shd w:val="clear" w:color="auto" w:fill="auto"/>
            <w:vAlign w:val="center"/>
          </w:tcPr>
          <w:p w14:paraId="01B7D4F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1,272</w:t>
            </w:r>
          </w:p>
        </w:tc>
        <w:tc>
          <w:tcPr>
            <w:tcW w:w="846" w:type="dxa"/>
            <w:shd w:val="clear" w:color="auto" w:fill="auto"/>
            <w:tcMar>
              <w:left w:w="57" w:type="dxa"/>
              <w:right w:w="57" w:type="dxa"/>
            </w:tcMar>
            <w:vAlign w:val="center"/>
          </w:tcPr>
          <w:p w14:paraId="04726D1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1,250.2</w:t>
            </w:r>
          </w:p>
        </w:tc>
      </w:tr>
    </w:tbl>
    <w:p w14:paraId="20DBB9EB" w14:textId="77777777" w:rsidR="003E5BF5" w:rsidRPr="00E273FC" w:rsidRDefault="003E5BF5" w:rsidP="00DE1921">
      <w:pPr>
        <w:pStyle w:val="Note"/>
        <w:rPr>
          <w:rFonts w:ascii="Arial" w:hAnsi="Arial" w:cs="Arial"/>
          <w:sz w:val="24"/>
          <w:szCs w:val="24"/>
        </w:rPr>
      </w:pPr>
      <w:r w:rsidRPr="00E273FC">
        <w:rPr>
          <w:rFonts w:ascii="Arial" w:hAnsi="Arial" w:cs="Arial"/>
          <w:sz w:val="24"/>
          <w:szCs w:val="24"/>
        </w:rPr>
        <w:t>* headcount</w:t>
      </w:r>
    </w:p>
    <w:p w14:paraId="28782954" w14:textId="77777777" w:rsidR="003E5BF5" w:rsidRPr="00E273FC" w:rsidRDefault="003E5BF5">
      <w:pPr>
        <w:pStyle w:val="Note"/>
        <w:rPr>
          <w:rFonts w:ascii="Arial" w:hAnsi="Arial" w:cs="Arial"/>
          <w:sz w:val="24"/>
          <w:szCs w:val="24"/>
        </w:rPr>
      </w:pPr>
      <w:r w:rsidRPr="00E273FC">
        <w:rPr>
          <w:rFonts w:ascii="Arial" w:hAnsi="Arial" w:cs="Arial"/>
          <w:sz w:val="24"/>
          <w:szCs w:val="24"/>
        </w:rPr>
        <w:t>Notes:</w:t>
      </w:r>
    </w:p>
    <w:p w14:paraId="24D63925" w14:textId="77777777" w:rsidR="003E5BF5" w:rsidRPr="00E273FC" w:rsidRDefault="003E5BF5" w:rsidP="00610F5F">
      <w:pPr>
        <w:pStyle w:val="Notenumberingabc"/>
        <w:numPr>
          <w:ilvl w:val="0"/>
          <w:numId w:val="39"/>
        </w:numPr>
        <w:spacing w:before="0" w:after="120" w:line="360" w:lineRule="auto"/>
        <w:ind w:left="476" w:hanging="364"/>
        <w:contextualSpacing/>
        <w:rPr>
          <w:rFonts w:ascii="Arial" w:hAnsi="Arial" w:cs="Arial"/>
          <w:sz w:val="24"/>
          <w:szCs w:val="24"/>
        </w:rPr>
      </w:pPr>
      <w:r w:rsidRPr="00E273FC">
        <w:rPr>
          <w:rFonts w:ascii="Arial" w:hAnsi="Arial" w:cs="Arial"/>
          <w:sz w:val="24"/>
          <w:szCs w:val="24"/>
        </w:rPr>
        <w:t>FTE means full-time equivalent.</w:t>
      </w:r>
    </w:p>
    <w:p w14:paraId="495B166C" w14:textId="77777777" w:rsidR="003E5BF5" w:rsidRPr="00E273FC" w:rsidRDefault="003E5BF5" w:rsidP="00696A16">
      <w:pPr>
        <w:pStyle w:val="Notenumberingabc"/>
        <w:spacing w:before="0" w:after="120" w:line="360" w:lineRule="auto"/>
        <w:ind w:left="473" w:hanging="360"/>
        <w:contextualSpacing/>
        <w:rPr>
          <w:rFonts w:ascii="Arial" w:hAnsi="Arial" w:cs="Arial"/>
          <w:sz w:val="24"/>
          <w:szCs w:val="24"/>
        </w:rPr>
      </w:pPr>
      <w:r w:rsidRPr="00E273FC">
        <w:rPr>
          <w:rFonts w:ascii="Arial" w:hAnsi="Arial" w:cs="Arial"/>
          <w:sz w:val="24"/>
          <w:szCs w:val="24"/>
        </w:rPr>
        <w:t>All figures reflect employment levels during the last full pay period of June.</w:t>
      </w:r>
    </w:p>
    <w:p w14:paraId="4678047D" w14:textId="77777777" w:rsidR="003E5BF5" w:rsidRPr="00E273FC" w:rsidRDefault="003E5BF5" w:rsidP="00696A16">
      <w:pPr>
        <w:pStyle w:val="Notenumberingabc"/>
        <w:spacing w:before="0" w:after="120" w:line="360" w:lineRule="auto"/>
        <w:ind w:left="473" w:hanging="360"/>
        <w:contextualSpacing/>
        <w:rPr>
          <w:rFonts w:ascii="Arial" w:hAnsi="Arial" w:cs="Arial"/>
          <w:sz w:val="24"/>
          <w:szCs w:val="24"/>
        </w:rPr>
      </w:pPr>
      <w:r w:rsidRPr="00E273FC">
        <w:rPr>
          <w:rFonts w:ascii="Arial" w:hAnsi="Arial" w:cs="Arial"/>
          <w:sz w:val="24"/>
          <w:szCs w:val="24"/>
        </w:rPr>
        <w:t>Excluded are employees on leave without pay or absent on secondment, external contractors/consultants, temporary employees employed by employment agencies and statutory appointees.</w:t>
      </w:r>
    </w:p>
    <w:p w14:paraId="05510A14" w14:textId="77777777" w:rsidR="003E5BF5" w:rsidRDefault="003E5BF5" w:rsidP="00DE1921"/>
    <w:p w14:paraId="10FC4C81" w14:textId="77777777" w:rsidR="003E5BF5" w:rsidRDefault="003E5BF5" w:rsidP="00DE1921">
      <w:pPr>
        <w:sectPr w:rsidR="003E5BF5" w:rsidSect="00DE1921">
          <w:pgSz w:w="11906" w:h="16838"/>
          <w:pgMar w:top="1701" w:right="1418" w:bottom="1418" w:left="1418" w:header="709" w:footer="709" w:gutter="0"/>
          <w:cols w:space="284"/>
          <w:docGrid w:linePitch="360"/>
        </w:sectPr>
      </w:pPr>
    </w:p>
    <w:p w14:paraId="3A0F9CEC" w14:textId="77777777" w:rsidR="003E5BF5" w:rsidRPr="00E273FC" w:rsidRDefault="003E5BF5" w:rsidP="00CF74EB">
      <w:pPr>
        <w:pStyle w:val="TableHeader"/>
      </w:pPr>
      <w:r w:rsidRPr="00E273FC">
        <w:t>Suburban Rail Loop Authority</w:t>
      </w:r>
    </w:p>
    <w:tbl>
      <w:tblPr>
        <w:tblStyle w:val="TableGrid"/>
        <w:tblW w:w="9072" w:type="dxa"/>
        <w:tblLayout w:type="fixed"/>
        <w:tblCellMar>
          <w:left w:w="0" w:type="dxa"/>
          <w:right w:w="0" w:type="dxa"/>
        </w:tblCellMar>
        <w:tblLook w:val="04A0" w:firstRow="1" w:lastRow="0" w:firstColumn="1" w:lastColumn="0" w:noHBand="0" w:noVBand="1"/>
      </w:tblPr>
      <w:tblGrid>
        <w:gridCol w:w="1972"/>
        <w:gridCol w:w="987"/>
        <w:gridCol w:w="847"/>
        <w:gridCol w:w="236"/>
        <w:gridCol w:w="987"/>
        <w:gridCol w:w="1128"/>
        <w:gridCol w:w="846"/>
        <w:gridCol w:w="236"/>
        <w:gridCol w:w="987"/>
        <w:gridCol w:w="846"/>
      </w:tblGrid>
      <w:tr w:rsidR="003E5BF5" w:rsidRPr="00E273FC" w14:paraId="72116539" w14:textId="77777777" w:rsidTr="0045675C">
        <w:trPr>
          <w:trHeight w:val="283"/>
        </w:trPr>
        <w:tc>
          <w:tcPr>
            <w:tcW w:w="1972" w:type="dxa"/>
            <w:shd w:val="clear" w:color="auto" w:fill="auto"/>
            <w:tcMar>
              <w:left w:w="57" w:type="dxa"/>
              <w:right w:w="57" w:type="dxa"/>
            </w:tcMar>
            <w:vAlign w:val="center"/>
          </w:tcPr>
          <w:p w14:paraId="0403DC16" w14:textId="77777777" w:rsidR="003E5BF5" w:rsidRPr="00E273FC" w:rsidRDefault="003E5BF5" w:rsidP="00DE1921">
            <w:pPr>
              <w:pStyle w:val="TableTextLeftBold"/>
              <w:jc w:val="center"/>
              <w:rPr>
                <w:rFonts w:ascii="Arial" w:hAnsi="Arial" w:cs="Arial"/>
                <w:sz w:val="24"/>
                <w:szCs w:val="24"/>
              </w:rPr>
            </w:pPr>
          </w:p>
        </w:tc>
        <w:tc>
          <w:tcPr>
            <w:tcW w:w="7100" w:type="dxa"/>
            <w:gridSpan w:val="9"/>
            <w:shd w:val="clear" w:color="auto" w:fill="auto"/>
            <w:vAlign w:val="center"/>
          </w:tcPr>
          <w:p w14:paraId="231EDD02"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 June 2020</w:t>
            </w:r>
          </w:p>
        </w:tc>
      </w:tr>
      <w:tr w:rsidR="003E5BF5" w:rsidRPr="00E273FC" w14:paraId="21D8DBEA" w14:textId="77777777" w:rsidTr="0045675C">
        <w:trPr>
          <w:trHeight w:val="283"/>
        </w:trPr>
        <w:tc>
          <w:tcPr>
            <w:tcW w:w="1972" w:type="dxa"/>
            <w:shd w:val="clear" w:color="auto" w:fill="auto"/>
            <w:tcMar>
              <w:left w:w="57" w:type="dxa"/>
              <w:right w:w="57" w:type="dxa"/>
            </w:tcMar>
            <w:vAlign w:val="center"/>
          </w:tcPr>
          <w:p w14:paraId="20653132" w14:textId="77777777" w:rsidR="003E5BF5" w:rsidRPr="00E273FC" w:rsidRDefault="003E5BF5" w:rsidP="00DE1921">
            <w:pPr>
              <w:pStyle w:val="TableTextLeftBold"/>
              <w:jc w:val="center"/>
              <w:rPr>
                <w:rFonts w:ascii="Arial" w:hAnsi="Arial" w:cs="Arial"/>
                <w:sz w:val="24"/>
                <w:szCs w:val="24"/>
              </w:rPr>
            </w:pPr>
          </w:p>
        </w:tc>
        <w:tc>
          <w:tcPr>
            <w:tcW w:w="1834" w:type="dxa"/>
            <w:gridSpan w:val="2"/>
            <w:shd w:val="clear" w:color="auto" w:fill="auto"/>
            <w:vAlign w:val="center"/>
          </w:tcPr>
          <w:p w14:paraId="651D1DCF"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All Employees</w:t>
            </w:r>
          </w:p>
        </w:tc>
        <w:tc>
          <w:tcPr>
            <w:tcW w:w="236" w:type="dxa"/>
            <w:shd w:val="clear" w:color="auto" w:fill="auto"/>
            <w:vAlign w:val="center"/>
          </w:tcPr>
          <w:p w14:paraId="290D7574" w14:textId="77777777" w:rsidR="003E5BF5" w:rsidRPr="00E273FC" w:rsidRDefault="003E5BF5" w:rsidP="00DE1921">
            <w:pPr>
              <w:pStyle w:val="TableTextRightBold"/>
              <w:jc w:val="center"/>
              <w:rPr>
                <w:rFonts w:ascii="Arial" w:hAnsi="Arial" w:cs="Arial"/>
                <w:sz w:val="24"/>
                <w:szCs w:val="24"/>
              </w:rPr>
            </w:pPr>
          </w:p>
        </w:tc>
        <w:tc>
          <w:tcPr>
            <w:tcW w:w="2961" w:type="dxa"/>
            <w:gridSpan w:val="3"/>
            <w:shd w:val="clear" w:color="auto" w:fill="auto"/>
            <w:vAlign w:val="center"/>
          </w:tcPr>
          <w:p w14:paraId="045FA229"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Ongoing</w:t>
            </w:r>
          </w:p>
        </w:tc>
        <w:tc>
          <w:tcPr>
            <w:tcW w:w="236" w:type="dxa"/>
            <w:shd w:val="clear" w:color="auto" w:fill="auto"/>
            <w:vAlign w:val="center"/>
          </w:tcPr>
          <w:p w14:paraId="63DCA927" w14:textId="77777777" w:rsidR="003E5BF5" w:rsidRPr="00E273FC" w:rsidRDefault="003E5BF5" w:rsidP="00DE1921">
            <w:pPr>
              <w:pStyle w:val="TableTextRightBold"/>
              <w:jc w:val="center"/>
              <w:rPr>
                <w:rFonts w:ascii="Arial" w:hAnsi="Arial" w:cs="Arial"/>
                <w:sz w:val="24"/>
                <w:szCs w:val="24"/>
              </w:rPr>
            </w:pPr>
          </w:p>
        </w:tc>
        <w:tc>
          <w:tcPr>
            <w:tcW w:w="1833" w:type="dxa"/>
            <w:gridSpan w:val="2"/>
            <w:shd w:val="clear" w:color="auto" w:fill="auto"/>
            <w:vAlign w:val="center"/>
          </w:tcPr>
          <w:p w14:paraId="23522818" w14:textId="77777777" w:rsidR="003E5BF5" w:rsidRPr="00E273FC" w:rsidRDefault="003E5BF5" w:rsidP="00DE1921">
            <w:pPr>
              <w:pStyle w:val="TableTextRightBold"/>
              <w:jc w:val="center"/>
              <w:rPr>
                <w:rFonts w:ascii="Arial" w:hAnsi="Arial" w:cs="Arial"/>
                <w:sz w:val="24"/>
                <w:szCs w:val="24"/>
              </w:rPr>
            </w:pPr>
            <w:r w:rsidRPr="00E273FC">
              <w:rPr>
                <w:rFonts w:ascii="Arial" w:hAnsi="Arial" w:cs="Arial"/>
                <w:sz w:val="24"/>
                <w:szCs w:val="24"/>
              </w:rPr>
              <w:t>Fixed Term &amp; Casual</w:t>
            </w:r>
          </w:p>
        </w:tc>
      </w:tr>
      <w:tr w:rsidR="003E5BF5" w:rsidRPr="00E273FC" w14:paraId="076826D8" w14:textId="77777777" w:rsidTr="0045675C">
        <w:trPr>
          <w:trHeight w:val="283"/>
        </w:trPr>
        <w:tc>
          <w:tcPr>
            <w:tcW w:w="1972" w:type="dxa"/>
            <w:shd w:val="clear" w:color="auto" w:fill="auto"/>
            <w:tcMar>
              <w:left w:w="57" w:type="dxa"/>
              <w:right w:w="57" w:type="dxa"/>
            </w:tcMar>
            <w:vAlign w:val="center"/>
          </w:tcPr>
          <w:p w14:paraId="17796685" w14:textId="77777777" w:rsidR="003E5BF5" w:rsidRPr="00E273FC" w:rsidRDefault="003E5BF5" w:rsidP="00DE1921">
            <w:pPr>
              <w:pStyle w:val="TableTextLeftBold"/>
              <w:jc w:val="right"/>
              <w:rPr>
                <w:rFonts w:ascii="Arial" w:hAnsi="Arial" w:cs="Arial"/>
                <w:sz w:val="24"/>
                <w:szCs w:val="24"/>
              </w:rPr>
            </w:pPr>
          </w:p>
        </w:tc>
        <w:tc>
          <w:tcPr>
            <w:tcW w:w="987" w:type="dxa"/>
            <w:shd w:val="clear" w:color="auto" w:fill="auto"/>
            <w:vAlign w:val="center"/>
          </w:tcPr>
          <w:p w14:paraId="275EACD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Number*</w:t>
            </w:r>
          </w:p>
        </w:tc>
        <w:tc>
          <w:tcPr>
            <w:tcW w:w="847" w:type="dxa"/>
            <w:shd w:val="clear" w:color="auto" w:fill="auto"/>
            <w:vAlign w:val="center"/>
          </w:tcPr>
          <w:p w14:paraId="761AB57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FTE</w:t>
            </w:r>
          </w:p>
        </w:tc>
        <w:tc>
          <w:tcPr>
            <w:tcW w:w="236" w:type="dxa"/>
            <w:shd w:val="clear" w:color="auto" w:fill="auto"/>
            <w:vAlign w:val="center"/>
          </w:tcPr>
          <w:p w14:paraId="79B05086" w14:textId="77777777" w:rsidR="003E5BF5" w:rsidRPr="00E273FC" w:rsidRDefault="003E5BF5" w:rsidP="00DE1921">
            <w:pPr>
              <w:pStyle w:val="TableTextRightBold"/>
              <w:rPr>
                <w:rFonts w:ascii="Arial" w:hAnsi="Arial" w:cs="Arial"/>
                <w:sz w:val="24"/>
                <w:szCs w:val="24"/>
              </w:rPr>
            </w:pPr>
          </w:p>
        </w:tc>
        <w:tc>
          <w:tcPr>
            <w:tcW w:w="987" w:type="dxa"/>
            <w:shd w:val="clear" w:color="auto" w:fill="auto"/>
            <w:vAlign w:val="center"/>
          </w:tcPr>
          <w:p w14:paraId="7C0E0ACE"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Full Time*</w:t>
            </w:r>
          </w:p>
        </w:tc>
        <w:tc>
          <w:tcPr>
            <w:tcW w:w="1128" w:type="dxa"/>
            <w:shd w:val="clear" w:color="auto" w:fill="auto"/>
            <w:vAlign w:val="center"/>
          </w:tcPr>
          <w:p w14:paraId="41C170D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Part Time*</w:t>
            </w:r>
          </w:p>
        </w:tc>
        <w:tc>
          <w:tcPr>
            <w:tcW w:w="846" w:type="dxa"/>
            <w:shd w:val="clear" w:color="auto" w:fill="auto"/>
            <w:tcMar>
              <w:left w:w="57" w:type="dxa"/>
              <w:right w:w="57" w:type="dxa"/>
            </w:tcMar>
            <w:vAlign w:val="center"/>
          </w:tcPr>
          <w:p w14:paraId="35134A5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FTE</w:t>
            </w:r>
          </w:p>
        </w:tc>
        <w:tc>
          <w:tcPr>
            <w:tcW w:w="236" w:type="dxa"/>
            <w:shd w:val="clear" w:color="auto" w:fill="auto"/>
            <w:vAlign w:val="center"/>
          </w:tcPr>
          <w:p w14:paraId="4016C737" w14:textId="77777777" w:rsidR="003E5BF5" w:rsidRPr="00E273FC" w:rsidRDefault="003E5BF5" w:rsidP="00DE1921">
            <w:pPr>
              <w:pStyle w:val="TableTextRightBold"/>
              <w:rPr>
                <w:rFonts w:ascii="Arial" w:hAnsi="Arial" w:cs="Arial"/>
                <w:sz w:val="24"/>
                <w:szCs w:val="24"/>
              </w:rPr>
            </w:pPr>
          </w:p>
        </w:tc>
        <w:tc>
          <w:tcPr>
            <w:tcW w:w="987" w:type="dxa"/>
            <w:shd w:val="clear" w:color="auto" w:fill="auto"/>
            <w:vAlign w:val="center"/>
          </w:tcPr>
          <w:p w14:paraId="44E54EE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Number*</w:t>
            </w:r>
          </w:p>
        </w:tc>
        <w:tc>
          <w:tcPr>
            <w:tcW w:w="846" w:type="dxa"/>
            <w:shd w:val="clear" w:color="auto" w:fill="auto"/>
            <w:tcMar>
              <w:left w:w="57" w:type="dxa"/>
              <w:right w:w="57" w:type="dxa"/>
            </w:tcMar>
            <w:vAlign w:val="center"/>
          </w:tcPr>
          <w:p w14:paraId="2C10465D"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FTE</w:t>
            </w:r>
          </w:p>
        </w:tc>
      </w:tr>
      <w:tr w:rsidR="003E5BF5" w:rsidRPr="00E273FC" w14:paraId="75985625" w14:textId="77777777" w:rsidTr="0045675C">
        <w:trPr>
          <w:trHeight w:val="283"/>
        </w:trPr>
        <w:tc>
          <w:tcPr>
            <w:tcW w:w="1972" w:type="dxa"/>
            <w:shd w:val="clear" w:color="auto" w:fill="auto"/>
            <w:tcMar>
              <w:left w:w="57" w:type="dxa"/>
              <w:right w:w="57" w:type="dxa"/>
            </w:tcMar>
            <w:vAlign w:val="center"/>
          </w:tcPr>
          <w:p w14:paraId="41A6E3C4"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lastRenderedPageBreak/>
              <w:t>Gender</w:t>
            </w:r>
          </w:p>
        </w:tc>
        <w:tc>
          <w:tcPr>
            <w:tcW w:w="987" w:type="dxa"/>
            <w:shd w:val="clear" w:color="auto" w:fill="auto"/>
            <w:vAlign w:val="center"/>
          </w:tcPr>
          <w:p w14:paraId="3A7CB1FE" w14:textId="77777777" w:rsidR="003E5BF5" w:rsidRPr="00E273FC" w:rsidRDefault="003E5BF5" w:rsidP="00DE1921">
            <w:pPr>
              <w:pStyle w:val="TableTextRightBold"/>
              <w:rPr>
                <w:rFonts w:ascii="Arial" w:hAnsi="Arial" w:cs="Arial"/>
                <w:sz w:val="24"/>
                <w:szCs w:val="24"/>
              </w:rPr>
            </w:pPr>
          </w:p>
        </w:tc>
        <w:tc>
          <w:tcPr>
            <w:tcW w:w="847" w:type="dxa"/>
            <w:shd w:val="clear" w:color="auto" w:fill="auto"/>
            <w:vAlign w:val="center"/>
          </w:tcPr>
          <w:p w14:paraId="5CC5244E" w14:textId="77777777" w:rsidR="003E5BF5" w:rsidRPr="00E273FC" w:rsidRDefault="003E5BF5" w:rsidP="00DE1921">
            <w:pPr>
              <w:pStyle w:val="TableTextRightBold"/>
              <w:rPr>
                <w:rFonts w:ascii="Arial" w:hAnsi="Arial" w:cs="Arial"/>
                <w:sz w:val="24"/>
                <w:szCs w:val="24"/>
              </w:rPr>
            </w:pPr>
          </w:p>
        </w:tc>
        <w:tc>
          <w:tcPr>
            <w:tcW w:w="236" w:type="dxa"/>
            <w:shd w:val="clear" w:color="auto" w:fill="auto"/>
            <w:vAlign w:val="center"/>
          </w:tcPr>
          <w:p w14:paraId="120EA5AC" w14:textId="77777777" w:rsidR="003E5BF5" w:rsidRPr="00E273FC" w:rsidRDefault="003E5BF5" w:rsidP="00DE1921">
            <w:pPr>
              <w:pStyle w:val="TableTextRightBold"/>
              <w:rPr>
                <w:rFonts w:ascii="Arial" w:hAnsi="Arial" w:cs="Arial"/>
                <w:sz w:val="24"/>
                <w:szCs w:val="24"/>
              </w:rPr>
            </w:pPr>
          </w:p>
        </w:tc>
        <w:tc>
          <w:tcPr>
            <w:tcW w:w="987" w:type="dxa"/>
            <w:shd w:val="clear" w:color="auto" w:fill="auto"/>
            <w:vAlign w:val="center"/>
          </w:tcPr>
          <w:p w14:paraId="56F66916" w14:textId="77777777" w:rsidR="003E5BF5" w:rsidRPr="00E273FC" w:rsidRDefault="003E5BF5" w:rsidP="00DE1921">
            <w:pPr>
              <w:pStyle w:val="TableTextRightBold"/>
              <w:rPr>
                <w:rFonts w:ascii="Arial" w:hAnsi="Arial" w:cs="Arial"/>
                <w:sz w:val="24"/>
                <w:szCs w:val="24"/>
              </w:rPr>
            </w:pPr>
          </w:p>
        </w:tc>
        <w:tc>
          <w:tcPr>
            <w:tcW w:w="1128" w:type="dxa"/>
            <w:shd w:val="clear" w:color="auto" w:fill="auto"/>
            <w:vAlign w:val="center"/>
          </w:tcPr>
          <w:p w14:paraId="462A5446" w14:textId="77777777" w:rsidR="003E5BF5" w:rsidRPr="00E273FC" w:rsidRDefault="003E5BF5" w:rsidP="00DE1921">
            <w:pPr>
              <w:pStyle w:val="TableTextRightBold"/>
              <w:rPr>
                <w:rFonts w:ascii="Arial" w:hAnsi="Arial" w:cs="Arial"/>
                <w:sz w:val="24"/>
                <w:szCs w:val="24"/>
              </w:rPr>
            </w:pPr>
          </w:p>
        </w:tc>
        <w:tc>
          <w:tcPr>
            <w:tcW w:w="846" w:type="dxa"/>
            <w:shd w:val="clear" w:color="auto" w:fill="auto"/>
            <w:tcMar>
              <w:left w:w="57" w:type="dxa"/>
              <w:right w:w="57" w:type="dxa"/>
            </w:tcMar>
            <w:vAlign w:val="center"/>
          </w:tcPr>
          <w:p w14:paraId="60EFCEC1" w14:textId="77777777" w:rsidR="003E5BF5" w:rsidRPr="00E273FC" w:rsidRDefault="003E5BF5" w:rsidP="00DE1921">
            <w:pPr>
              <w:pStyle w:val="TableTextRightBold"/>
              <w:rPr>
                <w:rFonts w:ascii="Arial" w:hAnsi="Arial" w:cs="Arial"/>
                <w:sz w:val="24"/>
                <w:szCs w:val="24"/>
              </w:rPr>
            </w:pPr>
          </w:p>
        </w:tc>
        <w:tc>
          <w:tcPr>
            <w:tcW w:w="236" w:type="dxa"/>
            <w:shd w:val="clear" w:color="auto" w:fill="auto"/>
            <w:vAlign w:val="center"/>
          </w:tcPr>
          <w:p w14:paraId="6ADBAD55" w14:textId="77777777" w:rsidR="003E5BF5" w:rsidRPr="00E273FC" w:rsidRDefault="003E5BF5" w:rsidP="00DE1921">
            <w:pPr>
              <w:pStyle w:val="TableTextRightBold"/>
              <w:rPr>
                <w:rFonts w:ascii="Arial" w:hAnsi="Arial" w:cs="Arial"/>
                <w:sz w:val="24"/>
                <w:szCs w:val="24"/>
              </w:rPr>
            </w:pPr>
          </w:p>
        </w:tc>
        <w:tc>
          <w:tcPr>
            <w:tcW w:w="987" w:type="dxa"/>
            <w:shd w:val="clear" w:color="auto" w:fill="auto"/>
            <w:vAlign w:val="center"/>
          </w:tcPr>
          <w:p w14:paraId="08959350" w14:textId="77777777" w:rsidR="003E5BF5" w:rsidRPr="00E273FC" w:rsidRDefault="003E5BF5" w:rsidP="00DE1921">
            <w:pPr>
              <w:pStyle w:val="TableTextRightBold"/>
              <w:rPr>
                <w:rFonts w:ascii="Arial" w:hAnsi="Arial" w:cs="Arial"/>
                <w:sz w:val="24"/>
                <w:szCs w:val="24"/>
              </w:rPr>
            </w:pPr>
          </w:p>
        </w:tc>
        <w:tc>
          <w:tcPr>
            <w:tcW w:w="846" w:type="dxa"/>
            <w:shd w:val="clear" w:color="auto" w:fill="auto"/>
            <w:tcMar>
              <w:left w:w="57" w:type="dxa"/>
              <w:right w:w="57" w:type="dxa"/>
            </w:tcMar>
            <w:vAlign w:val="center"/>
          </w:tcPr>
          <w:p w14:paraId="6D411A3C" w14:textId="77777777" w:rsidR="003E5BF5" w:rsidRPr="00E273FC" w:rsidRDefault="003E5BF5" w:rsidP="00DE1921">
            <w:pPr>
              <w:pStyle w:val="TableTextRightBold"/>
              <w:rPr>
                <w:rFonts w:ascii="Arial" w:hAnsi="Arial" w:cs="Arial"/>
                <w:sz w:val="24"/>
                <w:szCs w:val="24"/>
              </w:rPr>
            </w:pPr>
          </w:p>
        </w:tc>
      </w:tr>
      <w:tr w:rsidR="003E5BF5" w:rsidRPr="00E273FC" w14:paraId="5101F4CC" w14:textId="77777777" w:rsidTr="0045675C">
        <w:trPr>
          <w:trHeight w:val="283"/>
        </w:trPr>
        <w:tc>
          <w:tcPr>
            <w:tcW w:w="1972" w:type="dxa"/>
            <w:shd w:val="clear" w:color="auto" w:fill="auto"/>
            <w:tcMar>
              <w:left w:w="57" w:type="dxa"/>
              <w:right w:w="57" w:type="dxa"/>
            </w:tcMar>
            <w:vAlign w:val="center"/>
          </w:tcPr>
          <w:p w14:paraId="702DCE7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Woman</w:t>
            </w:r>
          </w:p>
        </w:tc>
        <w:tc>
          <w:tcPr>
            <w:tcW w:w="987" w:type="dxa"/>
            <w:shd w:val="clear" w:color="auto" w:fill="auto"/>
            <w:vAlign w:val="center"/>
          </w:tcPr>
          <w:p w14:paraId="2855886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50</w:t>
            </w:r>
          </w:p>
        </w:tc>
        <w:tc>
          <w:tcPr>
            <w:tcW w:w="847" w:type="dxa"/>
            <w:shd w:val="clear" w:color="auto" w:fill="auto"/>
            <w:vAlign w:val="center"/>
          </w:tcPr>
          <w:p w14:paraId="745F095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49.5</w:t>
            </w:r>
          </w:p>
        </w:tc>
        <w:tc>
          <w:tcPr>
            <w:tcW w:w="236" w:type="dxa"/>
            <w:shd w:val="clear" w:color="auto" w:fill="auto"/>
            <w:vAlign w:val="center"/>
          </w:tcPr>
          <w:p w14:paraId="7CF76A8F"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3ABFE34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15</w:t>
            </w:r>
          </w:p>
        </w:tc>
        <w:tc>
          <w:tcPr>
            <w:tcW w:w="1128" w:type="dxa"/>
            <w:shd w:val="clear" w:color="auto" w:fill="auto"/>
            <w:vAlign w:val="center"/>
          </w:tcPr>
          <w:p w14:paraId="6E7E702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03A1A12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15.0</w:t>
            </w:r>
          </w:p>
        </w:tc>
        <w:tc>
          <w:tcPr>
            <w:tcW w:w="236" w:type="dxa"/>
            <w:shd w:val="clear" w:color="auto" w:fill="auto"/>
            <w:vAlign w:val="center"/>
          </w:tcPr>
          <w:p w14:paraId="6AB0EB86"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20486C0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35</w:t>
            </w:r>
          </w:p>
        </w:tc>
        <w:tc>
          <w:tcPr>
            <w:tcW w:w="846" w:type="dxa"/>
            <w:shd w:val="clear" w:color="auto" w:fill="auto"/>
            <w:tcMar>
              <w:left w:w="57" w:type="dxa"/>
              <w:right w:w="57" w:type="dxa"/>
            </w:tcMar>
            <w:vAlign w:val="center"/>
          </w:tcPr>
          <w:p w14:paraId="1564A45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34.5</w:t>
            </w:r>
          </w:p>
        </w:tc>
      </w:tr>
      <w:tr w:rsidR="003E5BF5" w:rsidRPr="00E273FC" w14:paraId="777EC8C9" w14:textId="77777777" w:rsidTr="0045675C">
        <w:trPr>
          <w:trHeight w:val="283"/>
        </w:trPr>
        <w:tc>
          <w:tcPr>
            <w:tcW w:w="1972" w:type="dxa"/>
            <w:shd w:val="clear" w:color="auto" w:fill="auto"/>
            <w:tcMar>
              <w:left w:w="57" w:type="dxa"/>
              <w:right w:w="57" w:type="dxa"/>
            </w:tcMar>
            <w:vAlign w:val="center"/>
          </w:tcPr>
          <w:p w14:paraId="531929B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Man</w:t>
            </w:r>
          </w:p>
        </w:tc>
        <w:tc>
          <w:tcPr>
            <w:tcW w:w="987" w:type="dxa"/>
            <w:shd w:val="clear" w:color="auto" w:fill="auto"/>
            <w:vAlign w:val="center"/>
          </w:tcPr>
          <w:p w14:paraId="0762827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40</w:t>
            </w:r>
          </w:p>
        </w:tc>
        <w:tc>
          <w:tcPr>
            <w:tcW w:w="847" w:type="dxa"/>
            <w:shd w:val="clear" w:color="auto" w:fill="auto"/>
            <w:vAlign w:val="center"/>
          </w:tcPr>
          <w:p w14:paraId="6933C40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40.0</w:t>
            </w:r>
          </w:p>
        </w:tc>
        <w:tc>
          <w:tcPr>
            <w:tcW w:w="236" w:type="dxa"/>
            <w:shd w:val="clear" w:color="auto" w:fill="auto"/>
            <w:vAlign w:val="center"/>
          </w:tcPr>
          <w:p w14:paraId="01F5291A"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35368005"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13</w:t>
            </w:r>
          </w:p>
        </w:tc>
        <w:tc>
          <w:tcPr>
            <w:tcW w:w="1128" w:type="dxa"/>
            <w:shd w:val="clear" w:color="auto" w:fill="auto"/>
            <w:vAlign w:val="center"/>
          </w:tcPr>
          <w:p w14:paraId="06DA14C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775C531C"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13.0</w:t>
            </w:r>
          </w:p>
        </w:tc>
        <w:tc>
          <w:tcPr>
            <w:tcW w:w="236" w:type="dxa"/>
            <w:shd w:val="clear" w:color="auto" w:fill="auto"/>
            <w:vAlign w:val="center"/>
          </w:tcPr>
          <w:p w14:paraId="2BED4F2F"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4A039B3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27</w:t>
            </w:r>
          </w:p>
        </w:tc>
        <w:tc>
          <w:tcPr>
            <w:tcW w:w="846" w:type="dxa"/>
            <w:shd w:val="clear" w:color="auto" w:fill="auto"/>
            <w:tcMar>
              <w:left w:w="57" w:type="dxa"/>
              <w:right w:w="57" w:type="dxa"/>
            </w:tcMar>
            <w:vAlign w:val="center"/>
          </w:tcPr>
          <w:p w14:paraId="076637FE"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27.0</w:t>
            </w:r>
          </w:p>
        </w:tc>
      </w:tr>
      <w:tr w:rsidR="003E5BF5" w:rsidRPr="00E273FC" w14:paraId="7E82B59C" w14:textId="77777777" w:rsidTr="0045675C">
        <w:trPr>
          <w:trHeight w:val="283"/>
        </w:trPr>
        <w:tc>
          <w:tcPr>
            <w:tcW w:w="1972" w:type="dxa"/>
            <w:shd w:val="clear" w:color="auto" w:fill="auto"/>
            <w:tcMar>
              <w:left w:w="57" w:type="dxa"/>
              <w:right w:w="57" w:type="dxa"/>
            </w:tcMar>
            <w:vAlign w:val="center"/>
          </w:tcPr>
          <w:p w14:paraId="55E9CC1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Self-described</w:t>
            </w:r>
          </w:p>
        </w:tc>
        <w:tc>
          <w:tcPr>
            <w:tcW w:w="987" w:type="dxa"/>
            <w:shd w:val="clear" w:color="auto" w:fill="auto"/>
            <w:vAlign w:val="center"/>
          </w:tcPr>
          <w:p w14:paraId="05477EF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7" w:type="dxa"/>
            <w:shd w:val="clear" w:color="auto" w:fill="auto"/>
            <w:vAlign w:val="center"/>
          </w:tcPr>
          <w:p w14:paraId="22DEF08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236" w:type="dxa"/>
            <w:shd w:val="clear" w:color="auto" w:fill="auto"/>
            <w:vAlign w:val="center"/>
          </w:tcPr>
          <w:p w14:paraId="5DBE04E4"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5DCE923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1128" w:type="dxa"/>
            <w:shd w:val="clear" w:color="auto" w:fill="auto"/>
            <w:vAlign w:val="center"/>
          </w:tcPr>
          <w:p w14:paraId="58CC3DB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2E6796D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236" w:type="dxa"/>
            <w:shd w:val="clear" w:color="auto" w:fill="auto"/>
            <w:vAlign w:val="center"/>
          </w:tcPr>
          <w:p w14:paraId="57130415"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0F908022"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35905E69"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r>
      <w:tr w:rsidR="003E5BF5" w:rsidRPr="00E273FC" w14:paraId="54736514" w14:textId="77777777" w:rsidTr="0045675C">
        <w:trPr>
          <w:trHeight w:val="283"/>
        </w:trPr>
        <w:tc>
          <w:tcPr>
            <w:tcW w:w="1972" w:type="dxa"/>
            <w:shd w:val="clear" w:color="auto" w:fill="auto"/>
            <w:tcMar>
              <w:left w:w="57" w:type="dxa"/>
              <w:right w:w="57" w:type="dxa"/>
            </w:tcMar>
            <w:vAlign w:val="center"/>
          </w:tcPr>
          <w:p w14:paraId="777E2F35"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Age</w:t>
            </w:r>
          </w:p>
        </w:tc>
        <w:tc>
          <w:tcPr>
            <w:tcW w:w="987" w:type="dxa"/>
            <w:shd w:val="clear" w:color="auto" w:fill="auto"/>
            <w:vAlign w:val="center"/>
          </w:tcPr>
          <w:p w14:paraId="3EE6091A" w14:textId="77777777" w:rsidR="003E5BF5" w:rsidRPr="0045675C" w:rsidRDefault="003E5BF5" w:rsidP="00DE1921">
            <w:pPr>
              <w:pStyle w:val="TableTextRightBold"/>
              <w:ind w:right="57"/>
              <w:rPr>
                <w:rFonts w:ascii="Arial" w:hAnsi="Arial" w:cs="Arial"/>
                <w:b w:val="0"/>
                <w:sz w:val="24"/>
                <w:szCs w:val="24"/>
              </w:rPr>
            </w:pPr>
          </w:p>
        </w:tc>
        <w:tc>
          <w:tcPr>
            <w:tcW w:w="847" w:type="dxa"/>
            <w:shd w:val="clear" w:color="auto" w:fill="auto"/>
            <w:vAlign w:val="center"/>
          </w:tcPr>
          <w:p w14:paraId="19F8063C" w14:textId="77777777" w:rsidR="003E5BF5" w:rsidRPr="0045675C" w:rsidRDefault="003E5BF5" w:rsidP="00DE1921">
            <w:pPr>
              <w:pStyle w:val="TableTextRightBold"/>
              <w:ind w:right="57"/>
              <w:rPr>
                <w:rFonts w:ascii="Arial" w:hAnsi="Arial" w:cs="Arial"/>
                <w:b w:val="0"/>
                <w:sz w:val="24"/>
                <w:szCs w:val="24"/>
              </w:rPr>
            </w:pPr>
          </w:p>
        </w:tc>
        <w:tc>
          <w:tcPr>
            <w:tcW w:w="236" w:type="dxa"/>
            <w:shd w:val="clear" w:color="auto" w:fill="auto"/>
            <w:vAlign w:val="center"/>
          </w:tcPr>
          <w:p w14:paraId="5B13F2D4"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27579059" w14:textId="77777777" w:rsidR="003E5BF5" w:rsidRPr="0045675C" w:rsidRDefault="003E5BF5" w:rsidP="00DE1921">
            <w:pPr>
              <w:pStyle w:val="TableTextRightBold"/>
              <w:ind w:right="57"/>
              <w:rPr>
                <w:rFonts w:ascii="Arial" w:hAnsi="Arial" w:cs="Arial"/>
                <w:b w:val="0"/>
                <w:sz w:val="24"/>
                <w:szCs w:val="24"/>
              </w:rPr>
            </w:pPr>
          </w:p>
        </w:tc>
        <w:tc>
          <w:tcPr>
            <w:tcW w:w="1128" w:type="dxa"/>
            <w:shd w:val="clear" w:color="auto" w:fill="auto"/>
            <w:vAlign w:val="center"/>
          </w:tcPr>
          <w:p w14:paraId="65497E4C" w14:textId="77777777" w:rsidR="003E5BF5" w:rsidRPr="0045675C" w:rsidRDefault="003E5BF5" w:rsidP="00DE1921">
            <w:pPr>
              <w:pStyle w:val="TableTextRightBold"/>
              <w:ind w:right="57"/>
              <w:rPr>
                <w:rFonts w:ascii="Arial" w:hAnsi="Arial" w:cs="Arial"/>
                <w:b w:val="0"/>
                <w:sz w:val="24"/>
                <w:szCs w:val="24"/>
              </w:rPr>
            </w:pPr>
          </w:p>
        </w:tc>
        <w:tc>
          <w:tcPr>
            <w:tcW w:w="846" w:type="dxa"/>
            <w:shd w:val="clear" w:color="auto" w:fill="auto"/>
            <w:tcMar>
              <w:left w:w="57" w:type="dxa"/>
              <w:right w:w="57" w:type="dxa"/>
            </w:tcMar>
            <w:vAlign w:val="center"/>
          </w:tcPr>
          <w:p w14:paraId="4F7F0CE4" w14:textId="77777777" w:rsidR="003E5BF5" w:rsidRPr="0045675C" w:rsidRDefault="003E5BF5" w:rsidP="00DE1921">
            <w:pPr>
              <w:pStyle w:val="TableTextRightBold"/>
              <w:ind w:right="57"/>
              <w:rPr>
                <w:rFonts w:ascii="Arial" w:hAnsi="Arial" w:cs="Arial"/>
                <w:b w:val="0"/>
                <w:sz w:val="24"/>
                <w:szCs w:val="24"/>
              </w:rPr>
            </w:pPr>
          </w:p>
        </w:tc>
        <w:tc>
          <w:tcPr>
            <w:tcW w:w="236" w:type="dxa"/>
            <w:shd w:val="clear" w:color="auto" w:fill="auto"/>
            <w:vAlign w:val="center"/>
          </w:tcPr>
          <w:p w14:paraId="581E5427"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1E8F4765" w14:textId="77777777" w:rsidR="003E5BF5" w:rsidRPr="0045675C" w:rsidRDefault="003E5BF5" w:rsidP="00DE1921">
            <w:pPr>
              <w:pStyle w:val="TableTextRightBold"/>
              <w:ind w:right="57"/>
              <w:rPr>
                <w:rFonts w:ascii="Arial" w:hAnsi="Arial" w:cs="Arial"/>
                <w:b w:val="0"/>
                <w:sz w:val="24"/>
                <w:szCs w:val="24"/>
              </w:rPr>
            </w:pPr>
          </w:p>
        </w:tc>
        <w:tc>
          <w:tcPr>
            <w:tcW w:w="846" w:type="dxa"/>
            <w:shd w:val="clear" w:color="auto" w:fill="auto"/>
            <w:tcMar>
              <w:left w:w="57" w:type="dxa"/>
              <w:right w:w="57" w:type="dxa"/>
            </w:tcMar>
            <w:vAlign w:val="center"/>
          </w:tcPr>
          <w:p w14:paraId="79B29E64" w14:textId="77777777" w:rsidR="003E5BF5" w:rsidRPr="0045675C" w:rsidRDefault="003E5BF5" w:rsidP="00DE1921">
            <w:pPr>
              <w:pStyle w:val="TableTextRightBold"/>
              <w:ind w:right="57"/>
              <w:rPr>
                <w:rFonts w:ascii="Arial" w:hAnsi="Arial" w:cs="Arial"/>
                <w:b w:val="0"/>
                <w:sz w:val="24"/>
                <w:szCs w:val="24"/>
              </w:rPr>
            </w:pPr>
          </w:p>
        </w:tc>
      </w:tr>
      <w:tr w:rsidR="003E5BF5" w:rsidRPr="00E273FC" w14:paraId="3D804ECD" w14:textId="77777777" w:rsidTr="0045675C">
        <w:trPr>
          <w:trHeight w:val="283"/>
        </w:trPr>
        <w:tc>
          <w:tcPr>
            <w:tcW w:w="1972" w:type="dxa"/>
            <w:shd w:val="clear" w:color="auto" w:fill="auto"/>
            <w:tcMar>
              <w:left w:w="57" w:type="dxa"/>
              <w:right w:w="57" w:type="dxa"/>
            </w:tcMar>
            <w:vAlign w:val="center"/>
          </w:tcPr>
          <w:p w14:paraId="69F988C1"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15-24</w:t>
            </w:r>
          </w:p>
        </w:tc>
        <w:tc>
          <w:tcPr>
            <w:tcW w:w="987" w:type="dxa"/>
            <w:shd w:val="clear" w:color="auto" w:fill="auto"/>
            <w:vAlign w:val="center"/>
          </w:tcPr>
          <w:p w14:paraId="250041C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w:t>
            </w:r>
          </w:p>
        </w:tc>
        <w:tc>
          <w:tcPr>
            <w:tcW w:w="847" w:type="dxa"/>
            <w:shd w:val="clear" w:color="auto" w:fill="auto"/>
            <w:vAlign w:val="center"/>
          </w:tcPr>
          <w:p w14:paraId="15E9790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3.0</w:t>
            </w:r>
          </w:p>
        </w:tc>
        <w:tc>
          <w:tcPr>
            <w:tcW w:w="236" w:type="dxa"/>
            <w:shd w:val="clear" w:color="auto" w:fill="auto"/>
            <w:vAlign w:val="center"/>
          </w:tcPr>
          <w:p w14:paraId="38D5627A"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6D2FC719"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1128" w:type="dxa"/>
            <w:shd w:val="clear" w:color="auto" w:fill="auto"/>
            <w:vAlign w:val="center"/>
          </w:tcPr>
          <w:p w14:paraId="5CF5EFA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61F8F21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236" w:type="dxa"/>
            <w:shd w:val="clear" w:color="auto" w:fill="auto"/>
            <w:vAlign w:val="center"/>
          </w:tcPr>
          <w:p w14:paraId="266CAE02"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325C3F0C"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w:t>
            </w:r>
          </w:p>
        </w:tc>
        <w:tc>
          <w:tcPr>
            <w:tcW w:w="846" w:type="dxa"/>
            <w:shd w:val="clear" w:color="auto" w:fill="auto"/>
            <w:tcMar>
              <w:left w:w="57" w:type="dxa"/>
              <w:right w:w="57" w:type="dxa"/>
            </w:tcMar>
            <w:vAlign w:val="center"/>
          </w:tcPr>
          <w:p w14:paraId="17EB6B4E"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3.0</w:t>
            </w:r>
          </w:p>
        </w:tc>
      </w:tr>
      <w:tr w:rsidR="003E5BF5" w:rsidRPr="00E273FC" w14:paraId="5B44A3F9" w14:textId="77777777" w:rsidTr="0045675C">
        <w:trPr>
          <w:trHeight w:val="283"/>
        </w:trPr>
        <w:tc>
          <w:tcPr>
            <w:tcW w:w="1972" w:type="dxa"/>
            <w:shd w:val="clear" w:color="auto" w:fill="auto"/>
            <w:tcMar>
              <w:left w:w="57" w:type="dxa"/>
              <w:right w:w="57" w:type="dxa"/>
            </w:tcMar>
            <w:vAlign w:val="center"/>
          </w:tcPr>
          <w:p w14:paraId="7E5BE28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25-34</w:t>
            </w:r>
          </w:p>
        </w:tc>
        <w:tc>
          <w:tcPr>
            <w:tcW w:w="987" w:type="dxa"/>
            <w:shd w:val="clear" w:color="auto" w:fill="auto"/>
            <w:vAlign w:val="center"/>
          </w:tcPr>
          <w:p w14:paraId="260EC0B2"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26</w:t>
            </w:r>
          </w:p>
        </w:tc>
        <w:tc>
          <w:tcPr>
            <w:tcW w:w="847" w:type="dxa"/>
            <w:shd w:val="clear" w:color="auto" w:fill="auto"/>
            <w:vAlign w:val="center"/>
          </w:tcPr>
          <w:p w14:paraId="1F032A2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26.0</w:t>
            </w:r>
          </w:p>
        </w:tc>
        <w:tc>
          <w:tcPr>
            <w:tcW w:w="236" w:type="dxa"/>
            <w:shd w:val="clear" w:color="auto" w:fill="auto"/>
            <w:vAlign w:val="center"/>
          </w:tcPr>
          <w:p w14:paraId="5776056B"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65BACA7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w:t>
            </w:r>
          </w:p>
        </w:tc>
        <w:tc>
          <w:tcPr>
            <w:tcW w:w="1128" w:type="dxa"/>
            <w:shd w:val="clear" w:color="auto" w:fill="auto"/>
            <w:vAlign w:val="center"/>
          </w:tcPr>
          <w:p w14:paraId="49F6F779"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2280C389"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4.0</w:t>
            </w:r>
          </w:p>
        </w:tc>
        <w:tc>
          <w:tcPr>
            <w:tcW w:w="236" w:type="dxa"/>
            <w:shd w:val="clear" w:color="auto" w:fill="auto"/>
            <w:vAlign w:val="center"/>
          </w:tcPr>
          <w:p w14:paraId="40DA2BCC"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0CCF007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22</w:t>
            </w:r>
          </w:p>
        </w:tc>
        <w:tc>
          <w:tcPr>
            <w:tcW w:w="846" w:type="dxa"/>
            <w:shd w:val="clear" w:color="auto" w:fill="auto"/>
            <w:tcMar>
              <w:left w:w="57" w:type="dxa"/>
              <w:right w:w="57" w:type="dxa"/>
            </w:tcMar>
            <w:vAlign w:val="center"/>
          </w:tcPr>
          <w:p w14:paraId="7C51700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22.0</w:t>
            </w:r>
          </w:p>
        </w:tc>
      </w:tr>
      <w:tr w:rsidR="003E5BF5" w:rsidRPr="00E273FC" w14:paraId="706A720D" w14:textId="77777777" w:rsidTr="0045675C">
        <w:trPr>
          <w:trHeight w:val="283"/>
        </w:trPr>
        <w:tc>
          <w:tcPr>
            <w:tcW w:w="1972" w:type="dxa"/>
            <w:shd w:val="clear" w:color="auto" w:fill="auto"/>
            <w:tcMar>
              <w:left w:w="57" w:type="dxa"/>
              <w:right w:w="57" w:type="dxa"/>
            </w:tcMar>
            <w:vAlign w:val="center"/>
          </w:tcPr>
          <w:p w14:paraId="73536E0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35-44</w:t>
            </w:r>
          </w:p>
        </w:tc>
        <w:tc>
          <w:tcPr>
            <w:tcW w:w="987" w:type="dxa"/>
            <w:shd w:val="clear" w:color="auto" w:fill="auto"/>
            <w:vAlign w:val="center"/>
          </w:tcPr>
          <w:p w14:paraId="62B11C4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37</w:t>
            </w:r>
          </w:p>
        </w:tc>
        <w:tc>
          <w:tcPr>
            <w:tcW w:w="847" w:type="dxa"/>
            <w:shd w:val="clear" w:color="auto" w:fill="auto"/>
            <w:vAlign w:val="center"/>
          </w:tcPr>
          <w:p w14:paraId="3F975EF5"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36.5</w:t>
            </w:r>
          </w:p>
        </w:tc>
        <w:tc>
          <w:tcPr>
            <w:tcW w:w="236" w:type="dxa"/>
            <w:shd w:val="clear" w:color="auto" w:fill="auto"/>
            <w:vAlign w:val="center"/>
          </w:tcPr>
          <w:p w14:paraId="2D22C48E"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29DB567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12</w:t>
            </w:r>
          </w:p>
        </w:tc>
        <w:tc>
          <w:tcPr>
            <w:tcW w:w="1128" w:type="dxa"/>
            <w:shd w:val="clear" w:color="auto" w:fill="auto"/>
            <w:vAlign w:val="center"/>
          </w:tcPr>
          <w:p w14:paraId="5E914675"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0648E2EE"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12.0</w:t>
            </w:r>
          </w:p>
        </w:tc>
        <w:tc>
          <w:tcPr>
            <w:tcW w:w="236" w:type="dxa"/>
            <w:shd w:val="clear" w:color="auto" w:fill="auto"/>
            <w:vAlign w:val="center"/>
          </w:tcPr>
          <w:p w14:paraId="35367192"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04AFAED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25</w:t>
            </w:r>
          </w:p>
        </w:tc>
        <w:tc>
          <w:tcPr>
            <w:tcW w:w="846" w:type="dxa"/>
            <w:shd w:val="clear" w:color="auto" w:fill="auto"/>
            <w:tcMar>
              <w:left w:w="57" w:type="dxa"/>
              <w:right w:w="57" w:type="dxa"/>
            </w:tcMar>
            <w:vAlign w:val="center"/>
          </w:tcPr>
          <w:p w14:paraId="62D3BF9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24.5</w:t>
            </w:r>
          </w:p>
        </w:tc>
      </w:tr>
      <w:tr w:rsidR="003E5BF5" w:rsidRPr="00E273FC" w14:paraId="178C7D39" w14:textId="77777777" w:rsidTr="0045675C">
        <w:trPr>
          <w:trHeight w:val="283"/>
        </w:trPr>
        <w:tc>
          <w:tcPr>
            <w:tcW w:w="1972" w:type="dxa"/>
            <w:shd w:val="clear" w:color="auto" w:fill="auto"/>
            <w:tcMar>
              <w:left w:w="57" w:type="dxa"/>
              <w:right w:w="57" w:type="dxa"/>
            </w:tcMar>
            <w:vAlign w:val="center"/>
          </w:tcPr>
          <w:p w14:paraId="3EA6474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45-54</w:t>
            </w:r>
          </w:p>
        </w:tc>
        <w:tc>
          <w:tcPr>
            <w:tcW w:w="987" w:type="dxa"/>
            <w:shd w:val="clear" w:color="auto" w:fill="auto"/>
            <w:vAlign w:val="center"/>
          </w:tcPr>
          <w:p w14:paraId="0C09074C"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13</w:t>
            </w:r>
          </w:p>
        </w:tc>
        <w:tc>
          <w:tcPr>
            <w:tcW w:w="847" w:type="dxa"/>
            <w:shd w:val="clear" w:color="auto" w:fill="auto"/>
            <w:vAlign w:val="center"/>
          </w:tcPr>
          <w:p w14:paraId="5169B14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13.0</w:t>
            </w:r>
          </w:p>
        </w:tc>
        <w:tc>
          <w:tcPr>
            <w:tcW w:w="236" w:type="dxa"/>
            <w:shd w:val="clear" w:color="auto" w:fill="auto"/>
            <w:vAlign w:val="center"/>
          </w:tcPr>
          <w:p w14:paraId="5EC37D69"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0CAF05F5"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6</w:t>
            </w:r>
          </w:p>
        </w:tc>
        <w:tc>
          <w:tcPr>
            <w:tcW w:w="1128" w:type="dxa"/>
            <w:shd w:val="clear" w:color="auto" w:fill="auto"/>
            <w:vAlign w:val="center"/>
          </w:tcPr>
          <w:p w14:paraId="31842F3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3713449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6.0</w:t>
            </w:r>
          </w:p>
        </w:tc>
        <w:tc>
          <w:tcPr>
            <w:tcW w:w="236" w:type="dxa"/>
            <w:shd w:val="clear" w:color="auto" w:fill="auto"/>
            <w:vAlign w:val="center"/>
          </w:tcPr>
          <w:p w14:paraId="793A3960"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49B81BC0"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7</w:t>
            </w:r>
          </w:p>
        </w:tc>
        <w:tc>
          <w:tcPr>
            <w:tcW w:w="846" w:type="dxa"/>
            <w:shd w:val="clear" w:color="auto" w:fill="auto"/>
            <w:tcMar>
              <w:left w:w="57" w:type="dxa"/>
              <w:right w:w="57" w:type="dxa"/>
            </w:tcMar>
            <w:vAlign w:val="center"/>
          </w:tcPr>
          <w:p w14:paraId="370D629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7.0</w:t>
            </w:r>
          </w:p>
        </w:tc>
      </w:tr>
      <w:tr w:rsidR="003E5BF5" w:rsidRPr="00E273FC" w14:paraId="2E810793" w14:textId="77777777" w:rsidTr="0045675C">
        <w:trPr>
          <w:trHeight w:val="283"/>
        </w:trPr>
        <w:tc>
          <w:tcPr>
            <w:tcW w:w="1972" w:type="dxa"/>
            <w:shd w:val="clear" w:color="auto" w:fill="auto"/>
            <w:tcMar>
              <w:left w:w="57" w:type="dxa"/>
              <w:right w:w="57" w:type="dxa"/>
            </w:tcMar>
            <w:vAlign w:val="center"/>
          </w:tcPr>
          <w:p w14:paraId="03ACADE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55-64</w:t>
            </w:r>
          </w:p>
        </w:tc>
        <w:tc>
          <w:tcPr>
            <w:tcW w:w="987" w:type="dxa"/>
            <w:shd w:val="clear" w:color="auto" w:fill="auto"/>
            <w:vAlign w:val="center"/>
          </w:tcPr>
          <w:p w14:paraId="12993C1C"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11</w:t>
            </w:r>
          </w:p>
        </w:tc>
        <w:tc>
          <w:tcPr>
            <w:tcW w:w="847" w:type="dxa"/>
            <w:shd w:val="clear" w:color="auto" w:fill="auto"/>
            <w:vAlign w:val="center"/>
          </w:tcPr>
          <w:p w14:paraId="1BA3BDF0"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11.0</w:t>
            </w:r>
          </w:p>
        </w:tc>
        <w:tc>
          <w:tcPr>
            <w:tcW w:w="236" w:type="dxa"/>
            <w:shd w:val="clear" w:color="auto" w:fill="auto"/>
            <w:vAlign w:val="center"/>
          </w:tcPr>
          <w:p w14:paraId="73BA69C4"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51786C4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6</w:t>
            </w:r>
          </w:p>
        </w:tc>
        <w:tc>
          <w:tcPr>
            <w:tcW w:w="1128" w:type="dxa"/>
            <w:shd w:val="clear" w:color="auto" w:fill="auto"/>
            <w:vAlign w:val="center"/>
          </w:tcPr>
          <w:p w14:paraId="13DEC52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643EF99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6.0</w:t>
            </w:r>
          </w:p>
        </w:tc>
        <w:tc>
          <w:tcPr>
            <w:tcW w:w="236" w:type="dxa"/>
            <w:shd w:val="clear" w:color="auto" w:fill="auto"/>
            <w:vAlign w:val="center"/>
          </w:tcPr>
          <w:p w14:paraId="5EFA9A3B"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4EFBAAF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5</w:t>
            </w:r>
          </w:p>
        </w:tc>
        <w:tc>
          <w:tcPr>
            <w:tcW w:w="846" w:type="dxa"/>
            <w:shd w:val="clear" w:color="auto" w:fill="auto"/>
            <w:tcMar>
              <w:left w:w="57" w:type="dxa"/>
              <w:right w:w="57" w:type="dxa"/>
            </w:tcMar>
            <w:vAlign w:val="center"/>
          </w:tcPr>
          <w:p w14:paraId="27DB98C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5.0</w:t>
            </w:r>
          </w:p>
        </w:tc>
      </w:tr>
      <w:tr w:rsidR="003E5BF5" w:rsidRPr="00E273FC" w14:paraId="4ACC94A5" w14:textId="77777777" w:rsidTr="0045675C">
        <w:trPr>
          <w:trHeight w:val="283"/>
        </w:trPr>
        <w:tc>
          <w:tcPr>
            <w:tcW w:w="1972" w:type="dxa"/>
            <w:shd w:val="clear" w:color="auto" w:fill="auto"/>
            <w:tcMar>
              <w:left w:w="57" w:type="dxa"/>
              <w:right w:w="57" w:type="dxa"/>
            </w:tcMar>
            <w:vAlign w:val="center"/>
          </w:tcPr>
          <w:p w14:paraId="270C60DB"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65+</w:t>
            </w:r>
          </w:p>
        </w:tc>
        <w:tc>
          <w:tcPr>
            <w:tcW w:w="987" w:type="dxa"/>
            <w:shd w:val="clear" w:color="auto" w:fill="auto"/>
            <w:vAlign w:val="center"/>
          </w:tcPr>
          <w:p w14:paraId="20EC6BD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7" w:type="dxa"/>
            <w:shd w:val="clear" w:color="auto" w:fill="auto"/>
            <w:vAlign w:val="center"/>
          </w:tcPr>
          <w:p w14:paraId="28F2702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236" w:type="dxa"/>
            <w:shd w:val="clear" w:color="auto" w:fill="auto"/>
            <w:vAlign w:val="center"/>
          </w:tcPr>
          <w:p w14:paraId="77C629FD"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0845BF3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1128" w:type="dxa"/>
            <w:shd w:val="clear" w:color="auto" w:fill="auto"/>
            <w:vAlign w:val="center"/>
          </w:tcPr>
          <w:p w14:paraId="76C5F8B2"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23E2C2B2"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236" w:type="dxa"/>
            <w:shd w:val="clear" w:color="auto" w:fill="auto"/>
            <w:vAlign w:val="center"/>
          </w:tcPr>
          <w:p w14:paraId="4D53EE38"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27E6C61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5B4A41D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r>
      <w:tr w:rsidR="003E5BF5" w:rsidRPr="00E273FC" w14:paraId="284360C4" w14:textId="77777777" w:rsidTr="0045675C">
        <w:trPr>
          <w:trHeight w:val="283"/>
        </w:trPr>
        <w:tc>
          <w:tcPr>
            <w:tcW w:w="1972" w:type="dxa"/>
            <w:shd w:val="clear" w:color="auto" w:fill="auto"/>
            <w:tcMar>
              <w:left w:w="57" w:type="dxa"/>
              <w:right w:w="57" w:type="dxa"/>
            </w:tcMar>
            <w:vAlign w:val="center"/>
          </w:tcPr>
          <w:p w14:paraId="256F58FB"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Classification</w:t>
            </w:r>
          </w:p>
        </w:tc>
        <w:tc>
          <w:tcPr>
            <w:tcW w:w="987" w:type="dxa"/>
            <w:shd w:val="clear" w:color="auto" w:fill="auto"/>
            <w:vAlign w:val="center"/>
          </w:tcPr>
          <w:p w14:paraId="3BB56342" w14:textId="77777777" w:rsidR="003E5BF5" w:rsidRPr="0045675C" w:rsidRDefault="003E5BF5" w:rsidP="00DE1921">
            <w:pPr>
              <w:pStyle w:val="TableTextRightBold"/>
              <w:ind w:right="57"/>
              <w:rPr>
                <w:rFonts w:ascii="Arial" w:hAnsi="Arial" w:cs="Arial"/>
                <w:b w:val="0"/>
                <w:sz w:val="24"/>
                <w:szCs w:val="24"/>
              </w:rPr>
            </w:pPr>
          </w:p>
        </w:tc>
        <w:tc>
          <w:tcPr>
            <w:tcW w:w="847" w:type="dxa"/>
            <w:shd w:val="clear" w:color="auto" w:fill="auto"/>
            <w:vAlign w:val="center"/>
          </w:tcPr>
          <w:p w14:paraId="38ADBF28" w14:textId="77777777" w:rsidR="003E5BF5" w:rsidRPr="0045675C" w:rsidRDefault="003E5BF5" w:rsidP="00DE1921">
            <w:pPr>
              <w:pStyle w:val="TableTextRightBold"/>
              <w:ind w:right="57"/>
              <w:rPr>
                <w:rFonts w:ascii="Arial" w:hAnsi="Arial" w:cs="Arial"/>
                <w:b w:val="0"/>
                <w:sz w:val="24"/>
                <w:szCs w:val="24"/>
              </w:rPr>
            </w:pPr>
          </w:p>
        </w:tc>
        <w:tc>
          <w:tcPr>
            <w:tcW w:w="236" w:type="dxa"/>
            <w:shd w:val="clear" w:color="auto" w:fill="auto"/>
            <w:vAlign w:val="center"/>
          </w:tcPr>
          <w:p w14:paraId="7C8B35BF"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0399E6E3" w14:textId="77777777" w:rsidR="003E5BF5" w:rsidRPr="0045675C" w:rsidRDefault="003E5BF5" w:rsidP="00DE1921">
            <w:pPr>
              <w:pStyle w:val="TableTextRightBold"/>
              <w:ind w:right="57"/>
              <w:rPr>
                <w:rFonts w:ascii="Arial" w:hAnsi="Arial" w:cs="Arial"/>
                <w:b w:val="0"/>
                <w:sz w:val="24"/>
                <w:szCs w:val="24"/>
              </w:rPr>
            </w:pPr>
          </w:p>
        </w:tc>
        <w:tc>
          <w:tcPr>
            <w:tcW w:w="1128" w:type="dxa"/>
            <w:shd w:val="clear" w:color="auto" w:fill="auto"/>
            <w:vAlign w:val="center"/>
          </w:tcPr>
          <w:p w14:paraId="423B47BD" w14:textId="77777777" w:rsidR="003E5BF5" w:rsidRPr="0045675C" w:rsidRDefault="003E5BF5" w:rsidP="00DE1921">
            <w:pPr>
              <w:pStyle w:val="TableTextRightBold"/>
              <w:ind w:right="57"/>
              <w:rPr>
                <w:rFonts w:ascii="Arial" w:hAnsi="Arial" w:cs="Arial"/>
                <w:b w:val="0"/>
                <w:sz w:val="24"/>
                <w:szCs w:val="24"/>
              </w:rPr>
            </w:pPr>
          </w:p>
        </w:tc>
        <w:tc>
          <w:tcPr>
            <w:tcW w:w="846" w:type="dxa"/>
            <w:shd w:val="clear" w:color="auto" w:fill="auto"/>
            <w:tcMar>
              <w:left w:w="57" w:type="dxa"/>
              <w:right w:w="57" w:type="dxa"/>
            </w:tcMar>
            <w:vAlign w:val="center"/>
          </w:tcPr>
          <w:p w14:paraId="773BFD1E" w14:textId="77777777" w:rsidR="003E5BF5" w:rsidRPr="0045675C" w:rsidRDefault="003E5BF5" w:rsidP="00DE1921">
            <w:pPr>
              <w:pStyle w:val="TableTextRightBold"/>
              <w:ind w:right="57"/>
              <w:rPr>
                <w:rFonts w:ascii="Arial" w:hAnsi="Arial" w:cs="Arial"/>
                <w:b w:val="0"/>
                <w:sz w:val="24"/>
                <w:szCs w:val="24"/>
              </w:rPr>
            </w:pPr>
          </w:p>
        </w:tc>
        <w:tc>
          <w:tcPr>
            <w:tcW w:w="236" w:type="dxa"/>
            <w:shd w:val="clear" w:color="auto" w:fill="auto"/>
            <w:vAlign w:val="center"/>
          </w:tcPr>
          <w:p w14:paraId="536A5179"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30C46640" w14:textId="77777777" w:rsidR="003E5BF5" w:rsidRPr="0045675C" w:rsidRDefault="003E5BF5" w:rsidP="00DE1921">
            <w:pPr>
              <w:pStyle w:val="TableTextRightBold"/>
              <w:ind w:right="57"/>
              <w:rPr>
                <w:rFonts w:ascii="Arial" w:hAnsi="Arial" w:cs="Arial"/>
                <w:b w:val="0"/>
                <w:sz w:val="24"/>
                <w:szCs w:val="24"/>
              </w:rPr>
            </w:pPr>
          </w:p>
        </w:tc>
        <w:tc>
          <w:tcPr>
            <w:tcW w:w="846" w:type="dxa"/>
            <w:shd w:val="clear" w:color="auto" w:fill="auto"/>
            <w:tcMar>
              <w:left w:w="57" w:type="dxa"/>
              <w:right w:w="57" w:type="dxa"/>
            </w:tcMar>
            <w:vAlign w:val="center"/>
          </w:tcPr>
          <w:p w14:paraId="7993702D" w14:textId="77777777" w:rsidR="003E5BF5" w:rsidRPr="0045675C" w:rsidRDefault="003E5BF5" w:rsidP="00DE1921">
            <w:pPr>
              <w:pStyle w:val="TableTextRightBold"/>
              <w:ind w:right="57"/>
              <w:rPr>
                <w:rFonts w:ascii="Arial" w:hAnsi="Arial" w:cs="Arial"/>
                <w:b w:val="0"/>
                <w:sz w:val="24"/>
                <w:szCs w:val="24"/>
              </w:rPr>
            </w:pPr>
          </w:p>
        </w:tc>
      </w:tr>
      <w:tr w:rsidR="003E5BF5" w:rsidRPr="00E273FC" w14:paraId="7797A4A0" w14:textId="77777777" w:rsidTr="0045675C">
        <w:trPr>
          <w:trHeight w:val="283"/>
        </w:trPr>
        <w:tc>
          <w:tcPr>
            <w:tcW w:w="1972" w:type="dxa"/>
            <w:shd w:val="clear" w:color="auto" w:fill="auto"/>
            <w:tcMar>
              <w:left w:w="57" w:type="dxa"/>
              <w:right w:w="57" w:type="dxa"/>
            </w:tcMar>
            <w:vAlign w:val="center"/>
          </w:tcPr>
          <w:p w14:paraId="3BE400C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1</w:t>
            </w:r>
          </w:p>
        </w:tc>
        <w:tc>
          <w:tcPr>
            <w:tcW w:w="987" w:type="dxa"/>
            <w:shd w:val="clear" w:color="auto" w:fill="auto"/>
            <w:vAlign w:val="center"/>
          </w:tcPr>
          <w:p w14:paraId="34FE3692"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7" w:type="dxa"/>
            <w:shd w:val="clear" w:color="auto" w:fill="auto"/>
            <w:vAlign w:val="center"/>
          </w:tcPr>
          <w:p w14:paraId="178050F0"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236" w:type="dxa"/>
            <w:shd w:val="clear" w:color="auto" w:fill="auto"/>
            <w:vAlign w:val="center"/>
          </w:tcPr>
          <w:p w14:paraId="30ADCF1F"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16EF9A20"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1128" w:type="dxa"/>
            <w:shd w:val="clear" w:color="auto" w:fill="auto"/>
            <w:vAlign w:val="center"/>
          </w:tcPr>
          <w:p w14:paraId="00F88A8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59E6384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236" w:type="dxa"/>
            <w:shd w:val="clear" w:color="auto" w:fill="auto"/>
            <w:vAlign w:val="center"/>
          </w:tcPr>
          <w:p w14:paraId="7009C539"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41E0014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499F193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r>
      <w:tr w:rsidR="003E5BF5" w:rsidRPr="00E273FC" w14:paraId="01EFA462" w14:textId="77777777" w:rsidTr="0045675C">
        <w:trPr>
          <w:trHeight w:val="283"/>
        </w:trPr>
        <w:tc>
          <w:tcPr>
            <w:tcW w:w="1972" w:type="dxa"/>
            <w:shd w:val="clear" w:color="auto" w:fill="auto"/>
            <w:tcMar>
              <w:left w:w="57" w:type="dxa"/>
              <w:right w:w="57" w:type="dxa"/>
            </w:tcMar>
            <w:vAlign w:val="center"/>
          </w:tcPr>
          <w:p w14:paraId="0F93972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2</w:t>
            </w:r>
          </w:p>
        </w:tc>
        <w:tc>
          <w:tcPr>
            <w:tcW w:w="987" w:type="dxa"/>
            <w:shd w:val="clear" w:color="auto" w:fill="auto"/>
            <w:vAlign w:val="center"/>
          </w:tcPr>
          <w:p w14:paraId="2C1B2F0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w:t>
            </w:r>
          </w:p>
        </w:tc>
        <w:tc>
          <w:tcPr>
            <w:tcW w:w="847" w:type="dxa"/>
            <w:shd w:val="clear" w:color="auto" w:fill="auto"/>
            <w:vAlign w:val="center"/>
          </w:tcPr>
          <w:p w14:paraId="29E6FFCC"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1.0</w:t>
            </w:r>
          </w:p>
        </w:tc>
        <w:tc>
          <w:tcPr>
            <w:tcW w:w="236" w:type="dxa"/>
            <w:shd w:val="clear" w:color="auto" w:fill="auto"/>
            <w:vAlign w:val="center"/>
          </w:tcPr>
          <w:p w14:paraId="1DF0050F"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1BFEE30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1128" w:type="dxa"/>
            <w:shd w:val="clear" w:color="auto" w:fill="auto"/>
            <w:vAlign w:val="center"/>
          </w:tcPr>
          <w:p w14:paraId="1C58171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7A7B039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236" w:type="dxa"/>
            <w:shd w:val="clear" w:color="auto" w:fill="auto"/>
            <w:vAlign w:val="center"/>
          </w:tcPr>
          <w:p w14:paraId="5C453B60"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6703C06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w:t>
            </w:r>
          </w:p>
        </w:tc>
        <w:tc>
          <w:tcPr>
            <w:tcW w:w="846" w:type="dxa"/>
            <w:shd w:val="clear" w:color="auto" w:fill="auto"/>
            <w:tcMar>
              <w:left w:w="57" w:type="dxa"/>
              <w:right w:w="57" w:type="dxa"/>
            </w:tcMar>
            <w:vAlign w:val="center"/>
          </w:tcPr>
          <w:p w14:paraId="15F8B97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1.0</w:t>
            </w:r>
          </w:p>
        </w:tc>
      </w:tr>
      <w:tr w:rsidR="003E5BF5" w:rsidRPr="00E273FC" w14:paraId="7F78572F" w14:textId="77777777" w:rsidTr="0045675C">
        <w:trPr>
          <w:trHeight w:val="283"/>
        </w:trPr>
        <w:tc>
          <w:tcPr>
            <w:tcW w:w="1972" w:type="dxa"/>
            <w:shd w:val="clear" w:color="auto" w:fill="auto"/>
            <w:tcMar>
              <w:left w:w="57" w:type="dxa"/>
              <w:right w:w="57" w:type="dxa"/>
            </w:tcMar>
            <w:vAlign w:val="center"/>
          </w:tcPr>
          <w:p w14:paraId="6182062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3</w:t>
            </w:r>
          </w:p>
        </w:tc>
        <w:tc>
          <w:tcPr>
            <w:tcW w:w="987" w:type="dxa"/>
            <w:shd w:val="clear" w:color="auto" w:fill="auto"/>
            <w:vAlign w:val="center"/>
          </w:tcPr>
          <w:p w14:paraId="543251F2"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w:t>
            </w:r>
          </w:p>
        </w:tc>
        <w:tc>
          <w:tcPr>
            <w:tcW w:w="847" w:type="dxa"/>
            <w:shd w:val="clear" w:color="auto" w:fill="auto"/>
            <w:vAlign w:val="center"/>
          </w:tcPr>
          <w:p w14:paraId="297E8A9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3.0</w:t>
            </w:r>
          </w:p>
        </w:tc>
        <w:tc>
          <w:tcPr>
            <w:tcW w:w="236" w:type="dxa"/>
            <w:shd w:val="clear" w:color="auto" w:fill="auto"/>
            <w:vAlign w:val="center"/>
          </w:tcPr>
          <w:p w14:paraId="7698200A"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451227A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1128" w:type="dxa"/>
            <w:shd w:val="clear" w:color="auto" w:fill="auto"/>
            <w:vAlign w:val="center"/>
          </w:tcPr>
          <w:p w14:paraId="6487190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2DD86E6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236" w:type="dxa"/>
            <w:shd w:val="clear" w:color="auto" w:fill="auto"/>
            <w:vAlign w:val="center"/>
          </w:tcPr>
          <w:p w14:paraId="631009C2"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795334FC"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w:t>
            </w:r>
          </w:p>
        </w:tc>
        <w:tc>
          <w:tcPr>
            <w:tcW w:w="846" w:type="dxa"/>
            <w:shd w:val="clear" w:color="auto" w:fill="auto"/>
            <w:tcMar>
              <w:left w:w="57" w:type="dxa"/>
              <w:right w:w="57" w:type="dxa"/>
            </w:tcMar>
            <w:vAlign w:val="center"/>
          </w:tcPr>
          <w:p w14:paraId="08249BC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3.0</w:t>
            </w:r>
          </w:p>
        </w:tc>
      </w:tr>
      <w:tr w:rsidR="003E5BF5" w:rsidRPr="00E273FC" w14:paraId="128E1C09" w14:textId="77777777" w:rsidTr="0045675C">
        <w:trPr>
          <w:trHeight w:val="283"/>
        </w:trPr>
        <w:tc>
          <w:tcPr>
            <w:tcW w:w="1972" w:type="dxa"/>
            <w:shd w:val="clear" w:color="auto" w:fill="auto"/>
            <w:tcMar>
              <w:left w:w="57" w:type="dxa"/>
              <w:right w:w="57" w:type="dxa"/>
            </w:tcMar>
            <w:vAlign w:val="center"/>
          </w:tcPr>
          <w:p w14:paraId="46B5B3F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4</w:t>
            </w:r>
          </w:p>
        </w:tc>
        <w:tc>
          <w:tcPr>
            <w:tcW w:w="987" w:type="dxa"/>
            <w:shd w:val="clear" w:color="auto" w:fill="auto"/>
            <w:vAlign w:val="center"/>
          </w:tcPr>
          <w:p w14:paraId="43C6CBF3"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13</w:t>
            </w:r>
          </w:p>
        </w:tc>
        <w:tc>
          <w:tcPr>
            <w:tcW w:w="847" w:type="dxa"/>
            <w:shd w:val="clear" w:color="auto" w:fill="auto"/>
            <w:vAlign w:val="center"/>
          </w:tcPr>
          <w:p w14:paraId="3C8AF75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12.8</w:t>
            </w:r>
          </w:p>
        </w:tc>
        <w:tc>
          <w:tcPr>
            <w:tcW w:w="236" w:type="dxa"/>
            <w:shd w:val="clear" w:color="auto" w:fill="auto"/>
            <w:vAlign w:val="center"/>
          </w:tcPr>
          <w:p w14:paraId="3A401BE0"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487A349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w:t>
            </w:r>
          </w:p>
        </w:tc>
        <w:tc>
          <w:tcPr>
            <w:tcW w:w="1128" w:type="dxa"/>
            <w:shd w:val="clear" w:color="auto" w:fill="auto"/>
            <w:vAlign w:val="center"/>
          </w:tcPr>
          <w:p w14:paraId="13408B5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2E2ED742"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1.0</w:t>
            </w:r>
          </w:p>
        </w:tc>
        <w:tc>
          <w:tcPr>
            <w:tcW w:w="236" w:type="dxa"/>
            <w:shd w:val="clear" w:color="auto" w:fill="auto"/>
            <w:vAlign w:val="center"/>
          </w:tcPr>
          <w:p w14:paraId="5604D777"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12CADDEE"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12</w:t>
            </w:r>
          </w:p>
        </w:tc>
        <w:tc>
          <w:tcPr>
            <w:tcW w:w="846" w:type="dxa"/>
            <w:shd w:val="clear" w:color="auto" w:fill="auto"/>
            <w:tcMar>
              <w:left w:w="57" w:type="dxa"/>
              <w:right w:w="57" w:type="dxa"/>
            </w:tcMar>
            <w:vAlign w:val="center"/>
          </w:tcPr>
          <w:p w14:paraId="0BB0A3F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11.8</w:t>
            </w:r>
          </w:p>
        </w:tc>
      </w:tr>
      <w:tr w:rsidR="003E5BF5" w:rsidRPr="00E273FC" w14:paraId="2AB8426F" w14:textId="77777777" w:rsidTr="0045675C">
        <w:trPr>
          <w:trHeight w:val="283"/>
        </w:trPr>
        <w:tc>
          <w:tcPr>
            <w:tcW w:w="1972" w:type="dxa"/>
            <w:shd w:val="clear" w:color="auto" w:fill="auto"/>
            <w:tcMar>
              <w:left w:w="57" w:type="dxa"/>
              <w:right w:w="57" w:type="dxa"/>
            </w:tcMar>
            <w:vAlign w:val="center"/>
          </w:tcPr>
          <w:p w14:paraId="70D643A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5</w:t>
            </w:r>
          </w:p>
        </w:tc>
        <w:tc>
          <w:tcPr>
            <w:tcW w:w="987" w:type="dxa"/>
            <w:shd w:val="clear" w:color="auto" w:fill="auto"/>
            <w:vAlign w:val="center"/>
          </w:tcPr>
          <w:p w14:paraId="66EF762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16</w:t>
            </w:r>
          </w:p>
        </w:tc>
        <w:tc>
          <w:tcPr>
            <w:tcW w:w="847" w:type="dxa"/>
            <w:shd w:val="clear" w:color="auto" w:fill="auto"/>
            <w:vAlign w:val="center"/>
          </w:tcPr>
          <w:p w14:paraId="0B9581E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15.9</w:t>
            </w:r>
          </w:p>
        </w:tc>
        <w:tc>
          <w:tcPr>
            <w:tcW w:w="236" w:type="dxa"/>
            <w:shd w:val="clear" w:color="auto" w:fill="auto"/>
            <w:vAlign w:val="center"/>
          </w:tcPr>
          <w:p w14:paraId="01A44CF0"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17284F82"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w:t>
            </w:r>
          </w:p>
        </w:tc>
        <w:tc>
          <w:tcPr>
            <w:tcW w:w="1128" w:type="dxa"/>
            <w:shd w:val="clear" w:color="auto" w:fill="auto"/>
            <w:vAlign w:val="center"/>
          </w:tcPr>
          <w:p w14:paraId="007EEA2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1FEA64F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2.0</w:t>
            </w:r>
          </w:p>
        </w:tc>
        <w:tc>
          <w:tcPr>
            <w:tcW w:w="236" w:type="dxa"/>
            <w:shd w:val="clear" w:color="auto" w:fill="auto"/>
            <w:vAlign w:val="center"/>
          </w:tcPr>
          <w:p w14:paraId="7E2FA0FE"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044034C0"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14</w:t>
            </w:r>
          </w:p>
        </w:tc>
        <w:tc>
          <w:tcPr>
            <w:tcW w:w="846" w:type="dxa"/>
            <w:shd w:val="clear" w:color="auto" w:fill="auto"/>
            <w:tcMar>
              <w:left w:w="57" w:type="dxa"/>
              <w:right w:w="57" w:type="dxa"/>
            </w:tcMar>
            <w:vAlign w:val="center"/>
          </w:tcPr>
          <w:p w14:paraId="2E34629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13.9</w:t>
            </w:r>
          </w:p>
        </w:tc>
      </w:tr>
      <w:tr w:rsidR="003E5BF5" w:rsidRPr="00E273FC" w14:paraId="75BAFEC3" w14:textId="77777777" w:rsidTr="0045675C">
        <w:trPr>
          <w:trHeight w:val="283"/>
        </w:trPr>
        <w:tc>
          <w:tcPr>
            <w:tcW w:w="1972" w:type="dxa"/>
            <w:shd w:val="clear" w:color="auto" w:fill="auto"/>
            <w:tcMar>
              <w:left w:w="57" w:type="dxa"/>
              <w:right w:w="57" w:type="dxa"/>
            </w:tcMar>
            <w:vAlign w:val="center"/>
          </w:tcPr>
          <w:p w14:paraId="79D9598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VPS 6</w:t>
            </w:r>
          </w:p>
        </w:tc>
        <w:tc>
          <w:tcPr>
            <w:tcW w:w="987" w:type="dxa"/>
            <w:shd w:val="clear" w:color="auto" w:fill="auto"/>
            <w:vAlign w:val="center"/>
          </w:tcPr>
          <w:p w14:paraId="224CEC5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20</w:t>
            </w:r>
          </w:p>
        </w:tc>
        <w:tc>
          <w:tcPr>
            <w:tcW w:w="847" w:type="dxa"/>
            <w:shd w:val="clear" w:color="auto" w:fill="auto"/>
            <w:vAlign w:val="center"/>
          </w:tcPr>
          <w:p w14:paraId="7C13539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20.0</w:t>
            </w:r>
          </w:p>
        </w:tc>
        <w:tc>
          <w:tcPr>
            <w:tcW w:w="236" w:type="dxa"/>
            <w:shd w:val="clear" w:color="auto" w:fill="auto"/>
            <w:vAlign w:val="center"/>
          </w:tcPr>
          <w:p w14:paraId="0C7BACF8"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7FA74E2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w:t>
            </w:r>
          </w:p>
        </w:tc>
        <w:tc>
          <w:tcPr>
            <w:tcW w:w="1128" w:type="dxa"/>
            <w:shd w:val="clear" w:color="auto" w:fill="auto"/>
            <w:vAlign w:val="center"/>
          </w:tcPr>
          <w:p w14:paraId="506F1B5E"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5179CB4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2.0</w:t>
            </w:r>
          </w:p>
        </w:tc>
        <w:tc>
          <w:tcPr>
            <w:tcW w:w="236" w:type="dxa"/>
            <w:shd w:val="clear" w:color="auto" w:fill="auto"/>
            <w:vAlign w:val="center"/>
          </w:tcPr>
          <w:p w14:paraId="48782C5F"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454B2096"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18</w:t>
            </w:r>
          </w:p>
        </w:tc>
        <w:tc>
          <w:tcPr>
            <w:tcW w:w="846" w:type="dxa"/>
            <w:shd w:val="clear" w:color="auto" w:fill="auto"/>
            <w:tcMar>
              <w:left w:w="57" w:type="dxa"/>
              <w:right w:w="57" w:type="dxa"/>
            </w:tcMar>
            <w:vAlign w:val="center"/>
          </w:tcPr>
          <w:p w14:paraId="6E2DFFC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18.0</w:t>
            </w:r>
          </w:p>
        </w:tc>
      </w:tr>
      <w:tr w:rsidR="003E5BF5" w:rsidRPr="00E273FC" w14:paraId="5BC35E6C" w14:textId="77777777" w:rsidTr="0045675C">
        <w:trPr>
          <w:trHeight w:val="283"/>
        </w:trPr>
        <w:tc>
          <w:tcPr>
            <w:tcW w:w="1972" w:type="dxa"/>
            <w:shd w:val="clear" w:color="auto" w:fill="auto"/>
            <w:tcMar>
              <w:left w:w="57" w:type="dxa"/>
              <w:right w:w="57" w:type="dxa"/>
            </w:tcMar>
            <w:vAlign w:val="center"/>
          </w:tcPr>
          <w:p w14:paraId="21CC6DF6"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PS</w:t>
            </w:r>
          </w:p>
        </w:tc>
        <w:tc>
          <w:tcPr>
            <w:tcW w:w="987" w:type="dxa"/>
            <w:shd w:val="clear" w:color="auto" w:fill="auto"/>
            <w:vAlign w:val="center"/>
          </w:tcPr>
          <w:p w14:paraId="3AA3383B"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w:t>
            </w:r>
          </w:p>
        </w:tc>
        <w:tc>
          <w:tcPr>
            <w:tcW w:w="847" w:type="dxa"/>
            <w:shd w:val="clear" w:color="auto" w:fill="auto"/>
            <w:vAlign w:val="center"/>
          </w:tcPr>
          <w:p w14:paraId="22B0FC50"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3.0</w:t>
            </w:r>
          </w:p>
        </w:tc>
        <w:tc>
          <w:tcPr>
            <w:tcW w:w="236" w:type="dxa"/>
            <w:shd w:val="clear" w:color="auto" w:fill="auto"/>
            <w:vAlign w:val="center"/>
          </w:tcPr>
          <w:p w14:paraId="7ACC4A79"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0A51F3C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1128" w:type="dxa"/>
            <w:shd w:val="clear" w:color="auto" w:fill="auto"/>
            <w:vAlign w:val="center"/>
          </w:tcPr>
          <w:p w14:paraId="0500E6E5"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0EA68003"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236" w:type="dxa"/>
            <w:shd w:val="clear" w:color="auto" w:fill="auto"/>
            <w:vAlign w:val="center"/>
          </w:tcPr>
          <w:p w14:paraId="2489BBFF"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52FDF55C"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w:t>
            </w:r>
          </w:p>
        </w:tc>
        <w:tc>
          <w:tcPr>
            <w:tcW w:w="846" w:type="dxa"/>
            <w:shd w:val="clear" w:color="auto" w:fill="auto"/>
            <w:tcMar>
              <w:left w:w="57" w:type="dxa"/>
              <w:right w:w="57" w:type="dxa"/>
            </w:tcMar>
            <w:vAlign w:val="center"/>
          </w:tcPr>
          <w:p w14:paraId="73BAAE73"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3.0</w:t>
            </w:r>
          </w:p>
        </w:tc>
      </w:tr>
      <w:tr w:rsidR="003E5BF5" w:rsidRPr="00E273FC" w14:paraId="20D1936E" w14:textId="77777777" w:rsidTr="0045675C">
        <w:trPr>
          <w:trHeight w:val="283"/>
        </w:trPr>
        <w:tc>
          <w:tcPr>
            <w:tcW w:w="1972" w:type="dxa"/>
            <w:shd w:val="clear" w:color="auto" w:fill="auto"/>
            <w:tcMar>
              <w:left w:w="57" w:type="dxa"/>
              <w:right w:w="57" w:type="dxa"/>
            </w:tcMar>
            <w:vAlign w:val="center"/>
          </w:tcPr>
          <w:p w14:paraId="710A3DC2"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STS</w:t>
            </w:r>
          </w:p>
        </w:tc>
        <w:tc>
          <w:tcPr>
            <w:tcW w:w="987" w:type="dxa"/>
            <w:shd w:val="clear" w:color="auto" w:fill="auto"/>
            <w:vAlign w:val="center"/>
          </w:tcPr>
          <w:p w14:paraId="30F0243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12</w:t>
            </w:r>
          </w:p>
        </w:tc>
        <w:tc>
          <w:tcPr>
            <w:tcW w:w="847" w:type="dxa"/>
            <w:shd w:val="clear" w:color="auto" w:fill="auto"/>
            <w:vAlign w:val="center"/>
          </w:tcPr>
          <w:p w14:paraId="07AA9C8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11.8</w:t>
            </w:r>
          </w:p>
        </w:tc>
        <w:tc>
          <w:tcPr>
            <w:tcW w:w="236" w:type="dxa"/>
            <w:shd w:val="clear" w:color="auto" w:fill="auto"/>
            <w:vAlign w:val="center"/>
          </w:tcPr>
          <w:p w14:paraId="37432675"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26271A5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w:t>
            </w:r>
          </w:p>
        </w:tc>
        <w:tc>
          <w:tcPr>
            <w:tcW w:w="1128" w:type="dxa"/>
            <w:shd w:val="clear" w:color="auto" w:fill="auto"/>
            <w:vAlign w:val="center"/>
          </w:tcPr>
          <w:p w14:paraId="452957A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5E14DE1C"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1.0</w:t>
            </w:r>
          </w:p>
        </w:tc>
        <w:tc>
          <w:tcPr>
            <w:tcW w:w="236" w:type="dxa"/>
            <w:shd w:val="clear" w:color="auto" w:fill="auto"/>
            <w:vAlign w:val="center"/>
          </w:tcPr>
          <w:p w14:paraId="6199D1B4"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650ED80E"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11</w:t>
            </w:r>
          </w:p>
        </w:tc>
        <w:tc>
          <w:tcPr>
            <w:tcW w:w="846" w:type="dxa"/>
            <w:shd w:val="clear" w:color="auto" w:fill="auto"/>
            <w:tcMar>
              <w:left w:w="57" w:type="dxa"/>
              <w:right w:w="57" w:type="dxa"/>
            </w:tcMar>
            <w:vAlign w:val="center"/>
          </w:tcPr>
          <w:p w14:paraId="05837FFC"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10.8</w:t>
            </w:r>
          </w:p>
        </w:tc>
      </w:tr>
      <w:tr w:rsidR="003E5BF5" w:rsidRPr="00E273FC" w14:paraId="49370BAB" w14:textId="77777777" w:rsidTr="0045675C">
        <w:trPr>
          <w:trHeight w:val="283"/>
        </w:trPr>
        <w:tc>
          <w:tcPr>
            <w:tcW w:w="1972" w:type="dxa"/>
            <w:shd w:val="clear" w:color="auto" w:fill="auto"/>
            <w:tcMar>
              <w:left w:w="57" w:type="dxa"/>
              <w:right w:w="57" w:type="dxa"/>
            </w:tcMar>
            <w:vAlign w:val="center"/>
          </w:tcPr>
          <w:p w14:paraId="2311B53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Executive</w:t>
            </w:r>
          </w:p>
        </w:tc>
        <w:tc>
          <w:tcPr>
            <w:tcW w:w="987" w:type="dxa"/>
            <w:shd w:val="clear" w:color="auto" w:fill="auto"/>
            <w:vAlign w:val="center"/>
          </w:tcPr>
          <w:p w14:paraId="7962833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22</w:t>
            </w:r>
          </w:p>
        </w:tc>
        <w:tc>
          <w:tcPr>
            <w:tcW w:w="847" w:type="dxa"/>
            <w:shd w:val="clear" w:color="auto" w:fill="auto"/>
            <w:vAlign w:val="center"/>
          </w:tcPr>
          <w:p w14:paraId="53505BDF"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22.0</w:t>
            </w:r>
          </w:p>
        </w:tc>
        <w:tc>
          <w:tcPr>
            <w:tcW w:w="236" w:type="dxa"/>
            <w:shd w:val="clear" w:color="auto" w:fill="auto"/>
            <w:vAlign w:val="center"/>
          </w:tcPr>
          <w:p w14:paraId="4CE16F20"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7F70F4CA"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22</w:t>
            </w:r>
          </w:p>
        </w:tc>
        <w:tc>
          <w:tcPr>
            <w:tcW w:w="1128" w:type="dxa"/>
            <w:shd w:val="clear" w:color="auto" w:fill="auto"/>
            <w:vAlign w:val="center"/>
          </w:tcPr>
          <w:p w14:paraId="2B6BE53E"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654638BD"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22.0</w:t>
            </w:r>
          </w:p>
        </w:tc>
        <w:tc>
          <w:tcPr>
            <w:tcW w:w="236" w:type="dxa"/>
            <w:shd w:val="clear" w:color="auto" w:fill="auto"/>
            <w:vAlign w:val="center"/>
          </w:tcPr>
          <w:p w14:paraId="51FB93DC"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3B6439A9"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0F04E0F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r>
      <w:tr w:rsidR="003E5BF5" w:rsidRPr="00E273FC" w14:paraId="22D7BA18" w14:textId="77777777" w:rsidTr="0045675C">
        <w:trPr>
          <w:trHeight w:val="283"/>
        </w:trPr>
        <w:tc>
          <w:tcPr>
            <w:tcW w:w="1972" w:type="dxa"/>
            <w:shd w:val="clear" w:color="auto" w:fill="auto"/>
            <w:tcMar>
              <w:left w:w="57" w:type="dxa"/>
              <w:right w:w="57" w:type="dxa"/>
            </w:tcMar>
            <w:vAlign w:val="center"/>
          </w:tcPr>
          <w:p w14:paraId="5FC771D7"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Employees</w:t>
            </w:r>
          </w:p>
        </w:tc>
        <w:tc>
          <w:tcPr>
            <w:tcW w:w="987" w:type="dxa"/>
            <w:shd w:val="clear" w:color="auto" w:fill="auto"/>
            <w:vAlign w:val="center"/>
          </w:tcPr>
          <w:p w14:paraId="01673354"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90</w:t>
            </w:r>
          </w:p>
        </w:tc>
        <w:tc>
          <w:tcPr>
            <w:tcW w:w="847" w:type="dxa"/>
            <w:shd w:val="clear" w:color="auto" w:fill="auto"/>
            <w:vAlign w:val="center"/>
          </w:tcPr>
          <w:p w14:paraId="6F28D86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89.5</w:t>
            </w:r>
          </w:p>
        </w:tc>
        <w:tc>
          <w:tcPr>
            <w:tcW w:w="236" w:type="dxa"/>
            <w:shd w:val="clear" w:color="auto" w:fill="auto"/>
            <w:vAlign w:val="center"/>
          </w:tcPr>
          <w:p w14:paraId="0D030526"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47E92918"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28</w:t>
            </w:r>
          </w:p>
        </w:tc>
        <w:tc>
          <w:tcPr>
            <w:tcW w:w="1128" w:type="dxa"/>
            <w:shd w:val="clear" w:color="auto" w:fill="auto"/>
            <w:vAlign w:val="center"/>
          </w:tcPr>
          <w:p w14:paraId="56DA509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w:t>
            </w:r>
          </w:p>
        </w:tc>
        <w:tc>
          <w:tcPr>
            <w:tcW w:w="846" w:type="dxa"/>
            <w:shd w:val="clear" w:color="auto" w:fill="auto"/>
            <w:tcMar>
              <w:left w:w="57" w:type="dxa"/>
              <w:right w:w="57" w:type="dxa"/>
            </w:tcMar>
            <w:vAlign w:val="center"/>
          </w:tcPr>
          <w:p w14:paraId="105286A7"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28.0</w:t>
            </w:r>
          </w:p>
        </w:tc>
        <w:tc>
          <w:tcPr>
            <w:tcW w:w="236" w:type="dxa"/>
            <w:shd w:val="clear" w:color="auto" w:fill="auto"/>
            <w:vAlign w:val="center"/>
          </w:tcPr>
          <w:p w14:paraId="49046752" w14:textId="77777777" w:rsidR="003E5BF5" w:rsidRPr="0045675C" w:rsidRDefault="003E5BF5" w:rsidP="00DE1921">
            <w:pPr>
              <w:pStyle w:val="TableTextRightBold"/>
              <w:ind w:right="57"/>
              <w:rPr>
                <w:rFonts w:ascii="Arial" w:hAnsi="Arial" w:cs="Arial"/>
                <w:b w:val="0"/>
                <w:sz w:val="24"/>
                <w:szCs w:val="24"/>
              </w:rPr>
            </w:pPr>
          </w:p>
        </w:tc>
        <w:tc>
          <w:tcPr>
            <w:tcW w:w="987" w:type="dxa"/>
            <w:shd w:val="clear" w:color="auto" w:fill="auto"/>
            <w:vAlign w:val="center"/>
          </w:tcPr>
          <w:p w14:paraId="48FC8689"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62</w:t>
            </w:r>
          </w:p>
        </w:tc>
        <w:tc>
          <w:tcPr>
            <w:tcW w:w="846" w:type="dxa"/>
            <w:shd w:val="clear" w:color="auto" w:fill="auto"/>
            <w:tcMar>
              <w:left w:w="57" w:type="dxa"/>
              <w:right w:w="57" w:type="dxa"/>
            </w:tcMar>
            <w:vAlign w:val="center"/>
          </w:tcPr>
          <w:p w14:paraId="1AC21621" w14:textId="77777777" w:rsidR="003E5BF5" w:rsidRPr="0045675C" w:rsidRDefault="003E5BF5" w:rsidP="00DE1921">
            <w:pPr>
              <w:pStyle w:val="TableTextRightBold"/>
              <w:ind w:right="57"/>
              <w:rPr>
                <w:rFonts w:ascii="Arial" w:hAnsi="Arial" w:cs="Arial"/>
                <w:b w:val="0"/>
                <w:sz w:val="24"/>
                <w:szCs w:val="24"/>
              </w:rPr>
            </w:pPr>
            <w:r w:rsidRPr="0045675C">
              <w:rPr>
                <w:rFonts w:ascii="Arial" w:hAnsi="Arial" w:cs="Arial"/>
                <w:b w:val="0"/>
                <w:sz w:val="24"/>
                <w:szCs w:val="24"/>
              </w:rPr>
              <w:t>61.5</w:t>
            </w:r>
          </w:p>
        </w:tc>
      </w:tr>
    </w:tbl>
    <w:p w14:paraId="490AF6D8" w14:textId="77777777" w:rsidR="003E5BF5" w:rsidRPr="00E273FC" w:rsidRDefault="003E5BF5" w:rsidP="00DE1921">
      <w:pPr>
        <w:pStyle w:val="Note"/>
        <w:rPr>
          <w:rFonts w:ascii="Arial" w:hAnsi="Arial" w:cs="Arial"/>
          <w:sz w:val="24"/>
          <w:szCs w:val="24"/>
        </w:rPr>
      </w:pPr>
      <w:r w:rsidRPr="00E273FC">
        <w:rPr>
          <w:rFonts w:ascii="Arial" w:hAnsi="Arial" w:cs="Arial"/>
          <w:sz w:val="24"/>
          <w:szCs w:val="24"/>
        </w:rPr>
        <w:t>* headcount</w:t>
      </w:r>
    </w:p>
    <w:p w14:paraId="44ACAB4A" w14:textId="77777777" w:rsidR="003E5BF5" w:rsidRPr="00E273FC" w:rsidRDefault="003E5BF5">
      <w:pPr>
        <w:pStyle w:val="Note"/>
        <w:rPr>
          <w:rFonts w:ascii="Arial" w:hAnsi="Arial" w:cs="Arial"/>
          <w:sz w:val="24"/>
          <w:szCs w:val="24"/>
        </w:rPr>
      </w:pPr>
      <w:r w:rsidRPr="00E273FC">
        <w:rPr>
          <w:rFonts w:ascii="Arial" w:hAnsi="Arial" w:cs="Arial"/>
          <w:sz w:val="24"/>
          <w:szCs w:val="24"/>
        </w:rPr>
        <w:t>Notes:</w:t>
      </w:r>
    </w:p>
    <w:p w14:paraId="2F340229" w14:textId="77777777" w:rsidR="003E5BF5" w:rsidRPr="00E273FC" w:rsidRDefault="003E5BF5" w:rsidP="00610F5F">
      <w:pPr>
        <w:pStyle w:val="Notenumberingabc"/>
        <w:numPr>
          <w:ilvl w:val="0"/>
          <w:numId w:val="40"/>
        </w:numPr>
        <w:spacing w:before="0" w:line="360" w:lineRule="auto"/>
        <w:ind w:left="490" w:hanging="378"/>
        <w:contextualSpacing/>
        <w:rPr>
          <w:rFonts w:ascii="Arial" w:hAnsi="Arial" w:cs="Arial"/>
          <w:sz w:val="24"/>
          <w:szCs w:val="24"/>
        </w:rPr>
      </w:pPr>
      <w:r w:rsidRPr="00E273FC">
        <w:rPr>
          <w:rFonts w:ascii="Arial" w:hAnsi="Arial" w:cs="Arial"/>
          <w:sz w:val="24"/>
          <w:szCs w:val="24"/>
        </w:rPr>
        <w:t xml:space="preserve">The Suburban Rail Loop Authority was established effective 3 September 2019. </w:t>
      </w:r>
    </w:p>
    <w:p w14:paraId="7943B549" w14:textId="77777777" w:rsidR="003E5BF5" w:rsidRPr="00E273FC" w:rsidRDefault="003E5BF5" w:rsidP="00696A16">
      <w:pPr>
        <w:pStyle w:val="Notenumberingabc"/>
        <w:spacing w:before="0" w:line="360" w:lineRule="auto"/>
        <w:ind w:left="473" w:hanging="360"/>
        <w:contextualSpacing/>
        <w:rPr>
          <w:rFonts w:ascii="Arial" w:hAnsi="Arial" w:cs="Arial"/>
          <w:sz w:val="24"/>
          <w:szCs w:val="24"/>
        </w:rPr>
      </w:pPr>
      <w:r w:rsidRPr="00E273FC">
        <w:rPr>
          <w:rFonts w:ascii="Arial" w:hAnsi="Arial" w:cs="Arial"/>
          <w:sz w:val="24"/>
          <w:szCs w:val="24"/>
        </w:rPr>
        <w:t>FTE means full-time equivalent.</w:t>
      </w:r>
    </w:p>
    <w:p w14:paraId="358E9BEB" w14:textId="77777777" w:rsidR="003E5BF5" w:rsidRPr="00E273FC" w:rsidRDefault="003E5BF5" w:rsidP="00696A16">
      <w:pPr>
        <w:pStyle w:val="Notenumberingabc"/>
        <w:spacing w:before="0" w:line="360" w:lineRule="auto"/>
        <w:ind w:left="473" w:hanging="360"/>
        <w:contextualSpacing/>
        <w:rPr>
          <w:rFonts w:ascii="Arial" w:hAnsi="Arial" w:cs="Arial"/>
          <w:sz w:val="24"/>
          <w:szCs w:val="24"/>
        </w:rPr>
      </w:pPr>
      <w:r w:rsidRPr="00E273FC">
        <w:rPr>
          <w:rFonts w:ascii="Arial" w:hAnsi="Arial" w:cs="Arial"/>
          <w:sz w:val="24"/>
          <w:szCs w:val="24"/>
        </w:rPr>
        <w:t>All figures reflect employment levels during the last full pay period of June.</w:t>
      </w:r>
    </w:p>
    <w:p w14:paraId="3B005D83" w14:textId="621E15A6" w:rsidR="00FF59B2" w:rsidRDefault="003E5BF5" w:rsidP="00696A16">
      <w:pPr>
        <w:pStyle w:val="Notenumberingabc"/>
        <w:spacing w:before="0" w:line="360" w:lineRule="auto"/>
        <w:ind w:left="473" w:hanging="360"/>
        <w:contextualSpacing/>
        <w:rPr>
          <w:rFonts w:ascii="Arial" w:hAnsi="Arial" w:cs="Arial"/>
          <w:sz w:val="24"/>
          <w:szCs w:val="24"/>
        </w:rPr>
      </w:pPr>
      <w:r w:rsidRPr="00E273FC">
        <w:rPr>
          <w:rFonts w:ascii="Arial" w:hAnsi="Arial" w:cs="Arial"/>
          <w:sz w:val="24"/>
          <w:szCs w:val="24"/>
        </w:rPr>
        <w:t>Excluded are employees on leave without pay or absent on secondment, external contractors/consultants, temporary employees employed by employment agencies and statutory appointees.</w:t>
      </w:r>
      <w:r w:rsidR="00FF59B2">
        <w:rPr>
          <w:rFonts w:ascii="Arial" w:hAnsi="Arial" w:cs="Arial"/>
          <w:sz w:val="24"/>
          <w:szCs w:val="24"/>
        </w:rPr>
        <w:br w:type="page"/>
      </w:r>
    </w:p>
    <w:p w14:paraId="20A0DDAE" w14:textId="7E483E68" w:rsidR="003E5BF5" w:rsidRDefault="003E5BF5" w:rsidP="008A0170">
      <w:pPr>
        <w:pStyle w:val="Heading2"/>
      </w:pPr>
      <w:bookmarkStart w:id="790" w:name="p407"/>
      <w:bookmarkEnd w:id="790"/>
      <w:r w:rsidRPr="00194070">
        <w:lastRenderedPageBreak/>
        <w:t>Executive officer data</w:t>
      </w:r>
    </w:p>
    <w:p w14:paraId="1F17243F" w14:textId="77777777" w:rsidR="003E5BF5" w:rsidRDefault="003E5BF5" w:rsidP="00975561">
      <w:pPr>
        <w:pStyle w:val="aaatyping"/>
      </w:pPr>
      <w:r>
        <w:t xml:space="preserve">For a department, an executive officer (EO) is defined as a person employed as an executive under Part 3 of the </w:t>
      </w:r>
      <w:r w:rsidRPr="00924517">
        <w:rPr>
          <w:i/>
        </w:rPr>
        <w:t>Public Administration Act 2004</w:t>
      </w:r>
      <w:r>
        <w:t xml:space="preserve"> (PAA). For a public body, an EO is defined as an executive under Part 3 of the PAA or a person to whom the Victorian Government’s Policy on Executive Remuneration in Public Entities applies. All figures reflect employment levels at the last full pay period in June of the current and corresponding reporting year. The definition of an EO does not include a statutory office holder or an Accountable Officer.</w:t>
      </w:r>
    </w:p>
    <w:p w14:paraId="327F1761" w14:textId="759C5686" w:rsidR="003E5BF5" w:rsidRDefault="003E5BF5" w:rsidP="00975561">
      <w:pPr>
        <w:pStyle w:val="aaatyping"/>
      </w:pPr>
      <w:r>
        <w:t>The following tables disclose the EOs of the department and its portfolio agencies for 30 June 2020:</w:t>
      </w:r>
    </w:p>
    <w:p w14:paraId="50B0AE1E" w14:textId="77777777" w:rsidR="003E5BF5" w:rsidRDefault="003E5BF5" w:rsidP="00975561">
      <w:pPr>
        <w:pStyle w:val="aaabullet"/>
      </w:pPr>
      <w:r>
        <w:t>Tables 1, 5, and 8 disclose the total numbers of EOs broken down by gender for the department, Major Transport Infrastructure Authority (MTIA) and Suburban Rail Loop Authority (SRLA) respectively.</w:t>
      </w:r>
    </w:p>
    <w:p w14:paraId="2514927C" w14:textId="578F6906" w:rsidR="003E5BF5" w:rsidRDefault="003E5BF5" w:rsidP="00975561">
      <w:pPr>
        <w:pStyle w:val="aaabullet"/>
      </w:pPr>
      <w:r>
        <w:t>Tables 2, 6 and 9 provide a reconciliation of EO numbers presented between the report of operations and Note 9.8 ‘Reconciliation of executives’ in the financial statements for the department, MTIA and SRLA respectively.</w:t>
      </w:r>
    </w:p>
    <w:p w14:paraId="214473DE" w14:textId="53A7329D" w:rsidR="003E5BF5" w:rsidRDefault="003E5BF5" w:rsidP="00975561">
      <w:pPr>
        <w:pStyle w:val="aaabullet"/>
      </w:pPr>
      <w:r>
        <w:t>Tables 3, 7 and 10 disclose the annualised total salary categorised by classification. The salary amount is reported as the full-time annualised salary</w:t>
      </w:r>
      <w:r w:rsidRPr="00745C25">
        <w:t xml:space="preserve"> </w:t>
      </w:r>
      <w:r>
        <w:t>for the department, MTIA and SRLA respectively.</w:t>
      </w:r>
    </w:p>
    <w:p w14:paraId="5A1DD6CD" w14:textId="77777777" w:rsidR="003E5BF5" w:rsidRDefault="003E5BF5" w:rsidP="00975561">
      <w:pPr>
        <w:pStyle w:val="aaabullet"/>
      </w:pPr>
      <w:r>
        <w:t>Table 4 provides the total EO numbers for all of the department’s portfolio agencies.</w:t>
      </w:r>
    </w:p>
    <w:p w14:paraId="45C6576E" w14:textId="77777777" w:rsidR="003E5BF5" w:rsidRDefault="003E5BF5" w:rsidP="00975561">
      <w:pPr>
        <w:pStyle w:val="aaabullet"/>
        <w:sectPr w:rsidR="003E5BF5" w:rsidSect="00451455">
          <w:headerReference w:type="even" r:id="rId247"/>
          <w:headerReference w:type="default" r:id="rId248"/>
          <w:footerReference w:type="even" r:id="rId249"/>
          <w:headerReference w:type="first" r:id="rId250"/>
          <w:footerReference w:type="first" r:id="rId251"/>
          <w:type w:val="continuous"/>
          <w:pgSz w:w="11906" w:h="16838"/>
          <w:pgMar w:top="1701" w:right="1418" w:bottom="1418" w:left="1418" w:header="709" w:footer="709" w:gutter="0"/>
          <w:cols w:space="284"/>
          <w:docGrid w:linePitch="360"/>
        </w:sectPr>
      </w:pPr>
      <w:r>
        <w:t>Tables 1, 2, 4, 5, 6, 8 and 9 also disclose the variations, denoted by ‘var’, between the current and previous reporting periods.</w:t>
      </w:r>
    </w:p>
    <w:p w14:paraId="0C01CE52" w14:textId="77777777" w:rsidR="00451455" w:rsidRDefault="00451455" w:rsidP="008A0170">
      <w:pPr>
        <w:pStyle w:val="Heading3"/>
        <w:sectPr w:rsidR="00451455" w:rsidSect="00DE1921">
          <w:type w:val="continuous"/>
          <w:pgSz w:w="11906" w:h="16838"/>
          <w:pgMar w:top="1701" w:right="1418" w:bottom="1418" w:left="1418" w:header="709" w:footer="709" w:gutter="0"/>
          <w:cols w:space="284"/>
          <w:docGrid w:linePitch="360"/>
        </w:sectPr>
      </w:pPr>
    </w:p>
    <w:p w14:paraId="6514F272" w14:textId="69BCD344" w:rsidR="003E5BF5" w:rsidRPr="00194070" w:rsidRDefault="003E5BF5" w:rsidP="008A0170">
      <w:pPr>
        <w:pStyle w:val="Heading3"/>
      </w:pPr>
      <w:r w:rsidRPr="00194070">
        <w:lastRenderedPageBreak/>
        <w:t>Department of Transport</w:t>
      </w:r>
    </w:p>
    <w:p w14:paraId="6FA5F74C" w14:textId="77777777" w:rsidR="003E5BF5" w:rsidRPr="00E273FC" w:rsidRDefault="003E5BF5" w:rsidP="00CF74EB">
      <w:pPr>
        <w:pStyle w:val="TableHeader"/>
      </w:pPr>
      <w:r w:rsidRPr="00E273FC">
        <w:t>Table 1: Total number of executives broken down into gender</w:t>
      </w:r>
    </w:p>
    <w:tbl>
      <w:tblPr>
        <w:tblStyle w:val="TableGrid"/>
        <w:tblW w:w="9072" w:type="dxa"/>
        <w:tblLayout w:type="fixed"/>
        <w:tblLook w:val="04A0" w:firstRow="1" w:lastRow="0" w:firstColumn="1" w:lastColumn="0" w:noHBand="0" w:noVBand="1"/>
      </w:tblPr>
      <w:tblGrid>
        <w:gridCol w:w="1418"/>
        <w:gridCol w:w="851"/>
        <w:gridCol w:w="851"/>
        <w:gridCol w:w="284"/>
        <w:gridCol w:w="850"/>
        <w:gridCol w:w="850"/>
        <w:gridCol w:w="284"/>
        <w:gridCol w:w="850"/>
        <w:gridCol w:w="850"/>
        <w:gridCol w:w="284"/>
        <w:gridCol w:w="850"/>
        <w:gridCol w:w="850"/>
      </w:tblGrid>
      <w:tr w:rsidR="003E5BF5" w:rsidRPr="00E273FC" w14:paraId="60FDF8FA" w14:textId="77777777" w:rsidTr="0045675C">
        <w:trPr>
          <w:trHeight w:val="312"/>
        </w:trPr>
        <w:tc>
          <w:tcPr>
            <w:tcW w:w="1418" w:type="dxa"/>
            <w:tcMar>
              <w:left w:w="57" w:type="dxa"/>
              <w:right w:w="57" w:type="dxa"/>
            </w:tcMar>
            <w:vAlign w:val="center"/>
          </w:tcPr>
          <w:p w14:paraId="4D0D106D" w14:textId="77777777" w:rsidR="003E5BF5" w:rsidRPr="00E273FC" w:rsidRDefault="003E5BF5" w:rsidP="00DE1921">
            <w:pPr>
              <w:pStyle w:val="TableTextCentreBold"/>
              <w:rPr>
                <w:rFonts w:ascii="Arial" w:hAnsi="Arial" w:cs="Arial"/>
                <w:sz w:val="24"/>
                <w:szCs w:val="24"/>
              </w:rPr>
            </w:pPr>
          </w:p>
        </w:tc>
        <w:tc>
          <w:tcPr>
            <w:tcW w:w="1702" w:type="dxa"/>
            <w:gridSpan w:val="2"/>
            <w:shd w:val="clear" w:color="auto" w:fill="FFFFFF" w:themeFill="background1"/>
            <w:vAlign w:val="center"/>
          </w:tcPr>
          <w:p w14:paraId="093BFC25"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All</w:t>
            </w:r>
          </w:p>
        </w:tc>
        <w:tc>
          <w:tcPr>
            <w:tcW w:w="284" w:type="dxa"/>
            <w:shd w:val="clear" w:color="auto" w:fill="FFFFFF" w:themeFill="background1"/>
            <w:vAlign w:val="center"/>
          </w:tcPr>
          <w:p w14:paraId="5D44C30C" w14:textId="77777777" w:rsidR="003E5BF5" w:rsidRPr="00E273FC" w:rsidRDefault="003E5BF5" w:rsidP="00DE1921">
            <w:pPr>
              <w:pStyle w:val="TableTextCentreBold"/>
              <w:rPr>
                <w:rFonts w:ascii="Arial" w:hAnsi="Arial" w:cs="Arial"/>
                <w:sz w:val="24"/>
                <w:szCs w:val="24"/>
              </w:rPr>
            </w:pPr>
          </w:p>
        </w:tc>
        <w:tc>
          <w:tcPr>
            <w:tcW w:w="1700" w:type="dxa"/>
            <w:gridSpan w:val="2"/>
            <w:shd w:val="clear" w:color="auto" w:fill="FFFFFF" w:themeFill="background1"/>
            <w:vAlign w:val="center"/>
          </w:tcPr>
          <w:p w14:paraId="31FB98A0"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Man</w:t>
            </w:r>
          </w:p>
        </w:tc>
        <w:tc>
          <w:tcPr>
            <w:tcW w:w="284" w:type="dxa"/>
            <w:shd w:val="clear" w:color="auto" w:fill="FFFFFF" w:themeFill="background1"/>
            <w:vAlign w:val="center"/>
          </w:tcPr>
          <w:p w14:paraId="1C1AEFDE" w14:textId="77777777" w:rsidR="003E5BF5" w:rsidRPr="00E273FC" w:rsidRDefault="003E5BF5" w:rsidP="00DE1921">
            <w:pPr>
              <w:pStyle w:val="TableTextCentreBold"/>
              <w:rPr>
                <w:rFonts w:ascii="Arial" w:hAnsi="Arial" w:cs="Arial"/>
                <w:sz w:val="24"/>
                <w:szCs w:val="24"/>
              </w:rPr>
            </w:pPr>
          </w:p>
        </w:tc>
        <w:tc>
          <w:tcPr>
            <w:tcW w:w="1700" w:type="dxa"/>
            <w:gridSpan w:val="2"/>
            <w:shd w:val="clear" w:color="auto" w:fill="FFFFFF" w:themeFill="background1"/>
            <w:vAlign w:val="center"/>
          </w:tcPr>
          <w:p w14:paraId="5070E4E6"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Woman</w:t>
            </w:r>
          </w:p>
        </w:tc>
        <w:tc>
          <w:tcPr>
            <w:tcW w:w="284" w:type="dxa"/>
            <w:shd w:val="clear" w:color="auto" w:fill="FFFFFF" w:themeFill="background1"/>
            <w:vAlign w:val="center"/>
          </w:tcPr>
          <w:p w14:paraId="160A2FD0" w14:textId="77777777" w:rsidR="003E5BF5" w:rsidRPr="00E273FC" w:rsidRDefault="003E5BF5" w:rsidP="00DE1921">
            <w:pPr>
              <w:pStyle w:val="TableTextCentreBold"/>
              <w:rPr>
                <w:rFonts w:ascii="Arial" w:hAnsi="Arial" w:cs="Arial"/>
                <w:sz w:val="24"/>
                <w:szCs w:val="24"/>
              </w:rPr>
            </w:pPr>
          </w:p>
        </w:tc>
        <w:tc>
          <w:tcPr>
            <w:tcW w:w="1700" w:type="dxa"/>
            <w:gridSpan w:val="2"/>
            <w:shd w:val="clear" w:color="auto" w:fill="FFFFFF" w:themeFill="background1"/>
            <w:tcMar>
              <w:left w:w="57" w:type="dxa"/>
              <w:right w:w="57" w:type="dxa"/>
            </w:tcMar>
            <w:vAlign w:val="center"/>
          </w:tcPr>
          <w:p w14:paraId="1FD8F364"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Self-described</w:t>
            </w:r>
          </w:p>
        </w:tc>
      </w:tr>
      <w:tr w:rsidR="003E5BF5" w:rsidRPr="00E273FC" w14:paraId="6C43329D" w14:textId="77777777" w:rsidTr="0045675C">
        <w:trPr>
          <w:trHeight w:val="312"/>
        </w:trPr>
        <w:tc>
          <w:tcPr>
            <w:tcW w:w="1418" w:type="dxa"/>
            <w:tcMar>
              <w:left w:w="57" w:type="dxa"/>
              <w:right w:w="57" w:type="dxa"/>
            </w:tcMar>
            <w:vAlign w:val="center"/>
          </w:tcPr>
          <w:p w14:paraId="0A456AC3"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Class</w:t>
            </w:r>
          </w:p>
        </w:tc>
        <w:tc>
          <w:tcPr>
            <w:tcW w:w="851" w:type="dxa"/>
            <w:shd w:val="clear" w:color="auto" w:fill="FFFFFF" w:themeFill="background1"/>
            <w:vAlign w:val="center"/>
          </w:tcPr>
          <w:p w14:paraId="241D697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w:t>
            </w:r>
          </w:p>
        </w:tc>
        <w:tc>
          <w:tcPr>
            <w:tcW w:w="851" w:type="dxa"/>
            <w:shd w:val="clear" w:color="auto" w:fill="FFFFFF" w:themeFill="background1"/>
            <w:vAlign w:val="center"/>
          </w:tcPr>
          <w:p w14:paraId="1763138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 </w:t>
            </w:r>
          </w:p>
        </w:tc>
        <w:tc>
          <w:tcPr>
            <w:tcW w:w="284" w:type="dxa"/>
            <w:shd w:val="clear" w:color="auto" w:fill="FFFFFF" w:themeFill="background1"/>
            <w:vAlign w:val="center"/>
          </w:tcPr>
          <w:p w14:paraId="4EF01494"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vAlign w:val="center"/>
          </w:tcPr>
          <w:p w14:paraId="6B524E0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w:t>
            </w:r>
          </w:p>
        </w:tc>
        <w:tc>
          <w:tcPr>
            <w:tcW w:w="850" w:type="dxa"/>
            <w:shd w:val="clear" w:color="auto" w:fill="FFFFFF" w:themeFill="background1"/>
            <w:vAlign w:val="center"/>
          </w:tcPr>
          <w:p w14:paraId="4F8746D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w:t>
            </w:r>
          </w:p>
        </w:tc>
        <w:tc>
          <w:tcPr>
            <w:tcW w:w="284" w:type="dxa"/>
            <w:shd w:val="clear" w:color="auto" w:fill="FFFFFF" w:themeFill="background1"/>
            <w:vAlign w:val="center"/>
          </w:tcPr>
          <w:p w14:paraId="13B5953A"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vAlign w:val="center"/>
          </w:tcPr>
          <w:p w14:paraId="382A93D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w:t>
            </w:r>
          </w:p>
        </w:tc>
        <w:tc>
          <w:tcPr>
            <w:tcW w:w="850" w:type="dxa"/>
            <w:shd w:val="clear" w:color="auto" w:fill="FFFFFF" w:themeFill="background1"/>
            <w:vAlign w:val="center"/>
          </w:tcPr>
          <w:p w14:paraId="547724D4"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w:t>
            </w:r>
          </w:p>
        </w:tc>
        <w:tc>
          <w:tcPr>
            <w:tcW w:w="284" w:type="dxa"/>
            <w:shd w:val="clear" w:color="auto" w:fill="FFFFFF" w:themeFill="background1"/>
            <w:vAlign w:val="center"/>
          </w:tcPr>
          <w:p w14:paraId="79CCC4E9"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tcMar>
              <w:left w:w="57" w:type="dxa"/>
              <w:right w:w="57" w:type="dxa"/>
            </w:tcMar>
            <w:vAlign w:val="center"/>
          </w:tcPr>
          <w:p w14:paraId="3FAB0E1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w:t>
            </w:r>
          </w:p>
        </w:tc>
        <w:tc>
          <w:tcPr>
            <w:tcW w:w="850" w:type="dxa"/>
            <w:shd w:val="clear" w:color="auto" w:fill="FFFFFF" w:themeFill="background1"/>
            <w:tcMar>
              <w:left w:w="57" w:type="dxa"/>
              <w:right w:w="57" w:type="dxa"/>
            </w:tcMar>
            <w:vAlign w:val="center"/>
          </w:tcPr>
          <w:p w14:paraId="2047598D"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w:t>
            </w:r>
          </w:p>
        </w:tc>
      </w:tr>
      <w:tr w:rsidR="003E5BF5" w:rsidRPr="00E273FC" w14:paraId="21711AEE" w14:textId="77777777" w:rsidTr="0045675C">
        <w:trPr>
          <w:trHeight w:val="312"/>
        </w:trPr>
        <w:tc>
          <w:tcPr>
            <w:tcW w:w="1418" w:type="dxa"/>
            <w:tcMar>
              <w:left w:w="57" w:type="dxa"/>
              <w:right w:w="57" w:type="dxa"/>
            </w:tcMar>
            <w:vAlign w:val="center"/>
          </w:tcPr>
          <w:p w14:paraId="68F99A4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EO-1</w:t>
            </w:r>
          </w:p>
        </w:tc>
        <w:tc>
          <w:tcPr>
            <w:tcW w:w="851" w:type="dxa"/>
            <w:shd w:val="clear" w:color="auto" w:fill="FFFFFF" w:themeFill="background1"/>
            <w:vAlign w:val="center"/>
          </w:tcPr>
          <w:p w14:paraId="4AA1AA7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7</w:t>
            </w:r>
          </w:p>
        </w:tc>
        <w:tc>
          <w:tcPr>
            <w:tcW w:w="851" w:type="dxa"/>
            <w:shd w:val="clear" w:color="auto" w:fill="FFFFFF" w:themeFill="background1"/>
            <w:vAlign w:val="center"/>
          </w:tcPr>
          <w:p w14:paraId="37160C1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w:t>
            </w:r>
          </w:p>
        </w:tc>
        <w:tc>
          <w:tcPr>
            <w:tcW w:w="284" w:type="dxa"/>
            <w:shd w:val="clear" w:color="auto" w:fill="FFFFFF" w:themeFill="background1"/>
            <w:vAlign w:val="center"/>
          </w:tcPr>
          <w:p w14:paraId="63DAE5A2"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5FA86DC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w:t>
            </w:r>
          </w:p>
        </w:tc>
        <w:tc>
          <w:tcPr>
            <w:tcW w:w="850" w:type="dxa"/>
            <w:shd w:val="clear" w:color="auto" w:fill="FFFFFF" w:themeFill="background1"/>
            <w:vAlign w:val="center"/>
          </w:tcPr>
          <w:p w14:paraId="5B88B47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c>
          <w:tcPr>
            <w:tcW w:w="284" w:type="dxa"/>
            <w:shd w:val="clear" w:color="auto" w:fill="FFFFFF" w:themeFill="background1"/>
            <w:vAlign w:val="center"/>
          </w:tcPr>
          <w:p w14:paraId="26807AD9"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29F5981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c>
          <w:tcPr>
            <w:tcW w:w="850" w:type="dxa"/>
            <w:shd w:val="clear" w:color="auto" w:fill="FFFFFF" w:themeFill="background1"/>
            <w:vAlign w:val="center"/>
          </w:tcPr>
          <w:p w14:paraId="4DD8B29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c>
          <w:tcPr>
            <w:tcW w:w="284" w:type="dxa"/>
            <w:shd w:val="clear" w:color="auto" w:fill="FFFFFF" w:themeFill="background1"/>
            <w:vAlign w:val="center"/>
          </w:tcPr>
          <w:p w14:paraId="0D4793C9"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tcMar>
              <w:left w:w="57" w:type="dxa"/>
              <w:right w:w="57" w:type="dxa"/>
            </w:tcMar>
            <w:vAlign w:val="center"/>
          </w:tcPr>
          <w:p w14:paraId="0DFD4C7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tcMar>
              <w:left w:w="57" w:type="dxa"/>
              <w:right w:w="57" w:type="dxa"/>
            </w:tcMar>
            <w:vAlign w:val="center"/>
          </w:tcPr>
          <w:p w14:paraId="496ACE1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1641278D" w14:textId="77777777" w:rsidTr="0045675C">
        <w:trPr>
          <w:trHeight w:val="312"/>
        </w:trPr>
        <w:tc>
          <w:tcPr>
            <w:tcW w:w="1418" w:type="dxa"/>
            <w:tcMar>
              <w:left w:w="57" w:type="dxa"/>
              <w:right w:w="57" w:type="dxa"/>
            </w:tcMar>
            <w:vAlign w:val="center"/>
          </w:tcPr>
          <w:p w14:paraId="0B22D662"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EO-2</w:t>
            </w:r>
          </w:p>
        </w:tc>
        <w:tc>
          <w:tcPr>
            <w:tcW w:w="851" w:type="dxa"/>
            <w:shd w:val="clear" w:color="auto" w:fill="FFFFFF" w:themeFill="background1"/>
            <w:vAlign w:val="center"/>
          </w:tcPr>
          <w:p w14:paraId="528730B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50</w:t>
            </w:r>
          </w:p>
        </w:tc>
        <w:tc>
          <w:tcPr>
            <w:tcW w:w="851" w:type="dxa"/>
            <w:shd w:val="clear" w:color="auto" w:fill="FFFFFF" w:themeFill="background1"/>
            <w:vAlign w:val="center"/>
          </w:tcPr>
          <w:p w14:paraId="276592E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29</w:t>
            </w:r>
          </w:p>
        </w:tc>
        <w:tc>
          <w:tcPr>
            <w:tcW w:w="284" w:type="dxa"/>
            <w:shd w:val="clear" w:color="auto" w:fill="FFFFFF" w:themeFill="background1"/>
            <w:vAlign w:val="center"/>
          </w:tcPr>
          <w:p w14:paraId="7EC1BCB9"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6971FB5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35</w:t>
            </w:r>
          </w:p>
        </w:tc>
        <w:tc>
          <w:tcPr>
            <w:tcW w:w="850" w:type="dxa"/>
            <w:shd w:val="clear" w:color="auto" w:fill="FFFFFF" w:themeFill="background1"/>
            <w:vAlign w:val="center"/>
          </w:tcPr>
          <w:p w14:paraId="54C5303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w:t>
            </w:r>
          </w:p>
        </w:tc>
        <w:tc>
          <w:tcPr>
            <w:tcW w:w="284" w:type="dxa"/>
            <w:shd w:val="clear" w:color="auto" w:fill="FFFFFF" w:themeFill="background1"/>
            <w:vAlign w:val="center"/>
          </w:tcPr>
          <w:p w14:paraId="2BD7C3D7"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0F80CD6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15</w:t>
            </w:r>
          </w:p>
        </w:tc>
        <w:tc>
          <w:tcPr>
            <w:tcW w:w="850" w:type="dxa"/>
            <w:shd w:val="clear" w:color="auto" w:fill="FFFFFF" w:themeFill="background1"/>
            <w:vAlign w:val="center"/>
          </w:tcPr>
          <w:p w14:paraId="5B538D2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w:t>
            </w:r>
          </w:p>
        </w:tc>
        <w:tc>
          <w:tcPr>
            <w:tcW w:w="284" w:type="dxa"/>
            <w:shd w:val="clear" w:color="auto" w:fill="FFFFFF" w:themeFill="background1"/>
            <w:vAlign w:val="center"/>
          </w:tcPr>
          <w:p w14:paraId="2F5BE51E"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tcMar>
              <w:left w:w="57" w:type="dxa"/>
              <w:right w:w="57" w:type="dxa"/>
            </w:tcMar>
            <w:vAlign w:val="center"/>
          </w:tcPr>
          <w:p w14:paraId="73718DB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tcMar>
              <w:left w:w="57" w:type="dxa"/>
              <w:right w:w="57" w:type="dxa"/>
            </w:tcMar>
            <w:vAlign w:val="center"/>
          </w:tcPr>
          <w:p w14:paraId="6656427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1905C15F" w14:textId="77777777" w:rsidTr="0045675C">
        <w:trPr>
          <w:trHeight w:val="312"/>
        </w:trPr>
        <w:tc>
          <w:tcPr>
            <w:tcW w:w="1418" w:type="dxa"/>
            <w:tcMar>
              <w:left w:w="57" w:type="dxa"/>
              <w:right w:w="57" w:type="dxa"/>
            </w:tcMar>
            <w:vAlign w:val="center"/>
          </w:tcPr>
          <w:p w14:paraId="5C970EE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EO-3</w:t>
            </w:r>
          </w:p>
        </w:tc>
        <w:tc>
          <w:tcPr>
            <w:tcW w:w="851" w:type="dxa"/>
            <w:shd w:val="clear" w:color="auto" w:fill="FFFFFF" w:themeFill="background1"/>
            <w:vAlign w:val="center"/>
          </w:tcPr>
          <w:p w14:paraId="2A23CD7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84</w:t>
            </w:r>
          </w:p>
        </w:tc>
        <w:tc>
          <w:tcPr>
            <w:tcW w:w="851" w:type="dxa"/>
            <w:shd w:val="clear" w:color="auto" w:fill="FFFFFF" w:themeFill="background1"/>
            <w:vAlign w:val="center"/>
          </w:tcPr>
          <w:p w14:paraId="3A8D6F3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57</w:t>
            </w:r>
          </w:p>
        </w:tc>
        <w:tc>
          <w:tcPr>
            <w:tcW w:w="284" w:type="dxa"/>
            <w:shd w:val="clear" w:color="auto" w:fill="FFFFFF" w:themeFill="background1"/>
            <w:vAlign w:val="center"/>
          </w:tcPr>
          <w:p w14:paraId="5EF0AB42"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51E6DCB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47</w:t>
            </w:r>
          </w:p>
        </w:tc>
        <w:tc>
          <w:tcPr>
            <w:tcW w:w="850" w:type="dxa"/>
            <w:shd w:val="clear" w:color="auto" w:fill="FFFFFF" w:themeFill="background1"/>
            <w:vAlign w:val="center"/>
          </w:tcPr>
          <w:p w14:paraId="20AF2FB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36</w:t>
            </w:r>
          </w:p>
        </w:tc>
        <w:tc>
          <w:tcPr>
            <w:tcW w:w="284" w:type="dxa"/>
            <w:shd w:val="clear" w:color="auto" w:fill="FFFFFF" w:themeFill="background1"/>
            <w:vAlign w:val="center"/>
          </w:tcPr>
          <w:p w14:paraId="7BC6D014"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1529837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37</w:t>
            </w:r>
          </w:p>
        </w:tc>
        <w:tc>
          <w:tcPr>
            <w:tcW w:w="850" w:type="dxa"/>
            <w:shd w:val="clear" w:color="auto" w:fill="FFFFFF" w:themeFill="background1"/>
            <w:vAlign w:val="center"/>
          </w:tcPr>
          <w:p w14:paraId="74A5D50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21</w:t>
            </w:r>
          </w:p>
        </w:tc>
        <w:tc>
          <w:tcPr>
            <w:tcW w:w="284" w:type="dxa"/>
            <w:shd w:val="clear" w:color="auto" w:fill="FFFFFF" w:themeFill="background1"/>
            <w:vAlign w:val="center"/>
          </w:tcPr>
          <w:p w14:paraId="18EA7B76"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tcMar>
              <w:left w:w="57" w:type="dxa"/>
              <w:right w:w="57" w:type="dxa"/>
            </w:tcMar>
            <w:vAlign w:val="center"/>
          </w:tcPr>
          <w:p w14:paraId="768F128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tcMar>
              <w:left w:w="57" w:type="dxa"/>
              <w:right w:w="57" w:type="dxa"/>
            </w:tcMar>
            <w:vAlign w:val="center"/>
          </w:tcPr>
          <w:p w14:paraId="69C72C9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7919D59A" w14:textId="77777777" w:rsidTr="0045675C">
        <w:trPr>
          <w:trHeight w:val="312"/>
        </w:trPr>
        <w:tc>
          <w:tcPr>
            <w:tcW w:w="1418" w:type="dxa"/>
            <w:tcMar>
              <w:left w:w="57" w:type="dxa"/>
              <w:right w:w="57" w:type="dxa"/>
            </w:tcMar>
            <w:vAlign w:val="center"/>
          </w:tcPr>
          <w:p w14:paraId="0CD8154F"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w:t>
            </w:r>
          </w:p>
        </w:tc>
        <w:tc>
          <w:tcPr>
            <w:tcW w:w="851" w:type="dxa"/>
            <w:shd w:val="clear" w:color="auto" w:fill="FFFFFF" w:themeFill="background1"/>
            <w:vAlign w:val="center"/>
          </w:tcPr>
          <w:p w14:paraId="58B6293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141</w:t>
            </w:r>
          </w:p>
        </w:tc>
        <w:tc>
          <w:tcPr>
            <w:tcW w:w="851" w:type="dxa"/>
            <w:shd w:val="clear" w:color="auto" w:fill="FFFFFF" w:themeFill="background1"/>
            <w:vAlign w:val="center"/>
          </w:tcPr>
          <w:p w14:paraId="5F58726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92</w:t>
            </w:r>
          </w:p>
        </w:tc>
        <w:tc>
          <w:tcPr>
            <w:tcW w:w="284" w:type="dxa"/>
            <w:shd w:val="clear" w:color="auto" w:fill="FFFFFF" w:themeFill="background1"/>
            <w:vAlign w:val="center"/>
          </w:tcPr>
          <w:p w14:paraId="5F28EB0C"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vAlign w:val="center"/>
          </w:tcPr>
          <w:p w14:paraId="3FCE163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86</w:t>
            </w:r>
          </w:p>
        </w:tc>
        <w:tc>
          <w:tcPr>
            <w:tcW w:w="850" w:type="dxa"/>
            <w:shd w:val="clear" w:color="auto" w:fill="FFFFFF" w:themeFill="background1"/>
            <w:vAlign w:val="center"/>
          </w:tcPr>
          <w:p w14:paraId="6036C9D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59</w:t>
            </w:r>
          </w:p>
        </w:tc>
        <w:tc>
          <w:tcPr>
            <w:tcW w:w="284" w:type="dxa"/>
            <w:shd w:val="clear" w:color="auto" w:fill="FFFFFF" w:themeFill="background1"/>
            <w:vAlign w:val="center"/>
          </w:tcPr>
          <w:p w14:paraId="30EA2E19"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vAlign w:val="center"/>
          </w:tcPr>
          <w:p w14:paraId="22F74BA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55</w:t>
            </w:r>
          </w:p>
        </w:tc>
        <w:tc>
          <w:tcPr>
            <w:tcW w:w="850" w:type="dxa"/>
            <w:shd w:val="clear" w:color="auto" w:fill="FFFFFF" w:themeFill="background1"/>
            <w:vAlign w:val="center"/>
          </w:tcPr>
          <w:p w14:paraId="041D0B1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33</w:t>
            </w:r>
          </w:p>
        </w:tc>
        <w:tc>
          <w:tcPr>
            <w:tcW w:w="284" w:type="dxa"/>
            <w:shd w:val="clear" w:color="auto" w:fill="FFFFFF" w:themeFill="background1"/>
            <w:vAlign w:val="center"/>
          </w:tcPr>
          <w:p w14:paraId="693F8CFB"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tcMar>
              <w:left w:w="57" w:type="dxa"/>
              <w:right w:w="57" w:type="dxa"/>
            </w:tcMar>
            <w:vAlign w:val="center"/>
          </w:tcPr>
          <w:p w14:paraId="46105D4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tcMar>
              <w:left w:w="57" w:type="dxa"/>
              <w:right w:w="57" w:type="dxa"/>
            </w:tcMar>
            <w:vAlign w:val="center"/>
          </w:tcPr>
          <w:p w14:paraId="7CD7AD2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r>
    </w:tbl>
    <w:p w14:paraId="6F2476A5" w14:textId="77777777" w:rsidR="003E5BF5" w:rsidRPr="00E273FC" w:rsidRDefault="003E5BF5" w:rsidP="00DE1921">
      <w:pPr>
        <w:pStyle w:val="Note"/>
        <w:rPr>
          <w:rFonts w:ascii="Arial" w:hAnsi="Arial" w:cs="Arial"/>
          <w:sz w:val="24"/>
          <w:szCs w:val="24"/>
        </w:rPr>
      </w:pPr>
      <w:r w:rsidRPr="00E273FC">
        <w:rPr>
          <w:rFonts w:ascii="Arial" w:hAnsi="Arial" w:cs="Arial"/>
          <w:sz w:val="24"/>
          <w:szCs w:val="24"/>
        </w:rPr>
        <w:t>Note:</w:t>
      </w:r>
    </w:p>
    <w:p w14:paraId="64E881F7" w14:textId="4A93BADE" w:rsidR="003E5BF5" w:rsidRPr="00E273FC" w:rsidRDefault="003E5BF5" w:rsidP="00610F5F">
      <w:pPr>
        <w:pStyle w:val="Notenumber123"/>
        <w:numPr>
          <w:ilvl w:val="0"/>
          <w:numId w:val="41"/>
        </w:numPr>
        <w:spacing w:after="0" w:line="360" w:lineRule="auto"/>
        <w:ind w:left="426" w:hanging="284"/>
        <w:contextualSpacing/>
        <w:rPr>
          <w:rFonts w:ascii="Arial" w:hAnsi="Arial" w:cs="Arial"/>
          <w:sz w:val="24"/>
          <w:szCs w:val="24"/>
        </w:rPr>
      </w:pPr>
      <w:r w:rsidRPr="00E273FC">
        <w:rPr>
          <w:rFonts w:ascii="Arial" w:hAnsi="Arial" w:cs="Arial"/>
          <w:sz w:val="24"/>
          <w:szCs w:val="24"/>
        </w:rPr>
        <w:t>The Secretary (as the Accountable Officer) is not included in the above table.</w:t>
      </w:r>
    </w:p>
    <w:p w14:paraId="461DCA32" w14:textId="01AABE03" w:rsidR="003E5BF5" w:rsidRDefault="003E5BF5" w:rsidP="00975561">
      <w:pPr>
        <w:pStyle w:val="aaatyping"/>
      </w:pPr>
      <w:r w:rsidRPr="007C3B47">
        <w:t xml:space="preserve">As a result of a </w:t>
      </w:r>
      <w:r>
        <w:t>Machinery-of-Government (</w:t>
      </w:r>
      <w:proofErr w:type="spellStart"/>
      <w:r w:rsidRPr="007C3B47">
        <w:t>MoG</w:t>
      </w:r>
      <w:proofErr w:type="spellEnd"/>
      <w:r>
        <w:t>)</w:t>
      </w:r>
      <w:r w:rsidRPr="007C3B47">
        <w:t xml:space="preserve"> change effective 1 J</w:t>
      </w:r>
      <w:r>
        <w:t xml:space="preserve">uly </w:t>
      </w:r>
      <w:r w:rsidRPr="007C3B47">
        <w:t xml:space="preserve">2019, the Department of </w:t>
      </w:r>
      <w:r>
        <w:t>Transport, Public Transport Victoria and parts of VicRoads came together to form a new, integrated Department of Transport.</w:t>
      </w:r>
      <w:r w:rsidRPr="007C3B47">
        <w:t xml:space="preserve"> </w:t>
      </w:r>
    </w:p>
    <w:p w14:paraId="7FE2B2E2" w14:textId="77777777" w:rsidR="003E5BF5" w:rsidRDefault="003E5BF5" w:rsidP="00975561">
      <w:pPr>
        <w:pStyle w:val="aaatyping"/>
      </w:pPr>
      <w:r>
        <w:t xml:space="preserve">In accordance with a determination by the Assistant Treasurer pursuant to section 53 of the </w:t>
      </w:r>
      <w:r w:rsidRPr="00203490">
        <w:rPr>
          <w:i/>
        </w:rPr>
        <w:t>Financial Management Act 1994</w:t>
      </w:r>
      <w:r>
        <w:t>, enabling consolidation of information provided by VicRoads into the Department of Transport’s annual report from the 2019-20 financial year, EOs remaining within VicRoads are included in the department EO numbers.</w:t>
      </w:r>
    </w:p>
    <w:p w14:paraId="4BFB8F9E" w14:textId="77777777" w:rsidR="000F305A" w:rsidRDefault="003E5BF5" w:rsidP="00975561">
      <w:pPr>
        <w:pStyle w:val="aaatyping"/>
      </w:pPr>
      <w:r>
        <w:t xml:space="preserve">Table 1 above </w:t>
      </w:r>
      <w:r w:rsidRPr="007C3B47">
        <w:t>captures EO numbers and variation</w:t>
      </w:r>
      <w:r>
        <w:t>s</w:t>
      </w:r>
      <w:r w:rsidRPr="007C3B47">
        <w:t xml:space="preserve"> from </w:t>
      </w:r>
      <w:r>
        <w:t xml:space="preserve">30 June </w:t>
      </w:r>
      <w:r w:rsidRPr="007C3B47">
        <w:t>201</w:t>
      </w:r>
      <w:r>
        <w:t>9 as reported in the Department of Transport’s Annual Report 2018-19</w:t>
      </w:r>
      <w:r w:rsidRPr="007C3B47">
        <w:t>.</w:t>
      </w:r>
      <w:r>
        <w:t xml:space="preserve"> </w:t>
      </w:r>
    </w:p>
    <w:p w14:paraId="36F57652" w14:textId="7CF8E3F7" w:rsidR="003E5BF5" w:rsidRDefault="003E5BF5" w:rsidP="00975561">
      <w:pPr>
        <w:pStyle w:val="aaatyping"/>
      </w:pPr>
      <w:r>
        <w:t>A total of 134 EOs were employed by the new Department of Transport and VicRoads on 1 July 2019, comprised from the former Department of Transport (50), VicRoads (47) and Public Transport Victoria (37).</w:t>
      </w:r>
    </w:p>
    <w:p w14:paraId="01C90920" w14:textId="4740A0AF" w:rsidR="003E5BF5" w:rsidRDefault="003E5BF5" w:rsidP="00975561">
      <w:pPr>
        <w:pStyle w:val="aaatyping"/>
      </w:pPr>
      <w:r w:rsidRPr="00E37E1C">
        <w:t xml:space="preserve">The number of </w:t>
      </w:r>
      <w:r>
        <w:t>EOs</w:t>
      </w:r>
      <w:r w:rsidRPr="00E37E1C">
        <w:t xml:space="preserve"> in the report of operations is based on the number of </w:t>
      </w:r>
      <w:r>
        <w:t>EO</w:t>
      </w:r>
      <w:r w:rsidRPr="00E37E1C">
        <w:t xml:space="preserve"> positions that are occupied at the end of the financial year. Note 9.8 in the financial statements lists the actual number of EOs and the total remuneration paid to EOs over the course of the reporting period. The </w:t>
      </w:r>
      <w:r w:rsidRPr="00E37E1C">
        <w:lastRenderedPageBreak/>
        <w:t xml:space="preserve">financial statements note does not include the Accountable Officer, nor does it distinguish between executive levels or disclose separations. Separations are </w:t>
      </w:r>
      <w:r>
        <w:t>EO</w:t>
      </w:r>
      <w:r w:rsidRPr="00E37E1C">
        <w:t>s who have left the department during the relevant reporting period. To assist readers, these two disclosures are reconciled below.</w:t>
      </w:r>
    </w:p>
    <w:p w14:paraId="127B0E5B" w14:textId="391F846B" w:rsidR="003E5BF5" w:rsidRPr="00E273FC" w:rsidRDefault="003E5BF5" w:rsidP="00CF74EB">
      <w:pPr>
        <w:pStyle w:val="TableHeader"/>
      </w:pPr>
      <w:r w:rsidRPr="00E273FC">
        <w:t>Table 2: Reconciliation of executive numbers</w:t>
      </w:r>
    </w:p>
    <w:tbl>
      <w:tblPr>
        <w:tblStyle w:val="TableGrid"/>
        <w:tblW w:w="9072" w:type="dxa"/>
        <w:tblLayout w:type="fixed"/>
        <w:tblLook w:val="04A0" w:firstRow="1" w:lastRow="0" w:firstColumn="1" w:lastColumn="0" w:noHBand="0" w:noVBand="1"/>
      </w:tblPr>
      <w:tblGrid>
        <w:gridCol w:w="6804"/>
        <w:gridCol w:w="1134"/>
        <w:gridCol w:w="1134"/>
      </w:tblGrid>
      <w:tr w:rsidR="003E5BF5" w:rsidRPr="00E273FC" w14:paraId="570B3EAA" w14:textId="77777777" w:rsidTr="00436354">
        <w:trPr>
          <w:trHeight w:hRule="exact" w:val="312"/>
        </w:trPr>
        <w:tc>
          <w:tcPr>
            <w:tcW w:w="6804" w:type="dxa"/>
            <w:shd w:val="clear" w:color="auto" w:fill="auto"/>
            <w:tcMar>
              <w:left w:w="57" w:type="dxa"/>
              <w:right w:w="57" w:type="dxa"/>
            </w:tcMar>
            <w:vAlign w:val="center"/>
          </w:tcPr>
          <w:p w14:paraId="15E27707" w14:textId="77777777" w:rsidR="003E5BF5" w:rsidRPr="00E273FC" w:rsidRDefault="003E5BF5" w:rsidP="00DE1921">
            <w:pPr>
              <w:pStyle w:val="TableTextLeft"/>
              <w:rPr>
                <w:rFonts w:ascii="Arial" w:hAnsi="Arial" w:cs="Arial"/>
                <w:sz w:val="24"/>
                <w:szCs w:val="24"/>
              </w:rPr>
            </w:pPr>
          </w:p>
        </w:tc>
        <w:tc>
          <w:tcPr>
            <w:tcW w:w="1134" w:type="dxa"/>
            <w:shd w:val="clear" w:color="auto" w:fill="auto"/>
            <w:tcMar>
              <w:left w:w="57" w:type="dxa"/>
              <w:right w:w="57" w:type="dxa"/>
            </w:tcMar>
            <w:vAlign w:val="center"/>
          </w:tcPr>
          <w:p w14:paraId="2BFD035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2020</w:t>
            </w:r>
          </w:p>
        </w:tc>
        <w:tc>
          <w:tcPr>
            <w:tcW w:w="1134" w:type="dxa"/>
            <w:shd w:val="clear" w:color="auto" w:fill="auto"/>
            <w:vAlign w:val="center"/>
          </w:tcPr>
          <w:p w14:paraId="2475D22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2019</w:t>
            </w:r>
          </w:p>
        </w:tc>
      </w:tr>
      <w:tr w:rsidR="003E5BF5" w:rsidRPr="00E273FC" w14:paraId="4713ECE1" w14:textId="77777777" w:rsidTr="00436354">
        <w:trPr>
          <w:trHeight w:hRule="exact" w:val="312"/>
        </w:trPr>
        <w:tc>
          <w:tcPr>
            <w:tcW w:w="6804" w:type="dxa"/>
            <w:shd w:val="clear" w:color="auto" w:fill="auto"/>
            <w:tcMar>
              <w:left w:w="57" w:type="dxa"/>
              <w:right w:w="57" w:type="dxa"/>
            </w:tcMar>
            <w:vAlign w:val="center"/>
          </w:tcPr>
          <w:p w14:paraId="656FD13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Executives</w:t>
            </w:r>
          </w:p>
        </w:tc>
        <w:tc>
          <w:tcPr>
            <w:tcW w:w="1134" w:type="dxa"/>
            <w:shd w:val="clear" w:color="auto" w:fill="auto"/>
            <w:tcMar>
              <w:left w:w="57" w:type="dxa"/>
              <w:right w:w="57" w:type="dxa"/>
            </w:tcMar>
            <w:vAlign w:val="center"/>
          </w:tcPr>
          <w:p w14:paraId="0DB9A2BE"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196</w:t>
            </w:r>
          </w:p>
        </w:tc>
        <w:tc>
          <w:tcPr>
            <w:tcW w:w="1134" w:type="dxa"/>
            <w:shd w:val="clear" w:color="auto" w:fill="auto"/>
            <w:vAlign w:val="center"/>
          </w:tcPr>
          <w:p w14:paraId="25A5074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169</w:t>
            </w:r>
          </w:p>
        </w:tc>
      </w:tr>
      <w:tr w:rsidR="003E5BF5" w:rsidRPr="00E273FC" w14:paraId="26E796A5" w14:textId="77777777" w:rsidTr="00436354">
        <w:trPr>
          <w:trHeight w:hRule="exact" w:val="312"/>
        </w:trPr>
        <w:tc>
          <w:tcPr>
            <w:tcW w:w="6804" w:type="dxa"/>
            <w:shd w:val="clear" w:color="auto" w:fill="auto"/>
            <w:tcMar>
              <w:left w:w="57" w:type="dxa"/>
              <w:right w:w="57" w:type="dxa"/>
            </w:tcMar>
            <w:vAlign w:val="center"/>
          </w:tcPr>
          <w:p w14:paraId="62734A4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Add Accountable Officer (Secretary)</w:t>
            </w:r>
          </w:p>
        </w:tc>
        <w:tc>
          <w:tcPr>
            <w:tcW w:w="1134" w:type="dxa"/>
            <w:shd w:val="clear" w:color="auto" w:fill="auto"/>
            <w:tcMar>
              <w:left w:w="57" w:type="dxa"/>
              <w:right w:w="57" w:type="dxa"/>
            </w:tcMar>
            <w:vAlign w:val="center"/>
          </w:tcPr>
          <w:p w14:paraId="7BF57E2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w:t>
            </w:r>
          </w:p>
        </w:tc>
        <w:tc>
          <w:tcPr>
            <w:tcW w:w="1134" w:type="dxa"/>
            <w:shd w:val="clear" w:color="auto" w:fill="auto"/>
            <w:vAlign w:val="center"/>
          </w:tcPr>
          <w:p w14:paraId="13F486E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r>
      <w:tr w:rsidR="003E5BF5" w:rsidRPr="00E273FC" w14:paraId="20455573" w14:textId="77777777" w:rsidTr="00436354">
        <w:trPr>
          <w:trHeight w:hRule="exact" w:val="312"/>
        </w:trPr>
        <w:tc>
          <w:tcPr>
            <w:tcW w:w="6804" w:type="dxa"/>
            <w:shd w:val="clear" w:color="auto" w:fill="auto"/>
            <w:tcMar>
              <w:left w:w="57" w:type="dxa"/>
              <w:right w:w="57" w:type="dxa"/>
            </w:tcMar>
            <w:vAlign w:val="center"/>
          </w:tcPr>
          <w:p w14:paraId="1D8B0C2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Less leave without pay</w:t>
            </w:r>
          </w:p>
        </w:tc>
        <w:tc>
          <w:tcPr>
            <w:tcW w:w="1134" w:type="dxa"/>
            <w:shd w:val="clear" w:color="auto" w:fill="auto"/>
            <w:tcMar>
              <w:left w:w="57" w:type="dxa"/>
              <w:right w:w="57" w:type="dxa"/>
            </w:tcMar>
            <w:vAlign w:val="center"/>
          </w:tcPr>
          <w:p w14:paraId="7A5E610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w:t>
            </w:r>
          </w:p>
        </w:tc>
        <w:tc>
          <w:tcPr>
            <w:tcW w:w="1134" w:type="dxa"/>
            <w:shd w:val="clear" w:color="auto" w:fill="auto"/>
            <w:vAlign w:val="center"/>
          </w:tcPr>
          <w:p w14:paraId="11BD251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2C7F6052" w14:textId="77777777" w:rsidTr="00436354">
        <w:trPr>
          <w:trHeight w:hRule="exact" w:val="312"/>
        </w:trPr>
        <w:tc>
          <w:tcPr>
            <w:tcW w:w="6804" w:type="dxa"/>
            <w:shd w:val="clear" w:color="auto" w:fill="auto"/>
            <w:tcMar>
              <w:left w:w="57" w:type="dxa"/>
              <w:right w:w="57" w:type="dxa"/>
            </w:tcMar>
            <w:vAlign w:val="center"/>
          </w:tcPr>
          <w:p w14:paraId="1EEBF20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Less Separations</w:t>
            </w:r>
          </w:p>
        </w:tc>
        <w:tc>
          <w:tcPr>
            <w:tcW w:w="1134" w:type="dxa"/>
            <w:shd w:val="clear" w:color="auto" w:fill="auto"/>
            <w:tcMar>
              <w:left w:w="57" w:type="dxa"/>
              <w:right w:w="57" w:type="dxa"/>
            </w:tcMar>
            <w:vAlign w:val="center"/>
          </w:tcPr>
          <w:p w14:paraId="5CB184F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(47)</w:t>
            </w:r>
          </w:p>
        </w:tc>
        <w:tc>
          <w:tcPr>
            <w:tcW w:w="1134" w:type="dxa"/>
            <w:shd w:val="clear" w:color="auto" w:fill="auto"/>
            <w:vAlign w:val="center"/>
          </w:tcPr>
          <w:p w14:paraId="2146999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(120)</w:t>
            </w:r>
          </w:p>
        </w:tc>
      </w:tr>
      <w:tr w:rsidR="003E5BF5" w:rsidRPr="00E273FC" w14:paraId="6EA9F60E" w14:textId="77777777" w:rsidTr="00436354">
        <w:trPr>
          <w:trHeight w:hRule="exact" w:val="312"/>
        </w:trPr>
        <w:tc>
          <w:tcPr>
            <w:tcW w:w="6804" w:type="dxa"/>
            <w:shd w:val="clear" w:color="auto" w:fill="auto"/>
            <w:tcMar>
              <w:left w:w="57" w:type="dxa"/>
              <w:right w:w="57" w:type="dxa"/>
            </w:tcMar>
            <w:vAlign w:val="center"/>
          </w:tcPr>
          <w:p w14:paraId="2D9EE62F"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Less other</w:t>
            </w:r>
          </w:p>
        </w:tc>
        <w:tc>
          <w:tcPr>
            <w:tcW w:w="1134" w:type="dxa"/>
            <w:shd w:val="clear" w:color="auto" w:fill="auto"/>
            <w:tcMar>
              <w:left w:w="57" w:type="dxa"/>
              <w:right w:w="57" w:type="dxa"/>
            </w:tcMar>
            <w:vAlign w:val="center"/>
          </w:tcPr>
          <w:p w14:paraId="43F15BFC" w14:textId="77777777" w:rsidR="003E5BF5" w:rsidRPr="00E273FC" w:rsidDel="00A252DB" w:rsidRDefault="003E5BF5" w:rsidP="00DE1921">
            <w:pPr>
              <w:pStyle w:val="TableTextRightBold"/>
              <w:rPr>
                <w:rFonts w:ascii="Arial" w:hAnsi="Arial" w:cs="Arial"/>
                <w:sz w:val="24"/>
                <w:szCs w:val="24"/>
              </w:rPr>
            </w:pPr>
            <w:r w:rsidRPr="00E273FC">
              <w:rPr>
                <w:rFonts w:ascii="Arial" w:hAnsi="Arial" w:cs="Arial"/>
                <w:sz w:val="24"/>
                <w:szCs w:val="24"/>
              </w:rPr>
              <w:t>(7)</w:t>
            </w:r>
          </w:p>
        </w:tc>
        <w:tc>
          <w:tcPr>
            <w:tcW w:w="1134" w:type="dxa"/>
            <w:shd w:val="clear" w:color="auto" w:fill="auto"/>
            <w:vAlign w:val="center"/>
          </w:tcPr>
          <w:p w14:paraId="1D62B441" w14:textId="77777777" w:rsidR="003E5BF5" w:rsidRPr="00E273FC" w:rsidRDefault="003E5BF5" w:rsidP="00DE1921">
            <w:pPr>
              <w:pStyle w:val="TableTextRight"/>
              <w:rPr>
                <w:rFonts w:ascii="Arial" w:hAnsi="Arial" w:cs="Arial"/>
                <w:sz w:val="24"/>
                <w:szCs w:val="24"/>
              </w:rPr>
            </w:pPr>
          </w:p>
        </w:tc>
      </w:tr>
      <w:tr w:rsidR="003E5BF5" w:rsidRPr="00E273FC" w14:paraId="6516859D" w14:textId="77777777" w:rsidTr="00436354">
        <w:trPr>
          <w:trHeight w:hRule="exact" w:val="312"/>
        </w:trPr>
        <w:tc>
          <w:tcPr>
            <w:tcW w:w="6804" w:type="dxa"/>
            <w:shd w:val="clear" w:color="auto" w:fill="auto"/>
            <w:tcMar>
              <w:left w:w="57" w:type="dxa"/>
              <w:right w:w="57" w:type="dxa"/>
            </w:tcMar>
            <w:vAlign w:val="center"/>
          </w:tcPr>
          <w:p w14:paraId="09516C21"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executives at 30 June</w:t>
            </w:r>
          </w:p>
        </w:tc>
        <w:tc>
          <w:tcPr>
            <w:tcW w:w="1134" w:type="dxa"/>
            <w:shd w:val="clear" w:color="auto" w:fill="auto"/>
            <w:tcMar>
              <w:left w:w="57" w:type="dxa"/>
              <w:right w:w="57" w:type="dxa"/>
            </w:tcMar>
            <w:vAlign w:val="center"/>
          </w:tcPr>
          <w:p w14:paraId="13ADD6F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142</w:t>
            </w:r>
          </w:p>
        </w:tc>
        <w:tc>
          <w:tcPr>
            <w:tcW w:w="1134" w:type="dxa"/>
            <w:shd w:val="clear" w:color="auto" w:fill="auto"/>
            <w:vAlign w:val="center"/>
          </w:tcPr>
          <w:p w14:paraId="0F1CF60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50</w:t>
            </w:r>
          </w:p>
        </w:tc>
      </w:tr>
    </w:tbl>
    <w:p w14:paraId="2C10BE8A" w14:textId="77777777" w:rsidR="003E5BF5" w:rsidRPr="00E273FC" w:rsidRDefault="003E5BF5" w:rsidP="00DE1921">
      <w:pPr>
        <w:pStyle w:val="Note"/>
        <w:rPr>
          <w:rFonts w:ascii="Arial" w:hAnsi="Arial" w:cs="Arial"/>
          <w:sz w:val="24"/>
          <w:szCs w:val="24"/>
        </w:rPr>
      </w:pPr>
      <w:r w:rsidRPr="00E273FC">
        <w:rPr>
          <w:rFonts w:ascii="Arial" w:hAnsi="Arial" w:cs="Arial"/>
          <w:sz w:val="24"/>
          <w:szCs w:val="24"/>
        </w:rPr>
        <w:t xml:space="preserve">Notes: </w:t>
      </w:r>
    </w:p>
    <w:p w14:paraId="196A7A32" w14:textId="77777777" w:rsidR="003E5BF5" w:rsidRPr="00E273FC" w:rsidRDefault="003E5BF5" w:rsidP="00610F5F">
      <w:pPr>
        <w:pStyle w:val="Notenumberingabc"/>
        <w:numPr>
          <w:ilvl w:val="0"/>
          <w:numId w:val="44"/>
        </w:numPr>
        <w:spacing w:before="0" w:after="120" w:line="360" w:lineRule="auto"/>
        <w:ind w:left="350" w:hanging="237"/>
        <w:contextualSpacing/>
        <w:rPr>
          <w:rFonts w:ascii="Arial" w:hAnsi="Arial" w:cs="Arial"/>
          <w:sz w:val="24"/>
          <w:szCs w:val="24"/>
        </w:rPr>
      </w:pPr>
      <w:r w:rsidRPr="00E273FC">
        <w:rPr>
          <w:rFonts w:ascii="Arial" w:hAnsi="Arial" w:cs="Arial"/>
          <w:sz w:val="24"/>
          <w:szCs w:val="24"/>
        </w:rPr>
        <w:t>The above table includes the Accountable Officer in the total of 142 EOs, whereas Table 1 excludes the Accountable Officer in the reported number of 141 EOs.</w:t>
      </w:r>
    </w:p>
    <w:p w14:paraId="24DE7D46" w14:textId="026DB234" w:rsidR="008E29B7" w:rsidRDefault="003E5BF5" w:rsidP="00696A16">
      <w:pPr>
        <w:pStyle w:val="Notenumberingabc"/>
        <w:spacing w:before="0" w:after="120" w:line="360" w:lineRule="auto"/>
        <w:contextualSpacing/>
        <w:rPr>
          <w:rFonts w:ascii="Arial" w:hAnsi="Arial" w:cs="Arial"/>
          <w:sz w:val="24"/>
          <w:szCs w:val="24"/>
        </w:rPr>
      </w:pPr>
      <w:r w:rsidRPr="00E273FC">
        <w:rPr>
          <w:rFonts w:ascii="Arial" w:hAnsi="Arial" w:cs="Arial"/>
          <w:sz w:val="24"/>
          <w:szCs w:val="24"/>
        </w:rPr>
        <w:t xml:space="preserve">Other includes Executive movements between the department and VicRoads post the </w:t>
      </w:r>
      <w:proofErr w:type="spellStart"/>
      <w:r w:rsidRPr="00E273FC">
        <w:rPr>
          <w:rFonts w:ascii="Arial" w:hAnsi="Arial" w:cs="Arial"/>
          <w:sz w:val="24"/>
          <w:szCs w:val="24"/>
        </w:rPr>
        <w:t>MoG</w:t>
      </w:r>
      <w:proofErr w:type="spellEnd"/>
      <w:r w:rsidRPr="00E273FC">
        <w:rPr>
          <w:rFonts w:ascii="Arial" w:hAnsi="Arial" w:cs="Arial"/>
          <w:sz w:val="24"/>
          <w:szCs w:val="24"/>
        </w:rPr>
        <w:t>; non-executives acting in vacant executive roles during the year, and one Executive appointed in the last pay period of 2019-20.</w:t>
      </w:r>
      <w:r w:rsidR="008E29B7">
        <w:rPr>
          <w:rFonts w:ascii="Arial" w:hAnsi="Arial" w:cs="Arial"/>
          <w:sz w:val="24"/>
          <w:szCs w:val="24"/>
        </w:rPr>
        <w:br w:type="page"/>
      </w:r>
    </w:p>
    <w:p w14:paraId="0678A73F" w14:textId="77777777" w:rsidR="003E5BF5" w:rsidRPr="00E273FC" w:rsidRDefault="003E5BF5" w:rsidP="00CF74EB">
      <w:pPr>
        <w:pStyle w:val="TableHeader"/>
      </w:pPr>
      <w:r w:rsidRPr="00E273FC">
        <w:lastRenderedPageBreak/>
        <w:t>Table 3: Annualised total salary for senior employees</w:t>
      </w:r>
    </w:p>
    <w:tbl>
      <w:tblPr>
        <w:tblStyle w:val="TableGrid"/>
        <w:tblW w:w="9072" w:type="dxa"/>
        <w:tblLayout w:type="fixed"/>
        <w:tblLook w:val="04A0" w:firstRow="1" w:lastRow="0" w:firstColumn="1" w:lastColumn="0" w:noHBand="0" w:noVBand="1"/>
      </w:tblPr>
      <w:tblGrid>
        <w:gridCol w:w="4962"/>
        <w:gridCol w:w="1842"/>
        <w:gridCol w:w="1134"/>
        <w:gridCol w:w="1134"/>
      </w:tblGrid>
      <w:tr w:rsidR="003E5BF5" w:rsidRPr="00E273FC" w14:paraId="46D915E0" w14:textId="77777777" w:rsidTr="00436354">
        <w:trPr>
          <w:trHeight w:val="312"/>
        </w:trPr>
        <w:tc>
          <w:tcPr>
            <w:tcW w:w="4962" w:type="dxa"/>
            <w:tcMar>
              <w:left w:w="57" w:type="dxa"/>
              <w:right w:w="57" w:type="dxa"/>
            </w:tcMar>
            <w:vAlign w:val="center"/>
          </w:tcPr>
          <w:p w14:paraId="5DB4D3EE" w14:textId="77777777" w:rsidR="003E5BF5" w:rsidRPr="00E273FC" w:rsidRDefault="003E5BF5" w:rsidP="00DE1921">
            <w:pPr>
              <w:pStyle w:val="TableTextLeft"/>
              <w:rPr>
                <w:rFonts w:ascii="Arial" w:hAnsi="Arial" w:cs="Arial"/>
                <w:sz w:val="24"/>
                <w:szCs w:val="24"/>
              </w:rPr>
            </w:pPr>
          </w:p>
        </w:tc>
        <w:tc>
          <w:tcPr>
            <w:tcW w:w="1842" w:type="dxa"/>
            <w:shd w:val="clear" w:color="auto" w:fill="FFFFFF" w:themeFill="background1"/>
            <w:tcMar>
              <w:left w:w="57" w:type="dxa"/>
              <w:right w:w="57" w:type="dxa"/>
            </w:tcMar>
            <w:vAlign w:val="center"/>
          </w:tcPr>
          <w:p w14:paraId="7D334C9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Executives</w:t>
            </w:r>
          </w:p>
        </w:tc>
        <w:tc>
          <w:tcPr>
            <w:tcW w:w="1134" w:type="dxa"/>
            <w:tcMar>
              <w:left w:w="57" w:type="dxa"/>
              <w:right w:w="57" w:type="dxa"/>
            </w:tcMar>
            <w:vAlign w:val="center"/>
          </w:tcPr>
          <w:p w14:paraId="340D413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STS</w:t>
            </w:r>
          </w:p>
        </w:tc>
        <w:tc>
          <w:tcPr>
            <w:tcW w:w="1134" w:type="dxa"/>
            <w:tcMar>
              <w:left w:w="57" w:type="dxa"/>
              <w:right w:w="57" w:type="dxa"/>
            </w:tcMar>
            <w:vAlign w:val="center"/>
          </w:tcPr>
          <w:p w14:paraId="7B8C0CE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PS</w:t>
            </w:r>
          </w:p>
        </w:tc>
      </w:tr>
      <w:tr w:rsidR="003E5BF5" w:rsidRPr="00E273FC" w14:paraId="7D139500" w14:textId="77777777" w:rsidTr="00436354">
        <w:trPr>
          <w:trHeight w:val="312"/>
        </w:trPr>
        <w:tc>
          <w:tcPr>
            <w:tcW w:w="4962" w:type="dxa"/>
            <w:tcMar>
              <w:left w:w="57" w:type="dxa"/>
              <w:right w:w="57" w:type="dxa"/>
            </w:tcMar>
            <w:vAlign w:val="center"/>
          </w:tcPr>
          <w:p w14:paraId="1128FF5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&lt;$160,000</w:t>
            </w:r>
          </w:p>
        </w:tc>
        <w:tc>
          <w:tcPr>
            <w:tcW w:w="1842" w:type="dxa"/>
            <w:shd w:val="clear" w:color="auto" w:fill="FFFFFF" w:themeFill="background1"/>
            <w:tcMar>
              <w:left w:w="57" w:type="dxa"/>
              <w:right w:w="57" w:type="dxa"/>
            </w:tcMar>
            <w:vAlign w:val="center"/>
          </w:tcPr>
          <w:p w14:paraId="6CD801E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134" w:type="dxa"/>
            <w:tcMar>
              <w:left w:w="57" w:type="dxa"/>
              <w:right w:w="57" w:type="dxa"/>
            </w:tcMar>
            <w:vAlign w:val="center"/>
          </w:tcPr>
          <w:p w14:paraId="35CD99D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2B948DE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32010C29" w14:textId="77777777" w:rsidTr="00436354">
        <w:trPr>
          <w:trHeight w:val="312"/>
        </w:trPr>
        <w:tc>
          <w:tcPr>
            <w:tcW w:w="4962" w:type="dxa"/>
            <w:tcMar>
              <w:left w:w="57" w:type="dxa"/>
              <w:right w:w="57" w:type="dxa"/>
            </w:tcMar>
            <w:vAlign w:val="center"/>
          </w:tcPr>
          <w:p w14:paraId="73481DE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$160,000 - $179,999</w:t>
            </w:r>
          </w:p>
        </w:tc>
        <w:tc>
          <w:tcPr>
            <w:tcW w:w="1842" w:type="dxa"/>
            <w:shd w:val="clear" w:color="auto" w:fill="FFFFFF" w:themeFill="background1"/>
            <w:tcMar>
              <w:left w:w="57" w:type="dxa"/>
              <w:right w:w="57" w:type="dxa"/>
            </w:tcMar>
            <w:vAlign w:val="center"/>
          </w:tcPr>
          <w:p w14:paraId="30B01F5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w:t>
            </w:r>
          </w:p>
        </w:tc>
        <w:tc>
          <w:tcPr>
            <w:tcW w:w="1134" w:type="dxa"/>
            <w:tcMar>
              <w:left w:w="57" w:type="dxa"/>
              <w:right w:w="57" w:type="dxa"/>
            </w:tcMar>
            <w:vAlign w:val="center"/>
          </w:tcPr>
          <w:p w14:paraId="6FAEAF7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26</w:t>
            </w:r>
          </w:p>
        </w:tc>
        <w:tc>
          <w:tcPr>
            <w:tcW w:w="1134" w:type="dxa"/>
            <w:tcMar>
              <w:left w:w="57" w:type="dxa"/>
              <w:right w:w="57" w:type="dxa"/>
            </w:tcMar>
            <w:vAlign w:val="center"/>
          </w:tcPr>
          <w:p w14:paraId="1B8E027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w:t>
            </w:r>
          </w:p>
        </w:tc>
      </w:tr>
      <w:tr w:rsidR="003E5BF5" w:rsidRPr="00E273FC" w14:paraId="6D01C892" w14:textId="77777777" w:rsidTr="00436354">
        <w:trPr>
          <w:trHeight w:val="312"/>
        </w:trPr>
        <w:tc>
          <w:tcPr>
            <w:tcW w:w="4962" w:type="dxa"/>
            <w:tcMar>
              <w:left w:w="57" w:type="dxa"/>
              <w:right w:w="57" w:type="dxa"/>
            </w:tcMar>
            <w:vAlign w:val="center"/>
          </w:tcPr>
          <w:p w14:paraId="6D3C499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$180,000 - $199,999</w:t>
            </w:r>
          </w:p>
        </w:tc>
        <w:tc>
          <w:tcPr>
            <w:tcW w:w="1842" w:type="dxa"/>
            <w:shd w:val="clear" w:color="auto" w:fill="FFFFFF" w:themeFill="background1"/>
            <w:tcMar>
              <w:left w:w="57" w:type="dxa"/>
              <w:right w:w="57" w:type="dxa"/>
            </w:tcMar>
            <w:vAlign w:val="center"/>
          </w:tcPr>
          <w:p w14:paraId="3CDF6D9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27</w:t>
            </w:r>
          </w:p>
        </w:tc>
        <w:tc>
          <w:tcPr>
            <w:tcW w:w="1134" w:type="dxa"/>
            <w:tcMar>
              <w:left w:w="57" w:type="dxa"/>
              <w:right w:w="57" w:type="dxa"/>
            </w:tcMar>
            <w:vAlign w:val="center"/>
          </w:tcPr>
          <w:p w14:paraId="627BDD9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59</w:t>
            </w:r>
          </w:p>
        </w:tc>
        <w:tc>
          <w:tcPr>
            <w:tcW w:w="1134" w:type="dxa"/>
            <w:tcMar>
              <w:left w:w="57" w:type="dxa"/>
              <w:right w:w="57" w:type="dxa"/>
            </w:tcMar>
            <w:vAlign w:val="center"/>
          </w:tcPr>
          <w:p w14:paraId="44F102B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w:t>
            </w:r>
          </w:p>
        </w:tc>
      </w:tr>
      <w:tr w:rsidR="003E5BF5" w:rsidRPr="00E273FC" w14:paraId="55DB10D2" w14:textId="77777777" w:rsidTr="00436354">
        <w:trPr>
          <w:trHeight w:val="312"/>
        </w:trPr>
        <w:tc>
          <w:tcPr>
            <w:tcW w:w="4962" w:type="dxa"/>
            <w:tcMar>
              <w:left w:w="57" w:type="dxa"/>
              <w:right w:w="57" w:type="dxa"/>
            </w:tcMar>
            <w:vAlign w:val="center"/>
          </w:tcPr>
          <w:p w14:paraId="78787BA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$200,000 - $219,999</w:t>
            </w:r>
          </w:p>
        </w:tc>
        <w:tc>
          <w:tcPr>
            <w:tcW w:w="1842" w:type="dxa"/>
            <w:shd w:val="clear" w:color="auto" w:fill="FFFFFF" w:themeFill="background1"/>
            <w:tcMar>
              <w:left w:w="57" w:type="dxa"/>
              <w:right w:w="57" w:type="dxa"/>
            </w:tcMar>
            <w:vAlign w:val="center"/>
          </w:tcPr>
          <w:p w14:paraId="412D98C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37</w:t>
            </w:r>
          </w:p>
        </w:tc>
        <w:tc>
          <w:tcPr>
            <w:tcW w:w="1134" w:type="dxa"/>
            <w:tcMar>
              <w:left w:w="57" w:type="dxa"/>
              <w:right w:w="57" w:type="dxa"/>
            </w:tcMar>
            <w:vAlign w:val="center"/>
          </w:tcPr>
          <w:p w14:paraId="0D49F62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29</w:t>
            </w:r>
          </w:p>
        </w:tc>
        <w:tc>
          <w:tcPr>
            <w:tcW w:w="1134" w:type="dxa"/>
            <w:tcMar>
              <w:left w:w="57" w:type="dxa"/>
              <w:right w:w="57" w:type="dxa"/>
            </w:tcMar>
            <w:vAlign w:val="center"/>
          </w:tcPr>
          <w:p w14:paraId="697558C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w:t>
            </w:r>
          </w:p>
        </w:tc>
      </w:tr>
      <w:tr w:rsidR="003E5BF5" w:rsidRPr="00E273FC" w14:paraId="56020E6B" w14:textId="77777777" w:rsidTr="00436354">
        <w:trPr>
          <w:trHeight w:val="312"/>
        </w:trPr>
        <w:tc>
          <w:tcPr>
            <w:tcW w:w="4962" w:type="dxa"/>
            <w:tcMar>
              <w:left w:w="57" w:type="dxa"/>
              <w:right w:w="57" w:type="dxa"/>
            </w:tcMar>
            <w:vAlign w:val="center"/>
          </w:tcPr>
          <w:p w14:paraId="50213C4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$220,000 - $239,999</w:t>
            </w:r>
          </w:p>
        </w:tc>
        <w:tc>
          <w:tcPr>
            <w:tcW w:w="1842" w:type="dxa"/>
            <w:shd w:val="clear" w:color="auto" w:fill="FFFFFF" w:themeFill="background1"/>
            <w:tcMar>
              <w:left w:w="57" w:type="dxa"/>
              <w:right w:w="57" w:type="dxa"/>
            </w:tcMar>
            <w:vAlign w:val="center"/>
          </w:tcPr>
          <w:p w14:paraId="2612508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w:t>
            </w:r>
          </w:p>
        </w:tc>
        <w:tc>
          <w:tcPr>
            <w:tcW w:w="1134" w:type="dxa"/>
            <w:tcMar>
              <w:left w:w="57" w:type="dxa"/>
              <w:right w:w="57" w:type="dxa"/>
            </w:tcMar>
            <w:vAlign w:val="center"/>
          </w:tcPr>
          <w:p w14:paraId="27A811A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14</w:t>
            </w:r>
          </w:p>
        </w:tc>
        <w:tc>
          <w:tcPr>
            <w:tcW w:w="1134" w:type="dxa"/>
            <w:tcMar>
              <w:left w:w="57" w:type="dxa"/>
              <w:right w:w="57" w:type="dxa"/>
            </w:tcMar>
            <w:vAlign w:val="center"/>
          </w:tcPr>
          <w:p w14:paraId="75B9050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r>
      <w:tr w:rsidR="003E5BF5" w:rsidRPr="00E273FC" w14:paraId="466058B5" w14:textId="77777777" w:rsidTr="00436354">
        <w:trPr>
          <w:trHeight w:val="312"/>
        </w:trPr>
        <w:tc>
          <w:tcPr>
            <w:tcW w:w="4962" w:type="dxa"/>
            <w:tcMar>
              <w:left w:w="57" w:type="dxa"/>
              <w:right w:w="57" w:type="dxa"/>
            </w:tcMar>
            <w:vAlign w:val="center"/>
          </w:tcPr>
          <w:p w14:paraId="27EFFFE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$240,000 - $259,999</w:t>
            </w:r>
          </w:p>
        </w:tc>
        <w:tc>
          <w:tcPr>
            <w:tcW w:w="1842" w:type="dxa"/>
            <w:shd w:val="clear" w:color="auto" w:fill="FFFFFF" w:themeFill="background1"/>
            <w:tcMar>
              <w:left w:w="57" w:type="dxa"/>
              <w:right w:w="57" w:type="dxa"/>
            </w:tcMar>
            <w:vAlign w:val="center"/>
          </w:tcPr>
          <w:p w14:paraId="3D39236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14</w:t>
            </w:r>
          </w:p>
        </w:tc>
        <w:tc>
          <w:tcPr>
            <w:tcW w:w="1134" w:type="dxa"/>
            <w:tcMar>
              <w:left w:w="57" w:type="dxa"/>
              <w:right w:w="57" w:type="dxa"/>
            </w:tcMar>
            <w:vAlign w:val="center"/>
          </w:tcPr>
          <w:p w14:paraId="540EE74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5ACB5A9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48FECCF2" w14:textId="77777777" w:rsidTr="00436354">
        <w:trPr>
          <w:trHeight w:val="312"/>
        </w:trPr>
        <w:tc>
          <w:tcPr>
            <w:tcW w:w="4962" w:type="dxa"/>
            <w:tcMar>
              <w:left w:w="57" w:type="dxa"/>
              <w:right w:w="57" w:type="dxa"/>
            </w:tcMar>
            <w:vAlign w:val="center"/>
          </w:tcPr>
          <w:p w14:paraId="7937F48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$260,000 - $279,999</w:t>
            </w:r>
          </w:p>
        </w:tc>
        <w:tc>
          <w:tcPr>
            <w:tcW w:w="1842" w:type="dxa"/>
            <w:shd w:val="clear" w:color="auto" w:fill="FFFFFF" w:themeFill="background1"/>
            <w:tcMar>
              <w:left w:w="57" w:type="dxa"/>
              <w:right w:w="57" w:type="dxa"/>
            </w:tcMar>
            <w:vAlign w:val="center"/>
          </w:tcPr>
          <w:p w14:paraId="72AC40D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w:t>
            </w:r>
          </w:p>
        </w:tc>
        <w:tc>
          <w:tcPr>
            <w:tcW w:w="1134" w:type="dxa"/>
            <w:tcMar>
              <w:left w:w="57" w:type="dxa"/>
              <w:right w:w="57" w:type="dxa"/>
            </w:tcMar>
            <w:vAlign w:val="center"/>
          </w:tcPr>
          <w:p w14:paraId="5540970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29EECB6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1A96F372" w14:textId="77777777" w:rsidTr="00436354">
        <w:trPr>
          <w:trHeight w:val="312"/>
        </w:trPr>
        <w:tc>
          <w:tcPr>
            <w:tcW w:w="4962" w:type="dxa"/>
            <w:tcMar>
              <w:left w:w="57" w:type="dxa"/>
              <w:right w:w="57" w:type="dxa"/>
            </w:tcMar>
            <w:vAlign w:val="center"/>
          </w:tcPr>
          <w:p w14:paraId="72092A2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$280,000 - $299,999</w:t>
            </w:r>
          </w:p>
        </w:tc>
        <w:tc>
          <w:tcPr>
            <w:tcW w:w="1842" w:type="dxa"/>
            <w:shd w:val="clear" w:color="auto" w:fill="FFFFFF" w:themeFill="background1"/>
            <w:tcMar>
              <w:left w:w="57" w:type="dxa"/>
              <w:right w:w="57" w:type="dxa"/>
            </w:tcMar>
            <w:vAlign w:val="center"/>
          </w:tcPr>
          <w:p w14:paraId="64A38DA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w:t>
            </w:r>
          </w:p>
        </w:tc>
        <w:tc>
          <w:tcPr>
            <w:tcW w:w="1134" w:type="dxa"/>
            <w:tcMar>
              <w:left w:w="57" w:type="dxa"/>
              <w:right w:w="57" w:type="dxa"/>
            </w:tcMar>
            <w:vAlign w:val="center"/>
          </w:tcPr>
          <w:p w14:paraId="717F594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3D91B9F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204ADCC4" w14:textId="77777777" w:rsidTr="00436354">
        <w:trPr>
          <w:trHeight w:val="312"/>
        </w:trPr>
        <w:tc>
          <w:tcPr>
            <w:tcW w:w="4962" w:type="dxa"/>
            <w:tcMar>
              <w:left w:w="57" w:type="dxa"/>
              <w:right w:w="57" w:type="dxa"/>
            </w:tcMar>
            <w:vAlign w:val="center"/>
          </w:tcPr>
          <w:p w14:paraId="2C062C4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$300,000 - $319,999</w:t>
            </w:r>
          </w:p>
        </w:tc>
        <w:tc>
          <w:tcPr>
            <w:tcW w:w="1842" w:type="dxa"/>
            <w:shd w:val="clear" w:color="auto" w:fill="FFFFFF" w:themeFill="background1"/>
            <w:tcMar>
              <w:left w:w="57" w:type="dxa"/>
              <w:right w:w="57" w:type="dxa"/>
            </w:tcMar>
            <w:vAlign w:val="center"/>
          </w:tcPr>
          <w:p w14:paraId="03DDDE7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w:t>
            </w:r>
          </w:p>
        </w:tc>
        <w:tc>
          <w:tcPr>
            <w:tcW w:w="1134" w:type="dxa"/>
            <w:tcMar>
              <w:left w:w="57" w:type="dxa"/>
              <w:right w:w="57" w:type="dxa"/>
            </w:tcMar>
            <w:vAlign w:val="center"/>
          </w:tcPr>
          <w:p w14:paraId="71AD1F7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199C67E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7166BBED" w14:textId="77777777" w:rsidTr="00436354">
        <w:trPr>
          <w:trHeight w:val="312"/>
        </w:trPr>
        <w:tc>
          <w:tcPr>
            <w:tcW w:w="4962" w:type="dxa"/>
            <w:tcMar>
              <w:left w:w="57" w:type="dxa"/>
              <w:right w:w="57" w:type="dxa"/>
            </w:tcMar>
            <w:vAlign w:val="center"/>
          </w:tcPr>
          <w:p w14:paraId="7304087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$320,000 - $339,999</w:t>
            </w:r>
          </w:p>
        </w:tc>
        <w:tc>
          <w:tcPr>
            <w:tcW w:w="1842" w:type="dxa"/>
            <w:shd w:val="clear" w:color="auto" w:fill="FFFFFF" w:themeFill="background1"/>
            <w:tcMar>
              <w:left w:w="57" w:type="dxa"/>
              <w:right w:w="57" w:type="dxa"/>
            </w:tcMar>
            <w:vAlign w:val="center"/>
          </w:tcPr>
          <w:p w14:paraId="7CC6B9F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w:t>
            </w:r>
          </w:p>
        </w:tc>
        <w:tc>
          <w:tcPr>
            <w:tcW w:w="1134" w:type="dxa"/>
            <w:tcMar>
              <w:left w:w="57" w:type="dxa"/>
              <w:right w:w="57" w:type="dxa"/>
            </w:tcMar>
            <w:vAlign w:val="center"/>
          </w:tcPr>
          <w:p w14:paraId="6ED8293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75B30F8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5A347978" w14:textId="77777777" w:rsidTr="00436354">
        <w:trPr>
          <w:trHeight w:val="312"/>
        </w:trPr>
        <w:tc>
          <w:tcPr>
            <w:tcW w:w="4962" w:type="dxa"/>
            <w:tcMar>
              <w:left w:w="57" w:type="dxa"/>
              <w:right w:w="57" w:type="dxa"/>
            </w:tcMar>
            <w:vAlign w:val="center"/>
          </w:tcPr>
          <w:p w14:paraId="0D445AE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$340,000 - $359,999</w:t>
            </w:r>
          </w:p>
        </w:tc>
        <w:tc>
          <w:tcPr>
            <w:tcW w:w="1842" w:type="dxa"/>
            <w:shd w:val="clear" w:color="auto" w:fill="FFFFFF" w:themeFill="background1"/>
            <w:tcMar>
              <w:left w:w="57" w:type="dxa"/>
              <w:right w:w="57" w:type="dxa"/>
            </w:tcMar>
            <w:vAlign w:val="center"/>
          </w:tcPr>
          <w:p w14:paraId="125F0CE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w:t>
            </w:r>
          </w:p>
        </w:tc>
        <w:tc>
          <w:tcPr>
            <w:tcW w:w="1134" w:type="dxa"/>
            <w:tcMar>
              <w:left w:w="57" w:type="dxa"/>
              <w:right w:w="57" w:type="dxa"/>
            </w:tcMar>
            <w:vAlign w:val="center"/>
          </w:tcPr>
          <w:p w14:paraId="637DF4D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7226EBE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5BC78AD3" w14:textId="77777777" w:rsidTr="00436354">
        <w:trPr>
          <w:trHeight w:val="312"/>
        </w:trPr>
        <w:tc>
          <w:tcPr>
            <w:tcW w:w="4962" w:type="dxa"/>
            <w:tcMar>
              <w:left w:w="57" w:type="dxa"/>
              <w:right w:w="57" w:type="dxa"/>
            </w:tcMar>
            <w:vAlign w:val="center"/>
          </w:tcPr>
          <w:p w14:paraId="2A24E35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$360,000 - $379,999</w:t>
            </w:r>
          </w:p>
        </w:tc>
        <w:tc>
          <w:tcPr>
            <w:tcW w:w="1842" w:type="dxa"/>
            <w:shd w:val="clear" w:color="auto" w:fill="FFFFFF" w:themeFill="background1"/>
            <w:tcMar>
              <w:left w:w="57" w:type="dxa"/>
              <w:right w:w="57" w:type="dxa"/>
            </w:tcMar>
            <w:vAlign w:val="center"/>
          </w:tcPr>
          <w:p w14:paraId="64312B0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134" w:type="dxa"/>
            <w:tcMar>
              <w:left w:w="57" w:type="dxa"/>
              <w:right w:w="57" w:type="dxa"/>
            </w:tcMar>
            <w:vAlign w:val="center"/>
          </w:tcPr>
          <w:p w14:paraId="4D4DC4B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3B80EB1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585942B6" w14:textId="77777777" w:rsidTr="00436354">
        <w:trPr>
          <w:trHeight w:val="312"/>
        </w:trPr>
        <w:tc>
          <w:tcPr>
            <w:tcW w:w="4962" w:type="dxa"/>
            <w:tcMar>
              <w:left w:w="57" w:type="dxa"/>
              <w:right w:w="57" w:type="dxa"/>
            </w:tcMar>
            <w:vAlign w:val="center"/>
          </w:tcPr>
          <w:p w14:paraId="1125A6B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$380,000 - $399,999</w:t>
            </w:r>
          </w:p>
        </w:tc>
        <w:tc>
          <w:tcPr>
            <w:tcW w:w="1842" w:type="dxa"/>
            <w:shd w:val="clear" w:color="auto" w:fill="FFFFFF" w:themeFill="background1"/>
            <w:tcMar>
              <w:left w:w="57" w:type="dxa"/>
              <w:right w:w="57" w:type="dxa"/>
            </w:tcMar>
            <w:vAlign w:val="center"/>
          </w:tcPr>
          <w:p w14:paraId="6C79305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00414BF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640CC11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3EB72C69" w14:textId="77777777" w:rsidTr="00436354">
        <w:trPr>
          <w:trHeight w:val="312"/>
        </w:trPr>
        <w:tc>
          <w:tcPr>
            <w:tcW w:w="4962" w:type="dxa"/>
            <w:tcMar>
              <w:left w:w="57" w:type="dxa"/>
              <w:right w:w="57" w:type="dxa"/>
            </w:tcMar>
            <w:vAlign w:val="center"/>
          </w:tcPr>
          <w:p w14:paraId="73612BC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$400,000 - $419,999</w:t>
            </w:r>
          </w:p>
        </w:tc>
        <w:tc>
          <w:tcPr>
            <w:tcW w:w="1842" w:type="dxa"/>
            <w:shd w:val="clear" w:color="auto" w:fill="FFFFFF" w:themeFill="background1"/>
            <w:tcMar>
              <w:left w:w="57" w:type="dxa"/>
              <w:right w:w="57" w:type="dxa"/>
            </w:tcMar>
            <w:vAlign w:val="center"/>
          </w:tcPr>
          <w:p w14:paraId="71D9BEE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497D413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653BB5B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1FA8327B" w14:textId="77777777" w:rsidTr="00436354">
        <w:trPr>
          <w:trHeight w:val="312"/>
        </w:trPr>
        <w:tc>
          <w:tcPr>
            <w:tcW w:w="4962" w:type="dxa"/>
            <w:tcMar>
              <w:left w:w="57" w:type="dxa"/>
              <w:right w:w="57" w:type="dxa"/>
            </w:tcMar>
            <w:vAlign w:val="center"/>
          </w:tcPr>
          <w:p w14:paraId="142F867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$420,000 - $439,999</w:t>
            </w:r>
          </w:p>
        </w:tc>
        <w:tc>
          <w:tcPr>
            <w:tcW w:w="1842" w:type="dxa"/>
            <w:shd w:val="clear" w:color="auto" w:fill="FFFFFF" w:themeFill="background1"/>
            <w:tcMar>
              <w:left w:w="57" w:type="dxa"/>
              <w:right w:w="57" w:type="dxa"/>
            </w:tcMar>
            <w:vAlign w:val="center"/>
          </w:tcPr>
          <w:p w14:paraId="7E45962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4E9D849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0BF3B66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0FB8DB8A" w14:textId="77777777" w:rsidTr="00436354">
        <w:trPr>
          <w:trHeight w:val="312"/>
        </w:trPr>
        <w:tc>
          <w:tcPr>
            <w:tcW w:w="4962" w:type="dxa"/>
            <w:tcMar>
              <w:left w:w="57" w:type="dxa"/>
              <w:right w:w="57" w:type="dxa"/>
            </w:tcMar>
            <w:vAlign w:val="center"/>
          </w:tcPr>
          <w:p w14:paraId="12A5559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$440,000 - $459,999</w:t>
            </w:r>
          </w:p>
        </w:tc>
        <w:tc>
          <w:tcPr>
            <w:tcW w:w="1842" w:type="dxa"/>
            <w:shd w:val="clear" w:color="auto" w:fill="FFFFFF" w:themeFill="background1"/>
            <w:tcMar>
              <w:left w:w="57" w:type="dxa"/>
              <w:right w:w="57" w:type="dxa"/>
            </w:tcMar>
            <w:vAlign w:val="center"/>
          </w:tcPr>
          <w:p w14:paraId="6BD1C24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134" w:type="dxa"/>
            <w:tcMar>
              <w:left w:w="57" w:type="dxa"/>
              <w:right w:w="57" w:type="dxa"/>
            </w:tcMar>
            <w:vAlign w:val="center"/>
          </w:tcPr>
          <w:p w14:paraId="6916BC4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28423A0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14D340C2" w14:textId="77777777" w:rsidTr="00436354">
        <w:trPr>
          <w:trHeight w:val="312"/>
        </w:trPr>
        <w:tc>
          <w:tcPr>
            <w:tcW w:w="4962" w:type="dxa"/>
            <w:tcMar>
              <w:left w:w="57" w:type="dxa"/>
              <w:right w:w="57" w:type="dxa"/>
            </w:tcMar>
            <w:vAlign w:val="center"/>
          </w:tcPr>
          <w:p w14:paraId="41CAEB1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$460,000 - $479,999</w:t>
            </w:r>
          </w:p>
        </w:tc>
        <w:tc>
          <w:tcPr>
            <w:tcW w:w="1842" w:type="dxa"/>
            <w:shd w:val="clear" w:color="auto" w:fill="FFFFFF" w:themeFill="background1"/>
            <w:tcMar>
              <w:left w:w="57" w:type="dxa"/>
              <w:right w:w="57" w:type="dxa"/>
            </w:tcMar>
            <w:vAlign w:val="center"/>
          </w:tcPr>
          <w:p w14:paraId="20A8ABE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01D8077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57A29FA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6A1F9BF2" w14:textId="77777777" w:rsidTr="00436354">
        <w:trPr>
          <w:trHeight w:val="312"/>
        </w:trPr>
        <w:tc>
          <w:tcPr>
            <w:tcW w:w="4962" w:type="dxa"/>
            <w:tcMar>
              <w:left w:w="57" w:type="dxa"/>
              <w:right w:w="57" w:type="dxa"/>
            </w:tcMar>
            <w:vAlign w:val="center"/>
          </w:tcPr>
          <w:p w14:paraId="0768055B"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$480,000 - $499,999</w:t>
            </w:r>
          </w:p>
        </w:tc>
        <w:tc>
          <w:tcPr>
            <w:tcW w:w="1842" w:type="dxa"/>
            <w:shd w:val="clear" w:color="auto" w:fill="FFFFFF" w:themeFill="background1"/>
            <w:tcMar>
              <w:left w:w="57" w:type="dxa"/>
              <w:right w:w="57" w:type="dxa"/>
            </w:tcMar>
            <w:vAlign w:val="center"/>
          </w:tcPr>
          <w:p w14:paraId="3CA2345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35BF0E5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7D9577B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03B09063" w14:textId="77777777" w:rsidTr="00436354">
        <w:trPr>
          <w:trHeight w:val="312"/>
        </w:trPr>
        <w:tc>
          <w:tcPr>
            <w:tcW w:w="4962" w:type="dxa"/>
            <w:tcMar>
              <w:left w:w="57" w:type="dxa"/>
              <w:right w:w="57" w:type="dxa"/>
            </w:tcMar>
            <w:vAlign w:val="center"/>
          </w:tcPr>
          <w:p w14:paraId="59AE90B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&gt;$500,000</w:t>
            </w:r>
          </w:p>
        </w:tc>
        <w:tc>
          <w:tcPr>
            <w:tcW w:w="1842" w:type="dxa"/>
            <w:shd w:val="clear" w:color="auto" w:fill="FFFFFF" w:themeFill="background1"/>
            <w:tcMar>
              <w:left w:w="57" w:type="dxa"/>
              <w:right w:w="57" w:type="dxa"/>
            </w:tcMar>
            <w:vAlign w:val="center"/>
          </w:tcPr>
          <w:p w14:paraId="18F2BBB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134" w:type="dxa"/>
            <w:tcMar>
              <w:left w:w="57" w:type="dxa"/>
              <w:right w:w="57" w:type="dxa"/>
            </w:tcMar>
            <w:vAlign w:val="center"/>
          </w:tcPr>
          <w:p w14:paraId="3317F8E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39B584B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7B066B1C" w14:textId="77777777" w:rsidTr="00436354">
        <w:trPr>
          <w:trHeight w:val="312"/>
        </w:trPr>
        <w:tc>
          <w:tcPr>
            <w:tcW w:w="4962" w:type="dxa"/>
            <w:tcMar>
              <w:left w:w="57" w:type="dxa"/>
              <w:right w:w="57" w:type="dxa"/>
            </w:tcMar>
            <w:vAlign w:val="center"/>
          </w:tcPr>
          <w:p w14:paraId="279FD2C6"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headcount</w:t>
            </w:r>
          </w:p>
        </w:tc>
        <w:tc>
          <w:tcPr>
            <w:tcW w:w="1842" w:type="dxa"/>
            <w:shd w:val="clear" w:color="auto" w:fill="FFFFFF" w:themeFill="background1"/>
            <w:tcMar>
              <w:left w:w="57" w:type="dxa"/>
              <w:right w:w="57" w:type="dxa"/>
            </w:tcMar>
            <w:vAlign w:val="center"/>
          </w:tcPr>
          <w:p w14:paraId="3965C13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142</w:t>
            </w:r>
          </w:p>
        </w:tc>
        <w:tc>
          <w:tcPr>
            <w:tcW w:w="1134" w:type="dxa"/>
            <w:tcMar>
              <w:left w:w="57" w:type="dxa"/>
              <w:right w:w="57" w:type="dxa"/>
            </w:tcMar>
            <w:vAlign w:val="center"/>
          </w:tcPr>
          <w:p w14:paraId="0FB2E35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128</w:t>
            </w:r>
          </w:p>
        </w:tc>
        <w:tc>
          <w:tcPr>
            <w:tcW w:w="1134" w:type="dxa"/>
            <w:tcMar>
              <w:left w:w="57" w:type="dxa"/>
              <w:right w:w="57" w:type="dxa"/>
            </w:tcMar>
            <w:vAlign w:val="center"/>
          </w:tcPr>
          <w:p w14:paraId="5CC7E0C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16</w:t>
            </w:r>
          </w:p>
        </w:tc>
      </w:tr>
    </w:tbl>
    <w:p w14:paraId="4047FBF2" w14:textId="77777777" w:rsidR="003E5BF5" w:rsidRPr="00E273FC" w:rsidRDefault="003E5BF5">
      <w:pPr>
        <w:pStyle w:val="Note"/>
        <w:rPr>
          <w:rFonts w:ascii="Arial" w:hAnsi="Arial" w:cs="Arial"/>
          <w:sz w:val="24"/>
          <w:szCs w:val="24"/>
        </w:rPr>
      </w:pPr>
      <w:r w:rsidRPr="00E273FC">
        <w:rPr>
          <w:rFonts w:ascii="Arial" w:hAnsi="Arial" w:cs="Arial"/>
          <w:sz w:val="24"/>
          <w:szCs w:val="24"/>
        </w:rPr>
        <w:t xml:space="preserve">Notes: </w:t>
      </w:r>
    </w:p>
    <w:p w14:paraId="2499469C" w14:textId="77777777" w:rsidR="003E5BF5" w:rsidRPr="00E273FC" w:rsidRDefault="003E5BF5" w:rsidP="00610F5F">
      <w:pPr>
        <w:pStyle w:val="Notenumberingabc"/>
        <w:numPr>
          <w:ilvl w:val="0"/>
          <w:numId w:val="42"/>
        </w:numPr>
        <w:spacing w:before="0" w:after="120" w:line="360" w:lineRule="auto"/>
        <w:ind w:left="299" w:hanging="186"/>
        <w:contextualSpacing/>
        <w:rPr>
          <w:rFonts w:ascii="Arial" w:hAnsi="Arial" w:cs="Arial"/>
          <w:sz w:val="24"/>
          <w:szCs w:val="24"/>
        </w:rPr>
      </w:pPr>
      <w:r w:rsidRPr="00E273FC">
        <w:rPr>
          <w:rFonts w:ascii="Arial" w:hAnsi="Arial" w:cs="Arial"/>
          <w:sz w:val="24"/>
          <w:szCs w:val="24"/>
        </w:rPr>
        <w:t>The salaries reported above are the full time equivalent total remuneration, less superannuation.</w:t>
      </w:r>
    </w:p>
    <w:p w14:paraId="2736A464" w14:textId="77777777" w:rsidR="003E5BF5" w:rsidRPr="00E273FC" w:rsidRDefault="003E5BF5" w:rsidP="00696A16">
      <w:pPr>
        <w:pStyle w:val="Notenumberingabc"/>
        <w:spacing w:before="0" w:after="120" w:line="360" w:lineRule="auto"/>
        <w:contextualSpacing/>
        <w:rPr>
          <w:rFonts w:ascii="Arial" w:hAnsi="Arial" w:cs="Arial"/>
          <w:sz w:val="24"/>
          <w:szCs w:val="24"/>
        </w:rPr>
      </w:pPr>
      <w:r w:rsidRPr="00E273FC">
        <w:rPr>
          <w:rFonts w:ascii="Arial" w:hAnsi="Arial" w:cs="Arial"/>
          <w:sz w:val="24"/>
          <w:szCs w:val="24"/>
        </w:rPr>
        <w:t>There are a total of 12 senior employees employed on a part-time basis; 1 Executive, 1 PS and 10 STS. The part time fractions range from 0.4 to 0.92.</w:t>
      </w:r>
    </w:p>
    <w:p w14:paraId="764D625F" w14:textId="77777777" w:rsidR="003E5BF5" w:rsidRDefault="003E5BF5">
      <w:pPr>
        <w:rPr>
          <w:rFonts w:eastAsia="Times New Roman" w:cstheme="majorBidi"/>
          <w:b/>
          <w:color w:val="00BAC0"/>
        </w:rPr>
      </w:pPr>
      <w:r>
        <w:rPr>
          <w:rFonts w:eastAsia="Times New Roman"/>
          <w:color w:val="00BAC0"/>
        </w:rPr>
        <w:br w:type="page"/>
      </w:r>
    </w:p>
    <w:p w14:paraId="11C3D2BF" w14:textId="77777777" w:rsidR="003E5BF5" w:rsidRPr="00E273FC" w:rsidRDefault="003E5BF5" w:rsidP="00CF74EB">
      <w:pPr>
        <w:pStyle w:val="TableHeader"/>
      </w:pPr>
      <w:r w:rsidRPr="00E273FC">
        <w:lastRenderedPageBreak/>
        <w:t>Table 4: Portfolio Agency Executives 30 June 2020</w:t>
      </w:r>
    </w:p>
    <w:tbl>
      <w:tblPr>
        <w:tblStyle w:val="TableGrid"/>
        <w:tblW w:w="9072" w:type="dxa"/>
        <w:tblCellMar>
          <w:left w:w="28" w:type="dxa"/>
          <w:right w:w="28" w:type="dxa"/>
        </w:tblCellMar>
        <w:tblLook w:val="04A0" w:firstRow="1" w:lastRow="0" w:firstColumn="1" w:lastColumn="0" w:noHBand="0" w:noVBand="1"/>
      </w:tblPr>
      <w:tblGrid>
        <w:gridCol w:w="2619"/>
        <w:gridCol w:w="477"/>
        <w:gridCol w:w="515"/>
        <w:gridCol w:w="488"/>
        <w:gridCol w:w="630"/>
        <w:gridCol w:w="74"/>
        <w:gridCol w:w="477"/>
        <w:gridCol w:w="499"/>
        <w:gridCol w:w="498"/>
        <w:gridCol w:w="630"/>
        <w:gridCol w:w="74"/>
        <w:gridCol w:w="482"/>
        <w:gridCol w:w="491"/>
        <w:gridCol w:w="488"/>
        <w:gridCol w:w="630"/>
      </w:tblGrid>
      <w:tr w:rsidR="003E5BF5" w:rsidRPr="00E273FC" w14:paraId="54B0D6AC" w14:textId="77777777" w:rsidTr="00045E72">
        <w:trPr>
          <w:trHeight w:val="340"/>
        </w:trPr>
        <w:tc>
          <w:tcPr>
            <w:tcW w:w="2824" w:type="dxa"/>
            <w:shd w:val="clear" w:color="auto" w:fill="auto"/>
            <w:tcMar>
              <w:left w:w="57" w:type="dxa"/>
              <w:right w:w="57" w:type="dxa"/>
            </w:tcMar>
            <w:vAlign w:val="center"/>
          </w:tcPr>
          <w:p w14:paraId="2078A329" w14:textId="77777777" w:rsidR="003E5BF5" w:rsidRPr="00E273FC" w:rsidRDefault="003E5BF5" w:rsidP="00DE1921">
            <w:pPr>
              <w:jc w:val="right"/>
              <w:rPr>
                <w:rFonts w:ascii="Arial" w:eastAsia="Arial" w:hAnsi="Arial" w:cs="Arial"/>
                <w:b/>
                <w:sz w:val="24"/>
                <w:szCs w:val="24"/>
              </w:rPr>
            </w:pPr>
          </w:p>
        </w:tc>
        <w:tc>
          <w:tcPr>
            <w:tcW w:w="2032" w:type="dxa"/>
            <w:gridSpan w:val="4"/>
            <w:shd w:val="clear" w:color="auto" w:fill="auto"/>
            <w:vAlign w:val="center"/>
          </w:tcPr>
          <w:p w14:paraId="4F181118"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June 2020</w:t>
            </w:r>
          </w:p>
        </w:tc>
        <w:tc>
          <w:tcPr>
            <w:tcW w:w="76" w:type="dxa"/>
            <w:shd w:val="clear" w:color="auto" w:fill="auto"/>
            <w:vAlign w:val="center"/>
          </w:tcPr>
          <w:p w14:paraId="69549E35" w14:textId="77777777" w:rsidR="003E5BF5" w:rsidRPr="00E273FC" w:rsidRDefault="003E5BF5" w:rsidP="00DE1921">
            <w:pPr>
              <w:pStyle w:val="TableTextCentreBold"/>
              <w:rPr>
                <w:rFonts w:ascii="Arial" w:hAnsi="Arial" w:cs="Arial"/>
                <w:sz w:val="24"/>
                <w:szCs w:val="24"/>
              </w:rPr>
            </w:pPr>
          </w:p>
        </w:tc>
        <w:tc>
          <w:tcPr>
            <w:tcW w:w="2032" w:type="dxa"/>
            <w:gridSpan w:val="4"/>
            <w:shd w:val="clear" w:color="auto" w:fill="auto"/>
            <w:vAlign w:val="center"/>
          </w:tcPr>
          <w:p w14:paraId="6E4644F2"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June 2019</w:t>
            </w:r>
          </w:p>
        </w:tc>
        <w:tc>
          <w:tcPr>
            <w:tcW w:w="76" w:type="dxa"/>
            <w:shd w:val="clear" w:color="auto" w:fill="auto"/>
            <w:vAlign w:val="center"/>
          </w:tcPr>
          <w:p w14:paraId="18CFF51F" w14:textId="77777777" w:rsidR="003E5BF5" w:rsidRPr="00E273FC" w:rsidRDefault="003E5BF5" w:rsidP="00DE1921">
            <w:pPr>
              <w:pStyle w:val="TableTextCentreBold"/>
              <w:rPr>
                <w:rFonts w:ascii="Arial" w:hAnsi="Arial" w:cs="Arial"/>
                <w:sz w:val="24"/>
                <w:szCs w:val="24"/>
              </w:rPr>
            </w:pPr>
          </w:p>
        </w:tc>
        <w:tc>
          <w:tcPr>
            <w:tcW w:w="2032" w:type="dxa"/>
            <w:gridSpan w:val="4"/>
            <w:shd w:val="clear" w:color="auto" w:fill="auto"/>
            <w:vAlign w:val="center"/>
          </w:tcPr>
          <w:p w14:paraId="7CFB6DD1"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Annual Change</w:t>
            </w:r>
          </w:p>
        </w:tc>
      </w:tr>
      <w:tr w:rsidR="003E5BF5" w:rsidRPr="00E273FC" w14:paraId="45F04826" w14:textId="77777777" w:rsidTr="00045E72">
        <w:trPr>
          <w:trHeight w:val="340"/>
        </w:trPr>
        <w:tc>
          <w:tcPr>
            <w:tcW w:w="2824" w:type="dxa"/>
            <w:shd w:val="clear" w:color="auto" w:fill="auto"/>
            <w:tcMar>
              <w:left w:w="57" w:type="dxa"/>
              <w:right w:w="57" w:type="dxa"/>
            </w:tcMar>
            <w:vAlign w:val="center"/>
          </w:tcPr>
          <w:p w14:paraId="1F28661E"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Organisation</w:t>
            </w:r>
          </w:p>
        </w:tc>
        <w:tc>
          <w:tcPr>
            <w:tcW w:w="508" w:type="dxa"/>
            <w:shd w:val="clear" w:color="auto" w:fill="auto"/>
            <w:vAlign w:val="center"/>
          </w:tcPr>
          <w:p w14:paraId="6BE25A5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w:t>
            </w:r>
          </w:p>
        </w:tc>
        <w:tc>
          <w:tcPr>
            <w:tcW w:w="508" w:type="dxa"/>
            <w:shd w:val="clear" w:color="auto" w:fill="auto"/>
            <w:vAlign w:val="center"/>
          </w:tcPr>
          <w:p w14:paraId="65B1E7A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M</w:t>
            </w:r>
          </w:p>
        </w:tc>
        <w:tc>
          <w:tcPr>
            <w:tcW w:w="508" w:type="dxa"/>
            <w:shd w:val="clear" w:color="auto" w:fill="auto"/>
            <w:vAlign w:val="center"/>
          </w:tcPr>
          <w:p w14:paraId="7511806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SD</w:t>
            </w:r>
          </w:p>
        </w:tc>
        <w:tc>
          <w:tcPr>
            <w:tcW w:w="508" w:type="dxa"/>
            <w:shd w:val="clear" w:color="auto" w:fill="auto"/>
            <w:vAlign w:val="center"/>
          </w:tcPr>
          <w:p w14:paraId="3B7713B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Total</w:t>
            </w:r>
          </w:p>
        </w:tc>
        <w:tc>
          <w:tcPr>
            <w:tcW w:w="76" w:type="dxa"/>
            <w:shd w:val="clear" w:color="auto" w:fill="auto"/>
            <w:vAlign w:val="center"/>
          </w:tcPr>
          <w:p w14:paraId="623BD401" w14:textId="77777777" w:rsidR="003E5BF5" w:rsidRPr="00E273FC" w:rsidRDefault="003E5BF5" w:rsidP="00DE1921">
            <w:pPr>
              <w:pStyle w:val="TableTextRightBold"/>
              <w:rPr>
                <w:rFonts w:ascii="Arial" w:hAnsi="Arial" w:cs="Arial"/>
                <w:sz w:val="24"/>
                <w:szCs w:val="24"/>
              </w:rPr>
            </w:pPr>
          </w:p>
        </w:tc>
        <w:tc>
          <w:tcPr>
            <w:tcW w:w="508" w:type="dxa"/>
            <w:shd w:val="clear" w:color="auto" w:fill="auto"/>
            <w:vAlign w:val="center"/>
          </w:tcPr>
          <w:p w14:paraId="2C410E9E"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w:t>
            </w:r>
          </w:p>
        </w:tc>
        <w:tc>
          <w:tcPr>
            <w:tcW w:w="508" w:type="dxa"/>
            <w:shd w:val="clear" w:color="auto" w:fill="auto"/>
            <w:vAlign w:val="center"/>
          </w:tcPr>
          <w:p w14:paraId="56DA9E9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M</w:t>
            </w:r>
          </w:p>
        </w:tc>
        <w:tc>
          <w:tcPr>
            <w:tcW w:w="508" w:type="dxa"/>
            <w:shd w:val="clear" w:color="auto" w:fill="auto"/>
            <w:tcMar>
              <w:left w:w="57" w:type="dxa"/>
              <w:right w:w="57" w:type="dxa"/>
            </w:tcMar>
            <w:vAlign w:val="center"/>
          </w:tcPr>
          <w:p w14:paraId="1C02BC8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SD</w:t>
            </w:r>
          </w:p>
        </w:tc>
        <w:tc>
          <w:tcPr>
            <w:tcW w:w="508" w:type="dxa"/>
            <w:shd w:val="clear" w:color="auto" w:fill="auto"/>
            <w:vAlign w:val="center"/>
          </w:tcPr>
          <w:p w14:paraId="30067CCD"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Total</w:t>
            </w:r>
          </w:p>
        </w:tc>
        <w:tc>
          <w:tcPr>
            <w:tcW w:w="76" w:type="dxa"/>
            <w:shd w:val="clear" w:color="auto" w:fill="auto"/>
            <w:vAlign w:val="center"/>
          </w:tcPr>
          <w:p w14:paraId="03EE9972" w14:textId="77777777" w:rsidR="003E5BF5" w:rsidRPr="00E273FC" w:rsidRDefault="003E5BF5" w:rsidP="00DE1921">
            <w:pPr>
              <w:pStyle w:val="TableTextRightBold"/>
              <w:rPr>
                <w:rFonts w:ascii="Arial" w:hAnsi="Arial" w:cs="Arial"/>
                <w:sz w:val="24"/>
                <w:szCs w:val="24"/>
              </w:rPr>
            </w:pPr>
          </w:p>
        </w:tc>
        <w:tc>
          <w:tcPr>
            <w:tcW w:w="508" w:type="dxa"/>
            <w:shd w:val="clear" w:color="auto" w:fill="auto"/>
            <w:vAlign w:val="center"/>
          </w:tcPr>
          <w:p w14:paraId="73815D2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w:t>
            </w:r>
          </w:p>
        </w:tc>
        <w:tc>
          <w:tcPr>
            <w:tcW w:w="508" w:type="dxa"/>
            <w:shd w:val="clear" w:color="auto" w:fill="auto"/>
            <w:tcMar>
              <w:left w:w="57" w:type="dxa"/>
              <w:right w:w="57" w:type="dxa"/>
            </w:tcMar>
            <w:vAlign w:val="center"/>
          </w:tcPr>
          <w:p w14:paraId="44DF06C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M</w:t>
            </w:r>
          </w:p>
        </w:tc>
        <w:tc>
          <w:tcPr>
            <w:tcW w:w="508" w:type="dxa"/>
            <w:shd w:val="clear" w:color="auto" w:fill="auto"/>
            <w:vAlign w:val="center"/>
          </w:tcPr>
          <w:p w14:paraId="3B1475F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SD</w:t>
            </w:r>
          </w:p>
        </w:tc>
        <w:tc>
          <w:tcPr>
            <w:tcW w:w="508" w:type="dxa"/>
            <w:shd w:val="clear" w:color="auto" w:fill="auto"/>
            <w:vAlign w:val="center"/>
          </w:tcPr>
          <w:p w14:paraId="1AFF0F0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Total</w:t>
            </w:r>
          </w:p>
        </w:tc>
      </w:tr>
      <w:tr w:rsidR="003E5BF5" w:rsidRPr="00E273FC" w14:paraId="3DC2FA20" w14:textId="77777777" w:rsidTr="00045E72">
        <w:trPr>
          <w:trHeight w:val="340"/>
        </w:trPr>
        <w:tc>
          <w:tcPr>
            <w:tcW w:w="2824" w:type="dxa"/>
            <w:shd w:val="clear" w:color="auto" w:fill="auto"/>
            <w:tcMar>
              <w:left w:w="57" w:type="dxa"/>
              <w:right w:w="57" w:type="dxa"/>
            </w:tcMar>
          </w:tcPr>
          <w:p w14:paraId="2E0CB40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Commercial Passenger Vehicles Victoria</w:t>
            </w:r>
          </w:p>
        </w:tc>
        <w:tc>
          <w:tcPr>
            <w:tcW w:w="508" w:type="dxa"/>
            <w:shd w:val="clear" w:color="auto" w:fill="auto"/>
          </w:tcPr>
          <w:p w14:paraId="3862F1F8"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3</w:t>
            </w:r>
          </w:p>
        </w:tc>
        <w:tc>
          <w:tcPr>
            <w:tcW w:w="508" w:type="dxa"/>
            <w:shd w:val="clear" w:color="auto" w:fill="auto"/>
          </w:tcPr>
          <w:p w14:paraId="46E97BE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3</w:t>
            </w:r>
          </w:p>
        </w:tc>
        <w:tc>
          <w:tcPr>
            <w:tcW w:w="508" w:type="dxa"/>
            <w:shd w:val="clear" w:color="auto" w:fill="auto"/>
          </w:tcPr>
          <w:p w14:paraId="064236D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353E9040"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6</w:t>
            </w:r>
          </w:p>
        </w:tc>
        <w:tc>
          <w:tcPr>
            <w:tcW w:w="76" w:type="dxa"/>
            <w:shd w:val="clear" w:color="auto" w:fill="auto"/>
          </w:tcPr>
          <w:p w14:paraId="3C30BF4B" w14:textId="77777777" w:rsidR="003E5BF5" w:rsidRPr="00E273FC" w:rsidRDefault="003E5BF5">
            <w:pPr>
              <w:pStyle w:val="TableTextRightBold"/>
              <w:rPr>
                <w:rFonts w:ascii="Arial" w:hAnsi="Arial" w:cs="Arial"/>
                <w:sz w:val="24"/>
                <w:szCs w:val="24"/>
              </w:rPr>
            </w:pPr>
          </w:p>
        </w:tc>
        <w:tc>
          <w:tcPr>
            <w:tcW w:w="508" w:type="dxa"/>
            <w:shd w:val="clear" w:color="auto" w:fill="auto"/>
          </w:tcPr>
          <w:p w14:paraId="35276422"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3</w:t>
            </w:r>
          </w:p>
        </w:tc>
        <w:tc>
          <w:tcPr>
            <w:tcW w:w="508" w:type="dxa"/>
            <w:shd w:val="clear" w:color="auto" w:fill="auto"/>
          </w:tcPr>
          <w:p w14:paraId="4339358E"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2</w:t>
            </w:r>
          </w:p>
        </w:tc>
        <w:tc>
          <w:tcPr>
            <w:tcW w:w="508" w:type="dxa"/>
            <w:shd w:val="clear" w:color="auto" w:fill="auto"/>
            <w:tcMar>
              <w:left w:w="57" w:type="dxa"/>
              <w:right w:w="57" w:type="dxa"/>
            </w:tcMar>
          </w:tcPr>
          <w:p w14:paraId="04C87430"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w:t>
            </w:r>
          </w:p>
        </w:tc>
        <w:tc>
          <w:tcPr>
            <w:tcW w:w="508" w:type="dxa"/>
            <w:shd w:val="clear" w:color="auto" w:fill="auto"/>
          </w:tcPr>
          <w:p w14:paraId="191E029F"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5</w:t>
            </w:r>
          </w:p>
        </w:tc>
        <w:tc>
          <w:tcPr>
            <w:tcW w:w="76" w:type="dxa"/>
            <w:shd w:val="clear" w:color="auto" w:fill="auto"/>
          </w:tcPr>
          <w:p w14:paraId="2F57558B" w14:textId="77777777" w:rsidR="003E5BF5" w:rsidRPr="00E273FC" w:rsidRDefault="003E5BF5">
            <w:pPr>
              <w:pStyle w:val="TableTextRightBold"/>
              <w:rPr>
                <w:rFonts w:ascii="Arial" w:hAnsi="Arial" w:cs="Arial"/>
                <w:sz w:val="24"/>
                <w:szCs w:val="24"/>
              </w:rPr>
            </w:pPr>
          </w:p>
        </w:tc>
        <w:tc>
          <w:tcPr>
            <w:tcW w:w="508" w:type="dxa"/>
            <w:shd w:val="clear" w:color="auto" w:fill="auto"/>
          </w:tcPr>
          <w:p w14:paraId="44798FC9"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Mar>
              <w:left w:w="57" w:type="dxa"/>
              <w:right w:w="57" w:type="dxa"/>
            </w:tcMar>
          </w:tcPr>
          <w:p w14:paraId="068DE724"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1</w:t>
            </w:r>
          </w:p>
        </w:tc>
        <w:tc>
          <w:tcPr>
            <w:tcW w:w="508" w:type="dxa"/>
            <w:shd w:val="clear" w:color="auto" w:fill="auto"/>
          </w:tcPr>
          <w:p w14:paraId="0CE910BF"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6434197F"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1</w:t>
            </w:r>
          </w:p>
        </w:tc>
      </w:tr>
      <w:tr w:rsidR="003E5BF5" w:rsidRPr="00E273FC" w14:paraId="49584EAD" w14:textId="77777777" w:rsidTr="00045E72">
        <w:trPr>
          <w:trHeight w:val="340"/>
        </w:trPr>
        <w:tc>
          <w:tcPr>
            <w:tcW w:w="2824" w:type="dxa"/>
            <w:shd w:val="clear" w:color="auto" w:fill="auto"/>
            <w:tcMar>
              <w:left w:w="57" w:type="dxa"/>
              <w:right w:w="57" w:type="dxa"/>
            </w:tcMar>
          </w:tcPr>
          <w:p w14:paraId="7C02610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 xml:space="preserve">Gippsland Ports Committee of Management </w:t>
            </w:r>
          </w:p>
        </w:tc>
        <w:tc>
          <w:tcPr>
            <w:tcW w:w="508" w:type="dxa"/>
            <w:shd w:val="clear" w:color="auto" w:fill="auto"/>
          </w:tcPr>
          <w:p w14:paraId="0252689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2E82871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w:t>
            </w:r>
          </w:p>
        </w:tc>
        <w:tc>
          <w:tcPr>
            <w:tcW w:w="508" w:type="dxa"/>
            <w:shd w:val="clear" w:color="auto" w:fill="auto"/>
          </w:tcPr>
          <w:p w14:paraId="6084BC2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5F33AD6A"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2</w:t>
            </w:r>
          </w:p>
        </w:tc>
        <w:tc>
          <w:tcPr>
            <w:tcW w:w="76" w:type="dxa"/>
            <w:shd w:val="clear" w:color="auto" w:fill="auto"/>
          </w:tcPr>
          <w:p w14:paraId="5C9095A5" w14:textId="77777777" w:rsidR="003E5BF5" w:rsidRPr="00E273FC" w:rsidRDefault="003E5BF5">
            <w:pPr>
              <w:pStyle w:val="TableTextRightBold"/>
              <w:rPr>
                <w:rFonts w:ascii="Arial" w:hAnsi="Arial" w:cs="Arial"/>
                <w:sz w:val="24"/>
                <w:szCs w:val="24"/>
              </w:rPr>
            </w:pPr>
          </w:p>
        </w:tc>
        <w:tc>
          <w:tcPr>
            <w:tcW w:w="508" w:type="dxa"/>
            <w:shd w:val="clear" w:color="auto" w:fill="auto"/>
          </w:tcPr>
          <w:p w14:paraId="31C9C87D"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w:t>
            </w:r>
          </w:p>
        </w:tc>
        <w:tc>
          <w:tcPr>
            <w:tcW w:w="508" w:type="dxa"/>
            <w:shd w:val="clear" w:color="auto" w:fill="auto"/>
          </w:tcPr>
          <w:p w14:paraId="251D2C51"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2</w:t>
            </w:r>
          </w:p>
        </w:tc>
        <w:tc>
          <w:tcPr>
            <w:tcW w:w="508" w:type="dxa"/>
            <w:shd w:val="clear" w:color="auto" w:fill="auto"/>
            <w:tcMar>
              <w:left w:w="57" w:type="dxa"/>
              <w:right w:w="57" w:type="dxa"/>
            </w:tcMar>
          </w:tcPr>
          <w:p w14:paraId="6B39EF26"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w:t>
            </w:r>
          </w:p>
        </w:tc>
        <w:tc>
          <w:tcPr>
            <w:tcW w:w="508" w:type="dxa"/>
            <w:shd w:val="clear" w:color="auto" w:fill="auto"/>
          </w:tcPr>
          <w:p w14:paraId="289868D6"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2</w:t>
            </w:r>
          </w:p>
        </w:tc>
        <w:tc>
          <w:tcPr>
            <w:tcW w:w="76" w:type="dxa"/>
            <w:shd w:val="clear" w:color="auto" w:fill="auto"/>
          </w:tcPr>
          <w:p w14:paraId="79FAA019" w14:textId="77777777" w:rsidR="003E5BF5" w:rsidRPr="00E273FC" w:rsidRDefault="003E5BF5">
            <w:pPr>
              <w:pStyle w:val="TableTextRightBold"/>
              <w:rPr>
                <w:rFonts w:ascii="Arial" w:hAnsi="Arial" w:cs="Arial"/>
                <w:sz w:val="24"/>
                <w:szCs w:val="24"/>
              </w:rPr>
            </w:pPr>
          </w:p>
        </w:tc>
        <w:tc>
          <w:tcPr>
            <w:tcW w:w="508" w:type="dxa"/>
            <w:shd w:val="clear" w:color="auto" w:fill="auto"/>
          </w:tcPr>
          <w:p w14:paraId="1EDCCE6E"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Mar>
              <w:left w:w="57" w:type="dxa"/>
              <w:right w:w="57" w:type="dxa"/>
            </w:tcMar>
          </w:tcPr>
          <w:p w14:paraId="17E80271"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3AB27088"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6A93F62F"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r>
      <w:tr w:rsidR="003E5BF5" w:rsidRPr="00E273FC" w14:paraId="2D28B2BF" w14:textId="77777777" w:rsidTr="00045E72">
        <w:trPr>
          <w:trHeight w:val="340"/>
        </w:trPr>
        <w:tc>
          <w:tcPr>
            <w:tcW w:w="2824" w:type="dxa"/>
            <w:shd w:val="clear" w:color="auto" w:fill="auto"/>
            <w:tcMar>
              <w:left w:w="57" w:type="dxa"/>
              <w:right w:w="57" w:type="dxa"/>
            </w:tcMar>
          </w:tcPr>
          <w:p w14:paraId="5BCF286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Port of Hastings Development Authority</w:t>
            </w:r>
          </w:p>
        </w:tc>
        <w:tc>
          <w:tcPr>
            <w:tcW w:w="508" w:type="dxa"/>
            <w:shd w:val="clear" w:color="auto" w:fill="auto"/>
          </w:tcPr>
          <w:p w14:paraId="354CC96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5DD88A0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w:t>
            </w:r>
          </w:p>
        </w:tc>
        <w:tc>
          <w:tcPr>
            <w:tcW w:w="508" w:type="dxa"/>
            <w:shd w:val="clear" w:color="auto" w:fill="auto"/>
          </w:tcPr>
          <w:p w14:paraId="57332AA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60F8C7F2"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2</w:t>
            </w:r>
          </w:p>
        </w:tc>
        <w:tc>
          <w:tcPr>
            <w:tcW w:w="76" w:type="dxa"/>
            <w:shd w:val="clear" w:color="auto" w:fill="auto"/>
          </w:tcPr>
          <w:p w14:paraId="431B8959" w14:textId="77777777" w:rsidR="003E5BF5" w:rsidRPr="00E273FC" w:rsidRDefault="003E5BF5">
            <w:pPr>
              <w:pStyle w:val="TableTextRightBold"/>
              <w:rPr>
                <w:rFonts w:ascii="Arial" w:hAnsi="Arial" w:cs="Arial"/>
                <w:sz w:val="24"/>
                <w:szCs w:val="24"/>
              </w:rPr>
            </w:pPr>
          </w:p>
        </w:tc>
        <w:tc>
          <w:tcPr>
            <w:tcW w:w="508" w:type="dxa"/>
            <w:shd w:val="clear" w:color="auto" w:fill="auto"/>
          </w:tcPr>
          <w:p w14:paraId="1270ED88"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w:t>
            </w:r>
          </w:p>
        </w:tc>
        <w:tc>
          <w:tcPr>
            <w:tcW w:w="508" w:type="dxa"/>
            <w:shd w:val="clear" w:color="auto" w:fill="auto"/>
          </w:tcPr>
          <w:p w14:paraId="115537DA"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2</w:t>
            </w:r>
          </w:p>
        </w:tc>
        <w:tc>
          <w:tcPr>
            <w:tcW w:w="508" w:type="dxa"/>
            <w:shd w:val="clear" w:color="auto" w:fill="auto"/>
            <w:tcMar>
              <w:left w:w="57" w:type="dxa"/>
              <w:right w:w="57" w:type="dxa"/>
            </w:tcMar>
          </w:tcPr>
          <w:p w14:paraId="0D4C5794"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w:t>
            </w:r>
          </w:p>
        </w:tc>
        <w:tc>
          <w:tcPr>
            <w:tcW w:w="508" w:type="dxa"/>
            <w:shd w:val="clear" w:color="auto" w:fill="auto"/>
          </w:tcPr>
          <w:p w14:paraId="44C870C7"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2</w:t>
            </w:r>
          </w:p>
        </w:tc>
        <w:tc>
          <w:tcPr>
            <w:tcW w:w="76" w:type="dxa"/>
            <w:shd w:val="clear" w:color="auto" w:fill="auto"/>
          </w:tcPr>
          <w:p w14:paraId="589B5BFB" w14:textId="77777777" w:rsidR="003E5BF5" w:rsidRPr="00E273FC" w:rsidRDefault="003E5BF5">
            <w:pPr>
              <w:pStyle w:val="TableTextRightBold"/>
              <w:rPr>
                <w:rFonts w:ascii="Arial" w:hAnsi="Arial" w:cs="Arial"/>
                <w:sz w:val="24"/>
                <w:szCs w:val="24"/>
              </w:rPr>
            </w:pPr>
          </w:p>
        </w:tc>
        <w:tc>
          <w:tcPr>
            <w:tcW w:w="508" w:type="dxa"/>
            <w:shd w:val="clear" w:color="auto" w:fill="auto"/>
          </w:tcPr>
          <w:p w14:paraId="5B249648"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Mar>
              <w:left w:w="57" w:type="dxa"/>
              <w:right w:w="57" w:type="dxa"/>
            </w:tcMar>
          </w:tcPr>
          <w:p w14:paraId="25A629CA"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729DF7DB"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313A85B8"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r>
      <w:tr w:rsidR="003E5BF5" w:rsidRPr="00E273FC" w14:paraId="6948D55E" w14:textId="77777777" w:rsidTr="00045E72">
        <w:trPr>
          <w:trHeight w:val="340"/>
        </w:trPr>
        <w:tc>
          <w:tcPr>
            <w:tcW w:w="2824" w:type="dxa"/>
            <w:shd w:val="clear" w:color="auto" w:fill="auto"/>
            <w:tcMar>
              <w:left w:w="57" w:type="dxa"/>
              <w:right w:w="57" w:type="dxa"/>
            </w:tcMar>
            <w:vAlign w:val="center"/>
          </w:tcPr>
          <w:p w14:paraId="0D5E0722"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Transport Accident Commission</w:t>
            </w:r>
          </w:p>
        </w:tc>
        <w:tc>
          <w:tcPr>
            <w:tcW w:w="508" w:type="dxa"/>
            <w:shd w:val="clear" w:color="auto" w:fill="auto"/>
            <w:vAlign w:val="center"/>
          </w:tcPr>
          <w:p w14:paraId="6B444A3D"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18</w:t>
            </w:r>
          </w:p>
        </w:tc>
        <w:tc>
          <w:tcPr>
            <w:tcW w:w="508" w:type="dxa"/>
            <w:shd w:val="clear" w:color="auto" w:fill="auto"/>
            <w:vAlign w:val="center"/>
          </w:tcPr>
          <w:p w14:paraId="35E0EA6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20</w:t>
            </w:r>
          </w:p>
        </w:tc>
        <w:tc>
          <w:tcPr>
            <w:tcW w:w="508" w:type="dxa"/>
            <w:shd w:val="clear" w:color="auto" w:fill="auto"/>
            <w:vAlign w:val="center"/>
          </w:tcPr>
          <w:p w14:paraId="108DBFD9"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vAlign w:val="center"/>
          </w:tcPr>
          <w:p w14:paraId="2905AB6B"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38</w:t>
            </w:r>
          </w:p>
        </w:tc>
        <w:tc>
          <w:tcPr>
            <w:tcW w:w="76" w:type="dxa"/>
            <w:shd w:val="clear" w:color="auto" w:fill="auto"/>
            <w:vAlign w:val="center"/>
          </w:tcPr>
          <w:p w14:paraId="598DFB91" w14:textId="77777777" w:rsidR="003E5BF5" w:rsidRPr="00E273FC" w:rsidRDefault="003E5BF5">
            <w:pPr>
              <w:pStyle w:val="TableTextRightBold"/>
              <w:rPr>
                <w:rFonts w:ascii="Arial" w:hAnsi="Arial" w:cs="Arial"/>
                <w:sz w:val="24"/>
                <w:szCs w:val="24"/>
              </w:rPr>
            </w:pPr>
          </w:p>
        </w:tc>
        <w:tc>
          <w:tcPr>
            <w:tcW w:w="508" w:type="dxa"/>
            <w:shd w:val="clear" w:color="auto" w:fill="auto"/>
            <w:vAlign w:val="center"/>
          </w:tcPr>
          <w:p w14:paraId="36F8BF65"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21</w:t>
            </w:r>
          </w:p>
        </w:tc>
        <w:tc>
          <w:tcPr>
            <w:tcW w:w="508" w:type="dxa"/>
            <w:shd w:val="clear" w:color="auto" w:fill="auto"/>
            <w:vAlign w:val="center"/>
          </w:tcPr>
          <w:p w14:paraId="7FD357BC"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19</w:t>
            </w:r>
          </w:p>
        </w:tc>
        <w:tc>
          <w:tcPr>
            <w:tcW w:w="508" w:type="dxa"/>
            <w:shd w:val="clear" w:color="auto" w:fill="auto"/>
            <w:tcMar>
              <w:left w:w="57" w:type="dxa"/>
              <w:right w:w="57" w:type="dxa"/>
            </w:tcMar>
            <w:vAlign w:val="center"/>
          </w:tcPr>
          <w:p w14:paraId="69D9C387"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w:t>
            </w:r>
          </w:p>
        </w:tc>
        <w:tc>
          <w:tcPr>
            <w:tcW w:w="508" w:type="dxa"/>
            <w:shd w:val="clear" w:color="auto" w:fill="auto"/>
            <w:vAlign w:val="center"/>
          </w:tcPr>
          <w:p w14:paraId="622EF22D"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40</w:t>
            </w:r>
          </w:p>
        </w:tc>
        <w:tc>
          <w:tcPr>
            <w:tcW w:w="76" w:type="dxa"/>
            <w:shd w:val="clear" w:color="auto" w:fill="auto"/>
            <w:vAlign w:val="center"/>
          </w:tcPr>
          <w:p w14:paraId="3E0D83E9" w14:textId="77777777" w:rsidR="003E5BF5" w:rsidRPr="00E273FC" w:rsidRDefault="003E5BF5">
            <w:pPr>
              <w:pStyle w:val="TableTextRightBold"/>
              <w:rPr>
                <w:rFonts w:ascii="Arial" w:hAnsi="Arial" w:cs="Arial"/>
                <w:sz w:val="24"/>
                <w:szCs w:val="24"/>
              </w:rPr>
            </w:pPr>
          </w:p>
        </w:tc>
        <w:tc>
          <w:tcPr>
            <w:tcW w:w="508" w:type="dxa"/>
            <w:shd w:val="clear" w:color="auto" w:fill="auto"/>
            <w:vAlign w:val="center"/>
          </w:tcPr>
          <w:p w14:paraId="278A5A23"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(3)</w:t>
            </w:r>
          </w:p>
        </w:tc>
        <w:tc>
          <w:tcPr>
            <w:tcW w:w="508" w:type="dxa"/>
            <w:shd w:val="clear" w:color="auto" w:fill="auto"/>
            <w:tcMar>
              <w:left w:w="57" w:type="dxa"/>
              <w:right w:w="57" w:type="dxa"/>
            </w:tcMar>
            <w:vAlign w:val="center"/>
          </w:tcPr>
          <w:p w14:paraId="01B0B80D"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1</w:t>
            </w:r>
          </w:p>
        </w:tc>
        <w:tc>
          <w:tcPr>
            <w:tcW w:w="508" w:type="dxa"/>
            <w:shd w:val="clear" w:color="auto" w:fill="auto"/>
            <w:vAlign w:val="center"/>
          </w:tcPr>
          <w:p w14:paraId="73917B33"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vAlign w:val="center"/>
          </w:tcPr>
          <w:p w14:paraId="2F304160"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(2)</w:t>
            </w:r>
          </w:p>
        </w:tc>
      </w:tr>
      <w:tr w:rsidR="003E5BF5" w:rsidRPr="00E273FC" w14:paraId="79EA6E7C" w14:textId="77777777" w:rsidTr="00045E72">
        <w:trPr>
          <w:trHeight w:val="340"/>
        </w:trPr>
        <w:tc>
          <w:tcPr>
            <w:tcW w:w="2824" w:type="dxa"/>
            <w:shd w:val="clear" w:color="auto" w:fill="auto"/>
            <w:tcMar>
              <w:left w:w="57" w:type="dxa"/>
              <w:right w:w="57" w:type="dxa"/>
            </w:tcMar>
            <w:vAlign w:val="center"/>
          </w:tcPr>
          <w:p w14:paraId="2A2E5AA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 xml:space="preserve">V/Line Corporation </w:t>
            </w:r>
          </w:p>
        </w:tc>
        <w:tc>
          <w:tcPr>
            <w:tcW w:w="508" w:type="dxa"/>
            <w:shd w:val="clear" w:color="auto" w:fill="auto"/>
            <w:vAlign w:val="center"/>
          </w:tcPr>
          <w:p w14:paraId="4F589AE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19</w:t>
            </w:r>
          </w:p>
        </w:tc>
        <w:tc>
          <w:tcPr>
            <w:tcW w:w="508" w:type="dxa"/>
            <w:shd w:val="clear" w:color="auto" w:fill="auto"/>
            <w:vAlign w:val="center"/>
          </w:tcPr>
          <w:p w14:paraId="153B486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56</w:t>
            </w:r>
          </w:p>
        </w:tc>
        <w:tc>
          <w:tcPr>
            <w:tcW w:w="508" w:type="dxa"/>
            <w:shd w:val="clear" w:color="auto" w:fill="auto"/>
            <w:vAlign w:val="center"/>
          </w:tcPr>
          <w:p w14:paraId="1E55E2B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vAlign w:val="center"/>
          </w:tcPr>
          <w:p w14:paraId="5FE6BED9"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75</w:t>
            </w:r>
          </w:p>
        </w:tc>
        <w:tc>
          <w:tcPr>
            <w:tcW w:w="76" w:type="dxa"/>
            <w:shd w:val="clear" w:color="auto" w:fill="auto"/>
            <w:vAlign w:val="center"/>
          </w:tcPr>
          <w:p w14:paraId="32347229" w14:textId="77777777" w:rsidR="003E5BF5" w:rsidRPr="00E273FC" w:rsidRDefault="003E5BF5">
            <w:pPr>
              <w:pStyle w:val="TableTextRightBold"/>
              <w:rPr>
                <w:rFonts w:ascii="Arial" w:hAnsi="Arial" w:cs="Arial"/>
                <w:sz w:val="24"/>
                <w:szCs w:val="24"/>
              </w:rPr>
            </w:pPr>
          </w:p>
        </w:tc>
        <w:tc>
          <w:tcPr>
            <w:tcW w:w="508" w:type="dxa"/>
            <w:shd w:val="clear" w:color="auto" w:fill="auto"/>
            <w:vAlign w:val="center"/>
          </w:tcPr>
          <w:p w14:paraId="210C54E1"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15</w:t>
            </w:r>
          </w:p>
        </w:tc>
        <w:tc>
          <w:tcPr>
            <w:tcW w:w="508" w:type="dxa"/>
            <w:shd w:val="clear" w:color="auto" w:fill="auto"/>
            <w:vAlign w:val="center"/>
          </w:tcPr>
          <w:p w14:paraId="7121083D"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52</w:t>
            </w:r>
          </w:p>
        </w:tc>
        <w:tc>
          <w:tcPr>
            <w:tcW w:w="508" w:type="dxa"/>
            <w:shd w:val="clear" w:color="auto" w:fill="auto"/>
            <w:tcMar>
              <w:left w:w="57" w:type="dxa"/>
              <w:right w:w="57" w:type="dxa"/>
            </w:tcMar>
            <w:vAlign w:val="center"/>
          </w:tcPr>
          <w:p w14:paraId="1B45F776"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w:t>
            </w:r>
          </w:p>
        </w:tc>
        <w:tc>
          <w:tcPr>
            <w:tcW w:w="508" w:type="dxa"/>
            <w:shd w:val="clear" w:color="auto" w:fill="auto"/>
            <w:vAlign w:val="center"/>
          </w:tcPr>
          <w:p w14:paraId="66332189"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67</w:t>
            </w:r>
          </w:p>
        </w:tc>
        <w:tc>
          <w:tcPr>
            <w:tcW w:w="76" w:type="dxa"/>
            <w:shd w:val="clear" w:color="auto" w:fill="auto"/>
            <w:vAlign w:val="center"/>
          </w:tcPr>
          <w:p w14:paraId="529A8366" w14:textId="77777777" w:rsidR="003E5BF5" w:rsidRPr="00E273FC" w:rsidRDefault="003E5BF5">
            <w:pPr>
              <w:pStyle w:val="TableTextRightBold"/>
              <w:rPr>
                <w:rFonts w:ascii="Arial" w:hAnsi="Arial" w:cs="Arial"/>
                <w:sz w:val="24"/>
                <w:szCs w:val="24"/>
              </w:rPr>
            </w:pPr>
          </w:p>
        </w:tc>
        <w:tc>
          <w:tcPr>
            <w:tcW w:w="508" w:type="dxa"/>
            <w:shd w:val="clear" w:color="auto" w:fill="auto"/>
            <w:vAlign w:val="center"/>
          </w:tcPr>
          <w:p w14:paraId="0CAFB8D9"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4</w:t>
            </w:r>
          </w:p>
        </w:tc>
        <w:tc>
          <w:tcPr>
            <w:tcW w:w="508" w:type="dxa"/>
            <w:shd w:val="clear" w:color="auto" w:fill="auto"/>
            <w:tcMar>
              <w:left w:w="57" w:type="dxa"/>
              <w:right w:w="57" w:type="dxa"/>
            </w:tcMar>
            <w:vAlign w:val="center"/>
          </w:tcPr>
          <w:p w14:paraId="4C5319AC"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4</w:t>
            </w:r>
          </w:p>
        </w:tc>
        <w:tc>
          <w:tcPr>
            <w:tcW w:w="508" w:type="dxa"/>
            <w:shd w:val="clear" w:color="auto" w:fill="auto"/>
            <w:vAlign w:val="center"/>
          </w:tcPr>
          <w:p w14:paraId="2B0CC835"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vAlign w:val="center"/>
          </w:tcPr>
          <w:p w14:paraId="2469623C"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8</w:t>
            </w:r>
          </w:p>
        </w:tc>
      </w:tr>
      <w:tr w:rsidR="003E5BF5" w:rsidRPr="00E273FC" w14:paraId="7888C2A4" w14:textId="77777777" w:rsidTr="00045E72">
        <w:trPr>
          <w:trHeight w:val="340"/>
        </w:trPr>
        <w:tc>
          <w:tcPr>
            <w:tcW w:w="2824" w:type="dxa"/>
            <w:shd w:val="clear" w:color="auto" w:fill="auto"/>
            <w:tcMar>
              <w:left w:w="57" w:type="dxa"/>
              <w:right w:w="57" w:type="dxa"/>
            </w:tcMar>
            <w:vAlign w:val="center"/>
          </w:tcPr>
          <w:p w14:paraId="319D9152"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Victorian Fisheries Authority</w:t>
            </w:r>
          </w:p>
        </w:tc>
        <w:tc>
          <w:tcPr>
            <w:tcW w:w="508" w:type="dxa"/>
            <w:shd w:val="clear" w:color="auto" w:fill="auto"/>
            <w:vAlign w:val="center"/>
          </w:tcPr>
          <w:p w14:paraId="04DCBD7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w:t>
            </w:r>
          </w:p>
        </w:tc>
        <w:tc>
          <w:tcPr>
            <w:tcW w:w="508" w:type="dxa"/>
            <w:shd w:val="clear" w:color="auto" w:fill="auto"/>
            <w:vAlign w:val="center"/>
          </w:tcPr>
          <w:p w14:paraId="235CA34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w:t>
            </w:r>
          </w:p>
        </w:tc>
        <w:tc>
          <w:tcPr>
            <w:tcW w:w="508" w:type="dxa"/>
            <w:shd w:val="clear" w:color="auto" w:fill="auto"/>
            <w:vAlign w:val="center"/>
          </w:tcPr>
          <w:p w14:paraId="33F0544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vAlign w:val="center"/>
          </w:tcPr>
          <w:p w14:paraId="25DDE2D7"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3</w:t>
            </w:r>
          </w:p>
        </w:tc>
        <w:tc>
          <w:tcPr>
            <w:tcW w:w="76" w:type="dxa"/>
            <w:shd w:val="clear" w:color="auto" w:fill="auto"/>
            <w:vAlign w:val="center"/>
          </w:tcPr>
          <w:p w14:paraId="4C540AAD" w14:textId="77777777" w:rsidR="003E5BF5" w:rsidRPr="00E273FC" w:rsidRDefault="003E5BF5">
            <w:pPr>
              <w:pStyle w:val="TableTextRightBold"/>
              <w:rPr>
                <w:rFonts w:ascii="Arial" w:hAnsi="Arial" w:cs="Arial"/>
                <w:sz w:val="24"/>
                <w:szCs w:val="24"/>
              </w:rPr>
            </w:pPr>
          </w:p>
        </w:tc>
        <w:tc>
          <w:tcPr>
            <w:tcW w:w="508" w:type="dxa"/>
            <w:shd w:val="clear" w:color="auto" w:fill="auto"/>
            <w:vAlign w:val="center"/>
          </w:tcPr>
          <w:p w14:paraId="4F2A6E02"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1</w:t>
            </w:r>
          </w:p>
        </w:tc>
        <w:tc>
          <w:tcPr>
            <w:tcW w:w="508" w:type="dxa"/>
            <w:shd w:val="clear" w:color="auto" w:fill="auto"/>
            <w:vAlign w:val="center"/>
          </w:tcPr>
          <w:p w14:paraId="29CB106E"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2</w:t>
            </w:r>
          </w:p>
        </w:tc>
        <w:tc>
          <w:tcPr>
            <w:tcW w:w="508" w:type="dxa"/>
            <w:shd w:val="clear" w:color="auto" w:fill="auto"/>
            <w:tcMar>
              <w:left w:w="57" w:type="dxa"/>
              <w:right w:w="57" w:type="dxa"/>
            </w:tcMar>
            <w:vAlign w:val="center"/>
          </w:tcPr>
          <w:p w14:paraId="6E420D4C"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w:t>
            </w:r>
          </w:p>
        </w:tc>
        <w:tc>
          <w:tcPr>
            <w:tcW w:w="508" w:type="dxa"/>
            <w:shd w:val="clear" w:color="auto" w:fill="auto"/>
            <w:vAlign w:val="center"/>
          </w:tcPr>
          <w:p w14:paraId="7705056E"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3</w:t>
            </w:r>
          </w:p>
        </w:tc>
        <w:tc>
          <w:tcPr>
            <w:tcW w:w="76" w:type="dxa"/>
            <w:shd w:val="clear" w:color="auto" w:fill="auto"/>
            <w:vAlign w:val="center"/>
          </w:tcPr>
          <w:p w14:paraId="16AE51A9" w14:textId="77777777" w:rsidR="003E5BF5" w:rsidRPr="00E273FC" w:rsidRDefault="003E5BF5">
            <w:pPr>
              <w:pStyle w:val="TableTextRightBold"/>
              <w:rPr>
                <w:rFonts w:ascii="Arial" w:hAnsi="Arial" w:cs="Arial"/>
                <w:sz w:val="24"/>
                <w:szCs w:val="24"/>
              </w:rPr>
            </w:pPr>
          </w:p>
        </w:tc>
        <w:tc>
          <w:tcPr>
            <w:tcW w:w="508" w:type="dxa"/>
            <w:shd w:val="clear" w:color="auto" w:fill="auto"/>
            <w:vAlign w:val="center"/>
          </w:tcPr>
          <w:p w14:paraId="387F8E3F"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Mar>
              <w:left w:w="57" w:type="dxa"/>
              <w:right w:w="57" w:type="dxa"/>
            </w:tcMar>
            <w:vAlign w:val="center"/>
          </w:tcPr>
          <w:p w14:paraId="1080D62A"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vAlign w:val="center"/>
          </w:tcPr>
          <w:p w14:paraId="39A4C37A"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vAlign w:val="center"/>
          </w:tcPr>
          <w:p w14:paraId="00EBFE55"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r>
      <w:tr w:rsidR="003E5BF5" w:rsidRPr="00E273FC" w14:paraId="09E832FB" w14:textId="77777777" w:rsidTr="00045E72">
        <w:trPr>
          <w:trHeight w:val="340"/>
        </w:trPr>
        <w:tc>
          <w:tcPr>
            <w:tcW w:w="2824" w:type="dxa"/>
            <w:shd w:val="clear" w:color="auto" w:fill="auto"/>
            <w:tcMar>
              <w:left w:w="57" w:type="dxa"/>
              <w:right w:w="57" w:type="dxa"/>
            </w:tcMar>
          </w:tcPr>
          <w:p w14:paraId="319FFD86"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Victorian Ports Corporation (Melbourne)</w:t>
            </w:r>
          </w:p>
        </w:tc>
        <w:tc>
          <w:tcPr>
            <w:tcW w:w="508" w:type="dxa"/>
            <w:shd w:val="clear" w:color="auto" w:fill="auto"/>
          </w:tcPr>
          <w:p w14:paraId="61CDCAEE"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w:t>
            </w:r>
          </w:p>
        </w:tc>
        <w:tc>
          <w:tcPr>
            <w:tcW w:w="508" w:type="dxa"/>
            <w:shd w:val="clear" w:color="auto" w:fill="auto"/>
          </w:tcPr>
          <w:p w14:paraId="2EEEF0B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7</w:t>
            </w:r>
          </w:p>
        </w:tc>
        <w:tc>
          <w:tcPr>
            <w:tcW w:w="508" w:type="dxa"/>
            <w:shd w:val="clear" w:color="auto" w:fill="auto"/>
          </w:tcPr>
          <w:p w14:paraId="1F9577A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441CB722"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9</w:t>
            </w:r>
          </w:p>
        </w:tc>
        <w:tc>
          <w:tcPr>
            <w:tcW w:w="76" w:type="dxa"/>
            <w:shd w:val="clear" w:color="auto" w:fill="auto"/>
          </w:tcPr>
          <w:p w14:paraId="1CAA6F4B" w14:textId="77777777" w:rsidR="003E5BF5" w:rsidRPr="00E273FC" w:rsidRDefault="003E5BF5">
            <w:pPr>
              <w:pStyle w:val="TableTextRightBold"/>
              <w:rPr>
                <w:rFonts w:ascii="Arial" w:hAnsi="Arial" w:cs="Arial"/>
                <w:sz w:val="24"/>
                <w:szCs w:val="24"/>
              </w:rPr>
            </w:pPr>
          </w:p>
        </w:tc>
        <w:tc>
          <w:tcPr>
            <w:tcW w:w="508" w:type="dxa"/>
            <w:shd w:val="clear" w:color="auto" w:fill="auto"/>
          </w:tcPr>
          <w:p w14:paraId="517C3EDA"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2</w:t>
            </w:r>
          </w:p>
        </w:tc>
        <w:tc>
          <w:tcPr>
            <w:tcW w:w="508" w:type="dxa"/>
            <w:shd w:val="clear" w:color="auto" w:fill="auto"/>
          </w:tcPr>
          <w:p w14:paraId="26840A49"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8</w:t>
            </w:r>
          </w:p>
        </w:tc>
        <w:tc>
          <w:tcPr>
            <w:tcW w:w="508" w:type="dxa"/>
            <w:shd w:val="clear" w:color="auto" w:fill="auto"/>
            <w:tcMar>
              <w:left w:w="57" w:type="dxa"/>
              <w:right w:w="57" w:type="dxa"/>
            </w:tcMar>
          </w:tcPr>
          <w:p w14:paraId="328B6B3C"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w:t>
            </w:r>
          </w:p>
        </w:tc>
        <w:tc>
          <w:tcPr>
            <w:tcW w:w="508" w:type="dxa"/>
            <w:shd w:val="clear" w:color="auto" w:fill="auto"/>
          </w:tcPr>
          <w:p w14:paraId="299DB909"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10</w:t>
            </w:r>
          </w:p>
        </w:tc>
        <w:tc>
          <w:tcPr>
            <w:tcW w:w="76" w:type="dxa"/>
            <w:shd w:val="clear" w:color="auto" w:fill="auto"/>
          </w:tcPr>
          <w:p w14:paraId="22D058C0" w14:textId="77777777" w:rsidR="003E5BF5" w:rsidRPr="00E273FC" w:rsidRDefault="003E5BF5">
            <w:pPr>
              <w:pStyle w:val="TableTextRightBold"/>
              <w:rPr>
                <w:rFonts w:ascii="Arial" w:hAnsi="Arial" w:cs="Arial"/>
                <w:sz w:val="24"/>
                <w:szCs w:val="24"/>
              </w:rPr>
            </w:pPr>
          </w:p>
        </w:tc>
        <w:tc>
          <w:tcPr>
            <w:tcW w:w="508" w:type="dxa"/>
            <w:shd w:val="clear" w:color="auto" w:fill="auto"/>
          </w:tcPr>
          <w:p w14:paraId="2DE9865B"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Mar>
              <w:left w:w="57" w:type="dxa"/>
              <w:right w:w="57" w:type="dxa"/>
            </w:tcMar>
          </w:tcPr>
          <w:p w14:paraId="72D42B45"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(1)</w:t>
            </w:r>
          </w:p>
        </w:tc>
        <w:tc>
          <w:tcPr>
            <w:tcW w:w="508" w:type="dxa"/>
            <w:shd w:val="clear" w:color="auto" w:fill="auto"/>
          </w:tcPr>
          <w:p w14:paraId="508CEA94"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49101AFD"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(1)</w:t>
            </w:r>
          </w:p>
        </w:tc>
      </w:tr>
      <w:tr w:rsidR="003E5BF5" w:rsidRPr="00E273FC" w14:paraId="1907F4EC" w14:textId="77777777" w:rsidTr="00045E72">
        <w:trPr>
          <w:trHeight w:val="340"/>
        </w:trPr>
        <w:tc>
          <w:tcPr>
            <w:tcW w:w="2824" w:type="dxa"/>
            <w:shd w:val="clear" w:color="auto" w:fill="auto"/>
            <w:tcMar>
              <w:left w:w="57" w:type="dxa"/>
              <w:right w:w="57" w:type="dxa"/>
            </w:tcMar>
            <w:vAlign w:val="center"/>
          </w:tcPr>
          <w:p w14:paraId="2BF87D3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Victorian Rail Track Corporation</w:t>
            </w:r>
          </w:p>
        </w:tc>
        <w:tc>
          <w:tcPr>
            <w:tcW w:w="508" w:type="dxa"/>
            <w:shd w:val="clear" w:color="auto" w:fill="auto"/>
            <w:vAlign w:val="center"/>
          </w:tcPr>
          <w:p w14:paraId="76E832A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8</w:t>
            </w:r>
          </w:p>
        </w:tc>
        <w:tc>
          <w:tcPr>
            <w:tcW w:w="508" w:type="dxa"/>
            <w:shd w:val="clear" w:color="auto" w:fill="auto"/>
            <w:vAlign w:val="center"/>
          </w:tcPr>
          <w:p w14:paraId="44ECB0D9"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12</w:t>
            </w:r>
          </w:p>
        </w:tc>
        <w:tc>
          <w:tcPr>
            <w:tcW w:w="508" w:type="dxa"/>
            <w:shd w:val="clear" w:color="auto" w:fill="auto"/>
            <w:vAlign w:val="center"/>
          </w:tcPr>
          <w:p w14:paraId="47494FD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vAlign w:val="center"/>
          </w:tcPr>
          <w:p w14:paraId="6289EC16"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20</w:t>
            </w:r>
          </w:p>
        </w:tc>
        <w:tc>
          <w:tcPr>
            <w:tcW w:w="76" w:type="dxa"/>
            <w:shd w:val="clear" w:color="auto" w:fill="auto"/>
            <w:vAlign w:val="center"/>
          </w:tcPr>
          <w:p w14:paraId="6032EC2B" w14:textId="77777777" w:rsidR="003E5BF5" w:rsidRPr="00E273FC" w:rsidRDefault="003E5BF5">
            <w:pPr>
              <w:pStyle w:val="TableTextRightBold"/>
              <w:rPr>
                <w:rFonts w:ascii="Arial" w:hAnsi="Arial" w:cs="Arial"/>
                <w:sz w:val="24"/>
                <w:szCs w:val="24"/>
              </w:rPr>
            </w:pPr>
          </w:p>
        </w:tc>
        <w:tc>
          <w:tcPr>
            <w:tcW w:w="508" w:type="dxa"/>
            <w:shd w:val="clear" w:color="auto" w:fill="auto"/>
            <w:vAlign w:val="center"/>
          </w:tcPr>
          <w:p w14:paraId="1C9B2835"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7</w:t>
            </w:r>
          </w:p>
        </w:tc>
        <w:tc>
          <w:tcPr>
            <w:tcW w:w="508" w:type="dxa"/>
            <w:shd w:val="clear" w:color="auto" w:fill="auto"/>
            <w:vAlign w:val="center"/>
          </w:tcPr>
          <w:p w14:paraId="07623307"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14</w:t>
            </w:r>
          </w:p>
        </w:tc>
        <w:tc>
          <w:tcPr>
            <w:tcW w:w="508" w:type="dxa"/>
            <w:shd w:val="clear" w:color="auto" w:fill="auto"/>
            <w:tcMar>
              <w:left w:w="57" w:type="dxa"/>
              <w:right w:w="57" w:type="dxa"/>
            </w:tcMar>
            <w:vAlign w:val="center"/>
          </w:tcPr>
          <w:p w14:paraId="5D4C48BE"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w:t>
            </w:r>
          </w:p>
        </w:tc>
        <w:tc>
          <w:tcPr>
            <w:tcW w:w="508" w:type="dxa"/>
            <w:shd w:val="clear" w:color="auto" w:fill="auto"/>
            <w:vAlign w:val="center"/>
          </w:tcPr>
          <w:p w14:paraId="528F7983"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21</w:t>
            </w:r>
          </w:p>
        </w:tc>
        <w:tc>
          <w:tcPr>
            <w:tcW w:w="76" w:type="dxa"/>
            <w:shd w:val="clear" w:color="auto" w:fill="auto"/>
            <w:vAlign w:val="center"/>
          </w:tcPr>
          <w:p w14:paraId="65358448" w14:textId="77777777" w:rsidR="003E5BF5" w:rsidRPr="00E273FC" w:rsidRDefault="003E5BF5">
            <w:pPr>
              <w:pStyle w:val="TableTextRightBold"/>
              <w:rPr>
                <w:rFonts w:ascii="Arial" w:hAnsi="Arial" w:cs="Arial"/>
                <w:sz w:val="24"/>
                <w:szCs w:val="24"/>
              </w:rPr>
            </w:pPr>
          </w:p>
        </w:tc>
        <w:tc>
          <w:tcPr>
            <w:tcW w:w="508" w:type="dxa"/>
            <w:shd w:val="clear" w:color="auto" w:fill="auto"/>
            <w:vAlign w:val="center"/>
          </w:tcPr>
          <w:p w14:paraId="5120BB5C"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1</w:t>
            </w:r>
          </w:p>
        </w:tc>
        <w:tc>
          <w:tcPr>
            <w:tcW w:w="508" w:type="dxa"/>
            <w:shd w:val="clear" w:color="auto" w:fill="auto"/>
            <w:tcMar>
              <w:left w:w="57" w:type="dxa"/>
              <w:right w:w="57" w:type="dxa"/>
            </w:tcMar>
            <w:vAlign w:val="center"/>
          </w:tcPr>
          <w:p w14:paraId="6FC0A644"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(2)</w:t>
            </w:r>
          </w:p>
        </w:tc>
        <w:tc>
          <w:tcPr>
            <w:tcW w:w="508" w:type="dxa"/>
            <w:shd w:val="clear" w:color="auto" w:fill="auto"/>
            <w:vAlign w:val="center"/>
          </w:tcPr>
          <w:p w14:paraId="4CB7637B"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vAlign w:val="center"/>
          </w:tcPr>
          <w:p w14:paraId="32704B5D"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(1)</w:t>
            </w:r>
          </w:p>
        </w:tc>
      </w:tr>
      <w:tr w:rsidR="003E5BF5" w:rsidRPr="00E273FC" w14:paraId="435CBBA3" w14:textId="77777777" w:rsidTr="00045E72">
        <w:trPr>
          <w:trHeight w:val="340"/>
        </w:trPr>
        <w:tc>
          <w:tcPr>
            <w:tcW w:w="2824" w:type="dxa"/>
            <w:shd w:val="clear" w:color="auto" w:fill="auto"/>
            <w:tcMar>
              <w:left w:w="57" w:type="dxa"/>
              <w:right w:w="57" w:type="dxa"/>
            </w:tcMar>
          </w:tcPr>
          <w:p w14:paraId="614BB5C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Victorian Regional Channels Authority</w:t>
            </w:r>
          </w:p>
        </w:tc>
        <w:tc>
          <w:tcPr>
            <w:tcW w:w="508" w:type="dxa"/>
            <w:shd w:val="clear" w:color="auto" w:fill="auto"/>
          </w:tcPr>
          <w:p w14:paraId="308AA94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528C016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w:t>
            </w:r>
          </w:p>
        </w:tc>
        <w:tc>
          <w:tcPr>
            <w:tcW w:w="508" w:type="dxa"/>
            <w:shd w:val="clear" w:color="auto" w:fill="auto"/>
          </w:tcPr>
          <w:p w14:paraId="601E774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0BD2B4BD"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2</w:t>
            </w:r>
          </w:p>
        </w:tc>
        <w:tc>
          <w:tcPr>
            <w:tcW w:w="76" w:type="dxa"/>
            <w:shd w:val="clear" w:color="auto" w:fill="auto"/>
          </w:tcPr>
          <w:p w14:paraId="2D6C7740" w14:textId="77777777" w:rsidR="003E5BF5" w:rsidRPr="00E273FC" w:rsidRDefault="003E5BF5">
            <w:pPr>
              <w:pStyle w:val="TableTextRightBold"/>
              <w:rPr>
                <w:rFonts w:ascii="Arial" w:hAnsi="Arial" w:cs="Arial"/>
                <w:sz w:val="24"/>
                <w:szCs w:val="24"/>
              </w:rPr>
            </w:pPr>
          </w:p>
        </w:tc>
        <w:tc>
          <w:tcPr>
            <w:tcW w:w="508" w:type="dxa"/>
            <w:shd w:val="clear" w:color="auto" w:fill="auto"/>
          </w:tcPr>
          <w:p w14:paraId="35279BC1"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w:t>
            </w:r>
          </w:p>
        </w:tc>
        <w:tc>
          <w:tcPr>
            <w:tcW w:w="508" w:type="dxa"/>
            <w:shd w:val="clear" w:color="auto" w:fill="auto"/>
          </w:tcPr>
          <w:p w14:paraId="4B8F1C38"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2</w:t>
            </w:r>
          </w:p>
        </w:tc>
        <w:tc>
          <w:tcPr>
            <w:tcW w:w="508" w:type="dxa"/>
            <w:shd w:val="clear" w:color="auto" w:fill="auto"/>
            <w:tcMar>
              <w:left w:w="57" w:type="dxa"/>
              <w:right w:w="57" w:type="dxa"/>
            </w:tcMar>
          </w:tcPr>
          <w:p w14:paraId="4C3A79C4"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w:t>
            </w:r>
          </w:p>
        </w:tc>
        <w:tc>
          <w:tcPr>
            <w:tcW w:w="508" w:type="dxa"/>
            <w:shd w:val="clear" w:color="auto" w:fill="auto"/>
          </w:tcPr>
          <w:p w14:paraId="7A5E43D8" w14:textId="77777777" w:rsidR="003E5BF5" w:rsidRPr="00E273FC" w:rsidRDefault="003E5BF5">
            <w:pPr>
              <w:pStyle w:val="TableTextRight"/>
              <w:rPr>
                <w:rFonts w:ascii="Arial" w:hAnsi="Arial" w:cs="Arial"/>
                <w:sz w:val="24"/>
                <w:szCs w:val="24"/>
              </w:rPr>
            </w:pPr>
            <w:r w:rsidRPr="00E273FC">
              <w:rPr>
                <w:rFonts w:ascii="Arial" w:hAnsi="Arial" w:cs="Arial"/>
                <w:sz w:val="24"/>
                <w:szCs w:val="24"/>
              </w:rPr>
              <w:t>2</w:t>
            </w:r>
          </w:p>
        </w:tc>
        <w:tc>
          <w:tcPr>
            <w:tcW w:w="76" w:type="dxa"/>
            <w:shd w:val="clear" w:color="auto" w:fill="auto"/>
          </w:tcPr>
          <w:p w14:paraId="0D5DA80A" w14:textId="77777777" w:rsidR="003E5BF5" w:rsidRPr="00E273FC" w:rsidRDefault="003E5BF5">
            <w:pPr>
              <w:pStyle w:val="TableTextRightBold"/>
              <w:rPr>
                <w:rFonts w:ascii="Arial" w:hAnsi="Arial" w:cs="Arial"/>
                <w:sz w:val="24"/>
                <w:szCs w:val="24"/>
              </w:rPr>
            </w:pPr>
          </w:p>
        </w:tc>
        <w:tc>
          <w:tcPr>
            <w:tcW w:w="508" w:type="dxa"/>
            <w:shd w:val="clear" w:color="auto" w:fill="auto"/>
          </w:tcPr>
          <w:p w14:paraId="5D0430C4"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Mar>
              <w:left w:w="57" w:type="dxa"/>
              <w:right w:w="57" w:type="dxa"/>
            </w:tcMar>
          </w:tcPr>
          <w:p w14:paraId="04CFC4B2"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31B98CF3"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tcPr>
          <w:p w14:paraId="3661072B"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r>
      <w:tr w:rsidR="003E5BF5" w:rsidRPr="00E273FC" w14:paraId="781F1F2D" w14:textId="77777777" w:rsidTr="00045E72">
        <w:trPr>
          <w:trHeight w:val="340"/>
        </w:trPr>
        <w:tc>
          <w:tcPr>
            <w:tcW w:w="2824" w:type="dxa"/>
            <w:shd w:val="clear" w:color="auto" w:fill="auto"/>
            <w:tcMar>
              <w:left w:w="57" w:type="dxa"/>
              <w:right w:w="57" w:type="dxa"/>
            </w:tcMar>
            <w:vAlign w:val="center"/>
          </w:tcPr>
          <w:p w14:paraId="57972CD6"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w:t>
            </w:r>
          </w:p>
        </w:tc>
        <w:tc>
          <w:tcPr>
            <w:tcW w:w="508" w:type="dxa"/>
            <w:shd w:val="clear" w:color="auto" w:fill="auto"/>
            <w:vAlign w:val="center"/>
          </w:tcPr>
          <w:p w14:paraId="5D9FF8A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51</w:t>
            </w:r>
          </w:p>
        </w:tc>
        <w:tc>
          <w:tcPr>
            <w:tcW w:w="508" w:type="dxa"/>
            <w:shd w:val="clear" w:color="auto" w:fill="auto"/>
            <w:tcMar>
              <w:left w:w="57" w:type="dxa"/>
              <w:right w:w="57" w:type="dxa"/>
            </w:tcMar>
            <w:vAlign w:val="center"/>
          </w:tcPr>
          <w:p w14:paraId="5D13735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106</w:t>
            </w:r>
          </w:p>
        </w:tc>
        <w:tc>
          <w:tcPr>
            <w:tcW w:w="508" w:type="dxa"/>
            <w:shd w:val="clear" w:color="auto" w:fill="auto"/>
            <w:vAlign w:val="center"/>
          </w:tcPr>
          <w:p w14:paraId="4E3BB0E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vAlign w:val="center"/>
          </w:tcPr>
          <w:p w14:paraId="62FF97BD"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157</w:t>
            </w:r>
          </w:p>
        </w:tc>
        <w:tc>
          <w:tcPr>
            <w:tcW w:w="76" w:type="dxa"/>
            <w:shd w:val="clear" w:color="auto" w:fill="auto"/>
            <w:vAlign w:val="center"/>
          </w:tcPr>
          <w:p w14:paraId="026D227A" w14:textId="77777777" w:rsidR="003E5BF5" w:rsidRPr="00E273FC" w:rsidRDefault="003E5BF5">
            <w:pPr>
              <w:pStyle w:val="TableTextRightBold"/>
              <w:rPr>
                <w:rFonts w:ascii="Arial" w:hAnsi="Arial" w:cs="Arial"/>
                <w:sz w:val="24"/>
                <w:szCs w:val="24"/>
              </w:rPr>
            </w:pPr>
          </w:p>
        </w:tc>
        <w:tc>
          <w:tcPr>
            <w:tcW w:w="508" w:type="dxa"/>
            <w:shd w:val="clear" w:color="auto" w:fill="auto"/>
            <w:vAlign w:val="center"/>
          </w:tcPr>
          <w:p w14:paraId="2FD05C9E" w14:textId="77777777" w:rsidR="003E5BF5" w:rsidRPr="00E273FC" w:rsidRDefault="003E5BF5">
            <w:pPr>
              <w:pStyle w:val="TableTextRight"/>
              <w:rPr>
                <w:rFonts w:ascii="Arial" w:hAnsi="Arial" w:cs="Arial"/>
                <w:b/>
                <w:sz w:val="24"/>
                <w:szCs w:val="24"/>
              </w:rPr>
            </w:pPr>
            <w:r w:rsidRPr="00E273FC">
              <w:rPr>
                <w:rFonts w:ascii="Arial" w:hAnsi="Arial" w:cs="Arial"/>
                <w:sz w:val="24"/>
                <w:szCs w:val="24"/>
              </w:rPr>
              <w:t>49</w:t>
            </w:r>
          </w:p>
        </w:tc>
        <w:tc>
          <w:tcPr>
            <w:tcW w:w="508" w:type="dxa"/>
            <w:shd w:val="clear" w:color="auto" w:fill="auto"/>
            <w:vAlign w:val="center"/>
          </w:tcPr>
          <w:p w14:paraId="677DD903" w14:textId="77777777" w:rsidR="003E5BF5" w:rsidRPr="00E273FC" w:rsidRDefault="003E5BF5">
            <w:pPr>
              <w:pStyle w:val="TableTextRight"/>
              <w:rPr>
                <w:rFonts w:ascii="Arial" w:hAnsi="Arial" w:cs="Arial"/>
                <w:b/>
                <w:sz w:val="24"/>
                <w:szCs w:val="24"/>
              </w:rPr>
            </w:pPr>
            <w:r w:rsidRPr="00E273FC">
              <w:rPr>
                <w:rFonts w:ascii="Arial" w:hAnsi="Arial" w:cs="Arial"/>
                <w:sz w:val="24"/>
                <w:szCs w:val="24"/>
              </w:rPr>
              <w:t>103</w:t>
            </w:r>
          </w:p>
        </w:tc>
        <w:tc>
          <w:tcPr>
            <w:tcW w:w="508" w:type="dxa"/>
            <w:shd w:val="clear" w:color="auto" w:fill="auto"/>
            <w:tcMar>
              <w:left w:w="57" w:type="dxa"/>
              <w:right w:w="57" w:type="dxa"/>
            </w:tcMar>
            <w:vAlign w:val="center"/>
          </w:tcPr>
          <w:p w14:paraId="61FB4119" w14:textId="77777777" w:rsidR="003E5BF5" w:rsidRPr="00E273FC" w:rsidRDefault="003E5BF5">
            <w:pPr>
              <w:pStyle w:val="TableTextRight"/>
              <w:rPr>
                <w:rFonts w:ascii="Arial" w:hAnsi="Arial" w:cs="Arial"/>
                <w:b/>
                <w:sz w:val="24"/>
                <w:szCs w:val="24"/>
              </w:rPr>
            </w:pPr>
            <w:r w:rsidRPr="00E273FC">
              <w:rPr>
                <w:rFonts w:ascii="Arial" w:hAnsi="Arial" w:cs="Arial"/>
                <w:sz w:val="24"/>
                <w:szCs w:val="24"/>
              </w:rPr>
              <w:t>-</w:t>
            </w:r>
          </w:p>
        </w:tc>
        <w:tc>
          <w:tcPr>
            <w:tcW w:w="508" w:type="dxa"/>
            <w:shd w:val="clear" w:color="auto" w:fill="auto"/>
            <w:vAlign w:val="center"/>
          </w:tcPr>
          <w:p w14:paraId="7EFD4354" w14:textId="77777777" w:rsidR="003E5BF5" w:rsidRPr="00E273FC" w:rsidRDefault="003E5BF5">
            <w:pPr>
              <w:pStyle w:val="TableTextRight"/>
              <w:rPr>
                <w:rFonts w:ascii="Arial" w:hAnsi="Arial" w:cs="Arial"/>
                <w:b/>
                <w:sz w:val="24"/>
                <w:szCs w:val="24"/>
              </w:rPr>
            </w:pPr>
            <w:r w:rsidRPr="00E273FC">
              <w:rPr>
                <w:rFonts w:ascii="Arial" w:hAnsi="Arial" w:cs="Arial"/>
                <w:sz w:val="24"/>
                <w:szCs w:val="24"/>
              </w:rPr>
              <w:t>152</w:t>
            </w:r>
          </w:p>
        </w:tc>
        <w:tc>
          <w:tcPr>
            <w:tcW w:w="76" w:type="dxa"/>
            <w:shd w:val="clear" w:color="auto" w:fill="auto"/>
            <w:vAlign w:val="center"/>
          </w:tcPr>
          <w:p w14:paraId="550CF942" w14:textId="77777777" w:rsidR="003E5BF5" w:rsidRPr="00E273FC" w:rsidRDefault="003E5BF5">
            <w:pPr>
              <w:pStyle w:val="TableTextRightBold"/>
              <w:rPr>
                <w:rFonts w:ascii="Arial" w:hAnsi="Arial" w:cs="Arial"/>
                <w:sz w:val="24"/>
                <w:szCs w:val="24"/>
              </w:rPr>
            </w:pPr>
          </w:p>
        </w:tc>
        <w:tc>
          <w:tcPr>
            <w:tcW w:w="508" w:type="dxa"/>
            <w:shd w:val="clear" w:color="auto" w:fill="auto"/>
            <w:vAlign w:val="center"/>
          </w:tcPr>
          <w:p w14:paraId="6DC329AC"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2</w:t>
            </w:r>
          </w:p>
        </w:tc>
        <w:tc>
          <w:tcPr>
            <w:tcW w:w="508" w:type="dxa"/>
            <w:shd w:val="clear" w:color="auto" w:fill="auto"/>
            <w:tcMar>
              <w:left w:w="57" w:type="dxa"/>
              <w:right w:w="57" w:type="dxa"/>
            </w:tcMar>
            <w:vAlign w:val="center"/>
          </w:tcPr>
          <w:p w14:paraId="73229D5F"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3</w:t>
            </w:r>
          </w:p>
        </w:tc>
        <w:tc>
          <w:tcPr>
            <w:tcW w:w="508" w:type="dxa"/>
            <w:shd w:val="clear" w:color="auto" w:fill="auto"/>
            <w:vAlign w:val="center"/>
          </w:tcPr>
          <w:p w14:paraId="11FC4950"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w:t>
            </w:r>
          </w:p>
        </w:tc>
        <w:tc>
          <w:tcPr>
            <w:tcW w:w="508" w:type="dxa"/>
            <w:shd w:val="clear" w:color="auto" w:fill="auto"/>
            <w:vAlign w:val="center"/>
          </w:tcPr>
          <w:p w14:paraId="16954906"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5</w:t>
            </w:r>
          </w:p>
        </w:tc>
      </w:tr>
    </w:tbl>
    <w:p w14:paraId="5CFC03CC" w14:textId="77777777" w:rsidR="003E5BF5" w:rsidRPr="00E273FC" w:rsidRDefault="003E5BF5" w:rsidP="00DE1921">
      <w:pPr>
        <w:pStyle w:val="Note"/>
        <w:rPr>
          <w:rFonts w:ascii="Arial" w:hAnsi="Arial" w:cs="Arial"/>
          <w:sz w:val="24"/>
          <w:szCs w:val="24"/>
        </w:rPr>
      </w:pPr>
      <w:r w:rsidRPr="00E273FC">
        <w:rPr>
          <w:rFonts w:ascii="Arial" w:hAnsi="Arial" w:cs="Arial"/>
          <w:sz w:val="24"/>
          <w:szCs w:val="24"/>
        </w:rPr>
        <w:t>Notes:</w:t>
      </w:r>
    </w:p>
    <w:p w14:paraId="4B2A8C17" w14:textId="77777777" w:rsidR="003E5BF5" w:rsidRPr="00E273FC" w:rsidRDefault="003E5BF5" w:rsidP="00610F5F">
      <w:pPr>
        <w:pStyle w:val="Notenumberingabc"/>
        <w:numPr>
          <w:ilvl w:val="0"/>
          <w:numId w:val="43"/>
        </w:numPr>
        <w:spacing w:before="0" w:after="120" w:line="360" w:lineRule="auto"/>
        <w:ind w:left="337" w:hanging="224"/>
        <w:contextualSpacing/>
        <w:rPr>
          <w:rFonts w:ascii="Arial" w:hAnsi="Arial" w:cs="Arial"/>
          <w:sz w:val="24"/>
          <w:szCs w:val="24"/>
        </w:rPr>
      </w:pPr>
      <w:r w:rsidRPr="00E273FC">
        <w:rPr>
          <w:rFonts w:ascii="Arial" w:hAnsi="Arial" w:cs="Arial"/>
          <w:sz w:val="24"/>
          <w:szCs w:val="24"/>
        </w:rPr>
        <w:t>For the purpose of this table, Executive Officers are defined as employees who have significant management responsibility AND receive a TRP of $185,711 or more.</w:t>
      </w:r>
    </w:p>
    <w:p w14:paraId="3A4D262C" w14:textId="77777777" w:rsidR="003E5BF5" w:rsidRPr="00E273FC" w:rsidRDefault="003E5BF5" w:rsidP="00696A16">
      <w:pPr>
        <w:pStyle w:val="Notenumberingabc"/>
        <w:spacing w:before="0" w:after="120" w:line="360" w:lineRule="auto"/>
        <w:contextualSpacing/>
        <w:rPr>
          <w:rFonts w:ascii="Arial" w:hAnsi="Arial" w:cs="Arial"/>
          <w:sz w:val="24"/>
          <w:szCs w:val="24"/>
        </w:rPr>
      </w:pPr>
      <w:r w:rsidRPr="00E273FC">
        <w:rPr>
          <w:rFonts w:ascii="Arial" w:hAnsi="Arial" w:cs="Arial"/>
          <w:sz w:val="24"/>
          <w:szCs w:val="24"/>
        </w:rPr>
        <w:t>All figures reflect employment levels as at 30 June 2020 unless otherwise stated.</w:t>
      </w:r>
    </w:p>
    <w:p w14:paraId="3CBE3B54" w14:textId="77777777" w:rsidR="003E5BF5" w:rsidRPr="00E273FC" w:rsidRDefault="003E5BF5" w:rsidP="00696A16">
      <w:pPr>
        <w:pStyle w:val="Notenumberingabc"/>
        <w:spacing w:before="0" w:after="120" w:line="360" w:lineRule="auto"/>
        <w:contextualSpacing/>
        <w:rPr>
          <w:rFonts w:ascii="Arial" w:hAnsi="Arial" w:cs="Arial"/>
          <w:sz w:val="24"/>
          <w:szCs w:val="24"/>
        </w:rPr>
      </w:pPr>
      <w:r w:rsidRPr="00E273FC">
        <w:rPr>
          <w:rFonts w:ascii="Arial" w:hAnsi="Arial" w:cs="Arial"/>
          <w:sz w:val="24"/>
          <w:szCs w:val="24"/>
        </w:rPr>
        <w:t>Excluded are those on leave without pay or absent on secondment, external contractors/consultants and temporary staff employed by employment agencies.</w:t>
      </w:r>
    </w:p>
    <w:p w14:paraId="68F6DB15" w14:textId="77777777" w:rsidR="003E5BF5" w:rsidRDefault="003E5BF5" w:rsidP="00DE1921"/>
    <w:p w14:paraId="6181D4D1" w14:textId="77777777" w:rsidR="003E5BF5" w:rsidRPr="00453DA6" w:rsidRDefault="003E5BF5" w:rsidP="00DE1921">
      <w:pPr>
        <w:sectPr w:rsidR="003E5BF5" w:rsidRPr="00453DA6" w:rsidSect="000F305A">
          <w:headerReference w:type="default" r:id="rId252"/>
          <w:type w:val="continuous"/>
          <w:pgSz w:w="11906" w:h="16838"/>
          <w:pgMar w:top="1701" w:right="1418" w:bottom="1418" w:left="1418" w:header="709" w:footer="709" w:gutter="0"/>
          <w:cols w:space="284"/>
          <w:docGrid w:linePitch="360"/>
        </w:sectPr>
      </w:pPr>
    </w:p>
    <w:p w14:paraId="4CCE50F5" w14:textId="77777777" w:rsidR="003E5BF5" w:rsidRPr="00524C6B" w:rsidRDefault="003E5BF5" w:rsidP="008A0170">
      <w:pPr>
        <w:pStyle w:val="Heading3"/>
      </w:pPr>
      <w:r w:rsidRPr="00524C6B">
        <w:lastRenderedPageBreak/>
        <w:t>Major Transport Infrastructure Authority</w:t>
      </w:r>
    </w:p>
    <w:p w14:paraId="2204AA96" w14:textId="77777777" w:rsidR="003E5BF5" w:rsidRPr="00E273FC" w:rsidRDefault="003E5BF5" w:rsidP="00CF74EB">
      <w:pPr>
        <w:pStyle w:val="TableHeader"/>
      </w:pPr>
      <w:r w:rsidRPr="00E273FC">
        <w:t>Table 5: Total number of executives broken down into gender</w:t>
      </w:r>
    </w:p>
    <w:tbl>
      <w:tblPr>
        <w:tblStyle w:val="TableGrid"/>
        <w:tblW w:w="9072" w:type="dxa"/>
        <w:tblLayout w:type="fixed"/>
        <w:tblLook w:val="04A0" w:firstRow="1" w:lastRow="0" w:firstColumn="1" w:lastColumn="0" w:noHBand="0" w:noVBand="1"/>
      </w:tblPr>
      <w:tblGrid>
        <w:gridCol w:w="1418"/>
        <w:gridCol w:w="283"/>
        <w:gridCol w:w="568"/>
        <w:gridCol w:w="851"/>
        <w:gridCol w:w="284"/>
        <w:gridCol w:w="850"/>
        <w:gridCol w:w="850"/>
        <w:gridCol w:w="284"/>
        <w:gridCol w:w="850"/>
        <w:gridCol w:w="850"/>
        <w:gridCol w:w="284"/>
        <w:gridCol w:w="850"/>
        <w:gridCol w:w="850"/>
      </w:tblGrid>
      <w:tr w:rsidR="003E5BF5" w:rsidRPr="00E273FC" w14:paraId="696AAB2F" w14:textId="77777777" w:rsidTr="00A53E7C">
        <w:trPr>
          <w:trHeight w:val="312"/>
        </w:trPr>
        <w:tc>
          <w:tcPr>
            <w:tcW w:w="1418" w:type="dxa"/>
            <w:tcMar>
              <w:left w:w="57" w:type="dxa"/>
              <w:right w:w="57" w:type="dxa"/>
            </w:tcMar>
            <w:vAlign w:val="center"/>
          </w:tcPr>
          <w:p w14:paraId="2810FF54" w14:textId="77777777" w:rsidR="003E5BF5" w:rsidRPr="00E273FC" w:rsidRDefault="003E5BF5" w:rsidP="00DE1921">
            <w:pPr>
              <w:pStyle w:val="TableTextCentreBold"/>
              <w:rPr>
                <w:rFonts w:ascii="Arial" w:hAnsi="Arial" w:cs="Arial"/>
                <w:sz w:val="24"/>
                <w:szCs w:val="24"/>
              </w:rPr>
            </w:pPr>
          </w:p>
        </w:tc>
        <w:tc>
          <w:tcPr>
            <w:tcW w:w="1702" w:type="dxa"/>
            <w:gridSpan w:val="3"/>
            <w:shd w:val="clear" w:color="auto" w:fill="FFFFFF" w:themeFill="background1"/>
            <w:vAlign w:val="center"/>
          </w:tcPr>
          <w:p w14:paraId="2F201441"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All</w:t>
            </w:r>
          </w:p>
        </w:tc>
        <w:tc>
          <w:tcPr>
            <w:tcW w:w="284" w:type="dxa"/>
            <w:shd w:val="clear" w:color="auto" w:fill="FFFFFF" w:themeFill="background1"/>
            <w:vAlign w:val="center"/>
          </w:tcPr>
          <w:p w14:paraId="7CB5DA2D" w14:textId="77777777" w:rsidR="003E5BF5" w:rsidRPr="00E273FC" w:rsidRDefault="003E5BF5" w:rsidP="00DE1921">
            <w:pPr>
              <w:pStyle w:val="TableTextCentreBold"/>
              <w:rPr>
                <w:rFonts w:ascii="Arial" w:hAnsi="Arial" w:cs="Arial"/>
                <w:sz w:val="24"/>
                <w:szCs w:val="24"/>
              </w:rPr>
            </w:pPr>
          </w:p>
        </w:tc>
        <w:tc>
          <w:tcPr>
            <w:tcW w:w="1700" w:type="dxa"/>
            <w:gridSpan w:val="2"/>
            <w:shd w:val="clear" w:color="auto" w:fill="FFFFFF" w:themeFill="background1"/>
            <w:vAlign w:val="center"/>
          </w:tcPr>
          <w:p w14:paraId="677FE502"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Man</w:t>
            </w:r>
          </w:p>
        </w:tc>
        <w:tc>
          <w:tcPr>
            <w:tcW w:w="284" w:type="dxa"/>
            <w:shd w:val="clear" w:color="auto" w:fill="FFFFFF" w:themeFill="background1"/>
            <w:vAlign w:val="center"/>
          </w:tcPr>
          <w:p w14:paraId="308176E3" w14:textId="77777777" w:rsidR="003E5BF5" w:rsidRPr="00E273FC" w:rsidRDefault="003E5BF5" w:rsidP="00DE1921">
            <w:pPr>
              <w:pStyle w:val="TableTextCentreBold"/>
              <w:rPr>
                <w:rFonts w:ascii="Arial" w:hAnsi="Arial" w:cs="Arial"/>
                <w:sz w:val="24"/>
                <w:szCs w:val="24"/>
              </w:rPr>
            </w:pPr>
          </w:p>
        </w:tc>
        <w:tc>
          <w:tcPr>
            <w:tcW w:w="1700" w:type="dxa"/>
            <w:gridSpan w:val="2"/>
            <w:shd w:val="clear" w:color="auto" w:fill="FFFFFF" w:themeFill="background1"/>
            <w:vAlign w:val="center"/>
          </w:tcPr>
          <w:p w14:paraId="71BAB149"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Woman</w:t>
            </w:r>
          </w:p>
        </w:tc>
        <w:tc>
          <w:tcPr>
            <w:tcW w:w="284" w:type="dxa"/>
            <w:shd w:val="clear" w:color="auto" w:fill="FFFFFF" w:themeFill="background1"/>
            <w:vAlign w:val="center"/>
          </w:tcPr>
          <w:p w14:paraId="22304105" w14:textId="77777777" w:rsidR="003E5BF5" w:rsidRPr="00E273FC" w:rsidRDefault="003E5BF5" w:rsidP="00DE1921">
            <w:pPr>
              <w:pStyle w:val="TableTextCentreBold"/>
              <w:rPr>
                <w:rFonts w:ascii="Arial" w:hAnsi="Arial" w:cs="Arial"/>
                <w:sz w:val="24"/>
                <w:szCs w:val="24"/>
              </w:rPr>
            </w:pPr>
          </w:p>
        </w:tc>
        <w:tc>
          <w:tcPr>
            <w:tcW w:w="1700" w:type="dxa"/>
            <w:gridSpan w:val="2"/>
            <w:shd w:val="clear" w:color="auto" w:fill="FFFFFF" w:themeFill="background1"/>
            <w:tcMar>
              <w:left w:w="57" w:type="dxa"/>
              <w:right w:w="57" w:type="dxa"/>
            </w:tcMar>
            <w:vAlign w:val="center"/>
          </w:tcPr>
          <w:p w14:paraId="303B2E44"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Self-described</w:t>
            </w:r>
          </w:p>
        </w:tc>
      </w:tr>
      <w:tr w:rsidR="003E5BF5" w:rsidRPr="00E273FC" w14:paraId="0ABFE86D" w14:textId="77777777" w:rsidTr="00A53E7C">
        <w:trPr>
          <w:trHeight w:val="312"/>
        </w:trPr>
        <w:tc>
          <w:tcPr>
            <w:tcW w:w="1418" w:type="dxa"/>
            <w:tcMar>
              <w:left w:w="57" w:type="dxa"/>
              <w:right w:w="57" w:type="dxa"/>
            </w:tcMar>
            <w:vAlign w:val="center"/>
          </w:tcPr>
          <w:p w14:paraId="3C362B07"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Class</w:t>
            </w:r>
          </w:p>
        </w:tc>
        <w:tc>
          <w:tcPr>
            <w:tcW w:w="851" w:type="dxa"/>
            <w:gridSpan w:val="2"/>
            <w:shd w:val="clear" w:color="auto" w:fill="FFFFFF" w:themeFill="background1"/>
            <w:vAlign w:val="center"/>
          </w:tcPr>
          <w:p w14:paraId="051D762D"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w:t>
            </w:r>
          </w:p>
        </w:tc>
        <w:tc>
          <w:tcPr>
            <w:tcW w:w="851" w:type="dxa"/>
            <w:shd w:val="clear" w:color="auto" w:fill="FFFFFF" w:themeFill="background1"/>
            <w:vAlign w:val="center"/>
          </w:tcPr>
          <w:p w14:paraId="564B4C8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w:t>
            </w:r>
          </w:p>
        </w:tc>
        <w:tc>
          <w:tcPr>
            <w:tcW w:w="284" w:type="dxa"/>
            <w:shd w:val="clear" w:color="auto" w:fill="FFFFFF" w:themeFill="background1"/>
            <w:vAlign w:val="center"/>
          </w:tcPr>
          <w:p w14:paraId="21C3A904"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vAlign w:val="center"/>
          </w:tcPr>
          <w:p w14:paraId="6A37CD5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w:t>
            </w:r>
          </w:p>
        </w:tc>
        <w:tc>
          <w:tcPr>
            <w:tcW w:w="850" w:type="dxa"/>
            <w:shd w:val="clear" w:color="auto" w:fill="FFFFFF" w:themeFill="background1"/>
            <w:vAlign w:val="center"/>
          </w:tcPr>
          <w:p w14:paraId="79CDD9C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w:t>
            </w:r>
          </w:p>
        </w:tc>
        <w:tc>
          <w:tcPr>
            <w:tcW w:w="284" w:type="dxa"/>
            <w:shd w:val="clear" w:color="auto" w:fill="FFFFFF" w:themeFill="background1"/>
            <w:vAlign w:val="center"/>
          </w:tcPr>
          <w:p w14:paraId="69295AB9"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vAlign w:val="center"/>
          </w:tcPr>
          <w:p w14:paraId="728A4F89"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w:t>
            </w:r>
          </w:p>
        </w:tc>
        <w:tc>
          <w:tcPr>
            <w:tcW w:w="850" w:type="dxa"/>
            <w:shd w:val="clear" w:color="auto" w:fill="FFFFFF" w:themeFill="background1"/>
            <w:vAlign w:val="center"/>
          </w:tcPr>
          <w:p w14:paraId="3F1A1CED"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w:t>
            </w:r>
          </w:p>
        </w:tc>
        <w:tc>
          <w:tcPr>
            <w:tcW w:w="284" w:type="dxa"/>
            <w:shd w:val="clear" w:color="auto" w:fill="FFFFFF" w:themeFill="background1"/>
            <w:vAlign w:val="center"/>
          </w:tcPr>
          <w:p w14:paraId="67D48823"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tcMar>
              <w:left w:w="57" w:type="dxa"/>
              <w:right w:w="57" w:type="dxa"/>
            </w:tcMar>
            <w:vAlign w:val="center"/>
          </w:tcPr>
          <w:p w14:paraId="5F7790F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w:t>
            </w:r>
          </w:p>
        </w:tc>
        <w:tc>
          <w:tcPr>
            <w:tcW w:w="850" w:type="dxa"/>
            <w:shd w:val="clear" w:color="auto" w:fill="FFFFFF" w:themeFill="background1"/>
            <w:tcMar>
              <w:left w:w="57" w:type="dxa"/>
              <w:right w:w="57" w:type="dxa"/>
            </w:tcMar>
            <w:vAlign w:val="center"/>
          </w:tcPr>
          <w:p w14:paraId="09011CF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w:t>
            </w:r>
          </w:p>
        </w:tc>
      </w:tr>
      <w:tr w:rsidR="003E5BF5" w:rsidRPr="00E273FC" w14:paraId="211617BC" w14:textId="77777777" w:rsidTr="00A53E7C">
        <w:trPr>
          <w:trHeight w:val="312"/>
        </w:trPr>
        <w:tc>
          <w:tcPr>
            <w:tcW w:w="1701" w:type="dxa"/>
            <w:gridSpan w:val="2"/>
            <w:tcMar>
              <w:left w:w="57" w:type="dxa"/>
              <w:right w:w="57" w:type="dxa"/>
            </w:tcMar>
            <w:vAlign w:val="center"/>
          </w:tcPr>
          <w:p w14:paraId="7F444AC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Admin Office Head</w:t>
            </w:r>
          </w:p>
        </w:tc>
        <w:tc>
          <w:tcPr>
            <w:tcW w:w="568" w:type="dxa"/>
            <w:shd w:val="clear" w:color="auto" w:fill="FFFFFF" w:themeFill="background1"/>
            <w:vAlign w:val="center"/>
          </w:tcPr>
          <w:p w14:paraId="79F5A26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851" w:type="dxa"/>
            <w:shd w:val="clear" w:color="auto" w:fill="FFFFFF" w:themeFill="background1"/>
            <w:vAlign w:val="center"/>
          </w:tcPr>
          <w:p w14:paraId="5F657D2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284" w:type="dxa"/>
            <w:shd w:val="clear" w:color="auto" w:fill="FFFFFF" w:themeFill="background1"/>
            <w:vAlign w:val="center"/>
          </w:tcPr>
          <w:p w14:paraId="537E17C1"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27622CD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850" w:type="dxa"/>
            <w:shd w:val="clear" w:color="auto" w:fill="FFFFFF" w:themeFill="background1"/>
            <w:vAlign w:val="center"/>
          </w:tcPr>
          <w:p w14:paraId="7C600DB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284" w:type="dxa"/>
            <w:shd w:val="clear" w:color="auto" w:fill="FFFFFF" w:themeFill="background1"/>
            <w:vAlign w:val="center"/>
          </w:tcPr>
          <w:p w14:paraId="0BFC5512"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6A58509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vAlign w:val="center"/>
          </w:tcPr>
          <w:p w14:paraId="5919259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284" w:type="dxa"/>
            <w:shd w:val="clear" w:color="auto" w:fill="FFFFFF" w:themeFill="background1"/>
            <w:vAlign w:val="center"/>
          </w:tcPr>
          <w:p w14:paraId="34C33505"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tcMar>
              <w:left w:w="57" w:type="dxa"/>
              <w:right w:w="57" w:type="dxa"/>
            </w:tcMar>
            <w:vAlign w:val="center"/>
          </w:tcPr>
          <w:p w14:paraId="3FD5D8A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tcMar>
              <w:left w:w="57" w:type="dxa"/>
              <w:right w:w="57" w:type="dxa"/>
            </w:tcMar>
            <w:vAlign w:val="center"/>
          </w:tcPr>
          <w:p w14:paraId="09E4943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39C514E4" w14:textId="77777777" w:rsidTr="00A53E7C">
        <w:trPr>
          <w:trHeight w:val="312"/>
        </w:trPr>
        <w:tc>
          <w:tcPr>
            <w:tcW w:w="1418" w:type="dxa"/>
            <w:tcMar>
              <w:left w:w="57" w:type="dxa"/>
              <w:right w:w="57" w:type="dxa"/>
            </w:tcMar>
            <w:vAlign w:val="center"/>
          </w:tcPr>
          <w:p w14:paraId="67994B6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EO-1</w:t>
            </w:r>
          </w:p>
        </w:tc>
        <w:tc>
          <w:tcPr>
            <w:tcW w:w="851" w:type="dxa"/>
            <w:gridSpan w:val="2"/>
            <w:shd w:val="clear" w:color="auto" w:fill="FFFFFF" w:themeFill="background1"/>
            <w:vAlign w:val="center"/>
          </w:tcPr>
          <w:p w14:paraId="7EEEB2E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w:t>
            </w:r>
          </w:p>
        </w:tc>
        <w:tc>
          <w:tcPr>
            <w:tcW w:w="851" w:type="dxa"/>
            <w:shd w:val="clear" w:color="auto" w:fill="FFFFFF" w:themeFill="background1"/>
            <w:vAlign w:val="center"/>
          </w:tcPr>
          <w:p w14:paraId="2651B41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284" w:type="dxa"/>
            <w:shd w:val="clear" w:color="auto" w:fill="FFFFFF" w:themeFill="background1"/>
            <w:vAlign w:val="center"/>
          </w:tcPr>
          <w:p w14:paraId="27759E8F"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6650982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w:t>
            </w:r>
          </w:p>
        </w:tc>
        <w:tc>
          <w:tcPr>
            <w:tcW w:w="850" w:type="dxa"/>
            <w:shd w:val="clear" w:color="auto" w:fill="FFFFFF" w:themeFill="background1"/>
            <w:vAlign w:val="center"/>
          </w:tcPr>
          <w:p w14:paraId="3CE9356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284" w:type="dxa"/>
            <w:shd w:val="clear" w:color="auto" w:fill="FFFFFF" w:themeFill="background1"/>
            <w:vAlign w:val="center"/>
          </w:tcPr>
          <w:p w14:paraId="59B39813"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59DDE5F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vAlign w:val="center"/>
          </w:tcPr>
          <w:p w14:paraId="30CB54F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284" w:type="dxa"/>
            <w:shd w:val="clear" w:color="auto" w:fill="FFFFFF" w:themeFill="background1"/>
            <w:vAlign w:val="center"/>
          </w:tcPr>
          <w:p w14:paraId="0387A90E"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tcMar>
              <w:left w:w="57" w:type="dxa"/>
              <w:right w:w="57" w:type="dxa"/>
            </w:tcMar>
            <w:vAlign w:val="center"/>
          </w:tcPr>
          <w:p w14:paraId="066D345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tcMar>
              <w:left w:w="57" w:type="dxa"/>
              <w:right w:w="57" w:type="dxa"/>
            </w:tcMar>
            <w:vAlign w:val="center"/>
          </w:tcPr>
          <w:p w14:paraId="267D8E3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300A88FA" w14:textId="77777777" w:rsidTr="00A53E7C">
        <w:trPr>
          <w:trHeight w:val="312"/>
        </w:trPr>
        <w:tc>
          <w:tcPr>
            <w:tcW w:w="1418" w:type="dxa"/>
            <w:tcMar>
              <w:left w:w="57" w:type="dxa"/>
              <w:right w:w="57" w:type="dxa"/>
            </w:tcMar>
            <w:vAlign w:val="center"/>
          </w:tcPr>
          <w:p w14:paraId="58BF4AE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EO-2</w:t>
            </w:r>
          </w:p>
        </w:tc>
        <w:tc>
          <w:tcPr>
            <w:tcW w:w="851" w:type="dxa"/>
            <w:gridSpan w:val="2"/>
            <w:shd w:val="clear" w:color="auto" w:fill="FFFFFF" w:themeFill="background1"/>
            <w:vAlign w:val="center"/>
          </w:tcPr>
          <w:p w14:paraId="3DA9D5E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137</w:t>
            </w:r>
          </w:p>
        </w:tc>
        <w:tc>
          <w:tcPr>
            <w:tcW w:w="851" w:type="dxa"/>
            <w:shd w:val="clear" w:color="auto" w:fill="FFFFFF" w:themeFill="background1"/>
            <w:vAlign w:val="center"/>
          </w:tcPr>
          <w:p w14:paraId="378042D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w:t>
            </w:r>
          </w:p>
        </w:tc>
        <w:tc>
          <w:tcPr>
            <w:tcW w:w="284" w:type="dxa"/>
            <w:shd w:val="clear" w:color="auto" w:fill="FFFFFF" w:themeFill="background1"/>
            <w:vAlign w:val="center"/>
          </w:tcPr>
          <w:p w14:paraId="4E91A506"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4474AC6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104</w:t>
            </w:r>
          </w:p>
        </w:tc>
        <w:tc>
          <w:tcPr>
            <w:tcW w:w="850" w:type="dxa"/>
            <w:shd w:val="clear" w:color="auto" w:fill="FFFFFF" w:themeFill="background1"/>
            <w:vAlign w:val="center"/>
          </w:tcPr>
          <w:p w14:paraId="4B05A68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w:t>
            </w:r>
          </w:p>
        </w:tc>
        <w:tc>
          <w:tcPr>
            <w:tcW w:w="284" w:type="dxa"/>
            <w:shd w:val="clear" w:color="auto" w:fill="FFFFFF" w:themeFill="background1"/>
            <w:vAlign w:val="center"/>
          </w:tcPr>
          <w:p w14:paraId="32D19594"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2D642C2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33</w:t>
            </w:r>
          </w:p>
        </w:tc>
        <w:tc>
          <w:tcPr>
            <w:tcW w:w="850" w:type="dxa"/>
            <w:shd w:val="clear" w:color="auto" w:fill="FFFFFF" w:themeFill="background1"/>
            <w:vAlign w:val="center"/>
          </w:tcPr>
          <w:p w14:paraId="76FDADE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w:t>
            </w:r>
          </w:p>
        </w:tc>
        <w:tc>
          <w:tcPr>
            <w:tcW w:w="284" w:type="dxa"/>
            <w:shd w:val="clear" w:color="auto" w:fill="FFFFFF" w:themeFill="background1"/>
            <w:vAlign w:val="center"/>
          </w:tcPr>
          <w:p w14:paraId="7D054E6E"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tcMar>
              <w:left w:w="57" w:type="dxa"/>
              <w:right w:w="57" w:type="dxa"/>
            </w:tcMar>
            <w:vAlign w:val="center"/>
          </w:tcPr>
          <w:p w14:paraId="4F9ED82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tcMar>
              <w:left w:w="57" w:type="dxa"/>
              <w:right w:w="57" w:type="dxa"/>
            </w:tcMar>
            <w:vAlign w:val="center"/>
          </w:tcPr>
          <w:p w14:paraId="1BD75CA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146BEA34" w14:textId="77777777" w:rsidTr="00A53E7C">
        <w:trPr>
          <w:trHeight w:val="312"/>
        </w:trPr>
        <w:tc>
          <w:tcPr>
            <w:tcW w:w="1418" w:type="dxa"/>
            <w:tcMar>
              <w:left w:w="57" w:type="dxa"/>
              <w:right w:w="57" w:type="dxa"/>
            </w:tcMar>
            <w:vAlign w:val="center"/>
          </w:tcPr>
          <w:p w14:paraId="1F35A08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EO-3</w:t>
            </w:r>
          </w:p>
        </w:tc>
        <w:tc>
          <w:tcPr>
            <w:tcW w:w="851" w:type="dxa"/>
            <w:gridSpan w:val="2"/>
            <w:shd w:val="clear" w:color="auto" w:fill="FFFFFF" w:themeFill="background1"/>
            <w:vAlign w:val="center"/>
          </w:tcPr>
          <w:p w14:paraId="675C66B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24</w:t>
            </w:r>
          </w:p>
        </w:tc>
        <w:tc>
          <w:tcPr>
            <w:tcW w:w="851" w:type="dxa"/>
            <w:shd w:val="clear" w:color="auto" w:fill="FFFFFF" w:themeFill="background1"/>
            <w:vAlign w:val="center"/>
          </w:tcPr>
          <w:p w14:paraId="5EDD1DC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c>
          <w:tcPr>
            <w:tcW w:w="284" w:type="dxa"/>
            <w:shd w:val="clear" w:color="auto" w:fill="FFFFFF" w:themeFill="background1"/>
            <w:vAlign w:val="center"/>
          </w:tcPr>
          <w:p w14:paraId="63CBFD9C"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23CD2AD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14</w:t>
            </w:r>
          </w:p>
        </w:tc>
        <w:tc>
          <w:tcPr>
            <w:tcW w:w="850" w:type="dxa"/>
            <w:shd w:val="clear" w:color="auto" w:fill="FFFFFF" w:themeFill="background1"/>
            <w:vAlign w:val="center"/>
          </w:tcPr>
          <w:p w14:paraId="10F1DD9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w:t>
            </w:r>
          </w:p>
        </w:tc>
        <w:tc>
          <w:tcPr>
            <w:tcW w:w="284" w:type="dxa"/>
            <w:shd w:val="clear" w:color="auto" w:fill="FFFFFF" w:themeFill="background1"/>
            <w:vAlign w:val="center"/>
          </w:tcPr>
          <w:p w14:paraId="29CEAF04"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791CF90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w:t>
            </w:r>
          </w:p>
        </w:tc>
        <w:tc>
          <w:tcPr>
            <w:tcW w:w="850" w:type="dxa"/>
            <w:shd w:val="clear" w:color="auto" w:fill="FFFFFF" w:themeFill="background1"/>
            <w:vAlign w:val="center"/>
          </w:tcPr>
          <w:p w14:paraId="678A73C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284" w:type="dxa"/>
            <w:shd w:val="clear" w:color="auto" w:fill="FFFFFF" w:themeFill="background1"/>
            <w:vAlign w:val="center"/>
          </w:tcPr>
          <w:p w14:paraId="4589A630"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tcMar>
              <w:left w:w="57" w:type="dxa"/>
              <w:right w:w="57" w:type="dxa"/>
            </w:tcMar>
            <w:vAlign w:val="center"/>
          </w:tcPr>
          <w:p w14:paraId="4CB95F0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tcMar>
              <w:left w:w="57" w:type="dxa"/>
              <w:right w:w="57" w:type="dxa"/>
            </w:tcMar>
            <w:vAlign w:val="center"/>
          </w:tcPr>
          <w:p w14:paraId="7E80208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1748099E" w14:textId="77777777" w:rsidTr="00A53E7C">
        <w:trPr>
          <w:trHeight w:val="312"/>
        </w:trPr>
        <w:tc>
          <w:tcPr>
            <w:tcW w:w="1418" w:type="dxa"/>
            <w:tcMar>
              <w:left w:w="57" w:type="dxa"/>
              <w:right w:w="57" w:type="dxa"/>
            </w:tcMar>
            <w:vAlign w:val="center"/>
          </w:tcPr>
          <w:p w14:paraId="0B0491C1"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w:t>
            </w:r>
          </w:p>
        </w:tc>
        <w:tc>
          <w:tcPr>
            <w:tcW w:w="851" w:type="dxa"/>
            <w:gridSpan w:val="2"/>
            <w:shd w:val="clear" w:color="auto" w:fill="FFFFFF" w:themeFill="background1"/>
            <w:vAlign w:val="center"/>
          </w:tcPr>
          <w:p w14:paraId="495849D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168</w:t>
            </w:r>
          </w:p>
        </w:tc>
        <w:tc>
          <w:tcPr>
            <w:tcW w:w="851" w:type="dxa"/>
            <w:shd w:val="clear" w:color="auto" w:fill="FFFFFF" w:themeFill="background1"/>
            <w:vAlign w:val="center"/>
          </w:tcPr>
          <w:p w14:paraId="5B14B35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14</w:t>
            </w:r>
          </w:p>
        </w:tc>
        <w:tc>
          <w:tcPr>
            <w:tcW w:w="284" w:type="dxa"/>
            <w:shd w:val="clear" w:color="auto" w:fill="FFFFFF" w:themeFill="background1"/>
            <w:vAlign w:val="center"/>
          </w:tcPr>
          <w:p w14:paraId="442FDC7A"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vAlign w:val="center"/>
          </w:tcPr>
          <w:p w14:paraId="7B2A1B0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125</w:t>
            </w:r>
          </w:p>
        </w:tc>
        <w:tc>
          <w:tcPr>
            <w:tcW w:w="850" w:type="dxa"/>
            <w:shd w:val="clear" w:color="auto" w:fill="FFFFFF" w:themeFill="background1"/>
            <w:vAlign w:val="center"/>
          </w:tcPr>
          <w:p w14:paraId="195C765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10</w:t>
            </w:r>
          </w:p>
        </w:tc>
        <w:tc>
          <w:tcPr>
            <w:tcW w:w="284" w:type="dxa"/>
            <w:shd w:val="clear" w:color="auto" w:fill="FFFFFF" w:themeFill="background1"/>
            <w:vAlign w:val="center"/>
          </w:tcPr>
          <w:p w14:paraId="0B34156A"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vAlign w:val="center"/>
          </w:tcPr>
          <w:p w14:paraId="68262D04"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43</w:t>
            </w:r>
          </w:p>
        </w:tc>
        <w:tc>
          <w:tcPr>
            <w:tcW w:w="850" w:type="dxa"/>
            <w:shd w:val="clear" w:color="auto" w:fill="FFFFFF" w:themeFill="background1"/>
            <w:vAlign w:val="center"/>
          </w:tcPr>
          <w:p w14:paraId="1B99E46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4</w:t>
            </w:r>
          </w:p>
        </w:tc>
        <w:tc>
          <w:tcPr>
            <w:tcW w:w="284" w:type="dxa"/>
            <w:shd w:val="clear" w:color="auto" w:fill="FFFFFF" w:themeFill="background1"/>
            <w:vAlign w:val="center"/>
          </w:tcPr>
          <w:p w14:paraId="79DCC146"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tcMar>
              <w:left w:w="57" w:type="dxa"/>
              <w:right w:w="57" w:type="dxa"/>
            </w:tcMar>
            <w:vAlign w:val="center"/>
          </w:tcPr>
          <w:p w14:paraId="24EF838E"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tcMar>
              <w:left w:w="57" w:type="dxa"/>
              <w:right w:w="57" w:type="dxa"/>
            </w:tcMar>
            <w:vAlign w:val="center"/>
          </w:tcPr>
          <w:p w14:paraId="1396B26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r>
    </w:tbl>
    <w:p w14:paraId="41A5BC34" w14:textId="77777777" w:rsidR="003E5BF5" w:rsidRPr="00E273FC" w:rsidRDefault="003E5BF5" w:rsidP="00CF74EB">
      <w:pPr>
        <w:pStyle w:val="TableHeader"/>
      </w:pPr>
      <w:r w:rsidRPr="00E273FC">
        <w:t>Table 6: Reconciliation of executive numbers</w:t>
      </w:r>
    </w:p>
    <w:tbl>
      <w:tblPr>
        <w:tblStyle w:val="TableGrid"/>
        <w:tblW w:w="9072" w:type="dxa"/>
        <w:tblLayout w:type="fixed"/>
        <w:tblLook w:val="04A0" w:firstRow="1" w:lastRow="0" w:firstColumn="1" w:lastColumn="0" w:noHBand="0" w:noVBand="1"/>
      </w:tblPr>
      <w:tblGrid>
        <w:gridCol w:w="6804"/>
        <w:gridCol w:w="1134"/>
        <w:gridCol w:w="1134"/>
      </w:tblGrid>
      <w:tr w:rsidR="003E5BF5" w:rsidRPr="00E273FC" w14:paraId="41888E89" w14:textId="77777777" w:rsidTr="00834077">
        <w:trPr>
          <w:trHeight w:hRule="exact" w:val="312"/>
        </w:trPr>
        <w:tc>
          <w:tcPr>
            <w:tcW w:w="6804" w:type="dxa"/>
            <w:shd w:val="clear" w:color="auto" w:fill="auto"/>
            <w:tcMar>
              <w:left w:w="57" w:type="dxa"/>
              <w:right w:w="57" w:type="dxa"/>
            </w:tcMar>
            <w:vAlign w:val="center"/>
          </w:tcPr>
          <w:p w14:paraId="0E31ED83" w14:textId="77777777" w:rsidR="003E5BF5" w:rsidRPr="00E273FC" w:rsidRDefault="003E5BF5" w:rsidP="00DE1921">
            <w:pPr>
              <w:pStyle w:val="TableTextLeft"/>
              <w:rPr>
                <w:rFonts w:ascii="Arial" w:hAnsi="Arial" w:cs="Arial"/>
                <w:sz w:val="24"/>
                <w:szCs w:val="24"/>
              </w:rPr>
            </w:pPr>
          </w:p>
        </w:tc>
        <w:tc>
          <w:tcPr>
            <w:tcW w:w="1134" w:type="dxa"/>
            <w:shd w:val="clear" w:color="auto" w:fill="auto"/>
            <w:tcMar>
              <w:left w:w="57" w:type="dxa"/>
              <w:right w:w="57" w:type="dxa"/>
            </w:tcMar>
            <w:vAlign w:val="center"/>
          </w:tcPr>
          <w:p w14:paraId="2C716D2B" w14:textId="77777777" w:rsidR="003E5BF5" w:rsidRPr="00E273FC" w:rsidRDefault="003E5BF5" w:rsidP="00DE1921">
            <w:pPr>
              <w:pStyle w:val="TableTextRight"/>
              <w:rPr>
                <w:rFonts w:ascii="Arial" w:hAnsi="Arial" w:cs="Arial"/>
                <w:b/>
                <w:sz w:val="24"/>
                <w:szCs w:val="24"/>
              </w:rPr>
            </w:pPr>
            <w:r w:rsidRPr="00E273FC">
              <w:rPr>
                <w:rFonts w:ascii="Arial" w:hAnsi="Arial" w:cs="Arial"/>
                <w:b/>
                <w:sz w:val="24"/>
                <w:szCs w:val="24"/>
              </w:rPr>
              <w:t>2020</w:t>
            </w:r>
          </w:p>
        </w:tc>
        <w:tc>
          <w:tcPr>
            <w:tcW w:w="1134" w:type="dxa"/>
            <w:shd w:val="clear" w:color="auto" w:fill="auto"/>
            <w:vAlign w:val="center"/>
          </w:tcPr>
          <w:p w14:paraId="1675D56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2019</w:t>
            </w:r>
          </w:p>
        </w:tc>
      </w:tr>
      <w:tr w:rsidR="003E5BF5" w:rsidRPr="00E273FC" w14:paraId="2230960E" w14:textId="77777777" w:rsidTr="00834077">
        <w:trPr>
          <w:trHeight w:hRule="exact" w:val="312"/>
        </w:trPr>
        <w:tc>
          <w:tcPr>
            <w:tcW w:w="6804" w:type="dxa"/>
            <w:shd w:val="clear" w:color="auto" w:fill="auto"/>
            <w:tcMar>
              <w:left w:w="57" w:type="dxa"/>
              <w:right w:w="57" w:type="dxa"/>
            </w:tcMar>
            <w:vAlign w:val="center"/>
          </w:tcPr>
          <w:p w14:paraId="2ED0E78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 xml:space="preserve">Executives </w:t>
            </w:r>
          </w:p>
        </w:tc>
        <w:tc>
          <w:tcPr>
            <w:tcW w:w="1134" w:type="dxa"/>
            <w:shd w:val="clear" w:color="auto" w:fill="auto"/>
            <w:tcMar>
              <w:left w:w="57" w:type="dxa"/>
              <w:right w:w="57" w:type="dxa"/>
            </w:tcMar>
            <w:vAlign w:val="center"/>
          </w:tcPr>
          <w:p w14:paraId="1F4DE92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191</w:t>
            </w:r>
          </w:p>
        </w:tc>
        <w:tc>
          <w:tcPr>
            <w:tcW w:w="1134" w:type="dxa"/>
            <w:shd w:val="clear" w:color="auto" w:fill="auto"/>
            <w:vAlign w:val="center"/>
          </w:tcPr>
          <w:p w14:paraId="0AF633D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167</w:t>
            </w:r>
          </w:p>
        </w:tc>
      </w:tr>
      <w:tr w:rsidR="003E5BF5" w:rsidRPr="00E273FC" w14:paraId="6D5366BC" w14:textId="77777777" w:rsidTr="00834077">
        <w:trPr>
          <w:trHeight w:hRule="exact" w:val="312"/>
        </w:trPr>
        <w:tc>
          <w:tcPr>
            <w:tcW w:w="6804" w:type="dxa"/>
            <w:shd w:val="clear" w:color="auto" w:fill="auto"/>
            <w:tcMar>
              <w:left w:w="57" w:type="dxa"/>
              <w:right w:w="57" w:type="dxa"/>
            </w:tcMar>
            <w:vAlign w:val="center"/>
          </w:tcPr>
          <w:p w14:paraId="3CF958B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Add Administrative Office Head</w:t>
            </w:r>
          </w:p>
        </w:tc>
        <w:tc>
          <w:tcPr>
            <w:tcW w:w="1134" w:type="dxa"/>
            <w:shd w:val="clear" w:color="auto" w:fill="auto"/>
            <w:tcMar>
              <w:left w:w="57" w:type="dxa"/>
              <w:right w:w="57" w:type="dxa"/>
            </w:tcMar>
            <w:vAlign w:val="center"/>
          </w:tcPr>
          <w:p w14:paraId="44CD8F8B" w14:textId="77777777" w:rsidR="003E5BF5" w:rsidRPr="00E273FC" w:rsidDel="00910525" w:rsidRDefault="003E5BF5" w:rsidP="00DE1921">
            <w:pPr>
              <w:pStyle w:val="TableTextRightBold"/>
              <w:rPr>
                <w:rFonts w:ascii="Arial" w:hAnsi="Arial" w:cs="Arial"/>
                <w:sz w:val="24"/>
                <w:szCs w:val="24"/>
              </w:rPr>
            </w:pPr>
            <w:r w:rsidRPr="00E273FC">
              <w:rPr>
                <w:rFonts w:ascii="Arial" w:hAnsi="Arial" w:cs="Arial"/>
                <w:sz w:val="24"/>
                <w:szCs w:val="24"/>
              </w:rPr>
              <w:t>1</w:t>
            </w:r>
          </w:p>
        </w:tc>
        <w:tc>
          <w:tcPr>
            <w:tcW w:w="1134" w:type="dxa"/>
            <w:shd w:val="clear" w:color="auto" w:fill="auto"/>
            <w:vAlign w:val="center"/>
          </w:tcPr>
          <w:p w14:paraId="1D08954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0AF865B0" w14:textId="77777777" w:rsidTr="00834077">
        <w:trPr>
          <w:trHeight w:hRule="exact" w:val="312"/>
        </w:trPr>
        <w:tc>
          <w:tcPr>
            <w:tcW w:w="6804" w:type="dxa"/>
            <w:shd w:val="clear" w:color="auto" w:fill="auto"/>
            <w:tcMar>
              <w:left w:w="57" w:type="dxa"/>
              <w:right w:w="57" w:type="dxa"/>
            </w:tcMar>
            <w:vAlign w:val="center"/>
          </w:tcPr>
          <w:p w14:paraId="33991F0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Less separations / Leave without pay</w:t>
            </w:r>
          </w:p>
        </w:tc>
        <w:tc>
          <w:tcPr>
            <w:tcW w:w="1134" w:type="dxa"/>
            <w:shd w:val="clear" w:color="auto" w:fill="auto"/>
            <w:tcMar>
              <w:left w:w="57" w:type="dxa"/>
              <w:right w:w="57" w:type="dxa"/>
            </w:tcMar>
            <w:vAlign w:val="center"/>
          </w:tcPr>
          <w:p w14:paraId="144721A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(23)</w:t>
            </w:r>
          </w:p>
        </w:tc>
        <w:tc>
          <w:tcPr>
            <w:tcW w:w="1134" w:type="dxa"/>
            <w:shd w:val="clear" w:color="auto" w:fill="auto"/>
            <w:vAlign w:val="center"/>
          </w:tcPr>
          <w:p w14:paraId="07E22D8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w:t>
            </w:r>
          </w:p>
        </w:tc>
      </w:tr>
      <w:tr w:rsidR="003E5BF5" w:rsidRPr="00E273FC" w14:paraId="03197300" w14:textId="77777777" w:rsidTr="00834077">
        <w:trPr>
          <w:trHeight w:hRule="exact" w:val="312"/>
        </w:trPr>
        <w:tc>
          <w:tcPr>
            <w:tcW w:w="6804" w:type="dxa"/>
            <w:shd w:val="clear" w:color="auto" w:fill="auto"/>
            <w:tcMar>
              <w:left w:w="57" w:type="dxa"/>
              <w:right w:w="57" w:type="dxa"/>
            </w:tcMar>
            <w:vAlign w:val="center"/>
          </w:tcPr>
          <w:p w14:paraId="7661D0C6"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Less other</w:t>
            </w:r>
          </w:p>
        </w:tc>
        <w:tc>
          <w:tcPr>
            <w:tcW w:w="1134" w:type="dxa"/>
            <w:shd w:val="clear" w:color="auto" w:fill="auto"/>
            <w:tcMar>
              <w:left w:w="57" w:type="dxa"/>
              <w:right w:w="57" w:type="dxa"/>
            </w:tcMar>
            <w:vAlign w:val="center"/>
          </w:tcPr>
          <w:p w14:paraId="219332D8"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w:t>
            </w:r>
          </w:p>
        </w:tc>
        <w:tc>
          <w:tcPr>
            <w:tcW w:w="1134" w:type="dxa"/>
            <w:shd w:val="clear" w:color="auto" w:fill="auto"/>
            <w:vAlign w:val="center"/>
          </w:tcPr>
          <w:p w14:paraId="27124623" w14:textId="77777777" w:rsidR="003E5BF5" w:rsidRPr="00E273FC" w:rsidRDefault="003E5BF5" w:rsidP="00DE1921">
            <w:pPr>
              <w:pStyle w:val="TableTextRight"/>
              <w:rPr>
                <w:rFonts w:ascii="Arial" w:hAnsi="Arial" w:cs="Arial"/>
                <w:sz w:val="24"/>
                <w:szCs w:val="24"/>
              </w:rPr>
            </w:pPr>
          </w:p>
        </w:tc>
      </w:tr>
      <w:tr w:rsidR="003E5BF5" w:rsidRPr="00E273FC" w14:paraId="1785019D" w14:textId="77777777" w:rsidTr="00834077">
        <w:trPr>
          <w:trHeight w:hRule="exact" w:val="312"/>
        </w:trPr>
        <w:tc>
          <w:tcPr>
            <w:tcW w:w="6804" w:type="dxa"/>
            <w:shd w:val="clear" w:color="auto" w:fill="auto"/>
            <w:tcMar>
              <w:left w:w="57" w:type="dxa"/>
              <w:right w:w="57" w:type="dxa"/>
            </w:tcMar>
            <w:vAlign w:val="center"/>
          </w:tcPr>
          <w:p w14:paraId="025D8904"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executives at 30 June</w:t>
            </w:r>
          </w:p>
        </w:tc>
        <w:tc>
          <w:tcPr>
            <w:tcW w:w="1134" w:type="dxa"/>
            <w:shd w:val="clear" w:color="auto" w:fill="auto"/>
            <w:tcMar>
              <w:left w:w="57" w:type="dxa"/>
              <w:right w:w="57" w:type="dxa"/>
            </w:tcMar>
            <w:vAlign w:val="center"/>
          </w:tcPr>
          <w:p w14:paraId="595E12E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168</w:t>
            </w:r>
          </w:p>
        </w:tc>
        <w:tc>
          <w:tcPr>
            <w:tcW w:w="1134" w:type="dxa"/>
            <w:shd w:val="clear" w:color="auto" w:fill="auto"/>
            <w:vAlign w:val="center"/>
          </w:tcPr>
          <w:p w14:paraId="09081E7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154</w:t>
            </w:r>
          </w:p>
        </w:tc>
      </w:tr>
    </w:tbl>
    <w:p w14:paraId="649BA3B9" w14:textId="77777777" w:rsidR="003E5BF5" w:rsidRPr="00E273FC" w:rsidRDefault="003E5BF5">
      <w:pPr>
        <w:pStyle w:val="Note"/>
        <w:rPr>
          <w:rFonts w:ascii="Arial" w:hAnsi="Arial" w:cs="Arial"/>
          <w:sz w:val="24"/>
          <w:szCs w:val="24"/>
        </w:rPr>
      </w:pPr>
      <w:r w:rsidRPr="00E273FC">
        <w:rPr>
          <w:rFonts w:ascii="Arial" w:hAnsi="Arial" w:cs="Arial"/>
          <w:sz w:val="24"/>
          <w:szCs w:val="24"/>
        </w:rPr>
        <w:t>Note:</w:t>
      </w:r>
    </w:p>
    <w:p w14:paraId="41E4D92F" w14:textId="77777777" w:rsidR="003E5BF5" w:rsidRPr="00E273FC" w:rsidRDefault="003E5BF5" w:rsidP="00610F5F">
      <w:pPr>
        <w:pStyle w:val="Notenumberingabc"/>
        <w:numPr>
          <w:ilvl w:val="0"/>
          <w:numId w:val="45"/>
        </w:numPr>
        <w:spacing w:before="0" w:after="120" w:line="360" w:lineRule="auto"/>
        <w:ind w:left="340" w:hanging="227"/>
        <w:contextualSpacing/>
        <w:rPr>
          <w:rFonts w:ascii="Arial" w:hAnsi="Arial" w:cs="Arial"/>
          <w:sz w:val="24"/>
          <w:szCs w:val="24"/>
        </w:rPr>
      </w:pPr>
      <w:r w:rsidRPr="00E273FC">
        <w:rPr>
          <w:rFonts w:ascii="Arial" w:hAnsi="Arial" w:cs="Arial"/>
          <w:sz w:val="24"/>
          <w:szCs w:val="24"/>
        </w:rPr>
        <w:t>Other is one non-executive acting in a vacant executive role during the year.</w:t>
      </w:r>
    </w:p>
    <w:p w14:paraId="036CA5E9" w14:textId="77777777" w:rsidR="003E5BF5" w:rsidRPr="00E273FC" w:rsidRDefault="003E5BF5" w:rsidP="00CF74EB">
      <w:pPr>
        <w:pStyle w:val="TableHeader"/>
      </w:pPr>
      <w:r w:rsidRPr="00E273FC">
        <w:t>Table 7: Annualised total salary for senior employees</w:t>
      </w:r>
    </w:p>
    <w:tbl>
      <w:tblPr>
        <w:tblStyle w:val="TableGrid"/>
        <w:tblW w:w="9072" w:type="dxa"/>
        <w:tblLook w:val="04A0" w:firstRow="1" w:lastRow="0" w:firstColumn="1" w:lastColumn="0" w:noHBand="0" w:noVBand="1"/>
      </w:tblPr>
      <w:tblGrid>
        <w:gridCol w:w="5485"/>
        <w:gridCol w:w="1369"/>
        <w:gridCol w:w="1110"/>
        <w:gridCol w:w="1108"/>
      </w:tblGrid>
      <w:tr w:rsidR="003E5BF5" w:rsidRPr="00E273FC" w14:paraId="027CF667" w14:textId="77777777" w:rsidTr="00834077">
        <w:trPr>
          <w:trHeight w:val="312"/>
        </w:trPr>
        <w:tc>
          <w:tcPr>
            <w:tcW w:w="5670" w:type="dxa"/>
            <w:tcMar>
              <w:left w:w="57" w:type="dxa"/>
              <w:right w:w="57" w:type="dxa"/>
            </w:tcMar>
            <w:vAlign w:val="center"/>
          </w:tcPr>
          <w:p w14:paraId="7A259A35" w14:textId="77777777" w:rsidR="003E5BF5" w:rsidRPr="00E273FC" w:rsidRDefault="003E5BF5" w:rsidP="00DE1921">
            <w:pPr>
              <w:pStyle w:val="TableTextLeft"/>
              <w:rPr>
                <w:rFonts w:ascii="Arial" w:hAnsi="Arial" w:cs="Arial"/>
                <w:sz w:val="24"/>
                <w:szCs w:val="24"/>
              </w:rPr>
            </w:pPr>
          </w:p>
        </w:tc>
        <w:tc>
          <w:tcPr>
            <w:tcW w:w="1134" w:type="dxa"/>
            <w:shd w:val="clear" w:color="auto" w:fill="FFFFFF" w:themeFill="background1"/>
            <w:tcMar>
              <w:left w:w="57" w:type="dxa"/>
              <w:right w:w="57" w:type="dxa"/>
            </w:tcMar>
            <w:vAlign w:val="center"/>
          </w:tcPr>
          <w:p w14:paraId="0F99D6C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Executives</w:t>
            </w:r>
          </w:p>
        </w:tc>
        <w:tc>
          <w:tcPr>
            <w:tcW w:w="1134" w:type="dxa"/>
            <w:tcMar>
              <w:left w:w="57" w:type="dxa"/>
              <w:right w:w="57" w:type="dxa"/>
            </w:tcMar>
            <w:vAlign w:val="center"/>
          </w:tcPr>
          <w:p w14:paraId="1BD2072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STS</w:t>
            </w:r>
          </w:p>
        </w:tc>
        <w:tc>
          <w:tcPr>
            <w:tcW w:w="1134" w:type="dxa"/>
            <w:tcMar>
              <w:left w:w="57" w:type="dxa"/>
              <w:right w:w="57" w:type="dxa"/>
            </w:tcMar>
            <w:vAlign w:val="center"/>
          </w:tcPr>
          <w:p w14:paraId="636A5CF4" w14:textId="77777777" w:rsidR="003E5BF5" w:rsidRPr="00E273FC" w:rsidRDefault="003E5BF5">
            <w:pPr>
              <w:pStyle w:val="TableTextRightBold"/>
              <w:rPr>
                <w:rFonts w:ascii="Arial" w:hAnsi="Arial" w:cs="Arial"/>
                <w:sz w:val="24"/>
                <w:szCs w:val="24"/>
              </w:rPr>
            </w:pPr>
            <w:r w:rsidRPr="00E273FC">
              <w:rPr>
                <w:rFonts w:ascii="Arial" w:hAnsi="Arial" w:cs="Arial"/>
                <w:sz w:val="24"/>
                <w:szCs w:val="24"/>
              </w:rPr>
              <w:t>PS</w:t>
            </w:r>
          </w:p>
        </w:tc>
      </w:tr>
      <w:tr w:rsidR="003E5BF5" w:rsidRPr="00E273FC" w14:paraId="13A72B75" w14:textId="77777777" w:rsidTr="00834077">
        <w:trPr>
          <w:trHeight w:val="312"/>
        </w:trPr>
        <w:tc>
          <w:tcPr>
            <w:tcW w:w="5670" w:type="dxa"/>
            <w:tcMar>
              <w:left w:w="57" w:type="dxa"/>
              <w:right w:w="57" w:type="dxa"/>
            </w:tcMar>
            <w:vAlign w:val="center"/>
          </w:tcPr>
          <w:p w14:paraId="0F05874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&lt;$160,000</w:t>
            </w:r>
          </w:p>
        </w:tc>
        <w:tc>
          <w:tcPr>
            <w:tcW w:w="1134" w:type="dxa"/>
            <w:shd w:val="clear" w:color="auto" w:fill="FFFFFF" w:themeFill="background1"/>
            <w:tcMar>
              <w:left w:w="57" w:type="dxa"/>
              <w:right w:w="57" w:type="dxa"/>
            </w:tcMar>
            <w:vAlign w:val="center"/>
          </w:tcPr>
          <w:p w14:paraId="6222F7D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728C116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0283C19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5B38AE8B" w14:textId="77777777" w:rsidTr="00834077">
        <w:trPr>
          <w:trHeight w:val="312"/>
        </w:trPr>
        <w:tc>
          <w:tcPr>
            <w:tcW w:w="5670" w:type="dxa"/>
            <w:tcMar>
              <w:left w:w="57" w:type="dxa"/>
              <w:right w:w="57" w:type="dxa"/>
            </w:tcMar>
            <w:vAlign w:val="center"/>
          </w:tcPr>
          <w:p w14:paraId="0F3ADA5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$160,000 - $179,999</w:t>
            </w:r>
          </w:p>
        </w:tc>
        <w:tc>
          <w:tcPr>
            <w:tcW w:w="1134" w:type="dxa"/>
            <w:shd w:val="clear" w:color="auto" w:fill="FFFFFF" w:themeFill="background1"/>
            <w:tcMar>
              <w:left w:w="57" w:type="dxa"/>
              <w:right w:w="57" w:type="dxa"/>
            </w:tcMar>
            <w:vAlign w:val="center"/>
          </w:tcPr>
          <w:p w14:paraId="5FD5D90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29F38A3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41</w:t>
            </w:r>
          </w:p>
        </w:tc>
        <w:tc>
          <w:tcPr>
            <w:tcW w:w="1134" w:type="dxa"/>
            <w:tcMar>
              <w:left w:w="57" w:type="dxa"/>
              <w:right w:w="57" w:type="dxa"/>
            </w:tcMar>
            <w:vAlign w:val="center"/>
          </w:tcPr>
          <w:p w14:paraId="7F0AC51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35</w:t>
            </w:r>
          </w:p>
        </w:tc>
      </w:tr>
      <w:tr w:rsidR="003E5BF5" w:rsidRPr="00E273FC" w14:paraId="13378443" w14:textId="77777777" w:rsidTr="00834077">
        <w:trPr>
          <w:trHeight w:val="312"/>
        </w:trPr>
        <w:tc>
          <w:tcPr>
            <w:tcW w:w="5670" w:type="dxa"/>
            <w:tcMar>
              <w:left w:w="57" w:type="dxa"/>
              <w:right w:w="57" w:type="dxa"/>
            </w:tcMar>
            <w:vAlign w:val="center"/>
          </w:tcPr>
          <w:p w14:paraId="288CEF9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$180,000 - $199,999</w:t>
            </w:r>
          </w:p>
        </w:tc>
        <w:tc>
          <w:tcPr>
            <w:tcW w:w="1134" w:type="dxa"/>
            <w:shd w:val="clear" w:color="auto" w:fill="FFFFFF" w:themeFill="background1"/>
            <w:tcMar>
              <w:left w:w="57" w:type="dxa"/>
              <w:right w:w="57" w:type="dxa"/>
            </w:tcMar>
            <w:vAlign w:val="center"/>
          </w:tcPr>
          <w:p w14:paraId="41CFB58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134" w:type="dxa"/>
            <w:tcMar>
              <w:left w:w="57" w:type="dxa"/>
              <w:right w:w="57" w:type="dxa"/>
            </w:tcMar>
            <w:vAlign w:val="center"/>
          </w:tcPr>
          <w:p w14:paraId="58735DF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37</w:t>
            </w:r>
          </w:p>
        </w:tc>
        <w:tc>
          <w:tcPr>
            <w:tcW w:w="1134" w:type="dxa"/>
            <w:tcMar>
              <w:left w:w="57" w:type="dxa"/>
              <w:right w:w="57" w:type="dxa"/>
            </w:tcMar>
            <w:vAlign w:val="center"/>
          </w:tcPr>
          <w:p w14:paraId="5CE9DFB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47</w:t>
            </w:r>
          </w:p>
        </w:tc>
      </w:tr>
      <w:tr w:rsidR="003E5BF5" w:rsidRPr="00E273FC" w14:paraId="5B78B1FA" w14:textId="77777777" w:rsidTr="00834077">
        <w:trPr>
          <w:trHeight w:val="312"/>
        </w:trPr>
        <w:tc>
          <w:tcPr>
            <w:tcW w:w="5670" w:type="dxa"/>
            <w:tcMar>
              <w:left w:w="57" w:type="dxa"/>
              <w:right w:w="57" w:type="dxa"/>
            </w:tcMar>
            <w:vAlign w:val="center"/>
          </w:tcPr>
          <w:p w14:paraId="53D9B496"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$200,000 - $219,9998</w:t>
            </w:r>
          </w:p>
        </w:tc>
        <w:tc>
          <w:tcPr>
            <w:tcW w:w="1134" w:type="dxa"/>
            <w:shd w:val="clear" w:color="auto" w:fill="FFFFFF" w:themeFill="background1"/>
            <w:tcMar>
              <w:left w:w="57" w:type="dxa"/>
              <w:right w:w="57" w:type="dxa"/>
            </w:tcMar>
            <w:vAlign w:val="center"/>
          </w:tcPr>
          <w:p w14:paraId="61F1CBD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w:t>
            </w:r>
          </w:p>
        </w:tc>
        <w:tc>
          <w:tcPr>
            <w:tcW w:w="1134" w:type="dxa"/>
            <w:tcMar>
              <w:left w:w="57" w:type="dxa"/>
              <w:right w:w="57" w:type="dxa"/>
            </w:tcMar>
            <w:vAlign w:val="center"/>
          </w:tcPr>
          <w:p w14:paraId="1424C4E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41</w:t>
            </w:r>
          </w:p>
        </w:tc>
        <w:tc>
          <w:tcPr>
            <w:tcW w:w="1134" w:type="dxa"/>
            <w:tcMar>
              <w:left w:w="57" w:type="dxa"/>
              <w:right w:w="57" w:type="dxa"/>
            </w:tcMar>
            <w:vAlign w:val="center"/>
          </w:tcPr>
          <w:p w14:paraId="61A3942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40</w:t>
            </w:r>
          </w:p>
        </w:tc>
      </w:tr>
      <w:tr w:rsidR="003E5BF5" w:rsidRPr="00E273FC" w14:paraId="1980AD31" w14:textId="77777777" w:rsidTr="00834077">
        <w:trPr>
          <w:trHeight w:val="312"/>
        </w:trPr>
        <w:tc>
          <w:tcPr>
            <w:tcW w:w="5670" w:type="dxa"/>
            <w:tcMar>
              <w:left w:w="57" w:type="dxa"/>
              <w:right w:w="57" w:type="dxa"/>
            </w:tcMar>
            <w:vAlign w:val="center"/>
          </w:tcPr>
          <w:p w14:paraId="4050BB0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$220,000 - $239,999</w:t>
            </w:r>
          </w:p>
        </w:tc>
        <w:tc>
          <w:tcPr>
            <w:tcW w:w="1134" w:type="dxa"/>
            <w:shd w:val="clear" w:color="auto" w:fill="FFFFFF" w:themeFill="background1"/>
            <w:tcMar>
              <w:left w:w="57" w:type="dxa"/>
              <w:right w:w="57" w:type="dxa"/>
            </w:tcMar>
            <w:vAlign w:val="center"/>
          </w:tcPr>
          <w:p w14:paraId="7423FB5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w:t>
            </w:r>
          </w:p>
        </w:tc>
        <w:tc>
          <w:tcPr>
            <w:tcW w:w="1134" w:type="dxa"/>
            <w:tcMar>
              <w:left w:w="57" w:type="dxa"/>
              <w:right w:w="57" w:type="dxa"/>
            </w:tcMar>
            <w:vAlign w:val="center"/>
          </w:tcPr>
          <w:p w14:paraId="236F40B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30</w:t>
            </w:r>
          </w:p>
        </w:tc>
        <w:tc>
          <w:tcPr>
            <w:tcW w:w="1134" w:type="dxa"/>
            <w:tcMar>
              <w:left w:w="57" w:type="dxa"/>
              <w:right w:w="57" w:type="dxa"/>
            </w:tcMar>
            <w:vAlign w:val="center"/>
          </w:tcPr>
          <w:p w14:paraId="7E12277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54</w:t>
            </w:r>
          </w:p>
        </w:tc>
      </w:tr>
      <w:tr w:rsidR="003E5BF5" w:rsidRPr="00E273FC" w14:paraId="594D567E" w14:textId="77777777" w:rsidTr="00834077">
        <w:trPr>
          <w:trHeight w:val="312"/>
        </w:trPr>
        <w:tc>
          <w:tcPr>
            <w:tcW w:w="5670" w:type="dxa"/>
            <w:tcMar>
              <w:left w:w="57" w:type="dxa"/>
              <w:right w:w="57" w:type="dxa"/>
            </w:tcMar>
            <w:vAlign w:val="center"/>
          </w:tcPr>
          <w:p w14:paraId="7880E3A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$240,000 - $259,999</w:t>
            </w:r>
          </w:p>
        </w:tc>
        <w:tc>
          <w:tcPr>
            <w:tcW w:w="1134" w:type="dxa"/>
            <w:shd w:val="clear" w:color="auto" w:fill="FFFFFF" w:themeFill="background1"/>
            <w:tcMar>
              <w:left w:w="57" w:type="dxa"/>
              <w:right w:w="57" w:type="dxa"/>
            </w:tcMar>
            <w:vAlign w:val="center"/>
          </w:tcPr>
          <w:p w14:paraId="03AB4A8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w:t>
            </w:r>
          </w:p>
        </w:tc>
        <w:tc>
          <w:tcPr>
            <w:tcW w:w="1134" w:type="dxa"/>
            <w:tcMar>
              <w:left w:w="57" w:type="dxa"/>
              <w:right w:w="57" w:type="dxa"/>
            </w:tcMar>
            <w:vAlign w:val="center"/>
          </w:tcPr>
          <w:p w14:paraId="5D55E4A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4331671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5725E963" w14:textId="77777777" w:rsidTr="00834077">
        <w:trPr>
          <w:trHeight w:val="312"/>
        </w:trPr>
        <w:tc>
          <w:tcPr>
            <w:tcW w:w="5670" w:type="dxa"/>
            <w:tcMar>
              <w:left w:w="57" w:type="dxa"/>
              <w:right w:w="57" w:type="dxa"/>
            </w:tcMar>
            <w:vAlign w:val="center"/>
          </w:tcPr>
          <w:p w14:paraId="06FBF7E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$260,000 - $279,999</w:t>
            </w:r>
          </w:p>
        </w:tc>
        <w:tc>
          <w:tcPr>
            <w:tcW w:w="1134" w:type="dxa"/>
            <w:shd w:val="clear" w:color="auto" w:fill="FFFFFF" w:themeFill="background1"/>
            <w:tcMar>
              <w:left w:w="57" w:type="dxa"/>
              <w:right w:w="57" w:type="dxa"/>
            </w:tcMar>
            <w:vAlign w:val="center"/>
          </w:tcPr>
          <w:p w14:paraId="0B61B0A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19</w:t>
            </w:r>
          </w:p>
        </w:tc>
        <w:tc>
          <w:tcPr>
            <w:tcW w:w="1134" w:type="dxa"/>
            <w:tcMar>
              <w:left w:w="57" w:type="dxa"/>
              <w:right w:w="57" w:type="dxa"/>
            </w:tcMar>
            <w:vAlign w:val="center"/>
          </w:tcPr>
          <w:p w14:paraId="3DC3EEA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134" w:type="dxa"/>
            <w:tcMar>
              <w:left w:w="57" w:type="dxa"/>
              <w:right w:w="57" w:type="dxa"/>
            </w:tcMar>
            <w:vAlign w:val="center"/>
          </w:tcPr>
          <w:p w14:paraId="20A78F0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5F1C0F66" w14:textId="77777777" w:rsidTr="00834077">
        <w:trPr>
          <w:trHeight w:val="312"/>
        </w:trPr>
        <w:tc>
          <w:tcPr>
            <w:tcW w:w="5670" w:type="dxa"/>
            <w:tcMar>
              <w:left w:w="57" w:type="dxa"/>
              <w:right w:w="57" w:type="dxa"/>
            </w:tcMar>
            <w:vAlign w:val="center"/>
          </w:tcPr>
          <w:p w14:paraId="64775481"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$280,000 - $299,999</w:t>
            </w:r>
          </w:p>
        </w:tc>
        <w:tc>
          <w:tcPr>
            <w:tcW w:w="1134" w:type="dxa"/>
            <w:shd w:val="clear" w:color="auto" w:fill="FFFFFF" w:themeFill="background1"/>
            <w:tcMar>
              <w:left w:w="57" w:type="dxa"/>
              <w:right w:w="57" w:type="dxa"/>
            </w:tcMar>
            <w:vAlign w:val="center"/>
          </w:tcPr>
          <w:p w14:paraId="50F1B50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33</w:t>
            </w:r>
          </w:p>
        </w:tc>
        <w:tc>
          <w:tcPr>
            <w:tcW w:w="1134" w:type="dxa"/>
            <w:tcMar>
              <w:left w:w="57" w:type="dxa"/>
              <w:right w:w="57" w:type="dxa"/>
            </w:tcMar>
            <w:vAlign w:val="center"/>
          </w:tcPr>
          <w:p w14:paraId="63BA910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075B92D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24A7DB5D" w14:textId="77777777" w:rsidTr="00834077">
        <w:trPr>
          <w:trHeight w:val="312"/>
        </w:trPr>
        <w:tc>
          <w:tcPr>
            <w:tcW w:w="5670" w:type="dxa"/>
            <w:tcMar>
              <w:left w:w="57" w:type="dxa"/>
              <w:right w:w="57" w:type="dxa"/>
            </w:tcMar>
            <w:vAlign w:val="center"/>
          </w:tcPr>
          <w:p w14:paraId="5287B41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$300,000 - $319,999</w:t>
            </w:r>
          </w:p>
        </w:tc>
        <w:tc>
          <w:tcPr>
            <w:tcW w:w="1134" w:type="dxa"/>
            <w:shd w:val="clear" w:color="auto" w:fill="FFFFFF" w:themeFill="background1"/>
            <w:tcMar>
              <w:left w:w="57" w:type="dxa"/>
              <w:right w:w="57" w:type="dxa"/>
            </w:tcMar>
            <w:vAlign w:val="center"/>
          </w:tcPr>
          <w:p w14:paraId="3B14AFB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w:t>
            </w:r>
          </w:p>
        </w:tc>
        <w:tc>
          <w:tcPr>
            <w:tcW w:w="1134" w:type="dxa"/>
            <w:tcMar>
              <w:left w:w="57" w:type="dxa"/>
              <w:right w:w="57" w:type="dxa"/>
            </w:tcMar>
            <w:vAlign w:val="center"/>
          </w:tcPr>
          <w:p w14:paraId="23A7009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58CF52C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47EC7816" w14:textId="77777777" w:rsidTr="00834077">
        <w:trPr>
          <w:trHeight w:val="312"/>
        </w:trPr>
        <w:tc>
          <w:tcPr>
            <w:tcW w:w="5670" w:type="dxa"/>
            <w:tcMar>
              <w:left w:w="57" w:type="dxa"/>
              <w:right w:w="57" w:type="dxa"/>
            </w:tcMar>
            <w:vAlign w:val="center"/>
          </w:tcPr>
          <w:p w14:paraId="5697394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$320,000 - $339,999</w:t>
            </w:r>
          </w:p>
        </w:tc>
        <w:tc>
          <w:tcPr>
            <w:tcW w:w="1134" w:type="dxa"/>
            <w:shd w:val="clear" w:color="auto" w:fill="FFFFFF" w:themeFill="background1"/>
            <w:tcMar>
              <w:left w:w="57" w:type="dxa"/>
              <w:right w:w="57" w:type="dxa"/>
            </w:tcMar>
            <w:vAlign w:val="center"/>
          </w:tcPr>
          <w:p w14:paraId="027E39D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24</w:t>
            </w:r>
          </w:p>
        </w:tc>
        <w:tc>
          <w:tcPr>
            <w:tcW w:w="1134" w:type="dxa"/>
            <w:tcMar>
              <w:left w:w="57" w:type="dxa"/>
              <w:right w:w="57" w:type="dxa"/>
            </w:tcMar>
            <w:vAlign w:val="center"/>
          </w:tcPr>
          <w:p w14:paraId="3F7E5C3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6DA401F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7F41F85A" w14:textId="77777777" w:rsidTr="00834077">
        <w:trPr>
          <w:trHeight w:val="312"/>
        </w:trPr>
        <w:tc>
          <w:tcPr>
            <w:tcW w:w="5670" w:type="dxa"/>
            <w:tcMar>
              <w:left w:w="57" w:type="dxa"/>
              <w:right w:w="57" w:type="dxa"/>
            </w:tcMar>
            <w:vAlign w:val="center"/>
          </w:tcPr>
          <w:p w14:paraId="55C7BA8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$340,000 - $359,999</w:t>
            </w:r>
          </w:p>
        </w:tc>
        <w:tc>
          <w:tcPr>
            <w:tcW w:w="1134" w:type="dxa"/>
            <w:shd w:val="clear" w:color="auto" w:fill="FFFFFF" w:themeFill="background1"/>
            <w:tcMar>
              <w:left w:w="57" w:type="dxa"/>
              <w:right w:w="57" w:type="dxa"/>
            </w:tcMar>
            <w:vAlign w:val="center"/>
          </w:tcPr>
          <w:p w14:paraId="6A4BEBB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w:t>
            </w:r>
          </w:p>
        </w:tc>
        <w:tc>
          <w:tcPr>
            <w:tcW w:w="1134" w:type="dxa"/>
            <w:tcMar>
              <w:left w:w="57" w:type="dxa"/>
              <w:right w:w="57" w:type="dxa"/>
            </w:tcMar>
            <w:vAlign w:val="center"/>
          </w:tcPr>
          <w:p w14:paraId="7D9FA6E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70D38FD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7E698054" w14:textId="77777777" w:rsidTr="00834077">
        <w:trPr>
          <w:trHeight w:val="312"/>
        </w:trPr>
        <w:tc>
          <w:tcPr>
            <w:tcW w:w="5670" w:type="dxa"/>
            <w:tcMar>
              <w:left w:w="57" w:type="dxa"/>
              <w:right w:w="57" w:type="dxa"/>
            </w:tcMar>
            <w:vAlign w:val="center"/>
          </w:tcPr>
          <w:p w14:paraId="20E19F6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$360,000 - $379,999</w:t>
            </w:r>
          </w:p>
        </w:tc>
        <w:tc>
          <w:tcPr>
            <w:tcW w:w="1134" w:type="dxa"/>
            <w:shd w:val="clear" w:color="auto" w:fill="FFFFFF" w:themeFill="background1"/>
            <w:tcMar>
              <w:left w:w="57" w:type="dxa"/>
              <w:right w:w="57" w:type="dxa"/>
            </w:tcMar>
            <w:vAlign w:val="center"/>
          </w:tcPr>
          <w:p w14:paraId="0AAC7B3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w:t>
            </w:r>
          </w:p>
        </w:tc>
        <w:tc>
          <w:tcPr>
            <w:tcW w:w="1134" w:type="dxa"/>
            <w:tcMar>
              <w:left w:w="57" w:type="dxa"/>
              <w:right w:w="57" w:type="dxa"/>
            </w:tcMar>
            <w:vAlign w:val="center"/>
          </w:tcPr>
          <w:p w14:paraId="15FF0C0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747D1A5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2CEBA19D" w14:textId="77777777" w:rsidTr="00834077">
        <w:trPr>
          <w:trHeight w:val="312"/>
        </w:trPr>
        <w:tc>
          <w:tcPr>
            <w:tcW w:w="5670" w:type="dxa"/>
            <w:tcMar>
              <w:left w:w="57" w:type="dxa"/>
              <w:right w:w="57" w:type="dxa"/>
            </w:tcMar>
            <w:vAlign w:val="center"/>
          </w:tcPr>
          <w:p w14:paraId="306D243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$380,000 - $399,999</w:t>
            </w:r>
          </w:p>
        </w:tc>
        <w:tc>
          <w:tcPr>
            <w:tcW w:w="1134" w:type="dxa"/>
            <w:shd w:val="clear" w:color="auto" w:fill="FFFFFF" w:themeFill="background1"/>
            <w:tcMar>
              <w:left w:w="57" w:type="dxa"/>
              <w:right w:w="57" w:type="dxa"/>
            </w:tcMar>
            <w:vAlign w:val="center"/>
          </w:tcPr>
          <w:p w14:paraId="6612CB4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c>
          <w:tcPr>
            <w:tcW w:w="1134" w:type="dxa"/>
            <w:tcMar>
              <w:left w:w="57" w:type="dxa"/>
              <w:right w:w="57" w:type="dxa"/>
            </w:tcMar>
            <w:vAlign w:val="center"/>
          </w:tcPr>
          <w:p w14:paraId="7A0E8F8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1BA53B9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2C169ACD" w14:textId="77777777" w:rsidTr="00834077">
        <w:trPr>
          <w:trHeight w:val="312"/>
        </w:trPr>
        <w:tc>
          <w:tcPr>
            <w:tcW w:w="5670" w:type="dxa"/>
            <w:tcMar>
              <w:left w:w="57" w:type="dxa"/>
              <w:right w:w="57" w:type="dxa"/>
            </w:tcMar>
            <w:vAlign w:val="center"/>
          </w:tcPr>
          <w:p w14:paraId="66A3DFB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$400,000 - $419,999</w:t>
            </w:r>
          </w:p>
        </w:tc>
        <w:tc>
          <w:tcPr>
            <w:tcW w:w="1134" w:type="dxa"/>
            <w:shd w:val="clear" w:color="auto" w:fill="FFFFFF" w:themeFill="background1"/>
            <w:tcMar>
              <w:left w:w="57" w:type="dxa"/>
              <w:right w:w="57" w:type="dxa"/>
            </w:tcMar>
            <w:vAlign w:val="center"/>
          </w:tcPr>
          <w:p w14:paraId="37CB88D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w:t>
            </w:r>
          </w:p>
        </w:tc>
        <w:tc>
          <w:tcPr>
            <w:tcW w:w="1134" w:type="dxa"/>
            <w:tcMar>
              <w:left w:w="57" w:type="dxa"/>
              <w:right w:w="57" w:type="dxa"/>
            </w:tcMar>
            <w:vAlign w:val="center"/>
          </w:tcPr>
          <w:p w14:paraId="164C790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0ECB660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458276DE" w14:textId="77777777" w:rsidTr="00834077">
        <w:trPr>
          <w:trHeight w:val="312"/>
        </w:trPr>
        <w:tc>
          <w:tcPr>
            <w:tcW w:w="5670" w:type="dxa"/>
            <w:tcMar>
              <w:left w:w="57" w:type="dxa"/>
              <w:right w:w="57" w:type="dxa"/>
            </w:tcMar>
            <w:vAlign w:val="center"/>
          </w:tcPr>
          <w:p w14:paraId="7A3D660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$420,000 - $439,999</w:t>
            </w:r>
          </w:p>
        </w:tc>
        <w:tc>
          <w:tcPr>
            <w:tcW w:w="1134" w:type="dxa"/>
            <w:shd w:val="clear" w:color="auto" w:fill="FFFFFF" w:themeFill="background1"/>
            <w:tcMar>
              <w:left w:w="57" w:type="dxa"/>
              <w:right w:w="57" w:type="dxa"/>
            </w:tcMar>
            <w:vAlign w:val="center"/>
          </w:tcPr>
          <w:p w14:paraId="208076F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134" w:type="dxa"/>
            <w:tcMar>
              <w:left w:w="57" w:type="dxa"/>
              <w:right w:w="57" w:type="dxa"/>
            </w:tcMar>
            <w:vAlign w:val="center"/>
          </w:tcPr>
          <w:p w14:paraId="7B61640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62467EF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30349F68" w14:textId="77777777" w:rsidTr="00834077">
        <w:trPr>
          <w:trHeight w:val="312"/>
        </w:trPr>
        <w:tc>
          <w:tcPr>
            <w:tcW w:w="5670" w:type="dxa"/>
            <w:tcMar>
              <w:left w:w="57" w:type="dxa"/>
              <w:right w:w="57" w:type="dxa"/>
            </w:tcMar>
            <w:vAlign w:val="center"/>
          </w:tcPr>
          <w:p w14:paraId="3916FD0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$440,000 - $459,999</w:t>
            </w:r>
          </w:p>
        </w:tc>
        <w:tc>
          <w:tcPr>
            <w:tcW w:w="1134" w:type="dxa"/>
            <w:shd w:val="clear" w:color="auto" w:fill="FFFFFF" w:themeFill="background1"/>
            <w:tcMar>
              <w:left w:w="57" w:type="dxa"/>
              <w:right w:w="57" w:type="dxa"/>
            </w:tcMar>
            <w:vAlign w:val="center"/>
          </w:tcPr>
          <w:p w14:paraId="41F5382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134" w:type="dxa"/>
            <w:tcMar>
              <w:left w:w="57" w:type="dxa"/>
              <w:right w:w="57" w:type="dxa"/>
            </w:tcMar>
            <w:vAlign w:val="center"/>
          </w:tcPr>
          <w:p w14:paraId="7778F94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76FF037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66F7668F" w14:textId="77777777" w:rsidTr="00834077">
        <w:trPr>
          <w:trHeight w:val="312"/>
        </w:trPr>
        <w:tc>
          <w:tcPr>
            <w:tcW w:w="5670" w:type="dxa"/>
            <w:tcMar>
              <w:left w:w="57" w:type="dxa"/>
              <w:right w:w="57" w:type="dxa"/>
            </w:tcMar>
            <w:vAlign w:val="center"/>
          </w:tcPr>
          <w:p w14:paraId="6DD4350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$460,000 - $479,999</w:t>
            </w:r>
          </w:p>
        </w:tc>
        <w:tc>
          <w:tcPr>
            <w:tcW w:w="1134" w:type="dxa"/>
            <w:shd w:val="clear" w:color="auto" w:fill="FFFFFF" w:themeFill="background1"/>
            <w:tcMar>
              <w:left w:w="57" w:type="dxa"/>
              <w:right w:w="57" w:type="dxa"/>
            </w:tcMar>
            <w:vAlign w:val="center"/>
          </w:tcPr>
          <w:p w14:paraId="0102CB4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w:t>
            </w:r>
          </w:p>
        </w:tc>
        <w:tc>
          <w:tcPr>
            <w:tcW w:w="1134" w:type="dxa"/>
            <w:tcMar>
              <w:left w:w="57" w:type="dxa"/>
              <w:right w:w="57" w:type="dxa"/>
            </w:tcMar>
            <w:vAlign w:val="center"/>
          </w:tcPr>
          <w:p w14:paraId="633DEB5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597B36E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2E955A0F" w14:textId="77777777" w:rsidTr="00834077">
        <w:trPr>
          <w:trHeight w:val="312"/>
        </w:trPr>
        <w:tc>
          <w:tcPr>
            <w:tcW w:w="5670" w:type="dxa"/>
            <w:tcMar>
              <w:left w:w="57" w:type="dxa"/>
              <w:right w:w="57" w:type="dxa"/>
            </w:tcMar>
            <w:vAlign w:val="center"/>
          </w:tcPr>
          <w:p w14:paraId="3C265FD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$480,000 - $499,999</w:t>
            </w:r>
          </w:p>
        </w:tc>
        <w:tc>
          <w:tcPr>
            <w:tcW w:w="1134" w:type="dxa"/>
            <w:shd w:val="clear" w:color="auto" w:fill="FFFFFF" w:themeFill="background1"/>
            <w:tcMar>
              <w:left w:w="57" w:type="dxa"/>
              <w:right w:w="57" w:type="dxa"/>
            </w:tcMar>
            <w:vAlign w:val="center"/>
          </w:tcPr>
          <w:p w14:paraId="273726B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c>
          <w:tcPr>
            <w:tcW w:w="1134" w:type="dxa"/>
            <w:tcMar>
              <w:left w:w="57" w:type="dxa"/>
              <w:right w:w="57" w:type="dxa"/>
            </w:tcMar>
            <w:vAlign w:val="center"/>
          </w:tcPr>
          <w:p w14:paraId="09D577D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5D62B3B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16013004" w14:textId="77777777" w:rsidTr="00834077">
        <w:trPr>
          <w:trHeight w:val="312"/>
        </w:trPr>
        <w:tc>
          <w:tcPr>
            <w:tcW w:w="5670" w:type="dxa"/>
            <w:tcMar>
              <w:left w:w="57" w:type="dxa"/>
              <w:right w:w="57" w:type="dxa"/>
            </w:tcMar>
            <w:vAlign w:val="center"/>
          </w:tcPr>
          <w:p w14:paraId="32ACBE7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&gt;$500,000</w:t>
            </w:r>
          </w:p>
        </w:tc>
        <w:tc>
          <w:tcPr>
            <w:tcW w:w="1134" w:type="dxa"/>
            <w:shd w:val="clear" w:color="auto" w:fill="FFFFFF" w:themeFill="background1"/>
            <w:tcMar>
              <w:left w:w="57" w:type="dxa"/>
              <w:right w:w="57" w:type="dxa"/>
            </w:tcMar>
            <w:vAlign w:val="center"/>
          </w:tcPr>
          <w:p w14:paraId="28141DA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w:t>
            </w:r>
          </w:p>
        </w:tc>
        <w:tc>
          <w:tcPr>
            <w:tcW w:w="1134" w:type="dxa"/>
            <w:tcMar>
              <w:left w:w="57" w:type="dxa"/>
              <w:right w:w="57" w:type="dxa"/>
            </w:tcMar>
            <w:vAlign w:val="center"/>
          </w:tcPr>
          <w:p w14:paraId="26C310A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2463716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3F0DF284" w14:textId="77777777" w:rsidTr="00834077">
        <w:trPr>
          <w:trHeight w:val="312"/>
        </w:trPr>
        <w:tc>
          <w:tcPr>
            <w:tcW w:w="5670" w:type="dxa"/>
            <w:tcMar>
              <w:left w:w="57" w:type="dxa"/>
              <w:right w:w="57" w:type="dxa"/>
            </w:tcMar>
            <w:vAlign w:val="center"/>
          </w:tcPr>
          <w:p w14:paraId="469BCF83"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lastRenderedPageBreak/>
              <w:t>Total headcount</w:t>
            </w:r>
          </w:p>
        </w:tc>
        <w:tc>
          <w:tcPr>
            <w:tcW w:w="1134" w:type="dxa"/>
            <w:shd w:val="clear" w:color="auto" w:fill="FFFFFF" w:themeFill="background1"/>
            <w:tcMar>
              <w:left w:w="57" w:type="dxa"/>
              <w:right w:w="57" w:type="dxa"/>
            </w:tcMar>
            <w:vAlign w:val="center"/>
          </w:tcPr>
          <w:p w14:paraId="6274A80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168</w:t>
            </w:r>
          </w:p>
        </w:tc>
        <w:tc>
          <w:tcPr>
            <w:tcW w:w="1134" w:type="dxa"/>
            <w:tcMar>
              <w:left w:w="57" w:type="dxa"/>
              <w:right w:w="57" w:type="dxa"/>
            </w:tcMar>
            <w:vAlign w:val="center"/>
          </w:tcPr>
          <w:p w14:paraId="30602EA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150</w:t>
            </w:r>
          </w:p>
        </w:tc>
        <w:tc>
          <w:tcPr>
            <w:tcW w:w="1134" w:type="dxa"/>
            <w:tcMar>
              <w:left w:w="57" w:type="dxa"/>
              <w:right w:w="57" w:type="dxa"/>
            </w:tcMar>
            <w:vAlign w:val="center"/>
          </w:tcPr>
          <w:p w14:paraId="74E98E88"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176</w:t>
            </w:r>
          </w:p>
        </w:tc>
      </w:tr>
    </w:tbl>
    <w:p w14:paraId="151D7637" w14:textId="77777777" w:rsidR="003E5BF5" w:rsidRPr="00E273FC" w:rsidRDefault="003E5BF5" w:rsidP="00DE1921">
      <w:pPr>
        <w:pStyle w:val="Note"/>
        <w:rPr>
          <w:rFonts w:ascii="Arial" w:hAnsi="Arial" w:cs="Arial"/>
          <w:sz w:val="24"/>
          <w:szCs w:val="24"/>
        </w:rPr>
      </w:pPr>
      <w:r w:rsidRPr="00E273FC">
        <w:rPr>
          <w:rFonts w:ascii="Arial" w:hAnsi="Arial" w:cs="Arial"/>
          <w:sz w:val="24"/>
          <w:szCs w:val="24"/>
        </w:rPr>
        <w:t>Note:</w:t>
      </w:r>
    </w:p>
    <w:p w14:paraId="264CE1AA" w14:textId="77777777" w:rsidR="003E5BF5" w:rsidRPr="00E273FC" w:rsidRDefault="003E5BF5" w:rsidP="00610F5F">
      <w:pPr>
        <w:pStyle w:val="Notenumberingabc"/>
        <w:numPr>
          <w:ilvl w:val="0"/>
          <w:numId w:val="46"/>
        </w:numPr>
        <w:spacing w:before="0" w:after="120" w:line="360" w:lineRule="auto"/>
        <w:ind w:left="340" w:hanging="227"/>
        <w:contextualSpacing/>
        <w:rPr>
          <w:rFonts w:ascii="Arial" w:hAnsi="Arial" w:cs="Arial"/>
          <w:sz w:val="24"/>
          <w:szCs w:val="24"/>
        </w:rPr>
      </w:pPr>
      <w:r w:rsidRPr="00E273FC">
        <w:rPr>
          <w:rFonts w:ascii="Arial" w:hAnsi="Arial" w:cs="Arial"/>
          <w:sz w:val="24"/>
          <w:szCs w:val="24"/>
        </w:rPr>
        <w:t xml:space="preserve">The salaries reported above are the full time equivalent total remuneration, less superannuation. </w:t>
      </w:r>
    </w:p>
    <w:p w14:paraId="329FD229" w14:textId="77777777" w:rsidR="003E5BF5" w:rsidRDefault="003E5BF5" w:rsidP="00DE1921">
      <w:pPr>
        <w:rPr>
          <w:b/>
        </w:rPr>
        <w:sectPr w:rsidR="003E5BF5" w:rsidSect="00DE1921">
          <w:footerReference w:type="even" r:id="rId253"/>
          <w:pgSz w:w="11906" w:h="16838"/>
          <w:pgMar w:top="1701" w:right="1418" w:bottom="1418" w:left="1418" w:header="709" w:footer="709" w:gutter="0"/>
          <w:cols w:space="284"/>
          <w:docGrid w:linePitch="360"/>
        </w:sectPr>
      </w:pPr>
    </w:p>
    <w:p w14:paraId="384E2EE2" w14:textId="77777777" w:rsidR="003E5BF5" w:rsidRPr="00524C6B" w:rsidRDefault="003E5BF5" w:rsidP="008A0170">
      <w:pPr>
        <w:pStyle w:val="Heading3"/>
      </w:pPr>
      <w:r>
        <w:lastRenderedPageBreak/>
        <w:t>Suburban Rail Loop Authority</w:t>
      </w:r>
    </w:p>
    <w:p w14:paraId="2A697296" w14:textId="77777777" w:rsidR="003E5BF5" w:rsidRPr="00E273FC" w:rsidRDefault="003E5BF5" w:rsidP="00CF74EB">
      <w:pPr>
        <w:pStyle w:val="TableHeader"/>
      </w:pPr>
      <w:r w:rsidRPr="00E273FC">
        <w:t>Table 8: Total number of executives broken down into gender</w:t>
      </w:r>
    </w:p>
    <w:tbl>
      <w:tblPr>
        <w:tblStyle w:val="TableGrid"/>
        <w:tblW w:w="9072" w:type="dxa"/>
        <w:tblLayout w:type="fixed"/>
        <w:tblLook w:val="04A0" w:firstRow="1" w:lastRow="0" w:firstColumn="1" w:lastColumn="0" w:noHBand="0" w:noVBand="1"/>
      </w:tblPr>
      <w:tblGrid>
        <w:gridCol w:w="1418"/>
        <w:gridCol w:w="283"/>
        <w:gridCol w:w="568"/>
        <w:gridCol w:w="851"/>
        <w:gridCol w:w="284"/>
        <w:gridCol w:w="850"/>
        <w:gridCol w:w="850"/>
        <w:gridCol w:w="284"/>
        <w:gridCol w:w="850"/>
        <w:gridCol w:w="850"/>
        <w:gridCol w:w="284"/>
        <w:gridCol w:w="850"/>
        <w:gridCol w:w="850"/>
      </w:tblGrid>
      <w:tr w:rsidR="003E5BF5" w:rsidRPr="00E273FC" w14:paraId="04F14CEA" w14:textId="77777777" w:rsidTr="00577988">
        <w:trPr>
          <w:trHeight w:val="312"/>
        </w:trPr>
        <w:tc>
          <w:tcPr>
            <w:tcW w:w="1418" w:type="dxa"/>
            <w:tcMar>
              <w:left w:w="57" w:type="dxa"/>
              <w:right w:w="57" w:type="dxa"/>
            </w:tcMar>
            <w:vAlign w:val="center"/>
          </w:tcPr>
          <w:p w14:paraId="2A5DC035" w14:textId="77777777" w:rsidR="003E5BF5" w:rsidRPr="00E273FC" w:rsidRDefault="003E5BF5" w:rsidP="00DE1921">
            <w:pPr>
              <w:pStyle w:val="TableTextCentreBold"/>
              <w:rPr>
                <w:rFonts w:ascii="Arial" w:hAnsi="Arial" w:cs="Arial"/>
                <w:sz w:val="24"/>
                <w:szCs w:val="24"/>
              </w:rPr>
            </w:pPr>
          </w:p>
        </w:tc>
        <w:tc>
          <w:tcPr>
            <w:tcW w:w="1702" w:type="dxa"/>
            <w:gridSpan w:val="3"/>
            <w:shd w:val="clear" w:color="auto" w:fill="FFFFFF" w:themeFill="background1"/>
            <w:vAlign w:val="center"/>
          </w:tcPr>
          <w:p w14:paraId="69A37151"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All</w:t>
            </w:r>
          </w:p>
        </w:tc>
        <w:tc>
          <w:tcPr>
            <w:tcW w:w="284" w:type="dxa"/>
            <w:shd w:val="clear" w:color="auto" w:fill="FFFFFF" w:themeFill="background1"/>
            <w:vAlign w:val="center"/>
          </w:tcPr>
          <w:p w14:paraId="3E3F15E1" w14:textId="77777777" w:rsidR="003E5BF5" w:rsidRPr="00E273FC" w:rsidRDefault="003E5BF5" w:rsidP="00DE1921">
            <w:pPr>
              <w:pStyle w:val="TableTextCentreBold"/>
              <w:rPr>
                <w:rFonts w:ascii="Arial" w:hAnsi="Arial" w:cs="Arial"/>
                <w:sz w:val="24"/>
                <w:szCs w:val="24"/>
              </w:rPr>
            </w:pPr>
          </w:p>
        </w:tc>
        <w:tc>
          <w:tcPr>
            <w:tcW w:w="1700" w:type="dxa"/>
            <w:gridSpan w:val="2"/>
            <w:shd w:val="clear" w:color="auto" w:fill="FFFFFF" w:themeFill="background1"/>
            <w:vAlign w:val="center"/>
          </w:tcPr>
          <w:p w14:paraId="15373055"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Man</w:t>
            </w:r>
          </w:p>
        </w:tc>
        <w:tc>
          <w:tcPr>
            <w:tcW w:w="284" w:type="dxa"/>
            <w:shd w:val="clear" w:color="auto" w:fill="FFFFFF" w:themeFill="background1"/>
            <w:vAlign w:val="center"/>
          </w:tcPr>
          <w:p w14:paraId="0145ED52" w14:textId="77777777" w:rsidR="003E5BF5" w:rsidRPr="00E273FC" w:rsidRDefault="003E5BF5" w:rsidP="00DE1921">
            <w:pPr>
              <w:pStyle w:val="TableTextCentreBold"/>
              <w:rPr>
                <w:rFonts w:ascii="Arial" w:hAnsi="Arial" w:cs="Arial"/>
                <w:sz w:val="24"/>
                <w:szCs w:val="24"/>
              </w:rPr>
            </w:pPr>
          </w:p>
        </w:tc>
        <w:tc>
          <w:tcPr>
            <w:tcW w:w="1700" w:type="dxa"/>
            <w:gridSpan w:val="2"/>
            <w:shd w:val="clear" w:color="auto" w:fill="FFFFFF" w:themeFill="background1"/>
            <w:vAlign w:val="center"/>
          </w:tcPr>
          <w:p w14:paraId="72AE1E5B"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Woman</w:t>
            </w:r>
          </w:p>
        </w:tc>
        <w:tc>
          <w:tcPr>
            <w:tcW w:w="284" w:type="dxa"/>
            <w:shd w:val="clear" w:color="auto" w:fill="FFFFFF" w:themeFill="background1"/>
            <w:vAlign w:val="center"/>
          </w:tcPr>
          <w:p w14:paraId="1CCF7269" w14:textId="77777777" w:rsidR="003E5BF5" w:rsidRPr="00E273FC" w:rsidRDefault="003E5BF5" w:rsidP="00DE1921">
            <w:pPr>
              <w:pStyle w:val="TableTextCentreBold"/>
              <w:rPr>
                <w:rFonts w:ascii="Arial" w:hAnsi="Arial" w:cs="Arial"/>
                <w:sz w:val="24"/>
                <w:szCs w:val="24"/>
              </w:rPr>
            </w:pPr>
          </w:p>
        </w:tc>
        <w:tc>
          <w:tcPr>
            <w:tcW w:w="1700" w:type="dxa"/>
            <w:gridSpan w:val="2"/>
            <w:shd w:val="clear" w:color="auto" w:fill="FFFFFF" w:themeFill="background1"/>
            <w:tcMar>
              <w:left w:w="57" w:type="dxa"/>
              <w:right w:w="57" w:type="dxa"/>
            </w:tcMar>
            <w:vAlign w:val="center"/>
          </w:tcPr>
          <w:p w14:paraId="5D64F3FE"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Self-described</w:t>
            </w:r>
          </w:p>
        </w:tc>
      </w:tr>
      <w:tr w:rsidR="003E5BF5" w:rsidRPr="00E273FC" w14:paraId="47745FB7" w14:textId="77777777" w:rsidTr="00577988">
        <w:trPr>
          <w:trHeight w:val="312"/>
        </w:trPr>
        <w:tc>
          <w:tcPr>
            <w:tcW w:w="1418" w:type="dxa"/>
            <w:tcMar>
              <w:left w:w="57" w:type="dxa"/>
              <w:right w:w="57" w:type="dxa"/>
            </w:tcMar>
            <w:vAlign w:val="center"/>
          </w:tcPr>
          <w:p w14:paraId="3820673A"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Class</w:t>
            </w:r>
          </w:p>
        </w:tc>
        <w:tc>
          <w:tcPr>
            <w:tcW w:w="851" w:type="dxa"/>
            <w:gridSpan w:val="2"/>
            <w:shd w:val="clear" w:color="auto" w:fill="FFFFFF" w:themeFill="background1"/>
            <w:vAlign w:val="center"/>
          </w:tcPr>
          <w:p w14:paraId="4E24FB14"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w:t>
            </w:r>
          </w:p>
        </w:tc>
        <w:tc>
          <w:tcPr>
            <w:tcW w:w="851" w:type="dxa"/>
            <w:shd w:val="clear" w:color="auto" w:fill="FFFFFF" w:themeFill="background1"/>
            <w:vAlign w:val="center"/>
          </w:tcPr>
          <w:p w14:paraId="7BC11464"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w:t>
            </w:r>
          </w:p>
        </w:tc>
        <w:tc>
          <w:tcPr>
            <w:tcW w:w="284" w:type="dxa"/>
            <w:shd w:val="clear" w:color="auto" w:fill="FFFFFF" w:themeFill="background1"/>
            <w:vAlign w:val="center"/>
          </w:tcPr>
          <w:p w14:paraId="39383046"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vAlign w:val="center"/>
          </w:tcPr>
          <w:p w14:paraId="3BA0AF4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w:t>
            </w:r>
          </w:p>
        </w:tc>
        <w:tc>
          <w:tcPr>
            <w:tcW w:w="850" w:type="dxa"/>
            <w:shd w:val="clear" w:color="auto" w:fill="FFFFFF" w:themeFill="background1"/>
            <w:vAlign w:val="center"/>
          </w:tcPr>
          <w:p w14:paraId="1E719D2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w:t>
            </w:r>
          </w:p>
        </w:tc>
        <w:tc>
          <w:tcPr>
            <w:tcW w:w="284" w:type="dxa"/>
            <w:shd w:val="clear" w:color="auto" w:fill="FFFFFF" w:themeFill="background1"/>
            <w:vAlign w:val="center"/>
          </w:tcPr>
          <w:p w14:paraId="07A5960B"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vAlign w:val="center"/>
          </w:tcPr>
          <w:p w14:paraId="7679C70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w:t>
            </w:r>
          </w:p>
        </w:tc>
        <w:tc>
          <w:tcPr>
            <w:tcW w:w="850" w:type="dxa"/>
            <w:shd w:val="clear" w:color="auto" w:fill="FFFFFF" w:themeFill="background1"/>
            <w:vAlign w:val="center"/>
          </w:tcPr>
          <w:p w14:paraId="38D68AF4"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w:t>
            </w:r>
          </w:p>
        </w:tc>
        <w:tc>
          <w:tcPr>
            <w:tcW w:w="284" w:type="dxa"/>
            <w:shd w:val="clear" w:color="auto" w:fill="FFFFFF" w:themeFill="background1"/>
            <w:vAlign w:val="center"/>
          </w:tcPr>
          <w:p w14:paraId="199D79E6"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tcMar>
              <w:left w:w="57" w:type="dxa"/>
              <w:right w:w="57" w:type="dxa"/>
            </w:tcMar>
            <w:vAlign w:val="center"/>
          </w:tcPr>
          <w:p w14:paraId="495A3C6E"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w:t>
            </w:r>
          </w:p>
        </w:tc>
        <w:tc>
          <w:tcPr>
            <w:tcW w:w="850" w:type="dxa"/>
            <w:shd w:val="clear" w:color="auto" w:fill="FFFFFF" w:themeFill="background1"/>
            <w:tcMar>
              <w:left w:w="57" w:type="dxa"/>
              <w:right w:w="57" w:type="dxa"/>
            </w:tcMar>
            <w:vAlign w:val="center"/>
          </w:tcPr>
          <w:p w14:paraId="25CD139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w:t>
            </w:r>
          </w:p>
        </w:tc>
      </w:tr>
      <w:tr w:rsidR="003E5BF5" w:rsidRPr="00E273FC" w14:paraId="17568C26" w14:textId="77777777" w:rsidTr="00577988">
        <w:trPr>
          <w:trHeight w:val="312"/>
        </w:trPr>
        <w:tc>
          <w:tcPr>
            <w:tcW w:w="1701" w:type="dxa"/>
            <w:gridSpan w:val="2"/>
            <w:tcMar>
              <w:left w:w="57" w:type="dxa"/>
              <w:right w:w="57" w:type="dxa"/>
            </w:tcMar>
            <w:vAlign w:val="center"/>
          </w:tcPr>
          <w:p w14:paraId="5688D89B"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Admin Office Head</w:t>
            </w:r>
          </w:p>
        </w:tc>
        <w:tc>
          <w:tcPr>
            <w:tcW w:w="568" w:type="dxa"/>
            <w:shd w:val="clear" w:color="auto" w:fill="FFFFFF" w:themeFill="background1"/>
            <w:vAlign w:val="center"/>
          </w:tcPr>
          <w:p w14:paraId="5AEA861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851" w:type="dxa"/>
            <w:shd w:val="clear" w:color="auto" w:fill="FFFFFF" w:themeFill="background1"/>
            <w:vAlign w:val="center"/>
          </w:tcPr>
          <w:p w14:paraId="722689F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c>
          <w:tcPr>
            <w:tcW w:w="284" w:type="dxa"/>
            <w:shd w:val="clear" w:color="auto" w:fill="FFFFFF" w:themeFill="background1"/>
            <w:vAlign w:val="center"/>
          </w:tcPr>
          <w:p w14:paraId="4B872391"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1A6C47E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850" w:type="dxa"/>
            <w:shd w:val="clear" w:color="auto" w:fill="FFFFFF" w:themeFill="background1"/>
            <w:vAlign w:val="center"/>
          </w:tcPr>
          <w:p w14:paraId="470FDED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c>
          <w:tcPr>
            <w:tcW w:w="284" w:type="dxa"/>
            <w:shd w:val="clear" w:color="auto" w:fill="FFFFFF" w:themeFill="background1"/>
            <w:vAlign w:val="center"/>
          </w:tcPr>
          <w:p w14:paraId="46E470C3"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44C6CB7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vAlign w:val="center"/>
          </w:tcPr>
          <w:p w14:paraId="1977AFC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c>
          <w:tcPr>
            <w:tcW w:w="284" w:type="dxa"/>
            <w:shd w:val="clear" w:color="auto" w:fill="FFFFFF" w:themeFill="background1"/>
            <w:vAlign w:val="center"/>
          </w:tcPr>
          <w:p w14:paraId="1F9E42B3"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tcMar>
              <w:left w:w="57" w:type="dxa"/>
              <w:right w:w="57" w:type="dxa"/>
            </w:tcMar>
            <w:vAlign w:val="center"/>
          </w:tcPr>
          <w:p w14:paraId="1571A0B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tcMar>
              <w:left w:w="57" w:type="dxa"/>
              <w:right w:w="57" w:type="dxa"/>
            </w:tcMar>
            <w:vAlign w:val="center"/>
          </w:tcPr>
          <w:p w14:paraId="432FAEE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r>
      <w:tr w:rsidR="003E5BF5" w:rsidRPr="00E273FC" w14:paraId="3C0DC752" w14:textId="77777777" w:rsidTr="00577988">
        <w:trPr>
          <w:trHeight w:val="312"/>
        </w:trPr>
        <w:tc>
          <w:tcPr>
            <w:tcW w:w="1418" w:type="dxa"/>
            <w:tcMar>
              <w:left w:w="57" w:type="dxa"/>
              <w:right w:w="57" w:type="dxa"/>
            </w:tcMar>
            <w:vAlign w:val="center"/>
          </w:tcPr>
          <w:p w14:paraId="6E4B3D4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EO-1</w:t>
            </w:r>
          </w:p>
        </w:tc>
        <w:tc>
          <w:tcPr>
            <w:tcW w:w="851" w:type="dxa"/>
            <w:gridSpan w:val="2"/>
            <w:shd w:val="clear" w:color="auto" w:fill="FFFFFF" w:themeFill="background1"/>
            <w:vAlign w:val="center"/>
          </w:tcPr>
          <w:p w14:paraId="577BDFA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1" w:type="dxa"/>
            <w:shd w:val="clear" w:color="auto" w:fill="FFFFFF" w:themeFill="background1"/>
            <w:vAlign w:val="center"/>
          </w:tcPr>
          <w:p w14:paraId="46410A4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c>
          <w:tcPr>
            <w:tcW w:w="284" w:type="dxa"/>
            <w:shd w:val="clear" w:color="auto" w:fill="FFFFFF" w:themeFill="background1"/>
            <w:vAlign w:val="center"/>
          </w:tcPr>
          <w:p w14:paraId="48340721"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0F0265D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vAlign w:val="center"/>
          </w:tcPr>
          <w:p w14:paraId="6A08BAD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c>
          <w:tcPr>
            <w:tcW w:w="284" w:type="dxa"/>
            <w:shd w:val="clear" w:color="auto" w:fill="FFFFFF" w:themeFill="background1"/>
            <w:vAlign w:val="center"/>
          </w:tcPr>
          <w:p w14:paraId="6BF3F775"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0969364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vAlign w:val="center"/>
          </w:tcPr>
          <w:p w14:paraId="2454BF9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c>
          <w:tcPr>
            <w:tcW w:w="284" w:type="dxa"/>
            <w:shd w:val="clear" w:color="auto" w:fill="FFFFFF" w:themeFill="background1"/>
            <w:vAlign w:val="center"/>
          </w:tcPr>
          <w:p w14:paraId="62464C8E"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tcMar>
              <w:left w:w="57" w:type="dxa"/>
              <w:right w:w="57" w:type="dxa"/>
            </w:tcMar>
            <w:vAlign w:val="center"/>
          </w:tcPr>
          <w:p w14:paraId="3DF3E1D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tcMar>
              <w:left w:w="57" w:type="dxa"/>
              <w:right w:w="57" w:type="dxa"/>
            </w:tcMar>
            <w:vAlign w:val="center"/>
          </w:tcPr>
          <w:p w14:paraId="502BD16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r>
      <w:tr w:rsidR="003E5BF5" w:rsidRPr="00E273FC" w14:paraId="6CE0D346" w14:textId="77777777" w:rsidTr="00577988">
        <w:trPr>
          <w:trHeight w:val="312"/>
        </w:trPr>
        <w:tc>
          <w:tcPr>
            <w:tcW w:w="1418" w:type="dxa"/>
            <w:tcMar>
              <w:left w:w="57" w:type="dxa"/>
              <w:right w:w="57" w:type="dxa"/>
            </w:tcMar>
            <w:vAlign w:val="center"/>
          </w:tcPr>
          <w:p w14:paraId="77A4594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EO-2</w:t>
            </w:r>
          </w:p>
        </w:tc>
        <w:tc>
          <w:tcPr>
            <w:tcW w:w="851" w:type="dxa"/>
            <w:gridSpan w:val="2"/>
            <w:shd w:val="clear" w:color="auto" w:fill="FFFFFF" w:themeFill="background1"/>
            <w:vAlign w:val="center"/>
          </w:tcPr>
          <w:p w14:paraId="7701AD0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15</w:t>
            </w:r>
          </w:p>
        </w:tc>
        <w:tc>
          <w:tcPr>
            <w:tcW w:w="851" w:type="dxa"/>
            <w:shd w:val="clear" w:color="auto" w:fill="FFFFFF" w:themeFill="background1"/>
            <w:vAlign w:val="center"/>
          </w:tcPr>
          <w:p w14:paraId="1657638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c>
          <w:tcPr>
            <w:tcW w:w="284" w:type="dxa"/>
            <w:shd w:val="clear" w:color="auto" w:fill="FFFFFF" w:themeFill="background1"/>
            <w:vAlign w:val="center"/>
          </w:tcPr>
          <w:p w14:paraId="3191C2E7"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3FEEECB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w:t>
            </w:r>
          </w:p>
        </w:tc>
        <w:tc>
          <w:tcPr>
            <w:tcW w:w="850" w:type="dxa"/>
            <w:shd w:val="clear" w:color="auto" w:fill="FFFFFF" w:themeFill="background1"/>
            <w:vAlign w:val="center"/>
          </w:tcPr>
          <w:p w14:paraId="4BFCD9D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c>
          <w:tcPr>
            <w:tcW w:w="284" w:type="dxa"/>
            <w:shd w:val="clear" w:color="auto" w:fill="FFFFFF" w:themeFill="background1"/>
            <w:vAlign w:val="center"/>
          </w:tcPr>
          <w:p w14:paraId="3E3CE185"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40A486C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7</w:t>
            </w:r>
          </w:p>
        </w:tc>
        <w:tc>
          <w:tcPr>
            <w:tcW w:w="850" w:type="dxa"/>
            <w:shd w:val="clear" w:color="auto" w:fill="FFFFFF" w:themeFill="background1"/>
            <w:vAlign w:val="center"/>
          </w:tcPr>
          <w:p w14:paraId="02D45E5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c>
          <w:tcPr>
            <w:tcW w:w="284" w:type="dxa"/>
            <w:shd w:val="clear" w:color="auto" w:fill="FFFFFF" w:themeFill="background1"/>
            <w:vAlign w:val="center"/>
          </w:tcPr>
          <w:p w14:paraId="2834BAE0"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tcMar>
              <w:left w:w="57" w:type="dxa"/>
              <w:right w:w="57" w:type="dxa"/>
            </w:tcMar>
            <w:vAlign w:val="center"/>
          </w:tcPr>
          <w:p w14:paraId="09F1F9D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tcMar>
              <w:left w:w="57" w:type="dxa"/>
              <w:right w:w="57" w:type="dxa"/>
            </w:tcMar>
            <w:vAlign w:val="center"/>
          </w:tcPr>
          <w:p w14:paraId="230AB57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r>
      <w:tr w:rsidR="003E5BF5" w:rsidRPr="00E273FC" w14:paraId="71672596" w14:textId="77777777" w:rsidTr="00577988">
        <w:trPr>
          <w:trHeight w:val="312"/>
        </w:trPr>
        <w:tc>
          <w:tcPr>
            <w:tcW w:w="1418" w:type="dxa"/>
            <w:tcMar>
              <w:left w:w="57" w:type="dxa"/>
              <w:right w:w="57" w:type="dxa"/>
            </w:tcMar>
            <w:vAlign w:val="center"/>
          </w:tcPr>
          <w:p w14:paraId="081608F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EO-3</w:t>
            </w:r>
          </w:p>
        </w:tc>
        <w:tc>
          <w:tcPr>
            <w:tcW w:w="851" w:type="dxa"/>
            <w:gridSpan w:val="2"/>
            <w:shd w:val="clear" w:color="auto" w:fill="FFFFFF" w:themeFill="background1"/>
            <w:vAlign w:val="center"/>
          </w:tcPr>
          <w:p w14:paraId="50637C6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w:t>
            </w:r>
          </w:p>
        </w:tc>
        <w:tc>
          <w:tcPr>
            <w:tcW w:w="851" w:type="dxa"/>
            <w:shd w:val="clear" w:color="auto" w:fill="FFFFFF" w:themeFill="background1"/>
            <w:vAlign w:val="center"/>
          </w:tcPr>
          <w:p w14:paraId="13A8082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c>
          <w:tcPr>
            <w:tcW w:w="284" w:type="dxa"/>
            <w:shd w:val="clear" w:color="auto" w:fill="FFFFFF" w:themeFill="background1"/>
            <w:vAlign w:val="center"/>
          </w:tcPr>
          <w:p w14:paraId="304DBBBA"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3127963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c>
          <w:tcPr>
            <w:tcW w:w="850" w:type="dxa"/>
            <w:shd w:val="clear" w:color="auto" w:fill="FFFFFF" w:themeFill="background1"/>
            <w:vAlign w:val="center"/>
          </w:tcPr>
          <w:p w14:paraId="56BA153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c>
          <w:tcPr>
            <w:tcW w:w="284" w:type="dxa"/>
            <w:shd w:val="clear" w:color="auto" w:fill="FFFFFF" w:themeFill="background1"/>
            <w:vAlign w:val="center"/>
          </w:tcPr>
          <w:p w14:paraId="3BCDC8E2"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vAlign w:val="center"/>
          </w:tcPr>
          <w:p w14:paraId="60A06C6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c>
          <w:tcPr>
            <w:tcW w:w="850" w:type="dxa"/>
            <w:shd w:val="clear" w:color="auto" w:fill="FFFFFF" w:themeFill="background1"/>
            <w:vAlign w:val="center"/>
          </w:tcPr>
          <w:p w14:paraId="056A9CC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c>
          <w:tcPr>
            <w:tcW w:w="284" w:type="dxa"/>
            <w:shd w:val="clear" w:color="auto" w:fill="FFFFFF" w:themeFill="background1"/>
            <w:vAlign w:val="center"/>
          </w:tcPr>
          <w:p w14:paraId="660C77F2" w14:textId="77777777" w:rsidR="003E5BF5" w:rsidRPr="00E273FC" w:rsidRDefault="003E5BF5" w:rsidP="00DE1921">
            <w:pPr>
              <w:pStyle w:val="TableTextRight"/>
              <w:rPr>
                <w:rFonts w:ascii="Arial" w:hAnsi="Arial" w:cs="Arial"/>
                <w:sz w:val="24"/>
                <w:szCs w:val="24"/>
              </w:rPr>
            </w:pPr>
          </w:p>
        </w:tc>
        <w:tc>
          <w:tcPr>
            <w:tcW w:w="850" w:type="dxa"/>
            <w:shd w:val="clear" w:color="auto" w:fill="FFFFFF" w:themeFill="background1"/>
            <w:tcMar>
              <w:left w:w="57" w:type="dxa"/>
              <w:right w:w="57" w:type="dxa"/>
            </w:tcMar>
            <w:vAlign w:val="center"/>
          </w:tcPr>
          <w:p w14:paraId="076264F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tcMar>
              <w:left w:w="57" w:type="dxa"/>
              <w:right w:w="57" w:type="dxa"/>
            </w:tcMar>
            <w:vAlign w:val="center"/>
          </w:tcPr>
          <w:p w14:paraId="64C840B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r>
      <w:tr w:rsidR="003E5BF5" w:rsidRPr="00E273FC" w14:paraId="466A3A5C" w14:textId="77777777" w:rsidTr="00577988">
        <w:trPr>
          <w:trHeight w:val="312"/>
        </w:trPr>
        <w:tc>
          <w:tcPr>
            <w:tcW w:w="1418" w:type="dxa"/>
            <w:tcMar>
              <w:left w:w="57" w:type="dxa"/>
              <w:right w:w="57" w:type="dxa"/>
            </w:tcMar>
            <w:vAlign w:val="center"/>
          </w:tcPr>
          <w:p w14:paraId="1D19D06C"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w:t>
            </w:r>
          </w:p>
        </w:tc>
        <w:tc>
          <w:tcPr>
            <w:tcW w:w="851" w:type="dxa"/>
            <w:gridSpan w:val="2"/>
            <w:shd w:val="clear" w:color="auto" w:fill="FFFFFF" w:themeFill="background1"/>
            <w:vAlign w:val="center"/>
          </w:tcPr>
          <w:p w14:paraId="025D8C7D"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22</w:t>
            </w:r>
          </w:p>
        </w:tc>
        <w:tc>
          <w:tcPr>
            <w:tcW w:w="851" w:type="dxa"/>
            <w:shd w:val="clear" w:color="auto" w:fill="FFFFFF" w:themeFill="background1"/>
            <w:vAlign w:val="center"/>
          </w:tcPr>
          <w:p w14:paraId="59E3554D"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n/a</w:t>
            </w:r>
          </w:p>
        </w:tc>
        <w:tc>
          <w:tcPr>
            <w:tcW w:w="284" w:type="dxa"/>
            <w:shd w:val="clear" w:color="auto" w:fill="FFFFFF" w:themeFill="background1"/>
            <w:vAlign w:val="center"/>
          </w:tcPr>
          <w:p w14:paraId="014C462B"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vAlign w:val="center"/>
          </w:tcPr>
          <w:p w14:paraId="662C85E8"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12</w:t>
            </w:r>
          </w:p>
        </w:tc>
        <w:tc>
          <w:tcPr>
            <w:tcW w:w="850" w:type="dxa"/>
            <w:shd w:val="clear" w:color="auto" w:fill="FFFFFF" w:themeFill="background1"/>
            <w:vAlign w:val="center"/>
          </w:tcPr>
          <w:p w14:paraId="551A0E84"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n/a</w:t>
            </w:r>
          </w:p>
        </w:tc>
        <w:tc>
          <w:tcPr>
            <w:tcW w:w="284" w:type="dxa"/>
            <w:shd w:val="clear" w:color="auto" w:fill="FFFFFF" w:themeFill="background1"/>
            <w:vAlign w:val="center"/>
          </w:tcPr>
          <w:p w14:paraId="63ABBF35"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vAlign w:val="center"/>
          </w:tcPr>
          <w:p w14:paraId="4ED34B9D"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10</w:t>
            </w:r>
          </w:p>
        </w:tc>
        <w:tc>
          <w:tcPr>
            <w:tcW w:w="850" w:type="dxa"/>
            <w:shd w:val="clear" w:color="auto" w:fill="FFFFFF" w:themeFill="background1"/>
            <w:vAlign w:val="center"/>
          </w:tcPr>
          <w:p w14:paraId="1B08AD7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n/a</w:t>
            </w:r>
          </w:p>
        </w:tc>
        <w:tc>
          <w:tcPr>
            <w:tcW w:w="284" w:type="dxa"/>
            <w:shd w:val="clear" w:color="auto" w:fill="FFFFFF" w:themeFill="background1"/>
            <w:vAlign w:val="center"/>
          </w:tcPr>
          <w:p w14:paraId="36F26EA4" w14:textId="77777777" w:rsidR="003E5BF5" w:rsidRPr="00E273FC" w:rsidRDefault="003E5BF5" w:rsidP="00DE1921">
            <w:pPr>
              <w:pStyle w:val="TableTextRightBold"/>
              <w:rPr>
                <w:rFonts w:ascii="Arial" w:hAnsi="Arial" w:cs="Arial"/>
                <w:sz w:val="24"/>
                <w:szCs w:val="24"/>
              </w:rPr>
            </w:pPr>
          </w:p>
        </w:tc>
        <w:tc>
          <w:tcPr>
            <w:tcW w:w="850" w:type="dxa"/>
            <w:shd w:val="clear" w:color="auto" w:fill="FFFFFF" w:themeFill="background1"/>
            <w:tcMar>
              <w:left w:w="57" w:type="dxa"/>
              <w:right w:w="57" w:type="dxa"/>
            </w:tcMar>
            <w:vAlign w:val="center"/>
          </w:tcPr>
          <w:p w14:paraId="0D8B51F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850" w:type="dxa"/>
            <w:shd w:val="clear" w:color="auto" w:fill="FFFFFF" w:themeFill="background1"/>
            <w:tcMar>
              <w:left w:w="57" w:type="dxa"/>
              <w:right w:w="57" w:type="dxa"/>
            </w:tcMar>
            <w:vAlign w:val="center"/>
          </w:tcPr>
          <w:p w14:paraId="34D40FAD"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n/a</w:t>
            </w:r>
          </w:p>
        </w:tc>
      </w:tr>
    </w:tbl>
    <w:p w14:paraId="744DC571" w14:textId="77777777" w:rsidR="003E5BF5" w:rsidRPr="00E273FC" w:rsidRDefault="003E5BF5" w:rsidP="00DE1921">
      <w:pPr>
        <w:pStyle w:val="Note"/>
        <w:rPr>
          <w:rFonts w:ascii="Arial" w:hAnsi="Arial" w:cs="Arial"/>
          <w:sz w:val="24"/>
          <w:szCs w:val="24"/>
        </w:rPr>
      </w:pPr>
      <w:r w:rsidRPr="00E273FC">
        <w:rPr>
          <w:rFonts w:ascii="Arial" w:hAnsi="Arial" w:cs="Arial"/>
          <w:sz w:val="24"/>
          <w:szCs w:val="24"/>
        </w:rPr>
        <w:t>Note:</w:t>
      </w:r>
    </w:p>
    <w:p w14:paraId="669C8113" w14:textId="77777777" w:rsidR="003E5BF5" w:rsidRPr="00E273FC" w:rsidRDefault="003E5BF5" w:rsidP="00610F5F">
      <w:pPr>
        <w:pStyle w:val="Notenumberingabc"/>
        <w:numPr>
          <w:ilvl w:val="0"/>
          <w:numId w:val="47"/>
        </w:numPr>
        <w:spacing w:before="0" w:after="120"/>
        <w:ind w:left="340" w:hanging="227"/>
        <w:contextualSpacing/>
        <w:rPr>
          <w:rFonts w:ascii="Arial" w:hAnsi="Arial" w:cs="Arial"/>
          <w:sz w:val="24"/>
          <w:szCs w:val="24"/>
        </w:rPr>
      </w:pPr>
      <w:r w:rsidRPr="00E273FC">
        <w:rPr>
          <w:rFonts w:ascii="Arial" w:hAnsi="Arial" w:cs="Arial"/>
          <w:sz w:val="24"/>
          <w:szCs w:val="24"/>
        </w:rPr>
        <w:t>Variance not applicable as Suburban Rail Loop Authority was established effective 3 September 2019.</w:t>
      </w:r>
    </w:p>
    <w:p w14:paraId="1D10AE04" w14:textId="77777777" w:rsidR="003E5BF5" w:rsidRPr="00E273FC" w:rsidRDefault="003E5BF5" w:rsidP="00CF74EB">
      <w:pPr>
        <w:pStyle w:val="TableHeader"/>
      </w:pPr>
      <w:r w:rsidRPr="00E273FC">
        <w:t>Table 9: Reconciliation of executive numbers</w:t>
      </w:r>
    </w:p>
    <w:tbl>
      <w:tblPr>
        <w:tblStyle w:val="TableGrid"/>
        <w:tblW w:w="9072" w:type="dxa"/>
        <w:tblLayout w:type="fixed"/>
        <w:tblLook w:val="04A0" w:firstRow="1" w:lastRow="0" w:firstColumn="1" w:lastColumn="0" w:noHBand="0" w:noVBand="1"/>
      </w:tblPr>
      <w:tblGrid>
        <w:gridCol w:w="6804"/>
        <w:gridCol w:w="1134"/>
        <w:gridCol w:w="1134"/>
      </w:tblGrid>
      <w:tr w:rsidR="003E5BF5" w:rsidRPr="00E273FC" w14:paraId="2142FBE4" w14:textId="77777777" w:rsidTr="00577988">
        <w:trPr>
          <w:trHeight w:hRule="exact" w:val="312"/>
        </w:trPr>
        <w:tc>
          <w:tcPr>
            <w:tcW w:w="6804" w:type="dxa"/>
            <w:shd w:val="clear" w:color="auto" w:fill="auto"/>
            <w:tcMar>
              <w:left w:w="57" w:type="dxa"/>
              <w:right w:w="57" w:type="dxa"/>
            </w:tcMar>
            <w:vAlign w:val="center"/>
          </w:tcPr>
          <w:p w14:paraId="23F08973" w14:textId="77777777" w:rsidR="003E5BF5" w:rsidRPr="00E273FC" w:rsidRDefault="003E5BF5" w:rsidP="00DE1921">
            <w:pPr>
              <w:pStyle w:val="TableTextLeft"/>
              <w:rPr>
                <w:rFonts w:ascii="Arial" w:hAnsi="Arial" w:cs="Arial"/>
                <w:sz w:val="24"/>
                <w:szCs w:val="24"/>
              </w:rPr>
            </w:pPr>
          </w:p>
        </w:tc>
        <w:tc>
          <w:tcPr>
            <w:tcW w:w="1134" w:type="dxa"/>
            <w:shd w:val="clear" w:color="auto" w:fill="auto"/>
            <w:tcMar>
              <w:left w:w="57" w:type="dxa"/>
              <w:right w:w="57" w:type="dxa"/>
            </w:tcMar>
            <w:vAlign w:val="center"/>
          </w:tcPr>
          <w:p w14:paraId="5DD5CAE1" w14:textId="77777777" w:rsidR="003E5BF5" w:rsidRPr="00E273FC" w:rsidRDefault="003E5BF5" w:rsidP="00DE1921">
            <w:pPr>
              <w:pStyle w:val="TableTextRight"/>
              <w:rPr>
                <w:rFonts w:ascii="Arial" w:hAnsi="Arial" w:cs="Arial"/>
                <w:b/>
                <w:sz w:val="24"/>
                <w:szCs w:val="24"/>
              </w:rPr>
            </w:pPr>
            <w:r w:rsidRPr="00E273FC">
              <w:rPr>
                <w:rFonts w:ascii="Arial" w:hAnsi="Arial" w:cs="Arial"/>
                <w:b/>
                <w:sz w:val="24"/>
                <w:szCs w:val="24"/>
              </w:rPr>
              <w:t>2020</w:t>
            </w:r>
          </w:p>
        </w:tc>
        <w:tc>
          <w:tcPr>
            <w:tcW w:w="1134" w:type="dxa"/>
            <w:shd w:val="clear" w:color="auto" w:fill="auto"/>
            <w:vAlign w:val="center"/>
          </w:tcPr>
          <w:p w14:paraId="6DD50C3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2019</w:t>
            </w:r>
          </w:p>
        </w:tc>
      </w:tr>
      <w:tr w:rsidR="003E5BF5" w:rsidRPr="00E273FC" w14:paraId="1FB27172" w14:textId="77777777" w:rsidTr="00577988">
        <w:trPr>
          <w:trHeight w:hRule="exact" w:val="312"/>
        </w:trPr>
        <w:tc>
          <w:tcPr>
            <w:tcW w:w="6804" w:type="dxa"/>
            <w:shd w:val="clear" w:color="auto" w:fill="auto"/>
            <w:tcMar>
              <w:left w:w="57" w:type="dxa"/>
              <w:right w:w="57" w:type="dxa"/>
            </w:tcMar>
            <w:vAlign w:val="center"/>
          </w:tcPr>
          <w:p w14:paraId="21C6262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 xml:space="preserve">Executives </w:t>
            </w:r>
          </w:p>
        </w:tc>
        <w:tc>
          <w:tcPr>
            <w:tcW w:w="1134" w:type="dxa"/>
            <w:shd w:val="clear" w:color="auto" w:fill="auto"/>
            <w:tcMar>
              <w:left w:w="57" w:type="dxa"/>
              <w:right w:w="57" w:type="dxa"/>
            </w:tcMar>
            <w:vAlign w:val="center"/>
          </w:tcPr>
          <w:p w14:paraId="49B3901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23</w:t>
            </w:r>
          </w:p>
        </w:tc>
        <w:tc>
          <w:tcPr>
            <w:tcW w:w="1134" w:type="dxa"/>
            <w:shd w:val="clear" w:color="auto" w:fill="auto"/>
            <w:vAlign w:val="center"/>
          </w:tcPr>
          <w:p w14:paraId="08AAE8D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r>
      <w:tr w:rsidR="003E5BF5" w:rsidRPr="00E273FC" w14:paraId="3A9E9946" w14:textId="77777777" w:rsidTr="00577988">
        <w:trPr>
          <w:trHeight w:hRule="exact" w:val="312"/>
        </w:trPr>
        <w:tc>
          <w:tcPr>
            <w:tcW w:w="6804" w:type="dxa"/>
            <w:shd w:val="clear" w:color="auto" w:fill="auto"/>
            <w:tcMar>
              <w:left w:w="57" w:type="dxa"/>
              <w:right w:w="57" w:type="dxa"/>
            </w:tcMar>
            <w:vAlign w:val="center"/>
          </w:tcPr>
          <w:p w14:paraId="1BB6DBE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Separations / Leave without pay</w:t>
            </w:r>
          </w:p>
        </w:tc>
        <w:tc>
          <w:tcPr>
            <w:tcW w:w="1134" w:type="dxa"/>
            <w:shd w:val="clear" w:color="auto" w:fill="auto"/>
            <w:tcMar>
              <w:left w:w="57" w:type="dxa"/>
              <w:right w:w="57" w:type="dxa"/>
            </w:tcMar>
            <w:vAlign w:val="center"/>
          </w:tcPr>
          <w:p w14:paraId="511E532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134" w:type="dxa"/>
            <w:shd w:val="clear" w:color="auto" w:fill="auto"/>
            <w:vAlign w:val="center"/>
          </w:tcPr>
          <w:p w14:paraId="1368E82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r>
      <w:tr w:rsidR="003E5BF5" w:rsidRPr="00E273FC" w14:paraId="76DCDEB2" w14:textId="77777777" w:rsidTr="00577988">
        <w:trPr>
          <w:trHeight w:hRule="exact" w:val="312"/>
        </w:trPr>
        <w:tc>
          <w:tcPr>
            <w:tcW w:w="6804" w:type="dxa"/>
            <w:shd w:val="clear" w:color="auto" w:fill="auto"/>
            <w:tcMar>
              <w:left w:w="57" w:type="dxa"/>
              <w:right w:w="57" w:type="dxa"/>
            </w:tcMar>
            <w:vAlign w:val="center"/>
          </w:tcPr>
          <w:p w14:paraId="716AF75B"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executives at 30 June</w:t>
            </w:r>
          </w:p>
        </w:tc>
        <w:tc>
          <w:tcPr>
            <w:tcW w:w="1134" w:type="dxa"/>
            <w:shd w:val="clear" w:color="auto" w:fill="auto"/>
            <w:tcMar>
              <w:left w:w="57" w:type="dxa"/>
              <w:right w:w="57" w:type="dxa"/>
            </w:tcMar>
            <w:vAlign w:val="center"/>
          </w:tcPr>
          <w:p w14:paraId="2FA0519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22</w:t>
            </w:r>
          </w:p>
        </w:tc>
        <w:tc>
          <w:tcPr>
            <w:tcW w:w="1134" w:type="dxa"/>
            <w:shd w:val="clear" w:color="auto" w:fill="auto"/>
            <w:vAlign w:val="center"/>
          </w:tcPr>
          <w:p w14:paraId="3467380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r>
    </w:tbl>
    <w:p w14:paraId="12584C6D" w14:textId="77777777" w:rsidR="003E5BF5" w:rsidRPr="00E273FC" w:rsidRDefault="003E5BF5">
      <w:pPr>
        <w:pStyle w:val="Note"/>
        <w:rPr>
          <w:rFonts w:ascii="Arial" w:hAnsi="Arial" w:cs="Arial"/>
          <w:sz w:val="24"/>
          <w:szCs w:val="24"/>
        </w:rPr>
      </w:pPr>
      <w:r w:rsidRPr="00E273FC">
        <w:rPr>
          <w:rFonts w:ascii="Arial" w:hAnsi="Arial" w:cs="Arial"/>
          <w:sz w:val="24"/>
          <w:szCs w:val="24"/>
        </w:rPr>
        <w:t>Notes:</w:t>
      </w:r>
    </w:p>
    <w:p w14:paraId="6078AB84" w14:textId="77777777" w:rsidR="003E5BF5" w:rsidRPr="00E273FC" w:rsidRDefault="003E5BF5" w:rsidP="00610F5F">
      <w:pPr>
        <w:pStyle w:val="Notenumberingabc"/>
        <w:numPr>
          <w:ilvl w:val="0"/>
          <w:numId w:val="48"/>
        </w:numPr>
        <w:spacing w:before="0" w:after="120" w:line="360" w:lineRule="auto"/>
        <w:ind w:left="340" w:hanging="227"/>
        <w:contextualSpacing/>
        <w:rPr>
          <w:rFonts w:ascii="Arial" w:hAnsi="Arial" w:cs="Arial"/>
          <w:sz w:val="24"/>
          <w:szCs w:val="24"/>
        </w:rPr>
      </w:pPr>
      <w:r w:rsidRPr="00E273FC">
        <w:rPr>
          <w:rFonts w:ascii="Arial" w:hAnsi="Arial" w:cs="Arial"/>
          <w:sz w:val="24"/>
          <w:szCs w:val="24"/>
        </w:rPr>
        <w:t>2019 data not applicable as Suburban Rail Loop Authority was established effective 3 September 2019.</w:t>
      </w:r>
    </w:p>
    <w:p w14:paraId="1058D075" w14:textId="36A85A2C" w:rsidR="008E29B7" w:rsidRDefault="003E5BF5" w:rsidP="00696A16">
      <w:pPr>
        <w:pStyle w:val="Notenumberingabc"/>
        <w:spacing w:before="0" w:after="120" w:line="360" w:lineRule="auto"/>
        <w:contextualSpacing/>
        <w:rPr>
          <w:rFonts w:ascii="Arial" w:hAnsi="Arial" w:cs="Arial"/>
          <w:sz w:val="24"/>
          <w:szCs w:val="24"/>
        </w:rPr>
      </w:pPr>
      <w:r w:rsidRPr="00E273FC">
        <w:rPr>
          <w:rFonts w:ascii="Arial" w:hAnsi="Arial" w:cs="Arial"/>
          <w:sz w:val="24"/>
          <w:szCs w:val="24"/>
        </w:rPr>
        <w:t>The above table does not include staff on higher duties in vacant EO positions.</w:t>
      </w:r>
      <w:r w:rsidR="008E29B7">
        <w:rPr>
          <w:rFonts w:ascii="Arial" w:hAnsi="Arial" w:cs="Arial"/>
          <w:sz w:val="24"/>
          <w:szCs w:val="24"/>
        </w:rPr>
        <w:br w:type="page"/>
      </w:r>
    </w:p>
    <w:p w14:paraId="3A41C264" w14:textId="77777777" w:rsidR="003E5BF5" w:rsidRPr="00E273FC" w:rsidRDefault="003E5BF5" w:rsidP="00CF74EB">
      <w:pPr>
        <w:pStyle w:val="TableHeader"/>
      </w:pPr>
      <w:r w:rsidRPr="00E273FC">
        <w:lastRenderedPageBreak/>
        <w:t>Table 10: Annualised total salary for senior employees</w:t>
      </w:r>
    </w:p>
    <w:tbl>
      <w:tblPr>
        <w:tblStyle w:val="TableGrid"/>
        <w:tblW w:w="9072" w:type="dxa"/>
        <w:tblLook w:val="04A0" w:firstRow="1" w:lastRow="0" w:firstColumn="1" w:lastColumn="0" w:noHBand="0" w:noVBand="1"/>
      </w:tblPr>
      <w:tblGrid>
        <w:gridCol w:w="5487"/>
        <w:gridCol w:w="1369"/>
        <w:gridCol w:w="1111"/>
        <w:gridCol w:w="1105"/>
      </w:tblGrid>
      <w:tr w:rsidR="003E5BF5" w:rsidRPr="00E273FC" w14:paraId="4A8AAC5A" w14:textId="77777777" w:rsidTr="005439D2">
        <w:trPr>
          <w:trHeight w:val="312"/>
        </w:trPr>
        <w:tc>
          <w:tcPr>
            <w:tcW w:w="5670" w:type="dxa"/>
            <w:tcMar>
              <w:left w:w="57" w:type="dxa"/>
              <w:right w:w="57" w:type="dxa"/>
            </w:tcMar>
            <w:vAlign w:val="center"/>
          </w:tcPr>
          <w:p w14:paraId="07CB3E6A" w14:textId="77777777" w:rsidR="003E5BF5" w:rsidRPr="00E273FC" w:rsidRDefault="003E5BF5" w:rsidP="00DE1921">
            <w:pPr>
              <w:pStyle w:val="TableTextLeft"/>
              <w:rPr>
                <w:rFonts w:ascii="Arial" w:hAnsi="Arial" w:cs="Arial"/>
                <w:sz w:val="24"/>
                <w:szCs w:val="24"/>
              </w:rPr>
            </w:pPr>
          </w:p>
        </w:tc>
        <w:tc>
          <w:tcPr>
            <w:tcW w:w="1134" w:type="dxa"/>
            <w:shd w:val="clear" w:color="auto" w:fill="FFFFFF" w:themeFill="background1"/>
            <w:tcMar>
              <w:left w:w="57" w:type="dxa"/>
              <w:right w:w="57" w:type="dxa"/>
            </w:tcMar>
            <w:vAlign w:val="center"/>
          </w:tcPr>
          <w:p w14:paraId="1B2611F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Executives</w:t>
            </w:r>
          </w:p>
        </w:tc>
        <w:tc>
          <w:tcPr>
            <w:tcW w:w="1134" w:type="dxa"/>
            <w:tcMar>
              <w:left w:w="57" w:type="dxa"/>
              <w:right w:w="57" w:type="dxa"/>
            </w:tcMar>
            <w:vAlign w:val="center"/>
          </w:tcPr>
          <w:p w14:paraId="1E8B358D"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STS</w:t>
            </w:r>
          </w:p>
        </w:tc>
        <w:tc>
          <w:tcPr>
            <w:tcW w:w="1134" w:type="dxa"/>
            <w:tcMar>
              <w:left w:w="57" w:type="dxa"/>
              <w:right w:w="57" w:type="dxa"/>
            </w:tcMar>
            <w:vAlign w:val="center"/>
          </w:tcPr>
          <w:p w14:paraId="5D92246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PS</w:t>
            </w:r>
          </w:p>
        </w:tc>
      </w:tr>
      <w:tr w:rsidR="003E5BF5" w:rsidRPr="00E273FC" w14:paraId="269AB500" w14:textId="77777777" w:rsidTr="005439D2">
        <w:trPr>
          <w:trHeight w:val="312"/>
        </w:trPr>
        <w:tc>
          <w:tcPr>
            <w:tcW w:w="5670" w:type="dxa"/>
            <w:tcMar>
              <w:left w:w="57" w:type="dxa"/>
              <w:right w:w="57" w:type="dxa"/>
            </w:tcMar>
            <w:vAlign w:val="center"/>
          </w:tcPr>
          <w:p w14:paraId="4502CFF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&lt;$160,000</w:t>
            </w:r>
          </w:p>
        </w:tc>
        <w:tc>
          <w:tcPr>
            <w:tcW w:w="1134" w:type="dxa"/>
            <w:shd w:val="clear" w:color="auto" w:fill="FFFFFF" w:themeFill="background1"/>
            <w:tcMar>
              <w:left w:w="57" w:type="dxa"/>
              <w:right w:w="57" w:type="dxa"/>
            </w:tcMar>
            <w:vAlign w:val="center"/>
          </w:tcPr>
          <w:p w14:paraId="17F1E7D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3657EF2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667EB96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3DF25168" w14:textId="77777777" w:rsidTr="005439D2">
        <w:trPr>
          <w:trHeight w:val="312"/>
        </w:trPr>
        <w:tc>
          <w:tcPr>
            <w:tcW w:w="5670" w:type="dxa"/>
            <w:tcMar>
              <w:left w:w="57" w:type="dxa"/>
              <w:right w:w="57" w:type="dxa"/>
            </w:tcMar>
            <w:vAlign w:val="center"/>
          </w:tcPr>
          <w:p w14:paraId="181E970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$160,000 - $179,999</w:t>
            </w:r>
          </w:p>
        </w:tc>
        <w:tc>
          <w:tcPr>
            <w:tcW w:w="1134" w:type="dxa"/>
            <w:shd w:val="clear" w:color="auto" w:fill="FFFFFF" w:themeFill="background1"/>
            <w:tcMar>
              <w:left w:w="57" w:type="dxa"/>
              <w:right w:w="57" w:type="dxa"/>
            </w:tcMar>
            <w:vAlign w:val="center"/>
          </w:tcPr>
          <w:p w14:paraId="6894625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1F8EC24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c>
          <w:tcPr>
            <w:tcW w:w="1134" w:type="dxa"/>
            <w:tcMar>
              <w:left w:w="57" w:type="dxa"/>
              <w:right w:w="57" w:type="dxa"/>
            </w:tcMar>
            <w:vAlign w:val="center"/>
          </w:tcPr>
          <w:p w14:paraId="42BF3F7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23B2DB6A" w14:textId="77777777" w:rsidTr="005439D2">
        <w:trPr>
          <w:trHeight w:val="312"/>
        </w:trPr>
        <w:tc>
          <w:tcPr>
            <w:tcW w:w="5670" w:type="dxa"/>
            <w:tcMar>
              <w:left w:w="57" w:type="dxa"/>
              <w:right w:w="57" w:type="dxa"/>
            </w:tcMar>
            <w:vAlign w:val="center"/>
          </w:tcPr>
          <w:p w14:paraId="1429DDD2"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$180,000 - $199,999</w:t>
            </w:r>
          </w:p>
        </w:tc>
        <w:tc>
          <w:tcPr>
            <w:tcW w:w="1134" w:type="dxa"/>
            <w:shd w:val="clear" w:color="auto" w:fill="FFFFFF" w:themeFill="background1"/>
            <w:tcMar>
              <w:left w:w="57" w:type="dxa"/>
              <w:right w:w="57" w:type="dxa"/>
            </w:tcMar>
            <w:vAlign w:val="center"/>
          </w:tcPr>
          <w:p w14:paraId="252F8F5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2C9BC6F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c>
          <w:tcPr>
            <w:tcW w:w="1134" w:type="dxa"/>
            <w:tcMar>
              <w:left w:w="57" w:type="dxa"/>
              <w:right w:w="57" w:type="dxa"/>
            </w:tcMar>
            <w:vAlign w:val="center"/>
          </w:tcPr>
          <w:p w14:paraId="6F2CC5F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7F001549" w14:textId="77777777" w:rsidTr="005439D2">
        <w:trPr>
          <w:trHeight w:val="312"/>
        </w:trPr>
        <w:tc>
          <w:tcPr>
            <w:tcW w:w="5670" w:type="dxa"/>
            <w:tcMar>
              <w:left w:w="57" w:type="dxa"/>
              <w:right w:w="57" w:type="dxa"/>
            </w:tcMar>
            <w:vAlign w:val="center"/>
          </w:tcPr>
          <w:p w14:paraId="1F9826C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$200,000 - $219,9998</w:t>
            </w:r>
          </w:p>
        </w:tc>
        <w:tc>
          <w:tcPr>
            <w:tcW w:w="1134" w:type="dxa"/>
            <w:shd w:val="clear" w:color="auto" w:fill="FFFFFF" w:themeFill="background1"/>
            <w:tcMar>
              <w:left w:w="57" w:type="dxa"/>
              <w:right w:w="57" w:type="dxa"/>
            </w:tcMar>
            <w:vAlign w:val="center"/>
          </w:tcPr>
          <w:p w14:paraId="2B14A61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134" w:type="dxa"/>
            <w:tcMar>
              <w:left w:w="57" w:type="dxa"/>
              <w:right w:w="57" w:type="dxa"/>
            </w:tcMar>
            <w:vAlign w:val="center"/>
          </w:tcPr>
          <w:p w14:paraId="5235901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w:t>
            </w:r>
          </w:p>
        </w:tc>
        <w:tc>
          <w:tcPr>
            <w:tcW w:w="1134" w:type="dxa"/>
            <w:tcMar>
              <w:left w:w="57" w:type="dxa"/>
              <w:right w:w="57" w:type="dxa"/>
            </w:tcMar>
            <w:vAlign w:val="center"/>
          </w:tcPr>
          <w:p w14:paraId="6BE6596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w:t>
            </w:r>
          </w:p>
        </w:tc>
      </w:tr>
      <w:tr w:rsidR="003E5BF5" w:rsidRPr="00E273FC" w14:paraId="47C01672" w14:textId="77777777" w:rsidTr="005439D2">
        <w:trPr>
          <w:trHeight w:val="312"/>
        </w:trPr>
        <w:tc>
          <w:tcPr>
            <w:tcW w:w="5670" w:type="dxa"/>
            <w:tcMar>
              <w:left w:w="57" w:type="dxa"/>
              <w:right w:w="57" w:type="dxa"/>
            </w:tcMar>
            <w:vAlign w:val="center"/>
          </w:tcPr>
          <w:p w14:paraId="413D8822"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$220,000 - $239,999</w:t>
            </w:r>
          </w:p>
        </w:tc>
        <w:tc>
          <w:tcPr>
            <w:tcW w:w="1134" w:type="dxa"/>
            <w:shd w:val="clear" w:color="auto" w:fill="FFFFFF" w:themeFill="background1"/>
            <w:tcMar>
              <w:left w:w="57" w:type="dxa"/>
              <w:right w:w="57" w:type="dxa"/>
            </w:tcMar>
            <w:vAlign w:val="center"/>
          </w:tcPr>
          <w:p w14:paraId="709C488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w:t>
            </w:r>
          </w:p>
        </w:tc>
        <w:tc>
          <w:tcPr>
            <w:tcW w:w="1134" w:type="dxa"/>
            <w:tcMar>
              <w:left w:w="57" w:type="dxa"/>
              <w:right w:w="57" w:type="dxa"/>
            </w:tcMar>
            <w:vAlign w:val="center"/>
          </w:tcPr>
          <w:p w14:paraId="369679F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45D2EC4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r>
      <w:tr w:rsidR="003E5BF5" w:rsidRPr="00E273FC" w14:paraId="770A5D21" w14:textId="77777777" w:rsidTr="005439D2">
        <w:trPr>
          <w:trHeight w:val="312"/>
        </w:trPr>
        <w:tc>
          <w:tcPr>
            <w:tcW w:w="5670" w:type="dxa"/>
            <w:tcMar>
              <w:left w:w="57" w:type="dxa"/>
              <w:right w:w="57" w:type="dxa"/>
            </w:tcMar>
            <w:vAlign w:val="center"/>
          </w:tcPr>
          <w:p w14:paraId="2F29F06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$240,000 - $259,999</w:t>
            </w:r>
          </w:p>
        </w:tc>
        <w:tc>
          <w:tcPr>
            <w:tcW w:w="1134" w:type="dxa"/>
            <w:shd w:val="clear" w:color="auto" w:fill="FFFFFF" w:themeFill="background1"/>
            <w:tcMar>
              <w:left w:w="57" w:type="dxa"/>
              <w:right w:w="57" w:type="dxa"/>
            </w:tcMar>
            <w:vAlign w:val="center"/>
          </w:tcPr>
          <w:p w14:paraId="76F862D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31F5315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2671CE7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167161BE" w14:textId="77777777" w:rsidTr="005439D2">
        <w:trPr>
          <w:trHeight w:val="312"/>
        </w:trPr>
        <w:tc>
          <w:tcPr>
            <w:tcW w:w="5670" w:type="dxa"/>
            <w:tcMar>
              <w:left w:w="57" w:type="dxa"/>
              <w:right w:w="57" w:type="dxa"/>
            </w:tcMar>
            <w:vAlign w:val="center"/>
          </w:tcPr>
          <w:p w14:paraId="63A3BA2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$260,000 - $279,999</w:t>
            </w:r>
          </w:p>
        </w:tc>
        <w:tc>
          <w:tcPr>
            <w:tcW w:w="1134" w:type="dxa"/>
            <w:shd w:val="clear" w:color="auto" w:fill="FFFFFF" w:themeFill="background1"/>
            <w:tcMar>
              <w:left w:w="57" w:type="dxa"/>
              <w:right w:w="57" w:type="dxa"/>
            </w:tcMar>
            <w:vAlign w:val="center"/>
          </w:tcPr>
          <w:p w14:paraId="1B28DA5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w:t>
            </w:r>
          </w:p>
        </w:tc>
        <w:tc>
          <w:tcPr>
            <w:tcW w:w="1134" w:type="dxa"/>
            <w:tcMar>
              <w:left w:w="57" w:type="dxa"/>
              <w:right w:w="57" w:type="dxa"/>
            </w:tcMar>
            <w:vAlign w:val="center"/>
          </w:tcPr>
          <w:p w14:paraId="094DC8C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081B329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07688ABF" w14:textId="77777777" w:rsidTr="005439D2">
        <w:trPr>
          <w:trHeight w:val="312"/>
        </w:trPr>
        <w:tc>
          <w:tcPr>
            <w:tcW w:w="5670" w:type="dxa"/>
            <w:tcMar>
              <w:left w:w="57" w:type="dxa"/>
              <w:right w:w="57" w:type="dxa"/>
            </w:tcMar>
            <w:vAlign w:val="center"/>
          </w:tcPr>
          <w:p w14:paraId="16BF6C0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$280,000 - $299,999</w:t>
            </w:r>
          </w:p>
        </w:tc>
        <w:tc>
          <w:tcPr>
            <w:tcW w:w="1134" w:type="dxa"/>
            <w:shd w:val="clear" w:color="auto" w:fill="FFFFFF" w:themeFill="background1"/>
            <w:tcMar>
              <w:left w:w="57" w:type="dxa"/>
              <w:right w:w="57" w:type="dxa"/>
            </w:tcMar>
            <w:vAlign w:val="center"/>
          </w:tcPr>
          <w:p w14:paraId="48A0E0C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w:t>
            </w:r>
          </w:p>
        </w:tc>
        <w:tc>
          <w:tcPr>
            <w:tcW w:w="1134" w:type="dxa"/>
            <w:tcMar>
              <w:left w:w="57" w:type="dxa"/>
              <w:right w:w="57" w:type="dxa"/>
            </w:tcMar>
            <w:vAlign w:val="center"/>
          </w:tcPr>
          <w:p w14:paraId="5EDBF2A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36F8F1F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5BEA0057" w14:textId="77777777" w:rsidTr="005439D2">
        <w:trPr>
          <w:trHeight w:val="312"/>
        </w:trPr>
        <w:tc>
          <w:tcPr>
            <w:tcW w:w="5670" w:type="dxa"/>
            <w:tcMar>
              <w:left w:w="57" w:type="dxa"/>
              <w:right w:w="57" w:type="dxa"/>
            </w:tcMar>
            <w:vAlign w:val="center"/>
          </w:tcPr>
          <w:p w14:paraId="509F835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$300,000 - $319,999</w:t>
            </w:r>
          </w:p>
        </w:tc>
        <w:tc>
          <w:tcPr>
            <w:tcW w:w="1134" w:type="dxa"/>
            <w:shd w:val="clear" w:color="auto" w:fill="FFFFFF" w:themeFill="background1"/>
            <w:tcMar>
              <w:left w:w="57" w:type="dxa"/>
              <w:right w:w="57" w:type="dxa"/>
            </w:tcMar>
            <w:vAlign w:val="center"/>
          </w:tcPr>
          <w:p w14:paraId="127DDB0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c>
          <w:tcPr>
            <w:tcW w:w="1134" w:type="dxa"/>
            <w:tcMar>
              <w:left w:w="57" w:type="dxa"/>
              <w:right w:w="57" w:type="dxa"/>
            </w:tcMar>
            <w:vAlign w:val="center"/>
          </w:tcPr>
          <w:p w14:paraId="01474C4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2746A30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5D690F95" w14:textId="77777777" w:rsidTr="005439D2">
        <w:trPr>
          <w:trHeight w:val="312"/>
        </w:trPr>
        <w:tc>
          <w:tcPr>
            <w:tcW w:w="5670" w:type="dxa"/>
            <w:tcMar>
              <w:left w:w="57" w:type="dxa"/>
              <w:right w:w="57" w:type="dxa"/>
            </w:tcMar>
            <w:vAlign w:val="center"/>
          </w:tcPr>
          <w:p w14:paraId="3B1BEE0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$320,000 - $339,999</w:t>
            </w:r>
          </w:p>
        </w:tc>
        <w:tc>
          <w:tcPr>
            <w:tcW w:w="1134" w:type="dxa"/>
            <w:shd w:val="clear" w:color="auto" w:fill="FFFFFF" w:themeFill="background1"/>
            <w:tcMar>
              <w:left w:w="57" w:type="dxa"/>
              <w:right w:w="57" w:type="dxa"/>
            </w:tcMar>
            <w:vAlign w:val="center"/>
          </w:tcPr>
          <w:p w14:paraId="39881BD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w:t>
            </w:r>
          </w:p>
        </w:tc>
        <w:tc>
          <w:tcPr>
            <w:tcW w:w="1134" w:type="dxa"/>
            <w:tcMar>
              <w:left w:w="57" w:type="dxa"/>
              <w:right w:w="57" w:type="dxa"/>
            </w:tcMar>
            <w:vAlign w:val="center"/>
          </w:tcPr>
          <w:p w14:paraId="35A042D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6031467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755A0B82" w14:textId="77777777" w:rsidTr="005439D2">
        <w:trPr>
          <w:trHeight w:val="312"/>
        </w:trPr>
        <w:tc>
          <w:tcPr>
            <w:tcW w:w="5670" w:type="dxa"/>
            <w:tcMar>
              <w:left w:w="57" w:type="dxa"/>
              <w:right w:w="57" w:type="dxa"/>
            </w:tcMar>
            <w:vAlign w:val="center"/>
          </w:tcPr>
          <w:p w14:paraId="2287A47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$340,000 - $359,999</w:t>
            </w:r>
          </w:p>
        </w:tc>
        <w:tc>
          <w:tcPr>
            <w:tcW w:w="1134" w:type="dxa"/>
            <w:shd w:val="clear" w:color="auto" w:fill="FFFFFF" w:themeFill="background1"/>
            <w:tcMar>
              <w:left w:w="57" w:type="dxa"/>
              <w:right w:w="57" w:type="dxa"/>
            </w:tcMar>
            <w:vAlign w:val="center"/>
          </w:tcPr>
          <w:p w14:paraId="48BE35B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c>
          <w:tcPr>
            <w:tcW w:w="1134" w:type="dxa"/>
            <w:tcMar>
              <w:left w:w="57" w:type="dxa"/>
              <w:right w:w="57" w:type="dxa"/>
            </w:tcMar>
            <w:vAlign w:val="center"/>
          </w:tcPr>
          <w:p w14:paraId="441E787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5FFFD9F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073A0852" w14:textId="77777777" w:rsidTr="005439D2">
        <w:trPr>
          <w:trHeight w:val="312"/>
        </w:trPr>
        <w:tc>
          <w:tcPr>
            <w:tcW w:w="5670" w:type="dxa"/>
            <w:tcMar>
              <w:left w:w="57" w:type="dxa"/>
              <w:right w:w="57" w:type="dxa"/>
            </w:tcMar>
            <w:vAlign w:val="center"/>
          </w:tcPr>
          <w:p w14:paraId="1A78633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$360,000 - $379,999</w:t>
            </w:r>
          </w:p>
        </w:tc>
        <w:tc>
          <w:tcPr>
            <w:tcW w:w="1134" w:type="dxa"/>
            <w:shd w:val="clear" w:color="auto" w:fill="FFFFFF" w:themeFill="background1"/>
            <w:tcMar>
              <w:left w:w="57" w:type="dxa"/>
              <w:right w:w="57" w:type="dxa"/>
            </w:tcMar>
            <w:vAlign w:val="center"/>
          </w:tcPr>
          <w:p w14:paraId="178287C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134" w:type="dxa"/>
            <w:tcMar>
              <w:left w:w="57" w:type="dxa"/>
              <w:right w:w="57" w:type="dxa"/>
            </w:tcMar>
            <w:vAlign w:val="center"/>
          </w:tcPr>
          <w:p w14:paraId="05A0890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7AB4DAC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7052658B" w14:textId="77777777" w:rsidTr="005439D2">
        <w:trPr>
          <w:trHeight w:val="312"/>
        </w:trPr>
        <w:tc>
          <w:tcPr>
            <w:tcW w:w="5670" w:type="dxa"/>
            <w:tcMar>
              <w:left w:w="57" w:type="dxa"/>
              <w:right w:w="57" w:type="dxa"/>
            </w:tcMar>
            <w:vAlign w:val="center"/>
          </w:tcPr>
          <w:p w14:paraId="585DE75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$380,000 - $399,999</w:t>
            </w:r>
          </w:p>
        </w:tc>
        <w:tc>
          <w:tcPr>
            <w:tcW w:w="1134" w:type="dxa"/>
            <w:shd w:val="clear" w:color="auto" w:fill="FFFFFF" w:themeFill="background1"/>
            <w:tcMar>
              <w:left w:w="57" w:type="dxa"/>
              <w:right w:w="57" w:type="dxa"/>
            </w:tcMar>
            <w:vAlign w:val="center"/>
          </w:tcPr>
          <w:p w14:paraId="2581AFC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7B40583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6E849B9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7AFB2BC2" w14:textId="77777777" w:rsidTr="005439D2">
        <w:trPr>
          <w:trHeight w:val="312"/>
        </w:trPr>
        <w:tc>
          <w:tcPr>
            <w:tcW w:w="5670" w:type="dxa"/>
            <w:tcMar>
              <w:left w:w="57" w:type="dxa"/>
              <w:right w:w="57" w:type="dxa"/>
            </w:tcMar>
            <w:vAlign w:val="center"/>
          </w:tcPr>
          <w:p w14:paraId="240E766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$400,000 - $419,999</w:t>
            </w:r>
          </w:p>
        </w:tc>
        <w:tc>
          <w:tcPr>
            <w:tcW w:w="1134" w:type="dxa"/>
            <w:shd w:val="clear" w:color="auto" w:fill="FFFFFF" w:themeFill="background1"/>
            <w:tcMar>
              <w:left w:w="57" w:type="dxa"/>
              <w:right w:w="57" w:type="dxa"/>
            </w:tcMar>
            <w:vAlign w:val="center"/>
          </w:tcPr>
          <w:p w14:paraId="59E1902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3D642B9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46E9309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510B2A2B" w14:textId="77777777" w:rsidTr="005439D2">
        <w:trPr>
          <w:trHeight w:val="312"/>
        </w:trPr>
        <w:tc>
          <w:tcPr>
            <w:tcW w:w="5670" w:type="dxa"/>
            <w:tcMar>
              <w:left w:w="57" w:type="dxa"/>
              <w:right w:w="57" w:type="dxa"/>
            </w:tcMar>
            <w:vAlign w:val="center"/>
          </w:tcPr>
          <w:p w14:paraId="10CAB62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$420,000 - $439,999</w:t>
            </w:r>
          </w:p>
        </w:tc>
        <w:tc>
          <w:tcPr>
            <w:tcW w:w="1134" w:type="dxa"/>
            <w:shd w:val="clear" w:color="auto" w:fill="FFFFFF" w:themeFill="background1"/>
            <w:tcMar>
              <w:left w:w="57" w:type="dxa"/>
              <w:right w:w="57" w:type="dxa"/>
            </w:tcMar>
            <w:vAlign w:val="center"/>
          </w:tcPr>
          <w:p w14:paraId="4BBBAA3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134" w:type="dxa"/>
            <w:tcMar>
              <w:left w:w="57" w:type="dxa"/>
              <w:right w:w="57" w:type="dxa"/>
            </w:tcMar>
            <w:vAlign w:val="center"/>
          </w:tcPr>
          <w:p w14:paraId="797D35C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5385DA0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25D77BDE" w14:textId="77777777" w:rsidTr="005439D2">
        <w:trPr>
          <w:trHeight w:val="312"/>
        </w:trPr>
        <w:tc>
          <w:tcPr>
            <w:tcW w:w="5670" w:type="dxa"/>
            <w:tcMar>
              <w:left w:w="57" w:type="dxa"/>
              <w:right w:w="57" w:type="dxa"/>
            </w:tcMar>
            <w:vAlign w:val="center"/>
          </w:tcPr>
          <w:p w14:paraId="345DA0B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$440,000 - $459,999</w:t>
            </w:r>
          </w:p>
        </w:tc>
        <w:tc>
          <w:tcPr>
            <w:tcW w:w="1134" w:type="dxa"/>
            <w:shd w:val="clear" w:color="auto" w:fill="FFFFFF" w:themeFill="background1"/>
            <w:tcMar>
              <w:left w:w="57" w:type="dxa"/>
              <w:right w:w="57" w:type="dxa"/>
            </w:tcMar>
            <w:vAlign w:val="center"/>
          </w:tcPr>
          <w:p w14:paraId="06EB784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12730A6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6263B30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3E04BD7A" w14:textId="77777777" w:rsidTr="005439D2">
        <w:trPr>
          <w:trHeight w:val="312"/>
        </w:trPr>
        <w:tc>
          <w:tcPr>
            <w:tcW w:w="5670" w:type="dxa"/>
            <w:tcMar>
              <w:left w:w="57" w:type="dxa"/>
              <w:right w:w="57" w:type="dxa"/>
            </w:tcMar>
            <w:vAlign w:val="center"/>
          </w:tcPr>
          <w:p w14:paraId="56B7BE3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$460,000 - $479,999</w:t>
            </w:r>
          </w:p>
        </w:tc>
        <w:tc>
          <w:tcPr>
            <w:tcW w:w="1134" w:type="dxa"/>
            <w:shd w:val="clear" w:color="auto" w:fill="FFFFFF" w:themeFill="background1"/>
            <w:tcMar>
              <w:left w:w="57" w:type="dxa"/>
              <w:right w:w="57" w:type="dxa"/>
            </w:tcMar>
            <w:vAlign w:val="center"/>
          </w:tcPr>
          <w:p w14:paraId="6208A07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0000CB5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3984FDA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1F72BDA0" w14:textId="77777777" w:rsidTr="005439D2">
        <w:trPr>
          <w:trHeight w:val="312"/>
        </w:trPr>
        <w:tc>
          <w:tcPr>
            <w:tcW w:w="5670" w:type="dxa"/>
            <w:tcMar>
              <w:left w:w="57" w:type="dxa"/>
              <w:right w:w="57" w:type="dxa"/>
            </w:tcMar>
            <w:vAlign w:val="center"/>
          </w:tcPr>
          <w:p w14:paraId="56E5BA9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$480,000 - $499,999</w:t>
            </w:r>
          </w:p>
        </w:tc>
        <w:tc>
          <w:tcPr>
            <w:tcW w:w="1134" w:type="dxa"/>
            <w:shd w:val="clear" w:color="auto" w:fill="FFFFFF" w:themeFill="background1"/>
            <w:tcMar>
              <w:left w:w="57" w:type="dxa"/>
              <w:right w:w="57" w:type="dxa"/>
            </w:tcMar>
            <w:vAlign w:val="center"/>
          </w:tcPr>
          <w:p w14:paraId="4634722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650BEB3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154BFE9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52B65AA1" w14:textId="77777777" w:rsidTr="005439D2">
        <w:trPr>
          <w:trHeight w:val="312"/>
        </w:trPr>
        <w:tc>
          <w:tcPr>
            <w:tcW w:w="5670" w:type="dxa"/>
            <w:tcMar>
              <w:left w:w="57" w:type="dxa"/>
              <w:right w:w="57" w:type="dxa"/>
            </w:tcMar>
            <w:vAlign w:val="center"/>
          </w:tcPr>
          <w:p w14:paraId="0FE163A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&gt;$500,000</w:t>
            </w:r>
          </w:p>
        </w:tc>
        <w:tc>
          <w:tcPr>
            <w:tcW w:w="1134" w:type="dxa"/>
            <w:shd w:val="clear" w:color="auto" w:fill="FFFFFF" w:themeFill="background1"/>
            <w:tcMar>
              <w:left w:w="57" w:type="dxa"/>
              <w:right w:w="57" w:type="dxa"/>
            </w:tcMar>
            <w:vAlign w:val="center"/>
          </w:tcPr>
          <w:p w14:paraId="54B84D1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w:t>
            </w:r>
          </w:p>
        </w:tc>
        <w:tc>
          <w:tcPr>
            <w:tcW w:w="1134" w:type="dxa"/>
            <w:tcMar>
              <w:left w:w="57" w:type="dxa"/>
              <w:right w:w="57" w:type="dxa"/>
            </w:tcMar>
            <w:vAlign w:val="center"/>
          </w:tcPr>
          <w:p w14:paraId="3D7336C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4" w:type="dxa"/>
            <w:tcMar>
              <w:left w:w="57" w:type="dxa"/>
              <w:right w:w="57" w:type="dxa"/>
            </w:tcMar>
            <w:vAlign w:val="center"/>
          </w:tcPr>
          <w:p w14:paraId="0808BFE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10140899" w14:textId="77777777" w:rsidTr="005439D2">
        <w:trPr>
          <w:trHeight w:val="312"/>
        </w:trPr>
        <w:tc>
          <w:tcPr>
            <w:tcW w:w="5670" w:type="dxa"/>
            <w:tcMar>
              <w:left w:w="57" w:type="dxa"/>
              <w:right w:w="57" w:type="dxa"/>
            </w:tcMar>
            <w:vAlign w:val="center"/>
          </w:tcPr>
          <w:p w14:paraId="38BFB34C"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headcount</w:t>
            </w:r>
          </w:p>
        </w:tc>
        <w:tc>
          <w:tcPr>
            <w:tcW w:w="1134" w:type="dxa"/>
            <w:shd w:val="clear" w:color="auto" w:fill="FFFFFF" w:themeFill="background1"/>
            <w:tcMar>
              <w:left w:w="57" w:type="dxa"/>
              <w:right w:w="57" w:type="dxa"/>
            </w:tcMar>
            <w:vAlign w:val="center"/>
          </w:tcPr>
          <w:p w14:paraId="2D4E3829"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22</w:t>
            </w:r>
          </w:p>
        </w:tc>
        <w:tc>
          <w:tcPr>
            <w:tcW w:w="1134" w:type="dxa"/>
            <w:tcMar>
              <w:left w:w="57" w:type="dxa"/>
              <w:right w:w="57" w:type="dxa"/>
            </w:tcMar>
            <w:vAlign w:val="center"/>
          </w:tcPr>
          <w:p w14:paraId="2CCD56A9"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12</w:t>
            </w:r>
          </w:p>
        </w:tc>
        <w:tc>
          <w:tcPr>
            <w:tcW w:w="1134" w:type="dxa"/>
            <w:tcMar>
              <w:left w:w="57" w:type="dxa"/>
              <w:right w:w="57" w:type="dxa"/>
            </w:tcMar>
            <w:vAlign w:val="center"/>
          </w:tcPr>
          <w:p w14:paraId="5C825C19"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3</w:t>
            </w:r>
          </w:p>
        </w:tc>
      </w:tr>
    </w:tbl>
    <w:p w14:paraId="6B9A7D11" w14:textId="77777777" w:rsidR="003E5BF5" w:rsidRPr="00E273FC" w:rsidRDefault="003E5BF5" w:rsidP="00DE1921">
      <w:pPr>
        <w:pStyle w:val="Note"/>
        <w:spacing w:before="100"/>
        <w:rPr>
          <w:rFonts w:ascii="Arial" w:hAnsi="Arial" w:cs="Arial"/>
          <w:sz w:val="24"/>
          <w:szCs w:val="24"/>
        </w:rPr>
      </w:pPr>
      <w:r w:rsidRPr="00E273FC">
        <w:rPr>
          <w:rFonts w:ascii="Arial" w:hAnsi="Arial" w:cs="Arial"/>
          <w:sz w:val="24"/>
          <w:szCs w:val="24"/>
        </w:rPr>
        <w:t>Note:</w:t>
      </w:r>
    </w:p>
    <w:p w14:paraId="150B0419" w14:textId="77777777" w:rsidR="009F105F" w:rsidRPr="00E273FC" w:rsidRDefault="003E5BF5" w:rsidP="00610F5F">
      <w:pPr>
        <w:pStyle w:val="Notenumberingabc"/>
        <w:numPr>
          <w:ilvl w:val="0"/>
          <w:numId w:val="49"/>
        </w:numPr>
        <w:spacing w:before="0" w:line="360" w:lineRule="auto"/>
        <w:ind w:left="340" w:hanging="227"/>
        <w:contextualSpacing/>
        <w:rPr>
          <w:rFonts w:ascii="Arial" w:hAnsi="Arial" w:cs="Arial"/>
          <w:sz w:val="24"/>
          <w:szCs w:val="24"/>
        </w:rPr>
        <w:sectPr w:rsidR="009F105F" w:rsidRPr="00E273FC" w:rsidSect="00DE1921">
          <w:headerReference w:type="even" r:id="rId254"/>
          <w:headerReference w:type="default" r:id="rId255"/>
          <w:footerReference w:type="even" r:id="rId256"/>
          <w:headerReference w:type="first" r:id="rId257"/>
          <w:footerReference w:type="first" r:id="rId258"/>
          <w:pgSz w:w="11906" w:h="16838"/>
          <w:pgMar w:top="1440" w:right="1440" w:bottom="1440" w:left="1440" w:header="708" w:footer="708" w:gutter="0"/>
          <w:cols w:space="708"/>
          <w:docGrid w:linePitch="360"/>
        </w:sectPr>
      </w:pPr>
      <w:r w:rsidRPr="00E273FC">
        <w:rPr>
          <w:rFonts w:ascii="Arial" w:hAnsi="Arial" w:cs="Arial"/>
          <w:sz w:val="24"/>
          <w:szCs w:val="24"/>
        </w:rPr>
        <w:t xml:space="preserve"> The salaries reported above are the full time equivalent total remuneration, less superannuation. </w:t>
      </w:r>
    </w:p>
    <w:p w14:paraId="7CDBBA8D" w14:textId="45FDB347" w:rsidR="008E29B7" w:rsidRDefault="008E29B7" w:rsidP="008A0170">
      <w:pPr>
        <w:pStyle w:val="Heading2"/>
      </w:pPr>
      <w:bookmarkStart w:id="791" w:name="_Toc526435486"/>
      <w:r>
        <w:br w:type="page"/>
      </w:r>
    </w:p>
    <w:p w14:paraId="003A9CA9" w14:textId="77777777" w:rsidR="003E5BF5" w:rsidRDefault="003E5BF5" w:rsidP="008A0170">
      <w:pPr>
        <w:pStyle w:val="Heading2"/>
      </w:pPr>
      <w:bookmarkStart w:id="792" w:name="p416"/>
      <w:bookmarkEnd w:id="792"/>
      <w:r w:rsidRPr="00956F92">
        <w:lastRenderedPageBreak/>
        <w:t>Our health, safety and wellbeing</w:t>
      </w:r>
      <w:bookmarkEnd w:id="791"/>
    </w:p>
    <w:p w14:paraId="3E52E38B" w14:textId="77777777" w:rsidR="003E5BF5" w:rsidRDefault="003E5BF5" w:rsidP="00975561">
      <w:pPr>
        <w:pStyle w:val="aaatyping"/>
      </w:pPr>
      <w:r w:rsidRPr="7F90859D">
        <w:t xml:space="preserve">The </w:t>
      </w:r>
      <w:r>
        <w:t>d</w:t>
      </w:r>
      <w:r w:rsidRPr="7F90859D">
        <w:t xml:space="preserve">epartment remains committed to fulfilling its obligations under the </w:t>
      </w:r>
      <w:r w:rsidRPr="00A370FF">
        <w:rPr>
          <w:rFonts w:ascii="VIC Light Italic" w:hAnsi="VIC Light Italic"/>
        </w:rPr>
        <w:t>Occupational Health and Safety Act 2004</w:t>
      </w:r>
      <w:r w:rsidRPr="7F90859D">
        <w:t xml:space="preserve"> and has commenced the consolidation of three former Health Safety &amp; Wellbeing (HSW) programs into one new program. This involved the development of a</w:t>
      </w:r>
      <w:r>
        <w:t>n</w:t>
      </w:r>
      <w:r w:rsidRPr="7F90859D">
        <w:t xml:space="preserve"> HSW Policy, HSW Framework and a three-year HSW strategy that was endorsed at the HSW Group Meeting on 24 June 2020.</w:t>
      </w:r>
    </w:p>
    <w:p w14:paraId="0CF02ABC" w14:textId="77777777" w:rsidR="003E5BF5" w:rsidRDefault="003E5BF5" w:rsidP="00975561">
      <w:pPr>
        <w:pStyle w:val="aaatyping"/>
      </w:pPr>
      <w:r w:rsidRPr="7F90859D">
        <w:t xml:space="preserve">The HSW Policy encapsulates the commitment from </w:t>
      </w:r>
      <w:r>
        <w:t>the department</w:t>
      </w:r>
      <w:r w:rsidRPr="7F90859D">
        <w:t xml:space="preserve"> to its people, partners and customers where people are empowered to work safe and work well by putting safety at the centre of everything we do. The Policy also introduces the new concept of being “safe” to mean physical, mental and emotional safety. </w:t>
      </w:r>
    </w:p>
    <w:p w14:paraId="74A41C9A" w14:textId="77777777" w:rsidR="003E5BF5" w:rsidRDefault="003E5BF5" w:rsidP="00975561">
      <w:pPr>
        <w:pStyle w:val="aaatyping"/>
      </w:pPr>
      <w:r w:rsidRPr="7F90859D">
        <w:t xml:space="preserve">The HSW Framework sets the blueprint for managing HSW at </w:t>
      </w:r>
      <w:r>
        <w:t>the department</w:t>
      </w:r>
      <w:r w:rsidRPr="7F90859D">
        <w:t xml:space="preserve">. The Framework also provides the legislative OH&amp;S responsibilities of all </w:t>
      </w:r>
      <w:r>
        <w:t>department</w:t>
      </w:r>
      <w:r w:rsidRPr="7F90859D">
        <w:t xml:space="preserve"> employees. </w:t>
      </w:r>
    </w:p>
    <w:p w14:paraId="56EA2386" w14:textId="77777777" w:rsidR="003E5BF5" w:rsidRDefault="003E5BF5" w:rsidP="00975561">
      <w:pPr>
        <w:pStyle w:val="aaatyping"/>
      </w:pPr>
      <w:r w:rsidRPr="6B1AAB89">
        <w:t>The HSW Strategic Plan 2020-2023 encapsulates six key strategic priorities over the next three years:</w:t>
      </w:r>
    </w:p>
    <w:p w14:paraId="6F61B4F4" w14:textId="77777777" w:rsidR="003E5BF5" w:rsidRDefault="003E5BF5" w:rsidP="00975561">
      <w:pPr>
        <w:pStyle w:val="aaabullet"/>
        <w:rPr>
          <w:rFonts w:asciiTheme="minorHAnsi" w:eastAsiaTheme="minorEastAsia" w:hAnsiTheme="minorHAnsi"/>
        </w:rPr>
      </w:pPr>
      <w:r>
        <w:t>i</w:t>
      </w:r>
      <w:r w:rsidRPr="7F90859D">
        <w:t xml:space="preserve">mplementing an integrated system for managing and reporting key risks in </w:t>
      </w:r>
      <w:r>
        <w:t>the department</w:t>
      </w:r>
    </w:p>
    <w:p w14:paraId="1267D65A" w14:textId="77777777" w:rsidR="003E5BF5" w:rsidRDefault="003E5BF5" w:rsidP="00975561">
      <w:pPr>
        <w:pStyle w:val="aaabullet"/>
        <w:rPr>
          <w:rFonts w:asciiTheme="minorHAnsi" w:eastAsiaTheme="minorEastAsia" w:hAnsiTheme="minorHAnsi"/>
        </w:rPr>
      </w:pPr>
      <w:r>
        <w:t>p</w:t>
      </w:r>
      <w:r w:rsidRPr="7F90859D">
        <w:t>roviding a systematic approach to the identification and management of risk</w:t>
      </w:r>
    </w:p>
    <w:p w14:paraId="3496E8C7" w14:textId="77777777" w:rsidR="003E5BF5" w:rsidRDefault="003E5BF5" w:rsidP="00975561">
      <w:pPr>
        <w:pStyle w:val="aaabullet"/>
        <w:rPr>
          <w:rFonts w:asciiTheme="minorHAnsi" w:eastAsiaTheme="minorEastAsia" w:hAnsiTheme="minorHAnsi"/>
        </w:rPr>
      </w:pPr>
      <w:r>
        <w:t>c</w:t>
      </w:r>
      <w:r w:rsidRPr="7F90859D">
        <w:t xml:space="preserve">reating a movement that supports the mental health and wellbeing of </w:t>
      </w:r>
      <w:r>
        <w:t>department</w:t>
      </w:r>
      <w:r w:rsidRPr="7F90859D">
        <w:t xml:space="preserve"> employees</w:t>
      </w:r>
    </w:p>
    <w:p w14:paraId="1C6CE8F8" w14:textId="77777777" w:rsidR="003E5BF5" w:rsidRDefault="003E5BF5" w:rsidP="00975561">
      <w:pPr>
        <w:pStyle w:val="aaabullet"/>
        <w:rPr>
          <w:rFonts w:asciiTheme="minorHAnsi" w:eastAsiaTheme="minorEastAsia" w:hAnsiTheme="minorHAnsi"/>
        </w:rPr>
      </w:pPr>
      <w:r>
        <w:t>e</w:t>
      </w:r>
      <w:r w:rsidRPr="7F90859D">
        <w:t xml:space="preserve">nabling an environment where </w:t>
      </w:r>
      <w:r>
        <w:t>department</w:t>
      </w:r>
      <w:r w:rsidRPr="7F90859D">
        <w:t xml:space="preserve"> employees can improve their health safety and wellbeing</w:t>
      </w:r>
    </w:p>
    <w:p w14:paraId="1932414C" w14:textId="77777777" w:rsidR="003E5BF5" w:rsidRDefault="003E5BF5" w:rsidP="00975561">
      <w:pPr>
        <w:pStyle w:val="aaabullet"/>
        <w:rPr>
          <w:rFonts w:asciiTheme="minorHAnsi" w:eastAsiaTheme="minorEastAsia" w:hAnsiTheme="minorHAnsi"/>
        </w:rPr>
      </w:pPr>
      <w:r>
        <w:lastRenderedPageBreak/>
        <w:t>e</w:t>
      </w:r>
      <w:r w:rsidRPr="7F90859D">
        <w:t xml:space="preserve">stablishing a system that enables </w:t>
      </w:r>
      <w:r>
        <w:t>the department</w:t>
      </w:r>
      <w:r w:rsidRPr="7F90859D">
        <w:t xml:space="preserve"> to capture and report its incident and injury experience</w:t>
      </w:r>
    </w:p>
    <w:p w14:paraId="37FFB3DC" w14:textId="77777777" w:rsidR="003E5BF5" w:rsidRDefault="003E5BF5" w:rsidP="00975561">
      <w:pPr>
        <w:pStyle w:val="aaabullet"/>
        <w:rPr>
          <w:rFonts w:asciiTheme="minorHAnsi" w:eastAsiaTheme="minorEastAsia" w:hAnsiTheme="minorHAnsi"/>
        </w:rPr>
      </w:pPr>
      <w:r>
        <w:t>d</w:t>
      </w:r>
      <w:r w:rsidRPr="7F90859D">
        <w:t xml:space="preserve">eveloping </w:t>
      </w:r>
      <w:r>
        <w:t>department</w:t>
      </w:r>
      <w:r w:rsidRPr="7F90859D">
        <w:t xml:space="preserve"> employees and providing the training required to maintain a safe system of work.</w:t>
      </w:r>
    </w:p>
    <w:p w14:paraId="67A3E20D" w14:textId="77777777" w:rsidR="003E5BF5" w:rsidRDefault="003E5BF5" w:rsidP="00975561">
      <w:pPr>
        <w:pStyle w:val="aaatyping"/>
      </w:pPr>
      <w:r w:rsidRPr="7F90859D">
        <w:t xml:space="preserve">The </w:t>
      </w:r>
      <w:r>
        <w:t>department</w:t>
      </w:r>
      <w:r w:rsidRPr="7F90859D">
        <w:t xml:space="preserve"> is committed to fulfilling its obligations under the Victorian Public Sector Mental Health Charter by:</w:t>
      </w:r>
    </w:p>
    <w:p w14:paraId="1523F27A" w14:textId="77777777" w:rsidR="003E5BF5" w:rsidRDefault="003E5BF5" w:rsidP="00975561">
      <w:pPr>
        <w:pStyle w:val="aaabullet"/>
        <w:rPr>
          <w:rFonts w:asciiTheme="minorHAnsi" w:eastAsiaTheme="minorEastAsia" w:hAnsiTheme="minorHAnsi"/>
        </w:rPr>
      </w:pPr>
      <w:r>
        <w:t>p</w:t>
      </w:r>
      <w:r w:rsidRPr="7F90859D">
        <w:t xml:space="preserve">roviding an online eLearn course, “Creating a Mentally Healthy Workplace” - over 800 </w:t>
      </w:r>
      <w:r>
        <w:t>department</w:t>
      </w:r>
      <w:r w:rsidRPr="7F90859D">
        <w:t xml:space="preserve"> employees have completed this training to date</w:t>
      </w:r>
    </w:p>
    <w:p w14:paraId="1F19FF6D" w14:textId="77777777" w:rsidR="003E5BF5" w:rsidRDefault="003E5BF5" w:rsidP="00975561">
      <w:pPr>
        <w:pStyle w:val="aaabullet"/>
        <w:rPr>
          <w:rFonts w:asciiTheme="minorHAnsi" w:eastAsiaTheme="minorEastAsia" w:hAnsiTheme="minorHAnsi"/>
        </w:rPr>
      </w:pPr>
      <w:r>
        <w:t>c</w:t>
      </w:r>
      <w:r w:rsidRPr="7F90859D">
        <w:t xml:space="preserve">onducting face to face mental health training for all </w:t>
      </w:r>
      <w:r>
        <w:t>department</w:t>
      </w:r>
      <w:r w:rsidRPr="7F90859D">
        <w:t xml:space="preserve"> </w:t>
      </w:r>
      <w:r>
        <w:t>e</w:t>
      </w:r>
      <w:r w:rsidRPr="7F90859D">
        <w:t xml:space="preserve">xecutives and </w:t>
      </w:r>
      <w:r>
        <w:t>p</w:t>
      </w:r>
      <w:r w:rsidRPr="7F90859D">
        <w:t xml:space="preserve">eople </w:t>
      </w:r>
      <w:r>
        <w:t>l</w:t>
      </w:r>
      <w:r w:rsidRPr="7F90859D">
        <w:t xml:space="preserve">eaders which represents 900 of </w:t>
      </w:r>
      <w:r>
        <w:t>the department</w:t>
      </w:r>
      <w:r w:rsidRPr="5A7C43CA">
        <w:t>’s</w:t>
      </w:r>
      <w:r w:rsidRPr="7F90859D">
        <w:t xml:space="preserve"> employees</w:t>
      </w:r>
    </w:p>
    <w:p w14:paraId="4368A88D" w14:textId="77777777" w:rsidR="003E5BF5" w:rsidRDefault="003E5BF5" w:rsidP="00975561">
      <w:pPr>
        <w:pStyle w:val="aaabullet"/>
        <w:rPr>
          <w:rFonts w:asciiTheme="minorHAnsi" w:eastAsiaTheme="minorEastAsia" w:hAnsiTheme="minorHAnsi"/>
        </w:rPr>
      </w:pPr>
      <w:r>
        <w:t>f</w:t>
      </w:r>
      <w:r w:rsidRPr="7F90859D">
        <w:t xml:space="preserve">acilitating a series of workshops across </w:t>
      </w:r>
      <w:r>
        <w:t>the department</w:t>
      </w:r>
      <w:r w:rsidRPr="7F90859D">
        <w:t xml:space="preserve"> to focus on </w:t>
      </w:r>
      <w:r>
        <w:t>work design</w:t>
      </w:r>
      <w:r w:rsidRPr="7F90859D">
        <w:t xml:space="preserve"> and how this impacts the psycho-social factors of mental health</w:t>
      </w:r>
    </w:p>
    <w:p w14:paraId="21170CA8" w14:textId="77777777" w:rsidR="003E5BF5" w:rsidRDefault="003E5BF5" w:rsidP="00975561">
      <w:pPr>
        <w:pStyle w:val="aaabullet"/>
        <w:rPr>
          <w:rFonts w:asciiTheme="minorHAnsi" w:eastAsiaTheme="minorEastAsia" w:hAnsiTheme="minorHAnsi"/>
        </w:rPr>
      </w:pPr>
      <w:r>
        <w:t>d</w:t>
      </w:r>
      <w:r w:rsidRPr="6B1AAB89">
        <w:t xml:space="preserve">eveloping and implementing key actions from the workshops for each Group in </w:t>
      </w:r>
      <w:r>
        <w:t>the department</w:t>
      </w:r>
      <w:r w:rsidRPr="6B1AAB89">
        <w:t>.</w:t>
      </w:r>
    </w:p>
    <w:p w14:paraId="0C4D3DEF" w14:textId="77777777" w:rsidR="003E5BF5" w:rsidRDefault="003E5BF5" w:rsidP="00975561">
      <w:pPr>
        <w:pStyle w:val="aaatyping"/>
      </w:pPr>
      <w:r w:rsidRPr="6B1AAB89">
        <w:t xml:space="preserve">To date </w:t>
      </w:r>
      <w:r>
        <w:t>the department</w:t>
      </w:r>
      <w:r w:rsidRPr="6B1AAB89">
        <w:t xml:space="preserve"> has achieved a number of milestones in HSW to support the integration of the department, these include:</w:t>
      </w:r>
    </w:p>
    <w:p w14:paraId="0A4DB672" w14:textId="77777777" w:rsidR="003E5BF5" w:rsidRDefault="003E5BF5" w:rsidP="00975561">
      <w:pPr>
        <w:pStyle w:val="aaabullet"/>
        <w:rPr>
          <w:rFonts w:asciiTheme="minorHAnsi" w:eastAsiaTheme="minorEastAsia" w:hAnsiTheme="minorHAnsi"/>
        </w:rPr>
      </w:pPr>
      <w:r>
        <w:t>a</w:t>
      </w:r>
      <w:r w:rsidRPr="7F90859D">
        <w:t xml:space="preserve"> consolidated Employee Assistance Program that provides support to approximately 6</w:t>
      </w:r>
      <w:r>
        <w:t>,</w:t>
      </w:r>
      <w:r w:rsidRPr="7F90859D">
        <w:t xml:space="preserve">100 employees across </w:t>
      </w:r>
      <w:r>
        <w:t>the department</w:t>
      </w:r>
      <w:r w:rsidRPr="7F90859D">
        <w:t>, Major Transport Infrastructure Authority (MTIA), Victorian Fisheries Authority (VFA) and Commercial Passenger Vehicles Victoria (CPVV)</w:t>
      </w:r>
    </w:p>
    <w:p w14:paraId="625CE4DD" w14:textId="77777777" w:rsidR="003E5BF5" w:rsidRDefault="003E5BF5" w:rsidP="00975561">
      <w:pPr>
        <w:pStyle w:val="aaabullet"/>
        <w:rPr>
          <w:rFonts w:asciiTheme="minorHAnsi" w:eastAsiaTheme="minorEastAsia" w:hAnsiTheme="minorHAnsi"/>
        </w:rPr>
      </w:pPr>
      <w:r>
        <w:t>o</w:t>
      </w:r>
      <w:r w:rsidRPr="7F90859D">
        <w:t xml:space="preserve">ne safety and wellbeing health service provider that supports </w:t>
      </w:r>
      <w:r>
        <w:t>the department</w:t>
      </w:r>
      <w:r w:rsidRPr="7F90859D">
        <w:t xml:space="preserve"> and its agencies such as MTIA, VFA and CPVV </w:t>
      </w:r>
    </w:p>
    <w:p w14:paraId="20C4EDFE" w14:textId="77777777" w:rsidR="003E5BF5" w:rsidRDefault="003E5BF5" w:rsidP="00975561">
      <w:pPr>
        <w:pStyle w:val="aaabullet"/>
        <w:rPr>
          <w:rFonts w:asciiTheme="minorHAnsi" w:eastAsiaTheme="minorEastAsia" w:hAnsiTheme="minorHAnsi"/>
        </w:rPr>
      </w:pPr>
      <w:r>
        <w:t xml:space="preserve">a </w:t>
      </w:r>
      <w:r w:rsidRPr="7F90859D">
        <w:t>single Health, Safety and Wellbeing Portal called “</w:t>
      </w:r>
      <w:proofErr w:type="spellStart"/>
      <w:r w:rsidRPr="7F90859D">
        <w:t>SafeHub</w:t>
      </w:r>
      <w:proofErr w:type="spellEnd"/>
      <w:r w:rsidRPr="7F90859D">
        <w:t xml:space="preserve">” which provides a one stop shop for everything HSW in </w:t>
      </w:r>
      <w:r>
        <w:t>the department</w:t>
      </w:r>
      <w:r w:rsidRPr="7F90859D">
        <w:t xml:space="preserve"> </w:t>
      </w:r>
      <w:r w:rsidRPr="7F90859D">
        <w:lastRenderedPageBreak/>
        <w:t xml:space="preserve">enabling staff to book services such as flu vaccinations, health checks and participate in HSW programs such as the Walking Challenge. </w:t>
      </w:r>
    </w:p>
    <w:p w14:paraId="3DEAFED8" w14:textId="77777777" w:rsidR="003E5BF5" w:rsidRDefault="003E5BF5" w:rsidP="00975561">
      <w:pPr>
        <w:pStyle w:val="aaatyping"/>
      </w:pPr>
      <w:r w:rsidRPr="6B1AAB89">
        <w:t xml:space="preserve">The </w:t>
      </w:r>
      <w:r>
        <w:t>department</w:t>
      </w:r>
      <w:r w:rsidRPr="6B1AAB89">
        <w:t xml:space="preserve"> has continued to provide a range of HSW services to employees including</w:t>
      </w:r>
      <w:r>
        <w:t>:</w:t>
      </w:r>
    </w:p>
    <w:p w14:paraId="7B3F6893" w14:textId="77777777" w:rsidR="003E5BF5" w:rsidRDefault="003E5BF5" w:rsidP="00975561">
      <w:pPr>
        <w:pStyle w:val="aaabullet"/>
        <w:rPr>
          <w:rFonts w:asciiTheme="minorHAnsi" w:eastAsiaTheme="minorEastAsia" w:hAnsiTheme="minorHAnsi"/>
        </w:rPr>
      </w:pPr>
      <w:r>
        <w:t>p</w:t>
      </w:r>
      <w:r w:rsidRPr="7F90859D">
        <w:t>rovision of flu vaccinations to over 1</w:t>
      </w:r>
      <w:r>
        <w:t>,</w:t>
      </w:r>
      <w:r w:rsidRPr="7F90859D">
        <w:t>500 employees across 35 sites in Victoria</w:t>
      </w:r>
    </w:p>
    <w:p w14:paraId="4A9BD3E0" w14:textId="77777777" w:rsidR="003E5BF5" w:rsidRDefault="003E5BF5" w:rsidP="00975561">
      <w:pPr>
        <w:pStyle w:val="aaabullet"/>
        <w:rPr>
          <w:rFonts w:asciiTheme="minorHAnsi" w:eastAsiaTheme="minorEastAsia" w:hAnsiTheme="minorHAnsi"/>
        </w:rPr>
      </w:pPr>
      <w:r>
        <w:t>r</w:t>
      </w:r>
      <w:r w:rsidRPr="7F90859D">
        <w:t>ecognition of key National HSW events such as International Women’s Day, Men’s Health Week, National Safety at Workday and RUOK Day</w:t>
      </w:r>
    </w:p>
    <w:p w14:paraId="571C179C" w14:textId="77777777" w:rsidR="003E5BF5" w:rsidRDefault="003E5BF5" w:rsidP="00975561">
      <w:pPr>
        <w:pStyle w:val="aaabullet"/>
        <w:rPr>
          <w:rFonts w:asciiTheme="minorHAnsi" w:eastAsiaTheme="minorEastAsia" w:hAnsiTheme="minorHAnsi"/>
        </w:rPr>
      </w:pPr>
      <w:r>
        <w:t>a</w:t>
      </w:r>
      <w:r w:rsidRPr="7F90859D">
        <w:t xml:space="preserve"> number of webinars for employees relating to </w:t>
      </w:r>
      <w:r>
        <w:t>m</w:t>
      </w:r>
      <w:r w:rsidRPr="7F90859D">
        <w:t xml:space="preserve">indfulness, </w:t>
      </w:r>
      <w:r>
        <w:t>n</w:t>
      </w:r>
      <w:r w:rsidRPr="7F90859D">
        <w:t xml:space="preserve">utrition and </w:t>
      </w:r>
      <w:r>
        <w:t>i</w:t>
      </w:r>
      <w:r w:rsidRPr="7F90859D">
        <w:t xml:space="preserve">nfection </w:t>
      </w:r>
      <w:r>
        <w:t>c</w:t>
      </w:r>
      <w:r w:rsidRPr="7F90859D">
        <w:t>ontrol and how to look after yourself and others during a time of rapid change</w:t>
      </w:r>
    </w:p>
    <w:p w14:paraId="6BC29057" w14:textId="77777777" w:rsidR="003E5BF5" w:rsidRDefault="003E5BF5" w:rsidP="00975561">
      <w:pPr>
        <w:pStyle w:val="aaabullet"/>
        <w:rPr>
          <w:rFonts w:asciiTheme="minorHAnsi" w:eastAsiaTheme="minorEastAsia" w:hAnsiTheme="minorHAnsi"/>
        </w:rPr>
      </w:pPr>
      <w:r>
        <w:t>v</w:t>
      </w:r>
      <w:r w:rsidRPr="7F90859D">
        <w:t xml:space="preserve">arious online resources to allow employees to safely and effectively work from home during </w:t>
      </w:r>
      <w:r>
        <w:t>coronavirus (</w:t>
      </w:r>
      <w:r w:rsidRPr="7F90859D">
        <w:t>COVID-19</w:t>
      </w:r>
      <w:r>
        <w:t>)</w:t>
      </w:r>
      <w:r w:rsidRPr="7F90859D">
        <w:t xml:space="preserve"> </w:t>
      </w:r>
    </w:p>
    <w:p w14:paraId="22283D30" w14:textId="77777777" w:rsidR="003E5BF5" w:rsidRDefault="003E5BF5" w:rsidP="00975561">
      <w:pPr>
        <w:pStyle w:val="aaabullet"/>
        <w:rPr>
          <w:rFonts w:asciiTheme="minorHAnsi" w:eastAsiaTheme="minorEastAsia" w:hAnsiTheme="minorHAnsi"/>
        </w:rPr>
      </w:pPr>
      <w:r>
        <w:t>o</w:t>
      </w:r>
      <w:r w:rsidRPr="7F90859D">
        <w:t xml:space="preserve">nline virtual </w:t>
      </w:r>
      <w:r>
        <w:t>e</w:t>
      </w:r>
      <w:r w:rsidRPr="7F90859D">
        <w:t xml:space="preserve">rgonomic </w:t>
      </w:r>
      <w:r>
        <w:t>a</w:t>
      </w:r>
      <w:r w:rsidRPr="7F90859D">
        <w:t xml:space="preserve">ssessments and a virtual online gym. </w:t>
      </w:r>
    </w:p>
    <w:p w14:paraId="7CC01D58" w14:textId="3841988A" w:rsidR="00870939" w:rsidRDefault="003E5BF5" w:rsidP="00975561">
      <w:pPr>
        <w:pStyle w:val="aaatyping"/>
      </w:pPr>
      <w:r w:rsidRPr="7F90859D">
        <w:t xml:space="preserve">As a part of developing one single HSW program, the </w:t>
      </w:r>
      <w:r>
        <w:t>department</w:t>
      </w:r>
      <w:r w:rsidRPr="7F90859D">
        <w:t xml:space="preserve"> has launched a new program called “SAFE-T” where being “safe” captures the physical, mental and emotional aspects and the “T” represents Transport and is depicted in the shape of a person to reflect </w:t>
      </w:r>
      <w:r>
        <w:t>the department’s</w:t>
      </w:r>
      <w:r w:rsidRPr="7F90859D">
        <w:t xml:space="preserve"> people. The tagline for SAFE-T is “Safe Teams, Safe Transport, Safe Together.</w:t>
      </w:r>
      <w:r w:rsidR="00870939">
        <w:br w:type="page"/>
      </w:r>
    </w:p>
    <w:p w14:paraId="6812DB03" w14:textId="77777777" w:rsidR="003E5BF5" w:rsidRPr="008109E1" w:rsidRDefault="003E5BF5" w:rsidP="008869A9">
      <w:pPr>
        <w:pStyle w:val="Heading4"/>
      </w:pPr>
      <w:bookmarkStart w:id="793" w:name="_Toc526435489"/>
      <w:r w:rsidRPr="7F90859D">
        <w:lastRenderedPageBreak/>
        <w:t>Injury management and WorkCover</w:t>
      </w:r>
      <w:bookmarkEnd w:id="793"/>
    </w:p>
    <w:p w14:paraId="3668FE9F" w14:textId="77777777" w:rsidR="003E5BF5" w:rsidRPr="008109E1" w:rsidRDefault="003E5BF5" w:rsidP="00975561">
      <w:pPr>
        <w:pStyle w:val="aaatyping"/>
      </w:pPr>
      <w:r w:rsidRPr="7F90859D">
        <w:t>To ensure injured workers are effectively supported, injury management and early intervention continues to be a key focus of the department with targeted wellbeing support and interventions tailored for staff with work and non-work-related injuries or illnesses.</w:t>
      </w:r>
    </w:p>
    <w:p w14:paraId="74FCEF41" w14:textId="77777777" w:rsidR="003E5BF5" w:rsidRPr="008109E1" w:rsidRDefault="003E5BF5" w:rsidP="00975561">
      <w:pPr>
        <w:pStyle w:val="aaatyping"/>
      </w:pPr>
      <w:r w:rsidRPr="5A7C43CA">
        <w:t xml:space="preserve">Following the establishment of </w:t>
      </w:r>
      <w:r>
        <w:t>the department,</w:t>
      </w:r>
      <w:r w:rsidRPr="5A7C43CA">
        <w:t xml:space="preserve"> legacy Workers Compensation policies from each former organisation were consolidated to form two separate WorkCover policies </w:t>
      </w:r>
      <w:r>
        <w:t>–</w:t>
      </w:r>
      <w:r w:rsidRPr="5A7C43CA">
        <w:t xml:space="preserve"> </w:t>
      </w:r>
      <w:r>
        <w:t>Department of Transport</w:t>
      </w:r>
      <w:r w:rsidRPr="5A7C43CA">
        <w:t xml:space="preserve"> and </w:t>
      </w:r>
      <w:r>
        <w:t>Vic</w:t>
      </w:r>
      <w:r w:rsidRPr="5A7C43CA">
        <w:t xml:space="preserve">Roads (Registration and Licensing). During 2019–20, 30 standard claims relating to both physical and mental injuries were managed under the </w:t>
      </w:r>
      <w:r>
        <w:t>Department of Transport</w:t>
      </w:r>
      <w:r w:rsidRPr="5A7C43CA">
        <w:t xml:space="preserve"> Workers Compensation policy. There were 16 ‘time lost claims’ across the </w:t>
      </w:r>
      <w:r>
        <w:t>department</w:t>
      </w:r>
      <w:r w:rsidRPr="5A7C43CA">
        <w:t xml:space="preserve"> portfolio, the majority of these resuming duties in some capacity within a short period of time. There were </w:t>
      </w:r>
      <w:r>
        <w:t>three</w:t>
      </w:r>
      <w:r w:rsidRPr="5A7C43CA">
        <w:t xml:space="preserve"> claims that exceeded the 13-week milestone. The average cost of a standard claim for the 2019-20 period under the </w:t>
      </w:r>
      <w:r>
        <w:t>department</w:t>
      </w:r>
      <w:r w:rsidRPr="5A7C43CA">
        <w:t xml:space="preserve"> policy was $9,309.64.</w:t>
      </w:r>
    </w:p>
    <w:p w14:paraId="2673741F" w14:textId="77777777" w:rsidR="003E5BF5" w:rsidRPr="008109E1" w:rsidRDefault="003E5BF5" w:rsidP="00975561">
      <w:pPr>
        <w:pStyle w:val="aaatyping"/>
      </w:pPr>
      <w:r w:rsidRPr="5A7C43CA">
        <w:t>During 2019</w:t>
      </w:r>
      <w:r>
        <w:t>-</w:t>
      </w:r>
      <w:r w:rsidRPr="5A7C43CA">
        <w:t xml:space="preserve">20, 16 standard claims were managed across the Roads Workers Compensation policy. There were three ‘time lost claims’ across the Roads portfolio, with all claims resuming duties in some capacity within a short period of time. There was one claim that exceeded the 13-week milestone. The average cost of a standard claim for the 2019-20 period under the </w:t>
      </w:r>
      <w:r>
        <w:t>department</w:t>
      </w:r>
      <w:r w:rsidRPr="5A7C43CA">
        <w:t xml:space="preserve"> policy was $3,616.18.</w:t>
      </w:r>
    </w:p>
    <w:p w14:paraId="363A8521" w14:textId="08AC5559" w:rsidR="003E5BF5" w:rsidRDefault="003E5BF5" w:rsidP="00975561">
      <w:pPr>
        <w:pStyle w:val="aaatyping"/>
      </w:pPr>
      <w:r w:rsidRPr="5A7C43CA">
        <w:t>A total of 70 ‘non-work related’ cases were managed during the 2019-20 financial year. The majority of these cases were as a result of psychological conditions.</w:t>
      </w:r>
    </w:p>
    <w:p w14:paraId="7E1221D8" w14:textId="0EAF3DB2" w:rsidR="003E5BF5" w:rsidRPr="008109E1" w:rsidRDefault="003E5BF5" w:rsidP="008869A9">
      <w:pPr>
        <w:pStyle w:val="Heading4"/>
      </w:pPr>
      <w:bookmarkStart w:id="794" w:name="_Toc526435490"/>
      <w:r w:rsidRPr="008109E1">
        <w:lastRenderedPageBreak/>
        <w:t xml:space="preserve">Incident management </w:t>
      </w:r>
      <w:bookmarkEnd w:id="794"/>
    </w:p>
    <w:p w14:paraId="18A95A06" w14:textId="77777777" w:rsidR="003E5BF5" w:rsidRDefault="003E5BF5" w:rsidP="00975561">
      <w:pPr>
        <w:pStyle w:val="aaatyping"/>
      </w:pPr>
      <w:r w:rsidRPr="7449A5A0">
        <w:t xml:space="preserve">As at 30 June 2020 the Department of Transport had a Full Time Equivalent (FTE) staff of </w:t>
      </w:r>
      <w:r>
        <w:t>3,979</w:t>
      </w:r>
      <w:r w:rsidRPr="7449A5A0">
        <w:t>, Suburban Rail Loop Authority (SRLA) had an FTE of 89.5 and Major Transport Infrastructure Authority (MTIA) an FTE of 1</w:t>
      </w:r>
      <w:r>
        <w:t>,</w:t>
      </w:r>
      <w:r w:rsidRPr="7449A5A0">
        <w:t>991.1.</w:t>
      </w:r>
    </w:p>
    <w:p w14:paraId="33EF6A14" w14:textId="77777777" w:rsidR="003E5BF5" w:rsidRDefault="003E5BF5" w:rsidP="00975561">
      <w:pPr>
        <w:pStyle w:val="aaatyping"/>
      </w:pPr>
      <w:r w:rsidRPr="7F90859D">
        <w:rPr>
          <w:szCs w:val="18"/>
        </w:rPr>
        <w:t xml:space="preserve">From July 2019 until June 2020, there were 69 hazards (unsafe acts/unsafe condition) and 228 injuries reported across the network. Of the 228 injuries, 142 were sustained by employees, 58 by contractors and 28 by members of the public. </w:t>
      </w:r>
    </w:p>
    <w:p w14:paraId="02C54933" w14:textId="77777777" w:rsidR="003E5BF5" w:rsidRDefault="003E5BF5" w:rsidP="00975561">
      <w:pPr>
        <w:pStyle w:val="aaatyping"/>
      </w:pPr>
      <w:r w:rsidRPr="7F90859D">
        <w:rPr>
          <w:szCs w:val="18"/>
        </w:rPr>
        <w:t xml:space="preserve">The highest number of events were reported due to incidents involving vehicle or plant </w:t>
      </w:r>
      <w:r>
        <w:rPr>
          <w:szCs w:val="18"/>
        </w:rPr>
        <w:t>and</w:t>
      </w:r>
      <w:r w:rsidRPr="7F90859D">
        <w:rPr>
          <w:szCs w:val="18"/>
        </w:rPr>
        <w:t xml:space="preserve"> equipment (491), followed by people security (78) and slips, trips or falls (61).  </w:t>
      </w:r>
    </w:p>
    <w:p w14:paraId="6595EB63" w14:textId="77777777" w:rsidR="003E5BF5" w:rsidRDefault="003E5BF5" w:rsidP="00975561">
      <w:pPr>
        <w:pStyle w:val="aaatyping"/>
      </w:pPr>
      <w:r w:rsidRPr="7F90859D">
        <w:rPr>
          <w:szCs w:val="18"/>
        </w:rPr>
        <w:t xml:space="preserve">There were 61 High Potential Injuries (HPIs) reported from July 2019 to June 2020, with </w:t>
      </w:r>
      <w:r>
        <w:rPr>
          <w:szCs w:val="18"/>
        </w:rPr>
        <w:t>nine</w:t>
      </w:r>
      <w:r w:rsidRPr="7F90859D">
        <w:rPr>
          <w:szCs w:val="18"/>
        </w:rPr>
        <w:t xml:space="preserve"> Critical Incidents also reported during this period. </w:t>
      </w:r>
    </w:p>
    <w:p w14:paraId="43742835" w14:textId="77777777" w:rsidR="003E5BF5" w:rsidRDefault="003E5BF5" w:rsidP="00975561">
      <w:pPr>
        <w:pStyle w:val="aaatyping"/>
      </w:pPr>
      <w:r w:rsidRPr="7F90859D">
        <w:rPr>
          <w:szCs w:val="18"/>
        </w:rPr>
        <w:t>Overall, the number of incidents reported from March to June 2020 were significantly lower than the previous quarter. The average rate per month has been 38</w:t>
      </w:r>
      <w:r>
        <w:rPr>
          <w:szCs w:val="18"/>
        </w:rPr>
        <w:t xml:space="preserve"> per cent</w:t>
      </w:r>
      <w:r w:rsidRPr="7F90859D">
        <w:rPr>
          <w:szCs w:val="18"/>
        </w:rPr>
        <w:t xml:space="preserve"> lower since </w:t>
      </w:r>
      <w:r>
        <w:rPr>
          <w:szCs w:val="18"/>
        </w:rPr>
        <w:t>coronavirus (</w:t>
      </w:r>
      <w:r w:rsidRPr="7F90859D">
        <w:rPr>
          <w:szCs w:val="18"/>
        </w:rPr>
        <w:t>COVID-19</w:t>
      </w:r>
      <w:r>
        <w:rPr>
          <w:szCs w:val="18"/>
        </w:rPr>
        <w:t>)</w:t>
      </w:r>
      <w:r w:rsidRPr="7F90859D">
        <w:rPr>
          <w:szCs w:val="18"/>
        </w:rPr>
        <w:t xml:space="preserve"> restrictions have been in place. </w:t>
      </w:r>
    </w:p>
    <w:p w14:paraId="5A3751AB" w14:textId="324E84A1" w:rsidR="003E5BF5" w:rsidRDefault="003E5BF5" w:rsidP="00975561">
      <w:pPr>
        <w:pStyle w:val="aaatyping"/>
        <w:rPr>
          <w:szCs w:val="18"/>
        </w:rPr>
      </w:pPr>
      <w:r w:rsidRPr="7F90859D">
        <w:rPr>
          <w:szCs w:val="18"/>
        </w:rPr>
        <w:t xml:space="preserve">Nine notifiable incidents (those which require the Occupational Health and Safety (OH&amp;S) Regulator to be notified) were reported to Worksafe Victoria across the department. </w:t>
      </w:r>
    </w:p>
    <w:p w14:paraId="4B4BA6CB" w14:textId="77777777" w:rsidR="003E5BF5" w:rsidRDefault="003E5BF5" w:rsidP="00DE1921">
      <w:pPr>
        <w:sectPr w:rsidR="003E5BF5" w:rsidSect="00DE1921">
          <w:type w:val="continuous"/>
          <w:pgSz w:w="11906" w:h="16838"/>
          <w:pgMar w:top="1701" w:right="1418" w:bottom="1418" w:left="1418" w:header="709" w:footer="709" w:gutter="0"/>
          <w:cols w:space="284"/>
          <w:docGrid w:linePitch="360"/>
        </w:sectPr>
      </w:pPr>
    </w:p>
    <w:p w14:paraId="304AA738" w14:textId="77777777" w:rsidR="003E5BF5" w:rsidRPr="00E273FC" w:rsidRDefault="003E5BF5" w:rsidP="00CF74EB">
      <w:pPr>
        <w:pStyle w:val="TableHeader"/>
      </w:pPr>
      <w:r w:rsidRPr="00E273FC">
        <w:lastRenderedPageBreak/>
        <w:t>Performance against OH&amp;S management measures</w:t>
      </w:r>
    </w:p>
    <w:tbl>
      <w:tblPr>
        <w:tblStyle w:val="TableGrid"/>
        <w:tblW w:w="9069" w:type="dxa"/>
        <w:tblCellMar>
          <w:left w:w="0" w:type="dxa"/>
          <w:right w:w="57" w:type="dxa"/>
        </w:tblCellMar>
        <w:tblLook w:val="04A0" w:firstRow="1" w:lastRow="0" w:firstColumn="1" w:lastColumn="0" w:noHBand="0" w:noVBand="1"/>
      </w:tblPr>
      <w:tblGrid>
        <w:gridCol w:w="1215"/>
        <w:gridCol w:w="3095"/>
        <w:gridCol w:w="793"/>
        <w:gridCol w:w="793"/>
        <w:gridCol w:w="1334"/>
        <w:gridCol w:w="708"/>
        <w:gridCol w:w="1131"/>
      </w:tblGrid>
      <w:tr w:rsidR="003E5BF5" w:rsidRPr="00E273FC" w14:paraId="272FFA5D" w14:textId="77777777" w:rsidTr="00123D45">
        <w:trPr>
          <w:trHeight w:val="312"/>
          <w:tblHeader/>
        </w:trPr>
        <w:tc>
          <w:tcPr>
            <w:tcW w:w="1215" w:type="dxa"/>
            <w:shd w:val="clear" w:color="auto" w:fill="auto"/>
            <w:vAlign w:val="center"/>
          </w:tcPr>
          <w:p w14:paraId="3AFDD148"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Measure</w:t>
            </w:r>
          </w:p>
        </w:tc>
        <w:tc>
          <w:tcPr>
            <w:tcW w:w="3095" w:type="dxa"/>
            <w:shd w:val="clear" w:color="auto" w:fill="auto"/>
            <w:vAlign w:val="center"/>
          </w:tcPr>
          <w:p w14:paraId="36528B0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Key performance indicators</w:t>
            </w:r>
          </w:p>
        </w:tc>
        <w:tc>
          <w:tcPr>
            <w:tcW w:w="1586" w:type="dxa"/>
            <w:gridSpan w:val="2"/>
            <w:shd w:val="clear" w:color="auto" w:fill="auto"/>
            <w:vAlign w:val="center"/>
          </w:tcPr>
          <w:p w14:paraId="17AB62A8"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2019-20</w:t>
            </w:r>
          </w:p>
        </w:tc>
        <w:tc>
          <w:tcPr>
            <w:tcW w:w="2042" w:type="dxa"/>
            <w:gridSpan w:val="2"/>
            <w:shd w:val="clear" w:color="auto" w:fill="auto"/>
            <w:vAlign w:val="center"/>
          </w:tcPr>
          <w:p w14:paraId="24F490D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2018-19</w:t>
            </w:r>
          </w:p>
        </w:tc>
        <w:tc>
          <w:tcPr>
            <w:tcW w:w="1131" w:type="dxa"/>
            <w:shd w:val="clear" w:color="auto" w:fill="auto"/>
            <w:vAlign w:val="center"/>
          </w:tcPr>
          <w:p w14:paraId="5565385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2017-18</w:t>
            </w:r>
          </w:p>
        </w:tc>
      </w:tr>
      <w:tr w:rsidR="003E5BF5" w:rsidRPr="00E273FC" w14:paraId="18D538C9" w14:textId="77777777" w:rsidTr="00D86C8A">
        <w:trPr>
          <w:trHeight w:val="312"/>
        </w:trPr>
        <w:tc>
          <w:tcPr>
            <w:tcW w:w="1215" w:type="dxa"/>
            <w:shd w:val="clear" w:color="auto" w:fill="auto"/>
            <w:vAlign w:val="center"/>
          </w:tcPr>
          <w:p w14:paraId="76A48C90"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Incidents</w:t>
            </w:r>
          </w:p>
        </w:tc>
        <w:tc>
          <w:tcPr>
            <w:tcW w:w="3095" w:type="dxa"/>
            <w:shd w:val="clear" w:color="auto" w:fill="auto"/>
            <w:vAlign w:val="center"/>
          </w:tcPr>
          <w:p w14:paraId="21B154CB"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Number of incidents</w:t>
            </w:r>
          </w:p>
        </w:tc>
        <w:tc>
          <w:tcPr>
            <w:tcW w:w="793" w:type="dxa"/>
            <w:shd w:val="clear" w:color="auto" w:fill="auto"/>
            <w:vAlign w:val="center"/>
          </w:tcPr>
          <w:p w14:paraId="2B0EB98D"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DoT</w:t>
            </w:r>
          </w:p>
        </w:tc>
        <w:tc>
          <w:tcPr>
            <w:tcW w:w="793" w:type="dxa"/>
            <w:shd w:val="clear" w:color="auto" w:fill="auto"/>
            <w:vAlign w:val="center"/>
          </w:tcPr>
          <w:p w14:paraId="6EF12CD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1,111</w:t>
            </w:r>
          </w:p>
        </w:tc>
        <w:tc>
          <w:tcPr>
            <w:tcW w:w="1334" w:type="dxa"/>
            <w:shd w:val="clear" w:color="auto" w:fill="auto"/>
            <w:vAlign w:val="center"/>
          </w:tcPr>
          <w:p w14:paraId="35520D0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DoT</w:t>
            </w:r>
          </w:p>
        </w:tc>
        <w:tc>
          <w:tcPr>
            <w:tcW w:w="708" w:type="dxa"/>
            <w:shd w:val="clear" w:color="auto" w:fill="auto"/>
            <w:vAlign w:val="center"/>
          </w:tcPr>
          <w:p w14:paraId="27CB503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21</w:t>
            </w:r>
          </w:p>
        </w:tc>
        <w:tc>
          <w:tcPr>
            <w:tcW w:w="1131" w:type="dxa"/>
            <w:shd w:val="clear" w:color="auto" w:fill="auto"/>
            <w:vAlign w:val="center"/>
          </w:tcPr>
          <w:p w14:paraId="3DD1131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249</w:t>
            </w:r>
          </w:p>
        </w:tc>
      </w:tr>
      <w:tr w:rsidR="003E5BF5" w:rsidRPr="00E273FC" w14:paraId="159544EA" w14:textId="77777777" w:rsidTr="00D86C8A">
        <w:trPr>
          <w:trHeight w:val="312"/>
        </w:trPr>
        <w:tc>
          <w:tcPr>
            <w:tcW w:w="1215" w:type="dxa"/>
            <w:shd w:val="clear" w:color="auto" w:fill="auto"/>
          </w:tcPr>
          <w:p w14:paraId="46F0470B" w14:textId="77777777" w:rsidR="003E5BF5" w:rsidRPr="00E273FC" w:rsidRDefault="003E5BF5" w:rsidP="00DE1921">
            <w:pPr>
              <w:pStyle w:val="TableTextLeftBold"/>
              <w:rPr>
                <w:rFonts w:ascii="Arial" w:hAnsi="Arial" w:cs="Arial"/>
                <w:sz w:val="24"/>
                <w:szCs w:val="24"/>
              </w:rPr>
            </w:pPr>
          </w:p>
        </w:tc>
        <w:tc>
          <w:tcPr>
            <w:tcW w:w="3095" w:type="dxa"/>
            <w:shd w:val="clear" w:color="auto" w:fill="auto"/>
          </w:tcPr>
          <w:p w14:paraId="0AE24A8A" w14:textId="77777777" w:rsidR="003E5BF5" w:rsidRPr="00E273FC" w:rsidRDefault="003E5BF5" w:rsidP="00DE1921">
            <w:pPr>
              <w:pStyle w:val="TableTextLeft"/>
              <w:rPr>
                <w:rFonts w:ascii="Arial" w:hAnsi="Arial" w:cs="Arial"/>
                <w:sz w:val="24"/>
                <w:szCs w:val="24"/>
              </w:rPr>
            </w:pPr>
          </w:p>
        </w:tc>
        <w:tc>
          <w:tcPr>
            <w:tcW w:w="793" w:type="dxa"/>
            <w:shd w:val="clear" w:color="auto" w:fill="auto"/>
            <w:vAlign w:val="center"/>
          </w:tcPr>
          <w:p w14:paraId="265245E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MTIA</w:t>
            </w:r>
          </w:p>
        </w:tc>
        <w:tc>
          <w:tcPr>
            <w:tcW w:w="793" w:type="dxa"/>
            <w:shd w:val="clear" w:color="auto" w:fill="auto"/>
            <w:vAlign w:val="center"/>
          </w:tcPr>
          <w:p w14:paraId="3D51A55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36</w:t>
            </w:r>
          </w:p>
        </w:tc>
        <w:tc>
          <w:tcPr>
            <w:tcW w:w="1334" w:type="dxa"/>
            <w:shd w:val="clear" w:color="auto" w:fill="auto"/>
            <w:vAlign w:val="center"/>
          </w:tcPr>
          <w:p w14:paraId="0040A0F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MTIA</w:t>
            </w:r>
          </w:p>
        </w:tc>
        <w:tc>
          <w:tcPr>
            <w:tcW w:w="708" w:type="dxa"/>
            <w:shd w:val="clear" w:color="auto" w:fill="auto"/>
            <w:vAlign w:val="center"/>
          </w:tcPr>
          <w:p w14:paraId="4A6C23E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68</w:t>
            </w:r>
          </w:p>
        </w:tc>
        <w:tc>
          <w:tcPr>
            <w:tcW w:w="1131" w:type="dxa"/>
            <w:shd w:val="clear" w:color="auto" w:fill="auto"/>
            <w:vAlign w:val="center"/>
          </w:tcPr>
          <w:p w14:paraId="31AB5980" w14:textId="77777777" w:rsidR="003E5BF5" w:rsidRPr="00E273FC" w:rsidRDefault="003E5BF5" w:rsidP="00DE1921">
            <w:pPr>
              <w:pStyle w:val="TableTextRight"/>
              <w:rPr>
                <w:rFonts w:ascii="Arial" w:hAnsi="Arial" w:cs="Arial"/>
                <w:sz w:val="24"/>
                <w:szCs w:val="24"/>
              </w:rPr>
            </w:pPr>
          </w:p>
        </w:tc>
      </w:tr>
      <w:tr w:rsidR="003E5BF5" w:rsidRPr="00E273FC" w14:paraId="42211A04" w14:textId="77777777" w:rsidTr="00D86C8A">
        <w:trPr>
          <w:trHeight w:val="312"/>
        </w:trPr>
        <w:tc>
          <w:tcPr>
            <w:tcW w:w="1215" w:type="dxa"/>
            <w:shd w:val="clear" w:color="auto" w:fill="auto"/>
          </w:tcPr>
          <w:p w14:paraId="1A818E71" w14:textId="77777777" w:rsidR="003E5BF5" w:rsidRPr="00E273FC" w:rsidRDefault="003E5BF5" w:rsidP="00DE1921">
            <w:pPr>
              <w:pStyle w:val="TableTextLeftBold"/>
              <w:rPr>
                <w:rFonts w:ascii="Arial" w:hAnsi="Arial" w:cs="Arial"/>
                <w:sz w:val="24"/>
                <w:szCs w:val="24"/>
              </w:rPr>
            </w:pPr>
          </w:p>
        </w:tc>
        <w:tc>
          <w:tcPr>
            <w:tcW w:w="3095" w:type="dxa"/>
            <w:shd w:val="clear" w:color="auto" w:fill="auto"/>
          </w:tcPr>
          <w:p w14:paraId="774238D3" w14:textId="77777777" w:rsidR="003E5BF5" w:rsidRPr="00E273FC" w:rsidRDefault="003E5BF5" w:rsidP="00DE1921">
            <w:pPr>
              <w:pStyle w:val="TableTextLeft"/>
              <w:rPr>
                <w:rFonts w:ascii="Arial" w:hAnsi="Arial" w:cs="Arial"/>
                <w:sz w:val="24"/>
                <w:szCs w:val="24"/>
              </w:rPr>
            </w:pPr>
          </w:p>
        </w:tc>
        <w:tc>
          <w:tcPr>
            <w:tcW w:w="793" w:type="dxa"/>
            <w:shd w:val="clear" w:color="auto" w:fill="auto"/>
            <w:vAlign w:val="center"/>
          </w:tcPr>
          <w:p w14:paraId="428AE43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SRLA</w:t>
            </w:r>
          </w:p>
        </w:tc>
        <w:tc>
          <w:tcPr>
            <w:tcW w:w="793" w:type="dxa"/>
            <w:shd w:val="clear" w:color="auto" w:fill="auto"/>
            <w:vAlign w:val="center"/>
          </w:tcPr>
          <w:p w14:paraId="6561419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2042" w:type="dxa"/>
            <w:gridSpan w:val="2"/>
            <w:shd w:val="clear" w:color="auto" w:fill="auto"/>
            <w:vAlign w:val="center"/>
          </w:tcPr>
          <w:p w14:paraId="5F1DCECA" w14:textId="77777777" w:rsidR="003E5BF5" w:rsidRPr="00E273FC" w:rsidRDefault="003E5BF5" w:rsidP="00DE1921">
            <w:pPr>
              <w:pStyle w:val="TableTextRight"/>
              <w:rPr>
                <w:rFonts w:ascii="Arial" w:hAnsi="Arial" w:cs="Arial"/>
                <w:sz w:val="24"/>
                <w:szCs w:val="24"/>
              </w:rPr>
            </w:pPr>
          </w:p>
        </w:tc>
        <w:tc>
          <w:tcPr>
            <w:tcW w:w="1131" w:type="dxa"/>
            <w:shd w:val="clear" w:color="auto" w:fill="auto"/>
            <w:vAlign w:val="center"/>
          </w:tcPr>
          <w:p w14:paraId="1592F72C" w14:textId="77777777" w:rsidR="003E5BF5" w:rsidRPr="00E273FC" w:rsidRDefault="003E5BF5" w:rsidP="00DE1921">
            <w:pPr>
              <w:pStyle w:val="TableTextRight"/>
              <w:rPr>
                <w:rFonts w:ascii="Arial" w:hAnsi="Arial" w:cs="Arial"/>
                <w:sz w:val="24"/>
                <w:szCs w:val="24"/>
              </w:rPr>
            </w:pPr>
          </w:p>
        </w:tc>
      </w:tr>
      <w:tr w:rsidR="003E5BF5" w:rsidRPr="00E273FC" w14:paraId="41FFB955" w14:textId="77777777" w:rsidTr="00D86C8A">
        <w:trPr>
          <w:trHeight w:val="312"/>
        </w:trPr>
        <w:tc>
          <w:tcPr>
            <w:tcW w:w="1215" w:type="dxa"/>
            <w:shd w:val="clear" w:color="auto" w:fill="auto"/>
          </w:tcPr>
          <w:p w14:paraId="0AEFECCA" w14:textId="77777777" w:rsidR="003E5BF5" w:rsidRPr="00E273FC" w:rsidRDefault="003E5BF5" w:rsidP="00DE1921">
            <w:pPr>
              <w:pStyle w:val="TableTextLeftBold"/>
              <w:rPr>
                <w:rFonts w:ascii="Arial" w:hAnsi="Arial" w:cs="Arial"/>
                <w:sz w:val="24"/>
                <w:szCs w:val="24"/>
              </w:rPr>
            </w:pPr>
          </w:p>
        </w:tc>
        <w:tc>
          <w:tcPr>
            <w:tcW w:w="3095" w:type="dxa"/>
            <w:shd w:val="clear" w:color="auto" w:fill="auto"/>
            <w:vAlign w:val="center"/>
          </w:tcPr>
          <w:p w14:paraId="315BB2F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Rate per 100 FTE</w:t>
            </w:r>
            <w:r w:rsidRPr="00E273FC">
              <w:rPr>
                <w:rFonts w:ascii="Arial" w:hAnsi="Arial" w:cs="Arial"/>
                <w:sz w:val="24"/>
                <w:szCs w:val="24"/>
                <w:vertAlign w:val="superscript"/>
              </w:rPr>
              <w:t xml:space="preserve"> 1</w:t>
            </w:r>
          </w:p>
        </w:tc>
        <w:tc>
          <w:tcPr>
            <w:tcW w:w="793" w:type="dxa"/>
            <w:shd w:val="clear" w:color="auto" w:fill="auto"/>
            <w:vAlign w:val="center"/>
          </w:tcPr>
          <w:p w14:paraId="25EE50D4"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DoT</w:t>
            </w:r>
          </w:p>
        </w:tc>
        <w:tc>
          <w:tcPr>
            <w:tcW w:w="793" w:type="dxa"/>
            <w:shd w:val="clear" w:color="auto" w:fill="auto"/>
            <w:vAlign w:val="center"/>
          </w:tcPr>
          <w:p w14:paraId="429FA25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9.32</w:t>
            </w:r>
          </w:p>
        </w:tc>
        <w:tc>
          <w:tcPr>
            <w:tcW w:w="1334" w:type="dxa"/>
            <w:shd w:val="clear" w:color="auto" w:fill="auto"/>
            <w:vAlign w:val="center"/>
          </w:tcPr>
          <w:p w14:paraId="0123CED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DoT</w:t>
            </w:r>
          </w:p>
        </w:tc>
        <w:tc>
          <w:tcPr>
            <w:tcW w:w="708" w:type="dxa"/>
            <w:shd w:val="clear" w:color="auto" w:fill="auto"/>
            <w:vAlign w:val="center"/>
          </w:tcPr>
          <w:p w14:paraId="55C2721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3.17</w:t>
            </w:r>
          </w:p>
        </w:tc>
        <w:tc>
          <w:tcPr>
            <w:tcW w:w="1131" w:type="dxa"/>
            <w:shd w:val="clear" w:color="auto" w:fill="auto"/>
            <w:vAlign w:val="center"/>
          </w:tcPr>
          <w:p w14:paraId="1F9F6C0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0.57</w:t>
            </w:r>
          </w:p>
        </w:tc>
      </w:tr>
      <w:tr w:rsidR="003E5BF5" w:rsidRPr="00E273FC" w14:paraId="72729380" w14:textId="77777777" w:rsidTr="00D86C8A">
        <w:trPr>
          <w:trHeight w:val="312"/>
        </w:trPr>
        <w:tc>
          <w:tcPr>
            <w:tcW w:w="1215" w:type="dxa"/>
            <w:shd w:val="clear" w:color="auto" w:fill="auto"/>
          </w:tcPr>
          <w:p w14:paraId="0A75D098" w14:textId="77777777" w:rsidR="003E5BF5" w:rsidRPr="00E273FC" w:rsidRDefault="003E5BF5" w:rsidP="00DE1921">
            <w:pPr>
              <w:pStyle w:val="TableTextLeftBold"/>
              <w:rPr>
                <w:rFonts w:ascii="Arial" w:hAnsi="Arial" w:cs="Arial"/>
                <w:sz w:val="24"/>
                <w:szCs w:val="24"/>
              </w:rPr>
            </w:pPr>
          </w:p>
        </w:tc>
        <w:tc>
          <w:tcPr>
            <w:tcW w:w="3095" w:type="dxa"/>
            <w:shd w:val="clear" w:color="auto" w:fill="auto"/>
          </w:tcPr>
          <w:p w14:paraId="64CFFB1C" w14:textId="77777777" w:rsidR="003E5BF5" w:rsidRPr="00E273FC" w:rsidRDefault="003E5BF5" w:rsidP="00DE1921">
            <w:pPr>
              <w:pStyle w:val="TableTextLeft"/>
              <w:rPr>
                <w:rFonts w:ascii="Arial" w:hAnsi="Arial" w:cs="Arial"/>
                <w:sz w:val="24"/>
                <w:szCs w:val="24"/>
              </w:rPr>
            </w:pPr>
          </w:p>
        </w:tc>
        <w:tc>
          <w:tcPr>
            <w:tcW w:w="793" w:type="dxa"/>
            <w:shd w:val="clear" w:color="auto" w:fill="auto"/>
            <w:vAlign w:val="center"/>
          </w:tcPr>
          <w:p w14:paraId="19E13B3D"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MTIA</w:t>
            </w:r>
          </w:p>
        </w:tc>
        <w:tc>
          <w:tcPr>
            <w:tcW w:w="793" w:type="dxa"/>
            <w:shd w:val="clear" w:color="auto" w:fill="auto"/>
            <w:vAlign w:val="center"/>
          </w:tcPr>
          <w:p w14:paraId="70AA535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1.80</w:t>
            </w:r>
          </w:p>
        </w:tc>
        <w:tc>
          <w:tcPr>
            <w:tcW w:w="1334" w:type="dxa"/>
            <w:shd w:val="clear" w:color="auto" w:fill="auto"/>
            <w:vAlign w:val="center"/>
          </w:tcPr>
          <w:p w14:paraId="514D56E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MTIA</w:t>
            </w:r>
          </w:p>
        </w:tc>
        <w:tc>
          <w:tcPr>
            <w:tcW w:w="708" w:type="dxa"/>
            <w:shd w:val="clear" w:color="auto" w:fill="auto"/>
            <w:vAlign w:val="center"/>
          </w:tcPr>
          <w:p w14:paraId="1F0BAB4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5.44</w:t>
            </w:r>
          </w:p>
        </w:tc>
        <w:tc>
          <w:tcPr>
            <w:tcW w:w="1131" w:type="dxa"/>
            <w:shd w:val="clear" w:color="auto" w:fill="auto"/>
            <w:vAlign w:val="center"/>
          </w:tcPr>
          <w:p w14:paraId="1DB63742" w14:textId="77777777" w:rsidR="003E5BF5" w:rsidRPr="00E273FC" w:rsidRDefault="003E5BF5" w:rsidP="00DE1921">
            <w:pPr>
              <w:pStyle w:val="TableTextRight"/>
              <w:rPr>
                <w:rFonts w:ascii="Arial" w:hAnsi="Arial" w:cs="Arial"/>
                <w:sz w:val="24"/>
                <w:szCs w:val="24"/>
              </w:rPr>
            </w:pPr>
          </w:p>
        </w:tc>
      </w:tr>
      <w:tr w:rsidR="003E5BF5" w:rsidRPr="00E273FC" w14:paraId="5F13508C" w14:textId="77777777" w:rsidTr="00D86C8A">
        <w:trPr>
          <w:trHeight w:val="75"/>
        </w:trPr>
        <w:tc>
          <w:tcPr>
            <w:tcW w:w="1215" w:type="dxa"/>
            <w:vMerge w:val="restart"/>
            <w:shd w:val="clear" w:color="auto" w:fill="auto"/>
          </w:tcPr>
          <w:p w14:paraId="30917C01" w14:textId="77777777" w:rsidR="003E5BF5" w:rsidRPr="00E273FC" w:rsidRDefault="003E5BF5" w:rsidP="00DE1921">
            <w:pPr>
              <w:pStyle w:val="TableTextLeftBold"/>
              <w:rPr>
                <w:rFonts w:ascii="Arial" w:hAnsi="Arial" w:cs="Arial"/>
                <w:sz w:val="24"/>
                <w:szCs w:val="24"/>
              </w:rPr>
            </w:pPr>
          </w:p>
        </w:tc>
        <w:tc>
          <w:tcPr>
            <w:tcW w:w="3095" w:type="dxa"/>
            <w:vMerge w:val="restart"/>
            <w:shd w:val="clear" w:color="auto" w:fill="auto"/>
          </w:tcPr>
          <w:p w14:paraId="584EF86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No. of incidents requiring first aid and/or further medical treatment</w:t>
            </w:r>
          </w:p>
        </w:tc>
        <w:tc>
          <w:tcPr>
            <w:tcW w:w="793" w:type="dxa"/>
            <w:vMerge w:val="restart"/>
            <w:shd w:val="clear" w:color="auto" w:fill="auto"/>
          </w:tcPr>
          <w:p w14:paraId="689D1AB4"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DoT</w:t>
            </w:r>
          </w:p>
        </w:tc>
        <w:tc>
          <w:tcPr>
            <w:tcW w:w="793" w:type="dxa"/>
            <w:vMerge w:val="restart"/>
            <w:shd w:val="clear" w:color="auto" w:fill="auto"/>
          </w:tcPr>
          <w:p w14:paraId="6E16529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228</w:t>
            </w:r>
          </w:p>
        </w:tc>
        <w:tc>
          <w:tcPr>
            <w:tcW w:w="1334" w:type="dxa"/>
            <w:shd w:val="clear" w:color="auto" w:fill="auto"/>
          </w:tcPr>
          <w:p w14:paraId="696A6315" w14:textId="77777777" w:rsidR="003E5BF5" w:rsidRPr="00E273FC" w:rsidRDefault="003E5BF5" w:rsidP="00DE1921">
            <w:pPr>
              <w:pStyle w:val="TableTextRight"/>
              <w:rPr>
                <w:rFonts w:ascii="Arial" w:hAnsi="Arial" w:cs="Arial"/>
                <w:sz w:val="24"/>
                <w:szCs w:val="24"/>
                <w:lang w:val="en-US"/>
              </w:rPr>
            </w:pPr>
            <w:r w:rsidRPr="00E273FC">
              <w:rPr>
                <w:rFonts w:ascii="Arial" w:hAnsi="Arial" w:cs="Arial"/>
                <w:sz w:val="24"/>
                <w:szCs w:val="24"/>
              </w:rPr>
              <w:t>DoT</w:t>
            </w:r>
          </w:p>
        </w:tc>
        <w:tc>
          <w:tcPr>
            <w:tcW w:w="708" w:type="dxa"/>
            <w:shd w:val="clear" w:color="auto" w:fill="auto"/>
          </w:tcPr>
          <w:p w14:paraId="316817BD" w14:textId="77777777" w:rsidR="003E5BF5" w:rsidRPr="00E273FC" w:rsidRDefault="003E5BF5" w:rsidP="00DE1921">
            <w:pPr>
              <w:pStyle w:val="TableTextRight"/>
              <w:rPr>
                <w:rFonts w:ascii="Arial" w:hAnsi="Arial" w:cs="Arial"/>
                <w:i/>
                <w:sz w:val="24"/>
                <w:szCs w:val="24"/>
              </w:rPr>
            </w:pPr>
            <w:r w:rsidRPr="00E273FC">
              <w:rPr>
                <w:rFonts w:ascii="Arial" w:hAnsi="Arial" w:cs="Arial"/>
                <w:sz w:val="24"/>
                <w:szCs w:val="24"/>
                <w:lang w:val="en-US"/>
              </w:rPr>
              <w:t>12</w:t>
            </w:r>
          </w:p>
        </w:tc>
        <w:tc>
          <w:tcPr>
            <w:tcW w:w="1131" w:type="dxa"/>
            <w:vMerge w:val="restart"/>
            <w:shd w:val="clear" w:color="auto" w:fill="auto"/>
          </w:tcPr>
          <w:p w14:paraId="016371D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116</w:t>
            </w:r>
          </w:p>
        </w:tc>
      </w:tr>
      <w:tr w:rsidR="003E5BF5" w:rsidRPr="00E273FC" w14:paraId="1C39BB4A" w14:textId="77777777" w:rsidTr="00D86C8A">
        <w:trPr>
          <w:trHeight w:val="75"/>
        </w:trPr>
        <w:tc>
          <w:tcPr>
            <w:tcW w:w="1215" w:type="dxa"/>
            <w:vMerge/>
            <w:shd w:val="clear" w:color="auto" w:fill="auto"/>
          </w:tcPr>
          <w:p w14:paraId="0305E5FA" w14:textId="77777777" w:rsidR="003E5BF5" w:rsidRPr="00E273FC" w:rsidRDefault="003E5BF5" w:rsidP="00DE1921">
            <w:pPr>
              <w:pStyle w:val="TableTextLeftBold"/>
              <w:rPr>
                <w:rFonts w:ascii="Arial" w:hAnsi="Arial" w:cs="Arial"/>
                <w:sz w:val="24"/>
                <w:szCs w:val="24"/>
              </w:rPr>
            </w:pPr>
          </w:p>
        </w:tc>
        <w:tc>
          <w:tcPr>
            <w:tcW w:w="3095" w:type="dxa"/>
            <w:vMerge/>
            <w:shd w:val="clear" w:color="auto" w:fill="auto"/>
          </w:tcPr>
          <w:p w14:paraId="145461F8" w14:textId="77777777" w:rsidR="003E5BF5" w:rsidRPr="00E273FC" w:rsidRDefault="003E5BF5" w:rsidP="00DE1921">
            <w:pPr>
              <w:pStyle w:val="TableTextLeft"/>
              <w:rPr>
                <w:rFonts w:ascii="Arial" w:hAnsi="Arial" w:cs="Arial"/>
                <w:sz w:val="24"/>
                <w:szCs w:val="24"/>
              </w:rPr>
            </w:pPr>
          </w:p>
        </w:tc>
        <w:tc>
          <w:tcPr>
            <w:tcW w:w="793" w:type="dxa"/>
            <w:vMerge/>
            <w:shd w:val="clear" w:color="auto" w:fill="auto"/>
          </w:tcPr>
          <w:p w14:paraId="043F18C7" w14:textId="77777777" w:rsidR="003E5BF5" w:rsidRPr="00E273FC" w:rsidRDefault="003E5BF5" w:rsidP="00DE1921">
            <w:pPr>
              <w:pStyle w:val="TableTextRightBold"/>
              <w:rPr>
                <w:rFonts w:ascii="Arial" w:hAnsi="Arial" w:cs="Arial"/>
                <w:sz w:val="24"/>
                <w:szCs w:val="24"/>
              </w:rPr>
            </w:pPr>
          </w:p>
        </w:tc>
        <w:tc>
          <w:tcPr>
            <w:tcW w:w="793" w:type="dxa"/>
            <w:vMerge/>
            <w:shd w:val="clear" w:color="auto" w:fill="auto"/>
          </w:tcPr>
          <w:p w14:paraId="03A63ED2" w14:textId="77777777" w:rsidR="003E5BF5" w:rsidRPr="00E273FC" w:rsidRDefault="003E5BF5" w:rsidP="00DE1921">
            <w:pPr>
              <w:pStyle w:val="TableTextRightBold"/>
              <w:rPr>
                <w:rFonts w:ascii="Arial" w:hAnsi="Arial" w:cs="Arial"/>
                <w:sz w:val="24"/>
                <w:szCs w:val="24"/>
              </w:rPr>
            </w:pPr>
          </w:p>
        </w:tc>
        <w:tc>
          <w:tcPr>
            <w:tcW w:w="2042" w:type="dxa"/>
            <w:gridSpan w:val="2"/>
            <w:shd w:val="clear" w:color="auto" w:fill="auto"/>
          </w:tcPr>
          <w:p w14:paraId="1BC4BE6E" w14:textId="77777777" w:rsidR="003E5BF5" w:rsidRPr="00E273FC" w:rsidRDefault="003E5BF5" w:rsidP="00DE1921">
            <w:pPr>
              <w:pStyle w:val="TableTextRight"/>
              <w:rPr>
                <w:rFonts w:ascii="Arial" w:hAnsi="Arial" w:cs="Arial"/>
                <w:sz w:val="24"/>
                <w:szCs w:val="24"/>
              </w:rPr>
            </w:pPr>
            <w:r w:rsidRPr="00E273FC">
              <w:rPr>
                <w:rFonts w:ascii="Arial" w:hAnsi="Arial" w:cs="Arial"/>
                <w:i/>
                <w:sz w:val="24"/>
                <w:szCs w:val="24"/>
                <w:lang w:val="en-US"/>
              </w:rPr>
              <w:t>(4 FAI, 4 MTI, 4 LTI)</w:t>
            </w:r>
          </w:p>
        </w:tc>
        <w:tc>
          <w:tcPr>
            <w:tcW w:w="1131" w:type="dxa"/>
            <w:vMerge/>
            <w:shd w:val="clear" w:color="auto" w:fill="auto"/>
          </w:tcPr>
          <w:p w14:paraId="65CA4804" w14:textId="77777777" w:rsidR="003E5BF5" w:rsidRPr="00E273FC" w:rsidRDefault="003E5BF5" w:rsidP="00DE1921">
            <w:pPr>
              <w:pStyle w:val="TableTextRight"/>
              <w:rPr>
                <w:rFonts w:ascii="Arial" w:hAnsi="Arial" w:cs="Arial"/>
                <w:sz w:val="24"/>
                <w:szCs w:val="24"/>
              </w:rPr>
            </w:pPr>
          </w:p>
        </w:tc>
      </w:tr>
      <w:tr w:rsidR="003E5BF5" w:rsidRPr="00E273FC" w14:paraId="6C996C27" w14:textId="77777777" w:rsidTr="00D86C8A">
        <w:trPr>
          <w:trHeight w:val="112"/>
        </w:trPr>
        <w:tc>
          <w:tcPr>
            <w:tcW w:w="1215" w:type="dxa"/>
            <w:vMerge w:val="restart"/>
            <w:shd w:val="clear" w:color="auto" w:fill="auto"/>
          </w:tcPr>
          <w:p w14:paraId="6DD2C6B1" w14:textId="77777777" w:rsidR="003E5BF5" w:rsidRPr="00E273FC" w:rsidRDefault="003E5BF5" w:rsidP="00DE1921">
            <w:pPr>
              <w:pStyle w:val="TableTextLeftBold"/>
              <w:rPr>
                <w:rFonts w:ascii="Arial" w:hAnsi="Arial" w:cs="Arial"/>
                <w:sz w:val="24"/>
                <w:szCs w:val="24"/>
              </w:rPr>
            </w:pPr>
          </w:p>
        </w:tc>
        <w:tc>
          <w:tcPr>
            <w:tcW w:w="3095" w:type="dxa"/>
            <w:vMerge w:val="restart"/>
            <w:shd w:val="clear" w:color="auto" w:fill="auto"/>
          </w:tcPr>
          <w:p w14:paraId="4A1D7913" w14:textId="77777777" w:rsidR="003E5BF5" w:rsidRPr="00E273FC" w:rsidRDefault="003E5BF5" w:rsidP="00DE1921">
            <w:pPr>
              <w:pStyle w:val="TableTextLeft"/>
              <w:rPr>
                <w:rFonts w:ascii="Arial" w:hAnsi="Arial" w:cs="Arial"/>
                <w:sz w:val="24"/>
                <w:szCs w:val="24"/>
              </w:rPr>
            </w:pPr>
          </w:p>
        </w:tc>
        <w:tc>
          <w:tcPr>
            <w:tcW w:w="793" w:type="dxa"/>
            <w:shd w:val="clear" w:color="auto" w:fill="auto"/>
          </w:tcPr>
          <w:p w14:paraId="67BAA2A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MTIA</w:t>
            </w:r>
          </w:p>
        </w:tc>
        <w:tc>
          <w:tcPr>
            <w:tcW w:w="793" w:type="dxa"/>
            <w:shd w:val="clear" w:color="auto" w:fill="auto"/>
          </w:tcPr>
          <w:p w14:paraId="7DFE7E7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12</w:t>
            </w:r>
          </w:p>
        </w:tc>
        <w:tc>
          <w:tcPr>
            <w:tcW w:w="1334" w:type="dxa"/>
            <w:shd w:val="clear" w:color="auto" w:fill="auto"/>
          </w:tcPr>
          <w:p w14:paraId="2747667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MTIA</w:t>
            </w:r>
          </w:p>
        </w:tc>
        <w:tc>
          <w:tcPr>
            <w:tcW w:w="708" w:type="dxa"/>
            <w:shd w:val="clear" w:color="auto" w:fill="auto"/>
          </w:tcPr>
          <w:p w14:paraId="7933A49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w:t>
            </w:r>
          </w:p>
        </w:tc>
        <w:tc>
          <w:tcPr>
            <w:tcW w:w="1131" w:type="dxa"/>
            <w:vMerge w:val="restart"/>
            <w:shd w:val="clear" w:color="auto" w:fill="auto"/>
          </w:tcPr>
          <w:p w14:paraId="4D3E5D98" w14:textId="77777777" w:rsidR="003E5BF5" w:rsidRPr="00E273FC" w:rsidRDefault="003E5BF5" w:rsidP="00DE1921">
            <w:pPr>
              <w:pStyle w:val="TableTextRight"/>
              <w:rPr>
                <w:rFonts w:ascii="Arial" w:hAnsi="Arial" w:cs="Arial"/>
                <w:sz w:val="24"/>
                <w:szCs w:val="24"/>
              </w:rPr>
            </w:pPr>
          </w:p>
        </w:tc>
      </w:tr>
      <w:tr w:rsidR="003E5BF5" w:rsidRPr="00E273FC" w14:paraId="7E4C46C5" w14:textId="77777777" w:rsidTr="00D86C8A">
        <w:trPr>
          <w:trHeight w:val="111"/>
        </w:trPr>
        <w:tc>
          <w:tcPr>
            <w:tcW w:w="1215" w:type="dxa"/>
            <w:vMerge/>
            <w:shd w:val="clear" w:color="auto" w:fill="auto"/>
          </w:tcPr>
          <w:p w14:paraId="54D70F80" w14:textId="77777777" w:rsidR="003E5BF5" w:rsidRPr="00E273FC" w:rsidRDefault="003E5BF5" w:rsidP="00DE1921">
            <w:pPr>
              <w:pStyle w:val="TableTextLeftBold"/>
              <w:rPr>
                <w:rFonts w:ascii="Arial" w:hAnsi="Arial" w:cs="Arial"/>
                <w:sz w:val="24"/>
                <w:szCs w:val="24"/>
              </w:rPr>
            </w:pPr>
          </w:p>
        </w:tc>
        <w:tc>
          <w:tcPr>
            <w:tcW w:w="3095" w:type="dxa"/>
            <w:vMerge/>
            <w:shd w:val="clear" w:color="auto" w:fill="auto"/>
          </w:tcPr>
          <w:p w14:paraId="597A7ABD" w14:textId="77777777" w:rsidR="003E5BF5" w:rsidRPr="00E273FC" w:rsidRDefault="003E5BF5" w:rsidP="00DE1921">
            <w:pPr>
              <w:pStyle w:val="TableTextLeft"/>
              <w:rPr>
                <w:rFonts w:ascii="Arial" w:hAnsi="Arial" w:cs="Arial"/>
                <w:sz w:val="24"/>
                <w:szCs w:val="24"/>
              </w:rPr>
            </w:pPr>
          </w:p>
        </w:tc>
        <w:tc>
          <w:tcPr>
            <w:tcW w:w="1586" w:type="dxa"/>
            <w:gridSpan w:val="2"/>
            <w:shd w:val="clear" w:color="auto" w:fill="auto"/>
          </w:tcPr>
          <w:p w14:paraId="4AC38B50"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i/>
                <w:sz w:val="24"/>
                <w:szCs w:val="24"/>
              </w:rPr>
              <w:t>(11 FAI, 1 MTI)</w:t>
            </w:r>
            <w:r w:rsidRPr="00E273FC">
              <w:rPr>
                <w:rFonts w:ascii="Arial" w:hAnsi="Arial" w:cs="Arial"/>
                <w:b w:val="0"/>
                <w:i/>
                <w:sz w:val="24"/>
                <w:szCs w:val="24"/>
                <w:vertAlign w:val="superscript"/>
              </w:rPr>
              <w:t>8</w:t>
            </w:r>
          </w:p>
        </w:tc>
        <w:tc>
          <w:tcPr>
            <w:tcW w:w="2042" w:type="dxa"/>
            <w:gridSpan w:val="2"/>
            <w:shd w:val="clear" w:color="auto" w:fill="auto"/>
          </w:tcPr>
          <w:p w14:paraId="4AC4500F" w14:textId="77777777" w:rsidR="003E5BF5" w:rsidRPr="00E273FC" w:rsidRDefault="003E5BF5" w:rsidP="00DE1921">
            <w:pPr>
              <w:pStyle w:val="TableTextRight"/>
              <w:rPr>
                <w:rFonts w:ascii="Arial" w:hAnsi="Arial" w:cs="Arial"/>
                <w:sz w:val="24"/>
                <w:szCs w:val="24"/>
              </w:rPr>
            </w:pPr>
            <w:r w:rsidRPr="00E273FC">
              <w:rPr>
                <w:rFonts w:ascii="Arial" w:hAnsi="Arial" w:cs="Arial"/>
                <w:i/>
                <w:sz w:val="24"/>
                <w:szCs w:val="24"/>
              </w:rPr>
              <w:t>(15 FAI, 2 MTI, 2 RWI, 1 LTI)</w:t>
            </w:r>
            <w:r w:rsidRPr="00E273FC">
              <w:rPr>
                <w:rFonts w:ascii="Arial" w:hAnsi="Arial" w:cs="Arial"/>
                <w:i/>
                <w:sz w:val="24"/>
                <w:szCs w:val="24"/>
                <w:vertAlign w:val="superscript"/>
              </w:rPr>
              <w:t>8</w:t>
            </w:r>
          </w:p>
        </w:tc>
        <w:tc>
          <w:tcPr>
            <w:tcW w:w="1131" w:type="dxa"/>
            <w:vMerge/>
            <w:shd w:val="clear" w:color="auto" w:fill="auto"/>
          </w:tcPr>
          <w:p w14:paraId="68401AAD" w14:textId="77777777" w:rsidR="003E5BF5" w:rsidRPr="00E273FC" w:rsidRDefault="003E5BF5" w:rsidP="00DE1921">
            <w:pPr>
              <w:pStyle w:val="TableTextRight"/>
              <w:rPr>
                <w:rFonts w:ascii="Arial" w:hAnsi="Arial" w:cs="Arial"/>
                <w:sz w:val="24"/>
                <w:szCs w:val="24"/>
              </w:rPr>
            </w:pPr>
          </w:p>
        </w:tc>
      </w:tr>
      <w:tr w:rsidR="003E5BF5" w:rsidRPr="00E273FC" w14:paraId="7A97479A" w14:textId="77777777" w:rsidTr="00D86C8A">
        <w:trPr>
          <w:trHeight w:val="312"/>
        </w:trPr>
        <w:tc>
          <w:tcPr>
            <w:tcW w:w="1215" w:type="dxa"/>
            <w:shd w:val="clear" w:color="auto" w:fill="auto"/>
            <w:vAlign w:val="center"/>
          </w:tcPr>
          <w:p w14:paraId="4F43F14C" w14:textId="77777777" w:rsidR="003E5BF5" w:rsidRPr="00E273FC" w:rsidRDefault="003E5BF5" w:rsidP="00DE1921">
            <w:pPr>
              <w:pStyle w:val="TableTextLeftBold"/>
              <w:jc w:val="right"/>
              <w:rPr>
                <w:rFonts w:ascii="Arial" w:hAnsi="Arial" w:cs="Arial"/>
                <w:sz w:val="24"/>
                <w:szCs w:val="24"/>
              </w:rPr>
            </w:pPr>
          </w:p>
        </w:tc>
        <w:tc>
          <w:tcPr>
            <w:tcW w:w="3095" w:type="dxa"/>
            <w:shd w:val="clear" w:color="auto" w:fill="auto"/>
            <w:vAlign w:val="center"/>
          </w:tcPr>
          <w:p w14:paraId="7C8CC2A7" w14:textId="77777777" w:rsidR="003E5BF5" w:rsidRPr="00E273FC" w:rsidRDefault="003E5BF5" w:rsidP="00DE1921">
            <w:pPr>
              <w:pStyle w:val="TableTextLeft"/>
              <w:jc w:val="right"/>
              <w:rPr>
                <w:rFonts w:ascii="Arial" w:hAnsi="Arial" w:cs="Arial"/>
                <w:sz w:val="24"/>
                <w:szCs w:val="24"/>
              </w:rPr>
            </w:pPr>
          </w:p>
        </w:tc>
        <w:tc>
          <w:tcPr>
            <w:tcW w:w="793" w:type="dxa"/>
            <w:shd w:val="clear" w:color="auto" w:fill="auto"/>
            <w:vAlign w:val="center"/>
          </w:tcPr>
          <w:p w14:paraId="3F147CE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SRLA</w:t>
            </w:r>
          </w:p>
        </w:tc>
        <w:tc>
          <w:tcPr>
            <w:tcW w:w="793" w:type="dxa"/>
            <w:shd w:val="clear" w:color="auto" w:fill="auto"/>
            <w:vAlign w:val="center"/>
          </w:tcPr>
          <w:p w14:paraId="100863B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2042" w:type="dxa"/>
            <w:gridSpan w:val="2"/>
            <w:shd w:val="clear" w:color="auto" w:fill="auto"/>
            <w:vAlign w:val="center"/>
          </w:tcPr>
          <w:p w14:paraId="2CE53280" w14:textId="77777777" w:rsidR="003E5BF5" w:rsidRPr="00E273FC" w:rsidRDefault="003E5BF5" w:rsidP="00DE1921">
            <w:pPr>
              <w:pStyle w:val="TableTextRight"/>
              <w:rPr>
                <w:rFonts w:ascii="Arial" w:hAnsi="Arial" w:cs="Arial"/>
                <w:sz w:val="24"/>
                <w:szCs w:val="24"/>
              </w:rPr>
            </w:pPr>
          </w:p>
        </w:tc>
        <w:tc>
          <w:tcPr>
            <w:tcW w:w="1131" w:type="dxa"/>
            <w:shd w:val="clear" w:color="auto" w:fill="auto"/>
            <w:vAlign w:val="center"/>
          </w:tcPr>
          <w:p w14:paraId="6FCF30FD" w14:textId="77777777" w:rsidR="003E5BF5" w:rsidRPr="00E273FC" w:rsidRDefault="003E5BF5" w:rsidP="00DE1921">
            <w:pPr>
              <w:pStyle w:val="TableTextRight"/>
              <w:rPr>
                <w:rFonts w:ascii="Arial" w:hAnsi="Arial" w:cs="Arial"/>
                <w:sz w:val="24"/>
                <w:szCs w:val="24"/>
              </w:rPr>
            </w:pPr>
          </w:p>
        </w:tc>
      </w:tr>
      <w:tr w:rsidR="003E5BF5" w:rsidRPr="00E273FC" w14:paraId="0F1740F6" w14:textId="77777777" w:rsidTr="00D86C8A">
        <w:trPr>
          <w:trHeight w:val="312"/>
        </w:trPr>
        <w:tc>
          <w:tcPr>
            <w:tcW w:w="1215" w:type="dxa"/>
            <w:shd w:val="clear" w:color="auto" w:fill="auto"/>
            <w:vAlign w:val="center"/>
          </w:tcPr>
          <w:p w14:paraId="18A2DC27"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Hazards</w:t>
            </w:r>
          </w:p>
        </w:tc>
        <w:tc>
          <w:tcPr>
            <w:tcW w:w="3095" w:type="dxa"/>
            <w:shd w:val="clear" w:color="auto" w:fill="auto"/>
            <w:vAlign w:val="center"/>
          </w:tcPr>
          <w:p w14:paraId="3AE48BB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Number of hazards</w:t>
            </w:r>
          </w:p>
        </w:tc>
        <w:tc>
          <w:tcPr>
            <w:tcW w:w="793" w:type="dxa"/>
            <w:shd w:val="clear" w:color="auto" w:fill="auto"/>
            <w:vAlign w:val="center"/>
          </w:tcPr>
          <w:p w14:paraId="6CD123F4"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DoT</w:t>
            </w:r>
          </w:p>
        </w:tc>
        <w:tc>
          <w:tcPr>
            <w:tcW w:w="793" w:type="dxa"/>
            <w:shd w:val="clear" w:color="auto" w:fill="auto"/>
            <w:vAlign w:val="center"/>
          </w:tcPr>
          <w:p w14:paraId="2E5D292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69</w:t>
            </w:r>
          </w:p>
        </w:tc>
        <w:tc>
          <w:tcPr>
            <w:tcW w:w="1334" w:type="dxa"/>
            <w:shd w:val="clear" w:color="auto" w:fill="auto"/>
            <w:vAlign w:val="center"/>
          </w:tcPr>
          <w:p w14:paraId="46FF703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DoT</w:t>
            </w:r>
          </w:p>
        </w:tc>
        <w:tc>
          <w:tcPr>
            <w:tcW w:w="708" w:type="dxa"/>
            <w:shd w:val="clear" w:color="auto" w:fill="auto"/>
            <w:vAlign w:val="center"/>
          </w:tcPr>
          <w:p w14:paraId="5081B62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40</w:t>
            </w:r>
          </w:p>
        </w:tc>
        <w:tc>
          <w:tcPr>
            <w:tcW w:w="1131" w:type="dxa"/>
            <w:shd w:val="clear" w:color="auto" w:fill="auto"/>
          </w:tcPr>
          <w:p w14:paraId="1B36599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183</w:t>
            </w:r>
          </w:p>
        </w:tc>
      </w:tr>
      <w:tr w:rsidR="003E5BF5" w:rsidRPr="00E273FC" w14:paraId="7ADA8E81" w14:textId="77777777" w:rsidTr="00D86C8A">
        <w:trPr>
          <w:trHeight w:val="312"/>
        </w:trPr>
        <w:tc>
          <w:tcPr>
            <w:tcW w:w="1215" w:type="dxa"/>
            <w:shd w:val="clear" w:color="auto" w:fill="auto"/>
            <w:vAlign w:val="center"/>
          </w:tcPr>
          <w:p w14:paraId="0A23C7B5" w14:textId="77777777" w:rsidR="003E5BF5" w:rsidRPr="00E273FC" w:rsidRDefault="003E5BF5" w:rsidP="00DE1921">
            <w:pPr>
              <w:pStyle w:val="TableTextLeftBold"/>
              <w:rPr>
                <w:rFonts w:ascii="Arial" w:hAnsi="Arial" w:cs="Arial"/>
                <w:sz w:val="24"/>
                <w:szCs w:val="24"/>
              </w:rPr>
            </w:pPr>
          </w:p>
        </w:tc>
        <w:tc>
          <w:tcPr>
            <w:tcW w:w="3095" w:type="dxa"/>
            <w:shd w:val="clear" w:color="auto" w:fill="auto"/>
            <w:vAlign w:val="center"/>
          </w:tcPr>
          <w:p w14:paraId="19B10FEC" w14:textId="77777777" w:rsidR="003E5BF5" w:rsidRPr="00E273FC" w:rsidRDefault="003E5BF5" w:rsidP="00DE1921">
            <w:pPr>
              <w:pStyle w:val="TableTextLeft"/>
              <w:rPr>
                <w:rFonts w:ascii="Arial" w:hAnsi="Arial" w:cs="Arial"/>
                <w:sz w:val="24"/>
                <w:szCs w:val="24"/>
              </w:rPr>
            </w:pPr>
          </w:p>
        </w:tc>
        <w:tc>
          <w:tcPr>
            <w:tcW w:w="793" w:type="dxa"/>
            <w:shd w:val="clear" w:color="auto" w:fill="auto"/>
            <w:vAlign w:val="center"/>
          </w:tcPr>
          <w:p w14:paraId="38BC87C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MTIA</w:t>
            </w:r>
          </w:p>
        </w:tc>
        <w:tc>
          <w:tcPr>
            <w:tcW w:w="793" w:type="dxa"/>
            <w:shd w:val="clear" w:color="auto" w:fill="auto"/>
            <w:vAlign w:val="center"/>
          </w:tcPr>
          <w:p w14:paraId="33B2D71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6</w:t>
            </w:r>
          </w:p>
        </w:tc>
        <w:tc>
          <w:tcPr>
            <w:tcW w:w="1334" w:type="dxa"/>
            <w:shd w:val="clear" w:color="auto" w:fill="auto"/>
            <w:vAlign w:val="center"/>
          </w:tcPr>
          <w:p w14:paraId="6EF2140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MTIA</w:t>
            </w:r>
          </w:p>
        </w:tc>
        <w:tc>
          <w:tcPr>
            <w:tcW w:w="708" w:type="dxa"/>
            <w:shd w:val="clear" w:color="auto" w:fill="auto"/>
            <w:vAlign w:val="center"/>
          </w:tcPr>
          <w:p w14:paraId="57F70A6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w:t>
            </w:r>
          </w:p>
        </w:tc>
        <w:tc>
          <w:tcPr>
            <w:tcW w:w="1131" w:type="dxa"/>
            <w:shd w:val="clear" w:color="auto" w:fill="auto"/>
          </w:tcPr>
          <w:p w14:paraId="3B565A7F" w14:textId="77777777" w:rsidR="003E5BF5" w:rsidRPr="00E273FC" w:rsidRDefault="003E5BF5" w:rsidP="00DE1921">
            <w:pPr>
              <w:pStyle w:val="TableTextRight"/>
              <w:rPr>
                <w:rFonts w:ascii="Arial" w:hAnsi="Arial" w:cs="Arial"/>
                <w:sz w:val="24"/>
                <w:szCs w:val="24"/>
              </w:rPr>
            </w:pPr>
          </w:p>
        </w:tc>
      </w:tr>
      <w:tr w:rsidR="003E5BF5" w:rsidRPr="00E273FC" w14:paraId="07E766DF" w14:textId="77777777" w:rsidTr="00D86C8A">
        <w:trPr>
          <w:trHeight w:val="312"/>
        </w:trPr>
        <w:tc>
          <w:tcPr>
            <w:tcW w:w="1215" w:type="dxa"/>
            <w:shd w:val="clear" w:color="auto" w:fill="auto"/>
            <w:vAlign w:val="center"/>
          </w:tcPr>
          <w:p w14:paraId="2D99D8EF" w14:textId="77777777" w:rsidR="003E5BF5" w:rsidRPr="00E273FC" w:rsidRDefault="003E5BF5" w:rsidP="00DE1921">
            <w:pPr>
              <w:pStyle w:val="TableTextLeftBold"/>
              <w:rPr>
                <w:rFonts w:ascii="Arial" w:hAnsi="Arial" w:cs="Arial"/>
                <w:sz w:val="24"/>
                <w:szCs w:val="24"/>
              </w:rPr>
            </w:pPr>
          </w:p>
        </w:tc>
        <w:tc>
          <w:tcPr>
            <w:tcW w:w="3095" w:type="dxa"/>
            <w:shd w:val="clear" w:color="auto" w:fill="auto"/>
            <w:vAlign w:val="center"/>
          </w:tcPr>
          <w:p w14:paraId="02241C39" w14:textId="77777777" w:rsidR="003E5BF5" w:rsidRPr="00E273FC" w:rsidRDefault="003E5BF5" w:rsidP="00DE1921">
            <w:pPr>
              <w:pStyle w:val="TableTextLeft"/>
              <w:rPr>
                <w:rFonts w:ascii="Arial" w:hAnsi="Arial" w:cs="Arial"/>
                <w:sz w:val="24"/>
                <w:szCs w:val="24"/>
              </w:rPr>
            </w:pPr>
          </w:p>
        </w:tc>
        <w:tc>
          <w:tcPr>
            <w:tcW w:w="793" w:type="dxa"/>
            <w:shd w:val="clear" w:color="auto" w:fill="auto"/>
            <w:vAlign w:val="center"/>
          </w:tcPr>
          <w:p w14:paraId="3E5B708D"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SRLA</w:t>
            </w:r>
          </w:p>
        </w:tc>
        <w:tc>
          <w:tcPr>
            <w:tcW w:w="793" w:type="dxa"/>
            <w:shd w:val="clear" w:color="auto" w:fill="auto"/>
            <w:vAlign w:val="center"/>
          </w:tcPr>
          <w:p w14:paraId="54F9B3C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2042" w:type="dxa"/>
            <w:gridSpan w:val="2"/>
            <w:shd w:val="clear" w:color="auto" w:fill="auto"/>
            <w:vAlign w:val="center"/>
          </w:tcPr>
          <w:p w14:paraId="0A71DE7D" w14:textId="77777777" w:rsidR="003E5BF5" w:rsidRPr="00E273FC" w:rsidRDefault="003E5BF5" w:rsidP="00DE1921">
            <w:pPr>
              <w:pStyle w:val="TableTextRight"/>
              <w:rPr>
                <w:rFonts w:ascii="Arial" w:hAnsi="Arial" w:cs="Arial"/>
                <w:sz w:val="24"/>
                <w:szCs w:val="24"/>
              </w:rPr>
            </w:pPr>
          </w:p>
        </w:tc>
        <w:tc>
          <w:tcPr>
            <w:tcW w:w="1131" w:type="dxa"/>
            <w:shd w:val="clear" w:color="auto" w:fill="auto"/>
          </w:tcPr>
          <w:p w14:paraId="4D71200D" w14:textId="77777777" w:rsidR="003E5BF5" w:rsidRPr="00E273FC" w:rsidRDefault="003E5BF5" w:rsidP="00DE1921">
            <w:pPr>
              <w:pStyle w:val="TableTextRight"/>
              <w:rPr>
                <w:rFonts w:ascii="Arial" w:hAnsi="Arial" w:cs="Arial"/>
                <w:sz w:val="24"/>
                <w:szCs w:val="24"/>
              </w:rPr>
            </w:pPr>
          </w:p>
        </w:tc>
      </w:tr>
      <w:tr w:rsidR="003E5BF5" w:rsidRPr="00E273FC" w14:paraId="1CAE323A" w14:textId="77777777" w:rsidTr="00D86C8A">
        <w:trPr>
          <w:trHeight w:val="312"/>
        </w:trPr>
        <w:tc>
          <w:tcPr>
            <w:tcW w:w="1215" w:type="dxa"/>
            <w:shd w:val="clear" w:color="auto" w:fill="auto"/>
          </w:tcPr>
          <w:p w14:paraId="53622BD0"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 </w:t>
            </w:r>
          </w:p>
        </w:tc>
        <w:tc>
          <w:tcPr>
            <w:tcW w:w="3095" w:type="dxa"/>
            <w:shd w:val="clear" w:color="auto" w:fill="auto"/>
          </w:tcPr>
          <w:p w14:paraId="7837AA3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Rate per 100 FTE</w:t>
            </w:r>
          </w:p>
        </w:tc>
        <w:tc>
          <w:tcPr>
            <w:tcW w:w="793" w:type="dxa"/>
            <w:shd w:val="clear" w:color="auto" w:fill="auto"/>
            <w:vAlign w:val="center"/>
          </w:tcPr>
          <w:p w14:paraId="0A8B0B0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DoT</w:t>
            </w:r>
          </w:p>
        </w:tc>
        <w:tc>
          <w:tcPr>
            <w:tcW w:w="793" w:type="dxa"/>
            <w:shd w:val="clear" w:color="auto" w:fill="auto"/>
            <w:vAlign w:val="center"/>
          </w:tcPr>
          <w:p w14:paraId="1331F038"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1.8</w:t>
            </w:r>
          </w:p>
        </w:tc>
        <w:tc>
          <w:tcPr>
            <w:tcW w:w="1334" w:type="dxa"/>
            <w:shd w:val="clear" w:color="auto" w:fill="auto"/>
            <w:vAlign w:val="center"/>
          </w:tcPr>
          <w:p w14:paraId="7DD9596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DoT</w:t>
            </w:r>
          </w:p>
        </w:tc>
        <w:tc>
          <w:tcPr>
            <w:tcW w:w="708" w:type="dxa"/>
            <w:shd w:val="clear" w:color="auto" w:fill="auto"/>
            <w:vAlign w:val="center"/>
          </w:tcPr>
          <w:p w14:paraId="1648969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6.05</w:t>
            </w:r>
          </w:p>
        </w:tc>
        <w:tc>
          <w:tcPr>
            <w:tcW w:w="1131" w:type="dxa"/>
            <w:shd w:val="clear" w:color="auto" w:fill="auto"/>
          </w:tcPr>
          <w:p w14:paraId="79C52F2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0.42</w:t>
            </w:r>
          </w:p>
        </w:tc>
      </w:tr>
      <w:tr w:rsidR="003E5BF5" w:rsidRPr="00E273FC" w14:paraId="294446A1" w14:textId="77777777" w:rsidTr="00D86C8A">
        <w:trPr>
          <w:trHeight w:val="312"/>
        </w:trPr>
        <w:tc>
          <w:tcPr>
            <w:tcW w:w="1215" w:type="dxa"/>
            <w:shd w:val="clear" w:color="auto" w:fill="auto"/>
          </w:tcPr>
          <w:p w14:paraId="61C98CBF" w14:textId="77777777" w:rsidR="003E5BF5" w:rsidRPr="00E273FC" w:rsidRDefault="003E5BF5" w:rsidP="00DE1921">
            <w:pPr>
              <w:pStyle w:val="TableTextLeftBold"/>
              <w:rPr>
                <w:rFonts w:ascii="Arial" w:hAnsi="Arial" w:cs="Arial"/>
                <w:sz w:val="24"/>
                <w:szCs w:val="24"/>
              </w:rPr>
            </w:pPr>
          </w:p>
        </w:tc>
        <w:tc>
          <w:tcPr>
            <w:tcW w:w="3095" w:type="dxa"/>
            <w:shd w:val="clear" w:color="auto" w:fill="auto"/>
          </w:tcPr>
          <w:p w14:paraId="0C2965A3" w14:textId="77777777" w:rsidR="003E5BF5" w:rsidRPr="00E273FC" w:rsidRDefault="003E5BF5" w:rsidP="00DE1921">
            <w:pPr>
              <w:pStyle w:val="TableTextLeft"/>
              <w:rPr>
                <w:rFonts w:ascii="Arial" w:hAnsi="Arial" w:cs="Arial"/>
                <w:sz w:val="24"/>
                <w:szCs w:val="24"/>
              </w:rPr>
            </w:pPr>
          </w:p>
        </w:tc>
        <w:tc>
          <w:tcPr>
            <w:tcW w:w="793" w:type="dxa"/>
            <w:shd w:val="clear" w:color="auto" w:fill="auto"/>
            <w:vAlign w:val="center"/>
          </w:tcPr>
          <w:p w14:paraId="2B2CE76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MTIA</w:t>
            </w:r>
          </w:p>
        </w:tc>
        <w:tc>
          <w:tcPr>
            <w:tcW w:w="793" w:type="dxa"/>
            <w:shd w:val="clear" w:color="auto" w:fill="auto"/>
            <w:vAlign w:val="center"/>
          </w:tcPr>
          <w:p w14:paraId="74B6DF7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0.30</w:t>
            </w:r>
          </w:p>
        </w:tc>
        <w:tc>
          <w:tcPr>
            <w:tcW w:w="1334" w:type="dxa"/>
            <w:shd w:val="clear" w:color="auto" w:fill="auto"/>
            <w:vAlign w:val="center"/>
          </w:tcPr>
          <w:p w14:paraId="26A7D22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MTIA</w:t>
            </w:r>
          </w:p>
        </w:tc>
        <w:tc>
          <w:tcPr>
            <w:tcW w:w="708" w:type="dxa"/>
            <w:shd w:val="clear" w:color="auto" w:fill="auto"/>
            <w:vAlign w:val="center"/>
          </w:tcPr>
          <w:p w14:paraId="0F3576F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0.72</w:t>
            </w:r>
          </w:p>
        </w:tc>
        <w:tc>
          <w:tcPr>
            <w:tcW w:w="1131" w:type="dxa"/>
            <w:shd w:val="clear" w:color="auto" w:fill="auto"/>
          </w:tcPr>
          <w:p w14:paraId="11209016" w14:textId="77777777" w:rsidR="003E5BF5" w:rsidRPr="00E273FC" w:rsidRDefault="003E5BF5" w:rsidP="00DE1921">
            <w:pPr>
              <w:pStyle w:val="TableTextRight"/>
              <w:rPr>
                <w:rFonts w:ascii="Arial" w:hAnsi="Arial" w:cs="Arial"/>
                <w:sz w:val="24"/>
                <w:szCs w:val="24"/>
              </w:rPr>
            </w:pPr>
          </w:p>
        </w:tc>
      </w:tr>
      <w:tr w:rsidR="003E5BF5" w:rsidRPr="00E273FC" w14:paraId="3E648C85" w14:textId="77777777" w:rsidTr="00D86C8A">
        <w:trPr>
          <w:trHeight w:val="312"/>
        </w:trPr>
        <w:tc>
          <w:tcPr>
            <w:tcW w:w="1215" w:type="dxa"/>
            <w:shd w:val="clear" w:color="auto" w:fill="auto"/>
            <w:vAlign w:val="center"/>
          </w:tcPr>
          <w:p w14:paraId="3B564F87"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Claims (DoT)</w:t>
            </w:r>
          </w:p>
        </w:tc>
        <w:tc>
          <w:tcPr>
            <w:tcW w:w="3095" w:type="dxa"/>
            <w:shd w:val="clear" w:color="auto" w:fill="auto"/>
            <w:vAlign w:val="center"/>
          </w:tcPr>
          <w:p w14:paraId="7935BAF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Number of standard claims</w:t>
            </w:r>
            <w:r w:rsidRPr="00E273FC">
              <w:rPr>
                <w:rFonts w:ascii="Arial" w:hAnsi="Arial" w:cs="Arial"/>
                <w:sz w:val="24"/>
                <w:szCs w:val="24"/>
                <w:vertAlign w:val="superscript"/>
              </w:rPr>
              <w:t xml:space="preserve"> 3</w:t>
            </w:r>
          </w:p>
        </w:tc>
        <w:tc>
          <w:tcPr>
            <w:tcW w:w="1586" w:type="dxa"/>
            <w:gridSpan w:val="2"/>
            <w:shd w:val="clear" w:color="auto" w:fill="auto"/>
            <w:vAlign w:val="center"/>
          </w:tcPr>
          <w:p w14:paraId="1D53910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30</w:t>
            </w:r>
          </w:p>
        </w:tc>
        <w:tc>
          <w:tcPr>
            <w:tcW w:w="2042" w:type="dxa"/>
            <w:gridSpan w:val="2"/>
            <w:shd w:val="clear" w:color="auto" w:fill="auto"/>
            <w:vAlign w:val="center"/>
          </w:tcPr>
          <w:p w14:paraId="29EF324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w:t>
            </w:r>
          </w:p>
        </w:tc>
        <w:tc>
          <w:tcPr>
            <w:tcW w:w="1131" w:type="dxa"/>
            <w:shd w:val="clear" w:color="auto" w:fill="auto"/>
            <w:vAlign w:val="center"/>
          </w:tcPr>
          <w:p w14:paraId="58688FE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24</w:t>
            </w:r>
          </w:p>
        </w:tc>
      </w:tr>
      <w:tr w:rsidR="003E5BF5" w:rsidRPr="00E273FC" w14:paraId="38FFB23E" w14:textId="77777777" w:rsidTr="00D86C8A">
        <w:trPr>
          <w:trHeight w:val="312"/>
        </w:trPr>
        <w:tc>
          <w:tcPr>
            <w:tcW w:w="1215" w:type="dxa"/>
            <w:shd w:val="clear" w:color="auto" w:fill="auto"/>
            <w:vAlign w:val="center"/>
          </w:tcPr>
          <w:p w14:paraId="326FA5BB"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 </w:t>
            </w:r>
          </w:p>
        </w:tc>
        <w:tc>
          <w:tcPr>
            <w:tcW w:w="3095" w:type="dxa"/>
            <w:shd w:val="clear" w:color="auto" w:fill="auto"/>
            <w:vAlign w:val="center"/>
          </w:tcPr>
          <w:p w14:paraId="0035C17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Rate per 100 FTE</w:t>
            </w:r>
          </w:p>
        </w:tc>
        <w:tc>
          <w:tcPr>
            <w:tcW w:w="1586" w:type="dxa"/>
            <w:gridSpan w:val="2"/>
            <w:shd w:val="clear" w:color="auto" w:fill="auto"/>
            <w:vAlign w:val="center"/>
          </w:tcPr>
          <w:p w14:paraId="294CA7F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0.98</w:t>
            </w:r>
          </w:p>
        </w:tc>
        <w:tc>
          <w:tcPr>
            <w:tcW w:w="2042" w:type="dxa"/>
            <w:gridSpan w:val="2"/>
            <w:shd w:val="clear" w:color="auto" w:fill="auto"/>
            <w:vAlign w:val="center"/>
          </w:tcPr>
          <w:p w14:paraId="7CD544A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0.9</w:t>
            </w:r>
          </w:p>
        </w:tc>
        <w:tc>
          <w:tcPr>
            <w:tcW w:w="1131" w:type="dxa"/>
            <w:shd w:val="clear" w:color="auto" w:fill="auto"/>
            <w:vAlign w:val="center"/>
          </w:tcPr>
          <w:p w14:paraId="1CB7247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0.62</w:t>
            </w:r>
          </w:p>
        </w:tc>
      </w:tr>
      <w:tr w:rsidR="003E5BF5" w:rsidRPr="00E273FC" w14:paraId="1648A209" w14:textId="77777777" w:rsidTr="00D86C8A">
        <w:trPr>
          <w:trHeight w:val="312"/>
        </w:trPr>
        <w:tc>
          <w:tcPr>
            <w:tcW w:w="1215" w:type="dxa"/>
            <w:shd w:val="clear" w:color="auto" w:fill="auto"/>
            <w:vAlign w:val="center"/>
          </w:tcPr>
          <w:p w14:paraId="4465BE67"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 </w:t>
            </w:r>
          </w:p>
        </w:tc>
        <w:tc>
          <w:tcPr>
            <w:tcW w:w="3095" w:type="dxa"/>
            <w:shd w:val="clear" w:color="auto" w:fill="auto"/>
            <w:vAlign w:val="center"/>
          </w:tcPr>
          <w:p w14:paraId="0E465302"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Number of lost time claims</w:t>
            </w:r>
            <w:r w:rsidRPr="00E273FC">
              <w:rPr>
                <w:rFonts w:ascii="Arial" w:hAnsi="Arial" w:cs="Arial"/>
                <w:sz w:val="24"/>
                <w:szCs w:val="24"/>
                <w:vertAlign w:val="superscript"/>
              </w:rPr>
              <w:t xml:space="preserve"> 4</w:t>
            </w:r>
          </w:p>
        </w:tc>
        <w:tc>
          <w:tcPr>
            <w:tcW w:w="1586" w:type="dxa"/>
            <w:gridSpan w:val="2"/>
            <w:shd w:val="clear" w:color="auto" w:fill="auto"/>
            <w:vAlign w:val="center"/>
          </w:tcPr>
          <w:p w14:paraId="3AEB222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16</w:t>
            </w:r>
          </w:p>
        </w:tc>
        <w:tc>
          <w:tcPr>
            <w:tcW w:w="2042" w:type="dxa"/>
            <w:gridSpan w:val="2"/>
            <w:shd w:val="clear" w:color="auto" w:fill="auto"/>
            <w:vAlign w:val="center"/>
          </w:tcPr>
          <w:p w14:paraId="698B303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w:t>
            </w:r>
          </w:p>
        </w:tc>
        <w:tc>
          <w:tcPr>
            <w:tcW w:w="1131" w:type="dxa"/>
            <w:shd w:val="clear" w:color="auto" w:fill="auto"/>
            <w:vAlign w:val="center"/>
          </w:tcPr>
          <w:p w14:paraId="1BC6020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w:t>
            </w:r>
          </w:p>
        </w:tc>
      </w:tr>
      <w:tr w:rsidR="003E5BF5" w:rsidRPr="00E273FC" w14:paraId="5EF26190" w14:textId="77777777" w:rsidTr="00D86C8A">
        <w:trPr>
          <w:trHeight w:val="312"/>
        </w:trPr>
        <w:tc>
          <w:tcPr>
            <w:tcW w:w="1215" w:type="dxa"/>
            <w:shd w:val="clear" w:color="auto" w:fill="auto"/>
            <w:vAlign w:val="center"/>
          </w:tcPr>
          <w:p w14:paraId="7B7CDE6D"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 </w:t>
            </w:r>
          </w:p>
        </w:tc>
        <w:tc>
          <w:tcPr>
            <w:tcW w:w="3095" w:type="dxa"/>
            <w:shd w:val="clear" w:color="auto" w:fill="auto"/>
            <w:vAlign w:val="center"/>
          </w:tcPr>
          <w:p w14:paraId="006DED6B"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Rate per 100 FTE</w:t>
            </w:r>
          </w:p>
        </w:tc>
        <w:tc>
          <w:tcPr>
            <w:tcW w:w="1586" w:type="dxa"/>
            <w:gridSpan w:val="2"/>
            <w:shd w:val="clear" w:color="auto" w:fill="auto"/>
            <w:vAlign w:val="center"/>
          </w:tcPr>
          <w:p w14:paraId="1439D20E"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0.52</w:t>
            </w:r>
          </w:p>
        </w:tc>
        <w:tc>
          <w:tcPr>
            <w:tcW w:w="2042" w:type="dxa"/>
            <w:gridSpan w:val="2"/>
            <w:shd w:val="clear" w:color="auto" w:fill="auto"/>
            <w:vAlign w:val="center"/>
          </w:tcPr>
          <w:p w14:paraId="093C0EB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0.6</w:t>
            </w:r>
          </w:p>
        </w:tc>
        <w:tc>
          <w:tcPr>
            <w:tcW w:w="1131" w:type="dxa"/>
            <w:shd w:val="clear" w:color="auto" w:fill="auto"/>
            <w:vAlign w:val="center"/>
          </w:tcPr>
          <w:p w14:paraId="600C9D1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0.21</w:t>
            </w:r>
          </w:p>
        </w:tc>
      </w:tr>
      <w:tr w:rsidR="003E5BF5" w:rsidRPr="00E273FC" w14:paraId="341421BE" w14:textId="77777777" w:rsidTr="00D86C8A">
        <w:trPr>
          <w:trHeight w:val="312"/>
        </w:trPr>
        <w:tc>
          <w:tcPr>
            <w:tcW w:w="1215" w:type="dxa"/>
            <w:shd w:val="clear" w:color="auto" w:fill="auto"/>
            <w:vAlign w:val="center"/>
          </w:tcPr>
          <w:p w14:paraId="1395C54E"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 </w:t>
            </w:r>
          </w:p>
        </w:tc>
        <w:tc>
          <w:tcPr>
            <w:tcW w:w="3095" w:type="dxa"/>
            <w:shd w:val="clear" w:color="auto" w:fill="auto"/>
            <w:vAlign w:val="center"/>
          </w:tcPr>
          <w:p w14:paraId="73BEFBB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Number of claims exceeding 13 weeks</w:t>
            </w:r>
            <w:r w:rsidRPr="00E273FC">
              <w:rPr>
                <w:rFonts w:ascii="Arial" w:hAnsi="Arial" w:cs="Arial"/>
                <w:sz w:val="24"/>
                <w:szCs w:val="24"/>
                <w:vertAlign w:val="superscript"/>
              </w:rPr>
              <w:t xml:space="preserve"> 5</w:t>
            </w:r>
          </w:p>
        </w:tc>
        <w:tc>
          <w:tcPr>
            <w:tcW w:w="1586" w:type="dxa"/>
            <w:gridSpan w:val="2"/>
            <w:shd w:val="clear" w:color="auto" w:fill="auto"/>
            <w:vAlign w:val="center"/>
          </w:tcPr>
          <w:p w14:paraId="00CB155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3</w:t>
            </w:r>
          </w:p>
        </w:tc>
        <w:tc>
          <w:tcPr>
            <w:tcW w:w="2042" w:type="dxa"/>
            <w:gridSpan w:val="2"/>
            <w:shd w:val="clear" w:color="auto" w:fill="auto"/>
            <w:vAlign w:val="center"/>
          </w:tcPr>
          <w:p w14:paraId="09FE624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vAlign w:val="center"/>
          </w:tcPr>
          <w:p w14:paraId="7F0D160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w:t>
            </w:r>
          </w:p>
        </w:tc>
      </w:tr>
      <w:tr w:rsidR="003E5BF5" w:rsidRPr="00E273FC" w14:paraId="12D5F246" w14:textId="77777777" w:rsidTr="00D86C8A">
        <w:trPr>
          <w:trHeight w:val="312"/>
        </w:trPr>
        <w:tc>
          <w:tcPr>
            <w:tcW w:w="1215" w:type="dxa"/>
            <w:shd w:val="clear" w:color="auto" w:fill="auto"/>
            <w:vAlign w:val="center"/>
          </w:tcPr>
          <w:p w14:paraId="035F41A1"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 </w:t>
            </w:r>
          </w:p>
        </w:tc>
        <w:tc>
          <w:tcPr>
            <w:tcW w:w="3095" w:type="dxa"/>
            <w:shd w:val="clear" w:color="auto" w:fill="auto"/>
            <w:vAlign w:val="center"/>
          </w:tcPr>
          <w:p w14:paraId="78657B8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Rate per 100 FTE</w:t>
            </w:r>
          </w:p>
        </w:tc>
        <w:tc>
          <w:tcPr>
            <w:tcW w:w="1586" w:type="dxa"/>
            <w:gridSpan w:val="2"/>
            <w:shd w:val="clear" w:color="auto" w:fill="auto"/>
            <w:vAlign w:val="center"/>
          </w:tcPr>
          <w:p w14:paraId="6840D32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0.09</w:t>
            </w:r>
          </w:p>
        </w:tc>
        <w:tc>
          <w:tcPr>
            <w:tcW w:w="2042" w:type="dxa"/>
            <w:gridSpan w:val="2"/>
            <w:shd w:val="clear" w:color="auto" w:fill="auto"/>
            <w:vAlign w:val="center"/>
          </w:tcPr>
          <w:p w14:paraId="19F1EC7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vAlign w:val="center"/>
          </w:tcPr>
          <w:p w14:paraId="710974E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0.05</w:t>
            </w:r>
          </w:p>
        </w:tc>
      </w:tr>
      <w:tr w:rsidR="003E5BF5" w:rsidRPr="00E273FC" w14:paraId="242C43B8" w14:textId="77777777" w:rsidTr="00D86C8A">
        <w:trPr>
          <w:trHeight w:val="312"/>
        </w:trPr>
        <w:tc>
          <w:tcPr>
            <w:tcW w:w="1215" w:type="dxa"/>
            <w:shd w:val="clear" w:color="auto" w:fill="auto"/>
            <w:vAlign w:val="center"/>
          </w:tcPr>
          <w:p w14:paraId="34BC17C2"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Fatalities</w:t>
            </w:r>
          </w:p>
        </w:tc>
        <w:tc>
          <w:tcPr>
            <w:tcW w:w="3095" w:type="dxa"/>
            <w:shd w:val="clear" w:color="auto" w:fill="auto"/>
            <w:vAlign w:val="center"/>
          </w:tcPr>
          <w:p w14:paraId="2EE84D6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Fatality claims</w:t>
            </w:r>
          </w:p>
        </w:tc>
        <w:tc>
          <w:tcPr>
            <w:tcW w:w="1586" w:type="dxa"/>
            <w:gridSpan w:val="2"/>
            <w:shd w:val="clear" w:color="auto" w:fill="auto"/>
            <w:vAlign w:val="center"/>
          </w:tcPr>
          <w:p w14:paraId="20ED95A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2042" w:type="dxa"/>
            <w:gridSpan w:val="2"/>
            <w:shd w:val="clear" w:color="auto" w:fill="auto"/>
            <w:vAlign w:val="center"/>
          </w:tcPr>
          <w:p w14:paraId="5591D99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vAlign w:val="center"/>
          </w:tcPr>
          <w:p w14:paraId="5756489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3BF1978F" w14:textId="77777777" w:rsidTr="00D86C8A">
        <w:trPr>
          <w:trHeight w:val="312"/>
        </w:trPr>
        <w:tc>
          <w:tcPr>
            <w:tcW w:w="1215" w:type="dxa"/>
            <w:shd w:val="clear" w:color="auto" w:fill="auto"/>
            <w:vAlign w:val="center"/>
          </w:tcPr>
          <w:p w14:paraId="512EA26A"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Claims costs</w:t>
            </w:r>
            <w:r w:rsidRPr="00E273FC">
              <w:rPr>
                <w:rFonts w:ascii="Arial" w:hAnsi="Arial" w:cs="Arial"/>
                <w:sz w:val="24"/>
                <w:szCs w:val="24"/>
                <w:vertAlign w:val="superscript"/>
              </w:rPr>
              <w:t>6</w:t>
            </w:r>
          </w:p>
        </w:tc>
        <w:tc>
          <w:tcPr>
            <w:tcW w:w="3095" w:type="dxa"/>
            <w:shd w:val="clear" w:color="auto" w:fill="auto"/>
            <w:vAlign w:val="center"/>
          </w:tcPr>
          <w:p w14:paraId="05199BA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Average cost per standard claim</w:t>
            </w:r>
            <w:r w:rsidRPr="00E273FC">
              <w:rPr>
                <w:rFonts w:ascii="Arial" w:hAnsi="Arial" w:cs="Arial"/>
                <w:sz w:val="24"/>
                <w:szCs w:val="24"/>
                <w:vertAlign w:val="superscript"/>
              </w:rPr>
              <w:t xml:space="preserve"> 7</w:t>
            </w:r>
          </w:p>
        </w:tc>
        <w:tc>
          <w:tcPr>
            <w:tcW w:w="1586" w:type="dxa"/>
            <w:gridSpan w:val="2"/>
            <w:shd w:val="clear" w:color="auto" w:fill="auto"/>
            <w:vAlign w:val="center"/>
          </w:tcPr>
          <w:p w14:paraId="4275BCD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$9,309.64</w:t>
            </w:r>
          </w:p>
        </w:tc>
        <w:tc>
          <w:tcPr>
            <w:tcW w:w="2042" w:type="dxa"/>
            <w:gridSpan w:val="2"/>
            <w:shd w:val="clear" w:color="auto" w:fill="auto"/>
            <w:vAlign w:val="center"/>
          </w:tcPr>
          <w:p w14:paraId="39D9ABF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$11,087</w:t>
            </w:r>
          </w:p>
        </w:tc>
        <w:tc>
          <w:tcPr>
            <w:tcW w:w="1131" w:type="dxa"/>
            <w:shd w:val="clear" w:color="auto" w:fill="auto"/>
            <w:vAlign w:val="center"/>
          </w:tcPr>
          <w:p w14:paraId="6EA7F1B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$32,208</w:t>
            </w:r>
          </w:p>
        </w:tc>
      </w:tr>
      <w:tr w:rsidR="003E5BF5" w:rsidRPr="00E273FC" w14:paraId="11BAA598" w14:textId="77777777" w:rsidTr="00D86C8A">
        <w:trPr>
          <w:trHeight w:val="312"/>
        </w:trPr>
        <w:tc>
          <w:tcPr>
            <w:tcW w:w="1215" w:type="dxa"/>
            <w:shd w:val="clear" w:color="auto" w:fill="auto"/>
          </w:tcPr>
          <w:p w14:paraId="3E500FE8"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Claims (Roads)</w:t>
            </w:r>
          </w:p>
        </w:tc>
        <w:tc>
          <w:tcPr>
            <w:tcW w:w="3095" w:type="dxa"/>
            <w:shd w:val="clear" w:color="auto" w:fill="auto"/>
          </w:tcPr>
          <w:p w14:paraId="207F11A6"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Number of standard claims</w:t>
            </w:r>
            <w:r w:rsidRPr="00E273FC">
              <w:rPr>
                <w:rFonts w:ascii="Arial" w:hAnsi="Arial" w:cs="Arial"/>
                <w:sz w:val="24"/>
                <w:szCs w:val="24"/>
                <w:vertAlign w:val="superscript"/>
              </w:rPr>
              <w:t xml:space="preserve"> 3</w:t>
            </w:r>
          </w:p>
        </w:tc>
        <w:tc>
          <w:tcPr>
            <w:tcW w:w="1586" w:type="dxa"/>
            <w:gridSpan w:val="2"/>
            <w:shd w:val="clear" w:color="auto" w:fill="auto"/>
          </w:tcPr>
          <w:p w14:paraId="45D4C30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16</w:t>
            </w:r>
          </w:p>
        </w:tc>
        <w:tc>
          <w:tcPr>
            <w:tcW w:w="2042" w:type="dxa"/>
            <w:gridSpan w:val="2"/>
            <w:shd w:val="clear" w:color="auto" w:fill="auto"/>
          </w:tcPr>
          <w:p w14:paraId="0E4AC67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37</w:t>
            </w:r>
          </w:p>
        </w:tc>
        <w:tc>
          <w:tcPr>
            <w:tcW w:w="1131" w:type="dxa"/>
            <w:shd w:val="clear" w:color="auto" w:fill="auto"/>
          </w:tcPr>
          <w:p w14:paraId="65ABFA9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46</w:t>
            </w:r>
          </w:p>
        </w:tc>
      </w:tr>
      <w:tr w:rsidR="003E5BF5" w:rsidRPr="00E273FC" w14:paraId="33D12CAC" w14:textId="77777777" w:rsidTr="00D86C8A">
        <w:trPr>
          <w:trHeight w:val="312"/>
        </w:trPr>
        <w:tc>
          <w:tcPr>
            <w:tcW w:w="1215" w:type="dxa"/>
            <w:shd w:val="clear" w:color="auto" w:fill="auto"/>
            <w:vAlign w:val="center"/>
          </w:tcPr>
          <w:p w14:paraId="406F670D"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 </w:t>
            </w:r>
          </w:p>
        </w:tc>
        <w:tc>
          <w:tcPr>
            <w:tcW w:w="3095" w:type="dxa"/>
            <w:shd w:val="clear" w:color="auto" w:fill="auto"/>
            <w:vAlign w:val="center"/>
          </w:tcPr>
          <w:p w14:paraId="0CD1255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Rate per 100 FTE</w:t>
            </w:r>
          </w:p>
        </w:tc>
        <w:tc>
          <w:tcPr>
            <w:tcW w:w="1586" w:type="dxa"/>
            <w:gridSpan w:val="2"/>
            <w:shd w:val="clear" w:color="auto" w:fill="auto"/>
            <w:vAlign w:val="center"/>
          </w:tcPr>
          <w:p w14:paraId="4E92E069"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2.05</w:t>
            </w:r>
          </w:p>
        </w:tc>
        <w:tc>
          <w:tcPr>
            <w:tcW w:w="2042" w:type="dxa"/>
            <w:gridSpan w:val="2"/>
            <w:shd w:val="clear" w:color="auto" w:fill="auto"/>
            <w:vAlign w:val="center"/>
          </w:tcPr>
          <w:p w14:paraId="73B7F98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1.36</w:t>
            </w:r>
          </w:p>
        </w:tc>
        <w:tc>
          <w:tcPr>
            <w:tcW w:w="1131" w:type="dxa"/>
            <w:shd w:val="clear" w:color="auto" w:fill="auto"/>
            <w:vAlign w:val="center"/>
          </w:tcPr>
          <w:p w14:paraId="73EBB02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1.59</w:t>
            </w:r>
          </w:p>
        </w:tc>
      </w:tr>
      <w:tr w:rsidR="003E5BF5" w:rsidRPr="00E273FC" w14:paraId="316E56F8" w14:textId="77777777" w:rsidTr="00D86C8A">
        <w:trPr>
          <w:trHeight w:val="312"/>
        </w:trPr>
        <w:tc>
          <w:tcPr>
            <w:tcW w:w="1215" w:type="dxa"/>
            <w:shd w:val="clear" w:color="auto" w:fill="auto"/>
            <w:vAlign w:val="center"/>
          </w:tcPr>
          <w:p w14:paraId="7AAB82FF"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 </w:t>
            </w:r>
          </w:p>
        </w:tc>
        <w:tc>
          <w:tcPr>
            <w:tcW w:w="3095" w:type="dxa"/>
            <w:shd w:val="clear" w:color="auto" w:fill="auto"/>
            <w:vAlign w:val="center"/>
          </w:tcPr>
          <w:p w14:paraId="20CD598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Number of lost time claims</w:t>
            </w:r>
            <w:r w:rsidRPr="00E273FC">
              <w:rPr>
                <w:rFonts w:ascii="Arial" w:hAnsi="Arial" w:cs="Arial"/>
                <w:sz w:val="24"/>
                <w:szCs w:val="24"/>
                <w:vertAlign w:val="superscript"/>
              </w:rPr>
              <w:t xml:space="preserve"> 4</w:t>
            </w:r>
          </w:p>
        </w:tc>
        <w:tc>
          <w:tcPr>
            <w:tcW w:w="1586" w:type="dxa"/>
            <w:gridSpan w:val="2"/>
            <w:shd w:val="clear" w:color="auto" w:fill="auto"/>
            <w:vAlign w:val="center"/>
          </w:tcPr>
          <w:p w14:paraId="00F0C20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3</w:t>
            </w:r>
          </w:p>
        </w:tc>
        <w:tc>
          <w:tcPr>
            <w:tcW w:w="2042" w:type="dxa"/>
            <w:gridSpan w:val="2"/>
            <w:shd w:val="clear" w:color="auto" w:fill="auto"/>
            <w:vAlign w:val="center"/>
          </w:tcPr>
          <w:p w14:paraId="2F4F3CB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19</w:t>
            </w:r>
          </w:p>
        </w:tc>
        <w:tc>
          <w:tcPr>
            <w:tcW w:w="1131" w:type="dxa"/>
            <w:shd w:val="clear" w:color="auto" w:fill="auto"/>
            <w:vAlign w:val="center"/>
          </w:tcPr>
          <w:p w14:paraId="0DD7F8B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22</w:t>
            </w:r>
          </w:p>
        </w:tc>
      </w:tr>
      <w:tr w:rsidR="003E5BF5" w:rsidRPr="00E273FC" w14:paraId="72E0E6EB" w14:textId="77777777" w:rsidTr="00D86C8A">
        <w:trPr>
          <w:trHeight w:val="312"/>
        </w:trPr>
        <w:tc>
          <w:tcPr>
            <w:tcW w:w="1215" w:type="dxa"/>
            <w:shd w:val="clear" w:color="auto" w:fill="auto"/>
            <w:vAlign w:val="center"/>
          </w:tcPr>
          <w:p w14:paraId="710B444A"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 </w:t>
            </w:r>
          </w:p>
        </w:tc>
        <w:tc>
          <w:tcPr>
            <w:tcW w:w="3095" w:type="dxa"/>
            <w:shd w:val="clear" w:color="auto" w:fill="auto"/>
            <w:vAlign w:val="center"/>
          </w:tcPr>
          <w:p w14:paraId="5847CB6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Rate per 100 FTE</w:t>
            </w:r>
          </w:p>
        </w:tc>
        <w:tc>
          <w:tcPr>
            <w:tcW w:w="1586" w:type="dxa"/>
            <w:gridSpan w:val="2"/>
            <w:shd w:val="clear" w:color="auto" w:fill="auto"/>
            <w:vAlign w:val="center"/>
          </w:tcPr>
          <w:p w14:paraId="5553CC1E"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0.38</w:t>
            </w:r>
          </w:p>
        </w:tc>
        <w:tc>
          <w:tcPr>
            <w:tcW w:w="2042" w:type="dxa"/>
            <w:gridSpan w:val="2"/>
            <w:shd w:val="clear" w:color="auto" w:fill="auto"/>
            <w:vAlign w:val="center"/>
          </w:tcPr>
          <w:p w14:paraId="0ACA8B9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0.69</w:t>
            </w:r>
          </w:p>
        </w:tc>
        <w:tc>
          <w:tcPr>
            <w:tcW w:w="1131" w:type="dxa"/>
            <w:shd w:val="clear" w:color="auto" w:fill="auto"/>
            <w:vAlign w:val="center"/>
          </w:tcPr>
          <w:p w14:paraId="175A00E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0.76</w:t>
            </w:r>
          </w:p>
        </w:tc>
      </w:tr>
      <w:tr w:rsidR="003E5BF5" w:rsidRPr="00E273FC" w14:paraId="0FE146FF" w14:textId="77777777" w:rsidTr="00D86C8A">
        <w:trPr>
          <w:trHeight w:val="312"/>
        </w:trPr>
        <w:tc>
          <w:tcPr>
            <w:tcW w:w="1215" w:type="dxa"/>
            <w:shd w:val="clear" w:color="auto" w:fill="auto"/>
            <w:vAlign w:val="center"/>
          </w:tcPr>
          <w:p w14:paraId="3907B923"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 </w:t>
            </w:r>
          </w:p>
        </w:tc>
        <w:tc>
          <w:tcPr>
            <w:tcW w:w="3095" w:type="dxa"/>
            <w:shd w:val="clear" w:color="auto" w:fill="auto"/>
            <w:vAlign w:val="center"/>
          </w:tcPr>
          <w:p w14:paraId="78563F9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Number of claims exceeding 13 weeks</w:t>
            </w:r>
            <w:r w:rsidRPr="00E273FC">
              <w:rPr>
                <w:rFonts w:ascii="Arial" w:hAnsi="Arial" w:cs="Arial"/>
                <w:sz w:val="24"/>
                <w:szCs w:val="24"/>
                <w:vertAlign w:val="superscript"/>
              </w:rPr>
              <w:t xml:space="preserve"> 5</w:t>
            </w:r>
          </w:p>
        </w:tc>
        <w:tc>
          <w:tcPr>
            <w:tcW w:w="1586" w:type="dxa"/>
            <w:gridSpan w:val="2"/>
            <w:shd w:val="clear" w:color="auto" w:fill="auto"/>
            <w:vAlign w:val="center"/>
          </w:tcPr>
          <w:p w14:paraId="1FD36A5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w:t>
            </w:r>
          </w:p>
        </w:tc>
        <w:tc>
          <w:tcPr>
            <w:tcW w:w="2042" w:type="dxa"/>
            <w:gridSpan w:val="2"/>
            <w:shd w:val="clear" w:color="auto" w:fill="auto"/>
            <w:vAlign w:val="center"/>
          </w:tcPr>
          <w:p w14:paraId="0CA257B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w:t>
            </w:r>
          </w:p>
        </w:tc>
        <w:tc>
          <w:tcPr>
            <w:tcW w:w="1131" w:type="dxa"/>
            <w:shd w:val="clear" w:color="auto" w:fill="auto"/>
            <w:vAlign w:val="center"/>
          </w:tcPr>
          <w:p w14:paraId="4B0B69A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w:t>
            </w:r>
          </w:p>
        </w:tc>
      </w:tr>
      <w:tr w:rsidR="003E5BF5" w:rsidRPr="00E273FC" w14:paraId="36A838F0" w14:textId="77777777" w:rsidTr="00D86C8A">
        <w:trPr>
          <w:trHeight w:val="312"/>
        </w:trPr>
        <w:tc>
          <w:tcPr>
            <w:tcW w:w="1215" w:type="dxa"/>
            <w:shd w:val="clear" w:color="auto" w:fill="auto"/>
            <w:vAlign w:val="center"/>
          </w:tcPr>
          <w:p w14:paraId="506D6CDE"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 </w:t>
            </w:r>
          </w:p>
        </w:tc>
        <w:tc>
          <w:tcPr>
            <w:tcW w:w="3095" w:type="dxa"/>
            <w:shd w:val="clear" w:color="auto" w:fill="auto"/>
            <w:vAlign w:val="center"/>
          </w:tcPr>
          <w:p w14:paraId="10F65E6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Rate per 100 FTE</w:t>
            </w:r>
          </w:p>
        </w:tc>
        <w:tc>
          <w:tcPr>
            <w:tcW w:w="1586" w:type="dxa"/>
            <w:gridSpan w:val="2"/>
            <w:shd w:val="clear" w:color="auto" w:fill="auto"/>
            <w:vAlign w:val="center"/>
          </w:tcPr>
          <w:p w14:paraId="568FB85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0.12</w:t>
            </w:r>
          </w:p>
        </w:tc>
        <w:tc>
          <w:tcPr>
            <w:tcW w:w="2042" w:type="dxa"/>
            <w:gridSpan w:val="2"/>
            <w:shd w:val="clear" w:color="auto" w:fill="auto"/>
            <w:vAlign w:val="center"/>
          </w:tcPr>
          <w:p w14:paraId="62A0645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0.33</w:t>
            </w:r>
          </w:p>
        </w:tc>
        <w:tc>
          <w:tcPr>
            <w:tcW w:w="1131" w:type="dxa"/>
            <w:shd w:val="clear" w:color="auto" w:fill="auto"/>
            <w:vAlign w:val="center"/>
          </w:tcPr>
          <w:p w14:paraId="3E35F29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0.27</w:t>
            </w:r>
          </w:p>
        </w:tc>
      </w:tr>
      <w:tr w:rsidR="003E5BF5" w:rsidRPr="00E273FC" w14:paraId="388573A1" w14:textId="77777777" w:rsidTr="00D86C8A">
        <w:trPr>
          <w:trHeight w:val="312"/>
        </w:trPr>
        <w:tc>
          <w:tcPr>
            <w:tcW w:w="1215" w:type="dxa"/>
            <w:shd w:val="clear" w:color="auto" w:fill="auto"/>
            <w:vAlign w:val="center"/>
          </w:tcPr>
          <w:p w14:paraId="6E9D1DDC"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Fatalities</w:t>
            </w:r>
          </w:p>
        </w:tc>
        <w:tc>
          <w:tcPr>
            <w:tcW w:w="3095" w:type="dxa"/>
            <w:shd w:val="clear" w:color="auto" w:fill="auto"/>
            <w:vAlign w:val="center"/>
          </w:tcPr>
          <w:p w14:paraId="1C8F767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Fatality claims</w:t>
            </w:r>
          </w:p>
        </w:tc>
        <w:tc>
          <w:tcPr>
            <w:tcW w:w="1586" w:type="dxa"/>
            <w:gridSpan w:val="2"/>
            <w:shd w:val="clear" w:color="auto" w:fill="auto"/>
            <w:vAlign w:val="center"/>
          </w:tcPr>
          <w:p w14:paraId="46C14CB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2042" w:type="dxa"/>
            <w:gridSpan w:val="2"/>
            <w:shd w:val="clear" w:color="auto" w:fill="auto"/>
            <w:vAlign w:val="center"/>
          </w:tcPr>
          <w:p w14:paraId="00A9B26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vAlign w:val="center"/>
          </w:tcPr>
          <w:p w14:paraId="092DAE5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28129877" w14:textId="77777777" w:rsidTr="00D86C8A">
        <w:trPr>
          <w:trHeight w:val="312"/>
        </w:trPr>
        <w:tc>
          <w:tcPr>
            <w:tcW w:w="1215" w:type="dxa"/>
            <w:shd w:val="clear" w:color="auto" w:fill="auto"/>
            <w:vAlign w:val="center"/>
          </w:tcPr>
          <w:p w14:paraId="72B1C5C8"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Claims costs</w:t>
            </w:r>
            <w:r w:rsidRPr="00E273FC">
              <w:rPr>
                <w:rFonts w:ascii="Arial" w:hAnsi="Arial" w:cs="Arial"/>
                <w:sz w:val="24"/>
                <w:szCs w:val="24"/>
                <w:vertAlign w:val="superscript"/>
              </w:rPr>
              <w:t>6</w:t>
            </w:r>
          </w:p>
        </w:tc>
        <w:tc>
          <w:tcPr>
            <w:tcW w:w="3095" w:type="dxa"/>
            <w:shd w:val="clear" w:color="auto" w:fill="auto"/>
            <w:vAlign w:val="center"/>
          </w:tcPr>
          <w:p w14:paraId="28FD8D8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Average cost per standard claim</w:t>
            </w:r>
            <w:r w:rsidRPr="00E273FC">
              <w:rPr>
                <w:rFonts w:ascii="Arial" w:hAnsi="Arial" w:cs="Arial"/>
                <w:sz w:val="24"/>
                <w:szCs w:val="24"/>
                <w:vertAlign w:val="superscript"/>
              </w:rPr>
              <w:t xml:space="preserve"> 7</w:t>
            </w:r>
          </w:p>
        </w:tc>
        <w:tc>
          <w:tcPr>
            <w:tcW w:w="1586" w:type="dxa"/>
            <w:gridSpan w:val="2"/>
            <w:shd w:val="clear" w:color="auto" w:fill="auto"/>
            <w:vAlign w:val="center"/>
          </w:tcPr>
          <w:p w14:paraId="222B684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$3,616</w:t>
            </w:r>
          </w:p>
        </w:tc>
        <w:tc>
          <w:tcPr>
            <w:tcW w:w="2042" w:type="dxa"/>
            <w:gridSpan w:val="2"/>
            <w:shd w:val="clear" w:color="auto" w:fill="auto"/>
            <w:vAlign w:val="center"/>
          </w:tcPr>
          <w:p w14:paraId="764B7B3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$18,794</w:t>
            </w:r>
          </w:p>
        </w:tc>
        <w:tc>
          <w:tcPr>
            <w:tcW w:w="1131" w:type="dxa"/>
            <w:shd w:val="clear" w:color="auto" w:fill="auto"/>
            <w:vAlign w:val="center"/>
          </w:tcPr>
          <w:p w14:paraId="48C426D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$24,365</w:t>
            </w:r>
          </w:p>
        </w:tc>
      </w:tr>
      <w:tr w:rsidR="003E5BF5" w:rsidRPr="00E273FC" w14:paraId="74578378" w14:textId="77777777" w:rsidTr="00D86C8A">
        <w:trPr>
          <w:trHeight w:val="312"/>
        </w:trPr>
        <w:tc>
          <w:tcPr>
            <w:tcW w:w="1215" w:type="dxa"/>
            <w:shd w:val="clear" w:color="auto" w:fill="auto"/>
            <w:vAlign w:val="center"/>
          </w:tcPr>
          <w:p w14:paraId="6C6FD3F6"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Claims (PTV)</w:t>
            </w:r>
          </w:p>
        </w:tc>
        <w:tc>
          <w:tcPr>
            <w:tcW w:w="3095" w:type="dxa"/>
            <w:shd w:val="clear" w:color="auto" w:fill="auto"/>
            <w:vAlign w:val="center"/>
          </w:tcPr>
          <w:p w14:paraId="19237031"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Number of standard claims</w:t>
            </w:r>
            <w:r w:rsidRPr="00E273FC">
              <w:rPr>
                <w:rFonts w:ascii="Arial" w:hAnsi="Arial" w:cs="Arial"/>
                <w:sz w:val="24"/>
                <w:szCs w:val="24"/>
                <w:vertAlign w:val="superscript"/>
              </w:rPr>
              <w:t xml:space="preserve"> 3</w:t>
            </w:r>
          </w:p>
        </w:tc>
        <w:tc>
          <w:tcPr>
            <w:tcW w:w="1586" w:type="dxa"/>
            <w:gridSpan w:val="2"/>
            <w:shd w:val="clear" w:color="auto" w:fill="auto"/>
            <w:vAlign w:val="center"/>
          </w:tcPr>
          <w:p w14:paraId="7F93C9F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2042" w:type="dxa"/>
            <w:gridSpan w:val="2"/>
            <w:shd w:val="clear" w:color="auto" w:fill="auto"/>
            <w:vAlign w:val="center"/>
          </w:tcPr>
          <w:p w14:paraId="63B7CB1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w:t>
            </w:r>
          </w:p>
        </w:tc>
        <w:tc>
          <w:tcPr>
            <w:tcW w:w="1131" w:type="dxa"/>
            <w:shd w:val="clear" w:color="auto" w:fill="auto"/>
            <w:vAlign w:val="center"/>
          </w:tcPr>
          <w:p w14:paraId="1CF8155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w:t>
            </w:r>
          </w:p>
        </w:tc>
      </w:tr>
      <w:tr w:rsidR="003E5BF5" w:rsidRPr="00E273FC" w14:paraId="11C8ACBE" w14:textId="77777777" w:rsidTr="00D86C8A">
        <w:trPr>
          <w:trHeight w:val="312"/>
        </w:trPr>
        <w:tc>
          <w:tcPr>
            <w:tcW w:w="1215" w:type="dxa"/>
            <w:shd w:val="clear" w:color="auto" w:fill="auto"/>
            <w:vAlign w:val="center"/>
          </w:tcPr>
          <w:p w14:paraId="5C5B7CC4"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 </w:t>
            </w:r>
          </w:p>
        </w:tc>
        <w:tc>
          <w:tcPr>
            <w:tcW w:w="3095" w:type="dxa"/>
            <w:shd w:val="clear" w:color="auto" w:fill="auto"/>
            <w:vAlign w:val="center"/>
          </w:tcPr>
          <w:p w14:paraId="3CCE53E1"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Rate per 100 FTE</w:t>
            </w:r>
          </w:p>
        </w:tc>
        <w:tc>
          <w:tcPr>
            <w:tcW w:w="1586" w:type="dxa"/>
            <w:gridSpan w:val="2"/>
            <w:shd w:val="clear" w:color="auto" w:fill="auto"/>
          </w:tcPr>
          <w:p w14:paraId="5274AF1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2042" w:type="dxa"/>
            <w:gridSpan w:val="2"/>
            <w:shd w:val="clear" w:color="auto" w:fill="auto"/>
            <w:vAlign w:val="center"/>
          </w:tcPr>
          <w:p w14:paraId="616CC7D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1.10</w:t>
            </w:r>
          </w:p>
        </w:tc>
        <w:tc>
          <w:tcPr>
            <w:tcW w:w="1131" w:type="dxa"/>
            <w:shd w:val="clear" w:color="auto" w:fill="auto"/>
            <w:vAlign w:val="center"/>
          </w:tcPr>
          <w:p w14:paraId="253C34F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0.82</w:t>
            </w:r>
          </w:p>
        </w:tc>
      </w:tr>
      <w:tr w:rsidR="003E5BF5" w:rsidRPr="00E273FC" w14:paraId="4605E490" w14:textId="77777777" w:rsidTr="00D86C8A">
        <w:trPr>
          <w:trHeight w:val="312"/>
        </w:trPr>
        <w:tc>
          <w:tcPr>
            <w:tcW w:w="1215" w:type="dxa"/>
            <w:shd w:val="clear" w:color="auto" w:fill="auto"/>
            <w:vAlign w:val="center"/>
          </w:tcPr>
          <w:p w14:paraId="5A97B3AA"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 </w:t>
            </w:r>
          </w:p>
        </w:tc>
        <w:tc>
          <w:tcPr>
            <w:tcW w:w="3095" w:type="dxa"/>
            <w:shd w:val="clear" w:color="auto" w:fill="auto"/>
            <w:vAlign w:val="center"/>
          </w:tcPr>
          <w:p w14:paraId="08D454E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Number of lost time claims</w:t>
            </w:r>
            <w:r w:rsidRPr="00E273FC">
              <w:rPr>
                <w:rFonts w:ascii="Arial" w:hAnsi="Arial" w:cs="Arial"/>
                <w:sz w:val="24"/>
                <w:szCs w:val="24"/>
                <w:vertAlign w:val="superscript"/>
              </w:rPr>
              <w:t xml:space="preserve"> 4</w:t>
            </w:r>
          </w:p>
        </w:tc>
        <w:tc>
          <w:tcPr>
            <w:tcW w:w="1586" w:type="dxa"/>
            <w:gridSpan w:val="2"/>
            <w:shd w:val="clear" w:color="auto" w:fill="auto"/>
          </w:tcPr>
          <w:p w14:paraId="54C9FB1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2042" w:type="dxa"/>
            <w:gridSpan w:val="2"/>
            <w:shd w:val="clear" w:color="auto" w:fill="auto"/>
            <w:vAlign w:val="center"/>
          </w:tcPr>
          <w:p w14:paraId="63B2344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vAlign w:val="center"/>
          </w:tcPr>
          <w:p w14:paraId="468DB92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w:t>
            </w:r>
          </w:p>
        </w:tc>
      </w:tr>
      <w:tr w:rsidR="003E5BF5" w:rsidRPr="00E273FC" w14:paraId="17A19267" w14:textId="77777777" w:rsidTr="00D86C8A">
        <w:trPr>
          <w:trHeight w:val="312"/>
        </w:trPr>
        <w:tc>
          <w:tcPr>
            <w:tcW w:w="1215" w:type="dxa"/>
            <w:shd w:val="clear" w:color="auto" w:fill="auto"/>
            <w:vAlign w:val="center"/>
          </w:tcPr>
          <w:p w14:paraId="6B1E53C2"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lastRenderedPageBreak/>
              <w:t xml:space="preserve"> </w:t>
            </w:r>
          </w:p>
        </w:tc>
        <w:tc>
          <w:tcPr>
            <w:tcW w:w="3095" w:type="dxa"/>
            <w:shd w:val="clear" w:color="auto" w:fill="auto"/>
            <w:vAlign w:val="center"/>
          </w:tcPr>
          <w:p w14:paraId="0580257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Rate per 100 FTE</w:t>
            </w:r>
          </w:p>
        </w:tc>
        <w:tc>
          <w:tcPr>
            <w:tcW w:w="1586" w:type="dxa"/>
            <w:gridSpan w:val="2"/>
            <w:shd w:val="clear" w:color="auto" w:fill="auto"/>
          </w:tcPr>
          <w:p w14:paraId="20297CE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2042" w:type="dxa"/>
            <w:gridSpan w:val="2"/>
            <w:shd w:val="clear" w:color="auto" w:fill="auto"/>
            <w:vAlign w:val="center"/>
          </w:tcPr>
          <w:p w14:paraId="72A87DE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vAlign w:val="center"/>
          </w:tcPr>
          <w:p w14:paraId="44F21F2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0.61</w:t>
            </w:r>
          </w:p>
        </w:tc>
      </w:tr>
      <w:tr w:rsidR="003E5BF5" w:rsidRPr="00E273FC" w14:paraId="3D13CA2D" w14:textId="77777777" w:rsidTr="00D86C8A">
        <w:trPr>
          <w:trHeight w:val="312"/>
        </w:trPr>
        <w:tc>
          <w:tcPr>
            <w:tcW w:w="1215" w:type="dxa"/>
            <w:shd w:val="clear" w:color="auto" w:fill="auto"/>
            <w:vAlign w:val="center"/>
          </w:tcPr>
          <w:p w14:paraId="2C7A4998"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 </w:t>
            </w:r>
          </w:p>
        </w:tc>
        <w:tc>
          <w:tcPr>
            <w:tcW w:w="3095" w:type="dxa"/>
            <w:shd w:val="clear" w:color="auto" w:fill="auto"/>
            <w:vAlign w:val="center"/>
          </w:tcPr>
          <w:p w14:paraId="6A660D5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Number of claims exceeding 13 weeks</w:t>
            </w:r>
            <w:r w:rsidRPr="00E273FC">
              <w:rPr>
                <w:rFonts w:ascii="Arial" w:hAnsi="Arial" w:cs="Arial"/>
                <w:sz w:val="24"/>
                <w:szCs w:val="24"/>
                <w:vertAlign w:val="superscript"/>
              </w:rPr>
              <w:t xml:space="preserve"> 5</w:t>
            </w:r>
          </w:p>
        </w:tc>
        <w:tc>
          <w:tcPr>
            <w:tcW w:w="1586" w:type="dxa"/>
            <w:gridSpan w:val="2"/>
            <w:shd w:val="clear" w:color="auto" w:fill="auto"/>
          </w:tcPr>
          <w:p w14:paraId="681A49C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2042" w:type="dxa"/>
            <w:gridSpan w:val="2"/>
            <w:shd w:val="clear" w:color="auto" w:fill="auto"/>
            <w:vAlign w:val="center"/>
          </w:tcPr>
          <w:p w14:paraId="538E01B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vAlign w:val="center"/>
          </w:tcPr>
          <w:p w14:paraId="09E54EF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w:t>
            </w:r>
          </w:p>
        </w:tc>
      </w:tr>
      <w:tr w:rsidR="003E5BF5" w:rsidRPr="00E273FC" w14:paraId="406067F6" w14:textId="77777777" w:rsidTr="00D86C8A">
        <w:trPr>
          <w:trHeight w:val="312"/>
        </w:trPr>
        <w:tc>
          <w:tcPr>
            <w:tcW w:w="1215" w:type="dxa"/>
            <w:shd w:val="clear" w:color="auto" w:fill="auto"/>
            <w:vAlign w:val="center"/>
          </w:tcPr>
          <w:p w14:paraId="3B3FF5C4"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 </w:t>
            </w:r>
          </w:p>
        </w:tc>
        <w:tc>
          <w:tcPr>
            <w:tcW w:w="3095" w:type="dxa"/>
            <w:shd w:val="clear" w:color="auto" w:fill="auto"/>
            <w:vAlign w:val="center"/>
          </w:tcPr>
          <w:p w14:paraId="1FC43CB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Rate per 100 FTE</w:t>
            </w:r>
          </w:p>
        </w:tc>
        <w:tc>
          <w:tcPr>
            <w:tcW w:w="1586" w:type="dxa"/>
            <w:gridSpan w:val="2"/>
            <w:shd w:val="clear" w:color="auto" w:fill="auto"/>
          </w:tcPr>
          <w:p w14:paraId="465B050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2042" w:type="dxa"/>
            <w:gridSpan w:val="2"/>
            <w:shd w:val="clear" w:color="auto" w:fill="auto"/>
            <w:vAlign w:val="center"/>
          </w:tcPr>
          <w:p w14:paraId="2CDC229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vAlign w:val="center"/>
          </w:tcPr>
          <w:p w14:paraId="14273D1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0.41</w:t>
            </w:r>
          </w:p>
        </w:tc>
      </w:tr>
      <w:tr w:rsidR="003E5BF5" w:rsidRPr="00E273FC" w14:paraId="7DF80E91" w14:textId="77777777" w:rsidTr="00D86C8A">
        <w:trPr>
          <w:trHeight w:val="312"/>
        </w:trPr>
        <w:tc>
          <w:tcPr>
            <w:tcW w:w="1215" w:type="dxa"/>
            <w:shd w:val="clear" w:color="auto" w:fill="auto"/>
            <w:vAlign w:val="center"/>
          </w:tcPr>
          <w:p w14:paraId="4D812DD2"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Fatalities</w:t>
            </w:r>
          </w:p>
        </w:tc>
        <w:tc>
          <w:tcPr>
            <w:tcW w:w="3095" w:type="dxa"/>
            <w:shd w:val="clear" w:color="auto" w:fill="auto"/>
            <w:vAlign w:val="center"/>
          </w:tcPr>
          <w:p w14:paraId="6FC7A8E1"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Fatality claims</w:t>
            </w:r>
          </w:p>
        </w:tc>
        <w:tc>
          <w:tcPr>
            <w:tcW w:w="1586" w:type="dxa"/>
            <w:gridSpan w:val="2"/>
            <w:shd w:val="clear" w:color="auto" w:fill="auto"/>
          </w:tcPr>
          <w:p w14:paraId="59A6A68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2042" w:type="dxa"/>
            <w:gridSpan w:val="2"/>
            <w:shd w:val="clear" w:color="auto" w:fill="auto"/>
            <w:vAlign w:val="center"/>
          </w:tcPr>
          <w:p w14:paraId="694FDE1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vAlign w:val="center"/>
          </w:tcPr>
          <w:p w14:paraId="3806F52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w:t>
            </w:r>
          </w:p>
        </w:tc>
      </w:tr>
      <w:tr w:rsidR="003E5BF5" w:rsidRPr="00E273FC" w14:paraId="578C6030" w14:textId="77777777" w:rsidTr="00D86C8A">
        <w:trPr>
          <w:trHeight w:val="312"/>
        </w:trPr>
        <w:tc>
          <w:tcPr>
            <w:tcW w:w="1215" w:type="dxa"/>
            <w:shd w:val="clear" w:color="auto" w:fill="auto"/>
            <w:vAlign w:val="center"/>
          </w:tcPr>
          <w:p w14:paraId="3053C75D"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Claims costs</w:t>
            </w:r>
            <w:r w:rsidRPr="00E273FC">
              <w:rPr>
                <w:rFonts w:ascii="Arial" w:hAnsi="Arial" w:cs="Arial"/>
                <w:sz w:val="24"/>
                <w:szCs w:val="24"/>
                <w:vertAlign w:val="superscript"/>
              </w:rPr>
              <w:t>6</w:t>
            </w:r>
          </w:p>
        </w:tc>
        <w:tc>
          <w:tcPr>
            <w:tcW w:w="3095" w:type="dxa"/>
            <w:shd w:val="clear" w:color="auto" w:fill="auto"/>
            <w:vAlign w:val="center"/>
          </w:tcPr>
          <w:p w14:paraId="191409D6"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Average cost per standard claim</w:t>
            </w:r>
            <w:r w:rsidRPr="00E273FC">
              <w:rPr>
                <w:rFonts w:ascii="Arial" w:hAnsi="Arial" w:cs="Arial"/>
                <w:sz w:val="24"/>
                <w:szCs w:val="24"/>
                <w:vertAlign w:val="superscript"/>
              </w:rPr>
              <w:t xml:space="preserve"> 7</w:t>
            </w:r>
          </w:p>
        </w:tc>
        <w:tc>
          <w:tcPr>
            <w:tcW w:w="1586" w:type="dxa"/>
            <w:gridSpan w:val="2"/>
            <w:shd w:val="clear" w:color="auto" w:fill="auto"/>
            <w:vAlign w:val="center"/>
          </w:tcPr>
          <w:p w14:paraId="30CA226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2042" w:type="dxa"/>
            <w:gridSpan w:val="2"/>
            <w:shd w:val="clear" w:color="auto" w:fill="auto"/>
            <w:vAlign w:val="center"/>
          </w:tcPr>
          <w:p w14:paraId="55974E3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$1,381</w:t>
            </w:r>
          </w:p>
        </w:tc>
        <w:tc>
          <w:tcPr>
            <w:tcW w:w="1131" w:type="dxa"/>
            <w:shd w:val="clear" w:color="auto" w:fill="auto"/>
            <w:vAlign w:val="center"/>
          </w:tcPr>
          <w:p w14:paraId="28A1858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$60,908</w:t>
            </w:r>
          </w:p>
        </w:tc>
      </w:tr>
    </w:tbl>
    <w:p w14:paraId="3F52EA9A" w14:textId="77777777" w:rsidR="003E5BF5" w:rsidRDefault="003E5BF5" w:rsidP="00CF74EB">
      <w:pPr>
        <w:pStyle w:val="TableHeader"/>
        <w:sectPr w:rsidR="003E5BF5" w:rsidSect="00DE1921">
          <w:pgSz w:w="11906" w:h="16838"/>
          <w:pgMar w:top="1701" w:right="1418" w:bottom="1418" w:left="1418" w:header="709" w:footer="709" w:gutter="0"/>
          <w:cols w:space="284"/>
          <w:docGrid w:linePitch="360"/>
        </w:sectPr>
      </w:pPr>
    </w:p>
    <w:p w14:paraId="6AFEF5A0" w14:textId="77777777" w:rsidR="003E5BF5" w:rsidRPr="00E273FC" w:rsidRDefault="003E5BF5" w:rsidP="00CF74EB">
      <w:pPr>
        <w:pStyle w:val="TableHeader"/>
        <w:rPr>
          <w:i/>
        </w:rPr>
      </w:pPr>
      <w:r w:rsidRPr="00E273FC">
        <w:lastRenderedPageBreak/>
        <w:t xml:space="preserve">Performance against OH&amp;S management measures </w:t>
      </w:r>
      <w:r w:rsidRPr="00E273FC">
        <w:rPr>
          <w:i/>
        </w:rPr>
        <w:t>continued</w:t>
      </w:r>
    </w:p>
    <w:tbl>
      <w:tblPr>
        <w:tblStyle w:val="TableGrid"/>
        <w:tblW w:w="0" w:type="auto"/>
        <w:tblCellMar>
          <w:left w:w="28" w:type="dxa"/>
          <w:right w:w="28" w:type="dxa"/>
        </w:tblCellMar>
        <w:tblLook w:val="04A0" w:firstRow="1" w:lastRow="0" w:firstColumn="1" w:lastColumn="0" w:noHBand="0" w:noVBand="1"/>
      </w:tblPr>
      <w:tblGrid>
        <w:gridCol w:w="1537"/>
        <w:gridCol w:w="2938"/>
        <w:gridCol w:w="1556"/>
        <w:gridCol w:w="1902"/>
        <w:gridCol w:w="1083"/>
      </w:tblGrid>
      <w:tr w:rsidR="003E5BF5" w:rsidRPr="00E273FC" w14:paraId="5DD822B4" w14:textId="77777777" w:rsidTr="00133415">
        <w:trPr>
          <w:trHeight w:val="312"/>
        </w:trPr>
        <w:tc>
          <w:tcPr>
            <w:tcW w:w="1274" w:type="dxa"/>
            <w:shd w:val="clear" w:color="auto" w:fill="auto"/>
            <w:vAlign w:val="center"/>
          </w:tcPr>
          <w:p w14:paraId="5221F99A"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Measure</w:t>
            </w:r>
          </w:p>
        </w:tc>
        <w:tc>
          <w:tcPr>
            <w:tcW w:w="3052" w:type="dxa"/>
            <w:shd w:val="clear" w:color="auto" w:fill="auto"/>
            <w:vAlign w:val="center"/>
          </w:tcPr>
          <w:p w14:paraId="7C717A2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Key performance indicators</w:t>
            </w:r>
          </w:p>
        </w:tc>
        <w:tc>
          <w:tcPr>
            <w:tcW w:w="1567" w:type="dxa"/>
            <w:shd w:val="clear" w:color="auto" w:fill="auto"/>
            <w:vAlign w:val="center"/>
          </w:tcPr>
          <w:p w14:paraId="28686258"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2019-20</w:t>
            </w:r>
          </w:p>
        </w:tc>
        <w:tc>
          <w:tcPr>
            <w:tcW w:w="2045" w:type="dxa"/>
            <w:shd w:val="clear" w:color="auto" w:fill="auto"/>
            <w:vAlign w:val="center"/>
          </w:tcPr>
          <w:p w14:paraId="47918FB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2018-19</w:t>
            </w:r>
          </w:p>
        </w:tc>
        <w:tc>
          <w:tcPr>
            <w:tcW w:w="1131" w:type="dxa"/>
            <w:shd w:val="clear" w:color="auto" w:fill="auto"/>
            <w:vAlign w:val="center"/>
          </w:tcPr>
          <w:p w14:paraId="3643B08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2017-18</w:t>
            </w:r>
          </w:p>
        </w:tc>
      </w:tr>
      <w:tr w:rsidR="003E5BF5" w:rsidRPr="00E273FC" w14:paraId="57B7C6F5" w14:textId="77777777" w:rsidTr="00133415">
        <w:trPr>
          <w:trHeight w:val="312"/>
        </w:trPr>
        <w:tc>
          <w:tcPr>
            <w:tcW w:w="1274" w:type="dxa"/>
            <w:shd w:val="clear" w:color="auto" w:fill="auto"/>
          </w:tcPr>
          <w:p w14:paraId="47B8304D"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Management commitment</w:t>
            </w:r>
          </w:p>
        </w:tc>
        <w:tc>
          <w:tcPr>
            <w:tcW w:w="3052" w:type="dxa"/>
            <w:shd w:val="clear" w:color="auto" w:fill="auto"/>
          </w:tcPr>
          <w:p w14:paraId="0021DCC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Evidence of occupational health and safety (OH&amp;S) policy statement, OH&amp;S objectives, regular reporting to senior management of OH&amp;S, and OH&amp;S plans (signed by the CEO or equivalent)</w:t>
            </w:r>
          </w:p>
        </w:tc>
        <w:tc>
          <w:tcPr>
            <w:tcW w:w="1567" w:type="dxa"/>
            <w:shd w:val="clear" w:color="auto" w:fill="auto"/>
          </w:tcPr>
          <w:p w14:paraId="2E2094B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Partially achieved</w:t>
            </w:r>
          </w:p>
        </w:tc>
        <w:tc>
          <w:tcPr>
            <w:tcW w:w="2045" w:type="dxa"/>
            <w:shd w:val="clear" w:color="auto" w:fill="auto"/>
          </w:tcPr>
          <w:p w14:paraId="32F60E1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c>
          <w:tcPr>
            <w:tcW w:w="1131" w:type="dxa"/>
            <w:shd w:val="clear" w:color="auto" w:fill="auto"/>
          </w:tcPr>
          <w:p w14:paraId="2486856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r>
      <w:tr w:rsidR="003E5BF5" w:rsidRPr="00E273FC" w14:paraId="25E50520" w14:textId="77777777" w:rsidTr="00133415">
        <w:trPr>
          <w:trHeight w:val="312"/>
        </w:trPr>
        <w:tc>
          <w:tcPr>
            <w:tcW w:w="1274" w:type="dxa"/>
            <w:shd w:val="clear" w:color="auto" w:fill="auto"/>
          </w:tcPr>
          <w:p w14:paraId="40589459" w14:textId="77777777" w:rsidR="003E5BF5" w:rsidRPr="00E273FC" w:rsidRDefault="003E5BF5" w:rsidP="00DE1921">
            <w:pPr>
              <w:pStyle w:val="TableTextLeftBold"/>
              <w:rPr>
                <w:rFonts w:ascii="Arial" w:hAnsi="Arial" w:cs="Arial"/>
                <w:sz w:val="24"/>
                <w:szCs w:val="24"/>
              </w:rPr>
            </w:pPr>
          </w:p>
        </w:tc>
        <w:tc>
          <w:tcPr>
            <w:tcW w:w="3052" w:type="dxa"/>
            <w:shd w:val="clear" w:color="auto" w:fill="auto"/>
          </w:tcPr>
          <w:p w14:paraId="213FF10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Evidence of OH&amp;S criteria in purchasing guidelines (including goods, services and personnel)</w:t>
            </w:r>
          </w:p>
        </w:tc>
        <w:tc>
          <w:tcPr>
            <w:tcW w:w="1567" w:type="dxa"/>
            <w:shd w:val="clear" w:color="auto" w:fill="auto"/>
          </w:tcPr>
          <w:p w14:paraId="2D0E531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Not yet commenced</w:t>
            </w:r>
          </w:p>
        </w:tc>
        <w:tc>
          <w:tcPr>
            <w:tcW w:w="2045" w:type="dxa"/>
            <w:shd w:val="clear" w:color="auto" w:fill="auto"/>
          </w:tcPr>
          <w:p w14:paraId="1996600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c>
          <w:tcPr>
            <w:tcW w:w="1131" w:type="dxa"/>
            <w:shd w:val="clear" w:color="auto" w:fill="auto"/>
          </w:tcPr>
          <w:p w14:paraId="38EE37F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r>
      <w:tr w:rsidR="003E5BF5" w:rsidRPr="00E273FC" w14:paraId="34579AA0" w14:textId="77777777" w:rsidTr="00133415">
        <w:trPr>
          <w:trHeight w:val="312"/>
        </w:trPr>
        <w:tc>
          <w:tcPr>
            <w:tcW w:w="1274" w:type="dxa"/>
            <w:shd w:val="clear" w:color="auto" w:fill="auto"/>
          </w:tcPr>
          <w:p w14:paraId="5E0257AB"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Consultation and participation</w:t>
            </w:r>
          </w:p>
        </w:tc>
        <w:tc>
          <w:tcPr>
            <w:tcW w:w="3052" w:type="dxa"/>
            <w:shd w:val="clear" w:color="auto" w:fill="auto"/>
          </w:tcPr>
          <w:p w14:paraId="1AEA1A0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Evidence of agreed structure of Designated Working Groups (DWGs), Health and Safety Representatives (HSRs) and Issue Resolution Procedures (IRPs)</w:t>
            </w:r>
          </w:p>
        </w:tc>
        <w:tc>
          <w:tcPr>
            <w:tcW w:w="1567" w:type="dxa"/>
            <w:shd w:val="clear" w:color="auto" w:fill="auto"/>
          </w:tcPr>
          <w:p w14:paraId="21F66A3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Partially achieved</w:t>
            </w:r>
          </w:p>
        </w:tc>
        <w:tc>
          <w:tcPr>
            <w:tcW w:w="2045" w:type="dxa"/>
            <w:shd w:val="clear" w:color="auto" w:fill="auto"/>
          </w:tcPr>
          <w:p w14:paraId="0556C09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c>
          <w:tcPr>
            <w:tcW w:w="1131" w:type="dxa"/>
            <w:shd w:val="clear" w:color="auto" w:fill="auto"/>
          </w:tcPr>
          <w:p w14:paraId="6C27223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n/a</w:t>
            </w:r>
          </w:p>
        </w:tc>
      </w:tr>
      <w:tr w:rsidR="003E5BF5" w:rsidRPr="00E273FC" w14:paraId="16A54D23" w14:textId="77777777" w:rsidTr="00133415">
        <w:trPr>
          <w:trHeight w:val="312"/>
        </w:trPr>
        <w:tc>
          <w:tcPr>
            <w:tcW w:w="1274" w:type="dxa"/>
            <w:shd w:val="clear" w:color="auto" w:fill="auto"/>
          </w:tcPr>
          <w:p w14:paraId="1FD3CA76" w14:textId="77777777" w:rsidR="003E5BF5" w:rsidRPr="00E273FC" w:rsidRDefault="003E5BF5" w:rsidP="00DE1921">
            <w:pPr>
              <w:pStyle w:val="TableTextLeftBold"/>
              <w:rPr>
                <w:rFonts w:ascii="Arial" w:hAnsi="Arial" w:cs="Arial"/>
                <w:sz w:val="24"/>
                <w:szCs w:val="24"/>
              </w:rPr>
            </w:pPr>
          </w:p>
        </w:tc>
        <w:tc>
          <w:tcPr>
            <w:tcW w:w="3052" w:type="dxa"/>
            <w:shd w:val="clear" w:color="auto" w:fill="auto"/>
          </w:tcPr>
          <w:p w14:paraId="1B0ADEA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Compliance with agreed structure, DWGs, HSRs and IRPs</w:t>
            </w:r>
          </w:p>
        </w:tc>
        <w:tc>
          <w:tcPr>
            <w:tcW w:w="1567" w:type="dxa"/>
            <w:shd w:val="clear" w:color="auto" w:fill="auto"/>
          </w:tcPr>
          <w:p w14:paraId="0B0C284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Partially achieved</w:t>
            </w:r>
          </w:p>
        </w:tc>
        <w:tc>
          <w:tcPr>
            <w:tcW w:w="2045" w:type="dxa"/>
            <w:shd w:val="clear" w:color="auto" w:fill="auto"/>
          </w:tcPr>
          <w:p w14:paraId="6C70DD9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tcPr>
          <w:p w14:paraId="40F1C87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6329243D" w14:textId="77777777" w:rsidTr="00133415">
        <w:trPr>
          <w:trHeight w:val="312"/>
        </w:trPr>
        <w:tc>
          <w:tcPr>
            <w:tcW w:w="1274" w:type="dxa"/>
            <w:shd w:val="clear" w:color="auto" w:fill="auto"/>
          </w:tcPr>
          <w:p w14:paraId="5E8CF681"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Risk management</w:t>
            </w:r>
          </w:p>
        </w:tc>
        <w:tc>
          <w:tcPr>
            <w:tcW w:w="3052" w:type="dxa"/>
            <w:shd w:val="clear" w:color="auto" w:fill="auto"/>
          </w:tcPr>
          <w:p w14:paraId="60D994F1"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Percentage of internal audits/inspections conducted as planned</w:t>
            </w:r>
          </w:p>
        </w:tc>
        <w:tc>
          <w:tcPr>
            <w:tcW w:w="1567" w:type="dxa"/>
            <w:shd w:val="clear" w:color="auto" w:fill="auto"/>
          </w:tcPr>
          <w:p w14:paraId="1633D8D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20%</w:t>
            </w:r>
          </w:p>
        </w:tc>
        <w:tc>
          <w:tcPr>
            <w:tcW w:w="2045" w:type="dxa"/>
            <w:shd w:val="clear" w:color="auto" w:fill="auto"/>
          </w:tcPr>
          <w:p w14:paraId="5E126A2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tcPr>
          <w:p w14:paraId="0380116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7FEEB643" w14:textId="77777777" w:rsidTr="00133415">
        <w:trPr>
          <w:trHeight w:val="312"/>
        </w:trPr>
        <w:tc>
          <w:tcPr>
            <w:tcW w:w="1274" w:type="dxa"/>
            <w:shd w:val="clear" w:color="auto" w:fill="auto"/>
          </w:tcPr>
          <w:p w14:paraId="3C60275B" w14:textId="77777777" w:rsidR="003E5BF5" w:rsidRPr="00E273FC" w:rsidRDefault="003E5BF5" w:rsidP="00DE1921">
            <w:pPr>
              <w:pStyle w:val="TableTextLeftBold"/>
              <w:rPr>
                <w:rFonts w:ascii="Arial" w:hAnsi="Arial" w:cs="Arial"/>
                <w:sz w:val="24"/>
                <w:szCs w:val="24"/>
              </w:rPr>
            </w:pPr>
          </w:p>
        </w:tc>
        <w:tc>
          <w:tcPr>
            <w:tcW w:w="3052" w:type="dxa"/>
            <w:shd w:val="clear" w:color="auto" w:fill="auto"/>
          </w:tcPr>
          <w:p w14:paraId="4FD296D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Percentage of issues identified actioned arising from:</w:t>
            </w:r>
          </w:p>
          <w:p w14:paraId="5CF091B6"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internal audits</w:t>
            </w:r>
          </w:p>
        </w:tc>
        <w:tc>
          <w:tcPr>
            <w:tcW w:w="1567" w:type="dxa"/>
            <w:shd w:val="clear" w:color="auto" w:fill="auto"/>
          </w:tcPr>
          <w:p w14:paraId="1412DF64"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50%</w:t>
            </w:r>
          </w:p>
        </w:tc>
        <w:tc>
          <w:tcPr>
            <w:tcW w:w="2045" w:type="dxa"/>
            <w:shd w:val="clear" w:color="auto" w:fill="auto"/>
          </w:tcPr>
          <w:p w14:paraId="3310C4D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tcPr>
          <w:p w14:paraId="255D1B5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341C34A0" w14:textId="77777777" w:rsidTr="00133415">
        <w:trPr>
          <w:trHeight w:val="312"/>
        </w:trPr>
        <w:tc>
          <w:tcPr>
            <w:tcW w:w="1274" w:type="dxa"/>
            <w:shd w:val="clear" w:color="auto" w:fill="auto"/>
          </w:tcPr>
          <w:p w14:paraId="03D32A7F" w14:textId="77777777" w:rsidR="003E5BF5" w:rsidRPr="00E273FC" w:rsidRDefault="003E5BF5" w:rsidP="00DE1921">
            <w:pPr>
              <w:pStyle w:val="TableTextLeftBold"/>
              <w:rPr>
                <w:rFonts w:ascii="Arial" w:hAnsi="Arial" w:cs="Arial"/>
                <w:sz w:val="24"/>
                <w:szCs w:val="24"/>
              </w:rPr>
            </w:pPr>
          </w:p>
        </w:tc>
        <w:tc>
          <w:tcPr>
            <w:tcW w:w="3052" w:type="dxa"/>
            <w:shd w:val="clear" w:color="auto" w:fill="auto"/>
            <w:vAlign w:val="center"/>
          </w:tcPr>
          <w:p w14:paraId="5711EAE1"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WorkSafe notices</w:t>
            </w:r>
          </w:p>
        </w:tc>
        <w:tc>
          <w:tcPr>
            <w:tcW w:w="1567" w:type="dxa"/>
            <w:shd w:val="clear" w:color="auto" w:fill="auto"/>
            <w:vAlign w:val="center"/>
          </w:tcPr>
          <w:p w14:paraId="656CA209"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100%</w:t>
            </w:r>
          </w:p>
        </w:tc>
        <w:tc>
          <w:tcPr>
            <w:tcW w:w="2045" w:type="dxa"/>
            <w:shd w:val="clear" w:color="auto" w:fill="auto"/>
            <w:vAlign w:val="center"/>
          </w:tcPr>
          <w:p w14:paraId="13912D7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vAlign w:val="center"/>
          </w:tcPr>
          <w:p w14:paraId="438A84F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0B603F7B" w14:textId="77777777" w:rsidTr="00133415">
        <w:trPr>
          <w:trHeight w:val="312"/>
        </w:trPr>
        <w:tc>
          <w:tcPr>
            <w:tcW w:w="1274" w:type="dxa"/>
            <w:shd w:val="clear" w:color="auto" w:fill="auto"/>
          </w:tcPr>
          <w:p w14:paraId="391BB4BE"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Training </w:t>
            </w:r>
          </w:p>
        </w:tc>
        <w:tc>
          <w:tcPr>
            <w:tcW w:w="3052" w:type="dxa"/>
            <w:shd w:val="clear" w:color="auto" w:fill="auto"/>
          </w:tcPr>
          <w:p w14:paraId="76F1B5F6"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Percentage of managers and staff who have received OH&amp;S training:</w:t>
            </w:r>
          </w:p>
        </w:tc>
        <w:tc>
          <w:tcPr>
            <w:tcW w:w="1567" w:type="dxa"/>
            <w:shd w:val="clear" w:color="auto" w:fill="auto"/>
          </w:tcPr>
          <w:p w14:paraId="31DE8F8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25%</w:t>
            </w:r>
          </w:p>
        </w:tc>
        <w:tc>
          <w:tcPr>
            <w:tcW w:w="2045" w:type="dxa"/>
            <w:shd w:val="clear" w:color="auto" w:fill="auto"/>
          </w:tcPr>
          <w:p w14:paraId="423452D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tcPr>
          <w:p w14:paraId="6C5B733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474B0060" w14:textId="77777777" w:rsidTr="00133415">
        <w:trPr>
          <w:trHeight w:val="312"/>
        </w:trPr>
        <w:tc>
          <w:tcPr>
            <w:tcW w:w="1274" w:type="dxa"/>
            <w:shd w:val="clear" w:color="auto" w:fill="auto"/>
          </w:tcPr>
          <w:p w14:paraId="06700936" w14:textId="77777777" w:rsidR="003E5BF5" w:rsidRPr="00E273FC" w:rsidRDefault="003E5BF5" w:rsidP="00DE1921">
            <w:pPr>
              <w:pStyle w:val="TableTextLeftBold"/>
              <w:rPr>
                <w:rFonts w:ascii="Arial" w:hAnsi="Arial" w:cs="Arial"/>
                <w:sz w:val="24"/>
                <w:szCs w:val="24"/>
              </w:rPr>
            </w:pPr>
          </w:p>
        </w:tc>
        <w:tc>
          <w:tcPr>
            <w:tcW w:w="3052" w:type="dxa"/>
            <w:shd w:val="clear" w:color="auto" w:fill="auto"/>
            <w:vAlign w:val="center"/>
          </w:tcPr>
          <w:p w14:paraId="131E0096"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induction</w:t>
            </w:r>
          </w:p>
        </w:tc>
        <w:tc>
          <w:tcPr>
            <w:tcW w:w="1567" w:type="dxa"/>
            <w:shd w:val="clear" w:color="auto" w:fill="auto"/>
            <w:vAlign w:val="center"/>
          </w:tcPr>
          <w:p w14:paraId="0109352A" w14:textId="77777777" w:rsidR="003E5BF5" w:rsidRPr="00E273FC" w:rsidRDefault="003E5BF5" w:rsidP="00DE1921">
            <w:pPr>
              <w:pStyle w:val="TableTextRightBold"/>
              <w:rPr>
                <w:rFonts w:ascii="Arial" w:hAnsi="Arial" w:cs="Arial"/>
                <w:sz w:val="24"/>
                <w:szCs w:val="24"/>
              </w:rPr>
            </w:pPr>
          </w:p>
        </w:tc>
        <w:tc>
          <w:tcPr>
            <w:tcW w:w="2045" w:type="dxa"/>
            <w:shd w:val="clear" w:color="auto" w:fill="auto"/>
          </w:tcPr>
          <w:p w14:paraId="59494859" w14:textId="77777777" w:rsidR="003E5BF5" w:rsidRPr="00E273FC" w:rsidRDefault="003E5BF5" w:rsidP="00DE1921">
            <w:pPr>
              <w:pStyle w:val="TableTextRight"/>
              <w:rPr>
                <w:rFonts w:ascii="Arial" w:hAnsi="Arial" w:cs="Arial"/>
                <w:sz w:val="24"/>
                <w:szCs w:val="24"/>
              </w:rPr>
            </w:pPr>
          </w:p>
        </w:tc>
        <w:tc>
          <w:tcPr>
            <w:tcW w:w="1131" w:type="dxa"/>
            <w:shd w:val="clear" w:color="auto" w:fill="auto"/>
          </w:tcPr>
          <w:p w14:paraId="6B697218" w14:textId="77777777" w:rsidR="003E5BF5" w:rsidRPr="00E273FC" w:rsidRDefault="003E5BF5" w:rsidP="00DE1921">
            <w:pPr>
              <w:pStyle w:val="TableTextRight"/>
              <w:rPr>
                <w:rFonts w:ascii="Arial" w:hAnsi="Arial" w:cs="Arial"/>
                <w:sz w:val="24"/>
                <w:szCs w:val="24"/>
              </w:rPr>
            </w:pPr>
          </w:p>
        </w:tc>
      </w:tr>
      <w:tr w:rsidR="003E5BF5" w:rsidRPr="00E273FC" w14:paraId="18C6CEF3" w14:textId="77777777" w:rsidTr="00133415">
        <w:trPr>
          <w:trHeight w:val="312"/>
        </w:trPr>
        <w:tc>
          <w:tcPr>
            <w:tcW w:w="1274" w:type="dxa"/>
            <w:shd w:val="clear" w:color="auto" w:fill="auto"/>
          </w:tcPr>
          <w:p w14:paraId="235A2DE1" w14:textId="77777777" w:rsidR="003E5BF5" w:rsidRPr="00E273FC" w:rsidRDefault="003E5BF5" w:rsidP="00DE1921">
            <w:pPr>
              <w:pStyle w:val="TableTextLeftBold"/>
              <w:rPr>
                <w:rFonts w:ascii="Arial" w:hAnsi="Arial" w:cs="Arial"/>
                <w:sz w:val="24"/>
                <w:szCs w:val="24"/>
              </w:rPr>
            </w:pPr>
          </w:p>
        </w:tc>
        <w:tc>
          <w:tcPr>
            <w:tcW w:w="3052" w:type="dxa"/>
            <w:shd w:val="clear" w:color="auto" w:fill="auto"/>
            <w:vAlign w:val="center"/>
          </w:tcPr>
          <w:p w14:paraId="559EE3C2" w14:textId="77777777" w:rsidR="003E5BF5" w:rsidRPr="00E273FC" w:rsidRDefault="003E5BF5" w:rsidP="00DE1921">
            <w:pPr>
              <w:pStyle w:val="TableTextLeft"/>
              <w:rPr>
                <w:rFonts w:ascii="Arial" w:eastAsiaTheme="minorEastAsia" w:hAnsi="Arial" w:cs="Arial"/>
                <w:sz w:val="24"/>
                <w:szCs w:val="24"/>
              </w:rPr>
            </w:pPr>
            <w:r w:rsidRPr="00E273FC">
              <w:rPr>
                <w:rFonts w:ascii="Arial" w:hAnsi="Arial" w:cs="Arial"/>
                <w:sz w:val="24"/>
                <w:szCs w:val="24"/>
              </w:rPr>
              <w:t>management training</w:t>
            </w:r>
          </w:p>
        </w:tc>
        <w:tc>
          <w:tcPr>
            <w:tcW w:w="1567" w:type="dxa"/>
            <w:shd w:val="clear" w:color="auto" w:fill="auto"/>
            <w:vAlign w:val="center"/>
          </w:tcPr>
          <w:p w14:paraId="4B946D3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25%</w:t>
            </w:r>
          </w:p>
        </w:tc>
        <w:tc>
          <w:tcPr>
            <w:tcW w:w="2045" w:type="dxa"/>
            <w:shd w:val="clear" w:color="auto" w:fill="auto"/>
            <w:vAlign w:val="center"/>
          </w:tcPr>
          <w:p w14:paraId="182E5B0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vAlign w:val="center"/>
          </w:tcPr>
          <w:p w14:paraId="4566EE0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r w:rsidR="003E5BF5" w:rsidRPr="00E273FC" w14:paraId="4C57CEDF" w14:textId="77777777" w:rsidTr="00133415">
        <w:trPr>
          <w:trHeight w:val="312"/>
        </w:trPr>
        <w:tc>
          <w:tcPr>
            <w:tcW w:w="1274" w:type="dxa"/>
            <w:shd w:val="clear" w:color="auto" w:fill="auto"/>
          </w:tcPr>
          <w:p w14:paraId="1DFE0789" w14:textId="77777777" w:rsidR="003E5BF5" w:rsidRPr="00E273FC" w:rsidRDefault="003E5BF5" w:rsidP="00DE1921">
            <w:pPr>
              <w:pStyle w:val="TableTextLeftBold"/>
              <w:rPr>
                <w:rFonts w:ascii="Arial" w:hAnsi="Arial" w:cs="Arial"/>
                <w:sz w:val="24"/>
                <w:szCs w:val="24"/>
              </w:rPr>
            </w:pPr>
          </w:p>
        </w:tc>
        <w:tc>
          <w:tcPr>
            <w:tcW w:w="3052" w:type="dxa"/>
            <w:shd w:val="clear" w:color="auto" w:fill="auto"/>
          </w:tcPr>
          <w:p w14:paraId="3573E2A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Percentage of HSRs trained</w:t>
            </w:r>
          </w:p>
          <w:p w14:paraId="39CA9F8B" w14:textId="77777777" w:rsidR="003E5BF5" w:rsidRPr="00E273FC" w:rsidRDefault="003E5BF5" w:rsidP="00DE1921">
            <w:pPr>
              <w:pStyle w:val="TableTextLeft"/>
              <w:rPr>
                <w:rFonts w:ascii="Arial" w:eastAsiaTheme="minorEastAsia" w:hAnsi="Arial" w:cs="Arial"/>
                <w:sz w:val="24"/>
                <w:szCs w:val="24"/>
              </w:rPr>
            </w:pPr>
            <w:r w:rsidRPr="00E273FC">
              <w:rPr>
                <w:rFonts w:ascii="Arial" w:hAnsi="Arial" w:cs="Arial"/>
                <w:sz w:val="24"/>
                <w:szCs w:val="24"/>
              </w:rPr>
              <w:t>acceptance of role</w:t>
            </w:r>
          </w:p>
        </w:tc>
        <w:tc>
          <w:tcPr>
            <w:tcW w:w="1567" w:type="dxa"/>
            <w:shd w:val="clear" w:color="auto" w:fill="auto"/>
          </w:tcPr>
          <w:p w14:paraId="2D577BE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50%</w:t>
            </w:r>
          </w:p>
        </w:tc>
        <w:tc>
          <w:tcPr>
            <w:tcW w:w="2045" w:type="dxa"/>
            <w:shd w:val="clear" w:color="auto" w:fill="auto"/>
          </w:tcPr>
          <w:p w14:paraId="10390FA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131" w:type="dxa"/>
            <w:shd w:val="clear" w:color="auto" w:fill="auto"/>
          </w:tcPr>
          <w:p w14:paraId="781B59F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r>
    </w:tbl>
    <w:p w14:paraId="5FA80F03" w14:textId="77777777" w:rsidR="003E5BF5" w:rsidRPr="00E273FC" w:rsidRDefault="003E5BF5" w:rsidP="00696A16">
      <w:pPr>
        <w:pStyle w:val="Note"/>
        <w:spacing w:before="120" w:after="0" w:line="360" w:lineRule="auto"/>
        <w:rPr>
          <w:rFonts w:ascii="Arial" w:hAnsi="Arial" w:cs="Arial"/>
          <w:sz w:val="24"/>
          <w:szCs w:val="24"/>
        </w:rPr>
      </w:pPr>
      <w:r w:rsidRPr="00E273FC">
        <w:rPr>
          <w:rFonts w:ascii="Arial" w:hAnsi="Arial" w:cs="Arial"/>
          <w:sz w:val="24"/>
          <w:szCs w:val="24"/>
        </w:rPr>
        <w:t>Notes:</w:t>
      </w:r>
    </w:p>
    <w:p w14:paraId="4D54C34D" w14:textId="77777777" w:rsidR="003E5BF5" w:rsidRPr="00E273FC" w:rsidRDefault="003E5BF5" w:rsidP="00610F5F">
      <w:pPr>
        <w:pStyle w:val="Notenumber123"/>
        <w:numPr>
          <w:ilvl w:val="0"/>
          <w:numId w:val="32"/>
        </w:numPr>
        <w:spacing w:after="0" w:line="360" w:lineRule="auto"/>
        <w:ind w:left="340" w:hanging="227"/>
        <w:rPr>
          <w:rFonts w:ascii="Arial" w:hAnsi="Arial" w:cs="Arial"/>
          <w:sz w:val="24"/>
          <w:szCs w:val="24"/>
        </w:rPr>
      </w:pPr>
      <w:r w:rsidRPr="00E273FC">
        <w:rPr>
          <w:rFonts w:ascii="Arial" w:hAnsi="Arial" w:cs="Arial"/>
          <w:sz w:val="24"/>
          <w:szCs w:val="24"/>
        </w:rPr>
        <w:t>The noticeable increase in the “Rate per 100 full-time equivalent (FTE)” metric can be explained by a far larger organisation now able to exert a far greater awareness of safety proportionate to the FTE number.</w:t>
      </w:r>
    </w:p>
    <w:p w14:paraId="47D53950" w14:textId="77777777" w:rsidR="003E5BF5" w:rsidRPr="00E273FC" w:rsidRDefault="003E5BF5" w:rsidP="00610F5F">
      <w:pPr>
        <w:pStyle w:val="Notenumber123"/>
        <w:numPr>
          <w:ilvl w:val="0"/>
          <w:numId w:val="32"/>
        </w:numPr>
        <w:spacing w:after="0" w:line="360" w:lineRule="auto"/>
        <w:ind w:left="340" w:hanging="227"/>
        <w:rPr>
          <w:rFonts w:ascii="Arial" w:hAnsi="Arial" w:cs="Arial"/>
          <w:sz w:val="24"/>
          <w:szCs w:val="24"/>
        </w:rPr>
      </w:pPr>
      <w:r w:rsidRPr="00E273FC">
        <w:rPr>
          <w:rFonts w:ascii="Arial" w:hAnsi="Arial" w:cs="Arial"/>
          <w:sz w:val="24"/>
          <w:szCs w:val="24"/>
        </w:rPr>
        <w:t>Former PTV claims transferred to the DoT policy as at 1 July 2019.</w:t>
      </w:r>
    </w:p>
    <w:p w14:paraId="5A0491D2" w14:textId="77777777" w:rsidR="003E5BF5" w:rsidRPr="00E273FC" w:rsidRDefault="003E5BF5" w:rsidP="00610F5F">
      <w:pPr>
        <w:pStyle w:val="Notenumber123"/>
        <w:numPr>
          <w:ilvl w:val="0"/>
          <w:numId w:val="32"/>
        </w:numPr>
        <w:spacing w:after="0" w:line="360" w:lineRule="auto"/>
        <w:ind w:left="340" w:hanging="227"/>
        <w:rPr>
          <w:rFonts w:ascii="Arial" w:hAnsi="Arial" w:cs="Arial"/>
          <w:sz w:val="24"/>
          <w:szCs w:val="24"/>
        </w:rPr>
      </w:pPr>
      <w:r w:rsidRPr="00E273FC">
        <w:rPr>
          <w:rFonts w:ascii="Arial" w:hAnsi="Arial" w:cs="Arial"/>
          <w:sz w:val="24"/>
          <w:szCs w:val="24"/>
        </w:rPr>
        <w:lastRenderedPageBreak/>
        <w:t>Standardised claims are those that have exceeded the employer excess (days or dollars) or are registered as a standard claim and are open with payments at the time of extraction. Fatality claims are also based on the same definition of standardised claims. Under threshold claims are excluded from this figure.</w:t>
      </w:r>
    </w:p>
    <w:p w14:paraId="7C5B045F" w14:textId="77777777" w:rsidR="003E5BF5" w:rsidRPr="00E273FC" w:rsidRDefault="003E5BF5" w:rsidP="00610F5F">
      <w:pPr>
        <w:pStyle w:val="Notenumber123"/>
        <w:numPr>
          <w:ilvl w:val="0"/>
          <w:numId w:val="32"/>
        </w:numPr>
        <w:spacing w:after="0" w:line="360" w:lineRule="auto"/>
        <w:ind w:left="340" w:hanging="227"/>
        <w:rPr>
          <w:rFonts w:ascii="Arial" w:hAnsi="Arial" w:cs="Arial"/>
          <w:sz w:val="24"/>
          <w:szCs w:val="24"/>
        </w:rPr>
      </w:pPr>
      <w:r w:rsidRPr="00E273FC">
        <w:rPr>
          <w:rFonts w:ascii="Arial" w:hAnsi="Arial" w:cs="Arial"/>
          <w:sz w:val="24"/>
          <w:szCs w:val="24"/>
        </w:rPr>
        <w:t>A time lost claim is one with one or more days compensated by the Victorian WorkCover Authority (VWA) Insurer (that is: once the employer has paid the 10-day excess) at the time of extraction. Lost time claims are a subset of standardised claims. Under threshold claims are excluded from this figure.</w:t>
      </w:r>
    </w:p>
    <w:p w14:paraId="4AC39D9B" w14:textId="77777777" w:rsidR="003E5BF5" w:rsidRPr="00E273FC" w:rsidRDefault="003E5BF5" w:rsidP="00610F5F">
      <w:pPr>
        <w:pStyle w:val="Notenumber123"/>
        <w:numPr>
          <w:ilvl w:val="0"/>
          <w:numId w:val="32"/>
        </w:numPr>
        <w:spacing w:after="0" w:line="360" w:lineRule="auto"/>
        <w:ind w:left="340" w:hanging="227"/>
        <w:rPr>
          <w:rFonts w:ascii="Arial" w:hAnsi="Arial" w:cs="Arial"/>
          <w:sz w:val="24"/>
          <w:szCs w:val="24"/>
        </w:rPr>
      </w:pPr>
      <w:r w:rsidRPr="00E273FC">
        <w:rPr>
          <w:rFonts w:ascii="Arial" w:hAnsi="Arial" w:cs="Arial"/>
          <w:sz w:val="24"/>
          <w:szCs w:val="24"/>
        </w:rPr>
        <w:t>Thirteen-week claims is a measure of the number of claims exceeding 65 days compensation. This measure reflects claims reported in prior 6–18 months (2019 calendar year).</w:t>
      </w:r>
    </w:p>
    <w:p w14:paraId="4D822F21" w14:textId="77777777" w:rsidR="003E5BF5" w:rsidRPr="00E273FC" w:rsidRDefault="003E5BF5" w:rsidP="00610F5F">
      <w:pPr>
        <w:pStyle w:val="Notenumber123"/>
        <w:numPr>
          <w:ilvl w:val="0"/>
          <w:numId w:val="32"/>
        </w:numPr>
        <w:spacing w:after="0" w:line="360" w:lineRule="auto"/>
        <w:ind w:left="340" w:hanging="227"/>
        <w:rPr>
          <w:rFonts w:ascii="Arial" w:hAnsi="Arial" w:cs="Arial"/>
          <w:sz w:val="24"/>
          <w:szCs w:val="24"/>
        </w:rPr>
      </w:pPr>
      <w:r w:rsidRPr="00E273FC">
        <w:rPr>
          <w:rFonts w:ascii="Arial" w:hAnsi="Arial" w:cs="Arial"/>
          <w:sz w:val="24"/>
          <w:szCs w:val="24"/>
        </w:rPr>
        <w:t xml:space="preserve">Claim costs consist of actual and estimated costs related to a claim. </w:t>
      </w:r>
    </w:p>
    <w:p w14:paraId="1656ED71" w14:textId="77777777" w:rsidR="003E5BF5" w:rsidRPr="00E273FC" w:rsidRDefault="003E5BF5" w:rsidP="00610F5F">
      <w:pPr>
        <w:pStyle w:val="Notenumber123"/>
        <w:numPr>
          <w:ilvl w:val="0"/>
          <w:numId w:val="32"/>
        </w:numPr>
        <w:spacing w:after="0" w:line="360" w:lineRule="auto"/>
        <w:ind w:left="340" w:hanging="227"/>
        <w:rPr>
          <w:rFonts w:ascii="Arial" w:hAnsi="Arial" w:cs="Arial"/>
          <w:sz w:val="24"/>
          <w:szCs w:val="24"/>
        </w:rPr>
      </w:pPr>
      <w:r w:rsidRPr="00E273FC">
        <w:rPr>
          <w:rFonts w:ascii="Arial" w:hAnsi="Arial" w:cs="Arial"/>
          <w:sz w:val="24"/>
          <w:szCs w:val="24"/>
        </w:rPr>
        <w:t xml:space="preserve">Average claim costs consist of standard claims received by the WorkCover Agent between 30 June 2019 and 30 June 2020 (claims that impact the next WorkCover Premium), calculated as of 30 June 2020. Higher average claim costs do not necessarily translate to higher premium costs, as the premium is impacted by total cost rather than average. DoT paid $279,463 for 30 claims in total under </w:t>
      </w:r>
      <w:proofErr w:type="spellStart"/>
      <w:r w:rsidRPr="00E273FC">
        <w:rPr>
          <w:rFonts w:ascii="Arial" w:hAnsi="Arial" w:cs="Arial"/>
          <w:sz w:val="24"/>
          <w:szCs w:val="24"/>
        </w:rPr>
        <w:t>it’s</w:t>
      </w:r>
      <w:proofErr w:type="spellEnd"/>
      <w:r w:rsidRPr="00E273FC">
        <w:rPr>
          <w:rFonts w:ascii="Arial" w:hAnsi="Arial" w:cs="Arial"/>
          <w:sz w:val="24"/>
          <w:szCs w:val="24"/>
        </w:rPr>
        <w:t xml:space="preserve"> DoT policy from 1 July 2019 to 30 June 2020 with an average cost at $19,309.63 per claim. DoT paid $57,858 for 16 claims under </w:t>
      </w:r>
      <w:proofErr w:type="spellStart"/>
      <w:r w:rsidRPr="00E273FC">
        <w:rPr>
          <w:rFonts w:ascii="Arial" w:hAnsi="Arial" w:cs="Arial"/>
          <w:sz w:val="24"/>
          <w:szCs w:val="24"/>
        </w:rPr>
        <w:t>it’s</w:t>
      </w:r>
      <w:proofErr w:type="spellEnd"/>
      <w:r w:rsidRPr="00E273FC">
        <w:rPr>
          <w:rFonts w:ascii="Arial" w:hAnsi="Arial" w:cs="Arial"/>
          <w:sz w:val="24"/>
          <w:szCs w:val="24"/>
        </w:rPr>
        <w:t xml:space="preserve"> Roads Policy from 1 July to 30 June 2020 with an average cost at $3,616.18 per claim. All former PTV claims were moved to the DoT policy from 1 July 2019. </w:t>
      </w:r>
    </w:p>
    <w:p w14:paraId="1FDFC379" w14:textId="6BE144BE" w:rsidR="003E5BF5" w:rsidRPr="00E273FC" w:rsidRDefault="003E5BF5" w:rsidP="00610F5F">
      <w:pPr>
        <w:pStyle w:val="Notenumber123"/>
        <w:numPr>
          <w:ilvl w:val="0"/>
          <w:numId w:val="32"/>
        </w:numPr>
        <w:spacing w:after="0" w:line="360" w:lineRule="auto"/>
        <w:ind w:left="340" w:hanging="227"/>
        <w:rPr>
          <w:rFonts w:ascii="Arial" w:hAnsi="Arial" w:cs="Arial"/>
          <w:sz w:val="24"/>
          <w:szCs w:val="24"/>
        </w:rPr>
      </w:pPr>
      <w:r w:rsidRPr="00E273FC">
        <w:rPr>
          <w:rFonts w:ascii="Arial" w:hAnsi="Arial" w:cs="Arial"/>
          <w:sz w:val="24"/>
          <w:szCs w:val="24"/>
        </w:rPr>
        <w:t>FAI: First Aid Injury; MTI: Medical Treatment Injury; LTI: Lost Time Injury; RWI: Restricted Work Injury.</w:t>
      </w:r>
    </w:p>
    <w:p w14:paraId="3C17244F" w14:textId="144B259B" w:rsidR="002A09D9" w:rsidRDefault="002A09D9" w:rsidP="002A09D9">
      <w:pPr>
        <w:pStyle w:val="Notenumber123"/>
        <w:numPr>
          <w:ilvl w:val="0"/>
          <w:numId w:val="0"/>
        </w:numPr>
        <w:spacing w:after="0"/>
        <w:ind w:left="340" w:hanging="227"/>
      </w:pPr>
    </w:p>
    <w:p w14:paraId="5F524087" w14:textId="77777777" w:rsidR="002A09D9" w:rsidRDefault="002A09D9" w:rsidP="002A09D9">
      <w:pPr>
        <w:pStyle w:val="Notenumber123"/>
        <w:numPr>
          <w:ilvl w:val="0"/>
          <w:numId w:val="0"/>
        </w:numPr>
        <w:spacing w:after="0"/>
        <w:ind w:left="340" w:hanging="227"/>
        <w:sectPr w:rsidR="002A09D9" w:rsidSect="00DE1921">
          <w:footerReference w:type="even" r:id="rId259"/>
          <w:pgSz w:w="11906" w:h="16838"/>
          <w:pgMar w:top="1440" w:right="1440" w:bottom="1440" w:left="1440" w:header="708" w:footer="708" w:gutter="0"/>
          <w:cols w:space="708"/>
          <w:docGrid w:linePitch="360"/>
        </w:sectPr>
      </w:pPr>
    </w:p>
    <w:p w14:paraId="665AAE01" w14:textId="77777777" w:rsidR="003E5BF5" w:rsidRPr="004019FF" w:rsidRDefault="003E5BF5" w:rsidP="008A0170">
      <w:pPr>
        <w:pStyle w:val="Heading1"/>
      </w:pPr>
      <w:bookmarkStart w:id="795" w:name="_Toc55130703"/>
      <w:r w:rsidRPr="004019FF">
        <w:lastRenderedPageBreak/>
        <w:t>Appendix 2: Budget portfolio outcomes</w:t>
      </w:r>
      <w:bookmarkEnd w:id="795"/>
    </w:p>
    <w:p w14:paraId="3FD24D48" w14:textId="71826750" w:rsidR="003E5BF5" w:rsidRPr="00A05480" w:rsidRDefault="003E5BF5" w:rsidP="008A0170">
      <w:pPr>
        <w:pStyle w:val="Heading3"/>
      </w:pPr>
      <w:r w:rsidRPr="00A05480">
        <w:t>Departmental current year financial review</w:t>
      </w:r>
    </w:p>
    <w:p w14:paraId="01EB92BC" w14:textId="77777777" w:rsidR="003E5BF5" w:rsidRPr="008A3AC9" w:rsidRDefault="003E5BF5" w:rsidP="00975561">
      <w:pPr>
        <w:pStyle w:val="aaatyping"/>
      </w:pPr>
      <w:bookmarkStart w:id="796" w:name="p425"/>
      <w:r w:rsidRPr="008A3AC9">
        <w:t xml:space="preserve">The </w:t>
      </w:r>
      <w:bookmarkEnd w:id="796"/>
      <w:r w:rsidRPr="008A3AC9">
        <w:t>budget portfolio outcomes provide a comparison between the actual financial report of all general government entities within the</w:t>
      </w:r>
      <w:r>
        <w:t xml:space="preserve"> </w:t>
      </w:r>
      <w:r w:rsidRPr="008A3AC9">
        <w:t xml:space="preserve">portfolio and the forecast published in the Budget Papers. </w:t>
      </w:r>
    </w:p>
    <w:p w14:paraId="4568E607" w14:textId="77777777" w:rsidR="003E5BF5" w:rsidRPr="008A3AC9" w:rsidRDefault="003E5BF5" w:rsidP="00975561">
      <w:pPr>
        <w:pStyle w:val="aaatyping"/>
      </w:pPr>
      <w:r w:rsidRPr="008A3AC9">
        <w:t xml:space="preserve">The budget portfolio outcomes comprise the comprehensive operating statement, balance sheet, statement of changes in equity and statement of cash flows. </w:t>
      </w:r>
    </w:p>
    <w:p w14:paraId="644D6911" w14:textId="77777777" w:rsidR="003E5BF5" w:rsidRPr="008A3AC9" w:rsidRDefault="003E5BF5" w:rsidP="00975561">
      <w:pPr>
        <w:pStyle w:val="aaatyping"/>
      </w:pPr>
      <w:r w:rsidRPr="008A3AC9">
        <w:t>The budget portfolio outcomes have been prepared on a consolidated basis and include all general government entities within the portfolio. Financial transactions and balances are classified into either controlled or administered categories consistent with the published statements in Budget Paper No. 5.</w:t>
      </w:r>
    </w:p>
    <w:p w14:paraId="08C4AFCF" w14:textId="77777777" w:rsidR="003E5BF5" w:rsidRPr="000B1352" w:rsidRDefault="003E5BF5" w:rsidP="00975561">
      <w:pPr>
        <w:pStyle w:val="aaatyping"/>
      </w:pPr>
      <w:r w:rsidRPr="008A3AC9">
        <w:t>The following budget portfolio outcomes statements are not subject to audit by the Victorian Auditor-General’s Office and are not</w:t>
      </w:r>
      <w:r>
        <w:t xml:space="preserve"> </w:t>
      </w:r>
      <w:r w:rsidRPr="008A3AC9">
        <w:t xml:space="preserve">prepared on the same basis as the </w:t>
      </w:r>
      <w:r>
        <w:t>Department of Transport’s F</w:t>
      </w:r>
      <w:r w:rsidRPr="008A3AC9">
        <w:t xml:space="preserve">inancial </w:t>
      </w:r>
      <w:r>
        <w:t>S</w:t>
      </w:r>
      <w:r w:rsidRPr="008A3AC9">
        <w:t>tatements, as they include the consolidated financial information of:</w:t>
      </w:r>
    </w:p>
    <w:p w14:paraId="7C994A9F" w14:textId="77777777" w:rsidR="003E5BF5" w:rsidRPr="001D1A66" w:rsidRDefault="003E5BF5" w:rsidP="00975561">
      <w:pPr>
        <w:pStyle w:val="aaatyping"/>
      </w:pPr>
      <w:r w:rsidRPr="001D1A66">
        <w:t>Controlled:</w:t>
      </w:r>
    </w:p>
    <w:p w14:paraId="1FD0BF55" w14:textId="77777777" w:rsidR="003E5BF5" w:rsidRPr="00E53691" w:rsidRDefault="003E5BF5" w:rsidP="00975561">
      <w:pPr>
        <w:pStyle w:val="aaabullet"/>
      </w:pPr>
      <w:r w:rsidRPr="008A3AC9">
        <w:t xml:space="preserve">Department of Transport </w:t>
      </w:r>
    </w:p>
    <w:p w14:paraId="2648E63D" w14:textId="77777777" w:rsidR="003E5BF5" w:rsidRPr="00E53691" w:rsidRDefault="003E5BF5" w:rsidP="00975561">
      <w:pPr>
        <w:pStyle w:val="aaabullet"/>
      </w:pPr>
      <w:r w:rsidRPr="00E53691">
        <w:t>Roads Corporation (VicRoads)</w:t>
      </w:r>
    </w:p>
    <w:p w14:paraId="55B57B24" w14:textId="77777777" w:rsidR="003E5BF5" w:rsidRPr="008A3AC9" w:rsidRDefault="003E5BF5" w:rsidP="00975561">
      <w:pPr>
        <w:pStyle w:val="aaabullet"/>
      </w:pPr>
      <w:r w:rsidRPr="008A3AC9">
        <w:t>Commercial Passenger Vehicle</w:t>
      </w:r>
      <w:r>
        <w:t>s</w:t>
      </w:r>
      <w:r w:rsidRPr="008A3AC9">
        <w:t xml:space="preserve"> Victoria (CPVV)</w:t>
      </w:r>
    </w:p>
    <w:p w14:paraId="2E41EAC6" w14:textId="77777777" w:rsidR="003E5BF5" w:rsidRDefault="003E5BF5" w:rsidP="00975561">
      <w:pPr>
        <w:pStyle w:val="aaabullet"/>
      </w:pPr>
      <w:r w:rsidRPr="008A3AC9">
        <w:t>Victorian Fisheries Authority (VFA)</w:t>
      </w:r>
      <w:r>
        <w:t>.</w:t>
      </w:r>
    </w:p>
    <w:p w14:paraId="31D8677A" w14:textId="77777777" w:rsidR="003E5BF5" w:rsidRDefault="003E5BF5" w:rsidP="00DE1921"/>
    <w:p w14:paraId="6F41ADB4" w14:textId="77777777" w:rsidR="003E5BF5" w:rsidRDefault="003E5BF5" w:rsidP="00DE1921">
      <w:pPr>
        <w:sectPr w:rsidR="003E5BF5" w:rsidSect="00DE1921">
          <w:pgSz w:w="11906" w:h="16838"/>
          <w:pgMar w:top="1440" w:right="1440" w:bottom="1440" w:left="1440" w:header="708" w:footer="708" w:gutter="0"/>
          <w:cols w:space="708"/>
          <w:docGrid w:linePitch="360"/>
        </w:sectPr>
      </w:pPr>
    </w:p>
    <w:p w14:paraId="45B1D7EA" w14:textId="77777777" w:rsidR="003E5BF5" w:rsidRPr="00E273FC" w:rsidRDefault="003E5BF5" w:rsidP="00CF74EB">
      <w:pPr>
        <w:pStyle w:val="TableHeader"/>
      </w:pPr>
      <w:r w:rsidRPr="00E273FC">
        <w:lastRenderedPageBreak/>
        <w:t>Comprehensive operating statement for the financial year ended 30 June 2020</w:t>
      </w:r>
    </w:p>
    <w:tbl>
      <w:tblPr>
        <w:tblStyle w:val="TableGrid"/>
        <w:tblW w:w="9639" w:type="dxa"/>
        <w:tblCellMar>
          <w:left w:w="28" w:type="dxa"/>
          <w:right w:w="28" w:type="dxa"/>
        </w:tblCellMar>
        <w:tblLook w:val="04A0" w:firstRow="1" w:lastRow="0" w:firstColumn="1" w:lastColumn="0" w:noHBand="0" w:noVBand="1"/>
      </w:tblPr>
      <w:tblGrid>
        <w:gridCol w:w="4204"/>
        <w:gridCol w:w="102"/>
        <w:gridCol w:w="748"/>
        <w:gridCol w:w="258"/>
        <w:gridCol w:w="1371"/>
        <w:gridCol w:w="1099"/>
        <w:gridCol w:w="1131"/>
        <w:gridCol w:w="726"/>
      </w:tblGrid>
      <w:tr w:rsidR="003E5BF5" w:rsidRPr="007526FB" w14:paraId="4433EA3F" w14:textId="77777777" w:rsidTr="00DC3814">
        <w:trPr>
          <w:trHeight w:val="340"/>
        </w:trPr>
        <w:tc>
          <w:tcPr>
            <w:tcW w:w="4217" w:type="dxa"/>
            <w:shd w:val="clear" w:color="auto" w:fill="auto"/>
            <w:tcMar>
              <w:left w:w="57" w:type="dxa"/>
              <w:right w:w="57" w:type="dxa"/>
            </w:tcMar>
            <w:vAlign w:val="center"/>
          </w:tcPr>
          <w:p w14:paraId="52B4F9DC" w14:textId="77777777" w:rsidR="003E5BF5" w:rsidRPr="007526FB" w:rsidRDefault="003E5BF5" w:rsidP="00DE1921">
            <w:pPr>
              <w:pStyle w:val="TableTextLeft"/>
              <w:rPr>
                <w:rFonts w:ascii="Arial" w:hAnsi="Arial" w:cs="Arial"/>
                <w:sz w:val="22"/>
              </w:rPr>
            </w:pPr>
          </w:p>
        </w:tc>
        <w:tc>
          <w:tcPr>
            <w:tcW w:w="1109" w:type="dxa"/>
            <w:gridSpan w:val="3"/>
            <w:shd w:val="clear" w:color="auto" w:fill="auto"/>
            <w:vAlign w:val="bottom"/>
          </w:tcPr>
          <w:p w14:paraId="03E23C33" w14:textId="77777777" w:rsidR="003E5BF5" w:rsidRPr="007526FB" w:rsidRDefault="003E5BF5" w:rsidP="00DE1921">
            <w:pPr>
              <w:pStyle w:val="TableTextRightBold"/>
              <w:rPr>
                <w:rFonts w:ascii="Arial" w:hAnsi="Arial" w:cs="Arial"/>
                <w:sz w:val="22"/>
              </w:rPr>
            </w:pPr>
            <w:r w:rsidRPr="007526FB">
              <w:rPr>
                <w:rFonts w:ascii="Arial" w:hAnsi="Arial" w:cs="Arial"/>
                <w:sz w:val="22"/>
              </w:rPr>
              <w:t>2019-20 Actual</w:t>
            </w:r>
          </w:p>
          <w:p w14:paraId="192C2AC0" w14:textId="77777777" w:rsidR="003E5BF5" w:rsidRPr="007526FB" w:rsidRDefault="003E5BF5" w:rsidP="00DE1921">
            <w:pPr>
              <w:pStyle w:val="TableTextRightBold"/>
              <w:rPr>
                <w:rFonts w:ascii="Arial" w:hAnsi="Arial" w:cs="Arial"/>
                <w:sz w:val="22"/>
              </w:rPr>
            </w:pPr>
            <w:r w:rsidRPr="007526FB">
              <w:rPr>
                <w:rFonts w:ascii="Arial" w:hAnsi="Arial" w:cs="Arial"/>
                <w:sz w:val="22"/>
              </w:rPr>
              <w:t>($ million)</w:t>
            </w:r>
          </w:p>
        </w:tc>
        <w:tc>
          <w:tcPr>
            <w:tcW w:w="1372" w:type="dxa"/>
            <w:shd w:val="clear" w:color="auto" w:fill="auto"/>
            <w:tcMar>
              <w:left w:w="57" w:type="dxa"/>
              <w:right w:w="57" w:type="dxa"/>
            </w:tcMar>
            <w:vAlign w:val="bottom"/>
          </w:tcPr>
          <w:p w14:paraId="4E70C065" w14:textId="77777777" w:rsidR="003E5BF5" w:rsidRPr="007526FB" w:rsidRDefault="003E5BF5" w:rsidP="00DE1921">
            <w:pPr>
              <w:pStyle w:val="TableTextRightBold"/>
              <w:rPr>
                <w:rFonts w:ascii="Arial" w:hAnsi="Arial" w:cs="Arial"/>
                <w:sz w:val="22"/>
              </w:rPr>
            </w:pPr>
            <w:r w:rsidRPr="007526FB">
              <w:rPr>
                <w:rFonts w:ascii="Arial" w:hAnsi="Arial" w:cs="Arial"/>
                <w:sz w:val="22"/>
              </w:rPr>
              <w:t>2019-20 Published budget</w:t>
            </w:r>
          </w:p>
          <w:p w14:paraId="5691C8D1" w14:textId="77777777" w:rsidR="003E5BF5" w:rsidRPr="007526FB" w:rsidRDefault="003E5BF5" w:rsidP="00DE1921">
            <w:pPr>
              <w:pStyle w:val="TableTextRightBold"/>
              <w:rPr>
                <w:rFonts w:ascii="Arial" w:hAnsi="Arial" w:cs="Arial"/>
                <w:sz w:val="22"/>
              </w:rPr>
            </w:pPr>
            <w:r w:rsidRPr="007526FB">
              <w:rPr>
                <w:rFonts w:ascii="Arial" w:hAnsi="Arial" w:cs="Arial"/>
                <w:sz w:val="22"/>
              </w:rPr>
              <w:t>($ million)</w:t>
            </w:r>
          </w:p>
        </w:tc>
        <w:tc>
          <w:tcPr>
            <w:tcW w:w="1099" w:type="dxa"/>
            <w:shd w:val="clear" w:color="auto" w:fill="auto"/>
            <w:tcMar>
              <w:left w:w="57" w:type="dxa"/>
              <w:right w:w="57" w:type="dxa"/>
            </w:tcMar>
            <w:vAlign w:val="bottom"/>
          </w:tcPr>
          <w:p w14:paraId="31D1E9DF" w14:textId="77777777" w:rsidR="003E5BF5" w:rsidRPr="007526FB" w:rsidRDefault="003E5BF5" w:rsidP="00DE1921">
            <w:pPr>
              <w:pStyle w:val="TableTextRightBold"/>
              <w:rPr>
                <w:rFonts w:ascii="Arial" w:hAnsi="Arial" w:cs="Arial"/>
                <w:sz w:val="22"/>
              </w:rPr>
            </w:pPr>
            <w:r w:rsidRPr="007526FB">
              <w:rPr>
                <w:rFonts w:ascii="Arial" w:hAnsi="Arial" w:cs="Arial"/>
                <w:sz w:val="22"/>
              </w:rPr>
              <w:t>Variation</w:t>
            </w:r>
          </w:p>
        </w:tc>
        <w:tc>
          <w:tcPr>
            <w:tcW w:w="1134" w:type="dxa"/>
            <w:shd w:val="clear" w:color="auto" w:fill="auto"/>
            <w:tcMar>
              <w:left w:w="57" w:type="dxa"/>
              <w:right w:w="57" w:type="dxa"/>
            </w:tcMar>
            <w:vAlign w:val="bottom"/>
          </w:tcPr>
          <w:p w14:paraId="5D05D1B9" w14:textId="77777777" w:rsidR="003E5BF5" w:rsidRPr="007526FB" w:rsidRDefault="003E5BF5" w:rsidP="00DE1921">
            <w:pPr>
              <w:pStyle w:val="TableTextRightBold"/>
              <w:rPr>
                <w:rFonts w:ascii="Arial" w:hAnsi="Arial" w:cs="Arial"/>
                <w:sz w:val="22"/>
              </w:rPr>
            </w:pPr>
            <w:r w:rsidRPr="007526FB">
              <w:rPr>
                <w:rFonts w:ascii="Arial" w:hAnsi="Arial" w:cs="Arial"/>
                <w:sz w:val="22"/>
              </w:rPr>
              <w:t>%</w:t>
            </w:r>
          </w:p>
        </w:tc>
        <w:tc>
          <w:tcPr>
            <w:tcW w:w="708" w:type="dxa"/>
            <w:shd w:val="clear" w:color="auto" w:fill="auto"/>
            <w:tcMar>
              <w:left w:w="57" w:type="dxa"/>
              <w:right w:w="57" w:type="dxa"/>
            </w:tcMar>
            <w:vAlign w:val="bottom"/>
          </w:tcPr>
          <w:p w14:paraId="434B8B83" w14:textId="77777777" w:rsidR="003E5BF5" w:rsidRPr="007526FB" w:rsidRDefault="003E5BF5" w:rsidP="00DE1921">
            <w:pPr>
              <w:pStyle w:val="TableTextRightBold"/>
              <w:rPr>
                <w:rFonts w:ascii="Arial" w:hAnsi="Arial" w:cs="Arial"/>
                <w:sz w:val="22"/>
              </w:rPr>
            </w:pPr>
            <w:r w:rsidRPr="007526FB">
              <w:rPr>
                <w:rFonts w:ascii="Arial" w:hAnsi="Arial" w:cs="Arial"/>
                <w:sz w:val="22"/>
              </w:rPr>
              <w:t>Notes</w:t>
            </w:r>
          </w:p>
        </w:tc>
      </w:tr>
      <w:tr w:rsidR="003E5BF5" w:rsidRPr="007526FB" w14:paraId="7C4782C7" w14:textId="77777777" w:rsidTr="00DC3814">
        <w:trPr>
          <w:trHeight w:val="340"/>
        </w:trPr>
        <w:tc>
          <w:tcPr>
            <w:tcW w:w="4217" w:type="dxa"/>
            <w:shd w:val="clear" w:color="auto" w:fill="auto"/>
            <w:tcMar>
              <w:left w:w="57" w:type="dxa"/>
              <w:right w:w="57" w:type="dxa"/>
            </w:tcMar>
            <w:vAlign w:val="center"/>
          </w:tcPr>
          <w:p w14:paraId="16AE3B92" w14:textId="77777777" w:rsidR="003E5BF5" w:rsidRPr="007526FB" w:rsidRDefault="003E5BF5" w:rsidP="00604703">
            <w:pPr>
              <w:pStyle w:val="TableTextGreen"/>
              <w:rPr>
                <w:sz w:val="22"/>
                <w:szCs w:val="22"/>
              </w:rPr>
            </w:pPr>
            <w:r w:rsidRPr="007526FB">
              <w:rPr>
                <w:sz w:val="22"/>
                <w:szCs w:val="22"/>
              </w:rPr>
              <w:t>Income from transactions</w:t>
            </w:r>
          </w:p>
        </w:tc>
        <w:tc>
          <w:tcPr>
            <w:tcW w:w="1109" w:type="dxa"/>
            <w:gridSpan w:val="3"/>
            <w:shd w:val="clear" w:color="auto" w:fill="auto"/>
            <w:vAlign w:val="center"/>
          </w:tcPr>
          <w:p w14:paraId="35300ADC" w14:textId="77777777" w:rsidR="003E5BF5" w:rsidRPr="007526FB" w:rsidRDefault="003E5BF5" w:rsidP="00DE1921">
            <w:pPr>
              <w:pStyle w:val="TableTextRight"/>
              <w:rPr>
                <w:rFonts w:ascii="Arial" w:hAnsi="Arial" w:cs="Arial"/>
                <w:sz w:val="22"/>
              </w:rPr>
            </w:pPr>
          </w:p>
        </w:tc>
        <w:tc>
          <w:tcPr>
            <w:tcW w:w="1372" w:type="dxa"/>
            <w:shd w:val="clear" w:color="auto" w:fill="auto"/>
            <w:tcMar>
              <w:left w:w="57" w:type="dxa"/>
              <w:right w:w="57" w:type="dxa"/>
            </w:tcMar>
            <w:vAlign w:val="center"/>
          </w:tcPr>
          <w:p w14:paraId="0F1D63F4" w14:textId="77777777" w:rsidR="003E5BF5" w:rsidRPr="007526FB" w:rsidRDefault="003E5BF5" w:rsidP="00DE1921">
            <w:pPr>
              <w:pStyle w:val="TableTextRight"/>
              <w:rPr>
                <w:rFonts w:ascii="Arial" w:hAnsi="Arial" w:cs="Arial"/>
                <w:sz w:val="22"/>
              </w:rPr>
            </w:pPr>
          </w:p>
        </w:tc>
        <w:tc>
          <w:tcPr>
            <w:tcW w:w="1099" w:type="dxa"/>
            <w:shd w:val="clear" w:color="auto" w:fill="auto"/>
            <w:tcMar>
              <w:left w:w="57" w:type="dxa"/>
              <w:right w:w="57" w:type="dxa"/>
            </w:tcMar>
            <w:vAlign w:val="center"/>
          </w:tcPr>
          <w:p w14:paraId="75904CCC" w14:textId="77777777" w:rsidR="003E5BF5" w:rsidRPr="007526FB" w:rsidRDefault="003E5BF5" w:rsidP="00DE1921">
            <w:pPr>
              <w:pStyle w:val="TableTextRight"/>
              <w:rPr>
                <w:rFonts w:ascii="Arial" w:hAnsi="Arial" w:cs="Arial"/>
                <w:sz w:val="22"/>
              </w:rPr>
            </w:pPr>
          </w:p>
        </w:tc>
        <w:tc>
          <w:tcPr>
            <w:tcW w:w="1134" w:type="dxa"/>
            <w:shd w:val="clear" w:color="auto" w:fill="auto"/>
            <w:tcMar>
              <w:left w:w="57" w:type="dxa"/>
              <w:right w:w="57" w:type="dxa"/>
            </w:tcMar>
            <w:vAlign w:val="center"/>
          </w:tcPr>
          <w:p w14:paraId="3BDF210D" w14:textId="77777777" w:rsidR="003E5BF5" w:rsidRPr="007526FB" w:rsidRDefault="003E5BF5" w:rsidP="00DE1921">
            <w:pPr>
              <w:pStyle w:val="TableTextRight"/>
              <w:rPr>
                <w:rFonts w:ascii="Arial" w:hAnsi="Arial" w:cs="Arial"/>
                <w:sz w:val="22"/>
              </w:rPr>
            </w:pPr>
          </w:p>
        </w:tc>
        <w:tc>
          <w:tcPr>
            <w:tcW w:w="708" w:type="dxa"/>
            <w:shd w:val="clear" w:color="auto" w:fill="auto"/>
            <w:tcMar>
              <w:left w:w="57" w:type="dxa"/>
              <w:right w:w="57" w:type="dxa"/>
            </w:tcMar>
            <w:vAlign w:val="center"/>
          </w:tcPr>
          <w:p w14:paraId="7A03BBC6" w14:textId="77777777" w:rsidR="003E5BF5" w:rsidRPr="007526FB" w:rsidRDefault="003E5BF5" w:rsidP="00DE1921">
            <w:pPr>
              <w:pStyle w:val="TableTextRight"/>
              <w:rPr>
                <w:rFonts w:ascii="Arial" w:hAnsi="Arial" w:cs="Arial"/>
                <w:sz w:val="22"/>
              </w:rPr>
            </w:pPr>
          </w:p>
        </w:tc>
      </w:tr>
      <w:tr w:rsidR="003E5BF5" w:rsidRPr="007526FB" w14:paraId="1B58A067" w14:textId="77777777" w:rsidTr="00DC3814">
        <w:trPr>
          <w:trHeight w:val="340"/>
        </w:trPr>
        <w:tc>
          <w:tcPr>
            <w:tcW w:w="4217" w:type="dxa"/>
            <w:shd w:val="clear" w:color="auto" w:fill="auto"/>
            <w:tcMar>
              <w:left w:w="57" w:type="dxa"/>
              <w:right w:w="57" w:type="dxa"/>
            </w:tcMar>
            <w:vAlign w:val="center"/>
          </w:tcPr>
          <w:p w14:paraId="5E710334" w14:textId="77777777" w:rsidR="003E5BF5" w:rsidRPr="007526FB" w:rsidRDefault="003E5BF5" w:rsidP="00DE1921">
            <w:pPr>
              <w:pStyle w:val="TableTextLeft"/>
              <w:rPr>
                <w:rFonts w:ascii="Arial" w:hAnsi="Arial" w:cs="Arial"/>
                <w:sz w:val="22"/>
              </w:rPr>
            </w:pPr>
            <w:r w:rsidRPr="007526FB">
              <w:rPr>
                <w:rFonts w:ascii="Arial" w:hAnsi="Arial" w:cs="Arial"/>
                <w:sz w:val="22"/>
              </w:rPr>
              <w:t>Output appropriations</w:t>
            </w:r>
          </w:p>
        </w:tc>
        <w:tc>
          <w:tcPr>
            <w:tcW w:w="1109" w:type="dxa"/>
            <w:gridSpan w:val="3"/>
            <w:shd w:val="clear" w:color="auto" w:fill="auto"/>
            <w:vAlign w:val="center"/>
          </w:tcPr>
          <w:p w14:paraId="3094C5EC" w14:textId="77777777" w:rsidR="003E5BF5" w:rsidRPr="007526FB" w:rsidRDefault="003E5BF5" w:rsidP="00DE1921">
            <w:pPr>
              <w:pStyle w:val="TableTextRight"/>
              <w:rPr>
                <w:rFonts w:ascii="Arial" w:hAnsi="Arial" w:cs="Arial"/>
                <w:sz w:val="22"/>
              </w:rPr>
            </w:pPr>
            <w:r w:rsidRPr="007526FB">
              <w:rPr>
                <w:rFonts w:ascii="Arial" w:hAnsi="Arial" w:cs="Arial"/>
                <w:sz w:val="22"/>
              </w:rPr>
              <w:t xml:space="preserve">7,541.0 </w:t>
            </w:r>
          </w:p>
        </w:tc>
        <w:tc>
          <w:tcPr>
            <w:tcW w:w="1372" w:type="dxa"/>
            <w:shd w:val="clear" w:color="auto" w:fill="auto"/>
            <w:tcMar>
              <w:left w:w="57" w:type="dxa"/>
              <w:right w:w="57" w:type="dxa"/>
            </w:tcMar>
            <w:vAlign w:val="center"/>
          </w:tcPr>
          <w:p w14:paraId="5679B504" w14:textId="77777777" w:rsidR="003E5BF5" w:rsidRPr="007526FB" w:rsidRDefault="003E5BF5" w:rsidP="00DE1921">
            <w:pPr>
              <w:pStyle w:val="TableTextRight"/>
              <w:rPr>
                <w:rFonts w:ascii="Arial" w:hAnsi="Arial" w:cs="Arial"/>
                <w:sz w:val="22"/>
              </w:rPr>
            </w:pPr>
            <w:r w:rsidRPr="007526FB">
              <w:rPr>
                <w:rFonts w:ascii="Arial" w:hAnsi="Arial" w:cs="Arial"/>
                <w:sz w:val="22"/>
              </w:rPr>
              <w:t xml:space="preserve">6,920.0 </w:t>
            </w:r>
          </w:p>
        </w:tc>
        <w:tc>
          <w:tcPr>
            <w:tcW w:w="1099" w:type="dxa"/>
            <w:shd w:val="clear" w:color="auto" w:fill="auto"/>
            <w:tcMar>
              <w:left w:w="57" w:type="dxa"/>
              <w:right w:w="57" w:type="dxa"/>
            </w:tcMar>
            <w:vAlign w:val="center"/>
          </w:tcPr>
          <w:p w14:paraId="162242D5" w14:textId="77777777" w:rsidR="003E5BF5" w:rsidRPr="007526FB" w:rsidRDefault="003E5BF5" w:rsidP="00DE1921">
            <w:pPr>
              <w:pStyle w:val="TableTextRight"/>
              <w:rPr>
                <w:rFonts w:ascii="Arial" w:hAnsi="Arial" w:cs="Arial"/>
                <w:sz w:val="22"/>
              </w:rPr>
            </w:pPr>
            <w:r w:rsidRPr="007526FB">
              <w:rPr>
                <w:rFonts w:ascii="Arial" w:hAnsi="Arial" w:cs="Arial"/>
                <w:sz w:val="22"/>
              </w:rPr>
              <w:t xml:space="preserve">621.0 </w:t>
            </w:r>
          </w:p>
        </w:tc>
        <w:tc>
          <w:tcPr>
            <w:tcW w:w="1134" w:type="dxa"/>
            <w:shd w:val="clear" w:color="auto" w:fill="auto"/>
            <w:tcMar>
              <w:left w:w="57" w:type="dxa"/>
              <w:right w:w="57" w:type="dxa"/>
            </w:tcMar>
            <w:vAlign w:val="center"/>
          </w:tcPr>
          <w:p w14:paraId="3B6A99D4" w14:textId="77777777" w:rsidR="003E5BF5" w:rsidRPr="007526FB" w:rsidRDefault="003E5BF5" w:rsidP="00DE1921">
            <w:pPr>
              <w:pStyle w:val="TableTextRight"/>
              <w:rPr>
                <w:rFonts w:ascii="Arial" w:hAnsi="Arial" w:cs="Arial"/>
                <w:sz w:val="22"/>
              </w:rPr>
            </w:pPr>
            <w:r w:rsidRPr="007526FB">
              <w:rPr>
                <w:rFonts w:ascii="Arial" w:hAnsi="Arial" w:cs="Arial"/>
                <w:sz w:val="22"/>
              </w:rPr>
              <w:t>9%</w:t>
            </w:r>
          </w:p>
        </w:tc>
        <w:tc>
          <w:tcPr>
            <w:tcW w:w="708" w:type="dxa"/>
            <w:shd w:val="clear" w:color="auto" w:fill="auto"/>
            <w:tcMar>
              <w:left w:w="57" w:type="dxa"/>
              <w:right w:w="57" w:type="dxa"/>
            </w:tcMar>
            <w:vAlign w:val="center"/>
          </w:tcPr>
          <w:p w14:paraId="039C398E" w14:textId="77777777" w:rsidR="003E5BF5" w:rsidRPr="007526FB" w:rsidRDefault="003E5BF5" w:rsidP="00DE1921">
            <w:pPr>
              <w:pStyle w:val="TableTextRight"/>
              <w:rPr>
                <w:rFonts w:ascii="Arial" w:hAnsi="Arial" w:cs="Arial"/>
                <w:sz w:val="22"/>
              </w:rPr>
            </w:pPr>
            <w:r w:rsidRPr="007526FB">
              <w:rPr>
                <w:rFonts w:ascii="Arial" w:hAnsi="Arial" w:cs="Arial"/>
                <w:sz w:val="22"/>
              </w:rPr>
              <w:t>a</w:t>
            </w:r>
          </w:p>
        </w:tc>
      </w:tr>
      <w:tr w:rsidR="003E5BF5" w:rsidRPr="007526FB" w14:paraId="4A0BB211" w14:textId="77777777" w:rsidTr="00DC3814">
        <w:trPr>
          <w:trHeight w:val="340"/>
        </w:trPr>
        <w:tc>
          <w:tcPr>
            <w:tcW w:w="4217" w:type="dxa"/>
            <w:shd w:val="clear" w:color="auto" w:fill="auto"/>
            <w:tcMar>
              <w:left w:w="57" w:type="dxa"/>
              <w:right w:w="57" w:type="dxa"/>
            </w:tcMar>
            <w:vAlign w:val="center"/>
          </w:tcPr>
          <w:p w14:paraId="320E6284" w14:textId="77777777" w:rsidR="003E5BF5" w:rsidRPr="007526FB" w:rsidRDefault="003E5BF5" w:rsidP="00DE1921">
            <w:pPr>
              <w:pStyle w:val="TableTextLeft"/>
              <w:rPr>
                <w:rFonts w:ascii="Arial" w:hAnsi="Arial" w:cs="Arial"/>
                <w:sz w:val="22"/>
              </w:rPr>
            </w:pPr>
            <w:r w:rsidRPr="007526FB">
              <w:rPr>
                <w:rFonts w:ascii="Arial" w:hAnsi="Arial" w:cs="Arial"/>
                <w:sz w:val="22"/>
              </w:rPr>
              <w:t>Special appropriations</w:t>
            </w:r>
          </w:p>
        </w:tc>
        <w:tc>
          <w:tcPr>
            <w:tcW w:w="1109" w:type="dxa"/>
            <w:gridSpan w:val="3"/>
            <w:shd w:val="clear" w:color="auto" w:fill="auto"/>
            <w:vAlign w:val="center"/>
          </w:tcPr>
          <w:p w14:paraId="6CE62649" w14:textId="77777777" w:rsidR="003E5BF5" w:rsidRPr="007526FB" w:rsidRDefault="003E5BF5" w:rsidP="00DE1921">
            <w:pPr>
              <w:pStyle w:val="TableTextRight"/>
              <w:rPr>
                <w:rFonts w:ascii="Arial" w:hAnsi="Arial" w:cs="Arial"/>
                <w:sz w:val="22"/>
              </w:rPr>
            </w:pPr>
            <w:r w:rsidRPr="007526FB">
              <w:rPr>
                <w:rFonts w:ascii="Arial" w:hAnsi="Arial" w:cs="Arial"/>
                <w:sz w:val="22"/>
              </w:rPr>
              <w:t xml:space="preserve">438.5 </w:t>
            </w:r>
          </w:p>
        </w:tc>
        <w:tc>
          <w:tcPr>
            <w:tcW w:w="1372" w:type="dxa"/>
            <w:shd w:val="clear" w:color="auto" w:fill="auto"/>
            <w:tcMar>
              <w:left w:w="57" w:type="dxa"/>
              <w:right w:w="57" w:type="dxa"/>
            </w:tcMar>
            <w:vAlign w:val="center"/>
          </w:tcPr>
          <w:p w14:paraId="5457B189" w14:textId="77777777" w:rsidR="003E5BF5" w:rsidRPr="007526FB" w:rsidRDefault="003E5BF5" w:rsidP="00DE1921">
            <w:pPr>
              <w:pStyle w:val="TableTextRight"/>
              <w:rPr>
                <w:rFonts w:ascii="Arial" w:hAnsi="Arial" w:cs="Arial"/>
                <w:sz w:val="22"/>
              </w:rPr>
            </w:pPr>
            <w:r w:rsidRPr="007526FB">
              <w:rPr>
                <w:rFonts w:ascii="Arial" w:hAnsi="Arial" w:cs="Arial"/>
                <w:sz w:val="22"/>
              </w:rPr>
              <w:t xml:space="preserve">631.0 </w:t>
            </w:r>
          </w:p>
        </w:tc>
        <w:tc>
          <w:tcPr>
            <w:tcW w:w="1099" w:type="dxa"/>
            <w:shd w:val="clear" w:color="auto" w:fill="auto"/>
            <w:tcMar>
              <w:left w:w="57" w:type="dxa"/>
              <w:right w:w="57" w:type="dxa"/>
            </w:tcMar>
            <w:vAlign w:val="center"/>
          </w:tcPr>
          <w:p w14:paraId="4342A7B7" w14:textId="77777777" w:rsidR="003E5BF5" w:rsidRPr="007526FB" w:rsidRDefault="003E5BF5" w:rsidP="00DE1921">
            <w:pPr>
              <w:pStyle w:val="TableTextRight"/>
              <w:rPr>
                <w:rFonts w:ascii="Arial" w:hAnsi="Arial" w:cs="Arial"/>
                <w:sz w:val="22"/>
              </w:rPr>
            </w:pPr>
            <w:r w:rsidRPr="007526FB">
              <w:rPr>
                <w:rFonts w:ascii="Arial" w:hAnsi="Arial" w:cs="Arial"/>
                <w:sz w:val="22"/>
              </w:rPr>
              <w:t>(192.5)</w:t>
            </w:r>
          </w:p>
        </w:tc>
        <w:tc>
          <w:tcPr>
            <w:tcW w:w="1134" w:type="dxa"/>
            <w:shd w:val="clear" w:color="auto" w:fill="auto"/>
            <w:tcMar>
              <w:left w:w="57" w:type="dxa"/>
              <w:right w:w="57" w:type="dxa"/>
            </w:tcMar>
            <w:vAlign w:val="center"/>
          </w:tcPr>
          <w:p w14:paraId="6F28F43D" w14:textId="77777777" w:rsidR="003E5BF5" w:rsidRPr="007526FB" w:rsidRDefault="003E5BF5" w:rsidP="00DE1921">
            <w:pPr>
              <w:pStyle w:val="TableTextRight"/>
              <w:rPr>
                <w:rFonts w:ascii="Arial" w:hAnsi="Arial" w:cs="Arial"/>
                <w:sz w:val="22"/>
              </w:rPr>
            </w:pPr>
            <w:r w:rsidRPr="007526FB">
              <w:rPr>
                <w:rFonts w:ascii="Arial" w:hAnsi="Arial" w:cs="Arial"/>
                <w:sz w:val="22"/>
              </w:rPr>
              <w:t>(30) %</w:t>
            </w:r>
          </w:p>
        </w:tc>
        <w:tc>
          <w:tcPr>
            <w:tcW w:w="708" w:type="dxa"/>
            <w:shd w:val="clear" w:color="auto" w:fill="auto"/>
            <w:tcMar>
              <w:left w:w="57" w:type="dxa"/>
              <w:right w:w="57" w:type="dxa"/>
            </w:tcMar>
            <w:vAlign w:val="center"/>
          </w:tcPr>
          <w:p w14:paraId="112EC36C" w14:textId="77777777" w:rsidR="003E5BF5" w:rsidRPr="007526FB" w:rsidRDefault="003E5BF5" w:rsidP="00DE1921">
            <w:pPr>
              <w:pStyle w:val="TableTextRight"/>
              <w:rPr>
                <w:rFonts w:ascii="Arial" w:hAnsi="Arial" w:cs="Arial"/>
                <w:sz w:val="22"/>
              </w:rPr>
            </w:pPr>
            <w:r w:rsidRPr="007526FB">
              <w:rPr>
                <w:rFonts w:ascii="Arial" w:hAnsi="Arial" w:cs="Arial"/>
                <w:sz w:val="22"/>
              </w:rPr>
              <w:t>b</w:t>
            </w:r>
          </w:p>
        </w:tc>
      </w:tr>
      <w:tr w:rsidR="003E5BF5" w:rsidRPr="007526FB" w14:paraId="23F6AD2E" w14:textId="77777777" w:rsidTr="00DC3814">
        <w:trPr>
          <w:trHeight w:val="340"/>
        </w:trPr>
        <w:tc>
          <w:tcPr>
            <w:tcW w:w="4217" w:type="dxa"/>
            <w:shd w:val="clear" w:color="auto" w:fill="auto"/>
            <w:tcMar>
              <w:left w:w="57" w:type="dxa"/>
              <w:right w:w="57" w:type="dxa"/>
            </w:tcMar>
            <w:vAlign w:val="center"/>
          </w:tcPr>
          <w:p w14:paraId="3DBB19FB" w14:textId="77777777" w:rsidR="003E5BF5" w:rsidRPr="007526FB" w:rsidRDefault="003E5BF5" w:rsidP="00DE1921">
            <w:pPr>
              <w:pStyle w:val="TableTextLeft"/>
              <w:rPr>
                <w:rFonts w:ascii="Arial" w:hAnsi="Arial" w:cs="Arial"/>
                <w:sz w:val="22"/>
              </w:rPr>
            </w:pPr>
            <w:r w:rsidRPr="007526FB">
              <w:rPr>
                <w:rFonts w:ascii="Arial" w:hAnsi="Arial" w:cs="Arial"/>
                <w:sz w:val="22"/>
              </w:rPr>
              <w:t>Interest</w:t>
            </w:r>
          </w:p>
        </w:tc>
        <w:tc>
          <w:tcPr>
            <w:tcW w:w="1109" w:type="dxa"/>
            <w:gridSpan w:val="3"/>
            <w:shd w:val="clear" w:color="auto" w:fill="auto"/>
            <w:vAlign w:val="center"/>
          </w:tcPr>
          <w:p w14:paraId="4DE089ED" w14:textId="77777777" w:rsidR="003E5BF5" w:rsidRPr="007526FB" w:rsidRDefault="003E5BF5" w:rsidP="00DE1921">
            <w:pPr>
              <w:pStyle w:val="TableTextRight"/>
              <w:rPr>
                <w:rFonts w:ascii="Arial" w:hAnsi="Arial" w:cs="Arial"/>
                <w:sz w:val="22"/>
              </w:rPr>
            </w:pPr>
            <w:r w:rsidRPr="007526FB">
              <w:rPr>
                <w:rFonts w:ascii="Arial" w:hAnsi="Arial" w:cs="Arial"/>
                <w:sz w:val="22"/>
              </w:rPr>
              <w:t xml:space="preserve">2.7 </w:t>
            </w:r>
          </w:p>
        </w:tc>
        <w:tc>
          <w:tcPr>
            <w:tcW w:w="1372" w:type="dxa"/>
            <w:shd w:val="clear" w:color="auto" w:fill="auto"/>
            <w:tcMar>
              <w:left w:w="57" w:type="dxa"/>
              <w:right w:w="57" w:type="dxa"/>
            </w:tcMar>
            <w:vAlign w:val="center"/>
          </w:tcPr>
          <w:p w14:paraId="3A181779" w14:textId="77777777" w:rsidR="003E5BF5" w:rsidRPr="007526FB" w:rsidRDefault="003E5BF5" w:rsidP="00DE1921">
            <w:pPr>
              <w:pStyle w:val="TableTextRight"/>
              <w:rPr>
                <w:rFonts w:ascii="Arial" w:hAnsi="Arial" w:cs="Arial"/>
                <w:sz w:val="22"/>
              </w:rPr>
            </w:pPr>
            <w:r w:rsidRPr="007526FB">
              <w:rPr>
                <w:rFonts w:ascii="Arial" w:hAnsi="Arial" w:cs="Arial"/>
                <w:sz w:val="22"/>
              </w:rPr>
              <w:t xml:space="preserve">4.0 </w:t>
            </w:r>
          </w:p>
        </w:tc>
        <w:tc>
          <w:tcPr>
            <w:tcW w:w="1099" w:type="dxa"/>
            <w:shd w:val="clear" w:color="auto" w:fill="auto"/>
            <w:tcMar>
              <w:left w:w="57" w:type="dxa"/>
              <w:right w:w="57" w:type="dxa"/>
            </w:tcMar>
            <w:vAlign w:val="center"/>
          </w:tcPr>
          <w:p w14:paraId="494956A5" w14:textId="77777777" w:rsidR="003E5BF5" w:rsidRPr="007526FB" w:rsidRDefault="003E5BF5" w:rsidP="00DE1921">
            <w:pPr>
              <w:pStyle w:val="TableTextRight"/>
              <w:rPr>
                <w:rFonts w:ascii="Arial" w:hAnsi="Arial" w:cs="Arial"/>
                <w:sz w:val="22"/>
              </w:rPr>
            </w:pPr>
            <w:r w:rsidRPr="007526FB">
              <w:rPr>
                <w:rFonts w:ascii="Arial" w:hAnsi="Arial" w:cs="Arial"/>
                <w:sz w:val="22"/>
              </w:rPr>
              <w:t>(1.3)</w:t>
            </w:r>
          </w:p>
        </w:tc>
        <w:tc>
          <w:tcPr>
            <w:tcW w:w="1134" w:type="dxa"/>
            <w:shd w:val="clear" w:color="auto" w:fill="auto"/>
            <w:tcMar>
              <w:left w:w="57" w:type="dxa"/>
              <w:right w:w="57" w:type="dxa"/>
            </w:tcMar>
            <w:vAlign w:val="center"/>
          </w:tcPr>
          <w:p w14:paraId="1D8DE20B" w14:textId="77777777" w:rsidR="003E5BF5" w:rsidRPr="007526FB" w:rsidRDefault="003E5BF5" w:rsidP="00DE1921">
            <w:pPr>
              <w:pStyle w:val="TableTextRight"/>
              <w:rPr>
                <w:rFonts w:ascii="Arial" w:hAnsi="Arial" w:cs="Arial"/>
                <w:sz w:val="22"/>
              </w:rPr>
            </w:pPr>
            <w:r w:rsidRPr="007526FB">
              <w:rPr>
                <w:rFonts w:ascii="Arial" w:hAnsi="Arial" w:cs="Arial"/>
                <w:sz w:val="22"/>
              </w:rPr>
              <w:t>(31) %</w:t>
            </w:r>
          </w:p>
        </w:tc>
        <w:tc>
          <w:tcPr>
            <w:tcW w:w="708" w:type="dxa"/>
            <w:shd w:val="clear" w:color="auto" w:fill="auto"/>
            <w:tcMar>
              <w:left w:w="57" w:type="dxa"/>
              <w:right w:w="57" w:type="dxa"/>
            </w:tcMar>
            <w:vAlign w:val="center"/>
          </w:tcPr>
          <w:p w14:paraId="67257B43" w14:textId="77777777" w:rsidR="003E5BF5" w:rsidRPr="007526FB" w:rsidRDefault="003E5BF5" w:rsidP="00DE1921">
            <w:pPr>
              <w:pStyle w:val="TableTextRight"/>
              <w:rPr>
                <w:rFonts w:ascii="Arial" w:hAnsi="Arial" w:cs="Arial"/>
                <w:sz w:val="22"/>
              </w:rPr>
            </w:pPr>
            <w:r w:rsidRPr="007526FB">
              <w:rPr>
                <w:rFonts w:ascii="Arial" w:hAnsi="Arial" w:cs="Arial"/>
                <w:sz w:val="22"/>
              </w:rPr>
              <w:t>c</w:t>
            </w:r>
          </w:p>
        </w:tc>
      </w:tr>
      <w:tr w:rsidR="003E5BF5" w:rsidRPr="007526FB" w14:paraId="17D7B65F" w14:textId="77777777" w:rsidTr="00DC3814">
        <w:trPr>
          <w:trHeight w:val="340"/>
        </w:trPr>
        <w:tc>
          <w:tcPr>
            <w:tcW w:w="4217" w:type="dxa"/>
            <w:shd w:val="clear" w:color="auto" w:fill="auto"/>
            <w:tcMar>
              <w:left w:w="57" w:type="dxa"/>
              <w:right w:w="57" w:type="dxa"/>
            </w:tcMar>
            <w:vAlign w:val="center"/>
          </w:tcPr>
          <w:p w14:paraId="495E9082" w14:textId="77777777" w:rsidR="003E5BF5" w:rsidRPr="007526FB" w:rsidRDefault="003E5BF5" w:rsidP="00DE1921">
            <w:pPr>
              <w:pStyle w:val="TableTextLeft"/>
              <w:rPr>
                <w:rFonts w:ascii="Arial" w:hAnsi="Arial" w:cs="Arial"/>
                <w:sz w:val="22"/>
              </w:rPr>
            </w:pPr>
            <w:r w:rsidRPr="007526FB">
              <w:rPr>
                <w:rFonts w:ascii="Arial" w:hAnsi="Arial" w:cs="Arial"/>
                <w:sz w:val="22"/>
              </w:rPr>
              <w:t>Sales of goods and services</w:t>
            </w:r>
          </w:p>
        </w:tc>
        <w:tc>
          <w:tcPr>
            <w:tcW w:w="1109" w:type="dxa"/>
            <w:gridSpan w:val="3"/>
            <w:shd w:val="clear" w:color="auto" w:fill="auto"/>
            <w:vAlign w:val="center"/>
          </w:tcPr>
          <w:p w14:paraId="4BDA9A0D" w14:textId="77777777" w:rsidR="003E5BF5" w:rsidRPr="007526FB" w:rsidRDefault="003E5BF5" w:rsidP="00DE1921">
            <w:pPr>
              <w:pStyle w:val="TableTextRight"/>
              <w:rPr>
                <w:rFonts w:ascii="Arial" w:hAnsi="Arial" w:cs="Arial"/>
                <w:sz w:val="22"/>
              </w:rPr>
            </w:pPr>
            <w:r w:rsidRPr="007526FB">
              <w:rPr>
                <w:rFonts w:ascii="Arial" w:hAnsi="Arial" w:cs="Arial"/>
                <w:sz w:val="22"/>
              </w:rPr>
              <w:t xml:space="preserve">318.8 </w:t>
            </w:r>
          </w:p>
        </w:tc>
        <w:tc>
          <w:tcPr>
            <w:tcW w:w="1372" w:type="dxa"/>
            <w:shd w:val="clear" w:color="auto" w:fill="auto"/>
            <w:tcMar>
              <w:left w:w="57" w:type="dxa"/>
              <w:right w:w="57" w:type="dxa"/>
            </w:tcMar>
            <w:vAlign w:val="center"/>
          </w:tcPr>
          <w:p w14:paraId="1C54C1DC" w14:textId="77777777" w:rsidR="003E5BF5" w:rsidRPr="007526FB" w:rsidRDefault="003E5BF5" w:rsidP="00DE1921">
            <w:pPr>
              <w:pStyle w:val="TableTextRight"/>
              <w:rPr>
                <w:rFonts w:ascii="Arial" w:hAnsi="Arial" w:cs="Arial"/>
                <w:sz w:val="22"/>
              </w:rPr>
            </w:pPr>
            <w:r w:rsidRPr="007526FB">
              <w:rPr>
                <w:rFonts w:ascii="Arial" w:hAnsi="Arial" w:cs="Arial"/>
                <w:sz w:val="22"/>
              </w:rPr>
              <w:t xml:space="preserve">566.0 </w:t>
            </w:r>
          </w:p>
        </w:tc>
        <w:tc>
          <w:tcPr>
            <w:tcW w:w="1099" w:type="dxa"/>
            <w:shd w:val="clear" w:color="auto" w:fill="auto"/>
            <w:tcMar>
              <w:left w:w="57" w:type="dxa"/>
              <w:right w:w="57" w:type="dxa"/>
            </w:tcMar>
            <w:vAlign w:val="center"/>
          </w:tcPr>
          <w:p w14:paraId="7A9DE64A" w14:textId="77777777" w:rsidR="003E5BF5" w:rsidRPr="007526FB" w:rsidRDefault="003E5BF5" w:rsidP="00DE1921">
            <w:pPr>
              <w:pStyle w:val="TableTextRight"/>
              <w:rPr>
                <w:rFonts w:ascii="Arial" w:hAnsi="Arial" w:cs="Arial"/>
                <w:sz w:val="22"/>
              </w:rPr>
            </w:pPr>
            <w:r w:rsidRPr="007526FB">
              <w:rPr>
                <w:rFonts w:ascii="Arial" w:hAnsi="Arial" w:cs="Arial"/>
                <w:sz w:val="22"/>
              </w:rPr>
              <w:t>(247.2)</w:t>
            </w:r>
          </w:p>
        </w:tc>
        <w:tc>
          <w:tcPr>
            <w:tcW w:w="1134" w:type="dxa"/>
            <w:shd w:val="clear" w:color="auto" w:fill="auto"/>
            <w:tcMar>
              <w:left w:w="57" w:type="dxa"/>
              <w:right w:w="57" w:type="dxa"/>
            </w:tcMar>
            <w:vAlign w:val="center"/>
          </w:tcPr>
          <w:p w14:paraId="1698AF21" w14:textId="77777777" w:rsidR="003E5BF5" w:rsidRPr="007526FB" w:rsidRDefault="003E5BF5" w:rsidP="00DE1921">
            <w:pPr>
              <w:pStyle w:val="TableTextRight"/>
              <w:rPr>
                <w:rFonts w:ascii="Arial" w:hAnsi="Arial" w:cs="Arial"/>
                <w:sz w:val="22"/>
              </w:rPr>
            </w:pPr>
            <w:r w:rsidRPr="007526FB">
              <w:rPr>
                <w:rFonts w:ascii="Arial" w:hAnsi="Arial" w:cs="Arial"/>
                <w:sz w:val="22"/>
              </w:rPr>
              <w:t>(44) %</w:t>
            </w:r>
          </w:p>
        </w:tc>
        <w:tc>
          <w:tcPr>
            <w:tcW w:w="708" w:type="dxa"/>
            <w:shd w:val="clear" w:color="auto" w:fill="auto"/>
            <w:tcMar>
              <w:left w:w="57" w:type="dxa"/>
              <w:right w:w="57" w:type="dxa"/>
            </w:tcMar>
            <w:vAlign w:val="center"/>
          </w:tcPr>
          <w:p w14:paraId="7A833D68" w14:textId="77777777" w:rsidR="003E5BF5" w:rsidRPr="007526FB" w:rsidRDefault="003E5BF5" w:rsidP="00DE1921">
            <w:pPr>
              <w:pStyle w:val="TableTextRight"/>
              <w:rPr>
                <w:rFonts w:ascii="Arial" w:hAnsi="Arial" w:cs="Arial"/>
                <w:sz w:val="22"/>
              </w:rPr>
            </w:pPr>
            <w:r w:rsidRPr="007526FB">
              <w:rPr>
                <w:rFonts w:ascii="Arial" w:hAnsi="Arial" w:cs="Arial"/>
                <w:sz w:val="22"/>
              </w:rPr>
              <w:t>d</w:t>
            </w:r>
          </w:p>
        </w:tc>
      </w:tr>
      <w:tr w:rsidR="003E5BF5" w:rsidRPr="007526FB" w14:paraId="0487EDED" w14:textId="77777777" w:rsidTr="00DC3814">
        <w:trPr>
          <w:trHeight w:val="340"/>
        </w:trPr>
        <w:tc>
          <w:tcPr>
            <w:tcW w:w="4217" w:type="dxa"/>
            <w:shd w:val="clear" w:color="auto" w:fill="auto"/>
            <w:tcMar>
              <w:left w:w="57" w:type="dxa"/>
              <w:right w:w="57" w:type="dxa"/>
            </w:tcMar>
            <w:vAlign w:val="center"/>
          </w:tcPr>
          <w:p w14:paraId="497C0A17" w14:textId="77777777" w:rsidR="003E5BF5" w:rsidRPr="007526FB" w:rsidRDefault="003E5BF5" w:rsidP="00DE1921">
            <w:pPr>
              <w:pStyle w:val="TableTextLeft"/>
              <w:rPr>
                <w:rFonts w:ascii="Arial" w:hAnsi="Arial" w:cs="Arial"/>
                <w:sz w:val="22"/>
              </w:rPr>
            </w:pPr>
            <w:r w:rsidRPr="007526FB">
              <w:rPr>
                <w:rFonts w:ascii="Arial" w:hAnsi="Arial" w:cs="Arial"/>
                <w:sz w:val="22"/>
              </w:rPr>
              <w:t>Grants</w:t>
            </w:r>
          </w:p>
        </w:tc>
        <w:tc>
          <w:tcPr>
            <w:tcW w:w="1109" w:type="dxa"/>
            <w:gridSpan w:val="3"/>
            <w:shd w:val="clear" w:color="auto" w:fill="auto"/>
            <w:vAlign w:val="center"/>
          </w:tcPr>
          <w:p w14:paraId="369BFB4F" w14:textId="77777777" w:rsidR="003E5BF5" w:rsidRPr="007526FB" w:rsidRDefault="003E5BF5" w:rsidP="00DE1921">
            <w:pPr>
              <w:pStyle w:val="TableTextRight"/>
              <w:rPr>
                <w:rFonts w:ascii="Arial" w:hAnsi="Arial" w:cs="Arial"/>
                <w:sz w:val="22"/>
              </w:rPr>
            </w:pPr>
            <w:r w:rsidRPr="007526FB">
              <w:rPr>
                <w:rFonts w:ascii="Arial" w:hAnsi="Arial" w:cs="Arial"/>
                <w:sz w:val="22"/>
              </w:rPr>
              <w:t xml:space="preserve">467.0 </w:t>
            </w:r>
          </w:p>
        </w:tc>
        <w:tc>
          <w:tcPr>
            <w:tcW w:w="1372" w:type="dxa"/>
            <w:shd w:val="clear" w:color="auto" w:fill="auto"/>
            <w:tcMar>
              <w:left w:w="57" w:type="dxa"/>
              <w:right w:w="57" w:type="dxa"/>
            </w:tcMar>
            <w:vAlign w:val="center"/>
          </w:tcPr>
          <w:p w14:paraId="1904CF35" w14:textId="77777777" w:rsidR="003E5BF5" w:rsidRPr="007526FB" w:rsidRDefault="003E5BF5" w:rsidP="00DE1921">
            <w:pPr>
              <w:pStyle w:val="TableTextRight"/>
              <w:rPr>
                <w:rFonts w:ascii="Arial" w:hAnsi="Arial" w:cs="Arial"/>
                <w:sz w:val="22"/>
              </w:rPr>
            </w:pPr>
            <w:r w:rsidRPr="007526FB">
              <w:rPr>
                <w:rFonts w:ascii="Arial" w:hAnsi="Arial" w:cs="Arial"/>
                <w:sz w:val="22"/>
              </w:rPr>
              <w:t xml:space="preserve">562.0 </w:t>
            </w:r>
          </w:p>
        </w:tc>
        <w:tc>
          <w:tcPr>
            <w:tcW w:w="1099" w:type="dxa"/>
            <w:shd w:val="clear" w:color="auto" w:fill="auto"/>
            <w:tcMar>
              <w:left w:w="57" w:type="dxa"/>
              <w:right w:w="57" w:type="dxa"/>
            </w:tcMar>
            <w:vAlign w:val="center"/>
          </w:tcPr>
          <w:p w14:paraId="688DDEFF" w14:textId="77777777" w:rsidR="003E5BF5" w:rsidRPr="007526FB" w:rsidRDefault="003E5BF5" w:rsidP="00DE1921">
            <w:pPr>
              <w:pStyle w:val="TableTextRight"/>
              <w:rPr>
                <w:rFonts w:ascii="Arial" w:hAnsi="Arial" w:cs="Arial"/>
                <w:sz w:val="22"/>
              </w:rPr>
            </w:pPr>
            <w:r w:rsidRPr="007526FB">
              <w:rPr>
                <w:rFonts w:ascii="Arial" w:hAnsi="Arial" w:cs="Arial"/>
                <w:sz w:val="22"/>
              </w:rPr>
              <w:t>(95.0)</w:t>
            </w:r>
          </w:p>
        </w:tc>
        <w:tc>
          <w:tcPr>
            <w:tcW w:w="1134" w:type="dxa"/>
            <w:shd w:val="clear" w:color="auto" w:fill="auto"/>
            <w:tcMar>
              <w:left w:w="57" w:type="dxa"/>
              <w:right w:w="57" w:type="dxa"/>
            </w:tcMar>
            <w:vAlign w:val="center"/>
          </w:tcPr>
          <w:p w14:paraId="25B0C610" w14:textId="77777777" w:rsidR="003E5BF5" w:rsidRPr="007526FB" w:rsidRDefault="003E5BF5" w:rsidP="00DE1921">
            <w:pPr>
              <w:pStyle w:val="TableTextRight"/>
              <w:rPr>
                <w:rFonts w:ascii="Arial" w:hAnsi="Arial" w:cs="Arial"/>
                <w:sz w:val="22"/>
              </w:rPr>
            </w:pPr>
            <w:r w:rsidRPr="007526FB">
              <w:rPr>
                <w:rFonts w:ascii="Arial" w:hAnsi="Arial" w:cs="Arial"/>
                <w:sz w:val="22"/>
              </w:rPr>
              <w:t>(17) %</w:t>
            </w:r>
          </w:p>
        </w:tc>
        <w:tc>
          <w:tcPr>
            <w:tcW w:w="708" w:type="dxa"/>
            <w:shd w:val="clear" w:color="auto" w:fill="auto"/>
            <w:tcMar>
              <w:left w:w="57" w:type="dxa"/>
              <w:right w:w="57" w:type="dxa"/>
            </w:tcMar>
            <w:vAlign w:val="center"/>
          </w:tcPr>
          <w:p w14:paraId="09AB1D19" w14:textId="77777777" w:rsidR="003E5BF5" w:rsidRPr="007526FB" w:rsidRDefault="003E5BF5" w:rsidP="00DE1921">
            <w:pPr>
              <w:pStyle w:val="TableTextRight"/>
              <w:rPr>
                <w:rFonts w:ascii="Arial" w:hAnsi="Arial" w:cs="Arial"/>
                <w:sz w:val="22"/>
              </w:rPr>
            </w:pPr>
            <w:r w:rsidRPr="007526FB">
              <w:rPr>
                <w:rFonts w:ascii="Arial" w:hAnsi="Arial" w:cs="Arial"/>
                <w:sz w:val="22"/>
              </w:rPr>
              <w:t>e</w:t>
            </w:r>
          </w:p>
        </w:tc>
      </w:tr>
      <w:tr w:rsidR="003E5BF5" w:rsidRPr="007526FB" w14:paraId="07B7B860" w14:textId="77777777" w:rsidTr="00DC3814">
        <w:trPr>
          <w:trHeight w:val="340"/>
        </w:trPr>
        <w:tc>
          <w:tcPr>
            <w:tcW w:w="4217" w:type="dxa"/>
            <w:shd w:val="clear" w:color="auto" w:fill="auto"/>
            <w:tcMar>
              <w:left w:w="57" w:type="dxa"/>
              <w:right w:w="57" w:type="dxa"/>
            </w:tcMar>
            <w:vAlign w:val="center"/>
          </w:tcPr>
          <w:p w14:paraId="6DBF4628" w14:textId="77777777" w:rsidR="003E5BF5" w:rsidRPr="007526FB" w:rsidRDefault="003E5BF5" w:rsidP="00DE1921">
            <w:pPr>
              <w:pStyle w:val="TableTextLeft"/>
              <w:rPr>
                <w:rFonts w:ascii="Arial" w:hAnsi="Arial" w:cs="Arial"/>
                <w:sz w:val="22"/>
              </w:rPr>
            </w:pPr>
            <w:r w:rsidRPr="007526FB">
              <w:rPr>
                <w:rFonts w:ascii="Arial" w:hAnsi="Arial" w:cs="Arial"/>
                <w:sz w:val="22"/>
              </w:rPr>
              <w:t>Fair value of assets and services received free of charge or for nominal consideration</w:t>
            </w:r>
          </w:p>
        </w:tc>
        <w:tc>
          <w:tcPr>
            <w:tcW w:w="1109" w:type="dxa"/>
            <w:gridSpan w:val="3"/>
            <w:shd w:val="clear" w:color="auto" w:fill="auto"/>
          </w:tcPr>
          <w:p w14:paraId="5DF35B0D" w14:textId="77777777" w:rsidR="003E5BF5" w:rsidRPr="007526FB" w:rsidRDefault="003E5BF5" w:rsidP="00DE1921">
            <w:pPr>
              <w:pStyle w:val="TableTextRight"/>
              <w:rPr>
                <w:rFonts w:ascii="Arial" w:hAnsi="Arial" w:cs="Arial"/>
                <w:sz w:val="22"/>
              </w:rPr>
            </w:pPr>
            <w:r w:rsidRPr="007526FB">
              <w:rPr>
                <w:rFonts w:ascii="Arial" w:hAnsi="Arial" w:cs="Arial"/>
                <w:sz w:val="22"/>
              </w:rPr>
              <w:t xml:space="preserve">11.1 </w:t>
            </w:r>
          </w:p>
        </w:tc>
        <w:tc>
          <w:tcPr>
            <w:tcW w:w="1372" w:type="dxa"/>
            <w:shd w:val="clear" w:color="auto" w:fill="auto"/>
            <w:tcMar>
              <w:left w:w="57" w:type="dxa"/>
              <w:right w:w="57" w:type="dxa"/>
            </w:tcMar>
          </w:tcPr>
          <w:p w14:paraId="5BF8D890" w14:textId="77777777" w:rsidR="003E5BF5" w:rsidRPr="007526FB" w:rsidRDefault="003E5BF5" w:rsidP="00DE1921">
            <w:pPr>
              <w:pStyle w:val="TableTextRight"/>
              <w:rPr>
                <w:rFonts w:ascii="Arial" w:hAnsi="Arial" w:cs="Arial"/>
                <w:sz w:val="22"/>
              </w:rPr>
            </w:pPr>
            <w:r w:rsidRPr="007526FB">
              <w:rPr>
                <w:rFonts w:ascii="Arial" w:hAnsi="Arial" w:cs="Arial"/>
                <w:sz w:val="22"/>
              </w:rPr>
              <w:t xml:space="preserve">55.0 </w:t>
            </w:r>
          </w:p>
        </w:tc>
        <w:tc>
          <w:tcPr>
            <w:tcW w:w="1099" w:type="dxa"/>
            <w:shd w:val="clear" w:color="auto" w:fill="auto"/>
            <w:tcMar>
              <w:left w:w="57" w:type="dxa"/>
              <w:right w:w="57" w:type="dxa"/>
            </w:tcMar>
          </w:tcPr>
          <w:p w14:paraId="7498FA28" w14:textId="77777777" w:rsidR="003E5BF5" w:rsidRPr="007526FB" w:rsidRDefault="003E5BF5" w:rsidP="00DE1921">
            <w:pPr>
              <w:pStyle w:val="TableTextRight"/>
              <w:rPr>
                <w:rFonts w:ascii="Arial" w:hAnsi="Arial" w:cs="Arial"/>
                <w:sz w:val="22"/>
              </w:rPr>
            </w:pPr>
            <w:r w:rsidRPr="007526FB">
              <w:rPr>
                <w:rFonts w:ascii="Arial" w:hAnsi="Arial" w:cs="Arial"/>
                <w:sz w:val="22"/>
              </w:rPr>
              <w:t>(43.9)</w:t>
            </w:r>
          </w:p>
        </w:tc>
        <w:tc>
          <w:tcPr>
            <w:tcW w:w="1134" w:type="dxa"/>
            <w:shd w:val="clear" w:color="auto" w:fill="auto"/>
            <w:tcMar>
              <w:left w:w="57" w:type="dxa"/>
              <w:right w:w="57" w:type="dxa"/>
            </w:tcMar>
          </w:tcPr>
          <w:p w14:paraId="2BC1B550" w14:textId="77777777" w:rsidR="003E5BF5" w:rsidRPr="007526FB" w:rsidRDefault="003E5BF5" w:rsidP="00DE1921">
            <w:pPr>
              <w:pStyle w:val="TableTextRight"/>
              <w:rPr>
                <w:rFonts w:ascii="Arial" w:hAnsi="Arial" w:cs="Arial"/>
                <w:sz w:val="22"/>
              </w:rPr>
            </w:pPr>
            <w:r w:rsidRPr="007526FB">
              <w:rPr>
                <w:rFonts w:ascii="Arial" w:hAnsi="Arial" w:cs="Arial"/>
                <w:sz w:val="22"/>
              </w:rPr>
              <w:t>(80) %</w:t>
            </w:r>
          </w:p>
        </w:tc>
        <w:tc>
          <w:tcPr>
            <w:tcW w:w="708" w:type="dxa"/>
            <w:shd w:val="clear" w:color="auto" w:fill="auto"/>
            <w:tcMar>
              <w:left w:w="57" w:type="dxa"/>
              <w:right w:w="57" w:type="dxa"/>
            </w:tcMar>
          </w:tcPr>
          <w:p w14:paraId="41557D61" w14:textId="77777777" w:rsidR="003E5BF5" w:rsidRPr="007526FB" w:rsidRDefault="003E5BF5" w:rsidP="00DE1921">
            <w:pPr>
              <w:pStyle w:val="TableTextRight"/>
              <w:rPr>
                <w:rFonts w:ascii="Arial" w:hAnsi="Arial" w:cs="Arial"/>
                <w:sz w:val="22"/>
              </w:rPr>
            </w:pPr>
            <w:r w:rsidRPr="007526FB">
              <w:rPr>
                <w:rFonts w:ascii="Arial" w:hAnsi="Arial" w:cs="Arial"/>
                <w:sz w:val="22"/>
              </w:rPr>
              <w:t>f</w:t>
            </w:r>
          </w:p>
        </w:tc>
      </w:tr>
      <w:tr w:rsidR="003E5BF5" w:rsidRPr="007526FB" w14:paraId="582FC079" w14:textId="77777777" w:rsidTr="00DC3814">
        <w:trPr>
          <w:trHeight w:val="340"/>
        </w:trPr>
        <w:tc>
          <w:tcPr>
            <w:tcW w:w="4217" w:type="dxa"/>
            <w:shd w:val="clear" w:color="auto" w:fill="auto"/>
            <w:tcMar>
              <w:left w:w="57" w:type="dxa"/>
              <w:right w:w="57" w:type="dxa"/>
            </w:tcMar>
            <w:vAlign w:val="center"/>
          </w:tcPr>
          <w:p w14:paraId="2E28EEF4" w14:textId="77777777" w:rsidR="003E5BF5" w:rsidRPr="007526FB" w:rsidRDefault="003E5BF5" w:rsidP="00DE1921">
            <w:pPr>
              <w:pStyle w:val="TableTextLeft"/>
              <w:rPr>
                <w:rFonts w:ascii="Arial" w:hAnsi="Arial" w:cs="Arial"/>
                <w:sz w:val="22"/>
              </w:rPr>
            </w:pPr>
            <w:r w:rsidRPr="007526FB">
              <w:rPr>
                <w:rFonts w:ascii="Arial" w:hAnsi="Arial" w:cs="Arial"/>
                <w:sz w:val="22"/>
              </w:rPr>
              <w:t>Other income</w:t>
            </w:r>
          </w:p>
        </w:tc>
        <w:tc>
          <w:tcPr>
            <w:tcW w:w="1109" w:type="dxa"/>
            <w:gridSpan w:val="3"/>
            <w:shd w:val="clear" w:color="auto" w:fill="auto"/>
            <w:vAlign w:val="center"/>
          </w:tcPr>
          <w:p w14:paraId="7363C354" w14:textId="77777777" w:rsidR="003E5BF5" w:rsidRPr="007526FB" w:rsidRDefault="003E5BF5" w:rsidP="00DE1921">
            <w:pPr>
              <w:pStyle w:val="TableTextRight"/>
              <w:rPr>
                <w:rFonts w:ascii="Arial" w:hAnsi="Arial" w:cs="Arial"/>
                <w:sz w:val="22"/>
              </w:rPr>
            </w:pPr>
            <w:r w:rsidRPr="007526FB">
              <w:rPr>
                <w:rFonts w:ascii="Arial" w:hAnsi="Arial" w:cs="Arial"/>
                <w:sz w:val="22"/>
              </w:rPr>
              <w:t xml:space="preserve">321.4 </w:t>
            </w:r>
          </w:p>
        </w:tc>
        <w:tc>
          <w:tcPr>
            <w:tcW w:w="1372" w:type="dxa"/>
            <w:shd w:val="clear" w:color="auto" w:fill="auto"/>
            <w:tcMar>
              <w:left w:w="57" w:type="dxa"/>
              <w:right w:w="57" w:type="dxa"/>
            </w:tcMar>
            <w:vAlign w:val="center"/>
          </w:tcPr>
          <w:p w14:paraId="554972AA" w14:textId="77777777" w:rsidR="003E5BF5" w:rsidRPr="007526FB" w:rsidRDefault="003E5BF5" w:rsidP="00DE1921">
            <w:pPr>
              <w:pStyle w:val="TableTextRight"/>
              <w:rPr>
                <w:rFonts w:ascii="Arial" w:hAnsi="Arial" w:cs="Arial"/>
                <w:sz w:val="22"/>
              </w:rPr>
            </w:pPr>
            <w:r w:rsidRPr="007526FB">
              <w:rPr>
                <w:rFonts w:ascii="Arial" w:hAnsi="Arial" w:cs="Arial"/>
                <w:sz w:val="22"/>
              </w:rPr>
              <w:t xml:space="preserve">428.0 </w:t>
            </w:r>
          </w:p>
        </w:tc>
        <w:tc>
          <w:tcPr>
            <w:tcW w:w="1099" w:type="dxa"/>
            <w:shd w:val="clear" w:color="auto" w:fill="auto"/>
            <w:tcMar>
              <w:left w:w="57" w:type="dxa"/>
              <w:right w:w="57" w:type="dxa"/>
            </w:tcMar>
            <w:vAlign w:val="center"/>
          </w:tcPr>
          <w:p w14:paraId="7DC0B50D" w14:textId="77777777" w:rsidR="003E5BF5" w:rsidRPr="007526FB" w:rsidRDefault="003E5BF5" w:rsidP="00DE1921">
            <w:pPr>
              <w:pStyle w:val="TableTextRight"/>
              <w:rPr>
                <w:rFonts w:ascii="Arial" w:hAnsi="Arial" w:cs="Arial"/>
                <w:sz w:val="22"/>
              </w:rPr>
            </w:pPr>
            <w:r w:rsidRPr="007526FB">
              <w:rPr>
                <w:rFonts w:ascii="Arial" w:hAnsi="Arial" w:cs="Arial"/>
                <w:sz w:val="22"/>
              </w:rPr>
              <w:t>(106.6)</w:t>
            </w:r>
          </w:p>
        </w:tc>
        <w:tc>
          <w:tcPr>
            <w:tcW w:w="1134" w:type="dxa"/>
            <w:shd w:val="clear" w:color="auto" w:fill="auto"/>
            <w:tcMar>
              <w:left w:w="57" w:type="dxa"/>
              <w:right w:w="57" w:type="dxa"/>
            </w:tcMar>
            <w:vAlign w:val="center"/>
          </w:tcPr>
          <w:p w14:paraId="64EEB6FF" w14:textId="77777777" w:rsidR="003E5BF5" w:rsidRPr="007526FB" w:rsidRDefault="003E5BF5" w:rsidP="00DE1921">
            <w:pPr>
              <w:pStyle w:val="TableTextRight"/>
              <w:rPr>
                <w:rFonts w:ascii="Arial" w:hAnsi="Arial" w:cs="Arial"/>
                <w:sz w:val="22"/>
              </w:rPr>
            </w:pPr>
            <w:r w:rsidRPr="007526FB">
              <w:rPr>
                <w:rFonts w:ascii="Arial" w:hAnsi="Arial" w:cs="Arial"/>
                <w:sz w:val="22"/>
              </w:rPr>
              <w:t>(25) %</w:t>
            </w:r>
          </w:p>
        </w:tc>
        <w:tc>
          <w:tcPr>
            <w:tcW w:w="708" w:type="dxa"/>
            <w:shd w:val="clear" w:color="auto" w:fill="auto"/>
            <w:tcMar>
              <w:left w:w="57" w:type="dxa"/>
              <w:right w:w="57" w:type="dxa"/>
            </w:tcMar>
            <w:vAlign w:val="center"/>
          </w:tcPr>
          <w:p w14:paraId="34EF3778" w14:textId="77777777" w:rsidR="003E5BF5" w:rsidRPr="007526FB" w:rsidRDefault="003E5BF5" w:rsidP="00DE1921">
            <w:pPr>
              <w:pStyle w:val="TableTextRight"/>
              <w:rPr>
                <w:rFonts w:ascii="Arial" w:hAnsi="Arial" w:cs="Arial"/>
                <w:sz w:val="22"/>
              </w:rPr>
            </w:pPr>
            <w:r w:rsidRPr="007526FB">
              <w:rPr>
                <w:rFonts w:ascii="Arial" w:hAnsi="Arial" w:cs="Arial"/>
                <w:sz w:val="22"/>
              </w:rPr>
              <w:t>g</w:t>
            </w:r>
          </w:p>
        </w:tc>
      </w:tr>
      <w:tr w:rsidR="003E5BF5" w:rsidRPr="007526FB" w14:paraId="61A3A6E3" w14:textId="77777777" w:rsidTr="00DC3814">
        <w:trPr>
          <w:trHeight w:val="340"/>
        </w:trPr>
        <w:tc>
          <w:tcPr>
            <w:tcW w:w="4217" w:type="dxa"/>
            <w:shd w:val="clear" w:color="auto" w:fill="auto"/>
            <w:tcMar>
              <w:left w:w="57" w:type="dxa"/>
              <w:right w:w="57" w:type="dxa"/>
            </w:tcMar>
            <w:vAlign w:val="center"/>
          </w:tcPr>
          <w:p w14:paraId="3AF7BF8B" w14:textId="77777777" w:rsidR="003E5BF5" w:rsidRPr="007526FB" w:rsidRDefault="003E5BF5" w:rsidP="00DE1921">
            <w:pPr>
              <w:pStyle w:val="TableTextLeftBold"/>
              <w:rPr>
                <w:rFonts w:ascii="Arial" w:hAnsi="Arial" w:cs="Arial"/>
                <w:sz w:val="22"/>
              </w:rPr>
            </w:pPr>
            <w:r w:rsidRPr="007526FB">
              <w:rPr>
                <w:rFonts w:ascii="Arial" w:hAnsi="Arial" w:cs="Arial"/>
                <w:sz w:val="22"/>
              </w:rPr>
              <w:t>Total income from transactions</w:t>
            </w:r>
          </w:p>
        </w:tc>
        <w:tc>
          <w:tcPr>
            <w:tcW w:w="1109" w:type="dxa"/>
            <w:gridSpan w:val="3"/>
            <w:shd w:val="clear" w:color="auto" w:fill="auto"/>
            <w:vAlign w:val="center"/>
          </w:tcPr>
          <w:p w14:paraId="4D7C0C50" w14:textId="77777777" w:rsidR="003E5BF5" w:rsidRPr="007526FB" w:rsidRDefault="003E5BF5" w:rsidP="00DE1921">
            <w:pPr>
              <w:pStyle w:val="TableTextRightBold"/>
              <w:rPr>
                <w:rFonts w:ascii="Arial" w:hAnsi="Arial" w:cs="Arial"/>
                <w:sz w:val="22"/>
              </w:rPr>
            </w:pPr>
            <w:r w:rsidRPr="007526FB">
              <w:rPr>
                <w:rFonts w:ascii="Arial" w:hAnsi="Arial" w:cs="Arial"/>
                <w:sz w:val="22"/>
              </w:rPr>
              <w:t xml:space="preserve">9,100.5 </w:t>
            </w:r>
          </w:p>
        </w:tc>
        <w:tc>
          <w:tcPr>
            <w:tcW w:w="1372" w:type="dxa"/>
            <w:shd w:val="clear" w:color="auto" w:fill="auto"/>
            <w:tcMar>
              <w:left w:w="57" w:type="dxa"/>
              <w:right w:w="57" w:type="dxa"/>
            </w:tcMar>
            <w:vAlign w:val="center"/>
          </w:tcPr>
          <w:p w14:paraId="2AF14A95" w14:textId="77777777" w:rsidR="003E5BF5" w:rsidRPr="007526FB" w:rsidRDefault="003E5BF5" w:rsidP="00DE1921">
            <w:pPr>
              <w:pStyle w:val="TableTextRightBold"/>
              <w:rPr>
                <w:rFonts w:ascii="Arial" w:hAnsi="Arial" w:cs="Arial"/>
                <w:sz w:val="22"/>
              </w:rPr>
            </w:pPr>
            <w:r w:rsidRPr="007526FB">
              <w:rPr>
                <w:rFonts w:ascii="Arial" w:hAnsi="Arial" w:cs="Arial"/>
                <w:sz w:val="22"/>
              </w:rPr>
              <w:t xml:space="preserve">9,167.0 </w:t>
            </w:r>
          </w:p>
        </w:tc>
        <w:tc>
          <w:tcPr>
            <w:tcW w:w="1099" w:type="dxa"/>
            <w:shd w:val="clear" w:color="auto" w:fill="auto"/>
            <w:tcMar>
              <w:left w:w="57" w:type="dxa"/>
              <w:right w:w="57" w:type="dxa"/>
            </w:tcMar>
            <w:vAlign w:val="center"/>
          </w:tcPr>
          <w:p w14:paraId="05C6F0BA" w14:textId="77777777" w:rsidR="003E5BF5" w:rsidRPr="007526FB" w:rsidRDefault="003E5BF5" w:rsidP="00DE1921">
            <w:pPr>
              <w:pStyle w:val="TableTextRightBold"/>
              <w:rPr>
                <w:rFonts w:ascii="Arial" w:hAnsi="Arial" w:cs="Arial"/>
                <w:sz w:val="22"/>
              </w:rPr>
            </w:pPr>
            <w:r w:rsidRPr="007526FB">
              <w:rPr>
                <w:rFonts w:ascii="Arial" w:hAnsi="Arial" w:cs="Arial"/>
                <w:sz w:val="22"/>
              </w:rPr>
              <w:t>(65.5)</w:t>
            </w:r>
          </w:p>
        </w:tc>
        <w:tc>
          <w:tcPr>
            <w:tcW w:w="1134" w:type="dxa"/>
            <w:shd w:val="clear" w:color="auto" w:fill="auto"/>
            <w:tcMar>
              <w:left w:w="57" w:type="dxa"/>
              <w:right w:w="57" w:type="dxa"/>
            </w:tcMar>
            <w:vAlign w:val="center"/>
          </w:tcPr>
          <w:p w14:paraId="3C0DC4B2" w14:textId="77777777" w:rsidR="003E5BF5" w:rsidRPr="007526FB" w:rsidRDefault="003E5BF5" w:rsidP="00DE1921">
            <w:pPr>
              <w:pStyle w:val="TableTextRightBold"/>
              <w:rPr>
                <w:rFonts w:ascii="Arial" w:hAnsi="Arial" w:cs="Arial"/>
                <w:sz w:val="22"/>
              </w:rPr>
            </w:pPr>
            <w:r w:rsidRPr="007526FB">
              <w:rPr>
                <w:rFonts w:ascii="Arial" w:hAnsi="Arial" w:cs="Arial"/>
                <w:sz w:val="22"/>
              </w:rPr>
              <w:t>(1) %</w:t>
            </w:r>
          </w:p>
        </w:tc>
        <w:tc>
          <w:tcPr>
            <w:tcW w:w="708" w:type="dxa"/>
            <w:shd w:val="clear" w:color="auto" w:fill="auto"/>
            <w:tcMar>
              <w:left w:w="57" w:type="dxa"/>
              <w:right w:w="57" w:type="dxa"/>
            </w:tcMar>
            <w:vAlign w:val="center"/>
          </w:tcPr>
          <w:p w14:paraId="773FB22F" w14:textId="77777777" w:rsidR="003E5BF5" w:rsidRPr="007526FB" w:rsidRDefault="003E5BF5" w:rsidP="00DE1921">
            <w:pPr>
              <w:pStyle w:val="TableTextRightBold"/>
              <w:rPr>
                <w:rFonts w:ascii="Arial" w:hAnsi="Arial" w:cs="Arial"/>
                <w:sz w:val="22"/>
              </w:rPr>
            </w:pPr>
            <w:r w:rsidRPr="007526FB">
              <w:rPr>
                <w:rFonts w:ascii="Arial" w:hAnsi="Arial" w:cs="Arial"/>
                <w:sz w:val="22"/>
              </w:rPr>
              <w:t> </w:t>
            </w:r>
          </w:p>
        </w:tc>
      </w:tr>
      <w:tr w:rsidR="003E5BF5" w:rsidRPr="007526FB" w14:paraId="1322044D" w14:textId="77777777" w:rsidTr="00DC3814">
        <w:trPr>
          <w:trHeight w:val="340"/>
        </w:trPr>
        <w:tc>
          <w:tcPr>
            <w:tcW w:w="4217" w:type="dxa"/>
            <w:shd w:val="clear" w:color="auto" w:fill="auto"/>
            <w:tcMar>
              <w:left w:w="57" w:type="dxa"/>
              <w:right w:w="57" w:type="dxa"/>
            </w:tcMar>
            <w:vAlign w:val="center"/>
          </w:tcPr>
          <w:p w14:paraId="5E464F5E" w14:textId="77777777" w:rsidR="003E5BF5" w:rsidRPr="007526FB" w:rsidRDefault="003E5BF5" w:rsidP="00604703">
            <w:pPr>
              <w:pStyle w:val="TableTextGreen"/>
              <w:rPr>
                <w:sz w:val="22"/>
                <w:szCs w:val="22"/>
              </w:rPr>
            </w:pPr>
            <w:r w:rsidRPr="007526FB">
              <w:rPr>
                <w:sz w:val="22"/>
                <w:szCs w:val="22"/>
              </w:rPr>
              <w:t>Expenses from transactions</w:t>
            </w:r>
          </w:p>
        </w:tc>
        <w:tc>
          <w:tcPr>
            <w:tcW w:w="1109" w:type="dxa"/>
            <w:gridSpan w:val="3"/>
            <w:shd w:val="clear" w:color="auto" w:fill="auto"/>
            <w:vAlign w:val="center"/>
          </w:tcPr>
          <w:p w14:paraId="4A5FC17C" w14:textId="77777777" w:rsidR="003E5BF5" w:rsidRPr="007526FB" w:rsidRDefault="003E5BF5" w:rsidP="00DE1921">
            <w:pPr>
              <w:pStyle w:val="TableTextRight"/>
              <w:rPr>
                <w:rFonts w:ascii="Arial" w:hAnsi="Arial" w:cs="Arial"/>
                <w:sz w:val="22"/>
              </w:rPr>
            </w:pPr>
          </w:p>
        </w:tc>
        <w:tc>
          <w:tcPr>
            <w:tcW w:w="1372" w:type="dxa"/>
            <w:shd w:val="clear" w:color="auto" w:fill="auto"/>
            <w:tcMar>
              <w:left w:w="57" w:type="dxa"/>
              <w:right w:w="57" w:type="dxa"/>
            </w:tcMar>
            <w:vAlign w:val="center"/>
          </w:tcPr>
          <w:p w14:paraId="568E80F2" w14:textId="77777777" w:rsidR="003E5BF5" w:rsidRPr="007526FB" w:rsidRDefault="003E5BF5" w:rsidP="00DE1921">
            <w:pPr>
              <w:pStyle w:val="TableTextRight"/>
              <w:rPr>
                <w:rFonts w:ascii="Arial" w:hAnsi="Arial" w:cs="Arial"/>
                <w:sz w:val="22"/>
              </w:rPr>
            </w:pPr>
          </w:p>
        </w:tc>
        <w:tc>
          <w:tcPr>
            <w:tcW w:w="1099" w:type="dxa"/>
            <w:shd w:val="clear" w:color="auto" w:fill="auto"/>
            <w:tcMar>
              <w:left w:w="57" w:type="dxa"/>
              <w:right w:w="57" w:type="dxa"/>
            </w:tcMar>
            <w:vAlign w:val="center"/>
          </w:tcPr>
          <w:p w14:paraId="33F5A805" w14:textId="77777777" w:rsidR="003E5BF5" w:rsidRPr="007526FB" w:rsidRDefault="003E5BF5" w:rsidP="00DE1921">
            <w:pPr>
              <w:pStyle w:val="TableTextRight"/>
              <w:rPr>
                <w:rFonts w:ascii="Arial" w:hAnsi="Arial" w:cs="Arial"/>
                <w:sz w:val="22"/>
              </w:rPr>
            </w:pPr>
          </w:p>
        </w:tc>
        <w:tc>
          <w:tcPr>
            <w:tcW w:w="1134" w:type="dxa"/>
            <w:shd w:val="clear" w:color="auto" w:fill="auto"/>
            <w:tcMar>
              <w:left w:w="57" w:type="dxa"/>
              <w:right w:w="57" w:type="dxa"/>
            </w:tcMar>
            <w:vAlign w:val="center"/>
          </w:tcPr>
          <w:p w14:paraId="723B9511" w14:textId="77777777" w:rsidR="003E5BF5" w:rsidRPr="007526FB" w:rsidRDefault="003E5BF5" w:rsidP="00DE1921">
            <w:pPr>
              <w:pStyle w:val="TableTextRight"/>
              <w:rPr>
                <w:rFonts w:ascii="Arial" w:hAnsi="Arial" w:cs="Arial"/>
                <w:sz w:val="22"/>
              </w:rPr>
            </w:pPr>
          </w:p>
        </w:tc>
        <w:tc>
          <w:tcPr>
            <w:tcW w:w="708" w:type="dxa"/>
            <w:shd w:val="clear" w:color="auto" w:fill="auto"/>
            <w:tcMar>
              <w:left w:w="57" w:type="dxa"/>
              <w:right w:w="57" w:type="dxa"/>
            </w:tcMar>
            <w:vAlign w:val="center"/>
          </w:tcPr>
          <w:p w14:paraId="72D2916D" w14:textId="77777777" w:rsidR="003E5BF5" w:rsidRPr="007526FB" w:rsidRDefault="003E5BF5" w:rsidP="00DE1921">
            <w:pPr>
              <w:pStyle w:val="TableTextRight"/>
              <w:rPr>
                <w:rFonts w:ascii="Arial" w:hAnsi="Arial" w:cs="Arial"/>
                <w:sz w:val="22"/>
              </w:rPr>
            </w:pPr>
          </w:p>
        </w:tc>
      </w:tr>
      <w:tr w:rsidR="003E5BF5" w:rsidRPr="007526FB" w14:paraId="7E68CDB5" w14:textId="77777777" w:rsidTr="00DC3814">
        <w:trPr>
          <w:trHeight w:val="340"/>
        </w:trPr>
        <w:tc>
          <w:tcPr>
            <w:tcW w:w="4217" w:type="dxa"/>
            <w:shd w:val="clear" w:color="auto" w:fill="auto"/>
            <w:tcMar>
              <w:left w:w="57" w:type="dxa"/>
              <w:right w:w="57" w:type="dxa"/>
            </w:tcMar>
            <w:vAlign w:val="center"/>
          </w:tcPr>
          <w:p w14:paraId="1B0BC1A3" w14:textId="77777777" w:rsidR="003E5BF5" w:rsidRPr="007526FB" w:rsidRDefault="003E5BF5" w:rsidP="00DE1921">
            <w:pPr>
              <w:pStyle w:val="TableTextLeft"/>
              <w:rPr>
                <w:rFonts w:ascii="Arial" w:hAnsi="Arial" w:cs="Arial"/>
                <w:sz w:val="22"/>
              </w:rPr>
            </w:pPr>
            <w:r w:rsidRPr="007526FB">
              <w:rPr>
                <w:rFonts w:ascii="Arial" w:hAnsi="Arial" w:cs="Arial"/>
                <w:sz w:val="22"/>
              </w:rPr>
              <w:t>Employee benefits</w:t>
            </w:r>
          </w:p>
        </w:tc>
        <w:tc>
          <w:tcPr>
            <w:tcW w:w="1109" w:type="dxa"/>
            <w:gridSpan w:val="3"/>
            <w:shd w:val="clear" w:color="auto" w:fill="auto"/>
            <w:vAlign w:val="center"/>
          </w:tcPr>
          <w:p w14:paraId="2D103E84"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(619.1)</w:t>
            </w:r>
          </w:p>
        </w:tc>
        <w:tc>
          <w:tcPr>
            <w:tcW w:w="1372" w:type="dxa"/>
            <w:shd w:val="clear" w:color="auto" w:fill="auto"/>
            <w:tcMar>
              <w:left w:w="57" w:type="dxa"/>
              <w:right w:w="57" w:type="dxa"/>
            </w:tcMar>
            <w:vAlign w:val="center"/>
          </w:tcPr>
          <w:p w14:paraId="633B1F8C"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(504.0)</w:t>
            </w:r>
          </w:p>
        </w:tc>
        <w:tc>
          <w:tcPr>
            <w:tcW w:w="1099" w:type="dxa"/>
            <w:shd w:val="clear" w:color="auto" w:fill="auto"/>
            <w:tcMar>
              <w:left w:w="57" w:type="dxa"/>
              <w:right w:w="57" w:type="dxa"/>
            </w:tcMar>
            <w:vAlign w:val="center"/>
          </w:tcPr>
          <w:p w14:paraId="6E3636A4"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(115.1)</w:t>
            </w:r>
          </w:p>
        </w:tc>
        <w:tc>
          <w:tcPr>
            <w:tcW w:w="1134" w:type="dxa"/>
            <w:shd w:val="clear" w:color="auto" w:fill="auto"/>
            <w:tcMar>
              <w:left w:w="57" w:type="dxa"/>
              <w:right w:w="57" w:type="dxa"/>
            </w:tcMar>
            <w:vAlign w:val="center"/>
          </w:tcPr>
          <w:p w14:paraId="30DB2A4A" w14:textId="77777777" w:rsidR="003E5BF5" w:rsidRPr="007526FB" w:rsidRDefault="003E5BF5" w:rsidP="0067185A">
            <w:pPr>
              <w:pStyle w:val="TableTextRight"/>
              <w:jc w:val="left"/>
              <w:rPr>
                <w:rFonts w:ascii="Arial" w:hAnsi="Arial" w:cs="Arial"/>
                <w:sz w:val="22"/>
              </w:rPr>
            </w:pPr>
            <w:r w:rsidRPr="007526FB">
              <w:rPr>
                <w:rFonts w:ascii="Arial" w:hAnsi="Arial" w:cs="Arial"/>
                <w:sz w:val="22"/>
                <w:lang w:eastAsia="en-AU"/>
              </w:rPr>
              <w:t>23%</w:t>
            </w:r>
          </w:p>
        </w:tc>
        <w:tc>
          <w:tcPr>
            <w:tcW w:w="708" w:type="dxa"/>
            <w:shd w:val="clear" w:color="auto" w:fill="auto"/>
            <w:tcMar>
              <w:left w:w="57" w:type="dxa"/>
              <w:right w:w="57" w:type="dxa"/>
            </w:tcMar>
            <w:vAlign w:val="center"/>
          </w:tcPr>
          <w:p w14:paraId="62F22455"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h</w:t>
            </w:r>
          </w:p>
        </w:tc>
      </w:tr>
      <w:tr w:rsidR="003E5BF5" w:rsidRPr="007526FB" w14:paraId="7D7A1662" w14:textId="77777777" w:rsidTr="00DC3814">
        <w:trPr>
          <w:trHeight w:val="340"/>
        </w:trPr>
        <w:tc>
          <w:tcPr>
            <w:tcW w:w="4217" w:type="dxa"/>
            <w:shd w:val="clear" w:color="auto" w:fill="auto"/>
            <w:tcMar>
              <w:left w:w="57" w:type="dxa"/>
              <w:right w:w="57" w:type="dxa"/>
            </w:tcMar>
            <w:vAlign w:val="center"/>
          </w:tcPr>
          <w:p w14:paraId="15A88A20" w14:textId="77777777" w:rsidR="003E5BF5" w:rsidRPr="007526FB" w:rsidRDefault="003E5BF5" w:rsidP="00DE1921">
            <w:pPr>
              <w:pStyle w:val="TableTextLeft"/>
              <w:rPr>
                <w:rFonts w:ascii="Arial" w:hAnsi="Arial" w:cs="Arial"/>
                <w:sz w:val="22"/>
              </w:rPr>
            </w:pPr>
            <w:r w:rsidRPr="007526FB">
              <w:rPr>
                <w:rFonts w:ascii="Arial" w:hAnsi="Arial" w:cs="Arial"/>
                <w:sz w:val="22"/>
              </w:rPr>
              <w:t>Depreciation and amortisation</w:t>
            </w:r>
          </w:p>
        </w:tc>
        <w:tc>
          <w:tcPr>
            <w:tcW w:w="1109" w:type="dxa"/>
            <w:gridSpan w:val="3"/>
            <w:shd w:val="clear" w:color="auto" w:fill="auto"/>
            <w:vAlign w:val="center"/>
          </w:tcPr>
          <w:p w14:paraId="7DC79A5B"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(1,019.3)</w:t>
            </w:r>
          </w:p>
        </w:tc>
        <w:tc>
          <w:tcPr>
            <w:tcW w:w="1372" w:type="dxa"/>
            <w:shd w:val="clear" w:color="auto" w:fill="auto"/>
            <w:tcMar>
              <w:left w:w="57" w:type="dxa"/>
              <w:right w:w="57" w:type="dxa"/>
            </w:tcMar>
            <w:vAlign w:val="center"/>
          </w:tcPr>
          <w:p w14:paraId="6D797FC1"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(1,050.0)</w:t>
            </w:r>
          </w:p>
        </w:tc>
        <w:tc>
          <w:tcPr>
            <w:tcW w:w="1099" w:type="dxa"/>
            <w:shd w:val="clear" w:color="auto" w:fill="auto"/>
            <w:tcMar>
              <w:left w:w="57" w:type="dxa"/>
              <w:right w:w="57" w:type="dxa"/>
            </w:tcMar>
            <w:vAlign w:val="center"/>
          </w:tcPr>
          <w:p w14:paraId="69270220"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 xml:space="preserve">30.7 </w:t>
            </w:r>
          </w:p>
        </w:tc>
        <w:tc>
          <w:tcPr>
            <w:tcW w:w="1134" w:type="dxa"/>
            <w:shd w:val="clear" w:color="auto" w:fill="auto"/>
            <w:tcMar>
              <w:left w:w="57" w:type="dxa"/>
              <w:right w:w="57" w:type="dxa"/>
            </w:tcMar>
            <w:vAlign w:val="center"/>
          </w:tcPr>
          <w:p w14:paraId="18897EF0"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(3) %</w:t>
            </w:r>
          </w:p>
        </w:tc>
        <w:tc>
          <w:tcPr>
            <w:tcW w:w="708" w:type="dxa"/>
            <w:shd w:val="clear" w:color="auto" w:fill="auto"/>
            <w:tcMar>
              <w:left w:w="57" w:type="dxa"/>
              <w:right w:w="57" w:type="dxa"/>
            </w:tcMar>
            <w:vAlign w:val="center"/>
          </w:tcPr>
          <w:p w14:paraId="6DD77395"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 </w:t>
            </w:r>
          </w:p>
        </w:tc>
      </w:tr>
      <w:tr w:rsidR="003E5BF5" w:rsidRPr="007526FB" w14:paraId="0459D443" w14:textId="77777777" w:rsidTr="00DC3814">
        <w:trPr>
          <w:trHeight w:val="340"/>
        </w:trPr>
        <w:tc>
          <w:tcPr>
            <w:tcW w:w="4217" w:type="dxa"/>
            <w:shd w:val="clear" w:color="auto" w:fill="auto"/>
            <w:tcMar>
              <w:left w:w="57" w:type="dxa"/>
              <w:right w:w="57" w:type="dxa"/>
            </w:tcMar>
            <w:vAlign w:val="center"/>
          </w:tcPr>
          <w:p w14:paraId="4FB9A629" w14:textId="77777777" w:rsidR="003E5BF5" w:rsidRPr="007526FB" w:rsidRDefault="003E5BF5" w:rsidP="00DE1921">
            <w:pPr>
              <w:pStyle w:val="TableTextLeft"/>
              <w:rPr>
                <w:rFonts w:ascii="Arial" w:hAnsi="Arial" w:cs="Arial"/>
                <w:sz w:val="22"/>
              </w:rPr>
            </w:pPr>
            <w:r w:rsidRPr="007526FB">
              <w:rPr>
                <w:rFonts w:ascii="Arial" w:hAnsi="Arial" w:cs="Arial"/>
                <w:sz w:val="22"/>
              </w:rPr>
              <w:t>Interest expense</w:t>
            </w:r>
          </w:p>
        </w:tc>
        <w:tc>
          <w:tcPr>
            <w:tcW w:w="1109" w:type="dxa"/>
            <w:gridSpan w:val="3"/>
            <w:shd w:val="clear" w:color="auto" w:fill="auto"/>
            <w:vAlign w:val="center"/>
          </w:tcPr>
          <w:p w14:paraId="202856C7" w14:textId="77777777" w:rsidR="003E5BF5" w:rsidRPr="007526FB" w:rsidRDefault="003E5BF5" w:rsidP="00DE1921">
            <w:pPr>
              <w:pStyle w:val="TableTextRight"/>
              <w:rPr>
                <w:rFonts w:ascii="Arial" w:hAnsi="Arial" w:cs="Arial"/>
                <w:sz w:val="22"/>
              </w:rPr>
            </w:pPr>
            <w:r w:rsidRPr="007526FB">
              <w:rPr>
                <w:rFonts w:ascii="Arial" w:hAnsi="Arial" w:cs="Arial"/>
                <w:sz w:val="22"/>
              </w:rPr>
              <w:t>(358.0)</w:t>
            </w:r>
          </w:p>
        </w:tc>
        <w:tc>
          <w:tcPr>
            <w:tcW w:w="1372" w:type="dxa"/>
            <w:shd w:val="clear" w:color="auto" w:fill="auto"/>
            <w:tcMar>
              <w:left w:w="57" w:type="dxa"/>
              <w:right w:w="57" w:type="dxa"/>
            </w:tcMar>
            <w:vAlign w:val="center"/>
          </w:tcPr>
          <w:p w14:paraId="4695C8A4" w14:textId="77777777" w:rsidR="003E5BF5" w:rsidRPr="007526FB" w:rsidRDefault="003E5BF5" w:rsidP="00DE1921">
            <w:pPr>
              <w:pStyle w:val="TableTextRight"/>
              <w:rPr>
                <w:rFonts w:ascii="Arial" w:hAnsi="Arial" w:cs="Arial"/>
                <w:sz w:val="22"/>
              </w:rPr>
            </w:pPr>
            <w:r w:rsidRPr="007526FB">
              <w:rPr>
                <w:rFonts w:ascii="Arial" w:hAnsi="Arial" w:cs="Arial"/>
                <w:sz w:val="22"/>
              </w:rPr>
              <w:t>(460.0)</w:t>
            </w:r>
          </w:p>
        </w:tc>
        <w:tc>
          <w:tcPr>
            <w:tcW w:w="1099" w:type="dxa"/>
            <w:shd w:val="clear" w:color="auto" w:fill="auto"/>
            <w:tcMar>
              <w:left w:w="57" w:type="dxa"/>
              <w:right w:w="57" w:type="dxa"/>
            </w:tcMar>
            <w:vAlign w:val="center"/>
          </w:tcPr>
          <w:p w14:paraId="7B3F05D4"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 xml:space="preserve">102.0 </w:t>
            </w:r>
          </w:p>
        </w:tc>
        <w:tc>
          <w:tcPr>
            <w:tcW w:w="1134" w:type="dxa"/>
            <w:shd w:val="clear" w:color="auto" w:fill="auto"/>
            <w:tcMar>
              <w:left w:w="57" w:type="dxa"/>
              <w:right w:w="57" w:type="dxa"/>
            </w:tcMar>
            <w:vAlign w:val="center"/>
          </w:tcPr>
          <w:p w14:paraId="3BCF9671"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(22) %</w:t>
            </w:r>
          </w:p>
        </w:tc>
        <w:tc>
          <w:tcPr>
            <w:tcW w:w="708" w:type="dxa"/>
            <w:shd w:val="clear" w:color="auto" w:fill="auto"/>
            <w:tcMar>
              <w:left w:w="57" w:type="dxa"/>
              <w:right w:w="57" w:type="dxa"/>
            </w:tcMar>
            <w:vAlign w:val="center"/>
          </w:tcPr>
          <w:p w14:paraId="25CB53C8" w14:textId="77777777" w:rsidR="003E5BF5" w:rsidRPr="007526FB" w:rsidRDefault="003E5BF5" w:rsidP="00DE1921">
            <w:pPr>
              <w:pStyle w:val="TableTextRight"/>
              <w:rPr>
                <w:rFonts w:ascii="Arial" w:hAnsi="Arial" w:cs="Arial"/>
                <w:sz w:val="22"/>
              </w:rPr>
            </w:pPr>
            <w:proofErr w:type="spellStart"/>
            <w:r w:rsidRPr="007526FB">
              <w:rPr>
                <w:rFonts w:ascii="Arial" w:hAnsi="Arial" w:cs="Arial"/>
                <w:sz w:val="22"/>
                <w:lang w:eastAsia="en-AU"/>
              </w:rPr>
              <w:t>i</w:t>
            </w:r>
            <w:proofErr w:type="spellEnd"/>
          </w:p>
        </w:tc>
      </w:tr>
      <w:tr w:rsidR="003E5BF5" w:rsidRPr="007526FB" w14:paraId="56611F0A" w14:textId="77777777" w:rsidTr="00DC3814">
        <w:trPr>
          <w:trHeight w:val="340"/>
        </w:trPr>
        <w:tc>
          <w:tcPr>
            <w:tcW w:w="4217" w:type="dxa"/>
            <w:shd w:val="clear" w:color="auto" w:fill="auto"/>
            <w:tcMar>
              <w:left w:w="57" w:type="dxa"/>
              <w:right w:w="57" w:type="dxa"/>
            </w:tcMar>
            <w:vAlign w:val="center"/>
          </w:tcPr>
          <w:p w14:paraId="0530AF16" w14:textId="77777777" w:rsidR="003E5BF5" w:rsidRPr="007526FB" w:rsidRDefault="003E5BF5" w:rsidP="00DE1921">
            <w:pPr>
              <w:pStyle w:val="TableTextLeft"/>
              <w:rPr>
                <w:rFonts w:ascii="Arial" w:hAnsi="Arial" w:cs="Arial"/>
                <w:sz w:val="22"/>
              </w:rPr>
            </w:pPr>
            <w:r w:rsidRPr="007526FB">
              <w:rPr>
                <w:rFonts w:ascii="Arial" w:hAnsi="Arial" w:cs="Arial"/>
                <w:sz w:val="22"/>
              </w:rPr>
              <w:t>Grants and other transfers</w:t>
            </w:r>
          </w:p>
        </w:tc>
        <w:tc>
          <w:tcPr>
            <w:tcW w:w="1109" w:type="dxa"/>
            <w:gridSpan w:val="3"/>
            <w:shd w:val="clear" w:color="auto" w:fill="auto"/>
            <w:vAlign w:val="center"/>
          </w:tcPr>
          <w:p w14:paraId="37B9A0EE"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(3,460.3)</w:t>
            </w:r>
          </w:p>
        </w:tc>
        <w:tc>
          <w:tcPr>
            <w:tcW w:w="1372" w:type="dxa"/>
            <w:shd w:val="clear" w:color="auto" w:fill="auto"/>
            <w:tcMar>
              <w:left w:w="57" w:type="dxa"/>
              <w:right w:w="57" w:type="dxa"/>
            </w:tcMar>
            <w:vAlign w:val="center"/>
          </w:tcPr>
          <w:p w14:paraId="675F9E4E"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(3,314.0)</w:t>
            </w:r>
          </w:p>
        </w:tc>
        <w:tc>
          <w:tcPr>
            <w:tcW w:w="1099" w:type="dxa"/>
            <w:shd w:val="clear" w:color="auto" w:fill="auto"/>
            <w:tcMar>
              <w:left w:w="57" w:type="dxa"/>
              <w:right w:w="57" w:type="dxa"/>
            </w:tcMar>
            <w:vAlign w:val="center"/>
          </w:tcPr>
          <w:p w14:paraId="5A48F9FD"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(146.3)</w:t>
            </w:r>
          </w:p>
        </w:tc>
        <w:tc>
          <w:tcPr>
            <w:tcW w:w="1134" w:type="dxa"/>
            <w:shd w:val="clear" w:color="auto" w:fill="auto"/>
            <w:tcMar>
              <w:left w:w="57" w:type="dxa"/>
              <w:right w:w="57" w:type="dxa"/>
            </w:tcMar>
            <w:vAlign w:val="center"/>
          </w:tcPr>
          <w:p w14:paraId="3CAB4F14"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4%</w:t>
            </w:r>
          </w:p>
        </w:tc>
        <w:tc>
          <w:tcPr>
            <w:tcW w:w="708" w:type="dxa"/>
            <w:shd w:val="clear" w:color="auto" w:fill="auto"/>
            <w:tcMar>
              <w:left w:w="57" w:type="dxa"/>
              <w:right w:w="57" w:type="dxa"/>
            </w:tcMar>
            <w:vAlign w:val="center"/>
          </w:tcPr>
          <w:p w14:paraId="130588E3"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j</w:t>
            </w:r>
          </w:p>
        </w:tc>
      </w:tr>
      <w:tr w:rsidR="003E5BF5" w:rsidRPr="007526FB" w14:paraId="758CCFD6" w14:textId="77777777" w:rsidTr="00DC3814">
        <w:trPr>
          <w:trHeight w:val="340"/>
        </w:trPr>
        <w:tc>
          <w:tcPr>
            <w:tcW w:w="4217" w:type="dxa"/>
            <w:shd w:val="clear" w:color="auto" w:fill="auto"/>
            <w:tcMar>
              <w:left w:w="57" w:type="dxa"/>
              <w:right w:w="57" w:type="dxa"/>
            </w:tcMar>
            <w:vAlign w:val="center"/>
          </w:tcPr>
          <w:p w14:paraId="66F0B3C6" w14:textId="77777777" w:rsidR="003E5BF5" w:rsidRPr="007526FB" w:rsidRDefault="003E5BF5" w:rsidP="00DE1921">
            <w:pPr>
              <w:pStyle w:val="TableTextLeft"/>
              <w:rPr>
                <w:rFonts w:ascii="Arial" w:hAnsi="Arial" w:cs="Arial"/>
                <w:sz w:val="22"/>
              </w:rPr>
            </w:pPr>
            <w:r w:rsidRPr="007526FB">
              <w:rPr>
                <w:rFonts w:ascii="Arial" w:hAnsi="Arial" w:cs="Arial"/>
                <w:sz w:val="22"/>
              </w:rPr>
              <w:t>Capital asset charge</w:t>
            </w:r>
          </w:p>
        </w:tc>
        <w:tc>
          <w:tcPr>
            <w:tcW w:w="1109" w:type="dxa"/>
            <w:gridSpan w:val="3"/>
            <w:shd w:val="clear" w:color="auto" w:fill="auto"/>
            <w:vAlign w:val="center"/>
          </w:tcPr>
          <w:p w14:paraId="3B2D9769"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(78.0)</w:t>
            </w:r>
          </w:p>
        </w:tc>
        <w:tc>
          <w:tcPr>
            <w:tcW w:w="1372" w:type="dxa"/>
            <w:shd w:val="clear" w:color="auto" w:fill="auto"/>
            <w:tcMar>
              <w:left w:w="57" w:type="dxa"/>
              <w:right w:w="57" w:type="dxa"/>
            </w:tcMar>
            <w:vAlign w:val="center"/>
          </w:tcPr>
          <w:p w14:paraId="5F1660DF"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(78.0)</w:t>
            </w:r>
          </w:p>
        </w:tc>
        <w:tc>
          <w:tcPr>
            <w:tcW w:w="1099" w:type="dxa"/>
            <w:shd w:val="clear" w:color="auto" w:fill="auto"/>
            <w:tcMar>
              <w:left w:w="57" w:type="dxa"/>
              <w:right w:w="57" w:type="dxa"/>
            </w:tcMar>
            <w:vAlign w:val="center"/>
          </w:tcPr>
          <w:p w14:paraId="788F4105"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w:t>
            </w:r>
          </w:p>
        </w:tc>
        <w:tc>
          <w:tcPr>
            <w:tcW w:w="1134" w:type="dxa"/>
            <w:shd w:val="clear" w:color="auto" w:fill="auto"/>
            <w:tcMar>
              <w:left w:w="57" w:type="dxa"/>
              <w:right w:w="57" w:type="dxa"/>
            </w:tcMar>
            <w:vAlign w:val="center"/>
          </w:tcPr>
          <w:p w14:paraId="2ABE603E"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w:t>
            </w:r>
          </w:p>
        </w:tc>
        <w:tc>
          <w:tcPr>
            <w:tcW w:w="708" w:type="dxa"/>
            <w:shd w:val="clear" w:color="auto" w:fill="auto"/>
            <w:tcMar>
              <w:left w:w="57" w:type="dxa"/>
              <w:right w:w="57" w:type="dxa"/>
            </w:tcMar>
            <w:vAlign w:val="center"/>
          </w:tcPr>
          <w:p w14:paraId="647EF513"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 </w:t>
            </w:r>
          </w:p>
        </w:tc>
      </w:tr>
      <w:tr w:rsidR="003E5BF5" w:rsidRPr="007526FB" w14:paraId="619868E6" w14:textId="77777777" w:rsidTr="00DC3814">
        <w:trPr>
          <w:trHeight w:val="340"/>
        </w:trPr>
        <w:tc>
          <w:tcPr>
            <w:tcW w:w="4217" w:type="dxa"/>
            <w:shd w:val="clear" w:color="auto" w:fill="auto"/>
            <w:tcMar>
              <w:left w:w="57" w:type="dxa"/>
              <w:right w:w="57" w:type="dxa"/>
            </w:tcMar>
            <w:vAlign w:val="center"/>
          </w:tcPr>
          <w:p w14:paraId="360E4133" w14:textId="77777777" w:rsidR="003E5BF5" w:rsidRPr="007526FB" w:rsidRDefault="003E5BF5" w:rsidP="00DE1921">
            <w:pPr>
              <w:pStyle w:val="TableTextLeft"/>
              <w:rPr>
                <w:rFonts w:ascii="Arial" w:hAnsi="Arial" w:cs="Arial"/>
                <w:sz w:val="22"/>
              </w:rPr>
            </w:pPr>
            <w:r w:rsidRPr="007526FB">
              <w:rPr>
                <w:rFonts w:ascii="Arial" w:hAnsi="Arial" w:cs="Arial"/>
                <w:sz w:val="22"/>
              </w:rPr>
              <w:t>Other operating expenses</w:t>
            </w:r>
          </w:p>
        </w:tc>
        <w:tc>
          <w:tcPr>
            <w:tcW w:w="1109" w:type="dxa"/>
            <w:gridSpan w:val="3"/>
            <w:shd w:val="clear" w:color="auto" w:fill="auto"/>
            <w:vAlign w:val="center"/>
          </w:tcPr>
          <w:p w14:paraId="5BE81020"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(3,942.9)</w:t>
            </w:r>
          </w:p>
        </w:tc>
        <w:tc>
          <w:tcPr>
            <w:tcW w:w="1372" w:type="dxa"/>
            <w:shd w:val="clear" w:color="auto" w:fill="auto"/>
            <w:tcMar>
              <w:left w:w="57" w:type="dxa"/>
              <w:right w:w="57" w:type="dxa"/>
            </w:tcMar>
            <w:vAlign w:val="center"/>
          </w:tcPr>
          <w:p w14:paraId="70BF8A37"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(3,818.0)</w:t>
            </w:r>
          </w:p>
        </w:tc>
        <w:tc>
          <w:tcPr>
            <w:tcW w:w="1099" w:type="dxa"/>
            <w:shd w:val="clear" w:color="auto" w:fill="auto"/>
            <w:tcMar>
              <w:left w:w="57" w:type="dxa"/>
              <w:right w:w="57" w:type="dxa"/>
            </w:tcMar>
            <w:vAlign w:val="center"/>
          </w:tcPr>
          <w:p w14:paraId="7F266413"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(124.9)</w:t>
            </w:r>
          </w:p>
        </w:tc>
        <w:tc>
          <w:tcPr>
            <w:tcW w:w="1134" w:type="dxa"/>
            <w:shd w:val="clear" w:color="auto" w:fill="auto"/>
            <w:tcMar>
              <w:left w:w="57" w:type="dxa"/>
              <w:right w:w="57" w:type="dxa"/>
            </w:tcMar>
            <w:vAlign w:val="center"/>
          </w:tcPr>
          <w:p w14:paraId="7EDA3618"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3%</w:t>
            </w:r>
          </w:p>
        </w:tc>
        <w:tc>
          <w:tcPr>
            <w:tcW w:w="708" w:type="dxa"/>
            <w:shd w:val="clear" w:color="auto" w:fill="auto"/>
            <w:tcMar>
              <w:left w:w="57" w:type="dxa"/>
              <w:right w:w="57" w:type="dxa"/>
            </w:tcMar>
            <w:vAlign w:val="center"/>
          </w:tcPr>
          <w:p w14:paraId="145A270A"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 </w:t>
            </w:r>
          </w:p>
        </w:tc>
      </w:tr>
      <w:tr w:rsidR="003E5BF5" w:rsidRPr="007526FB" w14:paraId="234BCEA2" w14:textId="77777777" w:rsidTr="00DC3814">
        <w:trPr>
          <w:trHeight w:val="340"/>
        </w:trPr>
        <w:tc>
          <w:tcPr>
            <w:tcW w:w="4217" w:type="dxa"/>
            <w:shd w:val="clear" w:color="auto" w:fill="auto"/>
            <w:tcMar>
              <w:left w:w="57" w:type="dxa"/>
              <w:right w:w="57" w:type="dxa"/>
            </w:tcMar>
            <w:vAlign w:val="center"/>
          </w:tcPr>
          <w:p w14:paraId="2EFD1739" w14:textId="77777777" w:rsidR="003E5BF5" w:rsidRPr="007526FB" w:rsidRDefault="003E5BF5" w:rsidP="00DE1921">
            <w:pPr>
              <w:pStyle w:val="TableTextLeftBold"/>
              <w:rPr>
                <w:rFonts w:ascii="Arial" w:hAnsi="Arial" w:cs="Arial"/>
                <w:sz w:val="22"/>
              </w:rPr>
            </w:pPr>
            <w:r w:rsidRPr="007526FB">
              <w:rPr>
                <w:rFonts w:ascii="Arial" w:hAnsi="Arial" w:cs="Arial"/>
                <w:sz w:val="22"/>
              </w:rPr>
              <w:t>Total expenses from transactions</w:t>
            </w:r>
          </w:p>
        </w:tc>
        <w:tc>
          <w:tcPr>
            <w:tcW w:w="1109" w:type="dxa"/>
            <w:gridSpan w:val="3"/>
            <w:shd w:val="clear" w:color="auto" w:fill="auto"/>
            <w:vAlign w:val="center"/>
          </w:tcPr>
          <w:p w14:paraId="3E70AD1D" w14:textId="77777777" w:rsidR="003E5BF5" w:rsidRPr="007526FB" w:rsidRDefault="003E5BF5" w:rsidP="00DE1921">
            <w:pPr>
              <w:pStyle w:val="TableTextRight"/>
              <w:rPr>
                <w:rFonts w:ascii="Arial" w:hAnsi="Arial" w:cs="Arial"/>
                <w:sz w:val="22"/>
              </w:rPr>
            </w:pPr>
            <w:r w:rsidRPr="007526FB">
              <w:rPr>
                <w:rFonts w:ascii="Arial" w:hAnsi="Arial" w:cs="Arial"/>
                <w:b/>
                <w:sz w:val="22"/>
                <w:lang w:eastAsia="en-AU"/>
              </w:rPr>
              <w:t>(9,477.7)</w:t>
            </w:r>
          </w:p>
        </w:tc>
        <w:tc>
          <w:tcPr>
            <w:tcW w:w="1372" w:type="dxa"/>
            <w:shd w:val="clear" w:color="auto" w:fill="auto"/>
            <w:tcMar>
              <w:left w:w="57" w:type="dxa"/>
              <w:right w:w="57" w:type="dxa"/>
            </w:tcMar>
            <w:vAlign w:val="center"/>
          </w:tcPr>
          <w:p w14:paraId="03AE0F59" w14:textId="77777777" w:rsidR="003E5BF5" w:rsidRPr="007526FB" w:rsidRDefault="003E5BF5" w:rsidP="00DE1921">
            <w:pPr>
              <w:pStyle w:val="TableTextRight"/>
              <w:rPr>
                <w:rFonts w:ascii="Arial" w:hAnsi="Arial" w:cs="Arial"/>
                <w:sz w:val="22"/>
              </w:rPr>
            </w:pPr>
            <w:r w:rsidRPr="007526FB">
              <w:rPr>
                <w:rFonts w:ascii="Arial" w:hAnsi="Arial" w:cs="Arial"/>
                <w:b/>
                <w:sz w:val="22"/>
                <w:lang w:eastAsia="en-AU"/>
              </w:rPr>
              <w:t>(9,224.0)</w:t>
            </w:r>
          </w:p>
        </w:tc>
        <w:tc>
          <w:tcPr>
            <w:tcW w:w="1099" w:type="dxa"/>
            <w:shd w:val="clear" w:color="auto" w:fill="auto"/>
            <w:tcMar>
              <w:left w:w="57" w:type="dxa"/>
              <w:right w:w="57" w:type="dxa"/>
            </w:tcMar>
            <w:vAlign w:val="center"/>
          </w:tcPr>
          <w:p w14:paraId="478F8CB1" w14:textId="77777777" w:rsidR="003E5BF5" w:rsidRPr="007526FB" w:rsidRDefault="003E5BF5" w:rsidP="00DE1921">
            <w:pPr>
              <w:pStyle w:val="TableTextRight"/>
              <w:rPr>
                <w:rFonts w:ascii="Arial" w:hAnsi="Arial" w:cs="Arial"/>
                <w:sz w:val="22"/>
              </w:rPr>
            </w:pPr>
            <w:r w:rsidRPr="007526FB">
              <w:rPr>
                <w:rFonts w:ascii="Arial" w:hAnsi="Arial" w:cs="Arial"/>
                <w:b/>
                <w:sz w:val="22"/>
                <w:lang w:eastAsia="en-AU"/>
              </w:rPr>
              <w:t>(253.7)</w:t>
            </w:r>
          </w:p>
        </w:tc>
        <w:tc>
          <w:tcPr>
            <w:tcW w:w="1134" w:type="dxa"/>
            <w:shd w:val="clear" w:color="auto" w:fill="auto"/>
            <w:tcMar>
              <w:left w:w="57" w:type="dxa"/>
              <w:right w:w="57" w:type="dxa"/>
            </w:tcMar>
            <w:vAlign w:val="center"/>
          </w:tcPr>
          <w:p w14:paraId="69154774" w14:textId="77777777" w:rsidR="003E5BF5" w:rsidRPr="007526FB" w:rsidRDefault="003E5BF5" w:rsidP="00DE1921">
            <w:pPr>
              <w:pStyle w:val="TableTextRight"/>
              <w:rPr>
                <w:rFonts w:ascii="Arial" w:hAnsi="Arial" w:cs="Arial"/>
                <w:sz w:val="22"/>
              </w:rPr>
            </w:pPr>
            <w:r w:rsidRPr="007526FB">
              <w:rPr>
                <w:rFonts w:ascii="Arial" w:hAnsi="Arial" w:cs="Arial"/>
                <w:b/>
                <w:sz w:val="22"/>
                <w:lang w:eastAsia="en-AU"/>
              </w:rPr>
              <w:t>3%</w:t>
            </w:r>
          </w:p>
        </w:tc>
        <w:tc>
          <w:tcPr>
            <w:tcW w:w="708" w:type="dxa"/>
            <w:shd w:val="clear" w:color="auto" w:fill="auto"/>
            <w:tcMar>
              <w:left w:w="57" w:type="dxa"/>
              <w:right w:w="57" w:type="dxa"/>
            </w:tcMar>
            <w:vAlign w:val="center"/>
          </w:tcPr>
          <w:p w14:paraId="70630F38" w14:textId="77777777" w:rsidR="003E5BF5" w:rsidRPr="007526FB" w:rsidRDefault="003E5BF5" w:rsidP="00DE1921">
            <w:pPr>
              <w:pStyle w:val="TableTextRight"/>
              <w:rPr>
                <w:rFonts w:ascii="Arial" w:hAnsi="Arial" w:cs="Arial"/>
                <w:sz w:val="22"/>
              </w:rPr>
            </w:pPr>
            <w:r w:rsidRPr="007526FB">
              <w:rPr>
                <w:rFonts w:ascii="Arial" w:hAnsi="Arial" w:cs="Arial"/>
                <w:b/>
                <w:sz w:val="22"/>
                <w:lang w:eastAsia="en-AU"/>
              </w:rPr>
              <w:t> </w:t>
            </w:r>
          </w:p>
        </w:tc>
      </w:tr>
      <w:tr w:rsidR="003E5BF5" w:rsidRPr="007526FB" w14:paraId="7463AE0A" w14:textId="77777777" w:rsidTr="00DC3814">
        <w:trPr>
          <w:trHeight w:val="340"/>
        </w:trPr>
        <w:tc>
          <w:tcPr>
            <w:tcW w:w="4217" w:type="dxa"/>
            <w:shd w:val="clear" w:color="auto" w:fill="auto"/>
            <w:tcMar>
              <w:left w:w="57" w:type="dxa"/>
              <w:right w:w="57" w:type="dxa"/>
            </w:tcMar>
            <w:vAlign w:val="center"/>
          </w:tcPr>
          <w:p w14:paraId="2E42D6EC" w14:textId="77777777" w:rsidR="003E5BF5" w:rsidRPr="007526FB" w:rsidRDefault="003E5BF5" w:rsidP="00DE1921">
            <w:pPr>
              <w:pStyle w:val="TableTextLeftBold"/>
              <w:rPr>
                <w:rFonts w:ascii="Arial" w:hAnsi="Arial" w:cs="Arial"/>
                <w:sz w:val="22"/>
              </w:rPr>
            </w:pPr>
            <w:r w:rsidRPr="007526FB">
              <w:rPr>
                <w:rFonts w:ascii="Arial" w:hAnsi="Arial" w:cs="Arial"/>
                <w:sz w:val="22"/>
              </w:rPr>
              <w:t>Net result from transactions</w:t>
            </w:r>
          </w:p>
        </w:tc>
        <w:tc>
          <w:tcPr>
            <w:tcW w:w="1109" w:type="dxa"/>
            <w:gridSpan w:val="3"/>
            <w:shd w:val="clear" w:color="auto" w:fill="auto"/>
            <w:vAlign w:val="center"/>
          </w:tcPr>
          <w:p w14:paraId="553BECCE" w14:textId="77777777" w:rsidR="003E5BF5" w:rsidRPr="007526FB" w:rsidRDefault="003E5BF5" w:rsidP="00DE1921">
            <w:pPr>
              <w:pStyle w:val="TableTextRightBold"/>
              <w:rPr>
                <w:rFonts w:ascii="Arial" w:hAnsi="Arial" w:cs="Arial"/>
                <w:sz w:val="22"/>
              </w:rPr>
            </w:pPr>
            <w:r w:rsidRPr="007526FB">
              <w:rPr>
                <w:rFonts w:ascii="Arial" w:eastAsia="Times New Roman" w:hAnsi="Arial" w:cs="Arial"/>
                <w:color w:val="000000"/>
                <w:sz w:val="22"/>
                <w:lang w:eastAsia="en-AU"/>
              </w:rPr>
              <w:t>(377.2)</w:t>
            </w:r>
          </w:p>
        </w:tc>
        <w:tc>
          <w:tcPr>
            <w:tcW w:w="1372" w:type="dxa"/>
            <w:shd w:val="clear" w:color="auto" w:fill="auto"/>
            <w:tcMar>
              <w:left w:w="57" w:type="dxa"/>
              <w:right w:w="57" w:type="dxa"/>
            </w:tcMar>
            <w:vAlign w:val="center"/>
          </w:tcPr>
          <w:p w14:paraId="76F88934" w14:textId="77777777" w:rsidR="003E5BF5" w:rsidRPr="007526FB" w:rsidRDefault="003E5BF5" w:rsidP="00DE1921">
            <w:pPr>
              <w:pStyle w:val="TableTextRightBold"/>
              <w:rPr>
                <w:rFonts w:ascii="Arial" w:hAnsi="Arial" w:cs="Arial"/>
                <w:sz w:val="22"/>
              </w:rPr>
            </w:pPr>
            <w:r w:rsidRPr="007526FB">
              <w:rPr>
                <w:rFonts w:ascii="Arial" w:eastAsia="Times New Roman" w:hAnsi="Arial" w:cs="Arial"/>
                <w:color w:val="000000"/>
                <w:sz w:val="22"/>
                <w:lang w:eastAsia="en-AU"/>
              </w:rPr>
              <w:t>(56.0)</w:t>
            </w:r>
          </w:p>
        </w:tc>
        <w:tc>
          <w:tcPr>
            <w:tcW w:w="1099" w:type="dxa"/>
            <w:shd w:val="clear" w:color="auto" w:fill="auto"/>
            <w:tcMar>
              <w:left w:w="57" w:type="dxa"/>
              <w:right w:w="57" w:type="dxa"/>
            </w:tcMar>
            <w:vAlign w:val="center"/>
          </w:tcPr>
          <w:p w14:paraId="37B47F16" w14:textId="77777777" w:rsidR="003E5BF5" w:rsidRPr="007526FB" w:rsidRDefault="003E5BF5" w:rsidP="00DE1921">
            <w:pPr>
              <w:pStyle w:val="TableTextRightBold"/>
              <w:rPr>
                <w:rFonts w:ascii="Arial" w:hAnsi="Arial" w:cs="Arial"/>
                <w:sz w:val="22"/>
              </w:rPr>
            </w:pPr>
            <w:r w:rsidRPr="007526FB">
              <w:rPr>
                <w:rFonts w:ascii="Arial" w:eastAsia="Times New Roman" w:hAnsi="Arial" w:cs="Arial"/>
                <w:color w:val="000000"/>
                <w:sz w:val="22"/>
                <w:lang w:eastAsia="en-AU"/>
              </w:rPr>
              <w:t>(319.2)</w:t>
            </w:r>
          </w:p>
        </w:tc>
        <w:tc>
          <w:tcPr>
            <w:tcW w:w="1134" w:type="dxa"/>
            <w:shd w:val="clear" w:color="auto" w:fill="auto"/>
            <w:tcMar>
              <w:left w:w="57" w:type="dxa"/>
              <w:right w:w="57" w:type="dxa"/>
            </w:tcMar>
            <w:vAlign w:val="center"/>
          </w:tcPr>
          <w:p w14:paraId="227C37C0" w14:textId="77777777" w:rsidR="003E5BF5" w:rsidRPr="007526FB" w:rsidRDefault="003E5BF5" w:rsidP="00DE1921">
            <w:pPr>
              <w:pStyle w:val="TableTextRightBold"/>
              <w:rPr>
                <w:rFonts w:ascii="Arial" w:hAnsi="Arial" w:cs="Arial"/>
                <w:sz w:val="22"/>
              </w:rPr>
            </w:pPr>
            <w:r w:rsidRPr="007526FB">
              <w:rPr>
                <w:rFonts w:ascii="Arial" w:eastAsia="Times New Roman" w:hAnsi="Arial" w:cs="Arial"/>
                <w:color w:val="000000"/>
                <w:sz w:val="22"/>
                <w:lang w:eastAsia="en-AU"/>
              </w:rPr>
              <w:t>&gt; 100%</w:t>
            </w:r>
          </w:p>
        </w:tc>
        <w:tc>
          <w:tcPr>
            <w:tcW w:w="708" w:type="dxa"/>
            <w:shd w:val="clear" w:color="auto" w:fill="auto"/>
            <w:tcMar>
              <w:left w:w="57" w:type="dxa"/>
              <w:right w:w="57" w:type="dxa"/>
            </w:tcMar>
            <w:vAlign w:val="center"/>
          </w:tcPr>
          <w:p w14:paraId="1273828A" w14:textId="77777777" w:rsidR="003E5BF5" w:rsidRPr="007526FB" w:rsidRDefault="003E5BF5" w:rsidP="00DE1921">
            <w:pPr>
              <w:pStyle w:val="TableTextRightBold"/>
              <w:rPr>
                <w:rFonts w:ascii="Arial" w:hAnsi="Arial" w:cs="Arial"/>
                <w:sz w:val="22"/>
              </w:rPr>
            </w:pPr>
          </w:p>
        </w:tc>
      </w:tr>
      <w:tr w:rsidR="003E5BF5" w:rsidRPr="007526FB" w14:paraId="0E31404A" w14:textId="77777777" w:rsidTr="00DC3814">
        <w:trPr>
          <w:trHeight w:val="340"/>
        </w:trPr>
        <w:tc>
          <w:tcPr>
            <w:tcW w:w="4217" w:type="dxa"/>
            <w:shd w:val="clear" w:color="auto" w:fill="auto"/>
            <w:tcMar>
              <w:left w:w="57" w:type="dxa"/>
              <w:right w:w="57" w:type="dxa"/>
            </w:tcMar>
            <w:vAlign w:val="center"/>
          </w:tcPr>
          <w:p w14:paraId="2F18A188" w14:textId="77777777" w:rsidR="003E5BF5" w:rsidRPr="007526FB" w:rsidRDefault="003E5BF5" w:rsidP="00604703">
            <w:pPr>
              <w:pStyle w:val="TableTextGreen"/>
              <w:rPr>
                <w:sz w:val="22"/>
                <w:szCs w:val="22"/>
              </w:rPr>
            </w:pPr>
            <w:r w:rsidRPr="007526FB">
              <w:rPr>
                <w:sz w:val="22"/>
                <w:szCs w:val="22"/>
              </w:rPr>
              <w:t>Other economic flows included in net result</w:t>
            </w:r>
          </w:p>
        </w:tc>
        <w:tc>
          <w:tcPr>
            <w:tcW w:w="1109" w:type="dxa"/>
            <w:gridSpan w:val="3"/>
            <w:shd w:val="clear" w:color="auto" w:fill="auto"/>
            <w:vAlign w:val="center"/>
          </w:tcPr>
          <w:p w14:paraId="5EF9A776" w14:textId="77777777" w:rsidR="003E5BF5" w:rsidRPr="007526FB" w:rsidRDefault="003E5BF5" w:rsidP="00DE1921">
            <w:pPr>
              <w:pStyle w:val="TableTextRight"/>
              <w:rPr>
                <w:rFonts w:ascii="Arial" w:hAnsi="Arial" w:cs="Arial"/>
                <w:sz w:val="22"/>
              </w:rPr>
            </w:pPr>
          </w:p>
        </w:tc>
        <w:tc>
          <w:tcPr>
            <w:tcW w:w="1372" w:type="dxa"/>
            <w:shd w:val="clear" w:color="auto" w:fill="auto"/>
            <w:tcMar>
              <w:left w:w="57" w:type="dxa"/>
              <w:right w:w="57" w:type="dxa"/>
            </w:tcMar>
            <w:vAlign w:val="center"/>
          </w:tcPr>
          <w:p w14:paraId="2A9A3787" w14:textId="77777777" w:rsidR="003E5BF5" w:rsidRPr="007526FB" w:rsidRDefault="003E5BF5" w:rsidP="00DE1921">
            <w:pPr>
              <w:pStyle w:val="TableTextRight"/>
              <w:rPr>
                <w:rFonts w:ascii="Arial" w:hAnsi="Arial" w:cs="Arial"/>
                <w:sz w:val="22"/>
              </w:rPr>
            </w:pPr>
          </w:p>
        </w:tc>
        <w:tc>
          <w:tcPr>
            <w:tcW w:w="1099" w:type="dxa"/>
            <w:shd w:val="clear" w:color="auto" w:fill="auto"/>
            <w:tcMar>
              <w:left w:w="57" w:type="dxa"/>
              <w:right w:w="57" w:type="dxa"/>
            </w:tcMar>
            <w:vAlign w:val="center"/>
          </w:tcPr>
          <w:p w14:paraId="795111D4" w14:textId="77777777" w:rsidR="003E5BF5" w:rsidRPr="007526FB" w:rsidRDefault="003E5BF5" w:rsidP="00DE1921">
            <w:pPr>
              <w:pStyle w:val="TableTextRight"/>
              <w:rPr>
                <w:rFonts w:ascii="Arial" w:hAnsi="Arial" w:cs="Arial"/>
                <w:sz w:val="22"/>
              </w:rPr>
            </w:pPr>
          </w:p>
        </w:tc>
        <w:tc>
          <w:tcPr>
            <w:tcW w:w="1134" w:type="dxa"/>
            <w:shd w:val="clear" w:color="auto" w:fill="auto"/>
            <w:tcMar>
              <w:left w:w="57" w:type="dxa"/>
              <w:right w:w="57" w:type="dxa"/>
            </w:tcMar>
            <w:vAlign w:val="center"/>
          </w:tcPr>
          <w:p w14:paraId="3625DF69" w14:textId="77777777" w:rsidR="003E5BF5" w:rsidRPr="007526FB" w:rsidRDefault="003E5BF5" w:rsidP="00DE1921">
            <w:pPr>
              <w:pStyle w:val="TableTextRight"/>
              <w:rPr>
                <w:rFonts w:ascii="Arial" w:hAnsi="Arial" w:cs="Arial"/>
                <w:sz w:val="22"/>
              </w:rPr>
            </w:pPr>
          </w:p>
        </w:tc>
        <w:tc>
          <w:tcPr>
            <w:tcW w:w="708" w:type="dxa"/>
            <w:shd w:val="clear" w:color="auto" w:fill="auto"/>
            <w:tcMar>
              <w:left w:w="57" w:type="dxa"/>
              <w:right w:w="57" w:type="dxa"/>
            </w:tcMar>
            <w:vAlign w:val="center"/>
          </w:tcPr>
          <w:p w14:paraId="65F8A079" w14:textId="77777777" w:rsidR="003E5BF5" w:rsidRPr="007526FB" w:rsidRDefault="003E5BF5" w:rsidP="00DE1921">
            <w:pPr>
              <w:pStyle w:val="TableTextRight"/>
              <w:rPr>
                <w:rFonts w:ascii="Arial" w:hAnsi="Arial" w:cs="Arial"/>
                <w:sz w:val="22"/>
              </w:rPr>
            </w:pPr>
          </w:p>
        </w:tc>
      </w:tr>
      <w:tr w:rsidR="003E5BF5" w:rsidRPr="007526FB" w14:paraId="085D5EB2" w14:textId="77777777" w:rsidTr="00DC3814">
        <w:trPr>
          <w:trHeight w:val="340"/>
        </w:trPr>
        <w:tc>
          <w:tcPr>
            <w:tcW w:w="4217" w:type="dxa"/>
            <w:shd w:val="clear" w:color="auto" w:fill="auto"/>
            <w:tcMar>
              <w:left w:w="57" w:type="dxa"/>
              <w:right w:w="57" w:type="dxa"/>
            </w:tcMar>
            <w:vAlign w:val="center"/>
          </w:tcPr>
          <w:p w14:paraId="127C13CD" w14:textId="77777777" w:rsidR="003E5BF5" w:rsidRPr="007526FB" w:rsidRDefault="003E5BF5" w:rsidP="00DE1921">
            <w:pPr>
              <w:pStyle w:val="TableTextLeft"/>
              <w:rPr>
                <w:rFonts w:ascii="Arial" w:hAnsi="Arial" w:cs="Arial"/>
                <w:sz w:val="22"/>
              </w:rPr>
            </w:pPr>
            <w:r w:rsidRPr="007526FB">
              <w:rPr>
                <w:rFonts w:ascii="Arial" w:hAnsi="Arial" w:cs="Arial"/>
                <w:sz w:val="22"/>
              </w:rPr>
              <w:t>Net gain/(loss) on non-financial assets</w:t>
            </w:r>
          </w:p>
        </w:tc>
        <w:tc>
          <w:tcPr>
            <w:tcW w:w="1109" w:type="dxa"/>
            <w:gridSpan w:val="3"/>
            <w:shd w:val="clear" w:color="auto" w:fill="auto"/>
            <w:vAlign w:val="center"/>
          </w:tcPr>
          <w:p w14:paraId="3D106CCD" w14:textId="77777777" w:rsidR="003E5BF5" w:rsidRPr="007526FB" w:rsidRDefault="003E5BF5" w:rsidP="00DE1921">
            <w:pPr>
              <w:pStyle w:val="TableTextRight"/>
              <w:rPr>
                <w:rFonts w:ascii="Arial" w:hAnsi="Arial" w:cs="Arial"/>
                <w:sz w:val="22"/>
                <w:lang w:eastAsia="en-AU"/>
              </w:rPr>
            </w:pPr>
            <w:r w:rsidRPr="007526FB">
              <w:rPr>
                <w:rFonts w:ascii="Arial" w:hAnsi="Arial" w:cs="Arial"/>
                <w:sz w:val="22"/>
              </w:rPr>
              <w:t>(594.0)</w:t>
            </w:r>
          </w:p>
        </w:tc>
        <w:tc>
          <w:tcPr>
            <w:tcW w:w="1372" w:type="dxa"/>
            <w:shd w:val="clear" w:color="auto" w:fill="auto"/>
            <w:tcMar>
              <w:left w:w="57" w:type="dxa"/>
              <w:right w:w="57" w:type="dxa"/>
            </w:tcMar>
            <w:vAlign w:val="center"/>
          </w:tcPr>
          <w:p w14:paraId="3A2AB955" w14:textId="77777777" w:rsidR="003E5BF5" w:rsidRPr="007526FB" w:rsidRDefault="003E5BF5" w:rsidP="00DE1921">
            <w:pPr>
              <w:pStyle w:val="TableTextRight"/>
              <w:rPr>
                <w:rFonts w:ascii="Arial" w:hAnsi="Arial" w:cs="Arial"/>
                <w:sz w:val="22"/>
                <w:lang w:eastAsia="en-AU"/>
              </w:rPr>
            </w:pPr>
            <w:r w:rsidRPr="007526FB">
              <w:rPr>
                <w:rFonts w:ascii="Arial" w:hAnsi="Arial" w:cs="Arial"/>
                <w:sz w:val="22"/>
              </w:rPr>
              <w:t xml:space="preserve"> - </w:t>
            </w:r>
          </w:p>
        </w:tc>
        <w:tc>
          <w:tcPr>
            <w:tcW w:w="1099" w:type="dxa"/>
            <w:shd w:val="clear" w:color="auto" w:fill="auto"/>
            <w:tcMar>
              <w:left w:w="57" w:type="dxa"/>
              <w:right w:w="57" w:type="dxa"/>
            </w:tcMar>
            <w:vAlign w:val="center"/>
          </w:tcPr>
          <w:p w14:paraId="1414C8F3" w14:textId="77777777" w:rsidR="003E5BF5" w:rsidRPr="007526FB" w:rsidRDefault="003E5BF5" w:rsidP="00DE1921">
            <w:pPr>
              <w:pStyle w:val="TableTextRight"/>
              <w:rPr>
                <w:rFonts w:ascii="Arial" w:hAnsi="Arial" w:cs="Arial"/>
                <w:sz w:val="22"/>
                <w:lang w:eastAsia="en-AU"/>
              </w:rPr>
            </w:pPr>
            <w:r w:rsidRPr="007526FB">
              <w:rPr>
                <w:rFonts w:ascii="Arial" w:hAnsi="Arial" w:cs="Arial"/>
                <w:sz w:val="22"/>
              </w:rPr>
              <w:t>(594.0)</w:t>
            </w:r>
          </w:p>
        </w:tc>
        <w:tc>
          <w:tcPr>
            <w:tcW w:w="1134" w:type="dxa"/>
            <w:shd w:val="clear" w:color="auto" w:fill="auto"/>
            <w:tcMar>
              <w:left w:w="57" w:type="dxa"/>
              <w:right w:w="57" w:type="dxa"/>
            </w:tcMar>
            <w:vAlign w:val="center"/>
          </w:tcPr>
          <w:p w14:paraId="7C6DC84C" w14:textId="77777777" w:rsidR="003E5BF5" w:rsidRPr="007526FB" w:rsidRDefault="003E5BF5" w:rsidP="00DE1921">
            <w:pPr>
              <w:pStyle w:val="TableTextRight"/>
              <w:rPr>
                <w:rFonts w:ascii="Arial" w:hAnsi="Arial" w:cs="Arial"/>
                <w:sz w:val="22"/>
                <w:lang w:eastAsia="en-AU"/>
              </w:rPr>
            </w:pPr>
            <w:r w:rsidRPr="007526FB">
              <w:rPr>
                <w:rFonts w:ascii="Arial" w:hAnsi="Arial" w:cs="Arial"/>
                <w:sz w:val="22"/>
              </w:rPr>
              <w:t>100%</w:t>
            </w:r>
          </w:p>
        </w:tc>
        <w:tc>
          <w:tcPr>
            <w:tcW w:w="708" w:type="dxa"/>
            <w:shd w:val="clear" w:color="auto" w:fill="auto"/>
            <w:tcMar>
              <w:left w:w="57" w:type="dxa"/>
              <w:right w:w="57" w:type="dxa"/>
            </w:tcMar>
            <w:vAlign w:val="center"/>
          </w:tcPr>
          <w:p w14:paraId="1AAA0A64" w14:textId="77777777" w:rsidR="003E5BF5" w:rsidRPr="007526FB" w:rsidRDefault="003E5BF5" w:rsidP="00DE1921">
            <w:pPr>
              <w:pStyle w:val="TableTextRight"/>
              <w:rPr>
                <w:rFonts w:ascii="Arial" w:hAnsi="Arial" w:cs="Arial"/>
                <w:sz w:val="22"/>
                <w:lang w:eastAsia="en-AU"/>
              </w:rPr>
            </w:pPr>
            <w:r w:rsidRPr="007526FB">
              <w:rPr>
                <w:rFonts w:ascii="Arial" w:hAnsi="Arial" w:cs="Arial"/>
                <w:sz w:val="22"/>
              </w:rPr>
              <w:t>k</w:t>
            </w:r>
          </w:p>
        </w:tc>
      </w:tr>
      <w:tr w:rsidR="003E5BF5" w:rsidRPr="007526FB" w14:paraId="2546E34E" w14:textId="77777777" w:rsidTr="00DC3814">
        <w:trPr>
          <w:trHeight w:val="340"/>
        </w:trPr>
        <w:tc>
          <w:tcPr>
            <w:tcW w:w="4217" w:type="dxa"/>
            <w:shd w:val="clear" w:color="auto" w:fill="auto"/>
            <w:tcMar>
              <w:left w:w="57" w:type="dxa"/>
              <w:right w:w="57" w:type="dxa"/>
            </w:tcMar>
            <w:vAlign w:val="center"/>
          </w:tcPr>
          <w:p w14:paraId="01068745" w14:textId="77777777" w:rsidR="003E5BF5" w:rsidRPr="007526FB" w:rsidRDefault="003E5BF5" w:rsidP="00DE1921">
            <w:pPr>
              <w:pStyle w:val="TableTextLeft"/>
              <w:rPr>
                <w:rFonts w:ascii="Arial" w:hAnsi="Arial" w:cs="Arial"/>
                <w:sz w:val="22"/>
              </w:rPr>
            </w:pPr>
            <w:r w:rsidRPr="007526FB">
              <w:rPr>
                <w:rFonts w:ascii="Arial" w:hAnsi="Arial" w:cs="Arial"/>
                <w:sz w:val="22"/>
              </w:rPr>
              <w:t>Net gain/(loss) on financial instruments and statutory receivables/payables</w:t>
            </w:r>
          </w:p>
        </w:tc>
        <w:tc>
          <w:tcPr>
            <w:tcW w:w="1109" w:type="dxa"/>
            <w:gridSpan w:val="3"/>
            <w:shd w:val="clear" w:color="auto" w:fill="auto"/>
            <w:vAlign w:val="center"/>
          </w:tcPr>
          <w:p w14:paraId="728002CF"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(3.6)</w:t>
            </w:r>
          </w:p>
        </w:tc>
        <w:tc>
          <w:tcPr>
            <w:tcW w:w="1372" w:type="dxa"/>
            <w:shd w:val="clear" w:color="auto" w:fill="auto"/>
            <w:tcMar>
              <w:left w:w="57" w:type="dxa"/>
              <w:right w:w="57" w:type="dxa"/>
            </w:tcMar>
            <w:vAlign w:val="center"/>
          </w:tcPr>
          <w:p w14:paraId="33F8A780"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 xml:space="preserve"> - </w:t>
            </w:r>
          </w:p>
        </w:tc>
        <w:tc>
          <w:tcPr>
            <w:tcW w:w="1099" w:type="dxa"/>
            <w:shd w:val="clear" w:color="auto" w:fill="auto"/>
            <w:tcMar>
              <w:left w:w="57" w:type="dxa"/>
              <w:right w:w="57" w:type="dxa"/>
            </w:tcMar>
            <w:vAlign w:val="center"/>
          </w:tcPr>
          <w:p w14:paraId="653EB8E2"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(3.6)</w:t>
            </w:r>
          </w:p>
        </w:tc>
        <w:tc>
          <w:tcPr>
            <w:tcW w:w="1134" w:type="dxa"/>
            <w:shd w:val="clear" w:color="auto" w:fill="auto"/>
            <w:tcMar>
              <w:left w:w="57" w:type="dxa"/>
              <w:right w:w="57" w:type="dxa"/>
            </w:tcMar>
            <w:vAlign w:val="center"/>
          </w:tcPr>
          <w:p w14:paraId="324798B5"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100%</w:t>
            </w:r>
          </w:p>
        </w:tc>
        <w:tc>
          <w:tcPr>
            <w:tcW w:w="708" w:type="dxa"/>
            <w:shd w:val="clear" w:color="auto" w:fill="auto"/>
            <w:tcMar>
              <w:left w:w="57" w:type="dxa"/>
              <w:right w:w="57" w:type="dxa"/>
            </w:tcMar>
            <w:vAlign w:val="center"/>
          </w:tcPr>
          <w:p w14:paraId="7FBA3317"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 </w:t>
            </w:r>
          </w:p>
        </w:tc>
      </w:tr>
      <w:tr w:rsidR="003E5BF5" w:rsidRPr="007526FB" w14:paraId="5F3FA96F" w14:textId="77777777" w:rsidTr="00DC3814">
        <w:trPr>
          <w:trHeight w:val="340"/>
        </w:trPr>
        <w:tc>
          <w:tcPr>
            <w:tcW w:w="4217" w:type="dxa"/>
            <w:shd w:val="clear" w:color="auto" w:fill="auto"/>
            <w:tcMar>
              <w:left w:w="57" w:type="dxa"/>
              <w:right w:w="57" w:type="dxa"/>
            </w:tcMar>
            <w:vAlign w:val="center"/>
          </w:tcPr>
          <w:p w14:paraId="2B8AFB2F" w14:textId="77777777" w:rsidR="003E5BF5" w:rsidRPr="007526FB" w:rsidRDefault="003E5BF5" w:rsidP="00DE1921">
            <w:pPr>
              <w:pStyle w:val="TableTextLeft"/>
              <w:rPr>
                <w:rFonts w:ascii="Arial" w:hAnsi="Arial" w:cs="Arial"/>
                <w:sz w:val="22"/>
              </w:rPr>
            </w:pPr>
            <w:r w:rsidRPr="007526FB">
              <w:rPr>
                <w:rFonts w:ascii="Arial" w:hAnsi="Arial" w:cs="Arial"/>
                <w:sz w:val="22"/>
              </w:rPr>
              <w:t>Other gains/(losses) from other economic flows</w:t>
            </w:r>
          </w:p>
        </w:tc>
        <w:tc>
          <w:tcPr>
            <w:tcW w:w="1109" w:type="dxa"/>
            <w:gridSpan w:val="3"/>
            <w:shd w:val="clear" w:color="auto" w:fill="auto"/>
            <w:vAlign w:val="center"/>
          </w:tcPr>
          <w:p w14:paraId="0DD2F75E"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(43.5)</w:t>
            </w:r>
          </w:p>
        </w:tc>
        <w:tc>
          <w:tcPr>
            <w:tcW w:w="1372" w:type="dxa"/>
            <w:shd w:val="clear" w:color="auto" w:fill="auto"/>
            <w:tcMar>
              <w:left w:w="57" w:type="dxa"/>
              <w:right w:w="57" w:type="dxa"/>
            </w:tcMar>
            <w:vAlign w:val="center"/>
          </w:tcPr>
          <w:p w14:paraId="71689AF3"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 xml:space="preserve"> - </w:t>
            </w:r>
          </w:p>
        </w:tc>
        <w:tc>
          <w:tcPr>
            <w:tcW w:w="1099" w:type="dxa"/>
            <w:shd w:val="clear" w:color="auto" w:fill="auto"/>
            <w:tcMar>
              <w:left w:w="57" w:type="dxa"/>
              <w:right w:w="57" w:type="dxa"/>
            </w:tcMar>
            <w:vAlign w:val="center"/>
          </w:tcPr>
          <w:p w14:paraId="550D5942"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(43.5)</w:t>
            </w:r>
          </w:p>
        </w:tc>
        <w:tc>
          <w:tcPr>
            <w:tcW w:w="1134" w:type="dxa"/>
            <w:shd w:val="clear" w:color="auto" w:fill="auto"/>
            <w:tcMar>
              <w:left w:w="57" w:type="dxa"/>
              <w:right w:w="57" w:type="dxa"/>
            </w:tcMar>
            <w:vAlign w:val="center"/>
          </w:tcPr>
          <w:p w14:paraId="7C2611EA"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100%</w:t>
            </w:r>
          </w:p>
        </w:tc>
        <w:tc>
          <w:tcPr>
            <w:tcW w:w="708" w:type="dxa"/>
            <w:shd w:val="clear" w:color="auto" w:fill="auto"/>
            <w:tcMar>
              <w:left w:w="57" w:type="dxa"/>
              <w:right w:w="57" w:type="dxa"/>
            </w:tcMar>
            <w:vAlign w:val="center"/>
          </w:tcPr>
          <w:p w14:paraId="5B8A2F26"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l</w:t>
            </w:r>
          </w:p>
        </w:tc>
      </w:tr>
      <w:tr w:rsidR="003E5BF5" w:rsidRPr="007526FB" w14:paraId="446E60DE" w14:textId="77777777" w:rsidTr="00DC3814">
        <w:trPr>
          <w:trHeight w:val="340"/>
        </w:trPr>
        <w:tc>
          <w:tcPr>
            <w:tcW w:w="4319" w:type="dxa"/>
            <w:gridSpan w:val="2"/>
            <w:shd w:val="clear" w:color="auto" w:fill="auto"/>
            <w:tcMar>
              <w:left w:w="57" w:type="dxa"/>
              <w:right w:w="57" w:type="dxa"/>
            </w:tcMar>
            <w:vAlign w:val="center"/>
          </w:tcPr>
          <w:p w14:paraId="2853DEFE" w14:textId="77777777" w:rsidR="003E5BF5" w:rsidRPr="007526FB" w:rsidRDefault="003E5BF5" w:rsidP="00DE1921">
            <w:pPr>
              <w:pStyle w:val="TableTextLeftBold"/>
              <w:rPr>
                <w:rFonts w:ascii="Arial" w:hAnsi="Arial" w:cs="Arial"/>
                <w:sz w:val="22"/>
              </w:rPr>
            </w:pPr>
            <w:r w:rsidRPr="007526FB">
              <w:rPr>
                <w:rFonts w:ascii="Arial" w:hAnsi="Arial" w:cs="Arial"/>
                <w:sz w:val="22"/>
              </w:rPr>
              <w:t>Total other economic flows included in net result</w:t>
            </w:r>
          </w:p>
        </w:tc>
        <w:tc>
          <w:tcPr>
            <w:tcW w:w="1007" w:type="dxa"/>
            <w:gridSpan w:val="2"/>
            <w:shd w:val="clear" w:color="auto" w:fill="auto"/>
            <w:vAlign w:val="center"/>
          </w:tcPr>
          <w:p w14:paraId="349E7DAE" w14:textId="77777777" w:rsidR="003E5BF5" w:rsidRPr="007526FB" w:rsidRDefault="003E5BF5" w:rsidP="00DE1921">
            <w:pPr>
              <w:pStyle w:val="TableTextRight"/>
              <w:rPr>
                <w:rFonts w:ascii="Arial" w:hAnsi="Arial" w:cs="Arial"/>
                <w:sz w:val="22"/>
              </w:rPr>
            </w:pPr>
            <w:r w:rsidRPr="007526FB">
              <w:rPr>
                <w:rFonts w:ascii="Arial" w:hAnsi="Arial" w:cs="Arial"/>
                <w:b/>
                <w:sz w:val="22"/>
                <w:lang w:eastAsia="en-AU"/>
              </w:rPr>
              <w:t>(641.1)</w:t>
            </w:r>
          </w:p>
        </w:tc>
        <w:tc>
          <w:tcPr>
            <w:tcW w:w="1372" w:type="dxa"/>
            <w:shd w:val="clear" w:color="auto" w:fill="auto"/>
            <w:tcMar>
              <w:left w:w="57" w:type="dxa"/>
              <w:right w:w="57" w:type="dxa"/>
            </w:tcMar>
            <w:vAlign w:val="center"/>
          </w:tcPr>
          <w:p w14:paraId="3F485A06" w14:textId="77777777" w:rsidR="003E5BF5" w:rsidRPr="007526FB" w:rsidRDefault="003E5BF5" w:rsidP="00DE1921">
            <w:pPr>
              <w:pStyle w:val="TableTextRight"/>
              <w:rPr>
                <w:rFonts w:ascii="Arial" w:hAnsi="Arial" w:cs="Arial"/>
                <w:sz w:val="22"/>
              </w:rPr>
            </w:pPr>
            <w:r w:rsidRPr="007526FB">
              <w:rPr>
                <w:rFonts w:ascii="Arial" w:hAnsi="Arial" w:cs="Arial"/>
                <w:b/>
                <w:sz w:val="22"/>
                <w:lang w:eastAsia="en-AU"/>
              </w:rPr>
              <w:t xml:space="preserve">- </w:t>
            </w:r>
          </w:p>
        </w:tc>
        <w:tc>
          <w:tcPr>
            <w:tcW w:w="1099" w:type="dxa"/>
            <w:shd w:val="clear" w:color="auto" w:fill="auto"/>
            <w:tcMar>
              <w:left w:w="57" w:type="dxa"/>
              <w:right w:w="57" w:type="dxa"/>
            </w:tcMar>
            <w:vAlign w:val="center"/>
          </w:tcPr>
          <w:p w14:paraId="55B25B8A" w14:textId="77777777" w:rsidR="003E5BF5" w:rsidRPr="007526FB" w:rsidRDefault="003E5BF5" w:rsidP="00DE1921">
            <w:pPr>
              <w:pStyle w:val="TableTextRight"/>
              <w:rPr>
                <w:rFonts w:ascii="Arial" w:hAnsi="Arial" w:cs="Arial"/>
                <w:sz w:val="22"/>
              </w:rPr>
            </w:pPr>
            <w:r w:rsidRPr="007526FB">
              <w:rPr>
                <w:rFonts w:ascii="Arial" w:hAnsi="Arial" w:cs="Arial"/>
                <w:b/>
                <w:sz w:val="22"/>
                <w:lang w:eastAsia="en-AU"/>
              </w:rPr>
              <w:t>(641.1)</w:t>
            </w:r>
          </w:p>
        </w:tc>
        <w:tc>
          <w:tcPr>
            <w:tcW w:w="1134" w:type="dxa"/>
            <w:shd w:val="clear" w:color="auto" w:fill="auto"/>
            <w:tcMar>
              <w:left w:w="57" w:type="dxa"/>
              <w:right w:w="57" w:type="dxa"/>
            </w:tcMar>
            <w:vAlign w:val="center"/>
          </w:tcPr>
          <w:p w14:paraId="366EA249" w14:textId="77777777" w:rsidR="003E5BF5" w:rsidRPr="007526FB" w:rsidRDefault="003E5BF5" w:rsidP="00DE1921">
            <w:pPr>
              <w:pStyle w:val="TableTextRight"/>
              <w:rPr>
                <w:rFonts w:ascii="Arial" w:hAnsi="Arial" w:cs="Arial"/>
                <w:sz w:val="22"/>
              </w:rPr>
            </w:pPr>
            <w:r w:rsidRPr="007526FB">
              <w:rPr>
                <w:rFonts w:ascii="Arial" w:hAnsi="Arial" w:cs="Arial"/>
                <w:b/>
                <w:sz w:val="22"/>
                <w:lang w:eastAsia="en-AU"/>
              </w:rPr>
              <w:t>100%</w:t>
            </w:r>
          </w:p>
        </w:tc>
        <w:tc>
          <w:tcPr>
            <w:tcW w:w="708" w:type="dxa"/>
            <w:shd w:val="clear" w:color="auto" w:fill="auto"/>
            <w:tcMar>
              <w:left w:w="57" w:type="dxa"/>
              <w:right w:w="57" w:type="dxa"/>
            </w:tcMar>
            <w:vAlign w:val="center"/>
          </w:tcPr>
          <w:p w14:paraId="4D54AC9A" w14:textId="77777777" w:rsidR="003E5BF5" w:rsidRPr="007526FB" w:rsidRDefault="003E5BF5" w:rsidP="00DE1921">
            <w:pPr>
              <w:pStyle w:val="TableTextRight"/>
              <w:rPr>
                <w:rFonts w:ascii="Arial" w:hAnsi="Arial" w:cs="Arial"/>
                <w:sz w:val="22"/>
              </w:rPr>
            </w:pPr>
            <w:r w:rsidRPr="007526FB">
              <w:rPr>
                <w:rFonts w:ascii="Arial" w:hAnsi="Arial" w:cs="Arial"/>
                <w:b/>
                <w:sz w:val="22"/>
                <w:lang w:eastAsia="en-AU"/>
              </w:rPr>
              <w:t> </w:t>
            </w:r>
          </w:p>
        </w:tc>
      </w:tr>
      <w:tr w:rsidR="003E5BF5" w:rsidRPr="007526FB" w14:paraId="3E4CF858" w14:textId="77777777" w:rsidTr="00DC3814">
        <w:trPr>
          <w:trHeight w:val="340"/>
        </w:trPr>
        <w:tc>
          <w:tcPr>
            <w:tcW w:w="4217" w:type="dxa"/>
            <w:shd w:val="clear" w:color="auto" w:fill="auto"/>
            <w:tcMar>
              <w:left w:w="57" w:type="dxa"/>
              <w:right w:w="57" w:type="dxa"/>
            </w:tcMar>
            <w:vAlign w:val="center"/>
          </w:tcPr>
          <w:p w14:paraId="59870514" w14:textId="77777777" w:rsidR="003E5BF5" w:rsidRPr="007526FB" w:rsidRDefault="003E5BF5" w:rsidP="00DE1921">
            <w:pPr>
              <w:pStyle w:val="TableTextLeftBold"/>
              <w:rPr>
                <w:rFonts w:ascii="Arial" w:hAnsi="Arial" w:cs="Arial"/>
                <w:sz w:val="22"/>
              </w:rPr>
            </w:pPr>
            <w:r w:rsidRPr="007526FB">
              <w:rPr>
                <w:rFonts w:ascii="Arial" w:hAnsi="Arial" w:cs="Arial"/>
                <w:sz w:val="22"/>
              </w:rPr>
              <w:t>Net result</w:t>
            </w:r>
          </w:p>
        </w:tc>
        <w:tc>
          <w:tcPr>
            <w:tcW w:w="1109" w:type="dxa"/>
            <w:gridSpan w:val="3"/>
            <w:shd w:val="clear" w:color="auto" w:fill="auto"/>
            <w:vAlign w:val="center"/>
          </w:tcPr>
          <w:p w14:paraId="2BDAC7B4" w14:textId="77777777" w:rsidR="003E5BF5" w:rsidRPr="007526FB" w:rsidRDefault="003E5BF5" w:rsidP="00DE1921">
            <w:pPr>
              <w:pStyle w:val="TableTextRightBold"/>
              <w:rPr>
                <w:rFonts w:ascii="Arial" w:hAnsi="Arial" w:cs="Arial"/>
                <w:sz w:val="22"/>
                <w:lang w:eastAsia="en-AU"/>
              </w:rPr>
            </w:pPr>
            <w:r w:rsidRPr="007526FB">
              <w:rPr>
                <w:rFonts w:ascii="Arial" w:eastAsia="Times New Roman" w:hAnsi="Arial" w:cs="Arial"/>
                <w:color w:val="000000"/>
                <w:sz w:val="22"/>
                <w:lang w:eastAsia="en-AU"/>
              </w:rPr>
              <w:t>(1,018.3)</w:t>
            </w:r>
          </w:p>
        </w:tc>
        <w:tc>
          <w:tcPr>
            <w:tcW w:w="1372" w:type="dxa"/>
            <w:shd w:val="clear" w:color="auto" w:fill="auto"/>
            <w:tcMar>
              <w:left w:w="57" w:type="dxa"/>
              <w:right w:w="57" w:type="dxa"/>
            </w:tcMar>
            <w:vAlign w:val="center"/>
          </w:tcPr>
          <w:p w14:paraId="032C0C67" w14:textId="77777777" w:rsidR="003E5BF5" w:rsidRPr="007526FB" w:rsidRDefault="003E5BF5" w:rsidP="00DE1921">
            <w:pPr>
              <w:pStyle w:val="TableTextRightBold"/>
              <w:rPr>
                <w:rFonts w:ascii="Arial" w:hAnsi="Arial" w:cs="Arial"/>
                <w:sz w:val="22"/>
              </w:rPr>
            </w:pPr>
            <w:r w:rsidRPr="007526FB">
              <w:rPr>
                <w:rFonts w:ascii="Arial" w:eastAsia="Times New Roman" w:hAnsi="Arial" w:cs="Arial"/>
                <w:color w:val="000000"/>
                <w:sz w:val="22"/>
                <w:lang w:eastAsia="en-AU"/>
              </w:rPr>
              <w:t>(56.0)</w:t>
            </w:r>
          </w:p>
        </w:tc>
        <w:tc>
          <w:tcPr>
            <w:tcW w:w="1099" w:type="dxa"/>
            <w:shd w:val="clear" w:color="auto" w:fill="auto"/>
            <w:tcMar>
              <w:left w:w="57" w:type="dxa"/>
              <w:right w:w="57" w:type="dxa"/>
            </w:tcMar>
            <w:vAlign w:val="center"/>
          </w:tcPr>
          <w:p w14:paraId="4BE46DE2" w14:textId="77777777" w:rsidR="003E5BF5" w:rsidRPr="007526FB" w:rsidRDefault="003E5BF5" w:rsidP="00DE1921">
            <w:pPr>
              <w:pStyle w:val="TableTextRightBold"/>
              <w:rPr>
                <w:rFonts w:ascii="Arial" w:hAnsi="Arial" w:cs="Arial"/>
                <w:sz w:val="22"/>
              </w:rPr>
            </w:pPr>
            <w:r w:rsidRPr="007526FB">
              <w:rPr>
                <w:rFonts w:ascii="Arial" w:eastAsia="Times New Roman" w:hAnsi="Arial" w:cs="Arial"/>
                <w:color w:val="000000"/>
                <w:sz w:val="22"/>
                <w:lang w:eastAsia="en-AU"/>
              </w:rPr>
              <w:t>(960.3)</w:t>
            </w:r>
          </w:p>
        </w:tc>
        <w:tc>
          <w:tcPr>
            <w:tcW w:w="1134" w:type="dxa"/>
            <w:shd w:val="clear" w:color="auto" w:fill="auto"/>
            <w:tcMar>
              <w:left w:w="57" w:type="dxa"/>
              <w:right w:w="57" w:type="dxa"/>
            </w:tcMar>
            <w:vAlign w:val="center"/>
          </w:tcPr>
          <w:p w14:paraId="1558663A" w14:textId="77777777" w:rsidR="003E5BF5" w:rsidRPr="007526FB" w:rsidRDefault="003E5BF5" w:rsidP="00DE1921">
            <w:pPr>
              <w:pStyle w:val="TableTextRightBold"/>
              <w:rPr>
                <w:rFonts w:ascii="Arial" w:hAnsi="Arial" w:cs="Arial"/>
                <w:sz w:val="22"/>
              </w:rPr>
            </w:pPr>
            <w:r w:rsidRPr="007526FB">
              <w:rPr>
                <w:rFonts w:ascii="Arial" w:eastAsia="Times New Roman" w:hAnsi="Arial" w:cs="Arial"/>
                <w:color w:val="000000"/>
                <w:sz w:val="22"/>
                <w:lang w:eastAsia="en-AU"/>
              </w:rPr>
              <w:t>&gt; 100%</w:t>
            </w:r>
          </w:p>
        </w:tc>
        <w:tc>
          <w:tcPr>
            <w:tcW w:w="708" w:type="dxa"/>
            <w:shd w:val="clear" w:color="auto" w:fill="auto"/>
            <w:tcMar>
              <w:left w:w="57" w:type="dxa"/>
              <w:right w:w="57" w:type="dxa"/>
            </w:tcMar>
            <w:vAlign w:val="center"/>
          </w:tcPr>
          <w:p w14:paraId="7B56717E" w14:textId="77777777" w:rsidR="003E5BF5" w:rsidRPr="007526FB" w:rsidRDefault="003E5BF5" w:rsidP="00DE1921">
            <w:pPr>
              <w:pStyle w:val="TableTextRightBold"/>
              <w:rPr>
                <w:rFonts w:ascii="Arial" w:hAnsi="Arial" w:cs="Arial"/>
                <w:sz w:val="22"/>
              </w:rPr>
            </w:pPr>
          </w:p>
        </w:tc>
      </w:tr>
      <w:tr w:rsidR="003E5BF5" w:rsidRPr="007526FB" w14:paraId="61A93D2C" w14:textId="77777777" w:rsidTr="00DC3814">
        <w:trPr>
          <w:trHeight w:val="340"/>
        </w:trPr>
        <w:tc>
          <w:tcPr>
            <w:tcW w:w="5068" w:type="dxa"/>
            <w:gridSpan w:val="3"/>
            <w:shd w:val="clear" w:color="auto" w:fill="auto"/>
            <w:tcMar>
              <w:left w:w="57" w:type="dxa"/>
              <w:right w:w="57" w:type="dxa"/>
            </w:tcMar>
            <w:vAlign w:val="center"/>
          </w:tcPr>
          <w:p w14:paraId="29E00E54" w14:textId="77777777" w:rsidR="003E5BF5" w:rsidRPr="007526FB" w:rsidRDefault="003E5BF5" w:rsidP="00604703">
            <w:pPr>
              <w:pStyle w:val="TableTextGreen"/>
              <w:rPr>
                <w:sz w:val="22"/>
                <w:szCs w:val="22"/>
              </w:rPr>
            </w:pPr>
            <w:r w:rsidRPr="007526FB">
              <w:rPr>
                <w:sz w:val="22"/>
                <w:szCs w:val="22"/>
              </w:rPr>
              <w:t>Other economic flows – Other non-owner changes in equity</w:t>
            </w:r>
          </w:p>
        </w:tc>
        <w:tc>
          <w:tcPr>
            <w:tcW w:w="258" w:type="dxa"/>
            <w:shd w:val="clear" w:color="auto" w:fill="auto"/>
            <w:vAlign w:val="center"/>
          </w:tcPr>
          <w:p w14:paraId="13927580" w14:textId="77777777" w:rsidR="003E5BF5" w:rsidRPr="007526FB" w:rsidRDefault="003E5BF5" w:rsidP="00DE1921">
            <w:pPr>
              <w:pStyle w:val="TableTextRight"/>
              <w:rPr>
                <w:rFonts w:ascii="Arial" w:hAnsi="Arial" w:cs="Arial"/>
                <w:sz w:val="22"/>
              </w:rPr>
            </w:pPr>
          </w:p>
        </w:tc>
        <w:tc>
          <w:tcPr>
            <w:tcW w:w="1372" w:type="dxa"/>
            <w:shd w:val="clear" w:color="auto" w:fill="auto"/>
            <w:tcMar>
              <w:left w:w="57" w:type="dxa"/>
              <w:right w:w="57" w:type="dxa"/>
            </w:tcMar>
            <w:vAlign w:val="center"/>
          </w:tcPr>
          <w:p w14:paraId="74B25FD3" w14:textId="77777777" w:rsidR="003E5BF5" w:rsidRPr="007526FB" w:rsidRDefault="003E5BF5" w:rsidP="00DE1921">
            <w:pPr>
              <w:pStyle w:val="TableTextRight"/>
              <w:rPr>
                <w:rFonts w:ascii="Arial" w:hAnsi="Arial" w:cs="Arial"/>
                <w:sz w:val="22"/>
              </w:rPr>
            </w:pPr>
          </w:p>
        </w:tc>
        <w:tc>
          <w:tcPr>
            <w:tcW w:w="1099" w:type="dxa"/>
            <w:shd w:val="clear" w:color="auto" w:fill="auto"/>
            <w:tcMar>
              <w:left w:w="57" w:type="dxa"/>
              <w:right w:w="57" w:type="dxa"/>
            </w:tcMar>
            <w:vAlign w:val="center"/>
          </w:tcPr>
          <w:p w14:paraId="7A1327EC" w14:textId="77777777" w:rsidR="003E5BF5" w:rsidRPr="007526FB" w:rsidRDefault="003E5BF5" w:rsidP="00DE1921">
            <w:pPr>
              <w:pStyle w:val="TableTextRight"/>
              <w:rPr>
                <w:rFonts w:ascii="Arial" w:hAnsi="Arial" w:cs="Arial"/>
                <w:sz w:val="22"/>
              </w:rPr>
            </w:pPr>
          </w:p>
        </w:tc>
        <w:tc>
          <w:tcPr>
            <w:tcW w:w="1134" w:type="dxa"/>
            <w:shd w:val="clear" w:color="auto" w:fill="auto"/>
            <w:tcMar>
              <w:left w:w="57" w:type="dxa"/>
              <w:right w:w="57" w:type="dxa"/>
            </w:tcMar>
            <w:vAlign w:val="center"/>
          </w:tcPr>
          <w:p w14:paraId="4BEF75C1" w14:textId="77777777" w:rsidR="003E5BF5" w:rsidRPr="007526FB" w:rsidRDefault="003E5BF5" w:rsidP="00DE1921">
            <w:pPr>
              <w:pStyle w:val="TableTextRight"/>
              <w:rPr>
                <w:rFonts w:ascii="Arial" w:hAnsi="Arial" w:cs="Arial"/>
                <w:sz w:val="22"/>
              </w:rPr>
            </w:pPr>
          </w:p>
        </w:tc>
        <w:tc>
          <w:tcPr>
            <w:tcW w:w="708" w:type="dxa"/>
            <w:shd w:val="clear" w:color="auto" w:fill="auto"/>
            <w:tcMar>
              <w:left w:w="57" w:type="dxa"/>
              <w:right w:w="57" w:type="dxa"/>
            </w:tcMar>
            <w:vAlign w:val="center"/>
          </w:tcPr>
          <w:p w14:paraId="3C85520B" w14:textId="77777777" w:rsidR="003E5BF5" w:rsidRPr="007526FB" w:rsidRDefault="003E5BF5" w:rsidP="00DE1921">
            <w:pPr>
              <w:pStyle w:val="TableTextRight"/>
              <w:rPr>
                <w:rFonts w:ascii="Arial" w:hAnsi="Arial" w:cs="Arial"/>
                <w:sz w:val="22"/>
              </w:rPr>
            </w:pPr>
          </w:p>
        </w:tc>
      </w:tr>
      <w:tr w:rsidR="003E5BF5" w:rsidRPr="007526FB" w14:paraId="418F6E29" w14:textId="77777777" w:rsidTr="00DC3814">
        <w:trPr>
          <w:trHeight w:val="340"/>
        </w:trPr>
        <w:tc>
          <w:tcPr>
            <w:tcW w:w="4217" w:type="dxa"/>
            <w:shd w:val="clear" w:color="auto" w:fill="auto"/>
            <w:tcMar>
              <w:left w:w="57" w:type="dxa"/>
              <w:right w:w="57" w:type="dxa"/>
            </w:tcMar>
            <w:vAlign w:val="center"/>
          </w:tcPr>
          <w:p w14:paraId="349C9E45" w14:textId="77777777" w:rsidR="003E5BF5" w:rsidRPr="007526FB" w:rsidRDefault="003E5BF5" w:rsidP="00DE1921">
            <w:pPr>
              <w:pStyle w:val="TableTextLeft"/>
              <w:rPr>
                <w:rFonts w:ascii="Arial" w:hAnsi="Arial" w:cs="Arial"/>
                <w:sz w:val="22"/>
              </w:rPr>
            </w:pPr>
            <w:r w:rsidRPr="007526FB">
              <w:rPr>
                <w:rFonts w:ascii="Arial" w:eastAsia="Times New Roman" w:hAnsi="Arial" w:cs="Arial"/>
                <w:color w:val="000000"/>
                <w:sz w:val="22"/>
                <w:lang w:eastAsia="en-AU"/>
              </w:rPr>
              <w:t>Changes in physical asset revaluation reserve</w:t>
            </w:r>
          </w:p>
        </w:tc>
        <w:tc>
          <w:tcPr>
            <w:tcW w:w="1109" w:type="dxa"/>
            <w:gridSpan w:val="3"/>
            <w:shd w:val="clear" w:color="auto" w:fill="auto"/>
            <w:vAlign w:val="center"/>
          </w:tcPr>
          <w:p w14:paraId="77709C5F" w14:textId="77777777" w:rsidR="003E5BF5" w:rsidRPr="007526FB" w:rsidRDefault="003E5BF5" w:rsidP="00DE1921">
            <w:pPr>
              <w:pStyle w:val="TableTextRight"/>
              <w:rPr>
                <w:rFonts w:ascii="Arial" w:hAnsi="Arial" w:cs="Arial"/>
                <w:sz w:val="22"/>
              </w:rPr>
            </w:pPr>
            <w:r w:rsidRPr="007526FB">
              <w:rPr>
                <w:rFonts w:ascii="Arial" w:eastAsia="Times New Roman" w:hAnsi="Arial" w:cs="Arial"/>
                <w:color w:val="000000"/>
                <w:sz w:val="22"/>
                <w:lang w:eastAsia="en-AU"/>
              </w:rPr>
              <w:t xml:space="preserve">12,084.7 </w:t>
            </w:r>
          </w:p>
        </w:tc>
        <w:tc>
          <w:tcPr>
            <w:tcW w:w="1372" w:type="dxa"/>
            <w:shd w:val="clear" w:color="auto" w:fill="auto"/>
            <w:tcMar>
              <w:left w:w="57" w:type="dxa"/>
              <w:right w:w="57" w:type="dxa"/>
            </w:tcMar>
            <w:vAlign w:val="center"/>
          </w:tcPr>
          <w:p w14:paraId="362BEA83" w14:textId="77777777" w:rsidR="003E5BF5" w:rsidRPr="007526FB" w:rsidRDefault="003E5BF5" w:rsidP="00DE1921">
            <w:pPr>
              <w:pStyle w:val="TableTextRight"/>
              <w:rPr>
                <w:rFonts w:ascii="Arial" w:hAnsi="Arial" w:cs="Arial"/>
                <w:sz w:val="22"/>
              </w:rPr>
            </w:pPr>
            <w:r w:rsidRPr="007526FB">
              <w:rPr>
                <w:rFonts w:ascii="Arial" w:eastAsia="Times New Roman" w:hAnsi="Arial" w:cs="Arial"/>
                <w:color w:val="000000"/>
                <w:sz w:val="22"/>
                <w:lang w:eastAsia="en-AU"/>
              </w:rPr>
              <w:t xml:space="preserve">3,140.0 </w:t>
            </w:r>
          </w:p>
        </w:tc>
        <w:tc>
          <w:tcPr>
            <w:tcW w:w="1099" w:type="dxa"/>
            <w:shd w:val="clear" w:color="auto" w:fill="auto"/>
            <w:tcMar>
              <w:left w:w="57" w:type="dxa"/>
              <w:right w:w="57" w:type="dxa"/>
            </w:tcMar>
            <w:vAlign w:val="center"/>
          </w:tcPr>
          <w:p w14:paraId="4DD0831F" w14:textId="77777777" w:rsidR="003E5BF5" w:rsidRPr="007526FB" w:rsidRDefault="003E5BF5" w:rsidP="00DE1921">
            <w:pPr>
              <w:pStyle w:val="TableTextRight"/>
              <w:rPr>
                <w:rFonts w:ascii="Arial" w:hAnsi="Arial" w:cs="Arial"/>
                <w:sz w:val="22"/>
              </w:rPr>
            </w:pPr>
            <w:r w:rsidRPr="007526FB">
              <w:rPr>
                <w:rFonts w:ascii="Arial" w:eastAsia="Times New Roman" w:hAnsi="Arial" w:cs="Arial"/>
                <w:color w:val="000000"/>
                <w:sz w:val="22"/>
                <w:lang w:eastAsia="en-AU"/>
              </w:rPr>
              <w:t xml:space="preserve">8,944.7 </w:t>
            </w:r>
          </w:p>
        </w:tc>
        <w:tc>
          <w:tcPr>
            <w:tcW w:w="1134" w:type="dxa"/>
            <w:shd w:val="clear" w:color="auto" w:fill="auto"/>
            <w:tcMar>
              <w:left w:w="57" w:type="dxa"/>
              <w:right w:w="57" w:type="dxa"/>
            </w:tcMar>
            <w:vAlign w:val="center"/>
          </w:tcPr>
          <w:p w14:paraId="53432CCE" w14:textId="77777777" w:rsidR="003E5BF5" w:rsidRPr="007526FB" w:rsidRDefault="003E5BF5" w:rsidP="00DE1921">
            <w:pPr>
              <w:pStyle w:val="TableTextRight"/>
              <w:rPr>
                <w:rFonts w:ascii="Arial" w:hAnsi="Arial" w:cs="Arial"/>
                <w:sz w:val="22"/>
              </w:rPr>
            </w:pPr>
            <w:r w:rsidRPr="007526FB">
              <w:rPr>
                <w:rFonts w:ascii="Arial" w:eastAsia="Times New Roman" w:hAnsi="Arial" w:cs="Arial"/>
                <w:color w:val="000000"/>
                <w:sz w:val="22"/>
                <w:lang w:eastAsia="en-AU"/>
              </w:rPr>
              <w:t>&gt; 100%</w:t>
            </w:r>
          </w:p>
        </w:tc>
        <w:tc>
          <w:tcPr>
            <w:tcW w:w="708" w:type="dxa"/>
            <w:shd w:val="clear" w:color="auto" w:fill="auto"/>
            <w:tcMar>
              <w:left w:w="57" w:type="dxa"/>
              <w:right w:w="57" w:type="dxa"/>
            </w:tcMar>
            <w:vAlign w:val="center"/>
          </w:tcPr>
          <w:p w14:paraId="531AADEE" w14:textId="77777777" w:rsidR="003E5BF5" w:rsidRPr="007526FB" w:rsidRDefault="003E5BF5" w:rsidP="00DE1921">
            <w:pPr>
              <w:pStyle w:val="TableTextRight"/>
              <w:rPr>
                <w:rFonts w:ascii="Arial" w:hAnsi="Arial" w:cs="Arial"/>
                <w:sz w:val="22"/>
              </w:rPr>
            </w:pPr>
            <w:r w:rsidRPr="007526FB">
              <w:rPr>
                <w:rFonts w:ascii="Arial" w:eastAsia="Times New Roman" w:hAnsi="Arial" w:cs="Arial"/>
                <w:color w:val="000000"/>
                <w:sz w:val="22"/>
                <w:lang w:eastAsia="en-AU"/>
              </w:rPr>
              <w:t>m</w:t>
            </w:r>
          </w:p>
        </w:tc>
      </w:tr>
      <w:tr w:rsidR="003E5BF5" w:rsidRPr="007526FB" w14:paraId="6CC49391" w14:textId="77777777" w:rsidTr="00DC3814">
        <w:trPr>
          <w:trHeight w:val="340"/>
        </w:trPr>
        <w:tc>
          <w:tcPr>
            <w:tcW w:w="4217" w:type="dxa"/>
            <w:shd w:val="clear" w:color="auto" w:fill="auto"/>
            <w:tcMar>
              <w:left w:w="57" w:type="dxa"/>
              <w:right w:w="57" w:type="dxa"/>
            </w:tcMar>
            <w:vAlign w:val="center"/>
          </w:tcPr>
          <w:p w14:paraId="3681E78C" w14:textId="77777777" w:rsidR="003E5BF5" w:rsidRPr="007526FB" w:rsidRDefault="003E5BF5" w:rsidP="00DE1921">
            <w:pPr>
              <w:pStyle w:val="TableTextLeft"/>
              <w:rPr>
                <w:rFonts w:ascii="Arial" w:hAnsi="Arial" w:cs="Arial"/>
                <w:sz w:val="22"/>
              </w:rPr>
            </w:pPr>
            <w:r w:rsidRPr="007526FB">
              <w:rPr>
                <w:rFonts w:ascii="Arial" w:eastAsia="Times New Roman" w:hAnsi="Arial" w:cs="Arial"/>
                <w:color w:val="000000"/>
                <w:sz w:val="22"/>
                <w:lang w:eastAsia="en-AU"/>
              </w:rPr>
              <w:t>Financial assets available for sale reserve</w:t>
            </w:r>
          </w:p>
        </w:tc>
        <w:tc>
          <w:tcPr>
            <w:tcW w:w="1109" w:type="dxa"/>
            <w:gridSpan w:val="3"/>
            <w:shd w:val="clear" w:color="auto" w:fill="auto"/>
            <w:vAlign w:val="center"/>
          </w:tcPr>
          <w:p w14:paraId="309CB8BB" w14:textId="77777777" w:rsidR="003E5BF5" w:rsidRPr="007526FB" w:rsidRDefault="003E5BF5" w:rsidP="00DE1921">
            <w:pPr>
              <w:pStyle w:val="TableTextRight"/>
              <w:rPr>
                <w:rFonts w:ascii="Arial" w:hAnsi="Arial" w:cs="Arial"/>
                <w:sz w:val="22"/>
              </w:rPr>
            </w:pPr>
            <w:r w:rsidRPr="007526FB">
              <w:rPr>
                <w:rFonts w:ascii="Arial" w:eastAsia="Times New Roman" w:hAnsi="Arial" w:cs="Arial"/>
                <w:color w:val="000000"/>
                <w:sz w:val="22"/>
                <w:lang w:eastAsia="en-AU"/>
              </w:rPr>
              <w:t xml:space="preserve"> - </w:t>
            </w:r>
          </w:p>
        </w:tc>
        <w:tc>
          <w:tcPr>
            <w:tcW w:w="1372" w:type="dxa"/>
            <w:shd w:val="clear" w:color="auto" w:fill="auto"/>
            <w:tcMar>
              <w:left w:w="57" w:type="dxa"/>
              <w:right w:w="57" w:type="dxa"/>
            </w:tcMar>
            <w:vAlign w:val="center"/>
          </w:tcPr>
          <w:p w14:paraId="0767B3BB" w14:textId="77777777" w:rsidR="003E5BF5" w:rsidRPr="007526FB" w:rsidRDefault="003E5BF5" w:rsidP="00DE1921">
            <w:pPr>
              <w:pStyle w:val="TableTextRight"/>
              <w:rPr>
                <w:rFonts w:ascii="Arial" w:hAnsi="Arial" w:cs="Arial"/>
                <w:sz w:val="22"/>
              </w:rPr>
            </w:pPr>
            <w:r w:rsidRPr="007526FB">
              <w:rPr>
                <w:rFonts w:ascii="Arial" w:eastAsia="Times New Roman" w:hAnsi="Arial" w:cs="Arial"/>
                <w:color w:val="000000"/>
                <w:sz w:val="22"/>
                <w:lang w:eastAsia="en-AU"/>
              </w:rPr>
              <w:t>-</w:t>
            </w:r>
          </w:p>
        </w:tc>
        <w:tc>
          <w:tcPr>
            <w:tcW w:w="1099" w:type="dxa"/>
            <w:shd w:val="clear" w:color="auto" w:fill="auto"/>
            <w:tcMar>
              <w:left w:w="57" w:type="dxa"/>
              <w:right w:w="57" w:type="dxa"/>
            </w:tcMar>
            <w:vAlign w:val="center"/>
          </w:tcPr>
          <w:p w14:paraId="3066BF96" w14:textId="77777777" w:rsidR="003E5BF5" w:rsidRPr="007526FB" w:rsidRDefault="003E5BF5" w:rsidP="00DE1921">
            <w:pPr>
              <w:pStyle w:val="TableTextRight"/>
              <w:rPr>
                <w:rFonts w:ascii="Arial" w:hAnsi="Arial" w:cs="Arial"/>
                <w:sz w:val="22"/>
              </w:rPr>
            </w:pPr>
            <w:r w:rsidRPr="007526FB">
              <w:rPr>
                <w:rFonts w:ascii="Arial" w:eastAsia="Times New Roman" w:hAnsi="Arial" w:cs="Arial"/>
                <w:color w:val="000000"/>
                <w:sz w:val="22"/>
                <w:lang w:eastAsia="en-AU"/>
              </w:rPr>
              <w:t>-</w:t>
            </w:r>
          </w:p>
        </w:tc>
        <w:tc>
          <w:tcPr>
            <w:tcW w:w="1134" w:type="dxa"/>
            <w:shd w:val="clear" w:color="auto" w:fill="auto"/>
            <w:tcMar>
              <w:left w:w="57" w:type="dxa"/>
              <w:right w:w="57" w:type="dxa"/>
            </w:tcMar>
            <w:vAlign w:val="center"/>
          </w:tcPr>
          <w:p w14:paraId="70D0AF3C"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 xml:space="preserve"> (100) %</w:t>
            </w:r>
          </w:p>
        </w:tc>
        <w:tc>
          <w:tcPr>
            <w:tcW w:w="708" w:type="dxa"/>
            <w:shd w:val="clear" w:color="auto" w:fill="auto"/>
            <w:tcMar>
              <w:left w:w="57" w:type="dxa"/>
              <w:right w:w="57" w:type="dxa"/>
            </w:tcMar>
            <w:vAlign w:val="center"/>
          </w:tcPr>
          <w:p w14:paraId="10DF9785" w14:textId="77777777" w:rsidR="003E5BF5" w:rsidRPr="007526FB" w:rsidRDefault="003E5BF5" w:rsidP="00DE1921">
            <w:pPr>
              <w:pStyle w:val="TableTextRight"/>
              <w:rPr>
                <w:rFonts w:ascii="Arial" w:hAnsi="Arial" w:cs="Arial"/>
                <w:sz w:val="22"/>
              </w:rPr>
            </w:pPr>
            <w:r w:rsidRPr="007526FB">
              <w:rPr>
                <w:rFonts w:ascii="Arial" w:hAnsi="Arial" w:cs="Arial"/>
                <w:sz w:val="22"/>
                <w:lang w:eastAsia="en-AU"/>
              </w:rPr>
              <w:t> </w:t>
            </w:r>
          </w:p>
        </w:tc>
      </w:tr>
      <w:tr w:rsidR="003E5BF5" w:rsidRPr="007526FB" w14:paraId="047AED80" w14:textId="77777777" w:rsidTr="00DC3814">
        <w:trPr>
          <w:trHeight w:val="340"/>
        </w:trPr>
        <w:tc>
          <w:tcPr>
            <w:tcW w:w="4217" w:type="dxa"/>
            <w:shd w:val="clear" w:color="auto" w:fill="auto"/>
            <w:tcMar>
              <w:left w:w="57" w:type="dxa"/>
              <w:right w:w="57" w:type="dxa"/>
            </w:tcMar>
            <w:vAlign w:val="center"/>
          </w:tcPr>
          <w:p w14:paraId="4C5E221A" w14:textId="77777777" w:rsidR="003E5BF5" w:rsidRPr="007526FB" w:rsidRDefault="003E5BF5" w:rsidP="00DE1921">
            <w:pPr>
              <w:pStyle w:val="TableTextLeft"/>
              <w:rPr>
                <w:rFonts w:ascii="Arial" w:hAnsi="Arial" w:cs="Arial"/>
                <w:sz w:val="22"/>
              </w:rPr>
            </w:pPr>
            <w:r w:rsidRPr="007526FB">
              <w:rPr>
                <w:rFonts w:ascii="Arial" w:eastAsia="Times New Roman" w:hAnsi="Arial" w:cs="Arial"/>
                <w:color w:val="000000"/>
                <w:sz w:val="22"/>
                <w:lang w:eastAsia="en-AU"/>
              </w:rPr>
              <w:t>Other economic flows</w:t>
            </w:r>
          </w:p>
        </w:tc>
        <w:tc>
          <w:tcPr>
            <w:tcW w:w="1109" w:type="dxa"/>
            <w:gridSpan w:val="3"/>
            <w:shd w:val="clear" w:color="auto" w:fill="auto"/>
            <w:vAlign w:val="center"/>
          </w:tcPr>
          <w:p w14:paraId="524F262C" w14:textId="77777777" w:rsidR="003E5BF5" w:rsidRPr="007526FB" w:rsidRDefault="003E5BF5" w:rsidP="00DE1921">
            <w:pPr>
              <w:pStyle w:val="TableTextRight"/>
              <w:rPr>
                <w:rFonts w:ascii="Arial" w:hAnsi="Arial" w:cs="Arial"/>
                <w:sz w:val="22"/>
              </w:rPr>
            </w:pPr>
            <w:r w:rsidRPr="007526FB">
              <w:rPr>
                <w:rFonts w:ascii="Arial" w:eastAsia="Times New Roman" w:hAnsi="Arial" w:cs="Arial"/>
                <w:color w:val="000000"/>
                <w:sz w:val="22"/>
                <w:lang w:eastAsia="en-AU"/>
              </w:rPr>
              <w:t>(25.1)</w:t>
            </w:r>
          </w:p>
        </w:tc>
        <w:tc>
          <w:tcPr>
            <w:tcW w:w="1372" w:type="dxa"/>
            <w:shd w:val="clear" w:color="auto" w:fill="auto"/>
            <w:tcMar>
              <w:left w:w="57" w:type="dxa"/>
              <w:right w:w="57" w:type="dxa"/>
            </w:tcMar>
            <w:vAlign w:val="center"/>
          </w:tcPr>
          <w:p w14:paraId="417840F3" w14:textId="77777777" w:rsidR="003E5BF5" w:rsidRPr="007526FB" w:rsidRDefault="003E5BF5" w:rsidP="00DE1921">
            <w:pPr>
              <w:pStyle w:val="TableTextRight"/>
              <w:rPr>
                <w:rFonts w:ascii="Arial" w:hAnsi="Arial" w:cs="Arial"/>
                <w:sz w:val="22"/>
              </w:rPr>
            </w:pPr>
            <w:r w:rsidRPr="007526FB">
              <w:rPr>
                <w:rFonts w:ascii="Arial" w:eastAsia="Times New Roman" w:hAnsi="Arial" w:cs="Arial"/>
                <w:color w:val="000000"/>
                <w:sz w:val="22"/>
                <w:lang w:eastAsia="en-AU"/>
              </w:rPr>
              <w:t xml:space="preserve">1.0 </w:t>
            </w:r>
          </w:p>
        </w:tc>
        <w:tc>
          <w:tcPr>
            <w:tcW w:w="1099" w:type="dxa"/>
            <w:shd w:val="clear" w:color="auto" w:fill="auto"/>
            <w:tcMar>
              <w:left w:w="57" w:type="dxa"/>
              <w:right w:w="57" w:type="dxa"/>
            </w:tcMar>
            <w:vAlign w:val="center"/>
          </w:tcPr>
          <w:p w14:paraId="3D607163" w14:textId="77777777" w:rsidR="003E5BF5" w:rsidRPr="007526FB" w:rsidRDefault="003E5BF5" w:rsidP="00DE1921">
            <w:pPr>
              <w:pStyle w:val="TableTextRight"/>
              <w:rPr>
                <w:rFonts w:ascii="Arial" w:hAnsi="Arial" w:cs="Arial"/>
                <w:sz w:val="22"/>
              </w:rPr>
            </w:pPr>
            <w:r w:rsidRPr="007526FB">
              <w:rPr>
                <w:rFonts w:ascii="Arial" w:eastAsia="Times New Roman" w:hAnsi="Arial" w:cs="Arial"/>
                <w:color w:val="000000"/>
                <w:sz w:val="22"/>
                <w:lang w:eastAsia="en-AU"/>
              </w:rPr>
              <w:t>(26.1)</w:t>
            </w:r>
          </w:p>
        </w:tc>
        <w:tc>
          <w:tcPr>
            <w:tcW w:w="1134" w:type="dxa"/>
            <w:shd w:val="clear" w:color="auto" w:fill="auto"/>
            <w:tcMar>
              <w:left w:w="57" w:type="dxa"/>
              <w:right w:w="57" w:type="dxa"/>
            </w:tcMar>
            <w:vAlign w:val="center"/>
          </w:tcPr>
          <w:p w14:paraId="37EAA4E7" w14:textId="77777777" w:rsidR="003E5BF5" w:rsidRPr="007526FB" w:rsidRDefault="003E5BF5" w:rsidP="000C4152">
            <w:pPr>
              <w:pStyle w:val="TableTextRight"/>
              <w:rPr>
                <w:rFonts w:ascii="Arial" w:hAnsi="Arial" w:cs="Arial"/>
                <w:sz w:val="22"/>
              </w:rPr>
            </w:pPr>
            <w:r w:rsidRPr="007526FB">
              <w:rPr>
                <w:rFonts w:ascii="Arial" w:eastAsia="Times New Roman" w:hAnsi="Arial" w:cs="Arial"/>
                <w:color w:val="000000"/>
                <w:sz w:val="22"/>
                <w:lang w:eastAsia="en-AU"/>
              </w:rPr>
              <w:t>&gt; (100) %</w:t>
            </w:r>
          </w:p>
        </w:tc>
        <w:tc>
          <w:tcPr>
            <w:tcW w:w="708" w:type="dxa"/>
            <w:shd w:val="clear" w:color="auto" w:fill="auto"/>
            <w:tcMar>
              <w:left w:w="57" w:type="dxa"/>
              <w:right w:w="57" w:type="dxa"/>
            </w:tcMar>
            <w:vAlign w:val="center"/>
          </w:tcPr>
          <w:p w14:paraId="3FC505C3" w14:textId="77777777" w:rsidR="003E5BF5" w:rsidRPr="007526FB" w:rsidRDefault="003E5BF5" w:rsidP="00DE1921">
            <w:pPr>
              <w:pStyle w:val="TableTextRight"/>
              <w:rPr>
                <w:rFonts w:ascii="Arial" w:hAnsi="Arial" w:cs="Arial"/>
                <w:sz w:val="22"/>
              </w:rPr>
            </w:pPr>
            <w:r w:rsidRPr="007526FB">
              <w:rPr>
                <w:rFonts w:ascii="Arial" w:eastAsia="Times New Roman" w:hAnsi="Arial" w:cs="Arial"/>
                <w:color w:val="000000"/>
                <w:sz w:val="22"/>
                <w:lang w:eastAsia="en-AU"/>
              </w:rPr>
              <w:t>n</w:t>
            </w:r>
          </w:p>
        </w:tc>
      </w:tr>
      <w:tr w:rsidR="003E5BF5" w:rsidRPr="007526FB" w14:paraId="1ED9DD64" w14:textId="77777777" w:rsidTr="00DC3814">
        <w:trPr>
          <w:trHeight w:val="340"/>
        </w:trPr>
        <w:tc>
          <w:tcPr>
            <w:tcW w:w="4217" w:type="dxa"/>
            <w:shd w:val="clear" w:color="auto" w:fill="auto"/>
            <w:tcMar>
              <w:left w:w="57" w:type="dxa"/>
              <w:right w:w="57" w:type="dxa"/>
            </w:tcMar>
            <w:vAlign w:val="center"/>
          </w:tcPr>
          <w:p w14:paraId="7AF5EAF0" w14:textId="77777777" w:rsidR="003E5BF5" w:rsidRPr="007526FB" w:rsidRDefault="003E5BF5" w:rsidP="00DE1921">
            <w:pPr>
              <w:pStyle w:val="TableTextLeftBold"/>
              <w:rPr>
                <w:rFonts w:ascii="Arial" w:hAnsi="Arial" w:cs="Arial"/>
                <w:sz w:val="22"/>
              </w:rPr>
            </w:pPr>
            <w:r w:rsidRPr="007526FB">
              <w:rPr>
                <w:rFonts w:ascii="Arial" w:hAnsi="Arial" w:cs="Arial"/>
                <w:sz w:val="22"/>
              </w:rPr>
              <w:t>Total other economic flows – Other non-owner changes in equity</w:t>
            </w:r>
          </w:p>
        </w:tc>
        <w:tc>
          <w:tcPr>
            <w:tcW w:w="1109" w:type="dxa"/>
            <w:gridSpan w:val="3"/>
            <w:shd w:val="clear" w:color="auto" w:fill="auto"/>
            <w:vAlign w:val="center"/>
          </w:tcPr>
          <w:p w14:paraId="4742F62B" w14:textId="77777777" w:rsidR="003E5BF5" w:rsidRPr="007526FB" w:rsidRDefault="003E5BF5" w:rsidP="00DE1921">
            <w:pPr>
              <w:pStyle w:val="TableTextRightBold"/>
              <w:rPr>
                <w:rFonts w:ascii="Arial" w:hAnsi="Arial" w:cs="Arial"/>
                <w:sz w:val="22"/>
              </w:rPr>
            </w:pPr>
            <w:r w:rsidRPr="007526FB">
              <w:rPr>
                <w:rFonts w:ascii="Arial" w:eastAsia="Times New Roman" w:hAnsi="Arial" w:cs="Arial"/>
                <w:color w:val="000000"/>
                <w:sz w:val="22"/>
                <w:lang w:eastAsia="en-AU"/>
              </w:rPr>
              <w:t xml:space="preserve">12,059.6 </w:t>
            </w:r>
          </w:p>
        </w:tc>
        <w:tc>
          <w:tcPr>
            <w:tcW w:w="1372" w:type="dxa"/>
            <w:shd w:val="clear" w:color="auto" w:fill="auto"/>
            <w:tcMar>
              <w:left w:w="57" w:type="dxa"/>
              <w:right w:w="57" w:type="dxa"/>
            </w:tcMar>
            <w:vAlign w:val="center"/>
          </w:tcPr>
          <w:p w14:paraId="6EEAA88F" w14:textId="77777777" w:rsidR="003E5BF5" w:rsidRPr="007526FB" w:rsidRDefault="003E5BF5" w:rsidP="00DE1921">
            <w:pPr>
              <w:pStyle w:val="TableTextRightBold"/>
              <w:rPr>
                <w:rFonts w:ascii="Arial" w:hAnsi="Arial" w:cs="Arial"/>
                <w:sz w:val="22"/>
              </w:rPr>
            </w:pPr>
            <w:r w:rsidRPr="007526FB">
              <w:rPr>
                <w:rFonts w:ascii="Arial" w:eastAsia="Times New Roman" w:hAnsi="Arial" w:cs="Arial"/>
                <w:color w:val="000000"/>
                <w:sz w:val="22"/>
                <w:lang w:eastAsia="en-AU"/>
              </w:rPr>
              <w:t xml:space="preserve">3,141.0 </w:t>
            </w:r>
          </w:p>
        </w:tc>
        <w:tc>
          <w:tcPr>
            <w:tcW w:w="1099" w:type="dxa"/>
            <w:shd w:val="clear" w:color="auto" w:fill="auto"/>
            <w:tcMar>
              <w:left w:w="57" w:type="dxa"/>
              <w:right w:w="57" w:type="dxa"/>
            </w:tcMar>
            <w:vAlign w:val="center"/>
          </w:tcPr>
          <w:p w14:paraId="3B516717" w14:textId="77777777" w:rsidR="003E5BF5" w:rsidRPr="007526FB" w:rsidRDefault="003E5BF5" w:rsidP="00DE1921">
            <w:pPr>
              <w:pStyle w:val="TableTextRightBold"/>
              <w:rPr>
                <w:rFonts w:ascii="Arial" w:hAnsi="Arial" w:cs="Arial"/>
                <w:sz w:val="22"/>
              </w:rPr>
            </w:pPr>
            <w:r w:rsidRPr="007526FB">
              <w:rPr>
                <w:rFonts w:ascii="Arial" w:eastAsia="Times New Roman" w:hAnsi="Arial" w:cs="Arial"/>
                <w:color w:val="000000"/>
                <w:sz w:val="22"/>
                <w:lang w:eastAsia="en-AU"/>
              </w:rPr>
              <w:t xml:space="preserve">8,918.6 </w:t>
            </w:r>
          </w:p>
        </w:tc>
        <w:tc>
          <w:tcPr>
            <w:tcW w:w="1134" w:type="dxa"/>
            <w:shd w:val="clear" w:color="auto" w:fill="auto"/>
            <w:tcMar>
              <w:left w:w="57" w:type="dxa"/>
              <w:right w:w="57" w:type="dxa"/>
            </w:tcMar>
            <w:vAlign w:val="center"/>
          </w:tcPr>
          <w:p w14:paraId="3CECC1FC" w14:textId="77777777" w:rsidR="003E5BF5" w:rsidRPr="007526FB" w:rsidRDefault="003E5BF5" w:rsidP="00DE1921">
            <w:pPr>
              <w:pStyle w:val="TableTextRightBold"/>
              <w:rPr>
                <w:rFonts w:ascii="Arial" w:hAnsi="Arial" w:cs="Arial"/>
                <w:sz w:val="22"/>
              </w:rPr>
            </w:pPr>
            <w:r w:rsidRPr="007526FB">
              <w:rPr>
                <w:rFonts w:ascii="Arial" w:eastAsia="Times New Roman" w:hAnsi="Arial" w:cs="Arial"/>
                <w:color w:val="000000"/>
                <w:sz w:val="22"/>
                <w:lang w:eastAsia="en-AU"/>
              </w:rPr>
              <w:t>&gt; 100%</w:t>
            </w:r>
          </w:p>
        </w:tc>
        <w:tc>
          <w:tcPr>
            <w:tcW w:w="708" w:type="dxa"/>
            <w:shd w:val="clear" w:color="auto" w:fill="auto"/>
            <w:tcMar>
              <w:left w:w="57" w:type="dxa"/>
              <w:right w:w="57" w:type="dxa"/>
            </w:tcMar>
            <w:vAlign w:val="center"/>
          </w:tcPr>
          <w:p w14:paraId="61DAB836" w14:textId="77777777" w:rsidR="003E5BF5" w:rsidRPr="007526FB" w:rsidRDefault="003E5BF5" w:rsidP="00DE1921">
            <w:pPr>
              <w:pStyle w:val="TableTextRightBold"/>
              <w:rPr>
                <w:rFonts w:ascii="Arial" w:hAnsi="Arial" w:cs="Arial"/>
                <w:sz w:val="22"/>
              </w:rPr>
            </w:pPr>
          </w:p>
        </w:tc>
      </w:tr>
      <w:tr w:rsidR="003E5BF5" w:rsidRPr="007526FB" w14:paraId="0CC27C8D" w14:textId="77777777" w:rsidTr="00DC3814">
        <w:trPr>
          <w:trHeight w:val="340"/>
        </w:trPr>
        <w:tc>
          <w:tcPr>
            <w:tcW w:w="4217" w:type="dxa"/>
            <w:shd w:val="clear" w:color="auto" w:fill="auto"/>
            <w:tcMar>
              <w:left w:w="57" w:type="dxa"/>
              <w:right w:w="57" w:type="dxa"/>
            </w:tcMar>
            <w:vAlign w:val="center"/>
          </w:tcPr>
          <w:p w14:paraId="270EFCC7" w14:textId="77777777" w:rsidR="003E5BF5" w:rsidRPr="007526FB" w:rsidRDefault="003E5BF5" w:rsidP="00DE1921">
            <w:pPr>
              <w:pStyle w:val="TableTextLeftBold"/>
              <w:rPr>
                <w:rFonts w:ascii="Arial" w:hAnsi="Arial" w:cs="Arial"/>
                <w:sz w:val="22"/>
              </w:rPr>
            </w:pPr>
            <w:r w:rsidRPr="007526FB">
              <w:rPr>
                <w:rFonts w:ascii="Arial" w:hAnsi="Arial" w:cs="Arial"/>
                <w:sz w:val="22"/>
              </w:rPr>
              <w:t>Comprehensive result</w:t>
            </w:r>
          </w:p>
        </w:tc>
        <w:tc>
          <w:tcPr>
            <w:tcW w:w="1109" w:type="dxa"/>
            <w:gridSpan w:val="3"/>
            <w:shd w:val="clear" w:color="auto" w:fill="auto"/>
            <w:vAlign w:val="center"/>
          </w:tcPr>
          <w:p w14:paraId="050421A8" w14:textId="77777777" w:rsidR="003E5BF5" w:rsidRPr="007526FB" w:rsidRDefault="003E5BF5" w:rsidP="00DE1921">
            <w:pPr>
              <w:pStyle w:val="TableTextRightBold"/>
              <w:rPr>
                <w:rFonts w:ascii="Arial" w:hAnsi="Arial" w:cs="Arial"/>
                <w:sz w:val="22"/>
              </w:rPr>
            </w:pPr>
            <w:r w:rsidRPr="007526FB">
              <w:rPr>
                <w:rFonts w:ascii="Arial" w:eastAsia="Times New Roman" w:hAnsi="Arial" w:cs="Arial"/>
                <w:color w:val="000000"/>
                <w:sz w:val="22"/>
                <w:lang w:eastAsia="en-AU"/>
              </w:rPr>
              <w:t xml:space="preserve">11,041.3 </w:t>
            </w:r>
          </w:p>
        </w:tc>
        <w:tc>
          <w:tcPr>
            <w:tcW w:w="1372" w:type="dxa"/>
            <w:shd w:val="clear" w:color="auto" w:fill="auto"/>
            <w:tcMar>
              <w:left w:w="57" w:type="dxa"/>
              <w:right w:w="57" w:type="dxa"/>
            </w:tcMar>
            <w:vAlign w:val="center"/>
          </w:tcPr>
          <w:p w14:paraId="0A8BE8D3" w14:textId="77777777" w:rsidR="003E5BF5" w:rsidRPr="007526FB" w:rsidRDefault="003E5BF5" w:rsidP="00DE1921">
            <w:pPr>
              <w:pStyle w:val="TableTextRightBold"/>
              <w:rPr>
                <w:rFonts w:ascii="Arial" w:hAnsi="Arial" w:cs="Arial"/>
                <w:sz w:val="22"/>
              </w:rPr>
            </w:pPr>
            <w:r w:rsidRPr="007526FB">
              <w:rPr>
                <w:rFonts w:ascii="Arial" w:eastAsia="Times New Roman" w:hAnsi="Arial" w:cs="Arial"/>
                <w:color w:val="000000"/>
                <w:sz w:val="22"/>
                <w:lang w:eastAsia="en-AU"/>
              </w:rPr>
              <w:t xml:space="preserve">3,084.0 </w:t>
            </w:r>
          </w:p>
        </w:tc>
        <w:tc>
          <w:tcPr>
            <w:tcW w:w="1099" w:type="dxa"/>
            <w:shd w:val="clear" w:color="auto" w:fill="auto"/>
            <w:tcMar>
              <w:left w:w="57" w:type="dxa"/>
              <w:right w:w="57" w:type="dxa"/>
            </w:tcMar>
            <w:vAlign w:val="center"/>
          </w:tcPr>
          <w:p w14:paraId="346FA25F" w14:textId="77777777" w:rsidR="003E5BF5" w:rsidRPr="007526FB" w:rsidRDefault="003E5BF5" w:rsidP="00DE1921">
            <w:pPr>
              <w:pStyle w:val="TableTextRightBold"/>
              <w:rPr>
                <w:rFonts w:ascii="Arial" w:hAnsi="Arial" w:cs="Arial"/>
                <w:sz w:val="22"/>
              </w:rPr>
            </w:pPr>
            <w:r w:rsidRPr="007526FB">
              <w:rPr>
                <w:rFonts w:ascii="Arial" w:eastAsia="Times New Roman" w:hAnsi="Arial" w:cs="Arial"/>
                <w:color w:val="000000"/>
                <w:sz w:val="22"/>
                <w:lang w:eastAsia="en-AU"/>
              </w:rPr>
              <w:t xml:space="preserve">7,958.3 </w:t>
            </w:r>
          </w:p>
        </w:tc>
        <w:tc>
          <w:tcPr>
            <w:tcW w:w="1134" w:type="dxa"/>
            <w:shd w:val="clear" w:color="auto" w:fill="auto"/>
            <w:tcMar>
              <w:left w:w="57" w:type="dxa"/>
              <w:right w:w="57" w:type="dxa"/>
            </w:tcMar>
            <w:vAlign w:val="center"/>
          </w:tcPr>
          <w:p w14:paraId="39B4E76F" w14:textId="77777777" w:rsidR="003E5BF5" w:rsidRPr="007526FB" w:rsidRDefault="003E5BF5" w:rsidP="00DE1921">
            <w:pPr>
              <w:pStyle w:val="TableTextRightBold"/>
              <w:rPr>
                <w:rFonts w:ascii="Arial" w:hAnsi="Arial" w:cs="Arial"/>
                <w:sz w:val="22"/>
              </w:rPr>
            </w:pPr>
            <w:r w:rsidRPr="007526FB">
              <w:rPr>
                <w:rFonts w:ascii="Arial" w:eastAsia="Times New Roman" w:hAnsi="Arial" w:cs="Arial"/>
                <w:color w:val="000000"/>
                <w:sz w:val="22"/>
                <w:lang w:eastAsia="en-AU"/>
              </w:rPr>
              <w:t>&gt; 100%</w:t>
            </w:r>
          </w:p>
        </w:tc>
        <w:tc>
          <w:tcPr>
            <w:tcW w:w="708" w:type="dxa"/>
            <w:shd w:val="clear" w:color="auto" w:fill="auto"/>
            <w:tcMar>
              <w:left w:w="57" w:type="dxa"/>
              <w:right w:w="57" w:type="dxa"/>
            </w:tcMar>
            <w:vAlign w:val="center"/>
          </w:tcPr>
          <w:p w14:paraId="6C1F6DC1" w14:textId="77777777" w:rsidR="003E5BF5" w:rsidRPr="007526FB" w:rsidRDefault="003E5BF5" w:rsidP="00DE1921">
            <w:pPr>
              <w:pStyle w:val="TableTextRightBold"/>
              <w:rPr>
                <w:rFonts w:ascii="Arial" w:hAnsi="Arial" w:cs="Arial"/>
                <w:sz w:val="22"/>
              </w:rPr>
            </w:pPr>
          </w:p>
        </w:tc>
      </w:tr>
    </w:tbl>
    <w:p w14:paraId="1C30F562" w14:textId="77777777" w:rsidR="003E5BF5" w:rsidRDefault="003E5BF5" w:rsidP="00DE1921">
      <w:pPr>
        <w:pStyle w:val="Note"/>
        <w:rPr>
          <w:szCs w:val="14"/>
        </w:rPr>
        <w:sectPr w:rsidR="003E5BF5" w:rsidSect="00DE1921">
          <w:pgSz w:w="11906" w:h="16838"/>
          <w:pgMar w:top="1701" w:right="1418" w:bottom="1418" w:left="1418" w:header="709" w:footer="709" w:gutter="0"/>
          <w:cols w:space="284"/>
          <w:docGrid w:linePitch="360"/>
        </w:sectPr>
      </w:pPr>
      <w:bookmarkStart w:id="797" w:name="_Hlk50649873"/>
    </w:p>
    <w:p w14:paraId="1D426102" w14:textId="77777777" w:rsidR="003E5BF5" w:rsidRPr="00A339C9" w:rsidRDefault="003E5BF5" w:rsidP="00975561">
      <w:pPr>
        <w:pStyle w:val="aaatyping"/>
      </w:pPr>
      <w:r w:rsidRPr="00A339C9">
        <w:lastRenderedPageBreak/>
        <w:t>Explanation for major variations between 2019–20 actual and 2019–20 published budget are as follows:</w:t>
      </w:r>
    </w:p>
    <w:bookmarkEnd w:id="797"/>
    <w:p w14:paraId="16904A3E" w14:textId="77777777" w:rsidR="003E5BF5" w:rsidRPr="004345C0" w:rsidRDefault="003E5BF5" w:rsidP="00610F5F">
      <w:pPr>
        <w:pStyle w:val="Notenumberingabc"/>
        <w:numPr>
          <w:ilvl w:val="0"/>
          <w:numId w:val="50"/>
        </w:numPr>
        <w:spacing w:before="0" w:after="120"/>
        <w:ind w:left="453" w:hanging="340"/>
        <w:rPr>
          <w:rFonts w:ascii="Arial" w:hAnsi="Arial" w:cs="Arial"/>
          <w:sz w:val="28"/>
          <w:szCs w:val="28"/>
        </w:rPr>
      </w:pPr>
      <w:r w:rsidRPr="004345C0">
        <w:rPr>
          <w:rFonts w:ascii="Arial" w:hAnsi="Arial" w:cs="Arial"/>
          <w:sz w:val="28"/>
          <w:szCs w:val="28"/>
        </w:rPr>
        <w:t>Output appropriations were higher than the published budget primarily due to additional funding as part of Government's response to coronavirus (COVID-19) and the release of funding relating to capital program as well as user charges for services budgeted for under Sales of goods and services.</w:t>
      </w:r>
    </w:p>
    <w:p w14:paraId="387CEF10"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Special appropriations were lower than the published budget primarily due to reduction in funding relating to traffic camera and on-the-spot fine revenue impacted by coronavirus (COVID-19) and the reclassification of funding from operating to capital in line with accounting standards.</w:t>
      </w:r>
    </w:p>
    <w:p w14:paraId="2BEBF7AE"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Interest was lower than the published budget primarily due to reduced cash balances held.</w:t>
      </w:r>
    </w:p>
    <w:p w14:paraId="168990E6"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Sales of goods and services were lower than the published budget primarily due to decrease in farebox revenues impacted by coronavirus (COVID-19) and user charges relating to services now recognised as output appropriations under Section 29.</w:t>
      </w:r>
    </w:p>
    <w:p w14:paraId="3688945B"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Grants were lower than the published budget primarily due to timing of the road safety program.</w:t>
      </w:r>
    </w:p>
    <w:p w14:paraId="30B047DE"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Fair value of assets and services received free of charge or for nominal consideration were lower than the published budget primarily due to realignment of resources used free of charge with accounting standard changes.</w:t>
      </w:r>
    </w:p>
    <w:p w14:paraId="75C1DD32"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Other income was lower than the published budget primarily due to user charges relating to services now recognised as output appropriations under Section 29.</w:t>
      </w:r>
    </w:p>
    <w:p w14:paraId="294FC74B"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Employee benefits were higher than the published budget primarily due to the release of operating funding relating to the capital program and reclassification of costs budgeted under other operating expenses.</w:t>
      </w:r>
    </w:p>
    <w:p w14:paraId="749D5319"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Interest expenses were lower than the published budget primarily due to timing of scheduled works relating to service concession arrangements.</w:t>
      </w:r>
    </w:p>
    <w:p w14:paraId="5289D187"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Grants and other transfers were higher than the published budget primarily due to response to coronavirus (COVID-19) and grants to local government.</w:t>
      </w:r>
    </w:p>
    <w:p w14:paraId="0C38142B"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lastRenderedPageBreak/>
        <w:t>Net gain/(loss) on non-financial assets were higher than the published budget primarily due to revaluation of road infrastructure assets as part of the 5-year revaluation cycle.</w:t>
      </w:r>
    </w:p>
    <w:p w14:paraId="5E6A6D37"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Other gains/(losses) from other economic flows were higher than the published budget primarily due to movement in rail operator employee provisions due to the decrease in discount rate.</w:t>
      </w:r>
    </w:p>
    <w:p w14:paraId="33ECCEA4"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Changes in physical asset revaluation reserve were higher than the published budget primarily due to scheduled 5-year cyclical revaluation of assets with the increase primarily driven by land under roads.</w:t>
      </w:r>
    </w:p>
    <w:p w14:paraId="1EC0467E" w14:textId="77777777" w:rsidR="003E5BF5" w:rsidRPr="004345C0" w:rsidRDefault="003E5BF5" w:rsidP="003E5BF5">
      <w:pPr>
        <w:pStyle w:val="Notenumberingabc"/>
        <w:spacing w:before="0" w:after="120"/>
        <w:ind w:left="453" w:hanging="340"/>
        <w:rPr>
          <w:rFonts w:ascii="Arial" w:hAnsi="Arial" w:cs="Arial"/>
          <w:sz w:val="28"/>
          <w:szCs w:val="28"/>
        </w:rPr>
        <w:sectPr w:rsidR="003E5BF5" w:rsidRPr="004345C0" w:rsidSect="00DE1921">
          <w:pgSz w:w="11906" w:h="16838"/>
          <w:pgMar w:top="1701" w:right="1418" w:bottom="1418" w:left="1418" w:header="709" w:footer="709" w:gutter="0"/>
          <w:cols w:space="284"/>
          <w:docGrid w:linePitch="360"/>
        </w:sectPr>
      </w:pPr>
      <w:r w:rsidRPr="004345C0">
        <w:rPr>
          <w:rFonts w:ascii="Arial" w:hAnsi="Arial" w:cs="Arial"/>
          <w:sz w:val="28"/>
          <w:szCs w:val="28"/>
        </w:rPr>
        <w:t>Other economic flows were lower than the published budget primarily due to equity movement relating to accounting standard changes.</w:t>
      </w:r>
    </w:p>
    <w:p w14:paraId="515D0C3D" w14:textId="77777777" w:rsidR="003E5BF5" w:rsidRPr="00E273FC" w:rsidRDefault="003E5BF5" w:rsidP="00CF74EB">
      <w:pPr>
        <w:pStyle w:val="TableHeader"/>
      </w:pPr>
      <w:r w:rsidRPr="00E273FC">
        <w:lastRenderedPageBreak/>
        <w:t>Balance sheet as at 30 June 2020</w:t>
      </w:r>
    </w:p>
    <w:tbl>
      <w:tblPr>
        <w:tblStyle w:val="TableGrid"/>
        <w:tblW w:w="9072" w:type="dxa"/>
        <w:tblCellMar>
          <w:left w:w="0" w:type="dxa"/>
          <w:right w:w="28" w:type="dxa"/>
        </w:tblCellMar>
        <w:tblLook w:val="04A0" w:firstRow="1" w:lastRow="0" w:firstColumn="1" w:lastColumn="0" w:noHBand="0" w:noVBand="1"/>
      </w:tblPr>
      <w:tblGrid>
        <w:gridCol w:w="3256"/>
        <w:gridCol w:w="1310"/>
        <w:gridCol w:w="1287"/>
        <w:gridCol w:w="1209"/>
        <w:gridCol w:w="1213"/>
        <w:gridCol w:w="797"/>
      </w:tblGrid>
      <w:tr w:rsidR="003E5BF5" w:rsidRPr="00E273FC" w14:paraId="40538421" w14:textId="77777777" w:rsidTr="004345C0">
        <w:trPr>
          <w:trHeight w:val="340"/>
        </w:trPr>
        <w:tc>
          <w:tcPr>
            <w:tcW w:w="3256" w:type="dxa"/>
            <w:shd w:val="clear" w:color="auto" w:fill="auto"/>
            <w:tcMar>
              <w:left w:w="57" w:type="dxa"/>
              <w:right w:w="57" w:type="dxa"/>
            </w:tcMar>
            <w:vAlign w:val="center"/>
          </w:tcPr>
          <w:p w14:paraId="79AB7066" w14:textId="77777777" w:rsidR="003E5BF5" w:rsidRPr="00E273FC" w:rsidRDefault="003E5BF5" w:rsidP="00DE1921">
            <w:pPr>
              <w:pStyle w:val="TableTextLeft"/>
              <w:rPr>
                <w:rFonts w:ascii="Arial" w:hAnsi="Arial" w:cs="Arial"/>
                <w:sz w:val="24"/>
                <w:szCs w:val="24"/>
              </w:rPr>
            </w:pPr>
          </w:p>
        </w:tc>
        <w:tc>
          <w:tcPr>
            <w:tcW w:w="1310" w:type="dxa"/>
            <w:shd w:val="clear" w:color="auto" w:fill="auto"/>
            <w:vAlign w:val="bottom"/>
          </w:tcPr>
          <w:p w14:paraId="4103FD0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2019-20 Actual</w:t>
            </w:r>
          </w:p>
          <w:p w14:paraId="510DE44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million)</w:t>
            </w:r>
          </w:p>
        </w:tc>
        <w:tc>
          <w:tcPr>
            <w:tcW w:w="1287" w:type="dxa"/>
            <w:shd w:val="clear" w:color="auto" w:fill="auto"/>
            <w:tcMar>
              <w:left w:w="57" w:type="dxa"/>
              <w:right w:w="57" w:type="dxa"/>
            </w:tcMar>
            <w:vAlign w:val="bottom"/>
          </w:tcPr>
          <w:p w14:paraId="1CFA8A1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2019-20 Published budget</w:t>
            </w:r>
          </w:p>
          <w:p w14:paraId="5290BDE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million)</w:t>
            </w:r>
          </w:p>
        </w:tc>
        <w:tc>
          <w:tcPr>
            <w:tcW w:w="1209" w:type="dxa"/>
            <w:shd w:val="clear" w:color="auto" w:fill="auto"/>
            <w:tcMar>
              <w:left w:w="57" w:type="dxa"/>
              <w:right w:w="57" w:type="dxa"/>
            </w:tcMar>
            <w:vAlign w:val="bottom"/>
          </w:tcPr>
          <w:p w14:paraId="15D2BC3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Variation</w:t>
            </w:r>
          </w:p>
        </w:tc>
        <w:tc>
          <w:tcPr>
            <w:tcW w:w="1213" w:type="dxa"/>
            <w:shd w:val="clear" w:color="auto" w:fill="auto"/>
            <w:tcMar>
              <w:left w:w="57" w:type="dxa"/>
              <w:right w:w="57" w:type="dxa"/>
            </w:tcMar>
            <w:vAlign w:val="bottom"/>
          </w:tcPr>
          <w:p w14:paraId="508C17C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797" w:type="dxa"/>
            <w:shd w:val="clear" w:color="auto" w:fill="auto"/>
            <w:tcMar>
              <w:left w:w="57" w:type="dxa"/>
              <w:right w:w="57" w:type="dxa"/>
            </w:tcMar>
            <w:vAlign w:val="bottom"/>
          </w:tcPr>
          <w:p w14:paraId="2979CA5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Notes</w:t>
            </w:r>
          </w:p>
        </w:tc>
      </w:tr>
      <w:tr w:rsidR="003E5BF5" w:rsidRPr="00E273FC" w14:paraId="234D5027" w14:textId="77777777" w:rsidTr="004345C0">
        <w:trPr>
          <w:trHeight w:val="340"/>
        </w:trPr>
        <w:tc>
          <w:tcPr>
            <w:tcW w:w="3256" w:type="dxa"/>
            <w:shd w:val="clear" w:color="auto" w:fill="auto"/>
            <w:tcMar>
              <w:left w:w="57" w:type="dxa"/>
              <w:right w:w="57" w:type="dxa"/>
            </w:tcMar>
            <w:vAlign w:val="center"/>
          </w:tcPr>
          <w:p w14:paraId="5F00C5BF" w14:textId="77777777" w:rsidR="003E5BF5" w:rsidRPr="00E273FC" w:rsidRDefault="003E5BF5" w:rsidP="00604703">
            <w:pPr>
              <w:pStyle w:val="TableTextGreen"/>
            </w:pPr>
            <w:r w:rsidRPr="00E273FC">
              <w:t>ASSETS</w:t>
            </w:r>
          </w:p>
        </w:tc>
        <w:tc>
          <w:tcPr>
            <w:tcW w:w="1310" w:type="dxa"/>
            <w:shd w:val="clear" w:color="auto" w:fill="auto"/>
            <w:vAlign w:val="center"/>
          </w:tcPr>
          <w:p w14:paraId="3BAF0F79" w14:textId="77777777" w:rsidR="003E5BF5" w:rsidRPr="00E273FC" w:rsidRDefault="003E5BF5" w:rsidP="00DE1921">
            <w:pPr>
              <w:pStyle w:val="TableTextRight"/>
              <w:rPr>
                <w:rFonts w:ascii="Arial" w:hAnsi="Arial" w:cs="Arial"/>
                <w:sz w:val="24"/>
                <w:szCs w:val="24"/>
              </w:rPr>
            </w:pPr>
          </w:p>
        </w:tc>
        <w:tc>
          <w:tcPr>
            <w:tcW w:w="1287" w:type="dxa"/>
            <w:shd w:val="clear" w:color="auto" w:fill="auto"/>
            <w:tcMar>
              <w:left w:w="57" w:type="dxa"/>
              <w:right w:w="57" w:type="dxa"/>
            </w:tcMar>
            <w:vAlign w:val="center"/>
          </w:tcPr>
          <w:p w14:paraId="45F15BB0" w14:textId="77777777" w:rsidR="003E5BF5" w:rsidRPr="00E273FC" w:rsidRDefault="003E5BF5" w:rsidP="00DE1921">
            <w:pPr>
              <w:pStyle w:val="TableTextRight"/>
              <w:rPr>
                <w:rFonts w:ascii="Arial" w:hAnsi="Arial" w:cs="Arial"/>
                <w:sz w:val="24"/>
                <w:szCs w:val="24"/>
              </w:rPr>
            </w:pPr>
          </w:p>
        </w:tc>
        <w:tc>
          <w:tcPr>
            <w:tcW w:w="1209" w:type="dxa"/>
            <w:shd w:val="clear" w:color="auto" w:fill="auto"/>
            <w:tcMar>
              <w:left w:w="57" w:type="dxa"/>
              <w:right w:w="57" w:type="dxa"/>
            </w:tcMar>
            <w:vAlign w:val="center"/>
          </w:tcPr>
          <w:p w14:paraId="57575AC2" w14:textId="77777777" w:rsidR="003E5BF5" w:rsidRPr="00E273FC" w:rsidRDefault="003E5BF5" w:rsidP="00DE1921">
            <w:pPr>
              <w:pStyle w:val="TableTextRight"/>
              <w:rPr>
                <w:rFonts w:ascii="Arial" w:hAnsi="Arial" w:cs="Arial"/>
                <w:sz w:val="24"/>
                <w:szCs w:val="24"/>
              </w:rPr>
            </w:pPr>
          </w:p>
        </w:tc>
        <w:tc>
          <w:tcPr>
            <w:tcW w:w="1213" w:type="dxa"/>
            <w:shd w:val="clear" w:color="auto" w:fill="auto"/>
            <w:tcMar>
              <w:left w:w="57" w:type="dxa"/>
              <w:right w:w="57" w:type="dxa"/>
            </w:tcMar>
            <w:vAlign w:val="center"/>
          </w:tcPr>
          <w:p w14:paraId="4D41ACED" w14:textId="77777777" w:rsidR="003E5BF5" w:rsidRPr="00E273FC" w:rsidRDefault="003E5BF5" w:rsidP="00DE1921">
            <w:pPr>
              <w:pStyle w:val="TableTextRight"/>
              <w:rPr>
                <w:rFonts w:ascii="Arial" w:hAnsi="Arial" w:cs="Arial"/>
                <w:sz w:val="24"/>
                <w:szCs w:val="24"/>
              </w:rPr>
            </w:pPr>
          </w:p>
        </w:tc>
        <w:tc>
          <w:tcPr>
            <w:tcW w:w="797" w:type="dxa"/>
            <w:shd w:val="clear" w:color="auto" w:fill="auto"/>
            <w:tcMar>
              <w:left w:w="57" w:type="dxa"/>
              <w:right w:w="57" w:type="dxa"/>
            </w:tcMar>
            <w:vAlign w:val="center"/>
          </w:tcPr>
          <w:p w14:paraId="6B93E1E0" w14:textId="77777777" w:rsidR="003E5BF5" w:rsidRPr="00E273FC" w:rsidRDefault="003E5BF5" w:rsidP="00DE1921">
            <w:pPr>
              <w:pStyle w:val="TableTextRight"/>
              <w:rPr>
                <w:rFonts w:ascii="Arial" w:hAnsi="Arial" w:cs="Arial"/>
                <w:sz w:val="24"/>
                <w:szCs w:val="24"/>
              </w:rPr>
            </w:pPr>
          </w:p>
        </w:tc>
      </w:tr>
      <w:tr w:rsidR="003E5BF5" w:rsidRPr="00E273FC" w14:paraId="40D07AEF" w14:textId="77777777" w:rsidTr="004345C0">
        <w:trPr>
          <w:trHeight w:val="340"/>
        </w:trPr>
        <w:tc>
          <w:tcPr>
            <w:tcW w:w="3256" w:type="dxa"/>
            <w:shd w:val="clear" w:color="auto" w:fill="auto"/>
            <w:tcMar>
              <w:left w:w="57" w:type="dxa"/>
              <w:right w:w="57" w:type="dxa"/>
            </w:tcMar>
            <w:vAlign w:val="center"/>
          </w:tcPr>
          <w:p w14:paraId="6808B2B8"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Financial assets</w:t>
            </w:r>
          </w:p>
        </w:tc>
        <w:tc>
          <w:tcPr>
            <w:tcW w:w="1310" w:type="dxa"/>
            <w:shd w:val="clear" w:color="auto" w:fill="auto"/>
            <w:vAlign w:val="center"/>
          </w:tcPr>
          <w:p w14:paraId="30BD32C8" w14:textId="77777777" w:rsidR="003E5BF5" w:rsidRPr="00E273FC" w:rsidRDefault="003E5BF5" w:rsidP="00DE1921">
            <w:pPr>
              <w:pStyle w:val="TableTextRight"/>
              <w:rPr>
                <w:rFonts w:ascii="Arial" w:hAnsi="Arial" w:cs="Arial"/>
                <w:sz w:val="24"/>
                <w:szCs w:val="24"/>
              </w:rPr>
            </w:pPr>
          </w:p>
        </w:tc>
        <w:tc>
          <w:tcPr>
            <w:tcW w:w="1287" w:type="dxa"/>
            <w:shd w:val="clear" w:color="auto" w:fill="auto"/>
            <w:tcMar>
              <w:left w:w="57" w:type="dxa"/>
              <w:right w:w="57" w:type="dxa"/>
            </w:tcMar>
            <w:vAlign w:val="center"/>
          </w:tcPr>
          <w:p w14:paraId="6551F8BF" w14:textId="77777777" w:rsidR="003E5BF5" w:rsidRPr="00E273FC" w:rsidRDefault="003E5BF5" w:rsidP="00DE1921">
            <w:pPr>
              <w:pStyle w:val="TableTextRight"/>
              <w:rPr>
                <w:rFonts w:ascii="Arial" w:hAnsi="Arial" w:cs="Arial"/>
                <w:sz w:val="24"/>
                <w:szCs w:val="24"/>
              </w:rPr>
            </w:pPr>
          </w:p>
        </w:tc>
        <w:tc>
          <w:tcPr>
            <w:tcW w:w="1209" w:type="dxa"/>
            <w:shd w:val="clear" w:color="auto" w:fill="auto"/>
            <w:tcMar>
              <w:left w:w="57" w:type="dxa"/>
              <w:right w:w="57" w:type="dxa"/>
            </w:tcMar>
            <w:vAlign w:val="center"/>
          </w:tcPr>
          <w:p w14:paraId="14C0AC47" w14:textId="77777777" w:rsidR="003E5BF5" w:rsidRPr="00E273FC" w:rsidRDefault="003E5BF5" w:rsidP="00DE1921">
            <w:pPr>
              <w:pStyle w:val="TableTextRight"/>
              <w:rPr>
                <w:rFonts w:ascii="Arial" w:hAnsi="Arial" w:cs="Arial"/>
                <w:sz w:val="24"/>
                <w:szCs w:val="24"/>
              </w:rPr>
            </w:pPr>
          </w:p>
        </w:tc>
        <w:tc>
          <w:tcPr>
            <w:tcW w:w="1213" w:type="dxa"/>
            <w:shd w:val="clear" w:color="auto" w:fill="auto"/>
            <w:tcMar>
              <w:left w:w="57" w:type="dxa"/>
              <w:right w:w="57" w:type="dxa"/>
            </w:tcMar>
            <w:vAlign w:val="center"/>
          </w:tcPr>
          <w:p w14:paraId="3E9DE10E" w14:textId="77777777" w:rsidR="003E5BF5" w:rsidRPr="00E273FC" w:rsidRDefault="003E5BF5" w:rsidP="00DE1921">
            <w:pPr>
              <w:pStyle w:val="TableTextRight"/>
              <w:rPr>
                <w:rFonts w:ascii="Arial" w:hAnsi="Arial" w:cs="Arial"/>
                <w:sz w:val="24"/>
                <w:szCs w:val="24"/>
              </w:rPr>
            </w:pPr>
          </w:p>
        </w:tc>
        <w:tc>
          <w:tcPr>
            <w:tcW w:w="797" w:type="dxa"/>
            <w:shd w:val="clear" w:color="auto" w:fill="auto"/>
            <w:tcMar>
              <w:left w:w="57" w:type="dxa"/>
              <w:right w:w="57" w:type="dxa"/>
            </w:tcMar>
            <w:vAlign w:val="center"/>
          </w:tcPr>
          <w:p w14:paraId="49CFB7F1" w14:textId="77777777" w:rsidR="003E5BF5" w:rsidRPr="00E273FC" w:rsidRDefault="003E5BF5" w:rsidP="00DE1921">
            <w:pPr>
              <w:pStyle w:val="TableTextRight"/>
              <w:rPr>
                <w:rFonts w:ascii="Arial" w:hAnsi="Arial" w:cs="Arial"/>
                <w:sz w:val="24"/>
                <w:szCs w:val="24"/>
              </w:rPr>
            </w:pPr>
          </w:p>
        </w:tc>
      </w:tr>
      <w:tr w:rsidR="003E5BF5" w:rsidRPr="00E273FC" w14:paraId="21516CD8" w14:textId="77777777" w:rsidTr="004345C0">
        <w:trPr>
          <w:trHeight w:val="340"/>
        </w:trPr>
        <w:tc>
          <w:tcPr>
            <w:tcW w:w="3256" w:type="dxa"/>
            <w:shd w:val="clear" w:color="auto" w:fill="auto"/>
            <w:tcMar>
              <w:left w:w="57" w:type="dxa"/>
              <w:right w:w="57" w:type="dxa"/>
            </w:tcMar>
            <w:vAlign w:val="center"/>
          </w:tcPr>
          <w:p w14:paraId="1908E942"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Cash and deposits</w:t>
            </w:r>
          </w:p>
        </w:tc>
        <w:tc>
          <w:tcPr>
            <w:tcW w:w="1310" w:type="dxa"/>
            <w:shd w:val="clear" w:color="auto" w:fill="auto"/>
            <w:vAlign w:val="center"/>
          </w:tcPr>
          <w:p w14:paraId="05E958EE"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664.1 </w:t>
            </w:r>
          </w:p>
        </w:tc>
        <w:tc>
          <w:tcPr>
            <w:tcW w:w="1287" w:type="dxa"/>
            <w:shd w:val="clear" w:color="auto" w:fill="auto"/>
            <w:tcMar>
              <w:left w:w="57" w:type="dxa"/>
              <w:right w:w="57" w:type="dxa"/>
            </w:tcMar>
            <w:vAlign w:val="center"/>
          </w:tcPr>
          <w:p w14:paraId="64054EAB"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253.0 </w:t>
            </w:r>
          </w:p>
        </w:tc>
        <w:tc>
          <w:tcPr>
            <w:tcW w:w="1209" w:type="dxa"/>
            <w:shd w:val="clear" w:color="auto" w:fill="auto"/>
            <w:tcMar>
              <w:left w:w="57" w:type="dxa"/>
              <w:right w:w="57" w:type="dxa"/>
            </w:tcMar>
            <w:vAlign w:val="center"/>
          </w:tcPr>
          <w:p w14:paraId="3AA7D668"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411.1 </w:t>
            </w:r>
          </w:p>
        </w:tc>
        <w:tc>
          <w:tcPr>
            <w:tcW w:w="1213" w:type="dxa"/>
            <w:shd w:val="clear" w:color="auto" w:fill="auto"/>
            <w:tcMar>
              <w:left w:w="57" w:type="dxa"/>
              <w:right w:w="57" w:type="dxa"/>
            </w:tcMar>
            <w:vAlign w:val="center"/>
          </w:tcPr>
          <w:p w14:paraId="53D916EB"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&gt; 100%</w:t>
            </w:r>
          </w:p>
        </w:tc>
        <w:tc>
          <w:tcPr>
            <w:tcW w:w="797" w:type="dxa"/>
            <w:shd w:val="clear" w:color="auto" w:fill="auto"/>
            <w:tcMar>
              <w:left w:w="57" w:type="dxa"/>
              <w:right w:w="57" w:type="dxa"/>
            </w:tcMar>
            <w:vAlign w:val="center"/>
          </w:tcPr>
          <w:p w14:paraId="4A51059E"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sz w:val="24"/>
                <w:szCs w:val="24"/>
                <w:lang w:eastAsia="en-AU"/>
              </w:rPr>
              <w:t>a</w:t>
            </w:r>
          </w:p>
        </w:tc>
      </w:tr>
      <w:tr w:rsidR="003E5BF5" w:rsidRPr="00E273FC" w14:paraId="352DFF44" w14:textId="77777777" w:rsidTr="004345C0">
        <w:trPr>
          <w:trHeight w:val="340"/>
        </w:trPr>
        <w:tc>
          <w:tcPr>
            <w:tcW w:w="3256" w:type="dxa"/>
            <w:shd w:val="clear" w:color="auto" w:fill="auto"/>
            <w:tcMar>
              <w:left w:w="57" w:type="dxa"/>
              <w:right w:w="57" w:type="dxa"/>
            </w:tcMar>
            <w:vAlign w:val="center"/>
          </w:tcPr>
          <w:p w14:paraId="4BC96A4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Receivables from government</w:t>
            </w:r>
          </w:p>
        </w:tc>
        <w:tc>
          <w:tcPr>
            <w:tcW w:w="1310" w:type="dxa"/>
            <w:shd w:val="clear" w:color="auto" w:fill="auto"/>
            <w:vAlign w:val="center"/>
          </w:tcPr>
          <w:p w14:paraId="08FE9DB4"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1,251.5 </w:t>
            </w:r>
          </w:p>
        </w:tc>
        <w:tc>
          <w:tcPr>
            <w:tcW w:w="1287" w:type="dxa"/>
            <w:shd w:val="clear" w:color="auto" w:fill="auto"/>
            <w:tcMar>
              <w:left w:w="57" w:type="dxa"/>
              <w:right w:w="57" w:type="dxa"/>
            </w:tcMar>
            <w:vAlign w:val="center"/>
          </w:tcPr>
          <w:p w14:paraId="2AF4C48E"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1,285.0 </w:t>
            </w:r>
          </w:p>
        </w:tc>
        <w:tc>
          <w:tcPr>
            <w:tcW w:w="1209" w:type="dxa"/>
            <w:shd w:val="clear" w:color="auto" w:fill="auto"/>
            <w:tcMar>
              <w:left w:w="57" w:type="dxa"/>
              <w:right w:w="57" w:type="dxa"/>
            </w:tcMar>
            <w:vAlign w:val="center"/>
          </w:tcPr>
          <w:p w14:paraId="0B253DFA"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(33.5)</w:t>
            </w:r>
          </w:p>
        </w:tc>
        <w:tc>
          <w:tcPr>
            <w:tcW w:w="1213" w:type="dxa"/>
            <w:shd w:val="clear" w:color="auto" w:fill="auto"/>
            <w:tcMar>
              <w:left w:w="57" w:type="dxa"/>
              <w:right w:w="57" w:type="dxa"/>
            </w:tcMar>
            <w:vAlign w:val="center"/>
          </w:tcPr>
          <w:p w14:paraId="2EC750C0"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(3) %</w:t>
            </w:r>
          </w:p>
        </w:tc>
        <w:tc>
          <w:tcPr>
            <w:tcW w:w="797" w:type="dxa"/>
            <w:shd w:val="clear" w:color="auto" w:fill="auto"/>
            <w:tcMar>
              <w:left w:w="57" w:type="dxa"/>
              <w:right w:w="57" w:type="dxa"/>
            </w:tcMar>
            <w:vAlign w:val="center"/>
          </w:tcPr>
          <w:p w14:paraId="2F71A0AE"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sz w:val="24"/>
                <w:szCs w:val="24"/>
                <w:lang w:eastAsia="en-AU"/>
              </w:rPr>
              <w:t> </w:t>
            </w:r>
          </w:p>
        </w:tc>
      </w:tr>
      <w:tr w:rsidR="003E5BF5" w:rsidRPr="00E273FC" w14:paraId="14F9F8A0" w14:textId="77777777" w:rsidTr="004345C0">
        <w:trPr>
          <w:trHeight w:val="340"/>
        </w:trPr>
        <w:tc>
          <w:tcPr>
            <w:tcW w:w="3256" w:type="dxa"/>
            <w:shd w:val="clear" w:color="auto" w:fill="auto"/>
            <w:tcMar>
              <w:left w:w="57" w:type="dxa"/>
              <w:right w:w="57" w:type="dxa"/>
            </w:tcMar>
            <w:vAlign w:val="center"/>
          </w:tcPr>
          <w:p w14:paraId="40A69531"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Other receivables</w:t>
            </w:r>
          </w:p>
        </w:tc>
        <w:tc>
          <w:tcPr>
            <w:tcW w:w="1310" w:type="dxa"/>
            <w:shd w:val="clear" w:color="auto" w:fill="auto"/>
            <w:vAlign w:val="center"/>
          </w:tcPr>
          <w:p w14:paraId="51B64933"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488.4 </w:t>
            </w:r>
          </w:p>
        </w:tc>
        <w:tc>
          <w:tcPr>
            <w:tcW w:w="1287" w:type="dxa"/>
            <w:shd w:val="clear" w:color="auto" w:fill="auto"/>
            <w:tcMar>
              <w:left w:w="57" w:type="dxa"/>
              <w:right w:w="57" w:type="dxa"/>
            </w:tcMar>
            <w:vAlign w:val="center"/>
          </w:tcPr>
          <w:p w14:paraId="5922FF8B"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448.0 </w:t>
            </w:r>
          </w:p>
        </w:tc>
        <w:tc>
          <w:tcPr>
            <w:tcW w:w="1209" w:type="dxa"/>
            <w:shd w:val="clear" w:color="auto" w:fill="auto"/>
            <w:tcMar>
              <w:left w:w="57" w:type="dxa"/>
              <w:right w:w="57" w:type="dxa"/>
            </w:tcMar>
            <w:vAlign w:val="center"/>
          </w:tcPr>
          <w:p w14:paraId="2EB2656B"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40.4 </w:t>
            </w:r>
          </w:p>
        </w:tc>
        <w:tc>
          <w:tcPr>
            <w:tcW w:w="1213" w:type="dxa"/>
            <w:shd w:val="clear" w:color="auto" w:fill="auto"/>
            <w:tcMar>
              <w:left w:w="57" w:type="dxa"/>
              <w:right w:w="57" w:type="dxa"/>
            </w:tcMar>
            <w:vAlign w:val="center"/>
          </w:tcPr>
          <w:p w14:paraId="0CE97F42"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9%</w:t>
            </w:r>
          </w:p>
        </w:tc>
        <w:tc>
          <w:tcPr>
            <w:tcW w:w="797" w:type="dxa"/>
            <w:shd w:val="clear" w:color="auto" w:fill="auto"/>
            <w:tcMar>
              <w:left w:w="57" w:type="dxa"/>
              <w:right w:w="57" w:type="dxa"/>
            </w:tcMar>
            <w:vAlign w:val="center"/>
          </w:tcPr>
          <w:p w14:paraId="74C3C218"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sz w:val="24"/>
                <w:szCs w:val="24"/>
                <w:lang w:eastAsia="en-AU"/>
              </w:rPr>
              <w:t> </w:t>
            </w:r>
          </w:p>
        </w:tc>
      </w:tr>
      <w:tr w:rsidR="003E5BF5" w:rsidRPr="00E273FC" w14:paraId="1918C709" w14:textId="77777777" w:rsidTr="004345C0">
        <w:trPr>
          <w:trHeight w:val="340"/>
        </w:trPr>
        <w:tc>
          <w:tcPr>
            <w:tcW w:w="3256" w:type="dxa"/>
            <w:shd w:val="clear" w:color="auto" w:fill="auto"/>
            <w:tcMar>
              <w:left w:w="57" w:type="dxa"/>
              <w:right w:w="57" w:type="dxa"/>
            </w:tcMar>
            <w:vAlign w:val="center"/>
          </w:tcPr>
          <w:p w14:paraId="54C3C6CC"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financial assets</w:t>
            </w:r>
          </w:p>
        </w:tc>
        <w:tc>
          <w:tcPr>
            <w:tcW w:w="1310" w:type="dxa"/>
            <w:shd w:val="clear" w:color="auto" w:fill="auto"/>
            <w:vAlign w:val="center"/>
          </w:tcPr>
          <w:p w14:paraId="75AE748C"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2,404.0 </w:t>
            </w:r>
          </w:p>
        </w:tc>
        <w:tc>
          <w:tcPr>
            <w:tcW w:w="1287" w:type="dxa"/>
            <w:shd w:val="clear" w:color="auto" w:fill="auto"/>
            <w:tcMar>
              <w:left w:w="57" w:type="dxa"/>
              <w:right w:w="57" w:type="dxa"/>
            </w:tcMar>
            <w:vAlign w:val="center"/>
          </w:tcPr>
          <w:p w14:paraId="40BA030A"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1,986.0 </w:t>
            </w:r>
          </w:p>
        </w:tc>
        <w:tc>
          <w:tcPr>
            <w:tcW w:w="1209" w:type="dxa"/>
            <w:shd w:val="clear" w:color="auto" w:fill="auto"/>
            <w:tcMar>
              <w:left w:w="57" w:type="dxa"/>
              <w:right w:w="57" w:type="dxa"/>
            </w:tcMar>
            <w:vAlign w:val="center"/>
          </w:tcPr>
          <w:p w14:paraId="3B136AEE"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418.0 </w:t>
            </w:r>
          </w:p>
        </w:tc>
        <w:tc>
          <w:tcPr>
            <w:tcW w:w="1213" w:type="dxa"/>
            <w:shd w:val="clear" w:color="auto" w:fill="auto"/>
            <w:tcMar>
              <w:left w:w="57" w:type="dxa"/>
              <w:right w:w="57" w:type="dxa"/>
            </w:tcMar>
            <w:vAlign w:val="center"/>
          </w:tcPr>
          <w:p w14:paraId="72F9ED32"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21%</w:t>
            </w:r>
          </w:p>
        </w:tc>
        <w:tc>
          <w:tcPr>
            <w:tcW w:w="797" w:type="dxa"/>
            <w:shd w:val="clear" w:color="auto" w:fill="auto"/>
            <w:tcMar>
              <w:left w:w="57" w:type="dxa"/>
              <w:right w:w="57" w:type="dxa"/>
            </w:tcMar>
            <w:vAlign w:val="center"/>
          </w:tcPr>
          <w:p w14:paraId="790D94F7"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sz w:val="24"/>
                <w:szCs w:val="24"/>
                <w:lang w:eastAsia="en-AU"/>
              </w:rPr>
              <w:t> </w:t>
            </w:r>
          </w:p>
        </w:tc>
      </w:tr>
      <w:tr w:rsidR="003E5BF5" w:rsidRPr="00E273FC" w14:paraId="19DFAD41" w14:textId="77777777" w:rsidTr="004345C0">
        <w:trPr>
          <w:trHeight w:val="340"/>
        </w:trPr>
        <w:tc>
          <w:tcPr>
            <w:tcW w:w="3256" w:type="dxa"/>
            <w:shd w:val="clear" w:color="auto" w:fill="auto"/>
            <w:tcMar>
              <w:left w:w="57" w:type="dxa"/>
              <w:right w:w="57" w:type="dxa"/>
            </w:tcMar>
            <w:vAlign w:val="center"/>
          </w:tcPr>
          <w:p w14:paraId="66986F1F" w14:textId="77777777" w:rsidR="003E5BF5" w:rsidRPr="00E273FC" w:rsidRDefault="003E5BF5" w:rsidP="00604703">
            <w:pPr>
              <w:pStyle w:val="TableTextGreen"/>
            </w:pPr>
            <w:r w:rsidRPr="00E273FC">
              <w:t>Non-financial assets</w:t>
            </w:r>
          </w:p>
        </w:tc>
        <w:tc>
          <w:tcPr>
            <w:tcW w:w="1310" w:type="dxa"/>
            <w:shd w:val="clear" w:color="auto" w:fill="auto"/>
            <w:vAlign w:val="center"/>
          </w:tcPr>
          <w:p w14:paraId="00EBE3B7" w14:textId="77777777" w:rsidR="003E5BF5" w:rsidRPr="00E273FC" w:rsidRDefault="003E5BF5" w:rsidP="00DE1921">
            <w:pPr>
              <w:pStyle w:val="TableTextRight"/>
              <w:rPr>
                <w:rFonts w:ascii="Arial" w:hAnsi="Arial" w:cs="Arial"/>
                <w:sz w:val="24"/>
                <w:szCs w:val="24"/>
              </w:rPr>
            </w:pPr>
          </w:p>
        </w:tc>
        <w:tc>
          <w:tcPr>
            <w:tcW w:w="1287" w:type="dxa"/>
            <w:shd w:val="clear" w:color="auto" w:fill="auto"/>
            <w:tcMar>
              <w:left w:w="57" w:type="dxa"/>
              <w:right w:w="57" w:type="dxa"/>
            </w:tcMar>
            <w:vAlign w:val="center"/>
          </w:tcPr>
          <w:p w14:paraId="748B82B9" w14:textId="77777777" w:rsidR="003E5BF5" w:rsidRPr="00E273FC" w:rsidRDefault="003E5BF5" w:rsidP="00DE1921">
            <w:pPr>
              <w:pStyle w:val="TableTextRight"/>
              <w:rPr>
                <w:rFonts w:ascii="Arial" w:hAnsi="Arial" w:cs="Arial"/>
                <w:sz w:val="24"/>
                <w:szCs w:val="24"/>
              </w:rPr>
            </w:pPr>
          </w:p>
        </w:tc>
        <w:tc>
          <w:tcPr>
            <w:tcW w:w="1209" w:type="dxa"/>
            <w:shd w:val="clear" w:color="auto" w:fill="auto"/>
            <w:tcMar>
              <w:left w:w="57" w:type="dxa"/>
              <w:right w:w="57" w:type="dxa"/>
            </w:tcMar>
            <w:vAlign w:val="center"/>
          </w:tcPr>
          <w:p w14:paraId="2722E999" w14:textId="77777777" w:rsidR="003E5BF5" w:rsidRPr="00E273FC" w:rsidRDefault="003E5BF5" w:rsidP="00DE1921">
            <w:pPr>
              <w:pStyle w:val="TableTextRight"/>
              <w:rPr>
                <w:rFonts w:ascii="Arial" w:hAnsi="Arial" w:cs="Arial"/>
                <w:sz w:val="24"/>
                <w:szCs w:val="24"/>
              </w:rPr>
            </w:pPr>
          </w:p>
        </w:tc>
        <w:tc>
          <w:tcPr>
            <w:tcW w:w="1213" w:type="dxa"/>
            <w:shd w:val="clear" w:color="auto" w:fill="auto"/>
            <w:tcMar>
              <w:left w:w="57" w:type="dxa"/>
              <w:right w:w="57" w:type="dxa"/>
            </w:tcMar>
            <w:vAlign w:val="center"/>
          </w:tcPr>
          <w:p w14:paraId="0168514D" w14:textId="77777777" w:rsidR="003E5BF5" w:rsidRPr="00E273FC" w:rsidRDefault="003E5BF5" w:rsidP="00DE1921">
            <w:pPr>
              <w:pStyle w:val="TableTextRight"/>
              <w:rPr>
                <w:rFonts w:ascii="Arial" w:hAnsi="Arial" w:cs="Arial"/>
                <w:sz w:val="24"/>
                <w:szCs w:val="24"/>
              </w:rPr>
            </w:pPr>
          </w:p>
        </w:tc>
        <w:tc>
          <w:tcPr>
            <w:tcW w:w="797" w:type="dxa"/>
            <w:shd w:val="clear" w:color="auto" w:fill="auto"/>
            <w:tcMar>
              <w:left w:w="57" w:type="dxa"/>
              <w:right w:w="57" w:type="dxa"/>
            </w:tcMar>
            <w:vAlign w:val="center"/>
          </w:tcPr>
          <w:p w14:paraId="1A03ABBA" w14:textId="77777777" w:rsidR="003E5BF5" w:rsidRPr="00E273FC" w:rsidRDefault="003E5BF5" w:rsidP="00DE1921">
            <w:pPr>
              <w:pStyle w:val="TableTextRight"/>
              <w:rPr>
                <w:rFonts w:ascii="Arial" w:hAnsi="Arial" w:cs="Arial"/>
                <w:sz w:val="24"/>
                <w:szCs w:val="24"/>
              </w:rPr>
            </w:pPr>
          </w:p>
        </w:tc>
      </w:tr>
      <w:tr w:rsidR="003E5BF5" w:rsidRPr="00E273FC" w14:paraId="3A9B50EC" w14:textId="77777777" w:rsidTr="004345C0">
        <w:trPr>
          <w:trHeight w:val="340"/>
        </w:trPr>
        <w:tc>
          <w:tcPr>
            <w:tcW w:w="3256" w:type="dxa"/>
            <w:shd w:val="clear" w:color="auto" w:fill="auto"/>
            <w:tcMar>
              <w:left w:w="57" w:type="dxa"/>
              <w:right w:w="57" w:type="dxa"/>
            </w:tcMar>
            <w:vAlign w:val="center"/>
          </w:tcPr>
          <w:p w14:paraId="35065BD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Inventories</w:t>
            </w:r>
          </w:p>
        </w:tc>
        <w:tc>
          <w:tcPr>
            <w:tcW w:w="1310" w:type="dxa"/>
            <w:shd w:val="clear" w:color="auto" w:fill="auto"/>
            <w:vAlign w:val="center"/>
          </w:tcPr>
          <w:p w14:paraId="4FFCF771"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7.9 </w:t>
            </w:r>
          </w:p>
        </w:tc>
        <w:tc>
          <w:tcPr>
            <w:tcW w:w="1287" w:type="dxa"/>
            <w:shd w:val="clear" w:color="auto" w:fill="auto"/>
            <w:tcMar>
              <w:left w:w="57" w:type="dxa"/>
              <w:right w:w="57" w:type="dxa"/>
            </w:tcMar>
            <w:vAlign w:val="center"/>
          </w:tcPr>
          <w:p w14:paraId="36AD8713"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8.0 </w:t>
            </w:r>
          </w:p>
        </w:tc>
        <w:tc>
          <w:tcPr>
            <w:tcW w:w="1209" w:type="dxa"/>
            <w:shd w:val="clear" w:color="auto" w:fill="auto"/>
            <w:tcMar>
              <w:left w:w="57" w:type="dxa"/>
              <w:right w:w="57" w:type="dxa"/>
            </w:tcMar>
            <w:vAlign w:val="center"/>
          </w:tcPr>
          <w:p w14:paraId="3A23BDF8"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(0.1)</w:t>
            </w:r>
          </w:p>
        </w:tc>
        <w:tc>
          <w:tcPr>
            <w:tcW w:w="1213" w:type="dxa"/>
            <w:shd w:val="clear" w:color="auto" w:fill="auto"/>
            <w:tcMar>
              <w:left w:w="57" w:type="dxa"/>
              <w:right w:w="57" w:type="dxa"/>
            </w:tcMar>
            <w:vAlign w:val="center"/>
          </w:tcPr>
          <w:p w14:paraId="083B9350"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(1) %</w:t>
            </w:r>
          </w:p>
        </w:tc>
        <w:tc>
          <w:tcPr>
            <w:tcW w:w="797" w:type="dxa"/>
            <w:shd w:val="clear" w:color="auto" w:fill="auto"/>
            <w:tcMar>
              <w:left w:w="57" w:type="dxa"/>
              <w:right w:w="57" w:type="dxa"/>
            </w:tcMar>
            <w:vAlign w:val="center"/>
          </w:tcPr>
          <w:p w14:paraId="708F0AB9"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sz w:val="24"/>
                <w:szCs w:val="24"/>
                <w:lang w:eastAsia="en-AU"/>
              </w:rPr>
              <w:t> </w:t>
            </w:r>
          </w:p>
        </w:tc>
      </w:tr>
      <w:tr w:rsidR="003E5BF5" w:rsidRPr="00E273FC" w14:paraId="1E7441E2" w14:textId="77777777" w:rsidTr="004345C0">
        <w:trPr>
          <w:trHeight w:val="340"/>
        </w:trPr>
        <w:tc>
          <w:tcPr>
            <w:tcW w:w="3256" w:type="dxa"/>
            <w:shd w:val="clear" w:color="auto" w:fill="auto"/>
            <w:tcMar>
              <w:left w:w="57" w:type="dxa"/>
              <w:right w:w="57" w:type="dxa"/>
            </w:tcMar>
            <w:vAlign w:val="center"/>
          </w:tcPr>
          <w:p w14:paraId="737C2EF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Non-finical assets classified as held for sale including disposal group assets</w:t>
            </w:r>
          </w:p>
        </w:tc>
        <w:tc>
          <w:tcPr>
            <w:tcW w:w="1310" w:type="dxa"/>
            <w:shd w:val="clear" w:color="auto" w:fill="auto"/>
            <w:vAlign w:val="center"/>
          </w:tcPr>
          <w:p w14:paraId="7E23CE7D"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145.0 </w:t>
            </w:r>
          </w:p>
        </w:tc>
        <w:tc>
          <w:tcPr>
            <w:tcW w:w="1287" w:type="dxa"/>
            <w:shd w:val="clear" w:color="auto" w:fill="auto"/>
            <w:tcMar>
              <w:left w:w="57" w:type="dxa"/>
              <w:right w:w="57" w:type="dxa"/>
            </w:tcMar>
            <w:vAlign w:val="center"/>
          </w:tcPr>
          <w:p w14:paraId="3EB59A4E"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163.0 </w:t>
            </w:r>
          </w:p>
        </w:tc>
        <w:tc>
          <w:tcPr>
            <w:tcW w:w="1209" w:type="dxa"/>
            <w:shd w:val="clear" w:color="auto" w:fill="auto"/>
            <w:tcMar>
              <w:left w:w="57" w:type="dxa"/>
              <w:right w:w="57" w:type="dxa"/>
            </w:tcMar>
            <w:vAlign w:val="center"/>
          </w:tcPr>
          <w:p w14:paraId="57ED76C7"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(18.0)</w:t>
            </w:r>
          </w:p>
        </w:tc>
        <w:tc>
          <w:tcPr>
            <w:tcW w:w="1213" w:type="dxa"/>
            <w:shd w:val="clear" w:color="auto" w:fill="auto"/>
            <w:tcMar>
              <w:left w:w="57" w:type="dxa"/>
              <w:right w:w="57" w:type="dxa"/>
            </w:tcMar>
            <w:vAlign w:val="center"/>
          </w:tcPr>
          <w:p w14:paraId="4BF2A555"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(11) %</w:t>
            </w:r>
          </w:p>
        </w:tc>
        <w:tc>
          <w:tcPr>
            <w:tcW w:w="797" w:type="dxa"/>
            <w:shd w:val="clear" w:color="auto" w:fill="auto"/>
            <w:tcMar>
              <w:left w:w="57" w:type="dxa"/>
              <w:right w:w="57" w:type="dxa"/>
            </w:tcMar>
            <w:vAlign w:val="center"/>
          </w:tcPr>
          <w:p w14:paraId="36BD7D14"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sz w:val="24"/>
                <w:szCs w:val="24"/>
                <w:lang w:eastAsia="en-AU"/>
              </w:rPr>
              <w:t>b</w:t>
            </w:r>
          </w:p>
        </w:tc>
      </w:tr>
      <w:tr w:rsidR="003E5BF5" w:rsidRPr="00E273FC" w14:paraId="22FF6A5F" w14:textId="77777777" w:rsidTr="004345C0">
        <w:trPr>
          <w:trHeight w:val="340"/>
        </w:trPr>
        <w:tc>
          <w:tcPr>
            <w:tcW w:w="3256" w:type="dxa"/>
            <w:shd w:val="clear" w:color="auto" w:fill="auto"/>
            <w:tcMar>
              <w:left w:w="57" w:type="dxa"/>
              <w:right w:w="57" w:type="dxa"/>
            </w:tcMar>
            <w:vAlign w:val="center"/>
          </w:tcPr>
          <w:p w14:paraId="6D1037D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Property, plant and equipment</w:t>
            </w:r>
          </w:p>
        </w:tc>
        <w:tc>
          <w:tcPr>
            <w:tcW w:w="1310" w:type="dxa"/>
            <w:shd w:val="clear" w:color="auto" w:fill="auto"/>
            <w:vAlign w:val="center"/>
          </w:tcPr>
          <w:p w14:paraId="223C2567"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87,897.2 </w:t>
            </w:r>
          </w:p>
        </w:tc>
        <w:tc>
          <w:tcPr>
            <w:tcW w:w="1287" w:type="dxa"/>
            <w:shd w:val="clear" w:color="auto" w:fill="auto"/>
            <w:tcMar>
              <w:left w:w="57" w:type="dxa"/>
              <w:right w:w="57" w:type="dxa"/>
            </w:tcMar>
            <w:vAlign w:val="center"/>
          </w:tcPr>
          <w:p w14:paraId="7873ADAA"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82,608.0 </w:t>
            </w:r>
          </w:p>
        </w:tc>
        <w:tc>
          <w:tcPr>
            <w:tcW w:w="1209" w:type="dxa"/>
            <w:shd w:val="clear" w:color="auto" w:fill="auto"/>
            <w:tcMar>
              <w:left w:w="57" w:type="dxa"/>
              <w:right w:w="57" w:type="dxa"/>
            </w:tcMar>
            <w:vAlign w:val="center"/>
          </w:tcPr>
          <w:p w14:paraId="08DA5D61"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5,289.2 </w:t>
            </w:r>
          </w:p>
        </w:tc>
        <w:tc>
          <w:tcPr>
            <w:tcW w:w="1213" w:type="dxa"/>
            <w:shd w:val="clear" w:color="auto" w:fill="auto"/>
            <w:tcMar>
              <w:left w:w="57" w:type="dxa"/>
              <w:right w:w="57" w:type="dxa"/>
            </w:tcMar>
            <w:vAlign w:val="center"/>
          </w:tcPr>
          <w:p w14:paraId="3C3D0737"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6%</w:t>
            </w:r>
          </w:p>
        </w:tc>
        <w:tc>
          <w:tcPr>
            <w:tcW w:w="797" w:type="dxa"/>
            <w:shd w:val="clear" w:color="auto" w:fill="auto"/>
            <w:tcMar>
              <w:left w:w="57" w:type="dxa"/>
              <w:right w:w="57" w:type="dxa"/>
            </w:tcMar>
            <w:vAlign w:val="center"/>
          </w:tcPr>
          <w:p w14:paraId="0C4A8C92"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sz w:val="24"/>
                <w:szCs w:val="24"/>
                <w:lang w:eastAsia="en-AU"/>
              </w:rPr>
              <w:t>c</w:t>
            </w:r>
          </w:p>
        </w:tc>
      </w:tr>
      <w:tr w:rsidR="003E5BF5" w:rsidRPr="00E273FC" w14:paraId="55DE2A6E" w14:textId="77777777" w:rsidTr="004345C0">
        <w:trPr>
          <w:trHeight w:val="340"/>
        </w:trPr>
        <w:tc>
          <w:tcPr>
            <w:tcW w:w="3256" w:type="dxa"/>
            <w:shd w:val="clear" w:color="auto" w:fill="auto"/>
            <w:tcMar>
              <w:left w:w="57" w:type="dxa"/>
              <w:right w:w="57" w:type="dxa"/>
            </w:tcMar>
            <w:vAlign w:val="center"/>
          </w:tcPr>
          <w:p w14:paraId="3BA0943B"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Intangible assets</w:t>
            </w:r>
          </w:p>
        </w:tc>
        <w:tc>
          <w:tcPr>
            <w:tcW w:w="1310" w:type="dxa"/>
            <w:shd w:val="clear" w:color="auto" w:fill="auto"/>
            <w:vAlign w:val="center"/>
          </w:tcPr>
          <w:p w14:paraId="1A636D7C"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88.8 </w:t>
            </w:r>
          </w:p>
        </w:tc>
        <w:tc>
          <w:tcPr>
            <w:tcW w:w="1287" w:type="dxa"/>
            <w:shd w:val="clear" w:color="auto" w:fill="auto"/>
            <w:tcMar>
              <w:left w:w="57" w:type="dxa"/>
              <w:right w:w="57" w:type="dxa"/>
            </w:tcMar>
            <w:vAlign w:val="center"/>
          </w:tcPr>
          <w:p w14:paraId="736BDD8C"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55.0 </w:t>
            </w:r>
          </w:p>
        </w:tc>
        <w:tc>
          <w:tcPr>
            <w:tcW w:w="1209" w:type="dxa"/>
            <w:shd w:val="clear" w:color="auto" w:fill="auto"/>
            <w:tcMar>
              <w:left w:w="57" w:type="dxa"/>
              <w:right w:w="57" w:type="dxa"/>
            </w:tcMar>
            <w:vAlign w:val="center"/>
          </w:tcPr>
          <w:p w14:paraId="0C1F4A36"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33.8 </w:t>
            </w:r>
          </w:p>
        </w:tc>
        <w:tc>
          <w:tcPr>
            <w:tcW w:w="1213" w:type="dxa"/>
            <w:shd w:val="clear" w:color="auto" w:fill="auto"/>
            <w:tcMar>
              <w:left w:w="57" w:type="dxa"/>
              <w:right w:w="57" w:type="dxa"/>
            </w:tcMar>
            <w:vAlign w:val="center"/>
          </w:tcPr>
          <w:p w14:paraId="276EA0F5"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62%</w:t>
            </w:r>
          </w:p>
        </w:tc>
        <w:tc>
          <w:tcPr>
            <w:tcW w:w="797" w:type="dxa"/>
            <w:shd w:val="clear" w:color="auto" w:fill="auto"/>
            <w:tcMar>
              <w:left w:w="57" w:type="dxa"/>
              <w:right w:w="57" w:type="dxa"/>
            </w:tcMar>
            <w:vAlign w:val="center"/>
          </w:tcPr>
          <w:p w14:paraId="5A219857"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sz w:val="24"/>
                <w:szCs w:val="24"/>
                <w:lang w:eastAsia="en-AU"/>
              </w:rPr>
              <w:t>d</w:t>
            </w:r>
          </w:p>
        </w:tc>
      </w:tr>
      <w:tr w:rsidR="003E5BF5" w:rsidRPr="00E273FC" w14:paraId="0EDFB462" w14:textId="77777777" w:rsidTr="004345C0">
        <w:trPr>
          <w:trHeight w:val="340"/>
        </w:trPr>
        <w:tc>
          <w:tcPr>
            <w:tcW w:w="3256" w:type="dxa"/>
            <w:shd w:val="clear" w:color="auto" w:fill="auto"/>
            <w:tcMar>
              <w:left w:w="57" w:type="dxa"/>
              <w:right w:w="57" w:type="dxa"/>
            </w:tcMar>
            <w:vAlign w:val="center"/>
          </w:tcPr>
          <w:p w14:paraId="470E9C3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Other non-financial assets</w:t>
            </w:r>
          </w:p>
        </w:tc>
        <w:tc>
          <w:tcPr>
            <w:tcW w:w="1310" w:type="dxa"/>
            <w:shd w:val="clear" w:color="auto" w:fill="auto"/>
            <w:vAlign w:val="center"/>
          </w:tcPr>
          <w:p w14:paraId="168BFD84"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350.0 </w:t>
            </w:r>
          </w:p>
        </w:tc>
        <w:tc>
          <w:tcPr>
            <w:tcW w:w="1287" w:type="dxa"/>
            <w:shd w:val="clear" w:color="auto" w:fill="auto"/>
            <w:tcMar>
              <w:left w:w="57" w:type="dxa"/>
              <w:right w:w="57" w:type="dxa"/>
            </w:tcMar>
            <w:vAlign w:val="center"/>
          </w:tcPr>
          <w:p w14:paraId="13897D62"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79.0 </w:t>
            </w:r>
          </w:p>
        </w:tc>
        <w:tc>
          <w:tcPr>
            <w:tcW w:w="1209" w:type="dxa"/>
            <w:shd w:val="clear" w:color="auto" w:fill="auto"/>
            <w:tcMar>
              <w:left w:w="57" w:type="dxa"/>
              <w:right w:w="57" w:type="dxa"/>
            </w:tcMar>
            <w:vAlign w:val="center"/>
          </w:tcPr>
          <w:p w14:paraId="1C9BD692"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271.0 </w:t>
            </w:r>
          </w:p>
        </w:tc>
        <w:tc>
          <w:tcPr>
            <w:tcW w:w="1213" w:type="dxa"/>
            <w:shd w:val="clear" w:color="auto" w:fill="auto"/>
            <w:tcMar>
              <w:left w:w="57" w:type="dxa"/>
              <w:right w:w="57" w:type="dxa"/>
            </w:tcMar>
            <w:vAlign w:val="center"/>
          </w:tcPr>
          <w:p w14:paraId="21835AD6"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&gt; 100%</w:t>
            </w:r>
          </w:p>
        </w:tc>
        <w:tc>
          <w:tcPr>
            <w:tcW w:w="797" w:type="dxa"/>
            <w:shd w:val="clear" w:color="auto" w:fill="auto"/>
            <w:tcMar>
              <w:left w:w="57" w:type="dxa"/>
              <w:right w:w="57" w:type="dxa"/>
            </w:tcMar>
            <w:vAlign w:val="center"/>
          </w:tcPr>
          <w:p w14:paraId="47407545"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sz w:val="24"/>
                <w:szCs w:val="24"/>
                <w:lang w:eastAsia="en-AU"/>
              </w:rPr>
              <w:t>e</w:t>
            </w:r>
          </w:p>
        </w:tc>
      </w:tr>
      <w:tr w:rsidR="003E5BF5" w:rsidRPr="00E273FC" w14:paraId="6335A7E6" w14:textId="77777777" w:rsidTr="004345C0">
        <w:trPr>
          <w:trHeight w:val="340"/>
        </w:trPr>
        <w:tc>
          <w:tcPr>
            <w:tcW w:w="3256" w:type="dxa"/>
            <w:shd w:val="clear" w:color="auto" w:fill="auto"/>
            <w:tcMar>
              <w:left w:w="57" w:type="dxa"/>
              <w:right w:w="57" w:type="dxa"/>
            </w:tcMar>
            <w:vAlign w:val="center"/>
          </w:tcPr>
          <w:p w14:paraId="3717BEB0"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non-financial assets</w:t>
            </w:r>
          </w:p>
        </w:tc>
        <w:tc>
          <w:tcPr>
            <w:tcW w:w="1310" w:type="dxa"/>
            <w:shd w:val="clear" w:color="auto" w:fill="auto"/>
            <w:vAlign w:val="center"/>
          </w:tcPr>
          <w:p w14:paraId="24FB2A6D"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88,488.9 </w:t>
            </w:r>
          </w:p>
        </w:tc>
        <w:tc>
          <w:tcPr>
            <w:tcW w:w="1287" w:type="dxa"/>
            <w:shd w:val="clear" w:color="auto" w:fill="auto"/>
            <w:tcMar>
              <w:left w:w="57" w:type="dxa"/>
              <w:right w:w="57" w:type="dxa"/>
            </w:tcMar>
            <w:vAlign w:val="center"/>
          </w:tcPr>
          <w:p w14:paraId="52974BD2"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82,914.0 </w:t>
            </w:r>
          </w:p>
        </w:tc>
        <w:tc>
          <w:tcPr>
            <w:tcW w:w="1209" w:type="dxa"/>
            <w:shd w:val="clear" w:color="auto" w:fill="auto"/>
            <w:tcMar>
              <w:left w:w="57" w:type="dxa"/>
              <w:right w:w="57" w:type="dxa"/>
            </w:tcMar>
            <w:vAlign w:val="center"/>
          </w:tcPr>
          <w:p w14:paraId="1144A849"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5,575.9 </w:t>
            </w:r>
          </w:p>
        </w:tc>
        <w:tc>
          <w:tcPr>
            <w:tcW w:w="1213" w:type="dxa"/>
            <w:shd w:val="clear" w:color="auto" w:fill="auto"/>
            <w:tcMar>
              <w:left w:w="57" w:type="dxa"/>
              <w:right w:w="57" w:type="dxa"/>
            </w:tcMar>
            <w:vAlign w:val="center"/>
          </w:tcPr>
          <w:p w14:paraId="11F8A8B4"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7%</w:t>
            </w:r>
          </w:p>
        </w:tc>
        <w:tc>
          <w:tcPr>
            <w:tcW w:w="797" w:type="dxa"/>
            <w:shd w:val="clear" w:color="auto" w:fill="auto"/>
            <w:tcMar>
              <w:left w:w="57" w:type="dxa"/>
              <w:right w:w="57" w:type="dxa"/>
            </w:tcMar>
            <w:vAlign w:val="center"/>
          </w:tcPr>
          <w:p w14:paraId="0B6CAD01"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sz w:val="24"/>
                <w:szCs w:val="24"/>
                <w:lang w:eastAsia="en-AU"/>
              </w:rPr>
              <w:t> </w:t>
            </w:r>
          </w:p>
        </w:tc>
      </w:tr>
      <w:tr w:rsidR="003E5BF5" w:rsidRPr="00E273FC" w14:paraId="1B179346" w14:textId="77777777" w:rsidTr="004345C0">
        <w:trPr>
          <w:trHeight w:val="340"/>
        </w:trPr>
        <w:tc>
          <w:tcPr>
            <w:tcW w:w="3256" w:type="dxa"/>
            <w:shd w:val="clear" w:color="auto" w:fill="auto"/>
            <w:tcMar>
              <w:left w:w="57" w:type="dxa"/>
              <w:right w:w="57" w:type="dxa"/>
            </w:tcMar>
            <w:vAlign w:val="center"/>
          </w:tcPr>
          <w:p w14:paraId="1C7706A9"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assets</w:t>
            </w:r>
          </w:p>
        </w:tc>
        <w:tc>
          <w:tcPr>
            <w:tcW w:w="1310" w:type="dxa"/>
            <w:shd w:val="clear" w:color="auto" w:fill="auto"/>
            <w:vAlign w:val="center"/>
          </w:tcPr>
          <w:p w14:paraId="1D474EA6"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90,892.9 </w:t>
            </w:r>
          </w:p>
        </w:tc>
        <w:tc>
          <w:tcPr>
            <w:tcW w:w="1287" w:type="dxa"/>
            <w:shd w:val="clear" w:color="auto" w:fill="auto"/>
            <w:tcMar>
              <w:left w:w="57" w:type="dxa"/>
              <w:right w:w="57" w:type="dxa"/>
            </w:tcMar>
            <w:vAlign w:val="center"/>
          </w:tcPr>
          <w:p w14:paraId="53A0F432"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84,900.0 </w:t>
            </w:r>
          </w:p>
        </w:tc>
        <w:tc>
          <w:tcPr>
            <w:tcW w:w="1209" w:type="dxa"/>
            <w:shd w:val="clear" w:color="auto" w:fill="auto"/>
            <w:tcMar>
              <w:left w:w="57" w:type="dxa"/>
              <w:right w:w="57" w:type="dxa"/>
            </w:tcMar>
            <w:vAlign w:val="center"/>
          </w:tcPr>
          <w:p w14:paraId="60C4FD5A"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5,993.9 </w:t>
            </w:r>
          </w:p>
        </w:tc>
        <w:tc>
          <w:tcPr>
            <w:tcW w:w="1213" w:type="dxa"/>
            <w:shd w:val="clear" w:color="auto" w:fill="auto"/>
            <w:tcMar>
              <w:left w:w="57" w:type="dxa"/>
              <w:right w:w="57" w:type="dxa"/>
            </w:tcMar>
            <w:vAlign w:val="center"/>
          </w:tcPr>
          <w:p w14:paraId="003841B6"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7%</w:t>
            </w:r>
          </w:p>
        </w:tc>
        <w:tc>
          <w:tcPr>
            <w:tcW w:w="797" w:type="dxa"/>
            <w:shd w:val="clear" w:color="auto" w:fill="auto"/>
            <w:tcMar>
              <w:left w:w="57" w:type="dxa"/>
              <w:right w:w="57" w:type="dxa"/>
            </w:tcMar>
            <w:vAlign w:val="center"/>
          </w:tcPr>
          <w:p w14:paraId="093D98B2"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sz w:val="24"/>
                <w:szCs w:val="24"/>
                <w:lang w:eastAsia="en-AU"/>
              </w:rPr>
              <w:t> </w:t>
            </w:r>
          </w:p>
        </w:tc>
      </w:tr>
      <w:tr w:rsidR="003E5BF5" w:rsidRPr="00E273FC" w14:paraId="55036D69" w14:textId="77777777" w:rsidTr="004345C0">
        <w:trPr>
          <w:trHeight w:val="340"/>
        </w:trPr>
        <w:tc>
          <w:tcPr>
            <w:tcW w:w="3256" w:type="dxa"/>
            <w:shd w:val="clear" w:color="auto" w:fill="auto"/>
            <w:tcMar>
              <w:left w:w="57" w:type="dxa"/>
              <w:right w:w="57" w:type="dxa"/>
            </w:tcMar>
            <w:vAlign w:val="center"/>
          </w:tcPr>
          <w:p w14:paraId="7279A588" w14:textId="77777777" w:rsidR="003E5BF5" w:rsidRPr="00E273FC" w:rsidRDefault="003E5BF5" w:rsidP="00604703">
            <w:pPr>
              <w:pStyle w:val="TableTextGreen"/>
            </w:pPr>
            <w:r w:rsidRPr="00E273FC">
              <w:t>Liabilities</w:t>
            </w:r>
          </w:p>
        </w:tc>
        <w:tc>
          <w:tcPr>
            <w:tcW w:w="1310" w:type="dxa"/>
            <w:shd w:val="clear" w:color="auto" w:fill="auto"/>
            <w:vAlign w:val="center"/>
          </w:tcPr>
          <w:p w14:paraId="3FD03D71" w14:textId="77777777" w:rsidR="003E5BF5" w:rsidRPr="00E273FC" w:rsidRDefault="003E5BF5" w:rsidP="00DE1921">
            <w:pPr>
              <w:pStyle w:val="TableTextRight"/>
              <w:rPr>
                <w:rFonts w:ascii="Arial" w:hAnsi="Arial" w:cs="Arial"/>
                <w:sz w:val="24"/>
                <w:szCs w:val="24"/>
              </w:rPr>
            </w:pPr>
          </w:p>
        </w:tc>
        <w:tc>
          <w:tcPr>
            <w:tcW w:w="1287" w:type="dxa"/>
            <w:shd w:val="clear" w:color="auto" w:fill="auto"/>
            <w:tcMar>
              <w:left w:w="57" w:type="dxa"/>
              <w:right w:w="57" w:type="dxa"/>
            </w:tcMar>
            <w:vAlign w:val="center"/>
          </w:tcPr>
          <w:p w14:paraId="32D1F0FE" w14:textId="77777777" w:rsidR="003E5BF5" w:rsidRPr="00E273FC" w:rsidRDefault="003E5BF5" w:rsidP="00DE1921">
            <w:pPr>
              <w:pStyle w:val="TableTextRight"/>
              <w:rPr>
                <w:rFonts w:ascii="Arial" w:hAnsi="Arial" w:cs="Arial"/>
                <w:sz w:val="24"/>
                <w:szCs w:val="24"/>
              </w:rPr>
            </w:pPr>
          </w:p>
        </w:tc>
        <w:tc>
          <w:tcPr>
            <w:tcW w:w="1209" w:type="dxa"/>
            <w:shd w:val="clear" w:color="auto" w:fill="auto"/>
            <w:tcMar>
              <w:left w:w="57" w:type="dxa"/>
              <w:right w:w="57" w:type="dxa"/>
            </w:tcMar>
            <w:vAlign w:val="center"/>
          </w:tcPr>
          <w:p w14:paraId="3B170B0D" w14:textId="77777777" w:rsidR="003E5BF5" w:rsidRPr="00E273FC" w:rsidRDefault="003E5BF5" w:rsidP="00DE1921">
            <w:pPr>
              <w:pStyle w:val="TableTextRight"/>
              <w:rPr>
                <w:rFonts w:ascii="Arial" w:hAnsi="Arial" w:cs="Arial"/>
                <w:sz w:val="24"/>
                <w:szCs w:val="24"/>
              </w:rPr>
            </w:pPr>
          </w:p>
        </w:tc>
        <w:tc>
          <w:tcPr>
            <w:tcW w:w="1213" w:type="dxa"/>
            <w:shd w:val="clear" w:color="auto" w:fill="auto"/>
            <w:tcMar>
              <w:left w:w="57" w:type="dxa"/>
              <w:right w:w="57" w:type="dxa"/>
            </w:tcMar>
            <w:vAlign w:val="center"/>
          </w:tcPr>
          <w:p w14:paraId="7E0FD633" w14:textId="77777777" w:rsidR="003E5BF5" w:rsidRPr="00E273FC" w:rsidRDefault="003E5BF5" w:rsidP="00DE1921">
            <w:pPr>
              <w:pStyle w:val="TableTextRight"/>
              <w:rPr>
                <w:rFonts w:ascii="Arial" w:hAnsi="Arial" w:cs="Arial"/>
                <w:sz w:val="24"/>
                <w:szCs w:val="24"/>
              </w:rPr>
            </w:pPr>
          </w:p>
        </w:tc>
        <w:tc>
          <w:tcPr>
            <w:tcW w:w="797" w:type="dxa"/>
            <w:shd w:val="clear" w:color="auto" w:fill="auto"/>
            <w:tcMar>
              <w:left w:w="57" w:type="dxa"/>
              <w:right w:w="57" w:type="dxa"/>
            </w:tcMar>
            <w:vAlign w:val="center"/>
          </w:tcPr>
          <w:p w14:paraId="4099529F" w14:textId="77777777" w:rsidR="003E5BF5" w:rsidRPr="00E273FC" w:rsidRDefault="003E5BF5" w:rsidP="00DE1921">
            <w:pPr>
              <w:pStyle w:val="TableTextRight"/>
              <w:rPr>
                <w:rFonts w:ascii="Arial" w:hAnsi="Arial" w:cs="Arial"/>
                <w:sz w:val="24"/>
                <w:szCs w:val="24"/>
              </w:rPr>
            </w:pPr>
          </w:p>
        </w:tc>
      </w:tr>
      <w:tr w:rsidR="003E5BF5" w:rsidRPr="00E273FC" w14:paraId="026E7D05" w14:textId="77777777" w:rsidTr="004345C0">
        <w:trPr>
          <w:trHeight w:val="340"/>
        </w:trPr>
        <w:tc>
          <w:tcPr>
            <w:tcW w:w="3256" w:type="dxa"/>
            <w:shd w:val="clear" w:color="auto" w:fill="auto"/>
            <w:tcMar>
              <w:left w:w="57" w:type="dxa"/>
              <w:right w:w="57" w:type="dxa"/>
            </w:tcMar>
            <w:vAlign w:val="center"/>
          </w:tcPr>
          <w:p w14:paraId="7F89323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Payables</w:t>
            </w:r>
          </w:p>
        </w:tc>
        <w:tc>
          <w:tcPr>
            <w:tcW w:w="1310" w:type="dxa"/>
            <w:shd w:val="clear" w:color="auto" w:fill="auto"/>
            <w:vAlign w:val="center"/>
          </w:tcPr>
          <w:p w14:paraId="4D57E5A8"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8,904.6 </w:t>
            </w:r>
          </w:p>
        </w:tc>
        <w:tc>
          <w:tcPr>
            <w:tcW w:w="1287" w:type="dxa"/>
            <w:shd w:val="clear" w:color="auto" w:fill="auto"/>
            <w:tcMar>
              <w:left w:w="57" w:type="dxa"/>
              <w:right w:w="57" w:type="dxa"/>
            </w:tcMar>
            <w:vAlign w:val="center"/>
          </w:tcPr>
          <w:p w14:paraId="4012461B"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9,314.0 </w:t>
            </w:r>
          </w:p>
        </w:tc>
        <w:tc>
          <w:tcPr>
            <w:tcW w:w="1209" w:type="dxa"/>
            <w:shd w:val="clear" w:color="auto" w:fill="auto"/>
            <w:tcMar>
              <w:left w:w="57" w:type="dxa"/>
              <w:right w:w="57" w:type="dxa"/>
            </w:tcMar>
            <w:vAlign w:val="center"/>
          </w:tcPr>
          <w:p w14:paraId="18185F1D"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(409.4)</w:t>
            </w:r>
          </w:p>
        </w:tc>
        <w:tc>
          <w:tcPr>
            <w:tcW w:w="1213" w:type="dxa"/>
            <w:shd w:val="clear" w:color="auto" w:fill="auto"/>
            <w:tcMar>
              <w:left w:w="57" w:type="dxa"/>
              <w:right w:w="57" w:type="dxa"/>
            </w:tcMar>
            <w:vAlign w:val="center"/>
          </w:tcPr>
          <w:p w14:paraId="7A05A530"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(4) %</w:t>
            </w:r>
          </w:p>
        </w:tc>
        <w:tc>
          <w:tcPr>
            <w:tcW w:w="797" w:type="dxa"/>
            <w:shd w:val="clear" w:color="auto" w:fill="auto"/>
            <w:tcMar>
              <w:left w:w="57" w:type="dxa"/>
              <w:right w:w="57" w:type="dxa"/>
            </w:tcMar>
            <w:vAlign w:val="center"/>
          </w:tcPr>
          <w:p w14:paraId="459F117B"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sz w:val="24"/>
                <w:szCs w:val="24"/>
                <w:lang w:eastAsia="en-AU"/>
              </w:rPr>
              <w:t>f</w:t>
            </w:r>
          </w:p>
        </w:tc>
      </w:tr>
      <w:tr w:rsidR="003E5BF5" w:rsidRPr="00E273FC" w14:paraId="2145FDFE" w14:textId="77777777" w:rsidTr="004345C0">
        <w:trPr>
          <w:trHeight w:val="340"/>
        </w:trPr>
        <w:tc>
          <w:tcPr>
            <w:tcW w:w="3256" w:type="dxa"/>
            <w:shd w:val="clear" w:color="auto" w:fill="auto"/>
            <w:tcMar>
              <w:left w:w="57" w:type="dxa"/>
              <w:right w:w="57" w:type="dxa"/>
            </w:tcMar>
            <w:vAlign w:val="center"/>
          </w:tcPr>
          <w:p w14:paraId="63BEDA6B"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Borrowings</w:t>
            </w:r>
          </w:p>
        </w:tc>
        <w:tc>
          <w:tcPr>
            <w:tcW w:w="1310" w:type="dxa"/>
            <w:shd w:val="clear" w:color="auto" w:fill="auto"/>
            <w:vAlign w:val="center"/>
          </w:tcPr>
          <w:p w14:paraId="2BCE1E28"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5,579.8 </w:t>
            </w:r>
          </w:p>
        </w:tc>
        <w:tc>
          <w:tcPr>
            <w:tcW w:w="1287" w:type="dxa"/>
            <w:shd w:val="clear" w:color="auto" w:fill="auto"/>
            <w:tcMar>
              <w:left w:w="57" w:type="dxa"/>
              <w:right w:w="57" w:type="dxa"/>
            </w:tcMar>
            <w:vAlign w:val="center"/>
          </w:tcPr>
          <w:p w14:paraId="1D67A280"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6,754.0 </w:t>
            </w:r>
          </w:p>
        </w:tc>
        <w:tc>
          <w:tcPr>
            <w:tcW w:w="1209" w:type="dxa"/>
            <w:shd w:val="clear" w:color="auto" w:fill="auto"/>
            <w:tcMar>
              <w:left w:w="57" w:type="dxa"/>
              <w:right w:w="57" w:type="dxa"/>
            </w:tcMar>
            <w:vAlign w:val="center"/>
          </w:tcPr>
          <w:p w14:paraId="2BD1C44B"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(1,174.2)</w:t>
            </w:r>
          </w:p>
        </w:tc>
        <w:tc>
          <w:tcPr>
            <w:tcW w:w="1213" w:type="dxa"/>
            <w:shd w:val="clear" w:color="auto" w:fill="auto"/>
            <w:tcMar>
              <w:left w:w="57" w:type="dxa"/>
              <w:right w:w="57" w:type="dxa"/>
            </w:tcMar>
            <w:vAlign w:val="center"/>
          </w:tcPr>
          <w:p w14:paraId="29644924"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(17) %</w:t>
            </w:r>
          </w:p>
        </w:tc>
        <w:tc>
          <w:tcPr>
            <w:tcW w:w="797" w:type="dxa"/>
            <w:shd w:val="clear" w:color="auto" w:fill="auto"/>
            <w:tcMar>
              <w:left w:w="57" w:type="dxa"/>
              <w:right w:w="57" w:type="dxa"/>
            </w:tcMar>
            <w:vAlign w:val="center"/>
          </w:tcPr>
          <w:p w14:paraId="0756A008"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sz w:val="24"/>
                <w:szCs w:val="24"/>
                <w:lang w:eastAsia="en-AU"/>
              </w:rPr>
              <w:t>g</w:t>
            </w:r>
          </w:p>
        </w:tc>
      </w:tr>
      <w:tr w:rsidR="003E5BF5" w:rsidRPr="00E273FC" w14:paraId="3CCB4A0F" w14:textId="77777777" w:rsidTr="004345C0">
        <w:trPr>
          <w:trHeight w:val="340"/>
        </w:trPr>
        <w:tc>
          <w:tcPr>
            <w:tcW w:w="3256" w:type="dxa"/>
            <w:shd w:val="clear" w:color="auto" w:fill="auto"/>
            <w:tcMar>
              <w:left w:w="57" w:type="dxa"/>
              <w:right w:w="57" w:type="dxa"/>
            </w:tcMar>
            <w:vAlign w:val="center"/>
          </w:tcPr>
          <w:p w14:paraId="152DBDC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Provisions</w:t>
            </w:r>
          </w:p>
        </w:tc>
        <w:tc>
          <w:tcPr>
            <w:tcW w:w="1310" w:type="dxa"/>
            <w:shd w:val="clear" w:color="auto" w:fill="auto"/>
            <w:vAlign w:val="center"/>
          </w:tcPr>
          <w:p w14:paraId="16D59611"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955.6 </w:t>
            </w:r>
          </w:p>
        </w:tc>
        <w:tc>
          <w:tcPr>
            <w:tcW w:w="1287" w:type="dxa"/>
            <w:shd w:val="clear" w:color="auto" w:fill="auto"/>
            <w:tcMar>
              <w:left w:w="57" w:type="dxa"/>
              <w:right w:w="57" w:type="dxa"/>
            </w:tcMar>
            <w:vAlign w:val="center"/>
          </w:tcPr>
          <w:p w14:paraId="1AEAD4CF"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770.0 </w:t>
            </w:r>
          </w:p>
        </w:tc>
        <w:tc>
          <w:tcPr>
            <w:tcW w:w="1209" w:type="dxa"/>
            <w:shd w:val="clear" w:color="auto" w:fill="auto"/>
            <w:tcMar>
              <w:left w:w="57" w:type="dxa"/>
              <w:right w:w="57" w:type="dxa"/>
            </w:tcMar>
            <w:vAlign w:val="center"/>
          </w:tcPr>
          <w:p w14:paraId="3DF2B961"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185.6 </w:t>
            </w:r>
          </w:p>
        </w:tc>
        <w:tc>
          <w:tcPr>
            <w:tcW w:w="1213" w:type="dxa"/>
            <w:shd w:val="clear" w:color="auto" w:fill="auto"/>
            <w:tcMar>
              <w:left w:w="57" w:type="dxa"/>
              <w:right w:w="57" w:type="dxa"/>
            </w:tcMar>
            <w:vAlign w:val="center"/>
          </w:tcPr>
          <w:p w14:paraId="23BE9036"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24%</w:t>
            </w:r>
          </w:p>
        </w:tc>
        <w:tc>
          <w:tcPr>
            <w:tcW w:w="797" w:type="dxa"/>
            <w:shd w:val="clear" w:color="auto" w:fill="auto"/>
            <w:tcMar>
              <w:left w:w="57" w:type="dxa"/>
              <w:right w:w="57" w:type="dxa"/>
            </w:tcMar>
            <w:vAlign w:val="center"/>
          </w:tcPr>
          <w:p w14:paraId="60AF3684"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sz w:val="24"/>
                <w:szCs w:val="24"/>
                <w:lang w:eastAsia="en-AU"/>
              </w:rPr>
              <w:t>h</w:t>
            </w:r>
          </w:p>
        </w:tc>
      </w:tr>
      <w:tr w:rsidR="003E5BF5" w:rsidRPr="00E273FC" w14:paraId="23327865" w14:textId="77777777" w:rsidTr="004345C0">
        <w:trPr>
          <w:trHeight w:val="340"/>
        </w:trPr>
        <w:tc>
          <w:tcPr>
            <w:tcW w:w="3256" w:type="dxa"/>
            <w:shd w:val="clear" w:color="auto" w:fill="auto"/>
            <w:tcMar>
              <w:left w:w="57" w:type="dxa"/>
              <w:right w:w="57" w:type="dxa"/>
            </w:tcMar>
            <w:vAlign w:val="center"/>
          </w:tcPr>
          <w:p w14:paraId="5DE4EEB3"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liabilities</w:t>
            </w:r>
          </w:p>
        </w:tc>
        <w:tc>
          <w:tcPr>
            <w:tcW w:w="1310" w:type="dxa"/>
            <w:shd w:val="clear" w:color="auto" w:fill="auto"/>
            <w:vAlign w:val="center"/>
          </w:tcPr>
          <w:p w14:paraId="32A62D48"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15,440.1 </w:t>
            </w:r>
          </w:p>
        </w:tc>
        <w:tc>
          <w:tcPr>
            <w:tcW w:w="1287" w:type="dxa"/>
            <w:shd w:val="clear" w:color="auto" w:fill="auto"/>
            <w:tcMar>
              <w:left w:w="57" w:type="dxa"/>
              <w:right w:w="57" w:type="dxa"/>
            </w:tcMar>
            <w:vAlign w:val="center"/>
          </w:tcPr>
          <w:p w14:paraId="2C23FE58"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16,838.0 </w:t>
            </w:r>
          </w:p>
        </w:tc>
        <w:tc>
          <w:tcPr>
            <w:tcW w:w="1209" w:type="dxa"/>
            <w:shd w:val="clear" w:color="auto" w:fill="auto"/>
            <w:tcMar>
              <w:left w:w="57" w:type="dxa"/>
              <w:right w:w="57" w:type="dxa"/>
            </w:tcMar>
            <w:vAlign w:val="center"/>
          </w:tcPr>
          <w:p w14:paraId="7BE151FA"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(1,397.9)</w:t>
            </w:r>
          </w:p>
        </w:tc>
        <w:tc>
          <w:tcPr>
            <w:tcW w:w="1213" w:type="dxa"/>
            <w:shd w:val="clear" w:color="auto" w:fill="auto"/>
            <w:tcMar>
              <w:left w:w="57" w:type="dxa"/>
              <w:right w:w="57" w:type="dxa"/>
            </w:tcMar>
            <w:vAlign w:val="center"/>
          </w:tcPr>
          <w:p w14:paraId="0E12E620"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(8) %</w:t>
            </w:r>
          </w:p>
        </w:tc>
        <w:tc>
          <w:tcPr>
            <w:tcW w:w="797" w:type="dxa"/>
            <w:shd w:val="clear" w:color="auto" w:fill="auto"/>
            <w:tcMar>
              <w:left w:w="57" w:type="dxa"/>
              <w:right w:w="57" w:type="dxa"/>
            </w:tcMar>
            <w:vAlign w:val="center"/>
          </w:tcPr>
          <w:p w14:paraId="0613084F"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sz w:val="24"/>
                <w:szCs w:val="24"/>
                <w:lang w:eastAsia="en-AU"/>
              </w:rPr>
              <w:t> </w:t>
            </w:r>
          </w:p>
        </w:tc>
      </w:tr>
      <w:tr w:rsidR="003E5BF5" w:rsidRPr="00E273FC" w14:paraId="6FE47EB6" w14:textId="77777777" w:rsidTr="004345C0">
        <w:trPr>
          <w:trHeight w:val="340"/>
        </w:trPr>
        <w:tc>
          <w:tcPr>
            <w:tcW w:w="3256" w:type="dxa"/>
            <w:shd w:val="clear" w:color="auto" w:fill="auto"/>
            <w:tcMar>
              <w:left w:w="57" w:type="dxa"/>
              <w:right w:w="57" w:type="dxa"/>
            </w:tcMar>
            <w:vAlign w:val="center"/>
          </w:tcPr>
          <w:p w14:paraId="62418F49"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Net assets</w:t>
            </w:r>
          </w:p>
        </w:tc>
        <w:tc>
          <w:tcPr>
            <w:tcW w:w="1310" w:type="dxa"/>
            <w:shd w:val="clear" w:color="auto" w:fill="auto"/>
            <w:vAlign w:val="center"/>
          </w:tcPr>
          <w:p w14:paraId="0822C022"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75,452.9 </w:t>
            </w:r>
          </w:p>
        </w:tc>
        <w:tc>
          <w:tcPr>
            <w:tcW w:w="1287" w:type="dxa"/>
            <w:shd w:val="clear" w:color="auto" w:fill="auto"/>
            <w:tcMar>
              <w:left w:w="57" w:type="dxa"/>
              <w:right w:w="57" w:type="dxa"/>
            </w:tcMar>
            <w:vAlign w:val="center"/>
          </w:tcPr>
          <w:p w14:paraId="38319F4F"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68,062.0 </w:t>
            </w:r>
          </w:p>
        </w:tc>
        <w:tc>
          <w:tcPr>
            <w:tcW w:w="1209" w:type="dxa"/>
            <w:shd w:val="clear" w:color="auto" w:fill="auto"/>
            <w:tcMar>
              <w:left w:w="57" w:type="dxa"/>
              <w:right w:w="57" w:type="dxa"/>
            </w:tcMar>
            <w:vAlign w:val="center"/>
          </w:tcPr>
          <w:p w14:paraId="62B97410"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7,391.9 </w:t>
            </w:r>
          </w:p>
        </w:tc>
        <w:tc>
          <w:tcPr>
            <w:tcW w:w="1213" w:type="dxa"/>
            <w:shd w:val="clear" w:color="auto" w:fill="auto"/>
            <w:tcMar>
              <w:left w:w="57" w:type="dxa"/>
              <w:right w:w="57" w:type="dxa"/>
            </w:tcMar>
            <w:vAlign w:val="center"/>
          </w:tcPr>
          <w:p w14:paraId="7FA665E5"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11%</w:t>
            </w:r>
          </w:p>
        </w:tc>
        <w:tc>
          <w:tcPr>
            <w:tcW w:w="797" w:type="dxa"/>
            <w:shd w:val="clear" w:color="auto" w:fill="auto"/>
            <w:tcMar>
              <w:left w:w="57" w:type="dxa"/>
              <w:right w:w="57" w:type="dxa"/>
            </w:tcMar>
            <w:vAlign w:val="center"/>
          </w:tcPr>
          <w:p w14:paraId="2DA00B76"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sz w:val="24"/>
                <w:szCs w:val="24"/>
                <w:lang w:eastAsia="en-AU"/>
              </w:rPr>
              <w:t> </w:t>
            </w:r>
          </w:p>
        </w:tc>
      </w:tr>
      <w:tr w:rsidR="003E5BF5" w:rsidRPr="00E273FC" w14:paraId="2E9BCA70" w14:textId="77777777" w:rsidTr="004345C0">
        <w:trPr>
          <w:trHeight w:val="340"/>
        </w:trPr>
        <w:tc>
          <w:tcPr>
            <w:tcW w:w="3256" w:type="dxa"/>
            <w:shd w:val="clear" w:color="auto" w:fill="auto"/>
            <w:tcMar>
              <w:left w:w="57" w:type="dxa"/>
              <w:right w:w="57" w:type="dxa"/>
            </w:tcMar>
            <w:vAlign w:val="center"/>
          </w:tcPr>
          <w:p w14:paraId="2BDE0BF2" w14:textId="77777777" w:rsidR="003E5BF5" w:rsidRPr="00E273FC" w:rsidRDefault="003E5BF5" w:rsidP="00604703">
            <w:pPr>
              <w:pStyle w:val="TableTextGreen"/>
            </w:pPr>
            <w:r w:rsidRPr="00E273FC">
              <w:t>Equity</w:t>
            </w:r>
          </w:p>
        </w:tc>
        <w:tc>
          <w:tcPr>
            <w:tcW w:w="1310" w:type="dxa"/>
            <w:shd w:val="clear" w:color="auto" w:fill="auto"/>
            <w:vAlign w:val="center"/>
          </w:tcPr>
          <w:p w14:paraId="007D1843" w14:textId="77777777" w:rsidR="003E5BF5" w:rsidRPr="00E273FC" w:rsidRDefault="003E5BF5" w:rsidP="00DE1921">
            <w:pPr>
              <w:pStyle w:val="TableTextRight"/>
              <w:rPr>
                <w:rFonts w:ascii="Arial" w:hAnsi="Arial" w:cs="Arial"/>
                <w:sz w:val="24"/>
                <w:szCs w:val="24"/>
              </w:rPr>
            </w:pPr>
          </w:p>
        </w:tc>
        <w:tc>
          <w:tcPr>
            <w:tcW w:w="1287" w:type="dxa"/>
            <w:shd w:val="clear" w:color="auto" w:fill="auto"/>
            <w:tcMar>
              <w:left w:w="57" w:type="dxa"/>
              <w:right w:w="57" w:type="dxa"/>
            </w:tcMar>
            <w:vAlign w:val="center"/>
          </w:tcPr>
          <w:p w14:paraId="5A18718B" w14:textId="77777777" w:rsidR="003E5BF5" w:rsidRPr="00E273FC" w:rsidRDefault="003E5BF5" w:rsidP="00DE1921">
            <w:pPr>
              <w:pStyle w:val="TableTextRight"/>
              <w:rPr>
                <w:rFonts w:ascii="Arial" w:hAnsi="Arial" w:cs="Arial"/>
                <w:sz w:val="24"/>
                <w:szCs w:val="24"/>
              </w:rPr>
            </w:pPr>
          </w:p>
        </w:tc>
        <w:tc>
          <w:tcPr>
            <w:tcW w:w="1209" w:type="dxa"/>
            <w:shd w:val="clear" w:color="auto" w:fill="auto"/>
            <w:tcMar>
              <w:left w:w="57" w:type="dxa"/>
              <w:right w:w="57" w:type="dxa"/>
            </w:tcMar>
            <w:vAlign w:val="center"/>
          </w:tcPr>
          <w:p w14:paraId="76C8CBF8" w14:textId="77777777" w:rsidR="003E5BF5" w:rsidRPr="00E273FC" w:rsidRDefault="003E5BF5" w:rsidP="00DE1921">
            <w:pPr>
              <w:pStyle w:val="TableTextRight"/>
              <w:rPr>
                <w:rFonts w:ascii="Arial" w:hAnsi="Arial" w:cs="Arial"/>
                <w:sz w:val="24"/>
                <w:szCs w:val="24"/>
              </w:rPr>
            </w:pPr>
          </w:p>
        </w:tc>
        <w:tc>
          <w:tcPr>
            <w:tcW w:w="1213" w:type="dxa"/>
            <w:shd w:val="clear" w:color="auto" w:fill="auto"/>
            <w:tcMar>
              <w:left w:w="57" w:type="dxa"/>
              <w:right w:w="57" w:type="dxa"/>
            </w:tcMar>
            <w:vAlign w:val="center"/>
          </w:tcPr>
          <w:p w14:paraId="1045D2AC" w14:textId="77777777" w:rsidR="003E5BF5" w:rsidRPr="00E273FC" w:rsidRDefault="003E5BF5" w:rsidP="00DE1921">
            <w:pPr>
              <w:pStyle w:val="TableTextRight"/>
              <w:rPr>
                <w:rFonts w:ascii="Arial" w:hAnsi="Arial" w:cs="Arial"/>
                <w:sz w:val="24"/>
                <w:szCs w:val="24"/>
              </w:rPr>
            </w:pPr>
          </w:p>
        </w:tc>
        <w:tc>
          <w:tcPr>
            <w:tcW w:w="797" w:type="dxa"/>
            <w:shd w:val="clear" w:color="auto" w:fill="auto"/>
            <w:tcMar>
              <w:left w:w="57" w:type="dxa"/>
              <w:right w:w="57" w:type="dxa"/>
            </w:tcMar>
            <w:vAlign w:val="center"/>
          </w:tcPr>
          <w:p w14:paraId="61AFC169" w14:textId="77777777" w:rsidR="003E5BF5" w:rsidRPr="00E273FC" w:rsidRDefault="003E5BF5" w:rsidP="00DE1921">
            <w:pPr>
              <w:pStyle w:val="TableTextRight"/>
              <w:rPr>
                <w:rFonts w:ascii="Arial" w:hAnsi="Arial" w:cs="Arial"/>
                <w:sz w:val="24"/>
                <w:szCs w:val="24"/>
              </w:rPr>
            </w:pPr>
          </w:p>
        </w:tc>
      </w:tr>
      <w:tr w:rsidR="003E5BF5" w:rsidRPr="00E273FC" w14:paraId="591C0D03" w14:textId="77777777" w:rsidTr="004345C0">
        <w:trPr>
          <w:trHeight w:val="340"/>
        </w:trPr>
        <w:tc>
          <w:tcPr>
            <w:tcW w:w="3256" w:type="dxa"/>
            <w:shd w:val="clear" w:color="auto" w:fill="auto"/>
            <w:tcMar>
              <w:left w:w="57" w:type="dxa"/>
              <w:right w:w="57" w:type="dxa"/>
            </w:tcMar>
            <w:vAlign w:val="center"/>
          </w:tcPr>
          <w:p w14:paraId="29B1F6B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Accumulated surplus/(deficit)</w:t>
            </w:r>
          </w:p>
        </w:tc>
        <w:tc>
          <w:tcPr>
            <w:tcW w:w="1310" w:type="dxa"/>
            <w:shd w:val="clear" w:color="auto" w:fill="auto"/>
            <w:vAlign w:val="center"/>
          </w:tcPr>
          <w:p w14:paraId="2B539883"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(2,203.9)</w:t>
            </w:r>
          </w:p>
        </w:tc>
        <w:tc>
          <w:tcPr>
            <w:tcW w:w="1287" w:type="dxa"/>
            <w:shd w:val="clear" w:color="auto" w:fill="auto"/>
            <w:tcMar>
              <w:left w:w="57" w:type="dxa"/>
              <w:right w:w="57" w:type="dxa"/>
            </w:tcMar>
            <w:vAlign w:val="center"/>
          </w:tcPr>
          <w:p w14:paraId="410EA9FD"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18,850.0 </w:t>
            </w:r>
          </w:p>
        </w:tc>
        <w:tc>
          <w:tcPr>
            <w:tcW w:w="1209" w:type="dxa"/>
            <w:shd w:val="clear" w:color="auto" w:fill="auto"/>
            <w:tcMar>
              <w:left w:w="57" w:type="dxa"/>
              <w:right w:w="57" w:type="dxa"/>
            </w:tcMar>
            <w:vAlign w:val="center"/>
          </w:tcPr>
          <w:p w14:paraId="6A9C24ED"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(21,053.9)</w:t>
            </w:r>
          </w:p>
        </w:tc>
        <w:tc>
          <w:tcPr>
            <w:tcW w:w="1213" w:type="dxa"/>
            <w:shd w:val="clear" w:color="auto" w:fill="auto"/>
            <w:tcMar>
              <w:left w:w="57" w:type="dxa"/>
              <w:right w:w="57" w:type="dxa"/>
            </w:tcMar>
            <w:vAlign w:val="center"/>
          </w:tcPr>
          <w:p w14:paraId="03418606"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&gt; (100) %</w:t>
            </w:r>
          </w:p>
        </w:tc>
        <w:tc>
          <w:tcPr>
            <w:tcW w:w="797" w:type="dxa"/>
            <w:shd w:val="clear" w:color="auto" w:fill="auto"/>
            <w:tcMar>
              <w:left w:w="57" w:type="dxa"/>
              <w:right w:w="57" w:type="dxa"/>
            </w:tcMar>
            <w:vAlign w:val="center"/>
          </w:tcPr>
          <w:p w14:paraId="03BF3334" w14:textId="77777777" w:rsidR="003E5BF5" w:rsidRPr="00E273FC" w:rsidRDefault="003E5BF5" w:rsidP="00DE1921">
            <w:pPr>
              <w:pStyle w:val="TableTextRight"/>
              <w:rPr>
                <w:rFonts w:ascii="Arial" w:hAnsi="Arial" w:cs="Arial"/>
                <w:sz w:val="24"/>
                <w:szCs w:val="24"/>
              </w:rPr>
            </w:pPr>
            <w:proofErr w:type="spellStart"/>
            <w:r w:rsidRPr="00E273FC">
              <w:rPr>
                <w:rFonts w:ascii="Arial" w:eastAsia="Times New Roman" w:hAnsi="Arial" w:cs="Arial"/>
                <w:sz w:val="24"/>
                <w:szCs w:val="24"/>
                <w:lang w:eastAsia="en-AU"/>
              </w:rPr>
              <w:t>i</w:t>
            </w:r>
            <w:proofErr w:type="spellEnd"/>
          </w:p>
        </w:tc>
      </w:tr>
      <w:tr w:rsidR="003E5BF5" w:rsidRPr="00E273FC" w14:paraId="437FE487" w14:textId="77777777" w:rsidTr="004345C0">
        <w:trPr>
          <w:trHeight w:val="340"/>
        </w:trPr>
        <w:tc>
          <w:tcPr>
            <w:tcW w:w="3256" w:type="dxa"/>
            <w:shd w:val="clear" w:color="auto" w:fill="auto"/>
            <w:tcMar>
              <w:left w:w="57" w:type="dxa"/>
              <w:right w:w="57" w:type="dxa"/>
            </w:tcMar>
            <w:vAlign w:val="center"/>
          </w:tcPr>
          <w:p w14:paraId="242C02A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Reserves</w:t>
            </w:r>
          </w:p>
        </w:tc>
        <w:tc>
          <w:tcPr>
            <w:tcW w:w="1310" w:type="dxa"/>
            <w:shd w:val="clear" w:color="auto" w:fill="auto"/>
            <w:vAlign w:val="center"/>
          </w:tcPr>
          <w:p w14:paraId="476D76D0"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12,604.1 </w:t>
            </w:r>
          </w:p>
        </w:tc>
        <w:tc>
          <w:tcPr>
            <w:tcW w:w="1287" w:type="dxa"/>
            <w:shd w:val="clear" w:color="auto" w:fill="auto"/>
            <w:tcMar>
              <w:left w:w="57" w:type="dxa"/>
              <w:right w:w="57" w:type="dxa"/>
            </w:tcMar>
            <w:vAlign w:val="center"/>
          </w:tcPr>
          <w:p w14:paraId="4D73D65D"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28,501.0 </w:t>
            </w:r>
          </w:p>
        </w:tc>
        <w:tc>
          <w:tcPr>
            <w:tcW w:w="1209" w:type="dxa"/>
            <w:shd w:val="clear" w:color="auto" w:fill="auto"/>
            <w:tcMar>
              <w:left w:w="57" w:type="dxa"/>
              <w:right w:w="57" w:type="dxa"/>
            </w:tcMar>
            <w:vAlign w:val="center"/>
          </w:tcPr>
          <w:p w14:paraId="6FF38E97"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(15,896.9)</w:t>
            </w:r>
          </w:p>
        </w:tc>
        <w:tc>
          <w:tcPr>
            <w:tcW w:w="1213" w:type="dxa"/>
            <w:shd w:val="clear" w:color="auto" w:fill="auto"/>
            <w:tcMar>
              <w:left w:w="57" w:type="dxa"/>
              <w:right w:w="57" w:type="dxa"/>
            </w:tcMar>
            <w:vAlign w:val="center"/>
          </w:tcPr>
          <w:p w14:paraId="6DB22AC4"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(56) %</w:t>
            </w:r>
          </w:p>
        </w:tc>
        <w:tc>
          <w:tcPr>
            <w:tcW w:w="797" w:type="dxa"/>
            <w:shd w:val="clear" w:color="auto" w:fill="auto"/>
            <w:tcMar>
              <w:left w:w="57" w:type="dxa"/>
              <w:right w:w="57" w:type="dxa"/>
            </w:tcMar>
            <w:vAlign w:val="center"/>
          </w:tcPr>
          <w:p w14:paraId="671FA167"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sz w:val="24"/>
                <w:szCs w:val="24"/>
                <w:lang w:eastAsia="en-AU"/>
              </w:rPr>
              <w:t> </w:t>
            </w:r>
          </w:p>
        </w:tc>
      </w:tr>
      <w:tr w:rsidR="003E5BF5" w:rsidRPr="00E273FC" w14:paraId="7956B3D3" w14:textId="77777777" w:rsidTr="004345C0">
        <w:trPr>
          <w:trHeight w:val="340"/>
        </w:trPr>
        <w:tc>
          <w:tcPr>
            <w:tcW w:w="3256" w:type="dxa"/>
            <w:shd w:val="clear" w:color="auto" w:fill="auto"/>
            <w:tcMar>
              <w:left w:w="57" w:type="dxa"/>
              <w:right w:w="57" w:type="dxa"/>
            </w:tcMar>
            <w:vAlign w:val="center"/>
          </w:tcPr>
          <w:p w14:paraId="1C6EEF6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Contributed capital</w:t>
            </w:r>
          </w:p>
        </w:tc>
        <w:tc>
          <w:tcPr>
            <w:tcW w:w="1310" w:type="dxa"/>
            <w:shd w:val="clear" w:color="auto" w:fill="auto"/>
            <w:vAlign w:val="center"/>
          </w:tcPr>
          <w:p w14:paraId="66E30C85"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65,052.7 </w:t>
            </w:r>
          </w:p>
        </w:tc>
        <w:tc>
          <w:tcPr>
            <w:tcW w:w="1287" w:type="dxa"/>
            <w:shd w:val="clear" w:color="auto" w:fill="auto"/>
            <w:tcMar>
              <w:left w:w="57" w:type="dxa"/>
              <w:right w:w="57" w:type="dxa"/>
            </w:tcMar>
            <w:vAlign w:val="center"/>
          </w:tcPr>
          <w:p w14:paraId="2F643CCF"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20,710.0 </w:t>
            </w:r>
          </w:p>
        </w:tc>
        <w:tc>
          <w:tcPr>
            <w:tcW w:w="1209" w:type="dxa"/>
            <w:shd w:val="clear" w:color="auto" w:fill="auto"/>
            <w:tcMar>
              <w:left w:w="57" w:type="dxa"/>
              <w:right w:w="57" w:type="dxa"/>
            </w:tcMar>
            <w:vAlign w:val="center"/>
          </w:tcPr>
          <w:p w14:paraId="337D99A8"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44,342.7 </w:t>
            </w:r>
          </w:p>
        </w:tc>
        <w:tc>
          <w:tcPr>
            <w:tcW w:w="1213" w:type="dxa"/>
            <w:shd w:val="clear" w:color="auto" w:fill="auto"/>
            <w:tcMar>
              <w:left w:w="57" w:type="dxa"/>
              <w:right w:w="57" w:type="dxa"/>
            </w:tcMar>
            <w:vAlign w:val="center"/>
          </w:tcPr>
          <w:p w14:paraId="747C8E4E"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&gt; 100%</w:t>
            </w:r>
          </w:p>
        </w:tc>
        <w:tc>
          <w:tcPr>
            <w:tcW w:w="797" w:type="dxa"/>
            <w:shd w:val="clear" w:color="auto" w:fill="auto"/>
            <w:tcMar>
              <w:left w:w="57" w:type="dxa"/>
              <w:right w:w="57" w:type="dxa"/>
            </w:tcMar>
            <w:vAlign w:val="center"/>
          </w:tcPr>
          <w:p w14:paraId="696C4317"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sz w:val="24"/>
                <w:szCs w:val="24"/>
                <w:lang w:eastAsia="en-AU"/>
              </w:rPr>
              <w:t> </w:t>
            </w:r>
          </w:p>
        </w:tc>
      </w:tr>
      <w:tr w:rsidR="003E5BF5" w:rsidRPr="00E273FC" w14:paraId="439E5395" w14:textId="77777777" w:rsidTr="004345C0">
        <w:trPr>
          <w:trHeight w:val="340"/>
        </w:trPr>
        <w:tc>
          <w:tcPr>
            <w:tcW w:w="3256" w:type="dxa"/>
            <w:shd w:val="clear" w:color="auto" w:fill="auto"/>
            <w:tcMar>
              <w:left w:w="57" w:type="dxa"/>
              <w:right w:w="57" w:type="dxa"/>
            </w:tcMar>
            <w:vAlign w:val="center"/>
          </w:tcPr>
          <w:p w14:paraId="0E3DAA21"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equity</w:t>
            </w:r>
          </w:p>
        </w:tc>
        <w:tc>
          <w:tcPr>
            <w:tcW w:w="1310" w:type="dxa"/>
            <w:shd w:val="clear" w:color="auto" w:fill="auto"/>
            <w:vAlign w:val="center"/>
          </w:tcPr>
          <w:p w14:paraId="6EB46CDB"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75,452.9 </w:t>
            </w:r>
          </w:p>
        </w:tc>
        <w:tc>
          <w:tcPr>
            <w:tcW w:w="1287" w:type="dxa"/>
            <w:shd w:val="clear" w:color="auto" w:fill="auto"/>
            <w:tcMar>
              <w:left w:w="57" w:type="dxa"/>
              <w:right w:w="57" w:type="dxa"/>
            </w:tcMar>
            <w:vAlign w:val="center"/>
          </w:tcPr>
          <w:p w14:paraId="1AC10898"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68,062.0 </w:t>
            </w:r>
          </w:p>
        </w:tc>
        <w:tc>
          <w:tcPr>
            <w:tcW w:w="1209" w:type="dxa"/>
            <w:shd w:val="clear" w:color="auto" w:fill="auto"/>
            <w:tcMar>
              <w:left w:w="57" w:type="dxa"/>
              <w:right w:w="57" w:type="dxa"/>
            </w:tcMar>
            <w:vAlign w:val="center"/>
          </w:tcPr>
          <w:p w14:paraId="7A736C95"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7,391.9 </w:t>
            </w:r>
          </w:p>
        </w:tc>
        <w:tc>
          <w:tcPr>
            <w:tcW w:w="1213" w:type="dxa"/>
            <w:shd w:val="clear" w:color="auto" w:fill="auto"/>
            <w:tcMar>
              <w:left w:w="57" w:type="dxa"/>
              <w:right w:w="57" w:type="dxa"/>
            </w:tcMar>
            <w:vAlign w:val="center"/>
          </w:tcPr>
          <w:p w14:paraId="39198744"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11%</w:t>
            </w:r>
          </w:p>
        </w:tc>
        <w:tc>
          <w:tcPr>
            <w:tcW w:w="797" w:type="dxa"/>
            <w:shd w:val="clear" w:color="auto" w:fill="auto"/>
            <w:tcMar>
              <w:left w:w="57" w:type="dxa"/>
              <w:right w:w="57" w:type="dxa"/>
            </w:tcMar>
            <w:vAlign w:val="center"/>
          </w:tcPr>
          <w:p w14:paraId="23670E5A"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sz w:val="24"/>
                <w:szCs w:val="24"/>
                <w:lang w:eastAsia="en-AU"/>
              </w:rPr>
              <w:t> </w:t>
            </w:r>
          </w:p>
        </w:tc>
      </w:tr>
      <w:tr w:rsidR="003E5BF5" w:rsidRPr="00E273FC" w14:paraId="5B896C40" w14:textId="77777777" w:rsidTr="004345C0">
        <w:trPr>
          <w:trHeight w:val="340"/>
        </w:trPr>
        <w:tc>
          <w:tcPr>
            <w:tcW w:w="3256" w:type="dxa"/>
            <w:shd w:val="clear" w:color="auto" w:fill="auto"/>
            <w:tcMar>
              <w:left w:w="57" w:type="dxa"/>
              <w:right w:w="57" w:type="dxa"/>
            </w:tcMar>
            <w:vAlign w:val="center"/>
          </w:tcPr>
          <w:p w14:paraId="2BF96082"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Net worth</w:t>
            </w:r>
          </w:p>
        </w:tc>
        <w:tc>
          <w:tcPr>
            <w:tcW w:w="1310" w:type="dxa"/>
            <w:shd w:val="clear" w:color="auto" w:fill="auto"/>
            <w:vAlign w:val="center"/>
          </w:tcPr>
          <w:p w14:paraId="18F82BDA"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75,452.9 </w:t>
            </w:r>
          </w:p>
        </w:tc>
        <w:tc>
          <w:tcPr>
            <w:tcW w:w="1287" w:type="dxa"/>
            <w:shd w:val="clear" w:color="auto" w:fill="auto"/>
            <w:tcMar>
              <w:left w:w="57" w:type="dxa"/>
              <w:right w:w="57" w:type="dxa"/>
            </w:tcMar>
            <w:vAlign w:val="center"/>
          </w:tcPr>
          <w:p w14:paraId="03B70EC2"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68,062.0 </w:t>
            </w:r>
          </w:p>
        </w:tc>
        <w:tc>
          <w:tcPr>
            <w:tcW w:w="1209" w:type="dxa"/>
            <w:shd w:val="clear" w:color="auto" w:fill="auto"/>
            <w:tcMar>
              <w:left w:w="57" w:type="dxa"/>
              <w:right w:w="57" w:type="dxa"/>
            </w:tcMar>
            <w:vAlign w:val="center"/>
          </w:tcPr>
          <w:p w14:paraId="20BDE3AC"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7,391.9 </w:t>
            </w:r>
          </w:p>
        </w:tc>
        <w:tc>
          <w:tcPr>
            <w:tcW w:w="1213" w:type="dxa"/>
            <w:shd w:val="clear" w:color="auto" w:fill="auto"/>
            <w:tcMar>
              <w:left w:w="57" w:type="dxa"/>
              <w:right w:w="57" w:type="dxa"/>
            </w:tcMar>
            <w:vAlign w:val="center"/>
          </w:tcPr>
          <w:p w14:paraId="2FD403FE"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11%</w:t>
            </w:r>
          </w:p>
        </w:tc>
        <w:tc>
          <w:tcPr>
            <w:tcW w:w="797" w:type="dxa"/>
            <w:shd w:val="clear" w:color="auto" w:fill="auto"/>
            <w:tcMar>
              <w:left w:w="57" w:type="dxa"/>
              <w:right w:w="57" w:type="dxa"/>
            </w:tcMar>
            <w:vAlign w:val="center"/>
          </w:tcPr>
          <w:p w14:paraId="73A9FE30"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sz w:val="24"/>
                <w:szCs w:val="24"/>
                <w:lang w:eastAsia="en-AU"/>
              </w:rPr>
              <w:t> </w:t>
            </w:r>
          </w:p>
        </w:tc>
      </w:tr>
    </w:tbl>
    <w:p w14:paraId="420AB3FC" w14:textId="77777777" w:rsidR="003E5BF5" w:rsidRDefault="003E5BF5" w:rsidP="00DE1921">
      <w:pPr>
        <w:pStyle w:val="Note"/>
        <w:rPr>
          <w:szCs w:val="14"/>
        </w:rPr>
        <w:sectPr w:rsidR="003E5BF5" w:rsidSect="00DE1921">
          <w:pgSz w:w="11906" w:h="16838"/>
          <w:pgMar w:top="1701" w:right="1418" w:bottom="1418" w:left="1418" w:header="709" w:footer="709" w:gutter="0"/>
          <w:cols w:space="284"/>
          <w:docGrid w:linePitch="360"/>
        </w:sectPr>
      </w:pPr>
    </w:p>
    <w:p w14:paraId="2FA79121" w14:textId="77777777" w:rsidR="003E5BF5" w:rsidRPr="000B304D" w:rsidRDefault="003E5BF5" w:rsidP="003C6DF7">
      <w:pPr>
        <w:pStyle w:val="aaatyping"/>
      </w:pPr>
      <w:r w:rsidRPr="000B304D">
        <w:lastRenderedPageBreak/>
        <w:t>Explanation for major variations between 2019–20 actual and 2019–20 published budget are as follows:</w:t>
      </w:r>
    </w:p>
    <w:p w14:paraId="4A777CE0" w14:textId="77777777" w:rsidR="003E5BF5" w:rsidRPr="004345C0" w:rsidRDefault="003E5BF5" w:rsidP="00610F5F">
      <w:pPr>
        <w:pStyle w:val="Notenumberingabc"/>
        <w:numPr>
          <w:ilvl w:val="0"/>
          <w:numId w:val="51"/>
        </w:numPr>
        <w:spacing w:before="0" w:after="120"/>
        <w:ind w:left="453" w:hanging="340"/>
        <w:rPr>
          <w:rFonts w:ascii="Arial" w:hAnsi="Arial" w:cs="Arial"/>
          <w:sz w:val="28"/>
          <w:szCs w:val="28"/>
        </w:rPr>
      </w:pPr>
      <w:r w:rsidRPr="004345C0">
        <w:rPr>
          <w:rFonts w:ascii="Arial" w:hAnsi="Arial" w:cs="Arial"/>
          <w:sz w:val="28"/>
          <w:szCs w:val="28"/>
        </w:rPr>
        <w:t xml:space="preserve">Cash and deposits were higher than the published budget primarily due to the timing of payments made relating to the capital program. </w:t>
      </w:r>
    </w:p>
    <w:p w14:paraId="64FE67B4"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Non-financial assets classified as held for sale including disposal of group assets were lower than the published budget primarily due to scheduled 5-year cyclical revaluation of land available for sale.</w:t>
      </w:r>
    </w:p>
    <w:p w14:paraId="0EDD456D"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Property, plant and equipment were higher than the published budget primarily due to 5-year cyclical asset revaluation with the increase primarily driven by land under roads.</w:t>
      </w:r>
    </w:p>
    <w:p w14:paraId="59BD22B0"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Intangible assets were higher than the published budget primarily due to information technology system and software upgrades.</w:t>
      </w:r>
    </w:p>
    <w:p w14:paraId="47E8ADB4"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Other non-financial assets were higher than the published budget primarily due to the timing of payments relating to the capital program.</w:t>
      </w:r>
    </w:p>
    <w:p w14:paraId="445C9E38"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Payables were lower than the published budget primarily due to first time adoption of accounting standards relating to works associated with service concession arrangements for the granting of the right to operate.</w:t>
      </w:r>
    </w:p>
    <w:p w14:paraId="302E9D4A"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Borrowings were lower than the published budget primarily due to the timing of schedule of works relating to the services concession arrangements.</w:t>
      </w:r>
    </w:p>
    <w:p w14:paraId="0754FCA6" w14:textId="77777777" w:rsidR="003E5BF5" w:rsidRPr="004345C0" w:rsidRDefault="003E5BF5" w:rsidP="003E5BF5">
      <w:pPr>
        <w:pStyle w:val="Notenumberingabc"/>
        <w:spacing w:before="0" w:after="120"/>
        <w:ind w:left="453" w:hanging="340"/>
        <w:rPr>
          <w:rFonts w:ascii="Arial" w:hAnsi="Arial" w:cs="Arial"/>
          <w:sz w:val="28"/>
          <w:szCs w:val="28"/>
        </w:rPr>
      </w:pPr>
      <w:r w:rsidRPr="004345C0">
        <w:rPr>
          <w:rFonts w:ascii="Arial" w:hAnsi="Arial" w:cs="Arial"/>
          <w:sz w:val="28"/>
          <w:szCs w:val="28"/>
        </w:rPr>
        <w:t>Provisions were higher than the published budget primarily due to the timing of claims received relating to compensation to property owners impacted by planning overlays.</w:t>
      </w:r>
    </w:p>
    <w:p w14:paraId="626D1AD5" w14:textId="77777777" w:rsidR="003E5BF5" w:rsidRPr="000B304D" w:rsidRDefault="003E5BF5" w:rsidP="003E5BF5">
      <w:pPr>
        <w:pStyle w:val="Notenumberingabc"/>
        <w:spacing w:before="0" w:after="120"/>
        <w:ind w:left="453" w:hanging="340"/>
        <w:rPr>
          <w:sz w:val="18"/>
          <w:szCs w:val="18"/>
        </w:rPr>
        <w:sectPr w:rsidR="003E5BF5" w:rsidRPr="000B304D" w:rsidSect="00DE1921">
          <w:pgSz w:w="11906" w:h="16838"/>
          <w:pgMar w:top="1701" w:right="1418" w:bottom="1418" w:left="1418" w:header="709" w:footer="709" w:gutter="0"/>
          <w:cols w:space="284"/>
          <w:docGrid w:linePitch="360"/>
        </w:sectPr>
      </w:pPr>
      <w:r w:rsidRPr="004345C0">
        <w:rPr>
          <w:rFonts w:ascii="Arial" w:hAnsi="Arial" w:cs="Arial"/>
          <w:sz w:val="28"/>
          <w:szCs w:val="28"/>
        </w:rPr>
        <w:t>Accumulated surplus/(deficit) was higher than the published budget primarily due to the scheduled 5-year asset revaluation and the integration of VicRoads and Public Transport Victoria into the Department effective 1 July 2019</w:t>
      </w:r>
      <w:r w:rsidRPr="000B304D">
        <w:rPr>
          <w:sz w:val="18"/>
          <w:szCs w:val="18"/>
        </w:rPr>
        <w:t>.</w:t>
      </w:r>
    </w:p>
    <w:p w14:paraId="0EAB55DE" w14:textId="77777777" w:rsidR="003E5BF5" w:rsidRPr="00E273FC" w:rsidRDefault="003E5BF5" w:rsidP="00CF74EB">
      <w:pPr>
        <w:pStyle w:val="TableHeader"/>
      </w:pPr>
      <w:r w:rsidRPr="00E273FC">
        <w:lastRenderedPageBreak/>
        <w:t>Cash flow statement for the financial year ended 30 June 2020</w:t>
      </w:r>
    </w:p>
    <w:tbl>
      <w:tblPr>
        <w:tblStyle w:val="TableGrid"/>
        <w:tblW w:w="9072" w:type="dxa"/>
        <w:tblCellMar>
          <w:left w:w="28" w:type="dxa"/>
          <w:right w:w="28" w:type="dxa"/>
        </w:tblCellMar>
        <w:tblLook w:val="04A0" w:firstRow="1" w:lastRow="0" w:firstColumn="1" w:lastColumn="0" w:noHBand="0" w:noVBand="1"/>
      </w:tblPr>
      <w:tblGrid>
        <w:gridCol w:w="3278"/>
        <w:gridCol w:w="1348"/>
        <w:gridCol w:w="1261"/>
        <w:gridCol w:w="1141"/>
        <w:gridCol w:w="1263"/>
        <w:gridCol w:w="781"/>
      </w:tblGrid>
      <w:tr w:rsidR="003E5BF5" w:rsidRPr="00E273FC" w14:paraId="0C133977" w14:textId="77777777" w:rsidTr="007526FB">
        <w:trPr>
          <w:trHeight w:val="340"/>
          <w:tblHeader/>
        </w:trPr>
        <w:tc>
          <w:tcPr>
            <w:tcW w:w="3544" w:type="dxa"/>
            <w:shd w:val="clear" w:color="auto" w:fill="auto"/>
            <w:tcMar>
              <w:left w:w="57" w:type="dxa"/>
              <w:right w:w="57" w:type="dxa"/>
            </w:tcMar>
            <w:vAlign w:val="center"/>
          </w:tcPr>
          <w:p w14:paraId="5E09DC1F" w14:textId="77777777" w:rsidR="003E5BF5" w:rsidRPr="00E273FC" w:rsidRDefault="003E5BF5" w:rsidP="00DE1921">
            <w:pPr>
              <w:pStyle w:val="TableTextLeft"/>
              <w:rPr>
                <w:rFonts w:ascii="Arial" w:hAnsi="Arial" w:cs="Arial"/>
                <w:sz w:val="24"/>
                <w:szCs w:val="24"/>
              </w:rPr>
            </w:pPr>
          </w:p>
        </w:tc>
        <w:tc>
          <w:tcPr>
            <w:tcW w:w="1399" w:type="dxa"/>
            <w:shd w:val="clear" w:color="auto" w:fill="auto"/>
            <w:vAlign w:val="bottom"/>
          </w:tcPr>
          <w:p w14:paraId="3B4E6D2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2019-20 Actual</w:t>
            </w:r>
          </w:p>
          <w:p w14:paraId="4ABD32A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million)</w:t>
            </w:r>
          </w:p>
        </w:tc>
        <w:tc>
          <w:tcPr>
            <w:tcW w:w="1261" w:type="dxa"/>
            <w:shd w:val="clear" w:color="auto" w:fill="auto"/>
            <w:tcMar>
              <w:left w:w="57" w:type="dxa"/>
              <w:right w:w="57" w:type="dxa"/>
            </w:tcMar>
            <w:vAlign w:val="bottom"/>
          </w:tcPr>
          <w:p w14:paraId="574C015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2019-20 Published budget</w:t>
            </w:r>
          </w:p>
          <w:p w14:paraId="19DC189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million)</w:t>
            </w:r>
          </w:p>
        </w:tc>
        <w:tc>
          <w:tcPr>
            <w:tcW w:w="742" w:type="dxa"/>
            <w:shd w:val="clear" w:color="auto" w:fill="auto"/>
            <w:tcMar>
              <w:left w:w="57" w:type="dxa"/>
              <w:right w:w="57" w:type="dxa"/>
            </w:tcMar>
            <w:vAlign w:val="bottom"/>
          </w:tcPr>
          <w:p w14:paraId="2BA7EBE4"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Variation</w:t>
            </w:r>
          </w:p>
        </w:tc>
        <w:tc>
          <w:tcPr>
            <w:tcW w:w="1345" w:type="dxa"/>
            <w:shd w:val="clear" w:color="auto" w:fill="auto"/>
            <w:tcMar>
              <w:left w:w="57" w:type="dxa"/>
              <w:right w:w="57" w:type="dxa"/>
            </w:tcMar>
            <w:vAlign w:val="bottom"/>
          </w:tcPr>
          <w:p w14:paraId="6411428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781" w:type="dxa"/>
            <w:shd w:val="clear" w:color="auto" w:fill="auto"/>
            <w:tcMar>
              <w:left w:w="57" w:type="dxa"/>
              <w:right w:w="57" w:type="dxa"/>
            </w:tcMar>
            <w:vAlign w:val="bottom"/>
          </w:tcPr>
          <w:p w14:paraId="0532E1F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Notes</w:t>
            </w:r>
          </w:p>
        </w:tc>
      </w:tr>
      <w:tr w:rsidR="003E5BF5" w:rsidRPr="00E273FC" w14:paraId="7E29E6ED" w14:textId="77777777" w:rsidTr="000A0855">
        <w:trPr>
          <w:trHeight w:val="340"/>
        </w:trPr>
        <w:tc>
          <w:tcPr>
            <w:tcW w:w="3544" w:type="dxa"/>
            <w:shd w:val="clear" w:color="auto" w:fill="auto"/>
            <w:tcMar>
              <w:left w:w="57" w:type="dxa"/>
              <w:right w:w="57" w:type="dxa"/>
            </w:tcMar>
            <w:vAlign w:val="center"/>
          </w:tcPr>
          <w:p w14:paraId="58904C51" w14:textId="77777777" w:rsidR="003E5BF5" w:rsidRPr="00E273FC" w:rsidRDefault="003E5BF5" w:rsidP="00604703">
            <w:pPr>
              <w:pStyle w:val="TableTextGreen"/>
            </w:pPr>
            <w:r w:rsidRPr="00E273FC">
              <w:t>CASH FLOWS FROM OPERATING ACTIVITIES</w:t>
            </w:r>
          </w:p>
        </w:tc>
        <w:tc>
          <w:tcPr>
            <w:tcW w:w="1399" w:type="dxa"/>
            <w:shd w:val="clear" w:color="auto" w:fill="auto"/>
            <w:vAlign w:val="center"/>
          </w:tcPr>
          <w:p w14:paraId="32CCA135" w14:textId="77777777" w:rsidR="003E5BF5" w:rsidRPr="00E273FC" w:rsidRDefault="003E5BF5" w:rsidP="00DE1921">
            <w:pPr>
              <w:pStyle w:val="TableTextRight"/>
              <w:rPr>
                <w:rFonts w:ascii="Arial" w:hAnsi="Arial" w:cs="Arial"/>
                <w:sz w:val="24"/>
                <w:szCs w:val="24"/>
              </w:rPr>
            </w:pPr>
          </w:p>
        </w:tc>
        <w:tc>
          <w:tcPr>
            <w:tcW w:w="1261" w:type="dxa"/>
            <w:shd w:val="clear" w:color="auto" w:fill="auto"/>
            <w:tcMar>
              <w:left w:w="57" w:type="dxa"/>
              <w:right w:w="57" w:type="dxa"/>
            </w:tcMar>
            <w:vAlign w:val="center"/>
          </w:tcPr>
          <w:p w14:paraId="6F5149AA" w14:textId="77777777" w:rsidR="003E5BF5" w:rsidRPr="00E273FC" w:rsidRDefault="003E5BF5" w:rsidP="00DE1921">
            <w:pPr>
              <w:pStyle w:val="TableTextRight"/>
              <w:rPr>
                <w:rFonts w:ascii="Arial" w:hAnsi="Arial" w:cs="Arial"/>
                <w:sz w:val="24"/>
                <w:szCs w:val="24"/>
              </w:rPr>
            </w:pPr>
          </w:p>
        </w:tc>
        <w:tc>
          <w:tcPr>
            <w:tcW w:w="742" w:type="dxa"/>
            <w:shd w:val="clear" w:color="auto" w:fill="auto"/>
            <w:tcMar>
              <w:left w:w="57" w:type="dxa"/>
              <w:right w:w="57" w:type="dxa"/>
            </w:tcMar>
            <w:vAlign w:val="center"/>
          </w:tcPr>
          <w:p w14:paraId="1C83EFAD" w14:textId="77777777" w:rsidR="003E5BF5" w:rsidRPr="00E273FC" w:rsidRDefault="003E5BF5" w:rsidP="00DE1921">
            <w:pPr>
              <w:pStyle w:val="TableTextRight"/>
              <w:rPr>
                <w:rFonts w:ascii="Arial" w:hAnsi="Arial" w:cs="Arial"/>
                <w:sz w:val="24"/>
                <w:szCs w:val="24"/>
              </w:rPr>
            </w:pPr>
          </w:p>
        </w:tc>
        <w:tc>
          <w:tcPr>
            <w:tcW w:w="1345" w:type="dxa"/>
            <w:shd w:val="clear" w:color="auto" w:fill="auto"/>
            <w:tcMar>
              <w:left w:w="57" w:type="dxa"/>
              <w:right w:w="57" w:type="dxa"/>
            </w:tcMar>
            <w:vAlign w:val="center"/>
          </w:tcPr>
          <w:p w14:paraId="0C8E8F80" w14:textId="77777777" w:rsidR="003E5BF5" w:rsidRPr="00E273FC" w:rsidRDefault="003E5BF5" w:rsidP="00DE1921">
            <w:pPr>
              <w:pStyle w:val="TableTextRight"/>
              <w:rPr>
                <w:rFonts w:ascii="Arial" w:hAnsi="Arial" w:cs="Arial"/>
                <w:sz w:val="24"/>
                <w:szCs w:val="24"/>
              </w:rPr>
            </w:pPr>
          </w:p>
        </w:tc>
        <w:tc>
          <w:tcPr>
            <w:tcW w:w="781" w:type="dxa"/>
            <w:shd w:val="clear" w:color="auto" w:fill="auto"/>
            <w:tcMar>
              <w:left w:w="57" w:type="dxa"/>
              <w:right w:w="57" w:type="dxa"/>
            </w:tcMar>
            <w:vAlign w:val="center"/>
          </w:tcPr>
          <w:p w14:paraId="5423D832" w14:textId="77777777" w:rsidR="003E5BF5" w:rsidRPr="00E273FC" w:rsidRDefault="003E5BF5" w:rsidP="00DE1921">
            <w:pPr>
              <w:pStyle w:val="TableTextRight"/>
              <w:rPr>
                <w:rFonts w:ascii="Arial" w:hAnsi="Arial" w:cs="Arial"/>
                <w:sz w:val="24"/>
                <w:szCs w:val="24"/>
              </w:rPr>
            </w:pPr>
          </w:p>
        </w:tc>
      </w:tr>
      <w:tr w:rsidR="003E5BF5" w:rsidRPr="00E273FC" w14:paraId="7CCB3EF4" w14:textId="77777777" w:rsidTr="000A0855">
        <w:trPr>
          <w:trHeight w:val="340"/>
        </w:trPr>
        <w:tc>
          <w:tcPr>
            <w:tcW w:w="3544" w:type="dxa"/>
            <w:shd w:val="clear" w:color="auto" w:fill="auto"/>
            <w:tcMar>
              <w:left w:w="57" w:type="dxa"/>
              <w:right w:w="57" w:type="dxa"/>
            </w:tcMar>
            <w:vAlign w:val="center"/>
          </w:tcPr>
          <w:p w14:paraId="288D2077" w14:textId="77777777" w:rsidR="003E5BF5" w:rsidRPr="00E273FC" w:rsidRDefault="003E5BF5" w:rsidP="00604703">
            <w:pPr>
              <w:pStyle w:val="TableTextGreen"/>
            </w:pPr>
            <w:r w:rsidRPr="00E273FC">
              <w:t>Receipts</w:t>
            </w:r>
          </w:p>
        </w:tc>
        <w:tc>
          <w:tcPr>
            <w:tcW w:w="1399" w:type="dxa"/>
            <w:shd w:val="clear" w:color="auto" w:fill="auto"/>
            <w:vAlign w:val="center"/>
          </w:tcPr>
          <w:p w14:paraId="49232D34" w14:textId="77777777" w:rsidR="003E5BF5" w:rsidRPr="00E273FC" w:rsidRDefault="003E5BF5" w:rsidP="00DE1921">
            <w:pPr>
              <w:pStyle w:val="TableTextRight"/>
              <w:rPr>
                <w:rFonts w:ascii="Arial" w:hAnsi="Arial" w:cs="Arial"/>
                <w:sz w:val="24"/>
                <w:szCs w:val="24"/>
              </w:rPr>
            </w:pPr>
          </w:p>
        </w:tc>
        <w:tc>
          <w:tcPr>
            <w:tcW w:w="1261" w:type="dxa"/>
            <w:shd w:val="clear" w:color="auto" w:fill="auto"/>
            <w:tcMar>
              <w:left w:w="57" w:type="dxa"/>
              <w:right w:w="57" w:type="dxa"/>
            </w:tcMar>
            <w:vAlign w:val="center"/>
          </w:tcPr>
          <w:p w14:paraId="6589F1AA" w14:textId="77777777" w:rsidR="003E5BF5" w:rsidRPr="00E273FC" w:rsidRDefault="003E5BF5" w:rsidP="00DE1921">
            <w:pPr>
              <w:pStyle w:val="TableTextRight"/>
              <w:rPr>
                <w:rFonts w:ascii="Arial" w:hAnsi="Arial" w:cs="Arial"/>
                <w:sz w:val="24"/>
                <w:szCs w:val="24"/>
              </w:rPr>
            </w:pPr>
          </w:p>
        </w:tc>
        <w:tc>
          <w:tcPr>
            <w:tcW w:w="742" w:type="dxa"/>
            <w:shd w:val="clear" w:color="auto" w:fill="auto"/>
            <w:tcMar>
              <w:left w:w="57" w:type="dxa"/>
              <w:right w:w="57" w:type="dxa"/>
            </w:tcMar>
            <w:vAlign w:val="center"/>
          </w:tcPr>
          <w:p w14:paraId="7808F56C" w14:textId="77777777" w:rsidR="003E5BF5" w:rsidRPr="00E273FC" w:rsidRDefault="003E5BF5" w:rsidP="00DE1921">
            <w:pPr>
              <w:pStyle w:val="TableTextRight"/>
              <w:rPr>
                <w:rFonts w:ascii="Arial" w:hAnsi="Arial" w:cs="Arial"/>
                <w:sz w:val="24"/>
                <w:szCs w:val="24"/>
              </w:rPr>
            </w:pPr>
          </w:p>
        </w:tc>
        <w:tc>
          <w:tcPr>
            <w:tcW w:w="1345" w:type="dxa"/>
            <w:shd w:val="clear" w:color="auto" w:fill="auto"/>
            <w:tcMar>
              <w:left w:w="57" w:type="dxa"/>
              <w:right w:w="57" w:type="dxa"/>
            </w:tcMar>
            <w:vAlign w:val="center"/>
          </w:tcPr>
          <w:p w14:paraId="0ABC3B4E" w14:textId="77777777" w:rsidR="003E5BF5" w:rsidRPr="00E273FC" w:rsidRDefault="003E5BF5" w:rsidP="00DE1921">
            <w:pPr>
              <w:pStyle w:val="TableTextRight"/>
              <w:rPr>
                <w:rFonts w:ascii="Arial" w:hAnsi="Arial" w:cs="Arial"/>
                <w:sz w:val="24"/>
                <w:szCs w:val="24"/>
              </w:rPr>
            </w:pPr>
          </w:p>
        </w:tc>
        <w:tc>
          <w:tcPr>
            <w:tcW w:w="781" w:type="dxa"/>
            <w:shd w:val="clear" w:color="auto" w:fill="auto"/>
            <w:tcMar>
              <w:left w:w="57" w:type="dxa"/>
              <w:right w:w="57" w:type="dxa"/>
            </w:tcMar>
            <w:vAlign w:val="center"/>
          </w:tcPr>
          <w:p w14:paraId="723BD79B" w14:textId="77777777" w:rsidR="003E5BF5" w:rsidRPr="00E273FC" w:rsidRDefault="003E5BF5" w:rsidP="00DE1921">
            <w:pPr>
              <w:pStyle w:val="TableTextRight"/>
              <w:rPr>
                <w:rFonts w:ascii="Arial" w:hAnsi="Arial" w:cs="Arial"/>
                <w:sz w:val="24"/>
                <w:szCs w:val="24"/>
              </w:rPr>
            </w:pPr>
          </w:p>
        </w:tc>
      </w:tr>
      <w:tr w:rsidR="003E5BF5" w:rsidRPr="00E273FC" w14:paraId="0FA30F84" w14:textId="77777777" w:rsidTr="000A0855">
        <w:trPr>
          <w:trHeight w:val="340"/>
        </w:trPr>
        <w:tc>
          <w:tcPr>
            <w:tcW w:w="3544" w:type="dxa"/>
            <w:shd w:val="clear" w:color="auto" w:fill="auto"/>
            <w:tcMar>
              <w:left w:w="57" w:type="dxa"/>
              <w:right w:w="57" w:type="dxa"/>
            </w:tcMar>
            <w:vAlign w:val="center"/>
          </w:tcPr>
          <w:p w14:paraId="1C3B1B5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Receipts from government</w:t>
            </w:r>
          </w:p>
        </w:tc>
        <w:tc>
          <w:tcPr>
            <w:tcW w:w="1399" w:type="dxa"/>
            <w:shd w:val="clear" w:color="auto" w:fill="auto"/>
            <w:vAlign w:val="center"/>
          </w:tcPr>
          <w:p w14:paraId="2294A67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7,811.7 </w:t>
            </w:r>
          </w:p>
        </w:tc>
        <w:tc>
          <w:tcPr>
            <w:tcW w:w="1261" w:type="dxa"/>
            <w:shd w:val="clear" w:color="auto" w:fill="auto"/>
            <w:tcMar>
              <w:left w:w="57" w:type="dxa"/>
              <w:right w:w="57" w:type="dxa"/>
            </w:tcMar>
            <w:vAlign w:val="center"/>
          </w:tcPr>
          <w:p w14:paraId="3BC2A5C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7,125.0 </w:t>
            </w:r>
          </w:p>
        </w:tc>
        <w:tc>
          <w:tcPr>
            <w:tcW w:w="742" w:type="dxa"/>
            <w:shd w:val="clear" w:color="auto" w:fill="auto"/>
            <w:tcMar>
              <w:left w:w="57" w:type="dxa"/>
              <w:right w:w="57" w:type="dxa"/>
            </w:tcMar>
            <w:vAlign w:val="center"/>
          </w:tcPr>
          <w:p w14:paraId="355EA3E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686.7 </w:t>
            </w:r>
          </w:p>
        </w:tc>
        <w:tc>
          <w:tcPr>
            <w:tcW w:w="1345" w:type="dxa"/>
            <w:shd w:val="clear" w:color="auto" w:fill="auto"/>
            <w:tcMar>
              <w:left w:w="57" w:type="dxa"/>
              <w:right w:w="57" w:type="dxa"/>
            </w:tcMar>
            <w:vAlign w:val="center"/>
          </w:tcPr>
          <w:p w14:paraId="0AC1A76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w:t>
            </w:r>
          </w:p>
        </w:tc>
        <w:tc>
          <w:tcPr>
            <w:tcW w:w="781" w:type="dxa"/>
            <w:shd w:val="clear" w:color="auto" w:fill="auto"/>
            <w:tcMar>
              <w:left w:w="57" w:type="dxa"/>
              <w:right w:w="57" w:type="dxa"/>
            </w:tcMar>
            <w:vAlign w:val="center"/>
          </w:tcPr>
          <w:p w14:paraId="423F40B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a</w:t>
            </w:r>
          </w:p>
        </w:tc>
      </w:tr>
      <w:tr w:rsidR="003E5BF5" w:rsidRPr="00E273FC" w14:paraId="71D64E55" w14:textId="77777777" w:rsidTr="000A0855">
        <w:trPr>
          <w:trHeight w:val="340"/>
        </w:trPr>
        <w:tc>
          <w:tcPr>
            <w:tcW w:w="3544" w:type="dxa"/>
            <w:shd w:val="clear" w:color="auto" w:fill="auto"/>
            <w:tcMar>
              <w:left w:w="57" w:type="dxa"/>
              <w:right w:w="57" w:type="dxa"/>
            </w:tcMar>
            <w:vAlign w:val="center"/>
          </w:tcPr>
          <w:p w14:paraId="7D96FCA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Receipts from other entities</w:t>
            </w:r>
          </w:p>
        </w:tc>
        <w:tc>
          <w:tcPr>
            <w:tcW w:w="1399" w:type="dxa"/>
            <w:shd w:val="clear" w:color="auto" w:fill="auto"/>
            <w:vAlign w:val="center"/>
          </w:tcPr>
          <w:p w14:paraId="2467EB1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820.3 </w:t>
            </w:r>
          </w:p>
        </w:tc>
        <w:tc>
          <w:tcPr>
            <w:tcW w:w="1261" w:type="dxa"/>
            <w:shd w:val="clear" w:color="auto" w:fill="auto"/>
            <w:tcMar>
              <w:left w:w="57" w:type="dxa"/>
              <w:right w:w="57" w:type="dxa"/>
            </w:tcMar>
            <w:vAlign w:val="center"/>
          </w:tcPr>
          <w:p w14:paraId="41B18E7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1,174.0 </w:t>
            </w:r>
          </w:p>
        </w:tc>
        <w:tc>
          <w:tcPr>
            <w:tcW w:w="742" w:type="dxa"/>
            <w:shd w:val="clear" w:color="auto" w:fill="auto"/>
            <w:tcMar>
              <w:left w:w="57" w:type="dxa"/>
              <w:right w:w="57" w:type="dxa"/>
            </w:tcMar>
            <w:vAlign w:val="center"/>
          </w:tcPr>
          <w:p w14:paraId="53B35A4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(353.7)</w:t>
            </w:r>
          </w:p>
        </w:tc>
        <w:tc>
          <w:tcPr>
            <w:tcW w:w="1345" w:type="dxa"/>
            <w:shd w:val="clear" w:color="auto" w:fill="auto"/>
            <w:tcMar>
              <w:left w:w="57" w:type="dxa"/>
              <w:right w:w="57" w:type="dxa"/>
            </w:tcMar>
            <w:vAlign w:val="center"/>
          </w:tcPr>
          <w:p w14:paraId="229B109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(30) %</w:t>
            </w:r>
          </w:p>
        </w:tc>
        <w:tc>
          <w:tcPr>
            <w:tcW w:w="781" w:type="dxa"/>
            <w:shd w:val="clear" w:color="auto" w:fill="auto"/>
            <w:tcMar>
              <w:left w:w="57" w:type="dxa"/>
              <w:right w:w="57" w:type="dxa"/>
            </w:tcMar>
            <w:vAlign w:val="center"/>
          </w:tcPr>
          <w:p w14:paraId="31D9211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b</w:t>
            </w:r>
          </w:p>
        </w:tc>
      </w:tr>
      <w:tr w:rsidR="003E5BF5" w:rsidRPr="00E273FC" w14:paraId="22FA9FD9" w14:textId="77777777" w:rsidTr="000A0855">
        <w:trPr>
          <w:trHeight w:val="340"/>
        </w:trPr>
        <w:tc>
          <w:tcPr>
            <w:tcW w:w="3544" w:type="dxa"/>
            <w:shd w:val="clear" w:color="auto" w:fill="auto"/>
            <w:tcMar>
              <w:left w:w="57" w:type="dxa"/>
              <w:right w:w="57" w:type="dxa"/>
            </w:tcMar>
            <w:vAlign w:val="center"/>
          </w:tcPr>
          <w:p w14:paraId="458805D2"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Interest received</w:t>
            </w:r>
          </w:p>
        </w:tc>
        <w:tc>
          <w:tcPr>
            <w:tcW w:w="1399" w:type="dxa"/>
            <w:shd w:val="clear" w:color="auto" w:fill="auto"/>
            <w:vAlign w:val="center"/>
          </w:tcPr>
          <w:p w14:paraId="0E54155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2.7 </w:t>
            </w:r>
          </w:p>
        </w:tc>
        <w:tc>
          <w:tcPr>
            <w:tcW w:w="1261" w:type="dxa"/>
            <w:shd w:val="clear" w:color="auto" w:fill="auto"/>
            <w:tcMar>
              <w:left w:w="57" w:type="dxa"/>
              <w:right w:w="57" w:type="dxa"/>
            </w:tcMar>
            <w:vAlign w:val="center"/>
          </w:tcPr>
          <w:p w14:paraId="4AC3927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4.0 </w:t>
            </w:r>
          </w:p>
        </w:tc>
        <w:tc>
          <w:tcPr>
            <w:tcW w:w="742" w:type="dxa"/>
            <w:shd w:val="clear" w:color="auto" w:fill="auto"/>
            <w:tcMar>
              <w:left w:w="57" w:type="dxa"/>
              <w:right w:w="57" w:type="dxa"/>
            </w:tcMar>
            <w:vAlign w:val="center"/>
          </w:tcPr>
          <w:p w14:paraId="4BD662E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w:t>
            </w:r>
          </w:p>
        </w:tc>
        <w:tc>
          <w:tcPr>
            <w:tcW w:w="1345" w:type="dxa"/>
            <w:shd w:val="clear" w:color="auto" w:fill="auto"/>
            <w:tcMar>
              <w:left w:w="57" w:type="dxa"/>
              <w:right w:w="57" w:type="dxa"/>
            </w:tcMar>
            <w:vAlign w:val="center"/>
          </w:tcPr>
          <w:p w14:paraId="7A9D0DE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(31) %</w:t>
            </w:r>
          </w:p>
        </w:tc>
        <w:tc>
          <w:tcPr>
            <w:tcW w:w="781" w:type="dxa"/>
            <w:shd w:val="clear" w:color="auto" w:fill="auto"/>
            <w:tcMar>
              <w:left w:w="57" w:type="dxa"/>
              <w:right w:w="57" w:type="dxa"/>
            </w:tcMar>
            <w:vAlign w:val="center"/>
          </w:tcPr>
          <w:p w14:paraId="762C77B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c</w:t>
            </w:r>
          </w:p>
        </w:tc>
      </w:tr>
      <w:tr w:rsidR="003E5BF5" w:rsidRPr="00E273FC" w14:paraId="378BE13C" w14:textId="77777777" w:rsidTr="000A0855">
        <w:trPr>
          <w:trHeight w:val="340"/>
        </w:trPr>
        <w:tc>
          <w:tcPr>
            <w:tcW w:w="3544" w:type="dxa"/>
            <w:shd w:val="clear" w:color="auto" w:fill="auto"/>
            <w:tcMar>
              <w:left w:w="57" w:type="dxa"/>
              <w:right w:w="57" w:type="dxa"/>
            </w:tcMar>
            <w:vAlign w:val="center"/>
          </w:tcPr>
          <w:p w14:paraId="03D309F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Other receipts</w:t>
            </w:r>
          </w:p>
        </w:tc>
        <w:tc>
          <w:tcPr>
            <w:tcW w:w="1399" w:type="dxa"/>
            <w:shd w:val="clear" w:color="auto" w:fill="auto"/>
            <w:vAlign w:val="center"/>
          </w:tcPr>
          <w:p w14:paraId="52333E0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51.6 </w:t>
            </w:r>
          </w:p>
        </w:tc>
        <w:tc>
          <w:tcPr>
            <w:tcW w:w="1261" w:type="dxa"/>
            <w:shd w:val="clear" w:color="auto" w:fill="auto"/>
            <w:tcMar>
              <w:left w:w="57" w:type="dxa"/>
              <w:right w:w="57" w:type="dxa"/>
            </w:tcMar>
            <w:vAlign w:val="center"/>
          </w:tcPr>
          <w:p w14:paraId="12DF437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120.0 </w:t>
            </w:r>
          </w:p>
        </w:tc>
        <w:tc>
          <w:tcPr>
            <w:tcW w:w="742" w:type="dxa"/>
            <w:shd w:val="clear" w:color="auto" w:fill="auto"/>
            <w:tcMar>
              <w:left w:w="57" w:type="dxa"/>
              <w:right w:w="57" w:type="dxa"/>
            </w:tcMar>
            <w:vAlign w:val="center"/>
          </w:tcPr>
          <w:p w14:paraId="1A2C43E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(68.4)</w:t>
            </w:r>
          </w:p>
        </w:tc>
        <w:tc>
          <w:tcPr>
            <w:tcW w:w="1345" w:type="dxa"/>
            <w:shd w:val="clear" w:color="auto" w:fill="auto"/>
            <w:tcMar>
              <w:left w:w="57" w:type="dxa"/>
              <w:right w:w="57" w:type="dxa"/>
            </w:tcMar>
            <w:vAlign w:val="center"/>
          </w:tcPr>
          <w:p w14:paraId="2F35278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(57) %</w:t>
            </w:r>
          </w:p>
        </w:tc>
        <w:tc>
          <w:tcPr>
            <w:tcW w:w="781" w:type="dxa"/>
            <w:shd w:val="clear" w:color="auto" w:fill="auto"/>
            <w:tcMar>
              <w:left w:w="57" w:type="dxa"/>
              <w:right w:w="57" w:type="dxa"/>
            </w:tcMar>
            <w:vAlign w:val="center"/>
          </w:tcPr>
          <w:p w14:paraId="2539DAC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d</w:t>
            </w:r>
          </w:p>
        </w:tc>
      </w:tr>
      <w:tr w:rsidR="003E5BF5" w:rsidRPr="00E273FC" w14:paraId="363754B1" w14:textId="77777777" w:rsidTr="000A0855">
        <w:trPr>
          <w:trHeight w:val="340"/>
        </w:trPr>
        <w:tc>
          <w:tcPr>
            <w:tcW w:w="3544" w:type="dxa"/>
            <w:shd w:val="clear" w:color="auto" w:fill="auto"/>
            <w:tcMar>
              <w:left w:w="57" w:type="dxa"/>
              <w:right w:w="57" w:type="dxa"/>
            </w:tcMar>
            <w:vAlign w:val="center"/>
          </w:tcPr>
          <w:p w14:paraId="0C4C90D1"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receipts</w:t>
            </w:r>
          </w:p>
        </w:tc>
        <w:tc>
          <w:tcPr>
            <w:tcW w:w="1399" w:type="dxa"/>
            <w:shd w:val="clear" w:color="auto" w:fill="auto"/>
            <w:vAlign w:val="center"/>
          </w:tcPr>
          <w:p w14:paraId="705C697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8,686.3 </w:t>
            </w:r>
          </w:p>
        </w:tc>
        <w:tc>
          <w:tcPr>
            <w:tcW w:w="1261" w:type="dxa"/>
            <w:shd w:val="clear" w:color="auto" w:fill="auto"/>
            <w:tcMar>
              <w:left w:w="57" w:type="dxa"/>
              <w:right w:w="57" w:type="dxa"/>
            </w:tcMar>
            <w:vAlign w:val="center"/>
          </w:tcPr>
          <w:p w14:paraId="24477F6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8,423.0 </w:t>
            </w:r>
          </w:p>
        </w:tc>
        <w:tc>
          <w:tcPr>
            <w:tcW w:w="742" w:type="dxa"/>
            <w:shd w:val="clear" w:color="auto" w:fill="auto"/>
            <w:tcMar>
              <w:left w:w="57" w:type="dxa"/>
              <w:right w:w="57" w:type="dxa"/>
            </w:tcMar>
            <w:vAlign w:val="center"/>
          </w:tcPr>
          <w:p w14:paraId="65F0809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263.3 </w:t>
            </w:r>
          </w:p>
        </w:tc>
        <w:tc>
          <w:tcPr>
            <w:tcW w:w="1345" w:type="dxa"/>
            <w:shd w:val="clear" w:color="auto" w:fill="auto"/>
            <w:tcMar>
              <w:left w:w="57" w:type="dxa"/>
              <w:right w:w="57" w:type="dxa"/>
            </w:tcMar>
            <w:vAlign w:val="center"/>
          </w:tcPr>
          <w:p w14:paraId="568214B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3%</w:t>
            </w:r>
          </w:p>
        </w:tc>
        <w:tc>
          <w:tcPr>
            <w:tcW w:w="781" w:type="dxa"/>
            <w:shd w:val="clear" w:color="auto" w:fill="auto"/>
            <w:tcMar>
              <w:left w:w="57" w:type="dxa"/>
              <w:right w:w="57" w:type="dxa"/>
            </w:tcMar>
            <w:vAlign w:val="center"/>
          </w:tcPr>
          <w:p w14:paraId="5760C375" w14:textId="77777777" w:rsidR="003E5BF5" w:rsidRPr="00E273FC" w:rsidRDefault="003E5BF5" w:rsidP="00DE1921">
            <w:pPr>
              <w:pStyle w:val="TableTextRightBold"/>
              <w:rPr>
                <w:rFonts w:ascii="Arial" w:hAnsi="Arial" w:cs="Arial"/>
                <w:sz w:val="24"/>
                <w:szCs w:val="24"/>
              </w:rPr>
            </w:pPr>
            <w:r w:rsidRPr="00E273FC">
              <w:rPr>
                <w:rFonts w:ascii="Arial" w:hAnsi="Arial" w:cs="Arial"/>
                <w:b w:val="0"/>
                <w:color w:val="000000"/>
                <w:sz w:val="24"/>
                <w:szCs w:val="24"/>
              </w:rPr>
              <w:t> </w:t>
            </w:r>
          </w:p>
        </w:tc>
      </w:tr>
      <w:tr w:rsidR="003E5BF5" w:rsidRPr="00E273FC" w14:paraId="2083968F" w14:textId="77777777" w:rsidTr="000A0855">
        <w:trPr>
          <w:trHeight w:val="340"/>
        </w:trPr>
        <w:tc>
          <w:tcPr>
            <w:tcW w:w="3544" w:type="dxa"/>
            <w:shd w:val="clear" w:color="auto" w:fill="auto"/>
            <w:tcMar>
              <w:left w:w="57" w:type="dxa"/>
              <w:right w:w="57" w:type="dxa"/>
            </w:tcMar>
            <w:vAlign w:val="center"/>
          </w:tcPr>
          <w:p w14:paraId="03B8E771" w14:textId="77777777" w:rsidR="003E5BF5" w:rsidRPr="00E273FC" w:rsidRDefault="003E5BF5" w:rsidP="00604703">
            <w:pPr>
              <w:pStyle w:val="TableTextGreen"/>
            </w:pPr>
            <w:r w:rsidRPr="00E273FC">
              <w:t>Payments</w:t>
            </w:r>
          </w:p>
        </w:tc>
        <w:tc>
          <w:tcPr>
            <w:tcW w:w="1399" w:type="dxa"/>
            <w:shd w:val="clear" w:color="auto" w:fill="auto"/>
            <w:vAlign w:val="center"/>
          </w:tcPr>
          <w:p w14:paraId="6793850F" w14:textId="77777777" w:rsidR="003E5BF5" w:rsidRPr="00E273FC" w:rsidRDefault="003E5BF5" w:rsidP="00DE1921">
            <w:pPr>
              <w:pStyle w:val="TableTextRight"/>
              <w:rPr>
                <w:rFonts w:ascii="Arial" w:hAnsi="Arial" w:cs="Arial"/>
                <w:sz w:val="24"/>
                <w:szCs w:val="24"/>
              </w:rPr>
            </w:pPr>
          </w:p>
        </w:tc>
        <w:tc>
          <w:tcPr>
            <w:tcW w:w="1261" w:type="dxa"/>
            <w:shd w:val="clear" w:color="auto" w:fill="auto"/>
            <w:tcMar>
              <w:left w:w="57" w:type="dxa"/>
              <w:right w:w="57" w:type="dxa"/>
            </w:tcMar>
            <w:vAlign w:val="center"/>
          </w:tcPr>
          <w:p w14:paraId="21647455" w14:textId="77777777" w:rsidR="003E5BF5" w:rsidRPr="00E273FC" w:rsidRDefault="003E5BF5" w:rsidP="00DE1921">
            <w:pPr>
              <w:pStyle w:val="TableTextRight"/>
              <w:rPr>
                <w:rFonts w:ascii="Arial" w:hAnsi="Arial" w:cs="Arial"/>
                <w:sz w:val="24"/>
                <w:szCs w:val="24"/>
              </w:rPr>
            </w:pPr>
          </w:p>
        </w:tc>
        <w:tc>
          <w:tcPr>
            <w:tcW w:w="742" w:type="dxa"/>
            <w:shd w:val="clear" w:color="auto" w:fill="auto"/>
            <w:tcMar>
              <w:left w:w="57" w:type="dxa"/>
              <w:right w:w="57" w:type="dxa"/>
            </w:tcMar>
            <w:vAlign w:val="center"/>
          </w:tcPr>
          <w:p w14:paraId="25CF993A" w14:textId="77777777" w:rsidR="003E5BF5" w:rsidRPr="00E273FC" w:rsidRDefault="003E5BF5" w:rsidP="00DE1921">
            <w:pPr>
              <w:pStyle w:val="TableTextRight"/>
              <w:rPr>
                <w:rFonts w:ascii="Arial" w:hAnsi="Arial" w:cs="Arial"/>
                <w:sz w:val="24"/>
                <w:szCs w:val="24"/>
              </w:rPr>
            </w:pPr>
          </w:p>
        </w:tc>
        <w:tc>
          <w:tcPr>
            <w:tcW w:w="1345" w:type="dxa"/>
            <w:shd w:val="clear" w:color="auto" w:fill="auto"/>
            <w:tcMar>
              <w:left w:w="57" w:type="dxa"/>
              <w:right w:w="57" w:type="dxa"/>
            </w:tcMar>
            <w:vAlign w:val="center"/>
          </w:tcPr>
          <w:p w14:paraId="28361053" w14:textId="77777777" w:rsidR="003E5BF5" w:rsidRPr="00E273FC" w:rsidRDefault="003E5BF5" w:rsidP="00DE1921">
            <w:pPr>
              <w:pStyle w:val="TableTextRight"/>
              <w:rPr>
                <w:rFonts w:ascii="Arial" w:hAnsi="Arial" w:cs="Arial"/>
                <w:sz w:val="24"/>
                <w:szCs w:val="24"/>
              </w:rPr>
            </w:pPr>
          </w:p>
        </w:tc>
        <w:tc>
          <w:tcPr>
            <w:tcW w:w="781" w:type="dxa"/>
            <w:shd w:val="clear" w:color="auto" w:fill="auto"/>
            <w:tcMar>
              <w:left w:w="57" w:type="dxa"/>
              <w:right w:w="57" w:type="dxa"/>
            </w:tcMar>
            <w:vAlign w:val="center"/>
          </w:tcPr>
          <w:p w14:paraId="3D1D1A37" w14:textId="77777777" w:rsidR="003E5BF5" w:rsidRPr="00E273FC" w:rsidRDefault="003E5BF5" w:rsidP="00DE1921">
            <w:pPr>
              <w:pStyle w:val="TableTextRight"/>
              <w:rPr>
                <w:rFonts w:ascii="Arial" w:hAnsi="Arial" w:cs="Arial"/>
                <w:sz w:val="24"/>
                <w:szCs w:val="24"/>
              </w:rPr>
            </w:pPr>
          </w:p>
        </w:tc>
      </w:tr>
      <w:tr w:rsidR="003E5BF5" w:rsidRPr="00E273FC" w14:paraId="064BF5EF" w14:textId="77777777" w:rsidTr="000A0855">
        <w:trPr>
          <w:trHeight w:val="340"/>
        </w:trPr>
        <w:tc>
          <w:tcPr>
            <w:tcW w:w="3544" w:type="dxa"/>
            <w:shd w:val="clear" w:color="auto" w:fill="auto"/>
            <w:tcMar>
              <w:left w:w="57" w:type="dxa"/>
              <w:right w:w="57" w:type="dxa"/>
            </w:tcMar>
            <w:vAlign w:val="center"/>
          </w:tcPr>
          <w:p w14:paraId="7333B8F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Payments of grants and other transfers</w:t>
            </w:r>
          </w:p>
        </w:tc>
        <w:tc>
          <w:tcPr>
            <w:tcW w:w="1399" w:type="dxa"/>
            <w:shd w:val="clear" w:color="auto" w:fill="auto"/>
            <w:vAlign w:val="center"/>
          </w:tcPr>
          <w:p w14:paraId="224C1E2C"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(3,490.4)</w:t>
            </w:r>
          </w:p>
        </w:tc>
        <w:tc>
          <w:tcPr>
            <w:tcW w:w="1261" w:type="dxa"/>
            <w:shd w:val="clear" w:color="auto" w:fill="auto"/>
            <w:tcMar>
              <w:left w:w="57" w:type="dxa"/>
              <w:right w:w="57" w:type="dxa"/>
            </w:tcMar>
            <w:vAlign w:val="center"/>
          </w:tcPr>
          <w:p w14:paraId="5D2E3F3F"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(3,314.0)</w:t>
            </w:r>
          </w:p>
        </w:tc>
        <w:tc>
          <w:tcPr>
            <w:tcW w:w="742" w:type="dxa"/>
            <w:shd w:val="clear" w:color="auto" w:fill="auto"/>
            <w:tcMar>
              <w:left w:w="57" w:type="dxa"/>
              <w:right w:w="57" w:type="dxa"/>
            </w:tcMar>
            <w:vAlign w:val="center"/>
          </w:tcPr>
          <w:p w14:paraId="523D35BE"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(176.4)</w:t>
            </w:r>
          </w:p>
        </w:tc>
        <w:tc>
          <w:tcPr>
            <w:tcW w:w="1345" w:type="dxa"/>
            <w:shd w:val="clear" w:color="auto" w:fill="auto"/>
            <w:tcMar>
              <w:left w:w="57" w:type="dxa"/>
              <w:right w:w="57" w:type="dxa"/>
            </w:tcMar>
            <w:vAlign w:val="center"/>
          </w:tcPr>
          <w:p w14:paraId="11439C68"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5%</w:t>
            </w:r>
          </w:p>
        </w:tc>
        <w:tc>
          <w:tcPr>
            <w:tcW w:w="781" w:type="dxa"/>
            <w:shd w:val="clear" w:color="auto" w:fill="auto"/>
            <w:tcMar>
              <w:left w:w="57" w:type="dxa"/>
              <w:right w:w="57" w:type="dxa"/>
            </w:tcMar>
            <w:vAlign w:val="center"/>
          </w:tcPr>
          <w:p w14:paraId="69D4083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e</w:t>
            </w:r>
          </w:p>
        </w:tc>
      </w:tr>
      <w:tr w:rsidR="003E5BF5" w:rsidRPr="00E273FC" w14:paraId="2908D940" w14:textId="77777777" w:rsidTr="000A0855">
        <w:trPr>
          <w:trHeight w:val="340"/>
        </w:trPr>
        <w:tc>
          <w:tcPr>
            <w:tcW w:w="3544" w:type="dxa"/>
            <w:shd w:val="clear" w:color="auto" w:fill="auto"/>
            <w:tcMar>
              <w:left w:w="57" w:type="dxa"/>
              <w:right w:w="57" w:type="dxa"/>
            </w:tcMar>
            <w:vAlign w:val="center"/>
          </w:tcPr>
          <w:p w14:paraId="2B267E0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Payments to suppliers and employees</w:t>
            </w:r>
          </w:p>
        </w:tc>
        <w:tc>
          <w:tcPr>
            <w:tcW w:w="1399" w:type="dxa"/>
            <w:shd w:val="clear" w:color="auto" w:fill="auto"/>
            <w:vAlign w:val="center"/>
          </w:tcPr>
          <w:p w14:paraId="7EBDD930"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(4,532.6)</w:t>
            </w:r>
          </w:p>
        </w:tc>
        <w:tc>
          <w:tcPr>
            <w:tcW w:w="1261" w:type="dxa"/>
            <w:shd w:val="clear" w:color="auto" w:fill="auto"/>
            <w:tcMar>
              <w:left w:w="57" w:type="dxa"/>
              <w:right w:w="57" w:type="dxa"/>
            </w:tcMar>
            <w:vAlign w:val="center"/>
          </w:tcPr>
          <w:p w14:paraId="5441EFF0"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(4,275.0)</w:t>
            </w:r>
          </w:p>
        </w:tc>
        <w:tc>
          <w:tcPr>
            <w:tcW w:w="742" w:type="dxa"/>
            <w:shd w:val="clear" w:color="auto" w:fill="auto"/>
            <w:tcMar>
              <w:left w:w="57" w:type="dxa"/>
              <w:right w:w="57" w:type="dxa"/>
            </w:tcMar>
            <w:vAlign w:val="center"/>
          </w:tcPr>
          <w:p w14:paraId="009E9A71"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(257.6)</w:t>
            </w:r>
          </w:p>
        </w:tc>
        <w:tc>
          <w:tcPr>
            <w:tcW w:w="1345" w:type="dxa"/>
            <w:shd w:val="clear" w:color="auto" w:fill="auto"/>
            <w:tcMar>
              <w:left w:w="57" w:type="dxa"/>
              <w:right w:w="57" w:type="dxa"/>
            </w:tcMar>
            <w:vAlign w:val="center"/>
          </w:tcPr>
          <w:p w14:paraId="5F9782C4"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6%</w:t>
            </w:r>
          </w:p>
        </w:tc>
        <w:tc>
          <w:tcPr>
            <w:tcW w:w="781" w:type="dxa"/>
            <w:shd w:val="clear" w:color="auto" w:fill="auto"/>
            <w:tcMar>
              <w:left w:w="57" w:type="dxa"/>
              <w:right w:w="57" w:type="dxa"/>
            </w:tcMar>
            <w:vAlign w:val="center"/>
          </w:tcPr>
          <w:p w14:paraId="52808F5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f</w:t>
            </w:r>
          </w:p>
        </w:tc>
      </w:tr>
      <w:tr w:rsidR="003E5BF5" w:rsidRPr="00E273FC" w14:paraId="5B410F28" w14:textId="77777777" w:rsidTr="000A0855">
        <w:trPr>
          <w:trHeight w:val="340"/>
        </w:trPr>
        <w:tc>
          <w:tcPr>
            <w:tcW w:w="3544" w:type="dxa"/>
            <w:shd w:val="clear" w:color="auto" w:fill="auto"/>
            <w:tcMar>
              <w:left w:w="57" w:type="dxa"/>
              <w:right w:w="57" w:type="dxa"/>
            </w:tcMar>
            <w:vAlign w:val="center"/>
          </w:tcPr>
          <w:p w14:paraId="5383266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Goods and Services Tax paid to the ATO</w:t>
            </w:r>
          </w:p>
        </w:tc>
        <w:tc>
          <w:tcPr>
            <w:tcW w:w="1399" w:type="dxa"/>
            <w:shd w:val="clear" w:color="auto" w:fill="auto"/>
            <w:vAlign w:val="center"/>
          </w:tcPr>
          <w:p w14:paraId="6964C8BB"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(1.3)</w:t>
            </w:r>
          </w:p>
        </w:tc>
        <w:tc>
          <w:tcPr>
            <w:tcW w:w="1261" w:type="dxa"/>
            <w:shd w:val="clear" w:color="auto" w:fill="auto"/>
            <w:tcMar>
              <w:left w:w="57" w:type="dxa"/>
              <w:right w:w="57" w:type="dxa"/>
            </w:tcMar>
            <w:vAlign w:val="center"/>
          </w:tcPr>
          <w:p w14:paraId="5A75982E"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 - </w:t>
            </w:r>
          </w:p>
        </w:tc>
        <w:tc>
          <w:tcPr>
            <w:tcW w:w="742" w:type="dxa"/>
            <w:shd w:val="clear" w:color="auto" w:fill="auto"/>
            <w:tcMar>
              <w:left w:w="57" w:type="dxa"/>
              <w:right w:w="57" w:type="dxa"/>
            </w:tcMar>
            <w:vAlign w:val="center"/>
          </w:tcPr>
          <w:p w14:paraId="6C5C0C47"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(1.3)</w:t>
            </w:r>
          </w:p>
        </w:tc>
        <w:tc>
          <w:tcPr>
            <w:tcW w:w="1345" w:type="dxa"/>
            <w:shd w:val="clear" w:color="auto" w:fill="auto"/>
            <w:tcMar>
              <w:left w:w="57" w:type="dxa"/>
              <w:right w:w="57" w:type="dxa"/>
            </w:tcMar>
            <w:vAlign w:val="center"/>
          </w:tcPr>
          <w:p w14:paraId="224FEB64"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100%</w:t>
            </w:r>
          </w:p>
        </w:tc>
        <w:tc>
          <w:tcPr>
            <w:tcW w:w="781" w:type="dxa"/>
            <w:shd w:val="clear" w:color="auto" w:fill="auto"/>
            <w:tcMar>
              <w:left w:w="57" w:type="dxa"/>
              <w:right w:w="57" w:type="dxa"/>
            </w:tcMar>
            <w:vAlign w:val="center"/>
          </w:tcPr>
          <w:p w14:paraId="6F062EDF" w14:textId="77777777" w:rsidR="003E5BF5" w:rsidRPr="00E273FC" w:rsidRDefault="003E5BF5" w:rsidP="00DE1921">
            <w:pPr>
              <w:pStyle w:val="TableTextRight"/>
              <w:rPr>
                <w:rFonts w:ascii="Arial" w:hAnsi="Arial" w:cs="Arial"/>
                <w:sz w:val="24"/>
                <w:szCs w:val="24"/>
              </w:rPr>
            </w:pPr>
          </w:p>
        </w:tc>
      </w:tr>
      <w:tr w:rsidR="003E5BF5" w:rsidRPr="00E273FC" w14:paraId="266F95C3" w14:textId="77777777" w:rsidTr="000A0855">
        <w:trPr>
          <w:trHeight w:val="340"/>
        </w:trPr>
        <w:tc>
          <w:tcPr>
            <w:tcW w:w="3544" w:type="dxa"/>
            <w:shd w:val="clear" w:color="auto" w:fill="auto"/>
            <w:tcMar>
              <w:left w:w="57" w:type="dxa"/>
              <w:right w:w="57" w:type="dxa"/>
            </w:tcMar>
            <w:vAlign w:val="center"/>
          </w:tcPr>
          <w:p w14:paraId="69EF4BF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Capital asset charge</w:t>
            </w:r>
          </w:p>
        </w:tc>
        <w:tc>
          <w:tcPr>
            <w:tcW w:w="1399" w:type="dxa"/>
            <w:shd w:val="clear" w:color="auto" w:fill="auto"/>
            <w:vAlign w:val="center"/>
          </w:tcPr>
          <w:p w14:paraId="1C424C27"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(78.0)</w:t>
            </w:r>
          </w:p>
        </w:tc>
        <w:tc>
          <w:tcPr>
            <w:tcW w:w="1261" w:type="dxa"/>
            <w:shd w:val="clear" w:color="auto" w:fill="auto"/>
            <w:tcMar>
              <w:left w:w="57" w:type="dxa"/>
              <w:right w:w="57" w:type="dxa"/>
            </w:tcMar>
            <w:vAlign w:val="center"/>
          </w:tcPr>
          <w:p w14:paraId="36702C97"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(78.0)</w:t>
            </w:r>
          </w:p>
        </w:tc>
        <w:tc>
          <w:tcPr>
            <w:tcW w:w="742" w:type="dxa"/>
            <w:shd w:val="clear" w:color="auto" w:fill="auto"/>
            <w:tcMar>
              <w:left w:w="57" w:type="dxa"/>
              <w:right w:w="57" w:type="dxa"/>
            </w:tcMar>
            <w:vAlign w:val="center"/>
          </w:tcPr>
          <w:p w14:paraId="086B6E15"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w:t>
            </w:r>
          </w:p>
        </w:tc>
        <w:tc>
          <w:tcPr>
            <w:tcW w:w="1345" w:type="dxa"/>
            <w:shd w:val="clear" w:color="auto" w:fill="auto"/>
            <w:tcMar>
              <w:left w:w="57" w:type="dxa"/>
              <w:right w:w="57" w:type="dxa"/>
            </w:tcMar>
            <w:vAlign w:val="center"/>
          </w:tcPr>
          <w:p w14:paraId="1C6ACB36"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w:t>
            </w:r>
          </w:p>
        </w:tc>
        <w:tc>
          <w:tcPr>
            <w:tcW w:w="781" w:type="dxa"/>
            <w:shd w:val="clear" w:color="auto" w:fill="auto"/>
            <w:tcMar>
              <w:left w:w="57" w:type="dxa"/>
              <w:right w:w="57" w:type="dxa"/>
            </w:tcMar>
            <w:vAlign w:val="center"/>
          </w:tcPr>
          <w:p w14:paraId="48029735" w14:textId="77777777" w:rsidR="003E5BF5" w:rsidRPr="00E273FC" w:rsidRDefault="003E5BF5" w:rsidP="00DE1921">
            <w:pPr>
              <w:pStyle w:val="TableTextRight"/>
              <w:rPr>
                <w:rFonts w:ascii="Arial" w:hAnsi="Arial" w:cs="Arial"/>
                <w:sz w:val="24"/>
                <w:szCs w:val="24"/>
              </w:rPr>
            </w:pPr>
          </w:p>
        </w:tc>
      </w:tr>
      <w:tr w:rsidR="003E5BF5" w:rsidRPr="00E273FC" w14:paraId="7499948A" w14:textId="77777777" w:rsidTr="000A0855">
        <w:trPr>
          <w:trHeight w:val="340"/>
        </w:trPr>
        <w:tc>
          <w:tcPr>
            <w:tcW w:w="3544" w:type="dxa"/>
            <w:shd w:val="clear" w:color="auto" w:fill="auto"/>
            <w:tcMar>
              <w:left w:w="57" w:type="dxa"/>
              <w:right w:w="57" w:type="dxa"/>
            </w:tcMar>
            <w:vAlign w:val="center"/>
          </w:tcPr>
          <w:p w14:paraId="21D11496"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Interest and other costs of finance</w:t>
            </w:r>
          </w:p>
        </w:tc>
        <w:tc>
          <w:tcPr>
            <w:tcW w:w="1399" w:type="dxa"/>
            <w:shd w:val="clear" w:color="auto" w:fill="auto"/>
            <w:vAlign w:val="center"/>
          </w:tcPr>
          <w:p w14:paraId="6D0F818D"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(134.7)</w:t>
            </w:r>
          </w:p>
        </w:tc>
        <w:tc>
          <w:tcPr>
            <w:tcW w:w="1261" w:type="dxa"/>
            <w:shd w:val="clear" w:color="auto" w:fill="auto"/>
            <w:tcMar>
              <w:left w:w="57" w:type="dxa"/>
              <w:right w:w="57" w:type="dxa"/>
            </w:tcMar>
            <w:vAlign w:val="center"/>
          </w:tcPr>
          <w:p w14:paraId="06E9EDDF"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(21.0)</w:t>
            </w:r>
          </w:p>
        </w:tc>
        <w:tc>
          <w:tcPr>
            <w:tcW w:w="742" w:type="dxa"/>
            <w:shd w:val="clear" w:color="auto" w:fill="auto"/>
            <w:tcMar>
              <w:left w:w="57" w:type="dxa"/>
              <w:right w:w="57" w:type="dxa"/>
            </w:tcMar>
            <w:vAlign w:val="center"/>
          </w:tcPr>
          <w:p w14:paraId="57572A00"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(113.7)</w:t>
            </w:r>
          </w:p>
        </w:tc>
        <w:tc>
          <w:tcPr>
            <w:tcW w:w="1345" w:type="dxa"/>
            <w:shd w:val="clear" w:color="auto" w:fill="auto"/>
            <w:tcMar>
              <w:left w:w="57" w:type="dxa"/>
              <w:right w:w="57" w:type="dxa"/>
            </w:tcMar>
            <w:vAlign w:val="center"/>
          </w:tcPr>
          <w:p w14:paraId="45F31F5C"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&gt; 100%</w:t>
            </w:r>
          </w:p>
        </w:tc>
        <w:tc>
          <w:tcPr>
            <w:tcW w:w="781" w:type="dxa"/>
            <w:shd w:val="clear" w:color="auto" w:fill="auto"/>
            <w:tcMar>
              <w:left w:w="57" w:type="dxa"/>
              <w:right w:w="57" w:type="dxa"/>
            </w:tcMar>
            <w:vAlign w:val="center"/>
          </w:tcPr>
          <w:p w14:paraId="1B06F2B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g</w:t>
            </w:r>
          </w:p>
        </w:tc>
      </w:tr>
      <w:tr w:rsidR="003E5BF5" w:rsidRPr="00E273FC" w14:paraId="6CDECBCC" w14:textId="77777777" w:rsidTr="000A0855">
        <w:trPr>
          <w:trHeight w:val="340"/>
        </w:trPr>
        <w:tc>
          <w:tcPr>
            <w:tcW w:w="3544" w:type="dxa"/>
            <w:shd w:val="clear" w:color="auto" w:fill="auto"/>
            <w:tcMar>
              <w:left w:w="57" w:type="dxa"/>
              <w:right w:w="57" w:type="dxa"/>
            </w:tcMar>
            <w:vAlign w:val="center"/>
          </w:tcPr>
          <w:p w14:paraId="42E47854"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payments</w:t>
            </w:r>
          </w:p>
        </w:tc>
        <w:tc>
          <w:tcPr>
            <w:tcW w:w="1399" w:type="dxa"/>
            <w:shd w:val="clear" w:color="auto" w:fill="auto"/>
            <w:vAlign w:val="center"/>
          </w:tcPr>
          <w:p w14:paraId="51E914A4"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(8,237.0)</w:t>
            </w:r>
          </w:p>
        </w:tc>
        <w:tc>
          <w:tcPr>
            <w:tcW w:w="1261" w:type="dxa"/>
            <w:shd w:val="clear" w:color="auto" w:fill="auto"/>
            <w:tcMar>
              <w:left w:w="57" w:type="dxa"/>
              <w:right w:w="57" w:type="dxa"/>
            </w:tcMar>
            <w:vAlign w:val="center"/>
          </w:tcPr>
          <w:p w14:paraId="75C9C785"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(7,688.0)</w:t>
            </w:r>
          </w:p>
        </w:tc>
        <w:tc>
          <w:tcPr>
            <w:tcW w:w="742" w:type="dxa"/>
            <w:shd w:val="clear" w:color="auto" w:fill="auto"/>
            <w:tcMar>
              <w:left w:w="57" w:type="dxa"/>
              <w:right w:w="57" w:type="dxa"/>
            </w:tcMar>
            <w:vAlign w:val="center"/>
          </w:tcPr>
          <w:p w14:paraId="58F82164"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(549.0)</w:t>
            </w:r>
          </w:p>
        </w:tc>
        <w:tc>
          <w:tcPr>
            <w:tcW w:w="1345" w:type="dxa"/>
            <w:shd w:val="clear" w:color="auto" w:fill="auto"/>
            <w:tcMar>
              <w:left w:w="57" w:type="dxa"/>
              <w:right w:w="57" w:type="dxa"/>
            </w:tcMar>
            <w:vAlign w:val="center"/>
          </w:tcPr>
          <w:p w14:paraId="4225DEB5"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7%</w:t>
            </w:r>
          </w:p>
        </w:tc>
        <w:tc>
          <w:tcPr>
            <w:tcW w:w="781" w:type="dxa"/>
            <w:shd w:val="clear" w:color="auto" w:fill="auto"/>
            <w:tcMar>
              <w:left w:w="57" w:type="dxa"/>
              <w:right w:w="57" w:type="dxa"/>
            </w:tcMar>
            <w:vAlign w:val="center"/>
          </w:tcPr>
          <w:p w14:paraId="41DD9661" w14:textId="77777777" w:rsidR="003E5BF5" w:rsidRPr="00E273FC" w:rsidRDefault="003E5BF5" w:rsidP="00DE1921">
            <w:pPr>
              <w:pStyle w:val="TableTextRightBold"/>
              <w:rPr>
                <w:rFonts w:ascii="Arial" w:hAnsi="Arial" w:cs="Arial"/>
                <w:sz w:val="24"/>
                <w:szCs w:val="24"/>
              </w:rPr>
            </w:pPr>
          </w:p>
        </w:tc>
      </w:tr>
      <w:tr w:rsidR="003E5BF5" w:rsidRPr="00E273FC" w14:paraId="19167FB3" w14:textId="77777777" w:rsidTr="000A0855">
        <w:trPr>
          <w:trHeight w:val="340"/>
        </w:trPr>
        <w:tc>
          <w:tcPr>
            <w:tcW w:w="3544" w:type="dxa"/>
            <w:shd w:val="clear" w:color="auto" w:fill="auto"/>
            <w:tcMar>
              <w:left w:w="57" w:type="dxa"/>
              <w:right w:w="57" w:type="dxa"/>
            </w:tcMar>
            <w:vAlign w:val="center"/>
          </w:tcPr>
          <w:p w14:paraId="3A3D32AB"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Net cash flows from operating activities</w:t>
            </w:r>
          </w:p>
        </w:tc>
        <w:tc>
          <w:tcPr>
            <w:tcW w:w="1399" w:type="dxa"/>
            <w:shd w:val="clear" w:color="auto" w:fill="auto"/>
            <w:vAlign w:val="center"/>
          </w:tcPr>
          <w:p w14:paraId="58CD90C7"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 xml:space="preserve">449.3 </w:t>
            </w:r>
          </w:p>
        </w:tc>
        <w:tc>
          <w:tcPr>
            <w:tcW w:w="1261" w:type="dxa"/>
            <w:shd w:val="clear" w:color="auto" w:fill="auto"/>
            <w:tcMar>
              <w:left w:w="57" w:type="dxa"/>
              <w:right w:w="57" w:type="dxa"/>
            </w:tcMar>
            <w:vAlign w:val="center"/>
          </w:tcPr>
          <w:p w14:paraId="61380725"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 xml:space="preserve">734.0 </w:t>
            </w:r>
          </w:p>
        </w:tc>
        <w:tc>
          <w:tcPr>
            <w:tcW w:w="742" w:type="dxa"/>
            <w:shd w:val="clear" w:color="auto" w:fill="auto"/>
            <w:tcMar>
              <w:left w:w="57" w:type="dxa"/>
              <w:right w:w="57" w:type="dxa"/>
            </w:tcMar>
            <w:vAlign w:val="center"/>
          </w:tcPr>
          <w:p w14:paraId="3D770303"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(285.7)</w:t>
            </w:r>
          </w:p>
        </w:tc>
        <w:tc>
          <w:tcPr>
            <w:tcW w:w="1345" w:type="dxa"/>
            <w:shd w:val="clear" w:color="auto" w:fill="auto"/>
            <w:tcMar>
              <w:left w:w="57" w:type="dxa"/>
              <w:right w:w="57" w:type="dxa"/>
            </w:tcMar>
            <w:vAlign w:val="center"/>
          </w:tcPr>
          <w:p w14:paraId="19BB6B80"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(39) %</w:t>
            </w:r>
          </w:p>
        </w:tc>
        <w:tc>
          <w:tcPr>
            <w:tcW w:w="781" w:type="dxa"/>
            <w:shd w:val="clear" w:color="auto" w:fill="auto"/>
            <w:tcMar>
              <w:left w:w="57" w:type="dxa"/>
              <w:right w:w="57" w:type="dxa"/>
            </w:tcMar>
            <w:vAlign w:val="center"/>
          </w:tcPr>
          <w:p w14:paraId="4617C612" w14:textId="77777777" w:rsidR="003E5BF5" w:rsidRPr="00E273FC" w:rsidRDefault="003E5BF5" w:rsidP="00DE1921">
            <w:pPr>
              <w:pStyle w:val="TableTextRightBold"/>
              <w:rPr>
                <w:rFonts w:ascii="Arial" w:hAnsi="Arial" w:cs="Arial"/>
                <w:sz w:val="24"/>
                <w:szCs w:val="24"/>
              </w:rPr>
            </w:pPr>
          </w:p>
        </w:tc>
      </w:tr>
      <w:tr w:rsidR="003E5BF5" w:rsidRPr="00E273FC" w14:paraId="63651BE7" w14:textId="77777777" w:rsidTr="000A0855">
        <w:trPr>
          <w:trHeight w:val="340"/>
        </w:trPr>
        <w:tc>
          <w:tcPr>
            <w:tcW w:w="3544" w:type="dxa"/>
            <w:shd w:val="clear" w:color="auto" w:fill="auto"/>
            <w:tcMar>
              <w:left w:w="57" w:type="dxa"/>
              <w:right w:w="57" w:type="dxa"/>
            </w:tcMar>
            <w:vAlign w:val="center"/>
          </w:tcPr>
          <w:p w14:paraId="0F2DC3BB" w14:textId="77777777" w:rsidR="003E5BF5" w:rsidRPr="00E273FC" w:rsidRDefault="003E5BF5" w:rsidP="00604703">
            <w:pPr>
              <w:pStyle w:val="TableTextGreen"/>
            </w:pPr>
            <w:r w:rsidRPr="00E273FC">
              <w:t>Cash flows from investing activities</w:t>
            </w:r>
          </w:p>
        </w:tc>
        <w:tc>
          <w:tcPr>
            <w:tcW w:w="1399" w:type="dxa"/>
            <w:shd w:val="clear" w:color="auto" w:fill="auto"/>
            <w:vAlign w:val="center"/>
          </w:tcPr>
          <w:p w14:paraId="69BA9E45" w14:textId="77777777" w:rsidR="003E5BF5" w:rsidRPr="00E273FC" w:rsidRDefault="003E5BF5" w:rsidP="00DE1921">
            <w:pPr>
              <w:pStyle w:val="TableTextRight"/>
              <w:rPr>
                <w:rFonts w:ascii="Arial" w:hAnsi="Arial" w:cs="Arial"/>
                <w:sz w:val="24"/>
                <w:szCs w:val="24"/>
              </w:rPr>
            </w:pPr>
          </w:p>
        </w:tc>
        <w:tc>
          <w:tcPr>
            <w:tcW w:w="1261" w:type="dxa"/>
            <w:shd w:val="clear" w:color="auto" w:fill="auto"/>
            <w:tcMar>
              <w:left w:w="57" w:type="dxa"/>
              <w:right w:w="57" w:type="dxa"/>
            </w:tcMar>
            <w:vAlign w:val="center"/>
          </w:tcPr>
          <w:p w14:paraId="3756A5E4" w14:textId="77777777" w:rsidR="003E5BF5" w:rsidRPr="00E273FC" w:rsidRDefault="003E5BF5" w:rsidP="00DE1921">
            <w:pPr>
              <w:pStyle w:val="TableTextRight"/>
              <w:rPr>
                <w:rFonts w:ascii="Arial" w:hAnsi="Arial" w:cs="Arial"/>
                <w:sz w:val="24"/>
                <w:szCs w:val="24"/>
              </w:rPr>
            </w:pPr>
          </w:p>
        </w:tc>
        <w:tc>
          <w:tcPr>
            <w:tcW w:w="742" w:type="dxa"/>
            <w:shd w:val="clear" w:color="auto" w:fill="auto"/>
            <w:tcMar>
              <w:left w:w="57" w:type="dxa"/>
              <w:right w:w="57" w:type="dxa"/>
            </w:tcMar>
            <w:vAlign w:val="center"/>
          </w:tcPr>
          <w:p w14:paraId="1226FA17" w14:textId="77777777" w:rsidR="003E5BF5" w:rsidRPr="00E273FC" w:rsidRDefault="003E5BF5" w:rsidP="00DE1921">
            <w:pPr>
              <w:pStyle w:val="TableTextRight"/>
              <w:rPr>
                <w:rFonts w:ascii="Arial" w:hAnsi="Arial" w:cs="Arial"/>
                <w:sz w:val="24"/>
                <w:szCs w:val="24"/>
              </w:rPr>
            </w:pPr>
          </w:p>
        </w:tc>
        <w:tc>
          <w:tcPr>
            <w:tcW w:w="1345" w:type="dxa"/>
            <w:shd w:val="clear" w:color="auto" w:fill="auto"/>
            <w:tcMar>
              <w:left w:w="57" w:type="dxa"/>
              <w:right w:w="57" w:type="dxa"/>
            </w:tcMar>
            <w:vAlign w:val="center"/>
          </w:tcPr>
          <w:p w14:paraId="7C550B29" w14:textId="77777777" w:rsidR="003E5BF5" w:rsidRPr="00E273FC" w:rsidRDefault="003E5BF5" w:rsidP="00DE1921">
            <w:pPr>
              <w:pStyle w:val="TableTextRight"/>
              <w:rPr>
                <w:rFonts w:ascii="Arial" w:hAnsi="Arial" w:cs="Arial"/>
                <w:sz w:val="24"/>
                <w:szCs w:val="24"/>
              </w:rPr>
            </w:pPr>
          </w:p>
        </w:tc>
        <w:tc>
          <w:tcPr>
            <w:tcW w:w="781" w:type="dxa"/>
            <w:shd w:val="clear" w:color="auto" w:fill="auto"/>
            <w:tcMar>
              <w:left w:w="57" w:type="dxa"/>
              <w:right w:w="57" w:type="dxa"/>
            </w:tcMar>
            <w:vAlign w:val="center"/>
          </w:tcPr>
          <w:p w14:paraId="659A16AF" w14:textId="77777777" w:rsidR="003E5BF5" w:rsidRPr="00E273FC" w:rsidRDefault="003E5BF5" w:rsidP="00DE1921">
            <w:pPr>
              <w:pStyle w:val="TableTextRight"/>
              <w:rPr>
                <w:rFonts w:ascii="Arial" w:hAnsi="Arial" w:cs="Arial"/>
                <w:sz w:val="24"/>
                <w:szCs w:val="24"/>
              </w:rPr>
            </w:pPr>
          </w:p>
        </w:tc>
      </w:tr>
      <w:tr w:rsidR="003E5BF5" w:rsidRPr="00E273FC" w14:paraId="6D2CE268" w14:textId="77777777" w:rsidTr="000A0855">
        <w:trPr>
          <w:trHeight w:val="340"/>
        </w:trPr>
        <w:tc>
          <w:tcPr>
            <w:tcW w:w="3544" w:type="dxa"/>
            <w:shd w:val="clear" w:color="auto" w:fill="auto"/>
            <w:tcMar>
              <w:left w:w="57" w:type="dxa"/>
              <w:right w:w="57" w:type="dxa"/>
            </w:tcMar>
            <w:vAlign w:val="center"/>
          </w:tcPr>
          <w:p w14:paraId="38EC4F1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Payments for non-financial assets</w:t>
            </w:r>
          </w:p>
        </w:tc>
        <w:tc>
          <w:tcPr>
            <w:tcW w:w="1399" w:type="dxa"/>
            <w:shd w:val="clear" w:color="auto" w:fill="auto"/>
            <w:vAlign w:val="center"/>
          </w:tcPr>
          <w:p w14:paraId="5CA263CB"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(6,075.7)</w:t>
            </w:r>
          </w:p>
        </w:tc>
        <w:tc>
          <w:tcPr>
            <w:tcW w:w="1261" w:type="dxa"/>
            <w:shd w:val="clear" w:color="auto" w:fill="auto"/>
            <w:tcMar>
              <w:left w:w="57" w:type="dxa"/>
              <w:right w:w="57" w:type="dxa"/>
            </w:tcMar>
            <w:vAlign w:val="center"/>
          </w:tcPr>
          <w:p w14:paraId="5CDB3F0E"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(6,824.0)</w:t>
            </w:r>
          </w:p>
        </w:tc>
        <w:tc>
          <w:tcPr>
            <w:tcW w:w="742" w:type="dxa"/>
            <w:shd w:val="clear" w:color="auto" w:fill="auto"/>
            <w:tcMar>
              <w:left w:w="57" w:type="dxa"/>
              <w:right w:w="57" w:type="dxa"/>
            </w:tcMar>
            <w:vAlign w:val="center"/>
          </w:tcPr>
          <w:p w14:paraId="620EF3E5"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748.3 </w:t>
            </w:r>
          </w:p>
        </w:tc>
        <w:tc>
          <w:tcPr>
            <w:tcW w:w="1345" w:type="dxa"/>
            <w:shd w:val="clear" w:color="auto" w:fill="auto"/>
            <w:tcMar>
              <w:left w:w="57" w:type="dxa"/>
              <w:right w:w="57" w:type="dxa"/>
            </w:tcMar>
            <w:vAlign w:val="center"/>
          </w:tcPr>
          <w:p w14:paraId="72AF8309"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(11) %</w:t>
            </w:r>
          </w:p>
        </w:tc>
        <w:tc>
          <w:tcPr>
            <w:tcW w:w="781" w:type="dxa"/>
            <w:shd w:val="clear" w:color="auto" w:fill="auto"/>
            <w:tcMar>
              <w:left w:w="57" w:type="dxa"/>
              <w:right w:w="57" w:type="dxa"/>
            </w:tcMar>
            <w:vAlign w:val="center"/>
          </w:tcPr>
          <w:p w14:paraId="5242F138"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h</w:t>
            </w:r>
          </w:p>
        </w:tc>
      </w:tr>
      <w:tr w:rsidR="003E5BF5" w:rsidRPr="00E273FC" w14:paraId="2B6C96CB" w14:textId="77777777" w:rsidTr="000A0855">
        <w:trPr>
          <w:trHeight w:val="340"/>
        </w:trPr>
        <w:tc>
          <w:tcPr>
            <w:tcW w:w="3544" w:type="dxa"/>
            <w:shd w:val="clear" w:color="auto" w:fill="auto"/>
            <w:tcMar>
              <w:left w:w="57" w:type="dxa"/>
              <w:right w:w="57" w:type="dxa"/>
            </w:tcMar>
            <w:vAlign w:val="center"/>
          </w:tcPr>
          <w:p w14:paraId="6DF6B3A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Proceeds from sale of non-financial assets</w:t>
            </w:r>
          </w:p>
        </w:tc>
        <w:tc>
          <w:tcPr>
            <w:tcW w:w="1399" w:type="dxa"/>
            <w:shd w:val="clear" w:color="auto" w:fill="auto"/>
            <w:vAlign w:val="center"/>
          </w:tcPr>
          <w:p w14:paraId="2C5701E2"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2.9 </w:t>
            </w:r>
          </w:p>
        </w:tc>
        <w:tc>
          <w:tcPr>
            <w:tcW w:w="1261" w:type="dxa"/>
            <w:shd w:val="clear" w:color="auto" w:fill="auto"/>
            <w:tcMar>
              <w:left w:w="57" w:type="dxa"/>
              <w:right w:w="57" w:type="dxa"/>
            </w:tcMar>
            <w:vAlign w:val="center"/>
          </w:tcPr>
          <w:p w14:paraId="20F00A74"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 - </w:t>
            </w:r>
          </w:p>
        </w:tc>
        <w:tc>
          <w:tcPr>
            <w:tcW w:w="742" w:type="dxa"/>
            <w:shd w:val="clear" w:color="auto" w:fill="auto"/>
            <w:tcMar>
              <w:left w:w="57" w:type="dxa"/>
              <w:right w:w="57" w:type="dxa"/>
            </w:tcMar>
            <w:vAlign w:val="center"/>
          </w:tcPr>
          <w:p w14:paraId="33CDC554"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2.9 </w:t>
            </w:r>
          </w:p>
        </w:tc>
        <w:tc>
          <w:tcPr>
            <w:tcW w:w="1345" w:type="dxa"/>
            <w:shd w:val="clear" w:color="auto" w:fill="auto"/>
            <w:tcMar>
              <w:left w:w="57" w:type="dxa"/>
              <w:right w:w="57" w:type="dxa"/>
            </w:tcMar>
            <w:vAlign w:val="center"/>
          </w:tcPr>
          <w:p w14:paraId="78180267"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100%</w:t>
            </w:r>
          </w:p>
        </w:tc>
        <w:tc>
          <w:tcPr>
            <w:tcW w:w="781" w:type="dxa"/>
            <w:shd w:val="clear" w:color="auto" w:fill="auto"/>
            <w:tcMar>
              <w:left w:w="57" w:type="dxa"/>
              <w:right w:w="57" w:type="dxa"/>
            </w:tcMar>
            <w:vAlign w:val="center"/>
          </w:tcPr>
          <w:p w14:paraId="4C210FEB"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w:t>
            </w:r>
          </w:p>
        </w:tc>
      </w:tr>
      <w:tr w:rsidR="003E5BF5" w:rsidRPr="00E273FC" w14:paraId="65740C22" w14:textId="77777777" w:rsidTr="000A0855">
        <w:trPr>
          <w:trHeight w:val="340"/>
        </w:trPr>
        <w:tc>
          <w:tcPr>
            <w:tcW w:w="3544" w:type="dxa"/>
            <w:shd w:val="clear" w:color="auto" w:fill="auto"/>
            <w:tcMar>
              <w:left w:w="57" w:type="dxa"/>
              <w:right w:w="57" w:type="dxa"/>
            </w:tcMar>
            <w:vAlign w:val="center"/>
          </w:tcPr>
          <w:p w14:paraId="7FE1BD36"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Net loans to other parties</w:t>
            </w:r>
          </w:p>
        </w:tc>
        <w:tc>
          <w:tcPr>
            <w:tcW w:w="1399" w:type="dxa"/>
            <w:shd w:val="clear" w:color="auto" w:fill="auto"/>
            <w:vAlign w:val="center"/>
          </w:tcPr>
          <w:p w14:paraId="1224CE29"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(24.7)</w:t>
            </w:r>
          </w:p>
        </w:tc>
        <w:tc>
          <w:tcPr>
            <w:tcW w:w="1261" w:type="dxa"/>
            <w:shd w:val="clear" w:color="auto" w:fill="auto"/>
            <w:tcMar>
              <w:left w:w="57" w:type="dxa"/>
              <w:right w:w="57" w:type="dxa"/>
            </w:tcMar>
            <w:vAlign w:val="center"/>
          </w:tcPr>
          <w:p w14:paraId="2905B304"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137.0 </w:t>
            </w:r>
          </w:p>
        </w:tc>
        <w:tc>
          <w:tcPr>
            <w:tcW w:w="742" w:type="dxa"/>
            <w:shd w:val="clear" w:color="auto" w:fill="auto"/>
            <w:tcMar>
              <w:left w:w="57" w:type="dxa"/>
              <w:right w:w="57" w:type="dxa"/>
            </w:tcMar>
            <w:vAlign w:val="center"/>
          </w:tcPr>
          <w:p w14:paraId="5AB17C2A"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(161.7)</w:t>
            </w:r>
          </w:p>
        </w:tc>
        <w:tc>
          <w:tcPr>
            <w:tcW w:w="1345" w:type="dxa"/>
            <w:shd w:val="clear" w:color="auto" w:fill="auto"/>
            <w:tcMar>
              <w:left w:w="57" w:type="dxa"/>
              <w:right w:w="57" w:type="dxa"/>
            </w:tcMar>
            <w:vAlign w:val="center"/>
          </w:tcPr>
          <w:p w14:paraId="65F53DAF"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&gt; (100) %</w:t>
            </w:r>
          </w:p>
        </w:tc>
        <w:tc>
          <w:tcPr>
            <w:tcW w:w="781" w:type="dxa"/>
            <w:shd w:val="clear" w:color="auto" w:fill="auto"/>
            <w:tcMar>
              <w:left w:w="57" w:type="dxa"/>
              <w:right w:w="57" w:type="dxa"/>
            </w:tcMar>
            <w:vAlign w:val="center"/>
          </w:tcPr>
          <w:p w14:paraId="0C4C4808" w14:textId="77777777" w:rsidR="003E5BF5" w:rsidRPr="00E273FC" w:rsidRDefault="003E5BF5" w:rsidP="00DE1921">
            <w:pPr>
              <w:pStyle w:val="TableTextRight"/>
              <w:rPr>
                <w:rFonts w:ascii="Arial" w:hAnsi="Arial" w:cs="Arial"/>
                <w:sz w:val="24"/>
                <w:szCs w:val="24"/>
              </w:rPr>
            </w:pPr>
            <w:proofErr w:type="spellStart"/>
            <w:r w:rsidRPr="00E273FC">
              <w:rPr>
                <w:rFonts w:ascii="Arial" w:hAnsi="Arial" w:cs="Arial"/>
                <w:color w:val="000000"/>
                <w:sz w:val="24"/>
                <w:szCs w:val="24"/>
              </w:rPr>
              <w:t>i</w:t>
            </w:r>
            <w:proofErr w:type="spellEnd"/>
          </w:p>
        </w:tc>
      </w:tr>
      <w:tr w:rsidR="003E5BF5" w:rsidRPr="00E273FC" w14:paraId="140F55C1" w14:textId="77777777" w:rsidTr="000A0855">
        <w:trPr>
          <w:trHeight w:val="340"/>
        </w:trPr>
        <w:tc>
          <w:tcPr>
            <w:tcW w:w="3544" w:type="dxa"/>
            <w:shd w:val="clear" w:color="auto" w:fill="auto"/>
            <w:tcMar>
              <w:left w:w="57" w:type="dxa"/>
              <w:right w:w="57" w:type="dxa"/>
            </w:tcMar>
            <w:vAlign w:val="center"/>
          </w:tcPr>
          <w:p w14:paraId="30025B28"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Net cash flows used in investing activities</w:t>
            </w:r>
          </w:p>
        </w:tc>
        <w:tc>
          <w:tcPr>
            <w:tcW w:w="1399" w:type="dxa"/>
            <w:shd w:val="clear" w:color="auto" w:fill="auto"/>
            <w:vAlign w:val="center"/>
          </w:tcPr>
          <w:p w14:paraId="656FC919"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(6,097.5)</w:t>
            </w:r>
          </w:p>
        </w:tc>
        <w:tc>
          <w:tcPr>
            <w:tcW w:w="1261" w:type="dxa"/>
            <w:shd w:val="clear" w:color="auto" w:fill="auto"/>
            <w:tcMar>
              <w:left w:w="57" w:type="dxa"/>
              <w:right w:w="57" w:type="dxa"/>
            </w:tcMar>
            <w:vAlign w:val="center"/>
          </w:tcPr>
          <w:p w14:paraId="0C82AD6F"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(6,687.0)</w:t>
            </w:r>
          </w:p>
        </w:tc>
        <w:tc>
          <w:tcPr>
            <w:tcW w:w="742" w:type="dxa"/>
            <w:shd w:val="clear" w:color="auto" w:fill="auto"/>
            <w:tcMar>
              <w:left w:w="57" w:type="dxa"/>
              <w:right w:w="57" w:type="dxa"/>
            </w:tcMar>
            <w:vAlign w:val="center"/>
          </w:tcPr>
          <w:p w14:paraId="0C443DA4"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 xml:space="preserve">589.5 </w:t>
            </w:r>
          </w:p>
        </w:tc>
        <w:tc>
          <w:tcPr>
            <w:tcW w:w="1345" w:type="dxa"/>
            <w:shd w:val="clear" w:color="auto" w:fill="auto"/>
            <w:tcMar>
              <w:left w:w="57" w:type="dxa"/>
              <w:right w:w="57" w:type="dxa"/>
            </w:tcMar>
            <w:vAlign w:val="center"/>
          </w:tcPr>
          <w:p w14:paraId="30FD668A"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(9) %</w:t>
            </w:r>
          </w:p>
        </w:tc>
        <w:tc>
          <w:tcPr>
            <w:tcW w:w="781" w:type="dxa"/>
            <w:shd w:val="clear" w:color="auto" w:fill="auto"/>
            <w:tcMar>
              <w:left w:w="57" w:type="dxa"/>
              <w:right w:w="57" w:type="dxa"/>
            </w:tcMar>
            <w:vAlign w:val="center"/>
          </w:tcPr>
          <w:p w14:paraId="04538B30"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 </w:t>
            </w:r>
          </w:p>
        </w:tc>
      </w:tr>
      <w:tr w:rsidR="003E5BF5" w:rsidRPr="00E273FC" w14:paraId="4375EB22" w14:textId="77777777" w:rsidTr="000A0855">
        <w:trPr>
          <w:trHeight w:val="340"/>
        </w:trPr>
        <w:tc>
          <w:tcPr>
            <w:tcW w:w="3544" w:type="dxa"/>
            <w:shd w:val="clear" w:color="auto" w:fill="auto"/>
            <w:tcMar>
              <w:left w:w="57" w:type="dxa"/>
              <w:right w:w="57" w:type="dxa"/>
            </w:tcMar>
            <w:vAlign w:val="center"/>
          </w:tcPr>
          <w:p w14:paraId="2B599220" w14:textId="77777777" w:rsidR="003E5BF5" w:rsidRPr="00E273FC" w:rsidRDefault="003E5BF5" w:rsidP="00604703">
            <w:pPr>
              <w:pStyle w:val="TableTextGreen"/>
            </w:pPr>
            <w:r w:rsidRPr="00E273FC">
              <w:t>Cash flows from financing activities</w:t>
            </w:r>
          </w:p>
        </w:tc>
        <w:tc>
          <w:tcPr>
            <w:tcW w:w="1399" w:type="dxa"/>
            <w:shd w:val="clear" w:color="auto" w:fill="auto"/>
            <w:vAlign w:val="center"/>
          </w:tcPr>
          <w:p w14:paraId="26479444" w14:textId="77777777" w:rsidR="003E5BF5" w:rsidRPr="00E273FC" w:rsidRDefault="003E5BF5" w:rsidP="00DE1921">
            <w:pPr>
              <w:pStyle w:val="TableTextRight"/>
              <w:rPr>
                <w:rFonts w:ascii="Arial" w:hAnsi="Arial" w:cs="Arial"/>
                <w:sz w:val="24"/>
                <w:szCs w:val="24"/>
              </w:rPr>
            </w:pPr>
          </w:p>
        </w:tc>
        <w:tc>
          <w:tcPr>
            <w:tcW w:w="1261" w:type="dxa"/>
            <w:shd w:val="clear" w:color="auto" w:fill="auto"/>
            <w:tcMar>
              <w:left w:w="57" w:type="dxa"/>
              <w:right w:w="57" w:type="dxa"/>
            </w:tcMar>
            <w:vAlign w:val="center"/>
          </w:tcPr>
          <w:p w14:paraId="230FC8DA" w14:textId="77777777" w:rsidR="003E5BF5" w:rsidRPr="00E273FC" w:rsidRDefault="003E5BF5" w:rsidP="00DE1921">
            <w:pPr>
              <w:pStyle w:val="TableTextRight"/>
              <w:rPr>
                <w:rFonts w:ascii="Arial" w:hAnsi="Arial" w:cs="Arial"/>
                <w:sz w:val="24"/>
                <w:szCs w:val="24"/>
              </w:rPr>
            </w:pPr>
          </w:p>
        </w:tc>
        <w:tc>
          <w:tcPr>
            <w:tcW w:w="742" w:type="dxa"/>
            <w:shd w:val="clear" w:color="auto" w:fill="auto"/>
            <w:tcMar>
              <w:left w:w="57" w:type="dxa"/>
              <w:right w:w="57" w:type="dxa"/>
            </w:tcMar>
            <w:vAlign w:val="center"/>
          </w:tcPr>
          <w:p w14:paraId="2F9905FF" w14:textId="77777777" w:rsidR="003E5BF5" w:rsidRPr="00E273FC" w:rsidRDefault="003E5BF5" w:rsidP="00DE1921">
            <w:pPr>
              <w:pStyle w:val="TableTextRight"/>
              <w:rPr>
                <w:rFonts w:ascii="Arial" w:hAnsi="Arial" w:cs="Arial"/>
                <w:sz w:val="24"/>
                <w:szCs w:val="24"/>
              </w:rPr>
            </w:pPr>
          </w:p>
        </w:tc>
        <w:tc>
          <w:tcPr>
            <w:tcW w:w="1345" w:type="dxa"/>
            <w:shd w:val="clear" w:color="auto" w:fill="auto"/>
            <w:tcMar>
              <w:left w:w="57" w:type="dxa"/>
              <w:right w:w="57" w:type="dxa"/>
            </w:tcMar>
            <w:vAlign w:val="center"/>
          </w:tcPr>
          <w:p w14:paraId="1C87E753" w14:textId="77777777" w:rsidR="003E5BF5" w:rsidRPr="00E273FC" w:rsidRDefault="003E5BF5" w:rsidP="00DE1921">
            <w:pPr>
              <w:pStyle w:val="TableTextRight"/>
              <w:rPr>
                <w:rFonts w:ascii="Arial" w:hAnsi="Arial" w:cs="Arial"/>
                <w:sz w:val="24"/>
                <w:szCs w:val="24"/>
              </w:rPr>
            </w:pPr>
          </w:p>
        </w:tc>
        <w:tc>
          <w:tcPr>
            <w:tcW w:w="781" w:type="dxa"/>
            <w:shd w:val="clear" w:color="auto" w:fill="auto"/>
            <w:tcMar>
              <w:left w:w="57" w:type="dxa"/>
              <w:right w:w="57" w:type="dxa"/>
            </w:tcMar>
            <w:vAlign w:val="center"/>
          </w:tcPr>
          <w:p w14:paraId="24C20CE8" w14:textId="77777777" w:rsidR="003E5BF5" w:rsidRPr="00E273FC" w:rsidRDefault="003E5BF5" w:rsidP="00DE1921">
            <w:pPr>
              <w:pStyle w:val="TableTextRight"/>
              <w:rPr>
                <w:rFonts w:ascii="Arial" w:hAnsi="Arial" w:cs="Arial"/>
                <w:sz w:val="24"/>
                <w:szCs w:val="24"/>
              </w:rPr>
            </w:pPr>
          </w:p>
        </w:tc>
      </w:tr>
      <w:tr w:rsidR="003E5BF5" w:rsidRPr="00E273FC" w14:paraId="2D0E2A54" w14:textId="77777777" w:rsidTr="000A0855">
        <w:trPr>
          <w:trHeight w:val="340"/>
        </w:trPr>
        <w:tc>
          <w:tcPr>
            <w:tcW w:w="3544" w:type="dxa"/>
            <w:shd w:val="clear" w:color="auto" w:fill="auto"/>
            <w:tcMar>
              <w:left w:w="57" w:type="dxa"/>
              <w:right w:w="57" w:type="dxa"/>
            </w:tcMar>
            <w:vAlign w:val="center"/>
          </w:tcPr>
          <w:p w14:paraId="1DCA62C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Owner contributions by State Government</w:t>
            </w:r>
          </w:p>
        </w:tc>
        <w:tc>
          <w:tcPr>
            <w:tcW w:w="1399" w:type="dxa"/>
            <w:shd w:val="clear" w:color="auto" w:fill="auto"/>
            <w:vAlign w:val="center"/>
          </w:tcPr>
          <w:p w14:paraId="783D181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6,185.9 </w:t>
            </w:r>
          </w:p>
        </w:tc>
        <w:tc>
          <w:tcPr>
            <w:tcW w:w="1261" w:type="dxa"/>
            <w:shd w:val="clear" w:color="auto" w:fill="auto"/>
            <w:tcMar>
              <w:left w:w="57" w:type="dxa"/>
              <w:right w:w="57" w:type="dxa"/>
            </w:tcMar>
            <w:vAlign w:val="center"/>
          </w:tcPr>
          <w:p w14:paraId="5AD1ADA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5,642.0 </w:t>
            </w:r>
          </w:p>
        </w:tc>
        <w:tc>
          <w:tcPr>
            <w:tcW w:w="742" w:type="dxa"/>
            <w:shd w:val="clear" w:color="auto" w:fill="auto"/>
            <w:tcMar>
              <w:left w:w="57" w:type="dxa"/>
              <w:right w:w="57" w:type="dxa"/>
            </w:tcMar>
            <w:vAlign w:val="center"/>
          </w:tcPr>
          <w:p w14:paraId="38FFB93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543.9 </w:t>
            </w:r>
          </w:p>
        </w:tc>
        <w:tc>
          <w:tcPr>
            <w:tcW w:w="1345" w:type="dxa"/>
            <w:shd w:val="clear" w:color="auto" w:fill="auto"/>
            <w:tcMar>
              <w:left w:w="57" w:type="dxa"/>
              <w:right w:w="57" w:type="dxa"/>
            </w:tcMar>
            <w:vAlign w:val="center"/>
          </w:tcPr>
          <w:p w14:paraId="4571026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w:t>
            </w:r>
          </w:p>
        </w:tc>
        <w:tc>
          <w:tcPr>
            <w:tcW w:w="781" w:type="dxa"/>
            <w:shd w:val="clear" w:color="auto" w:fill="auto"/>
            <w:tcMar>
              <w:left w:w="57" w:type="dxa"/>
              <w:right w:w="57" w:type="dxa"/>
            </w:tcMar>
            <w:vAlign w:val="center"/>
          </w:tcPr>
          <w:p w14:paraId="1B768662"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j</w:t>
            </w:r>
          </w:p>
        </w:tc>
      </w:tr>
      <w:tr w:rsidR="003E5BF5" w:rsidRPr="00E273FC" w14:paraId="70FF6321" w14:textId="77777777" w:rsidTr="000A0855">
        <w:trPr>
          <w:trHeight w:val="340"/>
        </w:trPr>
        <w:tc>
          <w:tcPr>
            <w:tcW w:w="3544" w:type="dxa"/>
            <w:shd w:val="clear" w:color="auto" w:fill="auto"/>
            <w:tcMar>
              <w:left w:w="57" w:type="dxa"/>
              <w:right w:w="57" w:type="dxa"/>
            </w:tcMar>
            <w:vAlign w:val="center"/>
          </w:tcPr>
          <w:p w14:paraId="137AB25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Repayment of leases and service concession liabilities</w:t>
            </w:r>
          </w:p>
        </w:tc>
        <w:tc>
          <w:tcPr>
            <w:tcW w:w="1399" w:type="dxa"/>
            <w:shd w:val="clear" w:color="auto" w:fill="auto"/>
          </w:tcPr>
          <w:p w14:paraId="65191EB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(417.6)</w:t>
            </w:r>
          </w:p>
        </w:tc>
        <w:tc>
          <w:tcPr>
            <w:tcW w:w="1261" w:type="dxa"/>
            <w:shd w:val="clear" w:color="auto" w:fill="auto"/>
            <w:tcMar>
              <w:left w:w="57" w:type="dxa"/>
              <w:right w:w="57" w:type="dxa"/>
            </w:tcMar>
          </w:tcPr>
          <w:p w14:paraId="0FBCC55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(93.0)</w:t>
            </w:r>
          </w:p>
        </w:tc>
        <w:tc>
          <w:tcPr>
            <w:tcW w:w="742" w:type="dxa"/>
            <w:shd w:val="clear" w:color="auto" w:fill="auto"/>
            <w:tcMar>
              <w:left w:w="57" w:type="dxa"/>
              <w:right w:w="57" w:type="dxa"/>
            </w:tcMar>
          </w:tcPr>
          <w:p w14:paraId="57EACF6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(324.6)</w:t>
            </w:r>
          </w:p>
        </w:tc>
        <w:tc>
          <w:tcPr>
            <w:tcW w:w="1345" w:type="dxa"/>
            <w:shd w:val="clear" w:color="auto" w:fill="auto"/>
            <w:tcMar>
              <w:left w:w="57" w:type="dxa"/>
              <w:right w:w="57" w:type="dxa"/>
            </w:tcMar>
          </w:tcPr>
          <w:p w14:paraId="662287F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&gt; 100%</w:t>
            </w:r>
          </w:p>
        </w:tc>
        <w:tc>
          <w:tcPr>
            <w:tcW w:w="781" w:type="dxa"/>
            <w:shd w:val="clear" w:color="auto" w:fill="auto"/>
            <w:tcMar>
              <w:left w:w="57" w:type="dxa"/>
              <w:right w:w="57" w:type="dxa"/>
            </w:tcMar>
          </w:tcPr>
          <w:p w14:paraId="55C7E740"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k</w:t>
            </w:r>
          </w:p>
        </w:tc>
      </w:tr>
      <w:tr w:rsidR="003E5BF5" w:rsidRPr="00E273FC" w14:paraId="368F5311" w14:textId="77777777" w:rsidTr="000A0855">
        <w:trPr>
          <w:trHeight w:val="340"/>
        </w:trPr>
        <w:tc>
          <w:tcPr>
            <w:tcW w:w="3544" w:type="dxa"/>
            <w:shd w:val="clear" w:color="auto" w:fill="auto"/>
            <w:tcMar>
              <w:left w:w="57" w:type="dxa"/>
              <w:right w:w="57" w:type="dxa"/>
            </w:tcMar>
            <w:vAlign w:val="center"/>
          </w:tcPr>
          <w:p w14:paraId="108AE3E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Net borrowings</w:t>
            </w:r>
          </w:p>
        </w:tc>
        <w:tc>
          <w:tcPr>
            <w:tcW w:w="1399" w:type="dxa"/>
            <w:shd w:val="clear" w:color="auto" w:fill="auto"/>
            <w:vAlign w:val="center"/>
          </w:tcPr>
          <w:p w14:paraId="3B54B7A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351.0 </w:t>
            </w:r>
          </w:p>
        </w:tc>
        <w:tc>
          <w:tcPr>
            <w:tcW w:w="1261" w:type="dxa"/>
            <w:shd w:val="clear" w:color="auto" w:fill="auto"/>
            <w:tcMar>
              <w:left w:w="57" w:type="dxa"/>
              <w:right w:w="57" w:type="dxa"/>
            </w:tcMar>
            <w:vAlign w:val="center"/>
          </w:tcPr>
          <w:p w14:paraId="3C16731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277.0 </w:t>
            </w:r>
          </w:p>
        </w:tc>
        <w:tc>
          <w:tcPr>
            <w:tcW w:w="742" w:type="dxa"/>
            <w:shd w:val="clear" w:color="auto" w:fill="auto"/>
            <w:tcMar>
              <w:left w:w="57" w:type="dxa"/>
              <w:right w:w="57" w:type="dxa"/>
            </w:tcMar>
            <w:vAlign w:val="center"/>
          </w:tcPr>
          <w:p w14:paraId="444AD32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74.0 </w:t>
            </w:r>
          </w:p>
        </w:tc>
        <w:tc>
          <w:tcPr>
            <w:tcW w:w="1345" w:type="dxa"/>
            <w:shd w:val="clear" w:color="auto" w:fill="auto"/>
            <w:tcMar>
              <w:left w:w="57" w:type="dxa"/>
              <w:right w:w="57" w:type="dxa"/>
            </w:tcMar>
            <w:vAlign w:val="center"/>
          </w:tcPr>
          <w:p w14:paraId="0593AB8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27%</w:t>
            </w:r>
          </w:p>
        </w:tc>
        <w:tc>
          <w:tcPr>
            <w:tcW w:w="781" w:type="dxa"/>
            <w:shd w:val="clear" w:color="auto" w:fill="auto"/>
            <w:tcMar>
              <w:left w:w="57" w:type="dxa"/>
              <w:right w:w="57" w:type="dxa"/>
            </w:tcMar>
            <w:vAlign w:val="center"/>
          </w:tcPr>
          <w:p w14:paraId="0D274504"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l</w:t>
            </w:r>
          </w:p>
        </w:tc>
      </w:tr>
      <w:tr w:rsidR="003E5BF5" w:rsidRPr="00E273FC" w14:paraId="22CE6215" w14:textId="77777777" w:rsidTr="000A0855">
        <w:trPr>
          <w:trHeight w:val="340"/>
        </w:trPr>
        <w:tc>
          <w:tcPr>
            <w:tcW w:w="3544" w:type="dxa"/>
            <w:shd w:val="clear" w:color="auto" w:fill="auto"/>
            <w:tcMar>
              <w:left w:w="57" w:type="dxa"/>
              <w:right w:w="57" w:type="dxa"/>
            </w:tcMar>
            <w:vAlign w:val="center"/>
          </w:tcPr>
          <w:p w14:paraId="337277E3"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Net cash flows from/ (used in) financing activities</w:t>
            </w:r>
          </w:p>
        </w:tc>
        <w:tc>
          <w:tcPr>
            <w:tcW w:w="1399" w:type="dxa"/>
            <w:shd w:val="clear" w:color="auto" w:fill="auto"/>
            <w:vAlign w:val="center"/>
          </w:tcPr>
          <w:p w14:paraId="496E0898"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6,119.3 </w:t>
            </w:r>
          </w:p>
        </w:tc>
        <w:tc>
          <w:tcPr>
            <w:tcW w:w="1261" w:type="dxa"/>
            <w:shd w:val="clear" w:color="auto" w:fill="auto"/>
            <w:tcMar>
              <w:left w:w="57" w:type="dxa"/>
              <w:right w:w="57" w:type="dxa"/>
            </w:tcMar>
            <w:vAlign w:val="center"/>
          </w:tcPr>
          <w:p w14:paraId="1D4C93D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5,826.0 </w:t>
            </w:r>
          </w:p>
        </w:tc>
        <w:tc>
          <w:tcPr>
            <w:tcW w:w="742" w:type="dxa"/>
            <w:shd w:val="clear" w:color="auto" w:fill="auto"/>
            <w:tcMar>
              <w:left w:w="57" w:type="dxa"/>
              <w:right w:w="57" w:type="dxa"/>
            </w:tcMar>
            <w:vAlign w:val="center"/>
          </w:tcPr>
          <w:p w14:paraId="1DD0C38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293.3 </w:t>
            </w:r>
          </w:p>
        </w:tc>
        <w:tc>
          <w:tcPr>
            <w:tcW w:w="1345" w:type="dxa"/>
            <w:shd w:val="clear" w:color="auto" w:fill="auto"/>
            <w:tcMar>
              <w:left w:w="57" w:type="dxa"/>
              <w:right w:w="57" w:type="dxa"/>
            </w:tcMar>
            <w:vAlign w:val="center"/>
          </w:tcPr>
          <w:p w14:paraId="6CE8CCE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5%</w:t>
            </w:r>
          </w:p>
        </w:tc>
        <w:tc>
          <w:tcPr>
            <w:tcW w:w="781" w:type="dxa"/>
            <w:shd w:val="clear" w:color="auto" w:fill="auto"/>
            <w:tcMar>
              <w:left w:w="57" w:type="dxa"/>
              <w:right w:w="57" w:type="dxa"/>
            </w:tcMar>
            <w:vAlign w:val="center"/>
          </w:tcPr>
          <w:p w14:paraId="3A09BE18"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 </w:t>
            </w:r>
          </w:p>
        </w:tc>
      </w:tr>
      <w:tr w:rsidR="003E5BF5" w:rsidRPr="00E273FC" w14:paraId="24358D35" w14:textId="77777777" w:rsidTr="000A0855">
        <w:trPr>
          <w:trHeight w:val="340"/>
        </w:trPr>
        <w:tc>
          <w:tcPr>
            <w:tcW w:w="3544" w:type="dxa"/>
            <w:shd w:val="clear" w:color="auto" w:fill="auto"/>
            <w:tcMar>
              <w:left w:w="57" w:type="dxa"/>
              <w:right w:w="57" w:type="dxa"/>
            </w:tcMar>
            <w:vAlign w:val="center"/>
          </w:tcPr>
          <w:p w14:paraId="62957E6B"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Net increase in cash and cash equivalents </w:t>
            </w:r>
          </w:p>
        </w:tc>
        <w:tc>
          <w:tcPr>
            <w:tcW w:w="1399" w:type="dxa"/>
            <w:shd w:val="clear" w:color="auto" w:fill="auto"/>
            <w:vAlign w:val="center"/>
          </w:tcPr>
          <w:p w14:paraId="1C1FB0F4"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471.1 </w:t>
            </w:r>
          </w:p>
        </w:tc>
        <w:tc>
          <w:tcPr>
            <w:tcW w:w="1261" w:type="dxa"/>
            <w:shd w:val="clear" w:color="auto" w:fill="auto"/>
            <w:tcMar>
              <w:left w:w="57" w:type="dxa"/>
              <w:right w:w="57" w:type="dxa"/>
            </w:tcMar>
            <w:vAlign w:val="center"/>
          </w:tcPr>
          <w:p w14:paraId="06D4519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(127.0)</w:t>
            </w:r>
          </w:p>
        </w:tc>
        <w:tc>
          <w:tcPr>
            <w:tcW w:w="742" w:type="dxa"/>
            <w:shd w:val="clear" w:color="auto" w:fill="auto"/>
            <w:tcMar>
              <w:left w:w="57" w:type="dxa"/>
              <w:right w:w="57" w:type="dxa"/>
            </w:tcMar>
            <w:vAlign w:val="center"/>
          </w:tcPr>
          <w:p w14:paraId="1A49E1B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597.1 </w:t>
            </w:r>
          </w:p>
        </w:tc>
        <w:tc>
          <w:tcPr>
            <w:tcW w:w="1345" w:type="dxa"/>
            <w:shd w:val="clear" w:color="auto" w:fill="auto"/>
            <w:tcMar>
              <w:left w:w="57" w:type="dxa"/>
              <w:right w:w="57" w:type="dxa"/>
            </w:tcMar>
            <w:vAlign w:val="center"/>
          </w:tcPr>
          <w:p w14:paraId="1F662D76"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&gt; (100) %</w:t>
            </w:r>
          </w:p>
        </w:tc>
        <w:tc>
          <w:tcPr>
            <w:tcW w:w="781" w:type="dxa"/>
            <w:shd w:val="clear" w:color="auto" w:fill="auto"/>
            <w:tcMar>
              <w:left w:w="57" w:type="dxa"/>
              <w:right w:w="57" w:type="dxa"/>
            </w:tcMar>
            <w:vAlign w:val="center"/>
          </w:tcPr>
          <w:p w14:paraId="2DEACFE0"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 </w:t>
            </w:r>
          </w:p>
        </w:tc>
      </w:tr>
      <w:tr w:rsidR="003E5BF5" w:rsidRPr="00E273FC" w14:paraId="39C5AB3F" w14:textId="77777777" w:rsidTr="000A0855">
        <w:trPr>
          <w:trHeight w:val="340"/>
        </w:trPr>
        <w:tc>
          <w:tcPr>
            <w:tcW w:w="3544" w:type="dxa"/>
            <w:shd w:val="clear" w:color="auto" w:fill="auto"/>
            <w:tcMar>
              <w:left w:w="57" w:type="dxa"/>
              <w:right w:w="57" w:type="dxa"/>
            </w:tcMar>
            <w:vAlign w:val="center"/>
          </w:tcPr>
          <w:p w14:paraId="3576F30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lastRenderedPageBreak/>
              <w:t>Cash and cash equivalents at the beginning of the financial year</w:t>
            </w:r>
          </w:p>
        </w:tc>
        <w:tc>
          <w:tcPr>
            <w:tcW w:w="1399" w:type="dxa"/>
            <w:shd w:val="clear" w:color="auto" w:fill="auto"/>
          </w:tcPr>
          <w:p w14:paraId="2F557BE1"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color w:val="000000"/>
                <w:sz w:val="24"/>
                <w:szCs w:val="24"/>
              </w:rPr>
              <w:t xml:space="preserve">193.0 </w:t>
            </w:r>
          </w:p>
        </w:tc>
        <w:tc>
          <w:tcPr>
            <w:tcW w:w="1261" w:type="dxa"/>
            <w:shd w:val="clear" w:color="auto" w:fill="auto"/>
            <w:tcMar>
              <w:left w:w="57" w:type="dxa"/>
              <w:right w:w="57" w:type="dxa"/>
            </w:tcMar>
          </w:tcPr>
          <w:p w14:paraId="7D7E2CA5"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color w:val="000000"/>
                <w:sz w:val="24"/>
                <w:szCs w:val="24"/>
              </w:rPr>
              <w:t xml:space="preserve">380.0 </w:t>
            </w:r>
          </w:p>
        </w:tc>
        <w:tc>
          <w:tcPr>
            <w:tcW w:w="742" w:type="dxa"/>
            <w:shd w:val="clear" w:color="auto" w:fill="auto"/>
            <w:tcMar>
              <w:left w:w="57" w:type="dxa"/>
              <w:right w:w="57" w:type="dxa"/>
            </w:tcMar>
          </w:tcPr>
          <w:p w14:paraId="6C83A1D6"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color w:val="000000"/>
                <w:sz w:val="24"/>
                <w:szCs w:val="24"/>
              </w:rPr>
              <w:t>(187.0)</w:t>
            </w:r>
          </w:p>
        </w:tc>
        <w:tc>
          <w:tcPr>
            <w:tcW w:w="1345" w:type="dxa"/>
            <w:shd w:val="clear" w:color="auto" w:fill="auto"/>
            <w:tcMar>
              <w:left w:w="57" w:type="dxa"/>
              <w:right w:w="57" w:type="dxa"/>
            </w:tcMar>
          </w:tcPr>
          <w:p w14:paraId="10E47E2A"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color w:val="000000"/>
                <w:sz w:val="24"/>
                <w:szCs w:val="24"/>
              </w:rPr>
              <w:t>(49) %</w:t>
            </w:r>
          </w:p>
        </w:tc>
        <w:tc>
          <w:tcPr>
            <w:tcW w:w="781" w:type="dxa"/>
            <w:shd w:val="clear" w:color="auto" w:fill="auto"/>
            <w:tcMar>
              <w:left w:w="57" w:type="dxa"/>
              <w:right w:w="57" w:type="dxa"/>
            </w:tcMar>
          </w:tcPr>
          <w:p w14:paraId="28C8C8A2"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w:t>
            </w:r>
          </w:p>
        </w:tc>
      </w:tr>
      <w:tr w:rsidR="003E5BF5" w:rsidRPr="00E273FC" w14:paraId="1687CC26" w14:textId="77777777" w:rsidTr="000A0855">
        <w:trPr>
          <w:trHeight w:val="340"/>
        </w:trPr>
        <w:tc>
          <w:tcPr>
            <w:tcW w:w="3544" w:type="dxa"/>
            <w:shd w:val="clear" w:color="auto" w:fill="auto"/>
            <w:tcMar>
              <w:left w:w="57" w:type="dxa"/>
              <w:right w:w="57" w:type="dxa"/>
            </w:tcMar>
            <w:vAlign w:val="center"/>
          </w:tcPr>
          <w:p w14:paraId="6F4752CC"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Cash and cash equivalents at the end of the financial year</w:t>
            </w:r>
          </w:p>
        </w:tc>
        <w:tc>
          <w:tcPr>
            <w:tcW w:w="1399" w:type="dxa"/>
            <w:shd w:val="clear" w:color="auto" w:fill="auto"/>
          </w:tcPr>
          <w:p w14:paraId="1E403DD1" w14:textId="77777777" w:rsidR="003E5BF5" w:rsidRPr="00E273FC" w:rsidRDefault="003E5BF5" w:rsidP="00DE1921">
            <w:pPr>
              <w:pStyle w:val="TableTextRightBold"/>
              <w:rPr>
                <w:rFonts w:ascii="Arial" w:hAnsi="Arial" w:cs="Arial"/>
                <w:sz w:val="24"/>
                <w:szCs w:val="24"/>
                <w:highlight w:val="yellow"/>
              </w:rPr>
            </w:pPr>
            <w:r w:rsidRPr="00E273FC">
              <w:rPr>
                <w:rFonts w:ascii="Arial" w:hAnsi="Arial" w:cs="Arial"/>
                <w:color w:val="000000"/>
                <w:sz w:val="24"/>
                <w:szCs w:val="24"/>
              </w:rPr>
              <w:t xml:space="preserve">664.1 </w:t>
            </w:r>
          </w:p>
        </w:tc>
        <w:tc>
          <w:tcPr>
            <w:tcW w:w="1261" w:type="dxa"/>
            <w:shd w:val="clear" w:color="auto" w:fill="auto"/>
            <w:tcMar>
              <w:left w:w="57" w:type="dxa"/>
              <w:right w:w="57" w:type="dxa"/>
            </w:tcMar>
          </w:tcPr>
          <w:p w14:paraId="21904F5F"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 xml:space="preserve">253.0 </w:t>
            </w:r>
          </w:p>
        </w:tc>
        <w:tc>
          <w:tcPr>
            <w:tcW w:w="742" w:type="dxa"/>
            <w:shd w:val="clear" w:color="auto" w:fill="auto"/>
            <w:tcMar>
              <w:left w:w="57" w:type="dxa"/>
              <w:right w:w="57" w:type="dxa"/>
            </w:tcMar>
          </w:tcPr>
          <w:p w14:paraId="3841BE30"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 xml:space="preserve">411.1 </w:t>
            </w:r>
          </w:p>
        </w:tc>
        <w:tc>
          <w:tcPr>
            <w:tcW w:w="1345" w:type="dxa"/>
            <w:shd w:val="clear" w:color="auto" w:fill="auto"/>
            <w:tcMar>
              <w:left w:w="57" w:type="dxa"/>
              <w:right w:w="57" w:type="dxa"/>
            </w:tcMar>
          </w:tcPr>
          <w:p w14:paraId="4D2A06A3"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&gt; 100%</w:t>
            </w:r>
          </w:p>
        </w:tc>
        <w:tc>
          <w:tcPr>
            <w:tcW w:w="781" w:type="dxa"/>
            <w:shd w:val="clear" w:color="auto" w:fill="auto"/>
            <w:tcMar>
              <w:left w:w="57" w:type="dxa"/>
              <w:right w:w="57" w:type="dxa"/>
            </w:tcMar>
          </w:tcPr>
          <w:p w14:paraId="604D74D4" w14:textId="77777777" w:rsidR="003E5BF5" w:rsidRPr="00E273FC" w:rsidRDefault="003E5BF5" w:rsidP="00DE1921">
            <w:pPr>
              <w:pStyle w:val="TableTextRightBold"/>
              <w:rPr>
                <w:rFonts w:ascii="Arial" w:hAnsi="Arial" w:cs="Arial"/>
                <w:sz w:val="24"/>
                <w:szCs w:val="24"/>
              </w:rPr>
            </w:pPr>
            <w:r w:rsidRPr="00E273FC">
              <w:rPr>
                <w:rFonts w:ascii="Arial" w:hAnsi="Arial" w:cs="Arial"/>
                <w:b w:val="0"/>
                <w:color w:val="000000"/>
                <w:sz w:val="24"/>
                <w:szCs w:val="24"/>
              </w:rPr>
              <w:t> </w:t>
            </w:r>
          </w:p>
        </w:tc>
      </w:tr>
    </w:tbl>
    <w:p w14:paraId="72AF8D31" w14:textId="77777777" w:rsidR="003E5BF5" w:rsidRDefault="003E5BF5" w:rsidP="00DE1921">
      <w:pPr>
        <w:pStyle w:val="Note"/>
        <w:rPr>
          <w:sz w:val="13"/>
          <w:szCs w:val="13"/>
        </w:rPr>
        <w:sectPr w:rsidR="003E5BF5" w:rsidSect="00DE1921">
          <w:pgSz w:w="11906" w:h="16838"/>
          <w:pgMar w:top="1701" w:right="1418" w:bottom="1418" w:left="1418" w:header="709" w:footer="709" w:gutter="0"/>
          <w:cols w:space="284"/>
          <w:docGrid w:linePitch="360"/>
        </w:sectPr>
      </w:pPr>
    </w:p>
    <w:p w14:paraId="53C88444" w14:textId="77777777" w:rsidR="003E5BF5" w:rsidRPr="00595615" w:rsidRDefault="003E5BF5" w:rsidP="003C6DF7">
      <w:pPr>
        <w:pStyle w:val="aaatyping"/>
      </w:pPr>
      <w:r w:rsidRPr="00595615">
        <w:lastRenderedPageBreak/>
        <w:t>Explanation for major variations between 2019–20 actual and 2019–20 published budget are as follows:</w:t>
      </w:r>
    </w:p>
    <w:p w14:paraId="4E86FB18" w14:textId="77777777" w:rsidR="003E5BF5" w:rsidRPr="000A0855" w:rsidRDefault="003E5BF5" w:rsidP="00610F5F">
      <w:pPr>
        <w:pStyle w:val="Notenumberingabc"/>
        <w:numPr>
          <w:ilvl w:val="0"/>
          <w:numId w:val="52"/>
        </w:numPr>
        <w:spacing w:before="0" w:after="120"/>
        <w:ind w:left="453" w:hanging="340"/>
        <w:rPr>
          <w:rFonts w:ascii="Arial" w:hAnsi="Arial" w:cs="Arial"/>
          <w:sz w:val="28"/>
          <w:szCs w:val="28"/>
        </w:rPr>
      </w:pPr>
      <w:r w:rsidRPr="000A0855">
        <w:rPr>
          <w:rFonts w:ascii="Arial" w:hAnsi="Arial" w:cs="Arial"/>
          <w:sz w:val="28"/>
          <w:szCs w:val="28"/>
        </w:rPr>
        <w:t>Receipts from government were higher than the published budget primarily due to additional funding as part of Government's response to coronavirus (COVID-19), the release of funding relating to capital program as well as working capital cash flows.</w:t>
      </w:r>
    </w:p>
    <w:p w14:paraId="2B5BB21E" w14:textId="77777777" w:rsidR="003E5BF5" w:rsidRPr="000A0855" w:rsidRDefault="003E5BF5" w:rsidP="00610F5F">
      <w:pPr>
        <w:pStyle w:val="Notenumberingabc"/>
        <w:numPr>
          <w:ilvl w:val="0"/>
          <w:numId w:val="28"/>
        </w:numPr>
        <w:spacing w:before="0" w:after="120"/>
        <w:ind w:left="453" w:hanging="340"/>
        <w:rPr>
          <w:rFonts w:ascii="Arial" w:hAnsi="Arial" w:cs="Arial"/>
          <w:sz w:val="28"/>
          <w:szCs w:val="28"/>
        </w:rPr>
      </w:pPr>
      <w:r w:rsidRPr="000A0855">
        <w:rPr>
          <w:rFonts w:ascii="Arial" w:hAnsi="Arial" w:cs="Arial"/>
          <w:sz w:val="28"/>
          <w:szCs w:val="28"/>
        </w:rPr>
        <w:t>Receipts from other entities were lower than the published budget primarily due to the impact of coronavirus (COVID-19) on farebox revenues and timing of works relating to the road’s safety program.</w:t>
      </w:r>
    </w:p>
    <w:p w14:paraId="77CD0009" w14:textId="77777777" w:rsidR="003E5BF5" w:rsidRPr="000A0855" w:rsidRDefault="003E5BF5" w:rsidP="00610F5F">
      <w:pPr>
        <w:pStyle w:val="Notenumberingabc"/>
        <w:numPr>
          <w:ilvl w:val="0"/>
          <w:numId w:val="28"/>
        </w:numPr>
        <w:spacing w:before="0" w:after="120"/>
        <w:ind w:left="453" w:hanging="340"/>
        <w:rPr>
          <w:rFonts w:ascii="Arial" w:hAnsi="Arial" w:cs="Arial"/>
          <w:sz w:val="28"/>
          <w:szCs w:val="28"/>
        </w:rPr>
      </w:pPr>
      <w:r w:rsidRPr="000A0855">
        <w:rPr>
          <w:rFonts w:ascii="Arial" w:hAnsi="Arial" w:cs="Arial"/>
          <w:sz w:val="28"/>
          <w:szCs w:val="28"/>
        </w:rPr>
        <w:t>Interest received was lower than the published budget primarily due to timing of cash balances held.</w:t>
      </w:r>
      <w:r w:rsidRPr="000A0855">
        <w:rPr>
          <w:rFonts w:ascii="Arial" w:hAnsi="Arial" w:cs="Arial"/>
          <w:sz w:val="28"/>
          <w:szCs w:val="28"/>
        </w:rPr>
        <w:tab/>
      </w:r>
      <w:r w:rsidRPr="000A0855">
        <w:rPr>
          <w:rFonts w:ascii="Arial" w:hAnsi="Arial" w:cs="Arial"/>
          <w:sz w:val="28"/>
          <w:szCs w:val="28"/>
        </w:rPr>
        <w:tab/>
      </w:r>
    </w:p>
    <w:p w14:paraId="0E8762FE" w14:textId="77777777" w:rsidR="003E5BF5" w:rsidRPr="000A0855" w:rsidRDefault="003E5BF5" w:rsidP="00610F5F">
      <w:pPr>
        <w:pStyle w:val="Notenumberingabc"/>
        <w:numPr>
          <w:ilvl w:val="0"/>
          <w:numId w:val="28"/>
        </w:numPr>
        <w:spacing w:before="0" w:after="120"/>
        <w:ind w:left="453" w:hanging="340"/>
        <w:rPr>
          <w:rFonts w:ascii="Arial" w:hAnsi="Arial" w:cs="Arial"/>
          <w:sz w:val="28"/>
          <w:szCs w:val="28"/>
        </w:rPr>
      </w:pPr>
      <w:r w:rsidRPr="000A0855">
        <w:rPr>
          <w:rFonts w:ascii="Arial" w:hAnsi="Arial" w:cs="Arial"/>
          <w:sz w:val="28"/>
          <w:szCs w:val="28"/>
        </w:rPr>
        <w:t xml:space="preserve">Other receipts were lower than the published budget primarily due to due to certain user charges relating to services received through Section 29 appropriation as part of Receipts from government. </w:t>
      </w:r>
    </w:p>
    <w:p w14:paraId="7AED585A" w14:textId="77777777" w:rsidR="003E5BF5" w:rsidRPr="000A0855" w:rsidRDefault="003E5BF5" w:rsidP="003E5BF5">
      <w:pPr>
        <w:pStyle w:val="Notenumberingabc"/>
        <w:spacing w:before="0" w:after="120"/>
        <w:ind w:left="453" w:hanging="340"/>
        <w:rPr>
          <w:rFonts w:ascii="Arial" w:hAnsi="Arial" w:cs="Arial"/>
          <w:sz w:val="28"/>
          <w:szCs w:val="28"/>
        </w:rPr>
      </w:pPr>
      <w:r w:rsidRPr="000A0855">
        <w:rPr>
          <w:rFonts w:ascii="Arial" w:hAnsi="Arial" w:cs="Arial"/>
          <w:sz w:val="28"/>
          <w:szCs w:val="28"/>
        </w:rPr>
        <w:t>Payments of grants and other transfers were higher than the published budget primarily due to increased grants to local government and payments relating to the capital program.</w:t>
      </w:r>
    </w:p>
    <w:p w14:paraId="7E6369BB" w14:textId="77777777" w:rsidR="003E5BF5" w:rsidRPr="000A0855" w:rsidRDefault="003E5BF5" w:rsidP="00610F5F">
      <w:pPr>
        <w:pStyle w:val="Notenumberingabc"/>
        <w:numPr>
          <w:ilvl w:val="0"/>
          <w:numId w:val="28"/>
        </w:numPr>
        <w:spacing w:before="0" w:after="120"/>
        <w:ind w:left="453" w:hanging="340"/>
        <w:rPr>
          <w:rFonts w:ascii="Arial" w:hAnsi="Arial" w:cs="Arial"/>
          <w:sz w:val="28"/>
          <w:szCs w:val="28"/>
        </w:rPr>
      </w:pPr>
      <w:r w:rsidRPr="000A0855">
        <w:rPr>
          <w:rFonts w:ascii="Arial" w:hAnsi="Arial" w:cs="Arial"/>
          <w:sz w:val="28"/>
          <w:szCs w:val="28"/>
        </w:rPr>
        <w:t>Payments to suppliers and employees were higher than the published budget primarily due to the response to coronavirus (COVID-19) and the release of funding relating to the capital program.</w:t>
      </w:r>
    </w:p>
    <w:p w14:paraId="46DC20A5" w14:textId="77777777" w:rsidR="003E5BF5" w:rsidRPr="000A0855" w:rsidRDefault="003E5BF5" w:rsidP="00610F5F">
      <w:pPr>
        <w:pStyle w:val="Notenumberingabc"/>
        <w:numPr>
          <w:ilvl w:val="0"/>
          <w:numId w:val="28"/>
        </w:numPr>
        <w:spacing w:before="0" w:after="120"/>
        <w:ind w:left="453" w:hanging="340"/>
        <w:rPr>
          <w:rFonts w:ascii="Arial" w:hAnsi="Arial" w:cs="Arial"/>
          <w:sz w:val="28"/>
          <w:szCs w:val="28"/>
        </w:rPr>
      </w:pPr>
      <w:r w:rsidRPr="000A0855">
        <w:rPr>
          <w:rFonts w:ascii="Arial" w:hAnsi="Arial" w:cs="Arial"/>
          <w:sz w:val="28"/>
          <w:szCs w:val="28"/>
        </w:rPr>
        <w:t>Interest and other costs of finance were higher than the published budget primarily due to accounting standard changes relating to service concession arrangements.</w:t>
      </w:r>
    </w:p>
    <w:p w14:paraId="05DD4192" w14:textId="77777777" w:rsidR="003E5BF5" w:rsidRPr="000A0855" w:rsidRDefault="003E5BF5" w:rsidP="00610F5F">
      <w:pPr>
        <w:pStyle w:val="Notenumberingabc"/>
        <w:numPr>
          <w:ilvl w:val="0"/>
          <w:numId w:val="28"/>
        </w:numPr>
        <w:spacing w:before="0" w:after="120"/>
        <w:ind w:left="453" w:hanging="340"/>
        <w:rPr>
          <w:rFonts w:ascii="Arial" w:hAnsi="Arial" w:cs="Arial"/>
          <w:sz w:val="28"/>
          <w:szCs w:val="28"/>
        </w:rPr>
      </w:pPr>
      <w:r w:rsidRPr="000A0855">
        <w:rPr>
          <w:rFonts w:ascii="Arial" w:hAnsi="Arial" w:cs="Arial"/>
          <w:sz w:val="28"/>
          <w:szCs w:val="28"/>
        </w:rPr>
        <w:t>Payments for non-financial assets were lower than the published budget primarily due to the timing of land acquisitions. </w:t>
      </w:r>
    </w:p>
    <w:p w14:paraId="14293989" w14:textId="77777777" w:rsidR="003E5BF5" w:rsidRPr="000A0855" w:rsidRDefault="003E5BF5" w:rsidP="00610F5F">
      <w:pPr>
        <w:pStyle w:val="Notenumberingabc"/>
        <w:numPr>
          <w:ilvl w:val="0"/>
          <w:numId w:val="28"/>
        </w:numPr>
        <w:spacing w:before="0" w:after="120"/>
        <w:ind w:left="453" w:hanging="340"/>
        <w:rPr>
          <w:rFonts w:ascii="Arial" w:hAnsi="Arial" w:cs="Arial"/>
          <w:sz w:val="28"/>
          <w:szCs w:val="28"/>
        </w:rPr>
      </w:pPr>
      <w:r w:rsidRPr="000A0855">
        <w:rPr>
          <w:rFonts w:ascii="Arial" w:hAnsi="Arial" w:cs="Arial"/>
          <w:sz w:val="28"/>
          <w:szCs w:val="28"/>
        </w:rPr>
        <w:t>Net loans to other parties were lower than the published budget primarily due to due to timing of works relating to the capital program.</w:t>
      </w:r>
    </w:p>
    <w:p w14:paraId="0C90F8CA" w14:textId="77777777" w:rsidR="003E5BF5" w:rsidRPr="000A0855" w:rsidRDefault="003E5BF5" w:rsidP="00610F5F">
      <w:pPr>
        <w:pStyle w:val="Notenumberingabc"/>
        <w:numPr>
          <w:ilvl w:val="0"/>
          <w:numId w:val="28"/>
        </w:numPr>
        <w:spacing w:before="0" w:after="120"/>
        <w:ind w:left="453" w:hanging="340"/>
        <w:rPr>
          <w:rFonts w:ascii="Arial" w:hAnsi="Arial" w:cs="Arial"/>
          <w:sz w:val="28"/>
          <w:szCs w:val="28"/>
        </w:rPr>
      </w:pPr>
      <w:r w:rsidRPr="000A0855">
        <w:rPr>
          <w:rFonts w:ascii="Arial" w:hAnsi="Arial" w:cs="Arial"/>
          <w:sz w:val="28"/>
          <w:szCs w:val="28"/>
        </w:rPr>
        <w:t>Owner contributions by State Government were higher than the published budget primarily due to the release of funding relating to the capital program.</w:t>
      </w:r>
    </w:p>
    <w:p w14:paraId="30A523D1" w14:textId="77777777" w:rsidR="003E5BF5" w:rsidRPr="000A0855" w:rsidRDefault="003E5BF5" w:rsidP="003E5BF5">
      <w:pPr>
        <w:pStyle w:val="Notenumberingabc"/>
        <w:spacing w:before="0" w:after="120"/>
        <w:ind w:left="453" w:hanging="340"/>
        <w:rPr>
          <w:rFonts w:ascii="Arial" w:hAnsi="Arial" w:cs="Arial"/>
          <w:sz w:val="28"/>
          <w:szCs w:val="28"/>
        </w:rPr>
      </w:pPr>
      <w:r w:rsidRPr="000A0855">
        <w:rPr>
          <w:rFonts w:ascii="Arial" w:hAnsi="Arial" w:cs="Arial"/>
          <w:sz w:val="28"/>
          <w:szCs w:val="28"/>
        </w:rPr>
        <w:t>Repayment of leases and service concession liabilities were higher than the published budget primarily due to reclassification due to change in accounting standards.</w:t>
      </w:r>
    </w:p>
    <w:p w14:paraId="3651B333" w14:textId="429D4854" w:rsidR="003E5BF5" w:rsidRPr="00595615" w:rsidRDefault="003E5BF5" w:rsidP="00DE1921">
      <w:pPr>
        <w:pStyle w:val="Notenumberingabc"/>
        <w:spacing w:before="0" w:after="120"/>
        <w:ind w:left="453" w:hanging="340"/>
        <w:sectPr w:rsidR="003E5BF5" w:rsidRPr="00595615" w:rsidSect="00DE1921">
          <w:pgSz w:w="11906" w:h="16838"/>
          <w:pgMar w:top="1701" w:right="1418" w:bottom="1418" w:left="1418" w:header="709" w:footer="709" w:gutter="0"/>
          <w:cols w:space="284"/>
          <w:docGrid w:linePitch="360"/>
        </w:sectPr>
      </w:pPr>
      <w:r w:rsidRPr="007526FB">
        <w:rPr>
          <w:rFonts w:ascii="Arial" w:hAnsi="Arial" w:cs="Arial"/>
          <w:sz w:val="28"/>
          <w:szCs w:val="28"/>
        </w:rPr>
        <w:t>Net borrowings were higher than the published budget primarily due to due to advances relating to GST cash flows.</w:t>
      </w:r>
      <w:r w:rsidRPr="00595615">
        <w:t>.</w:t>
      </w:r>
    </w:p>
    <w:p w14:paraId="77546EA9" w14:textId="77777777" w:rsidR="003E5BF5" w:rsidRPr="00E273FC" w:rsidRDefault="003E5BF5" w:rsidP="00CF74EB">
      <w:pPr>
        <w:pStyle w:val="TableHeader"/>
      </w:pPr>
      <w:r w:rsidRPr="00E273FC">
        <w:lastRenderedPageBreak/>
        <w:t>Statement of changes in equity for the financial year ended 30 June 2020</w:t>
      </w:r>
    </w:p>
    <w:tbl>
      <w:tblPr>
        <w:tblStyle w:val="TableGrid"/>
        <w:tblW w:w="9639" w:type="dxa"/>
        <w:tblCellMar>
          <w:left w:w="28" w:type="dxa"/>
          <w:right w:w="28" w:type="dxa"/>
        </w:tblCellMar>
        <w:tblLook w:val="04A0" w:firstRow="1" w:lastRow="0" w:firstColumn="1" w:lastColumn="0" w:noHBand="0" w:noVBand="1"/>
      </w:tblPr>
      <w:tblGrid>
        <w:gridCol w:w="3431"/>
        <w:gridCol w:w="1168"/>
        <w:gridCol w:w="1474"/>
        <w:gridCol w:w="1249"/>
        <w:gridCol w:w="1158"/>
        <w:gridCol w:w="1159"/>
      </w:tblGrid>
      <w:tr w:rsidR="003E5BF5" w:rsidRPr="000A0855" w14:paraId="7C67C8A1" w14:textId="77777777" w:rsidTr="00AF110B">
        <w:trPr>
          <w:trHeight w:val="340"/>
        </w:trPr>
        <w:tc>
          <w:tcPr>
            <w:tcW w:w="4507" w:type="dxa"/>
            <w:gridSpan w:val="2"/>
            <w:shd w:val="clear" w:color="auto" w:fill="auto"/>
            <w:tcMar>
              <w:left w:w="57" w:type="dxa"/>
              <w:right w:w="57" w:type="dxa"/>
            </w:tcMar>
            <w:vAlign w:val="bottom"/>
          </w:tcPr>
          <w:p w14:paraId="7D264001" w14:textId="77777777" w:rsidR="003E5BF5" w:rsidRPr="000A0855" w:rsidRDefault="003E5BF5" w:rsidP="00DE1921">
            <w:pPr>
              <w:pStyle w:val="TableTextRightBold"/>
              <w:rPr>
                <w:rFonts w:ascii="Arial" w:hAnsi="Arial" w:cs="Arial"/>
                <w:sz w:val="22"/>
              </w:rPr>
            </w:pPr>
            <w:r w:rsidRPr="000A0855">
              <w:rPr>
                <w:rFonts w:ascii="Arial" w:hAnsi="Arial" w:cs="Arial"/>
                <w:sz w:val="22"/>
              </w:rPr>
              <w:t>Accumulated</w:t>
            </w:r>
          </w:p>
          <w:p w14:paraId="3F7254E2" w14:textId="77777777" w:rsidR="003E5BF5" w:rsidRPr="000A0855" w:rsidRDefault="003E5BF5" w:rsidP="00DE1921">
            <w:pPr>
              <w:pStyle w:val="TableTextRightBold"/>
              <w:rPr>
                <w:rFonts w:ascii="Arial" w:hAnsi="Arial" w:cs="Arial"/>
                <w:sz w:val="22"/>
              </w:rPr>
            </w:pPr>
            <w:r w:rsidRPr="000A0855">
              <w:rPr>
                <w:rFonts w:ascii="Arial" w:hAnsi="Arial" w:cs="Arial"/>
                <w:sz w:val="22"/>
              </w:rPr>
              <w:t>surplus/deficit</w:t>
            </w:r>
          </w:p>
          <w:p w14:paraId="202F38F2" w14:textId="77777777" w:rsidR="003E5BF5" w:rsidRPr="000A0855" w:rsidRDefault="003E5BF5" w:rsidP="00DE1921">
            <w:pPr>
              <w:pStyle w:val="TableTextRightBold"/>
              <w:rPr>
                <w:rFonts w:ascii="Arial" w:hAnsi="Arial" w:cs="Arial"/>
                <w:sz w:val="22"/>
              </w:rPr>
            </w:pPr>
            <w:r w:rsidRPr="000A0855">
              <w:rPr>
                <w:rFonts w:ascii="Arial" w:hAnsi="Arial" w:cs="Arial"/>
                <w:sz w:val="22"/>
              </w:rPr>
              <w:t>($ million)</w:t>
            </w:r>
          </w:p>
        </w:tc>
        <w:tc>
          <w:tcPr>
            <w:tcW w:w="1141" w:type="dxa"/>
            <w:shd w:val="clear" w:color="auto" w:fill="auto"/>
            <w:tcMar>
              <w:left w:w="0" w:type="dxa"/>
              <w:right w:w="0" w:type="dxa"/>
            </w:tcMar>
            <w:vAlign w:val="bottom"/>
          </w:tcPr>
          <w:p w14:paraId="4EA86365" w14:textId="77777777" w:rsidR="003E5BF5" w:rsidRPr="000A0855" w:rsidRDefault="003E5BF5" w:rsidP="00DE1921">
            <w:pPr>
              <w:pStyle w:val="TableTextRightBold"/>
              <w:rPr>
                <w:rFonts w:ascii="Arial" w:hAnsi="Arial" w:cs="Arial"/>
                <w:sz w:val="22"/>
              </w:rPr>
            </w:pPr>
            <w:r w:rsidRPr="000A0855">
              <w:rPr>
                <w:rFonts w:ascii="Arial" w:hAnsi="Arial" w:cs="Arial"/>
                <w:sz w:val="22"/>
              </w:rPr>
              <w:t>Contributions by owners capital</w:t>
            </w:r>
          </w:p>
          <w:p w14:paraId="2CF9FE79" w14:textId="77777777" w:rsidR="003E5BF5" w:rsidRPr="000A0855" w:rsidRDefault="003E5BF5" w:rsidP="00DE1921">
            <w:pPr>
              <w:pStyle w:val="TableTextRightBold"/>
              <w:rPr>
                <w:rFonts w:ascii="Arial" w:hAnsi="Arial" w:cs="Arial"/>
                <w:sz w:val="22"/>
              </w:rPr>
            </w:pPr>
            <w:r w:rsidRPr="000A0855">
              <w:rPr>
                <w:rFonts w:ascii="Arial" w:hAnsi="Arial" w:cs="Arial"/>
                <w:sz w:val="22"/>
              </w:rPr>
              <w:t>($ million)</w:t>
            </w:r>
          </w:p>
        </w:tc>
        <w:tc>
          <w:tcPr>
            <w:tcW w:w="1141" w:type="dxa"/>
            <w:shd w:val="clear" w:color="auto" w:fill="auto"/>
            <w:vAlign w:val="bottom"/>
          </w:tcPr>
          <w:p w14:paraId="0DA42733" w14:textId="77777777" w:rsidR="003E5BF5" w:rsidRPr="000A0855" w:rsidRDefault="003E5BF5" w:rsidP="00DE1921">
            <w:pPr>
              <w:pStyle w:val="TableTextRightBold"/>
              <w:rPr>
                <w:rFonts w:ascii="Arial" w:hAnsi="Arial" w:cs="Arial"/>
                <w:sz w:val="22"/>
              </w:rPr>
            </w:pPr>
            <w:r w:rsidRPr="000A0855">
              <w:rPr>
                <w:rFonts w:ascii="Arial" w:hAnsi="Arial" w:cs="Arial"/>
                <w:sz w:val="22"/>
              </w:rPr>
              <w:t>Asset revaluation reserve</w:t>
            </w:r>
          </w:p>
          <w:p w14:paraId="6D808EB0" w14:textId="77777777" w:rsidR="003E5BF5" w:rsidRPr="000A0855" w:rsidRDefault="003E5BF5" w:rsidP="00DE1921">
            <w:pPr>
              <w:pStyle w:val="TableTextRightBold"/>
              <w:rPr>
                <w:rFonts w:ascii="Arial" w:hAnsi="Arial" w:cs="Arial"/>
                <w:sz w:val="22"/>
              </w:rPr>
            </w:pPr>
            <w:r w:rsidRPr="000A0855">
              <w:rPr>
                <w:rFonts w:ascii="Arial" w:hAnsi="Arial" w:cs="Arial"/>
                <w:sz w:val="22"/>
              </w:rPr>
              <w:t>($ million))</w:t>
            </w:r>
          </w:p>
        </w:tc>
        <w:tc>
          <w:tcPr>
            <w:tcW w:w="1141" w:type="dxa"/>
            <w:shd w:val="clear" w:color="auto" w:fill="auto"/>
            <w:tcMar>
              <w:left w:w="57" w:type="dxa"/>
              <w:right w:w="57" w:type="dxa"/>
            </w:tcMar>
            <w:vAlign w:val="bottom"/>
          </w:tcPr>
          <w:p w14:paraId="77EEFADB" w14:textId="77777777" w:rsidR="003E5BF5" w:rsidRPr="000A0855" w:rsidRDefault="003E5BF5" w:rsidP="00DE1921">
            <w:pPr>
              <w:pStyle w:val="TableTextRightBold"/>
              <w:rPr>
                <w:rFonts w:ascii="Arial" w:hAnsi="Arial" w:cs="Arial"/>
                <w:sz w:val="22"/>
              </w:rPr>
            </w:pPr>
            <w:r w:rsidRPr="000A0855">
              <w:rPr>
                <w:rFonts w:ascii="Arial" w:hAnsi="Arial" w:cs="Arial"/>
                <w:sz w:val="22"/>
              </w:rPr>
              <w:t>Other reserves</w:t>
            </w:r>
          </w:p>
          <w:p w14:paraId="261AACC1" w14:textId="77777777" w:rsidR="003E5BF5" w:rsidRPr="000A0855" w:rsidRDefault="003E5BF5" w:rsidP="00DE1921">
            <w:pPr>
              <w:pStyle w:val="TableTextRightBold"/>
              <w:rPr>
                <w:rFonts w:ascii="Arial" w:hAnsi="Arial" w:cs="Arial"/>
                <w:sz w:val="22"/>
              </w:rPr>
            </w:pPr>
            <w:r w:rsidRPr="000A0855">
              <w:rPr>
                <w:rFonts w:ascii="Arial" w:hAnsi="Arial" w:cs="Arial"/>
                <w:sz w:val="22"/>
              </w:rPr>
              <w:t>($ million)</w:t>
            </w:r>
          </w:p>
        </w:tc>
        <w:tc>
          <w:tcPr>
            <w:tcW w:w="1142" w:type="dxa"/>
            <w:shd w:val="clear" w:color="auto" w:fill="auto"/>
            <w:tcMar>
              <w:left w:w="57" w:type="dxa"/>
              <w:right w:w="57" w:type="dxa"/>
            </w:tcMar>
            <w:vAlign w:val="bottom"/>
          </w:tcPr>
          <w:p w14:paraId="68623211" w14:textId="77777777" w:rsidR="003E5BF5" w:rsidRPr="000A0855" w:rsidRDefault="003E5BF5" w:rsidP="00DE1921">
            <w:pPr>
              <w:pStyle w:val="TableTextRightBold"/>
              <w:rPr>
                <w:rFonts w:ascii="Arial" w:hAnsi="Arial" w:cs="Arial"/>
                <w:sz w:val="22"/>
              </w:rPr>
            </w:pPr>
            <w:r w:rsidRPr="000A0855">
              <w:rPr>
                <w:rFonts w:ascii="Arial" w:hAnsi="Arial" w:cs="Arial"/>
                <w:sz w:val="22"/>
              </w:rPr>
              <w:t>Total</w:t>
            </w:r>
          </w:p>
          <w:p w14:paraId="1A279ABB" w14:textId="77777777" w:rsidR="003E5BF5" w:rsidRPr="000A0855" w:rsidRDefault="003E5BF5" w:rsidP="00DE1921">
            <w:pPr>
              <w:pStyle w:val="TableTextRightBold"/>
              <w:rPr>
                <w:rFonts w:ascii="Arial" w:hAnsi="Arial" w:cs="Arial"/>
                <w:sz w:val="22"/>
              </w:rPr>
            </w:pPr>
            <w:r w:rsidRPr="000A0855">
              <w:rPr>
                <w:rFonts w:ascii="Arial" w:hAnsi="Arial" w:cs="Arial"/>
                <w:sz w:val="22"/>
              </w:rPr>
              <w:t>($ million)</w:t>
            </w:r>
          </w:p>
        </w:tc>
      </w:tr>
      <w:tr w:rsidR="003E5BF5" w:rsidRPr="00E273FC" w14:paraId="6099FE32" w14:textId="77777777" w:rsidTr="00AF110B">
        <w:trPr>
          <w:trHeight w:val="340"/>
        </w:trPr>
        <w:tc>
          <w:tcPr>
            <w:tcW w:w="3379" w:type="dxa"/>
            <w:shd w:val="clear" w:color="auto" w:fill="auto"/>
            <w:tcMar>
              <w:left w:w="57" w:type="dxa"/>
              <w:right w:w="57" w:type="dxa"/>
            </w:tcMar>
            <w:vAlign w:val="center"/>
          </w:tcPr>
          <w:p w14:paraId="3488BA61" w14:textId="77777777" w:rsidR="003E5BF5" w:rsidRPr="00E273FC" w:rsidRDefault="003E5BF5" w:rsidP="00604703">
            <w:pPr>
              <w:pStyle w:val="TableTextGreen"/>
            </w:pPr>
            <w:r w:rsidRPr="00E273FC">
              <w:t>Actual result</w:t>
            </w:r>
          </w:p>
        </w:tc>
        <w:tc>
          <w:tcPr>
            <w:tcW w:w="1128" w:type="dxa"/>
            <w:shd w:val="clear" w:color="auto" w:fill="auto"/>
            <w:vAlign w:val="center"/>
          </w:tcPr>
          <w:p w14:paraId="7C62F8AC" w14:textId="77777777" w:rsidR="003E5BF5" w:rsidRPr="00E273FC" w:rsidRDefault="003E5BF5" w:rsidP="00DE1921">
            <w:pPr>
              <w:pStyle w:val="TableTextRight"/>
              <w:rPr>
                <w:rFonts w:ascii="Arial" w:hAnsi="Arial" w:cs="Arial"/>
                <w:sz w:val="24"/>
                <w:szCs w:val="24"/>
              </w:rPr>
            </w:pPr>
          </w:p>
        </w:tc>
        <w:tc>
          <w:tcPr>
            <w:tcW w:w="1141" w:type="dxa"/>
            <w:shd w:val="clear" w:color="auto" w:fill="auto"/>
            <w:tcMar>
              <w:left w:w="57" w:type="dxa"/>
              <w:right w:w="57" w:type="dxa"/>
            </w:tcMar>
            <w:vAlign w:val="center"/>
          </w:tcPr>
          <w:p w14:paraId="7BEACBBA" w14:textId="77777777" w:rsidR="003E5BF5" w:rsidRPr="00E273FC" w:rsidRDefault="003E5BF5" w:rsidP="00DE1921">
            <w:pPr>
              <w:pStyle w:val="TableTextRight"/>
              <w:rPr>
                <w:rFonts w:ascii="Arial" w:hAnsi="Arial" w:cs="Arial"/>
                <w:sz w:val="24"/>
                <w:szCs w:val="24"/>
              </w:rPr>
            </w:pPr>
          </w:p>
        </w:tc>
        <w:tc>
          <w:tcPr>
            <w:tcW w:w="1141" w:type="dxa"/>
            <w:shd w:val="clear" w:color="auto" w:fill="auto"/>
            <w:vAlign w:val="center"/>
          </w:tcPr>
          <w:p w14:paraId="7996987A" w14:textId="77777777" w:rsidR="003E5BF5" w:rsidRPr="00E273FC" w:rsidRDefault="003E5BF5" w:rsidP="00DE1921">
            <w:pPr>
              <w:pStyle w:val="TableTextRight"/>
              <w:rPr>
                <w:rFonts w:ascii="Arial" w:hAnsi="Arial" w:cs="Arial"/>
                <w:sz w:val="24"/>
                <w:szCs w:val="24"/>
              </w:rPr>
            </w:pPr>
          </w:p>
        </w:tc>
        <w:tc>
          <w:tcPr>
            <w:tcW w:w="1141" w:type="dxa"/>
            <w:shd w:val="clear" w:color="auto" w:fill="auto"/>
            <w:tcMar>
              <w:left w:w="57" w:type="dxa"/>
              <w:right w:w="57" w:type="dxa"/>
            </w:tcMar>
            <w:vAlign w:val="center"/>
          </w:tcPr>
          <w:p w14:paraId="21646E8B" w14:textId="77777777" w:rsidR="003E5BF5" w:rsidRPr="00E273FC" w:rsidRDefault="003E5BF5" w:rsidP="00DE1921">
            <w:pPr>
              <w:pStyle w:val="TableTextRight"/>
              <w:rPr>
                <w:rFonts w:ascii="Arial" w:hAnsi="Arial" w:cs="Arial"/>
                <w:sz w:val="24"/>
                <w:szCs w:val="24"/>
              </w:rPr>
            </w:pPr>
          </w:p>
        </w:tc>
        <w:tc>
          <w:tcPr>
            <w:tcW w:w="1142" w:type="dxa"/>
            <w:shd w:val="clear" w:color="auto" w:fill="auto"/>
            <w:tcMar>
              <w:left w:w="57" w:type="dxa"/>
              <w:right w:w="57" w:type="dxa"/>
            </w:tcMar>
            <w:vAlign w:val="center"/>
          </w:tcPr>
          <w:p w14:paraId="24F18577" w14:textId="77777777" w:rsidR="003E5BF5" w:rsidRPr="00E273FC" w:rsidRDefault="003E5BF5" w:rsidP="00DE1921">
            <w:pPr>
              <w:pStyle w:val="TableTextRight"/>
              <w:rPr>
                <w:rFonts w:ascii="Arial" w:hAnsi="Arial" w:cs="Arial"/>
                <w:sz w:val="24"/>
                <w:szCs w:val="24"/>
              </w:rPr>
            </w:pPr>
          </w:p>
        </w:tc>
      </w:tr>
      <w:tr w:rsidR="003E5BF5" w:rsidRPr="00E273FC" w14:paraId="630FD9CE" w14:textId="77777777" w:rsidTr="00AF110B">
        <w:trPr>
          <w:trHeight w:val="340"/>
        </w:trPr>
        <w:tc>
          <w:tcPr>
            <w:tcW w:w="3379" w:type="dxa"/>
            <w:shd w:val="clear" w:color="auto" w:fill="auto"/>
            <w:tcMar>
              <w:left w:w="57" w:type="dxa"/>
              <w:right w:w="57" w:type="dxa"/>
            </w:tcMar>
            <w:vAlign w:val="center"/>
          </w:tcPr>
          <w:p w14:paraId="0EB9A77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Opening balance 1 July 2019 (Actual)</w:t>
            </w:r>
          </w:p>
        </w:tc>
        <w:tc>
          <w:tcPr>
            <w:tcW w:w="1128" w:type="dxa"/>
            <w:shd w:val="clear" w:color="auto" w:fill="auto"/>
            <w:vAlign w:val="center"/>
          </w:tcPr>
          <w:p w14:paraId="03598DBE"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18,287.1 </w:t>
            </w:r>
          </w:p>
        </w:tc>
        <w:tc>
          <w:tcPr>
            <w:tcW w:w="1141" w:type="dxa"/>
            <w:shd w:val="clear" w:color="auto" w:fill="auto"/>
            <w:tcMar>
              <w:left w:w="57" w:type="dxa"/>
              <w:right w:w="57" w:type="dxa"/>
            </w:tcMar>
            <w:vAlign w:val="center"/>
          </w:tcPr>
          <w:p w14:paraId="1D9F76E3"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19,527.4 </w:t>
            </w:r>
          </w:p>
        </w:tc>
        <w:tc>
          <w:tcPr>
            <w:tcW w:w="1141" w:type="dxa"/>
            <w:shd w:val="clear" w:color="auto" w:fill="auto"/>
            <w:vAlign w:val="center"/>
          </w:tcPr>
          <w:p w14:paraId="09A0932C"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24,194.5 </w:t>
            </w:r>
          </w:p>
        </w:tc>
        <w:tc>
          <w:tcPr>
            <w:tcW w:w="1141" w:type="dxa"/>
            <w:shd w:val="clear" w:color="auto" w:fill="auto"/>
            <w:tcMar>
              <w:left w:w="57" w:type="dxa"/>
              <w:right w:w="57" w:type="dxa"/>
            </w:tcMar>
            <w:vAlign w:val="center"/>
          </w:tcPr>
          <w:p w14:paraId="703AB501"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 - </w:t>
            </w:r>
          </w:p>
        </w:tc>
        <w:tc>
          <w:tcPr>
            <w:tcW w:w="1142" w:type="dxa"/>
            <w:shd w:val="clear" w:color="auto" w:fill="auto"/>
            <w:tcMar>
              <w:left w:w="57" w:type="dxa"/>
              <w:right w:w="57" w:type="dxa"/>
            </w:tcMar>
            <w:vAlign w:val="center"/>
          </w:tcPr>
          <w:p w14:paraId="173EE625"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62,009.0 </w:t>
            </w:r>
          </w:p>
        </w:tc>
      </w:tr>
      <w:tr w:rsidR="003E5BF5" w:rsidRPr="00E273FC" w14:paraId="682187D3" w14:textId="77777777" w:rsidTr="00AF110B">
        <w:trPr>
          <w:trHeight w:val="340"/>
        </w:trPr>
        <w:tc>
          <w:tcPr>
            <w:tcW w:w="3379" w:type="dxa"/>
            <w:shd w:val="clear" w:color="auto" w:fill="auto"/>
            <w:tcMar>
              <w:left w:w="57" w:type="dxa"/>
              <w:right w:w="57" w:type="dxa"/>
            </w:tcMar>
            <w:vAlign w:val="center"/>
          </w:tcPr>
          <w:p w14:paraId="72238EC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Comprehensive result</w:t>
            </w:r>
          </w:p>
        </w:tc>
        <w:tc>
          <w:tcPr>
            <w:tcW w:w="1128" w:type="dxa"/>
            <w:shd w:val="clear" w:color="auto" w:fill="auto"/>
            <w:vAlign w:val="center"/>
          </w:tcPr>
          <w:p w14:paraId="592A1594"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(1,043.4) </w:t>
            </w:r>
          </w:p>
        </w:tc>
        <w:tc>
          <w:tcPr>
            <w:tcW w:w="1141" w:type="dxa"/>
            <w:shd w:val="clear" w:color="auto" w:fill="auto"/>
            <w:tcMar>
              <w:left w:w="57" w:type="dxa"/>
              <w:right w:w="57" w:type="dxa"/>
            </w:tcMar>
            <w:vAlign w:val="center"/>
          </w:tcPr>
          <w:p w14:paraId="3E8AB724" w14:textId="77777777" w:rsidR="003E5BF5" w:rsidRPr="00E273FC" w:rsidRDefault="003E5BF5" w:rsidP="00DE1921">
            <w:pPr>
              <w:pStyle w:val="TableTextRight"/>
              <w:rPr>
                <w:rFonts w:ascii="Arial" w:eastAsia="Times New Roman" w:hAnsi="Arial" w:cs="Arial"/>
                <w:color w:val="000000"/>
                <w:sz w:val="24"/>
                <w:szCs w:val="24"/>
                <w:lang w:eastAsia="en-AU"/>
              </w:rPr>
            </w:pPr>
            <w:r w:rsidRPr="00E273FC">
              <w:rPr>
                <w:rFonts w:ascii="Arial" w:eastAsia="Times New Roman" w:hAnsi="Arial" w:cs="Arial"/>
                <w:color w:val="000000"/>
                <w:sz w:val="24"/>
                <w:szCs w:val="24"/>
                <w:lang w:eastAsia="en-AU"/>
              </w:rPr>
              <w:t>- </w:t>
            </w:r>
          </w:p>
        </w:tc>
        <w:tc>
          <w:tcPr>
            <w:tcW w:w="1141" w:type="dxa"/>
            <w:shd w:val="clear" w:color="auto" w:fill="auto"/>
            <w:vAlign w:val="center"/>
          </w:tcPr>
          <w:p w14:paraId="6AA0BAE4" w14:textId="77777777" w:rsidR="003E5BF5" w:rsidRPr="00E273FC" w:rsidRDefault="003E5BF5" w:rsidP="00DE1921">
            <w:pPr>
              <w:pStyle w:val="TableTextRight"/>
              <w:rPr>
                <w:rFonts w:ascii="Arial" w:eastAsia="Times New Roman" w:hAnsi="Arial" w:cs="Arial"/>
                <w:color w:val="000000"/>
                <w:sz w:val="24"/>
                <w:szCs w:val="24"/>
                <w:lang w:eastAsia="en-AU"/>
              </w:rPr>
            </w:pPr>
            <w:r w:rsidRPr="00E273FC">
              <w:rPr>
                <w:rFonts w:ascii="Arial" w:eastAsia="Times New Roman" w:hAnsi="Arial" w:cs="Arial"/>
                <w:color w:val="000000"/>
                <w:sz w:val="24"/>
                <w:szCs w:val="24"/>
                <w:lang w:eastAsia="en-AU"/>
              </w:rPr>
              <w:t xml:space="preserve">12,084.7 </w:t>
            </w:r>
          </w:p>
        </w:tc>
        <w:tc>
          <w:tcPr>
            <w:tcW w:w="1141" w:type="dxa"/>
            <w:shd w:val="clear" w:color="auto" w:fill="auto"/>
            <w:tcMar>
              <w:left w:w="57" w:type="dxa"/>
              <w:right w:w="57" w:type="dxa"/>
            </w:tcMar>
            <w:vAlign w:val="center"/>
          </w:tcPr>
          <w:p w14:paraId="332E9C5D"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 - </w:t>
            </w:r>
          </w:p>
        </w:tc>
        <w:tc>
          <w:tcPr>
            <w:tcW w:w="1142" w:type="dxa"/>
            <w:shd w:val="clear" w:color="auto" w:fill="auto"/>
            <w:tcMar>
              <w:left w:w="57" w:type="dxa"/>
              <w:right w:w="57" w:type="dxa"/>
            </w:tcMar>
            <w:vAlign w:val="center"/>
          </w:tcPr>
          <w:p w14:paraId="1E3165F7"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11,041.3 </w:t>
            </w:r>
          </w:p>
        </w:tc>
      </w:tr>
      <w:tr w:rsidR="003E5BF5" w:rsidRPr="00E273FC" w14:paraId="072D2262" w14:textId="77777777" w:rsidTr="00AF110B">
        <w:trPr>
          <w:trHeight w:val="340"/>
        </w:trPr>
        <w:tc>
          <w:tcPr>
            <w:tcW w:w="3379" w:type="dxa"/>
            <w:shd w:val="clear" w:color="auto" w:fill="auto"/>
            <w:tcMar>
              <w:left w:w="57" w:type="dxa"/>
              <w:right w:w="57" w:type="dxa"/>
            </w:tcMar>
            <w:vAlign w:val="center"/>
          </w:tcPr>
          <w:p w14:paraId="6964945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Machinery-of-Government</w:t>
            </w:r>
          </w:p>
        </w:tc>
        <w:tc>
          <w:tcPr>
            <w:tcW w:w="1128" w:type="dxa"/>
            <w:shd w:val="clear" w:color="auto" w:fill="auto"/>
            <w:vAlign w:val="center"/>
          </w:tcPr>
          <w:p w14:paraId="529C0D59" w14:textId="77777777" w:rsidR="003E5BF5" w:rsidRPr="00E273FC" w:rsidRDefault="003E5BF5" w:rsidP="00DE1921">
            <w:pPr>
              <w:pStyle w:val="TableTextRight"/>
              <w:rPr>
                <w:rFonts w:ascii="Arial" w:eastAsia="Times New Roman" w:hAnsi="Arial" w:cs="Arial"/>
                <w:color w:val="000000"/>
                <w:sz w:val="24"/>
                <w:szCs w:val="24"/>
                <w:lang w:eastAsia="en-AU"/>
              </w:rPr>
            </w:pPr>
            <w:r w:rsidRPr="00E273FC">
              <w:rPr>
                <w:rFonts w:ascii="Arial" w:eastAsia="Times New Roman" w:hAnsi="Arial" w:cs="Arial"/>
                <w:color w:val="000000"/>
                <w:sz w:val="24"/>
                <w:szCs w:val="24"/>
                <w:lang w:eastAsia="en-AU"/>
              </w:rPr>
              <w:t>(19,447.7)</w:t>
            </w:r>
          </w:p>
        </w:tc>
        <w:tc>
          <w:tcPr>
            <w:tcW w:w="1141" w:type="dxa"/>
            <w:shd w:val="clear" w:color="auto" w:fill="auto"/>
            <w:tcMar>
              <w:left w:w="57" w:type="dxa"/>
              <w:right w:w="57" w:type="dxa"/>
            </w:tcMar>
            <w:vAlign w:val="center"/>
          </w:tcPr>
          <w:p w14:paraId="47B8E234" w14:textId="77777777" w:rsidR="003E5BF5" w:rsidRPr="00E273FC" w:rsidRDefault="003E5BF5" w:rsidP="00DE1921">
            <w:pPr>
              <w:pStyle w:val="TableTextRight"/>
              <w:rPr>
                <w:rFonts w:ascii="Arial" w:eastAsia="Times New Roman" w:hAnsi="Arial" w:cs="Arial"/>
                <w:color w:val="000000"/>
                <w:sz w:val="24"/>
                <w:szCs w:val="24"/>
                <w:lang w:eastAsia="en-AU"/>
              </w:rPr>
            </w:pPr>
            <w:r w:rsidRPr="00E273FC">
              <w:rPr>
                <w:rFonts w:ascii="Arial" w:eastAsia="Times New Roman" w:hAnsi="Arial" w:cs="Arial"/>
                <w:color w:val="000000"/>
                <w:sz w:val="24"/>
                <w:szCs w:val="24"/>
                <w:lang w:eastAsia="en-AU"/>
              </w:rPr>
              <w:t>43,122.8</w:t>
            </w:r>
          </w:p>
        </w:tc>
        <w:tc>
          <w:tcPr>
            <w:tcW w:w="1141" w:type="dxa"/>
            <w:shd w:val="clear" w:color="auto" w:fill="auto"/>
            <w:vAlign w:val="center"/>
          </w:tcPr>
          <w:p w14:paraId="1ACABAB0" w14:textId="77777777" w:rsidR="003E5BF5" w:rsidRPr="00E273FC" w:rsidRDefault="003E5BF5" w:rsidP="00DE1921">
            <w:pPr>
              <w:pStyle w:val="TableTextRight"/>
              <w:rPr>
                <w:rFonts w:ascii="Arial" w:eastAsia="Times New Roman" w:hAnsi="Arial" w:cs="Arial"/>
                <w:color w:val="000000"/>
                <w:sz w:val="24"/>
                <w:szCs w:val="24"/>
                <w:lang w:eastAsia="en-AU"/>
              </w:rPr>
            </w:pPr>
            <w:r w:rsidRPr="00E273FC">
              <w:rPr>
                <w:rFonts w:ascii="Arial" w:eastAsia="Times New Roman" w:hAnsi="Arial" w:cs="Arial"/>
                <w:color w:val="000000"/>
                <w:sz w:val="24"/>
                <w:szCs w:val="24"/>
                <w:lang w:eastAsia="en-AU"/>
              </w:rPr>
              <w:t>(23,675.1)</w:t>
            </w:r>
          </w:p>
        </w:tc>
        <w:tc>
          <w:tcPr>
            <w:tcW w:w="1141" w:type="dxa"/>
            <w:shd w:val="clear" w:color="auto" w:fill="auto"/>
            <w:tcMar>
              <w:left w:w="57" w:type="dxa"/>
              <w:right w:w="57" w:type="dxa"/>
            </w:tcMar>
            <w:vAlign w:val="center"/>
          </w:tcPr>
          <w:p w14:paraId="6E68A496" w14:textId="77777777" w:rsidR="003E5BF5" w:rsidRPr="00E273FC" w:rsidRDefault="003E5BF5" w:rsidP="00DE1921">
            <w:pPr>
              <w:pStyle w:val="TableTextRight"/>
              <w:rPr>
                <w:rFonts w:ascii="Arial" w:eastAsia="Times New Roman" w:hAnsi="Arial" w:cs="Arial"/>
                <w:color w:val="000000"/>
                <w:sz w:val="24"/>
                <w:szCs w:val="24"/>
                <w:lang w:eastAsia="en-AU"/>
              </w:rPr>
            </w:pPr>
            <w:r w:rsidRPr="00E273FC">
              <w:rPr>
                <w:rFonts w:ascii="Arial" w:eastAsia="Times New Roman" w:hAnsi="Arial" w:cs="Arial"/>
                <w:color w:val="000000"/>
                <w:sz w:val="24"/>
                <w:szCs w:val="24"/>
                <w:lang w:eastAsia="en-AU"/>
              </w:rPr>
              <w:t>-</w:t>
            </w:r>
          </w:p>
        </w:tc>
        <w:tc>
          <w:tcPr>
            <w:tcW w:w="1142" w:type="dxa"/>
            <w:shd w:val="clear" w:color="auto" w:fill="auto"/>
            <w:tcMar>
              <w:left w:w="57" w:type="dxa"/>
              <w:right w:w="57" w:type="dxa"/>
            </w:tcMar>
            <w:vAlign w:val="center"/>
          </w:tcPr>
          <w:p w14:paraId="3F7F069A" w14:textId="77777777" w:rsidR="003E5BF5" w:rsidRPr="00E273FC" w:rsidRDefault="003E5BF5" w:rsidP="00DE1921">
            <w:pPr>
              <w:pStyle w:val="TableTextRight"/>
              <w:rPr>
                <w:rFonts w:ascii="Arial" w:eastAsia="Times New Roman" w:hAnsi="Arial" w:cs="Arial"/>
                <w:color w:val="000000"/>
                <w:sz w:val="24"/>
                <w:szCs w:val="24"/>
                <w:lang w:eastAsia="en-AU"/>
              </w:rPr>
            </w:pPr>
            <w:r w:rsidRPr="00E273FC">
              <w:rPr>
                <w:rFonts w:ascii="Arial" w:eastAsia="Times New Roman" w:hAnsi="Arial" w:cs="Arial"/>
                <w:color w:val="000000"/>
                <w:sz w:val="24"/>
                <w:szCs w:val="24"/>
                <w:lang w:eastAsia="en-AU"/>
              </w:rPr>
              <w:t>-</w:t>
            </w:r>
          </w:p>
        </w:tc>
      </w:tr>
      <w:tr w:rsidR="003E5BF5" w:rsidRPr="00E273FC" w14:paraId="3F19ED34" w14:textId="77777777" w:rsidTr="00AF110B">
        <w:trPr>
          <w:trHeight w:val="340"/>
        </w:trPr>
        <w:tc>
          <w:tcPr>
            <w:tcW w:w="3379" w:type="dxa"/>
            <w:shd w:val="clear" w:color="auto" w:fill="auto"/>
            <w:tcMar>
              <w:left w:w="57" w:type="dxa"/>
              <w:right w:w="57" w:type="dxa"/>
            </w:tcMar>
          </w:tcPr>
          <w:p w14:paraId="698CB44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Transaction with owners in their capacity as owners</w:t>
            </w:r>
          </w:p>
        </w:tc>
        <w:tc>
          <w:tcPr>
            <w:tcW w:w="1128" w:type="dxa"/>
            <w:shd w:val="clear" w:color="auto" w:fill="auto"/>
          </w:tcPr>
          <w:p w14:paraId="55EE2911"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 - </w:t>
            </w:r>
          </w:p>
        </w:tc>
        <w:tc>
          <w:tcPr>
            <w:tcW w:w="1141" w:type="dxa"/>
            <w:shd w:val="clear" w:color="auto" w:fill="auto"/>
            <w:tcMar>
              <w:left w:w="57" w:type="dxa"/>
              <w:right w:w="57" w:type="dxa"/>
            </w:tcMar>
          </w:tcPr>
          <w:p w14:paraId="2CAA605F"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2,402.6 </w:t>
            </w:r>
          </w:p>
        </w:tc>
        <w:tc>
          <w:tcPr>
            <w:tcW w:w="1141" w:type="dxa"/>
            <w:shd w:val="clear" w:color="auto" w:fill="auto"/>
          </w:tcPr>
          <w:p w14:paraId="1F3FE545"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w:t>
            </w:r>
          </w:p>
        </w:tc>
        <w:tc>
          <w:tcPr>
            <w:tcW w:w="1141" w:type="dxa"/>
            <w:shd w:val="clear" w:color="auto" w:fill="auto"/>
            <w:tcMar>
              <w:left w:w="57" w:type="dxa"/>
              <w:right w:w="57" w:type="dxa"/>
            </w:tcMar>
          </w:tcPr>
          <w:p w14:paraId="714B49DA"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w:t>
            </w:r>
          </w:p>
        </w:tc>
        <w:tc>
          <w:tcPr>
            <w:tcW w:w="1142" w:type="dxa"/>
            <w:shd w:val="clear" w:color="auto" w:fill="auto"/>
            <w:tcMar>
              <w:left w:w="57" w:type="dxa"/>
              <w:right w:w="57" w:type="dxa"/>
            </w:tcMar>
          </w:tcPr>
          <w:p w14:paraId="705D1C77"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2,402.6 </w:t>
            </w:r>
          </w:p>
        </w:tc>
      </w:tr>
      <w:tr w:rsidR="003E5BF5" w:rsidRPr="00E273FC" w14:paraId="1B00E7DD" w14:textId="77777777" w:rsidTr="00AF110B">
        <w:trPr>
          <w:trHeight w:val="340"/>
        </w:trPr>
        <w:tc>
          <w:tcPr>
            <w:tcW w:w="3379" w:type="dxa"/>
            <w:shd w:val="clear" w:color="auto" w:fill="auto"/>
            <w:tcMar>
              <w:left w:w="57" w:type="dxa"/>
              <w:right w:w="57" w:type="dxa"/>
            </w:tcMar>
            <w:vAlign w:val="center"/>
          </w:tcPr>
          <w:p w14:paraId="60ADB3FD"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Closing balance 30 June 2020 (Actual)</w:t>
            </w:r>
          </w:p>
        </w:tc>
        <w:tc>
          <w:tcPr>
            <w:tcW w:w="1128" w:type="dxa"/>
            <w:shd w:val="clear" w:color="auto" w:fill="auto"/>
            <w:vAlign w:val="center"/>
          </w:tcPr>
          <w:p w14:paraId="02DED16C"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(2,203.9) </w:t>
            </w:r>
          </w:p>
        </w:tc>
        <w:tc>
          <w:tcPr>
            <w:tcW w:w="1141" w:type="dxa"/>
            <w:shd w:val="clear" w:color="auto" w:fill="auto"/>
            <w:tcMar>
              <w:left w:w="57" w:type="dxa"/>
              <w:right w:w="57" w:type="dxa"/>
            </w:tcMar>
            <w:vAlign w:val="center"/>
          </w:tcPr>
          <w:p w14:paraId="3914CDEA"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65,052.7 </w:t>
            </w:r>
          </w:p>
        </w:tc>
        <w:tc>
          <w:tcPr>
            <w:tcW w:w="1141" w:type="dxa"/>
            <w:shd w:val="clear" w:color="auto" w:fill="auto"/>
            <w:vAlign w:val="center"/>
          </w:tcPr>
          <w:p w14:paraId="6E2C4DE5"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12,604.1 </w:t>
            </w:r>
          </w:p>
        </w:tc>
        <w:tc>
          <w:tcPr>
            <w:tcW w:w="1141" w:type="dxa"/>
            <w:shd w:val="clear" w:color="auto" w:fill="auto"/>
            <w:tcMar>
              <w:left w:w="57" w:type="dxa"/>
              <w:right w:w="57" w:type="dxa"/>
            </w:tcMar>
            <w:vAlign w:val="center"/>
          </w:tcPr>
          <w:p w14:paraId="34B52A66"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 - </w:t>
            </w:r>
          </w:p>
        </w:tc>
        <w:tc>
          <w:tcPr>
            <w:tcW w:w="1142" w:type="dxa"/>
            <w:shd w:val="clear" w:color="auto" w:fill="auto"/>
            <w:tcMar>
              <w:left w:w="57" w:type="dxa"/>
              <w:right w:w="57" w:type="dxa"/>
            </w:tcMar>
            <w:vAlign w:val="center"/>
          </w:tcPr>
          <w:p w14:paraId="25286D96"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75,452.9 </w:t>
            </w:r>
          </w:p>
        </w:tc>
      </w:tr>
      <w:tr w:rsidR="003E5BF5" w:rsidRPr="00E273FC" w14:paraId="78B98D6C" w14:textId="77777777" w:rsidTr="00AF110B">
        <w:trPr>
          <w:trHeight w:val="340"/>
        </w:trPr>
        <w:tc>
          <w:tcPr>
            <w:tcW w:w="3379" w:type="dxa"/>
            <w:shd w:val="clear" w:color="auto" w:fill="auto"/>
            <w:tcMar>
              <w:left w:w="57" w:type="dxa"/>
              <w:right w:w="57" w:type="dxa"/>
            </w:tcMar>
            <w:vAlign w:val="center"/>
          </w:tcPr>
          <w:p w14:paraId="0CCBD0FF" w14:textId="77777777" w:rsidR="003E5BF5" w:rsidRPr="00E273FC" w:rsidRDefault="003E5BF5" w:rsidP="00604703">
            <w:pPr>
              <w:pStyle w:val="TableTextGreen"/>
            </w:pPr>
            <w:r w:rsidRPr="00E273FC">
              <w:t>Budget result</w:t>
            </w:r>
          </w:p>
        </w:tc>
        <w:tc>
          <w:tcPr>
            <w:tcW w:w="1128" w:type="dxa"/>
            <w:shd w:val="clear" w:color="auto" w:fill="auto"/>
            <w:vAlign w:val="center"/>
          </w:tcPr>
          <w:p w14:paraId="021D7399"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w:t>
            </w:r>
          </w:p>
        </w:tc>
        <w:tc>
          <w:tcPr>
            <w:tcW w:w="1141" w:type="dxa"/>
            <w:shd w:val="clear" w:color="auto" w:fill="auto"/>
            <w:tcMar>
              <w:left w:w="57" w:type="dxa"/>
              <w:right w:w="57" w:type="dxa"/>
            </w:tcMar>
            <w:vAlign w:val="center"/>
          </w:tcPr>
          <w:p w14:paraId="3EE86775"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w:t>
            </w:r>
          </w:p>
        </w:tc>
        <w:tc>
          <w:tcPr>
            <w:tcW w:w="1141" w:type="dxa"/>
            <w:shd w:val="clear" w:color="auto" w:fill="auto"/>
            <w:vAlign w:val="center"/>
          </w:tcPr>
          <w:p w14:paraId="74D5DA28"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w:t>
            </w:r>
          </w:p>
        </w:tc>
        <w:tc>
          <w:tcPr>
            <w:tcW w:w="1141" w:type="dxa"/>
            <w:shd w:val="clear" w:color="auto" w:fill="auto"/>
            <w:tcMar>
              <w:left w:w="57" w:type="dxa"/>
              <w:right w:w="57" w:type="dxa"/>
            </w:tcMar>
            <w:vAlign w:val="center"/>
          </w:tcPr>
          <w:p w14:paraId="4B1F1B87"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w:t>
            </w:r>
          </w:p>
        </w:tc>
        <w:tc>
          <w:tcPr>
            <w:tcW w:w="1142" w:type="dxa"/>
            <w:shd w:val="clear" w:color="auto" w:fill="auto"/>
            <w:tcMar>
              <w:left w:w="57" w:type="dxa"/>
              <w:right w:w="57" w:type="dxa"/>
            </w:tcMar>
            <w:vAlign w:val="center"/>
          </w:tcPr>
          <w:p w14:paraId="036FF292"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 - </w:t>
            </w:r>
          </w:p>
        </w:tc>
      </w:tr>
      <w:tr w:rsidR="003E5BF5" w:rsidRPr="00E273FC" w14:paraId="7F63E7DC" w14:textId="77777777" w:rsidTr="00AF110B">
        <w:trPr>
          <w:trHeight w:val="340"/>
        </w:trPr>
        <w:tc>
          <w:tcPr>
            <w:tcW w:w="3379" w:type="dxa"/>
            <w:shd w:val="clear" w:color="auto" w:fill="auto"/>
            <w:tcMar>
              <w:left w:w="57" w:type="dxa"/>
              <w:right w:w="57" w:type="dxa"/>
            </w:tcMar>
            <w:vAlign w:val="center"/>
          </w:tcPr>
          <w:p w14:paraId="017365E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Opening balance 1 July 2019 (Actual)</w:t>
            </w:r>
          </w:p>
        </w:tc>
        <w:tc>
          <w:tcPr>
            <w:tcW w:w="1128" w:type="dxa"/>
            <w:shd w:val="clear" w:color="auto" w:fill="auto"/>
            <w:vAlign w:val="center"/>
          </w:tcPr>
          <w:p w14:paraId="4318A6D5"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15,698.1 </w:t>
            </w:r>
          </w:p>
        </w:tc>
        <w:tc>
          <w:tcPr>
            <w:tcW w:w="1141" w:type="dxa"/>
            <w:shd w:val="clear" w:color="auto" w:fill="auto"/>
            <w:tcMar>
              <w:left w:w="57" w:type="dxa"/>
              <w:right w:w="57" w:type="dxa"/>
            </w:tcMar>
            <w:vAlign w:val="center"/>
          </w:tcPr>
          <w:p w14:paraId="23C50C67"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19,721.5 </w:t>
            </w:r>
          </w:p>
        </w:tc>
        <w:tc>
          <w:tcPr>
            <w:tcW w:w="1141" w:type="dxa"/>
            <w:shd w:val="clear" w:color="auto" w:fill="auto"/>
            <w:vAlign w:val="center"/>
          </w:tcPr>
          <w:p w14:paraId="5979943F"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25,241.8 </w:t>
            </w:r>
          </w:p>
        </w:tc>
        <w:tc>
          <w:tcPr>
            <w:tcW w:w="1141" w:type="dxa"/>
            <w:shd w:val="clear" w:color="auto" w:fill="auto"/>
            <w:tcMar>
              <w:left w:w="57" w:type="dxa"/>
              <w:right w:w="57" w:type="dxa"/>
            </w:tcMar>
            <w:vAlign w:val="center"/>
          </w:tcPr>
          <w:p w14:paraId="28392402"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 - </w:t>
            </w:r>
          </w:p>
        </w:tc>
        <w:tc>
          <w:tcPr>
            <w:tcW w:w="1142" w:type="dxa"/>
            <w:shd w:val="clear" w:color="auto" w:fill="auto"/>
            <w:tcMar>
              <w:left w:w="57" w:type="dxa"/>
              <w:right w:w="57" w:type="dxa"/>
            </w:tcMar>
            <w:vAlign w:val="center"/>
          </w:tcPr>
          <w:p w14:paraId="33272284"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60,661.4 </w:t>
            </w:r>
          </w:p>
        </w:tc>
      </w:tr>
      <w:tr w:rsidR="003E5BF5" w:rsidRPr="00E273FC" w14:paraId="120DCC84" w14:textId="77777777" w:rsidTr="00AF110B">
        <w:trPr>
          <w:trHeight w:val="340"/>
        </w:trPr>
        <w:tc>
          <w:tcPr>
            <w:tcW w:w="3379" w:type="dxa"/>
            <w:shd w:val="clear" w:color="auto" w:fill="auto"/>
            <w:tcMar>
              <w:left w:w="57" w:type="dxa"/>
              <w:right w:w="57" w:type="dxa"/>
            </w:tcMar>
            <w:vAlign w:val="center"/>
          </w:tcPr>
          <w:p w14:paraId="36C2CED2"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Comprehensive result</w:t>
            </w:r>
          </w:p>
        </w:tc>
        <w:tc>
          <w:tcPr>
            <w:tcW w:w="1128" w:type="dxa"/>
            <w:shd w:val="clear" w:color="auto" w:fill="auto"/>
            <w:vAlign w:val="center"/>
          </w:tcPr>
          <w:p w14:paraId="6A851758"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(55.8)</w:t>
            </w:r>
          </w:p>
        </w:tc>
        <w:tc>
          <w:tcPr>
            <w:tcW w:w="1141" w:type="dxa"/>
            <w:shd w:val="clear" w:color="auto" w:fill="auto"/>
            <w:tcMar>
              <w:left w:w="57" w:type="dxa"/>
              <w:right w:w="57" w:type="dxa"/>
            </w:tcMar>
            <w:vAlign w:val="center"/>
          </w:tcPr>
          <w:p w14:paraId="0EDD68A2" w14:textId="77777777" w:rsidR="003E5BF5" w:rsidRPr="00E273FC" w:rsidRDefault="003E5BF5" w:rsidP="00DE1921">
            <w:pPr>
              <w:pStyle w:val="TableTextRight"/>
              <w:rPr>
                <w:rFonts w:ascii="Arial" w:eastAsia="Times New Roman" w:hAnsi="Arial" w:cs="Arial"/>
                <w:color w:val="000000"/>
                <w:sz w:val="24"/>
                <w:szCs w:val="24"/>
                <w:lang w:eastAsia="en-AU"/>
              </w:rPr>
            </w:pPr>
            <w:r w:rsidRPr="00E273FC">
              <w:rPr>
                <w:rFonts w:ascii="Arial" w:hAnsi="Arial" w:cs="Arial"/>
                <w:color w:val="000000"/>
                <w:sz w:val="24"/>
                <w:szCs w:val="24"/>
              </w:rPr>
              <w:t xml:space="preserve"> -   </w:t>
            </w:r>
          </w:p>
        </w:tc>
        <w:tc>
          <w:tcPr>
            <w:tcW w:w="1141" w:type="dxa"/>
            <w:shd w:val="clear" w:color="auto" w:fill="auto"/>
            <w:vAlign w:val="center"/>
          </w:tcPr>
          <w:p w14:paraId="5F03C446" w14:textId="77777777" w:rsidR="003E5BF5" w:rsidRPr="00E273FC" w:rsidRDefault="003E5BF5" w:rsidP="00DE1921">
            <w:pPr>
              <w:pStyle w:val="TableTextRight"/>
              <w:rPr>
                <w:rFonts w:ascii="Arial" w:eastAsia="Times New Roman" w:hAnsi="Arial" w:cs="Arial"/>
                <w:color w:val="000000"/>
                <w:sz w:val="24"/>
                <w:szCs w:val="24"/>
                <w:lang w:eastAsia="en-AU"/>
              </w:rPr>
            </w:pPr>
            <w:r w:rsidRPr="00E273FC">
              <w:rPr>
                <w:rFonts w:ascii="Arial" w:hAnsi="Arial" w:cs="Arial"/>
                <w:color w:val="000000"/>
                <w:sz w:val="24"/>
                <w:szCs w:val="24"/>
              </w:rPr>
              <w:t xml:space="preserve">3,140.2 </w:t>
            </w:r>
          </w:p>
        </w:tc>
        <w:tc>
          <w:tcPr>
            <w:tcW w:w="1141" w:type="dxa"/>
            <w:shd w:val="clear" w:color="auto" w:fill="auto"/>
            <w:tcMar>
              <w:left w:w="57" w:type="dxa"/>
              <w:right w:w="57" w:type="dxa"/>
            </w:tcMar>
            <w:vAlign w:val="center"/>
          </w:tcPr>
          <w:p w14:paraId="2E8D9ED4"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 - </w:t>
            </w:r>
          </w:p>
        </w:tc>
        <w:tc>
          <w:tcPr>
            <w:tcW w:w="1142" w:type="dxa"/>
            <w:shd w:val="clear" w:color="auto" w:fill="auto"/>
            <w:tcMar>
              <w:left w:w="57" w:type="dxa"/>
              <w:right w:w="57" w:type="dxa"/>
            </w:tcMar>
            <w:vAlign w:val="center"/>
          </w:tcPr>
          <w:p w14:paraId="0A12E5FD"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3,084.4 </w:t>
            </w:r>
          </w:p>
        </w:tc>
      </w:tr>
      <w:tr w:rsidR="003E5BF5" w:rsidRPr="00E273FC" w14:paraId="4FBAC573" w14:textId="77777777" w:rsidTr="00AF110B">
        <w:trPr>
          <w:trHeight w:val="340"/>
        </w:trPr>
        <w:tc>
          <w:tcPr>
            <w:tcW w:w="3379" w:type="dxa"/>
            <w:shd w:val="clear" w:color="auto" w:fill="auto"/>
            <w:tcMar>
              <w:left w:w="57" w:type="dxa"/>
              <w:right w:w="57" w:type="dxa"/>
            </w:tcMar>
            <w:vAlign w:val="center"/>
          </w:tcPr>
          <w:p w14:paraId="366BA0D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Transaction with owners in their capacity as owners</w:t>
            </w:r>
          </w:p>
        </w:tc>
        <w:tc>
          <w:tcPr>
            <w:tcW w:w="1128" w:type="dxa"/>
            <w:shd w:val="clear" w:color="auto" w:fill="auto"/>
            <w:vAlign w:val="center"/>
          </w:tcPr>
          <w:p w14:paraId="5A075856"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3,207.9 </w:t>
            </w:r>
          </w:p>
        </w:tc>
        <w:tc>
          <w:tcPr>
            <w:tcW w:w="1141" w:type="dxa"/>
            <w:shd w:val="clear" w:color="auto" w:fill="auto"/>
            <w:tcMar>
              <w:left w:w="57" w:type="dxa"/>
              <w:right w:w="57" w:type="dxa"/>
            </w:tcMar>
            <w:vAlign w:val="center"/>
          </w:tcPr>
          <w:p w14:paraId="66D4C676"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988.8 </w:t>
            </w:r>
          </w:p>
        </w:tc>
        <w:tc>
          <w:tcPr>
            <w:tcW w:w="1141" w:type="dxa"/>
            <w:shd w:val="clear" w:color="auto" w:fill="auto"/>
            <w:vAlign w:val="center"/>
          </w:tcPr>
          <w:p w14:paraId="0BCE9A4D"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119.0 </w:t>
            </w:r>
          </w:p>
        </w:tc>
        <w:tc>
          <w:tcPr>
            <w:tcW w:w="1141" w:type="dxa"/>
            <w:shd w:val="clear" w:color="auto" w:fill="auto"/>
            <w:tcMar>
              <w:left w:w="57" w:type="dxa"/>
              <w:right w:w="57" w:type="dxa"/>
            </w:tcMar>
            <w:vAlign w:val="center"/>
          </w:tcPr>
          <w:p w14:paraId="10023200"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 -   </w:t>
            </w:r>
          </w:p>
        </w:tc>
        <w:tc>
          <w:tcPr>
            <w:tcW w:w="1142" w:type="dxa"/>
            <w:shd w:val="clear" w:color="auto" w:fill="auto"/>
            <w:tcMar>
              <w:left w:w="57" w:type="dxa"/>
              <w:right w:w="57" w:type="dxa"/>
            </w:tcMar>
            <w:vAlign w:val="center"/>
          </w:tcPr>
          <w:p w14:paraId="3F44DC0D"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sz w:val="24"/>
                <w:szCs w:val="24"/>
              </w:rPr>
              <w:t xml:space="preserve">4,315.7 </w:t>
            </w:r>
          </w:p>
        </w:tc>
      </w:tr>
      <w:tr w:rsidR="003E5BF5" w:rsidRPr="00E273FC" w14:paraId="49BDF011" w14:textId="77777777" w:rsidTr="00AF110B">
        <w:trPr>
          <w:trHeight w:val="340"/>
        </w:trPr>
        <w:tc>
          <w:tcPr>
            <w:tcW w:w="3379" w:type="dxa"/>
            <w:shd w:val="clear" w:color="auto" w:fill="auto"/>
            <w:tcMar>
              <w:left w:w="57" w:type="dxa"/>
              <w:right w:w="57" w:type="dxa"/>
            </w:tcMar>
            <w:vAlign w:val="center"/>
          </w:tcPr>
          <w:p w14:paraId="4B35A7BD"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Closing balance 30 June 2020 (Budget)</w:t>
            </w:r>
          </w:p>
        </w:tc>
        <w:tc>
          <w:tcPr>
            <w:tcW w:w="1128" w:type="dxa"/>
            <w:shd w:val="clear" w:color="auto" w:fill="auto"/>
            <w:vAlign w:val="center"/>
          </w:tcPr>
          <w:p w14:paraId="6470EB21"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 xml:space="preserve">18,850.2 </w:t>
            </w:r>
          </w:p>
        </w:tc>
        <w:tc>
          <w:tcPr>
            <w:tcW w:w="1141" w:type="dxa"/>
            <w:shd w:val="clear" w:color="auto" w:fill="auto"/>
            <w:tcMar>
              <w:left w:w="57" w:type="dxa"/>
              <w:right w:w="57" w:type="dxa"/>
            </w:tcMar>
            <w:vAlign w:val="center"/>
          </w:tcPr>
          <w:p w14:paraId="5AF9394A"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 xml:space="preserve">20,710.3 </w:t>
            </w:r>
          </w:p>
        </w:tc>
        <w:tc>
          <w:tcPr>
            <w:tcW w:w="1141" w:type="dxa"/>
            <w:shd w:val="clear" w:color="auto" w:fill="auto"/>
            <w:vAlign w:val="center"/>
          </w:tcPr>
          <w:p w14:paraId="26179FBB"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 xml:space="preserve">28,501.0 </w:t>
            </w:r>
          </w:p>
        </w:tc>
        <w:tc>
          <w:tcPr>
            <w:tcW w:w="1141" w:type="dxa"/>
            <w:shd w:val="clear" w:color="auto" w:fill="auto"/>
            <w:tcMar>
              <w:left w:w="57" w:type="dxa"/>
              <w:right w:w="57" w:type="dxa"/>
            </w:tcMar>
            <w:vAlign w:val="center"/>
          </w:tcPr>
          <w:p w14:paraId="73578639"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 xml:space="preserve"> - </w:t>
            </w:r>
          </w:p>
        </w:tc>
        <w:tc>
          <w:tcPr>
            <w:tcW w:w="1142" w:type="dxa"/>
            <w:shd w:val="clear" w:color="auto" w:fill="auto"/>
            <w:tcMar>
              <w:left w:w="57" w:type="dxa"/>
              <w:right w:w="57" w:type="dxa"/>
            </w:tcMar>
            <w:vAlign w:val="center"/>
          </w:tcPr>
          <w:p w14:paraId="7FC528DF" w14:textId="77777777" w:rsidR="003E5BF5" w:rsidRPr="00E273FC" w:rsidRDefault="003E5BF5" w:rsidP="00DE1921">
            <w:pPr>
              <w:pStyle w:val="TableTextRightBold"/>
              <w:rPr>
                <w:rFonts w:ascii="Arial" w:hAnsi="Arial" w:cs="Arial"/>
                <w:sz w:val="24"/>
                <w:szCs w:val="24"/>
              </w:rPr>
            </w:pPr>
            <w:r w:rsidRPr="00E273FC">
              <w:rPr>
                <w:rFonts w:ascii="Arial" w:hAnsi="Arial" w:cs="Arial"/>
                <w:color w:val="000000"/>
                <w:sz w:val="24"/>
                <w:szCs w:val="24"/>
              </w:rPr>
              <w:t xml:space="preserve">68,061.5 </w:t>
            </w:r>
          </w:p>
        </w:tc>
      </w:tr>
    </w:tbl>
    <w:p w14:paraId="16AF9C29" w14:textId="77777777" w:rsidR="003E5BF5" w:rsidRPr="00E273FC" w:rsidRDefault="003E5BF5" w:rsidP="00696A16">
      <w:pPr>
        <w:pStyle w:val="Note"/>
        <w:spacing w:line="360" w:lineRule="auto"/>
        <w:rPr>
          <w:rFonts w:ascii="Arial" w:hAnsi="Arial" w:cs="Arial"/>
          <w:sz w:val="24"/>
          <w:szCs w:val="24"/>
        </w:rPr>
      </w:pPr>
      <w:r w:rsidRPr="00E273FC">
        <w:rPr>
          <w:rFonts w:ascii="Arial" w:hAnsi="Arial" w:cs="Arial"/>
          <w:sz w:val="24"/>
          <w:szCs w:val="24"/>
        </w:rPr>
        <w:t>Explanation for major variations between 2019–20 actual and 2019–20 published budget is as follows:</w:t>
      </w:r>
    </w:p>
    <w:p w14:paraId="6A069E85" w14:textId="77777777" w:rsidR="003E5BF5" w:rsidRPr="00E273FC" w:rsidRDefault="003E5BF5" w:rsidP="00610F5F">
      <w:pPr>
        <w:pStyle w:val="Notenumberingabc"/>
        <w:numPr>
          <w:ilvl w:val="0"/>
          <w:numId w:val="53"/>
        </w:numPr>
        <w:spacing w:before="0" w:after="120" w:line="360" w:lineRule="auto"/>
        <w:ind w:left="340" w:hanging="227"/>
        <w:rPr>
          <w:rFonts w:ascii="Arial" w:hAnsi="Arial" w:cs="Arial"/>
          <w:sz w:val="24"/>
          <w:szCs w:val="24"/>
        </w:rPr>
        <w:sectPr w:rsidR="003E5BF5" w:rsidRPr="00E273FC" w:rsidSect="00DE1921">
          <w:pgSz w:w="11906" w:h="16838"/>
          <w:pgMar w:top="1701" w:right="1418" w:bottom="1418" w:left="1418" w:header="709" w:footer="709" w:gutter="0"/>
          <w:cols w:space="284"/>
          <w:docGrid w:linePitch="360"/>
        </w:sectPr>
      </w:pPr>
      <w:r w:rsidRPr="00E273FC">
        <w:rPr>
          <w:rFonts w:ascii="Arial" w:hAnsi="Arial" w:cs="Arial"/>
          <w:sz w:val="24"/>
          <w:szCs w:val="24"/>
        </w:rPr>
        <w:t>The equity for the portfolio is higher than published budget primarily due to the 5-year cyclical revaluation assets. The actual outturn includes the roll-up of equity classes following the transition of VicRoads and Public Transport Victoria into the Department effective 1 July 2019 as well as accounting standard changes relating to service concession arrangements.</w:t>
      </w:r>
    </w:p>
    <w:p w14:paraId="1AFC350D" w14:textId="77777777" w:rsidR="003E5BF5" w:rsidRPr="00E273FC" w:rsidRDefault="003E5BF5" w:rsidP="00CF74EB">
      <w:pPr>
        <w:pStyle w:val="TableHeader"/>
      </w:pPr>
      <w:r w:rsidRPr="00E273FC">
        <w:lastRenderedPageBreak/>
        <w:t>Administrative items statement for the financial year ended 30 June 2020</w:t>
      </w:r>
    </w:p>
    <w:tbl>
      <w:tblPr>
        <w:tblStyle w:val="TableGrid"/>
        <w:tblW w:w="9639" w:type="dxa"/>
        <w:tblCellMar>
          <w:left w:w="28" w:type="dxa"/>
          <w:right w:w="28" w:type="dxa"/>
        </w:tblCellMar>
        <w:tblLook w:val="04A0" w:firstRow="1" w:lastRow="0" w:firstColumn="1" w:lastColumn="0" w:noHBand="0" w:noVBand="1"/>
      </w:tblPr>
      <w:tblGrid>
        <w:gridCol w:w="3828"/>
        <w:gridCol w:w="1417"/>
        <w:gridCol w:w="1276"/>
        <w:gridCol w:w="1145"/>
        <w:gridCol w:w="1178"/>
        <w:gridCol w:w="795"/>
      </w:tblGrid>
      <w:tr w:rsidR="003E5BF5" w:rsidRPr="00E273FC" w14:paraId="01FEF151" w14:textId="77777777" w:rsidTr="0003799B">
        <w:trPr>
          <w:trHeight w:val="340"/>
        </w:trPr>
        <w:tc>
          <w:tcPr>
            <w:tcW w:w="3828" w:type="dxa"/>
            <w:shd w:val="clear" w:color="auto" w:fill="auto"/>
            <w:tcMar>
              <w:left w:w="57" w:type="dxa"/>
              <w:right w:w="57" w:type="dxa"/>
            </w:tcMar>
            <w:vAlign w:val="center"/>
          </w:tcPr>
          <w:p w14:paraId="588BFA4E" w14:textId="77777777" w:rsidR="003E5BF5" w:rsidRPr="00E273FC" w:rsidRDefault="003E5BF5" w:rsidP="00DE1921">
            <w:pPr>
              <w:pStyle w:val="TableTextLeft"/>
              <w:rPr>
                <w:rFonts w:ascii="Arial" w:hAnsi="Arial" w:cs="Arial"/>
                <w:sz w:val="24"/>
                <w:szCs w:val="24"/>
              </w:rPr>
            </w:pPr>
          </w:p>
        </w:tc>
        <w:tc>
          <w:tcPr>
            <w:tcW w:w="1417" w:type="dxa"/>
            <w:shd w:val="clear" w:color="auto" w:fill="auto"/>
            <w:vAlign w:val="bottom"/>
          </w:tcPr>
          <w:p w14:paraId="0D0E6039"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2019-20 Actual</w:t>
            </w:r>
          </w:p>
          <w:p w14:paraId="7B8E3508"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million)</w:t>
            </w:r>
          </w:p>
        </w:tc>
        <w:tc>
          <w:tcPr>
            <w:tcW w:w="1276" w:type="dxa"/>
            <w:shd w:val="clear" w:color="auto" w:fill="auto"/>
            <w:tcMar>
              <w:left w:w="57" w:type="dxa"/>
              <w:right w:w="57" w:type="dxa"/>
            </w:tcMar>
            <w:vAlign w:val="bottom"/>
          </w:tcPr>
          <w:p w14:paraId="19957B4E"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2019-20 Published budget</w:t>
            </w:r>
          </w:p>
          <w:p w14:paraId="16A81B8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million)</w:t>
            </w:r>
          </w:p>
        </w:tc>
        <w:tc>
          <w:tcPr>
            <w:tcW w:w="1145" w:type="dxa"/>
            <w:shd w:val="clear" w:color="auto" w:fill="auto"/>
            <w:tcMar>
              <w:left w:w="57" w:type="dxa"/>
              <w:right w:w="57" w:type="dxa"/>
            </w:tcMar>
            <w:vAlign w:val="bottom"/>
          </w:tcPr>
          <w:p w14:paraId="4A33F83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Variation</w:t>
            </w:r>
          </w:p>
        </w:tc>
        <w:tc>
          <w:tcPr>
            <w:tcW w:w="1178" w:type="dxa"/>
            <w:shd w:val="clear" w:color="auto" w:fill="auto"/>
            <w:tcMar>
              <w:left w:w="57" w:type="dxa"/>
              <w:right w:w="57" w:type="dxa"/>
            </w:tcMar>
            <w:vAlign w:val="bottom"/>
          </w:tcPr>
          <w:p w14:paraId="46C6DD8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w:t>
            </w:r>
          </w:p>
        </w:tc>
        <w:tc>
          <w:tcPr>
            <w:tcW w:w="795" w:type="dxa"/>
            <w:shd w:val="clear" w:color="auto" w:fill="auto"/>
            <w:tcMar>
              <w:left w:w="57" w:type="dxa"/>
              <w:right w:w="57" w:type="dxa"/>
            </w:tcMar>
            <w:vAlign w:val="bottom"/>
          </w:tcPr>
          <w:p w14:paraId="562C712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Notes</w:t>
            </w:r>
          </w:p>
        </w:tc>
      </w:tr>
      <w:tr w:rsidR="003E5BF5" w:rsidRPr="00E273FC" w14:paraId="39E61A80" w14:textId="77777777" w:rsidTr="0003799B">
        <w:trPr>
          <w:trHeight w:val="340"/>
        </w:trPr>
        <w:tc>
          <w:tcPr>
            <w:tcW w:w="3828" w:type="dxa"/>
            <w:shd w:val="clear" w:color="auto" w:fill="auto"/>
            <w:tcMar>
              <w:left w:w="57" w:type="dxa"/>
              <w:right w:w="57" w:type="dxa"/>
            </w:tcMar>
            <w:vAlign w:val="center"/>
          </w:tcPr>
          <w:p w14:paraId="2C7C70B7" w14:textId="77777777" w:rsidR="003E5BF5" w:rsidRPr="00E273FC" w:rsidRDefault="003E5BF5" w:rsidP="00604703">
            <w:pPr>
              <w:pStyle w:val="TableTextGreen"/>
            </w:pPr>
            <w:r w:rsidRPr="00E273FC">
              <w:t>Administered income</w:t>
            </w:r>
          </w:p>
        </w:tc>
        <w:tc>
          <w:tcPr>
            <w:tcW w:w="1417" w:type="dxa"/>
            <w:shd w:val="clear" w:color="auto" w:fill="auto"/>
            <w:vAlign w:val="center"/>
          </w:tcPr>
          <w:p w14:paraId="3CFCF07A" w14:textId="77777777" w:rsidR="003E5BF5" w:rsidRPr="00E273FC" w:rsidRDefault="003E5BF5" w:rsidP="00DE1921">
            <w:pPr>
              <w:pStyle w:val="TableTextRight"/>
              <w:rPr>
                <w:rFonts w:ascii="Arial" w:hAnsi="Arial" w:cs="Arial"/>
                <w:sz w:val="24"/>
                <w:szCs w:val="24"/>
              </w:rPr>
            </w:pPr>
          </w:p>
        </w:tc>
        <w:tc>
          <w:tcPr>
            <w:tcW w:w="1276" w:type="dxa"/>
            <w:shd w:val="clear" w:color="auto" w:fill="auto"/>
            <w:tcMar>
              <w:left w:w="57" w:type="dxa"/>
              <w:right w:w="57" w:type="dxa"/>
            </w:tcMar>
            <w:vAlign w:val="center"/>
          </w:tcPr>
          <w:p w14:paraId="4EA25A8D" w14:textId="77777777" w:rsidR="003E5BF5" w:rsidRPr="00E273FC" w:rsidRDefault="003E5BF5" w:rsidP="00DE1921">
            <w:pPr>
              <w:pStyle w:val="TableTextRight"/>
              <w:rPr>
                <w:rFonts w:ascii="Arial" w:hAnsi="Arial" w:cs="Arial"/>
                <w:sz w:val="24"/>
                <w:szCs w:val="24"/>
              </w:rPr>
            </w:pPr>
          </w:p>
        </w:tc>
        <w:tc>
          <w:tcPr>
            <w:tcW w:w="1145" w:type="dxa"/>
            <w:shd w:val="clear" w:color="auto" w:fill="auto"/>
            <w:tcMar>
              <w:left w:w="57" w:type="dxa"/>
              <w:right w:w="57" w:type="dxa"/>
            </w:tcMar>
            <w:vAlign w:val="center"/>
          </w:tcPr>
          <w:p w14:paraId="4578B215" w14:textId="77777777" w:rsidR="003E5BF5" w:rsidRPr="00E273FC" w:rsidRDefault="003E5BF5" w:rsidP="00DE1921">
            <w:pPr>
              <w:pStyle w:val="TableTextRight"/>
              <w:rPr>
                <w:rFonts w:ascii="Arial" w:hAnsi="Arial" w:cs="Arial"/>
                <w:sz w:val="24"/>
                <w:szCs w:val="24"/>
              </w:rPr>
            </w:pPr>
          </w:p>
        </w:tc>
        <w:tc>
          <w:tcPr>
            <w:tcW w:w="1178" w:type="dxa"/>
            <w:shd w:val="clear" w:color="auto" w:fill="auto"/>
            <w:tcMar>
              <w:left w:w="57" w:type="dxa"/>
              <w:right w:w="57" w:type="dxa"/>
            </w:tcMar>
            <w:vAlign w:val="center"/>
          </w:tcPr>
          <w:p w14:paraId="4254A7D2" w14:textId="77777777" w:rsidR="003E5BF5" w:rsidRPr="00E273FC" w:rsidRDefault="003E5BF5" w:rsidP="00DE1921">
            <w:pPr>
              <w:pStyle w:val="TableTextRight"/>
              <w:rPr>
                <w:rFonts w:ascii="Arial" w:hAnsi="Arial" w:cs="Arial"/>
                <w:sz w:val="24"/>
                <w:szCs w:val="24"/>
              </w:rPr>
            </w:pPr>
          </w:p>
        </w:tc>
        <w:tc>
          <w:tcPr>
            <w:tcW w:w="795" w:type="dxa"/>
            <w:shd w:val="clear" w:color="auto" w:fill="auto"/>
            <w:tcMar>
              <w:left w:w="57" w:type="dxa"/>
              <w:right w:w="57" w:type="dxa"/>
            </w:tcMar>
            <w:vAlign w:val="center"/>
          </w:tcPr>
          <w:p w14:paraId="44B6F51C" w14:textId="77777777" w:rsidR="003E5BF5" w:rsidRPr="00E273FC" w:rsidRDefault="003E5BF5" w:rsidP="00DE1921">
            <w:pPr>
              <w:pStyle w:val="TableTextRight"/>
              <w:rPr>
                <w:rFonts w:ascii="Arial" w:hAnsi="Arial" w:cs="Arial"/>
                <w:sz w:val="24"/>
                <w:szCs w:val="24"/>
              </w:rPr>
            </w:pPr>
          </w:p>
        </w:tc>
      </w:tr>
      <w:tr w:rsidR="003E5BF5" w:rsidRPr="00E273FC" w14:paraId="5B58C1E2" w14:textId="77777777" w:rsidTr="0003799B">
        <w:trPr>
          <w:trHeight w:val="340"/>
        </w:trPr>
        <w:tc>
          <w:tcPr>
            <w:tcW w:w="3828" w:type="dxa"/>
            <w:shd w:val="clear" w:color="auto" w:fill="auto"/>
            <w:tcMar>
              <w:left w:w="57" w:type="dxa"/>
              <w:right w:w="57" w:type="dxa"/>
            </w:tcMar>
            <w:vAlign w:val="center"/>
          </w:tcPr>
          <w:p w14:paraId="4B93667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Interest</w:t>
            </w:r>
          </w:p>
        </w:tc>
        <w:tc>
          <w:tcPr>
            <w:tcW w:w="1417" w:type="dxa"/>
            <w:shd w:val="clear" w:color="auto" w:fill="auto"/>
            <w:vAlign w:val="center"/>
          </w:tcPr>
          <w:p w14:paraId="70CF6F8C" w14:textId="77777777" w:rsidR="003E5BF5" w:rsidRPr="00E273FC" w:rsidRDefault="003E5BF5" w:rsidP="00DE1921">
            <w:pPr>
              <w:pStyle w:val="TableTextRight"/>
              <w:rPr>
                <w:rFonts w:ascii="Arial" w:hAnsi="Arial" w:cs="Arial"/>
                <w:sz w:val="24"/>
                <w:szCs w:val="24"/>
                <w:highlight w:val="yellow"/>
              </w:rPr>
            </w:pPr>
            <w:r w:rsidRPr="00E273FC">
              <w:rPr>
                <w:rFonts w:ascii="Arial" w:hAnsi="Arial" w:cs="Arial"/>
                <w:color w:val="000000"/>
                <w:sz w:val="24"/>
                <w:szCs w:val="24"/>
              </w:rPr>
              <w:t xml:space="preserve">0.3 </w:t>
            </w:r>
          </w:p>
        </w:tc>
        <w:tc>
          <w:tcPr>
            <w:tcW w:w="1276" w:type="dxa"/>
            <w:shd w:val="clear" w:color="auto" w:fill="auto"/>
            <w:tcMar>
              <w:left w:w="57" w:type="dxa"/>
              <w:right w:w="57" w:type="dxa"/>
            </w:tcMar>
            <w:vAlign w:val="center"/>
          </w:tcPr>
          <w:p w14:paraId="60F73928" w14:textId="77777777" w:rsidR="003E5BF5" w:rsidRPr="00E273FC" w:rsidRDefault="003E5BF5" w:rsidP="00DE1921">
            <w:pPr>
              <w:pStyle w:val="TableTextRight"/>
              <w:rPr>
                <w:rFonts w:ascii="Arial" w:hAnsi="Arial" w:cs="Arial"/>
                <w:sz w:val="24"/>
                <w:szCs w:val="24"/>
                <w:highlight w:val="yellow"/>
              </w:rPr>
            </w:pPr>
            <w:r w:rsidRPr="00E273FC">
              <w:rPr>
                <w:rFonts w:ascii="Arial" w:hAnsi="Arial" w:cs="Arial"/>
                <w:color w:val="000000"/>
                <w:sz w:val="24"/>
                <w:szCs w:val="24"/>
              </w:rPr>
              <w:t xml:space="preserve"> - </w:t>
            </w:r>
          </w:p>
        </w:tc>
        <w:tc>
          <w:tcPr>
            <w:tcW w:w="1145" w:type="dxa"/>
            <w:shd w:val="clear" w:color="auto" w:fill="auto"/>
            <w:tcMar>
              <w:left w:w="57" w:type="dxa"/>
              <w:right w:w="57" w:type="dxa"/>
            </w:tcMar>
            <w:vAlign w:val="center"/>
          </w:tcPr>
          <w:p w14:paraId="07589192" w14:textId="77777777" w:rsidR="003E5BF5" w:rsidRPr="00E273FC" w:rsidRDefault="003E5BF5" w:rsidP="00DE1921">
            <w:pPr>
              <w:pStyle w:val="TableTextRight"/>
              <w:rPr>
                <w:rFonts w:ascii="Arial" w:hAnsi="Arial" w:cs="Arial"/>
                <w:sz w:val="24"/>
                <w:szCs w:val="24"/>
                <w:highlight w:val="yellow"/>
              </w:rPr>
            </w:pPr>
            <w:r w:rsidRPr="00E273FC">
              <w:rPr>
                <w:rFonts w:ascii="Arial" w:hAnsi="Arial" w:cs="Arial"/>
                <w:color w:val="000000"/>
                <w:sz w:val="24"/>
                <w:szCs w:val="24"/>
              </w:rPr>
              <w:t xml:space="preserve">0.3 </w:t>
            </w:r>
          </w:p>
        </w:tc>
        <w:tc>
          <w:tcPr>
            <w:tcW w:w="1178" w:type="dxa"/>
            <w:shd w:val="clear" w:color="auto" w:fill="auto"/>
            <w:tcMar>
              <w:left w:w="57" w:type="dxa"/>
              <w:right w:w="57" w:type="dxa"/>
            </w:tcMar>
            <w:vAlign w:val="center"/>
          </w:tcPr>
          <w:p w14:paraId="6BD53FF0" w14:textId="77777777" w:rsidR="003E5BF5" w:rsidRPr="00E273FC" w:rsidRDefault="003E5BF5" w:rsidP="00DE1921">
            <w:pPr>
              <w:pStyle w:val="TableTextRight"/>
              <w:rPr>
                <w:rFonts w:ascii="Arial" w:hAnsi="Arial" w:cs="Arial"/>
                <w:sz w:val="24"/>
                <w:szCs w:val="24"/>
                <w:highlight w:val="yellow"/>
              </w:rPr>
            </w:pPr>
            <w:r w:rsidRPr="00E273FC">
              <w:rPr>
                <w:rFonts w:ascii="Arial" w:hAnsi="Arial" w:cs="Arial"/>
                <w:color w:val="000000"/>
                <w:sz w:val="24"/>
                <w:szCs w:val="24"/>
              </w:rPr>
              <w:t>100%</w:t>
            </w:r>
          </w:p>
        </w:tc>
        <w:tc>
          <w:tcPr>
            <w:tcW w:w="795" w:type="dxa"/>
            <w:shd w:val="clear" w:color="auto" w:fill="auto"/>
            <w:tcMar>
              <w:left w:w="57" w:type="dxa"/>
              <w:right w:w="57" w:type="dxa"/>
            </w:tcMar>
            <w:vAlign w:val="center"/>
          </w:tcPr>
          <w:p w14:paraId="6F02D957"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w:t>
            </w:r>
          </w:p>
        </w:tc>
      </w:tr>
      <w:tr w:rsidR="003E5BF5" w:rsidRPr="00E273FC" w14:paraId="20EE593A" w14:textId="77777777" w:rsidTr="0003799B">
        <w:trPr>
          <w:trHeight w:val="340"/>
        </w:trPr>
        <w:tc>
          <w:tcPr>
            <w:tcW w:w="3828" w:type="dxa"/>
            <w:shd w:val="clear" w:color="auto" w:fill="auto"/>
            <w:tcMar>
              <w:left w:w="57" w:type="dxa"/>
              <w:right w:w="57" w:type="dxa"/>
            </w:tcMar>
            <w:vAlign w:val="center"/>
          </w:tcPr>
          <w:p w14:paraId="7712EED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Sales of goods and services</w:t>
            </w:r>
          </w:p>
        </w:tc>
        <w:tc>
          <w:tcPr>
            <w:tcW w:w="1417" w:type="dxa"/>
            <w:shd w:val="clear" w:color="auto" w:fill="auto"/>
            <w:vAlign w:val="center"/>
          </w:tcPr>
          <w:p w14:paraId="2C62867A" w14:textId="77777777" w:rsidR="003E5BF5" w:rsidRPr="00E273FC" w:rsidRDefault="003E5BF5" w:rsidP="00DE1921">
            <w:pPr>
              <w:pStyle w:val="TableTextRight"/>
              <w:rPr>
                <w:rFonts w:ascii="Arial" w:hAnsi="Arial" w:cs="Arial"/>
                <w:sz w:val="24"/>
                <w:szCs w:val="24"/>
                <w:highlight w:val="yellow"/>
              </w:rPr>
            </w:pPr>
            <w:r w:rsidRPr="00E273FC">
              <w:rPr>
                <w:rFonts w:ascii="Arial" w:hAnsi="Arial" w:cs="Arial"/>
                <w:color w:val="000000"/>
                <w:sz w:val="24"/>
                <w:szCs w:val="24"/>
              </w:rPr>
              <w:t xml:space="preserve">276.0 </w:t>
            </w:r>
          </w:p>
        </w:tc>
        <w:tc>
          <w:tcPr>
            <w:tcW w:w="1276" w:type="dxa"/>
            <w:shd w:val="clear" w:color="auto" w:fill="auto"/>
            <w:tcMar>
              <w:left w:w="57" w:type="dxa"/>
              <w:right w:w="57" w:type="dxa"/>
            </w:tcMar>
            <w:vAlign w:val="center"/>
          </w:tcPr>
          <w:p w14:paraId="5ACDC944" w14:textId="77777777" w:rsidR="003E5BF5" w:rsidRPr="00E273FC" w:rsidRDefault="003E5BF5" w:rsidP="00DE1921">
            <w:pPr>
              <w:pStyle w:val="TableTextRight"/>
              <w:rPr>
                <w:rFonts w:ascii="Arial" w:hAnsi="Arial" w:cs="Arial"/>
                <w:sz w:val="24"/>
                <w:szCs w:val="24"/>
                <w:highlight w:val="yellow"/>
              </w:rPr>
            </w:pPr>
            <w:r w:rsidRPr="00E273FC">
              <w:rPr>
                <w:rFonts w:ascii="Arial" w:hAnsi="Arial" w:cs="Arial"/>
                <w:color w:val="000000"/>
                <w:sz w:val="24"/>
                <w:szCs w:val="24"/>
              </w:rPr>
              <w:t xml:space="preserve">165.9 </w:t>
            </w:r>
          </w:p>
        </w:tc>
        <w:tc>
          <w:tcPr>
            <w:tcW w:w="1145" w:type="dxa"/>
            <w:shd w:val="clear" w:color="auto" w:fill="auto"/>
            <w:tcMar>
              <w:left w:w="57" w:type="dxa"/>
              <w:right w:w="57" w:type="dxa"/>
            </w:tcMar>
            <w:vAlign w:val="center"/>
          </w:tcPr>
          <w:p w14:paraId="23AF1277" w14:textId="77777777" w:rsidR="003E5BF5" w:rsidRPr="00E273FC" w:rsidRDefault="003E5BF5" w:rsidP="00DE1921">
            <w:pPr>
              <w:pStyle w:val="TableTextRight"/>
              <w:rPr>
                <w:rFonts w:ascii="Arial" w:hAnsi="Arial" w:cs="Arial"/>
                <w:sz w:val="24"/>
                <w:szCs w:val="24"/>
                <w:highlight w:val="yellow"/>
              </w:rPr>
            </w:pPr>
            <w:r w:rsidRPr="00E273FC">
              <w:rPr>
                <w:rFonts w:ascii="Arial" w:hAnsi="Arial" w:cs="Arial"/>
                <w:color w:val="000000"/>
                <w:sz w:val="24"/>
                <w:szCs w:val="24"/>
              </w:rPr>
              <w:t xml:space="preserve">110.1 </w:t>
            </w:r>
          </w:p>
        </w:tc>
        <w:tc>
          <w:tcPr>
            <w:tcW w:w="1178" w:type="dxa"/>
            <w:shd w:val="clear" w:color="auto" w:fill="auto"/>
            <w:tcMar>
              <w:left w:w="57" w:type="dxa"/>
              <w:right w:w="57" w:type="dxa"/>
            </w:tcMar>
            <w:vAlign w:val="center"/>
          </w:tcPr>
          <w:p w14:paraId="0E643421" w14:textId="77777777" w:rsidR="003E5BF5" w:rsidRPr="00E273FC" w:rsidRDefault="003E5BF5" w:rsidP="00DE1921">
            <w:pPr>
              <w:pStyle w:val="TableTextRight"/>
              <w:rPr>
                <w:rFonts w:ascii="Arial" w:hAnsi="Arial" w:cs="Arial"/>
                <w:sz w:val="24"/>
                <w:szCs w:val="24"/>
                <w:highlight w:val="yellow"/>
              </w:rPr>
            </w:pPr>
            <w:r w:rsidRPr="00E273FC">
              <w:rPr>
                <w:rFonts w:ascii="Arial" w:hAnsi="Arial" w:cs="Arial"/>
                <w:color w:val="000000"/>
                <w:sz w:val="24"/>
                <w:szCs w:val="24"/>
              </w:rPr>
              <w:t>66%</w:t>
            </w:r>
          </w:p>
        </w:tc>
        <w:tc>
          <w:tcPr>
            <w:tcW w:w="795" w:type="dxa"/>
            <w:shd w:val="clear" w:color="auto" w:fill="auto"/>
            <w:tcMar>
              <w:left w:w="57" w:type="dxa"/>
              <w:right w:w="57" w:type="dxa"/>
            </w:tcMar>
            <w:vAlign w:val="center"/>
          </w:tcPr>
          <w:p w14:paraId="353081BF"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a</w:t>
            </w:r>
          </w:p>
        </w:tc>
      </w:tr>
      <w:tr w:rsidR="003E5BF5" w:rsidRPr="00E273FC" w14:paraId="422D029B" w14:textId="77777777" w:rsidTr="0003799B">
        <w:trPr>
          <w:trHeight w:val="340"/>
        </w:trPr>
        <w:tc>
          <w:tcPr>
            <w:tcW w:w="3828" w:type="dxa"/>
            <w:shd w:val="clear" w:color="auto" w:fill="auto"/>
            <w:tcMar>
              <w:left w:w="57" w:type="dxa"/>
              <w:right w:w="57" w:type="dxa"/>
            </w:tcMar>
            <w:vAlign w:val="center"/>
          </w:tcPr>
          <w:p w14:paraId="72E1BB91"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Other income</w:t>
            </w:r>
          </w:p>
        </w:tc>
        <w:tc>
          <w:tcPr>
            <w:tcW w:w="1417" w:type="dxa"/>
            <w:shd w:val="clear" w:color="auto" w:fill="auto"/>
            <w:vAlign w:val="center"/>
          </w:tcPr>
          <w:p w14:paraId="58E59E0A" w14:textId="77777777" w:rsidR="003E5BF5" w:rsidRPr="00E273FC" w:rsidRDefault="003E5BF5" w:rsidP="00DE1921">
            <w:pPr>
              <w:pStyle w:val="TableTextRight"/>
              <w:rPr>
                <w:rFonts w:ascii="Arial" w:hAnsi="Arial" w:cs="Arial"/>
                <w:sz w:val="24"/>
                <w:szCs w:val="24"/>
                <w:highlight w:val="yellow"/>
              </w:rPr>
            </w:pPr>
            <w:r w:rsidRPr="00E273FC">
              <w:rPr>
                <w:rFonts w:ascii="Arial" w:hAnsi="Arial" w:cs="Arial"/>
                <w:color w:val="000000"/>
                <w:sz w:val="24"/>
                <w:szCs w:val="24"/>
              </w:rPr>
              <w:t xml:space="preserve">2,832.6 </w:t>
            </w:r>
          </w:p>
        </w:tc>
        <w:tc>
          <w:tcPr>
            <w:tcW w:w="1276" w:type="dxa"/>
            <w:shd w:val="clear" w:color="auto" w:fill="auto"/>
            <w:tcMar>
              <w:left w:w="57" w:type="dxa"/>
              <w:right w:w="57" w:type="dxa"/>
            </w:tcMar>
            <w:vAlign w:val="center"/>
          </w:tcPr>
          <w:p w14:paraId="7BECC2EA" w14:textId="77777777" w:rsidR="003E5BF5" w:rsidRPr="00E273FC" w:rsidRDefault="003E5BF5" w:rsidP="00DE1921">
            <w:pPr>
              <w:pStyle w:val="TableTextRight"/>
              <w:rPr>
                <w:rFonts w:ascii="Arial" w:hAnsi="Arial" w:cs="Arial"/>
                <w:sz w:val="24"/>
                <w:szCs w:val="24"/>
                <w:highlight w:val="yellow"/>
              </w:rPr>
            </w:pPr>
            <w:r w:rsidRPr="00E273FC">
              <w:rPr>
                <w:rFonts w:ascii="Arial" w:hAnsi="Arial" w:cs="Arial"/>
                <w:color w:val="000000"/>
                <w:sz w:val="24"/>
                <w:szCs w:val="24"/>
              </w:rPr>
              <w:t xml:space="preserve">2,644.3 </w:t>
            </w:r>
          </w:p>
        </w:tc>
        <w:tc>
          <w:tcPr>
            <w:tcW w:w="1145" w:type="dxa"/>
            <w:shd w:val="clear" w:color="auto" w:fill="auto"/>
            <w:tcMar>
              <w:left w:w="57" w:type="dxa"/>
              <w:right w:w="57" w:type="dxa"/>
            </w:tcMar>
            <w:vAlign w:val="center"/>
          </w:tcPr>
          <w:p w14:paraId="44FE90AE" w14:textId="77777777" w:rsidR="003E5BF5" w:rsidRPr="00E273FC" w:rsidRDefault="003E5BF5" w:rsidP="00DE1921">
            <w:pPr>
              <w:pStyle w:val="TableTextRight"/>
              <w:rPr>
                <w:rFonts w:ascii="Arial" w:hAnsi="Arial" w:cs="Arial"/>
                <w:sz w:val="24"/>
                <w:szCs w:val="24"/>
                <w:highlight w:val="yellow"/>
              </w:rPr>
            </w:pPr>
            <w:r w:rsidRPr="00E273FC">
              <w:rPr>
                <w:rFonts w:ascii="Arial" w:hAnsi="Arial" w:cs="Arial"/>
                <w:color w:val="000000"/>
                <w:sz w:val="24"/>
                <w:szCs w:val="24"/>
              </w:rPr>
              <w:t xml:space="preserve">188.3 </w:t>
            </w:r>
          </w:p>
        </w:tc>
        <w:tc>
          <w:tcPr>
            <w:tcW w:w="1178" w:type="dxa"/>
            <w:shd w:val="clear" w:color="auto" w:fill="auto"/>
            <w:tcMar>
              <w:left w:w="57" w:type="dxa"/>
              <w:right w:w="57" w:type="dxa"/>
            </w:tcMar>
            <w:vAlign w:val="center"/>
          </w:tcPr>
          <w:p w14:paraId="75013ED8" w14:textId="77777777" w:rsidR="003E5BF5" w:rsidRPr="00E273FC" w:rsidRDefault="003E5BF5" w:rsidP="00DE1921">
            <w:pPr>
              <w:pStyle w:val="TableTextRight"/>
              <w:rPr>
                <w:rFonts w:ascii="Arial" w:hAnsi="Arial" w:cs="Arial"/>
                <w:sz w:val="24"/>
                <w:szCs w:val="24"/>
                <w:highlight w:val="yellow"/>
              </w:rPr>
            </w:pPr>
            <w:r w:rsidRPr="00E273FC">
              <w:rPr>
                <w:rFonts w:ascii="Arial" w:hAnsi="Arial" w:cs="Arial"/>
                <w:color w:val="000000"/>
                <w:sz w:val="24"/>
                <w:szCs w:val="24"/>
              </w:rPr>
              <w:t>7%</w:t>
            </w:r>
          </w:p>
        </w:tc>
        <w:tc>
          <w:tcPr>
            <w:tcW w:w="795" w:type="dxa"/>
            <w:shd w:val="clear" w:color="auto" w:fill="auto"/>
            <w:tcMar>
              <w:left w:w="57" w:type="dxa"/>
              <w:right w:w="57" w:type="dxa"/>
            </w:tcMar>
            <w:vAlign w:val="center"/>
          </w:tcPr>
          <w:p w14:paraId="4BD4EA4A"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b</w:t>
            </w:r>
          </w:p>
        </w:tc>
      </w:tr>
      <w:tr w:rsidR="003E5BF5" w:rsidRPr="00E273FC" w14:paraId="6C396F8F" w14:textId="77777777" w:rsidTr="0003799B">
        <w:trPr>
          <w:trHeight w:val="340"/>
        </w:trPr>
        <w:tc>
          <w:tcPr>
            <w:tcW w:w="3828" w:type="dxa"/>
            <w:shd w:val="clear" w:color="auto" w:fill="auto"/>
            <w:tcMar>
              <w:left w:w="57" w:type="dxa"/>
              <w:right w:w="57" w:type="dxa"/>
            </w:tcMar>
            <w:vAlign w:val="center"/>
          </w:tcPr>
          <w:p w14:paraId="53C9D976"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administered income</w:t>
            </w:r>
          </w:p>
        </w:tc>
        <w:tc>
          <w:tcPr>
            <w:tcW w:w="1417" w:type="dxa"/>
            <w:shd w:val="clear" w:color="auto" w:fill="auto"/>
            <w:vAlign w:val="center"/>
          </w:tcPr>
          <w:p w14:paraId="01A865F4" w14:textId="77777777" w:rsidR="003E5BF5" w:rsidRPr="00E273FC" w:rsidRDefault="003E5BF5" w:rsidP="00DE1921">
            <w:pPr>
              <w:pStyle w:val="TableTextRightBold"/>
              <w:rPr>
                <w:rFonts w:ascii="Arial" w:hAnsi="Arial" w:cs="Arial"/>
                <w:sz w:val="24"/>
                <w:szCs w:val="24"/>
                <w:highlight w:val="yellow"/>
              </w:rPr>
            </w:pPr>
            <w:r w:rsidRPr="00E273FC">
              <w:rPr>
                <w:rFonts w:ascii="Arial" w:hAnsi="Arial" w:cs="Arial"/>
                <w:color w:val="000000"/>
                <w:sz w:val="24"/>
                <w:szCs w:val="24"/>
              </w:rPr>
              <w:t xml:space="preserve">3,109.0 </w:t>
            </w:r>
          </w:p>
        </w:tc>
        <w:tc>
          <w:tcPr>
            <w:tcW w:w="1276" w:type="dxa"/>
            <w:shd w:val="clear" w:color="auto" w:fill="auto"/>
            <w:tcMar>
              <w:left w:w="57" w:type="dxa"/>
              <w:right w:w="57" w:type="dxa"/>
            </w:tcMar>
            <w:vAlign w:val="center"/>
          </w:tcPr>
          <w:p w14:paraId="345BEC33" w14:textId="77777777" w:rsidR="003E5BF5" w:rsidRPr="00E273FC" w:rsidRDefault="003E5BF5" w:rsidP="00DE1921">
            <w:pPr>
              <w:pStyle w:val="TableTextRightBold"/>
              <w:rPr>
                <w:rFonts w:ascii="Arial" w:hAnsi="Arial" w:cs="Arial"/>
                <w:sz w:val="24"/>
                <w:szCs w:val="24"/>
                <w:highlight w:val="yellow"/>
              </w:rPr>
            </w:pPr>
            <w:r w:rsidRPr="00E273FC">
              <w:rPr>
                <w:rFonts w:ascii="Arial" w:hAnsi="Arial" w:cs="Arial"/>
                <w:color w:val="000000"/>
                <w:sz w:val="24"/>
                <w:szCs w:val="24"/>
              </w:rPr>
              <w:t xml:space="preserve">2,810.3 </w:t>
            </w:r>
          </w:p>
        </w:tc>
        <w:tc>
          <w:tcPr>
            <w:tcW w:w="1145" w:type="dxa"/>
            <w:shd w:val="clear" w:color="auto" w:fill="auto"/>
            <w:tcMar>
              <w:left w:w="57" w:type="dxa"/>
              <w:right w:w="57" w:type="dxa"/>
            </w:tcMar>
            <w:vAlign w:val="center"/>
          </w:tcPr>
          <w:p w14:paraId="458140F6" w14:textId="77777777" w:rsidR="003E5BF5" w:rsidRPr="00E273FC" w:rsidRDefault="003E5BF5" w:rsidP="00DE1921">
            <w:pPr>
              <w:pStyle w:val="TableTextRightBold"/>
              <w:rPr>
                <w:rFonts w:ascii="Arial" w:hAnsi="Arial" w:cs="Arial"/>
                <w:sz w:val="24"/>
                <w:szCs w:val="24"/>
                <w:highlight w:val="yellow"/>
              </w:rPr>
            </w:pPr>
            <w:r w:rsidRPr="00E273FC">
              <w:rPr>
                <w:rFonts w:ascii="Arial" w:hAnsi="Arial" w:cs="Arial"/>
                <w:color w:val="000000"/>
                <w:sz w:val="24"/>
                <w:szCs w:val="24"/>
              </w:rPr>
              <w:t xml:space="preserve">298.7 </w:t>
            </w:r>
          </w:p>
        </w:tc>
        <w:tc>
          <w:tcPr>
            <w:tcW w:w="1178" w:type="dxa"/>
            <w:shd w:val="clear" w:color="auto" w:fill="auto"/>
            <w:tcMar>
              <w:left w:w="57" w:type="dxa"/>
              <w:right w:w="57" w:type="dxa"/>
            </w:tcMar>
            <w:vAlign w:val="center"/>
          </w:tcPr>
          <w:p w14:paraId="0AA5F9F2" w14:textId="77777777" w:rsidR="003E5BF5" w:rsidRPr="00E273FC" w:rsidRDefault="003E5BF5" w:rsidP="00DE1921">
            <w:pPr>
              <w:pStyle w:val="TableTextRightBold"/>
              <w:rPr>
                <w:rFonts w:ascii="Arial" w:hAnsi="Arial" w:cs="Arial"/>
                <w:sz w:val="24"/>
                <w:szCs w:val="24"/>
                <w:highlight w:val="yellow"/>
              </w:rPr>
            </w:pPr>
            <w:r w:rsidRPr="00E273FC">
              <w:rPr>
                <w:rFonts w:ascii="Arial" w:hAnsi="Arial" w:cs="Arial"/>
                <w:color w:val="000000"/>
                <w:sz w:val="24"/>
                <w:szCs w:val="24"/>
              </w:rPr>
              <w:t>11%</w:t>
            </w:r>
          </w:p>
        </w:tc>
        <w:tc>
          <w:tcPr>
            <w:tcW w:w="795" w:type="dxa"/>
            <w:shd w:val="clear" w:color="auto" w:fill="auto"/>
            <w:tcMar>
              <w:left w:w="57" w:type="dxa"/>
              <w:right w:w="57" w:type="dxa"/>
            </w:tcMar>
            <w:vAlign w:val="center"/>
          </w:tcPr>
          <w:p w14:paraId="1C72692C"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w:t>
            </w:r>
          </w:p>
        </w:tc>
      </w:tr>
      <w:tr w:rsidR="003E5BF5" w:rsidRPr="00E273FC" w14:paraId="280EF310" w14:textId="77777777" w:rsidTr="0003799B">
        <w:trPr>
          <w:trHeight w:val="340"/>
        </w:trPr>
        <w:tc>
          <w:tcPr>
            <w:tcW w:w="3828" w:type="dxa"/>
            <w:shd w:val="clear" w:color="auto" w:fill="auto"/>
            <w:tcMar>
              <w:left w:w="57" w:type="dxa"/>
              <w:right w:w="57" w:type="dxa"/>
            </w:tcMar>
            <w:vAlign w:val="center"/>
          </w:tcPr>
          <w:p w14:paraId="7279B217" w14:textId="77777777" w:rsidR="003E5BF5" w:rsidRPr="00E273FC" w:rsidRDefault="003E5BF5" w:rsidP="00604703">
            <w:pPr>
              <w:pStyle w:val="TableTextGreen"/>
            </w:pPr>
            <w:r w:rsidRPr="00E273FC">
              <w:t>Administered expenses</w:t>
            </w:r>
          </w:p>
        </w:tc>
        <w:tc>
          <w:tcPr>
            <w:tcW w:w="1417" w:type="dxa"/>
            <w:shd w:val="clear" w:color="auto" w:fill="auto"/>
            <w:vAlign w:val="center"/>
          </w:tcPr>
          <w:p w14:paraId="41B200FC" w14:textId="77777777" w:rsidR="003E5BF5" w:rsidRPr="00E273FC" w:rsidRDefault="003E5BF5" w:rsidP="00DE1921">
            <w:pPr>
              <w:pStyle w:val="TableTextRight"/>
              <w:rPr>
                <w:rFonts w:ascii="Arial" w:hAnsi="Arial" w:cs="Arial"/>
                <w:sz w:val="24"/>
                <w:szCs w:val="24"/>
                <w:highlight w:val="yellow"/>
              </w:rPr>
            </w:pPr>
          </w:p>
        </w:tc>
        <w:tc>
          <w:tcPr>
            <w:tcW w:w="1276" w:type="dxa"/>
            <w:shd w:val="clear" w:color="auto" w:fill="auto"/>
            <w:tcMar>
              <w:left w:w="57" w:type="dxa"/>
              <w:right w:w="57" w:type="dxa"/>
            </w:tcMar>
            <w:vAlign w:val="center"/>
          </w:tcPr>
          <w:p w14:paraId="64DC9B49" w14:textId="77777777" w:rsidR="003E5BF5" w:rsidRPr="00E273FC" w:rsidRDefault="003E5BF5" w:rsidP="00DE1921">
            <w:pPr>
              <w:pStyle w:val="TableTextRight"/>
              <w:rPr>
                <w:rFonts w:ascii="Arial" w:hAnsi="Arial" w:cs="Arial"/>
                <w:sz w:val="24"/>
                <w:szCs w:val="24"/>
                <w:highlight w:val="yellow"/>
              </w:rPr>
            </w:pPr>
          </w:p>
        </w:tc>
        <w:tc>
          <w:tcPr>
            <w:tcW w:w="1145" w:type="dxa"/>
            <w:shd w:val="clear" w:color="auto" w:fill="auto"/>
            <w:tcMar>
              <w:left w:w="57" w:type="dxa"/>
              <w:right w:w="57" w:type="dxa"/>
            </w:tcMar>
            <w:vAlign w:val="center"/>
          </w:tcPr>
          <w:p w14:paraId="7E3E3441" w14:textId="77777777" w:rsidR="003E5BF5" w:rsidRPr="00E273FC" w:rsidRDefault="003E5BF5" w:rsidP="00DE1921">
            <w:pPr>
              <w:pStyle w:val="TableTextRight"/>
              <w:rPr>
                <w:rFonts w:ascii="Arial" w:hAnsi="Arial" w:cs="Arial"/>
                <w:sz w:val="24"/>
                <w:szCs w:val="24"/>
                <w:highlight w:val="yellow"/>
              </w:rPr>
            </w:pPr>
          </w:p>
        </w:tc>
        <w:tc>
          <w:tcPr>
            <w:tcW w:w="1178" w:type="dxa"/>
            <w:shd w:val="clear" w:color="auto" w:fill="auto"/>
            <w:tcMar>
              <w:left w:w="57" w:type="dxa"/>
              <w:right w:w="57" w:type="dxa"/>
            </w:tcMar>
            <w:vAlign w:val="center"/>
          </w:tcPr>
          <w:p w14:paraId="3367A1AB" w14:textId="77777777" w:rsidR="003E5BF5" w:rsidRPr="00E273FC" w:rsidRDefault="003E5BF5" w:rsidP="00DE1921">
            <w:pPr>
              <w:pStyle w:val="TableTextRight"/>
              <w:rPr>
                <w:rFonts w:ascii="Arial" w:hAnsi="Arial" w:cs="Arial"/>
                <w:sz w:val="24"/>
                <w:szCs w:val="24"/>
                <w:highlight w:val="yellow"/>
              </w:rPr>
            </w:pPr>
          </w:p>
        </w:tc>
        <w:tc>
          <w:tcPr>
            <w:tcW w:w="795" w:type="dxa"/>
            <w:shd w:val="clear" w:color="auto" w:fill="auto"/>
            <w:tcMar>
              <w:left w:w="57" w:type="dxa"/>
              <w:right w:w="57" w:type="dxa"/>
            </w:tcMar>
            <w:vAlign w:val="center"/>
          </w:tcPr>
          <w:p w14:paraId="29B1E0EF" w14:textId="77777777" w:rsidR="003E5BF5" w:rsidRPr="00E273FC" w:rsidRDefault="003E5BF5" w:rsidP="00DE1921">
            <w:pPr>
              <w:pStyle w:val="TableTextRight"/>
              <w:rPr>
                <w:rFonts w:ascii="Arial" w:hAnsi="Arial" w:cs="Arial"/>
                <w:sz w:val="24"/>
                <w:szCs w:val="24"/>
              </w:rPr>
            </w:pPr>
          </w:p>
        </w:tc>
      </w:tr>
      <w:tr w:rsidR="003E5BF5" w:rsidRPr="00E273FC" w14:paraId="7D790CC6" w14:textId="77777777" w:rsidTr="0003799B">
        <w:trPr>
          <w:trHeight w:val="340"/>
        </w:trPr>
        <w:tc>
          <w:tcPr>
            <w:tcW w:w="3828" w:type="dxa"/>
            <w:shd w:val="clear" w:color="auto" w:fill="auto"/>
            <w:tcMar>
              <w:left w:w="57" w:type="dxa"/>
              <w:right w:w="57" w:type="dxa"/>
            </w:tcMar>
            <w:vAlign w:val="center"/>
          </w:tcPr>
          <w:p w14:paraId="608F762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Payments into consolidated fund</w:t>
            </w:r>
          </w:p>
        </w:tc>
        <w:tc>
          <w:tcPr>
            <w:tcW w:w="1417" w:type="dxa"/>
            <w:shd w:val="clear" w:color="auto" w:fill="auto"/>
            <w:vAlign w:val="center"/>
          </w:tcPr>
          <w:p w14:paraId="7AB522CA"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(3,098.1)</w:t>
            </w:r>
          </w:p>
        </w:tc>
        <w:tc>
          <w:tcPr>
            <w:tcW w:w="1276" w:type="dxa"/>
            <w:shd w:val="clear" w:color="auto" w:fill="auto"/>
            <w:tcMar>
              <w:left w:w="57" w:type="dxa"/>
              <w:right w:w="57" w:type="dxa"/>
            </w:tcMar>
            <w:vAlign w:val="center"/>
          </w:tcPr>
          <w:p w14:paraId="1204910D"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(2,793.9)</w:t>
            </w:r>
          </w:p>
        </w:tc>
        <w:tc>
          <w:tcPr>
            <w:tcW w:w="1145" w:type="dxa"/>
            <w:shd w:val="clear" w:color="auto" w:fill="auto"/>
            <w:tcMar>
              <w:left w:w="57" w:type="dxa"/>
              <w:right w:w="57" w:type="dxa"/>
            </w:tcMar>
            <w:vAlign w:val="center"/>
          </w:tcPr>
          <w:p w14:paraId="543D6854"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(304.2)</w:t>
            </w:r>
          </w:p>
        </w:tc>
        <w:tc>
          <w:tcPr>
            <w:tcW w:w="1178" w:type="dxa"/>
            <w:shd w:val="clear" w:color="auto" w:fill="auto"/>
            <w:tcMar>
              <w:left w:w="57" w:type="dxa"/>
              <w:right w:w="57" w:type="dxa"/>
            </w:tcMar>
            <w:vAlign w:val="center"/>
          </w:tcPr>
          <w:p w14:paraId="52D838BA"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11%</w:t>
            </w:r>
          </w:p>
        </w:tc>
        <w:tc>
          <w:tcPr>
            <w:tcW w:w="795" w:type="dxa"/>
            <w:shd w:val="clear" w:color="auto" w:fill="auto"/>
            <w:tcMar>
              <w:left w:w="57" w:type="dxa"/>
              <w:right w:w="57" w:type="dxa"/>
            </w:tcMar>
            <w:vAlign w:val="center"/>
          </w:tcPr>
          <w:p w14:paraId="4C052C15"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c</w:t>
            </w:r>
          </w:p>
        </w:tc>
      </w:tr>
      <w:tr w:rsidR="003E5BF5" w:rsidRPr="00E273FC" w14:paraId="72022264" w14:textId="77777777" w:rsidTr="0003799B">
        <w:trPr>
          <w:trHeight w:val="340"/>
        </w:trPr>
        <w:tc>
          <w:tcPr>
            <w:tcW w:w="3828" w:type="dxa"/>
            <w:shd w:val="clear" w:color="auto" w:fill="auto"/>
            <w:tcMar>
              <w:left w:w="57" w:type="dxa"/>
              <w:right w:w="57" w:type="dxa"/>
            </w:tcMar>
            <w:vAlign w:val="center"/>
          </w:tcPr>
          <w:p w14:paraId="27EBFE6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Other operating expenses</w:t>
            </w:r>
          </w:p>
        </w:tc>
        <w:tc>
          <w:tcPr>
            <w:tcW w:w="1417" w:type="dxa"/>
            <w:shd w:val="clear" w:color="auto" w:fill="auto"/>
            <w:vAlign w:val="center"/>
          </w:tcPr>
          <w:p w14:paraId="238B22EA"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(1.0)</w:t>
            </w:r>
          </w:p>
        </w:tc>
        <w:tc>
          <w:tcPr>
            <w:tcW w:w="1276" w:type="dxa"/>
            <w:shd w:val="clear" w:color="auto" w:fill="auto"/>
            <w:tcMar>
              <w:left w:w="57" w:type="dxa"/>
              <w:right w:w="57" w:type="dxa"/>
            </w:tcMar>
            <w:vAlign w:val="center"/>
          </w:tcPr>
          <w:p w14:paraId="2BC723A8"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 - </w:t>
            </w:r>
          </w:p>
        </w:tc>
        <w:tc>
          <w:tcPr>
            <w:tcW w:w="1145" w:type="dxa"/>
            <w:shd w:val="clear" w:color="auto" w:fill="auto"/>
            <w:tcMar>
              <w:left w:w="57" w:type="dxa"/>
              <w:right w:w="57" w:type="dxa"/>
            </w:tcMar>
            <w:vAlign w:val="center"/>
          </w:tcPr>
          <w:p w14:paraId="11AFA3CC"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(1.0)</w:t>
            </w:r>
          </w:p>
        </w:tc>
        <w:tc>
          <w:tcPr>
            <w:tcW w:w="1178" w:type="dxa"/>
            <w:shd w:val="clear" w:color="auto" w:fill="auto"/>
            <w:tcMar>
              <w:left w:w="57" w:type="dxa"/>
              <w:right w:w="57" w:type="dxa"/>
            </w:tcMar>
            <w:vAlign w:val="center"/>
          </w:tcPr>
          <w:p w14:paraId="1A2B92B1"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100%</w:t>
            </w:r>
          </w:p>
        </w:tc>
        <w:tc>
          <w:tcPr>
            <w:tcW w:w="795" w:type="dxa"/>
            <w:shd w:val="clear" w:color="auto" w:fill="auto"/>
            <w:tcMar>
              <w:left w:w="57" w:type="dxa"/>
              <w:right w:w="57" w:type="dxa"/>
            </w:tcMar>
            <w:vAlign w:val="center"/>
          </w:tcPr>
          <w:p w14:paraId="14A75204"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w:t>
            </w:r>
          </w:p>
        </w:tc>
      </w:tr>
      <w:tr w:rsidR="003E5BF5" w:rsidRPr="00E273FC" w14:paraId="12F41D13" w14:textId="77777777" w:rsidTr="0003799B">
        <w:trPr>
          <w:trHeight w:val="340"/>
        </w:trPr>
        <w:tc>
          <w:tcPr>
            <w:tcW w:w="3828" w:type="dxa"/>
            <w:shd w:val="clear" w:color="auto" w:fill="auto"/>
            <w:tcMar>
              <w:left w:w="57" w:type="dxa"/>
              <w:right w:w="57" w:type="dxa"/>
            </w:tcMar>
            <w:vAlign w:val="center"/>
          </w:tcPr>
          <w:p w14:paraId="56EE4658"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administered expenses</w:t>
            </w:r>
          </w:p>
        </w:tc>
        <w:tc>
          <w:tcPr>
            <w:tcW w:w="1417" w:type="dxa"/>
            <w:shd w:val="clear" w:color="auto" w:fill="auto"/>
            <w:vAlign w:val="center"/>
          </w:tcPr>
          <w:p w14:paraId="0E0D8D17"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(3,099.1)</w:t>
            </w:r>
          </w:p>
        </w:tc>
        <w:tc>
          <w:tcPr>
            <w:tcW w:w="1276" w:type="dxa"/>
            <w:shd w:val="clear" w:color="auto" w:fill="auto"/>
            <w:tcMar>
              <w:left w:w="57" w:type="dxa"/>
              <w:right w:w="57" w:type="dxa"/>
            </w:tcMar>
            <w:vAlign w:val="center"/>
          </w:tcPr>
          <w:p w14:paraId="38EA6D25"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(2,793.9)</w:t>
            </w:r>
          </w:p>
        </w:tc>
        <w:tc>
          <w:tcPr>
            <w:tcW w:w="1145" w:type="dxa"/>
            <w:shd w:val="clear" w:color="auto" w:fill="auto"/>
            <w:tcMar>
              <w:left w:w="57" w:type="dxa"/>
              <w:right w:w="57" w:type="dxa"/>
            </w:tcMar>
            <w:vAlign w:val="center"/>
          </w:tcPr>
          <w:p w14:paraId="1469EA5A"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(305.2)</w:t>
            </w:r>
          </w:p>
        </w:tc>
        <w:tc>
          <w:tcPr>
            <w:tcW w:w="1178" w:type="dxa"/>
            <w:shd w:val="clear" w:color="auto" w:fill="auto"/>
            <w:tcMar>
              <w:left w:w="57" w:type="dxa"/>
              <w:right w:w="57" w:type="dxa"/>
            </w:tcMar>
            <w:vAlign w:val="center"/>
          </w:tcPr>
          <w:p w14:paraId="3E50443B"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11%</w:t>
            </w:r>
          </w:p>
        </w:tc>
        <w:tc>
          <w:tcPr>
            <w:tcW w:w="795" w:type="dxa"/>
            <w:shd w:val="clear" w:color="auto" w:fill="auto"/>
            <w:tcMar>
              <w:left w:w="57" w:type="dxa"/>
              <w:right w:w="57" w:type="dxa"/>
            </w:tcMar>
            <w:vAlign w:val="center"/>
          </w:tcPr>
          <w:p w14:paraId="2856547E"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w:t>
            </w:r>
          </w:p>
        </w:tc>
      </w:tr>
      <w:tr w:rsidR="003E5BF5" w:rsidRPr="00E273FC" w14:paraId="132CC2F1" w14:textId="77777777" w:rsidTr="0003799B">
        <w:trPr>
          <w:trHeight w:val="340"/>
        </w:trPr>
        <w:tc>
          <w:tcPr>
            <w:tcW w:w="3828" w:type="dxa"/>
            <w:shd w:val="clear" w:color="auto" w:fill="auto"/>
            <w:tcMar>
              <w:left w:w="57" w:type="dxa"/>
              <w:right w:w="57" w:type="dxa"/>
            </w:tcMar>
            <w:vAlign w:val="center"/>
          </w:tcPr>
          <w:p w14:paraId="3A0C1754" w14:textId="77777777" w:rsidR="003E5BF5" w:rsidRPr="00E273FC" w:rsidRDefault="003E5BF5" w:rsidP="00DE1921">
            <w:pPr>
              <w:pStyle w:val="TableTextLeftBold"/>
              <w:rPr>
                <w:rFonts w:ascii="Arial" w:hAnsi="Arial" w:cs="Arial"/>
                <w:sz w:val="24"/>
                <w:szCs w:val="24"/>
              </w:rPr>
            </w:pPr>
          </w:p>
        </w:tc>
        <w:tc>
          <w:tcPr>
            <w:tcW w:w="1417" w:type="dxa"/>
            <w:shd w:val="clear" w:color="auto" w:fill="auto"/>
            <w:vAlign w:val="center"/>
          </w:tcPr>
          <w:p w14:paraId="7CE7B88B" w14:textId="77777777" w:rsidR="003E5BF5" w:rsidRPr="00E273FC" w:rsidRDefault="003E5BF5" w:rsidP="00DE1921">
            <w:pPr>
              <w:pStyle w:val="TableTextRightBold"/>
              <w:rPr>
                <w:rFonts w:ascii="Arial" w:hAnsi="Arial" w:cs="Arial"/>
                <w:sz w:val="24"/>
                <w:szCs w:val="24"/>
                <w:highlight w:val="yellow"/>
              </w:rPr>
            </w:pPr>
          </w:p>
        </w:tc>
        <w:tc>
          <w:tcPr>
            <w:tcW w:w="1276" w:type="dxa"/>
            <w:shd w:val="clear" w:color="auto" w:fill="auto"/>
            <w:tcMar>
              <w:left w:w="57" w:type="dxa"/>
              <w:right w:w="57" w:type="dxa"/>
            </w:tcMar>
            <w:vAlign w:val="center"/>
          </w:tcPr>
          <w:p w14:paraId="609FB431" w14:textId="77777777" w:rsidR="003E5BF5" w:rsidRPr="00E273FC" w:rsidRDefault="003E5BF5" w:rsidP="00DE1921">
            <w:pPr>
              <w:pStyle w:val="TableTextRightBold"/>
              <w:rPr>
                <w:rFonts w:ascii="Arial" w:hAnsi="Arial" w:cs="Arial"/>
                <w:sz w:val="24"/>
                <w:szCs w:val="24"/>
                <w:highlight w:val="yellow"/>
              </w:rPr>
            </w:pPr>
          </w:p>
        </w:tc>
        <w:tc>
          <w:tcPr>
            <w:tcW w:w="1145" w:type="dxa"/>
            <w:shd w:val="clear" w:color="auto" w:fill="auto"/>
            <w:tcMar>
              <w:left w:w="57" w:type="dxa"/>
              <w:right w:w="57" w:type="dxa"/>
            </w:tcMar>
            <w:vAlign w:val="center"/>
          </w:tcPr>
          <w:p w14:paraId="69D093D7" w14:textId="77777777" w:rsidR="003E5BF5" w:rsidRPr="00E273FC" w:rsidRDefault="003E5BF5" w:rsidP="00DE1921">
            <w:pPr>
              <w:pStyle w:val="TableTextRightBold"/>
              <w:rPr>
                <w:rFonts w:ascii="Arial" w:hAnsi="Arial" w:cs="Arial"/>
                <w:sz w:val="24"/>
                <w:szCs w:val="24"/>
                <w:highlight w:val="yellow"/>
              </w:rPr>
            </w:pPr>
          </w:p>
        </w:tc>
        <w:tc>
          <w:tcPr>
            <w:tcW w:w="1178" w:type="dxa"/>
            <w:shd w:val="clear" w:color="auto" w:fill="auto"/>
            <w:tcMar>
              <w:left w:w="57" w:type="dxa"/>
              <w:right w:w="57" w:type="dxa"/>
            </w:tcMar>
            <w:vAlign w:val="center"/>
          </w:tcPr>
          <w:p w14:paraId="01C4895C" w14:textId="77777777" w:rsidR="003E5BF5" w:rsidRPr="00E273FC" w:rsidRDefault="003E5BF5" w:rsidP="00DE1921">
            <w:pPr>
              <w:pStyle w:val="TableTextRightBold"/>
              <w:rPr>
                <w:rFonts w:ascii="Arial" w:hAnsi="Arial" w:cs="Arial"/>
                <w:sz w:val="24"/>
                <w:szCs w:val="24"/>
                <w:highlight w:val="yellow"/>
              </w:rPr>
            </w:pPr>
          </w:p>
        </w:tc>
        <w:tc>
          <w:tcPr>
            <w:tcW w:w="795" w:type="dxa"/>
            <w:shd w:val="clear" w:color="auto" w:fill="auto"/>
            <w:tcMar>
              <w:left w:w="57" w:type="dxa"/>
              <w:right w:w="57" w:type="dxa"/>
            </w:tcMar>
            <w:vAlign w:val="center"/>
          </w:tcPr>
          <w:p w14:paraId="6BD63143" w14:textId="77777777" w:rsidR="003E5BF5" w:rsidRPr="00E273FC" w:rsidRDefault="003E5BF5" w:rsidP="00DE1921">
            <w:pPr>
              <w:pStyle w:val="TableTextRightBold"/>
              <w:rPr>
                <w:rFonts w:ascii="Arial" w:hAnsi="Arial" w:cs="Arial"/>
                <w:sz w:val="24"/>
                <w:szCs w:val="24"/>
              </w:rPr>
            </w:pPr>
          </w:p>
        </w:tc>
      </w:tr>
      <w:tr w:rsidR="003E5BF5" w:rsidRPr="00E273FC" w14:paraId="3EC22E87" w14:textId="77777777" w:rsidTr="0003799B">
        <w:trPr>
          <w:trHeight w:val="340"/>
        </w:trPr>
        <w:tc>
          <w:tcPr>
            <w:tcW w:w="3828" w:type="dxa"/>
            <w:shd w:val="clear" w:color="auto" w:fill="auto"/>
            <w:tcMar>
              <w:left w:w="57" w:type="dxa"/>
              <w:right w:w="57" w:type="dxa"/>
            </w:tcMar>
            <w:vAlign w:val="center"/>
          </w:tcPr>
          <w:p w14:paraId="373F5BD0"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Income less expenses</w:t>
            </w:r>
          </w:p>
        </w:tc>
        <w:tc>
          <w:tcPr>
            <w:tcW w:w="1417" w:type="dxa"/>
            <w:shd w:val="clear" w:color="auto" w:fill="auto"/>
            <w:vAlign w:val="center"/>
          </w:tcPr>
          <w:p w14:paraId="14B20040"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9.9 </w:t>
            </w:r>
          </w:p>
        </w:tc>
        <w:tc>
          <w:tcPr>
            <w:tcW w:w="1276" w:type="dxa"/>
            <w:shd w:val="clear" w:color="auto" w:fill="auto"/>
            <w:tcMar>
              <w:left w:w="57" w:type="dxa"/>
              <w:right w:w="57" w:type="dxa"/>
            </w:tcMar>
            <w:vAlign w:val="center"/>
          </w:tcPr>
          <w:p w14:paraId="0BC047E2"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16.3 </w:t>
            </w:r>
          </w:p>
        </w:tc>
        <w:tc>
          <w:tcPr>
            <w:tcW w:w="1145" w:type="dxa"/>
            <w:shd w:val="clear" w:color="auto" w:fill="auto"/>
            <w:tcMar>
              <w:left w:w="57" w:type="dxa"/>
              <w:right w:w="57" w:type="dxa"/>
            </w:tcMar>
            <w:vAlign w:val="center"/>
          </w:tcPr>
          <w:p w14:paraId="6A925827"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(6.5)</w:t>
            </w:r>
          </w:p>
        </w:tc>
        <w:tc>
          <w:tcPr>
            <w:tcW w:w="1178" w:type="dxa"/>
            <w:shd w:val="clear" w:color="auto" w:fill="auto"/>
            <w:tcMar>
              <w:left w:w="57" w:type="dxa"/>
              <w:right w:w="57" w:type="dxa"/>
            </w:tcMar>
            <w:vAlign w:val="center"/>
          </w:tcPr>
          <w:p w14:paraId="0B4CD312"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(40) %</w:t>
            </w:r>
          </w:p>
        </w:tc>
        <w:tc>
          <w:tcPr>
            <w:tcW w:w="795" w:type="dxa"/>
            <w:shd w:val="clear" w:color="auto" w:fill="auto"/>
            <w:tcMar>
              <w:left w:w="57" w:type="dxa"/>
              <w:right w:w="57" w:type="dxa"/>
            </w:tcMar>
            <w:vAlign w:val="center"/>
          </w:tcPr>
          <w:p w14:paraId="1D4A1988"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w:t>
            </w:r>
          </w:p>
        </w:tc>
      </w:tr>
      <w:tr w:rsidR="003E5BF5" w:rsidRPr="00E273FC" w14:paraId="3B963C41" w14:textId="77777777" w:rsidTr="0003799B">
        <w:trPr>
          <w:trHeight w:val="340"/>
        </w:trPr>
        <w:tc>
          <w:tcPr>
            <w:tcW w:w="3828" w:type="dxa"/>
            <w:shd w:val="clear" w:color="auto" w:fill="auto"/>
            <w:tcMar>
              <w:left w:w="57" w:type="dxa"/>
              <w:right w:w="57" w:type="dxa"/>
            </w:tcMar>
          </w:tcPr>
          <w:p w14:paraId="3A7FCCC2" w14:textId="77777777" w:rsidR="003E5BF5" w:rsidRPr="00E273FC" w:rsidRDefault="003E5BF5" w:rsidP="00DE1921">
            <w:pPr>
              <w:pStyle w:val="TableTextLeft"/>
              <w:rPr>
                <w:rFonts w:ascii="Arial" w:hAnsi="Arial" w:cs="Arial"/>
                <w:sz w:val="24"/>
                <w:szCs w:val="24"/>
              </w:rPr>
            </w:pPr>
          </w:p>
        </w:tc>
        <w:tc>
          <w:tcPr>
            <w:tcW w:w="1417" w:type="dxa"/>
            <w:shd w:val="clear" w:color="auto" w:fill="auto"/>
            <w:vAlign w:val="center"/>
          </w:tcPr>
          <w:p w14:paraId="53DEEE8A" w14:textId="77777777" w:rsidR="003E5BF5" w:rsidRPr="00E273FC" w:rsidRDefault="003E5BF5" w:rsidP="00DE1921">
            <w:pPr>
              <w:pStyle w:val="TableTextRight"/>
              <w:rPr>
                <w:rFonts w:ascii="Arial" w:hAnsi="Arial" w:cs="Arial"/>
                <w:sz w:val="24"/>
                <w:szCs w:val="24"/>
              </w:rPr>
            </w:pPr>
          </w:p>
        </w:tc>
        <w:tc>
          <w:tcPr>
            <w:tcW w:w="1276" w:type="dxa"/>
            <w:shd w:val="clear" w:color="auto" w:fill="auto"/>
            <w:tcMar>
              <w:left w:w="57" w:type="dxa"/>
              <w:right w:w="57" w:type="dxa"/>
            </w:tcMar>
            <w:vAlign w:val="center"/>
          </w:tcPr>
          <w:p w14:paraId="2A720996" w14:textId="77777777" w:rsidR="003E5BF5" w:rsidRPr="00E273FC" w:rsidRDefault="003E5BF5" w:rsidP="00DE1921">
            <w:pPr>
              <w:pStyle w:val="TableTextRight"/>
              <w:rPr>
                <w:rFonts w:ascii="Arial" w:hAnsi="Arial" w:cs="Arial"/>
                <w:sz w:val="24"/>
                <w:szCs w:val="24"/>
              </w:rPr>
            </w:pPr>
          </w:p>
        </w:tc>
        <w:tc>
          <w:tcPr>
            <w:tcW w:w="1145" w:type="dxa"/>
            <w:shd w:val="clear" w:color="auto" w:fill="auto"/>
            <w:tcMar>
              <w:left w:w="57" w:type="dxa"/>
              <w:right w:w="57" w:type="dxa"/>
            </w:tcMar>
            <w:vAlign w:val="center"/>
          </w:tcPr>
          <w:p w14:paraId="73E69715" w14:textId="77777777" w:rsidR="003E5BF5" w:rsidRPr="00E273FC" w:rsidRDefault="003E5BF5" w:rsidP="00DE1921">
            <w:pPr>
              <w:pStyle w:val="TableTextRight"/>
              <w:rPr>
                <w:rFonts w:ascii="Arial" w:hAnsi="Arial" w:cs="Arial"/>
                <w:sz w:val="24"/>
                <w:szCs w:val="24"/>
              </w:rPr>
            </w:pPr>
          </w:p>
        </w:tc>
        <w:tc>
          <w:tcPr>
            <w:tcW w:w="1178" w:type="dxa"/>
            <w:shd w:val="clear" w:color="auto" w:fill="auto"/>
            <w:tcMar>
              <w:left w:w="57" w:type="dxa"/>
              <w:right w:w="57" w:type="dxa"/>
            </w:tcMar>
            <w:vAlign w:val="center"/>
          </w:tcPr>
          <w:p w14:paraId="703EE76E" w14:textId="77777777" w:rsidR="003E5BF5" w:rsidRPr="00E273FC" w:rsidRDefault="003E5BF5" w:rsidP="00DE1921">
            <w:pPr>
              <w:pStyle w:val="TableTextRight"/>
              <w:rPr>
                <w:rFonts w:ascii="Arial" w:hAnsi="Arial" w:cs="Arial"/>
                <w:sz w:val="24"/>
                <w:szCs w:val="24"/>
              </w:rPr>
            </w:pPr>
          </w:p>
        </w:tc>
        <w:tc>
          <w:tcPr>
            <w:tcW w:w="795" w:type="dxa"/>
            <w:shd w:val="clear" w:color="auto" w:fill="auto"/>
            <w:tcMar>
              <w:left w:w="57" w:type="dxa"/>
              <w:right w:w="57" w:type="dxa"/>
            </w:tcMar>
            <w:vAlign w:val="center"/>
          </w:tcPr>
          <w:p w14:paraId="384148E5" w14:textId="77777777" w:rsidR="003E5BF5" w:rsidRPr="00E273FC" w:rsidRDefault="003E5BF5" w:rsidP="00DE1921">
            <w:pPr>
              <w:pStyle w:val="TableTextRight"/>
              <w:rPr>
                <w:rFonts w:ascii="Arial" w:hAnsi="Arial" w:cs="Arial"/>
                <w:sz w:val="24"/>
                <w:szCs w:val="24"/>
              </w:rPr>
            </w:pPr>
          </w:p>
        </w:tc>
      </w:tr>
      <w:tr w:rsidR="003E5BF5" w:rsidRPr="00E273FC" w14:paraId="4A471C70" w14:textId="77777777" w:rsidTr="0003799B">
        <w:trPr>
          <w:trHeight w:val="340"/>
        </w:trPr>
        <w:tc>
          <w:tcPr>
            <w:tcW w:w="3828" w:type="dxa"/>
            <w:shd w:val="clear" w:color="auto" w:fill="auto"/>
            <w:tcMar>
              <w:left w:w="57" w:type="dxa"/>
              <w:right w:w="57" w:type="dxa"/>
            </w:tcMar>
          </w:tcPr>
          <w:p w14:paraId="0D9252E6"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Net gain/(loss) on non-financial assets</w:t>
            </w:r>
          </w:p>
        </w:tc>
        <w:tc>
          <w:tcPr>
            <w:tcW w:w="1417" w:type="dxa"/>
            <w:shd w:val="clear" w:color="auto" w:fill="auto"/>
            <w:vAlign w:val="center"/>
          </w:tcPr>
          <w:p w14:paraId="4182E765"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(0.6)</w:t>
            </w:r>
          </w:p>
        </w:tc>
        <w:tc>
          <w:tcPr>
            <w:tcW w:w="1276" w:type="dxa"/>
            <w:shd w:val="clear" w:color="auto" w:fill="auto"/>
            <w:tcMar>
              <w:left w:w="57" w:type="dxa"/>
              <w:right w:w="57" w:type="dxa"/>
            </w:tcMar>
            <w:vAlign w:val="center"/>
          </w:tcPr>
          <w:p w14:paraId="55F3DD1D"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9.9 </w:t>
            </w:r>
          </w:p>
        </w:tc>
        <w:tc>
          <w:tcPr>
            <w:tcW w:w="1145" w:type="dxa"/>
            <w:shd w:val="clear" w:color="auto" w:fill="auto"/>
            <w:tcMar>
              <w:left w:w="57" w:type="dxa"/>
              <w:right w:w="57" w:type="dxa"/>
            </w:tcMar>
            <w:vAlign w:val="center"/>
          </w:tcPr>
          <w:p w14:paraId="0776900F"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(10.5)</w:t>
            </w:r>
          </w:p>
        </w:tc>
        <w:tc>
          <w:tcPr>
            <w:tcW w:w="1178" w:type="dxa"/>
            <w:shd w:val="clear" w:color="auto" w:fill="auto"/>
            <w:tcMar>
              <w:left w:w="57" w:type="dxa"/>
              <w:right w:w="57" w:type="dxa"/>
            </w:tcMar>
            <w:vAlign w:val="center"/>
          </w:tcPr>
          <w:p w14:paraId="6A813FDA"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&gt; (100) %</w:t>
            </w:r>
          </w:p>
        </w:tc>
        <w:tc>
          <w:tcPr>
            <w:tcW w:w="795" w:type="dxa"/>
            <w:shd w:val="clear" w:color="auto" w:fill="auto"/>
            <w:tcMar>
              <w:left w:w="57" w:type="dxa"/>
              <w:right w:w="57" w:type="dxa"/>
            </w:tcMar>
            <w:vAlign w:val="center"/>
          </w:tcPr>
          <w:p w14:paraId="7B7B751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d</w:t>
            </w:r>
          </w:p>
        </w:tc>
      </w:tr>
      <w:tr w:rsidR="003E5BF5" w:rsidRPr="00E273FC" w14:paraId="07B3FAE9" w14:textId="77777777" w:rsidTr="0003799B">
        <w:trPr>
          <w:trHeight w:val="340"/>
        </w:trPr>
        <w:tc>
          <w:tcPr>
            <w:tcW w:w="3828" w:type="dxa"/>
            <w:shd w:val="clear" w:color="auto" w:fill="auto"/>
            <w:tcMar>
              <w:left w:w="57" w:type="dxa"/>
              <w:right w:w="57" w:type="dxa"/>
            </w:tcMar>
          </w:tcPr>
          <w:p w14:paraId="251AD9EB"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Net gain/(loss) on financial instruments and statutory receivables/payables</w:t>
            </w:r>
          </w:p>
        </w:tc>
        <w:tc>
          <w:tcPr>
            <w:tcW w:w="1417" w:type="dxa"/>
            <w:shd w:val="clear" w:color="auto" w:fill="auto"/>
          </w:tcPr>
          <w:p w14:paraId="1226CF0F"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(5.3)</w:t>
            </w:r>
          </w:p>
        </w:tc>
        <w:tc>
          <w:tcPr>
            <w:tcW w:w="1276" w:type="dxa"/>
            <w:shd w:val="clear" w:color="auto" w:fill="auto"/>
            <w:tcMar>
              <w:left w:w="57" w:type="dxa"/>
              <w:right w:w="57" w:type="dxa"/>
            </w:tcMar>
          </w:tcPr>
          <w:p w14:paraId="75E23F3F"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(16.5)</w:t>
            </w:r>
          </w:p>
        </w:tc>
        <w:tc>
          <w:tcPr>
            <w:tcW w:w="1145" w:type="dxa"/>
            <w:shd w:val="clear" w:color="auto" w:fill="auto"/>
            <w:tcMar>
              <w:left w:w="57" w:type="dxa"/>
              <w:right w:w="57" w:type="dxa"/>
            </w:tcMar>
          </w:tcPr>
          <w:p w14:paraId="03A15B10"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11.2 </w:t>
            </w:r>
          </w:p>
        </w:tc>
        <w:tc>
          <w:tcPr>
            <w:tcW w:w="1178" w:type="dxa"/>
            <w:shd w:val="clear" w:color="auto" w:fill="auto"/>
            <w:tcMar>
              <w:left w:w="57" w:type="dxa"/>
              <w:right w:w="57" w:type="dxa"/>
            </w:tcMar>
          </w:tcPr>
          <w:p w14:paraId="602F1C00"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(68) %</w:t>
            </w:r>
          </w:p>
        </w:tc>
        <w:tc>
          <w:tcPr>
            <w:tcW w:w="795" w:type="dxa"/>
            <w:shd w:val="clear" w:color="auto" w:fill="auto"/>
            <w:tcMar>
              <w:left w:w="57" w:type="dxa"/>
              <w:right w:w="57" w:type="dxa"/>
            </w:tcMar>
          </w:tcPr>
          <w:p w14:paraId="0A5205C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e</w:t>
            </w:r>
          </w:p>
        </w:tc>
      </w:tr>
      <w:tr w:rsidR="003E5BF5" w:rsidRPr="00E273FC" w14:paraId="1F8E52FE" w14:textId="77777777" w:rsidTr="0003799B">
        <w:trPr>
          <w:trHeight w:val="340"/>
        </w:trPr>
        <w:tc>
          <w:tcPr>
            <w:tcW w:w="3828" w:type="dxa"/>
            <w:shd w:val="clear" w:color="auto" w:fill="auto"/>
            <w:tcMar>
              <w:left w:w="57" w:type="dxa"/>
              <w:right w:w="57" w:type="dxa"/>
            </w:tcMar>
            <w:vAlign w:val="center"/>
          </w:tcPr>
          <w:p w14:paraId="1EAD73CB"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other economic flows – Other than non-owner changes in equity</w:t>
            </w:r>
          </w:p>
        </w:tc>
        <w:tc>
          <w:tcPr>
            <w:tcW w:w="1417" w:type="dxa"/>
            <w:shd w:val="clear" w:color="auto" w:fill="auto"/>
          </w:tcPr>
          <w:p w14:paraId="7F400098"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(5.9)</w:t>
            </w:r>
          </w:p>
        </w:tc>
        <w:tc>
          <w:tcPr>
            <w:tcW w:w="1276" w:type="dxa"/>
            <w:shd w:val="clear" w:color="auto" w:fill="auto"/>
            <w:tcMar>
              <w:left w:w="57" w:type="dxa"/>
              <w:right w:w="57" w:type="dxa"/>
            </w:tcMar>
          </w:tcPr>
          <w:p w14:paraId="5563BCDB"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(6.6)</w:t>
            </w:r>
          </w:p>
        </w:tc>
        <w:tc>
          <w:tcPr>
            <w:tcW w:w="1145" w:type="dxa"/>
            <w:shd w:val="clear" w:color="auto" w:fill="auto"/>
            <w:tcMar>
              <w:left w:w="57" w:type="dxa"/>
              <w:right w:w="57" w:type="dxa"/>
            </w:tcMar>
          </w:tcPr>
          <w:p w14:paraId="6E50FE4A"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0.7 </w:t>
            </w:r>
          </w:p>
        </w:tc>
        <w:tc>
          <w:tcPr>
            <w:tcW w:w="1178" w:type="dxa"/>
            <w:shd w:val="clear" w:color="auto" w:fill="auto"/>
            <w:tcMar>
              <w:left w:w="57" w:type="dxa"/>
              <w:right w:w="57" w:type="dxa"/>
            </w:tcMar>
          </w:tcPr>
          <w:p w14:paraId="343849D4"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(11) %</w:t>
            </w:r>
          </w:p>
        </w:tc>
        <w:tc>
          <w:tcPr>
            <w:tcW w:w="795" w:type="dxa"/>
            <w:shd w:val="clear" w:color="auto" w:fill="auto"/>
            <w:tcMar>
              <w:left w:w="57" w:type="dxa"/>
              <w:right w:w="57" w:type="dxa"/>
            </w:tcMar>
          </w:tcPr>
          <w:p w14:paraId="6E75280C" w14:textId="77777777" w:rsidR="003E5BF5" w:rsidRPr="00E273FC" w:rsidRDefault="003E5BF5" w:rsidP="00DE1921">
            <w:pPr>
              <w:pStyle w:val="TableTextRightBold"/>
              <w:rPr>
                <w:rFonts w:ascii="Arial" w:hAnsi="Arial" w:cs="Arial"/>
                <w:sz w:val="24"/>
                <w:szCs w:val="24"/>
              </w:rPr>
            </w:pPr>
          </w:p>
        </w:tc>
      </w:tr>
      <w:tr w:rsidR="003E5BF5" w:rsidRPr="00E273FC" w14:paraId="0298BE04" w14:textId="77777777" w:rsidTr="0003799B">
        <w:trPr>
          <w:trHeight w:val="340"/>
        </w:trPr>
        <w:tc>
          <w:tcPr>
            <w:tcW w:w="3828" w:type="dxa"/>
            <w:shd w:val="clear" w:color="auto" w:fill="auto"/>
            <w:tcMar>
              <w:left w:w="57" w:type="dxa"/>
              <w:right w:w="57" w:type="dxa"/>
            </w:tcMar>
            <w:vAlign w:val="center"/>
          </w:tcPr>
          <w:p w14:paraId="32128CDA" w14:textId="77777777" w:rsidR="003E5BF5" w:rsidRPr="00E273FC" w:rsidRDefault="003E5BF5" w:rsidP="00DE1921">
            <w:pPr>
              <w:pStyle w:val="TableTextLeftBold"/>
              <w:rPr>
                <w:rFonts w:ascii="Arial" w:hAnsi="Arial" w:cs="Arial"/>
                <w:sz w:val="24"/>
                <w:szCs w:val="24"/>
              </w:rPr>
            </w:pPr>
          </w:p>
        </w:tc>
        <w:tc>
          <w:tcPr>
            <w:tcW w:w="1417" w:type="dxa"/>
            <w:shd w:val="clear" w:color="auto" w:fill="auto"/>
            <w:vAlign w:val="center"/>
          </w:tcPr>
          <w:p w14:paraId="0CB251FA" w14:textId="77777777" w:rsidR="003E5BF5" w:rsidRPr="00E273FC" w:rsidRDefault="003E5BF5" w:rsidP="00DE1921">
            <w:pPr>
              <w:pStyle w:val="TableTextRightBold"/>
              <w:rPr>
                <w:rFonts w:ascii="Arial" w:hAnsi="Arial" w:cs="Arial"/>
                <w:sz w:val="24"/>
                <w:szCs w:val="24"/>
              </w:rPr>
            </w:pPr>
          </w:p>
        </w:tc>
        <w:tc>
          <w:tcPr>
            <w:tcW w:w="1276" w:type="dxa"/>
            <w:shd w:val="clear" w:color="auto" w:fill="auto"/>
            <w:tcMar>
              <w:left w:w="57" w:type="dxa"/>
              <w:right w:w="57" w:type="dxa"/>
            </w:tcMar>
            <w:vAlign w:val="center"/>
          </w:tcPr>
          <w:p w14:paraId="2FFFA1F0" w14:textId="77777777" w:rsidR="003E5BF5" w:rsidRPr="00E273FC" w:rsidRDefault="003E5BF5" w:rsidP="00DE1921">
            <w:pPr>
              <w:pStyle w:val="TableTextRightBold"/>
              <w:rPr>
                <w:rFonts w:ascii="Arial" w:hAnsi="Arial" w:cs="Arial"/>
                <w:sz w:val="24"/>
                <w:szCs w:val="24"/>
              </w:rPr>
            </w:pPr>
          </w:p>
        </w:tc>
        <w:tc>
          <w:tcPr>
            <w:tcW w:w="1145" w:type="dxa"/>
            <w:shd w:val="clear" w:color="auto" w:fill="auto"/>
            <w:tcMar>
              <w:left w:w="57" w:type="dxa"/>
              <w:right w:w="57" w:type="dxa"/>
            </w:tcMar>
            <w:vAlign w:val="center"/>
          </w:tcPr>
          <w:p w14:paraId="7CF43DEA" w14:textId="77777777" w:rsidR="003E5BF5" w:rsidRPr="00E273FC" w:rsidRDefault="003E5BF5" w:rsidP="00DE1921">
            <w:pPr>
              <w:pStyle w:val="TableTextRightBold"/>
              <w:rPr>
                <w:rFonts w:ascii="Arial" w:hAnsi="Arial" w:cs="Arial"/>
                <w:sz w:val="24"/>
                <w:szCs w:val="24"/>
              </w:rPr>
            </w:pPr>
          </w:p>
        </w:tc>
        <w:tc>
          <w:tcPr>
            <w:tcW w:w="1178" w:type="dxa"/>
            <w:shd w:val="clear" w:color="auto" w:fill="auto"/>
            <w:tcMar>
              <w:left w:w="57" w:type="dxa"/>
              <w:right w:w="57" w:type="dxa"/>
            </w:tcMar>
            <w:vAlign w:val="center"/>
          </w:tcPr>
          <w:p w14:paraId="40F83005" w14:textId="77777777" w:rsidR="003E5BF5" w:rsidRPr="00E273FC" w:rsidRDefault="003E5BF5" w:rsidP="00DE1921">
            <w:pPr>
              <w:pStyle w:val="TableTextRightBold"/>
              <w:rPr>
                <w:rFonts w:ascii="Arial" w:hAnsi="Arial" w:cs="Arial"/>
                <w:sz w:val="24"/>
                <w:szCs w:val="24"/>
              </w:rPr>
            </w:pPr>
          </w:p>
        </w:tc>
        <w:tc>
          <w:tcPr>
            <w:tcW w:w="795" w:type="dxa"/>
            <w:shd w:val="clear" w:color="auto" w:fill="auto"/>
            <w:tcMar>
              <w:left w:w="57" w:type="dxa"/>
              <w:right w:w="57" w:type="dxa"/>
            </w:tcMar>
            <w:vAlign w:val="center"/>
          </w:tcPr>
          <w:p w14:paraId="0C570CF5" w14:textId="77777777" w:rsidR="003E5BF5" w:rsidRPr="00E273FC" w:rsidRDefault="003E5BF5" w:rsidP="00DE1921">
            <w:pPr>
              <w:pStyle w:val="TableTextRightBold"/>
              <w:rPr>
                <w:rFonts w:ascii="Arial" w:hAnsi="Arial" w:cs="Arial"/>
                <w:sz w:val="24"/>
                <w:szCs w:val="24"/>
              </w:rPr>
            </w:pPr>
          </w:p>
        </w:tc>
      </w:tr>
      <w:tr w:rsidR="003E5BF5" w:rsidRPr="00E273FC" w14:paraId="7DC7FCDE" w14:textId="77777777" w:rsidTr="0003799B">
        <w:trPr>
          <w:trHeight w:val="340"/>
        </w:trPr>
        <w:tc>
          <w:tcPr>
            <w:tcW w:w="3828" w:type="dxa"/>
            <w:shd w:val="clear" w:color="auto" w:fill="auto"/>
            <w:tcMar>
              <w:left w:w="57" w:type="dxa"/>
              <w:right w:w="57" w:type="dxa"/>
            </w:tcMar>
            <w:vAlign w:val="center"/>
          </w:tcPr>
          <w:p w14:paraId="38BE5CF8"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Net result</w:t>
            </w:r>
          </w:p>
        </w:tc>
        <w:tc>
          <w:tcPr>
            <w:tcW w:w="1417" w:type="dxa"/>
            <w:shd w:val="clear" w:color="auto" w:fill="auto"/>
            <w:vAlign w:val="center"/>
          </w:tcPr>
          <w:p w14:paraId="7A0174CD"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4.0 </w:t>
            </w:r>
          </w:p>
        </w:tc>
        <w:tc>
          <w:tcPr>
            <w:tcW w:w="1276" w:type="dxa"/>
            <w:shd w:val="clear" w:color="auto" w:fill="auto"/>
            <w:tcMar>
              <w:left w:w="57" w:type="dxa"/>
              <w:right w:w="57" w:type="dxa"/>
            </w:tcMar>
            <w:vAlign w:val="center"/>
          </w:tcPr>
          <w:p w14:paraId="24EAE418"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26.2 </w:t>
            </w:r>
          </w:p>
        </w:tc>
        <w:tc>
          <w:tcPr>
            <w:tcW w:w="1145" w:type="dxa"/>
            <w:shd w:val="clear" w:color="auto" w:fill="auto"/>
            <w:tcMar>
              <w:left w:w="57" w:type="dxa"/>
              <w:right w:w="57" w:type="dxa"/>
            </w:tcMar>
            <w:vAlign w:val="center"/>
          </w:tcPr>
          <w:p w14:paraId="623D3DDD"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(16.9)</w:t>
            </w:r>
          </w:p>
        </w:tc>
        <w:tc>
          <w:tcPr>
            <w:tcW w:w="1178" w:type="dxa"/>
            <w:shd w:val="clear" w:color="auto" w:fill="auto"/>
            <w:tcMar>
              <w:left w:w="57" w:type="dxa"/>
              <w:right w:w="57" w:type="dxa"/>
            </w:tcMar>
            <w:vAlign w:val="center"/>
          </w:tcPr>
          <w:p w14:paraId="627B3C9F"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(65) %</w:t>
            </w:r>
          </w:p>
        </w:tc>
        <w:tc>
          <w:tcPr>
            <w:tcW w:w="795" w:type="dxa"/>
            <w:shd w:val="clear" w:color="auto" w:fill="auto"/>
            <w:tcMar>
              <w:left w:w="57" w:type="dxa"/>
              <w:right w:w="57" w:type="dxa"/>
            </w:tcMar>
            <w:vAlign w:val="center"/>
          </w:tcPr>
          <w:p w14:paraId="2CD18AD6" w14:textId="77777777" w:rsidR="003E5BF5" w:rsidRPr="00E273FC" w:rsidRDefault="003E5BF5" w:rsidP="00DE1921">
            <w:pPr>
              <w:pStyle w:val="TableTextRightBold"/>
              <w:rPr>
                <w:rFonts w:ascii="Arial" w:hAnsi="Arial" w:cs="Arial"/>
                <w:sz w:val="24"/>
                <w:szCs w:val="24"/>
              </w:rPr>
            </w:pPr>
          </w:p>
        </w:tc>
      </w:tr>
      <w:tr w:rsidR="003E5BF5" w:rsidRPr="00E273FC" w14:paraId="7B6C9DEB" w14:textId="77777777" w:rsidTr="0003799B">
        <w:trPr>
          <w:trHeight w:val="340"/>
        </w:trPr>
        <w:tc>
          <w:tcPr>
            <w:tcW w:w="3828" w:type="dxa"/>
            <w:shd w:val="clear" w:color="auto" w:fill="auto"/>
            <w:tcMar>
              <w:left w:w="57" w:type="dxa"/>
              <w:right w:w="57" w:type="dxa"/>
            </w:tcMar>
            <w:vAlign w:val="center"/>
          </w:tcPr>
          <w:p w14:paraId="7C3CDBA3" w14:textId="77777777" w:rsidR="003E5BF5" w:rsidRPr="00E273FC" w:rsidRDefault="003E5BF5" w:rsidP="00604703">
            <w:pPr>
              <w:pStyle w:val="TableTextGreen"/>
            </w:pPr>
            <w:r w:rsidRPr="00E273FC">
              <w:t>Administered assets</w:t>
            </w:r>
          </w:p>
        </w:tc>
        <w:tc>
          <w:tcPr>
            <w:tcW w:w="1417" w:type="dxa"/>
            <w:shd w:val="clear" w:color="auto" w:fill="auto"/>
            <w:vAlign w:val="center"/>
          </w:tcPr>
          <w:p w14:paraId="45C2FA52" w14:textId="77777777" w:rsidR="003E5BF5" w:rsidRPr="00E273FC" w:rsidRDefault="003E5BF5" w:rsidP="00DE1921">
            <w:pPr>
              <w:pStyle w:val="TableTextRight"/>
              <w:rPr>
                <w:rFonts w:ascii="Arial" w:hAnsi="Arial" w:cs="Arial"/>
                <w:sz w:val="24"/>
                <w:szCs w:val="24"/>
                <w:highlight w:val="yellow"/>
              </w:rPr>
            </w:pPr>
          </w:p>
        </w:tc>
        <w:tc>
          <w:tcPr>
            <w:tcW w:w="1276" w:type="dxa"/>
            <w:shd w:val="clear" w:color="auto" w:fill="auto"/>
            <w:tcMar>
              <w:left w:w="57" w:type="dxa"/>
              <w:right w:w="57" w:type="dxa"/>
            </w:tcMar>
            <w:vAlign w:val="center"/>
          </w:tcPr>
          <w:p w14:paraId="6409EA3D" w14:textId="77777777" w:rsidR="003E5BF5" w:rsidRPr="00E273FC" w:rsidRDefault="003E5BF5" w:rsidP="00DE1921">
            <w:pPr>
              <w:pStyle w:val="TableTextRight"/>
              <w:rPr>
                <w:rFonts w:ascii="Arial" w:hAnsi="Arial" w:cs="Arial"/>
                <w:sz w:val="24"/>
                <w:szCs w:val="24"/>
                <w:highlight w:val="yellow"/>
              </w:rPr>
            </w:pPr>
          </w:p>
        </w:tc>
        <w:tc>
          <w:tcPr>
            <w:tcW w:w="1145" w:type="dxa"/>
            <w:shd w:val="clear" w:color="auto" w:fill="auto"/>
            <w:tcMar>
              <w:left w:w="57" w:type="dxa"/>
              <w:right w:w="57" w:type="dxa"/>
            </w:tcMar>
            <w:vAlign w:val="center"/>
          </w:tcPr>
          <w:p w14:paraId="6B6C06D1" w14:textId="77777777" w:rsidR="003E5BF5" w:rsidRPr="00E273FC" w:rsidRDefault="003E5BF5" w:rsidP="00DE1921">
            <w:pPr>
              <w:pStyle w:val="TableTextRight"/>
              <w:rPr>
                <w:rFonts w:ascii="Arial" w:hAnsi="Arial" w:cs="Arial"/>
                <w:sz w:val="24"/>
                <w:szCs w:val="24"/>
                <w:highlight w:val="yellow"/>
              </w:rPr>
            </w:pPr>
          </w:p>
        </w:tc>
        <w:tc>
          <w:tcPr>
            <w:tcW w:w="1178" w:type="dxa"/>
            <w:shd w:val="clear" w:color="auto" w:fill="auto"/>
            <w:tcMar>
              <w:left w:w="57" w:type="dxa"/>
              <w:right w:w="57" w:type="dxa"/>
            </w:tcMar>
            <w:vAlign w:val="center"/>
          </w:tcPr>
          <w:p w14:paraId="2A4E65E8" w14:textId="77777777" w:rsidR="003E5BF5" w:rsidRPr="00E273FC" w:rsidRDefault="003E5BF5" w:rsidP="00DE1921">
            <w:pPr>
              <w:pStyle w:val="TableTextRight"/>
              <w:rPr>
                <w:rFonts w:ascii="Arial" w:hAnsi="Arial" w:cs="Arial"/>
                <w:sz w:val="24"/>
                <w:szCs w:val="24"/>
                <w:highlight w:val="yellow"/>
              </w:rPr>
            </w:pPr>
          </w:p>
        </w:tc>
        <w:tc>
          <w:tcPr>
            <w:tcW w:w="795" w:type="dxa"/>
            <w:shd w:val="clear" w:color="auto" w:fill="auto"/>
            <w:tcMar>
              <w:left w:w="57" w:type="dxa"/>
              <w:right w:w="57" w:type="dxa"/>
            </w:tcMar>
            <w:vAlign w:val="center"/>
          </w:tcPr>
          <w:p w14:paraId="1CA83100" w14:textId="77777777" w:rsidR="003E5BF5" w:rsidRPr="00E273FC" w:rsidRDefault="003E5BF5" w:rsidP="00DE1921">
            <w:pPr>
              <w:pStyle w:val="TableTextRight"/>
              <w:rPr>
                <w:rFonts w:ascii="Arial" w:hAnsi="Arial" w:cs="Arial"/>
                <w:sz w:val="24"/>
                <w:szCs w:val="24"/>
                <w:highlight w:val="yellow"/>
              </w:rPr>
            </w:pPr>
          </w:p>
        </w:tc>
      </w:tr>
      <w:tr w:rsidR="003E5BF5" w:rsidRPr="00E273FC" w14:paraId="3FF3171A" w14:textId="77777777" w:rsidTr="0003799B">
        <w:trPr>
          <w:trHeight w:val="340"/>
        </w:trPr>
        <w:tc>
          <w:tcPr>
            <w:tcW w:w="3828" w:type="dxa"/>
            <w:shd w:val="clear" w:color="auto" w:fill="auto"/>
            <w:tcMar>
              <w:left w:w="57" w:type="dxa"/>
              <w:right w:w="57" w:type="dxa"/>
            </w:tcMar>
            <w:vAlign w:val="center"/>
          </w:tcPr>
          <w:p w14:paraId="10F3472C" w14:textId="77777777" w:rsidR="003E5BF5" w:rsidRPr="00E273FC" w:rsidRDefault="003E5BF5" w:rsidP="00604703">
            <w:pPr>
              <w:pStyle w:val="TableTextGreen"/>
            </w:pPr>
            <w:r w:rsidRPr="00E273FC">
              <w:t>Financial assets</w:t>
            </w:r>
          </w:p>
        </w:tc>
        <w:tc>
          <w:tcPr>
            <w:tcW w:w="1417" w:type="dxa"/>
            <w:shd w:val="clear" w:color="auto" w:fill="auto"/>
            <w:vAlign w:val="center"/>
          </w:tcPr>
          <w:p w14:paraId="5FFE0DC4" w14:textId="77777777" w:rsidR="003E5BF5" w:rsidRPr="00E273FC" w:rsidRDefault="003E5BF5" w:rsidP="00DE1921">
            <w:pPr>
              <w:pStyle w:val="TableTextRight"/>
              <w:rPr>
                <w:rFonts w:ascii="Arial" w:hAnsi="Arial" w:cs="Arial"/>
                <w:sz w:val="24"/>
                <w:szCs w:val="24"/>
                <w:highlight w:val="yellow"/>
              </w:rPr>
            </w:pPr>
          </w:p>
        </w:tc>
        <w:tc>
          <w:tcPr>
            <w:tcW w:w="1276" w:type="dxa"/>
            <w:shd w:val="clear" w:color="auto" w:fill="auto"/>
            <w:tcMar>
              <w:left w:w="57" w:type="dxa"/>
              <w:right w:w="57" w:type="dxa"/>
            </w:tcMar>
            <w:vAlign w:val="center"/>
          </w:tcPr>
          <w:p w14:paraId="30630D8B" w14:textId="77777777" w:rsidR="003E5BF5" w:rsidRPr="00E273FC" w:rsidRDefault="003E5BF5" w:rsidP="00DE1921">
            <w:pPr>
              <w:pStyle w:val="TableTextRight"/>
              <w:rPr>
                <w:rFonts w:ascii="Arial" w:hAnsi="Arial" w:cs="Arial"/>
                <w:sz w:val="24"/>
                <w:szCs w:val="24"/>
                <w:highlight w:val="yellow"/>
              </w:rPr>
            </w:pPr>
          </w:p>
        </w:tc>
        <w:tc>
          <w:tcPr>
            <w:tcW w:w="1145" w:type="dxa"/>
            <w:shd w:val="clear" w:color="auto" w:fill="auto"/>
            <w:tcMar>
              <w:left w:w="57" w:type="dxa"/>
              <w:right w:w="57" w:type="dxa"/>
            </w:tcMar>
            <w:vAlign w:val="center"/>
          </w:tcPr>
          <w:p w14:paraId="630B5234" w14:textId="77777777" w:rsidR="003E5BF5" w:rsidRPr="00E273FC" w:rsidRDefault="003E5BF5" w:rsidP="00DE1921">
            <w:pPr>
              <w:pStyle w:val="TableTextRight"/>
              <w:rPr>
                <w:rFonts w:ascii="Arial" w:hAnsi="Arial" w:cs="Arial"/>
                <w:sz w:val="24"/>
                <w:szCs w:val="24"/>
                <w:highlight w:val="yellow"/>
              </w:rPr>
            </w:pPr>
          </w:p>
        </w:tc>
        <w:tc>
          <w:tcPr>
            <w:tcW w:w="1178" w:type="dxa"/>
            <w:shd w:val="clear" w:color="auto" w:fill="auto"/>
            <w:tcMar>
              <w:left w:w="57" w:type="dxa"/>
              <w:right w:w="57" w:type="dxa"/>
            </w:tcMar>
            <w:vAlign w:val="center"/>
          </w:tcPr>
          <w:p w14:paraId="445D8462" w14:textId="77777777" w:rsidR="003E5BF5" w:rsidRPr="00E273FC" w:rsidRDefault="003E5BF5" w:rsidP="00DE1921">
            <w:pPr>
              <w:pStyle w:val="TableTextRight"/>
              <w:rPr>
                <w:rFonts w:ascii="Arial" w:hAnsi="Arial" w:cs="Arial"/>
                <w:sz w:val="24"/>
                <w:szCs w:val="24"/>
                <w:highlight w:val="yellow"/>
              </w:rPr>
            </w:pPr>
          </w:p>
        </w:tc>
        <w:tc>
          <w:tcPr>
            <w:tcW w:w="795" w:type="dxa"/>
            <w:shd w:val="clear" w:color="auto" w:fill="auto"/>
            <w:tcMar>
              <w:left w:w="57" w:type="dxa"/>
              <w:right w:w="57" w:type="dxa"/>
            </w:tcMar>
            <w:vAlign w:val="center"/>
          </w:tcPr>
          <w:p w14:paraId="52AC883B" w14:textId="77777777" w:rsidR="003E5BF5" w:rsidRPr="00E273FC" w:rsidRDefault="003E5BF5" w:rsidP="00DE1921">
            <w:pPr>
              <w:pStyle w:val="TableTextRight"/>
              <w:rPr>
                <w:rFonts w:ascii="Arial" w:hAnsi="Arial" w:cs="Arial"/>
                <w:sz w:val="24"/>
                <w:szCs w:val="24"/>
                <w:highlight w:val="yellow"/>
              </w:rPr>
            </w:pPr>
          </w:p>
        </w:tc>
      </w:tr>
      <w:tr w:rsidR="003E5BF5" w:rsidRPr="00E273FC" w14:paraId="75E74360" w14:textId="77777777" w:rsidTr="0003799B">
        <w:trPr>
          <w:trHeight w:val="340"/>
        </w:trPr>
        <w:tc>
          <w:tcPr>
            <w:tcW w:w="3828" w:type="dxa"/>
            <w:shd w:val="clear" w:color="auto" w:fill="auto"/>
            <w:tcMar>
              <w:left w:w="57" w:type="dxa"/>
              <w:right w:w="57" w:type="dxa"/>
            </w:tcMar>
            <w:vAlign w:val="center"/>
          </w:tcPr>
          <w:p w14:paraId="6BCA07D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Cash and deposits</w:t>
            </w:r>
          </w:p>
        </w:tc>
        <w:tc>
          <w:tcPr>
            <w:tcW w:w="1417" w:type="dxa"/>
            <w:shd w:val="clear" w:color="auto" w:fill="auto"/>
            <w:vAlign w:val="center"/>
          </w:tcPr>
          <w:p w14:paraId="409C1401"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15.9 </w:t>
            </w:r>
          </w:p>
        </w:tc>
        <w:tc>
          <w:tcPr>
            <w:tcW w:w="1276" w:type="dxa"/>
            <w:shd w:val="clear" w:color="auto" w:fill="auto"/>
            <w:tcMar>
              <w:left w:w="57" w:type="dxa"/>
              <w:right w:w="57" w:type="dxa"/>
            </w:tcMar>
            <w:vAlign w:val="center"/>
          </w:tcPr>
          <w:p w14:paraId="3EB85416"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11.9 </w:t>
            </w:r>
          </w:p>
        </w:tc>
        <w:tc>
          <w:tcPr>
            <w:tcW w:w="1145" w:type="dxa"/>
            <w:shd w:val="clear" w:color="auto" w:fill="auto"/>
            <w:tcMar>
              <w:left w:w="57" w:type="dxa"/>
              <w:right w:w="57" w:type="dxa"/>
            </w:tcMar>
            <w:vAlign w:val="center"/>
          </w:tcPr>
          <w:p w14:paraId="407EB525"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4.1 </w:t>
            </w:r>
          </w:p>
        </w:tc>
        <w:tc>
          <w:tcPr>
            <w:tcW w:w="1178" w:type="dxa"/>
            <w:shd w:val="clear" w:color="auto" w:fill="auto"/>
            <w:tcMar>
              <w:left w:w="57" w:type="dxa"/>
              <w:right w:w="57" w:type="dxa"/>
            </w:tcMar>
            <w:vAlign w:val="center"/>
          </w:tcPr>
          <w:p w14:paraId="57F82E85"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34%</w:t>
            </w:r>
          </w:p>
        </w:tc>
        <w:tc>
          <w:tcPr>
            <w:tcW w:w="795" w:type="dxa"/>
            <w:shd w:val="clear" w:color="auto" w:fill="auto"/>
            <w:tcMar>
              <w:left w:w="57" w:type="dxa"/>
              <w:right w:w="57" w:type="dxa"/>
            </w:tcMar>
            <w:vAlign w:val="center"/>
          </w:tcPr>
          <w:p w14:paraId="671D9B9A"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w:t>
            </w:r>
          </w:p>
        </w:tc>
      </w:tr>
      <w:tr w:rsidR="003E5BF5" w:rsidRPr="00E273FC" w14:paraId="43A091D5" w14:textId="77777777" w:rsidTr="0003799B">
        <w:trPr>
          <w:trHeight w:val="340"/>
        </w:trPr>
        <w:tc>
          <w:tcPr>
            <w:tcW w:w="3828" w:type="dxa"/>
            <w:shd w:val="clear" w:color="auto" w:fill="auto"/>
            <w:tcMar>
              <w:left w:w="57" w:type="dxa"/>
              <w:right w:w="57" w:type="dxa"/>
            </w:tcMar>
            <w:vAlign w:val="center"/>
          </w:tcPr>
          <w:p w14:paraId="4410B15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Receivables</w:t>
            </w:r>
          </w:p>
        </w:tc>
        <w:tc>
          <w:tcPr>
            <w:tcW w:w="1417" w:type="dxa"/>
            <w:shd w:val="clear" w:color="auto" w:fill="auto"/>
            <w:vAlign w:val="center"/>
          </w:tcPr>
          <w:p w14:paraId="4F6F1238"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22.0 </w:t>
            </w:r>
          </w:p>
        </w:tc>
        <w:tc>
          <w:tcPr>
            <w:tcW w:w="1276" w:type="dxa"/>
            <w:shd w:val="clear" w:color="auto" w:fill="auto"/>
            <w:tcMar>
              <w:left w:w="57" w:type="dxa"/>
              <w:right w:w="57" w:type="dxa"/>
            </w:tcMar>
            <w:vAlign w:val="center"/>
          </w:tcPr>
          <w:p w14:paraId="731AC51C"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104.5 </w:t>
            </w:r>
          </w:p>
        </w:tc>
        <w:tc>
          <w:tcPr>
            <w:tcW w:w="1145" w:type="dxa"/>
            <w:shd w:val="clear" w:color="auto" w:fill="auto"/>
            <w:tcMar>
              <w:left w:w="57" w:type="dxa"/>
              <w:right w:w="57" w:type="dxa"/>
            </w:tcMar>
            <w:vAlign w:val="center"/>
          </w:tcPr>
          <w:p w14:paraId="6508AA0C"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(82.4)</w:t>
            </w:r>
          </w:p>
        </w:tc>
        <w:tc>
          <w:tcPr>
            <w:tcW w:w="1178" w:type="dxa"/>
            <w:shd w:val="clear" w:color="auto" w:fill="auto"/>
            <w:tcMar>
              <w:left w:w="57" w:type="dxa"/>
              <w:right w:w="57" w:type="dxa"/>
            </w:tcMar>
            <w:vAlign w:val="center"/>
          </w:tcPr>
          <w:p w14:paraId="18707756"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(79) %</w:t>
            </w:r>
          </w:p>
        </w:tc>
        <w:tc>
          <w:tcPr>
            <w:tcW w:w="795" w:type="dxa"/>
            <w:shd w:val="clear" w:color="auto" w:fill="auto"/>
            <w:tcMar>
              <w:left w:w="57" w:type="dxa"/>
              <w:right w:w="57" w:type="dxa"/>
            </w:tcMar>
            <w:vAlign w:val="center"/>
          </w:tcPr>
          <w:p w14:paraId="2D9EE414"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f</w:t>
            </w:r>
          </w:p>
        </w:tc>
      </w:tr>
      <w:tr w:rsidR="003E5BF5" w:rsidRPr="00E273FC" w14:paraId="07D6BDF5" w14:textId="77777777" w:rsidTr="0003799B">
        <w:trPr>
          <w:trHeight w:val="340"/>
        </w:trPr>
        <w:tc>
          <w:tcPr>
            <w:tcW w:w="3828" w:type="dxa"/>
            <w:shd w:val="clear" w:color="auto" w:fill="auto"/>
            <w:tcMar>
              <w:left w:w="57" w:type="dxa"/>
              <w:right w:w="57" w:type="dxa"/>
            </w:tcMar>
            <w:vAlign w:val="center"/>
          </w:tcPr>
          <w:p w14:paraId="0207658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Non-financial assets</w:t>
            </w:r>
          </w:p>
        </w:tc>
        <w:tc>
          <w:tcPr>
            <w:tcW w:w="1417" w:type="dxa"/>
            <w:shd w:val="clear" w:color="auto" w:fill="auto"/>
            <w:vAlign w:val="center"/>
          </w:tcPr>
          <w:p w14:paraId="70CFD5DE"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 - </w:t>
            </w:r>
          </w:p>
        </w:tc>
        <w:tc>
          <w:tcPr>
            <w:tcW w:w="1276" w:type="dxa"/>
            <w:shd w:val="clear" w:color="auto" w:fill="auto"/>
            <w:tcMar>
              <w:left w:w="57" w:type="dxa"/>
              <w:right w:w="57" w:type="dxa"/>
            </w:tcMar>
            <w:vAlign w:val="center"/>
          </w:tcPr>
          <w:p w14:paraId="704CAB52"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58.0 </w:t>
            </w:r>
          </w:p>
        </w:tc>
        <w:tc>
          <w:tcPr>
            <w:tcW w:w="1145" w:type="dxa"/>
            <w:shd w:val="clear" w:color="auto" w:fill="auto"/>
            <w:tcMar>
              <w:left w:w="57" w:type="dxa"/>
              <w:right w:w="57" w:type="dxa"/>
            </w:tcMar>
            <w:vAlign w:val="center"/>
          </w:tcPr>
          <w:p w14:paraId="48555B81"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(58.0)</w:t>
            </w:r>
          </w:p>
        </w:tc>
        <w:tc>
          <w:tcPr>
            <w:tcW w:w="1178" w:type="dxa"/>
            <w:shd w:val="clear" w:color="auto" w:fill="auto"/>
            <w:tcMar>
              <w:left w:w="57" w:type="dxa"/>
              <w:right w:w="57" w:type="dxa"/>
            </w:tcMar>
            <w:vAlign w:val="center"/>
          </w:tcPr>
          <w:p w14:paraId="0DA4414D"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(100) %</w:t>
            </w:r>
          </w:p>
        </w:tc>
        <w:tc>
          <w:tcPr>
            <w:tcW w:w="795" w:type="dxa"/>
            <w:shd w:val="clear" w:color="auto" w:fill="auto"/>
            <w:tcMar>
              <w:left w:w="57" w:type="dxa"/>
              <w:right w:w="57" w:type="dxa"/>
            </w:tcMar>
            <w:vAlign w:val="center"/>
          </w:tcPr>
          <w:p w14:paraId="7169EDDA"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g</w:t>
            </w:r>
          </w:p>
        </w:tc>
      </w:tr>
      <w:tr w:rsidR="003E5BF5" w:rsidRPr="00E273FC" w14:paraId="11FA6C8B" w14:textId="77777777" w:rsidTr="0003799B">
        <w:trPr>
          <w:trHeight w:val="340"/>
        </w:trPr>
        <w:tc>
          <w:tcPr>
            <w:tcW w:w="3828" w:type="dxa"/>
            <w:shd w:val="clear" w:color="auto" w:fill="auto"/>
            <w:tcMar>
              <w:left w:w="57" w:type="dxa"/>
              <w:right w:w="57" w:type="dxa"/>
            </w:tcMar>
            <w:vAlign w:val="center"/>
          </w:tcPr>
          <w:p w14:paraId="544219EC"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administered assets</w:t>
            </w:r>
          </w:p>
        </w:tc>
        <w:tc>
          <w:tcPr>
            <w:tcW w:w="1417" w:type="dxa"/>
            <w:shd w:val="clear" w:color="auto" w:fill="auto"/>
            <w:vAlign w:val="center"/>
          </w:tcPr>
          <w:p w14:paraId="06E95C3D"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38.0 </w:t>
            </w:r>
          </w:p>
        </w:tc>
        <w:tc>
          <w:tcPr>
            <w:tcW w:w="1276" w:type="dxa"/>
            <w:shd w:val="clear" w:color="auto" w:fill="auto"/>
            <w:tcMar>
              <w:left w:w="57" w:type="dxa"/>
              <w:right w:w="57" w:type="dxa"/>
            </w:tcMar>
            <w:vAlign w:val="center"/>
          </w:tcPr>
          <w:p w14:paraId="41843A0C"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174.3 </w:t>
            </w:r>
          </w:p>
        </w:tc>
        <w:tc>
          <w:tcPr>
            <w:tcW w:w="1145" w:type="dxa"/>
            <w:shd w:val="clear" w:color="auto" w:fill="auto"/>
            <w:tcMar>
              <w:left w:w="57" w:type="dxa"/>
              <w:right w:w="57" w:type="dxa"/>
            </w:tcMar>
            <w:vAlign w:val="center"/>
          </w:tcPr>
          <w:p w14:paraId="08B3A672"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(136.3)</w:t>
            </w:r>
          </w:p>
        </w:tc>
        <w:tc>
          <w:tcPr>
            <w:tcW w:w="1178" w:type="dxa"/>
            <w:shd w:val="clear" w:color="auto" w:fill="auto"/>
            <w:tcMar>
              <w:left w:w="57" w:type="dxa"/>
              <w:right w:w="57" w:type="dxa"/>
            </w:tcMar>
            <w:vAlign w:val="center"/>
          </w:tcPr>
          <w:p w14:paraId="6F050CD9"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(78) %</w:t>
            </w:r>
          </w:p>
        </w:tc>
        <w:tc>
          <w:tcPr>
            <w:tcW w:w="795" w:type="dxa"/>
            <w:shd w:val="clear" w:color="auto" w:fill="auto"/>
            <w:tcMar>
              <w:left w:w="57" w:type="dxa"/>
              <w:right w:w="57" w:type="dxa"/>
            </w:tcMar>
            <w:vAlign w:val="center"/>
          </w:tcPr>
          <w:p w14:paraId="2FCACBD5"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w:t>
            </w:r>
          </w:p>
        </w:tc>
      </w:tr>
      <w:tr w:rsidR="003E5BF5" w:rsidRPr="00E273FC" w14:paraId="7D374430" w14:textId="77777777" w:rsidTr="0003799B">
        <w:trPr>
          <w:trHeight w:val="340"/>
        </w:trPr>
        <w:tc>
          <w:tcPr>
            <w:tcW w:w="3828" w:type="dxa"/>
            <w:shd w:val="clear" w:color="auto" w:fill="auto"/>
            <w:tcMar>
              <w:left w:w="57" w:type="dxa"/>
              <w:right w:w="57" w:type="dxa"/>
            </w:tcMar>
            <w:vAlign w:val="center"/>
          </w:tcPr>
          <w:p w14:paraId="4F22D2E2" w14:textId="77777777" w:rsidR="003E5BF5" w:rsidRPr="00E273FC" w:rsidRDefault="003E5BF5" w:rsidP="00604703">
            <w:pPr>
              <w:pStyle w:val="TableTextGreen"/>
            </w:pPr>
            <w:r w:rsidRPr="00E273FC">
              <w:t>Liabilities</w:t>
            </w:r>
          </w:p>
        </w:tc>
        <w:tc>
          <w:tcPr>
            <w:tcW w:w="1417" w:type="dxa"/>
            <w:shd w:val="clear" w:color="auto" w:fill="auto"/>
            <w:vAlign w:val="center"/>
          </w:tcPr>
          <w:p w14:paraId="0600FF66" w14:textId="77777777" w:rsidR="003E5BF5" w:rsidRPr="00E273FC" w:rsidRDefault="003E5BF5" w:rsidP="00DE1921">
            <w:pPr>
              <w:pStyle w:val="TableTextRight"/>
              <w:rPr>
                <w:rFonts w:ascii="Arial" w:hAnsi="Arial" w:cs="Arial"/>
                <w:sz w:val="24"/>
                <w:szCs w:val="24"/>
              </w:rPr>
            </w:pPr>
          </w:p>
        </w:tc>
        <w:tc>
          <w:tcPr>
            <w:tcW w:w="1276" w:type="dxa"/>
            <w:shd w:val="clear" w:color="auto" w:fill="auto"/>
            <w:tcMar>
              <w:left w:w="57" w:type="dxa"/>
              <w:right w:w="57" w:type="dxa"/>
            </w:tcMar>
            <w:vAlign w:val="center"/>
          </w:tcPr>
          <w:p w14:paraId="6F52909E" w14:textId="77777777" w:rsidR="003E5BF5" w:rsidRPr="00E273FC" w:rsidRDefault="003E5BF5" w:rsidP="00DE1921">
            <w:pPr>
              <w:pStyle w:val="TableTextRight"/>
              <w:rPr>
                <w:rFonts w:ascii="Arial" w:hAnsi="Arial" w:cs="Arial"/>
                <w:sz w:val="24"/>
                <w:szCs w:val="24"/>
              </w:rPr>
            </w:pPr>
          </w:p>
        </w:tc>
        <w:tc>
          <w:tcPr>
            <w:tcW w:w="1145" w:type="dxa"/>
            <w:shd w:val="clear" w:color="auto" w:fill="auto"/>
            <w:tcMar>
              <w:left w:w="57" w:type="dxa"/>
              <w:right w:w="57" w:type="dxa"/>
            </w:tcMar>
            <w:vAlign w:val="center"/>
          </w:tcPr>
          <w:p w14:paraId="4D82EFD0" w14:textId="77777777" w:rsidR="003E5BF5" w:rsidRPr="00E273FC" w:rsidRDefault="003E5BF5" w:rsidP="00DE1921">
            <w:pPr>
              <w:pStyle w:val="TableTextRight"/>
              <w:rPr>
                <w:rFonts w:ascii="Arial" w:hAnsi="Arial" w:cs="Arial"/>
                <w:sz w:val="24"/>
                <w:szCs w:val="24"/>
              </w:rPr>
            </w:pPr>
          </w:p>
        </w:tc>
        <w:tc>
          <w:tcPr>
            <w:tcW w:w="1178" w:type="dxa"/>
            <w:shd w:val="clear" w:color="auto" w:fill="auto"/>
            <w:tcMar>
              <w:left w:w="57" w:type="dxa"/>
              <w:right w:w="57" w:type="dxa"/>
            </w:tcMar>
            <w:vAlign w:val="center"/>
          </w:tcPr>
          <w:p w14:paraId="3336E67D" w14:textId="77777777" w:rsidR="003E5BF5" w:rsidRPr="00E273FC" w:rsidRDefault="003E5BF5" w:rsidP="00DE1921">
            <w:pPr>
              <w:pStyle w:val="TableTextRight"/>
              <w:rPr>
                <w:rFonts w:ascii="Arial" w:hAnsi="Arial" w:cs="Arial"/>
                <w:sz w:val="24"/>
                <w:szCs w:val="24"/>
              </w:rPr>
            </w:pPr>
          </w:p>
        </w:tc>
        <w:tc>
          <w:tcPr>
            <w:tcW w:w="795" w:type="dxa"/>
            <w:shd w:val="clear" w:color="auto" w:fill="auto"/>
            <w:tcMar>
              <w:left w:w="57" w:type="dxa"/>
              <w:right w:w="57" w:type="dxa"/>
            </w:tcMar>
            <w:vAlign w:val="center"/>
          </w:tcPr>
          <w:p w14:paraId="5C3520C6" w14:textId="77777777" w:rsidR="003E5BF5" w:rsidRPr="00E273FC" w:rsidRDefault="003E5BF5" w:rsidP="00DE1921">
            <w:pPr>
              <w:pStyle w:val="TableTextRight"/>
              <w:rPr>
                <w:rFonts w:ascii="Arial" w:hAnsi="Arial" w:cs="Arial"/>
                <w:sz w:val="24"/>
                <w:szCs w:val="24"/>
              </w:rPr>
            </w:pPr>
          </w:p>
        </w:tc>
      </w:tr>
      <w:tr w:rsidR="003E5BF5" w:rsidRPr="00E273FC" w14:paraId="0CC0BA3D" w14:textId="77777777" w:rsidTr="0003799B">
        <w:trPr>
          <w:trHeight w:val="340"/>
        </w:trPr>
        <w:tc>
          <w:tcPr>
            <w:tcW w:w="3828" w:type="dxa"/>
            <w:shd w:val="clear" w:color="auto" w:fill="auto"/>
            <w:tcMar>
              <w:left w:w="57" w:type="dxa"/>
              <w:right w:w="57" w:type="dxa"/>
            </w:tcMar>
            <w:vAlign w:val="center"/>
          </w:tcPr>
          <w:p w14:paraId="4C3FD3BB"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Payables</w:t>
            </w:r>
          </w:p>
        </w:tc>
        <w:tc>
          <w:tcPr>
            <w:tcW w:w="1417" w:type="dxa"/>
            <w:shd w:val="clear" w:color="auto" w:fill="auto"/>
            <w:vAlign w:val="center"/>
          </w:tcPr>
          <w:p w14:paraId="47AA9529"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15.8 </w:t>
            </w:r>
          </w:p>
        </w:tc>
        <w:tc>
          <w:tcPr>
            <w:tcW w:w="1276" w:type="dxa"/>
            <w:shd w:val="clear" w:color="auto" w:fill="auto"/>
            <w:tcMar>
              <w:left w:w="57" w:type="dxa"/>
              <w:right w:w="57" w:type="dxa"/>
            </w:tcMar>
            <w:vAlign w:val="center"/>
          </w:tcPr>
          <w:p w14:paraId="762912C5"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11.8 </w:t>
            </w:r>
          </w:p>
        </w:tc>
        <w:tc>
          <w:tcPr>
            <w:tcW w:w="1145" w:type="dxa"/>
            <w:shd w:val="clear" w:color="auto" w:fill="auto"/>
            <w:tcMar>
              <w:left w:w="57" w:type="dxa"/>
              <w:right w:w="57" w:type="dxa"/>
            </w:tcMar>
            <w:vAlign w:val="center"/>
          </w:tcPr>
          <w:p w14:paraId="20C1F758"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xml:space="preserve">4.1 </w:t>
            </w:r>
          </w:p>
        </w:tc>
        <w:tc>
          <w:tcPr>
            <w:tcW w:w="1178" w:type="dxa"/>
            <w:shd w:val="clear" w:color="auto" w:fill="auto"/>
            <w:tcMar>
              <w:left w:w="57" w:type="dxa"/>
              <w:right w:w="57" w:type="dxa"/>
            </w:tcMar>
            <w:vAlign w:val="center"/>
          </w:tcPr>
          <w:p w14:paraId="4C3AB479"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35%</w:t>
            </w:r>
          </w:p>
        </w:tc>
        <w:tc>
          <w:tcPr>
            <w:tcW w:w="795" w:type="dxa"/>
            <w:shd w:val="clear" w:color="auto" w:fill="auto"/>
            <w:tcMar>
              <w:left w:w="57" w:type="dxa"/>
              <w:right w:w="57" w:type="dxa"/>
            </w:tcMar>
            <w:vAlign w:val="center"/>
          </w:tcPr>
          <w:p w14:paraId="032A6711" w14:textId="77777777" w:rsidR="003E5BF5" w:rsidRPr="00E273FC" w:rsidRDefault="003E5BF5" w:rsidP="00DE1921">
            <w:pPr>
              <w:pStyle w:val="TableTextRight"/>
              <w:rPr>
                <w:rFonts w:ascii="Arial" w:hAnsi="Arial" w:cs="Arial"/>
                <w:sz w:val="24"/>
                <w:szCs w:val="24"/>
              </w:rPr>
            </w:pPr>
          </w:p>
        </w:tc>
      </w:tr>
      <w:tr w:rsidR="003E5BF5" w:rsidRPr="00E273FC" w14:paraId="70C03921" w14:textId="77777777" w:rsidTr="0003799B">
        <w:trPr>
          <w:trHeight w:val="340"/>
        </w:trPr>
        <w:tc>
          <w:tcPr>
            <w:tcW w:w="3828" w:type="dxa"/>
            <w:shd w:val="clear" w:color="auto" w:fill="auto"/>
            <w:tcMar>
              <w:left w:w="57" w:type="dxa"/>
              <w:right w:w="57" w:type="dxa"/>
            </w:tcMar>
            <w:vAlign w:val="center"/>
          </w:tcPr>
          <w:p w14:paraId="58B57F71" w14:textId="77777777" w:rsidR="003E5BF5" w:rsidRPr="00E273FC" w:rsidRDefault="003E5BF5" w:rsidP="00DE1921">
            <w:pPr>
              <w:pStyle w:val="TableTextLeft"/>
              <w:rPr>
                <w:rFonts w:ascii="Arial" w:hAnsi="Arial" w:cs="Arial"/>
                <w:b/>
                <w:sz w:val="24"/>
                <w:szCs w:val="24"/>
              </w:rPr>
            </w:pPr>
            <w:r w:rsidRPr="00E273FC">
              <w:rPr>
                <w:rFonts w:ascii="Arial" w:hAnsi="Arial" w:cs="Arial"/>
                <w:b/>
                <w:sz w:val="24"/>
                <w:szCs w:val="24"/>
              </w:rPr>
              <w:t>Total administered liabilities</w:t>
            </w:r>
          </w:p>
        </w:tc>
        <w:tc>
          <w:tcPr>
            <w:tcW w:w="1417" w:type="dxa"/>
            <w:shd w:val="clear" w:color="auto" w:fill="auto"/>
            <w:vAlign w:val="center"/>
          </w:tcPr>
          <w:p w14:paraId="45E6F53F"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b/>
                <w:color w:val="000000"/>
                <w:sz w:val="24"/>
                <w:szCs w:val="24"/>
                <w:lang w:eastAsia="en-AU"/>
              </w:rPr>
              <w:t xml:space="preserve">15.8 </w:t>
            </w:r>
          </w:p>
        </w:tc>
        <w:tc>
          <w:tcPr>
            <w:tcW w:w="1276" w:type="dxa"/>
            <w:shd w:val="clear" w:color="auto" w:fill="auto"/>
            <w:tcMar>
              <w:left w:w="57" w:type="dxa"/>
              <w:right w:w="57" w:type="dxa"/>
            </w:tcMar>
            <w:vAlign w:val="center"/>
          </w:tcPr>
          <w:p w14:paraId="485B4F52"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b/>
                <w:color w:val="000000"/>
                <w:sz w:val="24"/>
                <w:szCs w:val="24"/>
                <w:lang w:eastAsia="en-AU"/>
              </w:rPr>
              <w:t xml:space="preserve">11.8 </w:t>
            </w:r>
          </w:p>
        </w:tc>
        <w:tc>
          <w:tcPr>
            <w:tcW w:w="1145" w:type="dxa"/>
            <w:shd w:val="clear" w:color="auto" w:fill="auto"/>
            <w:tcMar>
              <w:left w:w="57" w:type="dxa"/>
              <w:right w:w="57" w:type="dxa"/>
            </w:tcMar>
            <w:vAlign w:val="center"/>
          </w:tcPr>
          <w:p w14:paraId="71FEEA08"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b/>
                <w:color w:val="000000"/>
                <w:sz w:val="24"/>
                <w:szCs w:val="24"/>
                <w:lang w:eastAsia="en-AU"/>
              </w:rPr>
              <w:t xml:space="preserve">4.1 </w:t>
            </w:r>
          </w:p>
        </w:tc>
        <w:tc>
          <w:tcPr>
            <w:tcW w:w="1178" w:type="dxa"/>
            <w:shd w:val="clear" w:color="auto" w:fill="auto"/>
            <w:tcMar>
              <w:left w:w="57" w:type="dxa"/>
              <w:right w:w="57" w:type="dxa"/>
            </w:tcMar>
            <w:vAlign w:val="center"/>
          </w:tcPr>
          <w:p w14:paraId="5B652EAA"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b/>
                <w:color w:val="000000"/>
                <w:sz w:val="24"/>
                <w:szCs w:val="24"/>
                <w:lang w:eastAsia="en-AU"/>
              </w:rPr>
              <w:t>35%</w:t>
            </w:r>
          </w:p>
        </w:tc>
        <w:tc>
          <w:tcPr>
            <w:tcW w:w="795" w:type="dxa"/>
            <w:shd w:val="clear" w:color="auto" w:fill="auto"/>
            <w:tcMar>
              <w:left w:w="57" w:type="dxa"/>
              <w:right w:w="57" w:type="dxa"/>
            </w:tcMar>
            <w:vAlign w:val="center"/>
          </w:tcPr>
          <w:p w14:paraId="53BC100A" w14:textId="77777777" w:rsidR="003E5BF5" w:rsidRPr="00E273FC" w:rsidRDefault="003E5BF5" w:rsidP="00DE1921">
            <w:pPr>
              <w:pStyle w:val="TableTextRight"/>
              <w:rPr>
                <w:rFonts w:ascii="Arial" w:hAnsi="Arial" w:cs="Arial"/>
                <w:sz w:val="24"/>
                <w:szCs w:val="24"/>
              </w:rPr>
            </w:pPr>
          </w:p>
        </w:tc>
      </w:tr>
      <w:tr w:rsidR="003E5BF5" w:rsidRPr="00E273FC" w14:paraId="14325B2B" w14:textId="77777777" w:rsidTr="0003799B">
        <w:trPr>
          <w:trHeight w:val="340"/>
        </w:trPr>
        <w:tc>
          <w:tcPr>
            <w:tcW w:w="3828" w:type="dxa"/>
            <w:shd w:val="clear" w:color="auto" w:fill="auto"/>
            <w:tcMar>
              <w:left w:w="57" w:type="dxa"/>
              <w:right w:w="57" w:type="dxa"/>
            </w:tcMar>
            <w:vAlign w:val="center"/>
          </w:tcPr>
          <w:p w14:paraId="195C9D9A" w14:textId="77777777" w:rsidR="003E5BF5" w:rsidRPr="00E273FC" w:rsidRDefault="003E5BF5" w:rsidP="00DE1921">
            <w:pPr>
              <w:pStyle w:val="TableTextLeft"/>
              <w:rPr>
                <w:rFonts w:ascii="Arial" w:hAnsi="Arial" w:cs="Arial"/>
                <w:sz w:val="24"/>
                <w:szCs w:val="24"/>
              </w:rPr>
            </w:pPr>
          </w:p>
        </w:tc>
        <w:tc>
          <w:tcPr>
            <w:tcW w:w="1417" w:type="dxa"/>
            <w:shd w:val="clear" w:color="auto" w:fill="auto"/>
            <w:vAlign w:val="center"/>
          </w:tcPr>
          <w:p w14:paraId="1116E51B"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w:t>
            </w:r>
          </w:p>
        </w:tc>
        <w:tc>
          <w:tcPr>
            <w:tcW w:w="1276" w:type="dxa"/>
            <w:shd w:val="clear" w:color="auto" w:fill="auto"/>
            <w:tcMar>
              <w:left w:w="57" w:type="dxa"/>
              <w:right w:w="57" w:type="dxa"/>
            </w:tcMar>
            <w:vAlign w:val="center"/>
          </w:tcPr>
          <w:p w14:paraId="365FED37"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w:t>
            </w:r>
          </w:p>
        </w:tc>
        <w:tc>
          <w:tcPr>
            <w:tcW w:w="1145" w:type="dxa"/>
            <w:shd w:val="clear" w:color="auto" w:fill="auto"/>
            <w:tcMar>
              <w:left w:w="57" w:type="dxa"/>
              <w:right w:w="57" w:type="dxa"/>
            </w:tcMar>
            <w:vAlign w:val="center"/>
          </w:tcPr>
          <w:p w14:paraId="191C177F"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w:t>
            </w:r>
          </w:p>
        </w:tc>
        <w:tc>
          <w:tcPr>
            <w:tcW w:w="1178" w:type="dxa"/>
            <w:shd w:val="clear" w:color="auto" w:fill="auto"/>
            <w:tcMar>
              <w:left w:w="57" w:type="dxa"/>
              <w:right w:w="57" w:type="dxa"/>
            </w:tcMar>
            <w:vAlign w:val="center"/>
          </w:tcPr>
          <w:p w14:paraId="65BE25AC" w14:textId="77777777" w:rsidR="003E5BF5" w:rsidRPr="00E273FC" w:rsidRDefault="003E5BF5" w:rsidP="00DE1921">
            <w:pPr>
              <w:pStyle w:val="TableTextRight"/>
              <w:rPr>
                <w:rFonts w:ascii="Arial" w:hAnsi="Arial" w:cs="Arial"/>
                <w:sz w:val="24"/>
                <w:szCs w:val="24"/>
              </w:rPr>
            </w:pPr>
            <w:r w:rsidRPr="00E273FC">
              <w:rPr>
                <w:rFonts w:ascii="Arial" w:eastAsia="Times New Roman" w:hAnsi="Arial" w:cs="Arial"/>
                <w:color w:val="000000"/>
                <w:sz w:val="24"/>
                <w:szCs w:val="24"/>
                <w:lang w:eastAsia="en-AU"/>
              </w:rPr>
              <w:t> </w:t>
            </w:r>
          </w:p>
        </w:tc>
        <w:tc>
          <w:tcPr>
            <w:tcW w:w="795" w:type="dxa"/>
            <w:shd w:val="clear" w:color="auto" w:fill="auto"/>
            <w:tcMar>
              <w:left w:w="57" w:type="dxa"/>
              <w:right w:w="57" w:type="dxa"/>
            </w:tcMar>
            <w:vAlign w:val="center"/>
          </w:tcPr>
          <w:p w14:paraId="4AB81CB6" w14:textId="77777777" w:rsidR="003E5BF5" w:rsidRPr="00E273FC" w:rsidRDefault="003E5BF5" w:rsidP="00DE1921">
            <w:pPr>
              <w:pStyle w:val="TableTextRight"/>
              <w:rPr>
                <w:rFonts w:ascii="Arial" w:hAnsi="Arial" w:cs="Arial"/>
                <w:sz w:val="24"/>
                <w:szCs w:val="24"/>
              </w:rPr>
            </w:pPr>
          </w:p>
        </w:tc>
      </w:tr>
      <w:tr w:rsidR="003E5BF5" w:rsidRPr="00E273FC" w14:paraId="446F22E5" w14:textId="77777777" w:rsidTr="0003799B">
        <w:trPr>
          <w:trHeight w:val="340"/>
        </w:trPr>
        <w:tc>
          <w:tcPr>
            <w:tcW w:w="3828" w:type="dxa"/>
            <w:shd w:val="clear" w:color="auto" w:fill="auto"/>
            <w:tcMar>
              <w:left w:w="57" w:type="dxa"/>
              <w:right w:w="57" w:type="dxa"/>
            </w:tcMar>
            <w:vAlign w:val="center"/>
          </w:tcPr>
          <w:p w14:paraId="6AE04D6C"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Net assets</w:t>
            </w:r>
          </w:p>
        </w:tc>
        <w:tc>
          <w:tcPr>
            <w:tcW w:w="1417" w:type="dxa"/>
            <w:shd w:val="clear" w:color="auto" w:fill="auto"/>
            <w:vAlign w:val="center"/>
          </w:tcPr>
          <w:p w14:paraId="3A07090B"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22.1 </w:t>
            </w:r>
          </w:p>
        </w:tc>
        <w:tc>
          <w:tcPr>
            <w:tcW w:w="1276" w:type="dxa"/>
            <w:shd w:val="clear" w:color="auto" w:fill="auto"/>
            <w:tcMar>
              <w:left w:w="57" w:type="dxa"/>
              <w:right w:w="57" w:type="dxa"/>
            </w:tcMar>
            <w:vAlign w:val="center"/>
          </w:tcPr>
          <w:p w14:paraId="3AF2B88C"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 xml:space="preserve">162.6 </w:t>
            </w:r>
          </w:p>
        </w:tc>
        <w:tc>
          <w:tcPr>
            <w:tcW w:w="1145" w:type="dxa"/>
            <w:shd w:val="clear" w:color="auto" w:fill="auto"/>
            <w:tcMar>
              <w:left w:w="57" w:type="dxa"/>
              <w:right w:w="57" w:type="dxa"/>
            </w:tcMar>
            <w:vAlign w:val="center"/>
          </w:tcPr>
          <w:p w14:paraId="0C9EACA0"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(140.4)</w:t>
            </w:r>
          </w:p>
        </w:tc>
        <w:tc>
          <w:tcPr>
            <w:tcW w:w="1178" w:type="dxa"/>
            <w:shd w:val="clear" w:color="auto" w:fill="auto"/>
            <w:tcMar>
              <w:left w:w="57" w:type="dxa"/>
              <w:right w:w="57" w:type="dxa"/>
            </w:tcMar>
            <w:vAlign w:val="center"/>
          </w:tcPr>
          <w:p w14:paraId="3E5140D4" w14:textId="77777777" w:rsidR="003E5BF5" w:rsidRPr="00E273FC" w:rsidRDefault="003E5BF5" w:rsidP="00DE1921">
            <w:pPr>
              <w:pStyle w:val="TableTextRightBold"/>
              <w:rPr>
                <w:rFonts w:ascii="Arial" w:hAnsi="Arial" w:cs="Arial"/>
                <w:sz w:val="24"/>
                <w:szCs w:val="24"/>
              </w:rPr>
            </w:pPr>
            <w:r w:rsidRPr="00E273FC">
              <w:rPr>
                <w:rFonts w:ascii="Arial" w:eastAsia="Times New Roman" w:hAnsi="Arial" w:cs="Arial"/>
                <w:color w:val="000000"/>
                <w:sz w:val="24"/>
                <w:szCs w:val="24"/>
                <w:lang w:eastAsia="en-AU"/>
              </w:rPr>
              <w:t>(86) %</w:t>
            </w:r>
          </w:p>
        </w:tc>
        <w:tc>
          <w:tcPr>
            <w:tcW w:w="795" w:type="dxa"/>
            <w:shd w:val="clear" w:color="auto" w:fill="auto"/>
            <w:tcMar>
              <w:left w:w="57" w:type="dxa"/>
              <w:right w:w="57" w:type="dxa"/>
            </w:tcMar>
            <w:vAlign w:val="center"/>
          </w:tcPr>
          <w:p w14:paraId="4E30E287" w14:textId="77777777" w:rsidR="003E5BF5" w:rsidRPr="00E273FC" w:rsidRDefault="003E5BF5" w:rsidP="00DE1921">
            <w:pPr>
              <w:pStyle w:val="TableTextRightBold"/>
              <w:rPr>
                <w:rFonts w:ascii="Arial" w:hAnsi="Arial" w:cs="Arial"/>
                <w:sz w:val="24"/>
                <w:szCs w:val="24"/>
              </w:rPr>
            </w:pPr>
          </w:p>
        </w:tc>
      </w:tr>
    </w:tbl>
    <w:p w14:paraId="769A7A76" w14:textId="77777777" w:rsidR="003E5BF5" w:rsidRDefault="003E5BF5" w:rsidP="00DE1921">
      <w:pPr>
        <w:pStyle w:val="Note"/>
        <w:rPr>
          <w:sz w:val="18"/>
          <w:szCs w:val="18"/>
        </w:rPr>
        <w:sectPr w:rsidR="003E5BF5" w:rsidSect="00DE1921">
          <w:pgSz w:w="11906" w:h="16838"/>
          <w:pgMar w:top="1701" w:right="1418" w:bottom="1418" w:left="1418" w:header="709" w:footer="709" w:gutter="0"/>
          <w:cols w:space="284"/>
          <w:docGrid w:linePitch="360"/>
        </w:sectPr>
      </w:pPr>
    </w:p>
    <w:p w14:paraId="1F5907D1" w14:textId="77777777" w:rsidR="003E5BF5" w:rsidRPr="00EF0F3B" w:rsidRDefault="003E5BF5" w:rsidP="003C6DF7">
      <w:pPr>
        <w:pStyle w:val="aaatyping"/>
        <w:rPr>
          <w:szCs w:val="18"/>
        </w:rPr>
      </w:pPr>
      <w:r w:rsidRPr="00A32350">
        <w:lastRenderedPageBreak/>
        <w:t xml:space="preserve">Explanation for major variations between 2019–20 actual and </w:t>
      </w:r>
      <w:r w:rsidRPr="00EF0F3B">
        <w:rPr>
          <w:szCs w:val="18"/>
        </w:rPr>
        <w:t>2019–20 published budget are as follows:</w:t>
      </w:r>
    </w:p>
    <w:p w14:paraId="358D95A6" w14:textId="77777777" w:rsidR="003E5BF5" w:rsidRPr="0003799B" w:rsidRDefault="003E5BF5" w:rsidP="00610F5F">
      <w:pPr>
        <w:pStyle w:val="Notenumberingabc"/>
        <w:numPr>
          <w:ilvl w:val="0"/>
          <w:numId w:val="54"/>
        </w:numPr>
        <w:spacing w:before="0"/>
        <w:ind w:left="453" w:hanging="340"/>
        <w:rPr>
          <w:rFonts w:ascii="Arial" w:hAnsi="Arial" w:cs="Arial"/>
          <w:sz w:val="28"/>
          <w:szCs w:val="28"/>
        </w:rPr>
      </w:pPr>
      <w:r w:rsidRPr="0003799B">
        <w:rPr>
          <w:rFonts w:ascii="Arial" w:hAnsi="Arial" w:cs="Arial"/>
          <w:sz w:val="28"/>
          <w:szCs w:val="28"/>
        </w:rPr>
        <w:t>Sales of goods and services were higher than the Published budget primarily due to user charges relating to services previously received as controlled revenues by VicRoads and Public Transport Victoria.</w:t>
      </w:r>
    </w:p>
    <w:p w14:paraId="13B2C80A" w14:textId="77777777" w:rsidR="003E5BF5" w:rsidRPr="0003799B" w:rsidRDefault="003E5BF5" w:rsidP="003E5BF5">
      <w:pPr>
        <w:pStyle w:val="Notenumberingabc"/>
        <w:spacing w:before="0" w:after="120"/>
        <w:ind w:left="453" w:hanging="340"/>
        <w:rPr>
          <w:rFonts w:ascii="Arial" w:hAnsi="Arial" w:cs="Arial"/>
          <w:sz w:val="28"/>
          <w:szCs w:val="28"/>
        </w:rPr>
      </w:pPr>
      <w:r w:rsidRPr="0003799B">
        <w:rPr>
          <w:rFonts w:ascii="Arial" w:hAnsi="Arial" w:cs="Arial"/>
          <w:sz w:val="28"/>
          <w:szCs w:val="28"/>
        </w:rPr>
        <w:t>Other income was higher than the Published budget primarily due to higher motor vehicle registration revenues received.</w:t>
      </w:r>
    </w:p>
    <w:p w14:paraId="4CB0ED17" w14:textId="77777777" w:rsidR="003E5BF5" w:rsidRPr="0003799B" w:rsidRDefault="003E5BF5" w:rsidP="003E5BF5">
      <w:pPr>
        <w:pStyle w:val="Notenumberingabc"/>
        <w:spacing w:before="0" w:after="120"/>
        <w:ind w:left="453" w:hanging="340"/>
        <w:rPr>
          <w:rFonts w:ascii="Arial" w:hAnsi="Arial" w:cs="Arial"/>
          <w:sz w:val="28"/>
          <w:szCs w:val="28"/>
        </w:rPr>
      </w:pPr>
      <w:r w:rsidRPr="0003799B">
        <w:rPr>
          <w:rFonts w:ascii="Arial" w:hAnsi="Arial" w:cs="Arial"/>
          <w:sz w:val="28"/>
          <w:szCs w:val="28"/>
        </w:rPr>
        <w:t xml:space="preserve">Payments into Consolidated Fund were higher than the Published budget primarily due to user charges relating to services previously received as controlled revenues by VicRoads and Public Transport Victoria and motor vehicle registration revenues received. </w:t>
      </w:r>
    </w:p>
    <w:p w14:paraId="3A8473CE" w14:textId="77777777" w:rsidR="003E5BF5" w:rsidRPr="0003799B" w:rsidRDefault="003E5BF5" w:rsidP="003E5BF5">
      <w:pPr>
        <w:pStyle w:val="Notenumberingabc"/>
        <w:spacing w:before="0" w:after="120"/>
        <w:ind w:left="453" w:hanging="340"/>
        <w:rPr>
          <w:rFonts w:ascii="Arial" w:hAnsi="Arial" w:cs="Arial"/>
          <w:sz w:val="28"/>
          <w:szCs w:val="28"/>
        </w:rPr>
      </w:pPr>
      <w:r w:rsidRPr="0003799B">
        <w:rPr>
          <w:rFonts w:ascii="Arial" w:hAnsi="Arial" w:cs="Arial"/>
          <w:sz w:val="28"/>
          <w:szCs w:val="28"/>
        </w:rPr>
        <w:t>Net gain/(loss) on non-financial assets primarily due to timing of sale of assets.</w:t>
      </w:r>
    </w:p>
    <w:p w14:paraId="065B879F" w14:textId="77777777" w:rsidR="003E5BF5" w:rsidRPr="0003799B" w:rsidRDefault="003E5BF5" w:rsidP="003E5BF5">
      <w:pPr>
        <w:pStyle w:val="Notenumberingabc"/>
        <w:spacing w:before="0" w:after="120"/>
        <w:ind w:left="453" w:hanging="340"/>
        <w:rPr>
          <w:rFonts w:ascii="Arial" w:hAnsi="Arial" w:cs="Arial"/>
          <w:sz w:val="28"/>
          <w:szCs w:val="28"/>
        </w:rPr>
      </w:pPr>
      <w:r w:rsidRPr="0003799B">
        <w:rPr>
          <w:rFonts w:ascii="Arial" w:hAnsi="Arial" w:cs="Arial"/>
          <w:sz w:val="28"/>
          <w:szCs w:val="28"/>
        </w:rPr>
        <w:t>Net gain/(loss) on financial instruments and statutory receivables/payables primarily due to lower actual receivable balances.</w:t>
      </w:r>
    </w:p>
    <w:p w14:paraId="006E93D1" w14:textId="77777777" w:rsidR="003E5BF5" w:rsidRPr="0003799B" w:rsidRDefault="003E5BF5" w:rsidP="003E5BF5">
      <w:pPr>
        <w:pStyle w:val="Notenumberingabc"/>
        <w:spacing w:before="0" w:after="120"/>
        <w:ind w:left="453" w:hanging="340"/>
        <w:rPr>
          <w:rFonts w:ascii="Arial" w:hAnsi="Arial" w:cs="Arial"/>
          <w:sz w:val="28"/>
          <w:szCs w:val="28"/>
        </w:rPr>
      </w:pPr>
      <w:r w:rsidRPr="0003799B">
        <w:rPr>
          <w:rFonts w:ascii="Arial" w:hAnsi="Arial" w:cs="Arial"/>
          <w:sz w:val="28"/>
          <w:szCs w:val="28"/>
        </w:rPr>
        <w:t>Receivables were higher than the Published budget primarily due to timing of revenues received.</w:t>
      </w:r>
    </w:p>
    <w:p w14:paraId="2D295D1E" w14:textId="77777777" w:rsidR="003E5BF5" w:rsidRPr="0003799B" w:rsidRDefault="003E5BF5" w:rsidP="003E5BF5">
      <w:pPr>
        <w:pStyle w:val="Notenumberingabc"/>
        <w:spacing w:before="0"/>
        <w:ind w:left="453" w:hanging="340"/>
        <w:rPr>
          <w:rFonts w:ascii="Arial" w:hAnsi="Arial" w:cs="Arial"/>
          <w:sz w:val="28"/>
          <w:szCs w:val="28"/>
        </w:rPr>
      </w:pPr>
      <w:r w:rsidRPr="0003799B">
        <w:rPr>
          <w:rFonts w:ascii="Arial" w:hAnsi="Arial" w:cs="Arial"/>
          <w:sz w:val="28"/>
          <w:szCs w:val="28"/>
        </w:rPr>
        <w:t>Non-financial assets were higher than the Published budget primarily due to the transition of VicRoads into the Department effective 1 July 2019.</w:t>
      </w:r>
    </w:p>
    <w:p w14:paraId="295ED91B" w14:textId="77777777" w:rsidR="001729BE" w:rsidRDefault="001729BE" w:rsidP="00DE1921">
      <w:pPr>
        <w:sectPr w:rsidR="001729BE" w:rsidSect="00DE1921">
          <w:footerReference w:type="even" r:id="rId260"/>
          <w:pgSz w:w="11906" w:h="16838"/>
          <w:pgMar w:top="1440" w:right="1440" w:bottom="1440" w:left="1440" w:header="708" w:footer="708" w:gutter="0"/>
          <w:cols w:space="708"/>
          <w:docGrid w:linePitch="360"/>
        </w:sectPr>
      </w:pPr>
    </w:p>
    <w:p w14:paraId="26E6177A" w14:textId="5680E1AF" w:rsidR="003E5BF5" w:rsidRPr="00957148" w:rsidRDefault="003E5BF5" w:rsidP="00DE1921"/>
    <w:p w14:paraId="641F5E8D" w14:textId="77777777" w:rsidR="003E5BF5" w:rsidRPr="00BB2D97" w:rsidRDefault="003E5BF5" w:rsidP="008A0170">
      <w:pPr>
        <w:pStyle w:val="Heading1"/>
      </w:pPr>
      <w:bookmarkStart w:id="798" w:name="_Toc55130704"/>
      <w:r w:rsidRPr="00BB2D97">
        <w:t>Appendix 3: Capital projects/asset investment programs</w:t>
      </w:r>
      <w:bookmarkEnd w:id="798"/>
    </w:p>
    <w:p w14:paraId="227B2466" w14:textId="77777777" w:rsidR="003E5BF5" w:rsidRPr="00081FC9" w:rsidRDefault="003E5BF5" w:rsidP="003C6DF7">
      <w:pPr>
        <w:pStyle w:val="aaatyping"/>
      </w:pPr>
      <w:r w:rsidRPr="00081FC9">
        <w:t>The department and its related portfolio entities manage a range of capital projects to deliver services for government.</w:t>
      </w:r>
    </w:p>
    <w:p w14:paraId="69301EB1" w14:textId="77777777" w:rsidR="003E5BF5" w:rsidRDefault="003E5BF5" w:rsidP="003C6DF7">
      <w:pPr>
        <w:pStyle w:val="aaatyping"/>
      </w:pPr>
      <w:r>
        <w:t>Information on new and existing capital projects for departments, and the broader Victorian public sector, are contained in Budget Paper No. 4 State Capital Program (BP4), available on the Department of Treasury and Finance’s website.</w:t>
      </w:r>
    </w:p>
    <w:p w14:paraId="76164AA2" w14:textId="77777777" w:rsidR="003E5BF5" w:rsidRDefault="003E5BF5" w:rsidP="003C6DF7">
      <w:pPr>
        <w:pStyle w:val="aaatyping"/>
      </w:pPr>
      <w:r>
        <w:t>During the year, the following capital projects with a total estimated investment (TEI) of $10 million or greater were completed. The details related to these projects are reported below.</w:t>
      </w:r>
    </w:p>
    <w:p w14:paraId="503A1CFD" w14:textId="77777777" w:rsidR="003E5BF5" w:rsidRDefault="003E5BF5" w:rsidP="00DE1921"/>
    <w:p w14:paraId="53CFD9C4" w14:textId="77777777" w:rsidR="003E5BF5" w:rsidRPr="00805E74" w:rsidRDefault="003E5BF5" w:rsidP="00DE1921">
      <w:pPr>
        <w:sectPr w:rsidR="003E5BF5" w:rsidRPr="00805E74" w:rsidSect="00DE1921">
          <w:pgSz w:w="11906" w:h="16838"/>
          <w:pgMar w:top="1440" w:right="1440" w:bottom="1440" w:left="1440" w:header="708" w:footer="708" w:gutter="0"/>
          <w:cols w:space="708"/>
          <w:docGrid w:linePitch="360"/>
        </w:sectPr>
      </w:pPr>
    </w:p>
    <w:p w14:paraId="67E2178E" w14:textId="77777777" w:rsidR="003E5BF5" w:rsidRPr="00E273FC" w:rsidRDefault="003E5BF5" w:rsidP="00CF74EB">
      <w:pPr>
        <w:pStyle w:val="TableHeader"/>
      </w:pPr>
      <w:r w:rsidRPr="00E273FC">
        <w:lastRenderedPageBreak/>
        <w:t>Table 1: Capital projects reaching practical completion during the financial year ended 30 June 2020</w:t>
      </w:r>
      <w:r w:rsidRPr="00E273FC">
        <w:rPr>
          <w:vertAlign w:val="superscript"/>
        </w:rPr>
        <w:t>(1)</w:t>
      </w:r>
    </w:p>
    <w:tbl>
      <w:tblPr>
        <w:tblStyle w:val="TableGrid"/>
        <w:tblW w:w="13608" w:type="dxa"/>
        <w:tblCellMar>
          <w:left w:w="0" w:type="dxa"/>
          <w:right w:w="0" w:type="dxa"/>
        </w:tblCellMar>
        <w:tblLook w:val="04A0" w:firstRow="1" w:lastRow="0" w:firstColumn="1" w:lastColumn="0" w:noHBand="0" w:noVBand="1"/>
      </w:tblPr>
      <w:tblGrid>
        <w:gridCol w:w="2676"/>
        <w:gridCol w:w="1291"/>
        <w:gridCol w:w="1291"/>
        <w:gridCol w:w="1291"/>
        <w:gridCol w:w="1291"/>
        <w:gridCol w:w="1195"/>
        <w:gridCol w:w="1091"/>
        <w:gridCol w:w="982"/>
        <w:gridCol w:w="1337"/>
        <w:gridCol w:w="1163"/>
      </w:tblGrid>
      <w:tr w:rsidR="003E5BF5" w:rsidRPr="00E273FC" w14:paraId="4D13AD21" w14:textId="77777777" w:rsidTr="007526FB">
        <w:trPr>
          <w:trHeight w:val="284"/>
          <w:tblHeader/>
        </w:trPr>
        <w:tc>
          <w:tcPr>
            <w:tcW w:w="4041" w:type="dxa"/>
            <w:tcMar>
              <w:left w:w="57" w:type="dxa"/>
              <w:right w:w="57" w:type="dxa"/>
            </w:tcMar>
            <w:vAlign w:val="bottom"/>
          </w:tcPr>
          <w:p w14:paraId="67AE9D3E"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Project</w:t>
            </w:r>
          </w:p>
        </w:tc>
        <w:tc>
          <w:tcPr>
            <w:tcW w:w="988" w:type="dxa"/>
            <w:vAlign w:val="bottom"/>
          </w:tcPr>
          <w:p w14:paraId="30D33AA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Original completion date</w:t>
            </w:r>
          </w:p>
        </w:tc>
        <w:tc>
          <w:tcPr>
            <w:tcW w:w="988" w:type="dxa"/>
            <w:vAlign w:val="bottom"/>
          </w:tcPr>
          <w:p w14:paraId="327CE39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Latest approved completion date</w:t>
            </w:r>
          </w:p>
        </w:tc>
        <w:tc>
          <w:tcPr>
            <w:tcW w:w="989" w:type="dxa"/>
            <w:vAlign w:val="bottom"/>
          </w:tcPr>
          <w:p w14:paraId="7C330A8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Practical completion date</w:t>
            </w:r>
          </w:p>
        </w:tc>
        <w:tc>
          <w:tcPr>
            <w:tcW w:w="944" w:type="dxa"/>
            <w:vAlign w:val="bottom"/>
          </w:tcPr>
          <w:p w14:paraId="4D283A4E"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Reason for variance in completion dates</w:t>
            </w:r>
          </w:p>
        </w:tc>
        <w:tc>
          <w:tcPr>
            <w:tcW w:w="1083" w:type="dxa"/>
            <w:shd w:val="clear" w:color="auto" w:fill="auto"/>
            <w:tcMar>
              <w:left w:w="57" w:type="dxa"/>
              <w:right w:w="57" w:type="dxa"/>
            </w:tcMar>
            <w:vAlign w:val="bottom"/>
          </w:tcPr>
          <w:p w14:paraId="1B51AB0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Original approved TEI* budget</w:t>
            </w:r>
          </w:p>
          <w:p w14:paraId="271A626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million)</w:t>
            </w:r>
          </w:p>
        </w:tc>
        <w:tc>
          <w:tcPr>
            <w:tcW w:w="864" w:type="dxa"/>
            <w:shd w:val="clear" w:color="auto" w:fill="auto"/>
            <w:vAlign w:val="bottom"/>
          </w:tcPr>
          <w:p w14:paraId="3A3E4B8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Latest approved TEI budget</w:t>
            </w:r>
          </w:p>
          <w:p w14:paraId="02E578A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million)</w:t>
            </w:r>
          </w:p>
        </w:tc>
        <w:tc>
          <w:tcPr>
            <w:tcW w:w="876" w:type="dxa"/>
            <w:shd w:val="clear" w:color="auto" w:fill="auto"/>
            <w:tcMar>
              <w:left w:w="57" w:type="dxa"/>
              <w:right w:w="57" w:type="dxa"/>
            </w:tcMar>
            <w:vAlign w:val="bottom"/>
          </w:tcPr>
          <w:p w14:paraId="38517D7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Actual TEI cost</w:t>
            </w:r>
          </w:p>
          <w:p w14:paraId="2948562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million)</w:t>
            </w:r>
          </w:p>
        </w:tc>
        <w:tc>
          <w:tcPr>
            <w:tcW w:w="1560" w:type="dxa"/>
            <w:tcMar>
              <w:left w:w="57" w:type="dxa"/>
              <w:right w:w="57" w:type="dxa"/>
            </w:tcMar>
            <w:vAlign w:val="bottom"/>
          </w:tcPr>
          <w:p w14:paraId="571D8E39"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Variation between actual cost &amp; latest approved TEI budget</w:t>
            </w:r>
          </w:p>
        </w:tc>
        <w:tc>
          <w:tcPr>
            <w:tcW w:w="1275" w:type="dxa"/>
            <w:vAlign w:val="bottom"/>
          </w:tcPr>
          <w:p w14:paraId="23E6172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Reason for variance from latest approved TEI budget</w:t>
            </w:r>
          </w:p>
        </w:tc>
      </w:tr>
      <w:tr w:rsidR="003E5BF5" w:rsidRPr="00E273FC" w14:paraId="682D3279" w14:textId="77777777" w:rsidTr="00364E21">
        <w:trPr>
          <w:trHeight w:val="340"/>
        </w:trPr>
        <w:tc>
          <w:tcPr>
            <w:tcW w:w="4041" w:type="dxa"/>
            <w:tcMar>
              <w:left w:w="57" w:type="dxa"/>
              <w:right w:w="57" w:type="dxa"/>
            </w:tcMar>
          </w:tcPr>
          <w:p w14:paraId="06E5A30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Princes Highway duplication project – Winchelsea to Colac (regional various)</w:t>
            </w:r>
          </w:p>
        </w:tc>
        <w:tc>
          <w:tcPr>
            <w:tcW w:w="988" w:type="dxa"/>
          </w:tcPr>
          <w:p w14:paraId="32AC2DC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Jun-19</w:t>
            </w:r>
          </w:p>
        </w:tc>
        <w:tc>
          <w:tcPr>
            <w:tcW w:w="988" w:type="dxa"/>
          </w:tcPr>
          <w:p w14:paraId="12658DF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Dec-19</w:t>
            </w:r>
          </w:p>
        </w:tc>
        <w:tc>
          <w:tcPr>
            <w:tcW w:w="989" w:type="dxa"/>
          </w:tcPr>
          <w:p w14:paraId="5D038ED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Nov-19</w:t>
            </w:r>
          </w:p>
        </w:tc>
        <w:tc>
          <w:tcPr>
            <w:tcW w:w="944" w:type="dxa"/>
          </w:tcPr>
          <w:p w14:paraId="6C8CFAE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Note 2</w:t>
            </w:r>
          </w:p>
        </w:tc>
        <w:tc>
          <w:tcPr>
            <w:tcW w:w="1083" w:type="dxa"/>
            <w:shd w:val="clear" w:color="auto" w:fill="auto"/>
            <w:tcMar>
              <w:left w:w="57" w:type="dxa"/>
              <w:right w:w="57" w:type="dxa"/>
            </w:tcMar>
          </w:tcPr>
          <w:p w14:paraId="7782F78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349.490</w:t>
            </w:r>
          </w:p>
        </w:tc>
        <w:tc>
          <w:tcPr>
            <w:tcW w:w="864" w:type="dxa"/>
            <w:shd w:val="clear" w:color="auto" w:fill="auto"/>
          </w:tcPr>
          <w:p w14:paraId="765E5D6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349.193</w:t>
            </w:r>
          </w:p>
        </w:tc>
        <w:tc>
          <w:tcPr>
            <w:tcW w:w="876" w:type="dxa"/>
            <w:shd w:val="clear" w:color="auto" w:fill="auto"/>
            <w:tcMar>
              <w:left w:w="57" w:type="dxa"/>
              <w:right w:w="57" w:type="dxa"/>
            </w:tcMar>
          </w:tcPr>
          <w:p w14:paraId="1D31A87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309.977</w:t>
            </w:r>
          </w:p>
        </w:tc>
        <w:tc>
          <w:tcPr>
            <w:tcW w:w="1560" w:type="dxa"/>
            <w:tcMar>
              <w:left w:w="57" w:type="dxa"/>
              <w:right w:w="57" w:type="dxa"/>
            </w:tcMar>
          </w:tcPr>
          <w:p w14:paraId="1518765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(39.216)</w:t>
            </w:r>
          </w:p>
        </w:tc>
        <w:tc>
          <w:tcPr>
            <w:tcW w:w="1275" w:type="dxa"/>
          </w:tcPr>
          <w:p w14:paraId="66806EF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Note 3</w:t>
            </w:r>
          </w:p>
        </w:tc>
      </w:tr>
      <w:tr w:rsidR="003E5BF5" w:rsidRPr="00E273FC" w14:paraId="7246AD53" w14:textId="77777777" w:rsidTr="00364E21">
        <w:trPr>
          <w:trHeight w:val="340"/>
        </w:trPr>
        <w:tc>
          <w:tcPr>
            <w:tcW w:w="4041" w:type="dxa"/>
            <w:tcMar>
              <w:left w:w="57" w:type="dxa"/>
              <w:right w:w="57" w:type="dxa"/>
            </w:tcMar>
            <w:vAlign w:val="center"/>
          </w:tcPr>
          <w:p w14:paraId="28F62FC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Yan Yean Road duplication - Stage 1 (Plenty)</w:t>
            </w:r>
          </w:p>
        </w:tc>
        <w:tc>
          <w:tcPr>
            <w:tcW w:w="988" w:type="dxa"/>
            <w:vAlign w:val="center"/>
          </w:tcPr>
          <w:p w14:paraId="0793239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Jun-20</w:t>
            </w:r>
          </w:p>
        </w:tc>
        <w:tc>
          <w:tcPr>
            <w:tcW w:w="988" w:type="dxa"/>
            <w:vAlign w:val="center"/>
          </w:tcPr>
          <w:p w14:paraId="32C8D98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Jun-20</w:t>
            </w:r>
          </w:p>
        </w:tc>
        <w:tc>
          <w:tcPr>
            <w:tcW w:w="989" w:type="dxa"/>
            <w:vAlign w:val="center"/>
          </w:tcPr>
          <w:p w14:paraId="5E4D038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Jul-19</w:t>
            </w:r>
          </w:p>
        </w:tc>
        <w:tc>
          <w:tcPr>
            <w:tcW w:w="944" w:type="dxa"/>
            <w:vAlign w:val="center"/>
          </w:tcPr>
          <w:p w14:paraId="4B8E225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Note 2</w:t>
            </w:r>
          </w:p>
        </w:tc>
        <w:tc>
          <w:tcPr>
            <w:tcW w:w="1083" w:type="dxa"/>
            <w:shd w:val="clear" w:color="auto" w:fill="auto"/>
            <w:tcMar>
              <w:left w:w="57" w:type="dxa"/>
              <w:right w:w="57" w:type="dxa"/>
            </w:tcMar>
            <w:vAlign w:val="center"/>
          </w:tcPr>
          <w:p w14:paraId="26C7856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126.160</w:t>
            </w:r>
          </w:p>
        </w:tc>
        <w:tc>
          <w:tcPr>
            <w:tcW w:w="864" w:type="dxa"/>
            <w:shd w:val="clear" w:color="auto" w:fill="auto"/>
            <w:vAlign w:val="center"/>
          </w:tcPr>
          <w:p w14:paraId="4F564DB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125.958</w:t>
            </w:r>
          </w:p>
        </w:tc>
        <w:tc>
          <w:tcPr>
            <w:tcW w:w="876" w:type="dxa"/>
            <w:shd w:val="clear" w:color="auto" w:fill="auto"/>
            <w:tcMar>
              <w:left w:w="57" w:type="dxa"/>
              <w:right w:w="57" w:type="dxa"/>
            </w:tcMar>
            <w:vAlign w:val="center"/>
          </w:tcPr>
          <w:p w14:paraId="3CF011E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126.346</w:t>
            </w:r>
          </w:p>
        </w:tc>
        <w:tc>
          <w:tcPr>
            <w:tcW w:w="1560" w:type="dxa"/>
            <w:tcMar>
              <w:left w:w="57" w:type="dxa"/>
              <w:right w:w="57" w:type="dxa"/>
            </w:tcMar>
            <w:vAlign w:val="center"/>
          </w:tcPr>
          <w:p w14:paraId="60EC0CD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0.388</w:t>
            </w:r>
          </w:p>
        </w:tc>
        <w:tc>
          <w:tcPr>
            <w:tcW w:w="1275" w:type="dxa"/>
            <w:vAlign w:val="center"/>
          </w:tcPr>
          <w:p w14:paraId="5AB52483" w14:textId="77777777" w:rsidR="003E5BF5" w:rsidRPr="00E273FC" w:rsidRDefault="003E5BF5" w:rsidP="00DE1921">
            <w:pPr>
              <w:pStyle w:val="TableTextRight"/>
              <w:rPr>
                <w:rFonts w:ascii="Arial" w:hAnsi="Arial" w:cs="Arial"/>
                <w:sz w:val="24"/>
                <w:szCs w:val="24"/>
              </w:rPr>
            </w:pPr>
          </w:p>
        </w:tc>
      </w:tr>
      <w:tr w:rsidR="003E5BF5" w:rsidRPr="00E273FC" w14:paraId="470EE20E" w14:textId="77777777" w:rsidTr="00364E21">
        <w:trPr>
          <w:trHeight w:val="340"/>
        </w:trPr>
        <w:tc>
          <w:tcPr>
            <w:tcW w:w="4041" w:type="dxa"/>
            <w:tcMar>
              <w:left w:w="57" w:type="dxa"/>
              <w:right w:w="57" w:type="dxa"/>
            </w:tcMar>
            <w:vAlign w:val="center"/>
          </w:tcPr>
          <w:p w14:paraId="1C742D0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Chandler Highway upgrade (Alphington, Kew)</w:t>
            </w:r>
          </w:p>
        </w:tc>
        <w:tc>
          <w:tcPr>
            <w:tcW w:w="988" w:type="dxa"/>
            <w:vAlign w:val="center"/>
          </w:tcPr>
          <w:p w14:paraId="2FF06AB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Dec-18</w:t>
            </w:r>
          </w:p>
        </w:tc>
        <w:tc>
          <w:tcPr>
            <w:tcW w:w="988" w:type="dxa"/>
            <w:vAlign w:val="center"/>
          </w:tcPr>
          <w:p w14:paraId="3539D98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Jul-19</w:t>
            </w:r>
          </w:p>
        </w:tc>
        <w:tc>
          <w:tcPr>
            <w:tcW w:w="989" w:type="dxa"/>
            <w:vAlign w:val="center"/>
          </w:tcPr>
          <w:p w14:paraId="075ABFA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Jul-19</w:t>
            </w:r>
          </w:p>
        </w:tc>
        <w:tc>
          <w:tcPr>
            <w:tcW w:w="944" w:type="dxa"/>
            <w:vAlign w:val="center"/>
          </w:tcPr>
          <w:p w14:paraId="3F761DB7" w14:textId="77777777" w:rsidR="003E5BF5" w:rsidRPr="00E273FC" w:rsidRDefault="003E5BF5" w:rsidP="00DE1921">
            <w:pPr>
              <w:pStyle w:val="TableTextRight"/>
              <w:rPr>
                <w:rFonts w:ascii="Arial" w:hAnsi="Arial" w:cs="Arial"/>
                <w:sz w:val="24"/>
                <w:szCs w:val="24"/>
              </w:rPr>
            </w:pPr>
          </w:p>
        </w:tc>
        <w:tc>
          <w:tcPr>
            <w:tcW w:w="1083" w:type="dxa"/>
            <w:shd w:val="clear" w:color="auto" w:fill="auto"/>
            <w:tcMar>
              <w:left w:w="57" w:type="dxa"/>
              <w:right w:w="57" w:type="dxa"/>
            </w:tcMar>
            <w:vAlign w:val="center"/>
          </w:tcPr>
          <w:p w14:paraId="315EBEF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110.000</w:t>
            </w:r>
          </w:p>
        </w:tc>
        <w:tc>
          <w:tcPr>
            <w:tcW w:w="864" w:type="dxa"/>
            <w:shd w:val="clear" w:color="auto" w:fill="auto"/>
            <w:vAlign w:val="center"/>
          </w:tcPr>
          <w:p w14:paraId="1AD1AAA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125.415</w:t>
            </w:r>
          </w:p>
        </w:tc>
        <w:tc>
          <w:tcPr>
            <w:tcW w:w="876" w:type="dxa"/>
            <w:shd w:val="clear" w:color="auto" w:fill="auto"/>
            <w:tcMar>
              <w:left w:w="57" w:type="dxa"/>
              <w:right w:w="57" w:type="dxa"/>
            </w:tcMar>
            <w:vAlign w:val="center"/>
          </w:tcPr>
          <w:p w14:paraId="788CB21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119.494</w:t>
            </w:r>
          </w:p>
        </w:tc>
        <w:tc>
          <w:tcPr>
            <w:tcW w:w="1560" w:type="dxa"/>
            <w:tcMar>
              <w:left w:w="57" w:type="dxa"/>
              <w:right w:w="57" w:type="dxa"/>
            </w:tcMar>
            <w:vAlign w:val="center"/>
          </w:tcPr>
          <w:p w14:paraId="48990C0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(5.921)</w:t>
            </w:r>
          </w:p>
        </w:tc>
        <w:tc>
          <w:tcPr>
            <w:tcW w:w="1275" w:type="dxa"/>
            <w:vAlign w:val="center"/>
          </w:tcPr>
          <w:p w14:paraId="326E285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Note 4</w:t>
            </w:r>
          </w:p>
        </w:tc>
      </w:tr>
      <w:tr w:rsidR="003E5BF5" w:rsidRPr="00E273FC" w14:paraId="4F2C4610" w14:textId="77777777" w:rsidTr="00364E21">
        <w:trPr>
          <w:trHeight w:val="340"/>
        </w:trPr>
        <w:tc>
          <w:tcPr>
            <w:tcW w:w="4041" w:type="dxa"/>
            <w:tcMar>
              <w:left w:w="57" w:type="dxa"/>
              <w:right w:w="57" w:type="dxa"/>
            </w:tcMar>
            <w:vAlign w:val="center"/>
          </w:tcPr>
          <w:p w14:paraId="2103195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Drysdale Bypass (Drysdale)</w:t>
            </w:r>
          </w:p>
        </w:tc>
        <w:tc>
          <w:tcPr>
            <w:tcW w:w="988" w:type="dxa"/>
            <w:vAlign w:val="center"/>
          </w:tcPr>
          <w:p w14:paraId="0EF0DC4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Jun-20</w:t>
            </w:r>
          </w:p>
        </w:tc>
        <w:tc>
          <w:tcPr>
            <w:tcW w:w="988" w:type="dxa"/>
            <w:vAlign w:val="center"/>
          </w:tcPr>
          <w:p w14:paraId="494055C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Jun-20</w:t>
            </w:r>
          </w:p>
        </w:tc>
        <w:tc>
          <w:tcPr>
            <w:tcW w:w="989" w:type="dxa"/>
            <w:vAlign w:val="center"/>
          </w:tcPr>
          <w:p w14:paraId="4428A5E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Jun-20</w:t>
            </w:r>
          </w:p>
        </w:tc>
        <w:tc>
          <w:tcPr>
            <w:tcW w:w="944" w:type="dxa"/>
            <w:vAlign w:val="center"/>
          </w:tcPr>
          <w:p w14:paraId="6670DE70" w14:textId="77777777" w:rsidR="003E5BF5" w:rsidRPr="00E273FC" w:rsidRDefault="003E5BF5" w:rsidP="00DE1921">
            <w:pPr>
              <w:pStyle w:val="TableTextRight"/>
              <w:rPr>
                <w:rFonts w:ascii="Arial" w:hAnsi="Arial" w:cs="Arial"/>
                <w:sz w:val="24"/>
                <w:szCs w:val="24"/>
              </w:rPr>
            </w:pPr>
          </w:p>
        </w:tc>
        <w:tc>
          <w:tcPr>
            <w:tcW w:w="1083" w:type="dxa"/>
            <w:shd w:val="clear" w:color="auto" w:fill="auto"/>
            <w:tcMar>
              <w:left w:w="57" w:type="dxa"/>
              <w:right w:w="57" w:type="dxa"/>
            </w:tcMar>
            <w:vAlign w:val="center"/>
          </w:tcPr>
          <w:p w14:paraId="13125AE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102.560</w:t>
            </w:r>
          </w:p>
        </w:tc>
        <w:tc>
          <w:tcPr>
            <w:tcW w:w="864" w:type="dxa"/>
            <w:shd w:val="clear" w:color="auto" w:fill="auto"/>
            <w:vAlign w:val="center"/>
          </w:tcPr>
          <w:p w14:paraId="4235750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117.377</w:t>
            </w:r>
          </w:p>
        </w:tc>
        <w:tc>
          <w:tcPr>
            <w:tcW w:w="876" w:type="dxa"/>
            <w:shd w:val="clear" w:color="auto" w:fill="auto"/>
            <w:tcMar>
              <w:left w:w="57" w:type="dxa"/>
              <w:right w:w="57" w:type="dxa"/>
            </w:tcMar>
            <w:vAlign w:val="center"/>
          </w:tcPr>
          <w:p w14:paraId="17D7811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117.263</w:t>
            </w:r>
          </w:p>
        </w:tc>
        <w:tc>
          <w:tcPr>
            <w:tcW w:w="1560" w:type="dxa"/>
            <w:tcMar>
              <w:left w:w="57" w:type="dxa"/>
              <w:right w:w="57" w:type="dxa"/>
            </w:tcMar>
            <w:vAlign w:val="center"/>
          </w:tcPr>
          <w:p w14:paraId="417FDFE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(0.114)</w:t>
            </w:r>
          </w:p>
        </w:tc>
        <w:tc>
          <w:tcPr>
            <w:tcW w:w="1275" w:type="dxa"/>
            <w:vAlign w:val="center"/>
          </w:tcPr>
          <w:p w14:paraId="61BDF351" w14:textId="77777777" w:rsidR="003E5BF5" w:rsidRPr="00E273FC" w:rsidRDefault="003E5BF5" w:rsidP="00DE1921">
            <w:pPr>
              <w:pStyle w:val="TableTextRight"/>
              <w:rPr>
                <w:rFonts w:ascii="Arial" w:hAnsi="Arial" w:cs="Arial"/>
                <w:sz w:val="24"/>
                <w:szCs w:val="24"/>
              </w:rPr>
            </w:pPr>
          </w:p>
        </w:tc>
      </w:tr>
      <w:tr w:rsidR="003E5BF5" w:rsidRPr="00E273FC" w14:paraId="52180297" w14:textId="77777777" w:rsidTr="00364E21">
        <w:trPr>
          <w:trHeight w:val="340"/>
        </w:trPr>
        <w:tc>
          <w:tcPr>
            <w:tcW w:w="4041" w:type="dxa"/>
            <w:tcMar>
              <w:left w:w="57" w:type="dxa"/>
              <w:right w:w="57" w:type="dxa"/>
            </w:tcMar>
          </w:tcPr>
          <w:p w14:paraId="7088B345"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Metropolitan train control reliability (metro various)</w:t>
            </w:r>
          </w:p>
        </w:tc>
        <w:tc>
          <w:tcPr>
            <w:tcW w:w="988" w:type="dxa"/>
          </w:tcPr>
          <w:p w14:paraId="475247A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Jun-17</w:t>
            </w:r>
          </w:p>
        </w:tc>
        <w:tc>
          <w:tcPr>
            <w:tcW w:w="988" w:type="dxa"/>
          </w:tcPr>
          <w:p w14:paraId="3A9335D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Apr-18</w:t>
            </w:r>
          </w:p>
        </w:tc>
        <w:tc>
          <w:tcPr>
            <w:tcW w:w="989" w:type="dxa"/>
          </w:tcPr>
          <w:p w14:paraId="3C8676F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Apr-20</w:t>
            </w:r>
          </w:p>
        </w:tc>
        <w:tc>
          <w:tcPr>
            <w:tcW w:w="944" w:type="dxa"/>
          </w:tcPr>
          <w:p w14:paraId="0D8DC79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Note 5</w:t>
            </w:r>
          </w:p>
        </w:tc>
        <w:tc>
          <w:tcPr>
            <w:tcW w:w="1083" w:type="dxa"/>
            <w:shd w:val="clear" w:color="auto" w:fill="auto"/>
            <w:tcMar>
              <w:left w:w="57" w:type="dxa"/>
              <w:right w:w="57" w:type="dxa"/>
            </w:tcMar>
          </w:tcPr>
          <w:p w14:paraId="132F46C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87.900</w:t>
            </w:r>
          </w:p>
        </w:tc>
        <w:tc>
          <w:tcPr>
            <w:tcW w:w="864" w:type="dxa"/>
            <w:shd w:val="clear" w:color="auto" w:fill="auto"/>
          </w:tcPr>
          <w:p w14:paraId="17BBD08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87.900</w:t>
            </w:r>
          </w:p>
        </w:tc>
        <w:tc>
          <w:tcPr>
            <w:tcW w:w="876" w:type="dxa"/>
            <w:shd w:val="clear" w:color="auto" w:fill="auto"/>
            <w:tcMar>
              <w:left w:w="57" w:type="dxa"/>
              <w:right w:w="57" w:type="dxa"/>
            </w:tcMar>
          </w:tcPr>
          <w:p w14:paraId="1B3AE13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87.900</w:t>
            </w:r>
          </w:p>
        </w:tc>
        <w:tc>
          <w:tcPr>
            <w:tcW w:w="1560" w:type="dxa"/>
            <w:tcMar>
              <w:left w:w="57" w:type="dxa"/>
              <w:right w:w="57" w:type="dxa"/>
            </w:tcMar>
          </w:tcPr>
          <w:p w14:paraId="3CDFF57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275" w:type="dxa"/>
          </w:tcPr>
          <w:p w14:paraId="76D7DBCB" w14:textId="77777777" w:rsidR="003E5BF5" w:rsidRPr="00E273FC" w:rsidRDefault="003E5BF5" w:rsidP="00DE1921">
            <w:pPr>
              <w:pStyle w:val="TableTextRight"/>
              <w:rPr>
                <w:rFonts w:ascii="Arial" w:hAnsi="Arial" w:cs="Arial"/>
                <w:sz w:val="24"/>
                <w:szCs w:val="24"/>
              </w:rPr>
            </w:pPr>
          </w:p>
        </w:tc>
      </w:tr>
      <w:tr w:rsidR="003E5BF5" w:rsidRPr="00E273FC" w14:paraId="59C52D59" w14:textId="77777777" w:rsidTr="00364E21">
        <w:trPr>
          <w:trHeight w:val="340"/>
        </w:trPr>
        <w:tc>
          <w:tcPr>
            <w:tcW w:w="4041" w:type="dxa"/>
            <w:tcMar>
              <w:left w:w="57" w:type="dxa"/>
              <w:right w:w="57" w:type="dxa"/>
            </w:tcMar>
            <w:vAlign w:val="center"/>
          </w:tcPr>
          <w:p w14:paraId="7E2840D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Hallam Road Upgrade (Hampton Park)</w:t>
            </w:r>
          </w:p>
        </w:tc>
        <w:tc>
          <w:tcPr>
            <w:tcW w:w="988" w:type="dxa"/>
            <w:vAlign w:val="center"/>
          </w:tcPr>
          <w:p w14:paraId="694C0D6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Jun-20</w:t>
            </w:r>
          </w:p>
        </w:tc>
        <w:tc>
          <w:tcPr>
            <w:tcW w:w="988" w:type="dxa"/>
            <w:vAlign w:val="center"/>
          </w:tcPr>
          <w:p w14:paraId="25AA58E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Jun-20</w:t>
            </w:r>
          </w:p>
        </w:tc>
        <w:tc>
          <w:tcPr>
            <w:tcW w:w="989" w:type="dxa"/>
            <w:vAlign w:val="center"/>
          </w:tcPr>
          <w:p w14:paraId="132213E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Jun-20</w:t>
            </w:r>
          </w:p>
        </w:tc>
        <w:tc>
          <w:tcPr>
            <w:tcW w:w="944" w:type="dxa"/>
            <w:vAlign w:val="center"/>
          </w:tcPr>
          <w:p w14:paraId="1D633BCC" w14:textId="77777777" w:rsidR="003E5BF5" w:rsidRPr="00E273FC" w:rsidRDefault="003E5BF5" w:rsidP="00DE1921">
            <w:pPr>
              <w:pStyle w:val="TableTextRight"/>
              <w:rPr>
                <w:rFonts w:ascii="Arial" w:hAnsi="Arial" w:cs="Arial"/>
                <w:sz w:val="24"/>
                <w:szCs w:val="24"/>
              </w:rPr>
            </w:pPr>
          </w:p>
        </w:tc>
        <w:tc>
          <w:tcPr>
            <w:tcW w:w="1083" w:type="dxa"/>
            <w:shd w:val="clear" w:color="auto" w:fill="auto"/>
            <w:tcMar>
              <w:left w:w="57" w:type="dxa"/>
              <w:right w:w="57" w:type="dxa"/>
            </w:tcMar>
            <w:vAlign w:val="center"/>
          </w:tcPr>
          <w:p w14:paraId="02F9CCA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38.400</w:t>
            </w:r>
          </w:p>
        </w:tc>
        <w:tc>
          <w:tcPr>
            <w:tcW w:w="864" w:type="dxa"/>
            <w:shd w:val="clear" w:color="auto" w:fill="auto"/>
            <w:vAlign w:val="center"/>
          </w:tcPr>
          <w:p w14:paraId="442C66A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53.514</w:t>
            </w:r>
          </w:p>
        </w:tc>
        <w:tc>
          <w:tcPr>
            <w:tcW w:w="876" w:type="dxa"/>
            <w:shd w:val="clear" w:color="auto" w:fill="auto"/>
            <w:tcMar>
              <w:left w:w="57" w:type="dxa"/>
              <w:right w:w="57" w:type="dxa"/>
            </w:tcMar>
            <w:vAlign w:val="center"/>
          </w:tcPr>
          <w:p w14:paraId="766ADB8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50.238</w:t>
            </w:r>
          </w:p>
        </w:tc>
        <w:tc>
          <w:tcPr>
            <w:tcW w:w="1560" w:type="dxa"/>
            <w:tcMar>
              <w:left w:w="57" w:type="dxa"/>
              <w:right w:w="57" w:type="dxa"/>
            </w:tcMar>
            <w:vAlign w:val="center"/>
          </w:tcPr>
          <w:p w14:paraId="7C759A9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(3.276)</w:t>
            </w:r>
          </w:p>
        </w:tc>
        <w:tc>
          <w:tcPr>
            <w:tcW w:w="1275" w:type="dxa"/>
            <w:vAlign w:val="center"/>
          </w:tcPr>
          <w:p w14:paraId="46B99CE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Note 4</w:t>
            </w:r>
          </w:p>
        </w:tc>
      </w:tr>
      <w:tr w:rsidR="003E5BF5" w:rsidRPr="00E273FC" w14:paraId="4A1E5717" w14:textId="77777777" w:rsidTr="00364E21">
        <w:trPr>
          <w:trHeight w:val="340"/>
        </w:trPr>
        <w:tc>
          <w:tcPr>
            <w:tcW w:w="4041" w:type="dxa"/>
            <w:tcMar>
              <w:left w:w="57" w:type="dxa"/>
              <w:right w:w="57" w:type="dxa"/>
            </w:tcMar>
          </w:tcPr>
          <w:p w14:paraId="7C698A9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Green Triangle Package (south west regional Victoria)</w:t>
            </w:r>
          </w:p>
        </w:tc>
        <w:tc>
          <w:tcPr>
            <w:tcW w:w="988" w:type="dxa"/>
          </w:tcPr>
          <w:p w14:paraId="77F6CC3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Apr-20</w:t>
            </w:r>
          </w:p>
        </w:tc>
        <w:tc>
          <w:tcPr>
            <w:tcW w:w="988" w:type="dxa"/>
          </w:tcPr>
          <w:p w14:paraId="5204986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May-20</w:t>
            </w:r>
          </w:p>
        </w:tc>
        <w:tc>
          <w:tcPr>
            <w:tcW w:w="989" w:type="dxa"/>
          </w:tcPr>
          <w:p w14:paraId="15581D4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May-20</w:t>
            </w:r>
          </w:p>
        </w:tc>
        <w:tc>
          <w:tcPr>
            <w:tcW w:w="944" w:type="dxa"/>
          </w:tcPr>
          <w:p w14:paraId="70674564" w14:textId="77777777" w:rsidR="003E5BF5" w:rsidRPr="00E273FC" w:rsidRDefault="003E5BF5" w:rsidP="00DE1921">
            <w:pPr>
              <w:pStyle w:val="TableTextRight"/>
              <w:rPr>
                <w:rFonts w:ascii="Arial" w:hAnsi="Arial" w:cs="Arial"/>
                <w:sz w:val="24"/>
                <w:szCs w:val="24"/>
              </w:rPr>
            </w:pPr>
          </w:p>
        </w:tc>
        <w:tc>
          <w:tcPr>
            <w:tcW w:w="1083" w:type="dxa"/>
            <w:shd w:val="clear" w:color="auto" w:fill="auto"/>
            <w:tcMar>
              <w:left w:w="57" w:type="dxa"/>
              <w:right w:w="57" w:type="dxa"/>
            </w:tcMar>
          </w:tcPr>
          <w:p w14:paraId="44DDF40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25.000</w:t>
            </w:r>
          </w:p>
        </w:tc>
        <w:tc>
          <w:tcPr>
            <w:tcW w:w="864" w:type="dxa"/>
            <w:shd w:val="clear" w:color="auto" w:fill="auto"/>
          </w:tcPr>
          <w:p w14:paraId="11E8982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38.462</w:t>
            </w:r>
          </w:p>
        </w:tc>
        <w:tc>
          <w:tcPr>
            <w:tcW w:w="876" w:type="dxa"/>
            <w:shd w:val="clear" w:color="auto" w:fill="auto"/>
            <w:tcMar>
              <w:left w:w="57" w:type="dxa"/>
              <w:right w:w="57" w:type="dxa"/>
            </w:tcMar>
          </w:tcPr>
          <w:p w14:paraId="2320D1B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38.189</w:t>
            </w:r>
          </w:p>
        </w:tc>
        <w:tc>
          <w:tcPr>
            <w:tcW w:w="1560" w:type="dxa"/>
            <w:tcMar>
              <w:left w:w="57" w:type="dxa"/>
              <w:right w:w="57" w:type="dxa"/>
            </w:tcMar>
          </w:tcPr>
          <w:p w14:paraId="3D19A43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(0.272)</w:t>
            </w:r>
          </w:p>
        </w:tc>
        <w:tc>
          <w:tcPr>
            <w:tcW w:w="1275" w:type="dxa"/>
          </w:tcPr>
          <w:p w14:paraId="1BBD597A" w14:textId="77777777" w:rsidR="003E5BF5" w:rsidRPr="00E273FC" w:rsidRDefault="003E5BF5" w:rsidP="00DE1921">
            <w:pPr>
              <w:pStyle w:val="TableTextRight"/>
              <w:rPr>
                <w:rFonts w:ascii="Arial" w:hAnsi="Arial" w:cs="Arial"/>
                <w:sz w:val="24"/>
                <w:szCs w:val="24"/>
              </w:rPr>
            </w:pPr>
          </w:p>
        </w:tc>
      </w:tr>
      <w:tr w:rsidR="003E5BF5" w:rsidRPr="00E273FC" w14:paraId="6DA0FD60" w14:textId="77777777" w:rsidTr="00364E21">
        <w:trPr>
          <w:trHeight w:val="340"/>
        </w:trPr>
        <w:tc>
          <w:tcPr>
            <w:tcW w:w="4041" w:type="dxa"/>
            <w:tcMar>
              <w:left w:w="57" w:type="dxa"/>
              <w:right w:w="57" w:type="dxa"/>
            </w:tcMar>
          </w:tcPr>
          <w:p w14:paraId="08FFE8E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 xml:space="preserve">Midland Highway/Napier Street </w:t>
            </w:r>
            <w:r w:rsidRPr="00E273FC">
              <w:rPr>
                <w:rFonts w:ascii="Arial" w:hAnsi="Arial" w:cs="Arial"/>
                <w:sz w:val="24"/>
                <w:szCs w:val="24"/>
              </w:rPr>
              <w:lastRenderedPageBreak/>
              <w:t>improvement works (Bendigo)</w:t>
            </w:r>
          </w:p>
        </w:tc>
        <w:tc>
          <w:tcPr>
            <w:tcW w:w="988" w:type="dxa"/>
          </w:tcPr>
          <w:p w14:paraId="5C9757D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lastRenderedPageBreak/>
              <w:t>Jun-19</w:t>
            </w:r>
          </w:p>
        </w:tc>
        <w:tc>
          <w:tcPr>
            <w:tcW w:w="988" w:type="dxa"/>
          </w:tcPr>
          <w:p w14:paraId="3512809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Jun-19</w:t>
            </w:r>
          </w:p>
        </w:tc>
        <w:tc>
          <w:tcPr>
            <w:tcW w:w="989" w:type="dxa"/>
          </w:tcPr>
          <w:p w14:paraId="21DD043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Jul-19</w:t>
            </w:r>
          </w:p>
        </w:tc>
        <w:tc>
          <w:tcPr>
            <w:tcW w:w="944" w:type="dxa"/>
          </w:tcPr>
          <w:p w14:paraId="36F88602" w14:textId="77777777" w:rsidR="003E5BF5" w:rsidRPr="00E273FC" w:rsidRDefault="003E5BF5" w:rsidP="00DE1921">
            <w:pPr>
              <w:pStyle w:val="TableTextRight"/>
              <w:rPr>
                <w:rFonts w:ascii="Arial" w:hAnsi="Arial" w:cs="Arial"/>
                <w:sz w:val="24"/>
                <w:szCs w:val="24"/>
              </w:rPr>
            </w:pPr>
          </w:p>
        </w:tc>
        <w:tc>
          <w:tcPr>
            <w:tcW w:w="1083" w:type="dxa"/>
            <w:shd w:val="clear" w:color="auto" w:fill="auto"/>
            <w:tcMar>
              <w:left w:w="57" w:type="dxa"/>
              <w:right w:w="57" w:type="dxa"/>
            </w:tcMar>
          </w:tcPr>
          <w:p w14:paraId="7739B92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29.212</w:t>
            </w:r>
          </w:p>
        </w:tc>
        <w:tc>
          <w:tcPr>
            <w:tcW w:w="864" w:type="dxa"/>
            <w:shd w:val="clear" w:color="auto" w:fill="auto"/>
          </w:tcPr>
          <w:p w14:paraId="7C807FA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34.609</w:t>
            </w:r>
          </w:p>
        </w:tc>
        <w:tc>
          <w:tcPr>
            <w:tcW w:w="876" w:type="dxa"/>
            <w:shd w:val="clear" w:color="auto" w:fill="auto"/>
            <w:tcMar>
              <w:left w:w="57" w:type="dxa"/>
              <w:right w:w="57" w:type="dxa"/>
            </w:tcMar>
          </w:tcPr>
          <w:p w14:paraId="68AF1BB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35.546</w:t>
            </w:r>
          </w:p>
        </w:tc>
        <w:tc>
          <w:tcPr>
            <w:tcW w:w="1560" w:type="dxa"/>
            <w:tcMar>
              <w:left w:w="57" w:type="dxa"/>
              <w:right w:w="57" w:type="dxa"/>
            </w:tcMar>
          </w:tcPr>
          <w:p w14:paraId="20C8004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0.937</w:t>
            </w:r>
          </w:p>
        </w:tc>
        <w:tc>
          <w:tcPr>
            <w:tcW w:w="1275" w:type="dxa"/>
          </w:tcPr>
          <w:p w14:paraId="33C026E5" w14:textId="77777777" w:rsidR="003E5BF5" w:rsidRPr="00E273FC" w:rsidRDefault="003E5BF5" w:rsidP="00DE1921">
            <w:pPr>
              <w:pStyle w:val="TableTextRight"/>
              <w:rPr>
                <w:rFonts w:ascii="Arial" w:hAnsi="Arial" w:cs="Arial"/>
                <w:sz w:val="24"/>
                <w:szCs w:val="24"/>
              </w:rPr>
            </w:pPr>
          </w:p>
        </w:tc>
      </w:tr>
      <w:tr w:rsidR="003E5BF5" w:rsidRPr="00E273FC" w14:paraId="1C6CD5E9" w14:textId="77777777" w:rsidTr="00364E21">
        <w:trPr>
          <w:trHeight w:val="340"/>
        </w:trPr>
        <w:tc>
          <w:tcPr>
            <w:tcW w:w="4041" w:type="dxa"/>
            <w:tcMar>
              <w:left w:w="57" w:type="dxa"/>
              <w:right w:w="57" w:type="dxa"/>
            </w:tcMar>
          </w:tcPr>
          <w:p w14:paraId="54253214"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Western Highway – Stawell to South Australian border (Grampians)</w:t>
            </w:r>
          </w:p>
        </w:tc>
        <w:tc>
          <w:tcPr>
            <w:tcW w:w="988" w:type="dxa"/>
          </w:tcPr>
          <w:p w14:paraId="31FEF9D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Jun-19</w:t>
            </w:r>
          </w:p>
        </w:tc>
        <w:tc>
          <w:tcPr>
            <w:tcW w:w="988" w:type="dxa"/>
          </w:tcPr>
          <w:p w14:paraId="1DC2848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Oct-19</w:t>
            </w:r>
          </w:p>
        </w:tc>
        <w:tc>
          <w:tcPr>
            <w:tcW w:w="989" w:type="dxa"/>
          </w:tcPr>
          <w:p w14:paraId="4A62A1A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Oct-19</w:t>
            </w:r>
          </w:p>
        </w:tc>
        <w:tc>
          <w:tcPr>
            <w:tcW w:w="944" w:type="dxa"/>
          </w:tcPr>
          <w:p w14:paraId="44DF89FC" w14:textId="77777777" w:rsidR="003E5BF5" w:rsidRPr="00E273FC" w:rsidRDefault="003E5BF5" w:rsidP="00DE1921">
            <w:pPr>
              <w:pStyle w:val="TableTextRight"/>
              <w:rPr>
                <w:rFonts w:ascii="Arial" w:hAnsi="Arial" w:cs="Arial"/>
                <w:sz w:val="24"/>
                <w:szCs w:val="24"/>
              </w:rPr>
            </w:pPr>
          </w:p>
        </w:tc>
        <w:tc>
          <w:tcPr>
            <w:tcW w:w="1083" w:type="dxa"/>
            <w:shd w:val="clear" w:color="auto" w:fill="auto"/>
            <w:tcMar>
              <w:left w:w="57" w:type="dxa"/>
              <w:right w:w="57" w:type="dxa"/>
            </w:tcMar>
          </w:tcPr>
          <w:p w14:paraId="4EBD62F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0.962</w:t>
            </w:r>
          </w:p>
        </w:tc>
        <w:tc>
          <w:tcPr>
            <w:tcW w:w="864" w:type="dxa"/>
            <w:shd w:val="clear" w:color="auto" w:fill="auto"/>
          </w:tcPr>
          <w:p w14:paraId="528B409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19.236</w:t>
            </w:r>
          </w:p>
        </w:tc>
        <w:tc>
          <w:tcPr>
            <w:tcW w:w="876" w:type="dxa"/>
            <w:shd w:val="clear" w:color="auto" w:fill="auto"/>
            <w:tcMar>
              <w:left w:w="57" w:type="dxa"/>
              <w:right w:w="57" w:type="dxa"/>
            </w:tcMar>
          </w:tcPr>
          <w:p w14:paraId="433A32B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19.019</w:t>
            </w:r>
          </w:p>
        </w:tc>
        <w:tc>
          <w:tcPr>
            <w:tcW w:w="1560" w:type="dxa"/>
            <w:tcMar>
              <w:left w:w="57" w:type="dxa"/>
              <w:right w:w="57" w:type="dxa"/>
            </w:tcMar>
          </w:tcPr>
          <w:p w14:paraId="2AB9012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(0.217)</w:t>
            </w:r>
          </w:p>
        </w:tc>
        <w:tc>
          <w:tcPr>
            <w:tcW w:w="1275" w:type="dxa"/>
          </w:tcPr>
          <w:p w14:paraId="166E317A" w14:textId="77777777" w:rsidR="003E5BF5" w:rsidRPr="00E273FC" w:rsidRDefault="003E5BF5" w:rsidP="00DE1921">
            <w:pPr>
              <w:pStyle w:val="TableTextRight"/>
              <w:rPr>
                <w:rFonts w:ascii="Arial" w:hAnsi="Arial" w:cs="Arial"/>
                <w:sz w:val="24"/>
                <w:szCs w:val="24"/>
              </w:rPr>
            </w:pPr>
          </w:p>
        </w:tc>
      </w:tr>
      <w:tr w:rsidR="003E5BF5" w:rsidRPr="00E273FC" w14:paraId="42DC935B" w14:textId="77777777" w:rsidTr="00364E21">
        <w:trPr>
          <w:trHeight w:val="340"/>
        </w:trPr>
        <w:tc>
          <w:tcPr>
            <w:tcW w:w="4041" w:type="dxa"/>
            <w:tcMar>
              <w:left w:w="57" w:type="dxa"/>
              <w:right w:w="57" w:type="dxa"/>
            </w:tcMar>
          </w:tcPr>
          <w:p w14:paraId="1657152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Shepparton heavy vehicle alternative freight route upgrades (Shepparton)</w:t>
            </w:r>
          </w:p>
        </w:tc>
        <w:tc>
          <w:tcPr>
            <w:tcW w:w="988" w:type="dxa"/>
          </w:tcPr>
          <w:p w14:paraId="25D333E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Jun-18</w:t>
            </w:r>
          </w:p>
        </w:tc>
        <w:tc>
          <w:tcPr>
            <w:tcW w:w="988" w:type="dxa"/>
          </w:tcPr>
          <w:p w14:paraId="327B5B1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May-20</w:t>
            </w:r>
          </w:p>
        </w:tc>
        <w:tc>
          <w:tcPr>
            <w:tcW w:w="989" w:type="dxa"/>
          </w:tcPr>
          <w:p w14:paraId="41618AD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Mar-20</w:t>
            </w:r>
          </w:p>
        </w:tc>
        <w:tc>
          <w:tcPr>
            <w:tcW w:w="944" w:type="dxa"/>
          </w:tcPr>
          <w:p w14:paraId="5617667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Note 2</w:t>
            </w:r>
          </w:p>
        </w:tc>
        <w:tc>
          <w:tcPr>
            <w:tcW w:w="1083" w:type="dxa"/>
            <w:shd w:val="clear" w:color="auto" w:fill="auto"/>
            <w:tcMar>
              <w:left w:w="57" w:type="dxa"/>
              <w:right w:w="57" w:type="dxa"/>
            </w:tcMar>
          </w:tcPr>
          <w:p w14:paraId="5AC3BF3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0.096</w:t>
            </w:r>
          </w:p>
        </w:tc>
        <w:tc>
          <w:tcPr>
            <w:tcW w:w="864" w:type="dxa"/>
            <w:shd w:val="clear" w:color="auto" w:fill="auto"/>
          </w:tcPr>
          <w:p w14:paraId="228ACFA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19.230</w:t>
            </w:r>
          </w:p>
        </w:tc>
        <w:tc>
          <w:tcPr>
            <w:tcW w:w="876" w:type="dxa"/>
            <w:shd w:val="clear" w:color="auto" w:fill="auto"/>
            <w:tcMar>
              <w:left w:w="57" w:type="dxa"/>
              <w:right w:w="57" w:type="dxa"/>
            </w:tcMar>
          </w:tcPr>
          <w:p w14:paraId="424E435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16.437</w:t>
            </w:r>
          </w:p>
        </w:tc>
        <w:tc>
          <w:tcPr>
            <w:tcW w:w="1560" w:type="dxa"/>
            <w:tcMar>
              <w:left w:w="57" w:type="dxa"/>
              <w:right w:w="57" w:type="dxa"/>
            </w:tcMar>
          </w:tcPr>
          <w:p w14:paraId="4F7A477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(2.793)</w:t>
            </w:r>
          </w:p>
        </w:tc>
        <w:tc>
          <w:tcPr>
            <w:tcW w:w="1275" w:type="dxa"/>
          </w:tcPr>
          <w:p w14:paraId="2115229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Note 6</w:t>
            </w:r>
          </w:p>
        </w:tc>
      </w:tr>
      <w:tr w:rsidR="003E5BF5" w:rsidRPr="00E273FC" w14:paraId="3CF0AA6B" w14:textId="77777777" w:rsidTr="00364E21">
        <w:trPr>
          <w:trHeight w:val="340"/>
        </w:trPr>
        <w:tc>
          <w:tcPr>
            <w:tcW w:w="4041" w:type="dxa"/>
            <w:tcMar>
              <w:left w:w="57" w:type="dxa"/>
              <w:right w:w="57" w:type="dxa"/>
            </w:tcMar>
          </w:tcPr>
          <w:p w14:paraId="230DF31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Frankston transit interchange improvement project (Frankston)</w:t>
            </w:r>
          </w:p>
        </w:tc>
        <w:tc>
          <w:tcPr>
            <w:tcW w:w="988" w:type="dxa"/>
          </w:tcPr>
          <w:p w14:paraId="693445F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Jun-17</w:t>
            </w:r>
          </w:p>
        </w:tc>
        <w:tc>
          <w:tcPr>
            <w:tcW w:w="988" w:type="dxa"/>
          </w:tcPr>
          <w:p w14:paraId="156D424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Dec-19</w:t>
            </w:r>
          </w:p>
        </w:tc>
        <w:tc>
          <w:tcPr>
            <w:tcW w:w="989" w:type="dxa"/>
          </w:tcPr>
          <w:p w14:paraId="1B93F84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Dec-19</w:t>
            </w:r>
          </w:p>
        </w:tc>
        <w:tc>
          <w:tcPr>
            <w:tcW w:w="944" w:type="dxa"/>
          </w:tcPr>
          <w:p w14:paraId="16A7AF61" w14:textId="77777777" w:rsidR="003E5BF5" w:rsidRPr="00E273FC" w:rsidRDefault="003E5BF5" w:rsidP="00DE1921">
            <w:pPr>
              <w:pStyle w:val="TableTextRight"/>
              <w:rPr>
                <w:rFonts w:ascii="Arial" w:hAnsi="Arial" w:cs="Arial"/>
                <w:sz w:val="24"/>
                <w:szCs w:val="24"/>
              </w:rPr>
            </w:pPr>
          </w:p>
        </w:tc>
        <w:tc>
          <w:tcPr>
            <w:tcW w:w="1083" w:type="dxa"/>
            <w:shd w:val="clear" w:color="auto" w:fill="auto"/>
            <w:tcMar>
              <w:left w:w="57" w:type="dxa"/>
              <w:right w:w="57" w:type="dxa"/>
            </w:tcMar>
          </w:tcPr>
          <w:p w14:paraId="39FFE6F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13.130</w:t>
            </w:r>
          </w:p>
        </w:tc>
        <w:tc>
          <w:tcPr>
            <w:tcW w:w="864" w:type="dxa"/>
            <w:shd w:val="clear" w:color="auto" w:fill="auto"/>
          </w:tcPr>
          <w:p w14:paraId="294B891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13.130</w:t>
            </w:r>
          </w:p>
        </w:tc>
        <w:tc>
          <w:tcPr>
            <w:tcW w:w="876" w:type="dxa"/>
            <w:shd w:val="clear" w:color="auto" w:fill="auto"/>
            <w:tcMar>
              <w:left w:w="57" w:type="dxa"/>
              <w:right w:w="57" w:type="dxa"/>
            </w:tcMar>
          </w:tcPr>
          <w:p w14:paraId="51D5F8A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13.148</w:t>
            </w:r>
          </w:p>
        </w:tc>
        <w:tc>
          <w:tcPr>
            <w:tcW w:w="1560" w:type="dxa"/>
            <w:tcMar>
              <w:left w:w="57" w:type="dxa"/>
              <w:right w:w="57" w:type="dxa"/>
            </w:tcMar>
          </w:tcPr>
          <w:p w14:paraId="18B1610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0.018</w:t>
            </w:r>
          </w:p>
        </w:tc>
        <w:tc>
          <w:tcPr>
            <w:tcW w:w="1275" w:type="dxa"/>
          </w:tcPr>
          <w:p w14:paraId="67E4507D" w14:textId="77777777" w:rsidR="003E5BF5" w:rsidRPr="00E273FC" w:rsidRDefault="003E5BF5" w:rsidP="00DE1921">
            <w:pPr>
              <w:pStyle w:val="TableTextRight"/>
              <w:rPr>
                <w:rFonts w:ascii="Arial" w:hAnsi="Arial" w:cs="Arial"/>
                <w:sz w:val="24"/>
                <w:szCs w:val="24"/>
              </w:rPr>
            </w:pPr>
          </w:p>
        </w:tc>
      </w:tr>
      <w:tr w:rsidR="003E5BF5" w:rsidRPr="00E273FC" w14:paraId="3F246C17" w14:textId="77777777" w:rsidTr="00364E21">
        <w:trPr>
          <w:trHeight w:val="340"/>
        </w:trPr>
        <w:tc>
          <w:tcPr>
            <w:tcW w:w="4041" w:type="dxa"/>
            <w:tcMar>
              <w:left w:w="57" w:type="dxa"/>
              <w:right w:w="57" w:type="dxa"/>
            </w:tcMar>
            <w:vAlign w:val="center"/>
          </w:tcPr>
          <w:p w14:paraId="77C6B0F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Bridge strengthening and upgrades (</w:t>
            </w:r>
            <w:proofErr w:type="spellStart"/>
            <w:r w:rsidRPr="00E273FC">
              <w:rPr>
                <w:rFonts w:ascii="Arial" w:hAnsi="Arial" w:cs="Arial"/>
                <w:sz w:val="24"/>
                <w:szCs w:val="24"/>
              </w:rPr>
              <w:t>statewide</w:t>
            </w:r>
            <w:proofErr w:type="spellEnd"/>
            <w:r w:rsidRPr="00E273FC">
              <w:rPr>
                <w:rFonts w:ascii="Arial" w:hAnsi="Arial" w:cs="Arial"/>
                <w:sz w:val="24"/>
                <w:szCs w:val="24"/>
              </w:rPr>
              <w:t>)</w:t>
            </w:r>
          </w:p>
        </w:tc>
        <w:tc>
          <w:tcPr>
            <w:tcW w:w="988" w:type="dxa"/>
            <w:vAlign w:val="center"/>
          </w:tcPr>
          <w:p w14:paraId="1C81169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Jun-20</w:t>
            </w:r>
          </w:p>
        </w:tc>
        <w:tc>
          <w:tcPr>
            <w:tcW w:w="988" w:type="dxa"/>
            <w:vAlign w:val="center"/>
          </w:tcPr>
          <w:p w14:paraId="1F4C13F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Apr-20</w:t>
            </w:r>
          </w:p>
        </w:tc>
        <w:tc>
          <w:tcPr>
            <w:tcW w:w="989" w:type="dxa"/>
            <w:vAlign w:val="center"/>
          </w:tcPr>
          <w:p w14:paraId="44A7C42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Apr-20</w:t>
            </w:r>
          </w:p>
        </w:tc>
        <w:tc>
          <w:tcPr>
            <w:tcW w:w="944" w:type="dxa"/>
            <w:vAlign w:val="center"/>
          </w:tcPr>
          <w:p w14:paraId="731CCD94" w14:textId="77777777" w:rsidR="003E5BF5" w:rsidRPr="00E273FC" w:rsidRDefault="003E5BF5" w:rsidP="00DE1921">
            <w:pPr>
              <w:pStyle w:val="TableTextRight"/>
              <w:rPr>
                <w:rFonts w:ascii="Arial" w:hAnsi="Arial" w:cs="Arial"/>
                <w:sz w:val="24"/>
                <w:szCs w:val="24"/>
              </w:rPr>
            </w:pPr>
          </w:p>
        </w:tc>
        <w:tc>
          <w:tcPr>
            <w:tcW w:w="1083" w:type="dxa"/>
            <w:shd w:val="clear" w:color="auto" w:fill="auto"/>
            <w:tcMar>
              <w:left w:w="57" w:type="dxa"/>
              <w:right w:w="57" w:type="dxa"/>
            </w:tcMar>
            <w:vAlign w:val="center"/>
          </w:tcPr>
          <w:p w14:paraId="3307968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10.243</w:t>
            </w:r>
          </w:p>
        </w:tc>
        <w:tc>
          <w:tcPr>
            <w:tcW w:w="864" w:type="dxa"/>
            <w:shd w:val="clear" w:color="auto" w:fill="auto"/>
            <w:vAlign w:val="center"/>
          </w:tcPr>
          <w:p w14:paraId="4527C61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10.243</w:t>
            </w:r>
          </w:p>
        </w:tc>
        <w:tc>
          <w:tcPr>
            <w:tcW w:w="876" w:type="dxa"/>
            <w:shd w:val="clear" w:color="auto" w:fill="auto"/>
            <w:tcMar>
              <w:left w:w="57" w:type="dxa"/>
              <w:right w:w="57" w:type="dxa"/>
            </w:tcMar>
            <w:vAlign w:val="center"/>
          </w:tcPr>
          <w:p w14:paraId="21E7278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10.041</w:t>
            </w:r>
          </w:p>
        </w:tc>
        <w:tc>
          <w:tcPr>
            <w:tcW w:w="1560" w:type="dxa"/>
            <w:tcMar>
              <w:left w:w="57" w:type="dxa"/>
              <w:right w:w="57" w:type="dxa"/>
            </w:tcMar>
            <w:vAlign w:val="center"/>
          </w:tcPr>
          <w:p w14:paraId="3BE4A20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(0.202)</w:t>
            </w:r>
          </w:p>
        </w:tc>
        <w:tc>
          <w:tcPr>
            <w:tcW w:w="1275" w:type="dxa"/>
            <w:vAlign w:val="center"/>
          </w:tcPr>
          <w:p w14:paraId="4D29295B" w14:textId="77777777" w:rsidR="003E5BF5" w:rsidRPr="00E273FC" w:rsidRDefault="003E5BF5" w:rsidP="00DE1921">
            <w:pPr>
              <w:pStyle w:val="TableTextRight"/>
              <w:rPr>
                <w:rFonts w:ascii="Arial" w:hAnsi="Arial" w:cs="Arial"/>
                <w:sz w:val="24"/>
                <w:szCs w:val="24"/>
              </w:rPr>
            </w:pPr>
          </w:p>
        </w:tc>
      </w:tr>
    </w:tbl>
    <w:p w14:paraId="735374A3" w14:textId="77777777" w:rsidR="003E5BF5" w:rsidRPr="00E273FC" w:rsidRDefault="003E5BF5" w:rsidP="00696A16">
      <w:pPr>
        <w:pStyle w:val="Note"/>
        <w:spacing w:before="40" w:line="360" w:lineRule="auto"/>
        <w:rPr>
          <w:rFonts w:ascii="Arial" w:hAnsi="Arial" w:cs="Arial"/>
          <w:sz w:val="24"/>
          <w:szCs w:val="24"/>
        </w:rPr>
      </w:pPr>
      <w:r w:rsidRPr="00E273FC">
        <w:rPr>
          <w:rFonts w:ascii="Arial" w:hAnsi="Arial" w:cs="Arial"/>
          <w:sz w:val="24"/>
          <w:szCs w:val="24"/>
        </w:rPr>
        <w:t>* Total Estimated Investment</w:t>
      </w:r>
    </w:p>
    <w:p w14:paraId="63AE7997" w14:textId="77777777" w:rsidR="003E5BF5" w:rsidRPr="00E273FC" w:rsidRDefault="003E5BF5" w:rsidP="00696A16">
      <w:pPr>
        <w:pStyle w:val="Note"/>
        <w:spacing w:before="40" w:line="360" w:lineRule="auto"/>
        <w:rPr>
          <w:rFonts w:ascii="Arial" w:hAnsi="Arial" w:cs="Arial"/>
          <w:sz w:val="24"/>
          <w:szCs w:val="24"/>
        </w:rPr>
      </w:pPr>
      <w:r w:rsidRPr="00E273FC">
        <w:rPr>
          <w:rFonts w:ascii="Arial" w:hAnsi="Arial" w:cs="Arial"/>
          <w:sz w:val="24"/>
          <w:szCs w:val="24"/>
        </w:rPr>
        <w:t>Notes:</w:t>
      </w:r>
    </w:p>
    <w:p w14:paraId="377B70BF" w14:textId="77777777" w:rsidR="003E5BF5" w:rsidRPr="00E273FC" w:rsidRDefault="003E5BF5" w:rsidP="00610F5F">
      <w:pPr>
        <w:pStyle w:val="Notenumber123"/>
        <w:numPr>
          <w:ilvl w:val="0"/>
          <w:numId w:val="55"/>
        </w:numPr>
        <w:spacing w:after="0" w:line="360" w:lineRule="auto"/>
        <w:ind w:left="340" w:hanging="227"/>
        <w:rPr>
          <w:rFonts w:ascii="Arial" w:hAnsi="Arial" w:cs="Arial"/>
          <w:sz w:val="24"/>
          <w:szCs w:val="24"/>
        </w:rPr>
      </w:pPr>
      <w:r w:rsidRPr="00E273FC">
        <w:rPr>
          <w:rFonts w:ascii="Arial" w:hAnsi="Arial" w:cs="Arial"/>
          <w:sz w:val="24"/>
          <w:szCs w:val="24"/>
        </w:rPr>
        <w:t xml:space="preserve">As a result of the </w:t>
      </w:r>
      <w:proofErr w:type="spellStart"/>
      <w:r w:rsidRPr="00E273FC">
        <w:rPr>
          <w:rFonts w:ascii="Arial" w:hAnsi="Arial" w:cs="Arial"/>
          <w:sz w:val="24"/>
          <w:szCs w:val="24"/>
        </w:rPr>
        <w:t>MoG</w:t>
      </w:r>
      <w:proofErr w:type="spellEnd"/>
      <w:r w:rsidRPr="00E273FC">
        <w:rPr>
          <w:rFonts w:ascii="Arial" w:hAnsi="Arial" w:cs="Arial"/>
          <w:sz w:val="24"/>
          <w:szCs w:val="24"/>
        </w:rPr>
        <w:t xml:space="preserve"> change effective on 1/7/2019, VicRoads and Public Transport Victoria became part of DoT. This table captures capital projects reaching practical completion for the period 1/7/2019-30/6/2020.</w:t>
      </w:r>
    </w:p>
    <w:p w14:paraId="15A10F87" w14:textId="77777777" w:rsidR="003E5BF5" w:rsidRPr="00E273FC" w:rsidRDefault="003E5BF5" w:rsidP="00696A16">
      <w:pPr>
        <w:pStyle w:val="Notenumber123"/>
        <w:spacing w:after="0" w:line="360" w:lineRule="auto"/>
        <w:rPr>
          <w:rFonts w:ascii="Arial" w:hAnsi="Arial" w:cs="Arial"/>
          <w:sz w:val="24"/>
          <w:szCs w:val="24"/>
        </w:rPr>
      </w:pPr>
      <w:r w:rsidRPr="00E273FC">
        <w:rPr>
          <w:rFonts w:ascii="Arial" w:hAnsi="Arial" w:cs="Arial"/>
          <w:sz w:val="24"/>
          <w:szCs w:val="24"/>
        </w:rPr>
        <w:lastRenderedPageBreak/>
        <w:t>Practical completion was achieved before the approved date due to works finishing ahead of schedule.</w:t>
      </w:r>
    </w:p>
    <w:p w14:paraId="5EDD7419" w14:textId="77777777" w:rsidR="003E5BF5" w:rsidRPr="00E273FC" w:rsidRDefault="003E5BF5" w:rsidP="00696A16">
      <w:pPr>
        <w:pStyle w:val="Notenumber123"/>
        <w:spacing w:after="0" w:line="360" w:lineRule="auto"/>
        <w:rPr>
          <w:rFonts w:ascii="Arial" w:hAnsi="Arial" w:cs="Arial"/>
          <w:sz w:val="24"/>
          <w:szCs w:val="24"/>
        </w:rPr>
      </w:pPr>
      <w:r w:rsidRPr="00E273FC">
        <w:rPr>
          <w:rFonts w:ascii="Arial" w:hAnsi="Arial" w:cs="Arial"/>
          <w:sz w:val="24"/>
          <w:szCs w:val="24"/>
        </w:rPr>
        <w:t>Actual costs were lower than forecast due to competitive market price at the time of tender, resulting in significant main contract and risk savings.</w:t>
      </w:r>
    </w:p>
    <w:p w14:paraId="70BBDCEA" w14:textId="77777777" w:rsidR="003E5BF5" w:rsidRPr="00E273FC" w:rsidRDefault="003E5BF5" w:rsidP="00696A16">
      <w:pPr>
        <w:pStyle w:val="Notenumber123"/>
        <w:spacing w:after="0" w:line="360" w:lineRule="auto"/>
        <w:rPr>
          <w:rFonts w:ascii="Arial" w:hAnsi="Arial" w:cs="Arial"/>
          <w:sz w:val="24"/>
          <w:szCs w:val="24"/>
        </w:rPr>
      </w:pPr>
      <w:r w:rsidRPr="00E273FC">
        <w:rPr>
          <w:rFonts w:ascii="Arial" w:hAnsi="Arial" w:cs="Arial"/>
          <w:sz w:val="24"/>
          <w:szCs w:val="24"/>
        </w:rPr>
        <w:t>Actual costs were lower than forecast due to outstanding main and minor ancillary works which will be completed in 2020-21.</w:t>
      </w:r>
    </w:p>
    <w:p w14:paraId="7216E42E" w14:textId="77777777" w:rsidR="003E5BF5" w:rsidRPr="00E273FC" w:rsidRDefault="003E5BF5" w:rsidP="00696A16">
      <w:pPr>
        <w:pStyle w:val="Notenumber123"/>
        <w:spacing w:after="0" w:line="360" w:lineRule="auto"/>
        <w:rPr>
          <w:rFonts w:ascii="Arial" w:hAnsi="Arial" w:cs="Arial"/>
          <w:sz w:val="24"/>
          <w:szCs w:val="24"/>
        </w:rPr>
      </w:pPr>
      <w:r w:rsidRPr="00E273FC">
        <w:rPr>
          <w:rFonts w:ascii="Arial" w:hAnsi="Arial" w:cs="Arial"/>
          <w:sz w:val="24"/>
          <w:szCs w:val="24"/>
        </w:rPr>
        <w:t>Practical completion was achieved after the approval date to accommodate Level Crossing works and close out activities.</w:t>
      </w:r>
    </w:p>
    <w:p w14:paraId="733CBD8E" w14:textId="77777777" w:rsidR="003E5BF5" w:rsidRPr="00E273FC" w:rsidRDefault="003E5BF5" w:rsidP="00696A16">
      <w:pPr>
        <w:pStyle w:val="Notenumber123"/>
        <w:spacing w:after="0" w:line="360" w:lineRule="auto"/>
        <w:rPr>
          <w:rFonts w:ascii="Arial" w:hAnsi="Arial" w:cs="Arial"/>
          <w:sz w:val="24"/>
          <w:szCs w:val="24"/>
        </w:rPr>
      </w:pPr>
      <w:r w:rsidRPr="00E273FC">
        <w:rPr>
          <w:rFonts w:ascii="Arial" w:hAnsi="Arial" w:cs="Arial"/>
          <w:sz w:val="24"/>
          <w:szCs w:val="24"/>
        </w:rPr>
        <w:t>Actual costs were lower than forecast due to outstanding land acquisitions and contractor costs to be finalised.</w:t>
      </w:r>
    </w:p>
    <w:p w14:paraId="7C40F2BC" w14:textId="77777777" w:rsidR="003E5BF5" w:rsidRPr="00871576" w:rsidRDefault="003E5BF5" w:rsidP="00DE1921"/>
    <w:p w14:paraId="3F8B62FE" w14:textId="77777777" w:rsidR="003E5BF5" w:rsidRDefault="003E5BF5" w:rsidP="00DE1921">
      <w:pPr>
        <w:sectPr w:rsidR="003E5BF5" w:rsidSect="00DE1921">
          <w:headerReference w:type="even" r:id="rId261"/>
          <w:headerReference w:type="default" r:id="rId262"/>
          <w:footerReference w:type="even" r:id="rId263"/>
          <w:pgSz w:w="16838" w:h="11906" w:orient="landscape"/>
          <w:pgMar w:top="1418" w:right="1701" w:bottom="1418" w:left="1418" w:header="709" w:footer="709" w:gutter="0"/>
          <w:cols w:space="284"/>
          <w:docGrid w:linePitch="360"/>
        </w:sectPr>
      </w:pPr>
    </w:p>
    <w:p w14:paraId="6161811D" w14:textId="77777777" w:rsidR="003E5BF5" w:rsidRPr="00E273FC" w:rsidRDefault="003E5BF5" w:rsidP="00CF74EB">
      <w:pPr>
        <w:pStyle w:val="TableHeader"/>
      </w:pPr>
      <w:r w:rsidRPr="00E273FC">
        <w:lastRenderedPageBreak/>
        <w:t>Table 2: Capital projects reaching financial completion during the financial year ended 30 June 2020</w:t>
      </w:r>
      <w:r w:rsidRPr="00E273FC">
        <w:rPr>
          <w:vertAlign w:val="superscript"/>
        </w:rPr>
        <w:t>(1)</w:t>
      </w:r>
    </w:p>
    <w:tbl>
      <w:tblPr>
        <w:tblStyle w:val="TableGrid"/>
        <w:tblW w:w="13608" w:type="dxa"/>
        <w:tblCellMar>
          <w:left w:w="57" w:type="dxa"/>
          <w:right w:w="0" w:type="dxa"/>
        </w:tblCellMar>
        <w:tblLook w:val="04A0" w:firstRow="1" w:lastRow="0" w:firstColumn="1" w:lastColumn="0" w:noHBand="0" w:noVBand="1"/>
      </w:tblPr>
      <w:tblGrid>
        <w:gridCol w:w="4432"/>
        <w:gridCol w:w="1338"/>
        <w:gridCol w:w="1338"/>
        <w:gridCol w:w="1301"/>
        <w:gridCol w:w="1300"/>
        <w:gridCol w:w="1213"/>
        <w:gridCol w:w="1385"/>
        <w:gridCol w:w="1301"/>
      </w:tblGrid>
      <w:tr w:rsidR="003E5BF5" w:rsidRPr="00E273FC" w14:paraId="3DD9AFFC" w14:textId="77777777" w:rsidTr="00364E21">
        <w:trPr>
          <w:trHeight w:val="284"/>
        </w:trPr>
        <w:tc>
          <w:tcPr>
            <w:tcW w:w="4486" w:type="dxa"/>
            <w:tcMar>
              <w:left w:w="57" w:type="dxa"/>
              <w:right w:w="57" w:type="dxa"/>
            </w:tcMar>
            <w:vAlign w:val="bottom"/>
          </w:tcPr>
          <w:p w14:paraId="74A32361"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Project</w:t>
            </w:r>
          </w:p>
        </w:tc>
        <w:tc>
          <w:tcPr>
            <w:tcW w:w="1301" w:type="dxa"/>
            <w:vAlign w:val="bottom"/>
          </w:tcPr>
          <w:p w14:paraId="3191250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Practical completion date</w:t>
            </w:r>
          </w:p>
        </w:tc>
        <w:tc>
          <w:tcPr>
            <w:tcW w:w="1303" w:type="dxa"/>
            <w:vAlign w:val="bottom"/>
          </w:tcPr>
          <w:p w14:paraId="2845F02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Financial completion date</w:t>
            </w:r>
          </w:p>
        </w:tc>
        <w:tc>
          <w:tcPr>
            <w:tcW w:w="1304" w:type="dxa"/>
            <w:vAlign w:val="bottom"/>
          </w:tcPr>
          <w:p w14:paraId="1E1A0E7D"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Original approved TEI* budget</w:t>
            </w:r>
          </w:p>
          <w:p w14:paraId="68AA857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million)</w:t>
            </w:r>
          </w:p>
        </w:tc>
        <w:tc>
          <w:tcPr>
            <w:tcW w:w="1303" w:type="dxa"/>
            <w:vAlign w:val="bottom"/>
          </w:tcPr>
          <w:p w14:paraId="70CFC919"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Latest approved TEI budget</w:t>
            </w:r>
          </w:p>
          <w:p w14:paraId="6E62C93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million)</w:t>
            </w:r>
          </w:p>
        </w:tc>
        <w:tc>
          <w:tcPr>
            <w:tcW w:w="1218" w:type="dxa"/>
            <w:shd w:val="clear" w:color="auto" w:fill="auto"/>
            <w:tcMar>
              <w:left w:w="57" w:type="dxa"/>
              <w:right w:w="57" w:type="dxa"/>
            </w:tcMar>
            <w:vAlign w:val="bottom"/>
          </w:tcPr>
          <w:p w14:paraId="5ECEADBB"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Actual TEI cost</w:t>
            </w:r>
          </w:p>
          <w:p w14:paraId="39EBBBE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million)</w:t>
            </w:r>
          </w:p>
        </w:tc>
        <w:tc>
          <w:tcPr>
            <w:tcW w:w="1390" w:type="dxa"/>
            <w:shd w:val="clear" w:color="auto" w:fill="auto"/>
            <w:vAlign w:val="bottom"/>
          </w:tcPr>
          <w:p w14:paraId="2395102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Variation between actual cost &amp; latest approved TEI budget</w:t>
            </w:r>
          </w:p>
        </w:tc>
        <w:tc>
          <w:tcPr>
            <w:tcW w:w="1303" w:type="dxa"/>
            <w:shd w:val="clear" w:color="auto" w:fill="auto"/>
            <w:tcMar>
              <w:left w:w="57" w:type="dxa"/>
              <w:right w:w="57" w:type="dxa"/>
            </w:tcMar>
            <w:vAlign w:val="bottom"/>
          </w:tcPr>
          <w:p w14:paraId="289A2DB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Reason for variance from latest approved TEI budget</w:t>
            </w:r>
          </w:p>
        </w:tc>
      </w:tr>
      <w:tr w:rsidR="003E5BF5" w:rsidRPr="00E273FC" w14:paraId="50EA65BC" w14:textId="77777777" w:rsidTr="00364E21">
        <w:trPr>
          <w:trHeight w:val="397"/>
        </w:trPr>
        <w:tc>
          <w:tcPr>
            <w:tcW w:w="4486" w:type="dxa"/>
            <w:tcMar>
              <w:left w:w="57" w:type="dxa"/>
              <w:right w:w="57" w:type="dxa"/>
            </w:tcMar>
          </w:tcPr>
          <w:p w14:paraId="634127D8"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Metropolitan train safety communications system (metro various)</w:t>
            </w:r>
          </w:p>
        </w:tc>
        <w:tc>
          <w:tcPr>
            <w:tcW w:w="1301" w:type="dxa"/>
          </w:tcPr>
          <w:p w14:paraId="55A2666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May-15</w:t>
            </w:r>
          </w:p>
        </w:tc>
        <w:tc>
          <w:tcPr>
            <w:tcW w:w="1303" w:type="dxa"/>
          </w:tcPr>
          <w:p w14:paraId="523E7A1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May-20</w:t>
            </w:r>
          </w:p>
        </w:tc>
        <w:tc>
          <w:tcPr>
            <w:tcW w:w="1304" w:type="dxa"/>
          </w:tcPr>
          <w:p w14:paraId="41DDCE6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189.890</w:t>
            </w:r>
          </w:p>
        </w:tc>
        <w:tc>
          <w:tcPr>
            <w:tcW w:w="1303" w:type="dxa"/>
          </w:tcPr>
          <w:p w14:paraId="7544BC7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189.753</w:t>
            </w:r>
          </w:p>
        </w:tc>
        <w:tc>
          <w:tcPr>
            <w:tcW w:w="1218" w:type="dxa"/>
            <w:shd w:val="clear" w:color="auto" w:fill="auto"/>
            <w:tcMar>
              <w:left w:w="57" w:type="dxa"/>
              <w:right w:w="57" w:type="dxa"/>
            </w:tcMar>
          </w:tcPr>
          <w:p w14:paraId="68FEA95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189.328</w:t>
            </w:r>
          </w:p>
        </w:tc>
        <w:tc>
          <w:tcPr>
            <w:tcW w:w="1390" w:type="dxa"/>
            <w:shd w:val="clear" w:color="auto" w:fill="auto"/>
          </w:tcPr>
          <w:p w14:paraId="0CB2A04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(0.425)</w:t>
            </w:r>
          </w:p>
        </w:tc>
        <w:tc>
          <w:tcPr>
            <w:tcW w:w="1303" w:type="dxa"/>
            <w:shd w:val="clear" w:color="auto" w:fill="auto"/>
            <w:tcMar>
              <w:left w:w="57" w:type="dxa"/>
              <w:right w:w="57" w:type="dxa"/>
            </w:tcMar>
          </w:tcPr>
          <w:p w14:paraId="3BBCB14B" w14:textId="77777777" w:rsidR="003E5BF5" w:rsidRPr="00E273FC" w:rsidRDefault="003E5BF5" w:rsidP="00DE1921">
            <w:pPr>
              <w:pStyle w:val="TableTextRight"/>
              <w:rPr>
                <w:rFonts w:ascii="Arial" w:hAnsi="Arial" w:cs="Arial"/>
                <w:sz w:val="24"/>
                <w:szCs w:val="24"/>
              </w:rPr>
            </w:pPr>
          </w:p>
        </w:tc>
      </w:tr>
      <w:tr w:rsidR="003E5BF5" w:rsidRPr="00E273FC" w14:paraId="45205BB1" w14:textId="77777777" w:rsidTr="00364E21">
        <w:trPr>
          <w:trHeight w:val="397"/>
        </w:trPr>
        <w:tc>
          <w:tcPr>
            <w:tcW w:w="4486" w:type="dxa"/>
            <w:tcMar>
              <w:left w:w="57" w:type="dxa"/>
              <w:right w:w="57" w:type="dxa"/>
            </w:tcMar>
          </w:tcPr>
          <w:p w14:paraId="4B4DAED2"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Regional Public Transport – Major periodic maintenance (regional various)</w:t>
            </w:r>
          </w:p>
        </w:tc>
        <w:tc>
          <w:tcPr>
            <w:tcW w:w="1301" w:type="dxa"/>
          </w:tcPr>
          <w:p w14:paraId="7E3879B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Jun-18</w:t>
            </w:r>
          </w:p>
        </w:tc>
        <w:tc>
          <w:tcPr>
            <w:tcW w:w="1303" w:type="dxa"/>
          </w:tcPr>
          <w:p w14:paraId="57A3447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Mar-20</w:t>
            </w:r>
          </w:p>
        </w:tc>
        <w:tc>
          <w:tcPr>
            <w:tcW w:w="1304" w:type="dxa"/>
          </w:tcPr>
          <w:p w14:paraId="2D8760E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141.235</w:t>
            </w:r>
          </w:p>
        </w:tc>
        <w:tc>
          <w:tcPr>
            <w:tcW w:w="1303" w:type="dxa"/>
          </w:tcPr>
          <w:p w14:paraId="3D9E450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140.624</w:t>
            </w:r>
          </w:p>
        </w:tc>
        <w:tc>
          <w:tcPr>
            <w:tcW w:w="1218" w:type="dxa"/>
            <w:shd w:val="clear" w:color="auto" w:fill="auto"/>
            <w:tcMar>
              <w:left w:w="57" w:type="dxa"/>
              <w:right w:w="57" w:type="dxa"/>
            </w:tcMar>
          </w:tcPr>
          <w:p w14:paraId="7BCC059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140.624</w:t>
            </w:r>
          </w:p>
        </w:tc>
        <w:tc>
          <w:tcPr>
            <w:tcW w:w="1390" w:type="dxa"/>
            <w:shd w:val="clear" w:color="auto" w:fill="auto"/>
          </w:tcPr>
          <w:p w14:paraId="5CFEA9E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303" w:type="dxa"/>
            <w:shd w:val="clear" w:color="auto" w:fill="auto"/>
            <w:tcMar>
              <w:left w:w="57" w:type="dxa"/>
              <w:right w:w="57" w:type="dxa"/>
            </w:tcMar>
          </w:tcPr>
          <w:p w14:paraId="30C9B48D" w14:textId="77777777" w:rsidR="003E5BF5" w:rsidRPr="00E273FC" w:rsidRDefault="003E5BF5" w:rsidP="00DE1921">
            <w:pPr>
              <w:pStyle w:val="TableTextRight"/>
              <w:rPr>
                <w:rFonts w:ascii="Arial" w:hAnsi="Arial" w:cs="Arial"/>
                <w:sz w:val="24"/>
                <w:szCs w:val="24"/>
              </w:rPr>
            </w:pPr>
          </w:p>
        </w:tc>
      </w:tr>
      <w:tr w:rsidR="003E5BF5" w:rsidRPr="00E273FC" w14:paraId="58ACFCD5" w14:textId="77777777" w:rsidTr="00364E21">
        <w:trPr>
          <w:trHeight w:val="397"/>
        </w:trPr>
        <w:tc>
          <w:tcPr>
            <w:tcW w:w="4486" w:type="dxa"/>
            <w:tcMar>
              <w:left w:w="57" w:type="dxa"/>
              <w:right w:w="57" w:type="dxa"/>
            </w:tcMar>
          </w:tcPr>
          <w:p w14:paraId="056A604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Protective Services Officers railway infrastructure (metro various)</w:t>
            </w:r>
          </w:p>
        </w:tc>
        <w:tc>
          <w:tcPr>
            <w:tcW w:w="1301" w:type="dxa"/>
          </w:tcPr>
          <w:p w14:paraId="5CFD635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Dec-19</w:t>
            </w:r>
          </w:p>
        </w:tc>
        <w:tc>
          <w:tcPr>
            <w:tcW w:w="1303" w:type="dxa"/>
          </w:tcPr>
          <w:p w14:paraId="7FD97DC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Mar-20</w:t>
            </w:r>
          </w:p>
        </w:tc>
        <w:tc>
          <w:tcPr>
            <w:tcW w:w="1304" w:type="dxa"/>
          </w:tcPr>
          <w:p w14:paraId="55BB7F2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67.804</w:t>
            </w:r>
          </w:p>
        </w:tc>
        <w:tc>
          <w:tcPr>
            <w:tcW w:w="1303" w:type="dxa"/>
          </w:tcPr>
          <w:p w14:paraId="1509F42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66.194</w:t>
            </w:r>
          </w:p>
        </w:tc>
        <w:tc>
          <w:tcPr>
            <w:tcW w:w="1218" w:type="dxa"/>
            <w:shd w:val="clear" w:color="auto" w:fill="auto"/>
            <w:tcMar>
              <w:left w:w="57" w:type="dxa"/>
              <w:right w:w="57" w:type="dxa"/>
            </w:tcMar>
          </w:tcPr>
          <w:p w14:paraId="39E9499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62.007</w:t>
            </w:r>
          </w:p>
        </w:tc>
        <w:tc>
          <w:tcPr>
            <w:tcW w:w="1390" w:type="dxa"/>
            <w:shd w:val="clear" w:color="auto" w:fill="auto"/>
          </w:tcPr>
          <w:p w14:paraId="45B957F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(4.187)</w:t>
            </w:r>
          </w:p>
        </w:tc>
        <w:tc>
          <w:tcPr>
            <w:tcW w:w="1303" w:type="dxa"/>
            <w:shd w:val="clear" w:color="auto" w:fill="auto"/>
            <w:tcMar>
              <w:left w:w="57" w:type="dxa"/>
              <w:right w:w="57" w:type="dxa"/>
            </w:tcMar>
          </w:tcPr>
          <w:p w14:paraId="727048F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Note 2</w:t>
            </w:r>
          </w:p>
        </w:tc>
      </w:tr>
      <w:tr w:rsidR="003E5BF5" w:rsidRPr="00E273FC" w14:paraId="1E7636D6" w14:textId="77777777" w:rsidTr="00364E21">
        <w:trPr>
          <w:trHeight w:val="340"/>
        </w:trPr>
        <w:tc>
          <w:tcPr>
            <w:tcW w:w="4486" w:type="dxa"/>
            <w:tcMar>
              <w:left w:w="57" w:type="dxa"/>
              <w:right w:w="57" w:type="dxa"/>
            </w:tcMar>
            <w:vAlign w:val="center"/>
          </w:tcPr>
          <w:p w14:paraId="7F6C5902"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Road and rail minor works fund – rail (</w:t>
            </w:r>
            <w:proofErr w:type="spellStart"/>
            <w:r w:rsidRPr="00E273FC">
              <w:rPr>
                <w:rFonts w:ascii="Arial" w:hAnsi="Arial" w:cs="Arial"/>
                <w:sz w:val="24"/>
                <w:szCs w:val="24"/>
              </w:rPr>
              <w:t>statewide</w:t>
            </w:r>
            <w:proofErr w:type="spellEnd"/>
            <w:r w:rsidRPr="00E273FC">
              <w:rPr>
                <w:rFonts w:ascii="Arial" w:hAnsi="Arial" w:cs="Arial"/>
                <w:sz w:val="24"/>
                <w:szCs w:val="24"/>
              </w:rPr>
              <w:t>)</w:t>
            </w:r>
          </w:p>
        </w:tc>
        <w:tc>
          <w:tcPr>
            <w:tcW w:w="1301" w:type="dxa"/>
            <w:vAlign w:val="center"/>
          </w:tcPr>
          <w:p w14:paraId="7A9F959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Jun-19</w:t>
            </w:r>
          </w:p>
        </w:tc>
        <w:tc>
          <w:tcPr>
            <w:tcW w:w="1303" w:type="dxa"/>
            <w:vAlign w:val="center"/>
          </w:tcPr>
          <w:p w14:paraId="5739AE9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Jun-20</w:t>
            </w:r>
          </w:p>
        </w:tc>
        <w:tc>
          <w:tcPr>
            <w:tcW w:w="1304" w:type="dxa"/>
            <w:vAlign w:val="center"/>
          </w:tcPr>
          <w:p w14:paraId="5AECE69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14.870</w:t>
            </w:r>
          </w:p>
        </w:tc>
        <w:tc>
          <w:tcPr>
            <w:tcW w:w="1303" w:type="dxa"/>
            <w:vAlign w:val="center"/>
          </w:tcPr>
          <w:p w14:paraId="4D57577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14.870</w:t>
            </w:r>
          </w:p>
        </w:tc>
        <w:tc>
          <w:tcPr>
            <w:tcW w:w="1218" w:type="dxa"/>
            <w:shd w:val="clear" w:color="auto" w:fill="auto"/>
            <w:tcMar>
              <w:left w:w="57" w:type="dxa"/>
              <w:right w:w="57" w:type="dxa"/>
            </w:tcMar>
            <w:vAlign w:val="center"/>
          </w:tcPr>
          <w:p w14:paraId="2AC27E6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13.904</w:t>
            </w:r>
          </w:p>
        </w:tc>
        <w:tc>
          <w:tcPr>
            <w:tcW w:w="1390" w:type="dxa"/>
            <w:shd w:val="clear" w:color="auto" w:fill="auto"/>
            <w:vAlign w:val="center"/>
          </w:tcPr>
          <w:p w14:paraId="027885B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(0.966)</w:t>
            </w:r>
          </w:p>
        </w:tc>
        <w:tc>
          <w:tcPr>
            <w:tcW w:w="1303" w:type="dxa"/>
            <w:shd w:val="clear" w:color="auto" w:fill="auto"/>
            <w:tcMar>
              <w:left w:w="57" w:type="dxa"/>
              <w:right w:w="57" w:type="dxa"/>
            </w:tcMar>
            <w:vAlign w:val="center"/>
          </w:tcPr>
          <w:p w14:paraId="64AEBC2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Note 3</w:t>
            </w:r>
          </w:p>
        </w:tc>
      </w:tr>
      <w:tr w:rsidR="003E5BF5" w:rsidRPr="00E273FC" w14:paraId="66A8D46C" w14:textId="77777777" w:rsidTr="00364E21">
        <w:trPr>
          <w:trHeight w:val="340"/>
        </w:trPr>
        <w:tc>
          <w:tcPr>
            <w:tcW w:w="4486" w:type="dxa"/>
            <w:tcMar>
              <w:left w:w="57" w:type="dxa"/>
              <w:right w:w="57" w:type="dxa"/>
            </w:tcMar>
            <w:vAlign w:val="center"/>
          </w:tcPr>
          <w:p w14:paraId="38227F7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Regional rolling stock (non-metro various)</w:t>
            </w:r>
          </w:p>
        </w:tc>
        <w:tc>
          <w:tcPr>
            <w:tcW w:w="1301" w:type="dxa"/>
            <w:vAlign w:val="center"/>
          </w:tcPr>
          <w:p w14:paraId="1E80DC4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Jul-16</w:t>
            </w:r>
          </w:p>
        </w:tc>
        <w:tc>
          <w:tcPr>
            <w:tcW w:w="1303" w:type="dxa"/>
            <w:vAlign w:val="center"/>
          </w:tcPr>
          <w:p w14:paraId="508EBC9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Jun-20</w:t>
            </w:r>
          </w:p>
        </w:tc>
        <w:tc>
          <w:tcPr>
            <w:tcW w:w="1304" w:type="dxa"/>
            <w:vAlign w:val="center"/>
          </w:tcPr>
          <w:p w14:paraId="0EE7082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14.763</w:t>
            </w:r>
          </w:p>
        </w:tc>
        <w:tc>
          <w:tcPr>
            <w:tcW w:w="1303" w:type="dxa"/>
            <w:vAlign w:val="center"/>
          </w:tcPr>
          <w:p w14:paraId="5030018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12.500</w:t>
            </w:r>
          </w:p>
        </w:tc>
        <w:tc>
          <w:tcPr>
            <w:tcW w:w="1218" w:type="dxa"/>
            <w:shd w:val="clear" w:color="auto" w:fill="auto"/>
            <w:tcMar>
              <w:left w:w="57" w:type="dxa"/>
              <w:right w:w="57" w:type="dxa"/>
            </w:tcMar>
            <w:vAlign w:val="center"/>
          </w:tcPr>
          <w:p w14:paraId="5CB7779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12.500</w:t>
            </w:r>
          </w:p>
        </w:tc>
        <w:tc>
          <w:tcPr>
            <w:tcW w:w="1390" w:type="dxa"/>
            <w:shd w:val="clear" w:color="auto" w:fill="auto"/>
            <w:vAlign w:val="center"/>
          </w:tcPr>
          <w:p w14:paraId="057332F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1303" w:type="dxa"/>
            <w:shd w:val="clear" w:color="auto" w:fill="auto"/>
            <w:tcMar>
              <w:left w:w="57" w:type="dxa"/>
              <w:right w:w="57" w:type="dxa"/>
            </w:tcMar>
            <w:vAlign w:val="center"/>
          </w:tcPr>
          <w:p w14:paraId="2F764103" w14:textId="77777777" w:rsidR="003E5BF5" w:rsidRPr="00E273FC" w:rsidRDefault="003E5BF5" w:rsidP="00DE1921">
            <w:pPr>
              <w:pStyle w:val="TableTextRight"/>
              <w:rPr>
                <w:rFonts w:ascii="Arial" w:hAnsi="Arial" w:cs="Arial"/>
                <w:sz w:val="24"/>
                <w:szCs w:val="24"/>
              </w:rPr>
            </w:pPr>
          </w:p>
        </w:tc>
      </w:tr>
    </w:tbl>
    <w:p w14:paraId="75EA263F" w14:textId="77777777" w:rsidR="003E5BF5" w:rsidRPr="00E273FC" w:rsidRDefault="003E5BF5" w:rsidP="00696A16">
      <w:pPr>
        <w:pStyle w:val="Note"/>
        <w:spacing w:before="40" w:line="360" w:lineRule="auto"/>
        <w:rPr>
          <w:rFonts w:ascii="Arial" w:hAnsi="Arial" w:cs="Arial"/>
          <w:sz w:val="24"/>
          <w:szCs w:val="24"/>
        </w:rPr>
      </w:pPr>
      <w:r w:rsidRPr="00E273FC">
        <w:rPr>
          <w:rFonts w:ascii="Arial" w:hAnsi="Arial" w:cs="Arial"/>
          <w:sz w:val="24"/>
          <w:szCs w:val="24"/>
        </w:rPr>
        <w:t>* Total Estimated Investment</w:t>
      </w:r>
    </w:p>
    <w:p w14:paraId="32CA381F" w14:textId="77777777" w:rsidR="003E5BF5" w:rsidRPr="00E273FC" w:rsidRDefault="003E5BF5" w:rsidP="00696A16">
      <w:pPr>
        <w:pStyle w:val="Note"/>
        <w:spacing w:before="40" w:line="360" w:lineRule="auto"/>
        <w:rPr>
          <w:rFonts w:ascii="Arial" w:hAnsi="Arial" w:cs="Arial"/>
          <w:sz w:val="24"/>
          <w:szCs w:val="24"/>
        </w:rPr>
      </w:pPr>
      <w:r w:rsidRPr="00E273FC">
        <w:rPr>
          <w:rFonts w:ascii="Arial" w:hAnsi="Arial" w:cs="Arial"/>
          <w:sz w:val="24"/>
          <w:szCs w:val="24"/>
        </w:rPr>
        <w:t>Notes:</w:t>
      </w:r>
    </w:p>
    <w:p w14:paraId="12D7D335" w14:textId="77777777" w:rsidR="003E5BF5" w:rsidRPr="00E273FC" w:rsidRDefault="003E5BF5" w:rsidP="00610F5F">
      <w:pPr>
        <w:pStyle w:val="Notenumber123"/>
        <w:numPr>
          <w:ilvl w:val="0"/>
          <w:numId w:val="56"/>
        </w:numPr>
        <w:spacing w:after="0" w:line="360" w:lineRule="auto"/>
        <w:ind w:left="340" w:hanging="227"/>
        <w:rPr>
          <w:rFonts w:ascii="Arial" w:hAnsi="Arial" w:cs="Arial"/>
          <w:sz w:val="24"/>
          <w:szCs w:val="24"/>
        </w:rPr>
      </w:pPr>
      <w:r w:rsidRPr="00E273FC">
        <w:rPr>
          <w:rFonts w:ascii="Arial" w:hAnsi="Arial" w:cs="Arial"/>
          <w:sz w:val="24"/>
          <w:szCs w:val="24"/>
        </w:rPr>
        <w:t xml:space="preserve">As a result of the </w:t>
      </w:r>
      <w:proofErr w:type="spellStart"/>
      <w:r w:rsidRPr="00E273FC">
        <w:rPr>
          <w:rFonts w:ascii="Arial" w:hAnsi="Arial" w:cs="Arial"/>
          <w:sz w:val="24"/>
          <w:szCs w:val="24"/>
        </w:rPr>
        <w:t>MoG</w:t>
      </w:r>
      <w:proofErr w:type="spellEnd"/>
      <w:r w:rsidRPr="00E273FC">
        <w:rPr>
          <w:rFonts w:ascii="Arial" w:hAnsi="Arial" w:cs="Arial"/>
          <w:sz w:val="24"/>
          <w:szCs w:val="24"/>
        </w:rPr>
        <w:t xml:space="preserve"> change effective on 1/7/2019, VicRoads, Public Transport Victoria became part of DoT. This table captures capital projects reaching financial completion for the period 1/7/2019-30/6/2020. </w:t>
      </w:r>
    </w:p>
    <w:p w14:paraId="7CCE58D7" w14:textId="77777777" w:rsidR="003E5BF5" w:rsidRPr="00E273FC" w:rsidRDefault="003E5BF5" w:rsidP="00696A16">
      <w:pPr>
        <w:pStyle w:val="Notenumber123"/>
        <w:spacing w:after="0" w:line="360" w:lineRule="auto"/>
        <w:rPr>
          <w:rFonts w:ascii="Arial" w:hAnsi="Arial" w:cs="Arial"/>
          <w:sz w:val="24"/>
          <w:szCs w:val="24"/>
        </w:rPr>
      </w:pPr>
      <w:r w:rsidRPr="00E273FC">
        <w:rPr>
          <w:rFonts w:ascii="Arial" w:hAnsi="Arial" w:cs="Arial"/>
          <w:sz w:val="24"/>
          <w:szCs w:val="24"/>
        </w:rPr>
        <w:t>Actual costs were lower than forecast due to reduced scope of works.</w:t>
      </w:r>
    </w:p>
    <w:p w14:paraId="13331FFA" w14:textId="77777777" w:rsidR="003E5BF5" w:rsidRPr="00E273FC" w:rsidRDefault="003E5BF5" w:rsidP="00696A16">
      <w:pPr>
        <w:pStyle w:val="Notenumber123"/>
        <w:spacing w:after="0" w:line="360" w:lineRule="auto"/>
        <w:rPr>
          <w:rFonts w:ascii="Arial" w:hAnsi="Arial" w:cs="Arial"/>
          <w:sz w:val="24"/>
          <w:szCs w:val="24"/>
        </w:rPr>
      </w:pPr>
      <w:r w:rsidRPr="00E273FC">
        <w:rPr>
          <w:rFonts w:ascii="Arial" w:hAnsi="Arial" w:cs="Arial"/>
          <w:sz w:val="24"/>
          <w:szCs w:val="24"/>
        </w:rPr>
        <w:t>Actual costs were lower than forecast due to lower than expected vendor costs.</w:t>
      </w:r>
    </w:p>
    <w:p w14:paraId="44559665" w14:textId="77777777" w:rsidR="001729BE" w:rsidRDefault="001729BE" w:rsidP="00DE1921">
      <w:pPr>
        <w:sectPr w:rsidR="001729BE" w:rsidSect="001729BE">
          <w:headerReference w:type="even" r:id="rId264"/>
          <w:headerReference w:type="default" r:id="rId265"/>
          <w:footerReference w:type="even" r:id="rId266"/>
          <w:headerReference w:type="first" r:id="rId267"/>
          <w:footerReference w:type="first" r:id="rId268"/>
          <w:pgSz w:w="16838" w:h="11906" w:orient="landscape"/>
          <w:pgMar w:top="1440" w:right="1440" w:bottom="1440" w:left="1440" w:header="708" w:footer="708" w:gutter="0"/>
          <w:cols w:space="708"/>
          <w:docGrid w:linePitch="360"/>
        </w:sectPr>
      </w:pPr>
    </w:p>
    <w:p w14:paraId="61AD819B" w14:textId="77777777" w:rsidR="003E5BF5" w:rsidRPr="0053469C" w:rsidRDefault="003E5BF5" w:rsidP="008A0170">
      <w:pPr>
        <w:pStyle w:val="Heading1"/>
      </w:pPr>
      <w:bookmarkStart w:id="799" w:name="_Toc55130705"/>
      <w:r w:rsidRPr="0053469C">
        <w:lastRenderedPageBreak/>
        <w:t>Appendix 4: Disclosure of grants and transfer payments (other than contributions by owners)</w:t>
      </w:r>
      <w:bookmarkEnd w:id="799"/>
    </w:p>
    <w:p w14:paraId="585202D4" w14:textId="77777777" w:rsidR="003E5BF5" w:rsidRDefault="003E5BF5" w:rsidP="00225622">
      <w:pPr>
        <w:pStyle w:val="aaatyping"/>
        <w:spacing w:after="120"/>
      </w:pPr>
      <w:r>
        <w:t xml:space="preserve">The department has provided assistance to companies and organisations. There are no individual grant payments that are deemed to be commercial-in-confidence. Below is a list of grants and transfer payments made by the department during 2019-20. </w:t>
      </w:r>
    </w:p>
    <w:p w14:paraId="5D4371F4" w14:textId="77777777" w:rsidR="003E5BF5" w:rsidRDefault="003E5BF5" w:rsidP="003C6DF7">
      <w:pPr>
        <w:pStyle w:val="aaatyping"/>
      </w:pPr>
      <w:r>
        <w:t xml:space="preserve">The grants disclosed in this Appendix are limited to grants made at the discretion of the department and only represent part of the overall Grant expenses amount reported in the operating statement and in the Grant expenses disclosure note (refer 3.2) in the financial statements. </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284"/>
      </w:tblGrid>
      <w:tr w:rsidR="003E5BF5" w:rsidRPr="000125A5" w14:paraId="1A69CB1B" w14:textId="77777777" w:rsidTr="00355316">
        <w:trPr>
          <w:trHeight w:val="312"/>
        </w:trPr>
        <w:tc>
          <w:tcPr>
            <w:tcW w:w="7938" w:type="dxa"/>
            <w:shd w:val="clear" w:color="auto" w:fill="auto"/>
            <w:noWrap/>
            <w:vAlign w:val="center"/>
            <w:hideMark/>
          </w:tcPr>
          <w:p w14:paraId="28D89132" w14:textId="77777777" w:rsidR="003E5BF5" w:rsidRPr="00FA17C3" w:rsidRDefault="003E5BF5" w:rsidP="001941EA">
            <w:pPr>
              <w:pStyle w:val="TableTextLeft"/>
              <w:rPr>
                <w:rFonts w:ascii="Arial" w:hAnsi="Arial" w:cs="Arial"/>
                <w:sz w:val="24"/>
                <w:szCs w:val="24"/>
              </w:rPr>
            </w:pPr>
            <w:r w:rsidRPr="00FA17C3">
              <w:rPr>
                <w:rFonts w:ascii="Arial" w:eastAsiaTheme="majorEastAsia" w:hAnsi="Arial" w:cs="Arial"/>
                <w:color w:val="0E787C"/>
                <w:spacing w:val="-10"/>
                <w:kern w:val="28"/>
                <w:sz w:val="24"/>
                <w:szCs w:val="24"/>
              </w:rPr>
              <w:t>AIDS TO NAVIGATION</w:t>
            </w:r>
          </w:p>
        </w:tc>
        <w:tc>
          <w:tcPr>
            <w:tcW w:w="1284" w:type="dxa"/>
            <w:shd w:val="clear" w:color="auto" w:fill="auto"/>
            <w:noWrap/>
            <w:vAlign w:val="center"/>
            <w:hideMark/>
          </w:tcPr>
          <w:p w14:paraId="174703CF" w14:textId="77777777" w:rsidR="003E5BF5" w:rsidRPr="000125A5" w:rsidRDefault="003E5BF5" w:rsidP="00DE1921">
            <w:pPr>
              <w:pStyle w:val="TableTextRight"/>
              <w:rPr>
                <w:rFonts w:ascii="Arial" w:hAnsi="Arial" w:cs="Arial"/>
                <w:sz w:val="24"/>
                <w:szCs w:val="24"/>
              </w:rPr>
            </w:pPr>
            <w:r w:rsidRPr="000125A5">
              <w:rPr>
                <w:rFonts w:ascii="Arial" w:hAnsi="Arial" w:cs="Arial"/>
                <w:sz w:val="24"/>
                <w:szCs w:val="24"/>
              </w:rPr>
              <w:t xml:space="preserve"> $ </w:t>
            </w:r>
          </w:p>
        </w:tc>
      </w:tr>
      <w:tr w:rsidR="003E5BF5" w:rsidRPr="000125A5" w14:paraId="02E5559D" w14:textId="77777777" w:rsidTr="00355316">
        <w:trPr>
          <w:trHeight w:val="312"/>
        </w:trPr>
        <w:tc>
          <w:tcPr>
            <w:tcW w:w="7938" w:type="dxa"/>
            <w:shd w:val="clear" w:color="auto" w:fill="auto"/>
            <w:noWrap/>
            <w:vAlign w:val="center"/>
            <w:hideMark/>
          </w:tcPr>
          <w:p w14:paraId="67A19968" w14:textId="77777777" w:rsidR="003E5BF5" w:rsidRPr="000125A5" w:rsidRDefault="003E5BF5" w:rsidP="00362005">
            <w:pPr>
              <w:pStyle w:val="TableTextLeft"/>
              <w:rPr>
                <w:rFonts w:ascii="Arial" w:hAnsi="Arial" w:cs="Arial"/>
                <w:sz w:val="24"/>
                <w:szCs w:val="24"/>
              </w:rPr>
            </w:pPr>
            <w:r w:rsidRPr="000125A5">
              <w:rPr>
                <w:rFonts w:ascii="Arial" w:hAnsi="Arial" w:cs="Arial"/>
                <w:sz w:val="24"/>
                <w:szCs w:val="24"/>
              </w:rPr>
              <w:t>BARWON COAST COMMITTEE OF MANAGEMENT</w:t>
            </w:r>
          </w:p>
        </w:tc>
        <w:tc>
          <w:tcPr>
            <w:tcW w:w="1284" w:type="dxa"/>
            <w:shd w:val="clear" w:color="auto" w:fill="auto"/>
            <w:noWrap/>
            <w:vAlign w:val="center"/>
            <w:hideMark/>
          </w:tcPr>
          <w:p w14:paraId="3D871960" w14:textId="77777777" w:rsidR="003E5BF5" w:rsidRPr="000125A5" w:rsidRDefault="003E5BF5" w:rsidP="00DE1921">
            <w:pPr>
              <w:pStyle w:val="TableTextRight"/>
              <w:rPr>
                <w:rFonts w:ascii="Arial" w:hAnsi="Arial" w:cs="Arial"/>
                <w:sz w:val="24"/>
                <w:szCs w:val="24"/>
              </w:rPr>
            </w:pPr>
            <w:r w:rsidRPr="000125A5">
              <w:rPr>
                <w:rFonts w:ascii="Arial" w:hAnsi="Arial" w:cs="Arial"/>
                <w:sz w:val="24"/>
                <w:szCs w:val="24"/>
              </w:rPr>
              <w:t xml:space="preserve">15,310 </w:t>
            </w:r>
          </w:p>
        </w:tc>
      </w:tr>
      <w:tr w:rsidR="003E5BF5" w:rsidRPr="00E273FC" w14:paraId="25D42DB9" w14:textId="77777777" w:rsidTr="00355316">
        <w:trPr>
          <w:trHeight w:val="312"/>
        </w:trPr>
        <w:tc>
          <w:tcPr>
            <w:tcW w:w="7938" w:type="dxa"/>
            <w:shd w:val="clear" w:color="auto" w:fill="auto"/>
            <w:noWrap/>
            <w:vAlign w:val="center"/>
            <w:hideMark/>
          </w:tcPr>
          <w:p w14:paraId="3312246E"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COLAC OTWAY SHIRE</w:t>
            </w:r>
          </w:p>
        </w:tc>
        <w:tc>
          <w:tcPr>
            <w:tcW w:w="1284" w:type="dxa"/>
            <w:shd w:val="clear" w:color="auto" w:fill="auto"/>
            <w:noWrap/>
            <w:vAlign w:val="center"/>
            <w:hideMark/>
          </w:tcPr>
          <w:p w14:paraId="5A0C52D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30,000 </w:t>
            </w:r>
          </w:p>
        </w:tc>
      </w:tr>
      <w:tr w:rsidR="003E5BF5" w:rsidRPr="00E273FC" w14:paraId="036AE967" w14:textId="77777777" w:rsidTr="00355316">
        <w:trPr>
          <w:trHeight w:val="312"/>
        </w:trPr>
        <w:tc>
          <w:tcPr>
            <w:tcW w:w="7938" w:type="dxa"/>
            <w:shd w:val="clear" w:color="auto" w:fill="auto"/>
            <w:noWrap/>
            <w:vAlign w:val="center"/>
            <w:hideMark/>
          </w:tcPr>
          <w:p w14:paraId="57EADD95"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GIPPSLAND PORTS COMMITTEE OF MANAGEMENT</w:t>
            </w:r>
          </w:p>
        </w:tc>
        <w:tc>
          <w:tcPr>
            <w:tcW w:w="1284" w:type="dxa"/>
            <w:shd w:val="clear" w:color="auto" w:fill="auto"/>
            <w:noWrap/>
            <w:vAlign w:val="center"/>
            <w:hideMark/>
          </w:tcPr>
          <w:p w14:paraId="684392F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134,248 </w:t>
            </w:r>
          </w:p>
        </w:tc>
      </w:tr>
      <w:tr w:rsidR="003E5BF5" w:rsidRPr="00E273FC" w14:paraId="2E40DB2C" w14:textId="77777777" w:rsidTr="00355316">
        <w:trPr>
          <w:trHeight w:val="312"/>
        </w:trPr>
        <w:tc>
          <w:tcPr>
            <w:tcW w:w="7938" w:type="dxa"/>
            <w:shd w:val="clear" w:color="auto" w:fill="auto"/>
            <w:noWrap/>
            <w:vAlign w:val="center"/>
            <w:hideMark/>
          </w:tcPr>
          <w:p w14:paraId="3788C0B4"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GOULBURN MURRAY WATER</w:t>
            </w:r>
          </w:p>
        </w:tc>
        <w:tc>
          <w:tcPr>
            <w:tcW w:w="1284" w:type="dxa"/>
            <w:shd w:val="clear" w:color="auto" w:fill="auto"/>
            <w:noWrap/>
            <w:vAlign w:val="center"/>
            <w:hideMark/>
          </w:tcPr>
          <w:p w14:paraId="14557A4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25,783 </w:t>
            </w:r>
          </w:p>
        </w:tc>
      </w:tr>
      <w:tr w:rsidR="003E5BF5" w:rsidRPr="00E273FC" w14:paraId="161618FE" w14:textId="77777777" w:rsidTr="00355316">
        <w:trPr>
          <w:trHeight w:val="312"/>
        </w:trPr>
        <w:tc>
          <w:tcPr>
            <w:tcW w:w="7938" w:type="dxa"/>
            <w:shd w:val="clear" w:color="auto" w:fill="auto"/>
            <w:noWrap/>
            <w:vAlign w:val="center"/>
            <w:hideMark/>
          </w:tcPr>
          <w:p w14:paraId="0924F79C"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LATROBE CITY COUNCIL</w:t>
            </w:r>
          </w:p>
        </w:tc>
        <w:tc>
          <w:tcPr>
            <w:tcW w:w="1284" w:type="dxa"/>
            <w:shd w:val="clear" w:color="auto" w:fill="auto"/>
            <w:noWrap/>
            <w:vAlign w:val="center"/>
            <w:hideMark/>
          </w:tcPr>
          <w:p w14:paraId="6A3BE03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31,300 </w:t>
            </w:r>
          </w:p>
        </w:tc>
      </w:tr>
      <w:tr w:rsidR="003E5BF5" w:rsidRPr="00E273FC" w14:paraId="5A8086DA" w14:textId="77777777" w:rsidTr="00355316">
        <w:trPr>
          <w:trHeight w:val="312"/>
        </w:trPr>
        <w:tc>
          <w:tcPr>
            <w:tcW w:w="7938" w:type="dxa"/>
            <w:shd w:val="clear" w:color="auto" w:fill="auto"/>
            <w:noWrap/>
            <w:vAlign w:val="center"/>
            <w:hideMark/>
          </w:tcPr>
          <w:p w14:paraId="68C98EC7"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PARKS VICTORIA</w:t>
            </w:r>
          </w:p>
        </w:tc>
        <w:tc>
          <w:tcPr>
            <w:tcW w:w="1284" w:type="dxa"/>
            <w:shd w:val="clear" w:color="auto" w:fill="auto"/>
            <w:noWrap/>
            <w:vAlign w:val="center"/>
            <w:hideMark/>
          </w:tcPr>
          <w:p w14:paraId="1777659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179,012 </w:t>
            </w:r>
          </w:p>
        </w:tc>
      </w:tr>
      <w:tr w:rsidR="003E5BF5" w:rsidRPr="00E273FC" w14:paraId="08BAE7FF" w14:textId="77777777" w:rsidTr="00355316">
        <w:trPr>
          <w:trHeight w:val="312"/>
        </w:trPr>
        <w:tc>
          <w:tcPr>
            <w:tcW w:w="7938" w:type="dxa"/>
            <w:shd w:val="clear" w:color="auto" w:fill="auto"/>
            <w:noWrap/>
            <w:vAlign w:val="center"/>
            <w:hideMark/>
          </w:tcPr>
          <w:p w14:paraId="0FC239DB"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SHIRE OF STRATHBOGIE</w:t>
            </w:r>
          </w:p>
        </w:tc>
        <w:tc>
          <w:tcPr>
            <w:tcW w:w="1284" w:type="dxa"/>
            <w:shd w:val="clear" w:color="auto" w:fill="auto"/>
            <w:noWrap/>
            <w:vAlign w:val="center"/>
            <w:hideMark/>
          </w:tcPr>
          <w:p w14:paraId="2932462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10,000 </w:t>
            </w:r>
          </w:p>
        </w:tc>
      </w:tr>
      <w:tr w:rsidR="003E5BF5" w:rsidRPr="00E273FC" w14:paraId="471798D3" w14:textId="77777777" w:rsidTr="00355316">
        <w:trPr>
          <w:trHeight w:val="312"/>
        </w:trPr>
        <w:tc>
          <w:tcPr>
            <w:tcW w:w="7938" w:type="dxa"/>
            <w:shd w:val="clear" w:color="auto" w:fill="auto"/>
            <w:noWrap/>
            <w:vAlign w:val="center"/>
            <w:hideMark/>
          </w:tcPr>
          <w:p w14:paraId="0562C53B" w14:textId="77777777" w:rsidR="003E5BF5" w:rsidRPr="00130C83" w:rsidRDefault="003E5BF5" w:rsidP="00362005">
            <w:pPr>
              <w:pStyle w:val="TableTextLeft"/>
              <w:rPr>
                <w:rFonts w:ascii="Arial" w:hAnsi="Arial" w:cs="Arial"/>
                <w:b/>
                <w:bCs/>
                <w:sz w:val="24"/>
                <w:szCs w:val="24"/>
              </w:rPr>
            </w:pPr>
            <w:r w:rsidRPr="00130C83">
              <w:rPr>
                <w:rFonts w:ascii="Arial" w:hAnsi="Arial" w:cs="Arial"/>
                <w:b/>
                <w:bCs/>
                <w:sz w:val="24"/>
                <w:szCs w:val="24"/>
              </w:rPr>
              <w:t>TOTAL</w:t>
            </w:r>
          </w:p>
        </w:tc>
        <w:tc>
          <w:tcPr>
            <w:tcW w:w="1284" w:type="dxa"/>
            <w:shd w:val="clear" w:color="auto" w:fill="auto"/>
            <w:noWrap/>
            <w:vAlign w:val="center"/>
            <w:hideMark/>
          </w:tcPr>
          <w:p w14:paraId="393526A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425,653 </w:t>
            </w:r>
          </w:p>
        </w:tc>
      </w:tr>
      <w:tr w:rsidR="003E5BF5" w:rsidRPr="00E273FC" w14:paraId="306324C3" w14:textId="77777777" w:rsidTr="00355316">
        <w:trPr>
          <w:trHeight w:val="312"/>
        </w:trPr>
        <w:tc>
          <w:tcPr>
            <w:tcW w:w="7938" w:type="dxa"/>
            <w:shd w:val="clear" w:color="auto" w:fill="auto"/>
            <w:noWrap/>
            <w:vAlign w:val="center"/>
            <w:hideMark/>
          </w:tcPr>
          <w:p w14:paraId="6F4EA22D" w14:textId="77777777" w:rsidR="003E5BF5" w:rsidRPr="00362005" w:rsidRDefault="003E5BF5" w:rsidP="00362005">
            <w:pPr>
              <w:pStyle w:val="TableTextLeft"/>
              <w:rPr>
                <w:rFonts w:ascii="Arial" w:hAnsi="Arial" w:cs="Arial"/>
                <w:sz w:val="24"/>
                <w:szCs w:val="24"/>
              </w:rPr>
            </w:pPr>
          </w:p>
        </w:tc>
        <w:tc>
          <w:tcPr>
            <w:tcW w:w="1284" w:type="dxa"/>
            <w:shd w:val="clear" w:color="auto" w:fill="auto"/>
            <w:noWrap/>
            <w:vAlign w:val="center"/>
            <w:hideMark/>
          </w:tcPr>
          <w:p w14:paraId="36B09C26" w14:textId="77777777" w:rsidR="003E5BF5" w:rsidRPr="00E273FC" w:rsidRDefault="003E5BF5" w:rsidP="00604703">
            <w:pPr>
              <w:pStyle w:val="TableTextGreen"/>
            </w:pPr>
          </w:p>
        </w:tc>
      </w:tr>
      <w:tr w:rsidR="003E5BF5" w:rsidRPr="00E273FC" w14:paraId="257646BA" w14:textId="77777777" w:rsidTr="00355316">
        <w:trPr>
          <w:trHeight w:val="312"/>
        </w:trPr>
        <w:tc>
          <w:tcPr>
            <w:tcW w:w="7938" w:type="dxa"/>
            <w:shd w:val="clear" w:color="auto" w:fill="auto"/>
            <w:noWrap/>
            <w:vAlign w:val="center"/>
            <w:hideMark/>
          </w:tcPr>
          <w:p w14:paraId="66862734" w14:textId="77777777" w:rsidR="003E5BF5" w:rsidRPr="00362005" w:rsidRDefault="003E5BF5" w:rsidP="00362005">
            <w:pPr>
              <w:pStyle w:val="TableTextLeft"/>
              <w:rPr>
                <w:rFonts w:ascii="Arial" w:hAnsi="Arial" w:cs="Arial"/>
                <w:sz w:val="24"/>
                <w:szCs w:val="24"/>
              </w:rPr>
            </w:pPr>
            <w:r w:rsidRPr="00FA17C3">
              <w:rPr>
                <w:rFonts w:ascii="Arial" w:eastAsiaTheme="majorEastAsia" w:hAnsi="Arial" w:cs="Arial"/>
                <w:color w:val="0E787C"/>
                <w:spacing w:val="-10"/>
                <w:kern w:val="28"/>
                <w:sz w:val="24"/>
                <w:szCs w:val="24"/>
              </w:rPr>
              <w:t>BOATING INFRASTRUCTURE AND MASTER PLANNING</w:t>
            </w:r>
          </w:p>
        </w:tc>
        <w:tc>
          <w:tcPr>
            <w:tcW w:w="1284" w:type="dxa"/>
            <w:shd w:val="clear" w:color="auto" w:fill="auto"/>
            <w:noWrap/>
            <w:vAlign w:val="center"/>
            <w:hideMark/>
          </w:tcPr>
          <w:p w14:paraId="439AD1FA" w14:textId="77777777" w:rsidR="003E5BF5" w:rsidRPr="00E273FC" w:rsidRDefault="003E5BF5" w:rsidP="00604703">
            <w:pPr>
              <w:pStyle w:val="TableTextGreen"/>
            </w:pPr>
            <w:r w:rsidRPr="00E273FC">
              <w:t> </w:t>
            </w:r>
          </w:p>
        </w:tc>
      </w:tr>
      <w:tr w:rsidR="003E5BF5" w:rsidRPr="00E273FC" w14:paraId="3F056070" w14:textId="77777777" w:rsidTr="00355316">
        <w:trPr>
          <w:trHeight w:val="312"/>
        </w:trPr>
        <w:tc>
          <w:tcPr>
            <w:tcW w:w="7938" w:type="dxa"/>
            <w:shd w:val="clear" w:color="auto" w:fill="auto"/>
            <w:noWrap/>
            <w:vAlign w:val="center"/>
            <w:hideMark/>
          </w:tcPr>
          <w:p w14:paraId="45841E6B"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COLAC OTWAY SHIRE</w:t>
            </w:r>
          </w:p>
        </w:tc>
        <w:tc>
          <w:tcPr>
            <w:tcW w:w="1284" w:type="dxa"/>
            <w:shd w:val="clear" w:color="auto" w:fill="auto"/>
            <w:noWrap/>
            <w:vAlign w:val="center"/>
            <w:hideMark/>
          </w:tcPr>
          <w:p w14:paraId="788FC85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344,773 </w:t>
            </w:r>
          </w:p>
        </w:tc>
      </w:tr>
      <w:tr w:rsidR="003E5BF5" w:rsidRPr="00E273FC" w14:paraId="365A9A55" w14:textId="77777777" w:rsidTr="00355316">
        <w:trPr>
          <w:trHeight w:val="312"/>
        </w:trPr>
        <w:tc>
          <w:tcPr>
            <w:tcW w:w="7938" w:type="dxa"/>
            <w:shd w:val="clear" w:color="auto" w:fill="auto"/>
            <w:noWrap/>
            <w:vAlign w:val="center"/>
            <w:hideMark/>
          </w:tcPr>
          <w:p w14:paraId="4C517065"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CORINELLA FORESHORE RESERVE INCORPORATED</w:t>
            </w:r>
          </w:p>
        </w:tc>
        <w:tc>
          <w:tcPr>
            <w:tcW w:w="1284" w:type="dxa"/>
            <w:shd w:val="clear" w:color="auto" w:fill="auto"/>
            <w:noWrap/>
            <w:vAlign w:val="center"/>
            <w:hideMark/>
          </w:tcPr>
          <w:p w14:paraId="6B51A60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581,940 </w:t>
            </w:r>
          </w:p>
        </w:tc>
      </w:tr>
      <w:tr w:rsidR="003E5BF5" w:rsidRPr="00E273FC" w14:paraId="5D0A1A84" w14:textId="77777777" w:rsidTr="00355316">
        <w:trPr>
          <w:trHeight w:val="312"/>
        </w:trPr>
        <w:tc>
          <w:tcPr>
            <w:tcW w:w="7938" w:type="dxa"/>
            <w:shd w:val="clear" w:color="auto" w:fill="auto"/>
            <w:noWrap/>
            <w:vAlign w:val="center"/>
            <w:hideMark/>
          </w:tcPr>
          <w:p w14:paraId="4CDF6F3E"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GIPPSLAND PORTS COMMITTEE OF MANAGEMENT</w:t>
            </w:r>
          </w:p>
        </w:tc>
        <w:tc>
          <w:tcPr>
            <w:tcW w:w="1284" w:type="dxa"/>
            <w:shd w:val="clear" w:color="auto" w:fill="auto"/>
            <w:noWrap/>
            <w:vAlign w:val="center"/>
            <w:hideMark/>
          </w:tcPr>
          <w:p w14:paraId="32BB787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882,500 </w:t>
            </w:r>
          </w:p>
        </w:tc>
      </w:tr>
      <w:tr w:rsidR="003E5BF5" w:rsidRPr="00E273FC" w14:paraId="2DF3CB29" w14:textId="77777777" w:rsidTr="00355316">
        <w:trPr>
          <w:trHeight w:val="312"/>
        </w:trPr>
        <w:tc>
          <w:tcPr>
            <w:tcW w:w="7938" w:type="dxa"/>
            <w:shd w:val="clear" w:color="auto" w:fill="auto"/>
            <w:noWrap/>
            <w:vAlign w:val="center"/>
            <w:hideMark/>
          </w:tcPr>
          <w:p w14:paraId="67A82240"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PARKS VICTORIA</w:t>
            </w:r>
          </w:p>
        </w:tc>
        <w:tc>
          <w:tcPr>
            <w:tcW w:w="1284" w:type="dxa"/>
            <w:shd w:val="clear" w:color="auto" w:fill="auto"/>
            <w:noWrap/>
            <w:vAlign w:val="center"/>
            <w:hideMark/>
          </w:tcPr>
          <w:p w14:paraId="3836EB7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133,000 </w:t>
            </w:r>
          </w:p>
        </w:tc>
      </w:tr>
      <w:tr w:rsidR="003E5BF5" w:rsidRPr="00E273FC" w14:paraId="5691CCE1" w14:textId="77777777" w:rsidTr="00355316">
        <w:trPr>
          <w:trHeight w:val="312"/>
        </w:trPr>
        <w:tc>
          <w:tcPr>
            <w:tcW w:w="7938" w:type="dxa"/>
            <w:shd w:val="clear" w:color="auto" w:fill="auto"/>
            <w:noWrap/>
            <w:vAlign w:val="center"/>
            <w:hideMark/>
          </w:tcPr>
          <w:p w14:paraId="7CC5ADB2"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SOUTHERN RURAL WATER</w:t>
            </w:r>
          </w:p>
        </w:tc>
        <w:tc>
          <w:tcPr>
            <w:tcW w:w="1284" w:type="dxa"/>
            <w:shd w:val="clear" w:color="auto" w:fill="auto"/>
            <w:noWrap/>
            <w:vAlign w:val="center"/>
            <w:hideMark/>
          </w:tcPr>
          <w:p w14:paraId="46A582A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33,000 </w:t>
            </w:r>
          </w:p>
        </w:tc>
      </w:tr>
      <w:tr w:rsidR="003E5BF5" w:rsidRPr="00E273FC" w14:paraId="440EBE13" w14:textId="77777777" w:rsidTr="00355316">
        <w:trPr>
          <w:trHeight w:val="312"/>
        </w:trPr>
        <w:tc>
          <w:tcPr>
            <w:tcW w:w="7938" w:type="dxa"/>
            <w:shd w:val="clear" w:color="auto" w:fill="auto"/>
            <w:noWrap/>
            <w:vAlign w:val="center"/>
            <w:hideMark/>
          </w:tcPr>
          <w:p w14:paraId="326DC4E2"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TOORADIN FORESHORE COMMITTEE OF MANAGEMENT</w:t>
            </w:r>
          </w:p>
        </w:tc>
        <w:tc>
          <w:tcPr>
            <w:tcW w:w="1284" w:type="dxa"/>
            <w:shd w:val="clear" w:color="auto" w:fill="auto"/>
            <w:noWrap/>
            <w:vAlign w:val="center"/>
            <w:hideMark/>
          </w:tcPr>
          <w:p w14:paraId="3826D03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44,000 </w:t>
            </w:r>
          </w:p>
        </w:tc>
      </w:tr>
      <w:tr w:rsidR="003E5BF5" w:rsidRPr="00E273FC" w14:paraId="1B319EED" w14:textId="77777777" w:rsidTr="00355316">
        <w:trPr>
          <w:trHeight w:val="312"/>
        </w:trPr>
        <w:tc>
          <w:tcPr>
            <w:tcW w:w="7938" w:type="dxa"/>
            <w:shd w:val="clear" w:color="auto" w:fill="auto"/>
            <w:noWrap/>
            <w:vAlign w:val="center"/>
            <w:hideMark/>
          </w:tcPr>
          <w:p w14:paraId="049EAE8E"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TOWONG SHIRE COUNCIL</w:t>
            </w:r>
          </w:p>
        </w:tc>
        <w:tc>
          <w:tcPr>
            <w:tcW w:w="1284" w:type="dxa"/>
            <w:shd w:val="clear" w:color="auto" w:fill="auto"/>
            <w:noWrap/>
            <w:vAlign w:val="center"/>
            <w:hideMark/>
          </w:tcPr>
          <w:p w14:paraId="569B344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29,876 </w:t>
            </w:r>
          </w:p>
        </w:tc>
      </w:tr>
      <w:tr w:rsidR="003E5BF5" w:rsidRPr="00E273FC" w14:paraId="0CC8F9A1" w14:textId="77777777" w:rsidTr="00355316">
        <w:trPr>
          <w:trHeight w:val="312"/>
        </w:trPr>
        <w:tc>
          <w:tcPr>
            <w:tcW w:w="7938" w:type="dxa"/>
            <w:shd w:val="clear" w:color="auto" w:fill="auto"/>
            <w:noWrap/>
            <w:vAlign w:val="center"/>
            <w:hideMark/>
          </w:tcPr>
          <w:p w14:paraId="59AAABBC"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WARRNAMBOOL CITY COUNCIL</w:t>
            </w:r>
          </w:p>
        </w:tc>
        <w:tc>
          <w:tcPr>
            <w:tcW w:w="1284" w:type="dxa"/>
            <w:shd w:val="clear" w:color="auto" w:fill="auto"/>
            <w:noWrap/>
            <w:vAlign w:val="center"/>
            <w:hideMark/>
          </w:tcPr>
          <w:p w14:paraId="038B29A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9,360 </w:t>
            </w:r>
          </w:p>
        </w:tc>
      </w:tr>
      <w:tr w:rsidR="003E5BF5" w:rsidRPr="00E273FC" w14:paraId="0C712F6A" w14:textId="77777777" w:rsidTr="00355316">
        <w:trPr>
          <w:trHeight w:val="312"/>
        </w:trPr>
        <w:tc>
          <w:tcPr>
            <w:tcW w:w="7938" w:type="dxa"/>
            <w:shd w:val="clear" w:color="auto" w:fill="auto"/>
            <w:noWrap/>
            <w:vAlign w:val="center"/>
            <w:hideMark/>
          </w:tcPr>
          <w:p w14:paraId="151D5DCC"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WELLINGTON SHIRE COUNCIL</w:t>
            </w:r>
          </w:p>
        </w:tc>
        <w:tc>
          <w:tcPr>
            <w:tcW w:w="1284" w:type="dxa"/>
            <w:shd w:val="clear" w:color="auto" w:fill="auto"/>
            <w:noWrap/>
            <w:vAlign w:val="center"/>
            <w:hideMark/>
          </w:tcPr>
          <w:p w14:paraId="22A4197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204,100 </w:t>
            </w:r>
          </w:p>
        </w:tc>
      </w:tr>
      <w:tr w:rsidR="003E5BF5" w:rsidRPr="00E273FC" w14:paraId="58FC8DBD" w14:textId="77777777" w:rsidTr="00355316">
        <w:trPr>
          <w:trHeight w:val="312"/>
        </w:trPr>
        <w:tc>
          <w:tcPr>
            <w:tcW w:w="7938" w:type="dxa"/>
            <w:shd w:val="clear" w:color="auto" w:fill="auto"/>
            <w:noWrap/>
            <w:vAlign w:val="center"/>
            <w:hideMark/>
          </w:tcPr>
          <w:p w14:paraId="6D34B8CA" w14:textId="77777777" w:rsidR="003E5BF5" w:rsidRPr="00460E42" w:rsidRDefault="003E5BF5" w:rsidP="00362005">
            <w:pPr>
              <w:pStyle w:val="TableTextLeft"/>
              <w:rPr>
                <w:rFonts w:ascii="Arial" w:hAnsi="Arial" w:cs="Arial"/>
                <w:b/>
                <w:bCs/>
                <w:sz w:val="24"/>
                <w:szCs w:val="24"/>
              </w:rPr>
            </w:pPr>
            <w:r w:rsidRPr="00460E42">
              <w:rPr>
                <w:rFonts w:ascii="Arial" w:hAnsi="Arial" w:cs="Arial"/>
                <w:b/>
                <w:bCs/>
                <w:sz w:val="24"/>
                <w:szCs w:val="24"/>
              </w:rPr>
              <w:t>TOTAL</w:t>
            </w:r>
          </w:p>
        </w:tc>
        <w:tc>
          <w:tcPr>
            <w:tcW w:w="1284" w:type="dxa"/>
            <w:shd w:val="clear" w:color="auto" w:fill="auto"/>
            <w:noWrap/>
            <w:vAlign w:val="center"/>
            <w:hideMark/>
          </w:tcPr>
          <w:p w14:paraId="1AA221E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2,262,549 </w:t>
            </w:r>
          </w:p>
        </w:tc>
      </w:tr>
      <w:tr w:rsidR="003E5BF5" w:rsidRPr="00E273FC" w14:paraId="2A12EBD7" w14:textId="77777777" w:rsidTr="00355316">
        <w:trPr>
          <w:trHeight w:val="312"/>
        </w:trPr>
        <w:tc>
          <w:tcPr>
            <w:tcW w:w="7938" w:type="dxa"/>
            <w:shd w:val="clear" w:color="auto" w:fill="auto"/>
            <w:noWrap/>
            <w:vAlign w:val="center"/>
            <w:hideMark/>
          </w:tcPr>
          <w:p w14:paraId="6BD6632D" w14:textId="77777777" w:rsidR="003E5BF5" w:rsidRPr="00362005" w:rsidRDefault="003E5BF5" w:rsidP="00362005">
            <w:pPr>
              <w:pStyle w:val="TableTextLeft"/>
              <w:rPr>
                <w:rFonts w:ascii="Arial" w:hAnsi="Arial" w:cs="Arial"/>
                <w:sz w:val="24"/>
                <w:szCs w:val="24"/>
              </w:rPr>
            </w:pPr>
          </w:p>
        </w:tc>
        <w:tc>
          <w:tcPr>
            <w:tcW w:w="1284" w:type="dxa"/>
            <w:shd w:val="clear" w:color="auto" w:fill="auto"/>
            <w:noWrap/>
            <w:vAlign w:val="center"/>
            <w:hideMark/>
          </w:tcPr>
          <w:p w14:paraId="1AA7952F" w14:textId="77777777" w:rsidR="003E5BF5" w:rsidRPr="00E273FC" w:rsidRDefault="003E5BF5" w:rsidP="00604703">
            <w:pPr>
              <w:pStyle w:val="TableTextGreen"/>
            </w:pPr>
            <w:r w:rsidRPr="00E273FC">
              <w:t> </w:t>
            </w:r>
          </w:p>
        </w:tc>
      </w:tr>
      <w:tr w:rsidR="003E5BF5" w:rsidRPr="00E273FC" w14:paraId="614C229B" w14:textId="77777777" w:rsidTr="00355316">
        <w:trPr>
          <w:trHeight w:val="312"/>
        </w:trPr>
        <w:tc>
          <w:tcPr>
            <w:tcW w:w="7938" w:type="dxa"/>
            <w:shd w:val="clear" w:color="auto" w:fill="auto"/>
            <w:noWrap/>
            <w:vAlign w:val="center"/>
            <w:hideMark/>
          </w:tcPr>
          <w:p w14:paraId="32EE60B0" w14:textId="77777777" w:rsidR="003E5BF5" w:rsidRPr="00362005" w:rsidRDefault="003E5BF5" w:rsidP="00362005">
            <w:pPr>
              <w:pStyle w:val="TableTextLeft"/>
              <w:rPr>
                <w:rFonts w:ascii="Arial" w:hAnsi="Arial" w:cs="Arial"/>
                <w:sz w:val="24"/>
                <w:szCs w:val="24"/>
              </w:rPr>
            </w:pPr>
            <w:r w:rsidRPr="00FA17C3">
              <w:rPr>
                <w:rFonts w:ascii="Arial" w:eastAsiaTheme="majorEastAsia" w:hAnsi="Arial" w:cs="Arial"/>
                <w:color w:val="0E787C"/>
                <w:spacing w:val="-10"/>
                <w:kern w:val="28"/>
                <w:sz w:val="24"/>
                <w:szCs w:val="24"/>
              </w:rPr>
              <w:t>COMMUNITY ASSISTANCE AND LEGAL ADVICE</w:t>
            </w:r>
          </w:p>
        </w:tc>
        <w:tc>
          <w:tcPr>
            <w:tcW w:w="1284" w:type="dxa"/>
            <w:shd w:val="clear" w:color="auto" w:fill="auto"/>
            <w:noWrap/>
            <w:vAlign w:val="center"/>
            <w:hideMark/>
          </w:tcPr>
          <w:p w14:paraId="7E0001A5" w14:textId="77777777" w:rsidR="003E5BF5" w:rsidRPr="00E273FC" w:rsidRDefault="003E5BF5" w:rsidP="00604703">
            <w:pPr>
              <w:pStyle w:val="TableTextGreen"/>
            </w:pPr>
            <w:r w:rsidRPr="00E273FC">
              <w:t> </w:t>
            </w:r>
          </w:p>
        </w:tc>
      </w:tr>
      <w:tr w:rsidR="003E5BF5" w:rsidRPr="00E273FC" w14:paraId="76D98658" w14:textId="77777777" w:rsidTr="00355316">
        <w:trPr>
          <w:trHeight w:val="312"/>
        </w:trPr>
        <w:tc>
          <w:tcPr>
            <w:tcW w:w="7938" w:type="dxa"/>
            <w:shd w:val="clear" w:color="auto" w:fill="auto"/>
            <w:noWrap/>
            <w:vAlign w:val="center"/>
            <w:hideMark/>
          </w:tcPr>
          <w:p w14:paraId="40D88454"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WEST JUSTICE</w:t>
            </w:r>
          </w:p>
        </w:tc>
        <w:tc>
          <w:tcPr>
            <w:tcW w:w="1284" w:type="dxa"/>
            <w:shd w:val="clear" w:color="auto" w:fill="auto"/>
            <w:noWrap/>
            <w:vAlign w:val="center"/>
            <w:hideMark/>
          </w:tcPr>
          <w:p w14:paraId="4D59533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43,750 </w:t>
            </w:r>
          </w:p>
        </w:tc>
      </w:tr>
      <w:tr w:rsidR="003E5BF5" w:rsidRPr="00E273FC" w14:paraId="10AF327E" w14:textId="77777777" w:rsidTr="00355316">
        <w:trPr>
          <w:trHeight w:val="312"/>
        </w:trPr>
        <w:tc>
          <w:tcPr>
            <w:tcW w:w="7938" w:type="dxa"/>
            <w:shd w:val="clear" w:color="auto" w:fill="auto"/>
            <w:noWrap/>
            <w:vAlign w:val="center"/>
            <w:hideMark/>
          </w:tcPr>
          <w:p w14:paraId="1203CE5D" w14:textId="77777777" w:rsidR="003E5BF5" w:rsidRPr="00460E42" w:rsidRDefault="003E5BF5" w:rsidP="00362005">
            <w:pPr>
              <w:pStyle w:val="TableTextLeft"/>
              <w:rPr>
                <w:rFonts w:ascii="Arial" w:hAnsi="Arial" w:cs="Arial"/>
                <w:b/>
                <w:bCs/>
                <w:sz w:val="24"/>
                <w:szCs w:val="24"/>
              </w:rPr>
            </w:pPr>
            <w:r w:rsidRPr="00460E42">
              <w:rPr>
                <w:rFonts w:ascii="Arial" w:hAnsi="Arial" w:cs="Arial"/>
                <w:b/>
                <w:bCs/>
                <w:sz w:val="24"/>
                <w:szCs w:val="24"/>
              </w:rPr>
              <w:t>TOTAL</w:t>
            </w:r>
          </w:p>
        </w:tc>
        <w:tc>
          <w:tcPr>
            <w:tcW w:w="1284" w:type="dxa"/>
            <w:shd w:val="clear" w:color="auto" w:fill="auto"/>
            <w:noWrap/>
            <w:vAlign w:val="center"/>
            <w:hideMark/>
          </w:tcPr>
          <w:p w14:paraId="37108AF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43,750 </w:t>
            </w:r>
          </w:p>
        </w:tc>
      </w:tr>
      <w:tr w:rsidR="003E5BF5" w:rsidRPr="00E273FC" w14:paraId="63B7CE7A" w14:textId="77777777" w:rsidTr="00355316">
        <w:trPr>
          <w:trHeight w:val="312"/>
        </w:trPr>
        <w:tc>
          <w:tcPr>
            <w:tcW w:w="7938" w:type="dxa"/>
            <w:shd w:val="clear" w:color="auto" w:fill="auto"/>
            <w:noWrap/>
            <w:vAlign w:val="center"/>
            <w:hideMark/>
          </w:tcPr>
          <w:p w14:paraId="2C30D7AD" w14:textId="77777777" w:rsidR="003E5BF5" w:rsidRPr="00362005" w:rsidRDefault="003E5BF5" w:rsidP="00362005">
            <w:pPr>
              <w:pStyle w:val="TableTextLeft"/>
              <w:rPr>
                <w:rFonts w:ascii="Arial" w:hAnsi="Arial" w:cs="Arial"/>
                <w:sz w:val="24"/>
                <w:szCs w:val="24"/>
              </w:rPr>
            </w:pPr>
          </w:p>
        </w:tc>
        <w:tc>
          <w:tcPr>
            <w:tcW w:w="1284" w:type="dxa"/>
            <w:shd w:val="clear" w:color="auto" w:fill="auto"/>
            <w:noWrap/>
            <w:vAlign w:val="center"/>
            <w:hideMark/>
          </w:tcPr>
          <w:p w14:paraId="68CEE1C2" w14:textId="77777777" w:rsidR="003E5BF5" w:rsidRPr="00E273FC" w:rsidRDefault="003E5BF5" w:rsidP="00604703">
            <w:pPr>
              <w:pStyle w:val="TableTextGreen"/>
            </w:pPr>
            <w:r w:rsidRPr="00E273FC">
              <w:t> </w:t>
            </w:r>
          </w:p>
        </w:tc>
      </w:tr>
      <w:tr w:rsidR="003E5BF5" w:rsidRPr="00E273FC" w14:paraId="02A936C2" w14:textId="77777777" w:rsidTr="00355316">
        <w:trPr>
          <w:trHeight w:val="312"/>
        </w:trPr>
        <w:tc>
          <w:tcPr>
            <w:tcW w:w="7938" w:type="dxa"/>
            <w:shd w:val="clear" w:color="auto" w:fill="auto"/>
            <w:noWrap/>
            <w:vAlign w:val="center"/>
            <w:hideMark/>
          </w:tcPr>
          <w:p w14:paraId="1D7919F4" w14:textId="77777777" w:rsidR="003E5BF5" w:rsidRPr="00362005" w:rsidRDefault="003E5BF5" w:rsidP="00362005">
            <w:pPr>
              <w:pStyle w:val="TableTextLeft"/>
              <w:rPr>
                <w:rFonts w:ascii="Arial" w:hAnsi="Arial" w:cs="Arial"/>
                <w:sz w:val="24"/>
                <w:szCs w:val="24"/>
              </w:rPr>
            </w:pPr>
            <w:r w:rsidRPr="00FA17C3">
              <w:rPr>
                <w:rFonts w:ascii="Arial" w:eastAsiaTheme="majorEastAsia" w:hAnsi="Arial" w:cs="Arial"/>
                <w:color w:val="0E787C"/>
                <w:spacing w:val="-10"/>
                <w:kern w:val="28"/>
                <w:sz w:val="24"/>
                <w:szCs w:val="24"/>
              </w:rPr>
              <w:lastRenderedPageBreak/>
              <w:t>FREIGHT RESEARCH</w:t>
            </w:r>
          </w:p>
        </w:tc>
        <w:tc>
          <w:tcPr>
            <w:tcW w:w="1284" w:type="dxa"/>
            <w:shd w:val="clear" w:color="auto" w:fill="auto"/>
            <w:noWrap/>
            <w:vAlign w:val="center"/>
            <w:hideMark/>
          </w:tcPr>
          <w:p w14:paraId="49E5743D" w14:textId="77777777" w:rsidR="003E5BF5" w:rsidRPr="00E273FC" w:rsidRDefault="003E5BF5" w:rsidP="00604703">
            <w:pPr>
              <w:pStyle w:val="TableTextGreen"/>
            </w:pPr>
            <w:r w:rsidRPr="00E273FC">
              <w:t> </w:t>
            </w:r>
          </w:p>
        </w:tc>
      </w:tr>
      <w:tr w:rsidR="003E5BF5" w:rsidRPr="00E273FC" w14:paraId="1D9DC4C6" w14:textId="77777777" w:rsidTr="00355316">
        <w:trPr>
          <w:trHeight w:val="312"/>
        </w:trPr>
        <w:tc>
          <w:tcPr>
            <w:tcW w:w="7938" w:type="dxa"/>
            <w:shd w:val="clear" w:color="auto" w:fill="auto"/>
            <w:noWrap/>
            <w:vAlign w:val="center"/>
            <w:hideMark/>
          </w:tcPr>
          <w:p w14:paraId="30A667DA" w14:textId="77777777" w:rsidR="003E5BF5" w:rsidRPr="00362005" w:rsidRDefault="003E5BF5" w:rsidP="00362005">
            <w:pPr>
              <w:pStyle w:val="TableTextLeft"/>
              <w:rPr>
                <w:rFonts w:ascii="Arial" w:hAnsi="Arial" w:cs="Arial"/>
                <w:sz w:val="24"/>
                <w:szCs w:val="24"/>
              </w:rPr>
            </w:pPr>
            <w:r w:rsidRPr="00362005">
              <w:rPr>
                <w:rFonts w:ascii="Arial" w:hAnsi="Arial" w:cs="Arial"/>
                <w:sz w:val="24"/>
                <w:szCs w:val="24"/>
              </w:rPr>
              <w:t>PORT OF MELBOURNE OPERATIONS PTY LTD</w:t>
            </w:r>
          </w:p>
        </w:tc>
        <w:tc>
          <w:tcPr>
            <w:tcW w:w="1284" w:type="dxa"/>
            <w:shd w:val="clear" w:color="auto" w:fill="auto"/>
            <w:noWrap/>
            <w:vAlign w:val="center"/>
            <w:hideMark/>
          </w:tcPr>
          <w:p w14:paraId="7AEAD29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300,000 </w:t>
            </w:r>
          </w:p>
        </w:tc>
      </w:tr>
      <w:tr w:rsidR="003E5BF5" w:rsidRPr="00E273FC" w14:paraId="25EF7348" w14:textId="77777777" w:rsidTr="00355316">
        <w:trPr>
          <w:trHeight w:val="312"/>
        </w:trPr>
        <w:tc>
          <w:tcPr>
            <w:tcW w:w="7938" w:type="dxa"/>
            <w:shd w:val="clear" w:color="auto" w:fill="auto"/>
            <w:noWrap/>
            <w:vAlign w:val="center"/>
            <w:hideMark/>
          </w:tcPr>
          <w:p w14:paraId="48929235" w14:textId="77777777" w:rsidR="003E5BF5" w:rsidRPr="00460E42" w:rsidRDefault="003E5BF5" w:rsidP="00362005">
            <w:pPr>
              <w:pStyle w:val="TableTextLeft"/>
              <w:rPr>
                <w:rFonts w:ascii="Arial" w:hAnsi="Arial" w:cs="Arial"/>
                <w:b/>
                <w:bCs/>
                <w:sz w:val="24"/>
                <w:szCs w:val="24"/>
              </w:rPr>
            </w:pPr>
            <w:r w:rsidRPr="00460E42">
              <w:rPr>
                <w:rFonts w:ascii="Arial" w:hAnsi="Arial" w:cs="Arial"/>
                <w:b/>
                <w:bCs/>
                <w:sz w:val="24"/>
                <w:szCs w:val="24"/>
              </w:rPr>
              <w:t>TOTAL</w:t>
            </w:r>
          </w:p>
        </w:tc>
        <w:tc>
          <w:tcPr>
            <w:tcW w:w="1284" w:type="dxa"/>
            <w:shd w:val="clear" w:color="auto" w:fill="auto"/>
            <w:noWrap/>
            <w:vAlign w:val="center"/>
            <w:hideMark/>
          </w:tcPr>
          <w:p w14:paraId="39FFD08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300,000 </w:t>
            </w:r>
          </w:p>
        </w:tc>
      </w:tr>
      <w:tr w:rsidR="00355316" w:rsidRPr="00E273FC" w14:paraId="3A55DA05" w14:textId="77777777" w:rsidTr="00355316">
        <w:trPr>
          <w:trHeight w:val="312"/>
        </w:trPr>
        <w:tc>
          <w:tcPr>
            <w:tcW w:w="7938" w:type="dxa"/>
            <w:shd w:val="clear" w:color="auto" w:fill="auto"/>
            <w:noWrap/>
            <w:vAlign w:val="center"/>
          </w:tcPr>
          <w:p w14:paraId="14A8CA96" w14:textId="77777777" w:rsidR="00355316" w:rsidRPr="00460E42" w:rsidRDefault="00355316" w:rsidP="00362005">
            <w:pPr>
              <w:pStyle w:val="TableTextLeft"/>
              <w:rPr>
                <w:rFonts w:ascii="Arial" w:hAnsi="Arial" w:cs="Arial"/>
                <w:b/>
                <w:bCs/>
                <w:sz w:val="24"/>
                <w:szCs w:val="24"/>
              </w:rPr>
            </w:pPr>
          </w:p>
        </w:tc>
        <w:tc>
          <w:tcPr>
            <w:tcW w:w="1284" w:type="dxa"/>
            <w:shd w:val="clear" w:color="auto" w:fill="auto"/>
            <w:noWrap/>
            <w:vAlign w:val="center"/>
          </w:tcPr>
          <w:p w14:paraId="2A708973" w14:textId="77777777" w:rsidR="00355316" w:rsidRPr="00E273FC" w:rsidRDefault="00355316" w:rsidP="00DE1921">
            <w:pPr>
              <w:pStyle w:val="TableTextRightBold"/>
              <w:rPr>
                <w:rFonts w:ascii="Arial" w:hAnsi="Arial" w:cs="Arial"/>
                <w:sz w:val="24"/>
                <w:szCs w:val="24"/>
              </w:rPr>
            </w:pPr>
          </w:p>
        </w:tc>
      </w:tr>
      <w:tr w:rsidR="003E5BF5" w:rsidRPr="00E273FC" w14:paraId="7471414E" w14:textId="77777777" w:rsidTr="00355316">
        <w:trPr>
          <w:trHeight w:val="312"/>
        </w:trPr>
        <w:tc>
          <w:tcPr>
            <w:tcW w:w="7938" w:type="dxa"/>
            <w:shd w:val="clear" w:color="auto" w:fill="auto"/>
            <w:noWrap/>
            <w:vAlign w:val="center"/>
            <w:hideMark/>
          </w:tcPr>
          <w:p w14:paraId="04F4952D" w14:textId="77777777" w:rsidR="003E5BF5" w:rsidRPr="001B0603" w:rsidRDefault="003E5BF5" w:rsidP="004F1528">
            <w:pPr>
              <w:pStyle w:val="TableTextLeft"/>
              <w:rPr>
                <w:rFonts w:ascii="Arial" w:eastAsiaTheme="majorEastAsia" w:hAnsi="Arial" w:cs="Arial"/>
                <w:color w:val="0E787C"/>
                <w:spacing w:val="-10"/>
                <w:kern w:val="28"/>
                <w:sz w:val="24"/>
                <w:szCs w:val="24"/>
              </w:rPr>
            </w:pPr>
            <w:r w:rsidRPr="001B0603">
              <w:rPr>
                <w:rFonts w:ascii="Arial" w:eastAsiaTheme="majorEastAsia" w:hAnsi="Arial" w:cs="Arial"/>
                <w:color w:val="0E787C"/>
                <w:spacing w:val="-10"/>
                <w:kern w:val="28"/>
                <w:sz w:val="24"/>
                <w:szCs w:val="24"/>
              </w:rPr>
              <w:t>LOCAL PORTS PROGRAM</w:t>
            </w:r>
          </w:p>
        </w:tc>
        <w:tc>
          <w:tcPr>
            <w:tcW w:w="1284" w:type="dxa"/>
            <w:shd w:val="clear" w:color="auto" w:fill="auto"/>
            <w:noWrap/>
            <w:vAlign w:val="center"/>
            <w:hideMark/>
          </w:tcPr>
          <w:p w14:paraId="360B8EC7" w14:textId="77777777" w:rsidR="003E5BF5" w:rsidRPr="00E273FC" w:rsidRDefault="003E5BF5" w:rsidP="00604703">
            <w:pPr>
              <w:pStyle w:val="TableTextGreen"/>
            </w:pPr>
            <w:r w:rsidRPr="00E273FC">
              <w:t> </w:t>
            </w:r>
          </w:p>
        </w:tc>
      </w:tr>
      <w:tr w:rsidR="003E5BF5" w:rsidRPr="00E273FC" w14:paraId="0DCF83E8" w14:textId="77777777" w:rsidTr="00355316">
        <w:trPr>
          <w:trHeight w:val="312"/>
        </w:trPr>
        <w:tc>
          <w:tcPr>
            <w:tcW w:w="7938" w:type="dxa"/>
            <w:shd w:val="clear" w:color="auto" w:fill="auto"/>
            <w:noWrap/>
            <w:vAlign w:val="center"/>
            <w:hideMark/>
          </w:tcPr>
          <w:p w14:paraId="37E34572"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BARWON COAST COMMITTEE OF MANAGEMENT INC</w:t>
            </w:r>
          </w:p>
        </w:tc>
        <w:tc>
          <w:tcPr>
            <w:tcW w:w="1284" w:type="dxa"/>
            <w:shd w:val="clear" w:color="auto" w:fill="auto"/>
            <w:noWrap/>
            <w:vAlign w:val="center"/>
            <w:hideMark/>
          </w:tcPr>
          <w:p w14:paraId="24EC06D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7,500 </w:t>
            </w:r>
          </w:p>
        </w:tc>
      </w:tr>
      <w:tr w:rsidR="003E5BF5" w:rsidRPr="00E273FC" w14:paraId="4104B33C" w14:textId="77777777" w:rsidTr="00355316">
        <w:trPr>
          <w:trHeight w:val="312"/>
        </w:trPr>
        <w:tc>
          <w:tcPr>
            <w:tcW w:w="7938" w:type="dxa"/>
            <w:shd w:val="clear" w:color="auto" w:fill="auto"/>
            <w:noWrap/>
            <w:vAlign w:val="center"/>
            <w:hideMark/>
          </w:tcPr>
          <w:p w14:paraId="6D042349"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COLAC OTWAY SHIRE</w:t>
            </w:r>
          </w:p>
        </w:tc>
        <w:tc>
          <w:tcPr>
            <w:tcW w:w="1284" w:type="dxa"/>
            <w:shd w:val="clear" w:color="auto" w:fill="auto"/>
            <w:noWrap/>
            <w:vAlign w:val="center"/>
            <w:hideMark/>
          </w:tcPr>
          <w:p w14:paraId="52CA96B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80,000 </w:t>
            </w:r>
          </w:p>
        </w:tc>
      </w:tr>
      <w:tr w:rsidR="003E5BF5" w:rsidRPr="00E273FC" w14:paraId="0C43B30D" w14:textId="77777777" w:rsidTr="00355316">
        <w:trPr>
          <w:trHeight w:val="312"/>
        </w:trPr>
        <w:tc>
          <w:tcPr>
            <w:tcW w:w="7938" w:type="dxa"/>
            <w:shd w:val="clear" w:color="auto" w:fill="auto"/>
            <w:noWrap/>
            <w:vAlign w:val="center"/>
            <w:hideMark/>
          </w:tcPr>
          <w:p w14:paraId="6C5CECF2"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GIPPSLAND PORTS COMMITTEE OF MANAGEMENT INC</w:t>
            </w:r>
          </w:p>
        </w:tc>
        <w:tc>
          <w:tcPr>
            <w:tcW w:w="1284" w:type="dxa"/>
            <w:shd w:val="clear" w:color="auto" w:fill="auto"/>
            <w:noWrap/>
            <w:vAlign w:val="center"/>
            <w:hideMark/>
          </w:tcPr>
          <w:p w14:paraId="43FAEC2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481,131 </w:t>
            </w:r>
          </w:p>
        </w:tc>
      </w:tr>
      <w:tr w:rsidR="003E5BF5" w:rsidRPr="00E273FC" w14:paraId="2038013E" w14:textId="77777777" w:rsidTr="00355316">
        <w:trPr>
          <w:trHeight w:val="312"/>
        </w:trPr>
        <w:tc>
          <w:tcPr>
            <w:tcW w:w="7938" w:type="dxa"/>
            <w:shd w:val="clear" w:color="auto" w:fill="auto"/>
            <w:noWrap/>
            <w:vAlign w:val="center"/>
            <w:hideMark/>
          </w:tcPr>
          <w:p w14:paraId="1C38A363"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GREAT OCEAN ROAD COAST COMMITTEE INC</w:t>
            </w:r>
          </w:p>
        </w:tc>
        <w:tc>
          <w:tcPr>
            <w:tcW w:w="1284" w:type="dxa"/>
            <w:shd w:val="clear" w:color="auto" w:fill="auto"/>
            <w:noWrap/>
            <w:vAlign w:val="center"/>
            <w:hideMark/>
          </w:tcPr>
          <w:p w14:paraId="43E0C02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10,000 </w:t>
            </w:r>
          </w:p>
        </w:tc>
      </w:tr>
      <w:tr w:rsidR="003E5BF5" w:rsidRPr="00E273FC" w14:paraId="3C5B847A" w14:textId="77777777" w:rsidTr="00355316">
        <w:trPr>
          <w:trHeight w:val="312"/>
        </w:trPr>
        <w:tc>
          <w:tcPr>
            <w:tcW w:w="7938" w:type="dxa"/>
            <w:shd w:val="clear" w:color="auto" w:fill="auto"/>
            <w:noWrap/>
            <w:vAlign w:val="center"/>
            <w:hideMark/>
          </w:tcPr>
          <w:p w14:paraId="1F946B09"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PARKS VICTORIA</w:t>
            </w:r>
          </w:p>
        </w:tc>
        <w:tc>
          <w:tcPr>
            <w:tcW w:w="1284" w:type="dxa"/>
            <w:shd w:val="clear" w:color="auto" w:fill="auto"/>
            <w:noWrap/>
            <w:vAlign w:val="center"/>
            <w:hideMark/>
          </w:tcPr>
          <w:p w14:paraId="1BDB050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515,000 </w:t>
            </w:r>
          </w:p>
        </w:tc>
      </w:tr>
      <w:tr w:rsidR="003E5BF5" w:rsidRPr="00E273FC" w14:paraId="6C0421FB" w14:textId="77777777" w:rsidTr="00355316">
        <w:trPr>
          <w:trHeight w:val="312"/>
        </w:trPr>
        <w:tc>
          <w:tcPr>
            <w:tcW w:w="7938" w:type="dxa"/>
            <w:shd w:val="clear" w:color="auto" w:fill="auto"/>
            <w:noWrap/>
            <w:vAlign w:val="center"/>
            <w:hideMark/>
          </w:tcPr>
          <w:p w14:paraId="1DF60DFF"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WARRNAMBOOL CITY COUNCIL</w:t>
            </w:r>
          </w:p>
        </w:tc>
        <w:tc>
          <w:tcPr>
            <w:tcW w:w="1284" w:type="dxa"/>
            <w:shd w:val="clear" w:color="auto" w:fill="auto"/>
            <w:noWrap/>
            <w:vAlign w:val="center"/>
            <w:hideMark/>
          </w:tcPr>
          <w:p w14:paraId="0383A2A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16,340 </w:t>
            </w:r>
          </w:p>
        </w:tc>
      </w:tr>
      <w:tr w:rsidR="003E5BF5" w:rsidRPr="00E273FC" w14:paraId="77CAF81A" w14:textId="77777777" w:rsidTr="00355316">
        <w:trPr>
          <w:trHeight w:val="312"/>
        </w:trPr>
        <w:tc>
          <w:tcPr>
            <w:tcW w:w="7938" w:type="dxa"/>
            <w:shd w:val="clear" w:color="auto" w:fill="auto"/>
            <w:noWrap/>
            <w:vAlign w:val="center"/>
            <w:hideMark/>
          </w:tcPr>
          <w:p w14:paraId="75988C4C" w14:textId="77777777" w:rsidR="003E5BF5" w:rsidRPr="009D1472" w:rsidRDefault="003E5BF5" w:rsidP="004F1528">
            <w:pPr>
              <w:pStyle w:val="TableTextLeft"/>
              <w:rPr>
                <w:rFonts w:ascii="Arial" w:hAnsi="Arial" w:cs="Arial"/>
                <w:b/>
                <w:bCs/>
                <w:sz w:val="24"/>
                <w:szCs w:val="24"/>
              </w:rPr>
            </w:pPr>
            <w:r w:rsidRPr="009D1472">
              <w:rPr>
                <w:rFonts w:ascii="Arial" w:hAnsi="Arial" w:cs="Arial"/>
                <w:b/>
                <w:bCs/>
                <w:sz w:val="24"/>
                <w:szCs w:val="24"/>
              </w:rPr>
              <w:t>TOTAL</w:t>
            </w:r>
          </w:p>
        </w:tc>
        <w:tc>
          <w:tcPr>
            <w:tcW w:w="1284" w:type="dxa"/>
            <w:shd w:val="clear" w:color="auto" w:fill="auto"/>
            <w:noWrap/>
            <w:vAlign w:val="center"/>
            <w:hideMark/>
          </w:tcPr>
          <w:p w14:paraId="784B320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1,109,971 </w:t>
            </w:r>
          </w:p>
        </w:tc>
      </w:tr>
      <w:tr w:rsidR="003E5BF5" w:rsidRPr="00E273FC" w14:paraId="2C6AE595" w14:textId="77777777" w:rsidTr="00355316">
        <w:trPr>
          <w:trHeight w:val="312"/>
        </w:trPr>
        <w:tc>
          <w:tcPr>
            <w:tcW w:w="7938" w:type="dxa"/>
            <w:shd w:val="clear" w:color="auto" w:fill="auto"/>
            <w:noWrap/>
            <w:vAlign w:val="center"/>
            <w:hideMark/>
          </w:tcPr>
          <w:p w14:paraId="409CFB40" w14:textId="77777777" w:rsidR="003E5BF5" w:rsidRPr="004F1528" w:rsidRDefault="003E5BF5" w:rsidP="004F1528">
            <w:pPr>
              <w:pStyle w:val="TableTextLeft"/>
              <w:rPr>
                <w:rFonts w:ascii="Arial" w:hAnsi="Arial" w:cs="Arial"/>
                <w:sz w:val="24"/>
                <w:szCs w:val="24"/>
              </w:rPr>
            </w:pPr>
          </w:p>
        </w:tc>
        <w:tc>
          <w:tcPr>
            <w:tcW w:w="1284" w:type="dxa"/>
            <w:shd w:val="clear" w:color="auto" w:fill="auto"/>
            <w:noWrap/>
            <w:vAlign w:val="center"/>
            <w:hideMark/>
          </w:tcPr>
          <w:p w14:paraId="615F9F30" w14:textId="77777777" w:rsidR="003E5BF5" w:rsidRPr="00E273FC" w:rsidRDefault="003E5BF5" w:rsidP="00604703">
            <w:pPr>
              <w:pStyle w:val="TableTextGreen"/>
            </w:pPr>
          </w:p>
        </w:tc>
      </w:tr>
      <w:tr w:rsidR="003E5BF5" w:rsidRPr="00E273FC" w14:paraId="7FA52A0B" w14:textId="77777777" w:rsidTr="00355316">
        <w:trPr>
          <w:trHeight w:val="312"/>
        </w:trPr>
        <w:tc>
          <w:tcPr>
            <w:tcW w:w="7938" w:type="dxa"/>
            <w:shd w:val="clear" w:color="auto" w:fill="auto"/>
            <w:noWrap/>
            <w:vAlign w:val="center"/>
            <w:hideMark/>
          </w:tcPr>
          <w:p w14:paraId="1BF6433F" w14:textId="77777777" w:rsidR="003E5BF5" w:rsidRPr="004F1528" w:rsidRDefault="003E5BF5" w:rsidP="004F1528">
            <w:pPr>
              <w:pStyle w:val="TableTextLeft"/>
              <w:rPr>
                <w:rFonts w:ascii="Arial" w:hAnsi="Arial" w:cs="Arial"/>
                <w:sz w:val="24"/>
                <w:szCs w:val="24"/>
              </w:rPr>
            </w:pPr>
            <w:r w:rsidRPr="001B0603">
              <w:rPr>
                <w:rFonts w:ascii="Arial" w:eastAsiaTheme="majorEastAsia" w:hAnsi="Arial" w:cs="Arial"/>
                <w:color w:val="0E787C"/>
                <w:spacing w:val="-10"/>
                <w:kern w:val="28"/>
                <w:sz w:val="24"/>
                <w:szCs w:val="24"/>
              </w:rPr>
              <w:t>PIERS</w:t>
            </w:r>
          </w:p>
        </w:tc>
        <w:tc>
          <w:tcPr>
            <w:tcW w:w="1284" w:type="dxa"/>
            <w:shd w:val="clear" w:color="auto" w:fill="auto"/>
            <w:noWrap/>
            <w:vAlign w:val="center"/>
            <w:hideMark/>
          </w:tcPr>
          <w:p w14:paraId="517E919E" w14:textId="77777777" w:rsidR="003E5BF5" w:rsidRPr="00E273FC" w:rsidRDefault="003E5BF5" w:rsidP="00604703">
            <w:pPr>
              <w:pStyle w:val="TableTextGreen"/>
            </w:pPr>
            <w:r w:rsidRPr="00E273FC">
              <w:t> </w:t>
            </w:r>
          </w:p>
        </w:tc>
      </w:tr>
      <w:tr w:rsidR="003E5BF5" w:rsidRPr="00E273FC" w14:paraId="0EF90D09" w14:textId="77777777" w:rsidTr="00355316">
        <w:trPr>
          <w:trHeight w:val="312"/>
        </w:trPr>
        <w:tc>
          <w:tcPr>
            <w:tcW w:w="7938" w:type="dxa"/>
            <w:shd w:val="clear" w:color="auto" w:fill="auto"/>
            <w:noWrap/>
            <w:vAlign w:val="center"/>
            <w:hideMark/>
          </w:tcPr>
          <w:p w14:paraId="7E4AEB6B"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VICTORIAN PORTS CORPORATION (MELBOURNE)</w:t>
            </w:r>
          </w:p>
        </w:tc>
        <w:tc>
          <w:tcPr>
            <w:tcW w:w="1284" w:type="dxa"/>
            <w:shd w:val="clear" w:color="auto" w:fill="auto"/>
            <w:noWrap/>
            <w:vAlign w:val="center"/>
            <w:hideMark/>
          </w:tcPr>
          <w:p w14:paraId="1B3658C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305,000 </w:t>
            </w:r>
          </w:p>
        </w:tc>
      </w:tr>
      <w:tr w:rsidR="003E5BF5" w:rsidRPr="00E273FC" w14:paraId="4A9F9C23" w14:textId="77777777" w:rsidTr="00355316">
        <w:trPr>
          <w:trHeight w:val="312"/>
        </w:trPr>
        <w:tc>
          <w:tcPr>
            <w:tcW w:w="7938" w:type="dxa"/>
            <w:shd w:val="clear" w:color="auto" w:fill="auto"/>
            <w:noWrap/>
            <w:vAlign w:val="center"/>
            <w:hideMark/>
          </w:tcPr>
          <w:p w14:paraId="0375C8F9" w14:textId="77777777" w:rsidR="003E5BF5" w:rsidRPr="009D1472" w:rsidRDefault="003E5BF5" w:rsidP="004F1528">
            <w:pPr>
              <w:pStyle w:val="TableTextLeft"/>
              <w:rPr>
                <w:rFonts w:ascii="Arial" w:hAnsi="Arial" w:cs="Arial"/>
                <w:b/>
                <w:bCs/>
                <w:sz w:val="24"/>
                <w:szCs w:val="24"/>
              </w:rPr>
            </w:pPr>
            <w:r w:rsidRPr="009D1472">
              <w:rPr>
                <w:rFonts w:ascii="Arial" w:hAnsi="Arial" w:cs="Arial"/>
                <w:b/>
                <w:bCs/>
                <w:sz w:val="24"/>
                <w:szCs w:val="24"/>
              </w:rPr>
              <w:t>TOTAL</w:t>
            </w:r>
          </w:p>
        </w:tc>
        <w:tc>
          <w:tcPr>
            <w:tcW w:w="1284" w:type="dxa"/>
            <w:shd w:val="clear" w:color="auto" w:fill="auto"/>
            <w:noWrap/>
            <w:vAlign w:val="center"/>
            <w:hideMark/>
          </w:tcPr>
          <w:p w14:paraId="58AB9C7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305,000 </w:t>
            </w:r>
          </w:p>
        </w:tc>
      </w:tr>
      <w:tr w:rsidR="003E5BF5" w:rsidRPr="00E273FC" w14:paraId="1E9B87CF" w14:textId="77777777" w:rsidTr="00355316">
        <w:trPr>
          <w:trHeight w:val="312"/>
        </w:trPr>
        <w:tc>
          <w:tcPr>
            <w:tcW w:w="7938" w:type="dxa"/>
            <w:shd w:val="clear" w:color="auto" w:fill="auto"/>
            <w:noWrap/>
            <w:vAlign w:val="center"/>
            <w:hideMark/>
          </w:tcPr>
          <w:p w14:paraId="6835C90C" w14:textId="77777777" w:rsidR="003E5BF5" w:rsidRPr="004F1528" w:rsidRDefault="003E5BF5" w:rsidP="004F1528">
            <w:pPr>
              <w:pStyle w:val="TableTextLeft"/>
              <w:rPr>
                <w:rFonts w:ascii="Arial" w:hAnsi="Arial" w:cs="Arial"/>
                <w:sz w:val="24"/>
                <w:szCs w:val="24"/>
              </w:rPr>
            </w:pPr>
          </w:p>
        </w:tc>
        <w:tc>
          <w:tcPr>
            <w:tcW w:w="1284" w:type="dxa"/>
            <w:shd w:val="clear" w:color="auto" w:fill="auto"/>
            <w:noWrap/>
            <w:vAlign w:val="center"/>
            <w:hideMark/>
          </w:tcPr>
          <w:p w14:paraId="726EC57F" w14:textId="77777777" w:rsidR="003E5BF5" w:rsidRPr="00E273FC" w:rsidRDefault="003E5BF5" w:rsidP="00604703">
            <w:pPr>
              <w:pStyle w:val="TableTextGreen"/>
            </w:pPr>
          </w:p>
        </w:tc>
      </w:tr>
      <w:tr w:rsidR="003E5BF5" w:rsidRPr="00E273FC" w14:paraId="603D4CBE" w14:textId="77777777" w:rsidTr="00355316">
        <w:trPr>
          <w:trHeight w:val="312"/>
        </w:trPr>
        <w:tc>
          <w:tcPr>
            <w:tcW w:w="7938" w:type="dxa"/>
            <w:shd w:val="clear" w:color="auto" w:fill="auto"/>
            <w:noWrap/>
            <w:vAlign w:val="center"/>
            <w:hideMark/>
          </w:tcPr>
          <w:p w14:paraId="4FB5CE9D" w14:textId="77777777" w:rsidR="003E5BF5" w:rsidRPr="001B0603" w:rsidRDefault="003E5BF5" w:rsidP="004F1528">
            <w:pPr>
              <w:pStyle w:val="TableTextLeft"/>
              <w:rPr>
                <w:rFonts w:ascii="Arial" w:eastAsiaTheme="majorEastAsia" w:hAnsi="Arial" w:cs="Arial"/>
                <w:color w:val="0E787C"/>
                <w:spacing w:val="-10"/>
                <w:kern w:val="28"/>
                <w:sz w:val="24"/>
                <w:szCs w:val="24"/>
              </w:rPr>
            </w:pPr>
            <w:r w:rsidRPr="001B0603">
              <w:rPr>
                <w:rFonts w:ascii="Arial" w:eastAsiaTheme="majorEastAsia" w:hAnsi="Arial" w:cs="Arial"/>
                <w:color w:val="0E787C"/>
                <w:spacing w:val="-10"/>
                <w:kern w:val="28"/>
                <w:sz w:val="24"/>
                <w:szCs w:val="24"/>
              </w:rPr>
              <w:t>PORT PHILLIP BAY ENVIRONS GRANTS</w:t>
            </w:r>
          </w:p>
        </w:tc>
        <w:tc>
          <w:tcPr>
            <w:tcW w:w="1284" w:type="dxa"/>
            <w:shd w:val="clear" w:color="auto" w:fill="auto"/>
            <w:noWrap/>
            <w:vAlign w:val="center"/>
            <w:hideMark/>
          </w:tcPr>
          <w:p w14:paraId="0CC442A4" w14:textId="77777777" w:rsidR="003E5BF5" w:rsidRPr="00E273FC" w:rsidRDefault="003E5BF5" w:rsidP="00604703">
            <w:pPr>
              <w:pStyle w:val="TableTextGreen"/>
            </w:pPr>
            <w:r w:rsidRPr="00E273FC">
              <w:t> </w:t>
            </w:r>
          </w:p>
        </w:tc>
      </w:tr>
      <w:tr w:rsidR="003E5BF5" w:rsidRPr="00E273FC" w14:paraId="5B3D5081" w14:textId="77777777" w:rsidTr="00355316">
        <w:trPr>
          <w:trHeight w:val="312"/>
        </w:trPr>
        <w:tc>
          <w:tcPr>
            <w:tcW w:w="7938" w:type="dxa"/>
            <w:shd w:val="clear" w:color="auto" w:fill="auto"/>
            <w:noWrap/>
            <w:vAlign w:val="center"/>
            <w:hideMark/>
          </w:tcPr>
          <w:p w14:paraId="2AB5F396"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CITY OF MARIBYRNONG</w:t>
            </w:r>
          </w:p>
        </w:tc>
        <w:tc>
          <w:tcPr>
            <w:tcW w:w="1284" w:type="dxa"/>
            <w:shd w:val="clear" w:color="auto" w:fill="auto"/>
            <w:noWrap/>
            <w:vAlign w:val="center"/>
            <w:hideMark/>
          </w:tcPr>
          <w:p w14:paraId="214E7DD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900,000 </w:t>
            </w:r>
          </w:p>
        </w:tc>
      </w:tr>
      <w:tr w:rsidR="003E5BF5" w:rsidRPr="00E273FC" w14:paraId="4B94DAB5" w14:textId="77777777" w:rsidTr="00355316">
        <w:trPr>
          <w:trHeight w:val="312"/>
        </w:trPr>
        <w:tc>
          <w:tcPr>
            <w:tcW w:w="7938" w:type="dxa"/>
            <w:shd w:val="clear" w:color="auto" w:fill="auto"/>
            <w:noWrap/>
            <w:vAlign w:val="center"/>
            <w:hideMark/>
          </w:tcPr>
          <w:p w14:paraId="5A464AB1"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PARKS VICTORIA</w:t>
            </w:r>
          </w:p>
        </w:tc>
        <w:tc>
          <w:tcPr>
            <w:tcW w:w="1284" w:type="dxa"/>
            <w:shd w:val="clear" w:color="auto" w:fill="auto"/>
            <w:noWrap/>
            <w:vAlign w:val="center"/>
            <w:hideMark/>
          </w:tcPr>
          <w:p w14:paraId="55AC3C5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100,000 </w:t>
            </w:r>
          </w:p>
        </w:tc>
      </w:tr>
      <w:tr w:rsidR="003E5BF5" w:rsidRPr="00E273FC" w14:paraId="18B202AE" w14:textId="77777777" w:rsidTr="00355316">
        <w:trPr>
          <w:trHeight w:val="312"/>
        </w:trPr>
        <w:tc>
          <w:tcPr>
            <w:tcW w:w="7938" w:type="dxa"/>
            <w:shd w:val="clear" w:color="auto" w:fill="auto"/>
            <w:noWrap/>
            <w:vAlign w:val="center"/>
            <w:hideMark/>
          </w:tcPr>
          <w:p w14:paraId="2897358F"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T</w:t>
            </w:r>
            <w:r w:rsidRPr="009D1472">
              <w:rPr>
                <w:rFonts w:ascii="Arial" w:hAnsi="Arial" w:cs="Arial"/>
                <w:b/>
                <w:bCs/>
                <w:sz w:val="24"/>
                <w:szCs w:val="24"/>
              </w:rPr>
              <w:t>OTAL</w:t>
            </w:r>
          </w:p>
        </w:tc>
        <w:tc>
          <w:tcPr>
            <w:tcW w:w="1284" w:type="dxa"/>
            <w:shd w:val="clear" w:color="auto" w:fill="auto"/>
            <w:noWrap/>
            <w:vAlign w:val="center"/>
            <w:hideMark/>
          </w:tcPr>
          <w:p w14:paraId="4BEE86B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1,000,000 </w:t>
            </w:r>
          </w:p>
        </w:tc>
      </w:tr>
      <w:tr w:rsidR="003E5BF5" w:rsidRPr="00E273FC" w14:paraId="4BC3B348" w14:textId="77777777" w:rsidTr="00355316">
        <w:trPr>
          <w:trHeight w:val="312"/>
        </w:trPr>
        <w:tc>
          <w:tcPr>
            <w:tcW w:w="7938" w:type="dxa"/>
            <w:shd w:val="clear" w:color="auto" w:fill="auto"/>
            <w:noWrap/>
            <w:vAlign w:val="center"/>
            <w:hideMark/>
          </w:tcPr>
          <w:p w14:paraId="001D808B" w14:textId="77777777" w:rsidR="003E5BF5" w:rsidRPr="004F1528" w:rsidRDefault="003E5BF5" w:rsidP="004F1528">
            <w:pPr>
              <w:pStyle w:val="TableTextLeft"/>
              <w:rPr>
                <w:rFonts w:ascii="Arial" w:hAnsi="Arial" w:cs="Arial"/>
                <w:sz w:val="24"/>
                <w:szCs w:val="24"/>
              </w:rPr>
            </w:pPr>
          </w:p>
        </w:tc>
        <w:tc>
          <w:tcPr>
            <w:tcW w:w="1284" w:type="dxa"/>
            <w:shd w:val="clear" w:color="auto" w:fill="auto"/>
            <w:noWrap/>
            <w:vAlign w:val="center"/>
            <w:hideMark/>
          </w:tcPr>
          <w:p w14:paraId="06D8F1DF" w14:textId="77777777" w:rsidR="003E5BF5" w:rsidRPr="00E273FC" w:rsidRDefault="003E5BF5" w:rsidP="00604703">
            <w:pPr>
              <w:pStyle w:val="TableTextGreen"/>
            </w:pPr>
            <w:r w:rsidRPr="00E273FC">
              <w:t> </w:t>
            </w:r>
          </w:p>
        </w:tc>
      </w:tr>
      <w:tr w:rsidR="003E5BF5" w:rsidRPr="00E273FC" w14:paraId="61065BF2" w14:textId="77777777" w:rsidTr="00355316">
        <w:trPr>
          <w:trHeight w:val="312"/>
        </w:trPr>
        <w:tc>
          <w:tcPr>
            <w:tcW w:w="7938" w:type="dxa"/>
            <w:shd w:val="clear" w:color="auto" w:fill="auto"/>
            <w:noWrap/>
            <w:vAlign w:val="center"/>
            <w:hideMark/>
          </w:tcPr>
          <w:p w14:paraId="2DC1AD03" w14:textId="77777777" w:rsidR="003E5BF5" w:rsidRPr="004F1528" w:rsidRDefault="003E5BF5" w:rsidP="004F1528">
            <w:pPr>
              <w:pStyle w:val="TableTextLeft"/>
              <w:rPr>
                <w:rFonts w:ascii="Arial" w:hAnsi="Arial" w:cs="Arial"/>
                <w:sz w:val="24"/>
                <w:szCs w:val="24"/>
              </w:rPr>
            </w:pPr>
            <w:r w:rsidRPr="001B0603">
              <w:rPr>
                <w:rFonts w:ascii="Arial" w:eastAsiaTheme="majorEastAsia" w:hAnsi="Arial" w:cs="Arial"/>
                <w:color w:val="0E787C"/>
                <w:spacing w:val="-10"/>
                <w:kern w:val="28"/>
                <w:sz w:val="24"/>
                <w:szCs w:val="24"/>
              </w:rPr>
              <w:t>RAIL INFRASTRUCTURE</w:t>
            </w:r>
          </w:p>
        </w:tc>
        <w:tc>
          <w:tcPr>
            <w:tcW w:w="1284" w:type="dxa"/>
            <w:shd w:val="clear" w:color="auto" w:fill="auto"/>
            <w:noWrap/>
            <w:vAlign w:val="center"/>
            <w:hideMark/>
          </w:tcPr>
          <w:p w14:paraId="7A170ACD" w14:textId="77777777" w:rsidR="003E5BF5" w:rsidRPr="00E273FC" w:rsidRDefault="003E5BF5" w:rsidP="00604703">
            <w:pPr>
              <w:pStyle w:val="TableTextGreen"/>
            </w:pPr>
            <w:r w:rsidRPr="00E273FC">
              <w:t> </w:t>
            </w:r>
          </w:p>
        </w:tc>
      </w:tr>
      <w:tr w:rsidR="003E5BF5" w:rsidRPr="00E273FC" w14:paraId="42CC7C6D" w14:textId="77777777" w:rsidTr="00355316">
        <w:trPr>
          <w:trHeight w:val="312"/>
        </w:trPr>
        <w:tc>
          <w:tcPr>
            <w:tcW w:w="7938" w:type="dxa"/>
            <w:shd w:val="clear" w:color="auto" w:fill="auto"/>
            <w:noWrap/>
            <w:vAlign w:val="center"/>
            <w:hideMark/>
          </w:tcPr>
          <w:p w14:paraId="4C024E52"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V/LINE CORPORATION</w:t>
            </w:r>
          </w:p>
        </w:tc>
        <w:tc>
          <w:tcPr>
            <w:tcW w:w="1284" w:type="dxa"/>
            <w:shd w:val="clear" w:color="auto" w:fill="auto"/>
            <w:noWrap/>
            <w:vAlign w:val="center"/>
            <w:hideMark/>
          </w:tcPr>
          <w:p w14:paraId="0F837FD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818,182 </w:t>
            </w:r>
          </w:p>
        </w:tc>
      </w:tr>
      <w:tr w:rsidR="003E5BF5" w:rsidRPr="00E273FC" w14:paraId="736035C3" w14:textId="77777777" w:rsidTr="00355316">
        <w:trPr>
          <w:trHeight w:val="312"/>
        </w:trPr>
        <w:tc>
          <w:tcPr>
            <w:tcW w:w="7938" w:type="dxa"/>
            <w:shd w:val="clear" w:color="auto" w:fill="auto"/>
            <w:noWrap/>
            <w:vAlign w:val="center"/>
            <w:hideMark/>
          </w:tcPr>
          <w:p w14:paraId="39CE3E36" w14:textId="77777777" w:rsidR="003E5BF5" w:rsidRPr="009D1472" w:rsidRDefault="003E5BF5" w:rsidP="004F1528">
            <w:pPr>
              <w:pStyle w:val="TableTextLeft"/>
              <w:rPr>
                <w:rFonts w:ascii="Arial" w:hAnsi="Arial" w:cs="Arial"/>
                <w:b/>
                <w:bCs/>
                <w:sz w:val="24"/>
                <w:szCs w:val="24"/>
              </w:rPr>
            </w:pPr>
            <w:r w:rsidRPr="009D1472">
              <w:rPr>
                <w:rFonts w:ascii="Arial" w:hAnsi="Arial" w:cs="Arial"/>
                <w:b/>
                <w:bCs/>
                <w:sz w:val="24"/>
                <w:szCs w:val="24"/>
              </w:rPr>
              <w:t>TOTAL</w:t>
            </w:r>
          </w:p>
        </w:tc>
        <w:tc>
          <w:tcPr>
            <w:tcW w:w="1284" w:type="dxa"/>
            <w:shd w:val="clear" w:color="auto" w:fill="auto"/>
            <w:noWrap/>
            <w:vAlign w:val="center"/>
            <w:hideMark/>
          </w:tcPr>
          <w:p w14:paraId="3835649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818,182 </w:t>
            </w:r>
          </w:p>
        </w:tc>
      </w:tr>
      <w:tr w:rsidR="003E5BF5" w:rsidRPr="00E273FC" w14:paraId="21D9C71A" w14:textId="77777777" w:rsidTr="00355316">
        <w:trPr>
          <w:trHeight w:val="312"/>
        </w:trPr>
        <w:tc>
          <w:tcPr>
            <w:tcW w:w="7938" w:type="dxa"/>
            <w:shd w:val="clear" w:color="auto" w:fill="auto"/>
            <w:noWrap/>
            <w:vAlign w:val="center"/>
            <w:hideMark/>
          </w:tcPr>
          <w:p w14:paraId="4CFB7C4A"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 </w:t>
            </w:r>
          </w:p>
        </w:tc>
        <w:tc>
          <w:tcPr>
            <w:tcW w:w="1284" w:type="dxa"/>
            <w:shd w:val="clear" w:color="auto" w:fill="auto"/>
            <w:noWrap/>
            <w:vAlign w:val="center"/>
            <w:hideMark/>
          </w:tcPr>
          <w:p w14:paraId="66DC05DC" w14:textId="77777777" w:rsidR="003E5BF5" w:rsidRPr="00E273FC" w:rsidRDefault="003E5BF5" w:rsidP="00604703">
            <w:pPr>
              <w:pStyle w:val="TableTextGreen"/>
            </w:pPr>
            <w:r w:rsidRPr="00E273FC">
              <w:t> </w:t>
            </w:r>
          </w:p>
        </w:tc>
      </w:tr>
      <w:tr w:rsidR="003E5BF5" w:rsidRPr="00E273FC" w14:paraId="10E2B3C1" w14:textId="77777777" w:rsidTr="00355316">
        <w:trPr>
          <w:trHeight w:val="312"/>
        </w:trPr>
        <w:tc>
          <w:tcPr>
            <w:tcW w:w="7938" w:type="dxa"/>
            <w:shd w:val="clear" w:color="auto" w:fill="auto"/>
            <w:noWrap/>
            <w:vAlign w:val="center"/>
            <w:hideMark/>
          </w:tcPr>
          <w:p w14:paraId="3AB805CA" w14:textId="77777777" w:rsidR="003E5BF5" w:rsidRPr="004F1528" w:rsidRDefault="003E5BF5" w:rsidP="004F1528">
            <w:pPr>
              <w:pStyle w:val="TableTextLeft"/>
              <w:rPr>
                <w:rFonts w:ascii="Arial" w:hAnsi="Arial" w:cs="Arial"/>
                <w:sz w:val="24"/>
                <w:szCs w:val="24"/>
              </w:rPr>
            </w:pPr>
            <w:r w:rsidRPr="001B0603">
              <w:rPr>
                <w:rFonts w:ascii="Arial" w:eastAsiaTheme="majorEastAsia" w:hAnsi="Arial" w:cs="Arial"/>
                <w:color w:val="0E787C"/>
                <w:spacing w:val="-10"/>
                <w:kern w:val="28"/>
                <w:sz w:val="24"/>
                <w:szCs w:val="24"/>
              </w:rPr>
              <w:t>ROAD SAFETY PARTNERSHIP AND PROGRAMS</w:t>
            </w:r>
          </w:p>
        </w:tc>
        <w:tc>
          <w:tcPr>
            <w:tcW w:w="1284" w:type="dxa"/>
            <w:shd w:val="clear" w:color="auto" w:fill="auto"/>
            <w:noWrap/>
            <w:vAlign w:val="center"/>
            <w:hideMark/>
          </w:tcPr>
          <w:p w14:paraId="40C2EBF4" w14:textId="77777777" w:rsidR="003E5BF5" w:rsidRPr="00E273FC" w:rsidRDefault="003E5BF5" w:rsidP="00DE1921">
            <w:pPr>
              <w:pStyle w:val="TableTextRight"/>
              <w:rPr>
                <w:rFonts w:ascii="Arial" w:hAnsi="Arial" w:cs="Arial"/>
                <w:sz w:val="24"/>
                <w:szCs w:val="24"/>
              </w:rPr>
            </w:pPr>
            <w:r w:rsidRPr="00E273FC">
              <w:rPr>
                <w:rFonts w:ascii="Arial" w:hAnsi="Arial" w:cs="Arial"/>
                <w:color w:val="000000" w:themeColor="text1"/>
                <w:sz w:val="24"/>
                <w:szCs w:val="24"/>
              </w:rPr>
              <w:t>653,981</w:t>
            </w:r>
          </w:p>
        </w:tc>
      </w:tr>
      <w:tr w:rsidR="003E5BF5" w:rsidRPr="00E273FC" w14:paraId="6FF16833" w14:textId="77777777" w:rsidTr="00355316">
        <w:trPr>
          <w:trHeight w:val="312"/>
        </w:trPr>
        <w:tc>
          <w:tcPr>
            <w:tcW w:w="7938" w:type="dxa"/>
            <w:shd w:val="clear" w:color="auto" w:fill="auto"/>
            <w:noWrap/>
            <w:vAlign w:val="center"/>
            <w:hideMark/>
          </w:tcPr>
          <w:p w14:paraId="6416AADC" w14:textId="77777777" w:rsidR="003E5BF5" w:rsidRPr="009D1472" w:rsidRDefault="003E5BF5" w:rsidP="004F1528">
            <w:pPr>
              <w:pStyle w:val="TableTextLeft"/>
              <w:rPr>
                <w:rFonts w:ascii="Arial" w:hAnsi="Arial" w:cs="Arial"/>
                <w:b/>
                <w:bCs/>
                <w:sz w:val="24"/>
                <w:szCs w:val="24"/>
              </w:rPr>
            </w:pPr>
            <w:r w:rsidRPr="009D1472">
              <w:rPr>
                <w:rFonts w:ascii="Arial" w:hAnsi="Arial" w:cs="Arial"/>
                <w:b/>
                <w:bCs/>
                <w:sz w:val="24"/>
                <w:szCs w:val="24"/>
              </w:rPr>
              <w:t>TOTAL</w:t>
            </w:r>
          </w:p>
        </w:tc>
        <w:tc>
          <w:tcPr>
            <w:tcW w:w="1284" w:type="dxa"/>
            <w:shd w:val="clear" w:color="auto" w:fill="auto"/>
            <w:noWrap/>
            <w:vAlign w:val="center"/>
            <w:hideMark/>
          </w:tcPr>
          <w:p w14:paraId="54A59928"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653,981 </w:t>
            </w:r>
          </w:p>
        </w:tc>
      </w:tr>
      <w:tr w:rsidR="003E5BF5" w:rsidRPr="00E273FC" w14:paraId="5914D856" w14:textId="77777777" w:rsidTr="00355316">
        <w:trPr>
          <w:trHeight w:val="312"/>
        </w:trPr>
        <w:tc>
          <w:tcPr>
            <w:tcW w:w="7938" w:type="dxa"/>
            <w:shd w:val="clear" w:color="auto" w:fill="auto"/>
            <w:noWrap/>
            <w:vAlign w:val="center"/>
            <w:hideMark/>
          </w:tcPr>
          <w:p w14:paraId="1B37501C" w14:textId="77777777" w:rsidR="003E5BF5" w:rsidRPr="004F1528" w:rsidRDefault="003E5BF5" w:rsidP="004F1528">
            <w:pPr>
              <w:pStyle w:val="TableTextLeft"/>
              <w:rPr>
                <w:rFonts w:ascii="Arial" w:hAnsi="Arial" w:cs="Arial"/>
                <w:sz w:val="24"/>
                <w:szCs w:val="24"/>
              </w:rPr>
            </w:pPr>
          </w:p>
        </w:tc>
        <w:tc>
          <w:tcPr>
            <w:tcW w:w="1284" w:type="dxa"/>
            <w:shd w:val="clear" w:color="auto" w:fill="auto"/>
            <w:noWrap/>
            <w:vAlign w:val="center"/>
            <w:hideMark/>
          </w:tcPr>
          <w:p w14:paraId="34090515" w14:textId="77777777" w:rsidR="003E5BF5" w:rsidRPr="00E273FC" w:rsidRDefault="003E5BF5" w:rsidP="00604703">
            <w:pPr>
              <w:pStyle w:val="TableTextGreen"/>
            </w:pPr>
          </w:p>
        </w:tc>
      </w:tr>
      <w:tr w:rsidR="003E5BF5" w:rsidRPr="00E273FC" w14:paraId="23A7F33D" w14:textId="77777777" w:rsidTr="00355316">
        <w:trPr>
          <w:trHeight w:val="312"/>
        </w:trPr>
        <w:tc>
          <w:tcPr>
            <w:tcW w:w="7938" w:type="dxa"/>
            <w:shd w:val="clear" w:color="auto" w:fill="auto"/>
            <w:noWrap/>
            <w:vAlign w:val="center"/>
            <w:hideMark/>
          </w:tcPr>
          <w:p w14:paraId="0FBC2FB1" w14:textId="77777777" w:rsidR="003E5BF5" w:rsidRPr="004F1528" w:rsidRDefault="003E5BF5" w:rsidP="004F1528">
            <w:pPr>
              <w:pStyle w:val="TableTextLeft"/>
              <w:rPr>
                <w:rFonts w:ascii="Arial" w:hAnsi="Arial" w:cs="Arial"/>
                <w:sz w:val="24"/>
                <w:szCs w:val="24"/>
              </w:rPr>
            </w:pPr>
            <w:r w:rsidRPr="001B0603">
              <w:rPr>
                <w:rFonts w:ascii="Arial" w:eastAsiaTheme="majorEastAsia" w:hAnsi="Arial" w:cs="Arial"/>
                <w:color w:val="0E787C"/>
                <w:spacing w:val="-10"/>
                <w:kern w:val="28"/>
                <w:sz w:val="24"/>
                <w:szCs w:val="24"/>
              </w:rPr>
              <w:t>SEARCH AND RESCUE</w:t>
            </w:r>
          </w:p>
        </w:tc>
        <w:tc>
          <w:tcPr>
            <w:tcW w:w="1284" w:type="dxa"/>
            <w:shd w:val="clear" w:color="auto" w:fill="auto"/>
            <w:noWrap/>
            <w:vAlign w:val="center"/>
            <w:hideMark/>
          </w:tcPr>
          <w:p w14:paraId="417E419D" w14:textId="77777777" w:rsidR="003E5BF5" w:rsidRPr="00E273FC" w:rsidRDefault="003E5BF5" w:rsidP="00604703">
            <w:pPr>
              <w:pStyle w:val="TableTextGreen"/>
            </w:pPr>
            <w:r w:rsidRPr="00E273FC">
              <w:t> </w:t>
            </w:r>
          </w:p>
        </w:tc>
      </w:tr>
      <w:tr w:rsidR="003E5BF5" w:rsidRPr="00E273FC" w14:paraId="3217B442" w14:textId="77777777" w:rsidTr="00355316">
        <w:trPr>
          <w:trHeight w:val="312"/>
        </w:trPr>
        <w:tc>
          <w:tcPr>
            <w:tcW w:w="7938" w:type="dxa"/>
            <w:shd w:val="clear" w:color="auto" w:fill="auto"/>
            <w:noWrap/>
            <w:vAlign w:val="center"/>
            <w:hideMark/>
          </w:tcPr>
          <w:p w14:paraId="7D2B1E68"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AUSTRALIAN VOLUNTEER COAST GUARD ASSOCIATION INC</w:t>
            </w:r>
          </w:p>
        </w:tc>
        <w:tc>
          <w:tcPr>
            <w:tcW w:w="1284" w:type="dxa"/>
            <w:shd w:val="clear" w:color="auto" w:fill="auto"/>
            <w:noWrap/>
            <w:vAlign w:val="center"/>
            <w:hideMark/>
          </w:tcPr>
          <w:p w14:paraId="7A3A854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45,200 </w:t>
            </w:r>
          </w:p>
        </w:tc>
      </w:tr>
      <w:tr w:rsidR="003E5BF5" w:rsidRPr="00E273FC" w14:paraId="36F0F748" w14:textId="77777777" w:rsidTr="00355316">
        <w:trPr>
          <w:trHeight w:val="312"/>
        </w:trPr>
        <w:tc>
          <w:tcPr>
            <w:tcW w:w="7938" w:type="dxa"/>
            <w:shd w:val="clear" w:color="auto" w:fill="auto"/>
            <w:noWrap/>
            <w:vAlign w:val="center"/>
            <w:hideMark/>
          </w:tcPr>
          <w:p w14:paraId="526B1C1F"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VICTORIA STATE EMERGENCY SERVICE</w:t>
            </w:r>
          </w:p>
        </w:tc>
        <w:tc>
          <w:tcPr>
            <w:tcW w:w="1284" w:type="dxa"/>
            <w:shd w:val="clear" w:color="auto" w:fill="auto"/>
            <w:noWrap/>
            <w:vAlign w:val="center"/>
            <w:hideMark/>
          </w:tcPr>
          <w:p w14:paraId="7222AA6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17,898 </w:t>
            </w:r>
          </w:p>
        </w:tc>
      </w:tr>
      <w:tr w:rsidR="003E5BF5" w:rsidRPr="00E273FC" w14:paraId="54584C7E" w14:textId="77777777" w:rsidTr="00355316">
        <w:trPr>
          <w:trHeight w:val="312"/>
        </w:trPr>
        <w:tc>
          <w:tcPr>
            <w:tcW w:w="7938" w:type="dxa"/>
            <w:shd w:val="clear" w:color="auto" w:fill="auto"/>
            <w:noWrap/>
            <w:vAlign w:val="center"/>
            <w:hideMark/>
          </w:tcPr>
          <w:p w14:paraId="554B5D59" w14:textId="77777777" w:rsidR="003E5BF5" w:rsidRPr="009D1472" w:rsidRDefault="003E5BF5" w:rsidP="004F1528">
            <w:pPr>
              <w:pStyle w:val="TableTextLeft"/>
              <w:rPr>
                <w:rFonts w:ascii="Arial" w:hAnsi="Arial" w:cs="Arial"/>
                <w:b/>
                <w:bCs/>
                <w:sz w:val="24"/>
                <w:szCs w:val="24"/>
              </w:rPr>
            </w:pPr>
            <w:r w:rsidRPr="009D1472">
              <w:rPr>
                <w:rFonts w:ascii="Arial" w:hAnsi="Arial" w:cs="Arial"/>
                <w:b/>
                <w:bCs/>
                <w:sz w:val="24"/>
                <w:szCs w:val="24"/>
              </w:rPr>
              <w:t>TOTAL</w:t>
            </w:r>
          </w:p>
        </w:tc>
        <w:tc>
          <w:tcPr>
            <w:tcW w:w="1284" w:type="dxa"/>
            <w:shd w:val="clear" w:color="auto" w:fill="auto"/>
            <w:noWrap/>
            <w:vAlign w:val="center"/>
            <w:hideMark/>
          </w:tcPr>
          <w:p w14:paraId="4748F127"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63,098 </w:t>
            </w:r>
          </w:p>
        </w:tc>
      </w:tr>
      <w:tr w:rsidR="003E5BF5" w:rsidRPr="00E273FC" w14:paraId="456E6B23" w14:textId="77777777" w:rsidTr="00355316">
        <w:trPr>
          <w:trHeight w:val="312"/>
        </w:trPr>
        <w:tc>
          <w:tcPr>
            <w:tcW w:w="7938" w:type="dxa"/>
            <w:shd w:val="clear" w:color="auto" w:fill="auto"/>
            <w:noWrap/>
            <w:vAlign w:val="center"/>
            <w:hideMark/>
          </w:tcPr>
          <w:p w14:paraId="5A7B6A1E" w14:textId="77777777" w:rsidR="003E5BF5" w:rsidRPr="004F1528" w:rsidRDefault="003E5BF5" w:rsidP="004F1528">
            <w:pPr>
              <w:pStyle w:val="TableTextLeft"/>
              <w:rPr>
                <w:rFonts w:ascii="Arial" w:hAnsi="Arial" w:cs="Arial"/>
                <w:sz w:val="24"/>
                <w:szCs w:val="24"/>
              </w:rPr>
            </w:pPr>
          </w:p>
        </w:tc>
        <w:tc>
          <w:tcPr>
            <w:tcW w:w="1284" w:type="dxa"/>
            <w:shd w:val="clear" w:color="auto" w:fill="auto"/>
            <w:noWrap/>
            <w:vAlign w:val="center"/>
            <w:hideMark/>
          </w:tcPr>
          <w:p w14:paraId="4BA2F3C3" w14:textId="77777777" w:rsidR="003E5BF5" w:rsidRPr="00E273FC" w:rsidRDefault="003E5BF5" w:rsidP="00604703">
            <w:pPr>
              <w:pStyle w:val="TableTextGreen"/>
            </w:pPr>
            <w:r w:rsidRPr="00E273FC">
              <w:t> </w:t>
            </w:r>
          </w:p>
        </w:tc>
      </w:tr>
      <w:tr w:rsidR="003E5BF5" w:rsidRPr="00E273FC" w14:paraId="7A43EB3D" w14:textId="77777777" w:rsidTr="00355316">
        <w:trPr>
          <w:trHeight w:val="312"/>
        </w:trPr>
        <w:tc>
          <w:tcPr>
            <w:tcW w:w="7938" w:type="dxa"/>
            <w:shd w:val="clear" w:color="auto" w:fill="auto"/>
            <w:noWrap/>
            <w:vAlign w:val="center"/>
            <w:hideMark/>
          </w:tcPr>
          <w:p w14:paraId="3810FBC0" w14:textId="77777777" w:rsidR="003E5BF5" w:rsidRPr="004F1528" w:rsidRDefault="003E5BF5" w:rsidP="004F1528">
            <w:pPr>
              <w:pStyle w:val="TableTextLeft"/>
              <w:rPr>
                <w:rFonts w:ascii="Arial" w:hAnsi="Arial" w:cs="Arial"/>
                <w:sz w:val="24"/>
                <w:szCs w:val="24"/>
              </w:rPr>
            </w:pPr>
            <w:r w:rsidRPr="001B0603">
              <w:rPr>
                <w:rFonts w:ascii="Arial" w:eastAsiaTheme="majorEastAsia" w:hAnsi="Arial" w:cs="Arial"/>
                <w:color w:val="0E787C"/>
                <w:spacing w:val="-10"/>
                <w:kern w:val="28"/>
                <w:sz w:val="24"/>
                <w:szCs w:val="24"/>
              </w:rPr>
              <w:t>TRUCK DRIVER TRAINING</w:t>
            </w:r>
          </w:p>
        </w:tc>
        <w:tc>
          <w:tcPr>
            <w:tcW w:w="1284" w:type="dxa"/>
            <w:shd w:val="clear" w:color="auto" w:fill="auto"/>
            <w:noWrap/>
            <w:vAlign w:val="center"/>
            <w:hideMark/>
          </w:tcPr>
          <w:p w14:paraId="7E96CD03" w14:textId="77777777" w:rsidR="003E5BF5" w:rsidRPr="00E273FC" w:rsidRDefault="003E5BF5" w:rsidP="00604703">
            <w:pPr>
              <w:pStyle w:val="TableTextGreen"/>
            </w:pPr>
            <w:r w:rsidRPr="00E273FC">
              <w:t> </w:t>
            </w:r>
          </w:p>
        </w:tc>
      </w:tr>
      <w:tr w:rsidR="003E5BF5" w:rsidRPr="00E273FC" w14:paraId="500957FD" w14:textId="77777777" w:rsidTr="00355316">
        <w:trPr>
          <w:trHeight w:val="312"/>
        </w:trPr>
        <w:tc>
          <w:tcPr>
            <w:tcW w:w="7938" w:type="dxa"/>
            <w:shd w:val="clear" w:color="auto" w:fill="auto"/>
            <w:noWrap/>
            <w:vAlign w:val="center"/>
            <w:hideMark/>
          </w:tcPr>
          <w:p w14:paraId="1AA48CCE"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VICTORIAN TRANSPORT ASSOCIATION</w:t>
            </w:r>
          </w:p>
        </w:tc>
        <w:tc>
          <w:tcPr>
            <w:tcW w:w="1284" w:type="dxa"/>
            <w:shd w:val="clear" w:color="auto" w:fill="auto"/>
            <w:noWrap/>
            <w:vAlign w:val="center"/>
            <w:hideMark/>
          </w:tcPr>
          <w:p w14:paraId="35BA883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470,000 </w:t>
            </w:r>
          </w:p>
        </w:tc>
      </w:tr>
      <w:tr w:rsidR="003E5BF5" w:rsidRPr="00E273FC" w14:paraId="674DA3AE" w14:textId="77777777" w:rsidTr="00355316">
        <w:trPr>
          <w:trHeight w:val="312"/>
        </w:trPr>
        <w:tc>
          <w:tcPr>
            <w:tcW w:w="7938" w:type="dxa"/>
            <w:shd w:val="clear" w:color="auto" w:fill="auto"/>
            <w:noWrap/>
            <w:vAlign w:val="center"/>
            <w:hideMark/>
          </w:tcPr>
          <w:p w14:paraId="118157DC" w14:textId="77777777" w:rsidR="003E5BF5" w:rsidRPr="009D1472" w:rsidRDefault="003E5BF5" w:rsidP="004F1528">
            <w:pPr>
              <w:pStyle w:val="TableTextLeft"/>
              <w:rPr>
                <w:rFonts w:ascii="Arial" w:hAnsi="Arial" w:cs="Arial"/>
                <w:b/>
                <w:bCs/>
                <w:sz w:val="24"/>
                <w:szCs w:val="24"/>
              </w:rPr>
            </w:pPr>
            <w:r w:rsidRPr="009D1472">
              <w:rPr>
                <w:rFonts w:ascii="Arial" w:hAnsi="Arial" w:cs="Arial"/>
                <w:b/>
                <w:bCs/>
                <w:sz w:val="24"/>
                <w:szCs w:val="24"/>
              </w:rPr>
              <w:t>TOTAL</w:t>
            </w:r>
          </w:p>
        </w:tc>
        <w:tc>
          <w:tcPr>
            <w:tcW w:w="1284" w:type="dxa"/>
            <w:shd w:val="clear" w:color="auto" w:fill="auto"/>
            <w:noWrap/>
            <w:vAlign w:val="center"/>
            <w:hideMark/>
          </w:tcPr>
          <w:p w14:paraId="2A14495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470,000 </w:t>
            </w:r>
          </w:p>
        </w:tc>
      </w:tr>
      <w:tr w:rsidR="003E5BF5" w:rsidRPr="00E273FC" w14:paraId="3575A15D" w14:textId="77777777" w:rsidTr="00355316">
        <w:trPr>
          <w:trHeight w:val="312"/>
        </w:trPr>
        <w:tc>
          <w:tcPr>
            <w:tcW w:w="7938" w:type="dxa"/>
            <w:shd w:val="clear" w:color="auto" w:fill="auto"/>
            <w:noWrap/>
            <w:vAlign w:val="center"/>
            <w:hideMark/>
          </w:tcPr>
          <w:p w14:paraId="288D42B3" w14:textId="77777777" w:rsidR="003E5BF5" w:rsidRPr="004F1528" w:rsidRDefault="003E5BF5" w:rsidP="004F1528">
            <w:pPr>
              <w:pStyle w:val="TableTextLeft"/>
              <w:rPr>
                <w:rFonts w:ascii="Arial" w:hAnsi="Arial" w:cs="Arial"/>
                <w:sz w:val="24"/>
                <w:szCs w:val="24"/>
              </w:rPr>
            </w:pPr>
          </w:p>
        </w:tc>
        <w:tc>
          <w:tcPr>
            <w:tcW w:w="1284" w:type="dxa"/>
            <w:shd w:val="clear" w:color="auto" w:fill="auto"/>
            <w:noWrap/>
            <w:vAlign w:val="center"/>
            <w:hideMark/>
          </w:tcPr>
          <w:p w14:paraId="4E448380" w14:textId="77777777" w:rsidR="003E5BF5" w:rsidRPr="00E273FC" w:rsidRDefault="003E5BF5" w:rsidP="00604703">
            <w:pPr>
              <w:pStyle w:val="TableTextGreen"/>
            </w:pPr>
          </w:p>
        </w:tc>
      </w:tr>
      <w:tr w:rsidR="003E5BF5" w:rsidRPr="00E273FC" w14:paraId="07B6C5C7" w14:textId="77777777" w:rsidTr="00355316">
        <w:trPr>
          <w:trHeight w:val="312"/>
        </w:trPr>
        <w:tc>
          <w:tcPr>
            <w:tcW w:w="7938" w:type="dxa"/>
            <w:shd w:val="clear" w:color="auto" w:fill="auto"/>
            <w:noWrap/>
            <w:vAlign w:val="center"/>
            <w:hideMark/>
          </w:tcPr>
          <w:p w14:paraId="7CBC3AC8" w14:textId="77777777" w:rsidR="003E5BF5" w:rsidRPr="004F1528" w:rsidRDefault="003E5BF5" w:rsidP="004F1528">
            <w:pPr>
              <w:pStyle w:val="TableTextLeft"/>
              <w:rPr>
                <w:rFonts w:ascii="Arial" w:hAnsi="Arial" w:cs="Arial"/>
                <w:sz w:val="24"/>
                <w:szCs w:val="24"/>
              </w:rPr>
            </w:pPr>
            <w:r w:rsidRPr="001B0603">
              <w:rPr>
                <w:rFonts w:ascii="Arial" w:eastAsiaTheme="majorEastAsia" w:hAnsi="Arial" w:cs="Arial"/>
                <w:color w:val="0E787C"/>
                <w:spacing w:val="-10"/>
                <w:kern w:val="28"/>
                <w:sz w:val="24"/>
                <w:szCs w:val="24"/>
              </w:rPr>
              <w:t>UPGRADE OF BOATING INFRASTRUCTURE AND ABOLISHMENT OF BOAT RAMP FEES</w:t>
            </w:r>
          </w:p>
        </w:tc>
        <w:tc>
          <w:tcPr>
            <w:tcW w:w="1284" w:type="dxa"/>
            <w:shd w:val="clear" w:color="auto" w:fill="auto"/>
            <w:noWrap/>
            <w:vAlign w:val="center"/>
            <w:hideMark/>
          </w:tcPr>
          <w:p w14:paraId="5C280E3B" w14:textId="77777777" w:rsidR="003E5BF5" w:rsidRPr="00E273FC" w:rsidRDefault="003E5BF5" w:rsidP="00604703">
            <w:pPr>
              <w:pStyle w:val="TableTextGreen"/>
            </w:pPr>
            <w:r w:rsidRPr="00E273FC">
              <w:t> </w:t>
            </w:r>
          </w:p>
        </w:tc>
      </w:tr>
      <w:tr w:rsidR="003E5BF5" w:rsidRPr="00E273FC" w14:paraId="0D298BEA" w14:textId="77777777" w:rsidTr="00355316">
        <w:trPr>
          <w:trHeight w:val="312"/>
        </w:trPr>
        <w:tc>
          <w:tcPr>
            <w:tcW w:w="7938" w:type="dxa"/>
            <w:shd w:val="clear" w:color="auto" w:fill="auto"/>
            <w:noWrap/>
            <w:vAlign w:val="center"/>
            <w:hideMark/>
          </w:tcPr>
          <w:p w14:paraId="09CE1CB1"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BELLARINE BAYSIDE FORESHORE COMMITTEE OF MANAGEMENT INC</w:t>
            </w:r>
          </w:p>
        </w:tc>
        <w:tc>
          <w:tcPr>
            <w:tcW w:w="1284" w:type="dxa"/>
            <w:shd w:val="clear" w:color="auto" w:fill="auto"/>
            <w:noWrap/>
            <w:vAlign w:val="center"/>
            <w:hideMark/>
          </w:tcPr>
          <w:p w14:paraId="432F6B0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31,000 </w:t>
            </w:r>
          </w:p>
        </w:tc>
      </w:tr>
      <w:tr w:rsidR="003E5BF5" w:rsidRPr="00E273FC" w14:paraId="20545AFF" w14:textId="77777777" w:rsidTr="00355316">
        <w:trPr>
          <w:trHeight w:val="312"/>
        </w:trPr>
        <w:tc>
          <w:tcPr>
            <w:tcW w:w="7938" w:type="dxa"/>
            <w:shd w:val="clear" w:color="auto" w:fill="auto"/>
            <w:noWrap/>
            <w:vAlign w:val="center"/>
            <w:hideMark/>
          </w:tcPr>
          <w:p w14:paraId="0DE95578"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CAPEL SOUND FORESHORES COMMITTEE OF MANAGEMENT INC</w:t>
            </w:r>
          </w:p>
        </w:tc>
        <w:tc>
          <w:tcPr>
            <w:tcW w:w="1284" w:type="dxa"/>
            <w:shd w:val="clear" w:color="auto" w:fill="auto"/>
            <w:noWrap/>
            <w:vAlign w:val="center"/>
            <w:hideMark/>
          </w:tcPr>
          <w:p w14:paraId="4B809EA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54,545 </w:t>
            </w:r>
          </w:p>
        </w:tc>
      </w:tr>
      <w:tr w:rsidR="003E5BF5" w:rsidRPr="00E273FC" w14:paraId="46053859" w14:textId="77777777" w:rsidTr="00355316">
        <w:trPr>
          <w:trHeight w:val="312"/>
        </w:trPr>
        <w:tc>
          <w:tcPr>
            <w:tcW w:w="7938" w:type="dxa"/>
            <w:shd w:val="clear" w:color="auto" w:fill="auto"/>
            <w:noWrap/>
            <w:vAlign w:val="center"/>
            <w:hideMark/>
          </w:tcPr>
          <w:p w14:paraId="5F339DAF"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lastRenderedPageBreak/>
              <w:t>CRIB POINT STONY POINT FORESHORE COMMITTEE OF MANAGEMENT INC</w:t>
            </w:r>
          </w:p>
        </w:tc>
        <w:tc>
          <w:tcPr>
            <w:tcW w:w="1284" w:type="dxa"/>
            <w:shd w:val="clear" w:color="auto" w:fill="auto"/>
            <w:noWrap/>
            <w:vAlign w:val="center"/>
            <w:hideMark/>
          </w:tcPr>
          <w:p w14:paraId="5A35337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58,430 </w:t>
            </w:r>
          </w:p>
        </w:tc>
      </w:tr>
      <w:tr w:rsidR="003E5BF5" w:rsidRPr="00E273FC" w14:paraId="4FE244E3" w14:textId="77777777" w:rsidTr="00355316">
        <w:trPr>
          <w:trHeight w:val="312"/>
        </w:trPr>
        <w:tc>
          <w:tcPr>
            <w:tcW w:w="7938" w:type="dxa"/>
            <w:shd w:val="clear" w:color="auto" w:fill="auto"/>
            <w:noWrap/>
            <w:vAlign w:val="center"/>
            <w:hideMark/>
          </w:tcPr>
          <w:p w14:paraId="514F846D"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MORNINGTON PENINSULA SHIRE COUNCIL</w:t>
            </w:r>
          </w:p>
        </w:tc>
        <w:tc>
          <w:tcPr>
            <w:tcW w:w="1284" w:type="dxa"/>
            <w:shd w:val="clear" w:color="auto" w:fill="auto"/>
            <w:noWrap/>
            <w:vAlign w:val="center"/>
            <w:hideMark/>
          </w:tcPr>
          <w:p w14:paraId="7298181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230,000 </w:t>
            </w:r>
          </w:p>
        </w:tc>
      </w:tr>
      <w:tr w:rsidR="003E5BF5" w:rsidRPr="00E273FC" w14:paraId="1032AE50" w14:textId="77777777" w:rsidTr="00355316">
        <w:trPr>
          <w:trHeight w:val="312"/>
        </w:trPr>
        <w:tc>
          <w:tcPr>
            <w:tcW w:w="7938" w:type="dxa"/>
            <w:shd w:val="clear" w:color="auto" w:fill="auto"/>
            <w:noWrap/>
            <w:vAlign w:val="center"/>
            <w:hideMark/>
          </w:tcPr>
          <w:p w14:paraId="36799A66"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WYNDHAM CITY COUNCIL</w:t>
            </w:r>
          </w:p>
        </w:tc>
        <w:tc>
          <w:tcPr>
            <w:tcW w:w="1284" w:type="dxa"/>
            <w:shd w:val="clear" w:color="auto" w:fill="auto"/>
            <w:noWrap/>
            <w:vAlign w:val="center"/>
            <w:hideMark/>
          </w:tcPr>
          <w:p w14:paraId="7224FE0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 xml:space="preserve">14,685 </w:t>
            </w:r>
          </w:p>
        </w:tc>
      </w:tr>
      <w:tr w:rsidR="003E5BF5" w:rsidRPr="00E273FC" w14:paraId="4BC85300" w14:textId="77777777" w:rsidTr="00355316">
        <w:trPr>
          <w:trHeight w:val="312"/>
        </w:trPr>
        <w:tc>
          <w:tcPr>
            <w:tcW w:w="7938" w:type="dxa"/>
            <w:shd w:val="clear" w:color="auto" w:fill="auto"/>
            <w:noWrap/>
            <w:vAlign w:val="center"/>
            <w:hideMark/>
          </w:tcPr>
          <w:p w14:paraId="0355DD1A" w14:textId="77777777" w:rsidR="003E5BF5" w:rsidRPr="009D1472" w:rsidRDefault="003E5BF5" w:rsidP="004F1528">
            <w:pPr>
              <w:pStyle w:val="TableTextLeft"/>
              <w:rPr>
                <w:rFonts w:ascii="Arial" w:hAnsi="Arial" w:cs="Arial"/>
                <w:b/>
                <w:bCs/>
                <w:sz w:val="24"/>
                <w:szCs w:val="24"/>
              </w:rPr>
            </w:pPr>
            <w:r w:rsidRPr="009D1472">
              <w:rPr>
                <w:rFonts w:ascii="Arial" w:hAnsi="Arial" w:cs="Arial"/>
                <w:b/>
                <w:bCs/>
                <w:sz w:val="24"/>
                <w:szCs w:val="24"/>
              </w:rPr>
              <w:t>TOTAL</w:t>
            </w:r>
          </w:p>
        </w:tc>
        <w:tc>
          <w:tcPr>
            <w:tcW w:w="1284" w:type="dxa"/>
            <w:shd w:val="clear" w:color="auto" w:fill="auto"/>
            <w:noWrap/>
            <w:vAlign w:val="center"/>
            <w:hideMark/>
          </w:tcPr>
          <w:p w14:paraId="100FDE1A"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388,660 </w:t>
            </w:r>
          </w:p>
        </w:tc>
      </w:tr>
      <w:tr w:rsidR="003E5BF5" w:rsidRPr="00E273FC" w14:paraId="22A6CC8E" w14:textId="77777777" w:rsidTr="00355316">
        <w:trPr>
          <w:trHeight w:val="312"/>
        </w:trPr>
        <w:tc>
          <w:tcPr>
            <w:tcW w:w="7938" w:type="dxa"/>
            <w:shd w:val="clear" w:color="auto" w:fill="auto"/>
            <w:noWrap/>
            <w:vAlign w:val="center"/>
            <w:hideMark/>
          </w:tcPr>
          <w:p w14:paraId="5F2512BF" w14:textId="77777777" w:rsidR="003E5BF5" w:rsidRPr="004F1528" w:rsidRDefault="003E5BF5" w:rsidP="004F1528">
            <w:pPr>
              <w:pStyle w:val="TableTextLeft"/>
              <w:rPr>
                <w:rFonts w:ascii="Arial" w:hAnsi="Arial" w:cs="Arial"/>
                <w:sz w:val="24"/>
                <w:szCs w:val="24"/>
              </w:rPr>
            </w:pPr>
            <w:r w:rsidRPr="004F1528">
              <w:rPr>
                <w:rFonts w:ascii="Arial" w:hAnsi="Arial" w:cs="Arial"/>
                <w:sz w:val="24"/>
                <w:szCs w:val="24"/>
              </w:rPr>
              <w:t>GRAND TOTAL</w:t>
            </w:r>
          </w:p>
        </w:tc>
        <w:tc>
          <w:tcPr>
            <w:tcW w:w="1284" w:type="dxa"/>
            <w:shd w:val="clear" w:color="auto" w:fill="auto"/>
            <w:noWrap/>
            <w:vAlign w:val="center"/>
            <w:hideMark/>
          </w:tcPr>
          <w:p w14:paraId="2C4D0AD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7,840,844 </w:t>
            </w:r>
          </w:p>
        </w:tc>
      </w:tr>
    </w:tbl>
    <w:p w14:paraId="74021842" w14:textId="77777777" w:rsidR="003E5BF5" w:rsidRPr="00061A50" w:rsidRDefault="003E5BF5" w:rsidP="00DE1921">
      <w:pPr>
        <w:rPr>
          <w:sz w:val="2"/>
          <w:szCs w:val="2"/>
        </w:rPr>
      </w:pPr>
    </w:p>
    <w:p w14:paraId="5D954A06" w14:textId="77777777" w:rsidR="00355316" w:rsidRDefault="00355316" w:rsidP="008A0170">
      <w:pPr>
        <w:pStyle w:val="Heading1"/>
      </w:pPr>
      <w:r>
        <w:br w:type="page"/>
      </w:r>
    </w:p>
    <w:p w14:paraId="1B0F81C3" w14:textId="091AA0BE" w:rsidR="003E5BF5" w:rsidRDefault="003E5BF5" w:rsidP="008A0170">
      <w:pPr>
        <w:pStyle w:val="Heading1"/>
      </w:pPr>
      <w:bookmarkStart w:id="800" w:name="_Toc55130706"/>
      <w:r w:rsidRPr="00496D92">
        <w:lastRenderedPageBreak/>
        <w:t>Appendix 5: Victorian Transport Fund</w:t>
      </w:r>
      <w:bookmarkEnd w:id="800"/>
    </w:p>
    <w:p w14:paraId="4111FCAF" w14:textId="77777777" w:rsidR="003E5BF5" w:rsidRDefault="003E5BF5" w:rsidP="003C6DF7">
      <w:pPr>
        <w:pStyle w:val="aaatyping"/>
      </w:pPr>
      <w:r>
        <w:t xml:space="preserve">The Victorian Government’s Victorian Transport Fund Trust (VTF) was established in 2016 under the </w:t>
      </w:r>
      <w:r w:rsidRPr="00236A70">
        <w:rPr>
          <w:rFonts w:cs="VIC-LightItalic"/>
          <w:i/>
          <w:iCs/>
        </w:rPr>
        <w:t>Delivering Victorian Infrastructure (Port of Melbourne Lease Transaction) Act 2016</w:t>
      </w:r>
      <w:r>
        <w:t xml:space="preserve">. The VTF is a dedicated transport investment fund. Payments made out of the VTF include funding for the Level Crossing Removal Program from 1 July 2016, and other metropolitan and regional infrastructure projects. This report reflects the trust funds that pass through the department only; the port proceeds and investment income form part of the trust reported by DTF. </w:t>
      </w:r>
    </w:p>
    <w:p w14:paraId="4A410237" w14:textId="77777777" w:rsidR="003E5BF5" w:rsidRPr="00E273FC" w:rsidRDefault="003E5BF5" w:rsidP="00CF74EB">
      <w:pPr>
        <w:pStyle w:val="TableHeader"/>
      </w:pPr>
      <w:r w:rsidRPr="00E273FC">
        <w:t>Cash balance of the trust</w:t>
      </w:r>
    </w:p>
    <w:tbl>
      <w:tblPr>
        <w:tblStyle w:val="TableGrid"/>
        <w:tblW w:w="9072" w:type="dxa"/>
        <w:tblLayout w:type="fixed"/>
        <w:tblLook w:val="04A0" w:firstRow="1" w:lastRow="0" w:firstColumn="1" w:lastColumn="0" w:noHBand="0" w:noVBand="1"/>
      </w:tblPr>
      <w:tblGrid>
        <w:gridCol w:w="6804"/>
        <w:gridCol w:w="2268"/>
      </w:tblGrid>
      <w:tr w:rsidR="003E5BF5" w:rsidRPr="00E273FC" w14:paraId="38CE7A95" w14:textId="77777777" w:rsidTr="00641BE5">
        <w:trPr>
          <w:trHeight w:val="340"/>
        </w:trPr>
        <w:tc>
          <w:tcPr>
            <w:tcW w:w="6804" w:type="dxa"/>
            <w:shd w:val="clear" w:color="auto" w:fill="auto"/>
            <w:tcMar>
              <w:left w:w="57" w:type="dxa"/>
              <w:right w:w="57" w:type="dxa"/>
            </w:tcMar>
          </w:tcPr>
          <w:p w14:paraId="3AFED3FE" w14:textId="77777777" w:rsidR="003E5BF5" w:rsidRPr="00E273FC" w:rsidRDefault="003E5BF5" w:rsidP="00DE1921">
            <w:pPr>
              <w:pStyle w:val="TableTextLeft"/>
              <w:rPr>
                <w:rFonts w:ascii="Arial" w:hAnsi="Arial" w:cs="Arial"/>
                <w:sz w:val="24"/>
                <w:szCs w:val="24"/>
              </w:rPr>
            </w:pPr>
          </w:p>
        </w:tc>
        <w:tc>
          <w:tcPr>
            <w:tcW w:w="2268" w:type="dxa"/>
            <w:shd w:val="clear" w:color="auto" w:fill="auto"/>
          </w:tcPr>
          <w:p w14:paraId="5D17933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2019-20 Actual</w:t>
            </w:r>
          </w:p>
          <w:p w14:paraId="6C77539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million)</w:t>
            </w:r>
          </w:p>
        </w:tc>
      </w:tr>
      <w:tr w:rsidR="003E5BF5" w:rsidRPr="00E273FC" w14:paraId="32EA5420" w14:textId="77777777" w:rsidTr="00641BE5">
        <w:trPr>
          <w:trHeight w:val="340"/>
        </w:trPr>
        <w:tc>
          <w:tcPr>
            <w:tcW w:w="6804" w:type="dxa"/>
            <w:shd w:val="clear" w:color="auto" w:fill="auto"/>
            <w:tcMar>
              <w:left w:w="57" w:type="dxa"/>
              <w:right w:w="57" w:type="dxa"/>
            </w:tcMar>
            <w:vAlign w:val="center"/>
          </w:tcPr>
          <w:p w14:paraId="64417EEB"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Opening cash balance</w:t>
            </w:r>
          </w:p>
        </w:tc>
        <w:tc>
          <w:tcPr>
            <w:tcW w:w="2268" w:type="dxa"/>
            <w:shd w:val="clear" w:color="auto" w:fill="auto"/>
            <w:tcMar>
              <w:left w:w="57" w:type="dxa"/>
              <w:right w:w="57" w:type="dxa"/>
            </w:tcMar>
            <w:vAlign w:val="center"/>
          </w:tcPr>
          <w:p w14:paraId="3FAEE094"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   </w:t>
            </w:r>
          </w:p>
        </w:tc>
      </w:tr>
      <w:tr w:rsidR="003E5BF5" w:rsidRPr="00E273FC" w14:paraId="44F1E4E9" w14:textId="77777777" w:rsidTr="00641BE5">
        <w:trPr>
          <w:trHeight w:val="340"/>
        </w:trPr>
        <w:tc>
          <w:tcPr>
            <w:tcW w:w="6804" w:type="dxa"/>
            <w:shd w:val="clear" w:color="auto" w:fill="auto"/>
            <w:tcMar>
              <w:left w:w="57" w:type="dxa"/>
              <w:right w:w="57" w:type="dxa"/>
            </w:tcMar>
            <w:vAlign w:val="center"/>
          </w:tcPr>
          <w:p w14:paraId="62AA189A" w14:textId="77777777" w:rsidR="003E5BF5" w:rsidRPr="00E273FC" w:rsidRDefault="003E5BF5" w:rsidP="00604703">
            <w:pPr>
              <w:pStyle w:val="TableTextGreen"/>
            </w:pPr>
            <w:r w:rsidRPr="00E273FC">
              <w:t>Receipts into the trust</w:t>
            </w:r>
          </w:p>
        </w:tc>
        <w:tc>
          <w:tcPr>
            <w:tcW w:w="2268" w:type="dxa"/>
            <w:shd w:val="clear" w:color="auto" w:fill="auto"/>
            <w:tcMar>
              <w:left w:w="57" w:type="dxa"/>
              <w:right w:w="57" w:type="dxa"/>
            </w:tcMar>
            <w:vAlign w:val="center"/>
          </w:tcPr>
          <w:p w14:paraId="327EC900" w14:textId="77777777" w:rsidR="003E5BF5" w:rsidRPr="00E273FC" w:rsidRDefault="003E5BF5" w:rsidP="00DE1921">
            <w:pPr>
              <w:pStyle w:val="TableTextRightBold"/>
              <w:rPr>
                <w:rFonts w:ascii="Arial" w:hAnsi="Arial" w:cs="Arial"/>
                <w:sz w:val="24"/>
                <w:szCs w:val="24"/>
              </w:rPr>
            </w:pPr>
          </w:p>
        </w:tc>
      </w:tr>
      <w:tr w:rsidR="003E5BF5" w:rsidRPr="00E273FC" w14:paraId="6F58EE39" w14:textId="77777777" w:rsidTr="00641BE5">
        <w:trPr>
          <w:trHeight w:val="340"/>
        </w:trPr>
        <w:tc>
          <w:tcPr>
            <w:tcW w:w="6804" w:type="dxa"/>
            <w:shd w:val="clear" w:color="auto" w:fill="auto"/>
            <w:tcMar>
              <w:left w:w="57" w:type="dxa"/>
              <w:right w:w="57" w:type="dxa"/>
            </w:tcMar>
            <w:vAlign w:val="center"/>
          </w:tcPr>
          <w:p w14:paraId="0EE7854E"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Receipts from the Department of Treasury and Finance</w:t>
            </w:r>
          </w:p>
        </w:tc>
        <w:tc>
          <w:tcPr>
            <w:tcW w:w="2268" w:type="dxa"/>
            <w:shd w:val="clear" w:color="auto" w:fill="auto"/>
            <w:tcMar>
              <w:left w:w="57" w:type="dxa"/>
              <w:right w:w="57" w:type="dxa"/>
            </w:tcMar>
            <w:vAlign w:val="center"/>
          </w:tcPr>
          <w:p w14:paraId="62F1BFD3"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sz w:val="24"/>
                <w:szCs w:val="24"/>
              </w:rPr>
              <w:t xml:space="preserve">1,782.6 </w:t>
            </w:r>
          </w:p>
        </w:tc>
      </w:tr>
      <w:tr w:rsidR="003E5BF5" w:rsidRPr="00E273FC" w14:paraId="77C447C0" w14:textId="77777777" w:rsidTr="00641BE5">
        <w:trPr>
          <w:trHeight w:val="340"/>
        </w:trPr>
        <w:tc>
          <w:tcPr>
            <w:tcW w:w="6804" w:type="dxa"/>
            <w:shd w:val="clear" w:color="auto" w:fill="auto"/>
            <w:tcMar>
              <w:left w:w="57" w:type="dxa"/>
              <w:right w:w="57" w:type="dxa"/>
            </w:tcMar>
            <w:vAlign w:val="center"/>
          </w:tcPr>
          <w:p w14:paraId="41B7E21D"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Commonwealth funding</w:t>
            </w:r>
          </w:p>
        </w:tc>
        <w:tc>
          <w:tcPr>
            <w:tcW w:w="2268" w:type="dxa"/>
            <w:shd w:val="clear" w:color="auto" w:fill="auto"/>
            <w:tcMar>
              <w:left w:w="57" w:type="dxa"/>
              <w:right w:w="57" w:type="dxa"/>
            </w:tcMar>
            <w:vAlign w:val="center"/>
          </w:tcPr>
          <w:p w14:paraId="466A5178"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sz w:val="24"/>
                <w:szCs w:val="24"/>
              </w:rPr>
              <w:t xml:space="preserve">261.8 </w:t>
            </w:r>
          </w:p>
        </w:tc>
      </w:tr>
      <w:tr w:rsidR="003E5BF5" w:rsidRPr="00E273FC" w14:paraId="60935E09" w14:textId="77777777" w:rsidTr="00641BE5">
        <w:trPr>
          <w:trHeight w:val="340"/>
        </w:trPr>
        <w:tc>
          <w:tcPr>
            <w:tcW w:w="6804" w:type="dxa"/>
            <w:shd w:val="clear" w:color="auto" w:fill="auto"/>
            <w:tcMar>
              <w:left w:w="57" w:type="dxa"/>
              <w:right w:w="57" w:type="dxa"/>
            </w:tcMar>
            <w:vAlign w:val="center"/>
          </w:tcPr>
          <w:p w14:paraId="400184D0"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State Appropriation</w:t>
            </w:r>
          </w:p>
        </w:tc>
        <w:tc>
          <w:tcPr>
            <w:tcW w:w="2268" w:type="dxa"/>
            <w:shd w:val="clear" w:color="auto" w:fill="auto"/>
            <w:tcMar>
              <w:left w:w="57" w:type="dxa"/>
              <w:right w:w="57" w:type="dxa"/>
            </w:tcMar>
            <w:vAlign w:val="center"/>
          </w:tcPr>
          <w:p w14:paraId="15510757"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sz w:val="24"/>
                <w:szCs w:val="24"/>
              </w:rPr>
              <w:t xml:space="preserve">678.6 </w:t>
            </w:r>
          </w:p>
        </w:tc>
      </w:tr>
      <w:tr w:rsidR="003E5BF5" w:rsidRPr="00E273FC" w14:paraId="7504D76B" w14:textId="77777777" w:rsidTr="00641BE5">
        <w:trPr>
          <w:trHeight w:val="340"/>
        </w:trPr>
        <w:tc>
          <w:tcPr>
            <w:tcW w:w="6804" w:type="dxa"/>
            <w:shd w:val="clear" w:color="auto" w:fill="auto"/>
            <w:tcMar>
              <w:left w:w="57" w:type="dxa"/>
              <w:right w:w="57" w:type="dxa"/>
            </w:tcMar>
            <w:vAlign w:val="center"/>
          </w:tcPr>
          <w:p w14:paraId="108B5969"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receipts into the trust</w:t>
            </w:r>
          </w:p>
        </w:tc>
        <w:tc>
          <w:tcPr>
            <w:tcW w:w="2268" w:type="dxa"/>
            <w:shd w:val="clear" w:color="auto" w:fill="auto"/>
            <w:tcMar>
              <w:left w:w="57" w:type="dxa"/>
              <w:right w:w="57" w:type="dxa"/>
            </w:tcMar>
            <w:vAlign w:val="center"/>
          </w:tcPr>
          <w:p w14:paraId="4CF1D85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2,723.0 </w:t>
            </w:r>
          </w:p>
        </w:tc>
      </w:tr>
      <w:tr w:rsidR="003E5BF5" w:rsidRPr="00E273FC" w14:paraId="526F0F8D" w14:textId="77777777" w:rsidTr="00641BE5">
        <w:trPr>
          <w:trHeight w:val="340"/>
        </w:trPr>
        <w:tc>
          <w:tcPr>
            <w:tcW w:w="6804" w:type="dxa"/>
            <w:shd w:val="clear" w:color="auto" w:fill="auto"/>
            <w:tcMar>
              <w:left w:w="57" w:type="dxa"/>
              <w:right w:w="57" w:type="dxa"/>
            </w:tcMar>
            <w:vAlign w:val="center"/>
          </w:tcPr>
          <w:p w14:paraId="55C919F5" w14:textId="77777777" w:rsidR="003E5BF5" w:rsidRPr="00E273FC" w:rsidRDefault="003E5BF5" w:rsidP="00DE1921">
            <w:pPr>
              <w:pStyle w:val="TableTextLeftBold"/>
              <w:rPr>
                <w:rFonts w:ascii="Arial" w:hAnsi="Arial" w:cs="Arial"/>
                <w:sz w:val="24"/>
                <w:szCs w:val="24"/>
              </w:rPr>
            </w:pPr>
          </w:p>
        </w:tc>
        <w:tc>
          <w:tcPr>
            <w:tcW w:w="2268" w:type="dxa"/>
            <w:shd w:val="clear" w:color="auto" w:fill="auto"/>
            <w:tcMar>
              <w:left w:w="57" w:type="dxa"/>
              <w:right w:w="57" w:type="dxa"/>
            </w:tcMar>
            <w:vAlign w:val="center"/>
          </w:tcPr>
          <w:p w14:paraId="1EF5B009" w14:textId="77777777" w:rsidR="003E5BF5" w:rsidRPr="00E273FC" w:rsidRDefault="003E5BF5" w:rsidP="00DE1921">
            <w:pPr>
              <w:pStyle w:val="TableTextRightBold"/>
              <w:rPr>
                <w:rFonts w:ascii="Arial" w:hAnsi="Arial" w:cs="Arial"/>
                <w:sz w:val="24"/>
                <w:szCs w:val="24"/>
              </w:rPr>
            </w:pPr>
          </w:p>
        </w:tc>
      </w:tr>
      <w:tr w:rsidR="003E5BF5" w:rsidRPr="00E273FC" w14:paraId="290D063A" w14:textId="77777777" w:rsidTr="00641BE5">
        <w:trPr>
          <w:trHeight w:val="340"/>
        </w:trPr>
        <w:tc>
          <w:tcPr>
            <w:tcW w:w="6804" w:type="dxa"/>
            <w:shd w:val="clear" w:color="auto" w:fill="auto"/>
            <w:tcMar>
              <w:left w:w="57" w:type="dxa"/>
              <w:right w:w="57" w:type="dxa"/>
            </w:tcMar>
            <w:vAlign w:val="center"/>
          </w:tcPr>
          <w:p w14:paraId="09B47C9A" w14:textId="77777777" w:rsidR="003E5BF5" w:rsidRPr="00E273FC" w:rsidRDefault="003E5BF5" w:rsidP="00604703">
            <w:pPr>
              <w:pStyle w:val="TableTextGreen"/>
            </w:pPr>
            <w:r w:rsidRPr="00E273FC">
              <w:t>Payments from the trust</w:t>
            </w:r>
            <w:r w:rsidRPr="00E273FC">
              <w:rPr>
                <w:vertAlign w:val="superscript"/>
              </w:rPr>
              <w:t>1</w:t>
            </w:r>
          </w:p>
        </w:tc>
        <w:tc>
          <w:tcPr>
            <w:tcW w:w="2268" w:type="dxa"/>
            <w:shd w:val="clear" w:color="auto" w:fill="auto"/>
            <w:tcMar>
              <w:left w:w="57" w:type="dxa"/>
              <w:right w:w="57" w:type="dxa"/>
            </w:tcMar>
            <w:vAlign w:val="center"/>
          </w:tcPr>
          <w:p w14:paraId="6C1CD465" w14:textId="77777777" w:rsidR="003E5BF5" w:rsidRPr="00E273FC" w:rsidRDefault="003E5BF5" w:rsidP="00DE1921">
            <w:pPr>
              <w:pStyle w:val="TableTextRightBold"/>
              <w:rPr>
                <w:rFonts w:ascii="Arial" w:hAnsi="Arial" w:cs="Arial"/>
                <w:sz w:val="24"/>
                <w:szCs w:val="24"/>
              </w:rPr>
            </w:pPr>
          </w:p>
        </w:tc>
      </w:tr>
      <w:tr w:rsidR="003E5BF5" w:rsidRPr="00E273FC" w14:paraId="04DEB7B6" w14:textId="77777777" w:rsidTr="00641BE5">
        <w:trPr>
          <w:trHeight w:val="340"/>
        </w:trPr>
        <w:tc>
          <w:tcPr>
            <w:tcW w:w="6804" w:type="dxa"/>
            <w:shd w:val="clear" w:color="auto" w:fill="auto"/>
            <w:tcMar>
              <w:left w:w="57" w:type="dxa"/>
              <w:right w:w="57" w:type="dxa"/>
            </w:tcMar>
            <w:vAlign w:val="center"/>
          </w:tcPr>
          <w:p w14:paraId="73B4A952"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Level crossing removal program</w:t>
            </w:r>
          </w:p>
        </w:tc>
        <w:tc>
          <w:tcPr>
            <w:tcW w:w="2268" w:type="dxa"/>
            <w:shd w:val="clear" w:color="auto" w:fill="auto"/>
            <w:tcMar>
              <w:left w:w="57" w:type="dxa"/>
              <w:right w:w="57" w:type="dxa"/>
            </w:tcMar>
            <w:vAlign w:val="center"/>
          </w:tcPr>
          <w:p w14:paraId="74D0AF37"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sz w:val="24"/>
                <w:szCs w:val="24"/>
              </w:rPr>
              <w:t xml:space="preserve">1,456.6 </w:t>
            </w:r>
          </w:p>
        </w:tc>
      </w:tr>
      <w:tr w:rsidR="003E5BF5" w:rsidRPr="00E273FC" w14:paraId="2C9CEE9F" w14:textId="77777777" w:rsidTr="00641BE5">
        <w:trPr>
          <w:trHeight w:val="340"/>
        </w:trPr>
        <w:tc>
          <w:tcPr>
            <w:tcW w:w="6804" w:type="dxa"/>
            <w:shd w:val="clear" w:color="auto" w:fill="auto"/>
            <w:tcMar>
              <w:left w:w="57" w:type="dxa"/>
              <w:right w:w="57" w:type="dxa"/>
            </w:tcMar>
            <w:vAlign w:val="center"/>
          </w:tcPr>
          <w:p w14:paraId="6F3A75CA"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Caulfield to Dandenong conventional signalling and power infrastructure upgrade</w:t>
            </w:r>
          </w:p>
        </w:tc>
        <w:tc>
          <w:tcPr>
            <w:tcW w:w="2268" w:type="dxa"/>
            <w:shd w:val="clear" w:color="auto" w:fill="auto"/>
            <w:tcMar>
              <w:left w:w="57" w:type="dxa"/>
              <w:right w:w="57" w:type="dxa"/>
            </w:tcMar>
            <w:vAlign w:val="center"/>
          </w:tcPr>
          <w:p w14:paraId="30C5BAD3"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sz w:val="24"/>
                <w:szCs w:val="24"/>
              </w:rPr>
              <w:t xml:space="preserve">40.3 </w:t>
            </w:r>
          </w:p>
        </w:tc>
      </w:tr>
      <w:tr w:rsidR="003E5BF5" w:rsidRPr="00E273FC" w14:paraId="286654A2" w14:textId="77777777" w:rsidTr="00641BE5">
        <w:trPr>
          <w:trHeight w:val="340"/>
        </w:trPr>
        <w:tc>
          <w:tcPr>
            <w:tcW w:w="6804" w:type="dxa"/>
            <w:shd w:val="clear" w:color="auto" w:fill="auto"/>
            <w:tcMar>
              <w:left w:w="57" w:type="dxa"/>
              <w:right w:w="57" w:type="dxa"/>
            </w:tcMar>
            <w:vAlign w:val="center"/>
          </w:tcPr>
          <w:p w14:paraId="1B7B058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North East Link</w:t>
            </w:r>
          </w:p>
        </w:tc>
        <w:tc>
          <w:tcPr>
            <w:tcW w:w="2268" w:type="dxa"/>
            <w:shd w:val="clear" w:color="auto" w:fill="auto"/>
            <w:tcMar>
              <w:left w:w="57" w:type="dxa"/>
              <w:right w:w="57" w:type="dxa"/>
            </w:tcMar>
            <w:vAlign w:val="center"/>
          </w:tcPr>
          <w:p w14:paraId="5990F07A"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sz w:val="24"/>
                <w:szCs w:val="24"/>
              </w:rPr>
              <w:t xml:space="preserve">341.8 </w:t>
            </w:r>
          </w:p>
        </w:tc>
      </w:tr>
      <w:tr w:rsidR="003E5BF5" w:rsidRPr="00E273FC" w14:paraId="20FE353F" w14:textId="77777777" w:rsidTr="00641BE5">
        <w:trPr>
          <w:trHeight w:val="340"/>
        </w:trPr>
        <w:tc>
          <w:tcPr>
            <w:tcW w:w="6804" w:type="dxa"/>
            <w:shd w:val="clear" w:color="auto" w:fill="auto"/>
            <w:tcMar>
              <w:left w:w="57" w:type="dxa"/>
              <w:right w:w="57" w:type="dxa"/>
            </w:tcMar>
            <w:vAlign w:val="center"/>
          </w:tcPr>
          <w:p w14:paraId="78C99C4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Airport Rail Link</w:t>
            </w:r>
          </w:p>
        </w:tc>
        <w:tc>
          <w:tcPr>
            <w:tcW w:w="2268" w:type="dxa"/>
            <w:shd w:val="clear" w:color="auto" w:fill="auto"/>
            <w:tcMar>
              <w:left w:w="57" w:type="dxa"/>
              <w:right w:w="57" w:type="dxa"/>
            </w:tcMar>
            <w:vAlign w:val="center"/>
          </w:tcPr>
          <w:p w14:paraId="697DFA74"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sz w:val="24"/>
                <w:szCs w:val="24"/>
              </w:rPr>
              <w:t xml:space="preserve">55.8 </w:t>
            </w:r>
          </w:p>
        </w:tc>
      </w:tr>
      <w:tr w:rsidR="003E5BF5" w:rsidRPr="00E273FC" w14:paraId="0024C3C2" w14:textId="77777777" w:rsidTr="00641BE5">
        <w:trPr>
          <w:trHeight w:val="340"/>
        </w:trPr>
        <w:tc>
          <w:tcPr>
            <w:tcW w:w="6804" w:type="dxa"/>
            <w:shd w:val="clear" w:color="auto" w:fill="auto"/>
            <w:tcMar>
              <w:left w:w="57" w:type="dxa"/>
              <w:right w:w="57" w:type="dxa"/>
            </w:tcMar>
            <w:vAlign w:val="center"/>
          </w:tcPr>
          <w:p w14:paraId="534D6416"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Regional Rail Revival</w:t>
            </w:r>
          </w:p>
        </w:tc>
        <w:tc>
          <w:tcPr>
            <w:tcW w:w="2268" w:type="dxa"/>
            <w:shd w:val="clear" w:color="auto" w:fill="auto"/>
            <w:tcMar>
              <w:left w:w="57" w:type="dxa"/>
              <w:right w:w="57" w:type="dxa"/>
            </w:tcMar>
            <w:vAlign w:val="center"/>
          </w:tcPr>
          <w:p w14:paraId="5B0594A7"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sz w:val="24"/>
                <w:szCs w:val="24"/>
              </w:rPr>
              <w:t xml:space="preserve">-   </w:t>
            </w:r>
          </w:p>
        </w:tc>
      </w:tr>
      <w:tr w:rsidR="003E5BF5" w:rsidRPr="00E273FC" w14:paraId="05DEB515" w14:textId="77777777" w:rsidTr="00641BE5">
        <w:trPr>
          <w:trHeight w:val="340"/>
        </w:trPr>
        <w:tc>
          <w:tcPr>
            <w:tcW w:w="6804" w:type="dxa"/>
            <w:shd w:val="clear" w:color="auto" w:fill="auto"/>
            <w:tcMar>
              <w:left w:w="57" w:type="dxa"/>
              <w:right w:w="57" w:type="dxa"/>
            </w:tcMar>
            <w:vAlign w:val="center"/>
          </w:tcPr>
          <w:p w14:paraId="1D768AF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Regional Rolling Stock</w:t>
            </w:r>
          </w:p>
        </w:tc>
        <w:tc>
          <w:tcPr>
            <w:tcW w:w="2268" w:type="dxa"/>
            <w:shd w:val="clear" w:color="auto" w:fill="auto"/>
            <w:tcMar>
              <w:left w:w="57" w:type="dxa"/>
              <w:right w:w="57" w:type="dxa"/>
            </w:tcMar>
            <w:vAlign w:val="center"/>
          </w:tcPr>
          <w:p w14:paraId="67BE2D5A"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sz w:val="24"/>
                <w:szCs w:val="24"/>
              </w:rPr>
              <w:t xml:space="preserve">293.2 </w:t>
            </w:r>
          </w:p>
        </w:tc>
      </w:tr>
      <w:tr w:rsidR="003E5BF5" w:rsidRPr="00E273FC" w14:paraId="7AA3E047" w14:textId="77777777" w:rsidTr="00641BE5">
        <w:trPr>
          <w:trHeight w:val="340"/>
        </w:trPr>
        <w:tc>
          <w:tcPr>
            <w:tcW w:w="6804" w:type="dxa"/>
            <w:shd w:val="clear" w:color="auto" w:fill="auto"/>
            <w:tcMar>
              <w:left w:w="57" w:type="dxa"/>
              <w:right w:w="57" w:type="dxa"/>
            </w:tcMar>
            <w:vAlign w:val="center"/>
          </w:tcPr>
          <w:p w14:paraId="4BD5A2DF"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Major Periodic Maintenance</w:t>
            </w:r>
          </w:p>
        </w:tc>
        <w:tc>
          <w:tcPr>
            <w:tcW w:w="2268" w:type="dxa"/>
            <w:shd w:val="clear" w:color="auto" w:fill="auto"/>
            <w:tcMar>
              <w:left w:w="57" w:type="dxa"/>
              <w:right w:w="57" w:type="dxa"/>
            </w:tcMar>
            <w:vAlign w:val="center"/>
          </w:tcPr>
          <w:p w14:paraId="5DD62059"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sz w:val="24"/>
                <w:szCs w:val="24"/>
              </w:rPr>
              <w:t xml:space="preserve">46.8 </w:t>
            </w:r>
          </w:p>
        </w:tc>
      </w:tr>
      <w:tr w:rsidR="003E5BF5" w:rsidRPr="00E273FC" w14:paraId="1F60E801" w14:textId="77777777" w:rsidTr="00641BE5">
        <w:trPr>
          <w:trHeight w:val="340"/>
        </w:trPr>
        <w:tc>
          <w:tcPr>
            <w:tcW w:w="6804" w:type="dxa"/>
            <w:shd w:val="clear" w:color="auto" w:fill="auto"/>
            <w:tcMar>
              <w:left w:w="57" w:type="dxa"/>
              <w:right w:w="57" w:type="dxa"/>
            </w:tcMar>
            <w:vAlign w:val="center"/>
          </w:tcPr>
          <w:p w14:paraId="7BDFFDD9"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Wyndham Vale Stabling Yard</w:t>
            </w:r>
          </w:p>
        </w:tc>
        <w:tc>
          <w:tcPr>
            <w:tcW w:w="2268" w:type="dxa"/>
            <w:shd w:val="clear" w:color="auto" w:fill="auto"/>
            <w:tcMar>
              <w:left w:w="57" w:type="dxa"/>
              <w:right w:w="57" w:type="dxa"/>
            </w:tcMar>
            <w:vAlign w:val="center"/>
          </w:tcPr>
          <w:p w14:paraId="5B1A69FD"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sz w:val="24"/>
                <w:szCs w:val="24"/>
              </w:rPr>
              <w:t xml:space="preserve">102.3 </w:t>
            </w:r>
          </w:p>
        </w:tc>
      </w:tr>
      <w:tr w:rsidR="003E5BF5" w:rsidRPr="00E273FC" w14:paraId="5E2CA552" w14:textId="77777777" w:rsidTr="00641BE5">
        <w:trPr>
          <w:trHeight w:val="340"/>
        </w:trPr>
        <w:tc>
          <w:tcPr>
            <w:tcW w:w="6804" w:type="dxa"/>
            <w:shd w:val="clear" w:color="auto" w:fill="auto"/>
            <w:tcMar>
              <w:left w:w="57" w:type="dxa"/>
              <w:right w:w="57" w:type="dxa"/>
            </w:tcMar>
            <w:vAlign w:val="center"/>
          </w:tcPr>
          <w:p w14:paraId="63B120B7"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Total costs incurred</w:t>
            </w:r>
          </w:p>
        </w:tc>
        <w:tc>
          <w:tcPr>
            <w:tcW w:w="2268" w:type="dxa"/>
            <w:shd w:val="clear" w:color="auto" w:fill="auto"/>
            <w:tcMar>
              <w:left w:w="57" w:type="dxa"/>
              <w:right w:w="57" w:type="dxa"/>
            </w:tcMar>
            <w:vAlign w:val="center"/>
          </w:tcPr>
          <w:p w14:paraId="1D40E8B8" w14:textId="77777777" w:rsidR="003E5BF5" w:rsidRPr="00E273FC" w:rsidRDefault="003E5BF5" w:rsidP="00DE1921">
            <w:pPr>
              <w:pStyle w:val="TableTextRightBold"/>
              <w:rPr>
                <w:rFonts w:ascii="Arial" w:hAnsi="Arial" w:cs="Arial"/>
                <w:b w:val="0"/>
                <w:sz w:val="24"/>
                <w:szCs w:val="24"/>
              </w:rPr>
            </w:pPr>
            <w:r w:rsidRPr="00E273FC">
              <w:rPr>
                <w:rFonts w:ascii="Arial" w:hAnsi="Arial" w:cs="Arial"/>
                <w:b w:val="0"/>
                <w:sz w:val="24"/>
                <w:szCs w:val="24"/>
              </w:rPr>
              <w:t xml:space="preserve">77.3 </w:t>
            </w:r>
          </w:p>
        </w:tc>
      </w:tr>
      <w:tr w:rsidR="003E5BF5" w:rsidRPr="00E273FC" w14:paraId="16564174" w14:textId="77777777" w:rsidTr="00641BE5">
        <w:trPr>
          <w:trHeight w:val="340"/>
        </w:trPr>
        <w:tc>
          <w:tcPr>
            <w:tcW w:w="6804" w:type="dxa"/>
            <w:shd w:val="clear" w:color="auto" w:fill="auto"/>
            <w:tcMar>
              <w:left w:w="57" w:type="dxa"/>
              <w:right w:w="57" w:type="dxa"/>
            </w:tcMar>
            <w:vAlign w:val="center"/>
          </w:tcPr>
          <w:p w14:paraId="71CF29C1" w14:textId="77777777" w:rsidR="003E5BF5" w:rsidRPr="00E273FC" w:rsidRDefault="003E5BF5" w:rsidP="00DE1921">
            <w:pPr>
              <w:pStyle w:val="TableTextLeftBold"/>
              <w:rPr>
                <w:rFonts w:ascii="Arial" w:hAnsi="Arial" w:cs="Arial"/>
                <w:i/>
                <w:sz w:val="24"/>
                <w:szCs w:val="24"/>
              </w:rPr>
            </w:pPr>
            <w:r w:rsidRPr="00E273FC">
              <w:rPr>
                <w:rFonts w:ascii="Arial" w:hAnsi="Arial" w:cs="Arial"/>
                <w:sz w:val="24"/>
                <w:szCs w:val="24"/>
              </w:rPr>
              <w:t>Total payments from the trust</w:t>
            </w:r>
          </w:p>
        </w:tc>
        <w:tc>
          <w:tcPr>
            <w:tcW w:w="2268" w:type="dxa"/>
            <w:shd w:val="clear" w:color="auto" w:fill="auto"/>
            <w:tcMar>
              <w:left w:w="57" w:type="dxa"/>
              <w:right w:w="57" w:type="dxa"/>
            </w:tcMar>
            <w:vAlign w:val="center"/>
          </w:tcPr>
          <w:p w14:paraId="3381D1B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2,414.1 </w:t>
            </w:r>
          </w:p>
        </w:tc>
      </w:tr>
      <w:tr w:rsidR="003E5BF5" w:rsidRPr="00E273FC" w14:paraId="744BFDAB" w14:textId="77777777" w:rsidTr="00641BE5">
        <w:trPr>
          <w:trHeight w:val="340"/>
        </w:trPr>
        <w:tc>
          <w:tcPr>
            <w:tcW w:w="6804" w:type="dxa"/>
            <w:shd w:val="clear" w:color="auto" w:fill="auto"/>
            <w:tcMar>
              <w:left w:w="57" w:type="dxa"/>
              <w:right w:w="57" w:type="dxa"/>
            </w:tcMar>
            <w:vAlign w:val="center"/>
          </w:tcPr>
          <w:p w14:paraId="0619C3EE"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Movement in accounts payable and provisions</w:t>
            </w:r>
          </w:p>
        </w:tc>
        <w:tc>
          <w:tcPr>
            <w:tcW w:w="2268" w:type="dxa"/>
            <w:shd w:val="clear" w:color="auto" w:fill="auto"/>
            <w:tcMar>
              <w:left w:w="57" w:type="dxa"/>
              <w:right w:w="57" w:type="dxa"/>
            </w:tcMar>
            <w:vAlign w:val="center"/>
          </w:tcPr>
          <w:p w14:paraId="257E2B3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(81.0) </w:t>
            </w:r>
          </w:p>
        </w:tc>
      </w:tr>
      <w:tr w:rsidR="003E5BF5" w:rsidRPr="00E273FC" w14:paraId="3BFF988A" w14:textId="77777777" w:rsidTr="00641BE5">
        <w:trPr>
          <w:trHeight w:val="340"/>
        </w:trPr>
        <w:tc>
          <w:tcPr>
            <w:tcW w:w="6804" w:type="dxa"/>
            <w:shd w:val="clear" w:color="auto" w:fill="auto"/>
            <w:tcMar>
              <w:left w:w="57" w:type="dxa"/>
              <w:right w:w="57" w:type="dxa"/>
            </w:tcMar>
            <w:vAlign w:val="center"/>
          </w:tcPr>
          <w:p w14:paraId="224F8787"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Total payments from the trust</w:t>
            </w:r>
          </w:p>
        </w:tc>
        <w:tc>
          <w:tcPr>
            <w:tcW w:w="2268" w:type="dxa"/>
            <w:shd w:val="clear" w:color="auto" w:fill="auto"/>
            <w:tcMar>
              <w:left w:w="57" w:type="dxa"/>
              <w:right w:w="57" w:type="dxa"/>
            </w:tcMar>
            <w:vAlign w:val="center"/>
          </w:tcPr>
          <w:p w14:paraId="600F0A0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xml:space="preserve">2,333.1 </w:t>
            </w:r>
          </w:p>
        </w:tc>
      </w:tr>
      <w:tr w:rsidR="003E5BF5" w:rsidRPr="00E273FC" w14:paraId="304B9C76" w14:textId="77777777" w:rsidTr="00641BE5">
        <w:trPr>
          <w:trHeight w:val="340"/>
        </w:trPr>
        <w:tc>
          <w:tcPr>
            <w:tcW w:w="6804" w:type="dxa"/>
            <w:shd w:val="clear" w:color="auto" w:fill="auto"/>
            <w:tcMar>
              <w:left w:w="57" w:type="dxa"/>
              <w:right w:w="57" w:type="dxa"/>
            </w:tcMar>
            <w:vAlign w:val="center"/>
          </w:tcPr>
          <w:p w14:paraId="578BA73F"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 xml:space="preserve">Closing cash balance </w:t>
            </w:r>
          </w:p>
        </w:tc>
        <w:tc>
          <w:tcPr>
            <w:tcW w:w="2268" w:type="dxa"/>
            <w:shd w:val="clear" w:color="auto" w:fill="auto"/>
            <w:tcMar>
              <w:left w:w="57" w:type="dxa"/>
              <w:right w:w="57" w:type="dxa"/>
            </w:tcMar>
            <w:vAlign w:val="center"/>
          </w:tcPr>
          <w:p w14:paraId="239BEFC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389.9</w:t>
            </w:r>
          </w:p>
        </w:tc>
      </w:tr>
    </w:tbl>
    <w:p w14:paraId="5FBE208D" w14:textId="77777777" w:rsidR="003E5BF5" w:rsidRPr="00E273FC" w:rsidRDefault="003E5BF5" w:rsidP="00696A16">
      <w:pPr>
        <w:pStyle w:val="Note"/>
        <w:spacing w:before="120" w:after="0" w:line="360" w:lineRule="auto"/>
        <w:rPr>
          <w:rFonts w:ascii="Arial" w:hAnsi="Arial" w:cs="Arial"/>
          <w:sz w:val="24"/>
          <w:szCs w:val="24"/>
        </w:rPr>
      </w:pPr>
      <w:r w:rsidRPr="00E273FC">
        <w:rPr>
          <w:rFonts w:ascii="Arial" w:hAnsi="Arial" w:cs="Arial"/>
          <w:sz w:val="24"/>
          <w:szCs w:val="24"/>
        </w:rPr>
        <w:t>Note:</w:t>
      </w:r>
    </w:p>
    <w:p w14:paraId="6740334C" w14:textId="77777777" w:rsidR="003F1CB4" w:rsidRPr="00E273FC" w:rsidRDefault="003E5BF5" w:rsidP="00610F5F">
      <w:pPr>
        <w:pStyle w:val="Notenumber123"/>
        <w:numPr>
          <w:ilvl w:val="0"/>
          <w:numId w:val="57"/>
        </w:numPr>
        <w:spacing w:line="360" w:lineRule="auto"/>
        <w:ind w:left="340" w:hanging="227"/>
        <w:contextualSpacing/>
        <w:rPr>
          <w:rFonts w:ascii="Arial" w:hAnsi="Arial" w:cs="Arial"/>
          <w:sz w:val="24"/>
          <w:szCs w:val="24"/>
        </w:rPr>
        <w:sectPr w:rsidR="003F1CB4" w:rsidRPr="00E273FC" w:rsidSect="00DE1921">
          <w:headerReference w:type="even" r:id="rId269"/>
          <w:headerReference w:type="default" r:id="rId270"/>
          <w:footerReference w:type="even" r:id="rId271"/>
          <w:headerReference w:type="first" r:id="rId272"/>
          <w:footerReference w:type="first" r:id="rId273"/>
          <w:pgSz w:w="11906" w:h="16838"/>
          <w:pgMar w:top="1440" w:right="1440" w:bottom="1440" w:left="1440" w:header="708" w:footer="708" w:gutter="0"/>
          <w:cols w:space="708"/>
          <w:docGrid w:linePitch="360"/>
        </w:sectPr>
      </w:pPr>
      <w:r w:rsidRPr="00E273FC">
        <w:rPr>
          <w:rFonts w:ascii="Arial" w:hAnsi="Arial" w:cs="Arial"/>
          <w:sz w:val="24"/>
          <w:szCs w:val="24"/>
        </w:rPr>
        <w:t xml:space="preserve">Based on accrual accounting principles. </w:t>
      </w:r>
    </w:p>
    <w:p w14:paraId="0C9470E1" w14:textId="77777777" w:rsidR="003E5BF5" w:rsidRPr="00337E31" w:rsidRDefault="003E5BF5" w:rsidP="008A0170">
      <w:pPr>
        <w:pStyle w:val="Heading1"/>
        <w:sectPr w:rsidR="003E5BF5" w:rsidRPr="00337E31" w:rsidSect="00137AAD">
          <w:pgSz w:w="11906" w:h="16838"/>
          <w:pgMar w:top="1440" w:right="1440" w:bottom="1440" w:left="1440" w:header="708" w:footer="708" w:gutter="0"/>
          <w:cols w:space="708"/>
          <w:docGrid w:linePitch="360"/>
        </w:sectPr>
      </w:pPr>
      <w:bookmarkStart w:id="801" w:name="_Toc55130707"/>
      <w:r w:rsidRPr="00337E31">
        <w:lastRenderedPageBreak/>
        <w:t xml:space="preserve">Appendix 6: </w:t>
      </w:r>
      <w:r w:rsidRPr="00A020F4">
        <w:t>Better</w:t>
      </w:r>
      <w:r w:rsidRPr="00337E31">
        <w:t xml:space="preserve"> Roads Victoria</w:t>
      </w:r>
      <w:bookmarkEnd w:id="801"/>
    </w:p>
    <w:p w14:paraId="35BB2661" w14:textId="77777777" w:rsidR="003E5BF5" w:rsidRPr="008937E5" w:rsidRDefault="003E5BF5" w:rsidP="008238B6">
      <w:pPr>
        <w:pStyle w:val="aaatyping"/>
        <w:spacing w:after="120"/>
      </w:pPr>
      <w:r w:rsidRPr="008937E5">
        <w:t xml:space="preserve">The Victorian Government's Better Roads Victoria Trust was established in 1993 under the </w:t>
      </w:r>
      <w:r w:rsidRPr="00F44412">
        <w:t>Business Franchise (Protection Products) Act 1979</w:t>
      </w:r>
      <w:r w:rsidRPr="008937E5">
        <w:t>.</w:t>
      </w:r>
    </w:p>
    <w:p w14:paraId="4D806E29" w14:textId="77777777" w:rsidR="00137AAD" w:rsidRDefault="003E5BF5" w:rsidP="00355316">
      <w:pPr>
        <w:pStyle w:val="aaatyping"/>
        <w:spacing w:after="120"/>
      </w:pPr>
      <w:r w:rsidRPr="008937E5">
        <w:t xml:space="preserve">All receipts collected from </w:t>
      </w:r>
      <w:r w:rsidRPr="00FC7725">
        <w:t>traffic</w:t>
      </w:r>
      <w:r w:rsidRPr="008937E5">
        <w:t xml:space="preserve"> camera and on-the-spot </w:t>
      </w:r>
      <w:r>
        <w:t xml:space="preserve">speeding </w:t>
      </w:r>
      <w:r w:rsidRPr="008937E5">
        <w:t xml:space="preserve">fines are channelled into Better Roads Victoria Trust. From 1 July 2015, the government effected changes to operation of the Better Roads Victoria Trust to establish a clear linkage between the Better Roads Victoria Trust and the projects and activities it </w:t>
      </w:r>
      <w:r w:rsidRPr="00907F9D">
        <w:t>funds</w:t>
      </w:r>
      <w:r w:rsidRPr="008937E5">
        <w:t>.</w:t>
      </w:r>
    </w:p>
    <w:p w14:paraId="67BC2B61" w14:textId="45FE223F" w:rsidR="003E5BF5" w:rsidRPr="008937E5" w:rsidRDefault="003E5BF5" w:rsidP="00355316">
      <w:pPr>
        <w:pStyle w:val="aaatyping"/>
        <w:spacing w:after="120"/>
      </w:pPr>
      <w:r w:rsidRPr="008937E5">
        <w:t xml:space="preserve">Effective from 1 July 2019, the </w:t>
      </w:r>
      <w:r w:rsidRPr="00A400AF">
        <w:t xml:space="preserve">Transport Legislation Amendment (Better Roads Victoria and Other Amendments) Act 2019 </w:t>
      </w:r>
      <w:r w:rsidRPr="008937E5">
        <w:t>introduced new expenditure requirements for the Better Roads Victoria Trust to allocate the traffic camera and on-the-spot speeding fine revenues towards the repair and upgrade of roads over a four-year period on the following basis:</w:t>
      </w:r>
    </w:p>
    <w:p w14:paraId="38D927C4" w14:textId="77777777" w:rsidR="003E5BF5" w:rsidRPr="008937E5" w:rsidRDefault="003E5BF5" w:rsidP="008238B6">
      <w:pPr>
        <w:pStyle w:val="aaabullet"/>
        <w:spacing w:line="240" w:lineRule="auto"/>
      </w:pPr>
      <w:r w:rsidRPr="008937E5">
        <w:t>minimum 33 per cent spent on outer suburban and interface communities</w:t>
      </w:r>
    </w:p>
    <w:p w14:paraId="7DD769E2" w14:textId="7784D1F4" w:rsidR="003E5BF5" w:rsidRDefault="003E5BF5" w:rsidP="008238B6">
      <w:pPr>
        <w:pStyle w:val="aaabullet"/>
        <w:spacing w:after="120" w:line="240" w:lineRule="auto"/>
      </w:pPr>
      <w:r w:rsidRPr="008937E5">
        <w:t>minimum 33 per cent spent on rural and regional communities.</w:t>
      </w:r>
    </w:p>
    <w:tbl>
      <w:tblPr>
        <w:tblStyle w:val="TableGrid"/>
        <w:tblW w:w="9072" w:type="dxa"/>
        <w:tblLayout w:type="fixed"/>
        <w:tblLook w:val="04A0" w:firstRow="1" w:lastRow="0" w:firstColumn="1" w:lastColumn="0" w:noHBand="0" w:noVBand="1"/>
      </w:tblPr>
      <w:tblGrid>
        <w:gridCol w:w="6946"/>
        <w:gridCol w:w="2126"/>
      </w:tblGrid>
      <w:tr w:rsidR="003E5BF5" w:rsidRPr="00E273FC" w14:paraId="352E495E" w14:textId="77777777" w:rsidTr="00641BE5">
        <w:trPr>
          <w:trHeight w:val="340"/>
        </w:trPr>
        <w:tc>
          <w:tcPr>
            <w:tcW w:w="6946" w:type="dxa"/>
            <w:shd w:val="clear" w:color="auto" w:fill="auto"/>
            <w:tcMar>
              <w:left w:w="57" w:type="dxa"/>
              <w:right w:w="57" w:type="dxa"/>
            </w:tcMar>
            <w:vAlign w:val="bottom"/>
          </w:tcPr>
          <w:p w14:paraId="0BDC37A2" w14:textId="0878FFFD" w:rsidR="003E5BF5" w:rsidRPr="00E273FC" w:rsidRDefault="003E5BF5" w:rsidP="00CF74EB">
            <w:pPr>
              <w:pStyle w:val="TableHeader"/>
            </w:pPr>
            <w:r w:rsidRPr="00E273FC">
              <w:t>Cash balance of the trust</w:t>
            </w:r>
          </w:p>
        </w:tc>
        <w:tc>
          <w:tcPr>
            <w:tcW w:w="2126" w:type="dxa"/>
            <w:shd w:val="clear" w:color="auto" w:fill="auto"/>
          </w:tcPr>
          <w:p w14:paraId="1A4F0776"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2019-20 Actual</w:t>
            </w:r>
          </w:p>
          <w:p w14:paraId="64DE09E4"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 million)</w:t>
            </w:r>
          </w:p>
        </w:tc>
      </w:tr>
      <w:tr w:rsidR="003E5BF5" w:rsidRPr="00E273FC" w14:paraId="38620321" w14:textId="77777777" w:rsidTr="00641BE5">
        <w:trPr>
          <w:trHeight w:val="340"/>
        </w:trPr>
        <w:tc>
          <w:tcPr>
            <w:tcW w:w="6946" w:type="dxa"/>
            <w:shd w:val="clear" w:color="auto" w:fill="auto"/>
            <w:tcMar>
              <w:left w:w="57" w:type="dxa"/>
              <w:right w:w="57" w:type="dxa"/>
            </w:tcMar>
            <w:vAlign w:val="center"/>
          </w:tcPr>
          <w:p w14:paraId="4BC1774F"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Opening cash balance</w:t>
            </w:r>
          </w:p>
        </w:tc>
        <w:tc>
          <w:tcPr>
            <w:tcW w:w="2126" w:type="dxa"/>
            <w:shd w:val="clear" w:color="auto" w:fill="auto"/>
            <w:tcMar>
              <w:left w:w="57" w:type="dxa"/>
              <w:right w:w="57" w:type="dxa"/>
            </w:tcMar>
            <w:vAlign w:val="center"/>
          </w:tcPr>
          <w:p w14:paraId="580AFB92"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0.3</w:t>
            </w:r>
          </w:p>
        </w:tc>
      </w:tr>
      <w:tr w:rsidR="003E5BF5" w:rsidRPr="00E273FC" w14:paraId="16B72954" w14:textId="77777777" w:rsidTr="00641BE5">
        <w:trPr>
          <w:trHeight w:val="340"/>
        </w:trPr>
        <w:tc>
          <w:tcPr>
            <w:tcW w:w="6946" w:type="dxa"/>
            <w:shd w:val="clear" w:color="auto" w:fill="auto"/>
            <w:tcMar>
              <w:left w:w="57" w:type="dxa"/>
              <w:right w:w="57" w:type="dxa"/>
            </w:tcMar>
            <w:vAlign w:val="center"/>
          </w:tcPr>
          <w:p w14:paraId="231EE2D4" w14:textId="77777777" w:rsidR="003E5BF5" w:rsidRPr="00E273FC" w:rsidRDefault="003E5BF5" w:rsidP="00604703">
            <w:pPr>
              <w:pStyle w:val="TableTextGreen"/>
            </w:pPr>
            <w:r w:rsidRPr="00E273FC">
              <w:t>Receipts of the trust</w:t>
            </w:r>
          </w:p>
        </w:tc>
        <w:tc>
          <w:tcPr>
            <w:tcW w:w="2126" w:type="dxa"/>
            <w:shd w:val="clear" w:color="auto" w:fill="auto"/>
            <w:tcMar>
              <w:left w:w="57" w:type="dxa"/>
              <w:right w:w="57" w:type="dxa"/>
            </w:tcMar>
            <w:vAlign w:val="center"/>
          </w:tcPr>
          <w:p w14:paraId="72F0B0AF" w14:textId="77777777" w:rsidR="003E5BF5" w:rsidRPr="00E273FC" w:rsidRDefault="003E5BF5" w:rsidP="00DE1921">
            <w:pPr>
              <w:pStyle w:val="TableTextRightBold"/>
              <w:rPr>
                <w:rFonts w:ascii="Arial" w:hAnsi="Arial" w:cs="Arial"/>
                <w:sz w:val="24"/>
                <w:szCs w:val="24"/>
              </w:rPr>
            </w:pPr>
          </w:p>
        </w:tc>
      </w:tr>
      <w:tr w:rsidR="003E5BF5" w:rsidRPr="00E273FC" w14:paraId="7DE60D28" w14:textId="77777777" w:rsidTr="00641BE5">
        <w:trPr>
          <w:trHeight w:val="340"/>
        </w:trPr>
        <w:tc>
          <w:tcPr>
            <w:tcW w:w="6946" w:type="dxa"/>
            <w:shd w:val="clear" w:color="auto" w:fill="auto"/>
            <w:tcMar>
              <w:left w:w="57" w:type="dxa"/>
              <w:right w:w="57" w:type="dxa"/>
            </w:tcMar>
            <w:vAlign w:val="center"/>
          </w:tcPr>
          <w:p w14:paraId="0BB949D2"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Traffic camera and on-the-spot speeding fines revenue</w:t>
            </w:r>
          </w:p>
        </w:tc>
        <w:tc>
          <w:tcPr>
            <w:tcW w:w="2126" w:type="dxa"/>
            <w:shd w:val="clear" w:color="auto" w:fill="auto"/>
            <w:tcMar>
              <w:left w:w="57" w:type="dxa"/>
              <w:right w:w="57" w:type="dxa"/>
            </w:tcMar>
            <w:vAlign w:val="center"/>
          </w:tcPr>
          <w:p w14:paraId="5E51A9A5"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389.8</w:t>
            </w:r>
          </w:p>
        </w:tc>
      </w:tr>
      <w:tr w:rsidR="003E5BF5" w:rsidRPr="00E273FC" w14:paraId="63FA4E79" w14:textId="77777777" w:rsidTr="00641BE5">
        <w:trPr>
          <w:trHeight w:val="340"/>
        </w:trPr>
        <w:tc>
          <w:tcPr>
            <w:tcW w:w="6946" w:type="dxa"/>
            <w:shd w:val="clear" w:color="auto" w:fill="auto"/>
            <w:tcMar>
              <w:left w:w="57" w:type="dxa"/>
              <w:right w:w="57" w:type="dxa"/>
            </w:tcMar>
            <w:vAlign w:val="center"/>
          </w:tcPr>
          <w:p w14:paraId="7D93BF26"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Appropriation</w:t>
            </w:r>
          </w:p>
        </w:tc>
        <w:tc>
          <w:tcPr>
            <w:tcW w:w="2126" w:type="dxa"/>
            <w:shd w:val="clear" w:color="auto" w:fill="auto"/>
            <w:tcMar>
              <w:left w:w="57" w:type="dxa"/>
              <w:right w:w="57" w:type="dxa"/>
            </w:tcMar>
            <w:vAlign w:val="center"/>
          </w:tcPr>
          <w:p w14:paraId="28190C5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20.0</w:t>
            </w:r>
          </w:p>
        </w:tc>
      </w:tr>
      <w:tr w:rsidR="003E5BF5" w:rsidRPr="00E273FC" w14:paraId="47ECFCBB" w14:textId="77777777" w:rsidTr="00641BE5">
        <w:trPr>
          <w:trHeight w:val="340"/>
        </w:trPr>
        <w:tc>
          <w:tcPr>
            <w:tcW w:w="6946" w:type="dxa"/>
            <w:shd w:val="clear" w:color="auto" w:fill="auto"/>
            <w:tcMar>
              <w:left w:w="57" w:type="dxa"/>
              <w:right w:w="57" w:type="dxa"/>
            </w:tcMar>
            <w:vAlign w:val="center"/>
          </w:tcPr>
          <w:p w14:paraId="14A16A00" w14:textId="77777777" w:rsidR="003E5BF5" w:rsidRPr="00E273FC" w:rsidRDefault="003E5BF5" w:rsidP="00DE1921">
            <w:pPr>
              <w:pStyle w:val="TableTextLeft"/>
              <w:rPr>
                <w:rFonts w:ascii="Arial" w:hAnsi="Arial" w:cs="Arial"/>
                <w:b/>
                <w:sz w:val="24"/>
                <w:szCs w:val="24"/>
              </w:rPr>
            </w:pPr>
            <w:r w:rsidRPr="00E273FC">
              <w:rPr>
                <w:rFonts w:ascii="Arial" w:hAnsi="Arial" w:cs="Arial"/>
                <w:b/>
                <w:sz w:val="24"/>
                <w:szCs w:val="24"/>
              </w:rPr>
              <w:t>Total receipts into trust</w:t>
            </w:r>
          </w:p>
        </w:tc>
        <w:tc>
          <w:tcPr>
            <w:tcW w:w="2126" w:type="dxa"/>
            <w:shd w:val="clear" w:color="auto" w:fill="auto"/>
            <w:tcMar>
              <w:left w:w="57" w:type="dxa"/>
              <w:right w:w="57" w:type="dxa"/>
            </w:tcMar>
            <w:vAlign w:val="center"/>
          </w:tcPr>
          <w:p w14:paraId="0F6C4703"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410.1</w:t>
            </w:r>
          </w:p>
        </w:tc>
      </w:tr>
      <w:tr w:rsidR="003E5BF5" w:rsidRPr="00E273FC" w14:paraId="2C74E9A5" w14:textId="77777777" w:rsidTr="00641BE5">
        <w:trPr>
          <w:trHeight w:val="340"/>
        </w:trPr>
        <w:tc>
          <w:tcPr>
            <w:tcW w:w="6946" w:type="dxa"/>
            <w:shd w:val="clear" w:color="auto" w:fill="auto"/>
            <w:tcMar>
              <w:left w:w="57" w:type="dxa"/>
              <w:right w:w="57" w:type="dxa"/>
            </w:tcMar>
            <w:vAlign w:val="center"/>
          </w:tcPr>
          <w:p w14:paraId="69A86613" w14:textId="77777777" w:rsidR="003E5BF5" w:rsidRPr="00E273FC" w:rsidRDefault="003E5BF5" w:rsidP="00DE1921">
            <w:pPr>
              <w:pStyle w:val="TableTextLeftBold"/>
              <w:rPr>
                <w:rFonts w:ascii="Arial" w:hAnsi="Arial" w:cs="Arial"/>
                <w:sz w:val="24"/>
                <w:szCs w:val="24"/>
              </w:rPr>
            </w:pPr>
          </w:p>
        </w:tc>
        <w:tc>
          <w:tcPr>
            <w:tcW w:w="2126" w:type="dxa"/>
            <w:shd w:val="clear" w:color="auto" w:fill="auto"/>
            <w:tcMar>
              <w:left w:w="57" w:type="dxa"/>
              <w:right w:w="57" w:type="dxa"/>
            </w:tcMar>
            <w:vAlign w:val="center"/>
          </w:tcPr>
          <w:p w14:paraId="7C60E66D" w14:textId="77777777" w:rsidR="003E5BF5" w:rsidRPr="00E273FC" w:rsidRDefault="003E5BF5" w:rsidP="00DE1921">
            <w:pPr>
              <w:pStyle w:val="TableTextLeftBold"/>
              <w:jc w:val="right"/>
              <w:rPr>
                <w:rFonts w:ascii="Arial" w:hAnsi="Arial" w:cs="Arial"/>
                <w:sz w:val="24"/>
                <w:szCs w:val="24"/>
              </w:rPr>
            </w:pPr>
          </w:p>
        </w:tc>
      </w:tr>
      <w:tr w:rsidR="003E5BF5" w:rsidRPr="00E273FC" w14:paraId="53EBB04F" w14:textId="77777777" w:rsidTr="00641BE5">
        <w:trPr>
          <w:trHeight w:val="340"/>
        </w:trPr>
        <w:tc>
          <w:tcPr>
            <w:tcW w:w="6946" w:type="dxa"/>
            <w:shd w:val="clear" w:color="auto" w:fill="auto"/>
            <w:tcMar>
              <w:left w:w="57" w:type="dxa"/>
              <w:right w:w="57" w:type="dxa"/>
            </w:tcMar>
            <w:vAlign w:val="center"/>
          </w:tcPr>
          <w:p w14:paraId="1C343722" w14:textId="77777777" w:rsidR="003E5BF5" w:rsidRPr="00E273FC" w:rsidRDefault="003E5BF5" w:rsidP="00DE1921">
            <w:pPr>
              <w:pStyle w:val="TableTextLeft"/>
              <w:rPr>
                <w:rFonts w:ascii="Arial" w:hAnsi="Arial" w:cs="Arial"/>
                <w:sz w:val="24"/>
                <w:szCs w:val="24"/>
              </w:rPr>
            </w:pPr>
            <w:r w:rsidRPr="00E3241E">
              <w:rPr>
                <w:rFonts w:ascii="Arial" w:hAnsi="Arial" w:cs="Arial"/>
                <w:color w:val="0E787C"/>
                <w:sz w:val="24"/>
                <w:szCs w:val="24"/>
              </w:rPr>
              <w:t xml:space="preserve">Payments from the trust </w:t>
            </w:r>
            <w:r w:rsidRPr="00E3241E">
              <w:rPr>
                <w:rFonts w:ascii="Arial" w:hAnsi="Arial" w:cs="Arial"/>
                <w:color w:val="0E787C"/>
                <w:sz w:val="24"/>
                <w:szCs w:val="24"/>
                <w:vertAlign w:val="superscript"/>
              </w:rPr>
              <w:t>(1)(2)</w:t>
            </w:r>
          </w:p>
        </w:tc>
        <w:tc>
          <w:tcPr>
            <w:tcW w:w="2126" w:type="dxa"/>
            <w:shd w:val="clear" w:color="auto" w:fill="auto"/>
            <w:tcMar>
              <w:left w:w="57" w:type="dxa"/>
              <w:right w:w="57" w:type="dxa"/>
            </w:tcMar>
            <w:vAlign w:val="center"/>
          </w:tcPr>
          <w:p w14:paraId="1A33E52D" w14:textId="77777777" w:rsidR="003E5BF5" w:rsidRPr="00E273FC" w:rsidRDefault="003E5BF5" w:rsidP="00DE1921">
            <w:pPr>
              <w:pStyle w:val="TableTextRightBold"/>
              <w:rPr>
                <w:rFonts w:ascii="Arial" w:hAnsi="Arial" w:cs="Arial"/>
                <w:sz w:val="24"/>
                <w:szCs w:val="24"/>
              </w:rPr>
            </w:pPr>
          </w:p>
        </w:tc>
      </w:tr>
      <w:tr w:rsidR="003E5BF5" w:rsidRPr="00E273FC" w14:paraId="7A8DA637" w14:textId="77777777" w:rsidTr="00641BE5">
        <w:trPr>
          <w:trHeight w:val="340"/>
        </w:trPr>
        <w:tc>
          <w:tcPr>
            <w:tcW w:w="6946" w:type="dxa"/>
            <w:shd w:val="clear" w:color="auto" w:fill="auto"/>
            <w:tcMar>
              <w:left w:w="57" w:type="dxa"/>
              <w:right w:w="57" w:type="dxa"/>
            </w:tcMar>
            <w:vAlign w:val="center"/>
          </w:tcPr>
          <w:p w14:paraId="13D7B30C"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Outer suburban expenditure</w:t>
            </w:r>
          </w:p>
        </w:tc>
        <w:tc>
          <w:tcPr>
            <w:tcW w:w="2126" w:type="dxa"/>
            <w:shd w:val="clear" w:color="auto" w:fill="auto"/>
            <w:tcMar>
              <w:left w:w="57" w:type="dxa"/>
              <w:right w:w="57" w:type="dxa"/>
            </w:tcMar>
            <w:vAlign w:val="center"/>
          </w:tcPr>
          <w:p w14:paraId="54FC9FDC"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222.0</w:t>
            </w:r>
          </w:p>
        </w:tc>
      </w:tr>
      <w:tr w:rsidR="003E5BF5" w:rsidRPr="00E273FC" w14:paraId="185A5A87" w14:textId="77777777" w:rsidTr="00641BE5">
        <w:trPr>
          <w:trHeight w:val="340"/>
        </w:trPr>
        <w:tc>
          <w:tcPr>
            <w:tcW w:w="6946" w:type="dxa"/>
            <w:shd w:val="clear" w:color="auto" w:fill="auto"/>
            <w:tcMar>
              <w:left w:w="57" w:type="dxa"/>
              <w:right w:w="57" w:type="dxa"/>
            </w:tcMar>
            <w:vAlign w:val="center"/>
          </w:tcPr>
          <w:p w14:paraId="272E9061"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Rural Regional expenditure</w:t>
            </w:r>
          </w:p>
        </w:tc>
        <w:tc>
          <w:tcPr>
            <w:tcW w:w="2126" w:type="dxa"/>
            <w:shd w:val="clear" w:color="auto" w:fill="auto"/>
            <w:tcMar>
              <w:left w:w="57" w:type="dxa"/>
              <w:right w:w="57" w:type="dxa"/>
            </w:tcMar>
            <w:vAlign w:val="center"/>
          </w:tcPr>
          <w:p w14:paraId="4065B194"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171.5</w:t>
            </w:r>
          </w:p>
        </w:tc>
      </w:tr>
      <w:tr w:rsidR="003E5BF5" w:rsidRPr="00E273FC" w14:paraId="6657BAA5" w14:textId="77777777" w:rsidTr="00641BE5">
        <w:trPr>
          <w:trHeight w:val="340"/>
        </w:trPr>
        <w:tc>
          <w:tcPr>
            <w:tcW w:w="6946" w:type="dxa"/>
            <w:shd w:val="clear" w:color="auto" w:fill="auto"/>
            <w:tcMar>
              <w:left w:w="57" w:type="dxa"/>
              <w:right w:w="57" w:type="dxa"/>
            </w:tcMar>
            <w:vAlign w:val="center"/>
          </w:tcPr>
          <w:p w14:paraId="5D4FA5C3" w14:textId="77777777" w:rsidR="003E5BF5" w:rsidRPr="00E273FC" w:rsidRDefault="003E5BF5" w:rsidP="00DE1921">
            <w:pPr>
              <w:pStyle w:val="TableTextLeft"/>
              <w:rPr>
                <w:rFonts w:ascii="Arial" w:hAnsi="Arial" w:cs="Arial"/>
                <w:b/>
                <w:sz w:val="24"/>
                <w:szCs w:val="24"/>
              </w:rPr>
            </w:pPr>
            <w:r w:rsidRPr="00E273FC">
              <w:rPr>
                <w:rFonts w:ascii="Arial" w:hAnsi="Arial" w:cs="Arial"/>
                <w:b/>
                <w:sz w:val="24"/>
                <w:szCs w:val="24"/>
              </w:rPr>
              <w:t>Total costs incurred</w:t>
            </w:r>
          </w:p>
        </w:tc>
        <w:tc>
          <w:tcPr>
            <w:tcW w:w="2126" w:type="dxa"/>
            <w:shd w:val="clear" w:color="auto" w:fill="auto"/>
            <w:tcMar>
              <w:left w:w="57" w:type="dxa"/>
              <w:right w:w="57" w:type="dxa"/>
            </w:tcMar>
            <w:vAlign w:val="center"/>
          </w:tcPr>
          <w:p w14:paraId="539716E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393.5</w:t>
            </w:r>
          </w:p>
        </w:tc>
      </w:tr>
      <w:tr w:rsidR="003E5BF5" w:rsidRPr="00E273FC" w14:paraId="65518795" w14:textId="77777777" w:rsidTr="00641BE5">
        <w:trPr>
          <w:trHeight w:val="340"/>
        </w:trPr>
        <w:tc>
          <w:tcPr>
            <w:tcW w:w="6946" w:type="dxa"/>
            <w:shd w:val="clear" w:color="auto" w:fill="auto"/>
            <w:tcMar>
              <w:left w:w="57" w:type="dxa"/>
              <w:right w:w="57" w:type="dxa"/>
            </w:tcMar>
            <w:vAlign w:val="center"/>
          </w:tcPr>
          <w:p w14:paraId="4EA03464" w14:textId="77777777" w:rsidR="003E5BF5" w:rsidRPr="00E273FC" w:rsidRDefault="003E5BF5" w:rsidP="00DE1921">
            <w:pPr>
              <w:pStyle w:val="TableTextLeft"/>
              <w:rPr>
                <w:rFonts w:ascii="Arial" w:hAnsi="Arial" w:cs="Arial"/>
                <w:sz w:val="24"/>
                <w:szCs w:val="24"/>
              </w:rPr>
            </w:pPr>
          </w:p>
        </w:tc>
        <w:tc>
          <w:tcPr>
            <w:tcW w:w="2126" w:type="dxa"/>
            <w:shd w:val="clear" w:color="auto" w:fill="auto"/>
            <w:tcMar>
              <w:left w:w="57" w:type="dxa"/>
              <w:right w:w="57" w:type="dxa"/>
            </w:tcMar>
            <w:vAlign w:val="center"/>
          </w:tcPr>
          <w:p w14:paraId="7306C21B" w14:textId="77777777" w:rsidR="003E5BF5" w:rsidRPr="00E273FC" w:rsidRDefault="003E5BF5" w:rsidP="00DE1921">
            <w:pPr>
              <w:pStyle w:val="TableTextRightBold"/>
              <w:rPr>
                <w:rFonts w:ascii="Arial" w:hAnsi="Arial" w:cs="Arial"/>
                <w:sz w:val="24"/>
                <w:szCs w:val="24"/>
              </w:rPr>
            </w:pPr>
          </w:p>
        </w:tc>
      </w:tr>
      <w:tr w:rsidR="003E5BF5" w:rsidRPr="00E273FC" w14:paraId="5F32C5EA" w14:textId="77777777" w:rsidTr="00641BE5">
        <w:trPr>
          <w:trHeight w:val="340"/>
        </w:trPr>
        <w:tc>
          <w:tcPr>
            <w:tcW w:w="6946" w:type="dxa"/>
            <w:shd w:val="clear" w:color="auto" w:fill="auto"/>
            <w:tcMar>
              <w:left w:w="57" w:type="dxa"/>
              <w:right w:w="57" w:type="dxa"/>
            </w:tcMar>
            <w:vAlign w:val="center"/>
          </w:tcPr>
          <w:p w14:paraId="03CB500D" w14:textId="77777777" w:rsidR="003E5BF5" w:rsidRPr="00E273FC" w:rsidRDefault="003E5BF5" w:rsidP="00DE1921">
            <w:pPr>
              <w:pStyle w:val="TableTextLeft"/>
              <w:rPr>
                <w:rFonts w:ascii="Arial" w:hAnsi="Arial" w:cs="Arial"/>
                <w:b/>
                <w:sz w:val="24"/>
                <w:szCs w:val="24"/>
              </w:rPr>
            </w:pPr>
            <w:r w:rsidRPr="00E273FC">
              <w:rPr>
                <w:rFonts w:ascii="Arial" w:hAnsi="Arial" w:cs="Arial"/>
                <w:b/>
                <w:sz w:val="24"/>
                <w:szCs w:val="24"/>
              </w:rPr>
              <w:t>Movement in accounts payable and provisions</w:t>
            </w:r>
          </w:p>
        </w:tc>
        <w:tc>
          <w:tcPr>
            <w:tcW w:w="2126" w:type="dxa"/>
            <w:shd w:val="clear" w:color="auto" w:fill="auto"/>
            <w:tcMar>
              <w:left w:w="57" w:type="dxa"/>
              <w:right w:w="57" w:type="dxa"/>
            </w:tcMar>
            <w:vAlign w:val="center"/>
          </w:tcPr>
          <w:p w14:paraId="29CAABEF"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12.6</w:t>
            </w:r>
          </w:p>
        </w:tc>
      </w:tr>
      <w:tr w:rsidR="003E5BF5" w:rsidRPr="00E273FC" w14:paraId="69EE51C8" w14:textId="77777777" w:rsidTr="00641BE5">
        <w:trPr>
          <w:trHeight w:val="340"/>
        </w:trPr>
        <w:tc>
          <w:tcPr>
            <w:tcW w:w="6946" w:type="dxa"/>
            <w:shd w:val="clear" w:color="auto" w:fill="auto"/>
            <w:tcMar>
              <w:left w:w="57" w:type="dxa"/>
              <w:right w:w="57" w:type="dxa"/>
            </w:tcMar>
            <w:vAlign w:val="center"/>
          </w:tcPr>
          <w:p w14:paraId="39DF96E6" w14:textId="77777777" w:rsidR="003E5BF5" w:rsidRPr="00E273FC" w:rsidRDefault="003E5BF5" w:rsidP="00DE1921">
            <w:pPr>
              <w:pStyle w:val="TableTextLeft"/>
              <w:rPr>
                <w:rFonts w:ascii="Arial" w:hAnsi="Arial" w:cs="Arial"/>
                <w:b/>
                <w:sz w:val="24"/>
                <w:szCs w:val="24"/>
              </w:rPr>
            </w:pPr>
            <w:r w:rsidRPr="00E273FC">
              <w:rPr>
                <w:rFonts w:ascii="Arial" w:hAnsi="Arial" w:cs="Arial"/>
                <w:b/>
                <w:sz w:val="24"/>
                <w:szCs w:val="24"/>
              </w:rPr>
              <w:t>Total payments from the trust</w:t>
            </w:r>
          </w:p>
        </w:tc>
        <w:tc>
          <w:tcPr>
            <w:tcW w:w="2126" w:type="dxa"/>
            <w:shd w:val="clear" w:color="auto" w:fill="auto"/>
            <w:tcMar>
              <w:left w:w="57" w:type="dxa"/>
              <w:right w:w="57" w:type="dxa"/>
            </w:tcMar>
            <w:vAlign w:val="center"/>
          </w:tcPr>
          <w:p w14:paraId="51ACB6D1"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406.1</w:t>
            </w:r>
          </w:p>
        </w:tc>
      </w:tr>
      <w:tr w:rsidR="003E5BF5" w:rsidRPr="00E273FC" w14:paraId="6EE7521F" w14:textId="77777777" w:rsidTr="00641BE5">
        <w:trPr>
          <w:trHeight w:val="340"/>
        </w:trPr>
        <w:tc>
          <w:tcPr>
            <w:tcW w:w="6946" w:type="dxa"/>
            <w:shd w:val="clear" w:color="auto" w:fill="auto"/>
            <w:tcMar>
              <w:left w:w="57" w:type="dxa"/>
              <w:right w:w="57" w:type="dxa"/>
            </w:tcMar>
            <w:vAlign w:val="center"/>
          </w:tcPr>
          <w:p w14:paraId="76C44809" w14:textId="77777777" w:rsidR="003E5BF5" w:rsidRPr="00E273FC" w:rsidRDefault="003E5BF5" w:rsidP="00DE1921">
            <w:pPr>
              <w:pStyle w:val="TableTextLeftBold"/>
              <w:rPr>
                <w:rFonts w:ascii="Arial" w:hAnsi="Arial" w:cs="Arial"/>
                <w:sz w:val="24"/>
                <w:szCs w:val="24"/>
              </w:rPr>
            </w:pPr>
            <w:r w:rsidRPr="00E273FC">
              <w:rPr>
                <w:rFonts w:ascii="Arial" w:hAnsi="Arial" w:cs="Arial"/>
                <w:sz w:val="24"/>
                <w:szCs w:val="24"/>
              </w:rPr>
              <w:t>Closing cash balance</w:t>
            </w:r>
          </w:p>
        </w:tc>
        <w:tc>
          <w:tcPr>
            <w:tcW w:w="2126" w:type="dxa"/>
            <w:shd w:val="clear" w:color="auto" w:fill="auto"/>
            <w:tcMar>
              <w:left w:w="57" w:type="dxa"/>
              <w:right w:w="57" w:type="dxa"/>
            </w:tcMar>
            <w:vAlign w:val="center"/>
          </w:tcPr>
          <w:p w14:paraId="630C6E10" w14:textId="77777777" w:rsidR="003E5BF5" w:rsidRPr="00E273FC" w:rsidRDefault="003E5BF5" w:rsidP="00DE1921">
            <w:pPr>
              <w:pStyle w:val="TableTextRightBold"/>
              <w:rPr>
                <w:rFonts w:ascii="Arial" w:hAnsi="Arial" w:cs="Arial"/>
                <w:sz w:val="24"/>
                <w:szCs w:val="24"/>
              </w:rPr>
            </w:pPr>
            <w:r w:rsidRPr="00E273FC">
              <w:rPr>
                <w:rFonts w:ascii="Arial" w:hAnsi="Arial" w:cs="Arial"/>
                <w:sz w:val="24"/>
                <w:szCs w:val="24"/>
              </w:rPr>
              <w:t>4.0</w:t>
            </w:r>
          </w:p>
        </w:tc>
      </w:tr>
    </w:tbl>
    <w:p w14:paraId="3B466832" w14:textId="77777777" w:rsidR="003E5BF5" w:rsidRPr="00E273FC" w:rsidRDefault="003E5BF5" w:rsidP="00696A16">
      <w:pPr>
        <w:pStyle w:val="Note"/>
        <w:spacing w:before="120" w:after="0" w:line="360" w:lineRule="auto"/>
        <w:rPr>
          <w:rFonts w:ascii="Arial" w:hAnsi="Arial" w:cs="Arial"/>
          <w:sz w:val="24"/>
          <w:szCs w:val="24"/>
        </w:rPr>
      </w:pPr>
      <w:r w:rsidRPr="00E273FC">
        <w:rPr>
          <w:rFonts w:ascii="Arial" w:hAnsi="Arial" w:cs="Arial"/>
          <w:sz w:val="24"/>
          <w:szCs w:val="24"/>
        </w:rPr>
        <w:lastRenderedPageBreak/>
        <w:t>Notes:</w:t>
      </w:r>
    </w:p>
    <w:p w14:paraId="17182699" w14:textId="77777777" w:rsidR="003E5BF5" w:rsidRPr="00E273FC" w:rsidRDefault="003E5BF5" w:rsidP="00610F5F">
      <w:pPr>
        <w:pStyle w:val="Notenumber123"/>
        <w:numPr>
          <w:ilvl w:val="0"/>
          <w:numId w:val="58"/>
        </w:numPr>
        <w:spacing w:after="0" w:line="360" w:lineRule="auto"/>
        <w:ind w:left="340" w:hanging="227"/>
        <w:rPr>
          <w:rFonts w:ascii="Arial" w:hAnsi="Arial" w:cs="Arial"/>
          <w:sz w:val="24"/>
          <w:szCs w:val="24"/>
        </w:rPr>
      </w:pPr>
      <w:r w:rsidRPr="00E273FC">
        <w:rPr>
          <w:rFonts w:ascii="Arial" w:hAnsi="Arial" w:cs="Arial"/>
          <w:sz w:val="24"/>
          <w:szCs w:val="24"/>
        </w:rPr>
        <w:t>Based on accrual accounting principles.</w:t>
      </w:r>
    </w:p>
    <w:p w14:paraId="148D8CA8" w14:textId="77777777" w:rsidR="003E5BF5" w:rsidRPr="00E273FC" w:rsidRDefault="003E5BF5" w:rsidP="00696A16">
      <w:pPr>
        <w:pStyle w:val="Notenumber123"/>
        <w:spacing w:line="360" w:lineRule="auto"/>
        <w:rPr>
          <w:rFonts w:ascii="Arial" w:hAnsi="Arial" w:cs="Arial"/>
          <w:sz w:val="24"/>
          <w:szCs w:val="24"/>
        </w:rPr>
      </w:pPr>
      <w:r w:rsidRPr="00E273FC">
        <w:rPr>
          <w:rFonts w:ascii="Arial" w:hAnsi="Arial" w:cs="Arial"/>
          <w:sz w:val="24"/>
          <w:szCs w:val="24"/>
        </w:rPr>
        <w:t>The minimum spend per the outer suburban and rural and regional communities for the 2019-20 financial period, is in line with the set target for the four-year period.</w:t>
      </w:r>
    </w:p>
    <w:p w14:paraId="10DC0C17" w14:textId="77777777" w:rsidR="00F55E6E" w:rsidRDefault="00F55E6E" w:rsidP="00DE1921">
      <w:pPr>
        <w:sectPr w:rsidR="00F55E6E" w:rsidSect="00137AAD">
          <w:headerReference w:type="even" r:id="rId274"/>
          <w:headerReference w:type="default" r:id="rId275"/>
          <w:footerReference w:type="even" r:id="rId276"/>
          <w:headerReference w:type="first" r:id="rId277"/>
          <w:footerReference w:type="first" r:id="rId278"/>
          <w:type w:val="continuous"/>
          <w:pgSz w:w="11906" w:h="16838"/>
          <w:pgMar w:top="1440" w:right="1440" w:bottom="1440" w:left="1440" w:header="708" w:footer="708" w:gutter="0"/>
          <w:cols w:space="708"/>
          <w:docGrid w:linePitch="360"/>
        </w:sectPr>
      </w:pPr>
    </w:p>
    <w:p w14:paraId="18DC8054" w14:textId="77777777" w:rsidR="003E5BF5" w:rsidRDefault="003E5BF5" w:rsidP="008A0170">
      <w:pPr>
        <w:pStyle w:val="Heading1"/>
      </w:pPr>
      <w:bookmarkStart w:id="802" w:name="p448"/>
      <w:bookmarkStart w:id="803" w:name="_Toc55130708"/>
      <w:bookmarkEnd w:id="802"/>
      <w:r w:rsidRPr="00C765B0">
        <w:lastRenderedPageBreak/>
        <w:t>Appendix 7: Local Jobs First</w:t>
      </w:r>
      <w:bookmarkEnd w:id="803"/>
      <w:r w:rsidRPr="00C765B0">
        <w:t xml:space="preserve"> </w:t>
      </w:r>
    </w:p>
    <w:p w14:paraId="337207F5" w14:textId="77777777" w:rsidR="003E5BF5" w:rsidRDefault="003E5BF5" w:rsidP="003C6DF7">
      <w:pPr>
        <w:pStyle w:val="aaatyping"/>
      </w:pPr>
      <w:r>
        <w:t>The Local Jobs First Policy supports Victorian businesses and workers by ensuring that small and medium size enterprises are given a full and fair opportunity to compete for both large and small government contracts, helping to create job opportunities, including for apprentices, trainees and cadets.</w:t>
      </w:r>
    </w:p>
    <w:p w14:paraId="38A81600" w14:textId="77777777" w:rsidR="003E5BF5" w:rsidRDefault="003E5BF5" w:rsidP="003C6DF7">
      <w:pPr>
        <w:pStyle w:val="aaatyping"/>
      </w:pPr>
      <w:r>
        <w:t>The Local Jobs First policy comprises of the Victorian Industry Participation Policy (VIPP) and Major Projects Skills Guarantee (MPSG) policy.</w:t>
      </w:r>
    </w:p>
    <w:p w14:paraId="2360C93B" w14:textId="77777777" w:rsidR="003E5BF5" w:rsidRDefault="003E5BF5" w:rsidP="003C6DF7">
      <w:pPr>
        <w:pStyle w:val="aaatyping"/>
      </w:pPr>
      <w:r>
        <w:t>Departments and public sector bodies are required to apply the Local Jobs First policy in all projects valued at $3 million or more in Metropolitan Melbourne or for state-wide projects, or $1 million or more for projects in regional Victoria.</w:t>
      </w:r>
    </w:p>
    <w:p w14:paraId="53149DFF" w14:textId="77777777" w:rsidR="003E5BF5" w:rsidRDefault="003E5BF5" w:rsidP="003C6DF7">
      <w:pPr>
        <w:pStyle w:val="aaatyping"/>
      </w:pPr>
      <w:r>
        <w:t>MPSG applies to all construction projects valued at $20 million or more.</w:t>
      </w:r>
    </w:p>
    <w:p w14:paraId="58FE1700" w14:textId="77777777" w:rsidR="003E5BF5" w:rsidRPr="00517DBD" w:rsidRDefault="003E5BF5" w:rsidP="008869A9">
      <w:pPr>
        <w:pStyle w:val="Heading4"/>
      </w:pPr>
      <w:r w:rsidRPr="00517DBD">
        <w:t>Projects Commenced – Local Jobs First – Standard Projects</w:t>
      </w:r>
    </w:p>
    <w:p w14:paraId="26C55343" w14:textId="77777777" w:rsidR="003E5BF5" w:rsidRDefault="003E5BF5" w:rsidP="003C6DF7">
      <w:pPr>
        <w:pStyle w:val="aaatyping"/>
      </w:pPr>
      <w:r>
        <w:t xml:space="preserve">During 2019-20, the department commenced 50 Local Jobs First Standard projects totalling $306 million. The projects represent works across the State. </w:t>
      </w:r>
    </w:p>
    <w:p w14:paraId="7B17F945" w14:textId="77777777" w:rsidR="003E5BF5" w:rsidRDefault="003E5BF5" w:rsidP="003C6DF7">
      <w:pPr>
        <w:pStyle w:val="aaatyping"/>
      </w:pPr>
      <w:r>
        <w:t>The committed outcomes from these projects, where information was provided, were as follows:</w:t>
      </w:r>
    </w:p>
    <w:p w14:paraId="61C2B44A" w14:textId="77777777" w:rsidR="003E5BF5" w:rsidRDefault="003E5BF5" w:rsidP="003C6DF7">
      <w:pPr>
        <w:pStyle w:val="aaabullet"/>
      </w:pPr>
      <w:r>
        <w:t>a commitment to achieve a local content average of 97 per cent of local content</w:t>
      </w:r>
    </w:p>
    <w:p w14:paraId="058B6E34" w14:textId="77777777" w:rsidR="003E5BF5" w:rsidRDefault="003E5BF5" w:rsidP="003C6DF7">
      <w:pPr>
        <w:pStyle w:val="aaabullet"/>
      </w:pPr>
      <w:r>
        <w:t>a commitment to a total of 633 (annualised employee equivalent (AEE)</w:t>
      </w:r>
      <w:r w:rsidRPr="00E46F5E">
        <w:rPr>
          <w:vertAlign w:val="superscript"/>
        </w:rPr>
        <w:t>1</w:t>
      </w:r>
      <w:r>
        <w:t>) jobs, representing 113 new jobs and the retention of 520 existing positions</w:t>
      </w:r>
    </w:p>
    <w:p w14:paraId="510F62E8" w14:textId="77777777" w:rsidR="003E5BF5" w:rsidRDefault="003E5BF5" w:rsidP="003C6DF7">
      <w:pPr>
        <w:pStyle w:val="aaabullet"/>
      </w:pPr>
      <w:r>
        <w:lastRenderedPageBreak/>
        <w:t>a commitment to a total of 50 apprentices, trainees and cadet positions, representing 26 new trainees and the retention of 24 current trainees.</w:t>
      </w:r>
    </w:p>
    <w:p w14:paraId="565249F4" w14:textId="77777777" w:rsidR="003E5BF5" w:rsidRPr="00517DBD" w:rsidRDefault="003E5BF5" w:rsidP="008869A9">
      <w:pPr>
        <w:pStyle w:val="Heading4"/>
      </w:pPr>
      <w:r w:rsidRPr="00517DBD">
        <w:t>Projects completed – Local Jobs First – Standard Projects</w:t>
      </w:r>
    </w:p>
    <w:p w14:paraId="2DEBF028" w14:textId="77777777" w:rsidR="003E5BF5" w:rsidRDefault="003E5BF5" w:rsidP="003C6DF7">
      <w:pPr>
        <w:pStyle w:val="aaatyping"/>
      </w:pPr>
      <w:r>
        <w:t>During 2019-20, the department completed 16 Local Jobs First Standard projects, totalling $139 million.</w:t>
      </w:r>
    </w:p>
    <w:p w14:paraId="4F68F231" w14:textId="77777777" w:rsidR="003E5BF5" w:rsidRDefault="003E5BF5" w:rsidP="003C6DF7">
      <w:pPr>
        <w:pStyle w:val="aaatyping"/>
      </w:pPr>
      <w:r>
        <w:t>The outcomes reported from the implementation of the Local Jobs First policy to these projects, where information was provided, were as follows:</w:t>
      </w:r>
    </w:p>
    <w:p w14:paraId="08201C78" w14:textId="77777777" w:rsidR="003E5BF5" w:rsidRDefault="003E5BF5" w:rsidP="003C6DF7">
      <w:pPr>
        <w:pStyle w:val="aaabullet"/>
      </w:pPr>
      <w:r>
        <w:t>an average of 96 per cent of local content commitment was achieved</w:t>
      </w:r>
    </w:p>
    <w:p w14:paraId="52F0D2D4" w14:textId="77777777" w:rsidR="003E5BF5" w:rsidRDefault="003E5BF5" w:rsidP="003C6DF7">
      <w:pPr>
        <w:pStyle w:val="aaabullet"/>
      </w:pPr>
      <w:r>
        <w:t>a total of 244 (AEE) jobs were supported, representing 41 new jobs and the retention of 203 existing jobs</w:t>
      </w:r>
    </w:p>
    <w:p w14:paraId="7BD4E16F" w14:textId="77777777" w:rsidR="003E5BF5" w:rsidRDefault="003E5BF5" w:rsidP="003C6DF7">
      <w:pPr>
        <w:pStyle w:val="aaabullet"/>
      </w:pPr>
      <w:r>
        <w:t>a total of 43 apprentices, trainees and cadets were supported representing 14 new trainees and the retention of 29 current trainees.</w:t>
      </w:r>
    </w:p>
    <w:p w14:paraId="30D95809" w14:textId="77777777" w:rsidR="003E5BF5" w:rsidRPr="00517DBD" w:rsidRDefault="003E5BF5" w:rsidP="008869A9">
      <w:pPr>
        <w:pStyle w:val="Heading4"/>
      </w:pPr>
      <w:r w:rsidRPr="00517DBD">
        <w:t>Projects commenced – Local Jobs First – Strategic Projects</w:t>
      </w:r>
    </w:p>
    <w:p w14:paraId="1D131CBA" w14:textId="77777777" w:rsidR="003E5BF5" w:rsidRDefault="003E5BF5" w:rsidP="003C6DF7">
      <w:pPr>
        <w:pStyle w:val="aaatyping"/>
      </w:pPr>
      <w:r>
        <w:t>During 2019-20, the department commenced eight Local Jobs First Strategic Projects, valued at $2.14 billion. Five projects were based in Melbourne with three projects in regional Victoria.</w:t>
      </w:r>
    </w:p>
    <w:p w14:paraId="0141BBAE" w14:textId="77777777" w:rsidR="003E5BF5" w:rsidRDefault="003E5BF5" w:rsidP="003C6DF7">
      <w:pPr>
        <w:pStyle w:val="aaatyping"/>
      </w:pPr>
      <w:r>
        <w:t>The committed outcomes from these projects where information was provided, were as follows:</w:t>
      </w:r>
    </w:p>
    <w:p w14:paraId="51C9A6DA" w14:textId="77777777" w:rsidR="003E5BF5" w:rsidRDefault="003E5BF5" w:rsidP="003C6DF7">
      <w:pPr>
        <w:pStyle w:val="aaabullet"/>
      </w:pPr>
      <w:bookmarkStart w:id="804" w:name="_Hlk48714756"/>
      <w:r>
        <w:t>a commitment to achieve a local content average of 96 per cent</w:t>
      </w:r>
    </w:p>
    <w:p w14:paraId="4012CC38" w14:textId="77777777" w:rsidR="003E5BF5" w:rsidRDefault="003E5BF5" w:rsidP="003C6DF7">
      <w:pPr>
        <w:pStyle w:val="aaabullet"/>
      </w:pPr>
      <w:r>
        <w:t>a commitment to a total of 649 (AEE) jobs, representing 142 new jobs and the retention of 507 positions</w:t>
      </w:r>
    </w:p>
    <w:p w14:paraId="2C31492D" w14:textId="77777777" w:rsidR="003E5BF5" w:rsidRDefault="003E5BF5" w:rsidP="003C6DF7">
      <w:pPr>
        <w:pStyle w:val="aaabullet"/>
      </w:pPr>
      <w:r>
        <w:t>a commitment to a total of 139 apprenticeships, cadetships and traineeship positions, representing 80 new trainees and the retention of 59 current trainees.</w:t>
      </w:r>
    </w:p>
    <w:bookmarkEnd w:id="804"/>
    <w:p w14:paraId="79D10C1A" w14:textId="77777777" w:rsidR="003E5BF5" w:rsidRPr="00517DBD" w:rsidRDefault="003E5BF5" w:rsidP="008869A9">
      <w:pPr>
        <w:pStyle w:val="Heading4"/>
      </w:pPr>
      <w:r w:rsidRPr="00517DBD">
        <w:lastRenderedPageBreak/>
        <w:t>Projects completed – Local Jobs First Strategic</w:t>
      </w:r>
    </w:p>
    <w:p w14:paraId="63CA2998" w14:textId="77777777" w:rsidR="003E5BF5" w:rsidRDefault="003E5BF5" w:rsidP="003C6DF7">
      <w:pPr>
        <w:pStyle w:val="aaatyping"/>
      </w:pPr>
      <w:r>
        <w:t>There were no Strategic Projects reported completed during the year.</w:t>
      </w:r>
    </w:p>
    <w:p w14:paraId="5DAA98A3" w14:textId="77777777" w:rsidR="003E5BF5" w:rsidRPr="00517DBD" w:rsidRDefault="003E5BF5" w:rsidP="008869A9">
      <w:pPr>
        <w:pStyle w:val="Heading4"/>
      </w:pPr>
      <w:r w:rsidRPr="00517DBD">
        <w:t>Small and Medium Business Engagement – Projects Commenced</w:t>
      </w:r>
    </w:p>
    <w:p w14:paraId="74AE9F0C" w14:textId="77777777" w:rsidR="003E5BF5" w:rsidRDefault="003E5BF5" w:rsidP="003C6DF7">
      <w:pPr>
        <w:pStyle w:val="aaatyping"/>
      </w:pPr>
      <w:r>
        <w:t>During 2019-20, commenced projects committed to engaging 1,464 small to medium sized businesses through the supply chain.</w:t>
      </w:r>
    </w:p>
    <w:p w14:paraId="6A187689" w14:textId="77777777" w:rsidR="003E5BF5" w:rsidRPr="00201B8C" w:rsidRDefault="003E5BF5" w:rsidP="008869A9">
      <w:pPr>
        <w:pStyle w:val="Heading4"/>
      </w:pPr>
      <w:r w:rsidRPr="00201B8C">
        <w:t>Small and Medium Business Engagement – Projects Completed</w:t>
      </w:r>
    </w:p>
    <w:p w14:paraId="47884441" w14:textId="77777777" w:rsidR="003E5BF5" w:rsidRDefault="003E5BF5" w:rsidP="003C6DF7">
      <w:pPr>
        <w:pStyle w:val="aaatyping"/>
      </w:pPr>
      <w:r>
        <w:t xml:space="preserve">During 2019-20, 11 completed projects reported engagement with 122 small to medium sized businesses through the supply chain in the delivery of the projects. </w:t>
      </w:r>
    </w:p>
    <w:p w14:paraId="51AF4D53" w14:textId="77777777" w:rsidR="003E5BF5" w:rsidRPr="00201B8C" w:rsidRDefault="003E5BF5" w:rsidP="008869A9">
      <w:pPr>
        <w:pStyle w:val="Heading4"/>
      </w:pPr>
      <w:r w:rsidRPr="00201B8C">
        <w:t>Grants</w:t>
      </w:r>
    </w:p>
    <w:p w14:paraId="4D364F94" w14:textId="77777777" w:rsidR="003E5BF5" w:rsidRDefault="003E5BF5" w:rsidP="003C6DF7">
      <w:pPr>
        <w:pStyle w:val="aaatyping"/>
      </w:pPr>
      <w:r>
        <w:t>There were no grants registered that satisfied the policy thresholds.</w:t>
      </w:r>
    </w:p>
    <w:p w14:paraId="06019CA1" w14:textId="77777777" w:rsidR="003E5BF5" w:rsidRPr="00F5266C" w:rsidRDefault="003E5BF5" w:rsidP="00081FB5">
      <w:pPr>
        <w:pStyle w:val="aaatyping"/>
      </w:pPr>
      <w:r w:rsidRPr="00F5266C">
        <w:t>Note:</w:t>
      </w:r>
    </w:p>
    <w:p w14:paraId="06E2880F" w14:textId="771E3E9C" w:rsidR="003E5BF5" w:rsidRDefault="003E5BF5" w:rsidP="00081FB5">
      <w:pPr>
        <w:pStyle w:val="aaatyping"/>
      </w:pPr>
      <w:r w:rsidRPr="00F5266C">
        <w:t xml:space="preserve">AEE - Annualised Employee Equivalent is calculated by dividing the total number of ordinary working hours that an employee worked and was paid over the reporting period by the total number of work hours per annum.  </w:t>
      </w:r>
    </w:p>
    <w:p w14:paraId="5E54E573" w14:textId="79F35380" w:rsidR="007977E2" w:rsidRDefault="007977E2" w:rsidP="007977E2">
      <w:pPr>
        <w:pStyle w:val="Notenumber123"/>
        <w:numPr>
          <w:ilvl w:val="0"/>
          <w:numId w:val="0"/>
        </w:numPr>
        <w:ind w:left="340" w:hanging="227"/>
      </w:pPr>
    </w:p>
    <w:p w14:paraId="1A9EAF4E" w14:textId="77777777" w:rsidR="007977E2" w:rsidRDefault="007977E2" w:rsidP="007977E2">
      <w:pPr>
        <w:pStyle w:val="Notenumber123"/>
        <w:numPr>
          <w:ilvl w:val="0"/>
          <w:numId w:val="0"/>
        </w:numPr>
        <w:ind w:left="340" w:hanging="227"/>
        <w:sectPr w:rsidR="007977E2" w:rsidSect="00DE1921">
          <w:footerReference w:type="even" r:id="rId279"/>
          <w:pgSz w:w="11906" w:h="16838"/>
          <w:pgMar w:top="1440" w:right="1440" w:bottom="1440" w:left="1440" w:header="708" w:footer="708" w:gutter="0"/>
          <w:cols w:space="708"/>
          <w:docGrid w:linePitch="360"/>
        </w:sectPr>
      </w:pPr>
    </w:p>
    <w:p w14:paraId="3641825B" w14:textId="77777777" w:rsidR="003E5BF5" w:rsidRDefault="003E5BF5" w:rsidP="008A0170">
      <w:pPr>
        <w:pStyle w:val="Heading1"/>
      </w:pPr>
      <w:bookmarkStart w:id="805" w:name="_Toc55130709"/>
      <w:r w:rsidRPr="001A7BC8">
        <w:lastRenderedPageBreak/>
        <w:t>Appendix 8: Social Procurement Framework</w:t>
      </w:r>
      <w:bookmarkEnd w:id="805"/>
    </w:p>
    <w:p w14:paraId="1BFE480D" w14:textId="77777777" w:rsidR="003E5BF5" w:rsidRPr="00A1539D" w:rsidRDefault="003E5BF5" w:rsidP="008869A9">
      <w:pPr>
        <w:pStyle w:val="Heading4"/>
      </w:pPr>
      <w:r w:rsidRPr="00A1539D">
        <w:t>Social procurement</w:t>
      </w:r>
    </w:p>
    <w:p w14:paraId="051ED95E" w14:textId="77777777" w:rsidR="003E5BF5" w:rsidRPr="00BC78FA" w:rsidRDefault="003E5BF5" w:rsidP="003C6DF7">
      <w:pPr>
        <w:pStyle w:val="aaatyping"/>
      </w:pPr>
      <w:r w:rsidRPr="00BC78FA">
        <w:t xml:space="preserve">The department leverages its buying power to deliver social, economic and environmental outcomes benefiting the Victorian community, the economy and the environment — above and beyond the goods, services and construction works procured. </w:t>
      </w:r>
    </w:p>
    <w:p w14:paraId="0B8598EF" w14:textId="77777777" w:rsidR="003E5BF5" w:rsidRDefault="003E5BF5" w:rsidP="003C6DF7">
      <w:pPr>
        <w:pStyle w:val="aaatyping"/>
      </w:pPr>
      <w:r>
        <w:t>It is</w:t>
      </w:r>
      <w:r w:rsidRPr="001C4249">
        <w:t xml:space="preserve"> guided by the Victorian Government’s Social Procurement Framework (SPF), released in April 2018.</w:t>
      </w:r>
      <w:r>
        <w:rPr>
          <w:color w:val="231F20"/>
          <w:spacing w:val="-3"/>
        </w:rPr>
        <w:t xml:space="preserve"> </w:t>
      </w:r>
      <w:r w:rsidRPr="00F13BFD">
        <w:t>The SPF applies to the procurement of all goods, services and construction undertaken by, or on behalf of, the department and it is defined by ten objectives:</w:t>
      </w:r>
    </w:p>
    <w:p w14:paraId="1F48BBA1" w14:textId="77777777" w:rsidR="003E5BF5" w:rsidRPr="00B32F3B" w:rsidRDefault="003E5BF5" w:rsidP="00610F5F">
      <w:pPr>
        <w:pStyle w:val="ListParagraph"/>
        <w:numPr>
          <w:ilvl w:val="0"/>
          <w:numId w:val="33"/>
        </w:numPr>
        <w:spacing w:line="360" w:lineRule="auto"/>
        <w:ind w:left="397" w:hanging="340"/>
        <w:rPr>
          <w:rFonts w:ascii="Arial" w:hAnsi="Arial" w:cs="Arial"/>
          <w:sz w:val="28"/>
          <w:szCs w:val="28"/>
        </w:rPr>
      </w:pPr>
      <w:r w:rsidRPr="00B32F3B">
        <w:rPr>
          <w:rFonts w:ascii="Arial" w:hAnsi="Arial" w:cs="Arial"/>
          <w:sz w:val="28"/>
          <w:szCs w:val="28"/>
        </w:rPr>
        <w:t>Opportunities for Victorian Aboriginal people</w:t>
      </w:r>
    </w:p>
    <w:p w14:paraId="4452C8CF" w14:textId="77777777" w:rsidR="003E5BF5" w:rsidRPr="00B32F3B" w:rsidRDefault="003E5BF5" w:rsidP="00610F5F">
      <w:pPr>
        <w:pStyle w:val="ListParagraph"/>
        <w:numPr>
          <w:ilvl w:val="0"/>
          <w:numId w:val="33"/>
        </w:numPr>
        <w:spacing w:line="360" w:lineRule="auto"/>
        <w:ind w:left="397" w:hanging="340"/>
        <w:rPr>
          <w:rFonts w:ascii="Arial" w:hAnsi="Arial" w:cs="Arial"/>
          <w:sz w:val="28"/>
          <w:szCs w:val="28"/>
        </w:rPr>
      </w:pPr>
      <w:r w:rsidRPr="00B32F3B">
        <w:rPr>
          <w:rFonts w:ascii="Arial" w:hAnsi="Arial" w:cs="Arial"/>
          <w:sz w:val="28"/>
          <w:szCs w:val="28"/>
        </w:rPr>
        <w:t>Opportunities for Victorians with disability</w:t>
      </w:r>
    </w:p>
    <w:p w14:paraId="36EE8551" w14:textId="77777777" w:rsidR="003E5BF5" w:rsidRPr="00B32F3B" w:rsidRDefault="003E5BF5" w:rsidP="00610F5F">
      <w:pPr>
        <w:pStyle w:val="ListParagraph"/>
        <w:numPr>
          <w:ilvl w:val="0"/>
          <w:numId w:val="33"/>
        </w:numPr>
        <w:spacing w:line="360" w:lineRule="auto"/>
        <w:ind w:left="397" w:hanging="340"/>
        <w:rPr>
          <w:rFonts w:ascii="Arial" w:hAnsi="Arial" w:cs="Arial"/>
          <w:sz w:val="28"/>
          <w:szCs w:val="28"/>
        </w:rPr>
      </w:pPr>
      <w:r w:rsidRPr="00B32F3B">
        <w:rPr>
          <w:rFonts w:ascii="Arial" w:hAnsi="Arial" w:cs="Arial"/>
          <w:sz w:val="28"/>
          <w:szCs w:val="28"/>
        </w:rPr>
        <w:t>Women’s equality and safety</w:t>
      </w:r>
    </w:p>
    <w:p w14:paraId="777D3F47" w14:textId="77777777" w:rsidR="003E5BF5" w:rsidRPr="00B32F3B" w:rsidRDefault="003E5BF5" w:rsidP="00610F5F">
      <w:pPr>
        <w:pStyle w:val="ListParagraph"/>
        <w:numPr>
          <w:ilvl w:val="0"/>
          <w:numId w:val="33"/>
        </w:numPr>
        <w:spacing w:line="360" w:lineRule="auto"/>
        <w:ind w:left="397" w:hanging="340"/>
        <w:rPr>
          <w:rFonts w:ascii="Arial" w:hAnsi="Arial" w:cs="Arial"/>
          <w:sz w:val="28"/>
          <w:szCs w:val="28"/>
        </w:rPr>
      </w:pPr>
      <w:r w:rsidRPr="00B32F3B">
        <w:rPr>
          <w:rFonts w:ascii="Arial" w:hAnsi="Arial" w:cs="Arial"/>
          <w:sz w:val="28"/>
          <w:szCs w:val="28"/>
        </w:rPr>
        <w:t>Opportunities for disadvantaged Victorians</w:t>
      </w:r>
    </w:p>
    <w:p w14:paraId="1AF1723E" w14:textId="77777777" w:rsidR="003E5BF5" w:rsidRPr="00B32F3B" w:rsidRDefault="003E5BF5" w:rsidP="00610F5F">
      <w:pPr>
        <w:pStyle w:val="ListParagraph"/>
        <w:numPr>
          <w:ilvl w:val="0"/>
          <w:numId w:val="33"/>
        </w:numPr>
        <w:spacing w:line="360" w:lineRule="auto"/>
        <w:ind w:left="397" w:hanging="340"/>
        <w:rPr>
          <w:rFonts w:ascii="Arial" w:hAnsi="Arial" w:cs="Arial"/>
          <w:sz w:val="28"/>
          <w:szCs w:val="28"/>
        </w:rPr>
      </w:pPr>
      <w:r w:rsidRPr="00B32F3B">
        <w:rPr>
          <w:rFonts w:ascii="Arial" w:hAnsi="Arial" w:cs="Arial"/>
          <w:sz w:val="28"/>
          <w:szCs w:val="28"/>
        </w:rPr>
        <w:t>Supporting safe and fair workplaces</w:t>
      </w:r>
    </w:p>
    <w:p w14:paraId="3BB87A48" w14:textId="77777777" w:rsidR="003E5BF5" w:rsidRPr="00B32F3B" w:rsidRDefault="003E5BF5" w:rsidP="00610F5F">
      <w:pPr>
        <w:pStyle w:val="ListParagraph"/>
        <w:numPr>
          <w:ilvl w:val="0"/>
          <w:numId w:val="33"/>
        </w:numPr>
        <w:spacing w:line="360" w:lineRule="auto"/>
        <w:ind w:left="397" w:hanging="340"/>
        <w:rPr>
          <w:rFonts w:ascii="Arial" w:hAnsi="Arial" w:cs="Arial"/>
          <w:sz w:val="28"/>
          <w:szCs w:val="28"/>
        </w:rPr>
      </w:pPr>
      <w:r w:rsidRPr="00B32F3B">
        <w:rPr>
          <w:rFonts w:ascii="Arial" w:hAnsi="Arial" w:cs="Arial"/>
          <w:sz w:val="28"/>
          <w:szCs w:val="28"/>
        </w:rPr>
        <w:t>Sustainable Victorian social enterprise and Aboriginal business sectors</w:t>
      </w:r>
    </w:p>
    <w:p w14:paraId="2F37FA1E" w14:textId="77777777" w:rsidR="003E5BF5" w:rsidRPr="00B32F3B" w:rsidRDefault="003E5BF5" w:rsidP="00610F5F">
      <w:pPr>
        <w:pStyle w:val="ListParagraph"/>
        <w:numPr>
          <w:ilvl w:val="0"/>
          <w:numId w:val="33"/>
        </w:numPr>
        <w:spacing w:line="360" w:lineRule="auto"/>
        <w:ind w:left="397" w:hanging="340"/>
        <w:rPr>
          <w:rFonts w:ascii="Arial" w:hAnsi="Arial" w:cs="Arial"/>
          <w:sz w:val="28"/>
          <w:szCs w:val="28"/>
        </w:rPr>
      </w:pPr>
      <w:r w:rsidRPr="00B32F3B">
        <w:rPr>
          <w:rFonts w:ascii="Arial" w:hAnsi="Arial" w:cs="Arial"/>
          <w:sz w:val="28"/>
          <w:szCs w:val="28"/>
        </w:rPr>
        <w:t>Sustainable Victorian regions</w:t>
      </w:r>
    </w:p>
    <w:p w14:paraId="11832233" w14:textId="77777777" w:rsidR="003E5BF5" w:rsidRPr="00B32F3B" w:rsidRDefault="003E5BF5" w:rsidP="00610F5F">
      <w:pPr>
        <w:pStyle w:val="ListParagraph"/>
        <w:numPr>
          <w:ilvl w:val="0"/>
          <w:numId w:val="33"/>
        </w:numPr>
        <w:spacing w:line="360" w:lineRule="auto"/>
        <w:ind w:left="397" w:hanging="340"/>
        <w:rPr>
          <w:rFonts w:ascii="Arial" w:hAnsi="Arial" w:cs="Arial"/>
          <w:sz w:val="28"/>
          <w:szCs w:val="28"/>
        </w:rPr>
      </w:pPr>
      <w:r w:rsidRPr="00B32F3B">
        <w:rPr>
          <w:rFonts w:ascii="Arial" w:hAnsi="Arial" w:cs="Arial"/>
          <w:sz w:val="28"/>
          <w:szCs w:val="28"/>
        </w:rPr>
        <w:t>Environmentally sustainable outputs</w:t>
      </w:r>
    </w:p>
    <w:p w14:paraId="6EC3B513" w14:textId="77777777" w:rsidR="003E5BF5" w:rsidRPr="00B32F3B" w:rsidRDefault="003E5BF5" w:rsidP="00610F5F">
      <w:pPr>
        <w:pStyle w:val="ListParagraph"/>
        <w:numPr>
          <w:ilvl w:val="0"/>
          <w:numId w:val="33"/>
        </w:numPr>
        <w:spacing w:line="360" w:lineRule="auto"/>
        <w:ind w:left="397" w:hanging="340"/>
        <w:rPr>
          <w:rFonts w:ascii="Arial" w:hAnsi="Arial" w:cs="Arial"/>
          <w:sz w:val="28"/>
          <w:szCs w:val="28"/>
        </w:rPr>
      </w:pPr>
      <w:r w:rsidRPr="00B32F3B">
        <w:rPr>
          <w:rFonts w:ascii="Arial" w:hAnsi="Arial" w:cs="Arial"/>
          <w:sz w:val="28"/>
          <w:szCs w:val="28"/>
        </w:rPr>
        <w:t>Environmentally sustainable business practices</w:t>
      </w:r>
    </w:p>
    <w:p w14:paraId="65067CBB" w14:textId="2B748D2C" w:rsidR="008238B6" w:rsidRDefault="003E5BF5" w:rsidP="00610F5F">
      <w:pPr>
        <w:pStyle w:val="ListParagraph"/>
        <w:numPr>
          <w:ilvl w:val="0"/>
          <w:numId w:val="33"/>
        </w:numPr>
        <w:spacing w:line="360" w:lineRule="auto"/>
        <w:ind w:left="397" w:hanging="340"/>
        <w:rPr>
          <w:rFonts w:ascii="Arial" w:hAnsi="Arial" w:cs="Arial"/>
          <w:sz w:val="28"/>
          <w:szCs w:val="28"/>
        </w:rPr>
      </w:pPr>
      <w:r w:rsidRPr="00B32F3B">
        <w:rPr>
          <w:rFonts w:ascii="Arial" w:hAnsi="Arial" w:cs="Arial"/>
          <w:sz w:val="28"/>
          <w:szCs w:val="28"/>
        </w:rPr>
        <w:t>Implementation of the climate change policy objectives.</w:t>
      </w:r>
      <w:r w:rsidR="008238B6">
        <w:rPr>
          <w:rFonts w:ascii="Arial" w:hAnsi="Arial" w:cs="Arial"/>
          <w:sz w:val="28"/>
          <w:szCs w:val="28"/>
        </w:rPr>
        <w:br w:type="page"/>
      </w:r>
    </w:p>
    <w:p w14:paraId="44EC0240" w14:textId="77777777" w:rsidR="003E5BF5" w:rsidRPr="00A1539D" w:rsidRDefault="003E5BF5" w:rsidP="008869A9">
      <w:pPr>
        <w:pStyle w:val="Heading4"/>
      </w:pPr>
      <w:r w:rsidRPr="00A1539D">
        <w:lastRenderedPageBreak/>
        <w:t xml:space="preserve">Social Procurement Strategy </w:t>
      </w:r>
    </w:p>
    <w:p w14:paraId="2D1F35CE" w14:textId="77777777" w:rsidR="003E5BF5" w:rsidRDefault="003E5BF5" w:rsidP="00AD71D7">
      <w:pPr>
        <w:pStyle w:val="aaatyping"/>
      </w:pPr>
      <w:r w:rsidRPr="001C4249">
        <w:t xml:space="preserve">The </w:t>
      </w:r>
      <w:r>
        <w:t>d</w:t>
      </w:r>
      <w:r w:rsidRPr="001C4249">
        <w:t>epartment’s Social Procurement Strategy 2019-20 committed to achieve the Government’s social procurement objectives, enhancing the value for money resulting from department</w:t>
      </w:r>
      <w:r>
        <w:t>al</w:t>
      </w:r>
      <w:r w:rsidRPr="001C4249">
        <w:t xml:space="preserve"> p</w:t>
      </w:r>
      <w:r>
        <w:t>rocurement</w:t>
      </w:r>
      <w:r w:rsidRPr="001C4249">
        <w:t xml:space="preserve">. A Social Procurement Strategy 2021-2023 is being developed </w:t>
      </w:r>
      <w:r>
        <w:t xml:space="preserve">to outline </w:t>
      </w:r>
      <w:r w:rsidRPr="001C4249">
        <w:t xml:space="preserve">a pathway for future directions. MTIA has separately developed its own Social Procurement Strategy. </w:t>
      </w:r>
    </w:p>
    <w:p w14:paraId="215FF089" w14:textId="77777777" w:rsidR="003E5BF5" w:rsidRPr="00BC78FA" w:rsidRDefault="003E5BF5" w:rsidP="00AD71D7">
      <w:pPr>
        <w:pStyle w:val="aaatyping"/>
      </w:pPr>
      <w:r w:rsidRPr="00BC78FA">
        <w:t xml:space="preserve">During 2019-20, social value requirements were applied to a variety of procurement activities, including the procurement of goods, services and construction works. </w:t>
      </w:r>
    </w:p>
    <w:p w14:paraId="789B834B" w14:textId="1977A94D" w:rsidR="003E5BF5" w:rsidRDefault="003E5BF5" w:rsidP="00AD71D7">
      <w:pPr>
        <w:pStyle w:val="aaatyping"/>
      </w:pPr>
      <w:r w:rsidRPr="00F13BFD">
        <w:t>The department undertook several activities to support its Social Procurement Strategy</w:t>
      </w:r>
      <w:r>
        <w:t xml:space="preserve"> including</w:t>
      </w:r>
      <w:r w:rsidRPr="00F13BFD">
        <w:t>:</w:t>
      </w:r>
    </w:p>
    <w:p w14:paraId="0108D80D" w14:textId="77777777" w:rsidR="003E5BF5" w:rsidRDefault="003E5BF5" w:rsidP="00AD71D7">
      <w:pPr>
        <w:pStyle w:val="aaabullet"/>
      </w:pPr>
      <w:r>
        <w:t>e</w:t>
      </w:r>
      <w:r w:rsidRPr="00362C21">
        <w:t>stablish</w:t>
      </w:r>
      <w:r>
        <w:t>ing</w:t>
      </w:r>
      <w:r w:rsidRPr="00362C21">
        <w:t xml:space="preserve"> partnerships with key social procurement delivery partners</w:t>
      </w:r>
    </w:p>
    <w:p w14:paraId="4B550B51" w14:textId="77777777" w:rsidR="003E5BF5" w:rsidRPr="00362C21" w:rsidRDefault="003E5BF5" w:rsidP="00AD71D7">
      <w:pPr>
        <w:pStyle w:val="aaabullet"/>
      </w:pPr>
      <w:r>
        <w:t>c</w:t>
      </w:r>
      <w:r w:rsidRPr="00362C21">
        <w:t>ontribut</w:t>
      </w:r>
      <w:r>
        <w:t>ing</w:t>
      </w:r>
      <w:r w:rsidRPr="00362C21">
        <w:t xml:space="preserve"> to VPS-wide committees and working groups dedicated to promoting social procurement</w:t>
      </w:r>
    </w:p>
    <w:p w14:paraId="189FFCCB" w14:textId="77777777" w:rsidR="003E5BF5" w:rsidRDefault="003E5BF5" w:rsidP="00AD71D7">
      <w:pPr>
        <w:pStyle w:val="aaabullet"/>
      </w:pPr>
      <w:r>
        <w:t>p</w:t>
      </w:r>
      <w:r w:rsidRPr="00F13BFD">
        <w:t>rovid</w:t>
      </w:r>
      <w:r>
        <w:t>ing</w:t>
      </w:r>
      <w:r w:rsidRPr="00F13BFD">
        <w:t xml:space="preserve"> education and training to procurement staff on social procurement</w:t>
      </w:r>
    </w:p>
    <w:p w14:paraId="4CB1B8EF" w14:textId="77777777" w:rsidR="003E5BF5" w:rsidRPr="00B37CEF" w:rsidRDefault="003E5BF5" w:rsidP="00AD71D7">
      <w:pPr>
        <w:pStyle w:val="aaabullet"/>
      </w:pPr>
      <w:r>
        <w:t>developing procurement procedures and supporting documents.</w:t>
      </w:r>
    </w:p>
    <w:p w14:paraId="591083B6" w14:textId="77777777" w:rsidR="003E5BF5" w:rsidRPr="00310BEC" w:rsidRDefault="003E5BF5" w:rsidP="00EF5131">
      <w:pPr>
        <w:pStyle w:val="Heading5"/>
      </w:pPr>
      <w:r w:rsidRPr="00310BEC">
        <w:t>Social Procurement Achievements 2019-20</w:t>
      </w:r>
    </w:p>
    <w:p w14:paraId="6999C39E" w14:textId="77777777" w:rsidR="003E5BF5" w:rsidRDefault="003E5BF5" w:rsidP="00AD71D7">
      <w:pPr>
        <w:pStyle w:val="aaatyping"/>
      </w:pPr>
      <w:r>
        <w:t>During 2019-20 the department:</w:t>
      </w:r>
    </w:p>
    <w:p w14:paraId="4AF270D2" w14:textId="77777777" w:rsidR="003E5BF5" w:rsidRDefault="003E5BF5" w:rsidP="00AD71D7">
      <w:pPr>
        <w:pStyle w:val="aaabullet"/>
      </w:pPr>
      <w:r>
        <w:t>e</w:t>
      </w:r>
      <w:r w:rsidRPr="00F13BFD">
        <w:t xml:space="preserve">ngaged </w:t>
      </w:r>
      <w:r>
        <w:t>122</w:t>
      </w:r>
      <w:r w:rsidRPr="00F13BFD">
        <w:t xml:space="preserve"> social enterprises</w:t>
      </w:r>
    </w:p>
    <w:p w14:paraId="51DEFBC2" w14:textId="77777777" w:rsidR="003E5BF5" w:rsidRDefault="003E5BF5" w:rsidP="00AD71D7">
      <w:pPr>
        <w:pStyle w:val="aaabullet"/>
      </w:pPr>
      <w:r>
        <w:t xml:space="preserve">spent a total of </w:t>
      </w:r>
      <w:r w:rsidRPr="00F13BFD">
        <w:t>$</w:t>
      </w:r>
      <w:r>
        <w:t>19.2 million with certified Social Enterprises, Aboriginal businesses and Traditional Owner Corporations, Disability Enterprises, and social outcome companies listed on the Map for Impact.</w:t>
      </w:r>
    </w:p>
    <w:p w14:paraId="726D28A6" w14:textId="77777777" w:rsidR="003E5BF5" w:rsidRPr="00310BEC" w:rsidRDefault="003E5BF5" w:rsidP="00EF5131">
      <w:pPr>
        <w:pStyle w:val="Heading5"/>
      </w:pPr>
      <w:r w:rsidRPr="00310BEC">
        <w:lastRenderedPageBreak/>
        <w:t>Aboriginal Business Engagement</w:t>
      </w:r>
    </w:p>
    <w:p w14:paraId="60BD6D13" w14:textId="77777777" w:rsidR="003E5BF5" w:rsidRDefault="003E5BF5" w:rsidP="002578A9">
      <w:pPr>
        <w:pStyle w:val="aaabullet"/>
        <w:numPr>
          <w:ilvl w:val="0"/>
          <w:numId w:val="0"/>
        </w:numPr>
        <w:ind w:left="290" w:hanging="290"/>
      </w:pPr>
      <w:r>
        <w:t>During 2019-20 the department:</w:t>
      </w:r>
    </w:p>
    <w:p w14:paraId="5E0E6D02" w14:textId="77777777" w:rsidR="003E5BF5" w:rsidRDefault="003E5BF5" w:rsidP="007D7405">
      <w:pPr>
        <w:pStyle w:val="aaabullet"/>
      </w:pPr>
      <w:r>
        <w:t>e</w:t>
      </w:r>
      <w:r w:rsidRPr="00DF0413">
        <w:t xml:space="preserve">ngaged </w:t>
      </w:r>
      <w:r>
        <w:t>31</w:t>
      </w:r>
      <w:r w:rsidRPr="00DF0413">
        <w:t xml:space="preserve"> Aboriginal businesses </w:t>
      </w:r>
      <w:r>
        <w:t>and Traditional Owner Corporations</w:t>
      </w:r>
    </w:p>
    <w:p w14:paraId="6A78D046" w14:textId="77777777" w:rsidR="003E5BF5" w:rsidRDefault="003E5BF5" w:rsidP="007D7405">
      <w:pPr>
        <w:pStyle w:val="aaabullet"/>
      </w:pPr>
      <w:r>
        <w:t xml:space="preserve">spent a total of </w:t>
      </w:r>
      <w:r w:rsidRPr="00DF0413">
        <w:t>$</w:t>
      </w:r>
      <w:r>
        <w:t>2,731,190 with Aboriginal businesses and Traditional Owner Corporations</w:t>
      </w:r>
    </w:p>
    <w:p w14:paraId="7087758E" w14:textId="77777777" w:rsidR="007D7405" w:rsidRDefault="003E5BF5" w:rsidP="007D7405">
      <w:pPr>
        <w:pStyle w:val="aaabullet"/>
        <w:sectPr w:rsidR="007D7405">
          <w:pgSz w:w="11906" w:h="16838"/>
          <w:pgMar w:top="1440" w:right="1440" w:bottom="1440" w:left="1440" w:header="708" w:footer="708" w:gutter="0"/>
          <w:cols w:space="708"/>
          <w:docGrid w:linePitch="360"/>
        </w:sectPr>
      </w:pPr>
      <w:r>
        <w:t xml:space="preserve">achieved 0.94 per cent of 1 per cent target of department direct supplier engagement of Aboriginal businesses. </w:t>
      </w:r>
    </w:p>
    <w:p w14:paraId="3AB7A65D" w14:textId="77777777" w:rsidR="003E5BF5" w:rsidRPr="008A4424" w:rsidRDefault="003E5BF5" w:rsidP="008A0170">
      <w:pPr>
        <w:pStyle w:val="Heading1"/>
      </w:pPr>
      <w:bookmarkStart w:id="806" w:name="p454"/>
      <w:bookmarkStart w:id="807" w:name="_Toc55130710"/>
      <w:bookmarkEnd w:id="806"/>
      <w:r w:rsidRPr="008A4424">
        <w:lastRenderedPageBreak/>
        <w:t>Appendix 9: Consultancy expenditure</w:t>
      </w:r>
      <w:bookmarkEnd w:id="807"/>
    </w:p>
    <w:p w14:paraId="32761261" w14:textId="77777777" w:rsidR="003E5BF5" w:rsidRDefault="003E5BF5" w:rsidP="007D7405">
      <w:pPr>
        <w:pStyle w:val="aaatyping"/>
      </w:pPr>
      <w:r>
        <w:t xml:space="preserve">The department defines a consultant as a particular type of contractor engaged primarily to perform a discrete task that facilitates decision-making through the provision of expert analysis and advice, or the development of a written report or other intellectual output. </w:t>
      </w:r>
    </w:p>
    <w:p w14:paraId="76ABEFD9" w14:textId="77777777" w:rsidR="003E5BF5" w:rsidRDefault="003E5BF5" w:rsidP="007D7405">
      <w:pPr>
        <w:pStyle w:val="aaatyping"/>
      </w:pPr>
      <w:r w:rsidRPr="00F040AC">
        <w:t>Details of individual consultancies where the total fees payable to the consultants were $10,000 or greater</w:t>
      </w:r>
      <w:r w:rsidRPr="00752011">
        <w:t xml:space="preserve"> </w:t>
      </w:r>
      <w:r w:rsidRPr="00F040AC">
        <w:t>can be found on the department’s website, and a summary of consultancies under $10,000</w:t>
      </w:r>
      <w:r>
        <w:t xml:space="preserve"> is included as a part of Appendix 16 - Additional information available on request.</w:t>
      </w:r>
    </w:p>
    <w:p w14:paraId="3D1D4527" w14:textId="17204056" w:rsidR="003E5BF5" w:rsidRPr="00933D0D" w:rsidRDefault="003E5BF5" w:rsidP="008A0170">
      <w:pPr>
        <w:pStyle w:val="Heading1"/>
      </w:pPr>
      <w:bookmarkStart w:id="808" w:name="_Toc55130711"/>
      <w:r w:rsidRPr="00933D0D">
        <w:t>Appendix 10: Disclosure of major contracts</w:t>
      </w:r>
      <w:bookmarkEnd w:id="808"/>
    </w:p>
    <w:p w14:paraId="26F2C39C" w14:textId="2CBEF336" w:rsidR="003E5BF5" w:rsidRDefault="003E5BF5" w:rsidP="00A318A3">
      <w:pPr>
        <w:pStyle w:val="aaatyping"/>
      </w:pPr>
      <w:r>
        <w:t>The department has disclosed, in accordance with the requirements of government policy and accompanying guidelines, all contracts greater than $10 million in value which it entered into during the year ended 30 June 2020. Details of contracts that have been disclosed in the Victorian Government contracts publishing system can be viewed at</w:t>
      </w:r>
      <w:r w:rsidR="00A172CE">
        <w:t xml:space="preserve"> the tenders </w:t>
      </w:r>
      <w:r w:rsidR="001A2031">
        <w:t>Victoria website via the link</w:t>
      </w:r>
      <w:r>
        <w:t xml:space="preserve">: </w:t>
      </w:r>
      <w:hyperlink r:id="rId280" w:history="1">
        <w:r w:rsidRPr="00CA1190">
          <w:rPr>
            <w:rStyle w:val="Hyperlink"/>
          </w:rPr>
          <w:t>tenders.vic.gov.au</w:t>
        </w:r>
      </w:hyperlink>
      <w:r>
        <w:t xml:space="preserve"> </w:t>
      </w:r>
    </w:p>
    <w:p w14:paraId="4A46F45D" w14:textId="77777777" w:rsidR="003E5BF5" w:rsidRPr="0030273D" w:rsidRDefault="003E5BF5" w:rsidP="00A318A3">
      <w:pPr>
        <w:pStyle w:val="aaatyping"/>
      </w:pPr>
      <w:r>
        <w:t xml:space="preserve">Contractual details have not been disclosed for those contracts for which disclosure is exempted under the </w:t>
      </w:r>
      <w:r w:rsidRPr="00B06037">
        <w:rPr>
          <w:rFonts w:ascii="VIC Light Italic" w:hAnsi="VIC Light Italic"/>
        </w:rPr>
        <w:t>Freedom of Information Act 1982</w:t>
      </w:r>
      <w:r>
        <w:t xml:space="preserve"> and/or government guidelines.</w:t>
      </w:r>
    </w:p>
    <w:p w14:paraId="1F197292" w14:textId="77777777" w:rsidR="003E5BF5" w:rsidRDefault="003E5BF5" w:rsidP="00DE1921"/>
    <w:p w14:paraId="7B0343D1" w14:textId="77777777" w:rsidR="00DF012C" w:rsidRDefault="00DF012C" w:rsidP="00DE1921">
      <w:pPr>
        <w:sectPr w:rsidR="00DF012C">
          <w:pgSz w:w="11906" w:h="16838"/>
          <w:pgMar w:top="1440" w:right="1440" w:bottom="1440" w:left="1440" w:header="708" w:footer="708" w:gutter="0"/>
          <w:cols w:space="708"/>
          <w:docGrid w:linePitch="360"/>
        </w:sectPr>
      </w:pPr>
    </w:p>
    <w:p w14:paraId="2E4D1C43" w14:textId="1EA6AB38" w:rsidR="003E5BF5" w:rsidRPr="00D34AEE" w:rsidRDefault="003E5BF5" w:rsidP="00DE1921">
      <w:bookmarkStart w:id="809" w:name="p455"/>
      <w:bookmarkEnd w:id="809"/>
    </w:p>
    <w:p w14:paraId="5F420C48" w14:textId="77777777" w:rsidR="003E5BF5" w:rsidRPr="00BA0093" w:rsidRDefault="003E5BF5" w:rsidP="008A0170">
      <w:pPr>
        <w:pStyle w:val="Heading1"/>
      </w:pPr>
      <w:bookmarkStart w:id="810" w:name="_Toc55130712"/>
      <w:r w:rsidRPr="00BA0093">
        <w:t>Appendix 11: Government advertising expenditure</w:t>
      </w:r>
      <w:bookmarkEnd w:id="810"/>
    </w:p>
    <w:p w14:paraId="03DE0D1D" w14:textId="77777777" w:rsidR="003E5BF5" w:rsidRDefault="003E5BF5" w:rsidP="00B1793F">
      <w:pPr>
        <w:pStyle w:val="aaatyping"/>
      </w:pPr>
      <w:r>
        <w:t>In 2019-20, there were eight government advertising campaigns with a total media spend of $100,000 or greater (exclusive of GST). The details of each campaign are outlined below:</w:t>
      </w:r>
    </w:p>
    <w:tbl>
      <w:tblPr>
        <w:tblStyle w:val="TableGrid"/>
        <w:tblW w:w="13608" w:type="dxa"/>
        <w:tblCellMar>
          <w:left w:w="28" w:type="dxa"/>
          <w:right w:w="0" w:type="dxa"/>
        </w:tblCellMar>
        <w:tblLook w:val="04A0" w:firstRow="1" w:lastRow="0" w:firstColumn="1" w:lastColumn="0" w:noHBand="0" w:noVBand="1"/>
      </w:tblPr>
      <w:tblGrid>
        <w:gridCol w:w="1342"/>
        <w:gridCol w:w="3921"/>
        <w:gridCol w:w="1363"/>
        <w:gridCol w:w="1325"/>
        <w:gridCol w:w="1442"/>
        <w:gridCol w:w="1203"/>
        <w:gridCol w:w="1081"/>
        <w:gridCol w:w="701"/>
        <w:gridCol w:w="1230"/>
      </w:tblGrid>
      <w:tr w:rsidR="003E5BF5" w:rsidRPr="00E273FC" w14:paraId="361AF4B5" w14:textId="77777777" w:rsidTr="00BE19B7">
        <w:trPr>
          <w:trHeight w:val="340"/>
          <w:tblHeader/>
        </w:trPr>
        <w:tc>
          <w:tcPr>
            <w:tcW w:w="1245" w:type="dxa"/>
            <w:tcMar>
              <w:left w:w="57" w:type="dxa"/>
              <w:right w:w="57" w:type="dxa"/>
            </w:tcMar>
            <w:vAlign w:val="bottom"/>
          </w:tcPr>
          <w:p w14:paraId="78A9B4AC" w14:textId="77777777" w:rsidR="003E5BF5" w:rsidRPr="00E273FC" w:rsidRDefault="003E5BF5" w:rsidP="00DE1921">
            <w:pPr>
              <w:pStyle w:val="TableTextLeftBold"/>
              <w:rPr>
                <w:rFonts w:ascii="Arial" w:hAnsi="Arial" w:cs="Arial"/>
                <w:sz w:val="24"/>
                <w:szCs w:val="24"/>
              </w:rPr>
            </w:pPr>
          </w:p>
        </w:tc>
        <w:tc>
          <w:tcPr>
            <w:tcW w:w="5134" w:type="dxa"/>
            <w:vAlign w:val="bottom"/>
          </w:tcPr>
          <w:p w14:paraId="218531F5" w14:textId="77777777" w:rsidR="003E5BF5" w:rsidRPr="00E273FC" w:rsidRDefault="003E5BF5" w:rsidP="00DE1921">
            <w:pPr>
              <w:pStyle w:val="TableTextLeftBold"/>
              <w:rPr>
                <w:rFonts w:ascii="Arial" w:hAnsi="Arial" w:cs="Arial"/>
                <w:sz w:val="24"/>
                <w:szCs w:val="24"/>
              </w:rPr>
            </w:pPr>
          </w:p>
        </w:tc>
        <w:tc>
          <w:tcPr>
            <w:tcW w:w="1134" w:type="dxa"/>
            <w:vAlign w:val="bottom"/>
          </w:tcPr>
          <w:p w14:paraId="0DDA4711" w14:textId="77777777" w:rsidR="003E5BF5" w:rsidRPr="00E273FC" w:rsidRDefault="003E5BF5" w:rsidP="00DE1921">
            <w:pPr>
              <w:pStyle w:val="TableTextRightBold"/>
              <w:rPr>
                <w:rFonts w:ascii="Arial" w:hAnsi="Arial" w:cs="Arial"/>
                <w:sz w:val="24"/>
                <w:szCs w:val="24"/>
              </w:rPr>
            </w:pPr>
          </w:p>
        </w:tc>
        <w:tc>
          <w:tcPr>
            <w:tcW w:w="6095" w:type="dxa"/>
            <w:gridSpan w:val="6"/>
            <w:shd w:val="clear" w:color="auto" w:fill="auto"/>
            <w:tcMar>
              <w:left w:w="57" w:type="dxa"/>
              <w:right w:w="57" w:type="dxa"/>
            </w:tcMar>
            <w:vAlign w:val="center"/>
          </w:tcPr>
          <w:p w14:paraId="09E52076" w14:textId="77777777" w:rsidR="003E5BF5" w:rsidRPr="00E273FC" w:rsidRDefault="003E5BF5" w:rsidP="00DE1921">
            <w:pPr>
              <w:pStyle w:val="TableTextCentreBold"/>
              <w:rPr>
                <w:rFonts w:ascii="Arial" w:hAnsi="Arial" w:cs="Arial"/>
                <w:sz w:val="24"/>
                <w:szCs w:val="24"/>
              </w:rPr>
            </w:pPr>
            <w:r w:rsidRPr="00E273FC">
              <w:rPr>
                <w:rFonts w:ascii="Arial" w:hAnsi="Arial" w:cs="Arial"/>
                <w:sz w:val="24"/>
                <w:szCs w:val="24"/>
              </w:rPr>
              <w:t>Expenditure</w:t>
            </w:r>
          </w:p>
        </w:tc>
      </w:tr>
      <w:tr w:rsidR="003E5BF5" w:rsidRPr="0026507D" w14:paraId="1EAF81D1" w14:textId="77777777" w:rsidTr="00BE19B7">
        <w:trPr>
          <w:tblHeader/>
        </w:trPr>
        <w:tc>
          <w:tcPr>
            <w:tcW w:w="1245" w:type="dxa"/>
            <w:tcMar>
              <w:left w:w="57" w:type="dxa"/>
              <w:right w:w="57" w:type="dxa"/>
            </w:tcMar>
            <w:vAlign w:val="bottom"/>
          </w:tcPr>
          <w:p w14:paraId="432A932E" w14:textId="77777777" w:rsidR="003E5BF5" w:rsidRPr="0026507D" w:rsidRDefault="003E5BF5" w:rsidP="00DE1921">
            <w:pPr>
              <w:pStyle w:val="TableTextLeftBold"/>
              <w:rPr>
                <w:rFonts w:ascii="Arial" w:hAnsi="Arial" w:cs="Arial"/>
                <w:sz w:val="22"/>
              </w:rPr>
            </w:pPr>
            <w:r w:rsidRPr="0026507D">
              <w:rPr>
                <w:rFonts w:ascii="Arial" w:hAnsi="Arial" w:cs="Arial"/>
                <w:sz w:val="22"/>
              </w:rPr>
              <w:t>Campaign</w:t>
            </w:r>
          </w:p>
        </w:tc>
        <w:tc>
          <w:tcPr>
            <w:tcW w:w="5134" w:type="dxa"/>
            <w:vAlign w:val="bottom"/>
          </w:tcPr>
          <w:p w14:paraId="535D13DE" w14:textId="77777777" w:rsidR="003E5BF5" w:rsidRPr="0026507D" w:rsidRDefault="003E5BF5" w:rsidP="00DE1921">
            <w:pPr>
              <w:pStyle w:val="TableTextLeftBold"/>
              <w:rPr>
                <w:rFonts w:ascii="Arial" w:hAnsi="Arial" w:cs="Arial"/>
                <w:sz w:val="22"/>
              </w:rPr>
            </w:pPr>
            <w:r w:rsidRPr="0026507D">
              <w:rPr>
                <w:rFonts w:ascii="Arial" w:hAnsi="Arial" w:cs="Arial"/>
                <w:sz w:val="22"/>
              </w:rPr>
              <w:t>Summary</w:t>
            </w:r>
          </w:p>
        </w:tc>
        <w:tc>
          <w:tcPr>
            <w:tcW w:w="1134" w:type="dxa"/>
            <w:vAlign w:val="bottom"/>
          </w:tcPr>
          <w:p w14:paraId="34D0026B" w14:textId="77777777" w:rsidR="003E5BF5" w:rsidRPr="0026507D" w:rsidRDefault="003E5BF5" w:rsidP="00DE1921">
            <w:pPr>
              <w:pStyle w:val="TableTextRightBold"/>
              <w:rPr>
                <w:rFonts w:ascii="Arial" w:hAnsi="Arial" w:cs="Arial"/>
                <w:sz w:val="22"/>
              </w:rPr>
            </w:pPr>
            <w:r w:rsidRPr="0026507D">
              <w:rPr>
                <w:rFonts w:ascii="Arial" w:hAnsi="Arial" w:cs="Arial"/>
                <w:sz w:val="22"/>
              </w:rPr>
              <w:t>Period</w:t>
            </w:r>
          </w:p>
        </w:tc>
        <w:tc>
          <w:tcPr>
            <w:tcW w:w="1134" w:type="dxa"/>
            <w:shd w:val="clear" w:color="auto" w:fill="auto"/>
            <w:tcMar>
              <w:left w:w="57" w:type="dxa"/>
              <w:right w:w="57" w:type="dxa"/>
            </w:tcMar>
            <w:vAlign w:val="bottom"/>
          </w:tcPr>
          <w:p w14:paraId="2AF98363" w14:textId="77777777" w:rsidR="003E5BF5" w:rsidRPr="0026507D" w:rsidRDefault="003E5BF5" w:rsidP="00DE1921">
            <w:pPr>
              <w:pStyle w:val="TableTextRightBold"/>
              <w:rPr>
                <w:rFonts w:ascii="Arial" w:hAnsi="Arial" w:cs="Arial"/>
                <w:sz w:val="22"/>
              </w:rPr>
            </w:pPr>
            <w:r w:rsidRPr="0026507D">
              <w:rPr>
                <w:rFonts w:ascii="Arial" w:hAnsi="Arial" w:cs="Arial"/>
                <w:sz w:val="22"/>
              </w:rPr>
              <w:t>Advertising media</w:t>
            </w:r>
            <w:r w:rsidRPr="0026507D">
              <w:rPr>
                <w:rFonts w:ascii="Arial" w:hAnsi="Arial" w:cs="Arial"/>
                <w:sz w:val="22"/>
              </w:rPr>
              <w:br/>
              <w:t>(excl GST)</w:t>
            </w:r>
          </w:p>
        </w:tc>
        <w:tc>
          <w:tcPr>
            <w:tcW w:w="1276" w:type="dxa"/>
            <w:shd w:val="clear" w:color="auto" w:fill="auto"/>
            <w:vAlign w:val="bottom"/>
          </w:tcPr>
          <w:p w14:paraId="41322F80" w14:textId="77777777" w:rsidR="003E5BF5" w:rsidRPr="0026507D" w:rsidRDefault="003E5BF5" w:rsidP="00DE1921">
            <w:pPr>
              <w:pStyle w:val="TableTextRightBold"/>
              <w:ind w:right="57"/>
              <w:rPr>
                <w:rFonts w:ascii="Arial" w:hAnsi="Arial" w:cs="Arial"/>
                <w:sz w:val="22"/>
              </w:rPr>
            </w:pPr>
            <w:r w:rsidRPr="0026507D">
              <w:rPr>
                <w:rFonts w:ascii="Arial" w:hAnsi="Arial" w:cs="Arial"/>
                <w:sz w:val="22"/>
              </w:rPr>
              <w:t>Creative &amp; campaign development</w:t>
            </w:r>
            <w:r w:rsidRPr="0026507D">
              <w:rPr>
                <w:rFonts w:ascii="Arial" w:hAnsi="Arial" w:cs="Arial"/>
                <w:sz w:val="22"/>
              </w:rPr>
              <w:br/>
              <w:t xml:space="preserve">(excl GST) </w:t>
            </w:r>
          </w:p>
        </w:tc>
        <w:tc>
          <w:tcPr>
            <w:tcW w:w="1134" w:type="dxa"/>
            <w:shd w:val="clear" w:color="auto" w:fill="auto"/>
            <w:tcMar>
              <w:left w:w="57" w:type="dxa"/>
              <w:right w:w="57" w:type="dxa"/>
            </w:tcMar>
            <w:vAlign w:val="bottom"/>
          </w:tcPr>
          <w:p w14:paraId="3D5526BB" w14:textId="77777777" w:rsidR="003E5BF5" w:rsidRPr="0026507D" w:rsidRDefault="003E5BF5" w:rsidP="00DE1921">
            <w:pPr>
              <w:pStyle w:val="TableTextRightBold"/>
              <w:rPr>
                <w:rFonts w:ascii="Arial" w:hAnsi="Arial" w:cs="Arial"/>
                <w:sz w:val="22"/>
              </w:rPr>
            </w:pPr>
            <w:r w:rsidRPr="0026507D">
              <w:rPr>
                <w:rFonts w:ascii="Arial" w:hAnsi="Arial" w:cs="Arial"/>
                <w:sz w:val="22"/>
              </w:rPr>
              <w:t>Research &amp; evaluation</w:t>
            </w:r>
            <w:r w:rsidRPr="0026507D">
              <w:rPr>
                <w:rFonts w:ascii="Arial" w:hAnsi="Arial" w:cs="Arial"/>
                <w:sz w:val="22"/>
              </w:rPr>
              <w:br/>
              <w:t>(excl GST)</w:t>
            </w:r>
          </w:p>
        </w:tc>
        <w:tc>
          <w:tcPr>
            <w:tcW w:w="992" w:type="dxa"/>
            <w:tcMar>
              <w:left w:w="57" w:type="dxa"/>
              <w:right w:w="57" w:type="dxa"/>
            </w:tcMar>
            <w:vAlign w:val="bottom"/>
          </w:tcPr>
          <w:p w14:paraId="06BB96A0" w14:textId="77777777" w:rsidR="003E5BF5" w:rsidRPr="0026507D" w:rsidRDefault="003E5BF5" w:rsidP="00DE1921">
            <w:pPr>
              <w:pStyle w:val="TableTextRightBold"/>
              <w:rPr>
                <w:rFonts w:ascii="Arial" w:hAnsi="Arial" w:cs="Arial"/>
                <w:sz w:val="22"/>
              </w:rPr>
            </w:pPr>
            <w:r w:rsidRPr="0026507D">
              <w:rPr>
                <w:rFonts w:ascii="Arial" w:hAnsi="Arial" w:cs="Arial"/>
                <w:sz w:val="22"/>
              </w:rPr>
              <w:t>Print &amp; collateral</w:t>
            </w:r>
            <w:r w:rsidRPr="0026507D">
              <w:rPr>
                <w:rFonts w:ascii="Arial" w:hAnsi="Arial" w:cs="Arial"/>
                <w:sz w:val="22"/>
              </w:rPr>
              <w:br/>
              <w:t>(excl GST)</w:t>
            </w:r>
          </w:p>
        </w:tc>
        <w:tc>
          <w:tcPr>
            <w:tcW w:w="567" w:type="dxa"/>
            <w:tcMar>
              <w:left w:w="57" w:type="dxa"/>
              <w:right w:w="57" w:type="dxa"/>
            </w:tcMar>
            <w:vAlign w:val="bottom"/>
          </w:tcPr>
          <w:p w14:paraId="658E1E90" w14:textId="77777777" w:rsidR="003E5BF5" w:rsidRPr="0026507D" w:rsidRDefault="003E5BF5" w:rsidP="00DE1921">
            <w:pPr>
              <w:pStyle w:val="TableTextRightBold"/>
              <w:rPr>
                <w:rFonts w:ascii="Arial" w:hAnsi="Arial" w:cs="Arial"/>
                <w:sz w:val="22"/>
              </w:rPr>
            </w:pPr>
            <w:r w:rsidRPr="0026507D">
              <w:rPr>
                <w:rFonts w:ascii="Arial" w:hAnsi="Arial" w:cs="Arial"/>
                <w:sz w:val="22"/>
              </w:rPr>
              <w:t>Other costs</w:t>
            </w:r>
          </w:p>
        </w:tc>
        <w:tc>
          <w:tcPr>
            <w:tcW w:w="992" w:type="dxa"/>
            <w:vAlign w:val="bottom"/>
          </w:tcPr>
          <w:p w14:paraId="18375B1F" w14:textId="77777777" w:rsidR="003E5BF5" w:rsidRPr="0026507D" w:rsidRDefault="003E5BF5" w:rsidP="00DE1921">
            <w:pPr>
              <w:pStyle w:val="TableTextRightBold"/>
              <w:rPr>
                <w:rFonts w:ascii="Arial" w:hAnsi="Arial" w:cs="Arial"/>
                <w:sz w:val="22"/>
              </w:rPr>
            </w:pPr>
            <w:r w:rsidRPr="0026507D">
              <w:rPr>
                <w:rFonts w:ascii="Arial" w:hAnsi="Arial" w:cs="Arial"/>
                <w:sz w:val="22"/>
              </w:rPr>
              <w:t>Total</w:t>
            </w:r>
          </w:p>
        </w:tc>
      </w:tr>
      <w:tr w:rsidR="003E5BF5" w:rsidRPr="00E273FC" w14:paraId="10ED81CE" w14:textId="77777777" w:rsidTr="003F77CA">
        <w:trPr>
          <w:trHeight w:val="340"/>
        </w:trPr>
        <w:tc>
          <w:tcPr>
            <w:tcW w:w="1245" w:type="dxa"/>
            <w:tcMar>
              <w:left w:w="57" w:type="dxa"/>
              <w:right w:w="57" w:type="dxa"/>
            </w:tcMar>
          </w:tcPr>
          <w:p w14:paraId="4E13E253" w14:textId="77777777" w:rsidR="003E5BF5" w:rsidRPr="00E273FC" w:rsidRDefault="003E5BF5" w:rsidP="00DE1921">
            <w:pPr>
              <w:pStyle w:val="TableTextLeft"/>
              <w:rPr>
                <w:rFonts w:ascii="Arial" w:hAnsi="Arial" w:cs="Arial"/>
                <w:sz w:val="24"/>
                <w:szCs w:val="24"/>
              </w:rPr>
            </w:pPr>
            <w:r w:rsidRPr="00E273FC">
              <w:rPr>
                <w:rFonts w:ascii="Arial" w:hAnsi="Arial" w:cs="Arial"/>
                <w:sz w:val="24"/>
                <w:szCs w:val="24"/>
              </w:rPr>
              <w:t>Safety You Can See (SYCS)</w:t>
            </w:r>
          </w:p>
        </w:tc>
        <w:tc>
          <w:tcPr>
            <w:tcW w:w="5134" w:type="dxa"/>
          </w:tcPr>
          <w:p w14:paraId="6BDE7B37" w14:textId="77777777" w:rsidR="003E5BF5" w:rsidRPr="00E273FC" w:rsidRDefault="003E5BF5" w:rsidP="00DE1921">
            <w:pPr>
              <w:pStyle w:val="TableTextLeft"/>
              <w:spacing w:after="60"/>
              <w:rPr>
                <w:rFonts w:ascii="Arial" w:hAnsi="Arial" w:cs="Arial"/>
                <w:sz w:val="24"/>
                <w:szCs w:val="24"/>
              </w:rPr>
            </w:pPr>
            <w:r w:rsidRPr="00E273FC">
              <w:rPr>
                <w:rFonts w:ascii="Arial" w:hAnsi="Arial" w:cs="Arial"/>
                <w:sz w:val="24"/>
                <w:szCs w:val="24"/>
              </w:rPr>
              <w:t>Phase 3 of the SYCS campaign aimed to increase perceptions of safety and improve confidence to travel on public transport, particularly at night. It aimed to improve how safe people feel by highlighting the range of staff across the public transport network that are here to help them travel safely (i.e. PSOs, Transit Police, Authorised Officers etc.). On mode and at station interventions such as CCTV, Safety Zone, Emergency Assistance buttons will also be highlighted.</w:t>
            </w:r>
          </w:p>
        </w:tc>
        <w:tc>
          <w:tcPr>
            <w:tcW w:w="1134" w:type="dxa"/>
          </w:tcPr>
          <w:p w14:paraId="5129F0D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16/03/2020- 17/05/2020  </w:t>
            </w:r>
          </w:p>
        </w:tc>
        <w:tc>
          <w:tcPr>
            <w:tcW w:w="1134" w:type="dxa"/>
            <w:shd w:val="clear" w:color="auto" w:fill="auto"/>
            <w:tcMar>
              <w:left w:w="57" w:type="dxa"/>
              <w:right w:w="57" w:type="dxa"/>
            </w:tcMar>
          </w:tcPr>
          <w:p w14:paraId="5109CF6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$439,028</w:t>
            </w:r>
          </w:p>
        </w:tc>
        <w:tc>
          <w:tcPr>
            <w:tcW w:w="1276" w:type="dxa"/>
            <w:shd w:val="clear" w:color="auto" w:fill="auto"/>
          </w:tcPr>
          <w:p w14:paraId="0066BE6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$120,854</w:t>
            </w:r>
          </w:p>
        </w:tc>
        <w:tc>
          <w:tcPr>
            <w:tcW w:w="1134" w:type="dxa"/>
            <w:shd w:val="clear" w:color="auto" w:fill="auto"/>
            <w:tcMar>
              <w:left w:w="57" w:type="dxa"/>
              <w:right w:w="57" w:type="dxa"/>
            </w:tcMar>
          </w:tcPr>
          <w:p w14:paraId="00A3EF7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92" w:type="dxa"/>
            <w:tcMar>
              <w:left w:w="57" w:type="dxa"/>
              <w:right w:w="57" w:type="dxa"/>
            </w:tcMar>
          </w:tcPr>
          <w:p w14:paraId="2C26142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567" w:type="dxa"/>
            <w:tcMar>
              <w:left w:w="57" w:type="dxa"/>
              <w:right w:w="57" w:type="dxa"/>
            </w:tcMar>
          </w:tcPr>
          <w:p w14:paraId="4BDFEA4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92" w:type="dxa"/>
          </w:tcPr>
          <w:p w14:paraId="682C921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$559,882</w:t>
            </w:r>
          </w:p>
        </w:tc>
      </w:tr>
      <w:tr w:rsidR="003E5BF5" w:rsidRPr="00E273FC" w14:paraId="3B1BE456" w14:textId="77777777" w:rsidTr="003F77CA">
        <w:trPr>
          <w:trHeight w:val="340"/>
        </w:trPr>
        <w:tc>
          <w:tcPr>
            <w:tcW w:w="1245" w:type="dxa"/>
            <w:tcMar>
              <w:left w:w="57" w:type="dxa"/>
              <w:right w:w="57" w:type="dxa"/>
            </w:tcMar>
          </w:tcPr>
          <w:p w14:paraId="02998293" w14:textId="77777777" w:rsidR="003E5BF5" w:rsidRPr="00E273FC" w:rsidRDefault="003E5BF5" w:rsidP="00DE1921">
            <w:pPr>
              <w:pStyle w:val="TableTextLeft"/>
              <w:rPr>
                <w:rFonts w:ascii="Arial" w:hAnsi="Arial" w:cs="Arial"/>
                <w:sz w:val="24"/>
                <w:szCs w:val="24"/>
                <w:highlight w:val="yellow"/>
              </w:rPr>
            </w:pPr>
            <w:r w:rsidRPr="00E273FC">
              <w:rPr>
                <w:rFonts w:ascii="Arial" w:hAnsi="Arial" w:cs="Arial"/>
                <w:sz w:val="24"/>
                <w:szCs w:val="24"/>
              </w:rPr>
              <w:t>Safest Way to Cross – Motorists (Trams)</w:t>
            </w:r>
          </w:p>
        </w:tc>
        <w:tc>
          <w:tcPr>
            <w:tcW w:w="5134" w:type="dxa"/>
          </w:tcPr>
          <w:p w14:paraId="5632E07F" w14:textId="77777777" w:rsidR="003E5BF5" w:rsidRPr="00E273FC" w:rsidRDefault="003E5BF5" w:rsidP="00DE1921">
            <w:pPr>
              <w:pStyle w:val="TableTextLeft"/>
              <w:spacing w:after="60"/>
              <w:rPr>
                <w:rFonts w:ascii="Arial" w:hAnsi="Arial" w:cs="Arial"/>
                <w:sz w:val="24"/>
                <w:szCs w:val="24"/>
              </w:rPr>
            </w:pPr>
            <w:r w:rsidRPr="00E273FC">
              <w:rPr>
                <w:rFonts w:ascii="Arial" w:hAnsi="Arial" w:cs="Arial"/>
                <w:sz w:val="24"/>
                <w:szCs w:val="24"/>
              </w:rPr>
              <w:t xml:space="preserve">This campaign targets motorist behaviour at metropolitan rail crossings where ‘queuing’ under boom gates is an issue and regional </w:t>
            </w:r>
            <w:r w:rsidRPr="00E273FC">
              <w:rPr>
                <w:rFonts w:ascii="Arial" w:hAnsi="Arial" w:cs="Arial"/>
                <w:sz w:val="24"/>
                <w:szCs w:val="24"/>
              </w:rPr>
              <w:lastRenderedPageBreak/>
              <w:t>rail crossings where motorists are unsafe at passive crossings.</w:t>
            </w:r>
          </w:p>
        </w:tc>
        <w:tc>
          <w:tcPr>
            <w:tcW w:w="1134" w:type="dxa"/>
          </w:tcPr>
          <w:p w14:paraId="78DB509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lastRenderedPageBreak/>
              <w:t>17/11/2019-21/12/2019  </w:t>
            </w:r>
          </w:p>
        </w:tc>
        <w:tc>
          <w:tcPr>
            <w:tcW w:w="1134" w:type="dxa"/>
            <w:shd w:val="clear" w:color="auto" w:fill="auto"/>
            <w:tcMar>
              <w:left w:w="57" w:type="dxa"/>
              <w:right w:w="57" w:type="dxa"/>
            </w:tcMar>
          </w:tcPr>
          <w:p w14:paraId="10AF834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$198,863</w:t>
            </w:r>
          </w:p>
        </w:tc>
        <w:tc>
          <w:tcPr>
            <w:tcW w:w="1276" w:type="dxa"/>
            <w:shd w:val="clear" w:color="auto" w:fill="auto"/>
          </w:tcPr>
          <w:p w14:paraId="384C0D2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$180,874</w:t>
            </w:r>
          </w:p>
        </w:tc>
        <w:tc>
          <w:tcPr>
            <w:tcW w:w="1134" w:type="dxa"/>
            <w:shd w:val="clear" w:color="auto" w:fill="auto"/>
            <w:tcMar>
              <w:left w:w="57" w:type="dxa"/>
              <w:right w:w="57" w:type="dxa"/>
            </w:tcMar>
          </w:tcPr>
          <w:p w14:paraId="58A0E97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92" w:type="dxa"/>
            <w:tcMar>
              <w:left w:w="57" w:type="dxa"/>
              <w:right w:w="57" w:type="dxa"/>
            </w:tcMar>
          </w:tcPr>
          <w:p w14:paraId="3028FD0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567" w:type="dxa"/>
            <w:tcMar>
              <w:left w:w="57" w:type="dxa"/>
              <w:right w:w="57" w:type="dxa"/>
            </w:tcMar>
          </w:tcPr>
          <w:p w14:paraId="2F7EDE7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92" w:type="dxa"/>
          </w:tcPr>
          <w:p w14:paraId="312A340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$379,737</w:t>
            </w:r>
          </w:p>
        </w:tc>
      </w:tr>
      <w:tr w:rsidR="003E5BF5" w:rsidRPr="00E273FC" w14:paraId="78B0A524" w14:textId="77777777" w:rsidTr="003F77CA">
        <w:trPr>
          <w:cantSplit/>
          <w:trHeight w:val="340"/>
        </w:trPr>
        <w:tc>
          <w:tcPr>
            <w:tcW w:w="1245" w:type="dxa"/>
            <w:tcMar>
              <w:left w:w="57" w:type="dxa"/>
              <w:right w:w="57" w:type="dxa"/>
            </w:tcMar>
          </w:tcPr>
          <w:p w14:paraId="38139C9F" w14:textId="77777777" w:rsidR="003E5BF5" w:rsidRPr="00E273FC" w:rsidRDefault="003E5BF5" w:rsidP="00DE1921">
            <w:pPr>
              <w:pStyle w:val="TableTextLeft"/>
              <w:rPr>
                <w:rFonts w:ascii="Arial" w:hAnsi="Arial" w:cs="Arial"/>
                <w:sz w:val="24"/>
                <w:szCs w:val="24"/>
                <w:highlight w:val="yellow"/>
              </w:rPr>
            </w:pPr>
            <w:r w:rsidRPr="00E273FC">
              <w:rPr>
                <w:rFonts w:ascii="Arial" w:hAnsi="Arial" w:cs="Arial"/>
                <w:sz w:val="24"/>
                <w:szCs w:val="24"/>
              </w:rPr>
              <w:t>Staying Apart Keeps Us Together</w:t>
            </w:r>
          </w:p>
        </w:tc>
        <w:tc>
          <w:tcPr>
            <w:tcW w:w="5134" w:type="dxa"/>
          </w:tcPr>
          <w:p w14:paraId="636C5062" w14:textId="77777777" w:rsidR="003E5BF5" w:rsidRPr="00E273FC" w:rsidRDefault="003E5BF5" w:rsidP="00DE1921">
            <w:pPr>
              <w:pStyle w:val="TableTextLeft"/>
              <w:spacing w:after="60"/>
              <w:rPr>
                <w:rFonts w:ascii="Arial" w:hAnsi="Arial" w:cs="Arial"/>
                <w:sz w:val="24"/>
                <w:szCs w:val="24"/>
              </w:rPr>
            </w:pPr>
            <w:r w:rsidRPr="00E273FC">
              <w:rPr>
                <w:rFonts w:ascii="Arial" w:hAnsi="Arial" w:cs="Arial"/>
                <w:sz w:val="24"/>
                <w:szCs w:val="24"/>
              </w:rPr>
              <w:t>Phase 1 of the Staying Apart Keeps Us Together – Transport campaign providing information about changes on the transport network and how people can change the way they travel to help slow the spread of coronavirus (COVID-19).</w:t>
            </w:r>
          </w:p>
        </w:tc>
        <w:tc>
          <w:tcPr>
            <w:tcW w:w="1134" w:type="dxa"/>
          </w:tcPr>
          <w:p w14:paraId="4D54AA8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09/06/2020-30/06/2020  </w:t>
            </w:r>
          </w:p>
        </w:tc>
        <w:tc>
          <w:tcPr>
            <w:tcW w:w="1134" w:type="dxa"/>
            <w:shd w:val="clear" w:color="auto" w:fill="auto"/>
            <w:tcMar>
              <w:left w:w="57" w:type="dxa"/>
              <w:right w:w="57" w:type="dxa"/>
            </w:tcMar>
          </w:tcPr>
          <w:p w14:paraId="441EB83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$189,612</w:t>
            </w:r>
          </w:p>
        </w:tc>
        <w:tc>
          <w:tcPr>
            <w:tcW w:w="1276" w:type="dxa"/>
            <w:shd w:val="clear" w:color="auto" w:fill="auto"/>
          </w:tcPr>
          <w:p w14:paraId="698EC2A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$106,721</w:t>
            </w:r>
          </w:p>
        </w:tc>
        <w:tc>
          <w:tcPr>
            <w:tcW w:w="1134" w:type="dxa"/>
            <w:shd w:val="clear" w:color="auto" w:fill="auto"/>
            <w:tcMar>
              <w:left w:w="57" w:type="dxa"/>
              <w:right w:w="57" w:type="dxa"/>
            </w:tcMar>
          </w:tcPr>
          <w:p w14:paraId="24CEF10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92" w:type="dxa"/>
            <w:tcMar>
              <w:left w:w="57" w:type="dxa"/>
              <w:right w:w="57" w:type="dxa"/>
            </w:tcMar>
          </w:tcPr>
          <w:p w14:paraId="3201DB1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567" w:type="dxa"/>
            <w:tcMar>
              <w:left w:w="57" w:type="dxa"/>
              <w:right w:w="57" w:type="dxa"/>
            </w:tcMar>
          </w:tcPr>
          <w:p w14:paraId="0C3E954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92" w:type="dxa"/>
          </w:tcPr>
          <w:p w14:paraId="57F1F77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$296,333</w:t>
            </w:r>
          </w:p>
        </w:tc>
      </w:tr>
      <w:tr w:rsidR="003E5BF5" w:rsidRPr="00E273FC" w14:paraId="2BE84727" w14:textId="77777777" w:rsidTr="003F77CA">
        <w:trPr>
          <w:cantSplit/>
          <w:trHeight w:val="340"/>
        </w:trPr>
        <w:tc>
          <w:tcPr>
            <w:tcW w:w="1245" w:type="dxa"/>
            <w:tcMar>
              <w:left w:w="57" w:type="dxa"/>
              <w:right w:w="57" w:type="dxa"/>
            </w:tcMar>
          </w:tcPr>
          <w:p w14:paraId="2BBC4666" w14:textId="77777777" w:rsidR="003E5BF5" w:rsidRPr="00E273FC" w:rsidRDefault="003E5BF5" w:rsidP="00DE1921">
            <w:pPr>
              <w:pStyle w:val="TableTextLeft"/>
              <w:rPr>
                <w:rFonts w:ascii="Arial" w:hAnsi="Arial" w:cs="Arial"/>
                <w:sz w:val="24"/>
                <w:szCs w:val="24"/>
                <w:highlight w:val="yellow"/>
              </w:rPr>
            </w:pPr>
            <w:r w:rsidRPr="00E273FC">
              <w:rPr>
                <w:rFonts w:ascii="Arial" w:hAnsi="Arial" w:cs="Arial"/>
                <w:sz w:val="24"/>
                <w:szCs w:val="24"/>
              </w:rPr>
              <w:t>Autumn Disruptions</w:t>
            </w:r>
          </w:p>
        </w:tc>
        <w:tc>
          <w:tcPr>
            <w:tcW w:w="5134" w:type="dxa"/>
          </w:tcPr>
          <w:p w14:paraId="70E57551" w14:textId="77777777" w:rsidR="003E5BF5" w:rsidRPr="00E273FC" w:rsidRDefault="003E5BF5" w:rsidP="00DE1921">
            <w:pPr>
              <w:pStyle w:val="TableTextLeft"/>
              <w:spacing w:after="60"/>
              <w:rPr>
                <w:rFonts w:ascii="Arial" w:hAnsi="Arial" w:cs="Arial"/>
                <w:sz w:val="24"/>
                <w:szCs w:val="24"/>
              </w:rPr>
            </w:pPr>
            <w:r w:rsidRPr="00E273FC">
              <w:rPr>
                <w:rFonts w:ascii="Arial" w:hAnsi="Arial" w:cs="Arial"/>
                <w:sz w:val="24"/>
                <w:szCs w:val="24"/>
              </w:rPr>
              <w:t>Campaign to inform the community about disruptions due to works on the transport network and enable people to make informed travel plans.</w:t>
            </w:r>
          </w:p>
        </w:tc>
        <w:tc>
          <w:tcPr>
            <w:tcW w:w="1134" w:type="dxa"/>
          </w:tcPr>
          <w:p w14:paraId="2DD2A27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08/03/2020-23/03/2020  </w:t>
            </w:r>
          </w:p>
        </w:tc>
        <w:tc>
          <w:tcPr>
            <w:tcW w:w="1134" w:type="dxa"/>
            <w:shd w:val="clear" w:color="auto" w:fill="auto"/>
            <w:tcMar>
              <w:left w:w="57" w:type="dxa"/>
              <w:right w:w="57" w:type="dxa"/>
            </w:tcMar>
          </w:tcPr>
          <w:p w14:paraId="04AF2A1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$108,846</w:t>
            </w:r>
          </w:p>
        </w:tc>
        <w:tc>
          <w:tcPr>
            <w:tcW w:w="1276" w:type="dxa"/>
            <w:shd w:val="clear" w:color="auto" w:fill="auto"/>
          </w:tcPr>
          <w:p w14:paraId="4EED6D32" w14:textId="77777777" w:rsidR="003E5BF5" w:rsidRPr="00E273FC" w:rsidRDefault="003E5BF5" w:rsidP="00DE1921">
            <w:pPr>
              <w:pStyle w:val="TableTextRight"/>
              <w:rPr>
                <w:rFonts w:ascii="Arial" w:hAnsi="Arial" w:cs="Arial"/>
                <w:sz w:val="24"/>
                <w:szCs w:val="24"/>
              </w:rPr>
            </w:pPr>
          </w:p>
        </w:tc>
        <w:tc>
          <w:tcPr>
            <w:tcW w:w="1134" w:type="dxa"/>
            <w:shd w:val="clear" w:color="auto" w:fill="auto"/>
            <w:tcMar>
              <w:left w:w="57" w:type="dxa"/>
              <w:right w:w="57" w:type="dxa"/>
            </w:tcMar>
          </w:tcPr>
          <w:p w14:paraId="0582F8A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92" w:type="dxa"/>
            <w:tcMar>
              <w:left w:w="57" w:type="dxa"/>
              <w:right w:w="57" w:type="dxa"/>
            </w:tcMar>
          </w:tcPr>
          <w:p w14:paraId="0C89B7D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567" w:type="dxa"/>
            <w:tcMar>
              <w:left w:w="57" w:type="dxa"/>
              <w:right w:w="57" w:type="dxa"/>
            </w:tcMar>
          </w:tcPr>
          <w:p w14:paraId="1A5EB48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92" w:type="dxa"/>
          </w:tcPr>
          <w:p w14:paraId="3E3FAD4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$108,846</w:t>
            </w:r>
          </w:p>
        </w:tc>
      </w:tr>
      <w:tr w:rsidR="003E5BF5" w:rsidRPr="00E273FC" w14:paraId="3DCBA6FF" w14:textId="77777777" w:rsidTr="003F77CA">
        <w:trPr>
          <w:trHeight w:val="340"/>
        </w:trPr>
        <w:tc>
          <w:tcPr>
            <w:tcW w:w="1245" w:type="dxa"/>
            <w:tcMar>
              <w:left w:w="57" w:type="dxa"/>
              <w:right w:w="57" w:type="dxa"/>
            </w:tcMar>
          </w:tcPr>
          <w:p w14:paraId="08FE7764" w14:textId="77777777" w:rsidR="003E5BF5" w:rsidRPr="00E273FC" w:rsidRDefault="003E5BF5" w:rsidP="00DE1921">
            <w:pPr>
              <w:pStyle w:val="TableTextLeft"/>
              <w:rPr>
                <w:rFonts w:ascii="Arial" w:hAnsi="Arial" w:cs="Arial"/>
                <w:sz w:val="24"/>
                <w:szCs w:val="24"/>
                <w:highlight w:val="yellow"/>
              </w:rPr>
            </w:pPr>
            <w:r w:rsidRPr="00E273FC">
              <w:rPr>
                <w:rFonts w:ascii="Arial" w:hAnsi="Arial" w:cs="Arial"/>
                <w:sz w:val="24"/>
                <w:szCs w:val="24"/>
              </w:rPr>
              <w:t>2019 AFL Partnership</w:t>
            </w:r>
          </w:p>
        </w:tc>
        <w:tc>
          <w:tcPr>
            <w:tcW w:w="5134" w:type="dxa"/>
          </w:tcPr>
          <w:p w14:paraId="2536F11A" w14:textId="77777777" w:rsidR="003E5BF5" w:rsidRPr="00E273FC" w:rsidRDefault="003E5BF5" w:rsidP="00DE1921">
            <w:pPr>
              <w:pStyle w:val="TableTextLeft"/>
              <w:spacing w:after="60"/>
              <w:rPr>
                <w:rFonts w:ascii="Arial" w:hAnsi="Arial" w:cs="Arial"/>
                <w:sz w:val="24"/>
                <w:szCs w:val="24"/>
              </w:rPr>
            </w:pPr>
            <w:r w:rsidRPr="00E273FC">
              <w:rPr>
                <w:rFonts w:ascii="Arial" w:hAnsi="Arial" w:cs="Arial"/>
                <w:sz w:val="24"/>
                <w:szCs w:val="24"/>
              </w:rPr>
              <w:t xml:space="preserve">The second year of the AFL and PTV partnership. This partnership continued to provide PTV with the opportunity to target AFL fans with specific travel related messages using AFL’s major marketing channels such as the AFL Record, app and website. Creating a desire to travel via public transport to the AFL was the key campaign objective. The campaign also focused on mitigating the potential </w:t>
            </w:r>
            <w:r w:rsidRPr="00E273FC">
              <w:rPr>
                <w:rFonts w:ascii="Arial" w:hAnsi="Arial" w:cs="Arial"/>
                <w:sz w:val="24"/>
                <w:szCs w:val="24"/>
              </w:rPr>
              <w:lastRenderedPageBreak/>
              <w:t>effects of disruptions on customer journeys – encouraging passengers to plan their journey to the footy using a dedicated campaign landing page.</w:t>
            </w:r>
          </w:p>
        </w:tc>
        <w:tc>
          <w:tcPr>
            <w:tcW w:w="1134" w:type="dxa"/>
          </w:tcPr>
          <w:p w14:paraId="47CC27A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lastRenderedPageBreak/>
              <w:t>30/06/2019-6/10/2019  </w:t>
            </w:r>
          </w:p>
        </w:tc>
        <w:tc>
          <w:tcPr>
            <w:tcW w:w="1134" w:type="dxa"/>
            <w:shd w:val="clear" w:color="auto" w:fill="auto"/>
            <w:tcMar>
              <w:left w:w="57" w:type="dxa"/>
              <w:right w:w="57" w:type="dxa"/>
            </w:tcMar>
          </w:tcPr>
          <w:p w14:paraId="7E19BD6E"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$443,000</w:t>
            </w:r>
          </w:p>
        </w:tc>
        <w:tc>
          <w:tcPr>
            <w:tcW w:w="1276" w:type="dxa"/>
            <w:shd w:val="clear" w:color="auto" w:fill="auto"/>
          </w:tcPr>
          <w:p w14:paraId="3C8512A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$9,650</w:t>
            </w:r>
          </w:p>
        </w:tc>
        <w:tc>
          <w:tcPr>
            <w:tcW w:w="1134" w:type="dxa"/>
            <w:shd w:val="clear" w:color="auto" w:fill="auto"/>
            <w:tcMar>
              <w:left w:w="57" w:type="dxa"/>
              <w:right w:w="57" w:type="dxa"/>
            </w:tcMar>
          </w:tcPr>
          <w:p w14:paraId="58298DD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92" w:type="dxa"/>
            <w:tcMar>
              <w:left w:w="57" w:type="dxa"/>
              <w:right w:w="57" w:type="dxa"/>
            </w:tcMar>
          </w:tcPr>
          <w:p w14:paraId="4D3491D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567" w:type="dxa"/>
            <w:tcMar>
              <w:left w:w="57" w:type="dxa"/>
              <w:right w:w="57" w:type="dxa"/>
            </w:tcMar>
          </w:tcPr>
          <w:p w14:paraId="74CC635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92" w:type="dxa"/>
          </w:tcPr>
          <w:p w14:paraId="600BBFD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$452,650</w:t>
            </w:r>
          </w:p>
        </w:tc>
      </w:tr>
      <w:tr w:rsidR="003E5BF5" w:rsidRPr="00E273FC" w14:paraId="01486674" w14:textId="77777777" w:rsidTr="003F77CA">
        <w:trPr>
          <w:cantSplit/>
          <w:trHeight w:val="340"/>
        </w:trPr>
        <w:tc>
          <w:tcPr>
            <w:tcW w:w="1245" w:type="dxa"/>
            <w:tcMar>
              <w:left w:w="57" w:type="dxa"/>
              <w:right w:w="57" w:type="dxa"/>
            </w:tcMar>
          </w:tcPr>
          <w:p w14:paraId="48D26332" w14:textId="77777777" w:rsidR="003E5BF5" w:rsidRPr="00E273FC" w:rsidRDefault="003E5BF5" w:rsidP="00DE1921">
            <w:pPr>
              <w:pStyle w:val="TableTextLeft"/>
              <w:rPr>
                <w:rFonts w:ascii="Arial" w:hAnsi="Arial" w:cs="Arial"/>
                <w:sz w:val="24"/>
                <w:szCs w:val="24"/>
                <w:highlight w:val="yellow"/>
              </w:rPr>
            </w:pPr>
            <w:r w:rsidRPr="00E273FC">
              <w:rPr>
                <w:rFonts w:ascii="Arial" w:hAnsi="Arial" w:cs="Arial"/>
                <w:sz w:val="24"/>
                <w:szCs w:val="24"/>
              </w:rPr>
              <w:t>Victoria’s Big Build</w:t>
            </w:r>
          </w:p>
        </w:tc>
        <w:tc>
          <w:tcPr>
            <w:tcW w:w="5134" w:type="dxa"/>
          </w:tcPr>
          <w:p w14:paraId="4A3457D8" w14:textId="77777777" w:rsidR="003E5BF5" w:rsidRPr="00E273FC" w:rsidRDefault="003E5BF5" w:rsidP="00DE1921">
            <w:pPr>
              <w:pStyle w:val="TableTextLeft"/>
              <w:spacing w:after="60"/>
              <w:rPr>
                <w:rFonts w:ascii="Arial" w:hAnsi="Arial" w:cs="Arial"/>
                <w:sz w:val="24"/>
                <w:szCs w:val="24"/>
                <w:highlight w:val="yellow"/>
              </w:rPr>
            </w:pPr>
            <w:r w:rsidRPr="00E273FC">
              <w:rPr>
                <w:rFonts w:ascii="Arial" w:hAnsi="Arial" w:cs="Arial"/>
                <w:sz w:val="24"/>
                <w:szCs w:val="24"/>
              </w:rPr>
              <w:t>To deliver coordinated messaging to Victorians relating to disruptions associated with major transport infrastructure projects through a campaign which covers all Victoria’s Big Build projects, as well as a centralised call centre and website. This campaign highlights the scope and magnitude of current and future infrastructure projects over the coming years, assisting Victorians to prepare for all road and rail disruptions happening near them and keeping them informed of the best travel options. The campaign website also provides a jobs portal, promoting employment opportunities across all projects.</w:t>
            </w:r>
          </w:p>
        </w:tc>
        <w:tc>
          <w:tcPr>
            <w:tcW w:w="1134" w:type="dxa"/>
          </w:tcPr>
          <w:p w14:paraId="551ADBC6"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01/07/2019-30/06/2020  </w:t>
            </w:r>
          </w:p>
        </w:tc>
        <w:tc>
          <w:tcPr>
            <w:tcW w:w="1134" w:type="dxa"/>
            <w:shd w:val="clear" w:color="auto" w:fill="auto"/>
            <w:tcMar>
              <w:left w:w="57" w:type="dxa"/>
              <w:right w:w="57" w:type="dxa"/>
            </w:tcMar>
          </w:tcPr>
          <w:p w14:paraId="026E20C3"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$1,027,515</w:t>
            </w:r>
          </w:p>
        </w:tc>
        <w:tc>
          <w:tcPr>
            <w:tcW w:w="1276" w:type="dxa"/>
            <w:shd w:val="clear" w:color="auto" w:fill="auto"/>
          </w:tcPr>
          <w:p w14:paraId="55EB868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$1,977,998</w:t>
            </w:r>
          </w:p>
        </w:tc>
        <w:tc>
          <w:tcPr>
            <w:tcW w:w="1134" w:type="dxa"/>
            <w:shd w:val="clear" w:color="auto" w:fill="auto"/>
            <w:tcMar>
              <w:left w:w="57" w:type="dxa"/>
              <w:right w:w="57" w:type="dxa"/>
            </w:tcMar>
          </w:tcPr>
          <w:p w14:paraId="47957B0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$63,500</w:t>
            </w:r>
          </w:p>
        </w:tc>
        <w:tc>
          <w:tcPr>
            <w:tcW w:w="992" w:type="dxa"/>
            <w:tcMar>
              <w:left w:w="57" w:type="dxa"/>
              <w:right w:w="57" w:type="dxa"/>
            </w:tcMar>
          </w:tcPr>
          <w:p w14:paraId="4C9EC2E5"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567" w:type="dxa"/>
            <w:tcMar>
              <w:left w:w="57" w:type="dxa"/>
              <w:right w:w="57" w:type="dxa"/>
            </w:tcMar>
          </w:tcPr>
          <w:p w14:paraId="01A799D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92" w:type="dxa"/>
          </w:tcPr>
          <w:p w14:paraId="15C6A8DA"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$3,069,013</w:t>
            </w:r>
          </w:p>
        </w:tc>
      </w:tr>
      <w:tr w:rsidR="003E5BF5" w:rsidRPr="00E273FC" w14:paraId="16CE3B3E" w14:textId="77777777" w:rsidTr="003F77CA">
        <w:trPr>
          <w:trHeight w:val="340"/>
        </w:trPr>
        <w:tc>
          <w:tcPr>
            <w:tcW w:w="1245" w:type="dxa"/>
            <w:tcMar>
              <w:left w:w="57" w:type="dxa"/>
              <w:right w:w="57" w:type="dxa"/>
            </w:tcMar>
          </w:tcPr>
          <w:p w14:paraId="518F120C" w14:textId="77777777" w:rsidR="003E5BF5" w:rsidRPr="00E273FC" w:rsidRDefault="003E5BF5" w:rsidP="00DE1921">
            <w:pPr>
              <w:pStyle w:val="TableTextLeft"/>
              <w:rPr>
                <w:rFonts w:ascii="Arial" w:hAnsi="Arial" w:cs="Arial"/>
                <w:sz w:val="24"/>
                <w:szCs w:val="24"/>
                <w:highlight w:val="yellow"/>
              </w:rPr>
            </w:pPr>
            <w:r w:rsidRPr="00E273FC">
              <w:rPr>
                <w:rFonts w:ascii="Arial" w:hAnsi="Arial" w:cs="Arial"/>
                <w:sz w:val="24"/>
                <w:szCs w:val="24"/>
              </w:rPr>
              <w:t>The Metro Tunnel</w:t>
            </w:r>
          </w:p>
        </w:tc>
        <w:tc>
          <w:tcPr>
            <w:tcW w:w="5134" w:type="dxa"/>
          </w:tcPr>
          <w:p w14:paraId="78B42465" w14:textId="77777777" w:rsidR="003E5BF5" w:rsidRPr="00E273FC" w:rsidRDefault="003E5BF5" w:rsidP="00DE1921">
            <w:pPr>
              <w:pStyle w:val="TableTextLeft"/>
              <w:spacing w:after="60"/>
              <w:rPr>
                <w:rFonts w:ascii="Arial" w:hAnsi="Arial" w:cs="Arial"/>
                <w:sz w:val="24"/>
                <w:szCs w:val="24"/>
                <w:highlight w:val="yellow"/>
              </w:rPr>
            </w:pPr>
            <w:r w:rsidRPr="00E273FC">
              <w:rPr>
                <w:rFonts w:ascii="Arial" w:hAnsi="Arial" w:cs="Arial"/>
                <w:sz w:val="24"/>
                <w:szCs w:val="24"/>
              </w:rPr>
              <w:t xml:space="preserve">To inform Melbourne’s travelling community, residents and businesses about disruptions associated with the Metro Tunnel. </w:t>
            </w:r>
            <w:r w:rsidRPr="00E273FC">
              <w:rPr>
                <w:rFonts w:ascii="Arial" w:hAnsi="Arial" w:cs="Arial"/>
                <w:sz w:val="24"/>
                <w:szCs w:val="24"/>
              </w:rPr>
              <w:lastRenderedPageBreak/>
              <w:t>The key messaging enables people to make informed travel plans to ensure they can get to where they need to go as quickly and as efficiently as possible whilst these works are undertaken.</w:t>
            </w:r>
          </w:p>
        </w:tc>
        <w:tc>
          <w:tcPr>
            <w:tcW w:w="1134" w:type="dxa"/>
          </w:tcPr>
          <w:p w14:paraId="31E53612"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lastRenderedPageBreak/>
              <w:t>01/07/2019-30/06/2020  </w:t>
            </w:r>
          </w:p>
        </w:tc>
        <w:tc>
          <w:tcPr>
            <w:tcW w:w="1134" w:type="dxa"/>
            <w:shd w:val="clear" w:color="auto" w:fill="auto"/>
            <w:tcMar>
              <w:left w:w="57" w:type="dxa"/>
              <w:right w:w="57" w:type="dxa"/>
            </w:tcMar>
          </w:tcPr>
          <w:p w14:paraId="4158224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$1,789,966</w:t>
            </w:r>
          </w:p>
        </w:tc>
        <w:tc>
          <w:tcPr>
            <w:tcW w:w="1276" w:type="dxa"/>
            <w:shd w:val="clear" w:color="auto" w:fill="auto"/>
          </w:tcPr>
          <w:p w14:paraId="6D282AE0"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$229,834</w:t>
            </w:r>
          </w:p>
        </w:tc>
        <w:tc>
          <w:tcPr>
            <w:tcW w:w="1134" w:type="dxa"/>
            <w:shd w:val="clear" w:color="auto" w:fill="auto"/>
            <w:tcMar>
              <w:left w:w="57" w:type="dxa"/>
              <w:right w:w="57" w:type="dxa"/>
            </w:tcMar>
          </w:tcPr>
          <w:p w14:paraId="3901C3D8"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92" w:type="dxa"/>
            <w:tcMar>
              <w:left w:w="57" w:type="dxa"/>
              <w:right w:w="57" w:type="dxa"/>
            </w:tcMar>
          </w:tcPr>
          <w:p w14:paraId="13C301AD"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567" w:type="dxa"/>
            <w:tcMar>
              <w:left w:w="57" w:type="dxa"/>
              <w:right w:w="57" w:type="dxa"/>
            </w:tcMar>
          </w:tcPr>
          <w:p w14:paraId="3B23F2E9"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92" w:type="dxa"/>
          </w:tcPr>
          <w:p w14:paraId="6D2A9CCC"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$2,019,800</w:t>
            </w:r>
          </w:p>
        </w:tc>
      </w:tr>
      <w:tr w:rsidR="003E5BF5" w:rsidRPr="00E273FC" w14:paraId="3BC5F8FB" w14:textId="77777777" w:rsidTr="003F77CA">
        <w:trPr>
          <w:trHeight w:val="340"/>
        </w:trPr>
        <w:tc>
          <w:tcPr>
            <w:tcW w:w="1245" w:type="dxa"/>
            <w:tcMar>
              <w:left w:w="57" w:type="dxa"/>
              <w:right w:w="57" w:type="dxa"/>
            </w:tcMar>
          </w:tcPr>
          <w:p w14:paraId="00C37A31" w14:textId="77777777" w:rsidR="003E5BF5" w:rsidRPr="00E273FC" w:rsidRDefault="003E5BF5" w:rsidP="00DE1921">
            <w:pPr>
              <w:pStyle w:val="TableTextLeft"/>
              <w:rPr>
                <w:rFonts w:ascii="Arial" w:hAnsi="Arial" w:cs="Arial"/>
                <w:sz w:val="24"/>
                <w:szCs w:val="24"/>
                <w:highlight w:val="yellow"/>
              </w:rPr>
            </w:pPr>
            <w:r w:rsidRPr="00E273FC">
              <w:rPr>
                <w:rFonts w:ascii="Arial" w:hAnsi="Arial" w:cs="Arial"/>
                <w:sz w:val="24"/>
                <w:szCs w:val="24"/>
              </w:rPr>
              <w:t>Level Crossing Removal Project</w:t>
            </w:r>
          </w:p>
        </w:tc>
        <w:tc>
          <w:tcPr>
            <w:tcW w:w="5134" w:type="dxa"/>
          </w:tcPr>
          <w:p w14:paraId="663353E9" w14:textId="77777777" w:rsidR="003E5BF5" w:rsidRPr="00E273FC" w:rsidRDefault="003E5BF5" w:rsidP="00DE1921">
            <w:pPr>
              <w:pStyle w:val="TableTextLeft"/>
              <w:spacing w:after="60"/>
              <w:rPr>
                <w:rFonts w:ascii="Arial" w:hAnsi="Arial" w:cs="Arial"/>
                <w:sz w:val="24"/>
                <w:szCs w:val="24"/>
                <w:highlight w:val="yellow"/>
              </w:rPr>
            </w:pPr>
            <w:r w:rsidRPr="00E273FC">
              <w:rPr>
                <w:rFonts w:ascii="Arial" w:hAnsi="Arial" w:cs="Arial"/>
                <w:sz w:val="24"/>
                <w:szCs w:val="24"/>
              </w:rPr>
              <w:t>To inform Melbourne’s travelling community, residents and businesses about disruptions associated with level crossing removal works. The key messaging enables people to make informed travel plans to ensure they can get to where they need to go as quickly and as efficiently as possible whilst these works are undertaken.</w:t>
            </w:r>
          </w:p>
        </w:tc>
        <w:tc>
          <w:tcPr>
            <w:tcW w:w="1134" w:type="dxa"/>
          </w:tcPr>
          <w:p w14:paraId="5A26EEA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01/07/2019-30/06/2020  </w:t>
            </w:r>
          </w:p>
        </w:tc>
        <w:tc>
          <w:tcPr>
            <w:tcW w:w="1134" w:type="dxa"/>
            <w:shd w:val="clear" w:color="auto" w:fill="auto"/>
            <w:tcMar>
              <w:left w:w="57" w:type="dxa"/>
              <w:right w:w="57" w:type="dxa"/>
            </w:tcMar>
          </w:tcPr>
          <w:p w14:paraId="229D8BC1"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$1,255,575</w:t>
            </w:r>
          </w:p>
        </w:tc>
        <w:tc>
          <w:tcPr>
            <w:tcW w:w="1276" w:type="dxa"/>
            <w:shd w:val="clear" w:color="auto" w:fill="auto"/>
          </w:tcPr>
          <w:p w14:paraId="110728DB"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$25,479</w:t>
            </w:r>
          </w:p>
        </w:tc>
        <w:tc>
          <w:tcPr>
            <w:tcW w:w="1134" w:type="dxa"/>
            <w:shd w:val="clear" w:color="auto" w:fill="auto"/>
            <w:tcMar>
              <w:left w:w="57" w:type="dxa"/>
              <w:right w:w="57" w:type="dxa"/>
            </w:tcMar>
          </w:tcPr>
          <w:p w14:paraId="5AB726CF"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92" w:type="dxa"/>
            <w:tcMar>
              <w:left w:w="57" w:type="dxa"/>
              <w:right w:w="57" w:type="dxa"/>
            </w:tcMar>
          </w:tcPr>
          <w:p w14:paraId="3F58B77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567" w:type="dxa"/>
            <w:tcMar>
              <w:left w:w="57" w:type="dxa"/>
              <w:right w:w="57" w:type="dxa"/>
            </w:tcMar>
          </w:tcPr>
          <w:p w14:paraId="4982B854"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w:t>
            </w:r>
          </w:p>
        </w:tc>
        <w:tc>
          <w:tcPr>
            <w:tcW w:w="992" w:type="dxa"/>
          </w:tcPr>
          <w:p w14:paraId="36E64A87" w14:textId="77777777" w:rsidR="003E5BF5" w:rsidRPr="00E273FC" w:rsidRDefault="003E5BF5" w:rsidP="00DE1921">
            <w:pPr>
              <w:pStyle w:val="TableTextRight"/>
              <w:rPr>
                <w:rFonts w:ascii="Arial" w:hAnsi="Arial" w:cs="Arial"/>
                <w:sz w:val="24"/>
                <w:szCs w:val="24"/>
              </w:rPr>
            </w:pPr>
            <w:r w:rsidRPr="00E273FC">
              <w:rPr>
                <w:rFonts w:ascii="Arial" w:hAnsi="Arial" w:cs="Arial"/>
                <w:sz w:val="24"/>
                <w:szCs w:val="24"/>
              </w:rPr>
              <w:t>$1,281,054</w:t>
            </w:r>
          </w:p>
        </w:tc>
      </w:tr>
    </w:tbl>
    <w:p w14:paraId="34ED8A27" w14:textId="77777777" w:rsidR="003E5BF5" w:rsidRDefault="003E5BF5" w:rsidP="00DE1921"/>
    <w:p w14:paraId="18BE39A2" w14:textId="77777777" w:rsidR="00B07CCD" w:rsidRDefault="00B07CCD">
      <w:pPr>
        <w:sectPr w:rsidR="00B07CCD" w:rsidSect="00DF012C">
          <w:pgSz w:w="16838" w:h="11906" w:orient="landscape"/>
          <w:pgMar w:top="1440" w:right="1440" w:bottom="1440" w:left="1440" w:header="708" w:footer="708" w:gutter="0"/>
          <w:cols w:space="708"/>
          <w:docGrid w:linePitch="360"/>
        </w:sectPr>
      </w:pPr>
    </w:p>
    <w:p w14:paraId="1AB397CB" w14:textId="77777777" w:rsidR="000832D9" w:rsidRPr="00F5021C" w:rsidRDefault="000832D9" w:rsidP="008A0170">
      <w:pPr>
        <w:pStyle w:val="Heading1"/>
      </w:pPr>
      <w:bookmarkStart w:id="811" w:name="_Toc55130713"/>
      <w:r w:rsidRPr="00F5021C">
        <w:lastRenderedPageBreak/>
        <w:t>Appendix 12: Information and communication technology expenditure</w:t>
      </w:r>
      <w:bookmarkEnd w:id="811"/>
    </w:p>
    <w:p w14:paraId="76D309CE" w14:textId="77777777" w:rsidR="000832D9" w:rsidRDefault="000832D9" w:rsidP="0073479A">
      <w:pPr>
        <w:pStyle w:val="aaatyping"/>
      </w:pPr>
      <w:r>
        <w:t>The department had a total Information and Communication Technology (ICT) expenditure of $265.14 million for the 2019-20 reporting period. Details are shown below:</w:t>
      </w:r>
    </w:p>
    <w:tbl>
      <w:tblPr>
        <w:tblStyle w:val="TableGrid"/>
        <w:tblW w:w="9075" w:type="dxa"/>
        <w:tblCellMar>
          <w:left w:w="28" w:type="dxa"/>
          <w:right w:w="0" w:type="dxa"/>
        </w:tblCellMar>
        <w:tblLook w:val="04A0" w:firstRow="1" w:lastRow="0" w:firstColumn="1" w:lastColumn="0" w:noHBand="0" w:noVBand="1"/>
      </w:tblPr>
      <w:tblGrid>
        <w:gridCol w:w="3174"/>
        <w:gridCol w:w="1475"/>
        <w:gridCol w:w="1475"/>
        <w:gridCol w:w="1475"/>
        <w:gridCol w:w="575"/>
        <w:gridCol w:w="24"/>
        <w:gridCol w:w="877"/>
      </w:tblGrid>
      <w:tr w:rsidR="000832D9" w:rsidRPr="00E273FC" w14:paraId="001B56C5" w14:textId="77777777" w:rsidTr="00BE19B7">
        <w:trPr>
          <w:trHeight w:val="340"/>
        </w:trPr>
        <w:tc>
          <w:tcPr>
            <w:tcW w:w="3174" w:type="dxa"/>
            <w:shd w:val="clear" w:color="auto" w:fill="auto"/>
            <w:tcMar>
              <w:top w:w="0" w:type="dxa"/>
              <w:left w:w="57" w:type="dxa"/>
              <w:bottom w:w="0" w:type="dxa"/>
              <w:right w:w="57" w:type="dxa"/>
            </w:tcMar>
            <w:vAlign w:val="center"/>
          </w:tcPr>
          <w:p w14:paraId="4AF42209" w14:textId="77777777" w:rsidR="000832D9" w:rsidRPr="00E273FC" w:rsidRDefault="000832D9">
            <w:pPr>
              <w:pStyle w:val="TableTextLeft"/>
              <w:rPr>
                <w:rFonts w:ascii="Arial" w:hAnsi="Arial" w:cs="Arial"/>
                <w:sz w:val="24"/>
                <w:szCs w:val="24"/>
              </w:rPr>
            </w:pPr>
          </w:p>
        </w:tc>
        <w:tc>
          <w:tcPr>
            <w:tcW w:w="5901" w:type="dxa"/>
            <w:gridSpan w:val="6"/>
            <w:shd w:val="clear" w:color="auto" w:fill="auto"/>
            <w:tcMar>
              <w:top w:w="0" w:type="dxa"/>
              <w:left w:w="57" w:type="dxa"/>
              <w:bottom w:w="0" w:type="dxa"/>
              <w:right w:w="57" w:type="dxa"/>
            </w:tcMar>
            <w:vAlign w:val="center"/>
            <w:hideMark/>
          </w:tcPr>
          <w:p w14:paraId="12CA90A2" w14:textId="77777777" w:rsidR="000832D9" w:rsidRPr="00E273FC" w:rsidRDefault="000832D9" w:rsidP="00DE1921">
            <w:pPr>
              <w:pStyle w:val="TableTextCentreBold"/>
              <w:rPr>
                <w:rFonts w:ascii="Arial" w:hAnsi="Arial" w:cs="Arial"/>
                <w:sz w:val="24"/>
                <w:szCs w:val="24"/>
              </w:rPr>
            </w:pPr>
            <w:r w:rsidRPr="00E273FC">
              <w:rPr>
                <w:rFonts w:ascii="Arial" w:hAnsi="Arial" w:cs="Arial"/>
                <w:sz w:val="24"/>
                <w:szCs w:val="24"/>
              </w:rPr>
              <w:t>($ million)</w:t>
            </w:r>
          </w:p>
        </w:tc>
      </w:tr>
      <w:tr w:rsidR="000832D9" w:rsidRPr="00E273FC" w14:paraId="31392AE4" w14:textId="77777777" w:rsidTr="00BE19B7">
        <w:trPr>
          <w:trHeight w:val="340"/>
        </w:trPr>
        <w:tc>
          <w:tcPr>
            <w:tcW w:w="3174" w:type="dxa"/>
            <w:shd w:val="clear" w:color="auto" w:fill="auto"/>
            <w:tcMar>
              <w:top w:w="0" w:type="dxa"/>
              <w:left w:w="57" w:type="dxa"/>
              <w:bottom w:w="0" w:type="dxa"/>
              <w:right w:w="57" w:type="dxa"/>
            </w:tcMar>
            <w:vAlign w:val="center"/>
          </w:tcPr>
          <w:p w14:paraId="33DC74B8" w14:textId="77777777" w:rsidR="000832D9" w:rsidRPr="00E273FC" w:rsidRDefault="000832D9">
            <w:pPr>
              <w:pStyle w:val="TableTextLeft"/>
              <w:rPr>
                <w:rFonts w:ascii="Arial" w:hAnsi="Arial" w:cs="Arial"/>
                <w:sz w:val="24"/>
                <w:szCs w:val="24"/>
              </w:rPr>
            </w:pPr>
          </w:p>
        </w:tc>
        <w:tc>
          <w:tcPr>
            <w:tcW w:w="1475" w:type="dxa"/>
            <w:shd w:val="clear" w:color="auto" w:fill="auto"/>
            <w:tcMar>
              <w:top w:w="0" w:type="dxa"/>
              <w:left w:w="57" w:type="dxa"/>
              <w:bottom w:w="0" w:type="dxa"/>
              <w:right w:w="57" w:type="dxa"/>
            </w:tcMar>
            <w:vAlign w:val="center"/>
            <w:hideMark/>
          </w:tcPr>
          <w:p w14:paraId="2B7696AE" w14:textId="77777777" w:rsidR="000832D9" w:rsidRPr="00E273FC" w:rsidRDefault="000832D9">
            <w:pPr>
              <w:pStyle w:val="TableTextRightBold"/>
              <w:rPr>
                <w:rFonts w:ascii="Arial" w:hAnsi="Arial" w:cs="Arial"/>
                <w:sz w:val="24"/>
                <w:szCs w:val="24"/>
              </w:rPr>
            </w:pPr>
            <w:r w:rsidRPr="00E273FC">
              <w:rPr>
                <w:rFonts w:ascii="Arial" w:hAnsi="Arial" w:cs="Arial"/>
                <w:sz w:val="24"/>
                <w:szCs w:val="24"/>
              </w:rPr>
              <w:t>BAU ICT expenditure</w:t>
            </w:r>
          </w:p>
        </w:tc>
        <w:tc>
          <w:tcPr>
            <w:tcW w:w="1475" w:type="dxa"/>
            <w:shd w:val="clear" w:color="auto" w:fill="auto"/>
            <w:tcMar>
              <w:top w:w="0" w:type="dxa"/>
              <w:left w:w="57" w:type="dxa"/>
              <w:bottom w:w="0" w:type="dxa"/>
              <w:right w:w="57" w:type="dxa"/>
            </w:tcMar>
            <w:vAlign w:val="center"/>
            <w:hideMark/>
          </w:tcPr>
          <w:p w14:paraId="7F7F5F48" w14:textId="77777777" w:rsidR="000832D9" w:rsidRPr="00E273FC" w:rsidRDefault="000832D9">
            <w:pPr>
              <w:pStyle w:val="TableTextRightBold"/>
              <w:rPr>
                <w:rFonts w:ascii="Arial" w:hAnsi="Arial" w:cs="Arial"/>
                <w:sz w:val="24"/>
                <w:szCs w:val="24"/>
              </w:rPr>
            </w:pPr>
            <w:r w:rsidRPr="00E273FC">
              <w:rPr>
                <w:rFonts w:ascii="Arial" w:hAnsi="Arial" w:cs="Arial"/>
                <w:sz w:val="24"/>
                <w:szCs w:val="24"/>
              </w:rPr>
              <w:t>Non-BAU expenditure</w:t>
            </w:r>
          </w:p>
        </w:tc>
        <w:tc>
          <w:tcPr>
            <w:tcW w:w="1475" w:type="dxa"/>
            <w:shd w:val="clear" w:color="auto" w:fill="auto"/>
            <w:tcMar>
              <w:top w:w="0" w:type="dxa"/>
              <w:left w:w="57" w:type="dxa"/>
              <w:bottom w:w="0" w:type="dxa"/>
              <w:right w:w="57" w:type="dxa"/>
            </w:tcMar>
            <w:vAlign w:val="center"/>
            <w:hideMark/>
          </w:tcPr>
          <w:p w14:paraId="547757B3" w14:textId="77777777" w:rsidR="000832D9" w:rsidRPr="00E273FC" w:rsidRDefault="000832D9">
            <w:pPr>
              <w:pStyle w:val="TableTextRightBold"/>
              <w:rPr>
                <w:rFonts w:ascii="Arial" w:hAnsi="Arial" w:cs="Arial"/>
                <w:sz w:val="24"/>
                <w:szCs w:val="24"/>
              </w:rPr>
            </w:pPr>
            <w:r w:rsidRPr="00E273FC">
              <w:rPr>
                <w:rFonts w:ascii="Arial" w:hAnsi="Arial" w:cs="Arial"/>
                <w:sz w:val="24"/>
                <w:szCs w:val="24"/>
              </w:rPr>
              <w:t>Operational expenditure</w:t>
            </w:r>
          </w:p>
        </w:tc>
        <w:tc>
          <w:tcPr>
            <w:tcW w:w="1476" w:type="dxa"/>
            <w:gridSpan w:val="3"/>
            <w:shd w:val="clear" w:color="auto" w:fill="auto"/>
            <w:tcMar>
              <w:top w:w="0" w:type="dxa"/>
              <w:left w:w="57" w:type="dxa"/>
              <w:bottom w:w="0" w:type="dxa"/>
              <w:right w:w="57" w:type="dxa"/>
            </w:tcMar>
            <w:vAlign w:val="center"/>
            <w:hideMark/>
          </w:tcPr>
          <w:p w14:paraId="016C4253" w14:textId="77777777" w:rsidR="000832D9" w:rsidRPr="00E273FC" w:rsidRDefault="000832D9">
            <w:pPr>
              <w:pStyle w:val="TableTextRightBold"/>
              <w:rPr>
                <w:rFonts w:ascii="Arial" w:hAnsi="Arial" w:cs="Arial"/>
                <w:sz w:val="24"/>
                <w:szCs w:val="24"/>
              </w:rPr>
            </w:pPr>
            <w:r w:rsidRPr="00E273FC">
              <w:rPr>
                <w:rFonts w:ascii="Arial" w:hAnsi="Arial" w:cs="Arial"/>
                <w:sz w:val="24"/>
                <w:szCs w:val="24"/>
              </w:rPr>
              <w:t>Capital expenditure</w:t>
            </w:r>
          </w:p>
        </w:tc>
      </w:tr>
      <w:tr w:rsidR="000832D9" w:rsidRPr="00E273FC" w14:paraId="6FBC63D3" w14:textId="77777777" w:rsidTr="00BE19B7">
        <w:trPr>
          <w:trHeight w:hRule="exact" w:val="340"/>
        </w:trPr>
        <w:tc>
          <w:tcPr>
            <w:tcW w:w="3174" w:type="dxa"/>
            <w:shd w:val="clear" w:color="auto" w:fill="auto"/>
            <w:tcMar>
              <w:top w:w="0" w:type="dxa"/>
              <w:left w:w="57" w:type="dxa"/>
              <w:bottom w:w="0" w:type="dxa"/>
              <w:right w:w="57" w:type="dxa"/>
            </w:tcMar>
            <w:vAlign w:val="center"/>
          </w:tcPr>
          <w:p w14:paraId="792F4444" w14:textId="77777777" w:rsidR="000832D9" w:rsidRPr="00E273FC" w:rsidRDefault="000832D9">
            <w:pPr>
              <w:pStyle w:val="TableTextLeftBold"/>
              <w:rPr>
                <w:rFonts w:ascii="Arial" w:hAnsi="Arial" w:cs="Arial"/>
                <w:sz w:val="24"/>
                <w:szCs w:val="24"/>
              </w:rPr>
            </w:pPr>
          </w:p>
        </w:tc>
        <w:tc>
          <w:tcPr>
            <w:tcW w:w="1475" w:type="dxa"/>
            <w:shd w:val="clear" w:color="auto" w:fill="auto"/>
            <w:tcMar>
              <w:top w:w="0" w:type="dxa"/>
              <w:left w:w="57" w:type="dxa"/>
              <w:bottom w:w="0" w:type="dxa"/>
              <w:right w:w="57" w:type="dxa"/>
            </w:tcMar>
            <w:vAlign w:val="center"/>
            <w:hideMark/>
          </w:tcPr>
          <w:p w14:paraId="255AEF6F" w14:textId="77777777" w:rsidR="000832D9" w:rsidRPr="00E273FC" w:rsidRDefault="000832D9">
            <w:pPr>
              <w:pStyle w:val="TableTextRightBold"/>
              <w:rPr>
                <w:rFonts w:ascii="Arial" w:hAnsi="Arial" w:cs="Arial"/>
                <w:sz w:val="24"/>
                <w:szCs w:val="24"/>
              </w:rPr>
            </w:pPr>
            <w:r w:rsidRPr="00E273FC">
              <w:rPr>
                <w:rFonts w:ascii="Arial" w:hAnsi="Arial" w:cs="Arial"/>
                <w:sz w:val="24"/>
                <w:szCs w:val="24"/>
              </w:rPr>
              <w:t>Total</w:t>
            </w:r>
          </w:p>
        </w:tc>
        <w:tc>
          <w:tcPr>
            <w:tcW w:w="1475" w:type="dxa"/>
            <w:shd w:val="clear" w:color="auto" w:fill="auto"/>
            <w:tcMar>
              <w:top w:w="0" w:type="dxa"/>
              <w:left w:w="57" w:type="dxa"/>
              <w:bottom w:w="0" w:type="dxa"/>
              <w:right w:w="57" w:type="dxa"/>
            </w:tcMar>
            <w:vAlign w:val="center"/>
            <w:hideMark/>
          </w:tcPr>
          <w:p w14:paraId="2CA047D2" w14:textId="77777777" w:rsidR="000832D9" w:rsidRPr="00E273FC" w:rsidRDefault="000832D9">
            <w:pPr>
              <w:pStyle w:val="TableTextRightBold"/>
              <w:rPr>
                <w:rFonts w:ascii="Arial" w:hAnsi="Arial" w:cs="Arial"/>
                <w:sz w:val="24"/>
                <w:szCs w:val="24"/>
              </w:rPr>
            </w:pPr>
            <w:r w:rsidRPr="00E273FC">
              <w:rPr>
                <w:rFonts w:ascii="Arial" w:hAnsi="Arial" w:cs="Arial"/>
                <w:sz w:val="24"/>
                <w:szCs w:val="24"/>
              </w:rPr>
              <w:t>Total = A +B</w:t>
            </w:r>
          </w:p>
        </w:tc>
        <w:tc>
          <w:tcPr>
            <w:tcW w:w="1475" w:type="dxa"/>
            <w:shd w:val="clear" w:color="auto" w:fill="auto"/>
            <w:tcMar>
              <w:top w:w="0" w:type="dxa"/>
              <w:left w:w="57" w:type="dxa"/>
              <w:bottom w:w="0" w:type="dxa"/>
              <w:right w:w="57" w:type="dxa"/>
            </w:tcMar>
            <w:vAlign w:val="center"/>
            <w:hideMark/>
          </w:tcPr>
          <w:p w14:paraId="1BF01C9B" w14:textId="77777777" w:rsidR="000832D9" w:rsidRPr="00E273FC" w:rsidRDefault="000832D9">
            <w:pPr>
              <w:pStyle w:val="TableTextRightBold"/>
              <w:rPr>
                <w:rFonts w:ascii="Arial" w:hAnsi="Arial" w:cs="Arial"/>
                <w:sz w:val="24"/>
                <w:szCs w:val="24"/>
              </w:rPr>
            </w:pPr>
            <w:r w:rsidRPr="00E273FC">
              <w:rPr>
                <w:rFonts w:ascii="Arial" w:hAnsi="Arial" w:cs="Arial"/>
                <w:sz w:val="24"/>
                <w:szCs w:val="24"/>
              </w:rPr>
              <w:t>A</w:t>
            </w:r>
          </w:p>
        </w:tc>
        <w:tc>
          <w:tcPr>
            <w:tcW w:w="599" w:type="dxa"/>
            <w:gridSpan w:val="2"/>
            <w:shd w:val="clear" w:color="auto" w:fill="auto"/>
            <w:tcMar>
              <w:top w:w="0" w:type="dxa"/>
              <w:left w:w="57" w:type="dxa"/>
              <w:bottom w:w="0" w:type="dxa"/>
              <w:right w:w="57" w:type="dxa"/>
            </w:tcMar>
            <w:vAlign w:val="center"/>
          </w:tcPr>
          <w:p w14:paraId="65862D90" w14:textId="77777777" w:rsidR="000832D9" w:rsidRPr="00E273FC" w:rsidRDefault="000832D9">
            <w:pPr>
              <w:pStyle w:val="TableTextRightBold"/>
              <w:rPr>
                <w:rFonts w:ascii="Arial" w:hAnsi="Arial" w:cs="Arial"/>
                <w:sz w:val="24"/>
                <w:szCs w:val="24"/>
              </w:rPr>
            </w:pPr>
          </w:p>
        </w:tc>
        <w:tc>
          <w:tcPr>
            <w:tcW w:w="877" w:type="dxa"/>
            <w:shd w:val="clear" w:color="auto" w:fill="auto"/>
            <w:vAlign w:val="center"/>
            <w:hideMark/>
          </w:tcPr>
          <w:p w14:paraId="678EE38C" w14:textId="77777777" w:rsidR="000832D9" w:rsidRPr="00E273FC" w:rsidRDefault="000832D9">
            <w:pPr>
              <w:pStyle w:val="TableTextRightBold"/>
              <w:jc w:val="left"/>
              <w:rPr>
                <w:rFonts w:ascii="Arial" w:hAnsi="Arial" w:cs="Arial"/>
                <w:sz w:val="24"/>
                <w:szCs w:val="24"/>
              </w:rPr>
            </w:pPr>
            <w:r w:rsidRPr="00E273FC">
              <w:rPr>
                <w:rFonts w:ascii="Arial" w:hAnsi="Arial" w:cs="Arial"/>
                <w:sz w:val="24"/>
                <w:szCs w:val="24"/>
              </w:rPr>
              <w:t>B</w:t>
            </w:r>
          </w:p>
        </w:tc>
      </w:tr>
      <w:tr w:rsidR="000832D9" w:rsidRPr="00E273FC" w14:paraId="0DF62155" w14:textId="77777777" w:rsidTr="00BE19B7">
        <w:trPr>
          <w:trHeight w:hRule="exact" w:val="340"/>
        </w:trPr>
        <w:tc>
          <w:tcPr>
            <w:tcW w:w="3174" w:type="dxa"/>
            <w:shd w:val="clear" w:color="auto" w:fill="auto"/>
            <w:tcMar>
              <w:top w:w="0" w:type="dxa"/>
              <w:left w:w="57" w:type="dxa"/>
              <w:bottom w:w="0" w:type="dxa"/>
              <w:right w:w="57" w:type="dxa"/>
            </w:tcMar>
            <w:vAlign w:val="center"/>
            <w:hideMark/>
          </w:tcPr>
          <w:p w14:paraId="294E7A0F" w14:textId="77777777" w:rsidR="000832D9" w:rsidRPr="00E273FC" w:rsidRDefault="000832D9">
            <w:pPr>
              <w:pStyle w:val="TableTextLeft"/>
              <w:rPr>
                <w:rFonts w:ascii="Arial" w:hAnsi="Arial" w:cs="Arial"/>
                <w:sz w:val="24"/>
                <w:szCs w:val="24"/>
              </w:rPr>
            </w:pPr>
            <w:r w:rsidRPr="00E273FC">
              <w:rPr>
                <w:rFonts w:ascii="Arial" w:hAnsi="Arial" w:cs="Arial"/>
                <w:sz w:val="24"/>
                <w:szCs w:val="24"/>
              </w:rPr>
              <w:t>DoT</w:t>
            </w:r>
            <w:r w:rsidRPr="00E273FC">
              <w:rPr>
                <w:rFonts w:ascii="Arial" w:hAnsi="Arial" w:cs="Arial"/>
                <w:sz w:val="24"/>
                <w:szCs w:val="24"/>
                <w:vertAlign w:val="superscript"/>
              </w:rPr>
              <w:t>(1)</w:t>
            </w:r>
          </w:p>
        </w:tc>
        <w:tc>
          <w:tcPr>
            <w:tcW w:w="1475" w:type="dxa"/>
            <w:shd w:val="clear" w:color="auto" w:fill="auto"/>
            <w:tcMar>
              <w:top w:w="0" w:type="dxa"/>
              <w:left w:w="57" w:type="dxa"/>
              <w:bottom w:w="0" w:type="dxa"/>
              <w:right w:w="57" w:type="dxa"/>
            </w:tcMar>
            <w:vAlign w:val="center"/>
            <w:hideMark/>
          </w:tcPr>
          <w:p w14:paraId="42AD5436" w14:textId="77777777" w:rsidR="000832D9" w:rsidRPr="00E273FC" w:rsidRDefault="000832D9">
            <w:pPr>
              <w:pStyle w:val="TableTextRightBold"/>
              <w:rPr>
                <w:rFonts w:ascii="Arial" w:hAnsi="Arial" w:cs="Arial"/>
                <w:sz w:val="24"/>
                <w:szCs w:val="24"/>
              </w:rPr>
            </w:pPr>
            <w:r w:rsidRPr="00E273FC">
              <w:rPr>
                <w:rFonts w:ascii="Arial" w:hAnsi="Arial" w:cs="Arial"/>
                <w:sz w:val="24"/>
                <w:szCs w:val="24"/>
              </w:rPr>
              <w:t>178.1</w:t>
            </w:r>
          </w:p>
        </w:tc>
        <w:tc>
          <w:tcPr>
            <w:tcW w:w="1475" w:type="dxa"/>
            <w:shd w:val="clear" w:color="auto" w:fill="auto"/>
            <w:tcMar>
              <w:top w:w="0" w:type="dxa"/>
              <w:left w:w="57" w:type="dxa"/>
              <w:bottom w:w="0" w:type="dxa"/>
              <w:right w:w="57" w:type="dxa"/>
            </w:tcMar>
            <w:vAlign w:val="center"/>
            <w:hideMark/>
          </w:tcPr>
          <w:p w14:paraId="0E846F64" w14:textId="77777777" w:rsidR="000832D9" w:rsidRPr="00E273FC" w:rsidRDefault="000832D9" w:rsidP="00DE1921">
            <w:pPr>
              <w:pStyle w:val="TableTextRightBold"/>
              <w:rPr>
                <w:rFonts w:ascii="Arial" w:hAnsi="Arial" w:cs="Arial"/>
                <w:sz w:val="24"/>
                <w:szCs w:val="24"/>
              </w:rPr>
            </w:pPr>
            <w:r w:rsidRPr="00E273FC">
              <w:rPr>
                <w:rFonts w:ascii="Arial" w:hAnsi="Arial" w:cs="Arial"/>
                <w:sz w:val="24"/>
                <w:szCs w:val="24"/>
              </w:rPr>
              <w:t>51.74</w:t>
            </w:r>
          </w:p>
        </w:tc>
        <w:tc>
          <w:tcPr>
            <w:tcW w:w="1475" w:type="dxa"/>
            <w:shd w:val="clear" w:color="auto" w:fill="auto"/>
            <w:tcMar>
              <w:top w:w="0" w:type="dxa"/>
              <w:left w:w="57" w:type="dxa"/>
              <w:bottom w:w="0" w:type="dxa"/>
              <w:right w:w="57" w:type="dxa"/>
            </w:tcMar>
            <w:vAlign w:val="center"/>
            <w:hideMark/>
          </w:tcPr>
          <w:p w14:paraId="09B205A8" w14:textId="77777777" w:rsidR="000832D9" w:rsidRPr="00E273FC" w:rsidRDefault="000832D9">
            <w:pPr>
              <w:pStyle w:val="TableTextRight"/>
              <w:rPr>
                <w:rFonts w:ascii="Arial" w:hAnsi="Arial" w:cs="Arial"/>
                <w:sz w:val="24"/>
                <w:szCs w:val="24"/>
              </w:rPr>
            </w:pPr>
            <w:r w:rsidRPr="00E273FC">
              <w:rPr>
                <w:rFonts w:ascii="Arial" w:hAnsi="Arial" w:cs="Arial"/>
                <w:sz w:val="24"/>
                <w:szCs w:val="24"/>
              </w:rPr>
              <w:t>26.04</w:t>
            </w:r>
          </w:p>
        </w:tc>
        <w:tc>
          <w:tcPr>
            <w:tcW w:w="599" w:type="dxa"/>
            <w:gridSpan w:val="2"/>
            <w:shd w:val="clear" w:color="auto" w:fill="auto"/>
            <w:tcMar>
              <w:top w:w="0" w:type="dxa"/>
              <w:left w:w="57" w:type="dxa"/>
              <w:bottom w:w="0" w:type="dxa"/>
              <w:right w:w="57" w:type="dxa"/>
            </w:tcMar>
            <w:vAlign w:val="center"/>
          </w:tcPr>
          <w:p w14:paraId="0D8FA599" w14:textId="77777777" w:rsidR="000832D9" w:rsidRPr="00E273FC" w:rsidRDefault="000832D9">
            <w:pPr>
              <w:pStyle w:val="TableTextRight"/>
              <w:rPr>
                <w:rFonts w:ascii="Arial" w:hAnsi="Arial" w:cs="Arial"/>
                <w:sz w:val="24"/>
                <w:szCs w:val="24"/>
              </w:rPr>
            </w:pPr>
          </w:p>
        </w:tc>
        <w:tc>
          <w:tcPr>
            <w:tcW w:w="877" w:type="dxa"/>
            <w:shd w:val="clear" w:color="auto" w:fill="auto"/>
            <w:vAlign w:val="center"/>
            <w:hideMark/>
          </w:tcPr>
          <w:p w14:paraId="5AD08E76" w14:textId="77777777" w:rsidR="000832D9" w:rsidRPr="00E273FC" w:rsidRDefault="000832D9">
            <w:pPr>
              <w:pStyle w:val="TableTextRight"/>
              <w:jc w:val="left"/>
              <w:rPr>
                <w:rFonts w:ascii="Arial" w:hAnsi="Arial" w:cs="Arial"/>
                <w:sz w:val="24"/>
                <w:szCs w:val="24"/>
              </w:rPr>
            </w:pPr>
            <w:r w:rsidRPr="00E273FC">
              <w:rPr>
                <w:rFonts w:ascii="Arial" w:hAnsi="Arial" w:cs="Arial"/>
                <w:sz w:val="24"/>
                <w:szCs w:val="24"/>
              </w:rPr>
              <w:t>25.7</w:t>
            </w:r>
          </w:p>
        </w:tc>
      </w:tr>
      <w:tr w:rsidR="000832D9" w:rsidRPr="00E273FC" w14:paraId="0D3F3191" w14:textId="77777777" w:rsidTr="00BE19B7">
        <w:trPr>
          <w:trHeight w:hRule="exact" w:val="340"/>
        </w:trPr>
        <w:tc>
          <w:tcPr>
            <w:tcW w:w="3174" w:type="dxa"/>
            <w:shd w:val="clear" w:color="auto" w:fill="auto"/>
            <w:tcMar>
              <w:top w:w="0" w:type="dxa"/>
              <w:left w:w="57" w:type="dxa"/>
              <w:bottom w:w="0" w:type="dxa"/>
              <w:right w:w="57" w:type="dxa"/>
            </w:tcMar>
            <w:vAlign w:val="center"/>
            <w:hideMark/>
          </w:tcPr>
          <w:p w14:paraId="366972E6" w14:textId="77777777" w:rsidR="000832D9" w:rsidRPr="00E273FC" w:rsidRDefault="000832D9">
            <w:pPr>
              <w:pStyle w:val="TableTextLeft"/>
              <w:rPr>
                <w:rFonts w:ascii="Arial" w:hAnsi="Arial" w:cs="Arial"/>
                <w:sz w:val="24"/>
                <w:szCs w:val="24"/>
              </w:rPr>
            </w:pPr>
            <w:r w:rsidRPr="00E273FC">
              <w:rPr>
                <w:rFonts w:ascii="Arial" w:hAnsi="Arial" w:cs="Arial"/>
                <w:sz w:val="24"/>
                <w:szCs w:val="24"/>
              </w:rPr>
              <w:t>SRLA</w:t>
            </w:r>
          </w:p>
        </w:tc>
        <w:tc>
          <w:tcPr>
            <w:tcW w:w="1475" w:type="dxa"/>
            <w:shd w:val="clear" w:color="auto" w:fill="auto"/>
            <w:tcMar>
              <w:top w:w="0" w:type="dxa"/>
              <w:left w:w="57" w:type="dxa"/>
              <w:bottom w:w="0" w:type="dxa"/>
              <w:right w:w="57" w:type="dxa"/>
            </w:tcMar>
            <w:vAlign w:val="center"/>
            <w:hideMark/>
          </w:tcPr>
          <w:p w14:paraId="0669C42A" w14:textId="77777777" w:rsidR="000832D9" w:rsidRPr="00E273FC" w:rsidRDefault="000832D9">
            <w:pPr>
              <w:pStyle w:val="TableTextRightBold"/>
              <w:rPr>
                <w:rFonts w:ascii="Arial" w:hAnsi="Arial" w:cs="Arial"/>
                <w:sz w:val="24"/>
                <w:szCs w:val="24"/>
              </w:rPr>
            </w:pPr>
            <w:r w:rsidRPr="00E273FC">
              <w:rPr>
                <w:rFonts w:ascii="Arial" w:hAnsi="Arial" w:cs="Arial"/>
                <w:sz w:val="24"/>
                <w:szCs w:val="24"/>
              </w:rPr>
              <w:t>0.2</w:t>
            </w:r>
          </w:p>
        </w:tc>
        <w:tc>
          <w:tcPr>
            <w:tcW w:w="1475" w:type="dxa"/>
            <w:shd w:val="clear" w:color="auto" w:fill="auto"/>
            <w:tcMar>
              <w:top w:w="0" w:type="dxa"/>
              <w:left w:w="57" w:type="dxa"/>
              <w:bottom w:w="0" w:type="dxa"/>
              <w:right w:w="57" w:type="dxa"/>
            </w:tcMar>
            <w:vAlign w:val="center"/>
            <w:hideMark/>
          </w:tcPr>
          <w:p w14:paraId="2297343C" w14:textId="77777777" w:rsidR="000832D9" w:rsidRPr="00E273FC" w:rsidRDefault="000832D9" w:rsidP="00DE1921">
            <w:pPr>
              <w:pStyle w:val="TableTextRightBold"/>
              <w:rPr>
                <w:rFonts w:ascii="Arial" w:hAnsi="Arial" w:cs="Arial"/>
                <w:sz w:val="24"/>
                <w:szCs w:val="24"/>
              </w:rPr>
            </w:pPr>
            <w:r w:rsidRPr="00E273FC">
              <w:rPr>
                <w:rFonts w:ascii="Arial" w:hAnsi="Arial" w:cs="Arial"/>
                <w:sz w:val="24"/>
                <w:szCs w:val="24"/>
              </w:rPr>
              <w:t>0.5</w:t>
            </w:r>
          </w:p>
        </w:tc>
        <w:tc>
          <w:tcPr>
            <w:tcW w:w="1475" w:type="dxa"/>
            <w:shd w:val="clear" w:color="auto" w:fill="auto"/>
            <w:tcMar>
              <w:top w:w="0" w:type="dxa"/>
              <w:left w:w="57" w:type="dxa"/>
              <w:bottom w:w="0" w:type="dxa"/>
              <w:right w:w="57" w:type="dxa"/>
            </w:tcMar>
            <w:vAlign w:val="center"/>
            <w:hideMark/>
          </w:tcPr>
          <w:p w14:paraId="1DBBA562" w14:textId="77777777" w:rsidR="000832D9" w:rsidRPr="00E273FC" w:rsidRDefault="000832D9">
            <w:pPr>
              <w:pStyle w:val="TableTextRight"/>
              <w:rPr>
                <w:rFonts w:ascii="Arial" w:hAnsi="Arial" w:cs="Arial"/>
                <w:sz w:val="24"/>
                <w:szCs w:val="24"/>
              </w:rPr>
            </w:pPr>
            <w:r w:rsidRPr="00E273FC">
              <w:rPr>
                <w:rFonts w:ascii="Arial" w:hAnsi="Arial" w:cs="Arial"/>
                <w:sz w:val="24"/>
                <w:szCs w:val="24"/>
              </w:rPr>
              <w:t>0.4</w:t>
            </w:r>
          </w:p>
        </w:tc>
        <w:tc>
          <w:tcPr>
            <w:tcW w:w="599" w:type="dxa"/>
            <w:gridSpan w:val="2"/>
            <w:shd w:val="clear" w:color="auto" w:fill="auto"/>
            <w:tcMar>
              <w:top w:w="0" w:type="dxa"/>
              <w:left w:w="57" w:type="dxa"/>
              <w:bottom w:w="0" w:type="dxa"/>
              <w:right w:w="57" w:type="dxa"/>
            </w:tcMar>
            <w:vAlign w:val="center"/>
          </w:tcPr>
          <w:p w14:paraId="42C4744C" w14:textId="77777777" w:rsidR="000832D9" w:rsidRPr="00E273FC" w:rsidRDefault="000832D9">
            <w:pPr>
              <w:pStyle w:val="TableTextRight"/>
              <w:rPr>
                <w:rFonts w:ascii="Arial" w:hAnsi="Arial" w:cs="Arial"/>
                <w:sz w:val="24"/>
                <w:szCs w:val="24"/>
              </w:rPr>
            </w:pPr>
          </w:p>
        </w:tc>
        <w:tc>
          <w:tcPr>
            <w:tcW w:w="877" w:type="dxa"/>
            <w:shd w:val="clear" w:color="auto" w:fill="auto"/>
            <w:vAlign w:val="center"/>
            <w:hideMark/>
          </w:tcPr>
          <w:p w14:paraId="05AE5D55" w14:textId="77777777" w:rsidR="000832D9" w:rsidRPr="00E273FC" w:rsidRDefault="000832D9">
            <w:pPr>
              <w:pStyle w:val="TableTextRight"/>
              <w:jc w:val="left"/>
              <w:rPr>
                <w:rFonts w:ascii="Arial" w:hAnsi="Arial" w:cs="Arial"/>
                <w:sz w:val="24"/>
                <w:szCs w:val="24"/>
              </w:rPr>
            </w:pPr>
            <w:r w:rsidRPr="00E273FC">
              <w:rPr>
                <w:rFonts w:ascii="Arial" w:hAnsi="Arial" w:cs="Arial"/>
                <w:sz w:val="24"/>
                <w:szCs w:val="24"/>
              </w:rPr>
              <w:t xml:space="preserve">  0.1</w:t>
            </w:r>
          </w:p>
        </w:tc>
      </w:tr>
      <w:tr w:rsidR="000832D9" w:rsidRPr="00E273FC" w14:paraId="34F4B6DE" w14:textId="77777777" w:rsidTr="00BE19B7">
        <w:trPr>
          <w:trHeight w:hRule="exact" w:val="340"/>
        </w:trPr>
        <w:tc>
          <w:tcPr>
            <w:tcW w:w="3174" w:type="dxa"/>
            <w:shd w:val="clear" w:color="auto" w:fill="auto"/>
            <w:tcMar>
              <w:top w:w="0" w:type="dxa"/>
              <w:left w:w="57" w:type="dxa"/>
              <w:bottom w:w="0" w:type="dxa"/>
              <w:right w:w="57" w:type="dxa"/>
            </w:tcMar>
            <w:vAlign w:val="center"/>
            <w:hideMark/>
          </w:tcPr>
          <w:p w14:paraId="4C5D372E" w14:textId="77777777" w:rsidR="000832D9" w:rsidRPr="00E273FC" w:rsidRDefault="000832D9">
            <w:pPr>
              <w:pStyle w:val="TableTextLeft"/>
              <w:rPr>
                <w:rFonts w:ascii="Arial" w:hAnsi="Arial" w:cs="Arial"/>
                <w:sz w:val="24"/>
                <w:szCs w:val="24"/>
              </w:rPr>
            </w:pPr>
            <w:r w:rsidRPr="00E273FC">
              <w:rPr>
                <w:rFonts w:ascii="Arial" w:hAnsi="Arial" w:cs="Arial"/>
                <w:sz w:val="24"/>
                <w:szCs w:val="24"/>
              </w:rPr>
              <w:t>MTIA</w:t>
            </w:r>
          </w:p>
        </w:tc>
        <w:tc>
          <w:tcPr>
            <w:tcW w:w="1475" w:type="dxa"/>
            <w:shd w:val="clear" w:color="auto" w:fill="auto"/>
            <w:tcMar>
              <w:top w:w="0" w:type="dxa"/>
              <w:left w:w="57" w:type="dxa"/>
              <w:bottom w:w="0" w:type="dxa"/>
              <w:right w:w="57" w:type="dxa"/>
            </w:tcMar>
            <w:vAlign w:val="center"/>
            <w:hideMark/>
          </w:tcPr>
          <w:p w14:paraId="2F1ABFB2" w14:textId="77777777" w:rsidR="000832D9" w:rsidRPr="00E273FC" w:rsidRDefault="000832D9">
            <w:pPr>
              <w:pStyle w:val="TableTextRightBold"/>
              <w:rPr>
                <w:rFonts w:ascii="Arial" w:hAnsi="Arial" w:cs="Arial"/>
                <w:sz w:val="24"/>
                <w:szCs w:val="24"/>
              </w:rPr>
            </w:pPr>
            <w:r w:rsidRPr="00E273FC">
              <w:rPr>
                <w:rFonts w:ascii="Arial" w:hAnsi="Arial" w:cs="Arial"/>
                <w:sz w:val="24"/>
                <w:szCs w:val="24"/>
              </w:rPr>
              <w:t>27.7</w:t>
            </w:r>
          </w:p>
        </w:tc>
        <w:tc>
          <w:tcPr>
            <w:tcW w:w="1475" w:type="dxa"/>
            <w:shd w:val="clear" w:color="auto" w:fill="auto"/>
            <w:tcMar>
              <w:top w:w="0" w:type="dxa"/>
              <w:left w:w="57" w:type="dxa"/>
              <w:bottom w:w="0" w:type="dxa"/>
              <w:right w:w="57" w:type="dxa"/>
            </w:tcMar>
            <w:vAlign w:val="center"/>
            <w:hideMark/>
          </w:tcPr>
          <w:p w14:paraId="3038DD4B" w14:textId="77777777" w:rsidR="000832D9" w:rsidRPr="00E273FC" w:rsidRDefault="000832D9" w:rsidP="00DE1921">
            <w:pPr>
              <w:pStyle w:val="TableTextRightBold"/>
              <w:rPr>
                <w:rFonts w:ascii="Arial" w:hAnsi="Arial" w:cs="Arial"/>
                <w:sz w:val="24"/>
                <w:szCs w:val="24"/>
              </w:rPr>
            </w:pPr>
            <w:r w:rsidRPr="00E273FC">
              <w:rPr>
                <w:rFonts w:ascii="Arial" w:hAnsi="Arial" w:cs="Arial"/>
                <w:sz w:val="24"/>
                <w:szCs w:val="24"/>
              </w:rPr>
              <w:t>6.9</w:t>
            </w:r>
          </w:p>
        </w:tc>
        <w:tc>
          <w:tcPr>
            <w:tcW w:w="1475" w:type="dxa"/>
            <w:shd w:val="clear" w:color="auto" w:fill="auto"/>
            <w:tcMar>
              <w:top w:w="0" w:type="dxa"/>
              <w:left w:w="57" w:type="dxa"/>
              <w:bottom w:w="0" w:type="dxa"/>
              <w:right w:w="57" w:type="dxa"/>
            </w:tcMar>
            <w:vAlign w:val="center"/>
            <w:hideMark/>
          </w:tcPr>
          <w:p w14:paraId="108E409E" w14:textId="77777777" w:rsidR="000832D9" w:rsidRPr="00E273FC" w:rsidRDefault="000832D9">
            <w:pPr>
              <w:pStyle w:val="TableTextRight"/>
              <w:rPr>
                <w:rFonts w:ascii="Arial" w:hAnsi="Arial" w:cs="Arial"/>
                <w:sz w:val="24"/>
                <w:szCs w:val="24"/>
              </w:rPr>
            </w:pPr>
            <w:r w:rsidRPr="00E273FC">
              <w:rPr>
                <w:rFonts w:ascii="Arial" w:hAnsi="Arial" w:cs="Arial"/>
                <w:sz w:val="24"/>
                <w:szCs w:val="24"/>
              </w:rPr>
              <w:t>5.5</w:t>
            </w:r>
          </w:p>
        </w:tc>
        <w:tc>
          <w:tcPr>
            <w:tcW w:w="599" w:type="dxa"/>
            <w:gridSpan w:val="2"/>
            <w:shd w:val="clear" w:color="auto" w:fill="auto"/>
            <w:tcMar>
              <w:top w:w="0" w:type="dxa"/>
              <w:left w:w="57" w:type="dxa"/>
              <w:bottom w:w="0" w:type="dxa"/>
              <w:right w:w="57" w:type="dxa"/>
            </w:tcMar>
            <w:vAlign w:val="center"/>
          </w:tcPr>
          <w:p w14:paraId="3C51B3FB" w14:textId="77777777" w:rsidR="000832D9" w:rsidRPr="00E273FC" w:rsidRDefault="000832D9">
            <w:pPr>
              <w:pStyle w:val="TableTextRight"/>
              <w:rPr>
                <w:rFonts w:ascii="Arial" w:hAnsi="Arial" w:cs="Arial"/>
                <w:sz w:val="24"/>
                <w:szCs w:val="24"/>
              </w:rPr>
            </w:pPr>
          </w:p>
        </w:tc>
        <w:tc>
          <w:tcPr>
            <w:tcW w:w="877" w:type="dxa"/>
            <w:shd w:val="clear" w:color="auto" w:fill="auto"/>
            <w:vAlign w:val="center"/>
            <w:hideMark/>
          </w:tcPr>
          <w:p w14:paraId="25728212" w14:textId="77777777" w:rsidR="000832D9" w:rsidRPr="00E273FC" w:rsidRDefault="000832D9">
            <w:pPr>
              <w:pStyle w:val="TableTextRight"/>
              <w:jc w:val="left"/>
              <w:rPr>
                <w:rFonts w:ascii="Arial" w:hAnsi="Arial" w:cs="Arial"/>
                <w:sz w:val="24"/>
                <w:szCs w:val="24"/>
              </w:rPr>
            </w:pPr>
            <w:r w:rsidRPr="00E273FC">
              <w:rPr>
                <w:rFonts w:ascii="Arial" w:hAnsi="Arial" w:cs="Arial"/>
                <w:sz w:val="24"/>
                <w:szCs w:val="24"/>
              </w:rPr>
              <w:t xml:space="preserve">  1.4</w:t>
            </w:r>
          </w:p>
        </w:tc>
      </w:tr>
      <w:tr w:rsidR="000832D9" w:rsidRPr="00E273FC" w14:paraId="430F8F48" w14:textId="77777777" w:rsidTr="00BE19B7">
        <w:trPr>
          <w:trHeight w:hRule="exact" w:val="340"/>
        </w:trPr>
        <w:tc>
          <w:tcPr>
            <w:tcW w:w="3174" w:type="dxa"/>
            <w:shd w:val="clear" w:color="auto" w:fill="auto"/>
            <w:tcMar>
              <w:top w:w="0" w:type="dxa"/>
              <w:left w:w="57" w:type="dxa"/>
              <w:bottom w:w="0" w:type="dxa"/>
              <w:right w:w="57" w:type="dxa"/>
            </w:tcMar>
            <w:vAlign w:val="center"/>
            <w:hideMark/>
          </w:tcPr>
          <w:p w14:paraId="2B1843AF" w14:textId="77777777" w:rsidR="000832D9" w:rsidRPr="00E273FC" w:rsidRDefault="000832D9">
            <w:pPr>
              <w:pStyle w:val="TableTextLeftBold"/>
              <w:rPr>
                <w:rFonts w:ascii="Arial" w:hAnsi="Arial" w:cs="Arial"/>
                <w:sz w:val="24"/>
                <w:szCs w:val="24"/>
              </w:rPr>
            </w:pPr>
            <w:r w:rsidRPr="00E273FC">
              <w:rPr>
                <w:rFonts w:ascii="Arial" w:hAnsi="Arial" w:cs="Arial"/>
                <w:sz w:val="24"/>
                <w:szCs w:val="24"/>
              </w:rPr>
              <w:t>Total</w:t>
            </w:r>
          </w:p>
        </w:tc>
        <w:tc>
          <w:tcPr>
            <w:tcW w:w="1475" w:type="dxa"/>
            <w:shd w:val="clear" w:color="auto" w:fill="auto"/>
            <w:tcMar>
              <w:top w:w="0" w:type="dxa"/>
              <w:left w:w="57" w:type="dxa"/>
              <w:bottom w:w="0" w:type="dxa"/>
              <w:right w:w="57" w:type="dxa"/>
            </w:tcMar>
            <w:vAlign w:val="center"/>
            <w:hideMark/>
          </w:tcPr>
          <w:p w14:paraId="5CE94CAA" w14:textId="77777777" w:rsidR="000832D9" w:rsidRPr="00E273FC" w:rsidRDefault="000832D9">
            <w:pPr>
              <w:pStyle w:val="TableTextRightBold"/>
              <w:rPr>
                <w:rFonts w:ascii="Arial" w:hAnsi="Arial" w:cs="Arial"/>
                <w:sz w:val="24"/>
                <w:szCs w:val="24"/>
              </w:rPr>
            </w:pPr>
            <w:r w:rsidRPr="00E273FC">
              <w:rPr>
                <w:rFonts w:ascii="Arial" w:hAnsi="Arial" w:cs="Arial"/>
                <w:sz w:val="24"/>
                <w:szCs w:val="24"/>
              </w:rPr>
              <w:t>206.0</w:t>
            </w:r>
          </w:p>
        </w:tc>
        <w:tc>
          <w:tcPr>
            <w:tcW w:w="1475" w:type="dxa"/>
            <w:shd w:val="clear" w:color="auto" w:fill="auto"/>
            <w:tcMar>
              <w:top w:w="0" w:type="dxa"/>
              <w:left w:w="57" w:type="dxa"/>
              <w:bottom w:w="0" w:type="dxa"/>
              <w:right w:w="57" w:type="dxa"/>
            </w:tcMar>
            <w:vAlign w:val="center"/>
            <w:hideMark/>
          </w:tcPr>
          <w:p w14:paraId="7D2F0985" w14:textId="77777777" w:rsidR="000832D9" w:rsidRPr="00E273FC" w:rsidRDefault="000832D9" w:rsidP="00DE1921">
            <w:pPr>
              <w:pStyle w:val="TableTextRightBold"/>
              <w:rPr>
                <w:rFonts w:ascii="Arial" w:hAnsi="Arial" w:cs="Arial"/>
                <w:sz w:val="24"/>
                <w:szCs w:val="24"/>
              </w:rPr>
            </w:pPr>
            <w:r w:rsidRPr="00E273FC">
              <w:rPr>
                <w:rFonts w:ascii="Arial" w:hAnsi="Arial" w:cs="Arial"/>
                <w:sz w:val="24"/>
                <w:szCs w:val="24"/>
              </w:rPr>
              <w:t>59.14</w:t>
            </w:r>
          </w:p>
        </w:tc>
        <w:tc>
          <w:tcPr>
            <w:tcW w:w="1475" w:type="dxa"/>
            <w:shd w:val="clear" w:color="auto" w:fill="auto"/>
            <w:tcMar>
              <w:top w:w="0" w:type="dxa"/>
              <w:left w:w="57" w:type="dxa"/>
              <w:bottom w:w="0" w:type="dxa"/>
              <w:right w:w="57" w:type="dxa"/>
            </w:tcMar>
            <w:vAlign w:val="center"/>
            <w:hideMark/>
          </w:tcPr>
          <w:p w14:paraId="108D2583" w14:textId="77777777" w:rsidR="000832D9" w:rsidRPr="00E273FC" w:rsidRDefault="000832D9">
            <w:pPr>
              <w:pStyle w:val="TableTextRight"/>
              <w:rPr>
                <w:rFonts w:ascii="Arial" w:hAnsi="Arial" w:cs="Arial"/>
                <w:sz w:val="24"/>
                <w:szCs w:val="24"/>
              </w:rPr>
            </w:pPr>
            <w:r w:rsidRPr="00E273FC">
              <w:rPr>
                <w:rFonts w:ascii="Arial" w:hAnsi="Arial" w:cs="Arial"/>
                <w:sz w:val="24"/>
                <w:szCs w:val="24"/>
              </w:rPr>
              <w:t>31.94</w:t>
            </w:r>
          </w:p>
        </w:tc>
        <w:tc>
          <w:tcPr>
            <w:tcW w:w="575" w:type="dxa"/>
            <w:shd w:val="clear" w:color="auto" w:fill="auto"/>
            <w:tcMar>
              <w:top w:w="0" w:type="dxa"/>
              <w:left w:w="57" w:type="dxa"/>
              <w:bottom w:w="0" w:type="dxa"/>
              <w:right w:w="57" w:type="dxa"/>
            </w:tcMar>
            <w:vAlign w:val="center"/>
          </w:tcPr>
          <w:p w14:paraId="11E4BF2D" w14:textId="77777777" w:rsidR="000832D9" w:rsidRPr="00E273FC" w:rsidRDefault="000832D9">
            <w:pPr>
              <w:pStyle w:val="TableTextRight"/>
              <w:rPr>
                <w:rFonts w:ascii="Arial" w:hAnsi="Arial" w:cs="Arial"/>
                <w:sz w:val="24"/>
                <w:szCs w:val="24"/>
              </w:rPr>
            </w:pPr>
          </w:p>
        </w:tc>
        <w:tc>
          <w:tcPr>
            <w:tcW w:w="901" w:type="dxa"/>
            <w:gridSpan w:val="2"/>
            <w:shd w:val="clear" w:color="auto" w:fill="auto"/>
            <w:vAlign w:val="center"/>
            <w:hideMark/>
          </w:tcPr>
          <w:p w14:paraId="0F86D7C0" w14:textId="77777777" w:rsidR="000832D9" w:rsidRPr="00E273FC" w:rsidRDefault="000832D9">
            <w:pPr>
              <w:pStyle w:val="TableTextRight"/>
              <w:jc w:val="left"/>
              <w:rPr>
                <w:rFonts w:ascii="Arial" w:hAnsi="Arial" w:cs="Arial"/>
                <w:sz w:val="24"/>
                <w:szCs w:val="24"/>
              </w:rPr>
            </w:pPr>
            <w:r w:rsidRPr="00E273FC">
              <w:rPr>
                <w:rFonts w:ascii="Arial" w:hAnsi="Arial" w:cs="Arial"/>
                <w:sz w:val="24"/>
                <w:szCs w:val="24"/>
              </w:rPr>
              <w:t xml:space="preserve"> 27.2</w:t>
            </w:r>
          </w:p>
        </w:tc>
      </w:tr>
    </w:tbl>
    <w:p w14:paraId="46F88F47" w14:textId="77777777" w:rsidR="000832D9" w:rsidRPr="00E273FC" w:rsidRDefault="000832D9" w:rsidP="004273F9">
      <w:pPr>
        <w:pStyle w:val="Note"/>
        <w:spacing w:before="120" w:after="0" w:line="360" w:lineRule="auto"/>
        <w:rPr>
          <w:rFonts w:ascii="Arial" w:hAnsi="Arial" w:cs="Arial"/>
          <w:sz w:val="24"/>
          <w:szCs w:val="24"/>
        </w:rPr>
      </w:pPr>
      <w:r w:rsidRPr="00E273FC">
        <w:rPr>
          <w:rFonts w:ascii="Arial" w:hAnsi="Arial" w:cs="Arial"/>
          <w:sz w:val="24"/>
          <w:szCs w:val="24"/>
        </w:rPr>
        <w:t>Note:</w:t>
      </w:r>
    </w:p>
    <w:p w14:paraId="489D73A1" w14:textId="77777777" w:rsidR="000832D9" w:rsidRPr="00E273FC" w:rsidRDefault="000832D9" w:rsidP="00610F5F">
      <w:pPr>
        <w:pStyle w:val="Notenumber123"/>
        <w:numPr>
          <w:ilvl w:val="0"/>
          <w:numId w:val="59"/>
        </w:numPr>
        <w:spacing w:line="360" w:lineRule="auto"/>
        <w:ind w:left="340" w:hanging="227"/>
        <w:rPr>
          <w:rFonts w:ascii="Arial" w:hAnsi="Arial" w:cs="Arial"/>
          <w:sz w:val="24"/>
          <w:szCs w:val="24"/>
        </w:rPr>
      </w:pPr>
      <w:r w:rsidRPr="00E273FC">
        <w:rPr>
          <w:rFonts w:ascii="Arial" w:hAnsi="Arial" w:cs="Arial"/>
          <w:sz w:val="24"/>
          <w:szCs w:val="24"/>
        </w:rPr>
        <w:t>ICT Expenditure for the Department of Transport includes the former VicRoads (including R&amp;L), DoT and PTV.</w:t>
      </w:r>
    </w:p>
    <w:p w14:paraId="5B69C359" w14:textId="77777777" w:rsidR="000832D9" w:rsidRDefault="000832D9" w:rsidP="00DE1921">
      <w:pPr>
        <w:sectPr w:rsidR="000832D9" w:rsidSect="00F826F1">
          <w:footerReference w:type="even" r:id="rId281"/>
          <w:pgSz w:w="11906" w:h="16838"/>
          <w:pgMar w:top="1440" w:right="1440" w:bottom="1440" w:left="1440" w:header="708" w:footer="708" w:gutter="0"/>
          <w:cols w:space="708"/>
          <w:docGrid w:linePitch="360"/>
        </w:sectPr>
      </w:pPr>
    </w:p>
    <w:p w14:paraId="037821B3" w14:textId="4CD2F764" w:rsidR="000832D9" w:rsidRDefault="000832D9" w:rsidP="0073479A">
      <w:pPr>
        <w:pStyle w:val="aaatyping"/>
      </w:pPr>
      <w:r>
        <w:t>ICT expenditure refers to the department’s costs in providing business-enabling ICT services. It comprises Business as Usual (BAU) ICT expenditure and Non-Business as Usual (non-BAU) ICT expenditure.</w:t>
      </w:r>
    </w:p>
    <w:p w14:paraId="32B186E0" w14:textId="71FCE99B" w:rsidR="000832D9" w:rsidRDefault="000832D9" w:rsidP="0073479A">
      <w:pPr>
        <w:pStyle w:val="aaatyping"/>
      </w:pPr>
      <w:r>
        <w:t>Non-BAU ICT expenditure relates to extending or enhancing the department’s current ICT capabilities. BAU ICT expenditure is all remaining ICT expenditure which primarily relates to ongoing activities to operate and maintain the current ICT capability.</w:t>
      </w:r>
    </w:p>
    <w:p w14:paraId="0E9ADC98" w14:textId="29749FFF" w:rsidR="00BE19B7" w:rsidRDefault="00BE19B7" w:rsidP="0073479A">
      <w:pPr>
        <w:pStyle w:val="aaatyping"/>
      </w:pPr>
      <w:r>
        <w:br w:type="page"/>
      </w:r>
    </w:p>
    <w:p w14:paraId="11A07BA5" w14:textId="77777777" w:rsidR="00F826F1" w:rsidRDefault="00F826F1" w:rsidP="008A0170">
      <w:pPr>
        <w:pStyle w:val="Heading1"/>
      </w:pPr>
      <w:bookmarkStart w:id="812" w:name="p460"/>
      <w:bookmarkStart w:id="813" w:name="_Toc55130714"/>
      <w:bookmarkEnd w:id="812"/>
      <w:r w:rsidRPr="00E55E33">
        <w:lastRenderedPageBreak/>
        <w:t>Appendix 13: Office</w:t>
      </w:r>
      <w:r w:rsidRPr="00E55E33">
        <w:rPr>
          <w:sz w:val="32"/>
        </w:rPr>
        <w:t>-</w:t>
      </w:r>
      <w:r w:rsidRPr="00E55E33">
        <w:t>based environmental performance</w:t>
      </w:r>
      <w:bookmarkEnd w:id="813"/>
    </w:p>
    <w:p w14:paraId="5B6DB38A" w14:textId="77777777" w:rsidR="00F826F1" w:rsidRDefault="00F826F1" w:rsidP="0073479A">
      <w:pPr>
        <w:pStyle w:val="aaatyping"/>
      </w:pPr>
      <w:r>
        <w:t>The department meets statutory obligations under Financial Reporting Direction 24D (FRD 24D) to report on office-based activities by reporting on a wide range of its facilities and operations. The department’s accommodation portfolio comprises of:</w:t>
      </w:r>
    </w:p>
    <w:p w14:paraId="1A8DAEE5" w14:textId="77777777" w:rsidR="00F826F1" w:rsidRPr="00AD16C3" w:rsidRDefault="00F826F1" w:rsidP="0073479A">
      <w:pPr>
        <w:pStyle w:val="aaabullet"/>
      </w:pPr>
      <w:r w:rsidRPr="00AD16C3">
        <w:t>Offices</w:t>
      </w:r>
    </w:p>
    <w:p w14:paraId="487B4109" w14:textId="77777777" w:rsidR="00F826F1" w:rsidRPr="00AD16C3" w:rsidRDefault="00F826F1" w:rsidP="0073479A">
      <w:pPr>
        <w:pStyle w:val="aaabullet"/>
      </w:pPr>
      <w:r w:rsidRPr="00AD16C3">
        <w:t>Customer service centres / call-contact centres / licence testing centres customer hubs</w:t>
      </w:r>
    </w:p>
    <w:p w14:paraId="3B7AD8CD" w14:textId="77777777" w:rsidR="00F826F1" w:rsidRPr="00AD16C3" w:rsidRDefault="00F826F1" w:rsidP="0073479A">
      <w:pPr>
        <w:pStyle w:val="aaabullet"/>
      </w:pPr>
      <w:r w:rsidRPr="00AD16C3">
        <w:t>Depots / project offices.</w:t>
      </w:r>
    </w:p>
    <w:p w14:paraId="72DC04D7" w14:textId="1490954B" w:rsidR="00F826F1" w:rsidRDefault="00F826F1" w:rsidP="00B1793F">
      <w:pPr>
        <w:pStyle w:val="aaatyping"/>
      </w:pPr>
      <w:r>
        <w:t>In accordance with FRD 24D guidelines, wherever an entity’s staff are co-located within a department managed site, the department is responsible for reporting the environmental performance of that site.</w:t>
      </w:r>
    </w:p>
    <w:p w14:paraId="7DB29A2C" w14:textId="2AB8E1F7" w:rsidR="00F826F1" w:rsidRPr="00AD16C3" w:rsidRDefault="00F826F1" w:rsidP="00EF5131">
      <w:pPr>
        <w:pStyle w:val="Heading5"/>
      </w:pPr>
      <w:r w:rsidRPr="00AD16C3">
        <w:t>Procurement</w:t>
      </w:r>
    </w:p>
    <w:p w14:paraId="47D183BE" w14:textId="017A1B1E" w:rsidR="00BE19B7" w:rsidRDefault="00F826F1" w:rsidP="0073479A">
      <w:pPr>
        <w:pStyle w:val="aaatyping"/>
      </w:pPr>
      <w:r w:rsidRPr="00E571B6">
        <w:t>The department’s procurement activities are environmentally responsible</w:t>
      </w:r>
      <w:r>
        <w:t xml:space="preserve"> and </w:t>
      </w:r>
      <w:r w:rsidRPr="00E571B6">
        <w:t>support the objectives of the Government’s Environmental Procurement Policy</w:t>
      </w:r>
      <w:r>
        <w:t>. They</w:t>
      </w:r>
      <w:r w:rsidRPr="00E571B6">
        <w:t xml:space="preserve"> support social procurement principals, including consideration of environment and sustainability impacts throughout the procurement process. This includes review of social procurement practices, principles and outcomes that will be delivered by suppliers through the provision of goods and services and the environmental and sustainability practices they adopt to reduce their environmental impact.</w:t>
      </w:r>
      <w:r w:rsidR="00BE19B7">
        <w:br w:type="page"/>
      </w:r>
    </w:p>
    <w:p w14:paraId="4BB7F04E" w14:textId="77777777" w:rsidR="00F826F1" w:rsidRPr="00364AD5" w:rsidRDefault="00F826F1" w:rsidP="0073479A">
      <w:pPr>
        <w:pStyle w:val="aaatyping"/>
      </w:pPr>
      <w:r>
        <w:lastRenderedPageBreak/>
        <w:t>Some o</w:t>
      </w:r>
      <w:r w:rsidRPr="00E5401C">
        <w:t>ffice</w:t>
      </w:r>
      <w:r>
        <w:t>-based</w:t>
      </w:r>
      <w:r w:rsidRPr="00E5401C">
        <w:t xml:space="preserve"> sites offer e-waste services for environmental</w:t>
      </w:r>
      <w:r>
        <w:t>ly</w:t>
      </w:r>
      <w:r w:rsidRPr="00E5401C">
        <w:t xml:space="preserve"> sound disposal of printers and printer cartridges.</w:t>
      </w:r>
      <w:r>
        <w:t xml:space="preserve"> </w:t>
      </w:r>
      <w:r w:rsidRPr="00364AD5">
        <w:t xml:space="preserve">Future objectives include </w:t>
      </w:r>
      <w:r>
        <w:t>offering e</w:t>
      </w:r>
      <w:r w:rsidRPr="00364AD5">
        <w:t xml:space="preserve">-waste </w:t>
      </w:r>
      <w:r>
        <w:t>services at all office-based sites for</w:t>
      </w:r>
      <w:r w:rsidRPr="00364AD5">
        <w:t>:</w:t>
      </w:r>
    </w:p>
    <w:p w14:paraId="6A8AC9D5" w14:textId="77777777" w:rsidR="00F826F1" w:rsidRPr="00364AD5" w:rsidRDefault="00F826F1" w:rsidP="0073479A">
      <w:pPr>
        <w:pStyle w:val="aaabullet"/>
      </w:pPr>
      <w:r w:rsidRPr="00364AD5">
        <w:t>printers and printer cartridges</w:t>
      </w:r>
    </w:p>
    <w:p w14:paraId="696DE6FD" w14:textId="77777777" w:rsidR="00F826F1" w:rsidRDefault="00F826F1" w:rsidP="0073479A">
      <w:pPr>
        <w:pStyle w:val="aaabullet"/>
      </w:pPr>
      <w:r>
        <w:t>batteries.</w:t>
      </w:r>
    </w:p>
    <w:p w14:paraId="3843665B" w14:textId="77777777" w:rsidR="00F826F1" w:rsidRPr="00364AD5" w:rsidRDefault="00F826F1" w:rsidP="00DE1921"/>
    <w:p w14:paraId="0CBA80DC" w14:textId="77777777" w:rsidR="00F826F1" w:rsidRDefault="00F826F1" w:rsidP="00DE1921">
      <w:pPr>
        <w:pStyle w:val="NormalBullet"/>
        <w:numPr>
          <w:ilvl w:val="0"/>
          <w:numId w:val="0"/>
        </w:numPr>
        <w:rPr>
          <w:highlight w:val="yellow"/>
        </w:rPr>
        <w:sectPr w:rsidR="00F826F1" w:rsidSect="00CB2A37">
          <w:headerReference w:type="even" r:id="rId282"/>
          <w:headerReference w:type="default" r:id="rId283"/>
          <w:footerReference w:type="even" r:id="rId284"/>
          <w:headerReference w:type="first" r:id="rId285"/>
          <w:footerReference w:type="first" r:id="rId286"/>
          <w:type w:val="continuous"/>
          <w:pgSz w:w="11906" w:h="16838"/>
          <w:pgMar w:top="1701" w:right="1418" w:bottom="1418" w:left="1418" w:header="709" w:footer="709" w:gutter="0"/>
          <w:cols w:space="284"/>
          <w:docGrid w:linePitch="360"/>
        </w:sectPr>
      </w:pPr>
    </w:p>
    <w:p w14:paraId="472870C8" w14:textId="77777777" w:rsidR="00CB2A37" w:rsidRDefault="00CB2A37" w:rsidP="00CF74EB">
      <w:pPr>
        <w:pStyle w:val="TableHeader"/>
        <w:sectPr w:rsidR="00CB2A37" w:rsidSect="00DE1921">
          <w:pgSz w:w="11906" w:h="16838"/>
          <w:pgMar w:top="1701" w:right="1418" w:bottom="1418" w:left="1418" w:header="709" w:footer="709" w:gutter="0"/>
          <w:cols w:space="284"/>
          <w:docGrid w:linePitch="360"/>
        </w:sectPr>
      </w:pPr>
    </w:p>
    <w:p w14:paraId="69EE3C8E" w14:textId="32E6466C" w:rsidR="00F826F1" w:rsidRPr="00E273FC" w:rsidRDefault="00F826F1" w:rsidP="00CF74EB">
      <w:pPr>
        <w:pStyle w:val="TableHeader"/>
      </w:pPr>
      <w:r w:rsidRPr="00E273FC">
        <w:t>Energy</w:t>
      </w:r>
    </w:p>
    <w:tbl>
      <w:tblPr>
        <w:tblStyle w:val="TableGrid"/>
        <w:tblW w:w="9072" w:type="dxa"/>
        <w:tblCellMar>
          <w:left w:w="28" w:type="dxa"/>
          <w:right w:w="28" w:type="dxa"/>
        </w:tblCellMar>
        <w:tblLook w:val="04A0" w:firstRow="1" w:lastRow="0" w:firstColumn="1" w:lastColumn="0" w:noHBand="0" w:noVBand="1"/>
      </w:tblPr>
      <w:tblGrid>
        <w:gridCol w:w="4033"/>
        <w:gridCol w:w="1258"/>
        <w:gridCol w:w="1132"/>
        <w:gridCol w:w="1258"/>
        <w:gridCol w:w="1391"/>
      </w:tblGrid>
      <w:tr w:rsidR="00F826F1" w:rsidRPr="00E273FC" w14:paraId="3735D1A1" w14:textId="77777777" w:rsidTr="0077667B">
        <w:trPr>
          <w:trHeight w:val="340"/>
        </w:trPr>
        <w:tc>
          <w:tcPr>
            <w:tcW w:w="4536" w:type="dxa"/>
            <w:shd w:val="clear" w:color="auto" w:fill="auto"/>
            <w:tcMar>
              <w:left w:w="57" w:type="dxa"/>
              <w:right w:w="57" w:type="dxa"/>
            </w:tcMar>
          </w:tcPr>
          <w:p w14:paraId="7395FC1C" w14:textId="77777777" w:rsidR="00F826F1" w:rsidRPr="00E273FC" w:rsidRDefault="00F826F1" w:rsidP="00DE1921">
            <w:pPr>
              <w:pStyle w:val="TableTextLeft"/>
              <w:rPr>
                <w:rFonts w:ascii="Arial" w:hAnsi="Arial" w:cs="Arial"/>
                <w:sz w:val="24"/>
                <w:szCs w:val="24"/>
              </w:rPr>
            </w:pPr>
          </w:p>
        </w:tc>
        <w:tc>
          <w:tcPr>
            <w:tcW w:w="1134" w:type="dxa"/>
            <w:shd w:val="clear" w:color="auto" w:fill="auto"/>
          </w:tcPr>
          <w:p w14:paraId="5BF5A6EC"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2019-20</w:t>
            </w:r>
          </w:p>
          <w:p w14:paraId="7A11832C"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DoT</w:t>
            </w:r>
            <w:r w:rsidRPr="00E273FC">
              <w:rPr>
                <w:rFonts w:ascii="Arial" w:hAnsi="Arial" w:cs="Arial"/>
                <w:b/>
                <w:sz w:val="24"/>
                <w:szCs w:val="24"/>
                <w:vertAlign w:val="superscript"/>
              </w:rPr>
              <w:t>1, 2, 3</w:t>
            </w:r>
          </w:p>
        </w:tc>
        <w:tc>
          <w:tcPr>
            <w:tcW w:w="1134" w:type="dxa"/>
            <w:shd w:val="clear" w:color="auto" w:fill="auto"/>
          </w:tcPr>
          <w:p w14:paraId="0CE22E37" w14:textId="77777777" w:rsidR="00F826F1" w:rsidRPr="00E273FC" w:rsidRDefault="00F826F1" w:rsidP="00DE1921">
            <w:pPr>
              <w:pStyle w:val="TableTextRightBold"/>
              <w:rPr>
                <w:rFonts w:ascii="Arial" w:hAnsi="Arial" w:cs="Arial"/>
                <w:b w:val="0"/>
                <w:sz w:val="24"/>
                <w:szCs w:val="24"/>
              </w:rPr>
            </w:pPr>
            <w:r w:rsidRPr="00E273FC">
              <w:rPr>
                <w:rFonts w:ascii="Arial" w:hAnsi="Arial" w:cs="Arial"/>
                <w:b w:val="0"/>
                <w:sz w:val="24"/>
                <w:szCs w:val="24"/>
              </w:rPr>
              <w:t>2018-19</w:t>
            </w:r>
          </w:p>
          <w:p w14:paraId="5C13B7F0"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DoT</w:t>
            </w:r>
            <w:r w:rsidRPr="00E273FC">
              <w:rPr>
                <w:rFonts w:ascii="Arial" w:hAnsi="Arial" w:cs="Arial"/>
                <w:sz w:val="24"/>
                <w:szCs w:val="24"/>
                <w:vertAlign w:val="superscript"/>
              </w:rPr>
              <w:t>3</w:t>
            </w:r>
          </w:p>
        </w:tc>
        <w:tc>
          <w:tcPr>
            <w:tcW w:w="1134" w:type="dxa"/>
            <w:shd w:val="clear" w:color="auto" w:fill="auto"/>
          </w:tcPr>
          <w:p w14:paraId="7B8468B9"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2018-19</w:t>
            </w:r>
          </w:p>
          <w:p w14:paraId="21B268AF"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DEDJTR</w:t>
            </w:r>
          </w:p>
        </w:tc>
        <w:tc>
          <w:tcPr>
            <w:tcW w:w="1134" w:type="dxa"/>
            <w:shd w:val="clear" w:color="auto" w:fill="auto"/>
          </w:tcPr>
          <w:p w14:paraId="5466D591"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2017-18</w:t>
            </w:r>
          </w:p>
          <w:p w14:paraId="081C0D4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DEDJTR</w:t>
            </w:r>
          </w:p>
        </w:tc>
      </w:tr>
      <w:tr w:rsidR="00F826F1" w:rsidRPr="00E273FC" w14:paraId="7D682E01" w14:textId="77777777" w:rsidTr="0077667B">
        <w:trPr>
          <w:trHeight w:val="340"/>
        </w:trPr>
        <w:tc>
          <w:tcPr>
            <w:tcW w:w="4536" w:type="dxa"/>
            <w:shd w:val="clear" w:color="auto" w:fill="auto"/>
            <w:tcMar>
              <w:left w:w="57" w:type="dxa"/>
              <w:right w:w="57" w:type="dxa"/>
            </w:tcMar>
            <w:vAlign w:val="center"/>
          </w:tcPr>
          <w:p w14:paraId="26B7E4DB" w14:textId="77777777" w:rsidR="00F826F1" w:rsidRPr="00E273FC" w:rsidRDefault="00F826F1" w:rsidP="00604703">
            <w:pPr>
              <w:pStyle w:val="TableTextGreen"/>
            </w:pPr>
            <w:r w:rsidRPr="00E273FC">
              <w:t>Indicator</w:t>
            </w:r>
          </w:p>
        </w:tc>
        <w:tc>
          <w:tcPr>
            <w:tcW w:w="1134" w:type="dxa"/>
            <w:shd w:val="clear" w:color="auto" w:fill="auto"/>
            <w:vAlign w:val="center"/>
          </w:tcPr>
          <w:p w14:paraId="77D37774" w14:textId="77777777" w:rsidR="00F826F1" w:rsidRPr="00E273FC" w:rsidRDefault="00F826F1" w:rsidP="00DE1921">
            <w:pPr>
              <w:pStyle w:val="TableTextRightBold"/>
              <w:rPr>
                <w:rFonts w:ascii="Arial" w:hAnsi="Arial" w:cs="Arial"/>
                <w:sz w:val="24"/>
                <w:szCs w:val="24"/>
              </w:rPr>
            </w:pPr>
          </w:p>
        </w:tc>
        <w:tc>
          <w:tcPr>
            <w:tcW w:w="1134" w:type="dxa"/>
            <w:shd w:val="clear" w:color="auto" w:fill="auto"/>
            <w:vAlign w:val="center"/>
          </w:tcPr>
          <w:p w14:paraId="069A8B70"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71E4098C"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544F3319" w14:textId="77777777" w:rsidR="00F826F1" w:rsidRPr="00E273FC" w:rsidRDefault="00F826F1" w:rsidP="00DE1921">
            <w:pPr>
              <w:pStyle w:val="TableTextRight"/>
              <w:rPr>
                <w:rFonts w:ascii="Arial" w:hAnsi="Arial" w:cs="Arial"/>
                <w:sz w:val="24"/>
                <w:szCs w:val="24"/>
              </w:rPr>
            </w:pPr>
          </w:p>
        </w:tc>
      </w:tr>
      <w:tr w:rsidR="00F826F1" w:rsidRPr="00E273FC" w14:paraId="1B0B91F1" w14:textId="77777777" w:rsidTr="0077667B">
        <w:trPr>
          <w:trHeight w:val="340"/>
        </w:trPr>
        <w:tc>
          <w:tcPr>
            <w:tcW w:w="4536" w:type="dxa"/>
            <w:shd w:val="clear" w:color="auto" w:fill="auto"/>
            <w:tcMar>
              <w:left w:w="57" w:type="dxa"/>
              <w:right w:w="57" w:type="dxa"/>
            </w:tcMar>
            <w:vAlign w:val="center"/>
          </w:tcPr>
          <w:p w14:paraId="20B9DA18"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Total energy consumption (MJ)</w:t>
            </w:r>
          </w:p>
        </w:tc>
        <w:tc>
          <w:tcPr>
            <w:tcW w:w="1134" w:type="dxa"/>
            <w:shd w:val="clear" w:color="auto" w:fill="auto"/>
            <w:vAlign w:val="center"/>
          </w:tcPr>
          <w:p w14:paraId="14F09CC5"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57,605,750</w:t>
            </w:r>
          </w:p>
        </w:tc>
        <w:tc>
          <w:tcPr>
            <w:tcW w:w="1134" w:type="dxa"/>
            <w:shd w:val="clear" w:color="auto" w:fill="auto"/>
            <w:vAlign w:val="center"/>
          </w:tcPr>
          <w:p w14:paraId="6DBAE112"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7,309,974</w:t>
            </w:r>
          </w:p>
        </w:tc>
        <w:tc>
          <w:tcPr>
            <w:tcW w:w="1134" w:type="dxa"/>
            <w:shd w:val="clear" w:color="auto" w:fill="auto"/>
            <w:vAlign w:val="center"/>
          </w:tcPr>
          <w:p w14:paraId="35594F86"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67,485,507</w:t>
            </w:r>
          </w:p>
        </w:tc>
        <w:tc>
          <w:tcPr>
            <w:tcW w:w="1134" w:type="dxa"/>
            <w:shd w:val="clear" w:color="auto" w:fill="auto"/>
            <w:vAlign w:val="center"/>
          </w:tcPr>
          <w:p w14:paraId="3E4C9561"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145,753,468</w:t>
            </w:r>
          </w:p>
        </w:tc>
      </w:tr>
      <w:tr w:rsidR="00F826F1" w:rsidRPr="00E273FC" w14:paraId="2BA60AC6" w14:textId="77777777" w:rsidTr="0077667B">
        <w:trPr>
          <w:trHeight w:val="340"/>
        </w:trPr>
        <w:tc>
          <w:tcPr>
            <w:tcW w:w="4536" w:type="dxa"/>
            <w:shd w:val="clear" w:color="auto" w:fill="auto"/>
            <w:tcMar>
              <w:left w:w="57" w:type="dxa"/>
              <w:right w:w="57" w:type="dxa"/>
            </w:tcMar>
            <w:vAlign w:val="center"/>
          </w:tcPr>
          <w:p w14:paraId="25EA8D04"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Electricity (excluding green power)</w:t>
            </w:r>
          </w:p>
        </w:tc>
        <w:tc>
          <w:tcPr>
            <w:tcW w:w="1134" w:type="dxa"/>
            <w:shd w:val="clear" w:color="auto" w:fill="auto"/>
            <w:vAlign w:val="center"/>
          </w:tcPr>
          <w:p w14:paraId="32308A5A"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48,867,159</w:t>
            </w:r>
          </w:p>
        </w:tc>
        <w:tc>
          <w:tcPr>
            <w:tcW w:w="1134" w:type="dxa"/>
            <w:shd w:val="clear" w:color="auto" w:fill="auto"/>
            <w:vAlign w:val="center"/>
          </w:tcPr>
          <w:p w14:paraId="0B386582"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5,936,754</w:t>
            </w:r>
          </w:p>
        </w:tc>
        <w:tc>
          <w:tcPr>
            <w:tcW w:w="1134" w:type="dxa"/>
            <w:shd w:val="clear" w:color="auto" w:fill="auto"/>
            <w:vAlign w:val="center"/>
          </w:tcPr>
          <w:p w14:paraId="0D9AD24B"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43,833,150</w:t>
            </w:r>
          </w:p>
        </w:tc>
        <w:tc>
          <w:tcPr>
            <w:tcW w:w="1134" w:type="dxa"/>
            <w:shd w:val="clear" w:color="auto" w:fill="auto"/>
            <w:vAlign w:val="center"/>
          </w:tcPr>
          <w:p w14:paraId="07824537"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98,545,744</w:t>
            </w:r>
          </w:p>
        </w:tc>
      </w:tr>
      <w:tr w:rsidR="00F826F1" w:rsidRPr="00E273FC" w14:paraId="31D0A6E4" w14:textId="77777777" w:rsidTr="0077667B">
        <w:trPr>
          <w:trHeight w:val="340"/>
        </w:trPr>
        <w:tc>
          <w:tcPr>
            <w:tcW w:w="4536" w:type="dxa"/>
            <w:shd w:val="clear" w:color="auto" w:fill="auto"/>
            <w:tcMar>
              <w:left w:w="57" w:type="dxa"/>
              <w:right w:w="57" w:type="dxa"/>
            </w:tcMar>
            <w:vAlign w:val="center"/>
          </w:tcPr>
          <w:p w14:paraId="1BF825D3"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Green power</w:t>
            </w:r>
            <w:r w:rsidRPr="00E273FC">
              <w:rPr>
                <w:rFonts w:ascii="Arial" w:hAnsi="Arial" w:cs="Arial"/>
                <w:sz w:val="24"/>
                <w:szCs w:val="24"/>
                <w:vertAlign w:val="superscript"/>
              </w:rPr>
              <w:t>4</w:t>
            </w:r>
          </w:p>
        </w:tc>
        <w:tc>
          <w:tcPr>
            <w:tcW w:w="1134" w:type="dxa"/>
            <w:shd w:val="clear" w:color="auto" w:fill="auto"/>
            <w:vAlign w:val="center"/>
          </w:tcPr>
          <w:p w14:paraId="19CFC59A"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52DC766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6EB6C52C"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74B729EF"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w:t>
            </w:r>
          </w:p>
        </w:tc>
      </w:tr>
      <w:tr w:rsidR="00F826F1" w:rsidRPr="00E273FC" w14:paraId="5B0A8CAD" w14:textId="77777777" w:rsidTr="0077667B">
        <w:trPr>
          <w:trHeight w:val="340"/>
        </w:trPr>
        <w:tc>
          <w:tcPr>
            <w:tcW w:w="4536" w:type="dxa"/>
            <w:shd w:val="clear" w:color="auto" w:fill="auto"/>
            <w:tcMar>
              <w:left w:w="57" w:type="dxa"/>
              <w:right w:w="57" w:type="dxa"/>
            </w:tcMar>
            <w:vAlign w:val="center"/>
          </w:tcPr>
          <w:p w14:paraId="2C9F566A"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Natural gas</w:t>
            </w:r>
          </w:p>
        </w:tc>
        <w:tc>
          <w:tcPr>
            <w:tcW w:w="1134" w:type="dxa"/>
            <w:shd w:val="clear" w:color="auto" w:fill="auto"/>
            <w:vAlign w:val="center"/>
          </w:tcPr>
          <w:p w14:paraId="77C2F553"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8,738,591</w:t>
            </w:r>
          </w:p>
        </w:tc>
        <w:tc>
          <w:tcPr>
            <w:tcW w:w="1134" w:type="dxa"/>
            <w:shd w:val="clear" w:color="auto" w:fill="auto"/>
            <w:vAlign w:val="center"/>
          </w:tcPr>
          <w:p w14:paraId="0D4A62AC"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1,373,220</w:t>
            </w:r>
          </w:p>
        </w:tc>
        <w:tc>
          <w:tcPr>
            <w:tcW w:w="1134" w:type="dxa"/>
            <w:shd w:val="clear" w:color="auto" w:fill="auto"/>
            <w:vAlign w:val="center"/>
          </w:tcPr>
          <w:p w14:paraId="79B81B26"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22,285,150</w:t>
            </w:r>
          </w:p>
        </w:tc>
        <w:tc>
          <w:tcPr>
            <w:tcW w:w="1134" w:type="dxa"/>
            <w:shd w:val="clear" w:color="auto" w:fill="auto"/>
            <w:vAlign w:val="center"/>
          </w:tcPr>
          <w:p w14:paraId="26F689A0"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47,207,724</w:t>
            </w:r>
          </w:p>
        </w:tc>
      </w:tr>
      <w:tr w:rsidR="00F826F1" w:rsidRPr="00E273FC" w14:paraId="1F2F6EE9" w14:textId="77777777" w:rsidTr="0077667B">
        <w:trPr>
          <w:trHeight w:val="340"/>
        </w:trPr>
        <w:tc>
          <w:tcPr>
            <w:tcW w:w="4536" w:type="dxa"/>
            <w:shd w:val="clear" w:color="auto" w:fill="auto"/>
            <w:tcMar>
              <w:left w:w="57" w:type="dxa"/>
              <w:right w:w="57" w:type="dxa"/>
            </w:tcMar>
            <w:vAlign w:val="center"/>
          </w:tcPr>
          <w:p w14:paraId="3EC3A29D"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LPG</w:t>
            </w:r>
            <w:r w:rsidRPr="00E273FC">
              <w:rPr>
                <w:rFonts w:ascii="Arial" w:hAnsi="Arial" w:cs="Arial"/>
                <w:sz w:val="24"/>
                <w:szCs w:val="24"/>
                <w:vertAlign w:val="superscript"/>
              </w:rPr>
              <w:t>4, 5</w:t>
            </w:r>
          </w:p>
        </w:tc>
        <w:tc>
          <w:tcPr>
            <w:tcW w:w="1134" w:type="dxa"/>
            <w:shd w:val="clear" w:color="auto" w:fill="auto"/>
            <w:vAlign w:val="center"/>
          </w:tcPr>
          <w:p w14:paraId="72422BBC"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6F94CF2B"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3ADC98D6"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1,366,726</w:t>
            </w:r>
          </w:p>
        </w:tc>
        <w:tc>
          <w:tcPr>
            <w:tcW w:w="1134" w:type="dxa"/>
            <w:shd w:val="clear" w:color="auto" w:fill="auto"/>
            <w:vAlign w:val="center"/>
          </w:tcPr>
          <w:p w14:paraId="3BE01918" w14:textId="77777777" w:rsidR="00F826F1" w:rsidRPr="00E273FC" w:rsidRDefault="00F826F1" w:rsidP="00DE1921">
            <w:pPr>
              <w:pStyle w:val="TableTextRight"/>
              <w:rPr>
                <w:rFonts w:ascii="Arial" w:hAnsi="Arial" w:cs="Arial"/>
                <w:sz w:val="24"/>
                <w:szCs w:val="24"/>
              </w:rPr>
            </w:pPr>
          </w:p>
        </w:tc>
      </w:tr>
      <w:tr w:rsidR="00F826F1" w:rsidRPr="00E273FC" w14:paraId="093B8266" w14:textId="77777777" w:rsidTr="0077667B">
        <w:trPr>
          <w:trHeight w:val="340"/>
        </w:trPr>
        <w:tc>
          <w:tcPr>
            <w:tcW w:w="4536" w:type="dxa"/>
            <w:shd w:val="clear" w:color="auto" w:fill="auto"/>
            <w:tcMar>
              <w:left w:w="57" w:type="dxa"/>
              <w:right w:w="57" w:type="dxa"/>
            </w:tcMar>
            <w:vAlign w:val="center"/>
          </w:tcPr>
          <w:p w14:paraId="79BE952B"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Office energy consumption (MJ)</w:t>
            </w:r>
          </w:p>
        </w:tc>
        <w:tc>
          <w:tcPr>
            <w:tcW w:w="1134" w:type="dxa"/>
            <w:shd w:val="clear" w:color="auto" w:fill="auto"/>
            <w:vAlign w:val="center"/>
          </w:tcPr>
          <w:p w14:paraId="1F6D7920"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53,150,014</w:t>
            </w:r>
          </w:p>
        </w:tc>
        <w:tc>
          <w:tcPr>
            <w:tcW w:w="1134" w:type="dxa"/>
            <w:shd w:val="clear" w:color="auto" w:fill="auto"/>
            <w:vAlign w:val="center"/>
          </w:tcPr>
          <w:p w14:paraId="45CC86AF"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5,925,625</w:t>
            </w:r>
          </w:p>
        </w:tc>
        <w:tc>
          <w:tcPr>
            <w:tcW w:w="1134" w:type="dxa"/>
            <w:shd w:val="clear" w:color="auto" w:fill="auto"/>
            <w:vAlign w:val="center"/>
          </w:tcPr>
          <w:p w14:paraId="5257BB0B"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10,587,085</w:t>
            </w:r>
          </w:p>
        </w:tc>
        <w:tc>
          <w:tcPr>
            <w:tcW w:w="1134" w:type="dxa"/>
            <w:shd w:val="clear" w:color="auto" w:fill="auto"/>
            <w:vAlign w:val="center"/>
          </w:tcPr>
          <w:p w14:paraId="0AAF7C2D"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27,467,034</w:t>
            </w:r>
          </w:p>
        </w:tc>
      </w:tr>
      <w:tr w:rsidR="00F826F1" w:rsidRPr="00E273FC" w14:paraId="3F6E8B46" w14:textId="77777777" w:rsidTr="0077667B">
        <w:trPr>
          <w:trHeight w:val="340"/>
        </w:trPr>
        <w:tc>
          <w:tcPr>
            <w:tcW w:w="4536" w:type="dxa"/>
            <w:shd w:val="clear" w:color="auto" w:fill="auto"/>
            <w:tcMar>
              <w:left w:w="57" w:type="dxa"/>
              <w:right w:w="57" w:type="dxa"/>
            </w:tcMar>
            <w:vAlign w:val="center"/>
          </w:tcPr>
          <w:p w14:paraId="4B06316F" w14:textId="77777777" w:rsidR="00F826F1" w:rsidRPr="00E273FC" w:rsidRDefault="00F826F1" w:rsidP="00DE1921">
            <w:pPr>
              <w:pStyle w:val="TableTextLeftBold"/>
              <w:rPr>
                <w:rFonts w:ascii="Arial" w:hAnsi="Arial" w:cs="Arial"/>
                <w:sz w:val="24"/>
                <w:szCs w:val="24"/>
              </w:rPr>
            </w:pPr>
          </w:p>
        </w:tc>
        <w:tc>
          <w:tcPr>
            <w:tcW w:w="1134" w:type="dxa"/>
            <w:shd w:val="clear" w:color="auto" w:fill="auto"/>
            <w:vAlign w:val="center"/>
          </w:tcPr>
          <w:p w14:paraId="47A359DF" w14:textId="77777777" w:rsidR="00F826F1" w:rsidRPr="00E273FC" w:rsidRDefault="00F826F1" w:rsidP="00DE1921">
            <w:pPr>
              <w:pStyle w:val="TableTextRightBold"/>
              <w:rPr>
                <w:rFonts w:ascii="Arial" w:hAnsi="Arial" w:cs="Arial"/>
                <w:sz w:val="24"/>
                <w:szCs w:val="24"/>
              </w:rPr>
            </w:pPr>
          </w:p>
        </w:tc>
        <w:tc>
          <w:tcPr>
            <w:tcW w:w="1134" w:type="dxa"/>
            <w:shd w:val="clear" w:color="auto" w:fill="auto"/>
            <w:vAlign w:val="center"/>
          </w:tcPr>
          <w:p w14:paraId="60BBA517"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19B93E79"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729E56A2" w14:textId="77777777" w:rsidR="00F826F1" w:rsidRPr="00E273FC" w:rsidRDefault="00F826F1" w:rsidP="00DE1921">
            <w:pPr>
              <w:pStyle w:val="TableTextRight"/>
              <w:rPr>
                <w:rFonts w:ascii="Arial" w:hAnsi="Arial" w:cs="Arial"/>
                <w:sz w:val="24"/>
                <w:szCs w:val="24"/>
              </w:rPr>
            </w:pPr>
          </w:p>
        </w:tc>
      </w:tr>
      <w:tr w:rsidR="00F826F1" w:rsidRPr="00E273FC" w14:paraId="3A4EFA7B" w14:textId="77777777" w:rsidTr="0077667B">
        <w:trPr>
          <w:trHeight w:val="340"/>
        </w:trPr>
        <w:tc>
          <w:tcPr>
            <w:tcW w:w="4536" w:type="dxa"/>
            <w:shd w:val="clear" w:color="auto" w:fill="auto"/>
            <w:tcMar>
              <w:left w:w="57" w:type="dxa"/>
              <w:right w:w="57" w:type="dxa"/>
            </w:tcMar>
            <w:vAlign w:val="center"/>
          </w:tcPr>
          <w:p w14:paraId="0EE1D12D"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Greenhouse gas emissions from total energy consumption</w:t>
            </w:r>
          </w:p>
          <w:p w14:paraId="08226F89"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(tonnes CO</w:t>
            </w:r>
            <w:r w:rsidRPr="00E273FC">
              <w:rPr>
                <w:rFonts w:ascii="Arial" w:hAnsi="Arial" w:cs="Arial"/>
                <w:sz w:val="24"/>
                <w:szCs w:val="24"/>
                <w:vertAlign w:val="subscript"/>
              </w:rPr>
              <w:t>2</w:t>
            </w:r>
            <w:r w:rsidRPr="00E273FC">
              <w:rPr>
                <w:rFonts w:ascii="Arial" w:hAnsi="Arial" w:cs="Arial"/>
                <w:sz w:val="24"/>
                <w:szCs w:val="24"/>
              </w:rPr>
              <w:t>-e)</w:t>
            </w:r>
          </w:p>
        </w:tc>
        <w:tc>
          <w:tcPr>
            <w:tcW w:w="1134" w:type="dxa"/>
            <w:shd w:val="clear" w:color="auto" w:fill="auto"/>
          </w:tcPr>
          <w:p w14:paraId="2C1D997C"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15,687</w:t>
            </w:r>
          </w:p>
        </w:tc>
        <w:tc>
          <w:tcPr>
            <w:tcW w:w="1134" w:type="dxa"/>
            <w:shd w:val="clear" w:color="auto" w:fill="auto"/>
          </w:tcPr>
          <w:p w14:paraId="0696052A"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2,419</w:t>
            </w:r>
          </w:p>
        </w:tc>
        <w:tc>
          <w:tcPr>
            <w:tcW w:w="1134" w:type="dxa"/>
            <w:shd w:val="clear" w:color="auto" w:fill="auto"/>
          </w:tcPr>
          <w:p w14:paraId="4450CAF0"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15,569</w:t>
            </w:r>
          </w:p>
        </w:tc>
        <w:tc>
          <w:tcPr>
            <w:tcW w:w="1134" w:type="dxa"/>
            <w:shd w:val="clear" w:color="auto" w:fill="auto"/>
          </w:tcPr>
          <w:p w14:paraId="6A86393E"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31,996</w:t>
            </w:r>
          </w:p>
        </w:tc>
      </w:tr>
      <w:tr w:rsidR="00F826F1" w:rsidRPr="00E273FC" w14:paraId="37B7931B" w14:textId="77777777" w:rsidTr="0077667B">
        <w:trPr>
          <w:trHeight w:val="340"/>
        </w:trPr>
        <w:tc>
          <w:tcPr>
            <w:tcW w:w="4536" w:type="dxa"/>
            <w:shd w:val="clear" w:color="auto" w:fill="auto"/>
            <w:tcMar>
              <w:left w:w="57" w:type="dxa"/>
              <w:right w:w="57" w:type="dxa"/>
            </w:tcMar>
            <w:vAlign w:val="center"/>
          </w:tcPr>
          <w:p w14:paraId="02EC1D4D"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Percentage of electricity purchased as green power</w:t>
            </w:r>
          </w:p>
        </w:tc>
        <w:tc>
          <w:tcPr>
            <w:tcW w:w="1134" w:type="dxa"/>
            <w:shd w:val="clear" w:color="auto" w:fill="auto"/>
            <w:vAlign w:val="center"/>
          </w:tcPr>
          <w:p w14:paraId="372CB391"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48F19C0B"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77FC1EB8"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1E33790C"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w:t>
            </w:r>
          </w:p>
        </w:tc>
      </w:tr>
      <w:tr w:rsidR="00F826F1" w:rsidRPr="00E273FC" w14:paraId="23988FB2" w14:textId="77777777" w:rsidTr="0077667B">
        <w:trPr>
          <w:trHeight w:val="340"/>
        </w:trPr>
        <w:tc>
          <w:tcPr>
            <w:tcW w:w="4536" w:type="dxa"/>
            <w:shd w:val="clear" w:color="auto" w:fill="auto"/>
            <w:tcMar>
              <w:left w:w="57" w:type="dxa"/>
              <w:right w:w="57" w:type="dxa"/>
            </w:tcMar>
            <w:vAlign w:val="center"/>
          </w:tcPr>
          <w:p w14:paraId="1893532B"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Units of energy used per FTE (MJ/FTE)</w:t>
            </w:r>
          </w:p>
        </w:tc>
        <w:tc>
          <w:tcPr>
            <w:tcW w:w="1134" w:type="dxa"/>
            <w:shd w:val="clear" w:color="auto" w:fill="auto"/>
            <w:vAlign w:val="center"/>
          </w:tcPr>
          <w:p w14:paraId="66EA62B9"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8,989</w:t>
            </w:r>
          </w:p>
        </w:tc>
        <w:tc>
          <w:tcPr>
            <w:tcW w:w="1134" w:type="dxa"/>
            <w:shd w:val="clear" w:color="auto" w:fill="auto"/>
            <w:vAlign w:val="center"/>
          </w:tcPr>
          <w:p w14:paraId="48DA45B2"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8,958</w:t>
            </w:r>
          </w:p>
        </w:tc>
        <w:tc>
          <w:tcPr>
            <w:tcW w:w="1134" w:type="dxa"/>
            <w:shd w:val="clear" w:color="auto" w:fill="auto"/>
            <w:vAlign w:val="center"/>
          </w:tcPr>
          <w:p w14:paraId="78B0AC7B"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3,420</w:t>
            </w:r>
          </w:p>
        </w:tc>
        <w:tc>
          <w:tcPr>
            <w:tcW w:w="1134" w:type="dxa"/>
            <w:shd w:val="clear" w:color="auto" w:fill="auto"/>
            <w:vAlign w:val="center"/>
          </w:tcPr>
          <w:p w14:paraId="2CD5DD53"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9,143</w:t>
            </w:r>
          </w:p>
        </w:tc>
      </w:tr>
      <w:tr w:rsidR="00F826F1" w:rsidRPr="00E273FC" w14:paraId="3B8CBC41" w14:textId="77777777" w:rsidTr="0077667B">
        <w:trPr>
          <w:trHeight w:val="340"/>
        </w:trPr>
        <w:tc>
          <w:tcPr>
            <w:tcW w:w="4536" w:type="dxa"/>
            <w:shd w:val="clear" w:color="auto" w:fill="auto"/>
            <w:tcMar>
              <w:left w:w="57" w:type="dxa"/>
              <w:right w:w="57" w:type="dxa"/>
            </w:tcMar>
            <w:vAlign w:val="center"/>
          </w:tcPr>
          <w:p w14:paraId="2ECD71A3"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Units of energy used per unit of office area (MJ/m2)</w:t>
            </w:r>
          </w:p>
        </w:tc>
        <w:tc>
          <w:tcPr>
            <w:tcW w:w="1134" w:type="dxa"/>
            <w:shd w:val="clear" w:color="auto" w:fill="auto"/>
            <w:vAlign w:val="center"/>
          </w:tcPr>
          <w:p w14:paraId="1A8D491E"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487</w:t>
            </w:r>
          </w:p>
        </w:tc>
        <w:tc>
          <w:tcPr>
            <w:tcW w:w="1134" w:type="dxa"/>
            <w:shd w:val="clear" w:color="auto" w:fill="auto"/>
            <w:vAlign w:val="center"/>
          </w:tcPr>
          <w:p w14:paraId="393AC1A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111</w:t>
            </w:r>
          </w:p>
        </w:tc>
        <w:tc>
          <w:tcPr>
            <w:tcW w:w="1134" w:type="dxa"/>
            <w:shd w:val="clear" w:color="auto" w:fill="auto"/>
            <w:vAlign w:val="center"/>
          </w:tcPr>
          <w:p w14:paraId="1E237DD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114</w:t>
            </w:r>
          </w:p>
        </w:tc>
        <w:tc>
          <w:tcPr>
            <w:tcW w:w="1134" w:type="dxa"/>
            <w:shd w:val="clear" w:color="auto" w:fill="auto"/>
            <w:vAlign w:val="center"/>
          </w:tcPr>
          <w:p w14:paraId="529F124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498</w:t>
            </w:r>
          </w:p>
        </w:tc>
      </w:tr>
      <w:tr w:rsidR="00F826F1" w:rsidRPr="00E273FC" w14:paraId="766B4BAE" w14:textId="77777777" w:rsidTr="0077667B">
        <w:trPr>
          <w:trHeight w:val="340"/>
        </w:trPr>
        <w:tc>
          <w:tcPr>
            <w:tcW w:w="4536" w:type="dxa"/>
            <w:shd w:val="clear" w:color="auto" w:fill="auto"/>
            <w:tcMar>
              <w:left w:w="57" w:type="dxa"/>
              <w:right w:w="57" w:type="dxa"/>
            </w:tcMar>
            <w:vAlign w:val="center"/>
          </w:tcPr>
          <w:p w14:paraId="211EE5A1" w14:textId="77777777" w:rsidR="00F826F1" w:rsidRPr="00E273FC" w:rsidRDefault="00F826F1" w:rsidP="00DE1921">
            <w:pPr>
              <w:pStyle w:val="TableTextLeftBold"/>
              <w:rPr>
                <w:rFonts w:ascii="Arial" w:hAnsi="Arial" w:cs="Arial"/>
                <w:sz w:val="24"/>
                <w:szCs w:val="24"/>
              </w:rPr>
            </w:pPr>
          </w:p>
        </w:tc>
        <w:tc>
          <w:tcPr>
            <w:tcW w:w="1134" w:type="dxa"/>
            <w:shd w:val="clear" w:color="auto" w:fill="auto"/>
            <w:vAlign w:val="center"/>
          </w:tcPr>
          <w:p w14:paraId="395C0710" w14:textId="77777777" w:rsidR="00F826F1" w:rsidRPr="00E273FC" w:rsidRDefault="00F826F1" w:rsidP="00DE1921">
            <w:pPr>
              <w:pStyle w:val="TableTextRightBold"/>
              <w:rPr>
                <w:rFonts w:ascii="Arial" w:hAnsi="Arial" w:cs="Arial"/>
                <w:sz w:val="24"/>
                <w:szCs w:val="24"/>
              </w:rPr>
            </w:pPr>
          </w:p>
        </w:tc>
        <w:tc>
          <w:tcPr>
            <w:tcW w:w="1134" w:type="dxa"/>
            <w:shd w:val="clear" w:color="auto" w:fill="auto"/>
            <w:vAlign w:val="center"/>
          </w:tcPr>
          <w:p w14:paraId="1A87C5C9"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65BB62BE"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60C8121A" w14:textId="77777777" w:rsidR="00F826F1" w:rsidRPr="00E273FC" w:rsidRDefault="00F826F1" w:rsidP="00DE1921">
            <w:pPr>
              <w:pStyle w:val="TableTextRight"/>
              <w:rPr>
                <w:rFonts w:ascii="Arial" w:hAnsi="Arial" w:cs="Arial"/>
                <w:sz w:val="24"/>
                <w:szCs w:val="24"/>
              </w:rPr>
            </w:pPr>
          </w:p>
        </w:tc>
      </w:tr>
      <w:tr w:rsidR="00F826F1" w:rsidRPr="00E273FC" w14:paraId="169F340F" w14:textId="77777777" w:rsidTr="0077667B">
        <w:trPr>
          <w:trHeight w:val="340"/>
        </w:trPr>
        <w:tc>
          <w:tcPr>
            <w:tcW w:w="4536" w:type="dxa"/>
            <w:shd w:val="clear" w:color="auto" w:fill="auto"/>
            <w:tcMar>
              <w:left w:w="57" w:type="dxa"/>
              <w:right w:w="57" w:type="dxa"/>
            </w:tcMar>
            <w:vAlign w:val="center"/>
          </w:tcPr>
          <w:p w14:paraId="0D43430E"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Number of FTEs</w:t>
            </w:r>
          </w:p>
        </w:tc>
        <w:tc>
          <w:tcPr>
            <w:tcW w:w="1134" w:type="dxa"/>
            <w:shd w:val="clear" w:color="auto" w:fill="auto"/>
            <w:vAlign w:val="center"/>
          </w:tcPr>
          <w:p w14:paraId="687038D7"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5,912.7</w:t>
            </w:r>
          </w:p>
        </w:tc>
        <w:tc>
          <w:tcPr>
            <w:tcW w:w="1134" w:type="dxa"/>
            <w:shd w:val="clear" w:color="auto" w:fill="auto"/>
            <w:vAlign w:val="center"/>
          </w:tcPr>
          <w:p w14:paraId="34417842"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662</w:t>
            </w:r>
          </w:p>
        </w:tc>
        <w:tc>
          <w:tcPr>
            <w:tcW w:w="1134" w:type="dxa"/>
            <w:shd w:val="clear" w:color="auto" w:fill="auto"/>
            <w:vAlign w:val="center"/>
          </w:tcPr>
          <w:p w14:paraId="4EAF41E2"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3,096</w:t>
            </w:r>
          </w:p>
        </w:tc>
        <w:tc>
          <w:tcPr>
            <w:tcW w:w="1134" w:type="dxa"/>
            <w:shd w:val="clear" w:color="auto" w:fill="auto"/>
            <w:vAlign w:val="center"/>
          </w:tcPr>
          <w:p w14:paraId="347F6700"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3,003</w:t>
            </w:r>
          </w:p>
        </w:tc>
      </w:tr>
      <w:tr w:rsidR="00F826F1" w:rsidRPr="00E273FC" w14:paraId="32269ED9" w14:textId="77777777" w:rsidTr="0077667B">
        <w:trPr>
          <w:trHeight w:val="340"/>
        </w:trPr>
        <w:tc>
          <w:tcPr>
            <w:tcW w:w="4536" w:type="dxa"/>
            <w:shd w:val="clear" w:color="auto" w:fill="auto"/>
            <w:tcMar>
              <w:left w:w="57" w:type="dxa"/>
              <w:right w:w="57" w:type="dxa"/>
            </w:tcMar>
            <w:vAlign w:val="center"/>
          </w:tcPr>
          <w:p w14:paraId="749CDABE" w14:textId="77777777" w:rsidR="00F826F1" w:rsidRPr="00E273FC" w:rsidRDefault="00F826F1" w:rsidP="00DE1921">
            <w:pPr>
              <w:pStyle w:val="TableTextLeft"/>
              <w:rPr>
                <w:rFonts w:ascii="Arial" w:hAnsi="Arial" w:cs="Arial"/>
                <w:sz w:val="24"/>
                <w:szCs w:val="24"/>
                <w:highlight w:val="green"/>
              </w:rPr>
            </w:pPr>
            <w:r w:rsidRPr="00E273FC">
              <w:rPr>
                <w:rFonts w:ascii="Arial" w:hAnsi="Arial" w:cs="Arial"/>
                <w:sz w:val="24"/>
                <w:szCs w:val="24"/>
              </w:rPr>
              <w:t>Office tenancy m2</w:t>
            </w:r>
          </w:p>
        </w:tc>
        <w:tc>
          <w:tcPr>
            <w:tcW w:w="1134" w:type="dxa"/>
            <w:shd w:val="clear" w:color="auto" w:fill="auto"/>
            <w:vAlign w:val="center"/>
          </w:tcPr>
          <w:p w14:paraId="4080AD2D"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185,847</w:t>
            </w:r>
          </w:p>
        </w:tc>
        <w:tc>
          <w:tcPr>
            <w:tcW w:w="1134" w:type="dxa"/>
            <w:shd w:val="clear" w:color="auto" w:fill="auto"/>
            <w:vAlign w:val="center"/>
          </w:tcPr>
          <w:p w14:paraId="23805E7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21,244</w:t>
            </w:r>
          </w:p>
        </w:tc>
        <w:tc>
          <w:tcPr>
            <w:tcW w:w="1134" w:type="dxa"/>
            <w:shd w:val="clear" w:color="auto" w:fill="auto"/>
            <w:vAlign w:val="center"/>
          </w:tcPr>
          <w:p w14:paraId="0EB47072"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92,947</w:t>
            </w:r>
          </w:p>
        </w:tc>
        <w:tc>
          <w:tcPr>
            <w:tcW w:w="1134" w:type="dxa"/>
            <w:shd w:val="clear" w:color="auto" w:fill="auto"/>
            <w:vAlign w:val="center"/>
          </w:tcPr>
          <w:p w14:paraId="3B4A72E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55,162</w:t>
            </w:r>
          </w:p>
        </w:tc>
      </w:tr>
      <w:tr w:rsidR="00F826F1" w:rsidRPr="00E273FC" w14:paraId="21BAD427" w14:textId="77777777" w:rsidTr="0077667B">
        <w:trPr>
          <w:trHeight w:val="340"/>
        </w:trPr>
        <w:tc>
          <w:tcPr>
            <w:tcW w:w="4536" w:type="dxa"/>
            <w:shd w:val="clear" w:color="auto" w:fill="auto"/>
            <w:tcMar>
              <w:left w:w="57" w:type="dxa"/>
              <w:right w:w="57" w:type="dxa"/>
            </w:tcMar>
            <w:vAlign w:val="center"/>
          </w:tcPr>
          <w:p w14:paraId="0EA8B4A4"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Number of reported sites</w:t>
            </w:r>
          </w:p>
        </w:tc>
        <w:tc>
          <w:tcPr>
            <w:tcW w:w="1134" w:type="dxa"/>
            <w:shd w:val="clear" w:color="auto" w:fill="auto"/>
            <w:vAlign w:val="center"/>
          </w:tcPr>
          <w:p w14:paraId="7926A7D4"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62</w:t>
            </w:r>
          </w:p>
        </w:tc>
        <w:tc>
          <w:tcPr>
            <w:tcW w:w="1134" w:type="dxa"/>
            <w:shd w:val="clear" w:color="auto" w:fill="auto"/>
            <w:vAlign w:val="center"/>
          </w:tcPr>
          <w:p w14:paraId="5B016F51"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9</w:t>
            </w:r>
          </w:p>
        </w:tc>
        <w:tc>
          <w:tcPr>
            <w:tcW w:w="1134" w:type="dxa"/>
            <w:shd w:val="clear" w:color="auto" w:fill="auto"/>
            <w:vAlign w:val="center"/>
          </w:tcPr>
          <w:p w14:paraId="611867A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55</w:t>
            </w:r>
          </w:p>
        </w:tc>
        <w:tc>
          <w:tcPr>
            <w:tcW w:w="1134" w:type="dxa"/>
            <w:shd w:val="clear" w:color="auto" w:fill="auto"/>
            <w:vAlign w:val="center"/>
          </w:tcPr>
          <w:p w14:paraId="004CEA08"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51</w:t>
            </w:r>
          </w:p>
        </w:tc>
      </w:tr>
    </w:tbl>
    <w:p w14:paraId="1769AC32" w14:textId="77777777" w:rsidR="00F826F1" w:rsidRPr="00E273FC" w:rsidRDefault="00F826F1" w:rsidP="004273F9">
      <w:pPr>
        <w:pStyle w:val="Note"/>
        <w:spacing w:line="360" w:lineRule="auto"/>
        <w:rPr>
          <w:rFonts w:ascii="Arial" w:hAnsi="Arial" w:cs="Arial"/>
          <w:sz w:val="24"/>
          <w:szCs w:val="24"/>
        </w:rPr>
      </w:pPr>
      <w:r w:rsidRPr="00E273FC">
        <w:rPr>
          <w:rFonts w:ascii="Arial" w:hAnsi="Arial" w:cs="Arial"/>
          <w:sz w:val="24"/>
          <w:szCs w:val="24"/>
        </w:rPr>
        <w:t>Notes:</w:t>
      </w:r>
    </w:p>
    <w:p w14:paraId="4BFFBBBA" w14:textId="77777777" w:rsidR="00F826F1" w:rsidRPr="00E273FC" w:rsidRDefault="00F826F1" w:rsidP="00610F5F">
      <w:pPr>
        <w:pStyle w:val="Notenumber123"/>
        <w:numPr>
          <w:ilvl w:val="0"/>
          <w:numId w:val="60"/>
        </w:numPr>
        <w:spacing w:line="360" w:lineRule="auto"/>
        <w:ind w:left="340" w:hanging="227"/>
        <w:contextualSpacing/>
        <w:rPr>
          <w:rFonts w:ascii="Arial" w:hAnsi="Arial" w:cs="Arial"/>
          <w:sz w:val="24"/>
          <w:szCs w:val="24"/>
        </w:rPr>
      </w:pPr>
      <w:r w:rsidRPr="00E273FC">
        <w:rPr>
          <w:rFonts w:ascii="Arial" w:hAnsi="Arial" w:cs="Arial"/>
          <w:sz w:val="24"/>
          <w:szCs w:val="24"/>
        </w:rPr>
        <w:t>2019-20 FY shows increased energy usage compared to the DoT 2018-19 FY as VicRoads and PTV merged with the existing DoT on 1 July 2019, significantly increasing the department’s FTE and number of sites.</w:t>
      </w:r>
    </w:p>
    <w:p w14:paraId="2CD1A5F0" w14:textId="77777777" w:rsidR="00F826F1" w:rsidRPr="00E273FC" w:rsidRDefault="00F826F1" w:rsidP="00610F5F">
      <w:pPr>
        <w:pStyle w:val="Notenumber123"/>
        <w:numPr>
          <w:ilvl w:val="0"/>
          <w:numId w:val="25"/>
        </w:numPr>
        <w:spacing w:line="360" w:lineRule="auto"/>
        <w:ind w:left="340" w:hanging="227"/>
        <w:contextualSpacing/>
        <w:rPr>
          <w:rFonts w:ascii="Arial" w:hAnsi="Arial" w:cs="Arial"/>
          <w:sz w:val="24"/>
          <w:szCs w:val="24"/>
        </w:rPr>
      </w:pPr>
      <w:r w:rsidRPr="00E273FC">
        <w:rPr>
          <w:rFonts w:ascii="Arial" w:hAnsi="Arial" w:cs="Arial"/>
          <w:sz w:val="24"/>
          <w:szCs w:val="24"/>
        </w:rPr>
        <w:t>Due to the coronavirus (COVID-19), and the resulting working from home directive for the VPS, energy data for the 2019-20 FY will vary significantly from the data provided in the previous financial years.</w:t>
      </w:r>
    </w:p>
    <w:p w14:paraId="01D7BA17" w14:textId="77777777" w:rsidR="00F826F1" w:rsidRPr="00E273FC" w:rsidRDefault="00F826F1" w:rsidP="00610F5F">
      <w:pPr>
        <w:pStyle w:val="Notenumber123"/>
        <w:numPr>
          <w:ilvl w:val="0"/>
          <w:numId w:val="25"/>
        </w:numPr>
        <w:spacing w:line="360" w:lineRule="auto"/>
        <w:ind w:left="340" w:hanging="227"/>
        <w:contextualSpacing/>
        <w:rPr>
          <w:rFonts w:ascii="Arial" w:hAnsi="Arial" w:cs="Arial"/>
          <w:sz w:val="24"/>
          <w:szCs w:val="24"/>
        </w:rPr>
      </w:pPr>
      <w:r w:rsidRPr="00E273FC">
        <w:rPr>
          <w:rFonts w:ascii="Arial" w:hAnsi="Arial" w:cs="Arial"/>
          <w:sz w:val="24"/>
          <w:szCs w:val="24"/>
        </w:rPr>
        <w:t xml:space="preserve">The net lettable area for the 2018-19 and 2019-20 FY has been adjusted at 1 Spring Street and 121 Exhibition Street to reflect the separation of DoT and DJPR. </w:t>
      </w:r>
    </w:p>
    <w:p w14:paraId="4C0AA5EC" w14:textId="77777777" w:rsidR="00F826F1" w:rsidRPr="00E273FC" w:rsidRDefault="00F826F1" w:rsidP="00610F5F">
      <w:pPr>
        <w:pStyle w:val="Notenumber123"/>
        <w:numPr>
          <w:ilvl w:val="0"/>
          <w:numId w:val="25"/>
        </w:numPr>
        <w:spacing w:line="360" w:lineRule="auto"/>
        <w:ind w:left="340" w:hanging="227"/>
        <w:contextualSpacing/>
        <w:rPr>
          <w:rFonts w:ascii="Arial" w:hAnsi="Arial" w:cs="Arial"/>
          <w:sz w:val="24"/>
          <w:szCs w:val="24"/>
        </w:rPr>
      </w:pPr>
      <w:r w:rsidRPr="00E273FC">
        <w:rPr>
          <w:rFonts w:ascii="Arial" w:hAnsi="Arial" w:cs="Arial"/>
          <w:sz w:val="24"/>
          <w:szCs w:val="24"/>
        </w:rPr>
        <w:t>DoT does not receive base building energy data from all leased sites. This includes the consumption of green power and LPG which is not reported on by base building.</w:t>
      </w:r>
    </w:p>
    <w:p w14:paraId="4F8C36F6" w14:textId="77777777" w:rsidR="00F826F1" w:rsidRPr="00E273FC" w:rsidRDefault="00F826F1" w:rsidP="00610F5F">
      <w:pPr>
        <w:pStyle w:val="Notenumber123"/>
        <w:numPr>
          <w:ilvl w:val="0"/>
          <w:numId w:val="25"/>
        </w:numPr>
        <w:spacing w:line="360" w:lineRule="auto"/>
        <w:ind w:left="340" w:hanging="227"/>
        <w:contextualSpacing/>
        <w:rPr>
          <w:rFonts w:ascii="Arial" w:hAnsi="Arial" w:cs="Arial"/>
          <w:sz w:val="24"/>
          <w:szCs w:val="24"/>
        </w:rPr>
      </w:pPr>
      <w:r w:rsidRPr="00E273FC">
        <w:rPr>
          <w:rFonts w:ascii="Arial" w:hAnsi="Arial" w:cs="Arial"/>
          <w:sz w:val="24"/>
          <w:szCs w:val="24"/>
        </w:rPr>
        <w:lastRenderedPageBreak/>
        <w:t>Melbourne city sites do not use LPG. Some regional sites potentially use LPG, however no data is available.</w:t>
      </w:r>
    </w:p>
    <w:p w14:paraId="707301D5" w14:textId="377511E7" w:rsidR="00F826F1" w:rsidRPr="00680979" w:rsidRDefault="00F826F1" w:rsidP="00EF5131">
      <w:pPr>
        <w:pStyle w:val="Heading5"/>
      </w:pPr>
      <w:r w:rsidRPr="00680979">
        <w:t>Actions and Achievements</w:t>
      </w:r>
    </w:p>
    <w:p w14:paraId="071A48CF" w14:textId="77777777" w:rsidR="00F826F1" w:rsidRPr="00680979" w:rsidRDefault="00F826F1" w:rsidP="0073479A">
      <w:pPr>
        <w:pStyle w:val="aaabullet"/>
      </w:pPr>
      <w:r w:rsidRPr="00680979">
        <w:t>Continued awareness campaigns aimed at reducing energy consumption.</w:t>
      </w:r>
    </w:p>
    <w:p w14:paraId="1667ED91" w14:textId="77777777" w:rsidR="00F826F1" w:rsidRPr="00680979" w:rsidRDefault="00F826F1" w:rsidP="0073479A">
      <w:pPr>
        <w:pStyle w:val="aaabullet"/>
      </w:pPr>
      <w:r w:rsidRPr="00680979">
        <w:t>Participation in the annual Earth Hour event.</w:t>
      </w:r>
    </w:p>
    <w:p w14:paraId="2C118847" w14:textId="77777777" w:rsidR="00F826F1" w:rsidRPr="00680979" w:rsidRDefault="00F826F1" w:rsidP="0073479A">
      <w:pPr>
        <w:pStyle w:val="aaabullet"/>
      </w:pPr>
      <w:r w:rsidRPr="00680979">
        <w:t>The ongoing implementation of technology uplifts including Office 365.</w:t>
      </w:r>
    </w:p>
    <w:p w14:paraId="37A5D2E7" w14:textId="5170C4D4" w:rsidR="00F826F1" w:rsidRDefault="00F826F1" w:rsidP="0073479A">
      <w:pPr>
        <w:pStyle w:val="aaabullet"/>
      </w:pPr>
      <w:r w:rsidRPr="00680979">
        <w:t>LED upgrades have commenced inside some buildings.</w:t>
      </w:r>
    </w:p>
    <w:p w14:paraId="6F98A9DA" w14:textId="08234C96" w:rsidR="00F826F1" w:rsidRPr="00E55E33" w:rsidRDefault="00F826F1" w:rsidP="00EF5131">
      <w:pPr>
        <w:pStyle w:val="Heading5"/>
      </w:pPr>
      <w:r w:rsidRPr="00E55E33">
        <w:t>Future Objectives</w:t>
      </w:r>
    </w:p>
    <w:p w14:paraId="4EB90A67" w14:textId="77777777" w:rsidR="00F826F1" w:rsidRDefault="00F826F1" w:rsidP="0073479A">
      <w:pPr>
        <w:pStyle w:val="aaabullet"/>
      </w:pPr>
      <w:r>
        <w:t>Improve the data collection and reporting of energy information and estimations.</w:t>
      </w:r>
    </w:p>
    <w:p w14:paraId="2BD0F526" w14:textId="77777777" w:rsidR="00F826F1" w:rsidRDefault="00F826F1" w:rsidP="0073479A">
      <w:pPr>
        <w:pStyle w:val="aaabullet"/>
      </w:pPr>
      <w:r>
        <w:t>Plan and implement the energy audit actions where appropriate.</w:t>
      </w:r>
    </w:p>
    <w:p w14:paraId="0A598395" w14:textId="77777777" w:rsidR="00F826F1" w:rsidRDefault="00F826F1" w:rsidP="0073479A">
      <w:pPr>
        <w:pStyle w:val="aaabullet"/>
      </w:pPr>
      <w:r>
        <w:t>Continue seeking further ways to reduce energy consumption.</w:t>
      </w:r>
    </w:p>
    <w:p w14:paraId="27199743" w14:textId="77777777" w:rsidR="00F826F1" w:rsidRDefault="00F826F1" w:rsidP="00DE1921">
      <w:pPr>
        <w:sectPr w:rsidR="00F826F1" w:rsidSect="00AB7FDA">
          <w:type w:val="continuous"/>
          <w:pgSz w:w="11906" w:h="16838"/>
          <w:pgMar w:top="1701" w:right="1418" w:bottom="1418" w:left="1418" w:header="709" w:footer="709" w:gutter="0"/>
          <w:cols w:space="284"/>
          <w:docGrid w:linePitch="360"/>
        </w:sectPr>
      </w:pPr>
    </w:p>
    <w:p w14:paraId="0786978E" w14:textId="77777777" w:rsidR="00AB7FDA" w:rsidRDefault="00AB7FDA" w:rsidP="00CF74EB">
      <w:pPr>
        <w:pStyle w:val="TableHeader"/>
        <w:sectPr w:rsidR="00AB7FDA" w:rsidSect="00DE1921">
          <w:type w:val="nextColumn"/>
          <w:pgSz w:w="11906" w:h="16838"/>
          <w:pgMar w:top="1701" w:right="1418" w:bottom="1418" w:left="1418" w:header="709" w:footer="709" w:gutter="0"/>
          <w:cols w:space="284"/>
          <w:docGrid w:linePitch="360"/>
        </w:sectPr>
      </w:pPr>
    </w:p>
    <w:p w14:paraId="1BCCBEA8" w14:textId="096BCC3B" w:rsidR="00F826F1" w:rsidRPr="00E273FC" w:rsidRDefault="00F826F1" w:rsidP="00CF74EB">
      <w:pPr>
        <w:pStyle w:val="TableHeader"/>
      </w:pPr>
      <w:r w:rsidRPr="00E273FC">
        <w:t>Water</w:t>
      </w:r>
    </w:p>
    <w:tbl>
      <w:tblPr>
        <w:tblStyle w:val="TableGrid"/>
        <w:tblW w:w="9072" w:type="dxa"/>
        <w:tblCellMar>
          <w:left w:w="28" w:type="dxa"/>
          <w:right w:w="28" w:type="dxa"/>
        </w:tblCellMar>
        <w:tblLook w:val="04A0" w:firstRow="1" w:lastRow="0" w:firstColumn="1" w:lastColumn="0" w:noHBand="0" w:noVBand="1"/>
      </w:tblPr>
      <w:tblGrid>
        <w:gridCol w:w="4536"/>
        <w:gridCol w:w="1134"/>
        <w:gridCol w:w="1134"/>
        <w:gridCol w:w="1134"/>
        <w:gridCol w:w="1134"/>
      </w:tblGrid>
      <w:tr w:rsidR="00F826F1" w:rsidRPr="00E273FC" w14:paraId="6FFEEFA8" w14:textId="77777777" w:rsidTr="00974E93">
        <w:trPr>
          <w:trHeight w:val="340"/>
        </w:trPr>
        <w:tc>
          <w:tcPr>
            <w:tcW w:w="4536" w:type="dxa"/>
            <w:shd w:val="clear" w:color="auto" w:fill="auto"/>
            <w:tcMar>
              <w:left w:w="57" w:type="dxa"/>
              <w:right w:w="57" w:type="dxa"/>
            </w:tcMar>
          </w:tcPr>
          <w:p w14:paraId="18BAFA4A" w14:textId="77777777" w:rsidR="00F826F1" w:rsidRPr="00E273FC" w:rsidRDefault="00F826F1" w:rsidP="00DE1921">
            <w:pPr>
              <w:pStyle w:val="TableTextLeft"/>
              <w:rPr>
                <w:rFonts w:ascii="Arial" w:hAnsi="Arial" w:cs="Arial"/>
                <w:sz w:val="24"/>
                <w:szCs w:val="24"/>
              </w:rPr>
            </w:pPr>
          </w:p>
        </w:tc>
        <w:tc>
          <w:tcPr>
            <w:tcW w:w="1134" w:type="dxa"/>
            <w:shd w:val="clear" w:color="auto" w:fill="auto"/>
          </w:tcPr>
          <w:p w14:paraId="5820B8C1"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2019-20</w:t>
            </w:r>
          </w:p>
          <w:p w14:paraId="7A5CB613"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DoT</w:t>
            </w:r>
            <w:r w:rsidRPr="00E273FC">
              <w:rPr>
                <w:rFonts w:ascii="Arial" w:hAnsi="Arial" w:cs="Arial"/>
                <w:b/>
                <w:sz w:val="24"/>
                <w:szCs w:val="24"/>
                <w:vertAlign w:val="superscript"/>
              </w:rPr>
              <w:t>1, 2, 3, 4</w:t>
            </w:r>
          </w:p>
        </w:tc>
        <w:tc>
          <w:tcPr>
            <w:tcW w:w="1134" w:type="dxa"/>
            <w:shd w:val="clear" w:color="auto" w:fill="auto"/>
            <w:vAlign w:val="bottom"/>
          </w:tcPr>
          <w:p w14:paraId="51C201AB" w14:textId="77777777" w:rsidR="00F826F1" w:rsidRPr="00E273FC" w:rsidRDefault="00F826F1" w:rsidP="00DE1921">
            <w:pPr>
              <w:pStyle w:val="TableTextRightBold"/>
              <w:rPr>
                <w:rFonts w:ascii="Arial" w:hAnsi="Arial" w:cs="Arial"/>
                <w:b w:val="0"/>
                <w:sz w:val="24"/>
                <w:szCs w:val="24"/>
              </w:rPr>
            </w:pPr>
            <w:r w:rsidRPr="00E273FC">
              <w:rPr>
                <w:rFonts w:ascii="Arial" w:hAnsi="Arial" w:cs="Arial"/>
                <w:b w:val="0"/>
                <w:sz w:val="24"/>
                <w:szCs w:val="24"/>
              </w:rPr>
              <w:t>2018-19</w:t>
            </w:r>
          </w:p>
          <w:p w14:paraId="1AC6E640"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DoT</w:t>
            </w:r>
            <w:r w:rsidRPr="00E273FC">
              <w:rPr>
                <w:rFonts w:ascii="Arial" w:hAnsi="Arial" w:cs="Arial"/>
                <w:sz w:val="24"/>
                <w:szCs w:val="24"/>
                <w:vertAlign w:val="superscript"/>
              </w:rPr>
              <w:t>3</w:t>
            </w:r>
          </w:p>
        </w:tc>
        <w:tc>
          <w:tcPr>
            <w:tcW w:w="1134" w:type="dxa"/>
            <w:shd w:val="clear" w:color="auto" w:fill="auto"/>
            <w:vAlign w:val="bottom"/>
          </w:tcPr>
          <w:p w14:paraId="5B7BD2A8"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2018-19</w:t>
            </w:r>
          </w:p>
          <w:p w14:paraId="384D53B8"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DEDJTR</w:t>
            </w:r>
          </w:p>
        </w:tc>
        <w:tc>
          <w:tcPr>
            <w:tcW w:w="1134" w:type="dxa"/>
            <w:shd w:val="clear" w:color="auto" w:fill="auto"/>
          </w:tcPr>
          <w:p w14:paraId="099187C6"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2017-18</w:t>
            </w:r>
          </w:p>
          <w:p w14:paraId="2F1266CF"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DEDJTR</w:t>
            </w:r>
          </w:p>
        </w:tc>
      </w:tr>
      <w:tr w:rsidR="00F826F1" w:rsidRPr="00E273FC" w14:paraId="34FC4ADE" w14:textId="77777777" w:rsidTr="00974E93">
        <w:trPr>
          <w:trHeight w:val="340"/>
        </w:trPr>
        <w:tc>
          <w:tcPr>
            <w:tcW w:w="4536" w:type="dxa"/>
            <w:shd w:val="clear" w:color="auto" w:fill="auto"/>
            <w:tcMar>
              <w:left w:w="57" w:type="dxa"/>
              <w:right w:w="57" w:type="dxa"/>
            </w:tcMar>
            <w:vAlign w:val="center"/>
          </w:tcPr>
          <w:p w14:paraId="223D05C8" w14:textId="77777777" w:rsidR="00F826F1" w:rsidRPr="00E273FC" w:rsidRDefault="00F826F1" w:rsidP="00604703">
            <w:pPr>
              <w:pStyle w:val="TableTextGreen"/>
            </w:pPr>
            <w:r w:rsidRPr="00E273FC">
              <w:t>Indicator</w:t>
            </w:r>
          </w:p>
        </w:tc>
        <w:tc>
          <w:tcPr>
            <w:tcW w:w="1134" w:type="dxa"/>
            <w:shd w:val="clear" w:color="auto" w:fill="auto"/>
            <w:vAlign w:val="center"/>
          </w:tcPr>
          <w:p w14:paraId="1A1385FA" w14:textId="77777777" w:rsidR="00F826F1" w:rsidRPr="00E273FC" w:rsidRDefault="00F826F1" w:rsidP="00DE1921">
            <w:pPr>
              <w:pStyle w:val="TableTextRightBold"/>
              <w:rPr>
                <w:rFonts w:ascii="Arial" w:hAnsi="Arial" w:cs="Arial"/>
                <w:sz w:val="24"/>
                <w:szCs w:val="24"/>
              </w:rPr>
            </w:pPr>
          </w:p>
        </w:tc>
        <w:tc>
          <w:tcPr>
            <w:tcW w:w="1134" w:type="dxa"/>
            <w:shd w:val="clear" w:color="auto" w:fill="auto"/>
            <w:vAlign w:val="center"/>
          </w:tcPr>
          <w:p w14:paraId="7A0783C2"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0D56B5AC"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52843544" w14:textId="77777777" w:rsidR="00F826F1" w:rsidRPr="00E273FC" w:rsidRDefault="00F826F1" w:rsidP="00DE1921">
            <w:pPr>
              <w:pStyle w:val="TableTextRight"/>
              <w:rPr>
                <w:rFonts w:ascii="Arial" w:hAnsi="Arial" w:cs="Arial"/>
                <w:sz w:val="24"/>
                <w:szCs w:val="24"/>
              </w:rPr>
            </w:pPr>
          </w:p>
        </w:tc>
      </w:tr>
      <w:tr w:rsidR="00F826F1" w:rsidRPr="00E273FC" w14:paraId="0553976F" w14:textId="77777777" w:rsidTr="00974E93">
        <w:trPr>
          <w:trHeight w:val="340"/>
        </w:trPr>
        <w:tc>
          <w:tcPr>
            <w:tcW w:w="4536" w:type="dxa"/>
            <w:shd w:val="clear" w:color="auto" w:fill="auto"/>
            <w:tcMar>
              <w:left w:w="57" w:type="dxa"/>
              <w:right w:w="57" w:type="dxa"/>
            </w:tcMar>
            <w:vAlign w:val="center"/>
          </w:tcPr>
          <w:p w14:paraId="4DD10655"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Total water consumption (</w:t>
            </w:r>
            <w:proofErr w:type="spellStart"/>
            <w:r w:rsidRPr="00E273FC">
              <w:rPr>
                <w:rFonts w:ascii="Arial" w:hAnsi="Arial" w:cs="Arial"/>
                <w:sz w:val="24"/>
                <w:szCs w:val="24"/>
              </w:rPr>
              <w:t>kL</w:t>
            </w:r>
            <w:proofErr w:type="spellEnd"/>
            <w:r w:rsidRPr="00E273FC">
              <w:rPr>
                <w:rFonts w:ascii="Arial" w:hAnsi="Arial" w:cs="Arial"/>
                <w:sz w:val="24"/>
                <w:szCs w:val="24"/>
              </w:rPr>
              <w:t>)</w:t>
            </w:r>
          </w:p>
        </w:tc>
        <w:tc>
          <w:tcPr>
            <w:tcW w:w="1134" w:type="dxa"/>
            <w:shd w:val="clear" w:color="auto" w:fill="auto"/>
            <w:vAlign w:val="center"/>
          </w:tcPr>
          <w:p w14:paraId="66ECC2FE"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26,753</w:t>
            </w:r>
          </w:p>
        </w:tc>
        <w:tc>
          <w:tcPr>
            <w:tcW w:w="1134" w:type="dxa"/>
            <w:shd w:val="clear" w:color="auto" w:fill="auto"/>
            <w:vAlign w:val="center"/>
          </w:tcPr>
          <w:p w14:paraId="24017B7E"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7,308</w:t>
            </w:r>
          </w:p>
        </w:tc>
        <w:tc>
          <w:tcPr>
            <w:tcW w:w="1134" w:type="dxa"/>
            <w:shd w:val="clear" w:color="auto" w:fill="auto"/>
            <w:vAlign w:val="center"/>
          </w:tcPr>
          <w:p w14:paraId="67EB55DB"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59,704</w:t>
            </w:r>
          </w:p>
        </w:tc>
        <w:tc>
          <w:tcPr>
            <w:tcW w:w="1134" w:type="dxa"/>
            <w:shd w:val="clear" w:color="auto" w:fill="auto"/>
            <w:vAlign w:val="center"/>
          </w:tcPr>
          <w:p w14:paraId="4A499E88"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121,265</w:t>
            </w:r>
          </w:p>
        </w:tc>
      </w:tr>
      <w:tr w:rsidR="00F826F1" w:rsidRPr="00E273FC" w14:paraId="28BC0350" w14:textId="77777777" w:rsidTr="00974E93">
        <w:trPr>
          <w:trHeight w:val="340"/>
        </w:trPr>
        <w:tc>
          <w:tcPr>
            <w:tcW w:w="4536" w:type="dxa"/>
            <w:shd w:val="clear" w:color="auto" w:fill="auto"/>
            <w:tcMar>
              <w:left w:w="57" w:type="dxa"/>
              <w:right w:w="57" w:type="dxa"/>
            </w:tcMar>
            <w:vAlign w:val="center"/>
          </w:tcPr>
          <w:p w14:paraId="72E5307F"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Office water consumption (</w:t>
            </w:r>
            <w:proofErr w:type="spellStart"/>
            <w:r w:rsidRPr="00E273FC">
              <w:rPr>
                <w:rFonts w:ascii="Arial" w:hAnsi="Arial" w:cs="Arial"/>
                <w:sz w:val="24"/>
                <w:szCs w:val="24"/>
              </w:rPr>
              <w:t>kL</w:t>
            </w:r>
            <w:proofErr w:type="spellEnd"/>
            <w:r w:rsidRPr="00E273FC">
              <w:rPr>
                <w:rFonts w:ascii="Arial" w:hAnsi="Arial" w:cs="Arial"/>
                <w:sz w:val="24"/>
                <w:szCs w:val="24"/>
              </w:rPr>
              <w:t>)</w:t>
            </w:r>
          </w:p>
        </w:tc>
        <w:tc>
          <w:tcPr>
            <w:tcW w:w="1134" w:type="dxa"/>
            <w:shd w:val="clear" w:color="auto" w:fill="auto"/>
            <w:vAlign w:val="center"/>
          </w:tcPr>
          <w:p w14:paraId="5D827AA9"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26,753</w:t>
            </w:r>
          </w:p>
        </w:tc>
        <w:tc>
          <w:tcPr>
            <w:tcW w:w="1134" w:type="dxa"/>
            <w:shd w:val="clear" w:color="auto" w:fill="auto"/>
            <w:vAlign w:val="center"/>
          </w:tcPr>
          <w:p w14:paraId="71A88F6A"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7,308</w:t>
            </w:r>
          </w:p>
        </w:tc>
        <w:tc>
          <w:tcPr>
            <w:tcW w:w="1134" w:type="dxa"/>
            <w:shd w:val="clear" w:color="auto" w:fill="auto"/>
            <w:vAlign w:val="center"/>
          </w:tcPr>
          <w:p w14:paraId="6A92D688"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11,030</w:t>
            </w:r>
          </w:p>
        </w:tc>
        <w:tc>
          <w:tcPr>
            <w:tcW w:w="1134" w:type="dxa"/>
            <w:shd w:val="clear" w:color="auto" w:fill="auto"/>
            <w:vAlign w:val="center"/>
          </w:tcPr>
          <w:p w14:paraId="1E3D178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30,639</w:t>
            </w:r>
          </w:p>
        </w:tc>
      </w:tr>
      <w:tr w:rsidR="00F826F1" w:rsidRPr="00E273FC" w14:paraId="511DB540" w14:textId="77777777" w:rsidTr="00974E93">
        <w:trPr>
          <w:trHeight w:val="340"/>
        </w:trPr>
        <w:tc>
          <w:tcPr>
            <w:tcW w:w="4536" w:type="dxa"/>
            <w:shd w:val="clear" w:color="auto" w:fill="auto"/>
            <w:tcMar>
              <w:left w:w="57" w:type="dxa"/>
              <w:right w:w="57" w:type="dxa"/>
            </w:tcMar>
            <w:vAlign w:val="center"/>
          </w:tcPr>
          <w:p w14:paraId="4FD7DE2A"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Units of metered water consumed in offices per FTE (</w:t>
            </w:r>
            <w:proofErr w:type="spellStart"/>
            <w:r w:rsidRPr="00E273FC">
              <w:rPr>
                <w:rFonts w:ascii="Arial" w:hAnsi="Arial" w:cs="Arial"/>
                <w:sz w:val="24"/>
                <w:szCs w:val="24"/>
              </w:rPr>
              <w:t>kL</w:t>
            </w:r>
            <w:proofErr w:type="spellEnd"/>
            <w:r w:rsidRPr="00E273FC">
              <w:rPr>
                <w:rFonts w:ascii="Arial" w:hAnsi="Arial" w:cs="Arial"/>
                <w:sz w:val="24"/>
                <w:szCs w:val="24"/>
              </w:rPr>
              <w:t>/FTE)</w:t>
            </w:r>
            <w:r w:rsidRPr="00E273FC">
              <w:rPr>
                <w:rFonts w:ascii="Arial" w:hAnsi="Arial" w:cs="Arial"/>
                <w:sz w:val="24"/>
                <w:szCs w:val="24"/>
                <w:vertAlign w:val="superscript"/>
              </w:rPr>
              <w:t>5</w:t>
            </w:r>
          </w:p>
        </w:tc>
        <w:tc>
          <w:tcPr>
            <w:tcW w:w="1134" w:type="dxa"/>
            <w:shd w:val="clear" w:color="auto" w:fill="auto"/>
          </w:tcPr>
          <w:p w14:paraId="2772E3C0"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4.5</w:t>
            </w:r>
          </w:p>
        </w:tc>
        <w:tc>
          <w:tcPr>
            <w:tcW w:w="1134" w:type="dxa"/>
            <w:shd w:val="clear" w:color="auto" w:fill="auto"/>
          </w:tcPr>
          <w:p w14:paraId="7D98053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11</w:t>
            </w:r>
          </w:p>
        </w:tc>
        <w:tc>
          <w:tcPr>
            <w:tcW w:w="1134" w:type="dxa"/>
            <w:shd w:val="clear" w:color="auto" w:fill="auto"/>
          </w:tcPr>
          <w:p w14:paraId="4C0C8E88"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4</w:t>
            </w:r>
          </w:p>
        </w:tc>
        <w:tc>
          <w:tcPr>
            <w:tcW w:w="1134" w:type="dxa"/>
            <w:shd w:val="clear" w:color="auto" w:fill="auto"/>
          </w:tcPr>
          <w:p w14:paraId="18C4CDF3"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10</w:t>
            </w:r>
          </w:p>
        </w:tc>
      </w:tr>
      <w:tr w:rsidR="00F826F1" w:rsidRPr="00E273FC" w14:paraId="5CBC79D9" w14:textId="77777777" w:rsidTr="00974E93">
        <w:trPr>
          <w:trHeight w:val="340"/>
        </w:trPr>
        <w:tc>
          <w:tcPr>
            <w:tcW w:w="4536" w:type="dxa"/>
            <w:shd w:val="clear" w:color="auto" w:fill="auto"/>
            <w:tcMar>
              <w:left w:w="57" w:type="dxa"/>
              <w:right w:w="57" w:type="dxa"/>
            </w:tcMar>
          </w:tcPr>
          <w:p w14:paraId="7BBF2725"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Units of metered water consumed in offices per unit of office area (</w:t>
            </w:r>
            <w:proofErr w:type="spellStart"/>
            <w:r w:rsidRPr="00E273FC">
              <w:rPr>
                <w:rFonts w:ascii="Arial" w:hAnsi="Arial" w:cs="Arial"/>
                <w:sz w:val="24"/>
                <w:szCs w:val="24"/>
              </w:rPr>
              <w:t>kL</w:t>
            </w:r>
            <w:proofErr w:type="spellEnd"/>
            <w:r w:rsidRPr="00E273FC">
              <w:rPr>
                <w:rFonts w:ascii="Arial" w:hAnsi="Arial" w:cs="Arial"/>
                <w:sz w:val="24"/>
                <w:szCs w:val="24"/>
              </w:rPr>
              <w:t>/m2)</w:t>
            </w:r>
          </w:p>
        </w:tc>
        <w:tc>
          <w:tcPr>
            <w:tcW w:w="1134" w:type="dxa"/>
            <w:shd w:val="clear" w:color="auto" w:fill="auto"/>
          </w:tcPr>
          <w:p w14:paraId="6F4DC0E8"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0.25</w:t>
            </w:r>
          </w:p>
        </w:tc>
        <w:tc>
          <w:tcPr>
            <w:tcW w:w="1134" w:type="dxa"/>
            <w:shd w:val="clear" w:color="auto" w:fill="auto"/>
          </w:tcPr>
          <w:p w14:paraId="14EE77E6"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0.14</w:t>
            </w:r>
          </w:p>
        </w:tc>
        <w:tc>
          <w:tcPr>
            <w:tcW w:w="1134" w:type="dxa"/>
            <w:shd w:val="clear" w:color="auto" w:fill="auto"/>
          </w:tcPr>
          <w:p w14:paraId="1B7A7086"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0.12</w:t>
            </w:r>
          </w:p>
        </w:tc>
        <w:tc>
          <w:tcPr>
            <w:tcW w:w="1134" w:type="dxa"/>
            <w:shd w:val="clear" w:color="auto" w:fill="auto"/>
          </w:tcPr>
          <w:p w14:paraId="433B8079"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0.6</w:t>
            </w:r>
          </w:p>
        </w:tc>
      </w:tr>
      <w:tr w:rsidR="00F826F1" w:rsidRPr="00E273FC" w14:paraId="1C3E2F16" w14:textId="77777777" w:rsidTr="00974E93">
        <w:trPr>
          <w:trHeight w:val="340"/>
        </w:trPr>
        <w:tc>
          <w:tcPr>
            <w:tcW w:w="4536" w:type="dxa"/>
            <w:shd w:val="clear" w:color="auto" w:fill="auto"/>
            <w:tcMar>
              <w:left w:w="57" w:type="dxa"/>
              <w:right w:w="57" w:type="dxa"/>
            </w:tcMar>
          </w:tcPr>
          <w:p w14:paraId="459B5625" w14:textId="77777777" w:rsidR="00F826F1" w:rsidRPr="00E273FC" w:rsidRDefault="00F826F1" w:rsidP="00DE1921">
            <w:pPr>
              <w:pStyle w:val="TableTextLeftBold"/>
              <w:rPr>
                <w:rFonts w:ascii="Arial" w:hAnsi="Arial" w:cs="Arial"/>
                <w:sz w:val="24"/>
                <w:szCs w:val="24"/>
              </w:rPr>
            </w:pPr>
          </w:p>
        </w:tc>
        <w:tc>
          <w:tcPr>
            <w:tcW w:w="1134" w:type="dxa"/>
            <w:shd w:val="clear" w:color="auto" w:fill="auto"/>
            <w:vAlign w:val="center"/>
          </w:tcPr>
          <w:p w14:paraId="73449AE3" w14:textId="77777777" w:rsidR="00F826F1" w:rsidRPr="00E273FC" w:rsidRDefault="00F826F1" w:rsidP="00DE1921">
            <w:pPr>
              <w:pStyle w:val="TableTextRightBold"/>
              <w:rPr>
                <w:rFonts w:ascii="Arial" w:hAnsi="Arial" w:cs="Arial"/>
                <w:sz w:val="24"/>
                <w:szCs w:val="24"/>
              </w:rPr>
            </w:pPr>
          </w:p>
        </w:tc>
        <w:tc>
          <w:tcPr>
            <w:tcW w:w="1134" w:type="dxa"/>
            <w:shd w:val="clear" w:color="auto" w:fill="auto"/>
            <w:vAlign w:val="center"/>
          </w:tcPr>
          <w:p w14:paraId="29F6E150"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7F2E94CC"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390F550A" w14:textId="77777777" w:rsidR="00F826F1" w:rsidRPr="00E273FC" w:rsidRDefault="00F826F1" w:rsidP="00DE1921">
            <w:pPr>
              <w:pStyle w:val="TableTextRight"/>
              <w:rPr>
                <w:rFonts w:ascii="Arial" w:hAnsi="Arial" w:cs="Arial"/>
                <w:sz w:val="24"/>
                <w:szCs w:val="24"/>
              </w:rPr>
            </w:pPr>
          </w:p>
        </w:tc>
      </w:tr>
      <w:tr w:rsidR="00F826F1" w:rsidRPr="00E273FC" w14:paraId="35F3F696" w14:textId="77777777" w:rsidTr="00974E93">
        <w:trPr>
          <w:trHeight w:val="340"/>
        </w:trPr>
        <w:tc>
          <w:tcPr>
            <w:tcW w:w="4536" w:type="dxa"/>
            <w:shd w:val="clear" w:color="auto" w:fill="auto"/>
            <w:tcMar>
              <w:left w:w="57" w:type="dxa"/>
              <w:right w:w="57" w:type="dxa"/>
            </w:tcMar>
            <w:vAlign w:val="center"/>
          </w:tcPr>
          <w:p w14:paraId="18A1194A"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Number of FTEs</w:t>
            </w:r>
          </w:p>
        </w:tc>
        <w:tc>
          <w:tcPr>
            <w:tcW w:w="1134" w:type="dxa"/>
            <w:shd w:val="clear" w:color="auto" w:fill="auto"/>
            <w:vAlign w:val="center"/>
          </w:tcPr>
          <w:p w14:paraId="7753EB7E"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5,912.7</w:t>
            </w:r>
          </w:p>
        </w:tc>
        <w:tc>
          <w:tcPr>
            <w:tcW w:w="1134" w:type="dxa"/>
            <w:shd w:val="clear" w:color="auto" w:fill="auto"/>
            <w:vAlign w:val="center"/>
          </w:tcPr>
          <w:p w14:paraId="697E492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662</w:t>
            </w:r>
          </w:p>
        </w:tc>
        <w:tc>
          <w:tcPr>
            <w:tcW w:w="1134" w:type="dxa"/>
            <w:shd w:val="clear" w:color="auto" w:fill="auto"/>
            <w:vAlign w:val="center"/>
          </w:tcPr>
          <w:p w14:paraId="2CC8DA66"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3,096</w:t>
            </w:r>
          </w:p>
        </w:tc>
        <w:tc>
          <w:tcPr>
            <w:tcW w:w="1134" w:type="dxa"/>
            <w:shd w:val="clear" w:color="auto" w:fill="auto"/>
            <w:vAlign w:val="center"/>
          </w:tcPr>
          <w:p w14:paraId="306F393F"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3,003</w:t>
            </w:r>
          </w:p>
        </w:tc>
      </w:tr>
      <w:tr w:rsidR="00F826F1" w:rsidRPr="00E273FC" w14:paraId="1F7E9E96" w14:textId="77777777" w:rsidTr="00974E93">
        <w:trPr>
          <w:trHeight w:val="340"/>
        </w:trPr>
        <w:tc>
          <w:tcPr>
            <w:tcW w:w="4536" w:type="dxa"/>
            <w:shd w:val="clear" w:color="auto" w:fill="auto"/>
            <w:tcMar>
              <w:left w:w="57" w:type="dxa"/>
              <w:right w:w="57" w:type="dxa"/>
            </w:tcMar>
            <w:vAlign w:val="center"/>
          </w:tcPr>
          <w:p w14:paraId="6B47A405"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Office tenancy m2</w:t>
            </w:r>
          </w:p>
        </w:tc>
        <w:tc>
          <w:tcPr>
            <w:tcW w:w="1134" w:type="dxa"/>
            <w:shd w:val="clear" w:color="auto" w:fill="auto"/>
            <w:vAlign w:val="center"/>
          </w:tcPr>
          <w:p w14:paraId="366C3141"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185,847</w:t>
            </w:r>
          </w:p>
        </w:tc>
        <w:tc>
          <w:tcPr>
            <w:tcW w:w="1134" w:type="dxa"/>
            <w:shd w:val="clear" w:color="auto" w:fill="auto"/>
            <w:vAlign w:val="center"/>
          </w:tcPr>
          <w:p w14:paraId="6FAA5191"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21,244</w:t>
            </w:r>
          </w:p>
        </w:tc>
        <w:tc>
          <w:tcPr>
            <w:tcW w:w="1134" w:type="dxa"/>
            <w:shd w:val="clear" w:color="auto" w:fill="auto"/>
            <w:vAlign w:val="center"/>
          </w:tcPr>
          <w:p w14:paraId="74082866"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92,947</w:t>
            </w:r>
          </w:p>
        </w:tc>
        <w:tc>
          <w:tcPr>
            <w:tcW w:w="1134" w:type="dxa"/>
            <w:shd w:val="clear" w:color="auto" w:fill="auto"/>
            <w:vAlign w:val="center"/>
          </w:tcPr>
          <w:p w14:paraId="7802D3A7"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50,732</w:t>
            </w:r>
          </w:p>
        </w:tc>
      </w:tr>
      <w:tr w:rsidR="00F826F1" w:rsidRPr="00E273FC" w14:paraId="692F566B" w14:textId="77777777" w:rsidTr="00974E93">
        <w:trPr>
          <w:trHeight w:val="340"/>
        </w:trPr>
        <w:tc>
          <w:tcPr>
            <w:tcW w:w="4536" w:type="dxa"/>
            <w:shd w:val="clear" w:color="auto" w:fill="auto"/>
            <w:tcMar>
              <w:left w:w="57" w:type="dxa"/>
              <w:right w:w="57" w:type="dxa"/>
            </w:tcMar>
            <w:vAlign w:val="center"/>
          </w:tcPr>
          <w:p w14:paraId="5796B024"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Number of reported sites</w:t>
            </w:r>
          </w:p>
        </w:tc>
        <w:tc>
          <w:tcPr>
            <w:tcW w:w="1134" w:type="dxa"/>
            <w:shd w:val="clear" w:color="auto" w:fill="auto"/>
            <w:vAlign w:val="center"/>
          </w:tcPr>
          <w:p w14:paraId="4AF03224"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62</w:t>
            </w:r>
          </w:p>
        </w:tc>
        <w:tc>
          <w:tcPr>
            <w:tcW w:w="1134" w:type="dxa"/>
            <w:shd w:val="clear" w:color="auto" w:fill="auto"/>
            <w:vAlign w:val="center"/>
          </w:tcPr>
          <w:p w14:paraId="7BC0597B"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9</w:t>
            </w:r>
          </w:p>
        </w:tc>
        <w:tc>
          <w:tcPr>
            <w:tcW w:w="1134" w:type="dxa"/>
            <w:shd w:val="clear" w:color="auto" w:fill="auto"/>
            <w:vAlign w:val="center"/>
          </w:tcPr>
          <w:p w14:paraId="1D35ABB0"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55</w:t>
            </w:r>
          </w:p>
        </w:tc>
        <w:tc>
          <w:tcPr>
            <w:tcW w:w="1134" w:type="dxa"/>
            <w:shd w:val="clear" w:color="auto" w:fill="auto"/>
            <w:vAlign w:val="center"/>
          </w:tcPr>
          <w:p w14:paraId="2F0836E9"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28</w:t>
            </w:r>
          </w:p>
        </w:tc>
      </w:tr>
    </w:tbl>
    <w:p w14:paraId="5813358A" w14:textId="77777777" w:rsidR="00F826F1" w:rsidRPr="00E273FC" w:rsidRDefault="00F826F1" w:rsidP="004273F9">
      <w:pPr>
        <w:pStyle w:val="Note"/>
        <w:spacing w:line="360" w:lineRule="auto"/>
        <w:rPr>
          <w:rFonts w:ascii="Arial" w:hAnsi="Arial" w:cs="Arial"/>
          <w:sz w:val="24"/>
          <w:szCs w:val="24"/>
        </w:rPr>
      </w:pPr>
      <w:r w:rsidRPr="00E273FC">
        <w:rPr>
          <w:rFonts w:ascii="Arial" w:hAnsi="Arial" w:cs="Arial"/>
          <w:sz w:val="24"/>
          <w:szCs w:val="24"/>
        </w:rPr>
        <w:t>Notes:</w:t>
      </w:r>
    </w:p>
    <w:p w14:paraId="73F9D3D5" w14:textId="77777777" w:rsidR="00F826F1" w:rsidRPr="00E273FC" w:rsidRDefault="00F826F1" w:rsidP="00610F5F">
      <w:pPr>
        <w:pStyle w:val="Notenumber123"/>
        <w:numPr>
          <w:ilvl w:val="0"/>
          <w:numId w:val="61"/>
        </w:numPr>
        <w:spacing w:line="360" w:lineRule="auto"/>
        <w:ind w:left="340" w:hanging="227"/>
        <w:contextualSpacing/>
        <w:rPr>
          <w:rFonts w:ascii="Arial" w:hAnsi="Arial" w:cs="Arial"/>
          <w:sz w:val="24"/>
          <w:szCs w:val="24"/>
        </w:rPr>
      </w:pPr>
      <w:r w:rsidRPr="00E273FC">
        <w:rPr>
          <w:rFonts w:ascii="Arial" w:hAnsi="Arial" w:cs="Arial"/>
          <w:sz w:val="24"/>
          <w:szCs w:val="24"/>
        </w:rPr>
        <w:t>2019-20 FY shows increased water usage compared to the DoT 2018-19 FY as VicRoads and PTV merged with the existing DoT on 1 July 2019, significantly increasing the department’s FTE and number of sites.</w:t>
      </w:r>
    </w:p>
    <w:p w14:paraId="52409760" w14:textId="77777777" w:rsidR="00F826F1" w:rsidRPr="00E273FC" w:rsidRDefault="00F826F1" w:rsidP="00610F5F">
      <w:pPr>
        <w:pStyle w:val="Notenumber123"/>
        <w:numPr>
          <w:ilvl w:val="0"/>
          <w:numId w:val="25"/>
        </w:numPr>
        <w:spacing w:line="360" w:lineRule="auto"/>
        <w:ind w:left="340" w:hanging="227"/>
        <w:contextualSpacing/>
        <w:rPr>
          <w:rFonts w:ascii="Arial" w:hAnsi="Arial" w:cs="Arial"/>
          <w:sz w:val="24"/>
          <w:szCs w:val="24"/>
        </w:rPr>
      </w:pPr>
      <w:r w:rsidRPr="00E273FC">
        <w:rPr>
          <w:rFonts w:ascii="Arial" w:hAnsi="Arial" w:cs="Arial"/>
          <w:sz w:val="24"/>
          <w:szCs w:val="24"/>
        </w:rPr>
        <w:t>Due to the coronavirus (COVID-19), and the resulting working from home directive for the VPS, water data for the 2019-20 FY will vary significantly from the data provided in the previous financial years.</w:t>
      </w:r>
    </w:p>
    <w:p w14:paraId="12FC279A" w14:textId="77777777" w:rsidR="00F826F1" w:rsidRPr="00E273FC" w:rsidRDefault="00F826F1" w:rsidP="00610F5F">
      <w:pPr>
        <w:pStyle w:val="Notenumber123"/>
        <w:numPr>
          <w:ilvl w:val="0"/>
          <w:numId w:val="25"/>
        </w:numPr>
        <w:spacing w:line="360" w:lineRule="auto"/>
        <w:ind w:left="340" w:hanging="227"/>
        <w:contextualSpacing/>
        <w:rPr>
          <w:rFonts w:ascii="Arial" w:hAnsi="Arial" w:cs="Arial"/>
          <w:sz w:val="24"/>
          <w:szCs w:val="24"/>
        </w:rPr>
      </w:pPr>
      <w:r w:rsidRPr="00E273FC">
        <w:rPr>
          <w:rFonts w:ascii="Arial" w:hAnsi="Arial" w:cs="Arial"/>
          <w:sz w:val="24"/>
          <w:szCs w:val="24"/>
        </w:rPr>
        <w:t>The net lettable area for the 2018-19 and 2019-20 FY has been adjusted at 1 Spring Street and 121 Exhibition Street to reflect the separation of DoT and DJPR.</w:t>
      </w:r>
    </w:p>
    <w:p w14:paraId="6E87FDBC" w14:textId="77777777" w:rsidR="00F826F1" w:rsidRPr="00E273FC" w:rsidRDefault="00F826F1" w:rsidP="00610F5F">
      <w:pPr>
        <w:pStyle w:val="Notenumber123"/>
        <w:numPr>
          <w:ilvl w:val="0"/>
          <w:numId w:val="25"/>
        </w:numPr>
        <w:spacing w:line="360" w:lineRule="auto"/>
        <w:ind w:left="340" w:hanging="227"/>
        <w:contextualSpacing/>
        <w:rPr>
          <w:rFonts w:ascii="Arial" w:hAnsi="Arial" w:cs="Arial"/>
          <w:sz w:val="24"/>
          <w:szCs w:val="24"/>
        </w:rPr>
      </w:pPr>
      <w:r w:rsidRPr="00E273FC">
        <w:rPr>
          <w:rFonts w:ascii="Arial" w:hAnsi="Arial" w:cs="Arial"/>
          <w:sz w:val="24"/>
          <w:szCs w:val="24"/>
        </w:rPr>
        <w:t>DoT does not receive base building water data from all leased sites, or data from sites where water was paid for.</w:t>
      </w:r>
    </w:p>
    <w:p w14:paraId="05438647" w14:textId="77777777" w:rsidR="00F826F1" w:rsidRPr="00E55E33" w:rsidRDefault="00F826F1" w:rsidP="00EF5131">
      <w:pPr>
        <w:pStyle w:val="Heading5"/>
      </w:pPr>
      <w:r w:rsidRPr="00E55E33">
        <w:t>Actions and Achievements</w:t>
      </w:r>
    </w:p>
    <w:p w14:paraId="0A82FF5B" w14:textId="77777777" w:rsidR="00F826F1" w:rsidRPr="00374B4D" w:rsidRDefault="00F826F1" w:rsidP="0073479A">
      <w:pPr>
        <w:pStyle w:val="aaabullet"/>
      </w:pPr>
      <w:r w:rsidRPr="00374B4D">
        <w:t>Continued awareness campaigns aimed at reducing office water consumption.</w:t>
      </w:r>
    </w:p>
    <w:p w14:paraId="5E8AFAF2" w14:textId="77777777" w:rsidR="00F826F1" w:rsidRPr="00374B4D" w:rsidRDefault="00F826F1" w:rsidP="0073479A">
      <w:pPr>
        <w:pStyle w:val="aaabullet"/>
      </w:pPr>
      <w:r w:rsidRPr="00374B4D">
        <w:t>Refurbished office environments aim to reduce water consumption including waterless urinals.</w:t>
      </w:r>
    </w:p>
    <w:p w14:paraId="14CA1001" w14:textId="1B96306E" w:rsidR="00F826F1" w:rsidRPr="00E55E33" w:rsidRDefault="00F826F1" w:rsidP="00EF5131">
      <w:pPr>
        <w:pStyle w:val="Heading5"/>
      </w:pPr>
      <w:r w:rsidRPr="00E55E33">
        <w:t>Future Objectives</w:t>
      </w:r>
    </w:p>
    <w:p w14:paraId="4802E916" w14:textId="1B483AAA" w:rsidR="00F826F1" w:rsidRDefault="00F826F1" w:rsidP="00DE1921">
      <w:pPr>
        <w:pStyle w:val="aaabullet"/>
      </w:pPr>
      <w:r>
        <w:t>To continue seeking further ways to reduce water consumption.</w:t>
      </w:r>
    </w:p>
    <w:p w14:paraId="32B4D4DF" w14:textId="77777777" w:rsidR="00F826F1" w:rsidRDefault="00F826F1" w:rsidP="00DE1921">
      <w:pPr>
        <w:sectPr w:rsidR="00F826F1" w:rsidSect="00AB7FDA">
          <w:type w:val="continuous"/>
          <w:pgSz w:w="11906" w:h="16838"/>
          <w:pgMar w:top="1701" w:right="1418" w:bottom="1418" w:left="1418" w:header="709" w:footer="709" w:gutter="0"/>
          <w:cols w:space="284"/>
          <w:docGrid w:linePitch="360"/>
        </w:sectPr>
      </w:pPr>
    </w:p>
    <w:p w14:paraId="5914E2C3" w14:textId="77777777" w:rsidR="00AB7FDA" w:rsidRDefault="00AB7FDA" w:rsidP="00CF74EB">
      <w:pPr>
        <w:pStyle w:val="TableHeader"/>
        <w:sectPr w:rsidR="00AB7FDA" w:rsidSect="00DE1921">
          <w:pgSz w:w="11906" w:h="16838"/>
          <w:pgMar w:top="1701" w:right="1418" w:bottom="1418" w:left="1418" w:header="709" w:footer="709" w:gutter="0"/>
          <w:cols w:space="284"/>
          <w:docGrid w:linePitch="360"/>
        </w:sectPr>
      </w:pPr>
    </w:p>
    <w:p w14:paraId="5E574DB8" w14:textId="4D3DDB5A" w:rsidR="00F826F1" w:rsidRPr="00E273FC" w:rsidRDefault="00F826F1" w:rsidP="00CF74EB">
      <w:pPr>
        <w:pStyle w:val="TableHeader"/>
      </w:pPr>
      <w:r w:rsidRPr="00E273FC">
        <w:t>Paper</w:t>
      </w:r>
    </w:p>
    <w:tbl>
      <w:tblPr>
        <w:tblStyle w:val="TableGrid"/>
        <w:tblW w:w="9072" w:type="dxa"/>
        <w:tblCellMar>
          <w:left w:w="28" w:type="dxa"/>
          <w:right w:w="28" w:type="dxa"/>
        </w:tblCellMar>
        <w:tblLook w:val="04A0" w:firstRow="1" w:lastRow="0" w:firstColumn="1" w:lastColumn="0" w:noHBand="0" w:noVBand="1"/>
      </w:tblPr>
      <w:tblGrid>
        <w:gridCol w:w="4536"/>
        <w:gridCol w:w="1134"/>
        <w:gridCol w:w="1134"/>
        <w:gridCol w:w="1134"/>
        <w:gridCol w:w="1134"/>
      </w:tblGrid>
      <w:tr w:rsidR="00F826F1" w:rsidRPr="00E273FC" w14:paraId="3E2C8E15" w14:textId="77777777" w:rsidTr="00A1658E">
        <w:trPr>
          <w:trHeight w:val="340"/>
        </w:trPr>
        <w:tc>
          <w:tcPr>
            <w:tcW w:w="4536" w:type="dxa"/>
            <w:shd w:val="clear" w:color="auto" w:fill="auto"/>
            <w:tcMar>
              <w:left w:w="57" w:type="dxa"/>
              <w:right w:w="57" w:type="dxa"/>
            </w:tcMar>
          </w:tcPr>
          <w:p w14:paraId="564D7C76" w14:textId="77777777" w:rsidR="00F826F1" w:rsidRPr="00E273FC" w:rsidRDefault="00F826F1" w:rsidP="00DE1921">
            <w:pPr>
              <w:pStyle w:val="TableTextLeft"/>
              <w:rPr>
                <w:rFonts w:ascii="Arial" w:hAnsi="Arial" w:cs="Arial"/>
                <w:sz w:val="24"/>
                <w:szCs w:val="24"/>
              </w:rPr>
            </w:pPr>
          </w:p>
        </w:tc>
        <w:tc>
          <w:tcPr>
            <w:tcW w:w="1134" w:type="dxa"/>
            <w:shd w:val="clear" w:color="auto" w:fill="auto"/>
          </w:tcPr>
          <w:p w14:paraId="75AC94EE"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2019-20</w:t>
            </w:r>
          </w:p>
          <w:p w14:paraId="78DA5509"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DoT</w:t>
            </w:r>
            <w:r w:rsidRPr="00E273FC">
              <w:rPr>
                <w:rFonts w:ascii="Arial" w:hAnsi="Arial" w:cs="Arial"/>
                <w:b/>
                <w:sz w:val="24"/>
                <w:szCs w:val="24"/>
                <w:vertAlign w:val="superscript"/>
              </w:rPr>
              <w:t>1, 2</w:t>
            </w:r>
          </w:p>
        </w:tc>
        <w:tc>
          <w:tcPr>
            <w:tcW w:w="1134" w:type="dxa"/>
            <w:shd w:val="clear" w:color="auto" w:fill="auto"/>
          </w:tcPr>
          <w:p w14:paraId="6AFD2DBB" w14:textId="77777777" w:rsidR="00F826F1" w:rsidRPr="00E273FC" w:rsidRDefault="00F826F1" w:rsidP="00DE1921">
            <w:pPr>
              <w:pStyle w:val="TableTextRightBold"/>
              <w:rPr>
                <w:rFonts w:ascii="Arial" w:hAnsi="Arial" w:cs="Arial"/>
                <w:b w:val="0"/>
                <w:sz w:val="24"/>
                <w:szCs w:val="24"/>
              </w:rPr>
            </w:pPr>
            <w:r w:rsidRPr="00E273FC">
              <w:rPr>
                <w:rFonts w:ascii="Arial" w:hAnsi="Arial" w:cs="Arial"/>
                <w:b w:val="0"/>
                <w:sz w:val="24"/>
                <w:szCs w:val="24"/>
              </w:rPr>
              <w:t>2018-19</w:t>
            </w:r>
          </w:p>
          <w:p w14:paraId="0DD05BB1"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DoT</w:t>
            </w:r>
          </w:p>
        </w:tc>
        <w:tc>
          <w:tcPr>
            <w:tcW w:w="1134" w:type="dxa"/>
            <w:shd w:val="clear" w:color="auto" w:fill="auto"/>
          </w:tcPr>
          <w:p w14:paraId="0D5A596A"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2018-19</w:t>
            </w:r>
          </w:p>
          <w:p w14:paraId="5E24EF41"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DEDJTR</w:t>
            </w:r>
          </w:p>
        </w:tc>
        <w:tc>
          <w:tcPr>
            <w:tcW w:w="1134" w:type="dxa"/>
            <w:shd w:val="clear" w:color="auto" w:fill="auto"/>
          </w:tcPr>
          <w:p w14:paraId="49FB6FD9"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2017-18</w:t>
            </w:r>
          </w:p>
          <w:p w14:paraId="4DFEAC80"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DEDJTR</w:t>
            </w:r>
          </w:p>
        </w:tc>
      </w:tr>
      <w:tr w:rsidR="00F826F1" w:rsidRPr="00E273FC" w14:paraId="5BFC0C9A" w14:textId="77777777" w:rsidTr="00A1658E">
        <w:trPr>
          <w:trHeight w:val="340"/>
        </w:trPr>
        <w:tc>
          <w:tcPr>
            <w:tcW w:w="4536" w:type="dxa"/>
            <w:shd w:val="clear" w:color="auto" w:fill="auto"/>
            <w:tcMar>
              <w:left w:w="57" w:type="dxa"/>
              <w:right w:w="57" w:type="dxa"/>
            </w:tcMar>
            <w:vAlign w:val="center"/>
          </w:tcPr>
          <w:p w14:paraId="4E537E77" w14:textId="77777777" w:rsidR="00F826F1" w:rsidRPr="00E273FC" w:rsidRDefault="00F826F1" w:rsidP="00604703">
            <w:pPr>
              <w:pStyle w:val="TableTextGreen"/>
            </w:pPr>
            <w:r w:rsidRPr="00E273FC">
              <w:t>Indicator</w:t>
            </w:r>
          </w:p>
        </w:tc>
        <w:tc>
          <w:tcPr>
            <w:tcW w:w="1134" w:type="dxa"/>
            <w:shd w:val="clear" w:color="auto" w:fill="auto"/>
            <w:vAlign w:val="center"/>
          </w:tcPr>
          <w:p w14:paraId="742775F7" w14:textId="77777777" w:rsidR="00F826F1" w:rsidRPr="00E273FC" w:rsidRDefault="00F826F1" w:rsidP="00DE1921">
            <w:pPr>
              <w:pStyle w:val="TableTextRight"/>
              <w:rPr>
                <w:rFonts w:ascii="Arial" w:hAnsi="Arial" w:cs="Arial"/>
                <w:b/>
                <w:sz w:val="24"/>
                <w:szCs w:val="24"/>
              </w:rPr>
            </w:pPr>
          </w:p>
        </w:tc>
        <w:tc>
          <w:tcPr>
            <w:tcW w:w="1134" w:type="dxa"/>
            <w:shd w:val="clear" w:color="auto" w:fill="auto"/>
            <w:vAlign w:val="center"/>
          </w:tcPr>
          <w:p w14:paraId="28E583A9"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07F8B8D9"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6BD81720" w14:textId="77777777" w:rsidR="00F826F1" w:rsidRPr="00E273FC" w:rsidRDefault="00F826F1" w:rsidP="00DE1921">
            <w:pPr>
              <w:pStyle w:val="TableTextRight"/>
              <w:rPr>
                <w:rFonts w:ascii="Arial" w:hAnsi="Arial" w:cs="Arial"/>
                <w:sz w:val="24"/>
                <w:szCs w:val="24"/>
              </w:rPr>
            </w:pPr>
          </w:p>
        </w:tc>
      </w:tr>
      <w:tr w:rsidR="00F826F1" w:rsidRPr="00E273FC" w14:paraId="25305F8A" w14:textId="77777777" w:rsidTr="00A1658E">
        <w:trPr>
          <w:trHeight w:val="340"/>
        </w:trPr>
        <w:tc>
          <w:tcPr>
            <w:tcW w:w="4536" w:type="dxa"/>
            <w:shd w:val="clear" w:color="auto" w:fill="auto"/>
            <w:tcMar>
              <w:left w:w="57" w:type="dxa"/>
              <w:right w:w="57" w:type="dxa"/>
            </w:tcMar>
            <w:vAlign w:val="center"/>
          </w:tcPr>
          <w:p w14:paraId="6F7C5206"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Total units of copy paper purchased (reams)</w:t>
            </w:r>
            <w:r w:rsidRPr="00E273FC">
              <w:rPr>
                <w:rFonts w:ascii="Arial" w:hAnsi="Arial" w:cs="Arial"/>
                <w:sz w:val="24"/>
                <w:szCs w:val="24"/>
                <w:vertAlign w:val="superscript"/>
              </w:rPr>
              <w:t>3, 4</w:t>
            </w:r>
          </w:p>
        </w:tc>
        <w:tc>
          <w:tcPr>
            <w:tcW w:w="1134" w:type="dxa"/>
            <w:shd w:val="clear" w:color="auto" w:fill="auto"/>
            <w:vAlign w:val="center"/>
          </w:tcPr>
          <w:p w14:paraId="0F63A778"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34,095</w:t>
            </w:r>
          </w:p>
        </w:tc>
        <w:tc>
          <w:tcPr>
            <w:tcW w:w="1134" w:type="dxa"/>
            <w:shd w:val="clear" w:color="auto" w:fill="auto"/>
            <w:vAlign w:val="center"/>
          </w:tcPr>
          <w:p w14:paraId="7D1C60A9"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3,085</w:t>
            </w:r>
          </w:p>
        </w:tc>
        <w:tc>
          <w:tcPr>
            <w:tcW w:w="1134" w:type="dxa"/>
            <w:shd w:val="clear" w:color="auto" w:fill="auto"/>
            <w:vAlign w:val="center"/>
          </w:tcPr>
          <w:p w14:paraId="44B52AD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15,424</w:t>
            </w:r>
          </w:p>
        </w:tc>
        <w:tc>
          <w:tcPr>
            <w:tcW w:w="1134" w:type="dxa"/>
            <w:shd w:val="clear" w:color="auto" w:fill="auto"/>
            <w:vAlign w:val="center"/>
          </w:tcPr>
          <w:p w14:paraId="7538F588"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50,242</w:t>
            </w:r>
          </w:p>
        </w:tc>
      </w:tr>
      <w:tr w:rsidR="00F826F1" w:rsidRPr="00E273FC" w14:paraId="033128F7" w14:textId="77777777" w:rsidTr="00A1658E">
        <w:trPr>
          <w:trHeight w:val="340"/>
        </w:trPr>
        <w:tc>
          <w:tcPr>
            <w:tcW w:w="4536" w:type="dxa"/>
            <w:shd w:val="clear" w:color="auto" w:fill="auto"/>
            <w:tcMar>
              <w:left w:w="57" w:type="dxa"/>
              <w:right w:w="57" w:type="dxa"/>
            </w:tcMar>
            <w:vAlign w:val="center"/>
          </w:tcPr>
          <w:p w14:paraId="4BCDF1CC"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Units of copy paper used per FTE (reams/FTE)</w:t>
            </w:r>
          </w:p>
        </w:tc>
        <w:tc>
          <w:tcPr>
            <w:tcW w:w="1134" w:type="dxa"/>
            <w:shd w:val="clear" w:color="auto" w:fill="auto"/>
            <w:vAlign w:val="center"/>
          </w:tcPr>
          <w:p w14:paraId="36C1EF95"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5.77</w:t>
            </w:r>
          </w:p>
        </w:tc>
        <w:tc>
          <w:tcPr>
            <w:tcW w:w="1134" w:type="dxa"/>
            <w:shd w:val="clear" w:color="auto" w:fill="auto"/>
            <w:vAlign w:val="center"/>
          </w:tcPr>
          <w:p w14:paraId="4911041D"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4.66</w:t>
            </w:r>
          </w:p>
        </w:tc>
        <w:tc>
          <w:tcPr>
            <w:tcW w:w="1134" w:type="dxa"/>
            <w:shd w:val="clear" w:color="auto" w:fill="auto"/>
            <w:vAlign w:val="center"/>
          </w:tcPr>
          <w:p w14:paraId="2CD7B656"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4.98</w:t>
            </w:r>
          </w:p>
        </w:tc>
        <w:tc>
          <w:tcPr>
            <w:tcW w:w="1134" w:type="dxa"/>
            <w:shd w:val="clear" w:color="auto" w:fill="auto"/>
            <w:vAlign w:val="center"/>
          </w:tcPr>
          <w:p w14:paraId="6A7AC700"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16.52</w:t>
            </w:r>
          </w:p>
        </w:tc>
      </w:tr>
      <w:tr w:rsidR="00F826F1" w:rsidRPr="00E273FC" w14:paraId="49658F07" w14:textId="77777777" w:rsidTr="00A1658E">
        <w:trPr>
          <w:trHeight w:val="340"/>
        </w:trPr>
        <w:tc>
          <w:tcPr>
            <w:tcW w:w="4536" w:type="dxa"/>
            <w:shd w:val="clear" w:color="auto" w:fill="auto"/>
            <w:tcMar>
              <w:left w:w="57" w:type="dxa"/>
              <w:right w:w="57" w:type="dxa"/>
            </w:tcMar>
            <w:vAlign w:val="center"/>
          </w:tcPr>
          <w:p w14:paraId="0FFD36AB"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75–100% recycled content</w:t>
            </w:r>
          </w:p>
        </w:tc>
        <w:tc>
          <w:tcPr>
            <w:tcW w:w="1134" w:type="dxa"/>
            <w:shd w:val="clear" w:color="auto" w:fill="auto"/>
            <w:vAlign w:val="center"/>
          </w:tcPr>
          <w:p w14:paraId="0026F4AD"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60.53%</w:t>
            </w:r>
          </w:p>
        </w:tc>
        <w:tc>
          <w:tcPr>
            <w:tcW w:w="1134" w:type="dxa"/>
            <w:shd w:val="clear" w:color="auto" w:fill="auto"/>
            <w:vAlign w:val="center"/>
          </w:tcPr>
          <w:p w14:paraId="71853DF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98.97%</w:t>
            </w:r>
          </w:p>
        </w:tc>
        <w:tc>
          <w:tcPr>
            <w:tcW w:w="1134" w:type="dxa"/>
            <w:shd w:val="clear" w:color="auto" w:fill="auto"/>
            <w:vAlign w:val="center"/>
          </w:tcPr>
          <w:p w14:paraId="1FA6A0D2"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98.97%</w:t>
            </w:r>
          </w:p>
        </w:tc>
        <w:tc>
          <w:tcPr>
            <w:tcW w:w="1134" w:type="dxa"/>
            <w:shd w:val="clear" w:color="auto" w:fill="auto"/>
            <w:vAlign w:val="center"/>
          </w:tcPr>
          <w:p w14:paraId="56745ECC"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98.97%</w:t>
            </w:r>
          </w:p>
        </w:tc>
      </w:tr>
      <w:tr w:rsidR="00F826F1" w:rsidRPr="00E273FC" w14:paraId="146972F5" w14:textId="77777777" w:rsidTr="00A1658E">
        <w:trPr>
          <w:trHeight w:val="340"/>
        </w:trPr>
        <w:tc>
          <w:tcPr>
            <w:tcW w:w="4536" w:type="dxa"/>
            <w:shd w:val="clear" w:color="auto" w:fill="auto"/>
            <w:tcMar>
              <w:left w:w="57" w:type="dxa"/>
              <w:right w:w="57" w:type="dxa"/>
            </w:tcMar>
            <w:vAlign w:val="center"/>
          </w:tcPr>
          <w:p w14:paraId="582CCDFE"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50–74% recycled content</w:t>
            </w:r>
          </w:p>
        </w:tc>
        <w:tc>
          <w:tcPr>
            <w:tcW w:w="1134" w:type="dxa"/>
            <w:shd w:val="clear" w:color="auto" w:fill="auto"/>
            <w:vAlign w:val="center"/>
          </w:tcPr>
          <w:p w14:paraId="49E769EE"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31.87%</w:t>
            </w:r>
          </w:p>
        </w:tc>
        <w:tc>
          <w:tcPr>
            <w:tcW w:w="1134" w:type="dxa"/>
            <w:shd w:val="clear" w:color="auto" w:fill="auto"/>
            <w:vAlign w:val="center"/>
          </w:tcPr>
          <w:p w14:paraId="4DD7B570"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67586BB1"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4628559E"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w:t>
            </w:r>
          </w:p>
        </w:tc>
      </w:tr>
      <w:tr w:rsidR="00F826F1" w:rsidRPr="00E273FC" w14:paraId="53181C4A" w14:textId="77777777" w:rsidTr="00A1658E">
        <w:trPr>
          <w:trHeight w:val="340"/>
        </w:trPr>
        <w:tc>
          <w:tcPr>
            <w:tcW w:w="4536" w:type="dxa"/>
            <w:shd w:val="clear" w:color="auto" w:fill="auto"/>
            <w:tcMar>
              <w:left w:w="57" w:type="dxa"/>
              <w:right w:w="57" w:type="dxa"/>
            </w:tcMar>
            <w:vAlign w:val="center"/>
          </w:tcPr>
          <w:p w14:paraId="2C6BCB57"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0–49% recycled content</w:t>
            </w:r>
          </w:p>
        </w:tc>
        <w:tc>
          <w:tcPr>
            <w:tcW w:w="1134" w:type="dxa"/>
            <w:shd w:val="clear" w:color="auto" w:fill="auto"/>
            <w:vAlign w:val="center"/>
          </w:tcPr>
          <w:p w14:paraId="3E649422"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7.60%</w:t>
            </w:r>
          </w:p>
        </w:tc>
        <w:tc>
          <w:tcPr>
            <w:tcW w:w="1134" w:type="dxa"/>
            <w:shd w:val="clear" w:color="auto" w:fill="auto"/>
            <w:vAlign w:val="center"/>
          </w:tcPr>
          <w:p w14:paraId="3393B9CA"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1.03%</w:t>
            </w:r>
          </w:p>
        </w:tc>
        <w:tc>
          <w:tcPr>
            <w:tcW w:w="1134" w:type="dxa"/>
            <w:shd w:val="clear" w:color="auto" w:fill="auto"/>
            <w:vAlign w:val="center"/>
          </w:tcPr>
          <w:p w14:paraId="454B414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1.03%</w:t>
            </w:r>
          </w:p>
        </w:tc>
        <w:tc>
          <w:tcPr>
            <w:tcW w:w="1134" w:type="dxa"/>
            <w:shd w:val="clear" w:color="auto" w:fill="auto"/>
            <w:vAlign w:val="center"/>
          </w:tcPr>
          <w:p w14:paraId="7313A118"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1.03%</w:t>
            </w:r>
          </w:p>
        </w:tc>
      </w:tr>
      <w:tr w:rsidR="00F826F1" w:rsidRPr="00E273FC" w14:paraId="1AC32ED1" w14:textId="77777777" w:rsidTr="00A1658E">
        <w:trPr>
          <w:trHeight w:val="340"/>
        </w:trPr>
        <w:tc>
          <w:tcPr>
            <w:tcW w:w="4536" w:type="dxa"/>
            <w:shd w:val="clear" w:color="auto" w:fill="auto"/>
            <w:tcMar>
              <w:left w:w="57" w:type="dxa"/>
              <w:right w:w="57" w:type="dxa"/>
            </w:tcMar>
            <w:vAlign w:val="center"/>
          </w:tcPr>
          <w:p w14:paraId="5F022569" w14:textId="77777777" w:rsidR="00F826F1" w:rsidRPr="00E273FC" w:rsidRDefault="00F826F1" w:rsidP="00DE1921">
            <w:pPr>
              <w:pStyle w:val="TableTextLeftBold"/>
              <w:rPr>
                <w:rFonts w:ascii="Arial" w:hAnsi="Arial" w:cs="Arial"/>
                <w:sz w:val="24"/>
                <w:szCs w:val="24"/>
              </w:rPr>
            </w:pPr>
          </w:p>
        </w:tc>
        <w:tc>
          <w:tcPr>
            <w:tcW w:w="1134" w:type="dxa"/>
            <w:shd w:val="clear" w:color="auto" w:fill="auto"/>
            <w:vAlign w:val="center"/>
          </w:tcPr>
          <w:p w14:paraId="706227E0" w14:textId="77777777" w:rsidR="00F826F1" w:rsidRPr="00E273FC" w:rsidRDefault="00F826F1" w:rsidP="00DE1921">
            <w:pPr>
              <w:pStyle w:val="TableTextRight"/>
              <w:rPr>
                <w:rFonts w:ascii="Arial" w:hAnsi="Arial" w:cs="Arial"/>
                <w:b/>
                <w:sz w:val="24"/>
                <w:szCs w:val="24"/>
              </w:rPr>
            </w:pPr>
          </w:p>
        </w:tc>
        <w:tc>
          <w:tcPr>
            <w:tcW w:w="1134" w:type="dxa"/>
            <w:shd w:val="clear" w:color="auto" w:fill="auto"/>
            <w:vAlign w:val="center"/>
          </w:tcPr>
          <w:p w14:paraId="00A0AA73"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2EB7AAD0"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5720A768" w14:textId="77777777" w:rsidR="00F826F1" w:rsidRPr="00E273FC" w:rsidRDefault="00F826F1" w:rsidP="00DE1921">
            <w:pPr>
              <w:pStyle w:val="TableTextRight"/>
              <w:rPr>
                <w:rFonts w:ascii="Arial" w:hAnsi="Arial" w:cs="Arial"/>
                <w:sz w:val="24"/>
                <w:szCs w:val="24"/>
              </w:rPr>
            </w:pPr>
          </w:p>
        </w:tc>
      </w:tr>
      <w:tr w:rsidR="00F826F1" w:rsidRPr="00E273FC" w14:paraId="0DA83CDB" w14:textId="77777777" w:rsidTr="00A1658E">
        <w:trPr>
          <w:trHeight w:val="340"/>
        </w:trPr>
        <w:tc>
          <w:tcPr>
            <w:tcW w:w="4536" w:type="dxa"/>
            <w:shd w:val="clear" w:color="auto" w:fill="auto"/>
            <w:tcMar>
              <w:left w:w="57" w:type="dxa"/>
              <w:right w:w="57" w:type="dxa"/>
            </w:tcMar>
            <w:vAlign w:val="center"/>
          </w:tcPr>
          <w:p w14:paraId="4CE7C49E"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Number of FTEs</w:t>
            </w:r>
          </w:p>
        </w:tc>
        <w:tc>
          <w:tcPr>
            <w:tcW w:w="1134" w:type="dxa"/>
            <w:shd w:val="clear" w:color="auto" w:fill="auto"/>
            <w:vAlign w:val="center"/>
          </w:tcPr>
          <w:p w14:paraId="726EC02E"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5,912.7</w:t>
            </w:r>
          </w:p>
        </w:tc>
        <w:tc>
          <w:tcPr>
            <w:tcW w:w="1134" w:type="dxa"/>
            <w:shd w:val="clear" w:color="auto" w:fill="auto"/>
            <w:vAlign w:val="center"/>
          </w:tcPr>
          <w:p w14:paraId="1DCF9C4D"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662</w:t>
            </w:r>
          </w:p>
        </w:tc>
        <w:tc>
          <w:tcPr>
            <w:tcW w:w="1134" w:type="dxa"/>
            <w:shd w:val="clear" w:color="auto" w:fill="auto"/>
            <w:vAlign w:val="center"/>
          </w:tcPr>
          <w:p w14:paraId="40ABE58D"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3,096</w:t>
            </w:r>
          </w:p>
        </w:tc>
        <w:tc>
          <w:tcPr>
            <w:tcW w:w="1134" w:type="dxa"/>
            <w:shd w:val="clear" w:color="auto" w:fill="auto"/>
            <w:vAlign w:val="center"/>
          </w:tcPr>
          <w:p w14:paraId="1D92392D"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3,003</w:t>
            </w:r>
          </w:p>
        </w:tc>
      </w:tr>
    </w:tbl>
    <w:p w14:paraId="0A33584E" w14:textId="77777777" w:rsidR="00F826F1" w:rsidRPr="00E273FC" w:rsidRDefault="00F826F1" w:rsidP="004273F9">
      <w:pPr>
        <w:pStyle w:val="Note"/>
        <w:spacing w:line="360" w:lineRule="auto"/>
        <w:rPr>
          <w:rFonts w:ascii="Arial" w:hAnsi="Arial" w:cs="Arial"/>
          <w:sz w:val="24"/>
          <w:szCs w:val="24"/>
        </w:rPr>
      </w:pPr>
      <w:r w:rsidRPr="00E273FC">
        <w:rPr>
          <w:rFonts w:ascii="Arial" w:hAnsi="Arial" w:cs="Arial"/>
          <w:sz w:val="24"/>
          <w:szCs w:val="24"/>
        </w:rPr>
        <w:t>Notes:</w:t>
      </w:r>
    </w:p>
    <w:p w14:paraId="6ECF6B65" w14:textId="77777777" w:rsidR="00F826F1" w:rsidRPr="00E273FC" w:rsidRDefault="00F826F1" w:rsidP="00610F5F">
      <w:pPr>
        <w:pStyle w:val="Notenumber123"/>
        <w:numPr>
          <w:ilvl w:val="0"/>
          <w:numId w:val="62"/>
        </w:numPr>
        <w:spacing w:line="360" w:lineRule="auto"/>
        <w:ind w:left="340" w:hanging="227"/>
        <w:contextualSpacing/>
        <w:rPr>
          <w:rFonts w:ascii="Arial" w:hAnsi="Arial" w:cs="Arial"/>
          <w:sz w:val="24"/>
          <w:szCs w:val="24"/>
        </w:rPr>
      </w:pPr>
      <w:r w:rsidRPr="00E273FC">
        <w:rPr>
          <w:rFonts w:ascii="Arial" w:hAnsi="Arial" w:cs="Arial"/>
          <w:sz w:val="24"/>
          <w:szCs w:val="24"/>
        </w:rPr>
        <w:t xml:space="preserve">2019-20 FY shows increased paper usage compared to the DoT 2018-19 FY as VicRoads and PTV merged with the existing DoT on 1 July 2019, significantly increasing the department’s FTE. </w:t>
      </w:r>
    </w:p>
    <w:p w14:paraId="2657F156" w14:textId="77777777" w:rsidR="00F826F1" w:rsidRPr="00E273FC" w:rsidRDefault="00F826F1" w:rsidP="00610F5F">
      <w:pPr>
        <w:pStyle w:val="Notenumber123"/>
        <w:numPr>
          <w:ilvl w:val="0"/>
          <w:numId w:val="25"/>
        </w:numPr>
        <w:spacing w:line="360" w:lineRule="auto"/>
        <w:ind w:left="340" w:hanging="227"/>
        <w:contextualSpacing/>
        <w:rPr>
          <w:rFonts w:ascii="Arial" w:hAnsi="Arial" w:cs="Arial"/>
          <w:sz w:val="24"/>
          <w:szCs w:val="24"/>
        </w:rPr>
      </w:pPr>
      <w:r w:rsidRPr="00E273FC">
        <w:rPr>
          <w:rFonts w:ascii="Arial" w:hAnsi="Arial" w:cs="Arial"/>
          <w:sz w:val="24"/>
          <w:szCs w:val="24"/>
        </w:rPr>
        <w:t>Due to the coronavirus (COVID-19), and the resulting working from home initiatives implemented by the department, paper data in the 2019-20 FY will vary significantly from the data provided in the previous financial years.</w:t>
      </w:r>
    </w:p>
    <w:p w14:paraId="16D23C99" w14:textId="77777777" w:rsidR="00F826F1" w:rsidRPr="00E273FC" w:rsidRDefault="00F826F1" w:rsidP="00610F5F">
      <w:pPr>
        <w:pStyle w:val="Notenumber123"/>
        <w:numPr>
          <w:ilvl w:val="0"/>
          <w:numId w:val="25"/>
        </w:numPr>
        <w:spacing w:line="360" w:lineRule="auto"/>
        <w:ind w:left="340" w:hanging="227"/>
        <w:contextualSpacing/>
        <w:rPr>
          <w:rFonts w:ascii="Arial" w:hAnsi="Arial" w:cs="Arial"/>
          <w:sz w:val="24"/>
          <w:szCs w:val="24"/>
        </w:rPr>
      </w:pPr>
      <w:r w:rsidRPr="00E273FC">
        <w:rPr>
          <w:rFonts w:ascii="Arial" w:hAnsi="Arial" w:cs="Arial"/>
          <w:sz w:val="24"/>
          <w:szCs w:val="24"/>
        </w:rPr>
        <w:t>DoT paper purchasing is calculated using data from the Government stationery supplier. Paper consumption is based on the cost codes within DoT’s supplier’s database and not all codes have been adjusted from the separation of DoT and DJPR.</w:t>
      </w:r>
    </w:p>
    <w:p w14:paraId="1A6B7095" w14:textId="77777777" w:rsidR="00F826F1" w:rsidRPr="00E273FC" w:rsidRDefault="00F826F1" w:rsidP="00610F5F">
      <w:pPr>
        <w:pStyle w:val="Notenumber123"/>
        <w:numPr>
          <w:ilvl w:val="0"/>
          <w:numId w:val="25"/>
        </w:numPr>
        <w:spacing w:line="360" w:lineRule="auto"/>
        <w:ind w:left="340" w:hanging="227"/>
        <w:contextualSpacing/>
        <w:rPr>
          <w:rFonts w:ascii="Arial" w:hAnsi="Arial" w:cs="Arial"/>
          <w:sz w:val="24"/>
          <w:szCs w:val="24"/>
        </w:rPr>
      </w:pPr>
      <w:r w:rsidRPr="00E273FC">
        <w:rPr>
          <w:rFonts w:ascii="Arial" w:hAnsi="Arial" w:cs="Arial"/>
          <w:sz w:val="24"/>
          <w:szCs w:val="24"/>
        </w:rPr>
        <w:t>The default recycled white paper available for purchasing has 100% recycled content, all coloured paper available for purchasing continues to have no recycled content.</w:t>
      </w:r>
    </w:p>
    <w:p w14:paraId="79D9CE6C" w14:textId="77777777" w:rsidR="00F826F1" w:rsidRPr="00D23A10" w:rsidRDefault="00F826F1" w:rsidP="00EF5131">
      <w:pPr>
        <w:pStyle w:val="Heading5"/>
      </w:pPr>
      <w:r w:rsidRPr="00D23A10">
        <w:t>Actions and Achievements</w:t>
      </w:r>
    </w:p>
    <w:p w14:paraId="33D0EB4A" w14:textId="77777777" w:rsidR="00F826F1" w:rsidRPr="00F1110A" w:rsidRDefault="00F826F1" w:rsidP="0073479A">
      <w:pPr>
        <w:pStyle w:val="aaabullet"/>
        <w:rPr>
          <w:strike/>
        </w:rPr>
      </w:pPr>
      <w:r w:rsidRPr="00F1110A">
        <w:t xml:space="preserve">Worked with Government stationery supplier to improve cost centre information for more accurate reporting for </w:t>
      </w:r>
      <w:r>
        <w:t>the department</w:t>
      </w:r>
      <w:r w:rsidRPr="00F1110A">
        <w:t xml:space="preserve"> (excluding</w:t>
      </w:r>
      <w:r>
        <w:t xml:space="preserve"> the former</w:t>
      </w:r>
      <w:r w:rsidRPr="00F1110A">
        <w:t xml:space="preserve"> PTV and VicRoads).</w:t>
      </w:r>
    </w:p>
    <w:p w14:paraId="70DF38A4" w14:textId="31AA5007" w:rsidR="00F826F1" w:rsidRPr="00D23A10" w:rsidRDefault="00F826F1" w:rsidP="00EF5131">
      <w:pPr>
        <w:pStyle w:val="Heading5"/>
      </w:pPr>
      <w:r w:rsidRPr="00D23A10">
        <w:t>Future Objectives</w:t>
      </w:r>
    </w:p>
    <w:p w14:paraId="3E8CE5B6" w14:textId="77777777" w:rsidR="00F826F1" w:rsidRPr="0046467B" w:rsidRDefault="00F826F1" w:rsidP="0073479A">
      <w:pPr>
        <w:pStyle w:val="aaabullet"/>
      </w:pPr>
      <w:r w:rsidRPr="0046467B">
        <w:t>Collaboration with the Government stationery supplier to improve cost centre information for more accurate reporting.</w:t>
      </w:r>
    </w:p>
    <w:p w14:paraId="3E5553F4" w14:textId="77777777" w:rsidR="00F826F1" w:rsidRPr="0046467B" w:rsidRDefault="00F826F1" w:rsidP="0073479A">
      <w:pPr>
        <w:pStyle w:val="aaabullet"/>
      </w:pPr>
      <w:r w:rsidRPr="0046467B">
        <w:lastRenderedPageBreak/>
        <w:t>Collaborate with Government stationery supplier to review ordering process to identify ways to reduce use of non-recycled paper.</w:t>
      </w:r>
    </w:p>
    <w:p w14:paraId="6A829380" w14:textId="77777777" w:rsidR="00F826F1" w:rsidRDefault="00F826F1" w:rsidP="00DE1921">
      <w:pPr>
        <w:pStyle w:val="NormalBullet"/>
        <w:numPr>
          <w:ilvl w:val="0"/>
          <w:numId w:val="0"/>
        </w:numPr>
        <w:ind w:left="284"/>
      </w:pPr>
    </w:p>
    <w:p w14:paraId="2E6189DD" w14:textId="77777777" w:rsidR="00F826F1" w:rsidRDefault="00F826F1" w:rsidP="00DE1921">
      <w:pPr>
        <w:sectPr w:rsidR="00F826F1" w:rsidSect="001D7372">
          <w:type w:val="continuous"/>
          <w:pgSz w:w="11906" w:h="16838"/>
          <w:pgMar w:top="1701" w:right="1418" w:bottom="1418" w:left="1418" w:header="709" w:footer="709" w:gutter="0"/>
          <w:cols w:space="284"/>
          <w:docGrid w:linePitch="360"/>
        </w:sectPr>
      </w:pPr>
    </w:p>
    <w:p w14:paraId="2474D8B5" w14:textId="77777777" w:rsidR="001D7372" w:rsidRDefault="001D7372" w:rsidP="00CF74EB">
      <w:pPr>
        <w:pStyle w:val="TableHeader"/>
        <w:sectPr w:rsidR="001D7372" w:rsidSect="00DE1921">
          <w:pgSz w:w="11906" w:h="16838"/>
          <w:pgMar w:top="1701" w:right="1418" w:bottom="1418" w:left="1418" w:header="709" w:footer="709" w:gutter="0"/>
          <w:cols w:space="284"/>
          <w:docGrid w:linePitch="360"/>
        </w:sectPr>
      </w:pPr>
    </w:p>
    <w:p w14:paraId="6EF2C07E" w14:textId="6BCCA222" w:rsidR="00F826F1" w:rsidRPr="00E273FC" w:rsidRDefault="00F826F1" w:rsidP="00CF74EB">
      <w:pPr>
        <w:pStyle w:val="TableHeader"/>
      </w:pPr>
      <w:r w:rsidRPr="00E273FC">
        <w:t>Waste and recycling</w:t>
      </w:r>
    </w:p>
    <w:tbl>
      <w:tblPr>
        <w:tblStyle w:val="TableGrid"/>
        <w:tblW w:w="9072" w:type="dxa"/>
        <w:tblCellMar>
          <w:left w:w="28" w:type="dxa"/>
          <w:right w:w="28" w:type="dxa"/>
        </w:tblCellMar>
        <w:tblLook w:val="04A0" w:firstRow="1" w:lastRow="0" w:firstColumn="1" w:lastColumn="0" w:noHBand="0" w:noVBand="1"/>
      </w:tblPr>
      <w:tblGrid>
        <w:gridCol w:w="4536"/>
        <w:gridCol w:w="1134"/>
        <w:gridCol w:w="1134"/>
        <w:gridCol w:w="1134"/>
        <w:gridCol w:w="1134"/>
      </w:tblGrid>
      <w:tr w:rsidR="00F826F1" w:rsidRPr="00E273FC" w14:paraId="3A2B74F6" w14:textId="77777777" w:rsidTr="00875399">
        <w:trPr>
          <w:trHeight w:val="340"/>
        </w:trPr>
        <w:tc>
          <w:tcPr>
            <w:tcW w:w="4536" w:type="dxa"/>
            <w:shd w:val="clear" w:color="auto" w:fill="auto"/>
            <w:tcMar>
              <w:left w:w="57" w:type="dxa"/>
              <w:right w:w="57" w:type="dxa"/>
            </w:tcMar>
          </w:tcPr>
          <w:p w14:paraId="71CFA079" w14:textId="77777777" w:rsidR="00F826F1" w:rsidRPr="00E273FC" w:rsidRDefault="00F826F1" w:rsidP="00DE1921">
            <w:pPr>
              <w:pStyle w:val="TableTextLeft"/>
              <w:rPr>
                <w:rFonts w:ascii="Arial" w:hAnsi="Arial" w:cs="Arial"/>
                <w:sz w:val="24"/>
                <w:szCs w:val="24"/>
              </w:rPr>
            </w:pPr>
          </w:p>
        </w:tc>
        <w:tc>
          <w:tcPr>
            <w:tcW w:w="1134" w:type="dxa"/>
            <w:shd w:val="clear" w:color="auto" w:fill="auto"/>
          </w:tcPr>
          <w:p w14:paraId="454C4827"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2019-20</w:t>
            </w:r>
          </w:p>
          <w:p w14:paraId="1A78E64C"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DoT</w:t>
            </w:r>
          </w:p>
        </w:tc>
        <w:tc>
          <w:tcPr>
            <w:tcW w:w="1134" w:type="dxa"/>
            <w:shd w:val="clear" w:color="auto" w:fill="auto"/>
          </w:tcPr>
          <w:p w14:paraId="2B27BB31" w14:textId="77777777" w:rsidR="00F826F1" w:rsidRPr="00E273FC" w:rsidRDefault="00F826F1" w:rsidP="00DE1921">
            <w:pPr>
              <w:pStyle w:val="TableTextRightBold"/>
              <w:rPr>
                <w:rFonts w:ascii="Arial" w:hAnsi="Arial" w:cs="Arial"/>
                <w:b w:val="0"/>
                <w:sz w:val="24"/>
                <w:szCs w:val="24"/>
              </w:rPr>
            </w:pPr>
            <w:r w:rsidRPr="00E273FC">
              <w:rPr>
                <w:rFonts w:ascii="Arial" w:hAnsi="Arial" w:cs="Arial"/>
                <w:b w:val="0"/>
                <w:sz w:val="24"/>
                <w:szCs w:val="24"/>
              </w:rPr>
              <w:t>2018-19</w:t>
            </w:r>
          </w:p>
          <w:p w14:paraId="2E45088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DoT</w:t>
            </w:r>
          </w:p>
        </w:tc>
        <w:tc>
          <w:tcPr>
            <w:tcW w:w="1134" w:type="dxa"/>
            <w:shd w:val="clear" w:color="auto" w:fill="auto"/>
          </w:tcPr>
          <w:p w14:paraId="29646EE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2018-19</w:t>
            </w:r>
          </w:p>
          <w:p w14:paraId="0CFF10D9"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DEDJTR</w:t>
            </w:r>
          </w:p>
        </w:tc>
        <w:tc>
          <w:tcPr>
            <w:tcW w:w="1134" w:type="dxa"/>
            <w:shd w:val="clear" w:color="auto" w:fill="auto"/>
          </w:tcPr>
          <w:p w14:paraId="30361D8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2017-18</w:t>
            </w:r>
          </w:p>
          <w:p w14:paraId="27170BC6"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DEDJTR</w:t>
            </w:r>
          </w:p>
        </w:tc>
      </w:tr>
      <w:tr w:rsidR="00F826F1" w:rsidRPr="00E273FC" w14:paraId="3A31AEE5" w14:textId="77777777" w:rsidTr="00875399">
        <w:trPr>
          <w:trHeight w:val="340"/>
        </w:trPr>
        <w:tc>
          <w:tcPr>
            <w:tcW w:w="4536" w:type="dxa"/>
            <w:shd w:val="clear" w:color="auto" w:fill="auto"/>
            <w:tcMar>
              <w:left w:w="57" w:type="dxa"/>
              <w:right w:w="57" w:type="dxa"/>
            </w:tcMar>
            <w:vAlign w:val="center"/>
          </w:tcPr>
          <w:p w14:paraId="3032C687" w14:textId="77777777" w:rsidR="00F826F1" w:rsidRPr="00E273FC" w:rsidRDefault="00F826F1" w:rsidP="00604703">
            <w:pPr>
              <w:pStyle w:val="TableTextGreen"/>
            </w:pPr>
            <w:r w:rsidRPr="00E273FC">
              <w:t>Indicator</w:t>
            </w:r>
          </w:p>
        </w:tc>
        <w:tc>
          <w:tcPr>
            <w:tcW w:w="1134" w:type="dxa"/>
            <w:shd w:val="clear" w:color="auto" w:fill="auto"/>
            <w:vAlign w:val="center"/>
          </w:tcPr>
          <w:p w14:paraId="26F6F59F" w14:textId="77777777" w:rsidR="00F826F1" w:rsidRPr="00E273FC" w:rsidRDefault="00F826F1" w:rsidP="00DE1921">
            <w:pPr>
              <w:pStyle w:val="TableTextRightBold"/>
              <w:rPr>
                <w:rFonts w:ascii="Arial" w:hAnsi="Arial" w:cs="Arial"/>
                <w:sz w:val="24"/>
                <w:szCs w:val="24"/>
              </w:rPr>
            </w:pPr>
          </w:p>
        </w:tc>
        <w:tc>
          <w:tcPr>
            <w:tcW w:w="1134" w:type="dxa"/>
            <w:shd w:val="clear" w:color="auto" w:fill="auto"/>
            <w:vAlign w:val="center"/>
          </w:tcPr>
          <w:p w14:paraId="6B39A0A9"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1CD573AD"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43C36620" w14:textId="77777777" w:rsidR="00F826F1" w:rsidRPr="00E273FC" w:rsidRDefault="00F826F1" w:rsidP="00DE1921">
            <w:pPr>
              <w:pStyle w:val="TableTextRight"/>
              <w:rPr>
                <w:rFonts w:ascii="Arial" w:hAnsi="Arial" w:cs="Arial"/>
                <w:sz w:val="24"/>
                <w:szCs w:val="24"/>
              </w:rPr>
            </w:pPr>
          </w:p>
        </w:tc>
      </w:tr>
      <w:tr w:rsidR="00F826F1" w:rsidRPr="00E273FC" w14:paraId="795F8C72" w14:textId="77777777" w:rsidTr="00875399">
        <w:trPr>
          <w:trHeight w:val="340"/>
        </w:trPr>
        <w:tc>
          <w:tcPr>
            <w:tcW w:w="4536" w:type="dxa"/>
            <w:shd w:val="clear" w:color="auto" w:fill="auto"/>
            <w:tcMar>
              <w:left w:w="57" w:type="dxa"/>
              <w:right w:w="57" w:type="dxa"/>
            </w:tcMar>
            <w:vAlign w:val="center"/>
          </w:tcPr>
          <w:p w14:paraId="1F0F55CB" w14:textId="77777777" w:rsidR="00F826F1" w:rsidRPr="00E273FC" w:rsidRDefault="00F826F1" w:rsidP="00DE1921">
            <w:pPr>
              <w:pStyle w:val="TableTextLeftItalics"/>
              <w:rPr>
                <w:rFonts w:ascii="Arial" w:hAnsi="Arial" w:cs="Arial"/>
                <w:sz w:val="24"/>
                <w:szCs w:val="24"/>
              </w:rPr>
            </w:pPr>
            <w:r w:rsidRPr="00E273FC">
              <w:rPr>
                <w:rFonts w:ascii="Arial" w:hAnsi="Arial" w:cs="Arial"/>
                <w:sz w:val="24"/>
                <w:szCs w:val="24"/>
              </w:rPr>
              <w:t>Total units of waste disposed of by destination (kg)</w:t>
            </w:r>
          </w:p>
        </w:tc>
        <w:tc>
          <w:tcPr>
            <w:tcW w:w="1134" w:type="dxa"/>
            <w:shd w:val="clear" w:color="auto" w:fill="auto"/>
            <w:vAlign w:val="center"/>
          </w:tcPr>
          <w:p w14:paraId="2A5B14FB"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0340988F"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26,059</w:t>
            </w:r>
          </w:p>
        </w:tc>
        <w:tc>
          <w:tcPr>
            <w:tcW w:w="1134" w:type="dxa"/>
            <w:shd w:val="clear" w:color="auto" w:fill="auto"/>
            <w:vAlign w:val="center"/>
          </w:tcPr>
          <w:p w14:paraId="60296257"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121,959</w:t>
            </w:r>
          </w:p>
        </w:tc>
        <w:tc>
          <w:tcPr>
            <w:tcW w:w="1134" w:type="dxa"/>
            <w:shd w:val="clear" w:color="auto" w:fill="auto"/>
            <w:vAlign w:val="center"/>
          </w:tcPr>
          <w:p w14:paraId="2EAE8CE2"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152,258</w:t>
            </w:r>
          </w:p>
        </w:tc>
      </w:tr>
      <w:tr w:rsidR="00F826F1" w:rsidRPr="00E273FC" w14:paraId="0FB7EA14" w14:textId="77777777" w:rsidTr="00875399">
        <w:trPr>
          <w:trHeight w:val="340"/>
        </w:trPr>
        <w:tc>
          <w:tcPr>
            <w:tcW w:w="4536" w:type="dxa"/>
            <w:shd w:val="clear" w:color="auto" w:fill="auto"/>
            <w:tcMar>
              <w:left w:w="57" w:type="dxa"/>
              <w:right w:w="57" w:type="dxa"/>
            </w:tcMar>
            <w:vAlign w:val="center"/>
          </w:tcPr>
          <w:p w14:paraId="619BE327"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Landfill (kg)</w:t>
            </w:r>
          </w:p>
        </w:tc>
        <w:tc>
          <w:tcPr>
            <w:tcW w:w="1134" w:type="dxa"/>
            <w:shd w:val="clear" w:color="auto" w:fill="auto"/>
            <w:vAlign w:val="center"/>
          </w:tcPr>
          <w:p w14:paraId="3466452E"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5278D2C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8,873</w:t>
            </w:r>
          </w:p>
        </w:tc>
        <w:tc>
          <w:tcPr>
            <w:tcW w:w="1134" w:type="dxa"/>
            <w:shd w:val="clear" w:color="auto" w:fill="auto"/>
            <w:vAlign w:val="center"/>
          </w:tcPr>
          <w:p w14:paraId="003AC056"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41,525</w:t>
            </w:r>
          </w:p>
        </w:tc>
        <w:tc>
          <w:tcPr>
            <w:tcW w:w="1134" w:type="dxa"/>
            <w:shd w:val="clear" w:color="auto" w:fill="auto"/>
            <w:vAlign w:val="center"/>
          </w:tcPr>
          <w:p w14:paraId="68F164E1"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46,505</w:t>
            </w:r>
          </w:p>
        </w:tc>
      </w:tr>
      <w:tr w:rsidR="00F826F1" w:rsidRPr="00E273FC" w14:paraId="7AC6CADF" w14:textId="77777777" w:rsidTr="00875399">
        <w:trPr>
          <w:trHeight w:val="340"/>
        </w:trPr>
        <w:tc>
          <w:tcPr>
            <w:tcW w:w="4536" w:type="dxa"/>
            <w:shd w:val="clear" w:color="auto" w:fill="auto"/>
            <w:tcMar>
              <w:left w:w="57" w:type="dxa"/>
              <w:right w:w="57" w:type="dxa"/>
            </w:tcMar>
            <w:vAlign w:val="center"/>
          </w:tcPr>
          <w:p w14:paraId="1D9BB711"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Comingled recycling (kg)</w:t>
            </w:r>
          </w:p>
        </w:tc>
        <w:tc>
          <w:tcPr>
            <w:tcW w:w="1134" w:type="dxa"/>
            <w:shd w:val="clear" w:color="auto" w:fill="auto"/>
            <w:vAlign w:val="center"/>
          </w:tcPr>
          <w:p w14:paraId="79CACAAF"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73CE8EA9"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4,035</w:t>
            </w:r>
          </w:p>
        </w:tc>
        <w:tc>
          <w:tcPr>
            <w:tcW w:w="1134" w:type="dxa"/>
            <w:shd w:val="clear" w:color="auto" w:fill="auto"/>
            <w:vAlign w:val="center"/>
          </w:tcPr>
          <w:p w14:paraId="5643E999"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18,884</w:t>
            </w:r>
          </w:p>
        </w:tc>
        <w:tc>
          <w:tcPr>
            <w:tcW w:w="1134" w:type="dxa"/>
            <w:shd w:val="clear" w:color="auto" w:fill="auto"/>
            <w:vAlign w:val="center"/>
          </w:tcPr>
          <w:p w14:paraId="0665645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24,018</w:t>
            </w:r>
          </w:p>
        </w:tc>
      </w:tr>
      <w:tr w:rsidR="00F826F1" w:rsidRPr="00E273FC" w14:paraId="0ABB49F1" w14:textId="77777777" w:rsidTr="00875399">
        <w:trPr>
          <w:trHeight w:val="340"/>
        </w:trPr>
        <w:tc>
          <w:tcPr>
            <w:tcW w:w="4536" w:type="dxa"/>
            <w:shd w:val="clear" w:color="auto" w:fill="auto"/>
            <w:tcMar>
              <w:left w:w="57" w:type="dxa"/>
              <w:right w:w="57" w:type="dxa"/>
            </w:tcMar>
            <w:vAlign w:val="center"/>
          </w:tcPr>
          <w:p w14:paraId="3761BD7B"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Paper and card (kg)</w:t>
            </w:r>
          </w:p>
        </w:tc>
        <w:tc>
          <w:tcPr>
            <w:tcW w:w="1134" w:type="dxa"/>
            <w:shd w:val="clear" w:color="auto" w:fill="auto"/>
            <w:vAlign w:val="center"/>
          </w:tcPr>
          <w:p w14:paraId="3BAEE3E3"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3F694AE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5,803</w:t>
            </w:r>
          </w:p>
        </w:tc>
        <w:tc>
          <w:tcPr>
            <w:tcW w:w="1134" w:type="dxa"/>
            <w:shd w:val="clear" w:color="auto" w:fill="auto"/>
            <w:vAlign w:val="center"/>
          </w:tcPr>
          <w:p w14:paraId="456AD4FC"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27,157</w:t>
            </w:r>
          </w:p>
        </w:tc>
        <w:tc>
          <w:tcPr>
            <w:tcW w:w="1134" w:type="dxa"/>
            <w:shd w:val="clear" w:color="auto" w:fill="auto"/>
            <w:vAlign w:val="center"/>
          </w:tcPr>
          <w:p w14:paraId="2E799E51"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19,284</w:t>
            </w:r>
          </w:p>
        </w:tc>
      </w:tr>
      <w:tr w:rsidR="00F826F1" w:rsidRPr="00E273FC" w14:paraId="39B545AE" w14:textId="77777777" w:rsidTr="00875399">
        <w:trPr>
          <w:trHeight w:val="340"/>
        </w:trPr>
        <w:tc>
          <w:tcPr>
            <w:tcW w:w="4536" w:type="dxa"/>
            <w:shd w:val="clear" w:color="auto" w:fill="auto"/>
            <w:tcMar>
              <w:left w:w="57" w:type="dxa"/>
              <w:right w:w="57" w:type="dxa"/>
            </w:tcMar>
            <w:vAlign w:val="center"/>
          </w:tcPr>
          <w:p w14:paraId="4E106516"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Secure documents (kg)</w:t>
            </w:r>
          </w:p>
        </w:tc>
        <w:tc>
          <w:tcPr>
            <w:tcW w:w="1134" w:type="dxa"/>
            <w:shd w:val="clear" w:color="auto" w:fill="auto"/>
            <w:vAlign w:val="center"/>
          </w:tcPr>
          <w:p w14:paraId="6602E238"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17AD676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5,603</w:t>
            </w:r>
          </w:p>
        </w:tc>
        <w:tc>
          <w:tcPr>
            <w:tcW w:w="1134" w:type="dxa"/>
            <w:shd w:val="clear" w:color="auto" w:fill="auto"/>
            <w:vAlign w:val="center"/>
          </w:tcPr>
          <w:p w14:paraId="72645A7D"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26,223</w:t>
            </w:r>
          </w:p>
        </w:tc>
        <w:tc>
          <w:tcPr>
            <w:tcW w:w="1134" w:type="dxa"/>
            <w:shd w:val="clear" w:color="auto" w:fill="auto"/>
            <w:vAlign w:val="center"/>
          </w:tcPr>
          <w:p w14:paraId="0EF07496"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50,406</w:t>
            </w:r>
          </w:p>
        </w:tc>
      </w:tr>
      <w:tr w:rsidR="00F826F1" w:rsidRPr="00E273FC" w14:paraId="00FAC06A" w14:textId="77777777" w:rsidTr="00875399">
        <w:trPr>
          <w:trHeight w:val="340"/>
        </w:trPr>
        <w:tc>
          <w:tcPr>
            <w:tcW w:w="4536" w:type="dxa"/>
            <w:shd w:val="clear" w:color="auto" w:fill="auto"/>
            <w:tcMar>
              <w:left w:w="57" w:type="dxa"/>
              <w:right w:w="57" w:type="dxa"/>
            </w:tcMar>
            <w:vAlign w:val="center"/>
          </w:tcPr>
          <w:p w14:paraId="7A3EFDF9"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Organics (kg)</w:t>
            </w:r>
          </w:p>
        </w:tc>
        <w:tc>
          <w:tcPr>
            <w:tcW w:w="1134" w:type="dxa"/>
            <w:shd w:val="clear" w:color="auto" w:fill="auto"/>
            <w:vAlign w:val="center"/>
          </w:tcPr>
          <w:p w14:paraId="5DA22A86"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3146344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1,746</w:t>
            </w:r>
          </w:p>
        </w:tc>
        <w:tc>
          <w:tcPr>
            <w:tcW w:w="1134" w:type="dxa"/>
            <w:shd w:val="clear" w:color="auto" w:fill="auto"/>
            <w:vAlign w:val="center"/>
          </w:tcPr>
          <w:p w14:paraId="6D4FE98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8,170</w:t>
            </w:r>
          </w:p>
        </w:tc>
        <w:tc>
          <w:tcPr>
            <w:tcW w:w="1134" w:type="dxa"/>
            <w:shd w:val="clear" w:color="auto" w:fill="auto"/>
            <w:vAlign w:val="center"/>
          </w:tcPr>
          <w:p w14:paraId="2DBE84D6"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12,043</w:t>
            </w:r>
          </w:p>
        </w:tc>
      </w:tr>
      <w:tr w:rsidR="00F826F1" w:rsidRPr="00E273FC" w14:paraId="7FCB8FB8" w14:textId="77777777" w:rsidTr="00875399">
        <w:trPr>
          <w:trHeight w:val="340"/>
        </w:trPr>
        <w:tc>
          <w:tcPr>
            <w:tcW w:w="4536" w:type="dxa"/>
            <w:shd w:val="clear" w:color="auto" w:fill="auto"/>
            <w:tcMar>
              <w:left w:w="57" w:type="dxa"/>
              <w:right w:w="57" w:type="dxa"/>
            </w:tcMar>
            <w:vAlign w:val="center"/>
          </w:tcPr>
          <w:p w14:paraId="2EB45E9A" w14:textId="77777777" w:rsidR="00F826F1" w:rsidRPr="00E273FC" w:rsidRDefault="00F826F1" w:rsidP="00DE1921">
            <w:pPr>
              <w:pStyle w:val="TableTextLeftItalics"/>
              <w:rPr>
                <w:rFonts w:ascii="Arial" w:hAnsi="Arial" w:cs="Arial"/>
                <w:sz w:val="24"/>
                <w:szCs w:val="24"/>
              </w:rPr>
            </w:pPr>
            <w:r w:rsidRPr="00E273FC">
              <w:rPr>
                <w:rFonts w:ascii="Arial" w:hAnsi="Arial" w:cs="Arial"/>
                <w:sz w:val="24"/>
                <w:szCs w:val="24"/>
              </w:rPr>
              <w:t>Total units of waste disposed of per FTE by destination (kg/FTE)</w:t>
            </w:r>
          </w:p>
        </w:tc>
        <w:tc>
          <w:tcPr>
            <w:tcW w:w="1134" w:type="dxa"/>
            <w:shd w:val="clear" w:color="auto" w:fill="auto"/>
          </w:tcPr>
          <w:p w14:paraId="589E0759"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tcPr>
          <w:p w14:paraId="418CB8A9"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78.79</w:t>
            </w:r>
          </w:p>
        </w:tc>
        <w:tc>
          <w:tcPr>
            <w:tcW w:w="1134" w:type="dxa"/>
            <w:shd w:val="clear" w:color="auto" w:fill="auto"/>
          </w:tcPr>
          <w:p w14:paraId="4E950CF3"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78.79</w:t>
            </w:r>
          </w:p>
        </w:tc>
        <w:tc>
          <w:tcPr>
            <w:tcW w:w="1134" w:type="dxa"/>
            <w:shd w:val="clear" w:color="auto" w:fill="auto"/>
          </w:tcPr>
          <w:p w14:paraId="471EB326"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74.62</w:t>
            </w:r>
          </w:p>
        </w:tc>
      </w:tr>
      <w:tr w:rsidR="00F826F1" w:rsidRPr="00E273FC" w14:paraId="000DDB94" w14:textId="77777777" w:rsidTr="00875399">
        <w:trPr>
          <w:trHeight w:val="340"/>
        </w:trPr>
        <w:tc>
          <w:tcPr>
            <w:tcW w:w="4536" w:type="dxa"/>
            <w:shd w:val="clear" w:color="auto" w:fill="auto"/>
            <w:tcMar>
              <w:left w:w="57" w:type="dxa"/>
              <w:right w:w="57" w:type="dxa"/>
            </w:tcMar>
            <w:vAlign w:val="center"/>
          </w:tcPr>
          <w:p w14:paraId="3F557AA8"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Landfill (kg/FTE)</w:t>
            </w:r>
          </w:p>
        </w:tc>
        <w:tc>
          <w:tcPr>
            <w:tcW w:w="1134" w:type="dxa"/>
            <w:shd w:val="clear" w:color="auto" w:fill="auto"/>
            <w:vAlign w:val="center"/>
          </w:tcPr>
          <w:p w14:paraId="4D4F5FC3"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7919A8C8"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26.83</w:t>
            </w:r>
          </w:p>
        </w:tc>
        <w:tc>
          <w:tcPr>
            <w:tcW w:w="1134" w:type="dxa"/>
            <w:shd w:val="clear" w:color="auto" w:fill="auto"/>
            <w:vAlign w:val="center"/>
          </w:tcPr>
          <w:p w14:paraId="686D04E7"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26.83</w:t>
            </w:r>
          </w:p>
        </w:tc>
        <w:tc>
          <w:tcPr>
            <w:tcW w:w="1134" w:type="dxa"/>
            <w:shd w:val="clear" w:color="auto" w:fill="auto"/>
            <w:vAlign w:val="center"/>
          </w:tcPr>
          <w:p w14:paraId="396202B0"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22.79</w:t>
            </w:r>
          </w:p>
        </w:tc>
      </w:tr>
      <w:tr w:rsidR="00F826F1" w:rsidRPr="00E273FC" w14:paraId="4AB719C5" w14:textId="77777777" w:rsidTr="00875399">
        <w:trPr>
          <w:trHeight w:val="340"/>
        </w:trPr>
        <w:tc>
          <w:tcPr>
            <w:tcW w:w="4536" w:type="dxa"/>
            <w:shd w:val="clear" w:color="auto" w:fill="auto"/>
            <w:tcMar>
              <w:left w:w="57" w:type="dxa"/>
              <w:right w:w="57" w:type="dxa"/>
            </w:tcMar>
            <w:vAlign w:val="center"/>
          </w:tcPr>
          <w:p w14:paraId="2EAD74BD"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Comingled recycling (kg/FTE)</w:t>
            </w:r>
          </w:p>
        </w:tc>
        <w:tc>
          <w:tcPr>
            <w:tcW w:w="1134" w:type="dxa"/>
            <w:shd w:val="clear" w:color="auto" w:fill="auto"/>
            <w:vAlign w:val="center"/>
          </w:tcPr>
          <w:p w14:paraId="4F644470"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54A252A1"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12.20</w:t>
            </w:r>
          </w:p>
        </w:tc>
        <w:tc>
          <w:tcPr>
            <w:tcW w:w="1134" w:type="dxa"/>
            <w:shd w:val="clear" w:color="auto" w:fill="auto"/>
            <w:vAlign w:val="center"/>
          </w:tcPr>
          <w:p w14:paraId="7248D170"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12.20</w:t>
            </w:r>
          </w:p>
        </w:tc>
        <w:tc>
          <w:tcPr>
            <w:tcW w:w="1134" w:type="dxa"/>
            <w:shd w:val="clear" w:color="auto" w:fill="auto"/>
            <w:vAlign w:val="center"/>
          </w:tcPr>
          <w:p w14:paraId="6E97A58E"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11.7</w:t>
            </w:r>
          </w:p>
        </w:tc>
      </w:tr>
      <w:tr w:rsidR="00F826F1" w:rsidRPr="00E273FC" w14:paraId="0BA536F0" w14:textId="77777777" w:rsidTr="00875399">
        <w:trPr>
          <w:trHeight w:val="340"/>
        </w:trPr>
        <w:tc>
          <w:tcPr>
            <w:tcW w:w="4536" w:type="dxa"/>
            <w:shd w:val="clear" w:color="auto" w:fill="auto"/>
            <w:tcMar>
              <w:left w:w="57" w:type="dxa"/>
              <w:right w:w="57" w:type="dxa"/>
            </w:tcMar>
            <w:vAlign w:val="center"/>
          </w:tcPr>
          <w:p w14:paraId="6D6464AB"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Paper and card (kg/FTE)</w:t>
            </w:r>
          </w:p>
        </w:tc>
        <w:tc>
          <w:tcPr>
            <w:tcW w:w="1134" w:type="dxa"/>
            <w:shd w:val="clear" w:color="auto" w:fill="auto"/>
            <w:vAlign w:val="center"/>
          </w:tcPr>
          <w:p w14:paraId="3F76E69D"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4F79DD7D"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17.54</w:t>
            </w:r>
          </w:p>
        </w:tc>
        <w:tc>
          <w:tcPr>
            <w:tcW w:w="1134" w:type="dxa"/>
            <w:shd w:val="clear" w:color="auto" w:fill="auto"/>
            <w:vAlign w:val="center"/>
          </w:tcPr>
          <w:p w14:paraId="1132F70E"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17.54</w:t>
            </w:r>
          </w:p>
        </w:tc>
        <w:tc>
          <w:tcPr>
            <w:tcW w:w="1134" w:type="dxa"/>
            <w:shd w:val="clear" w:color="auto" w:fill="auto"/>
            <w:vAlign w:val="center"/>
          </w:tcPr>
          <w:p w14:paraId="6B3C841D"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9.45</w:t>
            </w:r>
          </w:p>
        </w:tc>
      </w:tr>
      <w:tr w:rsidR="00F826F1" w:rsidRPr="00E273FC" w14:paraId="2EEBA9C2" w14:textId="77777777" w:rsidTr="00875399">
        <w:trPr>
          <w:trHeight w:val="340"/>
        </w:trPr>
        <w:tc>
          <w:tcPr>
            <w:tcW w:w="4536" w:type="dxa"/>
            <w:shd w:val="clear" w:color="auto" w:fill="auto"/>
            <w:tcMar>
              <w:left w:w="57" w:type="dxa"/>
              <w:right w:w="57" w:type="dxa"/>
            </w:tcMar>
            <w:vAlign w:val="center"/>
          </w:tcPr>
          <w:p w14:paraId="5C3945F7"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Secure documents (kg/FTE)</w:t>
            </w:r>
          </w:p>
        </w:tc>
        <w:tc>
          <w:tcPr>
            <w:tcW w:w="1134" w:type="dxa"/>
            <w:shd w:val="clear" w:color="auto" w:fill="auto"/>
            <w:vAlign w:val="center"/>
          </w:tcPr>
          <w:p w14:paraId="1C3DF817"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1063384A"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16.94</w:t>
            </w:r>
          </w:p>
        </w:tc>
        <w:tc>
          <w:tcPr>
            <w:tcW w:w="1134" w:type="dxa"/>
            <w:shd w:val="clear" w:color="auto" w:fill="auto"/>
            <w:vAlign w:val="center"/>
          </w:tcPr>
          <w:p w14:paraId="49732F9F"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16.94</w:t>
            </w:r>
          </w:p>
        </w:tc>
        <w:tc>
          <w:tcPr>
            <w:tcW w:w="1134" w:type="dxa"/>
            <w:shd w:val="clear" w:color="auto" w:fill="auto"/>
            <w:vAlign w:val="center"/>
          </w:tcPr>
          <w:p w14:paraId="62F6BE3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24.7</w:t>
            </w:r>
          </w:p>
        </w:tc>
      </w:tr>
      <w:tr w:rsidR="00F826F1" w:rsidRPr="00E273FC" w14:paraId="32A7E280" w14:textId="77777777" w:rsidTr="00875399">
        <w:trPr>
          <w:trHeight w:val="340"/>
        </w:trPr>
        <w:tc>
          <w:tcPr>
            <w:tcW w:w="4536" w:type="dxa"/>
            <w:shd w:val="clear" w:color="auto" w:fill="auto"/>
            <w:tcMar>
              <w:left w:w="57" w:type="dxa"/>
              <w:right w:w="57" w:type="dxa"/>
            </w:tcMar>
            <w:vAlign w:val="center"/>
          </w:tcPr>
          <w:p w14:paraId="21DC3B4A"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Organics (kg/FTE)</w:t>
            </w:r>
          </w:p>
        </w:tc>
        <w:tc>
          <w:tcPr>
            <w:tcW w:w="1134" w:type="dxa"/>
            <w:shd w:val="clear" w:color="auto" w:fill="auto"/>
            <w:vAlign w:val="center"/>
          </w:tcPr>
          <w:p w14:paraId="18DB481F"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2F6A969E"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5.28</w:t>
            </w:r>
          </w:p>
        </w:tc>
        <w:tc>
          <w:tcPr>
            <w:tcW w:w="1134" w:type="dxa"/>
            <w:shd w:val="clear" w:color="auto" w:fill="auto"/>
            <w:vAlign w:val="center"/>
          </w:tcPr>
          <w:p w14:paraId="2720FE92"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5.28</w:t>
            </w:r>
          </w:p>
        </w:tc>
        <w:tc>
          <w:tcPr>
            <w:tcW w:w="1134" w:type="dxa"/>
            <w:shd w:val="clear" w:color="auto" w:fill="auto"/>
            <w:vAlign w:val="center"/>
          </w:tcPr>
          <w:p w14:paraId="37D2F258" w14:textId="77777777" w:rsidR="00F826F1" w:rsidRPr="00E273FC" w:rsidRDefault="00F826F1" w:rsidP="00DE1921">
            <w:pPr>
              <w:pStyle w:val="TableTextRight"/>
              <w:rPr>
                <w:rFonts w:ascii="Arial" w:hAnsi="Arial" w:cs="Arial"/>
                <w:sz w:val="24"/>
                <w:szCs w:val="24"/>
              </w:rPr>
            </w:pPr>
          </w:p>
        </w:tc>
      </w:tr>
      <w:tr w:rsidR="00F826F1" w:rsidRPr="00E273FC" w14:paraId="29BC4430" w14:textId="77777777" w:rsidTr="00875399">
        <w:trPr>
          <w:trHeight w:val="340"/>
        </w:trPr>
        <w:tc>
          <w:tcPr>
            <w:tcW w:w="4536" w:type="dxa"/>
            <w:shd w:val="clear" w:color="auto" w:fill="auto"/>
            <w:tcMar>
              <w:left w:w="57" w:type="dxa"/>
              <w:right w:w="57" w:type="dxa"/>
            </w:tcMar>
            <w:vAlign w:val="center"/>
          </w:tcPr>
          <w:p w14:paraId="6DA91BBE" w14:textId="77777777" w:rsidR="00F826F1" w:rsidRPr="00E273FC" w:rsidRDefault="00F826F1" w:rsidP="00DE1921">
            <w:pPr>
              <w:pStyle w:val="TableTextLeftBold"/>
              <w:rPr>
                <w:rFonts w:ascii="Arial" w:hAnsi="Arial" w:cs="Arial"/>
                <w:sz w:val="24"/>
                <w:szCs w:val="24"/>
              </w:rPr>
            </w:pPr>
          </w:p>
        </w:tc>
        <w:tc>
          <w:tcPr>
            <w:tcW w:w="1134" w:type="dxa"/>
            <w:shd w:val="clear" w:color="auto" w:fill="auto"/>
            <w:vAlign w:val="center"/>
          </w:tcPr>
          <w:p w14:paraId="0B9A40A9" w14:textId="77777777" w:rsidR="00F826F1" w:rsidRPr="00E273FC" w:rsidRDefault="00F826F1" w:rsidP="00DE1921">
            <w:pPr>
              <w:pStyle w:val="TableTextRightBold"/>
              <w:rPr>
                <w:rFonts w:ascii="Arial" w:hAnsi="Arial" w:cs="Arial"/>
                <w:sz w:val="24"/>
                <w:szCs w:val="24"/>
              </w:rPr>
            </w:pPr>
          </w:p>
        </w:tc>
        <w:tc>
          <w:tcPr>
            <w:tcW w:w="1134" w:type="dxa"/>
            <w:shd w:val="clear" w:color="auto" w:fill="auto"/>
            <w:vAlign w:val="center"/>
          </w:tcPr>
          <w:p w14:paraId="37AF57F4"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5CCE0D32"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67DD2408" w14:textId="77777777" w:rsidR="00F826F1" w:rsidRPr="00E273FC" w:rsidRDefault="00F826F1" w:rsidP="00DE1921">
            <w:pPr>
              <w:pStyle w:val="TableTextRight"/>
              <w:rPr>
                <w:rFonts w:ascii="Arial" w:hAnsi="Arial" w:cs="Arial"/>
                <w:sz w:val="24"/>
                <w:szCs w:val="24"/>
              </w:rPr>
            </w:pPr>
          </w:p>
        </w:tc>
      </w:tr>
      <w:tr w:rsidR="00F826F1" w:rsidRPr="00E273FC" w14:paraId="3A5F73F6" w14:textId="77777777" w:rsidTr="00875399">
        <w:trPr>
          <w:trHeight w:val="340"/>
        </w:trPr>
        <w:tc>
          <w:tcPr>
            <w:tcW w:w="4536" w:type="dxa"/>
            <w:shd w:val="clear" w:color="auto" w:fill="auto"/>
            <w:tcMar>
              <w:left w:w="57" w:type="dxa"/>
              <w:right w:w="57" w:type="dxa"/>
            </w:tcMar>
            <w:vAlign w:val="center"/>
          </w:tcPr>
          <w:p w14:paraId="3690B3E3"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Recycling rate (%)</w:t>
            </w:r>
          </w:p>
        </w:tc>
        <w:tc>
          <w:tcPr>
            <w:tcW w:w="1134" w:type="dxa"/>
            <w:shd w:val="clear" w:color="auto" w:fill="auto"/>
            <w:vAlign w:val="center"/>
          </w:tcPr>
          <w:p w14:paraId="6851EC1F"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29DC473E"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66%</w:t>
            </w:r>
          </w:p>
        </w:tc>
        <w:tc>
          <w:tcPr>
            <w:tcW w:w="1134" w:type="dxa"/>
            <w:shd w:val="clear" w:color="auto" w:fill="auto"/>
            <w:vAlign w:val="center"/>
          </w:tcPr>
          <w:p w14:paraId="02A5D12C" w14:textId="77777777" w:rsidR="00F826F1" w:rsidRPr="00E273FC" w:rsidRDefault="00F826F1" w:rsidP="00DE1921">
            <w:pPr>
              <w:pStyle w:val="TableTextRight"/>
              <w:rPr>
                <w:rFonts w:ascii="Arial" w:hAnsi="Arial" w:cs="Arial"/>
                <w:color w:val="4C4D4F"/>
                <w:sz w:val="24"/>
                <w:szCs w:val="24"/>
              </w:rPr>
            </w:pPr>
            <w:r w:rsidRPr="00E273FC">
              <w:rPr>
                <w:rFonts w:ascii="Arial" w:hAnsi="Arial" w:cs="Arial"/>
                <w:sz w:val="24"/>
                <w:szCs w:val="24"/>
              </w:rPr>
              <w:t>66%</w:t>
            </w:r>
          </w:p>
        </w:tc>
        <w:tc>
          <w:tcPr>
            <w:tcW w:w="1134" w:type="dxa"/>
            <w:shd w:val="clear" w:color="auto" w:fill="auto"/>
            <w:vAlign w:val="center"/>
          </w:tcPr>
          <w:p w14:paraId="2E562894" w14:textId="77777777" w:rsidR="00F826F1" w:rsidRPr="00E273FC" w:rsidRDefault="00F826F1" w:rsidP="00DE1921">
            <w:pPr>
              <w:pStyle w:val="TableTextRight"/>
              <w:rPr>
                <w:rFonts w:ascii="Arial" w:hAnsi="Arial" w:cs="Arial"/>
                <w:sz w:val="24"/>
                <w:szCs w:val="24"/>
              </w:rPr>
            </w:pPr>
            <w:r w:rsidRPr="00E273FC">
              <w:rPr>
                <w:rFonts w:ascii="Arial" w:hAnsi="Arial" w:cs="Arial"/>
                <w:color w:val="4C4D4F"/>
                <w:sz w:val="24"/>
                <w:szCs w:val="24"/>
              </w:rPr>
              <w:t>69.5%</w:t>
            </w:r>
          </w:p>
        </w:tc>
      </w:tr>
      <w:tr w:rsidR="00F826F1" w:rsidRPr="00E273FC" w14:paraId="7EA8FBC1" w14:textId="77777777" w:rsidTr="00875399">
        <w:trPr>
          <w:trHeight w:val="340"/>
        </w:trPr>
        <w:tc>
          <w:tcPr>
            <w:tcW w:w="4536" w:type="dxa"/>
            <w:shd w:val="clear" w:color="auto" w:fill="auto"/>
            <w:tcMar>
              <w:left w:w="57" w:type="dxa"/>
              <w:right w:w="57" w:type="dxa"/>
            </w:tcMar>
            <w:vAlign w:val="center"/>
          </w:tcPr>
          <w:p w14:paraId="7AF065B4"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Greenhouse gas emissions associated with waste (tonnes CO</w:t>
            </w:r>
            <w:r w:rsidRPr="00E273FC">
              <w:rPr>
                <w:rFonts w:ascii="Arial" w:hAnsi="Arial" w:cs="Arial"/>
                <w:sz w:val="24"/>
                <w:szCs w:val="24"/>
                <w:vertAlign w:val="subscript"/>
              </w:rPr>
              <w:t>2</w:t>
            </w:r>
            <w:r w:rsidRPr="00E273FC">
              <w:rPr>
                <w:rFonts w:ascii="Arial" w:hAnsi="Arial" w:cs="Arial"/>
                <w:sz w:val="24"/>
                <w:szCs w:val="24"/>
              </w:rPr>
              <w:t>-e)</w:t>
            </w:r>
          </w:p>
        </w:tc>
        <w:tc>
          <w:tcPr>
            <w:tcW w:w="1134" w:type="dxa"/>
            <w:shd w:val="clear" w:color="auto" w:fill="auto"/>
          </w:tcPr>
          <w:p w14:paraId="737A9336"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tcPr>
          <w:p w14:paraId="406E8351"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13.59</w:t>
            </w:r>
          </w:p>
        </w:tc>
        <w:tc>
          <w:tcPr>
            <w:tcW w:w="1134" w:type="dxa"/>
            <w:shd w:val="clear" w:color="auto" w:fill="auto"/>
          </w:tcPr>
          <w:p w14:paraId="6AB08846" w14:textId="77777777" w:rsidR="00F826F1" w:rsidRPr="00E273FC" w:rsidRDefault="00F826F1" w:rsidP="00DE1921">
            <w:pPr>
              <w:pStyle w:val="TableTextRight"/>
              <w:rPr>
                <w:rFonts w:ascii="Arial" w:hAnsi="Arial" w:cs="Arial"/>
                <w:color w:val="4C4D4F"/>
                <w:sz w:val="24"/>
                <w:szCs w:val="24"/>
              </w:rPr>
            </w:pPr>
            <w:r w:rsidRPr="00E273FC">
              <w:rPr>
                <w:rFonts w:ascii="Arial" w:hAnsi="Arial" w:cs="Arial"/>
                <w:sz w:val="24"/>
                <w:szCs w:val="24"/>
              </w:rPr>
              <w:t>63.62</w:t>
            </w:r>
          </w:p>
        </w:tc>
        <w:tc>
          <w:tcPr>
            <w:tcW w:w="1134" w:type="dxa"/>
            <w:shd w:val="clear" w:color="auto" w:fill="auto"/>
          </w:tcPr>
          <w:p w14:paraId="1168DB12" w14:textId="77777777" w:rsidR="00F826F1" w:rsidRPr="00E273FC" w:rsidRDefault="00F826F1" w:rsidP="00DE1921">
            <w:pPr>
              <w:pStyle w:val="TableTextRight"/>
              <w:rPr>
                <w:rFonts w:ascii="Arial" w:hAnsi="Arial" w:cs="Arial"/>
                <w:sz w:val="24"/>
                <w:szCs w:val="24"/>
              </w:rPr>
            </w:pPr>
            <w:r w:rsidRPr="00E273FC">
              <w:rPr>
                <w:rFonts w:ascii="Arial" w:hAnsi="Arial" w:cs="Arial"/>
                <w:color w:val="4C4D4F"/>
                <w:sz w:val="24"/>
                <w:szCs w:val="24"/>
              </w:rPr>
              <w:t>77.95</w:t>
            </w:r>
          </w:p>
        </w:tc>
      </w:tr>
      <w:tr w:rsidR="00F826F1" w:rsidRPr="00E273FC" w14:paraId="11C5C38A" w14:textId="77777777" w:rsidTr="00875399">
        <w:trPr>
          <w:trHeight w:val="340"/>
        </w:trPr>
        <w:tc>
          <w:tcPr>
            <w:tcW w:w="4536" w:type="dxa"/>
            <w:shd w:val="clear" w:color="auto" w:fill="auto"/>
            <w:tcMar>
              <w:left w:w="57" w:type="dxa"/>
              <w:right w:w="57" w:type="dxa"/>
            </w:tcMar>
            <w:vAlign w:val="center"/>
          </w:tcPr>
          <w:p w14:paraId="33CF207D" w14:textId="77777777" w:rsidR="00F826F1" w:rsidRPr="00E273FC" w:rsidRDefault="00F826F1" w:rsidP="00DE1921">
            <w:pPr>
              <w:pStyle w:val="TableTextLeftBold"/>
              <w:rPr>
                <w:rFonts w:ascii="Arial" w:hAnsi="Arial" w:cs="Arial"/>
                <w:sz w:val="24"/>
                <w:szCs w:val="24"/>
              </w:rPr>
            </w:pPr>
          </w:p>
        </w:tc>
        <w:tc>
          <w:tcPr>
            <w:tcW w:w="1134" w:type="dxa"/>
            <w:shd w:val="clear" w:color="auto" w:fill="auto"/>
            <w:vAlign w:val="center"/>
          </w:tcPr>
          <w:p w14:paraId="2C1E1B2D" w14:textId="77777777" w:rsidR="00F826F1" w:rsidRPr="00E273FC" w:rsidRDefault="00F826F1" w:rsidP="00DE1921">
            <w:pPr>
              <w:pStyle w:val="TableTextRightBold"/>
              <w:rPr>
                <w:rFonts w:ascii="Arial" w:hAnsi="Arial" w:cs="Arial"/>
                <w:sz w:val="24"/>
                <w:szCs w:val="24"/>
              </w:rPr>
            </w:pPr>
          </w:p>
        </w:tc>
        <w:tc>
          <w:tcPr>
            <w:tcW w:w="1134" w:type="dxa"/>
            <w:shd w:val="clear" w:color="auto" w:fill="auto"/>
            <w:vAlign w:val="center"/>
          </w:tcPr>
          <w:p w14:paraId="1A0556EE"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59E4AA2C"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34613F4A" w14:textId="77777777" w:rsidR="00F826F1" w:rsidRPr="00E273FC" w:rsidRDefault="00F826F1" w:rsidP="00DE1921">
            <w:pPr>
              <w:pStyle w:val="TableTextRight"/>
              <w:rPr>
                <w:rFonts w:ascii="Arial" w:hAnsi="Arial" w:cs="Arial"/>
                <w:sz w:val="24"/>
                <w:szCs w:val="24"/>
              </w:rPr>
            </w:pPr>
          </w:p>
        </w:tc>
      </w:tr>
      <w:tr w:rsidR="00F826F1" w:rsidRPr="00E273FC" w14:paraId="39123427" w14:textId="77777777" w:rsidTr="00875399">
        <w:trPr>
          <w:trHeight w:val="340"/>
        </w:trPr>
        <w:tc>
          <w:tcPr>
            <w:tcW w:w="4536" w:type="dxa"/>
            <w:shd w:val="clear" w:color="auto" w:fill="auto"/>
            <w:tcMar>
              <w:left w:w="57" w:type="dxa"/>
              <w:right w:w="57" w:type="dxa"/>
            </w:tcMar>
            <w:vAlign w:val="center"/>
          </w:tcPr>
          <w:p w14:paraId="6AEB4DD0"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Number of FTEs</w:t>
            </w:r>
          </w:p>
        </w:tc>
        <w:tc>
          <w:tcPr>
            <w:tcW w:w="1134" w:type="dxa"/>
            <w:shd w:val="clear" w:color="auto" w:fill="auto"/>
            <w:vAlign w:val="center"/>
          </w:tcPr>
          <w:p w14:paraId="601505BE"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218A3A7E"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662</w:t>
            </w:r>
          </w:p>
        </w:tc>
        <w:tc>
          <w:tcPr>
            <w:tcW w:w="1134" w:type="dxa"/>
            <w:shd w:val="clear" w:color="auto" w:fill="auto"/>
            <w:vAlign w:val="center"/>
          </w:tcPr>
          <w:p w14:paraId="4EF2BFE6" w14:textId="77777777" w:rsidR="00F826F1" w:rsidRPr="00E273FC" w:rsidRDefault="00F826F1" w:rsidP="00DE1921">
            <w:pPr>
              <w:pStyle w:val="TableTextRight"/>
              <w:rPr>
                <w:rFonts w:ascii="Arial" w:hAnsi="Arial" w:cs="Arial"/>
                <w:color w:val="4C4D4F"/>
                <w:sz w:val="24"/>
                <w:szCs w:val="24"/>
              </w:rPr>
            </w:pPr>
            <w:r w:rsidRPr="00E273FC">
              <w:rPr>
                <w:rFonts w:ascii="Arial" w:hAnsi="Arial" w:cs="Arial"/>
                <w:sz w:val="24"/>
                <w:szCs w:val="24"/>
              </w:rPr>
              <w:t>3,096</w:t>
            </w:r>
          </w:p>
        </w:tc>
        <w:tc>
          <w:tcPr>
            <w:tcW w:w="1134" w:type="dxa"/>
            <w:shd w:val="clear" w:color="auto" w:fill="auto"/>
            <w:vAlign w:val="center"/>
          </w:tcPr>
          <w:p w14:paraId="51B8C95F" w14:textId="77777777" w:rsidR="00F826F1" w:rsidRPr="00E273FC" w:rsidRDefault="00F826F1" w:rsidP="00DE1921">
            <w:pPr>
              <w:pStyle w:val="TableTextRight"/>
              <w:rPr>
                <w:rFonts w:ascii="Arial" w:hAnsi="Arial" w:cs="Arial"/>
                <w:sz w:val="24"/>
                <w:szCs w:val="24"/>
              </w:rPr>
            </w:pPr>
            <w:r w:rsidRPr="00E273FC">
              <w:rPr>
                <w:rFonts w:ascii="Arial" w:hAnsi="Arial" w:cs="Arial"/>
                <w:color w:val="4C4D4F"/>
                <w:sz w:val="24"/>
                <w:szCs w:val="24"/>
              </w:rPr>
              <w:t>3,003</w:t>
            </w:r>
          </w:p>
        </w:tc>
      </w:tr>
      <w:tr w:rsidR="00F826F1" w:rsidRPr="00E273FC" w14:paraId="0667472A" w14:textId="77777777" w:rsidTr="00875399">
        <w:trPr>
          <w:trHeight w:val="340"/>
        </w:trPr>
        <w:tc>
          <w:tcPr>
            <w:tcW w:w="4536" w:type="dxa"/>
            <w:shd w:val="clear" w:color="auto" w:fill="auto"/>
            <w:tcMar>
              <w:left w:w="57" w:type="dxa"/>
              <w:right w:w="57" w:type="dxa"/>
            </w:tcMar>
            <w:vAlign w:val="center"/>
          </w:tcPr>
          <w:p w14:paraId="0A679290"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Number of sites audited</w:t>
            </w:r>
          </w:p>
        </w:tc>
        <w:tc>
          <w:tcPr>
            <w:tcW w:w="1134" w:type="dxa"/>
            <w:shd w:val="clear" w:color="auto" w:fill="auto"/>
            <w:vAlign w:val="center"/>
          </w:tcPr>
          <w:p w14:paraId="426E6259"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1FBFC77A"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6</w:t>
            </w:r>
          </w:p>
        </w:tc>
        <w:tc>
          <w:tcPr>
            <w:tcW w:w="1134" w:type="dxa"/>
            <w:shd w:val="clear" w:color="auto" w:fill="auto"/>
            <w:vAlign w:val="center"/>
          </w:tcPr>
          <w:p w14:paraId="1B545051" w14:textId="77777777" w:rsidR="00F826F1" w:rsidRPr="00E273FC" w:rsidRDefault="00F826F1" w:rsidP="00DE1921">
            <w:pPr>
              <w:pStyle w:val="TableTextRight"/>
              <w:rPr>
                <w:rFonts w:ascii="Arial" w:hAnsi="Arial" w:cs="Arial"/>
                <w:color w:val="4C4D4F"/>
                <w:position w:val="-4"/>
                <w:sz w:val="24"/>
                <w:szCs w:val="24"/>
              </w:rPr>
            </w:pPr>
            <w:r w:rsidRPr="00E273FC">
              <w:rPr>
                <w:rFonts w:ascii="Arial" w:hAnsi="Arial" w:cs="Arial"/>
                <w:sz w:val="24"/>
                <w:szCs w:val="24"/>
              </w:rPr>
              <w:t>6</w:t>
            </w:r>
          </w:p>
        </w:tc>
        <w:tc>
          <w:tcPr>
            <w:tcW w:w="1134" w:type="dxa"/>
            <w:shd w:val="clear" w:color="auto" w:fill="auto"/>
            <w:vAlign w:val="center"/>
          </w:tcPr>
          <w:p w14:paraId="0C99E15C" w14:textId="77777777" w:rsidR="00F826F1" w:rsidRPr="00E273FC" w:rsidRDefault="00F826F1" w:rsidP="00DE1921">
            <w:pPr>
              <w:pStyle w:val="TableTextRight"/>
              <w:rPr>
                <w:rFonts w:ascii="Arial" w:hAnsi="Arial" w:cs="Arial"/>
                <w:sz w:val="24"/>
                <w:szCs w:val="24"/>
              </w:rPr>
            </w:pPr>
            <w:r w:rsidRPr="00E273FC">
              <w:rPr>
                <w:rFonts w:ascii="Arial" w:hAnsi="Arial" w:cs="Arial"/>
                <w:color w:val="4C4D4F"/>
                <w:position w:val="-4"/>
                <w:sz w:val="24"/>
                <w:szCs w:val="24"/>
              </w:rPr>
              <w:t>6</w:t>
            </w:r>
          </w:p>
        </w:tc>
      </w:tr>
    </w:tbl>
    <w:p w14:paraId="4321C756" w14:textId="77777777" w:rsidR="00F826F1" w:rsidRPr="00E273FC" w:rsidRDefault="00F826F1" w:rsidP="004273F9">
      <w:pPr>
        <w:pStyle w:val="Note"/>
        <w:spacing w:line="360" w:lineRule="auto"/>
        <w:rPr>
          <w:rFonts w:ascii="Arial" w:hAnsi="Arial" w:cs="Arial"/>
          <w:sz w:val="24"/>
          <w:szCs w:val="24"/>
        </w:rPr>
      </w:pPr>
      <w:r w:rsidRPr="00E273FC">
        <w:rPr>
          <w:rFonts w:ascii="Arial" w:hAnsi="Arial" w:cs="Arial"/>
          <w:sz w:val="24"/>
          <w:szCs w:val="24"/>
        </w:rPr>
        <w:t>Notes:</w:t>
      </w:r>
    </w:p>
    <w:p w14:paraId="01E9071C" w14:textId="77777777" w:rsidR="00F826F1" w:rsidRPr="00E273FC" w:rsidRDefault="00F826F1" w:rsidP="00610F5F">
      <w:pPr>
        <w:pStyle w:val="Notenumber123"/>
        <w:numPr>
          <w:ilvl w:val="0"/>
          <w:numId w:val="63"/>
        </w:numPr>
        <w:spacing w:line="360" w:lineRule="auto"/>
        <w:ind w:left="340" w:hanging="227"/>
        <w:contextualSpacing/>
        <w:rPr>
          <w:rFonts w:ascii="Arial" w:hAnsi="Arial" w:cs="Arial"/>
          <w:sz w:val="24"/>
          <w:szCs w:val="24"/>
        </w:rPr>
      </w:pPr>
      <w:r w:rsidRPr="00E273FC">
        <w:rPr>
          <w:rFonts w:ascii="Arial" w:hAnsi="Arial" w:cs="Arial"/>
          <w:sz w:val="24"/>
          <w:szCs w:val="24"/>
        </w:rPr>
        <w:t>The majority of waste audits were planned for March/April 2020. Due to the coronavirus (COVID-19) these audits were not completed and 2019-20 FY data cannot be reported.</w:t>
      </w:r>
    </w:p>
    <w:p w14:paraId="63C280FB" w14:textId="77777777" w:rsidR="00F826F1" w:rsidRPr="00E273FC" w:rsidRDefault="00F826F1" w:rsidP="00610F5F">
      <w:pPr>
        <w:pStyle w:val="Notenumber123"/>
        <w:numPr>
          <w:ilvl w:val="0"/>
          <w:numId w:val="25"/>
        </w:numPr>
        <w:spacing w:line="360" w:lineRule="auto"/>
        <w:ind w:left="340" w:hanging="227"/>
        <w:contextualSpacing/>
        <w:rPr>
          <w:rFonts w:ascii="Arial" w:hAnsi="Arial" w:cs="Arial"/>
          <w:sz w:val="24"/>
          <w:szCs w:val="24"/>
        </w:rPr>
      </w:pPr>
      <w:r w:rsidRPr="00E273FC">
        <w:rPr>
          <w:rFonts w:ascii="Arial" w:hAnsi="Arial" w:cs="Arial"/>
          <w:sz w:val="24"/>
          <w:szCs w:val="24"/>
        </w:rPr>
        <w:t>Figures in this table are based on an annual audit which determines sample waste data. The sample waste data for the 2018-19 FY and 2017-18 FY was extrapolated across the whole department for DoT and DJPR to estimate the overall result for each department.</w:t>
      </w:r>
    </w:p>
    <w:p w14:paraId="243BE358" w14:textId="77777777" w:rsidR="00F826F1" w:rsidRPr="00E55E33" w:rsidRDefault="00F826F1" w:rsidP="00EF5131">
      <w:pPr>
        <w:pStyle w:val="Heading5"/>
      </w:pPr>
      <w:r w:rsidRPr="00E55E33">
        <w:t>Actions and Achievements</w:t>
      </w:r>
    </w:p>
    <w:p w14:paraId="288D7319" w14:textId="77777777" w:rsidR="00F826F1" w:rsidRPr="00E12040" w:rsidRDefault="00F826F1" w:rsidP="0073479A">
      <w:pPr>
        <w:pStyle w:val="aaabullet"/>
      </w:pPr>
      <w:r w:rsidRPr="00E12040">
        <w:t xml:space="preserve">As part of office fit-outs and relocations, items were recycled, repurposed and reused. </w:t>
      </w:r>
    </w:p>
    <w:p w14:paraId="55854E89" w14:textId="77777777" w:rsidR="00F826F1" w:rsidRPr="00E12040" w:rsidRDefault="00F826F1" w:rsidP="0073479A">
      <w:pPr>
        <w:pStyle w:val="aaabullet"/>
      </w:pPr>
      <w:r w:rsidRPr="00E12040">
        <w:lastRenderedPageBreak/>
        <w:t>Promotion of environmental initiatives to reduce single use plastic by the purchase of keep cups, stainless steel straws, bottles, cutlery and produce bags.</w:t>
      </w:r>
    </w:p>
    <w:p w14:paraId="7622D068" w14:textId="77777777" w:rsidR="00F826F1" w:rsidRPr="00E12040" w:rsidRDefault="00F826F1" w:rsidP="0073479A">
      <w:pPr>
        <w:pStyle w:val="aaabullet"/>
      </w:pPr>
      <w:r w:rsidRPr="00E12040">
        <w:t>An environmental behaviour change campaign took place to reduce waste and promote environmental awareness.</w:t>
      </w:r>
    </w:p>
    <w:p w14:paraId="30A2228A" w14:textId="77777777" w:rsidR="00F826F1" w:rsidRPr="00F1110A" w:rsidRDefault="00F826F1" w:rsidP="0073479A">
      <w:pPr>
        <w:pStyle w:val="aaabullet"/>
      </w:pPr>
      <w:r w:rsidRPr="00F1110A">
        <w:t>A stationery free-cycle collection point operates at some CBD sites to encourage recycling, minimise waste and reduce the amount of stationery ordered.</w:t>
      </w:r>
    </w:p>
    <w:p w14:paraId="5713CC3E" w14:textId="66E1D748" w:rsidR="00F826F1" w:rsidRPr="00E55E33" w:rsidRDefault="00F826F1" w:rsidP="00EF5131">
      <w:pPr>
        <w:pStyle w:val="Heading5"/>
      </w:pPr>
      <w:r w:rsidRPr="00E55E33">
        <w:t>Future Objectives</w:t>
      </w:r>
    </w:p>
    <w:p w14:paraId="2D8F44A3" w14:textId="77777777" w:rsidR="00F826F1" w:rsidRPr="00B82B80" w:rsidRDefault="00F826F1" w:rsidP="0073479A">
      <w:pPr>
        <w:pStyle w:val="aaabullet"/>
      </w:pPr>
      <w:r w:rsidRPr="00B82B80">
        <w:t>Continue to reuse office furniture and fit-out materials, reducing waste from office fit-out projects.</w:t>
      </w:r>
    </w:p>
    <w:p w14:paraId="6C48DA15" w14:textId="77777777" w:rsidR="00F826F1" w:rsidRPr="00B82B80" w:rsidRDefault="00F826F1" w:rsidP="0073479A">
      <w:pPr>
        <w:pStyle w:val="aaabullet"/>
      </w:pPr>
      <w:r w:rsidRPr="00B82B80">
        <w:t>Promotion of environmental campaigns.</w:t>
      </w:r>
    </w:p>
    <w:p w14:paraId="41E352A9" w14:textId="77777777" w:rsidR="00F826F1" w:rsidRPr="00B82B80" w:rsidRDefault="00F826F1" w:rsidP="0073479A">
      <w:pPr>
        <w:pStyle w:val="aaabullet"/>
      </w:pPr>
      <w:r w:rsidRPr="00B82B80">
        <w:t xml:space="preserve">Continue to seek further ways to reduce waste over the next financial year. </w:t>
      </w:r>
    </w:p>
    <w:p w14:paraId="48E70120" w14:textId="77777777" w:rsidR="00F826F1" w:rsidRPr="00B82B80" w:rsidRDefault="00F826F1" w:rsidP="00DE1921"/>
    <w:p w14:paraId="6122F965" w14:textId="77777777" w:rsidR="00F826F1" w:rsidRPr="00B82B80" w:rsidRDefault="00F826F1" w:rsidP="00DE1921">
      <w:pPr>
        <w:sectPr w:rsidR="00F826F1" w:rsidRPr="00B82B80" w:rsidSect="001D7372">
          <w:type w:val="continuous"/>
          <w:pgSz w:w="11906" w:h="16838"/>
          <w:pgMar w:top="1701" w:right="1418" w:bottom="1418" w:left="1418" w:header="709" w:footer="709" w:gutter="0"/>
          <w:cols w:space="284"/>
          <w:docGrid w:linePitch="360"/>
        </w:sectPr>
      </w:pPr>
    </w:p>
    <w:p w14:paraId="67B3A633" w14:textId="77777777" w:rsidR="001D7372" w:rsidRDefault="001D7372" w:rsidP="00CF74EB">
      <w:pPr>
        <w:pStyle w:val="TableHeader"/>
        <w:sectPr w:rsidR="001D7372" w:rsidSect="00DE1921">
          <w:pgSz w:w="11906" w:h="16838"/>
          <w:pgMar w:top="1701" w:right="1418" w:bottom="1418" w:left="1418" w:header="709" w:footer="709" w:gutter="0"/>
          <w:cols w:space="284"/>
          <w:docGrid w:linePitch="360"/>
        </w:sectPr>
      </w:pPr>
    </w:p>
    <w:p w14:paraId="15C6908E" w14:textId="6DCCDFD3" w:rsidR="00F826F1" w:rsidRPr="00E273FC" w:rsidRDefault="00F826F1" w:rsidP="00CF74EB">
      <w:pPr>
        <w:pStyle w:val="TableHeader"/>
      </w:pPr>
      <w:r w:rsidRPr="00E273FC">
        <w:t>Travel and transport</w:t>
      </w:r>
    </w:p>
    <w:tbl>
      <w:tblPr>
        <w:tblStyle w:val="TableGrid"/>
        <w:tblW w:w="9072" w:type="dxa"/>
        <w:tblCellMar>
          <w:left w:w="28" w:type="dxa"/>
          <w:right w:w="28" w:type="dxa"/>
        </w:tblCellMar>
        <w:tblLook w:val="04A0" w:firstRow="1" w:lastRow="0" w:firstColumn="1" w:lastColumn="0" w:noHBand="0" w:noVBand="1"/>
      </w:tblPr>
      <w:tblGrid>
        <w:gridCol w:w="4165"/>
        <w:gridCol w:w="1258"/>
        <w:gridCol w:w="1133"/>
        <w:gridCol w:w="1258"/>
        <w:gridCol w:w="1258"/>
      </w:tblGrid>
      <w:tr w:rsidR="00F826F1" w:rsidRPr="00E273FC" w14:paraId="67EBFAF9" w14:textId="77777777" w:rsidTr="00246E3D">
        <w:trPr>
          <w:trHeight w:val="340"/>
        </w:trPr>
        <w:tc>
          <w:tcPr>
            <w:tcW w:w="4536" w:type="dxa"/>
            <w:shd w:val="clear" w:color="auto" w:fill="auto"/>
            <w:tcMar>
              <w:left w:w="57" w:type="dxa"/>
              <w:right w:w="57" w:type="dxa"/>
            </w:tcMar>
            <w:vAlign w:val="center"/>
          </w:tcPr>
          <w:p w14:paraId="7DA44A89" w14:textId="77777777" w:rsidR="00F826F1" w:rsidRPr="00E273FC" w:rsidRDefault="00F826F1" w:rsidP="00DE1921">
            <w:pPr>
              <w:pStyle w:val="TableTextLeft"/>
              <w:rPr>
                <w:rFonts w:ascii="Arial" w:hAnsi="Arial" w:cs="Arial"/>
                <w:sz w:val="24"/>
                <w:szCs w:val="24"/>
              </w:rPr>
            </w:pPr>
          </w:p>
        </w:tc>
        <w:tc>
          <w:tcPr>
            <w:tcW w:w="1134" w:type="dxa"/>
            <w:shd w:val="clear" w:color="auto" w:fill="auto"/>
          </w:tcPr>
          <w:p w14:paraId="22CC5764" w14:textId="77777777" w:rsidR="00F826F1" w:rsidRPr="00E273FC" w:rsidRDefault="00F826F1" w:rsidP="00DE1921">
            <w:pPr>
              <w:pStyle w:val="TableTextRightBold"/>
              <w:rPr>
                <w:rFonts w:ascii="Arial" w:hAnsi="Arial" w:cs="Arial"/>
                <w:sz w:val="24"/>
                <w:szCs w:val="24"/>
              </w:rPr>
            </w:pPr>
            <w:r w:rsidRPr="00E273FC">
              <w:rPr>
                <w:rFonts w:ascii="Arial" w:hAnsi="Arial" w:cs="Arial"/>
                <w:sz w:val="24"/>
                <w:szCs w:val="24"/>
              </w:rPr>
              <w:t>2019-20</w:t>
            </w:r>
          </w:p>
          <w:p w14:paraId="14416748"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 xml:space="preserve">DoT </w:t>
            </w:r>
            <w:r w:rsidRPr="00E273FC">
              <w:rPr>
                <w:rFonts w:ascii="Arial" w:hAnsi="Arial" w:cs="Arial"/>
                <w:b/>
                <w:sz w:val="24"/>
                <w:szCs w:val="24"/>
                <w:vertAlign w:val="superscript"/>
              </w:rPr>
              <w:t>1., 2</w:t>
            </w:r>
          </w:p>
        </w:tc>
        <w:tc>
          <w:tcPr>
            <w:tcW w:w="1134" w:type="dxa"/>
            <w:shd w:val="clear" w:color="auto" w:fill="auto"/>
          </w:tcPr>
          <w:p w14:paraId="2C23E15E" w14:textId="77777777" w:rsidR="00F826F1" w:rsidRPr="00E273FC" w:rsidRDefault="00F826F1" w:rsidP="00DE1921">
            <w:pPr>
              <w:pStyle w:val="TableTextRightBold"/>
              <w:rPr>
                <w:rFonts w:ascii="Arial" w:hAnsi="Arial" w:cs="Arial"/>
                <w:b w:val="0"/>
                <w:sz w:val="24"/>
                <w:szCs w:val="24"/>
              </w:rPr>
            </w:pPr>
            <w:r w:rsidRPr="00E273FC">
              <w:rPr>
                <w:rFonts w:ascii="Arial" w:hAnsi="Arial" w:cs="Arial"/>
                <w:b w:val="0"/>
                <w:sz w:val="24"/>
                <w:szCs w:val="24"/>
              </w:rPr>
              <w:t>2018-19</w:t>
            </w:r>
          </w:p>
          <w:p w14:paraId="77898D11"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DoT</w:t>
            </w:r>
          </w:p>
        </w:tc>
        <w:tc>
          <w:tcPr>
            <w:tcW w:w="1134" w:type="dxa"/>
            <w:shd w:val="clear" w:color="auto" w:fill="auto"/>
          </w:tcPr>
          <w:p w14:paraId="72F5AEAC"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2018-19</w:t>
            </w:r>
          </w:p>
          <w:p w14:paraId="563AF318"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DEDJTR</w:t>
            </w:r>
          </w:p>
        </w:tc>
        <w:tc>
          <w:tcPr>
            <w:tcW w:w="1134" w:type="dxa"/>
            <w:shd w:val="clear" w:color="auto" w:fill="auto"/>
          </w:tcPr>
          <w:p w14:paraId="2E8CCE3D"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2017-18</w:t>
            </w:r>
          </w:p>
          <w:p w14:paraId="6AD0D0ED"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DEDJTR</w:t>
            </w:r>
          </w:p>
        </w:tc>
      </w:tr>
      <w:tr w:rsidR="00F826F1" w:rsidRPr="00E273FC" w14:paraId="51612277" w14:textId="77777777" w:rsidTr="00246E3D">
        <w:trPr>
          <w:trHeight w:val="340"/>
        </w:trPr>
        <w:tc>
          <w:tcPr>
            <w:tcW w:w="4536" w:type="dxa"/>
            <w:shd w:val="clear" w:color="auto" w:fill="auto"/>
            <w:tcMar>
              <w:left w:w="57" w:type="dxa"/>
              <w:right w:w="57" w:type="dxa"/>
            </w:tcMar>
            <w:vAlign w:val="center"/>
          </w:tcPr>
          <w:p w14:paraId="63080B6E" w14:textId="77777777" w:rsidR="00F826F1" w:rsidRPr="00E273FC" w:rsidRDefault="00F826F1" w:rsidP="00604703">
            <w:pPr>
              <w:pStyle w:val="TableTextGreen"/>
            </w:pPr>
            <w:r w:rsidRPr="00E273FC">
              <w:t>Indicator</w:t>
            </w:r>
          </w:p>
        </w:tc>
        <w:tc>
          <w:tcPr>
            <w:tcW w:w="1134" w:type="dxa"/>
            <w:shd w:val="clear" w:color="auto" w:fill="auto"/>
            <w:vAlign w:val="center"/>
          </w:tcPr>
          <w:p w14:paraId="46AB6728" w14:textId="77777777" w:rsidR="00F826F1" w:rsidRPr="00E273FC" w:rsidRDefault="00F826F1" w:rsidP="00DE1921">
            <w:pPr>
              <w:pStyle w:val="TableTextRight"/>
              <w:rPr>
                <w:rFonts w:ascii="Arial" w:hAnsi="Arial" w:cs="Arial"/>
                <w:b/>
                <w:sz w:val="24"/>
                <w:szCs w:val="24"/>
              </w:rPr>
            </w:pPr>
          </w:p>
        </w:tc>
        <w:tc>
          <w:tcPr>
            <w:tcW w:w="1134" w:type="dxa"/>
            <w:shd w:val="clear" w:color="auto" w:fill="auto"/>
            <w:vAlign w:val="center"/>
          </w:tcPr>
          <w:p w14:paraId="38A14E76"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1F4BD20C"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3AC5CD48" w14:textId="77777777" w:rsidR="00F826F1" w:rsidRPr="00E273FC" w:rsidRDefault="00F826F1" w:rsidP="00DE1921">
            <w:pPr>
              <w:pStyle w:val="TableTextRight"/>
              <w:rPr>
                <w:rFonts w:ascii="Arial" w:hAnsi="Arial" w:cs="Arial"/>
                <w:sz w:val="24"/>
                <w:szCs w:val="24"/>
              </w:rPr>
            </w:pPr>
          </w:p>
        </w:tc>
      </w:tr>
      <w:tr w:rsidR="00F826F1" w:rsidRPr="00E273FC" w14:paraId="518A4250" w14:textId="77777777" w:rsidTr="00246E3D">
        <w:trPr>
          <w:trHeight w:val="340"/>
        </w:trPr>
        <w:tc>
          <w:tcPr>
            <w:tcW w:w="4536" w:type="dxa"/>
            <w:shd w:val="clear" w:color="auto" w:fill="auto"/>
            <w:tcMar>
              <w:left w:w="57" w:type="dxa"/>
              <w:right w:w="57" w:type="dxa"/>
            </w:tcMar>
            <w:vAlign w:val="center"/>
          </w:tcPr>
          <w:p w14:paraId="16740ADF"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Total energy consumption by fleet vehicles (MJ)</w:t>
            </w:r>
            <w:r w:rsidRPr="00E273FC">
              <w:rPr>
                <w:rFonts w:ascii="Arial" w:hAnsi="Arial" w:cs="Arial"/>
                <w:sz w:val="24"/>
                <w:szCs w:val="24"/>
                <w:vertAlign w:val="superscript"/>
              </w:rPr>
              <w:t>3</w:t>
            </w:r>
          </w:p>
        </w:tc>
        <w:tc>
          <w:tcPr>
            <w:tcW w:w="1134" w:type="dxa"/>
            <w:shd w:val="clear" w:color="auto" w:fill="auto"/>
            <w:vAlign w:val="center"/>
          </w:tcPr>
          <w:p w14:paraId="7CD1C61B"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38,446,071</w:t>
            </w:r>
          </w:p>
        </w:tc>
        <w:tc>
          <w:tcPr>
            <w:tcW w:w="1134" w:type="dxa"/>
            <w:shd w:val="clear" w:color="auto" w:fill="auto"/>
            <w:vAlign w:val="center"/>
          </w:tcPr>
          <w:p w14:paraId="16A9E363"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3,097,616</w:t>
            </w:r>
          </w:p>
        </w:tc>
        <w:tc>
          <w:tcPr>
            <w:tcW w:w="1134" w:type="dxa"/>
            <w:shd w:val="clear" w:color="auto" w:fill="auto"/>
            <w:vAlign w:val="center"/>
          </w:tcPr>
          <w:p w14:paraId="0E84FDE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17,587,190</w:t>
            </w:r>
          </w:p>
        </w:tc>
        <w:tc>
          <w:tcPr>
            <w:tcW w:w="1134" w:type="dxa"/>
            <w:shd w:val="clear" w:color="auto" w:fill="auto"/>
            <w:vAlign w:val="center"/>
          </w:tcPr>
          <w:p w14:paraId="1F0D051F"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28,827,435</w:t>
            </w:r>
          </w:p>
        </w:tc>
      </w:tr>
      <w:tr w:rsidR="00F826F1" w:rsidRPr="00E273FC" w14:paraId="6201DE5D" w14:textId="77777777" w:rsidTr="00246E3D">
        <w:trPr>
          <w:trHeight w:val="340"/>
        </w:trPr>
        <w:tc>
          <w:tcPr>
            <w:tcW w:w="4536" w:type="dxa"/>
            <w:shd w:val="clear" w:color="auto" w:fill="auto"/>
            <w:tcMar>
              <w:left w:w="57" w:type="dxa"/>
              <w:right w:w="57" w:type="dxa"/>
            </w:tcMar>
            <w:vAlign w:val="center"/>
          </w:tcPr>
          <w:p w14:paraId="401EDEEA"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Diesel</w:t>
            </w:r>
          </w:p>
        </w:tc>
        <w:tc>
          <w:tcPr>
            <w:tcW w:w="1134" w:type="dxa"/>
            <w:shd w:val="clear" w:color="auto" w:fill="auto"/>
            <w:vAlign w:val="center"/>
          </w:tcPr>
          <w:p w14:paraId="7B5A8767"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25,460,592</w:t>
            </w:r>
          </w:p>
        </w:tc>
        <w:tc>
          <w:tcPr>
            <w:tcW w:w="1134" w:type="dxa"/>
            <w:shd w:val="clear" w:color="auto" w:fill="auto"/>
            <w:vAlign w:val="center"/>
          </w:tcPr>
          <w:p w14:paraId="5B0976CC"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1,318,190</w:t>
            </w:r>
          </w:p>
        </w:tc>
        <w:tc>
          <w:tcPr>
            <w:tcW w:w="1134" w:type="dxa"/>
            <w:shd w:val="clear" w:color="auto" w:fill="auto"/>
            <w:vAlign w:val="center"/>
          </w:tcPr>
          <w:p w14:paraId="151F5E08"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9,079,500</w:t>
            </w:r>
          </w:p>
        </w:tc>
        <w:tc>
          <w:tcPr>
            <w:tcW w:w="1134" w:type="dxa"/>
            <w:shd w:val="clear" w:color="auto" w:fill="auto"/>
            <w:vAlign w:val="center"/>
          </w:tcPr>
          <w:p w14:paraId="6F671E4A"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17,077,370</w:t>
            </w:r>
          </w:p>
        </w:tc>
      </w:tr>
      <w:tr w:rsidR="00F826F1" w:rsidRPr="00E273FC" w14:paraId="093F22FA" w14:textId="77777777" w:rsidTr="00246E3D">
        <w:trPr>
          <w:trHeight w:val="340"/>
        </w:trPr>
        <w:tc>
          <w:tcPr>
            <w:tcW w:w="4536" w:type="dxa"/>
            <w:shd w:val="clear" w:color="auto" w:fill="auto"/>
            <w:tcMar>
              <w:left w:w="57" w:type="dxa"/>
              <w:right w:w="57" w:type="dxa"/>
            </w:tcMar>
            <w:vAlign w:val="center"/>
          </w:tcPr>
          <w:p w14:paraId="7CBC7BC2"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LPG</w:t>
            </w:r>
          </w:p>
        </w:tc>
        <w:tc>
          <w:tcPr>
            <w:tcW w:w="1134" w:type="dxa"/>
            <w:shd w:val="clear" w:color="auto" w:fill="auto"/>
            <w:vAlign w:val="center"/>
          </w:tcPr>
          <w:p w14:paraId="65E4C9D8"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w:t>
            </w:r>
          </w:p>
        </w:tc>
        <w:tc>
          <w:tcPr>
            <w:tcW w:w="1134" w:type="dxa"/>
            <w:shd w:val="clear" w:color="auto" w:fill="auto"/>
            <w:vAlign w:val="center"/>
          </w:tcPr>
          <w:p w14:paraId="152053CA"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143B2A9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81,487</w:t>
            </w:r>
          </w:p>
        </w:tc>
        <w:tc>
          <w:tcPr>
            <w:tcW w:w="1134" w:type="dxa"/>
            <w:shd w:val="clear" w:color="auto" w:fill="auto"/>
            <w:vAlign w:val="center"/>
          </w:tcPr>
          <w:p w14:paraId="3CDD1A1A"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526,640</w:t>
            </w:r>
          </w:p>
        </w:tc>
      </w:tr>
      <w:tr w:rsidR="00F826F1" w:rsidRPr="00E273FC" w14:paraId="5D7BCADF" w14:textId="77777777" w:rsidTr="00246E3D">
        <w:trPr>
          <w:trHeight w:val="340"/>
        </w:trPr>
        <w:tc>
          <w:tcPr>
            <w:tcW w:w="4536" w:type="dxa"/>
            <w:shd w:val="clear" w:color="auto" w:fill="auto"/>
            <w:tcMar>
              <w:left w:w="57" w:type="dxa"/>
              <w:right w:w="57" w:type="dxa"/>
            </w:tcMar>
            <w:vAlign w:val="center"/>
          </w:tcPr>
          <w:p w14:paraId="562D87E4"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Unleaded</w:t>
            </w:r>
          </w:p>
        </w:tc>
        <w:tc>
          <w:tcPr>
            <w:tcW w:w="1134" w:type="dxa"/>
            <w:shd w:val="clear" w:color="auto" w:fill="auto"/>
            <w:vAlign w:val="center"/>
          </w:tcPr>
          <w:p w14:paraId="2BC32313"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10,428,584</w:t>
            </w:r>
          </w:p>
        </w:tc>
        <w:tc>
          <w:tcPr>
            <w:tcW w:w="1134" w:type="dxa"/>
            <w:shd w:val="clear" w:color="auto" w:fill="auto"/>
            <w:vAlign w:val="center"/>
          </w:tcPr>
          <w:p w14:paraId="7825634B"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1,768,620</w:t>
            </w:r>
          </w:p>
        </w:tc>
        <w:tc>
          <w:tcPr>
            <w:tcW w:w="1134" w:type="dxa"/>
            <w:shd w:val="clear" w:color="auto" w:fill="auto"/>
            <w:vAlign w:val="center"/>
          </w:tcPr>
          <w:p w14:paraId="4D5F3AD1"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6,682,160</w:t>
            </w:r>
          </w:p>
        </w:tc>
        <w:tc>
          <w:tcPr>
            <w:tcW w:w="1134" w:type="dxa"/>
            <w:shd w:val="clear" w:color="auto" w:fill="auto"/>
            <w:vAlign w:val="center"/>
          </w:tcPr>
          <w:p w14:paraId="5960467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8,527,320</w:t>
            </w:r>
          </w:p>
        </w:tc>
      </w:tr>
      <w:tr w:rsidR="00F826F1" w:rsidRPr="00E273FC" w14:paraId="2AFF1591" w14:textId="77777777" w:rsidTr="00246E3D">
        <w:trPr>
          <w:trHeight w:val="340"/>
        </w:trPr>
        <w:tc>
          <w:tcPr>
            <w:tcW w:w="4536" w:type="dxa"/>
            <w:shd w:val="clear" w:color="auto" w:fill="auto"/>
            <w:tcMar>
              <w:left w:w="57" w:type="dxa"/>
              <w:right w:w="57" w:type="dxa"/>
            </w:tcMar>
            <w:vAlign w:val="center"/>
          </w:tcPr>
          <w:p w14:paraId="7122BB14"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Hybrid</w:t>
            </w:r>
          </w:p>
        </w:tc>
        <w:tc>
          <w:tcPr>
            <w:tcW w:w="1134" w:type="dxa"/>
            <w:shd w:val="clear" w:color="auto" w:fill="auto"/>
            <w:vAlign w:val="center"/>
          </w:tcPr>
          <w:p w14:paraId="5C6FE7F3"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2,556,895</w:t>
            </w:r>
          </w:p>
        </w:tc>
        <w:tc>
          <w:tcPr>
            <w:tcW w:w="1134" w:type="dxa"/>
            <w:shd w:val="clear" w:color="auto" w:fill="auto"/>
            <w:vAlign w:val="center"/>
          </w:tcPr>
          <w:p w14:paraId="4C222E8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10,806</w:t>
            </w:r>
          </w:p>
        </w:tc>
        <w:tc>
          <w:tcPr>
            <w:tcW w:w="1134" w:type="dxa"/>
            <w:shd w:val="clear" w:color="auto" w:fill="auto"/>
            <w:vAlign w:val="center"/>
          </w:tcPr>
          <w:p w14:paraId="565F649B"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1,744,043</w:t>
            </w:r>
          </w:p>
        </w:tc>
        <w:tc>
          <w:tcPr>
            <w:tcW w:w="1134" w:type="dxa"/>
            <w:shd w:val="clear" w:color="auto" w:fill="auto"/>
            <w:vAlign w:val="center"/>
          </w:tcPr>
          <w:p w14:paraId="24A3624E"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2,696,104</w:t>
            </w:r>
          </w:p>
        </w:tc>
      </w:tr>
      <w:tr w:rsidR="00F826F1" w:rsidRPr="00E273FC" w14:paraId="12B4C286" w14:textId="77777777" w:rsidTr="00246E3D">
        <w:trPr>
          <w:trHeight w:val="340"/>
        </w:trPr>
        <w:tc>
          <w:tcPr>
            <w:tcW w:w="4536" w:type="dxa"/>
            <w:shd w:val="clear" w:color="auto" w:fill="auto"/>
            <w:tcMar>
              <w:left w:w="57" w:type="dxa"/>
              <w:right w:w="57" w:type="dxa"/>
            </w:tcMar>
            <w:vAlign w:val="center"/>
          </w:tcPr>
          <w:p w14:paraId="16EB1D3E" w14:textId="77777777" w:rsidR="00F826F1" w:rsidRPr="00E273FC" w:rsidRDefault="00F826F1" w:rsidP="00DE1921">
            <w:pPr>
              <w:pStyle w:val="TableTextLeftBold"/>
              <w:rPr>
                <w:rFonts w:ascii="Arial" w:hAnsi="Arial" w:cs="Arial"/>
                <w:sz w:val="24"/>
                <w:szCs w:val="24"/>
              </w:rPr>
            </w:pPr>
            <w:r w:rsidRPr="00E273FC">
              <w:rPr>
                <w:rFonts w:ascii="Arial" w:hAnsi="Arial" w:cs="Arial"/>
                <w:sz w:val="24"/>
                <w:szCs w:val="24"/>
              </w:rPr>
              <w:t>Total distance travelled by fleet vehicles (km)</w:t>
            </w:r>
          </w:p>
        </w:tc>
        <w:tc>
          <w:tcPr>
            <w:tcW w:w="1134" w:type="dxa"/>
            <w:shd w:val="clear" w:color="auto" w:fill="auto"/>
            <w:vAlign w:val="center"/>
          </w:tcPr>
          <w:p w14:paraId="54CD8487"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12,142,635</w:t>
            </w:r>
          </w:p>
        </w:tc>
        <w:tc>
          <w:tcPr>
            <w:tcW w:w="1134" w:type="dxa"/>
            <w:shd w:val="clear" w:color="auto" w:fill="auto"/>
            <w:vAlign w:val="center"/>
          </w:tcPr>
          <w:p w14:paraId="6B6200F0"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318,262</w:t>
            </w:r>
          </w:p>
        </w:tc>
        <w:tc>
          <w:tcPr>
            <w:tcW w:w="1134" w:type="dxa"/>
            <w:shd w:val="clear" w:color="auto" w:fill="auto"/>
            <w:vAlign w:val="center"/>
          </w:tcPr>
          <w:p w14:paraId="29CAE57C"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4,461,478</w:t>
            </w:r>
          </w:p>
        </w:tc>
        <w:tc>
          <w:tcPr>
            <w:tcW w:w="1134" w:type="dxa"/>
            <w:shd w:val="clear" w:color="auto" w:fill="auto"/>
            <w:vAlign w:val="center"/>
          </w:tcPr>
          <w:p w14:paraId="67D287E8"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12,958,201</w:t>
            </w:r>
          </w:p>
        </w:tc>
      </w:tr>
      <w:tr w:rsidR="00F826F1" w:rsidRPr="00E273FC" w14:paraId="567630B5" w14:textId="77777777" w:rsidTr="00246E3D">
        <w:trPr>
          <w:trHeight w:val="340"/>
        </w:trPr>
        <w:tc>
          <w:tcPr>
            <w:tcW w:w="4536" w:type="dxa"/>
            <w:shd w:val="clear" w:color="auto" w:fill="auto"/>
            <w:tcMar>
              <w:left w:w="57" w:type="dxa"/>
              <w:right w:w="57" w:type="dxa"/>
            </w:tcMar>
            <w:vAlign w:val="center"/>
          </w:tcPr>
          <w:p w14:paraId="3B975018"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Diesel</w:t>
            </w:r>
          </w:p>
        </w:tc>
        <w:tc>
          <w:tcPr>
            <w:tcW w:w="1134" w:type="dxa"/>
            <w:shd w:val="clear" w:color="auto" w:fill="auto"/>
            <w:vAlign w:val="center"/>
          </w:tcPr>
          <w:p w14:paraId="36E87226"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7,201,232</w:t>
            </w:r>
          </w:p>
        </w:tc>
        <w:tc>
          <w:tcPr>
            <w:tcW w:w="1134" w:type="dxa"/>
            <w:shd w:val="clear" w:color="auto" w:fill="auto"/>
            <w:vAlign w:val="center"/>
          </w:tcPr>
          <w:p w14:paraId="0E6FF5F2"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181,217</w:t>
            </w:r>
          </w:p>
        </w:tc>
        <w:tc>
          <w:tcPr>
            <w:tcW w:w="1134" w:type="dxa"/>
            <w:shd w:val="clear" w:color="auto" w:fill="auto"/>
            <w:vAlign w:val="center"/>
          </w:tcPr>
          <w:p w14:paraId="783B0C18"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2,391,779</w:t>
            </w:r>
          </w:p>
        </w:tc>
        <w:tc>
          <w:tcPr>
            <w:tcW w:w="1134" w:type="dxa"/>
            <w:shd w:val="clear" w:color="auto" w:fill="auto"/>
            <w:vAlign w:val="center"/>
          </w:tcPr>
          <w:p w14:paraId="0C4BE3FE"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6,559,832</w:t>
            </w:r>
          </w:p>
        </w:tc>
      </w:tr>
      <w:tr w:rsidR="00F826F1" w:rsidRPr="00E273FC" w14:paraId="45FE304C" w14:textId="77777777" w:rsidTr="00246E3D">
        <w:trPr>
          <w:trHeight w:val="340"/>
        </w:trPr>
        <w:tc>
          <w:tcPr>
            <w:tcW w:w="4536" w:type="dxa"/>
            <w:shd w:val="clear" w:color="auto" w:fill="auto"/>
            <w:tcMar>
              <w:left w:w="57" w:type="dxa"/>
              <w:right w:w="57" w:type="dxa"/>
            </w:tcMar>
            <w:vAlign w:val="center"/>
          </w:tcPr>
          <w:p w14:paraId="0F377AC1"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LPG</w:t>
            </w:r>
          </w:p>
        </w:tc>
        <w:tc>
          <w:tcPr>
            <w:tcW w:w="1134" w:type="dxa"/>
            <w:shd w:val="clear" w:color="auto" w:fill="auto"/>
            <w:vAlign w:val="center"/>
          </w:tcPr>
          <w:p w14:paraId="5E6D0046"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w:t>
            </w:r>
          </w:p>
        </w:tc>
        <w:tc>
          <w:tcPr>
            <w:tcW w:w="1134" w:type="dxa"/>
            <w:shd w:val="clear" w:color="auto" w:fill="auto"/>
            <w:vAlign w:val="center"/>
          </w:tcPr>
          <w:p w14:paraId="16B0662F"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w:t>
            </w:r>
          </w:p>
        </w:tc>
        <w:tc>
          <w:tcPr>
            <w:tcW w:w="1134" w:type="dxa"/>
            <w:shd w:val="clear" w:color="auto" w:fill="auto"/>
            <w:vAlign w:val="center"/>
          </w:tcPr>
          <w:p w14:paraId="084CCA02"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25,094</w:t>
            </w:r>
          </w:p>
        </w:tc>
        <w:tc>
          <w:tcPr>
            <w:tcW w:w="1134" w:type="dxa"/>
            <w:shd w:val="clear" w:color="auto" w:fill="auto"/>
            <w:vAlign w:val="center"/>
          </w:tcPr>
          <w:p w14:paraId="04EE534C"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267,102</w:t>
            </w:r>
          </w:p>
        </w:tc>
      </w:tr>
      <w:tr w:rsidR="00F826F1" w:rsidRPr="00E273FC" w14:paraId="669CDBF9" w14:textId="77777777" w:rsidTr="00246E3D">
        <w:trPr>
          <w:trHeight w:val="340"/>
        </w:trPr>
        <w:tc>
          <w:tcPr>
            <w:tcW w:w="4536" w:type="dxa"/>
            <w:shd w:val="clear" w:color="auto" w:fill="auto"/>
            <w:tcMar>
              <w:left w:w="57" w:type="dxa"/>
              <w:right w:w="57" w:type="dxa"/>
            </w:tcMar>
            <w:vAlign w:val="center"/>
          </w:tcPr>
          <w:p w14:paraId="438FBB76"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Unleaded</w:t>
            </w:r>
          </w:p>
        </w:tc>
        <w:tc>
          <w:tcPr>
            <w:tcW w:w="1134" w:type="dxa"/>
            <w:shd w:val="clear" w:color="auto" w:fill="auto"/>
            <w:vAlign w:val="center"/>
          </w:tcPr>
          <w:p w14:paraId="7C176E43"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3,515,643</w:t>
            </w:r>
          </w:p>
        </w:tc>
        <w:tc>
          <w:tcPr>
            <w:tcW w:w="1134" w:type="dxa"/>
            <w:shd w:val="clear" w:color="auto" w:fill="auto"/>
            <w:vAlign w:val="center"/>
          </w:tcPr>
          <w:p w14:paraId="29EDFCB9"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132,926</w:t>
            </w:r>
          </w:p>
        </w:tc>
        <w:tc>
          <w:tcPr>
            <w:tcW w:w="1134" w:type="dxa"/>
            <w:shd w:val="clear" w:color="auto" w:fill="auto"/>
            <w:vAlign w:val="center"/>
          </w:tcPr>
          <w:p w14:paraId="2A050CC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1,364,576</w:t>
            </w:r>
          </w:p>
        </w:tc>
        <w:tc>
          <w:tcPr>
            <w:tcW w:w="1134" w:type="dxa"/>
            <w:shd w:val="clear" w:color="auto" w:fill="auto"/>
            <w:vAlign w:val="center"/>
          </w:tcPr>
          <w:p w14:paraId="1EC78097"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4,130,814</w:t>
            </w:r>
          </w:p>
        </w:tc>
      </w:tr>
      <w:tr w:rsidR="00F826F1" w:rsidRPr="00E273FC" w14:paraId="3416644D" w14:textId="77777777" w:rsidTr="00246E3D">
        <w:trPr>
          <w:trHeight w:val="340"/>
        </w:trPr>
        <w:tc>
          <w:tcPr>
            <w:tcW w:w="4536" w:type="dxa"/>
            <w:shd w:val="clear" w:color="auto" w:fill="auto"/>
            <w:tcMar>
              <w:left w:w="57" w:type="dxa"/>
              <w:right w:w="57" w:type="dxa"/>
            </w:tcMar>
            <w:vAlign w:val="center"/>
          </w:tcPr>
          <w:p w14:paraId="2AAFC55C"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Hybrid</w:t>
            </w:r>
          </w:p>
        </w:tc>
        <w:tc>
          <w:tcPr>
            <w:tcW w:w="1134" w:type="dxa"/>
            <w:shd w:val="clear" w:color="auto" w:fill="auto"/>
            <w:vAlign w:val="center"/>
          </w:tcPr>
          <w:p w14:paraId="34333576"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1,425,760</w:t>
            </w:r>
          </w:p>
        </w:tc>
        <w:tc>
          <w:tcPr>
            <w:tcW w:w="1134" w:type="dxa"/>
            <w:shd w:val="clear" w:color="auto" w:fill="auto"/>
            <w:vAlign w:val="center"/>
          </w:tcPr>
          <w:p w14:paraId="2B96BDF2"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4,119</w:t>
            </w:r>
          </w:p>
        </w:tc>
        <w:tc>
          <w:tcPr>
            <w:tcW w:w="1134" w:type="dxa"/>
            <w:shd w:val="clear" w:color="auto" w:fill="auto"/>
            <w:vAlign w:val="center"/>
          </w:tcPr>
          <w:p w14:paraId="5101AABB"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680,029</w:t>
            </w:r>
          </w:p>
        </w:tc>
        <w:tc>
          <w:tcPr>
            <w:tcW w:w="1134" w:type="dxa"/>
            <w:shd w:val="clear" w:color="auto" w:fill="auto"/>
            <w:vAlign w:val="center"/>
          </w:tcPr>
          <w:p w14:paraId="47FF9C27"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2,000,451</w:t>
            </w:r>
          </w:p>
        </w:tc>
      </w:tr>
      <w:tr w:rsidR="00F826F1" w:rsidRPr="00E273FC" w14:paraId="403FC349" w14:textId="77777777" w:rsidTr="00246E3D">
        <w:trPr>
          <w:trHeight w:val="340"/>
        </w:trPr>
        <w:tc>
          <w:tcPr>
            <w:tcW w:w="4536" w:type="dxa"/>
            <w:shd w:val="clear" w:color="auto" w:fill="auto"/>
            <w:tcMar>
              <w:left w:w="57" w:type="dxa"/>
              <w:right w:w="57" w:type="dxa"/>
            </w:tcMar>
            <w:vAlign w:val="center"/>
          </w:tcPr>
          <w:p w14:paraId="5A12B989"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Greenhouse gas emissions from fleet vehicles</w:t>
            </w:r>
            <w:r w:rsidRPr="00E273FC">
              <w:rPr>
                <w:rFonts w:ascii="Arial" w:hAnsi="Arial" w:cs="Arial"/>
                <w:sz w:val="24"/>
                <w:szCs w:val="24"/>
              </w:rPr>
              <w:br/>
              <w:t>(tonnes CO</w:t>
            </w:r>
            <w:r w:rsidRPr="00E273FC">
              <w:rPr>
                <w:rFonts w:ascii="Arial" w:hAnsi="Arial" w:cs="Arial"/>
                <w:sz w:val="24"/>
                <w:szCs w:val="24"/>
                <w:vertAlign w:val="subscript"/>
              </w:rPr>
              <w:t>2</w:t>
            </w:r>
            <w:r w:rsidRPr="00E273FC">
              <w:rPr>
                <w:rFonts w:ascii="Arial" w:hAnsi="Arial" w:cs="Arial"/>
                <w:sz w:val="24"/>
                <w:szCs w:val="24"/>
              </w:rPr>
              <w:t>-e)</w:t>
            </w:r>
          </w:p>
        </w:tc>
        <w:tc>
          <w:tcPr>
            <w:tcW w:w="1134" w:type="dxa"/>
            <w:shd w:val="clear" w:color="auto" w:fill="auto"/>
          </w:tcPr>
          <w:p w14:paraId="1B649543"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2,673</w:t>
            </w:r>
          </w:p>
        </w:tc>
        <w:tc>
          <w:tcPr>
            <w:tcW w:w="1134" w:type="dxa"/>
            <w:shd w:val="clear" w:color="auto" w:fill="auto"/>
          </w:tcPr>
          <w:p w14:paraId="7CBEF2AB"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213</w:t>
            </w:r>
          </w:p>
        </w:tc>
        <w:tc>
          <w:tcPr>
            <w:tcW w:w="1134" w:type="dxa"/>
            <w:shd w:val="clear" w:color="auto" w:fill="auto"/>
          </w:tcPr>
          <w:p w14:paraId="4470875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1,215</w:t>
            </w:r>
          </w:p>
        </w:tc>
        <w:tc>
          <w:tcPr>
            <w:tcW w:w="1134" w:type="dxa"/>
            <w:shd w:val="clear" w:color="auto" w:fill="auto"/>
          </w:tcPr>
          <w:p w14:paraId="2C046913"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1,995</w:t>
            </w:r>
          </w:p>
        </w:tc>
      </w:tr>
      <w:tr w:rsidR="00F826F1" w:rsidRPr="00E273FC" w14:paraId="7C34F985" w14:textId="77777777" w:rsidTr="00246E3D">
        <w:trPr>
          <w:trHeight w:val="340"/>
        </w:trPr>
        <w:tc>
          <w:tcPr>
            <w:tcW w:w="4536" w:type="dxa"/>
            <w:shd w:val="clear" w:color="auto" w:fill="auto"/>
            <w:tcMar>
              <w:left w:w="57" w:type="dxa"/>
              <w:right w:w="57" w:type="dxa"/>
            </w:tcMar>
            <w:vAlign w:val="center"/>
          </w:tcPr>
          <w:p w14:paraId="6933A900" w14:textId="77777777" w:rsidR="00F826F1" w:rsidRPr="00E273FC" w:rsidRDefault="00F826F1" w:rsidP="00DE1921">
            <w:pPr>
              <w:pStyle w:val="TableTextLeft"/>
              <w:rPr>
                <w:rFonts w:ascii="Arial" w:hAnsi="Arial" w:cs="Arial"/>
                <w:sz w:val="24"/>
                <w:szCs w:val="24"/>
              </w:rPr>
            </w:pPr>
            <w:r w:rsidRPr="00E273FC">
              <w:rPr>
                <w:rFonts w:ascii="Arial" w:hAnsi="Arial" w:cs="Arial"/>
                <w:color w:val="4C4D4F"/>
                <w:sz w:val="24"/>
                <w:szCs w:val="24"/>
              </w:rPr>
              <w:t>Diesel</w:t>
            </w:r>
          </w:p>
        </w:tc>
        <w:tc>
          <w:tcPr>
            <w:tcW w:w="1134" w:type="dxa"/>
            <w:shd w:val="clear" w:color="auto" w:fill="auto"/>
            <w:vAlign w:val="center"/>
          </w:tcPr>
          <w:p w14:paraId="7DE74AE6"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1,795</w:t>
            </w:r>
          </w:p>
        </w:tc>
        <w:tc>
          <w:tcPr>
            <w:tcW w:w="1134" w:type="dxa"/>
            <w:shd w:val="clear" w:color="auto" w:fill="auto"/>
            <w:vAlign w:val="center"/>
          </w:tcPr>
          <w:p w14:paraId="2D315AF5"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597B3727"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66FFBE50"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1,204</w:t>
            </w:r>
          </w:p>
        </w:tc>
      </w:tr>
      <w:tr w:rsidR="00F826F1" w:rsidRPr="00E273FC" w14:paraId="417205CF" w14:textId="77777777" w:rsidTr="00246E3D">
        <w:trPr>
          <w:trHeight w:val="340"/>
        </w:trPr>
        <w:tc>
          <w:tcPr>
            <w:tcW w:w="4536" w:type="dxa"/>
            <w:shd w:val="clear" w:color="auto" w:fill="auto"/>
            <w:tcMar>
              <w:left w:w="57" w:type="dxa"/>
              <w:right w:w="57" w:type="dxa"/>
            </w:tcMar>
            <w:vAlign w:val="center"/>
          </w:tcPr>
          <w:p w14:paraId="17556A31" w14:textId="77777777" w:rsidR="00F826F1" w:rsidRPr="00E273FC" w:rsidRDefault="00F826F1" w:rsidP="00DE1921">
            <w:pPr>
              <w:pStyle w:val="TableTextLeft"/>
              <w:rPr>
                <w:rFonts w:ascii="Arial" w:hAnsi="Arial" w:cs="Arial"/>
                <w:sz w:val="24"/>
                <w:szCs w:val="24"/>
              </w:rPr>
            </w:pPr>
            <w:r w:rsidRPr="00E273FC">
              <w:rPr>
                <w:rFonts w:ascii="Arial" w:hAnsi="Arial" w:cs="Arial"/>
                <w:color w:val="4C4D4F"/>
                <w:sz w:val="24"/>
                <w:szCs w:val="24"/>
              </w:rPr>
              <w:t>LPG</w:t>
            </w:r>
          </w:p>
        </w:tc>
        <w:tc>
          <w:tcPr>
            <w:tcW w:w="1134" w:type="dxa"/>
            <w:shd w:val="clear" w:color="auto" w:fill="auto"/>
            <w:vAlign w:val="center"/>
          </w:tcPr>
          <w:p w14:paraId="42D78B7A"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w:t>
            </w:r>
          </w:p>
        </w:tc>
        <w:tc>
          <w:tcPr>
            <w:tcW w:w="1134" w:type="dxa"/>
            <w:shd w:val="clear" w:color="auto" w:fill="auto"/>
            <w:vAlign w:val="center"/>
          </w:tcPr>
          <w:p w14:paraId="620EB191"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68BEF73E"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011FF120"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32</w:t>
            </w:r>
          </w:p>
        </w:tc>
      </w:tr>
      <w:tr w:rsidR="00F826F1" w:rsidRPr="00E273FC" w14:paraId="4E9F0144" w14:textId="77777777" w:rsidTr="00246E3D">
        <w:trPr>
          <w:trHeight w:val="340"/>
        </w:trPr>
        <w:tc>
          <w:tcPr>
            <w:tcW w:w="4536" w:type="dxa"/>
            <w:shd w:val="clear" w:color="auto" w:fill="auto"/>
            <w:tcMar>
              <w:left w:w="57" w:type="dxa"/>
              <w:right w:w="57" w:type="dxa"/>
            </w:tcMar>
            <w:vAlign w:val="center"/>
          </w:tcPr>
          <w:p w14:paraId="4E559DFB" w14:textId="77777777" w:rsidR="00F826F1" w:rsidRPr="00E273FC" w:rsidRDefault="00F826F1" w:rsidP="00DE1921">
            <w:pPr>
              <w:pStyle w:val="TableTextLeft"/>
              <w:rPr>
                <w:rFonts w:ascii="Arial" w:hAnsi="Arial" w:cs="Arial"/>
                <w:sz w:val="24"/>
                <w:szCs w:val="24"/>
              </w:rPr>
            </w:pPr>
            <w:r w:rsidRPr="00E273FC">
              <w:rPr>
                <w:rFonts w:ascii="Arial" w:hAnsi="Arial" w:cs="Arial"/>
                <w:color w:val="4C4D4F"/>
                <w:sz w:val="24"/>
                <w:szCs w:val="24"/>
              </w:rPr>
              <w:t>Unleaded</w:t>
            </w:r>
          </w:p>
        </w:tc>
        <w:tc>
          <w:tcPr>
            <w:tcW w:w="1134" w:type="dxa"/>
            <w:shd w:val="clear" w:color="auto" w:fill="auto"/>
            <w:vAlign w:val="center"/>
          </w:tcPr>
          <w:p w14:paraId="459A8BF0"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705</w:t>
            </w:r>
          </w:p>
        </w:tc>
        <w:tc>
          <w:tcPr>
            <w:tcW w:w="1134" w:type="dxa"/>
            <w:shd w:val="clear" w:color="auto" w:fill="auto"/>
            <w:vAlign w:val="center"/>
          </w:tcPr>
          <w:p w14:paraId="54F7434A"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2CDD4434"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3F8E3BF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576</w:t>
            </w:r>
          </w:p>
        </w:tc>
      </w:tr>
      <w:tr w:rsidR="00F826F1" w:rsidRPr="00E273FC" w14:paraId="36FBC75A" w14:textId="77777777" w:rsidTr="00246E3D">
        <w:trPr>
          <w:trHeight w:val="340"/>
        </w:trPr>
        <w:tc>
          <w:tcPr>
            <w:tcW w:w="4536" w:type="dxa"/>
            <w:shd w:val="clear" w:color="auto" w:fill="auto"/>
            <w:tcMar>
              <w:left w:w="57" w:type="dxa"/>
              <w:right w:w="57" w:type="dxa"/>
            </w:tcMar>
            <w:vAlign w:val="center"/>
          </w:tcPr>
          <w:p w14:paraId="450070AF" w14:textId="77777777" w:rsidR="00F826F1" w:rsidRPr="00E273FC" w:rsidRDefault="00F826F1" w:rsidP="00DE1921">
            <w:pPr>
              <w:pStyle w:val="TableTextLeft"/>
              <w:rPr>
                <w:rFonts w:ascii="Arial" w:hAnsi="Arial" w:cs="Arial"/>
                <w:sz w:val="24"/>
                <w:szCs w:val="24"/>
              </w:rPr>
            </w:pPr>
            <w:r w:rsidRPr="00E273FC">
              <w:rPr>
                <w:rFonts w:ascii="Arial" w:hAnsi="Arial" w:cs="Arial"/>
                <w:color w:val="4C4D4F"/>
                <w:sz w:val="24"/>
                <w:szCs w:val="24"/>
              </w:rPr>
              <w:t>Hybrid</w:t>
            </w:r>
          </w:p>
        </w:tc>
        <w:tc>
          <w:tcPr>
            <w:tcW w:w="1134" w:type="dxa"/>
            <w:shd w:val="clear" w:color="auto" w:fill="auto"/>
            <w:vAlign w:val="center"/>
          </w:tcPr>
          <w:p w14:paraId="3CEFC164"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173</w:t>
            </w:r>
          </w:p>
        </w:tc>
        <w:tc>
          <w:tcPr>
            <w:tcW w:w="1134" w:type="dxa"/>
            <w:shd w:val="clear" w:color="auto" w:fill="auto"/>
            <w:vAlign w:val="center"/>
          </w:tcPr>
          <w:p w14:paraId="54DAEEAC"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6E03120D" w14:textId="77777777" w:rsidR="00F826F1" w:rsidRPr="00E273FC" w:rsidRDefault="00F826F1" w:rsidP="00DE1921">
            <w:pPr>
              <w:pStyle w:val="TableTextRight"/>
              <w:rPr>
                <w:rFonts w:ascii="Arial" w:hAnsi="Arial" w:cs="Arial"/>
                <w:sz w:val="24"/>
                <w:szCs w:val="24"/>
              </w:rPr>
            </w:pPr>
          </w:p>
        </w:tc>
        <w:tc>
          <w:tcPr>
            <w:tcW w:w="1134" w:type="dxa"/>
            <w:shd w:val="clear" w:color="auto" w:fill="auto"/>
            <w:vAlign w:val="center"/>
          </w:tcPr>
          <w:p w14:paraId="06D86733"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182</w:t>
            </w:r>
          </w:p>
        </w:tc>
      </w:tr>
      <w:tr w:rsidR="00F826F1" w:rsidRPr="00E273FC" w14:paraId="1A5EBC82" w14:textId="77777777" w:rsidTr="00246E3D">
        <w:trPr>
          <w:trHeight w:val="340"/>
        </w:trPr>
        <w:tc>
          <w:tcPr>
            <w:tcW w:w="4536" w:type="dxa"/>
            <w:shd w:val="clear" w:color="auto" w:fill="auto"/>
            <w:tcMar>
              <w:left w:w="57" w:type="dxa"/>
              <w:right w:w="57" w:type="dxa"/>
            </w:tcMar>
            <w:vAlign w:val="center"/>
          </w:tcPr>
          <w:p w14:paraId="741B8788" w14:textId="77777777" w:rsidR="00F826F1" w:rsidRPr="00E273FC" w:rsidRDefault="00F826F1" w:rsidP="00DE1921">
            <w:pPr>
              <w:pStyle w:val="TableTextLeft"/>
              <w:rPr>
                <w:rFonts w:ascii="Arial" w:hAnsi="Arial" w:cs="Arial"/>
                <w:sz w:val="24"/>
                <w:szCs w:val="24"/>
              </w:rPr>
            </w:pPr>
            <w:r w:rsidRPr="00E273FC">
              <w:rPr>
                <w:rFonts w:ascii="Arial" w:hAnsi="Arial" w:cs="Arial"/>
                <w:color w:val="4C4D4F"/>
                <w:sz w:val="24"/>
                <w:szCs w:val="24"/>
              </w:rPr>
              <w:t>Greenhouse gas emissions from fleet vehicles per 1000km (tonnes CO</w:t>
            </w:r>
            <w:r w:rsidRPr="00E273FC">
              <w:rPr>
                <w:rFonts w:ascii="Arial" w:hAnsi="Arial" w:cs="Arial"/>
                <w:color w:val="4C4D4F"/>
                <w:position w:val="-4"/>
                <w:sz w:val="24"/>
                <w:szCs w:val="24"/>
              </w:rPr>
              <w:t>2</w:t>
            </w:r>
            <w:r w:rsidRPr="00E273FC">
              <w:rPr>
                <w:rFonts w:ascii="Arial" w:hAnsi="Arial" w:cs="Arial"/>
                <w:color w:val="4C4D4F"/>
                <w:sz w:val="24"/>
                <w:szCs w:val="24"/>
              </w:rPr>
              <w:t>)</w:t>
            </w:r>
          </w:p>
        </w:tc>
        <w:tc>
          <w:tcPr>
            <w:tcW w:w="1134" w:type="dxa"/>
            <w:shd w:val="clear" w:color="auto" w:fill="auto"/>
          </w:tcPr>
          <w:p w14:paraId="5F2B6351"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0.22</w:t>
            </w:r>
          </w:p>
        </w:tc>
        <w:tc>
          <w:tcPr>
            <w:tcW w:w="1134" w:type="dxa"/>
            <w:shd w:val="clear" w:color="auto" w:fill="auto"/>
          </w:tcPr>
          <w:p w14:paraId="1E8DFE7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0.67</w:t>
            </w:r>
          </w:p>
        </w:tc>
        <w:tc>
          <w:tcPr>
            <w:tcW w:w="1134" w:type="dxa"/>
            <w:shd w:val="clear" w:color="auto" w:fill="auto"/>
          </w:tcPr>
          <w:p w14:paraId="486794C9"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0.27</w:t>
            </w:r>
          </w:p>
        </w:tc>
        <w:tc>
          <w:tcPr>
            <w:tcW w:w="1134" w:type="dxa"/>
            <w:shd w:val="clear" w:color="auto" w:fill="auto"/>
          </w:tcPr>
          <w:p w14:paraId="48C3CB65"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0.15</w:t>
            </w:r>
          </w:p>
        </w:tc>
      </w:tr>
      <w:tr w:rsidR="00F826F1" w:rsidRPr="00E273FC" w14:paraId="45279A89" w14:textId="77777777" w:rsidTr="00246E3D">
        <w:trPr>
          <w:trHeight w:val="340"/>
        </w:trPr>
        <w:tc>
          <w:tcPr>
            <w:tcW w:w="4536" w:type="dxa"/>
            <w:shd w:val="clear" w:color="auto" w:fill="auto"/>
            <w:tcMar>
              <w:left w:w="57" w:type="dxa"/>
              <w:right w:w="57" w:type="dxa"/>
            </w:tcMar>
            <w:vAlign w:val="center"/>
          </w:tcPr>
          <w:p w14:paraId="3F728066" w14:textId="77777777" w:rsidR="00F826F1" w:rsidRPr="00E273FC" w:rsidRDefault="00F826F1" w:rsidP="00DE1921">
            <w:pPr>
              <w:pStyle w:val="TableTextLeftBold"/>
              <w:rPr>
                <w:rFonts w:ascii="Arial" w:hAnsi="Arial" w:cs="Arial"/>
                <w:sz w:val="24"/>
                <w:szCs w:val="24"/>
              </w:rPr>
            </w:pPr>
            <w:r w:rsidRPr="00E273FC">
              <w:rPr>
                <w:rFonts w:ascii="Arial" w:hAnsi="Arial" w:cs="Arial"/>
                <w:sz w:val="24"/>
                <w:szCs w:val="24"/>
              </w:rPr>
              <w:t>Total distance travelled by aeroplane (km)</w:t>
            </w:r>
            <w:r w:rsidRPr="00E273FC">
              <w:rPr>
                <w:rFonts w:ascii="Arial" w:hAnsi="Arial" w:cs="Arial"/>
                <w:sz w:val="24"/>
                <w:szCs w:val="24"/>
                <w:vertAlign w:val="superscript"/>
              </w:rPr>
              <w:t>4</w:t>
            </w:r>
          </w:p>
        </w:tc>
        <w:tc>
          <w:tcPr>
            <w:tcW w:w="1134" w:type="dxa"/>
            <w:shd w:val="clear" w:color="auto" w:fill="auto"/>
            <w:vAlign w:val="center"/>
          </w:tcPr>
          <w:p w14:paraId="26B4933C"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1,680,502</w:t>
            </w:r>
          </w:p>
        </w:tc>
        <w:tc>
          <w:tcPr>
            <w:tcW w:w="1134" w:type="dxa"/>
            <w:shd w:val="clear" w:color="auto" w:fill="auto"/>
            <w:vAlign w:val="center"/>
          </w:tcPr>
          <w:p w14:paraId="788137E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854,914</w:t>
            </w:r>
          </w:p>
        </w:tc>
        <w:tc>
          <w:tcPr>
            <w:tcW w:w="1134" w:type="dxa"/>
            <w:shd w:val="clear" w:color="auto" w:fill="auto"/>
            <w:vAlign w:val="center"/>
          </w:tcPr>
          <w:p w14:paraId="104A1087"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4,299,550</w:t>
            </w:r>
          </w:p>
        </w:tc>
        <w:tc>
          <w:tcPr>
            <w:tcW w:w="1134" w:type="dxa"/>
            <w:shd w:val="clear" w:color="auto" w:fill="auto"/>
            <w:vAlign w:val="center"/>
          </w:tcPr>
          <w:p w14:paraId="0468D7B3"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7,122,847</w:t>
            </w:r>
          </w:p>
        </w:tc>
      </w:tr>
      <w:tr w:rsidR="00F826F1" w:rsidRPr="00E273FC" w14:paraId="1D65CF7B" w14:textId="77777777" w:rsidTr="00246E3D">
        <w:trPr>
          <w:trHeight w:val="340"/>
        </w:trPr>
        <w:tc>
          <w:tcPr>
            <w:tcW w:w="4536" w:type="dxa"/>
            <w:shd w:val="clear" w:color="auto" w:fill="auto"/>
            <w:tcMar>
              <w:left w:w="57" w:type="dxa"/>
              <w:right w:w="57" w:type="dxa"/>
            </w:tcMar>
            <w:vAlign w:val="center"/>
          </w:tcPr>
          <w:p w14:paraId="1B604F91" w14:textId="77777777" w:rsidR="00F826F1" w:rsidRPr="00E273FC" w:rsidRDefault="00F826F1" w:rsidP="00DE1921">
            <w:pPr>
              <w:pStyle w:val="TableTextLeft"/>
              <w:rPr>
                <w:rFonts w:ascii="Arial" w:hAnsi="Arial" w:cs="Arial"/>
                <w:sz w:val="24"/>
                <w:szCs w:val="24"/>
              </w:rPr>
            </w:pPr>
            <w:r w:rsidRPr="00E273FC">
              <w:rPr>
                <w:rFonts w:ascii="Arial" w:hAnsi="Arial" w:cs="Arial"/>
                <w:sz w:val="24"/>
                <w:szCs w:val="24"/>
              </w:rPr>
              <w:t xml:space="preserve">Greenhouse gas emissions from air travel </w:t>
            </w:r>
            <w:r w:rsidRPr="00E273FC">
              <w:rPr>
                <w:rFonts w:ascii="Arial" w:hAnsi="Arial" w:cs="Arial"/>
                <w:sz w:val="24"/>
                <w:szCs w:val="24"/>
              </w:rPr>
              <w:br/>
              <w:t>(tonnes CO</w:t>
            </w:r>
            <w:r w:rsidRPr="00E273FC">
              <w:rPr>
                <w:rFonts w:ascii="Arial" w:hAnsi="Arial" w:cs="Arial"/>
                <w:sz w:val="24"/>
                <w:szCs w:val="24"/>
                <w:vertAlign w:val="subscript"/>
              </w:rPr>
              <w:t>2</w:t>
            </w:r>
            <w:r w:rsidRPr="00E273FC">
              <w:rPr>
                <w:rFonts w:ascii="Arial" w:hAnsi="Arial" w:cs="Arial"/>
                <w:sz w:val="24"/>
                <w:szCs w:val="24"/>
              </w:rPr>
              <w:t>-e)</w:t>
            </w:r>
          </w:p>
        </w:tc>
        <w:tc>
          <w:tcPr>
            <w:tcW w:w="1134" w:type="dxa"/>
            <w:shd w:val="clear" w:color="auto" w:fill="auto"/>
          </w:tcPr>
          <w:p w14:paraId="58D92053" w14:textId="77777777" w:rsidR="00F826F1" w:rsidRPr="00E273FC" w:rsidRDefault="00F826F1" w:rsidP="00DE1921">
            <w:pPr>
              <w:pStyle w:val="TableTextRight"/>
              <w:rPr>
                <w:rFonts w:ascii="Arial" w:hAnsi="Arial" w:cs="Arial"/>
                <w:b/>
                <w:sz w:val="24"/>
                <w:szCs w:val="24"/>
              </w:rPr>
            </w:pPr>
            <w:r w:rsidRPr="00E273FC">
              <w:rPr>
                <w:rFonts w:ascii="Arial" w:hAnsi="Arial" w:cs="Arial"/>
                <w:b/>
                <w:sz w:val="24"/>
                <w:szCs w:val="24"/>
              </w:rPr>
              <w:t>205</w:t>
            </w:r>
          </w:p>
        </w:tc>
        <w:tc>
          <w:tcPr>
            <w:tcW w:w="1134" w:type="dxa"/>
            <w:shd w:val="clear" w:color="auto" w:fill="auto"/>
          </w:tcPr>
          <w:p w14:paraId="1CBA0844"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187</w:t>
            </w:r>
          </w:p>
        </w:tc>
        <w:tc>
          <w:tcPr>
            <w:tcW w:w="1134" w:type="dxa"/>
            <w:shd w:val="clear" w:color="auto" w:fill="auto"/>
          </w:tcPr>
          <w:p w14:paraId="27DBD2B3"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925</w:t>
            </w:r>
          </w:p>
        </w:tc>
        <w:tc>
          <w:tcPr>
            <w:tcW w:w="1134" w:type="dxa"/>
            <w:shd w:val="clear" w:color="auto" w:fill="auto"/>
          </w:tcPr>
          <w:p w14:paraId="372EE722" w14:textId="77777777" w:rsidR="00F826F1" w:rsidRPr="00E273FC" w:rsidRDefault="00F826F1" w:rsidP="00DE1921">
            <w:pPr>
              <w:pStyle w:val="TableTextRight"/>
              <w:rPr>
                <w:rFonts w:ascii="Arial" w:hAnsi="Arial" w:cs="Arial"/>
                <w:sz w:val="24"/>
                <w:szCs w:val="24"/>
              </w:rPr>
            </w:pPr>
            <w:r w:rsidRPr="00E273FC">
              <w:rPr>
                <w:rFonts w:ascii="Arial" w:hAnsi="Arial" w:cs="Arial"/>
                <w:sz w:val="24"/>
                <w:szCs w:val="24"/>
              </w:rPr>
              <w:t>1,516</w:t>
            </w:r>
          </w:p>
        </w:tc>
      </w:tr>
    </w:tbl>
    <w:p w14:paraId="65D56A23" w14:textId="77777777" w:rsidR="00F826F1" w:rsidRPr="00E273FC" w:rsidRDefault="00F826F1" w:rsidP="004273F9">
      <w:pPr>
        <w:pStyle w:val="Note"/>
        <w:spacing w:line="360" w:lineRule="auto"/>
        <w:rPr>
          <w:rFonts w:ascii="Arial" w:hAnsi="Arial" w:cs="Arial"/>
          <w:sz w:val="24"/>
          <w:szCs w:val="24"/>
        </w:rPr>
      </w:pPr>
      <w:r w:rsidRPr="00E273FC">
        <w:rPr>
          <w:rFonts w:ascii="Arial" w:hAnsi="Arial" w:cs="Arial"/>
          <w:sz w:val="24"/>
          <w:szCs w:val="24"/>
        </w:rPr>
        <w:t>Notes:</w:t>
      </w:r>
    </w:p>
    <w:p w14:paraId="4755B35B" w14:textId="77777777" w:rsidR="00F826F1" w:rsidRPr="00E273FC" w:rsidRDefault="00F826F1" w:rsidP="00610F5F">
      <w:pPr>
        <w:pStyle w:val="Notenumber123"/>
        <w:numPr>
          <w:ilvl w:val="0"/>
          <w:numId w:val="64"/>
        </w:numPr>
        <w:spacing w:line="360" w:lineRule="auto"/>
        <w:ind w:left="340" w:hanging="227"/>
        <w:contextualSpacing/>
        <w:rPr>
          <w:rFonts w:ascii="Arial" w:hAnsi="Arial" w:cs="Arial"/>
          <w:sz w:val="24"/>
          <w:szCs w:val="24"/>
        </w:rPr>
      </w:pPr>
      <w:r w:rsidRPr="00E273FC">
        <w:rPr>
          <w:rFonts w:ascii="Arial" w:hAnsi="Arial" w:cs="Arial"/>
          <w:sz w:val="24"/>
          <w:szCs w:val="24"/>
        </w:rPr>
        <w:t xml:space="preserve">2019-20 FY shows increased travel compared to the DoT 2018-19 FY as VicRoads and PTV merged with the existing DoT on 1 July 2019, significantly increasing the department’s FTE. </w:t>
      </w:r>
    </w:p>
    <w:p w14:paraId="3DCE8074" w14:textId="77777777" w:rsidR="00F826F1" w:rsidRPr="00E273FC" w:rsidRDefault="00F826F1" w:rsidP="00610F5F">
      <w:pPr>
        <w:pStyle w:val="Notenumber123"/>
        <w:numPr>
          <w:ilvl w:val="0"/>
          <w:numId w:val="25"/>
        </w:numPr>
        <w:spacing w:line="360" w:lineRule="auto"/>
        <w:ind w:left="340" w:hanging="227"/>
        <w:contextualSpacing/>
        <w:rPr>
          <w:rFonts w:ascii="Arial" w:hAnsi="Arial" w:cs="Arial"/>
          <w:sz w:val="24"/>
          <w:szCs w:val="24"/>
        </w:rPr>
      </w:pPr>
      <w:r w:rsidRPr="00E273FC">
        <w:rPr>
          <w:rFonts w:ascii="Arial" w:hAnsi="Arial" w:cs="Arial"/>
          <w:sz w:val="24"/>
          <w:szCs w:val="24"/>
        </w:rPr>
        <w:t>Due to the coronavirus (COVID-19), and the resulting working from home initiatives implemented by the department, travel data in the 2019-20 FY will vary significantly from the data provided in the previous financial years.</w:t>
      </w:r>
    </w:p>
    <w:p w14:paraId="3622A62D" w14:textId="77777777" w:rsidR="00F826F1" w:rsidRPr="00E273FC" w:rsidRDefault="00F826F1" w:rsidP="00610F5F">
      <w:pPr>
        <w:pStyle w:val="Notenumber123"/>
        <w:numPr>
          <w:ilvl w:val="0"/>
          <w:numId w:val="25"/>
        </w:numPr>
        <w:spacing w:line="360" w:lineRule="auto"/>
        <w:ind w:left="340" w:hanging="227"/>
        <w:contextualSpacing/>
        <w:rPr>
          <w:rFonts w:ascii="Arial" w:hAnsi="Arial" w:cs="Arial"/>
          <w:sz w:val="24"/>
          <w:szCs w:val="24"/>
        </w:rPr>
      </w:pPr>
      <w:r w:rsidRPr="00E273FC">
        <w:rPr>
          <w:rFonts w:ascii="Arial" w:hAnsi="Arial" w:cs="Arial"/>
          <w:sz w:val="24"/>
          <w:szCs w:val="24"/>
        </w:rPr>
        <w:t>2019-20: The fleet vehicle data is based on the vehicle list used for the FBT reporting period April 2019 – March 2020 with non-operational vehicles excluded.</w:t>
      </w:r>
    </w:p>
    <w:p w14:paraId="6A4DE37D" w14:textId="23669C77" w:rsidR="00F826F1" w:rsidRDefault="00F826F1" w:rsidP="00610F5F">
      <w:pPr>
        <w:pStyle w:val="Notenumber123"/>
        <w:numPr>
          <w:ilvl w:val="0"/>
          <w:numId w:val="25"/>
        </w:numPr>
        <w:spacing w:line="360" w:lineRule="auto"/>
        <w:ind w:left="340" w:hanging="227"/>
        <w:contextualSpacing/>
        <w:rPr>
          <w:rFonts w:ascii="Arial" w:hAnsi="Arial" w:cs="Arial"/>
          <w:sz w:val="24"/>
          <w:szCs w:val="24"/>
        </w:rPr>
      </w:pPr>
      <w:r w:rsidRPr="00E273FC">
        <w:rPr>
          <w:rFonts w:ascii="Arial" w:hAnsi="Arial" w:cs="Arial"/>
          <w:sz w:val="24"/>
          <w:szCs w:val="24"/>
        </w:rPr>
        <w:lastRenderedPageBreak/>
        <w:t>2019-20: DoT staff air travel and associated greenhouse gas emissions are calculated using data from the government travel agent, Corporate Travel Management.</w:t>
      </w:r>
    </w:p>
    <w:p w14:paraId="7BD8D47E" w14:textId="77777777" w:rsidR="00F826F1" w:rsidRPr="00CB5819" w:rsidRDefault="00F826F1" w:rsidP="00EF5131">
      <w:pPr>
        <w:pStyle w:val="Heading5"/>
      </w:pPr>
      <w:r w:rsidRPr="00CB5819">
        <w:t>Actions and Achievements</w:t>
      </w:r>
    </w:p>
    <w:p w14:paraId="485CF33D" w14:textId="77777777" w:rsidR="00F826F1" w:rsidRPr="0090585B" w:rsidRDefault="00F826F1" w:rsidP="001E3B90">
      <w:pPr>
        <w:pStyle w:val="aaabullet"/>
      </w:pPr>
      <w:r w:rsidRPr="0090585B">
        <w:t>The department minimises travel by using telephone, video conferencing, and Skype for Business whenever possible.</w:t>
      </w:r>
    </w:p>
    <w:p w14:paraId="30EC429A" w14:textId="77777777" w:rsidR="00F826F1" w:rsidRPr="0090585B" w:rsidRDefault="00F826F1" w:rsidP="001E3B90">
      <w:pPr>
        <w:pStyle w:val="aaabullet"/>
      </w:pPr>
      <w:r w:rsidRPr="0090585B">
        <w:t>Staff are encouraged to utilise public transport options wherever possible.</w:t>
      </w:r>
    </w:p>
    <w:p w14:paraId="72C3E6CF" w14:textId="3F2457EF" w:rsidR="00F826F1" w:rsidRPr="00CB5819" w:rsidRDefault="00F826F1" w:rsidP="00EF5131">
      <w:pPr>
        <w:pStyle w:val="Heading5"/>
      </w:pPr>
      <w:r w:rsidRPr="00CB5819">
        <w:t>Future Objectives</w:t>
      </w:r>
    </w:p>
    <w:p w14:paraId="607A7D5F" w14:textId="5C77CC21" w:rsidR="00394CE6" w:rsidRDefault="00F826F1" w:rsidP="001E3B90">
      <w:pPr>
        <w:pStyle w:val="aaabullet"/>
      </w:pPr>
      <w:r w:rsidRPr="00C65817">
        <w:t xml:space="preserve">A continuous improvement program on vehicle usage, log data collection and data management of fuel usage across all of </w:t>
      </w:r>
      <w:r w:rsidRPr="00E472C2">
        <w:t>the</w:t>
      </w:r>
      <w:r>
        <w:t xml:space="preserve"> department</w:t>
      </w:r>
      <w:r w:rsidRPr="00C65817">
        <w:t>.</w:t>
      </w:r>
      <w:r w:rsidR="00394CE6">
        <w:br w:type="page"/>
      </w:r>
    </w:p>
    <w:p w14:paraId="0FA71CBB" w14:textId="1225BC25" w:rsidR="001B1347" w:rsidRDefault="001B1347" w:rsidP="008A0170">
      <w:pPr>
        <w:pStyle w:val="Heading1"/>
      </w:pPr>
      <w:bookmarkStart w:id="814" w:name="p471"/>
      <w:bookmarkStart w:id="815" w:name="_Toc55130715"/>
      <w:bookmarkEnd w:id="814"/>
      <w:r w:rsidRPr="00640435">
        <w:lastRenderedPageBreak/>
        <w:t>Appendix 14: Freedom of Information</w:t>
      </w:r>
      <w:bookmarkEnd w:id="815"/>
    </w:p>
    <w:p w14:paraId="141EC939" w14:textId="77777777" w:rsidR="001B1347" w:rsidRDefault="001B1347" w:rsidP="001E3B90">
      <w:pPr>
        <w:pStyle w:val="aaatyping"/>
      </w:pPr>
      <w:r>
        <w:t xml:space="preserve">Victoria’s </w:t>
      </w:r>
      <w:r>
        <w:rPr>
          <w:i/>
        </w:rPr>
        <w:t>Freedom of Information Act 1982</w:t>
      </w:r>
      <w:r>
        <w:t xml:space="preserve"> (the Act) gives members of the public the right to apply for access to documents held by ministers, Victorian Government departments, local councils, public hospitals, statutory authorities and most semi-government agencies. </w:t>
      </w:r>
      <w:r w:rsidRPr="00806B46">
        <w:t>The Act allows a Department to refuse access, either fully or partially, to certain documents or information.</w:t>
      </w:r>
      <w:r>
        <w:t xml:space="preserve"> If an applicant is not satisfied by a decision made by the department, under section 49A of the Act, they have the right to seek a review by the Office of the Victorian Information Commissioner (OVIC) within 28 days of receiving a decision letter.</w:t>
      </w:r>
    </w:p>
    <w:p w14:paraId="6DFE501D" w14:textId="148BC56E" w:rsidR="00394CE6" w:rsidRDefault="001B1347" w:rsidP="001E3B90">
      <w:pPr>
        <w:pStyle w:val="aaatyping"/>
      </w:pPr>
      <w:r>
        <w:t>The</w:t>
      </w:r>
      <w:r w:rsidDel="00BB004C">
        <w:t xml:space="preserve"> </w:t>
      </w:r>
      <w:r>
        <w:t xml:space="preserve">Freedom of Information (FOI) statistics for the department in 2019-20 also include requests made to the Suburban Rail Loop Authority (established 1 September 2019) and the Major Transport Infrastructure Authority (established on 1 January 2019), encompassing Rail Projects Victoria, Level Crossing Removal Project (previously Level Crossing Removal Authority), North East Link Project (previously North East Link Authority), West Gate Tunnel Project (previously West Gate Tunnel Authority) and Major Road Projects Victoria (previously Major Road Projects Authority). </w:t>
      </w:r>
      <w:r w:rsidR="00394CE6">
        <w:br w:type="page"/>
      </w:r>
    </w:p>
    <w:p w14:paraId="16D81084" w14:textId="52440D3E" w:rsidR="001B1347" w:rsidRPr="00E273FC" w:rsidRDefault="001B1347" w:rsidP="00CF74EB">
      <w:pPr>
        <w:pStyle w:val="TableHeader"/>
      </w:pPr>
      <w:r w:rsidRPr="00E273FC">
        <w:lastRenderedPageBreak/>
        <w:t>Department of Transport</w:t>
      </w:r>
      <w:r w:rsidRPr="00E273FC" w:rsidDel="00BB004C">
        <w:t xml:space="preserve"> </w:t>
      </w:r>
      <w:r w:rsidRPr="00E273FC">
        <w:t>– 1 July 2019 to 30 June 2020</w:t>
      </w:r>
    </w:p>
    <w:tbl>
      <w:tblPr>
        <w:tblStyle w:val="TableGrid"/>
        <w:tblW w:w="9072" w:type="dxa"/>
        <w:tblLook w:val="04A0" w:firstRow="1" w:lastRow="0" w:firstColumn="1" w:lastColumn="0" w:noHBand="0" w:noVBand="1"/>
      </w:tblPr>
      <w:tblGrid>
        <w:gridCol w:w="7876"/>
        <w:gridCol w:w="1196"/>
      </w:tblGrid>
      <w:tr w:rsidR="001B1347" w:rsidRPr="00E273FC" w14:paraId="7C288355" w14:textId="77777777" w:rsidTr="00D737C8">
        <w:trPr>
          <w:trHeight w:hRule="exact" w:val="340"/>
        </w:trPr>
        <w:tc>
          <w:tcPr>
            <w:tcW w:w="7876" w:type="dxa"/>
            <w:vAlign w:val="center"/>
            <w:hideMark/>
          </w:tcPr>
          <w:p w14:paraId="79FE571D"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FOI requests from Members of Parliament</w:t>
            </w:r>
          </w:p>
        </w:tc>
        <w:tc>
          <w:tcPr>
            <w:tcW w:w="1196" w:type="dxa"/>
            <w:vAlign w:val="center"/>
            <w:hideMark/>
          </w:tcPr>
          <w:p w14:paraId="2D60F876"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62</w:t>
            </w:r>
          </w:p>
        </w:tc>
      </w:tr>
      <w:tr w:rsidR="001B1347" w:rsidRPr="00E273FC" w14:paraId="64DFB764" w14:textId="77777777" w:rsidTr="00D737C8">
        <w:trPr>
          <w:trHeight w:hRule="exact" w:val="340"/>
        </w:trPr>
        <w:tc>
          <w:tcPr>
            <w:tcW w:w="7876" w:type="dxa"/>
            <w:vAlign w:val="center"/>
            <w:hideMark/>
          </w:tcPr>
          <w:p w14:paraId="3943441F"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FOI requests from media</w:t>
            </w:r>
          </w:p>
        </w:tc>
        <w:tc>
          <w:tcPr>
            <w:tcW w:w="1196" w:type="dxa"/>
            <w:vAlign w:val="center"/>
            <w:hideMark/>
          </w:tcPr>
          <w:p w14:paraId="649936FF"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12</w:t>
            </w:r>
          </w:p>
        </w:tc>
      </w:tr>
      <w:tr w:rsidR="001B1347" w:rsidRPr="00E273FC" w14:paraId="1DE23C1D" w14:textId="77777777" w:rsidTr="00D737C8">
        <w:trPr>
          <w:trHeight w:hRule="exact" w:val="340"/>
        </w:trPr>
        <w:tc>
          <w:tcPr>
            <w:tcW w:w="7876" w:type="dxa"/>
            <w:vAlign w:val="center"/>
            <w:hideMark/>
          </w:tcPr>
          <w:p w14:paraId="758B6099"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FOI requests other</w:t>
            </w:r>
          </w:p>
        </w:tc>
        <w:tc>
          <w:tcPr>
            <w:tcW w:w="1196" w:type="dxa"/>
            <w:vAlign w:val="center"/>
            <w:hideMark/>
          </w:tcPr>
          <w:p w14:paraId="7F05D5A6"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1,400</w:t>
            </w:r>
          </w:p>
        </w:tc>
      </w:tr>
      <w:tr w:rsidR="001B1347" w:rsidRPr="00E273FC" w14:paraId="45BBEE6E" w14:textId="77777777" w:rsidTr="00D737C8">
        <w:trPr>
          <w:trHeight w:hRule="exact" w:val="340"/>
        </w:trPr>
        <w:tc>
          <w:tcPr>
            <w:tcW w:w="7876" w:type="dxa"/>
            <w:vAlign w:val="center"/>
            <w:hideMark/>
          </w:tcPr>
          <w:p w14:paraId="0B28F34A"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Total</w:t>
            </w:r>
          </w:p>
        </w:tc>
        <w:tc>
          <w:tcPr>
            <w:tcW w:w="1196" w:type="dxa"/>
            <w:vAlign w:val="center"/>
            <w:hideMark/>
          </w:tcPr>
          <w:p w14:paraId="3D0A0DB0"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1,474</w:t>
            </w:r>
          </w:p>
        </w:tc>
      </w:tr>
      <w:tr w:rsidR="001B1347" w:rsidRPr="00E273FC" w14:paraId="373F45BA" w14:textId="77777777" w:rsidTr="00D737C8">
        <w:trPr>
          <w:trHeight w:hRule="exact" w:val="340"/>
        </w:trPr>
        <w:tc>
          <w:tcPr>
            <w:tcW w:w="7876" w:type="dxa"/>
            <w:vAlign w:val="center"/>
          </w:tcPr>
          <w:p w14:paraId="55B6D577" w14:textId="77777777" w:rsidR="001B1347" w:rsidRPr="00E273FC" w:rsidRDefault="001B1347" w:rsidP="00DE1921">
            <w:pPr>
              <w:pStyle w:val="TableTextLeft"/>
              <w:rPr>
                <w:rFonts w:ascii="Arial" w:hAnsi="Arial" w:cs="Arial"/>
                <w:sz w:val="24"/>
                <w:szCs w:val="24"/>
              </w:rPr>
            </w:pPr>
          </w:p>
        </w:tc>
        <w:tc>
          <w:tcPr>
            <w:tcW w:w="1196" w:type="dxa"/>
            <w:vAlign w:val="center"/>
          </w:tcPr>
          <w:p w14:paraId="62281876" w14:textId="77777777" w:rsidR="001B1347" w:rsidRPr="00E273FC" w:rsidRDefault="001B1347" w:rsidP="00DE1921">
            <w:pPr>
              <w:pStyle w:val="TableTextRight"/>
              <w:rPr>
                <w:rFonts w:ascii="Arial" w:hAnsi="Arial" w:cs="Arial"/>
                <w:sz w:val="24"/>
                <w:szCs w:val="24"/>
              </w:rPr>
            </w:pPr>
          </w:p>
        </w:tc>
      </w:tr>
      <w:tr w:rsidR="001B1347" w:rsidRPr="00E273FC" w14:paraId="031EE4BA" w14:textId="77777777" w:rsidTr="00D737C8">
        <w:trPr>
          <w:trHeight w:hRule="exact" w:val="340"/>
        </w:trPr>
        <w:tc>
          <w:tcPr>
            <w:tcW w:w="7876" w:type="dxa"/>
            <w:vAlign w:val="center"/>
            <w:hideMark/>
          </w:tcPr>
          <w:p w14:paraId="1162C8C4"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Total Information Commissioner reviews</w:t>
            </w:r>
          </w:p>
        </w:tc>
        <w:tc>
          <w:tcPr>
            <w:tcW w:w="1196" w:type="dxa"/>
            <w:vAlign w:val="center"/>
            <w:hideMark/>
          </w:tcPr>
          <w:p w14:paraId="15BCB2AA"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18</w:t>
            </w:r>
          </w:p>
        </w:tc>
      </w:tr>
      <w:tr w:rsidR="001B1347" w:rsidRPr="00E273FC" w14:paraId="060ACB47" w14:textId="77777777" w:rsidTr="00D737C8">
        <w:trPr>
          <w:trHeight w:hRule="exact" w:val="340"/>
        </w:trPr>
        <w:tc>
          <w:tcPr>
            <w:tcW w:w="7876" w:type="dxa"/>
            <w:vAlign w:val="center"/>
            <w:hideMark/>
          </w:tcPr>
          <w:p w14:paraId="53395330"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Total VCAT appeals</w:t>
            </w:r>
          </w:p>
        </w:tc>
        <w:tc>
          <w:tcPr>
            <w:tcW w:w="1196" w:type="dxa"/>
            <w:vAlign w:val="center"/>
            <w:hideMark/>
          </w:tcPr>
          <w:p w14:paraId="59394B4E"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6</w:t>
            </w:r>
          </w:p>
        </w:tc>
      </w:tr>
    </w:tbl>
    <w:p w14:paraId="67251165" w14:textId="77777777" w:rsidR="001B1347" w:rsidRPr="00E273FC" w:rsidRDefault="001B1347" w:rsidP="00CF74EB">
      <w:pPr>
        <w:pStyle w:val="TableHeader"/>
      </w:pPr>
      <w:r w:rsidRPr="00E273FC">
        <w:t>Major Transport Infrastructure Authority</w:t>
      </w:r>
      <w:r w:rsidRPr="00E273FC" w:rsidDel="00BB004C">
        <w:t xml:space="preserve"> </w:t>
      </w:r>
      <w:r w:rsidRPr="00E273FC">
        <w:t>– 1 July 2019 to 30 June 2020</w:t>
      </w:r>
    </w:p>
    <w:tbl>
      <w:tblPr>
        <w:tblStyle w:val="TableGrid"/>
        <w:tblW w:w="9072" w:type="dxa"/>
        <w:tblLook w:val="04A0" w:firstRow="1" w:lastRow="0" w:firstColumn="1" w:lastColumn="0" w:noHBand="0" w:noVBand="1"/>
      </w:tblPr>
      <w:tblGrid>
        <w:gridCol w:w="7863"/>
        <w:gridCol w:w="1209"/>
      </w:tblGrid>
      <w:tr w:rsidR="001B1347" w:rsidRPr="00E273FC" w14:paraId="13CB35C5" w14:textId="77777777" w:rsidTr="00246E3D">
        <w:trPr>
          <w:trHeight w:val="340"/>
        </w:trPr>
        <w:tc>
          <w:tcPr>
            <w:tcW w:w="3686" w:type="dxa"/>
            <w:vAlign w:val="center"/>
          </w:tcPr>
          <w:p w14:paraId="14194F26"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FOI requests from Members of Parliament</w:t>
            </w:r>
          </w:p>
        </w:tc>
        <w:tc>
          <w:tcPr>
            <w:tcW w:w="567" w:type="dxa"/>
            <w:vAlign w:val="center"/>
          </w:tcPr>
          <w:p w14:paraId="29FE1728"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16</w:t>
            </w:r>
          </w:p>
        </w:tc>
      </w:tr>
      <w:tr w:rsidR="001B1347" w:rsidRPr="00E273FC" w14:paraId="2E1E7B05" w14:textId="77777777" w:rsidTr="00246E3D">
        <w:trPr>
          <w:trHeight w:val="340"/>
        </w:trPr>
        <w:tc>
          <w:tcPr>
            <w:tcW w:w="3686" w:type="dxa"/>
            <w:vAlign w:val="center"/>
          </w:tcPr>
          <w:p w14:paraId="75DA910B"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FOI requests from media</w:t>
            </w:r>
          </w:p>
        </w:tc>
        <w:tc>
          <w:tcPr>
            <w:tcW w:w="567" w:type="dxa"/>
            <w:vAlign w:val="center"/>
          </w:tcPr>
          <w:p w14:paraId="5CFB41F7"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0</w:t>
            </w:r>
          </w:p>
        </w:tc>
      </w:tr>
      <w:tr w:rsidR="001B1347" w:rsidRPr="00E273FC" w14:paraId="7EA791AA" w14:textId="77777777" w:rsidTr="00246E3D">
        <w:trPr>
          <w:trHeight w:val="340"/>
        </w:trPr>
        <w:tc>
          <w:tcPr>
            <w:tcW w:w="3686" w:type="dxa"/>
            <w:vAlign w:val="center"/>
          </w:tcPr>
          <w:p w14:paraId="626243EF"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FOI requests other</w:t>
            </w:r>
          </w:p>
        </w:tc>
        <w:tc>
          <w:tcPr>
            <w:tcW w:w="567" w:type="dxa"/>
            <w:vAlign w:val="center"/>
          </w:tcPr>
          <w:p w14:paraId="6ED50ED9"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30</w:t>
            </w:r>
          </w:p>
        </w:tc>
      </w:tr>
      <w:tr w:rsidR="001B1347" w:rsidRPr="00E273FC" w14:paraId="3549D528" w14:textId="77777777" w:rsidTr="00246E3D">
        <w:trPr>
          <w:trHeight w:val="340"/>
        </w:trPr>
        <w:tc>
          <w:tcPr>
            <w:tcW w:w="3686" w:type="dxa"/>
            <w:vAlign w:val="center"/>
          </w:tcPr>
          <w:p w14:paraId="7D8C2A41"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Total</w:t>
            </w:r>
          </w:p>
        </w:tc>
        <w:tc>
          <w:tcPr>
            <w:tcW w:w="567" w:type="dxa"/>
            <w:vAlign w:val="center"/>
          </w:tcPr>
          <w:p w14:paraId="053DF76D"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46</w:t>
            </w:r>
          </w:p>
        </w:tc>
      </w:tr>
      <w:tr w:rsidR="001B1347" w:rsidRPr="00E273FC" w14:paraId="716D5646" w14:textId="77777777" w:rsidTr="00246E3D">
        <w:trPr>
          <w:trHeight w:val="340"/>
        </w:trPr>
        <w:tc>
          <w:tcPr>
            <w:tcW w:w="3686" w:type="dxa"/>
            <w:vAlign w:val="center"/>
          </w:tcPr>
          <w:p w14:paraId="6C834116" w14:textId="77777777" w:rsidR="001B1347" w:rsidRPr="00E273FC" w:rsidRDefault="001B1347" w:rsidP="00DE1921">
            <w:pPr>
              <w:pStyle w:val="TableTextLeft"/>
              <w:rPr>
                <w:rFonts w:ascii="Arial" w:hAnsi="Arial" w:cs="Arial"/>
                <w:sz w:val="24"/>
                <w:szCs w:val="24"/>
              </w:rPr>
            </w:pPr>
          </w:p>
        </w:tc>
        <w:tc>
          <w:tcPr>
            <w:tcW w:w="567" w:type="dxa"/>
            <w:vAlign w:val="center"/>
          </w:tcPr>
          <w:p w14:paraId="0264D5DE" w14:textId="77777777" w:rsidR="001B1347" w:rsidRPr="00E273FC" w:rsidRDefault="001B1347" w:rsidP="00DE1921">
            <w:pPr>
              <w:pStyle w:val="TableTextRight"/>
              <w:rPr>
                <w:rFonts w:ascii="Arial" w:hAnsi="Arial" w:cs="Arial"/>
                <w:sz w:val="24"/>
                <w:szCs w:val="24"/>
              </w:rPr>
            </w:pPr>
          </w:p>
        </w:tc>
      </w:tr>
      <w:tr w:rsidR="001B1347" w:rsidRPr="00E273FC" w14:paraId="767269AF" w14:textId="77777777" w:rsidTr="00246E3D">
        <w:trPr>
          <w:trHeight w:val="340"/>
        </w:trPr>
        <w:tc>
          <w:tcPr>
            <w:tcW w:w="3686" w:type="dxa"/>
            <w:vAlign w:val="center"/>
          </w:tcPr>
          <w:p w14:paraId="0A93B738"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Total Information Commissioner reviews</w:t>
            </w:r>
          </w:p>
        </w:tc>
        <w:tc>
          <w:tcPr>
            <w:tcW w:w="567" w:type="dxa"/>
            <w:vAlign w:val="center"/>
          </w:tcPr>
          <w:p w14:paraId="5FE8863B"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12</w:t>
            </w:r>
          </w:p>
        </w:tc>
      </w:tr>
      <w:tr w:rsidR="001B1347" w:rsidRPr="00E273FC" w14:paraId="19FC3406" w14:textId="77777777" w:rsidTr="00246E3D">
        <w:trPr>
          <w:trHeight w:val="340"/>
        </w:trPr>
        <w:tc>
          <w:tcPr>
            <w:tcW w:w="3686" w:type="dxa"/>
            <w:vAlign w:val="center"/>
          </w:tcPr>
          <w:p w14:paraId="1E4D6021"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Total VCAT appeals</w:t>
            </w:r>
          </w:p>
        </w:tc>
        <w:tc>
          <w:tcPr>
            <w:tcW w:w="567" w:type="dxa"/>
            <w:vAlign w:val="center"/>
          </w:tcPr>
          <w:p w14:paraId="196D87B7"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6</w:t>
            </w:r>
          </w:p>
        </w:tc>
      </w:tr>
    </w:tbl>
    <w:p w14:paraId="7B649B06" w14:textId="77777777" w:rsidR="001B1347" w:rsidRPr="00E273FC" w:rsidRDefault="001B1347" w:rsidP="00CF74EB">
      <w:pPr>
        <w:pStyle w:val="TableHeader"/>
      </w:pPr>
      <w:r w:rsidRPr="00E273FC">
        <w:t>Suburban Rail Loop Authority</w:t>
      </w:r>
      <w:r w:rsidRPr="00E273FC" w:rsidDel="00550DE0">
        <w:t xml:space="preserve"> </w:t>
      </w:r>
      <w:r w:rsidRPr="00E273FC">
        <w:t>– 1 September 2019 to 30 June 2020</w:t>
      </w:r>
    </w:p>
    <w:tbl>
      <w:tblPr>
        <w:tblStyle w:val="TableGrid"/>
        <w:tblW w:w="9072" w:type="dxa"/>
        <w:tblLook w:val="04A0" w:firstRow="1" w:lastRow="0" w:firstColumn="1" w:lastColumn="0" w:noHBand="0" w:noVBand="1"/>
      </w:tblPr>
      <w:tblGrid>
        <w:gridCol w:w="7826"/>
        <w:gridCol w:w="1246"/>
      </w:tblGrid>
      <w:tr w:rsidR="001B1347" w:rsidRPr="00E273FC" w14:paraId="3FA77F1C" w14:textId="77777777" w:rsidTr="00D737C8">
        <w:trPr>
          <w:trHeight w:hRule="exact" w:val="340"/>
        </w:trPr>
        <w:tc>
          <w:tcPr>
            <w:tcW w:w="7826" w:type="dxa"/>
            <w:vAlign w:val="center"/>
            <w:hideMark/>
          </w:tcPr>
          <w:p w14:paraId="5D9C3502"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FOI requests from Members of Parliament</w:t>
            </w:r>
          </w:p>
        </w:tc>
        <w:tc>
          <w:tcPr>
            <w:tcW w:w="1246" w:type="dxa"/>
            <w:vAlign w:val="center"/>
            <w:hideMark/>
          </w:tcPr>
          <w:p w14:paraId="4CAA6312"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3</w:t>
            </w:r>
          </w:p>
        </w:tc>
      </w:tr>
      <w:tr w:rsidR="001B1347" w:rsidRPr="00E273FC" w14:paraId="0C0BB8F1" w14:textId="77777777" w:rsidTr="00D737C8">
        <w:trPr>
          <w:trHeight w:hRule="exact" w:val="340"/>
        </w:trPr>
        <w:tc>
          <w:tcPr>
            <w:tcW w:w="7826" w:type="dxa"/>
            <w:vAlign w:val="center"/>
            <w:hideMark/>
          </w:tcPr>
          <w:p w14:paraId="17C41949"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FOI requests from media</w:t>
            </w:r>
          </w:p>
        </w:tc>
        <w:tc>
          <w:tcPr>
            <w:tcW w:w="1246" w:type="dxa"/>
            <w:vAlign w:val="center"/>
            <w:hideMark/>
          </w:tcPr>
          <w:p w14:paraId="590ABD44"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1</w:t>
            </w:r>
          </w:p>
        </w:tc>
      </w:tr>
      <w:tr w:rsidR="001B1347" w:rsidRPr="00E273FC" w14:paraId="23B3E3EB" w14:textId="77777777" w:rsidTr="00D737C8">
        <w:trPr>
          <w:trHeight w:hRule="exact" w:val="340"/>
        </w:trPr>
        <w:tc>
          <w:tcPr>
            <w:tcW w:w="7826" w:type="dxa"/>
            <w:vAlign w:val="center"/>
            <w:hideMark/>
          </w:tcPr>
          <w:p w14:paraId="38C2A3DB"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FOI requests other</w:t>
            </w:r>
          </w:p>
        </w:tc>
        <w:tc>
          <w:tcPr>
            <w:tcW w:w="1246" w:type="dxa"/>
            <w:vAlign w:val="center"/>
            <w:hideMark/>
          </w:tcPr>
          <w:p w14:paraId="1E14EC24"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0</w:t>
            </w:r>
          </w:p>
        </w:tc>
      </w:tr>
      <w:tr w:rsidR="001B1347" w:rsidRPr="00E273FC" w14:paraId="03E58BF2" w14:textId="77777777" w:rsidTr="00D737C8">
        <w:trPr>
          <w:trHeight w:hRule="exact" w:val="340"/>
        </w:trPr>
        <w:tc>
          <w:tcPr>
            <w:tcW w:w="7826" w:type="dxa"/>
            <w:vAlign w:val="center"/>
            <w:hideMark/>
          </w:tcPr>
          <w:p w14:paraId="473B62BF"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Total</w:t>
            </w:r>
          </w:p>
        </w:tc>
        <w:tc>
          <w:tcPr>
            <w:tcW w:w="1246" w:type="dxa"/>
            <w:vAlign w:val="center"/>
            <w:hideMark/>
          </w:tcPr>
          <w:p w14:paraId="4C4811F4"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4</w:t>
            </w:r>
          </w:p>
        </w:tc>
      </w:tr>
      <w:tr w:rsidR="001B1347" w:rsidRPr="00E273FC" w14:paraId="6A7A09C6" w14:textId="77777777" w:rsidTr="00D737C8">
        <w:trPr>
          <w:trHeight w:hRule="exact" w:val="340"/>
        </w:trPr>
        <w:tc>
          <w:tcPr>
            <w:tcW w:w="7826" w:type="dxa"/>
            <w:vAlign w:val="center"/>
          </w:tcPr>
          <w:p w14:paraId="18366F46" w14:textId="77777777" w:rsidR="001B1347" w:rsidRPr="00E273FC" w:rsidRDefault="001B1347" w:rsidP="00DE1921">
            <w:pPr>
              <w:pStyle w:val="TableTextLeft"/>
              <w:rPr>
                <w:rFonts w:ascii="Arial" w:hAnsi="Arial" w:cs="Arial"/>
                <w:sz w:val="24"/>
                <w:szCs w:val="24"/>
              </w:rPr>
            </w:pPr>
          </w:p>
        </w:tc>
        <w:tc>
          <w:tcPr>
            <w:tcW w:w="1246" w:type="dxa"/>
            <w:vAlign w:val="center"/>
          </w:tcPr>
          <w:p w14:paraId="7B579848" w14:textId="77777777" w:rsidR="001B1347" w:rsidRPr="00E273FC" w:rsidRDefault="001B1347" w:rsidP="00DE1921">
            <w:pPr>
              <w:pStyle w:val="TableTextRight"/>
              <w:rPr>
                <w:rFonts w:ascii="Arial" w:hAnsi="Arial" w:cs="Arial"/>
                <w:sz w:val="24"/>
                <w:szCs w:val="24"/>
              </w:rPr>
            </w:pPr>
          </w:p>
        </w:tc>
      </w:tr>
      <w:tr w:rsidR="001B1347" w:rsidRPr="00E273FC" w14:paraId="214AFF41" w14:textId="77777777" w:rsidTr="00D737C8">
        <w:trPr>
          <w:trHeight w:hRule="exact" w:val="340"/>
        </w:trPr>
        <w:tc>
          <w:tcPr>
            <w:tcW w:w="7826" w:type="dxa"/>
            <w:vAlign w:val="center"/>
            <w:hideMark/>
          </w:tcPr>
          <w:p w14:paraId="66D5E870"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Total Information Commissioner reviews</w:t>
            </w:r>
          </w:p>
        </w:tc>
        <w:tc>
          <w:tcPr>
            <w:tcW w:w="1246" w:type="dxa"/>
            <w:vAlign w:val="center"/>
            <w:hideMark/>
          </w:tcPr>
          <w:p w14:paraId="37430607"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2</w:t>
            </w:r>
          </w:p>
        </w:tc>
      </w:tr>
      <w:tr w:rsidR="001B1347" w:rsidRPr="00E273FC" w14:paraId="6746D855" w14:textId="77777777" w:rsidTr="00D737C8">
        <w:trPr>
          <w:trHeight w:hRule="exact" w:val="340"/>
        </w:trPr>
        <w:tc>
          <w:tcPr>
            <w:tcW w:w="7826" w:type="dxa"/>
            <w:vAlign w:val="center"/>
            <w:hideMark/>
          </w:tcPr>
          <w:p w14:paraId="552F29BE" w14:textId="77777777" w:rsidR="001B1347" w:rsidRPr="00E273FC" w:rsidRDefault="001B1347" w:rsidP="00DE1921">
            <w:pPr>
              <w:pStyle w:val="TableTextLeft"/>
              <w:rPr>
                <w:rFonts w:ascii="Arial" w:hAnsi="Arial" w:cs="Arial"/>
                <w:sz w:val="24"/>
                <w:szCs w:val="24"/>
              </w:rPr>
            </w:pPr>
            <w:r w:rsidRPr="00E273FC">
              <w:rPr>
                <w:rFonts w:ascii="Arial" w:hAnsi="Arial" w:cs="Arial"/>
                <w:sz w:val="24"/>
                <w:szCs w:val="24"/>
              </w:rPr>
              <w:t>Total VCAT appeals</w:t>
            </w:r>
          </w:p>
        </w:tc>
        <w:tc>
          <w:tcPr>
            <w:tcW w:w="1246" w:type="dxa"/>
            <w:vAlign w:val="center"/>
            <w:hideMark/>
          </w:tcPr>
          <w:p w14:paraId="0D6142A8" w14:textId="77777777" w:rsidR="001B1347" w:rsidRPr="00E273FC" w:rsidRDefault="001B1347" w:rsidP="00DE1921">
            <w:pPr>
              <w:pStyle w:val="TableTextRight"/>
              <w:rPr>
                <w:rFonts w:ascii="Arial" w:hAnsi="Arial" w:cs="Arial"/>
                <w:sz w:val="24"/>
                <w:szCs w:val="24"/>
              </w:rPr>
            </w:pPr>
            <w:r w:rsidRPr="00E273FC">
              <w:rPr>
                <w:rFonts w:ascii="Arial" w:hAnsi="Arial" w:cs="Arial"/>
                <w:sz w:val="24"/>
                <w:szCs w:val="24"/>
              </w:rPr>
              <w:t>1</w:t>
            </w:r>
          </w:p>
        </w:tc>
      </w:tr>
    </w:tbl>
    <w:p w14:paraId="23E622A7" w14:textId="77777777" w:rsidR="001B1347" w:rsidRDefault="001B1347" w:rsidP="00DE1921">
      <w:pPr>
        <w:sectPr w:rsidR="001B1347" w:rsidSect="00DE1921">
          <w:headerReference w:type="even" r:id="rId287"/>
          <w:headerReference w:type="default" r:id="rId288"/>
          <w:footerReference w:type="even" r:id="rId289"/>
          <w:headerReference w:type="first" r:id="rId290"/>
          <w:footerReference w:type="first" r:id="rId291"/>
          <w:type w:val="continuous"/>
          <w:pgSz w:w="11906" w:h="16838"/>
          <w:pgMar w:top="1701" w:right="1418" w:bottom="1418" w:left="1418" w:header="709" w:footer="709" w:gutter="0"/>
          <w:cols w:space="284"/>
          <w:docGrid w:linePitch="360"/>
        </w:sectPr>
      </w:pPr>
    </w:p>
    <w:p w14:paraId="06C5FA43" w14:textId="77777777" w:rsidR="001B1347" w:rsidRPr="00260327" w:rsidRDefault="001B1347" w:rsidP="008A0170">
      <w:pPr>
        <w:pStyle w:val="Heading3"/>
      </w:pPr>
      <w:r w:rsidRPr="00260327">
        <w:lastRenderedPageBreak/>
        <w:t>Lodging FOI requests</w:t>
      </w:r>
    </w:p>
    <w:p w14:paraId="741E9B20" w14:textId="77777777" w:rsidR="001B1347" w:rsidRDefault="001B1347" w:rsidP="001E3B90">
      <w:pPr>
        <w:pStyle w:val="aaatyping"/>
      </w:pPr>
      <w:r>
        <w:t>A request must be made in writing and accompanied by the application fee. Requests should be addressed to the relevant officer.</w:t>
      </w:r>
    </w:p>
    <w:p w14:paraId="55322312" w14:textId="77777777" w:rsidR="001B1347" w:rsidRPr="0034192B" w:rsidRDefault="001B1347" w:rsidP="00EF5131">
      <w:pPr>
        <w:pStyle w:val="Heading5"/>
      </w:pPr>
      <w:r w:rsidRPr="0034192B">
        <w:t>Department of Transport</w:t>
      </w:r>
    </w:p>
    <w:p w14:paraId="7F783A88" w14:textId="77777777" w:rsidR="001B1347" w:rsidRDefault="001B1347" w:rsidP="001E3B90">
      <w:pPr>
        <w:pStyle w:val="aaatyping"/>
      </w:pPr>
      <w:r>
        <w:t>Freedom of Information Manager, DoT</w:t>
      </w:r>
    </w:p>
    <w:p w14:paraId="426A812C" w14:textId="77777777" w:rsidR="001B1347" w:rsidRDefault="001B1347" w:rsidP="001E3B90">
      <w:pPr>
        <w:pStyle w:val="aaatyping"/>
      </w:pPr>
      <w:r>
        <w:t>GPO 2392 Melbourne VIC 3001</w:t>
      </w:r>
    </w:p>
    <w:p w14:paraId="0AEA41F0" w14:textId="77777777" w:rsidR="001B1347" w:rsidRDefault="001B1347" w:rsidP="001E3B90">
      <w:pPr>
        <w:pStyle w:val="aaatyping"/>
      </w:pPr>
      <w:r>
        <w:t>Telephone: (03) 9208 3112</w:t>
      </w:r>
    </w:p>
    <w:p w14:paraId="57F05C91" w14:textId="77777777" w:rsidR="001B1347" w:rsidRDefault="001B1347" w:rsidP="001E3B90">
      <w:pPr>
        <w:pStyle w:val="aaatyping"/>
      </w:pPr>
      <w:r>
        <w:t xml:space="preserve">Email: </w:t>
      </w:r>
      <w:hyperlink r:id="rId292" w:history="1">
        <w:r w:rsidRPr="003E4057">
          <w:rPr>
            <w:rStyle w:val="Hyperlink"/>
          </w:rPr>
          <w:t>foi@transport.vic.gov.au</w:t>
        </w:r>
      </w:hyperlink>
    </w:p>
    <w:p w14:paraId="3B1C1259" w14:textId="77777777" w:rsidR="001B1347" w:rsidRPr="00260327" w:rsidRDefault="001B1347" w:rsidP="00EF5131">
      <w:pPr>
        <w:pStyle w:val="Heading5"/>
      </w:pPr>
      <w:r w:rsidRPr="00260327">
        <w:t>Major Transport Infrastructure Authority (MTIA)</w:t>
      </w:r>
    </w:p>
    <w:p w14:paraId="3EF8BAD9" w14:textId="77777777" w:rsidR="001B1347" w:rsidRDefault="001B1347" w:rsidP="001E3B90">
      <w:pPr>
        <w:pStyle w:val="aaatyping"/>
      </w:pPr>
      <w:r>
        <w:t>Freedom of Information Officer, MTIA</w:t>
      </w:r>
    </w:p>
    <w:p w14:paraId="6724DA7D" w14:textId="77777777" w:rsidR="001B1347" w:rsidRDefault="001B1347" w:rsidP="001E3B90">
      <w:pPr>
        <w:pStyle w:val="aaatyping"/>
      </w:pPr>
      <w:r>
        <w:t>GPO Box 4509 Melbourne VIC 3001</w:t>
      </w:r>
    </w:p>
    <w:p w14:paraId="0BDEEE71" w14:textId="77777777" w:rsidR="001B1347" w:rsidRDefault="001B1347" w:rsidP="001E3B90">
      <w:pPr>
        <w:pStyle w:val="aaatyping"/>
      </w:pPr>
      <w:r>
        <w:t>Telephone: 1800 105 105</w:t>
      </w:r>
    </w:p>
    <w:p w14:paraId="026E104A" w14:textId="77777777" w:rsidR="001B1347" w:rsidRDefault="001B1347" w:rsidP="001E3B90">
      <w:pPr>
        <w:pStyle w:val="aaatyping"/>
      </w:pPr>
      <w:r>
        <w:t xml:space="preserve">Email: </w:t>
      </w:r>
      <w:hyperlink r:id="rId293" w:history="1">
        <w:r w:rsidRPr="00AC726F">
          <w:rPr>
            <w:rStyle w:val="Hyperlink"/>
          </w:rPr>
          <w:t>MTIA-FOI@mtia.vic.gov.au</w:t>
        </w:r>
      </w:hyperlink>
      <w:r>
        <w:t xml:space="preserve"> </w:t>
      </w:r>
    </w:p>
    <w:p w14:paraId="537392F1" w14:textId="77777777" w:rsidR="001B1347" w:rsidRDefault="001B1347" w:rsidP="00246E3D">
      <w:pPr>
        <w:pStyle w:val="Heading5"/>
      </w:pPr>
      <w:r>
        <w:t>Suburban Rail Loop Authority (SRLA)</w:t>
      </w:r>
    </w:p>
    <w:p w14:paraId="13D8F9E7" w14:textId="77777777" w:rsidR="001B1347" w:rsidRPr="00E82D23" w:rsidRDefault="001B1347" w:rsidP="001E3B90">
      <w:pPr>
        <w:pStyle w:val="aaatyping"/>
      </w:pPr>
      <w:r w:rsidRPr="00E82D23">
        <w:t>F</w:t>
      </w:r>
      <w:r>
        <w:t xml:space="preserve">reedom of Information </w:t>
      </w:r>
      <w:r w:rsidRPr="00E82D23">
        <w:t>&amp; Privacy, SRLA</w:t>
      </w:r>
    </w:p>
    <w:p w14:paraId="05F7CEF0" w14:textId="77777777" w:rsidR="001B1347" w:rsidRDefault="001B1347" w:rsidP="001E3B90">
      <w:pPr>
        <w:pStyle w:val="aaatyping"/>
      </w:pPr>
      <w:r w:rsidRPr="00E82D23">
        <w:t>PO Box 4509, Melbourne VIC 3001</w:t>
      </w:r>
      <w:r>
        <w:br/>
        <w:t xml:space="preserve">Telephone: </w:t>
      </w:r>
      <w:r w:rsidRPr="00140B5B">
        <w:t>1800 105 105</w:t>
      </w:r>
    </w:p>
    <w:p w14:paraId="0C8E0AB7" w14:textId="77777777" w:rsidR="001B1347" w:rsidRDefault="001B1347" w:rsidP="001E3B90">
      <w:pPr>
        <w:pStyle w:val="aaatyping"/>
      </w:pPr>
      <w:r>
        <w:t xml:space="preserve">Requests can also be lodged online at </w:t>
      </w:r>
      <w:r w:rsidRPr="00596425">
        <w:rPr>
          <w:rStyle w:val="Hyperlink"/>
        </w:rPr>
        <w:t>online.foi.vic.gov.a</w:t>
      </w:r>
      <w:r>
        <w:rPr>
          <w:rStyle w:val="Hyperlink"/>
        </w:rPr>
        <w:t xml:space="preserve">u </w:t>
      </w:r>
      <w:r>
        <w:t xml:space="preserve"> </w:t>
      </w:r>
    </w:p>
    <w:p w14:paraId="6015A1F5" w14:textId="77777777" w:rsidR="00CD34E0" w:rsidRDefault="00CD34E0">
      <w:pPr>
        <w:sectPr w:rsidR="00CD34E0" w:rsidSect="00D81C65">
          <w:pgSz w:w="11906" w:h="16838"/>
          <w:pgMar w:top="1701" w:right="1418" w:bottom="1418" w:left="1418" w:header="709" w:footer="709" w:gutter="0"/>
          <w:cols w:space="284"/>
          <w:docGrid w:linePitch="360"/>
        </w:sectPr>
      </w:pPr>
    </w:p>
    <w:p w14:paraId="1FEF5B38" w14:textId="5506903E" w:rsidR="000A29AA" w:rsidRDefault="000A29AA" w:rsidP="008A0170">
      <w:pPr>
        <w:pStyle w:val="Heading1"/>
      </w:pPr>
      <w:r>
        <w:br w:type="page"/>
      </w:r>
    </w:p>
    <w:p w14:paraId="6A046BF1" w14:textId="3C8B2A6B" w:rsidR="00CD34E0" w:rsidRDefault="00CD34E0" w:rsidP="008A0170">
      <w:pPr>
        <w:pStyle w:val="Heading1"/>
      </w:pPr>
      <w:bookmarkStart w:id="816" w:name="_Toc55130716"/>
      <w:r w:rsidRPr="008D305D">
        <w:lastRenderedPageBreak/>
        <w:t>Appendix 15: Compliance and attestation</w:t>
      </w:r>
      <w:bookmarkStart w:id="817" w:name="p474"/>
      <w:bookmarkEnd w:id="816"/>
      <w:bookmarkEnd w:id="817"/>
    </w:p>
    <w:p w14:paraId="1B534EF6" w14:textId="77777777" w:rsidR="00CD34E0" w:rsidRPr="00024AE0" w:rsidRDefault="00CD34E0" w:rsidP="008A0170">
      <w:pPr>
        <w:pStyle w:val="Heading2"/>
      </w:pPr>
      <w:r w:rsidRPr="00024AE0">
        <w:t xml:space="preserve">Compliance with the </w:t>
      </w:r>
      <w:r w:rsidRPr="00024AE0">
        <w:rPr>
          <w:i/>
        </w:rPr>
        <w:t>Building Act 1993</w:t>
      </w:r>
    </w:p>
    <w:p w14:paraId="6608F1C8" w14:textId="77777777" w:rsidR="00CD34E0" w:rsidRDefault="00CD34E0" w:rsidP="001E3B90">
      <w:pPr>
        <w:pStyle w:val="aaatyping"/>
      </w:pPr>
      <w:r>
        <w:t>This attestation relates to the entire reporting period. It identifies activities, resources and changes that have occurred as part of the establishment of the integrated Department of Transport on 1 July 2019 following the amalgamation of VicRoads and PTV with the existing department.</w:t>
      </w:r>
    </w:p>
    <w:p w14:paraId="00306B43" w14:textId="77777777" w:rsidR="00CD34E0" w:rsidRPr="003E3C4B" w:rsidRDefault="00CD34E0" w:rsidP="001E3B90">
      <w:pPr>
        <w:pStyle w:val="aaatyping"/>
      </w:pPr>
      <w:r w:rsidRPr="003E3C4B">
        <w:t>The</w:t>
      </w:r>
      <w:r>
        <w:t xml:space="preserve"> majority of the department’s leased office accommodation is managed by the Department of Treasury and Finance (DTF) through the Shared Service Provider (SSP). The department’s directly managed portfolio includes offices, combined office/depots, depots, project offices, customer service centres, call/contact centres, licence testing centres, digital hubs, customer hub and kiosks and sites identified for land sales no longer required by the department.</w:t>
      </w:r>
    </w:p>
    <w:p w14:paraId="5C8FA881" w14:textId="77777777" w:rsidR="00CD34E0" w:rsidRPr="00FD3196" w:rsidRDefault="00CD34E0" w:rsidP="00EF5131">
      <w:pPr>
        <w:pStyle w:val="Heading5"/>
      </w:pPr>
      <w:r w:rsidRPr="00FD3196">
        <w:t>Audit of government-owned and leased buildings for the presence of combustible cladding</w:t>
      </w:r>
    </w:p>
    <w:p w14:paraId="0E403B6D" w14:textId="77777777" w:rsidR="00CD34E0" w:rsidRPr="0084279C" w:rsidRDefault="00CD34E0" w:rsidP="001E3B90">
      <w:pPr>
        <w:pStyle w:val="aaatyping"/>
      </w:pPr>
      <w:r w:rsidRPr="09B39697">
        <w:t xml:space="preserve">DTF undertook an audit of leased sites identifying buildings that fall within the risk criteria established by the Victorian Cladding Taskforce, that is, three or more </w:t>
      </w:r>
      <w:r w:rsidRPr="00B70747">
        <w:t>above</w:t>
      </w:r>
      <w:r w:rsidRPr="09B39697">
        <w:t xml:space="preserve"> ground storeys or buildings of a public nature (Class 9 buildings) with two or more above ground storeys. The audit identified one building with combustible cladding in the department with future rectification works to be scheduled.</w:t>
      </w:r>
    </w:p>
    <w:p w14:paraId="51348F4D" w14:textId="77777777" w:rsidR="00CD34E0" w:rsidRPr="00FD3196" w:rsidRDefault="00CD34E0" w:rsidP="00EF5131">
      <w:pPr>
        <w:pStyle w:val="Heading5"/>
      </w:pPr>
      <w:r w:rsidRPr="00FD3196">
        <w:t>Number of building permits, occupancy permits or certificates of final inspection issued in relation to buildings owned by the department</w:t>
      </w:r>
    </w:p>
    <w:p w14:paraId="686A5A7B" w14:textId="77777777" w:rsidR="00CD34E0" w:rsidRPr="00B8002D" w:rsidRDefault="00CD34E0" w:rsidP="001E3B90">
      <w:pPr>
        <w:pStyle w:val="aaatyping"/>
      </w:pPr>
      <w:r w:rsidRPr="47B221D5">
        <w:t xml:space="preserve">A total of 10 building permits have been issued during the reporting </w:t>
      </w:r>
      <w:r w:rsidRPr="006936E3">
        <w:t>period</w:t>
      </w:r>
      <w:r>
        <w:t>;</w:t>
      </w:r>
      <w:r w:rsidRPr="47B221D5">
        <w:t xml:space="preserve"> certificates of final inspection hav</w:t>
      </w:r>
      <w:r>
        <w:t>e</w:t>
      </w:r>
      <w:r w:rsidRPr="47B221D5">
        <w:t xml:space="preserve"> been </w:t>
      </w:r>
      <w:r w:rsidRPr="00B70747">
        <w:t>achieved</w:t>
      </w:r>
      <w:r w:rsidRPr="47B221D5">
        <w:t xml:space="preserve"> across nine projects</w:t>
      </w:r>
      <w:r>
        <w:t>,</w:t>
      </w:r>
      <w:r w:rsidRPr="47B221D5">
        <w:t xml:space="preserve"> </w:t>
      </w:r>
      <w:r>
        <w:t>and</w:t>
      </w:r>
      <w:r w:rsidRPr="47B221D5">
        <w:t xml:space="preserve"> one project </w:t>
      </w:r>
      <w:r>
        <w:t xml:space="preserve">is </w:t>
      </w:r>
      <w:r w:rsidRPr="47B221D5">
        <w:t>still in delivery.</w:t>
      </w:r>
    </w:p>
    <w:p w14:paraId="531E14E6" w14:textId="77777777" w:rsidR="00CD34E0" w:rsidRPr="00FD3196" w:rsidRDefault="00CD34E0" w:rsidP="00EF5131">
      <w:pPr>
        <w:pStyle w:val="Heading5"/>
      </w:pPr>
      <w:r w:rsidRPr="00FD3196">
        <w:lastRenderedPageBreak/>
        <w:t>Mechanisms for inspection, reporting, scheduling and carrying out maintenance works on existing buildings</w:t>
      </w:r>
    </w:p>
    <w:p w14:paraId="44148AD4" w14:textId="77777777" w:rsidR="00CD34E0" w:rsidRPr="00FD3196" w:rsidRDefault="00CD34E0" w:rsidP="001E3B90">
      <w:pPr>
        <w:pStyle w:val="aaatyping"/>
      </w:pPr>
      <w:r>
        <w:t xml:space="preserve">The department engages the DTF SSP to ensure that its buildings are compliant with the </w:t>
      </w:r>
      <w:r w:rsidRPr="005B09DB">
        <w:rPr>
          <w:i/>
          <w:iCs/>
        </w:rPr>
        <w:t xml:space="preserve">Building Act 1993 </w:t>
      </w:r>
      <w:r>
        <w:t>and are maintained in a safe and serviceable condition. The DTF SSP performs detailed condition audits (covering asbestos, cladding and building conditions) and ensures annual essential safety measures reports are available for each site. Each site has nominated health and safety representatives and first aid officers, and is supported by the facilities team which forms part of Workplace Services or teams embedded in various major transport infrastructure delivery teams. These teams triage some scheduled and ad hoc maintenance works that are undertaken by SSP or managed directly.</w:t>
      </w:r>
    </w:p>
    <w:p w14:paraId="631EC799" w14:textId="77777777" w:rsidR="00CD34E0" w:rsidRPr="003B1EA0" w:rsidRDefault="00CD34E0" w:rsidP="001E3B90">
      <w:pPr>
        <w:pStyle w:val="aaatyping"/>
      </w:pPr>
      <w:r>
        <w:t xml:space="preserve">For all other buildings, the department has internal mechanisms and programs in place to ensure compliance with the building and maintenance provisions of the </w:t>
      </w:r>
      <w:r w:rsidRPr="00FD0E55">
        <w:rPr>
          <w:i/>
          <w:iCs/>
        </w:rPr>
        <w:t>Building Act 1993</w:t>
      </w:r>
      <w:r>
        <w:t>. These include routine and ad hoc building inspections and an annual maintenance program.</w:t>
      </w:r>
    </w:p>
    <w:p w14:paraId="2EDC1798" w14:textId="77777777" w:rsidR="00CD34E0" w:rsidRPr="00FD3196" w:rsidRDefault="00CD34E0" w:rsidP="00EF5131">
      <w:pPr>
        <w:pStyle w:val="Heading5"/>
      </w:pPr>
      <w:r w:rsidRPr="00FD3196">
        <w:t>Number of emergency orders and building orders issued in relation to buildings</w:t>
      </w:r>
    </w:p>
    <w:p w14:paraId="4C81E1FB" w14:textId="77777777" w:rsidR="00CD34E0" w:rsidRDefault="00CD34E0" w:rsidP="001E3B90">
      <w:pPr>
        <w:pStyle w:val="aaatyping"/>
      </w:pPr>
      <w:r w:rsidRPr="00D64555">
        <w:t xml:space="preserve">There were no emergency or building orders </w:t>
      </w:r>
      <w:r>
        <w:t>i</w:t>
      </w:r>
      <w:r w:rsidRPr="00D64555">
        <w:t>ssued against the department during the year.</w:t>
      </w:r>
    </w:p>
    <w:p w14:paraId="2DC74A21" w14:textId="77777777" w:rsidR="00CD34E0" w:rsidRPr="003B1EA0" w:rsidRDefault="00CD34E0" w:rsidP="00EF5131">
      <w:pPr>
        <w:pStyle w:val="Heading5"/>
      </w:pPr>
      <w:r w:rsidRPr="003B1EA0">
        <w:t>Number of buildings that have been brought into conformity with building standards during the reporting period</w:t>
      </w:r>
    </w:p>
    <w:p w14:paraId="517395B3" w14:textId="77777777" w:rsidR="00CD34E0" w:rsidRPr="003B1EA0" w:rsidRDefault="00CD34E0" w:rsidP="001E3B90">
      <w:pPr>
        <w:pStyle w:val="aaatyping"/>
      </w:pPr>
      <w:r w:rsidRPr="003B1EA0">
        <w:t xml:space="preserve">There were no buildings requiring conformity with building standards during the reporting period. </w:t>
      </w:r>
    </w:p>
    <w:p w14:paraId="5A42D954" w14:textId="77777777" w:rsidR="00CD34E0" w:rsidRPr="008D305D" w:rsidRDefault="00CD34E0" w:rsidP="00EF5131">
      <w:pPr>
        <w:pStyle w:val="Heading5"/>
      </w:pPr>
      <w:r w:rsidRPr="008D305D">
        <w:t>Major works projects</w:t>
      </w:r>
    </w:p>
    <w:p w14:paraId="51985B88" w14:textId="77777777" w:rsidR="00CD34E0" w:rsidRPr="00516F63" w:rsidRDefault="00CD34E0" w:rsidP="001E3B90">
      <w:pPr>
        <w:pStyle w:val="aaatyping"/>
        <w:rPr>
          <w:rFonts w:eastAsiaTheme="minorEastAsia"/>
          <w:szCs w:val="18"/>
        </w:rPr>
      </w:pPr>
      <w:r>
        <w:rPr>
          <w:rFonts w:eastAsia="VIC Light" w:cs="VIC Light"/>
          <w:szCs w:val="18"/>
        </w:rPr>
        <w:t>Thirteen</w:t>
      </w:r>
      <w:r w:rsidRPr="00164A96">
        <w:t xml:space="preserve"> projects (valued over $50,000) pertaining to the department’s leased and owned office accommodation</w:t>
      </w:r>
      <w:r w:rsidRPr="524BCDE6">
        <w:rPr>
          <w:rFonts w:eastAsiaTheme="minorEastAsia"/>
          <w:szCs w:val="18"/>
        </w:rPr>
        <w:t xml:space="preserve"> </w:t>
      </w:r>
      <w:r w:rsidRPr="0008024E">
        <w:t>portfolio</w:t>
      </w:r>
      <w:r w:rsidRPr="524BCDE6">
        <w:rPr>
          <w:rFonts w:eastAsiaTheme="minorEastAsia"/>
          <w:szCs w:val="18"/>
        </w:rPr>
        <w:t xml:space="preserve"> </w:t>
      </w:r>
      <w:r>
        <w:rPr>
          <w:rFonts w:eastAsiaTheme="minorEastAsia"/>
          <w:szCs w:val="18"/>
        </w:rPr>
        <w:t xml:space="preserve">were </w:t>
      </w:r>
      <w:r w:rsidRPr="524BCDE6">
        <w:rPr>
          <w:rFonts w:eastAsiaTheme="minorEastAsia"/>
          <w:szCs w:val="18"/>
        </w:rPr>
        <w:t xml:space="preserve">commenced or </w:t>
      </w:r>
      <w:r w:rsidRPr="524BCDE6">
        <w:rPr>
          <w:rFonts w:eastAsiaTheme="minorEastAsia"/>
          <w:szCs w:val="18"/>
        </w:rPr>
        <w:lastRenderedPageBreak/>
        <w:t xml:space="preserve">completed </w:t>
      </w:r>
      <w:r w:rsidRPr="00CE7F3B">
        <w:t>in</w:t>
      </w:r>
      <w:r w:rsidRPr="524BCDE6">
        <w:rPr>
          <w:rFonts w:eastAsiaTheme="minorEastAsia"/>
          <w:szCs w:val="18"/>
        </w:rPr>
        <w:t xml:space="preserve"> 2019-20.</w:t>
      </w:r>
      <w:r w:rsidRPr="0011101C">
        <w:t xml:space="preserve"> </w:t>
      </w:r>
      <w:r>
        <w:t>Twelve</w:t>
      </w:r>
      <w:r w:rsidRPr="00164A96">
        <w:t xml:space="preserve"> </w:t>
      </w:r>
      <w:r>
        <w:t xml:space="preserve">of these </w:t>
      </w:r>
      <w:r w:rsidRPr="00164A96">
        <w:t>projects were completed and one remains in delivery.</w:t>
      </w:r>
    </w:p>
    <w:p w14:paraId="5CFC5F73" w14:textId="77777777" w:rsidR="00CD34E0" w:rsidRPr="0005232C" w:rsidRDefault="00CD34E0" w:rsidP="001E3B90">
      <w:pPr>
        <w:pStyle w:val="aaabullet"/>
      </w:pPr>
      <w:r w:rsidRPr="0005232C">
        <w:t>CBD – 180 Exhibition Street, Level 21 – Office fit-out</w:t>
      </w:r>
    </w:p>
    <w:p w14:paraId="58E69FF5" w14:textId="77777777" w:rsidR="00CD34E0" w:rsidRPr="0005232C" w:rsidRDefault="00CD34E0" w:rsidP="001E3B90">
      <w:pPr>
        <w:pStyle w:val="aaabullet"/>
      </w:pPr>
      <w:r w:rsidRPr="0005232C">
        <w:t>CBD – 121 Exhibition Street, Levels 8-10 – Office modification</w:t>
      </w:r>
    </w:p>
    <w:p w14:paraId="22936A66" w14:textId="77777777" w:rsidR="00CD34E0" w:rsidRPr="006C5728" w:rsidRDefault="00CD34E0" w:rsidP="001E3B90">
      <w:pPr>
        <w:pStyle w:val="aaabullet"/>
      </w:pPr>
      <w:r w:rsidRPr="006C5728">
        <w:t>CBD – 121 Exhibition Street, Levels 11 &amp; 13 - Office fit-out</w:t>
      </w:r>
    </w:p>
    <w:p w14:paraId="0C659038" w14:textId="77777777" w:rsidR="00CD34E0" w:rsidRPr="006C5728" w:rsidRDefault="00CD34E0" w:rsidP="001E3B90">
      <w:pPr>
        <w:pStyle w:val="aaabullet"/>
      </w:pPr>
      <w:r w:rsidRPr="006C5728">
        <w:t>CBD – 121 Exhibition Street, Levels 12 &amp; 14 – Office fit-out</w:t>
      </w:r>
    </w:p>
    <w:p w14:paraId="2F5A5A8F" w14:textId="77777777" w:rsidR="00CD34E0" w:rsidRPr="0005232C" w:rsidRDefault="00CD34E0" w:rsidP="001E3B90">
      <w:pPr>
        <w:pStyle w:val="aaabullet"/>
      </w:pPr>
      <w:r w:rsidRPr="006C5728">
        <w:t>CBD – 180 Lonsdale Street, Levels 25 &amp; 26 – Office fit-out</w:t>
      </w:r>
    </w:p>
    <w:p w14:paraId="3850EBDA" w14:textId="77777777" w:rsidR="00CD34E0" w:rsidRPr="00C549A1" w:rsidRDefault="00CD34E0" w:rsidP="001E3B90">
      <w:pPr>
        <w:pStyle w:val="aaabullet"/>
      </w:pPr>
      <w:r w:rsidRPr="00C549A1">
        <w:t>CBD – 77 Southbank Boulevard – Office fit-out</w:t>
      </w:r>
    </w:p>
    <w:p w14:paraId="1374E41D" w14:textId="77777777" w:rsidR="00CD34E0" w:rsidRPr="0005232C" w:rsidRDefault="00CD34E0" w:rsidP="001E3B90">
      <w:pPr>
        <w:pStyle w:val="aaabullet"/>
      </w:pPr>
      <w:r w:rsidRPr="0005232C">
        <w:t>CBD – 1 Spring Street, Level 21 – Office refurbishment</w:t>
      </w:r>
    </w:p>
    <w:p w14:paraId="065FDED1" w14:textId="77777777" w:rsidR="00CD34E0" w:rsidRPr="0005232C" w:rsidRDefault="00CD34E0" w:rsidP="001E3B90">
      <w:pPr>
        <w:pStyle w:val="aaabullet"/>
      </w:pPr>
      <w:r w:rsidRPr="0005232C">
        <w:t>CBD – 1 Spring Street, Level 22 – Boardroom refurbishment</w:t>
      </w:r>
    </w:p>
    <w:p w14:paraId="26F3A6D5" w14:textId="77777777" w:rsidR="00CD34E0" w:rsidRPr="0005232C" w:rsidRDefault="00CD34E0" w:rsidP="001E3B90">
      <w:pPr>
        <w:pStyle w:val="aaabullet"/>
      </w:pPr>
      <w:r w:rsidRPr="0005232C">
        <w:t>Metro – Belgrave-Hallam Road, Hallam – Office modification</w:t>
      </w:r>
    </w:p>
    <w:p w14:paraId="6C5407FA" w14:textId="77777777" w:rsidR="00CD34E0" w:rsidRPr="0005232C" w:rsidRDefault="00CD34E0" w:rsidP="001E3B90">
      <w:pPr>
        <w:pStyle w:val="aaabullet"/>
      </w:pPr>
      <w:r w:rsidRPr="0005232C">
        <w:t>Metro – 71 Hartnett Drive, Seaford – Carpark refurbishment works</w:t>
      </w:r>
    </w:p>
    <w:p w14:paraId="6EC2F069" w14:textId="77777777" w:rsidR="00CD34E0" w:rsidRPr="0005232C" w:rsidRDefault="00CD34E0" w:rsidP="001E3B90">
      <w:pPr>
        <w:pStyle w:val="aaabullet"/>
      </w:pPr>
      <w:r w:rsidRPr="0005232C">
        <w:t>Metro – 12 Clarke Street, Sunshine – Office modification</w:t>
      </w:r>
    </w:p>
    <w:p w14:paraId="478DF03E" w14:textId="77777777" w:rsidR="00CD34E0" w:rsidRPr="0005232C" w:rsidRDefault="00CD34E0" w:rsidP="001E3B90">
      <w:pPr>
        <w:pStyle w:val="aaabullet"/>
      </w:pPr>
      <w:r w:rsidRPr="0005232C">
        <w:t>Metro – 85 Derrimut Road, Deer Park – New office fit-out</w:t>
      </w:r>
    </w:p>
    <w:p w14:paraId="2B465D5B" w14:textId="266FF896" w:rsidR="00CD34E0" w:rsidRDefault="00CD34E0" w:rsidP="001E3B90">
      <w:pPr>
        <w:pStyle w:val="aaabullet"/>
      </w:pPr>
      <w:r w:rsidRPr="0005232C">
        <w:t>Regional – 88 Learmonth Street, Wendouree – Office modification</w:t>
      </w:r>
      <w:r>
        <w:t>.</w:t>
      </w:r>
    </w:p>
    <w:p w14:paraId="6B7E4C2E" w14:textId="77777777" w:rsidR="000E69C5" w:rsidRDefault="000E69C5" w:rsidP="00A41567">
      <w:pPr>
        <w:pStyle w:val="NormalBullet"/>
        <w:numPr>
          <w:ilvl w:val="0"/>
          <w:numId w:val="0"/>
        </w:numPr>
        <w:spacing w:after="0"/>
        <w:ind w:left="284" w:hanging="227"/>
      </w:pPr>
    </w:p>
    <w:p w14:paraId="37C26FE4" w14:textId="77777777" w:rsidR="002B6A2D" w:rsidRDefault="002B6A2D" w:rsidP="00A41567">
      <w:pPr>
        <w:pStyle w:val="NormalBullet"/>
        <w:numPr>
          <w:ilvl w:val="0"/>
          <w:numId w:val="0"/>
        </w:numPr>
        <w:spacing w:after="0"/>
        <w:ind w:left="284" w:hanging="227"/>
        <w:sectPr w:rsidR="002B6A2D" w:rsidSect="00D81C65">
          <w:headerReference w:type="even" r:id="rId294"/>
          <w:headerReference w:type="default" r:id="rId295"/>
          <w:footerReference w:type="even" r:id="rId296"/>
          <w:headerReference w:type="first" r:id="rId297"/>
          <w:footerReference w:type="first" r:id="rId298"/>
          <w:type w:val="continuous"/>
          <w:pgSz w:w="11906" w:h="16838" w:code="9"/>
          <w:pgMar w:top="1701" w:right="1418" w:bottom="1418" w:left="1418" w:header="709" w:footer="709" w:gutter="0"/>
          <w:cols w:space="284"/>
          <w:docGrid w:linePitch="360"/>
        </w:sectPr>
      </w:pPr>
    </w:p>
    <w:p w14:paraId="24C3512A" w14:textId="77777777" w:rsidR="008F0FA2" w:rsidRDefault="008F0FA2" w:rsidP="008A0170">
      <w:pPr>
        <w:pStyle w:val="Heading2"/>
      </w:pPr>
      <w:r>
        <w:lastRenderedPageBreak/>
        <w:t>Competitive Neutrality Policy</w:t>
      </w:r>
      <w:bookmarkStart w:id="818" w:name="p477"/>
      <w:bookmarkEnd w:id="818"/>
    </w:p>
    <w:p w14:paraId="740D765F" w14:textId="77777777" w:rsidR="008F0FA2" w:rsidRDefault="008F0FA2" w:rsidP="001E3B90">
      <w:pPr>
        <w:pStyle w:val="aaatyping"/>
      </w:pPr>
      <w:r>
        <w:t>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43830A9B" w14:textId="2B033654" w:rsidR="008F0FA2" w:rsidRDefault="008F0FA2" w:rsidP="001E3B90">
      <w:pPr>
        <w:pStyle w:val="aaatyping"/>
      </w:pPr>
      <w:r>
        <w:t>The department is working to ensure Victoria fulfils its requirements on competitive neutrality reporting for technological based businesses against the enhanced principles as required under the Competition Principles Agreement and Competition and Infrastructure Reform Agreement.</w:t>
      </w:r>
    </w:p>
    <w:p w14:paraId="153AABF6" w14:textId="6E401219" w:rsidR="008F0FA2" w:rsidRPr="00AF0144" w:rsidRDefault="008F0FA2" w:rsidP="008A0170">
      <w:pPr>
        <w:pStyle w:val="Heading2"/>
      </w:pPr>
      <w:r w:rsidRPr="00AF0144">
        <w:t xml:space="preserve">Compliance with </w:t>
      </w:r>
      <w:proofErr w:type="spellStart"/>
      <w:r w:rsidRPr="00AF0144">
        <w:t>DataVic</w:t>
      </w:r>
      <w:proofErr w:type="spellEnd"/>
      <w:r w:rsidRPr="00AF0144">
        <w:t xml:space="preserve"> Access Policy</w:t>
      </w:r>
    </w:p>
    <w:p w14:paraId="06E3B312" w14:textId="77777777" w:rsidR="008F0FA2" w:rsidRDefault="008F0FA2" w:rsidP="001E3B90">
      <w:pPr>
        <w:pStyle w:val="aaatyping"/>
      </w:pPr>
      <w:r>
        <w:t>The department continues to support and leverage the Victorian Government Data Directory (data.vic.gov.au).</w:t>
      </w:r>
    </w:p>
    <w:p w14:paraId="68595D94" w14:textId="77777777" w:rsidR="008F0FA2" w:rsidRDefault="008F0FA2" w:rsidP="001E3B90">
      <w:pPr>
        <w:pStyle w:val="aaatyping"/>
      </w:pPr>
      <w:r>
        <w:t>The department has established the Data Exchange platform that focuses on an application programming interface (API) capability. The API allows the community to access live traffic data; travel time, speed sign data and dynamic message signs are now available to the public with plans to further build the platform.</w:t>
      </w:r>
    </w:p>
    <w:p w14:paraId="4767DEC4" w14:textId="77777777" w:rsidR="008F0FA2" w:rsidRDefault="008F0FA2" w:rsidP="001E3B90">
      <w:pPr>
        <w:pStyle w:val="aaatyping"/>
      </w:pPr>
      <w:r>
        <w:t xml:space="preserve">The department continues to work with the Department of Premier and Cabinet to explore improvements and new opportunities to include </w:t>
      </w:r>
      <w:r>
        <w:lastRenderedPageBreak/>
        <w:t>additional datasets on the platform. The popularity of transport open datasets continues to expand; 206 datasets were made available in 2019-20, with more than 14,000 pageviews at a conversion rate of 59 per cent.</w:t>
      </w:r>
    </w:p>
    <w:p w14:paraId="76D9E389" w14:textId="77777777" w:rsidR="008F0FA2" w:rsidRDefault="008F0FA2" w:rsidP="001E3B90">
      <w:pPr>
        <w:pStyle w:val="aaatyping"/>
      </w:pPr>
      <w:r>
        <w:t>The department is currently focused on delivering and expanding an Enterprise Information Catalogue, with the aim of publishing extra curated and governed datasets for inclusion in the Victorian Government Data Directory.</w:t>
      </w:r>
    </w:p>
    <w:p w14:paraId="0D10C439" w14:textId="77777777" w:rsidR="000E69C5" w:rsidRDefault="000E69C5" w:rsidP="000E69C5">
      <w:pPr>
        <w:rPr>
          <w:lang w:val="en-GB"/>
        </w:rPr>
      </w:pPr>
    </w:p>
    <w:p w14:paraId="37C5273A" w14:textId="7595C0C2" w:rsidR="000E69C5" w:rsidRPr="000E69C5" w:rsidRDefault="000E69C5" w:rsidP="000E69C5">
      <w:pPr>
        <w:rPr>
          <w:lang w:val="en-GB"/>
        </w:rPr>
        <w:sectPr w:rsidR="000E69C5" w:rsidRPr="000E69C5" w:rsidSect="002B6A2D">
          <w:headerReference w:type="even" r:id="rId299"/>
          <w:headerReference w:type="default" r:id="rId300"/>
          <w:footerReference w:type="even" r:id="rId301"/>
          <w:headerReference w:type="first" r:id="rId302"/>
          <w:footerReference w:type="first" r:id="rId303"/>
          <w:pgSz w:w="11906" w:h="16838" w:code="9"/>
          <w:pgMar w:top="1701" w:right="1418" w:bottom="1418" w:left="1418" w:header="709" w:footer="709" w:gutter="0"/>
          <w:cols w:space="284"/>
          <w:docGrid w:linePitch="360"/>
        </w:sectPr>
      </w:pPr>
    </w:p>
    <w:p w14:paraId="3A53CAAF" w14:textId="77777777" w:rsidR="002B6A2D" w:rsidRDefault="002B6A2D" w:rsidP="008A0170">
      <w:pPr>
        <w:pStyle w:val="Heading2"/>
        <w:sectPr w:rsidR="002B6A2D" w:rsidSect="00BA2E85">
          <w:headerReference w:type="even" r:id="rId304"/>
          <w:headerReference w:type="default" r:id="rId305"/>
          <w:footerReference w:type="even" r:id="rId306"/>
          <w:headerReference w:type="first" r:id="rId307"/>
          <w:footerReference w:type="first" r:id="rId308"/>
          <w:pgSz w:w="11906" w:h="16838" w:code="9"/>
          <w:pgMar w:top="1701" w:right="1418" w:bottom="1418" w:left="1418" w:header="709" w:footer="709" w:gutter="0"/>
          <w:cols w:space="284"/>
          <w:docGrid w:linePitch="360"/>
        </w:sectPr>
      </w:pPr>
    </w:p>
    <w:p w14:paraId="6F85F979" w14:textId="113506D5" w:rsidR="001B18FD" w:rsidRDefault="001B18FD" w:rsidP="008A0170">
      <w:pPr>
        <w:pStyle w:val="Heading2"/>
        <w:sectPr w:rsidR="001B18FD" w:rsidSect="003E6258">
          <w:type w:val="continuous"/>
          <w:pgSz w:w="11906" w:h="16838" w:code="9"/>
          <w:pgMar w:top="1701" w:right="1418" w:bottom="1418" w:left="1418" w:header="709" w:footer="709" w:gutter="0"/>
          <w:cols w:space="284"/>
          <w:docGrid w:linePitch="360"/>
        </w:sectPr>
      </w:pPr>
      <w:r w:rsidRPr="005640AE">
        <w:t>Compliance with the P</w:t>
      </w:r>
      <w:r>
        <w:t xml:space="preserve">ublic Interest </w:t>
      </w:r>
      <w:r w:rsidRPr="005640AE">
        <w:t>Disclosures Act 2012</w:t>
      </w:r>
    </w:p>
    <w:p w14:paraId="01C09092" w14:textId="77777777" w:rsidR="001B18FD" w:rsidRDefault="001B18FD" w:rsidP="001E3B90">
      <w:pPr>
        <w:pStyle w:val="aaatyping"/>
      </w:pPr>
      <w:bookmarkStart w:id="819" w:name="p479"/>
      <w:bookmarkEnd w:id="819"/>
      <w:r>
        <w:t xml:space="preserve">The </w:t>
      </w:r>
      <w:r w:rsidRPr="33DE328D">
        <w:rPr>
          <w:i/>
          <w:iCs/>
        </w:rPr>
        <w:t xml:space="preserve">Public Interest Disclosures Act 2012 </w:t>
      </w:r>
      <w:r>
        <w:t>(the Act) encourages and assists people in making disclosures of improper conduct by public officers and public bodies. The Act provides protection to people who make disclosures in accordance with the Act, and it establishes a system for the matters disclosed to be investigated and rectifying action to be taken.</w:t>
      </w:r>
    </w:p>
    <w:p w14:paraId="5376DD05" w14:textId="77777777" w:rsidR="001B18FD" w:rsidRDefault="001B18FD" w:rsidP="001E3B90">
      <w:pPr>
        <w:pStyle w:val="aaatyping"/>
        <w:rPr>
          <w:iCs/>
        </w:rPr>
      </w:pPr>
      <w:r>
        <w:rPr>
          <w:iCs/>
        </w:rPr>
        <w:t>The department does not tolerate improper conduct by its employees, contractors and consultants, nor the taking of reprisals against those who come forward to disclose such conduct. It is committed to ensuring transparency and accountability in its administrative and management practices, and it supports the making of disclosures that reveal corrupt conduct, conduct involving a substantial mismanagement of public resources, or conduct involving a substantial risk to public health and safety or the environment.</w:t>
      </w:r>
    </w:p>
    <w:p w14:paraId="1209FA90" w14:textId="77777777" w:rsidR="001B18FD" w:rsidRDefault="001B18FD" w:rsidP="001E3B90">
      <w:pPr>
        <w:pStyle w:val="aaatyping"/>
        <w:rPr>
          <w:iCs/>
        </w:rPr>
      </w:pPr>
      <w:r>
        <w:rPr>
          <w:iCs/>
        </w:rPr>
        <w:t xml:space="preserve">The department will take all reasonable steps to protect people who make such disclosures from any detrimental action in reprisal for making the disclosure. It will also afford natural justice to the person/s who are the subject of the disclosure to the extent it is legally possible.  </w:t>
      </w:r>
    </w:p>
    <w:p w14:paraId="23DE2674" w14:textId="51DD5FC5" w:rsidR="001B18FD" w:rsidRPr="004F24A7" w:rsidRDefault="001B18FD" w:rsidP="00EF5131">
      <w:pPr>
        <w:pStyle w:val="Heading5"/>
      </w:pPr>
      <w:r w:rsidRPr="004F24A7">
        <w:t>Reporting procedures</w:t>
      </w:r>
    </w:p>
    <w:p w14:paraId="1C75F633" w14:textId="77777777" w:rsidR="001B18FD" w:rsidRDefault="001B18FD" w:rsidP="001E3B90">
      <w:pPr>
        <w:pStyle w:val="aaatyping"/>
      </w:pPr>
      <w:r>
        <w:t>Disclosures of improper conduct or detrimental action by the department or any of its employees may be made to any of the following departmental personnel:</w:t>
      </w:r>
    </w:p>
    <w:p w14:paraId="7472D5FF" w14:textId="77777777" w:rsidR="001B18FD" w:rsidRPr="00542719" w:rsidRDefault="001B18FD" w:rsidP="001E3B90">
      <w:pPr>
        <w:pStyle w:val="aaabullet"/>
      </w:pPr>
      <w:r w:rsidRPr="00542719">
        <w:t xml:space="preserve">Secretary of the </w:t>
      </w:r>
      <w:r>
        <w:t>d</w:t>
      </w:r>
      <w:r w:rsidRPr="00542719">
        <w:t>epartment</w:t>
      </w:r>
    </w:p>
    <w:p w14:paraId="74887ECF" w14:textId="77777777" w:rsidR="001B18FD" w:rsidRPr="00542719" w:rsidRDefault="001B18FD" w:rsidP="001E3B90">
      <w:pPr>
        <w:pStyle w:val="aaabullet"/>
      </w:pPr>
      <w:r w:rsidRPr="00542719">
        <w:t>Public Interest Disclosure Coordinator</w:t>
      </w:r>
    </w:p>
    <w:p w14:paraId="3375D00C" w14:textId="77777777" w:rsidR="001B18FD" w:rsidRPr="00542719" w:rsidRDefault="001B18FD" w:rsidP="001E3B90">
      <w:pPr>
        <w:pStyle w:val="aaabullet"/>
      </w:pPr>
      <w:r w:rsidRPr="00542719">
        <w:lastRenderedPageBreak/>
        <w:t>manager or supervisor of the disclosure</w:t>
      </w:r>
    </w:p>
    <w:p w14:paraId="49BB3825" w14:textId="77777777" w:rsidR="001B18FD" w:rsidRPr="00542719" w:rsidRDefault="001B18FD" w:rsidP="001E3B90">
      <w:pPr>
        <w:pStyle w:val="aaabullet"/>
      </w:pPr>
      <w:r w:rsidRPr="00542719">
        <w:t>manager or supervisor of the person who is the subject of the disclosure</w:t>
      </w:r>
      <w:r>
        <w:t>,</w:t>
      </w:r>
      <w:r w:rsidRPr="00542719">
        <w:t xml:space="preserve"> or</w:t>
      </w:r>
    </w:p>
    <w:p w14:paraId="2E65D0D7" w14:textId="77777777" w:rsidR="001B18FD" w:rsidRPr="00542719" w:rsidRDefault="001B18FD" w:rsidP="001E3B90">
      <w:pPr>
        <w:pStyle w:val="aaabullet"/>
      </w:pPr>
      <w:r w:rsidRPr="00542719">
        <w:t xml:space="preserve">a person acting in any of the above roles.  </w:t>
      </w:r>
    </w:p>
    <w:p w14:paraId="13098314" w14:textId="77777777" w:rsidR="001B18FD" w:rsidRDefault="001B18FD" w:rsidP="001E3B90">
      <w:pPr>
        <w:pStyle w:val="aaatyping"/>
      </w:pPr>
      <w:r>
        <w:t>Alternatively, disclosures may also be made directly to the Independent Broad-based Anti-corruption Commission (IBAC):</w:t>
      </w:r>
    </w:p>
    <w:p w14:paraId="6EF647DE" w14:textId="77777777" w:rsidR="001B18FD" w:rsidRDefault="001B18FD" w:rsidP="001E3B90">
      <w:pPr>
        <w:pStyle w:val="aaatyping"/>
      </w:pPr>
      <w:r>
        <w:t>Level 1, North Tower, 459 Collins Street</w:t>
      </w:r>
    </w:p>
    <w:p w14:paraId="792FF2ED" w14:textId="77777777" w:rsidR="001B18FD" w:rsidRDefault="001B18FD" w:rsidP="001E3B90">
      <w:pPr>
        <w:pStyle w:val="aaatyping"/>
      </w:pPr>
      <w:r>
        <w:t>Melbourne, VIC 3000</w:t>
      </w:r>
    </w:p>
    <w:p w14:paraId="3F8761DD" w14:textId="115AD6BC" w:rsidR="001B18FD" w:rsidRDefault="001B18FD" w:rsidP="001E3B90">
      <w:pPr>
        <w:pStyle w:val="aaatyping"/>
      </w:pPr>
      <w:r>
        <w:t>Phone:</w:t>
      </w:r>
      <w:r w:rsidR="00B1793F">
        <w:t xml:space="preserve"> </w:t>
      </w:r>
      <w:r>
        <w:t>1300 735 135</w:t>
      </w:r>
    </w:p>
    <w:p w14:paraId="47C22730" w14:textId="683BFAC2" w:rsidR="001B18FD" w:rsidRDefault="001B18FD" w:rsidP="001E3B90">
      <w:pPr>
        <w:pStyle w:val="aaatyping"/>
      </w:pPr>
      <w:r>
        <w:t>Internet:</w:t>
      </w:r>
      <w:r w:rsidR="00B1793F">
        <w:t xml:space="preserve"> </w:t>
      </w:r>
      <w:hyperlink r:id="rId309" w:history="1">
        <w:r>
          <w:rPr>
            <w:rStyle w:val="Hyperlink"/>
            <w:iCs/>
          </w:rPr>
          <w:t>i</w:t>
        </w:r>
        <w:r w:rsidRPr="00404EDC">
          <w:rPr>
            <w:rStyle w:val="Hyperlink"/>
            <w:iCs/>
          </w:rPr>
          <w:t>bac.vic.gov.au</w:t>
        </w:r>
      </w:hyperlink>
    </w:p>
    <w:p w14:paraId="7E663659" w14:textId="2BB8F970" w:rsidR="001B18FD" w:rsidRDefault="001B18FD" w:rsidP="001E3B90">
      <w:pPr>
        <w:pStyle w:val="aaatyping"/>
        <w:rPr>
          <w:rStyle w:val="Hyperlink"/>
          <w:iCs/>
        </w:rPr>
      </w:pPr>
      <w:r>
        <w:t>Email:</w:t>
      </w:r>
      <w:r w:rsidR="00B1793F">
        <w:t xml:space="preserve"> </w:t>
      </w:r>
      <w:hyperlink r:id="rId310" w:history="1">
        <w:r w:rsidRPr="00B84CE0">
          <w:rPr>
            <w:rStyle w:val="Hyperlink"/>
            <w:iCs/>
          </w:rPr>
          <w:t>info@ibac.vic.gov.au</w:t>
        </w:r>
      </w:hyperlink>
    </w:p>
    <w:p w14:paraId="31FD99EC" w14:textId="4974E179" w:rsidR="00706824" w:rsidRPr="005640AE" w:rsidRDefault="00706824" w:rsidP="00EF5131">
      <w:pPr>
        <w:pStyle w:val="Heading5"/>
      </w:pPr>
      <w:r w:rsidRPr="005640AE">
        <w:t>Further information</w:t>
      </w:r>
    </w:p>
    <w:p w14:paraId="6906AF80" w14:textId="77777777" w:rsidR="00706824" w:rsidRDefault="00706824" w:rsidP="001E3B90">
      <w:pPr>
        <w:pStyle w:val="aaatyping"/>
      </w:pPr>
      <w:r>
        <w:t>For further information about public interest disclosures please visit the IBAC website (</w:t>
      </w:r>
      <w:hyperlink r:id="rId311" w:history="1">
        <w:r>
          <w:rPr>
            <w:rStyle w:val="Hyperlink"/>
          </w:rPr>
          <w:t>ibac.vic.gov.au</w:t>
        </w:r>
      </w:hyperlink>
      <w:r>
        <w:t>).</w:t>
      </w:r>
    </w:p>
    <w:p w14:paraId="4087A741" w14:textId="77777777" w:rsidR="00706824" w:rsidRPr="005640AE" w:rsidRDefault="00706824" w:rsidP="00EF5131">
      <w:pPr>
        <w:pStyle w:val="Heading5"/>
      </w:pPr>
      <w:r w:rsidRPr="005640AE">
        <w:t xml:space="preserve">Disclosures under the </w:t>
      </w:r>
      <w:r w:rsidRPr="009B7CFB">
        <w:t>Public Interest Disclosures Act 2012</w:t>
      </w:r>
    </w:p>
    <w:tbl>
      <w:tblPr>
        <w:tblStyle w:val="TableGrid"/>
        <w:tblW w:w="9072" w:type="dxa"/>
        <w:tblLayout w:type="fixed"/>
        <w:tblLook w:val="04A0" w:firstRow="1" w:lastRow="0" w:firstColumn="1" w:lastColumn="0" w:noHBand="0" w:noVBand="1"/>
      </w:tblPr>
      <w:tblGrid>
        <w:gridCol w:w="6804"/>
        <w:gridCol w:w="1134"/>
        <w:gridCol w:w="1134"/>
      </w:tblGrid>
      <w:tr w:rsidR="00706824" w:rsidRPr="00E273FC" w14:paraId="215E3C4D" w14:textId="77777777" w:rsidTr="00F96985">
        <w:trPr>
          <w:trHeight w:val="340"/>
        </w:trPr>
        <w:tc>
          <w:tcPr>
            <w:tcW w:w="6804" w:type="dxa"/>
            <w:shd w:val="clear" w:color="auto" w:fill="auto"/>
            <w:tcMar>
              <w:left w:w="57" w:type="dxa"/>
              <w:right w:w="57" w:type="dxa"/>
            </w:tcMar>
            <w:vAlign w:val="center"/>
          </w:tcPr>
          <w:p w14:paraId="2F2835B7" w14:textId="77777777" w:rsidR="00706824" w:rsidRPr="00E273FC" w:rsidRDefault="00706824" w:rsidP="00DE1921">
            <w:pPr>
              <w:pStyle w:val="TableTextLeft"/>
              <w:rPr>
                <w:rFonts w:ascii="Arial" w:hAnsi="Arial" w:cs="Arial"/>
                <w:sz w:val="24"/>
                <w:szCs w:val="24"/>
              </w:rPr>
            </w:pPr>
          </w:p>
        </w:tc>
        <w:tc>
          <w:tcPr>
            <w:tcW w:w="1134" w:type="dxa"/>
            <w:shd w:val="clear" w:color="auto" w:fill="auto"/>
            <w:tcMar>
              <w:left w:w="57" w:type="dxa"/>
              <w:right w:w="57" w:type="dxa"/>
            </w:tcMar>
            <w:vAlign w:val="center"/>
          </w:tcPr>
          <w:p w14:paraId="34A183CD" w14:textId="77777777" w:rsidR="00706824" w:rsidRPr="00E273FC" w:rsidRDefault="00706824" w:rsidP="00DE1921">
            <w:pPr>
              <w:pStyle w:val="TableTextRightBold"/>
              <w:rPr>
                <w:rFonts w:ascii="Arial" w:hAnsi="Arial" w:cs="Arial"/>
                <w:sz w:val="24"/>
                <w:szCs w:val="24"/>
              </w:rPr>
            </w:pPr>
            <w:r w:rsidRPr="00E273FC">
              <w:rPr>
                <w:rFonts w:ascii="Arial" w:hAnsi="Arial" w:cs="Arial"/>
                <w:sz w:val="24"/>
                <w:szCs w:val="24"/>
              </w:rPr>
              <w:t>Total</w:t>
            </w:r>
          </w:p>
          <w:p w14:paraId="334A0C8A" w14:textId="77777777" w:rsidR="00706824" w:rsidRPr="00E273FC" w:rsidRDefault="00706824" w:rsidP="00DE1921">
            <w:pPr>
              <w:pStyle w:val="TableTextRightBold"/>
              <w:rPr>
                <w:rFonts w:ascii="Arial" w:hAnsi="Arial" w:cs="Arial"/>
                <w:sz w:val="24"/>
                <w:szCs w:val="24"/>
              </w:rPr>
            </w:pPr>
            <w:r w:rsidRPr="00E273FC">
              <w:rPr>
                <w:rFonts w:ascii="Arial" w:hAnsi="Arial" w:cs="Arial"/>
                <w:sz w:val="24"/>
                <w:szCs w:val="24"/>
              </w:rPr>
              <w:t>2019-20</w:t>
            </w:r>
          </w:p>
        </w:tc>
        <w:tc>
          <w:tcPr>
            <w:tcW w:w="1134" w:type="dxa"/>
            <w:shd w:val="clear" w:color="auto" w:fill="auto"/>
            <w:tcMar>
              <w:left w:w="57" w:type="dxa"/>
              <w:right w:w="57" w:type="dxa"/>
            </w:tcMar>
            <w:vAlign w:val="center"/>
          </w:tcPr>
          <w:p w14:paraId="3ACFE565" w14:textId="77777777" w:rsidR="00706824" w:rsidRPr="00E273FC" w:rsidRDefault="00706824" w:rsidP="00DE1921">
            <w:pPr>
              <w:pStyle w:val="TableTextRight"/>
              <w:rPr>
                <w:rFonts w:ascii="Arial" w:hAnsi="Arial" w:cs="Arial"/>
                <w:sz w:val="24"/>
                <w:szCs w:val="24"/>
              </w:rPr>
            </w:pPr>
            <w:r w:rsidRPr="00E273FC">
              <w:rPr>
                <w:rFonts w:ascii="Arial" w:hAnsi="Arial" w:cs="Arial"/>
                <w:sz w:val="24"/>
                <w:szCs w:val="24"/>
              </w:rPr>
              <w:t>Total</w:t>
            </w:r>
          </w:p>
          <w:p w14:paraId="54A036AC" w14:textId="77777777" w:rsidR="00706824" w:rsidRPr="00E273FC" w:rsidRDefault="00706824" w:rsidP="00DE1921">
            <w:pPr>
              <w:pStyle w:val="TableTextRight"/>
              <w:rPr>
                <w:rFonts w:ascii="Arial" w:hAnsi="Arial" w:cs="Arial"/>
                <w:sz w:val="24"/>
                <w:szCs w:val="24"/>
              </w:rPr>
            </w:pPr>
            <w:r w:rsidRPr="00E273FC">
              <w:rPr>
                <w:rFonts w:ascii="Arial" w:hAnsi="Arial" w:cs="Arial"/>
                <w:sz w:val="24"/>
                <w:szCs w:val="24"/>
              </w:rPr>
              <w:t>2018-19</w:t>
            </w:r>
          </w:p>
        </w:tc>
      </w:tr>
      <w:tr w:rsidR="00706824" w:rsidRPr="00E273FC" w14:paraId="5241DE7F" w14:textId="77777777" w:rsidTr="00F96985">
        <w:trPr>
          <w:trHeight w:hRule="exact" w:val="340"/>
        </w:trPr>
        <w:tc>
          <w:tcPr>
            <w:tcW w:w="6804" w:type="dxa"/>
            <w:shd w:val="clear" w:color="auto" w:fill="auto"/>
            <w:tcMar>
              <w:left w:w="57" w:type="dxa"/>
              <w:right w:w="57" w:type="dxa"/>
            </w:tcMar>
            <w:vAlign w:val="center"/>
          </w:tcPr>
          <w:p w14:paraId="373C2B51" w14:textId="77777777" w:rsidR="00706824" w:rsidRPr="00E273FC" w:rsidRDefault="00706824" w:rsidP="00DE1921">
            <w:pPr>
              <w:pStyle w:val="TableTextLeftBold"/>
              <w:rPr>
                <w:rFonts w:ascii="Arial" w:hAnsi="Arial" w:cs="Arial"/>
                <w:sz w:val="24"/>
                <w:szCs w:val="24"/>
              </w:rPr>
            </w:pPr>
            <w:r w:rsidRPr="00E273FC">
              <w:rPr>
                <w:rFonts w:ascii="Arial" w:hAnsi="Arial" w:cs="Arial"/>
                <w:sz w:val="24"/>
                <w:szCs w:val="24"/>
              </w:rPr>
              <w:t>Indicator</w:t>
            </w:r>
          </w:p>
        </w:tc>
        <w:tc>
          <w:tcPr>
            <w:tcW w:w="1134" w:type="dxa"/>
            <w:shd w:val="clear" w:color="auto" w:fill="auto"/>
            <w:tcMar>
              <w:left w:w="57" w:type="dxa"/>
              <w:right w:w="57" w:type="dxa"/>
            </w:tcMar>
            <w:vAlign w:val="center"/>
          </w:tcPr>
          <w:p w14:paraId="1A5697FF" w14:textId="77777777" w:rsidR="00706824" w:rsidRPr="00E273FC" w:rsidRDefault="00706824" w:rsidP="00DE1921">
            <w:pPr>
              <w:pStyle w:val="TableTextRightBold"/>
              <w:rPr>
                <w:rFonts w:ascii="Arial" w:hAnsi="Arial" w:cs="Arial"/>
                <w:sz w:val="24"/>
                <w:szCs w:val="24"/>
              </w:rPr>
            </w:pPr>
          </w:p>
        </w:tc>
        <w:tc>
          <w:tcPr>
            <w:tcW w:w="1134" w:type="dxa"/>
            <w:shd w:val="clear" w:color="auto" w:fill="auto"/>
            <w:tcMar>
              <w:left w:w="57" w:type="dxa"/>
              <w:right w:w="57" w:type="dxa"/>
            </w:tcMar>
            <w:vAlign w:val="center"/>
          </w:tcPr>
          <w:p w14:paraId="0711D5C0" w14:textId="77777777" w:rsidR="00706824" w:rsidRPr="00E273FC" w:rsidRDefault="00706824" w:rsidP="00DE1921">
            <w:pPr>
              <w:pStyle w:val="TableTextRight"/>
              <w:rPr>
                <w:rFonts w:ascii="Arial" w:hAnsi="Arial" w:cs="Arial"/>
                <w:sz w:val="24"/>
                <w:szCs w:val="24"/>
              </w:rPr>
            </w:pPr>
          </w:p>
        </w:tc>
      </w:tr>
      <w:tr w:rsidR="00706824" w:rsidRPr="00E273FC" w14:paraId="14F4C216" w14:textId="77777777" w:rsidTr="00F96985">
        <w:trPr>
          <w:trHeight w:hRule="exact" w:val="340"/>
        </w:trPr>
        <w:tc>
          <w:tcPr>
            <w:tcW w:w="6804" w:type="dxa"/>
            <w:shd w:val="clear" w:color="auto" w:fill="auto"/>
            <w:tcMar>
              <w:left w:w="57" w:type="dxa"/>
              <w:right w:w="57" w:type="dxa"/>
            </w:tcMar>
            <w:vAlign w:val="center"/>
          </w:tcPr>
          <w:p w14:paraId="44018D5F" w14:textId="77777777" w:rsidR="00706824" w:rsidRPr="00E273FC" w:rsidRDefault="00706824" w:rsidP="00DE1921">
            <w:pPr>
              <w:pStyle w:val="TableTextLeft"/>
              <w:rPr>
                <w:rFonts w:ascii="Arial" w:hAnsi="Arial" w:cs="Arial"/>
                <w:sz w:val="24"/>
                <w:szCs w:val="24"/>
              </w:rPr>
            </w:pPr>
            <w:r w:rsidRPr="00E273FC">
              <w:rPr>
                <w:rFonts w:ascii="Arial" w:hAnsi="Arial" w:cs="Arial"/>
                <w:sz w:val="24"/>
                <w:szCs w:val="24"/>
              </w:rPr>
              <w:t xml:space="preserve">Public Interest Disclosures </w:t>
            </w:r>
          </w:p>
        </w:tc>
        <w:tc>
          <w:tcPr>
            <w:tcW w:w="1134" w:type="dxa"/>
            <w:shd w:val="clear" w:color="auto" w:fill="auto"/>
            <w:tcMar>
              <w:left w:w="57" w:type="dxa"/>
              <w:right w:w="57" w:type="dxa"/>
            </w:tcMar>
            <w:vAlign w:val="center"/>
          </w:tcPr>
          <w:p w14:paraId="0A994A2F" w14:textId="77777777" w:rsidR="00706824" w:rsidRPr="00E273FC" w:rsidRDefault="00706824" w:rsidP="00DE1921">
            <w:pPr>
              <w:pStyle w:val="TableTextRightBold"/>
              <w:rPr>
                <w:rFonts w:ascii="Arial" w:hAnsi="Arial" w:cs="Arial"/>
                <w:sz w:val="24"/>
                <w:szCs w:val="24"/>
              </w:rPr>
            </w:pPr>
            <w:r w:rsidRPr="00E273FC">
              <w:rPr>
                <w:rFonts w:ascii="Arial" w:hAnsi="Arial" w:cs="Arial"/>
                <w:sz w:val="24"/>
                <w:szCs w:val="24"/>
              </w:rPr>
              <w:t>-</w:t>
            </w:r>
          </w:p>
        </w:tc>
        <w:tc>
          <w:tcPr>
            <w:tcW w:w="1134" w:type="dxa"/>
            <w:shd w:val="clear" w:color="auto" w:fill="auto"/>
            <w:tcMar>
              <w:left w:w="57" w:type="dxa"/>
              <w:right w:w="57" w:type="dxa"/>
            </w:tcMar>
            <w:vAlign w:val="center"/>
          </w:tcPr>
          <w:p w14:paraId="35BFAA4B" w14:textId="77777777" w:rsidR="00706824" w:rsidRPr="00E273FC" w:rsidRDefault="00706824" w:rsidP="00DE1921">
            <w:pPr>
              <w:pStyle w:val="TableTextRight"/>
              <w:rPr>
                <w:rFonts w:ascii="Arial" w:hAnsi="Arial" w:cs="Arial"/>
                <w:sz w:val="24"/>
                <w:szCs w:val="24"/>
              </w:rPr>
            </w:pPr>
            <w:r w:rsidRPr="00E273FC">
              <w:rPr>
                <w:rFonts w:ascii="Arial" w:hAnsi="Arial" w:cs="Arial"/>
                <w:sz w:val="24"/>
                <w:szCs w:val="24"/>
              </w:rPr>
              <w:t>n/a</w:t>
            </w:r>
          </w:p>
        </w:tc>
      </w:tr>
    </w:tbl>
    <w:p w14:paraId="302A059A" w14:textId="77777777" w:rsidR="001C593B" w:rsidRDefault="001C593B" w:rsidP="001B18FD">
      <w:pPr>
        <w:rPr>
          <w:lang w:val="en-GB"/>
        </w:rPr>
      </w:pPr>
    </w:p>
    <w:p w14:paraId="5EAA1D0A" w14:textId="4837390A" w:rsidR="001B18FD" w:rsidRPr="001B18FD" w:rsidRDefault="001B18FD" w:rsidP="001B18FD">
      <w:pPr>
        <w:rPr>
          <w:lang w:val="en-GB"/>
        </w:rPr>
        <w:sectPr w:rsidR="001B18FD" w:rsidRPr="001B18FD" w:rsidSect="003E6258">
          <w:type w:val="continuous"/>
          <w:pgSz w:w="11906" w:h="16838" w:code="9"/>
          <w:pgMar w:top="1701" w:right="1418" w:bottom="1418" w:left="1418" w:header="709" w:footer="709" w:gutter="0"/>
          <w:cols w:space="284"/>
          <w:docGrid w:linePitch="360"/>
        </w:sectPr>
      </w:pPr>
    </w:p>
    <w:p w14:paraId="5DBC00A9" w14:textId="77777777" w:rsidR="00B608A7" w:rsidRDefault="006358D4" w:rsidP="008A0170">
      <w:pPr>
        <w:pStyle w:val="Heading2"/>
      </w:pPr>
      <w:r w:rsidRPr="001148EF">
        <w:lastRenderedPageBreak/>
        <w:t>Compliance with Child Wellbeing and Safety Act 2005</w:t>
      </w:r>
      <w:r w:rsidR="00B608A7">
        <w:t xml:space="preserve">  </w:t>
      </w:r>
    </w:p>
    <w:p w14:paraId="7EB9CC3A" w14:textId="1F7EC799" w:rsidR="006358D4" w:rsidRPr="00524636" w:rsidRDefault="006358D4" w:rsidP="008A0170">
      <w:pPr>
        <w:pStyle w:val="Heading3"/>
      </w:pPr>
      <w:r w:rsidRPr="00524636">
        <w:t xml:space="preserve">Child Safe </w:t>
      </w:r>
      <w:r w:rsidRPr="004D663B">
        <w:t>Standards</w:t>
      </w:r>
    </w:p>
    <w:p w14:paraId="38DCC8A1" w14:textId="77777777" w:rsidR="006358D4" w:rsidRDefault="006358D4" w:rsidP="001E3B90">
      <w:pPr>
        <w:pStyle w:val="aaatyping"/>
        <w:rPr>
          <w:rFonts w:ascii="Calibri" w:hAnsi="Calibri"/>
        </w:rPr>
      </w:pPr>
      <w:r>
        <w:t xml:space="preserve">The </w:t>
      </w:r>
      <w:r>
        <w:rPr>
          <w:i/>
          <w:iCs/>
        </w:rPr>
        <w:t>Child Wellbeing and Safety Act 2005</w:t>
      </w:r>
      <w:r>
        <w:t xml:space="preserve"> establishes the Child Safe Standards (the Standards). The Standards are compulsory minimum requirements that aim to drive cultural change within organisations to help protect children from abuse and neglect.</w:t>
      </w:r>
    </w:p>
    <w:p w14:paraId="09099033" w14:textId="77777777" w:rsidR="006358D4" w:rsidRDefault="006358D4" w:rsidP="001E3B90">
      <w:pPr>
        <w:pStyle w:val="aaatyping"/>
      </w:pPr>
      <w:r>
        <w:t>The Standards apply to all Victorian organisations that deliver services or facilities specifically for children or engage children as employees or volunteers.</w:t>
      </w:r>
    </w:p>
    <w:p w14:paraId="4EEDA17C" w14:textId="77777777" w:rsidR="006358D4" w:rsidRDefault="006358D4" w:rsidP="001E3B90">
      <w:pPr>
        <w:pStyle w:val="aaatyping"/>
      </w:pPr>
      <w:r>
        <w:t xml:space="preserve">The department delivers a small number of services to children. These include programs on fishing and road safety education. The department also funds or regulates some organisations that deliver services to children, including the regulation of organisations that are required to hold a child employment permit under the </w:t>
      </w:r>
      <w:r>
        <w:rPr>
          <w:i/>
          <w:iCs/>
        </w:rPr>
        <w:t>Child Employment Act 2003</w:t>
      </w:r>
      <w:r>
        <w:t>.</w:t>
      </w:r>
    </w:p>
    <w:p w14:paraId="0D58EB4A" w14:textId="77777777" w:rsidR="006358D4" w:rsidRDefault="006358D4" w:rsidP="001E3B90">
      <w:pPr>
        <w:pStyle w:val="aaatyping"/>
      </w:pPr>
      <w:r>
        <w:t>The activities undertaken by the department in 2019-20 focused on education. The department worked actively to disseminate information about the Standards to promote compliance and embed the Standards in policy and practice.</w:t>
      </w:r>
    </w:p>
    <w:p w14:paraId="2747362C" w14:textId="77777777" w:rsidR="006358D4" w:rsidRDefault="006358D4" w:rsidP="001E3B90">
      <w:pPr>
        <w:pStyle w:val="aaatyping"/>
      </w:pPr>
      <w:r>
        <w:t>Activities undertaken by the department and its related entities included:</w:t>
      </w:r>
    </w:p>
    <w:p w14:paraId="71F609FA" w14:textId="77777777" w:rsidR="006358D4" w:rsidRDefault="006358D4" w:rsidP="001E3B90">
      <w:pPr>
        <w:pStyle w:val="aaabullet"/>
      </w:pPr>
      <w:r>
        <w:t>The department has a Child Safe Standards Policy which applies to all departmental staff including employees, contractors, consultants, work experience students and volunteers.</w:t>
      </w:r>
    </w:p>
    <w:p w14:paraId="06E9AD6A" w14:textId="77777777" w:rsidR="006358D4" w:rsidRPr="00AA4CBD" w:rsidRDefault="006358D4" w:rsidP="001E3B90">
      <w:pPr>
        <w:pStyle w:val="aaabullet"/>
      </w:pPr>
      <w:r>
        <w:t>The department ensured compliance with the Standards in delivering school bus services and the VicRoads ‘L2P’ Learner Driver Mentor Program.</w:t>
      </w:r>
    </w:p>
    <w:p w14:paraId="4DAE7D12" w14:textId="1F290004" w:rsidR="006358D4" w:rsidRPr="001148EF" w:rsidRDefault="006358D4" w:rsidP="00EF5131">
      <w:pPr>
        <w:pStyle w:val="Heading5"/>
      </w:pPr>
      <w:r w:rsidRPr="001148EF">
        <w:lastRenderedPageBreak/>
        <w:t>Reportable Conduct Scheme</w:t>
      </w:r>
    </w:p>
    <w:p w14:paraId="3A00F2E8" w14:textId="77777777" w:rsidR="006358D4" w:rsidRDefault="006358D4" w:rsidP="001E3B90">
      <w:pPr>
        <w:pStyle w:val="aaatyping"/>
      </w:pPr>
      <w:r>
        <w:t xml:space="preserve">The </w:t>
      </w:r>
      <w:r>
        <w:rPr>
          <w:i/>
          <w:iCs/>
        </w:rPr>
        <w:t>Child Wellbeing and Safety Act 2005</w:t>
      </w:r>
      <w:r>
        <w:t xml:space="preserve"> also establishes the Reportable Conduct Scheme (RCS). The RCS requires organisations to respond to and report allegations of child-related misconduct made against their employees or volunteers.</w:t>
      </w:r>
    </w:p>
    <w:p w14:paraId="5173802D" w14:textId="77777777" w:rsidR="006358D4" w:rsidRDefault="006358D4" w:rsidP="001E3B90">
      <w:pPr>
        <w:pStyle w:val="aaatyping"/>
      </w:pPr>
      <w:r>
        <w:t xml:space="preserve">The RCS applies to in-scope organisations, including departments, that exercise care, supervision or authority over children. </w:t>
      </w:r>
    </w:p>
    <w:p w14:paraId="57092CA4" w14:textId="77777777" w:rsidR="006358D4" w:rsidRDefault="006358D4" w:rsidP="001E3B90">
      <w:pPr>
        <w:pStyle w:val="aaatyping"/>
      </w:pPr>
      <w:r>
        <w:t>Activities undertaken by the department and its related entities included:</w:t>
      </w:r>
    </w:p>
    <w:p w14:paraId="160277CE" w14:textId="77777777" w:rsidR="006358D4" w:rsidRDefault="006358D4" w:rsidP="001E3B90">
      <w:pPr>
        <w:pStyle w:val="aaabullet"/>
      </w:pPr>
      <w:r>
        <w:t>The department has a Reportable Conduct Scheme Policy which applies to all departmental staff including employees, contractors, consultants, work experience students and volunteers.</w:t>
      </w:r>
    </w:p>
    <w:p w14:paraId="77BAE6B6" w14:textId="77777777" w:rsidR="006358D4" w:rsidRDefault="006358D4" w:rsidP="001E3B90">
      <w:pPr>
        <w:pStyle w:val="aaabullet"/>
      </w:pPr>
      <w:r>
        <w:t>The Victorian Fisheries Authority has developed a Child Safe Reporting Procedure which applies to all staff members, volunteers, board and committee members.</w:t>
      </w:r>
    </w:p>
    <w:p w14:paraId="2D3783C9" w14:textId="77777777" w:rsidR="006358D4" w:rsidRDefault="006358D4" w:rsidP="006358D4">
      <w:pPr>
        <w:rPr>
          <w:lang w:val="en-GB"/>
        </w:rPr>
      </w:pPr>
    </w:p>
    <w:p w14:paraId="22594188" w14:textId="73A572F1" w:rsidR="006358D4" w:rsidRPr="006358D4" w:rsidRDefault="006358D4" w:rsidP="006358D4">
      <w:pPr>
        <w:rPr>
          <w:lang w:val="en-GB"/>
        </w:rPr>
        <w:sectPr w:rsidR="006358D4" w:rsidRPr="006358D4" w:rsidSect="0086597E">
          <w:headerReference w:type="even" r:id="rId312"/>
          <w:headerReference w:type="default" r:id="rId313"/>
          <w:footerReference w:type="even" r:id="rId314"/>
          <w:headerReference w:type="first" r:id="rId315"/>
          <w:footerReference w:type="first" r:id="rId316"/>
          <w:pgSz w:w="11906" w:h="16838" w:code="9"/>
          <w:pgMar w:top="1701" w:right="1418" w:bottom="1418" w:left="1418" w:header="709" w:footer="709" w:gutter="0"/>
          <w:cols w:space="284"/>
          <w:docGrid w:linePitch="360"/>
        </w:sectPr>
      </w:pPr>
    </w:p>
    <w:p w14:paraId="4A3A0457" w14:textId="77777777" w:rsidR="00B8745A" w:rsidRPr="00DC7271" w:rsidRDefault="00B8745A" w:rsidP="008A0170">
      <w:pPr>
        <w:pStyle w:val="Heading2"/>
      </w:pPr>
      <w:bookmarkStart w:id="820" w:name="p483"/>
      <w:bookmarkEnd w:id="820"/>
      <w:r w:rsidRPr="00DC7271">
        <w:lastRenderedPageBreak/>
        <w:t>Attestation for financial management compliance with Ministerial Standing Direction 5.1.4</w:t>
      </w:r>
    </w:p>
    <w:p w14:paraId="2EC56276" w14:textId="77777777" w:rsidR="00B8745A" w:rsidRPr="00DC7271" w:rsidRDefault="00B8745A" w:rsidP="00EF5131">
      <w:pPr>
        <w:pStyle w:val="Heading5"/>
      </w:pPr>
      <w:r w:rsidRPr="00DC7271">
        <w:t>Department of Transport Financial Management Compliance Attestation Statement</w:t>
      </w:r>
    </w:p>
    <w:p w14:paraId="655F0F13" w14:textId="77777777" w:rsidR="00B8745A" w:rsidRDefault="00B8745A" w:rsidP="00112207">
      <w:pPr>
        <w:pStyle w:val="aaatyping"/>
      </w:pPr>
      <w:r w:rsidRPr="009520C7">
        <w:t xml:space="preserve">I Paul Younis, the Secretary of the Department of Transport, as the Responsible Body and Accountable Officer, certify that the Department of Transport has no Material Compliance Deficiency with respect to the applicable Standing Directions under the </w:t>
      </w:r>
      <w:r w:rsidRPr="00B3685C">
        <w:rPr>
          <w:i/>
          <w:iCs/>
        </w:rPr>
        <w:t>Financial Management Act 1994</w:t>
      </w:r>
      <w:r w:rsidRPr="009520C7">
        <w:t xml:space="preserve"> and Instructions for the 2019-20 financial year.</w:t>
      </w:r>
    </w:p>
    <w:p w14:paraId="0AD22D50" w14:textId="1E9D36F0" w:rsidR="00B8745A" w:rsidRDefault="00B1793F" w:rsidP="00DE1921">
      <w:r>
        <w:rPr>
          <w:noProof/>
        </w:rPr>
        <w:drawing>
          <wp:inline distT="0" distB="0" distL="0" distR="0" wp14:anchorId="0102213B" wp14:editId="0C4331CB">
            <wp:extent cx="1079500" cy="453390"/>
            <wp:effectExtent l="0" t="0" r="6350" b="3810"/>
            <wp:docPr id="41" name="Picture 41" descr="Secretary's 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 cstate="print">
                      <a:biLevel thresh="75000"/>
                      <a:extLst>
                        <a:ext uri="{28A0092B-C50C-407E-A947-70E740481C1C}">
                          <a14:useLocalDpi xmlns:a14="http://schemas.microsoft.com/office/drawing/2010/main" val="0"/>
                        </a:ext>
                      </a:extLst>
                    </a:blip>
                    <a:srcRect/>
                    <a:stretch>
                      <a:fillRect/>
                    </a:stretch>
                  </pic:blipFill>
                  <pic:spPr bwMode="auto">
                    <a:xfrm>
                      <a:off x="0" y="0"/>
                      <a:ext cx="1079500" cy="453390"/>
                    </a:xfrm>
                    <a:prstGeom prst="rect">
                      <a:avLst/>
                    </a:prstGeom>
                    <a:noFill/>
                    <a:ln>
                      <a:noFill/>
                    </a:ln>
                  </pic:spPr>
                </pic:pic>
              </a:graphicData>
            </a:graphic>
          </wp:inline>
        </w:drawing>
      </w:r>
    </w:p>
    <w:p w14:paraId="0A7A0CCB" w14:textId="77777777" w:rsidR="00B8745A" w:rsidRPr="00FD4C03" w:rsidRDefault="00B8745A" w:rsidP="00B1793F">
      <w:pPr>
        <w:pStyle w:val="aaatyping"/>
      </w:pPr>
      <w:r w:rsidRPr="00FD4C03">
        <w:t>Paul Younis</w:t>
      </w:r>
    </w:p>
    <w:p w14:paraId="07498916" w14:textId="77777777" w:rsidR="00B8745A" w:rsidRDefault="00B8745A" w:rsidP="00112207">
      <w:pPr>
        <w:pStyle w:val="aaatyping"/>
      </w:pPr>
      <w:r>
        <w:t>Secretary</w:t>
      </w:r>
    </w:p>
    <w:p w14:paraId="2B1CD375" w14:textId="77777777" w:rsidR="00B8745A" w:rsidRDefault="00B8745A" w:rsidP="00112207">
      <w:pPr>
        <w:pStyle w:val="aaatyping"/>
      </w:pPr>
      <w:r>
        <w:t>Department of Transport</w:t>
      </w:r>
    </w:p>
    <w:p w14:paraId="0BE8E767" w14:textId="62360E8E" w:rsidR="00B8745A" w:rsidRPr="00145D06" w:rsidRDefault="00B8745A" w:rsidP="00112207">
      <w:pPr>
        <w:pStyle w:val="aaatyping"/>
      </w:pPr>
      <w:r>
        <w:t>14 / 10 / 2020</w:t>
      </w:r>
    </w:p>
    <w:p w14:paraId="0EBCF816" w14:textId="77777777" w:rsidR="00B8745A" w:rsidRDefault="00B8745A" w:rsidP="00B8745A">
      <w:pPr>
        <w:rPr>
          <w:lang w:val="en-GB"/>
        </w:rPr>
      </w:pPr>
    </w:p>
    <w:p w14:paraId="05CB818E" w14:textId="1E571B3F" w:rsidR="00B8745A" w:rsidRPr="00B8745A" w:rsidRDefault="00B8745A" w:rsidP="00B8745A">
      <w:pPr>
        <w:rPr>
          <w:lang w:val="en-GB"/>
        </w:rPr>
        <w:sectPr w:rsidR="00B8745A" w:rsidRPr="00B8745A" w:rsidSect="00112207">
          <w:pgSz w:w="11906" w:h="16838" w:code="9"/>
          <w:pgMar w:top="1701" w:right="1418" w:bottom="1418" w:left="1418" w:header="709" w:footer="709" w:gutter="0"/>
          <w:cols w:space="284"/>
          <w:docGrid w:linePitch="360"/>
        </w:sectPr>
      </w:pPr>
    </w:p>
    <w:p w14:paraId="573BEA80" w14:textId="03AFAEA4" w:rsidR="005B6C09" w:rsidRPr="00B75608" w:rsidRDefault="005B6C09" w:rsidP="008A0170">
      <w:pPr>
        <w:pStyle w:val="Heading1"/>
        <w:rPr>
          <w:lang w:val="en-GB"/>
        </w:rPr>
        <w:sectPr w:rsidR="005B6C09" w:rsidRPr="00B75608" w:rsidSect="00EB67FE">
          <w:pgSz w:w="11906" w:h="16838" w:code="9"/>
          <w:pgMar w:top="1701" w:right="1418" w:bottom="1418" w:left="1418" w:header="709" w:footer="709" w:gutter="0"/>
          <w:cols w:space="284"/>
          <w:docGrid w:linePitch="360"/>
        </w:sectPr>
      </w:pPr>
      <w:bookmarkStart w:id="821" w:name="p484"/>
      <w:bookmarkStart w:id="822" w:name="_Toc55130717"/>
      <w:bookmarkEnd w:id="821"/>
      <w:r w:rsidRPr="00B75608">
        <w:rPr>
          <w:lang w:val="en-GB"/>
        </w:rPr>
        <w:lastRenderedPageBreak/>
        <w:t>Appendix 16: Additional information available on request</w:t>
      </w:r>
      <w:bookmarkEnd w:id="822"/>
    </w:p>
    <w:p w14:paraId="30A004A5" w14:textId="77777777" w:rsidR="005B6C09" w:rsidRPr="00F6335A" w:rsidRDefault="005B6C09" w:rsidP="00112207">
      <w:pPr>
        <w:pStyle w:val="aaatyping"/>
      </w:pPr>
      <w:r w:rsidRPr="00F6335A">
        <w:t xml:space="preserve">In compliance with the requirements of the Standing Directions of the Minister for Finance, details in respect of the items listed below have been retained by the department and are available on request, subject to the provisions of the </w:t>
      </w:r>
      <w:r w:rsidRPr="00F6335A">
        <w:rPr>
          <w:i/>
        </w:rPr>
        <w:t>Freedom of Information Act 1982</w:t>
      </w:r>
      <w:r>
        <w:t>:</w:t>
      </w:r>
    </w:p>
    <w:p w14:paraId="05DF071C" w14:textId="77777777" w:rsidR="005B6C09" w:rsidRDefault="005B6C09" w:rsidP="00112207">
      <w:pPr>
        <w:pStyle w:val="aaabullet"/>
      </w:pPr>
      <w:r w:rsidRPr="00F6335A">
        <w:t>statement that declarations of pecuniary interests have been duly completed by all relevant officers</w:t>
      </w:r>
      <w:r>
        <w:t xml:space="preserve"> </w:t>
      </w:r>
      <w:r w:rsidRPr="00F6335A">
        <w:t xml:space="preserve">of the department </w:t>
      </w:r>
    </w:p>
    <w:p w14:paraId="5820767E" w14:textId="77777777" w:rsidR="005B6C09" w:rsidRPr="00F6335A" w:rsidRDefault="005B6C09" w:rsidP="00112207">
      <w:pPr>
        <w:pStyle w:val="aaabullet"/>
      </w:pPr>
      <w:r w:rsidRPr="00F6335A">
        <w:t>details of shares held by a senior officer as nominee or held beneficially in a statutory authority or subsidiary</w:t>
      </w:r>
    </w:p>
    <w:p w14:paraId="706E97E3" w14:textId="77777777" w:rsidR="005B6C09" w:rsidRPr="00F6335A" w:rsidRDefault="005B6C09" w:rsidP="00112207">
      <w:pPr>
        <w:pStyle w:val="aaabullet"/>
      </w:pPr>
      <w:r w:rsidRPr="00F6335A">
        <w:t xml:space="preserve">details of publications produced by the department about the department, and how these can be obtained </w:t>
      </w:r>
    </w:p>
    <w:p w14:paraId="5DC5D0AE" w14:textId="77777777" w:rsidR="005B6C09" w:rsidRPr="00F6335A" w:rsidRDefault="005B6C09" w:rsidP="00112207">
      <w:pPr>
        <w:pStyle w:val="aaabullet"/>
      </w:pPr>
      <w:r w:rsidRPr="00F6335A">
        <w:t>details of changes in prices, fees, charges, rates and levies charged by the department</w:t>
      </w:r>
    </w:p>
    <w:p w14:paraId="08E38EBD" w14:textId="77777777" w:rsidR="005B6C09" w:rsidRPr="00F6335A" w:rsidRDefault="005B6C09" w:rsidP="00112207">
      <w:pPr>
        <w:pStyle w:val="aaabullet"/>
      </w:pPr>
      <w:r w:rsidRPr="00F6335A">
        <w:t>details of any major external reviews carried out on the department</w:t>
      </w:r>
    </w:p>
    <w:p w14:paraId="1CE78EE0" w14:textId="77777777" w:rsidR="005B6C09" w:rsidRPr="00F6335A" w:rsidRDefault="005B6C09" w:rsidP="00112207">
      <w:pPr>
        <w:pStyle w:val="aaabullet"/>
      </w:pPr>
      <w:r w:rsidRPr="00F6335A">
        <w:t>details of major research and development activities undertaken by the department</w:t>
      </w:r>
    </w:p>
    <w:p w14:paraId="7A60F346" w14:textId="77777777" w:rsidR="005B6C09" w:rsidRPr="00F6335A" w:rsidRDefault="005B6C09" w:rsidP="00112207">
      <w:pPr>
        <w:pStyle w:val="aaabullet"/>
      </w:pPr>
      <w:r w:rsidRPr="00F6335A">
        <w:t xml:space="preserve">details of overseas visits undertaken including a summary of the objectives and outcomes of each visit </w:t>
      </w:r>
    </w:p>
    <w:p w14:paraId="7461C4B4" w14:textId="77777777" w:rsidR="005B6C09" w:rsidRPr="00F6335A" w:rsidRDefault="005B6C09" w:rsidP="00112207">
      <w:pPr>
        <w:pStyle w:val="aaabullet"/>
      </w:pPr>
      <w:r w:rsidRPr="00F6335A">
        <w:t>details of major promotional, public relations and marketing activities undertaken by the department to develop community awareness of the department and its services</w:t>
      </w:r>
    </w:p>
    <w:p w14:paraId="65C42C64" w14:textId="77777777" w:rsidR="005B6C09" w:rsidRDefault="005B6C09" w:rsidP="00112207">
      <w:pPr>
        <w:pStyle w:val="aaabullet"/>
      </w:pPr>
      <w:r>
        <w:t>details of time lost through industrial disputes</w:t>
      </w:r>
    </w:p>
    <w:p w14:paraId="31E7F409" w14:textId="77777777" w:rsidR="005B6C09" w:rsidRPr="00F6335A" w:rsidRDefault="005B6C09" w:rsidP="00112207">
      <w:pPr>
        <w:pStyle w:val="aaabullet"/>
      </w:pPr>
      <w:r w:rsidRPr="00F6335A">
        <w:t xml:space="preserve">list of major committees sponsored by the department, the purposes of each committee and the extent to which the purposes have been achieved </w:t>
      </w:r>
    </w:p>
    <w:p w14:paraId="2A89D2D7" w14:textId="2F595308" w:rsidR="005B6C09" w:rsidRDefault="005B6C09" w:rsidP="00112207">
      <w:pPr>
        <w:pStyle w:val="aaabullet"/>
      </w:pPr>
      <w:r w:rsidRPr="00F6335A">
        <w:t>details of all consultancies and contractors</w:t>
      </w:r>
      <w:r>
        <w:t>.</w:t>
      </w:r>
    </w:p>
    <w:p w14:paraId="046A4638" w14:textId="423E1B5B" w:rsidR="005B6C09" w:rsidRPr="00837B93" w:rsidRDefault="005B6C09" w:rsidP="00EF5131">
      <w:pPr>
        <w:pStyle w:val="Heading5"/>
      </w:pPr>
      <w:r w:rsidRPr="00837B93">
        <w:lastRenderedPageBreak/>
        <w:t>The information is available on request from:</w:t>
      </w:r>
    </w:p>
    <w:p w14:paraId="7C148A16" w14:textId="77777777" w:rsidR="005B6C09" w:rsidRPr="00F6335A" w:rsidRDefault="005B6C09" w:rsidP="00112207">
      <w:pPr>
        <w:pStyle w:val="aaatyping"/>
      </w:pPr>
      <w:r w:rsidRPr="00F6335A">
        <w:t>Freedom of Information Manager</w:t>
      </w:r>
    </w:p>
    <w:p w14:paraId="3B027397" w14:textId="77777777" w:rsidR="005B6C09" w:rsidRPr="00F6335A" w:rsidRDefault="005B6C09" w:rsidP="00112207">
      <w:pPr>
        <w:pStyle w:val="aaatyping"/>
      </w:pPr>
      <w:r w:rsidRPr="00F6335A">
        <w:t>Department of Transport</w:t>
      </w:r>
    </w:p>
    <w:p w14:paraId="68193C99" w14:textId="77777777" w:rsidR="005B6C09" w:rsidRPr="00F6335A" w:rsidRDefault="005B6C09" w:rsidP="00112207">
      <w:pPr>
        <w:pStyle w:val="aaatyping"/>
      </w:pPr>
      <w:r w:rsidRPr="00F6335A">
        <w:t>GPO 2392 Melbourne VIC 3001</w:t>
      </w:r>
    </w:p>
    <w:p w14:paraId="2B36A422" w14:textId="77777777" w:rsidR="005B6C09" w:rsidRPr="00F6335A" w:rsidRDefault="005B6C09" w:rsidP="00112207">
      <w:pPr>
        <w:pStyle w:val="aaatyping"/>
      </w:pPr>
      <w:r w:rsidRPr="00F6335A">
        <w:t>Telephone: (03) 9208 3112</w:t>
      </w:r>
    </w:p>
    <w:p w14:paraId="6A436B10" w14:textId="77777777" w:rsidR="005B6C09" w:rsidRPr="00F6335A" w:rsidRDefault="005B6C09" w:rsidP="00112207">
      <w:pPr>
        <w:pStyle w:val="aaatyping"/>
      </w:pPr>
      <w:r w:rsidRPr="00F6335A">
        <w:t xml:space="preserve">Email: </w:t>
      </w:r>
      <w:hyperlink r:id="rId318" w:history="1">
        <w:r w:rsidRPr="00E25801">
          <w:rPr>
            <w:rStyle w:val="Hyperlink"/>
            <w:rFonts w:cs="VIC-Light"/>
            <w:szCs w:val="18"/>
          </w:rPr>
          <w:t>foi@transport.vic.gov.au</w:t>
        </w:r>
      </w:hyperlink>
    </w:p>
    <w:p w14:paraId="376F464A" w14:textId="77777777" w:rsidR="005B6C09" w:rsidRPr="00837B93" w:rsidRDefault="005B6C09" w:rsidP="00EF5131">
      <w:pPr>
        <w:pStyle w:val="Heading5"/>
      </w:pPr>
      <w:r w:rsidRPr="00837B93">
        <w:t>Additional information included in annual report</w:t>
      </w:r>
    </w:p>
    <w:p w14:paraId="42E859ED" w14:textId="77777777" w:rsidR="005B6C09" w:rsidRPr="00F6335A" w:rsidRDefault="005B6C09" w:rsidP="00112207">
      <w:pPr>
        <w:pStyle w:val="aaatyping"/>
      </w:pPr>
      <w:r w:rsidRPr="00F6335A">
        <w:t xml:space="preserve">Details in respect of the following item </w:t>
      </w:r>
      <w:r>
        <w:t>have</w:t>
      </w:r>
      <w:r w:rsidRPr="00F6335A">
        <w:t xml:space="preserve"> been included in this report, on the page indicated below:</w:t>
      </w:r>
    </w:p>
    <w:p w14:paraId="66CEB927" w14:textId="77777777" w:rsidR="005B6C09" w:rsidRDefault="005B6C09" w:rsidP="00112207">
      <w:pPr>
        <w:pStyle w:val="aaabullet"/>
      </w:pPr>
      <w:r w:rsidRPr="00F6335A">
        <w:t>details of assessments and measures undertaken to improve the occupational health and safety of employees (</w:t>
      </w:r>
      <w:r>
        <w:t>r</w:t>
      </w:r>
      <w:r w:rsidRPr="00B358B9">
        <w:t>efer to Appendix 1</w:t>
      </w:r>
      <w:r>
        <w:t xml:space="preserve"> – </w:t>
      </w:r>
      <w:r w:rsidRPr="00B358B9">
        <w:t>Our Health, Safety and Wellbeing</w:t>
      </w:r>
      <w:r w:rsidRPr="00F6335A">
        <w:t>)</w:t>
      </w:r>
    </w:p>
    <w:p w14:paraId="23A20821" w14:textId="77777777" w:rsidR="005B6C09" w:rsidRPr="005B6C09" w:rsidRDefault="005B6C09" w:rsidP="00112207">
      <w:pPr>
        <w:pStyle w:val="aaabullet"/>
      </w:pPr>
      <w:r w:rsidRPr="005B6C09">
        <w:t>details of time lost through industrial accidents (refer to Appendix 1 – Our Health, Safety and Wellbeing).</w:t>
      </w:r>
    </w:p>
    <w:p w14:paraId="20E46089" w14:textId="77777777" w:rsidR="00AC78A8" w:rsidRDefault="00AC78A8">
      <w:pPr>
        <w:sectPr w:rsidR="00AC78A8" w:rsidSect="00EB67FE">
          <w:type w:val="continuous"/>
          <w:pgSz w:w="11906" w:h="16838"/>
          <w:pgMar w:top="1701" w:right="1418" w:bottom="1418" w:left="1418" w:header="709" w:footer="709" w:gutter="0"/>
          <w:cols w:space="284"/>
          <w:docGrid w:linePitch="360"/>
        </w:sectPr>
      </w:pPr>
    </w:p>
    <w:p w14:paraId="57DF12BC" w14:textId="77777777" w:rsidR="00EB67FE" w:rsidRDefault="00EB67FE" w:rsidP="008245F7">
      <w:pPr>
        <w:keepNext/>
        <w:keepLines/>
        <w:spacing w:before="120" w:after="120" w:line="240" w:lineRule="auto"/>
        <w:contextualSpacing/>
        <w:outlineLvl w:val="0"/>
        <w:rPr>
          <w:rFonts w:ascii="VIC Light" w:eastAsia="Times New Roman" w:hAnsi="VIC Light" w:cs="Times New Roman"/>
          <w:color w:val="00BAC0"/>
          <w:spacing w:val="-10"/>
          <w:kern w:val="28"/>
          <w:sz w:val="36"/>
          <w:szCs w:val="32"/>
        </w:rPr>
        <w:sectPr w:rsidR="00EB67FE" w:rsidSect="00E71535">
          <w:headerReference w:type="even" r:id="rId319"/>
          <w:headerReference w:type="default" r:id="rId320"/>
          <w:footerReference w:type="even" r:id="rId321"/>
          <w:headerReference w:type="first" r:id="rId322"/>
          <w:footerReference w:type="first" r:id="rId323"/>
          <w:pgSz w:w="11906" w:h="16838"/>
          <w:pgMar w:top="1701" w:right="1418" w:bottom="1418" w:left="1418" w:header="709" w:footer="709" w:gutter="0"/>
          <w:cols w:space="284"/>
          <w:docGrid w:linePitch="360"/>
        </w:sectPr>
      </w:pPr>
    </w:p>
    <w:p w14:paraId="25A86471" w14:textId="56FD8B8A" w:rsidR="008245F7" w:rsidRPr="008245F7" w:rsidRDefault="008245F7" w:rsidP="008A0170">
      <w:pPr>
        <w:pStyle w:val="Heading1"/>
        <w:rPr>
          <w:rFonts w:eastAsia="Times New Roman"/>
        </w:rPr>
      </w:pPr>
      <w:bookmarkStart w:id="823" w:name="_Toc55130718"/>
      <w:r w:rsidRPr="008245F7">
        <w:rPr>
          <w:rFonts w:eastAsia="Times New Roman"/>
        </w:rPr>
        <w:t>Appendix 17: Acronyms</w:t>
      </w:r>
      <w:bookmarkEnd w:id="823"/>
    </w:p>
    <w:tbl>
      <w:tblPr>
        <w:tblStyle w:val="TableGrid2"/>
        <w:tblW w:w="8820" w:type="dxa"/>
        <w:tblCellMar>
          <w:left w:w="28" w:type="dxa"/>
          <w:right w:w="28" w:type="dxa"/>
        </w:tblCellMar>
        <w:tblLook w:val="04A0" w:firstRow="1" w:lastRow="0" w:firstColumn="1" w:lastColumn="0" w:noHBand="0" w:noVBand="1"/>
      </w:tblPr>
      <w:tblGrid>
        <w:gridCol w:w="1062"/>
        <w:gridCol w:w="3266"/>
        <w:gridCol w:w="1190"/>
        <w:gridCol w:w="3302"/>
      </w:tblGrid>
      <w:tr w:rsidR="001D67E3" w:rsidRPr="00E273FC" w14:paraId="2E72EA52" w14:textId="77777777" w:rsidTr="001D67E3">
        <w:trPr>
          <w:trHeight w:val="828"/>
        </w:trPr>
        <w:tc>
          <w:tcPr>
            <w:tcW w:w="1062" w:type="dxa"/>
            <w:tcMar>
              <w:top w:w="0" w:type="dxa"/>
              <w:left w:w="57" w:type="dxa"/>
              <w:bottom w:w="0" w:type="dxa"/>
              <w:right w:w="57" w:type="dxa"/>
            </w:tcMar>
            <w:vAlign w:val="center"/>
          </w:tcPr>
          <w:p w14:paraId="48220D61"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AAS</w:t>
            </w:r>
          </w:p>
        </w:tc>
        <w:tc>
          <w:tcPr>
            <w:tcW w:w="3266" w:type="dxa"/>
            <w:tcMar>
              <w:top w:w="0" w:type="dxa"/>
              <w:left w:w="57" w:type="dxa"/>
              <w:bottom w:w="0" w:type="dxa"/>
              <w:right w:w="57" w:type="dxa"/>
            </w:tcMar>
            <w:vAlign w:val="center"/>
          </w:tcPr>
          <w:p w14:paraId="5D682345"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Australian Accounting Standards</w:t>
            </w:r>
          </w:p>
        </w:tc>
        <w:tc>
          <w:tcPr>
            <w:tcW w:w="1190" w:type="dxa"/>
            <w:vAlign w:val="center"/>
          </w:tcPr>
          <w:p w14:paraId="3AA11215"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DWGs</w:t>
            </w:r>
          </w:p>
        </w:tc>
        <w:tc>
          <w:tcPr>
            <w:tcW w:w="3302" w:type="dxa"/>
            <w:tcMar>
              <w:top w:w="0" w:type="dxa"/>
              <w:left w:w="57" w:type="dxa"/>
              <w:bottom w:w="0" w:type="dxa"/>
              <w:right w:w="57" w:type="dxa"/>
            </w:tcMar>
            <w:vAlign w:val="center"/>
          </w:tcPr>
          <w:p w14:paraId="503F7B88"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Designated Working Groups</w:t>
            </w:r>
          </w:p>
        </w:tc>
      </w:tr>
      <w:tr w:rsidR="001D67E3" w:rsidRPr="00E273FC" w14:paraId="752ED88D" w14:textId="77777777" w:rsidTr="001D67E3">
        <w:trPr>
          <w:trHeight w:val="828"/>
        </w:trPr>
        <w:tc>
          <w:tcPr>
            <w:tcW w:w="1062" w:type="dxa"/>
            <w:tcMar>
              <w:top w:w="0" w:type="dxa"/>
              <w:left w:w="57" w:type="dxa"/>
              <w:bottom w:w="0" w:type="dxa"/>
              <w:right w:w="57" w:type="dxa"/>
            </w:tcMar>
            <w:vAlign w:val="center"/>
          </w:tcPr>
          <w:p w14:paraId="0994246F"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AASB</w:t>
            </w:r>
          </w:p>
        </w:tc>
        <w:tc>
          <w:tcPr>
            <w:tcW w:w="3266" w:type="dxa"/>
            <w:tcMar>
              <w:top w:w="0" w:type="dxa"/>
              <w:left w:w="57" w:type="dxa"/>
              <w:bottom w:w="0" w:type="dxa"/>
              <w:right w:w="57" w:type="dxa"/>
            </w:tcMar>
            <w:vAlign w:val="center"/>
          </w:tcPr>
          <w:p w14:paraId="1346653B"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Australian Accounting Standards Board</w:t>
            </w:r>
          </w:p>
        </w:tc>
        <w:tc>
          <w:tcPr>
            <w:tcW w:w="1190" w:type="dxa"/>
            <w:vAlign w:val="center"/>
          </w:tcPr>
          <w:p w14:paraId="1E65BC81"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EO</w:t>
            </w:r>
          </w:p>
        </w:tc>
        <w:tc>
          <w:tcPr>
            <w:tcW w:w="3302" w:type="dxa"/>
            <w:tcMar>
              <w:top w:w="0" w:type="dxa"/>
              <w:left w:w="57" w:type="dxa"/>
              <w:bottom w:w="0" w:type="dxa"/>
              <w:right w:w="57" w:type="dxa"/>
            </w:tcMar>
            <w:vAlign w:val="center"/>
          </w:tcPr>
          <w:p w14:paraId="3FFD583C"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Executive Officer</w:t>
            </w:r>
          </w:p>
        </w:tc>
      </w:tr>
      <w:tr w:rsidR="001D67E3" w:rsidRPr="00E273FC" w14:paraId="270EFFEB" w14:textId="77777777" w:rsidTr="001D67E3">
        <w:trPr>
          <w:trHeight w:val="828"/>
        </w:trPr>
        <w:tc>
          <w:tcPr>
            <w:tcW w:w="1062" w:type="dxa"/>
            <w:tcMar>
              <w:top w:w="0" w:type="dxa"/>
              <w:left w:w="57" w:type="dxa"/>
              <w:bottom w:w="0" w:type="dxa"/>
              <w:right w:w="57" w:type="dxa"/>
            </w:tcMar>
            <w:vAlign w:val="center"/>
          </w:tcPr>
          <w:p w14:paraId="21368280"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AC</w:t>
            </w:r>
          </w:p>
        </w:tc>
        <w:tc>
          <w:tcPr>
            <w:tcW w:w="3266" w:type="dxa"/>
            <w:tcMar>
              <w:top w:w="0" w:type="dxa"/>
              <w:left w:w="57" w:type="dxa"/>
              <w:bottom w:w="0" w:type="dxa"/>
              <w:right w:w="57" w:type="dxa"/>
            </w:tcMar>
            <w:vAlign w:val="center"/>
          </w:tcPr>
          <w:p w14:paraId="433923EB"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Amortised cost</w:t>
            </w:r>
          </w:p>
        </w:tc>
        <w:tc>
          <w:tcPr>
            <w:tcW w:w="1190" w:type="dxa"/>
            <w:vAlign w:val="center"/>
          </w:tcPr>
          <w:p w14:paraId="3200EE93"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FAI</w:t>
            </w:r>
          </w:p>
        </w:tc>
        <w:tc>
          <w:tcPr>
            <w:tcW w:w="3302" w:type="dxa"/>
            <w:tcMar>
              <w:top w:w="0" w:type="dxa"/>
              <w:left w:w="57" w:type="dxa"/>
              <w:bottom w:w="0" w:type="dxa"/>
              <w:right w:w="57" w:type="dxa"/>
            </w:tcMar>
            <w:vAlign w:val="center"/>
          </w:tcPr>
          <w:p w14:paraId="68CD4CFA"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First Aid Injury</w:t>
            </w:r>
          </w:p>
        </w:tc>
      </w:tr>
      <w:tr w:rsidR="001D67E3" w:rsidRPr="00E273FC" w14:paraId="4C335C85" w14:textId="77777777" w:rsidTr="001D67E3">
        <w:trPr>
          <w:trHeight w:val="828"/>
        </w:trPr>
        <w:tc>
          <w:tcPr>
            <w:tcW w:w="1062" w:type="dxa"/>
            <w:tcMar>
              <w:top w:w="0" w:type="dxa"/>
              <w:left w:w="57" w:type="dxa"/>
              <w:bottom w:w="0" w:type="dxa"/>
              <w:right w:w="57" w:type="dxa"/>
            </w:tcMar>
            <w:vAlign w:val="center"/>
          </w:tcPr>
          <w:p w14:paraId="057C9FD5"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AEE</w:t>
            </w:r>
          </w:p>
        </w:tc>
        <w:tc>
          <w:tcPr>
            <w:tcW w:w="3266" w:type="dxa"/>
            <w:tcMar>
              <w:top w:w="0" w:type="dxa"/>
              <w:left w:w="57" w:type="dxa"/>
              <w:bottom w:w="0" w:type="dxa"/>
              <w:right w:w="57" w:type="dxa"/>
            </w:tcMar>
            <w:vAlign w:val="center"/>
          </w:tcPr>
          <w:p w14:paraId="190C7078"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Annualised employee equivalent</w:t>
            </w:r>
          </w:p>
        </w:tc>
        <w:tc>
          <w:tcPr>
            <w:tcW w:w="1190" w:type="dxa"/>
            <w:vAlign w:val="center"/>
          </w:tcPr>
          <w:p w14:paraId="6DD3B980"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FMA</w:t>
            </w:r>
          </w:p>
        </w:tc>
        <w:tc>
          <w:tcPr>
            <w:tcW w:w="3302" w:type="dxa"/>
            <w:tcMar>
              <w:top w:w="0" w:type="dxa"/>
              <w:left w:w="57" w:type="dxa"/>
              <w:bottom w:w="0" w:type="dxa"/>
              <w:right w:w="57" w:type="dxa"/>
            </w:tcMar>
            <w:vAlign w:val="center"/>
          </w:tcPr>
          <w:p w14:paraId="6E80546A" w14:textId="77777777" w:rsidR="001D67E3" w:rsidRPr="00E273FC" w:rsidRDefault="001D67E3" w:rsidP="008245F7">
            <w:pPr>
              <w:rPr>
                <w:rFonts w:ascii="Arial" w:eastAsia="Arial" w:hAnsi="Arial" w:cs="Arial"/>
                <w:sz w:val="24"/>
                <w:szCs w:val="24"/>
              </w:rPr>
            </w:pPr>
            <w:r w:rsidRPr="00E273FC">
              <w:rPr>
                <w:rFonts w:ascii="Arial" w:eastAsia="Arial" w:hAnsi="Arial" w:cs="Arial"/>
                <w:i/>
                <w:sz w:val="24"/>
                <w:szCs w:val="24"/>
              </w:rPr>
              <w:t>Financial Management Act 1994</w:t>
            </w:r>
          </w:p>
        </w:tc>
      </w:tr>
      <w:tr w:rsidR="001D67E3" w:rsidRPr="00E273FC" w14:paraId="2A3A1DEC" w14:textId="77777777" w:rsidTr="001D67E3">
        <w:trPr>
          <w:trHeight w:val="828"/>
        </w:trPr>
        <w:tc>
          <w:tcPr>
            <w:tcW w:w="1062" w:type="dxa"/>
            <w:tcMar>
              <w:top w:w="0" w:type="dxa"/>
              <w:left w:w="57" w:type="dxa"/>
              <w:bottom w:w="0" w:type="dxa"/>
              <w:right w:w="57" w:type="dxa"/>
            </w:tcMar>
            <w:vAlign w:val="center"/>
          </w:tcPr>
          <w:p w14:paraId="69713773"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ARIC</w:t>
            </w:r>
          </w:p>
        </w:tc>
        <w:tc>
          <w:tcPr>
            <w:tcW w:w="3266" w:type="dxa"/>
            <w:tcMar>
              <w:top w:w="0" w:type="dxa"/>
              <w:left w:w="57" w:type="dxa"/>
              <w:bottom w:w="0" w:type="dxa"/>
              <w:right w:w="57" w:type="dxa"/>
            </w:tcMar>
            <w:vAlign w:val="center"/>
          </w:tcPr>
          <w:p w14:paraId="37692E83"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Audit, Risk and Integrity Committee</w:t>
            </w:r>
          </w:p>
        </w:tc>
        <w:tc>
          <w:tcPr>
            <w:tcW w:w="1190" w:type="dxa"/>
            <w:vAlign w:val="center"/>
          </w:tcPr>
          <w:p w14:paraId="4438494E"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FOI</w:t>
            </w:r>
          </w:p>
        </w:tc>
        <w:tc>
          <w:tcPr>
            <w:tcW w:w="3302" w:type="dxa"/>
            <w:tcMar>
              <w:top w:w="0" w:type="dxa"/>
              <w:left w:w="57" w:type="dxa"/>
              <w:bottom w:w="0" w:type="dxa"/>
              <w:right w:w="57" w:type="dxa"/>
            </w:tcMar>
            <w:vAlign w:val="center"/>
          </w:tcPr>
          <w:p w14:paraId="3E60FF97"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Freedom of information</w:t>
            </w:r>
          </w:p>
        </w:tc>
      </w:tr>
      <w:tr w:rsidR="001D67E3" w:rsidRPr="00E273FC" w14:paraId="3A5E8ED5" w14:textId="77777777" w:rsidTr="001D67E3">
        <w:trPr>
          <w:trHeight w:val="828"/>
        </w:trPr>
        <w:tc>
          <w:tcPr>
            <w:tcW w:w="1062" w:type="dxa"/>
            <w:tcMar>
              <w:top w:w="0" w:type="dxa"/>
              <w:left w:w="57" w:type="dxa"/>
              <w:bottom w:w="0" w:type="dxa"/>
              <w:right w:w="57" w:type="dxa"/>
            </w:tcMar>
            <w:vAlign w:val="center"/>
          </w:tcPr>
          <w:p w14:paraId="129AA6F3"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ARTC</w:t>
            </w:r>
          </w:p>
        </w:tc>
        <w:tc>
          <w:tcPr>
            <w:tcW w:w="3266" w:type="dxa"/>
            <w:tcMar>
              <w:top w:w="0" w:type="dxa"/>
              <w:left w:w="57" w:type="dxa"/>
              <w:bottom w:w="0" w:type="dxa"/>
              <w:right w:w="57" w:type="dxa"/>
            </w:tcMar>
            <w:vAlign w:val="center"/>
          </w:tcPr>
          <w:p w14:paraId="5203854E"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Australian Rail Track Corporation</w:t>
            </w:r>
          </w:p>
        </w:tc>
        <w:tc>
          <w:tcPr>
            <w:tcW w:w="1190" w:type="dxa"/>
            <w:vAlign w:val="center"/>
          </w:tcPr>
          <w:p w14:paraId="4EDBB120" w14:textId="77777777" w:rsidR="001D67E3" w:rsidRPr="00E273FC" w:rsidDel="008B2034" w:rsidRDefault="001D67E3" w:rsidP="008245F7">
            <w:pPr>
              <w:rPr>
                <w:rFonts w:ascii="Arial" w:eastAsia="Arial" w:hAnsi="Arial" w:cs="Arial"/>
                <w:strike/>
                <w:sz w:val="24"/>
                <w:szCs w:val="24"/>
              </w:rPr>
            </w:pPr>
            <w:r w:rsidRPr="00E273FC">
              <w:rPr>
                <w:rFonts w:ascii="Arial" w:eastAsia="Arial" w:hAnsi="Arial" w:cs="Arial"/>
                <w:sz w:val="24"/>
                <w:szCs w:val="24"/>
              </w:rPr>
              <w:t>FRD</w:t>
            </w:r>
          </w:p>
        </w:tc>
        <w:tc>
          <w:tcPr>
            <w:tcW w:w="3302" w:type="dxa"/>
            <w:tcMar>
              <w:top w:w="0" w:type="dxa"/>
              <w:left w:w="57" w:type="dxa"/>
              <w:bottom w:w="0" w:type="dxa"/>
              <w:right w:w="57" w:type="dxa"/>
            </w:tcMar>
            <w:vAlign w:val="center"/>
          </w:tcPr>
          <w:p w14:paraId="5D26F3A9" w14:textId="77777777" w:rsidR="001D67E3" w:rsidRPr="00E273FC" w:rsidDel="008B2034" w:rsidRDefault="001D67E3" w:rsidP="008245F7">
            <w:pPr>
              <w:rPr>
                <w:rFonts w:ascii="Arial" w:eastAsia="Arial" w:hAnsi="Arial" w:cs="Arial"/>
                <w:strike/>
                <w:sz w:val="24"/>
                <w:szCs w:val="24"/>
              </w:rPr>
            </w:pPr>
            <w:r w:rsidRPr="00E273FC">
              <w:rPr>
                <w:rFonts w:ascii="Arial" w:eastAsia="Arial" w:hAnsi="Arial" w:cs="Arial"/>
                <w:sz w:val="24"/>
                <w:szCs w:val="24"/>
              </w:rPr>
              <w:t>Financial Reporting Direction</w:t>
            </w:r>
          </w:p>
        </w:tc>
      </w:tr>
      <w:tr w:rsidR="001D67E3" w:rsidRPr="00E273FC" w14:paraId="7E7558AD" w14:textId="77777777" w:rsidTr="001D67E3">
        <w:trPr>
          <w:trHeight w:val="828"/>
        </w:trPr>
        <w:tc>
          <w:tcPr>
            <w:tcW w:w="1062" w:type="dxa"/>
            <w:tcMar>
              <w:top w:w="0" w:type="dxa"/>
              <w:left w:w="57" w:type="dxa"/>
              <w:bottom w:w="0" w:type="dxa"/>
              <w:right w:w="57" w:type="dxa"/>
            </w:tcMar>
            <w:vAlign w:val="center"/>
          </w:tcPr>
          <w:p w14:paraId="589A658F"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ATNAB</w:t>
            </w:r>
          </w:p>
        </w:tc>
        <w:tc>
          <w:tcPr>
            <w:tcW w:w="3266" w:type="dxa"/>
            <w:tcMar>
              <w:top w:w="0" w:type="dxa"/>
              <w:left w:w="57" w:type="dxa"/>
              <w:bottom w:w="0" w:type="dxa"/>
              <w:right w:w="57" w:type="dxa"/>
            </w:tcMar>
            <w:vAlign w:val="center"/>
          </w:tcPr>
          <w:p w14:paraId="3636F32B"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Additions to the Net Assets Base</w:t>
            </w:r>
          </w:p>
        </w:tc>
        <w:tc>
          <w:tcPr>
            <w:tcW w:w="1190" w:type="dxa"/>
            <w:vAlign w:val="center"/>
          </w:tcPr>
          <w:p w14:paraId="3EBFFFAD"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FTE</w:t>
            </w:r>
          </w:p>
        </w:tc>
        <w:tc>
          <w:tcPr>
            <w:tcW w:w="3302" w:type="dxa"/>
            <w:tcMar>
              <w:top w:w="0" w:type="dxa"/>
              <w:left w:w="57" w:type="dxa"/>
              <w:bottom w:w="0" w:type="dxa"/>
              <w:right w:w="57" w:type="dxa"/>
            </w:tcMar>
            <w:vAlign w:val="center"/>
          </w:tcPr>
          <w:p w14:paraId="66C0687C"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Full-time equivalent</w:t>
            </w:r>
          </w:p>
        </w:tc>
      </w:tr>
      <w:tr w:rsidR="001D67E3" w:rsidRPr="00E273FC" w14:paraId="094881A6" w14:textId="77777777" w:rsidTr="001D67E3">
        <w:trPr>
          <w:trHeight w:val="828"/>
        </w:trPr>
        <w:tc>
          <w:tcPr>
            <w:tcW w:w="1062" w:type="dxa"/>
            <w:tcMar>
              <w:top w:w="0" w:type="dxa"/>
              <w:left w:w="57" w:type="dxa"/>
              <w:bottom w:w="0" w:type="dxa"/>
              <w:right w:w="57" w:type="dxa"/>
            </w:tcMar>
            <w:vAlign w:val="center"/>
          </w:tcPr>
          <w:p w14:paraId="76D7D9CF"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ATO</w:t>
            </w:r>
          </w:p>
        </w:tc>
        <w:tc>
          <w:tcPr>
            <w:tcW w:w="3266" w:type="dxa"/>
            <w:tcMar>
              <w:top w:w="0" w:type="dxa"/>
              <w:left w:w="57" w:type="dxa"/>
              <w:bottom w:w="0" w:type="dxa"/>
              <w:right w:w="57" w:type="dxa"/>
            </w:tcMar>
            <w:vAlign w:val="center"/>
          </w:tcPr>
          <w:p w14:paraId="51CBC8DE"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Australian Taxation Office</w:t>
            </w:r>
          </w:p>
        </w:tc>
        <w:tc>
          <w:tcPr>
            <w:tcW w:w="1190" w:type="dxa"/>
            <w:vAlign w:val="center"/>
          </w:tcPr>
          <w:p w14:paraId="38A02834"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GORTO</w:t>
            </w:r>
          </w:p>
        </w:tc>
        <w:tc>
          <w:tcPr>
            <w:tcW w:w="3302" w:type="dxa"/>
            <w:tcMar>
              <w:top w:w="0" w:type="dxa"/>
              <w:left w:w="57" w:type="dxa"/>
              <w:bottom w:w="0" w:type="dxa"/>
              <w:right w:w="57" w:type="dxa"/>
            </w:tcMar>
            <w:vAlign w:val="center"/>
          </w:tcPr>
          <w:p w14:paraId="7333120D"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Grant of rights to operate</w:t>
            </w:r>
          </w:p>
        </w:tc>
      </w:tr>
      <w:tr w:rsidR="001D67E3" w:rsidRPr="00E273FC" w14:paraId="17709AF0" w14:textId="77777777" w:rsidTr="001D67E3">
        <w:trPr>
          <w:trHeight w:val="828"/>
        </w:trPr>
        <w:tc>
          <w:tcPr>
            <w:tcW w:w="1062" w:type="dxa"/>
            <w:tcMar>
              <w:top w:w="0" w:type="dxa"/>
              <w:left w:w="57" w:type="dxa"/>
              <w:bottom w:w="0" w:type="dxa"/>
              <w:right w:w="57" w:type="dxa"/>
            </w:tcMar>
            <w:vAlign w:val="center"/>
          </w:tcPr>
          <w:p w14:paraId="3DA279C6"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BAU</w:t>
            </w:r>
          </w:p>
        </w:tc>
        <w:tc>
          <w:tcPr>
            <w:tcW w:w="3266" w:type="dxa"/>
            <w:tcMar>
              <w:top w:w="0" w:type="dxa"/>
              <w:left w:w="57" w:type="dxa"/>
              <w:bottom w:w="0" w:type="dxa"/>
              <w:right w:w="57" w:type="dxa"/>
            </w:tcMar>
            <w:vAlign w:val="center"/>
          </w:tcPr>
          <w:p w14:paraId="1D266AD0"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Business as usual</w:t>
            </w:r>
          </w:p>
        </w:tc>
        <w:tc>
          <w:tcPr>
            <w:tcW w:w="1190" w:type="dxa"/>
            <w:vAlign w:val="center"/>
          </w:tcPr>
          <w:p w14:paraId="531347D6"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GST</w:t>
            </w:r>
          </w:p>
        </w:tc>
        <w:tc>
          <w:tcPr>
            <w:tcW w:w="3302" w:type="dxa"/>
            <w:tcMar>
              <w:top w:w="0" w:type="dxa"/>
              <w:left w:w="57" w:type="dxa"/>
              <w:bottom w:w="0" w:type="dxa"/>
              <w:right w:w="57" w:type="dxa"/>
            </w:tcMar>
            <w:vAlign w:val="center"/>
          </w:tcPr>
          <w:p w14:paraId="25B7CE43"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Goods and Services Tax</w:t>
            </w:r>
          </w:p>
        </w:tc>
      </w:tr>
      <w:tr w:rsidR="001D67E3" w:rsidRPr="00E273FC" w14:paraId="72339667" w14:textId="77777777" w:rsidTr="001D67E3">
        <w:trPr>
          <w:trHeight w:val="828"/>
        </w:trPr>
        <w:tc>
          <w:tcPr>
            <w:tcW w:w="1062" w:type="dxa"/>
            <w:tcMar>
              <w:top w:w="0" w:type="dxa"/>
              <w:left w:w="57" w:type="dxa"/>
              <w:bottom w:w="0" w:type="dxa"/>
              <w:right w:w="57" w:type="dxa"/>
            </w:tcMar>
            <w:vAlign w:val="center"/>
          </w:tcPr>
          <w:p w14:paraId="55F49E50"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BP4</w:t>
            </w:r>
          </w:p>
        </w:tc>
        <w:tc>
          <w:tcPr>
            <w:tcW w:w="3266" w:type="dxa"/>
            <w:tcMar>
              <w:top w:w="0" w:type="dxa"/>
              <w:left w:w="57" w:type="dxa"/>
              <w:bottom w:w="0" w:type="dxa"/>
              <w:right w:w="57" w:type="dxa"/>
            </w:tcMar>
            <w:vAlign w:val="center"/>
          </w:tcPr>
          <w:p w14:paraId="246A3496"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Budget Paper No. 4 State Capital Program</w:t>
            </w:r>
          </w:p>
        </w:tc>
        <w:tc>
          <w:tcPr>
            <w:tcW w:w="1190" w:type="dxa"/>
            <w:vAlign w:val="center"/>
          </w:tcPr>
          <w:p w14:paraId="7F05FF61" w14:textId="77777777" w:rsidR="001D67E3" w:rsidRPr="00E273FC" w:rsidRDefault="001D67E3" w:rsidP="008245F7">
            <w:pPr>
              <w:rPr>
                <w:rFonts w:ascii="Arial" w:eastAsia="Arial" w:hAnsi="Arial" w:cs="Arial"/>
                <w:sz w:val="24"/>
                <w:szCs w:val="24"/>
              </w:rPr>
            </w:pPr>
            <w:r w:rsidRPr="00E273FC" w:rsidDel="00AD20DE">
              <w:rPr>
                <w:rFonts w:ascii="Arial" w:eastAsia="Arial" w:hAnsi="Arial" w:cs="Arial"/>
                <w:sz w:val="24"/>
                <w:szCs w:val="24"/>
              </w:rPr>
              <w:t>HCMT</w:t>
            </w:r>
          </w:p>
        </w:tc>
        <w:tc>
          <w:tcPr>
            <w:tcW w:w="3302" w:type="dxa"/>
            <w:tcMar>
              <w:top w:w="0" w:type="dxa"/>
              <w:left w:w="57" w:type="dxa"/>
              <w:bottom w:w="0" w:type="dxa"/>
              <w:right w:w="57" w:type="dxa"/>
            </w:tcMar>
            <w:vAlign w:val="center"/>
          </w:tcPr>
          <w:p w14:paraId="24231D9B" w14:textId="77777777" w:rsidR="001D67E3" w:rsidRPr="00E273FC" w:rsidRDefault="001D67E3" w:rsidP="008245F7">
            <w:pPr>
              <w:rPr>
                <w:rFonts w:ascii="Arial" w:eastAsia="Arial" w:hAnsi="Arial" w:cs="Arial"/>
                <w:sz w:val="24"/>
                <w:szCs w:val="24"/>
              </w:rPr>
            </w:pPr>
            <w:r w:rsidRPr="00E273FC" w:rsidDel="00AD20DE">
              <w:rPr>
                <w:rFonts w:ascii="Arial" w:eastAsia="Arial" w:hAnsi="Arial" w:cs="Arial"/>
                <w:sz w:val="24"/>
                <w:szCs w:val="24"/>
              </w:rPr>
              <w:t>High capacity metro trains</w:t>
            </w:r>
          </w:p>
        </w:tc>
      </w:tr>
      <w:tr w:rsidR="001D67E3" w:rsidRPr="00E273FC" w14:paraId="69FEB30E" w14:textId="77777777" w:rsidTr="001D67E3">
        <w:trPr>
          <w:trHeight w:val="828"/>
        </w:trPr>
        <w:tc>
          <w:tcPr>
            <w:tcW w:w="1062" w:type="dxa"/>
            <w:tcMar>
              <w:top w:w="0" w:type="dxa"/>
              <w:left w:w="57" w:type="dxa"/>
              <w:bottom w:w="0" w:type="dxa"/>
              <w:right w:w="57" w:type="dxa"/>
            </w:tcMar>
            <w:vAlign w:val="center"/>
          </w:tcPr>
          <w:p w14:paraId="401DD81E"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CALD</w:t>
            </w:r>
          </w:p>
        </w:tc>
        <w:tc>
          <w:tcPr>
            <w:tcW w:w="3266" w:type="dxa"/>
            <w:tcMar>
              <w:top w:w="0" w:type="dxa"/>
              <w:left w:w="57" w:type="dxa"/>
              <w:bottom w:w="0" w:type="dxa"/>
              <w:right w:w="57" w:type="dxa"/>
            </w:tcMar>
            <w:vAlign w:val="center"/>
          </w:tcPr>
          <w:p w14:paraId="53F8C38D"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Culturally and linguistically diverse</w:t>
            </w:r>
          </w:p>
        </w:tc>
        <w:tc>
          <w:tcPr>
            <w:tcW w:w="1190" w:type="dxa"/>
            <w:vAlign w:val="center"/>
          </w:tcPr>
          <w:p w14:paraId="13E62D84"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HPIs</w:t>
            </w:r>
          </w:p>
        </w:tc>
        <w:tc>
          <w:tcPr>
            <w:tcW w:w="3302" w:type="dxa"/>
            <w:tcMar>
              <w:top w:w="0" w:type="dxa"/>
              <w:left w:w="57" w:type="dxa"/>
              <w:bottom w:w="0" w:type="dxa"/>
              <w:right w:w="57" w:type="dxa"/>
            </w:tcMar>
            <w:vAlign w:val="center"/>
          </w:tcPr>
          <w:p w14:paraId="006CD39C"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High Potential Injuries</w:t>
            </w:r>
          </w:p>
        </w:tc>
      </w:tr>
      <w:tr w:rsidR="001D67E3" w:rsidRPr="00E273FC" w14:paraId="7EBEE006" w14:textId="77777777" w:rsidTr="001D67E3">
        <w:trPr>
          <w:trHeight w:val="828"/>
        </w:trPr>
        <w:tc>
          <w:tcPr>
            <w:tcW w:w="1062" w:type="dxa"/>
            <w:tcMar>
              <w:top w:w="0" w:type="dxa"/>
              <w:left w:w="57" w:type="dxa"/>
              <w:bottom w:w="0" w:type="dxa"/>
              <w:right w:w="57" w:type="dxa"/>
            </w:tcMar>
            <w:vAlign w:val="center"/>
          </w:tcPr>
          <w:p w14:paraId="6B280071"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CBD</w:t>
            </w:r>
          </w:p>
        </w:tc>
        <w:tc>
          <w:tcPr>
            <w:tcW w:w="3266" w:type="dxa"/>
            <w:tcMar>
              <w:top w:w="0" w:type="dxa"/>
              <w:left w:w="57" w:type="dxa"/>
              <w:bottom w:w="0" w:type="dxa"/>
              <w:right w:w="57" w:type="dxa"/>
            </w:tcMar>
            <w:vAlign w:val="center"/>
          </w:tcPr>
          <w:p w14:paraId="78A5EAFB"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Central Business District</w:t>
            </w:r>
          </w:p>
        </w:tc>
        <w:tc>
          <w:tcPr>
            <w:tcW w:w="1190" w:type="dxa"/>
            <w:vAlign w:val="center"/>
          </w:tcPr>
          <w:p w14:paraId="4A978FF5"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HSRs</w:t>
            </w:r>
          </w:p>
        </w:tc>
        <w:tc>
          <w:tcPr>
            <w:tcW w:w="3302" w:type="dxa"/>
            <w:tcMar>
              <w:top w:w="0" w:type="dxa"/>
              <w:left w:w="57" w:type="dxa"/>
              <w:bottom w:w="0" w:type="dxa"/>
              <w:right w:w="57" w:type="dxa"/>
            </w:tcMar>
            <w:vAlign w:val="center"/>
          </w:tcPr>
          <w:p w14:paraId="337A87F7"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Health and Safety Representatives</w:t>
            </w:r>
          </w:p>
        </w:tc>
      </w:tr>
      <w:tr w:rsidR="001D67E3" w:rsidRPr="00E273FC" w14:paraId="09571D1A" w14:textId="77777777" w:rsidTr="001D67E3">
        <w:trPr>
          <w:trHeight w:val="828"/>
        </w:trPr>
        <w:tc>
          <w:tcPr>
            <w:tcW w:w="1062" w:type="dxa"/>
            <w:tcMar>
              <w:top w:w="0" w:type="dxa"/>
              <w:left w:w="57" w:type="dxa"/>
              <w:bottom w:w="0" w:type="dxa"/>
              <w:right w:w="57" w:type="dxa"/>
            </w:tcMar>
            <w:vAlign w:val="center"/>
          </w:tcPr>
          <w:p w14:paraId="7BA54973"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CCC</w:t>
            </w:r>
          </w:p>
        </w:tc>
        <w:tc>
          <w:tcPr>
            <w:tcW w:w="3266" w:type="dxa"/>
            <w:tcMar>
              <w:top w:w="0" w:type="dxa"/>
              <w:left w:w="57" w:type="dxa"/>
              <w:bottom w:w="0" w:type="dxa"/>
              <w:right w:w="57" w:type="dxa"/>
            </w:tcMar>
            <w:vAlign w:val="center"/>
          </w:tcPr>
          <w:p w14:paraId="0EFFC9F9"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Crisis Council of Cabinet</w:t>
            </w:r>
          </w:p>
        </w:tc>
        <w:tc>
          <w:tcPr>
            <w:tcW w:w="1190" w:type="dxa"/>
            <w:vAlign w:val="center"/>
          </w:tcPr>
          <w:p w14:paraId="0165E3B4"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HSW</w:t>
            </w:r>
          </w:p>
        </w:tc>
        <w:tc>
          <w:tcPr>
            <w:tcW w:w="3302" w:type="dxa"/>
            <w:tcMar>
              <w:top w:w="0" w:type="dxa"/>
              <w:left w:w="57" w:type="dxa"/>
              <w:bottom w:w="0" w:type="dxa"/>
              <w:right w:w="57" w:type="dxa"/>
            </w:tcMar>
            <w:vAlign w:val="center"/>
          </w:tcPr>
          <w:p w14:paraId="3CDD1ABA"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Health Safety &amp; Wellbeing</w:t>
            </w:r>
          </w:p>
        </w:tc>
      </w:tr>
      <w:tr w:rsidR="001D67E3" w:rsidRPr="00E273FC" w14:paraId="161784E4" w14:textId="77777777" w:rsidTr="001D67E3">
        <w:trPr>
          <w:trHeight w:val="828"/>
        </w:trPr>
        <w:tc>
          <w:tcPr>
            <w:tcW w:w="1062" w:type="dxa"/>
            <w:tcMar>
              <w:top w:w="0" w:type="dxa"/>
              <w:left w:w="57" w:type="dxa"/>
              <w:bottom w:w="0" w:type="dxa"/>
              <w:right w:w="57" w:type="dxa"/>
            </w:tcMar>
            <w:vAlign w:val="center"/>
          </w:tcPr>
          <w:p w14:paraId="6E0430FB"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CCTV</w:t>
            </w:r>
          </w:p>
        </w:tc>
        <w:tc>
          <w:tcPr>
            <w:tcW w:w="3266" w:type="dxa"/>
            <w:tcMar>
              <w:top w:w="0" w:type="dxa"/>
              <w:left w:w="57" w:type="dxa"/>
              <w:bottom w:w="0" w:type="dxa"/>
              <w:right w:w="57" w:type="dxa"/>
            </w:tcMar>
            <w:vAlign w:val="center"/>
          </w:tcPr>
          <w:p w14:paraId="31D7F26A"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Closed circuit television</w:t>
            </w:r>
          </w:p>
        </w:tc>
        <w:tc>
          <w:tcPr>
            <w:tcW w:w="1190" w:type="dxa"/>
            <w:vAlign w:val="center"/>
          </w:tcPr>
          <w:p w14:paraId="53341DD6"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IBAC</w:t>
            </w:r>
          </w:p>
        </w:tc>
        <w:tc>
          <w:tcPr>
            <w:tcW w:w="3302" w:type="dxa"/>
            <w:tcMar>
              <w:top w:w="0" w:type="dxa"/>
              <w:left w:w="57" w:type="dxa"/>
              <w:bottom w:w="0" w:type="dxa"/>
              <w:right w:w="57" w:type="dxa"/>
            </w:tcMar>
            <w:vAlign w:val="center"/>
          </w:tcPr>
          <w:p w14:paraId="1169776F"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Independent Broad-based Anti-corruption Commission</w:t>
            </w:r>
          </w:p>
        </w:tc>
      </w:tr>
      <w:tr w:rsidR="001D67E3" w:rsidRPr="00E273FC" w14:paraId="1E6463B5" w14:textId="77777777" w:rsidTr="001D67E3">
        <w:trPr>
          <w:trHeight w:val="828"/>
        </w:trPr>
        <w:tc>
          <w:tcPr>
            <w:tcW w:w="1062" w:type="dxa"/>
            <w:tcMar>
              <w:top w:w="0" w:type="dxa"/>
              <w:left w:w="57" w:type="dxa"/>
              <w:bottom w:w="0" w:type="dxa"/>
              <w:right w:w="57" w:type="dxa"/>
            </w:tcMar>
            <w:vAlign w:val="center"/>
          </w:tcPr>
          <w:p w14:paraId="1F51CEB6"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lastRenderedPageBreak/>
              <w:t>CEO</w:t>
            </w:r>
          </w:p>
        </w:tc>
        <w:tc>
          <w:tcPr>
            <w:tcW w:w="3266" w:type="dxa"/>
            <w:tcMar>
              <w:top w:w="0" w:type="dxa"/>
              <w:left w:w="57" w:type="dxa"/>
              <w:bottom w:w="0" w:type="dxa"/>
              <w:right w:w="57" w:type="dxa"/>
            </w:tcMar>
            <w:vAlign w:val="center"/>
          </w:tcPr>
          <w:p w14:paraId="2073D238"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Chief Executive Officer</w:t>
            </w:r>
          </w:p>
        </w:tc>
        <w:tc>
          <w:tcPr>
            <w:tcW w:w="1190" w:type="dxa"/>
            <w:vAlign w:val="center"/>
          </w:tcPr>
          <w:p w14:paraId="3F0E3D64"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ICT</w:t>
            </w:r>
          </w:p>
        </w:tc>
        <w:tc>
          <w:tcPr>
            <w:tcW w:w="3302" w:type="dxa"/>
            <w:tcMar>
              <w:top w:w="0" w:type="dxa"/>
              <w:left w:w="57" w:type="dxa"/>
              <w:bottom w:w="0" w:type="dxa"/>
              <w:right w:w="57" w:type="dxa"/>
            </w:tcMar>
            <w:vAlign w:val="center"/>
          </w:tcPr>
          <w:p w14:paraId="205600AB"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Information and communication technology</w:t>
            </w:r>
          </w:p>
        </w:tc>
      </w:tr>
      <w:tr w:rsidR="001D67E3" w:rsidRPr="00E273FC" w14:paraId="6075E378" w14:textId="77777777" w:rsidTr="001D67E3">
        <w:trPr>
          <w:trHeight w:val="828"/>
        </w:trPr>
        <w:tc>
          <w:tcPr>
            <w:tcW w:w="1062" w:type="dxa"/>
            <w:tcMar>
              <w:top w:w="0" w:type="dxa"/>
              <w:left w:w="57" w:type="dxa"/>
              <w:bottom w:w="0" w:type="dxa"/>
              <w:right w:w="57" w:type="dxa"/>
            </w:tcMar>
            <w:vAlign w:val="center"/>
          </w:tcPr>
          <w:p w14:paraId="0C51EA74"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CPVV</w:t>
            </w:r>
          </w:p>
        </w:tc>
        <w:tc>
          <w:tcPr>
            <w:tcW w:w="3266" w:type="dxa"/>
            <w:tcMar>
              <w:top w:w="0" w:type="dxa"/>
              <w:left w:w="57" w:type="dxa"/>
              <w:bottom w:w="0" w:type="dxa"/>
              <w:right w:w="57" w:type="dxa"/>
            </w:tcMar>
            <w:vAlign w:val="center"/>
          </w:tcPr>
          <w:p w14:paraId="3D9C137F"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Commercial Passenger Vehicles Victoria</w:t>
            </w:r>
          </w:p>
        </w:tc>
        <w:tc>
          <w:tcPr>
            <w:tcW w:w="1190" w:type="dxa"/>
            <w:vAlign w:val="center"/>
          </w:tcPr>
          <w:p w14:paraId="7693FDF0"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IDAHOBIT Day</w:t>
            </w:r>
          </w:p>
        </w:tc>
        <w:tc>
          <w:tcPr>
            <w:tcW w:w="3302" w:type="dxa"/>
            <w:tcMar>
              <w:top w:w="0" w:type="dxa"/>
              <w:left w:w="57" w:type="dxa"/>
              <w:bottom w:w="0" w:type="dxa"/>
              <w:right w:w="57" w:type="dxa"/>
            </w:tcMar>
            <w:vAlign w:val="center"/>
          </w:tcPr>
          <w:p w14:paraId="2681E689"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 xml:space="preserve">International Day Against Homophobia, Biphobia, </w:t>
            </w:r>
            <w:proofErr w:type="spellStart"/>
            <w:r w:rsidRPr="00E273FC">
              <w:rPr>
                <w:rFonts w:ascii="Arial" w:eastAsia="Arial" w:hAnsi="Arial" w:cs="Arial"/>
                <w:sz w:val="24"/>
                <w:szCs w:val="24"/>
              </w:rPr>
              <w:t>Intersexism</w:t>
            </w:r>
            <w:proofErr w:type="spellEnd"/>
            <w:r w:rsidRPr="00E273FC">
              <w:rPr>
                <w:rFonts w:ascii="Arial" w:eastAsia="Arial" w:hAnsi="Arial" w:cs="Arial"/>
                <w:sz w:val="24"/>
                <w:szCs w:val="24"/>
              </w:rPr>
              <w:t>, and Transphobia</w:t>
            </w:r>
          </w:p>
        </w:tc>
      </w:tr>
      <w:tr w:rsidR="001D67E3" w:rsidRPr="00E273FC" w14:paraId="52F09575" w14:textId="77777777" w:rsidTr="001D67E3">
        <w:trPr>
          <w:trHeight w:val="828"/>
        </w:trPr>
        <w:tc>
          <w:tcPr>
            <w:tcW w:w="1062" w:type="dxa"/>
            <w:tcMar>
              <w:top w:w="0" w:type="dxa"/>
              <w:left w:w="57" w:type="dxa"/>
              <w:bottom w:w="0" w:type="dxa"/>
              <w:right w:w="57" w:type="dxa"/>
            </w:tcMar>
            <w:vAlign w:val="center"/>
          </w:tcPr>
          <w:p w14:paraId="25A45A4C"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CRC</w:t>
            </w:r>
          </w:p>
        </w:tc>
        <w:tc>
          <w:tcPr>
            <w:tcW w:w="3266" w:type="dxa"/>
            <w:tcMar>
              <w:top w:w="0" w:type="dxa"/>
              <w:left w:w="57" w:type="dxa"/>
              <w:bottom w:w="0" w:type="dxa"/>
              <w:right w:w="57" w:type="dxa"/>
            </w:tcMar>
            <w:vAlign w:val="center"/>
          </w:tcPr>
          <w:p w14:paraId="2D28D812"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Current replacement cost</w:t>
            </w:r>
          </w:p>
        </w:tc>
        <w:tc>
          <w:tcPr>
            <w:tcW w:w="1190" w:type="dxa"/>
            <w:vAlign w:val="center"/>
          </w:tcPr>
          <w:p w14:paraId="03BC6749"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IRPs</w:t>
            </w:r>
          </w:p>
        </w:tc>
        <w:tc>
          <w:tcPr>
            <w:tcW w:w="3302" w:type="dxa"/>
            <w:tcMar>
              <w:top w:w="0" w:type="dxa"/>
              <w:left w:w="57" w:type="dxa"/>
              <w:bottom w:w="0" w:type="dxa"/>
              <w:right w:w="57" w:type="dxa"/>
            </w:tcMar>
            <w:vAlign w:val="center"/>
          </w:tcPr>
          <w:p w14:paraId="6DD30195"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Issue Resolution Procedures</w:t>
            </w:r>
          </w:p>
        </w:tc>
      </w:tr>
      <w:tr w:rsidR="001D67E3" w:rsidRPr="00E273FC" w14:paraId="276A1367" w14:textId="77777777" w:rsidTr="001D67E3">
        <w:trPr>
          <w:trHeight w:val="828"/>
        </w:trPr>
        <w:tc>
          <w:tcPr>
            <w:tcW w:w="1062" w:type="dxa"/>
            <w:tcMar>
              <w:top w:w="0" w:type="dxa"/>
              <w:left w:w="57" w:type="dxa"/>
              <w:bottom w:w="0" w:type="dxa"/>
              <w:right w:w="57" w:type="dxa"/>
            </w:tcMar>
            <w:vAlign w:val="center"/>
          </w:tcPr>
          <w:p w14:paraId="72A28BBB"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CSO</w:t>
            </w:r>
          </w:p>
        </w:tc>
        <w:tc>
          <w:tcPr>
            <w:tcW w:w="3266" w:type="dxa"/>
            <w:tcMar>
              <w:top w:w="0" w:type="dxa"/>
              <w:left w:w="57" w:type="dxa"/>
              <w:bottom w:w="0" w:type="dxa"/>
              <w:right w:w="57" w:type="dxa"/>
            </w:tcMar>
            <w:vAlign w:val="center"/>
          </w:tcPr>
          <w:p w14:paraId="60D78A28"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Community service obligation</w:t>
            </w:r>
          </w:p>
        </w:tc>
        <w:tc>
          <w:tcPr>
            <w:tcW w:w="1190" w:type="dxa"/>
            <w:vAlign w:val="center"/>
          </w:tcPr>
          <w:p w14:paraId="5CE762C5"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kg</w:t>
            </w:r>
          </w:p>
        </w:tc>
        <w:tc>
          <w:tcPr>
            <w:tcW w:w="3302" w:type="dxa"/>
            <w:tcMar>
              <w:top w:w="0" w:type="dxa"/>
              <w:left w:w="57" w:type="dxa"/>
              <w:bottom w:w="0" w:type="dxa"/>
              <w:right w:w="57" w:type="dxa"/>
            </w:tcMar>
            <w:vAlign w:val="center"/>
          </w:tcPr>
          <w:p w14:paraId="33C4FEA7"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Kilograms</w:t>
            </w:r>
          </w:p>
        </w:tc>
      </w:tr>
      <w:tr w:rsidR="001D67E3" w:rsidRPr="00E273FC" w14:paraId="4459038E" w14:textId="77777777" w:rsidTr="001D67E3">
        <w:trPr>
          <w:trHeight w:val="828"/>
        </w:trPr>
        <w:tc>
          <w:tcPr>
            <w:tcW w:w="1062" w:type="dxa"/>
            <w:tcMar>
              <w:top w:w="0" w:type="dxa"/>
              <w:left w:w="57" w:type="dxa"/>
              <w:bottom w:w="0" w:type="dxa"/>
              <w:right w:w="57" w:type="dxa"/>
            </w:tcMar>
            <w:vAlign w:val="center"/>
          </w:tcPr>
          <w:p w14:paraId="2B771BE1"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CWS Act</w:t>
            </w:r>
          </w:p>
        </w:tc>
        <w:tc>
          <w:tcPr>
            <w:tcW w:w="3266" w:type="dxa"/>
            <w:tcMar>
              <w:top w:w="0" w:type="dxa"/>
              <w:left w:w="57" w:type="dxa"/>
              <w:bottom w:w="0" w:type="dxa"/>
              <w:right w:w="57" w:type="dxa"/>
            </w:tcMar>
            <w:vAlign w:val="center"/>
          </w:tcPr>
          <w:p w14:paraId="137548D4" w14:textId="77777777" w:rsidR="001D67E3" w:rsidRPr="00E273FC" w:rsidRDefault="001D67E3" w:rsidP="008245F7">
            <w:pPr>
              <w:rPr>
                <w:rFonts w:ascii="Arial" w:eastAsia="Arial" w:hAnsi="Arial" w:cs="Arial"/>
                <w:i/>
                <w:sz w:val="24"/>
                <w:szCs w:val="24"/>
              </w:rPr>
            </w:pPr>
            <w:r w:rsidRPr="00E273FC">
              <w:rPr>
                <w:rFonts w:ascii="Arial" w:eastAsia="Arial" w:hAnsi="Arial" w:cs="Arial"/>
                <w:i/>
                <w:sz w:val="24"/>
                <w:szCs w:val="24"/>
              </w:rPr>
              <w:t xml:space="preserve">Child Wellbeing and Safety Act 2005 </w:t>
            </w:r>
          </w:p>
        </w:tc>
        <w:tc>
          <w:tcPr>
            <w:tcW w:w="1190" w:type="dxa"/>
            <w:vAlign w:val="center"/>
          </w:tcPr>
          <w:p w14:paraId="2A8585BD" w14:textId="77777777" w:rsidR="001D67E3" w:rsidRPr="00E273FC" w:rsidRDefault="001D67E3" w:rsidP="008245F7">
            <w:pPr>
              <w:rPr>
                <w:rFonts w:ascii="Arial" w:eastAsia="Arial" w:hAnsi="Arial" w:cs="Arial"/>
                <w:sz w:val="24"/>
                <w:szCs w:val="24"/>
              </w:rPr>
            </w:pPr>
            <w:proofErr w:type="spellStart"/>
            <w:r w:rsidRPr="00E273FC">
              <w:rPr>
                <w:rFonts w:ascii="Arial" w:eastAsia="Arial" w:hAnsi="Arial" w:cs="Arial"/>
                <w:sz w:val="24"/>
                <w:szCs w:val="24"/>
              </w:rPr>
              <w:t>kL</w:t>
            </w:r>
            <w:proofErr w:type="spellEnd"/>
          </w:p>
        </w:tc>
        <w:tc>
          <w:tcPr>
            <w:tcW w:w="3302" w:type="dxa"/>
            <w:tcMar>
              <w:top w:w="0" w:type="dxa"/>
              <w:left w:w="57" w:type="dxa"/>
              <w:bottom w:w="0" w:type="dxa"/>
              <w:right w:w="57" w:type="dxa"/>
            </w:tcMar>
            <w:vAlign w:val="center"/>
          </w:tcPr>
          <w:p w14:paraId="5F686E36"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Kilolitres</w:t>
            </w:r>
          </w:p>
        </w:tc>
      </w:tr>
      <w:tr w:rsidR="001D67E3" w:rsidRPr="00E273FC" w14:paraId="5BBF2C97" w14:textId="77777777" w:rsidTr="001D67E3">
        <w:trPr>
          <w:trHeight w:val="828"/>
        </w:trPr>
        <w:tc>
          <w:tcPr>
            <w:tcW w:w="1062" w:type="dxa"/>
            <w:tcMar>
              <w:top w:w="0" w:type="dxa"/>
              <w:left w:w="57" w:type="dxa"/>
              <w:bottom w:w="0" w:type="dxa"/>
              <w:right w:w="57" w:type="dxa"/>
            </w:tcMar>
            <w:vAlign w:val="center"/>
          </w:tcPr>
          <w:p w14:paraId="25EA34AE"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DEDJTR</w:t>
            </w:r>
          </w:p>
        </w:tc>
        <w:tc>
          <w:tcPr>
            <w:tcW w:w="3266" w:type="dxa"/>
            <w:tcMar>
              <w:top w:w="0" w:type="dxa"/>
              <w:left w:w="57" w:type="dxa"/>
              <w:bottom w:w="0" w:type="dxa"/>
              <w:right w:w="57" w:type="dxa"/>
            </w:tcMar>
            <w:vAlign w:val="center"/>
          </w:tcPr>
          <w:p w14:paraId="24F3C5BD"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 xml:space="preserve">Department of Economic Development, Jobs, Transport and Resources </w:t>
            </w:r>
          </w:p>
        </w:tc>
        <w:tc>
          <w:tcPr>
            <w:tcW w:w="1190" w:type="dxa"/>
            <w:vAlign w:val="center"/>
          </w:tcPr>
          <w:p w14:paraId="08C4D398"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km</w:t>
            </w:r>
          </w:p>
        </w:tc>
        <w:tc>
          <w:tcPr>
            <w:tcW w:w="3302" w:type="dxa"/>
            <w:tcMar>
              <w:top w:w="0" w:type="dxa"/>
              <w:left w:w="57" w:type="dxa"/>
              <w:bottom w:w="0" w:type="dxa"/>
              <w:right w:w="57" w:type="dxa"/>
            </w:tcMar>
            <w:vAlign w:val="center"/>
          </w:tcPr>
          <w:p w14:paraId="01F62A3E"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Kilometres</w:t>
            </w:r>
          </w:p>
        </w:tc>
      </w:tr>
      <w:tr w:rsidR="001D67E3" w:rsidRPr="00E273FC" w14:paraId="32670665" w14:textId="77777777" w:rsidTr="001D67E3">
        <w:trPr>
          <w:trHeight w:val="828"/>
        </w:trPr>
        <w:tc>
          <w:tcPr>
            <w:tcW w:w="1062" w:type="dxa"/>
            <w:tcMar>
              <w:top w:w="0" w:type="dxa"/>
              <w:left w:w="57" w:type="dxa"/>
              <w:bottom w:w="0" w:type="dxa"/>
              <w:right w:w="57" w:type="dxa"/>
            </w:tcMar>
            <w:vAlign w:val="center"/>
          </w:tcPr>
          <w:p w14:paraId="501E932B"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DHHS</w:t>
            </w:r>
          </w:p>
        </w:tc>
        <w:tc>
          <w:tcPr>
            <w:tcW w:w="3266" w:type="dxa"/>
            <w:tcMar>
              <w:top w:w="0" w:type="dxa"/>
              <w:left w:w="57" w:type="dxa"/>
              <w:bottom w:w="0" w:type="dxa"/>
              <w:right w:w="57" w:type="dxa"/>
            </w:tcMar>
            <w:vAlign w:val="center"/>
          </w:tcPr>
          <w:p w14:paraId="4000C232"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Department of Health and Human Services</w:t>
            </w:r>
          </w:p>
        </w:tc>
        <w:tc>
          <w:tcPr>
            <w:tcW w:w="1190" w:type="dxa"/>
            <w:vAlign w:val="center"/>
          </w:tcPr>
          <w:p w14:paraId="03EEA691"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KMP</w:t>
            </w:r>
          </w:p>
        </w:tc>
        <w:tc>
          <w:tcPr>
            <w:tcW w:w="3302" w:type="dxa"/>
            <w:tcMar>
              <w:top w:w="0" w:type="dxa"/>
              <w:left w:w="57" w:type="dxa"/>
              <w:bottom w:w="0" w:type="dxa"/>
              <w:right w:w="57" w:type="dxa"/>
            </w:tcMar>
            <w:vAlign w:val="center"/>
          </w:tcPr>
          <w:p w14:paraId="7578B28F"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Key Management Personnel</w:t>
            </w:r>
          </w:p>
        </w:tc>
      </w:tr>
      <w:tr w:rsidR="001D67E3" w:rsidRPr="00E273FC" w14:paraId="1A5DB543" w14:textId="77777777" w:rsidTr="001D67E3">
        <w:trPr>
          <w:trHeight w:val="828"/>
        </w:trPr>
        <w:tc>
          <w:tcPr>
            <w:tcW w:w="1062" w:type="dxa"/>
            <w:tcMar>
              <w:top w:w="0" w:type="dxa"/>
              <w:left w:w="57" w:type="dxa"/>
              <w:bottom w:w="0" w:type="dxa"/>
              <w:right w:w="57" w:type="dxa"/>
            </w:tcMar>
            <w:vAlign w:val="center"/>
          </w:tcPr>
          <w:p w14:paraId="356D20A4"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DJPR</w:t>
            </w:r>
          </w:p>
        </w:tc>
        <w:tc>
          <w:tcPr>
            <w:tcW w:w="3266" w:type="dxa"/>
            <w:tcMar>
              <w:top w:w="0" w:type="dxa"/>
              <w:left w:w="57" w:type="dxa"/>
              <w:bottom w:w="0" w:type="dxa"/>
              <w:right w:w="57" w:type="dxa"/>
            </w:tcMar>
            <w:vAlign w:val="center"/>
          </w:tcPr>
          <w:p w14:paraId="368A0626"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Department of Jobs, Precincts and Regions</w:t>
            </w:r>
          </w:p>
        </w:tc>
        <w:tc>
          <w:tcPr>
            <w:tcW w:w="1190" w:type="dxa"/>
            <w:vAlign w:val="center"/>
          </w:tcPr>
          <w:p w14:paraId="6547F57D"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L2P</w:t>
            </w:r>
          </w:p>
        </w:tc>
        <w:tc>
          <w:tcPr>
            <w:tcW w:w="3302" w:type="dxa"/>
            <w:tcMar>
              <w:top w:w="0" w:type="dxa"/>
              <w:left w:w="57" w:type="dxa"/>
              <w:bottom w:w="0" w:type="dxa"/>
              <w:right w:w="57" w:type="dxa"/>
            </w:tcMar>
            <w:vAlign w:val="center"/>
          </w:tcPr>
          <w:p w14:paraId="14A1B306"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Learner Driver Mentor Program</w:t>
            </w:r>
          </w:p>
        </w:tc>
      </w:tr>
      <w:tr w:rsidR="001D67E3" w:rsidRPr="00E273FC" w14:paraId="6012A320" w14:textId="77777777" w:rsidTr="001D67E3">
        <w:trPr>
          <w:trHeight w:val="828"/>
        </w:trPr>
        <w:tc>
          <w:tcPr>
            <w:tcW w:w="1062" w:type="dxa"/>
            <w:tcMar>
              <w:top w:w="0" w:type="dxa"/>
              <w:left w:w="57" w:type="dxa"/>
              <w:bottom w:w="0" w:type="dxa"/>
              <w:right w:w="57" w:type="dxa"/>
            </w:tcMar>
            <w:vAlign w:val="center"/>
          </w:tcPr>
          <w:p w14:paraId="17FF9B24"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DoT</w:t>
            </w:r>
          </w:p>
        </w:tc>
        <w:tc>
          <w:tcPr>
            <w:tcW w:w="3266" w:type="dxa"/>
            <w:tcMar>
              <w:top w:w="0" w:type="dxa"/>
              <w:left w:w="57" w:type="dxa"/>
              <w:bottom w:w="0" w:type="dxa"/>
              <w:right w:w="57" w:type="dxa"/>
            </w:tcMar>
            <w:vAlign w:val="center"/>
          </w:tcPr>
          <w:p w14:paraId="43EF78B6"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Department of Transport</w:t>
            </w:r>
          </w:p>
        </w:tc>
        <w:tc>
          <w:tcPr>
            <w:tcW w:w="1190" w:type="dxa"/>
            <w:vAlign w:val="center"/>
          </w:tcPr>
          <w:p w14:paraId="1A2F6A55"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LMA</w:t>
            </w:r>
          </w:p>
        </w:tc>
        <w:tc>
          <w:tcPr>
            <w:tcW w:w="3302" w:type="dxa"/>
            <w:tcMar>
              <w:top w:w="0" w:type="dxa"/>
              <w:left w:w="57" w:type="dxa"/>
              <w:bottom w:w="0" w:type="dxa"/>
              <w:right w:w="57" w:type="dxa"/>
            </w:tcMar>
            <w:vAlign w:val="center"/>
          </w:tcPr>
          <w:p w14:paraId="280EEFCF"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 xml:space="preserve">Linking Melbourne Authority </w:t>
            </w:r>
          </w:p>
        </w:tc>
      </w:tr>
      <w:tr w:rsidR="001D67E3" w:rsidRPr="00E273FC" w14:paraId="085F2C7D" w14:textId="77777777" w:rsidTr="001D67E3">
        <w:trPr>
          <w:trHeight w:val="828"/>
        </w:trPr>
        <w:tc>
          <w:tcPr>
            <w:tcW w:w="1062" w:type="dxa"/>
            <w:tcMar>
              <w:top w:w="0" w:type="dxa"/>
              <w:left w:w="57" w:type="dxa"/>
              <w:bottom w:w="0" w:type="dxa"/>
              <w:right w:w="57" w:type="dxa"/>
            </w:tcMar>
            <w:vAlign w:val="center"/>
          </w:tcPr>
          <w:p w14:paraId="4608F50A"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DoT I&amp;D Strategy</w:t>
            </w:r>
          </w:p>
        </w:tc>
        <w:tc>
          <w:tcPr>
            <w:tcW w:w="3266" w:type="dxa"/>
            <w:tcMar>
              <w:top w:w="0" w:type="dxa"/>
              <w:left w:w="57" w:type="dxa"/>
              <w:bottom w:w="0" w:type="dxa"/>
              <w:right w:w="57" w:type="dxa"/>
            </w:tcMar>
            <w:vAlign w:val="center"/>
          </w:tcPr>
          <w:p w14:paraId="60AD687B"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Department of Transport Inclusion &amp; Diversion Strategy 2020-2023</w:t>
            </w:r>
          </w:p>
        </w:tc>
        <w:tc>
          <w:tcPr>
            <w:tcW w:w="1190" w:type="dxa"/>
            <w:vAlign w:val="center"/>
          </w:tcPr>
          <w:p w14:paraId="2472446F" w14:textId="77777777" w:rsidR="001D67E3" w:rsidRPr="00E273FC" w:rsidDel="000F1B70" w:rsidRDefault="001D67E3" w:rsidP="008245F7">
            <w:pPr>
              <w:rPr>
                <w:rFonts w:ascii="Arial" w:eastAsia="Arial" w:hAnsi="Arial" w:cs="Arial"/>
                <w:strike/>
                <w:sz w:val="24"/>
                <w:szCs w:val="24"/>
              </w:rPr>
            </w:pPr>
            <w:r w:rsidRPr="00E273FC">
              <w:rPr>
                <w:rFonts w:ascii="Arial" w:eastAsia="Arial" w:hAnsi="Arial" w:cs="Arial"/>
                <w:sz w:val="24"/>
                <w:szCs w:val="24"/>
              </w:rPr>
              <w:t>LSL</w:t>
            </w:r>
          </w:p>
        </w:tc>
        <w:tc>
          <w:tcPr>
            <w:tcW w:w="3302" w:type="dxa"/>
            <w:tcMar>
              <w:top w:w="0" w:type="dxa"/>
              <w:left w:w="57" w:type="dxa"/>
              <w:bottom w:w="0" w:type="dxa"/>
              <w:right w:w="57" w:type="dxa"/>
            </w:tcMar>
            <w:vAlign w:val="center"/>
          </w:tcPr>
          <w:p w14:paraId="4EB81DE1" w14:textId="77777777" w:rsidR="001D67E3" w:rsidRPr="00E273FC" w:rsidDel="008B2034" w:rsidRDefault="001D67E3" w:rsidP="008245F7">
            <w:pPr>
              <w:rPr>
                <w:rFonts w:ascii="Arial" w:eastAsia="Arial" w:hAnsi="Arial" w:cs="Arial"/>
                <w:strike/>
                <w:sz w:val="24"/>
                <w:szCs w:val="24"/>
              </w:rPr>
            </w:pPr>
            <w:r w:rsidRPr="00E273FC">
              <w:rPr>
                <w:rFonts w:ascii="Arial" w:eastAsia="Arial" w:hAnsi="Arial" w:cs="Arial"/>
                <w:sz w:val="24"/>
                <w:szCs w:val="24"/>
              </w:rPr>
              <w:t>Long service leave</w:t>
            </w:r>
          </w:p>
        </w:tc>
      </w:tr>
      <w:tr w:rsidR="001D67E3" w:rsidRPr="00E273FC" w14:paraId="69F8459D" w14:textId="77777777" w:rsidTr="001D67E3">
        <w:trPr>
          <w:trHeight w:val="828"/>
        </w:trPr>
        <w:tc>
          <w:tcPr>
            <w:tcW w:w="1062" w:type="dxa"/>
            <w:tcMar>
              <w:top w:w="0" w:type="dxa"/>
              <w:left w:w="57" w:type="dxa"/>
              <w:bottom w:w="0" w:type="dxa"/>
              <w:right w:w="57" w:type="dxa"/>
            </w:tcMar>
            <w:vAlign w:val="center"/>
          </w:tcPr>
          <w:p w14:paraId="463A7287"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DPC</w:t>
            </w:r>
          </w:p>
        </w:tc>
        <w:tc>
          <w:tcPr>
            <w:tcW w:w="3266" w:type="dxa"/>
            <w:tcMar>
              <w:top w:w="0" w:type="dxa"/>
              <w:left w:w="57" w:type="dxa"/>
              <w:bottom w:w="0" w:type="dxa"/>
              <w:right w:w="57" w:type="dxa"/>
            </w:tcMar>
            <w:vAlign w:val="center"/>
          </w:tcPr>
          <w:p w14:paraId="4B488AF2"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Department of Premier and Cabinet</w:t>
            </w:r>
          </w:p>
        </w:tc>
        <w:tc>
          <w:tcPr>
            <w:tcW w:w="1190" w:type="dxa"/>
            <w:vAlign w:val="center"/>
          </w:tcPr>
          <w:p w14:paraId="66539EB7"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m2</w:t>
            </w:r>
          </w:p>
        </w:tc>
        <w:tc>
          <w:tcPr>
            <w:tcW w:w="3302" w:type="dxa"/>
            <w:tcMar>
              <w:top w:w="0" w:type="dxa"/>
              <w:left w:w="57" w:type="dxa"/>
              <w:bottom w:w="0" w:type="dxa"/>
              <w:right w:w="57" w:type="dxa"/>
            </w:tcMar>
            <w:vAlign w:val="center"/>
          </w:tcPr>
          <w:p w14:paraId="30FCB6A9"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Square metres</w:t>
            </w:r>
          </w:p>
        </w:tc>
      </w:tr>
      <w:tr w:rsidR="001D67E3" w:rsidRPr="00E273FC" w14:paraId="1FE375EE" w14:textId="77777777" w:rsidTr="001D67E3">
        <w:trPr>
          <w:trHeight w:val="828"/>
        </w:trPr>
        <w:tc>
          <w:tcPr>
            <w:tcW w:w="1062" w:type="dxa"/>
            <w:tcMar>
              <w:top w:w="0" w:type="dxa"/>
              <w:left w:w="57" w:type="dxa"/>
              <w:bottom w:w="0" w:type="dxa"/>
              <w:right w:w="57" w:type="dxa"/>
            </w:tcMar>
            <w:vAlign w:val="center"/>
          </w:tcPr>
          <w:p w14:paraId="7493782A"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DTF</w:t>
            </w:r>
          </w:p>
        </w:tc>
        <w:tc>
          <w:tcPr>
            <w:tcW w:w="3266" w:type="dxa"/>
            <w:tcMar>
              <w:top w:w="0" w:type="dxa"/>
              <w:left w:w="57" w:type="dxa"/>
              <w:bottom w:w="0" w:type="dxa"/>
              <w:right w:w="57" w:type="dxa"/>
            </w:tcMar>
            <w:vAlign w:val="center"/>
          </w:tcPr>
          <w:p w14:paraId="5875E52F"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Department of Treasury and Finance</w:t>
            </w:r>
          </w:p>
        </w:tc>
        <w:tc>
          <w:tcPr>
            <w:tcW w:w="1190" w:type="dxa"/>
            <w:vAlign w:val="center"/>
          </w:tcPr>
          <w:p w14:paraId="3EB585C0"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MTM</w:t>
            </w:r>
          </w:p>
        </w:tc>
        <w:tc>
          <w:tcPr>
            <w:tcW w:w="3302" w:type="dxa"/>
            <w:tcMar>
              <w:top w:w="0" w:type="dxa"/>
              <w:left w:w="57" w:type="dxa"/>
              <w:bottom w:w="0" w:type="dxa"/>
              <w:right w:w="57" w:type="dxa"/>
            </w:tcMar>
            <w:vAlign w:val="center"/>
          </w:tcPr>
          <w:p w14:paraId="54D8E559"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 xml:space="preserve">Metro Trains Melbourne </w:t>
            </w:r>
          </w:p>
        </w:tc>
      </w:tr>
      <w:tr w:rsidR="001D67E3" w:rsidRPr="00E273FC" w14:paraId="362A3AA0" w14:textId="77777777" w:rsidTr="001D67E3">
        <w:trPr>
          <w:trHeight w:val="828"/>
        </w:trPr>
        <w:tc>
          <w:tcPr>
            <w:tcW w:w="1062" w:type="dxa"/>
            <w:tcMar>
              <w:top w:w="0" w:type="dxa"/>
              <w:left w:w="57" w:type="dxa"/>
              <w:bottom w:w="0" w:type="dxa"/>
              <w:right w:w="57" w:type="dxa"/>
            </w:tcMar>
            <w:vAlign w:val="center"/>
          </w:tcPr>
          <w:p w14:paraId="742FE2D5"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DV</w:t>
            </w:r>
          </w:p>
        </w:tc>
        <w:tc>
          <w:tcPr>
            <w:tcW w:w="3266" w:type="dxa"/>
            <w:tcMar>
              <w:top w:w="0" w:type="dxa"/>
              <w:left w:w="57" w:type="dxa"/>
              <w:bottom w:w="0" w:type="dxa"/>
              <w:right w:w="57" w:type="dxa"/>
            </w:tcMar>
            <w:vAlign w:val="center"/>
          </w:tcPr>
          <w:p w14:paraId="6C1DE822"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Development Victoria</w:t>
            </w:r>
          </w:p>
        </w:tc>
        <w:tc>
          <w:tcPr>
            <w:tcW w:w="1190" w:type="dxa"/>
            <w:vAlign w:val="center"/>
          </w:tcPr>
          <w:p w14:paraId="2C9E20A6"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MBSCs</w:t>
            </w:r>
            <w:r w:rsidRPr="00E273FC" w:rsidDel="004625B0">
              <w:rPr>
                <w:rFonts w:ascii="Arial" w:eastAsia="Arial" w:hAnsi="Arial" w:cs="Arial"/>
                <w:sz w:val="24"/>
                <w:szCs w:val="24"/>
              </w:rPr>
              <w:t xml:space="preserve"> </w:t>
            </w:r>
          </w:p>
        </w:tc>
        <w:tc>
          <w:tcPr>
            <w:tcW w:w="3302" w:type="dxa"/>
            <w:tcMar>
              <w:top w:w="0" w:type="dxa"/>
              <w:left w:w="57" w:type="dxa"/>
              <w:bottom w:w="0" w:type="dxa"/>
              <w:right w:w="57" w:type="dxa"/>
            </w:tcMar>
            <w:vAlign w:val="center"/>
          </w:tcPr>
          <w:p w14:paraId="4957537A"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Metropolitan bus services contracts</w:t>
            </w:r>
            <w:r w:rsidRPr="00E273FC" w:rsidDel="004625B0">
              <w:rPr>
                <w:rFonts w:ascii="Arial" w:eastAsia="Arial" w:hAnsi="Arial" w:cs="Arial"/>
                <w:sz w:val="24"/>
                <w:szCs w:val="24"/>
              </w:rPr>
              <w:t xml:space="preserve"> </w:t>
            </w:r>
          </w:p>
        </w:tc>
      </w:tr>
    </w:tbl>
    <w:p w14:paraId="0D17D4A9" w14:textId="77777777" w:rsidR="008245F7" w:rsidRPr="00BF49E9" w:rsidRDefault="008245F7" w:rsidP="008245F7">
      <w:pPr>
        <w:spacing w:before="120" w:after="0" w:line="240" w:lineRule="auto"/>
        <w:rPr>
          <w:rFonts w:ascii="Arial" w:eastAsia="Arial" w:hAnsi="Arial" w:cs="Arial"/>
          <w:vanish/>
          <w:sz w:val="16"/>
          <w:szCs w:val="16"/>
        </w:rPr>
        <w:sectPr w:rsidR="008245F7" w:rsidRPr="00BF49E9" w:rsidSect="00D057D1">
          <w:type w:val="continuous"/>
          <w:pgSz w:w="11906" w:h="16838"/>
          <w:pgMar w:top="1701" w:right="1418" w:bottom="1418" w:left="1418" w:header="709" w:footer="709" w:gutter="0"/>
          <w:cols w:space="284"/>
          <w:docGrid w:linePitch="360"/>
        </w:sectPr>
      </w:pPr>
    </w:p>
    <w:tbl>
      <w:tblPr>
        <w:tblStyle w:val="TableGrid2"/>
        <w:tblW w:w="8808" w:type="dxa"/>
        <w:tblCellMar>
          <w:left w:w="28" w:type="dxa"/>
          <w:right w:w="28" w:type="dxa"/>
        </w:tblCellMar>
        <w:tblLook w:val="04A0" w:firstRow="1" w:lastRow="0" w:firstColumn="1" w:lastColumn="0" w:noHBand="0" w:noVBand="1"/>
      </w:tblPr>
      <w:tblGrid>
        <w:gridCol w:w="968"/>
        <w:gridCol w:w="3384"/>
        <w:gridCol w:w="1084"/>
        <w:gridCol w:w="3372"/>
      </w:tblGrid>
      <w:tr w:rsidR="001D67E3" w:rsidRPr="00E273FC" w14:paraId="1C383A6F" w14:textId="77777777" w:rsidTr="001D67E3">
        <w:trPr>
          <w:trHeight w:val="552"/>
        </w:trPr>
        <w:tc>
          <w:tcPr>
            <w:tcW w:w="968" w:type="dxa"/>
            <w:tcMar>
              <w:top w:w="0" w:type="dxa"/>
              <w:left w:w="57" w:type="dxa"/>
              <w:bottom w:w="0" w:type="dxa"/>
              <w:right w:w="57" w:type="dxa"/>
            </w:tcMar>
            <w:vAlign w:val="center"/>
          </w:tcPr>
          <w:p w14:paraId="271EEA11"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lastRenderedPageBreak/>
              <w:t>MJ</w:t>
            </w:r>
          </w:p>
        </w:tc>
        <w:tc>
          <w:tcPr>
            <w:tcW w:w="3384" w:type="dxa"/>
            <w:tcMar>
              <w:top w:w="0" w:type="dxa"/>
              <w:left w:w="57" w:type="dxa"/>
              <w:bottom w:w="0" w:type="dxa"/>
              <w:right w:w="57" w:type="dxa"/>
            </w:tcMar>
            <w:vAlign w:val="center"/>
          </w:tcPr>
          <w:p w14:paraId="68065295" w14:textId="77777777" w:rsidR="001D67E3" w:rsidRPr="00E273FC" w:rsidRDefault="001D67E3" w:rsidP="008245F7">
            <w:pPr>
              <w:rPr>
                <w:rFonts w:ascii="Arial" w:eastAsia="Arial" w:hAnsi="Arial" w:cs="Arial"/>
                <w:sz w:val="24"/>
                <w:szCs w:val="24"/>
              </w:rPr>
            </w:pPr>
            <w:proofErr w:type="spellStart"/>
            <w:r w:rsidRPr="00E273FC">
              <w:rPr>
                <w:rFonts w:ascii="Arial" w:eastAsia="Arial" w:hAnsi="Arial" w:cs="Arial"/>
                <w:sz w:val="24"/>
                <w:szCs w:val="24"/>
              </w:rPr>
              <w:t>MegaJoules</w:t>
            </w:r>
            <w:proofErr w:type="spellEnd"/>
          </w:p>
        </w:tc>
        <w:tc>
          <w:tcPr>
            <w:tcW w:w="1084" w:type="dxa"/>
            <w:vAlign w:val="center"/>
          </w:tcPr>
          <w:p w14:paraId="39F8DF49"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STR</w:t>
            </w:r>
          </w:p>
        </w:tc>
        <w:tc>
          <w:tcPr>
            <w:tcW w:w="3372" w:type="dxa"/>
            <w:tcMar>
              <w:top w:w="0" w:type="dxa"/>
              <w:left w:w="57" w:type="dxa"/>
              <w:bottom w:w="0" w:type="dxa"/>
              <w:right w:w="57" w:type="dxa"/>
            </w:tcMar>
            <w:vAlign w:val="center"/>
          </w:tcPr>
          <w:p w14:paraId="1B9AC9B1"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 xml:space="preserve">Short-term registration </w:t>
            </w:r>
          </w:p>
        </w:tc>
      </w:tr>
      <w:tr w:rsidR="001D67E3" w:rsidRPr="00E273FC" w14:paraId="6F0250B8" w14:textId="77777777" w:rsidTr="001D67E3">
        <w:trPr>
          <w:trHeight w:val="552"/>
        </w:trPr>
        <w:tc>
          <w:tcPr>
            <w:tcW w:w="968" w:type="dxa"/>
            <w:tcMar>
              <w:top w:w="0" w:type="dxa"/>
              <w:left w:w="57" w:type="dxa"/>
              <w:bottom w:w="0" w:type="dxa"/>
              <w:right w:w="57" w:type="dxa"/>
            </w:tcMar>
            <w:vAlign w:val="center"/>
          </w:tcPr>
          <w:p w14:paraId="34267177" w14:textId="77777777" w:rsidR="001D67E3" w:rsidRPr="00E273FC" w:rsidDel="00F055EE" w:rsidRDefault="001D67E3" w:rsidP="008245F7">
            <w:pPr>
              <w:rPr>
                <w:rFonts w:ascii="Arial" w:eastAsia="Arial" w:hAnsi="Arial" w:cs="Arial"/>
                <w:strike/>
                <w:sz w:val="24"/>
                <w:szCs w:val="24"/>
              </w:rPr>
            </w:pPr>
            <w:proofErr w:type="spellStart"/>
            <w:r w:rsidRPr="00E273FC">
              <w:rPr>
                <w:rFonts w:ascii="Arial" w:eastAsia="Arial" w:hAnsi="Arial" w:cs="Arial"/>
                <w:sz w:val="24"/>
                <w:szCs w:val="24"/>
              </w:rPr>
              <w:t>MoG</w:t>
            </w:r>
            <w:proofErr w:type="spellEnd"/>
          </w:p>
        </w:tc>
        <w:tc>
          <w:tcPr>
            <w:tcW w:w="3384" w:type="dxa"/>
            <w:tcMar>
              <w:top w:w="0" w:type="dxa"/>
              <w:left w:w="57" w:type="dxa"/>
              <w:bottom w:w="0" w:type="dxa"/>
              <w:right w:w="57" w:type="dxa"/>
            </w:tcMar>
            <w:vAlign w:val="center"/>
          </w:tcPr>
          <w:p w14:paraId="41DBC476" w14:textId="77777777" w:rsidR="001D67E3" w:rsidRPr="00E273FC" w:rsidDel="00F055EE" w:rsidRDefault="001D67E3" w:rsidP="008245F7">
            <w:pPr>
              <w:rPr>
                <w:rFonts w:ascii="Arial" w:eastAsia="Arial" w:hAnsi="Arial" w:cs="Arial"/>
                <w:strike/>
                <w:sz w:val="24"/>
                <w:szCs w:val="24"/>
              </w:rPr>
            </w:pPr>
            <w:r w:rsidRPr="00E273FC">
              <w:rPr>
                <w:rFonts w:ascii="Arial" w:eastAsia="Arial" w:hAnsi="Arial" w:cs="Arial"/>
                <w:sz w:val="24"/>
                <w:szCs w:val="24"/>
              </w:rPr>
              <w:t>Machinery-of-Government</w:t>
            </w:r>
          </w:p>
        </w:tc>
        <w:tc>
          <w:tcPr>
            <w:tcW w:w="1084" w:type="dxa"/>
            <w:vAlign w:val="center"/>
          </w:tcPr>
          <w:p w14:paraId="2F70D4C3"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TAC</w:t>
            </w:r>
          </w:p>
        </w:tc>
        <w:tc>
          <w:tcPr>
            <w:tcW w:w="3372" w:type="dxa"/>
            <w:tcMar>
              <w:top w:w="0" w:type="dxa"/>
              <w:left w:w="57" w:type="dxa"/>
              <w:bottom w:w="0" w:type="dxa"/>
              <w:right w:w="57" w:type="dxa"/>
            </w:tcMar>
            <w:vAlign w:val="center"/>
          </w:tcPr>
          <w:p w14:paraId="169F0EAA"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Transport Accident Commission</w:t>
            </w:r>
          </w:p>
        </w:tc>
      </w:tr>
      <w:tr w:rsidR="001D67E3" w:rsidRPr="00E273FC" w14:paraId="2FB123A6" w14:textId="77777777" w:rsidTr="001D67E3">
        <w:trPr>
          <w:trHeight w:val="552"/>
        </w:trPr>
        <w:tc>
          <w:tcPr>
            <w:tcW w:w="968" w:type="dxa"/>
            <w:tcMar>
              <w:top w:w="0" w:type="dxa"/>
              <w:left w:w="57" w:type="dxa"/>
              <w:bottom w:w="0" w:type="dxa"/>
              <w:right w:w="57" w:type="dxa"/>
            </w:tcMar>
            <w:vAlign w:val="center"/>
          </w:tcPr>
          <w:p w14:paraId="46DF8F31"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MPSG</w:t>
            </w:r>
            <w:r w:rsidRPr="00E273FC" w:rsidDel="00BC2FEA">
              <w:rPr>
                <w:rFonts w:ascii="Arial" w:eastAsia="Arial" w:hAnsi="Arial" w:cs="Arial"/>
                <w:sz w:val="24"/>
                <w:szCs w:val="24"/>
              </w:rPr>
              <w:t xml:space="preserve"> </w:t>
            </w:r>
          </w:p>
        </w:tc>
        <w:tc>
          <w:tcPr>
            <w:tcW w:w="3384" w:type="dxa"/>
            <w:tcMar>
              <w:top w:w="0" w:type="dxa"/>
              <w:left w:w="57" w:type="dxa"/>
              <w:bottom w:w="0" w:type="dxa"/>
              <w:right w:w="57" w:type="dxa"/>
            </w:tcMar>
            <w:vAlign w:val="center"/>
          </w:tcPr>
          <w:p w14:paraId="09851775"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Major Projects Skills Guarantee</w:t>
            </w:r>
          </w:p>
        </w:tc>
        <w:tc>
          <w:tcPr>
            <w:tcW w:w="1084" w:type="dxa"/>
            <w:vAlign w:val="center"/>
          </w:tcPr>
          <w:p w14:paraId="555E98E2"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TBMs</w:t>
            </w:r>
          </w:p>
        </w:tc>
        <w:tc>
          <w:tcPr>
            <w:tcW w:w="3372" w:type="dxa"/>
            <w:tcMar>
              <w:top w:w="0" w:type="dxa"/>
              <w:left w:w="57" w:type="dxa"/>
              <w:bottom w:w="0" w:type="dxa"/>
              <w:right w:w="57" w:type="dxa"/>
            </w:tcMar>
            <w:vAlign w:val="center"/>
          </w:tcPr>
          <w:p w14:paraId="291BEF1E"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Tunnel boring machines</w:t>
            </w:r>
          </w:p>
        </w:tc>
      </w:tr>
      <w:tr w:rsidR="001D67E3" w:rsidRPr="00E273FC" w14:paraId="3019CD06" w14:textId="77777777" w:rsidTr="001D67E3">
        <w:trPr>
          <w:trHeight w:val="552"/>
        </w:trPr>
        <w:tc>
          <w:tcPr>
            <w:tcW w:w="968" w:type="dxa"/>
            <w:tcMar>
              <w:top w:w="0" w:type="dxa"/>
              <w:left w:w="57" w:type="dxa"/>
              <w:bottom w:w="0" w:type="dxa"/>
              <w:right w:w="57" w:type="dxa"/>
            </w:tcMar>
            <w:vAlign w:val="center"/>
          </w:tcPr>
          <w:p w14:paraId="39B1514D"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MPV</w:t>
            </w:r>
          </w:p>
        </w:tc>
        <w:tc>
          <w:tcPr>
            <w:tcW w:w="3384" w:type="dxa"/>
            <w:tcMar>
              <w:top w:w="0" w:type="dxa"/>
              <w:left w:w="57" w:type="dxa"/>
              <w:bottom w:w="0" w:type="dxa"/>
              <w:right w:w="57" w:type="dxa"/>
            </w:tcMar>
            <w:vAlign w:val="center"/>
          </w:tcPr>
          <w:p w14:paraId="6288C113"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Major Projects Victoria</w:t>
            </w:r>
          </w:p>
        </w:tc>
        <w:tc>
          <w:tcPr>
            <w:tcW w:w="1084" w:type="dxa"/>
            <w:vAlign w:val="center"/>
          </w:tcPr>
          <w:p w14:paraId="1AD73326"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TEI</w:t>
            </w:r>
          </w:p>
        </w:tc>
        <w:tc>
          <w:tcPr>
            <w:tcW w:w="3372" w:type="dxa"/>
            <w:tcMar>
              <w:top w:w="0" w:type="dxa"/>
              <w:left w:w="57" w:type="dxa"/>
              <w:bottom w:w="0" w:type="dxa"/>
              <w:right w:w="57" w:type="dxa"/>
            </w:tcMar>
            <w:vAlign w:val="center"/>
          </w:tcPr>
          <w:p w14:paraId="4CD20515"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Total Estimated Investment</w:t>
            </w:r>
          </w:p>
        </w:tc>
      </w:tr>
      <w:tr w:rsidR="001D67E3" w:rsidRPr="00E273FC" w14:paraId="28575CDC" w14:textId="77777777" w:rsidTr="001D67E3">
        <w:trPr>
          <w:trHeight w:val="552"/>
        </w:trPr>
        <w:tc>
          <w:tcPr>
            <w:tcW w:w="968" w:type="dxa"/>
            <w:tcMar>
              <w:top w:w="0" w:type="dxa"/>
              <w:left w:w="57" w:type="dxa"/>
              <w:bottom w:w="0" w:type="dxa"/>
              <w:right w:w="57" w:type="dxa"/>
            </w:tcMar>
            <w:vAlign w:val="center"/>
          </w:tcPr>
          <w:p w14:paraId="68DB2336"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MTI</w:t>
            </w:r>
          </w:p>
        </w:tc>
        <w:tc>
          <w:tcPr>
            <w:tcW w:w="3384" w:type="dxa"/>
            <w:tcMar>
              <w:top w:w="0" w:type="dxa"/>
              <w:left w:w="57" w:type="dxa"/>
              <w:bottom w:w="0" w:type="dxa"/>
              <w:right w:w="57" w:type="dxa"/>
            </w:tcMar>
            <w:vAlign w:val="center"/>
          </w:tcPr>
          <w:p w14:paraId="39E2CC1F"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 xml:space="preserve">Medical Treatment Injury </w:t>
            </w:r>
          </w:p>
        </w:tc>
        <w:tc>
          <w:tcPr>
            <w:tcW w:w="1084" w:type="dxa"/>
            <w:vAlign w:val="center"/>
          </w:tcPr>
          <w:p w14:paraId="226115B2" w14:textId="77777777" w:rsidR="001D67E3" w:rsidRPr="00E273FC" w:rsidRDefault="001D67E3" w:rsidP="008245F7">
            <w:pPr>
              <w:rPr>
                <w:rFonts w:ascii="Arial" w:eastAsia="Arial" w:hAnsi="Arial" w:cs="Arial"/>
                <w:sz w:val="24"/>
                <w:szCs w:val="24"/>
              </w:rPr>
            </w:pPr>
            <w:proofErr w:type="spellStart"/>
            <w:r w:rsidRPr="00E273FC">
              <w:rPr>
                <w:rFonts w:ascii="Arial" w:eastAsia="Arial" w:hAnsi="Arial" w:cs="Arial"/>
                <w:sz w:val="24"/>
                <w:szCs w:val="24"/>
              </w:rPr>
              <w:t>TfV</w:t>
            </w:r>
            <w:proofErr w:type="spellEnd"/>
          </w:p>
        </w:tc>
        <w:tc>
          <w:tcPr>
            <w:tcW w:w="3372" w:type="dxa"/>
            <w:tcMar>
              <w:top w:w="0" w:type="dxa"/>
              <w:left w:w="57" w:type="dxa"/>
              <w:bottom w:w="0" w:type="dxa"/>
              <w:right w:w="57" w:type="dxa"/>
            </w:tcMar>
            <w:vAlign w:val="center"/>
          </w:tcPr>
          <w:p w14:paraId="018A0E68"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Transport for Victoria</w:t>
            </w:r>
          </w:p>
        </w:tc>
      </w:tr>
      <w:tr w:rsidR="001D67E3" w:rsidRPr="00E273FC" w14:paraId="078A3BFF" w14:textId="77777777" w:rsidTr="001D67E3">
        <w:trPr>
          <w:trHeight w:val="552"/>
        </w:trPr>
        <w:tc>
          <w:tcPr>
            <w:tcW w:w="968" w:type="dxa"/>
            <w:tcMar>
              <w:top w:w="0" w:type="dxa"/>
              <w:left w:w="57" w:type="dxa"/>
              <w:bottom w:w="0" w:type="dxa"/>
              <w:right w:w="57" w:type="dxa"/>
            </w:tcMar>
            <w:vAlign w:val="center"/>
          </w:tcPr>
          <w:p w14:paraId="3A923CCA"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MTIA</w:t>
            </w:r>
          </w:p>
        </w:tc>
        <w:tc>
          <w:tcPr>
            <w:tcW w:w="3384" w:type="dxa"/>
            <w:tcMar>
              <w:top w:w="0" w:type="dxa"/>
              <w:left w:w="57" w:type="dxa"/>
              <w:bottom w:w="0" w:type="dxa"/>
              <w:right w:w="57" w:type="dxa"/>
            </w:tcMar>
            <w:vAlign w:val="center"/>
          </w:tcPr>
          <w:p w14:paraId="1732E0B2"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 xml:space="preserve">Major Transport Infrastructure Authority </w:t>
            </w:r>
          </w:p>
        </w:tc>
        <w:tc>
          <w:tcPr>
            <w:tcW w:w="1084" w:type="dxa"/>
            <w:vAlign w:val="center"/>
          </w:tcPr>
          <w:p w14:paraId="3B5BA3ED"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TIA</w:t>
            </w:r>
          </w:p>
        </w:tc>
        <w:tc>
          <w:tcPr>
            <w:tcW w:w="3372" w:type="dxa"/>
            <w:tcMar>
              <w:top w:w="0" w:type="dxa"/>
              <w:left w:w="57" w:type="dxa"/>
              <w:bottom w:w="0" w:type="dxa"/>
              <w:right w:w="57" w:type="dxa"/>
            </w:tcMar>
            <w:vAlign w:val="center"/>
          </w:tcPr>
          <w:p w14:paraId="45AC8C2C" w14:textId="77777777" w:rsidR="001D67E3" w:rsidRPr="00E273FC" w:rsidRDefault="001D67E3" w:rsidP="008245F7">
            <w:pPr>
              <w:rPr>
                <w:rFonts w:ascii="Arial" w:eastAsia="Arial" w:hAnsi="Arial" w:cs="Arial"/>
                <w:i/>
                <w:sz w:val="24"/>
                <w:szCs w:val="24"/>
              </w:rPr>
            </w:pPr>
            <w:r w:rsidRPr="00E273FC">
              <w:rPr>
                <w:rFonts w:ascii="Arial" w:eastAsia="Arial" w:hAnsi="Arial" w:cs="Arial"/>
                <w:i/>
                <w:sz w:val="24"/>
                <w:szCs w:val="24"/>
              </w:rPr>
              <w:t>Transport Integration Act 2010</w:t>
            </w:r>
          </w:p>
        </w:tc>
      </w:tr>
      <w:tr w:rsidR="001D67E3" w:rsidRPr="00E273FC" w14:paraId="6CE47897" w14:textId="77777777" w:rsidTr="001D67E3">
        <w:trPr>
          <w:trHeight w:val="552"/>
        </w:trPr>
        <w:tc>
          <w:tcPr>
            <w:tcW w:w="968" w:type="dxa"/>
            <w:tcMar>
              <w:top w:w="0" w:type="dxa"/>
              <w:left w:w="57" w:type="dxa"/>
              <w:bottom w:w="0" w:type="dxa"/>
              <w:right w:w="57" w:type="dxa"/>
            </w:tcMar>
            <w:vAlign w:val="center"/>
          </w:tcPr>
          <w:p w14:paraId="5D2C481A"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NHVR</w:t>
            </w:r>
          </w:p>
        </w:tc>
        <w:tc>
          <w:tcPr>
            <w:tcW w:w="3384" w:type="dxa"/>
            <w:tcMar>
              <w:top w:w="0" w:type="dxa"/>
              <w:left w:w="57" w:type="dxa"/>
              <w:bottom w:w="0" w:type="dxa"/>
              <w:right w:w="57" w:type="dxa"/>
            </w:tcMar>
            <w:vAlign w:val="center"/>
          </w:tcPr>
          <w:p w14:paraId="06D6FC91"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National Heavy Vehicle Register</w:t>
            </w:r>
            <w:r w:rsidRPr="00E273FC" w:rsidDel="00F055EE">
              <w:rPr>
                <w:rFonts w:ascii="Arial" w:eastAsia="Arial" w:hAnsi="Arial" w:cs="Arial"/>
                <w:sz w:val="24"/>
                <w:szCs w:val="24"/>
              </w:rPr>
              <w:t xml:space="preserve"> </w:t>
            </w:r>
          </w:p>
        </w:tc>
        <w:tc>
          <w:tcPr>
            <w:tcW w:w="1084" w:type="dxa"/>
            <w:vAlign w:val="center"/>
          </w:tcPr>
          <w:p w14:paraId="2FE58324"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TLAA</w:t>
            </w:r>
          </w:p>
        </w:tc>
        <w:tc>
          <w:tcPr>
            <w:tcW w:w="3372" w:type="dxa"/>
            <w:tcMar>
              <w:top w:w="0" w:type="dxa"/>
              <w:left w:w="57" w:type="dxa"/>
              <w:bottom w:w="0" w:type="dxa"/>
              <w:right w:w="57" w:type="dxa"/>
            </w:tcMar>
            <w:vAlign w:val="center"/>
          </w:tcPr>
          <w:p w14:paraId="12E4C19E" w14:textId="77777777" w:rsidR="001D67E3" w:rsidRPr="00E273FC" w:rsidRDefault="001D67E3" w:rsidP="008245F7">
            <w:pPr>
              <w:rPr>
                <w:rFonts w:ascii="Arial" w:eastAsia="Arial" w:hAnsi="Arial" w:cs="Arial"/>
                <w:i/>
                <w:sz w:val="24"/>
                <w:szCs w:val="24"/>
              </w:rPr>
            </w:pPr>
            <w:r w:rsidRPr="00E273FC">
              <w:rPr>
                <w:rFonts w:ascii="Arial" w:eastAsia="Arial" w:hAnsi="Arial" w:cs="Arial"/>
                <w:i/>
                <w:sz w:val="24"/>
                <w:szCs w:val="24"/>
              </w:rPr>
              <w:t>Transport Legislation Amendment Act 2019</w:t>
            </w:r>
          </w:p>
        </w:tc>
      </w:tr>
      <w:tr w:rsidR="001D67E3" w:rsidRPr="00E273FC" w14:paraId="546FA7B2" w14:textId="77777777" w:rsidTr="001D67E3">
        <w:trPr>
          <w:trHeight w:val="552"/>
        </w:trPr>
        <w:tc>
          <w:tcPr>
            <w:tcW w:w="968" w:type="dxa"/>
            <w:tcMar>
              <w:top w:w="0" w:type="dxa"/>
              <w:left w:w="57" w:type="dxa"/>
              <w:bottom w:w="0" w:type="dxa"/>
              <w:right w:w="57" w:type="dxa"/>
            </w:tcMar>
            <w:vAlign w:val="center"/>
          </w:tcPr>
          <w:p w14:paraId="13F3252B"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Non-BAU</w:t>
            </w:r>
            <w:r w:rsidRPr="00E273FC" w:rsidDel="00F055EE">
              <w:rPr>
                <w:rFonts w:ascii="Arial" w:eastAsia="Arial" w:hAnsi="Arial" w:cs="Arial"/>
                <w:sz w:val="24"/>
                <w:szCs w:val="24"/>
              </w:rPr>
              <w:t xml:space="preserve"> </w:t>
            </w:r>
          </w:p>
        </w:tc>
        <w:tc>
          <w:tcPr>
            <w:tcW w:w="3384" w:type="dxa"/>
            <w:tcMar>
              <w:top w:w="0" w:type="dxa"/>
              <w:left w:w="57" w:type="dxa"/>
              <w:bottom w:w="0" w:type="dxa"/>
              <w:right w:w="57" w:type="dxa"/>
            </w:tcMar>
            <w:vAlign w:val="center"/>
          </w:tcPr>
          <w:p w14:paraId="71E5987E"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 xml:space="preserve">Non-Business as Usual </w:t>
            </w:r>
          </w:p>
        </w:tc>
        <w:tc>
          <w:tcPr>
            <w:tcW w:w="1084" w:type="dxa"/>
            <w:vAlign w:val="center"/>
          </w:tcPr>
          <w:p w14:paraId="055C1828"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TRO</w:t>
            </w:r>
          </w:p>
        </w:tc>
        <w:tc>
          <w:tcPr>
            <w:tcW w:w="3372" w:type="dxa"/>
            <w:tcMar>
              <w:top w:w="0" w:type="dxa"/>
              <w:left w:w="57" w:type="dxa"/>
              <w:bottom w:w="0" w:type="dxa"/>
              <w:right w:w="57" w:type="dxa"/>
            </w:tcMar>
            <w:vAlign w:val="center"/>
          </w:tcPr>
          <w:p w14:paraId="39177852"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Transport Restructuring Order</w:t>
            </w:r>
          </w:p>
        </w:tc>
      </w:tr>
      <w:tr w:rsidR="001D67E3" w:rsidRPr="00E273FC" w14:paraId="164481E3" w14:textId="77777777" w:rsidTr="001D67E3">
        <w:trPr>
          <w:trHeight w:val="552"/>
        </w:trPr>
        <w:tc>
          <w:tcPr>
            <w:tcW w:w="968" w:type="dxa"/>
            <w:tcMar>
              <w:top w:w="0" w:type="dxa"/>
              <w:left w:w="57" w:type="dxa"/>
              <w:bottom w:w="0" w:type="dxa"/>
              <w:right w:w="57" w:type="dxa"/>
            </w:tcMar>
            <w:vAlign w:val="center"/>
          </w:tcPr>
          <w:p w14:paraId="5A81438F"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OH&amp;S</w:t>
            </w:r>
          </w:p>
        </w:tc>
        <w:tc>
          <w:tcPr>
            <w:tcW w:w="3384" w:type="dxa"/>
            <w:tcMar>
              <w:top w:w="0" w:type="dxa"/>
              <w:left w:w="57" w:type="dxa"/>
              <w:bottom w:w="0" w:type="dxa"/>
              <w:right w:w="57" w:type="dxa"/>
            </w:tcMar>
            <w:vAlign w:val="center"/>
          </w:tcPr>
          <w:p w14:paraId="2C09B45E"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Occupational health and safety</w:t>
            </w:r>
          </w:p>
        </w:tc>
        <w:tc>
          <w:tcPr>
            <w:tcW w:w="1084" w:type="dxa"/>
            <w:vAlign w:val="center"/>
          </w:tcPr>
          <w:p w14:paraId="7D8A7BFC"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VAGO</w:t>
            </w:r>
          </w:p>
        </w:tc>
        <w:tc>
          <w:tcPr>
            <w:tcW w:w="3372" w:type="dxa"/>
            <w:tcMar>
              <w:top w:w="0" w:type="dxa"/>
              <w:left w:w="57" w:type="dxa"/>
              <w:bottom w:w="0" w:type="dxa"/>
              <w:right w:w="57" w:type="dxa"/>
            </w:tcMar>
            <w:vAlign w:val="center"/>
          </w:tcPr>
          <w:p w14:paraId="44C35FF1"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Victorian Auditor-General’s Office</w:t>
            </w:r>
          </w:p>
        </w:tc>
      </w:tr>
      <w:tr w:rsidR="001D67E3" w:rsidRPr="00E273FC" w14:paraId="56034B75" w14:textId="77777777" w:rsidTr="001D67E3">
        <w:trPr>
          <w:trHeight w:val="552"/>
        </w:trPr>
        <w:tc>
          <w:tcPr>
            <w:tcW w:w="968" w:type="dxa"/>
            <w:tcMar>
              <w:top w:w="0" w:type="dxa"/>
              <w:left w:w="57" w:type="dxa"/>
              <w:bottom w:w="0" w:type="dxa"/>
              <w:right w:w="57" w:type="dxa"/>
            </w:tcMar>
            <w:vAlign w:val="center"/>
          </w:tcPr>
          <w:p w14:paraId="5D379311"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OVIC</w:t>
            </w:r>
          </w:p>
        </w:tc>
        <w:tc>
          <w:tcPr>
            <w:tcW w:w="3384" w:type="dxa"/>
            <w:tcMar>
              <w:top w:w="0" w:type="dxa"/>
              <w:left w:w="57" w:type="dxa"/>
              <w:bottom w:w="0" w:type="dxa"/>
              <w:right w:w="57" w:type="dxa"/>
            </w:tcMar>
            <w:vAlign w:val="center"/>
          </w:tcPr>
          <w:p w14:paraId="3811D675" w14:textId="77777777" w:rsidR="001D67E3" w:rsidRPr="00E273FC" w:rsidRDefault="001D67E3" w:rsidP="008245F7">
            <w:pPr>
              <w:rPr>
                <w:rFonts w:ascii="Arial" w:eastAsia="Arial" w:hAnsi="Arial" w:cs="Arial"/>
                <w:i/>
                <w:sz w:val="24"/>
                <w:szCs w:val="24"/>
              </w:rPr>
            </w:pPr>
            <w:r w:rsidRPr="00E273FC">
              <w:rPr>
                <w:rFonts w:ascii="Arial" w:eastAsia="Arial" w:hAnsi="Arial" w:cs="Arial"/>
                <w:sz w:val="24"/>
                <w:szCs w:val="24"/>
              </w:rPr>
              <w:t xml:space="preserve">Office of the Victorian Information Commissioner </w:t>
            </w:r>
          </w:p>
        </w:tc>
        <w:tc>
          <w:tcPr>
            <w:tcW w:w="1084" w:type="dxa"/>
            <w:vAlign w:val="center"/>
          </w:tcPr>
          <w:p w14:paraId="50CE973D"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VCAT</w:t>
            </w:r>
          </w:p>
        </w:tc>
        <w:tc>
          <w:tcPr>
            <w:tcW w:w="3372" w:type="dxa"/>
            <w:tcMar>
              <w:top w:w="0" w:type="dxa"/>
              <w:left w:w="57" w:type="dxa"/>
              <w:bottom w:w="0" w:type="dxa"/>
              <w:right w:w="57" w:type="dxa"/>
            </w:tcMar>
            <w:vAlign w:val="center"/>
          </w:tcPr>
          <w:p w14:paraId="208CD63B"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Victorian Civil and Administrative Tribunal</w:t>
            </w:r>
          </w:p>
        </w:tc>
      </w:tr>
      <w:tr w:rsidR="001D67E3" w:rsidRPr="00E273FC" w14:paraId="2330FC41" w14:textId="77777777" w:rsidTr="001D67E3">
        <w:trPr>
          <w:trHeight w:val="552"/>
        </w:trPr>
        <w:tc>
          <w:tcPr>
            <w:tcW w:w="968" w:type="dxa"/>
            <w:tcMar>
              <w:top w:w="0" w:type="dxa"/>
              <w:left w:w="57" w:type="dxa"/>
              <w:bottom w:w="0" w:type="dxa"/>
              <w:right w:w="57" w:type="dxa"/>
            </w:tcMar>
            <w:vAlign w:val="center"/>
          </w:tcPr>
          <w:p w14:paraId="57729FEB" w14:textId="77777777" w:rsidR="001D67E3" w:rsidRPr="00E273FC" w:rsidDel="00F055EE" w:rsidRDefault="001D67E3" w:rsidP="008245F7">
            <w:pPr>
              <w:rPr>
                <w:rFonts w:ascii="Arial" w:eastAsia="Arial" w:hAnsi="Arial" w:cs="Arial"/>
                <w:strike/>
                <w:sz w:val="24"/>
                <w:szCs w:val="24"/>
              </w:rPr>
            </w:pPr>
            <w:r w:rsidRPr="00E273FC">
              <w:rPr>
                <w:rFonts w:ascii="Arial" w:eastAsia="Arial" w:hAnsi="Arial" w:cs="Arial"/>
                <w:sz w:val="24"/>
                <w:szCs w:val="24"/>
              </w:rPr>
              <w:t>PAA</w:t>
            </w:r>
          </w:p>
        </w:tc>
        <w:tc>
          <w:tcPr>
            <w:tcW w:w="3384" w:type="dxa"/>
            <w:tcMar>
              <w:top w:w="0" w:type="dxa"/>
              <w:left w:w="57" w:type="dxa"/>
              <w:bottom w:w="0" w:type="dxa"/>
              <w:right w:w="57" w:type="dxa"/>
            </w:tcMar>
            <w:vAlign w:val="center"/>
          </w:tcPr>
          <w:p w14:paraId="636DE119" w14:textId="77777777" w:rsidR="001D67E3" w:rsidRPr="00E273FC" w:rsidDel="00F055EE" w:rsidRDefault="001D67E3" w:rsidP="008245F7">
            <w:pPr>
              <w:rPr>
                <w:rFonts w:ascii="Arial" w:eastAsia="Arial" w:hAnsi="Arial" w:cs="Arial"/>
                <w:strike/>
                <w:sz w:val="24"/>
                <w:szCs w:val="24"/>
              </w:rPr>
            </w:pPr>
            <w:r w:rsidRPr="00E273FC">
              <w:rPr>
                <w:rFonts w:ascii="Arial" w:eastAsia="Arial" w:hAnsi="Arial" w:cs="Arial"/>
                <w:i/>
                <w:sz w:val="24"/>
                <w:szCs w:val="24"/>
              </w:rPr>
              <w:t>Public Administrations Act 2004</w:t>
            </w:r>
          </w:p>
        </w:tc>
        <w:tc>
          <w:tcPr>
            <w:tcW w:w="1084" w:type="dxa"/>
            <w:vAlign w:val="center"/>
          </w:tcPr>
          <w:p w14:paraId="76552E77"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VFA</w:t>
            </w:r>
          </w:p>
        </w:tc>
        <w:tc>
          <w:tcPr>
            <w:tcW w:w="3372" w:type="dxa"/>
            <w:tcMar>
              <w:top w:w="0" w:type="dxa"/>
              <w:left w:w="57" w:type="dxa"/>
              <w:bottom w:w="0" w:type="dxa"/>
              <w:right w:w="57" w:type="dxa"/>
            </w:tcMar>
            <w:vAlign w:val="center"/>
          </w:tcPr>
          <w:p w14:paraId="3CE47388"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Victorian Fisheries Authority</w:t>
            </w:r>
          </w:p>
        </w:tc>
      </w:tr>
      <w:tr w:rsidR="001D67E3" w:rsidRPr="00E273FC" w14:paraId="55AE640A" w14:textId="77777777" w:rsidTr="001D67E3">
        <w:trPr>
          <w:trHeight w:val="552"/>
        </w:trPr>
        <w:tc>
          <w:tcPr>
            <w:tcW w:w="968" w:type="dxa"/>
            <w:tcMar>
              <w:top w:w="0" w:type="dxa"/>
              <w:left w:w="57" w:type="dxa"/>
              <w:bottom w:w="0" w:type="dxa"/>
              <w:right w:w="57" w:type="dxa"/>
            </w:tcMar>
            <w:vAlign w:val="center"/>
          </w:tcPr>
          <w:p w14:paraId="294A06E8"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PMF</w:t>
            </w:r>
          </w:p>
        </w:tc>
        <w:tc>
          <w:tcPr>
            <w:tcW w:w="3384" w:type="dxa"/>
            <w:tcMar>
              <w:top w:w="0" w:type="dxa"/>
              <w:left w:w="57" w:type="dxa"/>
              <w:bottom w:w="0" w:type="dxa"/>
              <w:right w:w="57" w:type="dxa"/>
            </w:tcMar>
            <w:vAlign w:val="center"/>
          </w:tcPr>
          <w:p w14:paraId="17F7BC17" w14:textId="77777777" w:rsidR="001D67E3" w:rsidRPr="00E273FC" w:rsidRDefault="001D67E3" w:rsidP="008245F7">
            <w:pPr>
              <w:rPr>
                <w:rFonts w:ascii="Arial" w:eastAsia="Arial" w:hAnsi="Arial" w:cs="Arial"/>
                <w:i/>
                <w:sz w:val="24"/>
                <w:szCs w:val="24"/>
              </w:rPr>
            </w:pPr>
            <w:r w:rsidRPr="00E273FC">
              <w:rPr>
                <w:rFonts w:ascii="Arial" w:eastAsia="Arial" w:hAnsi="Arial" w:cs="Arial"/>
                <w:sz w:val="24"/>
                <w:szCs w:val="24"/>
              </w:rPr>
              <w:t>Performance Management Framework</w:t>
            </w:r>
          </w:p>
        </w:tc>
        <w:tc>
          <w:tcPr>
            <w:tcW w:w="1084" w:type="dxa"/>
            <w:vAlign w:val="center"/>
          </w:tcPr>
          <w:p w14:paraId="505B2F9C"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VGV</w:t>
            </w:r>
          </w:p>
        </w:tc>
        <w:tc>
          <w:tcPr>
            <w:tcW w:w="3372" w:type="dxa"/>
            <w:tcMar>
              <w:top w:w="0" w:type="dxa"/>
              <w:left w:w="57" w:type="dxa"/>
              <w:bottom w:w="0" w:type="dxa"/>
              <w:right w:w="57" w:type="dxa"/>
            </w:tcMar>
            <w:vAlign w:val="center"/>
          </w:tcPr>
          <w:p w14:paraId="553E64D0"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Valuer-General Victoria</w:t>
            </w:r>
          </w:p>
        </w:tc>
      </w:tr>
      <w:tr w:rsidR="001D67E3" w:rsidRPr="00E273FC" w14:paraId="7E83093C" w14:textId="77777777" w:rsidTr="001D67E3">
        <w:trPr>
          <w:trHeight w:val="552"/>
        </w:trPr>
        <w:tc>
          <w:tcPr>
            <w:tcW w:w="968" w:type="dxa"/>
            <w:tcMar>
              <w:top w:w="0" w:type="dxa"/>
              <w:left w:w="57" w:type="dxa"/>
              <w:bottom w:w="0" w:type="dxa"/>
              <w:right w:w="57" w:type="dxa"/>
            </w:tcMar>
            <w:vAlign w:val="center"/>
          </w:tcPr>
          <w:p w14:paraId="1E40C3BA"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POBOS</w:t>
            </w:r>
          </w:p>
        </w:tc>
        <w:tc>
          <w:tcPr>
            <w:tcW w:w="3384" w:type="dxa"/>
            <w:tcMar>
              <w:top w:w="0" w:type="dxa"/>
              <w:left w:w="57" w:type="dxa"/>
              <w:bottom w:w="0" w:type="dxa"/>
              <w:right w:w="57" w:type="dxa"/>
            </w:tcMar>
            <w:vAlign w:val="center"/>
          </w:tcPr>
          <w:p w14:paraId="35A18638"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Payments on behalf of the State</w:t>
            </w:r>
          </w:p>
        </w:tc>
        <w:tc>
          <w:tcPr>
            <w:tcW w:w="1084" w:type="dxa"/>
            <w:vAlign w:val="center"/>
          </w:tcPr>
          <w:p w14:paraId="6F3B332F"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VicRoads</w:t>
            </w:r>
          </w:p>
        </w:tc>
        <w:tc>
          <w:tcPr>
            <w:tcW w:w="3372" w:type="dxa"/>
            <w:tcMar>
              <w:top w:w="0" w:type="dxa"/>
              <w:left w:w="57" w:type="dxa"/>
              <w:bottom w:w="0" w:type="dxa"/>
              <w:right w:w="57" w:type="dxa"/>
            </w:tcMar>
            <w:vAlign w:val="center"/>
          </w:tcPr>
          <w:p w14:paraId="4D277A13"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Roads Corporation of Victoria</w:t>
            </w:r>
          </w:p>
        </w:tc>
      </w:tr>
      <w:tr w:rsidR="001D67E3" w:rsidRPr="00E273FC" w14:paraId="1BDA6A97" w14:textId="77777777" w:rsidTr="001D67E3">
        <w:trPr>
          <w:trHeight w:val="552"/>
        </w:trPr>
        <w:tc>
          <w:tcPr>
            <w:tcW w:w="968" w:type="dxa"/>
            <w:tcMar>
              <w:top w:w="0" w:type="dxa"/>
              <w:left w:w="57" w:type="dxa"/>
              <w:bottom w:w="0" w:type="dxa"/>
              <w:right w:w="57" w:type="dxa"/>
            </w:tcMar>
            <w:vAlign w:val="center"/>
          </w:tcPr>
          <w:p w14:paraId="040636F1"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PPE</w:t>
            </w:r>
          </w:p>
        </w:tc>
        <w:tc>
          <w:tcPr>
            <w:tcW w:w="3384" w:type="dxa"/>
            <w:tcMar>
              <w:top w:w="0" w:type="dxa"/>
              <w:left w:w="57" w:type="dxa"/>
              <w:bottom w:w="0" w:type="dxa"/>
              <w:right w:w="57" w:type="dxa"/>
            </w:tcMar>
            <w:vAlign w:val="center"/>
          </w:tcPr>
          <w:p w14:paraId="7D765DA4"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Property, Plant and Equipment</w:t>
            </w:r>
          </w:p>
        </w:tc>
        <w:tc>
          <w:tcPr>
            <w:tcW w:w="1084" w:type="dxa"/>
            <w:vAlign w:val="center"/>
          </w:tcPr>
          <w:p w14:paraId="5132EDE3"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VIPP</w:t>
            </w:r>
          </w:p>
        </w:tc>
        <w:tc>
          <w:tcPr>
            <w:tcW w:w="3372" w:type="dxa"/>
            <w:tcMar>
              <w:top w:w="0" w:type="dxa"/>
              <w:left w:w="57" w:type="dxa"/>
              <w:bottom w:w="0" w:type="dxa"/>
              <w:right w:w="57" w:type="dxa"/>
            </w:tcMar>
            <w:vAlign w:val="center"/>
          </w:tcPr>
          <w:p w14:paraId="29DCEF70"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Victorian Industry Participation Policy</w:t>
            </w:r>
          </w:p>
        </w:tc>
      </w:tr>
      <w:tr w:rsidR="001D67E3" w:rsidRPr="00E273FC" w14:paraId="31806FA9" w14:textId="77777777" w:rsidTr="001D67E3">
        <w:trPr>
          <w:trHeight w:val="552"/>
        </w:trPr>
        <w:tc>
          <w:tcPr>
            <w:tcW w:w="968" w:type="dxa"/>
            <w:tcMar>
              <w:top w:w="0" w:type="dxa"/>
              <w:left w:w="57" w:type="dxa"/>
              <w:bottom w:w="0" w:type="dxa"/>
              <w:right w:w="57" w:type="dxa"/>
            </w:tcMar>
            <w:vAlign w:val="center"/>
          </w:tcPr>
          <w:p w14:paraId="2537E099"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PPP</w:t>
            </w:r>
          </w:p>
        </w:tc>
        <w:tc>
          <w:tcPr>
            <w:tcW w:w="3384" w:type="dxa"/>
            <w:tcMar>
              <w:top w:w="0" w:type="dxa"/>
              <w:left w:w="57" w:type="dxa"/>
              <w:bottom w:w="0" w:type="dxa"/>
              <w:right w:w="57" w:type="dxa"/>
            </w:tcMar>
            <w:vAlign w:val="center"/>
          </w:tcPr>
          <w:p w14:paraId="6BB01AD5"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Public Private Partnership</w:t>
            </w:r>
          </w:p>
        </w:tc>
        <w:tc>
          <w:tcPr>
            <w:tcW w:w="1084" w:type="dxa"/>
            <w:tcMar>
              <w:right w:w="0" w:type="dxa"/>
            </w:tcMar>
            <w:vAlign w:val="center"/>
          </w:tcPr>
          <w:p w14:paraId="179CBF31"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VOZR</w:t>
            </w:r>
            <w:r w:rsidRPr="00E273FC" w:rsidDel="00F055EE">
              <w:rPr>
                <w:rFonts w:ascii="Arial" w:eastAsia="Arial" w:hAnsi="Arial" w:cs="Arial"/>
                <w:sz w:val="24"/>
                <w:szCs w:val="24"/>
              </w:rPr>
              <w:t xml:space="preserve"> </w:t>
            </w:r>
          </w:p>
        </w:tc>
        <w:tc>
          <w:tcPr>
            <w:tcW w:w="3372" w:type="dxa"/>
            <w:tcMar>
              <w:top w:w="0" w:type="dxa"/>
              <w:left w:w="57" w:type="dxa"/>
              <w:bottom w:w="0" w:type="dxa"/>
              <w:right w:w="57" w:type="dxa"/>
            </w:tcMar>
            <w:vAlign w:val="center"/>
          </w:tcPr>
          <w:p w14:paraId="735F7E62"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 xml:space="preserve">Vessel Operating and Zoning Rules </w:t>
            </w:r>
          </w:p>
        </w:tc>
      </w:tr>
      <w:tr w:rsidR="001D67E3" w:rsidRPr="00E273FC" w14:paraId="18DC9F9B" w14:textId="77777777" w:rsidTr="001D67E3">
        <w:trPr>
          <w:trHeight w:val="552"/>
        </w:trPr>
        <w:tc>
          <w:tcPr>
            <w:tcW w:w="968" w:type="dxa"/>
            <w:tcMar>
              <w:top w:w="0" w:type="dxa"/>
              <w:left w:w="57" w:type="dxa"/>
              <w:bottom w:w="0" w:type="dxa"/>
              <w:right w:w="57" w:type="dxa"/>
            </w:tcMar>
            <w:vAlign w:val="center"/>
          </w:tcPr>
          <w:p w14:paraId="27487C30"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PTV</w:t>
            </w:r>
          </w:p>
        </w:tc>
        <w:tc>
          <w:tcPr>
            <w:tcW w:w="3384" w:type="dxa"/>
            <w:tcMar>
              <w:top w:w="0" w:type="dxa"/>
              <w:left w:w="57" w:type="dxa"/>
              <w:bottom w:w="0" w:type="dxa"/>
              <w:right w:w="57" w:type="dxa"/>
            </w:tcMar>
            <w:vAlign w:val="center"/>
          </w:tcPr>
          <w:p w14:paraId="22D11674"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Public Transport Victoria</w:t>
            </w:r>
          </w:p>
        </w:tc>
        <w:tc>
          <w:tcPr>
            <w:tcW w:w="1084" w:type="dxa"/>
            <w:tcMar>
              <w:right w:w="0" w:type="dxa"/>
            </w:tcMar>
            <w:vAlign w:val="center"/>
          </w:tcPr>
          <w:p w14:paraId="0E21B1D3"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VPS</w:t>
            </w:r>
          </w:p>
        </w:tc>
        <w:tc>
          <w:tcPr>
            <w:tcW w:w="3372" w:type="dxa"/>
            <w:tcMar>
              <w:top w:w="0" w:type="dxa"/>
              <w:left w:w="57" w:type="dxa"/>
              <w:bottom w:w="0" w:type="dxa"/>
              <w:right w:w="57" w:type="dxa"/>
            </w:tcMar>
            <w:vAlign w:val="center"/>
          </w:tcPr>
          <w:p w14:paraId="3DAFB5C2"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Victorian Public Service</w:t>
            </w:r>
          </w:p>
        </w:tc>
      </w:tr>
      <w:tr w:rsidR="001D67E3" w:rsidRPr="00E273FC" w14:paraId="017168E5" w14:textId="77777777" w:rsidTr="001D67E3">
        <w:trPr>
          <w:trHeight w:val="552"/>
        </w:trPr>
        <w:tc>
          <w:tcPr>
            <w:tcW w:w="968" w:type="dxa"/>
            <w:tcMar>
              <w:top w:w="0" w:type="dxa"/>
              <w:left w:w="57" w:type="dxa"/>
              <w:bottom w:w="0" w:type="dxa"/>
              <w:right w:w="57" w:type="dxa"/>
            </w:tcMar>
            <w:vAlign w:val="center"/>
          </w:tcPr>
          <w:p w14:paraId="62E3C5C3"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R&amp;L</w:t>
            </w:r>
            <w:r w:rsidRPr="00E273FC" w:rsidDel="00F055EE">
              <w:rPr>
                <w:rFonts w:ascii="Arial" w:eastAsia="Arial" w:hAnsi="Arial" w:cs="Arial"/>
                <w:sz w:val="24"/>
                <w:szCs w:val="24"/>
              </w:rPr>
              <w:t xml:space="preserve"> </w:t>
            </w:r>
          </w:p>
        </w:tc>
        <w:tc>
          <w:tcPr>
            <w:tcW w:w="3384" w:type="dxa"/>
            <w:tcMar>
              <w:top w:w="0" w:type="dxa"/>
              <w:left w:w="57" w:type="dxa"/>
              <w:bottom w:w="0" w:type="dxa"/>
              <w:right w:w="57" w:type="dxa"/>
            </w:tcMar>
            <w:vAlign w:val="center"/>
          </w:tcPr>
          <w:p w14:paraId="5726BC7B"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 xml:space="preserve">Registration and Licensing </w:t>
            </w:r>
          </w:p>
        </w:tc>
        <w:tc>
          <w:tcPr>
            <w:tcW w:w="1084" w:type="dxa"/>
            <w:tcMar>
              <w:right w:w="0" w:type="dxa"/>
            </w:tcMar>
            <w:vAlign w:val="center"/>
          </w:tcPr>
          <w:p w14:paraId="63DF704C"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VTF</w:t>
            </w:r>
          </w:p>
        </w:tc>
        <w:tc>
          <w:tcPr>
            <w:tcW w:w="3372" w:type="dxa"/>
            <w:tcMar>
              <w:top w:w="0" w:type="dxa"/>
              <w:left w:w="57" w:type="dxa"/>
              <w:bottom w:w="0" w:type="dxa"/>
              <w:right w:w="57" w:type="dxa"/>
            </w:tcMar>
            <w:vAlign w:val="center"/>
          </w:tcPr>
          <w:p w14:paraId="0DE4111E"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Victorian Transport Fund</w:t>
            </w:r>
          </w:p>
        </w:tc>
      </w:tr>
      <w:tr w:rsidR="001D67E3" w:rsidRPr="00E273FC" w14:paraId="0576EB77" w14:textId="77777777" w:rsidTr="001D67E3">
        <w:trPr>
          <w:trHeight w:val="552"/>
        </w:trPr>
        <w:tc>
          <w:tcPr>
            <w:tcW w:w="968" w:type="dxa"/>
            <w:tcMar>
              <w:top w:w="0" w:type="dxa"/>
              <w:left w:w="57" w:type="dxa"/>
              <w:bottom w:w="0" w:type="dxa"/>
              <w:right w:w="57" w:type="dxa"/>
            </w:tcMar>
            <w:vAlign w:val="center"/>
          </w:tcPr>
          <w:p w14:paraId="76D1C71F"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RCS</w:t>
            </w:r>
          </w:p>
        </w:tc>
        <w:tc>
          <w:tcPr>
            <w:tcW w:w="3384" w:type="dxa"/>
            <w:tcMar>
              <w:top w:w="0" w:type="dxa"/>
              <w:left w:w="57" w:type="dxa"/>
              <w:bottom w:w="0" w:type="dxa"/>
              <w:right w:w="57" w:type="dxa"/>
            </w:tcMar>
            <w:vAlign w:val="center"/>
          </w:tcPr>
          <w:p w14:paraId="68D0D75D"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Reportable Conduct Scheme</w:t>
            </w:r>
          </w:p>
        </w:tc>
        <w:tc>
          <w:tcPr>
            <w:tcW w:w="1084" w:type="dxa"/>
            <w:tcMar>
              <w:right w:w="0" w:type="dxa"/>
            </w:tcMar>
            <w:vAlign w:val="center"/>
          </w:tcPr>
          <w:p w14:paraId="52C85005"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VWA</w:t>
            </w:r>
          </w:p>
        </w:tc>
        <w:tc>
          <w:tcPr>
            <w:tcW w:w="3372" w:type="dxa"/>
            <w:tcMar>
              <w:top w:w="0" w:type="dxa"/>
              <w:left w:w="57" w:type="dxa"/>
              <w:bottom w:w="0" w:type="dxa"/>
              <w:right w:w="57" w:type="dxa"/>
            </w:tcMar>
            <w:vAlign w:val="center"/>
          </w:tcPr>
          <w:p w14:paraId="69B2A528"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Victorian WorkCover Authority</w:t>
            </w:r>
          </w:p>
        </w:tc>
      </w:tr>
      <w:tr w:rsidR="001D67E3" w:rsidRPr="00E273FC" w14:paraId="3A8CD2D8" w14:textId="77777777" w:rsidTr="001D67E3">
        <w:trPr>
          <w:trHeight w:val="552"/>
        </w:trPr>
        <w:tc>
          <w:tcPr>
            <w:tcW w:w="968" w:type="dxa"/>
            <w:tcMar>
              <w:top w:w="0" w:type="dxa"/>
              <w:left w:w="57" w:type="dxa"/>
              <w:bottom w:w="0" w:type="dxa"/>
              <w:right w:w="57" w:type="dxa"/>
            </w:tcMar>
            <w:vAlign w:val="center"/>
          </w:tcPr>
          <w:p w14:paraId="3E33F857" w14:textId="77777777" w:rsidR="001D67E3" w:rsidRPr="00E273FC" w:rsidRDefault="001D67E3" w:rsidP="008245F7">
            <w:pPr>
              <w:rPr>
                <w:rFonts w:ascii="Arial" w:eastAsia="Arial" w:hAnsi="Arial" w:cs="Arial"/>
                <w:sz w:val="24"/>
                <w:szCs w:val="24"/>
              </w:rPr>
            </w:pPr>
            <w:proofErr w:type="spellStart"/>
            <w:r w:rsidRPr="00E273FC">
              <w:rPr>
                <w:rFonts w:ascii="Arial" w:eastAsia="Arial" w:hAnsi="Arial" w:cs="Arial"/>
                <w:sz w:val="24"/>
                <w:szCs w:val="24"/>
              </w:rPr>
              <w:t>RoU</w:t>
            </w:r>
            <w:proofErr w:type="spellEnd"/>
          </w:p>
        </w:tc>
        <w:tc>
          <w:tcPr>
            <w:tcW w:w="3384" w:type="dxa"/>
            <w:tcMar>
              <w:top w:w="0" w:type="dxa"/>
              <w:left w:w="57" w:type="dxa"/>
              <w:bottom w:w="0" w:type="dxa"/>
              <w:right w:w="57" w:type="dxa"/>
            </w:tcMar>
            <w:vAlign w:val="center"/>
          </w:tcPr>
          <w:p w14:paraId="6ACAFFB7"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Right-of-Use</w:t>
            </w:r>
          </w:p>
        </w:tc>
        <w:tc>
          <w:tcPr>
            <w:tcW w:w="1084" w:type="dxa"/>
            <w:vAlign w:val="center"/>
          </w:tcPr>
          <w:p w14:paraId="6C92B739" w14:textId="77777777" w:rsidR="001D67E3" w:rsidRPr="00E273FC" w:rsidRDefault="001D67E3" w:rsidP="008245F7">
            <w:pPr>
              <w:rPr>
                <w:rFonts w:ascii="Arial" w:eastAsia="Arial" w:hAnsi="Arial" w:cs="Arial"/>
                <w:sz w:val="24"/>
                <w:szCs w:val="24"/>
              </w:rPr>
            </w:pPr>
          </w:p>
        </w:tc>
        <w:tc>
          <w:tcPr>
            <w:tcW w:w="3372" w:type="dxa"/>
            <w:tcMar>
              <w:top w:w="0" w:type="dxa"/>
              <w:left w:w="57" w:type="dxa"/>
              <w:bottom w:w="0" w:type="dxa"/>
              <w:right w:w="57" w:type="dxa"/>
            </w:tcMar>
            <w:vAlign w:val="center"/>
          </w:tcPr>
          <w:p w14:paraId="538BF041" w14:textId="77777777" w:rsidR="001D67E3" w:rsidRPr="00E273FC" w:rsidRDefault="001D67E3" w:rsidP="008245F7">
            <w:pPr>
              <w:rPr>
                <w:rFonts w:ascii="Arial" w:eastAsia="Arial" w:hAnsi="Arial" w:cs="Arial"/>
                <w:sz w:val="24"/>
                <w:szCs w:val="24"/>
              </w:rPr>
            </w:pPr>
          </w:p>
        </w:tc>
      </w:tr>
      <w:tr w:rsidR="001D67E3" w:rsidRPr="00E273FC" w14:paraId="6936DA0D" w14:textId="77777777" w:rsidTr="001D67E3">
        <w:trPr>
          <w:trHeight w:val="552"/>
        </w:trPr>
        <w:tc>
          <w:tcPr>
            <w:tcW w:w="968" w:type="dxa"/>
            <w:tcMar>
              <w:top w:w="0" w:type="dxa"/>
              <w:left w:w="57" w:type="dxa"/>
              <w:bottom w:w="0" w:type="dxa"/>
              <w:right w:w="57" w:type="dxa"/>
            </w:tcMar>
            <w:vAlign w:val="center"/>
          </w:tcPr>
          <w:p w14:paraId="47816B28"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RSV</w:t>
            </w:r>
          </w:p>
        </w:tc>
        <w:tc>
          <w:tcPr>
            <w:tcW w:w="3384" w:type="dxa"/>
            <w:tcMar>
              <w:top w:w="0" w:type="dxa"/>
              <w:left w:w="57" w:type="dxa"/>
              <w:bottom w:w="0" w:type="dxa"/>
              <w:right w:w="57" w:type="dxa"/>
            </w:tcMar>
            <w:vAlign w:val="center"/>
          </w:tcPr>
          <w:p w14:paraId="4AF8AA55"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Road Safety Victoria</w:t>
            </w:r>
          </w:p>
        </w:tc>
        <w:tc>
          <w:tcPr>
            <w:tcW w:w="1084" w:type="dxa"/>
            <w:vAlign w:val="center"/>
          </w:tcPr>
          <w:p w14:paraId="0982B07E" w14:textId="77777777" w:rsidR="001D67E3" w:rsidRPr="00E273FC" w:rsidRDefault="001D67E3" w:rsidP="008245F7">
            <w:pPr>
              <w:rPr>
                <w:rFonts w:ascii="Arial" w:eastAsia="Arial" w:hAnsi="Arial" w:cs="Arial"/>
                <w:sz w:val="24"/>
                <w:szCs w:val="24"/>
              </w:rPr>
            </w:pPr>
          </w:p>
        </w:tc>
        <w:tc>
          <w:tcPr>
            <w:tcW w:w="3372" w:type="dxa"/>
            <w:tcMar>
              <w:top w:w="0" w:type="dxa"/>
              <w:left w:w="57" w:type="dxa"/>
              <w:bottom w:w="0" w:type="dxa"/>
              <w:right w:w="57" w:type="dxa"/>
            </w:tcMar>
            <w:vAlign w:val="center"/>
          </w:tcPr>
          <w:p w14:paraId="75B9852C" w14:textId="77777777" w:rsidR="001D67E3" w:rsidRPr="00E273FC" w:rsidRDefault="001D67E3" w:rsidP="008245F7">
            <w:pPr>
              <w:rPr>
                <w:rFonts w:ascii="Arial" w:eastAsia="Arial" w:hAnsi="Arial" w:cs="Arial"/>
                <w:sz w:val="24"/>
                <w:szCs w:val="24"/>
              </w:rPr>
            </w:pPr>
          </w:p>
        </w:tc>
      </w:tr>
      <w:tr w:rsidR="001D67E3" w:rsidRPr="00E273FC" w14:paraId="1F9D71A4" w14:textId="77777777" w:rsidTr="001D67E3">
        <w:trPr>
          <w:trHeight w:val="552"/>
        </w:trPr>
        <w:tc>
          <w:tcPr>
            <w:tcW w:w="968" w:type="dxa"/>
            <w:tcMar>
              <w:top w:w="0" w:type="dxa"/>
              <w:left w:w="57" w:type="dxa"/>
              <w:bottom w:w="0" w:type="dxa"/>
              <w:right w:w="57" w:type="dxa"/>
            </w:tcMar>
            <w:vAlign w:val="center"/>
          </w:tcPr>
          <w:p w14:paraId="7858024E"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RWI</w:t>
            </w:r>
          </w:p>
        </w:tc>
        <w:tc>
          <w:tcPr>
            <w:tcW w:w="3384" w:type="dxa"/>
            <w:tcMar>
              <w:top w:w="0" w:type="dxa"/>
              <w:left w:w="57" w:type="dxa"/>
              <w:bottom w:w="0" w:type="dxa"/>
              <w:right w:w="57" w:type="dxa"/>
            </w:tcMar>
            <w:vAlign w:val="center"/>
          </w:tcPr>
          <w:p w14:paraId="635D6584" w14:textId="77777777" w:rsidR="001D67E3" w:rsidRPr="00E273FC" w:rsidRDefault="001D67E3" w:rsidP="008245F7">
            <w:pPr>
              <w:rPr>
                <w:rFonts w:ascii="Arial" w:eastAsia="Arial" w:hAnsi="Arial" w:cs="Arial"/>
                <w:strike/>
                <w:sz w:val="24"/>
                <w:szCs w:val="24"/>
              </w:rPr>
            </w:pPr>
            <w:r w:rsidRPr="00E273FC">
              <w:rPr>
                <w:rFonts w:ascii="Arial" w:eastAsia="Arial" w:hAnsi="Arial" w:cs="Arial"/>
                <w:sz w:val="24"/>
                <w:szCs w:val="24"/>
              </w:rPr>
              <w:t>Restricted Work Injury</w:t>
            </w:r>
          </w:p>
        </w:tc>
        <w:tc>
          <w:tcPr>
            <w:tcW w:w="1084" w:type="dxa"/>
            <w:vAlign w:val="center"/>
          </w:tcPr>
          <w:p w14:paraId="245D5E8E" w14:textId="77777777" w:rsidR="001D67E3" w:rsidRPr="00E273FC" w:rsidRDefault="001D67E3" w:rsidP="008245F7">
            <w:pPr>
              <w:rPr>
                <w:rFonts w:ascii="Arial" w:eastAsia="Arial" w:hAnsi="Arial" w:cs="Arial"/>
                <w:sz w:val="24"/>
                <w:szCs w:val="24"/>
              </w:rPr>
            </w:pPr>
          </w:p>
        </w:tc>
        <w:tc>
          <w:tcPr>
            <w:tcW w:w="3372" w:type="dxa"/>
            <w:tcMar>
              <w:top w:w="0" w:type="dxa"/>
              <w:left w:w="57" w:type="dxa"/>
              <w:bottom w:w="0" w:type="dxa"/>
              <w:right w:w="57" w:type="dxa"/>
            </w:tcMar>
            <w:vAlign w:val="center"/>
          </w:tcPr>
          <w:p w14:paraId="2D0122B6" w14:textId="77777777" w:rsidR="001D67E3" w:rsidRPr="00E273FC" w:rsidRDefault="001D67E3" w:rsidP="008245F7">
            <w:pPr>
              <w:rPr>
                <w:rFonts w:ascii="Arial" w:eastAsia="Arial" w:hAnsi="Arial" w:cs="Arial"/>
                <w:sz w:val="24"/>
                <w:szCs w:val="24"/>
              </w:rPr>
            </w:pPr>
          </w:p>
        </w:tc>
      </w:tr>
      <w:tr w:rsidR="001D67E3" w:rsidRPr="00E273FC" w14:paraId="762D506E" w14:textId="77777777" w:rsidTr="001D67E3">
        <w:trPr>
          <w:trHeight w:val="552"/>
        </w:trPr>
        <w:tc>
          <w:tcPr>
            <w:tcW w:w="968" w:type="dxa"/>
            <w:tcMar>
              <w:top w:w="0" w:type="dxa"/>
              <w:left w:w="57" w:type="dxa"/>
              <w:bottom w:w="0" w:type="dxa"/>
              <w:right w:w="57" w:type="dxa"/>
            </w:tcMar>
            <w:vAlign w:val="center"/>
          </w:tcPr>
          <w:p w14:paraId="761D6C07"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SCAs</w:t>
            </w:r>
          </w:p>
        </w:tc>
        <w:tc>
          <w:tcPr>
            <w:tcW w:w="3384" w:type="dxa"/>
            <w:tcMar>
              <w:top w:w="0" w:type="dxa"/>
              <w:left w:w="57" w:type="dxa"/>
              <w:bottom w:w="0" w:type="dxa"/>
              <w:right w:w="57" w:type="dxa"/>
            </w:tcMar>
            <w:vAlign w:val="center"/>
          </w:tcPr>
          <w:p w14:paraId="61C6455F"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 xml:space="preserve">Service concession arrangements </w:t>
            </w:r>
          </w:p>
        </w:tc>
        <w:tc>
          <w:tcPr>
            <w:tcW w:w="1084" w:type="dxa"/>
            <w:vAlign w:val="center"/>
          </w:tcPr>
          <w:p w14:paraId="1D5ED081" w14:textId="77777777" w:rsidR="001D67E3" w:rsidRPr="00E273FC" w:rsidRDefault="001D67E3" w:rsidP="008245F7">
            <w:pPr>
              <w:rPr>
                <w:rFonts w:ascii="Arial" w:eastAsia="Arial" w:hAnsi="Arial" w:cs="Arial"/>
                <w:sz w:val="24"/>
                <w:szCs w:val="24"/>
              </w:rPr>
            </w:pPr>
          </w:p>
        </w:tc>
        <w:tc>
          <w:tcPr>
            <w:tcW w:w="3372" w:type="dxa"/>
            <w:tcMar>
              <w:top w:w="0" w:type="dxa"/>
              <w:left w:w="57" w:type="dxa"/>
              <w:bottom w:w="0" w:type="dxa"/>
              <w:right w:w="57" w:type="dxa"/>
            </w:tcMar>
            <w:vAlign w:val="center"/>
          </w:tcPr>
          <w:p w14:paraId="597199FC" w14:textId="77777777" w:rsidR="001D67E3" w:rsidRPr="00E273FC" w:rsidRDefault="001D67E3" w:rsidP="008245F7">
            <w:pPr>
              <w:rPr>
                <w:rFonts w:ascii="Arial" w:eastAsia="Arial" w:hAnsi="Arial" w:cs="Arial"/>
                <w:sz w:val="24"/>
                <w:szCs w:val="24"/>
              </w:rPr>
            </w:pPr>
          </w:p>
        </w:tc>
      </w:tr>
      <w:tr w:rsidR="001D67E3" w:rsidRPr="00E273FC" w14:paraId="52BE3938" w14:textId="77777777" w:rsidTr="001D67E3">
        <w:trPr>
          <w:trHeight w:val="552"/>
        </w:trPr>
        <w:tc>
          <w:tcPr>
            <w:tcW w:w="968" w:type="dxa"/>
            <w:tcMar>
              <w:top w:w="0" w:type="dxa"/>
              <w:left w:w="57" w:type="dxa"/>
              <w:bottom w:w="0" w:type="dxa"/>
              <w:right w:w="57" w:type="dxa"/>
            </w:tcMar>
            <w:vAlign w:val="center"/>
          </w:tcPr>
          <w:p w14:paraId="43737DC7"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SCL</w:t>
            </w:r>
          </w:p>
        </w:tc>
        <w:tc>
          <w:tcPr>
            <w:tcW w:w="3384" w:type="dxa"/>
            <w:tcMar>
              <w:top w:w="0" w:type="dxa"/>
              <w:left w:w="57" w:type="dxa"/>
              <w:bottom w:w="0" w:type="dxa"/>
              <w:right w:w="57" w:type="dxa"/>
            </w:tcMar>
            <w:vAlign w:val="center"/>
          </w:tcPr>
          <w:p w14:paraId="40AD11D6"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 xml:space="preserve">Service concession liability </w:t>
            </w:r>
          </w:p>
        </w:tc>
        <w:tc>
          <w:tcPr>
            <w:tcW w:w="1084" w:type="dxa"/>
            <w:vAlign w:val="center"/>
          </w:tcPr>
          <w:p w14:paraId="60980B61" w14:textId="77777777" w:rsidR="001D67E3" w:rsidRPr="00E273FC" w:rsidRDefault="001D67E3" w:rsidP="008245F7">
            <w:pPr>
              <w:rPr>
                <w:rFonts w:ascii="Arial" w:eastAsia="Arial" w:hAnsi="Arial" w:cs="Arial"/>
                <w:sz w:val="24"/>
                <w:szCs w:val="24"/>
              </w:rPr>
            </w:pPr>
          </w:p>
        </w:tc>
        <w:tc>
          <w:tcPr>
            <w:tcW w:w="3372" w:type="dxa"/>
            <w:tcMar>
              <w:top w:w="0" w:type="dxa"/>
              <w:left w:w="57" w:type="dxa"/>
              <w:bottom w:w="0" w:type="dxa"/>
              <w:right w:w="57" w:type="dxa"/>
            </w:tcMar>
            <w:vAlign w:val="center"/>
          </w:tcPr>
          <w:p w14:paraId="43F96C58" w14:textId="77777777" w:rsidR="001D67E3" w:rsidRPr="00E273FC" w:rsidRDefault="001D67E3" w:rsidP="008245F7">
            <w:pPr>
              <w:rPr>
                <w:rFonts w:ascii="Arial" w:eastAsia="Arial" w:hAnsi="Arial" w:cs="Arial"/>
                <w:sz w:val="24"/>
                <w:szCs w:val="24"/>
              </w:rPr>
            </w:pPr>
          </w:p>
        </w:tc>
      </w:tr>
      <w:tr w:rsidR="001D67E3" w:rsidRPr="00E273FC" w14:paraId="4C0CEFA9" w14:textId="77777777" w:rsidTr="001D67E3">
        <w:trPr>
          <w:trHeight w:val="552"/>
        </w:trPr>
        <w:tc>
          <w:tcPr>
            <w:tcW w:w="968" w:type="dxa"/>
            <w:tcMar>
              <w:top w:w="0" w:type="dxa"/>
              <w:left w:w="57" w:type="dxa"/>
              <w:bottom w:w="0" w:type="dxa"/>
              <w:right w:w="57" w:type="dxa"/>
            </w:tcMar>
            <w:vAlign w:val="center"/>
          </w:tcPr>
          <w:p w14:paraId="66A5FD99"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SIMS</w:t>
            </w:r>
          </w:p>
        </w:tc>
        <w:tc>
          <w:tcPr>
            <w:tcW w:w="3384" w:type="dxa"/>
            <w:tcMar>
              <w:top w:w="0" w:type="dxa"/>
              <w:left w:w="57" w:type="dxa"/>
              <w:bottom w:w="0" w:type="dxa"/>
              <w:right w:w="57" w:type="dxa"/>
            </w:tcMar>
            <w:vAlign w:val="center"/>
          </w:tcPr>
          <w:p w14:paraId="08FEB1C6"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Safety Incident Management System</w:t>
            </w:r>
          </w:p>
        </w:tc>
        <w:tc>
          <w:tcPr>
            <w:tcW w:w="1084" w:type="dxa"/>
            <w:vAlign w:val="center"/>
          </w:tcPr>
          <w:p w14:paraId="6B943FB3" w14:textId="77777777" w:rsidR="001D67E3" w:rsidRPr="00E273FC" w:rsidRDefault="001D67E3" w:rsidP="008245F7">
            <w:pPr>
              <w:rPr>
                <w:rFonts w:ascii="Arial" w:eastAsia="Arial" w:hAnsi="Arial" w:cs="Arial"/>
                <w:sz w:val="24"/>
                <w:szCs w:val="24"/>
              </w:rPr>
            </w:pPr>
          </w:p>
        </w:tc>
        <w:tc>
          <w:tcPr>
            <w:tcW w:w="3372" w:type="dxa"/>
            <w:tcMar>
              <w:top w:w="0" w:type="dxa"/>
              <w:left w:w="57" w:type="dxa"/>
              <w:bottom w:w="0" w:type="dxa"/>
              <w:right w:w="57" w:type="dxa"/>
            </w:tcMar>
            <w:vAlign w:val="center"/>
          </w:tcPr>
          <w:p w14:paraId="315CB15C" w14:textId="77777777" w:rsidR="001D67E3" w:rsidRPr="00E273FC" w:rsidRDefault="001D67E3" w:rsidP="008245F7">
            <w:pPr>
              <w:rPr>
                <w:rFonts w:ascii="Arial" w:eastAsia="Arial" w:hAnsi="Arial" w:cs="Arial"/>
                <w:sz w:val="24"/>
                <w:szCs w:val="24"/>
              </w:rPr>
            </w:pPr>
          </w:p>
        </w:tc>
      </w:tr>
      <w:tr w:rsidR="001D67E3" w:rsidRPr="00E273FC" w14:paraId="7A78CD6C" w14:textId="77777777" w:rsidTr="001D67E3">
        <w:trPr>
          <w:trHeight w:val="552"/>
        </w:trPr>
        <w:tc>
          <w:tcPr>
            <w:tcW w:w="968" w:type="dxa"/>
            <w:tcMar>
              <w:top w:w="0" w:type="dxa"/>
              <w:left w:w="57" w:type="dxa"/>
              <w:bottom w:w="0" w:type="dxa"/>
              <w:right w:w="57" w:type="dxa"/>
            </w:tcMar>
            <w:vAlign w:val="center"/>
          </w:tcPr>
          <w:p w14:paraId="27530D0C"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lastRenderedPageBreak/>
              <w:t>SPF</w:t>
            </w:r>
          </w:p>
        </w:tc>
        <w:tc>
          <w:tcPr>
            <w:tcW w:w="3384" w:type="dxa"/>
            <w:tcMar>
              <w:top w:w="0" w:type="dxa"/>
              <w:left w:w="57" w:type="dxa"/>
              <w:bottom w:w="0" w:type="dxa"/>
              <w:right w:w="57" w:type="dxa"/>
            </w:tcMar>
            <w:vAlign w:val="center"/>
          </w:tcPr>
          <w:p w14:paraId="3828595B"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Social Procurement Framework</w:t>
            </w:r>
          </w:p>
        </w:tc>
        <w:tc>
          <w:tcPr>
            <w:tcW w:w="1084" w:type="dxa"/>
            <w:vAlign w:val="center"/>
          </w:tcPr>
          <w:p w14:paraId="2868AF72" w14:textId="77777777" w:rsidR="001D67E3" w:rsidRPr="00E273FC" w:rsidRDefault="001D67E3" w:rsidP="008245F7">
            <w:pPr>
              <w:rPr>
                <w:rFonts w:ascii="Arial" w:eastAsia="Arial" w:hAnsi="Arial" w:cs="Arial"/>
                <w:sz w:val="24"/>
                <w:szCs w:val="24"/>
              </w:rPr>
            </w:pPr>
          </w:p>
        </w:tc>
        <w:tc>
          <w:tcPr>
            <w:tcW w:w="3372" w:type="dxa"/>
            <w:tcMar>
              <w:top w:w="0" w:type="dxa"/>
              <w:left w:w="57" w:type="dxa"/>
              <w:bottom w:w="0" w:type="dxa"/>
              <w:right w:w="57" w:type="dxa"/>
            </w:tcMar>
            <w:vAlign w:val="center"/>
          </w:tcPr>
          <w:p w14:paraId="531F7FDB" w14:textId="77777777" w:rsidR="001D67E3" w:rsidRPr="00E273FC" w:rsidRDefault="001D67E3" w:rsidP="008245F7">
            <w:pPr>
              <w:rPr>
                <w:rFonts w:ascii="Arial" w:eastAsia="Arial" w:hAnsi="Arial" w:cs="Arial"/>
                <w:sz w:val="24"/>
                <w:szCs w:val="24"/>
              </w:rPr>
            </w:pPr>
          </w:p>
        </w:tc>
      </w:tr>
      <w:tr w:rsidR="001D67E3" w:rsidRPr="00E273FC" w14:paraId="12E32592" w14:textId="77777777" w:rsidTr="001D67E3">
        <w:trPr>
          <w:trHeight w:val="552"/>
        </w:trPr>
        <w:tc>
          <w:tcPr>
            <w:tcW w:w="968" w:type="dxa"/>
            <w:tcMar>
              <w:top w:w="0" w:type="dxa"/>
              <w:left w:w="57" w:type="dxa"/>
              <w:bottom w:w="0" w:type="dxa"/>
              <w:right w:w="57" w:type="dxa"/>
            </w:tcMar>
            <w:vAlign w:val="center"/>
          </w:tcPr>
          <w:p w14:paraId="076D9269"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SRLA</w:t>
            </w:r>
          </w:p>
        </w:tc>
        <w:tc>
          <w:tcPr>
            <w:tcW w:w="3384" w:type="dxa"/>
            <w:tcMar>
              <w:top w:w="0" w:type="dxa"/>
              <w:left w:w="57" w:type="dxa"/>
              <w:bottom w:w="0" w:type="dxa"/>
              <w:right w:w="57" w:type="dxa"/>
            </w:tcMar>
            <w:vAlign w:val="center"/>
          </w:tcPr>
          <w:p w14:paraId="11968876"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Suburban Rail Loop Authority</w:t>
            </w:r>
          </w:p>
        </w:tc>
        <w:tc>
          <w:tcPr>
            <w:tcW w:w="1084" w:type="dxa"/>
            <w:vAlign w:val="center"/>
          </w:tcPr>
          <w:p w14:paraId="5FDB5410" w14:textId="77777777" w:rsidR="001D67E3" w:rsidRPr="00E273FC" w:rsidRDefault="001D67E3" w:rsidP="008245F7">
            <w:pPr>
              <w:rPr>
                <w:rFonts w:ascii="Arial" w:eastAsia="Arial" w:hAnsi="Arial" w:cs="Arial"/>
                <w:sz w:val="24"/>
                <w:szCs w:val="24"/>
              </w:rPr>
            </w:pPr>
          </w:p>
        </w:tc>
        <w:tc>
          <w:tcPr>
            <w:tcW w:w="3372" w:type="dxa"/>
            <w:tcMar>
              <w:top w:w="0" w:type="dxa"/>
              <w:left w:w="57" w:type="dxa"/>
              <w:bottom w:w="0" w:type="dxa"/>
              <w:right w:w="57" w:type="dxa"/>
            </w:tcMar>
            <w:vAlign w:val="center"/>
          </w:tcPr>
          <w:p w14:paraId="7C34DBDA" w14:textId="77777777" w:rsidR="001D67E3" w:rsidRPr="00E273FC" w:rsidRDefault="001D67E3" w:rsidP="008245F7">
            <w:pPr>
              <w:rPr>
                <w:rFonts w:ascii="Arial" w:eastAsia="Arial" w:hAnsi="Arial" w:cs="Arial"/>
                <w:sz w:val="24"/>
                <w:szCs w:val="24"/>
              </w:rPr>
            </w:pPr>
          </w:p>
        </w:tc>
      </w:tr>
      <w:tr w:rsidR="001D67E3" w:rsidRPr="00E273FC" w14:paraId="6257F3EA" w14:textId="77777777" w:rsidTr="001D67E3">
        <w:trPr>
          <w:trHeight w:val="552"/>
        </w:trPr>
        <w:tc>
          <w:tcPr>
            <w:tcW w:w="968" w:type="dxa"/>
            <w:tcMar>
              <w:top w:w="0" w:type="dxa"/>
              <w:left w:w="57" w:type="dxa"/>
              <w:bottom w:w="0" w:type="dxa"/>
              <w:right w:w="57" w:type="dxa"/>
            </w:tcMar>
            <w:vAlign w:val="center"/>
          </w:tcPr>
          <w:p w14:paraId="2F2510C1"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SSP</w:t>
            </w:r>
          </w:p>
        </w:tc>
        <w:tc>
          <w:tcPr>
            <w:tcW w:w="3384" w:type="dxa"/>
            <w:tcMar>
              <w:top w:w="0" w:type="dxa"/>
              <w:left w:w="57" w:type="dxa"/>
              <w:bottom w:w="0" w:type="dxa"/>
              <w:right w:w="57" w:type="dxa"/>
            </w:tcMar>
            <w:vAlign w:val="center"/>
          </w:tcPr>
          <w:p w14:paraId="3C00973A" w14:textId="77777777" w:rsidR="001D67E3" w:rsidRPr="00E273FC" w:rsidRDefault="001D67E3" w:rsidP="008245F7">
            <w:pPr>
              <w:rPr>
                <w:rFonts w:ascii="Arial" w:eastAsia="Arial" w:hAnsi="Arial" w:cs="Arial"/>
                <w:sz w:val="24"/>
                <w:szCs w:val="24"/>
              </w:rPr>
            </w:pPr>
            <w:r w:rsidRPr="00E273FC">
              <w:rPr>
                <w:rFonts w:ascii="Arial" w:eastAsia="Arial" w:hAnsi="Arial" w:cs="Arial"/>
                <w:sz w:val="24"/>
                <w:szCs w:val="24"/>
              </w:rPr>
              <w:t>Shared Service Provider</w:t>
            </w:r>
          </w:p>
        </w:tc>
        <w:tc>
          <w:tcPr>
            <w:tcW w:w="1084" w:type="dxa"/>
            <w:vAlign w:val="center"/>
          </w:tcPr>
          <w:p w14:paraId="58B87598" w14:textId="77777777" w:rsidR="001D67E3" w:rsidRPr="00E273FC" w:rsidRDefault="001D67E3" w:rsidP="008245F7">
            <w:pPr>
              <w:rPr>
                <w:rFonts w:ascii="Arial" w:eastAsia="Arial" w:hAnsi="Arial" w:cs="Arial"/>
                <w:sz w:val="24"/>
                <w:szCs w:val="24"/>
              </w:rPr>
            </w:pPr>
          </w:p>
        </w:tc>
        <w:tc>
          <w:tcPr>
            <w:tcW w:w="3372" w:type="dxa"/>
            <w:tcMar>
              <w:top w:w="0" w:type="dxa"/>
              <w:left w:w="57" w:type="dxa"/>
              <w:bottom w:w="0" w:type="dxa"/>
              <w:right w:w="57" w:type="dxa"/>
            </w:tcMar>
            <w:vAlign w:val="center"/>
          </w:tcPr>
          <w:p w14:paraId="37841CF7" w14:textId="77777777" w:rsidR="001D67E3" w:rsidRPr="00E273FC" w:rsidRDefault="001D67E3" w:rsidP="008245F7">
            <w:pPr>
              <w:rPr>
                <w:rFonts w:ascii="Arial" w:eastAsia="Arial" w:hAnsi="Arial" w:cs="Arial"/>
                <w:sz w:val="24"/>
                <w:szCs w:val="24"/>
              </w:rPr>
            </w:pPr>
          </w:p>
        </w:tc>
      </w:tr>
    </w:tbl>
    <w:p w14:paraId="63353D16" w14:textId="77777777" w:rsidR="008245F7" w:rsidRPr="008245F7" w:rsidRDefault="008245F7" w:rsidP="008245F7">
      <w:pPr>
        <w:spacing w:before="120" w:after="0" w:line="240" w:lineRule="auto"/>
        <w:rPr>
          <w:rFonts w:ascii="VIC Light" w:eastAsia="Arial" w:hAnsi="VIC Light" w:cs="Times New Roman"/>
          <w:vanish/>
          <w:sz w:val="16"/>
          <w:szCs w:val="16"/>
        </w:rPr>
      </w:pPr>
    </w:p>
    <w:p w14:paraId="60B8D26B" w14:textId="77777777" w:rsidR="00D83E00" w:rsidRDefault="00D83E00">
      <w:pPr>
        <w:sectPr w:rsidR="00D83E00" w:rsidSect="00D057D1">
          <w:pgSz w:w="11906" w:h="16838"/>
          <w:pgMar w:top="1701" w:right="1418" w:bottom="1418" w:left="1418" w:header="709" w:footer="709" w:gutter="0"/>
          <w:cols w:space="284"/>
          <w:docGrid w:linePitch="360"/>
        </w:sectPr>
      </w:pPr>
    </w:p>
    <w:p w14:paraId="2A5EF75C" w14:textId="77777777" w:rsidR="00D83E00" w:rsidRPr="00F979D2" w:rsidRDefault="00D83E00" w:rsidP="008A0170">
      <w:pPr>
        <w:pStyle w:val="Heading1"/>
      </w:pPr>
      <w:bookmarkStart w:id="824" w:name="p490"/>
      <w:bookmarkStart w:id="825" w:name="_Toc55130719"/>
      <w:bookmarkEnd w:id="824"/>
      <w:r w:rsidRPr="00F979D2">
        <w:lastRenderedPageBreak/>
        <w:t>Appendix 18: Disclosure Index</w:t>
      </w:r>
      <w:bookmarkEnd w:id="825"/>
    </w:p>
    <w:p w14:paraId="1844410B" w14:textId="77777777" w:rsidR="00D83E00" w:rsidRPr="00602180" w:rsidRDefault="00D83E00" w:rsidP="008F539A">
      <w:pPr>
        <w:pStyle w:val="aaatyping"/>
      </w:pPr>
      <w:r w:rsidRPr="00602180">
        <w:t>The Department of Transport Annual Report 20</w:t>
      </w:r>
      <w:r>
        <w:t>19</w:t>
      </w:r>
      <w:r w:rsidRPr="00602180">
        <w:t>-</w:t>
      </w:r>
      <w:r>
        <w:t>20</w:t>
      </w:r>
      <w:r w:rsidRPr="00602180">
        <w:t xml:space="preserve"> is prepared in accordance with all relevant Victorian legislation and pronouncements. This index has been prepared to facilitate identification of the department’s compliance with statutory disclosure requirements. </w:t>
      </w:r>
    </w:p>
    <w:tbl>
      <w:tblPr>
        <w:tblStyle w:val="TableGrid"/>
        <w:tblW w:w="9072" w:type="dxa"/>
        <w:tblCellMar>
          <w:left w:w="28" w:type="dxa"/>
          <w:right w:w="28" w:type="dxa"/>
        </w:tblCellMar>
        <w:tblLook w:val="04A0" w:firstRow="1" w:lastRow="0" w:firstColumn="1" w:lastColumn="0" w:noHBand="0" w:noVBand="1"/>
      </w:tblPr>
      <w:tblGrid>
        <w:gridCol w:w="3024"/>
        <w:gridCol w:w="3024"/>
        <w:gridCol w:w="3024"/>
      </w:tblGrid>
      <w:tr w:rsidR="00D83E00" w:rsidRPr="00E273FC" w14:paraId="0AEA1E7E" w14:textId="77777777" w:rsidTr="00732609">
        <w:trPr>
          <w:trHeight w:hRule="exact" w:val="340"/>
          <w:tblHeader/>
        </w:trPr>
        <w:tc>
          <w:tcPr>
            <w:tcW w:w="3024" w:type="dxa"/>
            <w:shd w:val="clear" w:color="auto" w:fill="auto"/>
            <w:tcMar>
              <w:left w:w="57" w:type="dxa"/>
              <w:right w:w="57" w:type="dxa"/>
            </w:tcMar>
            <w:vAlign w:val="center"/>
          </w:tcPr>
          <w:p w14:paraId="0D7FF474" w14:textId="77777777" w:rsidR="00D83E00" w:rsidRPr="00E273FC" w:rsidRDefault="00D83E00" w:rsidP="00DE1921">
            <w:pPr>
              <w:pStyle w:val="TableTextLeftBold"/>
              <w:rPr>
                <w:rFonts w:ascii="Arial" w:hAnsi="Arial" w:cs="Arial"/>
                <w:sz w:val="24"/>
                <w:szCs w:val="24"/>
              </w:rPr>
            </w:pPr>
            <w:r w:rsidRPr="00E273FC">
              <w:rPr>
                <w:rFonts w:ascii="Arial" w:hAnsi="Arial" w:cs="Arial"/>
                <w:sz w:val="24"/>
                <w:szCs w:val="24"/>
              </w:rPr>
              <w:t>LEGISLATION</w:t>
            </w:r>
          </w:p>
        </w:tc>
        <w:tc>
          <w:tcPr>
            <w:tcW w:w="3024" w:type="dxa"/>
            <w:shd w:val="clear" w:color="auto" w:fill="auto"/>
            <w:tcMar>
              <w:left w:w="57" w:type="dxa"/>
              <w:right w:w="57" w:type="dxa"/>
            </w:tcMar>
            <w:vAlign w:val="center"/>
          </w:tcPr>
          <w:p w14:paraId="00D1B520" w14:textId="77777777" w:rsidR="00D83E00" w:rsidRPr="00E273FC" w:rsidRDefault="00D83E00" w:rsidP="00DE1921">
            <w:pPr>
              <w:pStyle w:val="TableTextLeftBold"/>
              <w:rPr>
                <w:rFonts w:ascii="Arial" w:hAnsi="Arial" w:cs="Arial"/>
                <w:sz w:val="24"/>
                <w:szCs w:val="24"/>
              </w:rPr>
            </w:pPr>
            <w:r w:rsidRPr="00E273FC">
              <w:rPr>
                <w:rFonts w:ascii="Arial" w:hAnsi="Arial" w:cs="Arial"/>
                <w:sz w:val="24"/>
                <w:szCs w:val="24"/>
              </w:rPr>
              <w:t>REQUIREMENT</w:t>
            </w:r>
          </w:p>
        </w:tc>
        <w:tc>
          <w:tcPr>
            <w:tcW w:w="3024" w:type="dxa"/>
            <w:shd w:val="clear" w:color="auto" w:fill="auto"/>
            <w:tcMar>
              <w:left w:w="57" w:type="dxa"/>
              <w:right w:w="57" w:type="dxa"/>
            </w:tcMar>
            <w:vAlign w:val="center"/>
          </w:tcPr>
          <w:p w14:paraId="081E3BD5" w14:textId="77777777" w:rsidR="00D83E00" w:rsidRPr="00E273FC" w:rsidRDefault="00D83E00" w:rsidP="00DE1921">
            <w:pPr>
              <w:pStyle w:val="TableTextLeftBold"/>
              <w:rPr>
                <w:rFonts w:ascii="Arial" w:hAnsi="Arial" w:cs="Arial"/>
                <w:sz w:val="24"/>
                <w:szCs w:val="24"/>
              </w:rPr>
            </w:pPr>
            <w:r w:rsidRPr="00E273FC">
              <w:rPr>
                <w:rFonts w:ascii="Arial" w:hAnsi="Arial" w:cs="Arial"/>
                <w:sz w:val="24"/>
                <w:szCs w:val="24"/>
              </w:rPr>
              <w:t>PAGE REFERENCE</w:t>
            </w:r>
          </w:p>
        </w:tc>
      </w:tr>
      <w:tr w:rsidR="00631749" w:rsidRPr="00E273FC" w14:paraId="74022CB2" w14:textId="77777777" w:rsidTr="009411B3">
        <w:trPr>
          <w:trHeight w:hRule="exact" w:val="624"/>
          <w:tblHeader/>
        </w:trPr>
        <w:tc>
          <w:tcPr>
            <w:tcW w:w="3024" w:type="dxa"/>
            <w:shd w:val="clear" w:color="auto" w:fill="auto"/>
            <w:tcMar>
              <w:left w:w="57" w:type="dxa"/>
              <w:right w:w="57" w:type="dxa"/>
            </w:tcMar>
          </w:tcPr>
          <w:p w14:paraId="499346A2" w14:textId="77777777" w:rsidR="00631749" w:rsidRPr="00E273FC" w:rsidRDefault="00631749" w:rsidP="00DE1921">
            <w:pPr>
              <w:pStyle w:val="TableTextLeftBold"/>
              <w:rPr>
                <w:rFonts w:ascii="Arial" w:hAnsi="Arial" w:cs="Arial"/>
                <w:sz w:val="24"/>
                <w:szCs w:val="24"/>
              </w:rPr>
            </w:pPr>
            <w:r w:rsidRPr="00E273FC">
              <w:rPr>
                <w:rFonts w:ascii="Arial" w:hAnsi="Arial" w:cs="Arial"/>
                <w:sz w:val="24"/>
                <w:szCs w:val="24"/>
              </w:rPr>
              <w:t>Standing Directions and Financial Reporting Directions</w:t>
            </w:r>
          </w:p>
        </w:tc>
        <w:tc>
          <w:tcPr>
            <w:tcW w:w="3024" w:type="dxa"/>
            <w:shd w:val="clear" w:color="auto" w:fill="auto"/>
            <w:vAlign w:val="center"/>
          </w:tcPr>
          <w:p w14:paraId="32098AA5" w14:textId="77777777" w:rsidR="00631749" w:rsidRPr="00E273FC" w:rsidRDefault="00631749" w:rsidP="00DE1921">
            <w:pPr>
              <w:pStyle w:val="TableTextLeftBold"/>
              <w:rPr>
                <w:rFonts w:ascii="Arial" w:hAnsi="Arial" w:cs="Arial"/>
                <w:sz w:val="24"/>
                <w:szCs w:val="24"/>
              </w:rPr>
            </w:pPr>
          </w:p>
        </w:tc>
        <w:tc>
          <w:tcPr>
            <w:tcW w:w="3024" w:type="dxa"/>
            <w:shd w:val="clear" w:color="auto" w:fill="auto"/>
            <w:vAlign w:val="center"/>
          </w:tcPr>
          <w:p w14:paraId="52A08B05" w14:textId="0FFF20A0" w:rsidR="00631749" w:rsidRPr="00E273FC" w:rsidRDefault="00631749" w:rsidP="00DE1921">
            <w:pPr>
              <w:pStyle w:val="TableTextLeftBold"/>
              <w:rPr>
                <w:rFonts w:ascii="Arial" w:hAnsi="Arial" w:cs="Arial"/>
                <w:sz w:val="24"/>
                <w:szCs w:val="24"/>
              </w:rPr>
            </w:pPr>
          </w:p>
        </w:tc>
      </w:tr>
      <w:tr w:rsidR="000F24FA" w:rsidRPr="00E273FC" w14:paraId="5F9B0677" w14:textId="77777777" w:rsidTr="009411B3">
        <w:trPr>
          <w:trHeight w:hRule="exact" w:val="624"/>
        </w:trPr>
        <w:tc>
          <w:tcPr>
            <w:tcW w:w="3024" w:type="dxa"/>
            <w:tcMar>
              <w:left w:w="57" w:type="dxa"/>
              <w:right w:w="57" w:type="dxa"/>
            </w:tcMar>
          </w:tcPr>
          <w:p w14:paraId="6187BC3A" w14:textId="77777777" w:rsidR="000F24FA" w:rsidRPr="00E273FC" w:rsidRDefault="000F24FA" w:rsidP="00604703">
            <w:pPr>
              <w:pStyle w:val="TableTextGreen"/>
            </w:pPr>
            <w:r w:rsidRPr="00E273FC">
              <w:t>Report of Operations – FRD Guidance</w:t>
            </w:r>
          </w:p>
        </w:tc>
        <w:tc>
          <w:tcPr>
            <w:tcW w:w="3024" w:type="dxa"/>
            <w:vAlign w:val="center"/>
          </w:tcPr>
          <w:p w14:paraId="2F4CE67F" w14:textId="77777777" w:rsidR="000F24FA" w:rsidRPr="00E273FC" w:rsidRDefault="000F24FA" w:rsidP="00604703">
            <w:pPr>
              <w:pStyle w:val="TableTextGreen"/>
            </w:pPr>
          </w:p>
        </w:tc>
        <w:tc>
          <w:tcPr>
            <w:tcW w:w="3024" w:type="dxa"/>
            <w:vAlign w:val="center"/>
          </w:tcPr>
          <w:p w14:paraId="1279A426" w14:textId="25FC77AC" w:rsidR="000F24FA" w:rsidRPr="00E273FC" w:rsidRDefault="000F24FA" w:rsidP="00604703">
            <w:pPr>
              <w:pStyle w:val="TableTextGreen"/>
            </w:pPr>
          </w:p>
        </w:tc>
      </w:tr>
      <w:tr w:rsidR="00B61D0A" w:rsidRPr="00E273FC" w14:paraId="05AD3B2A" w14:textId="77777777" w:rsidTr="009411B3">
        <w:trPr>
          <w:trHeight w:hRule="exact" w:val="340"/>
        </w:trPr>
        <w:tc>
          <w:tcPr>
            <w:tcW w:w="3024" w:type="dxa"/>
            <w:tcMar>
              <w:left w:w="57" w:type="dxa"/>
              <w:right w:w="57" w:type="dxa"/>
            </w:tcMar>
          </w:tcPr>
          <w:p w14:paraId="42839CC1" w14:textId="77777777" w:rsidR="00B61D0A" w:rsidRPr="00E273FC" w:rsidRDefault="00B61D0A" w:rsidP="00DE1921">
            <w:pPr>
              <w:pStyle w:val="TableTextLeftBold"/>
              <w:rPr>
                <w:rFonts w:ascii="Arial" w:hAnsi="Arial" w:cs="Arial"/>
                <w:sz w:val="24"/>
                <w:szCs w:val="24"/>
              </w:rPr>
            </w:pPr>
            <w:r w:rsidRPr="00E273FC">
              <w:rPr>
                <w:rFonts w:ascii="Arial" w:hAnsi="Arial" w:cs="Arial"/>
                <w:sz w:val="24"/>
                <w:szCs w:val="24"/>
              </w:rPr>
              <w:t>Charter and Purpose</w:t>
            </w:r>
          </w:p>
        </w:tc>
        <w:tc>
          <w:tcPr>
            <w:tcW w:w="3024" w:type="dxa"/>
            <w:vAlign w:val="center"/>
          </w:tcPr>
          <w:p w14:paraId="4E216BBC" w14:textId="77777777" w:rsidR="00B61D0A" w:rsidRPr="00E273FC" w:rsidRDefault="00B61D0A" w:rsidP="00DE1921">
            <w:pPr>
              <w:pStyle w:val="TableTextLeftBold"/>
              <w:rPr>
                <w:rFonts w:ascii="Arial" w:hAnsi="Arial" w:cs="Arial"/>
                <w:sz w:val="24"/>
                <w:szCs w:val="24"/>
              </w:rPr>
            </w:pPr>
          </w:p>
        </w:tc>
        <w:tc>
          <w:tcPr>
            <w:tcW w:w="3024" w:type="dxa"/>
            <w:vAlign w:val="center"/>
          </w:tcPr>
          <w:p w14:paraId="5953FA11" w14:textId="0AD90438" w:rsidR="00B61D0A" w:rsidRPr="00E273FC" w:rsidRDefault="00B61D0A" w:rsidP="00DE1921">
            <w:pPr>
              <w:pStyle w:val="TableTextLeftBold"/>
              <w:rPr>
                <w:rFonts w:ascii="Arial" w:hAnsi="Arial" w:cs="Arial"/>
                <w:sz w:val="24"/>
                <w:szCs w:val="24"/>
              </w:rPr>
            </w:pPr>
          </w:p>
        </w:tc>
      </w:tr>
      <w:tr w:rsidR="00D83E00" w:rsidRPr="00E273FC" w14:paraId="6D2BFB75" w14:textId="77777777" w:rsidTr="000A2544">
        <w:trPr>
          <w:trHeight w:hRule="exact" w:val="705"/>
        </w:trPr>
        <w:tc>
          <w:tcPr>
            <w:tcW w:w="3024" w:type="dxa"/>
            <w:tcMar>
              <w:left w:w="57" w:type="dxa"/>
              <w:right w:w="57" w:type="dxa"/>
            </w:tcMar>
            <w:vAlign w:val="center"/>
          </w:tcPr>
          <w:p w14:paraId="61C37DB1"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23B9DB6D"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Manner of establishment and the relevant Ministers</w:t>
            </w:r>
          </w:p>
        </w:tc>
        <w:tc>
          <w:tcPr>
            <w:tcW w:w="3024" w:type="dxa"/>
            <w:tcMar>
              <w:left w:w="57" w:type="dxa"/>
              <w:right w:w="57" w:type="dxa"/>
            </w:tcMar>
            <w:vAlign w:val="center"/>
          </w:tcPr>
          <w:p w14:paraId="2C239C32" w14:textId="2F945629" w:rsidR="00D83E00" w:rsidRPr="00E273FC" w:rsidRDefault="009B2DDD" w:rsidP="00DE1921">
            <w:pPr>
              <w:pStyle w:val="TableTextRight"/>
              <w:rPr>
                <w:rFonts w:ascii="Arial" w:hAnsi="Arial" w:cs="Arial"/>
                <w:sz w:val="24"/>
                <w:szCs w:val="24"/>
              </w:rPr>
            </w:pPr>
            <w:hyperlink w:anchor="P17" w:history="1">
              <w:r w:rsidR="00A65BDA" w:rsidRPr="00307819">
                <w:rPr>
                  <w:rStyle w:val="Hyperlink"/>
                  <w:rFonts w:ascii="Arial" w:hAnsi="Arial" w:cs="Arial"/>
                  <w:sz w:val="24"/>
                  <w:szCs w:val="24"/>
                </w:rPr>
                <w:t>1</w:t>
              </w:r>
              <w:r w:rsidR="003217DD" w:rsidRPr="00307819">
                <w:rPr>
                  <w:rStyle w:val="Hyperlink"/>
                  <w:rFonts w:ascii="Arial" w:hAnsi="Arial" w:cs="Arial"/>
                  <w:sz w:val="24"/>
                  <w:szCs w:val="24"/>
                </w:rPr>
                <w:t>7</w:t>
              </w:r>
            </w:hyperlink>
          </w:p>
        </w:tc>
      </w:tr>
      <w:tr w:rsidR="00D83E00" w:rsidRPr="00E273FC" w14:paraId="1BE0129A" w14:textId="77777777" w:rsidTr="000A2544">
        <w:trPr>
          <w:trHeight w:hRule="exact" w:val="715"/>
        </w:trPr>
        <w:tc>
          <w:tcPr>
            <w:tcW w:w="3024" w:type="dxa"/>
            <w:tcMar>
              <w:left w:w="57" w:type="dxa"/>
              <w:right w:w="57" w:type="dxa"/>
            </w:tcMar>
            <w:vAlign w:val="center"/>
          </w:tcPr>
          <w:p w14:paraId="4B5ABAC7"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72BC471F"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Purpose, functions, powers and duties</w:t>
            </w:r>
          </w:p>
        </w:tc>
        <w:tc>
          <w:tcPr>
            <w:tcW w:w="3024" w:type="dxa"/>
            <w:tcMar>
              <w:left w:w="57" w:type="dxa"/>
              <w:right w:w="57" w:type="dxa"/>
            </w:tcMar>
            <w:vAlign w:val="center"/>
          </w:tcPr>
          <w:p w14:paraId="3C016081" w14:textId="11C4C305" w:rsidR="00D83E00" w:rsidRPr="00E273FC" w:rsidRDefault="009B2DDD" w:rsidP="00DE1921">
            <w:pPr>
              <w:pStyle w:val="TableTextRight"/>
              <w:rPr>
                <w:rFonts w:ascii="Arial" w:hAnsi="Arial" w:cs="Arial"/>
                <w:sz w:val="24"/>
                <w:szCs w:val="24"/>
              </w:rPr>
            </w:pPr>
            <w:hyperlink w:anchor="P11" w:history="1">
              <w:r w:rsidR="003217DD" w:rsidRPr="00307819">
                <w:rPr>
                  <w:rStyle w:val="Hyperlink"/>
                  <w:rFonts w:ascii="Arial" w:hAnsi="Arial" w:cs="Arial"/>
                  <w:sz w:val="24"/>
                  <w:szCs w:val="24"/>
                </w:rPr>
                <w:t>11</w:t>
              </w:r>
            </w:hyperlink>
          </w:p>
        </w:tc>
      </w:tr>
      <w:tr w:rsidR="00D83E00" w:rsidRPr="00E273FC" w14:paraId="71595AB5" w14:textId="77777777" w:rsidTr="000A2544">
        <w:trPr>
          <w:trHeight w:hRule="exact" w:val="710"/>
        </w:trPr>
        <w:tc>
          <w:tcPr>
            <w:tcW w:w="3024" w:type="dxa"/>
            <w:tcMar>
              <w:left w:w="57" w:type="dxa"/>
              <w:right w:w="57" w:type="dxa"/>
            </w:tcMar>
            <w:vAlign w:val="center"/>
          </w:tcPr>
          <w:p w14:paraId="7E365A56"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8D</w:t>
            </w:r>
          </w:p>
        </w:tc>
        <w:tc>
          <w:tcPr>
            <w:tcW w:w="3024" w:type="dxa"/>
            <w:tcMar>
              <w:left w:w="57" w:type="dxa"/>
              <w:right w:w="57" w:type="dxa"/>
            </w:tcMar>
            <w:vAlign w:val="center"/>
          </w:tcPr>
          <w:p w14:paraId="06347E85"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Departmental objectives, indicators and outputs</w:t>
            </w:r>
          </w:p>
        </w:tc>
        <w:tc>
          <w:tcPr>
            <w:tcW w:w="3024" w:type="dxa"/>
            <w:tcMar>
              <w:left w:w="57" w:type="dxa"/>
              <w:right w:w="57" w:type="dxa"/>
            </w:tcMar>
            <w:vAlign w:val="center"/>
          </w:tcPr>
          <w:p w14:paraId="26E66FBD" w14:textId="46CE184C" w:rsidR="00D83E00" w:rsidRPr="00E273FC" w:rsidRDefault="009B2DDD" w:rsidP="00DE1921">
            <w:pPr>
              <w:pStyle w:val="TableTextRight"/>
              <w:rPr>
                <w:rFonts w:ascii="Arial" w:hAnsi="Arial" w:cs="Arial"/>
                <w:sz w:val="24"/>
                <w:szCs w:val="24"/>
              </w:rPr>
            </w:pPr>
            <w:hyperlink w:anchor="P336" w:history="1">
              <w:r w:rsidR="003217DD" w:rsidRPr="00307819">
                <w:rPr>
                  <w:rStyle w:val="Hyperlink"/>
                  <w:rFonts w:ascii="Arial" w:hAnsi="Arial" w:cs="Arial"/>
                  <w:sz w:val="24"/>
                  <w:szCs w:val="24"/>
                </w:rPr>
                <w:t>33</w:t>
              </w:r>
              <w:r w:rsidR="006C1500">
                <w:rPr>
                  <w:rStyle w:val="Hyperlink"/>
                  <w:rFonts w:ascii="Arial" w:hAnsi="Arial" w:cs="Arial"/>
                  <w:sz w:val="24"/>
                  <w:szCs w:val="24"/>
                </w:rPr>
                <w:t>5</w:t>
              </w:r>
            </w:hyperlink>
          </w:p>
        </w:tc>
      </w:tr>
      <w:tr w:rsidR="00D83E00" w:rsidRPr="00E273FC" w14:paraId="147B3DEA" w14:textId="77777777" w:rsidTr="00732609">
        <w:trPr>
          <w:trHeight w:hRule="exact" w:val="340"/>
        </w:trPr>
        <w:tc>
          <w:tcPr>
            <w:tcW w:w="3024" w:type="dxa"/>
            <w:tcMar>
              <w:left w:w="57" w:type="dxa"/>
              <w:right w:w="57" w:type="dxa"/>
            </w:tcMar>
            <w:vAlign w:val="center"/>
          </w:tcPr>
          <w:p w14:paraId="0BF9C2AD"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07AE1023"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Key initiatives and projects</w:t>
            </w:r>
          </w:p>
        </w:tc>
        <w:tc>
          <w:tcPr>
            <w:tcW w:w="3024" w:type="dxa"/>
            <w:tcMar>
              <w:left w:w="57" w:type="dxa"/>
              <w:right w:w="57" w:type="dxa"/>
            </w:tcMar>
            <w:vAlign w:val="center"/>
          </w:tcPr>
          <w:p w14:paraId="3BADC56A" w14:textId="1DFBA0E9" w:rsidR="00D83E00" w:rsidRPr="00E273FC" w:rsidRDefault="009B2DDD" w:rsidP="00DE1921">
            <w:pPr>
              <w:pStyle w:val="TableTextRight"/>
              <w:rPr>
                <w:rFonts w:ascii="Arial" w:hAnsi="Arial" w:cs="Arial"/>
                <w:sz w:val="24"/>
                <w:szCs w:val="24"/>
              </w:rPr>
            </w:pPr>
            <w:hyperlink w:anchor="P11" w:history="1">
              <w:r w:rsidR="003217DD" w:rsidRPr="00307819">
                <w:rPr>
                  <w:rStyle w:val="Hyperlink"/>
                  <w:rFonts w:ascii="Arial" w:hAnsi="Arial" w:cs="Arial"/>
                  <w:sz w:val="24"/>
                  <w:szCs w:val="24"/>
                </w:rPr>
                <w:t>11</w:t>
              </w:r>
            </w:hyperlink>
            <w:r w:rsidR="003217DD">
              <w:rPr>
                <w:rFonts w:ascii="Arial" w:hAnsi="Arial" w:cs="Arial"/>
                <w:sz w:val="24"/>
                <w:szCs w:val="24"/>
              </w:rPr>
              <w:t xml:space="preserve">, </w:t>
            </w:r>
            <w:hyperlink w:anchor="P29" w:history="1">
              <w:r w:rsidR="003217DD" w:rsidRPr="00307819">
                <w:rPr>
                  <w:rStyle w:val="Hyperlink"/>
                  <w:rFonts w:ascii="Arial" w:hAnsi="Arial" w:cs="Arial"/>
                  <w:sz w:val="24"/>
                  <w:szCs w:val="24"/>
                </w:rPr>
                <w:t>29</w:t>
              </w:r>
            </w:hyperlink>
          </w:p>
        </w:tc>
      </w:tr>
      <w:tr w:rsidR="00D83E00" w:rsidRPr="00E273FC" w14:paraId="4F4FF558" w14:textId="77777777" w:rsidTr="000A2544">
        <w:trPr>
          <w:trHeight w:hRule="exact" w:val="797"/>
        </w:trPr>
        <w:tc>
          <w:tcPr>
            <w:tcW w:w="3024" w:type="dxa"/>
            <w:tcMar>
              <w:left w:w="57" w:type="dxa"/>
              <w:right w:w="57" w:type="dxa"/>
            </w:tcMar>
            <w:vAlign w:val="center"/>
          </w:tcPr>
          <w:p w14:paraId="5702FBA5"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287CC747"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Nature and range of services provided</w:t>
            </w:r>
          </w:p>
        </w:tc>
        <w:tc>
          <w:tcPr>
            <w:tcW w:w="3024" w:type="dxa"/>
            <w:tcMar>
              <w:left w:w="57" w:type="dxa"/>
              <w:right w:w="57" w:type="dxa"/>
            </w:tcMar>
            <w:vAlign w:val="center"/>
          </w:tcPr>
          <w:p w14:paraId="55F5BC91" w14:textId="2857765D" w:rsidR="00D83E00" w:rsidRPr="00E273FC" w:rsidRDefault="009B2DDD" w:rsidP="00DE1921">
            <w:pPr>
              <w:pStyle w:val="TableTextRight"/>
              <w:rPr>
                <w:rFonts w:ascii="Arial" w:hAnsi="Arial" w:cs="Arial"/>
                <w:sz w:val="24"/>
                <w:szCs w:val="24"/>
              </w:rPr>
            </w:pPr>
            <w:hyperlink w:anchor="P11_14" w:history="1">
              <w:r w:rsidR="003217DD" w:rsidRPr="00307819">
                <w:rPr>
                  <w:rStyle w:val="Hyperlink"/>
                  <w:rFonts w:ascii="Arial" w:hAnsi="Arial" w:cs="Arial"/>
                  <w:sz w:val="24"/>
                  <w:szCs w:val="24"/>
                </w:rPr>
                <w:t>11-14</w:t>
              </w:r>
            </w:hyperlink>
          </w:p>
        </w:tc>
      </w:tr>
      <w:tr w:rsidR="00D83E00" w:rsidRPr="00E273FC" w14:paraId="69099731" w14:textId="77777777" w:rsidTr="00732609">
        <w:trPr>
          <w:trHeight w:hRule="exact" w:val="340"/>
        </w:trPr>
        <w:tc>
          <w:tcPr>
            <w:tcW w:w="3024" w:type="dxa"/>
            <w:tcMar>
              <w:left w:w="57" w:type="dxa"/>
              <w:right w:w="57" w:type="dxa"/>
            </w:tcMar>
            <w:vAlign w:val="center"/>
          </w:tcPr>
          <w:p w14:paraId="498415AC" w14:textId="77777777" w:rsidR="00D83E00" w:rsidRPr="00E273FC" w:rsidRDefault="00D83E00" w:rsidP="00DE1921">
            <w:pPr>
              <w:pStyle w:val="TableTextLeft"/>
              <w:rPr>
                <w:rFonts w:ascii="Arial" w:hAnsi="Arial" w:cs="Arial"/>
                <w:sz w:val="24"/>
                <w:szCs w:val="24"/>
              </w:rPr>
            </w:pPr>
          </w:p>
        </w:tc>
        <w:tc>
          <w:tcPr>
            <w:tcW w:w="3024" w:type="dxa"/>
            <w:tcMar>
              <w:left w:w="57" w:type="dxa"/>
              <w:right w:w="57" w:type="dxa"/>
            </w:tcMar>
            <w:vAlign w:val="center"/>
          </w:tcPr>
          <w:p w14:paraId="6B40461E" w14:textId="77777777" w:rsidR="00D83E00" w:rsidRPr="00E273FC" w:rsidRDefault="00D83E00" w:rsidP="00DE1921">
            <w:pPr>
              <w:pStyle w:val="TableTextLeft"/>
              <w:rPr>
                <w:rFonts w:ascii="Arial" w:hAnsi="Arial" w:cs="Arial"/>
                <w:sz w:val="24"/>
                <w:szCs w:val="24"/>
              </w:rPr>
            </w:pPr>
          </w:p>
        </w:tc>
        <w:tc>
          <w:tcPr>
            <w:tcW w:w="3024" w:type="dxa"/>
            <w:tcMar>
              <w:left w:w="57" w:type="dxa"/>
              <w:right w:w="57" w:type="dxa"/>
            </w:tcMar>
            <w:vAlign w:val="center"/>
          </w:tcPr>
          <w:p w14:paraId="1BCED68D" w14:textId="77777777" w:rsidR="00D83E00" w:rsidRPr="00E273FC" w:rsidRDefault="00D83E00" w:rsidP="00DE1921">
            <w:pPr>
              <w:pStyle w:val="TableTextRight"/>
              <w:rPr>
                <w:rFonts w:ascii="Arial" w:hAnsi="Arial" w:cs="Arial"/>
                <w:sz w:val="24"/>
                <w:szCs w:val="24"/>
              </w:rPr>
            </w:pPr>
          </w:p>
        </w:tc>
      </w:tr>
      <w:tr w:rsidR="0017059F" w:rsidRPr="00E273FC" w14:paraId="7164BD42" w14:textId="77777777" w:rsidTr="00F653BC">
        <w:trPr>
          <w:trHeight w:hRule="exact" w:val="567"/>
        </w:trPr>
        <w:tc>
          <w:tcPr>
            <w:tcW w:w="3024" w:type="dxa"/>
            <w:tcMar>
              <w:left w:w="57" w:type="dxa"/>
              <w:right w:w="57" w:type="dxa"/>
            </w:tcMar>
            <w:vAlign w:val="center"/>
          </w:tcPr>
          <w:p w14:paraId="69D4155B" w14:textId="77777777" w:rsidR="0017059F" w:rsidRPr="00E273FC" w:rsidRDefault="0017059F" w:rsidP="00DE1921">
            <w:pPr>
              <w:pStyle w:val="TableTextRight"/>
              <w:rPr>
                <w:rFonts w:ascii="Arial" w:hAnsi="Arial" w:cs="Arial"/>
                <w:sz w:val="24"/>
                <w:szCs w:val="24"/>
              </w:rPr>
            </w:pPr>
            <w:r w:rsidRPr="00E273FC">
              <w:rPr>
                <w:rFonts w:ascii="Arial" w:hAnsi="Arial" w:cs="Arial"/>
                <w:sz w:val="24"/>
                <w:szCs w:val="24"/>
              </w:rPr>
              <w:t>Management and structure</w:t>
            </w:r>
          </w:p>
        </w:tc>
        <w:tc>
          <w:tcPr>
            <w:tcW w:w="3024" w:type="dxa"/>
            <w:vAlign w:val="center"/>
          </w:tcPr>
          <w:p w14:paraId="084441F1" w14:textId="77777777" w:rsidR="0017059F" w:rsidRPr="00E273FC" w:rsidRDefault="0017059F" w:rsidP="00DE1921">
            <w:pPr>
              <w:pStyle w:val="TableTextRight"/>
              <w:rPr>
                <w:rFonts w:ascii="Arial" w:hAnsi="Arial" w:cs="Arial"/>
                <w:sz w:val="24"/>
                <w:szCs w:val="24"/>
              </w:rPr>
            </w:pPr>
          </w:p>
        </w:tc>
        <w:tc>
          <w:tcPr>
            <w:tcW w:w="3024" w:type="dxa"/>
            <w:vAlign w:val="center"/>
          </w:tcPr>
          <w:p w14:paraId="2AB4B3DC" w14:textId="08BA301A" w:rsidR="0017059F" w:rsidRPr="00E273FC" w:rsidRDefault="0017059F" w:rsidP="00DE1921">
            <w:pPr>
              <w:pStyle w:val="TableTextRight"/>
              <w:rPr>
                <w:rFonts w:ascii="Arial" w:hAnsi="Arial" w:cs="Arial"/>
                <w:sz w:val="24"/>
                <w:szCs w:val="24"/>
              </w:rPr>
            </w:pPr>
          </w:p>
        </w:tc>
      </w:tr>
      <w:tr w:rsidR="00D83E00" w:rsidRPr="00E273FC" w14:paraId="7671645D" w14:textId="77777777" w:rsidTr="00732609">
        <w:trPr>
          <w:trHeight w:hRule="exact" w:val="340"/>
        </w:trPr>
        <w:tc>
          <w:tcPr>
            <w:tcW w:w="3024" w:type="dxa"/>
            <w:tcMar>
              <w:left w:w="57" w:type="dxa"/>
              <w:right w:w="57" w:type="dxa"/>
            </w:tcMar>
            <w:vAlign w:val="center"/>
          </w:tcPr>
          <w:p w14:paraId="40BD91F9"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4395E72E"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Organisational structure</w:t>
            </w:r>
          </w:p>
        </w:tc>
        <w:tc>
          <w:tcPr>
            <w:tcW w:w="3024" w:type="dxa"/>
            <w:tcMar>
              <w:left w:w="57" w:type="dxa"/>
              <w:right w:w="57" w:type="dxa"/>
            </w:tcMar>
            <w:vAlign w:val="center"/>
          </w:tcPr>
          <w:p w14:paraId="68D2B4DD" w14:textId="6CE4C669" w:rsidR="00D83E00" w:rsidRPr="00E273FC" w:rsidRDefault="009B2DDD" w:rsidP="00DE1921">
            <w:pPr>
              <w:pStyle w:val="TableTextRight"/>
              <w:rPr>
                <w:rFonts w:ascii="Arial" w:hAnsi="Arial" w:cs="Arial"/>
                <w:sz w:val="24"/>
                <w:szCs w:val="24"/>
              </w:rPr>
            </w:pPr>
            <w:hyperlink w:anchor="P14org" w:history="1">
              <w:r w:rsidR="00DB3DEE" w:rsidRPr="002B521C">
                <w:rPr>
                  <w:rStyle w:val="Hyperlink"/>
                  <w:rFonts w:ascii="Arial" w:hAnsi="Arial" w:cs="Arial"/>
                  <w:sz w:val="24"/>
                  <w:szCs w:val="24"/>
                </w:rPr>
                <w:t>14-15</w:t>
              </w:r>
            </w:hyperlink>
          </w:p>
        </w:tc>
      </w:tr>
      <w:tr w:rsidR="00D83E00" w:rsidRPr="00E273FC" w14:paraId="5C10CF48" w14:textId="77777777" w:rsidTr="00732609">
        <w:trPr>
          <w:trHeight w:hRule="exact" w:val="340"/>
        </w:trPr>
        <w:tc>
          <w:tcPr>
            <w:tcW w:w="3024" w:type="dxa"/>
            <w:tcMar>
              <w:left w:w="57" w:type="dxa"/>
              <w:right w:w="57" w:type="dxa"/>
            </w:tcMar>
            <w:vAlign w:val="center"/>
          </w:tcPr>
          <w:p w14:paraId="77243B11" w14:textId="77777777" w:rsidR="00D83E00" w:rsidRPr="00E273FC" w:rsidRDefault="00D83E00" w:rsidP="00DE1921">
            <w:pPr>
              <w:pStyle w:val="TableTextLeft"/>
              <w:rPr>
                <w:rFonts w:ascii="Arial" w:hAnsi="Arial" w:cs="Arial"/>
                <w:sz w:val="24"/>
                <w:szCs w:val="24"/>
              </w:rPr>
            </w:pPr>
          </w:p>
        </w:tc>
        <w:tc>
          <w:tcPr>
            <w:tcW w:w="3024" w:type="dxa"/>
            <w:tcMar>
              <w:left w:w="57" w:type="dxa"/>
              <w:right w:w="57" w:type="dxa"/>
            </w:tcMar>
            <w:vAlign w:val="center"/>
          </w:tcPr>
          <w:p w14:paraId="43FB01F9" w14:textId="77777777" w:rsidR="00D83E00" w:rsidRPr="00E273FC" w:rsidRDefault="00D83E00" w:rsidP="00DE1921">
            <w:pPr>
              <w:pStyle w:val="TableTextLeft"/>
              <w:rPr>
                <w:rFonts w:ascii="Arial" w:hAnsi="Arial" w:cs="Arial"/>
                <w:sz w:val="24"/>
                <w:szCs w:val="24"/>
              </w:rPr>
            </w:pPr>
          </w:p>
        </w:tc>
        <w:tc>
          <w:tcPr>
            <w:tcW w:w="3024" w:type="dxa"/>
            <w:tcMar>
              <w:left w:w="57" w:type="dxa"/>
              <w:right w:w="57" w:type="dxa"/>
            </w:tcMar>
            <w:vAlign w:val="center"/>
          </w:tcPr>
          <w:p w14:paraId="0F877E9C" w14:textId="77777777" w:rsidR="00D83E00" w:rsidRPr="00E273FC" w:rsidRDefault="00D83E00" w:rsidP="00DE1921">
            <w:pPr>
              <w:pStyle w:val="TableTextRight"/>
              <w:rPr>
                <w:rFonts w:ascii="Arial" w:hAnsi="Arial" w:cs="Arial"/>
                <w:sz w:val="24"/>
                <w:szCs w:val="24"/>
              </w:rPr>
            </w:pPr>
          </w:p>
        </w:tc>
      </w:tr>
      <w:tr w:rsidR="002F423A" w:rsidRPr="00E273FC" w14:paraId="1A95E891" w14:textId="77777777" w:rsidTr="002F423A">
        <w:trPr>
          <w:trHeight w:hRule="exact" w:val="680"/>
        </w:trPr>
        <w:tc>
          <w:tcPr>
            <w:tcW w:w="3024" w:type="dxa"/>
            <w:tcMar>
              <w:left w:w="57" w:type="dxa"/>
              <w:right w:w="57" w:type="dxa"/>
            </w:tcMar>
            <w:vAlign w:val="center"/>
          </w:tcPr>
          <w:p w14:paraId="6AA89C24" w14:textId="77777777" w:rsidR="002F423A" w:rsidRPr="00E273FC" w:rsidRDefault="002F423A" w:rsidP="00DE1921">
            <w:pPr>
              <w:pStyle w:val="TableTextLeftBold"/>
              <w:rPr>
                <w:rFonts w:ascii="Arial" w:hAnsi="Arial" w:cs="Arial"/>
                <w:sz w:val="24"/>
                <w:szCs w:val="24"/>
              </w:rPr>
            </w:pPr>
            <w:r w:rsidRPr="00E273FC">
              <w:rPr>
                <w:rFonts w:ascii="Arial" w:hAnsi="Arial" w:cs="Arial"/>
                <w:sz w:val="24"/>
                <w:szCs w:val="24"/>
              </w:rPr>
              <w:t>Financial and other information</w:t>
            </w:r>
          </w:p>
        </w:tc>
        <w:tc>
          <w:tcPr>
            <w:tcW w:w="3024" w:type="dxa"/>
            <w:vAlign w:val="center"/>
          </w:tcPr>
          <w:p w14:paraId="617B0CC8" w14:textId="77777777" w:rsidR="002F423A" w:rsidRPr="00E273FC" w:rsidRDefault="002F423A" w:rsidP="00DE1921">
            <w:pPr>
              <w:pStyle w:val="TableTextLeftBold"/>
              <w:rPr>
                <w:rFonts w:ascii="Arial" w:hAnsi="Arial" w:cs="Arial"/>
                <w:sz w:val="24"/>
                <w:szCs w:val="24"/>
              </w:rPr>
            </w:pPr>
          </w:p>
        </w:tc>
        <w:tc>
          <w:tcPr>
            <w:tcW w:w="3024" w:type="dxa"/>
            <w:vAlign w:val="center"/>
          </w:tcPr>
          <w:p w14:paraId="0BECE83B" w14:textId="72636863" w:rsidR="002F423A" w:rsidRPr="00E273FC" w:rsidRDefault="002F423A" w:rsidP="00DE1921">
            <w:pPr>
              <w:pStyle w:val="TableTextLeftBold"/>
              <w:rPr>
                <w:rFonts w:ascii="Arial" w:hAnsi="Arial" w:cs="Arial"/>
                <w:sz w:val="24"/>
                <w:szCs w:val="24"/>
              </w:rPr>
            </w:pPr>
          </w:p>
        </w:tc>
      </w:tr>
      <w:tr w:rsidR="00D83E00" w:rsidRPr="00E273FC" w14:paraId="41B45F8F" w14:textId="77777777" w:rsidTr="000A2544">
        <w:trPr>
          <w:trHeight w:hRule="exact" w:val="983"/>
        </w:trPr>
        <w:tc>
          <w:tcPr>
            <w:tcW w:w="3024" w:type="dxa"/>
            <w:tcMar>
              <w:left w:w="57" w:type="dxa"/>
              <w:right w:w="57" w:type="dxa"/>
            </w:tcMar>
            <w:vAlign w:val="center"/>
          </w:tcPr>
          <w:p w14:paraId="0407C0F2"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8D</w:t>
            </w:r>
          </w:p>
        </w:tc>
        <w:tc>
          <w:tcPr>
            <w:tcW w:w="3024" w:type="dxa"/>
            <w:tcMar>
              <w:left w:w="57" w:type="dxa"/>
              <w:right w:w="57" w:type="dxa"/>
            </w:tcMar>
            <w:vAlign w:val="center"/>
          </w:tcPr>
          <w:p w14:paraId="3881B538"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Performance against output performance measures</w:t>
            </w:r>
          </w:p>
        </w:tc>
        <w:tc>
          <w:tcPr>
            <w:tcW w:w="3024" w:type="dxa"/>
            <w:tcMar>
              <w:left w:w="57" w:type="dxa"/>
              <w:right w:w="57" w:type="dxa"/>
            </w:tcMar>
            <w:vAlign w:val="center"/>
          </w:tcPr>
          <w:p w14:paraId="6311ECC0" w14:textId="36316A64" w:rsidR="00D83E00" w:rsidRPr="00E273FC" w:rsidRDefault="009B2DDD" w:rsidP="00DE1921">
            <w:pPr>
              <w:pStyle w:val="TableTextRight"/>
              <w:rPr>
                <w:rFonts w:ascii="Arial" w:hAnsi="Arial" w:cs="Arial"/>
                <w:sz w:val="24"/>
                <w:szCs w:val="24"/>
              </w:rPr>
            </w:pPr>
            <w:hyperlink w:anchor="p359" w:history="1">
              <w:r w:rsidR="00DB3DEE" w:rsidRPr="00A62E8E">
                <w:rPr>
                  <w:rStyle w:val="Hyperlink"/>
                  <w:rFonts w:ascii="Arial" w:hAnsi="Arial" w:cs="Arial"/>
                  <w:sz w:val="24"/>
                  <w:szCs w:val="24"/>
                </w:rPr>
                <w:t>3</w:t>
              </w:r>
              <w:r w:rsidR="00256D0A">
                <w:rPr>
                  <w:rStyle w:val="Hyperlink"/>
                  <w:rFonts w:ascii="Arial" w:hAnsi="Arial" w:cs="Arial"/>
                  <w:sz w:val="24"/>
                  <w:szCs w:val="24"/>
                </w:rPr>
                <w:t>58</w:t>
              </w:r>
            </w:hyperlink>
          </w:p>
        </w:tc>
      </w:tr>
      <w:tr w:rsidR="00D83E00" w:rsidRPr="00E273FC" w14:paraId="1B196C89" w14:textId="77777777" w:rsidTr="000A2544">
        <w:trPr>
          <w:trHeight w:hRule="exact" w:val="585"/>
        </w:trPr>
        <w:tc>
          <w:tcPr>
            <w:tcW w:w="3024" w:type="dxa"/>
            <w:tcMar>
              <w:left w:w="57" w:type="dxa"/>
              <w:right w:w="57" w:type="dxa"/>
            </w:tcMar>
            <w:vAlign w:val="center"/>
          </w:tcPr>
          <w:p w14:paraId="3FC2DAAC"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8D</w:t>
            </w:r>
          </w:p>
        </w:tc>
        <w:tc>
          <w:tcPr>
            <w:tcW w:w="3024" w:type="dxa"/>
            <w:tcMar>
              <w:left w:w="57" w:type="dxa"/>
              <w:right w:w="57" w:type="dxa"/>
            </w:tcMar>
            <w:vAlign w:val="center"/>
          </w:tcPr>
          <w:p w14:paraId="314BDDA4"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Budget portfolio outcomes</w:t>
            </w:r>
          </w:p>
        </w:tc>
        <w:tc>
          <w:tcPr>
            <w:tcW w:w="3024" w:type="dxa"/>
            <w:tcMar>
              <w:left w:w="57" w:type="dxa"/>
              <w:right w:w="57" w:type="dxa"/>
            </w:tcMar>
            <w:vAlign w:val="center"/>
          </w:tcPr>
          <w:p w14:paraId="4682984C" w14:textId="7C287C21" w:rsidR="00D83E00" w:rsidRPr="00E273FC" w:rsidRDefault="009B2DDD" w:rsidP="00DE1921">
            <w:pPr>
              <w:pStyle w:val="TableTextRight"/>
              <w:rPr>
                <w:rFonts w:ascii="Arial" w:hAnsi="Arial" w:cs="Arial"/>
                <w:sz w:val="24"/>
                <w:szCs w:val="24"/>
              </w:rPr>
            </w:pPr>
            <w:hyperlink w:anchor="p425" w:history="1">
              <w:r w:rsidR="00DB3DEE" w:rsidRPr="00A62E8E">
                <w:rPr>
                  <w:rStyle w:val="Hyperlink"/>
                  <w:rFonts w:ascii="Arial" w:hAnsi="Arial" w:cs="Arial"/>
                  <w:sz w:val="24"/>
                  <w:szCs w:val="24"/>
                </w:rPr>
                <w:t>42</w:t>
              </w:r>
              <w:r w:rsidR="00117080">
                <w:rPr>
                  <w:rStyle w:val="Hyperlink"/>
                  <w:rFonts w:ascii="Arial" w:hAnsi="Arial" w:cs="Arial"/>
                  <w:sz w:val="24"/>
                  <w:szCs w:val="24"/>
                </w:rPr>
                <w:t>4</w:t>
              </w:r>
            </w:hyperlink>
          </w:p>
        </w:tc>
      </w:tr>
      <w:tr w:rsidR="00D83E00" w:rsidRPr="00E273FC" w14:paraId="197A59AD" w14:textId="77777777" w:rsidTr="00732609">
        <w:trPr>
          <w:trHeight w:hRule="exact" w:val="340"/>
        </w:trPr>
        <w:tc>
          <w:tcPr>
            <w:tcW w:w="3024" w:type="dxa"/>
            <w:tcMar>
              <w:left w:w="57" w:type="dxa"/>
              <w:right w:w="57" w:type="dxa"/>
            </w:tcMar>
            <w:vAlign w:val="center"/>
          </w:tcPr>
          <w:p w14:paraId="39657DD7"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10A</w:t>
            </w:r>
          </w:p>
        </w:tc>
        <w:tc>
          <w:tcPr>
            <w:tcW w:w="3024" w:type="dxa"/>
            <w:tcMar>
              <w:left w:w="57" w:type="dxa"/>
              <w:right w:w="57" w:type="dxa"/>
            </w:tcMar>
            <w:vAlign w:val="center"/>
          </w:tcPr>
          <w:p w14:paraId="0599722F"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Disclosure index</w:t>
            </w:r>
          </w:p>
        </w:tc>
        <w:tc>
          <w:tcPr>
            <w:tcW w:w="3024" w:type="dxa"/>
            <w:tcMar>
              <w:left w:w="57" w:type="dxa"/>
              <w:right w:w="57" w:type="dxa"/>
            </w:tcMar>
            <w:vAlign w:val="center"/>
          </w:tcPr>
          <w:p w14:paraId="6ABE16B7" w14:textId="249ACEF4" w:rsidR="00D83E00" w:rsidRPr="00E273FC" w:rsidRDefault="009B2DDD" w:rsidP="00DE1921">
            <w:pPr>
              <w:pStyle w:val="TableTextRight"/>
              <w:rPr>
                <w:rFonts w:ascii="Arial" w:hAnsi="Arial" w:cs="Arial"/>
                <w:sz w:val="24"/>
                <w:szCs w:val="24"/>
              </w:rPr>
            </w:pPr>
            <w:hyperlink w:anchor="p490" w:history="1">
              <w:r w:rsidR="00DB3DEE" w:rsidRPr="00A62E8E">
                <w:rPr>
                  <w:rStyle w:val="Hyperlink"/>
                  <w:rFonts w:ascii="Arial" w:hAnsi="Arial" w:cs="Arial"/>
                  <w:sz w:val="24"/>
                  <w:szCs w:val="24"/>
                </w:rPr>
                <w:t>4</w:t>
              </w:r>
              <w:r w:rsidR="00117080">
                <w:rPr>
                  <w:rStyle w:val="Hyperlink"/>
                  <w:rFonts w:ascii="Arial" w:hAnsi="Arial" w:cs="Arial"/>
                  <w:sz w:val="24"/>
                  <w:szCs w:val="24"/>
                </w:rPr>
                <w:t>89</w:t>
              </w:r>
            </w:hyperlink>
          </w:p>
        </w:tc>
      </w:tr>
      <w:tr w:rsidR="00D83E00" w:rsidRPr="00E273FC" w14:paraId="62F2D7E1" w14:textId="77777777" w:rsidTr="000A2544">
        <w:trPr>
          <w:trHeight w:hRule="exact" w:val="736"/>
        </w:trPr>
        <w:tc>
          <w:tcPr>
            <w:tcW w:w="3024" w:type="dxa"/>
            <w:tcMar>
              <w:left w:w="57" w:type="dxa"/>
              <w:right w:w="57" w:type="dxa"/>
            </w:tcMar>
            <w:vAlign w:val="center"/>
          </w:tcPr>
          <w:p w14:paraId="05CF0A9B"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12B</w:t>
            </w:r>
          </w:p>
        </w:tc>
        <w:tc>
          <w:tcPr>
            <w:tcW w:w="3024" w:type="dxa"/>
            <w:tcMar>
              <w:left w:w="57" w:type="dxa"/>
              <w:right w:w="57" w:type="dxa"/>
            </w:tcMar>
            <w:vAlign w:val="center"/>
          </w:tcPr>
          <w:p w14:paraId="72D69E18"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Disclosure of major contracts</w:t>
            </w:r>
          </w:p>
        </w:tc>
        <w:tc>
          <w:tcPr>
            <w:tcW w:w="3024" w:type="dxa"/>
            <w:tcMar>
              <w:left w:w="57" w:type="dxa"/>
              <w:right w:w="57" w:type="dxa"/>
            </w:tcMar>
            <w:vAlign w:val="center"/>
          </w:tcPr>
          <w:p w14:paraId="2E7BEAFE" w14:textId="50E40869" w:rsidR="00D83E00" w:rsidRPr="00E273FC" w:rsidRDefault="009B2DDD" w:rsidP="00DE1921">
            <w:pPr>
              <w:pStyle w:val="TableTextRight"/>
              <w:rPr>
                <w:rFonts w:ascii="Arial" w:hAnsi="Arial" w:cs="Arial"/>
                <w:sz w:val="24"/>
                <w:szCs w:val="24"/>
              </w:rPr>
            </w:pPr>
            <w:hyperlink w:anchor="p454" w:history="1">
              <w:r w:rsidR="00DB3DEE" w:rsidRPr="00A62E8E">
                <w:rPr>
                  <w:rStyle w:val="Hyperlink"/>
                  <w:rFonts w:ascii="Arial" w:hAnsi="Arial" w:cs="Arial"/>
                  <w:sz w:val="24"/>
                  <w:szCs w:val="24"/>
                </w:rPr>
                <w:t>45</w:t>
              </w:r>
              <w:r w:rsidR="007D2600">
                <w:rPr>
                  <w:rStyle w:val="Hyperlink"/>
                  <w:rFonts w:ascii="Arial" w:hAnsi="Arial" w:cs="Arial"/>
                  <w:sz w:val="24"/>
                  <w:szCs w:val="24"/>
                </w:rPr>
                <w:t>3</w:t>
              </w:r>
            </w:hyperlink>
          </w:p>
        </w:tc>
      </w:tr>
      <w:tr w:rsidR="00D83E00" w:rsidRPr="00E273FC" w14:paraId="722397BE" w14:textId="77777777" w:rsidTr="000A2544">
        <w:trPr>
          <w:trHeight w:hRule="exact" w:val="847"/>
        </w:trPr>
        <w:tc>
          <w:tcPr>
            <w:tcW w:w="3024" w:type="dxa"/>
            <w:tcMar>
              <w:left w:w="57" w:type="dxa"/>
              <w:right w:w="57" w:type="dxa"/>
            </w:tcMar>
            <w:vAlign w:val="center"/>
          </w:tcPr>
          <w:p w14:paraId="1950C921"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15D</w:t>
            </w:r>
          </w:p>
        </w:tc>
        <w:tc>
          <w:tcPr>
            <w:tcW w:w="3024" w:type="dxa"/>
            <w:tcMar>
              <w:left w:w="57" w:type="dxa"/>
              <w:right w:w="57" w:type="dxa"/>
            </w:tcMar>
            <w:vAlign w:val="center"/>
          </w:tcPr>
          <w:p w14:paraId="4B40AA2A"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Executive officer disclosures</w:t>
            </w:r>
          </w:p>
        </w:tc>
        <w:tc>
          <w:tcPr>
            <w:tcW w:w="3024" w:type="dxa"/>
            <w:tcMar>
              <w:left w:w="57" w:type="dxa"/>
              <w:right w:w="57" w:type="dxa"/>
            </w:tcMar>
            <w:vAlign w:val="center"/>
          </w:tcPr>
          <w:p w14:paraId="0ACCE96C" w14:textId="0637EEA6" w:rsidR="00D83E00" w:rsidRPr="00E273FC" w:rsidRDefault="009B2DDD" w:rsidP="00DE1921">
            <w:pPr>
              <w:pStyle w:val="TableTextRight"/>
              <w:rPr>
                <w:rFonts w:ascii="Arial" w:hAnsi="Arial" w:cs="Arial"/>
                <w:sz w:val="24"/>
                <w:szCs w:val="24"/>
              </w:rPr>
            </w:pPr>
            <w:hyperlink w:anchor="p407" w:history="1">
              <w:r w:rsidR="00DB3DEE" w:rsidRPr="002B479A">
                <w:rPr>
                  <w:rStyle w:val="Hyperlink"/>
                  <w:rFonts w:ascii="Arial" w:hAnsi="Arial" w:cs="Arial"/>
                  <w:sz w:val="24"/>
                  <w:szCs w:val="24"/>
                </w:rPr>
                <w:t>40</w:t>
              </w:r>
              <w:r w:rsidR="007D2600">
                <w:rPr>
                  <w:rStyle w:val="Hyperlink"/>
                  <w:rFonts w:ascii="Arial" w:hAnsi="Arial" w:cs="Arial"/>
                  <w:sz w:val="24"/>
                  <w:szCs w:val="24"/>
                </w:rPr>
                <w:t>6</w:t>
              </w:r>
            </w:hyperlink>
          </w:p>
        </w:tc>
      </w:tr>
      <w:tr w:rsidR="00D83E00" w:rsidRPr="00E273FC" w14:paraId="07245D41" w14:textId="77777777" w:rsidTr="000A2544">
        <w:trPr>
          <w:trHeight w:hRule="exact" w:val="752"/>
        </w:trPr>
        <w:tc>
          <w:tcPr>
            <w:tcW w:w="3024" w:type="dxa"/>
            <w:tcMar>
              <w:left w:w="57" w:type="dxa"/>
              <w:right w:w="57" w:type="dxa"/>
            </w:tcMar>
            <w:vAlign w:val="center"/>
          </w:tcPr>
          <w:p w14:paraId="5A81471D"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lastRenderedPageBreak/>
              <w:t>FRD 22H</w:t>
            </w:r>
          </w:p>
        </w:tc>
        <w:tc>
          <w:tcPr>
            <w:tcW w:w="3024" w:type="dxa"/>
            <w:tcMar>
              <w:left w:w="57" w:type="dxa"/>
              <w:right w:w="57" w:type="dxa"/>
            </w:tcMar>
            <w:vAlign w:val="center"/>
          </w:tcPr>
          <w:p w14:paraId="2C91FD60"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Employment and conduct principles</w:t>
            </w:r>
          </w:p>
        </w:tc>
        <w:tc>
          <w:tcPr>
            <w:tcW w:w="3024" w:type="dxa"/>
            <w:tcMar>
              <w:left w:w="57" w:type="dxa"/>
              <w:right w:w="57" w:type="dxa"/>
            </w:tcMar>
            <w:vAlign w:val="center"/>
          </w:tcPr>
          <w:p w14:paraId="77B21D8B" w14:textId="4823C7C5" w:rsidR="00D83E00" w:rsidRPr="00E273FC" w:rsidRDefault="009B2DDD" w:rsidP="00DE1921">
            <w:pPr>
              <w:pStyle w:val="TableTextRight"/>
              <w:rPr>
                <w:rFonts w:ascii="Arial" w:hAnsi="Arial" w:cs="Arial"/>
                <w:sz w:val="24"/>
                <w:szCs w:val="24"/>
              </w:rPr>
            </w:pPr>
            <w:hyperlink w:anchor="p391" w:history="1">
              <w:r w:rsidR="00431E14" w:rsidRPr="002B479A">
                <w:rPr>
                  <w:rStyle w:val="Hyperlink"/>
                  <w:rFonts w:ascii="Arial" w:hAnsi="Arial" w:cs="Arial"/>
                  <w:sz w:val="24"/>
                  <w:szCs w:val="24"/>
                </w:rPr>
                <w:t>39</w:t>
              </w:r>
              <w:r w:rsidR="007D2600">
                <w:rPr>
                  <w:rStyle w:val="Hyperlink"/>
                  <w:rFonts w:ascii="Arial" w:hAnsi="Arial" w:cs="Arial"/>
                  <w:sz w:val="24"/>
                  <w:szCs w:val="24"/>
                </w:rPr>
                <w:t>0</w:t>
              </w:r>
            </w:hyperlink>
          </w:p>
        </w:tc>
      </w:tr>
      <w:tr w:rsidR="00D83E00" w:rsidRPr="00E273FC" w14:paraId="4A1F16D3" w14:textId="77777777" w:rsidTr="000A2544">
        <w:trPr>
          <w:trHeight w:hRule="exact" w:val="705"/>
        </w:trPr>
        <w:tc>
          <w:tcPr>
            <w:tcW w:w="3024" w:type="dxa"/>
            <w:tcMar>
              <w:left w:w="57" w:type="dxa"/>
              <w:right w:w="57" w:type="dxa"/>
            </w:tcMar>
            <w:vAlign w:val="center"/>
          </w:tcPr>
          <w:p w14:paraId="191A2E8E"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1C78A9F2"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Occupational health and safety policy</w:t>
            </w:r>
          </w:p>
        </w:tc>
        <w:tc>
          <w:tcPr>
            <w:tcW w:w="3024" w:type="dxa"/>
            <w:tcMar>
              <w:left w:w="57" w:type="dxa"/>
              <w:right w:w="57" w:type="dxa"/>
            </w:tcMar>
            <w:vAlign w:val="center"/>
          </w:tcPr>
          <w:p w14:paraId="5C1C70C5" w14:textId="4C49762F" w:rsidR="00D83E00" w:rsidRPr="00E273FC" w:rsidRDefault="009B2DDD" w:rsidP="00DE1921">
            <w:pPr>
              <w:pStyle w:val="TableTextRight"/>
              <w:rPr>
                <w:rFonts w:ascii="Arial" w:hAnsi="Arial" w:cs="Arial"/>
                <w:sz w:val="24"/>
                <w:szCs w:val="24"/>
              </w:rPr>
            </w:pPr>
            <w:hyperlink w:anchor="p416" w:history="1">
              <w:r w:rsidR="00431E14" w:rsidRPr="002B479A">
                <w:rPr>
                  <w:rStyle w:val="Hyperlink"/>
                  <w:rFonts w:ascii="Arial" w:hAnsi="Arial" w:cs="Arial"/>
                  <w:sz w:val="24"/>
                  <w:szCs w:val="24"/>
                </w:rPr>
                <w:t>41</w:t>
              </w:r>
              <w:r w:rsidR="007D2600">
                <w:rPr>
                  <w:rStyle w:val="Hyperlink"/>
                  <w:rFonts w:ascii="Arial" w:hAnsi="Arial" w:cs="Arial"/>
                  <w:sz w:val="24"/>
                  <w:szCs w:val="24"/>
                </w:rPr>
                <w:t>5</w:t>
              </w:r>
            </w:hyperlink>
          </w:p>
        </w:tc>
      </w:tr>
      <w:tr w:rsidR="00D83E00" w:rsidRPr="00E273FC" w14:paraId="14160423" w14:textId="77777777" w:rsidTr="000A2544">
        <w:trPr>
          <w:trHeight w:hRule="exact" w:val="715"/>
        </w:trPr>
        <w:tc>
          <w:tcPr>
            <w:tcW w:w="3024" w:type="dxa"/>
            <w:tcMar>
              <w:left w:w="57" w:type="dxa"/>
              <w:right w:w="57" w:type="dxa"/>
            </w:tcMar>
            <w:vAlign w:val="center"/>
          </w:tcPr>
          <w:p w14:paraId="25BB6DA7"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226A60B5"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Summary of the financial results for the year</w:t>
            </w:r>
          </w:p>
        </w:tc>
        <w:tc>
          <w:tcPr>
            <w:tcW w:w="3024" w:type="dxa"/>
            <w:tcMar>
              <w:left w:w="57" w:type="dxa"/>
              <w:right w:w="57" w:type="dxa"/>
            </w:tcMar>
            <w:vAlign w:val="center"/>
          </w:tcPr>
          <w:p w14:paraId="660CCCB4" w14:textId="628B1EB6" w:rsidR="00D83E00" w:rsidRPr="00E273FC" w:rsidRDefault="009B2DDD" w:rsidP="00DE1921">
            <w:pPr>
              <w:pStyle w:val="TableTextRight"/>
              <w:rPr>
                <w:rFonts w:ascii="Arial" w:hAnsi="Arial" w:cs="Arial"/>
                <w:sz w:val="24"/>
                <w:szCs w:val="24"/>
              </w:rPr>
            </w:pPr>
            <w:hyperlink w:anchor="p53" w:history="1">
              <w:r w:rsidR="00431E14" w:rsidRPr="002B479A">
                <w:rPr>
                  <w:rStyle w:val="Hyperlink"/>
                  <w:rFonts w:ascii="Arial" w:hAnsi="Arial" w:cs="Arial"/>
                  <w:sz w:val="24"/>
                  <w:szCs w:val="24"/>
                </w:rPr>
                <w:t>53</w:t>
              </w:r>
            </w:hyperlink>
          </w:p>
        </w:tc>
      </w:tr>
      <w:tr w:rsidR="00D83E00" w:rsidRPr="00E273FC" w14:paraId="1FA812D1" w14:textId="77777777" w:rsidTr="000A2544">
        <w:trPr>
          <w:trHeight w:hRule="exact" w:val="994"/>
        </w:trPr>
        <w:tc>
          <w:tcPr>
            <w:tcW w:w="3024" w:type="dxa"/>
            <w:tcMar>
              <w:left w:w="57" w:type="dxa"/>
              <w:right w:w="57" w:type="dxa"/>
            </w:tcMar>
            <w:vAlign w:val="center"/>
          </w:tcPr>
          <w:p w14:paraId="2BA97806"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1F6E58B2"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Significant changes in financial position during the year</w:t>
            </w:r>
          </w:p>
        </w:tc>
        <w:tc>
          <w:tcPr>
            <w:tcW w:w="3024" w:type="dxa"/>
            <w:tcMar>
              <w:left w:w="57" w:type="dxa"/>
              <w:right w:w="57" w:type="dxa"/>
            </w:tcMar>
            <w:vAlign w:val="center"/>
          </w:tcPr>
          <w:p w14:paraId="674D6852" w14:textId="5B66B5EE" w:rsidR="00D83E00" w:rsidRPr="00E273FC" w:rsidRDefault="009B2DDD" w:rsidP="00DE1921">
            <w:pPr>
              <w:pStyle w:val="TableTextRight"/>
              <w:rPr>
                <w:rFonts w:ascii="Arial" w:hAnsi="Arial" w:cs="Arial"/>
                <w:sz w:val="24"/>
                <w:szCs w:val="24"/>
              </w:rPr>
            </w:pPr>
            <w:hyperlink w:anchor="p55" w:history="1">
              <w:r w:rsidR="00431E14" w:rsidRPr="002B479A">
                <w:rPr>
                  <w:rStyle w:val="Hyperlink"/>
                  <w:rFonts w:ascii="Arial" w:hAnsi="Arial" w:cs="Arial"/>
                  <w:sz w:val="24"/>
                  <w:szCs w:val="24"/>
                </w:rPr>
                <w:t>55-62</w:t>
              </w:r>
            </w:hyperlink>
          </w:p>
        </w:tc>
      </w:tr>
      <w:tr w:rsidR="00D83E00" w:rsidRPr="00E273FC" w14:paraId="6F71721F" w14:textId="77777777" w:rsidTr="000A2544">
        <w:trPr>
          <w:trHeight w:hRule="exact" w:val="697"/>
        </w:trPr>
        <w:tc>
          <w:tcPr>
            <w:tcW w:w="3024" w:type="dxa"/>
            <w:tcMar>
              <w:left w:w="57" w:type="dxa"/>
              <w:right w:w="57" w:type="dxa"/>
            </w:tcMar>
            <w:vAlign w:val="center"/>
          </w:tcPr>
          <w:p w14:paraId="0DE6AD87"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659BC019"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Major changes or factors affecting performance</w:t>
            </w:r>
          </w:p>
        </w:tc>
        <w:tc>
          <w:tcPr>
            <w:tcW w:w="3024" w:type="dxa"/>
            <w:tcMar>
              <w:left w:w="57" w:type="dxa"/>
              <w:right w:w="57" w:type="dxa"/>
            </w:tcMar>
            <w:vAlign w:val="center"/>
          </w:tcPr>
          <w:p w14:paraId="232577CB" w14:textId="27D92FCE" w:rsidR="00D83E00" w:rsidRPr="00E273FC" w:rsidRDefault="009B2DDD" w:rsidP="00DE1921">
            <w:pPr>
              <w:pStyle w:val="TableTextRight"/>
              <w:rPr>
                <w:rFonts w:ascii="Arial" w:hAnsi="Arial" w:cs="Arial"/>
                <w:sz w:val="24"/>
                <w:szCs w:val="24"/>
              </w:rPr>
            </w:pPr>
            <w:hyperlink w:anchor="p55" w:history="1">
              <w:r w:rsidR="00431E14" w:rsidRPr="002B479A">
                <w:rPr>
                  <w:rStyle w:val="Hyperlink"/>
                  <w:rFonts w:ascii="Arial" w:hAnsi="Arial" w:cs="Arial"/>
                  <w:sz w:val="24"/>
                  <w:szCs w:val="24"/>
                </w:rPr>
                <w:t>55-62</w:t>
              </w:r>
            </w:hyperlink>
          </w:p>
        </w:tc>
      </w:tr>
      <w:tr w:rsidR="00D83E00" w:rsidRPr="00E273FC" w14:paraId="23818EB5" w14:textId="77777777" w:rsidTr="000A2544">
        <w:trPr>
          <w:trHeight w:hRule="exact" w:val="423"/>
        </w:trPr>
        <w:tc>
          <w:tcPr>
            <w:tcW w:w="3024" w:type="dxa"/>
            <w:tcMar>
              <w:left w:w="57" w:type="dxa"/>
              <w:right w:w="57" w:type="dxa"/>
            </w:tcMar>
            <w:vAlign w:val="center"/>
          </w:tcPr>
          <w:p w14:paraId="6E34051F"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5CB56BD3"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Subsequent events</w:t>
            </w:r>
          </w:p>
        </w:tc>
        <w:tc>
          <w:tcPr>
            <w:tcW w:w="3024" w:type="dxa"/>
            <w:tcMar>
              <w:left w:w="57" w:type="dxa"/>
              <w:right w:w="57" w:type="dxa"/>
            </w:tcMar>
            <w:vAlign w:val="center"/>
          </w:tcPr>
          <w:p w14:paraId="36F65758" w14:textId="4D13EEE5" w:rsidR="00D83E00" w:rsidRPr="00E273FC" w:rsidRDefault="009B2DDD" w:rsidP="00DE1921">
            <w:pPr>
              <w:pStyle w:val="TableTextRight"/>
              <w:rPr>
                <w:rFonts w:ascii="Arial" w:hAnsi="Arial" w:cs="Arial"/>
                <w:sz w:val="24"/>
                <w:szCs w:val="24"/>
              </w:rPr>
            </w:pPr>
            <w:hyperlink w:anchor="p316" w:history="1">
              <w:r w:rsidR="00CB64E5" w:rsidRPr="002B479A">
                <w:rPr>
                  <w:rStyle w:val="Hyperlink"/>
                  <w:rFonts w:ascii="Arial" w:hAnsi="Arial" w:cs="Arial"/>
                  <w:sz w:val="24"/>
                  <w:szCs w:val="24"/>
                </w:rPr>
                <w:t>31</w:t>
              </w:r>
              <w:r w:rsidR="009D1463">
                <w:rPr>
                  <w:rStyle w:val="Hyperlink"/>
                  <w:rFonts w:ascii="Arial" w:hAnsi="Arial" w:cs="Arial"/>
                  <w:sz w:val="24"/>
                  <w:szCs w:val="24"/>
                </w:rPr>
                <w:t>5</w:t>
              </w:r>
            </w:hyperlink>
          </w:p>
        </w:tc>
      </w:tr>
      <w:tr w:rsidR="00D83E00" w:rsidRPr="00E273FC" w14:paraId="0C82F6D8" w14:textId="77777777" w:rsidTr="000A2544">
        <w:trPr>
          <w:trHeight w:hRule="exact" w:val="1081"/>
        </w:trPr>
        <w:tc>
          <w:tcPr>
            <w:tcW w:w="3024" w:type="dxa"/>
            <w:tcMar>
              <w:left w:w="57" w:type="dxa"/>
              <w:right w:w="57" w:type="dxa"/>
            </w:tcMar>
            <w:vAlign w:val="center"/>
          </w:tcPr>
          <w:p w14:paraId="3C4C7106"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5B98C0A7"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Application and operation of Freedom of Information Act 1982</w:t>
            </w:r>
          </w:p>
        </w:tc>
        <w:tc>
          <w:tcPr>
            <w:tcW w:w="3024" w:type="dxa"/>
            <w:tcMar>
              <w:left w:w="57" w:type="dxa"/>
              <w:right w:w="57" w:type="dxa"/>
            </w:tcMar>
            <w:vAlign w:val="center"/>
          </w:tcPr>
          <w:p w14:paraId="0E23BFD5" w14:textId="4AA08E0D" w:rsidR="00D83E00" w:rsidRPr="00E273FC" w:rsidRDefault="009B2DDD" w:rsidP="00DE1921">
            <w:pPr>
              <w:pStyle w:val="TableTextRight"/>
              <w:rPr>
                <w:rFonts w:ascii="Arial" w:hAnsi="Arial" w:cs="Arial"/>
                <w:sz w:val="24"/>
                <w:szCs w:val="24"/>
              </w:rPr>
            </w:pPr>
            <w:hyperlink w:anchor="p471" w:history="1">
              <w:r w:rsidR="00CB64E5" w:rsidRPr="002B479A">
                <w:rPr>
                  <w:rStyle w:val="Hyperlink"/>
                  <w:rFonts w:ascii="Arial" w:hAnsi="Arial" w:cs="Arial"/>
                  <w:sz w:val="24"/>
                  <w:szCs w:val="24"/>
                </w:rPr>
                <w:t>47</w:t>
              </w:r>
              <w:r w:rsidR="009D1463">
                <w:rPr>
                  <w:rStyle w:val="Hyperlink"/>
                  <w:rFonts w:ascii="Arial" w:hAnsi="Arial" w:cs="Arial"/>
                  <w:sz w:val="24"/>
                  <w:szCs w:val="24"/>
                </w:rPr>
                <w:t>0</w:t>
              </w:r>
            </w:hyperlink>
          </w:p>
        </w:tc>
      </w:tr>
      <w:tr w:rsidR="00D83E00" w:rsidRPr="00E273FC" w14:paraId="6F8C443F" w14:textId="77777777" w:rsidTr="000A2544">
        <w:trPr>
          <w:trHeight w:hRule="exact" w:val="1266"/>
        </w:trPr>
        <w:tc>
          <w:tcPr>
            <w:tcW w:w="3024" w:type="dxa"/>
            <w:tcMar>
              <w:left w:w="57" w:type="dxa"/>
              <w:right w:w="57" w:type="dxa"/>
            </w:tcMar>
            <w:vAlign w:val="center"/>
          </w:tcPr>
          <w:p w14:paraId="1744733F"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3805E2E5"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Compliance with building and maintenance provisions of Building Act 1993</w:t>
            </w:r>
          </w:p>
        </w:tc>
        <w:tc>
          <w:tcPr>
            <w:tcW w:w="3024" w:type="dxa"/>
            <w:tcMar>
              <w:left w:w="57" w:type="dxa"/>
              <w:right w:w="57" w:type="dxa"/>
            </w:tcMar>
            <w:vAlign w:val="center"/>
          </w:tcPr>
          <w:p w14:paraId="54DE4F12" w14:textId="3359EF60" w:rsidR="00D83E00" w:rsidRPr="00E273FC" w:rsidRDefault="009B2DDD" w:rsidP="00DE1921">
            <w:pPr>
              <w:pStyle w:val="TableTextRight"/>
              <w:rPr>
                <w:rFonts w:ascii="Arial" w:hAnsi="Arial" w:cs="Arial"/>
                <w:sz w:val="24"/>
                <w:szCs w:val="24"/>
              </w:rPr>
            </w:pPr>
            <w:hyperlink w:anchor="p474" w:history="1">
              <w:r w:rsidR="00CB64E5" w:rsidRPr="002B479A">
                <w:rPr>
                  <w:rStyle w:val="Hyperlink"/>
                  <w:rFonts w:ascii="Arial" w:hAnsi="Arial" w:cs="Arial"/>
                  <w:sz w:val="24"/>
                  <w:szCs w:val="24"/>
                </w:rPr>
                <w:t>47</w:t>
              </w:r>
              <w:r w:rsidR="009D1463">
                <w:rPr>
                  <w:rStyle w:val="Hyperlink"/>
                  <w:rFonts w:ascii="Arial" w:hAnsi="Arial" w:cs="Arial"/>
                  <w:sz w:val="24"/>
                  <w:szCs w:val="24"/>
                </w:rPr>
                <w:t>3</w:t>
              </w:r>
            </w:hyperlink>
          </w:p>
        </w:tc>
      </w:tr>
      <w:tr w:rsidR="00D83E00" w:rsidRPr="00E273FC" w14:paraId="71140CA2" w14:textId="77777777" w:rsidTr="000A2544">
        <w:trPr>
          <w:trHeight w:hRule="exact" w:val="1142"/>
        </w:trPr>
        <w:tc>
          <w:tcPr>
            <w:tcW w:w="3024" w:type="dxa"/>
            <w:tcMar>
              <w:left w:w="57" w:type="dxa"/>
              <w:right w:w="57" w:type="dxa"/>
            </w:tcMar>
            <w:vAlign w:val="center"/>
          </w:tcPr>
          <w:p w14:paraId="73231580"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23FCD001"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Statement on National Competition Policy</w:t>
            </w:r>
          </w:p>
        </w:tc>
        <w:tc>
          <w:tcPr>
            <w:tcW w:w="3024" w:type="dxa"/>
            <w:tcMar>
              <w:left w:w="57" w:type="dxa"/>
              <w:right w:w="57" w:type="dxa"/>
            </w:tcMar>
            <w:vAlign w:val="center"/>
          </w:tcPr>
          <w:p w14:paraId="34C47D9F" w14:textId="05B4604A" w:rsidR="00D83E00" w:rsidRPr="00E273FC" w:rsidRDefault="009B2DDD" w:rsidP="00DE1921">
            <w:pPr>
              <w:pStyle w:val="TableTextRight"/>
              <w:rPr>
                <w:rFonts w:ascii="Arial" w:hAnsi="Arial" w:cs="Arial"/>
                <w:sz w:val="24"/>
                <w:szCs w:val="24"/>
              </w:rPr>
            </w:pPr>
            <w:hyperlink w:anchor="p477" w:history="1">
              <w:r w:rsidR="00CB64E5" w:rsidRPr="002B479A">
                <w:rPr>
                  <w:rStyle w:val="Hyperlink"/>
                  <w:rFonts w:ascii="Arial" w:hAnsi="Arial" w:cs="Arial"/>
                  <w:sz w:val="24"/>
                  <w:szCs w:val="24"/>
                </w:rPr>
                <w:t>47</w:t>
              </w:r>
              <w:r w:rsidR="009D1463">
                <w:rPr>
                  <w:rStyle w:val="Hyperlink"/>
                  <w:rFonts w:ascii="Arial" w:hAnsi="Arial" w:cs="Arial"/>
                  <w:sz w:val="24"/>
                  <w:szCs w:val="24"/>
                </w:rPr>
                <w:t>6</w:t>
              </w:r>
            </w:hyperlink>
          </w:p>
        </w:tc>
      </w:tr>
      <w:tr w:rsidR="00D83E00" w:rsidRPr="00E273FC" w14:paraId="13C93E3E" w14:textId="77777777" w:rsidTr="000A2544">
        <w:trPr>
          <w:trHeight w:hRule="exact" w:val="988"/>
        </w:trPr>
        <w:tc>
          <w:tcPr>
            <w:tcW w:w="3024" w:type="dxa"/>
            <w:tcMar>
              <w:left w:w="57" w:type="dxa"/>
              <w:right w:w="57" w:type="dxa"/>
            </w:tcMar>
            <w:vAlign w:val="center"/>
          </w:tcPr>
          <w:p w14:paraId="293594D2"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079AFA69"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Application and operation of the Public Interest Disclosures Act 2012</w:t>
            </w:r>
          </w:p>
        </w:tc>
        <w:tc>
          <w:tcPr>
            <w:tcW w:w="3024" w:type="dxa"/>
            <w:tcMar>
              <w:left w:w="57" w:type="dxa"/>
              <w:right w:w="57" w:type="dxa"/>
            </w:tcMar>
            <w:vAlign w:val="center"/>
          </w:tcPr>
          <w:p w14:paraId="5F853182" w14:textId="3DADDA73" w:rsidR="00D83E00" w:rsidRPr="00E273FC" w:rsidRDefault="009B2DDD" w:rsidP="00DE1921">
            <w:pPr>
              <w:pStyle w:val="TableTextRight"/>
              <w:rPr>
                <w:rFonts w:ascii="Arial" w:hAnsi="Arial" w:cs="Arial"/>
                <w:sz w:val="24"/>
                <w:szCs w:val="24"/>
              </w:rPr>
            </w:pPr>
            <w:hyperlink w:anchor="p479" w:history="1">
              <w:r w:rsidR="00887BC4" w:rsidRPr="002B479A">
                <w:rPr>
                  <w:rStyle w:val="Hyperlink"/>
                  <w:rFonts w:ascii="Arial" w:hAnsi="Arial" w:cs="Arial"/>
                  <w:sz w:val="24"/>
                  <w:szCs w:val="24"/>
                </w:rPr>
                <w:t>47</w:t>
              </w:r>
              <w:r w:rsidR="009D1463">
                <w:rPr>
                  <w:rStyle w:val="Hyperlink"/>
                  <w:rFonts w:ascii="Arial" w:hAnsi="Arial" w:cs="Arial"/>
                  <w:sz w:val="24"/>
                  <w:szCs w:val="24"/>
                </w:rPr>
                <w:t>8</w:t>
              </w:r>
            </w:hyperlink>
          </w:p>
        </w:tc>
      </w:tr>
      <w:tr w:rsidR="00D83E00" w:rsidRPr="00E273FC" w14:paraId="531A4851" w14:textId="77777777" w:rsidTr="000A2544">
        <w:trPr>
          <w:trHeight w:hRule="exact" w:val="1286"/>
        </w:trPr>
        <w:tc>
          <w:tcPr>
            <w:tcW w:w="3024" w:type="dxa"/>
            <w:tcMar>
              <w:left w:w="57" w:type="dxa"/>
              <w:right w:w="57" w:type="dxa"/>
            </w:tcMar>
            <w:vAlign w:val="center"/>
          </w:tcPr>
          <w:p w14:paraId="2A658739"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1401601D"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Application and operation of the Carers Recognition Act 2012</w:t>
            </w:r>
          </w:p>
        </w:tc>
        <w:tc>
          <w:tcPr>
            <w:tcW w:w="3024" w:type="dxa"/>
            <w:tcMar>
              <w:left w:w="57" w:type="dxa"/>
              <w:right w:w="57" w:type="dxa"/>
            </w:tcMar>
            <w:vAlign w:val="center"/>
          </w:tcPr>
          <w:p w14:paraId="13D0FA2D" w14:textId="5BCA313D" w:rsidR="00D83E00" w:rsidRPr="00E273FC" w:rsidRDefault="009B2DDD" w:rsidP="00DE1921">
            <w:pPr>
              <w:pStyle w:val="TableTextRight"/>
              <w:rPr>
                <w:rFonts w:ascii="Arial" w:hAnsi="Arial" w:cs="Arial"/>
                <w:sz w:val="24"/>
                <w:szCs w:val="24"/>
              </w:rPr>
            </w:pPr>
            <w:hyperlink w:anchor="p401" w:history="1">
              <w:r w:rsidR="00887BC4" w:rsidRPr="002B479A">
                <w:rPr>
                  <w:rStyle w:val="Hyperlink"/>
                  <w:rFonts w:ascii="Arial" w:hAnsi="Arial" w:cs="Arial"/>
                  <w:sz w:val="24"/>
                  <w:szCs w:val="24"/>
                </w:rPr>
                <w:t>40</w:t>
              </w:r>
              <w:r w:rsidR="009D1463">
                <w:rPr>
                  <w:rStyle w:val="Hyperlink"/>
                  <w:rFonts w:ascii="Arial" w:hAnsi="Arial" w:cs="Arial"/>
                  <w:sz w:val="24"/>
                  <w:szCs w:val="24"/>
                </w:rPr>
                <w:t>0</w:t>
              </w:r>
            </w:hyperlink>
          </w:p>
        </w:tc>
      </w:tr>
      <w:tr w:rsidR="00D83E00" w:rsidRPr="00E273FC" w14:paraId="43A20D19" w14:textId="77777777" w:rsidTr="000A2544">
        <w:trPr>
          <w:trHeight w:hRule="exact" w:val="837"/>
        </w:trPr>
        <w:tc>
          <w:tcPr>
            <w:tcW w:w="3024" w:type="dxa"/>
            <w:tcMar>
              <w:left w:w="57" w:type="dxa"/>
              <w:right w:w="57" w:type="dxa"/>
            </w:tcMar>
            <w:vAlign w:val="center"/>
          </w:tcPr>
          <w:p w14:paraId="32553F91"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0B7465FC"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Details of consultancies over $10 000</w:t>
            </w:r>
          </w:p>
        </w:tc>
        <w:tc>
          <w:tcPr>
            <w:tcW w:w="3024" w:type="dxa"/>
            <w:tcMar>
              <w:left w:w="57" w:type="dxa"/>
              <w:right w:w="57" w:type="dxa"/>
            </w:tcMar>
            <w:vAlign w:val="center"/>
          </w:tcPr>
          <w:p w14:paraId="0B7932E4" w14:textId="1EC2389F" w:rsidR="00D83E00" w:rsidRPr="00E273FC" w:rsidRDefault="009B2DDD" w:rsidP="00DE1921">
            <w:pPr>
              <w:pStyle w:val="TableTextRight"/>
              <w:rPr>
                <w:rFonts w:ascii="Arial" w:hAnsi="Arial" w:cs="Arial"/>
                <w:sz w:val="24"/>
                <w:szCs w:val="24"/>
              </w:rPr>
            </w:pPr>
            <w:hyperlink w:anchor="p454" w:history="1">
              <w:r w:rsidR="00BC10F9" w:rsidRPr="002B479A">
                <w:rPr>
                  <w:rStyle w:val="Hyperlink"/>
                  <w:rFonts w:ascii="Arial" w:hAnsi="Arial" w:cs="Arial"/>
                  <w:sz w:val="24"/>
                  <w:szCs w:val="24"/>
                </w:rPr>
                <w:t>45</w:t>
              </w:r>
              <w:r w:rsidR="009D1463">
                <w:rPr>
                  <w:rStyle w:val="Hyperlink"/>
                  <w:rFonts w:ascii="Arial" w:hAnsi="Arial" w:cs="Arial"/>
                  <w:sz w:val="24"/>
                  <w:szCs w:val="24"/>
                </w:rPr>
                <w:t>3</w:t>
              </w:r>
            </w:hyperlink>
          </w:p>
        </w:tc>
      </w:tr>
      <w:tr w:rsidR="00D83E00" w:rsidRPr="00E273FC" w14:paraId="31EA4FFF" w14:textId="77777777" w:rsidTr="000A2544">
        <w:trPr>
          <w:trHeight w:hRule="exact" w:val="848"/>
        </w:trPr>
        <w:tc>
          <w:tcPr>
            <w:tcW w:w="3024" w:type="dxa"/>
            <w:tcMar>
              <w:left w:w="57" w:type="dxa"/>
              <w:right w:w="57" w:type="dxa"/>
            </w:tcMar>
            <w:vAlign w:val="center"/>
          </w:tcPr>
          <w:p w14:paraId="3ADD61BB"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59FB211E"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Details of consultancies under $10 000</w:t>
            </w:r>
          </w:p>
        </w:tc>
        <w:tc>
          <w:tcPr>
            <w:tcW w:w="3024" w:type="dxa"/>
            <w:tcMar>
              <w:left w:w="57" w:type="dxa"/>
              <w:right w:w="57" w:type="dxa"/>
            </w:tcMar>
            <w:vAlign w:val="center"/>
          </w:tcPr>
          <w:p w14:paraId="1232621B" w14:textId="35467851" w:rsidR="00D83E00" w:rsidRPr="00E273FC" w:rsidRDefault="009B2DDD" w:rsidP="00DE1921">
            <w:pPr>
              <w:pStyle w:val="TableTextRight"/>
              <w:rPr>
                <w:rFonts w:ascii="Arial" w:hAnsi="Arial" w:cs="Arial"/>
                <w:sz w:val="24"/>
                <w:szCs w:val="24"/>
              </w:rPr>
            </w:pPr>
            <w:hyperlink w:anchor="p484" w:history="1">
              <w:r w:rsidR="00BC10F9" w:rsidRPr="002B479A">
                <w:rPr>
                  <w:rStyle w:val="Hyperlink"/>
                  <w:rFonts w:ascii="Arial" w:hAnsi="Arial" w:cs="Arial"/>
                  <w:sz w:val="24"/>
                  <w:szCs w:val="24"/>
                </w:rPr>
                <w:t>48</w:t>
              </w:r>
              <w:r w:rsidR="009D1463">
                <w:rPr>
                  <w:rStyle w:val="Hyperlink"/>
                  <w:rFonts w:ascii="Arial" w:hAnsi="Arial" w:cs="Arial"/>
                  <w:sz w:val="24"/>
                  <w:szCs w:val="24"/>
                </w:rPr>
                <w:t>3</w:t>
              </w:r>
            </w:hyperlink>
          </w:p>
        </w:tc>
      </w:tr>
      <w:tr w:rsidR="00D83E00" w:rsidRPr="00E273FC" w14:paraId="1A4B408B" w14:textId="77777777" w:rsidTr="000A2544">
        <w:trPr>
          <w:trHeight w:hRule="exact" w:val="1002"/>
        </w:trPr>
        <w:tc>
          <w:tcPr>
            <w:tcW w:w="3024" w:type="dxa"/>
            <w:tcMar>
              <w:left w:w="57" w:type="dxa"/>
              <w:right w:w="57" w:type="dxa"/>
            </w:tcMar>
            <w:vAlign w:val="center"/>
          </w:tcPr>
          <w:p w14:paraId="050BA73B"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2B1B41C0"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Disclosure of government advertising expenditure</w:t>
            </w:r>
          </w:p>
        </w:tc>
        <w:tc>
          <w:tcPr>
            <w:tcW w:w="3024" w:type="dxa"/>
            <w:tcMar>
              <w:left w:w="57" w:type="dxa"/>
              <w:right w:w="57" w:type="dxa"/>
            </w:tcMar>
            <w:vAlign w:val="center"/>
          </w:tcPr>
          <w:p w14:paraId="4FB628E2" w14:textId="091B809B" w:rsidR="00D83E00" w:rsidRPr="00E273FC" w:rsidRDefault="009B2DDD" w:rsidP="00DE1921">
            <w:pPr>
              <w:pStyle w:val="TableTextRight"/>
              <w:rPr>
                <w:rFonts w:ascii="Arial" w:hAnsi="Arial" w:cs="Arial"/>
                <w:sz w:val="24"/>
                <w:szCs w:val="24"/>
              </w:rPr>
            </w:pPr>
            <w:hyperlink w:anchor="p455" w:history="1">
              <w:r w:rsidR="00BC10F9" w:rsidRPr="00913491">
                <w:rPr>
                  <w:rStyle w:val="Hyperlink"/>
                  <w:rFonts w:ascii="Arial" w:hAnsi="Arial" w:cs="Arial"/>
                  <w:sz w:val="24"/>
                  <w:szCs w:val="24"/>
                </w:rPr>
                <w:t>45</w:t>
              </w:r>
              <w:r w:rsidR="009D1463">
                <w:rPr>
                  <w:rStyle w:val="Hyperlink"/>
                  <w:rFonts w:ascii="Arial" w:hAnsi="Arial" w:cs="Arial"/>
                  <w:sz w:val="24"/>
                  <w:szCs w:val="24"/>
                </w:rPr>
                <w:t>4</w:t>
              </w:r>
            </w:hyperlink>
          </w:p>
        </w:tc>
      </w:tr>
      <w:tr w:rsidR="00D83E00" w:rsidRPr="00E273FC" w14:paraId="22243468" w14:textId="77777777" w:rsidTr="000A2544">
        <w:trPr>
          <w:trHeight w:hRule="exact" w:val="893"/>
        </w:trPr>
        <w:tc>
          <w:tcPr>
            <w:tcW w:w="3024" w:type="dxa"/>
            <w:tcMar>
              <w:left w:w="57" w:type="dxa"/>
              <w:right w:w="57" w:type="dxa"/>
            </w:tcMar>
            <w:vAlign w:val="center"/>
          </w:tcPr>
          <w:p w14:paraId="53F7D130"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lastRenderedPageBreak/>
              <w:t>FRD 22H</w:t>
            </w:r>
          </w:p>
        </w:tc>
        <w:tc>
          <w:tcPr>
            <w:tcW w:w="3024" w:type="dxa"/>
            <w:tcMar>
              <w:left w:w="57" w:type="dxa"/>
              <w:right w:w="57" w:type="dxa"/>
            </w:tcMar>
            <w:vAlign w:val="center"/>
          </w:tcPr>
          <w:p w14:paraId="6520FD38"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Disclosure of ICT expenditure</w:t>
            </w:r>
          </w:p>
        </w:tc>
        <w:tc>
          <w:tcPr>
            <w:tcW w:w="3024" w:type="dxa"/>
            <w:tcMar>
              <w:left w:w="57" w:type="dxa"/>
              <w:right w:w="57" w:type="dxa"/>
            </w:tcMar>
            <w:vAlign w:val="center"/>
          </w:tcPr>
          <w:p w14:paraId="3D9F44EE" w14:textId="669D49E6" w:rsidR="00D83E00" w:rsidRPr="00E273FC" w:rsidRDefault="009B2DDD" w:rsidP="00DE1921">
            <w:pPr>
              <w:pStyle w:val="TableTextRight"/>
              <w:rPr>
                <w:rFonts w:ascii="Arial" w:hAnsi="Arial" w:cs="Arial"/>
                <w:sz w:val="24"/>
                <w:szCs w:val="24"/>
              </w:rPr>
            </w:pPr>
            <w:hyperlink w:anchor="p477" w:history="1">
              <w:r w:rsidR="00BC10F9" w:rsidRPr="00913491">
                <w:rPr>
                  <w:rStyle w:val="Hyperlink"/>
                  <w:rFonts w:ascii="Arial" w:hAnsi="Arial" w:cs="Arial"/>
                  <w:sz w:val="24"/>
                  <w:szCs w:val="24"/>
                </w:rPr>
                <w:t>47</w:t>
              </w:r>
              <w:r w:rsidR="00621E2F">
                <w:rPr>
                  <w:rStyle w:val="Hyperlink"/>
                  <w:rFonts w:ascii="Arial" w:hAnsi="Arial" w:cs="Arial"/>
                  <w:sz w:val="24"/>
                  <w:szCs w:val="24"/>
                </w:rPr>
                <w:t>6</w:t>
              </w:r>
            </w:hyperlink>
          </w:p>
        </w:tc>
      </w:tr>
      <w:tr w:rsidR="00D83E00" w:rsidRPr="00E273FC" w14:paraId="22018160" w14:textId="77777777" w:rsidTr="000A2544">
        <w:trPr>
          <w:trHeight w:hRule="exact" w:val="990"/>
        </w:trPr>
        <w:tc>
          <w:tcPr>
            <w:tcW w:w="3024" w:type="dxa"/>
            <w:tcMar>
              <w:left w:w="57" w:type="dxa"/>
              <w:right w:w="57" w:type="dxa"/>
            </w:tcMar>
            <w:vAlign w:val="center"/>
          </w:tcPr>
          <w:p w14:paraId="61FB3A5E"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22H</w:t>
            </w:r>
          </w:p>
        </w:tc>
        <w:tc>
          <w:tcPr>
            <w:tcW w:w="3024" w:type="dxa"/>
            <w:tcMar>
              <w:left w:w="57" w:type="dxa"/>
              <w:right w:w="57" w:type="dxa"/>
            </w:tcMar>
            <w:vAlign w:val="center"/>
          </w:tcPr>
          <w:p w14:paraId="7DFB1803"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Statement of availability of other information</w:t>
            </w:r>
          </w:p>
        </w:tc>
        <w:tc>
          <w:tcPr>
            <w:tcW w:w="3024" w:type="dxa"/>
            <w:tcMar>
              <w:left w:w="57" w:type="dxa"/>
              <w:right w:w="57" w:type="dxa"/>
            </w:tcMar>
            <w:vAlign w:val="center"/>
          </w:tcPr>
          <w:p w14:paraId="24D53290" w14:textId="28F20FA6" w:rsidR="00D83E00" w:rsidRPr="00E273FC" w:rsidRDefault="009B2DDD" w:rsidP="00DE1921">
            <w:pPr>
              <w:pStyle w:val="TableTextRight"/>
              <w:rPr>
                <w:rFonts w:ascii="Arial" w:hAnsi="Arial" w:cs="Arial"/>
                <w:sz w:val="24"/>
                <w:szCs w:val="24"/>
              </w:rPr>
            </w:pPr>
            <w:hyperlink w:anchor="p484" w:history="1">
              <w:r w:rsidR="00BC10F9" w:rsidRPr="00913491">
                <w:rPr>
                  <w:rStyle w:val="Hyperlink"/>
                  <w:rFonts w:ascii="Arial" w:hAnsi="Arial" w:cs="Arial"/>
                  <w:sz w:val="24"/>
                  <w:szCs w:val="24"/>
                </w:rPr>
                <w:t>48</w:t>
              </w:r>
              <w:r w:rsidR="00621E2F">
                <w:rPr>
                  <w:rStyle w:val="Hyperlink"/>
                  <w:rFonts w:ascii="Arial" w:hAnsi="Arial" w:cs="Arial"/>
                  <w:sz w:val="24"/>
                  <w:szCs w:val="24"/>
                </w:rPr>
                <w:t>3</w:t>
              </w:r>
            </w:hyperlink>
          </w:p>
        </w:tc>
      </w:tr>
      <w:tr w:rsidR="00D83E00" w:rsidRPr="00E273FC" w14:paraId="6939775C" w14:textId="77777777" w:rsidTr="000A2544">
        <w:trPr>
          <w:trHeight w:hRule="exact" w:val="991"/>
        </w:trPr>
        <w:tc>
          <w:tcPr>
            <w:tcW w:w="3024" w:type="dxa"/>
            <w:tcMar>
              <w:left w:w="57" w:type="dxa"/>
              <w:right w:w="57" w:type="dxa"/>
            </w:tcMar>
            <w:vAlign w:val="center"/>
          </w:tcPr>
          <w:p w14:paraId="2ECD0928" w14:textId="77777777" w:rsidR="00D83E00" w:rsidRPr="00E273FC" w:rsidRDefault="00D83E00" w:rsidP="00DE1921">
            <w:pPr>
              <w:pStyle w:val="TableTextLeft"/>
              <w:keepNext/>
              <w:keepLines/>
              <w:rPr>
                <w:rFonts w:ascii="Arial" w:hAnsi="Arial" w:cs="Arial"/>
                <w:sz w:val="24"/>
                <w:szCs w:val="24"/>
              </w:rPr>
            </w:pPr>
            <w:r w:rsidRPr="00E273FC">
              <w:rPr>
                <w:rFonts w:ascii="Arial" w:hAnsi="Arial" w:cs="Arial"/>
                <w:sz w:val="24"/>
                <w:szCs w:val="24"/>
              </w:rPr>
              <w:t>FRD 24C</w:t>
            </w:r>
          </w:p>
        </w:tc>
        <w:tc>
          <w:tcPr>
            <w:tcW w:w="3024" w:type="dxa"/>
            <w:tcMar>
              <w:left w:w="57" w:type="dxa"/>
              <w:right w:w="57" w:type="dxa"/>
            </w:tcMar>
            <w:vAlign w:val="center"/>
          </w:tcPr>
          <w:p w14:paraId="0AE50FBD" w14:textId="77777777" w:rsidR="00D83E00" w:rsidRPr="00E273FC" w:rsidRDefault="00D83E00" w:rsidP="00DE1921">
            <w:pPr>
              <w:pStyle w:val="TableTextLeft"/>
              <w:keepNext/>
              <w:keepLines/>
              <w:rPr>
                <w:rFonts w:ascii="Arial" w:hAnsi="Arial" w:cs="Arial"/>
                <w:sz w:val="24"/>
                <w:szCs w:val="24"/>
              </w:rPr>
            </w:pPr>
            <w:r w:rsidRPr="00E273FC">
              <w:rPr>
                <w:rFonts w:ascii="Arial" w:hAnsi="Arial" w:cs="Arial"/>
                <w:sz w:val="24"/>
                <w:szCs w:val="24"/>
              </w:rPr>
              <w:t>Reporting of office-based environmental impacts</w:t>
            </w:r>
          </w:p>
        </w:tc>
        <w:tc>
          <w:tcPr>
            <w:tcW w:w="3024" w:type="dxa"/>
            <w:tcMar>
              <w:left w:w="57" w:type="dxa"/>
              <w:right w:w="57" w:type="dxa"/>
            </w:tcMar>
            <w:vAlign w:val="center"/>
          </w:tcPr>
          <w:p w14:paraId="10996EB9" w14:textId="6DA6198B" w:rsidR="00D83E00" w:rsidRPr="00E273FC" w:rsidRDefault="009B2DDD" w:rsidP="00DE1921">
            <w:pPr>
              <w:pStyle w:val="TableTextRight"/>
              <w:rPr>
                <w:rFonts w:ascii="Arial" w:hAnsi="Arial" w:cs="Arial"/>
                <w:sz w:val="24"/>
                <w:szCs w:val="24"/>
              </w:rPr>
            </w:pPr>
            <w:hyperlink w:anchor="p460" w:history="1">
              <w:r w:rsidR="00BC10F9" w:rsidRPr="005126BA">
                <w:rPr>
                  <w:rStyle w:val="Hyperlink"/>
                  <w:rFonts w:ascii="Arial" w:hAnsi="Arial" w:cs="Arial"/>
                  <w:sz w:val="24"/>
                  <w:szCs w:val="24"/>
                </w:rPr>
                <w:t>4</w:t>
              </w:r>
              <w:r w:rsidR="00621E2F">
                <w:rPr>
                  <w:rStyle w:val="Hyperlink"/>
                  <w:rFonts w:ascii="Arial" w:hAnsi="Arial" w:cs="Arial"/>
                  <w:sz w:val="24"/>
                  <w:szCs w:val="24"/>
                </w:rPr>
                <w:t>59</w:t>
              </w:r>
            </w:hyperlink>
          </w:p>
        </w:tc>
      </w:tr>
      <w:tr w:rsidR="00D83E00" w:rsidRPr="00E273FC" w14:paraId="59AA7A69" w14:textId="77777777" w:rsidTr="00732609">
        <w:trPr>
          <w:trHeight w:hRule="exact" w:val="340"/>
        </w:trPr>
        <w:tc>
          <w:tcPr>
            <w:tcW w:w="3024" w:type="dxa"/>
            <w:tcMar>
              <w:left w:w="57" w:type="dxa"/>
              <w:right w:w="57" w:type="dxa"/>
            </w:tcMar>
            <w:vAlign w:val="center"/>
          </w:tcPr>
          <w:p w14:paraId="5CA5018D" w14:textId="77777777" w:rsidR="00D83E00" w:rsidRPr="00E273FC" w:rsidRDefault="00D83E00" w:rsidP="00DE1921">
            <w:pPr>
              <w:pStyle w:val="TableTextLeft"/>
              <w:keepNext/>
              <w:keepLines/>
              <w:rPr>
                <w:rFonts w:ascii="Arial" w:hAnsi="Arial" w:cs="Arial"/>
                <w:sz w:val="24"/>
                <w:szCs w:val="24"/>
              </w:rPr>
            </w:pPr>
            <w:r w:rsidRPr="00E273FC">
              <w:rPr>
                <w:rFonts w:ascii="Arial" w:hAnsi="Arial" w:cs="Arial"/>
                <w:sz w:val="24"/>
                <w:szCs w:val="24"/>
              </w:rPr>
              <w:t xml:space="preserve">FRD 25D </w:t>
            </w:r>
          </w:p>
        </w:tc>
        <w:tc>
          <w:tcPr>
            <w:tcW w:w="3024" w:type="dxa"/>
            <w:tcMar>
              <w:left w:w="57" w:type="dxa"/>
              <w:right w:w="57" w:type="dxa"/>
            </w:tcMar>
            <w:vAlign w:val="center"/>
          </w:tcPr>
          <w:p w14:paraId="41396519" w14:textId="77777777" w:rsidR="00D83E00" w:rsidRPr="00E273FC" w:rsidRDefault="00D83E00" w:rsidP="00DE1921">
            <w:pPr>
              <w:pStyle w:val="TableTextLeft"/>
              <w:keepNext/>
              <w:keepLines/>
              <w:rPr>
                <w:rFonts w:ascii="Arial" w:hAnsi="Arial" w:cs="Arial"/>
                <w:sz w:val="24"/>
                <w:szCs w:val="24"/>
              </w:rPr>
            </w:pPr>
            <w:r w:rsidRPr="00E273FC">
              <w:rPr>
                <w:rFonts w:ascii="Arial" w:hAnsi="Arial" w:cs="Arial"/>
                <w:sz w:val="24"/>
                <w:szCs w:val="24"/>
              </w:rPr>
              <w:t>Local Jobs First</w:t>
            </w:r>
          </w:p>
        </w:tc>
        <w:tc>
          <w:tcPr>
            <w:tcW w:w="3024" w:type="dxa"/>
            <w:tcMar>
              <w:left w:w="57" w:type="dxa"/>
              <w:right w:w="57" w:type="dxa"/>
            </w:tcMar>
            <w:vAlign w:val="center"/>
          </w:tcPr>
          <w:p w14:paraId="51E858FB" w14:textId="563C1E3A" w:rsidR="00D83E00" w:rsidRPr="00E273FC" w:rsidRDefault="009B2DDD" w:rsidP="00DE1921">
            <w:pPr>
              <w:pStyle w:val="TableTextRight"/>
              <w:rPr>
                <w:rFonts w:ascii="Arial" w:hAnsi="Arial" w:cs="Arial"/>
                <w:sz w:val="24"/>
                <w:szCs w:val="24"/>
              </w:rPr>
            </w:pPr>
            <w:hyperlink w:anchor="p448" w:history="1">
              <w:r w:rsidR="00BC10F9" w:rsidRPr="005126BA">
                <w:rPr>
                  <w:rStyle w:val="Hyperlink"/>
                  <w:rFonts w:ascii="Arial" w:hAnsi="Arial" w:cs="Arial"/>
                  <w:sz w:val="24"/>
                  <w:szCs w:val="24"/>
                </w:rPr>
                <w:t>44</w:t>
              </w:r>
              <w:r w:rsidR="00621E2F">
                <w:rPr>
                  <w:rStyle w:val="Hyperlink"/>
                  <w:rFonts w:ascii="Arial" w:hAnsi="Arial" w:cs="Arial"/>
                  <w:sz w:val="24"/>
                  <w:szCs w:val="24"/>
                </w:rPr>
                <w:t>7</w:t>
              </w:r>
            </w:hyperlink>
          </w:p>
        </w:tc>
      </w:tr>
      <w:tr w:rsidR="00D83E00" w:rsidRPr="00E273FC" w14:paraId="4A671CA1" w14:textId="77777777" w:rsidTr="000A2544">
        <w:trPr>
          <w:trHeight w:hRule="exact" w:val="783"/>
        </w:trPr>
        <w:tc>
          <w:tcPr>
            <w:tcW w:w="3024" w:type="dxa"/>
            <w:tcMar>
              <w:left w:w="57" w:type="dxa"/>
              <w:right w:w="57" w:type="dxa"/>
            </w:tcMar>
            <w:vAlign w:val="center"/>
          </w:tcPr>
          <w:p w14:paraId="7C26F731"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FRD 29C</w:t>
            </w:r>
          </w:p>
        </w:tc>
        <w:tc>
          <w:tcPr>
            <w:tcW w:w="3024" w:type="dxa"/>
            <w:tcMar>
              <w:left w:w="57" w:type="dxa"/>
              <w:right w:w="57" w:type="dxa"/>
            </w:tcMar>
            <w:vAlign w:val="center"/>
          </w:tcPr>
          <w:p w14:paraId="7DE605F6"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Workforce Data disclosures</w:t>
            </w:r>
          </w:p>
        </w:tc>
        <w:tc>
          <w:tcPr>
            <w:tcW w:w="3024" w:type="dxa"/>
            <w:tcMar>
              <w:left w:w="57" w:type="dxa"/>
              <w:right w:w="57" w:type="dxa"/>
            </w:tcMar>
            <w:vAlign w:val="center"/>
          </w:tcPr>
          <w:p w14:paraId="7C7FB59C" w14:textId="1D0695C2" w:rsidR="00D83E00" w:rsidRPr="00E273FC" w:rsidRDefault="009B2DDD" w:rsidP="00DE1921">
            <w:pPr>
              <w:pStyle w:val="TableTextRight"/>
              <w:rPr>
                <w:rFonts w:ascii="Arial" w:hAnsi="Arial" w:cs="Arial"/>
                <w:sz w:val="24"/>
                <w:szCs w:val="24"/>
              </w:rPr>
            </w:pPr>
            <w:hyperlink w:anchor="p401" w:history="1">
              <w:r w:rsidR="008239F5" w:rsidRPr="005126BA">
                <w:rPr>
                  <w:rStyle w:val="Hyperlink"/>
                  <w:rFonts w:ascii="Arial" w:hAnsi="Arial" w:cs="Arial"/>
                  <w:sz w:val="24"/>
                  <w:szCs w:val="24"/>
                </w:rPr>
                <w:t>40</w:t>
              </w:r>
              <w:r w:rsidR="00621E2F">
                <w:rPr>
                  <w:rStyle w:val="Hyperlink"/>
                  <w:rFonts w:ascii="Arial" w:hAnsi="Arial" w:cs="Arial"/>
                  <w:sz w:val="24"/>
                  <w:szCs w:val="24"/>
                </w:rPr>
                <w:t>0</w:t>
              </w:r>
            </w:hyperlink>
          </w:p>
        </w:tc>
      </w:tr>
      <w:tr w:rsidR="00D83E00" w:rsidRPr="00E273FC" w14:paraId="3C7982F2" w14:textId="77777777" w:rsidTr="000A2544">
        <w:trPr>
          <w:trHeight w:hRule="exact" w:val="1006"/>
        </w:trPr>
        <w:tc>
          <w:tcPr>
            <w:tcW w:w="3024" w:type="dxa"/>
            <w:tcMar>
              <w:left w:w="57" w:type="dxa"/>
              <w:right w:w="57" w:type="dxa"/>
            </w:tcMar>
            <w:vAlign w:val="center"/>
          </w:tcPr>
          <w:p w14:paraId="70C2292C"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SD 5.2</w:t>
            </w:r>
          </w:p>
        </w:tc>
        <w:tc>
          <w:tcPr>
            <w:tcW w:w="3024" w:type="dxa"/>
            <w:tcMar>
              <w:left w:w="57" w:type="dxa"/>
              <w:right w:w="57" w:type="dxa"/>
            </w:tcMar>
            <w:vAlign w:val="center"/>
          </w:tcPr>
          <w:p w14:paraId="63B27145"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Specific requirements under Standing Direction 5.2</w:t>
            </w:r>
          </w:p>
        </w:tc>
        <w:tc>
          <w:tcPr>
            <w:tcW w:w="3024" w:type="dxa"/>
            <w:tcMar>
              <w:left w:w="57" w:type="dxa"/>
              <w:right w:w="57" w:type="dxa"/>
            </w:tcMar>
            <w:vAlign w:val="center"/>
          </w:tcPr>
          <w:p w14:paraId="4FB060AC" w14:textId="14F0C32C" w:rsidR="00D83E00" w:rsidRPr="00E273FC" w:rsidRDefault="009B2DDD" w:rsidP="00DE1921">
            <w:pPr>
              <w:pStyle w:val="TableTextRight"/>
              <w:rPr>
                <w:rFonts w:ascii="Arial" w:hAnsi="Arial" w:cs="Arial"/>
                <w:sz w:val="24"/>
                <w:szCs w:val="24"/>
              </w:rPr>
            </w:pPr>
            <w:hyperlink w:anchor="p5" w:history="1">
              <w:r w:rsidR="008239F5" w:rsidRPr="005126BA">
                <w:rPr>
                  <w:rStyle w:val="Hyperlink"/>
                  <w:rFonts w:ascii="Arial" w:hAnsi="Arial" w:cs="Arial"/>
                  <w:sz w:val="24"/>
                  <w:szCs w:val="24"/>
                </w:rPr>
                <w:t>5-62</w:t>
              </w:r>
            </w:hyperlink>
          </w:p>
        </w:tc>
      </w:tr>
      <w:tr w:rsidR="00D83E00" w:rsidRPr="00E273FC" w14:paraId="4604E973" w14:textId="77777777" w:rsidTr="00732609">
        <w:trPr>
          <w:trHeight w:hRule="exact" w:val="340"/>
        </w:trPr>
        <w:tc>
          <w:tcPr>
            <w:tcW w:w="3024" w:type="dxa"/>
            <w:tcMar>
              <w:left w:w="57" w:type="dxa"/>
              <w:right w:w="57" w:type="dxa"/>
            </w:tcMar>
            <w:vAlign w:val="center"/>
          </w:tcPr>
          <w:p w14:paraId="1CA15D4D" w14:textId="77777777" w:rsidR="00D83E00" w:rsidRPr="00E273FC" w:rsidRDefault="00D83E00" w:rsidP="00DE1921">
            <w:pPr>
              <w:pStyle w:val="TableTextLeft"/>
              <w:rPr>
                <w:rFonts w:ascii="Arial" w:hAnsi="Arial" w:cs="Arial"/>
                <w:sz w:val="24"/>
                <w:szCs w:val="24"/>
              </w:rPr>
            </w:pPr>
          </w:p>
        </w:tc>
        <w:tc>
          <w:tcPr>
            <w:tcW w:w="3024" w:type="dxa"/>
            <w:tcMar>
              <w:left w:w="57" w:type="dxa"/>
              <w:right w:w="57" w:type="dxa"/>
            </w:tcMar>
            <w:vAlign w:val="center"/>
          </w:tcPr>
          <w:p w14:paraId="75850F36" w14:textId="77777777" w:rsidR="00D83E00" w:rsidRPr="00E273FC" w:rsidRDefault="00D83E00" w:rsidP="00DE1921">
            <w:pPr>
              <w:pStyle w:val="TableTextLeft"/>
              <w:rPr>
                <w:rFonts w:ascii="Arial" w:hAnsi="Arial" w:cs="Arial"/>
                <w:sz w:val="24"/>
                <w:szCs w:val="24"/>
              </w:rPr>
            </w:pPr>
          </w:p>
        </w:tc>
        <w:tc>
          <w:tcPr>
            <w:tcW w:w="3024" w:type="dxa"/>
            <w:tcMar>
              <w:left w:w="57" w:type="dxa"/>
              <w:right w:w="57" w:type="dxa"/>
            </w:tcMar>
            <w:vAlign w:val="center"/>
          </w:tcPr>
          <w:p w14:paraId="0CA58C52" w14:textId="77777777" w:rsidR="00D83E00" w:rsidRPr="00E273FC" w:rsidRDefault="00D83E00" w:rsidP="00DE1921">
            <w:pPr>
              <w:pStyle w:val="TableTextRight"/>
              <w:rPr>
                <w:rFonts w:ascii="Arial" w:hAnsi="Arial" w:cs="Arial"/>
                <w:sz w:val="24"/>
                <w:szCs w:val="24"/>
              </w:rPr>
            </w:pPr>
          </w:p>
        </w:tc>
      </w:tr>
      <w:tr w:rsidR="00555BF8" w:rsidRPr="00E273FC" w14:paraId="5D2FAFA5" w14:textId="77777777" w:rsidTr="00F653BC">
        <w:trPr>
          <w:trHeight w:hRule="exact" w:val="624"/>
        </w:trPr>
        <w:tc>
          <w:tcPr>
            <w:tcW w:w="3024" w:type="dxa"/>
            <w:tcMar>
              <w:left w:w="57" w:type="dxa"/>
              <w:right w:w="57" w:type="dxa"/>
            </w:tcMar>
            <w:vAlign w:val="center"/>
          </w:tcPr>
          <w:p w14:paraId="31F95693" w14:textId="77777777" w:rsidR="00555BF8" w:rsidRPr="00E273FC" w:rsidRDefault="00555BF8" w:rsidP="00DE1921">
            <w:pPr>
              <w:pStyle w:val="TableTextLeftBold"/>
              <w:rPr>
                <w:rFonts w:ascii="Arial" w:hAnsi="Arial" w:cs="Arial"/>
                <w:sz w:val="24"/>
                <w:szCs w:val="24"/>
              </w:rPr>
            </w:pPr>
            <w:r w:rsidRPr="00E273FC">
              <w:rPr>
                <w:rFonts w:ascii="Arial" w:hAnsi="Arial" w:cs="Arial"/>
                <w:sz w:val="24"/>
                <w:szCs w:val="24"/>
              </w:rPr>
              <w:t>Compliance and attestation</w:t>
            </w:r>
          </w:p>
        </w:tc>
        <w:tc>
          <w:tcPr>
            <w:tcW w:w="3024" w:type="dxa"/>
            <w:vAlign w:val="center"/>
          </w:tcPr>
          <w:p w14:paraId="457B12CE" w14:textId="77777777" w:rsidR="00555BF8" w:rsidRPr="00E273FC" w:rsidRDefault="00555BF8" w:rsidP="00DE1921">
            <w:pPr>
              <w:pStyle w:val="TableTextLeftBold"/>
              <w:rPr>
                <w:rFonts w:ascii="Arial" w:hAnsi="Arial" w:cs="Arial"/>
                <w:sz w:val="24"/>
                <w:szCs w:val="24"/>
              </w:rPr>
            </w:pPr>
          </w:p>
        </w:tc>
        <w:tc>
          <w:tcPr>
            <w:tcW w:w="3024" w:type="dxa"/>
            <w:vAlign w:val="center"/>
          </w:tcPr>
          <w:p w14:paraId="457CBB71" w14:textId="58E706B6" w:rsidR="00555BF8" w:rsidRPr="00E273FC" w:rsidRDefault="00555BF8" w:rsidP="00DE1921">
            <w:pPr>
              <w:pStyle w:val="TableTextLeftBold"/>
              <w:rPr>
                <w:rFonts w:ascii="Arial" w:hAnsi="Arial" w:cs="Arial"/>
                <w:sz w:val="24"/>
                <w:szCs w:val="24"/>
              </w:rPr>
            </w:pPr>
          </w:p>
        </w:tc>
      </w:tr>
      <w:tr w:rsidR="00D83E00" w:rsidRPr="00E273FC" w14:paraId="5CA9A166" w14:textId="77777777" w:rsidTr="000A2544">
        <w:trPr>
          <w:trHeight w:hRule="exact" w:val="1148"/>
        </w:trPr>
        <w:tc>
          <w:tcPr>
            <w:tcW w:w="3024" w:type="dxa"/>
            <w:tcMar>
              <w:left w:w="57" w:type="dxa"/>
              <w:right w:w="57" w:type="dxa"/>
            </w:tcMar>
            <w:vAlign w:val="center"/>
          </w:tcPr>
          <w:p w14:paraId="097245BB"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SD 5.1.4</w:t>
            </w:r>
          </w:p>
        </w:tc>
        <w:tc>
          <w:tcPr>
            <w:tcW w:w="3024" w:type="dxa"/>
            <w:tcMar>
              <w:left w:w="57" w:type="dxa"/>
              <w:right w:w="57" w:type="dxa"/>
            </w:tcMar>
            <w:vAlign w:val="center"/>
          </w:tcPr>
          <w:p w14:paraId="7FE9C2EA"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Attestation for compliance with Ministerial Standing Direction</w:t>
            </w:r>
          </w:p>
        </w:tc>
        <w:tc>
          <w:tcPr>
            <w:tcW w:w="3024" w:type="dxa"/>
            <w:tcMar>
              <w:left w:w="57" w:type="dxa"/>
              <w:right w:w="57" w:type="dxa"/>
            </w:tcMar>
            <w:vAlign w:val="center"/>
          </w:tcPr>
          <w:p w14:paraId="45E77CC0" w14:textId="1891EFE2" w:rsidR="00D83E00" w:rsidRPr="00E273FC" w:rsidRDefault="009B2DDD" w:rsidP="00DE1921">
            <w:pPr>
              <w:pStyle w:val="TableTextRight"/>
              <w:rPr>
                <w:rFonts w:ascii="Arial" w:hAnsi="Arial" w:cs="Arial"/>
                <w:sz w:val="24"/>
                <w:szCs w:val="24"/>
              </w:rPr>
            </w:pPr>
            <w:hyperlink w:anchor="p483" w:history="1">
              <w:r w:rsidR="008239F5" w:rsidRPr="005126BA">
                <w:rPr>
                  <w:rStyle w:val="Hyperlink"/>
                  <w:rFonts w:ascii="Arial" w:hAnsi="Arial" w:cs="Arial"/>
                  <w:sz w:val="24"/>
                  <w:szCs w:val="24"/>
                </w:rPr>
                <w:t>48</w:t>
              </w:r>
              <w:r w:rsidR="001B3EE8">
                <w:rPr>
                  <w:rStyle w:val="Hyperlink"/>
                  <w:rFonts w:ascii="Arial" w:hAnsi="Arial" w:cs="Arial"/>
                  <w:sz w:val="24"/>
                  <w:szCs w:val="24"/>
                </w:rPr>
                <w:t>2</w:t>
              </w:r>
            </w:hyperlink>
          </w:p>
        </w:tc>
      </w:tr>
      <w:tr w:rsidR="00D83E00" w:rsidRPr="00E273FC" w14:paraId="6BD39BA9" w14:textId="77777777" w:rsidTr="000A2544">
        <w:trPr>
          <w:trHeight w:hRule="exact" w:val="725"/>
        </w:trPr>
        <w:tc>
          <w:tcPr>
            <w:tcW w:w="3024" w:type="dxa"/>
            <w:tcMar>
              <w:left w:w="57" w:type="dxa"/>
              <w:right w:w="57" w:type="dxa"/>
            </w:tcMar>
            <w:vAlign w:val="center"/>
          </w:tcPr>
          <w:p w14:paraId="72A1A31D"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SD 5.2.3</w:t>
            </w:r>
          </w:p>
        </w:tc>
        <w:tc>
          <w:tcPr>
            <w:tcW w:w="3024" w:type="dxa"/>
            <w:tcMar>
              <w:left w:w="57" w:type="dxa"/>
              <w:right w:w="57" w:type="dxa"/>
            </w:tcMar>
            <w:vAlign w:val="center"/>
          </w:tcPr>
          <w:p w14:paraId="3DFB804D"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Declaration in report of operations</w:t>
            </w:r>
          </w:p>
        </w:tc>
        <w:tc>
          <w:tcPr>
            <w:tcW w:w="3024" w:type="dxa"/>
            <w:tcMar>
              <w:left w:w="57" w:type="dxa"/>
              <w:right w:w="57" w:type="dxa"/>
            </w:tcMar>
            <w:vAlign w:val="center"/>
          </w:tcPr>
          <w:p w14:paraId="7475F20C" w14:textId="419E1EC1" w:rsidR="00D83E00" w:rsidRPr="00E273FC" w:rsidRDefault="009B2DDD" w:rsidP="00DE1921">
            <w:pPr>
              <w:pStyle w:val="TableTextRight"/>
              <w:rPr>
                <w:rFonts w:ascii="Arial" w:hAnsi="Arial" w:cs="Arial"/>
                <w:sz w:val="24"/>
                <w:szCs w:val="24"/>
              </w:rPr>
            </w:pPr>
            <w:hyperlink w:anchor="p105" w:history="1">
              <w:r w:rsidR="008239F5" w:rsidRPr="005126BA">
                <w:rPr>
                  <w:rStyle w:val="Hyperlink"/>
                  <w:rFonts w:ascii="Arial" w:hAnsi="Arial" w:cs="Arial"/>
                  <w:sz w:val="24"/>
                  <w:szCs w:val="24"/>
                </w:rPr>
                <w:t>10</w:t>
              </w:r>
              <w:r w:rsidR="00D83E00" w:rsidRPr="005126BA">
                <w:rPr>
                  <w:rStyle w:val="Hyperlink"/>
                  <w:rFonts w:ascii="Arial" w:hAnsi="Arial" w:cs="Arial"/>
                  <w:sz w:val="24"/>
                  <w:szCs w:val="24"/>
                </w:rPr>
                <w:t>5</w:t>
              </w:r>
            </w:hyperlink>
          </w:p>
        </w:tc>
      </w:tr>
      <w:tr w:rsidR="00D83E00" w:rsidRPr="00E273FC" w14:paraId="1358AEAF" w14:textId="77777777" w:rsidTr="00732609">
        <w:trPr>
          <w:trHeight w:hRule="exact" w:val="340"/>
        </w:trPr>
        <w:tc>
          <w:tcPr>
            <w:tcW w:w="3024" w:type="dxa"/>
            <w:tcMar>
              <w:left w:w="57" w:type="dxa"/>
              <w:right w:w="57" w:type="dxa"/>
            </w:tcMar>
            <w:vAlign w:val="center"/>
          </w:tcPr>
          <w:p w14:paraId="3007926A" w14:textId="77777777" w:rsidR="00D83E00" w:rsidRPr="00E273FC" w:rsidRDefault="00D83E00" w:rsidP="00DE1921">
            <w:pPr>
              <w:pStyle w:val="TableTextLeft"/>
              <w:rPr>
                <w:rFonts w:ascii="Arial" w:hAnsi="Arial" w:cs="Arial"/>
                <w:sz w:val="24"/>
                <w:szCs w:val="24"/>
              </w:rPr>
            </w:pPr>
          </w:p>
        </w:tc>
        <w:tc>
          <w:tcPr>
            <w:tcW w:w="3024" w:type="dxa"/>
            <w:tcMar>
              <w:left w:w="57" w:type="dxa"/>
              <w:right w:w="57" w:type="dxa"/>
            </w:tcMar>
            <w:vAlign w:val="center"/>
          </w:tcPr>
          <w:p w14:paraId="2D88B544" w14:textId="77777777" w:rsidR="00D83E00" w:rsidRPr="00E273FC" w:rsidRDefault="00D83E00" w:rsidP="00DE1921">
            <w:pPr>
              <w:pStyle w:val="TableTextLeft"/>
              <w:rPr>
                <w:rFonts w:ascii="Arial" w:hAnsi="Arial" w:cs="Arial"/>
                <w:sz w:val="24"/>
                <w:szCs w:val="24"/>
              </w:rPr>
            </w:pPr>
          </w:p>
        </w:tc>
        <w:tc>
          <w:tcPr>
            <w:tcW w:w="3024" w:type="dxa"/>
            <w:tcMar>
              <w:left w:w="57" w:type="dxa"/>
              <w:right w:w="57" w:type="dxa"/>
            </w:tcMar>
            <w:vAlign w:val="center"/>
          </w:tcPr>
          <w:p w14:paraId="709EB37D" w14:textId="77777777" w:rsidR="00D83E00" w:rsidRPr="00E273FC" w:rsidRDefault="00D83E00" w:rsidP="00DE1921">
            <w:pPr>
              <w:pStyle w:val="TableTextRight"/>
              <w:rPr>
                <w:rFonts w:ascii="Arial" w:hAnsi="Arial" w:cs="Arial"/>
                <w:sz w:val="24"/>
                <w:szCs w:val="24"/>
              </w:rPr>
            </w:pPr>
          </w:p>
        </w:tc>
      </w:tr>
      <w:tr w:rsidR="00E01A33" w:rsidRPr="00E273FC" w14:paraId="3D2F1C19" w14:textId="77777777" w:rsidTr="00F345FC">
        <w:trPr>
          <w:trHeight w:hRule="exact" w:val="340"/>
        </w:trPr>
        <w:tc>
          <w:tcPr>
            <w:tcW w:w="3024" w:type="dxa"/>
            <w:tcMar>
              <w:left w:w="57" w:type="dxa"/>
              <w:right w:w="57" w:type="dxa"/>
            </w:tcMar>
            <w:vAlign w:val="center"/>
          </w:tcPr>
          <w:p w14:paraId="248660D7" w14:textId="77777777" w:rsidR="00E01A33" w:rsidRPr="00E273FC" w:rsidRDefault="00E01A33" w:rsidP="00604703">
            <w:pPr>
              <w:pStyle w:val="TableTextGreen"/>
            </w:pPr>
            <w:r w:rsidRPr="00E273FC">
              <w:t>Financial Statements</w:t>
            </w:r>
          </w:p>
        </w:tc>
        <w:tc>
          <w:tcPr>
            <w:tcW w:w="3024" w:type="dxa"/>
            <w:vAlign w:val="center"/>
          </w:tcPr>
          <w:p w14:paraId="523DD326" w14:textId="77777777" w:rsidR="00E01A33" w:rsidRPr="00E273FC" w:rsidRDefault="00E01A33" w:rsidP="00604703">
            <w:pPr>
              <w:pStyle w:val="TableTextGreen"/>
            </w:pPr>
          </w:p>
        </w:tc>
        <w:tc>
          <w:tcPr>
            <w:tcW w:w="3024" w:type="dxa"/>
            <w:vAlign w:val="center"/>
          </w:tcPr>
          <w:p w14:paraId="4C32352F" w14:textId="265EF915" w:rsidR="00E01A33" w:rsidRPr="00E273FC" w:rsidRDefault="00E01A33" w:rsidP="00604703">
            <w:pPr>
              <w:pStyle w:val="TableTextGreen"/>
            </w:pPr>
          </w:p>
        </w:tc>
      </w:tr>
      <w:tr w:rsidR="00E01A33" w:rsidRPr="00E273FC" w14:paraId="1C64E3ED" w14:textId="77777777" w:rsidTr="00B078DC">
        <w:trPr>
          <w:trHeight w:hRule="exact" w:val="340"/>
        </w:trPr>
        <w:tc>
          <w:tcPr>
            <w:tcW w:w="3024" w:type="dxa"/>
            <w:tcMar>
              <w:left w:w="57" w:type="dxa"/>
              <w:right w:w="57" w:type="dxa"/>
            </w:tcMar>
            <w:vAlign w:val="center"/>
          </w:tcPr>
          <w:p w14:paraId="276798C1" w14:textId="77777777" w:rsidR="00E01A33" w:rsidRPr="00E273FC" w:rsidRDefault="00E01A33" w:rsidP="00DE1921">
            <w:pPr>
              <w:pStyle w:val="TableTextLeftBold"/>
              <w:rPr>
                <w:rFonts w:ascii="Arial" w:hAnsi="Arial" w:cs="Arial"/>
                <w:sz w:val="24"/>
                <w:szCs w:val="24"/>
              </w:rPr>
            </w:pPr>
            <w:r w:rsidRPr="00E273FC">
              <w:rPr>
                <w:rFonts w:ascii="Arial" w:hAnsi="Arial" w:cs="Arial"/>
                <w:sz w:val="24"/>
                <w:szCs w:val="24"/>
              </w:rPr>
              <w:t>Declaration</w:t>
            </w:r>
          </w:p>
        </w:tc>
        <w:tc>
          <w:tcPr>
            <w:tcW w:w="3024" w:type="dxa"/>
            <w:vAlign w:val="center"/>
          </w:tcPr>
          <w:p w14:paraId="4C5BF077" w14:textId="77777777" w:rsidR="00E01A33" w:rsidRPr="00E273FC" w:rsidRDefault="00E01A33" w:rsidP="00DE1921">
            <w:pPr>
              <w:pStyle w:val="TableTextLeftBold"/>
              <w:rPr>
                <w:rFonts w:ascii="Arial" w:hAnsi="Arial" w:cs="Arial"/>
                <w:sz w:val="24"/>
                <w:szCs w:val="24"/>
              </w:rPr>
            </w:pPr>
          </w:p>
        </w:tc>
        <w:tc>
          <w:tcPr>
            <w:tcW w:w="3024" w:type="dxa"/>
            <w:vAlign w:val="center"/>
          </w:tcPr>
          <w:p w14:paraId="5355C49F" w14:textId="6F86F4BB" w:rsidR="00E01A33" w:rsidRPr="00E273FC" w:rsidRDefault="00E01A33" w:rsidP="00DE1921">
            <w:pPr>
              <w:pStyle w:val="TableTextLeftBold"/>
              <w:rPr>
                <w:rFonts w:ascii="Arial" w:hAnsi="Arial" w:cs="Arial"/>
                <w:sz w:val="24"/>
                <w:szCs w:val="24"/>
              </w:rPr>
            </w:pPr>
          </w:p>
        </w:tc>
      </w:tr>
      <w:tr w:rsidR="00D83E00" w:rsidRPr="00E273FC" w14:paraId="232F87DE" w14:textId="77777777" w:rsidTr="000A2544">
        <w:trPr>
          <w:trHeight w:hRule="exact" w:val="949"/>
        </w:trPr>
        <w:tc>
          <w:tcPr>
            <w:tcW w:w="3024" w:type="dxa"/>
            <w:tcMar>
              <w:left w:w="57" w:type="dxa"/>
              <w:right w:w="57" w:type="dxa"/>
            </w:tcMar>
            <w:vAlign w:val="center"/>
          </w:tcPr>
          <w:p w14:paraId="6588BE9B"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SD 5.2.2</w:t>
            </w:r>
          </w:p>
        </w:tc>
        <w:tc>
          <w:tcPr>
            <w:tcW w:w="3024" w:type="dxa"/>
            <w:tcMar>
              <w:left w:w="57" w:type="dxa"/>
              <w:right w:w="57" w:type="dxa"/>
            </w:tcMar>
            <w:vAlign w:val="center"/>
          </w:tcPr>
          <w:p w14:paraId="4A053366"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Declaration in financial statements</w:t>
            </w:r>
          </w:p>
        </w:tc>
        <w:tc>
          <w:tcPr>
            <w:tcW w:w="3024" w:type="dxa"/>
            <w:tcMar>
              <w:left w:w="57" w:type="dxa"/>
              <w:right w:w="57" w:type="dxa"/>
            </w:tcMar>
            <w:vAlign w:val="center"/>
          </w:tcPr>
          <w:p w14:paraId="4491A9E5" w14:textId="1C3B75A5" w:rsidR="00D83E00" w:rsidRPr="00E273FC" w:rsidRDefault="009B2DDD" w:rsidP="00DE1921">
            <w:pPr>
              <w:pStyle w:val="TableTextRight"/>
              <w:rPr>
                <w:rFonts w:ascii="Arial" w:hAnsi="Arial" w:cs="Arial"/>
                <w:sz w:val="24"/>
                <w:szCs w:val="24"/>
              </w:rPr>
            </w:pPr>
            <w:hyperlink w:anchor="p46" w:history="1">
              <w:r w:rsidR="008239F5" w:rsidRPr="005126BA">
                <w:rPr>
                  <w:rStyle w:val="Hyperlink"/>
                  <w:rFonts w:ascii="Arial" w:hAnsi="Arial" w:cs="Arial"/>
                  <w:sz w:val="24"/>
                  <w:szCs w:val="24"/>
                </w:rPr>
                <w:t>46</w:t>
              </w:r>
            </w:hyperlink>
          </w:p>
        </w:tc>
      </w:tr>
      <w:tr w:rsidR="00D83E00" w:rsidRPr="00E273FC" w14:paraId="6FA06A02" w14:textId="77777777" w:rsidTr="00732609">
        <w:trPr>
          <w:trHeight w:hRule="exact" w:val="340"/>
        </w:trPr>
        <w:tc>
          <w:tcPr>
            <w:tcW w:w="3024" w:type="dxa"/>
            <w:tcMar>
              <w:left w:w="57" w:type="dxa"/>
              <w:right w:w="57" w:type="dxa"/>
            </w:tcMar>
            <w:vAlign w:val="center"/>
          </w:tcPr>
          <w:p w14:paraId="717C02AC" w14:textId="77777777" w:rsidR="00D83E00" w:rsidRPr="00E273FC" w:rsidRDefault="00D83E00" w:rsidP="00DE1921">
            <w:pPr>
              <w:pStyle w:val="TableTextLeft"/>
              <w:rPr>
                <w:rFonts w:ascii="Arial" w:hAnsi="Arial" w:cs="Arial"/>
                <w:sz w:val="24"/>
                <w:szCs w:val="24"/>
              </w:rPr>
            </w:pPr>
          </w:p>
        </w:tc>
        <w:tc>
          <w:tcPr>
            <w:tcW w:w="3024" w:type="dxa"/>
            <w:tcMar>
              <w:left w:w="57" w:type="dxa"/>
              <w:right w:w="57" w:type="dxa"/>
            </w:tcMar>
            <w:vAlign w:val="center"/>
          </w:tcPr>
          <w:p w14:paraId="3D7F7513" w14:textId="77777777" w:rsidR="00D83E00" w:rsidRPr="00E273FC" w:rsidRDefault="00D83E00" w:rsidP="00DE1921">
            <w:pPr>
              <w:pStyle w:val="TableTextLeft"/>
              <w:rPr>
                <w:rFonts w:ascii="Arial" w:hAnsi="Arial" w:cs="Arial"/>
                <w:sz w:val="24"/>
                <w:szCs w:val="24"/>
              </w:rPr>
            </w:pPr>
          </w:p>
        </w:tc>
        <w:tc>
          <w:tcPr>
            <w:tcW w:w="3024" w:type="dxa"/>
            <w:tcMar>
              <w:left w:w="57" w:type="dxa"/>
              <w:right w:w="57" w:type="dxa"/>
            </w:tcMar>
            <w:vAlign w:val="center"/>
          </w:tcPr>
          <w:p w14:paraId="5DBB25A7" w14:textId="77777777" w:rsidR="00D83E00" w:rsidRPr="00E273FC" w:rsidRDefault="00D83E00" w:rsidP="00DE1921">
            <w:pPr>
              <w:pStyle w:val="TableTextRight"/>
              <w:rPr>
                <w:rFonts w:ascii="Arial" w:hAnsi="Arial" w:cs="Arial"/>
                <w:sz w:val="24"/>
                <w:szCs w:val="24"/>
              </w:rPr>
            </w:pPr>
          </w:p>
        </w:tc>
      </w:tr>
      <w:tr w:rsidR="00F653BC" w:rsidRPr="00E273FC" w14:paraId="0CD0C845" w14:textId="77777777" w:rsidTr="00F653BC">
        <w:trPr>
          <w:trHeight w:hRule="exact" w:val="964"/>
        </w:trPr>
        <w:tc>
          <w:tcPr>
            <w:tcW w:w="3024" w:type="dxa"/>
            <w:tcMar>
              <w:left w:w="57" w:type="dxa"/>
              <w:right w:w="57" w:type="dxa"/>
            </w:tcMar>
          </w:tcPr>
          <w:p w14:paraId="3CD67B84" w14:textId="77777777" w:rsidR="00F653BC" w:rsidRPr="00E273FC" w:rsidRDefault="00F653BC" w:rsidP="00F653BC">
            <w:pPr>
              <w:pStyle w:val="TableTextLeftBold"/>
              <w:rPr>
                <w:rFonts w:ascii="Arial" w:hAnsi="Arial" w:cs="Arial"/>
                <w:sz w:val="24"/>
                <w:szCs w:val="24"/>
              </w:rPr>
            </w:pPr>
            <w:r w:rsidRPr="00E273FC">
              <w:rPr>
                <w:rFonts w:ascii="Arial" w:hAnsi="Arial" w:cs="Arial"/>
                <w:sz w:val="24"/>
                <w:szCs w:val="24"/>
              </w:rPr>
              <w:t>Other requirements under Standing Directions 5.2</w:t>
            </w:r>
          </w:p>
        </w:tc>
        <w:tc>
          <w:tcPr>
            <w:tcW w:w="3024" w:type="dxa"/>
            <w:vAlign w:val="center"/>
          </w:tcPr>
          <w:p w14:paraId="0B4D427C" w14:textId="77777777" w:rsidR="00F653BC" w:rsidRPr="00E273FC" w:rsidRDefault="00F653BC" w:rsidP="00DE1921">
            <w:pPr>
              <w:pStyle w:val="TableTextLeftBold"/>
              <w:rPr>
                <w:rFonts w:ascii="Arial" w:hAnsi="Arial" w:cs="Arial"/>
                <w:sz w:val="24"/>
                <w:szCs w:val="24"/>
              </w:rPr>
            </w:pPr>
          </w:p>
        </w:tc>
        <w:tc>
          <w:tcPr>
            <w:tcW w:w="3024" w:type="dxa"/>
            <w:vAlign w:val="center"/>
          </w:tcPr>
          <w:p w14:paraId="780FAF9B" w14:textId="27DBF86F" w:rsidR="00F653BC" w:rsidRPr="00E273FC" w:rsidRDefault="00F653BC" w:rsidP="00DE1921">
            <w:pPr>
              <w:pStyle w:val="TableTextLeftBold"/>
              <w:rPr>
                <w:rFonts w:ascii="Arial" w:hAnsi="Arial" w:cs="Arial"/>
                <w:sz w:val="24"/>
                <w:szCs w:val="24"/>
              </w:rPr>
            </w:pPr>
          </w:p>
        </w:tc>
      </w:tr>
      <w:tr w:rsidR="00D83E00" w:rsidRPr="00E273FC" w14:paraId="06AD3806" w14:textId="77777777" w:rsidTr="000A2544">
        <w:trPr>
          <w:trHeight w:val="1528"/>
        </w:trPr>
        <w:tc>
          <w:tcPr>
            <w:tcW w:w="3024" w:type="dxa"/>
            <w:tcMar>
              <w:left w:w="57" w:type="dxa"/>
              <w:right w:w="57" w:type="dxa"/>
            </w:tcMar>
          </w:tcPr>
          <w:p w14:paraId="409FB564"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SD 5.2.1(a)</w:t>
            </w:r>
          </w:p>
        </w:tc>
        <w:tc>
          <w:tcPr>
            <w:tcW w:w="3024" w:type="dxa"/>
            <w:tcMar>
              <w:left w:w="57" w:type="dxa"/>
              <w:right w:w="57" w:type="dxa"/>
            </w:tcMar>
            <w:vAlign w:val="center"/>
          </w:tcPr>
          <w:p w14:paraId="49FE8B41"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Compliance with Australian accounting standards and other authoritative pronouncements</w:t>
            </w:r>
          </w:p>
        </w:tc>
        <w:tc>
          <w:tcPr>
            <w:tcW w:w="3024" w:type="dxa"/>
            <w:tcMar>
              <w:left w:w="57" w:type="dxa"/>
              <w:right w:w="57" w:type="dxa"/>
            </w:tcMar>
          </w:tcPr>
          <w:p w14:paraId="453112DB" w14:textId="15821D85" w:rsidR="00D83E00" w:rsidRPr="00E273FC" w:rsidRDefault="009B2DDD" w:rsidP="00DE1921">
            <w:pPr>
              <w:pStyle w:val="TableTextRight"/>
              <w:rPr>
                <w:rFonts w:ascii="Arial" w:hAnsi="Arial" w:cs="Arial"/>
                <w:sz w:val="24"/>
                <w:szCs w:val="24"/>
              </w:rPr>
            </w:pPr>
            <w:hyperlink w:anchor="p71" w:history="1">
              <w:r w:rsidR="008239F5" w:rsidRPr="005126BA">
                <w:rPr>
                  <w:rStyle w:val="Hyperlink"/>
                  <w:rFonts w:ascii="Arial" w:hAnsi="Arial" w:cs="Arial"/>
                  <w:sz w:val="24"/>
                  <w:szCs w:val="24"/>
                </w:rPr>
                <w:t>71</w:t>
              </w:r>
            </w:hyperlink>
          </w:p>
        </w:tc>
      </w:tr>
      <w:tr w:rsidR="00D83E00" w:rsidRPr="00E273FC" w14:paraId="1BF662E3" w14:textId="77777777" w:rsidTr="000A2544">
        <w:trPr>
          <w:trHeight w:hRule="exact" w:val="893"/>
        </w:trPr>
        <w:tc>
          <w:tcPr>
            <w:tcW w:w="3024" w:type="dxa"/>
            <w:tcMar>
              <w:left w:w="57" w:type="dxa"/>
              <w:right w:w="57" w:type="dxa"/>
            </w:tcMar>
            <w:vAlign w:val="center"/>
          </w:tcPr>
          <w:p w14:paraId="3E4AF733"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lastRenderedPageBreak/>
              <w:t>SD 5.2.1(a)</w:t>
            </w:r>
          </w:p>
        </w:tc>
        <w:tc>
          <w:tcPr>
            <w:tcW w:w="3024" w:type="dxa"/>
            <w:tcMar>
              <w:left w:w="57" w:type="dxa"/>
              <w:right w:w="57" w:type="dxa"/>
            </w:tcMar>
            <w:vAlign w:val="center"/>
          </w:tcPr>
          <w:p w14:paraId="5CFA4222"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Compliance with Standing Directions</w:t>
            </w:r>
          </w:p>
        </w:tc>
        <w:tc>
          <w:tcPr>
            <w:tcW w:w="3024" w:type="dxa"/>
            <w:tcMar>
              <w:left w:w="57" w:type="dxa"/>
              <w:right w:w="57" w:type="dxa"/>
            </w:tcMar>
            <w:vAlign w:val="center"/>
          </w:tcPr>
          <w:p w14:paraId="07C7EDB1" w14:textId="3A16671B" w:rsidR="00D83E00" w:rsidRPr="00E273FC" w:rsidRDefault="009B2DDD" w:rsidP="00DE1921">
            <w:pPr>
              <w:pStyle w:val="TableTextRight"/>
              <w:rPr>
                <w:rFonts w:ascii="Arial" w:hAnsi="Arial" w:cs="Arial"/>
                <w:sz w:val="24"/>
                <w:szCs w:val="24"/>
              </w:rPr>
            </w:pPr>
            <w:hyperlink w:anchor="p46" w:history="1">
              <w:r w:rsidR="008239F5" w:rsidRPr="005126BA">
                <w:rPr>
                  <w:rStyle w:val="Hyperlink"/>
                  <w:rFonts w:ascii="Arial" w:hAnsi="Arial" w:cs="Arial"/>
                  <w:sz w:val="24"/>
                  <w:szCs w:val="24"/>
                </w:rPr>
                <w:t>46</w:t>
              </w:r>
            </w:hyperlink>
          </w:p>
        </w:tc>
      </w:tr>
      <w:tr w:rsidR="00D83E00" w:rsidRPr="00E273FC" w14:paraId="0530D480" w14:textId="77777777" w:rsidTr="000A2544">
        <w:trPr>
          <w:trHeight w:hRule="exact" w:val="991"/>
        </w:trPr>
        <w:tc>
          <w:tcPr>
            <w:tcW w:w="3024" w:type="dxa"/>
            <w:tcMar>
              <w:left w:w="57" w:type="dxa"/>
              <w:right w:w="57" w:type="dxa"/>
            </w:tcMar>
            <w:vAlign w:val="center"/>
          </w:tcPr>
          <w:p w14:paraId="563C7229"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SD 5.2.1(b)</w:t>
            </w:r>
          </w:p>
        </w:tc>
        <w:tc>
          <w:tcPr>
            <w:tcW w:w="3024" w:type="dxa"/>
            <w:tcMar>
              <w:left w:w="57" w:type="dxa"/>
              <w:right w:w="57" w:type="dxa"/>
            </w:tcMar>
            <w:vAlign w:val="center"/>
          </w:tcPr>
          <w:p w14:paraId="67F4649C" w14:textId="77777777" w:rsidR="00D83E00" w:rsidRPr="00E273FC" w:rsidRDefault="00D83E00" w:rsidP="00DE1921">
            <w:pPr>
              <w:pStyle w:val="TableTextLeft"/>
              <w:rPr>
                <w:rFonts w:ascii="Arial" w:hAnsi="Arial" w:cs="Arial"/>
                <w:sz w:val="24"/>
                <w:szCs w:val="24"/>
              </w:rPr>
            </w:pPr>
            <w:r w:rsidRPr="00E273FC">
              <w:rPr>
                <w:rFonts w:ascii="Arial" w:hAnsi="Arial" w:cs="Arial"/>
                <w:sz w:val="24"/>
                <w:szCs w:val="24"/>
              </w:rPr>
              <w:t>Compliance with Model Financial Report</w:t>
            </w:r>
          </w:p>
        </w:tc>
        <w:tc>
          <w:tcPr>
            <w:tcW w:w="3024" w:type="dxa"/>
            <w:tcMar>
              <w:left w:w="57" w:type="dxa"/>
              <w:right w:w="57" w:type="dxa"/>
            </w:tcMar>
            <w:vAlign w:val="center"/>
          </w:tcPr>
          <w:p w14:paraId="25C4AD15" w14:textId="0B14F4C3" w:rsidR="00D83E00" w:rsidRPr="00E273FC" w:rsidRDefault="009B2DDD" w:rsidP="00DE1921">
            <w:pPr>
              <w:pStyle w:val="TableTextRight"/>
              <w:rPr>
                <w:rFonts w:ascii="Arial" w:hAnsi="Arial" w:cs="Arial"/>
                <w:sz w:val="24"/>
                <w:szCs w:val="24"/>
              </w:rPr>
            </w:pPr>
            <w:hyperlink w:anchor="P336" w:history="1">
              <w:r w:rsidR="008239F5" w:rsidRPr="005126BA">
                <w:rPr>
                  <w:rStyle w:val="Hyperlink"/>
                  <w:rFonts w:ascii="Arial" w:hAnsi="Arial" w:cs="Arial"/>
                  <w:sz w:val="24"/>
                  <w:szCs w:val="24"/>
                </w:rPr>
                <w:t>33</w:t>
              </w:r>
              <w:r w:rsidR="000208C5">
                <w:rPr>
                  <w:rStyle w:val="Hyperlink"/>
                  <w:rFonts w:ascii="Arial" w:hAnsi="Arial" w:cs="Arial"/>
                  <w:sz w:val="24"/>
                  <w:szCs w:val="24"/>
                </w:rPr>
                <w:t>5</w:t>
              </w:r>
            </w:hyperlink>
          </w:p>
        </w:tc>
      </w:tr>
      <w:tr w:rsidR="00D83E00" w:rsidRPr="00E273FC" w14:paraId="3000BA30" w14:textId="77777777" w:rsidTr="00732609">
        <w:trPr>
          <w:trHeight w:hRule="exact" w:val="340"/>
        </w:trPr>
        <w:tc>
          <w:tcPr>
            <w:tcW w:w="3024" w:type="dxa"/>
            <w:tcMar>
              <w:left w:w="57" w:type="dxa"/>
              <w:right w:w="57" w:type="dxa"/>
            </w:tcMar>
            <w:vAlign w:val="center"/>
          </w:tcPr>
          <w:p w14:paraId="3D54EC1F" w14:textId="77777777" w:rsidR="00D83E00" w:rsidRPr="00E273FC" w:rsidRDefault="00D83E00" w:rsidP="00DE1921">
            <w:pPr>
              <w:pStyle w:val="TableTextLeft"/>
              <w:rPr>
                <w:rFonts w:ascii="Arial" w:hAnsi="Arial" w:cs="Arial"/>
                <w:sz w:val="24"/>
                <w:szCs w:val="24"/>
              </w:rPr>
            </w:pPr>
          </w:p>
        </w:tc>
        <w:tc>
          <w:tcPr>
            <w:tcW w:w="3024" w:type="dxa"/>
            <w:tcMar>
              <w:left w:w="57" w:type="dxa"/>
              <w:right w:w="57" w:type="dxa"/>
            </w:tcMar>
            <w:vAlign w:val="center"/>
          </w:tcPr>
          <w:p w14:paraId="7DF32EE2" w14:textId="77777777" w:rsidR="00D83E00" w:rsidRPr="00E273FC" w:rsidRDefault="00D83E00" w:rsidP="00DE1921">
            <w:pPr>
              <w:pStyle w:val="TableTextLeft"/>
              <w:rPr>
                <w:rFonts w:ascii="Arial" w:hAnsi="Arial" w:cs="Arial"/>
                <w:sz w:val="24"/>
                <w:szCs w:val="24"/>
              </w:rPr>
            </w:pPr>
          </w:p>
        </w:tc>
        <w:tc>
          <w:tcPr>
            <w:tcW w:w="3024" w:type="dxa"/>
            <w:tcMar>
              <w:left w:w="57" w:type="dxa"/>
              <w:right w:w="57" w:type="dxa"/>
            </w:tcMar>
            <w:vAlign w:val="center"/>
          </w:tcPr>
          <w:p w14:paraId="755A9B32" w14:textId="77777777" w:rsidR="00D83E00" w:rsidRPr="00E273FC" w:rsidRDefault="00D83E00" w:rsidP="00DE1921">
            <w:pPr>
              <w:pStyle w:val="TableTextRight"/>
              <w:rPr>
                <w:rFonts w:ascii="Arial" w:hAnsi="Arial" w:cs="Arial"/>
                <w:sz w:val="24"/>
                <w:szCs w:val="24"/>
              </w:rPr>
            </w:pPr>
          </w:p>
        </w:tc>
      </w:tr>
      <w:tr w:rsidR="00F653BC" w:rsidRPr="00E273FC" w14:paraId="66CF2D8A" w14:textId="77777777" w:rsidTr="00F653BC">
        <w:trPr>
          <w:trHeight w:hRule="exact" w:val="1247"/>
        </w:trPr>
        <w:tc>
          <w:tcPr>
            <w:tcW w:w="3024" w:type="dxa"/>
            <w:tcMar>
              <w:left w:w="57" w:type="dxa"/>
              <w:right w:w="57" w:type="dxa"/>
            </w:tcMar>
            <w:vAlign w:val="center"/>
          </w:tcPr>
          <w:p w14:paraId="441968B5" w14:textId="77777777" w:rsidR="00F653BC" w:rsidRPr="00E273FC" w:rsidRDefault="00F653BC" w:rsidP="00DE1921">
            <w:pPr>
              <w:pStyle w:val="TableTextLeftBold"/>
              <w:rPr>
                <w:rFonts w:ascii="Arial" w:hAnsi="Arial" w:cs="Arial"/>
                <w:sz w:val="24"/>
                <w:szCs w:val="24"/>
              </w:rPr>
            </w:pPr>
            <w:r w:rsidRPr="00E273FC">
              <w:rPr>
                <w:rFonts w:ascii="Arial" w:hAnsi="Arial" w:cs="Arial"/>
                <w:sz w:val="24"/>
                <w:szCs w:val="24"/>
              </w:rPr>
              <w:t>Other disclosures as required by FRDs in notes to the financial statements</w:t>
            </w:r>
          </w:p>
        </w:tc>
        <w:tc>
          <w:tcPr>
            <w:tcW w:w="3024" w:type="dxa"/>
            <w:vAlign w:val="center"/>
          </w:tcPr>
          <w:p w14:paraId="1DD2CC7F" w14:textId="77777777" w:rsidR="00F653BC" w:rsidRPr="00E273FC" w:rsidRDefault="00F653BC" w:rsidP="00DE1921">
            <w:pPr>
              <w:pStyle w:val="TableTextLeftBold"/>
              <w:rPr>
                <w:rFonts w:ascii="Arial" w:hAnsi="Arial" w:cs="Arial"/>
                <w:sz w:val="24"/>
                <w:szCs w:val="24"/>
              </w:rPr>
            </w:pPr>
          </w:p>
        </w:tc>
        <w:tc>
          <w:tcPr>
            <w:tcW w:w="3024" w:type="dxa"/>
            <w:vAlign w:val="center"/>
          </w:tcPr>
          <w:p w14:paraId="26F38201" w14:textId="0B046EC0" w:rsidR="00F653BC" w:rsidRPr="00E273FC" w:rsidRDefault="00F653BC" w:rsidP="00DE1921">
            <w:pPr>
              <w:pStyle w:val="TableTextLeftBold"/>
              <w:rPr>
                <w:rFonts w:ascii="Arial" w:hAnsi="Arial" w:cs="Arial"/>
                <w:sz w:val="24"/>
                <w:szCs w:val="24"/>
              </w:rPr>
            </w:pPr>
          </w:p>
        </w:tc>
      </w:tr>
      <w:tr w:rsidR="00D83E00" w:rsidRPr="00E273FC" w14:paraId="503F91CA" w14:textId="77777777" w:rsidTr="000A2544">
        <w:trPr>
          <w:trHeight w:hRule="exact" w:val="1098"/>
        </w:trPr>
        <w:tc>
          <w:tcPr>
            <w:tcW w:w="3024" w:type="dxa"/>
            <w:tcMar>
              <w:left w:w="57" w:type="dxa"/>
              <w:right w:w="57" w:type="dxa"/>
            </w:tcMar>
            <w:vAlign w:val="center"/>
          </w:tcPr>
          <w:p w14:paraId="3512E46B" w14:textId="77777777" w:rsidR="00D83E00" w:rsidRPr="00E273FC" w:rsidRDefault="00D83E00" w:rsidP="00DE1921">
            <w:pPr>
              <w:pStyle w:val="TableTextLeft"/>
              <w:rPr>
                <w:rFonts w:ascii="Arial" w:hAnsi="Arial" w:cs="Arial"/>
                <w:sz w:val="24"/>
                <w:szCs w:val="24"/>
              </w:rPr>
            </w:pPr>
            <w:r w:rsidRPr="00E273FC">
              <w:rPr>
                <w:rFonts w:ascii="Arial" w:hAnsi="Arial" w:cs="Arial"/>
                <w:color w:val="4C4D4F"/>
                <w:sz w:val="24"/>
                <w:szCs w:val="24"/>
                <w:lang w:val="en-US"/>
              </w:rPr>
              <w:t>FRD 9B</w:t>
            </w:r>
          </w:p>
        </w:tc>
        <w:tc>
          <w:tcPr>
            <w:tcW w:w="3024" w:type="dxa"/>
            <w:tcMar>
              <w:left w:w="57" w:type="dxa"/>
              <w:right w:w="57" w:type="dxa"/>
            </w:tcMar>
            <w:vAlign w:val="center"/>
          </w:tcPr>
          <w:p w14:paraId="30D1BC2E" w14:textId="77777777" w:rsidR="00D83E00" w:rsidRPr="00E273FC" w:rsidRDefault="00D83E00" w:rsidP="00DE1921">
            <w:pPr>
              <w:pStyle w:val="TableTextLeft"/>
              <w:rPr>
                <w:rFonts w:ascii="Arial" w:hAnsi="Arial" w:cs="Arial"/>
                <w:sz w:val="24"/>
                <w:szCs w:val="24"/>
              </w:rPr>
            </w:pPr>
            <w:r w:rsidRPr="00E273FC">
              <w:rPr>
                <w:rFonts w:ascii="Arial" w:hAnsi="Arial" w:cs="Arial"/>
                <w:color w:val="4C4D4F"/>
                <w:spacing w:val="-1"/>
                <w:sz w:val="24"/>
                <w:szCs w:val="24"/>
              </w:rPr>
              <w:t>Departmental disclosure of administered assets and liabilities by activity</w:t>
            </w:r>
          </w:p>
        </w:tc>
        <w:tc>
          <w:tcPr>
            <w:tcW w:w="3024" w:type="dxa"/>
            <w:tcMar>
              <w:left w:w="57" w:type="dxa"/>
              <w:right w:w="57" w:type="dxa"/>
            </w:tcMar>
            <w:vAlign w:val="center"/>
          </w:tcPr>
          <w:p w14:paraId="792D0C58" w14:textId="2C59F935" w:rsidR="00D83E00" w:rsidRPr="00E273FC" w:rsidRDefault="009B2DDD" w:rsidP="00DE1921">
            <w:pPr>
              <w:pStyle w:val="TableTextRight"/>
              <w:rPr>
                <w:rFonts w:ascii="Arial" w:hAnsi="Arial" w:cs="Arial"/>
                <w:sz w:val="24"/>
                <w:szCs w:val="24"/>
              </w:rPr>
            </w:pPr>
            <w:hyperlink w:anchor="p131" w:history="1">
              <w:r w:rsidR="00CD20CE" w:rsidRPr="005126BA">
                <w:rPr>
                  <w:rStyle w:val="Hyperlink"/>
                  <w:rFonts w:ascii="Arial" w:hAnsi="Arial" w:cs="Arial"/>
                  <w:sz w:val="24"/>
                  <w:szCs w:val="24"/>
                </w:rPr>
                <w:t>131</w:t>
              </w:r>
            </w:hyperlink>
          </w:p>
        </w:tc>
      </w:tr>
      <w:tr w:rsidR="00D83E00" w:rsidRPr="00E273FC" w14:paraId="68D32BB3" w14:textId="77777777" w:rsidTr="000A2544">
        <w:trPr>
          <w:trHeight w:hRule="exact" w:val="858"/>
        </w:trPr>
        <w:tc>
          <w:tcPr>
            <w:tcW w:w="3024" w:type="dxa"/>
            <w:tcMar>
              <w:left w:w="57" w:type="dxa"/>
              <w:right w:w="57" w:type="dxa"/>
            </w:tcMar>
            <w:vAlign w:val="center"/>
          </w:tcPr>
          <w:p w14:paraId="31C8DC1C" w14:textId="77777777" w:rsidR="00D83E00" w:rsidRPr="00E273FC" w:rsidRDefault="00D83E00" w:rsidP="00DE1921">
            <w:pPr>
              <w:pStyle w:val="TableTextLeft"/>
              <w:rPr>
                <w:rFonts w:ascii="Arial" w:hAnsi="Arial" w:cs="Arial"/>
                <w:sz w:val="24"/>
                <w:szCs w:val="24"/>
              </w:rPr>
            </w:pPr>
            <w:r w:rsidRPr="00E273FC">
              <w:rPr>
                <w:rFonts w:ascii="Arial" w:hAnsi="Arial" w:cs="Arial"/>
                <w:color w:val="4C4D4F"/>
                <w:sz w:val="24"/>
                <w:szCs w:val="24"/>
                <w:lang w:val="en-US"/>
              </w:rPr>
              <w:t>FRD 11A</w:t>
            </w:r>
          </w:p>
        </w:tc>
        <w:tc>
          <w:tcPr>
            <w:tcW w:w="3024" w:type="dxa"/>
            <w:tcMar>
              <w:left w:w="57" w:type="dxa"/>
              <w:right w:w="57" w:type="dxa"/>
            </w:tcMar>
            <w:vAlign w:val="center"/>
          </w:tcPr>
          <w:p w14:paraId="01B0DCF7" w14:textId="77777777" w:rsidR="00D83E00" w:rsidRPr="00E273FC" w:rsidRDefault="00D83E00" w:rsidP="00DE1921">
            <w:pPr>
              <w:pStyle w:val="TableTextLeft"/>
              <w:rPr>
                <w:rFonts w:ascii="Arial" w:hAnsi="Arial" w:cs="Arial"/>
                <w:sz w:val="24"/>
                <w:szCs w:val="24"/>
              </w:rPr>
            </w:pPr>
            <w:r w:rsidRPr="00E273FC">
              <w:rPr>
                <w:rFonts w:ascii="Arial" w:hAnsi="Arial" w:cs="Arial"/>
                <w:color w:val="4C4D4F"/>
                <w:spacing w:val="-1"/>
                <w:sz w:val="24"/>
                <w:szCs w:val="24"/>
              </w:rPr>
              <w:t>Disclosure of ex gratia expenses</w:t>
            </w:r>
          </w:p>
        </w:tc>
        <w:tc>
          <w:tcPr>
            <w:tcW w:w="3024" w:type="dxa"/>
            <w:tcMar>
              <w:left w:w="57" w:type="dxa"/>
              <w:right w:w="57" w:type="dxa"/>
            </w:tcMar>
            <w:vAlign w:val="center"/>
          </w:tcPr>
          <w:p w14:paraId="7919AB72" w14:textId="6797A041" w:rsidR="00D83E00" w:rsidRPr="00E273FC" w:rsidRDefault="009B2DDD" w:rsidP="00DE1921">
            <w:pPr>
              <w:pStyle w:val="TableTextRight"/>
              <w:rPr>
                <w:rFonts w:ascii="Arial" w:hAnsi="Arial" w:cs="Arial"/>
                <w:sz w:val="24"/>
                <w:szCs w:val="24"/>
              </w:rPr>
            </w:pPr>
            <w:hyperlink w:anchor="p289" w:history="1">
              <w:r w:rsidR="00CD20CE" w:rsidRPr="005126BA">
                <w:rPr>
                  <w:rStyle w:val="Hyperlink"/>
                  <w:rFonts w:ascii="Arial" w:hAnsi="Arial" w:cs="Arial"/>
                  <w:sz w:val="24"/>
                  <w:szCs w:val="24"/>
                </w:rPr>
                <w:t>28</w:t>
              </w:r>
              <w:r w:rsidR="000208C5">
                <w:rPr>
                  <w:rStyle w:val="Hyperlink"/>
                  <w:rFonts w:ascii="Arial" w:hAnsi="Arial" w:cs="Arial"/>
                  <w:sz w:val="24"/>
                  <w:szCs w:val="24"/>
                </w:rPr>
                <w:t>7</w:t>
              </w:r>
            </w:hyperlink>
          </w:p>
        </w:tc>
      </w:tr>
      <w:tr w:rsidR="00D83E00" w:rsidRPr="00E273FC" w14:paraId="44BA373B" w14:textId="77777777" w:rsidTr="000A2544">
        <w:trPr>
          <w:trHeight w:hRule="exact" w:val="999"/>
        </w:trPr>
        <w:tc>
          <w:tcPr>
            <w:tcW w:w="3024" w:type="dxa"/>
            <w:tcMar>
              <w:left w:w="57" w:type="dxa"/>
              <w:right w:w="57" w:type="dxa"/>
            </w:tcMar>
            <w:vAlign w:val="center"/>
          </w:tcPr>
          <w:p w14:paraId="0840698B" w14:textId="77777777" w:rsidR="00D83E00" w:rsidRPr="00E273FC" w:rsidRDefault="00D83E00" w:rsidP="00DE1921">
            <w:pPr>
              <w:pStyle w:val="TableTextLeft"/>
              <w:rPr>
                <w:rFonts w:ascii="Arial" w:hAnsi="Arial" w:cs="Arial"/>
                <w:sz w:val="24"/>
                <w:szCs w:val="24"/>
              </w:rPr>
            </w:pPr>
            <w:r w:rsidRPr="00E273FC">
              <w:rPr>
                <w:rFonts w:ascii="Arial" w:hAnsi="Arial" w:cs="Arial"/>
                <w:color w:val="4C4D4F"/>
                <w:sz w:val="24"/>
                <w:szCs w:val="24"/>
                <w:lang w:val="en-US"/>
              </w:rPr>
              <w:t>FRD 13</w:t>
            </w:r>
          </w:p>
        </w:tc>
        <w:tc>
          <w:tcPr>
            <w:tcW w:w="3024" w:type="dxa"/>
            <w:tcMar>
              <w:left w:w="57" w:type="dxa"/>
              <w:right w:w="57" w:type="dxa"/>
            </w:tcMar>
            <w:vAlign w:val="center"/>
          </w:tcPr>
          <w:p w14:paraId="2A1DA21C" w14:textId="77777777" w:rsidR="00D83E00" w:rsidRPr="00E273FC" w:rsidRDefault="00D83E00" w:rsidP="00DE1921">
            <w:pPr>
              <w:pStyle w:val="TableTextLeft"/>
              <w:rPr>
                <w:rFonts w:ascii="Arial" w:hAnsi="Arial" w:cs="Arial"/>
                <w:sz w:val="24"/>
                <w:szCs w:val="24"/>
              </w:rPr>
            </w:pPr>
            <w:r w:rsidRPr="00E273FC">
              <w:rPr>
                <w:rFonts w:ascii="Arial" w:hAnsi="Arial" w:cs="Arial"/>
                <w:color w:val="4C4D4F"/>
                <w:spacing w:val="-1"/>
                <w:sz w:val="24"/>
                <w:szCs w:val="24"/>
              </w:rPr>
              <w:t>Disclosure of parliamentary appropriations</w:t>
            </w:r>
          </w:p>
        </w:tc>
        <w:tc>
          <w:tcPr>
            <w:tcW w:w="3024" w:type="dxa"/>
            <w:tcMar>
              <w:left w:w="57" w:type="dxa"/>
              <w:right w:w="57" w:type="dxa"/>
            </w:tcMar>
            <w:vAlign w:val="center"/>
          </w:tcPr>
          <w:p w14:paraId="4DE0D0E1" w14:textId="6BFAC928" w:rsidR="00D83E00" w:rsidRPr="00E273FC" w:rsidRDefault="009B2DDD" w:rsidP="00DE1921">
            <w:pPr>
              <w:pStyle w:val="TableTextRight"/>
              <w:rPr>
                <w:rFonts w:ascii="Arial" w:hAnsi="Arial" w:cs="Arial"/>
                <w:sz w:val="24"/>
                <w:szCs w:val="24"/>
              </w:rPr>
            </w:pPr>
            <w:hyperlink w:anchor="p72" w:history="1">
              <w:r w:rsidR="00CD20CE" w:rsidRPr="005126BA">
                <w:rPr>
                  <w:rStyle w:val="Hyperlink"/>
                  <w:rFonts w:ascii="Arial" w:hAnsi="Arial" w:cs="Arial"/>
                  <w:sz w:val="24"/>
                  <w:szCs w:val="24"/>
                </w:rPr>
                <w:t>72</w:t>
              </w:r>
            </w:hyperlink>
          </w:p>
        </w:tc>
      </w:tr>
      <w:tr w:rsidR="00D83E00" w:rsidRPr="00E273FC" w14:paraId="77DF662A" w14:textId="77777777" w:rsidTr="000E2629">
        <w:trPr>
          <w:trHeight w:hRule="exact" w:val="2154"/>
        </w:trPr>
        <w:tc>
          <w:tcPr>
            <w:tcW w:w="3024" w:type="dxa"/>
            <w:tcMar>
              <w:left w:w="57" w:type="dxa"/>
              <w:right w:w="57" w:type="dxa"/>
            </w:tcMar>
          </w:tcPr>
          <w:p w14:paraId="36E5B710" w14:textId="77777777" w:rsidR="00D83E00" w:rsidRPr="00E273FC" w:rsidRDefault="00D83E00" w:rsidP="00DE1921">
            <w:pPr>
              <w:pStyle w:val="TableTextLeft"/>
              <w:rPr>
                <w:rFonts w:ascii="Arial" w:hAnsi="Arial" w:cs="Arial"/>
                <w:sz w:val="24"/>
                <w:szCs w:val="24"/>
              </w:rPr>
            </w:pPr>
            <w:r w:rsidRPr="00E273FC">
              <w:rPr>
                <w:rFonts w:ascii="Arial" w:hAnsi="Arial" w:cs="Arial"/>
                <w:color w:val="4C4D4F"/>
                <w:spacing w:val="-4"/>
                <w:sz w:val="24"/>
                <w:szCs w:val="24"/>
                <w:lang w:val="en-US"/>
              </w:rPr>
              <w:t>FRD21C</w:t>
            </w:r>
          </w:p>
        </w:tc>
        <w:tc>
          <w:tcPr>
            <w:tcW w:w="3024" w:type="dxa"/>
            <w:tcMar>
              <w:left w:w="57" w:type="dxa"/>
              <w:right w:w="57" w:type="dxa"/>
            </w:tcMar>
          </w:tcPr>
          <w:p w14:paraId="25ACB87B" w14:textId="6DD41536" w:rsidR="00D83E00" w:rsidRPr="00E273FC" w:rsidRDefault="00D83E00" w:rsidP="00DE1921">
            <w:pPr>
              <w:pStyle w:val="TableTextLeft"/>
              <w:rPr>
                <w:rFonts w:ascii="Arial" w:hAnsi="Arial" w:cs="Arial"/>
                <w:sz w:val="24"/>
                <w:szCs w:val="24"/>
              </w:rPr>
            </w:pPr>
            <w:r w:rsidRPr="00E273FC">
              <w:rPr>
                <w:rFonts w:ascii="Arial" w:hAnsi="Arial" w:cs="Arial"/>
                <w:color w:val="4C4D4F"/>
                <w:spacing w:val="-1"/>
                <w:sz w:val="24"/>
                <w:szCs w:val="24"/>
              </w:rPr>
              <w:t>Disclosures of responsible persons, executive officers and other personnel (contractors with significant management responsibilities) in the financial report</w:t>
            </w:r>
          </w:p>
        </w:tc>
        <w:tc>
          <w:tcPr>
            <w:tcW w:w="3024" w:type="dxa"/>
            <w:tcMar>
              <w:left w:w="57" w:type="dxa"/>
              <w:right w:w="57" w:type="dxa"/>
            </w:tcMar>
          </w:tcPr>
          <w:p w14:paraId="6E2E0E16" w14:textId="770E8A99" w:rsidR="00D83E00" w:rsidRPr="00E273FC" w:rsidRDefault="009B2DDD" w:rsidP="00DE1921">
            <w:pPr>
              <w:pStyle w:val="TableTextRight"/>
              <w:rPr>
                <w:rFonts w:ascii="Arial" w:hAnsi="Arial" w:cs="Arial"/>
                <w:sz w:val="24"/>
                <w:szCs w:val="24"/>
              </w:rPr>
            </w:pPr>
            <w:hyperlink w:anchor="p307" w:history="1">
              <w:r w:rsidR="00C46C33" w:rsidRPr="005126BA">
                <w:rPr>
                  <w:rStyle w:val="Hyperlink"/>
                  <w:rFonts w:ascii="Arial" w:hAnsi="Arial" w:cs="Arial"/>
                  <w:sz w:val="24"/>
                  <w:szCs w:val="24"/>
                </w:rPr>
                <w:t>30</w:t>
              </w:r>
              <w:r w:rsidR="000208C5">
                <w:rPr>
                  <w:rStyle w:val="Hyperlink"/>
                  <w:rFonts w:ascii="Arial" w:hAnsi="Arial" w:cs="Arial"/>
                  <w:sz w:val="24"/>
                  <w:szCs w:val="24"/>
                </w:rPr>
                <w:t>6</w:t>
              </w:r>
            </w:hyperlink>
          </w:p>
        </w:tc>
      </w:tr>
      <w:tr w:rsidR="00D83E00" w:rsidRPr="00E273FC" w14:paraId="3B08981E" w14:textId="77777777" w:rsidTr="000A2544">
        <w:trPr>
          <w:trHeight w:hRule="exact" w:val="674"/>
        </w:trPr>
        <w:tc>
          <w:tcPr>
            <w:tcW w:w="3024" w:type="dxa"/>
            <w:tcMar>
              <w:left w:w="57" w:type="dxa"/>
              <w:right w:w="57" w:type="dxa"/>
            </w:tcMar>
            <w:vAlign w:val="center"/>
          </w:tcPr>
          <w:p w14:paraId="505F42FB" w14:textId="77777777" w:rsidR="00D83E00" w:rsidRPr="00E273FC" w:rsidRDefault="00D83E00" w:rsidP="00DE1921">
            <w:pPr>
              <w:pStyle w:val="TableTextLeft"/>
              <w:rPr>
                <w:rFonts w:ascii="Arial" w:hAnsi="Arial" w:cs="Arial"/>
                <w:sz w:val="24"/>
                <w:szCs w:val="24"/>
              </w:rPr>
            </w:pPr>
            <w:r w:rsidRPr="00E273FC">
              <w:rPr>
                <w:rFonts w:ascii="Arial" w:hAnsi="Arial" w:cs="Arial"/>
                <w:color w:val="4C4D4F"/>
                <w:sz w:val="24"/>
                <w:szCs w:val="24"/>
                <w:lang w:val="en-US"/>
              </w:rPr>
              <w:t>FRD 103H</w:t>
            </w:r>
          </w:p>
        </w:tc>
        <w:tc>
          <w:tcPr>
            <w:tcW w:w="3024" w:type="dxa"/>
            <w:tcMar>
              <w:left w:w="57" w:type="dxa"/>
              <w:right w:w="57" w:type="dxa"/>
            </w:tcMar>
            <w:vAlign w:val="center"/>
          </w:tcPr>
          <w:p w14:paraId="71997C69" w14:textId="77777777" w:rsidR="00D83E00" w:rsidRPr="00E273FC" w:rsidRDefault="00D83E00" w:rsidP="00DE1921">
            <w:pPr>
              <w:pStyle w:val="TableTextLeft"/>
              <w:rPr>
                <w:rFonts w:ascii="Arial" w:hAnsi="Arial" w:cs="Arial"/>
                <w:sz w:val="24"/>
                <w:szCs w:val="24"/>
              </w:rPr>
            </w:pPr>
            <w:r w:rsidRPr="00E273FC">
              <w:rPr>
                <w:rFonts w:ascii="Arial" w:hAnsi="Arial" w:cs="Arial"/>
                <w:color w:val="4C4D4F"/>
                <w:sz w:val="24"/>
                <w:szCs w:val="24"/>
              </w:rPr>
              <w:t>Non-financial physical assets</w:t>
            </w:r>
          </w:p>
        </w:tc>
        <w:tc>
          <w:tcPr>
            <w:tcW w:w="3024" w:type="dxa"/>
            <w:tcMar>
              <w:left w:w="57" w:type="dxa"/>
              <w:right w:w="57" w:type="dxa"/>
            </w:tcMar>
            <w:vAlign w:val="center"/>
          </w:tcPr>
          <w:p w14:paraId="2846B132" w14:textId="5BAEBF2F" w:rsidR="00D83E00" w:rsidRPr="00E273FC" w:rsidRDefault="009B2DDD" w:rsidP="00DE1921">
            <w:pPr>
              <w:pStyle w:val="TableTextRight"/>
              <w:rPr>
                <w:rFonts w:ascii="Arial" w:hAnsi="Arial" w:cs="Arial"/>
                <w:sz w:val="24"/>
                <w:szCs w:val="24"/>
              </w:rPr>
            </w:pPr>
            <w:hyperlink w:anchor="p135" w:history="1">
              <w:r w:rsidR="00C46C33" w:rsidRPr="005126BA">
                <w:rPr>
                  <w:rStyle w:val="Hyperlink"/>
                  <w:rFonts w:ascii="Arial" w:hAnsi="Arial" w:cs="Arial"/>
                  <w:sz w:val="24"/>
                  <w:szCs w:val="24"/>
                </w:rPr>
                <w:t>135</w:t>
              </w:r>
            </w:hyperlink>
          </w:p>
        </w:tc>
      </w:tr>
      <w:tr w:rsidR="00D83E00" w:rsidRPr="00E273FC" w14:paraId="1155B80D" w14:textId="77777777" w:rsidTr="00732609">
        <w:trPr>
          <w:trHeight w:hRule="exact" w:val="340"/>
        </w:trPr>
        <w:tc>
          <w:tcPr>
            <w:tcW w:w="3024" w:type="dxa"/>
            <w:tcMar>
              <w:left w:w="57" w:type="dxa"/>
              <w:right w:w="57" w:type="dxa"/>
            </w:tcMar>
            <w:vAlign w:val="center"/>
          </w:tcPr>
          <w:p w14:paraId="53C07F47" w14:textId="77777777" w:rsidR="00D83E00" w:rsidRPr="00E273FC" w:rsidRDefault="00D83E00" w:rsidP="00DE1921">
            <w:pPr>
              <w:pStyle w:val="TableTextLeft"/>
              <w:rPr>
                <w:rFonts w:ascii="Arial" w:hAnsi="Arial" w:cs="Arial"/>
                <w:sz w:val="24"/>
                <w:szCs w:val="24"/>
              </w:rPr>
            </w:pPr>
            <w:r w:rsidRPr="00E273FC">
              <w:rPr>
                <w:rFonts w:ascii="Arial" w:hAnsi="Arial" w:cs="Arial"/>
                <w:color w:val="4C4D4F"/>
                <w:sz w:val="24"/>
                <w:szCs w:val="24"/>
                <w:lang w:val="en-US"/>
              </w:rPr>
              <w:t>FRD 110A</w:t>
            </w:r>
          </w:p>
        </w:tc>
        <w:tc>
          <w:tcPr>
            <w:tcW w:w="3024" w:type="dxa"/>
            <w:tcMar>
              <w:left w:w="57" w:type="dxa"/>
              <w:right w:w="57" w:type="dxa"/>
            </w:tcMar>
            <w:vAlign w:val="center"/>
          </w:tcPr>
          <w:p w14:paraId="1ADFB278" w14:textId="77777777" w:rsidR="00D83E00" w:rsidRPr="00E273FC" w:rsidRDefault="00D83E00" w:rsidP="00DE1921">
            <w:pPr>
              <w:pStyle w:val="TableTextLeft"/>
              <w:rPr>
                <w:rFonts w:ascii="Arial" w:hAnsi="Arial" w:cs="Arial"/>
                <w:sz w:val="24"/>
                <w:szCs w:val="24"/>
              </w:rPr>
            </w:pPr>
            <w:r w:rsidRPr="00E273FC">
              <w:rPr>
                <w:rFonts w:ascii="Arial" w:hAnsi="Arial" w:cs="Arial"/>
                <w:color w:val="4C4D4F"/>
                <w:sz w:val="24"/>
                <w:szCs w:val="24"/>
              </w:rPr>
              <w:t>Cash flow statements</w:t>
            </w:r>
          </w:p>
        </w:tc>
        <w:tc>
          <w:tcPr>
            <w:tcW w:w="3024" w:type="dxa"/>
            <w:tcMar>
              <w:left w:w="57" w:type="dxa"/>
              <w:right w:w="57" w:type="dxa"/>
            </w:tcMar>
            <w:vAlign w:val="center"/>
          </w:tcPr>
          <w:p w14:paraId="12CE59BF" w14:textId="60F7046E" w:rsidR="00D83E00" w:rsidRPr="00E273FC" w:rsidRDefault="009B2DDD" w:rsidP="00DE1921">
            <w:pPr>
              <w:pStyle w:val="TableTextRight"/>
              <w:rPr>
                <w:rFonts w:ascii="Arial" w:hAnsi="Arial" w:cs="Arial"/>
                <w:sz w:val="24"/>
                <w:szCs w:val="24"/>
              </w:rPr>
            </w:pPr>
            <w:hyperlink w:anchor="p60" w:history="1">
              <w:r w:rsidR="00C46C33" w:rsidRPr="005126BA">
                <w:rPr>
                  <w:rStyle w:val="Hyperlink"/>
                  <w:rFonts w:ascii="Arial" w:hAnsi="Arial" w:cs="Arial"/>
                  <w:sz w:val="24"/>
                  <w:szCs w:val="24"/>
                </w:rPr>
                <w:t>60</w:t>
              </w:r>
            </w:hyperlink>
          </w:p>
        </w:tc>
      </w:tr>
      <w:tr w:rsidR="00D83E00" w:rsidRPr="00E273FC" w14:paraId="77A1FCD3" w14:textId="77777777" w:rsidTr="000A2544">
        <w:trPr>
          <w:trHeight w:hRule="exact" w:val="789"/>
        </w:trPr>
        <w:tc>
          <w:tcPr>
            <w:tcW w:w="3024" w:type="dxa"/>
            <w:tcMar>
              <w:left w:w="57" w:type="dxa"/>
              <w:right w:w="57" w:type="dxa"/>
            </w:tcMar>
            <w:vAlign w:val="center"/>
          </w:tcPr>
          <w:p w14:paraId="20827F06" w14:textId="77777777" w:rsidR="00D83E00" w:rsidRPr="00E273FC" w:rsidRDefault="00D83E00" w:rsidP="00DE1921">
            <w:pPr>
              <w:pStyle w:val="TableTextLeft"/>
              <w:rPr>
                <w:rFonts w:ascii="Arial" w:hAnsi="Arial" w:cs="Arial"/>
                <w:sz w:val="24"/>
                <w:szCs w:val="24"/>
              </w:rPr>
            </w:pPr>
            <w:r w:rsidRPr="00E273FC">
              <w:rPr>
                <w:rFonts w:ascii="Arial" w:hAnsi="Arial" w:cs="Arial"/>
                <w:color w:val="4C4D4F"/>
                <w:sz w:val="24"/>
                <w:szCs w:val="24"/>
                <w:lang w:val="en-US"/>
              </w:rPr>
              <w:t>FRD 112D</w:t>
            </w:r>
          </w:p>
        </w:tc>
        <w:tc>
          <w:tcPr>
            <w:tcW w:w="3024" w:type="dxa"/>
            <w:tcMar>
              <w:left w:w="57" w:type="dxa"/>
              <w:right w:w="57" w:type="dxa"/>
            </w:tcMar>
            <w:vAlign w:val="center"/>
          </w:tcPr>
          <w:p w14:paraId="494FDAC7" w14:textId="77777777" w:rsidR="00D83E00" w:rsidRPr="00E273FC" w:rsidRDefault="00D83E00" w:rsidP="00DE1921">
            <w:pPr>
              <w:pStyle w:val="TableTextLeft"/>
              <w:rPr>
                <w:rFonts w:ascii="Arial" w:hAnsi="Arial" w:cs="Arial"/>
                <w:sz w:val="24"/>
                <w:szCs w:val="24"/>
              </w:rPr>
            </w:pPr>
            <w:r w:rsidRPr="00E273FC">
              <w:rPr>
                <w:rFonts w:ascii="Arial" w:hAnsi="Arial" w:cs="Arial"/>
                <w:color w:val="4C4D4F"/>
                <w:spacing w:val="-1"/>
                <w:sz w:val="24"/>
                <w:szCs w:val="24"/>
              </w:rPr>
              <w:t>Defined benefit superannuation obligations</w:t>
            </w:r>
          </w:p>
        </w:tc>
        <w:tc>
          <w:tcPr>
            <w:tcW w:w="3024" w:type="dxa"/>
            <w:tcMar>
              <w:left w:w="57" w:type="dxa"/>
              <w:right w:w="57" w:type="dxa"/>
            </w:tcMar>
            <w:vAlign w:val="center"/>
          </w:tcPr>
          <w:p w14:paraId="1788D6B8" w14:textId="0C531384" w:rsidR="00D83E00" w:rsidRPr="00E273FC" w:rsidRDefault="009B2DDD" w:rsidP="00DE1921">
            <w:pPr>
              <w:pStyle w:val="TableTextRight"/>
              <w:rPr>
                <w:rFonts w:ascii="Arial" w:hAnsi="Arial" w:cs="Arial"/>
                <w:sz w:val="24"/>
                <w:szCs w:val="24"/>
              </w:rPr>
            </w:pPr>
            <w:hyperlink w:anchor="p96" w:history="1">
              <w:r w:rsidR="00C46C33" w:rsidRPr="005126BA">
                <w:rPr>
                  <w:rStyle w:val="Hyperlink"/>
                  <w:rFonts w:ascii="Arial" w:hAnsi="Arial" w:cs="Arial"/>
                  <w:sz w:val="24"/>
                  <w:szCs w:val="24"/>
                </w:rPr>
                <w:t>96</w:t>
              </w:r>
            </w:hyperlink>
          </w:p>
        </w:tc>
      </w:tr>
      <w:tr w:rsidR="00D83E00" w:rsidRPr="00E273FC" w14:paraId="244F8687" w14:textId="77777777" w:rsidTr="000A2544">
        <w:trPr>
          <w:trHeight w:val="1404"/>
        </w:trPr>
        <w:tc>
          <w:tcPr>
            <w:tcW w:w="3024" w:type="dxa"/>
            <w:tcMar>
              <w:left w:w="57" w:type="dxa"/>
              <w:right w:w="57" w:type="dxa"/>
            </w:tcMar>
          </w:tcPr>
          <w:p w14:paraId="1C6D1C65" w14:textId="77777777" w:rsidR="00D83E00" w:rsidRPr="00E273FC" w:rsidRDefault="00D83E00" w:rsidP="00DE1921">
            <w:pPr>
              <w:pStyle w:val="TableTextLeft"/>
              <w:rPr>
                <w:rFonts w:ascii="Arial" w:hAnsi="Arial" w:cs="Arial"/>
                <w:color w:val="4C4D4F"/>
                <w:sz w:val="24"/>
                <w:szCs w:val="24"/>
                <w:lang w:val="en-US"/>
              </w:rPr>
            </w:pPr>
            <w:r w:rsidRPr="00E273FC">
              <w:rPr>
                <w:rFonts w:ascii="Arial" w:hAnsi="Arial" w:cs="Arial"/>
                <w:color w:val="4C4D4F"/>
                <w:sz w:val="24"/>
                <w:szCs w:val="24"/>
                <w:lang w:val="en-US"/>
              </w:rPr>
              <w:t>FRD 114C</w:t>
            </w:r>
          </w:p>
        </w:tc>
        <w:tc>
          <w:tcPr>
            <w:tcW w:w="3024" w:type="dxa"/>
            <w:tcMar>
              <w:left w:w="57" w:type="dxa"/>
              <w:right w:w="57" w:type="dxa"/>
            </w:tcMar>
            <w:vAlign w:val="center"/>
          </w:tcPr>
          <w:p w14:paraId="20E71E58" w14:textId="77777777" w:rsidR="00D83E00" w:rsidRPr="00E273FC" w:rsidRDefault="00D83E00" w:rsidP="00DE1921">
            <w:pPr>
              <w:pStyle w:val="TableTextLeft"/>
              <w:rPr>
                <w:rFonts w:ascii="Arial" w:hAnsi="Arial" w:cs="Arial"/>
                <w:color w:val="4C4D4F"/>
                <w:spacing w:val="-1"/>
                <w:sz w:val="24"/>
                <w:szCs w:val="24"/>
              </w:rPr>
            </w:pPr>
            <w:r w:rsidRPr="00E273FC">
              <w:rPr>
                <w:rFonts w:ascii="Arial" w:hAnsi="Arial" w:cs="Arial"/>
                <w:color w:val="4C4D4F"/>
                <w:spacing w:val="-1"/>
                <w:sz w:val="24"/>
                <w:szCs w:val="24"/>
              </w:rPr>
              <w:t>Financial Instruments – general government entities and public non-financial corporations</w:t>
            </w:r>
          </w:p>
        </w:tc>
        <w:tc>
          <w:tcPr>
            <w:tcW w:w="3024" w:type="dxa"/>
            <w:tcMar>
              <w:left w:w="57" w:type="dxa"/>
              <w:right w:w="57" w:type="dxa"/>
            </w:tcMar>
          </w:tcPr>
          <w:p w14:paraId="5D83CCAA" w14:textId="4228EC38" w:rsidR="00D83E00" w:rsidRPr="00E273FC" w:rsidRDefault="009B2DDD" w:rsidP="00DE1921">
            <w:pPr>
              <w:pStyle w:val="TableTextRight"/>
              <w:rPr>
                <w:rFonts w:ascii="Arial" w:hAnsi="Arial" w:cs="Arial"/>
                <w:sz w:val="24"/>
                <w:szCs w:val="24"/>
              </w:rPr>
            </w:pPr>
            <w:hyperlink w:anchor="p251" w:history="1">
              <w:r w:rsidR="00C46C33" w:rsidRPr="005126BA">
                <w:rPr>
                  <w:rStyle w:val="Hyperlink"/>
                  <w:rFonts w:ascii="Arial" w:hAnsi="Arial" w:cs="Arial"/>
                  <w:sz w:val="24"/>
                  <w:szCs w:val="24"/>
                </w:rPr>
                <w:t>251</w:t>
              </w:r>
            </w:hyperlink>
          </w:p>
        </w:tc>
      </w:tr>
    </w:tbl>
    <w:p w14:paraId="20D36CF2" w14:textId="77777777" w:rsidR="00E01A33" w:rsidRDefault="00E01A33"/>
    <w:p w14:paraId="159C88AD" w14:textId="77777777" w:rsidR="00C366C0" w:rsidRDefault="00C366C0"/>
    <w:tbl>
      <w:tblPr>
        <w:tblStyle w:val="TableGrid"/>
        <w:tblW w:w="9072" w:type="dxa"/>
        <w:tblCellMar>
          <w:left w:w="28" w:type="dxa"/>
          <w:right w:w="28" w:type="dxa"/>
        </w:tblCellMar>
        <w:tblLook w:val="04A0" w:firstRow="1" w:lastRow="0" w:firstColumn="1" w:lastColumn="0" w:noHBand="0" w:noVBand="1"/>
      </w:tblPr>
      <w:tblGrid>
        <w:gridCol w:w="4536"/>
        <w:gridCol w:w="4536"/>
      </w:tblGrid>
      <w:tr w:rsidR="00E01A33" w:rsidRPr="00E273FC" w14:paraId="3C64B9C8" w14:textId="77777777" w:rsidTr="00705EB4">
        <w:trPr>
          <w:trHeight w:hRule="exact" w:val="340"/>
        </w:trPr>
        <w:tc>
          <w:tcPr>
            <w:tcW w:w="9072" w:type="dxa"/>
            <w:gridSpan w:val="2"/>
            <w:tcMar>
              <w:left w:w="57" w:type="dxa"/>
              <w:right w:w="57" w:type="dxa"/>
            </w:tcMar>
            <w:vAlign w:val="center"/>
          </w:tcPr>
          <w:p w14:paraId="5E213E6D" w14:textId="793D451A" w:rsidR="00E01A33" w:rsidRPr="00E273FC" w:rsidRDefault="00E01A33" w:rsidP="00E01A33">
            <w:pPr>
              <w:pStyle w:val="TableTextGreen"/>
            </w:pPr>
            <w:r w:rsidRPr="00E273FC">
              <w:lastRenderedPageBreak/>
              <w:t>Legislation</w:t>
            </w:r>
          </w:p>
        </w:tc>
      </w:tr>
      <w:tr w:rsidR="00D83E00" w:rsidRPr="00E273FC" w14:paraId="3C7E72A0" w14:textId="77777777" w:rsidTr="00732609">
        <w:trPr>
          <w:trHeight w:hRule="exact" w:val="340"/>
        </w:trPr>
        <w:tc>
          <w:tcPr>
            <w:tcW w:w="4536" w:type="dxa"/>
            <w:tcMar>
              <w:left w:w="57" w:type="dxa"/>
              <w:right w:w="57" w:type="dxa"/>
            </w:tcMar>
            <w:vAlign w:val="center"/>
          </w:tcPr>
          <w:p w14:paraId="7F3813DB" w14:textId="77777777" w:rsidR="00D83E00" w:rsidRPr="00E273FC" w:rsidRDefault="00D83E00" w:rsidP="00DE1921">
            <w:pPr>
              <w:pStyle w:val="TableTextLeftItalics"/>
              <w:rPr>
                <w:rFonts w:ascii="Arial" w:hAnsi="Arial" w:cs="Arial"/>
                <w:i w:val="0"/>
                <w:sz w:val="24"/>
                <w:szCs w:val="24"/>
              </w:rPr>
            </w:pPr>
            <w:r w:rsidRPr="00E273FC">
              <w:rPr>
                <w:rFonts w:ascii="Arial" w:hAnsi="Arial" w:cs="Arial"/>
                <w:i w:val="0"/>
                <w:sz w:val="24"/>
                <w:szCs w:val="24"/>
              </w:rPr>
              <w:t>Freedom of Information Act 1982</w:t>
            </w:r>
          </w:p>
        </w:tc>
        <w:tc>
          <w:tcPr>
            <w:tcW w:w="4536" w:type="dxa"/>
            <w:vAlign w:val="center"/>
          </w:tcPr>
          <w:p w14:paraId="255EAF79" w14:textId="347AE676" w:rsidR="00D83E00" w:rsidRPr="00E273FC" w:rsidRDefault="009B2DDD" w:rsidP="00DE1921">
            <w:pPr>
              <w:pStyle w:val="TableTextRight"/>
              <w:rPr>
                <w:rFonts w:ascii="Arial" w:hAnsi="Arial" w:cs="Arial"/>
                <w:sz w:val="24"/>
                <w:szCs w:val="24"/>
              </w:rPr>
            </w:pPr>
            <w:hyperlink w:anchor="p471" w:history="1">
              <w:r w:rsidR="00C46C33" w:rsidRPr="005126BA">
                <w:rPr>
                  <w:rStyle w:val="Hyperlink"/>
                  <w:rFonts w:ascii="Arial" w:hAnsi="Arial" w:cs="Arial"/>
                  <w:sz w:val="24"/>
                  <w:szCs w:val="24"/>
                </w:rPr>
                <w:t>47</w:t>
              </w:r>
              <w:r w:rsidR="00C366C0">
                <w:rPr>
                  <w:rStyle w:val="Hyperlink"/>
                  <w:rFonts w:ascii="Arial" w:hAnsi="Arial" w:cs="Arial"/>
                  <w:sz w:val="24"/>
                  <w:szCs w:val="24"/>
                </w:rPr>
                <w:t>0</w:t>
              </w:r>
            </w:hyperlink>
          </w:p>
        </w:tc>
      </w:tr>
      <w:tr w:rsidR="00D83E00" w:rsidRPr="00E273FC" w14:paraId="4E439958" w14:textId="77777777" w:rsidTr="00732609">
        <w:trPr>
          <w:trHeight w:hRule="exact" w:val="340"/>
        </w:trPr>
        <w:tc>
          <w:tcPr>
            <w:tcW w:w="4536" w:type="dxa"/>
            <w:tcMar>
              <w:left w:w="57" w:type="dxa"/>
              <w:right w:w="57" w:type="dxa"/>
            </w:tcMar>
            <w:vAlign w:val="center"/>
          </w:tcPr>
          <w:p w14:paraId="5A002A68" w14:textId="77777777" w:rsidR="00D83E00" w:rsidRPr="00E273FC" w:rsidRDefault="00D83E00" w:rsidP="00DE1921">
            <w:pPr>
              <w:pStyle w:val="TableTextLeftItalics"/>
              <w:rPr>
                <w:rFonts w:ascii="Arial" w:hAnsi="Arial" w:cs="Arial"/>
                <w:i w:val="0"/>
                <w:sz w:val="24"/>
                <w:szCs w:val="24"/>
              </w:rPr>
            </w:pPr>
            <w:r w:rsidRPr="00E273FC">
              <w:rPr>
                <w:rFonts w:ascii="Arial" w:hAnsi="Arial" w:cs="Arial"/>
                <w:i w:val="0"/>
                <w:sz w:val="24"/>
                <w:szCs w:val="24"/>
              </w:rPr>
              <w:t>Building Act 1993</w:t>
            </w:r>
          </w:p>
        </w:tc>
        <w:tc>
          <w:tcPr>
            <w:tcW w:w="4536" w:type="dxa"/>
            <w:vAlign w:val="center"/>
          </w:tcPr>
          <w:p w14:paraId="5367C028" w14:textId="08DB627F" w:rsidR="00D83E00" w:rsidRPr="00E273FC" w:rsidRDefault="009B2DDD" w:rsidP="00DE1921">
            <w:pPr>
              <w:pStyle w:val="TableTextRight"/>
              <w:rPr>
                <w:rFonts w:ascii="Arial" w:hAnsi="Arial" w:cs="Arial"/>
                <w:sz w:val="24"/>
                <w:szCs w:val="24"/>
              </w:rPr>
            </w:pPr>
            <w:hyperlink w:anchor="p474" w:history="1">
              <w:r w:rsidR="00C46C33" w:rsidRPr="005126BA">
                <w:rPr>
                  <w:rStyle w:val="Hyperlink"/>
                  <w:rFonts w:ascii="Arial" w:hAnsi="Arial" w:cs="Arial"/>
                  <w:sz w:val="24"/>
                  <w:szCs w:val="24"/>
                </w:rPr>
                <w:t>47</w:t>
              </w:r>
              <w:r w:rsidR="00C366C0">
                <w:rPr>
                  <w:rStyle w:val="Hyperlink"/>
                  <w:rFonts w:ascii="Arial" w:hAnsi="Arial" w:cs="Arial"/>
                  <w:sz w:val="24"/>
                  <w:szCs w:val="24"/>
                </w:rPr>
                <w:t>3</w:t>
              </w:r>
            </w:hyperlink>
          </w:p>
        </w:tc>
      </w:tr>
      <w:tr w:rsidR="00D83E00" w:rsidRPr="00E273FC" w14:paraId="61B68017" w14:textId="77777777" w:rsidTr="00732609">
        <w:trPr>
          <w:trHeight w:hRule="exact" w:val="340"/>
        </w:trPr>
        <w:tc>
          <w:tcPr>
            <w:tcW w:w="4536" w:type="dxa"/>
            <w:tcMar>
              <w:left w:w="57" w:type="dxa"/>
              <w:right w:w="57" w:type="dxa"/>
            </w:tcMar>
            <w:vAlign w:val="center"/>
          </w:tcPr>
          <w:p w14:paraId="125EA481" w14:textId="77777777" w:rsidR="00D83E00" w:rsidRPr="00E273FC" w:rsidRDefault="00D83E00" w:rsidP="00DE1921">
            <w:pPr>
              <w:pStyle w:val="TableTextLeftItalics"/>
              <w:rPr>
                <w:rFonts w:ascii="Arial" w:hAnsi="Arial" w:cs="Arial"/>
                <w:i w:val="0"/>
                <w:sz w:val="24"/>
                <w:szCs w:val="24"/>
              </w:rPr>
            </w:pPr>
            <w:r w:rsidRPr="00E273FC">
              <w:rPr>
                <w:rFonts w:ascii="Arial" w:hAnsi="Arial" w:cs="Arial"/>
                <w:i w:val="0"/>
                <w:sz w:val="24"/>
                <w:szCs w:val="24"/>
              </w:rPr>
              <w:t>Public Interest Disclosures Act 2012</w:t>
            </w:r>
          </w:p>
        </w:tc>
        <w:tc>
          <w:tcPr>
            <w:tcW w:w="4536" w:type="dxa"/>
            <w:vAlign w:val="center"/>
          </w:tcPr>
          <w:p w14:paraId="53D9B30B" w14:textId="3671696A" w:rsidR="00D83E00" w:rsidRPr="00E273FC" w:rsidRDefault="009B2DDD" w:rsidP="00DE1921">
            <w:pPr>
              <w:pStyle w:val="TableTextRight"/>
              <w:rPr>
                <w:rFonts w:ascii="Arial" w:hAnsi="Arial" w:cs="Arial"/>
                <w:sz w:val="24"/>
                <w:szCs w:val="24"/>
              </w:rPr>
            </w:pPr>
            <w:hyperlink w:anchor="p479" w:history="1">
              <w:r w:rsidR="00C46C33" w:rsidRPr="005126BA">
                <w:rPr>
                  <w:rStyle w:val="Hyperlink"/>
                  <w:rFonts w:ascii="Arial" w:hAnsi="Arial" w:cs="Arial"/>
                  <w:sz w:val="24"/>
                  <w:szCs w:val="24"/>
                </w:rPr>
                <w:t>47</w:t>
              </w:r>
              <w:r w:rsidR="00C366C0">
                <w:rPr>
                  <w:rStyle w:val="Hyperlink"/>
                  <w:rFonts w:ascii="Arial" w:hAnsi="Arial" w:cs="Arial"/>
                  <w:sz w:val="24"/>
                  <w:szCs w:val="24"/>
                </w:rPr>
                <w:t>8</w:t>
              </w:r>
            </w:hyperlink>
          </w:p>
        </w:tc>
      </w:tr>
      <w:tr w:rsidR="00D83E00" w:rsidRPr="00E273FC" w14:paraId="59A2DB88" w14:textId="77777777" w:rsidTr="00732609">
        <w:trPr>
          <w:trHeight w:hRule="exact" w:val="340"/>
        </w:trPr>
        <w:tc>
          <w:tcPr>
            <w:tcW w:w="4536" w:type="dxa"/>
            <w:tcMar>
              <w:left w:w="57" w:type="dxa"/>
              <w:right w:w="57" w:type="dxa"/>
            </w:tcMar>
            <w:vAlign w:val="center"/>
          </w:tcPr>
          <w:p w14:paraId="315CDD0E" w14:textId="77777777" w:rsidR="00D83E00" w:rsidRPr="00E273FC" w:rsidRDefault="00D83E00" w:rsidP="00DE1921">
            <w:pPr>
              <w:pStyle w:val="TableTextLeftItalics"/>
              <w:rPr>
                <w:rFonts w:ascii="Arial" w:hAnsi="Arial" w:cs="Arial"/>
                <w:i w:val="0"/>
                <w:sz w:val="24"/>
                <w:szCs w:val="24"/>
              </w:rPr>
            </w:pPr>
            <w:r w:rsidRPr="00E273FC">
              <w:rPr>
                <w:rFonts w:ascii="Arial" w:hAnsi="Arial" w:cs="Arial"/>
                <w:i w:val="0"/>
                <w:sz w:val="24"/>
                <w:szCs w:val="24"/>
              </w:rPr>
              <w:t>Carers Recognition Act 2012</w:t>
            </w:r>
          </w:p>
        </w:tc>
        <w:tc>
          <w:tcPr>
            <w:tcW w:w="4536" w:type="dxa"/>
            <w:vAlign w:val="center"/>
          </w:tcPr>
          <w:p w14:paraId="52992EBD" w14:textId="05DE0938" w:rsidR="00D83E00" w:rsidRPr="00E273FC" w:rsidRDefault="009B2DDD" w:rsidP="00DE1921">
            <w:pPr>
              <w:pStyle w:val="TableTextRight"/>
              <w:rPr>
                <w:rFonts w:ascii="Arial" w:hAnsi="Arial" w:cs="Arial"/>
                <w:sz w:val="24"/>
                <w:szCs w:val="24"/>
              </w:rPr>
            </w:pPr>
            <w:hyperlink w:anchor="p401" w:history="1">
              <w:r w:rsidR="00C46C33" w:rsidRPr="005126BA">
                <w:rPr>
                  <w:rStyle w:val="Hyperlink"/>
                  <w:rFonts w:ascii="Arial" w:hAnsi="Arial" w:cs="Arial"/>
                  <w:sz w:val="24"/>
                  <w:szCs w:val="24"/>
                </w:rPr>
                <w:t>40</w:t>
              </w:r>
              <w:r w:rsidR="00C366C0">
                <w:rPr>
                  <w:rStyle w:val="Hyperlink"/>
                  <w:rFonts w:ascii="Arial" w:hAnsi="Arial" w:cs="Arial"/>
                  <w:sz w:val="24"/>
                  <w:szCs w:val="24"/>
                </w:rPr>
                <w:t>0</w:t>
              </w:r>
            </w:hyperlink>
          </w:p>
        </w:tc>
      </w:tr>
      <w:tr w:rsidR="00D83E00" w:rsidRPr="00E273FC" w14:paraId="5416853E" w14:textId="77777777" w:rsidTr="00732609">
        <w:trPr>
          <w:trHeight w:hRule="exact" w:val="340"/>
        </w:trPr>
        <w:tc>
          <w:tcPr>
            <w:tcW w:w="4536" w:type="dxa"/>
            <w:tcMar>
              <w:left w:w="57" w:type="dxa"/>
              <w:right w:w="57" w:type="dxa"/>
            </w:tcMar>
            <w:vAlign w:val="center"/>
          </w:tcPr>
          <w:p w14:paraId="57CCC633" w14:textId="77777777" w:rsidR="00D83E00" w:rsidRPr="00E273FC" w:rsidRDefault="00D83E00" w:rsidP="00DE1921">
            <w:pPr>
              <w:pStyle w:val="TableTextLeftItalics"/>
              <w:rPr>
                <w:rFonts w:ascii="Arial" w:hAnsi="Arial" w:cs="Arial"/>
                <w:i w:val="0"/>
                <w:sz w:val="24"/>
                <w:szCs w:val="24"/>
              </w:rPr>
            </w:pPr>
            <w:r w:rsidRPr="00E273FC">
              <w:rPr>
                <w:rFonts w:ascii="Arial" w:hAnsi="Arial" w:cs="Arial"/>
                <w:i w:val="0"/>
                <w:sz w:val="24"/>
                <w:szCs w:val="24"/>
              </w:rPr>
              <w:t>Disability Act 2006</w:t>
            </w:r>
          </w:p>
        </w:tc>
        <w:tc>
          <w:tcPr>
            <w:tcW w:w="4536" w:type="dxa"/>
            <w:vAlign w:val="center"/>
          </w:tcPr>
          <w:p w14:paraId="65DC6B8A" w14:textId="529B7190" w:rsidR="00D83E00" w:rsidRPr="00E273FC" w:rsidDel="00A90368" w:rsidRDefault="009B2DDD" w:rsidP="00DE1921">
            <w:pPr>
              <w:pStyle w:val="TableTextRight"/>
              <w:rPr>
                <w:rFonts w:ascii="Arial" w:hAnsi="Arial" w:cs="Arial"/>
                <w:sz w:val="24"/>
                <w:szCs w:val="24"/>
              </w:rPr>
            </w:pPr>
            <w:hyperlink w:anchor="p399" w:history="1">
              <w:r w:rsidR="00C46C33" w:rsidRPr="005126BA">
                <w:rPr>
                  <w:rStyle w:val="Hyperlink"/>
                  <w:rFonts w:ascii="Arial" w:hAnsi="Arial" w:cs="Arial"/>
                  <w:sz w:val="24"/>
                  <w:szCs w:val="24"/>
                </w:rPr>
                <w:t>39</w:t>
              </w:r>
              <w:r w:rsidR="00C366C0">
                <w:rPr>
                  <w:rStyle w:val="Hyperlink"/>
                  <w:rFonts w:ascii="Arial" w:hAnsi="Arial" w:cs="Arial"/>
                  <w:sz w:val="24"/>
                  <w:szCs w:val="24"/>
                </w:rPr>
                <w:t>8</w:t>
              </w:r>
            </w:hyperlink>
          </w:p>
        </w:tc>
      </w:tr>
      <w:tr w:rsidR="00D83E00" w:rsidRPr="00E273FC" w14:paraId="3AB95875" w14:textId="77777777" w:rsidTr="00732609">
        <w:trPr>
          <w:trHeight w:hRule="exact" w:val="340"/>
        </w:trPr>
        <w:tc>
          <w:tcPr>
            <w:tcW w:w="4536" w:type="dxa"/>
            <w:tcMar>
              <w:left w:w="57" w:type="dxa"/>
              <w:right w:w="57" w:type="dxa"/>
            </w:tcMar>
            <w:vAlign w:val="center"/>
          </w:tcPr>
          <w:p w14:paraId="7F027BE1" w14:textId="77777777" w:rsidR="00D83E00" w:rsidRPr="00E273FC" w:rsidRDefault="00D83E00" w:rsidP="00DE1921">
            <w:pPr>
              <w:pStyle w:val="TableTextLeftItalics"/>
              <w:rPr>
                <w:rFonts w:ascii="Arial" w:hAnsi="Arial" w:cs="Arial"/>
                <w:i w:val="0"/>
                <w:sz w:val="24"/>
                <w:szCs w:val="24"/>
              </w:rPr>
            </w:pPr>
            <w:r w:rsidRPr="00E273FC">
              <w:rPr>
                <w:rFonts w:ascii="Arial" w:hAnsi="Arial" w:cs="Arial"/>
                <w:i w:val="0"/>
                <w:sz w:val="24"/>
                <w:szCs w:val="24"/>
              </w:rPr>
              <w:t>Local Jobs First Act 2003</w:t>
            </w:r>
          </w:p>
        </w:tc>
        <w:tc>
          <w:tcPr>
            <w:tcW w:w="4536" w:type="dxa"/>
            <w:vAlign w:val="center"/>
          </w:tcPr>
          <w:p w14:paraId="1D575735" w14:textId="024FC29A" w:rsidR="00D83E00" w:rsidRPr="00E273FC" w:rsidRDefault="009B2DDD" w:rsidP="00DE1921">
            <w:pPr>
              <w:pStyle w:val="TableTextRight"/>
              <w:rPr>
                <w:rFonts w:ascii="Arial" w:hAnsi="Arial" w:cs="Arial"/>
                <w:sz w:val="24"/>
                <w:szCs w:val="24"/>
              </w:rPr>
            </w:pPr>
            <w:hyperlink w:anchor="p448" w:history="1">
              <w:r w:rsidR="00C46C33" w:rsidRPr="005126BA">
                <w:rPr>
                  <w:rStyle w:val="Hyperlink"/>
                  <w:rFonts w:ascii="Arial" w:hAnsi="Arial" w:cs="Arial"/>
                  <w:sz w:val="24"/>
                  <w:szCs w:val="24"/>
                </w:rPr>
                <w:t>44</w:t>
              </w:r>
              <w:r w:rsidR="00C366C0">
                <w:rPr>
                  <w:rStyle w:val="Hyperlink"/>
                  <w:rFonts w:ascii="Arial" w:hAnsi="Arial" w:cs="Arial"/>
                  <w:sz w:val="24"/>
                  <w:szCs w:val="24"/>
                </w:rPr>
                <w:t>6</w:t>
              </w:r>
            </w:hyperlink>
          </w:p>
        </w:tc>
      </w:tr>
      <w:tr w:rsidR="00D83E00" w:rsidRPr="00E273FC" w14:paraId="4115F53E" w14:textId="77777777" w:rsidTr="00732609">
        <w:trPr>
          <w:trHeight w:hRule="exact" w:val="340"/>
        </w:trPr>
        <w:tc>
          <w:tcPr>
            <w:tcW w:w="4536" w:type="dxa"/>
            <w:tcMar>
              <w:left w:w="57" w:type="dxa"/>
              <w:right w:w="57" w:type="dxa"/>
            </w:tcMar>
            <w:vAlign w:val="center"/>
          </w:tcPr>
          <w:p w14:paraId="73834FED" w14:textId="77777777" w:rsidR="00D83E00" w:rsidRPr="00E273FC" w:rsidRDefault="00D83E00" w:rsidP="00DE1921">
            <w:pPr>
              <w:pStyle w:val="TableTextLeftItalics"/>
              <w:rPr>
                <w:rFonts w:ascii="Arial" w:hAnsi="Arial" w:cs="Arial"/>
                <w:i w:val="0"/>
                <w:sz w:val="24"/>
                <w:szCs w:val="24"/>
              </w:rPr>
            </w:pPr>
            <w:r w:rsidRPr="00E273FC">
              <w:rPr>
                <w:rFonts w:ascii="Arial" w:hAnsi="Arial" w:cs="Arial"/>
                <w:i w:val="0"/>
                <w:sz w:val="24"/>
                <w:szCs w:val="24"/>
              </w:rPr>
              <w:t>Financial Management Act 1994</w:t>
            </w:r>
          </w:p>
        </w:tc>
        <w:tc>
          <w:tcPr>
            <w:tcW w:w="4536" w:type="dxa"/>
            <w:vAlign w:val="center"/>
          </w:tcPr>
          <w:p w14:paraId="0F9E259F" w14:textId="2DBFB6ED" w:rsidR="00D83E00" w:rsidRPr="00E273FC" w:rsidRDefault="009B2DDD" w:rsidP="00DE1921">
            <w:pPr>
              <w:pStyle w:val="TableTextRight"/>
              <w:rPr>
                <w:rFonts w:ascii="Arial" w:hAnsi="Arial" w:cs="Arial"/>
                <w:sz w:val="24"/>
                <w:szCs w:val="24"/>
              </w:rPr>
            </w:pPr>
            <w:hyperlink w:anchor="p46" w:history="1">
              <w:r w:rsidR="00C46C33" w:rsidRPr="005126BA">
                <w:rPr>
                  <w:rStyle w:val="Hyperlink"/>
                  <w:rFonts w:ascii="Arial" w:hAnsi="Arial" w:cs="Arial"/>
                  <w:sz w:val="24"/>
                  <w:szCs w:val="24"/>
                </w:rPr>
                <w:t>46</w:t>
              </w:r>
            </w:hyperlink>
          </w:p>
        </w:tc>
      </w:tr>
    </w:tbl>
    <w:p w14:paraId="17D9D343" w14:textId="3EABD28A" w:rsidR="00F74538" w:rsidRPr="00E273FC" w:rsidRDefault="00F74538">
      <w:pPr>
        <w:rPr>
          <w:rFonts w:ascii="Arial" w:hAnsi="Arial" w:cs="Arial"/>
          <w:sz w:val="24"/>
          <w:szCs w:val="24"/>
        </w:rPr>
      </w:pPr>
    </w:p>
    <w:sectPr w:rsidR="00F74538" w:rsidRPr="00E273FC" w:rsidSect="00C756C1">
      <w:footerReference w:type="even" r:id="rId324"/>
      <w:pgSz w:w="11906" w:h="16838"/>
      <w:pgMar w:top="1701" w:right="1418" w:bottom="1418" w:left="1418"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F109D" w14:textId="77777777" w:rsidR="008F5781" w:rsidRDefault="008F5781">
      <w:pPr>
        <w:spacing w:after="0" w:line="240" w:lineRule="auto"/>
      </w:pPr>
      <w:r>
        <w:separator/>
      </w:r>
    </w:p>
  </w:endnote>
  <w:endnote w:type="continuationSeparator" w:id="0">
    <w:p w14:paraId="17180A0E" w14:textId="77777777" w:rsidR="008F5781" w:rsidRDefault="008F5781">
      <w:pPr>
        <w:spacing w:after="0" w:line="240" w:lineRule="auto"/>
      </w:pPr>
      <w:r>
        <w:continuationSeparator/>
      </w:r>
    </w:p>
  </w:endnote>
  <w:endnote w:type="continuationNotice" w:id="1">
    <w:p w14:paraId="78AD8040" w14:textId="77777777" w:rsidR="008F5781" w:rsidRDefault="008F57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Light">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VIC-LightItalic">
    <w:altName w:val="VIC"/>
    <w:panose1 w:val="00000000000000000000"/>
    <w:charset w:val="00"/>
    <w:family w:val="swiss"/>
    <w:notTrueType/>
    <w:pitch w:val="default"/>
    <w:sig w:usb0="00000003" w:usb1="00000000" w:usb2="00000000" w:usb3="00000000" w:csb0="00000001" w:csb1="00000000"/>
  </w:font>
  <w:font w:name="VIC-Light">
    <w:altName w:val="V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E985F" w14:textId="77777777" w:rsidR="00AB391C" w:rsidRPr="00AB391C" w:rsidRDefault="00AB391C" w:rsidP="00AB391C">
    <w:pPr>
      <w:keepLines/>
      <w:tabs>
        <w:tab w:val="center" w:pos="4513"/>
        <w:tab w:val="right" w:pos="9026"/>
      </w:tabs>
      <w:spacing w:after="0" w:line="240" w:lineRule="auto"/>
      <w:jc w:val="right"/>
      <w:rPr>
        <w:rFonts w:ascii="Arial" w:eastAsia="Arial" w:hAnsi="Arial" w:cs="Times New Roman"/>
        <w:sz w:val="24"/>
      </w:rPr>
    </w:pPr>
    <w:r w:rsidRPr="00AB391C">
      <w:rPr>
        <w:rFonts w:ascii="Arial" w:eastAsia="Arial" w:hAnsi="Arial" w:cs="Times New Roman"/>
        <w:sz w:val="24"/>
      </w:rPr>
      <w:t xml:space="preserve">DoT Annual Report 2019-20 – Page </w:t>
    </w:r>
    <w:r w:rsidRPr="00AB391C">
      <w:rPr>
        <w:rFonts w:ascii="Arial" w:eastAsia="Arial" w:hAnsi="Arial" w:cs="Times New Roman"/>
        <w:sz w:val="24"/>
      </w:rPr>
      <w:fldChar w:fldCharType="begin"/>
    </w:r>
    <w:r w:rsidRPr="00AB391C">
      <w:rPr>
        <w:rFonts w:ascii="Arial" w:eastAsia="Arial" w:hAnsi="Arial" w:cs="Times New Roman"/>
        <w:sz w:val="24"/>
      </w:rPr>
      <w:instrText xml:space="preserve"> PAGE   \* MERGEFORMAT </w:instrText>
    </w:r>
    <w:r w:rsidRPr="00AB391C">
      <w:rPr>
        <w:rFonts w:ascii="Arial" w:eastAsia="Arial" w:hAnsi="Arial" w:cs="Times New Roman"/>
        <w:sz w:val="24"/>
      </w:rPr>
      <w:fldChar w:fldCharType="separate"/>
    </w:r>
    <w:r w:rsidRPr="00AB391C">
      <w:rPr>
        <w:rFonts w:ascii="Arial" w:eastAsia="Arial" w:hAnsi="Arial" w:cs="Times New Roman"/>
        <w:sz w:val="24"/>
      </w:rPr>
      <w:t>1</w:t>
    </w:r>
    <w:r w:rsidRPr="00AB391C">
      <w:rPr>
        <w:rFonts w:ascii="Arial" w:eastAsia="Arial" w:hAnsi="Arial" w:cs="Times New Roman"/>
        <w:noProof/>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923D7" w14:textId="77777777" w:rsidR="00580100" w:rsidRDefault="0058010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55CBD" w14:textId="77777777" w:rsidR="00580100" w:rsidRPr="00636C04" w:rsidRDefault="00580100" w:rsidP="00DE1921">
    <w:pPr>
      <w:pStyle w:val="DoTPageNumber"/>
      <w:jc w:val="left"/>
    </w:pPr>
    <w:r w:rsidRPr="00F30A6B">
      <w:rPr>
        <w:color w:val="2B579A"/>
        <w:shd w:val="clear" w:color="auto" w:fill="E6E6E6"/>
      </w:rPr>
      <w:fldChar w:fldCharType="begin"/>
    </w:r>
    <w:r w:rsidRPr="00F30A6B">
      <w:instrText xml:space="preserve"> PAGE   \* MERGEFORMAT </w:instrText>
    </w:r>
    <w:r w:rsidRPr="00F30A6B">
      <w:rPr>
        <w:color w:val="2B579A"/>
        <w:shd w:val="clear" w:color="auto" w:fill="E6E6E6"/>
      </w:rPr>
      <w:fldChar w:fldCharType="separate"/>
    </w:r>
    <w:r>
      <w:rPr>
        <w:color w:val="2B579A"/>
        <w:shd w:val="clear" w:color="auto" w:fill="E6E6E6"/>
      </w:rPr>
      <w:t>13</w:t>
    </w:r>
    <w:r w:rsidRPr="00F30A6B">
      <w:rPr>
        <w:color w:val="2B579A"/>
        <w:shd w:val="clear" w:color="auto" w:fill="E6E6E6"/>
      </w:rPr>
      <w:fldChar w:fldCharType="end"/>
    </w:r>
    <w:r w:rsidRPr="00BB1371">
      <w:rPr>
        <w:noProof/>
        <w:color w:val="00BAC0"/>
      </w:rPr>
      <w:t xml:space="preserve"> </w:t>
    </w:r>
    <w:r w:rsidRPr="00BB1371">
      <w:rPr>
        <w:rFonts w:ascii="VIC SemiBold" w:hAnsi="VIC SemiBold"/>
        <w:b/>
        <w:noProof/>
        <w:color w:val="00BAC0"/>
      </w:rPr>
      <w:t>\</w:t>
    </w:r>
    <w:r>
      <w:rPr>
        <w:noProof/>
      </w:rPr>
      <w:t xml:space="preserve"> </w:t>
    </w:r>
    <w:r w:rsidRPr="00F30A6B">
      <w:t>DoT Annual Report 201</w:t>
    </w:r>
    <w:r>
      <w:t>9</w:t>
    </w:r>
    <w:r w:rsidRPr="00F30A6B">
      <w:t>-</w:t>
    </w:r>
    <w:r>
      <w:t>20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1B5D3" w14:textId="77777777" w:rsidR="00580100" w:rsidRPr="00013A48" w:rsidRDefault="00580100" w:rsidP="00DE1921">
    <w:pPr>
      <w:pStyle w:val="DoTPageNumber"/>
      <w:jc w:val="left"/>
    </w:pPr>
    <w:r w:rsidRPr="00336616">
      <w:fldChar w:fldCharType="begin"/>
    </w:r>
    <w:r w:rsidRPr="00336616">
      <w:instrText xml:space="preserve"> PAGE   \* MERGEFORMAT </w:instrText>
    </w:r>
    <w:r w:rsidRPr="00336616">
      <w:fldChar w:fldCharType="separate"/>
    </w:r>
    <w:r>
      <w:t>2</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BDC45" w14:textId="77777777" w:rsidR="00580100" w:rsidRPr="00816B20" w:rsidRDefault="00580100" w:rsidP="00DE1921">
    <w:pPr>
      <w:pStyle w:val="DoTPageNumber"/>
      <w:jc w:val="left"/>
    </w:pPr>
    <w:r w:rsidRPr="00336616">
      <w:fldChar w:fldCharType="begin"/>
    </w:r>
    <w:r w:rsidRPr="00336616">
      <w:instrText xml:space="preserve"> PAGE   \* MERGEFORMAT </w:instrText>
    </w:r>
    <w:r w:rsidRPr="00336616">
      <w:fldChar w:fldCharType="separate"/>
    </w:r>
    <w:r>
      <w:t>2</w:t>
    </w:r>
    <w:r w:rsidRPr="00336616">
      <w:fldChar w:fldCharType="end"/>
    </w:r>
    <w:r w:rsidRPr="00A34F4C">
      <w:t xml:space="preserve"> </w:t>
    </w:r>
    <w:r w:rsidRPr="00D82DE0">
      <w:rPr>
        <w:rFonts w:ascii="VIC SemiBold" w:hAnsi="VIC SemiBold"/>
        <w:b/>
        <w:color w:val="00BAC0"/>
      </w:rPr>
      <w:t>\</w:t>
    </w:r>
    <w:r>
      <w:t xml:space="preserve"> </w:t>
    </w:r>
    <w:r w:rsidRPr="00F30A6B">
      <w:t>DoT Annual Report 201</w:t>
    </w:r>
    <w:r>
      <w:t>9</w:t>
    </w:r>
    <w:r w:rsidRPr="00F30A6B">
      <w:t>-</w:t>
    </w:r>
    <w:r>
      <w:t>20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500E0" w14:textId="77777777" w:rsidR="00580100" w:rsidRPr="006F5964" w:rsidRDefault="00580100" w:rsidP="00DE1921">
    <w:pPr>
      <w:pStyle w:val="DoTPageNumber"/>
      <w:jc w:val="left"/>
    </w:pPr>
    <w:r w:rsidRPr="00336616">
      <w:fldChar w:fldCharType="begin"/>
    </w:r>
    <w:r w:rsidRPr="00336616">
      <w:instrText xml:space="preserve"> PAGE   \* MERGEFORMAT </w:instrText>
    </w:r>
    <w:r w:rsidRPr="00336616">
      <w:fldChar w:fldCharType="separate"/>
    </w:r>
    <w:r>
      <w:t>2</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E5FC8" w14:textId="77777777" w:rsidR="00580100" w:rsidRPr="006F5964" w:rsidRDefault="00580100" w:rsidP="00DE1921">
    <w:pPr>
      <w:pStyle w:val="DoTPageNumber"/>
      <w:jc w:val="left"/>
    </w:pPr>
    <w:r>
      <w:fldChar w:fldCharType="begin"/>
    </w:r>
    <w:r>
      <w:instrText xml:space="preserve"> PAGE   \* MERGEFORMAT </w:instrText>
    </w:r>
    <w:r>
      <w:fldChar w:fldCharType="separate"/>
    </w:r>
    <w:r>
      <w:t>14</w:t>
    </w:r>
    <w:r>
      <w:rPr>
        <w:noProof/>
      </w:rPr>
      <w:fldChar w:fldCharType="end"/>
    </w:r>
    <w:r>
      <w:t xml:space="preserve"> </w:t>
    </w:r>
    <w:r>
      <w:rPr>
        <w:b/>
        <w:bCs/>
        <w:color w:val="00BAC0"/>
      </w:rPr>
      <w:t xml:space="preserve">\ </w:t>
    </w:r>
    <w:r w:rsidRPr="008A41FD">
      <w:t>DoT Annual Report 2019-20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681F3" w14:textId="77777777" w:rsidR="00580100" w:rsidRPr="00EC0D72" w:rsidRDefault="00580100" w:rsidP="00DE1921">
    <w:pPr>
      <w:pStyle w:val="FooterEven"/>
    </w:pPr>
    <w:r>
      <w:fldChar w:fldCharType="begin"/>
    </w:r>
    <w:r w:rsidRPr="00EC0D72">
      <w:instrText xml:space="preserve"> PAGE   \* MERGEFORMAT </w:instrText>
    </w:r>
    <w:r>
      <w:fldChar w:fldCharType="separate"/>
    </w:r>
    <w:r w:rsidRPr="00EC0D72">
      <w:t>18</w:t>
    </w:r>
    <w:r>
      <w:fldChar w:fldCharType="end"/>
    </w:r>
    <w:r>
      <w:rPr>
        <w:noProof/>
      </w:rPr>
      <w:t xml:space="preserve"> </w:t>
    </w:r>
    <w:r>
      <w:rPr>
        <w:b/>
        <w:bCs/>
        <w:color w:val="00BAC0"/>
      </w:rPr>
      <w:t>\</w:t>
    </w:r>
    <w:r>
      <w:rPr>
        <w:noProof/>
      </w:rPr>
      <w:t xml:space="preserve"> </w:t>
    </w:r>
    <w:r>
      <w:t>DoT Annual Report 2019-20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930BE" w14:textId="77777777" w:rsidR="00580100" w:rsidRDefault="00580100" w:rsidP="00DE1921">
    <w:pPr>
      <w:pStyle w:val="DoTPageNumber"/>
      <w:jc w:val="left"/>
    </w:pPr>
    <w:r w:rsidRPr="00F30A6B">
      <w:fldChar w:fldCharType="begin"/>
    </w:r>
    <w:r w:rsidRPr="00F30A6B">
      <w:instrText xml:space="preserve"> PAGE   \* MERGEFORMAT </w:instrText>
    </w:r>
    <w:r w:rsidRPr="00F30A6B">
      <w:fldChar w:fldCharType="separate"/>
    </w:r>
    <w:r>
      <w:t>17</w:t>
    </w:r>
    <w:r w:rsidRPr="00F30A6B">
      <w:rPr>
        <w:noProof/>
      </w:rPr>
      <w:fldChar w:fldCharType="end"/>
    </w:r>
    <w:r>
      <w:rPr>
        <w:noProof/>
      </w:rPr>
      <w:t xml:space="preserve"> </w:t>
    </w:r>
    <w:r w:rsidRPr="00DA0913">
      <w:rPr>
        <w:rFonts w:ascii="VIC SemiBold" w:hAnsi="VIC SemiBold"/>
        <w:b/>
        <w:noProof/>
        <w:color w:val="00B2A9"/>
      </w:rPr>
      <w:t>\</w:t>
    </w:r>
    <w:r>
      <w:rPr>
        <w:noProof/>
      </w:rPr>
      <w:t xml:space="preserve"> </w:t>
    </w:r>
    <w:r w:rsidRPr="00F30A6B">
      <w:t>DoT Annual Report 2018-19</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F30A1" w14:textId="77777777" w:rsidR="00580100" w:rsidRDefault="00580100" w:rsidP="00DE1921">
    <w:pPr>
      <w:pStyle w:val="FooterEven"/>
    </w:pPr>
    <w:r>
      <w:fldChar w:fldCharType="begin"/>
    </w:r>
    <w:r w:rsidRPr="00EC0D72">
      <w:instrText xml:space="preserve"> PAGE   \* MERGEFORMAT </w:instrText>
    </w:r>
    <w:r>
      <w:fldChar w:fldCharType="separate"/>
    </w:r>
    <w:r w:rsidRPr="00EC0D72">
      <w:t>18</w:t>
    </w:r>
    <w:r>
      <w:fldChar w:fldCharType="end"/>
    </w:r>
    <w:r>
      <w:rPr>
        <w:noProof/>
      </w:rPr>
      <w:t xml:space="preserve"> </w:t>
    </w:r>
    <w:r>
      <w:rPr>
        <w:b/>
        <w:bCs/>
        <w:color w:val="00BAC0"/>
      </w:rPr>
      <w:t>\</w:t>
    </w:r>
    <w:r>
      <w:rPr>
        <w:noProof/>
      </w:rPr>
      <w:t xml:space="preserve"> </w:t>
    </w:r>
    <w:r>
      <w:t>DoT Annual Report 2019-20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15217" w14:textId="77777777" w:rsidR="00580100" w:rsidRDefault="00580100">
    <w:pPr>
      <w:pStyle w:val="Footer"/>
    </w:pPr>
    <w:r w:rsidRPr="001B23B6">
      <w:rPr>
        <w:noProof/>
        <w:color w:val="FF0000"/>
      </w:rPr>
      <mc:AlternateContent>
        <mc:Choice Requires="wps">
          <w:drawing>
            <wp:inline distT="0" distB="0" distL="0" distR="0" wp14:anchorId="1CF44A7D" wp14:editId="3AE56CB0">
              <wp:extent cx="225425" cy="1630800"/>
              <wp:effectExtent l="0" t="0" r="10795" b="7620"/>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30800"/>
                      </a:xfrm>
                      <a:prstGeom prst="rect">
                        <a:avLst/>
                      </a:prstGeom>
                      <a:noFill/>
                      <a:ln w="9525">
                        <a:noFill/>
                        <a:miter lim="800000"/>
                        <a:headEnd/>
                        <a:tailEnd/>
                      </a:ln>
                    </wps:spPr>
                    <wps:txbx>
                      <w:txbxContent>
                        <w:p w14:paraId="5F99B4CC" w14:textId="77777777" w:rsidR="00580100" w:rsidRPr="0072652D" w:rsidRDefault="00580100" w:rsidP="00DE1921">
                          <w:pPr>
                            <w:spacing w:before="480" w:after="0"/>
                            <w:jc w:val="right"/>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wps:txbx>
                    <wps:bodyPr rot="0" vert="vert" wrap="square" lIns="0" tIns="0" rIns="0" bIns="0" anchor="t" anchorCtr="0" upright="1">
                      <a:spAutoFit/>
                    </wps:bodyPr>
                  </wps:wsp>
                </a:graphicData>
              </a:graphic>
            </wp:inline>
          </w:drawing>
        </mc:Choice>
        <mc:Fallback>
          <w:pict>
            <v:rect w14:anchorId="1CF44A7D" id="Rectangle 4" o:spid="_x0000_s1026" style="width:17.75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" filled="f" stroked="f">
              <v:textbox style="layout-flow:vertical;mso-fit-shape-to-text:t" inset="0,0,0,0">
                <w:txbxContent>
                  <w:p w14:paraId="5F99B4CC" w14:textId="77777777" w:rsidR="00580100" w:rsidRPr="0072652D" w:rsidRDefault="00580100" w:rsidP="00DE1921">
                    <w:pPr>
                      <w:spacing w:before="480" w:after="0"/>
                      <w:jc w:val="right"/>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v:textbox>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81A2C" w14:textId="77777777" w:rsidR="000B7A75" w:rsidRPr="00AB391C" w:rsidRDefault="000B7A75" w:rsidP="00AB391C">
    <w:pPr>
      <w:keepLines/>
      <w:tabs>
        <w:tab w:val="center" w:pos="4513"/>
        <w:tab w:val="right" w:pos="9026"/>
      </w:tabs>
      <w:spacing w:after="0" w:line="240" w:lineRule="auto"/>
      <w:jc w:val="right"/>
      <w:rPr>
        <w:rFonts w:ascii="Arial" w:eastAsia="Arial" w:hAnsi="Arial" w:cs="Times New Roman"/>
        <w:sz w:val="24"/>
      </w:rPr>
    </w:pPr>
    <w:r w:rsidRPr="00AB391C">
      <w:rPr>
        <w:rFonts w:ascii="Arial" w:eastAsia="Arial" w:hAnsi="Arial" w:cs="Times New Roman"/>
        <w:sz w:val="24"/>
      </w:rPr>
      <w:t xml:space="preserve">DoT Annual Report 2019-20 – Page </w:t>
    </w:r>
    <w:r w:rsidRPr="00AB391C">
      <w:rPr>
        <w:rFonts w:ascii="Arial" w:eastAsia="Arial" w:hAnsi="Arial" w:cs="Times New Roman"/>
        <w:sz w:val="24"/>
      </w:rPr>
      <w:fldChar w:fldCharType="begin"/>
    </w:r>
    <w:r w:rsidRPr="00AB391C">
      <w:rPr>
        <w:rFonts w:ascii="Arial" w:eastAsia="Arial" w:hAnsi="Arial" w:cs="Times New Roman"/>
        <w:sz w:val="24"/>
      </w:rPr>
      <w:instrText xml:space="preserve"> PAGE   \* MERGEFORMAT </w:instrText>
    </w:r>
    <w:r w:rsidRPr="00AB391C">
      <w:rPr>
        <w:rFonts w:ascii="Arial" w:eastAsia="Arial" w:hAnsi="Arial" w:cs="Times New Roman"/>
        <w:sz w:val="24"/>
      </w:rPr>
      <w:fldChar w:fldCharType="separate"/>
    </w:r>
    <w:r w:rsidRPr="00AB391C">
      <w:rPr>
        <w:rFonts w:ascii="Arial" w:eastAsia="Arial" w:hAnsi="Arial" w:cs="Times New Roman"/>
        <w:sz w:val="24"/>
      </w:rPr>
      <w:t>1</w:t>
    </w:r>
    <w:r w:rsidRPr="00AB391C">
      <w:rPr>
        <w:rFonts w:ascii="Arial" w:eastAsia="Arial" w:hAnsi="Arial" w:cs="Times New Roman"/>
        <w:noProof/>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B753B" w14:textId="77777777" w:rsidR="00580100" w:rsidRPr="00395E79" w:rsidRDefault="00580100" w:rsidP="00DE1921">
    <w:pPr>
      <w:pStyle w:val="FooterEven"/>
    </w:pPr>
    <w:r>
      <w:fldChar w:fldCharType="begin"/>
    </w:r>
    <w:r w:rsidRPr="00EC0D72">
      <w:instrText xml:space="preserve"> PAGE   \* MERGEFORMAT </w:instrText>
    </w:r>
    <w:r>
      <w:fldChar w:fldCharType="separate"/>
    </w:r>
    <w:r>
      <w:t>34</w:t>
    </w:r>
    <w:r>
      <w:fldChar w:fldCharType="end"/>
    </w:r>
    <w:r>
      <w:rPr>
        <w:noProof/>
      </w:rPr>
      <w:t xml:space="preserve"> </w:t>
    </w:r>
    <w:r>
      <w:rPr>
        <w:b/>
        <w:bCs/>
        <w:color w:val="00BAC0"/>
      </w:rPr>
      <w:t>\</w:t>
    </w:r>
    <w:r>
      <w:rPr>
        <w:noProof/>
      </w:rPr>
      <w:t xml:space="preserve"> </w:t>
    </w:r>
    <w:r>
      <w:t>DoT Annual Report 2019-20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4BA8B" w14:textId="77777777" w:rsidR="00580100" w:rsidRPr="00395E79" w:rsidRDefault="00580100" w:rsidP="00DE1921">
    <w:pPr>
      <w:pStyle w:val="FooterEven"/>
    </w:pPr>
    <w:r>
      <w:fldChar w:fldCharType="begin"/>
    </w:r>
    <w:r w:rsidRPr="00E21EF5">
      <w:instrText xml:space="preserve"> PAGE   \* MERGEFORMAT </w:instrText>
    </w:r>
    <w:r>
      <w:fldChar w:fldCharType="separate"/>
    </w:r>
    <w:r w:rsidRPr="00E21EF5">
      <w:t>18</w:t>
    </w:r>
    <w:r>
      <w:fldChar w:fldCharType="end"/>
    </w:r>
    <w:r>
      <w:rPr>
        <w:noProof/>
      </w:rPr>
      <w:t xml:space="preserve"> </w:t>
    </w:r>
    <w:r>
      <w:rPr>
        <w:b/>
        <w:bCs/>
        <w:color w:val="00BAC0"/>
      </w:rPr>
      <w:t>\</w:t>
    </w:r>
    <w:r>
      <w:rPr>
        <w:noProof/>
      </w:rPr>
      <w:t xml:space="preserve"> </w:t>
    </w:r>
    <w:r>
      <w:t>DoT Annual Report 2019-20</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996FF" w14:textId="77777777" w:rsidR="00580100" w:rsidRPr="00E21EF5" w:rsidRDefault="00580100" w:rsidP="00DE1921">
    <w:pPr>
      <w:pStyle w:val="Footer"/>
      <w:jc w:val="right"/>
    </w:pPr>
    <w:r w:rsidRPr="001B23B6">
      <w:rPr>
        <w:noProof/>
        <w:color w:val="FF0000"/>
      </w:rPr>
      <mc:AlternateContent>
        <mc:Choice Requires="wps">
          <w:drawing>
            <wp:inline distT="0" distB="0" distL="0" distR="0" wp14:anchorId="30362F6D" wp14:editId="508704E3">
              <wp:extent cx="225425" cy="1630800"/>
              <wp:effectExtent l="0" t="0" r="10795" b="7620"/>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30800"/>
                      </a:xfrm>
                      <a:prstGeom prst="rect">
                        <a:avLst/>
                      </a:prstGeom>
                      <a:noFill/>
                      <a:ln w="9525">
                        <a:noFill/>
                        <a:miter lim="800000"/>
                        <a:headEnd/>
                        <a:tailEnd/>
                      </a:ln>
                    </wps:spPr>
                    <wps:txbx>
                      <w:txbxContent>
                        <w:p w14:paraId="14311908" w14:textId="77777777" w:rsidR="00580100" w:rsidRPr="0072652D" w:rsidRDefault="00580100" w:rsidP="00DE1921">
                          <w:pPr>
                            <w:spacing w:before="480" w:after="0"/>
                            <w:jc w:val="right"/>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wps:txbx>
                    <wps:bodyPr rot="0" vert="vert" wrap="square" lIns="0" tIns="0" rIns="0" bIns="0" anchor="t" anchorCtr="0" upright="1">
                      <a:spAutoFit/>
                    </wps:bodyPr>
                  </wps:wsp>
                </a:graphicData>
              </a:graphic>
            </wp:inline>
          </w:drawing>
        </mc:Choice>
        <mc:Fallback>
          <w:pict>
            <v:rect w14:anchorId="30362F6D" id="Rectangle 7" o:spid="_x0000_s1027" style="width:17.75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" filled="f" stroked="f">
              <v:textbox style="layout-flow:vertical;mso-fit-shape-to-text:t" inset="0,0,0,0">
                <w:txbxContent>
                  <w:p w14:paraId="14311908" w14:textId="77777777" w:rsidR="00580100" w:rsidRPr="0072652D" w:rsidRDefault="00580100" w:rsidP="00DE1921">
                    <w:pPr>
                      <w:spacing w:before="480" w:after="0"/>
                      <w:jc w:val="right"/>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v:textbox>
              <w10:anchorlock/>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D7514" w14:textId="77777777" w:rsidR="00580100" w:rsidRDefault="00580100" w:rsidP="00DE1921">
    <w:pPr>
      <w:pStyle w:val="FooterEven"/>
    </w:pPr>
    <w:r>
      <w:fldChar w:fldCharType="begin"/>
    </w:r>
    <w:r w:rsidRPr="00E21EF5">
      <w:instrText xml:space="preserve"> PAGE   \* MERGEFORMAT </w:instrText>
    </w:r>
    <w:r>
      <w:fldChar w:fldCharType="separate"/>
    </w:r>
    <w:r>
      <w:t>62</w:t>
    </w:r>
    <w:r>
      <w:fldChar w:fldCharType="end"/>
    </w:r>
    <w:r>
      <w:rPr>
        <w:noProof/>
      </w:rPr>
      <w:t xml:space="preserve"> </w:t>
    </w:r>
    <w:r>
      <w:rPr>
        <w:b/>
        <w:bCs/>
        <w:color w:val="00BAC0"/>
      </w:rPr>
      <w:t>\</w:t>
    </w:r>
    <w:r>
      <w:rPr>
        <w:noProof/>
      </w:rPr>
      <w:t xml:space="preserve"> </w:t>
    </w:r>
    <w:r>
      <w:t>DoT Annual Report 2019-20</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FF494" w14:textId="77777777" w:rsidR="00580100" w:rsidRPr="00222AC8" w:rsidRDefault="00580100" w:rsidP="00DE1921">
    <w:pPr>
      <w:pStyle w:val="FooterEven"/>
    </w:pPr>
    <w:r>
      <w:fldChar w:fldCharType="begin"/>
    </w:r>
    <w:r w:rsidRPr="008E6473">
      <w:instrText xml:space="preserve"> PAGE   \* MERGEFORMAT </w:instrText>
    </w:r>
    <w:r>
      <w:fldChar w:fldCharType="separate"/>
    </w:r>
    <w:r w:rsidRPr="008E6473">
      <w:t>18</w:t>
    </w:r>
    <w:r>
      <w:fldChar w:fldCharType="end"/>
    </w:r>
    <w:r>
      <w:rPr>
        <w:noProof/>
      </w:rPr>
      <w:t xml:space="preserve"> </w:t>
    </w:r>
    <w:r>
      <w:rPr>
        <w:b/>
        <w:bCs/>
        <w:color w:val="00BAC0"/>
      </w:rPr>
      <w:t>\</w:t>
    </w:r>
    <w:r>
      <w:rPr>
        <w:noProof/>
      </w:rPr>
      <w:t xml:space="preserve"> </w:t>
    </w:r>
    <w:r>
      <w:t>DoT Annual Report 2019-20</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A1F5B" w14:textId="77777777" w:rsidR="00580100" w:rsidRPr="008E6473" w:rsidRDefault="00580100" w:rsidP="00DE1921">
    <w:pPr>
      <w:pStyle w:val="Footer"/>
      <w:jc w:val="right"/>
    </w:pPr>
    <w:r w:rsidRPr="001B23B6">
      <w:rPr>
        <w:noProof/>
        <w:color w:val="FF0000"/>
      </w:rPr>
      <mc:AlternateContent>
        <mc:Choice Requires="wps">
          <w:drawing>
            <wp:anchor distT="0" distB="0" distL="114300" distR="114300" simplePos="0" relativeHeight="251658240" behindDoc="0" locked="0" layoutInCell="0" allowOverlap="1" wp14:anchorId="00B2FEE3" wp14:editId="6DE90E0C">
              <wp:simplePos x="0" y="0"/>
              <wp:positionH relativeFrom="leftMargin">
                <wp:align>right</wp:align>
              </wp:positionH>
              <wp:positionV relativeFrom="margin">
                <wp:posOffset>0</wp:posOffset>
              </wp:positionV>
              <wp:extent cx="225425" cy="1630800"/>
              <wp:effectExtent l="0" t="0" r="3175" b="762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30800"/>
                      </a:xfrm>
                      <a:prstGeom prst="rect">
                        <a:avLst/>
                      </a:prstGeom>
                      <a:noFill/>
                      <a:ln w="9525">
                        <a:noFill/>
                        <a:miter lim="800000"/>
                        <a:headEnd/>
                        <a:tailEnd/>
                      </a:ln>
                    </wps:spPr>
                    <wps:txbx>
                      <w:txbxContent>
                        <w:p w14:paraId="01AD2E6F" w14:textId="77777777" w:rsidR="00580100" w:rsidRPr="0072652D" w:rsidRDefault="00580100" w:rsidP="00DE1921">
                          <w:pPr>
                            <w:spacing w:before="480" w:after="0"/>
                            <w:jc w:val="right"/>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00B2FEE3" id="Rectangle 11" o:spid="_x0000_s1028" style="position:absolute;left:0;text-align:left;margin-left:-33.45pt;margin-top:0;width:17.75pt;height:128.4pt;z-index:251658240;visibility:visible;mso-wrap-style:square;mso-width-percent:800;mso-height-percent:0;mso-wrap-distance-left:9pt;mso-wrap-distance-top:0;mso-wrap-distance-right:9pt;mso-wrap-distance-bottom:0;mso-position-horizontal:right;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" o:allowincell="f" filled="f" stroked="f">
              <v:textbox style="layout-flow:vertical;mso-fit-shape-to-text:t" inset="0,0,0,0">
                <w:txbxContent>
                  <w:p w14:paraId="01AD2E6F" w14:textId="77777777" w:rsidR="00580100" w:rsidRPr="0072652D" w:rsidRDefault="00580100" w:rsidP="00DE1921">
                    <w:pPr>
                      <w:spacing w:before="480" w:after="0"/>
                      <w:jc w:val="right"/>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v:textbox>
              <w10:wrap anchorx="margin" anchory="margin"/>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BE821" w14:textId="77777777" w:rsidR="00580100" w:rsidRPr="0080607F" w:rsidRDefault="00580100" w:rsidP="00DE1921">
    <w:pPr>
      <w:pStyle w:val="FooterEven"/>
    </w:pPr>
    <w:r>
      <w:fldChar w:fldCharType="begin"/>
    </w:r>
    <w:r w:rsidRPr="00BF5309">
      <w:instrText xml:space="preserve"> PAGE   \* MERGEFORMAT </w:instrText>
    </w:r>
    <w:r>
      <w:fldChar w:fldCharType="separate"/>
    </w:r>
    <w:r w:rsidRPr="00BF5309">
      <w:t>18</w:t>
    </w:r>
    <w:r>
      <w:fldChar w:fldCharType="end"/>
    </w:r>
    <w:r>
      <w:rPr>
        <w:noProof/>
      </w:rPr>
      <w:t xml:space="preserve"> </w:t>
    </w:r>
    <w:r>
      <w:rPr>
        <w:b/>
        <w:bCs/>
        <w:color w:val="00BAC0"/>
      </w:rPr>
      <w:t>\</w:t>
    </w:r>
    <w:r>
      <w:rPr>
        <w:noProof/>
      </w:rPr>
      <w:t xml:space="preserve"> </w:t>
    </w:r>
    <w:r>
      <w:t>DoT Annual Report 2019-20</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8EE8C" w14:textId="77777777" w:rsidR="00580100" w:rsidRPr="00BF5309" w:rsidRDefault="00580100" w:rsidP="00DE1921">
    <w:pPr>
      <w:pStyle w:val="Footer"/>
      <w:jc w:val="righ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F70F3" w14:textId="77777777" w:rsidR="00580100" w:rsidRDefault="00580100" w:rsidP="00DE1921">
    <w:pPr>
      <w:pStyle w:val="DoTPageNumber"/>
      <w:jc w:val="left"/>
    </w:pPr>
    <w:r w:rsidRPr="00336616">
      <w:fldChar w:fldCharType="begin"/>
    </w:r>
    <w:r w:rsidRPr="00336616">
      <w:instrText xml:space="preserve"> PAGE   \* MERGEFORMAT </w:instrText>
    </w:r>
    <w:r w:rsidRPr="00336616">
      <w:fldChar w:fldCharType="separate"/>
    </w:r>
    <w:r>
      <w:t>10</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D6D4E" w14:textId="77777777" w:rsidR="00580100" w:rsidRPr="002F6D83" w:rsidRDefault="00580100" w:rsidP="00DE1921">
    <w:pPr>
      <w:pStyle w:val="FooterEven"/>
    </w:pPr>
    <w:r>
      <w:fldChar w:fldCharType="begin"/>
    </w:r>
    <w:r w:rsidRPr="00F65D3F">
      <w:instrText xml:space="preserve"> PAGE   \* MERGEFORMAT </w:instrText>
    </w:r>
    <w:r>
      <w:fldChar w:fldCharType="separate"/>
    </w:r>
    <w:r w:rsidRPr="00F65D3F">
      <w:t>18</w:t>
    </w:r>
    <w:r>
      <w:fldChar w:fldCharType="end"/>
    </w:r>
    <w:r>
      <w:rPr>
        <w:noProof/>
      </w:rPr>
      <w:t xml:space="preserve"> </w:t>
    </w:r>
    <w:r>
      <w:rPr>
        <w:b/>
        <w:bCs/>
        <w:color w:val="00BAC0"/>
      </w:rPr>
      <w:t>\</w:t>
    </w:r>
    <w:r>
      <w:rPr>
        <w:noProof/>
      </w:rPr>
      <w:t xml:space="preserve"> </w:t>
    </w:r>
    <w:r>
      <w:t>DoT Annual Report 2019-20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F4E0B" w14:textId="77777777" w:rsidR="00580100" w:rsidRPr="00E729A9" w:rsidRDefault="00580100" w:rsidP="00DE1921">
    <w:pPr>
      <w:pStyle w:val="DoTPageNumber"/>
      <w:jc w:val="left"/>
    </w:pPr>
    <w:r w:rsidRPr="00336616">
      <w:fldChar w:fldCharType="begin"/>
    </w:r>
    <w:r w:rsidRPr="00336616">
      <w:instrText xml:space="preserve"> PAGE   \* MERGEFORMAT </w:instrText>
    </w:r>
    <w:r w:rsidRPr="00336616">
      <w:fldChar w:fldCharType="separate"/>
    </w:r>
    <w:r>
      <w:t>4</w:t>
    </w:r>
    <w:r w:rsidRPr="00336616">
      <w:fldChar w:fldCharType="end"/>
    </w:r>
    <w:r w:rsidRPr="00A34F4C">
      <w:t xml:space="preserve"> </w:t>
    </w:r>
    <w:r w:rsidRPr="00D82DE0">
      <w:rPr>
        <w:rFonts w:ascii="VIC SemiBold" w:hAnsi="VIC SemiBold"/>
        <w:b/>
        <w:color w:val="00BAC0"/>
      </w:rPr>
      <w:t>\</w:t>
    </w:r>
    <w:r>
      <w:t xml:space="preserve"> </w:t>
    </w:r>
    <w:r w:rsidRPr="00F30A6B">
      <w:t>DoT Annual Report 201</w:t>
    </w:r>
    <w:r>
      <w:t>9</w:t>
    </w:r>
    <w:r w:rsidRPr="00F30A6B">
      <w:t>-</w:t>
    </w:r>
    <w:r>
      <w:t>20</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D00C1" w14:textId="77777777" w:rsidR="00580100" w:rsidRPr="002F6D83" w:rsidRDefault="00580100" w:rsidP="00DE1921">
    <w:pPr>
      <w:pStyle w:val="FooterEven"/>
    </w:pPr>
    <w:r>
      <w:fldChar w:fldCharType="begin"/>
    </w:r>
    <w:r w:rsidRPr="00455C43">
      <w:instrText xml:space="preserve"> PAGE   \* MERGEFORMAT </w:instrText>
    </w:r>
    <w:r>
      <w:fldChar w:fldCharType="separate"/>
    </w:r>
    <w:r>
      <w:t>84</w:t>
    </w:r>
    <w:r>
      <w:fldChar w:fldCharType="end"/>
    </w:r>
    <w:r>
      <w:rPr>
        <w:noProof/>
      </w:rPr>
      <w:t xml:space="preserve"> </w:t>
    </w:r>
    <w:r>
      <w:rPr>
        <w:b/>
        <w:bCs/>
        <w:color w:val="00BAC0"/>
      </w:rPr>
      <w:t>\</w:t>
    </w:r>
    <w:r>
      <w:rPr>
        <w:noProof/>
      </w:rPr>
      <w:t xml:space="preserve"> </w:t>
    </w:r>
    <w:r>
      <w:t>DoT Annual Report 2019-20</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5990B" w14:textId="77777777" w:rsidR="00580100" w:rsidRDefault="00580100">
    <w:pPr>
      <w:pStyle w:val="Footer"/>
    </w:pPr>
    <w:r w:rsidRPr="001B23B6">
      <w:rPr>
        <w:noProof/>
        <w:color w:val="FF0000"/>
      </w:rPr>
      <mc:AlternateContent>
        <mc:Choice Requires="wps">
          <w:drawing>
            <wp:anchor distT="0" distB="0" distL="114300" distR="114300" simplePos="0" relativeHeight="251658242" behindDoc="0" locked="0" layoutInCell="0" allowOverlap="1" wp14:anchorId="57A75E75" wp14:editId="4ADF98FA">
              <wp:simplePos x="0" y="0"/>
              <wp:positionH relativeFrom="leftMargin">
                <wp:align>right</wp:align>
              </wp:positionH>
              <wp:positionV relativeFrom="margin">
                <wp:posOffset>0</wp:posOffset>
              </wp:positionV>
              <wp:extent cx="225425" cy="1630800"/>
              <wp:effectExtent l="0" t="0" r="3175" b="76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30800"/>
                      </a:xfrm>
                      <a:prstGeom prst="rect">
                        <a:avLst/>
                      </a:prstGeom>
                      <a:noFill/>
                      <a:ln w="9525">
                        <a:noFill/>
                        <a:miter lim="800000"/>
                        <a:headEnd/>
                        <a:tailEnd/>
                      </a:ln>
                    </wps:spPr>
                    <wps:txbx>
                      <w:txbxContent>
                        <w:p w14:paraId="548BAA7E"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57A75E75" id="Rectangle 10" o:spid="_x0000_s1030" style="position:absolute;margin-left:-33.45pt;margin-top:0;width:17.75pt;height:128.4pt;z-index:251658242;visibility:visible;mso-wrap-style:square;mso-width-percent:800;mso-height-percent:0;mso-wrap-distance-left:9pt;mso-wrap-distance-top:0;mso-wrap-distance-right:9pt;mso-wrap-distance-bottom:0;mso-position-horizontal:right;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" o:allowincell="f" filled="f" stroked="f">
              <v:textbox style="layout-flow:vertical;mso-fit-shape-to-text:t" inset="0,0,0,0">
                <w:txbxContent>
                  <w:p w14:paraId="548BAA7E"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v:textbox>
              <w10:wrap anchorx="margin" anchory="margin"/>
            </v:rect>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88BBF" w14:textId="77777777" w:rsidR="00580100" w:rsidRPr="00FC5B61" w:rsidRDefault="00580100" w:rsidP="00DE1921">
    <w:pPr>
      <w:pStyle w:val="Footer"/>
    </w:pPr>
    <w:r w:rsidRPr="001B23B6">
      <w:rPr>
        <w:noProof/>
        <w:color w:val="FF0000"/>
      </w:rPr>
      <mc:AlternateContent>
        <mc:Choice Requires="wps">
          <w:drawing>
            <wp:anchor distT="0" distB="0" distL="114300" distR="114300" simplePos="0" relativeHeight="251658243" behindDoc="0" locked="0" layoutInCell="0" allowOverlap="1" wp14:anchorId="4BC53268" wp14:editId="672BAA54">
              <wp:simplePos x="0" y="0"/>
              <wp:positionH relativeFrom="leftMargin">
                <wp:align>right</wp:align>
              </wp:positionH>
              <wp:positionV relativeFrom="margin">
                <wp:posOffset>0</wp:posOffset>
              </wp:positionV>
              <wp:extent cx="225425" cy="1630800"/>
              <wp:effectExtent l="0" t="0" r="3175" b="76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30800"/>
                      </a:xfrm>
                      <a:prstGeom prst="rect">
                        <a:avLst/>
                      </a:prstGeom>
                      <a:noFill/>
                      <a:ln w="9525">
                        <a:noFill/>
                        <a:miter lim="800000"/>
                        <a:headEnd/>
                        <a:tailEnd/>
                      </a:ln>
                    </wps:spPr>
                    <wps:txbx>
                      <w:txbxContent>
                        <w:p w14:paraId="1AFDC808"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4BC53268" id="Rectangle 15" o:spid="_x0000_s1031" style="position:absolute;margin-left:-33.45pt;margin-top:0;width:17.75pt;height:128.4pt;z-index:251658243;visibility:visible;mso-wrap-style:square;mso-width-percent:800;mso-height-percent:0;mso-wrap-distance-left:9pt;mso-wrap-distance-top:0;mso-wrap-distance-right:9pt;mso-wrap-distance-bottom:0;mso-position-horizontal:right;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" o:allowincell="f" filled="f" stroked="f">
              <v:textbox style="layout-flow:vertical;mso-fit-shape-to-text:t" inset="0,0,0,0">
                <w:txbxContent>
                  <w:p w14:paraId="1AFDC808"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v:textbox>
              <w10:wrap anchorx="margin" anchory="margin"/>
            </v:rect>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40ADF" w14:textId="77777777" w:rsidR="00580100" w:rsidRPr="00C24F37" w:rsidRDefault="00580100" w:rsidP="00DE1921">
    <w:pPr>
      <w:pStyle w:val="FooterEven"/>
    </w:pPr>
    <w:r>
      <w:fldChar w:fldCharType="begin"/>
    </w:r>
    <w:r w:rsidRPr="00455C43">
      <w:instrText xml:space="preserve"> PAGE   \* MERGEFORMAT </w:instrText>
    </w:r>
    <w:r>
      <w:fldChar w:fldCharType="separate"/>
    </w:r>
    <w:r>
      <w:t>114</w:t>
    </w:r>
    <w:r>
      <w:fldChar w:fldCharType="end"/>
    </w:r>
    <w:r>
      <w:rPr>
        <w:noProof/>
      </w:rPr>
      <w:t xml:space="preserve"> </w:t>
    </w:r>
    <w:r>
      <w:rPr>
        <w:b/>
        <w:bCs/>
        <w:color w:val="00BAC0"/>
      </w:rPr>
      <w:t>\</w:t>
    </w:r>
    <w:r>
      <w:rPr>
        <w:noProof/>
      </w:rPr>
      <w:t xml:space="preserve"> </w:t>
    </w:r>
    <w:r>
      <w:t>DoT Annual Report 2019-20</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736B0" w14:textId="77777777" w:rsidR="00580100" w:rsidRPr="00FC5B61" w:rsidRDefault="00580100" w:rsidP="00DE192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73E88" w14:textId="77777777" w:rsidR="00580100" w:rsidRPr="00C24F37" w:rsidRDefault="00580100" w:rsidP="00DE1921">
    <w:pPr>
      <w:pStyle w:val="DoTPageNumber"/>
      <w:jc w:val="left"/>
    </w:pPr>
    <w:r>
      <w:fldChar w:fldCharType="begin"/>
    </w:r>
    <w:r w:rsidRPr="00455C43">
      <w:instrText xml:space="preserve"> PAGE   \* MERGEFORMAT </w:instrText>
    </w:r>
    <w:r>
      <w:fldChar w:fldCharType="separate"/>
    </w:r>
    <w:r>
      <w:t>212</w:t>
    </w:r>
    <w:r>
      <w:fldChar w:fldCharType="end"/>
    </w:r>
    <w:r>
      <w:rPr>
        <w:noProof/>
      </w:rPr>
      <w:t xml:space="preserve"> </w:t>
    </w:r>
    <w:r>
      <w:rPr>
        <w:b/>
        <w:bCs/>
        <w:color w:val="00BAC0"/>
      </w:rPr>
      <w:t>\</w:t>
    </w:r>
    <w:r>
      <w:rPr>
        <w:b/>
        <w:color w:val="00BAC0"/>
      </w:rPr>
      <w:t xml:space="preserve"> </w:t>
    </w:r>
    <w:r>
      <w:t>DoT Annual Report 2019-20</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C9939" w14:textId="77777777" w:rsidR="00580100" w:rsidRDefault="00580100">
    <w:pPr>
      <w:pStyle w:val="Footer"/>
    </w:pPr>
    <w:r w:rsidRPr="001B23B6">
      <w:rPr>
        <w:noProof/>
        <w:color w:val="FF0000"/>
      </w:rPr>
      <mc:AlternateContent>
        <mc:Choice Requires="wps">
          <w:drawing>
            <wp:anchor distT="0" distB="0" distL="114300" distR="114300" simplePos="0" relativeHeight="251658246" behindDoc="0" locked="0" layoutInCell="0" allowOverlap="1" wp14:anchorId="6E137A4C" wp14:editId="7C47B655">
              <wp:simplePos x="0" y="0"/>
              <wp:positionH relativeFrom="leftMargin">
                <wp:align>right</wp:align>
              </wp:positionH>
              <wp:positionV relativeFrom="margin">
                <wp:posOffset>0</wp:posOffset>
              </wp:positionV>
              <wp:extent cx="225425" cy="1630800"/>
              <wp:effectExtent l="0" t="0" r="3175" b="762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30800"/>
                      </a:xfrm>
                      <a:prstGeom prst="rect">
                        <a:avLst/>
                      </a:prstGeom>
                      <a:noFill/>
                      <a:ln w="9525">
                        <a:noFill/>
                        <a:miter lim="800000"/>
                        <a:headEnd/>
                        <a:tailEnd/>
                      </a:ln>
                    </wps:spPr>
                    <wps:txbx>
                      <w:txbxContent>
                        <w:p w14:paraId="68849FEC"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6E137A4C" id="Rectangle 16" o:spid="_x0000_s1033" style="position:absolute;margin-left:-33.45pt;margin-top:0;width:17.75pt;height:128.4pt;z-index:251658246;visibility:visible;mso-wrap-style:square;mso-width-percent:800;mso-height-percent:0;mso-wrap-distance-left:9pt;mso-wrap-distance-top:0;mso-wrap-distance-right:9pt;mso-wrap-distance-bottom:0;mso-position-horizontal:right;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" o:allowincell="f" filled="f" stroked="f">
              <v:textbox style="layout-flow:vertical;mso-fit-shape-to-text:t" inset="0,0,0,0">
                <w:txbxContent>
                  <w:p w14:paraId="68849FEC"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v:textbox>
              <w10:wrap anchorx="margin" anchory="margin"/>
            </v:rect>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DA9AA" w14:textId="77777777" w:rsidR="00580100" w:rsidRDefault="00580100">
    <w:pPr>
      <w:pStyle w:val="Footer"/>
    </w:pPr>
    <w:r w:rsidRPr="001B23B6">
      <w:rPr>
        <w:noProof/>
        <w:color w:val="FF0000"/>
      </w:rPr>
      <mc:AlternateContent>
        <mc:Choice Requires="wps">
          <w:drawing>
            <wp:anchor distT="0" distB="0" distL="114300" distR="114300" simplePos="0" relativeHeight="251658247" behindDoc="0" locked="0" layoutInCell="0" allowOverlap="1" wp14:anchorId="57B42DBC" wp14:editId="364B5B64">
              <wp:simplePos x="0" y="0"/>
              <wp:positionH relativeFrom="leftMargin">
                <wp:align>right</wp:align>
              </wp:positionH>
              <wp:positionV relativeFrom="margin">
                <wp:posOffset>0</wp:posOffset>
              </wp:positionV>
              <wp:extent cx="225425" cy="1630800"/>
              <wp:effectExtent l="0" t="0" r="3175" b="76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30800"/>
                      </a:xfrm>
                      <a:prstGeom prst="rect">
                        <a:avLst/>
                      </a:prstGeom>
                      <a:noFill/>
                      <a:ln w="9525">
                        <a:noFill/>
                        <a:miter lim="800000"/>
                        <a:headEnd/>
                        <a:tailEnd/>
                      </a:ln>
                    </wps:spPr>
                    <wps:txbx>
                      <w:txbxContent>
                        <w:p w14:paraId="3DE91629"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57B42DBC" id="Rectangle 17" o:spid="_x0000_s1034" style="position:absolute;margin-left:-33.45pt;margin-top:0;width:17.75pt;height:128.4pt;z-index:251658247;visibility:visible;mso-wrap-style:square;mso-width-percent:800;mso-height-percent:0;mso-wrap-distance-left:9pt;mso-wrap-distance-top:0;mso-wrap-distance-right:9pt;mso-wrap-distance-bottom:0;mso-position-horizontal:right;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" o:allowincell="f" filled="f" stroked="f">
              <v:textbox style="layout-flow:vertical;mso-fit-shape-to-text:t" inset="0,0,0,0">
                <w:txbxContent>
                  <w:p w14:paraId="3DE91629"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v:textbox>
              <w10:wrap anchorx="margin" anchory="margin"/>
            </v:rect>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D3FD7" w14:textId="77777777" w:rsidR="00580100" w:rsidRDefault="00580100" w:rsidP="00DE1921">
    <w:pPr>
      <w:pStyle w:val="DoTPageNumber"/>
      <w:jc w:val="left"/>
    </w:pPr>
    <w:r w:rsidRPr="00455C43">
      <w:fldChar w:fldCharType="begin"/>
    </w:r>
    <w:r w:rsidRPr="00455C43">
      <w:instrText xml:space="preserve"> PAGE   \* MERGEFORMAT </w:instrText>
    </w:r>
    <w:r w:rsidRPr="00455C43">
      <w:fldChar w:fldCharType="separate"/>
    </w:r>
    <w:r>
      <w:t>142</w:t>
    </w:r>
    <w:r w:rsidRPr="00455C43">
      <w:rPr>
        <w:noProof/>
      </w:rPr>
      <w:fldChar w:fldCharType="end"/>
    </w:r>
    <w:r w:rsidRPr="00A34F4C">
      <w:t xml:space="preserve"> </w:t>
    </w:r>
    <w:r>
      <w:rPr>
        <w:b/>
        <w:color w:val="00BAC0"/>
      </w:rPr>
      <w:t xml:space="preserve">\ </w:t>
    </w:r>
    <w:r w:rsidRPr="00F30A6B">
      <w:t>DoT Annual Report 201</w:t>
    </w:r>
    <w:r>
      <w:t>9</w:t>
    </w:r>
    <w:r w:rsidRPr="00F30A6B">
      <w:t>-</w:t>
    </w:r>
    <w:r>
      <w:t>20</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52367" w14:textId="77777777" w:rsidR="00580100" w:rsidRDefault="00580100" w:rsidP="00DE1921">
    <w:pPr>
      <w:pStyle w:val="DoTPageNumber"/>
      <w:jc w:val="left"/>
    </w:pPr>
    <w:r w:rsidRPr="00336616">
      <w:fldChar w:fldCharType="begin"/>
    </w:r>
    <w:r w:rsidRPr="00336616">
      <w:instrText xml:space="preserve"> PAGE   \* MERGEFORMAT </w:instrText>
    </w:r>
    <w:r w:rsidRPr="00336616">
      <w:fldChar w:fldCharType="separate"/>
    </w:r>
    <w:r>
      <w:t>2</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DFB13" w14:textId="77777777" w:rsidR="00580100" w:rsidRDefault="0058010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626F" w14:textId="77777777" w:rsidR="00580100" w:rsidRPr="00FC5B61" w:rsidRDefault="00580100" w:rsidP="00DE1921">
    <w:pPr>
      <w:pStyle w:val="Footer"/>
      <w:jc w:val="righ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9E0BC" w14:textId="77777777" w:rsidR="00580100" w:rsidRPr="00FC5B61" w:rsidRDefault="00580100" w:rsidP="00DE1921">
    <w:pPr>
      <w:pStyle w:val="DoTPageNumber"/>
      <w:jc w:val="left"/>
    </w:pPr>
    <w:r w:rsidRPr="00455C43">
      <w:fldChar w:fldCharType="begin"/>
    </w:r>
    <w:r w:rsidRPr="00455C43">
      <w:instrText xml:space="preserve"> PAGE   \* MERGEFORMAT </w:instrText>
    </w:r>
    <w:r w:rsidRPr="00455C43">
      <w:fldChar w:fldCharType="separate"/>
    </w:r>
    <w:r>
      <w:t>114</w:t>
    </w:r>
    <w:r w:rsidRPr="00455C43">
      <w:rPr>
        <w:noProof/>
      </w:rPr>
      <w:fldChar w:fldCharType="end"/>
    </w:r>
    <w:r w:rsidRPr="00A34F4C">
      <w:t xml:space="preserve"> </w:t>
    </w:r>
    <w:r>
      <w:rPr>
        <w:b/>
        <w:color w:val="00BAC0"/>
      </w:rPr>
      <w:t xml:space="preserve">\ </w:t>
    </w:r>
    <w:r w:rsidRPr="00F30A6B">
      <w:t>DoT Annual Report 201</w:t>
    </w:r>
    <w:r>
      <w:t>9</w:t>
    </w:r>
    <w:r w:rsidRPr="00F30A6B">
      <w:t>-</w:t>
    </w:r>
    <w:r>
      <w:t>20</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8B357" w14:textId="77777777" w:rsidR="00580100" w:rsidRDefault="00580100" w:rsidP="00DE1921">
    <w:pPr>
      <w:pStyle w:val="DoTPageNumber"/>
      <w:jc w:val="left"/>
    </w:pPr>
    <w:r w:rsidRPr="00455C43">
      <w:fldChar w:fldCharType="begin"/>
    </w:r>
    <w:r w:rsidRPr="00455C43">
      <w:instrText xml:space="preserve"> PAGE   \* MERGEFORMAT </w:instrText>
    </w:r>
    <w:r w:rsidRPr="00455C43">
      <w:fldChar w:fldCharType="separate"/>
    </w:r>
    <w:r>
      <w:t>114</w:t>
    </w:r>
    <w:r w:rsidRPr="00455C43">
      <w:rPr>
        <w:noProof/>
      </w:rPr>
      <w:fldChar w:fldCharType="end"/>
    </w:r>
    <w:r w:rsidRPr="00A34F4C">
      <w:t xml:space="preserve"> </w:t>
    </w:r>
    <w:r>
      <w:rPr>
        <w:b/>
        <w:color w:val="00BAC0"/>
      </w:rPr>
      <w:t xml:space="preserve">\ </w:t>
    </w:r>
    <w:r w:rsidRPr="00F30A6B">
      <w:t>DoT Annual Report 201</w:t>
    </w:r>
    <w:r>
      <w:t>9</w:t>
    </w:r>
    <w:r w:rsidRPr="00F30A6B">
      <w:t>-</w:t>
    </w:r>
    <w:r>
      <w:t>20</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CF211" w14:textId="77777777" w:rsidR="00580100" w:rsidRPr="00FC5B61" w:rsidRDefault="00580100" w:rsidP="00DE1921">
    <w:pPr>
      <w:pStyle w:val="Footer"/>
      <w:jc w:val="righ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22438" w14:textId="77777777" w:rsidR="00580100" w:rsidRPr="0073361E" w:rsidRDefault="00580100" w:rsidP="00DE1921">
    <w:pPr>
      <w:pStyle w:val="FooterEven"/>
    </w:pPr>
    <w:r>
      <w:fldChar w:fldCharType="begin"/>
    </w:r>
    <w:r w:rsidRPr="00455C43">
      <w:instrText xml:space="preserve"> PAGE   \* MERGEFORMAT </w:instrText>
    </w:r>
    <w:r>
      <w:fldChar w:fldCharType="separate"/>
    </w:r>
    <w:r>
      <w:t>212</w:t>
    </w:r>
    <w:r>
      <w:fldChar w:fldCharType="end"/>
    </w:r>
    <w:r>
      <w:rPr>
        <w:noProof/>
      </w:rPr>
      <w:t xml:space="preserve"> </w:t>
    </w:r>
    <w:r>
      <w:rPr>
        <w:b/>
        <w:bCs/>
        <w:color w:val="00BAC0"/>
      </w:rPr>
      <w:t>\</w:t>
    </w:r>
    <w:r>
      <w:rPr>
        <w:noProof/>
      </w:rPr>
      <w:t xml:space="preserve"> </w:t>
    </w:r>
    <w:r>
      <w:t>DoT Annual Report 2019-20</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2AC86" w14:textId="77777777" w:rsidR="00580100" w:rsidRPr="00D6254A" w:rsidRDefault="00580100" w:rsidP="00DE1921">
    <w:pPr>
      <w:pStyle w:val="Footer"/>
      <w:jc w:val="right"/>
    </w:pPr>
    <w:r w:rsidRPr="00875FCA" w:rsidDel="00860EFA">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98595" w14:textId="77777777" w:rsidR="00580100" w:rsidRPr="0073361E" w:rsidRDefault="00580100" w:rsidP="00DE1921">
    <w:pPr>
      <w:pStyle w:val="DoTPageNumber"/>
      <w:jc w:val="left"/>
    </w:pPr>
    <w:r w:rsidRPr="00336616">
      <w:fldChar w:fldCharType="begin"/>
    </w:r>
    <w:r w:rsidRPr="00336616">
      <w:instrText xml:space="preserve"> PAGE   \* MERGEFORMAT </w:instrText>
    </w:r>
    <w:r w:rsidRPr="00336616">
      <w:fldChar w:fldCharType="separate"/>
    </w:r>
    <w:r>
      <w:t>162</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CD169" w14:textId="77777777" w:rsidR="00580100" w:rsidRDefault="00580100" w:rsidP="00DE1921">
    <w:pPr>
      <w:pStyle w:val="DoTPageNumber"/>
      <w:jc w:val="left"/>
    </w:pPr>
    <w:r w:rsidRPr="00336616">
      <w:fldChar w:fldCharType="begin"/>
    </w:r>
    <w:r w:rsidRPr="00336616">
      <w:instrText xml:space="preserve"> PAGE   \* MERGEFORMAT </w:instrText>
    </w:r>
    <w:r w:rsidRPr="00336616">
      <w:fldChar w:fldCharType="separate"/>
    </w:r>
    <w:r>
      <w:t>2</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AB480" w14:textId="77777777" w:rsidR="00580100" w:rsidRPr="00C22087" w:rsidRDefault="00580100" w:rsidP="00DE1921">
    <w:pPr>
      <w:pStyle w:val="DoTPageNumber"/>
      <w:jc w:val="left"/>
    </w:pPr>
    <w:r w:rsidRPr="00336616">
      <w:fldChar w:fldCharType="begin"/>
    </w:r>
    <w:r w:rsidRPr="00336616">
      <w:instrText xml:space="preserve"> PAGE   \* MERGEFORMAT </w:instrText>
    </w:r>
    <w:r w:rsidRPr="00336616">
      <w:fldChar w:fldCharType="separate"/>
    </w:r>
    <w:r>
      <w:t>2</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A3112" w14:textId="77777777" w:rsidR="00580100" w:rsidRPr="005F2AD4" w:rsidRDefault="00580100" w:rsidP="00DE1921">
    <w:pPr>
      <w:pStyle w:val="DoTPageNumber"/>
      <w:jc w:val="left"/>
    </w:pPr>
    <w:r w:rsidRPr="00336616">
      <w:fldChar w:fldCharType="begin"/>
    </w:r>
    <w:r w:rsidRPr="00336616">
      <w:instrText xml:space="preserve"> PAGE   \* MERGEFORMAT </w:instrText>
    </w:r>
    <w:r w:rsidRPr="00336616">
      <w:fldChar w:fldCharType="separate"/>
    </w:r>
    <w:r>
      <w:t>10</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37FB7" w14:textId="77777777" w:rsidR="00580100" w:rsidRPr="00DB1BA3" w:rsidRDefault="00580100" w:rsidP="00DE1921">
    <w:pPr>
      <w:pStyle w:val="DoTPageNumber"/>
    </w:pPr>
    <w:r w:rsidRPr="00F30A6B">
      <w:t>DoT Annual Report 201</w:t>
    </w:r>
    <w:r>
      <w:t>9</w:t>
    </w:r>
    <w:r w:rsidRPr="00F30A6B">
      <w:t>-</w:t>
    </w:r>
    <w:r>
      <w:t>20</w:t>
    </w:r>
    <w:r w:rsidRPr="00A34F4C">
      <w:t xml:space="preserve"> </w:t>
    </w:r>
    <w:r>
      <w:rPr>
        <w:rFonts w:ascii="VIC SemiBold" w:hAnsi="VIC SemiBold"/>
        <w:b/>
        <w:color w:val="00BAC0"/>
      </w:rPr>
      <w:t>/</w:t>
    </w:r>
    <w:r w:rsidRPr="009A202C">
      <w:t xml:space="preserve"> </w:t>
    </w:r>
    <w:r w:rsidRPr="00336616">
      <w:fldChar w:fldCharType="begin"/>
    </w:r>
    <w:r w:rsidRPr="00336616">
      <w:instrText xml:space="preserve"> PAGE   \* MERGEFORMAT </w:instrText>
    </w:r>
    <w:r w:rsidRPr="00336616">
      <w:fldChar w:fldCharType="separate"/>
    </w:r>
    <w:r>
      <w:t>5</w:t>
    </w:r>
    <w:r w:rsidRPr="00336616">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7A614" w14:textId="77777777" w:rsidR="00580100" w:rsidRPr="001F0BE8" w:rsidRDefault="00580100" w:rsidP="00DE1921">
    <w:pPr>
      <w:pStyle w:val="DoTPageNumber"/>
      <w:jc w:val="left"/>
    </w:pPr>
    <w:r w:rsidRPr="00336616">
      <w:fldChar w:fldCharType="begin"/>
    </w:r>
    <w:r w:rsidRPr="00336616">
      <w:instrText xml:space="preserve"> PAGE   \* MERGEFORMAT </w:instrText>
    </w:r>
    <w:r w:rsidRPr="00336616">
      <w:fldChar w:fldCharType="separate"/>
    </w:r>
    <w:r>
      <w:t>10</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0A512" w14:textId="77777777" w:rsidR="00580100" w:rsidRDefault="00580100" w:rsidP="00DE1921">
    <w:pPr>
      <w:pStyle w:val="DoTPageNumber"/>
      <w:jc w:val="left"/>
    </w:pPr>
    <w:r w:rsidRPr="00336616">
      <w:fldChar w:fldCharType="begin"/>
    </w:r>
    <w:r w:rsidRPr="00336616">
      <w:instrText xml:space="preserve"> PAGE   \* MERGEFORMAT </w:instrText>
    </w:r>
    <w:r w:rsidRPr="00336616">
      <w:fldChar w:fldCharType="separate"/>
    </w:r>
    <w:r>
      <w:t>2</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F697" w14:textId="77777777" w:rsidR="00580100" w:rsidRPr="00C63E32" w:rsidRDefault="00580100" w:rsidP="00DE1921">
    <w:pPr>
      <w:pStyle w:val="DoTPageNumber"/>
      <w:jc w:val="left"/>
    </w:pPr>
    <w:r w:rsidRPr="00336616">
      <w:fldChar w:fldCharType="begin"/>
    </w:r>
    <w:r w:rsidRPr="00336616">
      <w:instrText xml:space="preserve"> PAGE   \* MERGEFORMAT </w:instrText>
    </w:r>
    <w:r w:rsidRPr="00336616">
      <w:fldChar w:fldCharType="separate"/>
    </w:r>
    <w:r>
      <w:t>2</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A85A9" w14:textId="77777777" w:rsidR="00580100" w:rsidRPr="00E637C8" w:rsidRDefault="00580100" w:rsidP="00DE1921">
    <w:pPr>
      <w:pStyle w:val="DoTPageNumber"/>
      <w:jc w:val="left"/>
    </w:pPr>
    <w:r w:rsidRPr="00336616">
      <w:fldChar w:fldCharType="begin"/>
    </w:r>
    <w:r w:rsidRPr="00336616">
      <w:instrText xml:space="preserve"> PAGE   \* MERGEFORMAT </w:instrText>
    </w:r>
    <w:r w:rsidRPr="00336616">
      <w:fldChar w:fldCharType="separate"/>
    </w:r>
    <w:r>
      <w:t>4</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CC7D7" w14:textId="77777777" w:rsidR="00580100" w:rsidRDefault="0058010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E542B" w14:textId="77777777" w:rsidR="00580100" w:rsidRPr="00D02DEA" w:rsidRDefault="00580100" w:rsidP="00DE1921">
    <w:pPr>
      <w:pStyle w:val="DoTPageNumber"/>
      <w:jc w:val="left"/>
    </w:pPr>
    <w:r w:rsidRPr="00336616">
      <w:fldChar w:fldCharType="begin"/>
    </w:r>
    <w:r w:rsidRPr="00336616">
      <w:instrText xml:space="preserve"> PAGE   \* MERGEFORMAT </w:instrText>
    </w:r>
    <w:r w:rsidRPr="00336616">
      <w:fldChar w:fldCharType="separate"/>
    </w:r>
    <w:r>
      <w:t>4</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97EC0" w14:textId="77777777" w:rsidR="00580100" w:rsidRPr="006919A4" w:rsidRDefault="00580100" w:rsidP="00DE1921">
    <w:pPr>
      <w:pStyle w:val="DoTPageNumber"/>
      <w:jc w:val="left"/>
    </w:pPr>
    <w:r w:rsidRPr="00336616">
      <w:fldChar w:fldCharType="begin"/>
    </w:r>
    <w:r w:rsidRPr="00336616">
      <w:instrText xml:space="preserve"> PAGE   \* MERGEFORMAT </w:instrText>
    </w:r>
    <w:r w:rsidRPr="00336616">
      <w:fldChar w:fldCharType="separate"/>
    </w:r>
    <w:r>
      <w:t>230</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10AAB" w14:textId="77777777" w:rsidR="00580100" w:rsidRDefault="0058010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250AC" w14:textId="77777777" w:rsidR="00580100" w:rsidRPr="00F84D49" w:rsidRDefault="00580100" w:rsidP="00DE1921">
    <w:pPr>
      <w:pStyle w:val="DoTPageNumber"/>
      <w:jc w:val="left"/>
    </w:pPr>
    <w:r w:rsidRPr="00336616">
      <w:fldChar w:fldCharType="begin"/>
    </w:r>
    <w:r w:rsidRPr="00336616">
      <w:instrText xml:space="preserve"> PAGE   \* MERGEFORMAT </w:instrText>
    </w:r>
    <w:r w:rsidRPr="00336616">
      <w:fldChar w:fldCharType="separate"/>
    </w:r>
    <w:r>
      <w:t>2</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D4636" w14:textId="77777777" w:rsidR="00580100" w:rsidRPr="008E6D51" w:rsidRDefault="00580100" w:rsidP="00DE1921">
    <w:pPr>
      <w:pStyle w:val="DoTPageNumber"/>
      <w:jc w:val="left"/>
    </w:pPr>
    <w:r w:rsidRPr="00336616">
      <w:fldChar w:fldCharType="begin"/>
    </w:r>
    <w:r w:rsidRPr="00336616">
      <w:instrText xml:space="preserve"> PAGE   \* MERGEFORMAT </w:instrText>
    </w:r>
    <w:r w:rsidRPr="00336616">
      <w:fldChar w:fldCharType="separate"/>
    </w:r>
    <w:r>
      <w:t>250</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BDC80" w14:textId="77777777" w:rsidR="00F72298" w:rsidRPr="00AB391C" w:rsidRDefault="00F72298" w:rsidP="00AB391C">
    <w:pPr>
      <w:keepLines/>
      <w:tabs>
        <w:tab w:val="center" w:pos="4513"/>
        <w:tab w:val="right" w:pos="9026"/>
      </w:tabs>
      <w:spacing w:after="0" w:line="240" w:lineRule="auto"/>
      <w:jc w:val="right"/>
      <w:rPr>
        <w:rFonts w:ascii="Arial" w:eastAsia="Arial" w:hAnsi="Arial" w:cs="Times New Roman"/>
        <w:sz w:val="24"/>
      </w:rPr>
    </w:pPr>
    <w:r w:rsidRPr="00AB391C">
      <w:rPr>
        <w:rFonts w:ascii="Arial" w:eastAsia="Arial" w:hAnsi="Arial" w:cs="Times New Roman"/>
        <w:sz w:val="24"/>
      </w:rPr>
      <w:t xml:space="preserve">DoT Annual Report 2019-20 – Page </w:t>
    </w:r>
    <w:r w:rsidRPr="00AB391C">
      <w:rPr>
        <w:rFonts w:ascii="Arial" w:eastAsia="Arial" w:hAnsi="Arial" w:cs="Times New Roman"/>
        <w:sz w:val="24"/>
      </w:rPr>
      <w:fldChar w:fldCharType="begin"/>
    </w:r>
    <w:r w:rsidRPr="00AB391C">
      <w:rPr>
        <w:rFonts w:ascii="Arial" w:eastAsia="Arial" w:hAnsi="Arial" w:cs="Times New Roman"/>
        <w:sz w:val="24"/>
      </w:rPr>
      <w:instrText xml:space="preserve"> PAGE   \* MERGEFORMAT </w:instrText>
    </w:r>
    <w:r w:rsidRPr="00AB391C">
      <w:rPr>
        <w:rFonts w:ascii="Arial" w:eastAsia="Arial" w:hAnsi="Arial" w:cs="Times New Roman"/>
        <w:sz w:val="24"/>
      </w:rPr>
      <w:fldChar w:fldCharType="separate"/>
    </w:r>
    <w:r w:rsidRPr="00AB391C">
      <w:rPr>
        <w:rFonts w:ascii="Arial" w:eastAsia="Arial" w:hAnsi="Arial" w:cs="Times New Roman"/>
        <w:sz w:val="24"/>
      </w:rPr>
      <w:t>1</w:t>
    </w:r>
    <w:r w:rsidRPr="00AB391C">
      <w:rPr>
        <w:rFonts w:ascii="Arial" w:eastAsia="Arial" w:hAnsi="Arial" w:cs="Times New Roman"/>
        <w:noProof/>
        <w:sz w:val="24"/>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34A43" w14:textId="77777777" w:rsidR="00580100" w:rsidRPr="00556990" w:rsidRDefault="00580100" w:rsidP="00DE1921">
    <w:pPr>
      <w:pStyle w:val="Footer"/>
    </w:pPr>
    <w:r w:rsidRPr="001B23B6">
      <w:rPr>
        <w:noProof/>
        <w:color w:val="FF0000"/>
      </w:rPr>
      <mc:AlternateContent>
        <mc:Choice Requires="wps">
          <w:drawing>
            <wp:anchor distT="0" distB="0" distL="114300" distR="114300" simplePos="0" relativeHeight="251658249" behindDoc="0" locked="0" layoutInCell="0" allowOverlap="1" wp14:anchorId="7EC110C0" wp14:editId="4FAC974D">
              <wp:simplePos x="0" y="0"/>
              <wp:positionH relativeFrom="leftMargin">
                <wp:align>right</wp:align>
              </wp:positionH>
              <wp:positionV relativeFrom="margin">
                <wp:posOffset>0</wp:posOffset>
              </wp:positionV>
              <wp:extent cx="225425" cy="1630800"/>
              <wp:effectExtent l="0" t="0" r="3175" b="762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30800"/>
                      </a:xfrm>
                      <a:prstGeom prst="rect">
                        <a:avLst/>
                      </a:prstGeom>
                      <a:noFill/>
                      <a:ln w="9525">
                        <a:noFill/>
                        <a:miter lim="800000"/>
                        <a:headEnd/>
                        <a:tailEnd/>
                      </a:ln>
                    </wps:spPr>
                    <wps:txbx>
                      <w:txbxContent>
                        <w:p w14:paraId="49027827"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7EC110C0" id="Rectangle 39" o:spid="_x0000_s1038" style="position:absolute;margin-left:-33.45pt;margin-top:0;width:17.75pt;height:128.4pt;z-index:251658249;visibility:visible;mso-wrap-style:square;mso-width-percent:800;mso-height-percent:0;mso-wrap-distance-left:9pt;mso-wrap-distance-top:0;mso-wrap-distance-right:9pt;mso-wrap-distance-bottom:0;mso-position-horizontal:right;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" o:allowincell="f" filled="f" stroked="f">
              <v:textbox style="layout-flow:vertical;mso-fit-shape-to-text:t" inset="0,0,0,0">
                <w:txbxContent>
                  <w:p w14:paraId="49027827"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v:textbox>
              <w10:wrap anchorx="margin" anchory="margin"/>
            </v:rect>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21E37" w14:textId="77777777" w:rsidR="00580100" w:rsidRPr="000D2594" w:rsidRDefault="00580100" w:rsidP="00DE1921">
    <w:pPr>
      <w:tabs>
        <w:tab w:val="center" w:pos="4513"/>
        <w:tab w:val="right" w:pos="9026"/>
      </w:tabs>
      <w:spacing w:after="0"/>
      <w:rPr>
        <w:color w:val="000000" w:themeColor="text1"/>
        <w:sz w:val="16"/>
      </w:rPr>
    </w:pPr>
    <w:r w:rsidRPr="000D2594">
      <w:rPr>
        <w:color w:val="000000" w:themeColor="text1"/>
        <w:sz w:val="16"/>
      </w:rPr>
      <w:fldChar w:fldCharType="begin"/>
    </w:r>
    <w:r w:rsidRPr="000D2594">
      <w:rPr>
        <w:color w:val="000000" w:themeColor="text1"/>
        <w:sz w:val="16"/>
      </w:rPr>
      <w:instrText xml:space="preserve"> PAGE   \* MERGEFORMAT </w:instrText>
    </w:r>
    <w:r w:rsidRPr="000D2594">
      <w:rPr>
        <w:color w:val="000000" w:themeColor="text1"/>
        <w:sz w:val="16"/>
      </w:rPr>
      <w:fldChar w:fldCharType="separate"/>
    </w:r>
    <w:r w:rsidRPr="000D2594">
      <w:rPr>
        <w:color w:val="000000" w:themeColor="text1"/>
        <w:sz w:val="16"/>
      </w:rPr>
      <w:t>2</w:t>
    </w:r>
    <w:r w:rsidRPr="000D2594">
      <w:rPr>
        <w:color w:val="000000" w:themeColor="text1"/>
        <w:sz w:val="16"/>
      </w:rPr>
      <w:fldChar w:fldCharType="end"/>
    </w:r>
    <w:r w:rsidRPr="000D2594">
      <w:rPr>
        <w:color w:val="000000" w:themeColor="text1"/>
        <w:sz w:val="16"/>
      </w:rPr>
      <w:t xml:space="preserve"> </w:t>
    </w:r>
    <w:r w:rsidRPr="000D2594">
      <w:rPr>
        <w:b/>
        <w:color w:val="00BAC0"/>
        <w:sz w:val="16"/>
      </w:rPr>
      <w:t xml:space="preserve">\ </w:t>
    </w:r>
    <w:r w:rsidRPr="000D2594">
      <w:rPr>
        <w:color w:val="000000" w:themeColor="text1"/>
        <w:sz w:val="16"/>
      </w:rPr>
      <w:t>DoT Annual Report 2019-20</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8CB91" w14:textId="77777777" w:rsidR="00580100" w:rsidRDefault="00580100">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1F724" w14:textId="77777777" w:rsidR="00580100" w:rsidRPr="005A6DEB" w:rsidRDefault="00580100" w:rsidP="00DE1921">
    <w:pPr>
      <w:pStyle w:val="DoTPageNumber"/>
      <w:jc w:val="left"/>
    </w:pPr>
    <w:r w:rsidRPr="00336616">
      <w:fldChar w:fldCharType="begin"/>
    </w:r>
    <w:r w:rsidRPr="00336616">
      <w:instrText xml:space="preserve"> PAGE   \* MERGEFORMAT </w:instrText>
    </w:r>
    <w:r w:rsidRPr="00336616">
      <w:fldChar w:fldCharType="separate"/>
    </w:r>
    <w:r>
      <w:t>252</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42175" w14:textId="77777777" w:rsidR="00580100" w:rsidRDefault="00580100">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FBB42" w14:textId="77777777" w:rsidR="00580100" w:rsidRPr="00FD22D6" w:rsidRDefault="00580100" w:rsidP="00DE1921">
    <w:pPr>
      <w:pStyle w:val="DoTPageNumber"/>
      <w:jc w:val="left"/>
    </w:pPr>
    <w:r w:rsidRPr="00336616">
      <w:fldChar w:fldCharType="begin"/>
    </w:r>
    <w:r w:rsidRPr="00336616">
      <w:instrText xml:space="preserve"> PAGE   \* MERGEFORMAT </w:instrText>
    </w:r>
    <w:r w:rsidRPr="00336616">
      <w:fldChar w:fldCharType="separate"/>
    </w:r>
    <w:r>
      <w:t>4</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A157E" w14:textId="77777777" w:rsidR="00580100" w:rsidRDefault="00580100">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20D00" w14:textId="77777777" w:rsidR="00580100" w:rsidRPr="00B77AB7" w:rsidRDefault="00580100" w:rsidP="00DE1921">
    <w:pPr>
      <w:pStyle w:val="DoTPageNumber"/>
      <w:jc w:val="left"/>
    </w:pPr>
    <w:r w:rsidRPr="00336616">
      <w:fldChar w:fldCharType="begin"/>
    </w:r>
    <w:r w:rsidRPr="00336616">
      <w:instrText xml:space="preserve"> PAGE   \* MERGEFORMAT </w:instrText>
    </w:r>
    <w:r w:rsidRPr="00336616">
      <w:fldChar w:fldCharType="separate"/>
    </w:r>
    <w:r>
      <w:t>256</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AA73D" w14:textId="4293FC9F" w:rsidR="00580100" w:rsidRPr="001B2C66" w:rsidRDefault="00580100" w:rsidP="00DE1921">
    <w:pPr>
      <w:tabs>
        <w:tab w:val="center" w:pos="4513"/>
        <w:tab w:val="right" w:pos="9026"/>
      </w:tabs>
      <w:spacing w:after="0"/>
      <w:rPr>
        <w:color w:val="000000" w:themeColor="text1"/>
        <w:sz w:val="16"/>
      </w:rPr>
    </w:pPr>
    <w:r w:rsidRPr="001B2C66">
      <w:rPr>
        <w:color w:val="000000" w:themeColor="text1"/>
        <w:sz w:val="16"/>
      </w:rPr>
      <w:fldChar w:fldCharType="begin"/>
    </w:r>
    <w:r w:rsidRPr="001B2C66">
      <w:rPr>
        <w:color w:val="000000" w:themeColor="text1"/>
        <w:sz w:val="16"/>
      </w:rPr>
      <w:instrText xml:space="preserve"> PAGE   \* MERGEFORMAT </w:instrText>
    </w:r>
    <w:r w:rsidRPr="001B2C66">
      <w:rPr>
        <w:color w:val="000000" w:themeColor="text1"/>
        <w:sz w:val="16"/>
      </w:rPr>
      <w:fldChar w:fldCharType="separate"/>
    </w:r>
    <w:r w:rsidRPr="001B2C66">
      <w:rPr>
        <w:color w:val="000000" w:themeColor="text1"/>
        <w:sz w:val="16"/>
      </w:rPr>
      <w:t>2</w:t>
    </w:r>
    <w:r w:rsidRPr="001B2C66">
      <w:rPr>
        <w:color w:val="000000" w:themeColor="text1"/>
        <w:sz w:val="16"/>
      </w:rPr>
      <w:fldChar w:fldCharType="end"/>
    </w:r>
    <w:r w:rsidRPr="001B2C66">
      <w:rPr>
        <w:color w:val="000000" w:themeColor="text1"/>
        <w:sz w:val="16"/>
      </w:rPr>
      <w:t xml:space="preserve"> </w:t>
    </w:r>
    <w:r w:rsidRPr="00E3241E">
      <w:rPr>
        <w:b/>
        <w:color w:val="0E787C"/>
        <w:sz w:val="16"/>
      </w:rPr>
      <w:t xml:space="preserve">\ </w:t>
    </w:r>
    <w:r w:rsidRPr="001B2C66">
      <w:rPr>
        <w:color w:val="000000" w:themeColor="text1"/>
        <w:sz w:val="16"/>
      </w:rPr>
      <w:t>DoT Annual Report 2019-20</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AF02E" w14:textId="77777777" w:rsidR="00580100" w:rsidRPr="00AD16C3" w:rsidRDefault="00580100" w:rsidP="00DE1921">
    <w:pPr>
      <w:pStyle w:val="DoTPageNumber"/>
      <w:jc w:val="left"/>
    </w:pPr>
    <w:r w:rsidRPr="00336616">
      <w:fldChar w:fldCharType="begin"/>
    </w:r>
    <w:r w:rsidRPr="00336616">
      <w:instrText xml:space="preserve"> PAGE   \* MERGEFORMAT </w:instrText>
    </w:r>
    <w:r w:rsidRPr="00336616">
      <w:fldChar w:fldCharType="separate"/>
    </w:r>
    <w:r>
      <w:t>2</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95A98" w14:textId="77777777" w:rsidR="00580100" w:rsidRPr="00066075" w:rsidRDefault="00580100" w:rsidP="00DE1921">
    <w:pPr>
      <w:pStyle w:val="DoTPageNumber"/>
      <w:jc w:val="left"/>
    </w:pPr>
    <w:r w:rsidRPr="00336616">
      <w:fldChar w:fldCharType="begin"/>
    </w:r>
    <w:r w:rsidRPr="00336616">
      <w:instrText xml:space="preserve"> PAGE   \* MERGEFORMAT </w:instrText>
    </w:r>
    <w:r w:rsidRPr="00336616">
      <w:fldChar w:fldCharType="separate"/>
    </w:r>
    <w:r>
      <w:t>6</w:t>
    </w:r>
    <w:r w:rsidRPr="00336616">
      <w:fldChar w:fldCharType="end"/>
    </w:r>
    <w:r w:rsidRPr="00A34F4C">
      <w:t xml:space="preserve"> </w:t>
    </w:r>
    <w:r w:rsidRPr="00D82DE0">
      <w:rPr>
        <w:rFonts w:ascii="VIC SemiBold" w:hAnsi="VIC SemiBold"/>
        <w:b/>
        <w:color w:val="00BAC0"/>
      </w:rPr>
      <w:t>\</w:t>
    </w:r>
    <w:r>
      <w:t xml:space="preserve"> </w:t>
    </w:r>
    <w:r w:rsidRPr="00F30A6B">
      <w:t>DoT Annual Report 201</w:t>
    </w:r>
    <w:r>
      <w:t>9</w:t>
    </w:r>
    <w:r w:rsidRPr="00F30A6B">
      <w:t>-</w:t>
    </w:r>
    <w:r>
      <w:t>20</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16028" w14:textId="77777777" w:rsidR="00580100" w:rsidRDefault="00580100">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79FED" w14:textId="77777777" w:rsidR="00580100" w:rsidRPr="003811C8" w:rsidRDefault="00580100" w:rsidP="00DE1921">
    <w:pPr>
      <w:pStyle w:val="DoTPageNumber"/>
      <w:jc w:val="left"/>
    </w:pPr>
    <w:r w:rsidRPr="00336616">
      <w:fldChar w:fldCharType="begin"/>
    </w:r>
    <w:r w:rsidRPr="00336616">
      <w:instrText xml:space="preserve"> PAGE   \* MERGEFORMAT </w:instrText>
    </w:r>
    <w:r w:rsidRPr="00336616">
      <w:fldChar w:fldCharType="separate"/>
    </w:r>
    <w:r>
      <w:t>2</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99D6F" w14:textId="77777777" w:rsidR="00580100" w:rsidRDefault="00580100">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0EE52" w14:textId="77777777" w:rsidR="00580100" w:rsidRPr="00350498" w:rsidRDefault="00580100" w:rsidP="00DE1921">
    <w:pPr>
      <w:pStyle w:val="DoTPageNumber"/>
      <w:jc w:val="left"/>
    </w:pPr>
    <w:r w:rsidRPr="00336616">
      <w:fldChar w:fldCharType="begin"/>
    </w:r>
    <w:r w:rsidRPr="00336616">
      <w:instrText xml:space="preserve"> PAGE   \* MERGEFORMAT </w:instrText>
    </w:r>
    <w:r w:rsidRPr="00336616">
      <w:fldChar w:fldCharType="separate"/>
    </w:r>
    <w:r>
      <w:t>2</w:t>
    </w:r>
    <w:r w:rsidRPr="00336616">
      <w:fldChar w:fldCharType="end"/>
    </w:r>
    <w:r w:rsidRPr="00A34F4C">
      <w:t xml:space="preserve"> </w:t>
    </w:r>
    <w:r w:rsidRPr="00D82DE0">
      <w:rPr>
        <w:rFonts w:ascii="VIC SemiBold" w:hAnsi="VIC SemiBold"/>
        <w:b/>
        <w:color w:val="00BAC0"/>
      </w:rPr>
      <w:t>\</w:t>
    </w:r>
    <w:r>
      <w:t xml:space="preserve"> </w:t>
    </w:r>
    <w:r w:rsidRPr="00F30A6B">
      <w:t>DoT Annual Report 201</w:t>
    </w:r>
    <w:r>
      <w:t>9</w:t>
    </w:r>
    <w:r w:rsidRPr="00F30A6B">
      <w:t>-</w:t>
    </w:r>
    <w:r>
      <w:t>20</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4FE23" w14:textId="77777777" w:rsidR="00580100" w:rsidRDefault="00580100">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FCE81" w14:textId="77777777" w:rsidR="00580100" w:rsidRPr="001B4473" w:rsidRDefault="00580100" w:rsidP="00DE1921">
    <w:pPr>
      <w:tabs>
        <w:tab w:val="center" w:pos="4513"/>
        <w:tab w:val="right" w:pos="9026"/>
      </w:tabs>
      <w:rPr>
        <w:color w:val="000000" w:themeColor="text1"/>
        <w:sz w:val="16"/>
      </w:rPr>
    </w:pPr>
    <w:r w:rsidRPr="001B4473">
      <w:rPr>
        <w:color w:val="000000" w:themeColor="text1"/>
        <w:sz w:val="16"/>
      </w:rPr>
      <w:fldChar w:fldCharType="begin"/>
    </w:r>
    <w:r w:rsidRPr="001B4473">
      <w:rPr>
        <w:color w:val="000000" w:themeColor="text1"/>
        <w:sz w:val="16"/>
      </w:rPr>
      <w:instrText xml:space="preserve"> PAGE   \* MERGEFORMAT </w:instrText>
    </w:r>
    <w:r w:rsidRPr="001B4473">
      <w:rPr>
        <w:color w:val="000000" w:themeColor="text1"/>
        <w:sz w:val="16"/>
      </w:rPr>
      <w:fldChar w:fldCharType="separate"/>
    </w:r>
    <w:r w:rsidRPr="001B4473">
      <w:rPr>
        <w:color w:val="000000" w:themeColor="text1"/>
        <w:sz w:val="16"/>
      </w:rPr>
      <w:t>2</w:t>
    </w:r>
    <w:r w:rsidRPr="001B4473">
      <w:rPr>
        <w:color w:val="000000" w:themeColor="text1"/>
        <w:sz w:val="16"/>
      </w:rPr>
      <w:fldChar w:fldCharType="end"/>
    </w:r>
    <w:r w:rsidRPr="001B4473">
      <w:rPr>
        <w:color w:val="000000" w:themeColor="text1"/>
        <w:sz w:val="16"/>
      </w:rPr>
      <w:t xml:space="preserve"> </w:t>
    </w:r>
    <w:r w:rsidRPr="001B4473">
      <w:rPr>
        <w:b/>
        <w:color w:val="00BAC0"/>
        <w:sz w:val="16"/>
      </w:rPr>
      <w:t xml:space="preserve">\ </w:t>
    </w:r>
    <w:r w:rsidRPr="001B4473">
      <w:rPr>
        <w:color w:val="000000" w:themeColor="text1"/>
        <w:sz w:val="16"/>
      </w:rPr>
      <w:t>DoT Annual Report 2019-20</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722DF" w14:textId="77777777" w:rsidR="00580100" w:rsidRDefault="00580100">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44F6B" w14:textId="77777777" w:rsidR="00580100" w:rsidRPr="0096102E" w:rsidRDefault="00580100" w:rsidP="00DE1921">
    <w:pPr>
      <w:pStyle w:val="Footer"/>
      <w:jc w:val="right"/>
      <w:rPr>
        <w:sz w:val="16"/>
      </w:rPr>
    </w:pPr>
    <w:r w:rsidRPr="0096102E">
      <w:rPr>
        <w:sz w:val="16"/>
      </w:rPr>
      <w:t>DoT Annual Report 2018-19</w:t>
    </w:r>
    <w:r>
      <w:rPr>
        <w:sz w:val="16"/>
      </w:rPr>
      <w:t xml:space="preserve"> </w:t>
    </w:r>
    <w:r>
      <w:rPr>
        <w:rFonts w:ascii="VIC SemiBold" w:hAnsi="VIC SemiBold"/>
        <w:b/>
        <w:color w:val="00B2A9"/>
        <w:sz w:val="16"/>
      </w:rPr>
      <w:t>/</w:t>
    </w:r>
    <w:r>
      <w:rPr>
        <w:sz w:val="16"/>
      </w:rPr>
      <w:t xml:space="preserve"> </w:t>
    </w:r>
    <w:r w:rsidRPr="0096102E">
      <w:rPr>
        <w:sz w:val="16"/>
      </w:rPr>
      <w:fldChar w:fldCharType="begin"/>
    </w:r>
    <w:r w:rsidRPr="0096102E">
      <w:rPr>
        <w:sz w:val="16"/>
      </w:rPr>
      <w:instrText xml:space="preserve"> PAGE   \* MERGEFORMAT </w:instrText>
    </w:r>
    <w:r w:rsidRPr="0096102E">
      <w:rPr>
        <w:sz w:val="16"/>
      </w:rPr>
      <w:fldChar w:fldCharType="separate"/>
    </w:r>
    <w:r w:rsidRPr="0096102E">
      <w:rPr>
        <w:sz w:val="16"/>
      </w:rPr>
      <w:t>2</w:t>
    </w:r>
    <w:r w:rsidRPr="0096102E">
      <w:rPr>
        <w:noProof/>
        <w:sz w:val="16"/>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6A259" w14:textId="77777777" w:rsidR="00580100" w:rsidRDefault="00580100">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040A9" w14:textId="77777777" w:rsidR="00580100" w:rsidRPr="00350498" w:rsidRDefault="00580100" w:rsidP="00DE1921">
    <w:pPr>
      <w:pStyle w:val="DoTPageNumber"/>
      <w:jc w:val="left"/>
    </w:pPr>
    <w:r w:rsidRPr="00336616">
      <w:fldChar w:fldCharType="begin"/>
    </w:r>
    <w:r w:rsidRPr="00336616">
      <w:instrText xml:space="preserve"> PAGE   \* MERGEFORMAT </w:instrText>
    </w:r>
    <w:r w:rsidRPr="00336616">
      <w:fldChar w:fldCharType="separate"/>
    </w:r>
    <w:r>
      <w:t>2</w:t>
    </w:r>
    <w:r w:rsidRPr="00336616">
      <w:fldChar w:fldCharType="end"/>
    </w:r>
    <w:r w:rsidRPr="00A34F4C">
      <w:t xml:space="preserve"> </w:t>
    </w:r>
    <w:r w:rsidRPr="00D82DE0">
      <w:rPr>
        <w:rFonts w:ascii="VIC SemiBold" w:hAnsi="VIC SemiBold"/>
        <w:b/>
        <w:color w:val="00BAC0"/>
      </w:rPr>
      <w:t>\</w:t>
    </w:r>
    <w:r>
      <w:t xml:space="preserve"> </w:t>
    </w:r>
    <w:r w:rsidRPr="00F30A6B">
      <w:t>DoT Annual Report 201</w:t>
    </w:r>
    <w:r>
      <w:t>9</w:t>
    </w:r>
    <w:r w:rsidRPr="00F30A6B">
      <w:t>-</w:t>
    </w:r>
    <w:r>
      <w:t>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38829" w14:textId="77777777" w:rsidR="00735056" w:rsidRPr="00AB391C" w:rsidRDefault="00735056" w:rsidP="00735056">
    <w:pPr>
      <w:keepLines/>
      <w:tabs>
        <w:tab w:val="center" w:pos="4513"/>
        <w:tab w:val="right" w:pos="9026"/>
      </w:tabs>
      <w:spacing w:after="0" w:line="240" w:lineRule="auto"/>
      <w:jc w:val="right"/>
      <w:rPr>
        <w:rFonts w:ascii="Arial" w:eastAsia="Arial" w:hAnsi="Arial" w:cs="Times New Roman"/>
        <w:sz w:val="24"/>
      </w:rPr>
    </w:pPr>
    <w:r w:rsidRPr="00AB391C">
      <w:rPr>
        <w:rFonts w:ascii="Arial" w:eastAsia="Arial" w:hAnsi="Arial" w:cs="Times New Roman"/>
        <w:sz w:val="24"/>
      </w:rPr>
      <w:t xml:space="preserve">DoT Annual Report 2019-20 – Page </w:t>
    </w:r>
    <w:r w:rsidRPr="00AB391C">
      <w:rPr>
        <w:rFonts w:ascii="Arial" w:eastAsia="Arial" w:hAnsi="Arial" w:cs="Times New Roman"/>
        <w:sz w:val="24"/>
      </w:rPr>
      <w:fldChar w:fldCharType="begin"/>
    </w:r>
    <w:r w:rsidRPr="00AB391C">
      <w:rPr>
        <w:rFonts w:ascii="Arial" w:eastAsia="Arial" w:hAnsi="Arial" w:cs="Times New Roman"/>
        <w:sz w:val="24"/>
      </w:rPr>
      <w:instrText xml:space="preserve"> PAGE   \* MERGEFORMAT </w:instrText>
    </w:r>
    <w:r w:rsidRPr="00AB391C">
      <w:rPr>
        <w:rFonts w:ascii="Arial" w:eastAsia="Arial" w:hAnsi="Arial" w:cs="Times New Roman"/>
        <w:sz w:val="24"/>
      </w:rPr>
      <w:fldChar w:fldCharType="separate"/>
    </w:r>
    <w:r w:rsidRPr="00735056">
      <w:rPr>
        <w:rFonts w:ascii="Arial" w:eastAsia="Arial" w:hAnsi="Arial" w:cs="Times New Roman"/>
        <w:sz w:val="24"/>
      </w:rPr>
      <w:t>15</w:t>
    </w:r>
    <w:r w:rsidRPr="00AB391C">
      <w:rPr>
        <w:rFonts w:ascii="Arial" w:eastAsia="Arial" w:hAnsi="Arial" w:cs="Times New Roman"/>
        <w:sz w:val="24"/>
      </w:rPr>
      <w:fldChar w:fldCharType="end"/>
    </w:r>
  </w:p>
  <w:p w14:paraId="152F0F9B" w14:textId="76F3190F" w:rsidR="00580100" w:rsidRPr="00B61579" w:rsidRDefault="00580100" w:rsidP="00B61579">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13171" w14:textId="77777777" w:rsidR="00580100" w:rsidRDefault="00580100">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94286" w14:textId="77777777" w:rsidR="00580100" w:rsidRPr="001F1814" w:rsidRDefault="00580100" w:rsidP="00DE1921">
    <w:pPr>
      <w:pStyle w:val="DoTPageNumber"/>
      <w:jc w:val="left"/>
    </w:pPr>
    <w:r w:rsidRPr="00336616">
      <w:fldChar w:fldCharType="begin"/>
    </w:r>
    <w:r w:rsidRPr="00336616">
      <w:instrText xml:space="preserve"> PAGE   \* MERGEFORMAT </w:instrText>
    </w:r>
    <w:r w:rsidRPr="00336616">
      <w:fldChar w:fldCharType="separate"/>
    </w:r>
    <w:r>
      <w:t>2</w:t>
    </w:r>
    <w:r w:rsidRPr="00336616">
      <w:fldChar w:fldCharType="end"/>
    </w:r>
    <w:r w:rsidRPr="00A34F4C">
      <w:t xml:space="preserve"> </w:t>
    </w:r>
    <w:r>
      <w:rPr>
        <w:b/>
        <w:color w:val="00BAC0"/>
      </w:rPr>
      <w:t xml:space="preserve">\ </w:t>
    </w:r>
    <w:r w:rsidRPr="00F30A6B">
      <w:t>DoT Annual Report 201</w:t>
    </w:r>
    <w:r>
      <w:t>9</w:t>
    </w:r>
    <w:r w:rsidRPr="00F30A6B">
      <w:t>-</w:t>
    </w:r>
    <w:r>
      <w:t>20</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E7B80" w14:textId="77777777" w:rsidR="00580100" w:rsidRDefault="00580100">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BF224" w14:textId="77777777" w:rsidR="00580100" w:rsidRPr="000A0323" w:rsidRDefault="00580100" w:rsidP="00DE1921">
    <w:pPr>
      <w:pStyle w:val="DoTPageNumber"/>
      <w:jc w:val="left"/>
    </w:pPr>
    <w:r w:rsidRPr="00336616">
      <w:fldChar w:fldCharType="begin"/>
    </w:r>
    <w:r w:rsidRPr="00336616">
      <w:instrText xml:space="preserve"> PAGE   \* MERGEFORMAT </w:instrText>
    </w:r>
    <w:r w:rsidRPr="00336616">
      <w:fldChar w:fldCharType="separate"/>
    </w:r>
    <w:r>
      <w:t>4</w:t>
    </w:r>
    <w:r w:rsidRPr="00336616">
      <w:fldChar w:fldCharType="end"/>
    </w:r>
    <w:r w:rsidRPr="00A34F4C">
      <w:t xml:space="preserve"> </w:t>
    </w:r>
    <w:r w:rsidRPr="00D82DE0">
      <w:rPr>
        <w:rFonts w:ascii="VIC SemiBold" w:hAnsi="VIC SemiBold"/>
        <w:b/>
        <w:color w:val="00BAC0"/>
      </w:rPr>
      <w:t>\</w:t>
    </w:r>
    <w:r>
      <w:t xml:space="preserve"> </w:t>
    </w:r>
    <w:r w:rsidRPr="00F30A6B">
      <w:t>DoT Annual Report 201</w:t>
    </w:r>
    <w:r>
      <w:t>9</w:t>
    </w:r>
    <w:r w:rsidRPr="00F30A6B">
      <w:t>-</w:t>
    </w:r>
    <w:r>
      <w:t>20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84B9E" w14:textId="77777777" w:rsidR="00580100" w:rsidRPr="008D3F79" w:rsidRDefault="00580100" w:rsidP="00DE1921">
    <w:pPr>
      <w:pStyle w:val="DoTPageNumber"/>
      <w:jc w:val="left"/>
    </w:pPr>
    <w:r w:rsidRPr="00336616">
      <w:fldChar w:fldCharType="begin"/>
    </w:r>
    <w:r w:rsidRPr="00336616">
      <w:instrText xml:space="preserve"> PAGE   \* MERGEFORMAT </w:instrText>
    </w:r>
    <w:r w:rsidRPr="00336616">
      <w:fldChar w:fldCharType="separate"/>
    </w:r>
    <w:r>
      <w:t>6</w:t>
    </w:r>
    <w:r w:rsidRPr="00336616">
      <w:fldChar w:fldCharType="end"/>
    </w:r>
    <w:r w:rsidRPr="00A34F4C">
      <w:t xml:space="preserve"> </w:t>
    </w:r>
    <w:r w:rsidRPr="00D82DE0">
      <w:rPr>
        <w:rFonts w:ascii="VIC SemiBold" w:hAnsi="VIC SemiBold"/>
        <w:b/>
        <w:color w:val="00BAC0"/>
      </w:rPr>
      <w:t>\</w:t>
    </w:r>
    <w:r>
      <w:t xml:space="preserve"> </w:t>
    </w:r>
    <w:r w:rsidRPr="00F30A6B">
      <w:t>DoT Annual Report 201</w:t>
    </w:r>
    <w:r>
      <w:t>9</w:t>
    </w:r>
    <w:r w:rsidRPr="00F30A6B">
      <w:t>-</w:t>
    </w:r>
    <w: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2F145" w14:textId="77777777" w:rsidR="008F5781" w:rsidRDefault="008F5781">
      <w:pPr>
        <w:spacing w:after="0" w:line="240" w:lineRule="auto"/>
      </w:pPr>
      <w:r>
        <w:separator/>
      </w:r>
    </w:p>
  </w:footnote>
  <w:footnote w:type="continuationSeparator" w:id="0">
    <w:p w14:paraId="3B166865" w14:textId="77777777" w:rsidR="008F5781" w:rsidRDefault="008F5781">
      <w:pPr>
        <w:spacing w:after="0" w:line="240" w:lineRule="auto"/>
      </w:pPr>
      <w:r>
        <w:continuationSeparator/>
      </w:r>
    </w:p>
  </w:footnote>
  <w:footnote w:type="continuationNotice" w:id="1">
    <w:p w14:paraId="22195255" w14:textId="77777777" w:rsidR="008F5781" w:rsidRDefault="008F57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E7AB0" w14:textId="57656D76" w:rsidR="00580100" w:rsidRDefault="0058010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32205" w14:textId="77777777" w:rsidR="00580100" w:rsidRDefault="00580100">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4A307" w14:textId="77777777" w:rsidR="00580100" w:rsidRDefault="00580100">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4788C" w14:textId="77777777" w:rsidR="00580100" w:rsidRDefault="00580100">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51531" w14:textId="77777777" w:rsidR="00580100" w:rsidRDefault="00580100">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B051F" w14:textId="77777777" w:rsidR="00580100" w:rsidRPr="00A355E7" w:rsidRDefault="00580100" w:rsidP="00DE1921">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15581" w14:textId="77777777" w:rsidR="00580100" w:rsidRDefault="00580100">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051E9" w14:textId="77777777" w:rsidR="00580100" w:rsidRPr="00A355E7" w:rsidRDefault="00580100" w:rsidP="00DE1921">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48046" w14:textId="77777777" w:rsidR="00580100" w:rsidRDefault="00580100">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B9FE0" w14:textId="77777777" w:rsidR="00580100" w:rsidRDefault="00580100">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B2F48" w14:textId="77777777" w:rsidR="00580100" w:rsidRDefault="00580100">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A2471" w14:textId="77777777" w:rsidR="00580100" w:rsidRDefault="0058010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62AB1" w14:textId="77777777" w:rsidR="00580100" w:rsidRDefault="00580100">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C1B33" w14:textId="77777777" w:rsidR="00580100" w:rsidRDefault="00580100">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91AC2" w14:textId="77777777" w:rsidR="00580100" w:rsidRPr="00A355E7" w:rsidRDefault="00580100" w:rsidP="00DE1921">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9D399" w14:textId="77777777" w:rsidR="00580100" w:rsidRDefault="00580100">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065F3" w14:textId="77777777" w:rsidR="00580100" w:rsidRDefault="00580100">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B9E4D" w14:textId="77777777" w:rsidR="00580100" w:rsidRDefault="00580100">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CFD86" w14:textId="77777777" w:rsidR="00580100" w:rsidRDefault="00580100">
    <w:pPr>
      <w:pStyle w:val="Header"/>
    </w:pPr>
    <w:r w:rsidRPr="001B23B6">
      <w:rPr>
        <w:noProof/>
        <w:color w:val="FF0000"/>
      </w:rPr>
      <mc:AlternateContent>
        <mc:Choice Requires="wps">
          <w:drawing>
            <wp:inline distT="0" distB="0" distL="0" distR="0" wp14:anchorId="30EAC526" wp14:editId="4D234AEC">
              <wp:extent cx="225425" cy="1630800"/>
              <wp:effectExtent l="0" t="0" r="10795" b="7620"/>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30800"/>
                      </a:xfrm>
                      <a:prstGeom prst="rect">
                        <a:avLst/>
                      </a:prstGeom>
                      <a:noFill/>
                      <a:ln w="9525">
                        <a:noFill/>
                        <a:miter lim="800000"/>
                        <a:headEnd/>
                        <a:tailEnd/>
                      </a:ln>
                    </wps:spPr>
                    <wps:txbx>
                      <w:txbxContent>
                        <w:p w14:paraId="2015C923"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wps:txbx>
                    <wps:bodyPr rot="0" vert="vert" wrap="square" lIns="0" tIns="0" rIns="0" bIns="0" anchor="t" anchorCtr="0" upright="1">
                      <a:spAutoFit/>
                    </wps:bodyPr>
                  </wps:wsp>
                </a:graphicData>
              </a:graphic>
            </wp:inline>
          </w:drawing>
        </mc:Choice>
        <mc:Fallback>
          <w:pict>
            <v:rect w14:anchorId="30EAC526" id="Rectangle 25" o:spid="_x0000_s1035" style="width:17.75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" filled="f" stroked="f">
              <v:textbox style="layout-flow:vertical;mso-fit-shape-to-text:t" inset="0,0,0,0">
                <w:txbxContent>
                  <w:p w14:paraId="2015C923"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v:textbox>
              <w10:anchorlock/>
            </v:rect>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95ED6" w14:textId="77777777" w:rsidR="00580100" w:rsidRDefault="00580100">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ADC71" w14:textId="77777777" w:rsidR="00580100" w:rsidRDefault="00580100">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90B71" w14:textId="77777777" w:rsidR="00580100" w:rsidRDefault="00580100">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0FC49" w14:textId="77777777" w:rsidR="00580100" w:rsidRDefault="0058010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A284C" w14:textId="77777777" w:rsidR="00580100" w:rsidRDefault="00580100">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3F303" w14:textId="77777777" w:rsidR="00580100" w:rsidRPr="00A355E7" w:rsidRDefault="00580100" w:rsidP="00DE1921">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484EE" w14:textId="77777777" w:rsidR="00580100" w:rsidRDefault="00580100">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F51E6" w14:textId="77777777" w:rsidR="00580100" w:rsidRDefault="00580100">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53345" w14:textId="77777777" w:rsidR="00580100" w:rsidRPr="00A355E7" w:rsidRDefault="00580100" w:rsidP="00DE1921">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E986" w14:textId="77777777" w:rsidR="00580100" w:rsidRDefault="00580100">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72A86" w14:textId="77777777" w:rsidR="00580100" w:rsidRDefault="00580100">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D9D85" w14:textId="77777777" w:rsidR="00580100" w:rsidRDefault="00580100">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524C7" w14:textId="77777777" w:rsidR="00580100" w:rsidRPr="00A355E7" w:rsidRDefault="00580100" w:rsidP="00DE1921">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4B1F9" w14:textId="77777777" w:rsidR="00580100" w:rsidRDefault="00580100">
    <w:pPr>
      <w:pStyle w:val="Header"/>
    </w:pPr>
    <w:r w:rsidRPr="001B23B6">
      <w:rPr>
        <w:noProof/>
        <w:color w:val="FF0000"/>
      </w:rPr>
      <mc:AlternateContent>
        <mc:Choice Requires="wps">
          <w:drawing>
            <wp:anchor distT="0" distB="0" distL="114300" distR="114300" simplePos="0" relativeHeight="251658244" behindDoc="0" locked="0" layoutInCell="0" allowOverlap="1" wp14:anchorId="13EB0220" wp14:editId="39BD3FB2">
              <wp:simplePos x="0" y="0"/>
              <wp:positionH relativeFrom="leftMargin">
                <wp:align>right</wp:align>
              </wp:positionH>
              <wp:positionV relativeFrom="margin">
                <wp:posOffset>0</wp:posOffset>
              </wp:positionV>
              <wp:extent cx="225425" cy="1630800"/>
              <wp:effectExtent l="0" t="0" r="3175" b="762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30800"/>
                      </a:xfrm>
                      <a:prstGeom prst="rect">
                        <a:avLst/>
                      </a:prstGeom>
                      <a:noFill/>
                      <a:ln w="9525">
                        <a:noFill/>
                        <a:miter lim="800000"/>
                        <a:headEnd/>
                        <a:tailEnd/>
                      </a:ln>
                    </wps:spPr>
                    <wps:txbx>
                      <w:txbxContent>
                        <w:p w14:paraId="2F826D24"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13EB0220" id="Rectangle 27" o:spid="_x0000_s1036" style="position:absolute;margin-left:-33.45pt;margin-top:0;width:17.75pt;height:128.4pt;z-index:251658244;visibility:visible;mso-wrap-style:square;mso-width-percent:800;mso-height-percent:0;mso-wrap-distance-left:9pt;mso-wrap-distance-top:0;mso-wrap-distance-right:9pt;mso-wrap-distance-bottom:0;mso-position-horizontal:right;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" o:allowincell="f" filled="f" stroked="f">
              <v:textbox style="layout-flow:vertical;mso-fit-shape-to-text:t" inset="0,0,0,0">
                <w:txbxContent>
                  <w:p w14:paraId="2F826D24"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v:textbox>
              <w10:wrap anchorx="margin" anchory="margin"/>
            </v:rect>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3C9DE" w14:textId="77777777" w:rsidR="00580100" w:rsidRDefault="0058010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4D6CC" w14:textId="77777777" w:rsidR="00580100" w:rsidRDefault="00580100">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5E34C" w14:textId="77777777" w:rsidR="00580100" w:rsidRDefault="00580100">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A26AE" w14:textId="77777777" w:rsidR="00580100" w:rsidRDefault="00580100">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1BBFA" w14:textId="77777777" w:rsidR="00580100" w:rsidRDefault="00580100">
    <w:pPr>
      <w:pStyle w:val="Header"/>
    </w:pPr>
    <w:r w:rsidRPr="001B23B6">
      <w:rPr>
        <w:noProof/>
        <w:color w:val="FF0000"/>
      </w:rPr>
      <mc:AlternateContent>
        <mc:Choice Requires="wps">
          <w:drawing>
            <wp:anchor distT="0" distB="0" distL="114300" distR="114300" simplePos="0" relativeHeight="251658245" behindDoc="0" locked="0" layoutInCell="0" allowOverlap="1" wp14:anchorId="36253AF4" wp14:editId="4D536B65">
              <wp:simplePos x="0" y="0"/>
              <wp:positionH relativeFrom="leftMargin">
                <wp:align>right</wp:align>
              </wp:positionH>
              <wp:positionV relativeFrom="margin">
                <wp:posOffset>0</wp:posOffset>
              </wp:positionV>
              <wp:extent cx="225425" cy="1630800"/>
              <wp:effectExtent l="0" t="0" r="3175" b="762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30800"/>
                      </a:xfrm>
                      <a:prstGeom prst="rect">
                        <a:avLst/>
                      </a:prstGeom>
                      <a:noFill/>
                      <a:ln w="9525">
                        <a:noFill/>
                        <a:miter lim="800000"/>
                        <a:headEnd/>
                        <a:tailEnd/>
                      </a:ln>
                    </wps:spPr>
                    <wps:txbx>
                      <w:txbxContent>
                        <w:p w14:paraId="2FCF0CC4"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36253AF4" id="Rectangle 30" o:spid="_x0000_s1037" style="position:absolute;margin-left:-33.45pt;margin-top:0;width:17.75pt;height:128.4pt;z-index:251658245;visibility:visible;mso-wrap-style:square;mso-width-percent:800;mso-height-percent:0;mso-wrap-distance-left:9pt;mso-wrap-distance-top:0;mso-wrap-distance-right:9pt;mso-wrap-distance-bottom:0;mso-position-horizontal:right;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" o:allowincell="f" filled="f" stroked="f">
              <v:textbox style="layout-flow:vertical;mso-fit-shape-to-text:t" inset="0,0,0,0">
                <w:txbxContent>
                  <w:p w14:paraId="2FCF0CC4"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v:textbox>
              <w10:wrap anchorx="margin" anchory="margin"/>
            </v:rect>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54BE2" w14:textId="77777777" w:rsidR="00580100" w:rsidRPr="00A355E7" w:rsidRDefault="00580100" w:rsidP="00DE1921">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20055" w14:textId="77777777" w:rsidR="00580100" w:rsidRPr="00A355E7" w:rsidRDefault="00580100" w:rsidP="00DE1921">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03A7D" w14:textId="77777777" w:rsidR="00580100" w:rsidRDefault="00580100">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6D1A7" w14:textId="77777777" w:rsidR="00580100" w:rsidRPr="002F6A5E" w:rsidRDefault="00580100" w:rsidP="00DE1921">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7605E" w14:textId="77777777" w:rsidR="00580100" w:rsidRDefault="00580100">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BE202" w14:textId="77777777" w:rsidR="00580100" w:rsidRDefault="00580100">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C715A" w14:textId="77777777" w:rsidR="00580100" w:rsidRDefault="0058010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E59F7" w14:textId="77777777" w:rsidR="00580100" w:rsidRPr="00E729CB" w:rsidRDefault="00580100" w:rsidP="00DE1921">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0E167" w14:textId="77777777" w:rsidR="00580100" w:rsidRPr="00EE78C3" w:rsidRDefault="00580100" w:rsidP="00DE1921"/>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C552B" w14:textId="77777777" w:rsidR="00580100" w:rsidRDefault="00580100">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2F655" w14:textId="77777777" w:rsidR="00580100" w:rsidRDefault="00580100">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056A" w14:textId="77777777" w:rsidR="00580100" w:rsidRPr="00A355E7" w:rsidRDefault="00580100" w:rsidP="00DE1921">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1480F" w14:textId="77777777" w:rsidR="00580100" w:rsidRDefault="00580100">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256CD" w14:textId="77777777" w:rsidR="00580100" w:rsidRDefault="00580100">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BF910" w14:textId="77777777" w:rsidR="00580100" w:rsidRPr="00124C89" w:rsidRDefault="00580100" w:rsidP="00DE1921">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681B7" w14:textId="77777777" w:rsidR="00580100" w:rsidRDefault="00580100">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81DBE" w14:textId="77777777" w:rsidR="00580100" w:rsidRDefault="00580100">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5FE7F" w14:textId="77777777" w:rsidR="00580100" w:rsidRPr="006A6468" w:rsidRDefault="00580100" w:rsidP="00DE1921">
    <w:pPr>
      <w:rPr>
        <w:noProof/>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AD04C" w14:textId="77777777" w:rsidR="00580100" w:rsidRDefault="00580100">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CD1D0" w14:textId="77777777" w:rsidR="00580100" w:rsidRDefault="00580100">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EB2A2" w14:textId="77777777" w:rsidR="00580100" w:rsidRDefault="00580100">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E9DFB" w14:textId="77777777" w:rsidR="00580100" w:rsidRPr="00124C89" w:rsidRDefault="00580100" w:rsidP="00DE1921">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3C2C6" w14:textId="77777777" w:rsidR="00580100" w:rsidRDefault="00580100">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76C95" w14:textId="77777777" w:rsidR="00580100" w:rsidRDefault="00580100">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027F3" w14:textId="77777777" w:rsidR="00580100" w:rsidRPr="00B95A00" w:rsidRDefault="00580100" w:rsidP="00DE1921"/>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F2002" w14:textId="77777777" w:rsidR="00580100" w:rsidRDefault="00580100">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472AB" w14:textId="77777777" w:rsidR="00580100" w:rsidRDefault="00580100">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7ACA7" w14:textId="77777777" w:rsidR="00580100" w:rsidRPr="00124C89" w:rsidRDefault="00580100" w:rsidP="00DE1921">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D0B2" w14:textId="77777777" w:rsidR="00580100" w:rsidRDefault="0058010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8C314" w14:textId="77777777" w:rsidR="00580100" w:rsidRDefault="00580100">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DD69D" w14:textId="77777777" w:rsidR="00580100" w:rsidRDefault="00580100">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882FD" w14:textId="77777777" w:rsidR="00580100" w:rsidRPr="00C364F0" w:rsidRDefault="00580100" w:rsidP="00DE1921">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13AE1" w14:textId="77777777" w:rsidR="00580100" w:rsidRDefault="00580100">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450DD" w14:textId="77777777" w:rsidR="00580100" w:rsidRDefault="00580100">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CBE42" w14:textId="77777777" w:rsidR="00580100" w:rsidRPr="00124C89" w:rsidRDefault="00580100" w:rsidP="00DE1921">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8ED18" w14:textId="77777777" w:rsidR="00580100" w:rsidRDefault="00580100">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B4DF2" w14:textId="77777777" w:rsidR="00580100" w:rsidRPr="008844B8" w:rsidRDefault="00580100">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D537A" w14:textId="77777777" w:rsidR="00580100" w:rsidRPr="008844B8" w:rsidRDefault="00580100">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B4D14" w14:textId="77777777" w:rsidR="00580100" w:rsidRPr="005D2D85" w:rsidRDefault="00580100" w:rsidP="00DE1921"/>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A4B80" w14:textId="77777777" w:rsidR="00580100" w:rsidRDefault="0058010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6AE54" w14:textId="77777777" w:rsidR="00580100" w:rsidRPr="002F6A5E" w:rsidRDefault="00580100" w:rsidP="00DE1921">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B47F5" w14:textId="77777777" w:rsidR="00580100" w:rsidRPr="00CC3DC0" w:rsidRDefault="00580100" w:rsidP="00DE1921">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4218F" w14:textId="77777777" w:rsidR="00580100" w:rsidRDefault="00580100">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7868E" w14:textId="77777777" w:rsidR="00580100" w:rsidRPr="005C5812" w:rsidRDefault="00580100" w:rsidP="00DE1921">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4031" w14:textId="77777777" w:rsidR="00580100" w:rsidRDefault="00580100">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4AB44" w14:textId="77777777" w:rsidR="00580100" w:rsidRDefault="00580100">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CFF99" w14:textId="77777777" w:rsidR="00580100" w:rsidRDefault="00580100">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65E95" w14:textId="77777777" w:rsidR="00580100" w:rsidRDefault="00580100">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2C34D" w14:textId="77777777" w:rsidR="00580100" w:rsidRDefault="00580100">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A9DDC" w14:textId="77777777" w:rsidR="00580100" w:rsidRDefault="00580100">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EF80F" w14:textId="77777777" w:rsidR="00580100" w:rsidRDefault="0058010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66FC3" w14:textId="77777777" w:rsidR="00580100" w:rsidRDefault="00580100">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71F6F" w14:textId="77777777" w:rsidR="00580100" w:rsidRDefault="00580100">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06497" w14:textId="77777777" w:rsidR="00580100" w:rsidRDefault="00580100">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C3E9B" w14:textId="77777777" w:rsidR="00580100" w:rsidRDefault="00580100">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E8B18" w14:textId="77777777" w:rsidR="00580100" w:rsidRDefault="00580100">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0DEFD" w14:textId="77777777" w:rsidR="00580100" w:rsidRDefault="00580100">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605F0" w14:textId="77777777" w:rsidR="00580100" w:rsidRDefault="00580100">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319C5" w14:textId="77777777" w:rsidR="00580100" w:rsidRDefault="00580100">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88E2F" w14:textId="77777777" w:rsidR="00580100" w:rsidRDefault="00580100">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1E2E3" w14:textId="77777777" w:rsidR="00580100" w:rsidRDefault="00580100">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E760D" w14:textId="77777777" w:rsidR="00580100" w:rsidRDefault="0058010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882D1" w14:textId="77777777" w:rsidR="00580100" w:rsidRDefault="00580100">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DBAB0" w14:textId="77777777" w:rsidR="00580100" w:rsidRDefault="00580100">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097D9" w14:textId="77777777" w:rsidR="00580100" w:rsidRDefault="00580100">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B0599" w14:textId="77777777" w:rsidR="00580100" w:rsidRDefault="00580100">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ACB8F" w14:textId="77777777" w:rsidR="00580100" w:rsidRDefault="00580100">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698F9" w14:textId="77777777" w:rsidR="00580100" w:rsidRDefault="00580100">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B0BE4" w14:textId="77777777" w:rsidR="00580100" w:rsidRDefault="00580100">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E903D" w14:textId="77777777" w:rsidR="00580100" w:rsidRDefault="00580100">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8C843" w14:textId="77777777" w:rsidR="00580100" w:rsidRDefault="00580100">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A5AC9" w14:textId="77777777" w:rsidR="00580100" w:rsidRDefault="00580100">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A6FB2" w14:textId="77777777" w:rsidR="00580100" w:rsidRDefault="005801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437A9" w14:textId="77777777" w:rsidR="00580100" w:rsidRDefault="0058010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36561" w14:textId="77777777" w:rsidR="00580100" w:rsidRPr="00E729CB" w:rsidRDefault="00580100" w:rsidP="00DE1921">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60C43" w14:textId="77777777" w:rsidR="00580100" w:rsidRDefault="00580100">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A21F5" w14:textId="77777777" w:rsidR="00580100" w:rsidRDefault="00580100">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209B3" w14:textId="77777777" w:rsidR="00580100" w:rsidRDefault="00580100">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4B8FE" w14:textId="77777777" w:rsidR="00580100" w:rsidRDefault="00580100">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67670" w14:textId="77777777" w:rsidR="00580100" w:rsidRDefault="00580100">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D59DA" w14:textId="120CF21E" w:rsidR="00580100" w:rsidRDefault="00580100">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1A56C" w14:textId="77777777" w:rsidR="00580100" w:rsidRDefault="00580100">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A66E6" w14:textId="77777777" w:rsidR="00580100" w:rsidRDefault="0058010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BCEA8" w14:textId="77777777" w:rsidR="00580100" w:rsidRDefault="0058010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2122B" w14:textId="77777777" w:rsidR="00580100" w:rsidRDefault="0058010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125FE" w14:textId="77777777" w:rsidR="00580100" w:rsidRPr="006F6308" w:rsidRDefault="00580100" w:rsidP="00DE192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74539" w14:textId="77777777" w:rsidR="00580100" w:rsidRDefault="0058010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CEA43" w14:textId="77777777" w:rsidR="00580100" w:rsidRDefault="0058010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A405B" w14:textId="77777777" w:rsidR="00580100" w:rsidRPr="00C95969" w:rsidRDefault="00580100" w:rsidP="00DE192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06619" w14:textId="77777777" w:rsidR="00580100" w:rsidRDefault="0058010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135AC" w14:textId="77777777" w:rsidR="00580100" w:rsidRDefault="0058010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A4857" w14:textId="77777777" w:rsidR="00580100" w:rsidRPr="00CD6648" w:rsidRDefault="00580100" w:rsidP="00DE19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0B9DA" w14:textId="77777777" w:rsidR="00580100" w:rsidRDefault="0058010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6E923" w14:textId="77777777" w:rsidR="00580100" w:rsidRDefault="0058010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64531" w14:textId="77777777" w:rsidR="00580100" w:rsidRDefault="0058010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A1F0C" w14:textId="77777777" w:rsidR="00580100" w:rsidRPr="00C02674" w:rsidRDefault="00580100" w:rsidP="00DE192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48B3E" w14:textId="77777777" w:rsidR="00580100" w:rsidRDefault="0058010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EF4B" w14:textId="77777777" w:rsidR="00580100" w:rsidRDefault="0058010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67097" w14:textId="77777777" w:rsidR="00580100" w:rsidRPr="002F6A5E" w:rsidRDefault="00580100" w:rsidP="00DE192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E07D6" w14:textId="77777777" w:rsidR="00580100" w:rsidRDefault="0058010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3497E" w14:textId="77777777" w:rsidR="00580100" w:rsidRDefault="00580100" w:rsidP="00DE192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EA0FC" w14:textId="77777777" w:rsidR="00580100" w:rsidRDefault="00580100"/>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F19B2" w14:textId="77777777" w:rsidR="00580100" w:rsidRDefault="00580100">
    <w:pPr>
      <w:pStyle w:val="Header"/>
    </w:pPr>
  </w:p>
  <w:p w14:paraId="0FC96243" w14:textId="77777777" w:rsidR="00580100" w:rsidRDefault="00580100"/>
  <w:p w14:paraId="3BCB5858" w14:textId="77777777" w:rsidR="00580100" w:rsidRDefault="0058010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578FA" w14:textId="77777777" w:rsidR="00580100" w:rsidRDefault="0058010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198B8" w14:textId="77777777" w:rsidR="00580100" w:rsidRDefault="0058010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3C3A0" w14:textId="77777777" w:rsidR="00580100" w:rsidRPr="002F6A5E" w:rsidRDefault="00580100" w:rsidP="00DE192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E98A5" w14:textId="77777777" w:rsidR="00580100" w:rsidRDefault="0058010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2A412" w14:textId="77777777" w:rsidR="00580100" w:rsidRDefault="00580100">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4C1E5" w14:textId="77777777" w:rsidR="00580100" w:rsidRPr="00BC30DD" w:rsidRDefault="00580100" w:rsidP="00DE1921">
    <w:pPr>
      <w:pStyle w:val="Header"/>
      <w:spacing w:after="120"/>
      <w:rPr>
        <w:color w:val="2F5496" w:themeColor="accent1" w:themeShade="BF"/>
        <w:szCs w:val="18"/>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60DEE" w14:textId="77777777" w:rsidR="00580100" w:rsidRDefault="0058010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B2232" w14:textId="77777777" w:rsidR="00580100" w:rsidRDefault="0058010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BEC0B" w14:textId="5979FF07" w:rsidR="00580100" w:rsidRPr="00FE428E" w:rsidRDefault="00580100" w:rsidP="00FE428E">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EE89A" w14:textId="77777777" w:rsidR="00580100" w:rsidRDefault="0058010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BC256" w14:textId="77777777" w:rsidR="00580100" w:rsidRDefault="005801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C4392" w14:textId="77777777" w:rsidR="00580100" w:rsidRDefault="0058010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ECD44" w14:textId="77777777" w:rsidR="00580100" w:rsidRPr="00C02674" w:rsidRDefault="00580100" w:rsidP="00DE1921">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75F50" w14:textId="77777777" w:rsidR="00580100" w:rsidRDefault="0058010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BEDC9" w14:textId="77777777" w:rsidR="00580100" w:rsidRDefault="0058010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90C70" w14:textId="77777777" w:rsidR="00580100" w:rsidRPr="00C02674" w:rsidRDefault="00580100" w:rsidP="00DE1921">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C2B5" w14:textId="77777777" w:rsidR="00580100" w:rsidRDefault="00580100">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538A6" w14:textId="77777777" w:rsidR="00580100" w:rsidRPr="00C02674" w:rsidRDefault="00580100" w:rsidP="00DE1921">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FCC0C" w14:textId="77777777" w:rsidR="00580100" w:rsidRDefault="0058010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FCB0E" w14:textId="77777777" w:rsidR="00580100" w:rsidRDefault="0058010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9B171" w14:textId="77777777" w:rsidR="00580100" w:rsidRPr="003310A4" w:rsidRDefault="00580100" w:rsidP="00DE1921">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01D4" w14:textId="77777777" w:rsidR="00580100" w:rsidRDefault="005801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44B8B" w14:textId="77777777" w:rsidR="00580100" w:rsidRDefault="00580100">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06B65" w14:textId="77777777" w:rsidR="00580100" w:rsidRDefault="0058010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D8C9" w14:textId="77777777" w:rsidR="00580100" w:rsidRPr="003310A4" w:rsidRDefault="00580100" w:rsidP="00DE1921">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EFA1B" w14:textId="77777777" w:rsidR="00580100" w:rsidRDefault="00580100">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ACA75" w14:textId="71699C99" w:rsidR="00580100" w:rsidRDefault="0058010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A6C87" w14:textId="77777777" w:rsidR="00580100" w:rsidRDefault="00580100">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8BA9B" w14:textId="77777777" w:rsidR="00580100" w:rsidRPr="009A75B1" w:rsidRDefault="00580100" w:rsidP="00DE1921"/>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92DF" w14:textId="77777777" w:rsidR="00580100" w:rsidRDefault="00580100">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910E7" w14:textId="77777777" w:rsidR="00580100" w:rsidRDefault="00580100">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26FD0" w14:textId="77777777" w:rsidR="00580100" w:rsidRPr="002F6A5E" w:rsidRDefault="00580100" w:rsidP="00DE1921">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42E62" w14:textId="77777777" w:rsidR="00580100" w:rsidRDefault="005801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B982E" w14:textId="77777777" w:rsidR="00580100" w:rsidRDefault="00580100">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B76EE" w14:textId="77777777" w:rsidR="00580100" w:rsidRDefault="00580100">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FD882" w14:textId="77777777" w:rsidR="00580100" w:rsidRPr="003310A4" w:rsidRDefault="00580100" w:rsidP="00DE1921">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A5647" w14:textId="77777777" w:rsidR="00580100" w:rsidRDefault="00580100">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E380B" w14:textId="77777777" w:rsidR="00580100" w:rsidRDefault="00580100">
    <w:pPr>
      <w:pStyle w:val="Header"/>
    </w:pPr>
    <w:r w:rsidRPr="001B23B6">
      <w:rPr>
        <w:noProof/>
        <w:color w:val="FF0000"/>
      </w:rPr>
      <mc:AlternateContent>
        <mc:Choice Requires="wps">
          <w:drawing>
            <wp:anchor distT="0" distB="0" distL="114300" distR="114300" simplePos="0" relativeHeight="251658241" behindDoc="0" locked="0" layoutInCell="0" allowOverlap="1" wp14:anchorId="5076892C" wp14:editId="6E793FF6">
              <wp:simplePos x="0" y="0"/>
              <wp:positionH relativeFrom="leftMargin">
                <wp:align>right</wp:align>
              </wp:positionH>
              <wp:positionV relativeFrom="margin">
                <wp:posOffset>0</wp:posOffset>
              </wp:positionV>
              <wp:extent cx="225425" cy="1630800"/>
              <wp:effectExtent l="0" t="0" r="3175" b="762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30800"/>
                      </a:xfrm>
                      <a:prstGeom prst="rect">
                        <a:avLst/>
                      </a:prstGeom>
                      <a:noFill/>
                      <a:ln w="9525">
                        <a:noFill/>
                        <a:miter lim="800000"/>
                        <a:headEnd/>
                        <a:tailEnd/>
                      </a:ln>
                    </wps:spPr>
                    <wps:txbx>
                      <w:txbxContent>
                        <w:p w14:paraId="198AA4C8"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5076892C" id="Rectangle 12" o:spid="_x0000_s1029" style="position:absolute;margin-left:-33.45pt;margin-top:0;width:17.75pt;height:128.4pt;z-index:251658241;visibility:visible;mso-wrap-style:square;mso-width-percent:800;mso-height-percent:0;mso-wrap-distance-left:9pt;mso-wrap-distance-top:0;mso-wrap-distance-right:9pt;mso-wrap-distance-bottom:0;mso-position-horizontal:right;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" o:allowincell="f" filled="f" stroked="f">
              <v:textbox style="layout-flow:vertical;mso-fit-shape-to-text:t" inset="0,0,0,0">
                <w:txbxContent>
                  <w:p w14:paraId="198AA4C8"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v:textbox>
              <w10:wrap anchorx="margin" anchory="margin"/>
            </v:rect>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892B1" w14:textId="77777777" w:rsidR="00580100" w:rsidRPr="003310A4" w:rsidRDefault="00580100" w:rsidP="00DE1921">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EDA11" w14:textId="77777777" w:rsidR="00580100" w:rsidRDefault="00580100">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EE7A4" w14:textId="77777777" w:rsidR="00580100" w:rsidRPr="003310A4" w:rsidRDefault="00580100" w:rsidP="00DE1921">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09A5D" w14:textId="77777777" w:rsidR="00580100" w:rsidRDefault="00580100">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21FA3" w14:textId="77777777" w:rsidR="00580100" w:rsidRDefault="00580100">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E98B6" w14:textId="77777777" w:rsidR="00580100" w:rsidRDefault="005801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A50F4" w14:textId="77777777" w:rsidR="00580100" w:rsidRPr="00195924" w:rsidRDefault="00580100" w:rsidP="00DE1921">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DF4E6" w14:textId="77777777" w:rsidR="00580100" w:rsidRDefault="00580100">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39F74" w14:textId="77777777" w:rsidR="00580100" w:rsidRPr="002F6A5E" w:rsidRDefault="00580100" w:rsidP="00DE1921">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39AEF" w14:textId="77777777" w:rsidR="00580100" w:rsidRDefault="00580100">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93CA1" w14:textId="77777777" w:rsidR="00580100" w:rsidRDefault="00580100">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F2785" w14:textId="77777777" w:rsidR="00580100" w:rsidRPr="002F6A5E" w:rsidRDefault="00580100" w:rsidP="00DE1921">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FC011" w14:textId="77777777" w:rsidR="00580100" w:rsidRDefault="00580100">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874FA" w14:textId="77777777" w:rsidR="00580100" w:rsidRDefault="00580100">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4BB0C" w14:textId="77777777" w:rsidR="00580100" w:rsidRPr="008F336C" w:rsidRDefault="00580100">
    <w:pPr>
      <w:pStyle w:val="Header"/>
      <w:spacing w:after="120"/>
      <w:rPr>
        <w:noProof/>
        <w:color w:val="2F5496" w:themeColor="accent1" w:themeShade="BF"/>
        <w:sz w:val="24"/>
        <w:szCs w:val="2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FEB7" w14:textId="77777777" w:rsidR="00580100" w:rsidRDefault="00580100">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8F8C3" w14:textId="77777777" w:rsidR="00580100" w:rsidRDefault="005801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54F6E" w14:textId="77777777" w:rsidR="00580100" w:rsidRDefault="00580100">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9FD7E" w14:textId="77777777" w:rsidR="00580100" w:rsidRDefault="00580100">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6EDBE" w14:textId="77777777" w:rsidR="00580100" w:rsidRPr="00F52E49" w:rsidRDefault="00580100" w:rsidP="00DE1921">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1D422" w14:textId="77777777" w:rsidR="00580100" w:rsidRDefault="00580100">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9D602" w14:textId="77777777" w:rsidR="00580100" w:rsidRPr="00A355E7" w:rsidRDefault="00580100" w:rsidP="00DE1921">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44C43" w14:textId="77777777" w:rsidR="00580100" w:rsidRDefault="00580100">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91712" w14:textId="77777777" w:rsidR="00580100" w:rsidRDefault="00580100">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08303" w14:textId="77777777" w:rsidR="00580100" w:rsidRPr="009A75B1" w:rsidRDefault="00580100" w:rsidP="00DE1921">
    <w:pPr>
      <w:pStyle w:val="Header"/>
      <w:spacing w:after="120"/>
      <w:rPr>
        <w:color w:val="2F5496" w:themeColor="accent1" w:themeShade="BF"/>
        <w:sz w:val="26"/>
        <w:szCs w:val="2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BB3CE" w14:textId="77777777" w:rsidR="00580100" w:rsidRDefault="00580100">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6CE89" w14:textId="77777777" w:rsidR="00580100" w:rsidRDefault="00580100">
    <w:pPr>
      <w:pStyle w:val="Header"/>
    </w:pPr>
    <w:r w:rsidRPr="001B23B6">
      <w:rPr>
        <w:noProof/>
        <w:color w:val="FF0000"/>
      </w:rPr>
      <mc:AlternateContent>
        <mc:Choice Requires="wps">
          <w:drawing>
            <wp:anchor distT="0" distB="0" distL="114300" distR="114300" simplePos="0" relativeHeight="251658248" behindDoc="0" locked="0" layoutInCell="0" allowOverlap="1" wp14:anchorId="5B9250EC" wp14:editId="17374DCC">
              <wp:simplePos x="0" y="0"/>
              <wp:positionH relativeFrom="leftMargin">
                <wp:align>right</wp:align>
              </wp:positionH>
              <wp:positionV relativeFrom="margin">
                <wp:posOffset>0</wp:posOffset>
              </wp:positionV>
              <wp:extent cx="225425" cy="1630800"/>
              <wp:effectExtent l="0" t="0" r="3175" b="762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30800"/>
                      </a:xfrm>
                      <a:prstGeom prst="rect">
                        <a:avLst/>
                      </a:prstGeom>
                      <a:noFill/>
                      <a:ln w="9525">
                        <a:noFill/>
                        <a:miter lim="800000"/>
                        <a:headEnd/>
                        <a:tailEnd/>
                      </a:ln>
                    </wps:spPr>
                    <wps:txbx>
                      <w:txbxContent>
                        <w:p w14:paraId="12478D84"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5B9250EC" id="Rectangle 21" o:spid="_x0000_s1032" style="position:absolute;margin-left:-33.45pt;margin-top:0;width:17.75pt;height:128.4pt;z-index:251658248;visibility:visible;mso-wrap-style:square;mso-width-percent:800;mso-height-percent:0;mso-wrap-distance-left:9pt;mso-wrap-distance-top:0;mso-wrap-distance-right:9pt;mso-wrap-distance-bottom:0;mso-position-horizontal:right;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" o:allowincell="f" filled="f" stroked="f">
              <v:textbox style="layout-flow:vertical;mso-fit-shape-to-text:t" inset="0,0,0,0">
                <w:txbxContent>
                  <w:p w14:paraId="12478D84" w14:textId="77777777" w:rsidR="00580100" w:rsidRPr="0072652D" w:rsidRDefault="00580100" w:rsidP="00DE1921">
                    <w:pPr>
                      <w:spacing w:before="480" w:after="0"/>
                      <w:rPr>
                        <w:sz w:val="16"/>
                        <w:szCs w:val="16"/>
                      </w:rPr>
                    </w:pP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r w:rsidRPr="003E335D">
                      <w:rPr>
                        <w:sz w:val="16"/>
                        <w:szCs w:val="16"/>
                      </w:rPr>
                      <w:t xml:space="preserve"> </w:t>
                    </w:r>
                    <w:r>
                      <w:rPr>
                        <w:rFonts w:ascii="VIC SemiBold" w:hAnsi="VIC SemiBold"/>
                        <w:b/>
                        <w:color w:val="00BAC0"/>
                        <w:sz w:val="16"/>
                        <w:szCs w:val="16"/>
                      </w:rPr>
                      <w:t>\</w:t>
                    </w:r>
                    <w:r>
                      <w:rPr>
                        <w:sz w:val="16"/>
                        <w:szCs w:val="16"/>
                      </w:rPr>
                      <w:t xml:space="preserve"> </w:t>
                    </w:r>
                    <w:r w:rsidRPr="0072652D">
                      <w:rPr>
                        <w:sz w:val="16"/>
                        <w:szCs w:val="16"/>
                      </w:rPr>
                      <w:t>DoT Annual Report 201</w:t>
                    </w:r>
                    <w:r>
                      <w:rPr>
                        <w:sz w:val="16"/>
                        <w:szCs w:val="16"/>
                      </w:rPr>
                      <w:t>9</w:t>
                    </w:r>
                    <w:r w:rsidRPr="0072652D">
                      <w:rPr>
                        <w:sz w:val="16"/>
                        <w:szCs w:val="16"/>
                      </w:rPr>
                      <w:t>-</w:t>
                    </w:r>
                    <w:r>
                      <w:rPr>
                        <w:sz w:val="16"/>
                        <w:szCs w:val="16"/>
                      </w:rPr>
                      <w:t>20</w:t>
                    </w:r>
                  </w:p>
                </w:txbxContent>
              </v:textbox>
              <w10:wrap anchorx="margin" anchory="margin"/>
            </v:rect>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405AA" w14:textId="77777777" w:rsidR="00580100" w:rsidRPr="00A355E7" w:rsidRDefault="00580100" w:rsidP="00DE19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298D"/>
    <w:multiLevelType w:val="hybridMultilevel"/>
    <w:tmpl w:val="7B140E64"/>
    <w:lvl w:ilvl="0" w:tplc="8528BEA0">
      <w:start w:val="1"/>
      <w:numFmt w:val="lowerRoman"/>
      <w:pStyle w:val="aaaNotenumberiiiiii"/>
      <w:lvlText w:val="%1."/>
      <w:lvlJc w:val="right"/>
      <w:pPr>
        <w:ind w:left="720" w:hanging="360"/>
      </w:pPr>
      <w:rPr>
        <w:rFonts w:hint="default"/>
        <w:b w:val="0"/>
        <w:bCs w:val="0"/>
        <w:i w:val="0"/>
        <w:iCs w:val="0"/>
        <w:sz w:val="2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502213"/>
    <w:multiLevelType w:val="hybridMultilevel"/>
    <w:tmpl w:val="F134D68C"/>
    <w:lvl w:ilvl="0" w:tplc="368E468E">
      <w:start w:val="1"/>
      <w:numFmt w:val="bullet"/>
      <w:pStyle w:val="Norm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16400A"/>
    <w:multiLevelType w:val="hybridMultilevel"/>
    <w:tmpl w:val="260C1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A41F2A"/>
    <w:multiLevelType w:val="hybridMultilevel"/>
    <w:tmpl w:val="B10CC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4976F4"/>
    <w:multiLevelType w:val="hybridMultilevel"/>
    <w:tmpl w:val="B2CEFAD8"/>
    <w:lvl w:ilvl="0" w:tplc="0DA60B5A">
      <w:start w:val="1"/>
      <w:numFmt w:val="bullet"/>
      <w:lvlText w:val=""/>
      <w:lvlJc w:val="left"/>
      <w:pPr>
        <w:ind w:left="284" w:firstLine="0"/>
      </w:pPr>
      <w:rPr>
        <w:rFonts w:ascii="Symbol" w:hAnsi="Symbol" w:hint="default"/>
      </w:rPr>
    </w:lvl>
    <w:lvl w:ilvl="1" w:tplc="C2585C0E">
      <w:start w:val="1"/>
      <w:numFmt w:val="bullet"/>
      <w:pStyle w:val="aahollow"/>
      <w:lvlText w:val="o"/>
      <w:lvlJc w:val="left"/>
      <w:pPr>
        <w:ind w:left="1134" w:hanging="424"/>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5" w15:restartNumberingAfterBreak="0">
    <w:nsid w:val="0CE907C3"/>
    <w:multiLevelType w:val="hybridMultilevel"/>
    <w:tmpl w:val="2CCCDB6A"/>
    <w:lvl w:ilvl="0" w:tplc="1CCC38EA">
      <w:start w:val="1"/>
      <w:numFmt w:val="decimal"/>
      <w:pStyle w:val="Notenumber12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800987"/>
    <w:multiLevelType w:val="multilevel"/>
    <w:tmpl w:val="BC9E84E8"/>
    <w:lvl w:ilvl="0">
      <w:start w:val="7"/>
      <w:numFmt w:val="decimal"/>
      <w:lvlText w:val="%1."/>
      <w:lvlJc w:val="left"/>
      <w:pPr>
        <w:ind w:left="425" w:hanging="425"/>
      </w:pPr>
      <w:rPr>
        <w:rFonts w:hint="default"/>
      </w:rPr>
    </w:lvl>
    <w:lvl w:ilvl="1">
      <w:start w:val="3"/>
      <w:numFmt w:val="decimal"/>
      <w:isLgl/>
      <w:lvlText w:val="%1.%2"/>
      <w:lvlJc w:val="left"/>
      <w:pPr>
        <w:ind w:left="425" w:hanging="425"/>
      </w:pPr>
      <w:rPr>
        <w:rFonts w:hint="default"/>
        <w:color w:val="0E787C"/>
      </w:rPr>
    </w:lvl>
    <w:lvl w:ilvl="2">
      <w:start w:val="1"/>
      <w:numFmt w:val="decimal"/>
      <w:isLgl/>
      <w:lvlText w:val="%1.%2.%3"/>
      <w:lvlJc w:val="left"/>
      <w:pPr>
        <w:ind w:left="5114" w:hanging="720"/>
      </w:pPr>
      <w:rPr>
        <w:rFonts w:ascii="Arial" w:hAnsi="Arial" w:hint="default"/>
        <w:color w:val="0E787C"/>
      </w:rPr>
    </w:lvl>
    <w:lvl w:ilvl="3">
      <w:start w:val="1"/>
      <w:numFmt w:val="decimal"/>
      <w:isLgl/>
      <w:lvlText w:val="%1.%2.%3.%4"/>
      <w:lvlJc w:val="left"/>
      <w:pPr>
        <w:ind w:left="720" w:hanging="720"/>
      </w:pPr>
      <w:rPr>
        <w:rFonts w:hint="default"/>
        <w:i w:val="0"/>
        <w:iCs w:val="0"/>
        <w:sz w:val="28"/>
        <w:szCs w:val="22"/>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1A65563A"/>
    <w:multiLevelType w:val="multilevel"/>
    <w:tmpl w:val="CC7A04D4"/>
    <w:lvl w:ilvl="0">
      <w:start w:val="6"/>
      <w:numFmt w:val="decimal"/>
      <w:lvlText w:val="%1."/>
      <w:lvlJc w:val="left"/>
      <w:pPr>
        <w:ind w:left="425" w:hanging="425"/>
      </w:pPr>
      <w:rPr>
        <w:rFonts w:hint="default"/>
      </w:rPr>
    </w:lvl>
    <w:lvl w:ilvl="1">
      <w:start w:val="1"/>
      <w:numFmt w:val="decimal"/>
      <w:isLgl/>
      <w:lvlText w:val="%1.%2"/>
      <w:lvlJc w:val="left"/>
      <w:pPr>
        <w:ind w:left="425" w:hanging="425"/>
      </w:pPr>
      <w:rPr>
        <w:rFonts w:hint="default"/>
        <w:color w:val="0E787C"/>
      </w:rPr>
    </w:lvl>
    <w:lvl w:ilvl="2">
      <w:start w:val="1"/>
      <w:numFmt w:val="decimal"/>
      <w:isLgl/>
      <w:lvlText w:val="%1.%2.%3"/>
      <w:lvlJc w:val="left"/>
      <w:pPr>
        <w:ind w:left="5114" w:hanging="720"/>
      </w:pPr>
      <w:rPr>
        <w:rFonts w:ascii="Arial" w:hAnsi="Arial" w:hint="default"/>
        <w:color w:val="0E787C"/>
        <w:sz w:val="36"/>
        <w:szCs w:val="28"/>
      </w:rPr>
    </w:lvl>
    <w:lvl w:ilvl="3">
      <w:start w:val="3"/>
      <w:numFmt w:val="decimal"/>
      <w:isLgl/>
      <w:lvlText w:val="%1.%2.%3.%4"/>
      <w:lvlJc w:val="left"/>
      <w:pPr>
        <w:ind w:left="720" w:hanging="720"/>
      </w:pPr>
      <w:rPr>
        <w:rFonts w:hint="default"/>
        <w:sz w:val="22"/>
        <w:szCs w:val="22"/>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20AA4DF2"/>
    <w:multiLevelType w:val="multilevel"/>
    <w:tmpl w:val="C24A12FC"/>
    <w:lvl w:ilvl="0">
      <w:start w:val="5"/>
      <w:numFmt w:val="decimal"/>
      <w:lvlText w:val="%1."/>
      <w:lvlJc w:val="left"/>
      <w:pPr>
        <w:ind w:left="425" w:hanging="425"/>
      </w:pPr>
      <w:rPr>
        <w:rFonts w:hint="default"/>
      </w:rPr>
    </w:lvl>
    <w:lvl w:ilvl="1">
      <w:start w:val="1"/>
      <w:numFmt w:val="decimal"/>
      <w:isLgl/>
      <w:lvlText w:val="%1.%2"/>
      <w:lvlJc w:val="left"/>
      <w:pPr>
        <w:ind w:left="425" w:hanging="425"/>
      </w:pPr>
      <w:rPr>
        <w:rFonts w:hint="default"/>
        <w:color w:val="0E787C"/>
      </w:rPr>
    </w:lvl>
    <w:lvl w:ilvl="2">
      <w:start w:val="6"/>
      <w:numFmt w:val="decimal"/>
      <w:isLgl/>
      <w:lvlText w:val="%1.%2.%3"/>
      <w:lvlJc w:val="left"/>
      <w:pPr>
        <w:ind w:left="5114" w:hanging="720"/>
      </w:pPr>
      <w:rPr>
        <w:rFonts w:ascii="VIC Light" w:hAnsi="VIC Light" w:hint="default"/>
        <w:color w:val="00BAC0"/>
        <w:sz w:val="24"/>
        <w:szCs w:val="28"/>
      </w:rPr>
    </w:lvl>
    <w:lvl w:ilvl="3">
      <w:start w:val="3"/>
      <w:numFmt w:val="decimal"/>
      <w:isLgl/>
      <w:lvlText w:val="%1.%2.%3.%4"/>
      <w:lvlJc w:val="left"/>
      <w:pPr>
        <w:ind w:left="720" w:hanging="720"/>
      </w:pPr>
      <w:rPr>
        <w:rFonts w:hint="default"/>
        <w:sz w:val="28"/>
        <w:szCs w:val="18"/>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27B86844"/>
    <w:multiLevelType w:val="multilevel"/>
    <w:tmpl w:val="468A6876"/>
    <w:lvl w:ilvl="0">
      <w:start w:val="1"/>
      <w:numFmt w:val="decimal"/>
      <w:lvlText w:val="%1."/>
      <w:lvlJc w:val="left"/>
      <w:pPr>
        <w:ind w:left="425" w:hanging="425"/>
      </w:pPr>
      <w:rPr>
        <w:rFonts w:hint="default"/>
      </w:rPr>
    </w:lvl>
    <w:lvl w:ilvl="1">
      <w:start w:val="1"/>
      <w:numFmt w:val="decimal"/>
      <w:isLgl/>
      <w:lvlText w:val="%1.%2"/>
      <w:lvlJc w:val="left"/>
      <w:pPr>
        <w:ind w:left="425" w:hanging="425"/>
      </w:pPr>
      <w:rPr>
        <w:rFonts w:hint="default"/>
        <w:color w:val="0E787C"/>
      </w:rPr>
    </w:lvl>
    <w:lvl w:ilvl="2">
      <w:start w:val="1"/>
      <w:numFmt w:val="decimal"/>
      <w:isLgl/>
      <w:lvlText w:val="%1.%2.%3"/>
      <w:lvlJc w:val="left"/>
      <w:pPr>
        <w:ind w:left="5114" w:hanging="720"/>
      </w:pPr>
      <w:rPr>
        <w:rFonts w:ascii="Arial" w:hAnsi="Arial" w:hint="default"/>
        <w:color w:val="0E787C"/>
        <w:sz w:val="32"/>
        <w:szCs w:val="24"/>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2AE4281B"/>
    <w:multiLevelType w:val="hybridMultilevel"/>
    <w:tmpl w:val="639E3644"/>
    <w:lvl w:ilvl="0" w:tplc="256E502A">
      <w:start w:val="1"/>
      <w:numFmt w:val="lowerRoman"/>
      <w:pStyle w:val="iNotenumberiiiiii"/>
      <w:lvlText w:val="%1."/>
      <w:lvlJc w:val="righ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1" w15:restartNumberingAfterBreak="0">
    <w:nsid w:val="2C5626E1"/>
    <w:multiLevelType w:val="hybridMultilevel"/>
    <w:tmpl w:val="6B10E32A"/>
    <w:lvl w:ilvl="0" w:tplc="F7422D40">
      <w:start w:val="1"/>
      <w:numFmt w:val="lowerLetter"/>
      <w:lvlText w:val="(%1)"/>
      <w:lvlJc w:val="left"/>
      <w:pPr>
        <w:ind w:left="-284" w:firstLine="0"/>
      </w:pPr>
      <w:rPr>
        <w:rFonts w:hint="default"/>
      </w:rPr>
    </w:lvl>
    <w:lvl w:ilvl="1" w:tplc="0C090003" w:tentative="1">
      <w:start w:val="1"/>
      <w:numFmt w:val="bullet"/>
      <w:lvlText w:val="o"/>
      <w:lvlJc w:val="left"/>
      <w:pPr>
        <w:ind w:left="872" w:hanging="360"/>
      </w:pPr>
      <w:rPr>
        <w:rFonts w:ascii="Courier New" w:hAnsi="Courier New" w:cs="Courier New" w:hint="default"/>
      </w:rPr>
    </w:lvl>
    <w:lvl w:ilvl="2" w:tplc="0C090005" w:tentative="1">
      <w:start w:val="1"/>
      <w:numFmt w:val="bullet"/>
      <w:lvlText w:val=""/>
      <w:lvlJc w:val="left"/>
      <w:pPr>
        <w:ind w:left="1592" w:hanging="360"/>
      </w:pPr>
      <w:rPr>
        <w:rFonts w:ascii="Wingdings" w:hAnsi="Wingdings" w:hint="default"/>
      </w:rPr>
    </w:lvl>
    <w:lvl w:ilvl="3" w:tplc="0C090001" w:tentative="1">
      <w:start w:val="1"/>
      <w:numFmt w:val="bullet"/>
      <w:lvlText w:val=""/>
      <w:lvlJc w:val="left"/>
      <w:pPr>
        <w:ind w:left="2312" w:hanging="360"/>
      </w:pPr>
      <w:rPr>
        <w:rFonts w:ascii="Symbol" w:hAnsi="Symbol" w:hint="default"/>
      </w:rPr>
    </w:lvl>
    <w:lvl w:ilvl="4" w:tplc="0C090003" w:tentative="1">
      <w:start w:val="1"/>
      <w:numFmt w:val="bullet"/>
      <w:lvlText w:val="o"/>
      <w:lvlJc w:val="left"/>
      <w:pPr>
        <w:ind w:left="3032" w:hanging="360"/>
      </w:pPr>
      <w:rPr>
        <w:rFonts w:ascii="Courier New" w:hAnsi="Courier New" w:cs="Courier New" w:hint="default"/>
      </w:rPr>
    </w:lvl>
    <w:lvl w:ilvl="5" w:tplc="0C090005" w:tentative="1">
      <w:start w:val="1"/>
      <w:numFmt w:val="bullet"/>
      <w:lvlText w:val=""/>
      <w:lvlJc w:val="left"/>
      <w:pPr>
        <w:ind w:left="3752" w:hanging="360"/>
      </w:pPr>
      <w:rPr>
        <w:rFonts w:ascii="Wingdings" w:hAnsi="Wingdings" w:hint="default"/>
      </w:rPr>
    </w:lvl>
    <w:lvl w:ilvl="6" w:tplc="0C090001" w:tentative="1">
      <w:start w:val="1"/>
      <w:numFmt w:val="bullet"/>
      <w:lvlText w:val=""/>
      <w:lvlJc w:val="left"/>
      <w:pPr>
        <w:ind w:left="4472" w:hanging="360"/>
      </w:pPr>
      <w:rPr>
        <w:rFonts w:ascii="Symbol" w:hAnsi="Symbol" w:hint="default"/>
      </w:rPr>
    </w:lvl>
    <w:lvl w:ilvl="7" w:tplc="0C090003" w:tentative="1">
      <w:start w:val="1"/>
      <w:numFmt w:val="bullet"/>
      <w:lvlText w:val="o"/>
      <w:lvlJc w:val="left"/>
      <w:pPr>
        <w:ind w:left="5192" w:hanging="360"/>
      </w:pPr>
      <w:rPr>
        <w:rFonts w:ascii="Courier New" w:hAnsi="Courier New" w:cs="Courier New" w:hint="default"/>
      </w:rPr>
    </w:lvl>
    <w:lvl w:ilvl="8" w:tplc="0C090005" w:tentative="1">
      <w:start w:val="1"/>
      <w:numFmt w:val="bullet"/>
      <w:lvlText w:val=""/>
      <w:lvlJc w:val="left"/>
      <w:pPr>
        <w:ind w:left="5912" w:hanging="360"/>
      </w:pPr>
      <w:rPr>
        <w:rFonts w:ascii="Wingdings" w:hAnsi="Wingdings" w:hint="default"/>
      </w:rPr>
    </w:lvl>
  </w:abstractNum>
  <w:abstractNum w:abstractNumId="12" w15:restartNumberingAfterBreak="0">
    <w:nsid w:val="2C6C6AE8"/>
    <w:multiLevelType w:val="multilevel"/>
    <w:tmpl w:val="8A125E4E"/>
    <w:lvl w:ilvl="0">
      <w:start w:val="8"/>
      <w:numFmt w:val="decimal"/>
      <w:lvlText w:val="%1."/>
      <w:lvlJc w:val="left"/>
      <w:pPr>
        <w:ind w:left="425" w:hanging="425"/>
      </w:pPr>
      <w:rPr>
        <w:rFonts w:hint="default"/>
      </w:rPr>
    </w:lvl>
    <w:lvl w:ilvl="1">
      <w:start w:val="1"/>
      <w:numFmt w:val="decimal"/>
      <w:isLgl/>
      <w:lvlText w:val="%1.%2"/>
      <w:lvlJc w:val="left"/>
      <w:pPr>
        <w:ind w:left="425" w:hanging="425"/>
      </w:pPr>
      <w:rPr>
        <w:rFonts w:hint="default"/>
        <w:color w:val="0E787C"/>
      </w:rPr>
    </w:lvl>
    <w:lvl w:ilvl="2">
      <w:start w:val="1"/>
      <w:numFmt w:val="decimal"/>
      <w:isLgl/>
      <w:lvlText w:val="%1.%2.%3"/>
      <w:lvlJc w:val="left"/>
      <w:pPr>
        <w:ind w:left="5114" w:hanging="720"/>
      </w:pPr>
      <w:rPr>
        <w:rFonts w:ascii="Arial" w:hAnsi="Arial" w:hint="default"/>
        <w:color w:val="0E787C"/>
      </w:rPr>
    </w:lvl>
    <w:lvl w:ilvl="3">
      <w:start w:val="1"/>
      <w:numFmt w:val="decimal"/>
      <w:isLgl/>
      <w:lvlText w:val="%1.%2.%3.%4"/>
      <w:lvlJc w:val="left"/>
      <w:pPr>
        <w:ind w:left="720" w:hanging="720"/>
      </w:pPr>
      <w:rPr>
        <w:rFonts w:hint="default"/>
        <w:i w:val="0"/>
        <w:iCs w:val="0"/>
        <w:sz w:val="32"/>
        <w:szCs w:val="22"/>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2DFD7970"/>
    <w:multiLevelType w:val="hybridMultilevel"/>
    <w:tmpl w:val="8CB0E7A4"/>
    <w:lvl w:ilvl="0" w:tplc="AEBE4258">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4" w15:restartNumberingAfterBreak="0">
    <w:nsid w:val="2EC31FD2"/>
    <w:multiLevelType w:val="hybridMultilevel"/>
    <w:tmpl w:val="87B6D502"/>
    <w:lvl w:ilvl="0" w:tplc="475AB860">
      <w:start w:val="1"/>
      <w:numFmt w:val="bullet"/>
      <w:pStyle w:val="aaa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A50B9A"/>
    <w:multiLevelType w:val="hybridMultilevel"/>
    <w:tmpl w:val="7870CA8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 w15:restartNumberingAfterBreak="0">
    <w:nsid w:val="2FC72707"/>
    <w:multiLevelType w:val="multilevel"/>
    <w:tmpl w:val="0B3ECD6A"/>
    <w:lvl w:ilvl="0">
      <w:start w:val="5"/>
      <w:numFmt w:val="decimal"/>
      <w:lvlText w:val="%1."/>
      <w:lvlJc w:val="left"/>
      <w:pPr>
        <w:ind w:left="425" w:hanging="425"/>
      </w:pPr>
      <w:rPr>
        <w:rFonts w:hint="default"/>
      </w:rPr>
    </w:lvl>
    <w:lvl w:ilvl="1">
      <w:start w:val="1"/>
      <w:numFmt w:val="decimal"/>
      <w:isLgl/>
      <w:lvlText w:val="%1.%2"/>
      <w:lvlJc w:val="left"/>
      <w:pPr>
        <w:ind w:left="425" w:hanging="425"/>
      </w:pPr>
      <w:rPr>
        <w:rFonts w:hint="default"/>
        <w:color w:val="00BAC0"/>
      </w:rPr>
    </w:lvl>
    <w:lvl w:ilvl="2">
      <w:start w:val="6"/>
      <w:numFmt w:val="decimal"/>
      <w:isLgl/>
      <w:lvlText w:val="%1.%2.%3"/>
      <w:lvlJc w:val="left"/>
      <w:pPr>
        <w:ind w:left="5114" w:hanging="720"/>
      </w:pPr>
      <w:rPr>
        <w:rFonts w:ascii="VIC Light" w:hAnsi="VIC Light" w:hint="default"/>
        <w:color w:val="00BAC0"/>
        <w:sz w:val="22"/>
        <w:szCs w:val="24"/>
      </w:rPr>
    </w:lvl>
    <w:lvl w:ilvl="3">
      <w:start w:val="3"/>
      <w:numFmt w:val="decimal"/>
      <w:isLgl/>
      <w:lvlText w:val="%1.%2.%3.%4"/>
      <w:lvlJc w:val="left"/>
      <w:pPr>
        <w:ind w:left="720" w:hanging="720"/>
      </w:pPr>
      <w:rPr>
        <w:rFonts w:hint="default"/>
        <w:sz w:val="28"/>
        <w:szCs w:val="18"/>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483D072A"/>
    <w:multiLevelType w:val="hybridMultilevel"/>
    <w:tmpl w:val="B358DCDA"/>
    <w:lvl w:ilvl="0" w:tplc="3EA217D8">
      <w:start w:val="1"/>
      <w:numFmt w:val="lowerLetter"/>
      <w:pStyle w:val="Notenumberingabc"/>
      <w:lvlText w:val="%1)"/>
      <w:lvlJc w:val="left"/>
      <w:pPr>
        <w:ind w:left="4330" w:hanging="360"/>
      </w:pPr>
      <w:rPr>
        <w:sz w:val="28"/>
        <w:szCs w:val="28"/>
      </w:rPr>
    </w:lvl>
    <w:lvl w:ilvl="1" w:tplc="0C090019" w:tentative="1">
      <w:start w:val="1"/>
      <w:numFmt w:val="lowerLetter"/>
      <w:lvlText w:val="%2."/>
      <w:lvlJc w:val="left"/>
      <w:pPr>
        <w:ind w:left="5050" w:hanging="360"/>
      </w:pPr>
    </w:lvl>
    <w:lvl w:ilvl="2" w:tplc="0C09001B" w:tentative="1">
      <w:start w:val="1"/>
      <w:numFmt w:val="lowerRoman"/>
      <w:lvlText w:val="%3."/>
      <w:lvlJc w:val="right"/>
      <w:pPr>
        <w:ind w:left="5770" w:hanging="180"/>
      </w:pPr>
    </w:lvl>
    <w:lvl w:ilvl="3" w:tplc="0C09000F" w:tentative="1">
      <w:start w:val="1"/>
      <w:numFmt w:val="decimal"/>
      <w:lvlText w:val="%4."/>
      <w:lvlJc w:val="left"/>
      <w:pPr>
        <w:ind w:left="6490" w:hanging="360"/>
      </w:pPr>
    </w:lvl>
    <w:lvl w:ilvl="4" w:tplc="0C090019" w:tentative="1">
      <w:start w:val="1"/>
      <w:numFmt w:val="lowerLetter"/>
      <w:lvlText w:val="%5."/>
      <w:lvlJc w:val="left"/>
      <w:pPr>
        <w:ind w:left="7210" w:hanging="360"/>
      </w:pPr>
    </w:lvl>
    <w:lvl w:ilvl="5" w:tplc="0C09001B" w:tentative="1">
      <w:start w:val="1"/>
      <w:numFmt w:val="lowerRoman"/>
      <w:lvlText w:val="%6."/>
      <w:lvlJc w:val="right"/>
      <w:pPr>
        <w:ind w:left="7930" w:hanging="180"/>
      </w:pPr>
    </w:lvl>
    <w:lvl w:ilvl="6" w:tplc="0C09000F" w:tentative="1">
      <w:start w:val="1"/>
      <w:numFmt w:val="decimal"/>
      <w:lvlText w:val="%7."/>
      <w:lvlJc w:val="left"/>
      <w:pPr>
        <w:ind w:left="8650" w:hanging="360"/>
      </w:pPr>
    </w:lvl>
    <w:lvl w:ilvl="7" w:tplc="0C090019" w:tentative="1">
      <w:start w:val="1"/>
      <w:numFmt w:val="lowerLetter"/>
      <w:lvlText w:val="%8."/>
      <w:lvlJc w:val="left"/>
      <w:pPr>
        <w:ind w:left="9370" w:hanging="360"/>
      </w:pPr>
    </w:lvl>
    <w:lvl w:ilvl="8" w:tplc="0C09001B" w:tentative="1">
      <w:start w:val="1"/>
      <w:numFmt w:val="lowerRoman"/>
      <w:lvlText w:val="%9."/>
      <w:lvlJc w:val="right"/>
      <w:pPr>
        <w:ind w:left="10090" w:hanging="180"/>
      </w:pPr>
    </w:lvl>
  </w:abstractNum>
  <w:abstractNum w:abstractNumId="18" w15:restartNumberingAfterBreak="0">
    <w:nsid w:val="48621B48"/>
    <w:multiLevelType w:val="hybridMultilevel"/>
    <w:tmpl w:val="EDE4C526"/>
    <w:lvl w:ilvl="0" w:tplc="F7422D40">
      <w:start w:val="1"/>
      <w:numFmt w:val="lowerLetter"/>
      <w:lvlText w:val="(%1)"/>
      <w:lvlJc w:val="left"/>
      <w:pPr>
        <w:ind w:left="284" w:firstLine="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965A47"/>
    <w:multiLevelType w:val="multilevel"/>
    <w:tmpl w:val="F9B88968"/>
    <w:lvl w:ilvl="0">
      <w:start w:val="7"/>
      <w:numFmt w:val="decimal"/>
      <w:lvlText w:val="%1."/>
      <w:lvlJc w:val="left"/>
      <w:pPr>
        <w:ind w:left="425" w:hanging="425"/>
      </w:pPr>
      <w:rPr>
        <w:rFonts w:hint="default"/>
      </w:rPr>
    </w:lvl>
    <w:lvl w:ilvl="1">
      <w:start w:val="2"/>
      <w:numFmt w:val="decimal"/>
      <w:isLgl/>
      <w:lvlText w:val="%1.%2"/>
      <w:lvlJc w:val="left"/>
      <w:pPr>
        <w:ind w:left="425" w:hanging="425"/>
      </w:pPr>
      <w:rPr>
        <w:rFonts w:hint="default"/>
        <w:color w:val="0E787C"/>
      </w:rPr>
    </w:lvl>
    <w:lvl w:ilvl="2">
      <w:start w:val="4"/>
      <w:numFmt w:val="decimal"/>
      <w:isLgl/>
      <w:lvlText w:val="%1.%2.%3"/>
      <w:lvlJc w:val="left"/>
      <w:pPr>
        <w:ind w:left="5114" w:hanging="720"/>
      </w:pPr>
      <w:rPr>
        <w:rFonts w:ascii="Arial" w:hAnsi="Arial" w:hint="default"/>
        <w:color w:val="0E787C"/>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54836734"/>
    <w:multiLevelType w:val="hybridMultilevel"/>
    <w:tmpl w:val="EDE4C526"/>
    <w:lvl w:ilvl="0" w:tplc="F7422D40">
      <w:start w:val="1"/>
      <w:numFmt w:val="lowerLetter"/>
      <w:lvlText w:val="(%1)"/>
      <w:lvlJc w:val="left"/>
      <w:pPr>
        <w:ind w:left="0" w:firstLine="0"/>
      </w:pPr>
      <w:rPr>
        <w:rFont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1" w15:restartNumberingAfterBreak="0">
    <w:nsid w:val="553F0C52"/>
    <w:multiLevelType w:val="hybridMultilevel"/>
    <w:tmpl w:val="5F28038E"/>
    <w:lvl w:ilvl="0" w:tplc="95CAFBA6">
      <w:start w:val="1"/>
      <w:numFmt w:val="decimal"/>
      <w:pStyle w:val="NormalNumbering"/>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B16FF2"/>
    <w:multiLevelType w:val="hybridMultilevel"/>
    <w:tmpl w:val="C0923352"/>
    <w:lvl w:ilvl="0" w:tplc="C358B502">
      <w:start w:val="1"/>
      <w:numFmt w:val="lowerLetter"/>
      <w:lvlText w:val="(%1)"/>
      <w:lvlJc w:val="left"/>
      <w:pPr>
        <w:ind w:left="284" w:firstLine="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C03A53"/>
    <w:multiLevelType w:val="hybridMultilevel"/>
    <w:tmpl w:val="7248A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2505FCF"/>
    <w:multiLevelType w:val="hybridMultilevel"/>
    <w:tmpl w:val="472015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4F15D1"/>
    <w:multiLevelType w:val="hybridMultilevel"/>
    <w:tmpl w:val="673CCD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9845AD"/>
    <w:multiLevelType w:val="multilevel"/>
    <w:tmpl w:val="2ECE22A2"/>
    <w:lvl w:ilvl="0">
      <w:start w:val="5"/>
      <w:numFmt w:val="decimal"/>
      <w:lvlText w:val="%1."/>
      <w:lvlJc w:val="left"/>
      <w:pPr>
        <w:ind w:left="425" w:hanging="425"/>
      </w:pPr>
      <w:rPr>
        <w:rFonts w:hint="default"/>
      </w:rPr>
    </w:lvl>
    <w:lvl w:ilvl="1">
      <w:start w:val="1"/>
      <w:numFmt w:val="decimal"/>
      <w:isLgl/>
      <w:lvlText w:val="%1.%2"/>
      <w:lvlJc w:val="left"/>
      <w:pPr>
        <w:ind w:left="425" w:hanging="425"/>
      </w:pPr>
      <w:rPr>
        <w:rFonts w:hint="default"/>
        <w:color w:val="00BAC0"/>
      </w:rPr>
    </w:lvl>
    <w:lvl w:ilvl="2">
      <w:start w:val="6"/>
      <w:numFmt w:val="decimal"/>
      <w:isLgl/>
      <w:lvlText w:val="%1.%2.%3"/>
      <w:lvlJc w:val="left"/>
      <w:pPr>
        <w:ind w:left="5114" w:hanging="720"/>
      </w:pPr>
      <w:rPr>
        <w:rFonts w:ascii="VIC Light" w:hAnsi="VIC Light" w:hint="default"/>
        <w:color w:val="00BAC0"/>
        <w:sz w:val="22"/>
        <w:szCs w:val="24"/>
      </w:rPr>
    </w:lvl>
    <w:lvl w:ilvl="3">
      <w:start w:val="2"/>
      <w:numFmt w:val="decimal"/>
      <w:isLgl/>
      <w:lvlText w:val="%1.%2.%3.%4"/>
      <w:lvlJc w:val="left"/>
      <w:pPr>
        <w:ind w:left="720" w:hanging="720"/>
      </w:pPr>
      <w:rPr>
        <w:rFonts w:hint="default"/>
        <w:sz w:val="28"/>
        <w:szCs w:val="18"/>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6CF07D00"/>
    <w:multiLevelType w:val="multilevel"/>
    <w:tmpl w:val="BFA471BE"/>
    <w:lvl w:ilvl="0">
      <w:start w:val="5"/>
      <w:numFmt w:val="decimal"/>
      <w:lvlText w:val="%1."/>
      <w:lvlJc w:val="left"/>
      <w:pPr>
        <w:ind w:left="425" w:hanging="425"/>
      </w:pPr>
      <w:rPr>
        <w:rFonts w:hint="default"/>
      </w:rPr>
    </w:lvl>
    <w:lvl w:ilvl="1">
      <w:start w:val="1"/>
      <w:numFmt w:val="decimal"/>
      <w:isLgl/>
      <w:lvlText w:val="%1.%2"/>
      <w:lvlJc w:val="left"/>
      <w:pPr>
        <w:ind w:left="425" w:hanging="425"/>
      </w:pPr>
      <w:rPr>
        <w:rFonts w:hint="default"/>
        <w:color w:val="00BAC0"/>
      </w:rPr>
    </w:lvl>
    <w:lvl w:ilvl="2">
      <w:start w:val="6"/>
      <w:numFmt w:val="decimal"/>
      <w:isLgl/>
      <w:lvlText w:val="%1.%2.%3"/>
      <w:lvlJc w:val="left"/>
      <w:pPr>
        <w:ind w:left="1004" w:hanging="720"/>
      </w:pPr>
      <w:rPr>
        <w:rFonts w:ascii="Arial" w:hAnsi="Arial" w:hint="default"/>
        <w:color w:val="0E787C"/>
        <w:sz w:val="28"/>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6E03356E"/>
    <w:multiLevelType w:val="hybridMultilevel"/>
    <w:tmpl w:val="E6E22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0A7D93"/>
    <w:multiLevelType w:val="hybridMultilevel"/>
    <w:tmpl w:val="FE14028C"/>
    <w:lvl w:ilvl="0" w:tplc="21F87ABC">
      <w:start w:val="1"/>
      <w:numFmt w:val="lowerRoman"/>
      <w:pStyle w:val="iNotenumberiiiiii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14"/>
        <w:szCs w:val="1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AB071FE">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85934AA"/>
    <w:multiLevelType w:val="hybridMultilevel"/>
    <w:tmpl w:val="3112F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7767C8"/>
    <w:multiLevelType w:val="multilevel"/>
    <w:tmpl w:val="60A04668"/>
    <w:lvl w:ilvl="0">
      <w:start w:val="5"/>
      <w:numFmt w:val="decimal"/>
      <w:lvlText w:val="%1."/>
      <w:lvlJc w:val="left"/>
      <w:pPr>
        <w:ind w:left="425" w:hanging="425"/>
      </w:pPr>
      <w:rPr>
        <w:rFonts w:hint="default"/>
      </w:rPr>
    </w:lvl>
    <w:lvl w:ilvl="1">
      <w:start w:val="1"/>
      <w:numFmt w:val="decimal"/>
      <w:isLgl/>
      <w:lvlText w:val="%1.%2"/>
      <w:lvlJc w:val="left"/>
      <w:pPr>
        <w:ind w:left="425" w:hanging="425"/>
      </w:pPr>
      <w:rPr>
        <w:rFonts w:hint="default"/>
        <w:color w:val="00BAC0"/>
      </w:rPr>
    </w:lvl>
    <w:lvl w:ilvl="2">
      <w:start w:val="6"/>
      <w:numFmt w:val="decimal"/>
      <w:isLgl/>
      <w:lvlText w:val="%1.%2.%3"/>
      <w:lvlJc w:val="left"/>
      <w:pPr>
        <w:ind w:left="5114" w:hanging="720"/>
      </w:pPr>
      <w:rPr>
        <w:rFonts w:ascii="Arial" w:hAnsi="Arial" w:hint="default"/>
        <w:color w:val="0E787C"/>
        <w:sz w:val="28"/>
        <w:szCs w:val="28"/>
      </w:rPr>
    </w:lvl>
    <w:lvl w:ilvl="3">
      <w:start w:val="1"/>
      <w:numFmt w:val="decimal"/>
      <w:isLgl/>
      <w:lvlText w:val="%1.%2.%3.%4"/>
      <w:lvlJc w:val="left"/>
      <w:pPr>
        <w:ind w:left="720" w:hanging="720"/>
      </w:pPr>
      <w:rPr>
        <w:rFonts w:hint="default"/>
        <w:sz w:val="28"/>
        <w:szCs w:val="18"/>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4"/>
  </w:num>
  <w:num w:numId="2">
    <w:abstractNumId w:val="5"/>
  </w:num>
  <w:num w:numId="3">
    <w:abstractNumId w:val="9"/>
  </w:num>
  <w:num w:numId="4">
    <w:abstractNumId w:val="4"/>
  </w:num>
  <w:num w:numId="5">
    <w:abstractNumId w:val="22"/>
  </w:num>
  <w:num w:numId="6">
    <w:abstractNumId w:val="18"/>
  </w:num>
  <w:num w:numId="7">
    <w:abstractNumId w:val="30"/>
  </w:num>
  <w:num w:numId="8">
    <w:abstractNumId w:val="17"/>
  </w:num>
  <w:num w:numId="9">
    <w:abstractNumId w:val="20"/>
  </w:num>
  <w:num w:numId="10">
    <w:abstractNumId w:val="3"/>
  </w:num>
  <w:num w:numId="11">
    <w:abstractNumId w:val="29"/>
    <w:lvlOverride w:ilvl="0">
      <w:startOverride w:val="1"/>
    </w:lvlOverride>
  </w:num>
  <w:num w:numId="12">
    <w:abstractNumId w:val="0"/>
  </w:num>
  <w:num w:numId="13">
    <w:abstractNumId w:val="11"/>
  </w:num>
  <w:num w:numId="14">
    <w:abstractNumId w:val="19"/>
  </w:num>
  <w:num w:numId="15">
    <w:abstractNumId w:val="27"/>
  </w:num>
  <w:num w:numId="16">
    <w:abstractNumId w:val="31"/>
  </w:num>
  <w:num w:numId="17">
    <w:abstractNumId w:val="26"/>
  </w:num>
  <w:num w:numId="18">
    <w:abstractNumId w:val="16"/>
  </w:num>
  <w:num w:numId="19">
    <w:abstractNumId w:val="8"/>
  </w:num>
  <w:num w:numId="20">
    <w:abstractNumId w:val="7"/>
  </w:num>
  <w:num w:numId="21">
    <w:abstractNumId w:val="6"/>
  </w:num>
  <w:num w:numId="22">
    <w:abstractNumId w:val="12"/>
  </w:num>
  <w:num w:numId="23">
    <w:abstractNumId w:val="1"/>
  </w:num>
  <w:num w:numId="24">
    <w:abstractNumId w:val="23"/>
  </w:num>
  <w:num w:numId="25">
    <w:abstractNumId w:val="5"/>
    <w:lvlOverride w:ilvl="0">
      <w:startOverride w:val="1"/>
    </w:lvlOverride>
  </w:num>
  <w:num w:numId="26">
    <w:abstractNumId w:val="28"/>
  </w:num>
  <w:num w:numId="27">
    <w:abstractNumId w:val="21"/>
  </w:num>
  <w:num w:numId="28">
    <w:abstractNumId w:val="17"/>
    <w:lvlOverride w:ilvl="0">
      <w:startOverride w:val="1"/>
    </w:lvlOverride>
  </w:num>
  <w:num w:numId="29">
    <w:abstractNumId w:val="2"/>
  </w:num>
  <w:num w:numId="30">
    <w:abstractNumId w:val="24"/>
  </w:num>
  <w:num w:numId="31">
    <w:abstractNumId w:val="15"/>
  </w:num>
  <w:num w:numId="32">
    <w:abstractNumId w:val="13"/>
  </w:num>
  <w:num w:numId="33">
    <w:abstractNumId w:val="25"/>
  </w:num>
  <w:num w:numId="34">
    <w:abstractNumId w:val="5"/>
    <w:lvlOverride w:ilvl="0">
      <w:startOverride w:val="1"/>
    </w:lvlOverride>
  </w:num>
  <w:num w:numId="35">
    <w:abstractNumId w:val="5"/>
    <w:lvlOverride w:ilvl="0">
      <w:startOverride w:val="1"/>
    </w:lvlOverride>
  </w:num>
  <w:num w:numId="36">
    <w:abstractNumId w:val="5"/>
    <w:lvlOverride w:ilvl="0">
      <w:startOverride w:val="1"/>
    </w:lvlOverride>
  </w:num>
  <w:num w:numId="37">
    <w:abstractNumId w:val="17"/>
    <w:lvlOverride w:ilvl="0">
      <w:startOverride w:val="1"/>
    </w:lvlOverride>
  </w:num>
  <w:num w:numId="38">
    <w:abstractNumId w:val="17"/>
    <w:lvlOverride w:ilvl="0">
      <w:startOverride w:val="1"/>
    </w:lvlOverride>
  </w:num>
  <w:num w:numId="39">
    <w:abstractNumId w:val="17"/>
    <w:lvlOverride w:ilvl="0">
      <w:startOverride w:val="1"/>
    </w:lvlOverride>
  </w:num>
  <w:num w:numId="40">
    <w:abstractNumId w:val="17"/>
    <w:lvlOverride w:ilvl="0">
      <w:startOverride w:val="1"/>
    </w:lvlOverride>
  </w:num>
  <w:num w:numId="41">
    <w:abstractNumId w:val="5"/>
    <w:lvlOverride w:ilvl="0">
      <w:startOverride w:val="1"/>
    </w:lvlOverride>
  </w:num>
  <w:num w:numId="42">
    <w:abstractNumId w:val="17"/>
    <w:lvlOverride w:ilvl="0">
      <w:startOverride w:val="1"/>
    </w:lvlOverride>
  </w:num>
  <w:num w:numId="43">
    <w:abstractNumId w:val="17"/>
    <w:lvlOverride w:ilvl="0">
      <w:startOverride w:val="1"/>
    </w:lvlOverride>
  </w:num>
  <w:num w:numId="44">
    <w:abstractNumId w:val="17"/>
    <w:lvlOverride w:ilvl="0">
      <w:startOverride w:val="1"/>
    </w:lvlOverride>
  </w:num>
  <w:num w:numId="45">
    <w:abstractNumId w:val="17"/>
    <w:lvlOverride w:ilvl="0">
      <w:startOverride w:val="1"/>
    </w:lvlOverride>
  </w:num>
  <w:num w:numId="46">
    <w:abstractNumId w:val="17"/>
    <w:lvlOverride w:ilvl="0">
      <w:startOverride w:val="1"/>
    </w:lvlOverride>
  </w:num>
  <w:num w:numId="47">
    <w:abstractNumId w:val="17"/>
    <w:lvlOverride w:ilvl="0">
      <w:startOverride w:val="1"/>
    </w:lvlOverride>
  </w:num>
  <w:num w:numId="48">
    <w:abstractNumId w:val="17"/>
    <w:lvlOverride w:ilvl="0">
      <w:startOverride w:val="1"/>
    </w:lvlOverride>
  </w:num>
  <w:num w:numId="49">
    <w:abstractNumId w:val="17"/>
    <w:lvlOverride w:ilvl="0">
      <w:startOverride w:val="1"/>
    </w:lvlOverride>
  </w:num>
  <w:num w:numId="50">
    <w:abstractNumId w:val="17"/>
    <w:lvlOverride w:ilvl="0">
      <w:startOverride w:val="1"/>
    </w:lvlOverride>
  </w:num>
  <w:num w:numId="51">
    <w:abstractNumId w:val="17"/>
    <w:lvlOverride w:ilvl="0">
      <w:startOverride w:val="1"/>
    </w:lvlOverride>
  </w:num>
  <w:num w:numId="52">
    <w:abstractNumId w:val="17"/>
    <w:lvlOverride w:ilvl="0">
      <w:startOverride w:val="1"/>
    </w:lvlOverride>
  </w:num>
  <w:num w:numId="53">
    <w:abstractNumId w:val="17"/>
    <w:lvlOverride w:ilvl="0">
      <w:startOverride w:val="1"/>
    </w:lvlOverride>
  </w:num>
  <w:num w:numId="54">
    <w:abstractNumId w:val="17"/>
    <w:lvlOverride w:ilvl="0">
      <w:startOverride w:val="1"/>
    </w:lvlOverride>
  </w:num>
  <w:num w:numId="55">
    <w:abstractNumId w:val="5"/>
    <w:lvlOverride w:ilvl="0">
      <w:startOverride w:val="1"/>
    </w:lvlOverride>
  </w:num>
  <w:num w:numId="56">
    <w:abstractNumId w:val="5"/>
    <w:lvlOverride w:ilvl="0">
      <w:startOverride w:val="1"/>
    </w:lvlOverride>
  </w:num>
  <w:num w:numId="57">
    <w:abstractNumId w:val="5"/>
    <w:lvlOverride w:ilvl="0">
      <w:startOverride w:val="1"/>
    </w:lvlOverride>
  </w:num>
  <w:num w:numId="58">
    <w:abstractNumId w:val="5"/>
    <w:lvlOverride w:ilvl="0">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lvlOverride w:ilvl="0">
      <w:startOverride w:val="1"/>
    </w:lvlOverride>
  </w:num>
  <w:num w:numId="61">
    <w:abstractNumId w:val="5"/>
    <w:lvlOverride w:ilvl="0">
      <w:startOverride w:val="1"/>
    </w:lvlOverride>
  </w:num>
  <w:num w:numId="62">
    <w:abstractNumId w:val="5"/>
    <w:lvlOverride w:ilvl="0">
      <w:startOverride w:val="1"/>
    </w:lvlOverride>
  </w:num>
  <w:num w:numId="63">
    <w:abstractNumId w:val="5"/>
    <w:lvlOverride w:ilvl="0">
      <w:startOverride w:val="1"/>
    </w:lvlOverride>
  </w:num>
  <w:num w:numId="64">
    <w:abstractNumId w:val="5"/>
    <w:lvlOverride w:ilvl="0">
      <w:startOverride w:val="1"/>
    </w:lvlOverride>
  </w:num>
  <w:num w:numId="65">
    <w:abstractNumId w:val="10"/>
  </w:num>
  <w:num w:numId="66">
    <w:abstractNumId w:val="0"/>
    <w:lvlOverride w:ilvl="0">
      <w:startOverride w:val="1"/>
    </w:lvlOverride>
  </w:num>
  <w:num w:numId="67">
    <w:abstractNumId w:val="0"/>
    <w:lvlOverride w:ilvl="0">
      <w:startOverride w:val="1"/>
    </w:lvlOverride>
  </w:num>
  <w:num w:numId="68">
    <w:abstractNumId w:val="0"/>
    <w:lvlOverride w:ilvl="0">
      <w:startOverride w:val="1"/>
    </w:lvlOverride>
  </w:num>
  <w:num w:numId="69">
    <w:abstractNumId w:val="0"/>
    <w:lvlOverride w:ilvl="0">
      <w:startOverride w:val="1"/>
    </w:lvlOverride>
  </w:num>
  <w:num w:numId="70">
    <w:abstractNumId w:val="0"/>
    <w:lvlOverride w:ilvl="0">
      <w:startOverride w:val="1"/>
    </w:lvlOverride>
  </w:num>
  <w:num w:numId="71">
    <w:abstractNumId w:val="0"/>
    <w:lvlOverride w:ilvl="0">
      <w:startOverride w:val="1"/>
    </w:lvlOverride>
  </w:num>
  <w:num w:numId="72">
    <w:abstractNumId w:val="0"/>
    <w:lvlOverride w:ilvl="0">
      <w:startOverride w:val="1"/>
    </w:lvlOverride>
  </w:num>
  <w:num w:numId="73">
    <w:abstractNumId w:val="0"/>
    <w:lvlOverride w:ilvl="0">
      <w:startOverride w:val="1"/>
    </w:lvlOverride>
  </w:num>
  <w:num w:numId="74">
    <w:abstractNumId w:val="0"/>
    <w:lvlOverride w:ilvl="0">
      <w:startOverride w:val="1"/>
    </w:lvlOverride>
  </w:num>
  <w:num w:numId="75">
    <w:abstractNumId w:val="0"/>
    <w:lvlOverride w:ilvl="0">
      <w:startOverride w:val="1"/>
    </w:lvlOverride>
  </w:num>
  <w:num w:numId="76">
    <w:abstractNumId w:val="0"/>
    <w:lvlOverride w:ilvl="0">
      <w:startOverride w:val="1"/>
    </w:lvlOverride>
  </w:num>
  <w:num w:numId="77">
    <w:abstractNumId w:val="0"/>
    <w:lvlOverride w:ilvl="0">
      <w:startOverride w:val="1"/>
    </w:lvlOverride>
  </w:num>
  <w:num w:numId="78">
    <w:abstractNumId w:val="0"/>
    <w:lvlOverride w:ilvl="0">
      <w:startOverride w:val="1"/>
    </w:lvlOverride>
  </w:num>
  <w:num w:numId="79">
    <w:abstractNumId w:val="0"/>
    <w:lvlOverride w:ilvl="0">
      <w:startOverride w:val="1"/>
    </w:lvlOverride>
  </w:num>
  <w:num w:numId="80">
    <w:abstractNumId w:val="0"/>
    <w:lvlOverride w:ilvl="0">
      <w:startOverride w:val="1"/>
    </w:lvlOverride>
  </w:num>
  <w:num w:numId="81">
    <w:abstractNumId w:val="0"/>
    <w:lvlOverride w:ilvl="0">
      <w:startOverride w:val="1"/>
    </w:lvlOverride>
  </w:num>
  <w:num w:numId="82">
    <w:abstractNumId w:val="0"/>
    <w:lvlOverride w:ilvl="0">
      <w:startOverride w:val="1"/>
    </w:lvlOverride>
  </w:num>
  <w:num w:numId="83">
    <w:abstractNumId w:val="0"/>
    <w:lvlOverride w:ilvl="0">
      <w:startOverride w:val="1"/>
    </w:lvlOverride>
  </w:num>
  <w:num w:numId="84">
    <w:abstractNumId w:val="0"/>
    <w:lvlOverride w:ilvl="0">
      <w:startOverride w:val="1"/>
    </w:lvlOverride>
  </w:num>
  <w:num w:numId="85">
    <w:abstractNumId w:val="0"/>
    <w:lvlOverride w:ilvl="0">
      <w:startOverride w:val="1"/>
    </w:lvlOverride>
  </w:num>
  <w:num w:numId="86">
    <w:abstractNumId w:val="0"/>
    <w:lvlOverride w:ilvl="0">
      <w:startOverride w:val="1"/>
    </w:lvlOverride>
  </w:num>
  <w:num w:numId="87">
    <w:abstractNumId w:val="0"/>
    <w:lvlOverride w:ilvl="0">
      <w:startOverride w:val="1"/>
    </w:lvlOverride>
  </w:num>
  <w:num w:numId="88">
    <w:abstractNumId w:val="0"/>
    <w:lvlOverride w:ilvl="0">
      <w:startOverride w:val="1"/>
    </w:lvlOverride>
  </w:num>
  <w:num w:numId="89">
    <w:abstractNumId w:val="0"/>
    <w:lvlOverride w:ilvl="0">
      <w:startOverride w:val="1"/>
    </w:lvlOverride>
  </w:num>
  <w:num w:numId="90">
    <w:abstractNumId w:val="0"/>
    <w:lvlOverride w:ilvl="0">
      <w:startOverride w:val="1"/>
    </w:lvlOverride>
  </w:num>
  <w:num w:numId="91">
    <w:abstractNumId w:val="0"/>
    <w:lvlOverride w:ilvl="0">
      <w:startOverride w:val="1"/>
    </w:lvlOverride>
  </w:num>
  <w:num w:numId="92">
    <w:abstractNumId w:val="0"/>
    <w:lvlOverride w:ilvl="0">
      <w:startOverride w:val="1"/>
    </w:lvlOverride>
  </w:num>
  <w:num w:numId="93">
    <w:abstractNumId w:val="0"/>
    <w:lvlOverride w:ilvl="0">
      <w:startOverride w:val="1"/>
    </w:lvlOverride>
  </w:num>
  <w:num w:numId="94">
    <w:abstractNumId w:val="0"/>
    <w:lvlOverride w:ilvl="0">
      <w:startOverride w:val="1"/>
    </w:lvlOverride>
  </w:num>
  <w:num w:numId="95">
    <w:abstractNumId w:val="0"/>
    <w:lvlOverride w:ilvl="0">
      <w:startOverride w:val="1"/>
    </w:lvlOverride>
  </w:num>
  <w:num w:numId="96">
    <w:abstractNumId w:val="0"/>
    <w:lvlOverride w:ilvl="0">
      <w:startOverride w:val="1"/>
    </w:lvlOverride>
  </w:num>
  <w:num w:numId="97">
    <w:abstractNumId w:val="0"/>
    <w:lvlOverride w:ilvl="0">
      <w:startOverride w:val="1"/>
    </w:lvlOverride>
  </w:num>
  <w:num w:numId="98">
    <w:abstractNumId w:val="0"/>
    <w:lvlOverride w:ilvl="0">
      <w:startOverride w:val="1"/>
    </w:lvlOverride>
  </w:num>
  <w:num w:numId="99">
    <w:abstractNumId w:val="0"/>
    <w:lvlOverride w:ilvl="0">
      <w:startOverride w:val="1"/>
    </w:lvlOverride>
  </w:num>
  <w:num w:numId="100">
    <w:abstractNumId w:val="0"/>
    <w:lvlOverride w:ilvl="0">
      <w:startOverride w:val="1"/>
    </w:lvlOverride>
  </w:num>
  <w:num w:numId="101">
    <w:abstractNumId w:val="0"/>
    <w:lvlOverride w:ilvl="0">
      <w:startOverride w:val="1"/>
    </w:lvlOverride>
  </w:num>
  <w:num w:numId="102">
    <w:abstractNumId w:val="0"/>
    <w:lvlOverride w:ilvl="0">
      <w:startOverride w:val="1"/>
    </w:lvlOverride>
  </w:num>
  <w:num w:numId="103">
    <w:abstractNumId w:val="0"/>
    <w:lvlOverride w:ilvl="0">
      <w:startOverride w:val="1"/>
    </w:lvlOverride>
  </w:num>
  <w:num w:numId="104">
    <w:abstractNumId w:val="0"/>
    <w:lvlOverride w:ilvl="0">
      <w:startOverride w:val="1"/>
    </w:lvlOverride>
  </w:num>
  <w:num w:numId="105">
    <w:abstractNumId w:val="0"/>
    <w:lvlOverride w:ilvl="0">
      <w:startOverride w:val="1"/>
    </w:lvlOverride>
  </w:num>
  <w:num w:numId="106">
    <w:abstractNumId w:val="0"/>
    <w:lvlOverride w:ilvl="0">
      <w:startOverride w:val="1"/>
    </w:lvlOverride>
  </w:num>
  <w:num w:numId="107">
    <w:abstractNumId w:val="0"/>
    <w:lvlOverride w:ilvl="0">
      <w:startOverride w:val="1"/>
    </w:lvlOverride>
  </w:num>
  <w:num w:numId="108">
    <w:abstractNumId w:val="0"/>
    <w:lvlOverride w:ilvl="0">
      <w:startOverride w:val="1"/>
    </w:lvlOverride>
  </w:num>
  <w:num w:numId="109">
    <w:abstractNumId w:val="0"/>
    <w:lvlOverride w:ilvl="0">
      <w:startOverride w:val="1"/>
    </w:lvlOverride>
  </w:num>
  <w:num w:numId="110">
    <w:abstractNumId w:val="0"/>
    <w:lvlOverride w:ilvl="0">
      <w:startOverride w:val="1"/>
    </w:lvlOverride>
  </w:num>
  <w:num w:numId="111">
    <w:abstractNumId w:val="0"/>
    <w:lvlOverride w:ilvl="0">
      <w:startOverride w:val="1"/>
    </w:lvlOverride>
  </w:num>
  <w:num w:numId="112">
    <w:abstractNumId w:val="0"/>
    <w:lvlOverride w:ilvl="0">
      <w:startOverride w:val="1"/>
    </w:lvlOverride>
  </w:num>
  <w:num w:numId="113">
    <w:abstractNumId w:val="0"/>
    <w:lvlOverride w:ilvl="0">
      <w:startOverride w:val="1"/>
    </w:lvlOverride>
  </w:num>
  <w:num w:numId="114">
    <w:abstractNumId w:val="0"/>
    <w:lvlOverride w:ilvl="0">
      <w:startOverride w:val="1"/>
    </w:lvlOverride>
  </w:num>
  <w:num w:numId="115">
    <w:abstractNumId w:val="0"/>
    <w:lvlOverride w:ilvl="0">
      <w:startOverride w:val="1"/>
    </w:lvlOverride>
  </w:num>
  <w:num w:numId="116">
    <w:abstractNumId w:val="0"/>
    <w:lvlOverride w:ilvl="0">
      <w:startOverride w:val="1"/>
    </w:lvlOverride>
  </w:num>
  <w:num w:numId="117">
    <w:abstractNumId w:val="0"/>
    <w:lvlOverride w:ilvl="0">
      <w:startOverride w:val="1"/>
    </w:lvlOverride>
  </w:num>
  <w:num w:numId="118">
    <w:abstractNumId w:val="0"/>
    <w:lvlOverride w:ilvl="0">
      <w:startOverride w:val="1"/>
    </w:lvlOverride>
  </w:num>
  <w:num w:numId="119">
    <w:abstractNumId w:val="0"/>
    <w:lvlOverride w:ilvl="0">
      <w:startOverride w:val="1"/>
    </w:lvlOverride>
  </w:num>
  <w:num w:numId="120">
    <w:abstractNumId w:val="0"/>
    <w:lvlOverride w:ilvl="0">
      <w:startOverride w:val="1"/>
    </w:lvlOverride>
  </w:num>
  <w:num w:numId="121">
    <w:abstractNumId w:val="0"/>
    <w:lvlOverride w:ilvl="0">
      <w:startOverride w:val="1"/>
    </w:lvlOverride>
  </w:num>
  <w:num w:numId="122">
    <w:abstractNumId w:val="0"/>
    <w:lvlOverride w:ilvl="0">
      <w:startOverride w:val="1"/>
    </w:lvlOverride>
  </w:num>
  <w:num w:numId="123">
    <w:abstractNumId w:val="0"/>
    <w:lvlOverride w:ilvl="0">
      <w:startOverride w:val="1"/>
    </w:lvlOverride>
  </w:num>
  <w:num w:numId="124">
    <w:abstractNumId w:val="0"/>
    <w:lvlOverride w:ilvl="0">
      <w:startOverride w:val="1"/>
    </w:lvlOverride>
  </w:num>
  <w:num w:numId="125">
    <w:abstractNumId w:val="0"/>
    <w:lvlOverride w:ilvl="0">
      <w:startOverride w:val="1"/>
    </w:lvlOverride>
  </w:num>
  <w:num w:numId="126">
    <w:abstractNumId w:val="0"/>
    <w:lvlOverride w:ilvl="0">
      <w:startOverride w:val="1"/>
    </w:lvlOverride>
  </w:num>
  <w:num w:numId="127">
    <w:abstractNumId w:val="0"/>
    <w:lvlOverride w:ilvl="0">
      <w:startOverride w:val="1"/>
    </w:lvlOverride>
  </w:num>
  <w:num w:numId="128">
    <w:abstractNumId w:val="0"/>
    <w:lvlOverride w:ilvl="0">
      <w:startOverride w:val="1"/>
    </w:lvlOverride>
  </w:num>
  <w:num w:numId="129">
    <w:abstractNumId w:val="0"/>
    <w:lvlOverride w:ilvl="0">
      <w:startOverride w:val="1"/>
    </w:lvlOverride>
  </w:num>
  <w:num w:numId="130">
    <w:abstractNumId w:val="0"/>
    <w:lvlOverride w:ilvl="0">
      <w:startOverride w:val="1"/>
    </w:lvlOverride>
  </w:num>
  <w:num w:numId="131">
    <w:abstractNumId w:val="0"/>
    <w:lvlOverride w:ilvl="0">
      <w:startOverride w:val="1"/>
    </w:lvlOverride>
  </w:num>
  <w:num w:numId="132">
    <w:abstractNumId w:val="0"/>
    <w:lvlOverride w:ilvl="0">
      <w:startOverride w:val="1"/>
    </w:lvlOverride>
  </w:num>
  <w:num w:numId="133">
    <w:abstractNumId w:val="0"/>
    <w:lvlOverride w:ilvl="0">
      <w:startOverride w:val="1"/>
    </w:lvlOverride>
  </w:num>
  <w:num w:numId="134">
    <w:abstractNumId w:val="0"/>
    <w:lvlOverride w:ilvl="0">
      <w:startOverride w:val="1"/>
    </w:lvlOverride>
  </w:num>
  <w:num w:numId="135">
    <w:abstractNumId w:val="0"/>
    <w:lvlOverride w:ilvl="0">
      <w:startOverride w:val="1"/>
    </w:lvlOverride>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ocumentProtection w:edit="readOnly" w:enforcement="1" w:cryptProviderType="rsaAES" w:cryptAlgorithmClass="hash" w:cryptAlgorithmType="typeAny" w:cryptAlgorithmSid="14" w:cryptSpinCount="100000" w:hash="JtYyBZLp/sA6fEi+LTwC5Z+bEk6hw1KYBhNHoTfR76JoPcS4Je/pDu47O6b2CKlbjtiIPCYpfyJz+h8/zptAtA==" w:salt="KJ0+tyBYM7/kGBRHlWv8KQ=="/>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BF5"/>
    <w:rsid w:val="00001592"/>
    <w:rsid w:val="00006FDB"/>
    <w:rsid w:val="00007482"/>
    <w:rsid w:val="000103C4"/>
    <w:rsid w:val="000123ED"/>
    <w:rsid w:val="000125A5"/>
    <w:rsid w:val="000172AC"/>
    <w:rsid w:val="00020050"/>
    <w:rsid w:val="000208C5"/>
    <w:rsid w:val="00023CD7"/>
    <w:rsid w:val="00023FF5"/>
    <w:rsid w:val="00025D7C"/>
    <w:rsid w:val="00026508"/>
    <w:rsid w:val="00026F31"/>
    <w:rsid w:val="0002733C"/>
    <w:rsid w:val="000332B4"/>
    <w:rsid w:val="000341C3"/>
    <w:rsid w:val="0003799B"/>
    <w:rsid w:val="0004312E"/>
    <w:rsid w:val="00044870"/>
    <w:rsid w:val="00045E72"/>
    <w:rsid w:val="00051837"/>
    <w:rsid w:val="000542A8"/>
    <w:rsid w:val="00056955"/>
    <w:rsid w:val="00060F2A"/>
    <w:rsid w:val="000618EC"/>
    <w:rsid w:val="000619A7"/>
    <w:rsid w:val="000627B2"/>
    <w:rsid w:val="000632B2"/>
    <w:rsid w:val="000652C0"/>
    <w:rsid w:val="000712AA"/>
    <w:rsid w:val="0007182A"/>
    <w:rsid w:val="00073680"/>
    <w:rsid w:val="00075DE0"/>
    <w:rsid w:val="000806A6"/>
    <w:rsid w:val="0008083F"/>
    <w:rsid w:val="00080BC5"/>
    <w:rsid w:val="00081FB5"/>
    <w:rsid w:val="00082158"/>
    <w:rsid w:val="000832D9"/>
    <w:rsid w:val="00085918"/>
    <w:rsid w:val="00086107"/>
    <w:rsid w:val="00091232"/>
    <w:rsid w:val="000955F4"/>
    <w:rsid w:val="000975C2"/>
    <w:rsid w:val="00097ADB"/>
    <w:rsid w:val="000A07A2"/>
    <w:rsid w:val="000A0855"/>
    <w:rsid w:val="000A2544"/>
    <w:rsid w:val="000A29AA"/>
    <w:rsid w:val="000A3C3B"/>
    <w:rsid w:val="000A3C95"/>
    <w:rsid w:val="000A7B94"/>
    <w:rsid w:val="000B0676"/>
    <w:rsid w:val="000B1F5A"/>
    <w:rsid w:val="000B1F68"/>
    <w:rsid w:val="000B5017"/>
    <w:rsid w:val="000B5FD1"/>
    <w:rsid w:val="000B6B73"/>
    <w:rsid w:val="000B6ECF"/>
    <w:rsid w:val="000B7A75"/>
    <w:rsid w:val="000C2FCB"/>
    <w:rsid w:val="000C3252"/>
    <w:rsid w:val="000C328E"/>
    <w:rsid w:val="000C3449"/>
    <w:rsid w:val="000C3663"/>
    <w:rsid w:val="000C4152"/>
    <w:rsid w:val="000C4A28"/>
    <w:rsid w:val="000C5DCE"/>
    <w:rsid w:val="000C61F8"/>
    <w:rsid w:val="000D3D4D"/>
    <w:rsid w:val="000D4396"/>
    <w:rsid w:val="000D546E"/>
    <w:rsid w:val="000E06DF"/>
    <w:rsid w:val="000E2203"/>
    <w:rsid w:val="000E2342"/>
    <w:rsid w:val="000E2629"/>
    <w:rsid w:val="000E40C7"/>
    <w:rsid w:val="000E630A"/>
    <w:rsid w:val="000E69C5"/>
    <w:rsid w:val="000E6C3F"/>
    <w:rsid w:val="000E76F2"/>
    <w:rsid w:val="000F026E"/>
    <w:rsid w:val="000F0446"/>
    <w:rsid w:val="000F17DB"/>
    <w:rsid w:val="000F207D"/>
    <w:rsid w:val="000F24FA"/>
    <w:rsid w:val="000F285B"/>
    <w:rsid w:val="000F305A"/>
    <w:rsid w:val="000F5409"/>
    <w:rsid w:val="000F5761"/>
    <w:rsid w:val="00100D35"/>
    <w:rsid w:val="00102D51"/>
    <w:rsid w:val="001037EA"/>
    <w:rsid w:val="001043AC"/>
    <w:rsid w:val="0010480B"/>
    <w:rsid w:val="00105501"/>
    <w:rsid w:val="001072A0"/>
    <w:rsid w:val="00112207"/>
    <w:rsid w:val="0011299A"/>
    <w:rsid w:val="001130AC"/>
    <w:rsid w:val="00113AAB"/>
    <w:rsid w:val="00117080"/>
    <w:rsid w:val="001174C2"/>
    <w:rsid w:val="00122779"/>
    <w:rsid w:val="0012383D"/>
    <w:rsid w:val="00123D45"/>
    <w:rsid w:val="0012408F"/>
    <w:rsid w:val="001263E2"/>
    <w:rsid w:val="00130C83"/>
    <w:rsid w:val="00131675"/>
    <w:rsid w:val="00133415"/>
    <w:rsid w:val="00133A1B"/>
    <w:rsid w:val="00134017"/>
    <w:rsid w:val="00136736"/>
    <w:rsid w:val="00136CEB"/>
    <w:rsid w:val="00136DD8"/>
    <w:rsid w:val="001374DB"/>
    <w:rsid w:val="00137AAD"/>
    <w:rsid w:val="00140A29"/>
    <w:rsid w:val="001422CF"/>
    <w:rsid w:val="00144909"/>
    <w:rsid w:val="00145E37"/>
    <w:rsid w:val="00147AA1"/>
    <w:rsid w:val="00151205"/>
    <w:rsid w:val="001518C5"/>
    <w:rsid w:val="00151DEB"/>
    <w:rsid w:val="001520DB"/>
    <w:rsid w:val="00152B78"/>
    <w:rsid w:val="00153DFA"/>
    <w:rsid w:val="001540A3"/>
    <w:rsid w:val="0015538B"/>
    <w:rsid w:val="00156220"/>
    <w:rsid w:val="0015666C"/>
    <w:rsid w:val="00161680"/>
    <w:rsid w:val="00161B34"/>
    <w:rsid w:val="00162526"/>
    <w:rsid w:val="00162B37"/>
    <w:rsid w:val="00163199"/>
    <w:rsid w:val="00163E45"/>
    <w:rsid w:val="001664F1"/>
    <w:rsid w:val="001666B4"/>
    <w:rsid w:val="0017059F"/>
    <w:rsid w:val="00170646"/>
    <w:rsid w:val="001721A1"/>
    <w:rsid w:val="00172236"/>
    <w:rsid w:val="001729BE"/>
    <w:rsid w:val="0017420E"/>
    <w:rsid w:val="0017603B"/>
    <w:rsid w:val="00176C99"/>
    <w:rsid w:val="001776C9"/>
    <w:rsid w:val="00177E5E"/>
    <w:rsid w:val="001813F3"/>
    <w:rsid w:val="0018288C"/>
    <w:rsid w:val="001847BD"/>
    <w:rsid w:val="001847E8"/>
    <w:rsid w:val="00185469"/>
    <w:rsid w:val="001860BF"/>
    <w:rsid w:val="00192B43"/>
    <w:rsid w:val="00194152"/>
    <w:rsid w:val="001941EA"/>
    <w:rsid w:val="001976CD"/>
    <w:rsid w:val="001A1136"/>
    <w:rsid w:val="001A1B1C"/>
    <w:rsid w:val="001A1C05"/>
    <w:rsid w:val="001A2031"/>
    <w:rsid w:val="001B0296"/>
    <w:rsid w:val="001B0601"/>
    <w:rsid w:val="001B0603"/>
    <w:rsid w:val="001B06D6"/>
    <w:rsid w:val="001B1347"/>
    <w:rsid w:val="001B13E6"/>
    <w:rsid w:val="001B18FD"/>
    <w:rsid w:val="001B3526"/>
    <w:rsid w:val="001B3E20"/>
    <w:rsid w:val="001B3EE8"/>
    <w:rsid w:val="001B6A86"/>
    <w:rsid w:val="001C593B"/>
    <w:rsid w:val="001C6099"/>
    <w:rsid w:val="001D007F"/>
    <w:rsid w:val="001D0223"/>
    <w:rsid w:val="001D0418"/>
    <w:rsid w:val="001D169D"/>
    <w:rsid w:val="001D2794"/>
    <w:rsid w:val="001D32C0"/>
    <w:rsid w:val="001D34D6"/>
    <w:rsid w:val="001D579B"/>
    <w:rsid w:val="001D67E3"/>
    <w:rsid w:val="001D7372"/>
    <w:rsid w:val="001D7A64"/>
    <w:rsid w:val="001E206E"/>
    <w:rsid w:val="001E2E34"/>
    <w:rsid w:val="001E2FC4"/>
    <w:rsid w:val="001E32A7"/>
    <w:rsid w:val="001E3B90"/>
    <w:rsid w:val="001E5F0A"/>
    <w:rsid w:val="001E6180"/>
    <w:rsid w:val="001E7774"/>
    <w:rsid w:val="001F5E6B"/>
    <w:rsid w:val="00203267"/>
    <w:rsid w:val="002040E1"/>
    <w:rsid w:val="00204398"/>
    <w:rsid w:val="00204BB8"/>
    <w:rsid w:val="00206815"/>
    <w:rsid w:val="00206973"/>
    <w:rsid w:val="00210602"/>
    <w:rsid w:val="002113AD"/>
    <w:rsid w:val="00211AE5"/>
    <w:rsid w:val="00212303"/>
    <w:rsid w:val="00212F35"/>
    <w:rsid w:val="00214ACA"/>
    <w:rsid w:val="00214B0D"/>
    <w:rsid w:val="00214F80"/>
    <w:rsid w:val="0021616E"/>
    <w:rsid w:val="0021787C"/>
    <w:rsid w:val="00222D38"/>
    <w:rsid w:val="0022382F"/>
    <w:rsid w:val="002250DD"/>
    <w:rsid w:val="00225541"/>
    <w:rsid w:val="00225622"/>
    <w:rsid w:val="00225848"/>
    <w:rsid w:val="00227A6E"/>
    <w:rsid w:val="00231AAA"/>
    <w:rsid w:val="00232206"/>
    <w:rsid w:val="00232619"/>
    <w:rsid w:val="002336BB"/>
    <w:rsid w:val="00233CD6"/>
    <w:rsid w:val="002345E1"/>
    <w:rsid w:val="002355F5"/>
    <w:rsid w:val="00240166"/>
    <w:rsid w:val="00241120"/>
    <w:rsid w:val="00242905"/>
    <w:rsid w:val="00243039"/>
    <w:rsid w:val="00244F5E"/>
    <w:rsid w:val="0024551B"/>
    <w:rsid w:val="00246E3D"/>
    <w:rsid w:val="002473C7"/>
    <w:rsid w:val="0024769A"/>
    <w:rsid w:val="00250113"/>
    <w:rsid w:val="00253CB7"/>
    <w:rsid w:val="00254D04"/>
    <w:rsid w:val="002554E0"/>
    <w:rsid w:val="00255791"/>
    <w:rsid w:val="00256D0A"/>
    <w:rsid w:val="002578A9"/>
    <w:rsid w:val="00260166"/>
    <w:rsid w:val="002613CC"/>
    <w:rsid w:val="0026507D"/>
    <w:rsid w:val="0026644E"/>
    <w:rsid w:val="00266F75"/>
    <w:rsid w:val="002677DC"/>
    <w:rsid w:val="00271BCE"/>
    <w:rsid w:val="0027280E"/>
    <w:rsid w:val="00273802"/>
    <w:rsid w:val="00273808"/>
    <w:rsid w:val="00274B57"/>
    <w:rsid w:val="00274CB2"/>
    <w:rsid w:val="002819C1"/>
    <w:rsid w:val="00282018"/>
    <w:rsid w:val="00283862"/>
    <w:rsid w:val="002856A9"/>
    <w:rsid w:val="002856C9"/>
    <w:rsid w:val="00291B14"/>
    <w:rsid w:val="0029213D"/>
    <w:rsid w:val="00293892"/>
    <w:rsid w:val="00293D7B"/>
    <w:rsid w:val="0029524C"/>
    <w:rsid w:val="002A09D9"/>
    <w:rsid w:val="002A0AC4"/>
    <w:rsid w:val="002A2CA2"/>
    <w:rsid w:val="002A3AD2"/>
    <w:rsid w:val="002A4164"/>
    <w:rsid w:val="002A655D"/>
    <w:rsid w:val="002A6B21"/>
    <w:rsid w:val="002A6E66"/>
    <w:rsid w:val="002A6FAB"/>
    <w:rsid w:val="002B0234"/>
    <w:rsid w:val="002B0577"/>
    <w:rsid w:val="002B068C"/>
    <w:rsid w:val="002B29C9"/>
    <w:rsid w:val="002B3847"/>
    <w:rsid w:val="002B479A"/>
    <w:rsid w:val="002B521C"/>
    <w:rsid w:val="002B630A"/>
    <w:rsid w:val="002B6A2D"/>
    <w:rsid w:val="002B7786"/>
    <w:rsid w:val="002B7B3F"/>
    <w:rsid w:val="002C377A"/>
    <w:rsid w:val="002C3E4B"/>
    <w:rsid w:val="002C5982"/>
    <w:rsid w:val="002C5B5D"/>
    <w:rsid w:val="002C6B54"/>
    <w:rsid w:val="002D2E25"/>
    <w:rsid w:val="002D450F"/>
    <w:rsid w:val="002D5C34"/>
    <w:rsid w:val="002D62CD"/>
    <w:rsid w:val="002D63A6"/>
    <w:rsid w:val="002D7AF9"/>
    <w:rsid w:val="002E184B"/>
    <w:rsid w:val="002E1DFF"/>
    <w:rsid w:val="002E3B59"/>
    <w:rsid w:val="002E4977"/>
    <w:rsid w:val="002E563D"/>
    <w:rsid w:val="002E5B4A"/>
    <w:rsid w:val="002E6B55"/>
    <w:rsid w:val="002E770B"/>
    <w:rsid w:val="002F0831"/>
    <w:rsid w:val="002F20BF"/>
    <w:rsid w:val="002F3747"/>
    <w:rsid w:val="002F423A"/>
    <w:rsid w:val="002F4391"/>
    <w:rsid w:val="002F619C"/>
    <w:rsid w:val="003003E5"/>
    <w:rsid w:val="00300F67"/>
    <w:rsid w:val="00302077"/>
    <w:rsid w:val="00303F51"/>
    <w:rsid w:val="003058A7"/>
    <w:rsid w:val="003063C4"/>
    <w:rsid w:val="0030747A"/>
    <w:rsid w:val="00307819"/>
    <w:rsid w:val="00307B20"/>
    <w:rsid w:val="00311A83"/>
    <w:rsid w:val="00312145"/>
    <w:rsid w:val="003125D9"/>
    <w:rsid w:val="00313318"/>
    <w:rsid w:val="00313B8B"/>
    <w:rsid w:val="00313E15"/>
    <w:rsid w:val="00313F84"/>
    <w:rsid w:val="00314D78"/>
    <w:rsid w:val="00315F5F"/>
    <w:rsid w:val="003164D6"/>
    <w:rsid w:val="00316572"/>
    <w:rsid w:val="003170FD"/>
    <w:rsid w:val="003171A1"/>
    <w:rsid w:val="00317840"/>
    <w:rsid w:val="003217DD"/>
    <w:rsid w:val="0032389B"/>
    <w:rsid w:val="0032414D"/>
    <w:rsid w:val="00325CEE"/>
    <w:rsid w:val="003262BC"/>
    <w:rsid w:val="003301C7"/>
    <w:rsid w:val="003348DE"/>
    <w:rsid w:val="00335C3B"/>
    <w:rsid w:val="0033745F"/>
    <w:rsid w:val="003374C5"/>
    <w:rsid w:val="00340841"/>
    <w:rsid w:val="00340ABA"/>
    <w:rsid w:val="00347886"/>
    <w:rsid w:val="00350CDE"/>
    <w:rsid w:val="003524CD"/>
    <w:rsid w:val="00355316"/>
    <w:rsid w:val="00356E7E"/>
    <w:rsid w:val="003600A0"/>
    <w:rsid w:val="00361025"/>
    <w:rsid w:val="00362005"/>
    <w:rsid w:val="003639C5"/>
    <w:rsid w:val="00364E21"/>
    <w:rsid w:val="0036514A"/>
    <w:rsid w:val="003668A9"/>
    <w:rsid w:val="00366CAF"/>
    <w:rsid w:val="003728AB"/>
    <w:rsid w:val="003735B8"/>
    <w:rsid w:val="0037385E"/>
    <w:rsid w:val="0037438C"/>
    <w:rsid w:val="00376CC0"/>
    <w:rsid w:val="00381DB3"/>
    <w:rsid w:val="00382C97"/>
    <w:rsid w:val="00382E46"/>
    <w:rsid w:val="00382F6B"/>
    <w:rsid w:val="00384D1D"/>
    <w:rsid w:val="00386600"/>
    <w:rsid w:val="003868C8"/>
    <w:rsid w:val="0039185E"/>
    <w:rsid w:val="00392A04"/>
    <w:rsid w:val="00392A84"/>
    <w:rsid w:val="003945B9"/>
    <w:rsid w:val="00394CE6"/>
    <w:rsid w:val="00394F3D"/>
    <w:rsid w:val="003963BF"/>
    <w:rsid w:val="00396E38"/>
    <w:rsid w:val="00397FFB"/>
    <w:rsid w:val="003A05BF"/>
    <w:rsid w:val="003A2CE2"/>
    <w:rsid w:val="003A2F1B"/>
    <w:rsid w:val="003A4118"/>
    <w:rsid w:val="003A4E79"/>
    <w:rsid w:val="003A5C96"/>
    <w:rsid w:val="003A5D21"/>
    <w:rsid w:val="003A62C8"/>
    <w:rsid w:val="003A65DB"/>
    <w:rsid w:val="003A7568"/>
    <w:rsid w:val="003A7970"/>
    <w:rsid w:val="003B3B61"/>
    <w:rsid w:val="003B3C83"/>
    <w:rsid w:val="003B4A87"/>
    <w:rsid w:val="003B4EF8"/>
    <w:rsid w:val="003B5B9F"/>
    <w:rsid w:val="003B7302"/>
    <w:rsid w:val="003C1E30"/>
    <w:rsid w:val="003C2191"/>
    <w:rsid w:val="003C463C"/>
    <w:rsid w:val="003C65DF"/>
    <w:rsid w:val="003C66E4"/>
    <w:rsid w:val="003C6DF7"/>
    <w:rsid w:val="003C7FAD"/>
    <w:rsid w:val="003D0103"/>
    <w:rsid w:val="003D3E32"/>
    <w:rsid w:val="003D5349"/>
    <w:rsid w:val="003D53EC"/>
    <w:rsid w:val="003D62F8"/>
    <w:rsid w:val="003D6BC6"/>
    <w:rsid w:val="003E0A49"/>
    <w:rsid w:val="003E0E14"/>
    <w:rsid w:val="003E38A9"/>
    <w:rsid w:val="003E52FE"/>
    <w:rsid w:val="003E5BF5"/>
    <w:rsid w:val="003E6258"/>
    <w:rsid w:val="003E6C41"/>
    <w:rsid w:val="003E7506"/>
    <w:rsid w:val="003E7BB7"/>
    <w:rsid w:val="003F1563"/>
    <w:rsid w:val="003F17A4"/>
    <w:rsid w:val="003F1CB4"/>
    <w:rsid w:val="003F4A0A"/>
    <w:rsid w:val="003F618B"/>
    <w:rsid w:val="003F77CA"/>
    <w:rsid w:val="0040039A"/>
    <w:rsid w:val="004035F4"/>
    <w:rsid w:val="00403C92"/>
    <w:rsid w:val="00404337"/>
    <w:rsid w:val="00407E8E"/>
    <w:rsid w:val="0041169A"/>
    <w:rsid w:val="00413710"/>
    <w:rsid w:val="00413C2E"/>
    <w:rsid w:val="004146AD"/>
    <w:rsid w:val="0041500E"/>
    <w:rsid w:val="00417B9A"/>
    <w:rsid w:val="004204A3"/>
    <w:rsid w:val="00421281"/>
    <w:rsid w:val="00423B32"/>
    <w:rsid w:val="00424693"/>
    <w:rsid w:val="00424B04"/>
    <w:rsid w:val="00426D9D"/>
    <w:rsid w:val="004273F9"/>
    <w:rsid w:val="00431E14"/>
    <w:rsid w:val="0043433C"/>
    <w:rsid w:val="004345C0"/>
    <w:rsid w:val="00436077"/>
    <w:rsid w:val="00436354"/>
    <w:rsid w:val="00440105"/>
    <w:rsid w:val="004425B1"/>
    <w:rsid w:val="004436A8"/>
    <w:rsid w:val="00443A27"/>
    <w:rsid w:val="0044567B"/>
    <w:rsid w:val="00450FB8"/>
    <w:rsid w:val="00451455"/>
    <w:rsid w:val="00451CF6"/>
    <w:rsid w:val="004526E0"/>
    <w:rsid w:val="00452947"/>
    <w:rsid w:val="00454BEB"/>
    <w:rsid w:val="0045675C"/>
    <w:rsid w:val="00460E42"/>
    <w:rsid w:val="0046104B"/>
    <w:rsid w:val="004619AD"/>
    <w:rsid w:val="00462907"/>
    <w:rsid w:val="00467CDF"/>
    <w:rsid w:val="00472FF2"/>
    <w:rsid w:val="00473479"/>
    <w:rsid w:val="00473AFF"/>
    <w:rsid w:val="004754BB"/>
    <w:rsid w:val="00476FA4"/>
    <w:rsid w:val="00480675"/>
    <w:rsid w:val="004810E3"/>
    <w:rsid w:val="0048158E"/>
    <w:rsid w:val="00482413"/>
    <w:rsid w:val="00482439"/>
    <w:rsid w:val="004832D5"/>
    <w:rsid w:val="0048499B"/>
    <w:rsid w:val="00484B74"/>
    <w:rsid w:val="004865B3"/>
    <w:rsid w:val="00486E73"/>
    <w:rsid w:val="00490E84"/>
    <w:rsid w:val="00491E02"/>
    <w:rsid w:val="004938A3"/>
    <w:rsid w:val="00494829"/>
    <w:rsid w:val="0049697E"/>
    <w:rsid w:val="004A1917"/>
    <w:rsid w:val="004A73B6"/>
    <w:rsid w:val="004A7839"/>
    <w:rsid w:val="004B5403"/>
    <w:rsid w:val="004B7000"/>
    <w:rsid w:val="004B7E45"/>
    <w:rsid w:val="004C2188"/>
    <w:rsid w:val="004C772F"/>
    <w:rsid w:val="004D0CA4"/>
    <w:rsid w:val="004D663B"/>
    <w:rsid w:val="004D7306"/>
    <w:rsid w:val="004D787A"/>
    <w:rsid w:val="004D7DE9"/>
    <w:rsid w:val="004E0F05"/>
    <w:rsid w:val="004E1890"/>
    <w:rsid w:val="004E297E"/>
    <w:rsid w:val="004E4D88"/>
    <w:rsid w:val="004E5E3C"/>
    <w:rsid w:val="004E61F7"/>
    <w:rsid w:val="004F1528"/>
    <w:rsid w:val="004F6E3B"/>
    <w:rsid w:val="00501F30"/>
    <w:rsid w:val="005063E7"/>
    <w:rsid w:val="00507498"/>
    <w:rsid w:val="00507B10"/>
    <w:rsid w:val="005101D5"/>
    <w:rsid w:val="00512392"/>
    <w:rsid w:val="005126BA"/>
    <w:rsid w:val="00516DBB"/>
    <w:rsid w:val="00517099"/>
    <w:rsid w:val="00517BBB"/>
    <w:rsid w:val="0052342F"/>
    <w:rsid w:val="00527E75"/>
    <w:rsid w:val="005308F1"/>
    <w:rsid w:val="00532167"/>
    <w:rsid w:val="00532DC5"/>
    <w:rsid w:val="005330F3"/>
    <w:rsid w:val="00534D24"/>
    <w:rsid w:val="00535E8E"/>
    <w:rsid w:val="00536701"/>
    <w:rsid w:val="00536B82"/>
    <w:rsid w:val="005416AC"/>
    <w:rsid w:val="00543075"/>
    <w:rsid w:val="005439D2"/>
    <w:rsid w:val="00545BF6"/>
    <w:rsid w:val="00551097"/>
    <w:rsid w:val="005528FF"/>
    <w:rsid w:val="00552DC0"/>
    <w:rsid w:val="00555BF8"/>
    <w:rsid w:val="00555E5D"/>
    <w:rsid w:val="00560D65"/>
    <w:rsid w:val="00562176"/>
    <w:rsid w:val="00565660"/>
    <w:rsid w:val="00565B83"/>
    <w:rsid w:val="005669FB"/>
    <w:rsid w:val="005710AA"/>
    <w:rsid w:val="00573DDD"/>
    <w:rsid w:val="00574DFC"/>
    <w:rsid w:val="005750F4"/>
    <w:rsid w:val="00576480"/>
    <w:rsid w:val="00576728"/>
    <w:rsid w:val="00577166"/>
    <w:rsid w:val="005772F9"/>
    <w:rsid w:val="005777E0"/>
    <w:rsid w:val="00577988"/>
    <w:rsid w:val="00580100"/>
    <w:rsid w:val="00580FD7"/>
    <w:rsid w:val="00582CD3"/>
    <w:rsid w:val="00583587"/>
    <w:rsid w:val="005859E4"/>
    <w:rsid w:val="0058788F"/>
    <w:rsid w:val="00587FAA"/>
    <w:rsid w:val="00591A32"/>
    <w:rsid w:val="005963E0"/>
    <w:rsid w:val="0059728A"/>
    <w:rsid w:val="005A16FF"/>
    <w:rsid w:val="005A2032"/>
    <w:rsid w:val="005A2114"/>
    <w:rsid w:val="005A408D"/>
    <w:rsid w:val="005A5E67"/>
    <w:rsid w:val="005B08F4"/>
    <w:rsid w:val="005B1B1A"/>
    <w:rsid w:val="005B2FA4"/>
    <w:rsid w:val="005B3C21"/>
    <w:rsid w:val="005B6C09"/>
    <w:rsid w:val="005B6D21"/>
    <w:rsid w:val="005C2D6C"/>
    <w:rsid w:val="005C4CB9"/>
    <w:rsid w:val="005D3577"/>
    <w:rsid w:val="005D3667"/>
    <w:rsid w:val="005D3CFC"/>
    <w:rsid w:val="005D3EC2"/>
    <w:rsid w:val="005D76FF"/>
    <w:rsid w:val="005D79E1"/>
    <w:rsid w:val="005E2997"/>
    <w:rsid w:val="005E4B21"/>
    <w:rsid w:val="005E518E"/>
    <w:rsid w:val="005E53D8"/>
    <w:rsid w:val="005E6696"/>
    <w:rsid w:val="005F01B6"/>
    <w:rsid w:val="005F3811"/>
    <w:rsid w:val="005F5852"/>
    <w:rsid w:val="00604703"/>
    <w:rsid w:val="006063E3"/>
    <w:rsid w:val="00610F5F"/>
    <w:rsid w:val="00611A6F"/>
    <w:rsid w:val="0061311D"/>
    <w:rsid w:val="0061375B"/>
    <w:rsid w:val="00613A55"/>
    <w:rsid w:val="006151F9"/>
    <w:rsid w:val="006152D5"/>
    <w:rsid w:val="00615517"/>
    <w:rsid w:val="0061616B"/>
    <w:rsid w:val="006178A5"/>
    <w:rsid w:val="00620D55"/>
    <w:rsid w:val="00621E2F"/>
    <w:rsid w:val="00622B07"/>
    <w:rsid w:val="00622C59"/>
    <w:rsid w:val="006251CD"/>
    <w:rsid w:val="00626BB8"/>
    <w:rsid w:val="0062741F"/>
    <w:rsid w:val="006275D5"/>
    <w:rsid w:val="0062768D"/>
    <w:rsid w:val="006279F8"/>
    <w:rsid w:val="00631749"/>
    <w:rsid w:val="00632A78"/>
    <w:rsid w:val="006350FC"/>
    <w:rsid w:val="006358D4"/>
    <w:rsid w:val="006358F9"/>
    <w:rsid w:val="00635CBC"/>
    <w:rsid w:val="00635FBD"/>
    <w:rsid w:val="00641BE5"/>
    <w:rsid w:val="0064258F"/>
    <w:rsid w:val="006434FC"/>
    <w:rsid w:val="00646C11"/>
    <w:rsid w:val="0065180F"/>
    <w:rsid w:val="00655316"/>
    <w:rsid w:val="0065708D"/>
    <w:rsid w:val="00657431"/>
    <w:rsid w:val="0066133B"/>
    <w:rsid w:val="00666784"/>
    <w:rsid w:val="006667CC"/>
    <w:rsid w:val="00667B2A"/>
    <w:rsid w:val="00671798"/>
    <w:rsid w:val="0067185A"/>
    <w:rsid w:val="006742B5"/>
    <w:rsid w:val="006748D6"/>
    <w:rsid w:val="006759EF"/>
    <w:rsid w:val="0068029B"/>
    <w:rsid w:val="00681D98"/>
    <w:rsid w:val="006833B2"/>
    <w:rsid w:val="00685512"/>
    <w:rsid w:val="006861E5"/>
    <w:rsid w:val="0069231B"/>
    <w:rsid w:val="00693B06"/>
    <w:rsid w:val="006966CC"/>
    <w:rsid w:val="00696A16"/>
    <w:rsid w:val="0069739E"/>
    <w:rsid w:val="00697906"/>
    <w:rsid w:val="006A01E2"/>
    <w:rsid w:val="006A1233"/>
    <w:rsid w:val="006A27A0"/>
    <w:rsid w:val="006A2D04"/>
    <w:rsid w:val="006A2E11"/>
    <w:rsid w:val="006A3BE1"/>
    <w:rsid w:val="006A4FF6"/>
    <w:rsid w:val="006A58A1"/>
    <w:rsid w:val="006A7C93"/>
    <w:rsid w:val="006B3D3A"/>
    <w:rsid w:val="006B625D"/>
    <w:rsid w:val="006B6D68"/>
    <w:rsid w:val="006C1500"/>
    <w:rsid w:val="006C19EB"/>
    <w:rsid w:val="006C7260"/>
    <w:rsid w:val="006C7AB1"/>
    <w:rsid w:val="006C7EE0"/>
    <w:rsid w:val="006D1356"/>
    <w:rsid w:val="006D204E"/>
    <w:rsid w:val="006D3193"/>
    <w:rsid w:val="006D53E5"/>
    <w:rsid w:val="006D70B5"/>
    <w:rsid w:val="006D7841"/>
    <w:rsid w:val="006E0D3F"/>
    <w:rsid w:val="006E2A26"/>
    <w:rsid w:val="006E4075"/>
    <w:rsid w:val="006E76E0"/>
    <w:rsid w:val="006F2163"/>
    <w:rsid w:val="006F3339"/>
    <w:rsid w:val="006F4035"/>
    <w:rsid w:val="006F5316"/>
    <w:rsid w:val="006F713E"/>
    <w:rsid w:val="006F7340"/>
    <w:rsid w:val="006F7899"/>
    <w:rsid w:val="00700099"/>
    <w:rsid w:val="007006C0"/>
    <w:rsid w:val="00701499"/>
    <w:rsid w:val="00702345"/>
    <w:rsid w:val="007024BC"/>
    <w:rsid w:val="00703624"/>
    <w:rsid w:val="00704029"/>
    <w:rsid w:val="00706824"/>
    <w:rsid w:val="007068F5"/>
    <w:rsid w:val="00707C37"/>
    <w:rsid w:val="00710031"/>
    <w:rsid w:val="007106E6"/>
    <w:rsid w:val="00710F8C"/>
    <w:rsid w:val="00711209"/>
    <w:rsid w:val="00711E04"/>
    <w:rsid w:val="00713EF3"/>
    <w:rsid w:val="00715EE3"/>
    <w:rsid w:val="00717CDD"/>
    <w:rsid w:val="00722290"/>
    <w:rsid w:val="007263A6"/>
    <w:rsid w:val="007271E4"/>
    <w:rsid w:val="007277E1"/>
    <w:rsid w:val="00732609"/>
    <w:rsid w:val="00732BD4"/>
    <w:rsid w:val="0073479A"/>
    <w:rsid w:val="00735056"/>
    <w:rsid w:val="0073552F"/>
    <w:rsid w:val="00735CF5"/>
    <w:rsid w:val="0073644D"/>
    <w:rsid w:val="007367EA"/>
    <w:rsid w:val="00740440"/>
    <w:rsid w:val="00740495"/>
    <w:rsid w:val="007412BB"/>
    <w:rsid w:val="00742B7C"/>
    <w:rsid w:val="007435A6"/>
    <w:rsid w:val="00743F54"/>
    <w:rsid w:val="007448E4"/>
    <w:rsid w:val="00744E28"/>
    <w:rsid w:val="0074547A"/>
    <w:rsid w:val="0074617F"/>
    <w:rsid w:val="007468E1"/>
    <w:rsid w:val="00751CE7"/>
    <w:rsid w:val="007526FB"/>
    <w:rsid w:val="00753E98"/>
    <w:rsid w:val="00754424"/>
    <w:rsid w:val="00755438"/>
    <w:rsid w:val="00756AA9"/>
    <w:rsid w:val="007573A4"/>
    <w:rsid w:val="00757FAD"/>
    <w:rsid w:val="007635DC"/>
    <w:rsid w:val="0076495D"/>
    <w:rsid w:val="007669B3"/>
    <w:rsid w:val="0077023C"/>
    <w:rsid w:val="007724C5"/>
    <w:rsid w:val="0077255E"/>
    <w:rsid w:val="0077667B"/>
    <w:rsid w:val="00777E5C"/>
    <w:rsid w:val="0078064B"/>
    <w:rsid w:val="00782E04"/>
    <w:rsid w:val="00782F9C"/>
    <w:rsid w:val="00783E17"/>
    <w:rsid w:val="00784CE4"/>
    <w:rsid w:val="00785AC1"/>
    <w:rsid w:val="0079008F"/>
    <w:rsid w:val="00790D7A"/>
    <w:rsid w:val="007913CC"/>
    <w:rsid w:val="007919DD"/>
    <w:rsid w:val="00792016"/>
    <w:rsid w:val="00793185"/>
    <w:rsid w:val="00793874"/>
    <w:rsid w:val="007942B1"/>
    <w:rsid w:val="00795E9C"/>
    <w:rsid w:val="00796906"/>
    <w:rsid w:val="0079690B"/>
    <w:rsid w:val="007977E2"/>
    <w:rsid w:val="00797F4A"/>
    <w:rsid w:val="007B1B6E"/>
    <w:rsid w:val="007B326B"/>
    <w:rsid w:val="007B45B4"/>
    <w:rsid w:val="007B4DFD"/>
    <w:rsid w:val="007B5BB2"/>
    <w:rsid w:val="007B5BC5"/>
    <w:rsid w:val="007B7547"/>
    <w:rsid w:val="007C00DF"/>
    <w:rsid w:val="007C0692"/>
    <w:rsid w:val="007C6CE0"/>
    <w:rsid w:val="007D045D"/>
    <w:rsid w:val="007D1A94"/>
    <w:rsid w:val="007D2600"/>
    <w:rsid w:val="007D3745"/>
    <w:rsid w:val="007D39CD"/>
    <w:rsid w:val="007D3A57"/>
    <w:rsid w:val="007D456A"/>
    <w:rsid w:val="007D4814"/>
    <w:rsid w:val="007D4D72"/>
    <w:rsid w:val="007D4F5B"/>
    <w:rsid w:val="007D4FE0"/>
    <w:rsid w:val="007D4FEC"/>
    <w:rsid w:val="007D7405"/>
    <w:rsid w:val="007D7652"/>
    <w:rsid w:val="007D7731"/>
    <w:rsid w:val="007D7BF9"/>
    <w:rsid w:val="007D7DE4"/>
    <w:rsid w:val="007E14D1"/>
    <w:rsid w:val="007E252B"/>
    <w:rsid w:val="007E2907"/>
    <w:rsid w:val="007E37B2"/>
    <w:rsid w:val="007E5315"/>
    <w:rsid w:val="007E5CFD"/>
    <w:rsid w:val="007E5EEC"/>
    <w:rsid w:val="007F3685"/>
    <w:rsid w:val="007F6ED1"/>
    <w:rsid w:val="00801547"/>
    <w:rsid w:val="00810FAC"/>
    <w:rsid w:val="00810FE7"/>
    <w:rsid w:val="0081153F"/>
    <w:rsid w:val="008121DB"/>
    <w:rsid w:val="008150EF"/>
    <w:rsid w:val="00815FE7"/>
    <w:rsid w:val="008160DF"/>
    <w:rsid w:val="008167B5"/>
    <w:rsid w:val="00821844"/>
    <w:rsid w:val="008238B6"/>
    <w:rsid w:val="008239F5"/>
    <w:rsid w:val="008241A0"/>
    <w:rsid w:val="008245F7"/>
    <w:rsid w:val="00824C85"/>
    <w:rsid w:val="00827E69"/>
    <w:rsid w:val="008330A6"/>
    <w:rsid w:val="0083387D"/>
    <w:rsid w:val="00834077"/>
    <w:rsid w:val="0083419D"/>
    <w:rsid w:val="00835775"/>
    <w:rsid w:val="00835B3B"/>
    <w:rsid w:val="00836844"/>
    <w:rsid w:val="00837E85"/>
    <w:rsid w:val="00837EDB"/>
    <w:rsid w:val="00843798"/>
    <w:rsid w:val="00846754"/>
    <w:rsid w:val="00847AF1"/>
    <w:rsid w:val="00847C1F"/>
    <w:rsid w:val="0085052D"/>
    <w:rsid w:val="00850BB4"/>
    <w:rsid w:val="008560F5"/>
    <w:rsid w:val="00857B67"/>
    <w:rsid w:val="00860F94"/>
    <w:rsid w:val="0086290C"/>
    <w:rsid w:val="008649F7"/>
    <w:rsid w:val="00865762"/>
    <w:rsid w:val="0086597E"/>
    <w:rsid w:val="008659B9"/>
    <w:rsid w:val="00867818"/>
    <w:rsid w:val="008703E6"/>
    <w:rsid w:val="0087090D"/>
    <w:rsid w:val="00870939"/>
    <w:rsid w:val="00870C6B"/>
    <w:rsid w:val="00871FF4"/>
    <w:rsid w:val="00873376"/>
    <w:rsid w:val="00875399"/>
    <w:rsid w:val="008779BB"/>
    <w:rsid w:val="00881D7F"/>
    <w:rsid w:val="008848E8"/>
    <w:rsid w:val="00884AB2"/>
    <w:rsid w:val="008869A9"/>
    <w:rsid w:val="00887BC4"/>
    <w:rsid w:val="00893D99"/>
    <w:rsid w:val="008950E4"/>
    <w:rsid w:val="00896CD5"/>
    <w:rsid w:val="00896F44"/>
    <w:rsid w:val="008973E4"/>
    <w:rsid w:val="0089763F"/>
    <w:rsid w:val="00897EFE"/>
    <w:rsid w:val="00897FBD"/>
    <w:rsid w:val="008A0170"/>
    <w:rsid w:val="008A0F73"/>
    <w:rsid w:val="008A2064"/>
    <w:rsid w:val="008A28B0"/>
    <w:rsid w:val="008A3497"/>
    <w:rsid w:val="008A4A1E"/>
    <w:rsid w:val="008A63F3"/>
    <w:rsid w:val="008A6477"/>
    <w:rsid w:val="008A64CB"/>
    <w:rsid w:val="008A7E6F"/>
    <w:rsid w:val="008C15C0"/>
    <w:rsid w:val="008C1708"/>
    <w:rsid w:val="008C3167"/>
    <w:rsid w:val="008C335D"/>
    <w:rsid w:val="008C4FA7"/>
    <w:rsid w:val="008C75E0"/>
    <w:rsid w:val="008D1558"/>
    <w:rsid w:val="008D2CD0"/>
    <w:rsid w:val="008D316C"/>
    <w:rsid w:val="008D6B00"/>
    <w:rsid w:val="008D7464"/>
    <w:rsid w:val="008E1459"/>
    <w:rsid w:val="008E16CB"/>
    <w:rsid w:val="008E1B90"/>
    <w:rsid w:val="008E29B7"/>
    <w:rsid w:val="008E2EAC"/>
    <w:rsid w:val="008E46EE"/>
    <w:rsid w:val="008F0FA2"/>
    <w:rsid w:val="008F26CB"/>
    <w:rsid w:val="008F2BD8"/>
    <w:rsid w:val="008F40F5"/>
    <w:rsid w:val="008F414A"/>
    <w:rsid w:val="008F5250"/>
    <w:rsid w:val="008F539A"/>
    <w:rsid w:val="008F5781"/>
    <w:rsid w:val="008F5ACF"/>
    <w:rsid w:val="008F7599"/>
    <w:rsid w:val="009040C4"/>
    <w:rsid w:val="00904F7C"/>
    <w:rsid w:val="00910AE3"/>
    <w:rsid w:val="00910DD4"/>
    <w:rsid w:val="00911302"/>
    <w:rsid w:val="009132A5"/>
    <w:rsid w:val="00913491"/>
    <w:rsid w:val="00913B51"/>
    <w:rsid w:val="00913D09"/>
    <w:rsid w:val="00915F2E"/>
    <w:rsid w:val="0091690B"/>
    <w:rsid w:val="00917BE4"/>
    <w:rsid w:val="0092004B"/>
    <w:rsid w:val="00921B2F"/>
    <w:rsid w:val="00924368"/>
    <w:rsid w:val="00927072"/>
    <w:rsid w:val="00927C82"/>
    <w:rsid w:val="00930254"/>
    <w:rsid w:val="009316A4"/>
    <w:rsid w:val="0093219F"/>
    <w:rsid w:val="00937B64"/>
    <w:rsid w:val="009411B3"/>
    <w:rsid w:val="00943535"/>
    <w:rsid w:val="00943E2F"/>
    <w:rsid w:val="00945803"/>
    <w:rsid w:val="00947B11"/>
    <w:rsid w:val="00950ED1"/>
    <w:rsid w:val="00951760"/>
    <w:rsid w:val="009522ED"/>
    <w:rsid w:val="00952CB6"/>
    <w:rsid w:val="009534E6"/>
    <w:rsid w:val="00955A0A"/>
    <w:rsid w:val="0095646B"/>
    <w:rsid w:val="00957D83"/>
    <w:rsid w:val="0096161D"/>
    <w:rsid w:val="009636B3"/>
    <w:rsid w:val="0096449F"/>
    <w:rsid w:val="00964784"/>
    <w:rsid w:val="009672B4"/>
    <w:rsid w:val="009676E5"/>
    <w:rsid w:val="00971262"/>
    <w:rsid w:val="009722D8"/>
    <w:rsid w:val="00974E93"/>
    <w:rsid w:val="00975561"/>
    <w:rsid w:val="009758EA"/>
    <w:rsid w:val="00975C23"/>
    <w:rsid w:val="009844CB"/>
    <w:rsid w:val="0098665C"/>
    <w:rsid w:val="00990287"/>
    <w:rsid w:val="0099144E"/>
    <w:rsid w:val="0099147A"/>
    <w:rsid w:val="00993819"/>
    <w:rsid w:val="00993E0F"/>
    <w:rsid w:val="00994314"/>
    <w:rsid w:val="00995978"/>
    <w:rsid w:val="009A02F7"/>
    <w:rsid w:val="009A0869"/>
    <w:rsid w:val="009A2A26"/>
    <w:rsid w:val="009A69B3"/>
    <w:rsid w:val="009A7BEC"/>
    <w:rsid w:val="009A7DFB"/>
    <w:rsid w:val="009B09DE"/>
    <w:rsid w:val="009B0CBC"/>
    <w:rsid w:val="009B2DDD"/>
    <w:rsid w:val="009B3AC2"/>
    <w:rsid w:val="009B3D74"/>
    <w:rsid w:val="009B4A8D"/>
    <w:rsid w:val="009B4DF9"/>
    <w:rsid w:val="009B794A"/>
    <w:rsid w:val="009C7A3D"/>
    <w:rsid w:val="009C7E6C"/>
    <w:rsid w:val="009D0760"/>
    <w:rsid w:val="009D1463"/>
    <w:rsid w:val="009D1472"/>
    <w:rsid w:val="009D2741"/>
    <w:rsid w:val="009D2B69"/>
    <w:rsid w:val="009D492B"/>
    <w:rsid w:val="009E230D"/>
    <w:rsid w:val="009E4DA8"/>
    <w:rsid w:val="009E511D"/>
    <w:rsid w:val="009E77E6"/>
    <w:rsid w:val="009F052B"/>
    <w:rsid w:val="009F0594"/>
    <w:rsid w:val="009F105F"/>
    <w:rsid w:val="009F1259"/>
    <w:rsid w:val="009F1389"/>
    <w:rsid w:val="009F18E2"/>
    <w:rsid w:val="009F2745"/>
    <w:rsid w:val="009F29C3"/>
    <w:rsid w:val="009F693D"/>
    <w:rsid w:val="009F7E89"/>
    <w:rsid w:val="00A0176F"/>
    <w:rsid w:val="00A020F4"/>
    <w:rsid w:val="00A07AD6"/>
    <w:rsid w:val="00A109E5"/>
    <w:rsid w:val="00A1658E"/>
    <w:rsid w:val="00A172CE"/>
    <w:rsid w:val="00A307BA"/>
    <w:rsid w:val="00A318A3"/>
    <w:rsid w:val="00A320A7"/>
    <w:rsid w:val="00A343C2"/>
    <w:rsid w:val="00A36E07"/>
    <w:rsid w:val="00A3753C"/>
    <w:rsid w:val="00A41567"/>
    <w:rsid w:val="00A433BF"/>
    <w:rsid w:val="00A44711"/>
    <w:rsid w:val="00A4545C"/>
    <w:rsid w:val="00A45792"/>
    <w:rsid w:val="00A50369"/>
    <w:rsid w:val="00A51AEE"/>
    <w:rsid w:val="00A51E30"/>
    <w:rsid w:val="00A5215C"/>
    <w:rsid w:val="00A526FD"/>
    <w:rsid w:val="00A52920"/>
    <w:rsid w:val="00A53E7C"/>
    <w:rsid w:val="00A54D6C"/>
    <w:rsid w:val="00A5623F"/>
    <w:rsid w:val="00A56377"/>
    <w:rsid w:val="00A564CC"/>
    <w:rsid w:val="00A5779E"/>
    <w:rsid w:val="00A60021"/>
    <w:rsid w:val="00A62E8E"/>
    <w:rsid w:val="00A63E8B"/>
    <w:rsid w:val="00A64B93"/>
    <w:rsid w:val="00A65191"/>
    <w:rsid w:val="00A659A7"/>
    <w:rsid w:val="00A65BDA"/>
    <w:rsid w:val="00A71953"/>
    <w:rsid w:val="00A73B7B"/>
    <w:rsid w:val="00A74D84"/>
    <w:rsid w:val="00A74DDB"/>
    <w:rsid w:val="00A75ECC"/>
    <w:rsid w:val="00A81FE1"/>
    <w:rsid w:val="00A84976"/>
    <w:rsid w:val="00A85601"/>
    <w:rsid w:val="00A9187A"/>
    <w:rsid w:val="00A91A5A"/>
    <w:rsid w:val="00A9380E"/>
    <w:rsid w:val="00A9643D"/>
    <w:rsid w:val="00AA2E19"/>
    <w:rsid w:val="00AA552B"/>
    <w:rsid w:val="00AB391C"/>
    <w:rsid w:val="00AB5C47"/>
    <w:rsid w:val="00AB6FC3"/>
    <w:rsid w:val="00AB7FDA"/>
    <w:rsid w:val="00AC4FD7"/>
    <w:rsid w:val="00AC5203"/>
    <w:rsid w:val="00AC5CAE"/>
    <w:rsid w:val="00AC78A8"/>
    <w:rsid w:val="00AD0842"/>
    <w:rsid w:val="00AD41A2"/>
    <w:rsid w:val="00AD4D68"/>
    <w:rsid w:val="00AD6C6F"/>
    <w:rsid w:val="00AD71D7"/>
    <w:rsid w:val="00AD7A0F"/>
    <w:rsid w:val="00AE1278"/>
    <w:rsid w:val="00AE17CE"/>
    <w:rsid w:val="00AE2D93"/>
    <w:rsid w:val="00AE507B"/>
    <w:rsid w:val="00AE50ED"/>
    <w:rsid w:val="00AE5CB6"/>
    <w:rsid w:val="00AE6EB8"/>
    <w:rsid w:val="00AE78DF"/>
    <w:rsid w:val="00AE7C41"/>
    <w:rsid w:val="00AF110B"/>
    <w:rsid w:val="00AF1ACF"/>
    <w:rsid w:val="00AF3F39"/>
    <w:rsid w:val="00AF4680"/>
    <w:rsid w:val="00AF5EB7"/>
    <w:rsid w:val="00B00376"/>
    <w:rsid w:val="00B0147D"/>
    <w:rsid w:val="00B02679"/>
    <w:rsid w:val="00B03D35"/>
    <w:rsid w:val="00B05865"/>
    <w:rsid w:val="00B07CCD"/>
    <w:rsid w:val="00B10162"/>
    <w:rsid w:val="00B1298A"/>
    <w:rsid w:val="00B12BB6"/>
    <w:rsid w:val="00B1793F"/>
    <w:rsid w:val="00B23E66"/>
    <w:rsid w:val="00B32F3B"/>
    <w:rsid w:val="00B34026"/>
    <w:rsid w:val="00B353D1"/>
    <w:rsid w:val="00B4284A"/>
    <w:rsid w:val="00B4366B"/>
    <w:rsid w:val="00B43A8B"/>
    <w:rsid w:val="00B43D3F"/>
    <w:rsid w:val="00B45800"/>
    <w:rsid w:val="00B47B5A"/>
    <w:rsid w:val="00B50B74"/>
    <w:rsid w:val="00B50DE5"/>
    <w:rsid w:val="00B51A62"/>
    <w:rsid w:val="00B51A7C"/>
    <w:rsid w:val="00B52F6C"/>
    <w:rsid w:val="00B54861"/>
    <w:rsid w:val="00B55150"/>
    <w:rsid w:val="00B56C23"/>
    <w:rsid w:val="00B608A7"/>
    <w:rsid w:val="00B6100D"/>
    <w:rsid w:val="00B61579"/>
    <w:rsid w:val="00B61A99"/>
    <w:rsid w:val="00B61D0A"/>
    <w:rsid w:val="00B62699"/>
    <w:rsid w:val="00B631C0"/>
    <w:rsid w:val="00B638BF"/>
    <w:rsid w:val="00B67173"/>
    <w:rsid w:val="00B67D98"/>
    <w:rsid w:val="00B67E36"/>
    <w:rsid w:val="00B70C76"/>
    <w:rsid w:val="00B74686"/>
    <w:rsid w:val="00B76CF8"/>
    <w:rsid w:val="00B7704B"/>
    <w:rsid w:val="00B859E0"/>
    <w:rsid w:val="00B86592"/>
    <w:rsid w:val="00B86807"/>
    <w:rsid w:val="00B86C54"/>
    <w:rsid w:val="00B8745A"/>
    <w:rsid w:val="00B91158"/>
    <w:rsid w:val="00B932FA"/>
    <w:rsid w:val="00B953B2"/>
    <w:rsid w:val="00B95E76"/>
    <w:rsid w:val="00B96195"/>
    <w:rsid w:val="00B970A1"/>
    <w:rsid w:val="00B97B88"/>
    <w:rsid w:val="00BA1E17"/>
    <w:rsid w:val="00BA2E85"/>
    <w:rsid w:val="00BA32DD"/>
    <w:rsid w:val="00BA3D50"/>
    <w:rsid w:val="00BA467D"/>
    <w:rsid w:val="00BA5F33"/>
    <w:rsid w:val="00BB1770"/>
    <w:rsid w:val="00BB2413"/>
    <w:rsid w:val="00BB28DF"/>
    <w:rsid w:val="00BB4752"/>
    <w:rsid w:val="00BB4CFA"/>
    <w:rsid w:val="00BB6061"/>
    <w:rsid w:val="00BB616E"/>
    <w:rsid w:val="00BC10F9"/>
    <w:rsid w:val="00BC3ED0"/>
    <w:rsid w:val="00BC505C"/>
    <w:rsid w:val="00BC6664"/>
    <w:rsid w:val="00BD37BC"/>
    <w:rsid w:val="00BD4BBB"/>
    <w:rsid w:val="00BE19B7"/>
    <w:rsid w:val="00BE2C55"/>
    <w:rsid w:val="00BE3580"/>
    <w:rsid w:val="00BE5932"/>
    <w:rsid w:val="00BE693C"/>
    <w:rsid w:val="00BE79E3"/>
    <w:rsid w:val="00BF1154"/>
    <w:rsid w:val="00BF317C"/>
    <w:rsid w:val="00BF49E9"/>
    <w:rsid w:val="00C002CB"/>
    <w:rsid w:val="00C02738"/>
    <w:rsid w:val="00C03A64"/>
    <w:rsid w:val="00C04A17"/>
    <w:rsid w:val="00C053FA"/>
    <w:rsid w:val="00C061CE"/>
    <w:rsid w:val="00C1175E"/>
    <w:rsid w:val="00C132C3"/>
    <w:rsid w:val="00C151D9"/>
    <w:rsid w:val="00C21B17"/>
    <w:rsid w:val="00C2369A"/>
    <w:rsid w:val="00C23D6A"/>
    <w:rsid w:val="00C26798"/>
    <w:rsid w:val="00C31D90"/>
    <w:rsid w:val="00C329D9"/>
    <w:rsid w:val="00C32AAB"/>
    <w:rsid w:val="00C33139"/>
    <w:rsid w:val="00C366C0"/>
    <w:rsid w:val="00C37D0C"/>
    <w:rsid w:val="00C40440"/>
    <w:rsid w:val="00C40AA7"/>
    <w:rsid w:val="00C42F64"/>
    <w:rsid w:val="00C45A74"/>
    <w:rsid w:val="00C46C33"/>
    <w:rsid w:val="00C46F55"/>
    <w:rsid w:val="00C5107B"/>
    <w:rsid w:val="00C53428"/>
    <w:rsid w:val="00C54637"/>
    <w:rsid w:val="00C561B4"/>
    <w:rsid w:val="00C5635A"/>
    <w:rsid w:val="00C579FE"/>
    <w:rsid w:val="00C6045D"/>
    <w:rsid w:val="00C6058F"/>
    <w:rsid w:val="00C61AEB"/>
    <w:rsid w:val="00C61D60"/>
    <w:rsid w:val="00C626E1"/>
    <w:rsid w:val="00C64555"/>
    <w:rsid w:val="00C6533A"/>
    <w:rsid w:val="00C65F95"/>
    <w:rsid w:val="00C6630F"/>
    <w:rsid w:val="00C70975"/>
    <w:rsid w:val="00C7200F"/>
    <w:rsid w:val="00C7271B"/>
    <w:rsid w:val="00C735BD"/>
    <w:rsid w:val="00C7363C"/>
    <w:rsid w:val="00C756C1"/>
    <w:rsid w:val="00C75E0E"/>
    <w:rsid w:val="00C75F26"/>
    <w:rsid w:val="00C855E3"/>
    <w:rsid w:val="00C858A3"/>
    <w:rsid w:val="00C87891"/>
    <w:rsid w:val="00C91174"/>
    <w:rsid w:val="00C9350C"/>
    <w:rsid w:val="00C940FD"/>
    <w:rsid w:val="00C94E31"/>
    <w:rsid w:val="00C95445"/>
    <w:rsid w:val="00C95E10"/>
    <w:rsid w:val="00C97CF5"/>
    <w:rsid w:val="00CA1313"/>
    <w:rsid w:val="00CA1CF6"/>
    <w:rsid w:val="00CA2369"/>
    <w:rsid w:val="00CA2ACD"/>
    <w:rsid w:val="00CA3D9C"/>
    <w:rsid w:val="00CA4187"/>
    <w:rsid w:val="00CB075E"/>
    <w:rsid w:val="00CB2204"/>
    <w:rsid w:val="00CB2A37"/>
    <w:rsid w:val="00CB3DFC"/>
    <w:rsid w:val="00CB4A23"/>
    <w:rsid w:val="00CB64E5"/>
    <w:rsid w:val="00CB6D2A"/>
    <w:rsid w:val="00CB71B8"/>
    <w:rsid w:val="00CC06D8"/>
    <w:rsid w:val="00CC08D4"/>
    <w:rsid w:val="00CC406F"/>
    <w:rsid w:val="00CC41F7"/>
    <w:rsid w:val="00CC5879"/>
    <w:rsid w:val="00CC69CE"/>
    <w:rsid w:val="00CC6AC1"/>
    <w:rsid w:val="00CC6B93"/>
    <w:rsid w:val="00CC7110"/>
    <w:rsid w:val="00CC7ADB"/>
    <w:rsid w:val="00CD05FC"/>
    <w:rsid w:val="00CD1951"/>
    <w:rsid w:val="00CD20CE"/>
    <w:rsid w:val="00CD34E0"/>
    <w:rsid w:val="00CD5943"/>
    <w:rsid w:val="00CD5ED6"/>
    <w:rsid w:val="00CD5FC4"/>
    <w:rsid w:val="00CD6CCF"/>
    <w:rsid w:val="00CE120C"/>
    <w:rsid w:val="00CE223E"/>
    <w:rsid w:val="00CE3A97"/>
    <w:rsid w:val="00CE4425"/>
    <w:rsid w:val="00CE5FD5"/>
    <w:rsid w:val="00CE6A04"/>
    <w:rsid w:val="00CE78A7"/>
    <w:rsid w:val="00CF05D8"/>
    <w:rsid w:val="00CF0D92"/>
    <w:rsid w:val="00CF330C"/>
    <w:rsid w:val="00CF35DD"/>
    <w:rsid w:val="00CF56EF"/>
    <w:rsid w:val="00CF5A8F"/>
    <w:rsid w:val="00CF6B04"/>
    <w:rsid w:val="00CF6D0C"/>
    <w:rsid w:val="00CF74EB"/>
    <w:rsid w:val="00CF7A60"/>
    <w:rsid w:val="00D00EEA"/>
    <w:rsid w:val="00D01FA2"/>
    <w:rsid w:val="00D0368C"/>
    <w:rsid w:val="00D04981"/>
    <w:rsid w:val="00D057BA"/>
    <w:rsid w:val="00D057D1"/>
    <w:rsid w:val="00D061C1"/>
    <w:rsid w:val="00D119EF"/>
    <w:rsid w:val="00D13165"/>
    <w:rsid w:val="00D170A3"/>
    <w:rsid w:val="00D223AF"/>
    <w:rsid w:val="00D24B7C"/>
    <w:rsid w:val="00D3096E"/>
    <w:rsid w:val="00D3293B"/>
    <w:rsid w:val="00D34B08"/>
    <w:rsid w:val="00D357AA"/>
    <w:rsid w:val="00D36F09"/>
    <w:rsid w:val="00D37482"/>
    <w:rsid w:val="00D4007A"/>
    <w:rsid w:val="00D4207F"/>
    <w:rsid w:val="00D43CD2"/>
    <w:rsid w:val="00D50FEF"/>
    <w:rsid w:val="00D511AF"/>
    <w:rsid w:val="00D52DFD"/>
    <w:rsid w:val="00D54025"/>
    <w:rsid w:val="00D54BED"/>
    <w:rsid w:val="00D62A9D"/>
    <w:rsid w:val="00D6366A"/>
    <w:rsid w:val="00D63A80"/>
    <w:rsid w:val="00D644B9"/>
    <w:rsid w:val="00D702BE"/>
    <w:rsid w:val="00D716E9"/>
    <w:rsid w:val="00D71A00"/>
    <w:rsid w:val="00D72761"/>
    <w:rsid w:val="00D737C8"/>
    <w:rsid w:val="00D74D26"/>
    <w:rsid w:val="00D7660D"/>
    <w:rsid w:val="00D779BA"/>
    <w:rsid w:val="00D805CA"/>
    <w:rsid w:val="00D806EB"/>
    <w:rsid w:val="00D8146F"/>
    <w:rsid w:val="00D81C65"/>
    <w:rsid w:val="00D8311D"/>
    <w:rsid w:val="00D83E00"/>
    <w:rsid w:val="00D83F37"/>
    <w:rsid w:val="00D866D1"/>
    <w:rsid w:val="00D86C8A"/>
    <w:rsid w:val="00D925E7"/>
    <w:rsid w:val="00D933F9"/>
    <w:rsid w:val="00D96062"/>
    <w:rsid w:val="00D97680"/>
    <w:rsid w:val="00DA3912"/>
    <w:rsid w:val="00DA3C59"/>
    <w:rsid w:val="00DA4FE9"/>
    <w:rsid w:val="00DB18F4"/>
    <w:rsid w:val="00DB2575"/>
    <w:rsid w:val="00DB35CE"/>
    <w:rsid w:val="00DB3DEE"/>
    <w:rsid w:val="00DB3F51"/>
    <w:rsid w:val="00DB5F69"/>
    <w:rsid w:val="00DC015C"/>
    <w:rsid w:val="00DC3814"/>
    <w:rsid w:val="00DC3DA9"/>
    <w:rsid w:val="00DD0AB6"/>
    <w:rsid w:val="00DD1E6F"/>
    <w:rsid w:val="00DD24F7"/>
    <w:rsid w:val="00DD2BA6"/>
    <w:rsid w:val="00DD37A1"/>
    <w:rsid w:val="00DD51EF"/>
    <w:rsid w:val="00DD6235"/>
    <w:rsid w:val="00DD7E96"/>
    <w:rsid w:val="00DE1921"/>
    <w:rsid w:val="00DE3D08"/>
    <w:rsid w:val="00DE56B0"/>
    <w:rsid w:val="00DE75F7"/>
    <w:rsid w:val="00DF012C"/>
    <w:rsid w:val="00DF13C5"/>
    <w:rsid w:val="00DF5207"/>
    <w:rsid w:val="00DF6805"/>
    <w:rsid w:val="00DF73AA"/>
    <w:rsid w:val="00DF7A70"/>
    <w:rsid w:val="00E00EF6"/>
    <w:rsid w:val="00E01A33"/>
    <w:rsid w:val="00E03338"/>
    <w:rsid w:val="00E03852"/>
    <w:rsid w:val="00E0578D"/>
    <w:rsid w:val="00E05AC6"/>
    <w:rsid w:val="00E05C1F"/>
    <w:rsid w:val="00E078D5"/>
    <w:rsid w:val="00E07DB7"/>
    <w:rsid w:val="00E106EF"/>
    <w:rsid w:val="00E1343C"/>
    <w:rsid w:val="00E1629C"/>
    <w:rsid w:val="00E20408"/>
    <w:rsid w:val="00E21B4D"/>
    <w:rsid w:val="00E24CFF"/>
    <w:rsid w:val="00E264E5"/>
    <w:rsid w:val="00E273FC"/>
    <w:rsid w:val="00E309A8"/>
    <w:rsid w:val="00E310C7"/>
    <w:rsid w:val="00E3241E"/>
    <w:rsid w:val="00E345B6"/>
    <w:rsid w:val="00E34B9B"/>
    <w:rsid w:val="00E35B73"/>
    <w:rsid w:val="00E36198"/>
    <w:rsid w:val="00E40220"/>
    <w:rsid w:val="00E41A12"/>
    <w:rsid w:val="00E423E6"/>
    <w:rsid w:val="00E4249D"/>
    <w:rsid w:val="00E46217"/>
    <w:rsid w:val="00E50F70"/>
    <w:rsid w:val="00E512F6"/>
    <w:rsid w:val="00E52D9A"/>
    <w:rsid w:val="00E55C5F"/>
    <w:rsid w:val="00E57051"/>
    <w:rsid w:val="00E62EE3"/>
    <w:rsid w:val="00E64319"/>
    <w:rsid w:val="00E658D1"/>
    <w:rsid w:val="00E6787B"/>
    <w:rsid w:val="00E70D4B"/>
    <w:rsid w:val="00E70ED8"/>
    <w:rsid w:val="00E711C1"/>
    <w:rsid w:val="00E71447"/>
    <w:rsid w:val="00E71535"/>
    <w:rsid w:val="00E72BF1"/>
    <w:rsid w:val="00E76191"/>
    <w:rsid w:val="00E80191"/>
    <w:rsid w:val="00E8037A"/>
    <w:rsid w:val="00E8088E"/>
    <w:rsid w:val="00E8173B"/>
    <w:rsid w:val="00E81AB7"/>
    <w:rsid w:val="00E82173"/>
    <w:rsid w:val="00E8239A"/>
    <w:rsid w:val="00E95990"/>
    <w:rsid w:val="00E96AC7"/>
    <w:rsid w:val="00EA2C15"/>
    <w:rsid w:val="00EA65F3"/>
    <w:rsid w:val="00EA74EA"/>
    <w:rsid w:val="00EB0899"/>
    <w:rsid w:val="00EB1BDA"/>
    <w:rsid w:val="00EB4288"/>
    <w:rsid w:val="00EB67FE"/>
    <w:rsid w:val="00EB683B"/>
    <w:rsid w:val="00EB7E99"/>
    <w:rsid w:val="00EC2350"/>
    <w:rsid w:val="00EC341D"/>
    <w:rsid w:val="00EC4F81"/>
    <w:rsid w:val="00ED1DE4"/>
    <w:rsid w:val="00ED4A31"/>
    <w:rsid w:val="00ED662E"/>
    <w:rsid w:val="00ED7813"/>
    <w:rsid w:val="00ED7E31"/>
    <w:rsid w:val="00EE3157"/>
    <w:rsid w:val="00EE58DA"/>
    <w:rsid w:val="00EE65F7"/>
    <w:rsid w:val="00EF3D7D"/>
    <w:rsid w:val="00EF5131"/>
    <w:rsid w:val="00EF71B6"/>
    <w:rsid w:val="00EF7E05"/>
    <w:rsid w:val="00F001A9"/>
    <w:rsid w:val="00F06764"/>
    <w:rsid w:val="00F108B8"/>
    <w:rsid w:val="00F12C76"/>
    <w:rsid w:val="00F15CF8"/>
    <w:rsid w:val="00F16321"/>
    <w:rsid w:val="00F163AE"/>
    <w:rsid w:val="00F17257"/>
    <w:rsid w:val="00F1755B"/>
    <w:rsid w:val="00F21CBA"/>
    <w:rsid w:val="00F22020"/>
    <w:rsid w:val="00F221E8"/>
    <w:rsid w:val="00F2348A"/>
    <w:rsid w:val="00F3117C"/>
    <w:rsid w:val="00F323AA"/>
    <w:rsid w:val="00F32AE5"/>
    <w:rsid w:val="00F3483E"/>
    <w:rsid w:val="00F34FAB"/>
    <w:rsid w:val="00F3534A"/>
    <w:rsid w:val="00F35839"/>
    <w:rsid w:val="00F3596C"/>
    <w:rsid w:val="00F362F7"/>
    <w:rsid w:val="00F369F7"/>
    <w:rsid w:val="00F40940"/>
    <w:rsid w:val="00F40CD2"/>
    <w:rsid w:val="00F413C5"/>
    <w:rsid w:val="00F4158C"/>
    <w:rsid w:val="00F4209E"/>
    <w:rsid w:val="00F42FBA"/>
    <w:rsid w:val="00F5002F"/>
    <w:rsid w:val="00F506D6"/>
    <w:rsid w:val="00F5257E"/>
    <w:rsid w:val="00F55E6E"/>
    <w:rsid w:val="00F560F4"/>
    <w:rsid w:val="00F56328"/>
    <w:rsid w:val="00F56D1B"/>
    <w:rsid w:val="00F60F2C"/>
    <w:rsid w:val="00F62A7E"/>
    <w:rsid w:val="00F633E5"/>
    <w:rsid w:val="00F6409A"/>
    <w:rsid w:val="00F653BC"/>
    <w:rsid w:val="00F70E3A"/>
    <w:rsid w:val="00F72298"/>
    <w:rsid w:val="00F72D21"/>
    <w:rsid w:val="00F734E4"/>
    <w:rsid w:val="00F74538"/>
    <w:rsid w:val="00F76D5A"/>
    <w:rsid w:val="00F81C33"/>
    <w:rsid w:val="00F826F1"/>
    <w:rsid w:val="00F848A8"/>
    <w:rsid w:val="00F85264"/>
    <w:rsid w:val="00F855A2"/>
    <w:rsid w:val="00F8606E"/>
    <w:rsid w:val="00F911E6"/>
    <w:rsid w:val="00F93581"/>
    <w:rsid w:val="00F96985"/>
    <w:rsid w:val="00F9756B"/>
    <w:rsid w:val="00FA17C3"/>
    <w:rsid w:val="00FA33E6"/>
    <w:rsid w:val="00FA5492"/>
    <w:rsid w:val="00FA61AA"/>
    <w:rsid w:val="00FA65E0"/>
    <w:rsid w:val="00FA711E"/>
    <w:rsid w:val="00FA7ED6"/>
    <w:rsid w:val="00FB3102"/>
    <w:rsid w:val="00FB53E2"/>
    <w:rsid w:val="00FB5A9B"/>
    <w:rsid w:val="00FB5BD8"/>
    <w:rsid w:val="00FC0977"/>
    <w:rsid w:val="00FC2AA9"/>
    <w:rsid w:val="00FD0A6D"/>
    <w:rsid w:val="00FD1517"/>
    <w:rsid w:val="00FD1A27"/>
    <w:rsid w:val="00FD4D19"/>
    <w:rsid w:val="00FD671C"/>
    <w:rsid w:val="00FD7742"/>
    <w:rsid w:val="00FE1A85"/>
    <w:rsid w:val="00FE3910"/>
    <w:rsid w:val="00FE428E"/>
    <w:rsid w:val="00FE5165"/>
    <w:rsid w:val="00FE6483"/>
    <w:rsid w:val="00FE659F"/>
    <w:rsid w:val="00FF59B2"/>
    <w:rsid w:val="00FF6772"/>
    <w:rsid w:val="00FF6B41"/>
    <w:rsid w:val="00FF6B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5B5C78"/>
  <w15:chartTrackingRefBased/>
  <w15:docId w15:val="{D196BBC2-AEE4-4C99-AE34-D1A348D8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DE4"/>
  </w:style>
  <w:style w:type="paragraph" w:styleId="Heading1">
    <w:name w:val="heading 1"/>
    <w:basedOn w:val="Title"/>
    <w:next w:val="Normal"/>
    <w:link w:val="Heading1Char"/>
    <w:uiPriority w:val="9"/>
    <w:qFormat/>
    <w:rsid w:val="008A0170"/>
    <w:pPr>
      <w:keepNext/>
      <w:keepLines/>
      <w:spacing w:after="120"/>
      <w:contextualSpacing w:val="0"/>
      <w:outlineLvl w:val="0"/>
    </w:pPr>
    <w:rPr>
      <w:rFonts w:ascii="Arial" w:hAnsi="Arial" w:cs="Arial"/>
      <w:color w:val="0E787C"/>
      <w:sz w:val="40"/>
      <w:szCs w:val="40"/>
    </w:rPr>
  </w:style>
  <w:style w:type="paragraph" w:styleId="Heading2">
    <w:name w:val="heading 2"/>
    <w:basedOn w:val="Heading1"/>
    <w:next w:val="Normal"/>
    <w:link w:val="Heading2Char"/>
    <w:uiPriority w:val="9"/>
    <w:unhideWhenUsed/>
    <w:qFormat/>
    <w:rsid w:val="00D779BA"/>
    <w:pPr>
      <w:outlineLvl w:val="1"/>
    </w:pPr>
    <w:rPr>
      <w:sz w:val="36"/>
      <w:szCs w:val="36"/>
    </w:rPr>
  </w:style>
  <w:style w:type="paragraph" w:styleId="Heading3">
    <w:name w:val="heading 3"/>
    <w:basedOn w:val="Heading2"/>
    <w:next w:val="Normal"/>
    <w:link w:val="Heading3Char"/>
    <w:uiPriority w:val="9"/>
    <w:unhideWhenUsed/>
    <w:qFormat/>
    <w:rsid w:val="009B3AC2"/>
    <w:pPr>
      <w:outlineLvl w:val="2"/>
    </w:pPr>
    <w:rPr>
      <w:sz w:val="32"/>
      <w:szCs w:val="32"/>
    </w:rPr>
  </w:style>
  <w:style w:type="paragraph" w:styleId="Heading4">
    <w:name w:val="heading 4"/>
    <w:basedOn w:val="Normal"/>
    <w:next w:val="Normal"/>
    <w:link w:val="Heading4Char"/>
    <w:uiPriority w:val="9"/>
    <w:unhideWhenUsed/>
    <w:qFormat/>
    <w:rsid w:val="008869A9"/>
    <w:pPr>
      <w:keepNext/>
      <w:keepLines/>
      <w:spacing w:after="120" w:line="240" w:lineRule="auto"/>
      <w:outlineLvl w:val="3"/>
    </w:pPr>
    <w:rPr>
      <w:rFonts w:ascii="Arial" w:eastAsiaTheme="majorEastAsia" w:hAnsi="Arial" w:cs="Arial"/>
      <w:color w:val="0E787C"/>
      <w:sz w:val="28"/>
      <w:szCs w:val="28"/>
    </w:rPr>
  </w:style>
  <w:style w:type="paragraph" w:styleId="Heading5">
    <w:name w:val="heading 5"/>
    <w:basedOn w:val="Normal"/>
    <w:next w:val="Normal"/>
    <w:link w:val="Heading5Char"/>
    <w:uiPriority w:val="9"/>
    <w:unhideWhenUsed/>
    <w:qFormat/>
    <w:rsid w:val="00EF5131"/>
    <w:pPr>
      <w:keepNext/>
      <w:keepLines/>
      <w:spacing w:after="120" w:line="240" w:lineRule="auto"/>
      <w:outlineLvl w:val="4"/>
    </w:pPr>
    <w:rPr>
      <w:rFonts w:ascii="Arial" w:eastAsiaTheme="majorEastAsia" w:hAnsi="Arial" w:cs="Arial"/>
      <w:color w:val="0E787C"/>
      <w:sz w:val="28"/>
      <w:szCs w:val="28"/>
    </w:rPr>
  </w:style>
  <w:style w:type="paragraph" w:styleId="Heading6">
    <w:name w:val="heading 6"/>
    <w:basedOn w:val="Normal"/>
    <w:next w:val="Normal"/>
    <w:link w:val="Heading6Char"/>
    <w:uiPriority w:val="9"/>
    <w:unhideWhenUsed/>
    <w:qFormat/>
    <w:rsid w:val="003E5BF5"/>
    <w:pPr>
      <w:keepNext/>
      <w:keepLines/>
      <w:spacing w:before="40" w:after="0" w:line="240" w:lineRule="auto"/>
      <w:outlineLvl w:val="5"/>
    </w:pPr>
    <w:rPr>
      <w:rFonts w:asciiTheme="majorHAnsi" w:eastAsiaTheme="majorEastAsia" w:hAnsiTheme="majorHAnsi" w:cstheme="majorBidi"/>
      <w:color w:val="00B2A9"/>
      <w:sz w:val="18"/>
      <w:lang w:eastAsia="zh-CN"/>
    </w:rPr>
  </w:style>
  <w:style w:type="paragraph" w:styleId="Heading7">
    <w:name w:val="heading 7"/>
    <w:basedOn w:val="Heading5"/>
    <w:next w:val="Normal"/>
    <w:link w:val="Heading7Char"/>
    <w:uiPriority w:val="9"/>
    <w:unhideWhenUsed/>
    <w:qFormat/>
    <w:rsid w:val="003E5BF5"/>
    <w:pPr>
      <w:outlineLvl w:val="6"/>
    </w:pPr>
    <w:rPr>
      <w:rFonts w:ascii="VIC Light" w:hAnsi="VIC Light"/>
      <w:i/>
      <w:iCs/>
      <w:color w:val="00BAC0"/>
      <w:sz w:val="18"/>
    </w:rPr>
  </w:style>
  <w:style w:type="paragraph" w:styleId="Heading8">
    <w:name w:val="heading 8"/>
    <w:basedOn w:val="Normal"/>
    <w:next w:val="Normal"/>
    <w:link w:val="Heading8Char"/>
    <w:uiPriority w:val="9"/>
    <w:semiHidden/>
    <w:unhideWhenUsed/>
    <w:qFormat/>
    <w:rsid w:val="003E5BF5"/>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zh-CN"/>
    </w:rPr>
  </w:style>
  <w:style w:type="paragraph" w:styleId="Heading9">
    <w:name w:val="heading 9"/>
    <w:basedOn w:val="Normal"/>
    <w:next w:val="Normal"/>
    <w:link w:val="Heading9Char"/>
    <w:uiPriority w:val="9"/>
    <w:semiHidden/>
    <w:unhideWhenUsed/>
    <w:qFormat/>
    <w:rsid w:val="003E5BF5"/>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BF5"/>
    <w:rPr>
      <w:rFonts w:ascii="VIC Light" w:hAnsi="VIC Light"/>
      <w:color w:val="auto"/>
      <w:u w:val="single"/>
    </w:rPr>
  </w:style>
  <w:style w:type="character" w:customStyle="1" w:styleId="Heading1Char">
    <w:name w:val="Heading 1 Char"/>
    <w:basedOn w:val="DefaultParagraphFont"/>
    <w:link w:val="Heading1"/>
    <w:uiPriority w:val="9"/>
    <w:rsid w:val="008A0170"/>
    <w:rPr>
      <w:rFonts w:ascii="Arial" w:eastAsiaTheme="majorEastAsia" w:hAnsi="Arial" w:cs="Arial"/>
      <w:color w:val="0E787C"/>
      <w:spacing w:val="-10"/>
      <w:kern w:val="28"/>
      <w:sz w:val="40"/>
      <w:szCs w:val="40"/>
    </w:rPr>
  </w:style>
  <w:style w:type="table" w:styleId="TableGrid">
    <w:name w:val="Table Grid"/>
    <w:basedOn w:val="TableNormal"/>
    <w:uiPriority w:val="39"/>
    <w:rsid w:val="003E5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5BF5"/>
    <w:pPr>
      <w:tabs>
        <w:tab w:val="center" w:pos="4513"/>
        <w:tab w:val="right" w:pos="9026"/>
      </w:tabs>
      <w:spacing w:after="0" w:line="240" w:lineRule="auto"/>
    </w:pPr>
    <w:rPr>
      <w:rFonts w:ascii="VIC Light" w:hAnsi="VIC Light"/>
      <w:sz w:val="18"/>
    </w:rPr>
  </w:style>
  <w:style w:type="character" w:customStyle="1" w:styleId="HeaderChar">
    <w:name w:val="Header Char"/>
    <w:basedOn w:val="DefaultParagraphFont"/>
    <w:link w:val="Header"/>
    <w:uiPriority w:val="99"/>
    <w:rsid w:val="003E5BF5"/>
    <w:rPr>
      <w:rFonts w:ascii="VIC Light" w:hAnsi="VIC Light"/>
      <w:sz w:val="18"/>
    </w:rPr>
  </w:style>
  <w:style w:type="paragraph" w:styleId="Footer">
    <w:name w:val="footer"/>
    <w:aliases w:val="Footer (Odd)"/>
    <w:basedOn w:val="Normal"/>
    <w:link w:val="FooterChar"/>
    <w:uiPriority w:val="99"/>
    <w:unhideWhenUsed/>
    <w:rsid w:val="003E5BF5"/>
    <w:pPr>
      <w:tabs>
        <w:tab w:val="center" w:pos="4513"/>
        <w:tab w:val="right" w:pos="9026"/>
      </w:tabs>
      <w:spacing w:after="0" w:line="240" w:lineRule="auto"/>
    </w:pPr>
    <w:rPr>
      <w:rFonts w:ascii="VIC Light" w:hAnsi="VIC Light"/>
      <w:sz w:val="18"/>
    </w:rPr>
  </w:style>
  <w:style w:type="character" w:customStyle="1" w:styleId="FooterChar">
    <w:name w:val="Footer Char"/>
    <w:aliases w:val="Footer (Odd) Char"/>
    <w:basedOn w:val="DefaultParagraphFont"/>
    <w:link w:val="Footer"/>
    <w:uiPriority w:val="99"/>
    <w:rsid w:val="003E5BF5"/>
    <w:rPr>
      <w:rFonts w:ascii="VIC Light" w:hAnsi="VIC Light"/>
      <w:sz w:val="18"/>
    </w:rPr>
  </w:style>
  <w:style w:type="paragraph" w:customStyle="1" w:styleId="DoTPageNumber">
    <w:name w:val="DoT Page Number"/>
    <w:basedOn w:val="Footer"/>
    <w:qFormat/>
    <w:rsid w:val="003E5BF5"/>
    <w:pPr>
      <w:jc w:val="right"/>
    </w:pPr>
    <w:rPr>
      <w:sz w:val="16"/>
    </w:rPr>
  </w:style>
  <w:style w:type="paragraph" w:styleId="Title">
    <w:name w:val="Title"/>
    <w:basedOn w:val="Normal"/>
    <w:next w:val="Normal"/>
    <w:link w:val="TitleChar"/>
    <w:uiPriority w:val="10"/>
    <w:qFormat/>
    <w:rsid w:val="003E5B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BF5"/>
    <w:rPr>
      <w:rFonts w:asciiTheme="majorHAnsi" w:eastAsiaTheme="majorEastAsia" w:hAnsiTheme="majorHAnsi" w:cstheme="majorBidi"/>
      <w:spacing w:val="-10"/>
      <w:kern w:val="28"/>
      <w:sz w:val="56"/>
      <w:szCs w:val="56"/>
    </w:rPr>
  </w:style>
  <w:style w:type="character" w:customStyle="1" w:styleId="eop">
    <w:name w:val="eop"/>
    <w:basedOn w:val="DefaultParagraphFont"/>
    <w:rsid w:val="003E5BF5"/>
  </w:style>
  <w:style w:type="character" w:customStyle="1" w:styleId="Heading2Char">
    <w:name w:val="Heading 2 Char"/>
    <w:basedOn w:val="DefaultParagraphFont"/>
    <w:link w:val="Heading2"/>
    <w:uiPriority w:val="9"/>
    <w:rsid w:val="00D779BA"/>
    <w:rPr>
      <w:rFonts w:ascii="VIC Light" w:eastAsiaTheme="majorEastAsia" w:hAnsi="VIC Light" w:cstheme="majorBidi"/>
      <w:color w:val="0E787C"/>
      <w:spacing w:val="-10"/>
      <w:kern w:val="28"/>
      <w:sz w:val="36"/>
      <w:szCs w:val="36"/>
    </w:rPr>
  </w:style>
  <w:style w:type="character" w:customStyle="1" w:styleId="Heading3Char">
    <w:name w:val="Heading 3 Char"/>
    <w:basedOn w:val="DefaultParagraphFont"/>
    <w:link w:val="Heading3"/>
    <w:uiPriority w:val="9"/>
    <w:rsid w:val="009B3AC2"/>
    <w:rPr>
      <w:rFonts w:ascii="VIC" w:eastAsiaTheme="majorEastAsia" w:hAnsi="VIC" w:cstheme="majorBidi"/>
      <w:color w:val="0E787C"/>
      <w:spacing w:val="-10"/>
      <w:kern w:val="28"/>
      <w:sz w:val="32"/>
      <w:szCs w:val="32"/>
    </w:rPr>
  </w:style>
  <w:style w:type="character" w:customStyle="1" w:styleId="Heading4Char">
    <w:name w:val="Heading 4 Char"/>
    <w:basedOn w:val="DefaultParagraphFont"/>
    <w:link w:val="Heading4"/>
    <w:uiPriority w:val="9"/>
    <w:rsid w:val="008869A9"/>
    <w:rPr>
      <w:rFonts w:ascii="Arial" w:eastAsiaTheme="majorEastAsia" w:hAnsi="Arial" w:cs="Arial"/>
      <w:color w:val="0E787C"/>
      <w:sz w:val="28"/>
      <w:szCs w:val="28"/>
    </w:rPr>
  </w:style>
  <w:style w:type="paragraph" w:styleId="ListParagraph">
    <w:name w:val="List Paragraph"/>
    <w:aliases w:val="Normal itemised,NFP GP Bulleted List,Recommendation,List Paragraph1"/>
    <w:basedOn w:val="Normal"/>
    <w:link w:val="ListParagraphChar"/>
    <w:uiPriority w:val="34"/>
    <w:qFormat/>
    <w:rsid w:val="003E5BF5"/>
    <w:pPr>
      <w:spacing w:after="120" w:line="240" w:lineRule="auto"/>
      <w:ind w:left="113" w:hanging="113"/>
      <w:contextualSpacing/>
    </w:pPr>
    <w:rPr>
      <w:rFonts w:ascii="VIC Light" w:hAnsi="VIC Light"/>
      <w:sz w:val="18"/>
    </w:rPr>
  </w:style>
  <w:style w:type="paragraph" w:customStyle="1" w:styleId="Note">
    <w:name w:val="Note"/>
    <w:basedOn w:val="Normal"/>
    <w:qFormat/>
    <w:rsid w:val="003E5BF5"/>
    <w:pPr>
      <w:spacing w:after="120" w:line="240" w:lineRule="auto"/>
    </w:pPr>
    <w:rPr>
      <w:rFonts w:ascii="VIC Light" w:hAnsi="VIC Light"/>
      <w:sz w:val="14"/>
    </w:rPr>
  </w:style>
  <w:style w:type="paragraph" w:customStyle="1" w:styleId="Notenumber123">
    <w:name w:val="Note (number 123)"/>
    <w:basedOn w:val="Note"/>
    <w:qFormat/>
    <w:rsid w:val="003E5BF5"/>
    <w:pPr>
      <w:numPr>
        <w:numId w:val="2"/>
      </w:numPr>
      <w:ind w:left="340" w:hanging="227"/>
    </w:pPr>
  </w:style>
  <w:style w:type="paragraph" w:customStyle="1" w:styleId="TableTextLeft">
    <w:name w:val="Table Text (Left)"/>
    <w:basedOn w:val="Normal"/>
    <w:qFormat/>
    <w:rsid w:val="003E5BF5"/>
    <w:pPr>
      <w:spacing w:after="0" w:line="240" w:lineRule="auto"/>
    </w:pPr>
    <w:rPr>
      <w:rFonts w:ascii="VIC Light" w:hAnsi="VIC Light"/>
      <w:sz w:val="16"/>
    </w:rPr>
  </w:style>
  <w:style w:type="paragraph" w:customStyle="1" w:styleId="TableTextLeftBold">
    <w:name w:val="Table Text (Left Bold)"/>
    <w:basedOn w:val="TableTextLeft"/>
    <w:qFormat/>
    <w:rsid w:val="003E5BF5"/>
    <w:rPr>
      <w:b/>
    </w:rPr>
  </w:style>
  <w:style w:type="character" w:customStyle="1" w:styleId="ListParagraphChar">
    <w:name w:val="List Paragraph Char"/>
    <w:aliases w:val="Normal itemised Char,NFP GP Bulleted List Char,Recommendation Char,List Paragraph1 Char"/>
    <w:basedOn w:val="DefaultParagraphFont"/>
    <w:link w:val="ListParagraph"/>
    <w:uiPriority w:val="34"/>
    <w:rsid w:val="003E5BF5"/>
    <w:rPr>
      <w:rFonts w:ascii="VIC Light" w:hAnsi="VIC Light"/>
      <w:sz w:val="18"/>
    </w:rPr>
  </w:style>
  <w:style w:type="character" w:customStyle="1" w:styleId="Heading7Char">
    <w:name w:val="Heading 7 Char"/>
    <w:basedOn w:val="DefaultParagraphFont"/>
    <w:link w:val="Heading7"/>
    <w:uiPriority w:val="9"/>
    <w:rsid w:val="003E5BF5"/>
    <w:rPr>
      <w:rFonts w:ascii="VIC Light" w:eastAsiaTheme="majorEastAsia" w:hAnsi="VIC Light" w:cstheme="majorBidi"/>
      <w:i/>
      <w:iCs/>
      <w:color w:val="00BAC0"/>
      <w:sz w:val="18"/>
    </w:rPr>
  </w:style>
  <w:style w:type="character" w:customStyle="1" w:styleId="Heading5Char">
    <w:name w:val="Heading 5 Char"/>
    <w:basedOn w:val="DefaultParagraphFont"/>
    <w:link w:val="Heading5"/>
    <w:uiPriority w:val="9"/>
    <w:rsid w:val="00EF5131"/>
    <w:rPr>
      <w:rFonts w:ascii="Arial" w:eastAsiaTheme="majorEastAsia" w:hAnsi="Arial" w:cs="Arial"/>
      <w:color w:val="0E787C"/>
      <w:sz w:val="28"/>
      <w:szCs w:val="28"/>
    </w:rPr>
  </w:style>
  <w:style w:type="character" w:customStyle="1" w:styleId="Heading6Char">
    <w:name w:val="Heading 6 Char"/>
    <w:basedOn w:val="DefaultParagraphFont"/>
    <w:link w:val="Heading6"/>
    <w:uiPriority w:val="9"/>
    <w:rsid w:val="003E5BF5"/>
    <w:rPr>
      <w:rFonts w:asciiTheme="majorHAnsi" w:eastAsiaTheme="majorEastAsia" w:hAnsiTheme="majorHAnsi" w:cstheme="majorBidi"/>
      <w:color w:val="00B2A9"/>
      <w:sz w:val="18"/>
      <w:lang w:eastAsia="zh-CN"/>
    </w:rPr>
  </w:style>
  <w:style w:type="character" w:customStyle="1" w:styleId="Heading8Char">
    <w:name w:val="Heading 8 Char"/>
    <w:basedOn w:val="DefaultParagraphFont"/>
    <w:link w:val="Heading8"/>
    <w:uiPriority w:val="9"/>
    <w:semiHidden/>
    <w:rsid w:val="003E5BF5"/>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3E5BF5"/>
    <w:rPr>
      <w:rFonts w:asciiTheme="majorHAnsi" w:eastAsiaTheme="majorEastAsia" w:hAnsiTheme="majorHAnsi" w:cstheme="majorBidi"/>
      <w:i/>
      <w:iCs/>
      <w:color w:val="272727" w:themeColor="text1" w:themeTint="D8"/>
      <w:sz w:val="21"/>
      <w:szCs w:val="21"/>
      <w:lang w:eastAsia="zh-CN"/>
    </w:rPr>
  </w:style>
  <w:style w:type="paragraph" w:styleId="TOCHeading">
    <w:name w:val="TOC Heading"/>
    <w:basedOn w:val="Heading1"/>
    <w:next w:val="Normal"/>
    <w:uiPriority w:val="39"/>
    <w:unhideWhenUsed/>
    <w:qFormat/>
    <w:rsid w:val="003E5BF5"/>
    <w:pPr>
      <w:outlineLvl w:val="9"/>
    </w:pPr>
    <w:rPr>
      <w:spacing w:val="0"/>
      <w:kern w:val="0"/>
      <w:lang w:val="en-US"/>
    </w:rPr>
  </w:style>
  <w:style w:type="paragraph" w:styleId="TOC1">
    <w:name w:val="toc 1"/>
    <w:basedOn w:val="Normal"/>
    <w:next w:val="Normal"/>
    <w:autoRedefine/>
    <w:uiPriority w:val="39"/>
    <w:unhideWhenUsed/>
    <w:rsid w:val="002355F5"/>
    <w:pPr>
      <w:tabs>
        <w:tab w:val="left" w:pos="142"/>
        <w:tab w:val="right" w:leader="dot" w:pos="9214"/>
      </w:tabs>
      <w:spacing w:after="120" w:line="240" w:lineRule="auto"/>
      <w:ind w:hanging="28"/>
    </w:pPr>
    <w:rPr>
      <w:rFonts w:ascii="Arial" w:eastAsiaTheme="minorEastAsia" w:hAnsi="Arial" w:cs="Arial"/>
      <w:noProof/>
      <w:sz w:val="24"/>
      <w:szCs w:val="24"/>
      <w:lang w:eastAsia="zh-CN"/>
    </w:rPr>
  </w:style>
  <w:style w:type="paragraph" w:styleId="TOC2">
    <w:name w:val="toc 2"/>
    <w:basedOn w:val="Normal"/>
    <w:next w:val="Normal"/>
    <w:autoRedefine/>
    <w:uiPriority w:val="39"/>
    <w:unhideWhenUsed/>
    <w:rsid w:val="003E5BF5"/>
    <w:pPr>
      <w:framePr w:hSpace="180" w:wrap="around" w:vAnchor="text" w:hAnchor="text" w:xAlign="right" w:y="1"/>
      <w:tabs>
        <w:tab w:val="left" w:pos="709"/>
        <w:tab w:val="right" w:pos="8505"/>
      </w:tabs>
      <w:spacing w:after="0" w:line="240" w:lineRule="auto"/>
      <w:suppressOverlap/>
    </w:pPr>
    <w:rPr>
      <w:rFonts w:ascii="VIC Light" w:eastAsiaTheme="minorEastAsia" w:hAnsi="VIC Light"/>
      <w:sz w:val="18"/>
      <w:lang w:eastAsia="zh-CN"/>
    </w:rPr>
  </w:style>
  <w:style w:type="paragraph" w:styleId="TOC3">
    <w:name w:val="toc 3"/>
    <w:basedOn w:val="Normal"/>
    <w:next w:val="Normal"/>
    <w:autoRedefine/>
    <w:uiPriority w:val="39"/>
    <w:unhideWhenUsed/>
    <w:rsid w:val="003E5BF5"/>
    <w:pPr>
      <w:tabs>
        <w:tab w:val="left" w:pos="993"/>
        <w:tab w:val="right" w:leader="dot" w:pos="4149"/>
      </w:tabs>
      <w:spacing w:after="100" w:line="240" w:lineRule="auto"/>
      <w:ind w:left="1009" w:hanging="567"/>
      <w:contextualSpacing/>
    </w:pPr>
    <w:rPr>
      <w:rFonts w:ascii="VIC Light" w:eastAsiaTheme="minorEastAsia" w:hAnsi="VIC Light"/>
      <w:sz w:val="18"/>
      <w:lang w:eastAsia="zh-CN"/>
    </w:rPr>
  </w:style>
  <w:style w:type="character" w:styleId="CommentReference">
    <w:name w:val="annotation reference"/>
    <w:basedOn w:val="DefaultParagraphFont"/>
    <w:uiPriority w:val="99"/>
    <w:semiHidden/>
    <w:unhideWhenUsed/>
    <w:rsid w:val="003E5BF5"/>
    <w:rPr>
      <w:sz w:val="16"/>
      <w:szCs w:val="16"/>
    </w:rPr>
  </w:style>
  <w:style w:type="paragraph" w:styleId="CommentText">
    <w:name w:val="annotation text"/>
    <w:basedOn w:val="Normal"/>
    <w:link w:val="CommentTextChar"/>
    <w:uiPriority w:val="99"/>
    <w:unhideWhenUsed/>
    <w:rsid w:val="003E5BF5"/>
    <w:pPr>
      <w:spacing w:after="120" w:line="240" w:lineRule="auto"/>
    </w:pPr>
    <w:rPr>
      <w:rFonts w:ascii="VIC Light" w:eastAsiaTheme="minorEastAsia" w:hAnsi="VIC Light"/>
      <w:sz w:val="18"/>
      <w:szCs w:val="20"/>
      <w:lang w:eastAsia="zh-CN"/>
    </w:rPr>
  </w:style>
  <w:style w:type="character" w:customStyle="1" w:styleId="CommentTextChar">
    <w:name w:val="Comment Text Char"/>
    <w:basedOn w:val="DefaultParagraphFont"/>
    <w:link w:val="CommentText"/>
    <w:uiPriority w:val="99"/>
    <w:rsid w:val="003E5BF5"/>
    <w:rPr>
      <w:rFonts w:ascii="VIC Light" w:eastAsiaTheme="minorEastAsia" w:hAnsi="VIC Light"/>
      <w:sz w:val="18"/>
      <w:szCs w:val="20"/>
      <w:lang w:eastAsia="zh-CN"/>
    </w:rPr>
  </w:style>
  <w:style w:type="paragraph" w:styleId="CommentSubject">
    <w:name w:val="annotation subject"/>
    <w:basedOn w:val="CommentText"/>
    <w:next w:val="CommentText"/>
    <w:link w:val="CommentSubjectChar"/>
    <w:uiPriority w:val="99"/>
    <w:semiHidden/>
    <w:unhideWhenUsed/>
    <w:rsid w:val="003E5BF5"/>
    <w:rPr>
      <w:b/>
      <w:bCs/>
    </w:rPr>
  </w:style>
  <w:style w:type="character" w:customStyle="1" w:styleId="CommentSubjectChar">
    <w:name w:val="Comment Subject Char"/>
    <w:basedOn w:val="CommentTextChar"/>
    <w:link w:val="CommentSubject"/>
    <w:uiPriority w:val="99"/>
    <w:semiHidden/>
    <w:rsid w:val="003E5BF5"/>
    <w:rPr>
      <w:rFonts w:ascii="VIC Light" w:eastAsiaTheme="minorEastAsia" w:hAnsi="VIC Light"/>
      <w:b/>
      <w:bCs/>
      <w:sz w:val="18"/>
      <w:szCs w:val="20"/>
      <w:lang w:eastAsia="zh-CN"/>
    </w:rPr>
  </w:style>
  <w:style w:type="paragraph" w:styleId="BalloonText">
    <w:name w:val="Balloon Text"/>
    <w:basedOn w:val="Normal"/>
    <w:link w:val="BalloonTextChar"/>
    <w:uiPriority w:val="99"/>
    <w:semiHidden/>
    <w:unhideWhenUsed/>
    <w:rsid w:val="003E5BF5"/>
    <w:pPr>
      <w:spacing w:after="0" w:line="240" w:lineRule="auto"/>
    </w:pPr>
    <w:rPr>
      <w:rFonts w:ascii="Segoe UI" w:eastAsiaTheme="minorEastAsia" w:hAnsi="Segoe UI" w:cs="Segoe UI"/>
      <w:sz w:val="18"/>
      <w:szCs w:val="18"/>
      <w:lang w:eastAsia="zh-CN"/>
    </w:rPr>
  </w:style>
  <w:style w:type="character" w:customStyle="1" w:styleId="BalloonTextChar">
    <w:name w:val="Balloon Text Char"/>
    <w:basedOn w:val="DefaultParagraphFont"/>
    <w:link w:val="BalloonText"/>
    <w:uiPriority w:val="99"/>
    <w:semiHidden/>
    <w:rsid w:val="003E5BF5"/>
    <w:rPr>
      <w:rFonts w:ascii="Segoe UI" w:eastAsiaTheme="minorEastAsia" w:hAnsi="Segoe UI" w:cs="Segoe UI"/>
      <w:sz w:val="18"/>
      <w:szCs w:val="18"/>
      <w:lang w:eastAsia="zh-CN"/>
    </w:rPr>
  </w:style>
  <w:style w:type="table" w:styleId="PlainTable2">
    <w:name w:val="Plain Table 2"/>
    <w:basedOn w:val="TableNormal"/>
    <w:uiPriority w:val="42"/>
    <w:rsid w:val="003E5BF5"/>
    <w:pPr>
      <w:spacing w:after="0" w:line="240" w:lineRule="auto"/>
    </w:pPr>
    <w:rPr>
      <w:rFonts w:ascii="VIC Light" w:eastAsiaTheme="minorEastAsia" w:hAnsi="VIC Light"/>
      <w:sz w:val="16"/>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unhideWhenUsed/>
    <w:rsid w:val="003E5BF5"/>
    <w:rPr>
      <w:color w:val="808080"/>
      <w:shd w:val="clear" w:color="auto" w:fill="E6E6E6"/>
    </w:rPr>
  </w:style>
  <w:style w:type="paragraph" w:styleId="Revision">
    <w:name w:val="Revision"/>
    <w:hidden/>
    <w:uiPriority w:val="99"/>
    <w:semiHidden/>
    <w:rsid w:val="003E5BF5"/>
    <w:pPr>
      <w:spacing w:after="0" w:line="240" w:lineRule="auto"/>
    </w:pPr>
    <w:rPr>
      <w:rFonts w:ascii="VIC Light" w:eastAsiaTheme="minorEastAsia" w:hAnsi="VIC Light"/>
      <w:sz w:val="16"/>
      <w:lang w:eastAsia="zh-CN"/>
    </w:rPr>
  </w:style>
  <w:style w:type="paragraph" w:styleId="TOC6">
    <w:name w:val="toc 6"/>
    <w:basedOn w:val="Normal"/>
    <w:next w:val="Normal"/>
    <w:autoRedefine/>
    <w:uiPriority w:val="39"/>
    <w:unhideWhenUsed/>
    <w:rsid w:val="003E5BF5"/>
    <w:pPr>
      <w:spacing w:after="100" w:line="240" w:lineRule="auto"/>
      <w:ind w:left="1100"/>
    </w:pPr>
    <w:rPr>
      <w:rFonts w:ascii="VIC Light" w:eastAsiaTheme="minorEastAsia" w:hAnsi="VIC Light"/>
      <w:sz w:val="18"/>
      <w:lang w:eastAsia="zh-CN"/>
    </w:rPr>
  </w:style>
  <w:style w:type="paragraph" w:styleId="TOC4">
    <w:name w:val="toc 4"/>
    <w:basedOn w:val="Normal"/>
    <w:next w:val="Normal"/>
    <w:autoRedefine/>
    <w:uiPriority w:val="39"/>
    <w:unhideWhenUsed/>
    <w:rsid w:val="003E5BF5"/>
    <w:pPr>
      <w:spacing w:after="100"/>
      <w:ind w:left="660"/>
    </w:pPr>
    <w:rPr>
      <w:rFonts w:ascii="VIC Light" w:eastAsiaTheme="minorEastAsia" w:hAnsi="VIC Light"/>
      <w:sz w:val="18"/>
      <w:lang w:eastAsia="en-AU"/>
    </w:rPr>
  </w:style>
  <w:style w:type="paragraph" w:styleId="TOC5">
    <w:name w:val="toc 5"/>
    <w:basedOn w:val="Normal"/>
    <w:next w:val="Normal"/>
    <w:autoRedefine/>
    <w:uiPriority w:val="39"/>
    <w:unhideWhenUsed/>
    <w:rsid w:val="003E5BF5"/>
    <w:pPr>
      <w:spacing w:after="100"/>
      <w:ind w:left="880"/>
    </w:pPr>
    <w:rPr>
      <w:rFonts w:ascii="VIC Light" w:eastAsiaTheme="minorEastAsia" w:hAnsi="VIC Light"/>
      <w:sz w:val="18"/>
      <w:lang w:eastAsia="en-AU"/>
    </w:rPr>
  </w:style>
  <w:style w:type="paragraph" w:styleId="TOC7">
    <w:name w:val="toc 7"/>
    <w:basedOn w:val="Normal"/>
    <w:next w:val="Normal"/>
    <w:autoRedefine/>
    <w:uiPriority w:val="39"/>
    <w:unhideWhenUsed/>
    <w:rsid w:val="003E5BF5"/>
    <w:pPr>
      <w:spacing w:after="100"/>
      <w:ind w:left="1320"/>
    </w:pPr>
    <w:rPr>
      <w:rFonts w:ascii="VIC Light" w:eastAsiaTheme="minorEastAsia" w:hAnsi="VIC Light"/>
      <w:sz w:val="18"/>
      <w:lang w:eastAsia="en-AU"/>
    </w:rPr>
  </w:style>
  <w:style w:type="paragraph" w:styleId="TOC8">
    <w:name w:val="toc 8"/>
    <w:basedOn w:val="Normal"/>
    <w:next w:val="Normal"/>
    <w:autoRedefine/>
    <w:uiPriority w:val="39"/>
    <w:unhideWhenUsed/>
    <w:rsid w:val="003E5BF5"/>
    <w:pPr>
      <w:spacing w:after="100"/>
      <w:ind w:left="1540"/>
    </w:pPr>
    <w:rPr>
      <w:rFonts w:ascii="VIC Light" w:eastAsiaTheme="minorEastAsia" w:hAnsi="VIC Light"/>
      <w:sz w:val="18"/>
      <w:lang w:eastAsia="en-AU"/>
    </w:rPr>
  </w:style>
  <w:style w:type="paragraph" w:styleId="TOC9">
    <w:name w:val="toc 9"/>
    <w:basedOn w:val="Normal"/>
    <w:next w:val="Normal"/>
    <w:autoRedefine/>
    <w:uiPriority w:val="39"/>
    <w:unhideWhenUsed/>
    <w:rsid w:val="003E5BF5"/>
    <w:pPr>
      <w:spacing w:after="100"/>
      <w:ind w:left="1760"/>
    </w:pPr>
    <w:rPr>
      <w:rFonts w:ascii="VIC Light" w:eastAsiaTheme="minorEastAsia" w:hAnsi="VIC Light"/>
      <w:sz w:val="18"/>
      <w:lang w:eastAsia="en-AU"/>
    </w:rPr>
  </w:style>
  <w:style w:type="character" w:styleId="PlaceholderText">
    <w:name w:val="Placeholder Text"/>
    <w:basedOn w:val="DefaultParagraphFont"/>
    <w:uiPriority w:val="99"/>
    <w:semiHidden/>
    <w:rsid w:val="003E5BF5"/>
    <w:rPr>
      <w:color w:val="808080"/>
    </w:rPr>
  </w:style>
  <w:style w:type="character" w:styleId="FollowedHyperlink">
    <w:name w:val="FollowedHyperlink"/>
    <w:basedOn w:val="DefaultParagraphFont"/>
    <w:uiPriority w:val="99"/>
    <w:semiHidden/>
    <w:unhideWhenUsed/>
    <w:rsid w:val="003E5BF5"/>
    <w:rPr>
      <w:color w:val="auto"/>
      <w:u w:val="none"/>
    </w:rPr>
  </w:style>
  <w:style w:type="paragraph" w:customStyle="1" w:styleId="TableTextRight">
    <w:name w:val="Table Text (Right)"/>
    <w:basedOn w:val="TableTextLeft"/>
    <w:qFormat/>
    <w:rsid w:val="003E5BF5"/>
    <w:pPr>
      <w:jc w:val="right"/>
    </w:pPr>
  </w:style>
  <w:style w:type="paragraph" w:customStyle="1" w:styleId="TableTextRightBold">
    <w:name w:val="Table Text (Right Bold)"/>
    <w:basedOn w:val="TableTextRight"/>
    <w:qFormat/>
    <w:rsid w:val="003E5BF5"/>
    <w:rPr>
      <w:b/>
    </w:rPr>
  </w:style>
  <w:style w:type="paragraph" w:customStyle="1" w:styleId="TableTextCentre">
    <w:name w:val="Table Text (Centre)"/>
    <w:basedOn w:val="TableTextLeft"/>
    <w:qFormat/>
    <w:rsid w:val="003E5BF5"/>
    <w:pPr>
      <w:jc w:val="center"/>
    </w:pPr>
  </w:style>
  <w:style w:type="table" w:customStyle="1" w:styleId="TableGrid1">
    <w:name w:val="Table Grid1"/>
    <w:basedOn w:val="TableNormal"/>
    <w:next w:val="TableGrid"/>
    <w:uiPriority w:val="39"/>
    <w:rsid w:val="003E5BF5"/>
    <w:pPr>
      <w:spacing w:after="0" w:line="240" w:lineRule="auto"/>
    </w:pPr>
    <w:rPr>
      <w:rFonts w:ascii="VIC Light" w:hAnsi="VIC Light"/>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Green">
    <w:name w:val="Table Text (Green)"/>
    <w:basedOn w:val="TableTextLeft"/>
    <w:qFormat/>
    <w:rsid w:val="00604703"/>
    <w:rPr>
      <w:rFonts w:ascii="Arial" w:hAnsi="Arial" w:cs="Arial"/>
      <w:b/>
      <w:color w:val="0E787C"/>
      <w:sz w:val="24"/>
      <w:szCs w:val="24"/>
    </w:rPr>
  </w:style>
  <w:style w:type="paragraph" w:customStyle="1" w:styleId="TableTextCentreBold">
    <w:name w:val="Table Text (Centre Bold)"/>
    <w:basedOn w:val="TableTextCentre"/>
    <w:qFormat/>
    <w:rsid w:val="003E5BF5"/>
    <w:rPr>
      <w:b/>
    </w:rPr>
  </w:style>
  <w:style w:type="paragraph" w:customStyle="1" w:styleId="Notenumberingabc">
    <w:name w:val="Note (numbering abc)"/>
    <w:basedOn w:val="Note"/>
    <w:qFormat/>
    <w:rsid w:val="003E5BF5"/>
    <w:pPr>
      <w:numPr>
        <w:numId w:val="8"/>
      </w:numPr>
      <w:spacing w:before="120" w:after="0"/>
      <w:ind w:left="340" w:hanging="227"/>
    </w:pPr>
  </w:style>
  <w:style w:type="paragraph" w:customStyle="1" w:styleId="iNotenumberiiiiii">
    <w:name w:val="i) Note (number i ii iii)"/>
    <w:basedOn w:val="Notenumberingabc"/>
    <w:rsid w:val="004754BB"/>
    <w:pPr>
      <w:numPr>
        <w:numId w:val="65"/>
      </w:numPr>
      <w:spacing w:before="0"/>
    </w:pPr>
    <w:rPr>
      <w:rFonts w:ascii="Arial" w:hAnsi="Arial"/>
      <w:sz w:val="28"/>
      <w:szCs w:val="16"/>
    </w:rPr>
  </w:style>
  <w:style w:type="paragraph" w:customStyle="1" w:styleId="iNotenumberiiiiii0">
    <w:name w:val="i) Note (number iiiiii)"/>
    <w:basedOn w:val="Note"/>
    <w:qFormat/>
    <w:rsid w:val="003E5BF5"/>
    <w:pPr>
      <w:numPr>
        <w:numId w:val="11"/>
      </w:numPr>
      <w:contextualSpacing/>
    </w:pPr>
  </w:style>
  <w:style w:type="paragraph" w:customStyle="1" w:styleId="TableHeader">
    <w:name w:val="Table Header"/>
    <w:basedOn w:val="Heading6"/>
    <w:qFormat/>
    <w:rsid w:val="00CF74EB"/>
    <w:rPr>
      <w:rFonts w:ascii="Arial" w:hAnsi="Arial" w:cs="Arial"/>
      <w:b/>
      <w:color w:val="0E787C"/>
      <w:sz w:val="24"/>
      <w:szCs w:val="24"/>
      <w:lang w:eastAsia="en-US"/>
    </w:rPr>
  </w:style>
  <w:style w:type="paragraph" w:styleId="EndnoteText">
    <w:name w:val="endnote text"/>
    <w:basedOn w:val="Normal"/>
    <w:link w:val="EndnoteTextChar"/>
    <w:uiPriority w:val="99"/>
    <w:semiHidden/>
    <w:unhideWhenUsed/>
    <w:rsid w:val="003E5BF5"/>
    <w:pPr>
      <w:spacing w:after="0" w:line="240" w:lineRule="auto"/>
    </w:pPr>
    <w:rPr>
      <w:rFonts w:ascii="VIC Light" w:eastAsiaTheme="minorEastAsia" w:hAnsi="VIC Light"/>
      <w:sz w:val="20"/>
      <w:szCs w:val="20"/>
      <w:lang w:eastAsia="zh-CN"/>
    </w:rPr>
  </w:style>
  <w:style w:type="character" w:customStyle="1" w:styleId="EndnoteTextChar">
    <w:name w:val="Endnote Text Char"/>
    <w:basedOn w:val="DefaultParagraphFont"/>
    <w:link w:val="EndnoteText"/>
    <w:uiPriority w:val="99"/>
    <w:semiHidden/>
    <w:rsid w:val="003E5BF5"/>
    <w:rPr>
      <w:rFonts w:ascii="VIC Light" w:eastAsiaTheme="minorEastAsia" w:hAnsi="VIC Light"/>
      <w:sz w:val="20"/>
      <w:szCs w:val="20"/>
      <w:lang w:eastAsia="zh-CN"/>
    </w:rPr>
  </w:style>
  <w:style w:type="character" w:styleId="EndnoteReference">
    <w:name w:val="endnote reference"/>
    <w:basedOn w:val="DefaultParagraphFont"/>
    <w:uiPriority w:val="99"/>
    <w:semiHidden/>
    <w:unhideWhenUsed/>
    <w:rsid w:val="003E5BF5"/>
    <w:rPr>
      <w:vertAlign w:val="superscript"/>
    </w:rPr>
  </w:style>
  <w:style w:type="paragraph" w:styleId="FootnoteText">
    <w:name w:val="footnote text"/>
    <w:basedOn w:val="Normal"/>
    <w:link w:val="FootnoteTextChar"/>
    <w:uiPriority w:val="99"/>
    <w:semiHidden/>
    <w:unhideWhenUsed/>
    <w:rsid w:val="003E5BF5"/>
    <w:pPr>
      <w:spacing w:after="0" w:line="240" w:lineRule="auto"/>
    </w:pPr>
    <w:rPr>
      <w:rFonts w:ascii="VIC Light" w:eastAsiaTheme="minorEastAsia" w:hAnsi="VIC Light"/>
      <w:sz w:val="20"/>
      <w:szCs w:val="20"/>
      <w:lang w:eastAsia="zh-CN"/>
    </w:rPr>
  </w:style>
  <w:style w:type="character" w:customStyle="1" w:styleId="FootnoteTextChar">
    <w:name w:val="Footnote Text Char"/>
    <w:basedOn w:val="DefaultParagraphFont"/>
    <w:link w:val="FootnoteText"/>
    <w:uiPriority w:val="99"/>
    <w:semiHidden/>
    <w:rsid w:val="003E5BF5"/>
    <w:rPr>
      <w:rFonts w:ascii="VIC Light" w:eastAsiaTheme="minorEastAsia" w:hAnsi="VIC Light"/>
      <w:sz w:val="20"/>
      <w:szCs w:val="20"/>
      <w:lang w:eastAsia="zh-CN"/>
    </w:rPr>
  </w:style>
  <w:style w:type="character" w:styleId="FootnoteReference">
    <w:name w:val="footnote reference"/>
    <w:basedOn w:val="DefaultParagraphFont"/>
    <w:uiPriority w:val="99"/>
    <w:semiHidden/>
    <w:unhideWhenUsed/>
    <w:rsid w:val="003E5BF5"/>
    <w:rPr>
      <w:vertAlign w:val="superscript"/>
    </w:rPr>
  </w:style>
  <w:style w:type="paragraph" w:styleId="NoSpacing">
    <w:name w:val="No Spacing"/>
    <w:uiPriority w:val="1"/>
    <w:qFormat/>
    <w:rsid w:val="003E5BF5"/>
    <w:pPr>
      <w:spacing w:after="0" w:line="240" w:lineRule="auto"/>
    </w:pPr>
    <w:rPr>
      <w:rFonts w:ascii="Calibri" w:eastAsiaTheme="minorEastAsia" w:hAnsi="Calibri"/>
    </w:rPr>
  </w:style>
  <w:style w:type="table" w:customStyle="1" w:styleId="DTFTable1">
    <w:name w:val="DTF Table1"/>
    <w:basedOn w:val="TableNormal"/>
    <w:uiPriority w:val="99"/>
    <w:rsid w:val="003E5BF5"/>
    <w:pPr>
      <w:spacing w:before="20" w:after="20" w:line="240" w:lineRule="auto"/>
      <w:jc w:val="right"/>
    </w:pPr>
    <w:rPr>
      <w:rFonts w:ascii="Arial" w:hAnsi="Arial"/>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vAlign w:val="bottom"/>
      </w:tcPr>
    </w:tblStylePr>
    <w:tblStylePr w:type="lastRow">
      <w:rPr>
        <w:b/>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table" w:customStyle="1" w:styleId="ModelReportFinancialTable">
    <w:name w:val="Model Report Financial Table"/>
    <w:basedOn w:val="TableNormal"/>
    <w:uiPriority w:val="99"/>
    <w:rsid w:val="003E5BF5"/>
    <w:pPr>
      <w:spacing w:before="20" w:after="20" w:line="240" w:lineRule="auto"/>
      <w:ind w:left="170" w:hanging="170"/>
      <w:jc w:val="right"/>
    </w:pPr>
    <w:rPr>
      <w:sz w:val="16"/>
      <w:szCs w:val="18"/>
    </w:rPr>
    <w:tblPr>
      <w:tblStyleRowBandSize w:val="1"/>
      <w:tblStyleColBandSize w:val="1"/>
      <w:tblCellMar>
        <w:left w:w="57" w:type="dxa"/>
        <w:right w:w="57" w:type="dxa"/>
      </w:tblCellMar>
    </w:tblPr>
    <w:tblStylePr w:type="firstRow">
      <w:pPr>
        <w:jc w:val="right"/>
      </w:pPr>
      <w:rPr>
        <w:i/>
      </w:rPr>
      <w:tblPr/>
      <w:tcPr>
        <w:shd w:val="clear" w:color="auto" w:fill="000000" w:themeFill="text1"/>
        <w:vAlign w:val="bottom"/>
      </w:tcPr>
    </w:tblStylePr>
    <w:tblStylePr w:type="lastRow">
      <w:rPr>
        <w:b/>
      </w:rPr>
      <w:tblPr/>
      <w:tcPr>
        <w:tcBorders>
          <w:top w:val="single" w:sz="6" w:space="0" w:color="auto"/>
          <w:left w:val="nil"/>
          <w:bottom w:val="single" w:sz="12" w:space="0" w:color="auto"/>
          <w:right w:val="nil"/>
          <w:insideH w:val="nil"/>
          <w:insideV w:val="nil"/>
          <w:tl2br w:val="nil"/>
          <w:tr2bl w:val="nil"/>
        </w:tcBorders>
      </w:tcPr>
    </w:tblStylePr>
    <w:tblStylePr w:type="firstCol">
      <w:pPr>
        <w:wordWrap/>
        <w:ind w:firstLineChars="0" w:firstLine="0"/>
        <w:jc w:val="left"/>
      </w:pPr>
      <w:rPr>
        <w:color w:val="FFC000" w:themeColor="accent4"/>
        <w:sz w:val="14"/>
      </w:rPr>
    </w:tblStylePr>
    <w:tblStylePr w:type="band2Vert">
      <w:tblPr/>
      <w:tcPr>
        <w:shd w:val="clear" w:color="auto" w:fill="E7E6E6" w:themeFill="background2"/>
      </w:tcPr>
    </w:tblStylePr>
    <w:tblStylePr w:type="nwCell">
      <w:pPr>
        <w:jc w:val="left"/>
      </w:pPr>
      <w:rPr>
        <w:i/>
        <w:sz w:val="14"/>
      </w:rPr>
      <w:tblPr/>
      <w:tcPr>
        <w:shd w:val="clear" w:color="auto" w:fill="FFFFFF" w:themeFill="background1"/>
        <w:vAlign w:val="bottom"/>
      </w:tcPr>
    </w:tblStylePr>
    <w:tblStylePr w:type="swCell">
      <w:rPr>
        <w:b w:val="0"/>
      </w:rPr>
      <w:tblPr/>
      <w:tcPr>
        <w:tcBorders>
          <w:top w:val="nil"/>
          <w:left w:val="nil"/>
          <w:bottom w:val="nil"/>
          <w:right w:val="nil"/>
          <w:insideH w:val="nil"/>
          <w:insideV w:val="nil"/>
          <w:tl2br w:val="nil"/>
          <w:tr2bl w:val="nil"/>
        </w:tcBorders>
      </w:tcPr>
    </w:tblStylePr>
  </w:style>
  <w:style w:type="character" w:styleId="IntenseReference">
    <w:name w:val="Intense Reference"/>
    <w:basedOn w:val="DefaultParagraphFont"/>
    <w:uiPriority w:val="32"/>
    <w:qFormat/>
    <w:rsid w:val="003E5BF5"/>
    <w:rPr>
      <w:b/>
      <w:bCs/>
      <w:smallCaps/>
      <w:color w:val="4472C4" w:themeColor="accent1"/>
      <w:spacing w:val="5"/>
    </w:rPr>
  </w:style>
  <w:style w:type="character" w:styleId="IntenseEmphasis">
    <w:name w:val="Intense Emphasis"/>
    <w:basedOn w:val="DefaultParagraphFont"/>
    <w:uiPriority w:val="21"/>
    <w:qFormat/>
    <w:rsid w:val="003E5BF5"/>
    <w:rPr>
      <w:i/>
      <w:iCs/>
      <w:color w:val="70AD47" w:themeColor="accent6"/>
    </w:rPr>
  </w:style>
  <w:style w:type="table" w:customStyle="1" w:styleId="DTFTable">
    <w:name w:val="DTF Table"/>
    <w:basedOn w:val="TableNormal"/>
    <w:uiPriority w:val="99"/>
    <w:rsid w:val="003E5BF5"/>
    <w:pPr>
      <w:spacing w:before="20" w:after="20" w:line="240" w:lineRule="auto"/>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ind w:firstLineChars="0" w:firstLine="0"/>
      </w:pPr>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mirrorIndents w:val="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table" w:customStyle="1" w:styleId="Modeltable">
    <w:name w:val="Model table"/>
    <w:basedOn w:val="TableNormal"/>
    <w:uiPriority w:val="99"/>
    <w:rsid w:val="003E5BF5"/>
    <w:pPr>
      <w:spacing w:before="40" w:after="0" w:line="240" w:lineRule="auto"/>
    </w:pPr>
    <w:rPr>
      <w:rFonts w:ascii="Arial" w:hAnsi="Arial"/>
      <w:sz w:val="16"/>
    </w:rPr>
    <w:tblPr>
      <w:tblStyleRowBandSize w:val="1"/>
      <w:tblStyleColBandSize w:val="1"/>
      <w:tblBorders>
        <w:bottom w:val="single" w:sz="12" w:space="0" w:color="000000" w:themeColor="text1"/>
      </w:tblBorders>
      <w:tblCellMar>
        <w:left w:w="43" w:type="dxa"/>
        <w:right w:w="43" w:type="dxa"/>
      </w:tblCellMar>
    </w:tblPr>
    <w:tblStylePr w:type="firstRow">
      <w:rPr>
        <w:rFonts w:ascii="Arial" w:hAnsi="Arial"/>
        <w:color w:val="FFFFFF" w:themeColor="background1"/>
        <w:sz w:val="18"/>
      </w:rPr>
      <w:tblPr/>
      <w:tcPr>
        <w:shd w:val="clear" w:color="auto" w:fill="000000" w:themeFill="text1"/>
        <w:vAlign w:val="bottom"/>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band1Horz">
      <w:tblPr/>
      <w:tcPr>
        <w:shd w:val="clear" w:color="auto" w:fill="D9D9D9"/>
      </w:tcPr>
    </w:tblStylePr>
  </w:style>
  <w:style w:type="table" w:customStyle="1" w:styleId="DTFTable2">
    <w:name w:val="DTF Table2"/>
    <w:basedOn w:val="TableNormal"/>
    <w:uiPriority w:val="99"/>
    <w:rsid w:val="003E5BF5"/>
    <w:pPr>
      <w:spacing w:before="20" w:after="20" w:line="240" w:lineRule="auto"/>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ind w:firstLineChars="0" w:firstLine="0"/>
      </w:pPr>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mirrorIndents w:val="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paragraph" w:customStyle="1" w:styleId="Notesparagraph">
    <w:name w:val="Notes paragraph"/>
    <w:link w:val="NotesparagraphChar"/>
    <w:qFormat/>
    <w:rsid w:val="003E5BF5"/>
    <w:pPr>
      <w:tabs>
        <w:tab w:val="left" w:pos="567"/>
      </w:tabs>
      <w:spacing w:before="80" w:after="120" w:line="276" w:lineRule="auto"/>
    </w:pPr>
    <w:rPr>
      <w:rFonts w:cstheme="minorHAnsi"/>
      <w:sz w:val="18"/>
      <w:szCs w:val="18"/>
    </w:rPr>
  </w:style>
  <w:style w:type="character" w:customStyle="1" w:styleId="NotesparagraphChar">
    <w:name w:val="Notes paragraph Char"/>
    <w:basedOn w:val="DefaultParagraphFont"/>
    <w:link w:val="Notesparagraph"/>
    <w:rsid w:val="003E5BF5"/>
    <w:rPr>
      <w:rFonts w:cstheme="minorHAnsi"/>
      <w:sz w:val="18"/>
      <w:szCs w:val="18"/>
    </w:rPr>
  </w:style>
  <w:style w:type="paragraph" w:customStyle="1" w:styleId="msonormal0">
    <w:name w:val="msonormal"/>
    <w:basedOn w:val="Normal"/>
    <w:rsid w:val="003E5BF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24112">
    <w:name w:val="xl24112"/>
    <w:basedOn w:val="Normal"/>
    <w:rsid w:val="003E5BF5"/>
    <w:pPr>
      <w:spacing w:before="100" w:beforeAutospacing="1" w:after="100" w:afterAutospacing="1" w:line="240" w:lineRule="auto"/>
      <w:textAlignment w:val="center"/>
    </w:pPr>
    <w:rPr>
      <w:rFonts w:ascii="Times New Roman" w:eastAsia="Times New Roman" w:hAnsi="Times New Roman" w:cs="Times New Roman"/>
      <w:b/>
      <w:bCs/>
      <w:sz w:val="20"/>
      <w:szCs w:val="20"/>
      <w:lang w:eastAsia="en-AU"/>
    </w:rPr>
  </w:style>
  <w:style w:type="paragraph" w:customStyle="1" w:styleId="xl24113">
    <w:name w:val="xl24113"/>
    <w:basedOn w:val="Normal"/>
    <w:rsid w:val="003E5BF5"/>
    <w:pP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24114">
    <w:name w:val="xl24114"/>
    <w:basedOn w:val="Normal"/>
    <w:rsid w:val="003E5BF5"/>
    <w:pP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24115">
    <w:name w:val="xl24115"/>
    <w:basedOn w:val="Normal"/>
    <w:rsid w:val="003E5BF5"/>
    <w:pP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24116">
    <w:name w:val="xl24116"/>
    <w:basedOn w:val="Normal"/>
    <w:rsid w:val="003E5BF5"/>
    <w:pP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24117">
    <w:name w:val="xl24117"/>
    <w:basedOn w:val="Normal"/>
    <w:rsid w:val="003E5BF5"/>
    <w:pPr>
      <w:spacing w:before="100" w:beforeAutospacing="1" w:after="100" w:afterAutospacing="1" w:line="240" w:lineRule="auto"/>
      <w:textAlignment w:val="center"/>
    </w:pPr>
    <w:rPr>
      <w:rFonts w:ascii="Times New Roman" w:eastAsia="Times New Roman" w:hAnsi="Times New Roman" w:cs="Times New Roman"/>
      <w:b/>
      <w:bCs/>
      <w:sz w:val="20"/>
      <w:szCs w:val="20"/>
      <w:lang w:eastAsia="en-AU"/>
    </w:rPr>
  </w:style>
  <w:style w:type="paragraph" w:customStyle="1" w:styleId="xl24118">
    <w:name w:val="xl24118"/>
    <w:basedOn w:val="Normal"/>
    <w:rsid w:val="003E5BF5"/>
    <w:pPr>
      <w:shd w:val="clear" w:color="000000" w:fill="D9D9D9"/>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24119">
    <w:name w:val="xl24119"/>
    <w:basedOn w:val="Normal"/>
    <w:rsid w:val="003E5BF5"/>
    <w:pPr>
      <w:spacing w:before="100" w:beforeAutospacing="1" w:after="100" w:afterAutospacing="1" w:line="240" w:lineRule="auto"/>
      <w:textAlignment w:val="center"/>
    </w:pPr>
    <w:rPr>
      <w:rFonts w:ascii="Times New Roman" w:eastAsia="Times New Roman" w:hAnsi="Times New Roman" w:cs="Times New Roman"/>
      <w:color w:val="53565A"/>
      <w:sz w:val="20"/>
      <w:szCs w:val="20"/>
      <w:u w:val="single"/>
      <w:lang w:eastAsia="en-AU"/>
    </w:rPr>
  </w:style>
  <w:style w:type="paragraph" w:customStyle="1" w:styleId="xl24120">
    <w:name w:val="xl24120"/>
    <w:basedOn w:val="Normal"/>
    <w:rsid w:val="003E5BF5"/>
    <w:pP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24121">
    <w:name w:val="xl24121"/>
    <w:basedOn w:val="Normal"/>
    <w:rsid w:val="003E5BF5"/>
    <w:pP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24122">
    <w:name w:val="xl24122"/>
    <w:basedOn w:val="Normal"/>
    <w:rsid w:val="003E5BF5"/>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24123">
    <w:name w:val="xl24123"/>
    <w:basedOn w:val="Normal"/>
    <w:rsid w:val="003E5BF5"/>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24124">
    <w:name w:val="xl24124"/>
    <w:basedOn w:val="Normal"/>
    <w:rsid w:val="003E5BF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24125">
    <w:name w:val="xl24125"/>
    <w:basedOn w:val="Normal"/>
    <w:rsid w:val="003E5BF5"/>
    <w:pP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en-AU"/>
    </w:rPr>
  </w:style>
  <w:style w:type="paragraph" w:customStyle="1" w:styleId="xl24126">
    <w:name w:val="xl24126"/>
    <w:basedOn w:val="Normal"/>
    <w:rsid w:val="003E5BF5"/>
    <w:pPr>
      <w:shd w:val="clear" w:color="000000" w:fill="D9D9D9"/>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24127">
    <w:name w:val="xl24127"/>
    <w:basedOn w:val="Normal"/>
    <w:rsid w:val="003E5BF5"/>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24128">
    <w:name w:val="xl24128"/>
    <w:basedOn w:val="Normal"/>
    <w:rsid w:val="003E5BF5"/>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24129">
    <w:name w:val="xl24129"/>
    <w:basedOn w:val="Normal"/>
    <w:rsid w:val="003E5BF5"/>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24130">
    <w:name w:val="xl24130"/>
    <w:basedOn w:val="Normal"/>
    <w:rsid w:val="003E5BF5"/>
    <w:pP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24131">
    <w:name w:val="xl24131"/>
    <w:basedOn w:val="Normal"/>
    <w:rsid w:val="003E5BF5"/>
    <w:pP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24132">
    <w:name w:val="xl24132"/>
    <w:basedOn w:val="Normal"/>
    <w:rsid w:val="003E5BF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AU"/>
    </w:rPr>
  </w:style>
  <w:style w:type="paragraph" w:customStyle="1" w:styleId="xl24133">
    <w:name w:val="xl24133"/>
    <w:basedOn w:val="Normal"/>
    <w:rsid w:val="003E5BF5"/>
    <w:pPr>
      <w:shd w:val="clear" w:color="000000" w:fill="00B2A9"/>
      <w:spacing w:before="100" w:beforeAutospacing="1" w:after="100" w:afterAutospacing="1" w:line="240" w:lineRule="auto"/>
      <w:textAlignment w:val="center"/>
    </w:pPr>
    <w:rPr>
      <w:rFonts w:ascii="Times New Roman" w:eastAsia="Times New Roman" w:hAnsi="Times New Roman" w:cs="Times New Roman"/>
      <w:b/>
      <w:bCs/>
      <w:sz w:val="20"/>
      <w:szCs w:val="20"/>
      <w:lang w:eastAsia="en-AU"/>
    </w:rPr>
  </w:style>
  <w:style w:type="paragraph" w:customStyle="1" w:styleId="xl24134">
    <w:name w:val="xl24134"/>
    <w:basedOn w:val="Normal"/>
    <w:rsid w:val="003E5BF5"/>
    <w:pPr>
      <w:spacing w:before="100" w:beforeAutospacing="1" w:after="100" w:afterAutospacing="1" w:line="240" w:lineRule="auto"/>
      <w:textAlignment w:val="center"/>
    </w:pPr>
    <w:rPr>
      <w:rFonts w:ascii="Times New Roman" w:eastAsia="Times New Roman" w:hAnsi="Times New Roman" w:cs="Times New Roman"/>
      <w:b/>
      <w:bCs/>
      <w:sz w:val="20"/>
      <w:szCs w:val="20"/>
      <w:lang w:eastAsia="en-AU"/>
    </w:rPr>
  </w:style>
  <w:style w:type="paragraph" w:customStyle="1" w:styleId="xl24135">
    <w:name w:val="xl24135"/>
    <w:basedOn w:val="Normal"/>
    <w:rsid w:val="003E5BF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AU"/>
    </w:rPr>
  </w:style>
  <w:style w:type="paragraph" w:customStyle="1" w:styleId="xl24136">
    <w:name w:val="xl24136"/>
    <w:basedOn w:val="Normal"/>
    <w:rsid w:val="003E5BF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AU"/>
    </w:rPr>
  </w:style>
  <w:style w:type="paragraph" w:customStyle="1" w:styleId="xl24137">
    <w:name w:val="xl24137"/>
    <w:basedOn w:val="Normal"/>
    <w:rsid w:val="003E5BF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AU"/>
    </w:rPr>
  </w:style>
  <w:style w:type="paragraph" w:customStyle="1" w:styleId="xl24138">
    <w:name w:val="xl24138"/>
    <w:basedOn w:val="Normal"/>
    <w:rsid w:val="003E5BF5"/>
    <w:pP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24139">
    <w:name w:val="xl24139"/>
    <w:basedOn w:val="Normal"/>
    <w:rsid w:val="003E5BF5"/>
    <w:pP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24140">
    <w:name w:val="xl24140"/>
    <w:basedOn w:val="Normal"/>
    <w:rsid w:val="003E5BF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24141">
    <w:name w:val="xl24141"/>
    <w:basedOn w:val="Normal"/>
    <w:rsid w:val="003E5BF5"/>
    <w:pPr>
      <w:spacing w:before="100" w:beforeAutospacing="1" w:after="100" w:afterAutospacing="1" w:line="240" w:lineRule="auto"/>
      <w:textAlignment w:val="center"/>
    </w:pPr>
    <w:rPr>
      <w:rFonts w:ascii="Times New Roman" w:eastAsia="Times New Roman" w:hAnsi="Times New Roman" w:cs="Times New Roman"/>
      <w:i/>
      <w:iCs/>
      <w:color w:val="000000"/>
      <w:sz w:val="20"/>
      <w:szCs w:val="20"/>
      <w:lang w:eastAsia="en-AU"/>
    </w:rPr>
  </w:style>
  <w:style w:type="paragraph" w:customStyle="1" w:styleId="xl24142">
    <w:name w:val="xl24142"/>
    <w:basedOn w:val="Normal"/>
    <w:rsid w:val="003E5BF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24143">
    <w:name w:val="xl24143"/>
    <w:basedOn w:val="Normal"/>
    <w:rsid w:val="003E5BF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AU"/>
    </w:rPr>
  </w:style>
  <w:style w:type="paragraph" w:customStyle="1" w:styleId="xl24144">
    <w:name w:val="xl24144"/>
    <w:basedOn w:val="Normal"/>
    <w:rsid w:val="003E5BF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AU"/>
    </w:rPr>
  </w:style>
  <w:style w:type="paragraph" w:customStyle="1" w:styleId="xl24145">
    <w:name w:val="xl24145"/>
    <w:basedOn w:val="Normal"/>
    <w:rsid w:val="003E5BF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AU"/>
    </w:rPr>
  </w:style>
  <w:style w:type="character" w:styleId="SubtleEmphasis">
    <w:name w:val="Subtle Emphasis"/>
    <w:basedOn w:val="DefaultParagraphFont"/>
    <w:uiPriority w:val="19"/>
    <w:qFormat/>
    <w:rsid w:val="003E5BF5"/>
    <w:rPr>
      <w:i/>
      <w:iCs/>
      <w:color w:val="404040" w:themeColor="text1" w:themeTint="BF"/>
    </w:rPr>
  </w:style>
  <w:style w:type="character" w:styleId="BookTitle">
    <w:name w:val="Book Title"/>
    <w:basedOn w:val="DefaultParagraphFont"/>
    <w:uiPriority w:val="33"/>
    <w:qFormat/>
    <w:rsid w:val="003E5BF5"/>
    <w:rPr>
      <w:b/>
      <w:bCs/>
      <w:i/>
      <w:iCs/>
      <w:spacing w:val="5"/>
    </w:rPr>
  </w:style>
  <w:style w:type="paragraph" w:customStyle="1" w:styleId="FooterEven">
    <w:name w:val="Footer (Even)"/>
    <w:qFormat/>
    <w:rsid w:val="003E5BF5"/>
    <w:pPr>
      <w:spacing w:after="0" w:line="240" w:lineRule="auto"/>
    </w:pPr>
    <w:rPr>
      <w:rFonts w:ascii="VIC Light" w:hAnsi="VIC Light"/>
      <w:sz w:val="16"/>
    </w:rPr>
  </w:style>
  <w:style w:type="paragraph" w:customStyle="1" w:styleId="aaaNotenumberiiiiii">
    <w:name w:val="aaaNote (number i ii iii)"/>
    <w:basedOn w:val="ListParagraph"/>
    <w:qFormat/>
    <w:rsid w:val="006F3339"/>
    <w:pPr>
      <w:numPr>
        <w:numId w:val="12"/>
      </w:numPr>
      <w:spacing w:line="360" w:lineRule="auto"/>
      <w:ind w:left="714" w:hanging="357"/>
    </w:pPr>
    <w:rPr>
      <w:rFonts w:ascii="Arial" w:eastAsiaTheme="minorEastAsia" w:hAnsi="Arial" w:cs="Arial"/>
      <w:sz w:val="24"/>
      <w:szCs w:val="24"/>
      <w:lang w:eastAsia="zh-CN"/>
    </w:rPr>
  </w:style>
  <w:style w:type="character" w:styleId="Mention">
    <w:name w:val="Mention"/>
    <w:basedOn w:val="DefaultParagraphFont"/>
    <w:uiPriority w:val="99"/>
    <w:unhideWhenUsed/>
    <w:rsid w:val="003E5BF5"/>
    <w:rPr>
      <w:color w:val="2B579A"/>
      <w:shd w:val="clear" w:color="auto" w:fill="E1DFDD"/>
    </w:rPr>
  </w:style>
  <w:style w:type="paragraph" w:customStyle="1" w:styleId="NormalBullet">
    <w:name w:val="Normal Bullet"/>
    <w:basedOn w:val="ListParagraph"/>
    <w:qFormat/>
    <w:rsid w:val="003E5BF5"/>
    <w:pPr>
      <w:numPr>
        <w:numId w:val="23"/>
      </w:numPr>
      <w:ind w:left="284" w:hanging="227"/>
    </w:pPr>
  </w:style>
  <w:style w:type="character" w:customStyle="1" w:styleId="normaltextrun">
    <w:name w:val="normaltextrun"/>
    <w:basedOn w:val="DefaultParagraphFont"/>
    <w:rsid w:val="003E5BF5"/>
  </w:style>
  <w:style w:type="paragraph" w:styleId="Quote">
    <w:name w:val="Quote"/>
    <w:basedOn w:val="Normal"/>
    <w:next w:val="Normal"/>
    <w:link w:val="QuoteChar"/>
    <w:uiPriority w:val="29"/>
    <w:rsid w:val="003E5BF5"/>
    <w:pPr>
      <w:spacing w:before="200" w:line="240" w:lineRule="auto"/>
      <w:ind w:left="864" w:right="864"/>
      <w:jc w:val="center"/>
    </w:pPr>
    <w:rPr>
      <w:rFonts w:ascii="VIC Light" w:hAnsi="VIC Light"/>
      <w:i/>
      <w:iCs/>
      <w:color w:val="404040" w:themeColor="text1" w:themeTint="BF"/>
      <w:sz w:val="18"/>
    </w:rPr>
  </w:style>
  <w:style w:type="character" w:customStyle="1" w:styleId="QuoteChar">
    <w:name w:val="Quote Char"/>
    <w:basedOn w:val="DefaultParagraphFont"/>
    <w:link w:val="Quote"/>
    <w:uiPriority w:val="29"/>
    <w:rsid w:val="003E5BF5"/>
    <w:rPr>
      <w:rFonts w:ascii="VIC Light" w:hAnsi="VIC Light"/>
      <w:i/>
      <w:iCs/>
      <w:color w:val="404040" w:themeColor="text1" w:themeTint="BF"/>
      <w:sz w:val="18"/>
    </w:rPr>
  </w:style>
  <w:style w:type="paragraph" w:customStyle="1" w:styleId="NormalNumbering">
    <w:name w:val="Normal Numbering"/>
    <w:basedOn w:val="NormalBullet"/>
    <w:qFormat/>
    <w:rsid w:val="003E5BF5"/>
    <w:pPr>
      <w:numPr>
        <w:numId w:val="27"/>
      </w:numPr>
      <w:ind w:left="284" w:hanging="227"/>
    </w:pPr>
  </w:style>
  <w:style w:type="paragraph" w:customStyle="1" w:styleId="TableTextLeftItalics">
    <w:name w:val="Table Text (Left Italics)"/>
    <w:basedOn w:val="TableTextLeft"/>
    <w:qFormat/>
    <w:rsid w:val="003E5BF5"/>
    <w:pPr>
      <w:spacing w:line="259" w:lineRule="auto"/>
    </w:pPr>
    <w:rPr>
      <w:i/>
    </w:rPr>
  </w:style>
  <w:style w:type="paragraph" w:customStyle="1" w:styleId="GuidanceText">
    <w:name w:val="Guidance Text"/>
    <w:basedOn w:val="Normal"/>
    <w:qFormat/>
    <w:rsid w:val="003E5BF5"/>
    <w:pPr>
      <w:spacing w:before="120" w:after="0" w:line="240" w:lineRule="auto"/>
    </w:pPr>
    <w:rPr>
      <w:rFonts w:ascii="VIC Light" w:eastAsia="SimSun" w:hAnsi="VIC Light"/>
      <w:color w:val="0000FF"/>
      <w:sz w:val="18"/>
    </w:rPr>
  </w:style>
  <w:style w:type="paragraph" w:customStyle="1" w:styleId="CoverPageLargeText">
    <w:name w:val="Cover Page (Large Text)"/>
    <w:basedOn w:val="Title"/>
    <w:qFormat/>
    <w:rsid w:val="003E5BF5"/>
    <w:pPr>
      <w:spacing w:after="120"/>
      <w:ind w:left="1440" w:firstLine="720"/>
      <w:jc w:val="center"/>
    </w:pPr>
    <w:rPr>
      <w:rFonts w:ascii="VIC" w:hAnsi="VIC"/>
      <w:color w:val="00B2A9"/>
      <w:sz w:val="72"/>
    </w:rPr>
  </w:style>
  <w:style w:type="paragraph" w:customStyle="1" w:styleId="CoverPageMediumText">
    <w:name w:val="Cover Page (Medium Text)"/>
    <w:basedOn w:val="Heading2"/>
    <w:qFormat/>
    <w:rsid w:val="003E5BF5"/>
    <w:pPr>
      <w:ind w:left="1440" w:firstLine="720"/>
      <w:jc w:val="center"/>
    </w:pPr>
    <w:rPr>
      <w:color w:val="00B2A9"/>
      <w:sz w:val="40"/>
    </w:rPr>
  </w:style>
  <w:style w:type="table" w:customStyle="1" w:styleId="TableGrid2">
    <w:name w:val="Table Grid2"/>
    <w:basedOn w:val="TableNormal"/>
    <w:next w:val="TableGrid"/>
    <w:uiPriority w:val="39"/>
    <w:rsid w:val="00824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0542A8"/>
    <w:pPr>
      <w:keepLines/>
      <w:numPr>
        <w:ilvl w:val="1"/>
      </w:numPr>
      <w:spacing w:after="280" w:line="360" w:lineRule="auto"/>
    </w:pPr>
    <w:rPr>
      <w:rFonts w:ascii="Arial" w:eastAsiaTheme="minorEastAsia" w:hAnsi="Arial"/>
      <w:color w:val="538135" w:themeColor="accent6" w:themeShade="BF"/>
      <w:spacing w:val="15"/>
      <w:sz w:val="60"/>
    </w:rPr>
  </w:style>
  <w:style w:type="character" w:customStyle="1" w:styleId="SubtitleChar">
    <w:name w:val="Subtitle Char"/>
    <w:basedOn w:val="DefaultParagraphFont"/>
    <w:link w:val="Subtitle"/>
    <w:uiPriority w:val="11"/>
    <w:rsid w:val="000542A8"/>
    <w:rPr>
      <w:rFonts w:ascii="Arial" w:eastAsiaTheme="minorEastAsia" w:hAnsi="Arial"/>
      <w:color w:val="538135" w:themeColor="accent6" w:themeShade="BF"/>
      <w:spacing w:val="15"/>
      <w:sz w:val="60"/>
    </w:rPr>
  </w:style>
  <w:style w:type="paragraph" w:customStyle="1" w:styleId="aaatyping">
    <w:name w:val="aaatyping"/>
    <w:basedOn w:val="Normal"/>
    <w:qFormat/>
    <w:rsid w:val="00DE1921"/>
    <w:pPr>
      <w:spacing w:after="240" w:line="360" w:lineRule="auto"/>
    </w:pPr>
    <w:rPr>
      <w:rFonts w:ascii="Arial" w:hAnsi="Arial" w:cs="Arial"/>
      <w:sz w:val="28"/>
      <w:szCs w:val="28"/>
    </w:rPr>
  </w:style>
  <w:style w:type="paragraph" w:customStyle="1" w:styleId="aaabullet">
    <w:name w:val="aaa bullet"/>
    <w:basedOn w:val="ListParagraph"/>
    <w:qFormat/>
    <w:rsid w:val="00DE1921"/>
    <w:pPr>
      <w:numPr>
        <w:numId w:val="1"/>
      </w:numPr>
      <w:spacing w:after="0" w:line="360" w:lineRule="auto"/>
      <w:ind w:left="290" w:hanging="301"/>
      <w:contextualSpacing w:val="0"/>
    </w:pPr>
    <w:rPr>
      <w:rFonts w:ascii="Arial" w:hAnsi="Arial" w:cs="Arial"/>
      <w:sz w:val="28"/>
      <w:szCs w:val="28"/>
    </w:rPr>
  </w:style>
  <w:style w:type="paragraph" w:customStyle="1" w:styleId="aahollow">
    <w:name w:val="aahollow"/>
    <w:basedOn w:val="ListParagraph"/>
    <w:qFormat/>
    <w:rsid w:val="00A3753C"/>
    <w:pPr>
      <w:numPr>
        <w:ilvl w:val="1"/>
        <w:numId w:val="4"/>
      </w:numPr>
      <w:tabs>
        <w:tab w:val="left" w:pos="1560"/>
      </w:tabs>
      <w:spacing w:after="0" w:line="360" w:lineRule="auto"/>
      <w:ind w:left="709" w:hanging="425"/>
      <w:contextualSpacing w:val="0"/>
    </w:pPr>
    <w:rPr>
      <w:rFonts w:ascii="Arial" w:hAnsi="Arial" w:cs="Arial"/>
      <w:sz w:val="28"/>
      <w:szCs w:val="28"/>
    </w:rPr>
  </w:style>
  <w:style w:type="paragraph" w:customStyle="1" w:styleId="aaaboldheadingfinance">
    <w:name w:val="aaa bold heading finance"/>
    <w:basedOn w:val="Normal"/>
    <w:qFormat/>
    <w:rsid w:val="00E55C5F"/>
    <w:pPr>
      <w:spacing w:after="240" w:line="240" w:lineRule="auto"/>
    </w:pPr>
    <w:rPr>
      <w:rFonts w:ascii="Arial"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6.xml"/><Relationship Id="rId299" Type="http://schemas.openxmlformats.org/officeDocument/2006/relationships/header" Target="header196.xml"/><Relationship Id="rId303" Type="http://schemas.openxmlformats.org/officeDocument/2006/relationships/footer" Target="footer76.xml"/><Relationship Id="rId21" Type="http://schemas.openxmlformats.org/officeDocument/2006/relationships/footer" Target="footer4.xml"/><Relationship Id="rId42" Type="http://schemas.openxmlformats.org/officeDocument/2006/relationships/image" Target="media/image6.png"/><Relationship Id="rId63" Type="http://schemas.openxmlformats.org/officeDocument/2006/relationships/header" Target="header19.xml"/><Relationship Id="rId84" Type="http://schemas.openxmlformats.org/officeDocument/2006/relationships/header" Target="header38.xml"/><Relationship Id="rId138" Type="http://schemas.openxmlformats.org/officeDocument/2006/relationships/footer" Target="footer30.xml"/><Relationship Id="rId159" Type="http://schemas.openxmlformats.org/officeDocument/2006/relationships/footer" Target="footer34.xml"/><Relationship Id="rId324" Type="http://schemas.openxmlformats.org/officeDocument/2006/relationships/footer" Target="footer83.xml"/><Relationship Id="rId170" Type="http://schemas.openxmlformats.org/officeDocument/2006/relationships/footer" Target="footer37.xml"/><Relationship Id="rId191" Type="http://schemas.openxmlformats.org/officeDocument/2006/relationships/header" Target="header124.xml"/><Relationship Id="rId205" Type="http://schemas.openxmlformats.org/officeDocument/2006/relationships/header" Target="header134.xml"/><Relationship Id="rId226" Type="http://schemas.openxmlformats.org/officeDocument/2006/relationships/header" Target="header153.xml"/><Relationship Id="rId247" Type="http://schemas.openxmlformats.org/officeDocument/2006/relationships/header" Target="header169.xml"/><Relationship Id="rId107" Type="http://schemas.openxmlformats.org/officeDocument/2006/relationships/header" Target="header58.xml"/><Relationship Id="rId268" Type="http://schemas.openxmlformats.org/officeDocument/2006/relationships/footer" Target="footer62.xml"/><Relationship Id="rId289" Type="http://schemas.openxmlformats.org/officeDocument/2006/relationships/footer" Target="footer71.xml"/><Relationship Id="rId11" Type="http://schemas.openxmlformats.org/officeDocument/2006/relationships/footer" Target="footer1.xml"/><Relationship Id="rId32" Type="http://schemas.openxmlformats.org/officeDocument/2006/relationships/footer" Target="footer10.xml"/><Relationship Id="rId53" Type="http://schemas.openxmlformats.org/officeDocument/2006/relationships/header" Target="header10.xml"/><Relationship Id="rId74" Type="http://schemas.openxmlformats.org/officeDocument/2006/relationships/header" Target="header28.xml"/><Relationship Id="rId128" Type="http://schemas.openxmlformats.org/officeDocument/2006/relationships/header" Target="header75.xml"/><Relationship Id="rId149" Type="http://schemas.openxmlformats.org/officeDocument/2006/relationships/header" Target="header92.xml"/><Relationship Id="rId314" Type="http://schemas.openxmlformats.org/officeDocument/2006/relationships/footer" Target="footer79.xml"/><Relationship Id="rId5" Type="http://schemas.openxmlformats.org/officeDocument/2006/relationships/numbering" Target="numbering.xml"/><Relationship Id="rId95" Type="http://schemas.openxmlformats.org/officeDocument/2006/relationships/header" Target="header48.xml"/><Relationship Id="rId160" Type="http://schemas.openxmlformats.org/officeDocument/2006/relationships/header" Target="header100.xml"/><Relationship Id="rId181" Type="http://schemas.openxmlformats.org/officeDocument/2006/relationships/header" Target="header116.xml"/><Relationship Id="rId216" Type="http://schemas.openxmlformats.org/officeDocument/2006/relationships/header" Target="header143.xml"/><Relationship Id="rId237" Type="http://schemas.openxmlformats.org/officeDocument/2006/relationships/header" Target="header164.xml"/><Relationship Id="rId258" Type="http://schemas.openxmlformats.org/officeDocument/2006/relationships/footer" Target="footer57.xml"/><Relationship Id="rId279" Type="http://schemas.openxmlformats.org/officeDocument/2006/relationships/footer" Target="footer67.xml"/><Relationship Id="rId22" Type="http://schemas.openxmlformats.org/officeDocument/2006/relationships/footer" Target="footer5.xml"/><Relationship Id="rId43" Type="http://schemas.microsoft.com/office/2007/relationships/hdphoto" Target="media/hdphoto1.wdp"/><Relationship Id="rId64" Type="http://schemas.openxmlformats.org/officeDocument/2006/relationships/header" Target="header20.xml"/><Relationship Id="rId118" Type="http://schemas.openxmlformats.org/officeDocument/2006/relationships/header" Target="header66.xml"/><Relationship Id="rId139" Type="http://schemas.openxmlformats.org/officeDocument/2006/relationships/header" Target="header83.xml"/><Relationship Id="rId290" Type="http://schemas.openxmlformats.org/officeDocument/2006/relationships/header" Target="header192.xml"/><Relationship Id="rId304" Type="http://schemas.openxmlformats.org/officeDocument/2006/relationships/header" Target="header199.xml"/><Relationship Id="rId325" Type="http://schemas.openxmlformats.org/officeDocument/2006/relationships/fontTable" Target="fontTable.xml"/><Relationship Id="rId85" Type="http://schemas.openxmlformats.org/officeDocument/2006/relationships/header" Target="header39.xml"/><Relationship Id="rId150" Type="http://schemas.openxmlformats.org/officeDocument/2006/relationships/header" Target="header93.xml"/><Relationship Id="rId171" Type="http://schemas.openxmlformats.org/officeDocument/2006/relationships/header" Target="header108.xml"/><Relationship Id="rId192" Type="http://schemas.openxmlformats.org/officeDocument/2006/relationships/header" Target="header125.xml"/><Relationship Id="rId206" Type="http://schemas.openxmlformats.org/officeDocument/2006/relationships/header" Target="header135.xml"/><Relationship Id="rId227" Type="http://schemas.openxmlformats.org/officeDocument/2006/relationships/header" Target="header154.xml"/><Relationship Id="rId248" Type="http://schemas.openxmlformats.org/officeDocument/2006/relationships/header" Target="header170.xml"/><Relationship Id="rId269" Type="http://schemas.openxmlformats.org/officeDocument/2006/relationships/header" Target="header181.xml"/><Relationship Id="rId12" Type="http://schemas.openxmlformats.org/officeDocument/2006/relationships/hyperlink" Target="https://www.creativecommons.org/licenses/by/3.0/au/" TargetMode="External"/><Relationship Id="rId33" Type="http://schemas.openxmlformats.org/officeDocument/2006/relationships/footer" Target="footer11.xml"/><Relationship Id="rId108" Type="http://schemas.openxmlformats.org/officeDocument/2006/relationships/footer" Target="footer24.xml"/><Relationship Id="rId129" Type="http://schemas.openxmlformats.org/officeDocument/2006/relationships/header" Target="header76.xml"/><Relationship Id="rId280" Type="http://schemas.openxmlformats.org/officeDocument/2006/relationships/hyperlink" Target="https://www.tenders.vic.gov.au/tenders/index.do" TargetMode="External"/><Relationship Id="rId315" Type="http://schemas.openxmlformats.org/officeDocument/2006/relationships/header" Target="header204.xml"/><Relationship Id="rId54" Type="http://schemas.openxmlformats.org/officeDocument/2006/relationships/header" Target="header11.xml"/><Relationship Id="rId75" Type="http://schemas.openxmlformats.org/officeDocument/2006/relationships/header" Target="header29.xml"/><Relationship Id="rId96" Type="http://schemas.openxmlformats.org/officeDocument/2006/relationships/header" Target="header49.xml"/><Relationship Id="rId140" Type="http://schemas.openxmlformats.org/officeDocument/2006/relationships/header" Target="header84.xml"/><Relationship Id="rId161" Type="http://schemas.openxmlformats.org/officeDocument/2006/relationships/header" Target="header101.xml"/><Relationship Id="rId182" Type="http://schemas.openxmlformats.org/officeDocument/2006/relationships/footer" Target="footer40.xml"/><Relationship Id="rId217" Type="http://schemas.openxmlformats.org/officeDocument/2006/relationships/header" Target="header144.xml"/><Relationship Id="rId6" Type="http://schemas.openxmlformats.org/officeDocument/2006/relationships/styles" Target="styles.xml"/><Relationship Id="rId238" Type="http://schemas.openxmlformats.org/officeDocument/2006/relationships/header" Target="header165.xml"/><Relationship Id="rId259" Type="http://schemas.openxmlformats.org/officeDocument/2006/relationships/footer" Target="footer58.xml"/><Relationship Id="rId23" Type="http://schemas.openxmlformats.org/officeDocument/2006/relationships/footer" Target="footer6.xml"/><Relationship Id="rId119" Type="http://schemas.openxmlformats.org/officeDocument/2006/relationships/header" Target="header67.xml"/><Relationship Id="rId270" Type="http://schemas.openxmlformats.org/officeDocument/2006/relationships/header" Target="header182.xml"/><Relationship Id="rId291" Type="http://schemas.openxmlformats.org/officeDocument/2006/relationships/footer" Target="footer72.xml"/><Relationship Id="rId305" Type="http://schemas.openxmlformats.org/officeDocument/2006/relationships/header" Target="header200.xml"/><Relationship Id="rId326" Type="http://schemas.openxmlformats.org/officeDocument/2006/relationships/theme" Target="theme/theme1.xml"/><Relationship Id="rId44" Type="http://schemas.openxmlformats.org/officeDocument/2006/relationships/image" Target="media/image7.png"/><Relationship Id="rId65" Type="http://schemas.openxmlformats.org/officeDocument/2006/relationships/header" Target="header21.xml"/><Relationship Id="rId86" Type="http://schemas.openxmlformats.org/officeDocument/2006/relationships/header" Target="header40.xml"/><Relationship Id="rId130" Type="http://schemas.openxmlformats.org/officeDocument/2006/relationships/footer" Target="footer28.xml"/><Relationship Id="rId151" Type="http://schemas.openxmlformats.org/officeDocument/2006/relationships/footer" Target="footer32.xml"/><Relationship Id="rId172" Type="http://schemas.openxmlformats.org/officeDocument/2006/relationships/header" Target="header109.xml"/><Relationship Id="rId193" Type="http://schemas.openxmlformats.org/officeDocument/2006/relationships/header" Target="header126.xml"/><Relationship Id="rId207" Type="http://schemas.openxmlformats.org/officeDocument/2006/relationships/header" Target="header136.xml"/><Relationship Id="rId228" Type="http://schemas.openxmlformats.org/officeDocument/2006/relationships/header" Target="header155.xml"/><Relationship Id="rId249" Type="http://schemas.openxmlformats.org/officeDocument/2006/relationships/footer" Target="footer53.xml"/><Relationship Id="rId13" Type="http://schemas.openxmlformats.org/officeDocument/2006/relationships/hyperlink" Target="mailto:dotinternalcommunications@transport.vic.gov.au" TargetMode="External"/><Relationship Id="rId109" Type="http://schemas.openxmlformats.org/officeDocument/2006/relationships/header" Target="header59.xml"/><Relationship Id="rId260" Type="http://schemas.openxmlformats.org/officeDocument/2006/relationships/footer" Target="footer59.xml"/><Relationship Id="rId281" Type="http://schemas.openxmlformats.org/officeDocument/2006/relationships/footer" Target="footer68.xml"/><Relationship Id="rId316" Type="http://schemas.openxmlformats.org/officeDocument/2006/relationships/footer" Target="footer80.xml"/><Relationship Id="rId34" Type="http://schemas.openxmlformats.org/officeDocument/2006/relationships/footer" Target="footer12.xml"/><Relationship Id="rId55" Type="http://schemas.openxmlformats.org/officeDocument/2006/relationships/header" Target="header12.xml"/><Relationship Id="rId76" Type="http://schemas.openxmlformats.org/officeDocument/2006/relationships/header" Target="header30.xml"/><Relationship Id="rId97" Type="http://schemas.openxmlformats.org/officeDocument/2006/relationships/header" Target="header50.xml"/><Relationship Id="rId120" Type="http://schemas.openxmlformats.org/officeDocument/2006/relationships/header" Target="header68.xml"/><Relationship Id="rId141" Type="http://schemas.openxmlformats.org/officeDocument/2006/relationships/header" Target="header85.xml"/><Relationship Id="rId7" Type="http://schemas.openxmlformats.org/officeDocument/2006/relationships/settings" Target="settings.xml"/><Relationship Id="rId162" Type="http://schemas.openxmlformats.org/officeDocument/2006/relationships/header" Target="header102.xml"/><Relationship Id="rId183" Type="http://schemas.openxmlformats.org/officeDocument/2006/relationships/header" Target="header117.xml"/><Relationship Id="rId218" Type="http://schemas.openxmlformats.org/officeDocument/2006/relationships/header" Target="header145.xml"/><Relationship Id="rId239" Type="http://schemas.openxmlformats.org/officeDocument/2006/relationships/footer" Target="footer48.xml"/><Relationship Id="rId250" Type="http://schemas.openxmlformats.org/officeDocument/2006/relationships/header" Target="header171.xml"/><Relationship Id="rId271" Type="http://schemas.openxmlformats.org/officeDocument/2006/relationships/footer" Target="footer63.xml"/><Relationship Id="rId292" Type="http://schemas.openxmlformats.org/officeDocument/2006/relationships/hyperlink" Target="mailto:foi@transport.vic.gov.au" TargetMode="External"/><Relationship Id="rId306" Type="http://schemas.openxmlformats.org/officeDocument/2006/relationships/footer" Target="footer77.xml"/><Relationship Id="rId24" Type="http://schemas.openxmlformats.org/officeDocument/2006/relationships/image" Target="media/image2.jpeg"/><Relationship Id="rId45" Type="http://schemas.openxmlformats.org/officeDocument/2006/relationships/header" Target="header7.xml"/><Relationship Id="rId66" Type="http://schemas.openxmlformats.org/officeDocument/2006/relationships/header" Target="header22.xml"/><Relationship Id="rId87" Type="http://schemas.openxmlformats.org/officeDocument/2006/relationships/header" Target="header41.xml"/><Relationship Id="rId110" Type="http://schemas.openxmlformats.org/officeDocument/2006/relationships/header" Target="header60.xml"/><Relationship Id="rId131" Type="http://schemas.openxmlformats.org/officeDocument/2006/relationships/header" Target="header77.xml"/><Relationship Id="rId152" Type="http://schemas.openxmlformats.org/officeDocument/2006/relationships/header" Target="header94.xml"/><Relationship Id="rId173" Type="http://schemas.openxmlformats.org/officeDocument/2006/relationships/footer" Target="footer38.xml"/><Relationship Id="rId194" Type="http://schemas.openxmlformats.org/officeDocument/2006/relationships/header" Target="header127.xml"/><Relationship Id="rId208" Type="http://schemas.openxmlformats.org/officeDocument/2006/relationships/footer" Target="footer46.xml"/><Relationship Id="rId229" Type="http://schemas.openxmlformats.org/officeDocument/2006/relationships/header" Target="header156.xml"/><Relationship Id="rId240" Type="http://schemas.openxmlformats.org/officeDocument/2006/relationships/footer" Target="footer49.xml"/><Relationship Id="rId261" Type="http://schemas.openxmlformats.org/officeDocument/2006/relationships/header" Target="header176.xml"/><Relationship Id="rId14" Type="http://schemas.openxmlformats.org/officeDocument/2006/relationships/hyperlink" Target="https://transport.vic.gov.au/" TargetMode="External"/><Relationship Id="rId30" Type="http://schemas.openxmlformats.org/officeDocument/2006/relationships/footer" Target="footer9.xml"/><Relationship Id="rId35" Type="http://schemas.openxmlformats.org/officeDocument/2006/relationships/footer" Target="footer13.xml"/><Relationship Id="rId56" Type="http://schemas.openxmlformats.org/officeDocument/2006/relationships/header" Target="header13.xml"/><Relationship Id="rId77" Type="http://schemas.openxmlformats.org/officeDocument/2006/relationships/header" Target="header31.xml"/><Relationship Id="rId100" Type="http://schemas.openxmlformats.org/officeDocument/2006/relationships/header" Target="header53.xml"/><Relationship Id="rId105" Type="http://schemas.openxmlformats.org/officeDocument/2006/relationships/header" Target="header56.xml"/><Relationship Id="rId126" Type="http://schemas.openxmlformats.org/officeDocument/2006/relationships/header" Target="header74.xml"/><Relationship Id="rId147" Type="http://schemas.openxmlformats.org/officeDocument/2006/relationships/header" Target="header91.xml"/><Relationship Id="rId168" Type="http://schemas.openxmlformats.org/officeDocument/2006/relationships/header" Target="header106.xml"/><Relationship Id="rId282" Type="http://schemas.openxmlformats.org/officeDocument/2006/relationships/header" Target="header187.xml"/><Relationship Id="rId312" Type="http://schemas.openxmlformats.org/officeDocument/2006/relationships/header" Target="header202.xml"/><Relationship Id="rId317"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image" Target="media/image11.jpg"/><Relationship Id="rId72" Type="http://schemas.openxmlformats.org/officeDocument/2006/relationships/footer" Target="footer20.xml"/><Relationship Id="rId93" Type="http://schemas.openxmlformats.org/officeDocument/2006/relationships/header" Target="header46.xml"/><Relationship Id="rId98" Type="http://schemas.openxmlformats.org/officeDocument/2006/relationships/header" Target="header51.xml"/><Relationship Id="rId121" Type="http://schemas.openxmlformats.org/officeDocument/2006/relationships/header" Target="header69.xml"/><Relationship Id="rId142" Type="http://schemas.openxmlformats.org/officeDocument/2006/relationships/header" Target="header86.xml"/><Relationship Id="rId163" Type="http://schemas.openxmlformats.org/officeDocument/2006/relationships/header" Target="header103.xml"/><Relationship Id="rId184" Type="http://schemas.openxmlformats.org/officeDocument/2006/relationships/header" Target="header118.xml"/><Relationship Id="rId189" Type="http://schemas.openxmlformats.org/officeDocument/2006/relationships/header" Target="header122.xml"/><Relationship Id="rId219" Type="http://schemas.openxmlformats.org/officeDocument/2006/relationships/header" Target="header146.xml"/><Relationship Id="rId3" Type="http://schemas.openxmlformats.org/officeDocument/2006/relationships/customXml" Target="../customXml/item3.xml"/><Relationship Id="rId214" Type="http://schemas.openxmlformats.org/officeDocument/2006/relationships/header" Target="header141.xml"/><Relationship Id="rId230" Type="http://schemas.openxmlformats.org/officeDocument/2006/relationships/header" Target="header157.xml"/><Relationship Id="rId235" Type="http://schemas.openxmlformats.org/officeDocument/2006/relationships/header" Target="header162.xml"/><Relationship Id="rId251" Type="http://schemas.openxmlformats.org/officeDocument/2006/relationships/footer" Target="footer54.xml"/><Relationship Id="rId256" Type="http://schemas.openxmlformats.org/officeDocument/2006/relationships/footer" Target="footer56.xml"/><Relationship Id="rId277" Type="http://schemas.openxmlformats.org/officeDocument/2006/relationships/header" Target="header186.xml"/><Relationship Id="rId298" Type="http://schemas.openxmlformats.org/officeDocument/2006/relationships/footer" Target="footer74.xml"/><Relationship Id="rId25" Type="http://schemas.openxmlformats.org/officeDocument/2006/relationships/footer" Target="footer7.xml"/><Relationship Id="rId46" Type="http://schemas.openxmlformats.org/officeDocument/2006/relationships/header" Target="header8.xml"/><Relationship Id="rId67" Type="http://schemas.openxmlformats.org/officeDocument/2006/relationships/header" Target="header23.xml"/><Relationship Id="rId116" Type="http://schemas.openxmlformats.org/officeDocument/2006/relationships/header" Target="header65.xml"/><Relationship Id="rId137" Type="http://schemas.openxmlformats.org/officeDocument/2006/relationships/header" Target="header82.xml"/><Relationship Id="rId158" Type="http://schemas.openxmlformats.org/officeDocument/2006/relationships/header" Target="header99.xml"/><Relationship Id="rId272" Type="http://schemas.openxmlformats.org/officeDocument/2006/relationships/header" Target="header183.xml"/><Relationship Id="rId293" Type="http://schemas.openxmlformats.org/officeDocument/2006/relationships/hyperlink" Target="mailto:MTIA-FOI@mtia.vic.gov.au" TargetMode="External"/><Relationship Id="rId302" Type="http://schemas.openxmlformats.org/officeDocument/2006/relationships/header" Target="header198.xml"/><Relationship Id="rId307" Type="http://schemas.openxmlformats.org/officeDocument/2006/relationships/header" Target="header201.xml"/><Relationship Id="rId323" Type="http://schemas.openxmlformats.org/officeDocument/2006/relationships/footer" Target="footer82.xml"/><Relationship Id="rId20" Type="http://schemas.openxmlformats.org/officeDocument/2006/relationships/header" Target="header3.xml"/><Relationship Id="rId41" Type="http://schemas.openxmlformats.org/officeDocument/2006/relationships/footer" Target="footer17.xml"/><Relationship Id="rId62" Type="http://schemas.openxmlformats.org/officeDocument/2006/relationships/header" Target="header18.xml"/><Relationship Id="rId83" Type="http://schemas.openxmlformats.org/officeDocument/2006/relationships/header" Target="header37.xml"/><Relationship Id="rId88" Type="http://schemas.openxmlformats.org/officeDocument/2006/relationships/header" Target="header42.xml"/><Relationship Id="rId111" Type="http://schemas.openxmlformats.org/officeDocument/2006/relationships/header" Target="header61.xml"/><Relationship Id="rId132" Type="http://schemas.openxmlformats.org/officeDocument/2006/relationships/header" Target="header78.xml"/><Relationship Id="rId153" Type="http://schemas.openxmlformats.org/officeDocument/2006/relationships/header" Target="header95.xml"/><Relationship Id="rId174" Type="http://schemas.openxmlformats.org/officeDocument/2006/relationships/header" Target="header110.xml"/><Relationship Id="rId179" Type="http://schemas.openxmlformats.org/officeDocument/2006/relationships/footer" Target="footer39.xml"/><Relationship Id="rId195" Type="http://schemas.openxmlformats.org/officeDocument/2006/relationships/footer" Target="footer42.xml"/><Relationship Id="rId209" Type="http://schemas.openxmlformats.org/officeDocument/2006/relationships/header" Target="header137.xml"/><Relationship Id="rId190" Type="http://schemas.openxmlformats.org/officeDocument/2006/relationships/header" Target="header123.xml"/><Relationship Id="rId204" Type="http://schemas.openxmlformats.org/officeDocument/2006/relationships/footer" Target="footer45.xml"/><Relationship Id="rId220" Type="http://schemas.openxmlformats.org/officeDocument/2006/relationships/header" Target="header147.xml"/><Relationship Id="rId225" Type="http://schemas.openxmlformats.org/officeDocument/2006/relationships/header" Target="header152.xml"/><Relationship Id="rId241" Type="http://schemas.openxmlformats.org/officeDocument/2006/relationships/header" Target="header166.xml"/><Relationship Id="rId246" Type="http://schemas.openxmlformats.org/officeDocument/2006/relationships/header" Target="header168.xml"/><Relationship Id="rId267" Type="http://schemas.openxmlformats.org/officeDocument/2006/relationships/header" Target="header180.xml"/><Relationship Id="rId288" Type="http://schemas.openxmlformats.org/officeDocument/2006/relationships/header" Target="header191.xml"/><Relationship Id="rId15" Type="http://schemas.openxmlformats.org/officeDocument/2006/relationships/footer" Target="footer2.xml"/><Relationship Id="rId36" Type="http://schemas.openxmlformats.org/officeDocument/2006/relationships/footer" Target="footer14.xml"/><Relationship Id="rId57" Type="http://schemas.openxmlformats.org/officeDocument/2006/relationships/header" Target="header14.xml"/><Relationship Id="rId106" Type="http://schemas.openxmlformats.org/officeDocument/2006/relationships/header" Target="header57.xml"/><Relationship Id="rId127" Type="http://schemas.openxmlformats.org/officeDocument/2006/relationships/footer" Target="footer27.xml"/><Relationship Id="rId262" Type="http://schemas.openxmlformats.org/officeDocument/2006/relationships/header" Target="header177.xml"/><Relationship Id="rId283" Type="http://schemas.openxmlformats.org/officeDocument/2006/relationships/header" Target="header188.xml"/><Relationship Id="rId313" Type="http://schemas.openxmlformats.org/officeDocument/2006/relationships/header" Target="header203.xml"/><Relationship Id="rId318" Type="http://schemas.openxmlformats.org/officeDocument/2006/relationships/hyperlink" Target="mailto:foi@transport.vic.gov.au" TargetMode="External"/><Relationship Id="rId10" Type="http://schemas.openxmlformats.org/officeDocument/2006/relationships/endnotes" Target="endnotes.xml"/><Relationship Id="rId31" Type="http://schemas.openxmlformats.org/officeDocument/2006/relationships/header" Target="header6.xml"/><Relationship Id="rId52" Type="http://schemas.openxmlformats.org/officeDocument/2006/relationships/image" Target="media/image12.jpeg"/><Relationship Id="rId73" Type="http://schemas.openxmlformats.org/officeDocument/2006/relationships/header" Target="header27.xml"/><Relationship Id="rId78" Type="http://schemas.openxmlformats.org/officeDocument/2006/relationships/header" Target="header32.xml"/><Relationship Id="rId94" Type="http://schemas.openxmlformats.org/officeDocument/2006/relationships/header" Target="header47.xml"/><Relationship Id="rId99" Type="http://schemas.openxmlformats.org/officeDocument/2006/relationships/header" Target="header52.xml"/><Relationship Id="rId101" Type="http://schemas.openxmlformats.org/officeDocument/2006/relationships/footer" Target="footer22.xml"/><Relationship Id="rId122" Type="http://schemas.openxmlformats.org/officeDocument/2006/relationships/header" Target="header70.xml"/><Relationship Id="rId143" Type="http://schemas.openxmlformats.org/officeDocument/2006/relationships/header" Target="header87.xml"/><Relationship Id="rId148" Type="http://schemas.openxmlformats.org/officeDocument/2006/relationships/footer" Target="footer31.xml"/><Relationship Id="rId164" Type="http://schemas.openxmlformats.org/officeDocument/2006/relationships/footer" Target="footer35.xml"/><Relationship Id="rId169" Type="http://schemas.openxmlformats.org/officeDocument/2006/relationships/header" Target="header107.xml"/><Relationship Id="rId185" Type="http://schemas.openxmlformats.org/officeDocument/2006/relationships/footer" Target="footer4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115.xml"/><Relationship Id="rId210" Type="http://schemas.openxmlformats.org/officeDocument/2006/relationships/header" Target="header138.xml"/><Relationship Id="rId215" Type="http://schemas.openxmlformats.org/officeDocument/2006/relationships/header" Target="header142.xml"/><Relationship Id="rId236" Type="http://schemas.openxmlformats.org/officeDocument/2006/relationships/header" Target="header163.xml"/><Relationship Id="rId257" Type="http://schemas.openxmlformats.org/officeDocument/2006/relationships/header" Target="header175.xml"/><Relationship Id="rId278" Type="http://schemas.openxmlformats.org/officeDocument/2006/relationships/footer" Target="footer66.xml"/><Relationship Id="rId26" Type="http://schemas.openxmlformats.org/officeDocument/2006/relationships/footer" Target="footer8.xml"/><Relationship Id="rId231" Type="http://schemas.openxmlformats.org/officeDocument/2006/relationships/header" Target="header158.xml"/><Relationship Id="rId252" Type="http://schemas.openxmlformats.org/officeDocument/2006/relationships/header" Target="header172.xml"/><Relationship Id="rId273" Type="http://schemas.openxmlformats.org/officeDocument/2006/relationships/footer" Target="footer64.xml"/><Relationship Id="rId294" Type="http://schemas.openxmlformats.org/officeDocument/2006/relationships/header" Target="header193.xml"/><Relationship Id="rId308" Type="http://schemas.openxmlformats.org/officeDocument/2006/relationships/footer" Target="footer78.xml"/><Relationship Id="rId47" Type="http://schemas.openxmlformats.org/officeDocument/2006/relationships/header" Target="header9.xml"/><Relationship Id="rId68" Type="http://schemas.openxmlformats.org/officeDocument/2006/relationships/footer" Target="footer19.xml"/><Relationship Id="rId89" Type="http://schemas.openxmlformats.org/officeDocument/2006/relationships/header" Target="header43.xml"/><Relationship Id="rId112" Type="http://schemas.openxmlformats.org/officeDocument/2006/relationships/footer" Target="footer25.xml"/><Relationship Id="rId133" Type="http://schemas.openxmlformats.org/officeDocument/2006/relationships/header" Target="header79.xml"/><Relationship Id="rId154" Type="http://schemas.openxmlformats.org/officeDocument/2006/relationships/header" Target="header96.xml"/><Relationship Id="rId175" Type="http://schemas.openxmlformats.org/officeDocument/2006/relationships/header" Target="header111.xml"/><Relationship Id="rId196" Type="http://schemas.openxmlformats.org/officeDocument/2006/relationships/header" Target="header128.xml"/><Relationship Id="rId200" Type="http://schemas.openxmlformats.org/officeDocument/2006/relationships/header" Target="header131.xml"/><Relationship Id="rId16" Type="http://schemas.openxmlformats.org/officeDocument/2006/relationships/image" Target="media/image1.png"/><Relationship Id="rId221" Type="http://schemas.openxmlformats.org/officeDocument/2006/relationships/header" Target="header148.xml"/><Relationship Id="rId242" Type="http://schemas.openxmlformats.org/officeDocument/2006/relationships/header" Target="header167.xml"/><Relationship Id="rId263" Type="http://schemas.openxmlformats.org/officeDocument/2006/relationships/footer" Target="footer60.xml"/><Relationship Id="rId284" Type="http://schemas.openxmlformats.org/officeDocument/2006/relationships/footer" Target="footer69.xml"/><Relationship Id="rId319" Type="http://schemas.openxmlformats.org/officeDocument/2006/relationships/header" Target="header205.xml"/><Relationship Id="rId37" Type="http://schemas.openxmlformats.org/officeDocument/2006/relationships/image" Target="media/image4.jpeg"/><Relationship Id="rId58" Type="http://schemas.openxmlformats.org/officeDocument/2006/relationships/header" Target="header15.xml"/><Relationship Id="rId79" Type="http://schemas.openxmlformats.org/officeDocument/2006/relationships/header" Target="header33.xml"/><Relationship Id="rId102" Type="http://schemas.openxmlformats.org/officeDocument/2006/relationships/header" Target="header54.xml"/><Relationship Id="rId123" Type="http://schemas.openxmlformats.org/officeDocument/2006/relationships/header" Target="header71.xml"/><Relationship Id="rId144" Type="http://schemas.openxmlformats.org/officeDocument/2006/relationships/header" Target="header88.xml"/><Relationship Id="rId90" Type="http://schemas.openxmlformats.org/officeDocument/2006/relationships/header" Target="header44.xml"/><Relationship Id="rId165" Type="http://schemas.openxmlformats.org/officeDocument/2006/relationships/header" Target="header104.xml"/><Relationship Id="rId186" Type="http://schemas.openxmlformats.org/officeDocument/2006/relationships/header" Target="header119.xml"/><Relationship Id="rId211" Type="http://schemas.openxmlformats.org/officeDocument/2006/relationships/footer" Target="footer47.xml"/><Relationship Id="rId232" Type="http://schemas.openxmlformats.org/officeDocument/2006/relationships/header" Target="header159.xml"/><Relationship Id="rId253" Type="http://schemas.openxmlformats.org/officeDocument/2006/relationships/footer" Target="footer55.xml"/><Relationship Id="rId274" Type="http://schemas.openxmlformats.org/officeDocument/2006/relationships/header" Target="header184.xml"/><Relationship Id="rId295" Type="http://schemas.openxmlformats.org/officeDocument/2006/relationships/header" Target="header194.xml"/><Relationship Id="rId309" Type="http://schemas.openxmlformats.org/officeDocument/2006/relationships/hyperlink" Target="http://www.ibac.vic.gov.au" TargetMode="External"/><Relationship Id="rId27" Type="http://schemas.openxmlformats.org/officeDocument/2006/relationships/image" Target="media/image3.jpeg"/><Relationship Id="rId48" Type="http://schemas.openxmlformats.org/officeDocument/2006/relationships/image" Target="media/image8.jpeg"/><Relationship Id="rId69" Type="http://schemas.openxmlformats.org/officeDocument/2006/relationships/header" Target="header24.xml"/><Relationship Id="rId113" Type="http://schemas.openxmlformats.org/officeDocument/2006/relationships/header" Target="header62.xml"/><Relationship Id="rId134" Type="http://schemas.openxmlformats.org/officeDocument/2006/relationships/footer" Target="footer29.xml"/><Relationship Id="rId320" Type="http://schemas.openxmlformats.org/officeDocument/2006/relationships/header" Target="header206.xml"/><Relationship Id="rId80" Type="http://schemas.openxmlformats.org/officeDocument/2006/relationships/header" Target="header34.xml"/><Relationship Id="rId155" Type="http://schemas.openxmlformats.org/officeDocument/2006/relationships/footer" Target="footer33.xml"/><Relationship Id="rId176" Type="http://schemas.openxmlformats.org/officeDocument/2006/relationships/header" Target="header112.xml"/><Relationship Id="rId197" Type="http://schemas.openxmlformats.org/officeDocument/2006/relationships/header" Target="header129.xml"/><Relationship Id="rId201" Type="http://schemas.openxmlformats.org/officeDocument/2006/relationships/footer" Target="footer44.xml"/><Relationship Id="rId222" Type="http://schemas.openxmlformats.org/officeDocument/2006/relationships/header" Target="header149.xml"/><Relationship Id="rId243" Type="http://schemas.openxmlformats.org/officeDocument/2006/relationships/footer" Target="footer50.xml"/><Relationship Id="rId264" Type="http://schemas.openxmlformats.org/officeDocument/2006/relationships/header" Target="header178.xml"/><Relationship Id="rId285" Type="http://schemas.openxmlformats.org/officeDocument/2006/relationships/header" Target="header189.xml"/><Relationship Id="rId17" Type="http://schemas.openxmlformats.org/officeDocument/2006/relationships/header" Target="header1.xml"/><Relationship Id="rId38" Type="http://schemas.openxmlformats.org/officeDocument/2006/relationships/image" Target="media/image5.jpeg"/><Relationship Id="rId59" Type="http://schemas.openxmlformats.org/officeDocument/2006/relationships/header" Target="header16.xml"/><Relationship Id="rId103" Type="http://schemas.openxmlformats.org/officeDocument/2006/relationships/header" Target="header55.xml"/><Relationship Id="rId124" Type="http://schemas.openxmlformats.org/officeDocument/2006/relationships/header" Target="header72.xml"/><Relationship Id="rId310" Type="http://schemas.openxmlformats.org/officeDocument/2006/relationships/hyperlink" Target="mailto:info@ibac.vic.gov.au" TargetMode="External"/><Relationship Id="rId70" Type="http://schemas.openxmlformats.org/officeDocument/2006/relationships/header" Target="header25.xml"/><Relationship Id="rId91" Type="http://schemas.openxmlformats.org/officeDocument/2006/relationships/footer" Target="footer21.xml"/><Relationship Id="rId145" Type="http://schemas.openxmlformats.org/officeDocument/2006/relationships/header" Target="header89.xml"/><Relationship Id="rId166" Type="http://schemas.openxmlformats.org/officeDocument/2006/relationships/header" Target="header105.xml"/><Relationship Id="rId187" Type="http://schemas.openxmlformats.org/officeDocument/2006/relationships/header" Target="header120.xml"/><Relationship Id="rId1" Type="http://schemas.openxmlformats.org/officeDocument/2006/relationships/customXml" Target="../customXml/item1.xml"/><Relationship Id="rId212" Type="http://schemas.openxmlformats.org/officeDocument/2006/relationships/header" Target="header139.xml"/><Relationship Id="rId233" Type="http://schemas.openxmlformats.org/officeDocument/2006/relationships/header" Target="header160.xml"/><Relationship Id="rId254" Type="http://schemas.openxmlformats.org/officeDocument/2006/relationships/header" Target="header173.xml"/><Relationship Id="rId28" Type="http://schemas.openxmlformats.org/officeDocument/2006/relationships/header" Target="header4.xml"/><Relationship Id="rId49" Type="http://schemas.openxmlformats.org/officeDocument/2006/relationships/image" Target="media/image9.jpg"/><Relationship Id="rId114" Type="http://schemas.openxmlformats.org/officeDocument/2006/relationships/header" Target="header63.xml"/><Relationship Id="rId275" Type="http://schemas.openxmlformats.org/officeDocument/2006/relationships/header" Target="header185.xml"/><Relationship Id="rId296" Type="http://schemas.openxmlformats.org/officeDocument/2006/relationships/footer" Target="footer73.xml"/><Relationship Id="rId300" Type="http://schemas.openxmlformats.org/officeDocument/2006/relationships/header" Target="header197.xml"/><Relationship Id="rId60" Type="http://schemas.openxmlformats.org/officeDocument/2006/relationships/header" Target="header17.xml"/><Relationship Id="rId81" Type="http://schemas.openxmlformats.org/officeDocument/2006/relationships/header" Target="header35.xml"/><Relationship Id="rId135" Type="http://schemas.openxmlformats.org/officeDocument/2006/relationships/header" Target="header80.xml"/><Relationship Id="rId156" Type="http://schemas.openxmlformats.org/officeDocument/2006/relationships/header" Target="header97.xml"/><Relationship Id="rId177" Type="http://schemas.openxmlformats.org/officeDocument/2006/relationships/header" Target="header113.xml"/><Relationship Id="rId198" Type="http://schemas.openxmlformats.org/officeDocument/2006/relationships/footer" Target="footer43.xml"/><Relationship Id="rId321" Type="http://schemas.openxmlformats.org/officeDocument/2006/relationships/footer" Target="footer81.xml"/><Relationship Id="rId202" Type="http://schemas.openxmlformats.org/officeDocument/2006/relationships/header" Target="header132.xml"/><Relationship Id="rId223" Type="http://schemas.openxmlformats.org/officeDocument/2006/relationships/header" Target="header150.xml"/><Relationship Id="rId244" Type="http://schemas.openxmlformats.org/officeDocument/2006/relationships/footer" Target="footer51.xml"/><Relationship Id="rId18" Type="http://schemas.openxmlformats.org/officeDocument/2006/relationships/header" Target="header2.xml"/><Relationship Id="rId39" Type="http://schemas.openxmlformats.org/officeDocument/2006/relationships/footer" Target="footer15.xml"/><Relationship Id="rId265" Type="http://schemas.openxmlformats.org/officeDocument/2006/relationships/header" Target="header179.xml"/><Relationship Id="rId286" Type="http://schemas.openxmlformats.org/officeDocument/2006/relationships/footer" Target="footer70.xml"/><Relationship Id="rId50" Type="http://schemas.openxmlformats.org/officeDocument/2006/relationships/image" Target="media/image10.jpg"/><Relationship Id="rId104" Type="http://schemas.openxmlformats.org/officeDocument/2006/relationships/footer" Target="footer23.xml"/><Relationship Id="rId125" Type="http://schemas.openxmlformats.org/officeDocument/2006/relationships/header" Target="header73.xml"/><Relationship Id="rId146" Type="http://schemas.openxmlformats.org/officeDocument/2006/relationships/header" Target="header90.xml"/><Relationship Id="rId167" Type="http://schemas.openxmlformats.org/officeDocument/2006/relationships/footer" Target="footer36.xml"/><Relationship Id="rId188" Type="http://schemas.openxmlformats.org/officeDocument/2006/relationships/header" Target="header121.xml"/><Relationship Id="rId311" Type="http://schemas.openxmlformats.org/officeDocument/2006/relationships/hyperlink" Target="https://ibac.vic.gov.au/" TargetMode="External"/><Relationship Id="rId71" Type="http://schemas.openxmlformats.org/officeDocument/2006/relationships/header" Target="header26.xml"/><Relationship Id="rId92" Type="http://schemas.openxmlformats.org/officeDocument/2006/relationships/header" Target="header45.xml"/><Relationship Id="rId213" Type="http://schemas.openxmlformats.org/officeDocument/2006/relationships/header" Target="header140.xml"/><Relationship Id="rId234" Type="http://schemas.openxmlformats.org/officeDocument/2006/relationships/header" Target="header161.xml"/><Relationship Id="rId2" Type="http://schemas.openxmlformats.org/officeDocument/2006/relationships/customXml" Target="../customXml/item2.xml"/><Relationship Id="rId29" Type="http://schemas.openxmlformats.org/officeDocument/2006/relationships/header" Target="header5.xml"/><Relationship Id="rId255" Type="http://schemas.openxmlformats.org/officeDocument/2006/relationships/header" Target="header174.xml"/><Relationship Id="rId276" Type="http://schemas.openxmlformats.org/officeDocument/2006/relationships/footer" Target="footer65.xml"/><Relationship Id="rId297" Type="http://schemas.openxmlformats.org/officeDocument/2006/relationships/header" Target="header195.xml"/><Relationship Id="rId40" Type="http://schemas.openxmlformats.org/officeDocument/2006/relationships/footer" Target="footer16.xml"/><Relationship Id="rId115" Type="http://schemas.openxmlformats.org/officeDocument/2006/relationships/header" Target="header64.xml"/><Relationship Id="rId136" Type="http://schemas.openxmlformats.org/officeDocument/2006/relationships/header" Target="header81.xml"/><Relationship Id="rId157" Type="http://schemas.openxmlformats.org/officeDocument/2006/relationships/header" Target="header98.xml"/><Relationship Id="rId178" Type="http://schemas.openxmlformats.org/officeDocument/2006/relationships/header" Target="header114.xml"/><Relationship Id="rId301" Type="http://schemas.openxmlformats.org/officeDocument/2006/relationships/footer" Target="footer75.xml"/><Relationship Id="rId322" Type="http://schemas.openxmlformats.org/officeDocument/2006/relationships/header" Target="header207.xml"/><Relationship Id="rId61" Type="http://schemas.openxmlformats.org/officeDocument/2006/relationships/footer" Target="footer18.xml"/><Relationship Id="rId82" Type="http://schemas.openxmlformats.org/officeDocument/2006/relationships/header" Target="header36.xml"/><Relationship Id="rId199" Type="http://schemas.openxmlformats.org/officeDocument/2006/relationships/header" Target="header130.xml"/><Relationship Id="rId203" Type="http://schemas.openxmlformats.org/officeDocument/2006/relationships/header" Target="header133.xml"/><Relationship Id="rId19" Type="http://schemas.openxmlformats.org/officeDocument/2006/relationships/footer" Target="footer3.xml"/><Relationship Id="rId224" Type="http://schemas.openxmlformats.org/officeDocument/2006/relationships/header" Target="header151.xml"/><Relationship Id="rId245" Type="http://schemas.openxmlformats.org/officeDocument/2006/relationships/footer" Target="footer52.xml"/><Relationship Id="rId266" Type="http://schemas.openxmlformats.org/officeDocument/2006/relationships/footer" Target="footer61.xml"/><Relationship Id="rId287" Type="http://schemas.openxmlformats.org/officeDocument/2006/relationships/header" Target="header19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C92934F235AA429FC074C4E8D7FF63" ma:contentTypeVersion="11" ma:contentTypeDescription="Create a new document." ma:contentTypeScope="" ma:versionID="8f3c43fd495fa6ce7d94fcf7f79f1077">
  <xsd:schema xmlns:xsd="http://www.w3.org/2001/XMLSchema" xmlns:xs="http://www.w3.org/2001/XMLSchema" xmlns:p="http://schemas.microsoft.com/office/2006/metadata/properties" xmlns:ns2="a30b9937-cb05-4031-b12e-73f0b53a4d6d" xmlns:ns3="8a322ce9-4c1f-461b-ac3c-1e06b80bf95c" targetNamespace="http://schemas.microsoft.com/office/2006/metadata/properties" ma:root="true" ma:fieldsID="3f5e10d6fef673848a7b18bd5e25bb3e" ns2:_="" ns3:_="">
    <xsd:import namespace="a30b9937-cb05-4031-b12e-73f0b53a4d6d"/>
    <xsd:import namespace="8a322ce9-4c1f-461b-ac3c-1e06b80bf9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b9937-cb05-4031-b12e-73f0b53a4d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22ce9-4c1f-461b-ac3c-1e06b80bf95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a322ce9-4c1f-461b-ac3c-1e06b80bf95c">
      <UserInfo>
        <DisplayName>Natasha Smith (DOT)</DisplayName>
        <AccountId>28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B7A92-AC48-47ED-BB65-E28DE3793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b9937-cb05-4031-b12e-73f0b53a4d6d"/>
    <ds:schemaRef ds:uri="8a322ce9-4c1f-461b-ac3c-1e06b80bf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69AA0D-D6DF-4116-8835-3862D9CFA745}">
  <ds:schemaRefs>
    <ds:schemaRef ds:uri="http://schemas.microsoft.com/office/2006/metadata/properties"/>
    <ds:schemaRef ds:uri="http://schemas.microsoft.com/office/infopath/2007/PartnerControls"/>
    <ds:schemaRef ds:uri="8a322ce9-4c1f-461b-ac3c-1e06b80bf95c"/>
  </ds:schemaRefs>
</ds:datastoreItem>
</file>

<file path=customXml/itemProps3.xml><?xml version="1.0" encoding="utf-8"?>
<ds:datastoreItem xmlns:ds="http://schemas.openxmlformats.org/officeDocument/2006/customXml" ds:itemID="{0922DD18-BE3A-4572-96FE-BA740BF45D90}">
  <ds:schemaRefs>
    <ds:schemaRef ds:uri="http://schemas.microsoft.com/sharepoint/v3/contenttype/forms"/>
  </ds:schemaRefs>
</ds:datastoreItem>
</file>

<file path=customXml/itemProps4.xml><?xml version="1.0" encoding="utf-8"?>
<ds:datastoreItem xmlns:ds="http://schemas.openxmlformats.org/officeDocument/2006/customXml" ds:itemID="{398F6460-BC6C-4BCB-9327-B7780F889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493</Pages>
  <Words>87811</Words>
  <Characters>500528</Characters>
  <Application>Microsoft Office Word</Application>
  <DocSecurity>8</DocSecurity>
  <Lines>4171</Lines>
  <Paragraphs>1174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587165</CharactersWithSpaces>
  <SharedDoc>false</SharedDoc>
  <HLinks>
    <vt:vector size="858" baseType="variant">
      <vt:variant>
        <vt:i4>7667795</vt:i4>
      </vt:variant>
      <vt:variant>
        <vt:i4>3535</vt:i4>
      </vt:variant>
      <vt:variant>
        <vt:i4>0</vt:i4>
      </vt:variant>
      <vt:variant>
        <vt:i4>5</vt:i4>
      </vt:variant>
      <vt:variant>
        <vt:lpwstr>mailto:foi@transport.vic.gov.au</vt:lpwstr>
      </vt:variant>
      <vt:variant>
        <vt:lpwstr/>
      </vt:variant>
      <vt:variant>
        <vt:i4>5898261</vt:i4>
      </vt:variant>
      <vt:variant>
        <vt:i4>3532</vt:i4>
      </vt:variant>
      <vt:variant>
        <vt:i4>0</vt:i4>
      </vt:variant>
      <vt:variant>
        <vt:i4>5</vt:i4>
      </vt:variant>
      <vt:variant>
        <vt:lpwstr>https://ibac.vic.gov.au/</vt:lpwstr>
      </vt:variant>
      <vt:variant>
        <vt:lpwstr/>
      </vt:variant>
      <vt:variant>
        <vt:i4>4784235</vt:i4>
      </vt:variant>
      <vt:variant>
        <vt:i4>3529</vt:i4>
      </vt:variant>
      <vt:variant>
        <vt:i4>0</vt:i4>
      </vt:variant>
      <vt:variant>
        <vt:i4>5</vt:i4>
      </vt:variant>
      <vt:variant>
        <vt:lpwstr>mailto:info@ibac.vic.gov.au</vt:lpwstr>
      </vt:variant>
      <vt:variant>
        <vt:lpwstr/>
      </vt:variant>
      <vt:variant>
        <vt:i4>8257588</vt:i4>
      </vt:variant>
      <vt:variant>
        <vt:i4>3526</vt:i4>
      </vt:variant>
      <vt:variant>
        <vt:i4>0</vt:i4>
      </vt:variant>
      <vt:variant>
        <vt:i4>5</vt:i4>
      </vt:variant>
      <vt:variant>
        <vt:lpwstr>http://www.ibac.vic.gov.au/</vt:lpwstr>
      </vt:variant>
      <vt:variant>
        <vt:lpwstr/>
      </vt:variant>
      <vt:variant>
        <vt:i4>1310844</vt:i4>
      </vt:variant>
      <vt:variant>
        <vt:i4>3523</vt:i4>
      </vt:variant>
      <vt:variant>
        <vt:i4>0</vt:i4>
      </vt:variant>
      <vt:variant>
        <vt:i4>5</vt:i4>
      </vt:variant>
      <vt:variant>
        <vt:lpwstr>mailto:MTIA-FOI@mtia.vic.gov.au</vt:lpwstr>
      </vt:variant>
      <vt:variant>
        <vt:lpwstr/>
      </vt:variant>
      <vt:variant>
        <vt:i4>7667795</vt:i4>
      </vt:variant>
      <vt:variant>
        <vt:i4>3520</vt:i4>
      </vt:variant>
      <vt:variant>
        <vt:i4>0</vt:i4>
      </vt:variant>
      <vt:variant>
        <vt:i4>5</vt:i4>
      </vt:variant>
      <vt:variant>
        <vt:lpwstr>mailto:foi@transport.vic.gov.au</vt:lpwstr>
      </vt:variant>
      <vt:variant>
        <vt:lpwstr/>
      </vt:variant>
      <vt:variant>
        <vt:i4>8061055</vt:i4>
      </vt:variant>
      <vt:variant>
        <vt:i4>3517</vt:i4>
      </vt:variant>
      <vt:variant>
        <vt:i4>0</vt:i4>
      </vt:variant>
      <vt:variant>
        <vt:i4>5</vt:i4>
      </vt:variant>
      <vt:variant>
        <vt:lpwstr>https://www.tenders.vic.gov.au/tenders/index.do</vt:lpwstr>
      </vt:variant>
      <vt:variant>
        <vt:lpwstr/>
      </vt:variant>
      <vt:variant>
        <vt:i4>1703993</vt:i4>
      </vt:variant>
      <vt:variant>
        <vt:i4>725</vt:i4>
      </vt:variant>
      <vt:variant>
        <vt:i4>0</vt:i4>
      </vt:variant>
      <vt:variant>
        <vt:i4>5</vt:i4>
      </vt:variant>
      <vt:variant>
        <vt:lpwstr/>
      </vt:variant>
      <vt:variant>
        <vt:lpwstr>_Toc53420985</vt:lpwstr>
      </vt:variant>
      <vt:variant>
        <vt:i4>1769529</vt:i4>
      </vt:variant>
      <vt:variant>
        <vt:i4>719</vt:i4>
      </vt:variant>
      <vt:variant>
        <vt:i4>0</vt:i4>
      </vt:variant>
      <vt:variant>
        <vt:i4>5</vt:i4>
      </vt:variant>
      <vt:variant>
        <vt:lpwstr/>
      </vt:variant>
      <vt:variant>
        <vt:lpwstr>_Toc53420984</vt:lpwstr>
      </vt:variant>
      <vt:variant>
        <vt:i4>1835065</vt:i4>
      </vt:variant>
      <vt:variant>
        <vt:i4>713</vt:i4>
      </vt:variant>
      <vt:variant>
        <vt:i4>0</vt:i4>
      </vt:variant>
      <vt:variant>
        <vt:i4>5</vt:i4>
      </vt:variant>
      <vt:variant>
        <vt:lpwstr/>
      </vt:variant>
      <vt:variant>
        <vt:lpwstr>_Toc53420983</vt:lpwstr>
      </vt:variant>
      <vt:variant>
        <vt:i4>1900601</vt:i4>
      </vt:variant>
      <vt:variant>
        <vt:i4>707</vt:i4>
      </vt:variant>
      <vt:variant>
        <vt:i4>0</vt:i4>
      </vt:variant>
      <vt:variant>
        <vt:i4>5</vt:i4>
      </vt:variant>
      <vt:variant>
        <vt:lpwstr/>
      </vt:variant>
      <vt:variant>
        <vt:lpwstr>_Toc53420982</vt:lpwstr>
      </vt:variant>
      <vt:variant>
        <vt:i4>1966137</vt:i4>
      </vt:variant>
      <vt:variant>
        <vt:i4>701</vt:i4>
      </vt:variant>
      <vt:variant>
        <vt:i4>0</vt:i4>
      </vt:variant>
      <vt:variant>
        <vt:i4>5</vt:i4>
      </vt:variant>
      <vt:variant>
        <vt:lpwstr/>
      </vt:variant>
      <vt:variant>
        <vt:lpwstr>_Toc53420981</vt:lpwstr>
      </vt:variant>
      <vt:variant>
        <vt:i4>2031673</vt:i4>
      </vt:variant>
      <vt:variant>
        <vt:i4>695</vt:i4>
      </vt:variant>
      <vt:variant>
        <vt:i4>0</vt:i4>
      </vt:variant>
      <vt:variant>
        <vt:i4>5</vt:i4>
      </vt:variant>
      <vt:variant>
        <vt:lpwstr/>
      </vt:variant>
      <vt:variant>
        <vt:lpwstr>_Toc53420980</vt:lpwstr>
      </vt:variant>
      <vt:variant>
        <vt:i4>1441846</vt:i4>
      </vt:variant>
      <vt:variant>
        <vt:i4>689</vt:i4>
      </vt:variant>
      <vt:variant>
        <vt:i4>0</vt:i4>
      </vt:variant>
      <vt:variant>
        <vt:i4>5</vt:i4>
      </vt:variant>
      <vt:variant>
        <vt:lpwstr/>
      </vt:variant>
      <vt:variant>
        <vt:lpwstr>_Toc53420979</vt:lpwstr>
      </vt:variant>
      <vt:variant>
        <vt:i4>1507382</vt:i4>
      </vt:variant>
      <vt:variant>
        <vt:i4>683</vt:i4>
      </vt:variant>
      <vt:variant>
        <vt:i4>0</vt:i4>
      </vt:variant>
      <vt:variant>
        <vt:i4>5</vt:i4>
      </vt:variant>
      <vt:variant>
        <vt:lpwstr/>
      </vt:variant>
      <vt:variant>
        <vt:lpwstr>_Toc53420978</vt:lpwstr>
      </vt:variant>
      <vt:variant>
        <vt:i4>1572918</vt:i4>
      </vt:variant>
      <vt:variant>
        <vt:i4>677</vt:i4>
      </vt:variant>
      <vt:variant>
        <vt:i4>0</vt:i4>
      </vt:variant>
      <vt:variant>
        <vt:i4>5</vt:i4>
      </vt:variant>
      <vt:variant>
        <vt:lpwstr/>
      </vt:variant>
      <vt:variant>
        <vt:lpwstr>_Toc53420977</vt:lpwstr>
      </vt:variant>
      <vt:variant>
        <vt:i4>1638454</vt:i4>
      </vt:variant>
      <vt:variant>
        <vt:i4>671</vt:i4>
      </vt:variant>
      <vt:variant>
        <vt:i4>0</vt:i4>
      </vt:variant>
      <vt:variant>
        <vt:i4>5</vt:i4>
      </vt:variant>
      <vt:variant>
        <vt:lpwstr/>
      </vt:variant>
      <vt:variant>
        <vt:lpwstr>_Toc53420976</vt:lpwstr>
      </vt:variant>
      <vt:variant>
        <vt:i4>1703990</vt:i4>
      </vt:variant>
      <vt:variant>
        <vt:i4>665</vt:i4>
      </vt:variant>
      <vt:variant>
        <vt:i4>0</vt:i4>
      </vt:variant>
      <vt:variant>
        <vt:i4>5</vt:i4>
      </vt:variant>
      <vt:variant>
        <vt:lpwstr/>
      </vt:variant>
      <vt:variant>
        <vt:lpwstr>_Toc53420975</vt:lpwstr>
      </vt:variant>
      <vt:variant>
        <vt:i4>1769526</vt:i4>
      </vt:variant>
      <vt:variant>
        <vt:i4>659</vt:i4>
      </vt:variant>
      <vt:variant>
        <vt:i4>0</vt:i4>
      </vt:variant>
      <vt:variant>
        <vt:i4>5</vt:i4>
      </vt:variant>
      <vt:variant>
        <vt:lpwstr/>
      </vt:variant>
      <vt:variant>
        <vt:lpwstr>_Toc53420974</vt:lpwstr>
      </vt:variant>
      <vt:variant>
        <vt:i4>1835062</vt:i4>
      </vt:variant>
      <vt:variant>
        <vt:i4>653</vt:i4>
      </vt:variant>
      <vt:variant>
        <vt:i4>0</vt:i4>
      </vt:variant>
      <vt:variant>
        <vt:i4>5</vt:i4>
      </vt:variant>
      <vt:variant>
        <vt:lpwstr/>
      </vt:variant>
      <vt:variant>
        <vt:lpwstr>_Toc53420973</vt:lpwstr>
      </vt:variant>
      <vt:variant>
        <vt:i4>1900598</vt:i4>
      </vt:variant>
      <vt:variant>
        <vt:i4>647</vt:i4>
      </vt:variant>
      <vt:variant>
        <vt:i4>0</vt:i4>
      </vt:variant>
      <vt:variant>
        <vt:i4>5</vt:i4>
      </vt:variant>
      <vt:variant>
        <vt:lpwstr/>
      </vt:variant>
      <vt:variant>
        <vt:lpwstr>_Toc53420972</vt:lpwstr>
      </vt:variant>
      <vt:variant>
        <vt:i4>1966134</vt:i4>
      </vt:variant>
      <vt:variant>
        <vt:i4>641</vt:i4>
      </vt:variant>
      <vt:variant>
        <vt:i4>0</vt:i4>
      </vt:variant>
      <vt:variant>
        <vt:i4>5</vt:i4>
      </vt:variant>
      <vt:variant>
        <vt:lpwstr/>
      </vt:variant>
      <vt:variant>
        <vt:lpwstr>_Toc53420971</vt:lpwstr>
      </vt:variant>
      <vt:variant>
        <vt:i4>2031670</vt:i4>
      </vt:variant>
      <vt:variant>
        <vt:i4>635</vt:i4>
      </vt:variant>
      <vt:variant>
        <vt:i4>0</vt:i4>
      </vt:variant>
      <vt:variant>
        <vt:i4>5</vt:i4>
      </vt:variant>
      <vt:variant>
        <vt:lpwstr/>
      </vt:variant>
      <vt:variant>
        <vt:lpwstr>_Toc53420970</vt:lpwstr>
      </vt:variant>
      <vt:variant>
        <vt:i4>1114170</vt:i4>
      </vt:variant>
      <vt:variant>
        <vt:i4>626</vt:i4>
      </vt:variant>
      <vt:variant>
        <vt:i4>0</vt:i4>
      </vt:variant>
      <vt:variant>
        <vt:i4>5</vt:i4>
      </vt:variant>
      <vt:variant>
        <vt:lpwstr/>
      </vt:variant>
      <vt:variant>
        <vt:lpwstr>_Toc41469637</vt:lpwstr>
      </vt:variant>
      <vt:variant>
        <vt:i4>1048634</vt:i4>
      </vt:variant>
      <vt:variant>
        <vt:i4>620</vt:i4>
      </vt:variant>
      <vt:variant>
        <vt:i4>0</vt:i4>
      </vt:variant>
      <vt:variant>
        <vt:i4>5</vt:i4>
      </vt:variant>
      <vt:variant>
        <vt:lpwstr/>
      </vt:variant>
      <vt:variant>
        <vt:lpwstr>_Toc41469636</vt:lpwstr>
      </vt:variant>
      <vt:variant>
        <vt:i4>1245242</vt:i4>
      </vt:variant>
      <vt:variant>
        <vt:i4>614</vt:i4>
      </vt:variant>
      <vt:variant>
        <vt:i4>0</vt:i4>
      </vt:variant>
      <vt:variant>
        <vt:i4>5</vt:i4>
      </vt:variant>
      <vt:variant>
        <vt:lpwstr/>
      </vt:variant>
      <vt:variant>
        <vt:lpwstr>_Toc41469635</vt:lpwstr>
      </vt:variant>
      <vt:variant>
        <vt:i4>1441849</vt:i4>
      </vt:variant>
      <vt:variant>
        <vt:i4>605</vt:i4>
      </vt:variant>
      <vt:variant>
        <vt:i4>0</vt:i4>
      </vt:variant>
      <vt:variant>
        <vt:i4>5</vt:i4>
      </vt:variant>
      <vt:variant>
        <vt:lpwstr/>
      </vt:variant>
      <vt:variant>
        <vt:lpwstr>_Toc53420585</vt:lpwstr>
      </vt:variant>
      <vt:variant>
        <vt:i4>1507385</vt:i4>
      </vt:variant>
      <vt:variant>
        <vt:i4>599</vt:i4>
      </vt:variant>
      <vt:variant>
        <vt:i4>0</vt:i4>
      </vt:variant>
      <vt:variant>
        <vt:i4>5</vt:i4>
      </vt:variant>
      <vt:variant>
        <vt:lpwstr/>
      </vt:variant>
      <vt:variant>
        <vt:lpwstr>_Toc53420584</vt:lpwstr>
      </vt:variant>
      <vt:variant>
        <vt:i4>1048633</vt:i4>
      </vt:variant>
      <vt:variant>
        <vt:i4>593</vt:i4>
      </vt:variant>
      <vt:variant>
        <vt:i4>0</vt:i4>
      </vt:variant>
      <vt:variant>
        <vt:i4>5</vt:i4>
      </vt:variant>
      <vt:variant>
        <vt:lpwstr/>
      </vt:variant>
      <vt:variant>
        <vt:lpwstr>_Toc53420583</vt:lpwstr>
      </vt:variant>
      <vt:variant>
        <vt:i4>1114169</vt:i4>
      </vt:variant>
      <vt:variant>
        <vt:i4>587</vt:i4>
      </vt:variant>
      <vt:variant>
        <vt:i4>0</vt:i4>
      </vt:variant>
      <vt:variant>
        <vt:i4>5</vt:i4>
      </vt:variant>
      <vt:variant>
        <vt:lpwstr/>
      </vt:variant>
      <vt:variant>
        <vt:lpwstr>_Toc53420582</vt:lpwstr>
      </vt:variant>
      <vt:variant>
        <vt:i4>1179705</vt:i4>
      </vt:variant>
      <vt:variant>
        <vt:i4>581</vt:i4>
      </vt:variant>
      <vt:variant>
        <vt:i4>0</vt:i4>
      </vt:variant>
      <vt:variant>
        <vt:i4>5</vt:i4>
      </vt:variant>
      <vt:variant>
        <vt:lpwstr/>
      </vt:variant>
      <vt:variant>
        <vt:lpwstr>_Toc53420581</vt:lpwstr>
      </vt:variant>
      <vt:variant>
        <vt:i4>1245241</vt:i4>
      </vt:variant>
      <vt:variant>
        <vt:i4>572</vt:i4>
      </vt:variant>
      <vt:variant>
        <vt:i4>0</vt:i4>
      </vt:variant>
      <vt:variant>
        <vt:i4>5</vt:i4>
      </vt:variant>
      <vt:variant>
        <vt:lpwstr/>
      </vt:variant>
      <vt:variant>
        <vt:lpwstr>_Toc41469605</vt:lpwstr>
      </vt:variant>
      <vt:variant>
        <vt:i4>1179705</vt:i4>
      </vt:variant>
      <vt:variant>
        <vt:i4>566</vt:i4>
      </vt:variant>
      <vt:variant>
        <vt:i4>0</vt:i4>
      </vt:variant>
      <vt:variant>
        <vt:i4>5</vt:i4>
      </vt:variant>
      <vt:variant>
        <vt:lpwstr/>
      </vt:variant>
      <vt:variant>
        <vt:lpwstr>_Toc41469604</vt:lpwstr>
      </vt:variant>
      <vt:variant>
        <vt:i4>1376313</vt:i4>
      </vt:variant>
      <vt:variant>
        <vt:i4>560</vt:i4>
      </vt:variant>
      <vt:variant>
        <vt:i4>0</vt:i4>
      </vt:variant>
      <vt:variant>
        <vt:i4>5</vt:i4>
      </vt:variant>
      <vt:variant>
        <vt:lpwstr/>
      </vt:variant>
      <vt:variant>
        <vt:lpwstr>_Toc41469603</vt:lpwstr>
      </vt:variant>
      <vt:variant>
        <vt:i4>1310777</vt:i4>
      </vt:variant>
      <vt:variant>
        <vt:i4>554</vt:i4>
      </vt:variant>
      <vt:variant>
        <vt:i4>0</vt:i4>
      </vt:variant>
      <vt:variant>
        <vt:i4>5</vt:i4>
      </vt:variant>
      <vt:variant>
        <vt:lpwstr/>
      </vt:variant>
      <vt:variant>
        <vt:lpwstr>_Toc41469602</vt:lpwstr>
      </vt:variant>
      <vt:variant>
        <vt:i4>1376304</vt:i4>
      </vt:variant>
      <vt:variant>
        <vt:i4>545</vt:i4>
      </vt:variant>
      <vt:variant>
        <vt:i4>0</vt:i4>
      </vt:variant>
      <vt:variant>
        <vt:i4>5</vt:i4>
      </vt:variant>
      <vt:variant>
        <vt:lpwstr/>
      </vt:variant>
      <vt:variant>
        <vt:lpwstr>_Toc41469590</vt:lpwstr>
      </vt:variant>
      <vt:variant>
        <vt:i4>1835057</vt:i4>
      </vt:variant>
      <vt:variant>
        <vt:i4>539</vt:i4>
      </vt:variant>
      <vt:variant>
        <vt:i4>0</vt:i4>
      </vt:variant>
      <vt:variant>
        <vt:i4>5</vt:i4>
      </vt:variant>
      <vt:variant>
        <vt:lpwstr/>
      </vt:variant>
      <vt:variant>
        <vt:lpwstr>_Toc41469589</vt:lpwstr>
      </vt:variant>
      <vt:variant>
        <vt:i4>1900593</vt:i4>
      </vt:variant>
      <vt:variant>
        <vt:i4>533</vt:i4>
      </vt:variant>
      <vt:variant>
        <vt:i4>0</vt:i4>
      </vt:variant>
      <vt:variant>
        <vt:i4>5</vt:i4>
      </vt:variant>
      <vt:variant>
        <vt:lpwstr/>
      </vt:variant>
      <vt:variant>
        <vt:lpwstr>_Toc41469588</vt:lpwstr>
      </vt:variant>
      <vt:variant>
        <vt:i4>4194406</vt:i4>
      </vt:variant>
      <vt:variant>
        <vt:i4>528</vt:i4>
      </vt:variant>
      <vt:variant>
        <vt:i4>0</vt:i4>
      </vt:variant>
      <vt:variant>
        <vt:i4>5</vt:i4>
      </vt:variant>
      <vt:variant>
        <vt:lpwstr/>
      </vt:variant>
      <vt:variant>
        <vt:lpwstr>_Departmental_output_objectives</vt:lpwstr>
      </vt:variant>
      <vt:variant>
        <vt:i4>1376305</vt:i4>
      </vt:variant>
      <vt:variant>
        <vt:i4>521</vt:i4>
      </vt:variant>
      <vt:variant>
        <vt:i4>0</vt:i4>
      </vt:variant>
      <vt:variant>
        <vt:i4>5</vt:i4>
      </vt:variant>
      <vt:variant>
        <vt:lpwstr/>
      </vt:variant>
      <vt:variant>
        <vt:lpwstr>_Toc41469580</vt:lpwstr>
      </vt:variant>
      <vt:variant>
        <vt:i4>1835070</vt:i4>
      </vt:variant>
      <vt:variant>
        <vt:i4>515</vt:i4>
      </vt:variant>
      <vt:variant>
        <vt:i4>0</vt:i4>
      </vt:variant>
      <vt:variant>
        <vt:i4>5</vt:i4>
      </vt:variant>
      <vt:variant>
        <vt:lpwstr/>
      </vt:variant>
      <vt:variant>
        <vt:lpwstr>_Toc41469579</vt:lpwstr>
      </vt:variant>
      <vt:variant>
        <vt:i4>1900606</vt:i4>
      </vt:variant>
      <vt:variant>
        <vt:i4>509</vt:i4>
      </vt:variant>
      <vt:variant>
        <vt:i4>0</vt:i4>
      </vt:variant>
      <vt:variant>
        <vt:i4>5</vt:i4>
      </vt:variant>
      <vt:variant>
        <vt:lpwstr/>
      </vt:variant>
      <vt:variant>
        <vt:lpwstr>_Toc41469578</vt:lpwstr>
      </vt:variant>
      <vt:variant>
        <vt:i4>1441843</vt:i4>
      </vt:variant>
      <vt:variant>
        <vt:i4>500</vt:i4>
      </vt:variant>
      <vt:variant>
        <vt:i4>0</vt:i4>
      </vt:variant>
      <vt:variant>
        <vt:i4>5</vt:i4>
      </vt:variant>
      <vt:variant>
        <vt:lpwstr/>
      </vt:variant>
      <vt:variant>
        <vt:lpwstr>_Toc41471423</vt:lpwstr>
      </vt:variant>
      <vt:variant>
        <vt:i4>1507379</vt:i4>
      </vt:variant>
      <vt:variant>
        <vt:i4>494</vt:i4>
      </vt:variant>
      <vt:variant>
        <vt:i4>0</vt:i4>
      </vt:variant>
      <vt:variant>
        <vt:i4>5</vt:i4>
      </vt:variant>
      <vt:variant>
        <vt:lpwstr/>
      </vt:variant>
      <vt:variant>
        <vt:lpwstr>_Toc41471422</vt:lpwstr>
      </vt:variant>
      <vt:variant>
        <vt:i4>1310771</vt:i4>
      </vt:variant>
      <vt:variant>
        <vt:i4>488</vt:i4>
      </vt:variant>
      <vt:variant>
        <vt:i4>0</vt:i4>
      </vt:variant>
      <vt:variant>
        <vt:i4>5</vt:i4>
      </vt:variant>
      <vt:variant>
        <vt:lpwstr/>
      </vt:variant>
      <vt:variant>
        <vt:lpwstr>_Toc41471421</vt:lpwstr>
      </vt:variant>
      <vt:variant>
        <vt:i4>1376307</vt:i4>
      </vt:variant>
      <vt:variant>
        <vt:i4>482</vt:i4>
      </vt:variant>
      <vt:variant>
        <vt:i4>0</vt:i4>
      </vt:variant>
      <vt:variant>
        <vt:i4>5</vt:i4>
      </vt:variant>
      <vt:variant>
        <vt:lpwstr/>
      </vt:variant>
      <vt:variant>
        <vt:lpwstr>_Toc41471420</vt:lpwstr>
      </vt:variant>
      <vt:variant>
        <vt:i4>1835056</vt:i4>
      </vt:variant>
      <vt:variant>
        <vt:i4>476</vt:i4>
      </vt:variant>
      <vt:variant>
        <vt:i4>0</vt:i4>
      </vt:variant>
      <vt:variant>
        <vt:i4>5</vt:i4>
      </vt:variant>
      <vt:variant>
        <vt:lpwstr/>
      </vt:variant>
      <vt:variant>
        <vt:lpwstr>_Toc41471419</vt:lpwstr>
      </vt:variant>
      <vt:variant>
        <vt:i4>1376304</vt:i4>
      </vt:variant>
      <vt:variant>
        <vt:i4>467</vt:i4>
      </vt:variant>
      <vt:variant>
        <vt:i4>0</vt:i4>
      </vt:variant>
      <vt:variant>
        <vt:i4>5</vt:i4>
      </vt:variant>
      <vt:variant>
        <vt:lpwstr/>
      </vt:variant>
      <vt:variant>
        <vt:lpwstr>_Toc53420714</vt:lpwstr>
      </vt:variant>
      <vt:variant>
        <vt:i4>1179696</vt:i4>
      </vt:variant>
      <vt:variant>
        <vt:i4>461</vt:i4>
      </vt:variant>
      <vt:variant>
        <vt:i4>0</vt:i4>
      </vt:variant>
      <vt:variant>
        <vt:i4>5</vt:i4>
      </vt:variant>
      <vt:variant>
        <vt:lpwstr/>
      </vt:variant>
      <vt:variant>
        <vt:lpwstr>_Toc53420713</vt:lpwstr>
      </vt:variant>
      <vt:variant>
        <vt:i4>1245232</vt:i4>
      </vt:variant>
      <vt:variant>
        <vt:i4>455</vt:i4>
      </vt:variant>
      <vt:variant>
        <vt:i4>0</vt:i4>
      </vt:variant>
      <vt:variant>
        <vt:i4>5</vt:i4>
      </vt:variant>
      <vt:variant>
        <vt:lpwstr/>
      </vt:variant>
      <vt:variant>
        <vt:lpwstr>_Toc53420712</vt:lpwstr>
      </vt:variant>
      <vt:variant>
        <vt:i4>1048624</vt:i4>
      </vt:variant>
      <vt:variant>
        <vt:i4>449</vt:i4>
      </vt:variant>
      <vt:variant>
        <vt:i4>0</vt:i4>
      </vt:variant>
      <vt:variant>
        <vt:i4>5</vt:i4>
      </vt:variant>
      <vt:variant>
        <vt:lpwstr/>
      </vt:variant>
      <vt:variant>
        <vt:lpwstr>_Toc53420711</vt:lpwstr>
      </vt:variant>
      <vt:variant>
        <vt:i4>7274600</vt:i4>
      </vt:variant>
      <vt:variant>
        <vt:i4>444</vt:i4>
      </vt:variant>
      <vt:variant>
        <vt:i4>0</vt:i4>
      </vt:variant>
      <vt:variant>
        <vt:i4>5</vt:i4>
      </vt:variant>
      <vt:variant>
        <vt:lpwstr/>
      </vt:variant>
      <vt:variant>
        <vt:lpwstr>_Style_conventions</vt:lpwstr>
      </vt:variant>
      <vt:variant>
        <vt:i4>1179698</vt:i4>
      </vt:variant>
      <vt:variant>
        <vt:i4>441</vt:i4>
      </vt:variant>
      <vt:variant>
        <vt:i4>0</vt:i4>
      </vt:variant>
      <vt:variant>
        <vt:i4>5</vt:i4>
      </vt:variant>
      <vt:variant>
        <vt:lpwstr/>
      </vt:variant>
      <vt:variant>
        <vt:lpwstr>_Toc11751455</vt:lpwstr>
      </vt:variant>
      <vt:variant>
        <vt:i4>4653161</vt:i4>
      </vt:variant>
      <vt:variant>
        <vt:i4>438</vt:i4>
      </vt:variant>
      <vt:variant>
        <vt:i4>0</vt:i4>
      </vt:variant>
      <vt:variant>
        <vt:i4>5</vt:i4>
      </vt:variant>
      <vt:variant>
        <vt:lpwstr/>
      </vt:variant>
      <vt:variant>
        <vt:lpwstr>_Reconciliation_of_net</vt:lpwstr>
      </vt:variant>
      <vt:variant>
        <vt:i4>5111876</vt:i4>
      </vt:variant>
      <vt:variant>
        <vt:i4>435</vt:i4>
      </vt:variant>
      <vt:variant>
        <vt:i4>0</vt:i4>
      </vt:variant>
      <vt:variant>
        <vt:i4>5</vt:i4>
      </vt:variant>
      <vt:variant>
        <vt:lpwstr/>
      </vt:variant>
      <vt:variant>
        <vt:lpwstr>_Equity_disclosure</vt:lpwstr>
      </vt:variant>
      <vt:variant>
        <vt:i4>5111876</vt:i4>
      </vt:variant>
      <vt:variant>
        <vt:i4>432</vt:i4>
      </vt:variant>
      <vt:variant>
        <vt:i4>0</vt:i4>
      </vt:variant>
      <vt:variant>
        <vt:i4>5</vt:i4>
      </vt:variant>
      <vt:variant>
        <vt:lpwstr/>
      </vt:variant>
      <vt:variant>
        <vt:lpwstr>_Equity_disclosure</vt:lpwstr>
      </vt:variant>
      <vt:variant>
        <vt:i4>5111876</vt:i4>
      </vt:variant>
      <vt:variant>
        <vt:i4>429</vt:i4>
      </vt:variant>
      <vt:variant>
        <vt:i4>0</vt:i4>
      </vt:variant>
      <vt:variant>
        <vt:i4>5</vt:i4>
      </vt:variant>
      <vt:variant>
        <vt:lpwstr/>
      </vt:variant>
      <vt:variant>
        <vt:lpwstr>_Equity_disclosure</vt:lpwstr>
      </vt:variant>
      <vt:variant>
        <vt:i4>5111876</vt:i4>
      </vt:variant>
      <vt:variant>
        <vt:i4>426</vt:i4>
      </vt:variant>
      <vt:variant>
        <vt:i4>0</vt:i4>
      </vt:variant>
      <vt:variant>
        <vt:i4>5</vt:i4>
      </vt:variant>
      <vt:variant>
        <vt:lpwstr/>
      </vt:variant>
      <vt:variant>
        <vt:lpwstr>_Equity_disclosure</vt:lpwstr>
      </vt:variant>
      <vt:variant>
        <vt:i4>5111876</vt:i4>
      </vt:variant>
      <vt:variant>
        <vt:i4>423</vt:i4>
      </vt:variant>
      <vt:variant>
        <vt:i4>0</vt:i4>
      </vt:variant>
      <vt:variant>
        <vt:i4>5</vt:i4>
      </vt:variant>
      <vt:variant>
        <vt:lpwstr/>
      </vt:variant>
      <vt:variant>
        <vt:lpwstr>_Equity_disclosure</vt:lpwstr>
      </vt:variant>
      <vt:variant>
        <vt:i4>5111876</vt:i4>
      </vt:variant>
      <vt:variant>
        <vt:i4>420</vt:i4>
      </vt:variant>
      <vt:variant>
        <vt:i4>0</vt:i4>
      </vt:variant>
      <vt:variant>
        <vt:i4>5</vt:i4>
      </vt:variant>
      <vt:variant>
        <vt:lpwstr/>
      </vt:variant>
      <vt:variant>
        <vt:lpwstr>_Equity_disclosure</vt:lpwstr>
      </vt:variant>
      <vt:variant>
        <vt:i4>5111876</vt:i4>
      </vt:variant>
      <vt:variant>
        <vt:i4>417</vt:i4>
      </vt:variant>
      <vt:variant>
        <vt:i4>0</vt:i4>
      </vt:variant>
      <vt:variant>
        <vt:i4>5</vt:i4>
      </vt:variant>
      <vt:variant>
        <vt:lpwstr/>
      </vt:variant>
      <vt:variant>
        <vt:lpwstr>_Equity_disclosure</vt:lpwstr>
      </vt:variant>
      <vt:variant>
        <vt:i4>5111876</vt:i4>
      </vt:variant>
      <vt:variant>
        <vt:i4>414</vt:i4>
      </vt:variant>
      <vt:variant>
        <vt:i4>0</vt:i4>
      </vt:variant>
      <vt:variant>
        <vt:i4>5</vt:i4>
      </vt:variant>
      <vt:variant>
        <vt:lpwstr/>
      </vt:variant>
      <vt:variant>
        <vt:lpwstr>_Equity_disclosure</vt:lpwstr>
      </vt:variant>
      <vt:variant>
        <vt:i4>5111876</vt:i4>
      </vt:variant>
      <vt:variant>
        <vt:i4>411</vt:i4>
      </vt:variant>
      <vt:variant>
        <vt:i4>0</vt:i4>
      </vt:variant>
      <vt:variant>
        <vt:i4>5</vt:i4>
      </vt:variant>
      <vt:variant>
        <vt:lpwstr/>
      </vt:variant>
      <vt:variant>
        <vt:lpwstr>_Equity_disclosure</vt:lpwstr>
      </vt:variant>
      <vt:variant>
        <vt:i4>5111876</vt:i4>
      </vt:variant>
      <vt:variant>
        <vt:i4>408</vt:i4>
      </vt:variant>
      <vt:variant>
        <vt:i4>0</vt:i4>
      </vt:variant>
      <vt:variant>
        <vt:i4>5</vt:i4>
      </vt:variant>
      <vt:variant>
        <vt:lpwstr/>
      </vt:variant>
      <vt:variant>
        <vt:lpwstr>_Equity_disclosure</vt:lpwstr>
      </vt:variant>
      <vt:variant>
        <vt:i4>5111876</vt:i4>
      </vt:variant>
      <vt:variant>
        <vt:i4>405</vt:i4>
      </vt:variant>
      <vt:variant>
        <vt:i4>0</vt:i4>
      </vt:variant>
      <vt:variant>
        <vt:i4>5</vt:i4>
      </vt:variant>
      <vt:variant>
        <vt:lpwstr/>
      </vt:variant>
      <vt:variant>
        <vt:lpwstr>_Equity_disclosure</vt:lpwstr>
      </vt:variant>
      <vt:variant>
        <vt:i4>262153</vt:i4>
      </vt:variant>
      <vt:variant>
        <vt:i4>402</vt:i4>
      </vt:variant>
      <vt:variant>
        <vt:i4>0</vt:i4>
      </vt:variant>
      <vt:variant>
        <vt:i4>5</vt:i4>
      </vt:variant>
      <vt:variant>
        <vt:lpwstr/>
      </vt:variant>
      <vt:variant>
        <vt:lpwstr>_Other_provisions</vt:lpwstr>
      </vt:variant>
      <vt:variant>
        <vt:i4>3342339</vt:i4>
      </vt:variant>
      <vt:variant>
        <vt:i4>399</vt:i4>
      </vt:variant>
      <vt:variant>
        <vt:i4>0</vt:i4>
      </vt:variant>
      <vt:variant>
        <vt:i4>5</vt:i4>
      </vt:variant>
      <vt:variant>
        <vt:lpwstr/>
      </vt:variant>
      <vt:variant>
        <vt:lpwstr>_Employee_benefits_in</vt:lpwstr>
      </vt:variant>
      <vt:variant>
        <vt:i4>7405659</vt:i4>
      </vt:variant>
      <vt:variant>
        <vt:i4>396</vt:i4>
      </vt:variant>
      <vt:variant>
        <vt:i4>0</vt:i4>
      </vt:variant>
      <vt:variant>
        <vt:i4>5</vt:i4>
      </vt:variant>
      <vt:variant>
        <vt:lpwstr/>
      </vt:variant>
      <vt:variant>
        <vt:lpwstr>_Borrowings</vt:lpwstr>
      </vt:variant>
      <vt:variant>
        <vt:i4>3473461</vt:i4>
      </vt:variant>
      <vt:variant>
        <vt:i4>393</vt:i4>
      </vt:variant>
      <vt:variant>
        <vt:i4>0</vt:i4>
      </vt:variant>
      <vt:variant>
        <vt:i4>5</vt:i4>
      </vt:variant>
      <vt:variant>
        <vt:lpwstr/>
      </vt:variant>
      <vt:variant>
        <vt:lpwstr>_Contract_liabilities</vt:lpwstr>
      </vt:variant>
      <vt:variant>
        <vt:i4>917555</vt:i4>
      </vt:variant>
      <vt:variant>
        <vt:i4>390</vt:i4>
      </vt:variant>
      <vt:variant>
        <vt:i4>0</vt:i4>
      </vt:variant>
      <vt:variant>
        <vt:i4>5</vt:i4>
      </vt:variant>
      <vt:variant>
        <vt:lpwstr/>
      </vt:variant>
      <vt:variant>
        <vt:lpwstr>_Payables</vt:lpwstr>
      </vt:variant>
      <vt:variant>
        <vt:i4>7340048</vt:i4>
      </vt:variant>
      <vt:variant>
        <vt:i4>387</vt:i4>
      </vt:variant>
      <vt:variant>
        <vt:i4>0</vt:i4>
      </vt:variant>
      <vt:variant>
        <vt:i4>5</vt:i4>
      </vt:variant>
      <vt:variant>
        <vt:lpwstr/>
      </vt:variant>
      <vt:variant>
        <vt:lpwstr>_Other_non-financial_assets</vt:lpwstr>
      </vt:variant>
      <vt:variant>
        <vt:i4>4980822</vt:i4>
      </vt:variant>
      <vt:variant>
        <vt:i4>384</vt:i4>
      </vt:variant>
      <vt:variant>
        <vt:i4>0</vt:i4>
      </vt:variant>
      <vt:variant>
        <vt:i4>5</vt:i4>
      </vt:variant>
      <vt:variant>
        <vt:lpwstr/>
      </vt:variant>
      <vt:variant>
        <vt:lpwstr>_Intangible_assets</vt:lpwstr>
      </vt:variant>
      <vt:variant>
        <vt:i4>4325434</vt:i4>
      </vt:variant>
      <vt:variant>
        <vt:i4>381</vt:i4>
      </vt:variant>
      <vt:variant>
        <vt:i4>0</vt:i4>
      </vt:variant>
      <vt:variant>
        <vt:i4>5</vt:i4>
      </vt:variant>
      <vt:variant>
        <vt:lpwstr/>
      </vt:variant>
      <vt:variant>
        <vt:lpwstr>_Property,_plant_and</vt:lpwstr>
      </vt:variant>
      <vt:variant>
        <vt:i4>5963817</vt:i4>
      </vt:variant>
      <vt:variant>
        <vt:i4>378</vt:i4>
      </vt:variant>
      <vt:variant>
        <vt:i4>0</vt:i4>
      </vt:variant>
      <vt:variant>
        <vt:i4>5</vt:i4>
      </vt:variant>
      <vt:variant>
        <vt:lpwstr/>
      </vt:variant>
      <vt:variant>
        <vt:lpwstr>_Non-financial_assets_held</vt:lpwstr>
      </vt:variant>
      <vt:variant>
        <vt:i4>2490423</vt:i4>
      </vt:variant>
      <vt:variant>
        <vt:i4>375</vt:i4>
      </vt:variant>
      <vt:variant>
        <vt:i4>0</vt:i4>
      </vt:variant>
      <vt:variant>
        <vt:i4>5</vt:i4>
      </vt:variant>
      <vt:variant>
        <vt:lpwstr/>
      </vt:variant>
      <vt:variant>
        <vt:lpwstr>_Contract_assets</vt:lpwstr>
      </vt:variant>
      <vt:variant>
        <vt:i4>393262</vt:i4>
      </vt:variant>
      <vt:variant>
        <vt:i4>372</vt:i4>
      </vt:variant>
      <vt:variant>
        <vt:i4>0</vt:i4>
      </vt:variant>
      <vt:variant>
        <vt:i4>5</vt:i4>
      </vt:variant>
      <vt:variant>
        <vt:lpwstr/>
      </vt:variant>
      <vt:variant>
        <vt:lpwstr>_Receivables</vt:lpwstr>
      </vt:variant>
      <vt:variant>
        <vt:i4>5177463</vt:i4>
      </vt:variant>
      <vt:variant>
        <vt:i4>369</vt:i4>
      </vt:variant>
      <vt:variant>
        <vt:i4>0</vt:i4>
      </vt:variant>
      <vt:variant>
        <vt:i4>5</vt:i4>
      </vt:variant>
      <vt:variant>
        <vt:lpwstr/>
      </vt:variant>
      <vt:variant>
        <vt:lpwstr>_Cash_flow_information</vt:lpwstr>
      </vt:variant>
      <vt:variant>
        <vt:i4>3997723</vt:i4>
      </vt:variant>
      <vt:variant>
        <vt:i4>366</vt:i4>
      </vt:variant>
      <vt:variant>
        <vt:i4>0</vt:i4>
      </vt:variant>
      <vt:variant>
        <vt:i4>5</vt:i4>
      </vt:variant>
      <vt:variant>
        <vt:lpwstr/>
      </vt:variant>
      <vt:variant>
        <vt:lpwstr>_Other_economic_flows</vt:lpwstr>
      </vt:variant>
      <vt:variant>
        <vt:i4>3997723</vt:i4>
      </vt:variant>
      <vt:variant>
        <vt:i4>363</vt:i4>
      </vt:variant>
      <vt:variant>
        <vt:i4>0</vt:i4>
      </vt:variant>
      <vt:variant>
        <vt:i4>5</vt:i4>
      </vt:variant>
      <vt:variant>
        <vt:lpwstr/>
      </vt:variant>
      <vt:variant>
        <vt:lpwstr>_Other_economic_flows</vt:lpwstr>
      </vt:variant>
      <vt:variant>
        <vt:i4>3997723</vt:i4>
      </vt:variant>
      <vt:variant>
        <vt:i4>360</vt:i4>
      </vt:variant>
      <vt:variant>
        <vt:i4>0</vt:i4>
      </vt:variant>
      <vt:variant>
        <vt:i4>5</vt:i4>
      </vt:variant>
      <vt:variant>
        <vt:lpwstr/>
      </vt:variant>
      <vt:variant>
        <vt:lpwstr>_Other_economic_flows</vt:lpwstr>
      </vt:variant>
      <vt:variant>
        <vt:i4>917560</vt:i4>
      </vt:variant>
      <vt:variant>
        <vt:i4>357</vt:i4>
      </vt:variant>
      <vt:variant>
        <vt:i4>0</vt:i4>
      </vt:variant>
      <vt:variant>
        <vt:i4>5</vt:i4>
      </vt:variant>
      <vt:variant>
        <vt:lpwstr/>
      </vt:variant>
      <vt:variant>
        <vt:lpwstr>_Other_operating_expenses</vt:lpwstr>
      </vt:variant>
      <vt:variant>
        <vt:i4>5439612</vt:i4>
      </vt:variant>
      <vt:variant>
        <vt:i4>354</vt:i4>
      </vt:variant>
      <vt:variant>
        <vt:i4>0</vt:i4>
      </vt:variant>
      <vt:variant>
        <vt:i4>5</vt:i4>
      </vt:variant>
      <vt:variant>
        <vt:lpwstr/>
      </vt:variant>
      <vt:variant>
        <vt:lpwstr>_Payments_to_public</vt:lpwstr>
      </vt:variant>
      <vt:variant>
        <vt:i4>2949182</vt:i4>
      </vt:variant>
      <vt:variant>
        <vt:i4>351</vt:i4>
      </vt:variant>
      <vt:variant>
        <vt:i4>0</vt:i4>
      </vt:variant>
      <vt:variant>
        <vt:i4>5</vt:i4>
      </vt:variant>
      <vt:variant>
        <vt:lpwstr/>
      </vt:variant>
      <vt:variant>
        <vt:lpwstr>_Interest_expense</vt:lpwstr>
      </vt:variant>
      <vt:variant>
        <vt:i4>131131</vt:i4>
      </vt:variant>
      <vt:variant>
        <vt:i4>348</vt:i4>
      </vt:variant>
      <vt:variant>
        <vt:i4>0</vt:i4>
      </vt:variant>
      <vt:variant>
        <vt:i4>5</vt:i4>
      </vt:variant>
      <vt:variant>
        <vt:lpwstr/>
      </vt:variant>
      <vt:variant>
        <vt:lpwstr>_Depreciation_and_impairment</vt:lpwstr>
      </vt:variant>
      <vt:variant>
        <vt:i4>524346</vt:i4>
      </vt:variant>
      <vt:variant>
        <vt:i4>345</vt:i4>
      </vt:variant>
      <vt:variant>
        <vt:i4>0</vt:i4>
      </vt:variant>
      <vt:variant>
        <vt:i4>5</vt:i4>
      </vt:variant>
      <vt:variant>
        <vt:lpwstr/>
      </vt:variant>
      <vt:variant>
        <vt:lpwstr>_Capital_asset_charge</vt:lpwstr>
      </vt:variant>
      <vt:variant>
        <vt:i4>7077997</vt:i4>
      </vt:variant>
      <vt:variant>
        <vt:i4>342</vt:i4>
      </vt:variant>
      <vt:variant>
        <vt:i4>0</vt:i4>
      </vt:variant>
      <vt:variant>
        <vt:i4>5</vt:i4>
      </vt:variant>
      <vt:variant>
        <vt:lpwstr/>
      </vt:variant>
      <vt:variant>
        <vt:lpwstr>_Employee_benefits_in_1</vt:lpwstr>
      </vt:variant>
      <vt:variant>
        <vt:i4>7078002</vt:i4>
      </vt:variant>
      <vt:variant>
        <vt:i4>339</vt:i4>
      </vt:variant>
      <vt:variant>
        <vt:i4>0</vt:i4>
      </vt:variant>
      <vt:variant>
        <vt:i4>5</vt:i4>
      </vt:variant>
      <vt:variant>
        <vt:lpwstr/>
      </vt:variant>
      <vt:variant>
        <vt:lpwstr>_Grant_expenses</vt:lpwstr>
      </vt:variant>
      <vt:variant>
        <vt:i4>1179664</vt:i4>
      </vt:variant>
      <vt:variant>
        <vt:i4>336</vt:i4>
      </vt:variant>
      <vt:variant>
        <vt:i4>0</vt:i4>
      </vt:variant>
      <vt:variant>
        <vt:i4>5</vt:i4>
      </vt:variant>
      <vt:variant>
        <vt:lpwstr/>
      </vt:variant>
      <vt:variant>
        <vt:lpwstr>_Other_income</vt:lpwstr>
      </vt:variant>
      <vt:variant>
        <vt:i4>6094944</vt:i4>
      </vt:variant>
      <vt:variant>
        <vt:i4>333</vt:i4>
      </vt:variant>
      <vt:variant>
        <vt:i4>0</vt:i4>
      </vt:variant>
      <vt:variant>
        <vt:i4>5</vt:i4>
      </vt:variant>
      <vt:variant>
        <vt:lpwstr/>
      </vt:variant>
      <vt:variant>
        <vt:lpwstr>_Sale_of_goods</vt:lpwstr>
      </vt:variant>
      <vt:variant>
        <vt:i4>4784215</vt:i4>
      </vt:variant>
      <vt:variant>
        <vt:i4>330</vt:i4>
      </vt:variant>
      <vt:variant>
        <vt:i4>0</vt:i4>
      </vt:variant>
      <vt:variant>
        <vt:i4>5</vt:i4>
      </vt:variant>
      <vt:variant>
        <vt:lpwstr/>
      </vt:variant>
      <vt:variant>
        <vt:lpwstr>_Grants_income</vt:lpwstr>
      </vt:variant>
      <vt:variant>
        <vt:i4>4915308</vt:i4>
      </vt:variant>
      <vt:variant>
        <vt:i4>327</vt:i4>
      </vt:variant>
      <vt:variant>
        <vt:i4>0</vt:i4>
      </vt:variant>
      <vt:variant>
        <vt:i4>5</vt:i4>
      </vt:variant>
      <vt:variant>
        <vt:lpwstr/>
      </vt:variant>
      <vt:variant>
        <vt:lpwstr>_Summary_of_compliance</vt:lpwstr>
      </vt:variant>
      <vt:variant>
        <vt:i4>7995443</vt:i4>
      </vt:variant>
      <vt:variant>
        <vt:i4>324</vt:i4>
      </vt:variant>
      <vt:variant>
        <vt:i4>0</vt:i4>
      </vt:variant>
      <vt:variant>
        <vt:i4>5</vt:i4>
      </vt:variant>
      <vt:variant>
        <vt:lpwstr/>
      </vt:variant>
      <vt:variant>
        <vt:lpwstr>_Summary_of_compliance_1</vt:lpwstr>
      </vt:variant>
      <vt:variant>
        <vt:i4>4915308</vt:i4>
      </vt:variant>
      <vt:variant>
        <vt:i4>321</vt:i4>
      </vt:variant>
      <vt:variant>
        <vt:i4>0</vt:i4>
      </vt:variant>
      <vt:variant>
        <vt:i4>5</vt:i4>
      </vt:variant>
      <vt:variant>
        <vt:lpwstr/>
      </vt:variant>
      <vt:variant>
        <vt:lpwstr>_Summary_of_compliance</vt:lpwstr>
      </vt:variant>
      <vt:variant>
        <vt:i4>1441841</vt:i4>
      </vt:variant>
      <vt:variant>
        <vt:i4>314</vt:i4>
      </vt:variant>
      <vt:variant>
        <vt:i4>0</vt:i4>
      </vt:variant>
      <vt:variant>
        <vt:i4>5</vt:i4>
      </vt:variant>
      <vt:variant>
        <vt:lpwstr/>
      </vt:variant>
      <vt:variant>
        <vt:lpwstr>_Toc53420707</vt:lpwstr>
      </vt:variant>
      <vt:variant>
        <vt:i4>1507377</vt:i4>
      </vt:variant>
      <vt:variant>
        <vt:i4>308</vt:i4>
      </vt:variant>
      <vt:variant>
        <vt:i4>0</vt:i4>
      </vt:variant>
      <vt:variant>
        <vt:i4>5</vt:i4>
      </vt:variant>
      <vt:variant>
        <vt:lpwstr/>
      </vt:variant>
      <vt:variant>
        <vt:lpwstr>_Toc53420706</vt:lpwstr>
      </vt:variant>
      <vt:variant>
        <vt:i4>1310769</vt:i4>
      </vt:variant>
      <vt:variant>
        <vt:i4>302</vt:i4>
      </vt:variant>
      <vt:variant>
        <vt:i4>0</vt:i4>
      </vt:variant>
      <vt:variant>
        <vt:i4>5</vt:i4>
      </vt:variant>
      <vt:variant>
        <vt:lpwstr/>
      </vt:variant>
      <vt:variant>
        <vt:lpwstr>_Toc53420705</vt:lpwstr>
      </vt:variant>
      <vt:variant>
        <vt:i4>1376305</vt:i4>
      </vt:variant>
      <vt:variant>
        <vt:i4>296</vt:i4>
      </vt:variant>
      <vt:variant>
        <vt:i4>0</vt:i4>
      </vt:variant>
      <vt:variant>
        <vt:i4>5</vt:i4>
      </vt:variant>
      <vt:variant>
        <vt:lpwstr/>
      </vt:variant>
      <vt:variant>
        <vt:lpwstr>_Toc53420704</vt:lpwstr>
      </vt:variant>
      <vt:variant>
        <vt:i4>1179697</vt:i4>
      </vt:variant>
      <vt:variant>
        <vt:i4>290</vt:i4>
      </vt:variant>
      <vt:variant>
        <vt:i4>0</vt:i4>
      </vt:variant>
      <vt:variant>
        <vt:i4>5</vt:i4>
      </vt:variant>
      <vt:variant>
        <vt:lpwstr/>
      </vt:variant>
      <vt:variant>
        <vt:lpwstr>_Toc53420703</vt:lpwstr>
      </vt:variant>
      <vt:variant>
        <vt:i4>1245233</vt:i4>
      </vt:variant>
      <vt:variant>
        <vt:i4>284</vt:i4>
      </vt:variant>
      <vt:variant>
        <vt:i4>0</vt:i4>
      </vt:variant>
      <vt:variant>
        <vt:i4>5</vt:i4>
      </vt:variant>
      <vt:variant>
        <vt:lpwstr/>
      </vt:variant>
      <vt:variant>
        <vt:lpwstr>_Toc53420702</vt:lpwstr>
      </vt:variant>
      <vt:variant>
        <vt:i4>1048625</vt:i4>
      </vt:variant>
      <vt:variant>
        <vt:i4>278</vt:i4>
      </vt:variant>
      <vt:variant>
        <vt:i4>0</vt:i4>
      </vt:variant>
      <vt:variant>
        <vt:i4>5</vt:i4>
      </vt:variant>
      <vt:variant>
        <vt:lpwstr/>
      </vt:variant>
      <vt:variant>
        <vt:lpwstr>_Toc53420701</vt:lpwstr>
      </vt:variant>
      <vt:variant>
        <vt:i4>1114161</vt:i4>
      </vt:variant>
      <vt:variant>
        <vt:i4>272</vt:i4>
      </vt:variant>
      <vt:variant>
        <vt:i4>0</vt:i4>
      </vt:variant>
      <vt:variant>
        <vt:i4>5</vt:i4>
      </vt:variant>
      <vt:variant>
        <vt:lpwstr/>
      </vt:variant>
      <vt:variant>
        <vt:lpwstr>_Toc53420700</vt:lpwstr>
      </vt:variant>
      <vt:variant>
        <vt:i4>1638456</vt:i4>
      </vt:variant>
      <vt:variant>
        <vt:i4>266</vt:i4>
      </vt:variant>
      <vt:variant>
        <vt:i4>0</vt:i4>
      </vt:variant>
      <vt:variant>
        <vt:i4>5</vt:i4>
      </vt:variant>
      <vt:variant>
        <vt:lpwstr/>
      </vt:variant>
      <vt:variant>
        <vt:lpwstr>_Toc53420699</vt:lpwstr>
      </vt:variant>
      <vt:variant>
        <vt:i4>1572920</vt:i4>
      </vt:variant>
      <vt:variant>
        <vt:i4>260</vt:i4>
      </vt:variant>
      <vt:variant>
        <vt:i4>0</vt:i4>
      </vt:variant>
      <vt:variant>
        <vt:i4>5</vt:i4>
      </vt:variant>
      <vt:variant>
        <vt:lpwstr/>
      </vt:variant>
      <vt:variant>
        <vt:lpwstr>_Toc53420698</vt:lpwstr>
      </vt:variant>
      <vt:variant>
        <vt:i4>1507384</vt:i4>
      </vt:variant>
      <vt:variant>
        <vt:i4>254</vt:i4>
      </vt:variant>
      <vt:variant>
        <vt:i4>0</vt:i4>
      </vt:variant>
      <vt:variant>
        <vt:i4>5</vt:i4>
      </vt:variant>
      <vt:variant>
        <vt:lpwstr/>
      </vt:variant>
      <vt:variant>
        <vt:lpwstr>_Toc53420697</vt:lpwstr>
      </vt:variant>
      <vt:variant>
        <vt:i4>1441848</vt:i4>
      </vt:variant>
      <vt:variant>
        <vt:i4>248</vt:i4>
      </vt:variant>
      <vt:variant>
        <vt:i4>0</vt:i4>
      </vt:variant>
      <vt:variant>
        <vt:i4>5</vt:i4>
      </vt:variant>
      <vt:variant>
        <vt:lpwstr/>
      </vt:variant>
      <vt:variant>
        <vt:lpwstr>_Toc53420696</vt:lpwstr>
      </vt:variant>
      <vt:variant>
        <vt:i4>1376312</vt:i4>
      </vt:variant>
      <vt:variant>
        <vt:i4>242</vt:i4>
      </vt:variant>
      <vt:variant>
        <vt:i4>0</vt:i4>
      </vt:variant>
      <vt:variant>
        <vt:i4>5</vt:i4>
      </vt:variant>
      <vt:variant>
        <vt:lpwstr/>
      </vt:variant>
      <vt:variant>
        <vt:lpwstr>_Toc53420695</vt:lpwstr>
      </vt:variant>
      <vt:variant>
        <vt:i4>1310776</vt:i4>
      </vt:variant>
      <vt:variant>
        <vt:i4>236</vt:i4>
      </vt:variant>
      <vt:variant>
        <vt:i4>0</vt:i4>
      </vt:variant>
      <vt:variant>
        <vt:i4>5</vt:i4>
      </vt:variant>
      <vt:variant>
        <vt:lpwstr/>
      </vt:variant>
      <vt:variant>
        <vt:lpwstr>_Toc53420694</vt:lpwstr>
      </vt:variant>
      <vt:variant>
        <vt:i4>1245240</vt:i4>
      </vt:variant>
      <vt:variant>
        <vt:i4>230</vt:i4>
      </vt:variant>
      <vt:variant>
        <vt:i4>0</vt:i4>
      </vt:variant>
      <vt:variant>
        <vt:i4>5</vt:i4>
      </vt:variant>
      <vt:variant>
        <vt:lpwstr/>
      </vt:variant>
      <vt:variant>
        <vt:lpwstr>_Toc53420693</vt:lpwstr>
      </vt:variant>
      <vt:variant>
        <vt:i4>1179704</vt:i4>
      </vt:variant>
      <vt:variant>
        <vt:i4>224</vt:i4>
      </vt:variant>
      <vt:variant>
        <vt:i4>0</vt:i4>
      </vt:variant>
      <vt:variant>
        <vt:i4>5</vt:i4>
      </vt:variant>
      <vt:variant>
        <vt:lpwstr/>
      </vt:variant>
      <vt:variant>
        <vt:lpwstr>_Toc53420692</vt:lpwstr>
      </vt:variant>
      <vt:variant>
        <vt:i4>1572921</vt:i4>
      </vt:variant>
      <vt:variant>
        <vt:i4>215</vt:i4>
      </vt:variant>
      <vt:variant>
        <vt:i4>0</vt:i4>
      </vt:variant>
      <vt:variant>
        <vt:i4>5</vt:i4>
      </vt:variant>
      <vt:variant>
        <vt:lpwstr/>
      </vt:variant>
      <vt:variant>
        <vt:lpwstr>_Toc53420688</vt:lpwstr>
      </vt:variant>
      <vt:variant>
        <vt:i4>1507385</vt:i4>
      </vt:variant>
      <vt:variant>
        <vt:i4>209</vt:i4>
      </vt:variant>
      <vt:variant>
        <vt:i4>0</vt:i4>
      </vt:variant>
      <vt:variant>
        <vt:i4>5</vt:i4>
      </vt:variant>
      <vt:variant>
        <vt:lpwstr/>
      </vt:variant>
      <vt:variant>
        <vt:lpwstr>_Toc53420687</vt:lpwstr>
      </vt:variant>
      <vt:variant>
        <vt:i4>1441849</vt:i4>
      </vt:variant>
      <vt:variant>
        <vt:i4>203</vt:i4>
      </vt:variant>
      <vt:variant>
        <vt:i4>0</vt:i4>
      </vt:variant>
      <vt:variant>
        <vt:i4>5</vt:i4>
      </vt:variant>
      <vt:variant>
        <vt:lpwstr/>
      </vt:variant>
      <vt:variant>
        <vt:lpwstr>_Toc53420686</vt:lpwstr>
      </vt:variant>
      <vt:variant>
        <vt:i4>1310777</vt:i4>
      </vt:variant>
      <vt:variant>
        <vt:i4>194</vt:i4>
      </vt:variant>
      <vt:variant>
        <vt:i4>0</vt:i4>
      </vt:variant>
      <vt:variant>
        <vt:i4>5</vt:i4>
      </vt:variant>
      <vt:variant>
        <vt:lpwstr/>
      </vt:variant>
      <vt:variant>
        <vt:lpwstr>_Toc53420684</vt:lpwstr>
      </vt:variant>
      <vt:variant>
        <vt:i4>1245241</vt:i4>
      </vt:variant>
      <vt:variant>
        <vt:i4>188</vt:i4>
      </vt:variant>
      <vt:variant>
        <vt:i4>0</vt:i4>
      </vt:variant>
      <vt:variant>
        <vt:i4>5</vt:i4>
      </vt:variant>
      <vt:variant>
        <vt:lpwstr/>
      </vt:variant>
      <vt:variant>
        <vt:lpwstr>_Toc53420683</vt:lpwstr>
      </vt:variant>
      <vt:variant>
        <vt:i4>1179705</vt:i4>
      </vt:variant>
      <vt:variant>
        <vt:i4>182</vt:i4>
      </vt:variant>
      <vt:variant>
        <vt:i4>0</vt:i4>
      </vt:variant>
      <vt:variant>
        <vt:i4>5</vt:i4>
      </vt:variant>
      <vt:variant>
        <vt:lpwstr/>
      </vt:variant>
      <vt:variant>
        <vt:lpwstr>_Toc53420682</vt:lpwstr>
      </vt:variant>
      <vt:variant>
        <vt:i4>1114169</vt:i4>
      </vt:variant>
      <vt:variant>
        <vt:i4>176</vt:i4>
      </vt:variant>
      <vt:variant>
        <vt:i4>0</vt:i4>
      </vt:variant>
      <vt:variant>
        <vt:i4>5</vt:i4>
      </vt:variant>
      <vt:variant>
        <vt:lpwstr/>
      </vt:variant>
      <vt:variant>
        <vt:lpwstr>_Toc53420681</vt:lpwstr>
      </vt:variant>
      <vt:variant>
        <vt:i4>1048633</vt:i4>
      </vt:variant>
      <vt:variant>
        <vt:i4>170</vt:i4>
      </vt:variant>
      <vt:variant>
        <vt:i4>0</vt:i4>
      </vt:variant>
      <vt:variant>
        <vt:i4>5</vt:i4>
      </vt:variant>
      <vt:variant>
        <vt:lpwstr/>
      </vt:variant>
      <vt:variant>
        <vt:lpwstr>_Toc53420680</vt:lpwstr>
      </vt:variant>
      <vt:variant>
        <vt:i4>1441846</vt:i4>
      </vt:variant>
      <vt:variant>
        <vt:i4>161</vt:i4>
      </vt:variant>
      <vt:variant>
        <vt:i4>0</vt:i4>
      </vt:variant>
      <vt:variant>
        <vt:i4>5</vt:i4>
      </vt:variant>
      <vt:variant>
        <vt:lpwstr/>
      </vt:variant>
      <vt:variant>
        <vt:lpwstr>_Toc53420676</vt:lpwstr>
      </vt:variant>
      <vt:variant>
        <vt:i4>1376310</vt:i4>
      </vt:variant>
      <vt:variant>
        <vt:i4>155</vt:i4>
      </vt:variant>
      <vt:variant>
        <vt:i4>0</vt:i4>
      </vt:variant>
      <vt:variant>
        <vt:i4>5</vt:i4>
      </vt:variant>
      <vt:variant>
        <vt:lpwstr/>
      </vt:variant>
      <vt:variant>
        <vt:lpwstr>_Toc53420675</vt:lpwstr>
      </vt:variant>
      <vt:variant>
        <vt:i4>1310774</vt:i4>
      </vt:variant>
      <vt:variant>
        <vt:i4>149</vt:i4>
      </vt:variant>
      <vt:variant>
        <vt:i4>0</vt:i4>
      </vt:variant>
      <vt:variant>
        <vt:i4>5</vt:i4>
      </vt:variant>
      <vt:variant>
        <vt:lpwstr/>
      </vt:variant>
      <vt:variant>
        <vt:lpwstr>_Toc53420674</vt:lpwstr>
      </vt:variant>
      <vt:variant>
        <vt:i4>1179702</vt:i4>
      </vt:variant>
      <vt:variant>
        <vt:i4>143</vt:i4>
      </vt:variant>
      <vt:variant>
        <vt:i4>0</vt:i4>
      </vt:variant>
      <vt:variant>
        <vt:i4>5</vt:i4>
      </vt:variant>
      <vt:variant>
        <vt:lpwstr/>
      </vt:variant>
      <vt:variant>
        <vt:lpwstr>_Toc53420672</vt:lpwstr>
      </vt:variant>
      <vt:variant>
        <vt:i4>1572919</vt:i4>
      </vt:variant>
      <vt:variant>
        <vt:i4>134</vt:i4>
      </vt:variant>
      <vt:variant>
        <vt:i4>0</vt:i4>
      </vt:variant>
      <vt:variant>
        <vt:i4>5</vt:i4>
      </vt:variant>
      <vt:variant>
        <vt:lpwstr/>
      </vt:variant>
      <vt:variant>
        <vt:lpwstr>_Toc53420668</vt:lpwstr>
      </vt:variant>
      <vt:variant>
        <vt:i4>1507383</vt:i4>
      </vt:variant>
      <vt:variant>
        <vt:i4>128</vt:i4>
      </vt:variant>
      <vt:variant>
        <vt:i4>0</vt:i4>
      </vt:variant>
      <vt:variant>
        <vt:i4>5</vt:i4>
      </vt:variant>
      <vt:variant>
        <vt:lpwstr/>
      </vt:variant>
      <vt:variant>
        <vt:lpwstr>_Toc53420667</vt:lpwstr>
      </vt:variant>
      <vt:variant>
        <vt:i4>1441847</vt:i4>
      </vt:variant>
      <vt:variant>
        <vt:i4>122</vt:i4>
      </vt:variant>
      <vt:variant>
        <vt:i4>0</vt:i4>
      </vt:variant>
      <vt:variant>
        <vt:i4>5</vt:i4>
      </vt:variant>
      <vt:variant>
        <vt:lpwstr/>
      </vt:variant>
      <vt:variant>
        <vt:lpwstr>_Toc53420666</vt:lpwstr>
      </vt:variant>
      <vt:variant>
        <vt:i4>1114167</vt:i4>
      </vt:variant>
      <vt:variant>
        <vt:i4>113</vt:i4>
      </vt:variant>
      <vt:variant>
        <vt:i4>0</vt:i4>
      </vt:variant>
      <vt:variant>
        <vt:i4>5</vt:i4>
      </vt:variant>
      <vt:variant>
        <vt:lpwstr/>
      </vt:variant>
      <vt:variant>
        <vt:lpwstr>_Toc53420661</vt:lpwstr>
      </vt:variant>
      <vt:variant>
        <vt:i4>1048631</vt:i4>
      </vt:variant>
      <vt:variant>
        <vt:i4>107</vt:i4>
      </vt:variant>
      <vt:variant>
        <vt:i4>0</vt:i4>
      </vt:variant>
      <vt:variant>
        <vt:i4>5</vt:i4>
      </vt:variant>
      <vt:variant>
        <vt:lpwstr/>
      </vt:variant>
      <vt:variant>
        <vt:lpwstr>_Toc53420660</vt:lpwstr>
      </vt:variant>
      <vt:variant>
        <vt:i4>1638452</vt:i4>
      </vt:variant>
      <vt:variant>
        <vt:i4>101</vt:i4>
      </vt:variant>
      <vt:variant>
        <vt:i4>0</vt:i4>
      </vt:variant>
      <vt:variant>
        <vt:i4>5</vt:i4>
      </vt:variant>
      <vt:variant>
        <vt:lpwstr/>
      </vt:variant>
      <vt:variant>
        <vt:lpwstr>_Toc53420659</vt:lpwstr>
      </vt:variant>
      <vt:variant>
        <vt:i4>1638449</vt:i4>
      </vt:variant>
      <vt:variant>
        <vt:i4>92</vt:i4>
      </vt:variant>
      <vt:variant>
        <vt:i4>0</vt:i4>
      </vt:variant>
      <vt:variant>
        <vt:i4>5</vt:i4>
      </vt:variant>
      <vt:variant>
        <vt:lpwstr/>
      </vt:variant>
      <vt:variant>
        <vt:lpwstr>_Toc53420609</vt:lpwstr>
      </vt:variant>
      <vt:variant>
        <vt:i4>1572913</vt:i4>
      </vt:variant>
      <vt:variant>
        <vt:i4>86</vt:i4>
      </vt:variant>
      <vt:variant>
        <vt:i4>0</vt:i4>
      </vt:variant>
      <vt:variant>
        <vt:i4>5</vt:i4>
      </vt:variant>
      <vt:variant>
        <vt:lpwstr/>
      </vt:variant>
      <vt:variant>
        <vt:lpwstr>_Toc53420608</vt:lpwstr>
      </vt:variant>
      <vt:variant>
        <vt:i4>1507377</vt:i4>
      </vt:variant>
      <vt:variant>
        <vt:i4>80</vt:i4>
      </vt:variant>
      <vt:variant>
        <vt:i4>0</vt:i4>
      </vt:variant>
      <vt:variant>
        <vt:i4>5</vt:i4>
      </vt:variant>
      <vt:variant>
        <vt:lpwstr/>
      </vt:variant>
      <vt:variant>
        <vt:lpwstr>_Toc53420607</vt:lpwstr>
      </vt:variant>
      <vt:variant>
        <vt:i4>1441841</vt:i4>
      </vt:variant>
      <vt:variant>
        <vt:i4>74</vt:i4>
      </vt:variant>
      <vt:variant>
        <vt:i4>0</vt:i4>
      </vt:variant>
      <vt:variant>
        <vt:i4>5</vt:i4>
      </vt:variant>
      <vt:variant>
        <vt:lpwstr/>
      </vt:variant>
      <vt:variant>
        <vt:lpwstr>_Toc53420606</vt:lpwstr>
      </vt:variant>
      <vt:variant>
        <vt:i4>1376305</vt:i4>
      </vt:variant>
      <vt:variant>
        <vt:i4>68</vt:i4>
      </vt:variant>
      <vt:variant>
        <vt:i4>0</vt:i4>
      </vt:variant>
      <vt:variant>
        <vt:i4>5</vt:i4>
      </vt:variant>
      <vt:variant>
        <vt:lpwstr/>
      </vt:variant>
      <vt:variant>
        <vt:lpwstr>_Toc53420605</vt:lpwstr>
      </vt:variant>
      <vt:variant>
        <vt:i4>1310769</vt:i4>
      </vt:variant>
      <vt:variant>
        <vt:i4>65</vt:i4>
      </vt:variant>
      <vt:variant>
        <vt:i4>0</vt:i4>
      </vt:variant>
      <vt:variant>
        <vt:i4>5</vt:i4>
      </vt:variant>
      <vt:variant>
        <vt:lpwstr/>
      </vt:variant>
      <vt:variant>
        <vt:lpwstr>_Toc53420604</vt:lpwstr>
      </vt:variant>
      <vt:variant>
        <vt:i4>1310776</vt:i4>
      </vt:variant>
      <vt:variant>
        <vt:i4>56</vt:i4>
      </vt:variant>
      <vt:variant>
        <vt:i4>0</vt:i4>
      </vt:variant>
      <vt:variant>
        <vt:i4>5</vt:i4>
      </vt:variant>
      <vt:variant>
        <vt:lpwstr/>
      </vt:variant>
      <vt:variant>
        <vt:lpwstr>_Toc53420597</vt:lpwstr>
      </vt:variant>
      <vt:variant>
        <vt:i4>1376312</vt:i4>
      </vt:variant>
      <vt:variant>
        <vt:i4>50</vt:i4>
      </vt:variant>
      <vt:variant>
        <vt:i4>0</vt:i4>
      </vt:variant>
      <vt:variant>
        <vt:i4>5</vt:i4>
      </vt:variant>
      <vt:variant>
        <vt:lpwstr/>
      </vt:variant>
      <vt:variant>
        <vt:lpwstr>_Toc53420596</vt:lpwstr>
      </vt:variant>
      <vt:variant>
        <vt:i4>1441848</vt:i4>
      </vt:variant>
      <vt:variant>
        <vt:i4>44</vt:i4>
      </vt:variant>
      <vt:variant>
        <vt:i4>0</vt:i4>
      </vt:variant>
      <vt:variant>
        <vt:i4>5</vt:i4>
      </vt:variant>
      <vt:variant>
        <vt:lpwstr/>
      </vt:variant>
      <vt:variant>
        <vt:lpwstr>_Toc53420595</vt:lpwstr>
      </vt:variant>
      <vt:variant>
        <vt:i4>1507384</vt:i4>
      </vt:variant>
      <vt:variant>
        <vt:i4>38</vt:i4>
      </vt:variant>
      <vt:variant>
        <vt:i4>0</vt:i4>
      </vt:variant>
      <vt:variant>
        <vt:i4>5</vt:i4>
      </vt:variant>
      <vt:variant>
        <vt:lpwstr/>
      </vt:variant>
      <vt:variant>
        <vt:lpwstr>_Toc53420594</vt:lpwstr>
      </vt:variant>
      <vt:variant>
        <vt:i4>4587644</vt:i4>
      </vt:variant>
      <vt:variant>
        <vt:i4>30</vt:i4>
      </vt:variant>
      <vt:variant>
        <vt:i4>0</vt:i4>
      </vt:variant>
      <vt:variant>
        <vt:i4>5</vt:i4>
      </vt:variant>
      <vt:variant>
        <vt:lpwstr/>
      </vt:variant>
      <vt:variant>
        <vt:lpwstr>_ABOUT_THIS_REPORT</vt:lpwstr>
      </vt:variant>
      <vt:variant>
        <vt:i4>6684771</vt:i4>
      </vt:variant>
      <vt:variant>
        <vt:i4>24</vt:i4>
      </vt:variant>
      <vt:variant>
        <vt:i4>0</vt:i4>
      </vt:variant>
      <vt:variant>
        <vt:i4>5</vt:i4>
      </vt:variant>
      <vt:variant>
        <vt:lpwstr/>
      </vt:variant>
      <vt:variant>
        <vt:lpwstr>CF</vt:lpwstr>
      </vt:variant>
      <vt:variant>
        <vt:i4>393232</vt:i4>
      </vt:variant>
      <vt:variant>
        <vt:i4>18</vt:i4>
      </vt:variant>
      <vt:variant>
        <vt:i4>0</vt:i4>
      </vt:variant>
      <vt:variant>
        <vt:i4>5</vt:i4>
      </vt:variant>
      <vt:variant>
        <vt:lpwstr/>
      </vt:variant>
      <vt:variant>
        <vt:lpwstr>SOCIE</vt:lpwstr>
      </vt:variant>
      <vt:variant>
        <vt:i4>7536738</vt:i4>
      </vt:variant>
      <vt:variant>
        <vt:i4>12</vt:i4>
      </vt:variant>
      <vt:variant>
        <vt:i4>0</vt:i4>
      </vt:variant>
      <vt:variant>
        <vt:i4>5</vt:i4>
      </vt:variant>
      <vt:variant>
        <vt:lpwstr/>
      </vt:variant>
      <vt:variant>
        <vt:lpwstr>BS</vt:lpwstr>
      </vt:variant>
      <vt:variant>
        <vt:i4>7536751</vt:i4>
      </vt:variant>
      <vt:variant>
        <vt:i4>6</vt:i4>
      </vt:variant>
      <vt:variant>
        <vt:i4>0</vt:i4>
      </vt:variant>
      <vt:variant>
        <vt:i4>5</vt:i4>
      </vt:variant>
      <vt:variant>
        <vt:lpwstr/>
      </vt:variant>
      <vt:variant>
        <vt:lpwstr>OS</vt:lpwstr>
      </vt:variant>
      <vt:variant>
        <vt:i4>5374040</vt:i4>
      </vt:variant>
      <vt:variant>
        <vt:i4>3</vt:i4>
      </vt:variant>
      <vt:variant>
        <vt:i4>0</vt:i4>
      </vt:variant>
      <vt:variant>
        <vt:i4>5</vt:i4>
      </vt:variant>
      <vt:variant>
        <vt:lpwstr>https://transport.vic.gov.au/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Freeman (DOT)</dc:creator>
  <cp:keywords/>
  <dc:description/>
  <cp:lastModifiedBy>Dale Ahern (DOT)</cp:lastModifiedBy>
  <cp:revision>2</cp:revision>
  <dcterms:created xsi:type="dcterms:W3CDTF">2020-11-11T23:18:00Z</dcterms:created>
  <dcterms:modified xsi:type="dcterms:W3CDTF">2020-11-11T23:18:00Z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0x0101004BC92934F235AA429FC074C4E8D7FF63</vt:lpwstr>
  </property>
</Properties>
</file>